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5.xml" ContentType="application/vnd.openxmlformats-officedocument.wordprocessingml.header+xml"/>
  <Override PartName="/word/footer15.xml" ContentType="application/vnd.openxmlformats-officedocument.wordprocessingml.footer+xml"/>
  <Override PartName="/word/header26.xml" ContentType="application/vnd.openxmlformats-officedocument.wordprocessingml.header+xml"/>
  <Override PartName="/word/footer1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5.xml" ContentType="application/vnd.openxmlformats-officedocument.wordprocessingml.header+xml"/>
  <Override PartName="/word/footer2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8.xml" ContentType="application/vnd.openxmlformats-officedocument.wordprocessingml.header+xml"/>
  <Override PartName="/word/footer27.xml" ContentType="application/vnd.openxmlformats-officedocument.wordprocessingml.footer+xml"/>
  <Override PartName="/word/header39.xml" ContentType="application/vnd.openxmlformats-officedocument.wordprocessingml.header+xml"/>
  <Override PartName="/word/footer28.xml" ContentType="application/vnd.openxmlformats-officedocument.wordprocessingml.footer+xml"/>
  <Override PartName="/word/header40.xml" ContentType="application/vnd.openxmlformats-officedocument.wordprocessingml.header+xml"/>
  <Override PartName="/word/footer29.xml" ContentType="application/vnd.openxmlformats-officedocument.wordprocessingml.footer+xml"/>
  <Override PartName="/word/header41.xml" ContentType="application/vnd.openxmlformats-officedocument.wordprocessingml.header+xml"/>
  <Override PartName="/word/footer30.xml" ContentType="application/vnd.openxmlformats-officedocument.wordprocessingml.footer+xml"/>
  <Override PartName="/word/header42.xml" ContentType="application/vnd.openxmlformats-officedocument.wordprocessingml.header+xml"/>
  <Override PartName="/word/footer3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2.xml" ContentType="application/vnd.openxmlformats-officedocument.wordprocessingml.footer+xml"/>
  <Override PartName="/word/header45.xml" ContentType="application/vnd.openxmlformats-officedocument.wordprocessingml.header+xml"/>
  <Override PartName="/word/footer3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7.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38.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39.xml" ContentType="application/vnd.openxmlformats-officedocument.wordprocessingml.footer+xml"/>
  <Override PartName="/word/header59.xml" ContentType="application/vnd.openxmlformats-officedocument.wordprocessingml.header+xml"/>
  <Override PartName="/word/footer40.xml" ContentType="application/vnd.openxmlformats-officedocument.wordprocessingml.footer+xml"/>
  <Override PartName="/word/header60.xml" ContentType="application/vnd.openxmlformats-officedocument.wordprocessingml.header+xml"/>
  <Override PartName="/word/footer41.xml" ContentType="application/vnd.openxmlformats-officedocument.wordprocessingml.footer+xml"/>
  <Override PartName="/word/header61.xml" ContentType="application/vnd.openxmlformats-officedocument.wordprocessingml.header+xml"/>
  <Override PartName="/word/footer42.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43.xml" ContentType="application/vnd.openxmlformats-officedocument.wordprocessingml.footer+xml"/>
  <Override PartName="/word/header64.xml" ContentType="application/vnd.openxmlformats-officedocument.wordprocessingml.header+xml"/>
  <Override PartName="/word/footer4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C3E" w:rsidRPr="003B6E11" w:rsidRDefault="00302C3E" w:rsidP="00E1027C">
      <w:pPr>
        <w:pStyle w:val="Annexetitreglobale"/>
        <w:spacing w:line="240" w:lineRule="atLeast"/>
        <w:rPr>
          <w:rFonts w:cs="Arial"/>
          <w:b w:val="0"/>
          <w:u w:val="none"/>
          <w:lang w:val="cs-CZ"/>
        </w:rPr>
      </w:pPr>
    </w:p>
    <w:p w:rsidR="007874ED" w:rsidRPr="003B6E11" w:rsidRDefault="00226A59" w:rsidP="00FA2BFC">
      <w:pPr>
        <w:spacing w:line="240" w:lineRule="atLeast"/>
        <w:jc w:val="center"/>
        <w:rPr>
          <w:rFonts w:cs="Arial"/>
          <w:lang w:val="cs-CZ"/>
        </w:rPr>
      </w:pPr>
      <w:r w:rsidRPr="003B6E11">
        <w:rPr>
          <w:lang w:val="cs-CZ"/>
        </w:rPr>
        <w:t>Evropský výbor pro vypracování norem pro vnitrozemskou plavbu</w:t>
      </w:r>
      <w:r w:rsidRPr="003B6E11">
        <w:rPr>
          <w:lang w:val="cs-CZ"/>
        </w:rPr>
        <w:br/>
        <w:t>(CESNI)</w:t>
      </w:r>
    </w:p>
    <w:p w:rsidR="007874ED" w:rsidRPr="003B6E11" w:rsidRDefault="007874ED" w:rsidP="00E1027C">
      <w:pPr>
        <w:spacing w:line="240" w:lineRule="atLeast"/>
        <w:jc w:val="center"/>
        <w:rPr>
          <w:rFonts w:cs="Arial"/>
          <w:lang w:val="cs-CZ"/>
        </w:rPr>
      </w:pPr>
    </w:p>
    <w:p w:rsidR="007874ED" w:rsidRPr="003B6E11" w:rsidRDefault="007874ED" w:rsidP="00E1027C">
      <w:pPr>
        <w:spacing w:line="240" w:lineRule="atLeast"/>
        <w:jc w:val="center"/>
        <w:rPr>
          <w:rFonts w:cs="Arial"/>
          <w:lang w:val="cs-CZ"/>
        </w:rPr>
      </w:pPr>
    </w:p>
    <w:p w:rsidR="00E1027C" w:rsidRPr="003B6E11" w:rsidRDefault="00E1027C" w:rsidP="00E1027C">
      <w:pPr>
        <w:spacing w:line="240" w:lineRule="atLeast"/>
        <w:jc w:val="center"/>
        <w:rPr>
          <w:rFonts w:cs="Arial"/>
          <w:lang w:val="cs-CZ"/>
        </w:rPr>
      </w:pPr>
    </w:p>
    <w:p w:rsidR="00E1027C" w:rsidRPr="003B6E11" w:rsidRDefault="00E1027C" w:rsidP="00E1027C">
      <w:pPr>
        <w:spacing w:line="240" w:lineRule="atLeast"/>
        <w:jc w:val="center"/>
        <w:rPr>
          <w:rFonts w:cs="Arial"/>
          <w:lang w:val="cs-CZ"/>
        </w:rPr>
      </w:pPr>
    </w:p>
    <w:p w:rsidR="00E1027C" w:rsidRPr="003B6E11" w:rsidRDefault="00E1027C" w:rsidP="00E1027C">
      <w:pPr>
        <w:spacing w:line="240" w:lineRule="atLeast"/>
        <w:jc w:val="center"/>
        <w:rPr>
          <w:rFonts w:cs="Arial"/>
          <w:lang w:val="cs-CZ"/>
        </w:rPr>
      </w:pPr>
    </w:p>
    <w:p w:rsidR="007874ED" w:rsidRPr="003B6E11" w:rsidRDefault="007874ED" w:rsidP="00E1027C">
      <w:pPr>
        <w:spacing w:line="240" w:lineRule="atLeast"/>
        <w:jc w:val="center"/>
        <w:rPr>
          <w:rFonts w:cs="Arial"/>
          <w:lang w:val="cs-CZ"/>
        </w:rPr>
      </w:pPr>
    </w:p>
    <w:p w:rsidR="00E77F1F" w:rsidRPr="003B6E11" w:rsidRDefault="004F7EC9" w:rsidP="00E77F1F">
      <w:pPr>
        <w:pStyle w:val="BodyText3"/>
        <w:spacing w:line="240" w:lineRule="atLeast"/>
        <w:jc w:val="center"/>
        <w:rPr>
          <w:rFonts w:cs="Arial"/>
          <w:sz w:val="22"/>
          <w:szCs w:val="22"/>
          <w:lang w:val="cs-CZ"/>
        </w:rPr>
      </w:pPr>
      <w:r w:rsidRPr="003B6E11">
        <w:rPr>
          <w:b/>
          <w:sz w:val="22"/>
          <w:lang w:val="cs-CZ"/>
        </w:rPr>
        <w:t>Vydání 2017/1</w:t>
      </w:r>
    </w:p>
    <w:p w:rsidR="00302C3E" w:rsidRPr="003B6E11" w:rsidRDefault="00302C3E" w:rsidP="00E1027C">
      <w:pPr>
        <w:pStyle w:val="BodyText3"/>
        <w:spacing w:line="240" w:lineRule="atLeast"/>
        <w:jc w:val="center"/>
        <w:rPr>
          <w:rFonts w:cs="Arial"/>
          <w:sz w:val="22"/>
          <w:szCs w:val="22"/>
          <w:lang w:val="cs-CZ"/>
        </w:rPr>
      </w:pPr>
    </w:p>
    <w:p w:rsidR="007874ED" w:rsidRPr="003B6E11" w:rsidRDefault="007874ED" w:rsidP="00E1027C">
      <w:pPr>
        <w:pStyle w:val="BodyText3"/>
        <w:spacing w:line="240" w:lineRule="atLeast"/>
        <w:jc w:val="center"/>
        <w:rPr>
          <w:rFonts w:cs="Arial"/>
          <w:sz w:val="22"/>
          <w:szCs w:val="22"/>
          <w:lang w:val="cs-CZ"/>
        </w:rPr>
      </w:pPr>
    </w:p>
    <w:p w:rsidR="007874ED" w:rsidRPr="003B6E11" w:rsidRDefault="007874ED" w:rsidP="00E1027C">
      <w:pPr>
        <w:pStyle w:val="BodyText3"/>
        <w:spacing w:line="240" w:lineRule="atLeast"/>
        <w:jc w:val="center"/>
        <w:rPr>
          <w:rFonts w:cs="Arial"/>
          <w:sz w:val="22"/>
          <w:szCs w:val="22"/>
          <w:lang w:val="cs-CZ"/>
        </w:rPr>
      </w:pPr>
    </w:p>
    <w:p w:rsidR="007874ED" w:rsidRPr="003B6E11" w:rsidRDefault="007874ED" w:rsidP="00E1027C">
      <w:pPr>
        <w:pStyle w:val="BodyText3"/>
        <w:spacing w:line="240" w:lineRule="atLeast"/>
        <w:jc w:val="center"/>
        <w:rPr>
          <w:rFonts w:cs="Arial"/>
          <w:sz w:val="22"/>
          <w:szCs w:val="22"/>
          <w:lang w:val="cs-CZ"/>
        </w:rPr>
      </w:pPr>
    </w:p>
    <w:p w:rsidR="00E1027C" w:rsidRPr="003B6E11" w:rsidRDefault="00E1027C" w:rsidP="00E1027C">
      <w:pPr>
        <w:pStyle w:val="BodyText3"/>
        <w:spacing w:line="240" w:lineRule="atLeast"/>
        <w:jc w:val="center"/>
        <w:rPr>
          <w:rFonts w:cs="Arial"/>
          <w:sz w:val="22"/>
          <w:szCs w:val="22"/>
          <w:lang w:val="cs-CZ"/>
        </w:rPr>
      </w:pPr>
    </w:p>
    <w:p w:rsidR="00E1027C" w:rsidRPr="003B6E11" w:rsidRDefault="00E1027C" w:rsidP="00E1027C">
      <w:pPr>
        <w:pStyle w:val="BodyText3"/>
        <w:spacing w:line="240" w:lineRule="atLeast"/>
        <w:jc w:val="center"/>
        <w:rPr>
          <w:rFonts w:cs="Arial"/>
          <w:sz w:val="22"/>
          <w:szCs w:val="22"/>
          <w:lang w:val="cs-CZ"/>
        </w:rPr>
      </w:pPr>
    </w:p>
    <w:p w:rsidR="007874ED" w:rsidRPr="003B6E11" w:rsidRDefault="007874ED" w:rsidP="00E1027C">
      <w:pPr>
        <w:pStyle w:val="BodyText3"/>
        <w:spacing w:line="240" w:lineRule="atLeast"/>
        <w:jc w:val="center"/>
        <w:rPr>
          <w:rFonts w:cs="Arial"/>
          <w:sz w:val="22"/>
          <w:szCs w:val="22"/>
          <w:lang w:val="cs-CZ"/>
        </w:rPr>
      </w:pPr>
    </w:p>
    <w:p w:rsidR="007874ED" w:rsidRPr="003B6E11" w:rsidRDefault="007874ED" w:rsidP="00E1027C">
      <w:pPr>
        <w:pStyle w:val="BodyText3"/>
        <w:spacing w:line="240" w:lineRule="atLeast"/>
        <w:jc w:val="center"/>
        <w:rPr>
          <w:rFonts w:cs="Arial"/>
          <w:sz w:val="22"/>
          <w:szCs w:val="22"/>
          <w:lang w:val="cs-CZ"/>
        </w:rPr>
      </w:pPr>
    </w:p>
    <w:p w:rsidR="007874ED" w:rsidRPr="003B6E11" w:rsidRDefault="007874ED" w:rsidP="00E1027C">
      <w:pPr>
        <w:pStyle w:val="BodyText3"/>
        <w:spacing w:line="240" w:lineRule="atLeast"/>
        <w:jc w:val="center"/>
        <w:rPr>
          <w:rFonts w:cs="Arial"/>
          <w:sz w:val="22"/>
          <w:szCs w:val="22"/>
          <w:lang w:val="cs-CZ"/>
        </w:rPr>
      </w:pPr>
    </w:p>
    <w:p w:rsidR="007874ED" w:rsidRPr="003B6E11" w:rsidRDefault="007874ED" w:rsidP="00E1027C">
      <w:pPr>
        <w:pStyle w:val="BodyText3"/>
        <w:spacing w:line="240" w:lineRule="atLeast"/>
        <w:jc w:val="center"/>
        <w:rPr>
          <w:rFonts w:cs="Arial"/>
          <w:sz w:val="22"/>
          <w:szCs w:val="22"/>
          <w:lang w:val="cs-CZ"/>
        </w:rPr>
      </w:pPr>
    </w:p>
    <w:p w:rsidR="00226A59" w:rsidRPr="003B6E11" w:rsidRDefault="00226A59" w:rsidP="00226A59">
      <w:pPr>
        <w:pStyle w:val="BodyText3"/>
        <w:spacing w:line="240" w:lineRule="atLeast"/>
        <w:jc w:val="center"/>
        <w:rPr>
          <w:rFonts w:cs="Arial"/>
          <w:b/>
          <w:sz w:val="44"/>
          <w:szCs w:val="44"/>
          <w:lang w:val="cs-CZ"/>
        </w:rPr>
      </w:pPr>
      <w:r w:rsidRPr="003B6E11">
        <w:rPr>
          <w:b/>
          <w:sz w:val="44"/>
          <w:lang w:val="cs-CZ"/>
        </w:rPr>
        <w:t xml:space="preserve">Evropská norma, </w:t>
      </w:r>
    </w:p>
    <w:p w:rsidR="00226A59" w:rsidRPr="003B6E11" w:rsidRDefault="00226A59" w:rsidP="00226A59">
      <w:pPr>
        <w:pStyle w:val="BodyText3"/>
        <w:spacing w:line="240" w:lineRule="atLeast"/>
        <w:jc w:val="center"/>
        <w:rPr>
          <w:rFonts w:cs="Arial"/>
          <w:b/>
          <w:sz w:val="44"/>
          <w:szCs w:val="44"/>
          <w:lang w:val="cs-CZ"/>
        </w:rPr>
      </w:pPr>
      <w:r w:rsidRPr="003B6E11">
        <w:rPr>
          <w:b/>
          <w:sz w:val="44"/>
          <w:lang w:val="cs-CZ"/>
        </w:rPr>
        <w:t xml:space="preserve">kterou se stanoví </w:t>
      </w:r>
    </w:p>
    <w:p w:rsidR="00226A59" w:rsidRPr="003B6E11" w:rsidRDefault="00226A59" w:rsidP="00226A59">
      <w:pPr>
        <w:pStyle w:val="BodyText3"/>
        <w:spacing w:line="240" w:lineRule="atLeast"/>
        <w:jc w:val="center"/>
        <w:rPr>
          <w:rFonts w:cs="Arial"/>
          <w:b/>
          <w:sz w:val="44"/>
          <w:szCs w:val="44"/>
          <w:lang w:val="cs-CZ"/>
        </w:rPr>
      </w:pPr>
      <w:r w:rsidRPr="003B6E11">
        <w:rPr>
          <w:b/>
          <w:sz w:val="44"/>
          <w:lang w:val="cs-CZ"/>
        </w:rPr>
        <w:t xml:space="preserve">technické požadavky </w:t>
      </w:r>
    </w:p>
    <w:p w:rsidR="00226A59" w:rsidRPr="003B6E11" w:rsidRDefault="00226A59" w:rsidP="00226A59">
      <w:pPr>
        <w:pStyle w:val="BodyText3"/>
        <w:spacing w:line="240" w:lineRule="atLeast"/>
        <w:jc w:val="center"/>
        <w:rPr>
          <w:rFonts w:cs="Arial"/>
          <w:b/>
          <w:sz w:val="44"/>
          <w:szCs w:val="44"/>
          <w:lang w:val="cs-CZ"/>
        </w:rPr>
      </w:pPr>
      <w:r w:rsidRPr="003B6E11">
        <w:rPr>
          <w:b/>
          <w:sz w:val="44"/>
          <w:lang w:val="cs-CZ"/>
        </w:rPr>
        <w:t xml:space="preserve">pro </w:t>
      </w:r>
    </w:p>
    <w:p w:rsidR="00226A59" w:rsidRPr="003B6E11" w:rsidRDefault="00226A59" w:rsidP="00226A59">
      <w:pPr>
        <w:pStyle w:val="BodyText3"/>
        <w:spacing w:line="240" w:lineRule="atLeast"/>
        <w:jc w:val="center"/>
        <w:rPr>
          <w:rFonts w:cs="Arial"/>
          <w:b/>
          <w:bCs/>
          <w:iCs/>
          <w:sz w:val="44"/>
          <w:szCs w:val="44"/>
          <w:lang w:val="cs-CZ"/>
        </w:rPr>
      </w:pPr>
      <w:r w:rsidRPr="003B6E11">
        <w:rPr>
          <w:b/>
          <w:sz w:val="44"/>
          <w:lang w:val="cs-CZ"/>
        </w:rPr>
        <w:t>plavidla vnitrozemské plavby</w:t>
      </w:r>
    </w:p>
    <w:p w:rsidR="00302C3E" w:rsidRPr="003B6E11" w:rsidRDefault="00302C3E" w:rsidP="00E1027C">
      <w:pPr>
        <w:spacing w:line="240" w:lineRule="atLeast"/>
        <w:jc w:val="center"/>
        <w:rPr>
          <w:rFonts w:cs="Arial"/>
          <w:lang w:val="cs-CZ"/>
        </w:rPr>
      </w:pPr>
    </w:p>
    <w:p w:rsidR="00302C3E" w:rsidRPr="003B6E11" w:rsidRDefault="00172F8E" w:rsidP="00E1027C">
      <w:pPr>
        <w:spacing w:line="240" w:lineRule="atLeast"/>
        <w:jc w:val="center"/>
        <w:rPr>
          <w:rFonts w:cs="Arial"/>
          <w:b/>
          <w:lang w:val="cs-CZ"/>
        </w:rPr>
      </w:pPr>
      <w:r w:rsidRPr="003B6E11">
        <w:rPr>
          <w:b/>
          <w:lang w:val="cs-CZ"/>
        </w:rPr>
        <w:lastRenderedPageBreak/>
        <w:t>(ES-TRIN)</w:t>
      </w:r>
    </w:p>
    <w:p w:rsidR="00302C3E" w:rsidRPr="003B6E11" w:rsidRDefault="00302C3E" w:rsidP="00E1027C">
      <w:pPr>
        <w:spacing w:line="240" w:lineRule="atLeast"/>
        <w:jc w:val="center"/>
        <w:rPr>
          <w:rFonts w:cs="Arial"/>
          <w:lang w:val="cs-CZ"/>
        </w:rPr>
      </w:pPr>
    </w:p>
    <w:p w:rsidR="007874ED" w:rsidRPr="003B6E11" w:rsidRDefault="007874ED" w:rsidP="00E1027C">
      <w:pPr>
        <w:spacing w:line="240" w:lineRule="atLeast"/>
        <w:jc w:val="center"/>
        <w:rPr>
          <w:rFonts w:cs="Arial"/>
          <w:lang w:val="cs-CZ"/>
        </w:rPr>
      </w:pPr>
    </w:p>
    <w:p w:rsidR="00302C3E" w:rsidRPr="003B6E11" w:rsidRDefault="00302C3E" w:rsidP="00E1027C">
      <w:pPr>
        <w:pStyle w:val="Annexetitreglobale"/>
        <w:spacing w:line="240" w:lineRule="atLeast"/>
        <w:jc w:val="both"/>
        <w:rPr>
          <w:rFonts w:cs="Arial"/>
          <w:b w:val="0"/>
          <w:szCs w:val="20"/>
          <w:u w:val="none"/>
          <w:lang w:val="cs-CZ"/>
        </w:rPr>
      </w:pPr>
    </w:p>
    <w:p w:rsidR="00302C3E" w:rsidRPr="003B6E11" w:rsidRDefault="00302C3E" w:rsidP="00E1027C">
      <w:pPr>
        <w:pStyle w:val="Annexetitreglobale"/>
        <w:spacing w:line="240" w:lineRule="atLeast"/>
        <w:jc w:val="both"/>
        <w:rPr>
          <w:rFonts w:cs="Arial"/>
          <w:b w:val="0"/>
          <w:szCs w:val="20"/>
          <w:u w:val="none"/>
          <w:lang w:val="cs-CZ"/>
        </w:rPr>
      </w:pPr>
    </w:p>
    <w:p w:rsidR="00302C3E" w:rsidRPr="003B6E11" w:rsidRDefault="00302C3E" w:rsidP="00E1027C">
      <w:pPr>
        <w:pStyle w:val="Annexetitreglobale"/>
        <w:spacing w:line="240" w:lineRule="atLeast"/>
        <w:jc w:val="both"/>
        <w:rPr>
          <w:rFonts w:cs="Arial"/>
          <w:b w:val="0"/>
          <w:szCs w:val="20"/>
          <w:u w:val="none"/>
          <w:lang w:val="cs-CZ"/>
        </w:rPr>
      </w:pPr>
    </w:p>
    <w:p w:rsidR="00E1027C" w:rsidRPr="003B6E11" w:rsidRDefault="00302C3E" w:rsidP="00E1027C">
      <w:pPr>
        <w:spacing w:line="240" w:lineRule="atLeast"/>
        <w:jc w:val="center"/>
        <w:rPr>
          <w:lang w:val="cs-CZ"/>
        </w:rPr>
      </w:pPr>
      <w:r w:rsidRPr="003B6E11">
        <w:rPr>
          <w:lang w:val="cs-CZ"/>
        </w:rPr>
        <w:br w:type="page"/>
      </w:r>
    </w:p>
    <w:p w:rsidR="002C44F2" w:rsidRPr="003B6E11" w:rsidRDefault="002C44F2" w:rsidP="00E1027C">
      <w:pPr>
        <w:spacing w:line="240" w:lineRule="atLeast"/>
        <w:jc w:val="center"/>
        <w:rPr>
          <w:lang w:val="cs-CZ"/>
        </w:rPr>
      </w:pPr>
    </w:p>
    <w:p w:rsidR="002C44F2" w:rsidRPr="003B6E11" w:rsidRDefault="002C44F2" w:rsidP="00E1027C">
      <w:pPr>
        <w:spacing w:line="240" w:lineRule="atLeast"/>
        <w:jc w:val="center"/>
        <w:rPr>
          <w:lang w:val="cs-CZ"/>
        </w:rPr>
      </w:pPr>
    </w:p>
    <w:p w:rsidR="002C44F2" w:rsidRPr="003B6E11" w:rsidRDefault="002C44F2" w:rsidP="00E1027C">
      <w:pPr>
        <w:spacing w:line="240" w:lineRule="atLeast"/>
        <w:jc w:val="center"/>
        <w:rPr>
          <w:lang w:val="cs-CZ"/>
        </w:rPr>
      </w:pPr>
    </w:p>
    <w:p w:rsidR="002C44F2" w:rsidRPr="003B6E11" w:rsidRDefault="002C44F2" w:rsidP="00E1027C">
      <w:pPr>
        <w:spacing w:line="240" w:lineRule="atLeast"/>
        <w:jc w:val="center"/>
        <w:rPr>
          <w:b/>
          <w:sz w:val="24"/>
          <w:lang w:val="cs-CZ"/>
        </w:rPr>
        <w:sectPr w:rsidR="002C44F2" w:rsidRPr="003B6E11" w:rsidSect="00EF4E24">
          <w:headerReference w:type="default" r:id="rId9"/>
          <w:footerReference w:type="default" r:id="rId10"/>
          <w:headerReference w:type="first" r:id="rId11"/>
          <w:footerReference w:type="first" r:id="rId12"/>
          <w:footnotePr>
            <w:numRestart w:val="eachPage"/>
          </w:footnotePr>
          <w:pgSz w:w="11906" w:h="16838" w:code="9"/>
          <w:pgMar w:top="1418" w:right="1418" w:bottom="1418" w:left="1418" w:header="709" w:footer="709" w:gutter="0"/>
          <w:pgNumType w:fmt="lowerRoman" w:start="1"/>
          <w:cols w:space="709"/>
          <w:titlePg/>
          <w:docGrid w:linePitch="326"/>
        </w:sectPr>
      </w:pPr>
    </w:p>
    <w:p w:rsidR="00E1027C" w:rsidRPr="003B6E11" w:rsidRDefault="00E1027C" w:rsidP="00E1027C">
      <w:pPr>
        <w:pStyle w:val="TOCHeading"/>
        <w:spacing w:after="0" w:line="240" w:lineRule="atLeast"/>
        <w:rPr>
          <w:rFonts w:cs="Arial"/>
          <w:sz w:val="20"/>
          <w:szCs w:val="20"/>
          <w:lang w:val="cs-CZ"/>
        </w:rPr>
      </w:pPr>
    </w:p>
    <w:p w:rsidR="00360D41" w:rsidRPr="003B6E11" w:rsidRDefault="00CA2865" w:rsidP="00E1027C">
      <w:pPr>
        <w:pStyle w:val="TOCHeading"/>
        <w:spacing w:after="0" w:line="240" w:lineRule="atLeast"/>
        <w:rPr>
          <w:rFonts w:cs="Arial"/>
          <w:sz w:val="24"/>
          <w:szCs w:val="24"/>
          <w:lang w:val="cs-CZ"/>
        </w:rPr>
      </w:pPr>
      <w:r w:rsidRPr="003B6E11">
        <w:rPr>
          <w:sz w:val="24"/>
          <w:lang w:val="cs-CZ"/>
        </w:rPr>
        <w:t>OBSAH</w:t>
      </w:r>
    </w:p>
    <w:p w:rsidR="00E1027C" w:rsidRPr="003B6E11" w:rsidRDefault="00E1027C" w:rsidP="00A31C24">
      <w:pPr>
        <w:spacing w:line="240" w:lineRule="atLeast"/>
        <w:rPr>
          <w:lang w:val="cs-CZ"/>
        </w:rPr>
      </w:pPr>
    </w:p>
    <w:p w:rsidR="006E79EB" w:rsidRPr="003B6E11" w:rsidRDefault="006E79EB" w:rsidP="00A31C24">
      <w:pPr>
        <w:spacing w:line="240" w:lineRule="atLeast"/>
        <w:rPr>
          <w:lang w:val="cs-CZ"/>
        </w:rPr>
      </w:pPr>
    </w:p>
    <w:p w:rsidR="002D015D" w:rsidRPr="00B25B1A" w:rsidRDefault="002D015D">
      <w:pPr>
        <w:pStyle w:val="TOC1"/>
        <w:rPr>
          <w:rFonts w:asciiTheme="minorHAnsi" w:eastAsiaTheme="minorEastAsia" w:hAnsiTheme="minorHAnsi" w:cstheme="minorBidi"/>
          <w:b w:val="0"/>
          <w:bCs w:val="0"/>
          <w:caps w:val="0"/>
          <w:noProof/>
          <w:sz w:val="22"/>
          <w:szCs w:val="22"/>
          <w:lang w:val="pl-PL" w:eastAsia="en-GB" w:bidi="ar-SA"/>
        </w:rPr>
      </w:pPr>
      <w:r>
        <w:rPr>
          <w:rFonts w:cs="Arial"/>
          <w:b w:val="0"/>
          <w:bCs w:val="0"/>
          <w:caps w:val="0"/>
          <w:smallCaps/>
        </w:rPr>
        <w:fldChar w:fldCharType="begin"/>
      </w:r>
      <w:r>
        <w:rPr>
          <w:rFonts w:cs="Arial"/>
          <w:b w:val="0"/>
          <w:bCs w:val="0"/>
          <w:caps w:val="0"/>
          <w:smallCaps/>
        </w:rPr>
        <w:instrText xml:space="preserve"> TOC \t "ES-Titre1;1;ES-Titre2;2;ES-Titre3;3;ES-Titre3a;3;Es-Titre_annexes;1;ES-Titre3_pr_chap32;3;ES-Titre2_ESI;2" </w:instrText>
      </w:r>
      <w:r>
        <w:rPr>
          <w:rFonts w:cs="Arial"/>
          <w:b w:val="0"/>
          <w:bCs w:val="0"/>
          <w:caps w:val="0"/>
          <w:smallCaps/>
        </w:rPr>
        <w:fldChar w:fldCharType="separate"/>
      </w:r>
      <w:r>
        <w:rPr>
          <w:noProof/>
        </w:rPr>
        <w:t>ČÁST I OBECNĚ</w:t>
      </w:r>
      <w:r>
        <w:rPr>
          <w:noProof/>
        </w:rPr>
        <w:tab/>
      </w:r>
      <w:r>
        <w:rPr>
          <w:noProof/>
        </w:rPr>
        <w:fldChar w:fldCharType="begin"/>
      </w:r>
      <w:r>
        <w:rPr>
          <w:noProof/>
        </w:rPr>
        <w:instrText xml:space="preserve"> PAGEREF _Toc535416908 \h </w:instrText>
      </w:r>
      <w:r>
        <w:rPr>
          <w:noProof/>
        </w:rPr>
      </w:r>
      <w:r>
        <w:rPr>
          <w:noProof/>
        </w:rPr>
        <w:fldChar w:fldCharType="separate"/>
      </w:r>
      <w:r w:rsidR="00B25B1A">
        <w:rPr>
          <w:noProof/>
        </w:rPr>
        <w:t>1</w:t>
      </w:r>
      <w:r>
        <w:rPr>
          <w:noProof/>
        </w:rPr>
        <w:fldChar w:fldCharType="end"/>
      </w:r>
    </w:p>
    <w:p w:rsidR="002D015D" w:rsidRPr="00B25B1A" w:rsidRDefault="002D015D">
      <w:pPr>
        <w:pStyle w:val="TOC2"/>
        <w:tabs>
          <w:tab w:val="right" w:leader="dot" w:pos="9060"/>
        </w:tabs>
        <w:rPr>
          <w:rFonts w:asciiTheme="minorHAnsi" w:eastAsiaTheme="minorEastAsia" w:hAnsiTheme="minorHAnsi" w:cstheme="minorBidi"/>
          <w:smallCaps w:val="0"/>
          <w:noProof/>
          <w:sz w:val="22"/>
          <w:szCs w:val="22"/>
          <w:lang w:val="pl-PL" w:eastAsia="en-GB" w:bidi="ar-SA"/>
        </w:rPr>
      </w:pPr>
      <w:r>
        <w:rPr>
          <w:noProof/>
        </w:rPr>
        <w:t>Kapitola 1 Obecně</w:t>
      </w:r>
      <w:r>
        <w:rPr>
          <w:noProof/>
        </w:rPr>
        <w:tab/>
      </w:r>
      <w:r>
        <w:rPr>
          <w:noProof/>
        </w:rPr>
        <w:fldChar w:fldCharType="begin"/>
      </w:r>
      <w:r>
        <w:rPr>
          <w:noProof/>
        </w:rPr>
        <w:instrText xml:space="preserve"> PAGEREF _Toc535416909 \h </w:instrText>
      </w:r>
      <w:r>
        <w:rPr>
          <w:noProof/>
        </w:rPr>
      </w:r>
      <w:r>
        <w:rPr>
          <w:noProof/>
        </w:rPr>
        <w:fldChar w:fldCharType="separate"/>
      </w:r>
      <w:r w:rsidR="00B25B1A">
        <w:rPr>
          <w:noProof/>
        </w:rPr>
        <w:t>1</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1.01 Definice</w:t>
      </w:r>
      <w:r>
        <w:rPr>
          <w:noProof/>
        </w:rPr>
        <w:tab/>
      </w:r>
      <w:r>
        <w:rPr>
          <w:noProof/>
        </w:rPr>
        <w:fldChar w:fldCharType="begin"/>
      </w:r>
      <w:r>
        <w:rPr>
          <w:noProof/>
        </w:rPr>
        <w:instrText xml:space="preserve"> PAGEREF _Toc535416910 \h </w:instrText>
      </w:r>
      <w:r>
        <w:rPr>
          <w:noProof/>
        </w:rPr>
      </w:r>
      <w:r>
        <w:rPr>
          <w:noProof/>
        </w:rPr>
        <w:fldChar w:fldCharType="separate"/>
      </w:r>
      <w:r w:rsidR="00B25B1A">
        <w:rPr>
          <w:noProof/>
        </w:rPr>
        <w:t>1</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1.02 Pokyny pro použití této normy</w:t>
      </w:r>
      <w:r>
        <w:rPr>
          <w:noProof/>
        </w:rPr>
        <w:tab/>
      </w:r>
      <w:r>
        <w:rPr>
          <w:noProof/>
        </w:rPr>
        <w:fldChar w:fldCharType="begin"/>
      </w:r>
      <w:r>
        <w:rPr>
          <w:noProof/>
        </w:rPr>
        <w:instrText xml:space="preserve"> PAGEREF _Toc535416911 \h </w:instrText>
      </w:r>
      <w:r>
        <w:rPr>
          <w:noProof/>
        </w:rPr>
      </w:r>
      <w:r>
        <w:rPr>
          <w:noProof/>
        </w:rPr>
        <w:fldChar w:fldCharType="separate"/>
      </w:r>
      <w:r w:rsidR="00B25B1A">
        <w:rPr>
          <w:noProof/>
        </w:rPr>
        <w:t>19</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2 Postup</w:t>
      </w:r>
      <w:r>
        <w:rPr>
          <w:noProof/>
        </w:rPr>
        <w:tab/>
      </w:r>
      <w:r>
        <w:rPr>
          <w:noProof/>
        </w:rPr>
        <w:fldChar w:fldCharType="begin"/>
      </w:r>
      <w:r>
        <w:rPr>
          <w:noProof/>
        </w:rPr>
        <w:instrText xml:space="preserve"> PAGEREF _Toc535416912 \h </w:instrText>
      </w:r>
      <w:r>
        <w:rPr>
          <w:noProof/>
        </w:rPr>
      </w:r>
      <w:r>
        <w:rPr>
          <w:noProof/>
        </w:rPr>
        <w:fldChar w:fldCharType="separate"/>
      </w:r>
      <w:r w:rsidR="00B25B1A">
        <w:rPr>
          <w:noProof/>
        </w:rPr>
        <w:t>20</w:t>
      </w:r>
      <w:r>
        <w:rPr>
          <w:noProof/>
        </w:rPr>
        <w:fldChar w:fldCharType="end"/>
      </w:r>
    </w:p>
    <w:p w:rsidR="002D015D" w:rsidRDefault="002D015D">
      <w:pPr>
        <w:pStyle w:val="TOC1"/>
        <w:rPr>
          <w:rFonts w:asciiTheme="minorHAnsi" w:eastAsiaTheme="minorEastAsia" w:hAnsiTheme="minorHAnsi" w:cstheme="minorBidi"/>
          <w:b w:val="0"/>
          <w:bCs w:val="0"/>
          <w:caps w:val="0"/>
          <w:noProof/>
          <w:sz w:val="22"/>
          <w:szCs w:val="22"/>
          <w:lang w:val="en-GB" w:eastAsia="en-GB" w:bidi="ar-SA"/>
        </w:rPr>
      </w:pPr>
      <w:r>
        <w:rPr>
          <w:noProof/>
        </w:rPr>
        <w:t>ČÁST II USTANOVENÍ TÝKAJÍCÍ SE STAVBY LODÍ, JEJICH VYBAVOVÁNÍ A ZAŘÍZENÍ</w:t>
      </w:r>
      <w:r>
        <w:rPr>
          <w:noProof/>
        </w:rPr>
        <w:tab/>
      </w:r>
      <w:r>
        <w:rPr>
          <w:noProof/>
        </w:rPr>
        <w:fldChar w:fldCharType="begin"/>
      </w:r>
      <w:r>
        <w:rPr>
          <w:noProof/>
        </w:rPr>
        <w:instrText xml:space="preserve"> PAGEREF _Toc535416913 \h </w:instrText>
      </w:r>
      <w:r>
        <w:rPr>
          <w:noProof/>
        </w:rPr>
      </w:r>
      <w:r>
        <w:rPr>
          <w:noProof/>
        </w:rPr>
        <w:fldChar w:fldCharType="separate"/>
      </w:r>
      <w:r w:rsidR="00B25B1A">
        <w:rPr>
          <w:noProof/>
        </w:rPr>
        <w:t>22</w:t>
      </w:r>
      <w:r>
        <w:rPr>
          <w:noProof/>
        </w:rPr>
        <w:fldChar w:fldCharType="end"/>
      </w:r>
    </w:p>
    <w:p w:rsidR="002D015D" w:rsidRPr="00B25B1A" w:rsidRDefault="002D015D">
      <w:pPr>
        <w:pStyle w:val="TOC2"/>
        <w:tabs>
          <w:tab w:val="right" w:leader="dot" w:pos="9060"/>
        </w:tabs>
        <w:rPr>
          <w:rFonts w:asciiTheme="minorHAnsi" w:eastAsiaTheme="minorEastAsia" w:hAnsiTheme="minorHAnsi" w:cstheme="minorBidi"/>
          <w:smallCaps w:val="0"/>
          <w:noProof/>
          <w:sz w:val="22"/>
          <w:szCs w:val="22"/>
          <w:lang w:val="pl-PL" w:eastAsia="en-GB" w:bidi="ar-SA"/>
        </w:rPr>
      </w:pPr>
      <w:r>
        <w:rPr>
          <w:noProof/>
        </w:rPr>
        <w:t>Kapitola 3 Požadavky na stavbu lodí</w:t>
      </w:r>
      <w:r>
        <w:rPr>
          <w:noProof/>
        </w:rPr>
        <w:tab/>
      </w:r>
      <w:r>
        <w:rPr>
          <w:noProof/>
        </w:rPr>
        <w:fldChar w:fldCharType="begin"/>
      </w:r>
      <w:r>
        <w:rPr>
          <w:noProof/>
        </w:rPr>
        <w:instrText xml:space="preserve"> PAGEREF _Toc535416914 \h </w:instrText>
      </w:r>
      <w:r>
        <w:rPr>
          <w:noProof/>
        </w:rPr>
      </w:r>
      <w:r>
        <w:rPr>
          <w:noProof/>
        </w:rPr>
        <w:fldChar w:fldCharType="separate"/>
      </w:r>
      <w:r w:rsidR="00B25B1A">
        <w:rPr>
          <w:noProof/>
        </w:rPr>
        <w:t>22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3.01 Základní pravidla</w:t>
      </w:r>
      <w:r>
        <w:rPr>
          <w:noProof/>
        </w:rPr>
        <w:tab/>
      </w:r>
      <w:r>
        <w:rPr>
          <w:noProof/>
        </w:rPr>
        <w:fldChar w:fldCharType="begin"/>
      </w:r>
      <w:r>
        <w:rPr>
          <w:noProof/>
        </w:rPr>
        <w:instrText xml:space="preserve"> PAGEREF _Toc535416915 \h </w:instrText>
      </w:r>
      <w:r>
        <w:rPr>
          <w:noProof/>
        </w:rPr>
      </w:r>
      <w:r>
        <w:rPr>
          <w:noProof/>
        </w:rPr>
        <w:fldChar w:fldCharType="separate"/>
      </w:r>
      <w:r w:rsidR="00B25B1A">
        <w:rPr>
          <w:noProof/>
        </w:rPr>
        <w:t>22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3.02 Pevnost a stabilita</w:t>
      </w:r>
      <w:r>
        <w:rPr>
          <w:noProof/>
        </w:rPr>
        <w:tab/>
      </w:r>
      <w:r>
        <w:rPr>
          <w:noProof/>
        </w:rPr>
        <w:fldChar w:fldCharType="begin"/>
      </w:r>
      <w:r>
        <w:rPr>
          <w:noProof/>
        </w:rPr>
        <w:instrText xml:space="preserve"> PAGEREF _Toc535416916 \h </w:instrText>
      </w:r>
      <w:r>
        <w:rPr>
          <w:noProof/>
        </w:rPr>
      </w:r>
      <w:r>
        <w:rPr>
          <w:noProof/>
        </w:rPr>
        <w:fldChar w:fldCharType="separate"/>
      </w:r>
      <w:r w:rsidR="00B25B1A">
        <w:rPr>
          <w:noProof/>
        </w:rPr>
        <w:t>22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3.03 Lodní trup</w:t>
      </w:r>
      <w:r>
        <w:rPr>
          <w:noProof/>
        </w:rPr>
        <w:tab/>
      </w:r>
      <w:r>
        <w:rPr>
          <w:noProof/>
        </w:rPr>
        <w:fldChar w:fldCharType="begin"/>
      </w:r>
      <w:r>
        <w:rPr>
          <w:noProof/>
        </w:rPr>
        <w:instrText xml:space="preserve"> PAGEREF _Toc535416917 \h </w:instrText>
      </w:r>
      <w:r>
        <w:rPr>
          <w:noProof/>
        </w:rPr>
      </w:r>
      <w:r>
        <w:rPr>
          <w:noProof/>
        </w:rPr>
        <w:fldChar w:fldCharType="separate"/>
      </w:r>
      <w:r w:rsidR="00B25B1A">
        <w:rPr>
          <w:noProof/>
        </w:rPr>
        <w:t>24</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3.04 Strojovny, kotelny a nádrže</w:t>
      </w:r>
      <w:r>
        <w:rPr>
          <w:noProof/>
        </w:rPr>
        <w:tab/>
      </w:r>
      <w:r>
        <w:rPr>
          <w:noProof/>
        </w:rPr>
        <w:fldChar w:fldCharType="begin"/>
      </w:r>
      <w:r>
        <w:rPr>
          <w:noProof/>
        </w:rPr>
        <w:instrText xml:space="preserve"> PAGEREF _Toc535416918 \h </w:instrText>
      </w:r>
      <w:r>
        <w:rPr>
          <w:noProof/>
        </w:rPr>
      </w:r>
      <w:r>
        <w:rPr>
          <w:noProof/>
        </w:rPr>
        <w:fldChar w:fldCharType="separate"/>
      </w:r>
      <w:r w:rsidR="00B25B1A">
        <w:rPr>
          <w:noProof/>
        </w:rPr>
        <w:t>28</w:t>
      </w:r>
      <w:r>
        <w:rPr>
          <w:noProof/>
        </w:rPr>
        <w:fldChar w:fldCharType="end"/>
      </w:r>
    </w:p>
    <w:p w:rsidR="002D015D" w:rsidRPr="00B25B1A" w:rsidRDefault="002D015D">
      <w:pPr>
        <w:pStyle w:val="TOC2"/>
        <w:tabs>
          <w:tab w:val="right" w:leader="dot" w:pos="9060"/>
        </w:tabs>
        <w:rPr>
          <w:rFonts w:asciiTheme="minorHAnsi" w:eastAsiaTheme="minorEastAsia" w:hAnsiTheme="minorHAnsi" w:cstheme="minorBidi"/>
          <w:smallCaps w:val="0"/>
          <w:noProof/>
          <w:sz w:val="22"/>
          <w:szCs w:val="22"/>
          <w:lang w:val="pl-PL" w:eastAsia="en-GB" w:bidi="ar-SA"/>
        </w:rPr>
      </w:pPr>
      <w:r>
        <w:rPr>
          <w:noProof/>
        </w:rPr>
        <w:t>Kapitola 4 Bezpečnostní vzdálenost, volný bok a nákladové značky</w:t>
      </w:r>
      <w:r>
        <w:rPr>
          <w:noProof/>
        </w:rPr>
        <w:tab/>
      </w:r>
      <w:r>
        <w:rPr>
          <w:noProof/>
        </w:rPr>
        <w:fldChar w:fldCharType="begin"/>
      </w:r>
      <w:r>
        <w:rPr>
          <w:noProof/>
        </w:rPr>
        <w:instrText xml:space="preserve"> PAGEREF _Toc535416919 \h </w:instrText>
      </w:r>
      <w:r>
        <w:rPr>
          <w:noProof/>
        </w:rPr>
      </w:r>
      <w:r>
        <w:rPr>
          <w:noProof/>
        </w:rPr>
        <w:fldChar w:fldCharType="separate"/>
      </w:r>
      <w:r w:rsidR="00B25B1A">
        <w:rPr>
          <w:noProof/>
        </w:rPr>
        <w:t>30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4.01 Bezpečnostní vzdálenost</w:t>
      </w:r>
      <w:r>
        <w:rPr>
          <w:noProof/>
        </w:rPr>
        <w:tab/>
      </w:r>
      <w:r>
        <w:rPr>
          <w:noProof/>
        </w:rPr>
        <w:fldChar w:fldCharType="begin"/>
      </w:r>
      <w:r>
        <w:rPr>
          <w:noProof/>
        </w:rPr>
        <w:instrText xml:space="preserve"> PAGEREF _Toc535416920 \h </w:instrText>
      </w:r>
      <w:r>
        <w:rPr>
          <w:noProof/>
        </w:rPr>
      </w:r>
      <w:r>
        <w:rPr>
          <w:noProof/>
        </w:rPr>
        <w:fldChar w:fldCharType="separate"/>
      </w:r>
      <w:r w:rsidR="00B25B1A">
        <w:rPr>
          <w:noProof/>
        </w:rPr>
        <w:t>30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4.02 Volný bok</w:t>
      </w:r>
      <w:r>
        <w:rPr>
          <w:noProof/>
        </w:rPr>
        <w:tab/>
      </w:r>
      <w:r>
        <w:rPr>
          <w:noProof/>
        </w:rPr>
        <w:fldChar w:fldCharType="begin"/>
      </w:r>
      <w:r>
        <w:rPr>
          <w:noProof/>
        </w:rPr>
        <w:instrText xml:space="preserve"> PAGEREF _Toc535416921 \h </w:instrText>
      </w:r>
      <w:r>
        <w:rPr>
          <w:noProof/>
        </w:rPr>
      </w:r>
      <w:r>
        <w:rPr>
          <w:noProof/>
        </w:rPr>
        <w:fldChar w:fldCharType="separate"/>
      </w:r>
      <w:r w:rsidR="00B25B1A">
        <w:rPr>
          <w:noProof/>
        </w:rPr>
        <w:t>30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4.03 Minimální volný bok</w:t>
      </w:r>
      <w:r>
        <w:rPr>
          <w:noProof/>
        </w:rPr>
        <w:tab/>
      </w:r>
      <w:r>
        <w:rPr>
          <w:noProof/>
        </w:rPr>
        <w:fldChar w:fldCharType="begin"/>
      </w:r>
      <w:r>
        <w:rPr>
          <w:noProof/>
        </w:rPr>
        <w:instrText xml:space="preserve"> PAGEREF _Toc535416922 \h </w:instrText>
      </w:r>
      <w:r>
        <w:rPr>
          <w:noProof/>
        </w:rPr>
      </w:r>
      <w:r>
        <w:rPr>
          <w:noProof/>
        </w:rPr>
        <w:fldChar w:fldCharType="separate"/>
      </w:r>
      <w:r w:rsidR="00B25B1A">
        <w:rPr>
          <w:noProof/>
        </w:rPr>
        <w:t>34</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4.04 Nákladové značky</w:t>
      </w:r>
      <w:r>
        <w:rPr>
          <w:noProof/>
        </w:rPr>
        <w:tab/>
      </w:r>
      <w:r>
        <w:rPr>
          <w:noProof/>
        </w:rPr>
        <w:fldChar w:fldCharType="begin"/>
      </w:r>
      <w:r>
        <w:rPr>
          <w:noProof/>
        </w:rPr>
        <w:instrText xml:space="preserve"> PAGEREF _Toc535416923 \h </w:instrText>
      </w:r>
      <w:r>
        <w:rPr>
          <w:noProof/>
        </w:rPr>
      </w:r>
      <w:r>
        <w:rPr>
          <w:noProof/>
        </w:rPr>
        <w:fldChar w:fldCharType="separate"/>
      </w:r>
      <w:r w:rsidR="00B25B1A">
        <w:rPr>
          <w:noProof/>
        </w:rPr>
        <w:t>34</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4.05 Největší přípustný ponor naložených lodí, jejichž podpalubní nákladové prostory nejsou vždy zakryté tak, aby byly odolné vůči stříkající vodě a povětrnostním vlivům</w:t>
      </w:r>
      <w:r>
        <w:rPr>
          <w:noProof/>
        </w:rPr>
        <w:tab/>
      </w:r>
      <w:r>
        <w:rPr>
          <w:noProof/>
        </w:rPr>
        <w:fldChar w:fldCharType="begin"/>
      </w:r>
      <w:r>
        <w:rPr>
          <w:noProof/>
        </w:rPr>
        <w:instrText xml:space="preserve"> PAGEREF _Toc535416924 \h </w:instrText>
      </w:r>
      <w:r>
        <w:rPr>
          <w:noProof/>
        </w:rPr>
      </w:r>
      <w:r>
        <w:rPr>
          <w:noProof/>
        </w:rPr>
        <w:fldChar w:fldCharType="separate"/>
      </w:r>
      <w:r w:rsidR="00B25B1A">
        <w:rPr>
          <w:noProof/>
        </w:rPr>
        <w:t>38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4.06 Ponorová stupnice</w:t>
      </w:r>
      <w:r>
        <w:rPr>
          <w:noProof/>
        </w:rPr>
        <w:tab/>
      </w:r>
      <w:r>
        <w:rPr>
          <w:noProof/>
        </w:rPr>
        <w:fldChar w:fldCharType="begin"/>
      </w:r>
      <w:r>
        <w:rPr>
          <w:noProof/>
        </w:rPr>
        <w:instrText xml:space="preserve"> PAGEREF _Toc535416925 \h </w:instrText>
      </w:r>
      <w:r>
        <w:rPr>
          <w:noProof/>
        </w:rPr>
      </w:r>
      <w:r>
        <w:rPr>
          <w:noProof/>
        </w:rPr>
        <w:fldChar w:fldCharType="separate"/>
      </w:r>
      <w:r w:rsidR="00B25B1A">
        <w:rPr>
          <w:noProof/>
        </w:rPr>
        <w:t>38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4.07 Zvláštní požadavky na lodi provozované na vodních cestách v zóně 4</w:t>
      </w:r>
      <w:r>
        <w:rPr>
          <w:noProof/>
        </w:rPr>
        <w:tab/>
      </w:r>
      <w:r>
        <w:rPr>
          <w:noProof/>
        </w:rPr>
        <w:fldChar w:fldCharType="begin"/>
      </w:r>
      <w:r>
        <w:rPr>
          <w:noProof/>
        </w:rPr>
        <w:instrText xml:space="preserve"> PAGEREF _Toc535416926 \h </w:instrText>
      </w:r>
      <w:r>
        <w:rPr>
          <w:noProof/>
        </w:rPr>
      </w:r>
      <w:r>
        <w:rPr>
          <w:noProof/>
        </w:rPr>
        <w:fldChar w:fldCharType="separate"/>
      </w:r>
      <w:r w:rsidR="00B25B1A">
        <w:rPr>
          <w:noProof/>
        </w:rPr>
        <w:t>38</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5 Manévrovatelnost</w:t>
      </w:r>
      <w:r>
        <w:rPr>
          <w:noProof/>
        </w:rPr>
        <w:tab/>
      </w:r>
      <w:r>
        <w:rPr>
          <w:noProof/>
        </w:rPr>
        <w:fldChar w:fldCharType="begin"/>
      </w:r>
      <w:r>
        <w:rPr>
          <w:noProof/>
        </w:rPr>
        <w:instrText xml:space="preserve"> PAGEREF _Toc535416927 \h </w:instrText>
      </w:r>
      <w:r>
        <w:rPr>
          <w:noProof/>
        </w:rPr>
      </w:r>
      <w:r>
        <w:rPr>
          <w:noProof/>
        </w:rPr>
        <w:fldChar w:fldCharType="separate"/>
      </w:r>
      <w:r w:rsidR="00B25B1A">
        <w:rPr>
          <w:noProof/>
        </w:rPr>
        <w:t>41</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5.01 Obecně</w:t>
      </w:r>
      <w:r>
        <w:rPr>
          <w:noProof/>
        </w:rPr>
        <w:tab/>
      </w:r>
      <w:r>
        <w:rPr>
          <w:noProof/>
        </w:rPr>
        <w:fldChar w:fldCharType="begin"/>
      </w:r>
      <w:r>
        <w:rPr>
          <w:noProof/>
        </w:rPr>
        <w:instrText xml:space="preserve"> PAGEREF _Toc535416928 \h </w:instrText>
      </w:r>
      <w:r>
        <w:rPr>
          <w:noProof/>
        </w:rPr>
      </w:r>
      <w:r>
        <w:rPr>
          <w:noProof/>
        </w:rPr>
        <w:fldChar w:fldCharType="separate"/>
      </w:r>
      <w:r w:rsidR="00B25B1A">
        <w:rPr>
          <w:noProof/>
        </w:rPr>
        <w:t>41</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5.02 Zkušební plavby</w:t>
      </w:r>
      <w:r>
        <w:rPr>
          <w:noProof/>
        </w:rPr>
        <w:tab/>
      </w:r>
      <w:r>
        <w:rPr>
          <w:noProof/>
        </w:rPr>
        <w:fldChar w:fldCharType="begin"/>
      </w:r>
      <w:r>
        <w:rPr>
          <w:noProof/>
        </w:rPr>
        <w:instrText xml:space="preserve"> PAGEREF _Toc535416929 \h </w:instrText>
      </w:r>
      <w:r>
        <w:rPr>
          <w:noProof/>
        </w:rPr>
      </w:r>
      <w:r>
        <w:rPr>
          <w:noProof/>
        </w:rPr>
        <w:fldChar w:fldCharType="separate"/>
      </w:r>
      <w:r w:rsidR="00B25B1A">
        <w:rPr>
          <w:noProof/>
        </w:rPr>
        <w:t>41</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5.03 Zkušební oblast</w:t>
      </w:r>
      <w:r>
        <w:rPr>
          <w:noProof/>
        </w:rPr>
        <w:tab/>
      </w:r>
      <w:r>
        <w:rPr>
          <w:noProof/>
        </w:rPr>
        <w:fldChar w:fldCharType="begin"/>
      </w:r>
      <w:r>
        <w:rPr>
          <w:noProof/>
        </w:rPr>
        <w:instrText xml:space="preserve"> PAGEREF _Toc535416930 \h </w:instrText>
      </w:r>
      <w:r>
        <w:rPr>
          <w:noProof/>
        </w:rPr>
      </w:r>
      <w:r>
        <w:rPr>
          <w:noProof/>
        </w:rPr>
        <w:fldChar w:fldCharType="separate"/>
      </w:r>
      <w:r w:rsidR="00B25B1A">
        <w:rPr>
          <w:noProof/>
        </w:rPr>
        <w:t>41</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5.04 Stupeň naložení lodí a sestav během zkušebních plaveb</w:t>
      </w:r>
      <w:r>
        <w:rPr>
          <w:noProof/>
        </w:rPr>
        <w:tab/>
      </w:r>
      <w:r>
        <w:rPr>
          <w:noProof/>
        </w:rPr>
        <w:fldChar w:fldCharType="begin"/>
      </w:r>
      <w:r>
        <w:rPr>
          <w:noProof/>
        </w:rPr>
        <w:instrText xml:space="preserve"> PAGEREF _Toc535416931 \h </w:instrText>
      </w:r>
      <w:r>
        <w:rPr>
          <w:noProof/>
        </w:rPr>
      </w:r>
      <w:r>
        <w:rPr>
          <w:noProof/>
        </w:rPr>
        <w:fldChar w:fldCharType="separate"/>
      </w:r>
      <w:r w:rsidR="00B25B1A">
        <w:rPr>
          <w:noProof/>
        </w:rPr>
        <w:t>42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5.05 Použití zařízení plavidla při zkušební plavbě</w:t>
      </w:r>
      <w:r>
        <w:rPr>
          <w:noProof/>
        </w:rPr>
        <w:tab/>
      </w:r>
      <w:r>
        <w:rPr>
          <w:noProof/>
        </w:rPr>
        <w:fldChar w:fldCharType="begin"/>
      </w:r>
      <w:r>
        <w:rPr>
          <w:noProof/>
        </w:rPr>
        <w:instrText xml:space="preserve"> PAGEREF _Toc535416932 \h </w:instrText>
      </w:r>
      <w:r>
        <w:rPr>
          <w:noProof/>
        </w:rPr>
      </w:r>
      <w:r>
        <w:rPr>
          <w:noProof/>
        </w:rPr>
        <w:fldChar w:fldCharType="separate"/>
      </w:r>
      <w:r w:rsidR="00B25B1A">
        <w:rPr>
          <w:noProof/>
        </w:rPr>
        <w:t>43</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5.06 Předepsaná (dopředná) rychlost plavby</w:t>
      </w:r>
      <w:r>
        <w:rPr>
          <w:noProof/>
        </w:rPr>
        <w:tab/>
      </w:r>
      <w:r>
        <w:rPr>
          <w:noProof/>
        </w:rPr>
        <w:fldChar w:fldCharType="begin"/>
      </w:r>
      <w:r>
        <w:rPr>
          <w:noProof/>
        </w:rPr>
        <w:instrText xml:space="preserve"> PAGEREF _Toc535416933 \h </w:instrText>
      </w:r>
      <w:r>
        <w:rPr>
          <w:noProof/>
        </w:rPr>
      </w:r>
      <w:r>
        <w:rPr>
          <w:noProof/>
        </w:rPr>
        <w:fldChar w:fldCharType="separate"/>
      </w:r>
      <w:r w:rsidR="00B25B1A">
        <w:rPr>
          <w:noProof/>
        </w:rPr>
        <w:t>43</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5.07 Schopnost zastavení</w:t>
      </w:r>
      <w:r>
        <w:rPr>
          <w:noProof/>
        </w:rPr>
        <w:tab/>
      </w:r>
      <w:r>
        <w:rPr>
          <w:noProof/>
        </w:rPr>
        <w:fldChar w:fldCharType="begin"/>
      </w:r>
      <w:r>
        <w:rPr>
          <w:noProof/>
        </w:rPr>
        <w:instrText xml:space="preserve"> PAGEREF _Toc535416934 \h </w:instrText>
      </w:r>
      <w:r>
        <w:rPr>
          <w:noProof/>
        </w:rPr>
      </w:r>
      <w:r>
        <w:rPr>
          <w:noProof/>
        </w:rPr>
        <w:fldChar w:fldCharType="separate"/>
      </w:r>
      <w:r w:rsidR="00B25B1A">
        <w:rPr>
          <w:noProof/>
        </w:rPr>
        <w:t>43</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5.08 Schopnost plavby vzad</w:t>
      </w:r>
      <w:r>
        <w:rPr>
          <w:noProof/>
        </w:rPr>
        <w:tab/>
      </w:r>
      <w:r>
        <w:rPr>
          <w:noProof/>
        </w:rPr>
        <w:fldChar w:fldCharType="begin"/>
      </w:r>
      <w:r>
        <w:rPr>
          <w:noProof/>
        </w:rPr>
        <w:instrText xml:space="preserve"> PAGEREF _Toc535416935 \h </w:instrText>
      </w:r>
      <w:r>
        <w:rPr>
          <w:noProof/>
        </w:rPr>
      </w:r>
      <w:r>
        <w:rPr>
          <w:noProof/>
        </w:rPr>
        <w:fldChar w:fldCharType="separate"/>
      </w:r>
      <w:r w:rsidR="00B25B1A">
        <w:rPr>
          <w:noProof/>
        </w:rPr>
        <w:t>44</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5.09 Schopnost vyhýbání</w:t>
      </w:r>
      <w:r>
        <w:rPr>
          <w:noProof/>
        </w:rPr>
        <w:tab/>
      </w:r>
      <w:r>
        <w:rPr>
          <w:noProof/>
        </w:rPr>
        <w:fldChar w:fldCharType="begin"/>
      </w:r>
      <w:r>
        <w:rPr>
          <w:noProof/>
        </w:rPr>
        <w:instrText xml:space="preserve"> PAGEREF _Toc535416936 \h </w:instrText>
      </w:r>
      <w:r>
        <w:rPr>
          <w:noProof/>
        </w:rPr>
      </w:r>
      <w:r>
        <w:rPr>
          <w:noProof/>
        </w:rPr>
        <w:fldChar w:fldCharType="separate"/>
      </w:r>
      <w:r w:rsidR="00B25B1A">
        <w:rPr>
          <w:noProof/>
        </w:rPr>
        <w:t>45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5.10 Schopnost otáčení</w:t>
      </w:r>
      <w:r>
        <w:rPr>
          <w:noProof/>
        </w:rPr>
        <w:tab/>
      </w:r>
      <w:r>
        <w:rPr>
          <w:noProof/>
        </w:rPr>
        <w:fldChar w:fldCharType="begin"/>
      </w:r>
      <w:r>
        <w:rPr>
          <w:noProof/>
        </w:rPr>
        <w:instrText xml:space="preserve"> PAGEREF _Toc535416937 \h </w:instrText>
      </w:r>
      <w:r>
        <w:rPr>
          <w:noProof/>
        </w:rPr>
      </w:r>
      <w:r>
        <w:rPr>
          <w:noProof/>
        </w:rPr>
        <w:fldChar w:fldCharType="separate"/>
      </w:r>
      <w:r w:rsidR="00B25B1A">
        <w:rPr>
          <w:noProof/>
        </w:rPr>
        <w:t>45</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6 Kormidelní zařízení</w:t>
      </w:r>
      <w:r>
        <w:rPr>
          <w:noProof/>
        </w:rPr>
        <w:tab/>
      </w:r>
      <w:r>
        <w:rPr>
          <w:noProof/>
        </w:rPr>
        <w:fldChar w:fldCharType="begin"/>
      </w:r>
      <w:r>
        <w:rPr>
          <w:noProof/>
        </w:rPr>
        <w:instrText xml:space="preserve"> PAGEREF _Toc535416938 \h </w:instrText>
      </w:r>
      <w:r>
        <w:rPr>
          <w:noProof/>
        </w:rPr>
      </w:r>
      <w:r>
        <w:rPr>
          <w:noProof/>
        </w:rPr>
        <w:fldChar w:fldCharType="separate"/>
      </w:r>
      <w:r w:rsidR="00B25B1A">
        <w:rPr>
          <w:noProof/>
        </w:rPr>
        <w:t>47</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6.01 Obecné požadavky</w:t>
      </w:r>
      <w:r>
        <w:rPr>
          <w:noProof/>
        </w:rPr>
        <w:tab/>
      </w:r>
      <w:r>
        <w:rPr>
          <w:noProof/>
        </w:rPr>
        <w:fldChar w:fldCharType="begin"/>
      </w:r>
      <w:r>
        <w:rPr>
          <w:noProof/>
        </w:rPr>
        <w:instrText xml:space="preserve"> PAGEREF _Toc535416939 \h </w:instrText>
      </w:r>
      <w:r>
        <w:rPr>
          <w:noProof/>
        </w:rPr>
      </w:r>
      <w:r>
        <w:rPr>
          <w:noProof/>
        </w:rPr>
        <w:fldChar w:fldCharType="separate"/>
      </w:r>
      <w:r w:rsidR="00B25B1A">
        <w:rPr>
          <w:noProof/>
        </w:rPr>
        <w:t>47</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6.02 Pohonná jednotka kormidelního stroje</w:t>
      </w:r>
      <w:r>
        <w:rPr>
          <w:noProof/>
        </w:rPr>
        <w:tab/>
      </w:r>
      <w:r>
        <w:rPr>
          <w:noProof/>
        </w:rPr>
        <w:fldChar w:fldCharType="begin"/>
      </w:r>
      <w:r>
        <w:rPr>
          <w:noProof/>
        </w:rPr>
        <w:instrText xml:space="preserve"> PAGEREF _Toc535416940 \h </w:instrText>
      </w:r>
      <w:r>
        <w:rPr>
          <w:noProof/>
        </w:rPr>
      </w:r>
      <w:r>
        <w:rPr>
          <w:noProof/>
        </w:rPr>
        <w:fldChar w:fldCharType="separate"/>
      </w:r>
      <w:r w:rsidR="00B25B1A">
        <w:rPr>
          <w:noProof/>
        </w:rPr>
        <w:t>47</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6.03 Hydraulická pohonná jednotka kormidelního stroje</w:t>
      </w:r>
      <w:r>
        <w:rPr>
          <w:noProof/>
        </w:rPr>
        <w:tab/>
      </w:r>
      <w:r>
        <w:rPr>
          <w:noProof/>
        </w:rPr>
        <w:fldChar w:fldCharType="begin"/>
      </w:r>
      <w:r>
        <w:rPr>
          <w:noProof/>
        </w:rPr>
        <w:instrText xml:space="preserve"> PAGEREF _Toc535416941 \h </w:instrText>
      </w:r>
      <w:r>
        <w:rPr>
          <w:noProof/>
        </w:rPr>
      </w:r>
      <w:r>
        <w:rPr>
          <w:noProof/>
        </w:rPr>
        <w:fldChar w:fldCharType="separate"/>
      </w:r>
      <w:r w:rsidR="00B25B1A">
        <w:rPr>
          <w:noProof/>
        </w:rPr>
        <w:t>49</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6.04 Zdroj energie</w:t>
      </w:r>
      <w:r>
        <w:rPr>
          <w:noProof/>
        </w:rPr>
        <w:tab/>
      </w:r>
      <w:r>
        <w:rPr>
          <w:noProof/>
        </w:rPr>
        <w:fldChar w:fldCharType="begin"/>
      </w:r>
      <w:r>
        <w:rPr>
          <w:noProof/>
        </w:rPr>
        <w:instrText xml:space="preserve"> PAGEREF _Toc535416942 \h </w:instrText>
      </w:r>
      <w:r>
        <w:rPr>
          <w:noProof/>
        </w:rPr>
      </w:r>
      <w:r>
        <w:rPr>
          <w:noProof/>
        </w:rPr>
        <w:fldChar w:fldCharType="separate"/>
      </w:r>
      <w:r w:rsidR="00B25B1A">
        <w:rPr>
          <w:noProof/>
        </w:rPr>
        <w:t>49</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6.05 Ruční pohon</w:t>
      </w:r>
      <w:r>
        <w:rPr>
          <w:noProof/>
        </w:rPr>
        <w:tab/>
      </w:r>
      <w:r>
        <w:rPr>
          <w:noProof/>
        </w:rPr>
        <w:fldChar w:fldCharType="begin"/>
      </w:r>
      <w:r>
        <w:rPr>
          <w:noProof/>
        </w:rPr>
        <w:instrText xml:space="preserve"> PAGEREF _Toc535416943 \h </w:instrText>
      </w:r>
      <w:r>
        <w:rPr>
          <w:noProof/>
        </w:rPr>
      </w:r>
      <w:r>
        <w:rPr>
          <w:noProof/>
        </w:rPr>
        <w:fldChar w:fldCharType="separate"/>
      </w:r>
      <w:r w:rsidR="00B25B1A">
        <w:rPr>
          <w:noProof/>
        </w:rPr>
        <w:t>50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6.06 Zařízení kormidlovacích lodních vrtulí, vodometů a cykloidních (Voith-Schneider) lodních vrtulí a příďová dokormidlovací zařízení</w:t>
      </w:r>
      <w:r>
        <w:rPr>
          <w:noProof/>
        </w:rPr>
        <w:tab/>
      </w:r>
      <w:r>
        <w:rPr>
          <w:noProof/>
        </w:rPr>
        <w:fldChar w:fldCharType="begin"/>
      </w:r>
      <w:r>
        <w:rPr>
          <w:noProof/>
        </w:rPr>
        <w:instrText xml:space="preserve"> PAGEREF _Toc535416944 \h </w:instrText>
      </w:r>
      <w:r>
        <w:rPr>
          <w:noProof/>
        </w:rPr>
      </w:r>
      <w:r>
        <w:rPr>
          <w:noProof/>
        </w:rPr>
        <w:fldChar w:fldCharType="separate"/>
      </w:r>
      <w:r w:rsidR="00B25B1A">
        <w:rPr>
          <w:noProof/>
        </w:rPr>
        <w:t>51</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6.07 Ukazatele a kontrolní zařízení</w:t>
      </w:r>
      <w:r>
        <w:rPr>
          <w:noProof/>
        </w:rPr>
        <w:tab/>
      </w:r>
      <w:r>
        <w:rPr>
          <w:noProof/>
        </w:rPr>
        <w:fldChar w:fldCharType="begin"/>
      </w:r>
      <w:r>
        <w:rPr>
          <w:noProof/>
        </w:rPr>
        <w:instrText xml:space="preserve"> PAGEREF _Toc535416945 \h </w:instrText>
      </w:r>
      <w:r>
        <w:rPr>
          <w:noProof/>
        </w:rPr>
      </w:r>
      <w:r>
        <w:rPr>
          <w:noProof/>
        </w:rPr>
        <w:fldChar w:fldCharType="separate"/>
      </w:r>
      <w:r w:rsidR="00B25B1A">
        <w:rPr>
          <w:noProof/>
        </w:rPr>
        <w:t>51</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6.08 Regulátory rychlosti otáčení</w:t>
      </w:r>
      <w:r>
        <w:rPr>
          <w:noProof/>
        </w:rPr>
        <w:tab/>
      </w:r>
      <w:r>
        <w:rPr>
          <w:noProof/>
        </w:rPr>
        <w:fldChar w:fldCharType="begin"/>
      </w:r>
      <w:r>
        <w:rPr>
          <w:noProof/>
        </w:rPr>
        <w:instrText xml:space="preserve"> PAGEREF _Toc535416946 \h </w:instrText>
      </w:r>
      <w:r>
        <w:rPr>
          <w:noProof/>
        </w:rPr>
      </w:r>
      <w:r>
        <w:rPr>
          <w:noProof/>
        </w:rPr>
        <w:fldChar w:fldCharType="separate"/>
      </w:r>
      <w:r w:rsidR="00B25B1A">
        <w:rPr>
          <w:noProof/>
        </w:rPr>
        <w:t>52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6.09 Zkoušky</w:t>
      </w:r>
      <w:r>
        <w:rPr>
          <w:noProof/>
        </w:rPr>
        <w:tab/>
      </w:r>
      <w:r>
        <w:rPr>
          <w:noProof/>
        </w:rPr>
        <w:fldChar w:fldCharType="begin"/>
      </w:r>
      <w:r>
        <w:rPr>
          <w:noProof/>
        </w:rPr>
        <w:instrText xml:space="preserve"> PAGEREF _Toc535416947 \h </w:instrText>
      </w:r>
      <w:r>
        <w:rPr>
          <w:noProof/>
        </w:rPr>
      </w:r>
      <w:r>
        <w:rPr>
          <w:noProof/>
        </w:rPr>
        <w:fldChar w:fldCharType="separate"/>
      </w:r>
      <w:r w:rsidR="00B25B1A">
        <w:rPr>
          <w:noProof/>
        </w:rPr>
        <w:t>53</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7 Kormidelna</w:t>
      </w:r>
      <w:r>
        <w:rPr>
          <w:noProof/>
        </w:rPr>
        <w:tab/>
      </w:r>
      <w:r>
        <w:rPr>
          <w:noProof/>
        </w:rPr>
        <w:fldChar w:fldCharType="begin"/>
      </w:r>
      <w:r>
        <w:rPr>
          <w:noProof/>
        </w:rPr>
        <w:instrText xml:space="preserve"> PAGEREF _Toc535416948 \h </w:instrText>
      </w:r>
      <w:r>
        <w:rPr>
          <w:noProof/>
        </w:rPr>
      </w:r>
      <w:r>
        <w:rPr>
          <w:noProof/>
        </w:rPr>
        <w:fldChar w:fldCharType="separate"/>
      </w:r>
      <w:r w:rsidR="00B25B1A">
        <w:rPr>
          <w:noProof/>
        </w:rPr>
        <w:t>55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7.01 Obecně</w:t>
      </w:r>
      <w:r>
        <w:rPr>
          <w:noProof/>
        </w:rPr>
        <w:tab/>
      </w:r>
      <w:r>
        <w:rPr>
          <w:noProof/>
        </w:rPr>
        <w:fldChar w:fldCharType="begin"/>
      </w:r>
      <w:r>
        <w:rPr>
          <w:noProof/>
        </w:rPr>
        <w:instrText xml:space="preserve"> PAGEREF _Toc535416949 \h </w:instrText>
      </w:r>
      <w:r>
        <w:rPr>
          <w:noProof/>
        </w:rPr>
      </w:r>
      <w:r>
        <w:rPr>
          <w:noProof/>
        </w:rPr>
        <w:fldChar w:fldCharType="separate"/>
      </w:r>
      <w:r w:rsidR="00B25B1A">
        <w:rPr>
          <w:noProof/>
        </w:rPr>
        <w:t>55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7.02 Neomezený výhled</w:t>
      </w:r>
      <w:r>
        <w:rPr>
          <w:noProof/>
        </w:rPr>
        <w:tab/>
      </w:r>
      <w:r>
        <w:rPr>
          <w:noProof/>
        </w:rPr>
        <w:fldChar w:fldCharType="begin"/>
      </w:r>
      <w:r>
        <w:rPr>
          <w:noProof/>
        </w:rPr>
        <w:instrText xml:space="preserve"> PAGEREF _Toc535416950 \h </w:instrText>
      </w:r>
      <w:r>
        <w:rPr>
          <w:noProof/>
        </w:rPr>
      </w:r>
      <w:r>
        <w:rPr>
          <w:noProof/>
        </w:rPr>
        <w:fldChar w:fldCharType="separate"/>
      </w:r>
      <w:r w:rsidR="00B25B1A">
        <w:rPr>
          <w:noProof/>
        </w:rPr>
        <w:t>55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7.03 Obecné požadavky na ovládací, signální a kontrolní zařízení</w:t>
      </w:r>
      <w:r>
        <w:rPr>
          <w:noProof/>
        </w:rPr>
        <w:tab/>
      </w:r>
      <w:r>
        <w:rPr>
          <w:noProof/>
        </w:rPr>
        <w:fldChar w:fldCharType="begin"/>
      </w:r>
      <w:r>
        <w:rPr>
          <w:noProof/>
        </w:rPr>
        <w:instrText xml:space="preserve"> PAGEREF _Toc535416951 \h </w:instrText>
      </w:r>
      <w:r>
        <w:rPr>
          <w:noProof/>
        </w:rPr>
      </w:r>
      <w:r>
        <w:rPr>
          <w:noProof/>
        </w:rPr>
        <w:fldChar w:fldCharType="separate"/>
      </w:r>
      <w:r w:rsidR="00B25B1A">
        <w:rPr>
          <w:noProof/>
        </w:rPr>
        <w:t>57</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7.04 Zvláštní požadavky na ovládací, signální a kontrolní zařízení hlavních motorů a kormidelního zařízení</w:t>
      </w:r>
      <w:r>
        <w:rPr>
          <w:noProof/>
        </w:rPr>
        <w:tab/>
      </w:r>
      <w:r>
        <w:rPr>
          <w:noProof/>
        </w:rPr>
        <w:fldChar w:fldCharType="begin"/>
      </w:r>
      <w:r>
        <w:rPr>
          <w:noProof/>
        </w:rPr>
        <w:instrText xml:space="preserve"> PAGEREF _Toc535416952 \h </w:instrText>
      </w:r>
      <w:r>
        <w:rPr>
          <w:noProof/>
        </w:rPr>
      </w:r>
      <w:r>
        <w:rPr>
          <w:noProof/>
        </w:rPr>
        <w:fldChar w:fldCharType="separate"/>
      </w:r>
      <w:r w:rsidR="00B25B1A">
        <w:rPr>
          <w:noProof/>
        </w:rPr>
        <w:t>59</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7.06 Navigační a informační zařízení</w:t>
      </w:r>
      <w:r>
        <w:rPr>
          <w:noProof/>
        </w:rPr>
        <w:tab/>
      </w:r>
      <w:r>
        <w:rPr>
          <w:noProof/>
        </w:rPr>
        <w:fldChar w:fldCharType="begin"/>
      </w:r>
      <w:r>
        <w:rPr>
          <w:noProof/>
        </w:rPr>
        <w:instrText xml:space="preserve"> PAGEREF _Toc535416953 \h </w:instrText>
      </w:r>
      <w:r>
        <w:rPr>
          <w:noProof/>
        </w:rPr>
      </w:r>
      <w:r>
        <w:rPr>
          <w:noProof/>
        </w:rPr>
        <w:fldChar w:fldCharType="separate"/>
      </w:r>
      <w:r w:rsidR="00B25B1A">
        <w:rPr>
          <w:noProof/>
        </w:rPr>
        <w:t>63</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7.07 Radiotelefonní systémy u lodí s kormidelnami uspořádanými k vedení plavidla pomocí radaru jednou osobou</w:t>
      </w:r>
      <w:r>
        <w:rPr>
          <w:noProof/>
        </w:rPr>
        <w:tab/>
      </w:r>
      <w:r>
        <w:rPr>
          <w:noProof/>
        </w:rPr>
        <w:fldChar w:fldCharType="begin"/>
      </w:r>
      <w:r>
        <w:rPr>
          <w:noProof/>
        </w:rPr>
        <w:instrText xml:space="preserve"> PAGEREF _Toc535416954 \h </w:instrText>
      </w:r>
      <w:r>
        <w:rPr>
          <w:noProof/>
        </w:rPr>
      </w:r>
      <w:r>
        <w:rPr>
          <w:noProof/>
        </w:rPr>
        <w:fldChar w:fldCharType="separate"/>
      </w:r>
      <w:r w:rsidR="00B25B1A">
        <w:rPr>
          <w:noProof/>
        </w:rPr>
        <w:t>63</w:t>
      </w:r>
      <w:r>
        <w:rPr>
          <w:noProof/>
        </w:rPr>
        <w:fldChar w:fldCharType="end"/>
      </w:r>
    </w:p>
    <w:p w:rsidR="00B25B1A" w:rsidRDefault="00B25B1A">
      <w:pPr>
        <w:spacing w:after="0" w:line="240" w:lineRule="auto"/>
        <w:rPr>
          <w:rFonts w:ascii="Arial" w:eastAsia="Times New Roman" w:hAnsi="Arial" w:cs="Times New Roman"/>
          <w:i/>
          <w:iCs/>
          <w:noProof/>
          <w:sz w:val="20"/>
          <w:szCs w:val="20"/>
          <w:lang w:val="cs-CZ" w:eastAsia="cs-CZ" w:bidi="cs-CZ"/>
        </w:rPr>
      </w:pPr>
      <w:r>
        <w:rPr>
          <w:noProof/>
        </w:rPr>
        <w:br w:type="page"/>
      </w:r>
    </w:p>
    <w:p w:rsidR="002D015D" w:rsidRPr="00B25B1A" w:rsidRDefault="002D015D">
      <w:pPr>
        <w:pStyle w:val="TOC3"/>
        <w:rPr>
          <w:rFonts w:asciiTheme="minorHAnsi" w:eastAsiaTheme="minorEastAsia" w:hAnsiTheme="minorHAnsi" w:cstheme="minorBidi"/>
          <w:i w:val="0"/>
          <w:iCs w:val="0"/>
          <w:noProof/>
          <w:sz w:val="22"/>
          <w:szCs w:val="22"/>
          <w:lang w:eastAsia="en-GB" w:bidi="ar-SA"/>
        </w:rPr>
      </w:pPr>
      <w:r w:rsidRPr="00864AE0">
        <w:rPr>
          <w:noProof/>
        </w:rPr>
        <w:t>Článek 7.08 Zařízení pro vnitřní komunikaci na plavidle</w:t>
      </w:r>
      <w:r>
        <w:rPr>
          <w:noProof/>
        </w:rPr>
        <w:tab/>
      </w:r>
      <w:r>
        <w:rPr>
          <w:noProof/>
        </w:rPr>
        <w:fldChar w:fldCharType="begin"/>
      </w:r>
      <w:r>
        <w:rPr>
          <w:noProof/>
        </w:rPr>
        <w:instrText xml:space="preserve"> PAGEREF _Toc535416955 \h </w:instrText>
      </w:r>
      <w:r>
        <w:rPr>
          <w:noProof/>
        </w:rPr>
      </w:r>
      <w:r>
        <w:rPr>
          <w:noProof/>
        </w:rPr>
        <w:fldChar w:fldCharType="separate"/>
      </w:r>
      <w:r w:rsidR="00B25B1A">
        <w:rPr>
          <w:noProof/>
        </w:rPr>
        <w:t>65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7.09 Poplašný systém</w:t>
      </w:r>
      <w:r>
        <w:rPr>
          <w:noProof/>
        </w:rPr>
        <w:tab/>
      </w:r>
      <w:r>
        <w:rPr>
          <w:noProof/>
        </w:rPr>
        <w:fldChar w:fldCharType="begin"/>
      </w:r>
      <w:r>
        <w:rPr>
          <w:noProof/>
        </w:rPr>
        <w:instrText xml:space="preserve"> PAGEREF _Toc535416956 \h </w:instrText>
      </w:r>
      <w:r>
        <w:rPr>
          <w:noProof/>
        </w:rPr>
      </w:r>
      <w:r>
        <w:rPr>
          <w:noProof/>
        </w:rPr>
        <w:fldChar w:fldCharType="separate"/>
      </w:r>
      <w:r w:rsidR="00B25B1A">
        <w:rPr>
          <w:noProof/>
        </w:rPr>
        <w:t>65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7.10 Topení a větrání</w:t>
      </w:r>
      <w:r>
        <w:rPr>
          <w:noProof/>
        </w:rPr>
        <w:tab/>
      </w:r>
      <w:r>
        <w:rPr>
          <w:noProof/>
        </w:rPr>
        <w:fldChar w:fldCharType="begin"/>
      </w:r>
      <w:r>
        <w:rPr>
          <w:noProof/>
        </w:rPr>
        <w:instrText xml:space="preserve"> PAGEREF _Toc535416957 \h </w:instrText>
      </w:r>
      <w:r>
        <w:rPr>
          <w:noProof/>
        </w:rPr>
      </w:r>
      <w:r>
        <w:rPr>
          <w:noProof/>
        </w:rPr>
        <w:fldChar w:fldCharType="separate"/>
      </w:r>
      <w:r w:rsidR="00B25B1A">
        <w:rPr>
          <w:noProof/>
        </w:rPr>
        <w:t>66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7.11 Zařízení k ovládání záďové kotvy</w:t>
      </w:r>
      <w:r>
        <w:rPr>
          <w:noProof/>
        </w:rPr>
        <w:tab/>
      </w:r>
      <w:r>
        <w:rPr>
          <w:noProof/>
        </w:rPr>
        <w:fldChar w:fldCharType="begin"/>
      </w:r>
      <w:r>
        <w:rPr>
          <w:noProof/>
        </w:rPr>
        <w:instrText xml:space="preserve"> PAGEREF _Toc535416958 \h </w:instrText>
      </w:r>
      <w:r>
        <w:rPr>
          <w:noProof/>
        </w:rPr>
      </w:r>
      <w:r>
        <w:rPr>
          <w:noProof/>
        </w:rPr>
        <w:fldChar w:fldCharType="separate"/>
      </w:r>
      <w:r w:rsidR="00B25B1A">
        <w:rPr>
          <w:noProof/>
        </w:rPr>
        <w:t>66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 xml:space="preserve">Článek 7.12 </w:t>
      </w:r>
      <w:r w:rsidRPr="00864AE0">
        <w:rPr>
          <w:noProof/>
          <w:snapToGrid w:val="0"/>
        </w:rPr>
        <w:t>Zvedací kormidelny</w:t>
      </w:r>
      <w:r>
        <w:rPr>
          <w:noProof/>
        </w:rPr>
        <w:tab/>
      </w:r>
      <w:r>
        <w:rPr>
          <w:noProof/>
        </w:rPr>
        <w:fldChar w:fldCharType="begin"/>
      </w:r>
      <w:r>
        <w:rPr>
          <w:noProof/>
        </w:rPr>
        <w:instrText xml:space="preserve"> PAGEREF _Toc535416959 \h </w:instrText>
      </w:r>
      <w:r>
        <w:rPr>
          <w:noProof/>
        </w:rPr>
      </w:r>
      <w:r>
        <w:rPr>
          <w:noProof/>
        </w:rPr>
        <w:fldChar w:fldCharType="separate"/>
      </w:r>
      <w:r w:rsidR="00B25B1A">
        <w:rPr>
          <w:noProof/>
        </w:rPr>
        <w:t>67</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7.13 Záznam v osvědčení plavidla vnitrozemské plavby u lodí s kormidelnami uspořádanými k vedení plavidla pomocí radaru jednou osobou</w:t>
      </w:r>
      <w:r>
        <w:rPr>
          <w:noProof/>
        </w:rPr>
        <w:tab/>
      </w:r>
      <w:r>
        <w:rPr>
          <w:noProof/>
        </w:rPr>
        <w:fldChar w:fldCharType="begin"/>
      </w:r>
      <w:r>
        <w:rPr>
          <w:noProof/>
        </w:rPr>
        <w:instrText xml:space="preserve"> PAGEREF _Toc535416960 \h </w:instrText>
      </w:r>
      <w:r>
        <w:rPr>
          <w:noProof/>
        </w:rPr>
      </w:r>
      <w:r>
        <w:rPr>
          <w:noProof/>
        </w:rPr>
        <w:fldChar w:fldCharType="separate"/>
      </w:r>
      <w:r w:rsidR="00B25B1A">
        <w:rPr>
          <w:noProof/>
        </w:rPr>
        <w:t>69</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8 Konstrukce strojního zařízení</w:t>
      </w:r>
      <w:r>
        <w:rPr>
          <w:noProof/>
        </w:rPr>
        <w:tab/>
      </w:r>
      <w:r>
        <w:rPr>
          <w:noProof/>
        </w:rPr>
        <w:fldChar w:fldCharType="begin"/>
      </w:r>
      <w:r>
        <w:rPr>
          <w:noProof/>
        </w:rPr>
        <w:instrText xml:space="preserve"> PAGEREF _Toc535416961 \h </w:instrText>
      </w:r>
      <w:r>
        <w:rPr>
          <w:noProof/>
        </w:rPr>
      </w:r>
      <w:r>
        <w:rPr>
          <w:noProof/>
        </w:rPr>
        <w:fldChar w:fldCharType="separate"/>
      </w:r>
      <w:r w:rsidR="00B25B1A">
        <w:rPr>
          <w:noProof/>
        </w:rPr>
        <w:t>70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8.01 Obecně</w:t>
      </w:r>
      <w:r>
        <w:rPr>
          <w:noProof/>
        </w:rPr>
        <w:tab/>
      </w:r>
      <w:r>
        <w:rPr>
          <w:noProof/>
        </w:rPr>
        <w:fldChar w:fldCharType="begin"/>
      </w:r>
      <w:r>
        <w:rPr>
          <w:noProof/>
        </w:rPr>
        <w:instrText xml:space="preserve"> PAGEREF _Toc535416962 \h </w:instrText>
      </w:r>
      <w:r>
        <w:rPr>
          <w:noProof/>
        </w:rPr>
      </w:r>
      <w:r>
        <w:rPr>
          <w:noProof/>
        </w:rPr>
        <w:fldChar w:fldCharType="separate"/>
      </w:r>
      <w:r w:rsidR="00B25B1A">
        <w:rPr>
          <w:noProof/>
        </w:rPr>
        <w:t>70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8.02 Bezpečnostní vybavení</w:t>
      </w:r>
      <w:r>
        <w:rPr>
          <w:noProof/>
        </w:rPr>
        <w:tab/>
      </w:r>
      <w:r>
        <w:rPr>
          <w:noProof/>
        </w:rPr>
        <w:fldChar w:fldCharType="begin"/>
      </w:r>
      <w:r>
        <w:rPr>
          <w:noProof/>
        </w:rPr>
        <w:instrText xml:space="preserve"> PAGEREF _Toc535416963 \h </w:instrText>
      </w:r>
      <w:r>
        <w:rPr>
          <w:noProof/>
        </w:rPr>
      </w:r>
      <w:r>
        <w:rPr>
          <w:noProof/>
        </w:rPr>
        <w:fldChar w:fldCharType="separate"/>
      </w:r>
      <w:r w:rsidR="00B25B1A">
        <w:rPr>
          <w:noProof/>
        </w:rPr>
        <w:t>70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8.03 Pohonné systémy</w:t>
      </w:r>
      <w:r>
        <w:rPr>
          <w:noProof/>
        </w:rPr>
        <w:tab/>
      </w:r>
      <w:r>
        <w:rPr>
          <w:noProof/>
        </w:rPr>
        <w:fldChar w:fldCharType="begin"/>
      </w:r>
      <w:r>
        <w:rPr>
          <w:noProof/>
        </w:rPr>
        <w:instrText xml:space="preserve"> PAGEREF _Toc535416964 \h </w:instrText>
      </w:r>
      <w:r>
        <w:rPr>
          <w:noProof/>
        </w:rPr>
      </w:r>
      <w:r>
        <w:rPr>
          <w:noProof/>
        </w:rPr>
        <w:fldChar w:fldCharType="separate"/>
      </w:r>
      <w:r w:rsidR="00B25B1A">
        <w:rPr>
          <w:noProof/>
        </w:rPr>
        <w:t>72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8.04 Výfukový systém motoru</w:t>
      </w:r>
      <w:r>
        <w:rPr>
          <w:noProof/>
        </w:rPr>
        <w:tab/>
      </w:r>
      <w:r>
        <w:rPr>
          <w:noProof/>
        </w:rPr>
        <w:fldChar w:fldCharType="begin"/>
      </w:r>
      <w:r>
        <w:rPr>
          <w:noProof/>
        </w:rPr>
        <w:instrText xml:space="preserve"> PAGEREF _Toc535416965 \h </w:instrText>
      </w:r>
      <w:r>
        <w:rPr>
          <w:noProof/>
        </w:rPr>
      </w:r>
      <w:r>
        <w:rPr>
          <w:noProof/>
        </w:rPr>
        <w:fldChar w:fldCharType="separate"/>
      </w:r>
      <w:r w:rsidR="00B25B1A">
        <w:rPr>
          <w:noProof/>
        </w:rPr>
        <w:t>73</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8.05 Palivové nádrže, potrubí a příslušenství</w:t>
      </w:r>
      <w:r>
        <w:rPr>
          <w:noProof/>
        </w:rPr>
        <w:tab/>
      </w:r>
      <w:r>
        <w:rPr>
          <w:noProof/>
        </w:rPr>
        <w:fldChar w:fldCharType="begin"/>
      </w:r>
      <w:r>
        <w:rPr>
          <w:noProof/>
        </w:rPr>
        <w:instrText xml:space="preserve"> PAGEREF _Toc535416966 \h </w:instrText>
      </w:r>
      <w:r>
        <w:rPr>
          <w:noProof/>
        </w:rPr>
      </w:r>
      <w:r>
        <w:rPr>
          <w:noProof/>
        </w:rPr>
        <w:fldChar w:fldCharType="separate"/>
      </w:r>
      <w:r w:rsidR="00B25B1A">
        <w:rPr>
          <w:noProof/>
        </w:rPr>
        <w:t>74</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8.06 Skladování mazacího oleje, potrubí a příslušenství</w:t>
      </w:r>
      <w:r>
        <w:rPr>
          <w:noProof/>
        </w:rPr>
        <w:tab/>
      </w:r>
      <w:r>
        <w:rPr>
          <w:noProof/>
        </w:rPr>
        <w:fldChar w:fldCharType="begin"/>
      </w:r>
      <w:r>
        <w:rPr>
          <w:noProof/>
        </w:rPr>
        <w:instrText xml:space="preserve"> PAGEREF _Toc535416967 \h </w:instrText>
      </w:r>
      <w:r>
        <w:rPr>
          <w:noProof/>
        </w:rPr>
      </w:r>
      <w:r>
        <w:rPr>
          <w:noProof/>
        </w:rPr>
        <w:fldChar w:fldCharType="separate"/>
      </w:r>
      <w:r w:rsidR="00B25B1A">
        <w:rPr>
          <w:noProof/>
        </w:rPr>
        <w:t>76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8.07 Skladování olejů používaných v soustavách pro přenos energie a v ovládacích, pohonných a topných soustavách, potrubí a příslušenství</w:t>
      </w:r>
      <w:r>
        <w:rPr>
          <w:noProof/>
        </w:rPr>
        <w:tab/>
      </w:r>
      <w:r>
        <w:rPr>
          <w:noProof/>
        </w:rPr>
        <w:fldChar w:fldCharType="begin"/>
      </w:r>
      <w:r>
        <w:rPr>
          <w:noProof/>
        </w:rPr>
        <w:instrText xml:space="preserve"> PAGEREF _Toc535416968 \h </w:instrText>
      </w:r>
      <w:r>
        <w:rPr>
          <w:noProof/>
        </w:rPr>
      </w:r>
      <w:r>
        <w:rPr>
          <w:noProof/>
        </w:rPr>
        <w:fldChar w:fldCharType="separate"/>
      </w:r>
      <w:r w:rsidR="00B25B1A">
        <w:rPr>
          <w:noProof/>
        </w:rPr>
        <w:t>78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8.08 Odvodnění a drenážní soustavy</w:t>
      </w:r>
      <w:r>
        <w:rPr>
          <w:noProof/>
        </w:rPr>
        <w:tab/>
      </w:r>
      <w:r>
        <w:rPr>
          <w:noProof/>
        </w:rPr>
        <w:fldChar w:fldCharType="begin"/>
      </w:r>
      <w:r>
        <w:rPr>
          <w:noProof/>
        </w:rPr>
        <w:instrText xml:space="preserve"> PAGEREF _Toc535416969 \h </w:instrText>
      </w:r>
      <w:r>
        <w:rPr>
          <w:noProof/>
        </w:rPr>
      </w:r>
      <w:r>
        <w:rPr>
          <w:noProof/>
        </w:rPr>
        <w:fldChar w:fldCharType="separate"/>
      </w:r>
      <w:r w:rsidR="00B25B1A">
        <w:rPr>
          <w:noProof/>
        </w:rPr>
        <w:t>80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8.09 Uložení zaolejované vody a použitého oleje</w:t>
      </w:r>
      <w:r>
        <w:rPr>
          <w:noProof/>
        </w:rPr>
        <w:tab/>
      </w:r>
      <w:r>
        <w:rPr>
          <w:noProof/>
        </w:rPr>
        <w:fldChar w:fldCharType="begin"/>
      </w:r>
      <w:r>
        <w:rPr>
          <w:noProof/>
        </w:rPr>
        <w:instrText xml:space="preserve"> PAGEREF _Toc535416970 \h </w:instrText>
      </w:r>
      <w:r>
        <w:rPr>
          <w:noProof/>
        </w:rPr>
      </w:r>
      <w:r>
        <w:rPr>
          <w:noProof/>
        </w:rPr>
        <w:fldChar w:fldCharType="separate"/>
      </w:r>
      <w:r w:rsidR="00B25B1A">
        <w:rPr>
          <w:noProof/>
        </w:rPr>
        <w:t>83</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8.10 Hluk vydávaný lodí</w:t>
      </w:r>
      <w:r>
        <w:rPr>
          <w:noProof/>
        </w:rPr>
        <w:tab/>
      </w:r>
      <w:r>
        <w:rPr>
          <w:noProof/>
        </w:rPr>
        <w:fldChar w:fldCharType="begin"/>
      </w:r>
      <w:r>
        <w:rPr>
          <w:noProof/>
        </w:rPr>
        <w:instrText xml:space="preserve"> PAGEREF _Toc535416971 \h </w:instrText>
      </w:r>
      <w:r>
        <w:rPr>
          <w:noProof/>
        </w:rPr>
      </w:r>
      <w:r>
        <w:rPr>
          <w:noProof/>
        </w:rPr>
        <w:fldChar w:fldCharType="separate"/>
      </w:r>
      <w:r w:rsidR="00B25B1A">
        <w:rPr>
          <w:noProof/>
        </w:rPr>
        <w:t>84</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9 Emise plynných znečišťujících látek a znečišťujících částic ze spalovacích motorů</w:t>
      </w:r>
      <w:r>
        <w:rPr>
          <w:noProof/>
        </w:rPr>
        <w:tab/>
      </w:r>
      <w:r>
        <w:rPr>
          <w:noProof/>
        </w:rPr>
        <w:fldChar w:fldCharType="begin"/>
      </w:r>
      <w:r>
        <w:rPr>
          <w:noProof/>
        </w:rPr>
        <w:instrText xml:space="preserve"> PAGEREF _Toc535416972 \h </w:instrText>
      </w:r>
      <w:r>
        <w:rPr>
          <w:noProof/>
        </w:rPr>
      </w:r>
      <w:r>
        <w:rPr>
          <w:noProof/>
        </w:rPr>
        <w:fldChar w:fldCharType="separate"/>
      </w:r>
      <w:r w:rsidR="00B25B1A">
        <w:rPr>
          <w:noProof/>
        </w:rPr>
        <w:t>85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9.00 Definice</w:t>
      </w:r>
      <w:r>
        <w:rPr>
          <w:noProof/>
        </w:rPr>
        <w:tab/>
      </w:r>
      <w:r>
        <w:rPr>
          <w:noProof/>
        </w:rPr>
        <w:fldChar w:fldCharType="begin"/>
      </w:r>
      <w:r>
        <w:rPr>
          <w:noProof/>
        </w:rPr>
        <w:instrText xml:space="preserve"> PAGEREF _Toc535416973 \h </w:instrText>
      </w:r>
      <w:r>
        <w:rPr>
          <w:noProof/>
        </w:rPr>
      </w:r>
      <w:r>
        <w:rPr>
          <w:noProof/>
        </w:rPr>
        <w:fldChar w:fldCharType="separate"/>
      </w:r>
      <w:r w:rsidR="00B25B1A">
        <w:rPr>
          <w:noProof/>
        </w:rPr>
        <w:t>85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9.01 Obecná ustanovení</w:t>
      </w:r>
      <w:r>
        <w:rPr>
          <w:noProof/>
        </w:rPr>
        <w:tab/>
      </w:r>
      <w:r>
        <w:rPr>
          <w:noProof/>
        </w:rPr>
        <w:fldChar w:fldCharType="begin"/>
      </w:r>
      <w:r>
        <w:rPr>
          <w:noProof/>
        </w:rPr>
        <w:instrText xml:space="preserve"> PAGEREF _Toc535416974 \h </w:instrText>
      </w:r>
      <w:r>
        <w:rPr>
          <w:noProof/>
        </w:rPr>
      </w:r>
      <w:r>
        <w:rPr>
          <w:noProof/>
        </w:rPr>
        <w:fldChar w:fldCharType="separate"/>
      </w:r>
      <w:r w:rsidR="00B25B1A">
        <w:rPr>
          <w:noProof/>
        </w:rPr>
        <w:t>86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9.02 Záznam v osvědčení plavidla vnitrozemské plavby</w:t>
      </w:r>
      <w:r>
        <w:rPr>
          <w:noProof/>
        </w:rPr>
        <w:tab/>
      </w:r>
      <w:r>
        <w:rPr>
          <w:noProof/>
        </w:rPr>
        <w:fldChar w:fldCharType="begin"/>
      </w:r>
      <w:r>
        <w:rPr>
          <w:noProof/>
        </w:rPr>
        <w:instrText xml:space="preserve"> PAGEREF _Toc535416975 \h </w:instrText>
      </w:r>
      <w:r>
        <w:rPr>
          <w:noProof/>
        </w:rPr>
      </w:r>
      <w:r>
        <w:rPr>
          <w:noProof/>
        </w:rPr>
        <w:fldChar w:fldCharType="separate"/>
      </w:r>
      <w:r w:rsidR="00B25B1A">
        <w:rPr>
          <w:noProof/>
        </w:rPr>
        <w:t>87</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9.03 Ustanovení týkající se instalace spalovacích motorů</w:t>
      </w:r>
      <w:r>
        <w:rPr>
          <w:noProof/>
        </w:rPr>
        <w:tab/>
      </w:r>
      <w:r>
        <w:rPr>
          <w:noProof/>
        </w:rPr>
        <w:fldChar w:fldCharType="begin"/>
      </w:r>
      <w:r>
        <w:rPr>
          <w:noProof/>
        </w:rPr>
        <w:instrText xml:space="preserve"> PAGEREF _Toc535416976 \h </w:instrText>
      </w:r>
      <w:r>
        <w:rPr>
          <w:noProof/>
        </w:rPr>
      </w:r>
      <w:r>
        <w:rPr>
          <w:noProof/>
        </w:rPr>
        <w:fldChar w:fldCharType="separate"/>
      </w:r>
      <w:r w:rsidR="00B25B1A">
        <w:rPr>
          <w:noProof/>
        </w:rPr>
        <w:t>87</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9.04 Pokyny výrobce motoru</w:t>
      </w:r>
      <w:r>
        <w:rPr>
          <w:noProof/>
        </w:rPr>
        <w:tab/>
      </w:r>
      <w:r>
        <w:rPr>
          <w:noProof/>
        </w:rPr>
        <w:fldChar w:fldCharType="begin"/>
      </w:r>
      <w:r>
        <w:rPr>
          <w:noProof/>
        </w:rPr>
        <w:instrText xml:space="preserve"> PAGEREF _Toc535416977 \h </w:instrText>
      </w:r>
      <w:r>
        <w:rPr>
          <w:noProof/>
        </w:rPr>
      </w:r>
      <w:r>
        <w:rPr>
          <w:noProof/>
        </w:rPr>
        <w:fldChar w:fldCharType="separate"/>
      </w:r>
      <w:r w:rsidR="00B25B1A">
        <w:rPr>
          <w:noProof/>
        </w:rPr>
        <w:t>88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9.05 Zkoušky spalovacích motorů</w:t>
      </w:r>
      <w:r>
        <w:rPr>
          <w:noProof/>
        </w:rPr>
        <w:tab/>
      </w:r>
      <w:r>
        <w:rPr>
          <w:noProof/>
        </w:rPr>
        <w:fldChar w:fldCharType="begin"/>
      </w:r>
      <w:r>
        <w:rPr>
          <w:noProof/>
        </w:rPr>
        <w:instrText xml:space="preserve"> PAGEREF _Toc535416978 \h </w:instrText>
      </w:r>
      <w:r>
        <w:rPr>
          <w:noProof/>
        </w:rPr>
      </w:r>
      <w:r>
        <w:rPr>
          <w:noProof/>
        </w:rPr>
        <w:fldChar w:fldCharType="separate"/>
      </w:r>
      <w:r w:rsidR="00B25B1A">
        <w:rPr>
          <w:noProof/>
        </w:rPr>
        <w:t>89</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9.06 Montážní zkoušky</w:t>
      </w:r>
      <w:r>
        <w:rPr>
          <w:noProof/>
        </w:rPr>
        <w:tab/>
      </w:r>
      <w:r>
        <w:rPr>
          <w:noProof/>
        </w:rPr>
        <w:fldChar w:fldCharType="begin"/>
      </w:r>
      <w:r>
        <w:rPr>
          <w:noProof/>
        </w:rPr>
        <w:instrText xml:space="preserve"> PAGEREF _Toc535416979 \h </w:instrText>
      </w:r>
      <w:r>
        <w:rPr>
          <w:noProof/>
        </w:rPr>
      </w:r>
      <w:r>
        <w:rPr>
          <w:noProof/>
        </w:rPr>
        <w:fldChar w:fldCharType="separate"/>
      </w:r>
      <w:r w:rsidR="00B25B1A">
        <w:rPr>
          <w:noProof/>
        </w:rPr>
        <w:t>89</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9.07 Provozní zkoušky</w:t>
      </w:r>
      <w:r>
        <w:rPr>
          <w:noProof/>
        </w:rPr>
        <w:tab/>
      </w:r>
      <w:r>
        <w:rPr>
          <w:noProof/>
        </w:rPr>
        <w:fldChar w:fldCharType="begin"/>
      </w:r>
      <w:r>
        <w:rPr>
          <w:noProof/>
        </w:rPr>
        <w:instrText xml:space="preserve"> PAGEREF _Toc535416980 \h </w:instrText>
      </w:r>
      <w:r>
        <w:rPr>
          <w:noProof/>
        </w:rPr>
      </w:r>
      <w:r>
        <w:rPr>
          <w:noProof/>
        </w:rPr>
        <w:fldChar w:fldCharType="separate"/>
      </w:r>
      <w:r w:rsidR="00B25B1A">
        <w:rPr>
          <w:noProof/>
        </w:rPr>
        <w:t>91</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9.08 Zvláštní zkoušky</w:t>
      </w:r>
      <w:r>
        <w:rPr>
          <w:noProof/>
        </w:rPr>
        <w:tab/>
      </w:r>
      <w:r>
        <w:rPr>
          <w:noProof/>
        </w:rPr>
        <w:fldChar w:fldCharType="begin"/>
      </w:r>
      <w:r>
        <w:rPr>
          <w:noProof/>
        </w:rPr>
        <w:instrText xml:space="preserve"> PAGEREF _Toc535416981 \h </w:instrText>
      </w:r>
      <w:r>
        <w:rPr>
          <w:noProof/>
        </w:rPr>
      </w:r>
      <w:r>
        <w:rPr>
          <w:noProof/>
        </w:rPr>
        <w:fldChar w:fldCharType="separate"/>
      </w:r>
      <w:r w:rsidR="00B25B1A">
        <w:rPr>
          <w:noProof/>
        </w:rPr>
        <w:t>91</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9.09 Zvláštní požadavky týkající se systémů následného zpracování výfukových plynů</w:t>
      </w:r>
      <w:r>
        <w:rPr>
          <w:noProof/>
        </w:rPr>
        <w:tab/>
      </w:r>
      <w:r>
        <w:rPr>
          <w:noProof/>
        </w:rPr>
        <w:fldChar w:fldCharType="begin"/>
      </w:r>
      <w:r>
        <w:rPr>
          <w:noProof/>
        </w:rPr>
        <w:instrText xml:space="preserve"> PAGEREF _Toc535416982 \h </w:instrText>
      </w:r>
      <w:r>
        <w:rPr>
          <w:noProof/>
        </w:rPr>
      </w:r>
      <w:r>
        <w:rPr>
          <w:noProof/>
        </w:rPr>
        <w:fldChar w:fldCharType="separate"/>
      </w:r>
      <w:r w:rsidR="00B25B1A">
        <w:rPr>
          <w:noProof/>
        </w:rPr>
        <w:t>91</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10 Elektrická zařízení a instalace</w:t>
      </w:r>
      <w:r>
        <w:rPr>
          <w:noProof/>
        </w:rPr>
        <w:tab/>
      </w:r>
      <w:r>
        <w:rPr>
          <w:noProof/>
        </w:rPr>
        <w:fldChar w:fldCharType="begin"/>
      </w:r>
      <w:r>
        <w:rPr>
          <w:noProof/>
        </w:rPr>
        <w:instrText xml:space="preserve"> PAGEREF _Toc535416983 \h </w:instrText>
      </w:r>
      <w:r>
        <w:rPr>
          <w:noProof/>
        </w:rPr>
      </w:r>
      <w:r>
        <w:rPr>
          <w:noProof/>
        </w:rPr>
        <w:fldChar w:fldCharType="separate"/>
      </w:r>
      <w:r w:rsidR="00B25B1A">
        <w:rPr>
          <w:noProof/>
        </w:rPr>
        <w:t>95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10.01 Obecně</w:t>
      </w:r>
      <w:r>
        <w:rPr>
          <w:noProof/>
        </w:rPr>
        <w:tab/>
      </w:r>
      <w:r>
        <w:rPr>
          <w:noProof/>
        </w:rPr>
        <w:fldChar w:fldCharType="begin"/>
      </w:r>
      <w:r>
        <w:rPr>
          <w:noProof/>
        </w:rPr>
        <w:instrText xml:space="preserve"> PAGEREF _Toc535416984 \h </w:instrText>
      </w:r>
      <w:r>
        <w:rPr>
          <w:noProof/>
        </w:rPr>
      </w:r>
      <w:r>
        <w:rPr>
          <w:noProof/>
        </w:rPr>
        <w:fldChar w:fldCharType="separate"/>
      </w:r>
      <w:r w:rsidR="00B25B1A">
        <w:rPr>
          <w:noProof/>
        </w:rPr>
        <w:t>95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10.02 Systémy napájení elektrickou energií</w:t>
      </w:r>
      <w:r>
        <w:rPr>
          <w:noProof/>
        </w:rPr>
        <w:tab/>
      </w:r>
      <w:r>
        <w:rPr>
          <w:noProof/>
        </w:rPr>
        <w:fldChar w:fldCharType="begin"/>
      </w:r>
      <w:r>
        <w:rPr>
          <w:noProof/>
        </w:rPr>
        <w:instrText xml:space="preserve"> PAGEREF _Toc535416985 \h </w:instrText>
      </w:r>
      <w:r>
        <w:rPr>
          <w:noProof/>
        </w:rPr>
      </w:r>
      <w:r>
        <w:rPr>
          <w:noProof/>
        </w:rPr>
        <w:fldChar w:fldCharType="separate"/>
      </w:r>
      <w:r w:rsidR="00B25B1A">
        <w:rPr>
          <w:noProof/>
        </w:rPr>
        <w:t>96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10.03 Ochrana před přístupem k nebezpečným částem, před proniknutím cizích pevných předmětů, před proniknutím vody</w:t>
      </w:r>
      <w:r>
        <w:rPr>
          <w:noProof/>
        </w:rPr>
        <w:tab/>
      </w:r>
      <w:r>
        <w:rPr>
          <w:noProof/>
        </w:rPr>
        <w:fldChar w:fldCharType="begin"/>
      </w:r>
      <w:r>
        <w:rPr>
          <w:noProof/>
        </w:rPr>
        <w:instrText xml:space="preserve"> PAGEREF _Toc535416986 \h </w:instrText>
      </w:r>
      <w:r>
        <w:rPr>
          <w:noProof/>
        </w:rPr>
      </w:r>
      <w:r>
        <w:rPr>
          <w:noProof/>
        </w:rPr>
        <w:fldChar w:fldCharType="separate"/>
      </w:r>
      <w:r w:rsidR="00B25B1A">
        <w:rPr>
          <w:noProof/>
        </w:rPr>
        <w:t>97</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10.04 Ochrana před výbuchem</w:t>
      </w:r>
      <w:r>
        <w:rPr>
          <w:noProof/>
        </w:rPr>
        <w:tab/>
      </w:r>
      <w:r>
        <w:rPr>
          <w:noProof/>
        </w:rPr>
        <w:fldChar w:fldCharType="begin"/>
      </w:r>
      <w:r>
        <w:rPr>
          <w:noProof/>
        </w:rPr>
        <w:instrText xml:space="preserve"> PAGEREF _Toc535416987 \h </w:instrText>
      </w:r>
      <w:r>
        <w:rPr>
          <w:noProof/>
        </w:rPr>
      </w:r>
      <w:r>
        <w:rPr>
          <w:noProof/>
        </w:rPr>
        <w:fldChar w:fldCharType="separate"/>
      </w:r>
      <w:r w:rsidR="00B25B1A">
        <w:rPr>
          <w:noProof/>
        </w:rPr>
        <w:t>97</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10.05 Uzemnění</w:t>
      </w:r>
      <w:r>
        <w:rPr>
          <w:noProof/>
        </w:rPr>
        <w:tab/>
      </w:r>
      <w:r>
        <w:rPr>
          <w:noProof/>
        </w:rPr>
        <w:fldChar w:fldCharType="begin"/>
      </w:r>
      <w:r>
        <w:rPr>
          <w:noProof/>
        </w:rPr>
        <w:instrText xml:space="preserve"> PAGEREF _Toc535416988 \h </w:instrText>
      </w:r>
      <w:r>
        <w:rPr>
          <w:noProof/>
        </w:rPr>
      </w:r>
      <w:r>
        <w:rPr>
          <w:noProof/>
        </w:rPr>
        <w:fldChar w:fldCharType="separate"/>
      </w:r>
      <w:r w:rsidR="00B25B1A">
        <w:rPr>
          <w:noProof/>
        </w:rPr>
        <w:t>99</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10.06 Nejvyšší přípustná napětí</w:t>
      </w:r>
      <w:r>
        <w:rPr>
          <w:noProof/>
        </w:rPr>
        <w:tab/>
      </w:r>
      <w:r>
        <w:rPr>
          <w:noProof/>
        </w:rPr>
        <w:fldChar w:fldCharType="begin"/>
      </w:r>
      <w:r>
        <w:rPr>
          <w:noProof/>
        </w:rPr>
        <w:instrText xml:space="preserve"> PAGEREF _Toc535416989 \h </w:instrText>
      </w:r>
      <w:r>
        <w:rPr>
          <w:noProof/>
        </w:rPr>
      </w:r>
      <w:r>
        <w:rPr>
          <w:noProof/>
        </w:rPr>
        <w:fldChar w:fldCharType="separate"/>
      </w:r>
      <w:r w:rsidR="00B25B1A">
        <w:rPr>
          <w:noProof/>
        </w:rPr>
        <w:t>102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10.07 Rozvodné systémy</w:t>
      </w:r>
      <w:r>
        <w:rPr>
          <w:noProof/>
        </w:rPr>
        <w:tab/>
      </w:r>
      <w:r>
        <w:rPr>
          <w:noProof/>
        </w:rPr>
        <w:fldChar w:fldCharType="begin"/>
      </w:r>
      <w:r>
        <w:rPr>
          <w:noProof/>
        </w:rPr>
        <w:instrText xml:space="preserve"> PAGEREF _Toc535416990 \h </w:instrText>
      </w:r>
      <w:r>
        <w:rPr>
          <w:noProof/>
        </w:rPr>
      </w:r>
      <w:r>
        <w:rPr>
          <w:noProof/>
        </w:rPr>
        <w:fldChar w:fldCharType="separate"/>
      </w:r>
      <w:r w:rsidR="00B25B1A">
        <w:rPr>
          <w:noProof/>
        </w:rPr>
        <w:t>103</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10.08 Břehové přípojky nebo jiné vnější sítě</w:t>
      </w:r>
      <w:r>
        <w:rPr>
          <w:noProof/>
        </w:rPr>
        <w:tab/>
      </w:r>
      <w:r>
        <w:rPr>
          <w:noProof/>
        </w:rPr>
        <w:fldChar w:fldCharType="begin"/>
      </w:r>
      <w:r>
        <w:rPr>
          <w:noProof/>
        </w:rPr>
        <w:instrText xml:space="preserve"> PAGEREF _Toc535416991 \h </w:instrText>
      </w:r>
      <w:r>
        <w:rPr>
          <w:noProof/>
        </w:rPr>
      </w:r>
      <w:r>
        <w:rPr>
          <w:noProof/>
        </w:rPr>
        <w:fldChar w:fldCharType="separate"/>
      </w:r>
      <w:r w:rsidR="00B25B1A">
        <w:rPr>
          <w:noProof/>
        </w:rPr>
        <w:t>103</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10.09 Napájení jiného plavidla</w:t>
      </w:r>
      <w:r>
        <w:rPr>
          <w:noProof/>
        </w:rPr>
        <w:tab/>
      </w:r>
      <w:r>
        <w:rPr>
          <w:noProof/>
        </w:rPr>
        <w:fldChar w:fldCharType="begin"/>
      </w:r>
      <w:r>
        <w:rPr>
          <w:noProof/>
        </w:rPr>
        <w:instrText xml:space="preserve"> PAGEREF _Toc535416992 \h </w:instrText>
      </w:r>
      <w:r>
        <w:rPr>
          <w:noProof/>
        </w:rPr>
      </w:r>
      <w:r>
        <w:rPr>
          <w:noProof/>
        </w:rPr>
        <w:fldChar w:fldCharType="separate"/>
      </w:r>
      <w:r w:rsidR="00B25B1A">
        <w:rPr>
          <w:noProof/>
        </w:rPr>
        <w:t>105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10.10 Generátory, motory a transformátory</w:t>
      </w:r>
      <w:r>
        <w:rPr>
          <w:noProof/>
        </w:rPr>
        <w:tab/>
      </w:r>
      <w:r>
        <w:rPr>
          <w:noProof/>
        </w:rPr>
        <w:fldChar w:fldCharType="begin"/>
      </w:r>
      <w:r>
        <w:rPr>
          <w:noProof/>
        </w:rPr>
        <w:instrText xml:space="preserve"> PAGEREF _Toc535416993 \h </w:instrText>
      </w:r>
      <w:r>
        <w:rPr>
          <w:noProof/>
        </w:rPr>
      </w:r>
      <w:r>
        <w:rPr>
          <w:noProof/>
        </w:rPr>
        <w:fldChar w:fldCharType="separate"/>
      </w:r>
      <w:r w:rsidR="00B25B1A">
        <w:rPr>
          <w:noProof/>
        </w:rPr>
        <w:t>105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10.11 Baterie, akumulátory a jejich nabíjecí zařízení</w:t>
      </w:r>
      <w:r>
        <w:rPr>
          <w:noProof/>
        </w:rPr>
        <w:tab/>
      </w:r>
      <w:r>
        <w:rPr>
          <w:noProof/>
        </w:rPr>
        <w:fldChar w:fldCharType="begin"/>
      </w:r>
      <w:r>
        <w:rPr>
          <w:noProof/>
        </w:rPr>
        <w:instrText xml:space="preserve"> PAGEREF _Toc535416994 \h </w:instrText>
      </w:r>
      <w:r>
        <w:rPr>
          <w:noProof/>
        </w:rPr>
      </w:r>
      <w:r>
        <w:rPr>
          <w:noProof/>
        </w:rPr>
        <w:fldChar w:fldCharType="separate"/>
      </w:r>
      <w:r w:rsidR="00B25B1A">
        <w:rPr>
          <w:noProof/>
        </w:rPr>
        <w:t>107</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10.12 Spínací a ovládací zařízení</w:t>
      </w:r>
      <w:r>
        <w:rPr>
          <w:noProof/>
        </w:rPr>
        <w:tab/>
      </w:r>
      <w:r>
        <w:rPr>
          <w:noProof/>
        </w:rPr>
        <w:fldChar w:fldCharType="begin"/>
      </w:r>
      <w:r>
        <w:rPr>
          <w:noProof/>
        </w:rPr>
        <w:instrText xml:space="preserve"> PAGEREF _Toc535416995 \h </w:instrText>
      </w:r>
      <w:r>
        <w:rPr>
          <w:noProof/>
        </w:rPr>
      </w:r>
      <w:r>
        <w:rPr>
          <w:noProof/>
        </w:rPr>
        <w:fldChar w:fldCharType="separate"/>
      </w:r>
      <w:r w:rsidR="00B25B1A">
        <w:rPr>
          <w:noProof/>
        </w:rPr>
        <w:t>111</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10.13 Nouzové jističe</w:t>
      </w:r>
      <w:r>
        <w:rPr>
          <w:noProof/>
        </w:rPr>
        <w:tab/>
      </w:r>
      <w:r>
        <w:rPr>
          <w:noProof/>
        </w:rPr>
        <w:fldChar w:fldCharType="begin"/>
      </w:r>
      <w:r>
        <w:rPr>
          <w:noProof/>
        </w:rPr>
        <w:instrText xml:space="preserve"> PAGEREF _Toc535416996 \h </w:instrText>
      </w:r>
      <w:r>
        <w:rPr>
          <w:noProof/>
        </w:rPr>
      </w:r>
      <w:r>
        <w:rPr>
          <w:noProof/>
        </w:rPr>
        <w:fldChar w:fldCharType="separate"/>
      </w:r>
      <w:r w:rsidR="00B25B1A">
        <w:rPr>
          <w:noProof/>
        </w:rPr>
        <w:t>113</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10.14 Montážní příslušenství</w:t>
      </w:r>
      <w:r>
        <w:rPr>
          <w:noProof/>
        </w:rPr>
        <w:tab/>
      </w:r>
      <w:r>
        <w:rPr>
          <w:noProof/>
        </w:rPr>
        <w:fldChar w:fldCharType="begin"/>
      </w:r>
      <w:r>
        <w:rPr>
          <w:noProof/>
        </w:rPr>
        <w:instrText xml:space="preserve"> PAGEREF _Toc535416997 \h </w:instrText>
      </w:r>
      <w:r>
        <w:rPr>
          <w:noProof/>
        </w:rPr>
      </w:r>
      <w:r>
        <w:rPr>
          <w:noProof/>
        </w:rPr>
        <w:fldChar w:fldCharType="separate"/>
      </w:r>
      <w:r w:rsidR="00B25B1A">
        <w:rPr>
          <w:noProof/>
        </w:rPr>
        <w:t>113</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10.15 Kabely, izolované kabely a kabelové systémy</w:t>
      </w:r>
      <w:r>
        <w:rPr>
          <w:noProof/>
        </w:rPr>
        <w:tab/>
      </w:r>
      <w:r>
        <w:rPr>
          <w:noProof/>
        </w:rPr>
        <w:fldChar w:fldCharType="begin"/>
      </w:r>
      <w:r>
        <w:rPr>
          <w:noProof/>
        </w:rPr>
        <w:instrText xml:space="preserve"> PAGEREF _Toc535416998 \h </w:instrText>
      </w:r>
      <w:r>
        <w:rPr>
          <w:noProof/>
        </w:rPr>
      </w:r>
      <w:r>
        <w:rPr>
          <w:noProof/>
        </w:rPr>
        <w:fldChar w:fldCharType="separate"/>
      </w:r>
      <w:r w:rsidR="00B25B1A">
        <w:rPr>
          <w:noProof/>
        </w:rPr>
        <w:t>115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10.16 Osvětlovací zařízení</w:t>
      </w:r>
      <w:r>
        <w:rPr>
          <w:noProof/>
        </w:rPr>
        <w:tab/>
      </w:r>
      <w:r>
        <w:rPr>
          <w:noProof/>
        </w:rPr>
        <w:fldChar w:fldCharType="begin"/>
      </w:r>
      <w:r>
        <w:rPr>
          <w:noProof/>
        </w:rPr>
        <w:instrText xml:space="preserve"> PAGEREF _Toc535416999 \h </w:instrText>
      </w:r>
      <w:r>
        <w:rPr>
          <w:noProof/>
        </w:rPr>
      </w:r>
      <w:r>
        <w:rPr>
          <w:noProof/>
        </w:rPr>
        <w:fldChar w:fldCharType="separate"/>
      </w:r>
      <w:r w:rsidR="00B25B1A">
        <w:rPr>
          <w:noProof/>
        </w:rPr>
        <w:t>117</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10.17 Navigační světla</w:t>
      </w:r>
      <w:r>
        <w:rPr>
          <w:noProof/>
        </w:rPr>
        <w:tab/>
      </w:r>
      <w:r>
        <w:rPr>
          <w:noProof/>
        </w:rPr>
        <w:fldChar w:fldCharType="begin"/>
      </w:r>
      <w:r>
        <w:rPr>
          <w:noProof/>
        </w:rPr>
        <w:instrText xml:space="preserve"> PAGEREF _Toc535417000 \h </w:instrText>
      </w:r>
      <w:r>
        <w:rPr>
          <w:noProof/>
        </w:rPr>
      </w:r>
      <w:r>
        <w:rPr>
          <w:noProof/>
        </w:rPr>
        <w:fldChar w:fldCharType="separate"/>
      </w:r>
      <w:r w:rsidR="00B25B1A">
        <w:rPr>
          <w:noProof/>
        </w:rPr>
        <w:t>118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10.18 Výkonová elektronika</w:t>
      </w:r>
      <w:r>
        <w:rPr>
          <w:noProof/>
        </w:rPr>
        <w:tab/>
      </w:r>
      <w:r>
        <w:rPr>
          <w:noProof/>
        </w:rPr>
        <w:fldChar w:fldCharType="begin"/>
      </w:r>
      <w:r>
        <w:rPr>
          <w:noProof/>
        </w:rPr>
        <w:instrText xml:space="preserve"> PAGEREF _Toc535417001 \h </w:instrText>
      </w:r>
      <w:r>
        <w:rPr>
          <w:noProof/>
        </w:rPr>
      </w:r>
      <w:r>
        <w:rPr>
          <w:noProof/>
        </w:rPr>
        <w:fldChar w:fldCharType="separate"/>
      </w:r>
      <w:r w:rsidR="00B25B1A">
        <w:rPr>
          <w:noProof/>
        </w:rPr>
        <w:t>119</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10.19 Poplašné a bezpečnostní systémy pro mechanická zařízení</w:t>
      </w:r>
      <w:r>
        <w:rPr>
          <w:noProof/>
        </w:rPr>
        <w:tab/>
      </w:r>
      <w:r>
        <w:rPr>
          <w:noProof/>
        </w:rPr>
        <w:fldChar w:fldCharType="begin"/>
      </w:r>
      <w:r>
        <w:rPr>
          <w:noProof/>
        </w:rPr>
        <w:instrText xml:space="preserve"> PAGEREF _Toc535417002 \h </w:instrText>
      </w:r>
      <w:r>
        <w:rPr>
          <w:noProof/>
        </w:rPr>
      </w:r>
      <w:r>
        <w:rPr>
          <w:noProof/>
        </w:rPr>
        <w:fldChar w:fldCharType="separate"/>
      </w:r>
      <w:r w:rsidR="00B25B1A">
        <w:rPr>
          <w:noProof/>
        </w:rPr>
        <w:t>121</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10.20 Zkušební podmínky pro elektronická zařízení</w:t>
      </w:r>
      <w:r>
        <w:rPr>
          <w:noProof/>
        </w:rPr>
        <w:tab/>
      </w:r>
      <w:r>
        <w:rPr>
          <w:noProof/>
        </w:rPr>
        <w:fldChar w:fldCharType="begin"/>
      </w:r>
      <w:r>
        <w:rPr>
          <w:noProof/>
        </w:rPr>
        <w:instrText xml:space="preserve"> PAGEREF _Toc535417003 \h </w:instrText>
      </w:r>
      <w:r>
        <w:rPr>
          <w:noProof/>
        </w:rPr>
      </w:r>
      <w:r>
        <w:rPr>
          <w:noProof/>
        </w:rPr>
        <w:fldChar w:fldCharType="separate"/>
      </w:r>
      <w:r w:rsidR="00B25B1A">
        <w:rPr>
          <w:noProof/>
        </w:rPr>
        <w:t>122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10.21 Elektromagnetická kompatibilita</w:t>
      </w:r>
      <w:r>
        <w:rPr>
          <w:noProof/>
        </w:rPr>
        <w:tab/>
      </w:r>
      <w:r>
        <w:rPr>
          <w:noProof/>
        </w:rPr>
        <w:fldChar w:fldCharType="begin"/>
      </w:r>
      <w:r>
        <w:rPr>
          <w:noProof/>
        </w:rPr>
        <w:instrText xml:space="preserve"> PAGEREF _Toc535417004 \h </w:instrText>
      </w:r>
      <w:r>
        <w:rPr>
          <w:noProof/>
        </w:rPr>
      </w:r>
      <w:r>
        <w:rPr>
          <w:noProof/>
        </w:rPr>
        <w:fldChar w:fldCharType="separate"/>
      </w:r>
      <w:r w:rsidR="00B25B1A">
        <w:rPr>
          <w:noProof/>
        </w:rPr>
        <w:t>125</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11 Elektrické pohonné systémy</w:t>
      </w:r>
      <w:r>
        <w:rPr>
          <w:noProof/>
        </w:rPr>
        <w:tab/>
      </w:r>
      <w:r>
        <w:rPr>
          <w:noProof/>
        </w:rPr>
        <w:fldChar w:fldCharType="begin"/>
      </w:r>
      <w:r>
        <w:rPr>
          <w:noProof/>
        </w:rPr>
        <w:instrText xml:space="preserve"> PAGEREF _Toc535417005 \h </w:instrText>
      </w:r>
      <w:r>
        <w:rPr>
          <w:noProof/>
        </w:rPr>
      </w:r>
      <w:r>
        <w:rPr>
          <w:noProof/>
        </w:rPr>
        <w:fldChar w:fldCharType="separate"/>
      </w:r>
      <w:r w:rsidR="00B25B1A">
        <w:rPr>
          <w:noProof/>
        </w:rPr>
        <w:t>127</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12 Elektronická zařízení a systémy</w:t>
      </w:r>
      <w:r>
        <w:rPr>
          <w:noProof/>
        </w:rPr>
        <w:tab/>
      </w:r>
      <w:r>
        <w:rPr>
          <w:noProof/>
        </w:rPr>
        <w:fldChar w:fldCharType="begin"/>
      </w:r>
      <w:r>
        <w:rPr>
          <w:noProof/>
        </w:rPr>
        <w:instrText xml:space="preserve"> PAGEREF _Toc535417006 \h </w:instrText>
      </w:r>
      <w:r>
        <w:rPr>
          <w:noProof/>
        </w:rPr>
      </w:r>
      <w:r>
        <w:rPr>
          <w:noProof/>
        </w:rPr>
        <w:fldChar w:fldCharType="separate"/>
      </w:r>
      <w:r w:rsidR="00B25B1A">
        <w:rPr>
          <w:noProof/>
        </w:rPr>
        <w:t>129</w:t>
      </w:r>
      <w:r>
        <w:rPr>
          <w:noProof/>
        </w:rPr>
        <w:fldChar w:fldCharType="end"/>
      </w:r>
    </w:p>
    <w:p w:rsidR="00B25B1A" w:rsidRDefault="00B25B1A">
      <w:pPr>
        <w:spacing w:after="0" w:line="240" w:lineRule="auto"/>
        <w:rPr>
          <w:rFonts w:ascii="Arial" w:eastAsia="Times New Roman" w:hAnsi="Arial" w:cs="Times New Roman"/>
          <w:smallCaps/>
          <w:noProof/>
          <w:sz w:val="20"/>
          <w:szCs w:val="20"/>
          <w:lang w:val="cs-CZ" w:eastAsia="cs-CZ" w:bidi="cs-CZ"/>
        </w:rPr>
      </w:pPr>
      <w:r>
        <w:rPr>
          <w:noProof/>
        </w:rPr>
        <w:br w:type="page"/>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13 Výstroj</w:t>
      </w:r>
      <w:r>
        <w:rPr>
          <w:noProof/>
        </w:rPr>
        <w:tab/>
      </w:r>
      <w:r>
        <w:rPr>
          <w:noProof/>
        </w:rPr>
        <w:fldChar w:fldCharType="begin"/>
      </w:r>
      <w:r>
        <w:rPr>
          <w:noProof/>
        </w:rPr>
        <w:instrText xml:space="preserve"> PAGEREF _Toc535417007 \h </w:instrText>
      </w:r>
      <w:r>
        <w:rPr>
          <w:noProof/>
        </w:rPr>
      </w:r>
      <w:r>
        <w:rPr>
          <w:noProof/>
        </w:rPr>
        <w:fldChar w:fldCharType="separate"/>
      </w:r>
      <w:r w:rsidR="00B25B1A">
        <w:rPr>
          <w:noProof/>
        </w:rPr>
        <w:t>131</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13.01 Kotevní zařízení</w:t>
      </w:r>
      <w:r>
        <w:rPr>
          <w:noProof/>
        </w:rPr>
        <w:tab/>
      </w:r>
      <w:r>
        <w:rPr>
          <w:noProof/>
        </w:rPr>
        <w:fldChar w:fldCharType="begin"/>
      </w:r>
      <w:r>
        <w:rPr>
          <w:noProof/>
        </w:rPr>
        <w:instrText xml:space="preserve"> PAGEREF _Toc535417008 \h </w:instrText>
      </w:r>
      <w:r>
        <w:rPr>
          <w:noProof/>
        </w:rPr>
      </w:r>
      <w:r>
        <w:rPr>
          <w:noProof/>
        </w:rPr>
        <w:fldChar w:fldCharType="separate"/>
      </w:r>
      <w:r w:rsidR="00B25B1A">
        <w:rPr>
          <w:noProof/>
        </w:rPr>
        <w:t>131</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13.02 Jiné vybavení</w:t>
      </w:r>
      <w:r>
        <w:rPr>
          <w:noProof/>
        </w:rPr>
        <w:tab/>
      </w:r>
      <w:r>
        <w:rPr>
          <w:noProof/>
        </w:rPr>
        <w:fldChar w:fldCharType="begin"/>
      </w:r>
      <w:r>
        <w:rPr>
          <w:noProof/>
        </w:rPr>
        <w:instrText xml:space="preserve"> PAGEREF _Toc535417009 \h </w:instrText>
      </w:r>
      <w:r>
        <w:rPr>
          <w:noProof/>
        </w:rPr>
      </w:r>
      <w:r>
        <w:rPr>
          <w:noProof/>
        </w:rPr>
        <w:fldChar w:fldCharType="separate"/>
      </w:r>
      <w:r w:rsidR="00B25B1A">
        <w:rPr>
          <w:noProof/>
        </w:rPr>
        <w:t>136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13.03 Přenosné hasicí přístroje</w:t>
      </w:r>
      <w:r>
        <w:rPr>
          <w:noProof/>
        </w:rPr>
        <w:tab/>
      </w:r>
      <w:r>
        <w:rPr>
          <w:noProof/>
        </w:rPr>
        <w:fldChar w:fldCharType="begin"/>
      </w:r>
      <w:r>
        <w:rPr>
          <w:noProof/>
        </w:rPr>
        <w:instrText xml:space="preserve"> PAGEREF _Toc535417010 \h </w:instrText>
      </w:r>
      <w:r>
        <w:rPr>
          <w:noProof/>
        </w:rPr>
      </w:r>
      <w:r>
        <w:rPr>
          <w:noProof/>
        </w:rPr>
        <w:fldChar w:fldCharType="separate"/>
      </w:r>
      <w:r w:rsidR="00B25B1A">
        <w:rPr>
          <w:noProof/>
        </w:rPr>
        <w:t>139</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13.04 Pevně instalované protipožární systémy k ochraně obytných prostorů, kormidelen a místností pro cestující</w:t>
      </w:r>
      <w:r>
        <w:rPr>
          <w:noProof/>
        </w:rPr>
        <w:tab/>
      </w:r>
      <w:r>
        <w:rPr>
          <w:noProof/>
        </w:rPr>
        <w:fldChar w:fldCharType="begin"/>
      </w:r>
      <w:r>
        <w:rPr>
          <w:noProof/>
        </w:rPr>
        <w:instrText xml:space="preserve"> PAGEREF _Toc535417011 \h </w:instrText>
      </w:r>
      <w:r>
        <w:rPr>
          <w:noProof/>
        </w:rPr>
      </w:r>
      <w:r>
        <w:rPr>
          <w:noProof/>
        </w:rPr>
        <w:fldChar w:fldCharType="separate"/>
      </w:r>
      <w:r w:rsidR="00B25B1A">
        <w:rPr>
          <w:noProof/>
        </w:rPr>
        <w:t>141</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13.05 Pevně instalované protipožární systémy k ochraně strojoven, kotelen a strojoven čerpadel</w:t>
      </w:r>
      <w:r>
        <w:rPr>
          <w:noProof/>
        </w:rPr>
        <w:tab/>
      </w:r>
      <w:r>
        <w:rPr>
          <w:noProof/>
        </w:rPr>
        <w:fldChar w:fldCharType="begin"/>
      </w:r>
      <w:r>
        <w:rPr>
          <w:noProof/>
        </w:rPr>
        <w:instrText xml:space="preserve"> PAGEREF _Toc535417012 \h </w:instrText>
      </w:r>
      <w:r>
        <w:rPr>
          <w:noProof/>
        </w:rPr>
      </w:r>
      <w:r>
        <w:rPr>
          <w:noProof/>
        </w:rPr>
        <w:fldChar w:fldCharType="separate"/>
      </w:r>
      <w:r w:rsidR="00B25B1A">
        <w:rPr>
          <w:noProof/>
        </w:rPr>
        <w:t>143</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13.06 Pevně instalované protipožární systémy k ochraně objektů</w:t>
      </w:r>
      <w:r>
        <w:rPr>
          <w:noProof/>
        </w:rPr>
        <w:tab/>
      </w:r>
      <w:r>
        <w:rPr>
          <w:noProof/>
        </w:rPr>
        <w:fldChar w:fldCharType="begin"/>
      </w:r>
      <w:r>
        <w:rPr>
          <w:noProof/>
        </w:rPr>
        <w:instrText xml:space="preserve"> PAGEREF _Toc535417013 \h </w:instrText>
      </w:r>
      <w:r>
        <w:rPr>
          <w:noProof/>
        </w:rPr>
      </w:r>
      <w:r>
        <w:rPr>
          <w:noProof/>
        </w:rPr>
        <w:fldChar w:fldCharType="separate"/>
      </w:r>
      <w:r w:rsidR="00B25B1A">
        <w:rPr>
          <w:noProof/>
        </w:rPr>
        <w:t>155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13.07 Lodní čluny</w:t>
      </w:r>
      <w:r>
        <w:rPr>
          <w:noProof/>
        </w:rPr>
        <w:tab/>
      </w:r>
      <w:r>
        <w:rPr>
          <w:noProof/>
        </w:rPr>
        <w:fldChar w:fldCharType="begin"/>
      </w:r>
      <w:r>
        <w:rPr>
          <w:noProof/>
        </w:rPr>
        <w:instrText xml:space="preserve"> PAGEREF _Toc535417014 \h </w:instrText>
      </w:r>
      <w:r>
        <w:rPr>
          <w:noProof/>
        </w:rPr>
      </w:r>
      <w:r>
        <w:rPr>
          <w:noProof/>
        </w:rPr>
        <w:fldChar w:fldCharType="separate"/>
      </w:r>
      <w:r w:rsidR="00B25B1A">
        <w:rPr>
          <w:noProof/>
        </w:rPr>
        <w:t>157</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13.08 Záchranné kruhy a vesty</w:t>
      </w:r>
      <w:r>
        <w:rPr>
          <w:noProof/>
        </w:rPr>
        <w:tab/>
      </w:r>
      <w:r>
        <w:rPr>
          <w:noProof/>
        </w:rPr>
        <w:fldChar w:fldCharType="begin"/>
      </w:r>
      <w:r>
        <w:rPr>
          <w:noProof/>
        </w:rPr>
        <w:instrText xml:space="preserve"> PAGEREF _Toc535417015 \h </w:instrText>
      </w:r>
      <w:r>
        <w:rPr>
          <w:noProof/>
        </w:rPr>
      </w:r>
      <w:r>
        <w:rPr>
          <w:noProof/>
        </w:rPr>
        <w:fldChar w:fldCharType="separate"/>
      </w:r>
      <w:r w:rsidR="00B25B1A">
        <w:rPr>
          <w:noProof/>
        </w:rPr>
        <w:t>157</w:t>
      </w:r>
      <w:r>
        <w:rPr>
          <w:noProof/>
        </w:rPr>
        <w:fldChar w:fldCharType="end"/>
      </w:r>
    </w:p>
    <w:p w:rsidR="002D015D" w:rsidRPr="00B25B1A" w:rsidRDefault="002D015D">
      <w:pPr>
        <w:pStyle w:val="TOC2"/>
        <w:tabs>
          <w:tab w:val="right" w:leader="dot" w:pos="9060"/>
        </w:tabs>
        <w:rPr>
          <w:rFonts w:asciiTheme="minorHAnsi" w:eastAsiaTheme="minorEastAsia" w:hAnsiTheme="minorHAnsi" w:cstheme="minorBidi"/>
          <w:smallCaps w:val="0"/>
          <w:noProof/>
          <w:sz w:val="22"/>
          <w:szCs w:val="22"/>
          <w:lang w:val="pl-PL" w:eastAsia="en-GB" w:bidi="ar-SA"/>
        </w:rPr>
      </w:pPr>
      <w:r>
        <w:rPr>
          <w:noProof/>
        </w:rPr>
        <w:t>Kapitola 14 Bezpečnost na pracovištích</w:t>
      </w:r>
      <w:r>
        <w:rPr>
          <w:noProof/>
        </w:rPr>
        <w:tab/>
      </w:r>
      <w:r>
        <w:rPr>
          <w:noProof/>
        </w:rPr>
        <w:fldChar w:fldCharType="begin"/>
      </w:r>
      <w:r>
        <w:rPr>
          <w:noProof/>
        </w:rPr>
        <w:instrText xml:space="preserve"> PAGEREF _Toc535417016 \h </w:instrText>
      </w:r>
      <w:r>
        <w:rPr>
          <w:noProof/>
        </w:rPr>
      </w:r>
      <w:r>
        <w:rPr>
          <w:noProof/>
        </w:rPr>
        <w:fldChar w:fldCharType="separate"/>
      </w:r>
      <w:r w:rsidR="00B25B1A">
        <w:rPr>
          <w:noProof/>
        </w:rPr>
        <w:t>159</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14.01 Obecně</w:t>
      </w:r>
      <w:r>
        <w:rPr>
          <w:noProof/>
        </w:rPr>
        <w:tab/>
      </w:r>
      <w:r>
        <w:rPr>
          <w:noProof/>
        </w:rPr>
        <w:fldChar w:fldCharType="begin"/>
      </w:r>
      <w:r>
        <w:rPr>
          <w:noProof/>
        </w:rPr>
        <w:instrText xml:space="preserve"> PAGEREF _Toc535417017 \h </w:instrText>
      </w:r>
      <w:r>
        <w:rPr>
          <w:noProof/>
        </w:rPr>
      </w:r>
      <w:r>
        <w:rPr>
          <w:noProof/>
        </w:rPr>
        <w:fldChar w:fldCharType="separate"/>
      </w:r>
      <w:r w:rsidR="00B25B1A">
        <w:rPr>
          <w:noProof/>
        </w:rPr>
        <w:t>159</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14.02 Ochrana před pádem</w:t>
      </w:r>
      <w:r>
        <w:rPr>
          <w:noProof/>
        </w:rPr>
        <w:tab/>
      </w:r>
      <w:r>
        <w:rPr>
          <w:noProof/>
        </w:rPr>
        <w:fldChar w:fldCharType="begin"/>
      </w:r>
      <w:r>
        <w:rPr>
          <w:noProof/>
        </w:rPr>
        <w:instrText xml:space="preserve"> PAGEREF _Toc535417018 \h </w:instrText>
      </w:r>
      <w:r>
        <w:rPr>
          <w:noProof/>
        </w:rPr>
      </w:r>
      <w:r>
        <w:rPr>
          <w:noProof/>
        </w:rPr>
        <w:fldChar w:fldCharType="separate"/>
      </w:r>
      <w:r w:rsidR="00B25B1A">
        <w:rPr>
          <w:noProof/>
        </w:rPr>
        <w:t>159</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14.03 Rozměry pracovišť</w:t>
      </w:r>
      <w:r>
        <w:rPr>
          <w:noProof/>
        </w:rPr>
        <w:tab/>
      </w:r>
      <w:r>
        <w:rPr>
          <w:noProof/>
        </w:rPr>
        <w:fldChar w:fldCharType="begin"/>
      </w:r>
      <w:r>
        <w:rPr>
          <w:noProof/>
        </w:rPr>
        <w:instrText xml:space="preserve"> PAGEREF _Toc535417019 \h </w:instrText>
      </w:r>
      <w:r>
        <w:rPr>
          <w:noProof/>
        </w:rPr>
      </w:r>
      <w:r>
        <w:rPr>
          <w:noProof/>
        </w:rPr>
        <w:fldChar w:fldCharType="separate"/>
      </w:r>
      <w:r w:rsidR="00B25B1A">
        <w:rPr>
          <w:noProof/>
        </w:rPr>
        <w:t>161</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14.04 Boční paluby</w:t>
      </w:r>
      <w:r>
        <w:rPr>
          <w:noProof/>
        </w:rPr>
        <w:tab/>
      </w:r>
      <w:r>
        <w:rPr>
          <w:noProof/>
        </w:rPr>
        <w:fldChar w:fldCharType="begin"/>
      </w:r>
      <w:r>
        <w:rPr>
          <w:noProof/>
        </w:rPr>
        <w:instrText xml:space="preserve"> PAGEREF _Toc535417020 \h </w:instrText>
      </w:r>
      <w:r>
        <w:rPr>
          <w:noProof/>
        </w:rPr>
      </w:r>
      <w:r>
        <w:rPr>
          <w:noProof/>
        </w:rPr>
        <w:fldChar w:fldCharType="separate"/>
      </w:r>
      <w:r w:rsidR="00B25B1A">
        <w:rPr>
          <w:noProof/>
        </w:rPr>
        <w:t>161</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14.05 Přístup na pracoviště</w:t>
      </w:r>
      <w:r>
        <w:rPr>
          <w:noProof/>
        </w:rPr>
        <w:tab/>
      </w:r>
      <w:r>
        <w:rPr>
          <w:noProof/>
        </w:rPr>
        <w:fldChar w:fldCharType="begin"/>
      </w:r>
      <w:r>
        <w:rPr>
          <w:noProof/>
        </w:rPr>
        <w:instrText xml:space="preserve"> PAGEREF _Toc535417021 \h </w:instrText>
      </w:r>
      <w:r>
        <w:rPr>
          <w:noProof/>
        </w:rPr>
      </w:r>
      <w:r>
        <w:rPr>
          <w:noProof/>
        </w:rPr>
        <w:fldChar w:fldCharType="separate"/>
      </w:r>
      <w:r w:rsidR="00B25B1A">
        <w:rPr>
          <w:noProof/>
        </w:rPr>
        <w:t>161</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14.06 Východy a nouzové východy</w:t>
      </w:r>
      <w:r>
        <w:rPr>
          <w:noProof/>
        </w:rPr>
        <w:tab/>
      </w:r>
      <w:r>
        <w:rPr>
          <w:noProof/>
        </w:rPr>
        <w:fldChar w:fldCharType="begin"/>
      </w:r>
      <w:r>
        <w:rPr>
          <w:noProof/>
        </w:rPr>
        <w:instrText xml:space="preserve"> PAGEREF _Toc535417022 \h </w:instrText>
      </w:r>
      <w:r>
        <w:rPr>
          <w:noProof/>
        </w:rPr>
      </w:r>
      <w:r>
        <w:rPr>
          <w:noProof/>
        </w:rPr>
        <w:fldChar w:fldCharType="separate"/>
      </w:r>
      <w:r w:rsidR="00B25B1A">
        <w:rPr>
          <w:noProof/>
        </w:rPr>
        <w:t>163</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14.07 Žebříky, stupadla a podobná zařízení</w:t>
      </w:r>
      <w:r>
        <w:rPr>
          <w:noProof/>
        </w:rPr>
        <w:tab/>
      </w:r>
      <w:r>
        <w:rPr>
          <w:noProof/>
        </w:rPr>
        <w:fldChar w:fldCharType="begin"/>
      </w:r>
      <w:r>
        <w:rPr>
          <w:noProof/>
        </w:rPr>
        <w:instrText xml:space="preserve"> PAGEREF _Toc535417023 \h </w:instrText>
      </w:r>
      <w:r>
        <w:rPr>
          <w:noProof/>
        </w:rPr>
      </w:r>
      <w:r>
        <w:rPr>
          <w:noProof/>
        </w:rPr>
        <w:fldChar w:fldCharType="separate"/>
      </w:r>
      <w:r w:rsidR="00B25B1A">
        <w:rPr>
          <w:noProof/>
        </w:rPr>
        <w:t>163</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14.08 Vnitřní místnosti</w:t>
      </w:r>
      <w:r>
        <w:rPr>
          <w:noProof/>
        </w:rPr>
        <w:tab/>
      </w:r>
      <w:r>
        <w:rPr>
          <w:noProof/>
        </w:rPr>
        <w:fldChar w:fldCharType="begin"/>
      </w:r>
      <w:r>
        <w:rPr>
          <w:noProof/>
        </w:rPr>
        <w:instrText xml:space="preserve"> PAGEREF _Toc535417024 \h </w:instrText>
      </w:r>
      <w:r>
        <w:rPr>
          <w:noProof/>
        </w:rPr>
      </w:r>
      <w:r>
        <w:rPr>
          <w:noProof/>
        </w:rPr>
        <w:fldChar w:fldCharType="separate"/>
      </w:r>
      <w:r w:rsidR="00B25B1A">
        <w:rPr>
          <w:noProof/>
        </w:rPr>
        <w:t>164</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14.09 Ochrana proti hluku a vibracím</w:t>
      </w:r>
      <w:r>
        <w:rPr>
          <w:noProof/>
        </w:rPr>
        <w:tab/>
      </w:r>
      <w:r>
        <w:rPr>
          <w:noProof/>
        </w:rPr>
        <w:fldChar w:fldCharType="begin"/>
      </w:r>
      <w:r>
        <w:rPr>
          <w:noProof/>
        </w:rPr>
        <w:instrText xml:space="preserve"> PAGEREF _Toc535417025 \h </w:instrText>
      </w:r>
      <w:r>
        <w:rPr>
          <w:noProof/>
        </w:rPr>
      </w:r>
      <w:r>
        <w:rPr>
          <w:noProof/>
        </w:rPr>
        <w:fldChar w:fldCharType="separate"/>
      </w:r>
      <w:r w:rsidR="00B25B1A">
        <w:rPr>
          <w:noProof/>
        </w:rPr>
        <w:t>165</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14.10 Kryty jícnů</w:t>
      </w:r>
      <w:r>
        <w:rPr>
          <w:noProof/>
        </w:rPr>
        <w:tab/>
      </w:r>
      <w:r>
        <w:rPr>
          <w:noProof/>
        </w:rPr>
        <w:fldChar w:fldCharType="begin"/>
      </w:r>
      <w:r>
        <w:rPr>
          <w:noProof/>
        </w:rPr>
        <w:instrText xml:space="preserve"> PAGEREF _Toc535417026 \h </w:instrText>
      </w:r>
      <w:r>
        <w:rPr>
          <w:noProof/>
        </w:rPr>
      </w:r>
      <w:r>
        <w:rPr>
          <w:noProof/>
        </w:rPr>
        <w:fldChar w:fldCharType="separate"/>
      </w:r>
      <w:r w:rsidR="00B25B1A">
        <w:rPr>
          <w:noProof/>
        </w:rPr>
        <w:t>165</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14.11 Navijáky</w:t>
      </w:r>
      <w:r>
        <w:rPr>
          <w:noProof/>
        </w:rPr>
        <w:tab/>
      </w:r>
      <w:r>
        <w:rPr>
          <w:noProof/>
        </w:rPr>
        <w:fldChar w:fldCharType="begin"/>
      </w:r>
      <w:r>
        <w:rPr>
          <w:noProof/>
        </w:rPr>
        <w:instrText xml:space="preserve"> PAGEREF _Toc535417027 \h </w:instrText>
      </w:r>
      <w:r>
        <w:rPr>
          <w:noProof/>
        </w:rPr>
      </w:r>
      <w:r>
        <w:rPr>
          <w:noProof/>
        </w:rPr>
        <w:fldChar w:fldCharType="separate"/>
      </w:r>
      <w:r w:rsidR="00B25B1A">
        <w:rPr>
          <w:noProof/>
        </w:rPr>
        <w:t>167</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14.12 Jeřáby</w:t>
      </w:r>
      <w:r>
        <w:rPr>
          <w:noProof/>
        </w:rPr>
        <w:tab/>
      </w:r>
      <w:r>
        <w:rPr>
          <w:noProof/>
        </w:rPr>
        <w:fldChar w:fldCharType="begin"/>
      </w:r>
      <w:r>
        <w:rPr>
          <w:noProof/>
        </w:rPr>
        <w:instrText xml:space="preserve"> PAGEREF _Toc535417028 \h </w:instrText>
      </w:r>
      <w:r>
        <w:rPr>
          <w:noProof/>
        </w:rPr>
      </w:r>
      <w:r>
        <w:rPr>
          <w:noProof/>
        </w:rPr>
        <w:fldChar w:fldCharType="separate"/>
      </w:r>
      <w:r w:rsidR="00B25B1A">
        <w:rPr>
          <w:noProof/>
        </w:rPr>
        <w:t>167</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14.13 Skladování hořlavých kapalin</w:t>
      </w:r>
      <w:r>
        <w:rPr>
          <w:noProof/>
        </w:rPr>
        <w:tab/>
      </w:r>
      <w:r>
        <w:rPr>
          <w:noProof/>
        </w:rPr>
        <w:fldChar w:fldCharType="begin"/>
      </w:r>
      <w:r>
        <w:rPr>
          <w:noProof/>
        </w:rPr>
        <w:instrText xml:space="preserve"> PAGEREF _Toc535417029 \h </w:instrText>
      </w:r>
      <w:r>
        <w:rPr>
          <w:noProof/>
        </w:rPr>
      </w:r>
      <w:r>
        <w:rPr>
          <w:noProof/>
        </w:rPr>
        <w:fldChar w:fldCharType="separate"/>
      </w:r>
      <w:r w:rsidR="00B25B1A">
        <w:rPr>
          <w:noProof/>
        </w:rPr>
        <w:t>170</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15 Obytné prostory</w:t>
      </w:r>
      <w:r>
        <w:rPr>
          <w:noProof/>
        </w:rPr>
        <w:tab/>
      </w:r>
      <w:r>
        <w:rPr>
          <w:noProof/>
        </w:rPr>
        <w:fldChar w:fldCharType="begin"/>
      </w:r>
      <w:r>
        <w:rPr>
          <w:noProof/>
        </w:rPr>
        <w:instrText xml:space="preserve"> PAGEREF _Toc535417030 \h </w:instrText>
      </w:r>
      <w:r>
        <w:rPr>
          <w:noProof/>
        </w:rPr>
      </w:r>
      <w:r>
        <w:rPr>
          <w:noProof/>
        </w:rPr>
        <w:fldChar w:fldCharType="separate"/>
      </w:r>
      <w:r w:rsidR="00B25B1A">
        <w:rPr>
          <w:noProof/>
        </w:rPr>
        <w:t>171</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15.01 Obecně</w:t>
      </w:r>
      <w:r>
        <w:rPr>
          <w:noProof/>
        </w:rPr>
        <w:tab/>
      </w:r>
      <w:r>
        <w:rPr>
          <w:noProof/>
        </w:rPr>
        <w:fldChar w:fldCharType="begin"/>
      </w:r>
      <w:r>
        <w:rPr>
          <w:noProof/>
        </w:rPr>
        <w:instrText xml:space="preserve"> PAGEREF _Toc535417031 \h </w:instrText>
      </w:r>
      <w:r>
        <w:rPr>
          <w:noProof/>
        </w:rPr>
      </w:r>
      <w:r>
        <w:rPr>
          <w:noProof/>
        </w:rPr>
        <w:fldChar w:fldCharType="separate"/>
      </w:r>
      <w:r w:rsidR="00B25B1A">
        <w:rPr>
          <w:noProof/>
        </w:rPr>
        <w:t>171</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15.02 Zvláštní požadavky na konstrukci obytných prostorů</w:t>
      </w:r>
      <w:r>
        <w:rPr>
          <w:noProof/>
        </w:rPr>
        <w:tab/>
      </w:r>
      <w:r>
        <w:rPr>
          <w:noProof/>
        </w:rPr>
        <w:fldChar w:fldCharType="begin"/>
      </w:r>
      <w:r>
        <w:rPr>
          <w:noProof/>
        </w:rPr>
        <w:instrText xml:space="preserve"> PAGEREF _Toc535417032 \h </w:instrText>
      </w:r>
      <w:r>
        <w:rPr>
          <w:noProof/>
        </w:rPr>
      </w:r>
      <w:r>
        <w:rPr>
          <w:noProof/>
        </w:rPr>
        <w:fldChar w:fldCharType="separate"/>
      </w:r>
      <w:r w:rsidR="00B25B1A">
        <w:rPr>
          <w:noProof/>
        </w:rPr>
        <w:t>171</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15.03 Sociální zařízení</w:t>
      </w:r>
      <w:r>
        <w:rPr>
          <w:noProof/>
        </w:rPr>
        <w:tab/>
      </w:r>
      <w:r>
        <w:rPr>
          <w:noProof/>
        </w:rPr>
        <w:fldChar w:fldCharType="begin"/>
      </w:r>
      <w:r>
        <w:rPr>
          <w:noProof/>
        </w:rPr>
        <w:instrText xml:space="preserve"> PAGEREF _Toc535417033 \h </w:instrText>
      </w:r>
      <w:r>
        <w:rPr>
          <w:noProof/>
        </w:rPr>
      </w:r>
      <w:r>
        <w:rPr>
          <w:noProof/>
        </w:rPr>
        <w:fldChar w:fldCharType="separate"/>
      </w:r>
      <w:r w:rsidR="00B25B1A">
        <w:rPr>
          <w:noProof/>
        </w:rPr>
        <w:t>174</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15.04 Kuchyně</w:t>
      </w:r>
      <w:r>
        <w:rPr>
          <w:noProof/>
        </w:rPr>
        <w:tab/>
      </w:r>
      <w:r>
        <w:rPr>
          <w:noProof/>
        </w:rPr>
        <w:fldChar w:fldCharType="begin"/>
      </w:r>
      <w:r>
        <w:rPr>
          <w:noProof/>
        </w:rPr>
        <w:instrText xml:space="preserve"> PAGEREF _Toc535417034 \h </w:instrText>
      </w:r>
      <w:r>
        <w:rPr>
          <w:noProof/>
        </w:rPr>
      </w:r>
      <w:r>
        <w:rPr>
          <w:noProof/>
        </w:rPr>
        <w:fldChar w:fldCharType="separate"/>
      </w:r>
      <w:r w:rsidR="00B25B1A">
        <w:rPr>
          <w:noProof/>
        </w:rPr>
        <w:t>175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15.05 Zařízení na pitnou vodu</w:t>
      </w:r>
      <w:r>
        <w:rPr>
          <w:noProof/>
        </w:rPr>
        <w:tab/>
      </w:r>
      <w:r>
        <w:rPr>
          <w:noProof/>
        </w:rPr>
        <w:fldChar w:fldCharType="begin"/>
      </w:r>
      <w:r>
        <w:rPr>
          <w:noProof/>
        </w:rPr>
        <w:instrText xml:space="preserve"> PAGEREF _Toc535417035 \h </w:instrText>
      </w:r>
      <w:r>
        <w:rPr>
          <w:noProof/>
        </w:rPr>
      </w:r>
      <w:r>
        <w:rPr>
          <w:noProof/>
        </w:rPr>
        <w:fldChar w:fldCharType="separate"/>
      </w:r>
      <w:r w:rsidR="00B25B1A">
        <w:rPr>
          <w:noProof/>
        </w:rPr>
        <w:t>175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15.06 Topení a větrání</w:t>
      </w:r>
      <w:r>
        <w:rPr>
          <w:noProof/>
        </w:rPr>
        <w:tab/>
      </w:r>
      <w:r>
        <w:rPr>
          <w:noProof/>
        </w:rPr>
        <w:fldChar w:fldCharType="begin"/>
      </w:r>
      <w:r>
        <w:rPr>
          <w:noProof/>
        </w:rPr>
        <w:instrText xml:space="preserve"> PAGEREF _Toc535417036 \h </w:instrText>
      </w:r>
      <w:r>
        <w:rPr>
          <w:noProof/>
        </w:rPr>
      </w:r>
      <w:r>
        <w:rPr>
          <w:noProof/>
        </w:rPr>
        <w:fldChar w:fldCharType="separate"/>
      </w:r>
      <w:r w:rsidR="00B25B1A">
        <w:rPr>
          <w:noProof/>
        </w:rPr>
        <w:t>177</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15.07 Ostatní zařízení v obytných prostorech</w:t>
      </w:r>
      <w:r>
        <w:rPr>
          <w:noProof/>
        </w:rPr>
        <w:tab/>
      </w:r>
      <w:r>
        <w:rPr>
          <w:noProof/>
        </w:rPr>
        <w:fldChar w:fldCharType="begin"/>
      </w:r>
      <w:r>
        <w:rPr>
          <w:noProof/>
        </w:rPr>
        <w:instrText xml:space="preserve"> PAGEREF _Toc535417037 \h </w:instrText>
      </w:r>
      <w:r>
        <w:rPr>
          <w:noProof/>
        </w:rPr>
      </w:r>
      <w:r>
        <w:rPr>
          <w:noProof/>
        </w:rPr>
        <w:fldChar w:fldCharType="separate"/>
      </w:r>
      <w:r w:rsidR="00B25B1A">
        <w:rPr>
          <w:noProof/>
        </w:rPr>
        <w:t>177</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16 Palivová zařízení k topení, vaření a chlazení</w:t>
      </w:r>
      <w:r>
        <w:rPr>
          <w:noProof/>
        </w:rPr>
        <w:tab/>
      </w:r>
      <w:r>
        <w:rPr>
          <w:noProof/>
        </w:rPr>
        <w:fldChar w:fldCharType="begin"/>
      </w:r>
      <w:r>
        <w:rPr>
          <w:noProof/>
        </w:rPr>
        <w:instrText xml:space="preserve"> PAGEREF _Toc535417038 \h </w:instrText>
      </w:r>
      <w:r>
        <w:rPr>
          <w:noProof/>
        </w:rPr>
      </w:r>
      <w:r>
        <w:rPr>
          <w:noProof/>
        </w:rPr>
        <w:fldChar w:fldCharType="separate"/>
      </w:r>
      <w:r w:rsidR="00B25B1A">
        <w:rPr>
          <w:noProof/>
        </w:rPr>
        <w:t>179</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16.01 Obecně</w:t>
      </w:r>
      <w:r>
        <w:rPr>
          <w:noProof/>
        </w:rPr>
        <w:tab/>
      </w:r>
      <w:r>
        <w:rPr>
          <w:noProof/>
        </w:rPr>
        <w:fldChar w:fldCharType="begin"/>
      </w:r>
      <w:r>
        <w:rPr>
          <w:noProof/>
        </w:rPr>
        <w:instrText xml:space="preserve"> PAGEREF _Toc535417039 \h </w:instrText>
      </w:r>
      <w:r>
        <w:rPr>
          <w:noProof/>
        </w:rPr>
      </w:r>
      <w:r>
        <w:rPr>
          <w:noProof/>
        </w:rPr>
        <w:fldChar w:fldCharType="separate"/>
      </w:r>
      <w:r w:rsidR="00B25B1A">
        <w:rPr>
          <w:noProof/>
        </w:rPr>
        <w:t>179</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16.02 Použití kapalných paliv, zařízení na petrolej</w:t>
      </w:r>
      <w:r>
        <w:rPr>
          <w:noProof/>
        </w:rPr>
        <w:tab/>
      </w:r>
      <w:r>
        <w:rPr>
          <w:noProof/>
        </w:rPr>
        <w:fldChar w:fldCharType="begin"/>
      </w:r>
      <w:r>
        <w:rPr>
          <w:noProof/>
        </w:rPr>
        <w:instrText xml:space="preserve"> PAGEREF _Toc535417040 \h </w:instrText>
      </w:r>
      <w:r>
        <w:rPr>
          <w:noProof/>
        </w:rPr>
      </w:r>
      <w:r>
        <w:rPr>
          <w:noProof/>
        </w:rPr>
        <w:fldChar w:fldCharType="separate"/>
      </w:r>
      <w:r w:rsidR="00B25B1A">
        <w:rPr>
          <w:noProof/>
        </w:rPr>
        <w:t>179</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16.03 Naftová kamna s odpařovacími hořáky a naftová topná zařízení s hořáky s rozprašováním paliva</w:t>
      </w:r>
      <w:r>
        <w:rPr>
          <w:noProof/>
        </w:rPr>
        <w:tab/>
      </w:r>
      <w:r>
        <w:rPr>
          <w:noProof/>
        </w:rPr>
        <w:fldChar w:fldCharType="begin"/>
      </w:r>
      <w:r>
        <w:rPr>
          <w:noProof/>
        </w:rPr>
        <w:instrText xml:space="preserve"> PAGEREF _Toc535417041 \h </w:instrText>
      </w:r>
      <w:r>
        <w:rPr>
          <w:noProof/>
        </w:rPr>
      </w:r>
      <w:r>
        <w:rPr>
          <w:noProof/>
        </w:rPr>
        <w:fldChar w:fldCharType="separate"/>
      </w:r>
      <w:r w:rsidR="00B25B1A">
        <w:rPr>
          <w:noProof/>
        </w:rPr>
        <w:t>180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16.04 Naftová kamna s odpařovacími hořáky</w:t>
      </w:r>
      <w:r>
        <w:rPr>
          <w:noProof/>
        </w:rPr>
        <w:tab/>
      </w:r>
      <w:r>
        <w:rPr>
          <w:noProof/>
        </w:rPr>
        <w:fldChar w:fldCharType="begin"/>
      </w:r>
      <w:r>
        <w:rPr>
          <w:noProof/>
        </w:rPr>
        <w:instrText xml:space="preserve"> PAGEREF _Toc535417042 \h </w:instrText>
      </w:r>
      <w:r>
        <w:rPr>
          <w:noProof/>
        </w:rPr>
      </w:r>
      <w:r>
        <w:rPr>
          <w:noProof/>
        </w:rPr>
        <w:fldChar w:fldCharType="separate"/>
      </w:r>
      <w:r w:rsidR="00B25B1A">
        <w:rPr>
          <w:noProof/>
        </w:rPr>
        <w:t>181</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16.05 Naftová topná zařízení s hořáky s rozprašováním paliva</w:t>
      </w:r>
      <w:r>
        <w:rPr>
          <w:noProof/>
        </w:rPr>
        <w:tab/>
      </w:r>
      <w:r>
        <w:rPr>
          <w:noProof/>
        </w:rPr>
        <w:fldChar w:fldCharType="begin"/>
      </w:r>
      <w:r>
        <w:rPr>
          <w:noProof/>
        </w:rPr>
        <w:instrText xml:space="preserve"> PAGEREF _Toc535417043 \h </w:instrText>
      </w:r>
      <w:r>
        <w:rPr>
          <w:noProof/>
        </w:rPr>
      </w:r>
      <w:r>
        <w:rPr>
          <w:noProof/>
        </w:rPr>
        <w:fldChar w:fldCharType="separate"/>
      </w:r>
      <w:r w:rsidR="00B25B1A">
        <w:rPr>
          <w:noProof/>
        </w:rPr>
        <w:t>182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16.06 Topné zařízení s nuceným tahem</w:t>
      </w:r>
      <w:r>
        <w:rPr>
          <w:noProof/>
        </w:rPr>
        <w:tab/>
      </w:r>
      <w:r>
        <w:rPr>
          <w:noProof/>
        </w:rPr>
        <w:fldChar w:fldCharType="begin"/>
      </w:r>
      <w:r>
        <w:rPr>
          <w:noProof/>
        </w:rPr>
        <w:instrText xml:space="preserve"> PAGEREF _Toc535417044 \h </w:instrText>
      </w:r>
      <w:r>
        <w:rPr>
          <w:noProof/>
        </w:rPr>
      </w:r>
      <w:r>
        <w:rPr>
          <w:noProof/>
        </w:rPr>
        <w:fldChar w:fldCharType="separate"/>
      </w:r>
      <w:r w:rsidR="00B25B1A">
        <w:rPr>
          <w:noProof/>
        </w:rPr>
        <w:t>183</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16.07 Topení tuhými palivy</w:t>
      </w:r>
      <w:r>
        <w:rPr>
          <w:noProof/>
        </w:rPr>
        <w:tab/>
      </w:r>
      <w:r>
        <w:rPr>
          <w:noProof/>
        </w:rPr>
        <w:fldChar w:fldCharType="begin"/>
      </w:r>
      <w:r>
        <w:rPr>
          <w:noProof/>
        </w:rPr>
        <w:instrText xml:space="preserve"> PAGEREF _Toc535417045 \h </w:instrText>
      </w:r>
      <w:r>
        <w:rPr>
          <w:noProof/>
        </w:rPr>
      </w:r>
      <w:r>
        <w:rPr>
          <w:noProof/>
        </w:rPr>
        <w:fldChar w:fldCharType="separate"/>
      </w:r>
      <w:r w:rsidR="00B25B1A">
        <w:rPr>
          <w:noProof/>
        </w:rPr>
        <w:t>183</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17 Zařízení na zkapalněný plyn pro domácí použití</w:t>
      </w:r>
      <w:r>
        <w:rPr>
          <w:noProof/>
        </w:rPr>
        <w:tab/>
      </w:r>
      <w:r>
        <w:rPr>
          <w:noProof/>
        </w:rPr>
        <w:fldChar w:fldCharType="begin"/>
      </w:r>
      <w:r>
        <w:rPr>
          <w:noProof/>
        </w:rPr>
        <w:instrText xml:space="preserve"> PAGEREF _Toc535417046 \h </w:instrText>
      </w:r>
      <w:r>
        <w:rPr>
          <w:noProof/>
        </w:rPr>
      </w:r>
      <w:r>
        <w:rPr>
          <w:noProof/>
        </w:rPr>
        <w:fldChar w:fldCharType="separate"/>
      </w:r>
      <w:r w:rsidR="00B25B1A">
        <w:rPr>
          <w:noProof/>
        </w:rPr>
        <w:t>186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17.01 Obecně</w:t>
      </w:r>
      <w:r>
        <w:rPr>
          <w:noProof/>
        </w:rPr>
        <w:tab/>
      </w:r>
      <w:r>
        <w:rPr>
          <w:noProof/>
        </w:rPr>
        <w:fldChar w:fldCharType="begin"/>
      </w:r>
      <w:r>
        <w:rPr>
          <w:noProof/>
        </w:rPr>
        <w:instrText xml:space="preserve"> PAGEREF _Toc535417047 \h </w:instrText>
      </w:r>
      <w:r>
        <w:rPr>
          <w:noProof/>
        </w:rPr>
      </w:r>
      <w:r>
        <w:rPr>
          <w:noProof/>
        </w:rPr>
        <w:fldChar w:fldCharType="separate"/>
      </w:r>
      <w:r w:rsidR="00B25B1A">
        <w:rPr>
          <w:noProof/>
        </w:rPr>
        <w:t>186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17.02 Zařízení</w:t>
      </w:r>
      <w:r>
        <w:rPr>
          <w:noProof/>
        </w:rPr>
        <w:tab/>
      </w:r>
      <w:r>
        <w:rPr>
          <w:noProof/>
        </w:rPr>
        <w:fldChar w:fldCharType="begin"/>
      </w:r>
      <w:r>
        <w:rPr>
          <w:noProof/>
        </w:rPr>
        <w:instrText xml:space="preserve"> PAGEREF _Toc535417048 \h </w:instrText>
      </w:r>
      <w:r>
        <w:rPr>
          <w:noProof/>
        </w:rPr>
      </w:r>
      <w:r>
        <w:rPr>
          <w:noProof/>
        </w:rPr>
        <w:fldChar w:fldCharType="separate"/>
      </w:r>
      <w:r w:rsidR="00B25B1A">
        <w:rPr>
          <w:noProof/>
        </w:rPr>
        <w:t>186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17.03 Nádrže</w:t>
      </w:r>
      <w:r>
        <w:rPr>
          <w:noProof/>
        </w:rPr>
        <w:tab/>
      </w:r>
      <w:r>
        <w:rPr>
          <w:noProof/>
        </w:rPr>
        <w:fldChar w:fldCharType="begin"/>
      </w:r>
      <w:r>
        <w:rPr>
          <w:noProof/>
        </w:rPr>
        <w:instrText xml:space="preserve"> PAGEREF _Toc535417049 \h </w:instrText>
      </w:r>
      <w:r>
        <w:rPr>
          <w:noProof/>
        </w:rPr>
      </w:r>
      <w:r>
        <w:rPr>
          <w:noProof/>
        </w:rPr>
        <w:fldChar w:fldCharType="separate"/>
      </w:r>
      <w:r w:rsidR="00B25B1A">
        <w:rPr>
          <w:noProof/>
        </w:rPr>
        <w:t>186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17.04 Umístění a uspořádání zásobovacích jednotek</w:t>
      </w:r>
      <w:r>
        <w:rPr>
          <w:noProof/>
        </w:rPr>
        <w:tab/>
      </w:r>
      <w:r>
        <w:rPr>
          <w:noProof/>
        </w:rPr>
        <w:fldChar w:fldCharType="begin"/>
      </w:r>
      <w:r>
        <w:rPr>
          <w:noProof/>
        </w:rPr>
        <w:instrText xml:space="preserve"> PAGEREF _Toc535417050 \h </w:instrText>
      </w:r>
      <w:r>
        <w:rPr>
          <w:noProof/>
        </w:rPr>
      </w:r>
      <w:r>
        <w:rPr>
          <w:noProof/>
        </w:rPr>
        <w:fldChar w:fldCharType="separate"/>
      </w:r>
      <w:r w:rsidR="00B25B1A">
        <w:rPr>
          <w:noProof/>
        </w:rPr>
        <w:t>187</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17.05 Náhradní a prázdné nádrže</w:t>
      </w:r>
      <w:r>
        <w:rPr>
          <w:noProof/>
        </w:rPr>
        <w:tab/>
      </w:r>
      <w:r>
        <w:rPr>
          <w:noProof/>
        </w:rPr>
        <w:fldChar w:fldCharType="begin"/>
      </w:r>
      <w:r>
        <w:rPr>
          <w:noProof/>
        </w:rPr>
        <w:instrText xml:space="preserve"> PAGEREF _Toc535417051 \h </w:instrText>
      </w:r>
      <w:r>
        <w:rPr>
          <w:noProof/>
        </w:rPr>
      </w:r>
      <w:r>
        <w:rPr>
          <w:noProof/>
        </w:rPr>
        <w:fldChar w:fldCharType="separate"/>
      </w:r>
      <w:r w:rsidR="00B25B1A">
        <w:rPr>
          <w:noProof/>
        </w:rPr>
        <w:t>188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17.06 Regulátory tlaku</w:t>
      </w:r>
      <w:r>
        <w:rPr>
          <w:noProof/>
        </w:rPr>
        <w:tab/>
      </w:r>
      <w:r>
        <w:rPr>
          <w:noProof/>
        </w:rPr>
        <w:fldChar w:fldCharType="begin"/>
      </w:r>
      <w:r>
        <w:rPr>
          <w:noProof/>
        </w:rPr>
        <w:instrText xml:space="preserve"> PAGEREF _Toc535417052 \h </w:instrText>
      </w:r>
      <w:r>
        <w:rPr>
          <w:noProof/>
        </w:rPr>
      </w:r>
      <w:r>
        <w:rPr>
          <w:noProof/>
        </w:rPr>
        <w:fldChar w:fldCharType="separate"/>
      </w:r>
      <w:r w:rsidR="00B25B1A">
        <w:rPr>
          <w:noProof/>
        </w:rPr>
        <w:t>188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17.07 Tlak</w:t>
      </w:r>
      <w:r>
        <w:rPr>
          <w:noProof/>
        </w:rPr>
        <w:tab/>
      </w:r>
      <w:r>
        <w:rPr>
          <w:noProof/>
        </w:rPr>
        <w:fldChar w:fldCharType="begin"/>
      </w:r>
      <w:r>
        <w:rPr>
          <w:noProof/>
        </w:rPr>
        <w:instrText xml:space="preserve"> PAGEREF _Toc535417053 \h </w:instrText>
      </w:r>
      <w:r>
        <w:rPr>
          <w:noProof/>
        </w:rPr>
      </w:r>
      <w:r>
        <w:rPr>
          <w:noProof/>
        </w:rPr>
        <w:fldChar w:fldCharType="separate"/>
      </w:r>
      <w:r w:rsidR="00B25B1A">
        <w:rPr>
          <w:noProof/>
        </w:rPr>
        <w:t>190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17.08 Potrubí a ohebné hadice</w:t>
      </w:r>
      <w:r>
        <w:rPr>
          <w:noProof/>
        </w:rPr>
        <w:tab/>
      </w:r>
      <w:r>
        <w:rPr>
          <w:noProof/>
        </w:rPr>
        <w:fldChar w:fldCharType="begin"/>
      </w:r>
      <w:r>
        <w:rPr>
          <w:noProof/>
        </w:rPr>
        <w:instrText xml:space="preserve"> PAGEREF _Toc535417054 \h </w:instrText>
      </w:r>
      <w:r>
        <w:rPr>
          <w:noProof/>
        </w:rPr>
      </w:r>
      <w:r>
        <w:rPr>
          <w:noProof/>
        </w:rPr>
        <w:fldChar w:fldCharType="separate"/>
      </w:r>
      <w:r w:rsidR="00B25B1A">
        <w:rPr>
          <w:noProof/>
        </w:rPr>
        <w:t>190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17.09 Rozvodný systém</w:t>
      </w:r>
      <w:r>
        <w:rPr>
          <w:noProof/>
        </w:rPr>
        <w:tab/>
      </w:r>
      <w:r>
        <w:rPr>
          <w:noProof/>
        </w:rPr>
        <w:fldChar w:fldCharType="begin"/>
      </w:r>
      <w:r>
        <w:rPr>
          <w:noProof/>
        </w:rPr>
        <w:instrText xml:space="preserve"> PAGEREF _Toc535417055 \h </w:instrText>
      </w:r>
      <w:r>
        <w:rPr>
          <w:noProof/>
        </w:rPr>
      </w:r>
      <w:r>
        <w:rPr>
          <w:noProof/>
        </w:rPr>
        <w:fldChar w:fldCharType="separate"/>
      </w:r>
      <w:r w:rsidR="00B25B1A">
        <w:rPr>
          <w:noProof/>
        </w:rPr>
        <w:t>191</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17.10 Plynové spotřebiče a jejich instalace</w:t>
      </w:r>
      <w:r>
        <w:rPr>
          <w:noProof/>
        </w:rPr>
        <w:tab/>
      </w:r>
      <w:r>
        <w:rPr>
          <w:noProof/>
        </w:rPr>
        <w:fldChar w:fldCharType="begin"/>
      </w:r>
      <w:r>
        <w:rPr>
          <w:noProof/>
        </w:rPr>
        <w:instrText xml:space="preserve"> PAGEREF _Toc535417056 \h </w:instrText>
      </w:r>
      <w:r>
        <w:rPr>
          <w:noProof/>
        </w:rPr>
      </w:r>
      <w:r>
        <w:rPr>
          <w:noProof/>
        </w:rPr>
        <w:fldChar w:fldCharType="separate"/>
      </w:r>
      <w:r w:rsidR="00B25B1A">
        <w:rPr>
          <w:noProof/>
        </w:rPr>
        <w:t>192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17.11 Větrání a odvádění kouřových plynů</w:t>
      </w:r>
      <w:r>
        <w:rPr>
          <w:noProof/>
        </w:rPr>
        <w:tab/>
      </w:r>
      <w:r>
        <w:rPr>
          <w:noProof/>
        </w:rPr>
        <w:fldChar w:fldCharType="begin"/>
      </w:r>
      <w:r>
        <w:rPr>
          <w:noProof/>
        </w:rPr>
        <w:instrText xml:space="preserve"> PAGEREF _Toc535417057 \h </w:instrText>
      </w:r>
      <w:r>
        <w:rPr>
          <w:noProof/>
        </w:rPr>
      </w:r>
      <w:r>
        <w:rPr>
          <w:noProof/>
        </w:rPr>
        <w:fldChar w:fldCharType="separate"/>
      </w:r>
      <w:r w:rsidR="00B25B1A">
        <w:rPr>
          <w:noProof/>
        </w:rPr>
        <w:t>192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17.12 Návod k obsluze</w:t>
      </w:r>
      <w:r>
        <w:rPr>
          <w:noProof/>
        </w:rPr>
        <w:tab/>
      </w:r>
      <w:r>
        <w:rPr>
          <w:noProof/>
        </w:rPr>
        <w:fldChar w:fldCharType="begin"/>
      </w:r>
      <w:r>
        <w:rPr>
          <w:noProof/>
        </w:rPr>
        <w:instrText xml:space="preserve"> PAGEREF _Toc535417058 \h </w:instrText>
      </w:r>
      <w:r>
        <w:rPr>
          <w:noProof/>
        </w:rPr>
      </w:r>
      <w:r>
        <w:rPr>
          <w:noProof/>
        </w:rPr>
        <w:fldChar w:fldCharType="separate"/>
      </w:r>
      <w:r w:rsidR="00B25B1A">
        <w:rPr>
          <w:noProof/>
        </w:rPr>
        <w:t>194</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17.13 Přejímací zkouška</w:t>
      </w:r>
      <w:r>
        <w:rPr>
          <w:noProof/>
        </w:rPr>
        <w:tab/>
      </w:r>
      <w:r>
        <w:rPr>
          <w:noProof/>
        </w:rPr>
        <w:fldChar w:fldCharType="begin"/>
      </w:r>
      <w:r>
        <w:rPr>
          <w:noProof/>
        </w:rPr>
        <w:instrText xml:space="preserve"> PAGEREF _Toc535417059 \h </w:instrText>
      </w:r>
      <w:r>
        <w:rPr>
          <w:noProof/>
        </w:rPr>
      </w:r>
      <w:r>
        <w:rPr>
          <w:noProof/>
        </w:rPr>
        <w:fldChar w:fldCharType="separate"/>
      </w:r>
      <w:r w:rsidR="00B25B1A">
        <w:rPr>
          <w:noProof/>
        </w:rPr>
        <w:t>194</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17.14 Zkušební podmínky</w:t>
      </w:r>
      <w:r>
        <w:rPr>
          <w:noProof/>
        </w:rPr>
        <w:tab/>
      </w:r>
      <w:r>
        <w:rPr>
          <w:noProof/>
        </w:rPr>
        <w:fldChar w:fldCharType="begin"/>
      </w:r>
      <w:r>
        <w:rPr>
          <w:noProof/>
        </w:rPr>
        <w:instrText xml:space="preserve"> PAGEREF _Toc535417060 \h </w:instrText>
      </w:r>
      <w:r>
        <w:rPr>
          <w:noProof/>
        </w:rPr>
      </w:r>
      <w:r>
        <w:rPr>
          <w:noProof/>
        </w:rPr>
        <w:fldChar w:fldCharType="separate"/>
      </w:r>
      <w:r w:rsidR="00B25B1A">
        <w:rPr>
          <w:noProof/>
        </w:rPr>
        <w:t>194</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17.15 Atestace</w:t>
      </w:r>
      <w:r>
        <w:rPr>
          <w:noProof/>
        </w:rPr>
        <w:tab/>
      </w:r>
      <w:r>
        <w:rPr>
          <w:noProof/>
        </w:rPr>
        <w:fldChar w:fldCharType="begin"/>
      </w:r>
      <w:r>
        <w:rPr>
          <w:noProof/>
        </w:rPr>
        <w:instrText xml:space="preserve"> PAGEREF _Toc535417061 \h </w:instrText>
      </w:r>
      <w:r>
        <w:rPr>
          <w:noProof/>
        </w:rPr>
      </w:r>
      <w:r>
        <w:rPr>
          <w:noProof/>
        </w:rPr>
        <w:fldChar w:fldCharType="separate"/>
      </w:r>
      <w:r w:rsidR="00B25B1A">
        <w:rPr>
          <w:noProof/>
        </w:rPr>
        <w:t>196</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18 Palubní čistírny odpadních vod</w:t>
      </w:r>
      <w:r>
        <w:rPr>
          <w:noProof/>
        </w:rPr>
        <w:tab/>
      </w:r>
      <w:r>
        <w:rPr>
          <w:noProof/>
        </w:rPr>
        <w:fldChar w:fldCharType="begin"/>
      </w:r>
      <w:r>
        <w:rPr>
          <w:noProof/>
        </w:rPr>
        <w:instrText xml:space="preserve"> PAGEREF _Toc535417062 \h </w:instrText>
      </w:r>
      <w:r>
        <w:rPr>
          <w:noProof/>
        </w:rPr>
      </w:r>
      <w:r>
        <w:rPr>
          <w:noProof/>
        </w:rPr>
        <w:fldChar w:fldCharType="separate"/>
      </w:r>
      <w:r w:rsidR="00B25B1A">
        <w:rPr>
          <w:noProof/>
        </w:rPr>
        <w:t>198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18.00 Definice</w:t>
      </w:r>
      <w:r>
        <w:rPr>
          <w:noProof/>
        </w:rPr>
        <w:tab/>
      </w:r>
      <w:r>
        <w:rPr>
          <w:noProof/>
        </w:rPr>
        <w:fldChar w:fldCharType="begin"/>
      </w:r>
      <w:r>
        <w:rPr>
          <w:noProof/>
        </w:rPr>
        <w:instrText xml:space="preserve"> PAGEREF _Toc535417063 \h </w:instrText>
      </w:r>
      <w:r>
        <w:rPr>
          <w:noProof/>
        </w:rPr>
      </w:r>
      <w:r>
        <w:rPr>
          <w:noProof/>
        </w:rPr>
        <w:fldChar w:fldCharType="separate"/>
      </w:r>
      <w:r w:rsidR="00B25B1A">
        <w:rPr>
          <w:noProof/>
        </w:rPr>
        <w:t>198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18.01 Obecná ustanovení</w:t>
      </w:r>
      <w:r>
        <w:rPr>
          <w:noProof/>
        </w:rPr>
        <w:tab/>
      </w:r>
      <w:r>
        <w:rPr>
          <w:noProof/>
        </w:rPr>
        <w:fldChar w:fldCharType="begin"/>
      </w:r>
      <w:r>
        <w:rPr>
          <w:noProof/>
        </w:rPr>
        <w:instrText xml:space="preserve"> PAGEREF _Toc535417064 \h </w:instrText>
      </w:r>
      <w:r>
        <w:rPr>
          <w:noProof/>
        </w:rPr>
      </w:r>
      <w:r>
        <w:rPr>
          <w:noProof/>
        </w:rPr>
        <w:fldChar w:fldCharType="separate"/>
      </w:r>
      <w:r w:rsidR="00B25B1A">
        <w:rPr>
          <w:noProof/>
        </w:rPr>
        <w:t>200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18.02 Žádost o schválení typu</w:t>
      </w:r>
      <w:r>
        <w:rPr>
          <w:noProof/>
        </w:rPr>
        <w:tab/>
      </w:r>
      <w:r>
        <w:rPr>
          <w:noProof/>
        </w:rPr>
        <w:fldChar w:fldCharType="begin"/>
      </w:r>
      <w:r>
        <w:rPr>
          <w:noProof/>
        </w:rPr>
        <w:instrText xml:space="preserve"> PAGEREF _Toc535417065 \h </w:instrText>
      </w:r>
      <w:r>
        <w:rPr>
          <w:noProof/>
        </w:rPr>
      </w:r>
      <w:r>
        <w:rPr>
          <w:noProof/>
        </w:rPr>
        <w:fldChar w:fldCharType="separate"/>
      </w:r>
      <w:r w:rsidR="00B25B1A">
        <w:rPr>
          <w:noProof/>
        </w:rPr>
        <w:t>203</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18.03 Postup schválení typu</w:t>
      </w:r>
      <w:r>
        <w:rPr>
          <w:noProof/>
        </w:rPr>
        <w:tab/>
      </w:r>
      <w:r>
        <w:rPr>
          <w:noProof/>
        </w:rPr>
        <w:fldChar w:fldCharType="begin"/>
      </w:r>
      <w:r>
        <w:rPr>
          <w:noProof/>
        </w:rPr>
        <w:instrText xml:space="preserve"> PAGEREF _Toc535417066 \h </w:instrText>
      </w:r>
      <w:r>
        <w:rPr>
          <w:noProof/>
        </w:rPr>
      </w:r>
      <w:r>
        <w:rPr>
          <w:noProof/>
        </w:rPr>
        <w:fldChar w:fldCharType="separate"/>
      </w:r>
      <w:r w:rsidR="00B25B1A">
        <w:rPr>
          <w:noProof/>
        </w:rPr>
        <w:t>203</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18.04 Změna schválení typu</w:t>
      </w:r>
      <w:r>
        <w:rPr>
          <w:noProof/>
        </w:rPr>
        <w:tab/>
      </w:r>
      <w:r>
        <w:rPr>
          <w:noProof/>
        </w:rPr>
        <w:fldChar w:fldCharType="begin"/>
      </w:r>
      <w:r>
        <w:rPr>
          <w:noProof/>
        </w:rPr>
        <w:instrText xml:space="preserve"> PAGEREF _Toc535417067 \h </w:instrText>
      </w:r>
      <w:r>
        <w:rPr>
          <w:noProof/>
        </w:rPr>
      </w:r>
      <w:r>
        <w:rPr>
          <w:noProof/>
        </w:rPr>
        <w:fldChar w:fldCharType="separate"/>
      </w:r>
      <w:r w:rsidR="00B25B1A">
        <w:rPr>
          <w:noProof/>
        </w:rPr>
        <w:t>205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18.05 Shoda se schválením typu</w:t>
      </w:r>
      <w:r>
        <w:rPr>
          <w:noProof/>
        </w:rPr>
        <w:tab/>
      </w:r>
      <w:r>
        <w:rPr>
          <w:noProof/>
        </w:rPr>
        <w:fldChar w:fldCharType="begin"/>
      </w:r>
      <w:r>
        <w:rPr>
          <w:noProof/>
        </w:rPr>
        <w:instrText xml:space="preserve"> PAGEREF _Toc535417068 \h </w:instrText>
      </w:r>
      <w:r>
        <w:rPr>
          <w:noProof/>
        </w:rPr>
      </w:r>
      <w:r>
        <w:rPr>
          <w:noProof/>
        </w:rPr>
        <w:fldChar w:fldCharType="separate"/>
      </w:r>
      <w:r w:rsidR="00B25B1A">
        <w:rPr>
          <w:noProof/>
        </w:rPr>
        <w:t>206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18.06 Kontrola výrobních čísel</w:t>
      </w:r>
      <w:r>
        <w:rPr>
          <w:noProof/>
        </w:rPr>
        <w:tab/>
      </w:r>
      <w:r>
        <w:rPr>
          <w:noProof/>
        </w:rPr>
        <w:fldChar w:fldCharType="begin"/>
      </w:r>
      <w:r>
        <w:rPr>
          <w:noProof/>
        </w:rPr>
        <w:instrText xml:space="preserve"> PAGEREF _Toc535417069 \h </w:instrText>
      </w:r>
      <w:r>
        <w:rPr>
          <w:noProof/>
        </w:rPr>
      </w:r>
      <w:r>
        <w:rPr>
          <w:noProof/>
        </w:rPr>
        <w:fldChar w:fldCharType="separate"/>
      </w:r>
      <w:r w:rsidR="00B25B1A">
        <w:rPr>
          <w:noProof/>
        </w:rPr>
        <w:t>206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18.07 Shodnost výroby</w:t>
      </w:r>
      <w:r>
        <w:rPr>
          <w:noProof/>
        </w:rPr>
        <w:tab/>
      </w:r>
      <w:r>
        <w:rPr>
          <w:noProof/>
        </w:rPr>
        <w:fldChar w:fldCharType="begin"/>
      </w:r>
      <w:r>
        <w:rPr>
          <w:noProof/>
        </w:rPr>
        <w:instrText xml:space="preserve"> PAGEREF _Toc535417070 \h </w:instrText>
      </w:r>
      <w:r>
        <w:rPr>
          <w:noProof/>
        </w:rPr>
      </w:r>
      <w:r>
        <w:rPr>
          <w:noProof/>
        </w:rPr>
        <w:fldChar w:fldCharType="separate"/>
      </w:r>
      <w:r w:rsidR="00B25B1A">
        <w:rPr>
          <w:noProof/>
        </w:rPr>
        <w:t>208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18.08 Neshoda se schváleným typem palubní čistírny odpadních vod</w:t>
      </w:r>
      <w:r>
        <w:rPr>
          <w:noProof/>
        </w:rPr>
        <w:tab/>
      </w:r>
      <w:r>
        <w:rPr>
          <w:noProof/>
        </w:rPr>
        <w:fldChar w:fldCharType="begin"/>
      </w:r>
      <w:r>
        <w:rPr>
          <w:noProof/>
        </w:rPr>
        <w:instrText xml:space="preserve"> PAGEREF _Toc535417071 \h </w:instrText>
      </w:r>
      <w:r>
        <w:rPr>
          <w:noProof/>
        </w:rPr>
      </w:r>
      <w:r>
        <w:rPr>
          <w:noProof/>
        </w:rPr>
        <w:fldChar w:fldCharType="separate"/>
      </w:r>
      <w:r w:rsidR="00B25B1A">
        <w:rPr>
          <w:noProof/>
        </w:rPr>
        <w:t>208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18.09 Měření na základě náhodného vzorku / zvláštní zkouška</w:t>
      </w:r>
      <w:r>
        <w:rPr>
          <w:noProof/>
        </w:rPr>
        <w:tab/>
      </w:r>
      <w:r>
        <w:rPr>
          <w:noProof/>
        </w:rPr>
        <w:fldChar w:fldCharType="begin"/>
      </w:r>
      <w:r>
        <w:rPr>
          <w:noProof/>
        </w:rPr>
        <w:instrText xml:space="preserve"> PAGEREF _Toc535417072 \h </w:instrText>
      </w:r>
      <w:r>
        <w:rPr>
          <w:noProof/>
        </w:rPr>
      </w:r>
      <w:r>
        <w:rPr>
          <w:noProof/>
        </w:rPr>
        <w:fldChar w:fldCharType="separate"/>
      </w:r>
      <w:r w:rsidR="00B25B1A">
        <w:rPr>
          <w:noProof/>
        </w:rPr>
        <w:t>210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18.10 Příslušné orgány a technické zkušebny</w:t>
      </w:r>
      <w:r>
        <w:rPr>
          <w:noProof/>
        </w:rPr>
        <w:tab/>
      </w:r>
      <w:r>
        <w:rPr>
          <w:noProof/>
        </w:rPr>
        <w:fldChar w:fldCharType="begin"/>
      </w:r>
      <w:r>
        <w:rPr>
          <w:noProof/>
        </w:rPr>
        <w:instrText xml:space="preserve"> PAGEREF _Toc535417073 \h </w:instrText>
      </w:r>
      <w:r>
        <w:rPr>
          <w:noProof/>
        </w:rPr>
      </w:r>
      <w:r>
        <w:rPr>
          <w:noProof/>
        </w:rPr>
        <w:fldChar w:fldCharType="separate"/>
      </w:r>
      <w:r w:rsidR="00B25B1A">
        <w:rPr>
          <w:noProof/>
        </w:rPr>
        <w:t>212</w:t>
      </w:r>
      <w:r>
        <w:rPr>
          <w:noProof/>
        </w:rPr>
        <w:fldChar w:fldCharType="end"/>
      </w:r>
    </w:p>
    <w:p w:rsidR="002D015D" w:rsidRDefault="002D015D">
      <w:pPr>
        <w:pStyle w:val="TOC1"/>
        <w:rPr>
          <w:rFonts w:asciiTheme="minorHAnsi" w:eastAsiaTheme="minorEastAsia" w:hAnsiTheme="minorHAnsi" w:cstheme="minorBidi"/>
          <w:b w:val="0"/>
          <w:bCs w:val="0"/>
          <w:caps w:val="0"/>
          <w:noProof/>
          <w:sz w:val="22"/>
          <w:szCs w:val="22"/>
          <w:lang w:val="en-GB" w:eastAsia="en-GB" w:bidi="ar-SA"/>
        </w:rPr>
      </w:pPr>
      <w:r>
        <w:rPr>
          <w:noProof/>
        </w:rPr>
        <w:t>ČÁST III ZVLÁŠTNÍ USTANOVENÍ</w:t>
      </w:r>
      <w:r>
        <w:rPr>
          <w:noProof/>
        </w:rPr>
        <w:tab/>
      </w:r>
      <w:r>
        <w:rPr>
          <w:noProof/>
        </w:rPr>
        <w:fldChar w:fldCharType="begin"/>
      </w:r>
      <w:r>
        <w:rPr>
          <w:noProof/>
        </w:rPr>
        <w:instrText xml:space="preserve"> PAGEREF _Toc535417074 \h </w:instrText>
      </w:r>
      <w:r>
        <w:rPr>
          <w:noProof/>
        </w:rPr>
      </w:r>
      <w:r>
        <w:rPr>
          <w:noProof/>
        </w:rPr>
        <w:fldChar w:fldCharType="separate"/>
      </w:r>
      <w:r w:rsidR="00B25B1A">
        <w:rPr>
          <w:noProof/>
        </w:rPr>
        <w:t>214</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19 Zvláštní ustanovení pro osobní lodě</w:t>
      </w:r>
      <w:r>
        <w:rPr>
          <w:noProof/>
        </w:rPr>
        <w:tab/>
      </w:r>
      <w:r>
        <w:rPr>
          <w:noProof/>
        </w:rPr>
        <w:fldChar w:fldCharType="begin"/>
      </w:r>
      <w:r>
        <w:rPr>
          <w:noProof/>
        </w:rPr>
        <w:instrText xml:space="preserve"> PAGEREF _Toc535417075 \h </w:instrText>
      </w:r>
      <w:r>
        <w:rPr>
          <w:noProof/>
        </w:rPr>
      </w:r>
      <w:r>
        <w:rPr>
          <w:noProof/>
        </w:rPr>
        <w:fldChar w:fldCharType="separate"/>
      </w:r>
      <w:r w:rsidR="00B25B1A">
        <w:rPr>
          <w:noProof/>
        </w:rPr>
        <w:t>214</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19.01 Obecná ustanovení</w:t>
      </w:r>
      <w:r>
        <w:rPr>
          <w:noProof/>
        </w:rPr>
        <w:tab/>
      </w:r>
      <w:r>
        <w:rPr>
          <w:noProof/>
        </w:rPr>
        <w:fldChar w:fldCharType="begin"/>
      </w:r>
      <w:r>
        <w:rPr>
          <w:noProof/>
        </w:rPr>
        <w:instrText xml:space="preserve"> PAGEREF _Toc535417076 \h </w:instrText>
      </w:r>
      <w:r>
        <w:rPr>
          <w:noProof/>
        </w:rPr>
      </w:r>
      <w:r>
        <w:rPr>
          <w:noProof/>
        </w:rPr>
        <w:fldChar w:fldCharType="separate"/>
      </w:r>
      <w:r w:rsidR="00B25B1A">
        <w:rPr>
          <w:noProof/>
        </w:rPr>
        <w:t>214</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19.02 Lodní trup</w:t>
      </w:r>
      <w:r>
        <w:rPr>
          <w:noProof/>
        </w:rPr>
        <w:tab/>
      </w:r>
      <w:r>
        <w:rPr>
          <w:noProof/>
        </w:rPr>
        <w:fldChar w:fldCharType="begin"/>
      </w:r>
      <w:r>
        <w:rPr>
          <w:noProof/>
        </w:rPr>
        <w:instrText xml:space="preserve"> PAGEREF _Toc535417077 \h </w:instrText>
      </w:r>
      <w:r>
        <w:rPr>
          <w:noProof/>
        </w:rPr>
      </w:r>
      <w:r>
        <w:rPr>
          <w:noProof/>
        </w:rPr>
        <w:fldChar w:fldCharType="separate"/>
      </w:r>
      <w:r w:rsidR="00B25B1A">
        <w:rPr>
          <w:noProof/>
        </w:rPr>
        <w:t>215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19.03 Stabilita</w:t>
      </w:r>
      <w:r>
        <w:rPr>
          <w:noProof/>
        </w:rPr>
        <w:tab/>
      </w:r>
      <w:r>
        <w:rPr>
          <w:noProof/>
        </w:rPr>
        <w:fldChar w:fldCharType="begin"/>
      </w:r>
      <w:r>
        <w:rPr>
          <w:noProof/>
        </w:rPr>
        <w:instrText xml:space="preserve"> PAGEREF _Toc535417078 \h </w:instrText>
      </w:r>
      <w:r>
        <w:rPr>
          <w:noProof/>
        </w:rPr>
      </w:r>
      <w:r>
        <w:rPr>
          <w:noProof/>
        </w:rPr>
        <w:fldChar w:fldCharType="separate"/>
      </w:r>
      <w:r w:rsidR="00B25B1A">
        <w:rPr>
          <w:noProof/>
        </w:rPr>
        <w:t>219</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19.04 Bezpečnostní vzdálenost a volný bok</w:t>
      </w:r>
      <w:r>
        <w:rPr>
          <w:noProof/>
        </w:rPr>
        <w:tab/>
      </w:r>
      <w:r>
        <w:rPr>
          <w:noProof/>
        </w:rPr>
        <w:fldChar w:fldCharType="begin"/>
      </w:r>
      <w:r>
        <w:rPr>
          <w:noProof/>
        </w:rPr>
        <w:instrText xml:space="preserve"> PAGEREF _Toc535417079 \h </w:instrText>
      </w:r>
      <w:r>
        <w:rPr>
          <w:noProof/>
        </w:rPr>
      </w:r>
      <w:r>
        <w:rPr>
          <w:noProof/>
        </w:rPr>
        <w:fldChar w:fldCharType="separate"/>
      </w:r>
      <w:r w:rsidR="00B25B1A">
        <w:rPr>
          <w:noProof/>
        </w:rPr>
        <w:t>230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19.05 Nejvyšší přípustný počet cestujících</w:t>
      </w:r>
      <w:r>
        <w:rPr>
          <w:noProof/>
        </w:rPr>
        <w:tab/>
      </w:r>
      <w:r>
        <w:rPr>
          <w:noProof/>
        </w:rPr>
        <w:fldChar w:fldCharType="begin"/>
      </w:r>
      <w:r>
        <w:rPr>
          <w:noProof/>
        </w:rPr>
        <w:instrText xml:space="preserve"> PAGEREF _Toc535417080 \h </w:instrText>
      </w:r>
      <w:r>
        <w:rPr>
          <w:noProof/>
        </w:rPr>
      </w:r>
      <w:r>
        <w:rPr>
          <w:noProof/>
        </w:rPr>
        <w:fldChar w:fldCharType="separate"/>
      </w:r>
      <w:r w:rsidR="00B25B1A">
        <w:rPr>
          <w:noProof/>
        </w:rPr>
        <w:t>231</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19.06 Místnosti a prostory pro cestující</w:t>
      </w:r>
      <w:r>
        <w:rPr>
          <w:noProof/>
        </w:rPr>
        <w:tab/>
      </w:r>
      <w:r>
        <w:rPr>
          <w:noProof/>
        </w:rPr>
        <w:fldChar w:fldCharType="begin"/>
      </w:r>
      <w:r>
        <w:rPr>
          <w:noProof/>
        </w:rPr>
        <w:instrText xml:space="preserve"> PAGEREF _Toc535417081 \h </w:instrText>
      </w:r>
      <w:r>
        <w:rPr>
          <w:noProof/>
        </w:rPr>
      </w:r>
      <w:r>
        <w:rPr>
          <w:noProof/>
        </w:rPr>
        <w:fldChar w:fldCharType="separate"/>
      </w:r>
      <w:r w:rsidR="00B25B1A">
        <w:rPr>
          <w:noProof/>
        </w:rPr>
        <w:t>232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19.07 Pohonný systém</w:t>
      </w:r>
      <w:r>
        <w:rPr>
          <w:noProof/>
        </w:rPr>
        <w:tab/>
      </w:r>
      <w:r>
        <w:rPr>
          <w:noProof/>
        </w:rPr>
        <w:fldChar w:fldCharType="begin"/>
      </w:r>
      <w:r>
        <w:rPr>
          <w:noProof/>
        </w:rPr>
        <w:instrText xml:space="preserve"> PAGEREF _Toc535417082 \h </w:instrText>
      </w:r>
      <w:r>
        <w:rPr>
          <w:noProof/>
        </w:rPr>
      </w:r>
      <w:r>
        <w:rPr>
          <w:noProof/>
        </w:rPr>
        <w:fldChar w:fldCharType="separate"/>
      </w:r>
      <w:r w:rsidR="00B25B1A">
        <w:rPr>
          <w:noProof/>
        </w:rPr>
        <w:t>240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19.08 Bezpečnostní zařízení a vybavení</w:t>
      </w:r>
      <w:r>
        <w:rPr>
          <w:noProof/>
        </w:rPr>
        <w:tab/>
      </w:r>
      <w:r>
        <w:rPr>
          <w:noProof/>
        </w:rPr>
        <w:fldChar w:fldCharType="begin"/>
      </w:r>
      <w:r>
        <w:rPr>
          <w:noProof/>
        </w:rPr>
        <w:instrText xml:space="preserve"> PAGEREF _Toc535417083 \h </w:instrText>
      </w:r>
      <w:r>
        <w:rPr>
          <w:noProof/>
        </w:rPr>
      </w:r>
      <w:r>
        <w:rPr>
          <w:noProof/>
        </w:rPr>
        <w:fldChar w:fldCharType="separate"/>
      </w:r>
      <w:r w:rsidR="00B25B1A">
        <w:rPr>
          <w:noProof/>
        </w:rPr>
        <w:t>240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19.09 Záchranné prostředky</w:t>
      </w:r>
      <w:r>
        <w:rPr>
          <w:noProof/>
        </w:rPr>
        <w:tab/>
      </w:r>
      <w:r>
        <w:rPr>
          <w:noProof/>
        </w:rPr>
        <w:fldChar w:fldCharType="begin"/>
      </w:r>
      <w:r>
        <w:rPr>
          <w:noProof/>
        </w:rPr>
        <w:instrText xml:space="preserve"> PAGEREF _Toc535417084 \h </w:instrText>
      </w:r>
      <w:r>
        <w:rPr>
          <w:noProof/>
        </w:rPr>
      </w:r>
      <w:r>
        <w:rPr>
          <w:noProof/>
        </w:rPr>
        <w:fldChar w:fldCharType="separate"/>
      </w:r>
      <w:r w:rsidR="00B25B1A">
        <w:rPr>
          <w:noProof/>
        </w:rPr>
        <w:t>243</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19.10 Elektrická zařízení</w:t>
      </w:r>
      <w:r>
        <w:rPr>
          <w:noProof/>
        </w:rPr>
        <w:tab/>
      </w:r>
      <w:r>
        <w:rPr>
          <w:noProof/>
        </w:rPr>
        <w:fldChar w:fldCharType="begin"/>
      </w:r>
      <w:r>
        <w:rPr>
          <w:noProof/>
        </w:rPr>
        <w:instrText xml:space="preserve"> PAGEREF _Toc535417085 \h </w:instrText>
      </w:r>
      <w:r>
        <w:rPr>
          <w:noProof/>
        </w:rPr>
      </w:r>
      <w:r>
        <w:rPr>
          <w:noProof/>
        </w:rPr>
        <w:fldChar w:fldCharType="separate"/>
      </w:r>
      <w:r w:rsidR="00B25B1A">
        <w:rPr>
          <w:noProof/>
        </w:rPr>
        <w:t>246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19.11 Požární ochrana</w:t>
      </w:r>
      <w:r>
        <w:rPr>
          <w:noProof/>
        </w:rPr>
        <w:tab/>
      </w:r>
      <w:r>
        <w:rPr>
          <w:noProof/>
        </w:rPr>
        <w:fldChar w:fldCharType="begin"/>
      </w:r>
      <w:r>
        <w:rPr>
          <w:noProof/>
        </w:rPr>
        <w:instrText xml:space="preserve"> PAGEREF _Toc535417086 \h </w:instrText>
      </w:r>
      <w:r>
        <w:rPr>
          <w:noProof/>
        </w:rPr>
      </w:r>
      <w:r>
        <w:rPr>
          <w:noProof/>
        </w:rPr>
        <w:fldChar w:fldCharType="separate"/>
      </w:r>
      <w:r w:rsidR="00B25B1A">
        <w:rPr>
          <w:noProof/>
        </w:rPr>
        <w:t>250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19.12 Hašení</w:t>
      </w:r>
      <w:r>
        <w:rPr>
          <w:noProof/>
        </w:rPr>
        <w:tab/>
      </w:r>
      <w:r>
        <w:rPr>
          <w:noProof/>
        </w:rPr>
        <w:fldChar w:fldCharType="begin"/>
      </w:r>
      <w:r>
        <w:rPr>
          <w:noProof/>
        </w:rPr>
        <w:instrText xml:space="preserve"> PAGEREF _Toc535417087 \h </w:instrText>
      </w:r>
      <w:r>
        <w:rPr>
          <w:noProof/>
        </w:rPr>
      </w:r>
      <w:r>
        <w:rPr>
          <w:noProof/>
        </w:rPr>
        <w:fldChar w:fldCharType="separate"/>
      </w:r>
      <w:r w:rsidR="00B25B1A">
        <w:rPr>
          <w:noProof/>
        </w:rPr>
        <w:t>260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19.13 Zajištění bezpečnosti</w:t>
      </w:r>
      <w:r>
        <w:rPr>
          <w:noProof/>
        </w:rPr>
        <w:tab/>
      </w:r>
      <w:r>
        <w:rPr>
          <w:noProof/>
        </w:rPr>
        <w:fldChar w:fldCharType="begin"/>
      </w:r>
      <w:r>
        <w:rPr>
          <w:noProof/>
        </w:rPr>
        <w:instrText xml:space="preserve"> PAGEREF _Toc535417088 \h </w:instrText>
      </w:r>
      <w:r>
        <w:rPr>
          <w:noProof/>
        </w:rPr>
      </w:r>
      <w:r>
        <w:rPr>
          <w:noProof/>
        </w:rPr>
        <w:fldChar w:fldCharType="separate"/>
      </w:r>
      <w:r w:rsidR="00B25B1A">
        <w:rPr>
          <w:noProof/>
        </w:rPr>
        <w:t>262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19.14 Zařízení k shromažďování a odstraňování odpadních vod</w:t>
      </w:r>
      <w:r>
        <w:rPr>
          <w:noProof/>
        </w:rPr>
        <w:tab/>
      </w:r>
      <w:r>
        <w:rPr>
          <w:noProof/>
        </w:rPr>
        <w:fldChar w:fldCharType="begin"/>
      </w:r>
      <w:r>
        <w:rPr>
          <w:noProof/>
        </w:rPr>
        <w:instrText xml:space="preserve"> PAGEREF _Toc535417089 \h </w:instrText>
      </w:r>
      <w:r>
        <w:rPr>
          <w:noProof/>
        </w:rPr>
      </w:r>
      <w:r>
        <w:rPr>
          <w:noProof/>
        </w:rPr>
        <w:fldChar w:fldCharType="separate"/>
      </w:r>
      <w:r w:rsidR="00B25B1A">
        <w:rPr>
          <w:noProof/>
        </w:rPr>
        <w:t>266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19.15 Výjimky u některých osobních lodí</w:t>
      </w:r>
      <w:r>
        <w:rPr>
          <w:noProof/>
        </w:rPr>
        <w:tab/>
      </w:r>
      <w:r>
        <w:rPr>
          <w:noProof/>
        </w:rPr>
        <w:fldChar w:fldCharType="begin"/>
      </w:r>
      <w:r>
        <w:rPr>
          <w:noProof/>
        </w:rPr>
        <w:instrText xml:space="preserve"> PAGEREF _Toc535417090 \h </w:instrText>
      </w:r>
      <w:r>
        <w:rPr>
          <w:noProof/>
        </w:rPr>
      </w:r>
      <w:r>
        <w:rPr>
          <w:noProof/>
        </w:rPr>
        <w:fldChar w:fldCharType="separate"/>
      </w:r>
      <w:r w:rsidR="00B25B1A">
        <w:rPr>
          <w:noProof/>
        </w:rPr>
        <w:t>266</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20 Zvláštní ustanovení pro osobní plachetní lodě neprovozované na Rýně (zóna R)</w:t>
      </w:r>
      <w:r>
        <w:rPr>
          <w:noProof/>
        </w:rPr>
        <w:tab/>
      </w:r>
      <w:r>
        <w:rPr>
          <w:noProof/>
        </w:rPr>
        <w:fldChar w:fldCharType="begin"/>
      </w:r>
      <w:r>
        <w:rPr>
          <w:noProof/>
        </w:rPr>
        <w:instrText xml:space="preserve"> PAGEREF _Toc535417091 \h </w:instrText>
      </w:r>
      <w:r>
        <w:rPr>
          <w:noProof/>
        </w:rPr>
      </w:r>
      <w:r>
        <w:rPr>
          <w:noProof/>
        </w:rPr>
        <w:fldChar w:fldCharType="separate"/>
      </w:r>
      <w:r w:rsidR="00B25B1A">
        <w:rPr>
          <w:noProof/>
        </w:rPr>
        <w:t>270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20.01 Použití částí II a III</w:t>
      </w:r>
      <w:r>
        <w:rPr>
          <w:noProof/>
        </w:rPr>
        <w:tab/>
      </w:r>
      <w:r>
        <w:rPr>
          <w:noProof/>
        </w:rPr>
        <w:fldChar w:fldCharType="begin"/>
      </w:r>
      <w:r>
        <w:rPr>
          <w:noProof/>
        </w:rPr>
        <w:instrText xml:space="preserve"> PAGEREF _Toc535417092 \h </w:instrText>
      </w:r>
      <w:r>
        <w:rPr>
          <w:noProof/>
        </w:rPr>
      </w:r>
      <w:r>
        <w:rPr>
          <w:noProof/>
        </w:rPr>
        <w:fldChar w:fldCharType="separate"/>
      </w:r>
      <w:r w:rsidR="00B25B1A">
        <w:rPr>
          <w:noProof/>
        </w:rPr>
        <w:t>270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20.02 Výjimky u některých osobních plachetních lodí</w:t>
      </w:r>
      <w:r>
        <w:rPr>
          <w:noProof/>
        </w:rPr>
        <w:tab/>
      </w:r>
      <w:r>
        <w:rPr>
          <w:noProof/>
        </w:rPr>
        <w:fldChar w:fldCharType="begin"/>
      </w:r>
      <w:r>
        <w:rPr>
          <w:noProof/>
        </w:rPr>
        <w:instrText xml:space="preserve"> PAGEREF _Toc535417093 \h </w:instrText>
      </w:r>
      <w:r>
        <w:rPr>
          <w:noProof/>
        </w:rPr>
      </w:r>
      <w:r>
        <w:rPr>
          <w:noProof/>
        </w:rPr>
        <w:fldChar w:fldCharType="separate"/>
      </w:r>
      <w:r w:rsidR="00B25B1A">
        <w:rPr>
          <w:noProof/>
        </w:rPr>
        <w:t>270</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20.03 Požadavky na stabilitu u plachtících lodí</w:t>
      </w:r>
      <w:r>
        <w:rPr>
          <w:noProof/>
        </w:rPr>
        <w:tab/>
      </w:r>
      <w:r>
        <w:rPr>
          <w:noProof/>
        </w:rPr>
        <w:fldChar w:fldCharType="begin"/>
      </w:r>
      <w:r>
        <w:rPr>
          <w:noProof/>
        </w:rPr>
        <w:instrText xml:space="preserve"> PAGEREF _Toc535417094 \h </w:instrText>
      </w:r>
      <w:r>
        <w:rPr>
          <w:noProof/>
        </w:rPr>
      </w:r>
      <w:r>
        <w:rPr>
          <w:noProof/>
        </w:rPr>
        <w:fldChar w:fldCharType="separate"/>
      </w:r>
      <w:r w:rsidR="00B25B1A">
        <w:rPr>
          <w:noProof/>
        </w:rPr>
        <w:t>270</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20.04 Požadavky na stavbu lodi a strojní zařízení</w:t>
      </w:r>
      <w:r>
        <w:rPr>
          <w:noProof/>
        </w:rPr>
        <w:tab/>
      </w:r>
      <w:r>
        <w:rPr>
          <w:noProof/>
        </w:rPr>
        <w:fldChar w:fldCharType="begin"/>
      </w:r>
      <w:r>
        <w:rPr>
          <w:noProof/>
        </w:rPr>
        <w:instrText xml:space="preserve"> PAGEREF _Toc535417095 \h </w:instrText>
      </w:r>
      <w:r>
        <w:rPr>
          <w:noProof/>
        </w:rPr>
      </w:r>
      <w:r>
        <w:rPr>
          <w:noProof/>
        </w:rPr>
        <w:fldChar w:fldCharType="separate"/>
      </w:r>
      <w:r w:rsidR="00B25B1A">
        <w:rPr>
          <w:noProof/>
        </w:rPr>
        <w:t>272</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20.05 Takeláž obecně</w:t>
      </w:r>
      <w:r>
        <w:rPr>
          <w:noProof/>
        </w:rPr>
        <w:tab/>
      </w:r>
      <w:r>
        <w:rPr>
          <w:noProof/>
        </w:rPr>
        <w:fldChar w:fldCharType="begin"/>
      </w:r>
      <w:r>
        <w:rPr>
          <w:noProof/>
        </w:rPr>
        <w:instrText xml:space="preserve"> PAGEREF _Toc535417096 \h </w:instrText>
      </w:r>
      <w:r>
        <w:rPr>
          <w:noProof/>
        </w:rPr>
      </w:r>
      <w:r>
        <w:rPr>
          <w:noProof/>
        </w:rPr>
        <w:fldChar w:fldCharType="separate"/>
      </w:r>
      <w:r w:rsidR="00B25B1A">
        <w:rPr>
          <w:noProof/>
        </w:rPr>
        <w:t>272</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20.06 Stěžně a lodní kulatina obecně</w:t>
      </w:r>
      <w:r>
        <w:rPr>
          <w:noProof/>
        </w:rPr>
        <w:tab/>
      </w:r>
      <w:r>
        <w:rPr>
          <w:noProof/>
        </w:rPr>
        <w:fldChar w:fldCharType="begin"/>
      </w:r>
      <w:r>
        <w:rPr>
          <w:noProof/>
        </w:rPr>
        <w:instrText xml:space="preserve"> PAGEREF _Toc535417097 \h </w:instrText>
      </w:r>
      <w:r>
        <w:rPr>
          <w:noProof/>
        </w:rPr>
      </w:r>
      <w:r>
        <w:rPr>
          <w:noProof/>
        </w:rPr>
        <w:fldChar w:fldCharType="separate"/>
      </w:r>
      <w:r w:rsidR="00B25B1A">
        <w:rPr>
          <w:noProof/>
        </w:rPr>
        <w:t>274</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20.07 Zvláštní ustanovení pro stěžně</w:t>
      </w:r>
      <w:r>
        <w:rPr>
          <w:noProof/>
        </w:rPr>
        <w:tab/>
      </w:r>
      <w:r>
        <w:rPr>
          <w:noProof/>
        </w:rPr>
        <w:fldChar w:fldCharType="begin"/>
      </w:r>
      <w:r>
        <w:rPr>
          <w:noProof/>
        </w:rPr>
        <w:instrText xml:space="preserve"> PAGEREF _Toc535417098 \h </w:instrText>
      </w:r>
      <w:r>
        <w:rPr>
          <w:noProof/>
        </w:rPr>
      </w:r>
      <w:r>
        <w:rPr>
          <w:noProof/>
        </w:rPr>
        <w:fldChar w:fldCharType="separate"/>
      </w:r>
      <w:r w:rsidR="00B25B1A">
        <w:rPr>
          <w:noProof/>
        </w:rPr>
        <w:t>274</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20.08 Zvláštní ustanovení pro košové čnělky</w:t>
      </w:r>
      <w:r>
        <w:rPr>
          <w:noProof/>
        </w:rPr>
        <w:tab/>
      </w:r>
      <w:r>
        <w:rPr>
          <w:noProof/>
        </w:rPr>
        <w:fldChar w:fldCharType="begin"/>
      </w:r>
      <w:r>
        <w:rPr>
          <w:noProof/>
        </w:rPr>
        <w:instrText xml:space="preserve"> PAGEREF _Toc535417099 \h </w:instrText>
      </w:r>
      <w:r>
        <w:rPr>
          <w:noProof/>
        </w:rPr>
      </w:r>
      <w:r>
        <w:rPr>
          <w:noProof/>
        </w:rPr>
        <w:fldChar w:fldCharType="separate"/>
      </w:r>
      <w:r w:rsidR="00B25B1A">
        <w:rPr>
          <w:noProof/>
        </w:rPr>
        <w:t>275</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20.09 Zvláštní ustanovení pro příďové čeleny</w:t>
      </w:r>
      <w:r>
        <w:rPr>
          <w:noProof/>
        </w:rPr>
        <w:tab/>
      </w:r>
      <w:r>
        <w:rPr>
          <w:noProof/>
        </w:rPr>
        <w:fldChar w:fldCharType="begin"/>
      </w:r>
      <w:r>
        <w:rPr>
          <w:noProof/>
        </w:rPr>
        <w:instrText xml:space="preserve"> PAGEREF _Toc535417100 \h </w:instrText>
      </w:r>
      <w:r>
        <w:rPr>
          <w:noProof/>
        </w:rPr>
      </w:r>
      <w:r>
        <w:rPr>
          <w:noProof/>
        </w:rPr>
        <w:fldChar w:fldCharType="separate"/>
      </w:r>
      <w:r w:rsidR="00B25B1A">
        <w:rPr>
          <w:noProof/>
        </w:rPr>
        <w:t>277</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20.10 Zvláštní ustanovení pro čelenní čnělky</w:t>
      </w:r>
      <w:r>
        <w:rPr>
          <w:noProof/>
        </w:rPr>
        <w:tab/>
      </w:r>
      <w:r>
        <w:rPr>
          <w:noProof/>
        </w:rPr>
        <w:fldChar w:fldCharType="begin"/>
      </w:r>
      <w:r>
        <w:rPr>
          <w:noProof/>
        </w:rPr>
        <w:instrText xml:space="preserve"> PAGEREF _Toc535417101 \h </w:instrText>
      </w:r>
      <w:r>
        <w:rPr>
          <w:noProof/>
        </w:rPr>
      </w:r>
      <w:r>
        <w:rPr>
          <w:noProof/>
        </w:rPr>
        <w:fldChar w:fldCharType="separate"/>
      </w:r>
      <w:r w:rsidR="00B25B1A">
        <w:rPr>
          <w:noProof/>
        </w:rPr>
        <w:t>277</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20.11 Zvláštní ustanovení pro hlavní vratipně</w:t>
      </w:r>
      <w:r>
        <w:rPr>
          <w:noProof/>
        </w:rPr>
        <w:tab/>
      </w:r>
      <w:r>
        <w:rPr>
          <w:noProof/>
        </w:rPr>
        <w:fldChar w:fldCharType="begin"/>
      </w:r>
      <w:r>
        <w:rPr>
          <w:noProof/>
        </w:rPr>
        <w:instrText xml:space="preserve"> PAGEREF _Toc535417102 \h </w:instrText>
      </w:r>
      <w:r>
        <w:rPr>
          <w:noProof/>
        </w:rPr>
      </w:r>
      <w:r>
        <w:rPr>
          <w:noProof/>
        </w:rPr>
        <w:fldChar w:fldCharType="separate"/>
      </w:r>
      <w:r w:rsidR="00B25B1A">
        <w:rPr>
          <w:noProof/>
        </w:rPr>
        <w:t>279</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20.12 Zvláštní ustanovení pro vratiráhna</w:t>
      </w:r>
      <w:r>
        <w:rPr>
          <w:noProof/>
        </w:rPr>
        <w:tab/>
      </w:r>
      <w:r>
        <w:rPr>
          <w:noProof/>
        </w:rPr>
        <w:fldChar w:fldCharType="begin"/>
      </w:r>
      <w:r>
        <w:rPr>
          <w:noProof/>
        </w:rPr>
        <w:instrText xml:space="preserve"> PAGEREF _Toc535417103 \h </w:instrText>
      </w:r>
      <w:r>
        <w:rPr>
          <w:noProof/>
        </w:rPr>
      </w:r>
      <w:r>
        <w:rPr>
          <w:noProof/>
        </w:rPr>
        <w:fldChar w:fldCharType="separate"/>
      </w:r>
      <w:r w:rsidR="00B25B1A">
        <w:rPr>
          <w:noProof/>
        </w:rPr>
        <w:t>279</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20.13 Obecná ustanovení pro pevnou a pohyblivou takeláž</w:t>
      </w:r>
      <w:r>
        <w:rPr>
          <w:noProof/>
        </w:rPr>
        <w:tab/>
      </w:r>
      <w:r>
        <w:rPr>
          <w:noProof/>
        </w:rPr>
        <w:fldChar w:fldCharType="begin"/>
      </w:r>
      <w:r>
        <w:rPr>
          <w:noProof/>
        </w:rPr>
        <w:instrText xml:space="preserve"> PAGEREF _Toc535417104 \h </w:instrText>
      </w:r>
      <w:r>
        <w:rPr>
          <w:noProof/>
        </w:rPr>
      </w:r>
      <w:r>
        <w:rPr>
          <w:noProof/>
        </w:rPr>
        <w:fldChar w:fldCharType="separate"/>
      </w:r>
      <w:r w:rsidR="00B25B1A">
        <w:rPr>
          <w:noProof/>
        </w:rPr>
        <w:t>281</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20.14 Zvláštní ustanovení pro pevnou takeláž</w:t>
      </w:r>
      <w:r>
        <w:rPr>
          <w:noProof/>
        </w:rPr>
        <w:tab/>
      </w:r>
      <w:r>
        <w:rPr>
          <w:noProof/>
        </w:rPr>
        <w:fldChar w:fldCharType="begin"/>
      </w:r>
      <w:r>
        <w:rPr>
          <w:noProof/>
        </w:rPr>
        <w:instrText xml:space="preserve"> PAGEREF _Toc535417105 \h </w:instrText>
      </w:r>
      <w:r>
        <w:rPr>
          <w:noProof/>
        </w:rPr>
      </w:r>
      <w:r>
        <w:rPr>
          <w:noProof/>
        </w:rPr>
        <w:fldChar w:fldCharType="separate"/>
      </w:r>
      <w:r w:rsidR="00B25B1A">
        <w:rPr>
          <w:noProof/>
        </w:rPr>
        <w:t>281</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20.15 Zvláštní ustanovení pro pohyblivou takeláž</w:t>
      </w:r>
      <w:r>
        <w:rPr>
          <w:noProof/>
        </w:rPr>
        <w:tab/>
      </w:r>
      <w:r>
        <w:rPr>
          <w:noProof/>
        </w:rPr>
        <w:fldChar w:fldCharType="begin"/>
      </w:r>
      <w:r>
        <w:rPr>
          <w:noProof/>
        </w:rPr>
        <w:instrText xml:space="preserve"> PAGEREF _Toc535417106 \h </w:instrText>
      </w:r>
      <w:r>
        <w:rPr>
          <w:noProof/>
        </w:rPr>
      </w:r>
      <w:r>
        <w:rPr>
          <w:noProof/>
        </w:rPr>
        <w:fldChar w:fldCharType="separate"/>
      </w:r>
      <w:r w:rsidR="00B25B1A">
        <w:rPr>
          <w:noProof/>
        </w:rPr>
        <w:t>283</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20.16 Kování a součásti takeláže</w:t>
      </w:r>
      <w:r>
        <w:rPr>
          <w:noProof/>
        </w:rPr>
        <w:tab/>
      </w:r>
      <w:r>
        <w:rPr>
          <w:noProof/>
        </w:rPr>
        <w:fldChar w:fldCharType="begin"/>
      </w:r>
      <w:r>
        <w:rPr>
          <w:noProof/>
        </w:rPr>
        <w:instrText xml:space="preserve"> PAGEREF _Toc535417107 \h </w:instrText>
      </w:r>
      <w:r>
        <w:rPr>
          <w:noProof/>
        </w:rPr>
      </w:r>
      <w:r>
        <w:rPr>
          <w:noProof/>
        </w:rPr>
        <w:fldChar w:fldCharType="separate"/>
      </w:r>
      <w:r w:rsidR="00B25B1A">
        <w:rPr>
          <w:noProof/>
        </w:rPr>
        <w:t>284</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20.17 Plachty</w:t>
      </w:r>
      <w:r>
        <w:rPr>
          <w:noProof/>
        </w:rPr>
        <w:tab/>
      </w:r>
      <w:r>
        <w:rPr>
          <w:noProof/>
        </w:rPr>
        <w:fldChar w:fldCharType="begin"/>
      </w:r>
      <w:r>
        <w:rPr>
          <w:noProof/>
        </w:rPr>
        <w:instrText xml:space="preserve"> PAGEREF _Toc535417108 \h </w:instrText>
      </w:r>
      <w:r>
        <w:rPr>
          <w:noProof/>
        </w:rPr>
      </w:r>
      <w:r>
        <w:rPr>
          <w:noProof/>
        </w:rPr>
        <w:fldChar w:fldCharType="separate"/>
      </w:r>
      <w:r w:rsidR="00B25B1A">
        <w:rPr>
          <w:noProof/>
        </w:rPr>
        <w:t>286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20.18 Výstroj</w:t>
      </w:r>
      <w:r>
        <w:rPr>
          <w:noProof/>
        </w:rPr>
        <w:tab/>
      </w:r>
      <w:r>
        <w:rPr>
          <w:noProof/>
        </w:rPr>
        <w:fldChar w:fldCharType="begin"/>
      </w:r>
      <w:r>
        <w:rPr>
          <w:noProof/>
        </w:rPr>
        <w:instrText xml:space="preserve"> PAGEREF _Toc535417109 \h </w:instrText>
      </w:r>
      <w:r>
        <w:rPr>
          <w:noProof/>
        </w:rPr>
      </w:r>
      <w:r>
        <w:rPr>
          <w:noProof/>
        </w:rPr>
        <w:fldChar w:fldCharType="separate"/>
      </w:r>
      <w:r w:rsidR="00B25B1A">
        <w:rPr>
          <w:noProof/>
        </w:rPr>
        <w:t>286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20.19 Zkoušky</w:t>
      </w:r>
      <w:r>
        <w:rPr>
          <w:noProof/>
        </w:rPr>
        <w:tab/>
      </w:r>
      <w:r>
        <w:rPr>
          <w:noProof/>
        </w:rPr>
        <w:fldChar w:fldCharType="begin"/>
      </w:r>
      <w:r>
        <w:rPr>
          <w:noProof/>
        </w:rPr>
        <w:instrText xml:space="preserve"> PAGEREF _Toc535417110 \h </w:instrText>
      </w:r>
      <w:r>
        <w:rPr>
          <w:noProof/>
        </w:rPr>
      </w:r>
      <w:r>
        <w:rPr>
          <w:noProof/>
        </w:rPr>
        <w:fldChar w:fldCharType="separate"/>
      </w:r>
      <w:r w:rsidR="00B25B1A">
        <w:rPr>
          <w:noProof/>
        </w:rPr>
        <w:t>286</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21 Zvláštní ustanovení pro plavidla, která jsou určena k použití jako součást tlačné nebo vlečné sestavy nebo bočně svázané sestavy</w:t>
      </w:r>
      <w:r>
        <w:rPr>
          <w:noProof/>
        </w:rPr>
        <w:tab/>
      </w:r>
      <w:r>
        <w:rPr>
          <w:noProof/>
        </w:rPr>
        <w:fldChar w:fldCharType="begin"/>
      </w:r>
      <w:r>
        <w:rPr>
          <w:noProof/>
        </w:rPr>
        <w:instrText xml:space="preserve"> PAGEREF _Toc535417111 \h </w:instrText>
      </w:r>
      <w:r>
        <w:rPr>
          <w:noProof/>
        </w:rPr>
      </w:r>
      <w:r>
        <w:rPr>
          <w:noProof/>
        </w:rPr>
        <w:fldChar w:fldCharType="separate"/>
      </w:r>
      <w:r w:rsidR="00B25B1A">
        <w:rPr>
          <w:noProof/>
        </w:rPr>
        <w:t>288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21.01 Plavidla vhodná k tlačení</w:t>
      </w:r>
      <w:r>
        <w:rPr>
          <w:noProof/>
        </w:rPr>
        <w:tab/>
      </w:r>
      <w:r>
        <w:rPr>
          <w:noProof/>
        </w:rPr>
        <w:fldChar w:fldCharType="begin"/>
      </w:r>
      <w:r>
        <w:rPr>
          <w:noProof/>
        </w:rPr>
        <w:instrText xml:space="preserve"> PAGEREF _Toc535417112 \h </w:instrText>
      </w:r>
      <w:r>
        <w:rPr>
          <w:noProof/>
        </w:rPr>
      </w:r>
      <w:r>
        <w:rPr>
          <w:noProof/>
        </w:rPr>
        <w:fldChar w:fldCharType="separate"/>
      </w:r>
      <w:r w:rsidR="00B25B1A">
        <w:rPr>
          <w:noProof/>
        </w:rPr>
        <w:t>288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21.02 Plavidla, která mohou být tlačena</w:t>
      </w:r>
      <w:r>
        <w:rPr>
          <w:noProof/>
        </w:rPr>
        <w:tab/>
      </w:r>
      <w:r>
        <w:rPr>
          <w:noProof/>
        </w:rPr>
        <w:fldChar w:fldCharType="begin"/>
      </w:r>
      <w:r>
        <w:rPr>
          <w:noProof/>
        </w:rPr>
        <w:instrText xml:space="preserve"> PAGEREF _Toc535417113 \h </w:instrText>
      </w:r>
      <w:r>
        <w:rPr>
          <w:noProof/>
        </w:rPr>
      </w:r>
      <w:r>
        <w:rPr>
          <w:noProof/>
        </w:rPr>
        <w:fldChar w:fldCharType="separate"/>
      </w:r>
      <w:r w:rsidR="00B25B1A">
        <w:rPr>
          <w:noProof/>
        </w:rPr>
        <w:t>288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21.03 Plavidla vhodná k pohonu bočně svázaných sestav</w:t>
      </w:r>
      <w:r>
        <w:rPr>
          <w:noProof/>
        </w:rPr>
        <w:tab/>
      </w:r>
      <w:r>
        <w:rPr>
          <w:noProof/>
        </w:rPr>
        <w:fldChar w:fldCharType="begin"/>
      </w:r>
      <w:r>
        <w:rPr>
          <w:noProof/>
        </w:rPr>
        <w:instrText xml:space="preserve"> PAGEREF _Toc535417114 \h </w:instrText>
      </w:r>
      <w:r>
        <w:rPr>
          <w:noProof/>
        </w:rPr>
      </w:r>
      <w:r>
        <w:rPr>
          <w:noProof/>
        </w:rPr>
        <w:fldChar w:fldCharType="separate"/>
      </w:r>
      <w:r w:rsidR="00B25B1A">
        <w:rPr>
          <w:noProof/>
        </w:rPr>
        <w:t>290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21.04 Plavidla, která mohou být vedena v sestavách</w:t>
      </w:r>
      <w:r>
        <w:rPr>
          <w:noProof/>
        </w:rPr>
        <w:tab/>
      </w:r>
      <w:r>
        <w:rPr>
          <w:noProof/>
        </w:rPr>
        <w:fldChar w:fldCharType="begin"/>
      </w:r>
      <w:r>
        <w:rPr>
          <w:noProof/>
        </w:rPr>
        <w:instrText xml:space="preserve"> PAGEREF _Toc535417115 \h </w:instrText>
      </w:r>
      <w:r>
        <w:rPr>
          <w:noProof/>
        </w:rPr>
      </w:r>
      <w:r>
        <w:rPr>
          <w:noProof/>
        </w:rPr>
        <w:fldChar w:fldCharType="separate"/>
      </w:r>
      <w:r w:rsidR="00B25B1A">
        <w:rPr>
          <w:noProof/>
        </w:rPr>
        <w:t>290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21.05 Plavidla vhodná k vlečení</w:t>
      </w:r>
      <w:r>
        <w:rPr>
          <w:noProof/>
        </w:rPr>
        <w:tab/>
      </w:r>
      <w:r>
        <w:rPr>
          <w:noProof/>
        </w:rPr>
        <w:fldChar w:fldCharType="begin"/>
      </w:r>
      <w:r>
        <w:rPr>
          <w:noProof/>
        </w:rPr>
        <w:instrText xml:space="preserve"> PAGEREF _Toc535417116 \h </w:instrText>
      </w:r>
      <w:r>
        <w:rPr>
          <w:noProof/>
        </w:rPr>
      </w:r>
      <w:r>
        <w:rPr>
          <w:noProof/>
        </w:rPr>
        <w:fldChar w:fldCharType="separate"/>
      </w:r>
      <w:r w:rsidR="00B25B1A">
        <w:rPr>
          <w:noProof/>
        </w:rPr>
        <w:t>290</w:t>
      </w:r>
      <w:r>
        <w:rPr>
          <w:noProof/>
        </w:rPr>
        <w:fldChar w:fldCharType="end"/>
      </w:r>
    </w:p>
    <w:p w:rsidR="00B25B1A" w:rsidRDefault="00B25B1A">
      <w:pPr>
        <w:spacing w:after="0" w:line="240" w:lineRule="auto"/>
        <w:rPr>
          <w:rFonts w:ascii="Arial" w:eastAsia="Times New Roman" w:hAnsi="Arial" w:cs="Times New Roman"/>
          <w:i/>
          <w:iCs/>
          <w:noProof/>
          <w:sz w:val="20"/>
          <w:szCs w:val="20"/>
          <w:lang w:val="cs-CZ" w:eastAsia="cs-CZ" w:bidi="cs-CZ"/>
        </w:rPr>
      </w:pPr>
      <w:r>
        <w:rPr>
          <w:noProof/>
        </w:rPr>
        <w:br w:type="page"/>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21.06 Zkušební plavby sestav</w:t>
      </w:r>
      <w:r>
        <w:rPr>
          <w:noProof/>
        </w:rPr>
        <w:tab/>
      </w:r>
      <w:r>
        <w:rPr>
          <w:noProof/>
        </w:rPr>
        <w:fldChar w:fldCharType="begin"/>
      </w:r>
      <w:r>
        <w:rPr>
          <w:noProof/>
        </w:rPr>
        <w:instrText xml:space="preserve"> PAGEREF _Toc535417117 \h </w:instrText>
      </w:r>
      <w:r>
        <w:rPr>
          <w:noProof/>
        </w:rPr>
      </w:r>
      <w:r>
        <w:rPr>
          <w:noProof/>
        </w:rPr>
        <w:fldChar w:fldCharType="separate"/>
      </w:r>
      <w:r w:rsidR="00B25B1A">
        <w:rPr>
          <w:noProof/>
        </w:rPr>
        <w:t>291</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21.07 Záznamy v osvědčení plavidla vnitrozemské plavby</w:t>
      </w:r>
      <w:r>
        <w:rPr>
          <w:noProof/>
        </w:rPr>
        <w:tab/>
      </w:r>
      <w:r>
        <w:rPr>
          <w:noProof/>
        </w:rPr>
        <w:fldChar w:fldCharType="begin"/>
      </w:r>
      <w:r>
        <w:rPr>
          <w:noProof/>
        </w:rPr>
        <w:instrText xml:space="preserve"> PAGEREF _Toc535417118 \h </w:instrText>
      </w:r>
      <w:r>
        <w:rPr>
          <w:noProof/>
        </w:rPr>
      </w:r>
      <w:r>
        <w:rPr>
          <w:noProof/>
        </w:rPr>
        <w:fldChar w:fldCharType="separate"/>
      </w:r>
      <w:r w:rsidR="00B25B1A">
        <w:rPr>
          <w:noProof/>
        </w:rPr>
        <w:t>292</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22 Zvláštní ustanovení pro plovoucí stroje</w:t>
      </w:r>
      <w:r>
        <w:rPr>
          <w:noProof/>
        </w:rPr>
        <w:tab/>
      </w:r>
      <w:r>
        <w:rPr>
          <w:noProof/>
        </w:rPr>
        <w:fldChar w:fldCharType="begin"/>
      </w:r>
      <w:r>
        <w:rPr>
          <w:noProof/>
        </w:rPr>
        <w:instrText xml:space="preserve"> PAGEREF _Toc535417119 \h </w:instrText>
      </w:r>
      <w:r>
        <w:rPr>
          <w:noProof/>
        </w:rPr>
      </w:r>
      <w:r>
        <w:rPr>
          <w:noProof/>
        </w:rPr>
        <w:fldChar w:fldCharType="separate"/>
      </w:r>
      <w:r w:rsidR="00B25B1A">
        <w:rPr>
          <w:noProof/>
        </w:rPr>
        <w:t>294</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22.01 Obecně</w:t>
      </w:r>
      <w:r>
        <w:rPr>
          <w:noProof/>
        </w:rPr>
        <w:tab/>
      </w:r>
      <w:r>
        <w:rPr>
          <w:noProof/>
        </w:rPr>
        <w:fldChar w:fldCharType="begin"/>
      </w:r>
      <w:r>
        <w:rPr>
          <w:noProof/>
        </w:rPr>
        <w:instrText xml:space="preserve"> PAGEREF _Toc535417120 \h </w:instrText>
      </w:r>
      <w:r>
        <w:rPr>
          <w:noProof/>
        </w:rPr>
      </w:r>
      <w:r>
        <w:rPr>
          <w:noProof/>
        </w:rPr>
        <w:fldChar w:fldCharType="separate"/>
      </w:r>
      <w:r w:rsidR="00B25B1A">
        <w:rPr>
          <w:noProof/>
        </w:rPr>
        <w:t>294</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22.02 Odchylky</w:t>
      </w:r>
      <w:r>
        <w:rPr>
          <w:noProof/>
        </w:rPr>
        <w:tab/>
      </w:r>
      <w:r>
        <w:rPr>
          <w:noProof/>
        </w:rPr>
        <w:fldChar w:fldCharType="begin"/>
      </w:r>
      <w:r>
        <w:rPr>
          <w:noProof/>
        </w:rPr>
        <w:instrText xml:space="preserve"> PAGEREF _Toc535417121 \h </w:instrText>
      </w:r>
      <w:r>
        <w:rPr>
          <w:noProof/>
        </w:rPr>
      </w:r>
      <w:r>
        <w:rPr>
          <w:noProof/>
        </w:rPr>
        <w:fldChar w:fldCharType="separate"/>
      </w:r>
      <w:r w:rsidR="00B25B1A">
        <w:rPr>
          <w:noProof/>
        </w:rPr>
        <w:t>294</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22.03 Dodatečné požadavky</w:t>
      </w:r>
      <w:r>
        <w:rPr>
          <w:noProof/>
        </w:rPr>
        <w:tab/>
      </w:r>
      <w:r>
        <w:rPr>
          <w:noProof/>
        </w:rPr>
        <w:fldChar w:fldCharType="begin"/>
      </w:r>
      <w:r>
        <w:rPr>
          <w:noProof/>
        </w:rPr>
        <w:instrText xml:space="preserve"> PAGEREF _Toc535417122 \h </w:instrText>
      </w:r>
      <w:r>
        <w:rPr>
          <w:noProof/>
        </w:rPr>
      </w:r>
      <w:r>
        <w:rPr>
          <w:noProof/>
        </w:rPr>
        <w:fldChar w:fldCharType="separate"/>
      </w:r>
      <w:r w:rsidR="00B25B1A">
        <w:rPr>
          <w:noProof/>
        </w:rPr>
        <w:t>296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22.04 Zbývající bezpečnostní vzdálenost</w:t>
      </w:r>
      <w:r>
        <w:rPr>
          <w:noProof/>
        </w:rPr>
        <w:tab/>
      </w:r>
      <w:r>
        <w:rPr>
          <w:noProof/>
        </w:rPr>
        <w:fldChar w:fldCharType="begin"/>
      </w:r>
      <w:r>
        <w:rPr>
          <w:noProof/>
        </w:rPr>
        <w:instrText xml:space="preserve"> PAGEREF _Toc535417123 \h </w:instrText>
      </w:r>
      <w:r>
        <w:rPr>
          <w:noProof/>
        </w:rPr>
      </w:r>
      <w:r>
        <w:rPr>
          <w:noProof/>
        </w:rPr>
        <w:fldChar w:fldCharType="separate"/>
      </w:r>
      <w:r w:rsidR="00B25B1A">
        <w:rPr>
          <w:noProof/>
        </w:rPr>
        <w:t>296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22.05 Zbývající volný bok</w:t>
      </w:r>
      <w:r>
        <w:rPr>
          <w:noProof/>
        </w:rPr>
        <w:tab/>
      </w:r>
      <w:r>
        <w:rPr>
          <w:noProof/>
        </w:rPr>
        <w:fldChar w:fldCharType="begin"/>
      </w:r>
      <w:r>
        <w:rPr>
          <w:noProof/>
        </w:rPr>
        <w:instrText xml:space="preserve"> PAGEREF _Toc535417124 \h </w:instrText>
      </w:r>
      <w:r>
        <w:rPr>
          <w:noProof/>
        </w:rPr>
      </w:r>
      <w:r>
        <w:rPr>
          <w:noProof/>
        </w:rPr>
        <w:fldChar w:fldCharType="separate"/>
      </w:r>
      <w:r w:rsidR="00B25B1A">
        <w:rPr>
          <w:noProof/>
        </w:rPr>
        <w:t>297</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22.06 Zkouška náklonu</w:t>
      </w:r>
      <w:r>
        <w:rPr>
          <w:noProof/>
        </w:rPr>
        <w:tab/>
      </w:r>
      <w:r>
        <w:rPr>
          <w:noProof/>
        </w:rPr>
        <w:fldChar w:fldCharType="begin"/>
      </w:r>
      <w:r>
        <w:rPr>
          <w:noProof/>
        </w:rPr>
        <w:instrText xml:space="preserve"> PAGEREF _Toc535417125 \h </w:instrText>
      </w:r>
      <w:r>
        <w:rPr>
          <w:noProof/>
        </w:rPr>
      </w:r>
      <w:r>
        <w:rPr>
          <w:noProof/>
        </w:rPr>
        <w:fldChar w:fldCharType="separate"/>
      </w:r>
      <w:r w:rsidR="00B25B1A">
        <w:rPr>
          <w:noProof/>
        </w:rPr>
        <w:t>298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22.07 Potvrzení stability</w:t>
      </w:r>
      <w:r>
        <w:rPr>
          <w:noProof/>
        </w:rPr>
        <w:tab/>
      </w:r>
      <w:r>
        <w:rPr>
          <w:noProof/>
        </w:rPr>
        <w:fldChar w:fldCharType="begin"/>
      </w:r>
      <w:r>
        <w:rPr>
          <w:noProof/>
        </w:rPr>
        <w:instrText xml:space="preserve"> PAGEREF _Toc535417126 \h </w:instrText>
      </w:r>
      <w:r>
        <w:rPr>
          <w:noProof/>
        </w:rPr>
      </w:r>
      <w:r>
        <w:rPr>
          <w:noProof/>
        </w:rPr>
        <w:fldChar w:fldCharType="separate"/>
      </w:r>
      <w:r w:rsidR="00B25B1A">
        <w:rPr>
          <w:noProof/>
        </w:rPr>
        <w:t>298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22.08 Potvrzení stability při menším zbývajícím volném boku</w:t>
      </w:r>
      <w:r>
        <w:rPr>
          <w:noProof/>
        </w:rPr>
        <w:tab/>
      </w:r>
      <w:r>
        <w:rPr>
          <w:noProof/>
        </w:rPr>
        <w:fldChar w:fldCharType="begin"/>
      </w:r>
      <w:r>
        <w:rPr>
          <w:noProof/>
        </w:rPr>
        <w:instrText xml:space="preserve"> PAGEREF _Toc535417127 \h </w:instrText>
      </w:r>
      <w:r>
        <w:rPr>
          <w:noProof/>
        </w:rPr>
      </w:r>
      <w:r>
        <w:rPr>
          <w:noProof/>
        </w:rPr>
        <w:fldChar w:fldCharType="separate"/>
      </w:r>
      <w:r w:rsidR="00B25B1A">
        <w:rPr>
          <w:noProof/>
        </w:rPr>
        <w:t>302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22.09 Nákladové značky a ponorové stupnice</w:t>
      </w:r>
      <w:r>
        <w:rPr>
          <w:noProof/>
        </w:rPr>
        <w:tab/>
      </w:r>
      <w:r>
        <w:rPr>
          <w:noProof/>
        </w:rPr>
        <w:fldChar w:fldCharType="begin"/>
      </w:r>
      <w:r>
        <w:rPr>
          <w:noProof/>
        </w:rPr>
        <w:instrText xml:space="preserve"> PAGEREF _Toc535417128 \h </w:instrText>
      </w:r>
      <w:r>
        <w:rPr>
          <w:noProof/>
        </w:rPr>
      </w:r>
      <w:r>
        <w:rPr>
          <w:noProof/>
        </w:rPr>
        <w:fldChar w:fldCharType="separate"/>
      </w:r>
      <w:r w:rsidR="00B25B1A">
        <w:rPr>
          <w:noProof/>
        </w:rPr>
        <w:t>304</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22.10 Plovoucí stroj bez potvrzení stability</w:t>
      </w:r>
      <w:r>
        <w:rPr>
          <w:noProof/>
        </w:rPr>
        <w:tab/>
      </w:r>
      <w:r>
        <w:rPr>
          <w:noProof/>
        </w:rPr>
        <w:fldChar w:fldCharType="begin"/>
      </w:r>
      <w:r>
        <w:rPr>
          <w:noProof/>
        </w:rPr>
        <w:instrText xml:space="preserve"> PAGEREF _Toc535417129 \h </w:instrText>
      </w:r>
      <w:r>
        <w:rPr>
          <w:noProof/>
        </w:rPr>
      </w:r>
      <w:r>
        <w:rPr>
          <w:noProof/>
        </w:rPr>
        <w:fldChar w:fldCharType="separate"/>
      </w:r>
      <w:r w:rsidR="00B25B1A">
        <w:rPr>
          <w:noProof/>
        </w:rPr>
        <w:t>304</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23 Zvláštní ustanovení pro pracovní plavidla</w:t>
      </w:r>
      <w:r>
        <w:rPr>
          <w:noProof/>
        </w:rPr>
        <w:tab/>
      </w:r>
      <w:r>
        <w:rPr>
          <w:noProof/>
        </w:rPr>
        <w:fldChar w:fldCharType="begin"/>
      </w:r>
      <w:r>
        <w:rPr>
          <w:noProof/>
        </w:rPr>
        <w:instrText xml:space="preserve"> PAGEREF _Toc535417130 \h </w:instrText>
      </w:r>
      <w:r>
        <w:rPr>
          <w:noProof/>
        </w:rPr>
      </w:r>
      <w:r>
        <w:rPr>
          <w:noProof/>
        </w:rPr>
        <w:fldChar w:fldCharType="separate"/>
      </w:r>
      <w:r w:rsidR="00B25B1A">
        <w:rPr>
          <w:noProof/>
        </w:rPr>
        <w:t>305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23.01 Provozní podmínky</w:t>
      </w:r>
      <w:r>
        <w:rPr>
          <w:noProof/>
        </w:rPr>
        <w:tab/>
      </w:r>
      <w:r>
        <w:rPr>
          <w:noProof/>
        </w:rPr>
        <w:fldChar w:fldCharType="begin"/>
      </w:r>
      <w:r>
        <w:rPr>
          <w:noProof/>
        </w:rPr>
        <w:instrText xml:space="preserve"> PAGEREF _Toc535417131 \h </w:instrText>
      </w:r>
      <w:r>
        <w:rPr>
          <w:noProof/>
        </w:rPr>
      </w:r>
      <w:r>
        <w:rPr>
          <w:noProof/>
        </w:rPr>
        <w:fldChar w:fldCharType="separate"/>
      </w:r>
      <w:r w:rsidR="00B25B1A">
        <w:rPr>
          <w:noProof/>
        </w:rPr>
        <w:t>305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23.02 Uplatňování části II</w:t>
      </w:r>
      <w:r>
        <w:rPr>
          <w:noProof/>
        </w:rPr>
        <w:tab/>
      </w:r>
      <w:r>
        <w:rPr>
          <w:noProof/>
        </w:rPr>
        <w:fldChar w:fldCharType="begin"/>
      </w:r>
      <w:r>
        <w:rPr>
          <w:noProof/>
        </w:rPr>
        <w:instrText xml:space="preserve"> PAGEREF _Toc535417132 \h </w:instrText>
      </w:r>
      <w:r>
        <w:rPr>
          <w:noProof/>
        </w:rPr>
      </w:r>
      <w:r>
        <w:rPr>
          <w:noProof/>
        </w:rPr>
        <w:fldChar w:fldCharType="separate"/>
      </w:r>
      <w:r w:rsidR="00B25B1A">
        <w:rPr>
          <w:noProof/>
        </w:rPr>
        <w:t>305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23.03 Odchylky</w:t>
      </w:r>
      <w:r>
        <w:rPr>
          <w:noProof/>
        </w:rPr>
        <w:tab/>
      </w:r>
      <w:r>
        <w:rPr>
          <w:noProof/>
        </w:rPr>
        <w:fldChar w:fldCharType="begin"/>
      </w:r>
      <w:r>
        <w:rPr>
          <w:noProof/>
        </w:rPr>
        <w:instrText xml:space="preserve"> PAGEREF _Toc535417133 \h </w:instrText>
      </w:r>
      <w:r>
        <w:rPr>
          <w:noProof/>
        </w:rPr>
      </w:r>
      <w:r>
        <w:rPr>
          <w:noProof/>
        </w:rPr>
        <w:fldChar w:fldCharType="separate"/>
      </w:r>
      <w:r w:rsidR="00B25B1A">
        <w:rPr>
          <w:noProof/>
        </w:rPr>
        <w:t>305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23.04 Bezpečnostní vzdálenost a volný bok</w:t>
      </w:r>
      <w:r>
        <w:rPr>
          <w:noProof/>
        </w:rPr>
        <w:tab/>
      </w:r>
      <w:r>
        <w:rPr>
          <w:noProof/>
        </w:rPr>
        <w:fldChar w:fldCharType="begin"/>
      </w:r>
      <w:r>
        <w:rPr>
          <w:noProof/>
        </w:rPr>
        <w:instrText xml:space="preserve"> PAGEREF _Toc535417134 \h </w:instrText>
      </w:r>
      <w:r>
        <w:rPr>
          <w:noProof/>
        </w:rPr>
      </w:r>
      <w:r>
        <w:rPr>
          <w:noProof/>
        </w:rPr>
        <w:fldChar w:fldCharType="separate"/>
      </w:r>
      <w:r w:rsidR="00B25B1A">
        <w:rPr>
          <w:noProof/>
        </w:rPr>
        <w:t>307</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23.05 Lodní čluny</w:t>
      </w:r>
      <w:r>
        <w:rPr>
          <w:noProof/>
        </w:rPr>
        <w:tab/>
      </w:r>
      <w:r>
        <w:rPr>
          <w:noProof/>
        </w:rPr>
        <w:fldChar w:fldCharType="begin"/>
      </w:r>
      <w:r>
        <w:rPr>
          <w:noProof/>
        </w:rPr>
        <w:instrText xml:space="preserve"> PAGEREF _Toc535417135 \h </w:instrText>
      </w:r>
      <w:r>
        <w:rPr>
          <w:noProof/>
        </w:rPr>
      </w:r>
      <w:r>
        <w:rPr>
          <w:noProof/>
        </w:rPr>
        <w:fldChar w:fldCharType="separate"/>
      </w:r>
      <w:r w:rsidR="00B25B1A">
        <w:rPr>
          <w:noProof/>
        </w:rPr>
        <w:t>307</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24 Zvláštní ustanovení pro tradiční plavidla</w:t>
      </w:r>
      <w:r>
        <w:rPr>
          <w:noProof/>
        </w:rPr>
        <w:tab/>
      </w:r>
      <w:r>
        <w:rPr>
          <w:noProof/>
        </w:rPr>
        <w:fldChar w:fldCharType="begin"/>
      </w:r>
      <w:r>
        <w:rPr>
          <w:noProof/>
        </w:rPr>
        <w:instrText xml:space="preserve"> PAGEREF _Toc535417136 \h </w:instrText>
      </w:r>
      <w:r>
        <w:rPr>
          <w:noProof/>
        </w:rPr>
      </w:r>
      <w:r>
        <w:rPr>
          <w:noProof/>
        </w:rPr>
        <w:fldChar w:fldCharType="separate"/>
      </w:r>
      <w:r w:rsidR="00B25B1A">
        <w:rPr>
          <w:noProof/>
        </w:rPr>
        <w:t>308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24.01 Použití částí II a III</w:t>
      </w:r>
      <w:r>
        <w:rPr>
          <w:noProof/>
        </w:rPr>
        <w:tab/>
      </w:r>
      <w:r>
        <w:rPr>
          <w:noProof/>
        </w:rPr>
        <w:fldChar w:fldCharType="begin"/>
      </w:r>
      <w:r>
        <w:rPr>
          <w:noProof/>
        </w:rPr>
        <w:instrText xml:space="preserve"> PAGEREF _Toc535417137 \h </w:instrText>
      </w:r>
      <w:r>
        <w:rPr>
          <w:noProof/>
        </w:rPr>
      </w:r>
      <w:r>
        <w:rPr>
          <w:noProof/>
        </w:rPr>
        <w:fldChar w:fldCharType="separate"/>
      </w:r>
      <w:r w:rsidR="00B25B1A">
        <w:rPr>
          <w:noProof/>
        </w:rPr>
        <w:t>308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24.02 Uznání a záznam v osvědčení plavidla vnitrozemské plavby</w:t>
      </w:r>
      <w:r>
        <w:rPr>
          <w:noProof/>
        </w:rPr>
        <w:tab/>
      </w:r>
      <w:r>
        <w:rPr>
          <w:noProof/>
        </w:rPr>
        <w:fldChar w:fldCharType="begin"/>
      </w:r>
      <w:r>
        <w:rPr>
          <w:noProof/>
        </w:rPr>
        <w:instrText xml:space="preserve"> PAGEREF _Toc535417138 \h </w:instrText>
      </w:r>
      <w:r>
        <w:rPr>
          <w:noProof/>
        </w:rPr>
      </w:r>
      <w:r>
        <w:rPr>
          <w:noProof/>
        </w:rPr>
        <w:fldChar w:fldCharType="separate"/>
      </w:r>
      <w:r w:rsidR="00B25B1A">
        <w:rPr>
          <w:noProof/>
        </w:rPr>
        <w:t>308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24.03 Jiná ustanovení a požadavky</w:t>
      </w:r>
      <w:r>
        <w:rPr>
          <w:noProof/>
        </w:rPr>
        <w:tab/>
      </w:r>
      <w:r>
        <w:rPr>
          <w:noProof/>
        </w:rPr>
        <w:fldChar w:fldCharType="begin"/>
      </w:r>
      <w:r>
        <w:rPr>
          <w:noProof/>
        </w:rPr>
        <w:instrText xml:space="preserve"> PAGEREF _Toc535417139 \h </w:instrText>
      </w:r>
      <w:r>
        <w:rPr>
          <w:noProof/>
        </w:rPr>
      </w:r>
      <w:r>
        <w:rPr>
          <w:noProof/>
        </w:rPr>
        <w:fldChar w:fldCharType="separate"/>
      </w:r>
      <w:r w:rsidR="00B25B1A">
        <w:rPr>
          <w:noProof/>
        </w:rPr>
        <w:t>312</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25 Zvláštní ustanovení pro námořní lodě</w:t>
      </w:r>
      <w:r>
        <w:rPr>
          <w:noProof/>
        </w:rPr>
        <w:tab/>
      </w:r>
      <w:r>
        <w:rPr>
          <w:noProof/>
        </w:rPr>
        <w:fldChar w:fldCharType="begin"/>
      </w:r>
      <w:r>
        <w:rPr>
          <w:noProof/>
        </w:rPr>
        <w:instrText xml:space="preserve"> PAGEREF _Toc535417140 \h </w:instrText>
      </w:r>
      <w:r>
        <w:rPr>
          <w:noProof/>
        </w:rPr>
      </w:r>
      <w:r>
        <w:rPr>
          <w:noProof/>
        </w:rPr>
        <w:fldChar w:fldCharType="separate"/>
      </w:r>
      <w:r w:rsidR="00B25B1A">
        <w:rPr>
          <w:noProof/>
        </w:rPr>
        <w:t>314</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25.01 Ustanovení pro Rýn (zóna R)</w:t>
      </w:r>
      <w:r>
        <w:rPr>
          <w:noProof/>
        </w:rPr>
        <w:tab/>
      </w:r>
      <w:r>
        <w:rPr>
          <w:noProof/>
        </w:rPr>
        <w:fldChar w:fldCharType="begin"/>
      </w:r>
      <w:r>
        <w:rPr>
          <w:noProof/>
        </w:rPr>
        <w:instrText xml:space="preserve"> PAGEREF _Toc535417141 \h </w:instrText>
      </w:r>
      <w:r>
        <w:rPr>
          <w:noProof/>
        </w:rPr>
      </w:r>
      <w:r>
        <w:rPr>
          <w:noProof/>
        </w:rPr>
        <w:fldChar w:fldCharType="separate"/>
      </w:r>
      <w:r w:rsidR="00B25B1A">
        <w:rPr>
          <w:noProof/>
        </w:rPr>
        <w:t>314</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26 Zvláštní ustanovení pro rekreační plavidla</w:t>
      </w:r>
      <w:r>
        <w:rPr>
          <w:noProof/>
        </w:rPr>
        <w:tab/>
      </w:r>
      <w:r>
        <w:rPr>
          <w:noProof/>
        </w:rPr>
        <w:fldChar w:fldCharType="begin"/>
      </w:r>
      <w:r>
        <w:rPr>
          <w:noProof/>
        </w:rPr>
        <w:instrText xml:space="preserve"> PAGEREF _Toc535417142 \h </w:instrText>
      </w:r>
      <w:r>
        <w:rPr>
          <w:noProof/>
        </w:rPr>
      </w:r>
      <w:r>
        <w:rPr>
          <w:noProof/>
        </w:rPr>
        <w:fldChar w:fldCharType="separate"/>
      </w:r>
      <w:r w:rsidR="00B25B1A">
        <w:rPr>
          <w:noProof/>
        </w:rPr>
        <w:t>317</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26.01 Uplatňování části II</w:t>
      </w:r>
      <w:r>
        <w:rPr>
          <w:noProof/>
        </w:rPr>
        <w:tab/>
      </w:r>
      <w:r>
        <w:rPr>
          <w:noProof/>
        </w:rPr>
        <w:fldChar w:fldCharType="begin"/>
      </w:r>
      <w:r>
        <w:rPr>
          <w:noProof/>
        </w:rPr>
        <w:instrText xml:space="preserve"> PAGEREF _Toc535417143 \h </w:instrText>
      </w:r>
      <w:r>
        <w:rPr>
          <w:noProof/>
        </w:rPr>
      </w:r>
      <w:r>
        <w:rPr>
          <w:noProof/>
        </w:rPr>
        <w:fldChar w:fldCharType="separate"/>
      </w:r>
      <w:r w:rsidR="00B25B1A">
        <w:rPr>
          <w:noProof/>
        </w:rPr>
        <w:t>317</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27 Zvláštní ustanovení pro lodě převážející kontejnery</w:t>
      </w:r>
      <w:r>
        <w:rPr>
          <w:noProof/>
        </w:rPr>
        <w:tab/>
      </w:r>
      <w:r>
        <w:rPr>
          <w:noProof/>
        </w:rPr>
        <w:fldChar w:fldCharType="begin"/>
      </w:r>
      <w:r>
        <w:rPr>
          <w:noProof/>
        </w:rPr>
        <w:instrText xml:space="preserve"> PAGEREF _Toc535417144 \h </w:instrText>
      </w:r>
      <w:r>
        <w:rPr>
          <w:noProof/>
        </w:rPr>
      </w:r>
      <w:r>
        <w:rPr>
          <w:noProof/>
        </w:rPr>
        <w:fldChar w:fldCharType="separate"/>
      </w:r>
      <w:r w:rsidR="00B25B1A">
        <w:rPr>
          <w:noProof/>
        </w:rPr>
        <w:t>320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27.01 Obecně</w:t>
      </w:r>
      <w:r>
        <w:rPr>
          <w:noProof/>
        </w:rPr>
        <w:tab/>
      </w:r>
      <w:r>
        <w:rPr>
          <w:noProof/>
        </w:rPr>
        <w:fldChar w:fldCharType="begin"/>
      </w:r>
      <w:r>
        <w:rPr>
          <w:noProof/>
        </w:rPr>
        <w:instrText xml:space="preserve"> PAGEREF _Toc535417145 \h </w:instrText>
      </w:r>
      <w:r>
        <w:rPr>
          <w:noProof/>
        </w:rPr>
      </w:r>
      <w:r>
        <w:rPr>
          <w:noProof/>
        </w:rPr>
        <w:fldChar w:fldCharType="separate"/>
      </w:r>
      <w:r w:rsidR="00B25B1A">
        <w:rPr>
          <w:noProof/>
        </w:rPr>
        <w:t>320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27.02 Mezní podmínky a způsob výpočtu k potvrzení stability při přepravě nezajištěných kontejnerů</w:t>
      </w:r>
      <w:r>
        <w:rPr>
          <w:noProof/>
        </w:rPr>
        <w:tab/>
      </w:r>
      <w:r>
        <w:rPr>
          <w:noProof/>
        </w:rPr>
        <w:fldChar w:fldCharType="begin"/>
      </w:r>
      <w:r>
        <w:rPr>
          <w:noProof/>
        </w:rPr>
        <w:instrText xml:space="preserve"> PAGEREF _Toc535417146 \h </w:instrText>
      </w:r>
      <w:r>
        <w:rPr>
          <w:noProof/>
        </w:rPr>
      </w:r>
      <w:r>
        <w:rPr>
          <w:noProof/>
        </w:rPr>
        <w:fldChar w:fldCharType="separate"/>
      </w:r>
      <w:r w:rsidR="00B25B1A">
        <w:rPr>
          <w:noProof/>
        </w:rPr>
        <w:t>320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27.03 Mezní podmínky a způsob výpočtu k potvrzení stability při přepravě zajištěných kontejnerů</w:t>
      </w:r>
      <w:r>
        <w:rPr>
          <w:noProof/>
        </w:rPr>
        <w:tab/>
      </w:r>
      <w:r>
        <w:rPr>
          <w:noProof/>
        </w:rPr>
        <w:fldChar w:fldCharType="begin"/>
      </w:r>
      <w:r>
        <w:rPr>
          <w:noProof/>
        </w:rPr>
        <w:instrText xml:space="preserve"> PAGEREF _Toc535417147 \h </w:instrText>
      </w:r>
      <w:r>
        <w:rPr>
          <w:noProof/>
        </w:rPr>
      </w:r>
      <w:r>
        <w:rPr>
          <w:noProof/>
        </w:rPr>
        <w:fldChar w:fldCharType="separate"/>
      </w:r>
      <w:r w:rsidR="00B25B1A">
        <w:rPr>
          <w:noProof/>
        </w:rPr>
        <w:t>326</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27.04 Postup posuzování stability na palubě</w:t>
      </w:r>
      <w:r>
        <w:rPr>
          <w:noProof/>
        </w:rPr>
        <w:tab/>
      </w:r>
      <w:r>
        <w:rPr>
          <w:noProof/>
        </w:rPr>
        <w:fldChar w:fldCharType="begin"/>
      </w:r>
      <w:r>
        <w:rPr>
          <w:noProof/>
        </w:rPr>
        <w:instrText xml:space="preserve"> PAGEREF _Toc535417148 \h </w:instrText>
      </w:r>
      <w:r>
        <w:rPr>
          <w:noProof/>
        </w:rPr>
      </w:r>
      <w:r>
        <w:rPr>
          <w:noProof/>
        </w:rPr>
        <w:fldChar w:fldCharType="separate"/>
      </w:r>
      <w:r w:rsidR="00B25B1A">
        <w:rPr>
          <w:noProof/>
        </w:rPr>
        <w:t>328</w:t>
      </w:r>
      <w:r>
        <w:rPr>
          <w:noProof/>
        </w:rPr>
        <w:fldChar w:fldCharType="end"/>
      </w:r>
    </w:p>
    <w:p w:rsidR="002D015D" w:rsidRPr="00B25B1A" w:rsidRDefault="002D015D">
      <w:pPr>
        <w:pStyle w:val="TOC2"/>
        <w:tabs>
          <w:tab w:val="right" w:leader="dot" w:pos="9060"/>
        </w:tabs>
        <w:rPr>
          <w:rFonts w:asciiTheme="minorHAnsi" w:eastAsiaTheme="minorEastAsia" w:hAnsiTheme="minorHAnsi" w:cstheme="minorBidi"/>
          <w:smallCaps w:val="0"/>
          <w:noProof/>
          <w:sz w:val="22"/>
          <w:szCs w:val="22"/>
          <w:lang w:val="pl-PL" w:eastAsia="en-GB" w:bidi="ar-SA"/>
        </w:rPr>
      </w:pPr>
      <w:r>
        <w:rPr>
          <w:noProof/>
        </w:rPr>
        <w:t>Kapitola 28 Zvláštní ustanovení pro plavidla delší než 110 m</w:t>
      </w:r>
      <w:r>
        <w:rPr>
          <w:noProof/>
        </w:rPr>
        <w:tab/>
      </w:r>
      <w:r>
        <w:rPr>
          <w:noProof/>
        </w:rPr>
        <w:fldChar w:fldCharType="begin"/>
      </w:r>
      <w:r>
        <w:rPr>
          <w:noProof/>
        </w:rPr>
        <w:instrText xml:space="preserve"> PAGEREF _Toc535417149 \h </w:instrText>
      </w:r>
      <w:r>
        <w:rPr>
          <w:noProof/>
        </w:rPr>
      </w:r>
      <w:r>
        <w:rPr>
          <w:noProof/>
        </w:rPr>
        <w:fldChar w:fldCharType="separate"/>
      </w:r>
      <w:r w:rsidR="00B25B1A">
        <w:rPr>
          <w:noProof/>
        </w:rPr>
        <w:t>330</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28.01 Uplatňování části II</w:t>
      </w:r>
      <w:r>
        <w:rPr>
          <w:noProof/>
        </w:rPr>
        <w:tab/>
      </w:r>
      <w:r>
        <w:rPr>
          <w:noProof/>
        </w:rPr>
        <w:fldChar w:fldCharType="begin"/>
      </w:r>
      <w:r>
        <w:rPr>
          <w:noProof/>
        </w:rPr>
        <w:instrText xml:space="preserve"> PAGEREF _Toc535417150 \h </w:instrText>
      </w:r>
      <w:r>
        <w:rPr>
          <w:noProof/>
        </w:rPr>
      </w:r>
      <w:r>
        <w:rPr>
          <w:noProof/>
        </w:rPr>
        <w:fldChar w:fldCharType="separate"/>
      </w:r>
      <w:r w:rsidR="00B25B1A">
        <w:rPr>
          <w:noProof/>
        </w:rPr>
        <w:t>330</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28.02 Pevnost</w:t>
      </w:r>
      <w:r>
        <w:rPr>
          <w:noProof/>
        </w:rPr>
        <w:tab/>
      </w:r>
      <w:r>
        <w:rPr>
          <w:noProof/>
        </w:rPr>
        <w:fldChar w:fldCharType="begin"/>
      </w:r>
      <w:r>
        <w:rPr>
          <w:noProof/>
        </w:rPr>
        <w:instrText xml:space="preserve"> PAGEREF _Toc535417151 \h </w:instrText>
      </w:r>
      <w:r>
        <w:rPr>
          <w:noProof/>
        </w:rPr>
      </w:r>
      <w:r>
        <w:rPr>
          <w:noProof/>
        </w:rPr>
        <w:fldChar w:fldCharType="separate"/>
      </w:r>
      <w:r w:rsidR="00B25B1A">
        <w:rPr>
          <w:noProof/>
        </w:rPr>
        <w:t>330</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28.03 Plovatelnost a stabilita</w:t>
      </w:r>
      <w:r>
        <w:rPr>
          <w:noProof/>
        </w:rPr>
        <w:tab/>
      </w:r>
      <w:r>
        <w:rPr>
          <w:noProof/>
        </w:rPr>
        <w:fldChar w:fldCharType="begin"/>
      </w:r>
      <w:r>
        <w:rPr>
          <w:noProof/>
        </w:rPr>
        <w:instrText xml:space="preserve"> PAGEREF _Toc535417152 \h </w:instrText>
      </w:r>
      <w:r>
        <w:rPr>
          <w:noProof/>
        </w:rPr>
      </w:r>
      <w:r>
        <w:rPr>
          <w:noProof/>
        </w:rPr>
        <w:fldChar w:fldCharType="separate"/>
      </w:r>
      <w:r w:rsidR="00B25B1A">
        <w:rPr>
          <w:noProof/>
        </w:rPr>
        <w:t>330</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l-PL" w:eastAsia="en-GB" w:bidi="ar-SA"/>
        </w:rPr>
      </w:pPr>
      <w:r w:rsidRPr="00864AE0">
        <w:rPr>
          <w:noProof/>
        </w:rPr>
        <w:t>Článek 28.04 Dodatečné požadavky</w:t>
      </w:r>
      <w:r>
        <w:rPr>
          <w:noProof/>
        </w:rPr>
        <w:tab/>
      </w:r>
      <w:r>
        <w:rPr>
          <w:noProof/>
        </w:rPr>
        <w:fldChar w:fldCharType="begin"/>
      </w:r>
      <w:r>
        <w:rPr>
          <w:noProof/>
        </w:rPr>
        <w:instrText xml:space="preserve"> PAGEREF _Toc535417153 \h </w:instrText>
      </w:r>
      <w:r>
        <w:rPr>
          <w:noProof/>
        </w:rPr>
      </w:r>
      <w:r>
        <w:rPr>
          <w:noProof/>
        </w:rPr>
        <w:fldChar w:fldCharType="separate"/>
      </w:r>
      <w:r w:rsidR="00B25B1A">
        <w:rPr>
          <w:noProof/>
        </w:rPr>
        <w:t>336</w:t>
      </w:r>
      <w:r>
        <w:rPr>
          <w:noProof/>
        </w:rPr>
        <w:fldChar w:fldCharType="end"/>
      </w:r>
    </w:p>
    <w:p w:rsidR="002D015D" w:rsidRPr="00B25B1A" w:rsidRDefault="002D015D">
      <w:pPr>
        <w:pStyle w:val="TOC2"/>
        <w:tabs>
          <w:tab w:val="right" w:leader="dot" w:pos="9060"/>
        </w:tabs>
        <w:rPr>
          <w:rFonts w:asciiTheme="minorHAnsi" w:eastAsiaTheme="minorEastAsia" w:hAnsiTheme="minorHAnsi" w:cstheme="minorBidi"/>
          <w:smallCaps w:val="0"/>
          <w:noProof/>
          <w:sz w:val="22"/>
          <w:szCs w:val="22"/>
          <w:lang w:val="pl-PL" w:eastAsia="en-GB" w:bidi="ar-SA"/>
        </w:rPr>
      </w:pPr>
      <w:r>
        <w:rPr>
          <w:noProof/>
        </w:rPr>
        <w:t>Kapitola 29 Zvláštní ustanovení pro rychlé lodě</w:t>
      </w:r>
      <w:r>
        <w:rPr>
          <w:noProof/>
        </w:rPr>
        <w:tab/>
      </w:r>
      <w:r>
        <w:rPr>
          <w:noProof/>
        </w:rPr>
        <w:fldChar w:fldCharType="begin"/>
      </w:r>
      <w:r>
        <w:rPr>
          <w:noProof/>
        </w:rPr>
        <w:instrText xml:space="preserve"> PAGEREF _Toc535417154 \h </w:instrText>
      </w:r>
      <w:r>
        <w:rPr>
          <w:noProof/>
        </w:rPr>
      </w:r>
      <w:r>
        <w:rPr>
          <w:noProof/>
        </w:rPr>
        <w:fldChar w:fldCharType="separate"/>
      </w:r>
      <w:r w:rsidR="00B25B1A">
        <w:rPr>
          <w:noProof/>
        </w:rPr>
        <w:t>340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29.01 Obecně</w:t>
      </w:r>
      <w:r>
        <w:rPr>
          <w:noProof/>
        </w:rPr>
        <w:tab/>
      </w:r>
      <w:r>
        <w:rPr>
          <w:noProof/>
        </w:rPr>
        <w:fldChar w:fldCharType="begin"/>
      </w:r>
      <w:r>
        <w:rPr>
          <w:noProof/>
        </w:rPr>
        <w:instrText xml:space="preserve"> PAGEREF _Toc535417155 \h </w:instrText>
      </w:r>
      <w:r>
        <w:rPr>
          <w:noProof/>
        </w:rPr>
      </w:r>
      <w:r>
        <w:rPr>
          <w:noProof/>
        </w:rPr>
        <w:fldChar w:fldCharType="separate"/>
      </w:r>
      <w:r w:rsidR="00B25B1A">
        <w:rPr>
          <w:noProof/>
        </w:rPr>
        <w:t>340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29.02 Použití částí II a III</w:t>
      </w:r>
      <w:r>
        <w:rPr>
          <w:noProof/>
        </w:rPr>
        <w:tab/>
      </w:r>
      <w:r>
        <w:rPr>
          <w:noProof/>
        </w:rPr>
        <w:fldChar w:fldCharType="begin"/>
      </w:r>
      <w:r>
        <w:rPr>
          <w:noProof/>
        </w:rPr>
        <w:instrText xml:space="preserve"> PAGEREF _Toc535417156 \h </w:instrText>
      </w:r>
      <w:r>
        <w:rPr>
          <w:noProof/>
        </w:rPr>
      </w:r>
      <w:r>
        <w:rPr>
          <w:noProof/>
        </w:rPr>
        <w:fldChar w:fldCharType="separate"/>
      </w:r>
      <w:r w:rsidR="00B25B1A">
        <w:rPr>
          <w:noProof/>
        </w:rPr>
        <w:t>340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29.03 Sedadla a bezpečnostní pásy</w:t>
      </w:r>
      <w:r>
        <w:rPr>
          <w:noProof/>
        </w:rPr>
        <w:tab/>
      </w:r>
      <w:r>
        <w:rPr>
          <w:noProof/>
        </w:rPr>
        <w:fldChar w:fldCharType="begin"/>
      </w:r>
      <w:r>
        <w:rPr>
          <w:noProof/>
        </w:rPr>
        <w:instrText xml:space="preserve"> PAGEREF _Toc535417157 \h </w:instrText>
      </w:r>
      <w:r>
        <w:rPr>
          <w:noProof/>
        </w:rPr>
      </w:r>
      <w:r>
        <w:rPr>
          <w:noProof/>
        </w:rPr>
        <w:fldChar w:fldCharType="separate"/>
      </w:r>
      <w:r w:rsidR="00B25B1A">
        <w:rPr>
          <w:noProof/>
        </w:rPr>
        <w:t>342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29.04 Volný bok</w:t>
      </w:r>
      <w:r>
        <w:rPr>
          <w:noProof/>
        </w:rPr>
        <w:tab/>
      </w:r>
      <w:r>
        <w:rPr>
          <w:noProof/>
        </w:rPr>
        <w:fldChar w:fldCharType="begin"/>
      </w:r>
      <w:r>
        <w:rPr>
          <w:noProof/>
        </w:rPr>
        <w:instrText xml:space="preserve"> PAGEREF _Toc535417158 \h </w:instrText>
      </w:r>
      <w:r>
        <w:rPr>
          <w:noProof/>
        </w:rPr>
      </w:r>
      <w:r>
        <w:rPr>
          <w:noProof/>
        </w:rPr>
        <w:fldChar w:fldCharType="separate"/>
      </w:r>
      <w:r w:rsidR="00B25B1A">
        <w:rPr>
          <w:noProof/>
        </w:rPr>
        <w:t>342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29.05 Plovatelnost, stabilita a dělení</w:t>
      </w:r>
      <w:r>
        <w:rPr>
          <w:noProof/>
        </w:rPr>
        <w:tab/>
      </w:r>
      <w:r>
        <w:rPr>
          <w:noProof/>
        </w:rPr>
        <w:fldChar w:fldCharType="begin"/>
      </w:r>
      <w:r>
        <w:rPr>
          <w:noProof/>
        </w:rPr>
        <w:instrText xml:space="preserve"> PAGEREF _Toc535417159 \h </w:instrText>
      </w:r>
      <w:r>
        <w:rPr>
          <w:noProof/>
        </w:rPr>
      </w:r>
      <w:r>
        <w:rPr>
          <w:noProof/>
        </w:rPr>
        <w:fldChar w:fldCharType="separate"/>
      </w:r>
      <w:r w:rsidR="00B25B1A">
        <w:rPr>
          <w:noProof/>
        </w:rPr>
        <w:t>342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29.06 Kormidelna</w:t>
      </w:r>
      <w:r>
        <w:rPr>
          <w:noProof/>
        </w:rPr>
        <w:tab/>
      </w:r>
      <w:r>
        <w:rPr>
          <w:noProof/>
        </w:rPr>
        <w:fldChar w:fldCharType="begin"/>
      </w:r>
      <w:r>
        <w:rPr>
          <w:noProof/>
        </w:rPr>
        <w:instrText xml:space="preserve"> PAGEREF _Toc535417160 \h </w:instrText>
      </w:r>
      <w:r>
        <w:rPr>
          <w:noProof/>
        </w:rPr>
      </w:r>
      <w:r>
        <w:rPr>
          <w:noProof/>
        </w:rPr>
        <w:fldChar w:fldCharType="separate"/>
      </w:r>
      <w:r w:rsidR="00B25B1A">
        <w:rPr>
          <w:noProof/>
        </w:rPr>
        <w:t>342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29.07 Dodatečné vybavení</w:t>
      </w:r>
      <w:r>
        <w:rPr>
          <w:noProof/>
        </w:rPr>
        <w:tab/>
      </w:r>
      <w:r>
        <w:rPr>
          <w:noProof/>
        </w:rPr>
        <w:fldChar w:fldCharType="begin"/>
      </w:r>
      <w:r>
        <w:rPr>
          <w:noProof/>
        </w:rPr>
        <w:instrText xml:space="preserve"> PAGEREF _Toc535417161 \h </w:instrText>
      </w:r>
      <w:r>
        <w:rPr>
          <w:noProof/>
        </w:rPr>
      </w:r>
      <w:r>
        <w:rPr>
          <w:noProof/>
        </w:rPr>
        <w:fldChar w:fldCharType="separate"/>
      </w:r>
      <w:r w:rsidR="00B25B1A">
        <w:rPr>
          <w:noProof/>
        </w:rPr>
        <w:t>344</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29.08 Uzavřené prostory</w:t>
      </w:r>
      <w:r>
        <w:rPr>
          <w:noProof/>
        </w:rPr>
        <w:tab/>
      </w:r>
      <w:r>
        <w:rPr>
          <w:noProof/>
        </w:rPr>
        <w:fldChar w:fldCharType="begin"/>
      </w:r>
      <w:r>
        <w:rPr>
          <w:noProof/>
        </w:rPr>
        <w:instrText xml:space="preserve"> PAGEREF _Toc535417162 \h </w:instrText>
      </w:r>
      <w:r>
        <w:rPr>
          <w:noProof/>
        </w:rPr>
      </w:r>
      <w:r>
        <w:rPr>
          <w:noProof/>
        </w:rPr>
        <w:fldChar w:fldCharType="separate"/>
      </w:r>
      <w:r w:rsidR="00B25B1A">
        <w:rPr>
          <w:noProof/>
        </w:rPr>
        <w:t>345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29.09 Východy a únikové cesty</w:t>
      </w:r>
      <w:r>
        <w:rPr>
          <w:noProof/>
        </w:rPr>
        <w:tab/>
      </w:r>
      <w:r>
        <w:rPr>
          <w:noProof/>
        </w:rPr>
        <w:fldChar w:fldCharType="begin"/>
      </w:r>
      <w:r>
        <w:rPr>
          <w:noProof/>
        </w:rPr>
        <w:instrText xml:space="preserve"> PAGEREF _Toc535417163 \h </w:instrText>
      </w:r>
      <w:r>
        <w:rPr>
          <w:noProof/>
        </w:rPr>
      </w:r>
      <w:r>
        <w:rPr>
          <w:noProof/>
        </w:rPr>
        <w:fldChar w:fldCharType="separate"/>
      </w:r>
      <w:r w:rsidR="00B25B1A">
        <w:rPr>
          <w:noProof/>
        </w:rPr>
        <w:t>346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29.10 Požární ochrana a hašení požáru</w:t>
      </w:r>
      <w:r>
        <w:rPr>
          <w:noProof/>
        </w:rPr>
        <w:tab/>
      </w:r>
      <w:r>
        <w:rPr>
          <w:noProof/>
        </w:rPr>
        <w:fldChar w:fldCharType="begin"/>
      </w:r>
      <w:r>
        <w:rPr>
          <w:noProof/>
        </w:rPr>
        <w:instrText xml:space="preserve"> PAGEREF _Toc535417164 \h </w:instrText>
      </w:r>
      <w:r>
        <w:rPr>
          <w:noProof/>
        </w:rPr>
      </w:r>
      <w:r>
        <w:rPr>
          <w:noProof/>
        </w:rPr>
        <w:fldChar w:fldCharType="separate"/>
      </w:r>
      <w:r w:rsidR="00B25B1A">
        <w:rPr>
          <w:noProof/>
        </w:rPr>
        <w:t>346</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30 Zvláštní ustanovení pro plavidla vybavená pohonnými nebo pomocnými systémy na palivo s bodem vzplanutí 55 °C nebo nižším</w:t>
      </w:r>
      <w:r>
        <w:rPr>
          <w:noProof/>
        </w:rPr>
        <w:tab/>
      </w:r>
      <w:r>
        <w:rPr>
          <w:noProof/>
        </w:rPr>
        <w:fldChar w:fldCharType="begin"/>
      </w:r>
      <w:r>
        <w:rPr>
          <w:noProof/>
        </w:rPr>
        <w:instrText xml:space="preserve"> PAGEREF _Toc535417165 \h </w:instrText>
      </w:r>
      <w:r>
        <w:rPr>
          <w:noProof/>
        </w:rPr>
      </w:r>
      <w:r>
        <w:rPr>
          <w:noProof/>
        </w:rPr>
        <w:fldChar w:fldCharType="separate"/>
      </w:r>
      <w:r w:rsidR="00B25B1A">
        <w:rPr>
          <w:noProof/>
        </w:rPr>
        <w:t>348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30.01 Obecně</w:t>
      </w:r>
      <w:r>
        <w:rPr>
          <w:noProof/>
        </w:rPr>
        <w:tab/>
      </w:r>
      <w:r>
        <w:rPr>
          <w:noProof/>
        </w:rPr>
        <w:fldChar w:fldCharType="begin"/>
      </w:r>
      <w:r>
        <w:rPr>
          <w:noProof/>
        </w:rPr>
        <w:instrText xml:space="preserve"> PAGEREF _Toc535417166 \h </w:instrText>
      </w:r>
      <w:r>
        <w:rPr>
          <w:noProof/>
        </w:rPr>
      </w:r>
      <w:r>
        <w:rPr>
          <w:noProof/>
        </w:rPr>
        <w:fldChar w:fldCharType="separate"/>
      </w:r>
      <w:r w:rsidR="00B25B1A">
        <w:rPr>
          <w:noProof/>
        </w:rPr>
        <w:t>348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30.02 Zkoušky</w:t>
      </w:r>
      <w:r>
        <w:rPr>
          <w:noProof/>
        </w:rPr>
        <w:tab/>
      </w:r>
      <w:r>
        <w:rPr>
          <w:noProof/>
        </w:rPr>
        <w:fldChar w:fldCharType="begin"/>
      </w:r>
      <w:r>
        <w:rPr>
          <w:noProof/>
        </w:rPr>
        <w:instrText xml:space="preserve"> PAGEREF _Toc535417167 \h </w:instrText>
      </w:r>
      <w:r>
        <w:rPr>
          <w:noProof/>
        </w:rPr>
      </w:r>
      <w:r>
        <w:rPr>
          <w:noProof/>
        </w:rPr>
        <w:fldChar w:fldCharType="separate"/>
      </w:r>
      <w:r w:rsidR="00B25B1A">
        <w:rPr>
          <w:noProof/>
        </w:rPr>
        <w:t>350</w:t>
      </w:r>
      <w:r>
        <w:rPr>
          <w:noProof/>
        </w:rPr>
        <w:fldChar w:fldCharType="end"/>
      </w:r>
    </w:p>
    <w:p w:rsidR="00B25B1A" w:rsidRDefault="00B25B1A">
      <w:pPr>
        <w:spacing w:after="0" w:line="240" w:lineRule="auto"/>
        <w:rPr>
          <w:rFonts w:ascii="Arial" w:eastAsia="Times New Roman" w:hAnsi="Arial" w:cs="Times New Roman"/>
          <w:i/>
          <w:iCs/>
          <w:noProof/>
          <w:sz w:val="20"/>
          <w:szCs w:val="20"/>
          <w:lang w:val="cs-CZ" w:eastAsia="cs-CZ" w:bidi="cs-CZ"/>
        </w:rPr>
      </w:pPr>
      <w:r>
        <w:rPr>
          <w:noProof/>
        </w:rPr>
        <w:br w:type="page"/>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30.03 Zajištění bezpečnosti</w:t>
      </w:r>
      <w:r>
        <w:rPr>
          <w:noProof/>
        </w:rPr>
        <w:tab/>
      </w:r>
      <w:r>
        <w:rPr>
          <w:noProof/>
        </w:rPr>
        <w:fldChar w:fldCharType="begin"/>
      </w:r>
      <w:r>
        <w:rPr>
          <w:noProof/>
        </w:rPr>
        <w:instrText xml:space="preserve"> PAGEREF _Toc535417168 \h </w:instrText>
      </w:r>
      <w:r>
        <w:rPr>
          <w:noProof/>
        </w:rPr>
      </w:r>
      <w:r>
        <w:rPr>
          <w:noProof/>
        </w:rPr>
        <w:fldChar w:fldCharType="separate"/>
      </w:r>
      <w:r w:rsidR="00B25B1A">
        <w:rPr>
          <w:noProof/>
        </w:rPr>
        <w:t>350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30.04 (ponechán prázdný)</w:t>
      </w:r>
      <w:r>
        <w:rPr>
          <w:noProof/>
        </w:rPr>
        <w:tab/>
      </w:r>
      <w:r>
        <w:rPr>
          <w:noProof/>
        </w:rPr>
        <w:fldChar w:fldCharType="begin"/>
      </w:r>
      <w:r>
        <w:rPr>
          <w:noProof/>
        </w:rPr>
        <w:instrText xml:space="preserve"> PAGEREF _Toc535417169 \h </w:instrText>
      </w:r>
      <w:r>
        <w:rPr>
          <w:noProof/>
        </w:rPr>
      </w:r>
      <w:r>
        <w:rPr>
          <w:noProof/>
        </w:rPr>
        <w:fldChar w:fldCharType="separate"/>
      </w:r>
      <w:r w:rsidR="00B25B1A">
        <w:rPr>
          <w:noProof/>
        </w:rPr>
        <w:t>352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30.05 Označování</w:t>
      </w:r>
      <w:r>
        <w:rPr>
          <w:noProof/>
        </w:rPr>
        <w:tab/>
      </w:r>
      <w:r>
        <w:rPr>
          <w:noProof/>
        </w:rPr>
        <w:fldChar w:fldCharType="begin"/>
      </w:r>
      <w:r>
        <w:rPr>
          <w:noProof/>
        </w:rPr>
        <w:instrText xml:space="preserve"> PAGEREF _Toc535417170 \h </w:instrText>
      </w:r>
      <w:r>
        <w:rPr>
          <w:noProof/>
        </w:rPr>
      </w:r>
      <w:r>
        <w:rPr>
          <w:noProof/>
        </w:rPr>
        <w:fldChar w:fldCharType="separate"/>
      </w:r>
      <w:r w:rsidR="00B25B1A">
        <w:rPr>
          <w:noProof/>
        </w:rPr>
        <w:t>352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30.06 Nezávislý pohonný systém</w:t>
      </w:r>
      <w:r>
        <w:rPr>
          <w:noProof/>
        </w:rPr>
        <w:tab/>
      </w:r>
      <w:r>
        <w:rPr>
          <w:noProof/>
        </w:rPr>
        <w:fldChar w:fldCharType="begin"/>
      </w:r>
      <w:r>
        <w:rPr>
          <w:noProof/>
        </w:rPr>
        <w:instrText xml:space="preserve"> PAGEREF _Toc535417171 \h </w:instrText>
      </w:r>
      <w:r>
        <w:rPr>
          <w:noProof/>
        </w:rPr>
      </w:r>
      <w:r>
        <w:rPr>
          <w:noProof/>
        </w:rPr>
        <w:fldChar w:fldCharType="separate"/>
      </w:r>
      <w:r w:rsidR="00B25B1A">
        <w:rPr>
          <w:noProof/>
        </w:rPr>
        <w:t>352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30.07 Technické zkušebny</w:t>
      </w:r>
      <w:r>
        <w:rPr>
          <w:noProof/>
        </w:rPr>
        <w:tab/>
      </w:r>
      <w:r>
        <w:rPr>
          <w:noProof/>
        </w:rPr>
        <w:fldChar w:fldCharType="begin"/>
      </w:r>
      <w:r>
        <w:rPr>
          <w:noProof/>
        </w:rPr>
        <w:instrText xml:space="preserve"> PAGEREF _Toc535417172 \h </w:instrText>
      </w:r>
      <w:r>
        <w:rPr>
          <w:noProof/>
        </w:rPr>
      </w:r>
      <w:r>
        <w:rPr>
          <w:noProof/>
        </w:rPr>
        <w:fldChar w:fldCharType="separate"/>
      </w:r>
      <w:r w:rsidR="00B25B1A">
        <w:rPr>
          <w:noProof/>
        </w:rPr>
        <w:t>353</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31 Zvláštní ustanovení pro lodě plavící se s minimální posádkou</w:t>
      </w:r>
      <w:r>
        <w:rPr>
          <w:noProof/>
        </w:rPr>
        <w:tab/>
      </w:r>
      <w:r>
        <w:rPr>
          <w:noProof/>
        </w:rPr>
        <w:fldChar w:fldCharType="begin"/>
      </w:r>
      <w:r>
        <w:rPr>
          <w:noProof/>
        </w:rPr>
        <w:instrText xml:space="preserve"> PAGEREF _Toc535417173 \h </w:instrText>
      </w:r>
      <w:r>
        <w:rPr>
          <w:noProof/>
        </w:rPr>
      </w:r>
      <w:r>
        <w:rPr>
          <w:noProof/>
        </w:rPr>
        <w:fldChar w:fldCharType="separate"/>
      </w:r>
      <w:r w:rsidR="00B25B1A">
        <w:rPr>
          <w:noProof/>
        </w:rPr>
        <w:t>355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31.01 Vybavení lodě</w:t>
      </w:r>
      <w:r>
        <w:rPr>
          <w:noProof/>
        </w:rPr>
        <w:tab/>
      </w:r>
      <w:r>
        <w:rPr>
          <w:noProof/>
        </w:rPr>
        <w:fldChar w:fldCharType="begin"/>
      </w:r>
      <w:r>
        <w:rPr>
          <w:noProof/>
        </w:rPr>
        <w:instrText xml:space="preserve"> PAGEREF _Toc535417174 \h </w:instrText>
      </w:r>
      <w:r>
        <w:rPr>
          <w:noProof/>
        </w:rPr>
      </w:r>
      <w:r>
        <w:rPr>
          <w:noProof/>
        </w:rPr>
        <w:fldChar w:fldCharType="separate"/>
      </w:r>
      <w:r w:rsidR="00B25B1A">
        <w:rPr>
          <w:noProof/>
        </w:rPr>
        <w:t>355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31.02 Norma S1</w:t>
      </w:r>
      <w:r>
        <w:rPr>
          <w:noProof/>
        </w:rPr>
        <w:tab/>
      </w:r>
      <w:r>
        <w:rPr>
          <w:noProof/>
        </w:rPr>
        <w:fldChar w:fldCharType="begin"/>
      </w:r>
      <w:r>
        <w:rPr>
          <w:noProof/>
        </w:rPr>
        <w:instrText xml:space="preserve"> PAGEREF _Toc535417175 \h </w:instrText>
      </w:r>
      <w:r>
        <w:rPr>
          <w:noProof/>
        </w:rPr>
      </w:r>
      <w:r>
        <w:rPr>
          <w:noProof/>
        </w:rPr>
        <w:fldChar w:fldCharType="separate"/>
      </w:r>
      <w:r w:rsidR="00B25B1A">
        <w:rPr>
          <w:noProof/>
        </w:rPr>
        <w:t>355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31.03 Norma S2</w:t>
      </w:r>
      <w:r>
        <w:rPr>
          <w:noProof/>
        </w:rPr>
        <w:tab/>
      </w:r>
      <w:r>
        <w:rPr>
          <w:noProof/>
        </w:rPr>
        <w:fldChar w:fldCharType="begin"/>
      </w:r>
      <w:r>
        <w:rPr>
          <w:noProof/>
        </w:rPr>
        <w:instrText xml:space="preserve"> PAGEREF _Toc535417176 \h </w:instrText>
      </w:r>
      <w:r>
        <w:rPr>
          <w:noProof/>
        </w:rPr>
      </w:r>
      <w:r>
        <w:rPr>
          <w:noProof/>
        </w:rPr>
        <w:fldChar w:fldCharType="separate"/>
      </w:r>
      <w:r w:rsidR="00B25B1A">
        <w:rPr>
          <w:noProof/>
        </w:rPr>
        <w:t>357</w:t>
      </w:r>
      <w:r>
        <w:rPr>
          <w:noProof/>
        </w:rPr>
        <w:fldChar w:fldCharType="end"/>
      </w:r>
    </w:p>
    <w:p w:rsidR="002D015D" w:rsidRDefault="002D015D">
      <w:pPr>
        <w:pStyle w:val="TOC1"/>
        <w:rPr>
          <w:rFonts w:asciiTheme="minorHAnsi" w:eastAsiaTheme="minorEastAsia" w:hAnsiTheme="minorHAnsi" w:cstheme="minorBidi"/>
          <w:b w:val="0"/>
          <w:bCs w:val="0"/>
          <w:caps w:val="0"/>
          <w:noProof/>
          <w:sz w:val="22"/>
          <w:szCs w:val="22"/>
          <w:lang w:val="en-GB" w:eastAsia="en-GB" w:bidi="ar-SA"/>
        </w:rPr>
      </w:pPr>
      <w:r>
        <w:rPr>
          <w:noProof/>
        </w:rPr>
        <w:t>ČÁST IV PŘECHODNÁ USTANOVENÍ</w:t>
      </w:r>
      <w:r>
        <w:rPr>
          <w:noProof/>
        </w:rPr>
        <w:tab/>
      </w:r>
      <w:r>
        <w:rPr>
          <w:noProof/>
        </w:rPr>
        <w:fldChar w:fldCharType="begin"/>
      </w:r>
      <w:r>
        <w:rPr>
          <w:noProof/>
        </w:rPr>
        <w:instrText xml:space="preserve"> PAGEREF _Toc535417177 \h </w:instrText>
      </w:r>
      <w:r>
        <w:rPr>
          <w:noProof/>
        </w:rPr>
      </w:r>
      <w:r>
        <w:rPr>
          <w:noProof/>
        </w:rPr>
        <w:fldChar w:fldCharType="separate"/>
      </w:r>
      <w:r w:rsidR="00B25B1A">
        <w:rPr>
          <w:noProof/>
        </w:rPr>
        <w:t>359</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Kapitola 32 Přechodná ustanovení pro plavidla provozovaná na Rýně (zóna R)</w:t>
      </w:r>
      <w:r>
        <w:rPr>
          <w:noProof/>
        </w:rPr>
        <w:tab/>
      </w:r>
      <w:r>
        <w:rPr>
          <w:noProof/>
        </w:rPr>
        <w:fldChar w:fldCharType="begin"/>
      </w:r>
      <w:r>
        <w:rPr>
          <w:noProof/>
        </w:rPr>
        <w:instrText xml:space="preserve"> PAGEREF _Toc535417178 \h </w:instrText>
      </w:r>
      <w:r>
        <w:rPr>
          <w:noProof/>
        </w:rPr>
      </w:r>
      <w:r>
        <w:rPr>
          <w:noProof/>
        </w:rPr>
        <w:fldChar w:fldCharType="separate"/>
      </w:r>
      <w:r w:rsidR="00B25B1A">
        <w:rPr>
          <w:noProof/>
        </w:rPr>
        <w:t>359</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Pr>
          <w:noProof/>
        </w:rPr>
        <w:t>Článek 32.01</w:t>
      </w:r>
      <w:r>
        <w:rPr>
          <w:noProof/>
        </w:rPr>
        <w:tab/>
      </w:r>
      <w:r>
        <w:rPr>
          <w:noProof/>
        </w:rPr>
        <w:fldChar w:fldCharType="begin"/>
      </w:r>
      <w:r>
        <w:rPr>
          <w:noProof/>
        </w:rPr>
        <w:instrText xml:space="preserve"> PAGEREF _Toc535417179 \h </w:instrText>
      </w:r>
      <w:r>
        <w:rPr>
          <w:noProof/>
        </w:rPr>
      </w:r>
      <w:r>
        <w:rPr>
          <w:noProof/>
        </w:rPr>
        <w:fldChar w:fldCharType="separate"/>
      </w:r>
      <w:r w:rsidR="00B25B1A">
        <w:rPr>
          <w:noProof/>
        </w:rPr>
        <w:t>359</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Použitelnost přechodných ustanovení na plavidla, která jsou již v provozu</w:t>
      </w:r>
      <w:r>
        <w:rPr>
          <w:noProof/>
        </w:rPr>
        <w:tab/>
      </w:r>
      <w:r>
        <w:rPr>
          <w:noProof/>
        </w:rPr>
        <w:fldChar w:fldCharType="begin"/>
      </w:r>
      <w:r>
        <w:rPr>
          <w:noProof/>
        </w:rPr>
        <w:instrText xml:space="preserve"> PAGEREF _Toc535417180 \h </w:instrText>
      </w:r>
      <w:r>
        <w:rPr>
          <w:noProof/>
        </w:rPr>
      </w:r>
      <w:r>
        <w:rPr>
          <w:noProof/>
        </w:rPr>
        <w:fldChar w:fldCharType="separate"/>
      </w:r>
      <w:r w:rsidR="00B25B1A">
        <w:rPr>
          <w:noProof/>
        </w:rPr>
        <w:t>359</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32.02</w:t>
      </w:r>
      <w:r>
        <w:rPr>
          <w:noProof/>
        </w:rPr>
        <w:tab/>
      </w:r>
      <w:r>
        <w:rPr>
          <w:noProof/>
        </w:rPr>
        <w:fldChar w:fldCharType="begin"/>
      </w:r>
      <w:r>
        <w:rPr>
          <w:noProof/>
        </w:rPr>
        <w:instrText xml:space="preserve"> PAGEREF _Toc535417181 \h </w:instrText>
      </w:r>
      <w:r>
        <w:rPr>
          <w:noProof/>
        </w:rPr>
      </w:r>
      <w:r>
        <w:rPr>
          <w:noProof/>
        </w:rPr>
        <w:fldChar w:fldCharType="separate"/>
      </w:r>
      <w:r w:rsidR="00B25B1A">
        <w:rPr>
          <w:noProof/>
        </w:rPr>
        <w:t>359</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Přechodná ustanovení pro plavidla, která jsou již v provozu</w:t>
      </w:r>
      <w:r>
        <w:rPr>
          <w:noProof/>
        </w:rPr>
        <w:tab/>
      </w:r>
      <w:r>
        <w:rPr>
          <w:noProof/>
        </w:rPr>
        <w:fldChar w:fldCharType="begin"/>
      </w:r>
      <w:r>
        <w:rPr>
          <w:noProof/>
        </w:rPr>
        <w:instrText xml:space="preserve"> PAGEREF _Toc535417182 \h </w:instrText>
      </w:r>
      <w:r>
        <w:rPr>
          <w:noProof/>
        </w:rPr>
      </w:r>
      <w:r>
        <w:rPr>
          <w:noProof/>
        </w:rPr>
        <w:fldChar w:fldCharType="separate"/>
      </w:r>
      <w:r w:rsidR="00B25B1A">
        <w:rPr>
          <w:noProof/>
        </w:rPr>
        <w:t>359</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32.03</w:t>
      </w:r>
      <w:r>
        <w:rPr>
          <w:noProof/>
        </w:rPr>
        <w:tab/>
      </w:r>
      <w:r>
        <w:rPr>
          <w:noProof/>
        </w:rPr>
        <w:fldChar w:fldCharType="begin"/>
      </w:r>
      <w:r>
        <w:rPr>
          <w:noProof/>
        </w:rPr>
        <w:instrText xml:space="preserve"> PAGEREF _Toc535417183 \h </w:instrText>
      </w:r>
      <w:r>
        <w:rPr>
          <w:noProof/>
        </w:rPr>
      </w:r>
      <w:r>
        <w:rPr>
          <w:noProof/>
        </w:rPr>
        <w:fldChar w:fldCharType="separate"/>
      </w:r>
      <w:r w:rsidR="00B25B1A">
        <w:rPr>
          <w:noProof/>
        </w:rPr>
        <w:t>386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Dodatečná přechodná ustanovení pro plavidla, jejichž kýl byl položen ke dni 1. dubna 1976 nebo dříve</w:t>
      </w:r>
      <w:r>
        <w:rPr>
          <w:noProof/>
        </w:rPr>
        <w:tab/>
      </w:r>
      <w:r>
        <w:rPr>
          <w:noProof/>
        </w:rPr>
        <w:fldChar w:fldCharType="begin"/>
      </w:r>
      <w:r>
        <w:rPr>
          <w:noProof/>
        </w:rPr>
        <w:instrText xml:space="preserve"> PAGEREF _Toc535417184 \h </w:instrText>
      </w:r>
      <w:r>
        <w:rPr>
          <w:noProof/>
        </w:rPr>
      </w:r>
      <w:r>
        <w:rPr>
          <w:noProof/>
        </w:rPr>
        <w:fldChar w:fldCharType="separate"/>
      </w:r>
      <w:r w:rsidR="00B25B1A">
        <w:rPr>
          <w:noProof/>
        </w:rPr>
        <w:t>386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32.04</w:t>
      </w:r>
      <w:r>
        <w:rPr>
          <w:noProof/>
        </w:rPr>
        <w:tab/>
      </w:r>
      <w:r>
        <w:rPr>
          <w:noProof/>
        </w:rPr>
        <w:fldChar w:fldCharType="begin"/>
      </w:r>
      <w:r>
        <w:rPr>
          <w:noProof/>
        </w:rPr>
        <w:instrText xml:space="preserve"> PAGEREF _Toc535417185 \h </w:instrText>
      </w:r>
      <w:r>
        <w:rPr>
          <w:noProof/>
        </w:rPr>
      </w:r>
      <w:r>
        <w:rPr>
          <w:noProof/>
        </w:rPr>
        <w:fldChar w:fldCharType="separate"/>
      </w:r>
      <w:r w:rsidR="00B25B1A">
        <w:rPr>
          <w:noProof/>
        </w:rPr>
        <w:t>390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Další přechodná ustanovení</w:t>
      </w:r>
      <w:r>
        <w:rPr>
          <w:noProof/>
        </w:rPr>
        <w:tab/>
      </w:r>
      <w:r>
        <w:rPr>
          <w:noProof/>
        </w:rPr>
        <w:fldChar w:fldCharType="begin"/>
      </w:r>
      <w:r>
        <w:rPr>
          <w:noProof/>
        </w:rPr>
        <w:instrText xml:space="preserve"> PAGEREF _Toc535417186 \h </w:instrText>
      </w:r>
      <w:r>
        <w:rPr>
          <w:noProof/>
        </w:rPr>
      </w:r>
      <w:r>
        <w:rPr>
          <w:noProof/>
        </w:rPr>
        <w:fldChar w:fldCharType="separate"/>
      </w:r>
      <w:r w:rsidR="00B25B1A">
        <w:rPr>
          <w:noProof/>
        </w:rPr>
        <w:t>390</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Článek 32.05</w:t>
      </w:r>
      <w:r>
        <w:rPr>
          <w:noProof/>
        </w:rPr>
        <w:tab/>
      </w:r>
      <w:r>
        <w:rPr>
          <w:noProof/>
        </w:rPr>
        <w:fldChar w:fldCharType="begin"/>
      </w:r>
      <w:r>
        <w:rPr>
          <w:noProof/>
        </w:rPr>
        <w:instrText xml:space="preserve"> PAGEREF _Toc535417187 \h </w:instrText>
      </w:r>
      <w:r>
        <w:rPr>
          <w:noProof/>
        </w:rPr>
      </w:r>
      <w:r>
        <w:rPr>
          <w:noProof/>
        </w:rPr>
        <w:fldChar w:fldCharType="separate"/>
      </w:r>
      <w:r w:rsidR="00B25B1A">
        <w:rPr>
          <w:noProof/>
        </w:rPr>
        <w:t>392</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t-PT" w:eastAsia="en-GB" w:bidi="ar-SA"/>
        </w:rPr>
      </w:pPr>
      <w:r w:rsidRPr="00864AE0">
        <w:rPr>
          <w:noProof/>
        </w:rPr>
        <w:t>Přechodná ustanovení pro plavidla, na něž se nevztahuje článek 32.01</w:t>
      </w:r>
      <w:r>
        <w:rPr>
          <w:noProof/>
        </w:rPr>
        <w:tab/>
      </w:r>
      <w:r>
        <w:rPr>
          <w:noProof/>
        </w:rPr>
        <w:fldChar w:fldCharType="begin"/>
      </w:r>
      <w:r>
        <w:rPr>
          <w:noProof/>
        </w:rPr>
        <w:instrText xml:space="preserve"> PAGEREF _Toc535417188 \h </w:instrText>
      </w:r>
      <w:r>
        <w:rPr>
          <w:noProof/>
        </w:rPr>
      </w:r>
      <w:r>
        <w:rPr>
          <w:noProof/>
        </w:rPr>
        <w:fldChar w:fldCharType="separate"/>
      </w:r>
      <w:r w:rsidR="00B25B1A">
        <w:rPr>
          <w:noProof/>
        </w:rPr>
        <w:t>392</w:t>
      </w:r>
      <w:r>
        <w:rPr>
          <w:noProof/>
        </w:rPr>
        <w:fldChar w:fldCharType="end"/>
      </w:r>
    </w:p>
    <w:p w:rsidR="002D015D" w:rsidRPr="00B25B1A" w:rsidRDefault="002D015D">
      <w:pPr>
        <w:pStyle w:val="TOC2"/>
        <w:tabs>
          <w:tab w:val="right" w:leader="dot" w:pos="9060"/>
        </w:tabs>
        <w:rPr>
          <w:rFonts w:asciiTheme="minorHAnsi" w:eastAsiaTheme="minorEastAsia" w:hAnsiTheme="minorHAnsi" w:cstheme="minorBidi"/>
          <w:smallCaps w:val="0"/>
          <w:noProof/>
          <w:sz w:val="22"/>
          <w:szCs w:val="22"/>
          <w:lang w:val="pt-PT" w:eastAsia="en-GB" w:bidi="ar-SA"/>
        </w:rPr>
      </w:pPr>
      <w:r>
        <w:rPr>
          <w:noProof/>
        </w:rPr>
        <w:t>Kapitola 33 Přechodná ustanovení pro plavidla provozovaná výhradně na vodních cestách mimo Rýn (Zóna R)</w:t>
      </w:r>
      <w:r>
        <w:rPr>
          <w:noProof/>
        </w:rPr>
        <w:tab/>
      </w:r>
      <w:r>
        <w:rPr>
          <w:noProof/>
        </w:rPr>
        <w:fldChar w:fldCharType="begin"/>
      </w:r>
      <w:r>
        <w:rPr>
          <w:noProof/>
        </w:rPr>
        <w:instrText xml:space="preserve"> PAGEREF _Toc535417189 \h </w:instrText>
      </w:r>
      <w:r>
        <w:rPr>
          <w:noProof/>
        </w:rPr>
      </w:r>
      <w:r>
        <w:rPr>
          <w:noProof/>
        </w:rPr>
        <w:fldChar w:fldCharType="separate"/>
      </w:r>
      <w:r w:rsidR="00B25B1A">
        <w:rPr>
          <w:noProof/>
        </w:rPr>
        <w:t>413</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t-PT" w:eastAsia="en-GB" w:bidi="ar-SA"/>
        </w:rPr>
      </w:pPr>
      <w:r>
        <w:rPr>
          <w:noProof/>
        </w:rPr>
        <w:t>Článek 33.01</w:t>
      </w:r>
      <w:r>
        <w:rPr>
          <w:noProof/>
        </w:rPr>
        <w:tab/>
      </w:r>
      <w:r>
        <w:rPr>
          <w:noProof/>
        </w:rPr>
        <w:fldChar w:fldCharType="begin"/>
      </w:r>
      <w:r>
        <w:rPr>
          <w:noProof/>
        </w:rPr>
        <w:instrText xml:space="preserve"> PAGEREF _Toc535417190 \h </w:instrText>
      </w:r>
      <w:r>
        <w:rPr>
          <w:noProof/>
        </w:rPr>
      </w:r>
      <w:r>
        <w:rPr>
          <w:noProof/>
        </w:rPr>
        <w:fldChar w:fldCharType="separate"/>
      </w:r>
      <w:r w:rsidR="00B25B1A">
        <w:rPr>
          <w:noProof/>
        </w:rPr>
        <w:t>413</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t-PT" w:eastAsia="en-GB" w:bidi="ar-SA"/>
        </w:rPr>
      </w:pPr>
      <w:r w:rsidRPr="00864AE0">
        <w:rPr>
          <w:noProof/>
        </w:rPr>
        <w:t>Použitelnost přechodných ustanovení na plavidla, která jsou již v provozu</w:t>
      </w:r>
      <w:r>
        <w:rPr>
          <w:noProof/>
        </w:rPr>
        <w:tab/>
      </w:r>
      <w:r>
        <w:rPr>
          <w:noProof/>
        </w:rPr>
        <w:fldChar w:fldCharType="begin"/>
      </w:r>
      <w:r>
        <w:rPr>
          <w:noProof/>
        </w:rPr>
        <w:instrText xml:space="preserve"> PAGEREF _Toc535417191 \h </w:instrText>
      </w:r>
      <w:r>
        <w:rPr>
          <w:noProof/>
        </w:rPr>
      </w:r>
      <w:r>
        <w:rPr>
          <w:noProof/>
        </w:rPr>
        <w:fldChar w:fldCharType="separate"/>
      </w:r>
      <w:r w:rsidR="00B25B1A">
        <w:rPr>
          <w:noProof/>
        </w:rPr>
        <w:t>413</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t-PT" w:eastAsia="en-GB" w:bidi="ar-SA"/>
        </w:rPr>
      </w:pPr>
      <w:r w:rsidRPr="00864AE0">
        <w:rPr>
          <w:noProof/>
        </w:rPr>
        <w:t>Článek 33.02</w:t>
      </w:r>
      <w:r>
        <w:rPr>
          <w:noProof/>
        </w:rPr>
        <w:tab/>
      </w:r>
      <w:r>
        <w:rPr>
          <w:noProof/>
        </w:rPr>
        <w:fldChar w:fldCharType="begin"/>
      </w:r>
      <w:r>
        <w:rPr>
          <w:noProof/>
        </w:rPr>
        <w:instrText xml:space="preserve"> PAGEREF _Toc535417192 \h </w:instrText>
      </w:r>
      <w:r>
        <w:rPr>
          <w:noProof/>
        </w:rPr>
      </w:r>
      <w:r>
        <w:rPr>
          <w:noProof/>
        </w:rPr>
        <w:fldChar w:fldCharType="separate"/>
      </w:r>
      <w:r w:rsidR="00B25B1A">
        <w:rPr>
          <w:noProof/>
        </w:rPr>
        <w:t>413</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t-PT" w:eastAsia="en-GB" w:bidi="ar-SA"/>
        </w:rPr>
      </w:pPr>
      <w:r w:rsidRPr="00864AE0">
        <w:rPr>
          <w:noProof/>
        </w:rPr>
        <w:t>Přechodná ustanovení pro plavidla, která jsou již v provozu</w:t>
      </w:r>
      <w:r>
        <w:rPr>
          <w:noProof/>
        </w:rPr>
        <w:tab/>
      </w:r>
      <w:r>
        <w:rPr>
          <w:noProof/>
        </w:rPr>
        <w:fldChar w:fldCharType="begin"/>
      </w:r>
      <w:r>
        <w:rPr>
          <w:noProof/>
        </w:rPr>
        <w:instrText xml:space="preserve"> PAGEREF _Toc535417193 \h </w:instrText>
      </w:r>
      <w:r>
        <w:rPr>
          <w:noProof/>
        </w:rPr>
      </w:r>
      <w:r>
        <w:rPr>
          <w:noProof/>
        </w:rPr>
        <w:fldChar w:fldCharType="separate"/>
      </w:r>
      <w:r w:rsidR="00B25B1A">
        <w:rPr>
          <w:noProof/>
        </w:rPr>
        <w:t>413</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t-PT" w:eastAsia="en-GB" w:bidi="ar-SA"/>
        </w:rPr>
      </w:pPr>
      <w:r w:rsidRPr="00864AE0">
        <w:rPr>
          <w:noProof/>
        </w:rPr>
        <w:t>Článek 33.03</w:t>
      </w:r>
      <w:r>
        <w:rPr>
          <w:noProof/>
        </w:rPr>
        <w:tab/>
      </w:r>
      <w:r>
        <w:rPr>
          <w:noProof/>
        </w:rPr>
        <w:fldChar w:fldCharType="begin"/>
      </w:r>
      <w:r>
        <w:rPr>
          <w:noProof/>
        </w:rPr>
        <w:instrText xml:space="preserve"> PAGEREF _Toc535417194 \h </w:instrText>
      </w:r>
      <w:r>
        <w:rPr>
          <w:noProof/>
        </w:rPr>
      </w:r>
      <w:r>
        <w:rPr>
          <w:noProof/>
        </w:rPr>
        <w:fldChar w:fldCharType="separate"/>
      </w:r>
      <w:r w:rsidR="00B25B1A">
        <w:rPr>
          <w:noProof/>
        </w:rPr>
        <w:t>434</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t-PT" w:eastAsia="en-GB" w:bidi="ar-SA"/>
        </w:rPr>
      </w:pPr>
      <w:r w:rsidRPr="00864AE0">
        <w:rPr>
          <w:noProof/>
        </w:rPr>
        <w:t>Dodatečná přechodná ustanovení pro plavidla, jejichž kýl byl položen před 1. lednem 1985</w:t>
      </w:r>
      <w:r>
        <w:rPr>
          <w:noProof/>
        </w:rPr>
        <w:tab/>
      </w:r>
      <w:r>
        <w:rPr>
          <w:noProof/>
        </w:rPr>
        <w:fldChar w:fldCharType="begin"/>
      </w:r>
      <w:r>
        <w:rPr>
          <w:noProof/>
        </w:rPr>
        <w:instrText xml:space="preserve"> PAGEREF _Toc535417195 \h </w:instrText>
      </w:r>
      <w:r>
        <w:rPr>
          <w:noProof/>
        </w:rPr>
      </w:r>
      <w:r>
        <w:rPr>
          <w:noProof/>
        </w:rPr>
        <w:fldChar w:fldCharType="separate"/>
      </w:r>
      <w:r w:rsidR="00B25B1A">
        <w:rPr>
          <w:noProof/>
        </w:rPr>
        <w:t>434</w:t>
      </w:r>
      <w:r>
        <w:rPr>
          <w:noProof/>
        </w:rPr>
        <w:fldChar w:fldCharType="end"/>
      </w:r>
    </w:p>
    <w:p w:rsidR="002D015D" w:rsidRPr="00B25B1A" w:rsidRDefault="002D015D">
      <w:pPr>
        <w:pStyle w:val="TOC1"/>
        <w:rPr>
          <w:rFonts w:asciiTheme="minorHAnsi" w:eastAsiaTheme="minorEastAsia" w:hAnsiTheme="minorHAnsi" w:cstheme="minorBidi"/>
          <w:b w:val="0"/>
          <w:bCs w:val="0"/>
          <w:caps w:val="0"/>
          <w:noProof/>
          <w:sz w:val="22"/>
          <w:szCs w:val="22"/>
          <w:lang w:val="pt-PT" w:eastAsia="en-GB" w:bidi="ar-SA"/>
        </w:rPr>
      </w:pPr>
      <w:r w:rsidRPr="00864AE0">
        <w:rPr>
          <w:noProof/>
        </w:rPr>
        <w:t>Přílohy evropské normy</w:t>
      </w:r>
      <w:r>
        <w:rPr>
          <w:noProof/>
        </w:rPr>
        <w:tab/>
      </w:r>
      <w:r>
        <w:rPr>
          <w:noProof/>
        </w:rPr>
        <w:fldChar w:fldCharType="begin"/>
      </w:r>
      <w:r>
        <w:rPr>
          <w:noProof/>
        </w:rPr>
        <w:instrText xml:space="preserve"> PAGEREF _Toc535417196 \h </w:instrText>
      </w:r>
      <w:r>
        <w:rPr>
          <w:noProof/>
        </w:rPr>
      </w:r>
      <w:r>
        <w:rPr>
          <w:noProof/>
        </w:rPr>
        <w:fldChar w:fldCharType="separate"/>
      </w:r>
      <w:r w:rsidR="00B25B1A">
        <w:rPr>
          <w:noProof/>
        </w:rPr>
        <w:t>438</w:t>
      </w:r>
      <w:r>
        <w:rPr>
          <w:noProof/>
        </w:rPr>
        <w:fldChar w:fldCharType="end"/>
      </w:r>
    </w:p>
    <w:p w:rsidR="002D015D" w:rsidRPr="00B25B1A" w:rsidRDefault="002D015D">
      <w:pPr>
        <w:pStyle w:val="TOC1"/>
        <w:rPr>
          <w:rFonts w:asciiTheme="minorHAnsi" w:eastAsiaTheme="minorEastAsia" w:hAnsiTheme="minorHAnsi" w:cstheme="minorBidi"/>
          <w:b w:val="0"/>
          <w:bCs w:val="0"/>
          <w:caps w:val="0"/>
          <w:noProof/>
          <w:sz w:val="22"/>
          <w:szCs w:val="22"/>
          <w:lang w:val="pt-PT" w:eastAsia="en-GB" w:bidi="ar-SA"/>
        </w:rPr>
      </w:pPr>
      <w:r>
        <w:rPr>
          <w:noProof/>
        </w:rPr>
        <w:t>ČÁST I IDENTIFIKACE PLAVIDLA A REJSTŘÍK PLAVIDEL</w:t>
      </w:r>
      <w:r>
        <w:rPr>
          <w:noProof/>
        </w:rPr>
        <w:tab/>
      </w:r>
      <w:r>
        <w:rPr>
          <w:noProof/>
        </w:rPr>
        <w:fldChar w:fldCharType="begin"/>
      </w:r>
      <w:r>
        <w:rPr>
          <w:noProof/>
        </w:rPr>
        <w:instrText xml:space="preserve"> PAGEREF _Toc535417197 \h </w:instrText>
      </w:r>
      <w:r>
        <w:rPr>
          <w:noProof/>
        </w:rPr>
      </w:r>
      <w:r>
        <w:rPr>
          <w:noProof/>
        </w:rPr>
        <w:fldChar w:fldCharType="separate"/>
      </w:r>
      <w:r w:rsidR="00B25B1A">
        <w:rPr>
          <w:noProof/>
        </w:rPr>
        <w:t>440</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Příloha 1 Vzor jednotného evropského identifikačního čísla plavidla (ENI)</w:t>
      </w:r>
      <w:r>
        <w:rPr>
          <w:noProof/>
        </w:rPr>
        <w:tab/>
      </w:r>
      <w:r>
        <w:rPr>
          <w:noProof/>
        </w:rPr>
        <w:fldChar w:fldCharType="begin"/>
      </w:r>
      <w:r>
        <w:rPr>
          <w:noProof/>
        </w:rPr>
        <w:instrText xml:space="preserve"> PAGEREF _Toc535417198 \h </w:instrText>
      </w:r>
      <w:r>
        <w:rPr>
          <w:noProof/>
        </w:rPr>
      </w:r>
      <w:r>
        <w:rPr>
          <w:noProof/>
        </w:rPr>
        <w:fldChar w:fldCharType="separate"/>
      </w:r>
      <w:r w:rsidR="00B25B1A">
        <w:rPr>
          <w:noProof/>
        </w:rPr>
        <w:t>440</w:t>
      </w:r>
      <w:r>
        <w:rPr>
          <w:noProof/>
        </w:rPr>
        <w:fldChar w:fldCharType="end"/>
      </w:r>
    </w:p>
    <w:p w:rsidR="002D015D" w:rsidRPr="00B25B1A" w:rsidRDefault="002D015D">
      <w:pPr>
        <w:pStyle w:val="TOC2"/>
        <w:tabs>
          <w:tab w:val="right" w:leader="dot" w:pos="9060"/>
        </w:tabs>
        <w:rPr>
          <w:rFonts w:asciiTheme="minorHAnsi" w:eastAsiaTheme="minorEastAsia" w:hAnsiTheme="minorHAnsi" w:cstheme="minorBidi"/>
          <w:smallCaps w:val="0"/>
          <w:noProof/>
          <w:sz w:val="22"/>
          <w:szCs w:val="22"/>
          <w:lang w:val="it-IT" w:eastAsia="en-GB" w:bidi="ar-SA"/>
        </w:rPr>
      </w:pPr>
      <w:r>
        <w:rPr>
          <w:noProof/>
        </w:rPr>
        <w:t>Příloha 2 Údaje pro identifikaci plavidla</w:t>
      </w:r>
      <w:r>
        <w:rPr>
          <w:noProof/>
        </w:rPr>
        <w:tab/>
      </w:r>
      <w:r>
        <w:rPr>
          <w:noProof/>
        </w:rPr>
        <w:fldChar w:fldCharType="begin"/>
      </w:r>
      <w:r>
        <w:rPr>
          <w:noProof/>
        </w:rPr>
        <w:instrText xml:space="preserve"> PAGEREF _Toc535417199 \h </w:instrText>
      </w:r>
      <w:r>
        <w:rPr>
          <w:noProof/>
        </w:rPr>
      </w:r>
      <w:r>
        <w:rPr>
          <w:noProof/>
        </w:rPr>
        <w:fldChar w:fldCharType="separate"/>
      </w:r>
      <w:r w:rsidR="00B25B1A">
        <w:rPr>
          <w:noProof/>
        </w:rPr>
        <w:t>444</w:t>
      </w:r>
      <w:r>
        <w:rPr>
          <w:noProof/>
        </w:rPr>
        <w:fldChar w:fldCharType="end"/>
      </w:r>
    </w:p>
    <w:p w:rsidR="002D015D" w:rsidRPr="00B25B1A" w:rsidRDefault="002D015D">
      <w:pPr>
        <w:pStyle w:val="TOC2"/>
        <w:tabs>
          <w:tab w:val="right" w:leader="dot" w:pos="9060"/>
        </w:tabs>
        <w:rPr>
          <w:rFonts w:asciiTheme="minorHAnsi" w:eastAsiaTheme="minorEastAsia" w:hAnsiTheme="minorHAnsi" w:cstheme="minorBidi"/>
          <w:smallCaps w:val="0"/>
          <w:noProof/>
          <w:sz w:val="22"/>
          <w:szCs w:val="22"/>
          <w:lang w:val="it-IT" w:eastAsia="en-GB" w:bidi="ar-SA"/>
        </w:rPr>
      </w:pPr>
      <w:r>
        <w:rPr>
          <w:noProof/>
        </w:rPr>
        <w:t>Příloha 3 Vzory osvědčení plavidla vnitrozemské plavby a vzor rejstříku osvědčení plavidla vnitrozemské plavby</w:t>
      </w:r>
      <w:r>
        <w:rPr>
          <w:noProof/>
        </w:rPr>
        <w:tab/>
      </w:r>
      <w:r>
        <w:rPr>
          <w:noProof/>
        </w:rPr>
        <w:fldChar w:fldCharType="begin"/>
      </w:r>
      <w:r>
        <w:rPr>
          <w:noProof/>
        </w:rPr>
        <w:instrText xml:space="preserve"> PAGEREF _Toc535417200 \h </w:instrText>
      </w:r>
      <w:r>
        <w:rPr>
          <w:noProof/>
        </w:rPr>
      </w:r>
      <w:r>
        <w:rPr>
          <w:noProof/>
        </w:rPr>
        <w:fldChar w:fldCharType="separate"/>
      </w:r>
      <w:r w:rsidR="00B25B1A">
        <w:rPr>
          <w:noProof/>
        </w:rPr>
        <w:t>447</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it-IT" w:eastAsia="en-GB" w:bidi="ar-SA"/>
        </w:rPr>
      </w:pPr>
      <w:r w:rsidRPr="00864AE0">
        <w:rPr>
          <w:noProof/>
        </w:rPr>
        <w:t>Oddíl I</w:t>
      </w:r>
      <w:r>
        <w:rPr>
          <w:noProof/>
        </w:rPr>
        <w:tab/>
      </w:r>
      <w:r>
        <w:rPr>
          <w:noProof/>
        </w:rPr>
        <w:fldChar w:fldCharType="begin"/>
      </w:r>
      <w:r>
        <w:rPr>
          <w:noProof/>
        </w:rPr>
        <w:instrText xml:space="preserve"> PAGEREF _Toc535417201 \h </w:instrText>
      </w:r>
      <w:r>
        <w:rPr>
          <w:noProof/>
        </w:rPr>
      </w:r>
      <w:r>
        <w:rPr>
          <w:noProof/>
        </w:rPr>
        <w:fldChar w:fldCharType="separate"/>
      </w:r>
      <w:r w:rsidR="00B25B1A">
        <w:rPr>
          <w:noProof/>
        </w:rPr>
        <w:t>447</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it-IT" w:eastAsia="en-GB" w:bidi="ar-SA"/>
        </w:rPr>
      </w:pPr>
      <w:r w:rsidRPr="00864AE0">
        <w:rPr>
          <w:noProof/>
        </w:rPr>
        <w:t>Vzor osvědčení plavidla vnitrozemské plavby</w:t>
      </w:r>
      <w:r>
        <w:rPr>
          <w:noProof/>
        </w:rPr>
        <w:tab/>
      </w:r>
      <w:r>
        <w:rPr>
          <w:noProof/>
        </w:rPr>
        <w:fldChar w:fldCharType="begin"/>
      </w:r>
      <w:r>
        <w:rPr>
          <w:noProof/>
        </w:rPr>
        <w:instrText xml:space="preserve"> PAGEREF _Toc535417202 \h </w:instrText>
      </w:r>
      <w:r>
        <w:rPr>
          <w:noProof/>
        </w:rPr>
      </w:r>
      <w:r>
        <w:rPr>
          <w:noProof/>
        </w:rPr>
        <w:fldChar w:fldCharType="separate"/>
      </w:r>
      <w:r w:rsidR="00B25B1A">
        <w:rPr>
          <w:noProof/>
        </w:rPr>
        <w:t>447</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it-IT" w:eastAsia="en-GB" w:bidi="ar-SA"/>
        </w:rPr>
      </w:pPr>
      <w:r w:rsidRPr="00864AE0">
        <w:rPr>
          <w:noProof/>
        </w:rPr>
        <w:t>Oddíl II</w:t>
      </w:r>
      <w:r>
        <w:rPr>
          <w:noProof/>
        </w:rPr>
        <w:tab/>
      </w:r>
      <w:r>
        <w:rPr>
          <w:noProof/>
        </w:rPr>
        <w:fldChar w:fldCharType="begin"/>
      </w:r>
      <w:r>
        <w:rPr>
          <w:noProof/>
        </w:rPr>
        <w:instrText xml:space="preserve"> PAGEREF _Toc535417203 \h </w:instrText>
      </w:r>
      <w:r>
        <w:rPr>
          <w:noProof/>
        </w:rPr>
      </w:r>
      <w:r>
        <w:rPr>
          <w:noProof/>
        </w:rPr>
        <w:fldChar w:fldCharType="separate"/>
      </w:r>
      <w:r w:rsidR="00B25B1A">
        <w:rPr>
          <w:noProof/>
        </w:rPr>
        <w:t>478</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it-IT" w:eastAsia="en-GB" w:bidi="ar-SA"/>
        </w:rPr>
      </w:pPr>
      <w:r w:rsidRPr="00864AE0">
        <w:rPr>
          <w:noProof/>
        </w:rPr>
        <w:t>Vzor dočasného osvědčení plavidla vnitrozemské plavby</w:t>
      </w:r>
      <w:r>
        <w:rPr>
          <w:noProof/>
        </w:rPr>
        <w:tab/>
      </w:r>
      <w:r>
        <w:rPr>
          <w:noProof/>
        </w:rPr>
        <w:fldChar w:fldCharType="begin"/>
      </w:r>
      <w:r>
        <w:rPr>
          <w:noProof/>
        </w:rPr>
        <w:instrText xml:space="preserve"> PAGEREF _Toc535417204 \h </w:instrText>
      </w:r>
      <w:r>
        <w:rPr>
          <w:noProof/>
        </w:rPr>
      </w:r>
      <w:r>
        <w:rPr>
          <w:noProof/>
        </w:rPr>
        <w:fldChar w:fldCharType="separate"/>
      </w:r>
      <w:r w:rsidR="00B25B1A">
        <w:rPr>
          <w:noProof/>
        </w:rPr>
        <w:t>478</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it-IT" w:eastAsia="en-GB" w:bidi="ar-SA"/>
        </w:rPr>
      </w:pPr>
      <w:r w:rsidRPr="00864AE0">
        <w:rPr>
          <w:noProof/>
        </w:rPr>
        <w:t>Oddíl III</w:t>
      </w:r>
      <w:r>
        <w:rPr>
          <w:noProof/>
        </w:rPr>
        <w:tab/>
      </w:r>
      <w:r>
        <w:rPr>
          <w:noProof/>
        </w:rPr>
        <w:fldChar w:fldCharType="begin"/>
      </w:r>
      <w:r>
        <w:rPr>
          <w:noProof/>
        </w:rPr>
        <w:instrText xml:space="preserve"> PAGEREF _Toc535417205 \h </w:instrText>
      </w:r>
      <w:r>
        <w:rPr>
          <w:noProof/>
        </w:rPr>
      </w:r>
      <w:r>
        <w:rPr>
          <w:noProof/>
        </w:rPr>
        <w:fldChar w:fldCharType="separate"/>
      </w:r>
      <w:r w:rsidR="00B25B1A">
        <w:rPr>
          <w:noProof/>
        </w:rPr>
        <w:t>481</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it-IT" w:eastAsia="en-GB" w:bidi="ar-SA"/>
        </w:rPr>
      </w:pPr>
      <w:r w:rsidRPr="00864AE0">
        <w:rPr>
          <w:noProof/>
        </w:rPr>
        <w:t>Vzor dodatečného osvědčení Unie pro plavidlo vnitrozemské plavby</w:t>
      </w:r>
      <w:r>
        <w:rPr>
          <w:noProof/>
        </w:rPr>
        <w:tab/>
      </w:r>
      <w:r>
        <w:rPr>
          <w:noProof/>
        </w:rPr>
        <w:fldChar w:fldCharType="begin"/>
      </w:r>
      <w:r>
        <w:rPr>
          <w:noProof/>
        </w:rPr>
        <w:instrText xml:space="preserve"> PAGEREF _Toc535417206 \h </w:instrText>
      </w:r>
      <w:r>
        <w:rPr>
          <w:noProof/>
        </w:rPr>
      </w:r>
      <w:r>
        <w:rPr>
          <w:noProof/>
        </w:rPr>
        <w:fldChar w:fldCharType="separate"/>
      </w:r>
      <w:r w:rsidR="00B25B1A">
        <w:rPr>
          <w:noProof/>
        </w:rPr>
        <w:t>481</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Oddíl IV</w:t>
      </w:r>
      <w:r>
        <w:rPr>
          <w:noProof/>
        </w:rPr>
        <w:tab/>
      </w:r>
      <w:r>
        <w:rPr>
          <w:noProof/>
        </w:rPr>
        <w:fldChar w:fldCharType="begin"/>
      </w:r>
      <w:r>
        <w:rPr>
          <w:noProof/>
        </w:rPr>
        <w:instrText xml:space="preserve"> PAGEREF _Toc535417207 \h </w:instrText>
      </w:r>
      <w:r>
        <w:rPr>
          <w:noProof/>
        </w:rPr>
      </w:r>
      <w:r>
        <w:rPr>
          <w:noProof/>
        </w:rPr>
        <w:fldChar w:fldCharType="separate"/>
      </w:r>
      <w:r w:rsidR="00B25B1A">
        <w:rPr>
          <w:noProof/>
        </w:rPr>
        <w:t>485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Vzor osvědčení námořní lodě provozované na Rýně</w:t>
      </w:r>
      <w:r>
        <w:rPr>
          <w:noProof/>
        </w:rPr>
        <w:tab/>
      </w:r>
      <w:r>
        <w:rPr>
          <w:noProof/>
        </w:rPr>
        <w:fldChar w:fldCharType="begin"/>
      </w:r>
      <w:r>
        <w:rPr>
          <w:noProof/>
        </w:rPr>
        <w:instrText xml:space="preserve"> PAGEREF _Toc535417208 \h </w:instrText>
      </w:r>
      <w:r>
        <w:rPr>
          <w:noProof/>
        </w:rPr>
      </w:r>
      <w:r>
        <w:rPr>
          <w:noProof/>
        </w:rPr>
        <w:fldChar w:fldCharType="separate"/>
      </w:r>
      <w:r w:rsidR="00B25B1A">
        <w:rPr>
          <w:noProof/>
        </w:rPr>
        <w:t>485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Oddíl V</w:t>
      </w:r>
      <w:r>
        <w:rPr>
          <w:noProof/>
        </w:rPr>
        <w:tab/>
      </w:r>
      <w:r>
        <w:rPr>
          <w:noProof/>
        </w:rPr>
        <w:fldChar w:fldCharType="begin"/>
      </w:r>
      <w:r>
        <w:rPr>
          <w:noProof/>
        </w:rPr>
        <w:instrText xml:space="preserve"> PAGEREF _Toc535417209 \h </w:instrText>
      </w:r>
      <w:r>
        <w:rPr>
          <w:noProof/>
        </w:rPr>
      </w:r>
      <w:r>
        <w:rPr>
          <w:noProof/>
        </w:rPr>
        <w:fldChar w:fldCharType="separate"/>
      </w:r>
      <w:r w:rsidR="00B25B1A">
        <w:rPr>
          <w:noProof/>
        </w:rPr>
        <w:t>488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Vzor přílohy „Tradiční plavidlo“ k osvědčení plavidla vnitrozemské plavby podle kapitoly 24</w:t>
      </w:r>
      <w:r>
        <w:rPr>
          <w:noProof/>
        </w:rPr>
        <w:tab/>
      </w:r>
      <w:r>
        <w:rPr>
          <w:noProof/>
        </w:rPr>
        <w:fldChar w:fldCharType="begin"/>
      </w:r>
      <w:r>
        <w:rPr>
          <w:noProof/>
        </w:rPr>
        <w:instrText xml:space="preserve"> PAGEREF _Toc535417210 \h </w:instrText>
      </w:r>
      <w:r>
        <w:rPr>
          <w:noProof/>
        </w:rPr>
      </w:r>
      <w:r>
        <w:rPr>
          <w:noProof/>
        </w:rPr>
        <w:fldChar w:fldCharType="separate"/>
      </w:r>
      <w:r w:rsidR="00B25B1A">
        <w:rPr>
          <w:noProof/>
        </w:rPr>
        <w:t>488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Oddíl VI</w:t>
      </w:r>
      <w:r>
        <w:rPr>
          <w:noProof/>
        </w:rPr>
        <w:tab/>
      </w:r>
      <w:r>
        <w:rPr>
          <w:noProof/>
        </w:rPr>
        <w:fldChar w:fldCharType="begin"/>
      </w:r>
      <w:r>
        <w:rPr>
          <w:noProof/>
        </w:rPr>
        <w:instrText xml:space="preserve"> PAGEREF _Toc535417211 \h </w:instrText>
      </w:r>
      <w:r>
        <w:rPr>
          <w:noProof/>
        </w:rPr>
      </w:r>
      <w:r>
        <w:rPr>
          <w:noProof/>
        </w:rPr>
        <w:fldChar w:fldCharType="separate"/>
      </w:r>
      <w:r w:rsidR="00B25B1A">
        <w:rPr>
          <w:noProof/>
        </w:rPr>
        <w:t>492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Vzor rejstříku osvědčení plavidla vnitrozemské plavby</w:t>
      </w:r>
      <w:r>
        <w:rPr>
          <w:noProof/>
        </w:rPr>
        <w:tab/>
      </w:r>
      <w:r>
        <w:rPr>
          <w:noProof/>
        </w:rPr>
        <w:fldChar w:fldCharType="begin"/>
      </w:r>
      <w:r>
        <w:rPr>
          <w:noProof/>
        </w:rPr>
        <w:instrText xml:space="preserve"> PAGEREF _Toc535417212 \h </w:instrText>
      </w:r>
      <w:r>
        <w:rPr>
          <w:noProof/>
        </w:rPr>
      </w:r>
      <w:r>
        <w:rPr>
          <w:noProof/>
        </w:rPr>
        <w:fldChar w:fldCharType="separate"/>
      </w:r>
      <w:r w:rsidR="00B25B1A">
        <w:rPr>
          <w:noProof/>
        </w:rPr>
        <w:t>492</w:t>
      </w:r>
      <w:r>
        <w:rPr>
          <w:noProof/>
        </w:rPr>
        <w:fldChar w:fldCharType="end"/>
      </w:r>
    </w:p>
    <w:p w:rsidR="002D015D" w:rsidRDefault="002D015D">
      <w:pPr>
        <w:pStyle w:val="TOC1"/>
        <w:rPr>
          <w:rFonts w:asciiTheme="minorHAnsi" w:eastAsiaTheme="minorEastAsia" w:hAnsiTheme="minorHAnsi" w:cstheme="minorBidi"/>
          <w:b w:val="0"/>
          <w:bCs w:val="0"/>
          <w:caps w:val="0"/>
          <w:noProof/>
          <w:sz w:val="22"/>
          <w:szCs w:val="22"/>
          <w:lang w:val="en-GB" w:eastAsia="en-GB" w:bidi="ar-SA"/>
        </w:rPr>
      </w:pPr>
      <w:r>
        <w:rPr>
          <w:noProof/>
        </w:rPr>
        <w:t>ČÁST II DALŠÍ POŽADAVKY NA ZVLÁŠTNÍ VYBABENÍ NA PALUBĚ</w:t>
      </w:r>
      <w:r>
        <w:rPr>
          <w:noProof/>
        </w:rPr>
        <w:tab/>
      </w:r>
      <w:r>
        <w:rPr>
          <w:noProof/>
        </w:rPr>
        <w:fldChar w:fldCharType="begin"/>
      </w:r>
      <w:r>
        <w:rPr>
          <w:noProof/>
        </w:rPr>
        <w:instrText xml:space="preserve"> PAGEREF _Toc535417213 \h </w:instrText>
      </w:r>
      <w:r>
        <w:rPr>
          <w:noProof/>
        </w:rPr>
      </w:r>
      <w:r>
        <w:rPr>
          <w:noProof/>
        </w:rPr>
        <w:fldChar w:fldCharType="separate"/>
      </w:r>
      <w:r w:rsidR="00B25B1A">
        <w:rPr>
          <w:noProof/>
        </w:rPr>
        <w:t>499</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Příloha 4 Bezpečnostní značky</w:t>
      </w:r>
      <w:r>
        <w:rPr>
          <w:noProof/>
        </w:rPr>
        <w:tab/>
      </w:r>
      <w:r>
        <w:rPr>
          <w:noProof/>
        </w:rPr>
        <w:fldChar w:fldCharType="begin"/>
      </w:r>
      <w:r>
        <w:rPr>
          <w:noProof/>
        </w:rPr>
        <w:instrText xml:space="preserve"> PAGEREF _Toc535417214 \h </w:instrText>
      </w:r>
      <w:r>
        <w:rPr>
          <w:noProof/>
        </w:rPr>
      </w:r>
      <w:r>
        <w:rPr>
          <w:noProof/>
        </w:rPr>
        <w:fldChar w:fldCharType="separate"/>
      </w:r>
      <w:r w:rsidR="00B25B1A">
        <w:rPr>
          <w:noProof/>
        </w:rPr>
        <w:t>499</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Příloha 5 Navigační a informační zařízení</w:t>
      </w:r>
      <w:r>
        <w:rPr>
          <w:noProof/>
        </w:rPr>
        <w:tab/>
      </w:r>
      <w:r>
        <w:rPr>
          <w:noProof/>
        </w:rPr>
        <w:fldChar w:fldCharType="begin"/>
      </w:r>
      <w:r>
        <w:rPr>
          <w:noProof/>
        </w:rPr>
        <w:instrText xml:space="preserve"> PAGEREF _Toc535417215 \h </w:instrText>
      </w:r>
      <w:r>
        <w:rPr>
          <w:noProof/>
        </w:rPr>
      </w:r>
      <w:r>
        <w:rPr>
          <w:noProof/>
        </w:rPr>
        <w:fldChar w:fldCharType="separate"/>
      </w:r>
      <w:r w:rsidR="00B25B1A">
        <w:rPr>
          <w:noProof/>
        </w:rPr>
        <w:t>505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Oddíl I</w:t>
      </w:r>
      <w:r>
        <w:rPr>
          <w:noProof/>
        </w:rPr>
        <w:tab/>
      </w:r>
      <w:r>
        <w:rPr>
          <w:noProof/>
        </w:rPr>
        <w:fldChar w:fldCharType="begin"/>
      </w:r>
      <w:r>
        <w:rPr>
          <w:noProof/>
        </w:rPr>
        <w:instrText xml:space="preserve"> PAGEREF _Toc535417216 \h </w:instrText>
      </w:r>
      <w:r>
        <w:rPr>
          <w:noProof/>
        </w:rPr>
      </w:r>
      <w:r>
        <w:rPr>
          <w:noProof/>
        </w:rPr>
        <w:fldChar w:fldCharType="separate"/>
      </w:r>
      <w:r w:rsidR="00B25B1A">
        <w:rPr>
          <w:noProof/>
        </w:rPr>
        <w:t>508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Minimální požadavky a zkušební podmínky pro navigační radarová zařízení ve vnitrozemské vodní dopravě</w:t>
      </w:r>
      <w:r>
        <w:rPr>
          <w:noProof/>
        </w:rPr>
        <w:tab/>
      </w:r>
      <w:r>
        <w:rPr>
          <w:noProof/>
        </w:rPr>
        <w:fldChar w:fldCharType="begin"/>
      </w:r>
      <w:r>
        <w:rPr>
          <w:noProof/>
        </w:rPr>
        <w:instrText xml:space="preserve"> PAGEREF _Toc535417217 \h </w:instrText>
      </w:r>
      <w:r>
        <w:rPr>
          <w:noProof/>
        </w:rPr>
      </w:r>
      <w:r>
        <w:rPr>
          <w:noProof/>
        </w:rPr>
        <w:fldChar w:fldCharType="separate"/>
      </w:r>
      <w:r w:rsidR="00B25B1A">
        <w:rPr>
          <w:noProof/>
        </w:rPr>
        <w:t>508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Oddíl II</w:t>
      </w:r>
      <w:r>
        <w:rPr>
          <w:noProof/>
        </w:rPr>
        <w:tab/>
      </w:r>
      <w:r>
        <w:rPr>
          <w:noProof/>
        </w:rPr>
        <w:fldChar w:fldCharType="begin"/>
      </w:r>
      <w:r>
        <w:rPr>
          <w:noProof/>
        </w:rPr>
        <w:instrText xml:space="preserve"> PAGEREF _Toc535417218 \h </w:instrText>
      </w:r>
      <w:r>
        <w:rPr>
          <w:noProof/>
        </w:rPr>
      </w:r>
      <w:r>
        <w:rPr>
          <w:noProof/>
        </w:rPr>
        <w:fldChar w:fldCharType="separate"/>
      </w:r>
      <w:r w:rsidR="00B25B1A">
        <w:rPr>
          <w:noProof/>
        </w:rPr>
        <w:t>516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Minimální požadavky a zkušební podmínky pro ukazatele rychlosti otáčení ve vnitrozemské vodní dopravě</w:t>
      </w:r>
      <w:r>
        <w:rPr>
          <w:noProof/>
        </w:rPr>
        <w:tab/>
      </w:r>
      <w:r>
        <w:rPr>
          <w:noProof/>
        </w:rPr>
        <w:fldChar w:fldCharType="begin"/>
      </w:r>
      <w:r>
        <w:rPr>
          <w:noProof/>
        </w:rPr>
        <w:instrText xml:space="preserve"> PAGEREF _Toc535417219 \h </w:instrText>
      </w:r>
      <w:r>
        <w:rPr>
          <w:noProof/>
        </w:rPr>
      </w:r>
      <w:r>
        <w:rPr>
          <w:noProof/>
        </w:rPr>
        <w:fldChar w:fldCharType="separate"/>
      </w:r>
      <w:r w:rsidR="00B25B1A">
        <w:rPr>
          <w:noProof/>
        </w:rPr>
        <w:t>516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Oddíl III</w:t>
      </w:r>
      <w:r>
        <w:rPr>
          <w:noProof/>
        </w:rPr>
        <w:tab/>
      </w:r>
      <w:r>
        <w:rPr>
          <w:noProof/>
        </w:rPr>
        <w:fldChar w:fldCharType="begin"/>
      </w:r>
      <w:r>
        <w:rPr>
          <w:noProof/>
        </w:rPr>
        <w:instrText xml:space="preserve"> PAGEREF _Toc535417220 \h </w:instrText>
      </w:r>
      <w:r>
        <w:rPr>
          <w:noProof/>
        </w:rPr>
      </w:r>
      <w:r>
        <w:rPr>
          <w:noProof/>
        </w:rPr>
        <w:fldChar w:fldCharType="separate"/>
      </w:r>
      <w:r w:rsidR="00B25B1A">
        <w:rPr>
          <w:noProof/>
        </w:rPr>
        <w:t>535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Požadavky na zkoušky montáže a výkonnosti navigačních radarových zařízení a ukazatelů rychlosti otáčení ve vnitrozemské vodní dopravě</w:t>
      </w:r>
      <w:r>
        <w:rPr>
          <w:noProof/>
        </w:rPr>
        <w:tab/>
      </w:r>
      <w:r>
        <w:rPr>
          <w:noProof/>
        </w:rPr>
        <w:fldChar w:fldCharType="begin"/>
      </w:r>
      <w:r>
        <w:rPr>
          <w:noProof/>
        </w:rPr>
        <w:instrText xml:space="preserve"> PAGEREF _Toc535417221 \h </w:instrText>
      </w:r>
      <w:r>
        <w:rPr>
          <w:noProof/>
        </w:rPr>
      </w:r>
      <w:r>
        <w:rPr>
          <w:noProof/>
        </w:rPr>
        <w:fldChar w:fldCharType="separate"/>
      </w:r>
      <w:r w:rsidR="00B25B1A">
        <w:rPr>
          <w:noProof/>
        </w:rPr>
        <w:t>535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Oddíl IV</w:t>
      </w:r>
      <w:r>
        <w:rPr>
          <w:noProof/>
        </w:rPr>
        <w:tab/>
      </w:r>
      <w:r>
        <w:rPr>
          <w:noProof/>
        </w:rPr>
        <w:fldChar w:fldCharType="begin"/>
      </w:r>
      <w:r>
        <w:rPr>
          <w:noProof/>
        </w:rPr>
        <w:instrText xml:space="preserve"> PAGEREF _Toc535417222 \h </w:instrText>
      </w:r>
      <w:r>
        <w:rPr>
          <w:noProof/>
        </w:rPr>
      </w:r>
      <w:r>
        <w:rPr>
          <w:noProof/>
        </w:rPr>
        <w:fldChar w:fldCharType="separate"/>
      </w:r>
      <w:r w:rsidR="00B25B1A">
        <w:rPr>
          <w:noProof/>
        </w:rPr>
        <w:t>542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Minimální požadavky, požadavky na zkoušky montáže a výkonnosti zařízení pro vnitrozemský AIS ve vnitrozemské vodní dopravě</w:t>
      </w:r>
      <w:r>
        <w:rPr>
          <w:noProof/>
        </w:rPr>
        <w:tab/>
      </w:r>
      <w:r>
        <w:rPr>
          <w:noProof/>
        </w:rPr>
        <w:fldChar w:fldCharType="begin"/>
      </w:r>
      <w:r>
        <w:rPr>
          <w:noProof/>
        </w:rPr>
        <w:instrText xml:space="preserve"> PAGEREF _Toc535417223 \h </w:instrText>
      </w:r>
      <w:r>
        <w:rPr>
          <w:noProof/>
        </w:rPr>
      </w:r>
      <w:r>
        <w:rPr>
          <w:noProof/>
        </w:rPr>
        <w:fldChar w:fldCharType="separate"/>
      </w:r>
      <w:r w:rsidR="00B25B1A">
        <w:rPr>
          <w:noProof/>
        </w:rPr>
        <w:t>542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Oddíl V</w:t>
      </w:r>
      <w:r>
        <w:rPr>
          <w:noProof/>
        </w:rPr>
        <w:tab/>
      </w:r>
      <w:r>
        <w:rPr>
          <w:noProof/>
        </w:rPr>
        <w:fldChar w:fldCharType="begin"/>
      </w:r>
      <w:r>
        <w:rPr>
          <w:noProof/>
        </w:rPr>
        <w:instrText xml:space="preserve"> PAGEREF _Toc535417224 \h </w:instrText>
      </w:r>
      <w:r>
        <w:rPr>
          <w:noProof/>
        </w:rPr>
      </w:r>
      <w:r>
        <w:rPr>
          <w:noProof/>
        </w:rPr>
        <w:fldChar w:fldCharType="separate"/>
      </w:r>
      <w:r w:rsidR="00B25B1A">
        <w:rPr>
          <w:noProof/>
        </w:rPr>
        <w:t>546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Minimální požadavky, požadavky na zkoušky montáže a výkonnosti tachografů ve vnitrozemské vodní dopravě</w:t>
      </w:r>
      <w:r>
        <w:rPr>
          <w:noProof/>
        </w:rPr>
        <w:tab/>
      </w:r>
      <w:r>
        <w:rPr>
          <w:noProof/>
        </w:rPr>
        <w:fldChar w:fldCharType="begin"/>
      </w:r>
      <w:r>
        <w:rPr>
          <w:noProof/>
        </w:rPr>
        <w:instrText xml:space="preserve"> PAGEREF _Toc535417225 \h </w:instrText>
      </w:r>
      <w:r>
        <w:rPr>
          <w:noProof/>
        </w:rPr>
      </w:r>
      <w:r>
        <w:rPr>
          <w:noProof/>
        </w:rPr>
        <w:fldChar w:fldCharType="separate"/>
      </w:r>
      <w:r w:rsidR="00B25B1A">
        <w:rPr>
          <w:noProof/>
        </w:rPr>
        <w:t>546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Oddíl VI</w:t>
      </w:r>
      <w:r>
        <w:rPr>
          <w:noProof/>
        </w:rPr>
        <w:tab/>
      </w:r>
      <w:r>
        <w:rPr>
          <w:noProof/>
        </w:rPr>
        <w:fldChar w:fldCharType="begin"/>
      </w:r>
      <w:r>
        <w:rPr>
          <w:noProof/>
        </w:rPr>
        <w:instrText xml:space="preserve"> PAGEREF _Toc535417226 \h </w:instrText>
      </w:r>
      <w:r>
        <w:rPr>
          <w:noProof/>
        </w:rPr>
      </w:r>
      <w:r>
        <w:rPr>
          <w:noProof/>
        </w:rPr>
        <w:fldChar w:fldCharType="separate"/>
      </w:r>
      <w:r w:rsidR="00B25B1A">
        <w:rPr>
          <w:noProof/>
        </w:rPr>
        <w:t>552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Osvědčení o montáži a výkonnosti navigačních radarových zařízení, ukazatelů rychlosti otáčení, zařízení pro vnitrozemský AIS a tachografů ve vnitrozemské vodní dopravě</w:t>
      </w:r>
      <w:r>
        <w:rPr>
          <w:noProof/>
        </w:rPr>
        <w:tab/>
      </w:r>
      <w:r>
        <w:rPr>
          <w:noProof/>
        </w:rPr>
        <w:fldChar w:fldCharType="begin"/>
      </w:r>
      <w:r>
        <w:rPr>
          <w:noProof/>
        </w:rPr>
        <w:instrText xml:space="preserve"> PAGEREF _Toc535417227 \h </w:instrText>
      </w:r>
      <w:r>
        <w:rPr>
          <w:noProof/>
        </w:rPr>
      </w:r>
      <w:r>
        <w:rPr>
          <w:noProof/>
        </w:rPr>
        <w:fldChar w:fldCharType="separate"/>
      </w:r>
      <w:r w:rsidR="00B25B1A">
        <w:rPr>
          <w:noProof/>
        </w:rPr>
        <w:t>552</w:t>
      </w:r>
      <w:r>
        <w:rPr>
          <w:noProof/>
        </w:rPr>
        <w:fldChar w:fldCharType="end"/>
      </w:r>
    </w:p>
    <w:p w:rsidR="002D015D" w:rsidRPr="00B25B1A" w:rsidRDefault="002D015D">
      <w:pPr>
        <w:pStyle w:val="TOC2"/>
        <w:tabs>
          <w:tab w:val="right" w:leader="dot" w:pos="9060"/>
        </w:tabs>
        <w:rPr>
          <w:rFonts w:asciiTheme="minorHAnsi" w:eastAsiaTheme="minorEastAsia" w:hAnsiTheme="minorHAnsi" w:cstheme="minorBidi"/>
          <w:smallCaps w:val="0"/>
          <w:noProof/>
          <w:sz w:val="22"/>
          <w:szCs w:val="22"/>
          <w:lang w:val="pt-PT" w:eastAsia="en-GB" w:bidi="ar-SA"/>
        </w:rPr>
      </w:pPr>
      <w:r>
        <w:rPr>
          <w:noProof/>
        </w:rPr>
        <w:t>Příloha 6 Protokol o parametrech motoru</w:t>
      </w:r>
      <w:r>
        <w:rPr>
          <w:noProof/>
        </w:rPr>
        <w:tab/>
      </w:r>
      <w:r>
        <w:rPr>
          <w:noProof/>
        </w:rPr>
        <w:fldChar w:fldCharType="begin"/>
      </w:r>
      <w:r>
        <w:rPr>
          <w:noProof/>
        </w:rPr>
        <w:instrText xml:space="preserve"> PAGEREF _Toc535417228 \h </w:instrText>
      </w:r>
      <w:r>
        <w:rPr>
          <w:noProof/>
        </w:rPr>
      </w:r>
      <w:r>
        <w:rPr>
          <w:noProof/>
        </w:rPr>
        <w:fldChar w:fldCharType="separate"/>
      </w:r>
      <w:r w:rsidR="00B25B1A">
        <w:rPr>
          <w:noProof/>
        </w:rPr>
        <w:t>555</w:t>
      </w:r>
      <w:r>
        <w:rPr>
          <w:noProof/>
        </w:rPr>
        <w:fldChar w:fldCharType="end"/>
      </w:r>
    </w:p>
    <w:p w:rsidR="002D015D" w:rsidRPr="00B25B1A" w:rsidRDefault="002D015D">
      <w:pPr>
        <w:pStyle w:val="TOC2"/>
        <w:tabs>
          <w:tab w:val="right" w:leader="dot" w:pos="9060"/>
        </w:tabs>
        <w:rPr>
          <w:rFonts w:asciiTheme="minorHAnsi" w:eastAsiaTheme="minorEastAsia" w:hAnsiTheme="minorHAnsi" w:cstheme="minorBidi"/>
          <w:smallCaps w:val="0"/>
          <w:noProof/>
          <w:sz w:val="22"/>
          <w:szCs w:val="22"/>
          <w:lang w:val="pt-PT" w:eastAsia="en-GB" w:bidi="ar-SA"/>
        </w:rPr>
      </w:pPr>
      <w:r>
        <w:rPr>
          <w:noProof/>
        </w:rPr>
        <w:t>Příloha 7 Palubní čistírny odpadních vod</w:t>
      </w:r>
      <w:r>
        <w:rPr>
          <w:noProof/>
        </w:rPr>
        <w:tab/>
      </w:r>
      <w:r>
        <w:rPr>
          <w:noProof/>
        </w:rPr>
        <w:fldChar w:fldCharType="begin"/>
      </w:r>
      <w:r>
        <w:rPr>
          <w:noProof/>
        </w:rPr>
        <w:instrText xml:space="preserve"> PAGEREF _Toc535417229 \h </w:instrText>
      </w:r>
      <w:r>
        <w:rPr>
          <w:noProof/>
        </w:rPr>
      </w:r>
      <w:r>
        <w:rPr>
          <w:noProof/>
        </w:rPr>
        <w:fldChar w:fldCharType="separate"/>
      </w:r>
      <w:r w:rsidR="00B25B1A">
        <w:rPr>
          <w:noProof/>
        </w:rPr>
        <w:t>562</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t-PT" w:eastAsia="en-GB" w:bidi="ar-SA"/>
        </w:rPr>
      </w:pPr>
      <w:r w:rsidRPr="00864AE0">
        <w:rPr>
          <w:noProof/>
        </w:rPr>
        <w:t>Oddíl I</w:t>
      </w:r>
      <w:r>
        <w:rPr>
          <w:noProof/>
        </w:rPr>
        <w:tab/>
      </w:r>
      <w:r>
        <w:rPr>
          <w:noProof/>
        </w:rPr>
        <w:fldChar w:fldCharType="begin"/>
      </w:r>
      <w:r>
        <w:rPr>
          <w:noProof/>
        </w:rPr>
        <w:instrText xml:space="preserve"> PAGEREF _Toc535417230 \h </w:instrText>
      </w:r>
      <w:r>
        <w:rPr>
          <w:noProof/>
        </w:rPr>
      </w:r>
      <w:r>
        <w:rPr>
          <w:noProof/>
        </w:rPr>
        <w:fldChar w:fldCharType="separate"/>
      </w:r>
      <w:r w:rsidR="00B25B1A">
        <w:rPr>
          <w:noProof/>
        </w:rPr>
        <w:t>565</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t-PT" w:eastAsia="en-GB" w:bidi="ar-SA"/>
        </w:rPr>
      </w:pPr>
      <w:r w:rsidRPr="00864AE0">
        <w:rPr>
          <w:noProof/>
        </w:rPr>
        <w:t>Doplňující ustanovení</w:t>
      </w:r>
      <w:r>
        <w:rPr>
          <w:noProof/>
        </w:rPr>
        <w:tab/>
      </w:r>
      <w:r>
        <w:rPr>
          <w:noProof/>
        </w:rPr>
        <w:fldChar w:fldCharType="begin"/>
      </w:r>
      <w:r>
        <w:rPr>
          <w:noProof/>
        </w:rPr>
        <w:instrText xml:space="preserve"> PAGEREF _Toc535417231 \h </w:instrText>
      </w:r>
      <w:r>
        <w:rPr>
          <w:noProof/>
        </w:rPr>
      </w:r>
      <w:r>
        <w:rPr>
          <w:noProof/>
        </w:rPr>
        <w:fldChar w:fldCharType="separate"/>
      </w:r>
      <w:r w:rsidR="00B25B1A">
        <w:rPr>
          <w:noProof/>
        </w:rPr>
        <w:t>565</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t-PT" w:eastAsia="en-GB" w:bidi="ar-SA"/>
        </w:rPr>
      </w:pPr>
      <w:r w:rsidRPr="00864AE0">
        <w:rPr>
          <w:noProof/>
        </w:rPr>
        <w:t>Oddíl II</w:t>
      </w:r>
      <w:r>
        <w:rPr>
          <w:noProof/>
        </w:rPr>
        <w:tab/>
      </w:r>
      <w:r>
        <w:rPr>
          <w:noProof/>
        </w:rPr>
        <w:fldChar w:fldCharType="begin"/>
      </w:r>
      <w:r>
        <w:rPr>
          <w:noProof/>
        </w:rPr>
        <w:instrText xml:space="preserve"> PAGEREF _Toc535417232 \h </w:instrText>
      </w:r>
      <w:r>
        <w:rPr>
          <w:noProof/>
        </w:rPr>
      </w:r>
      <w:r>
        <w:rPr>
          <w:noProof/>
        </w:rPr>
        <w:fldChar w:fldCharType="separate"/>
      </w:r>
      <w:r w:rsidR="00B25B1A">
        <w:rPr>
          <w:noProof/>
        </w:rPr>
        <w:t>572</w:t>
      </w:r>
      <w:r>
        <w:rPr>
          <w:noProof/>
        </w:rPr>
        <w:fldChar w:fldCharType="end"/>
      </w:r>
    </w:p>
    <w:p w:rsidR="002D015D" w:rsidRPr="00B25B1A" w:rsidRDefault="002D015D">
      <w:pPr>
        <w:pStyle w:val="TOC3"/>
        <w:rPr>
          <w:rFonts w:asciiTheme="minorHAnsi" w:eastAsiaTheme="minorEastAsia" w:hAnsiTheme="minorHAnsi" w:cstheme="minorBidi"/>
          <w:i w:val="0"/>
          <w:iCs w:val="0"/>
          <w:noProof/>
          <w:sz w:val="22"/>
          <w:szCs w:val="22"/>
          <w:lang w:val="pt-PT" w:eastAsia="en-GB" w:bidi="ar-SA"/>
        </w:rPr>
      </w:pPr>
      <w:r w:rsidRPr="00864AE0">
        <w:rPr>
          <w:noProof/>
        </w:rPr>
        <w:t>Informační dokument č. … ke schválení typu palubních čistíren odpadních vod určených pro plavidla vnitrozemské plavby</w:t>
      </w:r>
      <w:r>
        <w:rPr>
          <w:noProof/>
        </w:rPr>
        <w:tab/>
      </w:r>
      <w:r>
        <w:rPr>
          <w:noProof/>
        </w:rPr>
        <w:fldChar w:fldCharType="begin"/>
      </w:r>
      <w:r>
        <w:rPr>
          <w:noProof/>
        </w:rPr>
        <w:instrText xml:space="preserve"> PAGEREF _Toc535417233 \h </w:instrText>
      </w:r>
      <w:r>
        <w:rPr>
          <w:noProof/>
        </w:rPr>
      </w:r>
      <w:r>
        <w:rPr>
          <w:noProof/>
        </w:rPr>
        <w:fldChar w:fldCharType="separate"/>
      </w:r>
      <w:r w:rsidR="00B25B1A">
        <w:rPr>
          <w:noProof/>
        </w:rPr>
        <w:t>572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Oddíl III</w:t>
      </w:r>
      <w:r>
        <w:rPr>
          <w:noProof/>
        </w:rPr>
        <w:tab/>
      </w:r>
      <w:r>
        <w:rPr>
          <w:noProof/>
        </w:rPr>
        <w:fldChar w:fldCharType="begin"/>
      </w:r>
      <w:r>
        <w:rPr>
          <w:noProof/>
        </w:rPr>
        <w:instrText xml:space="preserve"> PAGEREF _Toc535417234 \h </w:instrText>
      </w:r>
      <w:r>
        <w:rPr>
          <w:noProof/>
        </w:rPr>
      </w:r>
      <w:r>
        <w:rPr>
          <w:noProof/>
        </w:rPr>
        <w:fldChar w:fldCharType="separate"/>
      </w:r>
      <w:r w:rsidR="00B25B1A">
        <w:rPr>
          <w:noProof/>
        </w:rPr>
        <w:t>576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Certifikát schválení typu</w:t>
      </w:r>
      <w:r>
        <w:rPr>
          <w:noProof/>
        </w:rPr>
        <w:tab/>
      </w:r>
      <w:r>
        <w:rPr>
          <w:noProof/>
        </w:rPr>
        <w:fldChar w:fldCharType="begin"/>
      </w:r>
      <w:r>
        <w:rPr>
          <w:noProof/>
        </w:rPr>
        <w:instrText xml:space="preserve"> PAGEREF _Toc535417235 \h </w:instrText>
      </w:r>
      <w:r>
        <w:rPr>
          <w:noProof/>
        </w:rPr>
      </w:r>
      <w:r>
        <w:rPr>
          <w:noProof/>
        </w:rPr>
        <w:fldChar w:fldCharType="separate"/>
      </w:r>
      <w:r w:rsidR="00B25B1A">
        <w:rPr>
          <w:noProof/>
        </w:rPr>
        <w:t>576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Oddíl IV</w:t>
      </w:r>
      <w:r>
        <w:rPr>
          <w:noProof/>
        </w:rPr>
        <w:tab/>
      </w:r>
      <w:r>
        <w:rPr>
          <w:noProof/>
        </w:rPr>
        <w:fldChar w:fldCharType="begin"/>
      </w:r>
      <w:r>
        <w:rPr>
          <w:noProof/>
        </w:rPr>
        <w:instrText xml:space="preserve"> PAGEREF _Toc535417236 \h </w:instrText>
      </w:r>
      <w:r>
        <w:rPr>
          <w:noProof/>
        </w:rPr>
      </w:r>
      <w:r>
        <w:rPr>
          <w:noProof/>
        </w:rPr>
        <w:fldChar w:fldCharType="separate"/>
      </w:r>
      <w:r w:rsidR="00B25B1A">
        <w:rPr>
          <w:noProof/>
        </w:rPr>
        <w:t>586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Systém číslování schválení typu</w:t>
      </w:r>
      <w:r>
        <w:rPr>
          <w:noProof/>
        </w:rPr>
        <w:tab/>
      </w:r>
      <w:r>
        <w:rPr>
          <w:noProof/>
        </w:rPr>
        <w:fldChar w:fldCharType="begin"/>
      </w:r>
      <w:r>
        <w:rPr>
          <w:noProof/>
        </w:rPr>
        <w:instrText xml:space="preserve"> PAGEREF _Toc535417237 \h </w:instrText>
      </w:r>
      <w:r>
        <w:rPr>
          <w:noProof/>
        </w:rPr>
      </w:r>
      <w:r>
        <w:rPr>
          <w:noProof/>
        </w:rPr>
        <w:fldChar w:fldCharType="separate"/>
      </w:r>
      <w:r w:rsidR="00B25B1A">
        <w:rPr>
          <w:noProof/>
        </w:rPr>
        <w:t>586</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Oddíl V</w:t>
      </w:r>
      <w:r>
        <w:rPr>
          <w:noProof/>
        </w:rPr>
        <w:tab/>
      </w:r>
      <w:r>
        <w:rPr>
          <w:noProof/>
        </w:rPr>
        <w:fldChar w:fldCharType="begin"/>
      </w:r>
      <w:r>
        <w:rPr>
          <w:noProof/>
        </w:rPr>
        <w:instrText xml:space="preserve"> PAGEREF _Toc535417238 \h </w:instrText>
      </w:r>
      <w:r>
        <w:rPr>
          <w:noProof/>
        </w:rPr>
      </w:r>
      <w:r>
        <w:rPr>
          <w:noProof/>
        </w:rPr>
        <w:fldChar w:fldCharType="separate"/>
      </w:r>
      <w:r w:rsidR="00B25B1A">
        <w:rPr>
          <w:noProof/>
        </w:rPr>
        <w:t>589</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Přehled schválení typu pro typy palubních čistíren odpadních vod</w:t>
      </w:r>
      <w:r>
        <w:rPr>
          <w:noProof/>
        </w:rPr>
        <w:tab/>
      </w:r>
      <w:r>
        <w:rPr>
          <w:noProof/>
        </w:rPr>
        <w:fldChar w:fldCharType="begin"/>
      </w:r>
      <w:r>
        <w:rPr>
          <w:noProof/>
        </w:rPr>
        <w:instrText xml:space="preserve"> PAGEREF _Toc535417239 \h </w:instrText>
      </w:r>
      <w:r>
        <w:rPr>
          <w:noProof/>
        </w:rPr>
      </w:r>
      <w:r>
        <w:rPr>
          <w:noProof/>
        </w:rPr>
        <w:fldChar w:fldCharType="separate"/>
      </w:r>
      <w:r w:rsidR="00B25B1A">
        <w:rPr>
          <w:noProof/>
        </w:rPr>
        <w:t>589</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Oddíl VI</w:t>
      </w:r>
      <w:r>
        <w:rPr>
          <w:noProof/>
        </w:rPr>
        <w:tab/>
      </w:r>
      <w:r>
        <w:rPr>
          <w:noProof/>
        </w:rPr>
        <w:fldChar w:fldCharType="begin"/>
      </w:r>
      <w:r>
        <w:rPr>
          <w:noProof/>
        </w:rPr>
        <w:instrText xml:space="preserve"> PAGEREF _Toc535417240 \h </w:instrText>
      </w:r>
      <w:r>
        <w:rPr>
          <w:noProof/>
        </w:rPr>
      </w:r>
      <w:r>
        <w:rPr>
          <w:noProof/>
        </w:rPr>
        <w:fldChar w:fldCharType="separate"/>
      </w:r>
      <w:r w:rsidR="00B25B1A">
        <w:rPr>
          <w:noProof/>
        </w:rPr>
        <w:t>592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Přehled vyrobených palubních čistíren odpadních vod</w:t>
      </w:r>
      <w:r>
        <w:rPr>
          <w:noProof/>
        </w:rPr>
        <w:tab/>
      </w:r>
      <w:r>
        <w:rPr>
          <w:noProof/>
        </w:rPr>
        <w:fldChar w:fldCharType="begin"/>
      </w:r>
      <w:r>
        <w:rPr>
          <w:noProof/>
        </w:rPr>
        <w:instrText xml:space="preserve"> PAGEREF _Toc535417241 \h </w:instrText>
      </w:r>
      <w:r>
        <w:rPr>
          <w:noProof/>
        </w:rPr>
      </w:r>
      <w:r>
        <w:rPr>
          <w:noProof/>
        </w:rPr>
        <w:fldChar w:fldCharType="separate"/>
      </w:r>
      <w:r w:rsidR="00B25B1A">
        <w:rPr>
          <w:noProof/>
        </w:rPr>
        <w:t>592</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Oddíl VII</w:t>
      </w:r>
      <w:r>
        <w:rPr>
          <w:noProof/>
        </w:rPr>
        <w:tab/>
      </w:r>
      <w:r>
        <w:rPr>
          <w:noProof/>
        </w:rPr>
        <w:fldChar w:fldCharType="begin"/>
      </w:r>
      <w:r>
        <w:rPr>
          <w:noProof/>
        </w:rPr>
        <w:instrText xml:space="preserve"> PAGEREF _Toc535417242 \h </w:instrText>
      </w:r>
      <w:r>
        <w:rPr>
          <w:noProof/>
        </w:rPr>
      </w:r>
      <w:r>
        <w:rPr>
          <w:noProof/>
        </w:rPr>
        <w:fldChar w:fldCharType="separate"/>
      </w:r>
      <w:r w:rsidR="00B25B1A">
        <w:rPr>
          <w:noProof/>
        </w:rPr>
        <w:t>595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List s údaji o palubních čistírnách odpadních vod se schválením typu</w:t>
      </w:r>
      <w:r>
        <w:rPr>
          <w:noProof/>
        </w:rPr>
        <w:tab/>
      </w:r>
      <w:r>
        <w:rPr>
          <w:noProof/>
        </w:rPr>
        <w:fldChar w:fldCharType="begin"/>
      </w:r>
      <w:r>
        <w:rPr>
          <w:noProof/>
        </w:rPr>
        <w:instrText xml:space="preserve"> PAGEREF _Toc535417243 \h </w:instrText>
      </w:r>
      <w:r>
        <w:rPr>
          <w:noProof/>
        </w:rPr>
      </w:r>
      <w:r>
        <w:rPr>
          <w:noProof/>
        </w:rPr>
        <w:fldChar w:fldCharType="separate"/>
      </w:r>
      <w:r w:rsidR="00B25B1A">
        <w:rPr>
          <w:noProof/>
        </w:rPr>
        <w:t>595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Oddíl VIII</w:t>
      </w:r>
      <w:r>
        <w:rPr>
          <w:noProof/>
        </w:rPr>
        <w:tab/>
      </w:r>
      <w:r>
        <w:rPr>
          <w:noProof/>
        </w:rPr>
        <w:fldChar w:fldCharType="begin"/>
      </w:r>
      <w:r>
        <w:rPr>
          <w:noProof/>
        </w:rPr>
        <w:instrText xml:space="preserve"> PAGEREF _Toc535417244 \h </w:instrText>
      </w:r>
      <w:r>
        <w:rPr>
          <w:noProof/>
        </w:rPr>
      </w:r>
      <w:r>
        <w:rPr>
          <w:noProof/>
        </w:rPr>
        <w:fldChar w:fldCharType="separate"/>
      </w:r>
      <w:r w:rsidR="00B25B1A">
        <w:rPr>
          <w:noProof/>
        </w:rPr>
        <w:t>598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Záznam parametrů palubní čistírny odpadních vod pro účely zvláštní zkoušky</w:t>
      </w:r>
      <w:r>
        <w:rPr>
          <w:noProof/>
        </w:rPr>
        <w:tab/>
      </w:r>
      <w:r>
        <w:rPr>
          <w:noProof/>
        </w:rPr>
        <w:fldChar w:fldCharType="begin"/>
      </w:r>
      <w:r>
        <w:rPr>
          <w:noProof/>
        </w:rPr>
        <w:instrText xml:space="preserve"> PAGEREF _Toc535417245 \h </w:instrText>
      </w:r>
      <w:r>
        <w:rPr>
          <w:noProof/>
        </w:rPr>
      </w:r>
      <w:r>
        <w:rPr>
          <w:noProof/>
        </w:rPr>
        <w:fldChar w:fldCharType="separate"/>
      </w:r>
      <w:r w:rsidR="00B25B1A">
        <w:rPr>
          <w:noProof/>
        </w:rPr>
        <w:t>598</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Oddíl IX</w:t>
      </w:r>
      <w:r>
        <w:rPr>
          <w:noProof/>
        </w:rPr>
        <w:tab/>
      </w:r>
      <w:r>
        <w:rPr>
          <w:noProof/>
        </w:rPr>
        <w:fldChar w:fldCharType="begin"/>
      </w:r>
      <w:r>
        <w:rPr>
          <w:noProof/>
        </w:rPr>
        <w:instrText xml:space="preserve"> PAGEREF _Toc535417246 \h </w:instrText>
      </w:r>
      <w:r>
        <w:rPr>
          <w:noProof/>
        </w:rPr>
      </w:r>
      <w:r>
        <w:rPr>
          <w:noProof/>
        </w:rPr>
        <w:fldChar w:fldCharType="separate"/>
      </w:r>
      <w:r w:rsidR="00B25B1A">
        <w:rPr>
          <w:noProof/>
        </w:rPr>
        <w:t>605</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Zkušební postup</w:t>
      </w:r>
      <w:r>
        <w:rPr>
          <w:noProof/>
        </w:rPr>
        <w:tab/>
      </w:r>
      <w:r>
        <w:rPr>
          <w:noProof/>
        </w:rPr>
        <w:fldChar w:fldCharType="begin"/>
      </w:r>
      <w:r>
        <w:rPr>
          <w:noProof/>
        </w:rPr>
        <w:instrText xml:space="preserve"> PAGEREF _Toc535417247 \h </w:instrText>
      </w:r>
      <w:r>
        <w:rPr>
          <w:noProof/>
        </w:rPr>
      </w:r>
      <w:r>
        <w:rPr>
          <w:noProof/>
        </w:rPr>
        <w:fldChar w:fldCharType="separate"/>
      </w:r>
      <w:r w:rsidR="00B25B1A">
        <w:rPr>
          <w:noProof/>
        </w:rPr>
        <w:t>605</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Příloha 8 Doplňková ustanovení pro plavidla na palivo s bodem vzplanutí rovným nebo nižším 55 °C</w:t>
      </w:r>
      <w:r>
        <w:rPr>
          <w:noProof/>
        </w:rPr>
        <w:tab/>
      </w:r>
      <w:r>
        <w:rPr>
          <w:noProof/>
        </w:rPr>
        <w:fldChar w:fldCharType="begin"/>
      </w:r>
      <w:r>
        <w:rPr>
          <w:noProof/>
        </w:rPr>
        <w:instrText xml:space="preserve"> PAGEREF _Toc535417248 \h </w:instrText>
      </w:r>
      <w:r>
        <w:rPr>
          <w:noProof/>
        </w:rPr>
      </w:r>
      <w:r>
        <w:rPr>
          <w:noProof/>
        </w:rPr>
        <w:fldChar w:fldCharType="separate"/>
      </w:r>
      <w:r w:rsidR="00B25B1A">
        <w:rPr>
          <w:noProof/>
        </w:rPr>
        <w:t>624</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Oddíl I</w:t>
      </w:r>
      <w:r>
        <w:rPr>
          <w:noProof/>
        </w:rPr>
        <w:tab/>
      </w:r>
      <w:r>
        <w:rPr>
          <w:noProof/>
        </w:rPr>
        <w:fldChar w:fldCharType="begin"/>
      </w:r>
      <w:r>
        <w:rPr>
          <w:noProof/>
        </w:rPr>
        <w:instrText xml:space="preserve"> PAGEREF _Toc535417249 \h </w:instrText>
      </w:r>
      <w:r>
        <w:rPr>
          <w:noProof/>
        </w:rPr>
      </w:r>
      <w:r>
        <w:rPr>
          <w:noProof/>
        </w:rPr>
        <w:fldChar w:fldCharType="separate"/>
      </w:r>
      <w:r w:rsidR="00B25B1A">
        <w:rPr>
          <w:noProof/>
        </w:rPr>
        <w:t>624</w:t>
      </w:r>
      <w:r>
        <w:rPr>
          <w:noProof/>
        </w:rPr>
        <w:fldChar w:fldCharType="end"/>
      </w:r>
    </w:p>
    <w:p w:rsidR="002D015D" w:rsidRDefault="002D015D">
      <w:pPr>
        <w:pStyle w:val="TOC3"/>
        <w:rPr>
          <w:rFonts w:asciiTheme="minorHAnsi" w:eastAsiaTheme="minorEastAsia" w:hAnsiTheme="minorHAnsi" w:cstheme="minorBidi"/>
          <w:i w:val="0"/>
          <w:iCs w:val="0"/>
          <w:noProof/>
          <w:sz w:val="22"/>
          <w:szCs w:val="22"/>
          <w:lang w:val="en-GB" w:eastAsia="en-GB" w:bidi="ar-SA"/>
        </w:rPr>
      </w:pPr>
      <w:r w:rsidRPr="00864AE0">
        <w:rPr>
          <w:noProof/>
        </w:rPr>
        <w:t>Zkapalněný zemní plyn (LNG)</w:t>
      </w:r>
      <w:r>
        <w:rPr>
          <w:noProof/>
        </w:rPr>
        <w:tab/>
      </w:r>
      <w:r>
        <w:rPr>
          <w:noProof/>
        </w:rPr>
        <w:fldChar w:fldCharType="begin"/>
      </w:r>
      <w:r>
        <w:rPr>
          <w:noProof/>
        </w:rPr>
        <w:instrText xml:space="preserve"> PAGEREF _Toc535417250 \h </w:instrText>
      </w:r>
      <w:r>
        <w:rPr>
          <w:noProof/>
        </w:rPr>
      </w:r>
      <w:r>
        <w:rPr>
          <w:noProof/>
        </w:rPr>
        <w:fldChar w:fldCharType="separate"/>
      </w:r>
      <w:r w:rsidR="00B25B1A">
        <w:rPr>
          <w:noProof/>
        </w:rPr>
        <w:t>624</w:t>
      </w:r>
      <w:r>
        <w:rPr>
          <w:noProof/>
        </w:rPr>
        <w:fldChar w:fldCharType="end"/>
      </w:r>
    </w:p>
    <w:p w:rsidR="002D015D" w:rsidRDefault="002D015D">
      <w:pPr>
        <w:pStyle w:val="TOC1"/>
        <w:rPr>
          <w:rFonts w:asciiTheme="minorHAnsi" w:eastAsiaTheme="minorEastAsia" w:hAnsiTheme="minorHAnsi" w:cstheme="minorBidi"/>
          <w:b w:val="0"/>
          <w:bCs w:val="0"/>
          <w:caps w:val="0"/>
          <w:noProof/>
          <w:sz w:val="22"/>
          <w:szCs w:val="22"/>
          <w:lang w:val="en-GB" w:eastAsia="en-GB" w:bidi="ar-SA"/>
        </w:rPr>
      </w:pPr>
      <w:r w:rsidRPr="00864AE0">
        <w:rPr>
          <w:noProof/>
        </w:rPr>
        <w:t>Pokyny pro použití této technické normy</w:t>
      </w:r>
      <w:r>
        <w:rPr>
          <w:noProof/>
        </w:rPr>
        <w:tab/>
      </w:r>
      <w:r>
        <w:rPr>
          <w:noProof/>
        </w:rPr>
        <w:fldChar w:fldCharType="begin"/>
      </w:r>
      <w:r>
        <w:rPr>
          <w:noProof/>
        </w:rPr>
        <w:instrText xml:space="preserve"> PAGEREF _Toc535417251 \h </w:instrText>
      </w:r>
      <w:r>
        <w:rPr>
          <w:noProof/>
        </w:rPr>
      </w:r>
      <w:r>
        <w:rPr>
          <w:noProof/>
        </w:rPr>
        <w:fldChar w:fldCharType="separate"/>
      </w:r>
      <w:r w:rsidR="00B25B1A">
        <w:rPr>
          <w:noProof/>
        </w:rPr>
        <w:t>397</w:t>
      </w:r>
      <w:r>
        <w:rPr>
          <w:noProof/>
        </w:rPr>
        <w:fldChar w:fldCharType="end"/>
      </w:r>
    </w:p>
    <w:p w:rsidR="002D015D" w:rsidRDefault="002D015D">
      <w:pPr>
        <w:pStyle w:val="TOC1"/>
        <w:rPr>
          <w:rFonts w:asciiTheme="minorHAnsi" w:eastAsiaTheme="minorEastAsia" w:hAnsiTheme="minorHAnsi" w:cstheme="minorBidi"/>
          <w:b w:val="0"/>
          <w:bCs w:val="0"/>
          <w:caps w:val="0"/>
          <w:noProof/>
          <w:sz w:val="22"/>
          <w:szCs w:val="22"/>
          <w:lang w:val="en-GB" w:eastAsia="en-GB" w:bidi="ar-SA"/>
        </w:rPr>
      </w:pPr>
      <w:r>
        <w:rPr>
          <w:noProof/>
        </w:rPr>
        <w:t>ČÁST I OBECNĚ</w:t>
      </w:r>
      <w:r>
        <w:rPr>
          <w:noProof/>
        </w:rPr>
        <w:tab/>
      </w:r>
      <w:r>
        <w:rPr>
          <w:noProof/>
        </w:rPr>
        <w:fldChar w:fldCharType="begin"/>
      </w:r>
      <w:r>
        <w:rPr>
          <w:noProof/>
        </w:rPr>
        <w:instrText xml:space="preserve"> PAGEREF _Toc535417252 \h </w:instrText>
      </w:r>
      <w:r>
        <w:rPr>
          <w:noProof/>
        </w:rPr>
      </w:r>
      <w:r>
        <w:rPr>
          <w:noProof/>
        </w:rPr>
        <w:fldChar w:fldCharType="separate"/>
      </w:r>
      <w:r w:rsidR="00B25B1A">
        <w:rPr>
          <w:noProof/>
        </w:rPr>
        <w:t>399</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ESI-I-1 Vyplnění osvědčení plavidla vnitrozemské plavby</w:t>
      </w:r>
      <w:r>
        <w:rPr>
          <w:noProof/>
        </w:rPr>
        <w:tab/>
      </w:r>
      <w:r>
        <w:rPr>
          <w:noProof/>
        </w:rPr>
        <w:fldChar w:fldCharType="begin"/>
      </w:r>
      <w:r>
        <w:rPr>
          <w:noProof/>
        </w:rPr>
        <w:instrText xml:space="preserve"> PAGEREF _Toc535417253 \h </w:instrText>
      </w:r>
      <w:r>
        <w:rPr>
          <w:noProof/>
        </w:rPr>
      </w:r>
      <w:r>
        <w:rPr>
          <w:noProof/>
        </w:rPr>
        <w:fldChar w:fldCharType="separate"/>
      </w:r>
      <w:r w:rsidR="00B25B1A">
        <w:rPr>
          <w:noProof/>
        </w:rPr>
        <w:t>399</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ESI-I-2 Odborníci a odborně způsobilé osoby</w:t>
      </w:r>
      <w:r>
        <w:rPr>
          <w:noProof/>
        </w:rPr>
        <w:tab/>
      </w:r>
      <w:r>
        <w:rPr>
          <w:noProof/>
        </w:rPr>
        <w:fldChar w:fldCharType="begin"/>
      </w:r>
      <w:r>
        <w:rPr>
          <w:noProof/>
        </w:rPr>
        <w:instrText xml:space="preserve"> PAGEREF _Toc535417254 \h </w:instrText>
      </w:r>
      <w:r>
        <w:rPr>
          <w:noProof/>
        </w:rPr>
      </w:r>
      <w:r>
        <w:rPr>
          <w:noProof/>
        </w:rPr>
        <w:fldChar w:fldCharType="separate"/>
      </w:r>
      <w:r w:rsidR="00B25B1A">
        <w:rPr>
          <w:noProof/>
        </w:rPr>
        <w:t>410</w:t>
      </w:r>
      <w:r>
        <w:rPr>
          <w:noProof/>
        </w:rPr>
        <w:fldChar w:fldCharType="end"/>
      </w:r>
    </w:p>
    <w:p w:rsidR="002D015D" w:rsidRDefault="002D015D">
      <w:pPr>
        <w:pStyle w:val="TOC1"/>
        <w:rPr>
          <w:rFonts w:asciiTheme="minorHAnsi" w:eastAsiaTheme="minorEastAsia" w:hAnsiTheme="minorHAnsi" w:cstheme="minorBidi"/>
          <w:b w:val="0"/>
          <w:bCs w:val="0"/>
          <w:caps w:val="0"/>
          <w:noProof/>
          <w:sz w:val="22"/>
          <w:szCs w:val="22"/>
          <w:lang w:val="en-GB" w:eastAsia="en-GB" w:bidi="ar-SA"/>
        </w:rPr>
      </w:pPr>
      <w:r>
        <w:rPr>
          <w:noProof/>
        </w:rPr>
        <w:t>ČÁST II USTANOVENÍ TÝKAJÍCÍ SE STAVBY LODÍ, JEJICH VYBAVOVÁNÍ A ZAŘÍZENÍ</w:t>
      </w:r>
      <w:r>
        <w:rPr>
          <w:noProof/>
        </w:rPr>
        <w:tab/>
      </w:r>
      <w:r>
        <w:rPr>
          <w:noProof/>
        </w:rPr>
        <w:fldChar w:fldCharType="begin"/>
      </w:r>
      <w:r>
        <w:rPr>
          <w:noProof/>
        </w:rPr>
        <w:instrText xml:space="preserve"> PAGEREF _Toc535417255 \h </w:instrText>
      </w:r>
      <w:r>
        <w:rPr>
          <w:noProof/>
        </w:rPr>
      </w:r>
      <w:r>
        <w:rPr>
          <w:noProof/>
        </w:rPr>
        <w:fldChar w:fldCharType="separate"/>
      </w:r>
      <w:r w:rsidR="00B25B1A">
        <w:rPr>
          <w:noProof/>
        </w:rPr>
        <w:t>414</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ESI-II-1 Minimální tloušťka obšívky trupu nákladních člunů</w:t>
      </w:r>
      <w:r>
        <w:rPr>
          <w:noProof/>
        </w:rPr>
        <w:tab/>
      </w:r>
      <w:r>
        <w:rPr>
          <w:noProof/>
        </w:rPr>
        <w:fldChar w:fldCharType="begin"/>
      </w:r>
      <w:r>
        <w:rPr>
          <w:noProof/>
        </w:rPr>
        <w:instrText xml:space="preserve"> PAGEREF _Toc535417256 \h </w:instrText>
      </w:r>
      <w:r>
        <w:rPr>
          <w:noProof/>
        </w:rPr>
      </w:r>
      <w:r>
        <w:rPr>
          <w:noProof/>
        </w:rPr>
        <w:fldChar w:fldCharType="separate"/>
      </w:r>
      <w:r w:rsidR="00B25B1A">
        <w:rPr>
          <w:noProof/>
        </w:rPr>
        <w:t>414</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ESI-II-2 Montáž zdvojených plechů na trup</w:t>
      </w:r>
      <w:r>
        <w:rPr>
          <w:noProof/>
        </w:rPr>
        <w:tab/>
      </w:r>
      <w:r>
        <w:rPr>
          <w:noProof/>
        </w:rPr>
        <w:fldChar w:fldCharType="begin"/>
      </w:r>
      <w:r>
        <w:rPr>
          <w:noProof/>
        </w:rPr>
        <w:instrText xml:space="preserve"> PAGEREF _Toc535417257 \h </w:instrText>
      </w:r>
      <w:r>
        <w:rPr>
          <w:noProof/>
        </w:rPr>
      </w:r>
      <w:r>
        <w:rPr>
          <w:noProof/>
        </w:rPr>
        <w:fldChar w:fldCharType="separate"/>
      </w:r>
      <w:r w:rsidR="00B25B1A">
        <w:rPr>
          <w:noProof/>
        </w:rPr>
        <w:t>416</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ESI-II-3 Minimální předepsaná dopředná rychlost plavby, schopnost zastavení a schopnost plavby vzad</w:t>
      </w:r>
      <w:r>
        <w:rPr>
          <w:noProof/>
        </w:rPr>
        <w:tab/>
      </w:r>
      <w:r>
        <w:rPr>
          <w:noProof/>
        </w:rPr>
        <w:fldChar w:fldCharType="begin"/>
      </w:r>
      <w:r>
        <w:rPr>
          <w:noProof/>
        </w:rPr>
        <w:instrText xml:space="preserve"> PAGEREF _Toc535417258 \h </w:instrText>
      </w:r>
      <w:r>
        <w:rPr>
          <w:noProof/>
        </w:rPr>
      </w:r>
      <w:r>
        <w:rPr>
          <w:noProof/>
        </w:rPr>
        <w:fldChar w:fldCharType="separate"/>
      </w:r>
      <w:r w:rsidR="00B25B1A">
        <w:rPr>
          <w:noProof/>
        </w:rPr>
        <w:t>420</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ESI-II-4 Schopnost provádět vyhýbací manévry a otáčecí manévry</w:t>
      </w:r>
      <w:r>
        <w:rPr>
          <w:noProof/>
        </w:rPr>
        <w:tab/>
      </w:r>
      <w:r>
        <w:rPr>
          <w:noProof/>
        </w:rPr>
        <w:fldChar w:fldCharType="begin"/>
      </w:r>
      <w:r>
        <w:rPr>
          <w:noProof/>
        </w:rPr>
        <w:instrText xml:space="preserve"> PAGEREF _Toc535417259 \h </w:instrText>
      </w:r>
      <w:r>
        <w:rPr>
          <w:noProof/>
        </w:rPr>
      </w:r>
      <w:r>
        <w:rPr>
          <w:noProof/>
        </w:rPr>
        <w:fldChar w:fldCharType="separate"/>
      </w:r>
      <w:r w:rsidR="00B25B1A">
        <w:rPr>
          <w:noProof/>
        </w:rPr>
        <w:t>461</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ESI-II-5 Měření hluku</w:t>
      </w:r>
      <w:r>
        <w:rPr>
          <w:noProof/>
        </w:rPr>
        <w:tab/>
      </w:r>
      <w:r>
        <w:rPr>
          <w:noProof/>
        </w:rPr>
        <w:fldChar w:fldCharType="begin"/>
      </w:r>
      <w:r>
        <w:rPr>
          <w:noProof/>
        </w:rPr>
        <w:instrText xml:space="preserve"> PAGEREF _Toc535417260 \h </w:instrText>
      </w:r>
      <w:r>
        <w:rPr>
          <w:noProof/>
        </w:rPr>
      </w:r>
      <w:r>
        <w:rPr>
          <w:noProof/>
        </w:rPr>
        <w:fldChar w:fldCharType="separate"/>
      </w:r>
      <w:r w:rsidR="00B25B1A">
        <w:rPr>
          <w:noProof/>
        </w:rPr>
        <w:t>469</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ESI-II-6 Vhodné pomocné prostředky pro sledování oblasti omezeného výhledu</w:t>
      </w:r>
      <w:r>
        <w:rPr>
          <w:noProof/>
        </w:rPr>
        <w:tab/>
      </w:r>
      <w:r>
        <w:rPr>
          <w:noProof/>
        </w:rPr>
        <w:fldChar w:fldCharType="begin"/>
      </w:r>
      <w:r>
        <w:rPr>
          <w:noProof/>
        </w:rPr>
        <w:instrText xml:space="preserve"> PAGEREF _Toc535417261 \h </w:instrText>
      </w:r>
      <w:r>
        <w:rPr>
          <w:noProof/>
        </w:rPr>
      </w:r>
      <w:r>
        <w:rPr>
          <w:noProof/>
        </w:rPr>
        <w:fldChar w:fldCharType="separate"/>
      </w:r>
      <w:r w:rsidR="00B25B1A">
        <w:rPr>
          <w:noProof/>
        </w:rPr>
        <w:t>476</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ESI-II-7 Zařízení na shromažďování použitého oleje</w:t>
      </w:r>
      <w:r>
        <w:rPr>
          <w:noProof/>
        </w:rPr>
        <w:tab/>
      </w:r>
      <w:r>
        <w:rPr>
          <w:noProof/>
        </w:rPr>
        <w:fldChar w:fldCharType="begin"/>
      </w:r>
      <w:r>
        <w:rPr>
          <w:noProof/>
        </w:rPr>
        <w:instrText xml:space="preserve"> PAGEREF _Toc535417262 \h </w:instrText>
      </w:r>
      <w:r>
        <w:rPr>
          <w:noProof/>
        </w:rPr>
      </w:r>
      <w:r>
        <w:rPr>
          <w:noProof/>
        </w:rPr>
        <w:fldChar w:fldCharType="separate"/>
      </w:r>
      <w:r w:rsidR="00B25B1A">
        <w:rPr>
          <w:noProof/>
        </w:rPr>
        <w:t>487</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ESI-II-8 (Ponecháno volné)</w:t>
      </w:r>
      <w:r>
        <w:rPr>
          <w:noProof/>
        </w:rPr>
        <w:tab/>
      </w:r>
      <w:r>
        <w:rPr>
          <w:noProof/>
        </w:rPr>
        <w:fldChar w:fldCharType="begin"/>
      </w:r>
      <w:r>
        <w:rPr>
          <w:noProof/>
        </w:rPr>
        <w:instrText xml:space="preserve"> PAGEREF _Toc535417263 \h </w:instrText>
      </w:r>
      <w:r>
        <w:rPr>
          <w:noProof/>
        </w:rPr>
      </w:r>
      <w:r>
        <w:rPr>
          <w:noProof/>
        </w:rPr>
        <w:fldChar w:fldCharType="separate"/>
      </w:r>
      <w:r w:rsidR="00B25B1A">
        <w:rPr>
          <w:noProof/>
        </w:rPr>
        <w:t>489</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ESI-II-9 Zvláštní kotvy se sníženou hmotností</w:t>
      </w:r>
      <w:r>
        <w:rPr>
          <w:noProof/>
        </w:rPr>
        <w:tab/>
      </w:r>
      <w:r>
        <w:rPr>
          <w:noProof/>
        </w:rPr>
        <w:fldChar w:fldCharType="begin"/>
      </w:r>
      <w:r>
        <w:rPr>
          <w:noProof/>
        </w:rPr>
        <w:instrText xml:space="preserve"> PAGEREF _Toc535417264 \h </w:instrText>
      </w:r>
      <w:r>
        <w:rPr>
          <w:noProof/>
        </w:rPr>
      </w:r>
      <w:r>
        <w:rPr>
          <w:noProof/>
        </w:rPr>
        <w:fldChar w:fldCharType="separate"/>
      </w:r>
      <w:r w:rsidR="00B25B1A">
        <w:rPr>
          <w:noProof/>
        </w:rPr>
        <w:t>491</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ESI-II-10 Automatické sprinklerové protipožární systémy s tlakovou vodou</w:t>
      </w:r>
      <w:r>
        <w:rPr>
          <w:noProof/>
        </w:rPr>
        <w:tab/>
      </w:r>
      <w:r>
        <w:rPr>
          <w:noProof/>
        </w:rPr>
        <w:fldChar w:fldCharType="begin"/>
      </w:r>
      <w:r>
        <w:rPr>
          <w:noProof/>
        </w:rPr>
        <w:instrText xml:space="preserve"> PAGEREF _Toc535417265 \h </w:instrText>
      </w:r>
      <w:r>
        <w:rPr>
          <w:noProof/>
        </w:rPr>
      </w:r>
      <w:r>
        <w:rPr>
          <w:noProof/>
        </w:rPr>
        <w:fldChar w:fldCharType="separate"/>
      </w:r>
      <w:r w:rsidR="00B25B1A">
        <w:rPr>
          <w:noProof/>
        </w:rPr>
        <w:t>502</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ESI-II-11 Kormidlovací rychlost plavidla s vlastním pohonem</w:t>
      </w:r>
      <w:r>
        <w:rPr>
          <w:noProof/>
        </w:rPr>
        <w:tab/>
      </w:r>
      <w:r>
        <w:rPr>
          <w:noProof/>
        </w:rPr>
        <w:fldChar w:fldCharType="begin"/>
      </w:r>
      <w:r>
        <w:rPr>
          <w:noProof/>
        </w:rPr>
        <w:instrText xml:space="preserve"> PAGEREF _Toc535417266 \h </w:instrText>
      </w:r>
      <w:r>
        <w:rPr>
          <w:noProof/>
        </w:rPr>
      </w:r>
      <w:r>
        <w:rPr>
          <w:noProof/>
        </w:rPr>
        <w:fldChar w:fldCharType="separate"/>
      </w:r>
      <w:r w:rsidR="00B25B1A">
        <w:rPr>
          <w:noProof/>
        </w:rPr>
        <w:t>505</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ESI-II-12 Vhodný požární poplašný systém</w:t>
      </w:r>
      <w:r>
        <w:rPr>
          <w:noProof/>
        </w:rPr>
        <w:tab/>
      </w:r>
      <w:r>
        <w:rPr>
          <w:noProof/>
        </w:rPr>
        <w:fldChar w:fldCharType="begin"/>
      </w:r>
      <w:r>
        <w:rPr>
          <w:noProof/>
        </w:rPr>
        <w:instrText xml:space="preserve"> PAGEREF _Toc535417267 \h </w:instrText>
      </w:r>
      <w:r>
        <w:rPr>
          <w:noProof/>
        </w:rPr>
      </w:r>
      <w:r>
        <w:rPr>
          <w:noProof/>
        </w:rPr>
        <w:fldChar w:fldCharType="separate"/>
      </w:r>
      <w:r w:rsidR="00B25B1A">
        <w:rPr>
          <w:noProof/>
        </w:rPr>
        <w:t>507</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ESI-II-13 (Ponecháno volné)</w:t>
      </w:r>
      <w:r>
        <w:rPr>
          <w:noProof/>
        </w:rPr>
        <w:tab/>
      </w:r>
      <w:r>
        <w:rPr>
          <w:noProof/>
        </w:rPr>
        <w:fldChar w:fldCharType="begin"/>
      </w:r>
      <w:r>
        <w:rPr>
          <w:noProof/>
        </w:rPr>
        <w:instrText xml:space="preserve"> PAGEREF _Toc535417268 \h </w:instrText>
      </w:r>
      <w:r>
        <w:rPr>
          <w:noProof/>
        </w:rPr>
      </w:r>
      <w:r>
        <w:rPr>
          <w:noProof/>
        </w:rPr>
        <w:fldChar w:fldCharType="separate"/>
      </w:r>
      <w:r w:rsidR="00B25B1A">
        <w:rPr>
          <w:noProof/>
        </w:rPr>
        <w:t>517</w:t>
      </w:r>
      <w:r>
        <w:rPr>
          <w:noProof/>
        </w:rPr>
        <w:fldChar w:fldCharType="end"/>
      </w:r>
    </w:p>
    <w:p w:rsidR="002D015D" w:rsidRDefault="002D015D">
      <w:pPr>
        <w:pStyle w:val="TOC1"/>
        <w:rPr>
          <w:rFonts w:asciiTheme="minorHAnsi" w:eastAsiaTheme="minorEastAsia" w:hAnsiTheme="minorHAnsi" w:cstheme="minorBidi"/>
          <w:b w:val="0"/>
          <w:bCs w:val="0"/>
          <w:caps w:val="0"/>
          <w:noProof/>
          <w:sz w:val="22"/>
          <w:szCs w:val="22"/>
          <w:lang w:val="en-GB" w:eastAsia="en-GB" w:bidi="ar-SA"/>
        </w:rPr>
      </w:pPr>
      <w:r>
        <w:rPr>
          <w:noProof/>
        </w:rPr>
        <w:t>ČÁST III ZVLÁŠTNÍ USTANOVENÍ</w:t>
      </w:r>
      <w:r>
        <w:rPr>
          <w:noProof/>
        </w:rPr>
        <w:tab/>
      </w:r>
      <w:r>
        <w:rPr>
          <w:noProof/>
        </w:rPr>
        <w:fldChar w:fldCharType="begin"/>
      </w:r>
      <w:r>
        <w:rPr>
          <w:noProof/>
        </w:rPr>
        <w:instrText xml:space="preserve"> PAGEREF _Toc535417269 \h </w:instrText>
      </w:r>
      <w:r>
        <w:rPr>
          <w:noProof/>
        </w:rPr>
      </w:r>
      <w:r>
        <w:rPr>
          <w:noProof/>
        </w:rPr>
        <w:fldChar w:fldCharType="separate"/>
      </w:r>
      <w:r w:rsidR="00B25B1A">
        <w:rPr>
          <w:noProof/>
        </w:rPr>
        <w:t>519</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ESI-III-1 Uplatňování požadavků kapitoly 19</w:t>
      </w:r>
      <w:r>
        <w:rPr>
          <w:noProof/>
        </w:rPr>
        <w:tab/>
      </w:r>
      <w:r>
        <w:rPr>
          <w:noProof/>
        </w:rPr>
        <w:fldChar w:fldCharType="begin"/>
      </w:r>
      <w:r>
        <w:rPr>
          <w:noProof/>
        </w:rPr>
        <w:instrText xml:space="preserve"> PAGEREF _Toc535417270 \h </w:instrText>
      </w:r>
      <w:r>
        <w:rPr>
          <w:noProof/>
        </w:rPr>
      </w:r>
      <w:r>
        <w:rPr>
          <w:noProof/>
        </w:rPr>
        <w:fldChar w:fldCharType="separate"/>
      </w:r>
      <w:r w:rsidR="00B25B1A">
        <w:rPr>
          <w:noProof/>
        </w:rPr>
        <w:t>519</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ESI-III-2 Zvláštní bezpečnostní potřeby osob s omezenou schopností pohybu a orientace</w:t>
      </w:r>
      <w:r>
        <w:rPr>
          <w:noProof/>
        </w:rPr>
        <w:tab/>
      </w:r>
      <w:r>
        <w:rPr>
          <w:noProof/>
        </w:rPr>
        <w:fldChar w:fldCharType="begin"/>
      </w:r>
      <w:r>
        <w:rPr>
          <w:noProof/>
        </w:rPr>
        <w:instrText xml:space="preserve"> PAGEREF _Toc535417271 \h </w:instrText>
      </w:r>
      <w:r>
        <w:rPr>
          <w:noProof/>
        </w:rPr>
      </w:r>
      <w:r>
        <w:rPr>
          <w:noProof/>
        </w:rPr>
        <w:fldChar w:fldCharType="separate"/>
      </w:r>
      <w:r w:rsidR="00B25B1A">
        <w:rPr>
          <w:noProof/>
        </w:rPr>
        <w:t>522</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ESI-III-3 Pevnost vodotěsných oken</w:t>
      </w:r>
      <w:r>
        <w:rPr>
          <w:noProof/>
        </w:rPr>
        <w:tab/>
      </w:r>
      <w:r>
        <w:rPr>
          <w:noProof/>
        </w:rPr>
        <w:fldChar w:fldCharType="begin"/>
      </w:r>
      <w:r>
        <w:rPr>
          <w:noProof/>
        </w:rPr>
        <w:instrText xml:space="preserve"> PAGEREF _Toc535417272 \h </w:instrText>
      </w:r>
      <w:r>
        <w:rPr>
          <w:noProof/>
        </w:rPr>
      </w:r>
      <w:r>
        <w:rPr>
          <w:noProof/>
        </w:rPr>
        <w:fldChar w:fldCharType="separate"/>
      </w:r>
      <w:r w:rsidR="00B25B1A">
        <w:rPr>
          <w:noProof/>
        </w:rPr>
        <w:t>529</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ESI-III-4 Bezpečnostní naváděcí systém</w:t>
      </w:r>
      <w:r>
        <w:rPr>
          <w:noProof/>
        </w:rPr>
        <w:tab/>
      </w:r>
      <w:r>
        <w:rPr>
          <w:noProof/>
        </w:rPr>
        <w:fldChar w:fldCharType="begin"/>
      </w:r>
      <w:r>
        <w:rPr>
          <w:noProof/>
        </w:rPr>
        <w:instrText xml:space="preserve"> PAGEREF _Toc535417273 \h </w:instrText>
      </w:r>
      <w:r>
        <w:rPr>
          <w:noProof/>
        </w:rPr>
      </w:r>
      <w:r>
        <w:rPr>
          <w:noProof/>
        </w:rPr>
        <w:fldChar w:fldCharType="separate"/>
      </w:r>
      <w:r w:rsidR="00B25B1A">
        <w:rPr>
          <w:noProof/>
        </w:rPr>
        <w:t>532</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ESI-III-5 Vhodné zařízení pro varování před únikem plynu</w:t>
      </w:r>
      <w:r>
        <w:rPr>
          <w:noProof/>
        </w:rPr>
        <w:tab/>
      </w:r>
      <w:r>
        <w:rPr>
          <w:noProof/>
        </w:rPr>
        <w:fldChar w:fldCharType="begin"/>
      </w:r>
      <w:r>
        <w:rPr>
          <w:noProof/>
        </w:rPr>
        <w:instrText xml:space="preserve"> PAGEREF _Toc535417274 \h </w:instrText>
      </w:r>
      <w:r>
        <w:rPr>
          <w:noProof/>
        </w:rPr>
      </w:r>
      <w:r>
        <w:rPr>
          <w:noProof/>
        </w:rPr>
        <w:fldChar w:fldCharType="separate"/>
      </w:r>
      <w:r w:rsidR="00B25B1A">
        <w:rPr>
          <w:noProof/>
        </w:rPr>
        <w:t>539</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ESI-III-6 Spojovací (spřahovací) systémy a spřahovací zařízení pro plavidlo vhodné k pohonu nebo pro poháněné plavidlo v pevně svázané sestavě</w:t>
      </w:r>
      <w:r>
        <w:rPr>
          <w:noProof/>
        </w:rPr>
        <w:tab/>
      </w:r>
      <w:r>
        <w:rPr>
          <w:noProof/>
        </w:rPr>
        <w:fldChar w:fldCharType="begin"/>
      </w:r>
      <w:r>
        <w:rPr>
          <w:noProof/>
        </w:rPr>
        <w:instrText xml:space="preserve"> PAGEREF _Toc535417275 \h </w:instrText>
      </w:r>
      <w:r>
        <w:rPr>
          <w:noProof/>
        </w:rPr>
      </w:r>
      <w:r>
        <w:rPr>
          <w:noProof/>
        </w:rPr>
        <w:fldChar w:fldCharType="separate"/>
      </w:r>
      <w:r w:rsidR="00B25B1A">
        <w:rPr>
          <w:noProof/>
        </w:rPr>
        <w:t>546</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ESI-III-7 Palivové nádrže na plovoucích strojích</w:t>
      </w:r>
      <w:r>
        <w:rPr>
          <w:noProof/>
        </w:rPr>
        <w:tab/>
      </w:r>
      <w:r>
        <w:rPr>
          <w:noProof/>
        </w:rPr>
        <w:fldChar w:fldCharType="begin"/>
      </w:r>
      <w:r>
        <w:rPr>
          <w:noProof/>
        </w:rPr>
        <w:instrText xml:space="preserve"> PAGEREF _Toc535417276 \h </w:instrText>
      </w:r>
      <w:r>
        <w:rPr>
          <w:noProof/>
        </w:rPr>
      </w:r>
      <w:r>
        <w:rPr>
          <w:noProof/>
        </w:rPr>
        <w:fldChar w:fldCharType="separate"/>
      </w:r>
      <w:r w:rsidR="00B25B1A">
        <w:rPr>
          <w:noProof/>
        </w:rPr>
        <w:t>553</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ESI-III-8 Rekreační plavidla</w:t>
      </w:r>
      <w:r>
        <w:rPr>
          <w:noProof/>
        </w:rPr>
        <w:tab/>
      </w:r>
      <w:r>
        <w:rPr>
          <w:noProof/>
        </w:rPr>
        <w:fldChar w:fldCharType="begin"/>
      </w:r>
      <w:r>
        <w:rPr>
          <w:noProof/>
        </w:rPr>
        <w:instrText xml:space="preserve"> PAGEREF _Toc535417277 \h </w:instrText>
      </w:r>
      <w:r>
        <w:rPr>
          <w:noProof/>
        </w:rPr>
      </w:r>
      <w:r>
        <w:rPr>
          <w:noProof/>
        </w:rPr>
        <w:fldChar w:fldCharType="separate"/>
      </w:r>
      <w:r w:rsidR="00B25B1A">
        <w:rPr>
          <w:noProof/>
        </w:rPr>
        <w:t>555</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ESI-III-9 Prokázání plovatelnosti, sklonu a stability oddělených částí lodi</w:t>
      </w:r>
      <w:r>
        <w:rPr>
          <w:noProof/>
        </w:rPr>
        <w:tab/>
      </w:r>
      <w:r>
        <w:rPr>
          <w:noProof/>
        </w:rPr>
        <w:fldChar w:fldCharType="begin"/>
      </w:r>
      <w:r>
        <w:rPr>
          <w:noProof/>
        </w:rPr>
        <w:instrText xml:space="preserve"> PAGEREF _Toc535417278 \h </w:instrText>
      </w:r>
      <w:r>
        <w:rPr>
          <w:noProof/>
        </w:rPr>
      </w:r>
      <w:r>
        <w:rPr>
          <w:noProof/>
        </w:rPr>
        <w:fldChar w:fldCharType="separate"/>
      </w:r>
      <w:r w:rsidR="00B25B1A">
        <w:rPr>
          <w:noProof/>
        </w:rPr>
        <w:t>557</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ESI-III-10 Vybavení pro lodě provozované v souladu se standardem S1 nebo S2</w:t>
      </w:r>
      <w:r>
        <w:rPr>
          <w:noProof/>
        </w:rPr>
        <w:tab/>
      </w:r>
      <w:r>
        <w:rPr>
          <w:noProof/>
        </w:rPr>
        <w:fldChar w:fldCharType="begin"/>
      </w:r>
      <w:r>
        <w:rPr>
          <w:noProof/>
        </w:rPr>
        <w:instrText xml:space="preserve"> PAGEREF _Toc535417279 \h </w:instrText>
      </w:r>
      <w:r>
        <w:rPr>
          <w:noProof/>
        </w:rPr>
      </w:r>
      <w:r>
        <w:rPr>
          <w:noProof/>
        </w:rPr>
        <w:fldChar w:fldCharType="separate"/>
      </w:r>
      <w:r w:rsidR="00B25B1A">
        <w:rPr>
          <w:noProof/>
        </w:rPr>
        <w:t>559</w:t>
      </w:r>
      <w:r>
        <w:rPr>
          <w:noProof/>
        </w:rPr>
        <w:fldChar w:fldCharType="end"/>
      </w:r>
    </w:p>
    <w:p w:rsidR="002D015D" w:rsidRDefault="002D015D">
      <w:pPr>
        <w:pStyle w:val="TOC1"/>
        <w:rPr>
          <w:rFonts w:asciiTheme="minorHAnsi" w:eastAsiaTheme="minorEastAsia" w:hAnsiTheme="minorHAnsi" w:cstheme="minorBidi"/>
          <w:b w:val="0"/>
          <w:bCs w:val="0"/>
          <w:caps w:val="0"/>
          <w:noProof/>
          <w:sz w:val="22"/>
          <w:szCs w:val="22"/>
          <w:lang w:val="en-GB" w:eastAsia="en-GB" w:bidi="ar-SA"/>
        </w:rPr>
      </w:pPr>
      <w:r>
        <w:rPr>
          <w:noProof/>
        </w:rPr>
        <w:t>ČÁST IV PŘECHODNÁ USTANOVENÍ</w:t>
      </w:r>
      <w:r>
        <w:rPr>
          <w:noProof/>
        </w:rPr>
        <w:tab/>
      </w:r>
      <w:r>
        <w:rPr>
          <w:noProof/>
        </w:rPr>
        <w:fldChar w:fldCharType="begin"/>
      </w:r>
      <w:r>
        <w:rPr>
          <w:noProof/>
        </w:rPr>
        <w:instrText xml:space="preserve"> PAGEREF _Toc535417280 \h </w:instrText>
      </w:r>
      <w:r>
        <w:rPr>
          <w:noProof/>
        </w:rPr>
      </w:r>
      <w:r>
        <w:rPr>
          <w:noProof/>
        </w:rPr>
        <w:fldChar w:fldCharType="separate"/>
      </w:r>
      <w:r w:rsidR="00B25B1A">
        <w:rPr>
          <w:noProof/>
        </w:rPr>
        <w:t>566</w:t>
      </w:r>
      <w:r>
        <w:rPr>
          <w:noProof/>
        </w:rPr>
        <w:fldChar w:fldCharType="end"/>
      </w:r>
    </w:p>
    <w:p w:rsidR="002D015D" w:rsidRDefault="002D015D">
      <w:pPr>
        <w:pStyle w:val="TOC2"/>
        <w:tabs>
          <w:tab w:val="right" w:leader="dot" w:pos="9060"/>
        </w:tabs>
        <w:rPr>
          <w:rFonts w:asciiTheme="minorHAnsi" w:eastAsiaTheme="minorEastAsia" w:hAnsiTheme="minorHAnsi" w:cstheme="minorBidi"/>
          <w:smallCaps w:val="0"/>
          <w:noProof/>
          <w:sz w:val="22"/>
          <w:szCs w:val="22"/>
          <w:lang w:val="en-GB" w:eastAsia="en-GB" w:bidi="ar-SA"/>
        </w:rPr>
      </w:pPr>
      <w:r>
        <w:rPr>
          <w:noProof/>
        </w:rPr>
        <w:t>ESI-IV-1 Uplatňování přechodných ustanovení</w:t>
      </w:r>
      <w:r>
        <w:rPr>
          <w:noProof/>
        </w:rPr>
        <w:tab/>
      </w:r>
      <w:r>
        <w:rPr>
          <w:noProof/>
        </w:rPr>
        <w:fldChar w:fldCharType="begin"/>
      </w:r>
      <w:r>
        <w:rPr>
          <w:noProof/>
        </w:rPr>
        <w:instrText xml:space="preserve"> PAGEREF _Toc535417281 \h </w:instrText>
      </w:r>
      <w:r>
        <w:rPr>
          <w:noProof/>
        </w:rPr>
      </w:r>
      <w:r>
        <w:rPr>
          <w:noProof/>
        </w:rPr>
        <w:fldChar w:fldCharType="separate"/>
      </w:r>
      <w:r w:rsidR="00B25B1A">
        <w:rPr>
          <w:noProof/>
        </w:rPr>
        <w:t>566</w:t>
      </w:r>
      <w:r>
        <w:rPr>
          <w:noProof/>
        </w:rPr>
        <w:fldChar w:fldCharType="end"/>
      </w:r>
    </w:p>
    <w:p w:rsidR="000F6FCC" w:rsidRPr="003B6E11" w:rsidRDefault="002D015D">
      <w:pPr>
        <w:pStyle w:val="TOC2"/>
        <w:tabs>
          <w:tab w:val="right" w:leader="dot" w:pos="9060"/>
        </w:tabs>
        <w:spacing w:line="240" w:lineRule="atLeast"/>
        <w:ind w:right="709"/>
        <w:rPr>
          <w:rFonts w:asciiTheme="minorHAnsi" w:eastAsiaTheme="minorEastAsia" w:hAnsiTheme="minorHAnsi" w:cs="Arial"/>
          <w:smallCaps w:val="0"/>
          <w:noProof/>
          <w:sz w:val="22"/>
        </w:rPr>
      </w:pPr>
      <w:r>
        <w:rPr>
          <w:rFonts w:cs="Arial"/>
          <w:b/>
          <w:bCs/>
          <w:caps/>
          <w:smallCaps w:val="0"/>
        </w:rPr>
        <w:fldChar w:fldCharType="end"/>
      </w:r>
    </w:p>
    <w:p w:rsidR="00FE7BE7" w:rsidRPr="003B6E11" w:rsidRDefault="00FE7BE7" w:rsidP="005F5F39">
      <w:pPr>
        <w:rPr>
          <w:rFonts w:cs="Arial"/>
          <w:szCs w:val="20"/>
          <w:lang w:val="cs-CZ"/>
        </w:rPr>
      </w:pPr>
      <w:bookmarkStart w:id="0" w:name="_GoBack"/>
      <w:bookmarkEnd w:id="0"/>
    </w:p>
    <w:p w:rsidR="00C8674F" w:rsidRPr="003B6E11" w:rsidRDefault="00C8674F" w:rsidP="00E1027C">
      <w:pPr>
        <w:spacing w:line="240" w:lineRule="atLeast"/>
        <w:rPr>
          <w:rFonts w:cs="Arial"/>
          <w:szCs w:val="20"/>
          <w:lang w:val="cs-CZ"/>
        </w:rPr>
      </w:pPr>
    </w:p>
    <w:p w:rsidR="00731F7D" w:rsidRPr="003B6E11" w:rsidRDefault="00731F7D" w:rsidP="00E1027C">
      <w:pPr>
        <w:spacing w:line="240" w:lineRule="atLeast"/>
        <w:rPr>
          <w:rFonts w:cs="Arial"/>
          <w:szCs w:val="20"/>
          <w:lang w:val="cs-CZ"/>
        </w:rPr>
        <w:sectPr w:rsidR="00731F7D" w:rsidRPr="003B6E11" w:rsidSect="006327E3">
          <w:headerReference w:type="default" r:id="rId13"/>
          <w:footerReference w:type="default" r:id="rId14"/>
          <w:headerReference w:type="first" r:id="rId15"/>
          <w:footerReference w:type="first" r:id="rId16"/>
          <w:footnotePr>
            <w:numRestart w:val="eachPage"/>
          </w:footnotePr>
          <w:pgSz w:w="11906" w:h="16838" w:code="9"/>
          <w:pgMar w:top="1418" w:right="1418" w:bottom="1418" w:left="1418" w:header="709" w:footer="709" w:gutter="0"/>
          <w:pgNumType w:fmt="lowerRoman"/>
          <w:cols w:space="709"/>
          <w:titlePg/>
          <w:docGrid w:linePitch="326"/>
        </w:sectPr>
      </w:pPr>
    </w:p>
    <w:p w:rsidR="00360D41" w:rsidRPr="003B6E11" w:rsidRDefault="00360D41" w:rsidP="004B2505">
      <w:pPr>
        <w:pStyle w:val="ES-Titre1"/>
      </w:pPr>
      <w:bookmarkStart w:id="1" w:name="_Toc384624875"/>
      <w:bookmarkStart w:id="2" w:name="_Toc491854002"/>
      <w:bookmarkStart w:id="3" w:name="_Toc535416908"/>
      <w:r w:rsidRPr="003B6E11">
        <w:t>ČÁST I</w:t>
      </w:r>
      <w:r w:rsidRPr="003B6E11">
        <w:br/>
      </w:r>
      <w:bookmarkEnd w:id="1"/>
      <w:r w:rsidRPr="003B6E11">
        <w:t>OBECNĚ</w:t>
      </w:r>
      <w:bookmarkEnd w:id="2"/>
      <w:bookmarkEnd w:id="3"/>
    </w:p>
    <w:p w:rsidR="00A2046F" w:rsidRPr="003B6E11" w:rsidRDefault="00A2046F" w:rsidP="00A2046F">
      <w:pPr>
        <w:pStyle w:val="ESch"/>
        <w:tabs>
          <w:tab w:val="left" w:pos="2325"/>
        </w:tabs>
        <w:rPr>
          <w:lang w:val="cs-CZ"/>
        </w:rPr>
      </w:pPr>
      <w:bookmarkStart w:id="4" w:name="_Toc384624876"/>
    </w:p>
    <w:p w:rsidR="00360D41" w:rsidRPr="003B6E11" w:rsidRDefault="00DE4417" w:rsidP="00B267B5">
      <w:pPr>
        <w:pStyle w:val="ES-Titre2"/>
        <w:pageBreakBefore w:val="0"/>
      </w:pPr>
      <w:bookmarkStart w:id="5" w:name="_Toc491854003"/>
      <w:bookmarkStart w:id="6" w:name="_Toc535416909"/>
      <w:r w:rsidRPr="003B6E11">
        <w:t>Kapitola 1</w:t>
      </w:r>
      <w:r w:rsidRPr="003B6E11">
        <w:br/>
      </w:r>
      <w:bookmarkEnd w:id="4"/>
      <w:r w:rsidRPr="003B6E11">
        <w:t>Obecně</w:t>
      </w:r>
      <w:bookmarkEnd w:id="5"/>
      <w:bookmarkEnd w:id="6"/>
    </w:p>
    <w:p w:rsidR="004B2505" w:rsidRPr="003B6E11" w:rsidRDefault="004B2505" w:rsidP="00E1027C">
      <w:pPr>
        <w:pStyle w:val="ES-Titre3"/>
        <w:spacing w:line="240" w:lineRule="atLeast"/>
        <w:rPr>
          <w:lang w:val="cs-CZ"/>
        </w:rPr>
      </w:pPr>
      <w:bookmarkStart w:id="7" w:name="_Toc384624877"/>
    </w:p>
    <w:p w:rsidR="00360D41" w:rsidRPr="003B6E11" w:rsidRDefault="00360D41" w:rsidP="00E1027C">
      <w:pPr>
        <w:pStyle w:val="ES-Titre3"/>
        <w:spacing w:line="240" w:lineRule="atLeast"/>
        <w:rPr>
          <w:i/>
          <w:lang w:val="cs-CZ"/>
        </w:rPr>
      </w:pPr>
      <w:bookmarkStart w:id="8" w:name="_Toc491854004"/>
      <w:bookmarkStart w:id="9" w:name="_Toc535416910"/>
      <w:r w:rsidRPr="003B6E11">
        <w:rPr>
          <w:lang w:val="cs-CZ"/>
        </w:rPr>
        <w:t>Článek 1.01</w:t>
      </w:r>
      <w:r w:rsidRPr="003B6E11">
        <w:rPr>
          <w:lang w:val="cs-CZ"/>
        </w:rPr>
        <w:br/>
      </w:r>
      <w:r w:rsidRPr="003B6E11">
        <w:rPr>
          <w:i/>
          <w:lang w:val="cs-CZ"/>
        </w:rPr>
        <w:t>D</w:t>
      </w:r>
      <w:bookmarkEnd w:id="7"/>
      <w:r w:rsidRPr="003B6E11">
        <w:rPr>
          <w:i/>
          <w:lang w:val="cs-CZ"/>
        </w:rPr>
        <w:t>efinice</w:t>
      </w:r>
      <w:bookmarkEnd w:id="8"/>
      <w:bookmarkEnd w:id="9"/>
    </w:p>
    <w:p w:rsidR="004B2505" w:rsidRPr="003B6E11" w:rsidRDefault="004B2505" w:rsidP="00E1027C">
      <w:pPr>
        <w:spacing w:line="240" w:lineRule="atLeast"/>
        <w:rPr>
          <w:noProof/>
          <w:snapToGrid w:val="0"/>
          <w:lang w:val="cs-CZ"/>
        </w:rPr>
      </w:pPr>
    </w:p>
    <w:p w:rsidR="00DE4417" w:rsidRPr="003B6E11" w:rsidRDefault="00DE4417" w:rsidP="009A1D30">
      <w:pPr>
        <w:rPr>
          <w:rFonts w:cs="Arial"/>
          <w:szCs w:val="20"/>
          <w:lang w:val="cs-CZ"/>
        </w:rPr>
      </w:pPr>
      <w:r w:rsidRPr="003B6E11">
        <w:rPr>
          <w:lang w:val="cs-CZ"/>
        </w:rPr>
        <w:t>Pro účely této normy se použijí tyto definice:</w:t>
      </w:r>
    </w:p>
    <w:p w:rsidR="00DE4417" w:rsidRPr="003B6E11" w:rsidRDefault="00DE4417" w:rsidP="009A1D30">
      <w:pPr>
        <w:rPr>
          <w:rFonts w:cs="Arial"/>
          <w:b/>
          <w:color w:val="000000"/>
          <w:szCs w:val="20"/>
          <w:lang w:val="cs-CZ"/>
        </w:rPr>
      </w:pPr>
    </w:p>
    <w:p w:rsidR="00151656" w:rsidRPr="003B6E11" w:rsidRDefault="00151656" w:rsidP="00151656">
      <w:pPr>
        <w:pStyle w:val="ESchgras"/>
        <w:rPr>
          <w:lang w:val="cs-CZ"/>
        </w:rPr>
      </w:pPr>
      <w:r w:rsidRPr="003B6E11">
        <w:rPr>
          <w:lang w:val="cs-CZ"/>
        </w:rPr>
        <w:t>1.</w:t>
      </w:r>
      <w:r w:rsidRPr="003B6E11">
        <w:rPr>
          <w:lang w:val="cs-CZ"/>
        </w:rPr>
        <w:tab/>
        <w:t>Druhy plavidel</w:t>
      </w:r>
    </w:p>
    <w:p w:rsidR="00511BF6" w:rsidRPr="003B6E11" w:rsidRDefault="00511BF6" w:rsidP="00391A9D">
      <w:pPr>
        <w:pStyle w:val="ESch"/>
        <w:tabs>
          <w:tab w:val="left" w:pos="2325"/>
        </w:tabs>
        <w:rPr>
          <w:lang w:val="cs-CZ"/>
        </w:rPr>
      </w:pPr>
    </w:p>
    <w:p w:rsidR="00DE4417" w:rsidRPr="003B6E11" w:rsidRDefault="00DE4417" w:rsidP="00511BF6">
      <w:pPr>
        <w:pStyle w:val="ESch"/>
        <w:rPr>
          <w:lang w:val="cs-CZ"/>
        </w:rPr>
      </w:pPr>
      <w:r w:rsidRPr="003B6E11">
        <w:rPr>
          <w:lang w:val="cs-CZ"/>
        </w:rPr>
        <w:t>1.1</w:t>
      </w:r>
      <w:r w:rsidRPr="003B6E11">
        <w:rPr>
          <w:lang w:val="cs-CZ"/>
        </w:rPr>
        <w:tab/>
        <w:t>„plavidlo“: loď nebo plovoucí stroj;</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1.2</w:t>
      </w:r>
      <w:r w:rsidRPr="003B6E11">
        <w:rPr>
          <w:lang w:val="cs-CZ"/>
        </w:rPr>
        <w:tab/>
        <w:t>„loď“: plavidlo vnitrozemské plavby nebo námořní loď;</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1.3</w:t>
      </w:r>
      <w:r w:rsidRPr="003B6E11">
        <w:rPr>
          <w:lang w:val="cs-CZ"/>
        </w:rPr>
        <w:tab/>
        <w:t>„plavidlo vnitrozemské plavby“: loď určená výhradně nebo hlavně pro plavbu na vnitrozemských vodních cestách;</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1.4</w:t>
      </w:r>
      <w:r w:rsidRPr="003B6E11">
        <w:rPr>
          <w:lang w:val="cs-CZ"/>
        </w:rPr>
        <w:tab/>
        <w:t>„námořní loď“: loď schválená a určená primárně pro námořní nebo pobřežní plavbu;</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1.5</w:t>
      </w:r>
      <w:r w:rsidRPr="003B6E11">
        <w:rPr>
          <w:lang w:val="cs-CZ"/>
        </w:rPr>
        <w:tab/>
        <w:t>„motorová loď“: nákladní motorová loď nebo tanková motorová loď;</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1.6</w:t>
      </w:r>
      <w:r w:rsidRPr="003B6E11">
        <w:rPr>
          <w:lang w:val="cs-CZ"/>
        </w:rPr>
        <w:tab/>
        <w:t>„tanková motorová loď“: loď určená pro přepravu zboží v pevných nádržích a postavená pro samostatnou plavbu pomocí vlastního pohonu;</w:t>
      </w:r>
    </w:p>
    <w:p w:rsidR="00B267B5" w:rsidRPr="003B6E11" w:rsidRDefault="00B267B5" w:rsidP="00511BF6">
      <w:pPr>
        <w:pStyle w:val="ESch"/>
        <w:rPr>
          <w:rFonts w:cs="Arial"/>
          <w:szCs w:val="20"/>
          <w:lang w:val="cs-CZ"/>
        </w:rPr>
      </w:pPr>
    </w:p>
    <w:p w:rsidR="00DE4417" w:rsidRPr="003B6E11" w:rsidRDefault="00DE4417" w:rsidP="00511BF6">
      <w:pPr>
        <w:pStyle w:val="ESch"/>
        <w:rPr>
          <w:lang w:val="cs-CZ"/>
        </w:rPr>
      </w:pPr>
      <w:r w:rsidRPr="003B6E11">
        <w:rPr>
          <w:lang w:val="cs-CZ"/>
        </w:rPr>
        <w:t>1.7</w:t>
      </w:r>
      <w:r w:rsidRPr="003B6E11">
        <w:rPr>
          <w:lang w:val="cs-CZ"/>
        </w:rPr>
        <w:tab/>
        <w:t>„nákladní motorová loď“: loď jiná než tanková motorová loď, určená pro přepravu zboží a postavená pro samostatnou plavbu pomocí vlastního pohonu;</w:t>
      </w:r>
    </w:p>
    <w:p w:rsidR="009A1D30" w:rsidRPr="003B6E11" w:rsidRDefault="009A1D30" w:rsidP="00511BF6">
      <w:pPr>
        <w:pStyle w:val="ESch"/>
        <w:rPr>
          <w:rFonts w:cs="Arial"/>
          <w:szCs w:val="20"/>
          <w:lang w:val="cs-CZ"/>
        </w:rPr>
      </w:pPr>
    </w:p>
    <w:p w:rsidR="00DE4417" w:rsidRPr="003B6E11" w:rsidRDefault="00DE4417" w:rsidP="00511BF6">
      <w:pPr>
        <w:pStyle w:val="ESch"/>
        <w:rPr>
          <w:rFonts w:cs="Arial"/>
          <w:szCs w:val="20"/>
          <w:lang w:val="cs-CZ"/>
        </w:rPr>
      </w:pPr>
      <w:r w:rsidRPr="003B6E11">
        <w:rPr>
          <w:lang w:val="cs-CZ"/>
        </w:rPr>
        <w:t>1.8</w:t>
      </w:r>
      <w:r w:rsidRPr="003B6E11">
        <w:rPr>
          <w:lang w:val="cs-CZ"/>
        </w:rPr>
        <w:tab/>
        <w:t>„nákladní člun pro plavbu na kanále“: plavidlo vnitrozemské plavby o délce nepřesahující 38,5 m a šířce nepřesahující 5,05 m;</w:t>
      </w:r>
    </w:p>
    <w:p w:rsidR="009A1D30" w:rsidRPr="003B6E11" w:rsidRDefault="009A1D30" w:rsidP="00511BF6">
      <w:pPr>
        <w:pStyle w:val="ESch"/>
        <w:rPr>
          <w:lang w:val="cs-CZ"/>
        </w:rPr>
      </w:pPr>
    </w:p>
    <w:p w:rsidR="00DE4417" w:rsidRPr="003B6E11" w:rsidRDefault="00DE4417" w:rsidP="00511BF6">
      <w:pPr>
        <w:pStyle w:val="ESch"/>
        <w:rPr>
          <w:lang w:val="cs-CZ"/>
        </w:rPr>
      </w:pPr>
      <w:r w:rsidRPr="003B6E11">
        <w:rPr>
          <w:lang w:val="cs-CZ"/>
        </w:rPr>
        <w:t>1.9</w:t>
      </w:r>
      <w:r w:rsidRPr="003B6E11">
        <w:rPr>
          <w:lang w:val="cs-CZ"/>
        </w:rPr>
        <w:tab/>
        <w:t>„remorkér“: loď postavená k vlečení;</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1.10</w:t>
      </w:r>
      <w:r w:rsidRPr="003B6E11">
        <w:rPr>
          <w:lang w:val="cs-CZ"/>
        </w:rPr>
        <w:tab/>
        <w:t>„tlačný remorkér“: loď postavená k pohonu plavidel tlačné sestavy;</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1.11</w:t>
      </w:r>
      <w:r w:rsidRPr="003B6E11">
        <w:rPr>
          <w:lang w:val="cs-CZ"/>
        </w:rPr>
        <w:tab/>
        <w:t>„nákladní člun“: vlečný člun nebo tankový člun;</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1.12</w:t>
      </w:r>
      <w:r w:rsidRPr="003B6E11">
        <w:rPr>
          <w:lang w:val="cs-CZ"/>
        </w:rPr>
        <w:tab/>
        <w:t>„tankový člun“: loď určená pro přepravu zboží v pevných nádržích, postavená jako vlečná, bez vlastního pohonu nebo s vlastním pohonem dostatečným pouze k provádění omezených manévrů;</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1.13</w:t>
      </w:r>
      <w:r w:rsidRPr="003B6E11">
        <w:rPr>
          <w:lang w:val="cs-CZ"/>
        </w:rPr>
        <w:tab/>
        <w:t>„vlečný člun“: loď určená pro přepravu zboží, která není tankový člun, postavená jako vlečná, bez vlastního pohonu nebo s vlastním pohonem dostatečným pouze k provádění omezených manévrů;</w:t>
      </w:r>
    </w:p>
    <w:p w:rsidR="009A1D30" w:rsidRPr="003B6E11" w:rsidRDefault="009A1D30" w:rsidP="00511BF6">
      <w:pPr>
        <w:pStyle w:val="ESch"/>
        <w:rPr>
          <w:rFonts w:cs="Arial"/>
          <w:szCs w:val="20"/>
          <w:lang w:val="cs-CZ"/>
        </w:rPr>
      </w:pPr>
    </w:p>
    <w:p w:rsidR="00DE4417" w:rsidRPr="003B6E11" w:rsidRDefault="00DE4417" w:rsidP="00511BF6">
      <w:pPr>
        <w:pStyle w:val="ESch"/>
        <w:rPr>
          <w:rFonts w:cs="Arial"/>
          <w:szCs w:val="20"/>
          <w:lang w:val="cs-CZ"/>
        </w:rPr>
      </w:pPr>
      <w:r w:rsidRPr="003B6E11">
        <w:rPr>
          <w:lang w:val="cs-CZ"/>
        </w:rPr>
        <w:t>1.14</w:t>
      </w:r>
      <w:r w:rsidRPr="003B6E11">
        <w:rPr>
          <w:lang w:val="cs-CZ"/>
        </w:rPr>
        <w:tab/>
        <w:t>„tlačný člun“: tankový tlačný člun, nákladní tlačný člun nebo člunový kontejner;</w:t>
      </w:r>
    </w:p>
    <w:p w:rsidR="009A1D30" w:rsidRPr="003B6E11" w:rsidRDefault="009A1D30" w:rsidP="00511BF6">
      <w:pPr>
        <w:pStyle w:val="ESch"/>
        <w:rPr>
          <w:rFonts w:cs="Arial"/>
          <w:szCs w:val="20"/>
          <w:lang w:val="cs-CZ"/>
        </w:rPr>
      </w:pPr>
    </w:p>
    <w:p w:rsidR="009A1D30" w:rsidRPr="003B6E11" w:rsidRDefault="009A1D30" w:rsidP="00511BF6">
      <w:pPr>
        <w:pStyle w:val="ESch"/>
        <w:rPr>
          <w:rFonts w:cs="Arial"/>
          <w:szCs w:val="20"/>
          <w:lang w:val="cs-CZ"/>
        </w:rPr>
      </w:pPr>
      <w:r w:rsidRPr="003B6E11">
        <w:rPr>
          <w:lang w:val="cs-CZ"/>
        </w:rPr>
        <w:br w:type="page"/>
      </w:r>
    </w:p>
    <w:p w:rsidR="00DE4417" w:rsidRPr="003B6E11" w:rsidRDefault="00DE4417" w:rsidP="00511BF6">
      <w:pPr>
        <w:pStyle w:val="ESch"/>
        <w:rPr>
          <w:lang w:val="cs-CZ"/>
        </w:rPr>
      </w:pPr>
      <w:r w:rsidRPr="003B6E11">
        <w:rPr>
          <w:lang w:val="cs-CZ"/>
        </w:rPr>
        <w:t>1.15</w:t>
      </w:r>
      <w:r w:rsidRPr="003B6E11">
        <w:rPr>
          <w:lang w:val="cs-CZ"/>
        </w:rPr>
        <w:tab/>
        <w:t>„tankový tlačný člun“: loď určená pro přepravu zboží v pevných nádržích, postavená nebo zvlášť upravená jako tlačná, bez vlastního pohonu nebo s vlastním pohonem dostatečným pouze k provádění omezených manévrů, není-li součástí plavidel tlačné sestavy;</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1.16</w:t>
      </w:r>
      <w:r w:rsidRPr="003B6E11">
        <w:rPr>
          <w:lang w:val="cs-CZ"/>
        </w:rPr>
        <w:tab/>
        <w:t>„nákladní tlačný člun“: loď jiná než tankový tlačný člun, určená pro přepravu zboží, postavená nebo zvlášť upravená jako tlačná, bez vlastního pohonu nebo s vlastním pohonem dostatečným pouze k provádění omezených manévrů, není-li součástí plavidel tlačné sestavy;</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1.17</w:t>
      </w:r>
      <w:r w:rsidRPr="003B6E11">
        <w:rPr>
          <w:lang w:val="cs-CZ"/>
        </w:rPr>
        <w:tab/>
        <w:t>„člunový kontejner“: tlačný člun postavený k přepravě na námořních lodích a k plavbě na vnitrozemských vodních cestách;</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1.18</w:t>
      </w:r>
      <w:r w:rsidRPr="003B6E11">
        <w:rPr>
          <w:lang w:val="cs-CZ"/>
        </w:rPr>
        <w:tab/>
        <w:t>„osobní loď“: výletní nebo kajutová osobní loď postavená a vybavená pro přepravu více než dvanácti cestujících;</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1.19</w:t>
      </w:r>
      <w:r w:rsidRPr="003B6E11">
        <w:rPr>
          <w:lang w:val="cs-CZ"/>
        </w:rPr>
        <w:tab/>
        <w:t>„osobní plachetní loď“: osobní loď postavená a zařízená tak, aby mohla plout rovněž na plachetní pohon;</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1.20</w:t>
      </w:r>
      <w:r w:rsidRPr="003B6E11">
        <w:rPr>
          <w:lang w:val="cs-CZ"/>
        </w:rPr>
        <w:tab/>
        <w:t>„výletní osobní loď“: osobní loď bez kajut pro přenocování cestujících;</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1.21</w:t>
      </w:r>
      <w:r w:rsidRPr="003B6E11">
        <w:rPr>
          <w:lang w:val="cs-CZ"/>
        </w:rPr>
        <w:tab/>
        <w:t>„kajutová osobní loď“: osobní loď s kajutami pro přenocování cestujících;</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1.22</w:t>
      </w:r>
      <w:r w:rsidRPr="003B6E11">
        <w:rPr>
          <w:lang w:val="cs-CZ"/>
        </w:rPr>
        <w:tab/>
        <w:t>„rychlá loď“: motorové plavidlo, které může dosáhnout rychlosti více než 40 km/h vzhledem k vodě;</w:t>
      </w:r>
    </w:p>
    <w:p w:rsidR="009A1D30" w:rsidRPr="003B6E11" w:rsidRDefault="009A1D30" w:rsidP="00511BF6">
      <w:pPr>
        <w:pStyle w:val="ESch"/>
        <w:rPr>
          <w:rFonts w:cs="Arial"/>
          <w:szCs w:val="20"/>
          <w:lang w:val="cs-CZ"/>
        </w:rPr>
      </w:pPr>
    </w:p>
    <w:p w:rsidR="00DE4417" w:rsidRPr="003B6E11" w:rsidRDefault="009A1D30" w:rsidP="00511BF6">
      <w:pPr>
        <w:pStyle w:val="ESch"/>
        <w:rPr>
          <w:lang w:val="cs-CZ"/>
        </w:rPr>
      </w:pPr>
      <w:r w:rsidRPr="003B6E11">
        <w:rPr>
          <w:lang w:val="cs-CZ"/>
        </w:rPr>
        <w:t>1.23</w:t>
      </w:r>
      <w:r w:rsidRPr="003B6E11">
        <w:rPr>
          <w:lang w:val="cs-CZ"/>
        </w:rPr>
        <w:tab/>
        <w:t>„plovoucí stroj“: zařízení schopné plavby vybavené mechanickým pracovním zařízením, např. jeřáby, bagry, beranidly nebo elevátory;</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1.24</w:t>
      </w:r>
      <w:r w:rsidRPr="003B6E11">
        <w:rPr>
          <w:lang w:val="cs-CZ"/>
        </w:rPr>
        <w:tab/>
        <w:t>„pracovní plavidlo“: loď, která je vhodně postavena a zařízena pro použití při práci na vodní cestě, např. výsypný člun pro meliorační práce, zásobníkový hopper, pontonový nákladní člun, ponton nebo záhozové plavidlo ke kladení kamene;</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1.25</w:t>
      </w:r>
      <w:r w:rsidRPr="003B6E11">
        <w:rPr>
          <w:lang w:val="cs-CZ"/>
        </w:rPr>
        <w:tab/>
        <w:t>„rekreační plavidlo“: loď jiná než osobní loď, která je určena pro sport nebo rekreaci;</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1.26</w:t>
      </w:r>
      <w:r w:rsidRPr="003B6E11">
        <w:rPr>
          <w:lang w:val="cs-CZ"/>
        </w:rPr>
        <w:tab/>
        <w:t>„lodní člun“: člun, který se používá k přepravě, záchranným operacím a pracovním úkolům;</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1.27</w:t>
      </w:r>
      <w:r w:rsidRPr="003B6E11">
        <w:rPr>
          <w:lang w:val="cs-CZ"/>
        </w:rPr>
        <w:tab/>
        <w:t>„plovoucí zařízení“: zařízení schopné plavby, které obvykle není určeno k pohybu, např. plovárna, dok, molo nebo loděnice;</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1.28</w:t>
      </w:r>
      <w:r w:rsidRPr="003B6E11">
        <w:rPr>
          <w:lang w:val="cs-CZ"/>
        </w:rPr>
        <w:tab/>
        <w:t>„plovoucí těleso“: vor nebo jiná konstrukce, předmět nebo sestava schopná plavby, která není lodí ani plovoucím strojem ani plovoucím zařízením;</w:t>
      </w:r>
    </w:p>
    <w:p w:rsidR="009A1D30" w:rsidRPr="003B6E11" w:rsidRDefault="009A1D30" w:rsidP="00511BF6">
      <w:pPr>
        <w:pStyle w:val="ESch"/>
        <w:rPr>
          <w:rFonts w:cs="Arial"/>
          <w:b/>
          <w:szCs w:val="20"/>
          <w:lang w:val="cs-CZ"/>
        </w:rPr>
      </w:pPr>
    </w:p>
    <w:p w:rsidR="00881510" w:rsidRPr="003B6E11" w:rsidRDefault="00881510" w:rsidP="00511BF6">
      <w:pPr>
        <w:pStyle w:val="ESch"/>
        <w:rPr>
          <w:lang w:val="cs-CZ"/>
        </w:rPr>
      </w:pPr>
      <w:r w:rsidRPr="003B6E11">
        <w:rPr>
          <w:lang w:val="cs-CZ"/>
        </w:rPr>
        <w:t>1.29</w:t>
      </w:r>
      <w:r w:rsidRPr="003B6E11">
        <w:rPr>
          <w:lang w:val="cs-CZ"/>
        </w:rPr>
        <w:tab/>
        <w:t>„tradiční plavidlo“: plavidlo, jež je s ohledem na jeho stáří, technickou povahu nebo konstrukci, vzácnost, význam z hlediska zachování tradičních zásad námořnictví nebo způsobů vnitrozemské plavby nebo jeho význam pro určité období z historického hlediska hodno zachování a které je provozováno zejména pro účely předvádění, nebo jeho replika;</w:t>
      </w:r>
    </w:p>
    <w:p w:rsidR="00881510" w:rsidRPr="003B6E11" w:rsidRDefault="00881510" w:rsidP="00511BF6">
      <w:pPr>
        <w:pStyle w:val="ESch"/>
        <w:rPr>
          <w:lang w:val="cs-CZ"/>
        </w:rPr>
      </w:pPr>
    </w:p>
    <w:p w:rsidR="00881510" w:rsidRPr="003B6E11" w:rsidRDefault="00881510" w:rsidP="00881510">
      <w:pPr>
        <w:pStyle w:val="ESch"/>
        <w:rPr>
          <w:lang w:val="cs-CZ"/>
        </w:rPr>
      </w:pPr>
      <w:r w:rsidRPr="003B6E11">
        <w:rPr>
          <w:lang w:val="cs-CZ"/>
        </w:rPr>
        <w:t>1.30</w:t>
      </w:r>
      <w:r w:rsidRPr="003B6E11">
        <w:rPr>
          <w:lang w:val="cs-CZ"/>
        </w:rPr>
        <w:tab/>
        <w:t>„replika tradičního plavidla“: plavidlo, které bylo z velké části vyrobeno z původních materiálů, s použitím vhodné konstrukční metody podle plánů nebo šablon jako tradiční plavidlo;</w:t>
      </w:r>
    </w:p>
    <w:p w:rsidR="00881510" w:rsidRPr="003B6E11" w:rsidRDefault="00881510" w:rsidP="00511BF6">
      <w:pPr>
        <w:pStyle w:val="ESch"/>
        <w:rPr>
          <w:rFonts w:cs="Arial"/>
          <w:b/>
          <w:szCs w:val="20"/>
          <w:lang w:val="cs-CZ"/>
        </w:rPr>
      </w:pPr>
    </w:p>
    <w:p w:rsidR="003B0440" w:rsidRPr="003B6E11" w:rsidRDefault="003B0440">
      <w:pPr>
        <w:rPr>
          <w:rFonts w:cs="Arial"/>
          <w:b/>
          <w:szCs w:val="20"/>
          <w:lang w:val="cs-CZ"/>
        </w:rPr>
      </w:pPr>
      <w:r w:rsidRPr="003B6E11">
        <w:rPr>
          <w:lang w:val="cs-CZ"/>
        </w:rPr>
        <w:br w:type="page"/>
      </w:r>
    </w:p>
    <w:p w:rsidR="009A1D30" w:rsidRPr="003B6E11" w:rsidRDefault="009A1D30" w:rsidP="00511BF6">
      <w:pPr>
        <w:pStyle w:val="ESch"/>
        <w:rPr>
          <w:rFonts w:cs="Arial"/>
          <w:b/>
          <w:szCs w:val="20"/>
          <w:lang w:val="cs-CZ"/>
        </w:rPr>
      </w:pPr>
    </w:p>
    <w:p w:rsidR="00DE4417" w:rsidRPr="003B6E11" w:rsidRDefault="00DE4417" w:rsidP="00511BF6">
      <w:pPr>
        <w:pStyle w:val="ESch"/>
        <w:rPr>
          <w:lang w:val="cs-CZ"/>
        </w:rPr>
      </w:pPr>
      <w:r w:rsidRPr="003B6E11">
        <w:rPr>
          <w:b/>
          <w:lang w:val="cs-CZ"/>
        </w:rPr>
        <w:t>2.</w:t>
      </w:r>
      <w:r w:rsidRPr="003B6E11">
        <w:rPr>
          <w:lang w:val="cs-CZ"/>
        </w:rPr>
        <w:tab/>
      </w:r>
      <w:r w:rsidRPr="003B6E11">
        <w:rPr>
          <w:b/>
          <w:lang w:val="cs-CZ"/>
        </w:rPr>
        <w:t>Soustavy plavidel</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2.1</w:t>
      </w:r>
      <w:r w:rsidRPr="003B6E11">
        <w:rPr>
          <w:lang w:val="cs-CZ"/>
        </w:rPr>
        <w:tab/>
        <w:t>„sestava“: pevně svázaná nebo vlečná sestava plavidel;</w:t>
      </w:r>
    </w:p>
    <w:p w:rsidR="009A1D30" w:rsidRPr="003B6E11" w:rsidRDefault="009A1D30" w:rsidP="00511BF6">
      <w:pPr>
        <w:pStyle w:val="ESch"/>
        <w:rPr>
          <w:rFonts w:cs="Arial"/>
          <w:szCs w:val="20"/>
          <w:lang w:val="cs-CZ"/>
        </w:rPr>
      </w:pPr>
    </w:p>
    <w:p w:rsidR="00DE4417" w:rsidRPr="003B6E11" w:rsidRDefault="00DE4417" w:rsidP="00511BF6">
      <w:pPr>
        <w:pStyle w:val="ESch"/>
        <w:rPr>
          <w:rFonts w:cs="Arial"/>
          <w:szCs w:val="20"/>
          <w:lang w:val="cs-CZ"/>
        </w:rPr>
      </w:pPr>
      <w:r w:rsidRPr="003B6E11">
        <w:rPr>
          <w:lang w:val="cs-CZ"/>
        </w:rPr>
        <w:t>2.2</w:t>
      </w:r>
      <w:r w:rsidRPr="003B6E11">
        <w:rPr>
          <w:lang w:val="cs-CZ"/>
        </w:rPr>
        <w:tab/>
        <w:t>„tvar sestavy“: způsob, jakým je sestava sestavena;</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2.3</w:t>
      </w:r>
      <w:r w:rsidRPr="003B6E11">
        <w:rPr>
          <w:lang w:val="cs-CZ"/>
        </w:rPr>
        <w:tab/>
        <w:t>„pevně svázaná sestava“: tlačná sestava nebo bočně svázaná sestava;</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2.4</w:t>
      </w:r>
      <w:r w:rsidRPr="003B6E11">
        <w:rPr>
          <w:lang w:val="cs-CZ"/>
        </w:rPr>
        <w:tab/>
        <w:t>„tlačná sestava“: pevně svázaná soustava plavidel, z nichž nejméně jedno se nachází před plavidlem zajišťujícím pohon sestavy, kterým je jeden nebo více tlačných remorkérů; za pevně svázanou se považuje rovněž sestava složená z tlačného remorkéru a tlačeného plavidla, jejichž boční svázání umožňuje řízené kloubové spojení;</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2.5</w:t>
      </w:r>
      <w:r w:rsidRPr="003B6E11">
        <w:rPr>
          <w:lang w:val="cs-CZ"/>
        </w:rPr>
        <w:tab/>
        <w:t>„bočně svázaná sestava“: soustava plavidel spojených pevně vedle sebe, z nichž se žádné nenachází před plavidlem vedoucím sestavu;</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2.6</w:t>
      </w:r>
      <w:r w:rsidRPr="003B6E11">
        <w:rPr>
          <w:lang w:val="cs-CZ"/>
        </w:rPr>
        <w:tab/>
        <w:t>„vlečná sestava“: spojení jednoho nebo více plavidel, plovoucích zařízení nebo plovoucích těles vlečených jedním nebo několika plavidly s vlastním pohonem, které tvoří součást sestavy;</w:t>
      </w:r>
    </w:p>
    <w:p w:rsidR="009A1D30" w:rsidRPr="003B6E11" w:rsidRDefault="009A1D30" w:rsidP="00511BF6">
      <w:pPr>
        <w:pStyle w:val="ESch"/>
        <w:rPr>
          <w:rFonts w:cs="Arial"/>
          <w:b/>
          <w:szCs w:val="20"/>
          <w:lang w:val="cs-CZ"/>
        </w:rPr>
      </w:pPr>
    </w:p>
    <w:p w:rsidR="009A1D30" w:rsidRPr="003B6E11" w:rsidRDefault="009A1D30" w:rsidP="00511BF6">
      <w:pPr>
        <w:pStyle w:val="ESch"/>
        <w:rPr>
          <w:rFonts w:cs="Arial"/>
          <w:b/>
          <w:szCs w:val="20"/>
          <w:lang w:val="cs-CZ"/>
        </w:rPr>
      </w:pPr>
    </w:p>
    <w:p w:rsidR="00DE4417" w:rsidRPr="003B6E11" w:rsidRDefault="00DE4417" w:rsidP="00511BF6">
      <w:pPr>
        <w:pStyle w:val="ESch"/>
        <w:rPr>
          <w:b/>
          <w:lang w:val="cs-CZ"/>
        </w:rPr>
      </w:pPr>
      <w:r w:rsidRPr="003B6E11">
        <w:rPr>
          <w:b/>
          <w:lang w:val="cs-CZ"/>
        </w:rPr>
        <w:t>3.</w:t>
      </w:r>
      <w:r w:rsidRPr="003B6E11">
        <w:rPr>
          <w:lang w:val="cs-CZ"/>
        </w:rPr>
        <w:tab/>
      </w:r>
      <w:r w:rsidRPr="003B6E11">
        <w:rPr>
          <w:b/>
          <w:lang w:val="cs-CZ"/>
        </w:rPr>
        <w:t>Zvláštní prostory na plavidle</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3.1</w:t>
      </w:r>
      <w:r w:rsidRPr="003B6E11">
        <w:rPr>
          <w:lang w:val="cs-CZ"/>
        </w:rPr>
        <w:tab/>
        <w:t>„hlavní strojovna“: prostor, ve kterém jsou instalovány pohonné motory;</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3.2</w:t>
      </w:r>
      <w:r w:rsidRPr="003B6E11">
        <w:rPr>
          <w:lang w:val="cs-CZ"/>
        </w:rPr>
        <w:tab/>
        <w:t>„strojovna“: prostor, ve kterém jsou instalovány spalovací motory;</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3.3</w:t>
      </w:r>
      <w:r w:rsidRPr="003B6E11">
        <w:rPr>
          <w:lang w:val="cs-CZ"/>
        </w:rPr>
        <w:tab/>
        <w:t>„kotelna“: prostor, ve kterém je instalováno palivové spalovací zařízení k výrobě páry nebo k ohřevu teplonosného média;</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3.4</w:t>
      </w:r>
      <w:r w:rsidRPr="003B6E11">
        <w:rPr>
          <w:lang w:val="cs-CZ"/>
        </w:rPr>
        <w:tab/>
        <w:t>„elektrická strojovna“: místnost, ve které se nacházejí součásti elektrického pohonného systému, jako jsou ovládací skříňky nebo elektrické motory, a která není hlavní strojovnou nebo strojovnou;</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3.5</w:t>
      </w:r>
      <w:r w:rsidRPr="003B6E11">
        <w:rPr>
          <w:lang w:val="cs-CZ"/>
        </w:rPr>
        <w:tab/>
        <w:t>„uzavřená nástavba“: vodotěsná, pevná, trvalá konstrukce s pevnými stěnami, které jsou trvale a vodotěsně spojeny s palubou;</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3.6</w:t>
      </w:r>
      <w:r w:rsidRPr="003B6E11">
        <w:rPr>
          <w:lang w:val="cs-CZ"/>
        </w:rPr>
        <w:tab/>
        <w:t>„kormidelna“: prostor, ve kterém je umístěno veškeré ovládací zařízení a kontrolní přístroje potřebné k manévrování s lodí;</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3.7</w:t>
      </w:r>
      <w:r w:rsidRPr="003B6E11">
        <w:rPr>
          <w:lang w:val="cs-CZ"/>
        </w:rPr>
        <w:tab/>
        <w:t>„obytný prostor“: prostor určený k používání osobami běžně pobývajícími na plavidle, včetně kuchyní, skladovacích prostorů, záchodů a umýváren, prádelen, průchodů, kromě kormidelny;</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3.8</w:t>
      </w:r>
      <w:r w:rsidRPr="003B6E11">
        <w:rPr>
          <w:lang w:val="cs-CZ"/>
        </w:rPr>
        <w:tab/>
        <w:t>„místnost pro cestující“: místnosti na plavidle určené pro cestující a uzavřené prostory, jako jsou společenské prostory, kanceláře, obchody, kadeřnické salóny, sušárny, prádelny, sauny, záchody, umyvárny, průchody, spojovací chodby a schodiště neuzavřená stěnami;</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3.9</w:t>
      </w:r>
      <w:r w:rsidRPr="003B6E11">
        <w:rPr>
          <w:lang w:val="cs-CZ"/>
        </w:rPr>
        <w:tab/>
        <w:t>„ovládací stanoviště“: kormidelna, prostor, který obsahuje nouzový zdroj elektrické energie nebo jeho součásti, nebo prostor s místem trvale obsazeným lodním personálem nebo členy posádky, např. pro zařízení požární signalizace, dálkové ovládání dveří nebo požární klapky;</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3.10</w:t>
      </w:r>
      <w:r w:rsidRPr="003B6E11">
        <w:rPr>
          <w:lang w:val="cs-CZ"/>
        </w:rPr>
        <w:tab/>
        <w:t>„schodišťová šachta“: šachta vnitřního schodiště nebo výtahu;</w:t>
      </w:r>
    </w:p>
    <w:p w:rsidR="009A1D30" w:rsidRPr="003B6E11" w:rsidRDefault="009A1D30" w:rsidP="00511BF6">
      <w:pPr>
        <w:pStyle w:val="ESch"/>
        <w:rPr>
          <w:rFonts w:cs="Arial"/>
          <w:szCs w:val="20"/>
          <w:lang w:val="cs-CZ"/>
        </w:rPr>
      </w:pPr>
    </w:p>
    <w:p w:rsidR="003B0440" w:rsidRPr="003B6E11" w:rsidRDefault="003B0440">
      <w:pPr>
        <w:rPr>
          <w:rFonts w:cs="Arial"/>
          <w:szCs w:val="20"/>
          <w:lang w:val="cs-CZ"/>
        </w:rPr>
      </w:pPr>
      <w:r w:rsidRPr="003B6E11">
        <w:rPr>
          <w:lang w:val="cs-CZ"/>
        </w:rPr>
        <w:br w:type="page"/>
      </w:r>
    </w:p>
    <w:p w:rsidR="003B0440" w:rsidRPr="003B6E11" w:rsidRDefault="003B0440" w:rsidP="00511BF6">
      <w:pPr>
        <w:pStyle w:val="ESch"/>
        <w:rPr>
          <w:rFonts w:cs="Arial"/>
          <w:szCs w:val="20"/>
          <w:lang w:val="cs-CZ"/>
        </w:rPr>
      </w:pPr>
    </w:p>
    <w:p w:rsidR="00DE4417" w:rsidRPr="003B6E11" w:rsidRDefault="00DE4417" w:rsidP="00511BF6">
      <w:pPr>
        <w:pStyle w:val="ESch"/>
        <w:rPr>
          <w:rFonts w:cs="Arial"/>
          <w:szCs w:val="20"/>
          <w:lang w:val="cs-CZ"/>
        </w:rPr>
      </w:pPr>
      <w:r w:rsidRPr="003B6E11">
        <w:rPr>
          <w:lang w:val="cs-CZ"/>
        </w:rPr>
        <w:t>3.11</w:t>
      </w:r>
      <w:r w:rsidRPr="003B6E11">
        <w:rPr>
          <w:lang w:val="cs-CZ"/>
        </w:rPr>
        <w:tab/>
        <w:t>„společenský prostor“: obytný prostor nebo místnost pro cestující. Na osobních lodích se kuchyně nepovažují za společenské prostory;</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3.12</w:t>
      </w:r>
      <w:r w:rsidRPr="003B6E11">
        <w:rPr>
          <w:lang w:val="cs-CZ"/>
        </w:rPr>
        <w:tab/>
        <w:t>„kuchyně“: prostor se sporákem či podobným zařízením určeným k přípravě jídel;</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3.13</w:t>
      </w:r>
      <w:r w:rsidRPr="003B6E11">
        <w:rPr>
          <w:lang w:val="cs-CZ"/>
        </w:rPr>
        <w:tab/>
        <w:t>„skladovací prostor“: místnost pro skladování hořlavých kapalin nebo místnost o ploše větší než 4 m</w:t>
      </w:r>
      <w:r w:rsidRPr="003B6E11">
        <w:rPr>
          <w:vertAlign w:val="superscript"/>
          <w:lang w:val="cs-CZ"/>
        </w:rPr>
        <w:t>2</w:t>
      </w:r>
      <w:r w:rsidRPr="003B6E11">
        <w:rPr>
          <w:lang w:val="cs-CZ"/>
        </w:rPr>
        <w:t xml:space="preserve"> ke skladování zásob;</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3.14</w:t>
      </w:r>
      <w:r w:rsidRPr="003B6E11">
        <w:rPr>
          <w:lang w:val="cs-CZ"/>
        </w:rPr>
        <w:tab/>
        <w:t>„podpalubní nákladový prostor“: část lodi vymezená vpředu a vzadu přepážkami, otevřená nebo uzavřená pomocí krytů jícnů, která je určena k přepravě nákladu, a to baleného i volně loženého, nebo k uložení nádrží, jež nejsou součástí trupu plavidla;</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3.15</w:t>
      </w:r>
      <w:r w:rsidRPr="003B6E11">
        <w:rPr>
          <w:lang w:val="cs-CZ"/>
        </w:rPr>
        <w:tab/>
        <w:t>„pevná nádrž“: nádrž spojená s lodí, přičemž stěny nádrže jsou tvořeny buď samotným trupem plavidla, nebo stěnou nezávislou na trupu plavidla;</w:t>
      </w:r>
    </w:p>
    <w:p w:rsidR="009A1D30" w:rsidRPr="003B6E11" w:rsidRDefault="009A1D30" w:rsidP="00511BF6">
      <w:pPr>
        <w:pStyle w:val="ESch"/>
        <w:rPr>
          <w:rFonts w:cs="Arial"/>
          <w:szCs w:val="20"/>
          <w:lang w:val="cs-CZ"/>
        </w:rPr>
      </w:pPr>
    </w:p>
    <w:p w:rsidR="00DE4417" w:rsidRPr="003B6E11" w:rsidRDefault="00D71B1A" w:rsidP="00511BF6">
      <w:pPr>
        <w:pStyle w:val="ESch"/>
        <w:rPr>
          <w:lang w:val="cs-CZ"/>
        </w:rPr>
      </w:pPr>
      <w:r w:rsidRPr="003B6E11">
        <w:rPr>
          <w:lang w:val="cs-CZ"/>
        </w:rPr>
        <w:t>3.16</w:t>
      </w:r>
      <w:r w:rsidRPr="003B6E11">
        <w:rPr>
          <w:lang w:val="cs-CZ"/>
        </w:rPr>
        <w:tab/>
        <w:t>„pracoviště“: prostor, kde členové posádky plní své úkoly, včetně lodní lávky, lodního jeřábu a lodního člunu;</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3.17</w:t>
      </w:r>
      <w:r w:rsidRPr="003B6E11">
        <w:rPr>
          <w:lang w:val="cs-CZ"/>
        </w:rPr>
        <w:tab/>
        <w:t>„průchod“: prostor určený pro běžný pohyb osob a zboží;</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3.18</w:t>
      </w:r>
      <w:r w:rsidRPr="003B6E11">
        <w:rPr>
          <w:lang w:val="cs-CZ"/>
        </w:rPr>
        <w:tab/>
        <w:t xml:space="preserve">„bezpečný prostor“: prostor, který je zvenku ohraničen svislou rovinou ve vzdálenosti 1/5 </w:t>
      </w:r>
      <m:oMath>
        <m:r>
          <w:rPr>
            <w:rFonts w:ascii="Cambria Math" w:hAnsi="Cambria Math" w:cs="Arial"/>
            <w:szCs w:val="20"/>
            <w:lang w:val="cs-CZ"/>
          </w:rPr>
          <m:t>B</m:t>
        </m:r>
        <m:r>
          <w:rPr>
            <w:rFonts w:ascii="Cambria Math" w:eastAsia="Calibri" w:hAnsi="Cambria Math" w:cs="Arial"/>
            <w:noProof/>
            <w:snapToGrid w:val="0"/>
            <w:color w:val="000000"/>
            <w:position w:val="-6"/>
            <w:sz w:val="14"/>
            <w:szCs w:val="20"/>
            <w:lang w:val="cs-CZ"/>
          </w:rPr>
          <m:t>WL</m:t>
        </m:r>
      </m:oMath>
      <w:r w:rsidRPr="003B6E11">
        <w:rPr>
          <w:lang w:val="cs-CZ"/>
        </w:rPr>
        <w:t xml:space="preserve"> od podélné osy trupu plavidla v rovině největšího přípustného ponoru;</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3.19</w:t>
      </w:r>
      <w:r w:rsidRPr="003B6E11">
        <w:rPr>
          <w:lang w:val="cs-CZ"/>
        </w:rPr>
        <w:tab/>
        <w:t>„shromažďovací prostory“: prostory lodi, které jsou zvlášť chráněny a v nichž se osoby shromažďují v případě nebezpečí;</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3.20</w:t>
      </w:r>
      <w:r w:rsidRPr="003B6E11">
        <w:rPr>
          <w:lang w:val="cs-CZ"/>
        </w:rPr>
        <w:tab/>
        <w:t>„evakuační prostory“: část shromažďovacích prostor lodi, odkud je možné provést evakuaci osob;</w:t>
      </w:r>
    </w:p>
    <w:p w:rsidR="009A1D30" w:rsidRPr="003B6E11" w:rsidRDefault="009A1D30" w:rsidP="00511BF6">
      <w:pPr>
        <w:pStyle w:val="ESch"/>
        <w:rPr>
          <w:rFonts w:cs="Arial"/>
          <w:b/>
          <w:szCs w:val="20"/>
          <w:lang w:val="cs-CZ"/>
        </w:rPr>
      </w:pPr>
    </w:p>
    <w:p w:rsidR="00BF3595" w:rsidRPr="003B6E11" w:rsidRDefault="00BF3595" w:rsidP="00BF3595">
      <w:pPr>
        <w:pStyle w:val="ESch"/>
        <w:spacing w:line="220" w:lineRule="atLeast"/>
        <w:rPr>
          <w:lang w:val="cs-CZ"/>
        </w:rPr>
      </w:pPr>
      <w:r w:rsidRPr="003B6E11">
        <w:rPr>
          <w:lang w:val="cs-CZ"/>
        </w:rPr>
        <w:t>3.21</w:t>
      </w:r>
      <w:r w:rsidRPr="003B6E11">
        <w:rPr>
          <w:lang w:val="cs-CZ"/>
        </w:rPr>
        <w:tab/>
        <w:t>„výbušná atmosféra“: směs hořlavých látek v podobě plynů, par, prachu, vláken nebo vláknitých prachů se vzduchem při atmosférických podmínkách, která po vznícení umožňuje samovolné šíření plamene;</w:t>
      </w:r>
    </w:p>
    <w:p w:rsidR="00BF3595" w:rsidRPr="003B6E11" w:rsidRDefault="00BF3595" w:rsidP="00BF3595">
      <w:pPr>
        <w:pStyle w:val="ESch"/>
        <w:rPr>
          <w:lang w:val="cs-CZ"/>
        </w:rPr>
      </w:pPr>
    </w:p>
    <w:p w:rsidR="00BF3595" w:rsidRPr="003B6E11" w:rsidRDefault="00BF3595" w:rsidP="00BF3595">
      <w:pPr>
        <w:pStyle w:val="ESch"/>
        <w:rPr>
          <w:lang w:val="cs-CZ"/>
        </w:rPr>
      </w:pPr>
      <w:r w:rsidRPr="003B6E11">
        <w:rPr>
          <w:lang w:val="cs-CZ"/>
        </w:rPr>
        <w:t>3.22</w:t>
      </w:r>
      <w:r w:rsidRPr="003B6E11">
        <w:rPr>
          <w:lang w:val="cs-CZ"/>
        </w:rPr>
        <w:tab/>
        <w:t>„nebezpečný prostor“: prostor, ve kterém je nebo může být přítomna výbušná plynná atmosféra v takovém množství, že jsou nutná zvláštní opatření pro konstrukci, instalaci a používání zařízení;</w:t>
      </w:r>
    </w:p>
    <w:p w:rsidR="00BF3595" w:rsidRPr="003B6E11" w:rsidRDefault="00BF3595" w:rsidP="00BF3595">
      <w:pPr>
        <w:pStyle w:val="ESch"/>
        <w:rPr>
          <w:lang w:val="cs-CZ"/>
        </w:rPr>
      </w:pPr>
    </w:p>
    <w:p w:rsidR="00BF3595" w:rsidRPr="003B6E11" w:rsidRDefault="00BF3595" w:rsidP="00BF3595">
      <w:pPr>
        <w:adjustRightInd w:val="0"/>
        <w:ind w:left="567" w:hanging="567"/>
        <w:rPr>
          <w:rFonts w:cs="Arial"/>
          <w:szCs w:val="20"/>
          <w:lang w:val="cs-CZ"/>
        </w:rPr>
      </w:pPr>
      <w:r w:rsidRPr="003B6E11">
        <w:rPr>
          <w:lang w:val="cs-CZ"/>
        </w:rPr>
        <w:t>3.23</w:t>
      </w:r>
      <w:r w:rsidRPr="003B6E11">
        <w:rPr>
          <w:lang w:val="cs-CZ"/>
        </w:rPr>
        <w:tab/>
        <w:t>„zóny“: zařazení nebezpečných prostorů do zón na základě četnosti vzniku a doby přítomnosti výbušného prostředí;</w:t>
      </w:r>
    </w:p>
    <w:p w:rsidR="00BF3595" w:rsidRPr="003B6E11" w:rsidRDefault="00BF3595" w:rsidP="00E46F58">
      <w:pPr>
        <w:pStyle w:val="ESch"/>
        <w:rPr>
          <w:lang w:val="cs-CZ"/>
        </w:rPr>
      </w:pPr>
    </w:p>
    <w:p w:rsidR="00BF3595" w:rsidRPr="003B6E11" w:rsidRDefault="00D52D91" w:rsidP="00E46F58">
      <w:pPr>
        <w:pStyle w:val="ESchpar"/>
        <w:rPr>
          <w:lang w:val="cs-CZ"/>
        </w:rPr>
      </w:pPr>
      <w:r w:rsidRPr="003B6E11">
        <w:rPr>
          <w:lang w:val="cs-CZ"/>
        </w:rPr>
        <w:t>„zóna 0“: prostory, ve kterých je výbušná atmosféra přítomna trvale nebo po dlouhou dobu nebo často;</w:t>
      </w:r>
    </w:p>
    <w:p w:rsidR="00BF3595" w:rsidRPr="003B6E11" w:rsidRDefault="00BF3595" w:rsidP="00E46F58">
      <w:pPr>
        <w:pStyle w:val="ESch"/>
        <w:rPr>
          <w:lang w:val="cs-CZ"/>
        </w:rPr>
      </w:pPr>
    </w:p>
    <w:p w:rsidR="00BF3595" w:rsidRPr="003B6E11" w:rsidRDefault="00D52D91" w:rsidP="00E46F58">
      <w:pPr>
        <w:pStyle w:val="ESchpar"/>
        <w:rPr>
          <w:lang w:val="cs-CZ"/>
        </w:rPr>
      </w:pPr>
      <w:r w:rsidRPr="003B6E11">
        <w:rPr>
          <w:lang w:val="cs-CZ"/>
        </w:rPr>
        <w:t>„zóna 1“: prostory, ve kterých je příležitostný vznik výbušné atmosféry pravděpodobný za normálního provozu;</w:t>
      </w:r>
    </w:p>
    <w:p w:rsidR="00BF3595" w:rsidRPr="003B6E11" w:rsidRDefault="00BF3595" w:rsidP="00E46F58">
      <w:pPr>
        <w:pStyle w:val="ESch"/>
        <w:rPr>
          <w:lang w:val="cs-CZ"/>
        </w:rPr>
      </w:pPr>
    </w:p>
    <w:p w:rsidR="00BF3595" w:rsidRPr="003B6E11" w:rsidRDefault="00D52D91" w:rsidP="00E46F58">
      <w:pPr>
        <w:pStyle w:val="ESchpar"/>
        <w:rPr>
          <w:lang w:val="cs-CZ"/>
        </w:rPr>
      </w:pPr>
      <w:r w:rsidRPr="003B6E11">
        <w:rPr>
          <w:lang w:val="cs-CZ"/>
        </w:rPr>
        <w:t>„zóna 2“: prostory, ve kterých není vznik výbušné atmosféry pravděpodobný za normálního provozu, avšak pokud tato atmosféra vznikne, bude přetrvávat pouze po krátký časový úsek. Tyto prostory zahrnují i prostory v bezprostředním sousedství zóny 1, jež od sebe nejsou vzájemně plynotěsně odděleny;</w:t>
      </w:r>
    </w:p>
    <w:p w:rsidR="00BF3595" w:rsidRPr="003B6E11" w:rsidRDefault="00BF3595" w:rsidP="00E46F58">
      <w:pPr>
        <w:pStyle w:val="ESch"/>
        <w:rPr>
          <w:lang w:val="cs-CZ"/>
        </w:rPr>
      </w:pPr>
    </w:p>
    <w:p w:rsidR="008D24FF" w:rsidRPr="003B6E11" w:rsidRDefault="008D24FF">
      <w:pPr>
        <w:rPr>
          <w:lang w:val="cs-CZ"/>
        </w:rPr>
      </w:pPr>
      <w:r w:rsidRPr="003B6E11">
        <w:rPr>
          <w:lang w:val="cs-CZ"/>
        </w:rPr>
        <w:br w:type="page"/>
      </w:r>
    </w:p>
    <w:p w:rsidR="008D24FF" w:rsidRPr="003B6E11" w:rsidRDefault="008D24FF" w:rsidP="00E46F58">
      <w:pPr>
        <w:pStyle w:val="ESch"/>
        <w:rPr>
          <w:lang w:val="cs-CZ"/>
        </w:rPr>
      </w:pPr>
    </w:p>
    <w:p w:rsidR="00BF3595" w:rsidRPr="003B6E11" w:rsidRDefault="00BF3595" w:rsidP="00BF3595">
      <w:pPr>
        <w:pStyle w:val="ESch"/>
        <w:rPr>
          <w:strike/>
          <w:lang w:val="cs-CZ"/>
        </w:rPr>
      </w:pPr>
      <w:r w:rsidRPr="003B6E11">
        <w:rPr>
          <w:lang w:val="cs-CZ"/>
        </w:rPr>
        <w:t>3.24</w:t>
      </w:r>
      <w:r w:rsidRPr="003B6E11">
        <w:rPr>
          <w:lang w:val="cs-CZ"/>
        </w:rPr>
        <w:tab/>
        <w:t>„certifikované elektrické zařízení bezpečného typu“:</w:t>
      </w:r>
      <w:r w:rsidRPr="003B6E11">
        <w:rPr>
          <w:rStyle w:val="FootnoteReference"/>
          <w:lang w:val="cs-CZ"/>
        </w:rPr>
        <w:t xml:space="preserve"> </w:t>
      </w:r>
      <w:r w:rsidRPr="003B6E11">
        <w:rPr>
          <w:lang w:val="cs-CZ"/>
        </w:rPr>
        <w:t>elektrické zařízení, které bylo přezkoušeno a schváleno příslušným orgánem, pokud jde o bezpečnost provozu ve výbušné atmosféře;</w:t>
      </w:r>
    </w:p>
    <w:p w:rsidR="009A1D30" w:rsidRPr="003B6E11" w:rsidRDefault="009A1D30" w:rsidP="00E46F58">
      <w:pPr>
        <w:pStyle w:val="ESch"/>
        <w:rPr>
          <w:lang w:val="cs-CZ"/>
        </w:rPr>
      </w:pPr>
    </w:p>
    <w:p w:rsidR="00BF3595" w:rsidRPr="003B6E11" w:rsidRDefault="00BF3595" w:rsidP="008D24FF">
      <w:pPr>
        <w:pStyle w:val="ESch"/>
        <w:rPr>
          <w:lang w:val="cs-CZ"/>
        </w:rPr>
      </w:pPr>
    </w:p>
    <w:p w:rsidR="00DE4417" w:rsidRPr="003B6E11" w:rsidRDefault="00DE4417" w:rsidP="00511BF6">
      <w:pPr>
        <w:pStyle w:val="ESch"/>
        <w:rPr>
          <w:lang w:val="cs-CZ"/>
        </w:rPr>
      </w:pPr>
      <w:r w:rsidRPr="003B6E11">
        <w:rPr>
          <w:b/>
          <w:lang w:val="cs-CZ"/>
        </w:rPr>
        <w:t>4.</w:t>
      </w:r>
      <w:r w:rsidRPr="003B6E11">
        <w:rPr>
          <w:lang w:val="cs-CZ"/>
        </w:rPr>
        <w:tab/>
      </w:r>
      <w:r w:rsidRPr="003B6E11">
        <w:rPr>
          <w:b/>
          <w:lang w:val="cs-CZ"/>
        </w:rPr>
        <w:t>Lodní technické pojmy</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4.1</w:t>
      </w:r>
      <w:r w:rsidRPr="003B6E11">
        <w:rPr>
          <w:lang w:val="cs-CZ"/>
        </w:rPr>
        <w:tab/>
        <w:t>„rovina největšího přípustného ponoru“: rovina hlavní vodorysky odpovídající maximálnímu ponoru, při kterém je plavidlo oprávněno k plavbě;</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4.2</w:t>
      </w:r>
      <w:r w:rsidRPr="003B6E11">
        <w:rPr>
          <w:lang w:val="cs-CZ"/>
        </w:rPr>
        <w:tab/>
        <w:t>„bezpečnostní vzdálenost“: vzdálenost mezi rovinou největšího přípustného ponoru a s ní rovnoběžnou rovinou procházející nejnižším bodem, nad nímž již není plavidlo považováno za vodotěsné;</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4.3</w:t>
      </w:r>
      <w:r w:rsidRPr="003B6E11">
        <w:rPr>
          <w:lang w:val="cs-CZ"/>
        </w:rPr>
        <w:tab/>
        <w:t>„zbývající bezpečnostní vzdálenost“: svislá vzdálenost, která je k dispozici v případě náklonu lodi mezi hladinou vody a nejnižším bodem více ponořeného boku, nad kterým již není loď považována za vodotěsnou;</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4.4</w:t>
      </w:r>
      <w:r w:rsidRPr="003B6E11">
        <w:rPr>
          <w:lang w:val="cs-CZ"/>
        </w:rPr>
        <w:tab/>
        <w:t>„volný bok“ nebo „</w:t>
      </w:r>
      <m:oMath>
        <m:r>
          <w:rPr>
            <w:rFonts w:ascii="Cambria Math" w:hAnsi="Cambria Math" w:cs="Arial"/>
            <w:szCs w:val="20"/>
            <w:lang w:val="cs-CZ"/>
          </w:rPr>
          <m:t>F</m:t>
        </m:r>
      </m:oMath>
      <w:r w:rsidRPr="003B6E11">
        <w:rPr>
          <w:lang w:val="cs-CZ"/>
        </w:rPr>
        <w:t>“: vzdálenost mezi rovinou největšího přípustného ponoru a s ní rovnoběžnou rovinou procházející nejnižším bodem okrajnice, nebo není-li okrajnice, nejnižším bodem horního okraje boku lodi;</w:t>
      </w:r>
    </w:p>
    <w:p w:rsidR="009A1D30" w:rsidRPr="003B6E11" w:rsidRDefault="009A1D30" w:rsidP="00511BF6">
      <w:pPr>
        <w:pStyle w:val="ESch"/>
        <w:rPr>
          <w:rFonts w:cs="Arial"/>
          <w:szCs w:val="20"/>
          <w:lang w:val="cs-CZ"/>
        </w:rPr>
      </w:pPr>
    </w:p>
    <w:p w:rsidR="00DE4417" w:rsidRPr="003B6E11" w:rsidRDefault="00DE4417" w:rsidP="00511BF6">
      <w:pPr>
        <w:pStyle w:val="ESch"/>
        <w:rPr>
          <w:rFonts w:cs="Arial"/>
          <w:szCs w:val="20"/>
          <w:lang w:val="cs-CZ"/>
        </w:rPr>
      </w:pPr>
      <w:r w:rsidRPr="003B6E11">
        <w:rPr>
          <w:lang w:val="cs-CZ"/>
        </w:rPr>
        <w:t>4.5</w:t>
      </w:r>
      <w:r w:rsidRPr="003B6E11">
        <w:rPr>
          <w:lang w:val="cs-CZ"/>
        </w:rPr>
        <w:tab/>
        <w:t>„zbývající volný bok“: svislá vzdálenost, která je k dispozici v případě náklonu lodi mezi hladinou vody a horním povrchem paluby v nejnižším bodě více ponořeného boku, nebo není-li paluba, v nejnižším bodě horního okraje pevného boku lodi;</w:t>
      </w:r>
    </w:p>
    <w:p w:rsidR="008D2FD5" w:rsidRPr="003B6E11" w:rsidRDefault="008D2FD5" w:rsidP="00511BF6">
      <w:pPr>
        <w:pStyle w:val="ESch"/>
        <w:rPr>
          <w:rFonts w:cs="Arial"/>
          <w:szCs w:val="20"/>
          <w:lang w:val="cs-CZ"/>
        </w:rPr>
      </w:pPr>
    </w:p>
    <w:p w:rsidR="00DE4417" w:rsidRPr="003B6E11" w:rsidRDefault="00DE4417" w:rsidP="00511BF6">
      <w:pPr>
        <w:pStyle w:val="ESch"/>
        <w:rPr>
          <w:lang w:val="cs-CZ"/>
        </w:rPr>
      </w:pPr>
      <w:r w:rsidRPr="003B6E11">
        <w:rPr>
          <w:lang w:val="cs-CZ"/>
        </w:rPr>
        <w:t>4.6</w:t>
      </w:r>
      <w:r w:rsidRPr="003B6E11">
        <w:rPr>
          <w:lang w:val="cs-CZ"/>
        </w:rPr>
        <w:tab/>
        <w:t>„čára zbytkového výtlaku“: myšlená čára na boční obšívce, nejméně 10 cm pod přepážkovou palubou a nejméně 10 cm pod nejnižším bodem boku lodi, který není vodotěsný. Není-li přepážková paluba, použije se čára vedená nejméně 10 cm pod nejnižší čárou, pod níž je vnější obšívka vodotěsná;</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4.7</w:t>
      </w:r>
      <w:r w:rsidRPr="003B6E11">
        <w:rPr>
          <w:lang w:val="cs-CZ"/>
        </w:rPr>
        <w:tab/>
        <w:t>„výtlak vody“ nebo „</w:t>
      </w:r>
      <m:oMath>
        <m:r>
          <w:rPr>
            <w:rFonts w:ascii="Cambria Math" w:hAnsi="Cambria Math" w:cs="Arial"/>
            <w:szCs w:val="20"/>
            <w:lang w:val="cs-CZ"/>
          </w:rPr>
          <m:t>∀</m:t>
        </m:r>
      </m:oMath>
      <w:r w:rsidRPr="003B6E11">
        <w:rPr>
          <w:lang w:val="cs-CZ"/>
        </w:rPr>
        <w:t>“: ponořený objem lodi, v m³;</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4.8</w:t>
      </w:r>
      <w:r w:rsidRPr="003B6E11">
        <w:rPr>
          <w:lang w:val="cs-CZ"/>
        </w:rPr>
        <w:tab/>
        <w:t>„výtlak“ nebo „</w:t>
      </w:r>
      <m:oMath>
        <m:r>
          <w:rPr>
            <w:rFonts w:ascii="Cambria Math" w:hAnsi="Cambria Math" w:cs="Arial"/>
            <w:szCs w:val="20"/>
            <w:lang w:val="cs-CZ"/>
          </w:rPr>
          <m:t>∆</m:t>
        </m:r>
      </m:oMath>
      <w:r w:rsidRPr="003B6E11">
        <w:rPr>
          <w:lang w:val="cs-CZ"/>
        </w:rPr>
        <w:t>“: celková hmotnost lodi, včetně nákladu, v t;</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4.9</w:t>
      </w:r>
      <w:r w:rsidRPr="003B6E11">
        <w:rPr>
          <w:lang w:val="cs-CZ"/>
        </w:rPr>
        <w:tab/>
        <w:t>„součinitel plnosti výtlaku“ nebo „</w:t>
      </w:r>
      <m:oMath>
        <m:sSub>
          <m:sSubPr>
            <m:ctrlPr>
              <w:rPr>
                <w:rFonts w:ascii="Cambria Math" w:hAnsi="Cambria Math" w:cs="Arial"/>
                <w:i/>
                <w:noProof/>
                <w:sz w:val="18"/>
                <w:szCs w:val="18"/>
                <w:lang w:val="cs-CZ"/>
              </w:rPr>
            </m:ctrlPr>
          </m:sSubPr>
          <m:e>
            <m:r>
              <w:rPr>
                <w:rFonts w:ascii="Cambria Math" w:hAnsi="Cambria Math" w:cs="Arial"/>
                <w:noProof/>
                <w:sz w:val="18"/>
                <w:szCs w:val="18"/>
                <w:lang w:val="cs-CZ"/>
              </w:rPr>
              <m:t>C</m:t>
            </m:r>
          </m:e>
          <m:sub>
            <m:r>
              <w:rPr>
                <w:rFonts w:ascii="Cambria Math" w:hAnsi="Cambria Math" w:cs="Arial"/>
                <w:noProof/>
                <w:sz w:val="18"/>
                <w:szCs w:val="18"/>
                <w:lang w:val="cs-CZ"/>
              </w:rPr>
              <m:t>B</m:t>
            </m:r>
          </m:sub>
        </m:sSub>
      </m:oMath>
      <w:r w:rsidRPr="003B6E11">
        <w:rPr>
          <w:lang w:val="cs-CZ"/>
        </w:rPr>
        <w:t xml:space="preserve">“: poměr mezi výtlakem vody a součinem délky </w:t>
      </w:r>
      <m:oMath>
        <m:sSub>
          <m:sSubPr>
            <m:ctrlPr>
              <w:rPr>
                <w:rFonts w:ascii="Cambria Math" w:hAnsi="Cambria Math" w:cs="Arial"/>
                <w:i/>
                <w:noProof/>
                <w:sz w:val="18"/>
                <w:szCs w:val="18"/>
                <w:lang w:val="cs-CZ"/>
              </w:rPr>
            </m:ctrlPr>
          </m:sSubPr>
          <m:e>
            <m:r>
              <w:rPr>
                <w:rFonts w:ascii="Cambria Math" w:hAnsi="Cambria Math" w:cs="Arial"/>
                <w:noProof/>
                <w:sz w:val="18"/>
                <w:szCs w:val="18"/>
                <w:lang w:val="cs-CZ"/>
              </w:rPr>
              <m:t>L</m:t>
            </m:r>
          </m:e>
          <m:sub>
            <m:r>
              <w:rPr>
                <w:rFonts w:ascii="Cambria Math" w:hAnsi="Cambria Math" w:cs="Arial"/>
                <w:noProof/>
                <w:sz w:val="18"/>
                <w:szCs w:val="18"/>
                <w:lang w:val="cs-CZ"/>
              </w:rPr>
              <m:t>WL</m:t>
            </m:r>
          </m:sub>
        </m:sSub>
      </m:oMath>
      <w:r w:rsidRPr="003B6E11">
        <w:rPr>
          <w:lang w:val="cs-CZ"/>
        </w:rPr>
        <w:t xml:space="preserve">, šířky </w:t>
      </w:r>
      <m:oMath>
        <m:sSub>
          <m:sSubPr>
            <m:ctrlPr>
              <w:rPr>
                <w:rFonts w:ascii="Cambria Math" w:hAnsi="Cambria Math" w:cs="Arial"/>
                <w:i/>
                <w:noProof/>
                <w:sz w:val="18"/>
                <w:szCs w:val="18"/>
                <w:lang w:val="cs-CZ"/>
              </w:rPr>
            </m:ctrlPr>
          </m:sSubPr>
          <m:e>
            <m:r>
              <w:rPr>
                <w:rFonts w:ascii="Cambria Math" w:hAnsi="Cambria Math" w:cs="Arial"/>
                <w:noProof/>
                <w:sz w:val="18"/>
                <w:szCs w:val="18"/>
                <w:lang w:val="cs-CZ"/>
              </w:rPr>
              <m:t>B</m:t>
            </m:r>
          </m:e>
          <m:sub>
            <m:r>
              <w:rPr>
                <w:rFonts w:ascii="Cambria Math" w:hAnsi="Cambria Math" w:cs="Arial"/>
                <w:noProof/>
                <w:sz w:val="18"/>
                <w:szCs w:val="18"/>
                <w:lang w:val="cs-CZ"/>
              </w:rPr>
              <m:t>WL</m:t>
            </m:r>
          </m:sub>
        </m:sSub>
      </m:oMath>
      <w:r w:rsidRPr="003B6E11">
        <w:rPr>
          <w:lang w:val="cs-CZ"/>
        </w:rPr>
        <w:t xml:space="preserve"> a ponoru </w:t>
      </w:r>
      <m:oMath>
        <m:r>
          <w:rPr>
            <w:rFonts w:ascii="Cambria Math" w:hAnsi="Cambria Math" w:cs="Arial"/>
            <w:szCs w:val="20"/>
            <w:lang w:val="cs-CZ"/>
          </w:rPr>
          <m:t>T</m:t>
        </m:r>
      </m:oMath>
      <w:r w:rsidRPr="003B6E11">
        <w:rPr>
          <w:lang w:val="cs-CZ"/>
        </w:rPr>
        <w:t>;</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4.10</w:t>
      </w:r>
      <w:r w:rsidRPr="003B6E11">
        <w:rPr>
          <w:lang w:val="cs-CZ"/>
        </w:rPr>
        <w:tab/>
        <w:t>„boční plocha nad hladinou“ nebo „</w:t>
      </w:r>
      <m:oMath>
        <m:sSub>
          <m:sSubPr>
            <m:ctrlPr>
              <w:rPr>
                <w:rFonts w:ascii="Cambria Math" w:hAnsi="Cambria Math" w:cs="Arial"/>
                <w:i/>
                <w:noProof/>
                <w:sz w:val="18"/>
                <w:szCs w:val="18"/>
                <w:lang w:val="cs-CZ"/>
              </w:rPr>
            </m:ctrlPr>
          </m:sSubPr>
          <m:e>
            <m:r>
              <w:rPr>
                <w:rFonts w:ascii="Cambria Math" w:hAnsi="Cambria Math" w:cs="Arial"/>
                <w:noProof/>
                <w:sz w:val="18"/>
                <w:szCs w:val="18"/>
                <w:lang w:val="cs-CZ"/>
              </w:rPr>
              <m:t>A</m:t>
            </m:r>
          </m:e>
          <m:sub>
            <m:r>
              <w:rPr>
                <w:rFonts w:ascii="Cambria Math" w:hAnsi="Cambria Math" w:cs="Arial"/>
                <w:noProof/>
                <w:sz w:val="18"/>
                <w:szCs w:val="18"/>
                <w:lang w:val="cs-CZ"/>
              </w:rPr>
              <m:t>V</m:t>
            </m:r>
          </m:sub>
        </m:sSub>
      </m:oMath>
      <w:r w:rsidRPr="003B6E11">
        <w:rPr>
          <w:lang w:val="cs-CZ"/>
        </w:rPr>
        <w:t>“: boční plocha lodi nad vodoryskou v m</w:t>
      </w:r>
      <w:r w:rsidRPr="003B6E11">
        <w:rPr>
          <w:vertAlign w:val="superscript"/>
          <w:lang w:val="cs-CZ"/>
        </w:rPr>
        <w:t>2</w:t>
      </w:r>
      <w:r w:rsidRPr="003B6E11">
        <w:rPr>
          <w:lang w:val="cs-CZ"/>
        </w:rPr>
        <w:t>;</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4.11</w:t>
      </w:r>
      <w:r w:rsidRPr="003B6E11">
        <w:rPr>
          <w:lang w:val="cs-CZ"/>
        </w:rPr>
        <w:tab/>
        <w:t>„přepážková paluba“: paluba, k níž vedou předepsané vodotěsné přepážky a od níž se měří volný bok;</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4.12</w:t>
      </w:r>
      <w:r w:rsidRPr="003B6E11">
        <w:rPr>
          <w:lang w:val="cs-CZ"/>
        </w:rPr>
        <w:tab/>
        <w:t>„přepážka“: stěna dané výšky, obvykle svislá, která rozděluje loď a která je vymezena dnem lodi, obšívkou nebo jinými přepážkami;</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4.13</w:t>
      </w:r>
      <w:r w:rsidRPr="003B6E11">
        <w:rPr>
          <w:lang w:val="cs-CZ"/>
        </w:rPr>
        <w:tab/>
        <w:t>„příčná přepážka“: přepážka, která vede z jednoho boku lodi k druhému;</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4.14</w:t>
      </w:r>
      <w:r w:rsidRPr="003B6E11">
        <w:rPr>
          <w:lang w:val="cs-CZ"/>
        </w:rPr>
        <w:tab/>
        <w:t>„stěna“: obvykle svislá dělicí plocha;</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4.15</w:t>
      </w:r>
      <w:r w:rsidRPr="003B6E11">
        <w:rPr>
          <w:lang w:val="cs-CZ"/>
        </w:rPr>
        <w:tab/>
        <w:t>„dělicí stěna“: stěna, která není vodotěsná;</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4.16</w:t>
      </w:r>
      <w:r w:rsidRPr="003B6E11">
        <w:rPr>
          <w:lang w:val="cs-CZ"/>
        </w:rPr>
        <w:tab/>
        <w:t>„délka“ nebo „</w:t>
      </w:r>
      <m:oMath>
        <m:r>
          <w:rPr>
            <w:rFonts w:ascii="Cambria Math" w:hAnsi="Cambria Math" w:cs="Arial"/>
            <w:szCs w:val="20"/>
            <w:lang w:val="cs-CZ"/>
          </w:rPr>
          <m:t>L</m:t>
        </m:r>
      </m:oMath>
      <w:r w:rsidRPr="003B6E11">
        <w:rPr>
          <w:lang w:val="cs-CZ"/>
        </w:rPr>
        <w:t>“: maximální délka trupu plavidla v m, bez kormidla a příďového čelenu;</w:t>
      </w:r>
    </w:p>
    <w:p w:rsidR="009A1D30" w:rsidRPr="003B6E11" w:rsidRDefault="009A1D30" w:rsidP="00511BF6">
      <w:pPr>
        <w:pStyle w:val="ESch"/>
        <w:rPr>
          <w:rFonts w:cs="Arial"/>
          <w:szCs w:val="20"/>
          <w:lang w:val="cs-CZ"/>
        </w:rPr>
      </w:pPr>
    </w:p>
    <w:p w:rsidR="008D24FF" w:rsidRPr="003B6E11" w:rsidRDefault="008D24FF">
      <w:pPr>
        <w:rPr>
          <w:rFonts w:cs="Arial"/>
          <w:szCs w:val="20"/>
          <w:lang w:val="cs-CZ"/>
        </w:rPr>
      </w:pPr>
      <w:r w:rsidRPr="003B6E11">
        <w:rPr>
          <w:lang w:val="cs-CZ"/>
        </w:rPr>
        <w:br w:type="page"/>
      </w:r>
    </w:p>
    <w:p w:rsidR="008D24FF" w:rsidRPr="003B6E11" w:rsidRDefault="008D24FF" w:rsidP="00511BF6">
      <w:pPr>
        <w:pStyle w:val="ESch"/>
        <w:rPr>
          <w:rFonts w:cs="Arial"/>
          <w:szCs w:val="20"/>
          <w:lang w:val="cs-CZ"/>
        </w:rPr>
      </w:pPr>
    </w:p>
    <w:p w:rsidR="00DE4417" w:rsidRPr="003B6E11" w:rsidRDefault="00DE4417" w:rsidP="00511BF6">
      <w:pPr>
        <w:pStyle w:val="ESch"/>
        <w:rPr>
          <w:lang w:val="cs-CZ"/>
        </w:rPr>
      </w:pPr>
      <w:r w:rsidRPr="003B6E11">
        <w:rPr>
          <w:lang w:val="cs-CZ"/>
        </w:rPr>
        <w:t>4.17</w:t>
      </w:r>
      <w:r w:rsidRPr="003B6E11">
        <w:rPr>
          <w:lang w:val="cs-CZ"/>
        </w:rPr>
        <w:tab/>
        <w:t>„největší délka“ nebo „</w:t>
      </w:r>
      <m:oMath>
        <m:sSub>
          <m:sSubPr>
            <m:ctrlPr>
              <w:rPr>
                <w:rFonts w:ascii="Cambria Math" w:hAnsi="Cambria Math" w:cs="Arial"/>
                <w:i/>
                <w:noProof/>
                <w:sz w:val="18"/>
                <w:szCs w:val="18"/>
                <w:lang w:val="cs-CZ"/>
              </w:rPr>
            </m:ctrlPr>
          </m:sSubPr>
          <m:e>
            <m:r>
              <w:rPr>
                <w:rFonts w:ascii="Cambria Math" w:hAnsi="Cambria Math" w:cs="Arial"/>
                <w:noProof/>
                <w:sz w:val="18"/>
                <w:szCs w:val="18"/>
                <w:lang w:val="cs-CZ"/>
              </w:rPr>
              <m:t>L</m:t>
            </m:r>
          </m:e>
          <m:sub>
            <m:r>
              <w:rPr>
                <w:rFonts w:ascii="Cambria Math" w:hAnsi="Cambria Math" w:cs="Arial"/>
                <w:noProof/>
                <w:sz w:val="18"/>
                <w:szCs w:val="18"/>
                <w:lang w:val="cs-CZ"/>
              </w:rPr>
              <m:t>OA</m:t>
            </m:r>
          </m:sub>
        </m:sSub>
      </m:oMath>
      <w:r w:rsidRPr="003B6E11">
        <w:rPr>
          <w:lang w:val="cs-CZ"/>
        </w:rPr>
        <w:t>“: maximální délka plavidla v m, včetně všech pevných zařízení jako součásti kormidelního zařízení nebo pohonného zařízení, mechanická nebo podobná zařízení;</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4.18</w:t>
      </w:r>
      <w:r w:rsidRPr="003B6E11">
        <w:rPr>
          <w:lang w:val="cs-CZ"/>
        </w:rPr>
        <w:tab/>
        <w:t>„délka na vodorysce“ nebo „</w:t>
      </w:r>
      <m:oMath>
        <m:sSub>
          <m:sSubPr>
            <m:ctrlPr>
              <w:rPr>
                <w:rFonts w:ascii="Cambria Math" w:hAnsi="Cambria Math" w:cs="Arial"/>
                <w:i/>
                <w:noProof/>
                <w:sz w:val="18"/>
                <w:szCs w:val="18"/>
                <w:lang w:val="cs-CZ"/>
              </w:rPr>
            </m:ctrlPr>
          </m:sSubPr>
          <m:e>
            <m:r>
              <w:rPr>
                <w:rFonts w:ascii="Cambria Math" w:hAnsi="Cambria Math" w:cs="Arial"/>
                <w:noProof/>
                <w:sz w:val="18"/>
                <w:szCs w:val="18"/>
                <w:lang w:val="cs-CZ"/>
              </w:rPr>
              <m:t>L</m:t>
            </m:r>
          </m:e>
          <m:sub>
            <m:r>
              <w:rPr>
                <w:rFonts w:ascii="Cambria Math" w:hAnsi="Cambria Math" w:cs="Arial"/>
                <w:noProof/>
                <w:sz w:val="18"/>
                <w:szCs w:val="18"/>
                <w:lang w:val="cs-CZ"/>
              </w:rPr>
              <m:t>WL</m:t>
            </m:r>
          </m:sub>
        </m:sSub>
      </m:oMath>
      <w:r w:rsidRPr="003B6E11">
        <w:rPr>
          <w:lang w:val="cs-CZ"/>
        </w:rPr>
        <w:t>“: délka trupu plavidla v m, měřená v rovině největšího přípustného ponoru;</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4.19</w:t>
      </w:r>
      <w:r w:rsidRPr="003B6E11">
        <w:rPr>
          <w:lang w:val="cs-CZ"/>
        </w:rPr>
        <w:tab/>
        <w:t>„šířka“ nebo „</w:t>
      </w:r>
      <m:oMath>
        <m:r>
          <w:rPr>
            <w:rFonts w:ascii="Cambria Math" w:hAnsi="Cambria Math" w:cs="Arial"/>
            <w:szCs w:val="20"/>
            <w:lang w:val="cs-CZ"/>
          </w:rPr>
          <m:t>B</m:t>
        </m:r>
      </m:oMath>
      <w:r w:rsidRPr="003B6E11">
        <w:rPr>
          <w:lang w:val="cs-CZ"/>
        </w:rPr>
        <w:t>“: maximální šířka trupu plavidla v m, měřená z vnější strany obšívky (bez kolesnic, oděrek apod.);</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4.20</w:t>
      </w:r>
      <w:r w:rsidRPr="003B6E11">
        <w:rPr>
          <w:lang w:val="cs-CZ"/>
        </w:rPr>
        <w:tab/>
        <w:t>„největší šířka“ nebo „</w:t>
      </w:r>
      <m:oMath>
        <m:sSub>
          <m:sSubPr>
            <m:ctrlPr>
              <w:rPr>
                <w:rFonts w:ascii="Cambria Math" w:hAnsi="Cambria Math" w:cs="Arial"/>
                <w:i/>
                <w:noProof/>
                <w:sz w:val="18"/>
                <w:szCs w:val="18"/>
                <w:lang w:val="cs-CZ"/>
              </w:rPr>
            </m:ctrlPr>
          </m:sSubPr>
          <m:e>
            <m:r>
              <w:rPr>
                <w:rFonts w:ascii="Cambria Math" w:hAnsi="Cambria Math" w:cs="Arial"/>
                <w:noProof/>
                <w:sz w:val="18"/>
                <w:szCs w:val="18"/>
                <w:lang w:val="cs-CZ"/>
              </w:rPr>
              <m:t>B</m:t>
            </m:r>
          </m:e>
          <m:sub>
            <m:r>
              <w:rPr>
                <w:rFonts w:ascii="Cambria Math" w:hAnsi="Cambria Math" w:cs="Arial"/>
                <w:noProof/>
                <w:sz w:val="18"/>
                <w:szCs w:val="18"/>
                <w:lang w:val="cs-CZ"/>
              </w:rPr>
              <m:t>OA</m:t>
            </m:r>
          </m:sub>
        </m:sSub>
      </m:oMath>
      <w:r w:rsidRPr="003B6E11">
        <w:rPr>
          <w:lang w:val="cs-CZ"/>
        </w:rPr>
        <w:t>“: maximální šířka plavidla v m, včetně všech pevných zařízení jako kolesnice, oděrky, mechanická zařízení apod.;</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4.21</w:t>
      </w:r>
      <w:r w:rsidRPr="003B6E11">
        <w:rPr>
          <w:lang w:val="cs-CZ"/>
        </w:rPr>
        <w:tab/>
        <w:t>„šířka na vodorysce“ nebo „</w:t>
      </w:r>
      <m:oMath>
        <m:sSub>
          <m:sSubPr>
            <m:ctrlPr>
              <w:rPr>
                <w:rFonts w:ascii="Cambria Math" w:hAnsi="Cambria Math" w:cs="Arial"/>
                <w:i/>
                <w:noProof/>
                <w:sz w:val="18"/>
                <w:szCs w:val="18"/>
                <w:lang w:val="cs-CZ"/>
              </w:rPr>
            </m:ctrlPr>
          </m:sSubPr>
          <m:e>
            <m:r>
              <w:rPr>
                <w:rFonts w:ascii="Cambria Math" w:hAnsi="Cambria Math" w:cs="Arial"/>
                <w:noProof/>
                <w:sz w:val="18"/>
                <w:szCs w:val="18"/>
                <w:lang w:val="cs-CZ"/>
              </w:rPr>
              <m:t>B</m:t>
            </m:r>
          </m:e>
          <m:sub>
            <m:r>
              <w:rPr>
                <w:rFonts w:ascii="Cambria Math" w:hAnsi="Cambria Math" w:cs="Arial"/>
                <w:noProof/>
                <w:sz w:val="18"/>
                <w:szCs w:val="18"/>
                <w:lang w:val="cs-CZ"/>
              </w:rPr>
              <m:t>WL</m:t>
            </m:r>
          </m:sub>
        </m:sSub>
      </m:oMath>
      <w:r w:rsidRPr="003B6E11">
        <w:rPr>
          <w:lang w:val="cs-CZ"/>
        </w:rPr>
        <w:t>“: šířka trupu plavidla v m, měřená z vnější strany obšívky v rovině největšího přípustného ponoru;</w:t>
      </w:r>
    </w:p>
    <w:p w:rsidR="009A1D30" w:rsidRPr="003B6E11" w:rsidRDefault="009A1D30" w:rsidP="00511BF6">
      <w:pPr>
        <w:pStyle w:val="ESch"/>
        <w:rPr>
          <w:rFonts w:cs="Arial"/>
          <w:szCs w:val="20"/>
          <w:lang w:val="cs-CZ"/>
        </w:rPr>
      </w:pPr>
    </w:p>
    <w:p w:rsidR="00DE4417" w:rsidRPr="003B6E11" w:rsidRDefault="00DE4417" w:rsidP="00511BF6">
      <w:pPr>
        <w:pStyle w:val="ESch"/>
        <w:rPr>
          <w:rFonts w:cs="Arial"/>
          <w:szCs w:val="20"/>
          <w:lang w:val="cs-CZ"/>
        </w:rPr>
      </w:pPr>
      <w:r w:rsidRPr="003B6E11">
        <w:rPr>
          <w:lang w:val="cs-CZ"/>
        </w:rPr>
        <w:t>4.22</w:t>
      </w:r>
      <w:r w:rsidRPr="003B6E11">
        <w:rPr>
          <w:lang w:val="cs-CZ"/>
        </w:rPr>
        <w:tab/>
        <w:t>„výška“ nebo „</w:t>
      </w:r>
      <m:oMath>
        <m:r>
          <w:rPr>
            <w:rFonts w:ascii="Cambria Math" w:hAnsi="Cambria Math" w:cs="Arial"/>
            <w:szCs w:val="20"/>
            <w:lang w:val="cs-CZ"/>
          </w:rPr>
          <m:t>H</m:t>
        </m:r>
      </m:oMath>
      <w:r w:rsidRPr="003B6E11">
        <w:rPr>
          <w:lang w:val="cs-CZ"/>
        </w:rPr>
        <w:t>“: nejkratší svislá vzdálenost v m mezi nejnižším bodem lodního trupu nebo kýlu a nejnižším bodem paluby na boku lodi;</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4.23</w:t>
      </w:r>
      <w:r w:rsidRPr="003B6E11">
        <w:rPr>
          <w:lang w:val="cs-CZ"/>
        </w:rPr>
        <w:tab/>
        <w:t>„ponor“ nebo „</w:t>
      </w:r>
      <m:oMath>
        <m:r>
          <w:rPr>
            <w:rFonts w:ascii="Cambria Math" w:hAnsi="Cambria Math" w:cs="Arial"/>
            <w:szCs w:val="20"/>
            <w:lang w:val="cs-CZ"/>
          </w:rPr>
          <m:t>T</m:t>
        </m:r>
      </m:oMath>
      <w:r w:rsidRPr="003B6E11">
        <w:rPr>
          <w:lang w:val="cs-CZ"/>
        </w:rPr>
        <w:t>“: svislá vzdálenost v m mezi nejnižším bodem lodního trupu bez ohledu na kýl nebo jiné pevně uchycené příslušenství a rovinou největšího přípustného ponoru;</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4.24</w:t>
      </w:r>
      <w:r w:rsidRPr="003B6E11">
        <w:rPr>
          <w:lang w:val="cs-CZ"/>
        </w:rPr>
        <w:tab/>
        <w:t>„celkový ponor“ nebo „</w:t>
      </w:r>
      <m:oMath>
        <m:sSub>
          <m:sSubPr>
            <m:ctrlPr>
              <w:rPr>
                <w:rFonts w:ascii="Cambria Math" w:hAnsi="Cambria Math" w:cs="Arial"/>
                <w:i/>
                <w:noProof/>
                <w:sz w:val="18"/>
                <w:szCs w:val="18"/>
                <w:lang w:val="cs-CZ"/>
              </w:rPr>
            </m:ctrlPr>
          </m:sSubPr>
          <m:e>
            <m:r>
              <w:rPr>
                <w:rFonts w:ascii="Cambria Math" w:hAnsi="Cambria Math" w:cs="Arial"/>
                <w:noProof/>
                <w:sz w:val="18"/>
                <w:szCs w:val="18"/>
                <w:lang w:val="cs-CZ"/>
              </w:rPr>
              <m:t>T</m:t>
            </m:r>
          </m:e>
          <m:sub>
            <m:r>
              <w:rPr>
                <w:rFonts w:ascii="Cambria Math" w:hAnsi="Cambria Math" w:cs="Arial"/>
                <w:noProof/>
                <w:sz w:val="18"/>
                <w:szCs w:val="18"/>
                <w:lang w:val="cs-CZ"/>
              </w:rPr>
              <m:t>OA</m:t>
            </m:r>
          </m:sub>
        </m:sSub>
      </m:oMath>
      <w:r w:rsidRPr="003B6E11">
        <w:rPr>
          <w:lang w:val="cs-CZ"/>
        </w:rPr>
        <w:t>“: svislá vzdálenost v m mezi nejnižším bodem lodního trupu včetně kýlu nebo jiného pevně uchyceného příslušenství a rovinou největšího přípustného ponoru;</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4.25</w:t>
      </w:r>
      <w:r w:rsidRPr="003B6E11">
        <w:rPr>
          <w:lang w:val="cs-CZ"/>
        </w:rPr>
        <w:tab/>
        <w:t>„přední svislice“: kolmice v předním průsečíku lodního trupu s rovinou největšího přípustného ponoru;</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4.26</w:t>
      </w:r>
      <w:r w:rsidRPr="003B6E11">
        <w:rPr>
          <w:lang w:val="cs-CZ"/>
        </w:rPr>
        <w:tab/>
        <w:t>„světlá šířka boční paluby“: vzdálenost mezi kolmicí procházející nejvíce vyčnívající části jícnového silu na boční palubě a kolmicí procházející vnitřní hranou ochranného zařízení proti skluzu (zábradlí, ochranný profil u paty zábradlí) na vnější straně boční paluby;</w:t>
      </w:r>
    </w:p>
    <w:p w:rsidR="009A1D30" w:rsidRPr="003B6E11" w:rsidRDefault="009A1D30" w:rsidP="00511BF6">
      <w:pPr>
        <w:pStyle w:val="ESch"/>
        <w:rPr>
          <w:rFonts w:cs="Arial"/>
          <w:szCs w:val="20"/>
          <w:lang w:val="cs-CZ"/>
        </w:rPr>
      </w:pPr>
    </w:p>
    <w:p w:rsidR="00850AFF" w:rsidRPr="003B6E11" w:rsidRDefault="00850AFF" w:rsidP="00511BF6">
      <w:pPr>
        <w:pStyle w:val="ESch"/>
        <w:rPr>
          <w:rFonts w:cs="Arial"/>
          <w:szCs w:val="20"/>
          <w:lang w:val="cs-CZ"/>
        </w:rPr>
      </w:pPr>
    </w:p>
    <w:p w:rsidR="00DE4417" w:rsidRPr="003B6E11" w:rsidRDefault="00DE4417" w:rsidP="00511BF6">
      <w:pPr>
        <w:pStyle w:val="ESch"/>
        <w:rPr>
          <w:lang w:val="cs-CZ"/>
        </w:rPr>
      </w:pPr>
      <w:r w:rsidRPr="003B6E11">
        <w:rPr>
          <w:b/>
          <w:lang w:val="cs-CZ"/>
        </w:rPr>
        <w:t>5.</w:t>
      </w:r>
      <w:r w:rsidRPr="003B6E11">
        <w:rPr>
          <w:lang w:val="cs-CZ"/>
        </w:rPr>
        <w:tab/>
      </w:r>
      <w:r w:rsidRPr="003B6E11">
        <w:rPr>
          <w:b/>
          <w:lang w:val="cs-CZ"/>
        </w:rPr>
        <w:t>Kormidelní zařízení</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5.1</w:t>
      </w:r>
      <w:r w:rsidRPr="003B6E11">
        <w:rPr>
          <w:lang w:val="cs-CZ"/>
        </w:rPr>
        <w:tab/>
        <w:t>„kormidelní zařízení“: veškeré zařízení nezbytné k řízení lodi, aby byla zajištěna manévrovatelnost podle kapitoly 5;</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5.2</w:t>
      </w:r>
      <w:r w:rsidRPr="003B6E11">
        <w:rPr>
          <w:lang w:val="cs-CZ"/>
        </w:rPr>
        <w:tab/>
        <w:t>„kormidlo“: kormidlo nebo kormidla, s kormidelním pněm, včetně kvadrantů a spojovacích prvků s kormidelním strojem;</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5.3</w:t>
      </w:r>
      <w:r w:rsidRPr="003B6E11">
        <w:rPr>
          <w:lang w:val="cs-CZ"/>
        </w:rPr>
        <w:tab/>
        <w:t>„kormidelní stroj“: součást kormidelního zařízení, která zajišťuje pohyb kormidla;</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5.4</w:t>
      </w:r>
      <w:r w:rsidRPr="003B6E11">
        <w:rPr>
          <w:lang w:val="cs-CZ"/>
        </w:rPr>
        <w:tab/>
        <w:t>„pohonná jednotka“: pohon kormidelního stroje, mezi zdrojem energie a kormidelním strojem;</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5.5</w:t>
      </w:r>
      <w:r w:rsidRPr="003B6E11">
        <w:rPr>
          <w:lang w:val="cs-CZ"/>
        </w:rPr>
        <w:tab/>
        <w:t>(ponecháno volné);</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5.6</w:t>
      </w:r>
      <w:r w:rsidRPr="003B6E11">
        <w:rPr>
          <w:lang w:val="cs-CZ"/>
        </w:rPr>
        <w:tab/>
        <w:t>„ovládací prvky řízení“: konstrukční prvky a obvody k ovládání motorové pohonné jednotky kormidelního stroje;</w:t>
      </w:r>
    </w:p>
    <w:p w:rsidR="009A1D30" w:rsidRPr="003B6E11" w:rsidRDefault="009A1D30" w:rsidP="00511BF6">
      <w:pPr>
        <w:pStyle w:val="ESch"/>
        <w:rPr>
          <w:rFonts w:cs="Arial"/>
          <w:szCs w:val="20"/>
          <w:lang w:val="cs-CZ"/>
        </w:rPr>
      </w:pPr>
    </w:p>
    <w:p w:rsidR="008D24FF" w:rsidRPr="003B6E11" w:rsidRDefault="008D24FF">
      <w:pPr>
        <w:rPr>
          <w:rFonts w:cs="Arial"/>
          <w:szCs w:val="20"/>
          <w:lang w:val="cs-CZ"/>
        </w:rPr>
      </w:pPr>
      <w:r w:rsidRPr="003B6E11">
        <w:rPr>
          <w:lang w:val="cs-CZ"/>
        </w:rPr>
        <w:br w:type="page"/>
      </w:r>
    </w:p>
    <w:p w:rsidR="008D24FF" w:rsidRPr="003B6E11" w:rsidRDefault="008D24FF" w:rsidP="00511BF6">
      <w:pPr>
        <w:pStyle w:val="ESch"/>
        <w:rPr>
          <w:rFonts w:cs="Arial"/>
          <w:szCs w:val="20"/>
          <w:lang w:val="cs-CZ"/>
        </w:rPr>
      </w:pPr>
    </w:p>
    <w:p w:rsidR="00DE4417" w:rsidRPr="003B6E11" w:rsidRDefault="00DE4417" w:rsidP="00511BF6">
      <w:pPr>
        <w:pStyle w:val="ESch"/>
        <w:rPr>
          <w:lang w:val="cs-CZ"/>
        </w:rPr>
      </w:pPr>
      <w:r w:rsidRPr="003B6E11">
        <w:rPr>
          <w:lang w:val="cs-CZ"/>
        </w:rPr>
        <w:t>5.7</w:t>
      </w:r>
      <w:r w:rsidRPr="003B6E11">
        <w:rPr>
          <w:lang w:val="cs-CZ"/>
        </w:rPr>
        <w:tab/>
        <w:t>„pohonná jednotka kormidelního stroje“: ovládání kormidelního stroje, jeho pohonná jednotka a její zdroj energie;</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5.8</w:t>
      </w:r>
      <w:r w:rsidRPr="003B6E11">
        <w:rPr>
          <w:lang w:val="cs-CZ"/>
        </w:rPr>
        <w:tab/>
        <w:t>„ruční pohon“: systém, při němž je pohyb kormidla zajištěn ručním kolem pomocí mechanického převodu sil bez dodatečného zdroje energie;</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5.9</w:t>
      </w:r>
      <w:r w:rsidRPr="003B6E11">
        <w:rPr>
          <w:lang w:val="cs-CZ"/>
        </w:rPr>
        <w:tab/>
        <w:t>„ručně ovládaný hydraulický pohon“: ručně ovládaná činnost hydraulického silového převodu;</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5.10</w:t>
      </w:r>
      <w:r w:rsidRPr="003B6E11">
        <w:rPr>
          <w:lang w:val="cs-CZ"/>
        </w:rPr>
        <w:tab/>
        <w:t>„regulátor rychlosti otáčení“: zařízení, které automaticky zajišťuje a udržuje danou rychlost otáčení lodi podle předem vybraných hodnot;</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5.11</w:t>
      </w:r>
      <w:r w:rsidRPr="003B6E11">
        <w:rPr>
          <w:lang w:val="cs-CZ"/>
        </w:rPr>
        <w:tab/>
        <w:t>„kormidelna uspořádaná k vedení plavidla pomocí radaru jednou osobou“: kormidelna zařízená tak, aby loď mohla být při plavbě s pomocí radaru vedena jednou osobou;</w:t>
      </w:r>
    </w:p>
    <w:p w:rsidR="009A1D30" w:rsidRPr="003B6E11" w:rsidRDefault="009A1D30" w:rsidP="008D24FF">
      <w:pPr>
        <w:pStyle w:val="ESch"/>
        <w:rPr>
          <w:lang w:val="cs-CZ"/>
        </w:rPr>
      </w:pPr>
    </w:p>
    <w:p w:rsidR="008D24FF" w:rsidRPr="003B6E11" w:rsidRDefault="008D24FF" w:rsidP="008D24FF">
      <w:pPr>
        <w:pStyle w:val="ESch"/>
        <w:rPr>
          <w:lang w:val="cs-CZ"/>
        </w:rPr>
      </w:pPr>
    </w:p>
    <w:p w:rsidR="00DE4417" w:rsidRPr="003B6E11" w:rsidRDefault="00DE4417" w:rsidP="00511BF6">
      <w:pPr>
        <w:pStyle w:val="ESch"/>
        <w:rPr>
          <w:b/>
          <w:lang w:val="cs-CZ"/>
        </w:rPr>
      </w:pPr>
      <w:r w:rsidRPr="003B6E11">
        <w:rPr>
          <w:b/>
          <w:lang w:val="cs-CZ"/>
        </w:rPr>
        <w:t>6.</w:t>
      </w:r>
      <w:r w:rsidRPr="003B6E11">
        <w:rPr>
          <w:lang w:val="cs-CZ"/>
        </w:rPr>
        <w:tab/>
      </w:r>
      <w:r w:rsidRPr="003B6E11">
        <w:rPr>
          <w:b/>
          <w:lang w:val="cs-CZ"/>
        </w:rPr>
        <w:t>Vlastnosti konstrukčních prvků a materiálů</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6.1</w:t>
      </w:r>
      <w:r w:rsidRPr="003B6E11">
        <w:rPr>
          <w:lang w:val="cs-CZ"/>
        </w:rPr>
        <w:tab/>
        <w:t>„vodotěsný“: konstrukční prvek nebo zařízení uzpůsobené tak, že zabraňují průniku vody;</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6.2</w:t>
      </w:r>
      <w:r w:rsidRPr="003B6E11">
        <w:rPr>
          <w:lang w:val="cs-CZ"/>
        </w:rPr>
        <w:tab/>
        <w:t>„odolný vůči stříkající vodě a povětrnostním vlivům“: konstrukční prvek nebo zařízení uzpůsobené tak, že za běžných okolností dovolují proniknout jen velmi malému množství vody;</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6.3</w:t>
      </w:r>
      <w:r w:rsidRPr="003B6E11">
        <w:rPr>
          <w:lang w:val="cs-CZ"/>
        </w:rPr>
        <w:tab/>
        <w:t>„plynotěsný“: konstrukční prvek nebo zařízení uzpůsobené tak, že zabraňují průniku plynu a par;</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6.4</w:t>
      </w:r>
      <w:r w:rsidRPr="003B6E11">
        <w:rPr>
          <w:lang w:val="cs-CZ"/>
        </w:rPr>
        <w:tab/>
        <w:t>„nehořlavý“: látka, která nehoří ani nevytváří hořlavé páry v takových množstvích, jež by se při zahřátí na přibližně 750 °C samy vznítily;</w:t>
      </w:r>
    </w:p>
    <w:p w:rsidR="009A1D30" w:rsidRPr="003B6E11" w:rsidRDefault="009A1D30" w:rsidP="00511BF6">
      <w:pPr>
        <w:pStyle w:val="ESch"/>
        <w:rPr>
          <w:rFonts w:cs="Arial"/>
          <w:szCs w:val="20"/>
          <w:lang w:val="cs-CZ"/>
        </w:rPr>
      </w:pPr>
    </w:p>
    <w:p w:rsidR="00DE4417" w:rsidRPr="003B6E11" w:rsidRDefault="00DE4417" w:rsidP="00511BF6">
      <w:pPr>
        <w:pStyle w:val="ESch"/>
        <w:rPr>
          <w:lang w:val="cs-CZ"/>
        </w:rPr>
      </w:pPr>
      <w:r w:rsidRPr="003B6E11">
        <w:rPr>
          <w:lang w:val="cs-CZ"/>
        </w:rPr>
        <w:t>6.5</w:t>
      </w:r>
      <w:r w:rsidRPr="003B6E11">
        <w:rPr>
          <w:lang w:val="cs-CZ"/>
        </w:rPr>
        <w:tab/>
        <w:t>„zpomalující hoření“: materiál, který se nevzněcuje snadno nebo přinejmenším jehož povrch omezuje šíření plamenů, zkoušený podle zkušebního postupu uvedeného v čl. 19.11 odst. 1 písm. c);</w:t>
      </w:r>
    </w:p>
    <w:p w:rsidR="009A1D30" w:rsidRPr="003B6E11" w:rsidRDefault="009A1D30" w:rsidP="00511BF6">
      <w:pPr>
        <w:pStyle w:val="ESch"/>
        <w:rPr>
          <w:rFonts w:cs="Arial"/>
          <w:szCs w:val="20"/>
          <w:lang w:val="cs-CZ"/>
        </w:rPr>
      </w:pPr>
    </w:p>
    <w:p w:rsidR="00BF3595" w:rsidRPr="003B6E11" w:rsidRDefault="00BF3595" w:rsidP="00BF3595">
      <w:pPr>
        <w:pStyle w:val="ESch"/>
        <w:rPr>
          <w:lang w:val="cs-CZ"/>
        </w:rPr>
      </w:pPr>
      <w:r w:rsidRPr="003B6E11">
        <w:rPr>
          <w:lang w:val="cs-CZ"/>
        </w:rPr>
        <w:t>6.6</w:t>
      </w:r>
      <w:r w:rsidRPr="003B6E11">
        <w:rPr>
          <w:lang w:val="cs-CZ"/>
        </w:rPr>
        <w:tab/>
        <w:t>„samozhášecí“: vlastnost hořící látky, jež se sama nebo z vlastního podnětu během krátké doby po odstranění zdroje zapálení uhasí, tj. přestane hořet;</w:t>
      </w:r>
    </w:p>
    <w:p w:rsidR="00BF3595" w:rsidRPr="003B6E11" w:rsidRDefault="00BF3595" w:rsidP="00BF3595">
      <w:pPr>
        <w:pStyle w:val="ESch"/>
        <w:ind w:left="0" w:firstLine="0"/>
        <w:rPr>
          <w:rFonts w:cs="Arial"/>
          <w:szCs w:val="20"/>
          <w:lang w:val="cs-CZ"/>
        </w:rPr>
      </w:pPr>
    </w:p>
    <w:p w:rsidR="00DE4417" w:rsidRPr="003B6E11" w:rsidRDefault="00BF3595" w:rsidP="00511BF6">
      <w:pPr>
        <w:pStyle w:val="ESch"/>
        <w:rPr>
          <w:lang w:val="cs-CZ"/>
        </w:rPr>
      </w:pPr>
      <w:r w:rsidRPr="003B6E11">
        <w:rPr>
          <w:lang w:val="cs-CZ"/>
        </w:rPr>
        <w:t>6.7</w:t>
      </w:r>
      <w:r w:rsidRPr="003B6E11">
        <w:rPr>
          <w:lang w:val="cs-CZ"/>
        </w:rPr>
        <w:tab/>
        <w:t>„ohnivzdornost“: vlastnost konstrukčních prvků nebo zařízení osvědčená zkušebním postupem podle čl. 19.11 odst. 1 písm. d);</w:t>
      </w:r>
    </w:p>
    <w:p w:rsidR="009A1D30" w:rsidRPr="003B6E11" w:rsidRDefault="009A1D30" w:rsidP="00511BF6">
      <w:pPr>
        <w:pStyle w:val="ESch"/>
        <w:rPr>
          <w:rFonts w:cs="Arial"/>
          <w:szCs w:val="20"/>
          <w:lang w:val="cs-CZ"/>
        </w:rPr>
      </w:pPr>
    </w:p>
    <w:p w:rsidR="00DE4417" w:rsidRPr="003B6E11" w:rsidRDefault="00BF3595" w:rsidP="00511BF6">
      <w:pPr>
        <w:pStyle w:val="ESch"/>
        <w:rPr>
          <w:rFonts w:cs="Arial"/>
          <w:szCs w:val="20"/>
          <w:lang w:val="cs-CZ"/>
        </w:rPr>
      </w:pPr>
      <w:r w:rsidRPr="003B6E11">
        <w:rPr>
          <w:lang w:val="cs-CZ"/>
        </w:rPr>
        <w:t>6.8</w:t>
      </w:r>
      <w:r w:rsidRPr="003B6E11">
        <w:rPr>
          <w:lang w:val="cs-CZ"/>
        </w:rPr>
        <w:tab/>
        <w:t>„předpis pro provádění požárních zkoušek“: mezinárodní předpis pro provádění požárních zkoušek podle usnesení MSC.307(88)</w:t>
      </w:r>
      <w:r w:rsidRPr="003B6E11">
        <w:rPr>
          <w:vertAlign w:val="superscript"/>
          <w:lang w:val="cs-CZ"/>
        </w:rPr>
        <w:footnoteReference w:id="1"/>
      </w:r>
      <w:r w:rsidRPr="003B6E11">
        <w:rPr>
          <w:lang w:val="cs-CZ"/>
        </w:rPr>
        <w:t xml:space="preserve"> Výboru pro námořní bezpečnost Mezinárodní námořní organizace (IMO);</w:t>
      </w:r>
    </w:p>
    <w:p w:rsidR="009A1D30" w:rsidRPr="003B6E11" w:rsidRDefault="009A1D30" w:rsidP="00511BF6">
      <w:pPr>
        <w:pStyle w:val="ESch"/>
        <w:rPr>
          <w:rFonts w:cs="Arial"/>
          <w:szCs w:val="20"/>
          <w:lang w:val="cs-CZ"/>
        </w:rPr>
      </w:pPr>
    </w:p>
    <w:p w:rsidR="009A1D30" w:rsidRPr="003B6E11" w:rsidRDefault="009A1D30" w:rsidP="00511BF6">
      <w:pPr>
        <w:pStyle w:val="ESch"/>
        <w:rPr>
          <w:rFonts w:cs="Arial"/>
          <w:szCs w:val="20"/>
          <w:lang w:val="cs-CZ"/>
        </w:rPr>
      </w:pPr>
    </w:p>
    <w:p w:rsidR="009A1D30" w:rsidRPr="003B6E11" w:rsidRDefault="009A1D30" w:rsidP="00511BF6">
      <w:pPr>
        <w:pStyle w:val="ESch"/>
        <w:rPr>
          <w:lang w:val="cs-CZ"/>
        </w:rPr>
      </w:pPr>
      <w:r w:rsidRPr="003B6E11">
        <w:rPr>
          <w:b/>
          <w:lang w:val="cs-CZ"/>
        </w:rPr>
        <w:t>7.</w:t>
      </w:r>
      <w:r w:rsidRPr="003B6E11">
        <w:rPr>
          <w:lang w:val="cs-CZ"/>
        </w:rPr>
        <w:tab/>
      </w:r>
      <w:r w:rsidRPr="003B6E11">
        <w:rPr>
          <w:b/>
          <w:lang w:val="cs-CZ"/>
        </w:rPr>
        <w:t>Signální světla, navigační a informační zařízení</w:t>
      </w:r>
    </w:p>
    <w:p w:rsidR="009A1D30" w:rsidRPr="003B6E11" w:rsidRDefault="009A1D30" w:rsidP="00511BF6">
      <w:pPr>
        <w:pStyle w:val="ESch"/>
        <w:rPr>
          <w:rFonts w:cs="Arial"/>
          <w:szCs w:val="20"/>
          <w:lang w:val="cs-CZ"/>
        </w:rPr>
      </w:pPr>
    </w:p>
    <w:p w:rsidR="009A1D30" w:rsidRPr="003B6E11" w:rsidRDefault="009A1D30" w:rsidP="003B0440">
      <w:pPr>
        <w:pStyle w:val="ESch"/>
        <w:rPr>
          <w:lang w:val="cs-CZ"/>
        </w:rPr>
      </w:pPr>
      <w:r w:rsidRPr="003B6E11">
        <w:rPr>
          <w:lang w:val="cs-CZ"/>
        </w:rPr>
        <w:t>7.1</w:t>
      </w:r>
      <w:r w:rsidRPr="003B6E11">
        <w:rPr>
          <w:lang w:val="cs-CZ"/>
        </w:rPr>
        <w:tab/>
        <w:t>„signální světla“: světlo z navigačních světel sloužící k označení lodí;</w:t>
      </w:r>
    </w:p>
    <w:p w:rsidR="009A1D30" w:rsidRPr="003B6E11" w:rsidRDefault="009A1D30" w:rsidP="00511BF6">
      <w:pPr>
        <w:pStyle w:val="ESch"/>
        <w:rPr>
          <w:rFonts w:cs="Arial"/>
          <w:szCs w:val="20"/>
          <w:lang w:val="cs-CZ"/>
        </w:rPr>
      </w:pPr>
    </w:p>
    <w:p w:rsidR="009A1D30" w:rsidRPr="003B6E11" w:rsidRDefault="009A1D30" w:rsidP="00511BF6">
      <w:pPr>
        <w:pStyle w:val="ESch"/>
        <w:rPr>
          <w:lang w:val="cs-CZ"/>
        </w:rPr>
      </w:pPr>
      <w:r w:rsidRPr="003B6E11">
        <w:rPr>
          <w:lang w:val="cs-CZ"/>
        </w:rPr>
        <w:t>7.2</w:t>
      </w:r>
      <w:r w:rsidRPr="003B6E11">
        <w:rPr>
          <w:lang w:val="cs-CZ"/>
        </w:rPr>
        <w:tab/>
        <w:t>„světelné signály“: světlo používané k doplnění optických nebo akustických signálů;</w:t>
      </w:r>
    </w:p>
    <w:p w:rsidR="009A1D30" w:rsidRPr="003B6E11" w:rsidRDefault="009A1D30" w:rsidP="00511BF6">
      <w:pPr>
        <w:pStyle w:val="ESch"/>
        <w:rPr>
          <w:rFonts w:cs="Arial"/>
          <w:szCs w:val="20"/>
          <w:lang w:val="cs-CZ"/>
        </w:rPr>
      </w:pPr>
    </w:p>
    <w:p w:rsidR="008D24FF" w:rsidRPr="003B6E11" w:rsidRDefault="008D24FF">
      <w:pPr>
        <w:rPr>
          <w:rFonts w:cs="Arial"/>
          <w:szCs w:val="20"/>
          <w:lang w:val="cs-CZ"/>
        </w:rPr>
      </w:pPr>
      <w:r w:rsidRPr="003B6E11">
        <w:rPr>
          <w:lang w:val="cs-CZ"/>
        </w:rPr>
        <w:br w:type="page"/>
      </w:r>
    </w:p>
    <w:p w:rsidR="008D24FF" w:rsidRPr="003B6E11" w:rsidRDefault="008D24FF" w:rsidP="00511BF6">
      <w:pPr>
        <w:pStyle w:val="ESch"/>
        <w:rPr>
          <w:rFonts w:cs="Arial"/>
          <w:szCs w:val="20"/>
          <w:lang w:val="cs-CZ"/>
        </w:rPr>
      </w:pPr>
    </w:p>
    <w:p w:rsidR="009A1D30" w:rsidRPr="003B6E11" w:rsidRDefault="009A1D30" w:rsidP="003B0440">
      <w:pPr>
        <w:pStyle w:val="ESch"/>
        <w:rPr>
          <w:lang w:val="cs-CZ"/>
        </w:rPr>
      </w:pPr>
      <w:r w:rsidRPr="003B6E11">
        <w:rPr>
          <w:lang w:val="cs-CZ"/>
        </w:rPr>
        <w:t>7.3</w:t>
      </w:r>
      <w:r w:rsidRPr="003B6E11">
        <w:rPr>
          <w:lang w:val="cs-CZ"/>
        </w:rPr>
        <w:tab/>
        <w:t>„navigační radarové zařízení“: elektronické navigační zařízení ke zjišťování a zobrazování okolí a dopravního provozu;</w:t>
      </w:r>
    </w:p>
    <w:p w:rsidR="009A1D30" w:rsidRPr="003B6E11" w:rsidRDefault="009A1D30" w:rsidP="00511BF6">
      <w:pPr>
        <w:pStyle w:val="ESch"/>
        <w:rPr>
          <w:rFonts w:cs="Arial"/>
          <w:szCs w:val="20"/>
          <w:lang w:val="cs-CZ"/>
        </w:rPr>
      </w:pPr>
    </w:p>
    <w:p w:rsidR="009A1D30" w:rsidRPr="003B6E11" w:rsidRDefault="009A1D30" w:rsidP="00511BF6">
      <w:pPr>
        <w:pStyle w:val="ESch"/>
        <w:rPr>
          <w:lang w:val="cs-CZ"/>
        </w:rPr>
      </w:pPr>
      <w:r w:rsidRPr="003B6E11">
        <w:rPr>
          <w:lang w:val="cs-CZ"/>
        </w:rPr>
        <w:t>7.4</w:t>
      </w:r>
      <w:r w:rsidRPr="003B6E11">
        <w:rPr>
          <w:lang w:val="cs-CZ"/>
        </w:rPr>
        <w:tab/>
        <w:t xml:space="preserve">„vnitrozemský ECDIS“: systém </w:t>
      </w:r>
      <w:r w:rsidRPr="003B6E11">
        <w:rPr>
          <w:color w:val="000000"/>
          <w:lang w:val="cs-CZ"/>
        </w:rPr>
        <w:t>používaný ve smyslu současné normy pro vnitrozemský ECDIS</w:t>
      </w:r>
      <w:r w:rsidRPr="003B6E11">
        <w:rPr>
          <w:lang w:val="cs-CZ"/>
        </w:rPr>
        <w:t xml:space="preserve"> k zobrazování elektronických plavebních map pro vnitrozemskou plavbu a souvisejících informací, který zobrazuje vybrané informace z autorizovaných elektronických plavebních map vnitrozemských vodních cest a volitelně informace z jiných čidel plavidla;</w:t>
      </w:r>
    </w:p>
    <w:p w:rsidR="009A1D30" w:rsidRPr="003B6E11" w:rsidRDefault="009A1D30" w:rsidP="00511BF6">
      <w:pPr>
        <w:pStyle w:val="ESch"/>
        <w:rPr>
          <w:rFonts w:cs="Arial"/>
          <w:szCs w:val="20"/>
          <w:lang w:val="cs-CZ"/>
        </w:rPr>
      </w:pPr>
    </w:p>
    <w:p w:rsidR="009A1D30" w:rsidRPr="003B6E11" w:rsidRDefault="009A1D30" w:rsidP="00511BF6">
      <w:pPr>
        <w:pStyle w:val="ESch"/>
        <w:rPr>
          <w:lang w:val="cs-CZ"/>
        </w:rPr>
      </w:pPr>
      <w:r w:rsidRPr="003B6E11">
        <w:rPr>
          <w:lang w:val="cs-CZ"/>
        </w:rPr>
        <w:t>7.5</w:t>
      </w:r>
      <w:r w:rsidRPr="003B6E11">
        <w:rPr>
          <w:lang w:val="cs-CZ"/>
        </w:rPr>
        <w:tab/>
        <w:t>„zařízení pro vnitrozemský ECDIS“: zařízení k zobrazování elektronických plavebních map vnitrozemských vodních cest, které může pracovat ve dvou režimech: informační režim a navigační režim;</w:t>
      </w:r>
    </w:p>
    <w:p w:rsidR="009A1D30" w:rsidRPr="003B6E11" w:rsidRDefault="009A1D30" w:rsidP="00511BF6">
      <w:pPr>
        <w:pStyle w:val="ESch"/>
        <w:rPr>
          <w:rFonts w:cs="Arial"/>
          <w:szCs w:val="20"/>
          <w:lang w:val="cs-CZ"/>
        </w:rPr>
      </w:pPr>
    </w:p>
    <w:p w:rsidR="009A1D30" w:rsidRPr="003B6E11" w:rsidRDefault="009A1D30" w:rsidP="00511BF6">
      <w:pPr>
        <w:pStyle w:val="ESch"/>
        <w:rPr>
          <w:lang w:val="cs-CZ"/>
        </w:rPr>
      </w:pPr>
      <w:r w:rsidRPr="003B6E11">
        <w:rPr>
          <w:lang w:val="cs-CZ"/>
        </w:rPr>
        <w:t>7.6</w:t>
      </w:r>
      <w:r w:rsidRPr="003B6E11">
        <w:rPr>
          <w:lang w:val="cs-CZ"/>
        </w:rPr>
        <w:tab/>
        <w:t>„informační režim“: využití vnitrozemského ECDIS pouze pro informační účely bez překrytí radarovým snímkem;</w:t>
      </w:r>
    </w:p>
    <w:p w:rsidR="009A1D30" w:rsidRPr="003B6E11" w:rsidRDefault="009A1D30" w:rsidP="00511BF6">
      <w:pPr>
        <w:pStyle w:val="ESch"/>
        <w:rPr>
          <w:rFonts w:cs="Arial"/>
          <w:szCs w:val="20"/>
          <w:lang w:val="cs-CZ"/>
        </w:rPr>
      </w:pPr>
    </w:p>
    <w:p w:rsidR="009A1D30" w:rsidRPr="003B6E11" w:rsidRDefault="009A1D30" w:rsidP="00511BF6">
      <w:pPr>
        <w:pStyle w:val="ESch"/>
        <w:rPr>
          <w:rFonts w:cs="Arial"/>
          <w:szCs w:val="20"/>
          <w:lang w:val="cs-CZ"/>
        </w:rPr>
      </w:pPr>
      <w:r w:rsidRPr="003B6E11">
        <w:rPr>
          <w:lang w:val="cs-CZ"/>
        </w:rPr>
        <w:t>7.7</w:t>
      </w:r>
      <w:r w:rsidRPr="003B6E11">
        <w:rPr>
          <w:lang w:val="cs-CZ"/>
        </w:rPr>
        <w:tab/>
        <w:t>„navigační režim“: využití vnitrozemského ECDIS k řízení plavidla s překrytím radarovým snímkem;</w:t>
      </w:r>
    </w:p>
    <w:p w:rsidR="009A1D30" w:rsidRPr="003B6E11" w:rsidRDefault="009A1D30" w:rsidP="00511BF6">
      <w:pPr>
        <w:pStyle w:val="ESch"/>
        <w:rPr>
          <w:rFonts w:cs="Arial"/>
          <w:szCs w:val="20"/>
          <w:lang w:val="cs-CZ"/>
        </w:rPr>
      </w:pPr>
    </w:p>
    <w:p w:rsidR="009A1D30" w:rsidRPr="003B6E11" w:rsidRDefault="009A1D30" w:rsidP="003B0440">
      <w:pPr>
        <w:pStyle w:val="ESch"/>
        <w:rPr>
          <w:color w:val="000000"/>
          <w:lang w:val="cs-CZ"/>
        </w:rPr>
      </w:pPr>
      <w:r w:rsidRPr="003B6E11">
        <w:rPr>
          <w:lang w:val="cs-CZ"/>
        </w:rPr>
        <w:t>7.8</w:t>
      </w:r>
      <w:r w:rsidRPr="003B6E11">
        <w:rPr>
          <w:lang w:val="cs-CZ"/>
        </w:rPr>
        <w:tab/>
        <w:t>„zařízení pro vnitrozemský AIS“: zařízení instalované na palubě lodi a používané ve smyslu stávající normy VTT;</w:t>
      </w:r>
    </w:p>
    <w:p w:rsidR="009A1D30" w:rsidRPr="003B6E11" w:rsidRDefault="009A1D30" w:rsidP="00511BF6">
      <w:pPr>
        <w:pStyle w:val="ESch"/>
        <w:rPr>
          <w:rFonts w:cs="Arial"/>
          <w:color w:val="000000"/>
          <w:szCs w:val="20"/>
          <w:lang w:val="cs-CZ"/>
        </w:rPr>
      </w:pPr>
    </w:p>
    <w:p w:rsidR="00881510" w:rsidRPr="003B6E11" w:rsidRDefault="008D24FF" w:rsidP="00881510">
      <w:pPr>
        <w:adjustRightInd w:val="0"/>
        <w:ind w:left="567" w:hanging="567"/>
        <w:rPr>
          <w:rFonts w:ascii="ArialMT" w:eastAsiaTheme="minorEastAsia" w:hAnsi="ArialMT" w:cs="ArialMT"/>
          <w:szCs w:val="20"/>
          <w:lang w:val="cs-CZ"/>
        </w:rPr>
      </w:pPr>
      <w:r w:rsidRPr="003B6E11">
        <w:rPr>
          <w:rFonts w:ascii="ArialMT" w:hAnsi="ArialMT"/>
          <w:lang w:val="cs-CZ"/>
        </w:rPr>
        <w:t>7.9</w:t>
      </w:r>
      <w:r w:rsidRPr="003B6E11">
        <w:rPr>
          <w:lang w:val="cs-CZ"/>
        </w:rPr>
        <w:tab/>
        <w:t>„</w:t>
      </w:r>
      <w:r w:rsidRPr="003B6E11">
        <w:rPr>
          <w:rFonts w:ascii="ArialMT" w:hAnsi="ArialMT"/>
          <w:spacing w:val="-2"/>
          <w:lang w:val="cs-CZ"/>
        </w:rPr>
        <w:t>norma VTT</w:t>
      </w:r>
      <w:r w:rsidRPr="003B6E11">
        <w:rPr>
          <w:lang w:val="cs-CZ"/>
        </w:rPr>
        <w:t xml:space="preserve">“: </w:t>
      </w:r>
      <w:r w:rsidRPr="003B6E11">
        <w:rPr>
          <w:rFonts w:ascii="ArialMT" w:hAnsi="ArialMT"/>
          <w:spacing w:val="-2"/>
          <w:lang w:val="cs-CZ"/>
        </w:rPr>
        <w:t>norma Ústřední komise pro plavbu na Rýně (CCNR) týkající se sledování polohy a pohybu plavidel pro vnitrozemskou plavbu („Vessel Tracking and Tracing Standard for Inland Navigation“), vydání 1.2</w:t>
      </w:r>
      <w:r w:rsidRPr="003B6E11">
        <w:rPr>
          <w:rStyle w:val="FootnoteReference"/>
          <w:rFonts w:ascii="ArialMT" w:eastAsiaTheme="minorEastAsia" w:hAnsi="ArialMT"/>
          <w:spacing w:val="-2"/>
          <w:lang w:val="cs-CZ"/>
        </w:rPr>
        <w:footnoteReference w:id="2"/>
      </w:r>
      <w:r w:rsidRPr="003B6E11">
        <w:rPr>
          <w:rFonts w:ascii="ArialMT" w:hAnsi="ArialMT"/>
          <w:spacing w:val="-2"/>
          <w:lang w:val="cs-CZ"/>
        </w:rPr>
        <w:t>, nebo technické specifikace vymezené prováděcím nařízením (EU) č. 689/2012</w:t>
      </w:r>
      <w:r w:rsidRPr="003B6E11">
        <w:rPr>
          <w:rStyle w:val="FootnoteReference"/>
          <w:rFonts w:ascii="ArialMT" w:eastAsiaTheme="minorEastAsia" w:hAnsi="ArialMT"/>
          <w:spacing w:val="-2"/>
          <w:lang w:val="cs-CZ"/>
        </w:rPr>
        <w:footnoteReference w:id="3"/>
      </w:r>
      <w:r w:rsidRPr="003B6E11">
        <w:rPr>
          <w:rFonts w:ascii="ArialMT" w:hAnsi="ArialMT"/>
          <w:spacing w:val="-2"/>
          <w:lang w:val="cs-CZ"/>
        </w:rPr>
        <w:t>;</w:t>
      </w:r>
    </w:p>
    <w:p w:rsidR="00881510" w:rsidRPr="003B6E11" w:rsidRDefault="00881510" w:rsidP="00881510">
      <w:pPr>
        <w:adjustRightInd w:val="0"/>
        <w:ind w:left="567" w:hanging="567"/>
        <w:rPr>
          <w:rFonts w:ascii="ArialMT" w:eastAsiaTheme="minorEastAsia" w:hAnsi="ArialMT" w:cs="ArialMT"/>
          <w:szCs w:val="20"/>
          <w:lang w:val="cs-CZ"/>
        </w:rPr>
      </w:pPr>
    </w:p>
    <w:p w:rsidR="00881510" w:rsidRPr="003B6E11" w:rsidRDefault="008D24FF" w:rsidP="00881510">
      <w:pPr>
        <w:adjustRightInd w:val="0"/>
        <w:ind w:left="567" w:hanging="567"/>
        <w:rPr>
          <w:rFonts w:ascii="ArialMT" w:hAnsi="ArialMT"/>
          <w:szCs w:val="20"/>
          <w:lang w:val="cs-CZ"/>
        </w:rPr>
      </w:pPr>
      <w:r w:rsidRPr="003B6E11">
        <w:rPr>
          <w:rFonts w:ascii="ArialMT" w:hAnsi="ArialMT"/>
          <w:lang w:val="cs-CZ"/>
        </w:rPr>
        <w:t>7.10</w:t>
      </w:r>
      <w:r w:rsidRPr="003B6E11">
        <w:rPr>
          <w:lang w:val="cs-CZ"/>
        </w:rPr>
        <w:tab/>
        <w:t>„</w:t>
      </w:r>
      <w:r w:rsidRPr="003B6E11">
        <w:rPr>
          <w:rFonts w:ascii="ArialMT" w:hAnsi="ArialMT"/>
          <w:lang w:val="cs-CZ"/>
        </w:rPr>
        <w:t>norma pro vnitrozemský ECDIS</w:t>
      </w:r>
      <w:r w:rsidRPr="003B6E11">
        <w:rPr>
          <w:lang w:val="cs-CZ"/>
        </w:rPr>
        <w:t>“</w:t>
      </w:r>
      <w:r w:rsidRPr="003B6E11">
        <w:rPr>
          <w:rFonts w:ascii="ArialMT" w:hAnsi="ArialMT"/>
          <w:lang w:val="cs-CZ"/>
        </w:rPr>
        <w:t>: norma Ústřední komise pro plavbu na Rýně (CCNR) týkající se systému k zobrazování elektronických plavebních map a informací pro vnitrozemskou plavbu („Electronic Chart Display and Information System for Inland Navigation“), vydání 2.3</w:t>
      </w:r>
      <w:r w:rsidRPr="003B6E11">
        <w:rPr>
          <w:rStyle w:val="FootnoteReference"/>
          <w:rFonts w:ascii="ArialMT" w:eastAsiaTheme="minorEastAsia" w:hAnsi="ArialMT"/>
          <w:lang w:val="cs-CZ"/>
        </w:rPr>
        <w:footnoteReference w:id="4"/>
      </w:r>
      <w:r w:rsidRPr="003B6E11">
        <w:rPr>
          <w:rFonts w:ascii="ArialMT" w:hAnsi="ArialMT"/>
          <w:lang w:val="cs-CZ"/>
        </w:rPr>
        <w:t>, nebo technické specifikace vymezené prováděcím nařízením (EU) č. 909/2013</w:t>
      </w:r>
      <w:r w:rsidRPr="003B6E11">
        <w:rPr>
          <w:rStyle w:val="FootnoteReference"/>
          <w:rFonts w:ascii="ArialMT" w:eastAsiaTheme="minorEastAsia" w:hAnsi="ArialMT"/>
          <w:lang w:val="cs-CZ"/>
        </w:rPr>
        <w:footnoteReference w:id="5"/>
      </w:r>
      <w:r w:rsidRPr="003B6E11">
        <w:rPr>
          <w:rFonts w:ascii="ArialMT" w:hAnsi="ArialMT"/>
          <w:lang w:val="cs-CZ"/>
        </w:rPr>
        <w:t>;</w:t>
      </w:r>
    </w:p>
    <w:p w:rsidR="00FA4437" w:rsidRPr="003B6E11" w:rsidRDefault="00FA4437" w:rsidP="00881510">
      <w:pPr>
        <w:adjustRightInd w:val="0"/>
        <w:ind w:left="567" w:hanging="567"/>
        <w:rPr>
          <w:rFonts w:ascii="ArialMT" w:hAnsi="ArialMT"/>
          <w:szCs w:val="20"/>
          <w:lang w:val="cs-CZ"/>
        </w:rPr>
      </w:pPr>
    </w:p>
    <w:p w:rsidR="00FA4437" w:rsidRPr="003B6E11" w:rsidRDefault="00FA4437" w:rsidP="003B0440">
      <w:pPr>
        <w:pStyle w:val="ESch"/>
        <w:rPr>
          <w:lang w:val="cs-CZ"/>
        </w:rPr>
      </w:pPr>
      <w:r w:rsidRPr="003B6E11">
        <w:rPr>
          <w:lang w:val="cs-CZ"/>
        </w:rPr>
        <w:t>7.11</w:t>
      </w:r>
      <w:r w:rsidRPr="003B6E11">
        <w:rPr>
          <w:lang w:val="cs-CZ"/>
        </w:rPr>
        <w:tab/>
        <w:t>„zkušební norma pro vnitrozemský AIS“: zkušební norma Evropského výboru pro vypracování norem pro vnitrozemskou plavbu (CESNI) pro vnitrozemský AIS, vydání 2.0</w:t>
      </w:r>
      <w:r w:rsidRPr="003B6E11">
        <w:rPr>
          <w:vertAlign w:val="superscript"/>
          <w:lang w:val="cs-CZ"/>
        </w:rPr>
        <w:footnoteReference w:id="6"/>
      </w:r>
      <w:r w:rsidRPr="003B6E11">
        <w:rPr>
          <w:lang w:val="cs-CZ"/>
        </w:rPr>
        <w:t>;</w:t>
      </w:r>
    </w:p>
    <w:p w:rsidR="008D24FF" w:rsidRPr="003B6E11" w:rsidRDefault="008D24FF" w:rsidP="00511BF6">
      <w:pPr>
        <w:pStyle w:val="ESch"/>
        <w:rPr>
          <w:lang w:val="cs-CZ"/>
        </w:rPr>
      </w:pPr>
    </w:p>
    <w:p w:rsidR="003971A3" w:rsidRPr="003B6E11" w:rsidRDefault="003971A3" w:rsidP="00511BF6">
      <w:pPr>
        <w:pStyle w:val="ESch"/>
        <w:rPr>
          <w:lang w:val="cs-CZ"/>
        </w:rPr>
      </w:pPr>
    </w:p>
    <w:p w:rsidR="009A1D30" w:rsidRPr="003B6E11" w:rsidRDefault="009A1D30" w:rsidP="00511BF6">
      <w:pPr>
        <w:pStyle w:val="ESch"/>
        <w:rPr>
          <w:rFonts w:cs="Arial"/>
          <w:b/>
          <w:color w:val="000000"/>
          <w:szCs w:val="20"/>
          <w:lang w:val="cs-CZ"/>
        </w:rPr>
      </w:pPr>
      <w:r w:rsidRPr="003B6E11">
        <w:rPr>
          <w:b/>
          <w:color w:val="000000"/>
          <w:lang w:val="cs-CZ"/>
        </w:rPr>
        <w:t>8.</w:t>
      </w:r>
      <w:r w:rsidRPr="003B6E11">
        <w:rPr>
          <w:lang w:val="cs-CZ"/>
        </w:rPr>
        <w:tab/>
      </w:r>
      <w:r w:rsidRPr="003B6E11">
        <w:rPr>
          <w:b/>
          <w:color w:val="000000"/>
          <w:lang w:val="cs-CZ"/>
        </w:rPr>
        <w:t>Motory</w:t>
      </w:r>
    </w:p>
    <w:p w:rsidR="00E61447" w:rsidRPr="003B6E11" w:rsidRDefault="00E61447" w:rsidP="00511BF6">
      <w:pPr>
        <w:pStyle w:val="ESch"/>
        <w:rPr>
          <w:rFonts w:cs="Arial"/>
          <w:color w:val="000000"/>
          <w:szCs w:val="20"/>
          <w:lang w:val="cs-CZ"/>
        </w:rPr>
      </w:pPr>
    </w:p>
    <w:p w:rsidR="0087027F" w:rsidRPr="003B6E11" w:rsidRDefault="0087027F" w:rsidP="00AE3F86">
      <w:pPr>
        <w:pStyle w:val="ESch"/>
        <w:ind w:firstLine="0"/>
        <w:rPr>
          <w:color w:val="000000"/>
          <w:lang w:val="cs-CZ"/>
        </w:rPr>
      </w:pPr>
      <w:r w:rsidRPr="003B6E11">
        <w:rPr>
          <w:color w:val="000000"/>
          <w:lang w:val="cs-CZ"/>
        </w:rPr>
        <w:t>(ponecháno volné);</w:t>
      </w:r>
    </w:p>
    <w:p w:rsidR="009A1D30" w:rsidRPr="003B6E11" w:rsidRDefault="009A1D30" w:rsidP="00511BF6">
      <w:pPr>
        <w:pStyle w:val="ESch"/>
        <w:rPr>
          <w:lang w:val="cs-CZ"/>
        </w:rPr>
      </w:pPr>
    </w:p>
    <w:p w:rsidR="006971A7" w:rsidRPr="003B6E11" w:rsidRDefault="006971A7" w:rsidP="00511BF6">
      <w:pPr>
        <w:pStyle w:val="ESch"/>
        <w:rPr>
          <w:lang w:val="cs-CZ"/>
        </w:rPr>
      </w:pPr>
    </w:p>
    <w:p w:rsidR="008D2FD5" w:rsidRPr="003B6E11" w:rsidRDefault="008D2FD5" w:rsidP="00511BF6">
      <w:pPr>
        <w:pStyle w:val="ESch"/>
        <w:rPr>
          <w:b/>
          <w:lang w:val="cs-CZ"/>
        </w:rPr>
      </w:pPr>
      <w:r w:rsidRPr="003B6E11">
        <w:rPr>
          <w:b/>
          <w:lang w:val="cs-CZ"/>
        </w:rPr>
        <w:t>9.</w:t>
      </w:r>
      <w:r w:rsidRPr="003B6E11">
        <w:rPr>
          <w:lang w:val="cs-CZ"/>
        </w:rPr>
        <w:tab/>
      </w:r>
      <w:r w:rsidRPr="003B6E11">
        <w:rPr>
          <w:b/>
          <w:lang w:val="cs-CZ"/>
        </w:rPr>
        <w:t>Palubní čistírny odpadních vod</w:t>
      </w:r>
    </w:p>
    <w:p w:rsidR="0087027F" w:rsidRPr="003B6E11" w:rsidRDefault="0087027F" w:rsidP="008D24FF">
      <w:pPr>
        <w:pStyle w:val="ESch"/>
        <w:rPr>
          <w:lang w:val="cs-CZ"/>
        </w:rPr>
      </w:pPr>
    </w:p>
    <w:p w:rsidR="0087027F" w:rsidRPr="003B6E11" w:rsidRDefault="0087027F" w:rsidP="00AE3F86">
      <w:pPr>
        <w:pStyle w:val="ESch"/>
        <w:ind w:firstLine="0"/>
        <w:rPr>
          <w:rFonts w:cs="Arial"/>
          <w:color w:val="000000"/>
          <w:szCs w:val="20"/>
          <w:lang w:val="cs-CZ"/>
        </w:rPr>
      </w:pPr>
      <w:r w:rsidRPr="003B6E11">
        <w:rPr>
          <w:color w:val="000000"/>
          <w:lang w:val="cs-CZ"/>
        </w:rPr>
        <w:t>(ponecháno volné);</w:t>
      </w:r>
    </w:p>
    <w:p w:rsidR="00197F7A" w:rsidRPr="003B6E11" w:rsidRDefault="00197F7A" w:rsidP="00511BF6">
      <w:pPr>
        <w:pStyle w:val="ESch"/>
        <w:rPr>
          <w:lang w:val="cs-CZ"/>
        </w:rPr>
      </w:pPr>
    </w:p>
    <w:p w:rsidR="008D24FF" w:rsidRPr="003B6E11" w:rsidRDefault="008D24FF">
      <w:pPr>
        <w:rPr>
          <w:lang w:val="cs-CZ"/>
        </w:rPr>
      </w:pPr>
      <w:r w:rsidRPr="003B6E11">
        <w:rPr>
          <w:lang w:val="cs-CZ"/>
        </w:rPr>
        <w:br w:type="page"/>
      </w:r>
    </w:p>
    <w:p w:rsidR="006971A7" w:rsidRPr="003B6E11" w:rsidRDefault="006971A7" w:rsidP="00511BF6">
      <w:pPr>
        <w:pStyle w:val="ESch"/>
        <w:rPr>
          <w:lang w:val="cs-CZ"/>
        </w:rPr>
      </w:pPr>
    </w:p>
    <w:p w:rsidR="00E61447" w:rsidRPr="003B6E11" w:rsidRDefault="00E61447" w:rsidP="00E61447">
      <w:pPr>
        <w:pStyle w:val="ESch"/>
        <w:rPr>
          <w:lang w:val="cs-CZ"/>
        </w:rPr>
      </w:pPr>
      <w:r w:rsidRPr="003B6E11">
        <w:rPr>
          <w:b/>
          <w:lang w:val="cs-CZ"/>
        </w:rPr>
        <w:t>10.</w:t>
      </w:r>
      <w:r w:rsidRPr="003B6E11">
        <w:rPr>
          <w:lang w:val="cs-CZ"/>
        </w:rPr>
        <w:tab/>
      </w:r>
      <w:r w:rsidRPr="003B6E11">
        <w:rPr>
          <w:b/>
          <w:lang w:val="cs-CZ"/>
        </w:rPr>
        <w:t>Klasifikační společnosti, odborníci a odborně způsobilé osoby</w:t>
      </w:r>
    </w:p>
    <w:p w:rsidR="00E61447" w:rsidRPr="003B6E11" w:rsidRDefault="00E61447" w:rsidP="00E61447">
      <w:pPr>
        <w:pStyle w:val="ESch"/>
        <w:rPr>
          <w:rFonts w:cs="Arial"/>
          <w:szCs w:val="20"/>
          <w:lang w:val="cs-CZ"/>
        </w:rPr>
      </w:pPr>
    </w:p>
    <w:p w:rsidR="00E61447" w:rsidRPr="003B6E11" w:rsidRDefault="00E61447" w:rsidP="00E61447">
      <w:pPr>
        <w:pStyle w:val="ESch"/>
        <w:rPr>
          <w:lang w:val="cs-CZ"/>
        </w:rPr>
      </w:pPr>
      <w:r w:rsidRPr="003B6E11">
        <w:rPr>
          <w:lang w:val="cs-CZ"/>
        </w:rPr>
        <w:t>10.1</w:t>
      </w:r>
      <w:r w:rsidRPr="003B6E11">
        <w:rPr>
          <w:lang w:val="cs-CZ"/>
        </w:rPr>
        <w:tab/>
        <w:t>„uznaná klasifikační společnost“: klasifikační společnost, která byla uznána v souladu s postupy CCNR nebo EU;</w:t>
      </w:r>
    </w:p>
    <w:p w:rsidR="00E61447" w:rsidRPr="003B6E11" w:rsidRDefault="00E61447" w:rsidP="00E61447">
      <w:pPr>
        <w:pStyle w:val="ESch"/>
        <w:rPr>
          <w:rFonts w:cs="Arial"/>
          <w:szCs w:val="20"/>
          <w:lang w:val="cs-CZ"/>
        </w:rPr>
      </w:pPr>
    </w:p>
    <w:p w:rsidR="00E61447" w:rsidRPr="003B6E11" w:rsidRDefault="00E61447" w:rsidP="00E61447">
      <w:pPr>
        <w:pStyle w:val="ESch"/>
        <w:rPr>
          <w:lang w:val="cs-CZ"/>
        </w:rPr>
      </w:pPr>
      <w:r w:rsidRPr="003B6E11">
        <w:rPr>
          <w:lang w:val="cs-CZ"/>
        </w:rPr>
        <w:t>10.2</w:t>
      </w:r>
      <w:r w:rsidRPr="003B6E11">
        <w:rPr>
          <w:lang w:val="cs-CZ"/>
        </w:rPr>
        <w:tab/>
        <w:t>„nejvyšší třída“: loď je zařazena do nejvyšší třídy, pokud</w:t>
      </w:r>
    </w:p>
    <w:p w:rsidR="00E61447" w:rsidRPr="003B6E11" w:rsidRDefault="00E61447" w:rsidP="00E61447">
      <w:pPr>
        <w:pStyle w:val="ESlet"/>
        <w:rPr>
          <w:lang w:val="cs-CZ"/>
        </w:rPr>
      </w:pPr>
      <w:r w:rsidRPr="003B6E11">
        <w:rPr>
          <w:lang w:val="cs-CZ"/>
        </w:rPr>
        <w:t>–</w:t>
      </w:r>
      <w:r w:rsidRPr="003B6E11">
        <w:rPr>
          <w:lang w:val="cs-CZ"/>
        </w:rPr>
        <w:tab/>
        <w:t>trup, včetně kormidelního stroje a manévrovacího zařízení, jakož i kotev a kotevních řetězů, odpovídá pravidlům stanoveným uznanou klasifikační společností a byl postaven a podroben zkouškám pod jejím dohledem;</w:t>
      </w:r>
    </w:p>
    <w:p w:rsidR="00E61447" w:rsidRPr="003B6E11" w:rsidRDefault="00E61447" w:rsidP="00E61447">
      <w:pPr>
        <w:pStyle w:val="ESlet"/>
        <w:rPr>
          <w:lang w:val="cs-CZ"/>
        </w:rPr>
      </w:pPr>
      <w:r w:rsidRPr="003B6E11">
        <w:rPr>
          <w:lang w:val="cs-CZ"/>
        </w:rPr>
        <w:t>–</w:t>
      </w:r>
      <w:r w:rsidRPr="003B6E11">
        <w:rPr>
          <w:lang w:val="cs-CZ"/>
        </w:rPr>
        <w:tab/>
        <w:t>pohonné stroje, jakož i pomocné motory, mechanická a elektrická zařízení, potřebné pro zabezpečení fungování plavidla byly vyrobeny a podrobeny zkouškám v souladu s pravidly klasifikační společnosti a byly instalovány pod jejím dohledem; tato jednotka jako celek musí úspěšně projít zkouškami po instalaci;</w:t>
      </w:r>
    </w:p>
    <w:p w:rsidR="00E61447" w:rsidRPr="003B6E11" w:rsidRDefault="00E61447" w:rsidP="00E61447">
      <w:pPr>
        <w:pStyle w:val="ESch"/>
        <w:rPr>
          <w:lang w:val="cs-CZ"/>
        </w:rPr>
      </w:pPr>
    </w:p>
    <w:p w:rsidR="00E61447" w:rsidRPr="003B6E11" w:rsidRDefault="00E61447" w:rsidP="00E61447">
      <w:pPr>
        <w:pStyle w:val="ESch"/>
        <w:rPr>
          <w:rFonts w:cs="Arial"/>
          <w:szCs w:val="20"/>
          <w:lang w:val="cs-CZ"/>
        </w:rPr>
      </w:pPr>
      <w:r w:rsidRPr="003B6E11">
        <w:rPr>
          <w:lang w:val="cs-CZ"/>
        </w:rPr>
        <w:t>10.3</w:t>
      </w:r>
      <w:r w:rsidRPr="003B6E11">
        <w:rPr>
          <w:lang w:val="cs-CZ"/>
        </w:rPr>
        <w:tab/>
        <w:t>„odborník“: osoba uznaná příslušným orgánem nebo oprávněným orgánem, která má odborné znalosti v dané oblasti na základě svého odborného vzdělání a zkušeností, je plně obeznámena s příslušnými pravidly a předpisy a obecně uznávanými technickými pravidly (např. normami EN, příslušnými právními předpisy, technickými předpisy) a je schopna prověřit příslušné systémy a zařízení a provést jejich odborné posouzení;</w:t>
      </w:r>
    </w:p>
    <w:p w:rsidR="00E61447" w:rsidRPr="003B6E11" w:rsidRDefault="00E61447" w:rsidP="00E61447">
      <w:pPr>
        <w:pStyle w:val="ESch"/>
        <w:rPr>
          <w:lang w:val="cs-CZ"/>
        </w:rPr>
      </w:pPr>
    </w:p>
    <w:p w:rsidR="00E61447" w:rsidRPr="003B6E11" w:rsidRDefault="00E61447" w:rsidP="00E61447">
      <w:pPr>
        <w:pStyle w:val="ESch"/>
        <w:rPr>
          <w:lang w:val="cs-CZ"/>
        </w:rPr>
      </w:pPr>
      <w:r w:rsidRPr="003B6E11">
        <w:rPr>
          <w:lang w:val="cs-CZ"/>
        </w:rPr>
        <w:t>10.4</w:t>
      </w:r>
      <w:r w:rsidRPr="003B6E11">
        <w:rPr>
          <w:lang w:val="cs-CZ"/>
        </w:rPr>
        <w:tab/>
        <w:t>„odborně způsobilá osoba“: osoba, která získala dostatečné znalosti v dané oblasti na základě svého odborného vzdělání a zkušeností a je dostatečně obeznámena s příslušnými pravidly a předpisy a obecně uznávanými technickými pravidly (např. normami EN, příslušnými právními předpisy, technickými předpisy), aby mohla zhodnotit provozní bezpečnost příslušných systémů a zařízení;</w:t>
      </w:r>
    </w:p>
    <w:p w:rsidR="00E61447" w:rsidRPr="003B6E11" w:rsidRDefault="00E61447" w:rsidP="00080F6D">
      <w:pPr>
        <w:pStyle w:val="ESch"/>
        <w:rPr>
          <w:lang w:val="cs-CZ"/>
        </w:rPr>
      </w:pPr>
    </w:p>
    <w:p w:rsidR="00BF3595" w:rsidRPr="003B6E11" w:rsidRDefault="00BF3595" w:rsidP="00080F6D">
      <w:pPr>
        <w:pStyle w:val="ESch"/>
        <w:rPr>
          <w:lang w:val="cs-CZ"/>
        </w:rPr>
      </w:pPr>
    </w:p>
    <w:p w:rsidR="00BF3595" w:rsidRPr="003B6E11" w:rsidRDefault="00BF3595" w:rsidP="00BF3595">
      <w:pPr>
        <w:pStyle w:val="ESch"/>
        <w:rPr>
          <w:b/>
          <w:bCs/>
          <w:iCs/>
          <w:lang w:val="cs-CZ"/>
        </w:rPr>
      </w:pPr>
      <w:r w:rsidRPr="003B6E11">
        <w:rPr>
          <w:b/>
          <w:lang w:val="cs-CZ"/>
        </w:rPr>
        <w:t>11.</w:t>
      </w:r>
      <w:r w:rsidRPr="003B6E11">
        <w:rPr>
          <w:lang w:val="cs-CZ"/>
        </w:rPr>
        <w:tab/>
      </w:r>
      <w:r w:rsidRPr="003B6E11">
        <w:rPr>
          <w:b/>
          <w:lang w:val="cs-CZ"/>
        </w:rPr>
        <w:t>Elektrické zařízení, instalace a pohonné systémy</w:t>
      </w:r>
    </w:p>
    <w:p w:rsidR="00BF3595" w:rsidRPr="003B6E11" w:rsidRDefault="00BF3595" w:rsidP="00080F6D">
      <w:pPr>
        <w:pStyle w:val="ESch"/>
        <w:rPr>
          <w:lang w:val="cs-CZ"/>
        </w:rPr>
      </w:pPr>
    </w:p>
    <w:p w:rsidR="00BF3595" w:rsidRPr="003B6E11" w:rsidRDefault="00BF3595" w:rsidP="00BF3595">
      <w:pPr>
        <w:pStyle w:val="ESch"/>
        <w:rPr>
          <w:lang w:val="cs-CZ"/>
        </w:rPr>
      </w:pPr>
      <w:r w:rsidRPr="003B6E11">
        <w:rPr>
          <w:lang w:val="cs-CZ"/>
        </w:rPr>
        <w:t>11.1</w:t>
      </w:r>
      <w:r w:rsidRPr="003B6E11">
        <w:rPr>
          <w:lang w:val="cs-CZ"/>
        </w:rPr>
        <w:tab/>
        <w:t>„zdroj energie“: nosič nebo měnič energie používaný k výrobě užitečné energie. U pohonných systémů kormidelního zařízení je to napájení řídící pohonné jednotky a kormidelního stroje z energetické sítě plavidla, baterie, akumulátoru nebo spalovacího motoru;</w:t>
      </w:r>
    </w:p>
    <w:p w:rsidR="00BF3595" w:rsidRPr="003B6E11" w:rsidRDefault="00BF3595" w:rsidP="00BF3595">
      <w:pPr>
        <w:pStyle w:val="ESch"/>
        <w:rPr>
          <w:lang w:val="cs-CZ"/>
        </w:rPr>
      </w:pPr>
    </w:p>
    <w:p w:rsidR="00BF3595" w:rsidRPr="003B6E11" w:rsidRDefault="00BF3595" w:rsidP="00BF3595">
      <w:pPr>
        <w:pStyle w:val="ESch"/>
        <w:rPr>
          <w:lang w:val="cs-CZ"/>
        </w:rPr>
      </w:pPr>
      <w:r w:rsidRPr="003B6E11">
        <w:rPr>
          <w:lang w:val="cs-CZ"/>
        </w:rPr>
        <w:t>11.2</w:t>
      </w:r>
      <w:r w:rsidRPr="003B6E11">
        <w:rPr>
          <w:lang w:val="cs-CZ"/>
        </w:rPr>
        <w:tab/>
        <w:t>„zdroj elektrické energie“: zdroj energie, ze kterého je získávána elektrická energie;</w:t>
      </w:r>
    </w:p>
    <w:p w:rsidR="00BF3595" w:rsidRPr="003B6E11" w:rsidRDefault="00BF3595" w:rsidP="00BF3595">
      <w:pPr>
        <w:pStyle w:val="ESch"/>
        <w:rPr>
          <w:lang w:val="cs-CZ"/>
        </w:rPr>
      </w:pPr>
    </w:p>
    <w:p w:rsidR="00BF3595" w:rsidRPr="003B6E11" w:rsidRDefault="00BF3595" w:rsidP="00BF3595">
      <w:pPr>
        <w:pStyle w:val="ESch"/>
        <w:rPr>
          <w:lang w:val="cs-CZ"/>
        </w:rPr>
      </w:pPr>
      <w:r w:rsidRPr="003B6E11">
        <w:rPr>
          <w:lang w:val="cs-CZ"/>
        </w:rPr>
        <w:t>11.3</w:t>
      </w:r>
      <w:r w:rsidRPr="003B6E11">
        <w:rPr>
          <w:lang w:val="cs-CZ"/>
        </w:rPr>
        <w:tab/>
        <w:t>„akumulátor“: dobíjecí zařízení pro uchovávání elektrické energie na elektrochemické bázi;</w:t>
      </w:r>
    </w:p>
    <w:p w:rsidR="00BF3595" w:rsidRPr="003B6E11" w:rsidRDefault="00BF3595" w:rsidP="00BF3595">
      <w:pPr>
        <w:pStyle w:val="ESch"/>
        <w:rPr>
          <w:lang w:val="cs-CZ"/>
        </w:rPr>
      </w:pPr>
    </w:p>
    <w:p w:rsidR="00BF3595" w:rsidRPr="003B6E11" w:rsidRDefault="00BF3595" w:rsidP="00BF3595">
      <w:pPr>
        <w:pStyle w:val="ESch"/>
        <w:rPr>
          <w:lang w:val="cs-CZ"/>
        </w:rPr>
      </w:pPr>
      <w:r w:rsidRPr="003B6E11">
        <w:rPr>
          <w:lang w:val="cs-CZ"/>
        </w:rPr>
        <w:t>11.4</w:t>
      </w:r>
      <w:r w:rsidRPr="003B6E11">
        <w:rPr>
          <w:lang w:val="cs-CZ"/>
        </w:rPr>
        <w:tab/>
        <w:t>„baterie“: zařízení pro uchovávání elektrické energie na elektrochemické bázi neschopné opětovného dobití;</w:t>
      </w:r>
    </w:p>
    <w:p w:rsidR="00ED26E0" w:rsidRPr="003B6E11" w:rsidRDefault="00ED26E0" w:rsidP="00080F6D">
      <w:pPr>
        <w:pStyle w:val="ESch"/>
        <w:rPr>
          <w:lang w:val="cs-CZ"/>
        </w:rPr>
      </w:pPr>
    </w:p>
    <w:p w:rsidR="001851F8" w:rsidRPr="003B6E11" w:rsidRDefault="00BF3595" w:rsidP="003971A3">
      <w:pPr>
        <w:pStyle w:val="ESch"/>
        <w:rPr>
          <w:rFonts w:eastAsia="Calibri"/>
          <w:highlight w:val="lightGray"/>
          <w:lang w:val="cs-CZ"/>
        </w:rPr>
      </w:pPr>
      <w:r w:rsidRPr="003B6E11">
        <w:rPr>
          <w:lang w:val="cs-CZ"/>
        </w:rPr>
        <w:t>11.5</w:t>
      </w:r>
      <w:r w:rsidRPr="003B6E11">
        <w:rPr>
          <w:lang w:val="cs-CZ"/>
        </w:rPr>
        <w:tab/>
        <w:t>„výkonová elektronika“: zařízení, spotřebič, sestava nebo přístroj k přeměně elektrické energie pomocí polovodičových spínačů nebo systém z nich sestávající;</w:t>
      </w:r>
    </w:p>
    <w:p w:rsidR="001851F8" w:rsidRPr="003B6E11" w:rsidRDefault="001851F8">
      <w:pPr>
        <w:rPr>
          <w:rFonts w:eastAsia="Calibri"/>
          <w:lang w:val="cs-CZ"/>
        </w:rPr>
      </w:pPr>
    </w:p>
    <w:p w:rsidR="003971A3" w:rsidRPr="003B6E11" w:rsidRDefault="003971A3">
      <w:pPr>
        <w:rPr>
          <w:lang w:val="cs-CZ"/>
        </w:rPr>
      </w:pPr>
      <w:r w:rsidRPr="003B6E11">
        <w:rPr>
          <w:lang w:val="cs-CZ"/>
        </w:rPr>
        <w:br w:type="page"/>
      </w:r>
    </w:p>
    <w:p w:rsidR="00BF3595" w:rsidRPr="003B6E11" w:rsidRDefault="00BF3595" w:rsidP="00080F6D">
      <w:pPr>
        <w:pStyle w:val="ESch"/>
        <w:rPr>
          <w:lang w:val="cs-CZ"/>
        </w:rPr>
      </w:pPr>
    </w:p>
    <w:p w:rsidR="00DE4417" w:rsidRPr="003B6E11" w:rsidRDefault="00DE4417" w:rsidP="00511BF6">
      <w:pPr>
        <w:pStyle w:val="ESch"/>
        <w:rPr>
          <w:b/>
          <w:color w:val="000000"/>
          <w:lang w:val="cs-CZ"/>
        </w:rPr>
      </w:pPr>
      <w:r w:rsidRPr="003B6E11">
        <w:rPr>
          <w:b/>
          <w:color w:val="000000"/>
          <w:lang w:val="cs-CZ"/>
        </w:rPr>
        <w:t>12.</w:t>
      </w:r>
      <w:r w:rsidRPr="003B6E11">
        <w:rPr>
          <w:lang w:val="cs-CZ"/>
        </w:rPr>
        <w:tab/>
      </w:r>
      <w:r w:rsidRPr="003B6E11">
        <w:rPr>
          <w:b/>
          <w:color w:val="000000"/>
          <w:lang w:val="cs-CZ"/>
        </w:rPr>
        <w:t>Ostatní pojmy</w:t>
      </w:r>
    </w:p>
    <w:p w:rsidR="00DE4417" w:rsidRPr="003B6E11" w:rsidRDefault="00DE4417" w:rsidP="00511BF6">
      <w:pPr>
        <w:pStyle w:val="ESch"/>
        <w:rPr>
          <w:lang w:val="cs-CZ"/>
        </w:rPr>
      </w:pPr>
    </w:p>
    <w:p w:rsidR="00DE4417" w:rsidRPr="003B6E11" w:rsidRDefault="00DE4417" w:rsidP="00511BF6">
      <w:pPr>
        <w:pStyle w:val="ESch"/>
        <w:rPr>
          <w:lang w:val="cs-CZ"/>
        </w:rPr>
      </w:pPr>
      <w:r w:rsidRPr="003B6E11">
        <w:rPr>
          <w:lang w:val="cs-CZ"/>
        </w:rPr>
        <w:t>12.1</w:t>
      </w:r>
      <w:r w:rsidRPr="003B6E11">
        <w:rPr>
          <w:lang w:val="cs-CZ"/>
        </w:rPr>
        <w:tab/>
        <w:t>„lodní personál“: všichni zaměstnanci na osobní lodi, kteří nejsou členy posádky;</w:t>
      </w:r>
    </w:p>
    <w:p w:rsidR="00D71B1A" w:rsidRPr="003B6E11" w:rsidRDefault="00D71B1A" w:rsidP="00511BF6">
      <w:pPr>
        <w:pStyle w:val="ESch"/>
        <w:rPr>
          <w:rFonts w:cs="Arial"/>
          <w:szCs w:val="20"/>
          <w:lang w:val="cs-CZ"/>
        </w:rPr>
      </w:pPr>
    </w:p>
    <w:p w:rsidR="00ED26E0" w:rsidRPr="003B6E11" w:rsidRDefault="00DE4417" w:rsidP="00FA4437">
      <w:pPr>
        <w:pStyle w:val="ESch"/>
        <w:rPr>
          <w:lang w:val="cs-CZ"/>
        </w:rPr>
      </w:pPr>
      <w:r w:rsidRPr="003B6E11">
        <w:rPr>
          <w:lang w:val="cs-CZ"/>
        </w:rPr>
        <w:t>12.2</w:t>
      </w:r>
      <w:r w:rsidRPr="003B6E11">
        <w:rPr>
          <w:lang w:val="cs-CZ"/>
        </w:rPr>
        <w:tab/>
        <w:t>„osoby s omezenou schopností pohybu a orientace“: osoby, které mají vážné problémy při používání veřejné dopravy, např. starší osoby a osoby zdravotně postižené, osoby s poruchami smyslového vnímání, osoby na invalidním vozíku, těhotné ženy a osoby doprovázející malé děti;</w:t>
      </w:r>
    </w:p>
    <w:p w:rsidR="00ED26E0" w:rsidRPr="003B6E11" w:rsidRDefault="00ED26E0" w:rsidP="00511BF6">
      <w:pPr>
        <w:pStyle w:val="ESch"/>
        <w:rPr>
          <w:rFonts w:cs="Arial"/>
          <w:szCs w:val="20"/>
          <w:lang w:val="cs-CZ"/>
        </w:rPr>
      </w:pPr>
    </w:p>
    <w:p w:rsidR="00DE4417" w:rsidRPr="003B6E11" w:rsidRDefault="00DE4417" w:rsidP="00511BF6">
      <w:pPr>
        <w:pStyle w:val="ESch"/>
        <w:rPr>
          <w:lang w:val="cs-CZ"/>
        </w:rPr>
      </w:pPr>
      <w:r w:rsidRPr="003B6E11">
        <w:rPr>
          <w:lang w:val="cs-CZ"/>
        </w:rPr>
        <w:t>12.3</w:t>
      </w:r>
      <w:r w:rsidRPr="003B6E11">
        <w:rPr>
          <w:lang w:val="cs-CZ"/>
        </w:rPr>
        <w:tab/>
        <w:t>„ADN“: předpisy připojené k Evropské dohodě o mezinárodní přepravě nebezpečných věcí po vnitrozemských vodních cestách (ADN) v platném znění;</w:t>
      </w:r>
    </w:p>
    <w:p w:rsidR="00D71B1A" w:rsidRPr="003B6E11" w:rsidRDefault="00D71B1A" w:rsidP="00511BF6">
      <w:pPr>
        <w:pStyle w:val="ESch"/>
        <w:rPr>
          <w:rFonts w:cs="Arial"/>
          <w:szCs w:val="20"/>
          <w:lang w:val="cs-CZ"/>
        </w:rPr>
      </w:pPr>
    </w:p>
    <w:p w:rsidR="00DE4417" w:rsidRPr="003B6E11" w:rsidRDefault="00DE4417" w:rsidP="00511BF6">
      <w:pPr>
        <w:pStyle w:val="ESch"/>
        <w:rPr>
          <w:lang w:val="cs-CZ"/>
        </w:rPr>
      </w:pPr>
      <w:r w:rsidRPr="003B6E11">
        <w:rPr>
          <w:lang w:val="cs-CZ"/>
        </w:rPr>
        <w:t>12.4</w:t>
      </w:r>
      <w:r w:rsidRPr="003B6E11">
        <w:rPr>
          <w:lang w:val="cs-CZ"/>
        </w:rPr>
        <w:tab/>
        <w:t>„osvědčení plavidla vnitrozemské plavby“: osvědčení Unie pro plavidla vnitrozemské plavby nebo osvědčení o inspekci plavby na Rýně vydané příslušným orgánem, které potvrzuje soulad s technickými požadavky.</w:t>
      </w:r>
    </w:p>
    <w:p w:rsidR="00DE4417" w:rsidRPr="003B6E11" w:rsidRDefault="00DE4417" w:rsidP="00511BF6">
      <w:pPr>
        <w:pStyle w:val="ESch"/>
        <w:rPr>
          <w:lang w:val="cs-CZ"/>
        </w:rPr>
      </w:pPr>
    </w:p>
    <w:p w:rsidR="005849A9" w:rsidRPr="003B6E11" w:rsidRDefault="005849A9" w:rsidP="00511BF6">
      <w:pPr>
        <w:pStyle w:val="ESch"/>
        <w:rPr>
          <w:lang w:val="cs-CZ"/>
        </w:rPr>
      </w:pPr>
    </w:p>
    <w:p w:rsidR="00DE4417" w:rsidRPr="003B6E11" w:rsidRDefault="00DE4417" w:rsidP="00D71B1A">
      <w:pPr>
        <w:pStyle w:val="ES-Titre3"/>
        <w:rPr>
          <w:sz w:val="20"/>
          <w:lang w:val="cs-CZ"/>
        </w:rPr>
      </w:pPr>
      <w:bookmarkStart w:id="10" w:name="_Toc491854005"/>
      <w:bookmarkStart w:id="11" w:name="_Toc535416911"/>
      <w:r w:rsidRPr="003B6E11">
        <w:rPr>
          <w:lang w:val="cs-CZ"/>
        </w:rPr>
        <w:t>Článek 1.02</w:t>
      </w:r>
      <w:r w:rsidRPr="003B6E11">
        <w:rPr>
          <w:lang w:val="cs-CZ"/>
        </w:rPr>
        <w:br/>
      </w:r>
      <w:r w:rsidRPr="003B6E11">
        <w:rPr>
          <w:i/>
          <w:lang w:val="cs-CZ"/>
        </w:rPr>
        <w:t>Pokyny pro použití této normy</w:t>
      </w:r>
      <w:bookmarkEnd w:id="10"/>
      <w:bookmarkEnd w:id="11"/>
    </w:p>
    <w:p w:rsidR="00D71B1A" w:rsidRPr="003B6E11" w:rsidRDefault="00D71B1A" w:rsidP="00DE4417">
      <w:pPr>
        <w:rPr>
          <w:rFonts w:cs="Arial"/>
          <w:szCs w:val="20"/>
          <w:lang w:val="cs-CZ"/>
        </w:rPr>
      </w:pPr>
    </w:p>
    <w:p w:rsidR="00DE4417" w:rsidRPr="003B6E11" w:rsidRDefault="00DE4417" w:rsidP="00DE4417">
      <w:pPr>
        <w:rPr>
          <w:rFonts w:cs="Arial"/>
          <w:szCs w:val="20"/>
          <w:lang w:val="cs-CZ"/>
        </w:rPr>
      </w:pPr>
      <w:r w:rsidRPr="003B6E11">
        <w:rPr>
          <w:lang w:val="cs-CZ"/>
        </w:rPr>
        <w:t xml:space="preserve">Cílem pokynů připojených k této normě je usnadnit a standardizovat její používání. </w:t>
      </w:r>
    </w:p>
    <w:p w:rsidR="00AE58CD" w:rsidRPr="003B6E11" w:rsidRDefault="00AE58CD" w:rsidP="00E630F7">
      <w:pPr>
        <w:spacing w:line="240" w:lineRule="atLeast"/>
        <w:rPr>
          <w:lang w:val="cs-CZ"/>
        </w:rPr>
      </w:pPr>
    </w:p>
    <w:p w:rsidR="00AE58CD" w:rsidRPr="003B6E11" w:rsidRDefault="00AE58CD" w:rsidP="00E630F7">
      <w:pPr>
        <w:spacing w:line="240" w:lineRule="atLeast"/>
        <w:rPr>
          <w:lang w:val="cs-CZ"/>
        </w:rPr>
      </w:pPr>
    </w:p>
    <w:p w:rsidR="001E33AF" w:rsidRPr="003B6E11" w:rsidRDefault="001E33AF" w:rsidP="00E1027C">
      <w:pPr>
        <w:spacing w:line="240" w:lineRule="atLeast"/>
        <w:rPr>
          <w:lang w:val="cs-CZ"/>
        </w:rPr>
      </w:pPr>
    </w:p>
    <w:p w:rsidR="00CA6E56" w:rsidRPr="003B6E11" w:rsidRDefault="00CA6E56" w:rsidP="00CA6E56">
      <w:pPr>
        <w:pStyle w:val="ES-Titre2"/>
      </w:pPr>
      <w:bookmarkStart w:id="12" w:name="_Toc491854006"/>
      <w:bookmarkStart w:id="13" w:name="_Toc535416912"/>
      <w:r w:rsidRPr="003B6E11">
        <w:t>Kapitola 2</w:t>
      </w:r>
      <w:r w:rsidRPr="003B6E11">
        <w:br/>
        <w:t>Postup</w:t>
      </w:r>
      <w:bookmarkEnd w:id="12"/>
      <w:bookmarkEnd w:id="13"/>
    </w:p>
    <w:p w:rsidR="00AE3F86" w:rsidRPr="003B6E11" w:rsidRDefault="00AE3F86" w:rsidP="00E1027C">
      <w:pPr>
        <w:spacing w:line="240" w:lineRule="atLeast"/>
        <w:rPr>
          <w:lang w:val="cs-CZ"/>
        </w:rPr>
      </w:pPr>
    </w:p>
    <w:p w:rsidR="00F935C7" w:rsidRPr="003B6E11" w:rsidRDefault="00F935C7" w:rsidP="00F935C7">
      <w:pPr>
        <w:spacing w:line="240" w:lineRule="atLeast"/>
        <w:jc w:val="center"/>
        <w:rPr>
          <w:lang w:val="cs-CZ"/>
        </w:rPr>
      </w:pPr>
      <w:r w:rsidRPr="003B6E11">
        <w:rPr>
          <w:lang w:val="cs-CZ"/>
        </w:rPr>
        <w:t>(ponecháno volné)</w:t>
      </w:r>
    </w:p>
    <w:p w:rsidR="006971A7" w:rsidRPr="003B6E11" w:rsidRDefault="006971A7" w:rsidP="00F935C7">
      <w:pPr>
        <w:spacing w:line="240" w:lineRule="atLeast"/>
        <w:jc w:val="center"/>
        <w:rPr>
          <w:lang w:val="cs-CZ"/>
        </w:rPr>
      </w:pPr>
    </w:p>
    <w:p w:rsidR="006971A7" w:rsidRPr="003B6E11" w:rsidRDefault="006971A7" w:rsidP="00F935C7">
      <w:pPr>
        <w:spacing w:line="240" w:lineRule="atLeast"/>
        <w:jc w:val="center"/>
        <w:rPr>
          <w:lang w:val="cs-CZ"/>
        </w:rPr>
      </w:pPr>
    </w:p>
    <w:p w:rsidR="006971A7" w:rsidRPr="003B6E11" w:rsidRDefault="006971A7" w:rsidP="00F935C7">
      <w:pPr>
        <w:spacing w:line="240" w:lineRule="atLeast"/>
        <w:jc w:val="center"/>
        <w:rPr>
          <w:lang w:val="cs-CZ"/>
        </w:rPr>
      </w:pPr>
    </w:p>
    <w:p w:rsidR="006971A7" w:rsidRPr="003B6E11" w:rsidRDefault="006971A7" w:rsidP="00F935C7">
      <w:pPr>
        <w:spacing w:line="240" w:lineRule="atLeast"/>
        <w:jc w:val="center"/>
        <w:rPr>
          <w:lang w:val="cs-CZ"/>
        </w:rPr>
      </w:pPr>
    </w:p>
    <w:p w:rsidR="006D6907" w:rsidRPr="003B6E11" w:rsidRDefault="006D6907" w:rsidP="00F935C7">
      <w:pPr>
        <w:spacing w:line="240" w:lineRule="atLeast"/>
        <w:jc w:val="center"/>
        <w:rPr>
          <w:lang w:val="cs-CZ"/>
        </w:rPr>
      </w:pPr>
      <w:r w:rsidRPr="003B6E11">
        <w:rPr>
          <w:lang w:val="cs-CZ"/>
        </w:rPr>
        <w:br w:type="page"/>
      </w:r>
    </w:p>
    <w:p w:rsidR="006971A7" w:rsidRPr="003B6E11" w:rsidRDefault="006971A7" w:rsidP="00F935C7">
      <w:pPr>
        <w:spacing w:line="240" w:lineRule="atLeast"/>
        <w:jc w:val="center"/>
        <w:rPr>
          <w:lang w:val="cs-CZ"/>
        </w:rPr>
      </w:pPr>
    </w:p>
    <w:p w:rsidR="00AE3F86" w:rsidRPr="003B6E11" w:rsidRDefault="00AE3F86" w:rsidP="00F935C7">
      <w:pPr>
        <w:spacing w:line="240" w:lineRule="atLeast"/>
        <w:jc w:val="center"/>
        <w:rPr>
          <w:lang w:val="cs-CZ"/>
        </w:rPr>
      </w:pPr>
    </w:p>
    <w:p w:rsidR="00AE3F86" w:rsidRPr="003B6E11" w:rsidRDefault="00AE3F86" w:rsidP="00F935C7">
      <w:pPr>
        <w:spacing w:line="240" w:lineRule="atLeast"/>
        <w:jc w:val="center"/>
        <w:rPr>
          <w:lang w:val="cs-CZ"/>
        </w:rPr>
        <w:sectPr w:rsidR="00AE3F86" w:rsidRPr="003B6E11" w:rsidSect="0010389F">
          <w:headerReference w:type="default" r:id="rId17"/>
          <w:headerReference w:type="first" r:id="rId18"/>
          <w:footnotePr>
            <w:numRestart w:val="eachPage"/>
          </w:footnotePr>
          <w:pgSz w:w="11906" w:h="16838" w:code="9"/>
          <w:pgMar w:top="1418" w:right="1418" w:bottom="1418" w:left="1418" w:header="709" w:footer="709" w:gutter="0"/>
          <w:pgNumType w:start="1"/>
          <w:cols w:space="709"/>
          <w:titlePg/>
          <w:docGrid w:linePitch="272"/>
        </w:sectPr>
      </w:pPr>
    </w:p>
    <w:p w:rsidR="00436930" w:rsidRPr="003B6E11" w:rsidRDefault="00D71B1A" w:rsidP="00887B58">
      <w:pPr>
        <w:pStyle w:val="ES-Titre1"/>
      </w:pPr>
      <w:bookmarkStart w:id="14" w:name="_Toc491854007"/>
      <w:bookmarkStart w:id="15" w:name="_Toc535416913"/>
      <w:r w:rsidRPr="003B6E11">
        <w:t>ČÁST II</w:t>
      </w:r>
      <w:r w:rsidRPr="003B6E11">
        <w:br/>
        <w:t>USTANOVENÍ TÝKAJÍCÍ SE STAVBY LODÍ, JEJICH VYBAVOVÁNÍ A ZAŘÍZENÍ</w:t>
      </w:r>
      <w:bookmarkEnd w:id="14"/>
      <w:bookmarkEnd w:id="15"/>
    </w:p>
    <w:p w:rsidR="00887B58" w:rsidRPr="003B6E11" w:rsidRDefault="00887B58" w:rsidP="00887B58">
      <w:pPr>
        <w:pStyle w:val="ES-Titre2"/>
        <w:pageBreakBefore w:val="0"/>
      </w:pPr>
    </w:p>
    <w:p w:rsidR="00436930" w:rsidRPr="003B6E11" w:rsidRDefault="00436930" w:rsidP="00887B58">
      <w:pPr>
        <w:pStyle w:val="ES-Titre2"/>
        <w:pageBreakBefore w:val="0"/>
      </w:pPr>
      <w:bookmarkStart w:id="16" w:name="_Toc491854008"/>
      <w:bookmarkStart w:id="17" w:name="_Toc535416914"/>
      <w:r w:rsidRPr="003B6E11">
        <w:t>Kapitola 3</w:t>
      </w:r>
      <w:r w:rsidRPr="003B6E11">
        <w:br/>
        <w:t>Požadavky na stavbu lodí</w:t>
      </w:r>
      <w:bookmarkEnd w:id="16"/>
      <w:bookmarkEnd w:id="17"/>
    </w:p>
    <w:p w:rsidR="00887B58" w:rsidRPr="003B6E11" w:rsidRDefault="00887B58" w:rsidP="00887B58">
      <w:pPr>
        <w:pStyle w:val="ES-Titre3"/>
        <w:spacing w:line="240" w:lineRule="atLeast"/>
        <w:rPr>
          <w:lang w:val="cs-CZ"/>
        </w:rPr>
      </w:pPr>
    </w:p>
    <w:p w:rsidR="003F616C" w:rsidRPr="003B6E11" w:rsidRDefault="003F616C" w:rsidP="003F616C">
      <w:pPr>
        <w:pStyle w:val="ES-Titre3"/>
        <w:rPr>
          <w:lang w:val="cs-CZ"/>
        </w:rPr>
      </w:pPr>
      <w:bookmarkStart w:id="18" w:name="_Toc491854009"/>
      <w:bookmarkStart w:id="19" w:name="_Toc535416915"/>
      <w:r w:rsidRPr="003B6E11">
        <w:rPr>
          <w:lang w:val="cs-CZ"/>
        </w:rPr>
        <w:t>Článek 3.01</w:t>
      </w:r>
      <w:r w:rsidRPr="003B6E11">
        <w:rPr>
          <w:lang w:val="cs-CZ"/>
        </w:rPr>
        <w:br/>
      </w:r>
      <w:r w:rsidRPr="003B6E11">
        <w:rPr>
          <w:i/>
          <w:lang w:val="cs-CZ"/>
        </w:rPr>
        <w:t>Základní pravidla</w:t>
      </w:r>
      <w:bookmarkEnd w:id="18"/>
      <w:bookmarkEnd w:id="19"/>
    </w:p>
    <w:p w:rsidR="003F616C" w:rsidRPr="003B6E11" w:rsidRDefault="003F616C" w:rsidP="003F616C">
      <w:pPr>
        <w:rPr>
          <w:rFonts w:cs="Arial"/>
          <w:szCs w:val="20"/>
          <w:lang w:val="cs-CZ"/>
        </w:rPr>
      </w:pPr>
    </w:p>
    <w:p w:rsidR="003F616C" w:rsidRPr="003B6E11" w:rsidRDefault="003F616C" w:rsidP="003F616C">
      <w:pPr>
        <w:rPr>
          <w:rFonts w:cs="Arial"/>
          <w:szCs w:val="20"/>
          <w:lang w:val="cs-CZ"/>
        </w:rPr>
      </w:pPr>
      <w:r w:rsidRPr="003B6E11">
        <w:rPr>
          <w:lang w:val="cs-CZ"/>
        </w:rPr>
        <w:t>Lodě musí být postaveny v souladu se správnou praxí stavby lodí.</w:t>
      </w:r>
    </w:p>
    <w:p w:rsidR="003F616C" w:rsidRPr="003B6E11" w:rsidRDefault="003F616C" w:rsidP="003F616C">
      <w:pPr>
        <w:rPr>
          <w:rFonts w:cs="Arial"/>
          <w:szCs w:val="20"/>
          <w:lang w:val="cs-CZ"/>
        </w:rPr>
      </w:pPr>
    </w:p>
    <w:p w:rsidR="003F616C" w:rsidRPr="003B6E11" w:rsidRDefault="003F616C" w:rsidP="003F616C">
      <w:pPr>
        <w:rPr>
          <w:rFonts w:cs="Arial"/>
          <w:szCs w:val="20"/>
          <w:lang w:val="cs-CZ"/>
        </w:rPr>
      </w:pPr>
    </w:p>
    <w:p w:rsidR="003F616C" w:rsidRPr="003B6E11" w:rsidRDefault="003F616C" w:rsidP="003F616C">
      <w:pPr>
        <w:pStyle w:val="ES-Titre3"/>
        <w:rPr>
          <w:lang w:val="cs-CZ"/>
        </w:rPr>
      </w:pPr>
      <w:bookmarkStart w:id="20" w:name="_Toc491854010"/>
      <w:bookmarkStart w:id="21" w:name="_Toc535416916"/>
      <w:r w:rsidRPr="003B6E11">
        <w:rPr>
          <w:lang w:val="cs-CZ"/>
        </w:rPr>
        <w:t>Článek 3.02</w:t>
      </w:r>
      <w:r w:rsidRPr="003B6E11">
        <w:rPr>
          <w:lang w:val="cs-CZ"/>
        </w:rPr>
        <w:br/>
      </w:r>
      <w:r w:rsidRPr="003B6E11">
        <w:rPr>
          <w:i/>
          <w:lang w:val="cs-CZ"/>
        </w:rPr>
        <w:t>Pevnost a stabilita</w:t>
      </w:r>
      <w:bookmarkEnd w:id="20"/>
      <w:bookmarkEnd w:id="21"/>
    </w:p>
    <w:p w:rsidR="003F616C" w:rsidRPr="003B6E11" w:rsidRDefault="003F616C" w:rsidP="003F616C">
      <w:pPr>
        <w:rPr>
          <w:rFonts w:cs="Arial"/>
          <w:szCs w:val="20"/>
          <w:lang w:val="cs-CZ"/>
        </w:rPr>
      </w:pPr>
    </w:p>
    <w:p w:rsidR="003F616C" w:rsidRPr="003B6E11" w:rsidRDefault="00511BF6" w:rsidP="00511BF6">
      <w:pPr>
        <w:pStyle w:val="ESch"/>
        <w:rPr>
          <w:lang w:val="cs-CZ"/>
        </w:rPr>
      </w:pPr>
      <w:r w:rsidRPr="003B6E11">
        <w:rPr>
          <w:lang w:val="cs-CZ"/>
        </w:rPr>
        <w:t>1.</w:t>
      </w:r>
      <w:r w:rsidRPr="003B6E11">
        <w:rPr>
          <w:lang w:val="cs-CZ"/>
        </w:rPr>
        <w:tab/>
        <w:t>Lodní trup musí být dostatečně pevný, aby odolal všem namáháním, kterým je za normálních podmínek vystaven.</w:t>
      </w:r>
    </w:p>
    <w:p w:rsidR="003F616C" w:rsidRPr="003B6E11" w:rsidRDefault="005C7859" w:rsidP="00511BF6">
      <w:pPr>
        <w:pStyle w:val="ESlet"/>
        <w:rPr>
          <w:lang w:val="cs-CZ"/>
        </w:rPr>
      </w:pPr>
      <w:r w:rsidRPr="003B6E11">
        <w:rPr>
          <w:lang w:val="cs-CZ"/>
        </w:rPr>
        <w:t>a)</w:t>
      </w:r>
      <w:r w:rsidRPr="003B6E11">
        <w:rPr>
          <w:lang w:val="cs-CZ"/>
        </w:rPr>
        <w:tab/>
        <w:t>V případě novostaveb nebo rekonstrukcí lodí, které mají vliv na pevnost lodi, je nutno prokázat odpovídající pevnost předložením konstrukčních výpočtů. Tento důkaz se nevyžaduje, je-li předloženo klasifikační osvědčení nebo potvrzení vydané uznanou klasifikační společností.</w:t>
      </w:r>
    </w:p>
    <w:p w:rsidR="003F616C" w:rsidRPr="003B6E11" w:rsidRDefault="005C7859" w:rsidP="00511BF6">
      <w:pPr>
        <w:pStyle w:val="ESlet"/>
        <w:rPr>
          <w:rFonts w:cs="Arial"/>
          <w:szCs w:val="20"/>
          <w:lang w:val="cs-CZ"/>
        </w:rPr>
      </w:pPr>
      <w:r w:rsidRPr="003B6E11">
        <w:rPr>
          <w:lang w:val="cs-CZ"/>
        </w:rPr>
        <w:t>b)</w:t>
      </w:r>
      <w:r w:rsidRPr="003B6E11">
        <w:rPr>
          <w:lang w:val="cs-CZ"/>
        </w:rPr>
        <w:tab/>
        <w:t>V případě pravidelné prohlídky nesmí být minimální tloušťka obšívky dna, outoru a boků lodí postavených z oceli menší než vyšší z hodnot, které jsou výsledkem těchto vzorců:</w:t>
      </w:r>
    </w:p>
    <w:p w:rsidR="00767591" w:rsidRPr="003B6E11" w:rsidRDefault="00767591" w:rsidP="00A31E1B">
      <w:pPr>
        <w:spacing w:before="60"/>
        <w:ind w:left="1417"/>
        <w:rPr>
          <w:lang w:val="cs-CZ"/>
        </w:rPr>
      </w:pPr>
      <w:r w:rsidRPr="003B6E11">
        <w:rPr>
          <w:lang w:val="cs-CZ"/>
        </w:rPr>
        <w:t>1.</w:t>
      </w:r>
      <w:r w:rsidRPr="003B6E11">
        <w:rPr>
          <w:lang w:val="cs-CZ"/>
        </w:rPr>
        <w:tab/>
        <w:t xml:space="preserve">u lodí delších než 40 m: </w:t>
      </w:r>
      <m:oMath>
        <m:sSub>
          <m:sSubPr>
            <m:ctrlPr>
              <w:rPr>
                <w:rFonts w:ascii="Cambria Math" w:hAnsi="Cambria Math" w:cs="Arial"/>
                <w:i/>
                <w:szCs w:val="20"/>
                <w:lang w:val="cs-CZ"/>
              </w:rPr>
            </m:ctrlPr>
          </m:sSubPr>
          <m:e>
            <m:r>
              <w:rPr>
                <w:rFonts w:ascii="Cambria Math" w:hAnsi="Cambria Math" w:cs="Arial"/>
                <w:szCs w:val="20"/>
                <w:lang w:val="cs-CZ"/>
              </w:rPr>
              <m:t>t</m:t>
            </m:r>
          </m:e>
          <m:sub>
            <m:r>
              <w:rPr>
                <w:rFonts w:ascii="Cambria Math" w:hAnsi="Cambria Math" w:cs="Arial"/>
                <w:szCs w:val="20"/>
                <w:lang w:val="cs-CZ"/>
              </w:rPr>
              <m:t>min</m:t>
            </m:r>
          </m:sub>
        </m:sSub>
        <m:r>
          <w:rPr>
            <w:rFonts w:ascii="Cambria Math" w:hAnsi="Cambria Math" w:cs="Arial"/>
            <w:szCs w:val="20"/>
            <w:lang w:val="cs-CZ"/>
          </w:rPr>
          <m:t xml:space="preserve">=f ∙b ∙c </m:t>
        </m:r>
        <m:d>
          <m:dPr>
            <m:ctrlPr>
              <w:rPr>
                <w:rFonts w:ascii="Cambria Math" w:hAnsi="Cambria Math" w:cs="Arial"/>
                <w:i/>
                <w:szCs w:val="20"/>
                <w:lang w:val="cs-CZ"/>
              </w:rPr>
            </m:ctrlPr>
          </m:dPr>
          <m:e>
            <m:r>
              <w:rPr>
                <w:rFonts w:ascii="Cambria Math" w:hAnsi="Cambria Math" w:cs="Arial"/>
                <w:szCs w:val="20"/>
                <w:lang w:val="cs-CZ"/>
              </w:rPr>
              <m:t>2,3+0,04 L</m:t>
            </m:r>
          </m:e>
        </m:d>
        <m:d>
          <m:dPr>
            <m:begChr m:val="["/>
            <m:endChr m:val="]"/>
            <m:ctrlPr>
              <w:rPr>
                <w:rFonts w:ascii="Cambria Math" w:hAnsi="Cambria Math" w:cs="Arial"/>
                <w:i/>
                <w:szCs w:val="20"/>
                <w:lang w:val="cs-CZ"/>
              </w:rPr>
            </m:ctrlPr>
          </m:dPr>
          <m:e>
            <m:r>
              <w:rPr>
                <w:rFonts w:ascii="Cambria Math" w:hAnsi="Cambria Math" w:cs="Arial"/>
                <w:szCs w:val="20"/>
                <w:lang w:val="cs-CZ"/>
              </w:rPr>
              <m:t>mm</m:t>
            </m:r>
          </m:e>
        </m:d>
        <m:r>
          <w:rPr>
            <w:rFonts w:ascii="Cambria Math" w:hAnsi="Cambria Math" w:cs="Arial"/>
            <w:szCs w:val="20"/>
            <w:lang w:val="cs-CZ"/>
          </w:rPr>
          <m:t>;</m:t>
        </m:r>
      </m:oMath>
    </w:p>
    <w:p w:rsidR="00767591" w:rsidRPr="003B6E11" w:rsidRDefault="00767591" w:rsidP="00767591">
      <w:pPr>
        <w:spacing w:before="60" w:line="240" w:lineRule="atLeast"/>
        <w:ind w:left="1418"/>
        <w:rPr>
          <w:rFonts w:eastAsia="Calibri"/>
          <w:lang w:val="cs-CZ"/>
        </w:rPr>
      </w:pPr>
      <w:r w:rsidRPr="003B6E11">
        <w:rPr>
          <w:lang w:val="cs-CZ"/>
        </w:rPr>
        <w:t xml:space="preserve">u lodí, jejichž délka není větší než 40 m: </w:t>
      </w:r>
      <m:oMath>
        <m:sSub>
          <m:sSubPr>
            <m:ctrlPr>
              <w:rPr>
                <w:rFonts w:ascii="Cambria Math" w:hAnsi="Cambria Math" w:cs="Arial"/>
                <w:i/>
                <w:szCs w:val="20"/>
                <w:lang w:val="cs-CZ"/>
              </w:rPr>
            </m:ctrlPr>
          </m:sSubPr>
          <m:e>
            <m:r>
              <w:rPr>
                <w:rFonts w:ascii="Cambria Math" w:hAnsi="Cambria Math" w:cs="Arial"/>
                <w:szCs w:val="20"/>
                <w:lang w:val="cs-CZ"/>
              </w:rPr>
              <m:t>t</m:t>
            </m:r>
          </m:e>
          <m:sub>
            <m:r>
              <w:rPr>
                <w:rFonts w:ascii="Cambria Math" w:hAnsi="Cambria Math" w:cs="Arial"/>
                <w:szCs w:val="20"/>
                <w:lang w:val="cs-CZ"/>
              </w:rPr>
              <m:t>min</m:t>
            </m:r>
          </m:sub>
        </m:sSub>
        <m:r>
          <w:rPr>
            <w:rFonts w:ascii="Cambria Math" w:hAnsi="Cambria Math" w:cs="Arial"/>
            <w:szCs w:val="20"/>
            <w:lang w:val="cs-CZ"/>
          </w:rPr>
          <m:t xml:space="preserve">=f ∙b ∙c </m:t>
        </m:r>
        <m:d>
          <m:dPr>
            <m:ctrlPr>
              <w:rPr>
                <w:rFonts w:ascii="Cambria Math" w:hAnsi="Cambria Math" w:cs="Arial"/>
                <w:i/>
                <w:szCs w:val="20"/>
                <w:lang w:val="cs-CZ"/>
              </w:rPr>
            </m:ctrlPr>
          </m:dPr>
          <m:e>
            <m:r>
              <w:rPr>
                <w:rFonts w:ascii="Cambria Math" w:hAnsi="Cambria Math" w:cs="Arial"/>
                <w:szCs w:val="20"/>
                <w:lang w:val="cs-CZ"/>
              </w:rPr>
              <m:t>1,5+0,06 L</m:t>
            </m:r>
          </m:e>
        </m:d>
        <m:d>
          <m:dPr>
            <m:begChr m:val="["/>
            <m:endChr m:val="]"/>
            <m:ctrlPr>
              <w:rPr>
                <w:rFonts w:ascii="Cambria Math" w:hAnsi="Cambria Math" w:cs="Arial"/>
                <w:i/>
                <w:szCs w:val="20"/>
                <w:lang w:val="cs-CZ"/>
              </w:rPr>
            </m:ctrlPr>
          </m:dPr>
          <m:e>
            <m:r>
              <w:rPr>
                <w:rFonts w:ascii="Cambria Math" w:hAnsi="Cambria Math" w:cs="Arial"/>
                <w:szCs w:val="20"/>
                <w:lang w:val="cs-CZ"/>
              </w:rPr>
              <m:t>mm</m:t>
            </m:r>
          </m:e>
        </m:d>
        <m:r>
          <w:rPr>
            <w:rFonts w:ascii="Cambria Math" w:hAnsi="Cambria Math" w:cs="Arial"/>
            <w:szCs w:val="20"/>
            <w:lang w:val="cs-CZ"/>
          </w:rPr>
          <m:t xml:space="preserve">, </m:t>
        </m:r>
      </m:oMath>
      <w:r w:rsidRPr="003B6E11">
        <w:rPr>
          <w:lang w:val="cs-CZ"/>
        </w:rPr>
        <w:t>nejméně však 3,00 mm.</w:t>
      </w:r>
    </w:p>
    <w:p w:rsidR="00767591" w:rsidRPr="003B6E11" w:rsidRDefault="00767591" w:rsidP="00767591">
      <w:pPr>
        <w:spacing w:before="60" w:line="240" w:lineRule="atLeast"/>
        <w:ind w:left="1418"/>
        <w:rPr>
          <w:rFonts w:eastAsia="Calibri"/>
          <w:lang w:val="cs-CZ"/>
        </w:rPr>
      </w:pPr>
      <w:r w:rsidRPr="003B6E11">
        <w:rPr>
          <w:lang w:val="cs-CZ"/>
        </w:rPr>
        <w:t>2.</w:t>
      </w:r>
      <w:r w:rsidRPr="003B6E11">
        <w:rPr>
          <w:lang w:val="cs-CZ"/>
        </w:rPr>
        <w:tab/>
      </w:r>
      <m:oMath>
        <m:r>
          <w:rPr>
            <w:rFonts w:ascii="Cambria Math" w:eastAsia="Calibri" w:hAnsi="Cambria Math"/>
            <w:lang w:val="cs-CZ"/>
          </w:rPr>
          <m:t>t</m:t>
        </m:r>
        <m:r>
          <w:rPr>
            <w:rFonts w:ascii="Cambria Math" w:eastAsia="Calibri" w:hAnsi="Cambria Math"/>
            <w:noProof/>
            <w:snapToGrid w:val="0"/>
            <w:color w:val="000000"/>
            <w:position w:val="-6"/>
            <w:sz w:val="14"/>
            <w:lang w:val="cs-CZ"/>
          </w:rPr>
          <m:t>min</m:t>
        </m:r>
        <m:r>
          <w:rPr>
            <w:rFonts w:ascii="Cambria Math" w:eastAsia="Calibri" w:hAnsi="Cambria Math"/>
            <w:lang w:val="cs-CZ"/>
          </w:rPr>
          <m:t xml:space="preserve"> = 0,005 ∙ a </m:t>
        </m:r>
        <m:r>
          <m:rPr>
            <m:sty m:val="p"/>
          </m:rPr>
          <w:rPr>
            <w:rFonts w:ascii="Cambria Math" w:eastAsia="Calibri" w:hAnsi="Cambria Math"/>
            <w:noProof/>
            <w:lang w:eastAsia="en-GB"/>
          </w:rPr>
          <w:drawing>
            <wp:inline distT="0" distB="0" distL="0" distR="0" wp14:anchorId="3FD01025" wp14:editId="2C08215A">
              <wp:extent cx="273050" cy="273050"/>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m:r>
        <m:r>
          <w:rPr>
            <w:rFonts w:ascii="Cambria Math" w:eastAsia="Calibri" w:hAnsi="Cambria Math"/>
            <w:lang w:val="cs-CZ"/>
          </w:rPr>
          <m:t xml:space="preserve"> [mm].</m:t>
        </m:r>
      </m:oMath>
    </w:p>
    <w:p w:rsidR="00767591" w:rsidRPr="003B6E11" w:rsidRDefault="00767591" w:rsidP="00767591">
      <w:pPr>
        <w:rPr>
          <w:lang w:val="cs-CZ"/>
        </w:rPr>
      </w:pPr>
    </w:p>
    <w:p w:rsidR="003F616C" w:rsidRPr="003B6E11" w:rsidRDefault="003F616C" w:rsidP="00767591">
      <w:pPr>
        <w:ind w:left="1417"/>
        <w:rPr>
          <w:lang w:val="cs-CZ"/>
        </w:rPr>
      </w:pPr>
      <w:r w:rsidRPr="003B6E11">
        <w:rPr>
          <w:lang w:val="cs-CZ"/>
        </w:rPr>
        <w:t>kde:</w:t>
      </w:r>
    </w:p>
    <w:p w:rsidR="003F616C" w:rsidRPr="003B6E11" w:rsidRDefault="00431542" w:rsidP="00511BF6">
      <w:pPr>
        <w:tabs>
          <w:tab w:val="left" w:pos="1418"/>
          <w:tab w:val="left" w:pos="1843"/>
        </w:tabs>
        <w:spacing w:before="60" w:line="240" w:lineRule="atLeast"/>
        <w:ind w:left="1843" w:hanging="850"/>
        <w:rPr>
          <w:rFonts w:eastAsia="Calibri"/>
          <w:lang w:val="cs-CZ"/>
        </w:rPr>
      </w:pPr>
      <m:oMath>
        <m:r>
          <w:rPr>
            <w:rFonts w:ascii="Cambria Math" w:eastAsia="Calibri" w:hAnsi="Cambria Math"/>
            <w:lang w:val="cs-CZ"/>
          </w:rPr>
          <m:t>a</m:t>
        </m:r>
      </m:oMath>
      <w:r w:rsidRPr="003B6E11">
        <w:rPr>
          <w:lang w:val="cs-CZ"/>
        </w:rPr>
        <w:tab/>
        <w:t>=</w:t>
      </w:r>
      <w:r w:rsidRPr="003B6E11">
        <w:rPr>
          <w:lang w:val="cs-CZ"/>
        </w:rPr>
        <w:tab/>
        <w:t>rozteč žeber [mm];</w:t>
      </w:r>
    </w:p>
    <w:p w:rsidR="003F616C" w:rsidRPr="003B6E11" w:rsidRDefault="00431542" w:rsidP="00511BF6">
      <w:pPr>
        <w:tabs>
          <w:tab w:val="left" w:pos="1418"/>
          <w:tab w:val="left" w:pos="1843"/>
        </w:tabs>
        <w:spacing w:before="60" w:line="240" w:lineRule="atLeast"/>
        <w:ind w:left="1843" w:hanging="850"/>
        <w:rPr>
          <w:rFonts w:eastAsia="Calibri"/>
          <w:lang w:val="cs-CZ"/>
        </w:rPr>
      </w:pPr>
      <m:oMath>
        <m:r>
          <w:rPr>
            <w:rFonts w:ascii="Cambria Math" w:eastAsia="Calibri" w:hAnsi="Cambria Math"/>
            <w:lang w:val="cs-CZ"/>
          </w:rPr>
          <m:t>f</m:t>
        </m:r>
      </m:oMath>
      <w:r w:rsidRPr="003B6E11">
        <w:rPr>
          <w:lang w:val="cs-CZ"/>
        </w:rPr>
        <w:tab/>
        <w:t>=</w:t>
      </w:r>
      <w:r w:rsidRPr="003B6E11">
        <w:rPr>
          <w:lang w:val="cs-CZ"/>
        </w:rPr>
        <w:tab/>
        <w:t>koeficient rozteče žeber</w:t>
      </w:r>
    </w:p>
    <w:p w:rsidR="00767591" w:rsidRPr="003B6E11" w:rsidRDefault="00731F17" w:rsidP="00511BF6">
      <w:pPr>
        <w:tabs>
          <w:tab w:val="left" w:pos="2268"/>
        </w:tabs>
        <w:spacing w:before="60" w:line="240" w:lineRule="atLeast"/>
        <w:ind w:left="2694" w:hanging="851"/>
        <w:rPr>
          <w:rFonts w:eastAsia="Calibri"/>
          <w:lang w:val="cs-CZ"/>
        </w:rPr>
      </w:pPr>
      <m:oMath>
        <m:r>
          <w:rPr>
            <w:rFonts w:ascii="Cambria Math" w:eastAsia="Calibri" w:hAnsi="Cambria Math"/>
            <w:lang w:val="cs-CZ"/>
          </w:rPr>
          <m:t>f = 1</m:t>
        </m:r>
      </m:oMath>
      <w:r w:rsidRPr="003B6E11">
        <w:rPr>
          <w:lang w:val="cs-CZ"/>
        </w:rPr>
        <w:t xml:space="preserve"> pro </w:t>
      </w:r>
      <m:oMath>
        <m:r>
          <w:rPr>
            <w:rFonts w:ascii="Cambria Math" w:eastAsia="Calibri" w:hAnsi="Cambria Math"/>
            <w:lang w:val="cs-CZ"/>
          </w:rPr>
          <m:t>a ≤500 mm,</m:t>
        </m:r>
      </m:oMath>
      <w:r w:rsidRPr="003B6E11">
        <w:rPr>
          <w:lang w:val="cs-CZ"/>
        </w:rPr>
        <w:t xml:space="preserve"> </w:t>
      </w:r>
    </w:p>
    <w:p w:rsidR="003F616C" w:rsidRPr="003B6E11" w:rsidRDefault="00731F17" w:rsidP="00511BF6">
      <w:pPr>
        <w:tabs>
          <w:tab w:val="left" w:pos="2268"/>
        </w:tabs>
        <w:spacing w:before="60" w:line="240" w:lineRule="atLeast"/>
        <w:ind w:left="2694" w:hanging="851"/>
        <w:rPr>
          <w:rFonts w:eastAsia="Calibri"/>
          <w:lang w:val="cs-CZ"/>
        </w:rPr>
      </w:pPr>
      <m:oMath>
        <m:r>
          <w:rPr>
            <w:rFonts w:ascii="Cambria Math" w:eastAsia="Calibri" w:hAnsi="Cambria Math"/>
            <w:lang w:val="cs-CZ"/>
          </w:rPr>
          <m:t>f= 1 + 0,0013 (a - 500)</m:t>
        </m:r>
      </m:oMath>
      <w:r w:rsidRPr="003B6E11">
        <w:rPr>
          <w:lang w:val="cs-CZ"/>
        </w:rPr>
        <w:t xml:space="preserve"> pro </w:t>
      </w:r>
      <m:oMath>
        <m:r>
          <w:rPr>
            <w:rFonts w:ascii="Cambria Math" w:eastAsia="Calibri" w:hAnsi="Cambria Math"/>
            <w:lang w:val="cs-CZ"/>
          </w:rPr>
          <m:t>a &gt; 500 mm;</m:t>
        </m:r>
      </m:oMath>
    </w:p>
    <w:p w:rsidR="003F616C" w:rsidRPr="003B6E11" w:rsidRDefault="00431542" w:rsidP="00511BF6">
      <w:pPr>
        <w:tabs>
          <w:tab w:val="left" w:pos="1418"/>
          <w:tab w:val="left" w:pos="1843"/>
        </w:tabs>
        <w:spacing w:before="60" w:line="240" w:lineRule="atLeast"/>
        <w:ind w:left="1843" w:hanging="850"/>
        <w:rPr>
          <w:rFonts w:eastAsia="Calibri"/>
          <w:lang w:val="cs-CZ"/>
        </w:rPr>
      </w:pPr>
      <m:oMath>
        <m:r>
          <w:rPr>
            <w:rFonts w:ascii="Cambria Math" w:eastAsia="Calibri" w:hAnsi="Cambria Math"/>
            <w:lang w:val="cs-CZ"/>
          </w:rPr>
          <m:t>b</m:t>
        </m:r>
      </m:oMath>
      <w:r w:rsidRPr="003B6E11">
        <w:rPr>
          <w:lang w:val="cs-CZ"/>
        </w:rPr>
        <w:tab/>
        <w:t>=</w:t>
      </w:r>
      <w:r w:rsidRPr="003B6E11">
        <w:rPr>
          <w:lang w:val="cs-CZ"/>
        </w:rPr>
        <w:tab/>
        <w:t>koeficient pro obšívku dna, boků nebo outoru</w:t>
      </w:r>
    </w:p>
    <w:p w:rsidR="003F616C" w:rsidRPr="003B6E11" w:rsidRDefault="00731F17" w:rsidP="00511BF6">
      <w:pPr>
        <w:tabs>
          <w:tab w:val="left" w:pos="2268"/>
        </w:tabs>
        <w:spacing w:before="60" w:line="240" w:lineRule="atLeast"/>
        <w:ind w:left="2694" w:hanging="851"/>
        <w:rPr>
          <w:rFonts w:eastAsia="Calibri"/>
          <w:lang w:val="cs-CZ"/>
        </w:rPr>
      </w:pPr>
      <m:oMath>
        <m:r>
          <w:rPr>
            <w:rFonts w:ascii="Cambria Math" w:eastAsia="Calibri" w:hAnsi="Cambria Math"/>
            <w:lang w:val="cs-CZ"/>
          </w:rPr>
          <m:t>b = 1,0</m:t>
        </m:r>
      </m:oMath>
      <w:r w:rsidRPr="003B6E11">
        <w:rPr>
          <w:lang w:val="cs-CZ"/>
        </w:rPr>
        <w:t xml:space="preserve"> pro obšívku dna a boků, </w:t>
      </w:r>
    </w:p>
    <w:p w:rsidR="003F616C" w:rsidRPr="003B6E11" w:rsidRDefault="00731F17" w:rsidP="00511BF6">
      <w:pPr>
        <w:tabs>
          <w:tab w:val="left" w:pos="2268"/>
        </w:tabs>
        <w:spacing w:before="60" w:line="240" w:lineRule="atLeast"/>
        <w:ind w:left="2694" w:hanging="851"/>
        <w:rPr>
          <w:rFonts w:eastAsia="Calibri"/>
          <w:lang w:val="cs-CZ"/>
        </w:rPr>
      </w:pPr>
      <m:oMath>
        <m:r>
          <w:rPr>
            <w:rFonts w:ascii="Cambria Math" w:eastAsia="Calibri" w:hAnsi="Cambria Math"/>
            <w:lang w:val="cs-CZ"/>
          </w:rPr>
          <m:t>b = 1,25</m:t>
        </m:r>
      </m:oMath>
      <w:r w:rsidRPr="003B6E11">
        <w:rPr>
          <w:lang w:val="cs-CZ"/>
        </w:rPr>
        <w:t xml:space="preserve"> pro obšívku outoru.</w:t>
      </w:r>
    </w:p>
    <w:p w:rsidR="00767591" w:rsidRPr="003B6E11" w:rsidRDefault="00767591" w:rsidP="00767591">
      <w:pPr>
        <w:rPr>
          <w:rFonts w:cs="Arial"/>
          <w:szCs w:val="20"/>
          <w:lang w:val="cs-CZ"/>
        </w:rPr>
      </w:pPr>
    </w:p>
    <w:p w:rsidR="003F616C" w:rsidRPr="003B6E11" w:rsidRDefault="00731F17" w:rsidP="009058C5">
      <w:pPr>
        <w:tabs>
          <w:tab w:val="left" w:pos="1418"/>
          <w:tab w:val="left" w:pos="1843"/>
        </w:tabs>
        <w:spacing w:before="60" w:line="240" w:lineRule="atLeast"/>
        <w:ind w:left="1843" w:hanging="850"/>
        <w:rPr>
          <w:rFonts w:eastAsia="Calibri"/>
          <w:lang w:val="cs-CZ"/>
        </w:rPr>
      </w:pPr>
      <m:oMath>
        <m:r>
          <w:rPr>
            <w:rFonts w:ascii="Cambria Math" w:hAnsi="Cambria Math" w:cs="Arial"/>
            <w:lang w:val="cs-CZ"/>
          </w:rPr>
          <m:t>f = 1</m:t>
        </m:r>
      </m:oMath>
      <w:r w:rsidRPr="003B6E11">
        <w:rPr>
          <w:lang w:val="cs-CZ"/>
        </w:rPr>
        <w:tab/>
        <w:t>lze použít pro rozteč žeber při výpočtu minimální tloušťky obšívky boků. Minimální tloušťka obšívky outoru nesmí být v žádném případě menší než tloušťka obšívky dna a boků.</w:t>
      </w:r>
    </w:p>
    <w:p w:rsidR="003F616C" w:rsidRPr="003B6E11" w:rsidRDefault="00431542" w:rsidP="009058C5">
      <w:pPr>
        <w:tabs>
          <w:tab w:val="left" w:pos="1418"/>
          <w:tab w:val="left" w:pos="1843"/>
        </w:tabs>
        <w:spacing w:before="60" w:line="240" w:lineRule="atLeast"/>
        <w:ind w:left="1843" w:hanging="850"/>
        <w:rPr>
          <w:rFonts w:eastAsia="Calibri"/>
          <w:lang w:val="cs-CZ"/>
        </w:rPr>
      </w:pPr>
      <m:oMath>
        <m:r>
          <w:rPr>
            <w:rFonts w:ascii="Cambria Math" w:eastAsia="Calibri" w:hAnsi="Cambria Math"/>
            <w:lang w:val="cs-CZ"/>
          </w:rPr>
          <m:t>c</m:t>
        </m:r>
      </m:oMath>
      <w:r w:rsidRPr="003B6E11">
        <w:rPr>
          <w:lang w:val="cs-CZ"/>
        </w:rPr>
        <w:tab/>
        <w:t>=</w:t>
      </w:r>
      <w:r w:rsidRPr="003B6E11">
        <w:rPr>
          <w:lang w:val="cs-CZ"/>
        </w:rPr>
        <w:tab/>
        <w:t>koeficient pro určitý typ konstrukce:</w:t>
      </w:r>
    </w:p>
    <w:p w:rsidR="00767591" w:rsidRPr="003B6E11" w:rsidRDefault="00731F17" w:rsidP="00731F17">
      <w:pPr>
        <w:tabs>
          <w:tab w:val="left" w:pos="2835"/>
        </w:tabs>
        <w:spacing w:before="60" w:line="240" w:lineRule="atLeast"/>
        <w:ind w:left="2835" w:hanging="992"/>
        <w:rPr>
          <w:rFonts w:eastAsia="Calibri"/>
          <w:lang w:val="cs-CZ"/>
        </w:rPr>
      </w:pPr>
      <m:oMath>
        <m:r>
          <w:rPr>
            <w:rFonts w:ascii="Cambria Math" w:eastAsia="Calibri" w:hAnsi="Cambria Math"/>
            <w:lang w:val="cs-CZ"/>
          </w:rPr>
          <m:t>c = 0,95</m:t>
        </m:r>
      </m:oMath>
      <w:r w:rsidRPr="003B6E11">
        <w:rPr>
          <w:lang w:val="cs-CZ"/>
        </w:rPr>
        <w:tab/>
        <w:t>u lodí s dvojitým dnem a dvojitými boky, pokud dělicí stěna mezi bočními prostory a podpalubním nákladovým prostorem je umístěna svisle v rovině silu,</w:t>
      </w:r>
    </w:p>
    <w:p w:rsidR="003F616C" w:rsidRPr="003B6E11" w:rsidRDefault="00731F17" w:rsidP="00731F17">
      <w:pPr>
        <w:tabs>
          <w:tab w:val="left" w:pos="2835"/>
        </w:tabs>
        <w:spacing w:before="60" w:line="240" w:lineRule="atLeast"/>
        <w:ind w:left="2835" w:hanging="992"/>
        <w:rPr>
          <w:rFonts w:eastAsia="Calibri"/>
          <w:lang w:val="cs-CZ"/>
        </w:rPr>
      </w:pPr>
      <m:oMath>
        <m:r>
          <w:rPr>
            <w:rFonts w:ascii="Cambria Math" w:eastAsia="Calibri" w:hAnsi="Cambria Math"/>
            <w:lang w:val="cs-CZ"/>
          </w:rPr>
          <m:t>c = 1,0</m:t>
        </m:r>
      </m:oMath>
      <w:r w:rsidRPr="003B6E11">
        <w:rPr>
          <w:lang w:val="cs-CZ"/>
        </w:rPr>
        <w:tab/>
        <w:t>u všech ostatních typů konstrukce.</w:t>
      </w:r>
    </w:p>
    <w:p w:rsidR="003F616C" w:rsidRPr="003B6E11" w:rsidRDefault="00850AFF" w:rsidP="00511BF6">
      <w:pPr>
        <w:pStyle w:val="ESlet"/>
        <w:rPr>
          <w:lang w:val="cs-CZ"/>
        </w:rPr>
      </w:pPr>
      <w:r w:rsidRPr="003B6E11">
        <w:rPr>
          <w:lang w:val="cs-CZ"/>
        </w:rPr>
        <w:br w:type="page"/>
        <w:t>c)</w:t>
      </w:r>
      <w:r w:rsidRPr="003B6E11">
        <w:rPr>
          <w:lang w:val="cs-CZ"/>
        </w:rPr>
        <w:tab/>
        <w:t>U lodí s podélnými výztuhami s dvojitým dnem a dvojitými boky lze snížit minimální vypočtenou hodnotu pro tloušťku obšívky podle vzorce v písmenu b) na vypočtenou hodnotu, kterou uznaná klasifikační společnost osvědčila pro dostatečnou pevnost lodního trupu (podélná, příčná a místní pevnost).</w:t>
      </w:r>
    </w:p>
    <w:p w:rsidR="003F616C" w:rsidRPr="003B6E11" w:rsidRDefault="003F616C" w:rsidP="009058C5">
      <w:pPr>
        <w:pStyle w:val="ESletpar"/>
        <w:rPr>
          <w:lang w:val="cs-CZ"/>
        </w:rPr>
      </w:pPr>
      <w:r w:rsidRPr="003B6E11">
        <w:rPr>
          <w:lang w:val="cs-CZ"/>
        </w:rPr>
        <w:t>Obšívku je nutno obnovit, pokud je tloušťka obšívky dna, outoru nebo boků menší než přípustná hodnota, která byla tímto způsobem stanovena.</w:t>
      </w:r>
    </w:p>
    <w:p w:rsidR="003F616C" w:rsidRPr="003B6E11" w:rsidRDefault="003F616C" w:rsidP="009058C5">
      <w:pPr>
        <w:pStyle w:val="ESletpar"/>
        <w:rPr>
          <w:rFonts w:cs="Arial"/>
          <w:szCs w:val="20"/>
          <w:lang w:val="cs-CZ"/>
        </w:rPr>
      </w:pPr>
      <w:r w:rsidRPr="003B6E11">
        <w:rPr>
          <w:lang w:val="cs-CZ"/>
        </w:rPr>
        <w:t>Minimální hodnoty stanovené výše uvedeným způsobem jsou mezními hodnotami při zohlednění běžného a rovnoměrného opotřebení a za předpokladu, že je použita lodní ocel a že vnitřní konstrukční prvky jako žebra, výztuže dna, hlavní podélné a příčné konstrukční prvky jsou v dobrém stavu a že lodní trup nevykazuje žádné známky přílišného namáhání z hlediska podélné pevnosti.</w:t>
      </w:r>
    </w:p>
    <w:p w:rsidR="003F616C" w:rsidRPr="003B6E11" w:rsidRDefault="003F616C" w:rsidP="009058C5">
      <w:pPr>
        <w:pStyle w:val="ESletpar"/>
        <w:rPr>
          <w:rFonts w:cs="Arial"/>
          <w:szCs w:val="20"/>
          <w:lang w:val="cs-CZ"/>
        </w:rPr>
      </w:pPr>
      <w:r w:rsidRPr="003B6E11">
        <w:rPr>
          <w:lang w:val="cs-CZ"/>
        </w:rPr>
        <w:t>Není-li těchto hodnot dosaženo, je nutno dotyčnou obšívku opravit nebo vyměnit. Místně jsou však u malých ploch přípustné menší tloušťky, nejvýše však o 10 % vypočtených hodnot.</w:t>
      </w:r>
    </w:p>
    <w:p w:rsidR="00767591" w:rsidRPr="003B6E11" w:rsidRDefault="00767591" w:rsidP="006A4BCB">
      <w:pPr>
        <w:pStyle w:val="ESch"/>
        <w:rPr>
          <w:lang w:val="cs-CZ"/>
        </w:rPr>
      </w:pPr>
    </w:p>
    <w:p w:rsidR="003F616C" w:rsidRPr="003B6E11" w:rsidRDefault="003F616C" w:rsidP="008E6308">
      <w:pPr>
        <w:pStyle w:val="ESch"/>
        <w:rPr>
          <w:lang w:val="cs-CZ"/>
        </w:rPr>
      </w:pPr>
      <w:r w:rsidRPr="003B6E11">
        <w:rPr>
          <w:lang w:val="cs-CZ"/>
        </w:rPr>
        <w:t>2.</w:t>
      </w:r>
      <w:r w:rsidRPr="003B6E11">
        <w:rPr>
          <w:lang w:val="cs-CZ"/>
        </w:rPr>
        <w:tab/>
        <w:t>Použije-li se na konstrukci lodního trupu jiný materiál než ocel, je nutno výpočtem prokázat, že pevnost lodního trupu (podélná, příčná a místní) odpovídá nejméně pevnosti, jíž by bylo dosaženo při použití ocele s minimální tloušťkou podle bodu 1. Je-li předloženo osvědčení třídy nebo prohlášení vystavené uznanou klasifikační společností, lze od důkazu pomocí výpočtu upustit.</w:t>
      </w:r>
    </w:p>
    <w:p w:rsidR="00767591" w:rsidRPr="003B6E11" w:rsidRDefault="00767591" w:rsidP="003F616C">
      <w:pPr>
        <w:rPr>
          <w:rFonts w:cs="Arial"/>
          <w:szCs w:val="20"/>
          <w:lang w:val="cs-CZ"/>
        </w:rPr>
      </w:pPr>
    </w:p>
    <w:p w:rsidR="003F616C" w:rsidRPr="003B6E11" w:rsidRDefault="003F616C" w:rsidP="008E6308">
      <w:pPr>
        <w:pStyle w:val="ESch"/>
        <w:rPr>
          <w:lang w:val="cs-CZ"/>
        </w:rPr>
      </w:pPr>
      <w:r w:rsidRPr="003B6E11">
        <w:rPr>
          <w:lang w:val="cs-CZ"/>
        </w:rPr>
        <w:t>3.</w:t>
      </w:r>
      <w:r w:rsidRPr="003B6E11">
        <w:rPr>
          <w:lang w:val="cs-CZ"/>
        </w:rPr>
        <w:tab/>
        <w:t>Stabilita lodi musí odpovídat jejímu předpokládanému použití.</w:t>
      </w:r>
    </w:p>
    <w:p w:rsidR="00767591" w:rsidRPr="003B6E11" w:rsidRDefault="00767591" w:rsidP="003F616C">
      <w:pPr>
        <w:rPr>
          <w:rFonts w:cs="Arial"/>
          <w:i/>
          <w:szCs w:val="20"/>
          <w:lang w:val="cs-CZ"/>
        </w:rPr>
      </w:pPr>
    </w:p>
    <w:p w:rsidR="00767591" w:rsidRPr="003B6E11" w:rsidRDefault="00767591" w:rsidP="003F616C">
      <w:pPr>
        <w:rPr>
          <w:rFonts w:cs="Arial"/>
          <w:i/>
          <w:szCs w:val="20"/>
          <w:lang w:val="cs-CZ"/>
        </w:rPr>
      </w:pPr>
    </w:p>
    <w:p w:rsidR="003F616C" w:rsidRPr="003B6E11" w:rsidRDefault="003F616C" w:rsidP="00767591">
      <w:pPr>
        <w:pStyle w:val="ES-Titre3"/>
        <w:rPr>
          <w:lang w:val="cs-CZ"/>
        </w:rPr>
      </w:pPr>
      <w:bookmarkStart w:id="22" w:name="_Toc491854011"/>
      <w:bookmarkStart w:id="23" w:name="_Toc535416917"/>
      <w:r w:rsidRPr="003B6E11">
        <w:rPr>
          <w:lang w:val="cs-CZ"/>
        </w:rPr>
        <w:t>Článek 3.03</w:t>
      </w:r>
      <w:r w:rsidRPr="003B6E11">
        <w:rPr>
          <w:lang w:val="cs-CZ"/>
        </w:rPr>
        <w:br/>
      </w:r>
      <w:r w:rsidRPr="003B6E11">
        <w:rPr>
          <w:i/>
          <w:lang w:val="cs-CZ"/>
        </w:rPr>
        <w:t>Lodní trup</w:t>
      </w:r>
      <w:bookmarkEnd w:id="22"/>
      <w:bookmarkEnd w:id="23"/>
    </w:p>
    <w:p w:rsidR="00767591" w:rsidRPr="003B6E11" w:rsidRDefault="00767591" w:rsidP="003F616C">
      <w:pPr>
        <w:rPr>
          <w:rFonts w:cs="Arial"/>
          <w:szCs w:val="20"/>
          <w:lang w:val="cs-CZ"/>
        </w:rPr>
      </w:pPr>
    </w:p>
    <w:p w:rsidR="003F616C" w:rsidRPr="003B6E11" w:rsidRDefault="003F616C" w:rsidP="009058C5">
      <w:pPr>
        <w:pStyle w:val="ESch"/>
        <w:rPr>
          <w:lang w:val="cs-CZ"/>
        </w:rPr>
      </w:pPr>
      <w:r w:rsidRPr="003B6E11">
        <w:rPr>
          <w:lang w:val="cs-CZ"/>
        </w:rPr>
        <w:t>1.</w:t>
      </w:r>
      <w:r w:rsidRPr="003B6E11">
        <w:rPr>
          <w:lang w:val="cs-CZ"/>
        </w:rPr>
        <w:tab/>
        <w:t>Přepážky protažené až k palubě, nebo není-li paluba, k okrajnici, musí být umístěny v těchto bodech:</w:t>
      </w:r>
    </w:p>
    <w:p w:rsidR="003F616C" w:rsidRPr="003B6E11" w:rsidRDefault="005C7859" w:rsidP="008E6308">
      <w:pPr>
        <w:pStyle w:val="ESlet"/>
        <w:rPr>
          <w:lang w:val="cs-CZ"/>
        </w:rPr>
      </w:pPr>
      <w:r w:rsidRPr="003B6E11">
        <w:rPr>
          <w:lang w:val="cs-CZ"/>
        </w:rPr>
        <w:t>a)</w:t>
      </w:r>
      <w:r w:rsidRPr="003B6E11">
        <w:rPr>
          <w:lang w:val="cs-CZ"/>
        </w:rPr>
        <w:tab/>
        <w:t>kolizní přepážka ve vhodné vzdálenosti od přídě, tak aby byla zajištěna plovatelnost naložené lodi, se zbývající bezpečnostní vzdáleností 100 mm, pokud voda pronikne do vodotěsného oddělení před kolizní přepážkou.</w:t>
      </w:r>
    </w:p>
    <w:p w:rsidR="003F616C" w:rsidRPr="003B6E11" w:rsidRDefault="003F616C" w:rsidP="008E6308">
      <w:pPr>
        <w:pStyle w:val="ESletpar"/>
        <w:rPr>
          <w:lang w:val="cs-CZ"/>
        </w:rPr>
      </w:pPr>
      <w:r w:rsidRPr="003B6E11">
        <w:rPr>
          <w:lang w:val="cs-CZ"/>
        </w:rPr>
        <w:t xml:space="preserve">Obecně se požadavek podle bodu 1 považuje za splněný, byla-li kolizní přepážka instalována ve vzdálenosti mezi </w:t>
      </w:r>
      <m:oMath>
        <m:r>
          <w:rPr>
            <w:rFonts w:ascii="Cambria Math" w:hAnsi="Cambria Math" w:cs="Arial"/>
            <w:szCs w:val="20"/>
            <w:lang w:val="cs-CZ"/>
          </w:rPr>
          <m:t>0,04 L</m:t>
        </m:r>
      </m:oMath>
      <w:r w:rsidRPr="003B6E11">
        <w:rPr>
          <w:lang w:val="cs-CZ"/>
        </w:rPr>
        <w:t xml:space="preserve"> a </w:t>
      </w:r>
      <m:oMath>
        <m:r>
          <w:rPr>
            <w:rFonts w:ascii="Cambria Math" w:hAnsi="Cambria Math" w:cs="Arial"/>
            <w:szCs w:val="20"/>
            <w:lang w:val="cs-CZ"/>
          </w:rPr>
          <m:t>0,04 L + 2 m</m:t>
        </m:r>
      </m:oMath>
      <w:r w:rsidRPr="003B6E11">
        <w:rPr>
          <w:lang w:val="cs-CZ"/>
        </w:rPr>
        <w:t>, měřeno od přední svislice v rovině největšího přípustného ponoru.</w:t>
      </w:r>
    </w:p>
    <w:p w:rsidR="003F616C" w:rsidRPr="003B6E11" w:rsidRDefault="003F616C" w:rsidP="008E6308">
      <w:pPr>
        <w:pStyle w:val="ESletpar"/>
        <w:rPr>
          <w:lang w:val="cs-CZ"/>
        </w:rPr>
      </w:pPr>
      <w:r w:rsidRPr="003B6E11">
        <w:rPr>
          <w:lang w:val="cs-CZ"/>
        </w:rPr>
        <w:t xml:space="preserve">Je-li tato vzdálenost větší než </w:t>
      </w:r>
      <m:oMath>
        <m:r>
          <w:rPr>
            <w:rFonts w:ascii="Cambria Math" w:hAnsi="Cambria Math" w:cs="Arial"/>
            <w:szCs w:val="20"/>
            <w:lang w:val="cs-CZ"/>
          </w:rPr>
          <m:t>0,04 L + 2 m</m:t>
        </m:r>
      </m:oMath>
      <w:r w:rsidRPr="003B6E11">
        <w:rPr>
          <w:lang w:val="cs-CZ"/>
        </w:rPr>
        <w:t>, je nutno splnění požadavku podle bodu 1 prokázat výpočtem.</w:t>
      </w:r>
    </w:p>
    <w:p w:rsidR="00767591" w:rsidRPr="003B6E11" w:rsidRDefault="003F616C" w:rsidP="008E6308">
      <w:pPr>
        <w:pStyle w:val="ESletpar"/>
        <w:rPr>
          <w:rFonts w:cs="Arial"/>
          <w:szCs w:val="20"/>
          <w:lang w:val="cs-CZ"/>
        </w:rPr>
      </w:pPr>
      <w:r w:rsidRPr="003B6E11">
        <w:rPr>
          <w:lang w:val="cs-CZ"/>
        </w:rPr>
        <w:t xml:space="preserve">Vzdálenost může být zkrácena na </w:t>
      </w:r>
      <m:oMath>
        <m:r>
          <w:rPr>
            <w:rFonts w:ascii="Cambria Math" w:hAnsi="Cambria Math" w:cs="Arial"/>
            <w:szCs w:val="20"/>
            <w:lang w:val="cs-CZ"/>
          </w:rPr>
          <m:t>0,03 L</m:t>
        </m:r>
      </m:oMath>
      <w:r w:rsidRPr="003B6E11">
        <w:rPr>
          <w:lang w:val="cs-CZ"/>
        </w:rPr>
        <w:t>. V takovém případě je nutno splnění požadavku podle bodu 1 prokázat výpočtem na základě předpokladu, že oddělení před kolizní přepážkou a oddělení přilehlá byla zcela zaplavena;</w:t>
      </w:r>
    </w:p>
    <w:p w:rsidR="00C62373" w:rsidRPr="003B6E11" w:rsidRDefault="00C62373" w:rsidP="00767591">
      <w:pPr>
        <w:rPr>
          <w:rFonts w:cs="Arial"/>
          <w:szCs w:val="20"/>
          <w:lang w:val="cs-CZ"/>
        </w:rPr>
      </w:pPr>
    </w:p>
    <w:p w:rsidR="00C62373" w:rsidRPr="003B6E11" w:rsidRDefault="00C62373" w:rsidP="00767591">
      <w:pPr>
        <w:rPr>
          <w:rFonts w:cs="Arial"/>
          <w:szCs w:val="20"/>
          <w:lang w:val="cs-CZ"/>
        </w:rPr>
      </w:pPr>
    </w:p>
    <w:p w:rsidR="00767591" w:rsidRPr="003B6E11" w:rsidRDefault="00767591" w:rsidP="00321E38">
      <w:pPr>
        <w:rPr>
          <w:rFonts w:cs="Arial"/>
          <w:szCs w:val="20"/>
          <w:lang w:val="cs-CZ"/>
        </w:rPr>
      </w:pPr>
      <w:r w:rsidRPr="003B6E11">
        <w:rPr>
          <w:lang w:val="cs-CZ"/>
        </w:rPr>
        <w:br w:type="page"/>
      </w:r>
    </w:p>
    <w:p w:rsidR="003F616C" w:rsidRPr="003B6E11" w:rsidRDefault="003F616C" w:rsidP="008E6308">
      <w:pPr>
        <w:pStyle w:val="ESlet"/>
        <w:rPr>
          <w:rFonts w:cs="Arial"/>
          <w:szCs w:val="20"/>
          <w:lang w:val="cs-CZ"/>
        </w:rPr>
      </w:pPr>
      <w:r w:rsidRPr="003B6E11">
        <w:rPr>
          <w:lang w:val="cs-CZ"/>
        </w:rPr>
        <w:t>b)</w:t>
      </w:r>
      <w:r w:rsidRPr="003B6E11">
        <w:rPr>
          <w:lang w:val="cs-CZ"/>
        </w:rPr>
        <w:tab/>
        <w:t xml:space="preserve">záďová přepážka ve vhodné vzdálenosti od zádi, pokud délka lodi </w:t>
      </w:r>
      <m:oMath>
        <m:r>
          <w:rPr>
            <w:rFonts w:ascii="Cambria Math" w:hAnsi="Cambria Math" w:cs="Arial"/>
            <w:szCs w:val="20"/>
            <w:lang w:val="cs-CZ"/>
          </w:rPr>
          <m:t>L</m:t>
        </m:r>
      </m:oMath>
      <w:r w:rsidRPr="003B6E11">
        <w:rPr>
          <w:lang w:val="cs-CZ"/>
        </w:rPr>
        <w:t xml:space="preserve"> přesahuje 25 m, tak aby byla zajištěna plovatelnost naložené lodi, se zbývající bezpečnostní vzdáleností 100 mm, pokud voda pronikne do vodotěsného oddělení za záďovou přepážkou.</w:t>
      </w:r>
    </w:p>
    <w:p w:rsidR="003F616C" w:rsidRPr="003B6E11" w:rsidRDefault="003F616C" w:rsidP="008E6308">
      <w:pPr>
        <w:pStyle w:val="ESletpar"/>
        <w:rPr>
          <w:rFonts w:cs="Arial"/>
          <w:szCs w:val="20"/>
          <w:lang w:val="cs-CZ"/>
        </w:rPr>
      </w:pPr>
      <w:r w:rsidRPr="003B6E11">
        <w:rPr>
          <w:lang w:val="cs-CZ"/>
        </w:rPr>
        <w:t xml:space="preserve">Obecně se požadavek podle bodu 1 považuje za splněný, byla-li záďová přepážka instalována ve vzdálenosti mezi 1,4 m a </w:t>
      </w:r>
      <m:oMath>
        <m:r>
          <w:rPr>
            <w:rFonts w:ascii="Cambria Math" w:hAnsi="Cambria Math" w:cs="Arial"/>
            <w:szCs w:val="20"/>
            <w:lang w:val="cs-CZ"/>
          </w:rPr>
          <m:t>0,04 L + 2 m</m:t>
        </m:r>
      </m:oMath>
      <w:r w:rsidRPr="003B6E11">
        <w:rPr>
          <w:lang w:val="cs-CZ"/>
        </w:rPr>
        <w:t>, měřeno od zadního průsečíku lodního trupu s rovinou největšího přípustného ponoru.</w:t>
      </w:r>
    </w:p>
    <w:p w:rsidR="003F616C" w:rsidRPr="003B6E11" w:rsidRDefault="003F616C" w:rsidP="008E6308">
      <w:pPr>
        <w:pStyle w:val="ESletpar"/>
        <w:rPr>
          <w:rFonts w:cs="Arial"/>
          <w:szCs w:val="20"/>
          <w:lang w:val="cs-CZ"/>
        </w:rPr>
      </w:pPr>
      <w:r w:rsidRPr="003B6E11">
        <w:rPr>
          <w:lang w:val="cs-CZ"/>
        </w:rPr>
        <w:t xml:space="preserve">Je-li tato vzdálenost větší než </w:t>
      </w:r>
      <m:oMath>
        <m:r>
          <w:rPr>
            <w:rFonts w:ascii="Cambria Math" w:hAnsi="Cambria Math" w:cs="Arial"/>
            <w:szCs w:val="20"/>
            <w:lang w:val="cs-CZ"/>
          </w:rPr>
          <m:t>0,04 L + 2 m</m:t>
        </m:r>
      </m:oMath>
      <w:r w:rsidRPr="003B6E11">
        <w:rPr>
          <w:lang w:val="cs-CZ"/>
        </w:rPr>
        <w:t>, je nutno splnění požadavku podle bodu 1 prokázat výpočtem.</w:t>
      </w:r>
    </w:p>
    <w:p w:rsidR="003F616C" w:rsidRPr="003B6E11" w:rsidRDefault="003F616C" w:rsidP="008E6308">
      <w:pPr>
        <w:pStyle w:val="ESletpar"/>
        <w:rPr>
          <w:lang w:val="cs-CZ"/>
        </w:rPr>
      </w:pPr>
      <w:r w:rsidRPr="003B6E11">
        <w:rPr>
          <w:lang w:val="cs-CZ"/>
        </w:rPr>
        <w:t>Vzdálenost může být zkrácena na 1 m. V takovém případě je nutno splnění požadavku podle bodu 1 prokázat výpočtem na základě předpokladu, že oddělení za záďovou přepážkou a oddělení v jeho bezprostředním sousedství byla zaplavena.</w:t>
      </w:r>
    </w:p>
    <w:p w:rsidR="00767591" w:rsidRPr="003B6E11" w:rsidRDefault="00767591" w:rsidP="008E6308">
      <w:pPr>
        <w:pStyle w:val="ESch"/>
        <w:rPr>
          <w:rFonts w:cs="Arial"/>
          <w:szCs w:val="20"/>
          <w:lang w:val="cs-CZ"/>
        </w:rPr>
      </w:pPr>
    </w:p>
    <w:p w:rsidR="005A78A5" w:rsidRPr="003B6E11" w:rsidRDefault="003F616C" w:rsidP="00321E38">
      <w:pPr>
        <w:pStyle w:val="ESch"/>
        <w:rPr>
          <w:rFonts w:cs="Arial"/>
          <w:szCs w:val="20"/>
          <w:lang w:val="cs-CZ"/>
        </w:rPr>
      </w:pPr>
      <w:r w:rsidRPr="003B6E11">
        <w:rPr>
          <w:lang w:val="cs-CZ"/>
        </w:rPr>
        <w:t>2.</w:t>
      </w:r>
      <w:r w:rsidRPr="003B6E11">
        <w:rPr>
          <w:lang w:val="cs-CZ"/>
        </w:rPr>
        <w:tab/>
        <w:t xml:space="preserve">Před rovinou kolizní přepážky nebo za záďovou přepážkou se nesmí nacházet žádné obytné prostory nebo zařízení potřebná pro bezpečnost nebo provoz lodi. </w:t>
      </w:r>
    </w:p>
    <w:p w:rsidR="005A78A5" w:rsidRPr="003B6E11" w:rsidRDefault="005A78A5" w:rsidP="00321E38">
      <w:pPr>
        <w:pStyle w:val="ESch"/>
        <w:rPr>
          <w:rFonts w:cs="Arial"/>
          <w:szCs w:val="20"/>
          <w:lang w:val="cs-CZ"/>
        </w:rPr>
      </w:pPr>
    </w:p>
    <w:p w:rsidR="003F616C" w:rsidRPr="003B6E11" w:rsidRDefault="003F616C" w:rsidP="005A78A5">
      <w:pPr>
        <w:pStyle w:val="ESchpar"/>
        <w:rPr>
          <w:lang w:val="cs-CZ"/>
        </w:rPr>
      </w:pPr>
      <w:r w:rsidRPr="003B6E11">
        <w:rPr>
          <w:lang w:val="cs-CZ"/>
        </w:rPr>
        <w:t>Tento požadavek se nevztahuje na kotevní zařízení nebo kormidelní stroj.</w:t>
      </w:r>
    </w:p>
    <w:p w:rsidR="00767591" w:rsidRPr="003B6E11" w:rsidRDefault="00767591" w:rsidP="00321E38">
      <w:pPr>
        <w:pStyle w:val="ESch"/>
        <w:rPr>
          <w:rFonts w:cs="Arial"/>
          <w:szCs w:val="20"/>
          <w:lang w:val="cs-CZ"/>
        </w:rPr>
      </w:pPr>
    </w:p>
    <w:p w:rsidR="003F616C" w:rsidRPr="003B6E11" w:rsidRDefault="003F616C" w:rsidP="00321E38">
      <w:pPr>
        <w:pStyle w:val="ESch"/>
        <w:rPr>
          <w:lang w:val="cs-CZ"/>
        </w:rPr>
      </w:pPr>
      <w:r w:rsidRPr="003B6E11">
        <w:rPr>
          <w:lang w:val="cs-CZ"/>
        </w:rPr>
        <w:t>3.</w:t>
      </w:r>
      <w:r w:rsidRPr="003B6E11">
        <w:rPr>
          <w:lang w:val="cs-CZ"/>
        </w:rPr>
        <w:tab/>
        <w:t>Obytné prostory, strojovny, kotelny a jakékoli pracovní prostory, které jsou jejich součástí, musí být odděleny od podpalubních nákladových prostorů vodotěsnými příčnými přepážkami protaženými až k palubě.</w:t>
      </w:r>
    </w:p>
    <w:p w:rsidR="00767591" w:rsidRPr="003B6E11" w:rsidRDefault="00767591" w:rsidP="00321E38">
      <w:pPr>
        <w:pStyle w:val="ESch"/>
        <w:rPr>
          <w:rFonts w:cs="Arial"/>
          <w:szCs w:val="20"/>
          <w:lang w:val="cs-CZ"/>
        </w:rPr>
      </w:pPr>
    </w:p>
    <w:p w:rsidR="003F616C" w:rsidRPr="003B6E11" w:rsidRDefault="003F616C" w:rsidP="00321E38">
      <w:pPr>
        <w:pStyle w:val="ESch"/>
        <w:rPr>
          <w:lang w:val="cs-CZ"/>
        </w:rPr>
      </w:pPr>
      <w:r w:rsidRPr="003B6E11">
        <w:rPr>
          <w:lang w:val="cs-CZ"/>
        </w:rPr>
        <w:t>4.</w:t>
      </w:r>
      <w:r w:rsidRPr="003B6E11">
        <w:rPr>
          <w:lang w:val="cs-CZ"/>
        </w:rPr>
        <w:tab/>
        <w:t>Obytné prostory musí být plynotěsně odděleny od strojoven, kotelen a podpalubních nákladových prostorů a musí být přímo přístupné z paluby. Pokud takový přístup není, musí existovat nouzový východ vedoucí přímo na palubu.</w:t>
      </w:r>
    </w:p>
    <w:p w:rsidR="00767591" w:rsidRPr="003B6E11" w:rsidRDefault="00767591" w:rsidP="00321E38">
      <w:pPr>
        <w:pStyle w:val="ESch"/>
        <w:rPr>
          <w:rFonts w:cs="Arial"/>
          <w:szCs w:val="20"/>
          <w:lang w:val="cs-CZ"/>
        </w:rPr>
      </w:pPr>
    </w:p>
    <w:p w:rsidR="003F616C" w:rsidRPr="003B6E11" w:rsidRDefault="003F616C" w:rsidP="00321E38">
      <w:pPr>
        <w:pStyle w:val="ESch"/>
        <w:rPr>
          <w:lang w:val="cs-CZ"/>
        </w:rPr>
      </w:pPr>
      <w:r w:rsidRPr="003B6E11">
        <w:rPr>
          <w:lang w:val="cs-CZ"/>
        </w:rPr>
        <w:t>5.</w:t>
      </w:r>
      <w:r w:rsidRPr="003B6E11">
        <w:rPr>
          <w:lang w:val="cs-CZ"/>
        </w:rPr>
        <w:tab/>
        <w:t>V přepážkách uvedených v bodech 1 a 3 a v oddělení prostor podle bodu 4 nesmí být žádné otvory.</w:t>
      </w:r>
    </w:p>
    <w:p w:rsidR="00767591" w:rsidRPr="003B6E11" w:rsidRDefault="00767591" w:rsidP="00321E38">
      <w:pPr>
        <w:pStyle w:val="ESch"/>
        <w:rPr>
          <w:rFonts w:cs="Arial"/>
          <w:szCs w:val="20"/>
          <w:lang w:val="cs-CZ"/>
        </w:rPr>
      </w:pPr>
    </w:p>
    <w:p w:rsidR="003F616C" w:rsidRPr="003B6E11" w:rsidRDefault="003F616C" w:rsidP="00321E38">
      <w:pPr>
        <w:pStyle w:val="ESchpar"/>
        <w:rPr>
          <w:lang w:val="cs-CZ"/>
        </w:rPr>
      </w:pPr>
      <w:r w:rsidRPr="003B6E11">
        <w:rPr>
          <w:lang w:val="cs-CZ"/>
        </w:rPr>
        <w:t>Jsou však povoleny dveře v záďové přepážce a otvory, zejména pro hřídele a potrubí, pokud jsou navrženy tak, že nesnižují účinnost těchto přepážek a oddělení prostor. Dveře v záďové přepážce jsou povoleny, pokud je v kormidelně možné na dálku kontrolovat, zda jsou otevřené nebo zavřené, přičemž na nich musí být z obou stran umístěn snadno čitelný pokyn:</w:t>
      </w:r>
    </w:p>
    <w:p w:rsidR="00767591" w:rsidRPr="003B6E11" w:rsidRDefault="00767591" w:rsidP="003F616C">
      <w:pPr>
        <w:rPr>
          <w:rFonts w:cs="Arial"/>
          <w:szCs w:val="20"/>
          <w:lang w:val="cs-CZ"/>
        </w:rPr>
      </w:pPr>
    </w:p>
    <w:p w:rsidR="003F616C" w:rsidRPr="003B6E11" w:rsidRDefault="003F616C" w:rsidP="00321E38">
      <w:pPr>
        <w:jc w:val="center"/>
        <w:rPr>
          <w:rFonts w:cs="Arial"/>
          <w:szCs w:val="20"/>
          <w:lang w:val="cs-CZ"/>
        </w:rPr>
      </w:pPr>
      <w:r w:rsidRPr="003B6E11">
        <w:rPr>
          <w:lang w:val="cs-CZ"/>
        </w:rPr>
        <w:t>„Dveře po otevření ihned zavřít“.</w:t>
      </w:r>
    </w:p>
    <w:p w:rsidR="00767591" w:rsidRPr="003B6E11" w:rsidRDefault="00767591" w:rsidP="003F616C">
      <w:pPr>
        <w:rPr>
          <w:rFonts w:cs="Arial"/>
          <w:szCs w:val="20"/>
          <w:lang w:val="cs-CZ"/>
        </w:rPr>
      </w:pPr>
    </w:p>
    <w:p w:rsidR="003F616C" w:rsidRPr="003B6E11" w:rsidRDefault="003F616C" w:rsidP="00321E38">
      <w:pPr>
        <w:pStyle w:val="ESch"/>
        <w:rPr>
          <w:lang w:val="cs-CZ"/>
        </w:rPr>
      </w:pPr>
      <w:r w:rsidRPr="003B6E11">
        <w:rPr>
          <w:lang w:val="cs-CZ"/>
        </w:rPr>
        <w:t>6.</w:t>
      </w:r>
      <w:r w:rsidRPr="003B6E11">
        <w:rPr>
          <w:lang w:val="cs-CZ"/>
        </w:rPr>
        <w:tab/>
        <w:t>Vtoky a odtoky vody a k nim připojená potrubí musí být provedeny tak, aby znemožňovaly jakékoliv neúmyslné vniknutí vody do lodi.</w:t>
      </w:r>
    </w:p>
    <w:p w:rsidR="00767591" w:rsidRPr="003B6E11" w:rsidRDefault="00767591" w:rsidP="00321E38">
      <w:pPr>
        <w:pStyle w:val="ESch"/>
        <w:rPr>
          <w:rFonts w:cs="Arial"/>
          <w:szCs w:val="20"/>
          <w:lang w:val="cs-CZ"/>
        </w:rPr>
      </w:pPr>
    </w:p>
    <w:p w:rsidR="003F616C" w:rsidRPr="003B6E11" w:rsidRDefault="003F616C" w:rsidP="00321E38">
      <w:pPr>
        <w:pStyle w:val="ESch"/>
        <w:rPr>
          <w:lang w:val="cs-CZ"/>
        </w:rPr>
      </w:pPr>
      <w:r w:rsidRPr="003B6E11">
        <w:rPr>
          <w:lang w:val="cs-CZ"/>
        </w:rPr>
        <w:t>7.</w:t>
      </w:r>
      <w:r w:rsidRPr="003B6E11">
        <w:rPr>
          <w:lang w:val="cs-CZ"/>
        </w:rPr>
        <w:tab/>
        <w:t>Příď lodi musí být provedena tak, aby kotvy, zcela ani částečně, nevyčnívaly přes boční obšívku.</w:t>
      </w:r>
    </w:p>
    <w:p w:rsidR="003F616C" w:rsidRPr="003B6E11" w:rsidRDefault="00767591" w:rsidP="003F616C">
      <w:pPr>
        <w:rPr>
          <w:rFonts w:cs="Arial"/>
          <w:szCs w:val="20"/>
          <w:lang w:val="cs-CZ"/>
        </w:rPr>
      </w:pPr>
      <w:r w:rsidRPr="003B6E11">
        <w:rPr>
          <w:lang w:val="cs-CZ"/>
        </w:rPr>
        <w:br w:type="page"/>
      </w:r>
    </w:p>
    <w:p w:rsidR="003F616C" w:rsidRPr="003B6E11" w:rsidRDefault="003F616C" w:rsidP="00767591">
      <w:pPr>
        <w:pStyle w:val="ES-Titre3"/>
        <w:rPr>
          <w:i/>
          <w:lang w:val="cs-CZ"/>
        </w:rPr>
      </w:pPr>
      <w:bookmarkStart w:id="24" w:name="_Toc491854012"/>
      <w:bookmarkStart w:id="25" w:name="_Toc535416918"/>
      <w:r w:rsidRPr="003B6E11">
        <w:rPr>
          <w:lang w:val="cs-CZ"/>
        </w:rPr>
        <w:t>Článek 3.04</w:t>
      </w:r>
      <w:r w:rsidRPr="003B6E11">
        <w:rPr>
          <w:lang w:val="cs-CZ"/>
        </w:rPr>
        <w:br/>
      </w:r>
      <w:r w:rsidRPr="003B6E11">
        <w:rPr>
          <w:i/>
          <w:lang w:val="cs-CZ"/>
        </w:rPr>
        <w:t>Strojovny, kotelny a nádrže</w:t>
      </w:r>
      <w:bookmarkEnd w:id="24"/>
      <w:bookmarkEnd w:id="25"/>
    </w:p>
    <w:p w:rsidR="00767591" w:rsidRPr="003B6E11" w:rsidRDefault="00767591" w:rsidP="003F616C">
      <w:pPr>
        <w:rPr>
          <w:rFonts w:cs="Arial"/>
          <w:szCs w:val="20"/>
          <w:lang w:val="cs-CZ"/>
        </w:rPr>
      </w:pPr>
    </w:p>
    <w:p w:rsidR="003F616C" w:rsidRPr="003B6E11" w:rsidRDefault="003F616C" w:rsidP="00954259">
      <w:pPr>
        <w:pStyle w:val="ESch"/>
        <w:rPr>
          <w:lang w:val="cs-CZ"/>
        </w:rPr>
      </w:pPr>
      <w:r w:rsidRPr="003B6E11">
        <w:rPr>
          <w:lang w:val="cs-CZ"/>
        </w:rPr>
        <w:t>1.</w:t>
      </w:r>
      <w:r w:rsidRPr="003B6E11">
        <w:rPr>
          <w:lang w:val="cs-CZ"/>
        </w:rPr>
        <w:tab/>
        <w:t>Strojovny a kotelny musí být uspořádány tak, aby bylo možné jejich zařízení snadno a bezpečně ovládat, obsluhovat a udržovat.</w:t>
      </w:r>
    </w:p>
    <w:p w:rsidR="00767591" w:rsidRPr="003B6E11" w:rsidRDefault="00767591" w:rsidP="00954259">
      <w:pPr>
        <w:pStyle w:val="ESch"/>
        <w:rPr>
          <w:rFonts w:cs="Arial"/>
          <w:szCs w:val="20"/>
          <w:lang w:val="cs-CZ"/>
        </w:rPr>
      </w:pPr>
    </w:p>
    <w:p w:rsidR="003F616C" w:rsidRPr="003B6E11" w:rsidRDefault="003F616C" w:rsidP="00954259">
      <w:pPr>
        <w:pStyle w:val="ESch"/>
        <w:rPr>
          <w:lang w:val="cs-CZ"/>
        </w:rPr>
      </w:pPr>
      <w:r w:rsidRPr="003B6E11">
        <w:rPr>
          <w:lang w:val="cs-CZ"/>
        </w:rPr>
        <w:t>2.</w:t>
      </w:r>
      <w:r w:rsidRPr="003B6E11">
        <w:rPr>
          <w:lang w:val="cs-CZ"/>
        </w:rPr>
        <w:tab/>
        <w:t>Nádrže na kapalné palivo nebo mazací olej a místnosti pro cestující a obytné prostory nesmí mít společné hraniční plochy, které jsou při běžném provozu vystaveny statickému tlaku kapaliny.</w:t>
      </w:r>
    </w:p>
    <w:p w:rsidR="00767591" w:rsidRPr="003B6E11" w:rsidRDefault="00767591" w:rsidP="00954259">
      <w:pPr>
        <w:pStyle w:val="ESch"/>
        <w:rPr>
          <w:rFonts w:cs="Arial"/>
          <w:szCs w:val="20"/>
          <w:lang w:val="cs-CZ"/>
        </w:rPr>
      </w:pPr>
    </w:p>
    <w:p w:rsidR="003F616C" w:rsidRPr="003B6E11" w:rsidRDefault="003F616C" w:rsidP="00954259">
      <w:pPr>
        <w:pStyle w:val="ESch"/>
        <w:rPr>
          <w:lang w:val="cs-CZ"/>
        </w:rPr>
      </w:pPr>
      <w:r w:rsidRPr="003B6E11">
        <w:rPr>
          <w:lang w:val="cs-CZ"/>
        </w:rPr>
        <w:t>3.</w:t>
      </w:r>
      <w:r w:rsidRPr="003B6E11">
        <w:rPr>
          <w:lang w:val="cs-CZ"/>
        </w:rPr>
        <w:tab/>
        <w:t>Stěny, stropy a dveře strojoven, kotelen a nádrží musí být vyrobeny z oceli nebo jiného rovnocenného nehořlavého materiálu.</w:t>
      </w:r>
    </w:p>
    <w:p w:rsidR="00767591" w:rsidRPr="003B6E11" w:rsidRDefault="00767591" w:rsidP="00954259">
      <w:pPr>
        <w:pStyle w:val="ESch"/>
        <w:rPr>
          <w:rFonts w:cs="Arial"/>
          <w:szCs w:val="20"/>
          <w:lang w:val="cs-CZ"/>
        </w:rPr>
      </w:pPr>
    </w:p>
    <w:p w:rsidR="003F616C" w:rsidRPr="003B6E11" w:rsidRDefault="003F616C" w:rsidP="00954259">
      <w:pPr>
        <w:pStyle w:val="ESchpar"/>
        <w:rPr>
          <w:lang w:val="cs-CZ"/>
        </w:rPr>
      </w:pPr>
      <w:r w:rsidRPr="003B6E11">
        <w:rPr>
          <w:lang w:val="cs-CZ"/>
        </w:rPr>
        <w:t>Izolační materiál ve strojovnách musí být chráněn před vniknutím paliva a palivových výparů.</w:t>
      </w:r>
    </w:p>
    <w:p w:rsidR="00767591" w:rsidRPr="003B6E11" w:rsidRDefault="00767591" w:rsidP="00954259">
      <w:pPr>
        <w:pStyle w:val="ESchpar"/>
        <w:rPr>
          <w:rFonts w:cs="Arial"/>
          <w:szCs w:val="20"/>
          <w:lang w:val="cs-CZ"/>
        </w:rPr>
      </w:pPr>
    </w:p>
    <w:p w:rsidR="003F616C" w:rsidRPr="003B6E11" w:rsidRDefault="003F616C" w:rsidP="00954259">
      <w:pPr>
        <w:pStyle w:val="ESchpar"/>
        <w:rPr>
          <w:lang w:val="cs-CZ"/>
        </w:rPr>
      </w:pPr>
      <w:r w:rsidRPr="003B6E11">
        <w:rPr>
          <w:lang w:val="cs-CZ"/>
        </w:rPr>
        <w:t>Všechny otvory ve stěnách, stropech a dveřích strojoven, kotelen a prostorů s nádržemi musí být možné zavřít zvenku. Uzavírací zařízení musí být vyrobeno z oceli nebo z rovnocenného nehořlavého materiálu.</w:t>
      </w:r>
    </w:p>
    <w:p w:rsidR="00767591" w:rsidRPr="003B6E11" w:rsidRDefault="00767591" w:rsidP="00954259">
      <w:pPr>
        <w:pStyle w:val="ESch"/>
        <w:rPr>
          <w:rFonts w:cs="Arial"/>
          <w:szCs w:val="20"/>
          <w:lang w:val="cs-CZ"/>
        </w:rPr>
      </w:pPr>
    </w:p>
    <w:p w:rsidR="003F616C" w:rsidRPr="003B6E11" w:rsidRDefault="003F616C" w:rsidP="00954259">
      <w:pPr>
        <w:pStyle w:val="ESch"/>
        <w:rPr>
          <w:lang w:val="cs-CZ"/>
        </w:rPr>
      </w:pPr>
      <w:r w:rsidRPr="003B6E11">
        <w:rPr>
          <w:lang w:val="cs-CZ"/>
        </w:rPr>
        <w:t>4.</w:t>
      </w:r>
      <w:r w:rsidRPr="003B6E11">
        <w:rPr>
          <w:lang w:val="cs-CZ"/>
        </w:rPr>
        <w:tab/>
        <w:t>Strojovny a kotelny a další prostory, ve kterých se mohou uvolňovat hořlavé nebo jedovaté plyny, musí být přiměřeně odvětrávány.</w:t>
      </w:r>
    </w:p>
    <w:p w:rsidR="00767591" w:rsidRPr="003B6E11" w:rsidRDefault="00767591" w:rsidP="00954259">
      <w:pPr>
        <w:pStyle w:val="ESch"/>
        <w:rPr>
          <w:rFonts w:cs="Arial"/>
          <w:szCs w:val="20"/>
          <w:lang w:val="cs-CZ"/>
        </w:rPr>
      </w:pPr>
    </w:p>
    <w:p w:rsidR="003F616C" w:rsidRPr="003B6E11" w:rsidRDefault="003F616C" w:rsidP="00954259">
      <w:pPr>
        <w:pStyle w:val="ESch"/>
        <w:rPr>
          <w:lang w:val="cs-CZ"/>
        </w:rPr>
      </w:pPr>
      <w:r w:rsidRPr="003B6E11">
        <w:rPr>
          <w:lang w:val="cs-CZ"/>
        </w:rPr>
        <w:t>5.</w:t>
      </w:r>
      <w:r w:rsidRPr="003B6E11">
        <w:rPr>
          <w:lang w:val="cs-CZ"/>
        </w:rPr>
        <w:tab/>
        <w:t>Schody a žebříky umožňující přístup do strojoven a kotelen a k nádržím musí být trvale připevněny a vyrobeny z oceli nebo jiného nárazuvzdorného a nehořlavého materiálu.</w:t>
      </w:r>
    </w:p>
    <w:p w:rsidR="00767591" w:rsidRPr="003B6E11" w:rsidRDefault="00767591" w:rsidP="00954259">
      <w:pPr>
        <w:pStyle w:val="ESch"/>
        <w:rPr>
          <w:rFonts w:cs="Arial"/>
          <w:szCs w:val="20"/>
          <w:lang w:val="cs-CZ"/>
        </w:rPr>
      </w:pPr>
    </w:p>
    <w:p w:rsidR="003F616C" w:rsidRPr="003B6E11" w:rsidRDefault="003F616C" w:rsidP="00954259">
      <w:pPr>
        <w:pStyle w:val="ESch"/>
        <w:rPr>
          <w:rFonts w:cs="Arial"/>
          <w:szCs w:val="20"/>
          <w:lang w:val="cs-CZ"/>
        </w:rPr>
      </w:pPr>
      <w:r w:rsidRPr="003B6E11">
        <w:rPr>
          <w:lang w:val="cs-CZ"/>
        </w:rPr>
        <w:t>6.</w:t>
      </w:r>
      <w:r w:rsidRPr="003B6E11">
        <w:rPr>
          <w:lang w:val="cs-CZ"/>
        </w:rPr>
        <w:tab/>
        <w:t>Strojovny a kotelny musí mít dva východy, z nichž jeden může být nouzový.</w:t>
      </w:r>
    </w:p>
    <w:p w:rsidR="00767591" w:rsidRPr="003B6E11" w:rsidRDefault="00767591" w:rsidP="00954259">
      <w:pPr>
        <w:pStyle w:val="ESch"/>
        <w:rPr>
          <w:lang w:val="cs-CZ"/>
        </w:rPr>
      </w:pPr>
    </w:p>
    <w:p w:rsidR="003F616C" w:rsidRPr="003B6E11" w:rsidRDefault="003F616C" w:rsidP="00954259">
      <w:pPr>
        <w:pStyle w:val="ESchpar"/>
        <w:rPr>
          <w:rFonts w:cs="Arial"/>
          <w:szCs w:val="20"/>
          <w:lang w:val="cs-CZ"/>
        </w:rPr>
      </w:pPr>
      <w:r w:rsidRPr="003B6E11">
        <w:rPr>
          <w:lang w:val="cs-CZ"/>
        </w:rPr>
        <w:t>Od druhého východu lze upustit, pokud:</w:t>
      </w:r>
    </w:p>
    <w:p w:rsidR="003F616C" w:rsidRPr="003B6E11" w:rsidRDefault="005C7859" w:rsidP="00954259">
      <w:pPr>
        <w:pStyle w:val="ESlet"/>
        <w:rPr>
          <w:rFonts w:cs="Arial"/>
          <w:szCs w:val="20"/>
          <w:lang w:val="cs-CZ"/>
        </w:rPr>
      </w:pPr>
      <w:r w:rsidRPr="003B6E11">
        <w:rPr>
          <w:lang w:val="cs-CZ"/>
        </w:rPr>
        <w:t>a)</w:t>
      </w:r>
      <w:r w:rsidRPr="003B6E11">
        <w:rPr>
          <w:lang w:val="cs-CZ"/>
        </w:rPr>
        <w:tab/>
        <w:t>celková podlahová plocha (průměrná délka × průměrná šířka v úrovni roviny podlahy) strojovny nebo kotelny nepřesahuje 35 m</w:t>
      </w:r>
      <w:r w:rsidRPr="003B6E11">
        <w:rPr>
          <w:vertAlign w:val="superscript"/>
          <w:lang w:val="cs-CZ"/>
        </w:rPr>
        <w:t>2</w:t>
      </w:r>
      <w:r w:rsidRPr="003B6E11">
        <w:rPr>
          <w:lang w:val="cs-CZ"/>
        </w:rPr>
        <w:t xml:space="preserve"> a</w:t>
      </w:r>
    </w:p>
    <w:p w:rsidR="003F616C" w:rsidRPr="003B6E11" w:rsidRDefault="005C7859" w:rsidP="00954259">
      <w:pPr>
        <w:pStyle w:val="ESlet"/>
        <w:rPr>
          <w:lang w:val="cs-CZ"/>
        </w:rPr>
      </w:pPr>
      <w:r w:rsidRPr="003B6E11">
        <w:rPr>
          <w:lang w:val="cs-CZ"/>
        </w:rPr>
        <w:t>b)</w:t>
      </w:r>
      <w:r w:rsidRPr="003B6E11">
        <w:rPr>
          <w:lang w:val="cs-CZ"/>
        </w:rPr>
        <w:tab/>
        <w:t>cesta od každého místa, kde se provádí obsluha nebo údržba, k východu nebo k patě schodiště u východu, které vede ven, není delší než 5 m a</w:t>
      </w:r>
    </w:p>
    <w:p w:rsidR="003F616C" w:rsidRPr="003B6E11" w:rsidRDefault="005C7859" w:rsidP="00954259">
      <w:pPr>
        <w:pStyle w:val="ESlet"/>
        <w:rPr>
          <w:lang w:val="cs-CZ"/>
        </w:rPr>
      </w:pPr>
      <w:r w:rsidRPr="003B6E11">
        <w:rPr>
          <w:lang w:val="cs-CZ"/>
        </w:rPr>
        <w:t>c)</w:t>
      </w:r>
      <w:r w:rsidRPr="003B6E11">
        <w:rPr>
          <w:lang w:val="cs-CZ"/>
        </w:rPr>
        <w:tab/>
        <w:t>v místě obsluhy, které je nejvíce vzdáleno od únikových dveří, je umístěn hasicí přístroj; totéž platí odchylně od čl. 13.03 odst. 1 písm. e), pokud instalovaný výkon strojů není vyšší než 100 kW.</w:t>
      </w:r>
    </w:p>
    <w:p w:rsidR="00767591" w:rsidRPr="003B6E11" w:rsidRDefault="00767591" w:rsidP="003F616C">
      <w:pPr>
        <w:rPr>
          <w:rFonts w:cs="Arial"/>
          <w:szCs w:val="20"/>
          <w:lang w:val="cs-CZ"/>
        </w:rPr>
      </w:pPr>
    </w:p>
    <w:p w:rsidR="003F616C" w:rsidRPr="003B6E11" w:rsidRDefault="003F616C" w:rsidP="003F616C">
      <w:pPr>
        <w:rPr>
          <w:rFonts w:cs="Arial"/>
          <w:szCs w:val="20"/>
          <w:lang w:val="cs-CZ"/>
        </w:rPr>
      </w:pPr>
      <w:r w:rsidRPr="003B6E11">
        <w:rPr>
          <w:lang w:val="cs-CZ"/>
        </w:rPr>
        <w:t>7.</w:t>
      </w:r>
      <w:r w:rsidRPr="003B6E11">
        <w:rPr>
          <w:lang w:val="cs-CZ"/>
        </w:rPr>
        <w:tab/>
        <w:t>Přípustná hladina akustického tlaku ve strojovně nesmí překročit 110 dB(A). Měřicí body musí být vybrány s ohledem na nezbytnou údržbu při běžném provozu zařízení, které je v místnosti umístěno.</w:t>
      </w:r>
    </w:p>
    <w:p w:rsidR="008D7EA6" w:rsidRPr="003B6E11" w:rsidRDefault="008D7EA6" w:rsidP="00F6236E">
      <w:pPr>
        <w:spacing w:line="240" w:lineRule="atLeast"/>
        <w:ind w:left="567" w:hanging="567"/>
        <w:rPr>
          <w:rFonts w:eastAsia="Calibri"/>
          <w:noProof/>
          <w:lang w:val="cs-CZ"/>
        </w:rPr>
      </w:pPr>
    </w:p>
    <w:p w:rsidR="008D7EA6" w:rsidRPr="003B6E11" w:rsidRDefault="008D7EA6" w:rsidP="00F6236E">
      <w:pPr>
        <w:spacing w:line="240" w:lineRule="atLeast"/>
        <w:ind w:left="567" w:hanging="567"/>
        <w:rPr>
          <w:rFonts w:eastAsia="Calibri"/>
          <w:noProof/>
          <w:lang w:val="cs-CZ"/>
        </w:rPr>
      </w:pPr>
    </w:p>
    <w:p w:rsidR="008D7EA6" w:rsidRPr="003B6E11" w:rsidRDefault="008D7EA6" w:rsidP="00F6236E">
      <w:pPr>
        <w:spacing w:line="240" w:lineRule="atLeast"/>
        <w:ind w:left="567" w:hanging="567"/>
        <w:rPr>
          <w:rFonts w:eastAsia="Calibri"/>
          <w:noProof/>
          <w:lang w:val="cs-CZ"/>
        </w:rPr>
        <w:sectPr w:rsidR="008D7EA6" w:rsidRPr="003B6E11" w:rsidSect="00AC5CC1">
          <w:headerReference w:type="default" r:id="rId20"/>
          <w:headerReference w:type="first" r:id="rId21"/>
          <w:footnotePr>
            <w:numRestart w:val="eachPage"/>
          </w:footnotePr>
          <w:pgSz w:w="11906" w:h="16838" w:code="9"/>
          <w:pgMar w:top="1418" w:right="1418" w:bottom="1418" w:left="1418" w:header="709" w:footer="709" w:gutter="0"/>
          <w:cols w:space="709"/>
          <w:titlePg/>
          <w:docGrid w:linePitch="272"/>
        </w:sectPr>
      </w:pPr>
    </w:p>
    <w:p w:rsidR="001F1A9D" w:rsidRPr="003B6E11" w:rsidRDefault="0060175E" w:rsidP="00E1027C">
      <w:pPr>
        <w:pStyle w:val="ES-Titre2"/>
      </w:pPr>
      <w:bookmarkStart w:id="26" w:name="_Toc491854013"/>
      <w:bookmarkStart w:id="27" w:name="_Toc535416919"/>
      <w:r w:rsidRPr="003B6E11">
        <w:t>Kapitola 4</w:t>
      </w:r>
      <w:r w:rsidRPr="003B6E11">
        <w:br/>
        <w:t>Bezpečnostní vzdálenost, volný bok a nákladové značky</w:t>
      </w:r>
      <w:bookmarkEnd w:id="26"/>
      <w:bookmarkEnd w:id="27"/>
    </w:p>
    <w:p w:rsidR="00EF4E24" w:rsidRPr="003B6E11" w:rsidRDefault="00EF4E24" w:rsidP="00E1027C">
      <w:pPr>
        <w:pStyle w:val="ES-Titre3"/>
        <w:spacing w:line="240" w:lineRule="atLeast"/>
        <w:rPr>
          <w:lang w:val="cs-CZ"/>
        </w:rPr>
      </w:pPr>
    </w:p>
    <w:p w:rsidR="001F1A9D" w:rsidRPr="003B6E11" w:rsidRDefault="001F1A9D" w:rsidP="00E1027C">
      <w:pPr>
        <w:pStyle w:val="ES-Titre3"/>
        <w:spacing w:line="240" w:lineRule="atLeast"/>
        <w:rPr>
          <w:lang w:val="cs-CZ"/>
        </w:rPr>
      </w:pPr>
      <w:bookmarkStart w:id="28" w:name="_Toc491854014"/>
      <w:bookmarkStart w:id="29" w:name="_Toc535416920"/>
      <w:r w:rsidRPr="003B6E11">
        <w:rPr>
          <w:lang w:val="cs-CZ"/>
        </w:rPr>
        <w:t>Článek 4.01</w:t>
      </w:r>
      <w:r w:rsidRPr="003B6E11">
        <w:rPr>
          <w:lang w:val="cs-CZ"/>
        </w:rPr>
        <w:br/>
      </w:r>
      <w:r w:rsidRPr="003B6E11">
        <w:rPr>
          <w:i/>
          <w:lang w:val="cs-CZ"/>
        </w:rPr>
        <w:t>Bezpečnostní vzdálenost</w:t>
      </w:r>
      <w:bookmarkEnd w:id="28"/>
      <w:bookmarkEnd w:id="29"/>
    </w:p>
    <w:p w:rsidR="00EF4E24" w:rsidRPr="003B6E11" w:rsidRDefault="00EF4E24" w:rsidP="00E1027C">
      <w:pPr>
        <w:spacing w:line="240" w:lineRule="atLeast"/>
        <w:rPr>
          <w:rFonts w:eastAsia="Calibri"/>
          <w:szCs w:val="20"/>
          <w:lang w:val="cs-CZ"/>
        </w:rPr>
      </w:pPr>
    </w:p>
    <w:p w:rsidR="001F1A9D" w:rsidRPr="003B6E11" w:rsidRDefault="001F1A9D" w:rsidP="00954259">
      <w:pPr>
        <w:pStyle w:val="ESch"/>
        <w:rPr>
          <w:rFonts w:eastAsia="Calibri"/>
          <w:lang w:val="cs-CZ"/>
        </w:rPr>
      </w:pPr>
      <w:r w:rsidRPr="003B6E11">
        <w:rPr>
          <w:lang w:val="cs-CZ"/>
        </w:rPr>
        <w:t>1.</w:t>
      </w:r>
      <w:r w:rsidRPr="003B6E11">
        <w:rPr>
          <w:lang w:val="cs-CZ"/>
        </w:rPr>
        <w:tab/>
        <w:t>Minimální bezpečnostní vzdálenost je 300 mm.</w:t>
      </w:r>
    </w:p>
    <w:p w:rsidR="00EF4E24" w:rsidRPr="003B6E11" w:rsidRDefault="00EF4E24" w:rsidP="00954259">
      <w:pPr>
        <w:pStyle w:val="ESch"/>
        <w:rPr>
          <w:rFonts w:eastAsia="Calibri"/>
          <w:lang w:val="cs-CZ"/>
        </w:rPr>
      </w:pPr>
    </w:p>
    <w:p w:rsidR="001F1A9D" w:rsidRPr="003B6E11" w:rsidRDefault="001F1A9D" w:rsidP="00954259">
      <w:pPr>
        <w:pStyle w:val="ESch"/>
        <w:rPr>
          <w:rFonts w:eastAsia="Calibri"/>
          <w:lang w:val="cs-CZ"/>
        </w:rPr>
      </w:pPr>
      <w:r w:rsidRPr="003B6E11">
        <w:rPr>
          <w:lang w:val="cs-CZ"/>
        </w:rPr>
        <w:t>2.</w:t>
      </w:r>
      <w:r w:rsidRPr="003B6E11">
        <w:rPr>
          <w:lang w:val="cs-CZ"/>
        </w:rPr>
        <w:tab/>
        <w:t>Bezpečnostní vzdálenost u lodí, jejichž otvory nelze uzavřít zařízením odolným vůči stříkající vodě a povětrnostním vlivům, a u lodí, které plují s nezakrytými podpalubními nákladovými prostory, se zvětší tak, aby každý z těchto otvorů byl nejméně 500 mm nad rovinou největšího přípustného ponoru.</w:t>
      </w:r>
    </w:p>
    <w:p w:rsidR="001F1A9D" w:rsidRPr="003B6E11" w:rsidRDefault="001F1A9D" w:rsidP="00E1027C">
      <w:pPr>
        <w:spacing w:line="240" w:lineRule="atLeast"/>
        <w:rPr>
          <w:rFonts w:eastAsia="Calibri"/>
          <w:lang w:val="cs-CZ"/>
        </w:rPr>
      </w:pPr>
    </w:p>
    <w:p w:rsidR="00EE7E64" w:rsidRPr="003B6E11" w:rsidRDefault="00EE7E64" w:rsidP="00E1027C">
      <w:pPr>
        <w:spacing w:line="240" w:lineRule="atLeast"/>
        <w:rPr>
          <w:rFonts w:eastAsia="Calibri"/>
          <w:lang w:val="cs-CZ"/>
        </w:rPr>
      </w:pPr>
    </w:p>
    <w:p w:rsidR="001F1A9D" w:rsidRPr="003B6E11" w:rsidRDefault="001F1A9D" w:rsidP="00E1027C">
      <w:pPr>
        <w:pStyle w:val="ES-Titre3"/>
        <w:spacing w:line="240" w:lineRule="atLeast"/>
        <w:rPr>
          <w:lang w:val="cs-CZ"/>
        </w:rPr>
      </w:pPr>
      <w:bookmarkStart w:id="30" w:name="_Toc491854015"/>
      <w:bookmarkStart w:id="31" w:name="_Toc535416921"/>
      <w:r w:rsidRPr="003B6E11">
        <w:rPr>
          <w:lang w:val="cs-CZ"/>
        </w:rPr>
        <w:t>Článek 4.02</w:t>
      </w:r>
      <w:r w:rsidRPr="003B6E11">
        <w:rPr>
          <w:lang w:val="cs-CZ"/>
        </w:rPr>
        <w:br/>
      </w:r>
      <w:r w:rsidRPr="003B6E11">
        <w:rPr>
          <w:i/>
          <w:lang w:val="cs-CZ"/>
        </w:rPr>
        <w:t>Volný bok</w:t>
      </w:r>
      <w:bookmarkEnd w:id="30"/>
      <w:bookmarkEnd w:id="31"/>
    </w:p>
    <w:p w:rsidR="00EF4E24" w:rsidRPr="003B6E11" w:rsidRDefault="00EF4E24" w:rsidP="00E1027C">
      <w:pPr>
        <w:spacing w:line="240" w:lineRule="atLeast"/>
        <w:rPr>
          <w:rFonts w:eastAsia="Calibri"/>
          <w:lang w:val="cs-CZ"/>
        </w:rPr>
      </w:pPr>
    </w:p>
    <w:p w:rsidR="001F1A9D" w:rsidRPr="003B6E11" w:rsidRDefault="001F1A9D" w:rsidP="00F6236E">
      <w:pPr>
        <w:spacing w:line="240" w:lineRule="atLeast"/>
        <w:ind w:left="567" w:hanging="567"/>
        <w:rPr>
          <w:rFonts w:eastAsia="Calibri"/>
          <w:szCs w:val="20"/>
          <w:lang w:val="cs-CZ"/>
        </w:rPr>
      </w:pPr>
      <w:r w:rsidRPr="003B6E11">
        <w:rPr>
          <w:lang w:val="cs-CZ"/>
        </w:rPr>
        <w:t>1.</w:t>
      </w:r>
      <w:r w:rsidRPr="003B6E11">
        <w:rPr>
          <w:lang w:val="cs-CZ"/>
        </w:rPr>
        <w:tab/>
        <w:t>Volný bok lodí s průběžnou palubou bez sedlovitosti paluby a bez nástaveb činí 150 mm.</w:t>
      </w:r>
    </w:p>
    <w:p w:rsidR="00EF4E24" w:rsidRPr="003B6E11" w:rsidRDefault="00EF4E24" w:rsidP="00F6236E">
      <w:pPr>
        <w:spacing w:line="240" w:lineRule="atLeast"/>
        <w:ind w:left="567" w:hanging="567"/>
        <w:rPr>
          <w:rFonts w:eastAsia="Calibri"/>
          <w:szCs w:val="20"/>
          <w:lang w:val="cs-CZ"/>
        </w:rPr>
      </w:pPr>
    </w:p>
    <w:p w:rsidR="001F1A9D" w:rsidRPr="003B6E11" w:rsidRDefault="001F1A9D" w:rsidP="00F6236E">
      <w:pPr>
        <w:spacing w:line="240" w:lineRule="atLeast"/>
        <w:ind w:left="567" w:hanging="567"/>
        <w:rPr>
          <w:rFonts w:eastAsia="Calibri"/>
          <w:szCs w:val="20"/>
          <w:lang w:val="cs-CZ"/>
        </w:rPr>
      </w:pPr>
      <w:r w:rsidRPr="003B6E11">
        <w:rPr>
          <w:lang w:val="cs-CZ"/>
        </w:rPr>
        <w:t>2.</w:t>
      </w:r>
      <w:r w:rsidRPr="003B6E11">
        <w:rPr>
          <w:lang w:val="cs-CZ"/>
        </w:rPr>
        <w:tab/>
        <w:t>Volný bok lodí se sedlovitostí paluby a s nástavbami se vypočte podle tohoto vzorce:</w:t>
      </w:r>
    </w:p>
    <w:p w:rsidR="00576124" w:rsidRPr="003B6E11" w:rsidRDefault="00576124" w:rsidP="00F6236E">
      <w:pPr>
        <w:spacing w:line="240" w:lineRule="atLeast"/>
        <w:ind w:left="567" w:hanging="567"/>
        <w:rPr>
          <w:rFonts w:eastAsia="Calibri"/>
          <w:szCs w:val="20"/>
          <w:lang w:val="cs-CZ"/>
        </w:rPr>
      </w:pPr>
    </w:p>
    <w:p w:rsidR="001F1A9D" w:rsidRPr="003B6E11" w:rsidRDefault="0026577D" w:rsidP="007E2368">
      <w:pPr>
        <w:spacing w:line="240" w:lineRule="atLeast"/>
        <w:jc w:val="center"/>
        <w:rPr>
          <w:rFonts w:eastAsia="Calibri"/>
          <w:szCs w:val="20"/>
          <w:lang w:val="cs-CZ"/>
        </w:rPr>
      </w:pPr>
      <m:oMathPara>
        <m:oMath>
          <m:r>
            <w:rPr>
              <w:rFonts w:ascii="Cambria Math" w:eastAsia="Calibri" w:hAnsi="Cambria Math" w:cs="Arial"/>
              <w:lang w:val="cs-CZ"/>
            </w:rPr>
            <m:t xml:space="preserve">F=150 </m:t>
          </m:r>
          <m:d>
            <m:dPr>
              <m:ctrlPr>
                <w:rPr>
                  <w:rFonts w:ascii="Cambria Math" w:eastAsia="Calibri" w:hAnsi="Cambria Math" w:cs="Arial"/>
                  <w:i/>
                  <w:lang w:val="cs-CZ"/>
                </w:rPr>
              </m:ctrlPr>
            </m:dPr>
            <m:e>
              <m:r>
                <w:rPr>
                  <w:rFonts w:ascii="Cambria Math" w:eastAsia="Calibri" w:hAnsi="Cambria Math" w:cs="Arial"/>
                  <w:lang w:val="cs-CZ"/>
                </w:rPr>
                <m:t>1- α</m:t>
              </m:r>
            </m:e>
          </m:d>
          <m:r>
            <w:rPr>
              <w:rFonts w:ascii="Cambria Math" w:eastAsia="Calibri" w:hAnsi="Cambria Math" w:cs="Arial"/>
              <w:lang w:val="cs-CZ"/>
            </w:rPr>
            <m:t>-</m:t>
          </m:r>
          <m:f>
            <m:fPr>
              <m:ctrlPr>
                <w:rPr>
                  <w:rFonts w:ascii="Cambria Math" w:eastAsia="Calibri" w:hAnsi="Cambria Math" w:cs="Arial"/>
                  <w:i/>
                  <w:lang w:val="cs-CZ"/>
                </w:rPr>
              </m:ctrlPr>
            </m:fPr>
            <m:num>
              <m:sSub>
                <m:sSubPr>
                  <m:ctrlPr>
                    <w:rPr>
                      <w:rFonts w:ascii="Cambria Math" w:eastAsia="Calibri" w:hAnsi="Cambria Math" w:cs="Arial"/>
                      <w:i/>
                      <w:lang w:val="cs-CZ"/>
                    </w:rPr>
                  </m:ctrlPr>
                </m:sSubPr>
                <m:e>
                  <m:r>
                    <w:rPr>
                      <w:rFonts w:ascii="Cambria Math" w:eastAsia="Calibri" w:hAnsi="Cambria Math" w:cs="Arial"/>
                      <w:lang w:val="cs-CZ"/>
                    </w:rPr>
                    <m:t>β</m:t>
                  </m:r>
                </m:e>
                <m:sub>
                  <m:r>
                    <w:rPr>
                      <w:rFonts w:ascii="Cambria Math" w:eastAsia="Calibri" w:hAnsi="Cambria Math" w:cs="Arial"/>
                      <w:lang w:val="cs-CZ"/>
                    </w:rPr>
                    <m:t>v</m:t>
                  </m:r>
                </m:sub>
              </m:sSub>
              <m:r>
                <w:rPr>
                  <w:rFonts w:ascii="Cambria Math" w:eastAsia="Calibri" w:hAnsi="Cambria Math" w:cs="Arial"/>
                  <w:lang w:val="cs-CZ"/>
                </w:rPr>
                <m:t>∙</m:t>
              </m:r>
              <m:sSub>
                <m:sSubPr>
                  <m:ctrlPr>
                    <w:rPr>
                      <w:rFonts w:ascii="Cambria Math" w:eastAsia="Calibri" w:hAnsi="Cambria Math" w:cs="Arial"/>
                      <w:i/>
                      <w:lang w:val="cs-CZ"/>
                    </w:rPr>
                  </m:ctrlPr>
                </m:sSubPr>
                <m:e>
                  <m:r>
                    <w:rPr>
                      <w:rFonts w:ascii="Cambria Math" w:eastAsia="Calibri" w:hAnsi="Cambria Math" w:cs="Arial"/>
                      <w:sz w:val="18"/>
                      <w:lang w:val="cs-CZ"/>
                    </w:rPr>
                    <m:t>Se</m:t>
                  </m:r>
                </m:e>
                <m:sub>
                  <m:r>
                    <w:rPr>
                      <w:rFonts w:ascii="Cambria Math" w:eastAsia="Calibri" w:hAnsi="Cambria Math" w:cs="Arial"/>
                      <w:lang w:val="cs-CZ"/>
                    </w:rPr>
                    <m:t>v</m:t>
                  </m:r>
                </m:sub>
              </m:sSub>
              <m:r>
                <w:rPr>
                  <w:rFonts w:ascii="Cambria Math" w:eastAsia="Calibri" w:hAnsi="Cambria Math" w:cs="Arial"/>
                  <w:lang w:val="cs-CZ"/>
                </w:rPr>
                <m:t xml:space="preserve">+ </m:t>
              </m:r>
              <m:sSub>
                <m:sSubPr>
                  <m:ctrlPr>
                    <w:rPr>
                      <w:rFonts w:ascii="Cambria Math" w:eastAsia="Calibri" w:hAnsi="Cambria Math" w:cs="Arial"/>
                      <w:i/>
                      <w:lang w:val="cs-CZ"/>
                    </w:rPr>
                  </m:ctrlPr>
                </m:sSubPr>
                <m:e>
                  <m:r>
                    <w:rPr>
                      <w:rFonts w:ascii="Cambria Math" w:eastAsia="Calibri" w:hAnsi="Cambria Math" w:cs="Arial"/>
                      <w:lang w:val="cs-CZ"/>
                    </w:rPr>
                    <m:t>β</m:t>
                  </m:r>
                </m:e>
                <m:sub>
                  <m:r>
                    <w:rPr>
                      <w:rFonts w:ascii="Cambria Math" w:eastAsia="Calibri" w:hAnsi="Cambria Math" w:cs="Arial"/>
                      <w:lang w:val="cs-CZ"/>
                    </w:rPr>
                    <m:t>a</m:t>
                  </m:r>
                </m:sub>
              </m:sSub>
              <m:r>
                <w:rPr>
                  <w:rFonts w:ascii="Cambria Math" w:eastAsia="Calibri" w:hAnsi="Cambria Math" w:cs="Arial"/>
                  <w:lang w:val="cs-CZ"/>
                </w:rPr>
                <m:t xml:space="preserve">∙ </m:t>
              </m:r>
              <m:sSub>
                <m:sSubPr>
                  <m:ctrlPr>
                    <w:rPr>
                      <w:rFonts w:ascii="Cambria Math" w:eastAsia="Calibri" w:hAnsi="Cambria Math" w:cs="Arial"/>
                      <w:i/>
                      <w:lang w:val="cs-CZ"/>
                    </w:rPr>
                  </m:ctrlPr>
                </m:sSubPr>
                <m:e>
                  <m:r>
                    <w:rPr>
                      <w:rFonts w:ascii="Cambria Math" w:eastAsia="Calibri" w:hAnsi="Cambria Math" w:cs="Arial"/>
                      <w:lang w:val="cs-CZ"/>
                    </w:rPr>
                    <m:t>Se</m:t>
                  </m:r>
                </m:e>
                <m:sub>
                  <m:r>
                    <w:rPr>
                      <w:rFonts w:ascii="Cambria Math" w:eastAsia="Calibri" w:hAnsi="Cambria Math" w:cs="Arial"/>
                      <w:lang w:val="cs-CZ"/>
                    </w:rPr>
                    <m:t>a</m:t>
                  </m:r>
                </m:sub>
              </m:sSub>
            </m:num>
            <m:den>
              <m:r>
                <w:rPr>
                  <w:rFonts w:ascii="Cambria Math" w:eastAsia="Calibri" w:hAnsi="Cambria Math" w:cs="Arial"/>
                  <w:lang w:val="cs-CZ"/>
                </w:rPr>
                <m:t>15</m:t>
              </m:r>
            </m:den>
          </m:f>
          <m:r>
            <m:rPr>
              <m:sty m:val="p"/>
            </m:rPr>
            <w:rPr>
              <w:rFonts w:ascii="Cambria Math" w:eastAsia="Calibri" w:hAnsi="Cambria Math" w:cs="Arial"/>
              <w:lang w:val="cs-CZ"/>
            </w:rPr>
            <m:t xml:space="preserve">  [mm]</m:t>
          </m:r>
          <m:r>
            <m:rPr>
              <m:sty m:val="p"/>
            </m:rPr>
            <w:rPr>
              <w:rFonts w:eastAsia="Calibri" w:cs="Arial"/>
              <w:lang w:val="cs-CZ"/>
            </w:rPr>
            <w:br/>
          </m:r>
        </m:oMath>
      </m:oMathPara>
    </w:p>
    <w:p w:rsidR="001F1A9D" w:rsidRPr="003B6E11" w:rsidRDefault="0060175E" w:rsidP="00F6236E">
      <w:pPr>
        <w:spacing w:line="240" w:lineRule="atLeast"/>
        <w:ind w:left="850" w:hanging="283"/>
        <w:rPr>
          <w:rFonts w:eastAsia="Calibri"/>
          <w:szCs w:val="20"/>
          <w:lang w:val="cs-CZ"/>
        </w:rPr>
      </w:pPr>
      <w:r w:rsidRPr="003B6E11">
        <w:rPr>
          <w:lang w:val="cs-CZ"/>
        </w:rPr>
        <w:t>kde:</w:t>
      </w:r>
    </w:p>
    <w:p w:rsidR="001F1A9D" w:rsidRPr="003B6E11" w:rsidRDefault="00395A9E" w:rsidP="00F6236E">
      <w:pPr>
        <w:spacing w:before="60" w:line="240" w:lineRule="atLeast"/>
        <w:ind w:left="993" w:hanging="426"/>
        <w:rPr>
          <w:rFonts w:eastAsia="Calibri"/>
          <w:szCs w:val="20"/>
          <w:lang w:val="cs-CZ"/>
        </w:rPr>
      </w:pPr>
      <m:oMath>
        <m:r>
          <w:rPr>
            <w:rFonts w:ascii="Cambria Math" w:eastAsia="Calibri" w:hAnsi="Cambria Math"/>
            <w:szCs w:val="20"/>
            <w:lang w:val="cs-CZ"/>
          </w:rPr>
          <m:t>α</m:t>
        </m:r>
      </m:oMath>
      <w:r w:rsidRPr="003B6E11">
        <w:rPr>
          <w:lang w:val="cs-CZ"/>
        </w:rPr>
        <w:tab/>
        <w:t>je opravný koeficient, který zohledňuje všechny přítomné nástavby;</w:t>
      </w:r>
    </w:p>
    <w:p w:rsidR="001F1A9D" w:rsidRPr="003B6E11" w:rsidRDefault="002D015D" w:rsidP="00F6236E">
      <w:pPr>
        <w:spacing w:before="60" w:line="240" w:lineRule="atLeast"/>
        <w:ind w:left="993" w:hanging="426"/>
        <w:rPr>
          <w:rFonts w:eastAsia="Calibri"/>
          <w:szCs w:val="20"/>
          <w:lang w:val="cs-CZ"/>
        </w:rPr>
      </w:pPr>
      <m:oMath>
        <m:sSub>
          <m:sSubPr>
            <m:ctrlPr>
              <w:rPr>
                <w:rFonts w:ascii="Cambria Math" w:eastAsia="Calibri" w:hAnsi="Cambria Math"/>
                <w:i/>
                <w:szCs w:val="20"/>
                <w:lang w:val="cs-CZ"/>
              </w:rPr>
            </m:ctrlPr>
          </m:sSubPr>
          <m:e>
            <m:r>
              <w:rPr>
                <w:rFonts w:ascii="Cambria Math" w:eastAsia="Calibri" w:hAnsi="Cambria Math"/>
                <w:szCs w:val="20"/>
                <w:lang w:val="cs-CZ"/>
              </w:rPr>
              <m:t>β</m:t>
            </m:r>
          </m:e>
          <m:sub>
            <m:r>
              <w:rPr>
                <w:rFonts w:ascii="Cambria Math" w:eastAsia="Calibri" w:hAnsi="Cambria Math"/>
                <w:szCs w:val="20"/>
                <w:lang w:val="cs-CZ"/>
              </w:rPr>
              <m:t>v</m:t>
            </m:r>
          </m:sub>
        </m:sSub>
      </m:oMath>
      <w:r w:rsidR="00290EF0" w:rsidRPr="003B6E11">
        <w:rPr>
          <w:lang w:val="cs-CZ"/>
        </w:rPr>
        <w:t xml:space="preserve"> </w:t>
      </w:r>
      <w:r w:rsidR="00290EF0" w:rsidRPr="003B6E11">
        <w:rPr>
          <w:lang w:val="cs-CZ"/>
        </w:rPr>
        <w:tab/>
        <w:t xml:space="preserve">je opravný koeficient, který zohledňuje účinek sedlovitosti na přídi vyplývající z přítomnosti nástaveb v přední čtvrtině délky lodi </w:t>
      </w:r>
      <m:oMath>
        <m:r>
          <w:rPr>
            <w:rFonts w:ascii="Cambria Math" w:hAnsi="Cambria Math" w:cs="Arial"/>
            <w:noProof/>
            <w:szCs w:val="20"/>
            <w:lang w:val="cs-CZ"/>
          </w:rPr>
          <m:t>L</m:t>
        </m:r>
      </m:oMath>
      <w:r w:rsidR="00290EF0" w:rsidRPr="003B6E11">
        <w:rPr>
          <w:lang w:val="cs-CZ"/>
        </w:rPr>
        <w:t>;</w:t>
      </w:r>
    </w:p>
    <w:p w:rsidR="001F1A9D" w:rsidRPr="003B6E11" w:rsidRDefault="002D015D" w:rsidP="00F6236E">
      <w:pPr>
        <w:spacing w:before="60" w:line="240" w:lineRule="atLeast"/>
        <w:ind w:left="993" w:hanging="426"/>
        <w:rPr>
          <w:rFonts w:eastAsia="Calibri"/>
          <w:szCs w:val="20"/>
          <w:lang w:val="cs-CZ"/>
        </w:rPr>
      </w:pPr>
      <m:oMath>
        <m:sSub>
          <m:sSubPr>
            <m:ctrlPr>
              <w:rPr>
                <w:rFonts w:ascii="Cambria Math" w:eastAsia="Calibri" w:hAnsi="Cambria Math"/>
                <w:i/>
                <w:szCs w:val="20"/>
                <w:lang w:val="cs-CZ"/>
              </w:rPr>
            </m:ctrlPr>
          </m:sSubPr>
          <m:e>
            <m:r>
              <w:rPr>
                <w:rFonts w:ascii="Cambria Math" w:eastAsia="Calibri" w:hAnsi="Cambria Math"/>
                <w:szCs w:val="20"/>
                <w:lang w:val="cs-CZ"/>
              </w:rPr>
              <m:t>β</m:t>
            </m:r>
          </m:e>
          <m:sub>
            <m:r>
              <w:rPr>
                <w:rFonts w:ascii="Cambria Math" w:eastAsia="Calibri" w:hAnsi="Cambria Math"/>
                <w:szCs w:val="20"/>
                <w:lang w:val="cs-CZ"/>
              </w:rPr>
              <m:t>a</m:t>
            </m:r>
          </m:sub>
        </m:sSub>
      </m:oMath>
      <w:r w:rsidR="00290EF0" w:rsidRPr="003B6E11">
        <w:rPr>
          <w:lang w:val="cs-CZ"/>
        </w:rPr>
        <w:tab/>
        <w:t xml:space="preserve">je opravný koeficient, který zohledňuje účinek sedlovitosti na zádi vyplývající z přítomnosti nástaveb v zadní čtvrtině délky lodi </w:t>
      </w:r>
      <m:oMath>
        <m:r>
          <w:rPr>
            <w:rFonts w:ascii="Cambria Math" w:hAnsi="Cambria Math" w:cs="Arial"/>
            <w:noProof/>
            <w:szCs w:val="20"/>
            <w:lang w:val="cs-CZ"/>
          </w:rPr>
          <m:t>L</m:t>
        </m:r>
      </m:oMath>
      <w:r w:rsidR="00290EF0" w:rsidRPr="003B6E11">
        <w:rPr>
          <w:lang w:val="cs-CZ"/>
        </w:rPr>
        <w:t>;</w:t>
      </w:r>
    </w:p>
    <w:p w:rsidR="001F1A9D" w:rsidRPr="003B6E11" w:rsidRDefault="002D015D" w:rsidP="00F6236E">
      <w:pPr>
        <w:spacing w:before="60" w:line="240" w:lineRule="atLeast"/>
        <w:ind w:left="993" w:hanging="426"/>
        <w:rPr>
          <w:rFonts w:eastAsia="Calibri"/>
          <w:szCs w:val="20"/>
          <w:lang w:val="cs-CZ"/>
        </w:rPr>
      </w:pPr>
      <m:oMath>
        <m:sSub>
          <m:sSubPr>
            <m:ctrlPr>
              <w:rPr>
                <w:rFonts w:ascii="Cambria Math" w:eastAsia="Calibri" w:hAnsi="Cambria Math"/>
                <w:i/>
                <w:szCs w:val="20"/>
                <w:lang w:val="cs-CZ"/>
              </w:rPr>
            </m:ctrlPr>
          </m:sSubPr>
          <m:e>
            <m:r>
              <w:rPr>
                <w:rFonts w:ascii="Cambria Math" w:eastAsia="Calibri" w:hAnsi="Cambria Math"/>
                <w:szCs w:val="20"/>
                <w:lang w:val="cs-CZ"/>
              </w:rPr>
              <m:t>Se</m:t>
            </m:r>
          </m:e>
          <m:sub>
            <m:r>
              <w:rPr>
                <w:rFonts w:ascii="Cambria Math" w:eastAsia="Calibri" w:hAnsi="Cambria Math"/>
                <w:szCs w:val="20"/>
                <w:lang w:val="cs-CZ"/>
              </w:rPr>
              <m:t>v</m:t>
            </m:r>
          </m:sub>
        </m:sSub>
      </m:oMath>
      <w:r w:rsidR="00290EF0" w:rsidRPr="003B6E11">
        <w:rPr>
          <w:lang w:val="cs-CZ"/>
        </w:rPr>
        <w:tab/>
        <w:t>je účinná sedlovitost na přídi v mm;</w:t>
      </w:r>
    </w:p>
    <w:p w:rsidR="001F1A9D" w:rsidRPr="003B6E11" w:rsidRDefault="002D015D" w:rsidP="00F6236E">
      <w:pPr>
        <w:spacing w:before="60" w:line="240" w:lineRule="atLeast"/>
        <w:ind w:left="993" w:hanging="426"/>
        <w:rPr>
          <w:rFonts w:eastAsia="Calibri"/>
          <w:szCs w:val="20"/>
          <w:lang w:val="cs-CZ"/>
        </w:rPr>
      </w:pPr>
      <m:oMath>
        <m:sSub>
          <m:sSubPr>
            <m:ctrlPr>
              <w:rPr>
                <w:rFonts w:ascii="Cambria Math" w:eastAsia="Calibri" w:hAnsi="Cambria Math"/>
                <w:i/>
                <w:szCs w:val="20"/>
                <w:lang w:val="cs-CZ"/>
              </w:rPr>
            </m:ctrlPr>
          </m:sSubPr>
          <m:e>
            <m:r>
              <w:rPr>
                <w:rFonts w:ascii="Cambria Math" w:eastAsia="Calibri" w:hAnsi="Cambria Math"/>
                <w:szCs w:val="20"/>
                <w:lang w:val="cs-CZ"/>
              </w:rPr>
              <m:t>Se</m:t>
            </m:r>
          </m:e>
          <m:sub>
            <m:r>
              <w:rPr>
                <w:rFonts w:ascii="Cambria Math" w:eastAsia="Calibri" w:hAnsi="Cambria Math"/>
                <w:szCs w:val="20"/>
                <w:lang w:val="cs-CZ"/>
              </w:rPr>
              <m:t>a</m:t>
            </m:r>
          </m:sub>
        </m:sSub>
      </m:oMath>
      <w:r w:rsidR="00290EF0" w:rsidRPr="003B6E11">
        <w:rPr>
          <w:lang w:val="cs-CZ"/>
        </w:rPr>
        <w:tab/>
        <w:t>je účinná sedlovitost na zádi v mm.</w:t>
      </w:r>
    </w:p>
    <w:p w:rsidR="00EE7E64" w:rsidRPr="003B6E11" w:rsidRDefault="00EE7E64" w:rsidP="00E1027C">
      <w:pPr>
        <w:spacing w:line="240" w:lineRule="atLeast"/>
        <w:rPr>
          <w:rFonts w:eastAsia="Calibri"/>
          <w:szCs w:val="20"/>
          <w:lang w:val="cs-CZ"/>
        </w:rPr>
      </w:pPr>
    </w:p>
    <w:p w:rsidR="001F1A9D" w:rsidRPr="003B6E11" w:rsidRDefault="001F1A9D" w:rsidP="00F6236E">
      <w:pPr>
        <w:spacing w:line="240" w:lineRule="atLeast"/>
        <w:ind w:left="567" w:hanging="567"/>
        <w:rPr>
          <w:rFonts w:eastAsia="Calibri"/>
          <w:szCs w:val="20"/>
          <w:lang w:val="cs-CZ"/>
        </w:rPr>
      </w:pPr>
      <w:r w:rsidRPr="003B6E11">
        <w:rPr>
          <w:lang w:val="cs-CZ"/>
        </w:rPr>
        <w:t>3.</w:t>
      </w:r>
      <w:r w:rsidRPr="003B6E11">
        <w:rPr>
          <w:lang w:val="cs-CZ"/>
        </w:rPr>
        <w:tab/>
        <w:t xml:space="preserve">Koeficient </w:t>
      </w:r>
      <m:oMath>
        <m:r>
          <w:rPr>
            <w:rFonts w:ascii="Cambria Math" w:eastAsia="Calibri" w:hAnsi="Cambria Math"/>
            <w:szCs w:val="20"/>
            <w:lang w:val="cs-CZ"/>
          </w:rPr>
          <m:t>α</m:t>
        </m:r>
      </m:oMath>
      <w:r w:rsidRPr="003B6E11">
        <w:rPr>
          <w:lang w:val="cs-CZ"/>
        </w:rPr>
        <w:t xml:space="preserve"> se vypočte podle tohoto vzorce:</w:t>
      </w:r>
    </w:p>
    <w:p w:rsidR="00395A9E" w:rsidRPr="003B6E11" w:rsidRDefault="00395A9E" w:rsidP="00F6236E">
      <w:pPr>
        <w:spacing w:line="240" w:lineRule="atLeast"/>
        <w:ind w:left="567" w:hanging="567"/>
        <w:rPr>
          <w:rFonts w:eastAsia="Calibri"/>
          <w:szCs w:val="20"/>
          <w:lang w:val="cs-CZ"/>
        </w:rPr>
      </w:pPr>
    </w:p>
    <w:p w:rsidR="0082441A" w:rsidRPr="003B6E11" w:rsidRDefault="00006207" w:rsidP="007E2368">
      <w:pPr>
        <w:spacing w:line="240" w:lineRule="atLeast"/>
        <w:rPr>
          <w:rFonts w:eastAsia="Calibri"/>
          <w:szCs w:val="20"/>
          <w:lang w:val="cs-CZ"/>
        </w:rPr>
      </w:pPr>
      <m:oMathPara>
        <m:oMath>
          <m:r>
            <w:rPr>
              <w:rFonts w:ascii="Cambria Math" w:eastAsia="Calibri" w:hAnsi="Cambria Math" w:cs="Cambria Math"/>
              <w:szCs w:val="20"/>
              <w:lang w:val="cs-CZ"/>
            </w:rPr>
            <m:t>α</m:t>
          </m:r>
          <m:r>
            <m:rPr>
              <m:sty m:val="p"/>
            </m:rPr>
            <w:rPr>
              <w:rFonts w:ascii="Cambria Math" w:eastAsia="Calibri" w:hAnsi="Cambria Math" w:cs="Cambria Math"/>
              <w:szCs w:val="20"/>
              <w:lang w:val="cs-CZ"/>
            </w:rPr>
            <m:t>=</m:t>
          </m:r>
          <m:f>
            <m:fPr>
              <m:ctrlPr>
                <w:rPr>
                  <w:rFonts w:ascii="Cambria Math" w:eastAsia="Calibri" w:hAnsi="Cambria Math"/>
                  <w:szCs w:val="20"/>
                  <w:lang w:val="cs-CZ"/>
                </w:rPr>
              </m:ctrlPr>
            </m:fPr>
            <m:num>
              <m:nary>
                <m:naryPr>
                  <m:chr m:val="∑"/>
                  <m:limLoc m:val="undOvr"/>
                  <m:subHide m:val="1"/>
                  <m:supHide m:val="1"/>
                  <m:ctrlPr>
                    <w:rPr>
                      <w:rFonts w:ascii="Cambria Math" w:eastAsia="Calibri" w:hAnsi="Cambria Math" w:cs="Cambria Math"/>
                      <w:szCs w:val="20"/>
                      <w:lang w:val="cs-CZ"/>
                    </w:rPr>
                  </m:ctrlPr>
                </m:naryPr>
                <m:sub/>
                <m:sup/>
                <m:e>
                  <m:sSub>
                    <m:sSubPr>
                      <m:ctrlPr>
                        <w:rPr>
                          <w:rFonts w:ascii="Cambria Math" w:eastAsia="Calibri" w:hAnsi="Cambria Math" w:cs="Cambria Math"/>
                          <w:i/>
                          <w:szCs w:val="20"/>
                          <w:lang w:val="cs-CZ"/>
                        </w:rPr>
                      </m:ctrlPr>
                    </m:sSubPr>
                    <m:e>
                      <m:r>
                        <w:rPr>
                          <w:rFonts w:ascii="Cambria Math" w:eastAsia="Calibri" w:hAnsi="Cambria Math" w:cs="Cambria Math"/>
                          <w:szCs w:val="20"/>
                          <w:lang w:val="cs-CZ"/>
                        </w:rPr>
                        <m:t>le</m:t>
                      </m:r>
                    </m:e>
                    <m:sub>
                      <m:r>
                        <w:rPr>
                          <w:rFonts w:ascii="Cambria Math" w:eastAsia="Calibri" w:hAnsi="Cambria Math" w:cs="Cambria Math"/>
                          <w:szCs w:val="20"/>
                          <w:lang w:val="cs-CZ"/>
                        </w:rPr>
                        <m:t>a</m:t>
                      </m:r>
                    </m:sub>
                  </m:sSub>
                </m:e>
              </m:nary>
              <m:r>
                <m:rPr>
                  <m:sty m:val="p"/>
                </m:rPr>
                <w:rPr>
                  <w:rFonts w:ascii="Cambria Math" w:eastAsia="Calibri" w:hAnsi="Cambria Math" w:cs="Cambria Math"/>
                  <w:szCs w:val="20"/>
                  <w:lang w:val="cs-CZ"/>
                </w:rPr>
                <m:t xml:space="preserve">+ </m:t>
              </m:r>
              <m:nary>
                <m:naryPr>
                  <m:chr m:val="∑"/>
                  <m:limLoc m:val="undOvr"/>
                  <m:subHide m:val="1"/>
                  <m:supHide m:val="1"/>
                  <m:ctrlPr>
                    <w:rPr>
                      <w:rFonts w:ascii="Cambria Math" w:eastAsia="Calibri" w:hAnsi="Cambria Math" w:cs="Cambria Math"/>
                      <w:szCs w:val="20"/>
                      <w:lang w:val="cs-CZ"/>
                    </w:rPr>
                  </m:ctrlPr>
                </m:naryPr>
                <m:sub/>
                <m:sup/>
                <m:e>
                  <m:sSub>
                    <m:sSubPr>
                      <m:ctrlPr>
                        <w:rPr>
                          <w:rFonts w:ascii="Cambria Math" w:eastAsia="Calibri" w:hAnsi="Cambria Math" w:cs="Cambria Math"/>
                          <w:i/>
                          <w:szCs w:val="20"/>
                          <w:lang w:val="cs-CZ"/>
                        </w:rPr>
                      </m:ctrlPr>
                    </m:sSubPr>
                    <m:e>
                      <m:r>
                        <w:rPr>
                          <w:rFonts w:ascii="Cambria Math" w:eastAsia="Calibri" w:hAnsi="Cambria Math" w:cs="Cambria Math"/>
                          <w:szCs w:val="20"/>
                          <w:lang w:val="cs-CZ"/>
                        </w:rPr>
                        <m:t>le</m:t>
                      </m:r>
                    </m:e>
                    <m:sub>
                      <m:r>
                        <w:rPr>
                          <w:rFonts w:ascii="Cambria Math" w:eastAsia="Calibri" w:hAnsi="Cambria Math" w:cs="Cambria Math"/>
                          <w:szCs w:val="20"/>
                          <w:lang w:val="cs-CZ"/>
                        </w:rPr>
                        <m:t>m</m:t>
                      </m:r>
                    </m:sub>
                  </m:sSub>
                </m:e>
              </m:nary>
              <m:r>
                <w:rPr>
                  <w:rFonts w:ascii="Cambria Math" w:eastAsia="Calibri" w:hAnsi="Cambria Math" w:cs="Cambria Math"/>
                  <w:szCs w:val="20"/>
                  <w:lang w:val="cs-CZ"/>
                </w:rPr>
                <m:t xml:space="preserve">+ </m:t>
              </m:r>
              <m:nary>
                <m:naryPr>
                  <m:chr m:val="∑"/>
                  <m:limLoc m:val="undOvr"/>
                  <m:subHide m:val="1"/>
                  <m:supHide m:val="1"/>
                  <m:ctrlPr>
                    <w:rPr>
                      <w:rFonts w:ascii="Cambria Math" w:eastAsia="Calibri" w:hAnsi="Cambria Math" w:cs="Cambria Math"/>
                      <w:szCs w:val="20"/>
                      <w:lang w:val="cs-CZ"/>
                    </w:rPr>
                  </m:ctrlPr>
                </m:naryPr>
                <m:sub/>
                <m:sup/>
                <m:e>
                  <m:sSub>
                    <m:sSubPr>
                      <m:ctrlPr>
                        <w:rPr>
                          <w:rFonts w:ascii="Cambria Math" w:eastAsia="Calibri" w:hAnsi="Cambria Math" w:cs="Cambria Math"/>
                          <w:i/>
                          <w:szCs w:val="20"/>
                          <w:lang w:val="cs-CZ"/>
                        </w:rPr>
                      </m:ctrlPr>
                    </m:sSubPr>
                    <m:e>
                      <m:r>
                        <w:rPr>
                          <w:rFonts w:ascii="Cambria Math" w:eastAsia="Calibri" w:hAnsi="Cambria Math" w:cs="Cambria Math"/>
                          <w:szCs w:val="20"/>
                          <w:lang w:val="cs-CZ"/>
                        </w:rPr>
                        <m:t>le</m:t>
                      </m:r>
                    </m:e>
                    <m:sub>
                      <m:r>
                        <w:rPr>
                          <w:rFonts w:ascii="Cambria Math" w:eastAsia="Calibri" w:hAnsi="Cambria Math" w:cs="Cambria Math"/>
                          <w:szCs w:val="20"/>
                          <w:lang w:val="cs-CZ"/>
                        </w:rPr>
                        <m:t>v</m:t>
                      </m:r>
                    </m:sub>
                  </m:sSub>
                </m:e>
              </m:nary>
            </m:num>
            <m:den>
              <m:r>
                <m:rPr>
                  <m:sty m:val="p"/>
                </m:rPr>
                <w:rPr>
                  <w:rFonts w:ascii="Cambria Math" w:eastAsia="Calibri" w:hAnsi="Cambria Math" w:cs="Cambria Math"/>
                  <w:szCs w:val="20"/>
                  <w:lang w:val="cs-CZ"/>
                </w:rPr>
                <m:t>L</m:t>
              </m:r>
            </m:den>
          </m:f>
        </m:oMath>
      </m:oMathPara>
    </w:p>
    <w:p w:rsidR="001F1A9D" w:rsidRPr="003B6E11" w:rsidRDefault="001F1A9D" w:rsidP="00E1027C">
      <w:pPr>
        <w:spacing w:line="240" w:lineRule="atLeast"/>
        <w:rPr>
          <w:rFonts w:eastAsia="Calibri"/>
          <w:szCs w:val="20"/>
          <w:lang w:val="cs-CZ"/>
        </w:rPr>
      </w:pPr>
    </w:p>
    <w:p w:rsidR="001F1A9D" w:rsidRPr="003B6E11" w:rsidRDefault="0060175E" w:rsidP="00F6236E">
      <w:pPr>
        <w:spacing w:line="240" w:lineRule="atLeast"/>
        <w:ind w:left="567"/>
        <w:rPr>
          <w:rFonts w:eastAsia="Calibri"/>
          <w:szCs w:val="20"/>
          <w:lang w:val="cs-CZ"/>
        </w:rPr>
      </w:pPr>
      <w:r w:rsidRPr="003B6E11">
        <w:rPr>
          <w:lang w:val="cs-CZ"/>
        </w:rPr>
        <w:t>kde:</w:t>
      </w:r>
    </w:p>
    <w:p w:rsidR="001F1A9D" w:rsidRPr="003B6E11" w:rsidRDefault="002D015D" w:rsidP="00F6236E">
      <w:pPr>
        <w:spacing w:before="60" w:line="240" w:lineRule="atLeast"/>
        <w:ind w:left="993" w:hanging="426"/>
        <w:rPr>
          <w:rFonts w:eastAsia="Calibri"/>
          <w:szCs w:val="20"/>
          <w:lang w:val="cs-CZ"/>
        </w:rPr>
      </w:pPr>
      <m:oMath>
        <m:sSub>
          <m:sSubPr>
            <m:ctrlPr>
              <w:rPr>
                <w:rFonts w:ascii="Cambria Math" w:eastAsia="Calibri" w:hAnsi="Cambria Math"/>
                <w:i/>
                <w:szCs w:val="20"/>
                <w:lang w:val="cs-CZ"/>
              </w:rPr>
            </m:ctrlPr>
          </m:sSubPr>
          <m:e>
            <m:r>
              <w:rPr>
                <w:rFonts w:ascii="Cambria Math" w:eastAsia="Calibri" w:hAnsi="Cambria Math"/>
                <w:szCs w:val="20"/>
                <w:lang w:val="cs-CZ"/>
              </w:rPr>
              <m:t>le</m:t>
            </m:r>
          </m:e>
          <m:sub>
            <m:r>
              <w:rPr>
                <w:rFonts w:ascii="Cambria Math" w:eastAsia="Calibri" w:hAnsi="Cambria Math"/>
                <w:szCs w:val="20"/>
                <w:lang w:val="cs-CZ"/>
              </w:rPr>
              <m:t>m</m:t>
            </m:r>
          </m:sub>
        </m:sSub>
      </m:oMath>
      <w:r w:rsidR="00290EF0" w:rsidRPr="003B6E11">
        <w:rPr>
          <w:lang w:val="cs-CZ"/>
        </w:rPr>
        <w:t xml:space="preserve"> </w:t>
      </w:r>
      <w:r w:rsidR="00290EF0" w:rsidRPr="003B6E11">
        <w:rPr>
          <w:lang w:val="cs-CZ"/>
        </w:rPr>
        <w:tab/>
        <w:t xml:space="preserve">je účinná délka nástavby v m umístěné ve střední části lodi odpovídající polovině délky lodi </w:t>
      </w:r>
      <m:oMath>
        <m:r>
          <w:rPr>
            <w:rFonts w:ascii="Cambria Math" w:hAnsi="Cambria Math" w:cs="Arial"/>
            <w:noProof/>
            <w:szCs w:val="20"/>
            <w:lang w:val="cs-CZ"/>
          </w:rPr>
          <m:t>L</m:t>
        </m:r>
      </m:oMath>
      <w:r w:rsidR="00290EF0" w:rsidRPr="003B6E11">
        <w:rPr>
          <w:lang w:val="cs-CZ"/>
        </w:rPr>
        <w:t>;</w:t>
      </w:r>
    </w:p>
    <w:p w:rsidR="001F1A9D" w:rsidRPr="003B6E11" w:rsidRDefault="002D015D" w:rsidP="00F6236E">
      <w:pPr>
        <w:spacing w:before="60" w:line="240" w:lineRule="atLeast"/>
        <w:ind w:left="993" w:hanging="426"/>
        <w:rPr>
          <w:rFonts w:eastAsia="Calibri"/>
          <w:szCs w:val="20"/>
          <w:lang w:val="cs-CZ"/>
        </w:rPr>
      </w:pPr>
      <m:oMath>
        <m:sSub>
          <m:sSubPr>
            <m:ctrlPr>
              <w:rPr>
                <w:rFonts w:ascii="Cambria Math" w:eastAsia="Calibri" w:hAnsi="Cambria Math"/>
                <w:i/>
                <w:szCs w:val="20"/>
                <w:lang w:val="cs-CZ"/>
              </w:rPr>
            </m:ctrlPr>
          </m:sSubPr>
          <m:e>
            <m:r>
              <w:rPr>
                <w:rFonts w:ascii="Cambria Math" w:eastAsia="Calibri" w:hAnsi="Cambria Math"/>
                <w:szCs w:val="20"/>
                <w:lang w:val="cs-CZ"/>
              </w:rPr>
              <m:t>le</m:t>
            </m:r>
          </m:e>
          <m:sub>
            <m:r>
              <w:rPr>
                <w:rFonts w:ascii="Cambria Math" w:eastAsia="Calibri" w:hAnsi="Cambria Math"/>
                <w:szCs w:val="20"/>
                <w:lang w:val="cs-CZ"/>
              </w:rPr>
              <m:t>v</m:t>
            </m:r>
          </m:sub>
        </m:sSub>
      </m:oMath>
      <w:r w:rsidR="00290EF0" w:rsidRPr="003B6E11">
        <w:rPr>
          <w:lang w:val="cs-CZ"/>
        </w:rPr>
        <w:tab/>
        <w:t xml:space="preserve">je účinná délka nástavby v m umístěné v přední čtvrtině délky lodi </w:t>
      </w:r>
      <m:oMath>
        <m:r>
          <w:rPr>
            <w:rFonts w:ascii="Cambria Math" w:hAnsi="Cambria Math" w:cs="Arial"/>
            <w:noProof/>
            <w:szCs w:val="20"/>
            <w:lang w:val="cs-CZ"/>
          </w:rPr>
          <m:t>L</m:t>
        </m:r>
      </m:oMath>
      <w:r w:rsidR="00290EF0" w:rsidRPr="003B6E11">
        <w:rPr>
          <w:lang w:val="cs-CZ"/>
        </w:rPr>
        <w:t>;</w:t>
      </w:r>
    </w:p>
    <w:p w:rsidR="001F1A9D" w:rsidRPr="003B6E11" w:rsidRDefault="002D015D" w:rsidP="00F6236E">
      <w:pPr>
        <w:spacing w:before="60" w:line="240" w:lineRule="atLeast"/>
        <w:ind w:left="993" w:hanging="426"/>
        <w:rPr>
          <w:rFonts w:eastAsia="Calibri"/>
          <w:szCs w:val="20"/>
          <w:lang w:val="cs-CZ"/>
        </w:rPr>
      </w:pPr>
      <m:oMath>
        <m:sSub>
          <m:sSubPr>
            <m:ctrlPr>
              <w:rPr>
                <w:rFonts w:ascii="Cambria Math" w:eastAsia="Calibri" w:hAnsi="Cambria Math"/>
                <w:i/>
                <w:szCs w:val="20"/>
                <w:lang w:val="cs-CZ"/>
              </w:rPr>
            </m:ctrlPr>
          </m:sSubPr>
          <m:e>
            <m:r>
              <w:rPr>
                <w:rFonts w:ascii="Cambria Math" w:eastAsia="Calibri" w:hAnsi="Cambria Math"/>
                <w:szCs w:val="20"/>
                <w:lang w:val="cs-CZ"/>
              </w:rPr>
              <m:t>le</m:t>
            </m:r>
          </m:e>
          <m:sub>
            <m:r>
              <w:rPr>
                <w:rFonts w:ascii="Cambria Math" w:eastAsia="Calibri" w:hAnsi="Cambria Math"/>
                <w:szCs w:val="20"/>
                <w:lang w:val="cs-CZ"/>
              </w:rPr>
              <m:t>a</m:t>
            </m:r>
          </m:sub>
        </m:sSub>
      </m:oMath>
      <w:r w:rsidR="00290EF0" w:rsidRPr="003B6E11">
        <w:rPr>
          <w:lang w:val="cs-CZ"/>
        </w:rPr>
        <w:tab/>
      </w:r>
      <w:r w:rsidR="00290EF0" w:rsidRPr="003B6E11">
        <w:rPr>
          <w:noProof/>
          <w:vertAlign w:val="subscript"/>
          <w:lang w:val="cs-CZ"/>
        </w:rPr>
        <w:t xml:space="preserve"> </w:t>
      </w:r>
      <w:r w:rsidR="00290EF0" w:rsidRPr="003B6E11">
        <w:rPr>
          <w:lang w:val="cs-CZ"/>
        </w:rPr>
        <w:t xml:space="preserve">je účinná délka nástavby v m umístěné v zadní čtvrtině délky lodi </w:t>
      </w:r>
      <m:oMath>
        <m:r>
          <w:rPr>
            <w:rFonts w:ascii="Cambria Math" w:hAnsi="Cambria Math" w:cs="Arial"/>
            <w:noProof/>
            <w:szCs w:val="20"/>
            <w:lang w:val="cs-CZ"/>
          </w:rPr>
          <m:t>L</m:t>
        </m:r>
      </m:oMath>
      <w:r w:rsidR="00290EF0" w:rsidRPr="003B6E11">
        <w:rPr>
          <w:lang w:val="cs-CZ"/>
        </w:rPr>
        <w:t>.</w:t>
      </w:r>
    </w:p>
    <w:p w:rsidR="00745DD2" w:rsidRPr="003B6E11" w:rsidRDefault="00745DD2" w:rsidP="00E1027C">
      <w:pPr>
        <w:spacing w:line="240" w:lineRule="atLeast"/>
        <w:ind w:left="850"/>
        <w:rPr>
          <w:rFonts w:eastAsia="Calibri"/>
          <w:szCs w:val="20"/>
          <w:lang w:val="cs-CZ"/>
        </w:rPr>
      </w:pPr>
    </w:p>
    <w:p w:rsidR="004316CC" w:rsidRPr="003B6E11" w:rsidRDefault="004316CC" w:rsidP="00E1027C">
      <w:pPr>
        <w:spacing w:line="240" w:lineRule="atLeast"/>
        <w:ind w:left="850"/>
        <w:rPr>
          <w:rFonts w:eastAsia="Calibri"/>
          <w:szCs w:val="20"/>
          <w:lang w:val="cs-CZ"/>
        </w:rPr>
      </w:pPr>
      <w:r w:rsidRPr="003B6E11">
        <w:rPr>
          <w:lang w:val="cs-CZ"/>
        </w:rPr>
        <w:br w:type="page"/>
      </w:r>
    </w:p>
    <w:p w:rsidR="001F1A9D" w:rsidRPr="003B6E11" w:rsidRDefault="0060175E" w:rsidP="00F6236E">
      <w:pPr>
        <w:spacing w:line="240" w:lineRule="atLeast"/>
        <w:ind w:left="567"/>
        <w:rPr>
          <w:rFonts w:eastAsia="Calibri"/>
          <w:szCs w:val="20"/>
          <w:lang w:val="cs-CZ"/>
        </w:rPr>
      </w:pPr>
      <w:r w:rsidRPr="003B6E11">
        <w:rPr>
          <w:lang w:val="cs-CZ"/>
        </w:rPr>
        <w:t>Účinná délka nástavby se vypočte podle tohoto vzorce:</w:t>
      </w:r>
    </w:p>
    <w:p w:rsidR="0058606C" w:rsidRPr="003B6E11" w:rsidRDefault="0058606C" w:rsidP="0060175E">
      <w:pPr>
        <w:tabs>
          <w:tab w:val="left" w:pos="1485"/>
        </w:tabs>
        <w:spacing w:line="240" w:lineRule="atLeast"/>
        <w:ind w:left="567"/>
        <w:rPr>
          <w:rFonts w:eastAsia="Calibri"/>
          <w:szCs w:val="20"/>
          <w:lang w:val="cs-CZ"/>
        </w:rPr>
      </w:pPr>
    </w:p>
    <w:p w:rsidR="0026577D" w:rsidRPr="003B6E11" w:rsidRDefault="002D015D" w:rsidP="007E2368">
      <w:pPr>
        <w:tabs>
          <w:tab w:val="left" w:pos="1485"/>
        </w:tabs>
        <w:spacing w:line="240" w:lineRule="atLeast"/>
        <w:rPr>
          <w:rFonts w:eastAsia="Calibri"/>
          <w:szCs w:val="20"/>
          <w:lang w:val="cs-CZ"/>
        </w:rPr>
      </w:pPr>
      <m:oMathPara>
        <m:oMath>
          <m:sSub>
            <m:sSubPr>
              <m:ctrlPr>
                <w:rPr>
                  <w:rFonts w:ascii="Cambria Math" w:eastAsia="Calibri" w:hAnsi="Cambria Math" w:cs="Arial"/>
                  <w:i/>
                  <w:lang w:val="cs-CZ"/>
                </w:rPr>
              </m:ctrlPr>
            </m:sSubPr>
            <m:e>
              <m:r>
                <w:rPr>
                  <w:rFonts w:ascii="Cambria Math" w:eastAsia="Calibri" w:hAnsi="Cambria Math" w:cs="Arial"/>
                  <w:lang w:val="cs-CZ"/>
                </w:rPr>
                <m:t>le</m:t>
              </m:r>
            </m:e>
            <m:sub>
              <m:r>
                <w:rPr>
                  <w:rFonts w:ascii="Cambria Math" w:eastAsia="Calibri" w:hAnsi="Cambria Math" w:cs="Arial"/>
                  <w:lang w:val="cs-CZ"/>
                </w:rPr>
                <m:t>m</m:t>
              </m:r>
            </m:sub>
          </m:sSub>
          <m:r>
            <w:rPr>
              <w:rFonts w:ascii="Cambria Math" w:eastAsia="Calibri" w:hAnsi="Cambria Math" w:cs="Arial"/>
              <w:lang w:val="cs-CZ"/>
            </w:rPr>
            <m:t>=l ∙</m:t>
          </m:r>
          <m:d>
            <m:dPr>
              <m:ctrlPr>
                <w:rPr>
                  <w:rFonts w:ascii="Cambria Math" w:eastAsia="Calibri" w:hAnsi="Cambria Math" w:cs="Arial"/>
                  <w:i/>
                  <w:lang w:val="cs-CZ"/>
                </w:rPr>
              </m:ctrlPr>
            </m:dPr>
            <m:e>
              <m:r>
                <w:rPr>
                  <w:rFonts w:ascii="Cambria Math" w:eastAsia="Calibri" w:hAnsi="Cambria Math" w:cs="Arial"/>
                  <w:lang w:val="cs-CZ"/>
                </w:rPr>
                <m:t xml:space="preserve">2,5 ∙ </m:t>
              </m:r>
              <m:f>
                <m:fPr>
                  <m:ctrlPr>
                    <w:rPr>
                      <w:rFonts w:ascii="Cambria Math" w:eastAsia="Calibri" w:hAnsi="Cambria Math" w:cs="Arial"/>
                      <w:i/>
                      <w:lang w:val="cs-CZ"/>
                    </w:rPr>
                  </m:ctrlPr>
                </m:fPr>
                <m:num>
                  <m:r>
                    <w:rPr>
                      <w:rFonts w:ascii="Cambria Math" w:eastAsia="Calibri" w:hAnsi="Cambria Math" w:cs="Arial"/>
                      <w:lang w:val="cs-CZ"/>
                    </w:rPr>
                    <m:t>b</m:t>
                  </m:r>
                </m:num>
                <m:den>
                  <m:r>
                    <w:rPr>
                      <w:rFonts w:ascii="Cambria Math" w:eastAsia="Calibri" w:hAnsi="Cambria Math" w:cs="Arial"/>
                      <w:lang w:val="cs-CZ"/>
                    </w:rPr>
                    <m:t>B</m:t>
                  </m:r>
                </m:den>
              </m:f>
              <m:r>
                <w:rPr>
                  <w:rFonts w:ascii="Cambria Math" w:eastAsia="Calibri" w:hAnsi="Cambria Math" w:cs="Arial"/>
                  <w:lang w:val="cs-CZ"/>
                </w:rPr>
                <m:t>-1,5</m:t>
              </m:r>
            </m:e>
          </m:d>
          <m:r>
            <w:rPr>
              <w:rFonts w:ascii="Cambria Math" w:eastAsia="Calibri" w:hAnsi="Cambria Math" w:cs="Arial"/>
              <w:lang w:val="cs-CZ"/>
            </w:rPr>
            <m:t xml:space="preserve"> ∙ </m:t>
          </m:r>
          <m:f>
            <m:fPr>
              <m:ctrlPr>
                <w:rPr>
                  <w:rFonts w:ascii="Cambria Math" w:eastAsia="Calibri" w:hAnsi="Cambria Math" w:cs="Arial"/>
                  <w:i/>
                  <w:lang w:val="cs-CZ"/>
                </w:rPr>
              </m:ctrlPr>
            </m:fPr>
            <m:num>
              <m:r>
                <w:rPr>
                  <w:rFonts w:ascii="Cambria Math" w:eastAsia="Calibri" w:hAnsi="Cambria Math" w:cs="Arial"/>
                  <w:lang w:val="cs-CZ"/>
                </w:rPr>
                <m:t>h</m:t>
              </m:r>
            </m:num>
            <m:den>
              <m:r>
                <w:rPr>
                  <w:rFonts w:ascii="Cambria Math" w:eastAsia="Calibri" w:hAnsi="Cambria Math" w:cs="Arial"/>
                  <w:lang w:val="cs-CZ"/>
                </w:rPr>
                <m:t>0,36</m:t>
              </m:r>
            </m:den>
          </m:f>
          <m:r>
            <m:rPr>
              <m:sty m:val="p"/>
            </m:rPr>
            <w:rPr>
              <w:rFonts w:ascii="Cambria Math" w:eastAsia="Calibri" w:hAnsi="Cambria Math" w:cs="Arial"/>
              <w:lang w:val="cs-CZ"/>
            </w:rPr>
            <m:t xml:space="preserve">  [m]</m:t>
          </m:r>
          <m:r>
            <m:rPr>
              <m:sty m:val="p"/>
            </m:rPr>
            <w:rPr>
              <w:rFonts w:eastAsia="Calibri" w:cs="Arial"/>
              <w:lang w:val="cs-CZ"/>
            </w:rPr>
            <w:br/>
          </m:r>
        </m:oMath>
      </m:oMathPara>
    </w:p>
    <w:p w:rsidR="001F1A9D" w:rsidRPr="003B6E11" w:rsidRDefault="002D015D" w:rsidP="007E2368">
      <w:pPr>
        <w:tabs>
          <w:tab w:val="left" w:pos="1485"/>
        </w:tabs>
        <w:spacing w:line="240" w:lineRule="atLeast"/>
        <w:rPr>
          <w:rFonts w:eastAsia="Calibri"/>
          <w:szCs w:val="20"/>
          <w:lang w:val="cs-CZ"/>
        </w:rPr>
      </w:pPr>
      <m:oMathPara>
        <m:oMath>
          <m:sSub>
            <m:sSubPr>
              <m:ctrlPr>
                <w:rPr>
                  <w:rFonts w:ascii="Cambria Math" w:eastAsia="Calibri" w:hAnsi="Cambria Math" w:cs="Arial"/>
                  <w:i/>
                  <w:lang w:val="cs-CZ"/>
                </w:rPr>
              </m:ctrlPr>
            </m:sSubPr>
            <m:e>
              <m:r>
                <w:rPr>
                  <w:rFonts w:ascii="Cambria Math" w:eastAsia="Calibri" w:hAnsi="Cambria Math" w:cs="Arial"/>
                  <w:lang w:val="cs-CZ"/>
                </w:rPr>
                <m:t>le</m:t>
              </m:r>
            </m:e>
            <m:sub>
              <m:r>
                <w:rPr>
                  <w:rFonts w:ascii="Cambria Math" w:eastAsia="Calibri" w:hAnsi="Cambria Math" w:cs="Arial"/>
                  <w:lang w:val="cs-CZ"/>
                </w:rPr>
                <m:t>v</m:t>
              </m:r>
            </m:sub>
          </m:sSub>
          <m:r>
            <w:rPr>
              <w:rFonts w:ascii="Cambria Math" w:eastAsia="Calibri" w:hAnsi="Cambria Math" w:cs="Arial"/>
              <w:lang w:val="cs-CZ"/>
            </w:rPr>
            <m:t xml:space="preserve">, resp.  </m:t>
          </m:r>
          <m:sSub>
            <m:sSubPr>
              <m:ctrlPr>
                <w:rPr>
                  <w:rFonts w:ascii="Cambria Math" w:eastAsia="Calibri" w:hAnsi="Cambria Math" w:cs="Arial"/>
                  <w:i/>
                  <w:lang w:val="cs-CZ"/>
                </w:rPr>
              </m:ctrlPr>
            </m:sSubPr>
            <m:e>
              <m:r>
                <w:rPr>
                  <w:rFonts w:ascii="Cambria Math" w:eastAsia="Calibri" w:hAnsi="Cambria Math" w:cs="Arial"/>
                  <w:lang w:val="cs-CZ"/>
                </w:rPr>
                <m:t>le</m:t>
              </m:r>
            </m:e>
            <m:sub>
              <m:r>
                <w:rPr>
                  <w:rFonts w:ascii="Cambria Math" w:eastAsia="Calibri" w:hAnsi="Cambria Math" w:cs="Arial"/>
                  <w:lang w:val="cs-CZ"/>
                </w:rPr>
                <m:t>a</m:t>
              </m:r>
            </m:sub>
          </m:sSub>
          <m:r>
            <w:rPr>
              <w:rFonts w:ascii="Cambria Math" w:eastAsia="Calibri" w:hAnsi="Cambria Math" w:cs="Arial"/>
              <w:lang w:val="cs-CZ"/>
            </w:rPr>
            <m:t>=l ∙</m:t>
          </m:r>
          <m:d>
            <m:dPr>
              <m:ctrlPr>
                <w:rPr>
                  <w:rFonts w:ascii="Cambria Math" w:eastAsia="Calibri" w:hAnsi="Cambria Math" w:cs="Arial"/>
                  <w:i/>
                  <w:lang w:val="cs-CZ"/>
                </w:rPr>
              </m:ctrlPr>
            </m:dPr>
            <m:e>
              <m:r>
                <w:rPr>
                  <w:rFonts w:ascii="Cambria Math" w:eastAsia="Calibri" w:hAnsi="Cambria Math" w:cs="Arial"/>
                  <w:lang w:val="cs-CZ"/>
                </w:rPr>
                <m:t xml:space="preserve">2,5 ∙ </m:t>
              </m:r>
              <m:f>
                <m:fPr>
                  <m:ctrlPr>
                    <w:rPr>
                      <w:rFonts w:ascii="Cambria Math" w:eastAsia="Calibri" w:hAnsi="Cambria Math" w:cs="Arial"/>
                      <w:i/>
                      <w:lang w:val="cs-CZ"/>
                    </w:rPr>
                  </m:ctrlPr>
                </m:fPr>
                <m:num>
                  <m:r>
                    <w:rPr>
                      <w:rFonts w:ascii="Cambria Math" w:eastAsia="Calibri" w:hAnsi="Cambria Math" w:cs="Arial"/>
                      <w:lang w:val="cs-CZ"/>
                    </w:rPr>
                    <m:t>b</m:t>
                  </m:r>
                </m:num>
                <m:den>
                  <m:sSub>
                    <m:sSubPr>
                      <m:ctrlPr>
                        <w:rPr>
                          <w:rFonts w:ascii="Cambria Math" w:eastAsia="Calibri" w:hAnsi="Cambria Math" w:cs="Arial"/>
                          <w:i/>
                          <w:lang w:val="cs-CZ"/>
                        </w:rPr>
                      </m:ctrlPr>
                    </m:sSubPr>
                    <m:e>
                      <m:r>
                        <w:rPr>
                          <w:rFonts w:ascii="Cambria Math" w:eastAsia="Calibri" w:hAnsi="Cambria Math" w:cs="Arial"/>
                          <w:lang w:val="cs-CZ"/>
                        </w:rPr>
                        <m:t>B</m:t>
                      </m:r>
                    </m:e>
                    <m:sub>
                      <m:r>
                        <w:rPr>
                          <w:rFonts w:ascii="Cambria Math" w:eastAsia="Calibri" w:hAnsi="Cambria Math" w:cs="Arial"/>
                          <w:lang w:val="cs-CZ"/>
                        </w:rPr>
                        <m:t>1</m:t>
                      </m:r>
                    </m:sub>
                  </m:sSub>
                </m:den>
              </m:f>
              <m:r>
                <w:rPr>
                  <w:rFonts w:ascii="Cambria Math" w:eastAsia="Calibri" w:hAnsi="Cambria Math" w:cs="Arial"/>
                  <w:lang w:val="cs-CZ"/>
                </w:rPr>
                <m:t>-1,5</m:t>
              </m:r>
            </m:e>
          </m:d>
          <m:r>
            <w:rPr>
              <w:rFonts w:ascii="Cambria Math" w:eastAsia="Calibri" w:hAnsi="Cambria Math" w:cs="Arial"/>
              <w:lang w:val="cs-CZ"/>
            </w:rPr>
            <m:t xml:space="preserve"> ∙ </m:t>
          </m:r>
          <m:f>
            <m:fPr>
              <m:ctrlPr>
                <w:rPr>
                  <w:rFonts w:ascii="Cambria Math" w:eastAsia="Calibri" w:hAnsi="Cambria Math" w:cs="Arial"/>
                  <w:i/>
                  <w:lang w:val="cs-CZ"/>
                </w:rPr>
              </m:ctrlPr>
            </m:fPr>
            <m:num>
              <m:r>
                <w:rPr>
                  <w:rFonts w:ascii="Cambria Math" w:eastAsia="Calibri" w:hAnsi="Cambria Math" w:cs="Arial"/>
                  <w:lang w:val="cs-CZ"/>
                </w:rPr>
                <m:t>h</m:t>
              </m:r>
            </m:num>
            <m:den>
              <m:r>
                <w:rPr>
                  <w:rFonts w:ascii="Cambria Math" w:eastAsia="Calibri" w:hAnsi="Cambria Math" w:cs="Arial"/>
                  <w:lang w:val="cs-CZ"/>
                </w:rPr>
                <m:t>0,36</m:t>
              </m:r>
            </m:den>
          </m:f>
          <m:r>
            <m:rPr>
              <m:sty m:val="p"/>
            </m:rPr>
            <w:rPr>
              <w:rFonts w:ascii="Cambria Math" w:eastAsia="Calibri" w:hAnsi="Cambria Math" w:cs="Arial"/>
              <w:lang w:val="cs-CZ"/>
            </w:rPr>
            <m:t xml:space="preserve">  </m:t>
          </m:r>
          <m:d>
            <m:dPr>
              <m:begChr m:val="["/>
              <m:endChr m:val="]"/>
              <m:ctrlPr>
                <w:rPr>
                  <w:rFonts w:ascii="Cambria Math" w:eastAsia="Calibri" w:hAnsi="Cambria Math" w:cs="Arial"/>
                  <w:lang w:val="cs-CZ"/>
                </w:rPr>
              </m:ctrlPr>
            </m:dPr>
            <m:e>
              <m:r>
                <m:rPr>
                  <m:sty m:val="p"/>
                </m:rPr>
                <w:rPr>
                  <w:rFonts w:ascii="Cambria Math" w:eastAsia="Calibri" w:hAnsi="Cambria Math" w:cs="Arial"/>
                  <w:lang w:val="cs-CZ"/>
                </w:rPr>
                <m:t>m</m:t>
              </m:r>
            </m:e>
          </m:d>
          <m:r>
            <m:rPr>
              <m:sty m:val="p"/>
            </m:rPr>
            <w:rPr>
              <w:rFonts w:ascii="Cambria Math" w:eastAsia="Calibri" w:hAnsi="Cambria Math" w:cs="Arial"/>
              <w:lang w:val="cs-CZ"/>
            </w:rPr>
            <m:t>.</m:t>
          </m:r>
          <m:r>
            <m:rPr>
              <m:sty m:val="p"/>
            </m:rPr>
            <w:rPr>
              <w:rFonts w:eastAsia="Calibri" w:cs="Arial"/>
              <w:lang w:val="cs-CZ"/>
            </w:rPr>
            <w:br/>
          </m:r>
        </m:oMath>
      </m:oMathPara>
    </w:p>
    <w:p w:rsidR="001F1A9D" w:rsidRPr="003B6E11" w:rsidRDefault="0060175E" w:rsidP="00F6236E">
      <w:pPr>
        <w:spacing w:line="240" w:lineRule="atLeast"/>
        <w:ind w:left="567"/>
        <w:rPr>
          <w:rFonts w:eastAsia="Calibri"/>
          <w:szCs w:val="20"/>
          <w:lang w:val="cs-CZ"/>
        </w:rPr>
      </w:pPr>
      <w:r w:rsidRPr="003B6E11">
        <w:rPr>
          <w:lang w:val="cs-CZ"/>
        </w:rPr>
        <w:t>kde:</w:t>
      </w:r>
    </w:p>
    <w:p w:rsidR="001F1A9D" w:rsidRPr="003B6E11" w:rsidRDefault="0026577D" w:rsidP="004316CC">
      <w:pPr>
        <w:spacing w:before="60" w:line="240" w:lineRule="atLeast"/>
        <w:ind w:left="992"/>
        <w:rPr>
          <w:rFonts w:eastAsia="Calibri"/>
          <w:szCs w:val="20"/>
          <w:lang w:val="cs-CZ"/>
        </w:rPr>
      </w:pPr>
      <m:oMath>
        <m:r>
          <w:rPr>
            <w:rFonts w:ascii="Cambria Math" w:eastAsia="Calibri" w:hAnsi="Cambria Math"/>
            <w:szCs w:val="20"/>
            <w:lang w:val="cs-CZ"/>
          </w:rPr>
          <m:t>l</m:t>
        </m:r>
      </m:oMath>
      <w:r w:rsidRPr="003B6E11">
        <w:rPr>
          <w:lang w:val="cs-CZ"/>
        </w:rPr>
        <w:tab/>
        <w:t>je účinná délka příslušné nástavby v m;</w:t>
      </w:r>
    </w:p>
    <w:p w:rsidR="001F1A9D" w:rsidRPr="003B6E11" w:rsidRDefault="0026577D" w:rsidP="004316CC">
      <w:pPr>
        <w:spacing w:before="60" w:line="240" w:lineRule="atLeast"/>
        <w:ind w:left="992"/>
        <w:rPr>
          <w:rFonts w:eastAsia="Calibri"/>
          <w:szCs w:val="20"/>
          <w:lang w:val="cs-CZ"/>
        </w:rPr>
      </w:pPr>
      <m:oMath>
        <m:r>
          <w:rPr>
            <w:rFonts w:ascii="Cambria Math" w:eastAsia="Calibri" w:hAnsi="Cambria Math"/>
            <w:szCs w:val="20"/>
            <w:lang w:val="cs-CZ"/>
          </w:rPr>
          <m:t>b</m:t>
        </m:r>
      </m:oMath>
      <w:r w:rsidRPr="003B6E11">
        <w:rPr>
          <w:lang w:val="cs-CZ"/>
        </w:rPr>
        <w:tab/>
        <w:t>je šířka příslušné nástavby v m;</w:t>
      </w:r>
    </w:p>
    <w:p w:rsidR="001F1A9D" w:rsidRPr="003B6E11" w:rsidRDefault="002D015D" w:rsidP="004316CC">
      <w:pPr>
        <w:spacing w:before="60" w:line="240" w:lineRule="atLeast"/>
        <w:ind w:left="992"/>
        <w:rPr>
          <w:rFonts w:eastAsia="Calibri"/>
          <w:szCs w:val="20"/>
          <w:lang w:val="cs-CZ"/>
        </w:rPr>
      </w:pPr>
      <m:oMath>
        <m:sSub>
          <m:sSubPr>
            <m:ctrlPr>
              <w:rPr>
                <w:rFonts w:ascii="Cambria Math" w:eastAsia="Calibri" w:hAnsi="Cambria Math"/>
                <w:i/>
                <w:szCs w:val="20"/>
                <w:lang w:val="cs-CZ"/>
              </w:rPr>
            </m:ctrlPr>
          </m:sSubPr>
          <m:e>
            <m:r>
              <w:rPr>
                <w:rFonts w:ascii="Cambria Math" w:eastAsia="Calibri" w:hAnsi="Cambria Math"/>
                <w:szCs w:val="20"/>
                <w:lang w:val="cs-CZ"/>
              </w:rPr>
              <m:t>B</m:t>
            </m:r>
          </m:e>
          <m:sub>
            <m:r>
              <w:rPr>
                <w:rFonts w:ascii="Cambria Math" w:eastAsia="Calibri" w:hAnsi="Cambria Math"/>
                <w:szCs w:val="20"/>
                <w:lang w:val="cs-CZ"/>
              </w:rPr>
              <m:t>1</m:t>
            </m:r>
          </m:sub>
        </m:sSub>
      </m:oMath>
      <w:r w:rsidR="00290EF0" w:rsidRPr="003B6E11">
        <w:rPr>
          <w:lang w:val="cs-CZ"/>
        </w:rPr>
        <w:t xml:space="preserve"> </w:t>
      </w:r>
      <w:r w:rsidR="00290EF0" w:rsidRPr="003B6E11">
        <w:rPr>
          <w:lang w:val="cs-CZ"/>
        </w:rPr>
        <w:tab/>
        <w:t>je šířka lodi v m, měřená z vnější strany svislé boční obšívky na úrovni paluby v polovině příslušné nástavby;</w:t>
      </w:r>
    </w:p>
    <w:p w:rsidR="001F1A9D" w:rsidRPr="003B6E11" w:rsidRDefault="0026577D" w:rsidP="004316CC">
      <w:pPr>
        <w:spacing w:before="60" w:line="240" w:lineRule="atLeast"/>
        <w:ind w:left="992"/>
        <w:rPr>
          <w:rFonts w:eastAsia="Calibri"/>
          <w:szCs w:val="20"/>
          <w:lang w:val="cs-CZ"/>
        </w:rPr>
      </w:pPr>
      <m:oMath>
        <m:r>
          <w:rPr>
            <w:rFonts w:ascii="Cambria Math" w:eastAsia="Calibri" w:hAnsi="Cambria Math"/>
            <w:szCs w:val="20"/>
            <w:lang w:val="cs-CZ"/>
          </w:rPr>
          <m:t>h</m:t>
        </m:r>
      </m:oMath>
      <w:r w:rsidRPr="003B6E11">
        <w:rPr>
          <w:lang w:val="cs-CZ"/>
        </w:rPr>
        <w:tab/>
        <w:t xml:space="preserve">je výška příslušné nástavby v m. Avšak v případě jícnů je </w:t>
      </w:r>
      <m:oMath>
        <m:r>
          <w:rPr>
            <w:rFonts w:ascii="Cambria Math" w:eastAsia="Calibri" w:hAnsi="Cambria Math"/>
            <w:szCs w:val="20"/>
            <w:lang w:val="cs-CZ"/>
          </w:rPr>
          <m:t>h</m:t>
        </m:r>
      </m:oMath>
      <w:r w:rsidRPr="003B6E11">
        <w:rPr>
          <w:lang w:val="cs-CZ"/>
        </w:rPr>
        <w:t xml:space="preserve"> rovno výšce silů jícnů snížené o polovinu bezpečnostní vzdálenosti podle článku 4.01. V žádném případě se nepoužije hodnota </w:t>
      </w:r>
      <m:oMath>
        <m:r>
          <w:rPr>
            <w:rFonts w:ascii="Cambria Math" w:eastAsia="Calibri" w:hAnsi="Cambria Math"/>
            <w:szCs w:val="20"/>
            <w:lang w:val="cs-CZ"/>
          </w:rPr>
          <m:t>h</m:t>
        </m:r>
      </m:oMath>
      <w:r w:rsidRPr="003B6E11">
        <w:rPr>
          <w:lang w:val="cs-CZ"/>
        </w:rPr>
        <w:t xml:space="preserve"> vyšší než 0,36 m.</w:t>
      </w:r>
    </w:p>
    <w:p w:rsidR="001F1A9D" w:rsidRPr="003B6E11" w:rsidRDefault="0060175E" w:rsidP="004316CC">
      <w:pPr>
        <w:spacing w:before="60" w:line="240" w:lineRule="atLeast"/>
        <w:ind w:left="992"/>
        <w:rPr>
          <w:rFonts w:eastAsia="Calibri"/>
          <w:szCs w:val="20"/>
          <w:lang w:val="cs-CZ"/>
        </w:rPr>
      </w:pPr>
      <w:r w:rsidRPr="003B6E11">
        <w:rPr>
          <w:lang w:val="cs-CZ"/>
        </w:rPr>
        <w:t xml:space="preserve">Pokud </w:t>
      </w:r>
      <m:oMath>
        <m:f>
          <m:fPr>
            <m:ctrlPr>
              <w:rPr>
                <w:rFonts w:ascii="Cambria Math" w:eastAsia="Calibri" w:hAnsi="Cambria Math"/>
                <w:i/>
                <w:sz w:val="24"/>
                <w:szCs w:val="20"/>
                <w:lang w:val="cs-CZ"/>
              </w:rPr>
            </m:ctrlPr>
          </m:fPr>
          <m:num>
            <m:r>
              <w:rPr>
                <w:rFonts w:ascii="Cambria Math" w:eastAsia="Calibri" w:hAnsi="Cambria Math"/>
                <w:sz w:val="24"/>
                <w:szCs w:val="20"/>
                <w:lang w:val="cs-CZ"/>
              </w:rPr>
              <m:t>b</m:t>
            </m:r>
          </m:num>
          <m:den>
            <m:r>
              <w:rPr>
                <w:rFonts w:ascii="Cambria Math" w:eastAsia="Calibri" w:hAnsi="Cambria Math"/>
                <w:sz w:val="24"/>
                <w:szCs w:val="20"/>
                <w:lang w:val="cs-CZ"/>
              </w:rPr>
              <m:t>B</m:t>
            </m:r>
          </m:den>
        </m:f>
      </m:oMath>
      <w:r w:rsidRPr="003B6E11">
        <w:rPr>
          <w:sz w:val="24"/>
          <w:lang w:val="cs-CZ"/>
        </w:rPr>
        <w:t xml:space="preserve"> </w:t>
      </w:r>
      <w:r w:rsidRPr="003B6E11">
        <w:rPr>
          <w:lang w:val="cs-CZ"/>
        </w:rPr>
        <w:t xml:space="preserve">nebo </w:t>
      </w:r>
      <m:oMath>
        <m:f>
          <m:fPr>
            <m:ctrlPr>
              <w:rPr>
                <w:rFonts w:ascii="Cambria Math" w:eastAsia="Calibri" w:hAnsi="Cambria Math"/>
                <w:i/>
                <w:sz w:val="24"/>
                <w:szCs w:val="20"/>
                <w:lang w:val="cs-CZ"/>
              </w:rPr>
            </m:ctrlPr>
          </m:fPr>
          <m:num>
            <m:r>
              <w:rPr>
                <w:rFonts w:ascii="Cambria Math" w:eastAsia="Calibri" w:hAnsi="Cambria Math"/>
                <w:sz w:val="24"/>
                <w:szCs w:val="20"/>
                <w:lang w:val="cs-CZ"/>
              </w:rPr>
              <m:t>b</m:t>
            </m:r>
          </m:num>
          <m:den>
            <m:sSub>
              <m:sSubPr>
                <m:ctrlPr>
                  <w:rPr>
                    <w:rFonts w:ascii="Cambria Math" w:eastAsia="Calibri" w:hAnsi="Cambria Math"/>
                    <w:i/>
                    <w:sz w:val="24"/>
                    <w:szCs w:val="20"/>
                    <w:lang w:val="cs-CZ"/>
                  </w:rPr>
                </m:ctrlPr>
              </m:sSubPr>
              <m:e>
                <m:r>
                  <w:rPr>
                    <w:rFonts w:ascii="Cambria Math" w:eastAsia="Calibri" w:hAnsi="Cambria Math"/>
                    <w:sz w:val="24"/>
                    <w:szCs w:val="20"/>
                    <w:lang w:val="cs-CZ"/>
                  </w:rPr>
                  <m:t>B</m:t>
                </m:r>
              </m:e>
              <m:sub>
                <m:r>
                  <w:rPr>
                    <w:rFonts w:ascii="Cambria Math" w:eastAsia="Calibri" w:hAnsi="Cambria Math"/>
                    <w:sz w:val="24"/>
                    <w:szCs w:val="20"/>
                    <w:lang w:val="cs-CZ"/>
                  </w:rPr>
                  <m:t>1</m:t>
                </m:r>
              </m:sub>
            </m:sSub>
          </m:den>
        </m:f>
        <m:r>
          <w:rPr>
            <w:rFonts w:ascii="Cambria Math" w:eastAsia="Calibri" w:hAnsi="Cambria Math"/>
            <w:sz w:val="24"/>
            <w:szCs w:val="20"/>
            <w:lang w:val="cs-CZ"/>
          </w:rPr>
          <m:t xml:space="preserve"> </m:t>
        </m:r>
      </m:oMath>
      <w:r w:rsidRPr="003B6E11">
        <w:rPr>
          <w:lang w:val="cs-CZ"/>
        </w:rPr>
        <w:t xml:space="preserve"> je menší než 0,6, rovná se účinná délka </w:t>
      </w:r>
      <m:oMath>
        <m:r>
          <w:rPr>
            <w:rFonts w:ascii="Cambria Math" w:eastAsia="Calibri" w:hAnsi="Cambria Math"/>
            <w:szCs w:val="20"/>
            <w:lang w:val="cs-CZ"/>
          </w:rPr>
          <m:t>le</m:t>
        </m:r>
      </m:oMath>
      <w:r w:rsidRPr="003B6E11">
        <w:rPr>
          <w:lang w:val="cs-CZ"/>
        </w:rPr>
        <w:t xml:space="preserve"> nástavby nule.</w:t>
      </w:r>
    </w:p>
    <w:p w:rsidR="00745DD2" w:rsidRPr="003B6E11" w:rsidRDefault="00745DD2" w:rsidP="00E1027C">
      <w:pPr>
        <w:spacing w:line="240" w:lineRule="atLeast"/>
        <w:rPr>
          <w:rFonts w:eastAsia="Calibri"/>
          <w:szCs w:val="20"/>
          <w:lang w:val="cs-CZ"/>
        </w:rPr>
      </w:pPr>
    </w:p>
    <w:p w:rsidR="001F1A9D" w:rsidRPr="003B6E11" w:rsidRDefault="001F1A9D" w:rsidP="00111867">
      <w:pPr>
        <w:pStyle w:val="ESch"/>
        <w:rPr>
          <w:rFonts w:eastAsia="Calibri"/>
          <w:lang w:val="cs-CZ"/>
        </w:rPr>
      </w:pPr>
      <w:r w:rsidRPr="003B6E11">
        <w:rPr>
          <w:lang w:val="cs-CZ"/>
        </w:rPr>
        <w:t>4.</w:t>
      </w:r>
      <w:r w:rsidRPr="003B6E11">
        <w:rPr>
          <w:lang w:val="cs-CZ"/>
        </w:rPr>
        <w:tab/>
        <w:t xml:space="preserve">Koeficienty </w:t>
      </w:r>
      <m:oMath>
        <m:sSub>
          <m:sSubPr>
            <m:ctrlPr>
              <w:rPr>
                <w:rFonts w:ascii="Cambria Math" w:eastAsia="Calibri" w:hAnsi="Cambria Math"/>
                <w:i/>
                <w:szCs w:val="20"/>
                <w:lang w:val="cs-CZ"/>
              </w:rPr>
            </m:ctrlPr>
          </m:sSubPr>
          <m:e>
            <m:r>
              <w:rPr>
                <w:rFonts w:ascii="Cambria Math" w:eastAsia="Calibri" w:hAnsi="Cambria Math"/>
                <w:szCs w:val="20"/>
                <w:lang w:val="cs-CZ"/>
              </w:rPr>
              <m:t>β</m:t>
            </m:r>
          </m:e>
          <m:sub>
            <m:r>
              <w:rPr>
                <w:rFonts w:ascii="Cambria Math" w:eastAsia="Calibri" w:hAnsi="Cambria Math"/>
                <w:szCs w:val="20"/>
                <w:lang w:val="cs-CZ"/>
              </w:rPr>
              <m:t>v</m:t>
            </m:r>
          </m:sub>
        </m:sSub>
      </m:oMath>
      <w:r w:rsidRPr="003B6E11">
        <w:rPr>
          <w:lang w:val="cs-CZ"/>
        </w:rPr>
        <w:t xml:space="preserve"> a </w:t>
      </w:r>
      <m:oMath>
        <m:sSub>
          <m:sSubPr>
            <m:ctrlPr>
              <w:rPr>
                <w:rFonts w:ascii="Cambria Math" w:eastAsia="Calibri" w:hAnsi="Cambria Math"/>
                <w:i/>
                <w:szCs w:val="20"/>
                <w:lang w:val="cs-CZ"/>
              </w:rPr>
            </m:ctrlPr>
          </m:sSubPr>
          <m:e>
            <m:r>
              <w:rPr>
                <w:rFonts w:ascii="Cambria Math" w:eastAsia="Calibri" w:hAnsi="Cambria Math"/>
                <w:szCs w:val="20"/>
                <w:lang w:val="cs-CZ"/>
              </w:rPr>
              <m:t>β</m:t>
            </m:r>
          </m:e>
          <m:sub>
            <m:r>
              <w:rPr>
                <w:rFonts w:ascii="Cambria Math" w:eastAsia="Calibri" w:hAnsi="Cambria Math"/>
                <w:szCs w:val="20"/>
                <w:lang w:val="cs-CZ"/>
              </w:rPr>
              <m:t>a</m:t>
            </m:r>
          </m:sub>
        </m:sSub>
      </m:oMath>
      <w:r w:rsidRPr="003B6E11">
        <w:rPr>
          <w:lang w:val="cs-CZ"/>
        </w:rPr>
        <w:t xml:space="preserve"> se vypočítají pomocí těchto vzorců:</w:t>
      </w:r>
    </w:p>
    <w:p w:rsidR="00BE2487" w:rsidRPr="003B6E11" w:rsidRDefault="00BE2487" w:rsidP="00111867">
      <w:pPr>
        <w:pStyle w:val="ESch"/>
        <w:rPr>
          <w:rFonts w:eastAsia="Calibri"/>
          <w:lang w:val="cs-CZ"/>
        </w:rPr>
      </w:pPr>
    </w:p>
    <w:p w:rsidR="00BE2487" w:rsidRPr="003B6E11" w:rsidRDefault="002D015D" w:rsidP="007E2368">
      <w:pPr>
        <w:pStyle w:val="ESch"/>
        <w:ind w:left="0" w:firstLine="0"/>
        <w:jc w:val="center"/>
        <w:rPr>
          <w:rFonts w:eastAsia="Calibri"/>
          <w:lang w:val="cs-CZ"/>
        </w:rPr>
      </w:pPr>
      <m:oMathPara>
        <m:oMath>
          <m:sSub>
            <m:sSubPr>
              <m:ctrlPr>
                <w:rPr>
                  <w:rFonts w:ascii="Cambria Math" w:eastAsia="Calibri" w:hAnsi="Cambria Math"/>
                  <w:i/>
                  <w:lang w:val="cs-CZ"/>
                </w:rPr>
              </m:ctrlPr>
            </m:sSubPr>
            <m:e>
              <m:r>
                <w:rPr>
                  <w:rFonts w:ascii="Cambria Math" w:eastAsia="Calibri" w:hAnsi="Cambria Math"/>
                  <w:lang w:val="cs-CZ"/>
                </w:rPr>
                <m:t>B</m:t>
              </m:r>
            </m:e>
            <m:sub>
              <m:r>
                <w:rPr>
                  <w:rFonts w:ascii="Cambria Math" w:eastAsia="Calibri" w:hAnsi="Cambria Math"/>
                  <w:lang w:val="cs-CZ"/>
                </w:rPr>
                <m:t xml:space="preserve">v </m:t>
              </m:r>
            </m:sub>
          </m:sSub>
          <m:r>
            <w:rPr>
              <w:rFonts w:ascii="Cambria Math" w:eastAsia="Calibri" w:hAnsi="Cambria Math"/>
              <w:lang w:val="cs-CZ"/>
            </w:rPr>
            <m:t xml:space="preserve">=1- </m:t>
          </m:r>
          <m:f>
            <m:fPr>
              <m:ctrlPr>
                <w:rPr>
                  <w:rFonts w:ascii="Cambria Math" w:eastAsia="Calibri" w:hAnsi="Cambria Math"/>
                  <w:i/>
                  <w:lang w:val="cs-CZ"/>
                </w:rPr>
              </m:ctrlPr>
            </m:fPr>
            <m:num>
              <m:r>
                <w:rPr>
                  <w:rFonts w:ascii="Cambria Math" w:eastAsia="Calibri" w:hAnsi="Cambria Math"/>
                  <w:lang w:val="cs-CZ"/>
                </w:rPr>
                <m:t xml:space="preserve">3 ∙ </m:t>
              </m:r>
              <m:sSub>
                <m:sSubPr>
                  <m:ctrlPr>
                    <w:rPr>
                      <w:rFonts w:ascii="Cambria Math" w:eastAsia="Calibri" w:hAnsi="Cambria Math"/>
                      <w:i/>
                      <w:lang w:val="cs-CZ"/>
                    </w:rPr>
                  </m:ctrlPr>
                </m:sSubPr>
                <m:e>
                  <m:r>
                    <w:rPr>
                      <w:rFonts w:ascii="Cambria Math" w:eastAsia="Calibri" w:hAnsi="Cambria Math"/>
                      <w:lang w:val="cs-CZ"/>
                    </w:rPr>
                    <m:t>le</m:t>
                  </m:r>
                </m:e>
                <m:sub>
                  <m:r>
                    <w:rPr>
                      <w:rFonts w:ascii="Cambria Math" w:eastAsia="Calibri" w:hAnsi="Cambria Math"/>
                      <w:lang w:val="cs-CZ"/>
                    </w:rPr>
                    <m:t>v</m:t>
                  </m:r>
                </m:sub>
              </m:sSub>
            </m:num>
            <m:den>
              <m:r>
                <w:rPr>
                  <w:rFonts w:ascii="Cambria Math" w:eastAsia="Calibri" w:hAnsi="Cambria Math"/>
                  <w:lang w:val="cs-CZ"/>
                </w:rPr>
                <m:t>L</m:t>
              </m:r>
            </m:den>
          </m:f>
        </m:oMath>
      </m:oMathPara>
    </w:p>
    <w:p w:rsidR="0097552D" w:rsidRPr="003B6E11" w:rsidRDefault="0097552D" w:rsidP="007E2368">
      <w:pPr>
        <w:pStyle w:val="ESch"/>
        <w:ind w:left="0" w:firstLine="0"/>
        <w:jc w:val="center"/>
        <w:rPr>
          <w:rFonts w:eastAsia="Calibri"/>
          <w:lang w:val="cs-CZ"/>
        </w:rPr>
      </w:pPr>
    </w:p>
    <w:p w:rsidR="0097552D" w:rsidRPr="003B6E11" w:rsidRDefault="002D015D" w:rsidP="007E2368">
      <w:pPr>
        <w:pStyle w:val="ESch"/>
        <w:ind w:left="0" w:firstLine="0"/>
        <w:jc w:val="center"/>
        <w:rPr>
          <w:rFonts w:eastAsia="Calibri"/>
          <w:lang w:val="cs-CZ"/>
        </w:rPr>
      </w:pPr>
      <m:oMathPara>
        <m:oMath>
          <m:sSub>
            <m:sSubPr>
              <m:ctrlPr>
                <w:rPr>
                  <w:rFonts w:ascii="Cambria Math" w:eastAsia="Calibri" w:hAnsi="Cambria Math"/>
                  <w:i/>
                  <w:lang w:val="cs-CZ"/>
                </w:rPr>
              </m:ctrlPr>
            </m:sSubPr>
            <m:e>
              <m:r>
                <w:rPr>
                  <w:rFonts w:ascii="Cambria Math" w:eastAsia="Calibri" w:hAnsi="Cambria Math"/>
                  <w:lang w:val="cs-CZ"/>
                </w:rPr>
                <m:t>B</m:t>
              </m:r>
            </m:e>
            <m:sub>
              <m:r>
                <w:rPr>
                  <w:rFonts w:ascii="Cambria Math" w:eastAsia="Calibri" w:hAnsi="Cambria Math"/>
                  <w:lang w:val="cs-CZ"/>
                </w:rPr>
                <m:t xml:space="preserve">a </m:t>
              </m:r>
            </m:sub>
          </m:sSub>
          <m:r>
            <w:rPr>
              <w:rFonts w:ascii="Cambria Math" w:eastAsia="Calibri" w:hAnsi="Cambria Math"/>
              <w:lang w:val="cs-CZ"/>
            </w:rPr>
            <m:t xml:space="preserve">=1- </m:t>
          </m:r>
          <m:f>
            <m:fPr>
              <m:ctrlPr>
                <w:rPr>
                  <w:rFonts w:ascii="Cambria Math" w:eastAsia="Calibri" w:hAnsi="Cambria Math"/>
                  <w:i/>
                  <w:lang w:val="cs-CZ"/>
                </w:rPr>
              </m:ctrlPr>
            </m:fPr>
            <m:num>
              <m:r>
                <w:rPr>
                  <w:rFonts w:ascii="Cambria Math" w:eastAsia="Calibri" w:hAnsi="Cambria Math"/>
                  <w:lang w:val="cs-CZ"/>
                </w:rPr>
                <m:t xml:space="preserve">3 ∙ </m:t>
              </m:r>
              <m:sSub>
                <m:sSubPr>
                  <m:ctrlPr>
                    <w:rPr>
                      <w:rFonts w:ascii="Cambria Math" w:eastAsia="Calibri" w:hAnsi="Cambria Math"/>
                      <w:i/>
                      <w:lang w:val="cs-CZ"/>
                    </w:rPr>
                  </m:ctrlPr>
                </m:sSubPr>
                <m:e>
                  <m:r>
                    <w:rPr>
                      <w:rFonts w:ascii="Cambria Math" w:eastAsia="Calibri" w:hAnsi="Cambria Math"/>
                      <w:lang w:val="cs-CZ"/>
                    </w:rPr>
                    <m:t>le</m:t>
                  </m:r>
                </m:e>
                <m:sub>
                  <m:r>
                    <w:rPr>
                      <w:rFonts w:ascii="Cambria Math" w:eastAsia="Calibri" w:hAnsi="Cambria Math"/>
                      <w:lang w:val="cs-CZ"/>
                    </w:rPr>
                    <m:t>a</m:t>
                  </m:r>
                </m:sub>
              </m:sSub>
            </m:num>
            <m:den>
              <m:r>
                <w:rPr>
                  <w:rFonts w:ascii="Cambria Math" w:eastAsia="Calibri" w:hAnsi="Cambria Math"/>
                  <w:lang w:val="cs-CZ"/>
                </w:rPr>
                <m:t>L</m:t>
              </m:r>
            </m:den>
          </m:f>
        </m:oMath>
      </m:oMathPara>
    </w:p>
    <w:p w:rsidR="00745DD2" w:rsidRPr="003B6E11" w:rsidRDefault="00745DD2" w:rsidP="00E1027C">
      <w:pPr>
        <w:spacing w:line="240" w:lineRule="atLeast"/>
        <w:rPr>
          <w:rFonts w:eastAsia="Calibri"/>
          <w:szCs w:val="20"/>
          <w:lang w:val="cs-CZ"/>
        </w:rPr>
      </w:pPr>
    </w:p>
    <w:p w:rsidR="001F1A9D" w:rsidRPr="003B6E11" w:rsidRDefault="001F1A9D" w:rsidP="00111867">
      <w:pPr>
        <w:pStyle w:val="ESch"/>
        <w:rPr>
          <w:noProof/>
          <w:lang w:val="cs-CZ"/>
        </w:rPr>
      </w:pPr>
      <w:r w:rsidRPr="003B6E11">
        <w:rPr>
          <w:lang w:val="cs-CZ"/>
        </w:rPr>
        <w:t>5.</w:t>
      </w:r>
      <w:r w:rsidRPr="003B6E11">
        <w:rPr>
          <w:lang w:val="cs-CZ"/>
        </w:rPr>
        <w:tab/>
        <w:t>Účinná sedlovitost na přídi (</w:t>
      </w:r>
      <m:oMath>
        <m:sSub>
          <m:sSubPr>
            <m:ctrlPr>
              <w:rPr>
                <w:rFonts w:ascii="Cambria Math" w:eastAsia="Calibri" w:hAnsi="Cambria Math"/>
                <w:i/>
                <w:szCs w:val="20"/>
                <w:lang w:val="cs-CZ"/>
              </w:rPr>
            </m:ctrlPr>
          </m:sSubPr>
          <m:e>
            <m:r>
              <w:rPr>
                <w:rFonts w:ascii="Cambria Math" w:eastAsia="Calibri" w:hAnsi="Cambria Math"/>
                <w:szCs w:val="20"/>
                <w:lang w:val="cs-CZ"/>
              </w:rPr>
              <m:t>Se</m:t>
            </m:r>
          </m:e>
          <m:sub>
            <m:r>
              <w:rPr>
                <w:rFonts w:ascii="Cambria Math" w:eastAsia="Calibri" w:hAnsi="Cambria Math"/>
                <w:szCs w:val="20"/>
                <w:lang w:val="cs-CZ"/>
              </w:rPr>
              <m:t>v</m:t>
            </m:r>
          </m:sub>
        </m:sSub>
      </m:oMath>
      <w:r w:rsidRPr="003B6E11">
        <w:rPr>
          <w:lang w:val="cs-CZ"/>
        </w:rPr>
        <w:t>) a na zádi (</w:t>
      </w:r>
      <m:oMath>
        <m:sSub>
          <m:sSubPr>
            <m:ctrlPr>
              <w:rPr>
                <w:rFonts w:ascii="Cambria Math" w:eastAsia="Calibri" w:hAnsi="Cambria Math"/>
                <w:i/>
                <w:szCs w:val="20"/>
                <w:lang w:val="cs-CZ"/>
              </w:rPr>
            </m:ctrlPr>
          </m:sSubPr>
          <m:e>
            <m:r>
              <w:rPr>
                <w:rFonts w:ascii="Cambria Math" w:eastAsia="Calibri" w:hAnsi="Cambria Math"/>
                <w:szCs w:val="20"/>
                <w:lang w:val="cs-CZ"/>
              </w:rPr>
              <m:t>Se</m:t>
            </m:r>
          </m:e>
          <m:sub>
            <m:r>
              <w:rPr>
                <w:rFonts w:ascii="Cambria Math" w:eastAsia="Calibri" w:hAnsi="Cambria Math"/>
                <w:szCs w:val="20"/>
                <w:lang w:val="cs-CZ"/>
              </w:rPr>
              <m:t>a</m:t>
            </m:r>
          </m:sub>
        </m:sSub>
      </m:oMath>
      <w:r w:rsidRPr="003B6E11">
        <w:rPr>
          <w:lang w:val="cs-CZ"/>
        </w:rPr>
        <w:t>) se vypočte podle těchto vzorců:</w:t>
      </w:r>
    </w:p>
    <w:p w:rsidR="007E2368" w:rsidRPr="003B6E11" w:rsidRDefault="007E2368" w:rsidP="00111867">
      <w:pPr>
        <w:pStyle w:val="ESch"/>
        <w:rPr>
          <w:noProof/>
          <w:lang w:val="cs-CZ"/>
        </w:rPr>
      </w:pPr>
    </w:p>
    <w:p w:rsidR="007E2368" w:rsidRPr="003B6E11" w:rsidRDefault="002D015D" w:rsidP="007E2368">
      <w:pPr>
        <w:pStyle w:val="ESch"/>
        <w:ind w:left="0" w:firstLine="0"/>
        <w:jc w:val="center"/>
        <w:rPr>
          <w:rFonts w:eastAsia="Calibri"/>
          <w:lang w:val="cs-CZ"/>
        </w:rPr>
      </w:pPr>
      <m:oMathPara>
        <m:oMath>
          <m:sSub>
            <m:sSubPr>
              <m:ctrlPr>
                <w:rPr>
                  <w:rFonts w:ascii="Cambria Math" w:eastAsia="Calibri" w:hAnsi="Cambria Math"/>
                  <w:i/>
                  <w:lang w:val="cs-CZ"/>
                </w:rPr>
              </m:ctrlPr>
            </m:sSubPr>
            <m:e>
              <m:r>
                <w:rPr>
                  <w:rFonts w:ascii="Cambria Math" w:eastAsia="Calibri" w:hAnsi="Cambria Math"/>
                  <w:lang w:val="cs-CZ"/>
                </w:rPr>
                <m:t>Se</m:t>
              </m:r>
            </m:e>
            <m:sub>
              <m:r>
                <w:rPr>
                  <w:rFonts w:ascii="Cambria Math" w:eastAsia="Calibri" w:hAnsi="Cambria Math"/>
                  <w:lang w:val="cs-CZ"/>
                </w:rPr>
                <m:t>v</m:t>
              </m:r>
            </m:sub>
          </m:sSub>
          <m:r>
            <w:rPr>
              <w:rFonts w:ascii="Cambria Math" w:eastAsia="Calibri" w:hAnsi="Cambria Math"/>
              <w:lang w:val="cs-CZ"/>
            </w:rPr>
            <m:t xml:space="preserve">= </m:t>
          </m:r>
          <m:sSub>
            <m:sSubPr>
              <m:ctrlPr>
                <w:rPr>
                  <w:rFonts w:ascii="Cambria Math" w:eastAsia="Calibri" w:hAnsi="Cambria Math"/>
                  <w:i/>
                  <w:lang w:val="cs-CZ"/>
                </w:rPr>
              </m:ctrlPr>
            </m:sSubPr>
            <m:e>
              <m:r>
                <w:rPr>
                  <w:rFonts w:ascii="Cambria Math" w:eastAsia="Calibri" w:hAnsi="Cambria Math"/>
                  <w:lang w:val="cs-CZ"/>
                </w:rPr>
                <m:t>S</m:t>
              </m:r>
            </m:e>
            <m:sub>
              <m:r>
                <w:rPr>
                  <w:rFonts w:ascii="Cambria Math" w:eastAsia="Calibri" w:hAnsi="Cambria Math"/>
                  <w:lang w:val="cs-CZ"/>
                </w:rPr>
                <m:t>v</m:t>
              </m:r>
            </m:sub>
          </m:sSub>
          <m:r>
            <w:rPr>
              <w:rFonts w:ascii="Cambria Math" w:eastAsia="Calibri" w:hAnsi="Cambria Math"/>
              <w:lang w:val="cs-CZ"/>
            </w:rPr>
            <m:t>∙p</m:t>
          </m:r>
        </m:oMath>
      </m:oMathPara>
    </w:p>
    <w:p w:rsidR="007E2368" w:rsidRPr="003B6E11" w:rsidRDefault="007E2368" w:rsidP="007E2368">
      <w:pPr>
        <w:pStyle w:val="ESch"/>
        <w:ind w:left="0" w:firstLine="0"/>
        <w:jc w:val="center"/>
        <w:rPr>
          <w:rFonts w:eastAsia="Calibri"/>
          <w:lang w:val="cs-CZ"/>
        </w:rPr>
      </w:pPr>
    </w:p>
    <w:p w:rsidR="007E2368" w:rsidRPr="003B6E11" w:rsidRDefault="002D015D" w:rsidP="007E2368">
      <w:pPr>
        <w:pStyle w:val="ESch"/>
        <w:ind w:left="0" w:firstLine="0"/>
        <w:jc w:val="center"/>
        <w:rPr>
          <w:rFonts w:eastAsia="Calibri"/>
          <w:lang w:val="cs-CZ"/>
        </w:rPr>
      </w:pPr>
      <m:oMathPara>
        <m:oMath>
          <m:sSub>
            <m:sSubPr>
              <m:ctrlPr>
                <w:rPr>
                  <w:rFonts w:ascii="Cambria Math" w:eastAsia="Calibri" w:hAnsi="Cambria Math"/>
                  <w:i/>
                  <w:lang w:val="cs-CZ"/>
                </w:rPr>
              </m:ctrlPr>
            </m:sSubPr>
            <m:e>
              <m:r>
                <w:rPr>
                  <w:rFonts w:ascii="Cambria Math" w:eastAsia="Calibri" w:hAnsi="Cambria Math"/>
                  <w:lang w:val="cs-CZ"/>
                </w:rPr>
                <m:t>Se</m:t>
              </m:r>
            </m:e>
            <m:sub>
              <m:r>
                <w:rPr>
                  <w:rFonts w:ascii="Cambria Math" w:eastAsia="Calibri" w:hAnsi="Cambria Math"/>
                  <w:lang w:val="cs-CZ"/>
                </w:rPr>
                <m:t>a</m:t>
              </m:r>
            </m:sub>
          </m:sSub>
          <m:r>
            <w:rPr>
              <w:rFonts w:ascii="Cambria Math" w:eastAsia="Calibri" w:hAnsi="Cambria Math"/>
              <w:lang w:val="cs-CZ"/>
            </w:rPr>
            <m:t xml:space="preserve">= </m:t>
          </m:r>
          <m:sSub>
            <m:sSubPr>
              <m:ctrlPr>
                <w:rPr>
                  <w:rFonts w:ascii="Cambria Math" w:eastAsia="Calibri" w:hAnsi="Cambria Math"/>
                  <w:i/>
                  <w:lang w:val="cs-CZ"/>
                </w:rPr>
              </m:ctrlPr>
            </m:sSubPr>
            <m:e>
              <m:r>
                <w:rPr>
                  <w:rFonts w:ascii="Cambria Math" w:eastAsia="Calibri" w:hAnsi="Cambria Math"/>
                  <w:lang w:val="cs-CZ"/>
                </w:rPr>
                <m:t>S</m:t>
              </m:r>
            </m:e>
            <m:sub>
              <m:r>
                <w:rPr>
                  <w:rFonts w:ascii="Cambria Math" w:eastAsia="Calibri" w:hAnsi="Cambria Math"/>
                  <w:lang w:val="cs-CZ"/>
                </w:rPr>
                <m:t>a</m:t>
              </m:r>
            </m:sub>
          </m:sSub>
          <m:r>
            <w:rPr>
              <w:rFonts w:ascii="Cambria Math" w:eastAsia="Calibri" w:hAnsi="Cambria Math"/>
              <w:lang w:val="cs-CZ"/>
            </w:rPr>
            <m:t>∙p</m:t>
          </m:r>
        </m:oMath>
      </m:oMathPara>
    </w:p>
    <w:p w:rsidR="001F1A9D" w:rsidRPr="003B6E11" w:rsidRDefault="001F1A9D" w:rsidP="007E2368">
      <w:pPr>
        <w:spacing w:line="240" w:lineRule="atLeast"/>
        <w:rPr>
          <w:rFonts w:eastAsia="Calibri"/>
          <w:szCs w:val="20"/>
          <w:lang w:val="cs-CZ"/>
        </w:rPr>
      </w:pPr>
    </w:p>
    <w:p w:rsidR="001F1A9D" w:rsidRPr="003B6E11" w:rsidRDefault="0060175E" w:rsidP="00F6236E">
      <w:pPr>
        <w:spacing w:line="240" w:lineRule="atLeast"/>
        <w:ind w:left="567"/>
        <w:rPr>
          <w:rFonts w:eastAsia="Calibri"/>
          <w:szCs w:val="20"/>
          <w:lang w:val="cs-CZ"/>
        </w:rPr>
      </w:pPr>
      <w:r w:rsidRPr="003B6E11">
        <w:rPr>
          <w:lang w:val="cs-CZ"/>
        </w:rPr>
        <w:t>kde:</w:t>
      </w:r>
    </w:p>
    <w:p w:rsidR="001F1A9D" w:rsidRPr="003B6E11" w:rsidRDefault="002D015D" w:rsidP="00F6236E">
      <w:pPr>
        <w:spacing w:before="60" w:line="240" w:lineRule="atLeast"/>
        <w:ind w:left="993" w:hanging="426"/>
        <w:rPr>
          <w:rFonts w:eastAsia="Calibri"/>
          <w:szCs w:val="20"/>
          <w:lang w:val="cs-CZ"/>
        </w:rPr>
      </w:pPr>
      <m:oMath>
        <m:sSub>
          <m:sSubPr>
            <m:ctrlPr>
              <w:rPr>
                <w:rFonts w:ascii="Cambria Math" w:eastAsia="Calibri" w:hAnsi="Cambria Math"/>
                <w:i/>
                <w:szCs w:val="20"/>
                <w:lang w:val="cs-CZ"/>
              </w:rPr>
            </m:ctrlPr>
          </m:sSubPr>
          <m:e>
            <m:r>
              <w:rPr>
                <w:rFonts w:ascii="Cambria Math" w:eastAsia="Calibri" w:hAnsi="Cambria Math"/>
                <w:szCs w:val="20"/>
                <w:lang w:val="cs-CZ"/>
              </w:rPr>
              <m:t>S</m:t>
            </m:r>
          </m:e>
          <m:sub>
            <m:r>
              <w:rPr>
                <w:rFonts w:ascii="Cambria Math" w:eastAsia="Calibri" w:hAnsi="Cambria Math"/>
                <w:szCs w:val="20"/>
                <w:lang w:val="cs-CZ"/>
              </w:rPr>
              <m:t>v</m:t>
            </m:r>
          </m:sub>
        </m:sSub>
      </m:oMath>
      <w:r w:rsidR="00290EF0" w:rsidRPr="003B6E11">
        <w:rPr>
          <w:lang w:val="cs-CZ"/>
        </w:rPr>
        <w:tab/>
        <w:t xml:space="preserve">je skutečná sedlovitost na přídi v mm, přičemž se pro </w:t>
      </w:r>
      <m:oMath>
        <m:sSub>
          <m:sSubPr>
            <m:ctrlPr>
              <w:rPr>
                <w:rFonts w:ascii="Cambria Math" w:eastAsia="Calibri" w:hAnsi="Cambria Math"/>
                <w:i/>
                <w:szCs w:val="20"/>
                <w:lang w:val="cs-CZ"/>
              </w:rPr>
            </m:ctrlPr>
          </m:sSubPr>
          <m:e>
            <m:r>
              <w:rPr>
                <w:rFonts w:ascii="Cambria Math" w:eastAsia="Calibri" w:hAnsi="Cambria Math"/>
                <w:szCs w:val="20"/>
                <w:lang w:val="cs-CZ"/>
              </w:rPr>
              <m:t>S</m:t>
            </m:r>
          </m:e>
          <m:sub>
            <m:r>
              <w:rPr>
                <w:rFonts w:ascii="Cambria Math" w:eastAsia="Calibri" w:hAnsi="Cambria Math"/>
                <w:szCs w:val="20"/>
                <w:lang w:val="cs-CZ"/>
              </w:rPr>
              <m:t>v</m:t>
            </m:r>
          </m:sub>
        </m:sSub>
      </m:oMath>
      <w:r w:rsidR="00290EF0" w:rsidRPr="003B6E11">
        <w:rPr>
          <w:lang w:val="cs-CZ"/>
        </w:rPr>
        <w:t xml:space="preserve"> nepoužije hodnota vyšší než 1 000 mm;</w:t>
      </w:r>
    </w:p>
    <w:p w:rsidR="001F1A9D" w:rsidRPr="003B6E11" w:rsidRDefault="002D015D" w:rsidP="00F6236E">
      <w:pPr>
        <w:spacing w:before="60" w:line="240" w:lineRule="atLeast"/>
        <w:ind w:left="993" w:hanging="426"/>
        <w:rPr>
          <w:rFonts w:eastAsia="Calibri"/>
          <w:szCs w:val="20"/>
          <w:lang w:val="cs-CZ"/>
        </w:rPr>
      </w:pPr>
      <m:oMath>
        <m:sSub>
          <m:sSubPr>
            <m:ctrlPr>
              <w:rPr>
                <w:rFonts w:ascii="Cambria Math" w:eastAsia="Calibri" w:hAnsi="Cambria Math"/>
                <w:i/>
                <w:szCs w:val="20"/>
                <w:lang w:val="cs-CZ"/>
              </w:rPr>
            </m:ctrlPr>
          </m:sSubPr>
          <m:e>
            <m:r>
              <w:rPr>
                <w:rFonts w:ascii="Cambria Math" w:eastAsia="Calibri" w:hAnsi="Cambria Math"/>
                <w:szCs w:val="20"/>
                <w:lang w:val="cs-CZ"/>
              </w:rPr>
              <m:t>S</m:t>
            </m:r>
          </m:e>
          <m:sub>
            <m:r>
              <w:rPr>
                <w:rFonts w:ascii="Cambria Math" w:eastAsia="Calibri" w:hAnsi="Cambria Math"/>
                <w:szCs w:val="20"/>
                <w:lang w:val="cs-CZ"/>
              </w:rPr>
              <m:t>a</m:t>
            </m:r>
          </m:sub>
        </m:sSub>
      </m:oMath>
      <w:r w:rsidR="00290EF0" w:rsidRPr="003B6E11">
        <w:rPr>
          <w:lang w:val="cs-CZ"/>
        </w:rPr>
        <w:tab/>
        <w:t xml:space="preserve">je skutečná sedlovitost na zádi v mm, přičemž se pro </w:t>
      </w:r>
      <m:oMath>
        <m:sSub>
          <m:sSubPr>
            <m:ctrlPr>
              <w:rPr>
                <w:rFonts w:ascii="Cambria Math" w:eastAsia="Calibri" w:hAnsi="Cambria Math"/>
                <w:i/>
                <w:szCs w:val="20"/>
                <w:lang w:val="cs-CZ"/>
              </w:rPr>
            </m:ctrlPr>
          </m:sSubPr>
          <m:e>
            <m:r>
              <w:rPr>
                <w:rFonts w:ascii="Cambria Math" w:eastAsia="Calibri" w:hAnsi="Cambria Math"/>
                <w:szCs w:val="20"/>
                <w:lang w:val="cs-CZ"/>
              </w:rPr>
              <m:t>S</m:t>
            </m:r>
          </m:e>
          <m:sub>
            <m:r>
              <w:rPr>
                <w:rFonts w:ascii="Cambria Math" w:eastAsia="Calibri" w:hAnsi="Cambria Math"/>
                <w:szCs w:val="20"/>
                <w:lang w:val="cs-CZ"/>
              </w:rPr>
              <m:t>a</m:t>
            </m:r>
          </m:sub>
        </m:sSub>
      </m:oMath>
      <w:r w:rsidR="00290EF0" w:rsidRPr="003B6E11">
        <w:rPr>
          <w:lang w:val="cs-CZ"/>
        </w:rPr>
        <w:t xml:space="preserve"> nesmí použít hodnota vyšší než 500 mm;</w:t>
      </w:r>
    </w:p>
    <w:p w:rsidR="001F1A9D" w:rsidRPr="003B6E11" w:rsidRDefault="0026577D" w:rsidP="00F6236E">
      <w:pPr>
        <w:spacing w:before="60" w:line="240" w:lineRule="atLeast"/>
        <w:ind w:left="993" w:hanging="426"/>
        <w:rPr>
          <w:rFonts w:eastAsia="Calibri"/>
          <w:szCs w:val="20"/>
          <w:lang w:val="cs-CZ"/>
        </w:rPr>
      </w:pPr>
      <m:oMath>
        <m:r>
          <w:rPr>
            <w:rFonts w:ascii="Cambria Math" w:eastAsia="Calibri" w:hAnsi="Cambria Math"/>
            <w:szCs w:val="20"/>
            <w:lang w:val="cs-CZ"/>
          </w:rPr>
          <m:t>p</m:t>
        </m:r>
      </m:oMath>
      <w:r w:rsidRPr="003B6E11">
        <w:rPr>
          <w:lang w:val="cs-CZ"/>
        </w:rPr>
        <w:tab/>
        <w:t>je koeficient vypočtený podle tohoto vzorce:</w:t>
      </w:r>
    </w:p>
    <w:p w:rsidR="003232B5" w:rsidRPr="003B6E11" w:rsidRDefault="003232B5" w:rsidP="003232B5">
      <w:pPr>
        <w:pStyle w:val="ESch"/>
        <w:spacing w:before="60"/>
        <w:ind w:left="0" w:firstLine="0"/>
        <w:jc w:val="center"/>
        <w:rPr>
          <w:rFonts w:eastAsia="Calibri"/>
          <w:lang w:val="cs-CZ"/>
        </w:rPr>
      </w:pPr>
      <m:oMathPara>
        <m:oMath>
          <m:r>
            <w:rPr>
              <w:rFonts w:ascii="Cambria Math" w:eastAsia="Calibri" w:hAnsi="Cambria Math"/>
              <w:lang w:val="cs-CZ"/>
            </w:rPr>
            <m:t xml:space="preserve">p =4∙ </m:t>
          </m:r>
          <m:f>
            <m:fPr>
              <m:ctrlPr>
                <w:rPr>
                  <w:rFonts w:ascii="Cambria Math" w:eastAsia="Calibri" w:hAnsi="Cambria Math"/>
                  <w:i/>
                  <w:lang w:val="cs-CZ"/>
                </w:rPr>
              </m:ctrlPr>
            </m:fPr>
            <m:num>
              <m:r>
                <w:rPr>
                  <w:rFonts w:ascii="Cambria Math" w:eastAsia="Calibri" w:hAnsi="Cambria Math"/>
                  <w:lang w:val="cs-CZ"/>
                </w:rPr>
                <m:t>x</m:t>
              </m:r>
            </m:num>
            <m:den>
              <m:r>
                <w:rPr>
                  <w:rFonts w:ascii="Cambria Math" w:eastAsia="Calibri" w:hAnsi="Cambria Math"/>
                  <w:lang w:val="cs-CZ"/>
                </w:rPr>
                <m:t>L</m:t>
              </m:r>
            </m:den>
          </m:f>
        </m:oMath>
      </m:oMathPara>
    </w:p>
    <w:p w:rsidR="001F1A9D" w:rsidRPr="003B6E11" w:rsidRDefault="0026577D" w:rsidP="00F6236E">
      <w:pPr>
        <w:spacing w:before="60" w:line="240" w:lineRule="atLeast"/>
        <w:ind w:left="993" w:hanging="426"/>
        <w:rPr>
          <w:rFonts w:eastAsia="Calibri"/>
          <w:szCs w:val="20"/>
          <w:lang w:val="cs-CZ"/>
        </w:rPr>
      </w:pPr>
      <m:oMath>
        <m:r>
          <w:rPr>
            <w:rFonts w:ascii="Cambria Math" w:eastAsia="Calibri" w:hAnsi="Cambria Math"/>
            <w:szCs w:val="20"/>
            <w:lang w:val="cs-CZ"/>
          </w:rPr>
          <m:t>x</m:t>
        </m:r>
      </m:oMath>
      <w:r w:rsidRPr="003B6E11">
        <w:rPr>
          <w:lang w:val="cs-CZ"/>
        </w:rPr>
        <w:tab/>
        <w:t xml:space="preserve">je úsečka měřená od konce bodu, kde se sedlovitost rovná 0,25 </w:t>
      </w:r>
      <m:oMath>
        <m:sSub>
          <m:sSubPr>
            <m:ctrlPr>
              <w:rPr>
                <w:rFonts w:ascii="Cambria Math" w:eastAsia="Calibri" w:hAnsi="Cambria Math"/>
                <w:i/>
                <w:szCs w:val="20"/>
                <w:lang w:val="cs-CZ"/>
              </w:rPr>
            </m:ctrlPr>
          </m:sSubPr>
          <m:e>
            <m:r>
              <w:rPr>
                <w:rFonts w:ascii="Cambria Math" w:eastAsia="Calibri" w:hAnsi="Cambria Math"/>
                <w:szCs w:val="20"/>
                <w:lang w:val="cs-CZ"/>
              </w:rPr>
              <m:t>S</m:t>
            </m:r>
          </m:e>
          <m:sub>
            <m:r>
              <w:rPr>
                <w:rFonts w:ascii="Cambria Math" w:eastAsia="Calibri" w:hAnsi="Cambria Math"/>
                <w:szCs w:val="20"/>
                <w:lang w:val="cs-CZ"/>
              </w:rPr>
              <m:t>v</m:t>
            </m:r>
          </m:sub>
        </m:sSub>
      </m:oMath>
      <w:r w:rsidRPr="003B6E11">
        <w:rPr>
          <w:lang w:val="cs-CZ"/>
        </w:rPr>
        <w:t xml:space="preserve"> nebo 0,25 </w:t>
      </w:r>
      <m:oMath>
        <m:sSub>
          <m:sSubPr>
            <m:ctrlPr>
              <w:rPr>
                <w:rFonts w:ascii="Cambria Math" w:eastAsia="Calibri" w:hAnsi="Cambria Math"/>
                <w:i/>
                <w:szCs w:val="20"/>
                <w:lang w:val="cs-CZ"/>
              </w:rPr>
            </m:ctrlPr>
          </m:sSubPr>
          <m:e>
            <m:r>
              <w:rPr>
                <w:rFonts w:ascii="Cambria Math" w:eastAsia="Calibri" w:hAnsi="Cambria Math"/>
                <w:szCs w:val="20"/>
                <w:lang w:val="cs-CZ"/>
              </w:rPr>
              <m:t>S</m:t>
            </m:r>
          </m:e>
          <m:sub>
            <m:r>
              <w:rPr>
                <w:rFonts w:ascii="Cambria Math" w:eastAsia="Calibri" w:hAnsi="Cambria Math"/>
                <w:szCs w:val="20"/>
                <w:lang w:val="cs-CZ"/>
              </w:rPr>
              <m:t>a</m:t>
            </m:r>
          </m:sub>
        </m:sSub>
      </m:oMath>
      <w:r w:rsidRPr="003B6E11">
        <w:rPr>
          <w:lang w:val="cs-CZ"/>
        </w:rPr>
        <w:t xml:space="preserve"> (viz obrázek).</w:t>
      </w:r>
    </w:p>
    <w:p w:rsidR="008D5C11" w:rsidRPr="003B6E11" w:rsidRDefault="008D5C11">
      <w:pPr>
        <w:rPr>
          <w:rFonts w:eastAsia="Calibri"/>
          <w:szCs w:val="20"/>
          <w:lang w:val="cs-CZ"/>
        </w:rPr>
      </w:pPr>
      <w:r w:rsidRPr="003B6E11">
        <w:rPr>
          <w:lang w:val="cs-CZ"/>
        </w:rPr>
        <w:br w:type="page"/>
      </w:r>
    </w:p>
    <w:p w:rsidR="008D5C11" w:rsidRPr="003B6E11" w:rsidRDefault="008D5C11" w:rsidP="00F6236E">
      <w:pPr>
        <w:spacing w:before="60" w:line="240" w:lineRule="atLeast"/>
        <w:ind w:left="993" w:hanging="426"/>
        <w:rPr>
          <w:rFonts w:eastAsia="Calibri"/>
          <w:szCs w:val="20"/>
          <w:lang w:val="cs-CZ"/>
        </w:rPr>
      </w:pPr>
    </w:p>
    <w:p w:rsidR="008D5C11" w:rsidRPr="003B6E11" w:rsidRDefault="00EB7F5F" w:rsidP="00EB7F5F">
      <w:pPr>
        <w:jc w:val="center"/>
        <w:rPr>
          <w:rFonts w:cs="Arial"/>
          <w:noProof/>
          <w:szCs w:val="20"/>
          <w:lang w:val="cs-CZ"/>
        </w:rPr>
      </w:pPr>
      <w:r w:rsidRPr="003B6E11">
        <w:rPr>
          <w:rFonts w:cs="Arial"/>
          <w:noProof/>
          <w:szCs w:val="20"/>
          <w:lang w:eastAsia="en-GB"/>
        </w:rPr>
        <w:drawing>
          <wp:inline distT="0" distB="0" distL="0" distR="0" wp14:anchorId="4EF43F3A" wp14:editId="0B2A837E">
            <wp:extent cx="3709416" cy="1597152"/>
            <wp:effectExtent l="0" t="0" r="5715"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trin_4_02en.jpg"/>
                    <pic:cNvPicPr/>
                  </pic:nvPicPr>
                  <pic:blipFill>
                    <a:blip r:embed="rId22">
                      <a:extLst>
                        <a:ext uri="{28A0092B-C50C-407E-A947-70E740481C1C}">
                          <a14:useLocalDpi xmlns:a14="http://schemas.microsoft.com/office/drawing/2010/main" val="0"/>
                        </a:ext>
                      </a:extLst>
                    </a:blip>
                    <a:stretch>
                      <a:fillRect/>
                    </a:stretch>
                  </pic:blipFill>
                  <pic:spPr>
                    <a:xfrm>
                      <a:off x="0" y="0"/>
                      <a:ext cx="3709416" cy="1597152"/>
                    </a:xfrm>
                    <a:prstGeom prst="rect">
                      <a:avLst/>
                    </a:prstGeom>
                  </pic:spPr>
                </pic:pic>
              </a:graphicData>
            </a:graphic>
          </wp:inline>
        </w:drawing>
      </w:r>
    </w:p>
    <w:p w:rsidR="00EB7F5F" w:rsidRPr="003B6E11" w:rsidRDefault="00EB7F5F" w:rsidP="006025D0">
      <w:pPr>
        <w:spacing w:line="240" w:lineRule="atLeast"/>
        <w:ind w:left="567"/>
        <w:rPr>
          <w:rFonts w:cs="Arial"/>
          <w:noProof/>
          <w:szCs w:val="20"/>
          <w:lang w:val="cs-CZ"/>
        </w:rPr>
      </w:pPr>
    </w:p>
    <w:p w:rsidR="00745DD2" w:rsidRPr="003B6E11" w:rsidRDefault="006025D0" w:rsidP="006025D0">
      <w:pPr>
        <w:spacing w:line="240" w:lineRule="atLeast"/>
        <w:ind w:left="567"/>
        <w:rPr>
          <w:rFonts w:cs="Arial"/>
          <w:noProof/>
          <w:szCs w:val="20"/>
          <w:lang w:val="cs-CZ"/>
        </w:rPr>
      </w:pPr>
      <w:r w:rsidRPr="003B6E11">
        <w:rPr>
          <w:lang w:val="cs-CZ"/>
        </w:rPr>
        <w:t xml:space="preserve">Pro koeficient </w:t>
      </w:r>
      <m:oMath>
        <m:r>
          <w:rPr>
            <w:rFonts w:ascii="Cambria Math" w:eastAsia="Calibri" w:hAnsi="Cambria Math"/>
            <w:szCs w:val="20"/>
            <w:lang w:val="cs-CZ"/>
          </w:rPr>
          <m:t>p</m:t>
        </m:r>
      </m:oMath>
      <w:r w:rsidRPr="003B6E11">
        <w:rPr>
          <w:lang w:val="cs-CZ"/>
        </w:rPr>
        <w:t xml:space="preserve"> se však nepoužije hodnota vyšší než 1.</w:t>
      </w:r>
    </w:p>
    <w:p w:rsidR="003232B5" w:rsidRPr="003B6E11" w:rsidRDefault="003232B5" w:rsidP="006025D0">
      <w:pPr>
        <w:spacing w:line="240" w:lineRule="atLeast"/>
        <w:ind w:left="567"/>
        <w:rPr>
          <w:rFonts w:cs="Arial"/>
          <w:noProof/>
          <w:szCs w:val="20"/>
          <w:lang w:val="cs-CZ"/>
        </w:rPr>
      </w:pPr>
    </w:p>
    <w:p w:rsidR="001F1A9D" w:rsidRPr="003B6E11" w:rsidRDefault="001F1A9D" w:rsidP="00F6236E">
      <w:pPr>
        <w:spacing w:line="240" w:lineRule="atLeast"/>
        <w:ind w:left="567" w:hanging="567"/>
        <w:rPr>
          <w:rFonts w:eastAsia="Calibri"/>
          <w:szCs w:val="20"/>
          <w:lang w:val="cs-CZ"/>
        </w:rPr>
      </w:pPr>
      <w:r w:rsidRPr="003B6E11">
        <w:rPr>
          <w:lang w:val="cs-CZ"/>
        </w:rPr>
        <w:t>6.</w:t>
      </w:r>
      <w:r w:rsidRPr="003B6E11">
        <w:rPr>
          <w:lang w:val="cs-CZ"/>
        </w:rPr>
        <w:tab/>
        <w:t xml:space="preserve">Pokud </w:t>
      </w:r>
      <m:oMath>
        <m:sSub>
          <m:sSubPr>
            <m:ctrlPr>
              <w:rPr>
                <w:rFonts w:ascii="Cambria Math" w:eastAsia="Calibri" w:hAnsi="Cambria Math"/>
                <w:i/>
                <w:szCs w:val="20"/>
                <w:lang w:val="cs-CZ"/>
              </w:rPr>
            </m:ctrlPr>
          </m:sSubPr>
          <m:e>
            <m:r>
              <w:rPr>
                <w:rFonts w:ascii="Cambria Math" w:eastAsia="Calibri" w:hAnsi="Cambria Math"/>
                <w:szCs w:val="20"/>
                <w:lang w:val="cs-CZ"/>
              </w:rPr>
              <m:t>β</m:t>
            </m:r>
          </m:e>
          <m:sub>
            <m:r>
              <w:rPr>
                <w:rFonts w:ascii="Cambria Math" w:eastAsia="Calibri" w:hAnsi="Cambria Math"/>
                <w:szCs w:val="20"/>
                <w:lang w:val="cs-CZ"/>
              </w:rPr>
              <m:t>a</m:t>
            </m:r>
          </m:sub>
        </m:sSub>
        <m:r>
          <w:rPr>
            <w:rFonts w:ascii="Cambria Math" w:eastAsia="Calibri" w:hAnsi="Cambria Math"/>
            <w:szCs w:val="20"/>
            <w:lang w:val="cs-CZ"/>
          </w:rPr>
          <m:t xml:space="preserve">∙ </m:t>
        </m:r>
        <m:sSub>
          <m:sSubPr>
            <m:ctrlPr>
              <w:rPr>
                <w:rFonts w:ascii="Cambria Math" w:eastAsia="Calibri" w:hAnsi="Cambria Math"/>
                <w:i/>
                <w:szCs w:val="20"/>
                <w:lang w:val="cs-CZ"/>
              </w:rPr>
            </m:ctrlPr>
          </m:sSubPr>
          <m:e>
            <m:r>
              <w:rPr>
                <w:rFonts w:ascii="Cambria Math" w:eastAsia="Calibri" w:hAnsi="Cambria Math"/>
                <w:szCs w:val="20"/>
                <w:lang w:val="cs-CZ"/>
              </w:rPr>
              <m:t>Se</m:t>
            </m:r>
          </m:e>
          <m:sub>
            <m:r>
              <w:rPr>
                <w:rFonts w:ascii="Cambria Math" w:eastAsia="Calibri" w:hAnsi="Cambria Math"/>
                <w:szCs w:val="20"/>
                <w:lang w:val="cs-CZ"/>
              </w:rPr>
              <m:t>a</m:t>
            </m:r>
          </m:sub>
        </m:sSub>
      </m:oMath>
      <w:r w:rsidRPr="003B6E11">
        <w:rPr>
          <w:lang w:val="cs-CZ"/>
        </w:rPr>
        <w:t xml:space="preserve"> je větší než </w:t>
      </w:r>
      <m:oMath>
        <m:sSub>
          <m:sSubPr>
            <m:ctrlPr>
              <w:rPr>
                <w:rFonts w:ascii="Cambria Math" w:eastAsia="Calibri" w:hAnsi="Cambria Math"/>
                <w:i/>
                <w:szCs w:val="20"/>
                <w:lang w:val="cs-CZ"/>
              </w:rPr>
            </m:ctrlPr>
          </m:sSubPr>
          <m:e>
            <m:r>
              <w:rPr>
                <w:rFonts w:ascii="Cambria Math" w:eastAsia="Calibri" w:hAnsi="Cambria Math"/>
                <w:szCs w:val="20"/>
                <w:lang w:val="cs-CZ"/>
              </w:rPr>
              <m:t>β</m:t>
            </m:r>
          </m:e>
          <m:sub>
            <m:r>
              <w:rPr>
                <w:rFonts w:ascii="Cambria Math" w:eastAsia="Calibri" w:hAnsi="Cambria Math"/>
                <w:szCs w:val="20"/>
                <w:lang w:val="cs-CZ"/>
              </w:rPr>
              <m:t>v</m:t>
            </m:r>
          </m:sub>
        </m:sSub>
        <m:r>
          <w:rPr>
            <w:rFonts w:ascii="Cambria Math" w:eastAsia="Calibri" w:hAnsi="Cambria Math"/>
            <w:szCs w:val="20"/>
            <w:lang w:val="cs-CZ"/>
          </w:rPr>
          <m:t xml:space="preserve">∙ </m:t>
        </m:r>
        <m:sSub>
          <m:sSubPr>
            <m:ctrlPr>
              <w:rPr>
                <w:rFonts w:ascii="Cambria Math" w:eastAsia="Calibri" w:hAnsi="Cambria Math"/>
                <w:i/>
                <w:szCs w:val="20"/>
                <w:lang w:val="cs-CZ"/>
              </w:rPr>
            </m:ctrlPr>
          </m:sSubPr>
          <m:e>
            <m:r>
              <w:rPr>
                <w:rFonts w:ascii="Cambria Math" w:eastAsia="Calibri" w:hAnsi="Cambria Math"/>
                <w:szCs w:val="20"/>
                <w:lang w:val="cs-CZ"/>
              </w:rPr>
              <m:t>Se</m:t>
            </m:r>
          </m:e>
          <m:sub>
            <m:r>
              <w:rPr>
                <w:rFonts w:ascii="Cambria Math" w:eastAsia="Calibri" w:hAnsi="Cambria Math"/>
                <w:szCs w:val="20"/>
                <w:lang w:val="cs-CZ"/>
              </w:rPr>
              <m:t>v</m:t>
            </m:r>
          </m:sub>
        </m:sSub>
      </m:oMath>
      <w:r w:rsidRPr="003B6E11">
        <w:rPr>
          <w:lang w:val="cs-CZ"/>
        </w:rPr>
        <w:t xml:space="preserve">, považuje se hodnota </w:t>
      </w:r>
      <m:oMath>
        <m:sSub>
          <m:sSubPr>
            <m:ctrlPr>
              <w:rPr>
                <w:rFonts w:ascii="Cambria Math" w:eastAsia="Calibri" w:hAnsi="Cambria Math"/>
                <w:i/>
                <w:szCs w:val="20"/>
                <w:lang w:val="cs-CZ"/>
              </w:rPr>
            </m:ctrlPr>
          </m:sSubPr>
          <m:e>
            <m:r>
              <w:rPr>
                <w:rFonts w:ascii="Cambria Math" w:eastAsia="Calibri" w:hAnsi="Cambria Math"/>
                <w:szCs w:val="20"/>
                <w:lang w:val="cs-CZ"/>
              </w:rPr>
              <m:t>β</m:t>
            </m:r>
          </m:e>
          <m:sub>
            <m:r>
              <w:rPr>
                <w:rFonts w:ascii="Cambria Math" w:eastAsia="Calibri" w:hAnsi="Cambria Math"/>
                <w:szCs w:val="20"/>
                <w:lang w:val="cs-CZ"/>
              </w:rPr>
              <m:t>v</m:t>
            </m:r>
          </m:sub>
        </m:sSub>
        <m:r>
          <w:rPr>
            <w:rFonts w:ascii="Cambria Math" w:eastAsia="Calibri" w:hAnsi="Cambria Math"/>
            <w:szCs w:val="20"/>
            <w:lang w:val="cs-CZ"/>
          </w:rPr>
          <m:t xml:space="preserve">∙ </m:t>
        </m:r>
        <m:sSub>
          <m:sSubPr>
            <m:ctrlPr>
              <w:rPr>
                <w:rFonts w:ascii="Cambria Math" w:eastAsia="Calibri" w:hAnsi="Cambria Math"/>
                <w:i/>
                <w:szCs w:val="20"/>
                <w:lang w:val="cs-CZ"/>
              </w:rPr>
            </m:ctrlPr>
          </m:sSubPr>
          <m:e>
            <m:r>
              <w:rPr>
                <w:rFonts w:ascii="Cambria Math" w:eastAsia="Calibri" w:hAnsi="Cambria Math"/>
                <w:szCs w:val="20"/>
                <w:lang w:val="cs-CZ"/>
              </w:rPr>
              <m:t>Se</m:t>
            </m:r>
          </m:e>
          <m:sub>
            <m:r>
              <w:rPr>
                <w:rFonts w:ascii="Cambria Math" w:eastAsia="Calibri" w:hAnsi="Cambria Math"/>
                <w:szCs w:val="20"/>
                <w:lang w:val="cs-CZ"/>
              </w:rPr>
              <m:t>v</m:t>
            </m:r>
          </m:sub>
        </m:sSub>
      </m:oMath>
      <w:r w:rsidRPr="003B6E11">
        <w:rPr>
          <w:lang w:val="cs-CZ"/>
        </w:rPr>
        <w:t xml:space="preserve"> za hodnotu </w:t>
      </w:r>
      <m:oMath>
        <m:sSub>
          <m:sSubPr>
            <m:ctrlPr>
              <w:rPr>
                <w:rFonts w:ascii="Cambria Math" w:eastAsia="Calibri" w:hAnsi="Cambria Math"/>
                <w:i/>
                <w:szCs w:val="20"/>
                <w:lang w:val="cs-CZ"/>
              </w:rPr>
            </m:ctrlPr>
          </m:sSubPr>
          <m:e>
            <m:r>
              <w:rPr>
                <w:rFonts w:ascii="Cambria Math" w:eastAsia="Calibri" w:hAnsi="Cambria Math"/>
                <w:szCs w:val="20"/>
                <w:lang w:val="cs-CZ"/>
              </w:rPr>
              <m:t>β</m:t>
            </m:r>
          </m:e>
          <m:sub>
            <m:r>
              <w:rPr>
                <w:rFonts w:ascii="Cambria Math" w:eastAsia="Calibri" w:hAnsi="Cambria Math"/>
                <w:szCs w:val="20"/>
                <w:lang w:val="cs-CZ"/>
              </w:rPr>
              <m:t>a</m:t>
            </m:r>
          </m:sub>
        </m:sSub>
        <m:r>
          <w:rPr>
            <w:rFonts w:ascii="Cambria Math" w:eastAsia="Calibri" w:hAnsi="Cambria Math"/>
            <w:szCs w:val="20"/>
            <w:lang w:val="cs-CZ"/>
          </w:rPr>
          <m:t xml:space="preserve">∙ </m:t>
        </m:r>
        <m:sSub>
          <m:sSubPr>
            <m:ctrlPr>
              <w:rPr>
                <w:rFonts w:ascii="Cambria Math" w:eastAsia="Calibri" w:hAnsi="Cambria Math"/>
                <w:i/>
                <w:szCs w:val="20"/>
                <w:lang w:val="cs-CZ"/>
              </w:rPr>
            </m:ctrlPr>
          </m:sSubPr>
          <m:e>
            <m:r>
              <w:rPr>
                <w:rFonts w:ascii="Cambria Math" w:eastAsia="Calibri" w:hAnsi="Cambria Math"/>
                <w:szCs w:val="20"/>
                <w:lang w:val="cs-CZ"/>
              </w:rPr>
              <m:t>Se</m:t>
            </m:r>
          </m:e>
          <m:sub>
            <m:r>
              <w:rPr>
                <w:rFonts w:ascii="Cambria Math" w:eastAsia="Calibri" w:hAnsi="Cambria Math"/>
                <w:szCs w:val="20"/>
                <w:lang w:val="cs-CZ"/>
              </w:rPr>
              <m:t>a</m:t>
            </m:r>
          </m:sub>
        </m:sSub>
      </m:oMath>
      <w:r w:rsidRPr="003B6E11">
        <w:rPr>
          <w:lang w:val="cs-CZ"/>
        </w:rPr>
        <w:t>.</w:t>
      </w:r>
    </w:p>
    <w:p w:rsidR="005C1DF0" w:rsidRPr="003B6E11" w:rsidRDefault="005C1DF0" w:rsidP="00E1027C">
      <w:pPr>
        <w:spacing w:line="240" w:lineRule="atLeast"/>
        <w:rPr>
          <w:rFonts w:eastAsia="Calibri"/>
          <w:lang w:val="cs-CZ"/>
        </w:rPr>
      </w:pPr>
    </w:p>
    <w:p w:rsidR="00533048" w:rsidRPr="003B6E11" w:rsidRDefault="00533048" w:rsidP="00E1027C">
      <w:pPr>
        <w:spacing w:line="240" w:lineRule="atLeast"/>
        <w:rPr>
          <w:rFonts w:eastAsia="Calibri"/>
          <w:lang w:val="cs-CZ"/>
        </w:rPr>
      </w:pPr>
    </w:p>
    <w:p w:rsidR="006025D0" w:rsidRPr="003B6E11" w:rsidRDefault="006025D0" w:rsidP="006025D0">
      <w:pPr>
        <w:pStyle w:val="ES-Titre3"/>
        <w:spacing w:line="240" w:lineRule="atLeast"/>
        <w:rPr>
          <w:lang w:val="cs-CZ"/>
        </w:rPr>
      </w:pPr>
      <w:bookmarkStart w:id="32" w:name="_Toc491854016"/>
      <w:bookmarkStart w:id="33" w:name="_Toc535416922"/>
      <w:r w:rsidRPr="003B6E11">
        <w:rPr>
          <w:lang w:val="cs-CZ"/>
        </w:rPr>
        <w:t>Článek 4.03</w:t>
      </w:r>
      <w:r w:rsidRPr="003B6E11">
        <w:rPr>
          <w:lang w:val="cs-CZ"/>
        </w:rPr>
        <w:br/>
      </w:r>
      <w:r w:rsidRPr="003B6E11">
        <w:rPr>
          <w:i/>
          <w:lang w:val="cs-CZ"/>
        </w:rPr>
        <w:t>Minimální volný bok</w:t>
      </w:r>
      <w:bookmarkEnd w:id="32"/>
      <w:bookmarkEnd w:id="33"/>
    </w:p>
    <w:p w:rsidR="006025D0" w:rsidRPr="003B6E11" w:rsidRDefault="006025D0" w:rsidP="00C62373">
      <w:pPr>
        <w:spacing w:line="240" w:lineRule="atLeast"/>
        <w:rPr>
          <w:rFonts w:eastAsia="Calibri"/>
          <w:lang w:val="cs-CZ"/>
        </w:rPr>
      </w:pPr>
    </w:p>
    <w:p w:rsidR="006025D0" w:rsidRPr="003B6E11" w:rsidRDefault="006025D0" w:rsidP="00111867">
      <w:pPr>
        <w:pStyle w:val="ESgauche"/>
        <w:rPr>
          <w:rFonts w:eastAsia="Calibri"/>
          <w:lang w:val="cs-CZ"/>
        </w:rPr>
      </w:pPr>
      <w:r w:rsidRPr="003B6E11">
        <w:rPr>
          <w:lang w:val="cs-CZ"/>
        </w:rPr>
        <w:t>S ohledem na snížení podle článku 4.02 nesmí být minimální volný bok menší než 0 mm.</w:t>
      </w:r>
    </w:p>
    <w:p w:rsidR="006025D0" w:rsidRPr="003B6E11" w:rsidRDefault="006025D0" w:rsidP="00E1027C">
      <w:pPr>
        <w:spacing w:line="240" w:lineRule="atLeast"/>
        <w:rPr>
          <w:rFonts w:eastAsia="Calibri"/>
          <w:lang w:val="cs-CZ"/>
        </w:rPr>
      </w:pPr>
    </w:p>
    <w:p w:rsidR="00500018" w:rsidRPr="003B6E11" w:rsidRDefault="00500018" w:rsidP="00E1027C">
      <w:pPr>
        <w:spacing w:line="240" w:lineRule="atLeast"/>
        <w:rPr>
          <w:rFonts w:eastAsia="Calibri"/>
          <w:lang w:val="cs-CZ"/>
        </w:rPr>
      </w:pPr>
    </w:p>
    <w:p w:rsidR="006025D0" w:rsidRPr="003B6E11" w:rsidRDefault="006025D0" w:rsidP="006025D0">
      <w:pPr>
        <w:pStyle w:val="ES-Titre3"/>
        <w:rPr>
          <w:lang w:val="cs-CZ"/>
        </w:rPr>
      </w:pPr>
      <w:bookmarkStart w:id="34" w:name="_Toc491854017"/>
      <w:bookmarkStart w:id="35" w:name="_Toc535416923"/>
      <w:r w:rsidRPr="003B6E11">
        <w:rPr>
          <w:lang w:val="cs-CZ"/>
        </w:rPr>
        <w:t>Článek 4.04</w:t>
      </w:r>
      <w:r w:rsidRPr="003B6E11">
        <w:rPr>
          <w:lang w:val="cs-CZ"/>
        </w:rPr>
        <w:br/>
      </w:r>
      <w:r w:rsidRPr="003B6E11">
        <w:rPr>
          <w:i/>
          <w:noProof/>
          <w:lang w:val="cs-CZ"/>
        </w:rPr>
        <w:t>Nákladové značky</w:t>
      </w:r>
      <w:bookmarkEnd w:id="34"/>
      <w:bookmarkEnd w:id="35"/>
    </w:p>
    <w:p w:rsidR="00111867" w:rsidRPr="003B6E11" w:rsidRDefault="00111867" w:rsidP="006025D0">
      <w:pPr>
        <w:rPr>
          <w:noProof/>
          <w:lang w:val="cs-CZ"/>
        </w:rPr>
      </w:pPr>
    </w:p>
    <w:p w:rsidR="00853731" w:rsidRPr="003B6E11" w:rsidRDefault="00853731" w:rsidP="00853731">
      <w:pPr>
        <w:pStyle w:val="ESch"/>
        <w:rPr>
          <w:noProof/>
          <w:lang w:val="cs-CZ"/>
        </w:rPr>
      </w:pPr>
      <w:r w:rsidRPr="003B6E11">
        <w:rPr>
          <w:lang w:val="cs-CZ"/>
        </w:rPr>
        <w:t>1.</w:t>
      </w:r>
      <w:r w:rsidRPr="003B6E11">
        <w:rPr>
          <w:lang w:val="cs-CZ"/>
        </w:rPr>
        <w:tab/>
        <w:t>Pro účely článků 4.04 a 4.05 je zóna R rovnocenná zóně 3.</w:t>
      </w:r>
    </w:p>
    <w:p w:rsidR="00853731" w:rsidRPr="003B6E11" w:rsidRDefault="00853731" w:rsidP="006025D0">
      <w:pPr>
        <w:rPr>
          <w:noProof/>
          <w:lang w:val="cs-CZ"/>
        </w:rPr>
      </w:pPr>
    </w:p>
    <w:p w:rsidR="00C62373" w:rsidRPr="003B6E11" w:rsidRDefault="00853731" w:rsidP="00111867">
      <w:pPr>
        <w:pStyle w:val="ESch"/>
        <w:rPr>
          <w:noProof/>
          <w:lang w:val="cs-CZ"/>
        </w:rPr>
      </w:pPr>
      <w:r w:rsidRPr="003B6E11">
        <w:rPr>
          <w:lang w:val="cs-CZ"/>
        </w:rPr>
        <w:t>2.</w:t>
      </w:r>
      <w:r w:rsidRPr="003B6E11">
        <w:rPr>
          <w:lang w:val="cs-CZ"/>
        </w:rPr>
        <w:tab/>
        <w:t xml:space="preserve">Rovina největšího přípustného ponoru se určí tak, aby byla dodržena ustanovení týkající se minimálního volného boku i minimální bezpečnostní vzdálenosti. Z bezpečnostních důvodů však může subjekt pověřený prohlídkami stanovit pro bezpečnostní vzdálenost nebo volný bok vyšší hodnotu. </w:t>
      </w:r>
    </w:p>
    <w:p w:rsidR="00C62373" w:rsidRPr="003B6E11" w:rsidRDefault="00C62373" w:rsidP="00111867">
      <w:pPr>
        <w:pStyle w:val="ESch"/>
        <w:rPr>
          <w:noProof/>
          <w:lang w:val="cs-CZ"/>
        </w:rPr>
      </w:pPr>
    </w:p>
    <w:p w:rsidR="006025D0" w:rsidRPr="003B6E11" w:rsidRDefault="006025D0" w:rsidP="00C62373">
      <w:pPr>
        <w:pStyle w:val="ESchpar"/>
        <w:rPr>
          <w:noProof/>
          <w:lang w:val="cs-CZ"/>
        </w:rPr>
      </w:pPr>
      <w:r w:rsidRPr="003B6E11">
        <w:rPr>
          <w:lang w:val="cs-CZ"/>
        </w:rPr>
        <w:t>Rovina největšího přípustného ponoru se určí přinejmenším pro zónu 3.</w:t>
      </w:r>
    </w:p>
    <w:p w:rsidR="00500018" w:rsidRPr="003B6E11" w:rsidRDefault="00500018" w:rsidP="00111867">
      <w:pPr>
        <w:pStyle w:val="ESch"/>
        <w:rPr>
          <w:lang w:val="cs-CZ"/>
        </w:rPr>
      </w:pPr>
    </w:p>
    <w:p w:rsidR="006025D0" w:rsidRPr="003B6E11" w:rsidRDefault="00853731" w:rsidP="00111867">
      <w:pPr>
        <w:pStyle w:val="ESch"/>
        <w:rPr>
          <w:lang w:val="cs-CZ"/>
        </w:rPr>
      </w:pPr>
      <w:r w:rsidRPr="003B6E11">
        <w:rPr>
          <w:lang w:val="cs-CZ"/>
        </w:rPr>
        <w:t>3.</w:t>
      </w:r>
      <w:r w:rsidRPr="003B6E11">
        <w:rPr>
          <w:lang w:val="cs-CZ"/>
        </w:rPr>
        <w:tab/>
        <w:t>Rovina největšího přípustného ponoru musí být vyznačena jasně viditelnými nesmazatelnými nákladovými značkami.</w:t>
      </w:r>
    </w:p>
    <w:p w:rsidR="00500018" w:rsidRPr="003B6E11" w:rsidRDefault="00500018" w:rsidP="00111867">
      <w:pPr>
        <w:pStyle w:val="ESch"/>
        <w:rPr>
          <w:noProof/>
          <w:lang w:val="cs-CZ"/>
        </w:rPr>
      </w:pPr>
    </w:p>
    <w:p w:rsidR="006025D0" w:rsidRPr="003B6E11" w:rsidRDefault="00853731" w:rsidP="00111867">
      <w:pPr>
        <w:pStyle w:val="ESch"/>
        <w:rPr>
          <w:lang w:val="cs-CZ"/>
        </w:rPr>
      </w:pPr>
      <w:r w:rsidRPr="003B6E11">
        <w:rPr>
          <w:lang w:val="cs-CZ"/>
        </w:rPr>
        <w:t>4.</w:t>
      </w:r>
      <w:r w:rsidRPr="003B6E11">
        <w:rPr>
          <w:lang w:val="cs-CZ"/>
        </w:rPr>
        <w:tab/>
        <w:t>Nákladové značky pro zónu 3 se musí skládat z obdélníku 300 mm dlouhého a 40 mm vysokého s vodorovnou základnou, která se kryje s rovinou největšího přípustného ponoru. Případné odlišné nákladové značky musí takovýto obdélník obsahovat.</w:t>
      </w:r>
    </w:p>
    <w:p w:rsidR="00500018" w:rsidRPr="003B6E11" w:rsidRDefault="00500018" w:rsidP="00111867">
      <w:pPr>
        <w:pStyle w:val="ESch"/>
        <w:rPr>
          <w:noProof/>
          <w:lang w:val="cs-CZ"/>
        </w:rPr>
      </w:pPr>
    </w:p>
    <w:p w:rsidR="006025D0" w:rsidRPr="003B6E11" w:rsidRDefault="00853731" w:rsidP="00111867">
      <w:pPr>
        <w:pStyle w:val="ESch"/>
        <w:rPr>
          <w:lang w:val="cs-CZ"/>
        </w:rPr>
      </w:pPr>
      <w:r w:rsidRPr="003B6E11">
        <w:rPr>
          <w:lang w:val="cs-CZ"/>
        </w:rPr>
        <w:t>5.</w:t>
      </w:r>
      <w:r w:rsidRPr="003B6E11">
        <w:rPr>
          <w:lang w:val="cs-CZ"/>
        </w:rPr>
        <w:tab/>
        <w:t xml:space="preserve">Lodě musí mít nejméně tři páry nákladových značek, z nichž jeden musí být umístěn v polovině délky </w:t>
      </w:r>
      <m:oMath>
        <m:r>
          <w:rPr>
            <w:rFonts w:ascii="Cambria Math" w:hAnsi="Cambria Math" w:cs="Arial"/>
            <w:noProof/>
            <w:szCs w:val="20"/>
            <w:lang w:val="cs-CZ"/>
          </w:rPr>
          <m:t>L</m:t>
        </m:r>
      </m:oMath>
      <w:r w:rsidRPr="003B6E11">
        <w:rPr>
          <w:lang w:val="cs-CZ"/>
        </w:rPr>
        <w:t xml:space="preserve"> a ostatní dva páry potom ve vzdálenosti od přídě a od zádě, která odpovídá přibližně jedné šestině délky </w:t>
      </w:r>
      <m:oMath>
        <m:r>
          <w:rPr>
            <w:rFonts w:ascii="Cambria Math" w:hAnsi="Cambria Math" w:cs="Arial"/>
            <w:noProof/>
            <w:szCs w:val="20"/>
            <w:lang w:val="cs-CZ"/>
          </w:rPr>
          <m:t>L</m:t>
        </m:r>
      </m:oMath>
      <w:r w:rsidRPr="003B6E11">
        <w:rPr>
          <w:lang w:val="cs-CZ"/>
        </w:rPr>
        <w:t>.</w:t>
      </w:r>
    </w:p>
    <w:p w:rsidR="00500018" w:rsidRPr="003B6E11" w:rsidRDefault="00500018" w:rsidP="00111867">
      <w:pPr>
        <w:pStyle w:val="ESch"/>
        <w:rPr>
          <w:noProof/>
          <w:lang w:val="cs-CZ"/>
        </w:rPr>
      </w:pPr>
    </w:p>
    <w:p w:rsidR="006025D0" w:rsidRPr="003B6E11" w:rsidRDefault="006025D0" w:rsidP="00111867">
      <w:pPr>
        <w:pStyle w:val="ESchpar"/>
        <w:rPr>
          <w:lang w:val="cs-CZ"/>
        </w:rPr>
      </w:pPr>
      <w:r w:rsidRPr="003B6E11">
        <w:rPr>
          <w:lang w:val="cs-CZ"/>
        </w:rPr>
        <w:t>Avšak:</w:t>
      </w:r>
    </w:p>
    <w:p w:rsidR="006025D0" w:rsidRPr="003B6E11" w:rsidRDefault="005C7859" w:rsidP="00DF19D3">
      <w:pPr>
        <w:pStyle w:val="ESlet"/>
        <w:rPr>
          <w:lang w:val="cs-CZ"/>
        </w:rPr>
      </w:pPr>
      <w:r w:rsidRPr="003B6E11">
        <w:rPr>
          <w:lang w:val="cs-CZ"/>
        </w:rPr>
        <w:t>a)</w:t>
      </w:r>
      <w:r w:rsidRPr="003B6E11">
        <w:rPr>
          <w:lang w:val="cs-CZ"/>
        </w:rPr>
        <w:tab/>
        <w:t xml:space="preserve">u lodí, jejichž délka </w:t>
      </w:r>
      <m:oMath>
        <m:r>
          <w:rPr>
            <w:rFonts w:ascii="Cambria Math" w:hAnsi="Cambria Math" w:cs="Arial"/>
            <w:noProof/>
            <w:szCs w:val="20"/>
            <w:lang w:val="cs-CZ"/>
          </w:rPr>
          <m:t>L</m:t>
        </m:r>
      </m:oMath>
      <w:r w:rsidRPr="003B6E11">
        <w:rPr>
          <w:lang w:val="cs-CZ"/>
        </w:rPr>
        <w:t xml:space="preserve"> je kratší než 40 m, postačí umístit dva páry značek ve vzdálenosti od přídě a od zádě, která odpovídá jedné čtvrtině délky </w:t>
      </w:r>
      <m:oMath>
        <m:r>
          <w:rPr>
            <w:rFonts w:ascii="Cambria Math" w:hAnsi="Cambria Math" w:cs="Arial"/>
            <w:noProof/>
            <w:szCs w:val="20"/>
            <w:lang w:val="cs-CZ"/>
          </w:rPr>
          <m:t>L</m:t>
        </m:r>
      </m:oMath>
      <w:r w:rsidRPr="003B6E11">
        <w:rPr>
          <w:lang w:val="cs-CZ"/>
        </w:rPr>
        <w:t>;</w:t>
      </w:r>
    </w:p>
    <w:p w:rsidR="006025D0" w:rsidRPr="003B6E11" w:rsidRDefault="005C7859" w:rsidP="00DF19D3">
      <w:pPr>
        <w:pStyle w:val="ESlet"/>
        <w:rPr>
          <w:lang w:val="cs-CZ"/>
        </w:rPr>
      </w:pPr>
      <w:r w:rsidRPr="003B6E11">
        <w:rPr>
          <w:lang w:val="cs-CZ"/>
        </w:rPr>
        <w:t>b)</w:t>
      </w:r>
      <w:r w:rsidRPr="003B6E11">
        <w:rPr>
          <w:lang w:val="cs-CZ"/>
        </w:rPr>
        <w:tab/>
        <w:t>u lodí, které nejsou určeny k přepravě nákladu, postačí jeden pár značek umístěný přibližně uprostřed lodi.</w:t>
      </w:r>
    </w:p>
    <w:p w:rsidR="00500018" w:rsidRPr="003B6E11" w:rsidRDefault="00500018" w:rsidP="00500018">
      <w:pPr>
        <w:rPr>
          <w:lang w:val="cs-CZ"/>
        </w:rPr>
      </w:pPr>
      <w:r w:rsidRPr="003B6E11">
        <w:rPr>
          <w:lang w:val="cs-CZ"/>
        </w:rPr>
        <w:br w:type="page"/>
      </w:r>
    </w:p>
    <w:p w:rsidR="006025D0" w:rsidRPr="003B6E11" w:rsidRDefault="00853731" w:rsidP="00844E91">
      <w:pPr>
        <w:pStyle w:val="ESch"/>
        <w:rPr>
          <w:lang w:val="cs-CZ"/>
        </w:rPr>
      </w:pPr>
      <w:r w:rsidRPr="003B6E11">
        <w:rPr>
          <w:lang w:val="cs-CZ"/>
        </w:rPr>
        <w:t>6.</w:t>
      </w:r>
      <w:r w:rsidRPr="003B6E11">
        <w:rPr>
          <w:lang w:val="cs-CZ"/>
        </w:rPr>
        <w:tab/>
        <w:t>Nákladové značky nebo označení, které pozbudou platnosti na základě nové prohlídky, musí být odstraněny nebo označeny jako neplatné pod dohledem subjektu pověřeného prohlídkami. Pokud se nákladová značka stane nečitelnou, smí být nahrazena pouze pod dohledem subjektu pověřeného prohlídkami.</w:t>
      </w:r>
    </w:p>
    <w:p w:rsidR="00500018" w:rsidRPr="003B6E11" w:rsidRDefault="00500018" w:rsidP="00844E91">
      <w:pPr>
        <w:pStyle w:val="ESch"/>
        <w:rPr>
          <w:lang w:val="cs-CZ"/>
        </w:rPr>
      </w:pPr>
    </w:p>
    <w:p w:rsidR="006025D0" w:rsidRPr="003B6E11" w:rsidRDefault="00853731" w:rsidP="00844E91">
      <w:pPr>
        <w:pStyle w:val="ESch"/>
        <w:rPr>
          <w:lang w:val="cs-CZ"/>
        </w:rPr>
      </w:pPr>
      <w:r w:rsidRPr="003B6E11">
        <w:rPr>
          <w:lang w:val="cs-CZ"/>
        </w:rPr>
        <w:t>7.</w:t>
      </w:r>
      <w:r w:rsidRPr="003B6E11">
        <w:rPr>
          <w:lang w:val="cs-CZ"/>
        </w:rPr>
        <w:tab/>
        <w:t>Pokud byla loď cejchována v souladu s Úmluvou pro cejchování plavidel vnitrozemské plavby z roku 1966 a rovina cejchovacích značek splňuje požadavky této normy, nahradí se nákladové značky těmito cejchovacími značkami. Toto musí být uvedeno v osvědčení plavidla vnitrozemské plavby.</w:t>
      </w:r>
    </w:p>
    <w:p w:rsidR="00500018" w:rsidRPr="003B6E11" w:rsidRDefault="00500018" w:rsidP="00844E91">
      <w:pPr>
        <w:pStyle w:val="ESch"/>
        <w:rPr>
          <w:noProof/>
          <w:lang w:val="cs-CZ"/>
        </w:rPr>
      </w:pPr>
    </w:p>
    <w:p w:rsidR="006025D0" w:rsidRPr="003B6E11" w:rsidRDefault="00853731" w:rsidP="00844E91">
      <w:pPr>
        <w:pStyle w:val="ESch"/>
        <w:rPr>
          <w:noProof/>
          <w:lang w:val="cs-CZ"/>
        </w:rPr>
      </w:pPr>
      <w:r w:rsidRPr="003B6E11">
        <w:rPr>
          <w:lang w:val="cs-CZ"/>
        </w:rPr>
        <w:t>8.</w:t>
      </w:r>
      <w:r w:rsidRPr="003B6E11">
        <w:rPr>
          <w:lang w:val="cs-CZ"/>
        </w:rPr>
        <w:tab/>
        <w:t>Pokud jsou lodě provozovány na vnitrozemských vodních cestách v zónách jiných než zóna 3 (tj. v zónách 1, 2 nebo 4), musí být přední a zadní pár nákladových značek příslušných pro tuto zónu, která je uvedena v bodě 4, doplněn tak, že se k této čáře přidá svislá čára, nebo v případě více zón několik dodatečných čar ponoru o délce 150 mm směřujících k přídi, ve vztahu k nákladové značce pro zónu 3.</w:t>
      </w:r>
    </w:p>
    <w:p w:rsidR="00500018" w:rsidRPr="003B6E11" w:rsidRDefault="00500018" w:rsidP="00844E91">
      <w:pPr>
        <w:pStyle w:val="ESch"/>
        <w:rPr>
          <w:noProof/>
          <w:lang w:val="cs-CZ"/>
        </w:rPr>
      </w:pPr>
    </w:p>
    <w:p w:rsidR="00500018" w:rsidRPr="003B6E11" w:rsidRDefault="00500018" w:rsidP="00320866">
      <w:pPr>
        <w:pStyle w:val="ESchpar"/>
        <w:rPr>
          <w:noProof/>
          <w:lang w:val="cs-CZ"/>
        </w:rPr>
      </w:pPr>
      <w:r w:rsidRPr="003B6E11">
        <w:rPr>
          <w:lang w:val="cs-CZ"/>
        </w:rPr>
        <w:t>Tloušťka této svislé čáry a vodorovné čáry musí být 30 mm. Vedle nákladové značky směřující k přídi lodi se uvede číslo příslušné zóny, jehož číslice musí mít výšku 60 mm a šířku 40 mm (viz obrázek 1).</w:t>
      </w:r>
    </w:p>
    <w:p w:rsidR="00500018" w:rsidRPr="003B6E11" w:rsidRDefault="00500018" w:rsidP="00500018">
      <w:pPr>
        <w:rPr>
          <w:noProof/>
          <w:lang w:val="cs-CZ"/>
        </w:rPr>
      </w:pPr>
    </w:p>
    <w:p w:rsidR="00500018" w:rsidRPr="003B6E11" w:rsidRDefault="00500018" w:rsidP="00500018">
      <w:pPr>
        <w:rPr>
          <w:lang w:val="cs-CZ"/>
        </w:rPr>
      </w:pPr>
    </w:p>
    <w:p w:rsidR="006025D0" w:rsidRPr="003B6E11" w:rsidRDefault="00014931" w:rsidP="00500018">
      <w:pPr>
        <w:jc w:val="center"/>
        <w:rPr>
          <w:lang w:val="cs-CZ"/>
        </w:rPr>
      </w:pPr>
      <w:r w:rsidRPr="003B6E11">
        <w:rPr>
          <w:noProof/>
          <w:lang w:eastAsia="en-GB"/>
        </w:rPr>
        <w:drawing>
          <wp:inline distT="0" distB="0" distL="0" distR="0" wp14:anchorId="79033011" wp14:editId="0A57FE54">
            <wp:extent cx="4654550" cy="3484880"/>
            <wp:effectExtent l="0" t="0" r="0" b="1270"/>
            <wp:docPr id="28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4550" cy="3484880"/>
                    </a:xfrm>
                    <a:prstGeom prst="rect">
                      <a:avLst/>
                    </a:prstGeom>
                    <a:noFill/>
                  </pic:spPr>
                </pic:pic>
              </a:graphicData>
            </a:graphic>
          </wp:inline>
        </w:drawing>
      </w:r>
    </w:p>
    <w:p w:rsidR="006025D0" w:rsidRPr="003B6E11" w:rsidRDefault="00500018" w:rsidP="00500018">
      <w:pPr>
        <w:jc w:val="center"/>
        <w:rPr>
          <w:i/>
          <w:lang w:val="cs-CZ"/>
        </w:rPr>
      </w:pPr>
      <w:r w:rsidRPr="003B6E11">
        <w:rPr>
          <w:i/>
          <w:noProof/>
          <w:lang w:val="cs-CZ"/>
        </w:rPr>
        <w:t>Obrázek 1</w:t>
      </w:r>
    </w:p>
    <w:p w:rsidR="006025D0" w:rsidRPr="003B6E11" w:rsidRDefault="00500018" w:rsidP="006025D0">
      <w:pPr>
        <w:rPr>
          <w:lang w:val="cs-CZ"/>
        </w:rPr>
      </w:pPr>
      <w:r w:rsidRPr="003B6E11">
        <w:rPr>
          <w:lang w:val="cs-CZ"/>
        </w:rPr>
        <w:br w:type="page"/>
      </w:r>
    </w:p>
    <w:p w:rsidR="006025D0" w:rsidRPr="003B6E11" w:rsidRDefault="006025D0" w:rsidP="00500018">
      <w:pPr>
        <w:pStyle w:val="ES-Titre3"/>
        <w:rPr>
          <w:i/>
          <w:lang w:val="cs-CZ"/>
        </w:rPr>
      </w:pPr>
      <w:bookmarkStart w:id="36" w:name="_Toc491854018"/>
      <w:bookmarkStart w:id="37" w:name="_Toc535416924"/>
      <w:r w:rsidRPr="003B6E11">
        <w:rPr>
          <w:lang w:val="cs-CZ"/>
        </w:rPr>
        <w:t>Článek 4.05</w:t>
      </w:r>
      <w:r w:rsidRPr="003B6E11">
        <w:rPr>
          <w:lang w:val="cs-CZ"/>
        </w:rPr>
        <w:br/>
      </w:r>
      <w:r w:rsidRPr="003B6E11">
        <w:rPr>
          <w:i/>
          <w:noProof/>
          <w:lang w:val="cs-CZ"/>
        </w:rPr>
        <w:t>Největší přípustný ponor naložených lodí, jejichž podpalubní nákladové prostory nejsou vždy zakryté tak, aby byly odolné vůči stříkající vodě a povětrnostním vlivům</w:t>
      </w:r>
      <w:bookmarkEnd w:id="36"/>
      <w:bookmarkEnd w:id="37"/>
    </w:p>
    <w:p w:rsidR="00320866" w:rsidRPr="003B6E11" w:rsidRDefault="00320866" w:rsidP="00500018">
      <w:pPr>
        <w:rPr>
          <w:lang w:val="cs-CZ"/>
        </w:rPr>
      </w:pPr>
    </w:p>
    <w:p w:rsidR="006025D0" w:rsidRPr="003B6E11" w:rsidRDefault="006025D0" w:rsidP="00320866">
      <w:pPr>
        <w:pStyle w:val="ESgauche"/>
        <w:rPr>
          <w:lang w:val="cs-CZ"/>
        </w:rPr>
      </w:pPr>
      <w:r w:rsidRPr="003B6E11">
        <w:rPr>
          <w:lang w:val="cs-CZ"/>
        </w:rPr>
        <w:t>Je-li rovina největšího přípustného ponoru lodi pro zónu 3 stanovena za předpokladu, že podpalubní nákladové prostory lze zakrýt tak, aby byly odolné vůči stříkající vodě a povětrnostním vlivům, a je-li vzdálenost mezi rovinou největšího přípustného ponoru a horním okrajem silů menší než 500 mm, určí se největší přípustný ponor pro plavbu s nezakrytými podpalubními nákladovými prostory.</w:t>
      </w:r>
    </w:p>
    <w:p w:rsidR="00500018" w:rsidRPr="003B6E11" w:rsidRDefault="00500018" w:rsidP="00320866">
      <w:pPr>
        <w:pStyle w:val="ESgauche"/>
        <w:rPr>
          <w:lang w:val="cs-CZ"/>
        </w:rPr>
      </w:pPr>
    </w:p>
    <w:p w:rsidR="006025D0" w:rsidRPr="003B6E11" w:rsidRDefault="006025D0" w:rsidP="00320866">
      <w:pPr>
        <w:pStyle w:val="ESgauche"/>
        <w:rPr>
          <w:lang w:val="cs-CZ"/>
        </w:rPr>
      </w:pPr>
      <w:r w:rsidRPr="003B6E11">
        <w:rPr>
          <w:lang w:val="cs-CZ"/>
        </w:rPr>
        <w:t>Do osvědčení plavidla vnitrozemské plavby se zapíše tento údaj:</w:t>
      </w:r>
    </w:p>
    <w:p w:rsidR="00500018" w:rsidRPr="003B6E11" w:rsidRDefault="00500018" w:rsidP="006025D0">
      <w:pPr>
        <w:rPr>
          <w:lang w:val="cs-CZ"/>
        </w:rPr>
      </w:pPr>
    </w:p>
    <w:p w:rsidR="006025D0" w:rsidRPr="003B6E11" w:rsidRDefault="004271FC" w:rsidP="00500018">
      <w:pPr>
        <w:jc w:val="center"/>
        <w:rPr>
          <w:lang w:val="cs-CZ"/>
        </w:rPr>
      </w:pPr>
      <w:r w:rsidRPr="003B6E11">
        <w:rPr>
          <w:lang w:val="cs-CZ"/>
        </w:rPr>
        <w:t>„Jsou-li jícny podpalubních nákladových prostorů zcela nebo částečně otevřeny, je možné loď naložit nejvýše do ... mm pod nákladové značky pro zónu 3 / zónu R.“</w:t>
      </w:r>
    </w:p>
    <w:p w:rsidR="006025D0" w:rsidRPr="003B6E11" w:rsidRDefault="006025D0" w:rsidP="006025D0">
      <w:pPr>
        <w:rPr>
          <w:lang w:val="cs-CZ"/>
        </w:rPr>
      </w:pPr>
    </w:p>
    <w:p w:rsidR="00500018" w:rsidRPr="003B6E11" w:rsidRDefault="00500018" w:rsidP="006025D0">
      <w:pPr>
        <w:rPr>
          <w:lang w:val="cs-CZ"/>
        </w:rPr>
      </w:pPr>
    </w:p>
    <w:p w:rsidR="006025D0" w:rsidRPr="003B6E11" w:rsidRDefault="006025D0" w:rsidP="00500018">
      <w:pPr>
        <w:pStyle w:val="ES-Titre3"/>
        <w:rPr>
          <w:i/>
          <w:lang w:val="cs-CZ"/>
        </w:rPr>
      </w:pPr>
      <w:bookmarkStart w:id="38" w:name="_Toc491854019"/>
      <w:bookmarkStart w:id="39" w:name="_Toc535416925"/>
      <w:r w:rsidRPr="003B6E11">
        <w:rPr>
          <w:lang w:val="cs-CZ"/>
        </w:rPr>
        <w:t>Článek 4.06</w:t>
      </w:r>
      <w:r w:rsidRPr="003B6E11">
        <w:rPr>
          <w:lang w:val="cs-CZ"/>
        </w:rPr>
        <w:br/>
      </w:r>
      <w:r w:rsidRPr="003B6E11">
        <w:rPr>
          <w:i/>
          <w:noProof/>
          <w:lang w:val="cs-CZ"/>
        </w:rPr>
        <w:t>Ponorová stupnice</w:t>
      </w:r>
      <w:bookmarkEnd w:id="38"/>
      <w:bookmarkEnd w:id="39"/>
    </w:p>
    <w:p w:rsidR="00500018" w:rsidRPr="003B6E11" w:rsidRDefault="00500018" w:rsidP="00320866">
      <w:pPr>
        <w:pStyle w:val="ESch"/>
        <w:rPr>
          <w:noProof/>
          <w:lang w:val="cs-CZ"/>
        </w:rPr>
      </w:pPr>
    </w:p>
    <w:p w:rsidR="006025D0" w:rsidRPr="003B6E11" w:rsidRDefault="006025D0" w:rsidP="00320866">
      <w:pPr>
        <w:pStyle w:val="ESch"/>
        <w:rPr>
          <w:lang w:val="cs-CZ"/>
        </w:rPr>
      </w:pPr>
      <w:r w:rsidRPr="003B6E11">
        <w:rPr>
          <w:lang w:val="cs-CZ"/>
        </w:rPr>
        <w:t>1.</w:t>
      </w:r>
      <w:r w:rsidRPr="003B6E11">
        <w:rPr>
          <w:lang w:val="cs-CZ"/>
        </w:rPr>
        <w:tab/>
        <w:t>Lodě, jejichž ponor může přesáhnout 1 m, musí mít na každé straně lodi směrem k zádi vyznačenu ponorovou stupnici; mohou mít i další ponorové stupnice.</w:t>
      </w:r>
    </w:p>
    <w:p w:rsidR="00500018" w:rsidRPr="003B6E11" w:rsidRDefault="00500018" w:rsidP="00320866">
      <w:pPr>
        <w:pStyle w:val="ESch"/>
        <w:rPr>
          <w:noProof/>
          <w:lang w:val="cs-CZ"/>
        </w:rPr>
      </w:pPr>
    </w:p>
    <w:p w:rsidR="006025D0" w:rsidRPr="003B6E11" w:rsidRDefault="006025D0" w:rsidP="00320866">
      <w:pPr>
        <w:pStyle w:val="ESch"/>
        <w:rPr>
          <w:lang w:val="cs-CZ"/>
        </w:rPr>
      </w:pPr>
      <w:r w:rsidRPr="003B6E11">
        <w:rPr>
          <w:lang w:val="cs-CZ"/>
        </w:rPr>
        <w:t>2.</w:t>
      </w:r>
      <w:r w:rsidRPr="003B6E11">
        <w:rPr>
          <w:lang w:val="cs-CZ"/>
        </w:rPr>
        <w:tab/>
        <w:t>Nulové body každé ponorové stupnice leží na průsečíku svislice procházející touto stupnicí a rovinou vedenou rovnoběžně s rovinou největšího přípustného ponoru v nejnižším bodě lodního trupu nebo kýlu, existuje-li. Svislá vzdálenost nad nulovým bodem musí být odstupňována po decimetrech. Toto odstupňování musí být vyznačeno od vodorysky v nenaloženém stavu až po úroveň 100 mm nad rovinou největšího přípustného ponoru na obou stranách lodi čarami vyraženými nebo vyrytými a barevně vyznačenými dvěma různými barvami tak, aby byly jasně viditelné. Odstupňování musí být vyznačeno číslicemi na straně stupnice alespoň po každých pěti decimetrech a na horním konci ponorové stupnice.</w:t>
      </w:r>
    </w:p>
    <w:p w:rsidR="00500018" w:rsidRPr="003B6E11" w:rsidRDefault="00500018" w:rsidP="00320866">
      <w:pPr>
        <w:pStyle w:val="ESch"/>
        <w:rPr>
          <w:noProof/>
          <w:lang w:val="cs-CZ"/>
        </w:rPr>
      </w:pPr>
    </w:p>
    <w:p w:rsidR="006025D0" w:rsidRPr="003B6E11" w:rsidRDefault="006025D0" w:rsidP="00320866">
      <w:pPr>
        <w:pStyle w:val="ESch"/>
        <w:rPr>
          <w:lang w:val="cs-CZ"/>
        </w:rPr>
      </w:pPr>
      <w:r w:rsidRPr="003B6E11">
        <w:rPr>
          <w:lang w:val="cs-CZ"/>
        </w:rPr>
        <w:t>3.</w:t>
      </w:r>
      <w:r w:rsidRPr="003B6E11">
        <w:rPr>
          <w:lang w:val="cs-CZ"/>
        </w:rPr>
        <w:tab/>
        <w:t>Dvě zadní cejchovní stupnice umístěné v souladu s úmluvou podle čl. 4.04 odst. 7 mohou nahradit ponorové stupnice za předpokladu, že jsou odstupňovány v souladu s výše uvedenými požadavky a že v případě nezbytnosti budou doplněny číslice ukazující ponor.</w:t>
      </w:r>
    </w:p>
    <w:p w:rsidR="00745DD2" w:rsidRPr="003B6E11" w:rsidRDefault="00745DD2" w:rsidP="00E1027C">
      <w:pPr>
        <w:spacing w:line="240" w:lineRule="atLeast"/>
        <w:rPr>
          <w:rFonts w:eastAsia="Calibri"/>
          <w:lang w:val="cs-CZ"/>
        </w:rPr>
      </w:pPr>
    </w:p>
    <w:p w:rsidR="001F1A9D" w:rsidRPr="003B6E11" w:rsidRDefault="001F1A9D" w:rsidP="00745DD2">
      <w:pPr>
        <w:pStyle w:val="ES-Titre3"/>
        <w:spacing w:line="240" w:lineRule="atLeast"/>
        <w:jc w:val="both"/>
        <w:rPr>
          <w:b w:val="0"/>
          <w:sz w:val="20"/>
          <w:lang w:val="cs-CZ"/>
        </w:rPr>
      </w:pPr>
    </w:p>
    <w:p w:rsidR="005E15D4" w:rsidRPr="003B6E11" w:rsidRDefault="005E15D4" w:rsidP="005E15D4">
      <w:pPr>
        <w:pStyle w:val="ES-Titre3"/>
        <w:rPr>
          <w:i/>
          <w:lang w:val="cs-CZ"/>
        </w:rPr>
      </w:pPr>
      <w:bookmarkStart w:id="40" w:name="_Toc491854020"/>
      <w:bookmarkStart w:id="41" w:name="_Toc535416926"/>
      <w:r w:rsidRPr="003B6E11">
        <w:rPr>
          <w:lang w:val="cs-CZ"/>
        </w:rPr>
        <w:t>Článek 4.07</w:t>
      </w:r>
      <w:r w:rsidRPr="003B6E11">
        <w:rPr>
          <w:lang w:val="cs-CZ"/>
        </w:rPr>
        <w:br/>
      </w:r>
      <w:r w:rsidRPr="003B6E11">
        <w:rPr>
          <w:i/>
          <w:noProof/>
          <w:lang w:val="cs-CZ"/>
        </w:rPr>
        <w:t>Zvláštní požadavky na lodi provozované na vodních cestách v zóně 4</w:t>
      </w:r>
      <w:bookmarkEnd w:id="40"/>
      <w:bookmarkEnd w:id="41"/>
    </w:p>
    <w:p w:rsidR="00745DD2" w:rsidRPr="003B6E11" w:rsidRDefault="00745DD2" w:rsidP="00745DD2">
      <w:pPr>
        <w:pStyle w:val="ES-Titre3"/>
        <w:spacing w:line="240" w:lineRule="atLeast"/>
        <w:jc w:val="both"/>
        <w:rPr>
          <w:b w:val="0"/>
          <w:sz w:val="20"/>
          <w:lang w:val="cs-CZ"/>
        </w:rPr>
      </w:pPr>
    </w:p>
    <w:p w:rsidR="005E15D4" w:rsidRPr="003B6E11" w:rsidRDefault="005E15D4" w:rsidP="005E15D4">
      <w:pPr>
        <w:pStyle w:val="ESch"/>
        <w:rPr>
          <w:noProof/>
          <w:lang w:val="cs-CZ"/>
        </w:rPr>
      </w:pPr>
      <w:r w:rsidRPr="003B6E11">
        <w:rPr>
          <w:lang w:val="cs-CZ"/>
        </w:rPr>
        <w:t xml:space="preserve">1. </w:t>
      </w:r>
      <w:r w:rsidRPr="003B6E11">
        <w:rPr>
          <w:lang w:val="cs-CZ"/>
        </w:rPr>
        <w:tab/>
        <w:t>Odchylně od čl. 4.01 odst. 1 a 2 se bezpečnostní vzdálenost u dveří a otvorů kromě jícnů podpalubních nákladových prostorů u lodí, které jsou provozovány na vodních cestách v zóně 4, snižuje takto:</w:t>
      </w:r>
    </w:p>
    <w:p w:rsidR="005E15D4" w:rsidRPr="003B6E11" w:rsidRDefault="005E15D4" w:rsidP="00493339">
      <w:pPr>
        <w:pStyle w:val="ESlet"/>
        <w:rPr>
          <w:noProof/>
          <w:lang w:val="cs-CZ"/>
        </w:rPr>
      </w:pPr>
      <w:r w:rsidRPr="003B6E11">
        <w:rPr>
          <w:lang w:val="cs-CZ"/>
        </w:rPr>
        <w:t>a)</w:t>
      </w:r>
      <w:r w:rsidRPr="003B6E11">
        <w:rPr>
          <w:lang w:val="cs-CZ"/>
        </w:rPr>
        <w:tab/>
        <w:t>u otvorů, jež lze uzavřít tak, aby byly odolné vůči stříkající vodě a povětrnostním vlivům, na 150 mm;</w:t>
      </w:r>
    </w:p>
    <w:p w:rsidR="005E15D4" w:rsidRPr="003B6E11" w:rsidRDefault="005E15D4" w:rsidP="00493339">
      <w:pPr>
        <w:pStyle w:val="ESlet"/>
        <w:rPr>
          <w:noProof/>
          <w:lang w:val="cs-CZ"/>
        </w:rPr>
      </w:pPr>
      <w:r w:rsidRPr="003B6E11">
        <w:rPr>
          <w:lang w:val="cs-CZ"/>
        </w:rPr>
        <w:t>b)</w:t>
      </w:r>
      <w:r w:rsidRPr="003B6E11">
        <w:rPr>
          <w:lang w:val="cs-CZ"/>
        </w:rPr>
        <w:tab/>
        <w:t>u otvorů, jež nelze uzavřít tak, aby byly odolné vůči stříkající vodě a povětrnostním vlivům, na 200 mm.</w:t>
      </w:r>
    </w:p>
    <w:p w:rsidR="005E15D4" w:rsidRPr="003B6E11" w:rsidRDefault="005E15D4" w:rsidP="005E15D4">
      <w:pPr>
        <w:pStyle w:val="ESch"/>
        <w:rPr>
          <w:noProof/>
          <w:lang w:val="cs-CZ"/>
        </w:rPr>
      </w:pPr>
    </w:p>
    <w:p w:rsidR="00745DD2" w:rsidRPr="003B6E11" w:rsidRDefault="005E15D4" w:rsidP="005E15D4">
      <w:pPr>
        <w:pStyle w:val="ESch"/>
        <w:rPr>
          <w:noProof/>
          <w:lang w:val="cs-CZ"/>
        </w:rPr>
      </w:pPr>
      <w:r w:rsidRPr="003B6E11">
        <w:rPr>
          <w:lang w:val="cs-CZ"/>
        </w:rPr>
        <w:t xml:space="preserve">2. </w:t>
      </w:r>
      <w:r w:rsidRPr="003B6E11">
        <w:rPr>
          <w:lang w:val="cs-CZ"/>
        </w:rPr>
        <w:tab/>
        <w:t>Odchylně od článku 4.02 minimální volný bok lodí provozovaných na vodních cestách v zóně 4 činí 0 mm, je-li dodržena bezpečnostní vzdálenost podle odstavce 1.</w:t>
      </w:r>
    </w:p>
    <w:p w:rsidR="00A60727" w:rsidRPr="003B6E11" w:rsidRDefault="00A60727" w:rsidP="005E15D4">
      <w:pPr>
        <w:pStyle w:val="ESch"/>
        <w:rPr>
          <w:noProof/>
          <w:lang w:val="cs-CZ"/>
        </w:rPr>
      </w:pPr>
    </w:p>
    <w:p w:rsidR="00A60727" w:rsidRPr="003B6E11" w:rsidRDefault="00A60727" w:rsidP="005E15D4">
      <w:pPr>
        <w:pStyle w:val="ESch"/>
        <w:rPr>
          <w:noProof/>
          <w:lang w:val="cs-CZ"/>
        </w:rPr>
      </w:pPr>
    </w:p>
    <w:p w:rsidR="006D6907" w:rsidRPr="003B6E11" w:rsidRDefault="006D6907" w:rsidP="005E15D4">
      <w:pPr>
        <w:pStyle w:val="ESch"/>
        <w:rPr>
          <w:noProof/>
          <w:lang w:val="cs-CZ"/>
        </w:rPr>
      </w:pPr>
      <w:r w:rsidRPr="003B6E11">
        <w:rPr>
          <w:lang w:val="cs-CZ"/>
        </w:rPr>
        <w:br w:type="page"/>
      </w:r>
    </w:p>
    <w:p w:rsidR="006D6907" w:rsidRPr="003B6E11" w:rsidRDefault="006D6907" w:rsidP="005E15D4">
      <w:pPr>
        <w:pStyle w:val="ESch"/>
        <w:rPr>
          <w:noProof/>
          <w:lang w:val="cs-CZ"/>
        </w:rPr>
      </w:pPr>
    </w:p>
    <w:p w:rsidR="006D6907" w:rsidRPr="003B6E11" w:rsidRDefault="006D6907" w:rsidP="005E15D4">
      <w:pPr>
        <w:pStyle w:val="ESch"/>
        <w:rPr>
          <w:noProof/>
          <w:lang w:val="cs-CZ"/>
        </w:rPr>
      </w:pPr>
    </w:p>
    <w:p w:rsidR="00A60727" w:rsidRPr="003B6E11" w:rsidRDefault="00A60727" w:rsidP="005E15D4">
      <w:pPr>
        <w:pStyle w:val="ESch"/>
        <w:rPr>
          <w:noProof/>
          <w:lang w:val="cs-CZ"/>
        </w:rPr>
      </w:pPr>
    </w:p>
    <w:p w:rsidR="00A06CEC" w:rsidRPr="003B6E11" w:rsidRDefault="00A06CEC" w:rsidP="00E1027C">
      <w:pPr>
        <w:pStyle w:val="ES-Titre2"/>
      </w:pPr>
      <w:bookmarkStart w:id="42" w:name="_Toc491854021"/>
      <w:bookmarkStart w:id="43" w:name="_Toc535416927"/>
      <w:r w:rsidRPr="003B6E11">
        <w:t>Kapitola 5</w:t>
      </w:r>
      <w:r w:rsidRPr="003B6E11">
        <w:br/>
        <w:t>Manévrovatelnost</w:t>
      </w:r>
      <w:bookmarkEnd w:id="42"/>
      <w:bookmarkEnd w:id="43"/>
    </w:p>
    <w:p w:rsidR="00745DD2" w:rsidRPr="003B6E11" w:rsidRDefault="00745DD2" w:rsidP="00E1027C">
      <w:pPr>
        <w:pStyle w:val="ES-Titre3"/>
        <w:spacing w:line="240" w:lineRule="atLeast"/>
        <w:rPr>
          <w:lang w:val="cs-CZ"/>
        </w:rPr>
      </w:pPr>
    </w:p>
    <w:p w:rsidR="00500018" w:rsidRPr="003B6E11" w:rsidRDefault="00500018" w:rsidP="00500018">
      <w:pPr>
        <w:pStyle w:val="ES-Titre3"/>
        <w:rPr>
          <w:lang w:val="cs-CZ"/>
        </w:rPr>
      </w:pPr>
      <w:bookmarkStart w:id="44" w:name="_Toc491854022"/>
      <w:bookmarkStart w:id="45" w:name="_Toc535416928"/>
      <w:r w:rsidRPr="003B6E11">
        <w:rPr>
          <w:lang w:val="cs-CZ"/>
        </w:rPr>
        <w:t>Článek 5.01</w:t>
      </w:r>
      <w:r w:rsidRPr="003B6E11">
        <w:rPr>
          <w:lang w:val="cs-CZ"/>
        </w:rPr>
        <w:br/>
      </w:r>
      <w:r w:rsidRPr="003B6E11">
        <w:rPr>
          <w:i/>
          <w:noProof/>
          <w:lang w:val="cs-CZ"/>
        </w:rPr>
        <w:t>Obecně</w:t>
      </w:r>
      <w:bookmarkEnd w:id="44"/>
      <w:bookmarkEnd w:id="45"/>
    </w:p>
    <w:p w:rsidR="00500018" w:rsidRPr="003B6E11" w:rsidRDefault="00500018" w:rsidP="00500018">
      <w:pPr>
        <w:rPr>
          <w:noProof/>
          <w:szCs w:val="20"/>
          <w:lang w:val="cs-CZ"/>
        </w:rPr>
      </w:pPr>
    </w:p>
    <w:p w:rsidR="00500018" w:rsidRPr="003B6E11" w:rsidRDefault="00F64273" w:rsidP="000225FB">
      <w:pPr>
        <w:pStyle w:val="ESch"/>
        <w:rPr>
          <w:lang w:val="cs-CZ"/>
        </w:rPr>
      </w:pPr>
      <w:r w:rsidRPr="003B6E11">
        <w:rPr>
          <w:lang w:val="cs-CZ"/>
        </w:rPr>
        <w:t>1.</w:t>
      </w:r>
      <w:r w:rsidRPr="003B6E11">
        <w:rPr>
          <w:lang w:val="cs-CZ"/>
        </w:rPr>
        <w:tab/>
        <w:t>Lodě a sestavy musí prokázat přiměřenou schopnost plavby a manévrovatelnost.</w:t>
      </w:r>
    </w:p>
    <w:p w:rsidR="00500018" w:rsidRPr="003B6E11" w:rsidRDefault="00500018" w:rsidP="000225FB">
      <w:pPr>
        <w:pStyle w:val="ESch"/>
        <w:rPr>
          <w:lang w:val="cs-CZ"/>
        </w:rPr>
      </w:pPr>
    </w:p>
    <w:p w:rsidR="00500018" w:rsidRPr="003B6E11" w:rsidRDefault="00F64273" w:rsidP="000225FB">
      <w:pPr>
        <w:pStyle w:val="ESch"/>
        <w:rPr>
          <w:lang w:val="cs-CZ"/>
        </w:rPr>
      </w:pPr>
      <w:r w:rsidRPr="003B6E11">
        <w:rPr>
          <w:lang w:val="cs-CZ"/>
        </w:rPr>
        <w:t>2.</w:t>
      </w:r>
      <w:r w:rsidRPr="003B6E11">
        <w:rPr>
          <w:lang w:val="cs-CZ"/>
        </w:rPr>
        <w:tab/>
        <w:t>Lodě bez vlastního pohonu, které jsou určené k vlečení, musí splňovat zvláštní požadavky, které určí subjekt pověřený prohlídkami.</w:t>
      </w:r>
    </w:p>
    <w:p w:rsidR="00500018" w:rsidRPr="003B6E11" w:rsidRDefault="00500018" w:rsidP="000225FB">
      <w:pPr>
        <w:pStyle w:val="ESch"/>
        <w:rPr>
          <w:lang w:val="cs-CZ"/>
        </w:rPr>
      </w:pPr>
    </w:p>
    <w:p w:rsidR="00500018" w:rsidRPr="003B6E11" w:rsidRDefault="00F64273" w:rsidP="000225FB">
      <w:pPr>
        <w:pStyle w:val="ESch"/>
        <w:rPr>
          <w:lang w:val="cs-CZ"/>
        </w:rPr>
      </w:pPr>
      <w:r w:rsidRPr="003B6E11">
        <w:rPr>
          <w:lang w:val="cs-CZ"/>
        </w:rPr>
        <w:t>3.</w:t>
      </w:r>
      <w:r w:rsidRPr="003B6E11">
        <w:rPr>
          <w:lang w:val="cs-CZ"/>
        </w:rPr>
        <w:tab/>
        <w:t>Lodě s vlastním pohonem a sestavy musí splňovat požadavky článků 5.02 až 5.10.</w:t>
      </w:r>
    </w:p>
    <w:p w:rsidR="00500018" w:rsidRPr="003B6E11" w:rsidRDefault="00500018" w:rsidP="00065064">
      <w:pPr>
        <w:pStyle w:val="ESch"/>
        <w:rPr>
          <w:lang w:val="cs-CZ"/>
        </w:rPr>
      </w:pPr>
    </w:p>
    <w:p w:rsidR="00500018" w:rsidRPr="003B6E11" w:rsidRDefault="00500018" w:rsidP="00500018">
      <w:pPr>
        <w:rPr>
          <w:szCs w:val="20"/>
          <w:lang w:val="cs-CZ"/>
        </w:rPr>
      </w:pPr>
    </w:p>
    <w:p w:rsidR="00500018" w:rsidRPr="003B6E11" w:rsidRDefault="00500018" w:rsidP="00500018">
      <w:pPr>
        <w:pStyle w:val="ES-Titre3"/>
        <w:rPr>
          <w:lang w:val="cs-CZ"/>
        </w:rPr>
      </w:pPr>
      <w:bookmarkStart w:id="46" w:name="_Toc491854023"/>
      <w:bookmarkStart w:id="47" w:name="_Toc535416929"/>
      <w:r w:rsidRPr="003B6E11">
        <w:rPr>
          <w:lang w:val="cs-CZ"/>
        </w:rPr>
        <w:t>Článek 5.02</w:t>
      </w:r>
      <w:r w:rsidRPr="003B6E11">
        <w:rPr>
          <w:lang w:val="cs-CZ"/>
        </w:rPr>
        <w:br/>
      </w:r>
      <w:r w:rsidRPr="003B6E11">
        <w:rPr>
          <w:i/>
          <w:noProof/>
          <w:lang w:val="cs-CZ"/>
        </w:rPr>
        <w:t>Zkušební plavby</w:t>
      </w:r>
      <w:bookmarkEnd w:id="46"/>
      <w:bookmarkEnd w:id="47"/>
    </w:p>
    <w:p w:rsidR="00500018" w:rsidRPr="003B6E11" w:rsidRDefault="00500018" w:rsidP="00320866">
      <w:pPr>
        <w:pStyle w:val="ESch"/>
        <w:rPr>
          <w:noProof/>
          <w:lang w:val="cs-CZ"/>
        </w:rPr>
      </w:pPr>
    </w:p>
    <w:p w:rsidR="00500018" w:rsidRPr="003B6E11" w:rsidRDefault="00500018" w:rsidP="00320866">
      <w:pPr>
        <w:pStyle w:val="ESch"/>
        <w:rPr>
          <w:lang w:val="cs-CZ"/>
        </w:rPr>
      </w:pPr>
      <w:r w:rsidRPr="003B6E11">
        <w:rPr>
          <w:lang w:val="cs-CZ"/>
        </w:rPr>
        <w:t>1.</w:t>
      </w:r>
      <w:r w:rsidRPr="003B6E11">
        <w:rPr>
          <w:lang w:val="cs-CZ"/>
        </w:rPr>
        <w:tab/>
        <w:t>Schopnost plavby a manévrovatelnost se kontroluje zkušebními plavbami. Kontroluje se zejména shoda s požadavky článků 5.06 až 5.10.</w:t>
      </w:r>
    </w:p>
    <w:p w:rsidR="00500018" w:rsidRPr="003B6E11" w:rsidRDefault="00500018" w:rsidP="00320866">
      <w:pPr>
        <w:pStyle w:val="ESch"/>
        <w:rPr>
          <w:noProof/>
          <w:lang w:val="cs-CZ"/>
        </w:rPr>
      </w:pPr>
    </w:p>
    <w:p w:rsidR="00500018" w:rsidRPr="003B6E11" w:rsidRDefault="00500018" w:rsidP="00320866">
      <w:pPr>
        <w:pStyle w:val="ESch"/>
        <w:rPr>
          <w:lang w:val="cs-CZ"/>
        </w:rPr>
      </w:pPr>
      <w:r w:rsidRPr="003B6E11">
        <w:rPr>
          <w:lang w:val="cs-CZ"/>
        </w:rPr>
        <w:t>2.</w:t>
      </w:r>
      <w:r w:rsidRPr="003B6E11">
        <w:rPr>
          <w:lang w:val="cs-CZ"/>
        </w:rPr>
        <w:tab/>
        <w:t>Subjekt pověřený prohlídkami může od některých nebo od všech těchto zkoušek upustit, pokud se shoda s požadavky na schopnost plavby a manévrovatelnost prokáže jiným způsobem.</w:t>
      </w:r>
    </w:p>
    <w:p w:rsidR="00500018" w:rsidRPr="003B6E11" w:rsidRDefault="00500018" w:rsidP="00500018">
      <w:pPr>
        <w:rPr>
          <w:szCs w:val="20"/>
          <w:lang w:val="cs-CZ"/>
        </w:rPr>
      </w:pPr>
    </w:p>
    <w:p w:rsidR="00500018" w:rsidRPr="003B6E11" w:rsidRDefault="00500018" w:rsidP="00500018">
      <w:pPr>
        <w:rPr>
          <w:szCs w:val="20"/>
          <w:lang w:val="cs-CZ"/>
        </w:rPr>
      </w:pPr>
    </w:p>
    <w:p w:rsidR="00500018" w:rsidRPr="003B6E11" w:rsidRDefault="00500018" w:rsidP="00500018">
      <w:pPr>
        <w:pStyle w:val="ES-Titre3"/>
        <w:rPr>
          <w:lang w:val="cs-CZ"/>
        </w:rPr>
      </w:pPr>
      <w:bookmarkStart w:id="48" w:name="_Toc491854024"/>
      <w:bookmarkStart w:id="49" w:name="_Toc535416930"/>
      <w:r w:rsidRPr="003B6E11">
        <w:rPr>
          <w:lang w:val="cs-CZ"/>
        </w:rPr>
        <w:t>Článek 5.03</w:t>
      </w:r>
      <w:r w:rsidRPr="003B6E11">
        <w:rPr>
          <w:lang w:val="cs-CZ"/>
        </w:rPr>
        <w:br/>
      </w:r>
      <w:r w:rsidRPr="003B6E11">
        <w:rPr>
          <w:i/>
          <w:noProof/>
          <w:lang w:val="cs-CZ"/>
        </w:rPr>
        <w:t>Zkušební oblast</w:t>
      </w:r>
      <w:bookmarkEnd w:id="48"/>
      <w:bookmarkEnd w:id="49"/>
    </w:p>
    <w:p w:rsidR="00500018" w:rsidRPr="003B6E11" w:rsidRDefault="00500018" w:rsidP="00320866">
      <w:pPr>
        <w:pStyle w:val="ESch"/>
        <w:rPr>
          <w:noProof/>
          <w:lang w:val="cs-CZ"/>
        </w:rPr>
      </w:pPr>
    </w:p>
    <w:p w:rsidR="00500018" w:rsidRPr="003B6E11" w:rsidRDefault="00500018" w:rsidP="00320866">
      <w:pPr>
        <w:pStyle w:val="ESch"/>
        <w:rPr>
          <w:lang w:val="cs-CZ"/>
        </w:rPr>
      </w:pPr>
      <w:r w:rsidRPr="003B6E11">
        <w:rPr>
          <w:lang w:val="cs-CZ"/>
        </w:rPr>
        <w:t>1.</w:t>
      </w:r>
      <w:r w:rsidRPr="003B6E11">
        <w:rPr>
          <w:lang w:val="cs-CZ"/>
        </w:rPr>
        <w:tab/>
        <w:t>Zkušební plavby podle článku 5.02 se provedou v oblastech vnitrozemských vodních cest určených příslušnými orgány.</w:t>
      </w:r>
    </w:p>
    <w:p w:rsidR="00500018" w:rsidRPr="003B6E11" w:rsidRDefault="00500018" w:rsidP="00320866">
      <w:pPr>
        <w:pStyle w:val="ESch"/>
        <w:rPr>
          <w:noProof/>
          <w:lang w:val="cs-CZ"/>
        </w:rPr>
      </w:pPr>
    </w:p>
    <w:p w:rsidR="00500018" w:rsidRPr="003B6E11" w:rsidRDefault="00500018" w:rsidP="00320866">
      <w:pPr>
        <w:pStyle w:val="ESch"/>
        <w:rPr>
          <w:lang w:val="cs-CZ"/>
        </w:rPr>
      </w:pPr>
      <w:r w:rsidRPr="003B6E11">
        <w:rPr>
          <w:lang w:val="cs-CZ"/>
        </w:rPr>
        <w:t>2.</w:t>
      </w:r>
      <w:r w:rsidRPr="003B6E11">
        <w:rPr>
          <w:lang w:val="cs-CZ"/>
        </w:rPr>
        <w:tab/>
        <w:t>Zkušební oblasti se musejí nacházet v tekoucích nebo klidných vodách, pokud možno v rovných úsecích nejméně 2 km dlouhých a dostatečně širokých a vybavených dobře patrnými značkami k určení polohy lodi.</w:t>
      </w:r>
    </w:p>
    <w:p w:rsidR="00500018" w:rsidRPr="003B6E11" w:rsidRDefault="00500018" w:rsidP="00320866">
      <w:pPr>
        <w:pStyle w:val="ESch"/>
        <w:rPr>
          <w:noProof/>
          <w:lang w:val="cs-CZ"/>
        </w:rPr>
      </w:pPr>
    </w:p>
    <w:p w:rsidR="00500018" w:rsidRPr="003B6E11" w:rsidRDefault="00500018" w:rsidP="00320866">
      <w:pPr>
        <w:pStyle w:val="ESch"/>
        <w:rPr>
          <w:lang w:val="cs-CZ"/>
        </w:rPr>
      </w:pPr>
      <w:r w:rsidRPr="003B6E11">
        <w:rPr>
          <w:lang w:val="cs-CZ"/>
        </w:rPr>
        <w:t>3.</w:t>
      </w:r>
      <w:r w:rsidRPr="003B6E11">
        <w:rPr>
          <w:lang w:val="cs-CZ"/>
        </w:rPr>
        <w:tab/>
        <w:t>Subjekt pověřený prohlídkami musí mít možnost zjistit hydrologické údaje, např. hloubku vody, šířku plavební dráhy a průměrnou rychlost proudu v plavební oblasti při různých stavech vody.</w:t>
      </w:r>
    </w:p>
    <w:p w:rsidR="00500018" w:rsidRPr="003B6E11" w:rsidRDefault="00500018" w:rsidP="00320866">
      <w:pPr>
        <w:pStyle w:val="ESch"/>
        <w:rPr>
          <w:lang w:val="cs-CZ"/>
        </w:rPr>
      </w:pPr>
    </w:p>
    <w:p w:rsidR="00500018" w:rsidRPr="003B6E11" w:rsidRDefault="00500018" w:rsidP="00533048">
      <w:pPr>
        <w:pStyle w:val="ESch"/>
        <w:rPr>
          <w:lang w:val="cs-CZ"/>
        </w:rPr>
      </w:pPr>
    </w:p>
    <w:p w:rsidR="00500018" w:rsidRPr="003B6E11" w:rsidRDefault="00500018" w:rsidP="00500018">
      <w:pPr>
        <w:pStyle w:val="ES-Titre3"/>
        <w:rPr>
          <w:lang w:val="cs-CZ"/>
        </w:rPr>
      </w:pPr>
      <w:bookmarkStart w:id="50" w:name="_Toc491854025"/>
      <w:bookmarkStart w:id="51" w:name="_Toc535416931"/>
      <w:r w:rsidRPr="003B6E11">
        <w:rPr>
          <w:lang w:val="cs-CZ"/>
        </w:rPr>
        <w:t>Článek 5.04</w:t>
      </w:r>
      <w:r w:rsidRPr="003B6E11">
        <w:rPr>
          <w:lang w:val="cs-CZ"/>
        </w:rPr>
        <w:br/>
      </w:r>
      <w:r w:rsidRPr="003B6E11">
        <w:rPr>
          <w:i/>
          <w:noProof/>
          <w:lang w:val="cs-CZ"/>
        </w:rPr>
        <w:t>Stupeň naložení lodí a sestav během zkušebních plaveb</w:t>
      </w:r>
      <w:bookmarkEnd w:id="50"/>
      <w:bookmarkEnd w:id="51"/>
    </w:p>
    <w:p w:rsidR="00500018" w:rsidRPr="003B6E11" w:rsidRDefault="00500018" w:rsidP="00500018">
      <w:pPr>
        <w:rPr>
          <w:noProof/>
          <w:szCs w:val="20"/>
          <w:lang w:val="cs-CZ"/>
        </w:rPr>
      </w:pPr>
    </w:p>
    <w:p w:rsidR="00500018" w:rsidRPr="003B6E11" w:rsidRDefault="00500018" w:rsidP="00320866">
      <w:pPr>
        <w:pStyle w:val="ESgauche"/>
        <w:rPr>
          <w:lang w:val="cs-CZ"/>
        </w:rPr>
      </w:pPr>
      <w:r w:rsidRPr="003B6E11">
        <w:rPr>
          <w:lang w:val="cs-CZ"/>
        </w:rPr>
        <w:t>Během zkušebních plaveb musí být lodě a sestavy určené k přepravě nákladu naloženy nejméně do 70 % jejich prostornosti a náklad musí být rozložen rovnoměrně, aby byla pokud možno zajištěna plavba na rovném kýlu. Provádějí-li se zkoušky s menším nákladem, je schválení pro poproudní plavbu omezeno na toto naložení.</w:t>
      </w:r>
    </w:p>
    <w:p w:rsidR="00500018" w:rsidRPr="003B6E11" w:rsidRDefault="00500018" w:rsidP="00500018">
      <w:pPr>
        <w:rPr>
          <w:szCs w:val="20"/>
          <w:lang w:val="cs-CZ"/>
        </w:rPr>
      </w:pPr>
      <w:r w:rsidRPr="003B6E11">
        <w:rPr>
          <w:lang w:val="cs-CZ"/>
        </w:rPr>
        <w:br w:type="page"/>
      </w:r>
    </w:p>
    <w:p w:rsidR="00500018" w:rsidRPr="003B6E11" w:rsidRDefault="00500018" w:rsidP="00500018">
      <w:pPr>
        <w:pStyle w:val="ES-Titre3"/>
        <w:rPr>
          <w:lang w:val="cs-CZ"/>
        </w:rPr>
      </w:pPr>
      <w:bookmarkStart w:id="52" w:name="_Toc491854026"/>
      <w:bookmarkStart w:id="53" w:name="_Toc535416932"/>
      <w:r w:rsidRPr="003B6E11">
        <w:rPr>
          <w:lang w:val="cs-CZ"/>
        </w:rPr>
        <w:t>Článek 5.05</w:t>
      </w:r>
      <w:r w:rsidRPr="003B6E11">
        <w:rPr>
          <w:lang w:val="cs-CZ"/>
        </w:rPr>
        <w:br/>
      </w:r>
      <w:r w:rsidRPr="003B6E11">
        <w:rPr>
          <w:i/>
          <w:noProof/>
          <w:lang w:val="cs-CZ"/>
        </w:rPr>
        <w:t>Použití zařízení plavidla při zkušební plavbě</w:t>
      </w:r>
      <w:bookmarkEnd w:id="52"/>
      <w:bookmarkEnd w:id="53"/>
    </w:p>
    <w:p w:rsidR="00500018" w:rsidRPr="003B6E11" w:rsidRDefault="00500018" w:rsidP="00500018">
      <w:pPr>
        <w:rPr>
          <w:noProof/>
          <w:szCs w:val="20"/>
          <w:lang w:val="cs-CZ"/>
        </w:rPr>
      </w:pPr>
    </w:p>
    <w:p w:rsidR="00500018" w:rsidRPr="003B6E11" w:rsidRDefault="00500018" w:rsidP="00320866">
      <w:pPr>
        <w:pStyle w:val="ESch"/>
        <w:rPr>
          <w:lang w:val="cs-CZ"/>
        </w:rPr>
      </w:pPr>
      <w:r w:rsidRPr="003B6E11">
        <w:rPr>
          <w:lang w:val="cs-CZ"/>
        </w:rPr>
        <w:t>1.</w:t>
      </w:r>
      <w:r w:rsidRPr="003B6E11">
        <w:rPr>
          <w:lang w:val="cs-CZ"/>
        </w:rPr>
        <w:tab/>
        <w:t>Během zkušební plavby lze použít veškerá zařízení uvedená v bodech 34 a 52 osvědčení plavidla vnitrozemské plavby, která lze ovládat z kormidelny, kromě kotev.</w:t>
      </w:r>
    </w:p>
    <w:p w:rsidR="00500018" w:rsidRPr="003B6E11" w:rsidRDefault="00500018" w:rsidP="00320866">
      <w:pPr>
        <w:pStyle w:val="ESch"/>
        <w:rPr>
          <w:noProof/>
          <w:lang w:val="cs-CZ"/>
        </w:rPr>
      </w:pPr>
    </w:p>
    <w:p w:rsidR="00500018" w:rsidRPr="003B6E11" w:rsidRDefault="00500018" w:rsidP="00320866">
      <w:pPr>
        <w:pStyle w:val="ESch"/>
        <w:rPr>
          <w:lang w:val="cs-CZ"/>
        </w:rPr>
      </w:pPr>
      <w:r w:rsidRPr="003B6E11">
        <w:rPr>
          <w:lang w:val="cs-CZ"/>
        </w:rPr>
        <w:t>2.</w:t>
      </w:r>
      <w:r w:rsidRPr="003B6E11">
        <w:rPr>
          <w:lang w:val="cs-CZ"/>
        </w:rPr>
        <w:tab/>
        <w:t>Příďové kotvy je však možno použít při zkoušce zahrnující otáčení v proudu podle článku 5.10.</w:t>
      </w:r>
    </w:p>
    <w:p w:rsidR="00500018" w:rsidRPr="003B6E11" w:rsidRDefault="00500018" w:rsidP="00500018">
      <w:pPr>
        <w:rPr>
          <w:szCs w:val="20"/>
          <w:lang w:val="cs-CZ"/>
        </w:rPr>
      </w:pPr>
    </w:p>
    <w:p w:rsidR="00500018" w:rsidRPr="003B6E11" w:rsidRDefault="00500018" w:rsidP="00500018">
      <w:pPr>
        <w:pStyle w:val="ES-Titre3"/>
        <w:rPr>
          <w:lang w:val="cs-CZ"/>
        </w:rPr>
      </w:pPr>
      <w:bookmarkStart w:id="54" w:name="_Toc491854027"/>
      <w:bookmarkStart w:id="55" w:name="_Toc535416933"/>
      <w:r w:rsidRPr="003B6E11">
        <w:rPr>
          <w:lang w:val="cs-CZ"/>
        </w:rPr>
        <w:t>Článek 5.06</w:t>
      </w:r>
      <w:r w:rsidRPr="003B6E11">
        <w:rPr>
          <w:lang w:val="cs-CZ"/>
        </w:rPr>
        <w:br/>
      </w:r>
      <w:r w:rsidRPr="003B6E11">
        <w:rPr>
          <w:i/>
          <w:noProof/>
          <w:lang w:val="cs-CZ"/>
        </w:rPr>
        <w:t>Předepsaná (dopředná) rychlost plavby</w:t>
      </w:r>
      <w:bookmarkEnd w:id="54"/>
      <w:bookmarkEnd w:id="55"/>
    </w:p>
    <w:p w:rsidR="003D32C2" w:rsidRPr="003B6E11" w:rsidRDefault="003D32C2" w:rsidP="00500018">
      <w:pPr>
        <w:rPr>
          <w:rFonts w:cs="Arial"/>
          <w:noProof/>
          <w:szCs w:val="20"/>
          <w:lang w:val="cs-CZ"/>
        </w:rPr>
      </w:pPr>
    </w:p>
    <w:p w:rsidR="00500018" w:rsidRPr="003B6E11" w:rsidRDefault="00500018" w:rsidP="00320866">
      <w:pPr>
        <w:pStyle w:val="ESch"/>
        <w:rPr>
          <w:lang w:val="cs-CZ"/>
        </w:rPr>
      </w:pPr>
      <w:r w:rsidRPr="003B6E11">
        <w:rPr>
          <w:lang w:val="cs-CZ"/>
        </w:rPr>
        <w:t>1.</w:t>
      </w:r>
      <w:r w:rsidRPr="003B6E11">
        <w:rPr>
          <w:lang w:val="cs-CZ"/>
        </w:rPr>
        <w:tab/>
        <w:t>Lodě a sestavy musí dosáhnout rychlosti plavby vzhledem k hladině vody nejméně 13 km/h. Tento požadavek se nevztahuje na tlačné remorkéry, pokud plují samostatně.</w:t>
      </w:r>
    </w:p>
    <w:p w:rsidR="003D32C2" w:rsidRPr="003B6E11" w:rsidRDefault="003D32C2" w:rsidP="00320866">
      <w:pPr>
        <w:pStyle w:val="ESch"/>
        <w:rPr>
          <w:noProof/>
          <w:lang w:val="cs-CZ"/>
        </w:rPr>
      </w:pPr>
    </w:p>
    <w:p w:rsidR="00500018" w:rsidRPr="003B6E11" w:rsidRDefault="00500018" w:rsidP="00320866">
      <w:pPr>
        <w:pStyle w:val="ESch"/>
        <w:rPr>
          <w:lang w:val="cs-CZ"/>
        </w:rPr>
      </w:pPr>
      <w:r w:rsidRPr="003B6E11">
        <w:rPr>
          <w:lang w:val="cs-CZ"/>
        </w:rPr>
        <w:t>2.</w:t>
      </w:r>
      <w:r w:rsidRPr="003B6E11">
        <w:rPr>
          <w:lang w:val="cs-CZ"/>
        </w:rPr>
        <w:tab/>
        <w:t>Subjekt pověřený prohlídkami může povolit odchylky pro lodě a sestavy, které jsou provozovány výlučně v ústích řek a v přístavech.</w:t>
      </w:r>
    </w:p>
    <w:p w:rsidR="003D32C2" w:rsidRPr="003B6E11" w:rsidRDefault="003D32C2" w:rsidP="00320866">
      <w:pPr>
        <w:pStyle w:val="ESch"/>
        <w:rPr>
          <w:noProof/>
          <w:lang w:val="cs-CZ"/>
        </w:rPr>
      </w:pPr>
    </w:p>
    <w:p w:rsidR="00500018" w:rsidRPr="003B6E11" w:rsidRDefault="00500018" w:rsidP="00320866">
      <w:pPr>
        <w:pStyle w:val="ESch"/>
        <w:rPr>
          <w:lang w:val="cs-CZ"/>
        </w:rPr>
      </w:pPr>
      <w:r w:rsidRPr="003B6E11">
        <w:rPr>
          <w:lang w:val="cs-CZ"/>
        </w:rPr>
        <w:t>3.</w:t>
      </w:r>
      <w:r w:rsidRPr="003B6E11">
        <w:rPr>
          <w:lang w:val="cs-CZ"/>
        </w:rPr>
        <w:tab/>
        <w:t>Subjekt pověřený prohlídkami zkontroluje, zda je nenaložená loď schopna překročit rychlost 40 km/h vzhledem k hladině vody. Lze-li toto potvrdit, zapíše se do bodu 52 osvědčení plavidla vnitrozemské plavby tento údaj:</w:t>
      </w:r>
    </w:p>
    <w:p w:rsidR="003D32C2" w:rsidRPr="003B6E11" w:rsidRDefault="003D32C2" w:rsidP="00320866">
      <w:pPr>
        <w:pStyle w:val="ESch"/>
        <w:rPr>
          <w:noProof/>
          <w:lang w:val="cs-CZ"/>
        </w:rPr>
      </w:pPr>
    </w:p>
    <w:p w:rsidR="00500018" w:rsidRPr="003B6E11" w:rsidRDefault="00500018" w:rsidP="003D32C2">
      <w:pPr>
        <w:jc w:val="center"/>
        <w:rPr>
          <w:rFonts w:cs="Arial"/>
          <w:szCs w:val="20"/>
          <w:lang w:val="cs-CZ"/>
        </w:rPr>
      </w:pPr>
      <w:r w:rsidRPr="003B6E11">
        <w:rPr>
          <w:lang w:val="cs-CZ"/>
        </w:rPr>
        <w:t>„Loď je schopna překročit rychlost 40 km/h vzhledem k hladině vody.“</w:t>
      </w:r>
    </w:p>
    <w:p w:rsidR="00500018" w:rsidRPr="003B6E11" w:rsidRDefault="00500018" w:rsidP="00500018">
      <w:pPr>
        <w:rPr>
          <w:rFonts w:cs="Arial"/>
          <w:szCs w:val="20"/>
          <w:lang w:val="cs-CZ"/>
        </w:rPr>
      </w:pPr>
    </w:p>
    <w:p w:rsidR="003D32C2" w:rsidRPr="003B6E11" w:rsidRDefault="003D32C2" w:rsidP="00500018">
      <w:pPr>
        <w:rPr>
          <w:rFonts w:cs="Arial"/>
          <w:szCs w:val="20"/>
          <w:lang w:val="cs-CZ"/>
        </w:rPr>
      </w:pPr>
    </w:p>
    <w:p w:rsidR="00500018" w:rsidRPr="003B6E11" w:rsidRDefault="00500018" w:rsidP="003D32C2">
      <w:pPr>
        <w:pStyle w:val="ES-Titre3"/>
        <w:rPr>
          <w:lang w:val="cs-CZ"/>
        </w:rPr>
      </w:pPr>
      <w:bookmarkStart w:id="56" w:name="_Toc491854028"/>
      <w:bookmarkStart w:id="57" w:name="_Toc535416934"/>
      <w:r w:rsidRPr="003B6E11">
        <w:rPr>
          <w:lang w:val="cs-CZ"/>
        </w:rPr>
        <w:t>Článek 5.07</w:t>
      </w:r>
      <w:r w:rsidRPr="003B6E11">
        <w:rPr>
          <w:lang w:val="cs-CZ"/>
        </w:rPr>
        <w:br/>
      </w:r>
      <w:r w:rsidRPr="003B6E11">
        <w:rPr>
          <w:i/>
          <w:noProof/>
          <w:lang w:val="cs-CZ"/>
        </w:rPr>
        <w:t>Schopnost zastavení</w:t>
      </w:r>
      <w:bookmarkEnd w:id="56"/>
      <w:bookmarkEnd w:id="57"/>
    </w:p>
    <w:p w:rsidR="003D32C2" w:rsidRPr="003B6E11" w:rsidRDefault="003D32C2" w:rsidP="00500018">
      <w:pPr>
        <w:rPr>
          <w:rFonts w:cs="Arial"/>
          <w:noProof/>
          <w:szCs w:val="20"/>
          <w:lang w:val="cs-CZ"/>
        </w:rPr>
      </w:pPr>
    </w:p>
    <w:p w:rsidR="00500018" w:rsidRPr="003B6E11" w:rsidRDefault="00500018" w:rsidP="00320866">
      <w:pPr>
        <w:pStyle w:val="ESch"/>
        <w:rPr>
          <w:lang w:val="cs-CZ"/>
        </w:rPr>
      </w:pPr>
      <w:r w:rsidRPr="003B6E11">
        <w:rPr>
          <w:lang w:val="cs-CZ"/>
        </w:rPr>
        <w:t>1.</w:t>
      </w:r>
      <w:r w:rsidRPr="003B6E11">
        <w:rPr>
          <w:lang w:val="cs-CZ"/>
        </w:rPr>
        <w:tab/>
        <w:t>Lodě a sestavy musí být schopny zastavit při plavbě po proudu v dostatečně krátkém čase a současně musí být dostatečně ovladatelné.</w:t>
      </w:r>
    </w:p>
    <w:p w:rsidR="003D32C2" w:rsidRPr="003B6E11" w:rsidRDefault="003D32C2" w:rsidP="00320866">
      <w:pPr>
        <w:pStyle w:val="ESch"/>
        <w:rPr>
          <w:noProof/>
          <w:lang w:val="cs-CZ"/>
        </w:rPr>
      </w:pPr>
    </w:p>
    <w:p w:rsidR="00500018" w:rsidRPr="003B6E11" w:rsidRDefault="00500018" w:rsidP="00320866">
      <w:pPr>
        <w:pStyle w:val="ESch"/>
        <w:rPr>
          <w:lang w:val="cs-CZ"/>
        </w:rPr>
      </w:pPr>
      <w:r w:rsidRPr="003B6E11">
        <w:rPr>
          <w:lang w:val="cs-CZ"/>
        </w:rPr>
        <w:t>2.</w:t>
      </w:r>
      <w:r w:rsidRPr="003B6E11">
        <w:rPr>
          <w:lang w:val="cs-CZ"/>
        </w:rPr>
        <w:tab/>
        <w:t xml:space="preserve">Nejsou-li délka </w:t>
      </w:r>
      <m:oMath>
        <m:r>
          <w:rPr>
            <w:rFonts w:ascii="Cambria Math" w:hAnsi="Cambria Math"/>
            <w:noProof/>
            <w:lang w:val="cs-CZ"/>
          </w:rPr>
          <m:t>L</m:t>
        </m:r>
      </m:oMath>
      <w:r w:rsidRPr="003B6E11">
        <w:rPr>
          <w:lang w:val="cs-CZ"/>
        </w:rPr>
        <w:t xml:space="preserve"> lodí a sestav větší než 86 m a jejich šířka </w:t>
      </w:r>
      <m:oMath>
        <m:r>
          <w:rPr>
            <w:rFonts w:ascii="Cambria Math" w:hAnsi="Cambria Math"/>
            <w:noProof/>
            <w:lang w:val="cs-CZ"/>
          </w:rPr>
          <m:t>B</m:t>
        </m:r>
      </m:oMath>
      <w:r w:rsidRPr="003B6E11">
        <w:rPr>
          <w:lang w:val="cs-CZ"/>
        </w:rPr>
        <w:t xml:space="preserve"> větší než 22,90 m, lze zkoušku schopnosti zastavení nahradit zkouškou schopnosti otáčení.</w:t>
      </w:r>
    </w:p>
    <w:p w:rsidR="003D32C2" w:rsidRPr="003B6E11" w:rsidRDefault="003D32C2" w:rsidP="00320866">
      <w:pPr>
        <w:pStyle w:val="ESch"/>
        <w:rPr>
          <w:noProof/>
          <w:lang w:val="cs-CZ"/>
        </w:rPr>
      </w:pPr>
    </w:p>
    <w:p w:rsidR="00500018" w:rsidRPr="003B6E11" w:rsidRDefault="00500018" w:rsidP="00320866">
      <w:pPr>
        <w:pStyle w:val="ESch"/>
        <w:rPr>
          <w:lang w:val="cs-CZ"/>
        </w:rPr>
      </w:pPr>
      <w:r w:rsidRPr="003B6E11">
        <w:rPr>
          <w:lang w:val="cs-CZ"/>
        </w:rPr>
        <w:t>3.</w:t>
      </w:r>
      <w:r w:rsidRPr="003B6E11">
        <w:rPr>
          <w:lang w:val="cs-CZ"/>
        </w:rPr>
        <w:tab/>
        <w:t>Schopnost zastavení se prokazuje pomocí zastavovacích manévrů ve zkušební oblasti uvedené v článku 5.03 a schopnost otáčení otáčecími manévry podle článku 5.10.</w:t>
      </w:r>
    </w:p>
    <w:p w:rsidR="00500018" w:rsidRPr="003B6E11" w:rsidRDefault="00500018" w:rsidP="00500018">
      <w:pPr>
        <w:rPr>
          <w:noProof/>
          <w:szCs w:val="20"/>
          <w:lang w:val="cs-CZ"/>
        </w:rPr>
      </w:pPr>
    </w:p>
    <w:p w:rsidR="003D32C2" w:rsidRPr="003B6E11" w:rsidRDefault="003D32C2" w:rsidP="00500018">
      <w:pPr>
        <w:rPr>
          <w:noProof/>
          <w:szCs w:val="20"/>
          <w:lang w:val="cs-CZ"/>
        </w:rPr>
      </w:pPr>
    </w:p>
    <w:p w:rsidR="00500018" w:rsidRPr="003B6E11" w:rsidRDefault="00500018" w:rsidP="003D32C2">
      <w:pPr>
        <w:pStyle w:val="ES-Titre3"/>
        <w:rPr>
          <w:lang w:val="cs-CZ"/>
        </w:rPr>
      </w:pPr>
      <w:bookmarkStart w:id="58" w:name="_Toc491854029"/>
      <w:bookmarkStart w:id="59" w:name="_Toc535416935"/>
      <w:r w:rsidRPr="003B6E11">
        <w:rPr>
          <w:lang w:val="cs-CZ"/>
        </w:rPr>
        <w:t>Článek 5.08</w:t>
      </w:r>
      <w:r w:rsidRPr="003B6E11">
        <w:rPr>
          <w:lang w:val="cs-CZ"/>
        </w:rPr>
        <w:br/>
      </w:r>
      <w:r w:rsidRPr="003B6E11">
        <w:rPr>
          <w:i/>
          <w:noProof/>
          <w:lang w:val="cs-CZ"/>
        </w:rPr>
        <w:t>Schopnost plavby vzad</w:t>
      </w:r>
      <w:bookmarkEnd w:id="58"/>
      <w:bookmarkEnd w:id="59"/>
    </w:p>
    <w:p w:rsidR="003D32C2" w:rsidRPr="003B6E11" w:rsidRDefault="003D32C2" w:rsidP="003D32C2">
      <w:pPr>
        <w:rPr>
          <w:noProof/>
          <w:szCs w:val="20"/>
          <w:lang w:val="cs-CZ"/>
        </w:rPr>
      </w:pPr>
    </w:p>
    <w:p w:rsidR="00500018" w:rsidRPr="003B6E11" w:rsidRDefault="00500018" w:rsidP="00320866">
      <w:pPr>
        <w:pStyle w:val="ESgauche"/>
        <w:rPr>
          <w:lang w:val="cs-CZ"/>
        </w:rPr>
      </w:pPr>
      <w:r w:rsidRPr="003B6E11">
        <w:rPr>
          <w:lang w:val="cs-CZ"/>
        </w:rPr>
        <w:t>Provádí-li se zastavovací manévr podle článku 5.07 na klidné vodě, musí být doplněn zkušební plavbou směrem vzad.</w:t>
      </w:r>
    </w:p>
    <w:p w:rsidR="003D32C2" w:rsidRPr="003B6E11" w:rsidRDefault="003D32C2" w:rsidP="00500018">
      <w:pPr>
        <w:rPr>
          <w:noProof/>
          <w:szCs w:val="20"/>
          <w:lang w:val="cs-CZ"/>
        </w:rPr>
      </w:pPr>
      <w:r w:rsidRPr="003B6E11">
        <w:rPr>
          <w:lang w:val="cs-CZ"/>
        </w:rPr>
        <w:br w:type="page"/>
      </w:r>
    </w:p>
    <w:p w:rsidR="00500018" w:rsidRPr="003B6E11" w:rsidRDefault="00500018" w:rsidP="003D32C2">
      <w:pPr>
        <w:pStyle w:val="ES-Titre3"/>
        <w:rPr>
          <w:i/>
          <w:noProof/>
          <w:lang w:val="cs-CZ"/>
        </w:rPr>
      </w:pPr>
      <w:bookmarkStart w:id="60" w:name="_Toc491854030"/>
      <w:bookmarkStart w:id="61" w:name="_Toc535416936"/>
      <w:r w:rsidRPr="003B6E11">
        <w:rPr>
          <w:lang w:val="cs-CZ"/>
        </w:rPr>
        <w:t>Článek 5.09</w:t>
      </w:r>
      <w:r w:rsidRPr="003B6E11">
        <w:rPr>
          <w:lang w:val="cs-CZ"/>
        </w:rPr>
        <w:br/>
      </w:r>
      <w:r w:rsidRPr="003B6E11">
        <w:rPr>
          <w:i/>
          <w:noProof/>
          <w:lang w:val="cs-CZ"/>
        </w:rPr>
        <w:t>Schopnost vyhýbání</w:t>
      </w:r>
      <w:bookmarkEnd w:id="60"/>
      <w:bookmarkEnd w:id="61"/>
    </w:p>
    <w:p w:rsidR="003D32C2" w:rsidRPr="003B6E11" w:rsidRDefault="003D32C2" w:rsidP="003D32C2">
      <w:pPr>
        <w:pStyle w:val="ES-Titre3"/>
        <w:rPr>
          <w:lang w:val="cs-CZ"/>
        </w:rPr>
      </w:pPr>
    </w:p>
    <w:p w:rsidR="00500018" w:rsidRPr="003B6E11" w:rsidRDefault="00500018" w:rsidP="00320866">
      <w:pPr>
        <w:pStyle w:val="ESgauche"/>
        <w:rPr>
          <w:lang w:val="cs-CZ"/>
        </w:rPr>
      </w:pPr>
      <w:r w:rsidRPr="003B6E11">
        <w:rPr>
          <w:lang w:val="cs-CZ"/>
        </w:rPr>
        <w:t>Lodě a sestavy musí být schopné provést v dostatečně krátkém čase vyhýbací manévr. Tato schopnost se prokazuje pomocí vyhýbacích manévrů, které se provádějí ve zkušební oblasti uvedené v článku 5.03.</w:t>
      </w:r>
    </w:p>
    <w:p w:rsidR="00500018" w:rsidRPr="003B6E11" w:rsidRDefault="00500018" w:rsidP="00500018">
      <w:pPr>
        <w:rPr>
          <w:szCs w:val="20"/>
          <w:lang w:val="cs-CZ"/>
        </w:rPr>
      </w:pPr>
    </w:p>
    <w:p w:rsidR="003D32C2" w:rsidRPr="003B6E11" w:rsidRDefault="003D32C2" w:rsidP="00500018">
      <w:pPr>
        <w:rPr>
          <w:szCs w:val="20"/>
          <w:lang w:val="cs-CZ"/>
        </w:rPr>
      </w:pPr>
    </w:p>
    <w:p w:rsidR="00500018" w:rsidRPr="003B6E11" w:rsidRDefault="00500018" w:rsidP="003D32C2">
      <w:pPr>
        <w:pStyle w:val="ES-Titre3"/>
        <w:rPr>
          <w:lang w:val="cs-CZ"/>
        </w:rPr>
      </w:pPr>
      <w:bookmarkStart w:id="62" w:name="_Toc491854031"/>
      <w:bookmarkStart w:id="63" w:name="_Toc535416937"/>
      <w:r w:rsidRPr="003B6E11">
        <w:rPr>
          <w:lang w:val="cs-CZ"/>
        </w:rPr>
        <w:t>Článek 5.10</w:t>
      </w:r>
      <w:r w:rsidRPr="003B6E11">
        <w:rPr>
          <w:lang w:val="cs-CZ"/>
        </w:rPr>
        <w:br/>
      </w:r>
      <w:r w:rsidRPr="003B6E11">
        <w:rPr>
          <w:i/>
          <w:noProof/>
          <w:lang w:val="cs-CZ"/>
        </w:rPr>
        <w:t>Schopnost otáčení</w:t>
      </w:r>
      <w:bookmarkEnd w:id="62"/>
      <w:bookmarkEnd w:id="63"/>
    </w:p>
    <w:p w:rsidR="003D32C2" w:rsidRPr="003B6E11" w:rsidRDefault="003D32C2" w:rsidP="003D32C2">
      <w:pPr>
        <w:rPr>
          <w:noProof/>
          <w:szCs w:val="20"/>
          <w:lang w:val="cs-CZ"/>
        </w:rPr>
      </w:pPr>
    </w:p>
    <w:p w:rsidR="00500018" w:rsidRPr="003B6E11" w:rsidRDefault="00500018" w:rsidP="003D32C2">
      <w:pPr>
        <w:rPr>
          <w:szCs w:val="20"/>
          <w:lang w:val="cs-CZ"/>
        </w:rPr>
      </w:pPr>
      <w:r w:rsidRPr="003B6E11">
        <w:rPr>
          <w:lang w:val="cs-CZ"/>
        </w:rPr>
        <w:t xml:space="preserve">Lodě a sestavy, jejichž délka </w:t>
      </w:r>
      <m:oMath>
        <m:r>
          <w:rPr>
            <w:rFonts w:ascii="Cambria Math" w:hAnsi="Cambria Math"/>
            <w:noProof/>
            <w:szCs w:val="20"/>
            <w:lang w:val="cs-CZ"/>
          </w:rPr>
          <m:t>L</m:t>
        </m:r>
      </m:oMath>
      <w:r w:rsidRPr="003B6E11">
        <w:rPr>
          <w:lang w:val="cs-CZ"/>
        </w:rPr>
        <w:t xml:space="preserve"> není větší než 86 m nebo šířka </w:t>
      </w:r>
      <m:oMath>
        <m:r>
          <w:rPr>
            <w:rFonts w:ascii="Cambria Math" w:hAnsi="Cambria Math"/>
            <w:noProof/>
            <w:szCs w:val="20"/>
            <w:lang w:val="cs-CZ"/>
          </w:rPr>
          <m:t>B</m:t>
        </m:r>
      </m:oMath>
      <w:r w:rsidRPr="003B6E11">
        <w:rPr>
          <w:lang w:val="cs-CZ"/>
        </w:rPr>
        <w:t xml:space="preserve"> není větší než 22,90 m, musí být schopné se v dostatečně krátkém čase otočit.</w:t>
      </w:r>
    </w:p>
    <w:p w:rsidR="003D32C2" w:rsidRPr="003B6E11" w:rsidRDefault="003D32C2" w:rsidP="00500018">
      <w:pPr>
        <w:rPr>
          <w:noProof/>
          <w:szCs w:val="20"/>
          <w:lang w:val="cs-CZ"/>
        </w:rPr>
      </w:pPr>
    </w:p>
    <w:p w:rsidR="00500018" w:rsidRPr="003B6E11" w:rsidRDefault="00500018" w:rsidP="00500018">
      <w:pPr>
        <w:rPr>
          <w:szCs w:val="20"/>
          <w:lang w:val="cs-CZ"/>
        </w:rPr>
      </w:pPr>
      <w:r w:rsidRPr="003B6E11">
        <w:rPr>
          <w:lang w:val="cs-CZ"/>
        </w:rPr>
        <w:t>Zkoušku schopnosti otáčení lze nahradit zkouškou schopnosti zastavení podle článku 5.07.</w:t>
      </w:r>
    </w:p>
    <w:p w:rsidR="003D32C2" w:rsidRPr="003B6E11" w:rsidRDefault="003D32C2" w:rsidP="00500018">
      <w:pPr>
        <w:rPr>
          <w:noProof/>
          <w:szCs w:val="20"/>
          <w:lang w:val="cs-CZ"/>
        </w:rPr>
      </w:pPr>
    </w:p>
    <w:p w:rsidR="00500018" w:rsidRPr="003B6E11" w:rsidRDefault="00500018" w:rsidP="00500018">
      <w:pPr>
        <w:rPr>
          <w:szCs w:val="20"/>
          <w:lang w:val="cs-CZ"/>
        </w:rPr>
      </w:pPr>
      <w:r w:rsidRPr="003B6E11">
        <w:rPr>
          <w:lang w:val="cs-CZ"/>
        </w:rPr>
        <w:t>Schopnost otáčení se prokazuje pomocí otáčecích manévrů při plavbě proti proudu.</w:t>
      </w:r>
    </w:p>
    <w:p w:rsidR="00A06CEC" w:rsidRPr="003B6E11" w:rsidRDefault="00A06CEC" w:rsidP="003D32C2">
      <w:pPr>
        <w:spacing w:line="240" w:lineRule="atLeast"/>
        <w:rPr>
          <w:lang w:val="cs-CZ"/>
        </w:rPr>
      </w:pPr>
    </w:p>
    <w:p w:rsidR="00745DD2" w:rsidRPr="003B6E11" w:rsidRDefault="00745DD2" w:rsidP="00E1027C">
      <w:pPr>
        <w:spacing w:line="240" w:lineRule="atLeast"/>
        <w:rPr>
          <w:lang w:val="cs-CZ"/>
        </w:rPr>
      </w:pPr>
    </w:p>
    <w:p w:rsidR="008D7EA6" w:rsidRPr="003B6E11" w:rsidRDefault="008D7EA6" w:rsidP="003D32C2">
      <w:pPr>
        <w:spacing w:line="240" w:lineRule="atLeast"/>
        <w:rPr>
          <w:noProof/>
          <w:lang w:val="cs-CZ"/>
        </w:rPr>
      </w:pPr>
    </w:p>
    <w:p w:rsidR="006D6907" w:rsidRPr="003B6E11" w:rsidRDefault="006D6907" w:rsidP="003D32C2">
      <w:pPr>
        <w:spacing w:line="240" w:lineRule="atLeast"/>
        <w:rPr>
          <w:noProof/>
          <w:lang w:val="cs-CZ"/>
        </w:rPr>
      </w:pPr>
      <w:r w:rsidRPr="003B6E11">
        <w:rPr>
          <w:lang w:val="cs-CZ"/>
        </w:rPr>
        <w:br w:type="page"/>
      </w:r>
    </w:p>
    <w:p w:rsidR="006D6907" w:rsidRPr="003B6E11" w:rsidRDefault="006D6907" w:rsidP="003D32C2">
      <w:pPr>
        <w:spacing w:line="240" w:lineRule="atLeast"/>
        <w:rPr>
          <w:noProof/>
          <w:lang w:val="cs-CZ"/>
        </w:rPr>
      </w:pPr>
    </w:p>
    <w:p w:rsidR="0063454C" w:rsidRPr="003B6E11" w:rsidRDefault="0063454C" w:rsidP="00745DD2">
      <w:pPr>
        <w:spacing w:line="240" w:lineRule="atLeast"/>
        <w:rPr>
          <w:noProof/>
          <w:lang w:val="cs-CZ"/>
        </w:rPr>
        <w:sectPr w:rsidR="0063454C" w:rsidRPr="003B6E11" w:rsidSect="00AC5CC1">
          <w:headerReference w:type="first" r:id="rId24"/>
          <w:footnotePr>
            <w:numRestart w:val="eachPage"/>
          </w:footnotePr>
          <w:pgSz w:w="11906" w:h="16838" w:code="9"/>
          <w:pgMar w:top="1418" w:right="1418" w:bottom="1418" w:left="1418" w:header="709" w:footer="709" w:gutter="0"/>
          <w:cols w:space="709"/>
          <w:titlePg/>
          <w:docGrid w:linePitch="272"/>
        </w:sectPr>
      </w:pPr>
    </w:p>
    <w:p w:rsidR="003D32C2" w:rsidRPr="003B6E11" w:rsidRDefault="003D32C2" w:rsidP="003D32C2">
      <w:pPr>
        <w:pStyle w:val="ES-Titre2"/>
        <w:spacing w:line="240" w:lineRule="auto"/>
      </w:pPr>
      <w:bookmarkStart w:id="64" w:name="_Toc491854032"/>
      <w:bookmarkStart w:id="65" w:name="_Toc535416938"/>
      <w:r w:rsidRPr="003B6E11">
        <w:t>Kapitola 6</w:t>
      </w:r>
      <w:r w:rsidRPr="003B6E11">
        <w:br/>
        <w:t>Kormidelní zařízení</w:t>
      </w:r>
      <w:bookmarkEnd w:id="64"/>
      <w:bookmarkEnd w:id="65"/>
    </w:p>
    <w:p w:rsidR="00745DD2" w:rsidRPr="003B6E11" w:rsidRDefault="00745DD2" w:rsidP="00E1027C">
      <w:pPr>
        <w:pStyle w:val="ES-Titre3"/>
        <w:spacing w:line="240" w:lineRule="atLeast"/>
        <w:rPr>
          <w:lang w:val="cs-CZ"/>
        </w:rPr>
      </w:pPr>
    </w:p>
    <w:p w:rsidR="003D32C2" w:rsidRPr="003B6E11" w:rsidRDefault="003D32C2" w:rsidP="003D32C2">
      <w:pPr>
        <w:pStyle w:val="ES-Titre3"/>
        <w:rPr>
          <w:lang w:val="cs-CZ"/>
        </w:rPr>
      </w:pPr>
      <w:bookmarkStart w:id="66" w:name="_Toc491854033"/>
      <w:bookmarkStart w:id="67" w:name="_Toc535416939"/>
      <w:r w:rsidRPr="003B6E11">
        <w:rPr>
          <w:lang w:val="cs-CZ"/>
        </w:rPr>
        <w:t>Článek 6.01</w:t>
      </w:r>
      <w:r w:rsidRPr="003B6E11">
        <w:rPr>
          <w:lang w:val="cs-CZ"/>
        </w:rPr>
        <w:br/>
      </w:r>
      <w:r w:rsidRPr="003B6E11">
        <w:rPr>
          <w:i/>
          <w:noProof/>
          <w:lang w:val="cs-CZ"/>
        </w:rPr>
        <w:t>Obecné požadavky</w:t>
      </w:r>
      <w:bookmarkEnd w:id="66"/>
      <w:bookmarkEnd w:id="67"/>
    </w:p>
    <w:p w:rsidR="003D32C2" w:rsidRPr="003B6E11" w:rsidRDefault="003D32C2" w:rsidP="003D32C2">
      <w:pPr>
        <w:rPr>
          <w:noProof/>
          <w:lang w:val="cs-CZ"/>
        </w:rPr>
      </w:pPr>
    </w:p>
    <w:p w:rsidR="003D32C2" w:rsidRPr="003B6E11" w:rsidRDefault="003D32C2" w:rsidP="00320866">
      <w:pPr>
        <w:pStyle w:val="ESch"/>
        <w:rPr>
          <w:lang w:val="cs-CZ"/>
        </w:rPr>
      </w:pPr>
      <w:r w:rsidRPr="003B6E11">
        <w:rPr>
          <w:lang w:val="cs-CZ"/>
        </w:rPr>
        <w:t>1.</w:t>
      </w:r>
      <w:r w:rsidRPr="003B6E11">
        <w:rPr>
          <w:lang w:val="cs-CZ"/>
        </w:rPr>
        <w:tab/>
        <w:t>Lodě musí být vybaveny spolehlivým kormidelním zařízením, které zajišťuje alespoň manévrovatelnost požadovanou podle kapitoly 5.</w:t>
      </w:r>
    </w:p>
    <w:p w:rsidR="003D32C2" w:rsidRPr="003B6E11" w:rsidRDefault="003D32C2" w:rsidP="00320866">
      <w:pPr>
        <w:pStyle w:val="ESch"/>
        <w:rPr>
          <w:lang w:val="cs-CZ"/>
        </w:rPr>
      </w:pPr>
    </w:p>
    <w:p w:rsidR="003D32C2" w:rsidRPr="003B6E11" w:rsidRDefault="003D32C2" w:rsidP="00320866">
      <w:pPr>
        <w:pStyle w:val="ESch"/>
        <w:rPr>
          <w:lang w:val="cs-CZ"/>
        </w:rPr>
      </w:pPr>
      <w:r w:rsidRPr="003B6E11">
        <w:rPr>
          <w:lang w:val="cs-CZ"/>
        </w:rPr>
        <w:t>2.</w:t>
      </w:r>
      <w:r w:rsidRPr="003B6E11">
        <w:rPr>
          <w:lang w:val="cs-CZ"/>
        </w:rPr>
        <w:tab/>
        <w:t>Poháněná kormidelní zařízení musí být navržena tak, aby kormidlo nemohlo samovolně změnit polohu.</w:t>
      </w:r>
    </w:p>
    <w:p w:rsidR="003D32C2" w:rsidRPr="003B6E11" w:rsidRDefault="003D32C2" w:rsidP="00320866">
      <w:pPr>
        <w:pStyle w:val="ESch"/>
        <w:rPr>
          <w:noProof/>
          <w:lang w:val="cs-CZ"/>
        </w:rPr>
      </w:pPr>
    </w:p>
    <w:p w:rsidR="003D32C2" w:rsidRPr="003B6E11" w:rsidRDefault="003D32C2" w:rsidP="00320866">
      <w:pPr>
        <w:pStyle w:val="ESch"/>
        <w:rPr>
          <w:lang w:val="cs-CZ"/>
        </w:rPr>
      </w:pPr>
      <w:r w:rsidRPr="003B6E11">
        <w:rPr>
          <w:lang w:val="cs-CZ"/>
        </w:rPr>
        <w:t>3.</w:t>
      </w:r>
      <w:r w:rsidRPr="003B6E11">
        <w:rPr>
          <w:lang w:val="cs-CZ"/>
        </w:rPr>
        <w:tab/>
        <w:t>Celé kormidelní zařízení musí být navrženo tak, aby vydrželo stálý náklon až do výchylky 15° a okolní teplotu od –20 °C do +50 °C.</w:t>
      </w:r>
    </w:p>
    <w:p w:rsidR="003D32C2" w:rsidRPr="003B6E11" w:rsidRDefault="003D32C2" w:rsidP="00320866">
      <w:pPr>
        <w:pStyle w:val="ESch"/>
        <w:rPr>
          <w:lang w:val="cs-CZ"/>
        </w:rPr>
      </w:pPr>
    </w:p>
    <w:p w:rsidR="003D32C2" w:rsidRPr="003B6E11" w:rsidRDefault="003D32C2" w:rsidP="00320866">
      <w:pPr>
        <w:pStyle w:val="ESch"/>
        <w:rPr>
          <w:lang w:val="cs-CZ"/>
        </w:rPr>
      </w:pPr>
      <w:r w:rsidRPr="003B6E11">
        <w:rPr>
          <w:lang w:val="cs-CZ"/>
        </w:rPr>
        <w:t>4.</w:t>
      </w:r>
      <w:r w:rsidRPr="003B6E11">
        <w:rPr>
          <w:lang w:val="cs-CZ"/>
        </w:rPr>
        <w:tab/>
        <w:t>Části kormidelního zařízení musí být dostatečně robustní, aby vydržely namáhání, kterým jsou vystaveny za běžných provozních podmínek. Žádné vnější síly působící na kormidlo nesmějí zhoršit funkčnost kormidelního stroje a jeho pohonné jednotky.</w:t>
      </w:r>
    </w:p>
    <w:p w:rsidR="003D32C2" w:rsidRPr="003B6E11" w:rsidRDefault="003D32C2" w:rsidP="00320866">
      <w:pPr>
        <w:pStyle w:val="ESch"/>
        <w:rPr>
          <w:noProof/>
          <w:lang w:val="cs-CZ"/>
        </w:rPr>
      </w:pPr>
    </w:p>
    <w:p w:rsidR="003D32C2" w:rsidRPr="003B6E11" w:rsidRDefault="003D32C2" w:rsidP="00320866">
      <w:pPr>
        <w:pStyle w:val="ESch"/>
        <w:rPr>
          <w:lang w:val="cs-CZ"/>
        </w:rPr>
      </w:pPr>
      <w:r w:rsidRPr="003B6E11">
        <w:rPr>
          <w:lang w:val="cs-CZ"/>
        </w:rPr>
        <w:t>5.</w:t>
      </w:r>
      <w:r w:rsidRPr="003B6E11">
        <w:rPr>
          <w:lang w:val="cs-CZ"/>
        </w:rPr>
        <w:tab/>
        <w:t>Vyžadují-li to síly nutné k ovládání kormidla, musí mít kormidelní zařízení motorovou pohonnou jednotku.</w:t>
      </w:r>
    </w:p>
    <w:p w:rsidR="003D32C2" w:rsidRPr="003B6E11" w:rsidRDefault="003D32C2" w:rsidP="00320866">
      <w:pPr>
        <w:pStyle w:val="ESch"/>
        <w:rPr>
          <w:lang w:val="cs-CZ"/>
        </w:rPr>
      </w:pPr>
    </w:p>
    <w:p w:rsidR="003D32C2" w:rsidRPr="003B6E11" w:rsidRDefault="003D32C2" w:rsidP="00320866">
      <w:pPr>
        <w:pStyle w:val="ESch"/>
        <w:rPr>
          <w:lang w:val="cs-CZ"/>
        </w:rPr>
      </w:pPr>
      <w:r w:rsidRPr="003B6E11">
        <w:rPr>
          <w:lang w:val="cs-CZ"/>
        </w:rPr>
        <w:t>6.</w:t>
      </w:r>
      <w:r w:rsidRPr="003B6E11">
        <w:rPr>
          <w:lang w:val="cs-CZ"/>
        </w:rPr>
        <w:tab/>
        <w:t>Kormidelní stroj s motorovou pohonnou jednotkou musí být opatřen ochranou proti přetížení, která omezuje krouticí moment vyvíjený pohonnou jednotkou.</w:t>
      </w:r>
    </w:p>
    <w:p w:rsidR="003D32C2" w:rsidRPr="003B6E11" w:rsidRDefault="003D32C2" w:rsidP="00320866">
      <w:pPr>
        <w:pStyle w:val="ESch"/>
        <w:rPr>
          <w:noProof/>
          <w:lang w:val="cs-CZ"/>
        </w:rPr>
      </w:pPr>
    </w:p>
    <w:p w:rsidR="003D32C2" w:rsidRPr="003B6E11" w:rsidRDefault="003D32C2" w:rsidP="00320866">
      <w:pPr>
        <w:pStyle w:val="ESch"/>
        <w:rPr>
          <w:lang w:val="cs-CZ"/>
        </w:rPr>
      </w:pPr>
      <w:r w:rsidRPr="003B6E11">
        <w:rPr>
          <w:lang w:val="cs-CZ"/>
        </w:rPr>
        <w:t>7.</w:t>
      </w:r>
      <w:r w:rsidRPr="003B6E11">
        <w:rPr>
          <w:lang w:val="cs-CZ"/>
        </w:rPr>
        <w:tab/>
        <w:t>Průniky pro kormidelní pně musí být zhotoveny tak, aby se zabránilo úniku maziv znečišťujících vodu.</w:t>
      </w:r>
    </w:p>
    <w:p w:rsidR="003D32C2" w:rsidRPr="003B6E11" w:rsidRDefault="003D32C2" w:rsidP="00320866">
      <w:pPr>
        <w:pStyle w:val="ESch"/>
        <w:rPr>
          <w:lang w:val="cs-CZ"/>
        </w:rPr>
      </w:pPr>
    </w:p>
    <w:p w:rsidR="003D32C2" w:rsidRPr="003B6E11" w:rsidRDefault="003D32C2" w:rsidP="003D32C2">
      <w:pPr>
        <w:rPr>
          <w:lang w:val="cs-CZ"/>
        </w:rPr>
      </w:pPr>
    </w:p>
    <w:p w:rsidR="003D32C2" w:rsidRPr="003B6E11" w:rsidRDefault="003D32C2" w:rsidP="003D32C2">
      <w:pPr>
        <w:pStyle w:val="ES-Titre3"/>
        <w:rPr>
          <w:lang w:val="cs-CZ"/>
        </w:rPr>
      </w:pPr>
      <w:bookmarkStart w:id="68" w:name="_Toc491854034"/>
      <w:bookmarkStart w:id="69" w:name="_Toc535416940"/>
      <w:r w:rsidRPr="003B6E11">
        <w:rPr>
          <w:lang w:val="cs-CZ"/>
        </w:rPr>
        <w:t>Článek 6.02</w:t>
      </w:r>
      <w:r w:rsidRPr="003B6E11">
        <w:rPr>
          <w:i/>
          <w:noProof/>
          <w:lang w:val="cs-CZ"/>
        </w:rPr>
        <w:br/>
        <w:t>Pohonná jednotka kormidelního stroje</w:t>
      </w:r>
      <w:bookmarkEnd w:id="68"/>
      <w:bookmarkEnd w:id="69"/>
    </w:p>
    <w:p w:rsidR="003D32C2" w:rsidRPr="003B6E11" w:rsidRDefault="003D32C2" w:rsidP="003D32C2">
      <w:pPr>
        <w:rPr>
          <w:lang w:val="cs-CZ"/>
        </w:rPr>
      </w:pPr>
    </w:p>
    <w:p w:rsidR="003D32C2" w:rsidRPr="003B6E11" w:rsidRDefault="003D32C2" w:rsidP="00320866">
      <w:pPr>
        <w:pStyle w:val="ESch"/>
        <w:rPr>
          <w:lang w:val="cs-CZ"/>
        </w:rPr>
      </w:pPr>
      <w:r w:rsidRPr="003B6E11">
        <w:rPr>
          <w:lang w:val="cs-CZ"/>
        </w:rPr>
        <w:t>1.</w:t>
      </w:r>
      <w:r w:rsidRPr="003B6E11">
        <w:rPr>
          <w:lang w:val="cs-CZ"/>
        </w:rPr>
        <w:tab/>
        <w:t>Má-li kormidelní stroj motorovou pohonnou jednotku, musí být vybaven druhou nezávislou pohonnou jednotkou nebo přídavným ručním pohonem. V případě poruchy nebo selhání pohonné jednotky kormidelního zařízení musí být možné začít používat druhou nezávislou pohonnou jednotku nebo ruční pohon do pěti sekund.</w:t>
      </w:r>
    </w:p>
    <w:p w:rsidR="003D32C2" w:rsidRPr="003B6E11" w:rsidRDefault="003D32C2" w:rsidP="00320866">
      <w:pPr>
        <w:pStyle w:val="ESch"/>
        <w:rPr>
          <w:lang w:val="cs-CZ"/>
        </w:rPr>
      </w:pPr>
    </w:p>
    <w:p w:rsidR="003D32C2" w:rsidRPr="003B6E11" w:rsidRDefault="003D32C2" w:rsidP="00320866">
      <w:pPr>
        <w:pStyle w:val="ESch"/>
        <w:rPr>
          <w:lang w:val="cs-CZ"/>
        </w:rPr>
      </w:pPr>
      <w:r w:rsidRPr="003B6E11">
        <w:rPr>
          <w:lang w:val="cs-CZ"/>
        </w:rPr>
        <w:t>2.</w:t>
      </w:r>
      <w:r w:rsidRPr="003B6E11">
        <w:rPr>
          <w:lang w:val="cs-CZ"/>
        </w:rPr>
        <w:tab/>
        <w:t>Nejsou-li druhá pohonná jednotka nebo ruční pohon uváděny do provozu automaticky, musí být možné, aby tak učinil kormidelník neprodleně jediným úkonem, který je jednoduchý a rychlý.</w:t>
      </w:r>
    </w:p>
    <w:p w:rsidR="003D32C2" w:rsidRPr="003B6E11" w:rsidRDefault="003D32C2" w:rsidP="00320866">
      <w:pPr>
        <w:pStyle w:val="ESch"/>
        <w:rPr>
          <w:lang w:val="cs-CZ"/>
        </w:rPr>
      </w:pPr>
    </w:p>
    <w:p w:rsidR="003D32C2" w:rsidRPr="003B6E11" w:rsidRDefault="003D32C2" w:rsidP="00320866">
      <w:pPr>
        <w:pStyle w:val="ESch"/>
        <w:rPr>
          <w:lang w:val="cs-CZ"/>
        </w:rPr>
      </w:pPr>
      <w:r w:rsidRPr="003B6E11">
        <w:rPr>
          <w:lang w:val="cs-CZ"/>
        </w:rPr>
        <w:t>3.</w:t>
      </w:r>
      <w:r w:rsidRPr="003B6E11">
        <w:rPr>
          <w:lang w:val="cs-CZ"/>
        </w:rPr>
        <w:tab/>
        <w:t>Druhá pohonná jednotka nebo ruční pohon musí rovněž zajistit manévrovatelnost požadovanou podle kapitoly 5.</w:t>
      </w:r>
    </w:p>
    <w:p w:rsidR="003D32C2" w:rsidRPr="003B6E11" w:rsidRDefault="003D32C2" w:rsidP="003D32C2">
      <w:pPr>
        <w:rPr>
          <w:lang w:val="cs-CZ"/>
        </w:rPr>
      </w:pPr>
      <w:r w:rsidRPr="003B6E11">
        <w:rPr>
          <w:lang w:val="cs-CZ"/>
        </w:rPr>
        <w:br w:type="page"/>
      </w:r>
    </w:p>
    <w:p w:rsidR="003D32C2" w:rsidRPr="003B6E11" w:rsidRDefault="003D32C2" w:rsidP="003D32C2">
      <w:pPr>
        <w:pStyle w:val="ES-Titre3"/>
        <w:rPr>
          <w:lang w:val="cs-CZ"/>
        </w:rPr>
      </w:pPr>
      <w:bookmarkStart w:id="70" w:name="_Toc491854035"/>
      <w:bookmarkStart w:id="71" w:name="_Toc535416941"/>
      <w:r w:rsidRPr="003B6E11">
        <w:rPr>
          <w:lang w:val="cs-CZ"/>
        </w:rPr>
        <w:t>Článek 6.03</w:t>
      </w:r>
      <w:r w:rsidRPr="003B6E11">
        <w:rPr>
          <w:lang w:val="cs-CZ"/>
        </w:rPr>
        <w:br/>
      </w:r>
      <w:r w:rsidRPr="003B6E11">
        <w:rPr>
          <w:i/>
          <w:noProof/>
          <w:lang w:val="cs-CZ"/>
        </w:rPr>
        <w:t>Hydraulická pohonná jednotka kormidelního stroje</w:t>
      </w:r>
      <w:bookmarkEnd w:id="70"/>
      <w:bookmarkEnd w:id="71"/>
    </w:p>
    <w:p w:rsidR="003D32C2" w:rsidRPr="003B6E11" w:rsidRDefault="003D32C2" w:rsidP="003D32C2">
      <w:pPr>
        <w:rPr>
          <w:lang w:val="cs-CZ"/>
        </w:rPr>
      </w:pPr>
    </w:p>
    <w:p w:rsidR="003D32C2" w:rsidRPr="003B6E11" w:rsidRDefault="003D32C2" w:rsidP="00320866">
      <w:pPr>
        <w:pStyle w:val="ESch"/>
        <w:rPr>
          <w:lang w:val="cs-CZ"/>
        </w:rPr>
      </w:pPr>
      <w:r w:rsidRPr="003B6E11">
        <w:rPr>
          <w:lang w:val="cs-CZ"/>
        </w:rPr>
        <w:t>1.</w:t>
      </w:r>
      <w:r w:rsidRPr="003B6E11">
        <w:rPr>
          <w:lang w:val="cs-CZ"/>
        </w:rPr>
        <w:tab/>
        <w:t>K hydraulické pohonné jednotce kormidelního stroje není dovoleno připojit žádné jiné elektrické spotřebiče.</w:t>
      </w:r>
    </w:p>
    <w:p w:rsidR="003D32C2" w:rsidRPr="003B6E11" w:rsidRDefault="003D32C2" w:rsidP="00320866">
      <w:pPr>
        <w:pStyle w:val="ESch"/>
        <w:rPr>
          <w:noProof/>
          <w:lang w:val="cs-CZ"/>
        </w:rPr>
      </w:pPr>
    </w:p>
    <w:p w:rsidR="003D32C2" w:rsidRPr="003B6E11" w:rsidRDefault="003D32C2" w:rsidP="00320866">
      <w:pPr>
        <w:pStyle w:val="ESch"/>
        <w:rPr>
          <w:lang w:val="cs-CZ"/>
        </w:rPr>
      </w:pPr>
      <w:r w:rsidRPr="003B6E11">
        <w:rPr>
          <w:lang w:val="cs-CZ"/>
        </w:rPr>
        <w:t>2.</w:t>
      </w:r>
      <w:r w:rsidRPr="003B6E11">
        <w:rPr>
          <w:lang w:val="cs-CZ"/>
        </w:rPr>
        <w:tab/>
        <w:t>Hydraulické nádrže jsou vybaveny výstražným systémem, který sleduje pokles hladiny oleje pod nejnižší přípustnou úroveň potřebnou pro bezpečný provoz.</w:t>
      </w:r>
    </w:p>
    <w:p w:rsidR="003D32C2" w:rsidRPr="003B6E11" w:rsidRDefault="003D32C2" w:rsidP="00320866">
      <w:pPr>
        <w:pStyle w:val="ESch"/>
        <w:rPr>
          <w:lang w:val="cs-CZ"/>
        </w:rPr>
      </w:pPr>
    </w:p>
    <w:p w:rsidR="003D32C2" w:rsidRPr="003B6E11" w:rsidRDefault="003D32C2" w:rsidP="00320866">
      <w:pPr>
        <w:pStyle w:val="ESch"/>
        <w:rPr>
          <w:lang w:val="cs-CZ"/>
        </w:rPr>
      </w:pPr>
      <w:r w:rsidRPr="003B6E11">
        <w:rPr>
          <w:lang w:val="cs-CZ"/>
        </w:rPr>
        <w:t>3.</w:t>
      </w:r>
      <w:r w:rsidRPr="003B6E11">
        <w:rPr>
          <w:lang w:val="cs-CZ"/>
        </w:rPr>
        <w:tab/>
        <w:t>Rozměry, konstrukce a uspořádání potrubí musí pokud možno vyloučit mechanické poškození nebo poškození následkem požáru.</w:t>
      </w:r>
    </w:p>
    <w:p w:rsidR="003D32C2" w:rsidRPr="003B6E11" w:rsidRDefault="003D32C2" w:rsidP="00320866">
      <w:pPr>
        <w:pStyle w:val="ESch"/>
        <w:rPr>
          <w:noProof/>
          <w:lang w:val="cs-CZ"/>
        </w:rPr>
      </w:pPr>
    </w:p>
    <w:p w:rsidR="003D32C2" w:rsidRPr="003B6E11" w:rsidRDefault="003D32C2" w:rsidP="00320866">
      <w:pPr>
        <w:pStyle w:val="ESch"/>
        <w:rPr>
          <w:lang w:val="cs-CZ"/>
        </w:rPr>
      </w:pPr>
      <w:r w:rsidRPr="003B6E11">
        <w:rPr>
          <w:lang w:val="cs-CZ"/>
        </w:rPr>
        <w:t>4.</w:t>
      </w:r>
      <w:r w:rsidRPr="003B6E11">
        <w:rPr>
          <w:lang w:val="cs-CZ"/>
        </w:rPr>
        <w:tab/>
        <w:t>Hydraulické hadice:</w:t>
      </w:r>
    </w:p>
    <w:p w:rsidR="003D32C2" w:rsidRPr="003B6E11" w:rsidRDefault="005C7859" w:rsidP="00553616">
      <w:pPr>
        <w:pStyle w:val="ESlet"/>
        <w:rPr>
          <w:lang w:val="cs-CZ"/>
        </w:rPr>
      </w:pPr>
      <w:r w:rsidRPr="003B6E11">
        <w:rPr>
          <w:lang w:val="cs-CZ"/>
        </w:rPr>
        <w:t>a)</w:t>
      </w:r>
      <w:r w:rsidRPr="003B6E11">
        <w:rPr>
          <w:lang w:val="cs-CZ"/>
        </w:rPr>
        <w:tab/>
        <w:t>jsou přípustné pouze tehdy, jsou-li nezbytné k pohlcování vibrací nebo volnému pohybu konstrukčních prvků;</w:t>
      </w:r>
    </w:p>
    <w:p w:rsidR="003D32C2" w:rsidRPr="003B6E11" w:rsidRDefault="005C7859" w:rsidP="00553616">
      <w:pPr>
        <w:pStyle w:val="ESlet"/>
        <w:rPr>
          <w:lang w:val="cs-CZ"/>
        </w:rPr>
      </w:pPr>
      <w:r w:rsidRPr="003B6E11">
        <w:rPr>
          <w:lang w:val="cs-CZ"/>
        </w:rPr>
        <w:t>b)</w:t>
      </w:r>
      <w:r w:rsidRPr="003B6E11">
        <w:rPr>
          <w:lang w:val="cs-CZ"/>
        </w:rPr>
        <w:tab/>
        <w:t>musí být navrženy nejméně pro maximální provozní tlak;</w:t>
      </w:r>
    </w:p>
    <w:p w:rsidR="003D32C2" w:rsidRPr="003B6E11" w:rsidRDefault="005C7859" w:rsidP="00553616">
      <w:pPr>
        <w:pStyle w:val="ESlet"/>
        <w:rPr>
          <w:lang w:val="cs-CZ"/>
        </w:rPr>
      </w:pPr>
      <w:r w:rsidRPr="003B6E11">
        <w:rPr>
          <w:lang w:val="cs-CZ"/>
        </w:rPr>
        <w:t>c)</w:t>
      </w:r>
      <w:r w:rsidRPr="003B6E11">
        <w:rPr>
          <w:lang w:val="cs-CZ"/>
        </w:rPr>
        <w:tab/>
        <w:t>musí být alespoň jednou za osm let vyměněny za nové.</w:t>
      </w:r>
    </w:p>
    <w:p w:rsidR="003D32C2" w:rsidRPr="003B6E11" w:rsidRDefault="003D32C2" w:rsidP="003D32C2">
      <w:pPr>
        <w:rPr>
          <w:lang w:val="cs-CZ"/>
        </w:rPr>
      </w:pPr>
    </w:p>
    <w:p w:rsidR="003D32C2" w:rsidRPr="003B6E11" w:rsidRDefault="003D32C2" w:rsidP="00320866">
      <w:pPr>
        <w:pStyle w:val="ESch"/>
        <w:rPr>
          <w:lang w:val="cs-CZ"/>
        </w:rPr>
      </w:pPr>
      <w:r w:rsidRPr="003B6E11">
        <w:rPr>
          <w:lang w:val="cs-CZ"/>
        </w:rPr>
        <w:t>5.</w:t>
      </w:r>
      <w:r w:rsidRPr="003B6E11">
        <w:rPr>
          <w:lang w:val="cs-CZ"/>
        </w:rPr>
        <w:tab/>
        <w:t>Hydraulické válce, hydraulická čerpadla, hydromotory a elektromotory musí být nejméně jednou za osm let prohlédnuty odbornou firmou a v případě potřeby opraveny.</w:t>
      </w:r>
    </w:p>
    <w:p w:rsidR="003D32C2" w:rsidRPr="003B6E11" w:rsidRDefault="003D32C2" w:rsidP="003D32C2">
      <w:pPr>
        <w:rPr>
          <w:lang w:val="cs-CZ"/>
        </w:rPr>
      </w:pPr>
    </w:p>
    <w:p w:rsidR="003D32C2" w:rsidRPr="003B6E11" w:rsidRDefault="003D32C2" w:rsidP="00B079AF">
      <w:pPr>
        <w:rPr>
          <w:lang w:val="cs-CZ"/>
        </w:rPr>
      </w:pPr>
    </w:p>
    <w:p w:rsidR="003D32C2" w:rsidRPr="003B6E11" w:rsidRDefault="003D32C2" w:rsidP="003D32C2">
      <w:pPr>
        <w:pStyle w:val="ES-Titre3"/>
        <w:rPr>
          <w:lang w:val="cs-CZ"/>
        </w:rPr>
      </w:pPr>
      <w:bookmarkStart w:id="72" w:name="_Toc491854036"/>
      <w:bookmarkStart w:id="73" w:name="_Toc535416942"/>
      <w:r w:rsidRPr="003B6E11">
        <w:rPr>
          <w:lang w:val="cs-CZ"/>
        </w:rPr>
        <w:t>Článek 6.04</w:t>
      </w:r>
      <w:r w:rsidRPr="003B6E11">
        <w:rPr>
          <w:lang w:val="cs-CZ"/>
        </w:rPr>
        <w:br/>
      </w:r>
      <w:r w:rsidRPr="003B6E11">
        <w:rPr>
          <w:i/>
          <w:lang w:val="cs-CZ"/>
        </w:rPr>
        <w:t>Zdroj energie</w:t>
      </w:r>
      <w:bookmarkEnd w:id="72"/>
      <w:bookmarkEnd w:id="73"/>
    </w:p>
    <w:p w:rsidR="003D32C2" w:rsidRPr="003B6E11" w:rsidRDefault="003D32C2" w:rsidP="003D32C2">
      <w:pPr>
        <w:rPr>
          <w:lang w:val="cs-CZ"/>
        </w:rPr>
      </w:pPr>
    </w:p>
    <w:p w:rsidR="003D32C2" w:rsidRPr="003B6E11" w:rsidRDefault="003D32C2" w:rsidP="00320866">
      <w:pPr>
        <w:pStyle w:val="ESch"/>
        <w:rPr>
          <w:lang w:val="cs-CZ"/>
        </w:rPr>
      </w:pPr>
      <w:r w:rsidRPr="003B6E11">
        <w:rPr>
          <w:lang w:val="cs-CZ"/>
        </w:rPr>
        <w:t>1.</w:t>
      </w:r>
      <w:r w:rsidRPr="003B6E11">
        <w:rPr>
          <w:lang w:val="cs-CZ"/>
        </w:rPr>
        <w:tab/>
        <w:t>Kormidelní zařízení se dvěma motorovými pohonnými jednotkami musí mít nejméně dva zdroje energie.</w:t>
      </w:r>
    </w:p>
    <w:p w:rsidR="003D32C2" w:rsidRPr="003B6E11" w:rsidRDefault="003D32C2" w:rsidP="00320866">
      <w:pPr>
        <w:pStyle w:val="ESch"/>
        <w:rPr>
          <w:lang w:val="cs-CZ"/>
        </w:rPr>
      </w:pPr>
    </w:p>
    <w:p w:rsidR="003D32C2" w:rsidRPr="003B6E11" w:rsidRDefault="003D32C2" w:rsidP="00320866">
      <w:pPr>
        <w:pStyle w:val="ESch"/>
        <w:rPr>
          <w:lang w:val="cs-CZ"/>
        </w:rPr>
      </w:pPr>
      <w:r w:rsidRPr="003B6E11">
        <w:rPr>
          <w:lang w:val="cs-CZ"/>
        </w:rPr>
        <w:t>2.</w:t>
      </w:r>
      <w:r w:rsidRPr="003B6E11">
        <w:rPr>
          <w:lang w:val="cs-CZ"/>
        </w:rPr>
        <w:tab/>
        <w:t>Není-li druhý zdroj energie pro motorovou pohonnou jednotku během plavby trvale k dispozici, musí být po dobu potřebnou k jeho nastartování zajištěn vyrovnávací systém s dostatečnou kapacitou.</w:t>
      </w:r>
    </w:p>
    <w:p w:rsidR="003D32C2" w:rsidRPr="003B6E11" w:rsidRDefault="003D32C2" w:rsidP="00320866">
      <w:pPr>
        <w:pStyle w:val="ESch"/>
        <w:rPr>
          <w:lang w:val="cs-CZ"/>
        </w:rPr>
      </w:pPr>
    </w:p>
    <w:p w:rsidR="003D32C2" w:rsidRPr="003B6E11" w:rsidRDefault="003D32C2" w:rsidP="00320866">
      <w:pPr>
        <w:pStyle w:val="ESch"/>
        <w:rPr>
          <w:lang w:val="cs-CZ"/>
        </w:rPr>
      </w:pPr>
      <w:r w:rsidRPr="003B6E11">
        <w:rPr>
          <w:lang w:val="cs-CZ"/>
        </w:rPr>
        <w:t>3.</w:t>
      </w:r>
      <w:r w:rsidRPr="003B6E11">
        <w:rPr>
          <w:lang w:val="cs-CZ"/>
        </w:rPr>
        <w:tab/>
        <w:t>Co se týče zdrojů elektrické energie, nesmějí být z hlavního zdroje pro kormidelní zařízení napájeny žádné jiné elektrické spotřebiče.</w:t>
      </w:r>
    </w:p>
    <w:p w:rsidR="003D32C2" w:rsidRPr="003B6E11" w:rsidRDefault="003D32C2" w:rsidP="003D32C2">
      <w:pPr>
        <w:rPr>
          <w:lang w:val="cs-CZ"/>
        </w:rPr>
      </w:pPr>
    </w:p>
    <w:p w:rsidR="003D32C2" w:rsidRPr="003B6E11" w:rsidRDefault="003D32C2" w:rsidP="003D32C2">
      <w:pPr>
        <w:rPr>
          <w:lang w:val="cs-CZ"/>
        </w:rPr>
      </w:pPr>
    </w:p>
    <w:p w:rsidR="003D32C2" w:rsidRPr="003B6E11" w:rsidRDefault="003D32C2" w:rsidP="003D32C2">
      <w:pPr>
        <w:pStyle w:val="ES-Titre3"/>
        <w:rPr>
          <w:lang w:val="cs-CZ"/>
        </w:rPr>
      </w:pPr>
      <w:bookmarkStart w:id="74" w:name="_Toc491854037"/>
      <w:bookmarkStart w:id="75" w:name="_Toc535416943"/>
      <w:r w:rsidRPr="003B6E11">
        <w:rPr>
          <w:lang w:val="cs-CZ"/>
        </w:rPr>
        <w:t>Článek 6.05</w:t>
      </w:r>
      <w:r w:rsidRPr="003B6E11">
        <w:rPr>
          <w:lang w:val="cs-CZ"/>
        </w:rPr>
        <w:br/>
      </w:r>
      <w:r w:rsidRPr="003B6E11">
        <w:rPr>
          <w:i/>
          <w:lang w:val="cs-CZ"/>
        </w:rPr>
        <w:t>Ruční pohon</w:t>
      </w:r>
      <w:bookmarkEnd w:id="74"/>
      <w:bookmarkEnd w:id="75"/>
    </w:p>
    <w:p w:rsidR="003D32C2" w:rsidRPr="003B6E11" w:rsidRDefault="003D32C2" w:rsidP="003D32C2">
      <w:pPr>
        <w:rPr>
          <w:lang w:val="cs-CZ"/>
        </w:rPr>
      </w:pPr>
    </w:p>
    <w:p w:rsidR="003D32C2" w:rsidRPr="003B6E11" w:rsidRDefault="003D32C2" w:rsidP="00320866">
      <w:pPr>
        <w:pStyle w:val="ESch"/>
        <w:rPr>
          <w:lang w:val="cs-CZ"/>
        </w:rPr>
      </w:pPr>
      <w:r w:rsidRPr="003B6E11">
        <w:rPr>
          <w:lang w:val="cs-CZ"/>
        </w:rPr>
        <w:t>1.</w:t>
      </w:r>
      <w:r w:rsidRPr="003B6E11">
        <w:rPr>
          <w:lang w:val="cs-CZ"/>
        </w:rPr>
        <w:tab/>
        <w:t>Kormidelní kolo ručního pohonu nesmí být poháněno motorovou pohonnou jednotkou.</w:t>
      </w:r>
    </w:p>
    <w:p w:rsidR="003D32C2" w:rsidRPr="003B6E11" w:rsidRDefault="003D32C2" w:rsidP="00320866">
      <w:pPr>
        <w:pStyle w:val="ESch"/>
        <w:rPr>
          <w:lang w:val="cs-CZ"/>
        </w:rPr>
      </w:pPr>
    </w:p>
    <w:p w:rsidR="003D32C2" w:rsidRPr="003B6E11" w:rsidRDefault="003D32C2" w:rsidP="00320866">
      <w:pPr>
        <w:pStyle w:val="ESch"/>
        <w:rPr>
          <w:lang w:val="cs-CZ"/>
        </w:rPr>
      </w:pPr>
      <w:r w:rsidRPr="003B6E11">
        <w:rPr>
          <w:lang w:val="cs-CZ"/>
        </w:rPr>
        <w:t>2.</w:t>
      </w:r>
      <w:r w:rsidRPr="003B6E11">
        <w:rPr>
          <w:lang w:val="cs-CZ"/>
        </w:rPr>
        <w:tab/>
        <w:t>Bez ohledu na polohu kormidla musí být při automatickém zapnutí ručního pohonu zabráněno zpětnému rázu kormidelního kola.</w:t>
      </w:r>
    </w:p>
    <w:p w:rsidR="003D32C2" w:rsidRPr="003B6E11" w:rsidRDefault="003D32C2" w:rsidP="003D32C2">
      <w:pPr>
        <w:pStyle w:val="ES-Titre3"/>
        <w:rPr>
          <w:lang w:val="cs-CZ"/>
        </w:rPr>
      </w:pPr>
      <w:r w:rsidRPr="003B6E11">
        <w:rPr>
          <w:lang w:val="cs-CZ"/>
        </w:rPr>
        <w:br w:type="page"/>
      </w:r>
    </w:p>
    <w:p w:rsidR="003D32C2" w:rsidRPr="003B6E11" w:rsidRDefault="003D32C2" w:rsidP="003D32C2">
      <w:pPr>
        <w:pStyle w:val="ES-Titre3"/>
        <w:rPr>
          <w:i/>
          <w:lang w:val="cs-CZ"/>
        </w:rPr>
      </w:pPr>
      <w:bookmarkStart w:id="76" w:name="_Toc491854038"/>
      <w:bookmarkStart w:id="77" w:name="_Toc535416944"/>
      <w:r w:rsidRPr="003B6E11">
        <w:rPr>
          <w:lang w:val="cs-CZ"/>
        </w:rPr>
        <w:t>Článek 6.06</w:t>
      </w:r>
      <w:r w:rsidRPr="003B6E11">
        <w:rPr>
          <w:lang w:val="cs-CZ"/>
        </w:rPr>
        <w:br/>
      </w:r>
      <w:r w:rsidRPr="003B6E11">
        <w:rPr>
          <w:i/>
          <w:noProof/>
          <w:lang w:val="cs-CZ"/>
        </w:rPr>
        <w:t>Zařízení kormidlovacích lodních vrtulí, vodometů a cykloidních (Voith-Schneider) lodních vrtulí a příďová dokormidlovací zařízení</w:t>
      </w:r>
      <w:bookmarkEnd w:id="76"/>
      <w:bookmarkEnd w:id="77"/>
    </w:p>
    <w:p w:rsidR="003D32C2" w:rsidRPr="003B6E11" w:rsidRDefault="003D32C2" w:rsidP="003D32C2">
      <w:pPr>
        <w:rPr>
          <w:lang w:val="cs-CZ"/>
        </w:rPr>
      </w:pPr>
    </w:p>
    <w:p w:rsidR="003D32C2" w:rsidRPr="003B6E11" w:rsidRDefault="003D32C2" w:rsidP="00320866">
      <w:pPr>
        <w:pStyle w:val="ESch"/>
        <w:rPr>
          <w:lang w:val="cs-CZ"/>
        </w:rPr>
      </w:pPr>
      <w:r w:rsidRPr="003B6E11">
        <w:rPr>
          <w:lang w:val="cs-CZ"/>
        </w:rPr>
        <w:t>1.</w:t>
      </w:r>
      <w:r w:rsidRPr="003B6E11">
        <w:rPr>
          <w:lang w:val="cs-CZ"/>
        </w:rPr>
        <w:tab/>
        <w:t>Je-li dálkové ovládání ke změně směru u zařízení kormidlovacích lodních vrtulí, vodometů, cykloidních (Voith-Schneider) lodních vrtulí nebo příďového dokormidlovacího zařízení elektrické, hydraulické nebo pneumatické, musí být v chodu dva navzájem nezávislé ovládací prvky řízení mezi kormidelnou a lodní vrtulí nebo příďovým dokormidlovacím zařízením, které přiměřeně splňují požadavky článků 6.01 až 6.05.</w:t>
      </w:r>
    </w:p>
    <w:p w:rsidR="003D32C2" w:rsidRPr="003B6E11" w:rsidRDefault="003D32C2" w:rsidP="003D32C2">
      <w:pPr>
        <w:rPr>
          <w:lang w:val="cs-CZ"/>
        </w:rPr>
      </w:pPr>
    </w:p>
    <w:p w:rsidR="003D32C2" w:rsidRPr="003B6E11" w:rsidRDefault="003D32C2" w:rsidP="00320866">
      <w:pPr>
        <w:pStyle w:val="ESchpar"/>
        <w:rPr>
          <w:lang w:val="cs-CZ"/>
        </w:rPr>
      </w:pPr>
      <w:r w:rsidRPr="003B6E11">
        <w:rPr>
          <w:lang w:val="cs-CZ"/>
        </w:rPr>
        <w:t>Tento odstavec se na uvedená zařízení nevztahuje, nejsou-li zapotřebí k dosažení manévrovatelnosti požadované podle kapitoly 5 nebo nejsou-li nezbytné ke zkoušce schopnosti zastavení.</w:t>
      </w:r>
    </w:p>
    <w:p w:rsidR="003D32C2" w:rsidRPr="003B6E11" w:rsidRDefault="003D32C2" w:rsidP="003D32C2">
      <w:pPr>
        <w:rPr>
          <w:lang w:val="cs-CZ"/>
        </w:rPr>
      </w:pPr>
    </w:p>
    <w:p w:rsidR="003D32C2" w:rsidRPr="003B6E11" w:rsidRDefault="003D32C2" w:rsidP="00320866">
      <w:pPr>
        <w:pStyle w:val="ESch"/>
        <w:rPr>
          <w:lang w:val="cs-CZ"/>
        </w:rPr>
      </w:pPr>
      <w:r w:rsidRPr="003B6E11">
        <w:rPr>
          <w:lang w:val="cs-CZ"/>
        </w:rPr>
        <w:t>2.</w:t>
      </w:r>
      <w:r w:rsidRPr="003B6E11">
        <w:rPr>
          <w:lang w:val="cs-CZ"/>
        </w:rPr>
        <w:tab/>
        <w:t>Existují-li dvě nebo více na sobě nezávislé kormidlovací lodní vrtule, vodomety, cykloidní (Voith-Schneider) lodní vrtule nebo příďová dokormidlovací zařízení, není druhý ovládací systém nutný, je-li při poruše jednoho zařízení u lodi zachována manévrovatelnost požadovaná podle kapitoly 5.</w:t>
      </w:r>
    </w:p>
    <w:p w:rsidR="003D32C2" w:rsidRPr="003B6E11" w:rsidRDefault="003D32C2" w:rsidP="003D32C2">
      <w:pPr>
        <w:rPr>
          <w:lang w:val="cs-CZ"/>
        </w:rPr>
      </w:pPr>
    </w:p>
    <w:p w:rsidR="003D32C2" w:rsidRPr="003B6E11" w:rsidRDefault="003D32C2" w:rsidP="003D32C2">
      <w:pPr>
        <w:rPr>
          <w:lang w:val="cs-CZ"/>
        </w:rPr>
      </w:pPr>
    </w:p>
    <w:p w:rsidR="003D32C2" w:rsidRPr="003B6E11" w:rsidRDefault="003D32C2" w:rsidP="003D32C2">
      <w:pPr>
        <w:pStyle w:val="ES-Titre3"/>
        <w:rPr>
          <w:lang w:val="cs-CZ"/>
        </w:rPr>
      </w:pPr>
      <w:bookmarkStart w:id="78" w:name="_Toc491854039"/>
      <w:bookmarkStart w:id="79" w:name="_Toc535416945"/>
      <w:r w:rsidRPr="003B6E11">
        <w:rPr>
          <w:lang w:val="cs-CZ"/>
        </w:rPr>
        <w:t>Článek 6.07</w:t>
      </w:r>
      <w:r w:rsidRPr="003B6E11">
        <w:rPr>
          <w:lang w:val="cs-CZ"/>
        </w:rPr>
        <w:br/>
      </w:r>
      <w:r w:rsidRPr="003B6E11">
        <w:rPr>
          <w:i/>
          <w:noProof/>
          <w:lang w:val="cs-CZ"/>
        </w:rPr>
        <w:t>Ukazatele a kontrolní zařízení</w:t>
      </w:r>
      <w:bookmarkEnd w:id="78"/>
      <w:bookmarkEnd w:id="79"/>
    </w:p>
    <w:p w:rsidR="003D32C2" w:rsidRPr="003B6E11" w:rsidRDefault="003D32C2" w:rsidP="003D32C2">
      <w:pPr>
        <w:rPr>
          <w:lang w:val="cs-CZ"/>
        </w:rPr>
      </w:pPr>
    </w:p>
    <w:p w:rsidR="003D32C2" w:rsidRPr="003B6E11" w:rsidRDefault="003D32C2" w:rsidP="00320866">
      <w:pPr>
        <w:pStyle w:val="ESch"/>
        <w:rPr>
          <w:lang w:val="cs-CZ"/>
        </w:rPr>
      </w:pPr>
      <w:r w:rsidRPr="003B6E11">
        <w:rPr>
          <w:lang w:val="cs-CZ"/>
        </w:rPr>
        <w:t>1.</w:t>
      </w:r>
      <w:r w:rsidRPr="003B6E11">
        <w:rPr>
          <w:lang w:val="cs-CZ"/>
        </w:rPr>
        <w:tab/>
        <w:t>Poloha kormidla musí být jasně patrná z ovládacího stanoviště. Je-li ukazatel polohy kormidla elektrický, musí mít vlastní napájení.</w:t>
      </w:r>
    </w:p>
    <w:p w:rsidR="003D32C2" w:rsidRPr="003B6E11" w:rsidRDefault="003D32C2" w:rsidP="00320866">
      <w:pPr>
        <w:pStyle w:val="ESch"/>
        <w:rPr>
          <w:lang w:val="cs-CZ"/>
        </w:rPr>
      </w:pPr>
    </w:p>
    <w:p w:rsidR="003D32C2" w:rsidRPr="003B6E11" w:rsidRDefault="003D32C2" w:rsidP="00320866">
      <w:pPr>
        <w:pStyle w:val="ESch"/>
        <w:rPr>
          <w:lang w:val="cs-CZ"/>
        </w:rPr>
      </w:pPr>
      <w:r w:rsidRPr="003B6E11">
        <w:rPr>
          <w:lang w:val="cs-CZ"/>
        </w:rPr>
        <w:t>2.</w:t>
      </w:r>
      <w:r w:rsidRPr="003B6E11">
        <w:rPr>
          <w:lang w:val="cs-CZ"/>
        </w:rPr>
        <w:tab/>
        <w:t>Na ovládacím stanovišti musí být optický a akustický poplašný systém, který signalizuje:</w:t>
      </w:r>
    </w:p>
    <w:p w:rsidR="003D32C2" w:rsidRPr="003B6E11" w:rsidRDefault="005C7859" w:rsidP="00320866">
      <w:pPr>
        <w:pStyle w:val="ESlet"/>
        <w:rPr>
          <w:lang w:val="cs-CZ"/>
        </w:rPr>
      </w:pPr>
      <w:r w:rsidRPr="003B6E11">
        <w:rPr>
          <w:lang w:val="cs-CZ"/>
        </w:rPr>
        <w:t>a)</w:t>
      </w:r>
      <w:r w:rsidRPr="003B6E11">
        <w:rPr>
          <w:lang w:val="cs-CZ"/>
        </w:rPr>
        <w:tab/>
        <w:t>pokles hladiny oleje v hydraulických nádržích pod nejnižší přípustnou úroveň v souladu s čl. 6.03 odst. 2 a pokles provozního tlaku v hydraulické soustavě;</w:t>
      </w:r>
    </w:p>
    <w:p w:rsidR="003D32C2" w:rsidRPr="003B6E11" w:rsidRDefault="005C7859" w:rsidP="00320866">
      <w:pPr>
        <w:pStyle w:val="ESlet"/>
        <w:rPr>
          <w:lang w:val="cs-CZ"/>
        </w:rPr>
      </w:pPr>
      <w:r w:rsidRPr="003B6E11">
        <w:rPr>
          <w:lang w:val="cs-CZ"/>
        </w:rPr>
        <w:t>b)</w:t>
      </w:r>
      <w:r w:rsidRPr="003B6E11">
        <w:rPr>
          <w:lang w:val="cs-CZ"/>
        </w:rPr>
        <w:tab/>
        <w:t>výpadek napájení ovládacího prvku řízení;</w:t>
      </w:r>
    </w:p>
    <w:p w:rsidR="003D32C2" w:rsidRPr="003B6E11" w:rsidRDefault="005C7859" w:rsidP="00320866">
      <w:pPr>
        <w:pStyle w:val="ESlet"/>
        <w:rPr>
          <w:lang w:val="cs-CZ"/>
        </w:rPr>
      </w:pPr>
      <w:r w:rsidRPr="003B6E11">
        <w:rPr>
          <w:lang w:val="cs-CZ"/>
        </w:rPr>
        <w:t>c)</w:t>
      </w:r>
      <w:r w:rsidRPr="003B6E11">
        <w:rPr>
          <w:lang w:val="cs-CZ"/>
        </w:rPr>
        <w:tab/>
        <w:t>výpadek napájení pohonných jednotek;</w:t>
      </w:r>
    </w:p>
    <w:p w:rsidR="003D32C2" w:rsidRPr="003B6E11" w:rsidRDefault="003D32C2" w:rsidP="00320866">
      <w:pPr>
        <w:pStyle w:val="ESlet"/>
        <w:rPr>
          <w:lang w:val="cs-CZ"/>
        </w:rPr>
      </w:pPr>
      <w:r w:rsidRPr="003B6E11">
        <w:rPr>
          <w:lang w:val="cs-CZ"/>
        </w:rPr>
        <w:t>d)</w:t>
      </w:r>
      <w:r w:rsidRPr="003B6E11">
        <w:rPr>
          <w:lang w:val="cs-CZ"/>
        </w:rPr>
        <w:tab/>
        <w:t>poruchu regulátoru rychlosti otáčení;</w:t>
      </w:r>
    </w:p>
    <w:p w:rsidR="003D32C2" w:rsidRPr="003B6E11" w:rsidRDefault="003D32C2" w:rsidP="00320866">
      <w:pPr>
        <w:pStyle w:val="ESlet"/>
        <w:rPr>
          <w:lang w:val="cs-CZ"/>
        </w:rPr>
      </w:pPr>
      <w:r w:rsidRPr="003B6E11">
        <w:rPr>
          <w:lang w:val="cs-CZ"/>
        </w:rPr>
        <w:t>e)</w:t>
      </w:r>
      <w:r w:rsidRPr="003B6E11">
        <w:rPr>
          <w:lang w:val="cs-CZ"/>
        </w:rPr>
        <w:tab/>
        <w:t>poruchu předepsaných vyrovnávacích systémů.</w:t>
      </w:r>
    </w:p>
    <w:p w:rsidR="003D32C2" w:rsidRPr="003B6E11" w:rsidRDefault="003D32C2" w:rsidP="003D32C2">
      <w:pPr>
        <w:rPr>
          <w:lang w:val="cs-CZ"/>
        </w:rPr>
      </w:pPr>
    </w:p>
    <w:p w:rsidR="008A407A" w:rsidRPr="003B6E11" w:rsidRDefault="008A407A" w:rsidP="003D32C2">
      <w:pPr>
        <w:rPr>
          <w:lang w:val="cs-CZ"/>
        </w:rPr>
      </w:pPr>
    </w:p>
    <w:p w:rsidR="003D32C2" w:rsidRPr="003B6E11" w:rsidRDefault="003D32C2" w:rsidP="003D32C2">
      <w:pPr>
        <w:pStyle w:val="ES-Titre3"/>
        <w:rPr>
          <w:i/>
          <w:lang w:val="cs-CZ"/>
        </w:rPr>
      </w:pPr>
      <w:bookmarkStart w:id="80" w:name="_Toc491854040"/>
      <w:bookmarkStart w:id="81" w:name="_Toc535416946"/>
      <w:r w:rsidRPr="003B6E11">
        <w:rPr>
          <w:lang w:val="cs-CZ"/>
        </w:rPr>
        <w:t>Článek 6.08</w:t>
      </w:r>
      <w:r w:rsidRPr="003B6E11">
        <w:rPr>
          <w:lang w:val="cs-CZ"/>
        </w:rPr>
        <w:br/>
      </w:r>
      <w:r w:rsidRPr="003B6E11">
        <w:rPr>
          <w:i/>
          <w:noProof/>
          <w:lang w:val="cs-CZ"/>
        </w:rPr>
        <w:t>Regulátory rychlosti otáčení</w:t>
      </w:r>
      <w:bookmarkEnd w:id="80"/>
      <w:bookmarkEnd w:id="81"/>
    </w:p>
    <w:p w:rsidR="008A407A" w:rsidRPr="003B6E11" w:rsidRDefault="008A407A" w:rsidP="00320866">
      <w:pPr>
        <w:pStyle w:val="ESch"/>
        <w:rPr>
          <w:lang w:val="cs-CZ"/>
        </w:rPr>
      </w:pPr>
    </w:p>
    <w:p w:rsidR="003D32C2" w:rsidRPr="003B6E11" w:rsidRDefault="003D32C2" w:rsidP="00320866">
      <w:pPr>
        <w:pStyle w:val="ESch"/>
        <w:rPr>
          <w:lang w:val="cs-CZ"/>
        </w:rPr>
      </w:pPr>
      <w:r w:rsidRPr="003B6E11">
        <w:rPr>
          <w:lang w:val="cs-CZ"/>
        </w:rPr>
        <w:t>1.</w:t>
      </w:r>
      <w:r w:rsidRPr="003B6E11">
        <w:rPr>
          <w:lang w:val="cs-CZ"/>
        </w:rPr>
        <w:tab/>
        <w:t>Regulátory rychlosti otáčení a jejich součásti musí splňovat požadavky článku 10.20.</w:t>
      </w:r>
    </w:p>
    <w:p w:rsidR="003D32C2" w:rsidRPr="003B6E11" w:rsidRDefault="003D32C2" w:rsidP="00320866">
      <w:pPr>
        <w:pStyle w:val="ESch"/>
        <w:rPr>
          <w:lang w:val="cs-CZ"/>
        </w:rPr>
      </w:pPr>
    </w:p>
    <w:p w:rsidR="003D32C2" w:rsidRPr="003B6E11" w:rsidRDefault="003D32C2" w:rsidP="00320866">
      <w:pPr>
        <w:pStyle w:val="ESch"/>
        <w:rPr>
          <w:lang w:val="cs-CZ"/>
        </w:rPr>
      </w:pPr>
      <w:r w:rsidRPr="003B6E11">
        <w:rPr>
          <w:lang w:val="cs-CZ"/>
        </w:rPr>
        <w:t>2.</w:t>
      </w:r>
      <w:r w:rsidRPr="003B6E11">
        <w:rPr>
          <w:lang w:val="cs-CZ"/>
        </w:rPr>
        <w:tab/>
        <w:t>Správná funkce regulátoru rychlosti otáčení se zobrazuje na ovládacím stanovišti pomocí zelené kontrolky.</w:t>
      </w:r>
    </w:p>
    <w:p w:rsidR="003D32C2" w:rsidRPr="003B6E11" w:rsidRDefault="003D32C2" w:rsidP="003D32C2">
      <w:pPr>
        <w:rPr>
          <w:lang w:val="cs-CZ"/>
        </w:rPr>
      </w:pPr>
    </w:p>
    <w:p w:rsidR="003D32C2" w:rsidRPr="003B6E11" w:rsidRDefault="003D32C2" w:rsidP="00320866">
      <w:pPr>
        <w:pStyle w:val="ESchpar"/>
        <w:rPr>
          <w:lang w:val="cs-CZ"/>
        </w:rPr>
      </w:pPr>
      <w:r w:rsidRPr="003B6E11">
        <w:rPr>
          <w:lang w:val="cs-CZ"/>
        </w:rPr>
        <w:t>Je nutno sledovat výpadek napájecího napětí nebo jeho nepřípustné kolísání a nepřípustné snížení rychlosti otáčení gyroskopu.</w:t>
      </w:r>
    </w:p>
    <w:p w:rsidR="003D32C2" w:rsidRPr="003B6E11" w:rsidRDefault="003D32C2" w:rsidP="003D32C2">
      <w:pPr>
        <w:rPr>
          <w:lang w:val="cs-CZ"/>
        </w:rPr>
      </w:pPr>
      <w:r w:rsidRPr="003B6E11">
        <w:rPr>
          <w:lang w:val="cs-CZ"/>
        </w:rPr>
        <w:br w:type="page"/>
      </w:r>
    </w:p>
    <w:p w:rsidR="003D32C2" w:rsidRPr="003B6E11" w:rsidRDefault="003D32C2" w:rsidP="008A407A">
      <w:pPr>
        <w:pStyle w:val="ESch"/>
        <w:rPr>
          <w:lang w:val="cs-CZ"/>
        </w:rPr>
      </w:pPr>
      <w:r w:rsidRPr="003B6E11">
        <w:rPr>
          <w:lang w:val="cs-CZ"/>
        </w:rPr>
        <w:t>3.</w:t>
      </w:r>
      <w:r w:rsidRPr="003B6E11">
        <w:rPr>
          <w:lang w:val="cs-CZ"/>
        </w:rPr>
        <w:tab/>
        <w:t>Existují-li kromě regulátoru rychlosti otáčení i jiná kormidelní zařízení, musí být možné z ovládacího stanoviště jednoznačně rozlišit, které z těchto zařízení je zapnuto. Musí být možné přepnout neprodleně z jednoho zařízení na druhé. Regulátor rychlosti otáčení nesmí mít vliv na kormidelní zařízení.</w:t>
      </w:r>
    </w:p>
    <w:p w:rsidR="003D32C2" w:rsidRPr="003B6E11" w:rsidRDefault="003D32C2" w:rsidP="008A407A">
      <w:pPr>
        <w:pStyle w:val="ESch"/>
        <w:rPr>
          <w:lang w:val="cs-CZ"/>
        </w:rPr>
      </w:pPr>
    </w:p>
    <w:p w:rsidR="003D32C2" w:rsidRPr="003B6E11" w:rsidRDefault="003D32C2" w:rsidP="008A407A">
      <w:pPr>
        <w:pStyle w:val="ESch"/>
        <w:rPr>
          <w:lang w:val="cs-CZ"/>
        </w:rPr>
      </w:pPr>
      <w:r w:rsidRPr="003B6E11">
        <w:rPr>
          <w:lang w:val="cs-CZ"/>
        </w:rPr>
        <w:t>4.</w:t>
      </w:r>
      <w:r w:rsidRPr="003B6E11">
        <w:rPr>
          <w:lang w:val="cs-CZ"/>
        </w:rPr>
        <w:tab/>
        <w:t>Elektrické napájení regulátoru rychlosti otáčení musí být nezávislé na jiných elektrických spotřebičích.</w:t>
      </w:r>
    </w:p>
    <w:p w:rsidR="003D32C2" w:rsidRPr="003B6E11" w:rsidRDefault="003D32C2" w:rsidP="008A407A">
      <w:pPr>
        <w:pStyle w:val="ESch"/>
        <w:rPr>
          <w:lang w:val="cs-CZ"/>
        </w:rPr>
      </w:pPr>
    </w:p>
    <w:p w:rsidR="003D32C2" w:rsidRPr="003B6E11" w:rsidRDefault="003D32C2" w:rsidP="008A407A">
      <w:pPr>
        <w:pStyle w:val="ESch"/>
        <w:rPr>
          <w:lang w:val="cs-CZ"/>
        </w:rPr>
      </w:pPr>
      <w:r w:rsidRPr="003B6E11">
        <w:rPr>
          <w:lang w:val="cs-CZ"/>
        </w:rPr>
        <w:t>5.</w:t>
      </w:r>
      <w:r w:rsidRPr="003B6E11">
        <w:rPr>
          <w:lang w:val="cs-CZ"/>
        </w:rPr>
        <w:tab/>
        <w:t>Gyroskopy, detektory a ukazatele rychlosti otáčení použité v regulátorech rychlosti otáčení musí splňovat minimální požadavky specifikací a zkušební podmínky pro ukazatele rychlosti otáčení pro vnitrozemské vodní cesty podle přílohy 5 oddílu II.</w:t>
      </w:r>
    </w:p>
    <w:p w:rsidR="003D32C2" w:rsidRPr="003B6E11" w:rsidRDefault="003D32C2" w:rsidP="003D32C2">
      <w:pPr>
        <w:rPr>
          <w:lang w:val="cs-CZ"/>
        </w:rPr>
      </w:pPr>
    </w:p>
    <w:p w:rsidR="003D32C2" w:rsidRPr="003B6E11" w:rsidRDefault="003D32C2" w:rsidP="003D32C2">
      <w:pPr>
        <w:rPr>
          <w:lang w:val="cs-CZ"/>
        </w:rPr>
      </w:pPr>
    </w:p>
    <w:p w:rsidR="003D32C2" w:rsidRPr="003B6E11" w:rsidRDefault="003D32C2" w:rsidP="003D32C2">
      <w:pPr>
        <w:pStyle w:val="ES-Titre3"/>
        <w:rPr>
          <w:lang w:val="cs-CZ"/>
        </w:rPr>
      </w:pPr>
      <w:bookmarkStart w:id="82" w:name="_Toc491854041"/>
      <w:bookmarkStart w:id="83" w:name="_Toc535416947"/>
      <w:r w:rsidRPr="003B6E11">
        <w:rPr>
          <w:lang w:val="cs-CZ"/>
        </w:rPr>
        <w:t>Článek 6.09</w:t>
      </w:r>
      <w:r w:rsidRPr="003B6E11">
        <w:rPr>
          <w:lang w:val="cs-CZ"/>
        </w:rPr>
        <w:br/>
      </w:r>
      <w:r w:rsidRPr="003B6E11">
        <w:rPr>
          <w:i/>
          <w:noProof/>
          <w:lang w:val="cs-CZ"/>
        </w:rPr>
        <w:t>Zkoušky</w:t>
      </w:r>
      <w:bookmarkEnd w:id="82"/>
      <w:bookmarkEnd w:id="83"/>
    </w:p>
    <w:p w:rsidR="008A407A" w:rsidRPr="003B6E11" w:rsidRDefault="008A407A" w:rsidP="008A407A">
      <w:pPr>
        <w:pStyle w:val="ESch"/>
        <w:rPr>
          <w:lang w:val="cs-CZ"/>
        </w:rPr>
      </w:pPr>
    </w:p>
    <w:p w:rsidR="003D32C2" w:rsidRPr="003B6E11" w:rsidRDefault="003D32C2" w:rsidP="008A407A">
      <w:pPr>
        <w:pStyle w:val="ESch"/>
        <w:rPr>
          <w:lang w:val="cs-CZ"/>
        </w:rPr>
      </w:pPr>
      <w:r w:rsidRPr="003B6E11">
        <w:rPr>
          <w:lang w:val="cs-CZ"/>
        </w:rPr>
        <w:t>1.</w:t>
      </w:r>
      <w:r w:rsidRPr="003B6E11">
        <w:rPr>
          <w:lang w:val="cs-CZ"/>
        </w:rPr>
        <w:tab/>
        <w:t>Prohlídka správnosti instalace kormidelního zařízení musí být provedena subjektem pověřeným prohlídkami. Za tímto účelem může subjekt pověřený prohlídkami vyžadovat předložení těchto dokladů:</w:t>
      </w:r>
    </w:p>
    <w:p w:rsidR="003D32C2" w:rsidRPr="003B6E11" w:rsidRDefault="005C7859" w:rsidP="008A407A">
      <w:pPr>
        <w:pStyle w:val="ESlet"/>
        <w:rPr>
          <w:lang w:val="cs-CZ"/>
        </w:rPr>
      </w:pPr>
      <w:r w:rsidRPr="003B6E11">
        <w:rPr>
          <w:lang w:val="cs-CZ"/>
        </w:rPr>
        <w:t>a)</w:t>
      </w:r>
      <w:r w:rsidRPr="003B6E11">
        <w:rPr>
          <w:lang w:val="cs-CZ"/>
        </w:rPr>
        <w:tab/>
        <w:t>popis kormidelního zařízení;</w:t>
      </w:r>
    </w:p>
    <w:p w:rsidR="003D32C2" w:rsidRPr="003B6E11" w:rsidRDefault="005C7859" w:rsidP="008A407A">
      <w:pPr>
        <w:pStyle w:val="ESlet"/>
        <w:rPr>
          <w:lang w:val="cs-CZ"/>
        </w:rPr>
      </w:pPr>
      <w:r w:rsidRPr="003B6E11">
        <w:rPr>
          <w:lang w:val="cs-CZ"/>
        </w:rPr>
        <w:t>b)</w:t>
      </w:r>
      <w:r w:rsidRPr="003B6E11">
        <w:rPr>
          <w:lang w:val="cs-CZ"/>
        </w:rPr>
        <w:tab/>
        <w:t>výkresy a informace o pohonných jednotkách kormidelního stroje a o ovládacích prvcích řízení;</w:t>
      </w:r>
    </w:p>
    <w:p w:rsidR="003D32C2" w:rsidRPr="003B6E11" w:rsidRDefault="005C7859" w:rsidP="008A407A">
      <w:pPr>
        <w:pStyle w:val="ESlet"/>
        <w:rPr>
          <w:lang w:val="cs-CZ"/>
        </w:rPr>
      </w:pPr>
      <w:r w:rsidRPr="003B6E11">
        <w:rPr>
          <w:lang w:val="cs-CZ"/>
        </w:rPr>
        <w:t>c)</w:t>
      </w:r>
      <w:r w:rsidRPr="003B6E11">
        <w:rPr>
          <w:lang w:val="cs-CZ"/>
        </w:rPr>
        <w:tab/>
        <w:t>informace o kormidelním stroji;</w:t>
      </w:r>
    </w:p>
    <w:p w:rsidR="003D32C2" w:rsidRPr="003B6E11" w:rsidRDefault="003D32C2" w:rsidP="008A407A">
      <w:pPr>
        <w:pStyle w:val="ESlet"/>
        <w:rPr>
          <w:lang w:val="cs-CZ"/>
        </w:rPr>
      </w:pPr>
      <w:r w:rsidRPr="003B6E11">
        <w:rPr>
          <w:lang w:val="cs-CZ"/>
        </w:rPr>
        <w:t>d)</w:t>
      </w:r>
      <w:r w:rsidRPr="003B6E11">
        <w:rPr>
          <w:lang w:val="cs-CZ"/>
        </w:rPr>
        <w:tab/>
        <w:t>schéma elektrického zapojení;</w:t>
      </w:r>
    </w:p>
    <w:p w:rsidR="003D32C2" w:rsidRPr="003B6E11" w:rsidRDefault="003D32C2" w:rsidP="008A407A">
      <w:pPr>
        <w:pStyle w:val="ESlet"/>
        <w:rPr>
          <w:lang w:val="cs-CZ"/>
        </w:rPr>
      </w:pPr>
      <w:r w:rsidRPr="003B6E11">
        <w:rPr>
          <w:lang w:val="cs-CZ"/>
        </w:rPr>
        <w:t>e)</w:t>
      </w:r>
      <w:r w:rsidRPr="003B6E11">
        <w:rPr>
          <w:lang w:val="cs-CZ"/>
        </w:rPr>
        <w:tab/>
        <w:t>popis regulátoru rychlosti otáčení;</w:t>
      </w:r>
    </w:p>
    <w:p w:rsidR="003D32C2" w:rsidRPr="003B6E11" w:rsidRDefault="003D32C2" w:rsidP="008A407A">
      <w:pPr>
        <w:pStyle w:val="ESlet"/>
        <w:rPr>
          <w:lang w:val="cs-CZ"/>
        </w:rPr>
      </w:pPr>
      <w:r w:rsidRPr="003B6E11">
        <w:rPr>
          <w:lang w:val="cs-CZ"/>
        </w:rPr>
        <w:t>f)</w:t>
      </w:r>
      <w:r w:rsidRPr="003B6E11">
        <w:rPr>
          <w:lang w:val="cs-CZ"/>
        </w:rPr>
        <w:tab/>
        <w:t>návod k obsluze a údržbě kormidelního zařízení.</w:t>
      </w:r>
    </w:p>
    <w:p w:rsidR="003D32C2" w:rsidRPr="003B6E11" w:rsidRDefault="003D32C2" w:rsidP="003D32C2">
      <w:pPr>
        <w:rPr>
          <w:lang w:val="cs-CZ"/>
        </w:rPr>
      </w:pPr>
    </w:p>
    <w:p w:rsidR="003D32C2" w:rsidRPr="003B6E11" w:rsidRDefault="003D32C2" w:rsidP="008A407A">
      <w:pPr>
        <w:pStyle w:val="ESch"/>
        <w:rPr>
          <w:lang w:val="cs-CZ"/>
        </w:rPr>
      </w:pPr>
      <w:r w:rsidRPr="003B6E11">
        <w:rPr>
          <w:lang w:val="cs-CZ"/>
        </w:rPr>
        <w:t>2.</w:t>
      </w:r>
      <w:r w:rsidRPr="003B6E11">
        <w:rPr>
          <w:lang w:val="cs-CZ"/>
        </w:rPr>
        <w:tab/>
        <w:t>Funkce celého kormidelního zařízení se kontroluje při zkušební plavbě. Je-li instalován regulátor rychlosti otáčení, je nutno zkontrolovat, zda lze spolehlivě udržet stanovený kurz a bezpečně zvládnout nastavený oblouk otáčení.</w:t>
      </w:r>
    </w:p>
    <w:p w:rsidR="003D32C2" w:rsidRPr="003B6E11" w:rsidRDefault="003D32C2" w:rsidP="008A407A">
      <w:pPr>
        <w:pStyle w:val="ESch"/>
        <w:rPr>
          <w:lang w:val="cs-CZ"/>
        </w:rPr>
      </w:pPr>
    </w:p>
    <w:p w:rsidR="003D32C2" w:rsidRPr="003B6E11" w:rsidRDefault="003D32C2" w:rsidP="008A407A">
      <w:pPr>
        <w:pStyle w:val="ESch"/>
        <w:rPr>
          <w:lang w:val="cs-CZ"/>
        </w:rPr>
      </w:pPr>
      <w:r w:rsidRPr="003B6E11">
        <w:rPr>
          <w:lang w:val="cs-CZ"/>
        </w:rPr>
        <w:t>3.</w:t>
      </w:r>
      <w:r w:rsidRPr="003B6E11">
        <w:rPr>
          <w:lang w:val="cs-CZ"/>
        </w:rPr>
        <w:tab/>
        <w:t>Prohlídku kormidelního zařízení s motorovým pohonem provádí odborně způsobilá osoba:</w:t>
      </w:r>
    </w:p>
    <w:p w:rsidR="003D32C2" w:rsidRPr="003B6E11" w:rsidRDefault="005C7859" w:rsidP="008C2125">
      <w:pPr>
        <w:pStyle w:val="ESlet"/>
        <w:rPr>
          <w:lang w:val="cs-CZ"/>
        </w:rPr>
      </w:pPr>
      <w:r w:rsidRPr="003B6E11">
        <w:rPr>
          <w:lang w:val="cs-CZ"/>
        </w:rPr>
        <w:t>a)</w:t>
      </w:r>
      <w:r w:rsidRPr="003B6E11">
        <w:rPr>
          <w:lang w:val="cs-CZ"/>
        </w:rPr>
        <w:tab/>
        <w:t>před uvedením do provozu;</w:t>
      </w:r>
    </w:p>
    <w:p w:rsidR="003D32C2" w:rsidRPr="003B6E11" w:rsidRDefault="005C7859" w:rsidP="008C2125">
      <w:pPr>
        <w:pStyle w:val="ESlet"/>
        <w:rPr>
          <w:lang w:val="cs-CZ"/>
        </w:rPr>
      </w:pPr>
      <w:r w:rsidRPr="003B6E11">
        <w:rPr>
          <w:lang w:val="cs-CZ"/>
        </w:rPr>
        <w:t>b)</w:t>
      </w:r>
      <w:r w:rsidRPr="003B6E11">
        <w:rPr>
          <w:lang w:val="cs-CZ"/>
        </w:rPr>
        <w:tab/>
        <w:t>po poruše;</w:t>
      </w:r>
    </w:p>
    <w:p w:rsidR="003D32C2" w:rsidRPr="003B6E11" w:rsidRDefault="005C7859" w:rsidP="008C2125">
      <w:pPr>
        <w:pStyle w:val="ESlet"/>
        <w:rPr>
          <w:lang w:val="cs-CZ"/>
        </w:rPr>
      </w:pPr>
      <w:r w:rsidRPr="003B6E11">
        <w:rPr>
          <w:lang w:val="cs-CZ"/>
        </w:rPr>
        <w:t>c)</w:t>
      </w:r>
      <w:r w:rsidRPr="003B6E11">
        <w:rPr>
          <w:lang w:val="cs-CZ"/>
        </w:rPr>
        <w:tab/>
        <w:t>po jakékoli úpravě nebo opravě;</w:t>
      </w:r>
    </w:p>
    <w:p w:rsidR="003D32C2" w:rsidRPr="003B6E11" w:rsidRDefault="005C7859" w:rsidP="008C2125">
      <w:pPr>
        <w:pStyle w:val="ESlet"/>
        <w:rPr>
          <w:lang w:val="cs-CZ"/>
        </w:rPr>
      </w:pPr>
      <w:r w:rsidRPr="003B6E11">
        <w:rPr>
          <w:lang w:val="cs-CZ"/>
        </w:rPr>
        <w:t>d)</w:t>
      </w:r>
      <w:r w:rsidRPr="003B6E11">
        <w:rPr>
          <w:lang w:val="cs-CZ"/>
        </w:rPr>
        <w:tab/>
        <w:t>pravidelně nejméně jednou za tři roky.</w:t>
      </w:r>
    </w:p>
    <w:p w:rsidR="003D32C2" w:rsidRPr="003B6E11" w:rsidRDefault="003D32C2" w:rsidP="003D32C2">
      <w:pPr>
        <w:rPr>
          <w:lang w:val="cs-CZ"/>
        </w:rPr>
      </w:pPr>
    </w:p>
    <w:p w:rsidR="003D32C2" w:rsidRPr="003B6E11" w:rsidRDefault="003D32C2" w:rsidP="008A407A">
      <w:pPr>
        <w:pStyle w:val="ESch"/>
        <w:rPr>
          <w:lang w:val="cs-CZ"/>
        </w:rPr>
      </w:pPr>
      <w:r w:rsidRPr="003B6E11">
        <w:rPr>
          <w:lang w:val="cs-CZ"/>
        </w:rPr>
        <w:t>4.</w:t>
      </w:r>
      <w:r w:rsidRPr="003B6E11">
        <w:rPr>
          <w:lang w:val="cs-CZ"/>
        </w:rPr>
        <w:tab/>
        <w:t>Prohlídka musí zahrnovat alespoň:</w:t>
      </w:r>
    </w:p>
    <w:p w:rsidR="003D32C2" w:rsidRPr="003B6E11" w:rsidRDefault="005C7859" w:rsidP="008A407A">
      <w:pPr>
        <w:pStyle w:val="ESlet"/>
        <w:rPr>
          <w:lang w:val="cs-CZ"/>
        </w:rPr>
      </w:pPr>
      <w:r w:rsidRPr="003B6E11">
        <w:rPr>
          <w:lang w:val="cs-CZ"/>
        </w:rPr>
        <w:t>a)</w:t>
      </w:r>
      <w:r w:rsidRPr="003B6E11">
        <w:rPr>
          <w:lang w:val="cs-CZ"/>
        </w:rPr>
        <w:tab/>
        <w:t>kontrolu souladu se schválenými výkresy a při pravidelné prohlídce, zda byly provedeny úpravy kormidelního zařízení;</w:t>
      </w:r>
    </w:p>
    <w:p w:rsidR="003D32C2" w:rsidRPr="003B6E11" w:rsidRDefault="005C7859" w:rsidP="008A407A">
      <w:pPr>
        <w:pStyle w:val="ESlet"/>
        <w:rPr>
          <w:lang w:val="cs-CZ"/>
        </w:rPr>
      </w:pPr>
      <w:r w:rsidRPr="003B6E11">
        <w:rPr>
          <w:lang w:val="cs-CZ"/>
        </w:rPr>
        <w:t>b)</w:t>
      </w:r>
      <w:r w:rsidRPr="003B6E11">
        <w:rPr>
          <w:lang w:val="cs-CZ"/>
        </w:rPr>
        <w:tab/>
        <w:t>kontrolu funkčnosti kormidelního zařízení pro všechny provozní možnosti;</w:t>
      </w:r>
    </w:p>
    <w:p w:rsidR="003D32C2" w:rsidRPr="003B6E11" w:rsidRDefault="005C7859" w:rsidP="008A407A">
      <w:pPr>
        <w:pStyle w:val="ESlet"/>
        <w:rPr>
          <w:lang w:val="cs-CZ"/>
        </w:rPr>
      </w:pPr>
      <w:r w:rsidRPr="003B6E11">
        <w:rPr>
          <w:lang w:val="cs-CZ"/>
        </w:rPr>
        <w:t>c)</w:t>
      </w:r>
      <w:r w:rsidRPr="003B6E11">
        <w:rPr>
          <w:lang w:val="cs-CZ"/>
        </w:rPr>
        <w:tab/>
        <w:t>vizuální kontrolu a zkoušku těsnosti hydraulických prvků, zejména ventilů, potrubí, hydraulických hadic, hydraulických válců, hydraulických čerpadel a hydraulických sacích košů;</w:t>
      </w:r>
    </w:p>
    <w:p w:rsidR="003D32C2" w:rsidRPr="003B6E11" w:rsidRDefault="005C7859" w:rsidP="008A407A">
      <w:pPr>
        <w:pStyle w:val="ESlet"/>
        <w:rPr>
          <w:lang w:val="cs-CZ"/>
        </w:rPr>
      </w:pPr>
      <w:r w:rsidRPr="003B6E11">
        <w:rPr>
          <w:lang w:val="cs-CZ"/>
        </w:rPr>
        <w:t>d)</w:t>
      </w:r>
      <w:r w:rsidRPr="003B6E11">
        <w:rPr>
          <w:lang w:val="cs-CZ"/>
        </w:rPr>
        <w:tab/>
        <w:t>vizuální kontrolu elektrických prvků, zejména relé, elektromotorů a bezpečnostních zařízení;</w:t>
      </w:r>
    </w:p>
    <w:p w:rsidR="003D32C2" w:rsidRPr="003B6E11" w:rsidRDefault="003D32C2" w:rsidP="008A407A">
      <w:pPr>
        <w:pStyle w:val="ESlet"/>
        <w:rPr>
          <w:lang w:val="cs-CZ"/>
        </w:rPr>
      </w:pPr>
      <w:r w:rsidRPr="003B6E11">
        <w:rPr>
          <w:lang w:val="cs-CZ"/>
        </w:rPr>
        <w:t>e)</w:t>
      </w:r>
      <w:r w:rsidRPr="003B6E11">
        <w:rPr>
          <w:lang w:val="cs-CZ"/>
        </w:rPr>
        <w:tab/>
        <w:t>kontrolu optických a akustických kontrolních zařízení.</w:t>
      </w:r>
    </w:p>
    <w:p w:rsidR="003D32C2" w:rsidRPr="003B6E11" w:rsidRDefault="003D32C2" w:rsidP="003D32C2">
      <w:pPr>
        <w:rPr>
          <w:lang w:val="cs-CZ"/>
        </w:rPr>
      </w:pPr>
    </w:p>
    <w:p w:rsidR="003D32C2" w:rsidRPr="003B6E11" w:rsidRDefault="003D32C2" w:rsidP="008A407A">
      <w:pPr>
        <w:pStyle w:val="ESch"/>
        <w:rPr>
          <w:lang w:val="cs-CZ"/>
        </w:rPr>
      </w:pPr>
      <w:r w:rsidRPr="003B6E11">
        <w:rPr>
          <w:lang w:val="cs-CZ"/>
        </w:rPr>
        <w:t>5.</w:t>
      </w:r>
      <w:r w:rsidRPr="003B6E11">
        <w:rPr>
          <w:lang w:val="cs-CZ"/>
        </w:rPr>
        <w:tab/>
        <w:t>Musí být vystaveno potvrzení o prohlídce podepsané odborně způsobilou osobou, na němž je uvedeno datum prohlídky.</w:t>
      </w:r>
    </w:p>
    <w:p w:rsidR="003D32C2" w:rsidRPr="003B6E11" w:rsidRDefault="003D32C2" w:rsidP="003D32C2">
      <w:pPr>
        <w:rPr>
          <w:lang w:val="cs-CZ"/>
        </w:rPr>
      </w:pPr>
    </w:p>
    <w:p w:rsidR="00822C1C" w:rsidRPr="003B6E11" w:rsidRDefault="00822C1C" w:rsidP="00822C1C">
      <w:pPr>
        <w:pStyle w:val="ES-Titre2"/>
      </w:pPr>
      <w:bookmarkStart w:id="84" w:name="_Toc491854042"/>
      <w:bookmarkStart w:id="85" w:name="_Toc535416948"/>
      <w:r w:rsidRPr="003B6E11">
        <w:t>Kapitola 7</w:t>
      </w:r>
      <w:r w:rsidRPr="003B6E11">
        <w:br/>
        <w:t>Kormidelna</w:t>
      </w:r>
      <w:bookmarkEnd w:id="84"/>
      <w:bookmarkEnd w:id="85"/>
    </w:p>
    <w:p w:rsidR="00822C1C" w:rsidRPr="003B6E11" w:rsidRDefault="00822C1C" w:rsidP="00822C1C">
      <w:pPr>
        <w:rPr>
          <w:rFonts w:cs="Arial"/>
          <w:b/>
          <w:i/>
          <w:noProof/>
          <w:szCs w:val="20"/>
          <w:lang w:val="cs-CZ"/>
        </w:rPr>
      </w:pPr>
    </w:p>
    <w:p w:rsidR="00822C1C" w:rsidRPr="003B6E11" w:rsidRDefault="00822C1C" w:rsidP="00822C1C">
      <w:pPr>
        <w:pStyle w:val="ES-Titre3"/>
        <w:rPr>
          <w:lang w:val="cs-CZ"/>
        </w:rPr>
      </w:pPr>
      <w:bookmarkStart w:id="86" w:name="_Toc491854043"/>
      <w:bookmarkStart w:id="87" w:name="_Toc535416949"/>
      <w:r w:rsidRPr="003B6E11">
        <w:rPr>
          <w:lang w:val="cs-CZ"/>
        </w:rPr>
        <w:t>Článek 7.01</w:t>
      </w:r>
      <w:r w:rsidRPr="003B6E11">
        <w:rPr>
          <w:lang w:val="cs-CZ"/>
        </w:rPr>
        <w:br/>
      </w:r>
      <w:r w:rsidRPr="003B6E11">
        <w:rPr>
          <w:i/>
          <w:noProof/>
          <w:lang w:val="cs-CZ"/>
        </w:rPr>
        <w:t>Obecně</w:t>
      </w:r>
      <w:bookmarkEnd w:id="86"/>
      <w:bookmarkEnd w:id="87"/>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1.</w:t>
      </w:r>
      <w:r w:rsidRPr="003B6E11">
        <w:rPr>
          <w:lang w:val="cs-CZ"/>
        </w:rPr>
        <w:tab/>
        <w:t>Kormidelna musí být zařízena tak, aby během plavby mohl kormidelník kdykoli plnit své úkoly.</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2.</w:t>
      </w:r>
      <w:r w:rsidRPr="003B6E11">
        <w:rPr>
          <w:lang w:val="cs-CZ"/>
        </w:rPr>
        <w:tab/>
        <w:t>Za běžných provozních podmínek nesmí hladina akustického tlaku hluku způsobeného lodí měřená na ovládacím stanovišti v úrovni kormidelníkovy hlavy překročit 70 dB(A).</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3.</w:t>
      </w:r>
      <w:r w:rsidRPr="003B6E11">
        <w:rPr>
          <w:lang w:val="cs-CZ"/>
        </w:rPr>
        <w:tab/>
        <w:t>Je-li kormidelna uspořádaná k vedení plavidla pomocí radaru jednou osobou, musí být kormidelník schopen plnit své úkoly vsedě a všechna signální a kontrolní zařízení a ovládací prvky potřebné pro řízení lodi musí být umístěny tak, aby je kormidelník mohl během plavby pohodlně sledovat a ovládat, aniž by opustil své sedadlo a přestal sledovat obrazovku radaru.</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p>
    <w:p w:rsidR="00822C1C" w:rsidRPr="003B6E11" w:rsidRDefault="00822C1C" w:rsidP="00822C1C">
      <w:pPr>
        <w:pStyle w:val="ES-Titre3"/>
        <w:rPr>
          <w:lang w:val="cs-CZ"/>
        </w:rPr>
      </w:pPr>
      <w:bookmarkStart w:id="88" w:name="_Toc491854044"/>
      <w:bookmarkStart w:id="89" w:name="_Toc535416950"/>
      <w:r w:rsidRPr="003B6E11">
        <w:rPr>
          <w:lang w:val="cs-CZ"/>
        </w:rPr>
        <w:t>Článek 7.02</w:t>
      </w:r>
      <w:r w:rsidRPr="003B6E11">
        <w:rPr>
          <w:lang w:val="cs-CZ"/>
        </w:rPr>
        <w:br/>
      </w:r>
      <w:r w:rsidRPr="003B6E11">
        <w:rPr>
          <w:i/>
          <w:lang w:val="cs-CZ"/>
        </w:rPr>
        <w:t>Neomezený výhled</w:t>
      </w:r>
      <w:bookmarkEnd w:id="88"/>
      <w:bookmarkEnd w:id="89"/>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1.</w:t>
      </w:r>
      <w:r w:rsidRPr="003B6E11">
        <w:rPr>
          <w:lang w:val="cs-CZ"/>
        </w:rPr>
        <w:tab/>
        <w:t>Z ovládacího stanoviště musí být přiměřeně neomezený výhled ve všech směrech.</w:t>
      </w:r>
    </w:p>
    <w:p w:rsidR="00822C1C" w:rsidRPr="003B6E11" w:rsidRDefault="00822C1C" w:rsidP="00822C1C">
      <w:pPr>
        <w:pStyle w:val="ESch"/>
        <w:rPr>
          <w:szCs w:val="20"/>
          <w:lang w:val="cs-CZ"/>
        </w:rPr>
      </w:pPr>
    </w:p>
    <w:p w:rsidR="00822C1C" w:rsidRPr="003B6E11" w:rsidRDefault="00BF58F6" w:rsidP="00822C1C">
      <w:pPr>
        <w:pStyle w:val="ESch"/>
        <w:rPr>
          <w:szCs w:val="20"/>
          <w:lang w:val="cs-CZ"/>
        </w:rPr>
      </w:pPr>
      <w:r w:rsidRPr="003B6E11">
        <w:rPr>
          <w:lang w:val="cs-CZ"/>
        </w:rPr>
        <w:t>2.</w:t>
      </w:r>
      <w:r w:rsidRPr="003B6E11">
        <w:rPr>
          <w:lang w:val="cs-CZ"/>
        </w:rPr>
        <w:tab/>
        <w:t>Oblast omezeného výhledu kormidelníka před přídí lodi v nenaloženém stavu s polovičními zásobami bez balastní zátěže nesmí překročit 250 m.</w:t>
      </w:r>
    </w:p>
    <w:p w:rsidR="00822C1C" w:rsidRPr="003B6E11" w:rsidRDefault="00822C1C" w:rsidP="00822C1C">
      <w:pPr>
        <w:pStyle w:val="ESch"/>
        <w:rPr>
          <w:szCs w:val="20"/>
          <w:lang w:val="cs-CZ"/>
        </w:rPr>
      </w:pPr>
    </w:p>
    <w:p w:rsidR="00822C1C" w:rsidRPr="003B6E11" w:rsidRDefault="00822C1C" w:rsidP="00822C1C">
      <w:pPr>
        <w:pStyle w:val="ESchpar"/>
        <w:rPr>
          <w:lang w:val="cs-CZ"/>
        </w:rPr>
      </w:pPr>
      <w:r w:rsidRPr="003B6E11">
        <w:rPr>
          <w:lang w:val="cs-CZ"/>
        </w:rPr>
        <w:t>K dalšímu zmenšení oblasti omezeného výhledu lze použít pouze vhodné pomocné prostředky.</w:t>
      </w:r>
    </w:p>
    <w:p w:rsidR="00822C1C" w:rsidRPr="003B6E11" w:rsidRDefault="00822C1C" w:rsidP="00822C1C">
      <w:pPr>
        <w:pStyle w:val="ESch"/>
        <w:rPr>
          <w:szCs w:val="20"/>
          <w:lang w:val="cs-CZ"/>
        </w:rPr>
      </w:pPr>
    </w:p>
    <w:p w:rsidR="00822C1C" w:rsidRPr="003B6E11" w:rsidRDefault="00822C1C" w:rsidP="00822C1C">
      <w:pPr>
        <w:pStyle w:val="ESchpar"/>
        <w:rPr>
          <w:lang w:val="cs-CZ"/>
        </w:rPr>
      </w:pPr>
      <w:r w:rsidRPr="003B6E11">
        <w:rPr>
          <w:lang w:val="cs-CZ"/>
        </w:rPr>
        <w:t>K pomocným prostředkům ke zmenšení oblasti omezeného výhledu nelze přihlížet během prohlídky.</w:t>
      </w:r>
    </w:p>
    <w:p w:rsidR="00822C1C" w:rsidRPr="003B6E11" w:rsidRDefault="00822C1C" w:rsidP="00822C1C">
      <w:pPr>
        <w:pStyle w:val="ESch"/>
        <w:rPr>
          <w:szCs w:val="20"/>
          <w:lang w:val="cs-CZ"/>
        </w:rPr>
      </w:pPr>
    </w:p>
    <w:p w:rsidR="00822C1C" w:rsidRPr="003B6E11" w:rsidRDefault="00BF58F6" w:rsidP="00822C1C">
      <w:pPr>
        <w:pStyle w:val="ESch"/>
        <w:rPr>
          <w:szCs w:val="20"/>
          <w:lang w:val="cs-CZ"/>
        </w:rPr>
      </w:pPr>
      <w:r w:rsidRPr="003B6E11">
        <w:rPr>
          <w:lang w:val="cs-CZ"/>
        </w:rPr>
        <w:t>3.</w:t>
      </w:r>
      <w:r w:rsidRPr="003B6E11">
        <w:rPr>
          <w:lang w:val="cs-CZ"/>
        </w:rPr>
        <w:tab/>
        <w:t>Oblast neomezeného výhledu kormidelníka v jeho normální poloze musí být nejméně 240° na horizontu, z čehož nejméně 140° v předním půlkruhu.</w:t>
      </w:r>
    </w:p>
    <w:p w:rsidR="00822C1C" w:rsidRPr="003B6E11" w:rsidRDefault="00822C1C" w:rsidP="00822C1C">
      <w:pPr>
        <w:pStyle w:val="ESchpar"/>
        <w:rPr>
          <w:szCs w:val="20"/>
          <w:lang w:val="cs-CZ"/>
        </w:rPr>
      </w:pPr>
    </w:p>
    <w:p w:rsidR="00822C1C" w:rsidRPr="003B6E11" w:rsidRDefault="00822C1C" w:rsidP="00822C1C">
      <w:pPr>
        <w:pStyle w:val="ESchpar"/>
        <w:rPr>
          <w:lang w:val="cs-CZ"/>
        </w:rPr>
      </w:pPr>
      <w:r w:rsidRPr="003B6E11">
        <w:rPr>
          <w:lang w:val="cs-CZ"/>
        </w:rPr>
        <w:t>V běžném směru pohledu kormidelníka se nesmí nacházet okenní rám, sloupek nebo nástavba.</w:t>
      </w:r>
    </w:p>
    <w:p w:rsidR="00822C1C" w:rsidRPr="003B6E11" w:rsidRDefault="00822C1C" w:rsidP="00822C1C">
      <w:pPr>
        <w:pStyle w:val="ESchpar"/>
        <w:rPr>
          <w:szCs w:val="20"/>
          <w:lang w:val="cs-CZ"/>
        </w:rPr>
      </w:pPr>
    </w:p>
    <w:p w:rsidR="00822C1C" w:rsidRPr="003B6E11" w:rsidRDefault="00822C1C" w:rsidP="00822C1C">
      <w:pPr>
        <w:pStyle w:val="ESchpar"/>
        <w:rPr>
          <w:lang w:val="cs-CZ"/>
        </w:rPr>
      </w:pPr>
      <w:r w:rsidRPr="003B6E11">
        <w:rPr>
          <w:lang w:val="cs-CZ"/>
        </w:rPr>
        <w:t xml:space="preserve">Není-li zajištěn dostatečný neomezený výhled směrem dozadu, může subjekt pověřený prohlídkami i v případě oblasti neomezeného výhledu 240° na horizontu požadovat jiná opatření, zejména instalaci vhodných pomocných prostředků. </w:t>
      </w:r>
    </w:p>
    <w:p w:rsidR="00822C1C" w:rsidRPr="003B6E11" w:rsidRDefault="00822C1C" w:rsidP="00822C1C">
      <w:pPr>
        <w:pStyle w:val="ESchpar"/>
        <w:rPr>
          <w:szCs w:val="20"/>
          <w:lang w:val="cs-CZ"/>
        </w:rPr>
      </w:pPr>
    </w:p>
    <w:p w:rsidR="00822C1C" w:rsidRPr="003B6E11" w:rsidRDefault="00822C1C" w:rsidP="00822C1C">
      <w:pPr>
        <w:pStyle w:val="ESchpar"/>
        <w:rPr>
          <w:lang w:val="cs-CZ"/>
        </w:rPr>
      </w:pPr>
      <w:r w:rsidRPr="003B6E11">
        <w:rPr>
          <w:lang w:val="cs-CZ"/>
        </w:rPr>
        <w:t>Spodní hrana bočních oken se musí nacházet co nejníže a horní hrana bočních a zadních oken se musí nacházet co nejvýše.</w:t>
      </w:r>
    </w:p>
    <w:p w:rsidR="00822C1C" w:rsidRPr="003B6E11" w:rsidRDefault="00822C1C" w:rsidP="00822C1C">
      <w:pPr>
        <w:pStyle w:val="ESchpar"/>
        <w:rPr>
          <w:szCs w:val="20"/>
          <w:lang w:val="cs-CZ"/>
        </w:rPr>
      </w:pPr>
    </w:p>
    <w:p w:rsidR="00822C1C" w:rsidRPr="003B6E11" w:rsidRDefault="00822C1C" w:rsidP="00822C1C">
      <w:pPr>
        <w:pStyle w:val="ESchpar"/>
        <w:rPr>
          <w:lang w:val="cs-CZ"/>
        </w:rPr>
      </w:pPr>
      <w:r w:rsidRPr="003B6E11">
        <w:rPr>
          <w:lang w:val="cs-CZ"/>
        </w:rPr>
        <w:t>Při zjišťování, zda jsou splněny požadavky tohoto článku týkající se výhledu z kormidelny, se vychází z předpokladu, že oči kormidelníka na ovládacím stanovišti jsou ve výšce 1,65 m nad podlahou kormidelny.</w:t>
      </w:r>
    </w:p>
    <w:p w:rsidR="00822C1C" w:rsidRPr="003B6E11" w:rsidRDefault="00822C1C" w:rsidP="00822C1C">
      <w:pPr>
        <w:pStyle w:val="ESch"/>
        <w:rPr>
          <w:szCs w:val="20"/>
          <w:lang w:val="cs-CZ"/>
        </w:rPr>
      </w:pPr>
    </w:p>
    <w:p w:rsidR="00D94C10" w:rsidRPr="003B6E11" w:rsidRDefault="00D94C10" w:rsidP="00822C1C">
      <w:pPr>
        <w:pStyle w:val="ESch"/>
        <w:rPr>
          <w:szCs w:val="20"/>
          <w:lang w:val="cs-CZ"/>
        </w:rPr>
      </w:pPr>
      <w:r w:rsidRPr="003B6E11">
        <w:rPr>
          <w:lang w:val="cs-CZ"/>
        </w:rPr>
        <w:br w:type="page"/>
      </w:r>
    </w:p>
    <w:p w:rsidR="00822C1C" w:rsidRPr="003B6E11" w:rsidRDefault="00822C1C" w:rsidP="00822C1C">
      <w:pPr>
        <w:pStyle w:val="ESch"/>
        <w:rPr>
          <w:szCs w:val="20"/>
          <w:lang w:val="cs-CZ"/>
        </w:rPr>
      </w:pPr>
      <w:r w:rsidRPr="003B6E11">
        <w:rPr>
          <w:lang w:val="cs-CZ"/>
        </w:rPr>
        <w:t>4.</w:t>
      </w:r>
      <w:r w:rsidRPr="003B6E11">
        <w:rPr>
          <w:lang w:val="cs-CZ"/>
        </w:rPr>
        <w:tab/>
        <w:t>Horní hrana oken kormidelny směřujících k přídi musí být dostatečně vysoko, aby osoba na ovládacím stanovišti měla zajištěn volný výhled dopředu.</w:t>
      </w:r>
    </w:p>
    <w:p w:rsidR="00822C1C" w:rsidRPr="003B6E11" w:rsidRDefault="00822C1C" w:rsidP="00822C1C">
      <w:pPr>
        <w:pStyle w:val="ESchpar"/>
        <w:rPr>
          <w:szCs w:val="20"/>
          <w:lang w:val="cs-CZ"/>
        </w:rPr>
      </w:pPr>
    </w:p>
    <w:p w:rsidR="00822C1C" w:rsidRPr="003B6E11" w:rsidRDefault="00822C1C" w:rsidP="00822C1C">
      <w:pPr>
        <w:pStyle w:val="ESchpar"/>
        <w:rPr>
          <w:lang w:val="cs-CZ"/>
        </w:rPr>
      </w:pPr>
      <w:r w:rsidRPr="003B6E11">
        <w:rPr>
          <w:lang w:val="cs-CZ"/>
        </w:rPr>
        <w:t>Tento požadavek se považuje za splněný, pokud osoba na ovládacím stanovišti s očima ve výšce 1,80 m má zajištěn volný výhled dopředu do úrovně nejméně 10° nad vodorovnou rovinou v úrovni výšky očí.</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5.</w:t>
      </w:r>
      <w:r w:rsidRPr="003B6E11">
        <w:rPr>
          <w:lang w:val="cs-CZ"/>
        </w:rPr>
        <w:tab/>
        <w:t>Neomezený výhled předními okny musí být za každého počasí zajištěn vhodnými prostředky.</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6.</w:t>
      </w:r>
      <w:r w:rsidRPr="003B6E11">
        <w:rPr>
          <w:lang w:val="cs-CZ"/>
        </w:rPr>
        <w:tab/>
        <w:t>Skla pro zasklení použitá v kormidelně musí být vyrobena z bezpečnostního skla a musí mít světelnou propustnost nejméně 75 %.</w:t>
      </w:r>
    </w:p>
    <w:p w:rsidR="00822C1C" w:rsidRPr="003B6E11" w:rsidRDefault="00822C1C" w:rsidP="00822C1C">
      <w:pPr>
        <w:pStyle w:val="ESch"/>
        <w:rPr>
          <w:szCs w:val="20"/>
          <w:lang w:val="cs-CZ"/>
        </w:rPr>
      </w:pPr>
    </w:p>
    <w:p w:rsidR="00822C1C" w:rsidRPr="003B6E11" w:rsidRDefault="00822C1C" w:rsidP="00822C1C">
      <w:pPr>
        <w:pStyle w:val="ESchpar"/>
        <w:rPr>
          <w:szCs w:val="20"/>
          <w:lang w:val="cs-CZ"/>
        </w:rPr>
      </w:pPr>
      <w:r w:rsidRPr="003B6E11">
        <w:rPr>
          <w:lang w:val="cs-CZ"/>
        </w:rPr>
        <w:t xml:space="preserve">Aby nedocházelo k odrazům, musí být přední okna kormidelny antireflexní nebo upevněna tak, aby účinně znemožňovala odrazy. </w:t>
      </w:r>
    </w:p>
    <w:p w:rsidR="00822C1C" w:rsidRPr="003B6E11" w:rsidRDefault="00822C1C" w:rsidP="00822C1C">
      <w:pPr>
        <w:pStyle w:val="ESchpar"/>
        <w:rPr>
          <w:szCs w:val="20"/>
          <w:lang w:val="cs-CZ"/>
        </w:rPr>
      </w:pPr>
    </w:p>
    <w:p w:rsidR="00822C1C" w:rsidRPr="003B6E11" w:rsidRDefault="006777B9" w:rsidP="00822C1C">
      <w:pPr>
        <w:pStyle w:val="ESchpar"/>
        <w:rPr>
          <w:lang w:val="cs-CZ"/>
        </w:rPr>
      </w:pPr>
      <w:r w:rsidRPr="003B6E11">
        <w:rPr>
          <w:lang w:val="cs-CZ"/>
        </w:rPr>
        <w:t>Požadavek uvedený ve druhé větě se považuje za splněný, pokud jsou okna vykloněna od svislé roviny v úhlu nejméně 10° a nejvýše 25°.</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p>
    <w:p w:rsidR="00822C1C" w:rsidRPr="003B6E11" w:rsidRDefault="00822C1C" w:rsidP="00822C1C">
      <w:pPr>
        <w:pStyle w:val="ES-Titre3"/>
        <w:rPr>
          <w:i/>
          <w:lang w:val="cs-CZ"/>
        </w:rPr>
      </w:pPr>
      <w:bookmarkStart w:id="90" w:name="_Toc491854045"/>
      <w:bookmarkStart w:id="91" w:name="_Toc535416951"/>
      <w:r w:rsidRPr="003B6E11">
        <w:rPr>
          <w:lang w:val="cs-CZ"/>
        </w:rPr>
        <w:t>Článek 7.03</w:t>
      </w:r>
      <w:r w:rsidRPr="003B6E11">
        <w:rPr>
          <w:lang w:val="cs-CZ"/>
        </w:rPr>
        <w:br/>
      </w:r>
      <w:r w:rsidRPr="003B6E11">
        <w:rPr>
          <w:i/>
          <w:lang w:val="cs-CZ"/>
        </w:rPr>
        <w:t>Obecné požadavky na ovládací, signální a kontrolní zařízení</w:t>
      </w:r>
      <w:bookmarkEnd w:id="90"/>
      <w:bookmarkEnd w:id="91"/>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1.</w:t>
      </w:r>
      <w:r w:rsidRPr="003B6E11">
        <w:rPr>
          <w:lang w:val="cs-CZ"/>
        </w:rPr>
        <w:tab/>
        <w:t>Ovládací zařízení potřebná k ovládání lodi se musí snadno přestavovat do provozní polohy. Provozní poloha musí být naprosto jednoznačná.</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2.</w:t>
      </w:r>
      <w:r w:rsidRPr="003B6E11">
        <w:rPr>
          <w:lang w:val="cs-CZ"/>
        </w:rPr>
        <w:tab/>
        <w:t>Kontrolní přístroje musí být snadno čitelné. Jejich osvětlení musí být možné ztlumit až do úplného vypnutí. Světelné zdroje nesmí být rušivé a nesmí zhoršovat čitelnost kontrolních přístrojů.</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3.</w:t>
      </w:r>
      <w:r w:rsidRPr="003B6E11">
        <w:rPr>
          <w:lang w:val="cs-CZ"/>
        </w:rPr>
        <w:tab/>
        <w:t>Musí existovat systém k testování výstražných světel a kontrolek.</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4.</w:t>
      </w:r>
      <w:r w:rsidRPr="003B6E11">
        <w:rPr>
          <w:lang w:val="cs-CZ"/>
        </w:rPr>
        <w:tab/>
        <w:t>Musí být jednoznačně zjistitelné, zda je zařízení v provozu. Je-li jeho fungování signalizováno pomocí kontrolky, musí být tato kontrolka zelená.</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5.</w:t>
      </w:r>
      <w:r w:rsidRPr="003B6E11">
        <w:rPr>
          <w:lang w:val="cs-CZ"/>
        </w:rPr>
        <w:tab/>
        <w:t>Jakákoli chybná funkce nebo porucha zařízení, jejichž monitorování je předepsáno, musí být signalizována pomocí červených výstražných světel.</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6.</w:t>
      </w:r>
      <w:r w:rsidRPr="003B6E11">
        <w:rPr>
          <w:lang w:val="cs-CZ"/>
        </w:rPr>
        <w:tab/>
        <w:t>Při rozsvícení červených výstražných světel musí současně zaznít zvukový výstražný signál. Zvukové výstražné signály mohou být dány jako jeden hromadný signál. Hladina akustického tlaku tohoto signálu musí překročit maximální hladinu akustického tlaku okolního hluku na ovládacím stanovišti nejméně o 3 dB(A).</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7.</w:t>
      </w:r>
      <w:r w:rsidRPr="003B6E11">
        <w:rPr>
          <w:lang w:val="cs-CZ"/>
        </w:rPr>
        <w:tab/>
        <w:t>Zvukový výstražný signál musí být možné vypnout poté, co byla porucha nebo nesprávná funkce vzata na vědomí. Vypnutím nesmí být znemožněno, aby se výstražný signál opět spustil v případě jiné chybné funkce. Červená výstražná světla smí zhasnout teprve po odstranění závady.</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8.</w:t>
      </w:r>
      <w:r w:rsidRPr="003B6E11">
        <w:rPr>
          <w:lang w:val="cs-CZ"/>
        </w:rPr>
        <w:tab/>
        <w:t>Kontrolní a signální zařízení se v případě výpadku zdroje energie musí automaticky přepnout na náhradní zdroj energie.</w:t>
      </w:r>
    </w:p>
    <w:p w:rsidR="00822C1C" w:rsidRPr="003B6E11" w:rsidRDefault="00822C1C" w:rsidP="00822C1C">
      <w:pPr>
        <w:pStyle w:val="ESch"/>
        <w:rPr>
          <w:szCs w:val="20"/>
          <w:lang w:val="cs-CZ"/>
        </w:rPr>
      </w:pPr>
    </w:p>
    <w:p w:rsidR="00822C1C" w:rsidRPr="003B6E11" w:rsidRDefault="00D94C10" w:rsidP="00822C1C">
      <w:pPr>
        <w:pStyle w:val="ESch"/>
        <w:rPr>
          <w:szCs w:val="20"/>
          <w:lang w:val="cs-CZ"/>
        </w:rPr>
      </w:pPr>
      <w:r w:rsidRPr="003B6E11">
        <w:rPr>
          <w:lang w:val="cs-CZ"/>
        </w:rPr>
        <w:br w:type="page"/>
      </w:r>
    </w:p>
    <w:p w:rsidR="00822C1C" w:rsidRPr="003B6E11" w:rsidRDefault="00822C1C" w:rsidP="00822C1C">
      <w:pPr>
        <w:pStyle w:val="ES-Titre3"/>
        <w:rPr>
          <w:lang w:val="cs-CZ"/>
        </w:rPr>
      </w:pPr>
      <w:bookmarkStart w:id="92" w:name="_Toc491854046"/>
      <w:bookmarkStart w:id="93" w:name="_Toc535416952"/>
      <w:r w:rsidRPr="003B6E11">
        <w:rPr>
          <w:lang w:val="cs-CZ"/>
        </w:rPr>
        <w:t>Článek 7.04</w:t>
      </w:r>
      <w:r w:rsidRPr="003B6E11">
        <w:rPr>
          <w:lang w:val="cs-CZ"/>
        </w:rPr>
        <w:br/>
      </w:r>
      <w:r w:rsidRPr="003B6E11">
        <w:rPr>
          <w:i/>
          <w:lang w:val="cs-CZ"/>
        </w:rPr>
        <w:t>Zvláštní požadavky na ovládací, signální a kontrolní zařízení hlavních motorů a kormidelního zařízení</w:t>
      </w:r>
      <w:bookmarkEnd w:id="92"/>
      <w:bookmarkEnd w:id="93"/>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1.</w:t>
      </w:r>
      <w:r w:rsidRPr="003B6E11">
        <w:rPr>
          <w:lang w:val="cs-CZ"/>
        </w:rPr>
        <w:tab/>
        <w:t>Z ovládacího stanoviště musí být možné ovládat a sledovat hlavní motory a kormidelní zařízení. Hlavní motory vybavené spojkou, kterou lze ovládat z ovládacího stanoviště, nebo hlavní motory pohánějící lodní vrtuli s nastavitelným stoupáním, které ze ovládat z ovládacího stanoviště, musí být možné zapnout a vypnout pouze ze strojovny.</w:t>
      </w:r>
    </w:p>
    <w:p w:rsidR="00D94C10" w:rsidRPr="003B6E11" w:rsidRDefault="00D94C10" w:rsidP="00822C1C">
      <w:pPr>
        <w:pStyle w:val="ESch"/>
        <w:rPr>
          <w:szCs w:val="20"/>
          <w:lang w:val="cs-CZ"/>
        </w:rPr>
      </w:pPr>
    </w:p>
    <w:p w:rsidR="00822C1C" w:rsidRPr="003B6E11" w:rsidRDefault="00822C1C" w:rsidP="00822C1C">
      <w:pPr>
        <w:pStyle w:val="ESch"/>
        <w:rPr>
          <w:szCs w:val="20"/>
          <w:lang w:val="cs-CZ"/>
        </w:rPr>
      </w:pPr>
      <w:r w:rsidRPr="003B6E11">
        <w:rPr>
          <w:lang w:val="cs-CZ"/>
        </w:rPr>
        <w:t>2.</w:t>
      </w:r>
      <w:r w:rsidRPr="003B6E11">
        <w:rPr>
          <w:lang w:val="cs-CZ"/>
        </w:rPr>
        <w:tab/>
        <w:t>Každý hlavní motor musí být ovládán jednou pákou, která opisuje oblouk ve svislé rovině víceméně rovnoběžné s podélnou osou lodi. Pohyb páky směrem k přídi lodi musí způsobit pohyb dopředu a pohyb páky k zádi musí způsobit pohyb lodi směrem dozadu. K zapnutí spojky a změně směru musí dojít přibližně v neutrální poloze páky. Páka musí do neutrální polohy zaklapnout.</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3.</w:t>
      </w:r>
      <w:r w:rsidRPr="003B6E11">
        <w:rPr>
          <w:lang w:val="cs-CZ"/>
        </w:rPr>
        <w:tab/>
        <w:t>Musí se zobrazovat směr tahu, kterým na loď působí pohon, a počet otáček lodní vrtule nebo hlavních motorů.</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4.</w:t>
      </w:r>
      <w:r w:rsidRPr="003B6E11">
        <w:rPr>
          <w:lang w:val="cs-CZ"/>
        </w:rPr>
        <w:tab/>
        <w:t>Na ovládacím stanovišti se musí nacházet signální a kontrolní zařízení podle čl. 6.07 odst. 2, čl. 8.03 odst. 2 a čl. 8.05 odst. 13.</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5.</w:t>
      </w:r>
      <w:r w:rsidRPr="003B6E11">
        <w:rPr>
          <w:lang w:val="cs-CZ"/>
        </w:rPr>
        <w:tab/>
        <w:t>Lodě s kormidelnou uspořádanou k vedení plavidla pomocí radaru jednou osobou musí být ovládány pákou. Pákou musí být možno snadno pohybovat ručně. Poloha páky s ohledem na podélnou osu lodi musí přesně odpovídat poloze kormidelních ploutví. Musí být možné uvolnit páku v libovolné poloze, aniž by došlo ke změně polohy kormidelních ploutví. Neutrální poloha páky musí být jednoznačně rozpoznatelná.</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6.</w:t>
      </w:r>
      <w:r w:rsidRPr="003B6E11">
        <w:rPr>
          <w:lang w:val="cs-CZ"/>
        </w:rPr>
        <w:tab/>
        <w:t>Pokud je loď vybavena příďovými nebo zvláštními kormidly, zejména pro plavbu vzad, musí se se tato kormidla v kormidelně uspořádané k vedení plavidla pomocí radaru jednou osobou ovládat pomocí zvláštních pák, které obdobně splňují požadavky stanovené v odstavci 5.</w:t>
      </w:r>
    </w:p>
    <w:p w:rsidR="00822C1C" w:rsidRPr="003B6E11" w:rsidRDefault="00822C1C" w:rsidP="00822C1C">
      <w:pPr>
        <w:pStyle w:val="ESch"/>
        <w:rPr>
          <w:szCs w:val="20"/>
          <w:lang w:val="cs-CZ"/>
        </w:rPr>
      </w:pPr>
    </w:p>
    <w:p w:rsidR="00822C1C" w:rsidRPr="003B6E11" w:rsidRDefault="00822C1C" w:rsidP="00822C1C">
      <w:pPr>
        <w:pStyle w:val="ESchpar"/>
        <w:rPr>
          <w:lang w:val="cs-CZ"/>
        </w:rPr>
      </w:pPr>
      <w:r w:rsidRPr="003B6E11">
        <w:rPr>
          <w:lang w:val="cs-CZ"/>
        </w:rPr>
        <w:t>Tento požadavek platí rovněž tehdy, pokud se v případě sestav používá kormidelní zařízení jiného plavidla než plavidla vedoucího sestavu.</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7.</w:t>
      </w:r>
      <w:r w:rsidRPr="003B6E11">
        <w:rPr>
          <w:lang w:val="cs-CZ"/>
        </w:rPr>
        <w:tab/>
        <w:t>Používají-li se regulátory rychlosti otáčení, musí být možné ovládací prvek rychlosti otáčení v libovolné poloze uvolnit, aniž by došlo ke změně nastavené rychlosti.</w:t>
      </w:r>
    </w:p>
    <w:p w:rsidR="00822C1C" w:rsidRPr="003B6E11" w:rsidRDefault="00822C1C" w:rsidP="00822C1C">
      <w:pPr>
        <w:pStyle w:val="ESch"/>
        <w:rPr>
          <w:szCs w:val="20"/>
          <w:lang w:val="cs-CZ"/>
        </w:rPr>
      </w:pPr>
    </w:p>
    <w:p w:rsidR="00822C1C" w:rsidRPr="003B6E11" w:rsidRDefault="00822C1C" w:rsidP="00822C1C">
      <w:pPr>
        <w:pStyle w:val="ESchpar"/>
        <w:rPr>
          <w:lang w:val="cs-CZ"/>
        </w:rPr>
      </w:pPr>
      <w:r w:rsidRPr="003B6E11">
        <w:rPr>
          <w:lang w:val="cs-CZ"/>
        </w:rPr>
        <w:t>Rozsah otáčení ovládacího prvku musí být dostatečný, aby bylo zajištěno přiměřeně přesné nastavení. Neutrální poloha musí být jasně rozeznatelná od ostatních poloh. Musí být možné zvýšit nebo snížit úroveň osvětlení.</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8.</w:t>
      </w:r>
      <w:r w:rsidRPr="003B6E11">
        <w:rPr>
          <w:lang w:val="cs-CZ"/>
        </w:rPr>
        <w:tab/>
        <w:t>Zařízení k dálkovému ovládání celého kormidelního zařízení musí být trvale zabudováno a uspořádáno tak, aby byl zvolený kurz jasně rozpoznatelný. Je-li možné zařízení k dálkovému ovládání vypnout, musí být vybaveno indikačním zařízením, které ukazuje příslušný provozní stav – „zapnuto“ nebo „vypnuto“. Uspořádání a ovládání ovládacích prvků musí být účelné.</w:t>
      </w:r>
    </w:p>
    <w:p w:rsidR="00822C1C" w:rsidRPr="003B6E11" w:rsidRDefault="00822C1C" w:rsidP="00822C1C">
      <w:pPr>
        <w:pStyle w:val="ESch"/>
        <w:rPr>
          <w:szCs w:val="20"/>
          <w:lang w:val="cs-CZ"/>
        </w:rPr>
      </w:pPr>
    </w:p>
    <w:p w:rsidR="00D94C10" w:rsidRPr="003B6E11" w:rsidRDefault="00D94C10" w:rsidP="00822C1C">
      <w:pPr>
        <w:pStyle w:val="ESch"/>
        <w:rPr>
          <w:szCs w:val="20"/>
          <w:lang w:val="cs-CZ"/>
        </w:rPr>
      </w:pPr>
      <w:r w:rsidRPr="003B6E11">
        <w:rPr>
          <w:lang w:val="cs-CZ"/>
        </w:rPr>
        <w:br w:type="page"/>
      </w:r>
    </w:p>
    <w:p w:rsidR="00822C1C" w:rsidRPr="003B6E11" w:rsidRDefault="00822C1C" w:rsidP="00822C1C">
      <w:pPr>
        <w:pStyle w:val="ESchpar"/>
        <w:rPr>
          <w:lang w:val="cs-CZ"/>
        </w:rPr>
      </w:pPr>
      <w:r w:rsidRPr="003B6E11">
        <w:rPr>
          <w:lang w:val="cs-CZ"/>
        </w:rPr>
        <w:t>U zařízení zdvojujících kormidelní zařízení, jako je příďové dokormidlovací zařízení, je přípustné zařízení k dálkovému ovládání, které není trvale zabudováno, je-li možno toto zdvojující zařízení kdykoli v kormidelně vyřadit.</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9.</w:t>
      </w:r>
      <w:r w:rsidRPr="003B6E11">
        <w:rPr>
          <w:lang w:val="cs-CZ"/>
        </w:rPr>
        <w:tab/>
        <w:t>V případě kormidlovacích lodních vrtulí, vodometů, cykloidních (Voith-Schneider) lodních vrtulí a příďového dokormidlovacího zařízení jsou přípustné rovnocenné ovládací prvky a signální a kontrolní zařízení.</w:t>
      </w:r>
    </w:p>
    <w:p w:rsidR="00822C1C" w:rsidRPr="003B6E11" w:rsidRDefault="00822C1C" w:rsidP="00822C1C">
      <w:pPr>
        <w:pStyle w:val="ESchpar"/>
        <w:rPr>
          <w:szCs w:val="20"/>
          <w:lang w:val="cs-CZ"/>
        </w:rPr>
      </w:pPr>
    </w:p>
    <w:p w:rsidR="00822C1C" w:rsidRPr="003B6E11" w:rsidRDefault="00822C1C" w:rsidP="00822C1C">
      <w:pPr>
        <w:pStyle w:val="ESchpar"/>
        <w:rPr>
          <w:lang w:val="cs-CZ"/>
        </w:rPr>
      </w:pPr>
      <w:r w:rsidRPr="003B6E11">
        <w:rPr>
          <w:lang w:val="cs-CZ"/>
        </w:rPr>
        <w:t>Požadavky uvedené v odstavcích 1 až 8 platí obdobně s ohledem na zvláštní vlastnosti a zvolené uspořádání výše uvedených aktivních kormidlovacích a pohonných jednotek. Podobně jako v případě odstavce 2 musí být každá jednotka ovládána pákou pohybující se po oblouku kruhu ve svislé rovině víceméně rovnoběžné se směrem tahu pohonné jednotky. Z polohy páky musí být jednoznačně rozpoznatelný směr tahu, kterým na loď působí pohon.</w:t>
      </w:r>
    </w:p>
    <w:p w:rsidR="00822C1C" w:rsidRPr="003B6E11" w:rsidRDefault="00822C1C" w:rsidP="00822C1C">
      <w:pPr>
        <w:pStyle w:val="ESchpar"/>
        <w:rPr>
          <w:szCs w:val="20"/>
          <w:lang w:val="cs-CZ"/>
        </w:rPr>
      </w:pPr>
    </w:p>
    <w:p w:rsidR="00822C1C" w:rsidRPr="003B6E11" w:rsidRDefault="00822C1C" w:rsidP="00822C1C">
      <w:pPr>
        <w:pStyle w:val="ESchpar"/>
        <w:rPr>
          <w:lang w:val="cs-CZ"/>
        </w:rPr>
      </w:pPr>
      <w:r w:rsidRPr="003B6E11">
        <w:rPr>
          <w:lang w:val="cs-CZ"/>
        </w:rPr>
        <w:t>Pokud systémy kormidlovací lodní vrtule nebo cykloidní (Voith-Schneider) lodní vrtule nejsou ovládány pákou, může subjekt pověřený prohlídkami povolit odchylku od odstavce 2. Tyto odchylky musí být uvedeny v bodě 52 osvědčení plavidla vnitrozemské plavby.</w:t>
      </w:r>
    </w:p>
    <w:p w:rsidR="00822C1C" w:rsidRPr="003B6E11" w:rsidRDefault="00822C1C" w:rsidP="00822C1C">
      <w:pPr>
        <w:pStyle w:val="ESch"/>
        <w:rPr>
          <w:szCs w:val="20"/>
          <w:lang w:val="cs-CZ"/>
        </w:rPr>
      </w:pPr>
    </w:p>
    <w:p w:rsidR="00D94C10" w:rsidRPr="003B6E11" w:rsidRDefault="00D94C10" w:rsidP="00822C1C">
      <w:pPr>
        <w:pStyle w:val="ESch"/>
        <w:rPr>
          <w:szCs w:val="20"/>
          <w:lang w:val="cs-CZ"/>
        </w:rPr>
      </w:pPr>
    </w:p>
    <w:p w:rsidR="00DD67C0" w:rsidRPr="003B6E11" w:rsidRDefault="00822C1C" w:rsidP="00DD67C0">
      <w:pPr>
        <w:spacing w:line="240" w:lineRule="atLeast"/>
        <w:jc w:val="center"/>
        <w:rPr>
          <w:rFonts w:cs="Arial"/>
          <w:bCs/>
          <w:i/>
          <w:lang w:val="cs-CZ"/>
        </w:rPr>
      </w:pPr>
      <w:r w:rsidRPr="003B6E11">
        <w:rPr>
          <w:b/>
          <w:lang w:val="cs-CZ"/>
        </w:rPr>
        <w:t>Článek 7.05</w:t>
      </w:r>
      <w:r w:rsidRPr="003B6E11">
        <w:rPr>
          <w:lang w:val="cs-CZ"/>
        </w:rPr>
        <w:br/>
      </w:r>
      <w:r w:rsidRPr="003B6E11">
        <w:rPr>
          <w:b/>
          <w:i/>
          <w:lang w:val="cs-CZ"/>
        </w:rPr>
        <w:t>Navigační světla, světelné a zvukové signály</w:t>
      </w:r>
    </w:p>
    <w:p w:rsidR="00DD67C0" w:rsidRPr="003B6E11" w:rsidRDefault="00DD67C0" w:rsidP="00DD67C0">
      <w:pPr>
        <w:spacing w:line="240" w:lineRule="atLeast"/>
        <w:rPr>
          <w:rFonts w:cs="Arial"/>
          <w:bCs/>
          <w:i/>
          <w:lang w:val="cs-CZ"/>
        </w:rPr>
      </w:pPr>
    </w:p>
    <w:p w:rsidR="00DD67C0" w:rsidRPr="003B6E11" w:rsidRDefault="00DD67C0" w:rsidP="0071721E">
      <w:pPr>
        <w:pStyle w:val="ESch"/>
        <w:rPr>
          <w:lang w:val="cs-CZ"/>
        </w:rPr>
      </w:pPr>
      <w:r w:rsidRPr="003B6E11">
        <w:rPr>
          <w:lang w:val="cs-CZ"/>
        </w:rPr>
        <w:t>1.</w:t>
      </w:r>
      <w:r w:rsidRPr="003B6E11">
        <w:rPr>
          <w:lang w:val="cs-CZ"/>
        </w:rPr>
        <w:tab/>
        <w:t>Navigační světla, jejich kryty a příslušenství musí být opatřeny značkou schválení předepsanou směrnicí 2014/90/EU</w:t>
      </w:r>
      <w:r w:rsidRPr="003B6E11">
        <w:rPr>
          <w:vertAlign w:val="superscript"/>
          <w:lang w:val="cs-CZ"/>
        </w:rPr>
        <w:footnoteReference w:id="7"/>
      </w:r>
      <w:r w:rsidRPr="003B6E11">
        <w:rPr>
          <w:lang w:val="cs-CZ"/>
        </w:rPr>
        <w:t xml:space="preserve"> ve znění pozdějších předpisů. </w:t>
      </w:r>
    </w:p>
    <w:p w:rsidR="00DD67C0" w:rsidRPr="003B6E11" w:rsidRDefault="00DD67C0" w:rsidP="0071721E">
      <w:pPr>
        <w:pStyle w:val="ESch"/>
        <w:rPr>
          <w:rFonts w:cs="Arial"/>
          <w:bCs/>
          <w:i/>
          <w:lang w:val="cs-CZ"/>
        </w:rPr>
      </w:pPr>
    </w:p>
    <w:p w:rsidR="00DD67C0" w:rsidRPr="003B6E11" w:rsidRDefault="00DD67C0" w:rsidP="0071721E">
      <w:pPr>
        <w:pStyle w:val="ESch"/>
        <w:rPr>
          <w:lang w:val="cs-CZ"/>
        </w:rPr>
      </w:pPr>
      <w:r w:rsidRPr="003B6E11">
        <w:rPr>
          <w:lang w:val="cs-CZ"/>
        </w:rPr>
        <w:t>2.</w:t>
      </w:r>
      <w:r w:rsidRPr="003B6E11">
        <w:rPr>
          <w:lang w:val="cs-CZ"/>
        </w:rPr>
        <w:tab/>
        <w:t>V kormidelně musí být umístěny elektrické světelné indikátory nebo rovnocenná zařízení, jako např. kontrolky, ke kontrole navigačních světel, není-li možné kontrolu provádět přímo z kormidelny.</w:t>
      </w:r>
    </w:p>
    <w:p w:rsidR="00DD67C0" w:rsidRPr="003B6E11" w:rsidRDefault="00DD67C0" w:rsidP="0071721E">
      <w:pPr>
        <w:pStyle w:val="ESch"/>
        <w:rPr>
          <w:lang w:val="cs-CZ"/>
        </w:rPr>
      </w:pPr>
    </w:p>
    <w:p w:rsidR="00DD67C0" w:rsidRPr="003B6E11" w:rsidRDefault="0071721E" w:rsidP="0071721E">
      <w:pPr>
        <w:pStyle w:val="ESch"/>
        <w:rPr>
          <w:lang w:val="cs-CZ"/>
        </w:rPr>
      </w:pPr>
      <w:r w:rsidRPr="003B6E11">
        <w:rPr>
          <w:lang w:val="cs-CZ"/>
        </w:rPr>
        <w:t>3.</w:t>
      </w:r>
      <w:r w:rsidRPr="003B6E11">
        <w:rPr>
          <w:lang w:val="cs-CZ"/>
        </w:rPr>
        <w:tab/>
        <w:t>V kormidelnách uspořádaných k vedení plavidla pomocí radaru jednou osobou musí být na ovládacím panelu umístěny kontrolky ke kontrole navigačních světel a světelných signálů. Vypínače navigačních světel musí být zabudovány do kontrolek nebo se nacházet v jejich bezprostřední blízkosti a musí jim být jednoznačně přiřazeny.</w:t>
      </w:r>
    </w:p>
    <w:p w:rsidR="00DD67C0" w:rsidRPr="003B6E11" w:rsidRDefault="00DD67C0" w:rsidP="0071721E">
      <w:pPr>
        <w:pStyle w:val="ESch"/>
        <w:rPr>
          <w:lang w:val="cs-CZ"/>
        </w:rPr>
      </w:pPr>
    </w:p>
    <w:p w:rsidR="00DD67C0" w:rsidRPr="003B6E11" w:rsidRDefault="00DD67C0" w:rsidP="0071721E">
      <w:pPr>
        <w:pStyle w:val="ESchpar"/>
        <w:rPr>
          <w:lang w:val="cs-CZ"/>
        </w:rPr>
      </w:pPr>
      <w:r w:rsidRPr="003B6E11">
        <w:rPr>
          <w:lang w:val="cs-CZ"/>
        </w:rPr>
        <w:t>Uspořádání a barva kontrolek pro navigační světla a světelné signály musí odpovídat skutečné poloze a barvě daných světel a signálů.</w:t>
      </w:r>
    </w:p>
    <w:p w:rsidR="00DD67C0" w:rsidRPr="003B6E11" w:rsidRDefault="00DD67C0" w:rsidP="0071721E">
      <w:pPr>
        <w:pStyle w:val="ESch"/>
        <w:rPr>
          <w:lang w:val="cs-CZ"/>
        </w:rPr>
      </w:pPr>
    </w:p>
    <w:p w:rsidR="00DD67C0" w:rsidRPr="003B6E11" w:rsidRDefault="00DD67C0" w:rsidP="0071721E">
      <w:pPr>
        <w:pStyle w:val="ESchpar"/>
        <w:rPr>
          <w:lang w:val="cs-CZ"/>
        </w:rPr>
      </w:pPr>
      <w:r w:rsidRPr="003B6E11">
        <w:rPr>
          <w:lang w:val="cs-CZ"/>
        </w:rPr>
        <w:t>Při poruše navigačního světla nebo světelného signálu musí dojít ke zhasnutí příslušné kontrolky nebo musí být porucha signalizována jiným způsobem.</w:t>
      </w:r>
    </w:p>
    <w:p w:rsidR="00DD67C0" w:rsidRPr="003B6E11" w:rsidRDefault="00DD67C0" w:rsidP="0071721E">
      <w:pPr>
        <w:pStyle w:val="ESch"/>
        <w:rPr>
          <w:lang w:val="cs-CZ"/>
        </w:rPr>
      </w:pPr>
    </w:p>
    <w:p w:rsidR="00822C1C" w:rsidRPr="003B6E11" w:rsidRDefault="00DD67C0" w:rsidP="0071721E">
      <w:pPr>
        <w:pStyle w:val="ESch"/>
        <w:rPr>
          <w:lang w:val="cs-CZ"/>
        </w:rPr>
      </w:pPr>
      <w:r w:rsidRPr="003B6E11">
        <w:rPr>
          <w:lang w:val="cs-CZ"/>
        </w:rPr>
        <w:t>4.</w:t>
      </w:r>
      <w:r w:rsidRPr="003B6E11">
        <w:rPr>
          <w:lang w:val="cs-CZ"/>
        </w:rPr>
        <w:tab/>
        <w:t>V kormidelnách uspořádaných k vedení plavidla pomocí radaru jednou osobou musí být možné aktivovat zvukové signály pomocí nožního vypínače. Tento požadavek se nevztahuje na signál „nepřibližovat se“ v souladu s příslušnými předpisy plavebních orgánů členských států.</w:t>
      </w:r>
    </w:p>
    <w:p w:rsidR="00D94C10" w:rsidRPr="003B6E11" w:rsidRDefault="00D94C10" w:rsidP="00822C1C">
      <w:pPr>
        <w:pStyle w:val="ESch"/>
        <w:rPr>
          <w:szCs w:val="20"/>
          <w:lang w:val="cs-CZ"/>
        </w:rPr>
      </w:pPr>
      <w:r w:rsidRPr="003B6E11">
        <w:rPr>
          <w:lang w:val="cs-CZ"/>
        </w:rPr>
        <w:br w:type="page"/>
      </w:r>
    </w:p>
    <w:p w:rsidR="00822C1C" w:rsidRPr="003B6E11" w:rsidRDefault="00822C1C" w:rsidP="00822C1C">
      <w:pPr>
        <w:pStyle w:val="ES-Titre3"/>
        <w:rPr>
          <w:lang w:val="cs-CZ"/>
        </w:rPr>
      </w:pPr>
      <w:bookmarkStart w:id="94" w:name="_Toc491854047"/>
      <w:bookmarkStart w:id="95" w:name="_Toc535416953"/>
      <w:r w:rsidRPr="003B6E11">
        <w:rPr>
          <w:lang w:val="cs-CZ"/>
        </w:rPr>
        <w:t>Článek 7.06</w:t>
      </w:r>
      <w:r w:rsidRPr="003B6E11">
        <w:rPr>
          <w:lang w:val="cs-CZ"/>
        </w:rPr>
        <w:br/>
      </w:r>
      <w:r w:rsidRPr="003B6E11">
        <w:rPr>
          <w:i/>
          <w:lang w:val="cs-CZ"/>
        </w:rPr>
        <w:t>Navigační a informační zařízení</w:t>
      </w:r>
      <w:bookmarkEnd w:id="94"/>
      <w:bookmarkEnd w:id="95"/>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1.</w:t>
      </w:r>
      <w:r w:rsidRPr="003B6E11">
        <w:rPr>
          <w:lang w:val="cs-CZ"/>
        </w:rPr>
        <w:tab/>
        <w:t xml:space="preserve">Navigační radarové zařízení a ukazatele rychlosti otáčení musí splňovat požadavky stanovené v příloze 5. Splnění těchto požadavků se stanoví na základě schválení typu vydaného příslušným orgánem. </w:t>
      </w:r>
    </w:p>
    <w:p w:rsidR="00822C1C" w:rsidRPr="003B6E11" w:rsidRDefault="00822C1C" w:rsidP="00822C1C">
      <w:pPr>
        <w:pStyle w:val="ESch"/>
        <w:rPr>
          <w:szCs w:val="20"/>
          <w:lang w:val="cs-CZ"/>
        </w:rPr>
      </w:pPr>
    </w:p>
    <w:p w:rsidR="00DD67C0" w:rsidRPr="003B6E11" w:rsidRDefault="00822C1C" w:rsidP="00DD67C0">
      <w:pPr>
        <w:pStyle w:val="ESch"/>
        <w:rPr>
          <w:szCs w:val="20"/>
          <w:lang w:val="cs-CZ"/>
        </w:rPr>
      </w:pPr>
      <w:r w:rsidRPr="003B6E11">
        <w:rPr>
          <w:lang w:val="cs-CZ"/>
        </w:rPr>
        <w:t>2.</w:t>
      </w:r>
      <w:r w:rsidRPr="003B6E11">
        <w:rPr>
          <w:lang w:val="cs-CZ"/>
        </w:rPr>
        <w:tab/>
        <w:t>Zařízení pro vnitrozemský ECDIS, jež lze provozovat v navigačním režimu, se považuje za navigační radarové zařízení. Musí splňovat požadavky normy pro vnitrozemský ECDIS. Musí být dodrženy požadavky přílohy 5.</w:t>
      </w:r>
    </w:p>
    <w:p w:rsidR="00822C1C" w:rsidRPr="003B6E11" w:rsidRDefault="00822C1C" w:rsidP="00DD67C0">
      <w:pPr>
        <w:pStyle w:val="ESch"/>
        <w:rPr>
          <w:szCs w:val="20"/>
          <w:lang w:val="cs-CZ"/>
        </w:rPr>
      </w:pPr>
    </w:p>
    <w:p w:rsidR="00822C1C" w:rsidRPr="003B6E11" w:rsidRDefault="008418DC" w:rsidP="00822C1C">
      <w:pPr>
        <w:pStyle w:val="ESch"/>
        <w:rPr>
          <w:rFonts w:cs="Arial"/>
          <w:szCs w:val="20"/>
          <w:lang w:val="cs-CZ"/>
        </w:rPr>
      </w:pPr>
      <w:r w:rsidRPr="003B6E11">
        <w:rPr>
          <w:lang w:val="cs-CZ"/>
        </w:rPr>
        <w:t>3.</w:t>
      </w:r>
      <w:r w:rsidRPr="003B6E11">
        <w:rPr>
          <w:lang w:val="cs-CZ"/>
        </w:rPr>
        <w:tab/>
        <w:t>Zařízení pro vnitrozemský AIS musí splňovat požadavky stávající zkušební normy pro vnitrozemský AIS. Musí být dodrženy požadavky přílohy 5.</w:t>
      </w:r>
    </w:p>
    <w:p w:rsidR="008418DC" w:rsidRPr="003B6E11" w:rsidRDefault="008418DC" w:rsidP="00822C1C">
      <w:pPr>
        <w:pStyle w:val="ESch"/>
        <w:rPr>
          <w:szCs w:val="20"/>
          <w:lang w:val="cs-CZ"/>
        </w:rPr>
      </w:pPr>
    </w:p>
    <w:p w:rsidR="00822C1C" w:rsidRPr="003B6E11" w:rsidRDefault="00822C1C" w:rsidP="00822C1C">
      <w:pPr>
        <w:pStyle w:val="ESch"/>
        <w:rPr>
          <w:szCs w:val="20"/>
          <w:lang w:val="cs-CZ"/>
        </w:rPr>
      </w:pPr>
      <w:r w:rsidRPr="003B6E11">
        <w:rPr>
          <w:lang w:val="cs-CZ"/>
        </w:rPr>
        <w:t>4.</w:t>
      </w:r>
      <w:r w:rsidRPr="003B6E11">
        <w:rPr>
          <w:lang w:val="cs-CZ"/>
        </w:rPr>
        <w:tab/>
        <w:t>Ukazatel rychlosti otáčení musí být umístěn před kormidelníkem v jeho zorném poli.</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5.</w:t>
      </w:r>
      <w:r w:rsidRPr="003B6E11">
        <w:rPr>
          <w:lang w:val="cs-CZ"/>
        </w:rPr>
        <w:tab/>
        <w:t>V kormidelnách uspořádaných k vedení plavidla pomocí radaru jednou osobou:</w:t>
      </w:r>
    </w:p>
    <w:p w:rsidR="00822C1C" w:rsidRPr="003B6E11" w:rsidRDefault="005C7859" w:rsidP="00822C1C">
      <w:pPr>
        <w:pStyle w:val="ESlet"/>
        <w:rPr>
          <w:lang w:val="cs-CZ"/>
        </w:rPr>
      </w:pPr>
      <w:r w:rsidRPr="003B6E11">
        <w:rPr>
          <w:lang w:val="cs-CZ"/>
        </w:rPr>
        <w:t>a)</w:t>
      </w:r>
      <w:r w:rsidRPr="003B6E11">
        <w:rPr>
          <w:lang w:val="cs-CZ"/>
        </w:rPr>
        <w:tab/>
        <w:t>obrazovka radaru nesmí být ve své normální poloze umístěna výrazně mimo směr pohledu kormidelníka;</w:t>
      </w:r>
    </w:p>
    <w:p w:rsidR="00822C1C" w:rsidRPr="003B6E11" w:rsidRDefault="005C7859" w:rsidP="00822C1C">
      <w:pPr>
        <w:pStyle w:val="ESlet"/>
        <w:rPr>
          <w:lang w:val="cs-CZ"/>
        </w:rPr>
      </w:pPr>
      <w:r w:rsidRPr="003B6E11">
        <w:rPr>
          <w:lang w:val="cs-CZ"/>
        </w:rPr>
        <w:t>b)</w:t>
      </w:r>
      <w:r w:rsidRPr="003B6E11">
        <w:rPr>
          <w:lang w:val="cs-CZ"/>
        </w:rPr>
        <w:tab/>
        <w:t>obraz radaru musí zůstat za všech světelných podmínek mimo kormidelnu dobře viditelný bez použití krytu nebo stínidla;</w:t>
      </w:r>
    </w:p>
    <w:p w:rsidR="00822C1C" w:rsidRPr="003B6E11" w:rsidRDefault="005C7859" w:rsidP="00822C1C">
      <w:pPr>
        <w:pStyle w:val="ESlet"/>
        <w:rPr>
          <w:lang w:val="cs-CZ"/>
        </w:rPr>
      </w:pPr>
      <w:r w:rsidRPr="003B6E11">
        <w:rPr>
          <w:lang w:val="cs-CZ"/>
        </w:rPr>
        <w:t>c)</w:t>
      </w:r>
      <w:r w:rsidRPr="003B6E11">
        <w:rPr>
          <w:lang w:val="cs-CZ"/>
        </w:rPr>
        <w:tab/>
        <w:t>ukazatel rychlosti otáčení musí být umístěn přímo nad nebo pod obrazem radaru nebo být do něj začleněn.</w:t>
      </w:r>
    </w:p>
    <w:p w:rsidR="00822C1C" w:rsidRPr="003B6E11" w:rsidRDefault="00822C1C" w:rsidP="00822C1C">
      <w:pPr>
        <w:pStyle w:val="ESch"/>
        <w:rPr>
          <w:szCs w:val="20"/>
          <w:lang w:val="cs-CZ"/>
        </w:rPr>
      </w:pPr>
    </w:p>
    <w:p w:rsidR="00822C1C" w:rsidRPr="003B6E11" w:rsidRDefault="00822C1C" w:rsidP="00822C1C">
      <w:pPr>
        <w:pStyle w:val="ESch"/>
        <w:rPr>
          <w:lang w:val="cs-CZ"/>
        </w:rPr>
      </w:pPr>
    </w:p>
    <w:p w:rsidR="00822C1C" w:rsidRPr="003B6E11" w:rsidRDefault="00822C1C" w:rsidP="00822C1C">
      <w:pPr>
        <w:pStyle w:val="ES-Titre3"/>
        <w:rPr>
          <w:lang w:val="cs-CZ"/>
        </w:rPr>
      </w:pPr>
      <w:bookmarkStart w:id="96" w:name="_Toc491854048"/>
      <w:bookmarkStart w:id="97" w:name="_Toc535416954"/>
      <w:r w:rsidRPr="003B6E11">
        <w:rPr>
          <w:lang w:val="cs-CZ"/>
        </w:rPr>
        <w:t>Článek 7.07</w:t>
      </w:r>
      <w:r w:rsidRPr="003B6E11">
        <w:rPr>
          <w:lang w:val="cs-CZ"/>
        </w:rPr>
        <w:br/>
      </w:r>
      <w:r w:rsidRPr="003B6E11">
        <w:rPr>
          <w:i/>
          <w:lang w:val="cs-CZ"/>
        </w:rPr>
        <w:t>Radiotelefonní systémy u lodí s kormidelnami uspořádanými k vedení plavidla pomocí radaru jednou osobou</w:t>
      </w:r>
      <w:bookmarkEnd w:id="96"/>
      <w:bookmarkEnd w:id="97"/>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1.</w:t>
      </w:r>
      <w:r w:rsidRPr="003B6E11">
        <w:rPr>
          <w:lang w:val="cs-CZ"/>
        </w:rPr>
        <w:tab/>
        <w:t>Jsou-li kormidelny lodí uspořádány k vedení plavidla pomocí radaru jednou osobou, musí být příjem v rámci radiotelefonní služby kategorie plavidlo – plavidlo a příjem kategorií plavebních informací zajištěn reproduktorem a vysílání pevným mikrofonem. Přepínání mezi příjmem a vysíláním se musí provádět pomocí tlačítka.</w:t>
      </w:r>
    </w:p>
    <w:p w:rsidR="00822C1C" w:rsidRPr="003B6E11" w:rsidRDefault="00822C1C" w:rsidP="00822C1C">
      <w:pPr>
        <w:pStyle w:val="ESch"/>
        <w:rPr>
          <w:szCs w:val="20"/>
          <w:lang w:val="cs-CZ"/>
        </w:rPr>
      </w:pPr>
    </w:p>
    <w:p w:rsidR="00822C1C" w:rsidRPr="003B6E11" w:rsidRDefault="00822C1C" w:rsidP="00822C1C">
      <w:pPr>
        <w:pStyle w:val="ESchpar"/>
        <w:rPr>
          <w:szCs w:val="20"/>
          <w:lang w:val="cs-CZ"/>
        </w:rPr>
      </w:pPr>
      <w:r w:rsidRPr="003B6E11">
        <w:rPr>
          <w:lang w:val="cs-CZ"/>
        </w:rPr>
        <w:t>Nesmí být možné používat mikrofony těchto sítí pro volání veřejnou sítí.</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2.</w:t>
      </w:r>
      <w:r w:rsidRPr="003B6E11">
        <w:rPr>
          <w:lang w:val="cs-CZ"/>
        </w:rPr>
        <w:tab/>
        <w:t>Pokud je kormidelna uspořádaná k vedení plavidla pomocí radaru jednou osobou vybavena radiotelefonním systémem pro veřejnou síť, musí být příjem možný ze sedadla kormidelníka.</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p>
    <w:p w:rsidR="00B006DB" w:rsidRPr="003B6E11" w:rsidRDefault="00B006DB" w:rsidP="00822C1C">
      <w:pPr>
        <w:pStyle w:val="ESch"/>
        <w:rPr>
          <w:szCs w:val="20"/>
          <w:lang w:val="cs-CZ"/>
        </w:rPr>
      </w:pPr>
      <w:r w:rsidRPr="003B6E11">
        <w:rPr>
          <w:lang w:val="cs-CZ"/>
        </w:rPr>
        <w:br w:type="page"/>
      </w:r>
    </w:p>
    <w:p w:rsidR="00822C1C" w:rsidRPr="003B6E11" w:rsidRDefault="00822C1C" w:rsidP="00822C1C">
      <w:pPr>
        <w:pStyle w:val="ES-Titre3"/>
        <w:rPr>
          <w:lang w:val="cs-CZ"/>
        </w:rPr>
      </w:pPr>
      <w:bookmarkStart w:id="98" w:name="_Toc491854049"/>
      <w:bookmarkStart w:id="99" w:name="_Toc535416955"/>
      <w:r w:rsidRPr="003B6E11">
        <w:rPr>
          <w:lang w:val="cs-CZ"/>
        </w:rPr>
        <w:t>Článek 7.08</w:t>
      </w:r>
      <w:r w:rsidRPr="003B6E11">
        <w:rPr>
          <w:lang w:val="cs-CZ"/>
        </w:rPr>
        <w:br/>
      </w:r>
      <w:r w:rsidRPr="003B6E11">
        <w:rPr>
          <w:i/>
          <w:lang w:val="cs-CZ"/>
        </w:rPr>
        <w:t>Zařízení pro vnitřní komunikaci na plavidle</w:t>
      </w:r>
      <w:bookmarkEnd w:id="98"/>
      <w:bookmarkEnd w:id="99"/>
    </w:p>
    <w:p w:rsidR="00822C1C" w:rsidRPr="003B6E11" w:rsidRDefault="00822C1C" w:rsidP="00822C1C">
      <w:pPr>
        <w:pStyle w:val="ESch"/>
        <w:rPr>
          <w:szCs w:val="20"/>
          <w:lang w:val="cs-CZ"/>
        </w:rPr>
      </w:pPr>
    </w:p>
    <w:p w:rsidR="00822C1C" w:rsidRPr="003B6E11" w:rsidRDefault="00822C1C" w:rsidP="00822C1C">
      <w:pPr>
        <w:pStyle w:val="ESgauche"/>
        <w:rPr>
          <w:lang w:val="cs-CZ"/>
        </w:rPr>
      </w:pPr>
      <w:r w:rsidRPr="003B6E11">
        <w:rPr>
          <w:lang w:val="cs-CZ"/>
        </w:rPr>
        <w:t>Na lodích s kormidelnou uspořádanou k vedení plavidla pomocí radaru jednou osobou musí být k dispozici zařízení pro vnitřní komunikaci na lodi.</w:t>
      </w:r>
    </w:p>
    <w:p w:rsidR="00822C1C" w:rsidRPr="003B6E11" w:rsidRDefault="00822C1C" w:rsidP="00822C1C">
      <w:pPr>
        <w:pStyle w:val="ESgauche"/>
        <w:rPr>
          <w:lang w:val="cs-CZ"/>
        </w:rPr>
      </w:pPr>
    </w:p>
    <w:p w:rsidR="00822C1C" w:rsidRPr="003B6E11" w:rsidRDefault="00822C1C" w:rsidP="00B006DB">
      <w:pPr>
        <w:pStyle w:val="ESgauche"/>
        <w:rPr>
          <w:lang w:val="cs-CZ"/>
        </w:rPr>
      </w:pPr>
      <w:r w:rsidRPr="003B6E11">
        <w:rPr>
          <w:lang w:val="cs-CZ"/>
        </w:rPr>
        <w:t>Z ovládacího stanoviště musí být možné navázat spojení:</w:t>
      </w:r>
    </w:p>
    <w:p w:rsidR="00822C1C" w:rsidRPr="003B6E11" w:rsidRDefault="005C7859" w:rsidP="00B006DB">
      <w:pPr>
        <w:pStyle w:val="ESletgauche"/>
        <w:rPr>
          <w:lang w:val="cs-CZ"/>
        </w:rPr>
      </w:pPr>
      <w:r w:rsidRPr="003B6E11">
        <w:rPr>
          <w:lang w:val="cs-CZ"/>
        </w:rPr>
        <w:t>a)</w:t>
      </w:r>
      <w:r w:rsidRPr="003B6E11">
        <w:rPr>
          <w:lang w:val="cs-CZ"/>
        </w:rPr>
        <w:tab/>
        <w:t>s přídí lodi nebo čelem sestavy;</w:t>
      </w:r>
    </w:p>
    <w:p w:rsidR="00822C1C" w:rsidRPr="003B6E11" w:rsidRDefault="005C7859" w:rsidP="00B006DB">
      <w:pPr>
        <w:pStyle w:val="ESletgauche"/>
        <w:rPr>
          <w:lang w:val="cs-CZ"/>
        </w:rPr>
      </w:pPr>
      <w:r w:rsidRPr="003B6E11">
        <w:rPr>
          <w:lang w:val="cs-CZ"/>
        </w:rPr>
        <w:t>b)</w:t>
      </w:r>
      <w:r w:rsidRPr="003B6E11">
        <w:rPr>
          <w:lang w:val="cs-CZ"/>
        </w:rPr>
        <w:tab/>
        <w:t>se zádí lodi nebo zadní částí sestavy, není-li z ovládacího stanoviště možná přímá komunikace;</w:t>
      </w:r>
    </w:p>
    <w:p w:rsidR="00822C1C" w:rsidRPr="003B6E11" w:rsidRDefault="005C7859" w:rsidP="00B006DB">
      <w:pPr>
        <w:pStyle w:val="ESletgauche"/>
        <w:rPr>
          <w:lang w:val="cs-CZ"/>
        </w:rPr>
      </w:pPr>
      <w:r w:rsidRPr="003B6E11">
        <w:rPr>
          <w:lang w:val="cs-CZ"/>
        </w:rPr>
        <w:t>c)</w:t>
      </w:r>
      <w:r w:rsidRPr="003B6E11">
        <w:rPr>
          <w:lang w:val="cs-CZ"/>
        </w:rPr>
        <w:tab/>
        <w:t>s obytnými prostory pro posádku;</w:t>
      </w:r>
    </w:p>
    <w:p w:rsidR="00822C1C" w:rsidRPr="003B6E11" w:rsidRDefault="005C7859" w:rsidP="00B006DB">
      <w:pPr>
        <w:pStyle w:val="ESletgauche"/>
        <w:rPr>
          <w:lang w:val="cs-CZ"/>
        </w:rPr>
      </w:pPr>
      <w:r w:rsidRPr="003B6E11">
        <w:rPr>
          <w:lang w:val="cs-CZ"/>
        </w:rPr>
        <w:t>d)</w:t>
      </w:r>
      <w:r w:rsidRPr="003B6E11">
        <w:rPr>
          <w:lang w:val="cs-CZ"/>
        </w:rPr>
        <w:tab/>
        <w:t>s kabinou vůdce plavidla.</w:t>
      </w:r>
    </w:p>
    <w:p w:rsidR="00822C1C" w:rsidRPr="003B6E11" w:rsidRDefault="00822C1C" w:rsidP="00822C1C">
      <w:pPr>
        <w:pStyle w:val="ESgauche"/>
        <w:rPr>
          <w:szCs w:val="20"/>
          <w:lang w:val="cs-CZ"/>
        </w:rPr>
      </w:pPr>
    </w:p>
    <w:p w:rsidR="00822C1C" w:rsidRPr="003B6E11" w:rsidRDefault="00822C1C" w:rsidP="00822C1C">
      <w:pPr>
        <w:pStyle w:val="ESgauche"/>
        <w:rPr>
          <w:szCs w:val="20"/>
          <w:lang w:val="cs-CZ"/>
        </w:rPr>
      </w:pPr>
      <w:r w:rsidRPr="003B6E11">
        <w:rPr>
          <w:lang w:val="cs-CZ"/>
        </w:rPr>
        <w:t>Příjem musí být na všech místech těchto vnitřních komunikačních linek uskutečňován pomocí reproduktoru a vysílání pevným mikrofonem. Spojení s přídí a zádí lodi nebo čelem a zadní částí sestavy může být radiotelefonní.</w:t>
      </w:r>
    </w:p>
    <w:p w:rsidR="00822C1C" w:rsidRPr="003B6E11" w:rsidRDefault="00822C1C" w:rsidP="00822C1C">
      <w:pPr>
        <w:pStyle w:val="ESgauche"/>
        <w:rPr>
          <w:szCs w:val="20"/>
          <w:lang w:val="cs-CZ"/>
        </w:rPr>
      </w:pPr>
    </w:p>
    <w:p w:rsidR="00822C1C" w:rsidRPr="003B6E11" w:rsidRDefault="00822C1C" w:rsidP="00822C1C">
      <w:pPr>
        <w:pStyle w:val="ESgauche"/>
        <w:rPr>
          <w:lang w:val="cs-CZ"/>
        </w:rPr>
      </w:pPr>
    </w:p>
    <w:p w:rsidR="00822C1C" w:rsidRPr="003B6E11" w:rsidRDefault="00822C1C" w:rsidP="00822C1C">
      <w:pPr>
        <w:pStyle w:val="ES-Titre3"/>
        <w:rPr>
          <w:lang w:val="cs-CZ"/>
        </w:rPr>
      </w:pPr>
      <w:bookmarkStart w:id="100" w:name="_Toc491854050"/>
      <w:bookmarkStart w:id="101" w:name="_Toc535416956"/>
      <w:r w:rsidRPr="003B6E11">
        <w:rPr>
          <w:lang w:val="cs-CZ"/>
        </w:rPr>
        <w:t>Článek 7.09</w:t>
      </w:r>
      <w:r w:rsidRPr="003B6E11">
        <w:rPr>
          <w:lang w:val="cs-CZ"/>
        </w:rPr>
        <w:br/>
      </w:r>
      <w:r w:rsidRPr="003B6E11">
        <w:rPr>
          <w:i/>
          <w:lang w:val="cs-CZ"/>
        </w:rPr>
        <w:t>Poplašný systém</w:t>
      </w:r>
      <w:bookmarkEnd w:id="100"/>
      <w:bookmarkEnd w:id="101"/>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1.</w:t>
      </w:r>
      <w:r w:rsidRPr="003B6E11">
        <w:rPr>
          <w:lang w:val="cs-CZ"/>
        </w:rPr>
        <w:tab/>
        <w:t>Musí být k dispozici nezávislý poplašný systém, jenž má dosah do obytných prostorů, strojoven a případně samostatných strojoven čerpadel.</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2.</w:t>
      </w:r>
      <w:r w:rsidRPr="003B6E11">
        <w:rPr>
          <w:lang w:val="cs-CZ"/>
        </w:rPr>
        <w:tab/>
        <w:t>Kormidelník musí mít v dosahu tlačítko „vypnuto/zapnuto“ pro ovládání poplašného signálu; tlačítkové spínače, které se po uvolnění automaticky vracejí do polohy „vypnuto“, nejsou povoleny.</w:t>
      </w:r>
    </w:p>
    <w:p w:rsidR="00822C1C" w:rsidRPr="003B6E11" w:rsidRDefault="00822C1C" w:rsidP="00822C1C">
      <w:pPr>
        <w:pStyle w:val="ESch"/>
        <w:rPr>
          <w:szCs w:val="20"/>
          <w:lang w:val="cs-CZ"/>
        </w:rPr>
      </w:pPr>
    </w:p>
    <w:p w:rsidR="00822C1C" w:rsidRPr="003B6E11" w:rsidRDefault="00822C1C" w:rsidP="00822C1C">
      <w:pPr>
        <w:pStyle w:val="ESch"/>
        <w:rPr>
          <w:szCs w:val="20"/>
          <w:lang w:val="cs-CZ"/>
        </w:rPr>
      </w:pPr>
      <w:r w:rsidRPr="003B6E11">
        <w:rPr>
          <w:lang w:val="cs-CZ"/>
        </w:rPr>
        <w:t>3.</w:t>
      </w:r>
      <w:r w:rsidRPr="003B6E11">
        <w:rPr>
          <w:lang w:val="cs-CZ"/>
        </w:rPr>
        <w:tab/>
        <w:t>Hladina akustického tlaku výstražného signálu v obytných prostorech nesmí být menší než 75 dB(A).</w:t>
      </w:r>
    </w:p>
    <w:p w:rsidR="00822C1C" w:rsidRPr="003B6E11" w:rsidRDefault="00822C1C" w:rsidP="00822C1C">
      <w:pPr>
        <w:pStyle w:val="ESch"/>
        <w:rPr>
          <w:szCs w:val="20"/>
          <w:lang w:val="cs-CZ"/>
        </w:rPr>
      </w:pPr>
    </w:p>
    <w:p w:rsidR="00822C1C" w:rsidRPr="003B6E11" w:rsidRDefault="00822C1C" w:rsidP="00822C1C">
      <w:pPr>
        <w:pStyle w:val="ESchpar"/>
        <w:rPr>
          <w:szCs w:val="20"/>
          <w:lang w:val="cs-CZ"/>
        </w:rPr>
      </w:pPr>
      <w:r w:rsidRPr="003B6E11">
        <w:rPr>
          <w:lang w:val="cs-CZ"/>
        </w:rPr>
        <w:t>Ve strojovnách a strojovnách čerpadel musí mít výstražný signál podobu blikajícího světla, které je viditelné ze všech stran a jednoznačně rozeznatelné na všech místech.</w:t>
      </w:r>
    </w:p>
    <w:p w:rsidR="00822C1C" w:rsidRPr="003B6E11" w:rsidRDefault="00822C1C" w:rsidP="00B006DB">
      <w:pPr>
        <w:pStyle w:val="ESch"/>
        <w:rPr>
          <w:szCs w:val="20"/>
          <w:lang w:val="cs-CZ"/>
        </w:rPr>
      </w:pPr>
    </w:p>
    <w:p w:rsidR="00822C1C" w:rsidRPr="003B6E11" w:rsidRDefault="00822C1C" w:rsidP="00B006DB">
      <w:pPr>
        <w:pStyle w:val="ESch"/>
        <w:rPr>
          <w:lang w:val="cs-CZ"/>
        </w:rPr>
      </w:pPr>
    </w:p>
    <w:p w:rsidR="00822C1C" w:rsidRPr="003B6E11" w:rsidRDefault="00822C1C" w:rsidP="00822C1C">
      <w:pPr>
        <w:pStyle w:val="ES-Titre3"/>
        <w:rPr>
          <w:lang w:val="cs-CZ"/>
        </w:rPr>
      </w:pPr>
      <w:bookmarkStart w:id="102" w:name="_Toc491854051"/>
      <w:bookmarkStart w:id="103" w:name="_Toc535416957"/>
      <w:r w:rsidRPr="003B6E11">
        <w:rPr>
          <w:lang w:val="cs-CZ"/>
        </w:rPr>
        <w:t>Článek 7.10</w:t>
      </w:r>
      <w:r w:rsidRPr="003B6E11">
        <w:rPr>
          <w:lang w:val="cs-CZ"/>
        </w:rPr>
        <w:br/>
      </w:r>
      <w:r w:rsidRPr="003B6E11">
        <w:rPr>
          <w:i/>
          <w:lang w:val="cs-CZ"/>
        </w:rPr>
        <w:t>Topení a větrání</w:t>
      </w:r>
      <w:bookmarkEnd w:id="102"/>
      <w:bookmarkEnd w:id="103"/>
    </w:p>
    <w:p w:rsidR="00822C1C" w:rsidRPr="003B6E11" w:rsidRDefault="00822C1C" w:rsidP="00822C1C">
      <w:pPr>
        <w:pStyle w:val="ESch"/>
        <w:rPr>
          <w:szCs w:val="20"/>
          <w:lang w:val="cs-CZ"/>
        </w:rPr>
      </w:pPr>
    </w:p>
    <w:p w:rsidR="003F558E" w:rsidRPr="003B6E11" w:rsidRDefault="00822C1C" w:rsidP="003F558E">
      <w:pPr>
        <w:pStyle w:val="ESgauche"/>
        <w:rPr>
          <w:szCs w:val="20"/>
          <w:lang w:val="cs-CZ"/>
        </w:rPr>
      </w:pPr>
      <w:r w:rsidRPr="003B6E11">
        <w:rPr>
          <w:lang w:val="cs-CZ"/>
        </w:rPr>
        <w:t>Kormidelny musí být vybaveny účinnou vytápěcí a větrací soustavou, kterou lze regulovat.</w:t>
      </w:r>
    </w:p>
    <w:p w:rsidR="003F558E" w:rsidRPr="003B6E11" w:rsidRDefault="003F558E" w:rsidP="003F558E">
      <w:pPr>
        <w:pStyle w:val="ESgauche"/>
        <w:rPr>
          <w:szCs w:val="20"/>
          <w:lang w:val="cs-CZ"/>
        </w:rPr>
      </w:pPr>
    </w:p>
    <w:p w:rsidR="003F558E" w:rsidRPr="003B6E11" w:rsidRDefault="003F558E" w:rsidP="003F558E">
      <w:pPr>
        <w:pStyle w:val="ESgauche"/>
        <w:rPr>
          <w:lang w:val="cs-CZ"/>
        </w:rPr>
      </w:pPr>
    </w:p>
    <w:p w:rsidR="00822C1C" w:rsidRPr="003B6E11" w:rsidRDefault="00822C1C" w:rsidP="003F558E">
      <w:pPr>
        <w:pStyle w:val="ES-Titre3"/>
        <w:rPr>
          <w:i/>
          <w:lang w:val="cs-CZ"/>
        </w:rPr>
      </w:pPr>
      <w:bookmarkStart w:id="104" w:name="_Toc491854052"/>
      <w:bookmarkStart w:id="105" w:name="_Toc535416958"/>
      <w:r w:rsidRPr="003B6E11">
        <w:rPr>
          <w:lang w:val="cs-CZ"/>
        </w:rPr>
        <w:t>Článek 7.11</w:t>
      </w:r>
      <w:r w:rsidRPr="003B6E11">
        <w:rPr>
          <w:lang w:val="cs-CZ"/>
        </w:rPr>
        <w:br/>
      </w:r>
      <w:r w:rsidRPr="003B6E11">
        <w:rPr>
          <w:i/>
          <w:lang w:val="cs-CZ"/>
        </w:rPr>
        <w:t>Zařízení k ovládání záďové kotvy</w:t>
      </w:r>
      <w:bookmarkEnd w:id="104"/>
      <w:bookmarkEnd w:id="105"/>
    </w:p>
    <w:p w:rsidR="003F558E" w:rsidRPr="003B6E11" w:rsidRDefault="003F558E" w:rsidP="00822C1C">
      <w:pPr>
        <w:pStyle w:val="ESch"/>
        <w:rPr>
          <w:szCs w:val="20"/>
          <w:lang w:val="cs-CZ"/>
        </w:rPr>
      </w:pPr>
    </w:p>
    <w:p w:rsidR="00822C1C" w:rsidRPr="003B6E11" w:rsidRDefault="00822C1C" w:rsidP="003F558E">
      <w:pPr>
        <w:pStyle w:val="ESgauche"/>
        <w:rPr>
          <w:szCs w:val="20"/>
          <w:lang w:val="cs-CZ"/>
        </w:rPr>
      </w:pPr>
      <w:r w:rsidRPr="003B6E11">
        <w:rPr>
          <w:lang w:val="cs-CZ"/>
        </w:rPr>
        <w:t>Na lodích a v sestavách s kormidelnami uspořádanými k vedení plavidla pomocí radaru jednou osobou delších než 86 m nebo širších než 22,90 m musí mít kormidelník možnost spustit ze svého stanoviště záďovou kotvu.</w:t>
      </w:r>
    </w:p>
    <w:p w:rsidR="003F558E" w:rsidRPr="003B6E11" w:rsidRDefault="003F558E" w:rsidP="003F558E">
      <w:pPr>
        <w:pStyle w:val="ESgauche"/>
        <w:rPr>
          <w:szCs w:val="20"/>
          <w:lang w:val="cs-CZ"/>
        </w:rPr>
      </w:pPr>
    </w:p>
    <w:p w:rsidR="003F558E" w:rsidRPr="003B6E11" w:rsidRDefault="003F558E" w:rsidP="003F558E">
      <w:pPr>
        <w:pStyle w:val="ESgauche"/>
        <w:rPr>
          <w:lang w:val="cs-CZ"/>
        </w:rPr>
      </w:pPr>
    </w:p>
    <w:p w:rsidR="00B006DB" w:rsidRPr="003B6E11" w:rsidRDefault="00B006DB" w:rsidP="003F558E">
      <w:pPr>
        <w:pStyle w:val="ESgauche"/>
        <w:rPr>
          <w:lang w:val="cs-CZ"/>
        </w:rPr>
      </w:pPr>
      <w:r w:rsidRPr="003B6E11">
        <w:rPr>
          <w:lang w:val="cs-CZ"/>
        </w:rPr>
        <w:br w:type="page"/>
      </w:r>
    </w:p>
    <w:p w:rsidR="008418DC" w:rsidRPr="003B6E11" w:rsidRDefault="00822C1C" w:rsidP="003B0440">
      <w:pPr>
        <w:pStyle w:val="ES-Titre3"/>
        <w:rPr>
          <w:i/>
          <w:snapToGrid w:val="0"/>
          <w:lang w:val="cs-CZ"/>
        </w:rPr>
      </w:pPr>
      <w:bookmarkStart w:id="106" w:name="_Toc491854053"/>
      <w:bookmarkStart w:id="107" w:name="_Toc535416959"/>
      <w:r w:rsidRPr="003B6E11">
        <w:rPr>
          <w:lang w:val="cs-CZ"/>
        </w:rPr>
        <w:t>Článek 7.12</w:t>
      </w:r>
      <w:r w:rsidRPr="003B6E11">
        <w:rPr>
          <w:lang w:val="cs-CZ"/>
        </w:rPr>
        <w:br/>
      </w:r>
      <w:r w:rsidRPr="003B6E11">
        <w:rPr>
          <w:i/>
          <w:snapToGrid w:val="0"/>
          <w:lang w:val="cs-CZ"/>
        </w:rPr>
        <w:t>Zvedací kormidelny</w:t>
      </w:r>
      <w:bookmarkEnd w:id="106"/>
      <w:bookmarkEnd w:id="107"/>
    </w:p>
    <w:p w:rsidR="008418DC" w:rsidRPr="003B6E11" w:rsidRDefault="008418DC" w:rsidP="008418DC">
      <w:pPr>
        <w:tabs>
          <w:tab w:val="left" w:pos="851"/>
        </w:tabs>
        <w:adjustRightInd w:val="0"/>
        <w:spacing w:line="240" w:lineRule="atLeast"/>
        <w:jc w:val="center"/>
        <w:rPr>
          <w:rFonts w:cs="Arial"/>
          <w:b/>
          <w:bCs/>
          <w:snapToGrid w:val="0"/>
          <w:szCs w:val="20"/>
          <w:lang w:val="cs-CZ"/>
        </w:rPr>
      </w:pPr>
    </w:p>
    <w:p w:rsidR="008418DC" w:rsidRPr="003B6E11" w:rsidRDefault="008418DC" w:rsidP="001F1AC2">
      <w:pPr>
        <w:pStyle w:val="ESch"/>
        <w:rPr>
          <w:lang w:val="cs-CZ"/>
        </w:rPr>
      </w:pPr>
      <w:r w:rsidRPr="003B6E11">
        <w:rPr>
          <w:lang w:val="cs-CZ"/>
        </w:rPr>
        <w:t>1.</w:t>
      </w:r>
      <w:r w:rsidRPr="003B6E11">
        <w:rPr>
          <w:lang w:val="cs-CZ"/>
        </w:rPr>
        <w:tab/>
        <w:t xml:space="preserve">Mechanicky poháněná zvedací kormidelna a její zařízení musí být zkonstruovány tak, aby nebyla ohrožena bezpečnost osob na palubě. </w:t>
      </w:r>
    </w:p>
    <w:p w:rsidR="008418DC" w:rsidRPr="003B6E11" w:rsidRDefault="008418DC" w:rsidP="001F1AC2">
      <w:pPr>
        <w:pStyle w:val="ESch"/>
        <w:rPr>
          <w:lang w:val="cs-CZ"/>
        </w:rPr>
      </w:pPr>
    </w:p>
    <w:p w:rsidR="008418DC" w:rsidRPr="003B6E11" w:rsidRDefault="008418DC" w:rsidP="001F1AC2">
      <w:pPr>
        <w:pStyle w:val="ESch"/>
        <w:rPr>
          <w:lang w:val="cs-CZ"/>
        </w:rPr>
      </w:pPr>
      <w:r w:rsidRPr="003B6E11">
        <w:rPr>
          <w:lang w:val="cs-CZ"/>
        </w:rPr>
        <w:t>2.</w:t>
      </w:r>
      <w:r w:rsidRPr="003B6E11">
        <w:rPr>
          <w:lang w:val="cs-CZ"/>
        </w:rPr>
        <w:tab/>
        <w:t xml:space="preserve">Zvedací kormidelna nesmí ohrozit stabilitu lodi. </w:t>
      </w:r>
    </w:p>
    <w:p w:rsidR="008418DC" w:rsidRPr="003B6E11" w:rsidRDefault="008418DC" w:rsidP="001F1AC2">
      <w:pPr>
        <w:pStyle w:val="ESch"/>
        <w:rPr>
          <w:lang w:val="cs-CZ"/>
        </w:rPr>
      </w:pPr>
    </w:p>
    <w:p w:rsidR="008418DC" w:rsidRPr="003B6E11" w:rsidRDefault="008418DC" w:rsidP="001F1AC2">
      <w:pPr>
        <w:pStyle w:val="ESch"/>
        <w:rPr>
          <w:lang w:val="cs-CZ"/>
        </w:rPr>
      </w:pPr>
      <w:r w:rsidRPr="003B6E11">
        <w:rPr>
          <w:lang w:val="cs-CZ"/>
        </w:rPr>
        <w:t>3.</w:t>
      </w:r>
      <w:r w:rsidRPr="003B6E11">
        <w:rPr>
          <w:lang w:val="cs-CZ"/>
        </w:rPr>
        <w:tab/>
        <w:t>Během zvedání a spouštění nesmí být znemožněn výkon činností prováděných z kormidelny. V jakékoli poloze musí být možné do kormidelny bezpečně vstoupit a opustit ji.</w:t>
      </w:r>
    </w:p>
    <w:p w:rsidR="008418DC" w:rsidRPr="003B6E11" w:rsidRDefault="008418DC" w:rsidP="001F1AC2">
      <w:pPr>
        <w:pStyle w:val="ESch"/>
        <w:rPr>
          <w:lang w:val="cs-CZ"/>
        </w:rPr>
      </w:pPr>
    </w:p>
    <w:p w:rsidR="008418DC" w:rsidRPr="003B6E11" w:rsidRDefault="008418DC" w:rsidP="001F1AC2">
      <w:pPr>
        <w:pStyle w:val="ESch"/>
        <w:rPr>
          <w:lang w:val="cs-CZ"/>
        </w:rPr>
      </w:pPr>
      <w:r w:rsidRPr="003B6E11">
        <w:rPr>
          <w:lang w:val="cs-CZ"/>
        </w:rPr>
        <w:t>4.</w:t>
      </w:r>
      <w:r w:rsidRPr="003B6E11">
        <w:rPr>
          <w:lang w:val="cs-CZ"/>
        </w:rPr>
        <w:tab/>
        <w:t>Musí být možné ovládat zdvihací mechanismus zevnitř kormidelny. Na ovládacím stanovišti musí být hlášeny tyto údaje:</w:t>
      </w:r>
    </w:p>
    <w:p w:rsidR="008418DC" w:rsidRPr="003B6E11" w:rsidRDefault="008418DC" w:rsidP="003B0440">
      <w:pPr>
        <w:pStyle w:val="ESlet"/>
        <w:rPr>
          <w:lang w:val="cs-CZ"/>
        </w:rPr>
      </w:pPr>
      <w:r w:rsidRPr="003B6E11">
        <w:rPr>
          <w:lang w:val="cs-CZ"/>
        </w:rPr>
        <w:t xml:space="preserve">a) </w:t>
      </w:r>
      <w:r w:rsidRPr="003B6E11">
        <w:rPr>
          <w:lang w:val="cs-CZ"/>
        </w:rPr>
        <w:tab/>
        <w:t>přítomnost elektrického napětí;</w:t>
      </w:r>
    </w:p>
    <w:p w:rsidR="008418DC" w:rsidRPr="003B6E11" w:rsidRDefault="008418DC" w:rsidP="003B0440">
      <w:pPr>
        <w:pStyle w:val="ESlet"/>
        <w:rPr>
          <w:lang w:val="cs-CZ"/>
        </w:rPr>
      </w:pPr>
      <w:r w:rsidRPr="003B6E11">
        <w:rPr>
          <w:lang w:val="cs-CZ"/>
        </w:rPr>
        <w:t xml:space="preserve">b) </w:t>
      </w:r>
      <w:r w:rsidRPr="003B6E11">
        <w:rPr>
          <w:lang w:val="cs-CZ"/>
        </w:rPr>
        <w:tab/>
        <w:t>kormidelna v nejnižší poloze;</w:t>
      </w:r>
    </w:p>
    <w:p w:rsidR="008418DC" w:rsidRPr="003B6E11" w:rsidRDefault="008418DC" w:rsidP="003B0440">
      <w:pPr>
        <w:pStyle w:val="ESlet"/>
        <w:rPr>
          <w:lang w:val="cs-CZ"/>
        </w:rPr>
      </w:pPr>
      <w:r w:rsidRPr="003B6E11">
        <w:rPr>
          <w:lang w:val="cs-CZ"/>
        </w:rPr>
        <w:t xml:space="preserve">c) </w:t>
      </w:r>
      <w:r w:rsidRPr="003B6E11">
        <w:rPr>
          <w:lang w:val="cs-CZ"/>
        </w:rPr>
        <w:tab/>
        <w:t>kormidelna v nejvyšší poloze;</w:t>
      </w:r>
    </w:p>
    <w:p w:rsidR="008418DC" w:rsidRPr="003B6E11" w:rsidRDefault="008418DC" w:rsidP="003B0440">
      <w:pPr>
        <w:pStyle w:val="ESlet"/>
        <w:rPr>
          <w:lang w:val="cs-CZ"/>
        </w:rPr>
      </w:pPr>
      <w:r w:rsidRPr="003B6E11">
        <w:rPr>
          <w:lang w:val="cs-CZ"/>
        </w:rPr>
        <w:t xml:space="preserve">d) </w:t>
      </w:r>
      <w:r w:rsidRPr="003B6E11">
        <w:rPr>
          <w:lang w:val="cs-CZ"/>
        </w:rPr>
        <w:tab/>
        <w:t>kormidelna zablokována v pevné poloze (přichází-li v úvahu).</w:t>
      </w:r>
    </w:p>
    <w:p w:rsidR="008418DC" w:rsidRPr="003B6E11" w:rsidRDefault="008418DC" w:rsidP="001F1AC2">
      <w:pPr>
        <w:pStyle w:val="ESch"/>
        <w:rPr>
          <w:lang w:val="cs-CZ"/>
        </w:rPr>
      </w:pPr>
    </w:p>
    <w:p w:rsidR="008418DC" w:rsidRPr="003B6E11" w:rsidRDefault="008418DC" w:rsidP="001F1AC2">
      <w:pPr>
        <w:pStyle w:val="ESch"/>
        <w:rPr>
          <w:lang w:val="cs-CZ"/>
        </w:rPr>
      </w:pPr>
      <w:r w:rsidRPr="003B6E11">
        <w:rPr>
          <w:lang w:val="cs-CZ"/>
        </w:rPr>
        <w:t>5.</w:t>
      </w:r>
      <w:r w:rsidRPr="003B6E11">
        <w:rPr>
          <w:lang w:val="cs-CZ"/>
        </w:rPr>
        <w:tab/>
        <w:t>Zdvihací mechanismus musí umožňovat zastavení kormidelny ve všech polohách. Je-li možno zablokovat kormidelnu v určité poloze, musí být zdvihací mechanismus při zablokování automaticky deaktivován. Uvolnění zablokování musí být možné za všech provozních podmínek.</w:t>
      </w:r>
    </w:p>
    <w:p w:rsidR="008418DC" w:rsidRPr="003B6E11" w:rsidRDefault="008418DC" w:rsidP="001F1AC2">
      <w:pPr>
        <w:pStyle w:val="ESch"/>
        <w:rPr>
          <w:lang w:val="cs-CZ"/>
        </w:rPr>
      </w:pPr>
    </w:p>
    <w:p w:rsidR="008418DC" w:rsidRPr="003B6E11" w:rsidRDefault="008418DC" w:rsidP="001F1AC2">
      <w:pPr>
        <w:pStyle w:val="ESch"/>
        <w:rPr>
          <w:lang w:val="cs-CZ"/>
        </w:rPr>
      </w:pPr>
      <w:r w:rsidRPr="003B6E11">
        <w:rPr>
          <w:lang w:val="cs-CZ"/>
        </w:rPr>
        <w:t>6.</w:t>
      </w:r>
      <w:r w:rsidRPr="003B6E11">
        <w:rPr>
          <w:lang w:val="cs-CZ"/>
        </w:rPr>
        <w:tab/>
        <w:t>Zdvihací mechanismus musí být zkonstruován tak, aby nebylo možné překročit koncové polohy.</w:t>
      </w:r>
    </w:p>
    <w:p w:rsidR="008418DC" w:rsidRPr="003B6E11" w:rsidRDefault="008418DC" w:rsidP="001F1AC2">
      <w:pPr>
        <w:pStyle w:val="ESch"/>
        <w:rPr>
          <w:lang w:val="cs-CZ"/>
        </w:rPr>
      </w:pPr>
    </w:p>
    <w:p w:rsidR="008418DC" w:rsidRPr="003B6E11" w:rsidRDefault="008418DC" w:rsidP="001F1AC2">
      <w:pPr>
        <w:pStyle w:val="ESch"/>
        <w:rPr>
          <w:lang w:val="cs-CZ"/>
        </w:rPr>
      </w:pPr>
      <w:r w:rsidRPr="003B6E11">
        <w:rPr>
          <w:lang w:val="cs-CZ"/>
        </w:rPr>
        <w:t>7.</w:t>
      </w:r>
      <w:r w:rsidRPr="003B6E11">
        <w:rPr>
          <w:lang w:val="cs-CZ"/>
        </w:rPr>
        <w:tab/>
        <w:t xml:space="preserve">Musí být provedena opatření, kterými se zabrání nekontrolovanému spuštění kormidelny. Musí být nainstalovány vhodné ochranné prvky, které zabrání riziku zranění, k němuž by mohlo při spouštění kormidelny dojít. Při spouštění se musí automaticky spustit optický a zřetelně slyšitelný akustický výstražný signál. </w:t>
      </w:r>
    </w:p>
    <w:p w:rsidR="008418DC" w:rsidRPr="003B6E11" w:rsidRDefault="008418DC" w:rsidP="001F1AC2">
      <w:pPr>
        <w:pStyle w:val="ESch"/>
        <w:rPr>
          <w:lang w:val="cs-CZ"/>
        </w:rPr>
      </w:pPr>
    </w:p>
    <w:p w:rsidR="008418DC" w:rsidRPr="003B6E11" w:rsidRDefault="008418DC" w:rsidP="001F1AC2">
      <w:pPr>
        <w:pStyle w:val="ESch"/>
        <w:rPr>
          <w:lang w:val="cs-CZ"/>
        </w:rPr>
      </w:pPr>
      <w:r w:rsidRPr="003B6E11">
        <w:rPr>
          <w:lang w:val="cs-CZ"/>
        </w:rPr>
        <w:t>8.</w:t>
      </w:r>
      <w:r w:rsidRPr="003B6E11">
        <w:rPr>
          <w:lang w:val="cs-CZ"/>
        </w:rPr>
        <w:tab/>
        <w:t>Zvedací kormidelny musí být vybaveny systémem nouzového spouštění, který je nezávislý na normálním zdvihacím mechanismu a může být použit i při výpadku proudu. Tento nouzový systém musí být ovládán zevnitř kormidelny. Při použití nouzového systému nesmí být rychlost spouštění nižší než rychlost spouštění za běžných podmínek.</w:t>
      </w:r>
    </w:p>
    <w:p w:rsidR="008418DC" w:rsidRPr="003B6E11" w:rsidRDefault="008418DC" w:rsidP="001F1AC2">
      <w:pPr>
        <w:pStyle w:val="ESch"/>
        <w:rPr>
          <w:lang w:val="cs-CZ"/>
        </w:rPr>
      </w:pPr>
    </w:p>
    <w:p w:rsidR="008418DC" w:rsidRPr="003B6E11" w:rsidRDefault="008418DC" w:rsidP="001F1AC2">
      <w:pPr>
        <w:pStyle w:val="ESch"/>
        <w:rPr>
          <w:lang w:val="cs-CZ"/>
        </w:rPr>
      </w:pPr>
      <w:r w:rsidRPr="003B6E11">
        <w:rPr>
          <w:lang w:val="cs-CZ"/>
        </w:rPr>
        <w:t>9.</w:t>
      </w:r>
      <w:r w:rsidRPr="003B6E11">
        <w:rPr>
          <w:lang w:val="cs-CZ"/>
        </w:rPr>
        <w:tab/>
        <w:t>(ponecháno volné)</w:t>
      </w:r>
    </w:p>
    <w:p w:rsidR="008418DC" w:rsidRPr="003B6E11" w:rsidRDefault="008418DC" w:rsidP="001F1AC2">
      <w:pPr>
        <w:pStyle w:val="ESch"/>
        <w:rPr>
          <w:lang w:val="cs-CZ"/>
        </w:rPr>
      </w:pPr>
    </w:p>
    <w:p w:rsidR="008418DC" w:rsidRPr="003B6E11" w:rsidRDefault="008418DC" w:rsidP="001F1AC2">
      <w:pPr>
        <w:pStyle w:val="ESch"/>
        <w:rPr>
          <w:lang w:val="cs-CZ"/>
        </w:rPr>
      </w:pPr>
      <w:r w:rsidRPr="003B6E11">
        <w:rPr>
          <w:lang w:val="cs-CZ"/>
        </w:rPr>
        <w:t>10.</w:t>
      </w:r>
      <w:r w:rsidRPr="003B6E11">
        <w:rPr>
          <w:lang w:val="cs-CZ"/>
        </w:rPr>
        <w:tab/>
        <w:t>Hydraulické hadice:</w:t>
      </w:r>
    </w:p>
    <w:p w:rsidR="008418DC" w:rsidRPr="003B6E11" w:rsidRDefault="008418DC" w:rsidP="001F1AC2">
      <w:pPr>
        <w:pStyle w:val="ESlet"/>
        <w:rPr>
          <w:lang w:val="cs-CZ"/>
        </w:rPr>
      </w:pPr>
      <w:r w:rsidRPr="003B6E11">
        <w:rPr>
          <w:lang w:val="cs-CZ"/>
        </w:rPr>
        <w:t>a)</w:t>
      </w:r>
      <w:r w:rsidRPr="003B6E11">
        <w:rPr>
          <w:lang w:val="cs-CZ"/>
        </w:rPr>
        <w:tab/>
        <w:t>jsou přípustné pouze tehdy, jsou-li nezbytné k pohlcování vibrací nebo volnému pohybu konstrukčních prvků;</w:t>
      </w:r>
    </w:p>
    <w:p w:rsidR="008418DC" w:rsidRPr="003B6E11" w:rsidRDefault="008418DC" w:rsidP="001F1AC2">
      <w:pPr>
        <w:pStyle w:val="ESlet"/>
        <w:rPr>
          <w:lang w:val="cs-CZ"/>
        </w:rPr>
      </w:pPr>
      <w:r w:rsidRPr="003B6E11">
        <w:rPr>
          <w:lang w:val="cs-CZ"/>
        </w:rPr>
        <w:t>b)</w:t>
      </w:r>
      <w:r w:rsidRPr="003B6E11">
        <w:rPr>
          <w:lang w:val="cs-CZ"/>
        </w:rPr>
        <w:tab/>
        <w:t>musí být navrženy nejméně pro maximální provozní tlak;</w:t>
      </w:r>
    </w:p>
    <w:p w:rsidR="008418DC" w:rsidRPr="003B6E11" w:rsidRDefault="008418DC" w:rsidP="001F1AC2">
      <w:pPr>
        <w:pStyle w:val="ESlet"/>
        <w:rPr>
          <w:lang w:val="cs-CZ"/>
        </w:rPr>
      </w:pPr>
      <w:r w:rsidRPr="003B6E11">
        <w:rPr>
          <w:lang w:val="cs-CZ"/>
        </w:rPr>
        <w:t>c)</w:t>
      </w:r>
      <w:r w:rsidRPr="003B6E11">
        <w:rPr>
          <w:lang w:val="cs-CZ"/>
        </w:rPr>
        <w:tab/>
        <w:t xml:space="preserve">musí být alespoň jednou za osm let vyměněny za nové. </w:t>
      </w:r>
    </w:p>
    <w:p w:rsidR="008418DC" w:rsidRPr="003B6E11" w:rsidRDefault="008418DC" w:rsidP="008418DC">
      <w:pPr>
        <w:widowControl w:val="0"/>
        <w:rPr>
          <w:rFonts w:cs="Arial"/>
          <w:szCs w:val="20"/>
          <w:lang w:val="cs-CZ"/>
        </w:rPr>
      </w:pPr>
    </w:p>
    <w:p w:rsidR="008418DC" w:rsidRPr="003B6E11" w:rsidRDefault="008418DC" w:rsidP="001F1AC2">
      <w:pPr>
        <w:pStyle w:val="ESch"/>
        <w:rPr>
          <w:lang w:val="cs-CZ"/>
        </w:rPr>
      </w:pPr>
      <w:r w:rsidRPr="003B6E11">
        <w:rPr>
          <w:lang w:val="cs-CZ"/>
        </w:rPr>
        <w:t>11.</w:t>
      </w:r>
      <w:r w:rsidRPr="003B6E11">
        <w:rPr>
          <w:lang w:val="cs-CZ"/>
        </w:rPr>
        <w:tab/>
        <w:t xml:space="preserve">Zvedací kormidelny a jejich zařízení musí být pravidelně kontrolovány odborně způsobilou osobou, a to nejméně jednou za dvanáct měsíců. Bezpečnost zařízení se vyhodnocuje vizuální kontrolou a kontrolou uspokojivého provozu. </w:t>
      </w:r>
    </w:p>
    <w:p w:rsidR="008418DC" w:rsidRPr="003B6E11" w:rsidRDefault="008418DC" w:rsidP="003B0440">
      <w:pPr>
        <w:pStyle w:val="ESch"/>
        <w:rPr>
          <w:lang w:val="cs-CZ"/>
        </w:rPr>
      </w:pPr>
    </w:p>
    <w:p w:rsidR="008418DC" w:rsidRPr="003B6E11" w:rsidRDefault="008418DC" w:rsidP="003B0440">
      <w:pPr>
        <w:pStyle w:val="ESch"/>
        <w:rPr>
          <w:lang w:val="cs-CZ"/>
        </w:rPr>
      </w:pPr>
      <w:r w:rsidRPr="003B6E11">
        <w:rPr>
          <w:lang w:val="cs-CZ"/>
        </w:rPr>
        <w:br w:type="page"/>
      </w:r>
    </w:p>
    <w:p w:rsidR="008418DC" w:rsidRPr="003B6E11" w:rsidRDefault="008418DC" w:rsidP="001F1AC2">
      <w:pPr>
        <w:pStyle w:val="ESch"/>
        <w:rPr>
          <w:lang w:val="cs-CZ"/>
        </w:rPr>
      </w:pPr>
      <w:r w:rsidRPr="003B6E11">
        <w:rPr>
          <w:lang w:val="cs-CZ"/>
        </w:rPr>
        <w:t>12.</w:t>
      </w:r>
      <w:r w:rsidRPr="003B6E11">
        <w:rPr>
          <w:lang w:val="cs-CZ"/>
        </w:rPr>
        <w:tab/>
        <w:t xml:space="preserve">Zvedací kormidelny a jejich zařízení musí být zkontrolovány odborníkem: </w:t>
      </w:r>
    </w:p>
    <w:p w:rsidR="008418DC" w:rsidRPr="003B6E11" w:rsidRDefault="008418DC" w:rsidP="003B0440">
      <w:pPr>
        <w:pStyle w:val="ESlet"/>
        <w:rPr>
          <w:lang w:val="cs-CZ"/>
        </w:rPr>
      </w:pPr>
      <w:r w:rsidRPr="003B6E11">
        <w:rPr>
          <w:lang w:val="cs-CZ"/>
        </w:rPr>
        <w:t>a)</w:t>
      </w:r>
      <w:r w:rsidRPr="003B6E11">
        <w:rPr>
          <w:lang w:val="cs-CZ"/>
        </w:rPr>
        <w:tab/>
        <w:t xml:space="preserve">před prvním uvedením do provozu; </w:t>
      </w:r>
    </w:p>
    <w:p w:rsidR="008418DC" w:rsidRPr="003B6E11" w:rsidRDefault="008418DC" w:rsidP="003B0440">
      <w:pPr>
        <w:pStyle w:val="ESlet"/>
        <w:rPr>
          <w:lang w:val="cs-CZ"/>
        </w:rPr>
      </w:pPr>
      <w:r w:rsidRPr="003B6E11">
        <w:rPr>
          <w:lang w:val="cs-CZ"/>
        </w:rPr>
        <w:t>b)</w:t>
      </w:r>
      <w:r w:rsidRPr="003B6E11">
        <w:rPr>
          <w:lang w:val="cs-CZ"/>
        </w:rPr>
        <w:tab/>
        <w:t>před opětovným uvedením do provozu po jakékoli závažnější úpravě nebo opravě a</w:t>
      </w:r>
    </w:p>
    <w:p w:rsidR="008418DC" w:rsidRPr="003B6E11" w:rsidRDefault="008418DC" w:rsidP="003B0440">
      <w:pPr>
        <w:pStyle w:val="ESlet"/>
        <w:rPr>
          <w:lang w:val="cs-CZ"/>
        </w:rPr>
      </w:pPr>
      <w:r w:rsidRPr="003B6E11">
        <w:rPr>
          <w:lang w:val="cs-CZ"/>
        </w:rPr>
        <w:t>c)</w:t>
      </w:r>
      <w:r w:rsidRPr="003B6E11">
        <w:rPr>
          <w:lang w:val="cs-CZ"/>
        </w:rPr>
        <w:tab/>
        <w:t>pravidelně nejméně jednou za pět let.</w:t>
      </w:r>
    </w:p>
    <w:p w:rsidR="003B0440" w:rsidRPr="003B6E11" w:rsidRDefault="003B0440" w:rsidP="003B0440">
      <w:pPr>
        <w:pStyle w:val="ESchpar"/>
        <w:rPr>
          <w:lang w:val="cs-CZ"/>
        </w:rPr>
      </w:pPr>
    </w:p>
    <w:p w:rsidR="008418DC" w:rsidRPr="003B6E11" w:rsidRDefault="008418DC" w:rsidP="003B0440">
      <w:pPr>
        <w:pStyle w:val="ESchpar"/>
        <w:rPr>
          <w:lang w:val="cs-CZ"/>
        </w:rPr>
      </w:pPr>
      <w:r w:rsidRPr="003B6E11">
        <w:rPr>
          <w:lang w:val="cs-CZ"/>
        </w:rPr>
        <w:t>Při těchto kontrolách je nutno prokázat přiměřenou pevnost a stabilitu pomocí výpočtů.</w:t>
      </w:r>
    </w:p>
    <w:p w:rsidR="008418DC" w:rsidRPr="003B6E11" w:rsidRDefault="008418DC" w:rsidP="003B0440">
      <w:pPr>
        <w:pStyle w:val="ESchpar"/>
        <w:rPr>
          <w:lang w:val="cs-CZ"/>
        </w:rPr>
      </w:pPr>
    </w:p>
    <w:p w:rsidR="003F558E" w:rsidRPr="003B6E11" w:rsidRDefault="008418DC" w:rsidP="003B0440">
      <w:pPr>
        <w:pStyle w:val="ESchpar"/>
        <w:rPr>
          <w:lang w:val="cs-CZ"/>
        </w:rPr>
      </w:pPr>
      <w:r w:rsidRPr="003B6E11">
        <w:rPr>
          <w:lang w:val="cs-CZ"/>
        </w:rPr>
        <w:t>Musí být vystaveno potvrzení o prohlídce podepsané odborníkem, na němž je uvedeno datum kontroly.</w:t>
      </w:r>
    </w:p>
    <w:p w:rsidR="008418DC" w:rsidRPr="003B6E11" w:rsidRDefault="008418DC" w:rsidP="003B0440">
      <w:pPr>
        <w:pStyle w:val="ESch"/>
        <w:rPr>
          <w:lang w:val="cs-CZ"/>
        </w:rPr>
      </w:pPr>
    </w:p>
    <w:p w:rsidR="008418DC" w:rsidRPr="003B6E11" w:rsidRDefault="008418DC" w:rsidP="003B0440">
      <w:pPr>
        <w:pStyle w:val="ESch"/>
        <w:rPr>
          <w:lang w:val="cs-CZ"/>
        </w:rPr>
      </w:pPr>
    </w:p>
    <w:p w:rsidR="00822C1C" w:rsidRPr="003B6E11" w:rsidRDefault="00822C1C" w:rsidP="003F558E">
      <w:pPr>
        <w:pStyle w:val="ES-Titre3"/>
        <w:rPr>
          <w:i/>
          <w:lang w:val="cs-CZ"/>
        </w:rPr>
      </w:pPr>
      <w:bookmarkStart w:id="108" w:name="_Toc491854054"/>
      <w:bookmarkStart w:id="109" w:name="_Toc535416960"/>
      <w:r w:rsidRPr="003B6E11">
        <w:rPr>
          <w:lang w:val="cs-CZ"/>
        </w:rPr>
        <w:t>Článek 7.13</w:t>
      </w:r>
      <w:r w:rsidRPr="003B6E11">
        <w:rPr>
          <w:lang w:val="cs-CZ"/>
        </w:rPr>
        <w:br/>
      </w:r>
      <w:r w:rsidRPr="003B6E11">
        <w:rPr>
          <w:i/>
          <w:lang w:val="cs-CZ"/>
        </w:rPr>
        <w:t>Záznam v osvědčení plavidla vnitrozemské plavby u lodí s kormidelnami uspořádanými k vedení plavidla pomocí radaru jednou osobou</w:t>
      </w:r>
      <w:bookmarkEnd w:id="108"/>
      <w:bookmarkEnd w:id="109"/>
    </w:p>
    <w:p w:rsidR="003F558E" w:rsidRPr="003B6E11" w:rsidRDefault="003F558E" w:rsidP="00822C1C">
      <w:pPr>
        <w:pStyle w:val="ESch"/>
        <w:rPr>
          <w:szCs w:val="20"/>
          <w:lang w:val="cs-CZ"/>
        </w:rPr>
      </w:pPr>
    </w:p>
    <w:p w:rsidR="00822C1C" w:rsidRPr="003B6E11" w:rsidRDefault="00822C1C" w:rsidP="003F558E">
      <w:pPr>
        <w:pStyle w:val="ESgauche"/>
        <w:rPr>
          <w:lang w:val="cs-CZ"/>
        </w:rPr>
      </w:pPr>
      <w:r w:rsidRPr="003B6E11">
        <w:rPr>
          <w:lang w:val="cs-CZ"/>
        </w:rPr>
        <w:t>Splňuje-li plavidlo zvláštní předpisy pro kormidelny uspořádané k vedení plavidla pomocí radaru jednou osobou podle čl. 7.01 odst. 3, čl. 7.04 odst. 5 a 6, čl. 7.05 odst. 3 a 4, čl. 7.06 odst. 2, článků 7.07, 7.08 a 7.11, zapíše se do osvědčení plavidla vnitrozemské plavby tento údaj:</w:t>
      </w:r>
    </w:p>
    <w:p w:rsidR="003F558E" w:rsidRPr="003B6E11" w:rsidRDefault="003F558E" w:rsidP="003F558E">
      <w:pPr>
        <w:pStyle w:val="ESgauche"/>
        <w:rPr>
          <w:szCs w:val="20"/>
          <w:lang w:val="cs-CZ"/>
        </w:rPr>
      </w:pPr>
    </w:p>
    <w:p w:rsidR="00822C1C" w:rsidRPr="003B6E11" w:rsidRDefault="00461781" w:rsidP="003F558E">
      <w:pPr>
        <w:pStyle w:val="ESgauche"/>
        <w:jc w:val="center"/>
        <w:rPr>
          <w:lang w:val="cs-CZ"/>
        </w:rPr>
      </w:pPr>
      <w:r w:rsidRPr="003B6E11">
        <w:rPr>
          <w:lang w:val="cs-CZ"/>
        </w:rPr>
        <w:t>„Loď má kormidelnu uspořádanou k vedení plavidla pomocí radaru jednou osobou“.</w:t>
      </w:r>
    </w:p>
    <w:p w:rsidR="00DC11E8" w:rsidRPr="003B6E11" w:rsidRDefault="00DC11E8" w:rsidP="00E35772">
      <w:pPr>
        <w:spacing w:line="240" w:lineRule="atLeast"/>
        <w:ind w:left="567" w:hanging="567"/>
        <w:rPr>
          <w:noProof/>
          <w:szCs w:val="20"/>
          <w:lang w:val="cs-CZ"/>
        </w:rPr>
      </w:pPr>
    </w:p>
    <w:p w:rsidR="00DC11E8" w:rsidRPr="003B6E11" w:rsidRDefault="00DC11E8" w:rsidP="00E35772">
      <w:pPr>
        <w:spacing w:line="240" w:lineRule="atLeast"/>
        <w:ind w:left="567" w:hanging="567"/>
        <w:rPr>
          <w:noProof/>
          <w:lang w:val="cs-CZ"/>
        </w:rPr>
      </w:pPr>
    </w:p>
    <w:p w:rsidR="005344DA" w:rsidRPr="003B6E11" w:rsidRDefault="006D6907" w:rsidP="00E35772">
      <w:pPr>
        <w:spacing w:line="240" w:lineRule="atLeast"/>
        <w:ind w:left="567" w:hanging="567"/>
        <w:rPr>
          <w:noProof/>
          <w:lang w:val="cs-CZ"/>
        </w:rPr>
      </w:pPr>
      <w:r w:rsidRPr="003B6E11">
        <w:rPr>
          <w:lang w:val="cs-CZ"/>
        </w:rPr>
        <w:br w:type="page"/>
      </w:r>
    </w:p>
    <w:p w:rsidR="00763ADA" w:rsidRPr="003B6E11" w:rsidRDefault="00E24808" w:rsidP="00763ADA">
      <w:pPr>
        <w:pStyle w:val="ES-Titre2"/>
      </w:pPr>
      <w:bookmarkStart w:id="110" w:name="_Toc491854055"/>
      <w:bookmarkStart w:id="111" w:name="_Toc535416961"/>
      <w:r w:rsidRPr="003B6E11">
        <w:t>Kapitola 8</w:t>
      </w:r>
      <w:r w:rsidRPr="003B6E11">
        <w:br/>
        <w:t>Konstrukce strojního zařízení</w:t>
      </w:r>
      <w:bookmarkEnd w:id="110"/>
      <w:bookmarkEnd w:id="111"/>
    </w:p>
    <w:p w:rsidR="00E24808" w:rsidRPr="003B6E11" w:rsidRDefault="00E24808" w:rsidP="00E24808">
      <w:pPr>
        <w:rPr>
          <w:rFonts w:cs="Arial"/>
          <w:b/>
          <w:i/>
          <w:noProof/>
          <w:szCs w:val="20"/>
          <w:lang w:val="cs-CZ"/>
        </w:rPr>
      </w:pPr>
    </w:p>
    <w:p w:rsidR="00E24808" w:rsidRPr="003B6E11" w:rsidRDefault="00E24808" w:rsidP="00E24808">
      <w:pPr>
        <w:pStyle w:val="ES-Titre3"/>
        <w:rPr>
          <w:lang w:val="cs-CZ"/>
        </w:rPr>
      </w:pPr>
      <w:bookmarkStart w:id="112" w:name="_Toc491854056"/>
      <w:bookmarkStart w:id="113" w:name="_Toc535416962"/>
      <w:r w:rsidRPr="003B6E11">
        <w:rPr>
          <w:lang w:val="cs-CZ"/>
        </w:rPr>
        <w:t>Článek 8.01</w:t>
      </w:r>
      <w:r w:rsidRPr="003B6E11">
        <w:rPr>
          <w:lang w:val="cs-CZ"/>
        </w:rPr>
        <w:br/>
      </w:r>
      <w:r w:rsidRPr="003B6E11">
        <w:rPr>
          <w:i/>
          <w:noProof/>
          <w:lang w:val="cs-CZ"/>
        </w:rPr>
        <w:t>Obecně</w:t>
      </w:r>
      <w:bookmarkEnd w:id="112"/>
      <w:bookmarkEnd w:id="113"/>
    </w:p>
    <w:p w:rsidR="00266522" w:rsidRPr="003B6E11" w:rsidRDefault="00266522" w:rsidP="00E24808">
      <w:pPr>
        <w:rPr>
          <w:rFonts w:cs="Arial"/>
          <w:noProof/>
          <w:szCs w:val="20"/>
          <w:lang w:val="cs-CZ"/>
        </w:rPr>
      </w:pPr>
    </w:p>
    <w:p w:rsidR="00E24808" w:rsidRPr="003B6E11" w:rsidRDefault="00E24808" w:rsidP="00266522">
      <w:pPr>
        <w:pStyle w:val="ESch"/>
        <w:rPr>
          <w:lang w:val="cs-CZ"/>
        </w:rPr>
      </w:pPr>
      <w:r w:rsidRPr="003B6E11">
        <w:rPr>
          <w:lang w:val="cs-CZ"/>
        </w:rPr>
        <w:t>1.</w:t>
      </w:r>
      <w:r w:rsidRPr="003B6E11">
        <w:rPr>
          <w:lang w:val="cs-CZ"/>
        </w:rPr>
        <w:tab/>
        <w:t>Strojní zařízení a jejich pomocná zařízení musí být navržena, vyrobena a instalována v souladu s osvědčenými postupy.</w:t>
      </w:r>
    </w:p>
    <w:p w:rsidR="000B60B9" w:rsidRPr="003B6E11" w:rsidRDefault="000B60B9" w:rsidP="00266522">
      <w:pPr>
        <w:pStyle w:val="ESch"/>
        <w:rPr>
          <w:noProof/>
          <w:lang w:val="cs-CZ"/>
        </w:rPr>
      </w:pPr>
    </w:p>
    <w:p w:rsidR="00E24808" w:rsidRPr="003B6E11" w:rsidRDefault="00E24808" w:rsidP="00266522">
      <w:pPr>
        <w:pStyle w:val="ESch"/>
        <w:rPr>
          <w:lang w:val="cs-CZ"/>
        </w:rPr>
      </w:pPr>
      <w:r w:rsidRPr="003B6E11">
        <w:rPr>
          <w:lang w:val="cs-CZ"/>
        </w:rPr>
        <w:t>2.</w:t>
      </w:r>
      <w:r w:rsidRPr="003B6E11">
        <w:rPr>
          <w:lang w:val="cs-CZ"/>
        </w:rPr>
        <w:tab/>
        <w:t>Tlakové nádoby určené pro provoz lodi musí být zkontrolovány odborníkem za účelem ověření, že jsou bezpečné pro provoz, a to:</w:t>
      </w:r>
    </w:p>
    <w:p w:rsidR="00E24808" w:rsidRPr="003B6E11" w:rsidRDefault="005C7859" w:rsidP="00266522">
      <w:pPr>
        <w:pStyle w:val="ESlet"/>
        <w:rPr>
          <w:lang w:val="cs-CZ"/>
        </w:rPr>
      </w:pPr>
      <w:r w:rsidRPr="003B6E11">
        <w:rPr>
          <w:lang w:val="cs-CZ"/>
        </w:rPr>
        <w:t>a)</w:t>
      </w:r>
      <w:r w:rsidRPr="003B6E11">
        <w:rPr>
          <w:lang w:val="cs-CZ"/>
        </w:rPr>
        <w:tab/>
        <w:t>před prvním uvedením do provozu;</w:t>
      </w:r>
    </w:p>
    <w:p w:rsidR="00E24808" w:rsidRPr="003B6E11" w:rsidRDefault="005C7859" w:rsidP="00266522">
      <w:pPr>
        <w:pStyle w:val="ESlet"/>
        <w:rPr>
          <w:lang w:val="cs-CZ"/>
        </w:rPr>
      </w:pPr>
      <w:r w:rsidRPr="003B6E11">
        <w:rPr>
          <w:lang w:val="cs-CZ"/>
        </w:rPr>
        <w:t>b)</w:t>
      </w:r>
      <w:r w:rsidRPr="003B6E11">
        <w:rPr>
          <w:lang w:val="cs-CZ"/>
        </w:rPr>
        <w:tab/>
        <w:t>před opětovným uvedením do provozu po jakékoli závažnější úpravě nebo opravě a</w:t>
      </w:r>
    </w:p>
    <w:p w:rsidR="00E24808" w:rsidRPr="003B6E11" w:rsidRDefault="005C7859" w:rsidP="00266522">
      <w:pPr>
        <w:pStyle w:val="ESlet"/>
        <w:rPr>
          <w:lang w:val="cs-CZ"/>
        </w:rPr>
      </w:pPr>
      <w:r w:rsidRPr="003B6E11">
        <w:rPr>
          <w:lang w:val="cs-CZ"/>
        </w:rPr>
        <w:t>c)</w:t>
      </w:r>
      <w:r w:rsidRPr="003B6E11">
        <w:rPr>
          <w:lang w:val="cs-CZ"/>
        </w:rPr>
        <w:tab/>
        <w:t>pravidelně nejméně jednou za pět let.</w:t>
      </w:r>
    </w:p>
    <w:p w:rsidR="000B60B9" w:rsidRPr="003B6E11" w:rsidRDefault="000B60B9" w:rsidP="00E24808">
      <w:pPr>
        <w:rPr>
          <w:rFonts w:cs="Arial"/>
          <w:noProof/>
          <w:szCs w:val="20"/>
          <w:lang w:val="cs-CZ"/>
        </w:rPr>
      </w:pPr>
    </w:p>
    <w:p w:rsidR="00E24808" w:rsidRPr="003B6E11" w:rsidRDefault="00E24808" w:rsidP="00266522">
      <w:pPr>
        <w:pStyle w:val="ESchpar"/>
        <w:rPr>
          <w:lang w:val="cs-CZ"/>
        </w:rPr>
      </w:pPr>
      <w:r w:rsidRPr="003B6E11">
        <w:rPr>
          <w:lang w:val="cs-CZ"/>
        </w:rPr>
        <w:t>Kontrola zahrnuje vnitřní a vnější kontrolu. Tlakové nádoby, jejichž vnitřek nelze řádně zkontrolovat nebo jejichž stav nelze během vnitřní kontroly jasně stanovit, musí být podrobeny doplňkové nedestruktivní zkoušce nebo hydraulické tlakové zkoušce.</w:t>
      </w:r>
    </w:p>
    <w:p w:rsidR="000B60B9" w:rsidRPr="003B6E11" w:rsidRDefault="000B60B9" w:rsidP="00266522">
      <w:pPr>
        <w:pStyle w:val="ESchpar"/>
        <w:rPr>
          <w:noProof/>
          <w:lang w:val="cs-CZ"/>
        </w:rPr>
      </w:pPr>
    </w:p>
    <w:p w:rsidR="00E24808" w:rsidRPr="003B6E11" w:rsidRDefault="00E24808" w:rsidP="00266522">
      <w:pPr>
        <w:pStyle w:val="ESchpar"/>
        <w:rPr>
          <w:lang w:val="cs-CZ"/>
        </w:rPr>
      </w:pPr>
      <w:r w:rsidRPr="003B6E11">
        <w:rPr>
          <w:lang w:val="cs-CZ"/>
        </w:rPr>
        <w:t>Musí být vystaveno potvrzení o prohlídce podepsané odborníkem, na němž je uvedeno datum kontroly.</w:t>
      </w:r>
    </w:p>
    <w:p w:rsidR="000B60B9" w:rsidRPr="003B6E11" w:rsidRDefault="000B60B9" w:rsidP="00266522">
      <w:pPr>
        <w:pStyle w:val="ESchpar"/>
        <w:rPr>
          <w:noProof/>
          <w:lang w:val="cs-CZ"/>
        </w:rPr>
      </w:pPr>
    </w:p>
    <w:p w:rsidR="00E24808" w:rsidRPr="003B6E11" w:rsidRDefault="00D329B3" w:rsidP="00266522">
      <w:pPr>
        <w:pStyle w:val="ESchpar"/>
        <w:rPr>
          <w:noProof/>
          <w:lang w:val="cs-CZ"/>
        </w:rPr>
      </w:pPr>
      <w:r w:rsidRPr="003B6E11">
        <w:rPr>
          <w:lang w:val="cs-CZ"/>
        </w:rPr>
        <w:t>Ostatní zařízení, která vyžadují pravidelné prohlídky, zejména parní kotle a jiné tlakové nádoby a jejich příslušenství a výtahy, musí splňovat předpisy platné v jednom z členských států.</w:t>
      </w:r>
    </w:p>
    <w:p w:rsidR="000B60B9" w:rsidRPr="003B6E11" w:rsidRDefault="000B60B9" w:rsidP="00266522">
      <w:pPr>
        <w:pStyle w:val="ESchpar"/>
        <w:rPr>
          <w:lang w:val="cs-CZ"/>
        </w:rPr>
      </w:pPr>
    </w:p>
    <w:p w:rsidR="00E24808" w:rsidRPr="003B6E11" w:rsidRDefault="00E24808" w:rsidP="00266522">
      <w:pPr>
        <w:pStyle w:val="ESch"/>
        <w:rPr>
          <w:lang w:val="cs-CZ"/>
        </w:rPr>
      </w:pPr>
      <w:r w:rsidRPr="003B6E11">
        <w:rPr>
          <w:lang w:val="cs-CZ"/>
        </w:rPr>
        <w:t>3.</w:t>
      </w:r>
      <w:r w:rsidRPr="003B6E11">
        <w:rPr>
          <w:lang w:val="cs-CZ"/>
        </w:rPr>
        <w:tab/>
        <w:t>Lze instalovat pouze spalovací motory určené ke spalování paliva s bodem vzplanutí vyšším než 55 °C.</w:t>
      </w:r>
    </w:p>
    <w:p w:rsidR="00E24808" w:rsidRPr="003B6E11" w:rsidRDefault="00E24808" w:rsidP="00E24808">
      <w:pPr>
        <w:rPr>
          <w:rFonts w:cs="Arial"/>
          <w:szCs w:val="20"/>
          <w:lang w:val="cs-CZ"/>
        </w:rPr>
      </w:pPr>
    </w:p>
    <w:p w:rsidR="000B60B9" w:rsidRPr="003B6E11" w:rsidRDefault="000B60B9" w:rsidP="00E24808">
      <w:pPr>
        <w:rPr>
          <w:rFonts w:cs="Arial"/>
          <w:szCs w:val="20"/>
          <w:lang w:val="cs-CZ"/>
        </w:rPr>
      </w:pPr>
    </w:p>
    <w:p w:rsidR="00E24808" w:rsidRPr="003B6E11" w:rsidRDefault="00E24808" w:rsidP="000B60B9">
      <w:pPr>
        <w:pStyle w:val="ES-Titre3"/>
        <w:rPr>
          <w:lang w:val="cs-CZ"/>
        </w:rPr>
      </w:pPr>
      <w:bookmarkStart w:id="114" w:name="_Toc491854057"/>
      <w:bookmarkStart w:id="115" w:name="_Toc535416963"/>
      <w:r w:rsidRPr="003B6E11">
        <w:rPr>
          <w:lang w:val="cs-CZ"/>
        </w:rPr>
        <w:t>Článek 8.02</w:t>
      </w:r>
      <w:r w:rsidRPr="003B6E11">
        <w:rPr>
          <w:lang w:val="cs-CZ"/>
        </w:rPr>
        <w:br/>
      </w:r>
      <w:r w:rsidRPr="003B6E11">
        <w:rPr>
          <w:i/>
          <w:noProof/>
          <w:lang w:val="cs-CZ"/>
        </w:rPr>
        <w:t>Bezpečnostní vybavení</w:t>
      </w:r>
      <w:bookmarkEnd w:id="114"/>
      <w:bookmarkEnd w:id="115"/>
    </w:p>
    <w:p w:rsidR="000B60B9" w:rsidRPr="003B6E11" w:rsidRDefault="000B60B9" w:rsidP="00E24808">
      <w:pPr>
        <w:rPr>
          <w:rFonts w:cs="Arial"/>
          <w:noProof/>
          <w:szCs w:val="20"/>
          <w:lang w:val="cs-CZ"/>
        </w:rPr>
      </w:pPr>
    </w:p>
    <w:p w:rsidR="00E24808" w:rsidRPr="003B6E11" w:rsidRDefault="00E24808" w:rsidP="00266522">
      <w:pPr>
        <w:pStyle w:val="ESch"/>
        <w:rPr>
          <w:lang w:val="cs-CZ"/>
        </w:rPr>
      </w:pPr>
      <w:r w:rsidRPr="003B6E11">
        <w:rPr>
          <w:lang w:val="cs-CZ"/>
        </w:rPr>
        <w:t>1.</w:t>
      </w:r>
      <w:r w:rsidRPr="003B6E11">
        <w:rPr>
          <w:lang w:val="cs-CZ"/>
        </w:rPr>
        <w:tab/>
        <w:t>Strojní zařízení musí být umístěna a upevněna tak, aby byla dostatečně přístupná pro obsluhu a údržbu a aby neohrožovala osoby, které tyto úkony provádějí. Musí být možné zabezpečit je proti náhodnému spuštění.</w:t>
      </w:r>
    </w:p>
    <w:p w:rsidR="000B60B9" w:rsidRPr="003B6E11" w:rsidRDefault="000B60B9" w:rsidP="00266522">
      <w:pPr>
        <w:pStyle w:val="ESch"/>
        <w:rPr>
          <w:noProof/>
          <w:lang w:val="cs-CZ"/>
        </w:rPr>
      </w:pPr>
    </w:p>
    <w:p w:rsidR="00E24808" w:rsidRPr="003B6E11" w:rsidRDefault="00E24808" w:rsidP="00266522">
      <w:pPr>
        <w:pStyle w:val="ESch"/>
        <w:rPr>
          <w:lang w:val="cs-CZ"/>
        </w:rPr>
      </w:pPr>
      <w:r w:rsidRPr="003B6E11">
        <w:rPr>
          <w:lang w:val="cs-CZ"/>
        </w:rPr>
        <w:t>2.</w:t>
      </w:r>
      <w:r w:rsidRPr="003B6E11">
        <w:rPr>
          <w:lang w:val="cs-CZ"/>
        </w:rPr>
        <w:tab/>
        <w:t>Hlavní motory, pomocné energetické jednotky, kotle a tlakové nádoby a jejich příslušenství musí být vybaveny bezpečnostními prvky.</w:t>
      </w:r>
    </w:p>
    <w:p w:rsidR="000B60B9" w:rsidRPr="003B6E11" w:rsidRDefault="000B60B9" w:rsidP="00266522">
      <w:pPr>
        <w:pStyle w:val="ESch"/>
        <w:rPr>
          <w:noProof/>
          <w:lang w:val="cs-CZ"/>
        </w:rPr>
      </w:pPr>
    </w:p>
    <w:p w:rsidR="00E24808" w:rsidRPr="003B6E11" w:rsidRDefault="00E24808" w:rsidP="00266522">
      <w:pPr>
        <w:pStyle w:val="ESch"/>
        <w:rPr>
          <w:lang w:val="cs-CZ"/>
        </w:rPr>
      </w:pPr>
      <w:r w:rsidRPr="003B6E11">
        <w:rPr>
          <w:lang w:val="cs-CZ"/>
        </w:rPr>
        <w:t>3.</w:t>
      </w:r>
      <w:r w:rsidRPr="003B6E11">
        <w:rPr>
          <w:lang w:val="cs-CZ"/>
        </w:rPr>
        <w:tab/>
        <w:t>V případě naléhavé potřeby musí být také možné zastavit motory pohánějící tlakové a sací ventilátory větrací soustavy z vnějšku prostoru, ve kterém jsou umístěny, a z vnějšku strojovny.</w:t>
      </w:r>
    </w:p>
    <w:p w:rsidR="000B60B9" w:rsidRPr="003B6E11" w:rsidRDefault="000B60B9" w:rsidP="00266522">
      <w:pPr>
        <w:pStyle w:val="ESch"/>
        <w:rPr>
          <w:noProof/>
          <w:lang w:val="cs-CZ"/>
        </w:rPr>
      </w:pPr>
    </w:p>
    <w:p w:rsidR="00E24808" w:rsidRPr="003B6E11" w:rsidRDefault="00E24808" w:rsidP="00266522">
      <w:pPr>
        <w:pStyle w:val="ESch"/>
        <w:rPr>
          <w:lang w:val="cs-CZ"/>
        </w:rPr>
      </w:pPr>
      <w:r w:rsidRPr="003B6E11">
        <w:rPr>
          <w:lang w:val="cs-CZ"/>
        </w:rPr>
        <w:t>4.</w:t>
      </w:r>
      <w:r w:rsidRPr="003B6E11">
        <w:rPr>
          <w:lang w:val="cs-CZ"/>
        </w:rPr>
        <w:tab/>
        <w:t>V případě potřeby musí být spojovací prvky potrubí pro palivo, mazací olej a oleje používané v soustavách pro přenos energie a v ovládacích, pohonných a topných soustavách zakryté nebo jinak vhodně chráněné, aby se zamezilo rozstřiku nebo prosáknutí paliva nebo oleje na horké plochy, do vstupů sání vzduchu strojního zařízení nebo do jiných zdrojů vznícení. Počet spojovacích prvků v těchto potrubních soustavách musí být co nejmenší.</w:t>
      </w:r>
    </w:p>
    <w:p w:rsidR="000B60B9" w:rsidRPr="003B6E11" w:rsidRDefault="000B60B9" w:rsidP="00266522">
      <w:pPr>
        <w:pStyle w:val="ESch"/>
        <w:rPr>
          <w:noProof/>
          <w:lang w:val="cs-CZ"/>
        </w:rPr>
      </w:pPr>
    </w:p>
    <w:p w:rsidR="00266522" w:rsidRPr="003B6E11" w:rsidRDefault="00266522" w:rsidP="00266522">
      <w:pPr>
        <w:pStyle w:val="ESch"/>
        <w:rPr>
          <w:noProof/>
          <w:lang w:val="cs-CZ"/>
        </w:rPr>
      </w:pPr>
      <w:r w:rsidRPr="003B6E11">
        <w:rPr>
          <w:lang w:val="cs-CZ"/>
        </w:rPr>
        <w:br w:type="page"/>
      </w:r>
    </w:p>
    <w:p w:rsidR="00E24808" w:rsidRPr="003B6E11" w:rsidRDefault="00E24808" w:rsidP="00266522">
      <w:pPr>
        <w:pStyle w:val="ESch"/>
        <w:rPr>
          <w:lang w:val="cs-CZ"/>
        </w:rPr>
      </w:pPr>
      <w:r w:rsidRPr="003B6E11">
        <w:rPr>
          <w:lang w:val="cs-CZ"/>
        </w:rPr>
        <w:t>5.</w:t>
      </w:r>
      <w:r w:rsidRPr="003B6E11">
        <w:rPr>
          <w:lang w:val="cs-CZ"/>
        </w:rPr>
        <w:tab/>
        <w:t>Vnější vysokotlaká palivová potrubí vznětových motorů mezi vysokotlakými palivovými čerpadly a vstřikovači paliva musejí být chráněna opláštěnou potrubní soustavou schopnou pojmout palivo při poruše vysokotlakého potrubí. Opláštěná potrubní soustava musí mít prostředky pro shromažďování odkapávajícího paliva a zařízení, které signalizuje poruchu na palivovém potrubí; výjimkou jsou motory s nejvýše dvěma válci, u nichž se poplašný systém nevyžaduje. Opláštěné potrubní soustavy nejsou vyžadovány u motorů na otevřených palubách, které pohánějí kotevní vrátky a svislá vratidla.</w:t>
      </w:r>
    </w:p>
    <w:p w:rsidR="000B60B9" w:rsidRPr="003B6E11" w:rsidRDefault="000B60B9" w:rsidP="00E24808">
      <w:pPr>
        <w:rPr>
          <w:rFonts w:cs="Arial"/>
          <w:noProof/>
          <w:szCs w:val="20"/>
          <w:lang w:val="cs-CZ"/>
        </w:rPr>
      </w:pPr>
    </w:p>
    <w:p w:rsidR="00E24808" w:rsidRPr="003B6E11" w:rsidRDefault="00E24808" w:rsidP="00266522">
      <w:pPr>
        <w:pStyle w:val="ESch"/>
        <w:rPr>
          <w:lang w:val="cs-CZ"/>
        </w:rPr>
      </w:pPr>
      <w:r w:rsidRPr="003B6E11">
        <w:rPr>
          <w:lang w:val="cs-CZ"/>
        </w:rPr>
        <w:t>6.</w:t>
      </w:r>
      <w:r w:rsidRPr="003B6E11">
        <w:rPr>
          <w:lang w:val="cs-CZ"/>
        </w:rPr>
        <w:tab/>
        <w:t>Izolace částí motoru musí splňovat požadavky čl. 3.04 odst. 3 druhého pododstavce.</w:t>
      </w:r>
    </w:p>
    <w:p w:rsidR="00E24808" w:rsidRPr="003B6E11" w:rsidRDefault="00E24808" w:rsidP="00E24808">
      <w:pPr>
        <w:rPr>
          <w:rFonts w:cs="Arial"/>
          <w:szCs w:val="20"/>
          <w:lang w:val="cs-CZ"/>
        </w:rPr>
      </w:pPr>
    </w:p>
    <w:p w:rsidR="00266522" w:rsidRPr="003B6E11" w:rsidRDefault="00266522" w:rsidP="00E24808">
      <w:pPr>
        <w:rPr>
          <w:rFonts w:cs="Arial"/>
          <w:szCs w:val="20"/>
          <w:lang w:val="cs-CZ"/>
        </w:rPr>
      </w:pPr>
    </w:p>
    <w:p w:rsidR="00E24808" w:rsidRPr="003B6E11" w:rsidRDefault="00E24808" w:rsidP="000B60B9">
      <w:pPr>
        <w:pStyle w:val="ES-Titre3"/>
        <w:rPr>
          <w:lang w:val="cs-CZ"/>
        </w:rPr>
      </w:pPr>
      <w:bookmarkStart w:id="116" w:name="_Toc491854058"/>
      <w:bookmarkStart w:id="117" w:name="_Toc535416964"/>
      <w:r w:rsidRPr="003B6E11">
        <w:rPr>
          <w:lang w:val="cs-CZ"/>
        </w:rPr>
        <w:t>Článek 8.03</w:t>
      </w:r>
      <w:r w:rsidRPr="003B6E11">
        <w:rPr>
          <w:lang w:val="cs-CZ"/>
        </w:rPr>
        <w:br/>
      </w:r>
      <w:r w:rsidRPr="003B6E11">
        <w:rPr>
          <w:i/>
          <w:noProof/>
          <w:lang w:val="cs-CZ"/>
        </w:rPr>
        <w:t>Pohonné systémy</w:t>
      </w:r>
      <w:bookmarkEnd w:id="116"/>
      <w:bookmarkEnd w:id="117"/>
    </w:p>
    <w:p w:rsidR="000B60B9" w:rsidRPr="003B6E11" w:rsidRDefault="000B60B9" w:rsidP="00E24808">
      <w:pPr>
        <w:rPr>
          <w:rFonts w:cs="Arial"/>
          <w:noProof/>
          <w:szCs w:val="20"/>
          <w:lang w:val="cs-CZ"/>
        </w:rPr>
      </w:pPr>
    </w:p>
    <w:p w:rsidR="00E24808" w:rsidRPr="003B6E11" w:rsidRDefault="00E24808" w:rsidP="00266522">
      <w:pPr>
        <w:pStyle w:val="ESch"/>
        <w:rPr>
          <w:lang w:val="cs-CZ"/>
        </w:rPr>
      </w:pPr>
      <w:r w:rsidRPr="003B6E11">
        <w:rPr>
          <w:lang w:val="cs-CZ"/>
        </w:rPr>
        <w:t>1.</w:t>
      </w:r>
      <w:r w:rsidRPr="003B6E11">
        <w:rPr>
          <w:lang w:val="cs-CZ"/>
        </w:rPr>
        <w:tab/>
        <w:t>Pohonné zařízení plavidla musí být možné rychle a spolehlivě uvést do chodu, zastavit a uvést do zpětného chodu.</w:t>
      </w:r>
    </w:p>
    <w:p w:rsidR="000B60B9" w:rsidRPr="003B6E11" w:rsidRDefault="000B60B9" w:rsidP="00266522">
      <w:pPr>
        <w:pStyle w:val="ESch"/>
        <w:rPr>
          <w:lang w:val="cs-CZ"/>
        </w:rPr>
      </w:pPr>
    </w:p>
    <w:p w:rsidR="00E24808" w:rsidRPr="003B6E11" w:rsidRDefault="00E24808" w:rsidP="00266522">
      <w:pPr>
        <w:pStyle w:val="ESch"/>
        <w:rPr>
          <w:lang w:val="cs-CZ"/>
        </w:rPr>
      </w:pPr>
      <w:r w:rsidRPr="003B6E11">
        <w:rPr>
          <w:lang w:val="cs-CZ"/>
        </w:rPr>
        <w:t>2.</w:t>
      </w:r>
      <w:r w:rsidRPr="003B6E11">
        <w:rPr>
          <w:lang w:val="cs-CZ"/>
        </w:rPr>
        <w:tab/>
        <w:t>Pomocí vhodných zařízení, která v případě dosažení kritické hladiny spouštějí poplašný signál, je nutno sledovat:</w:t>
      </w:r>
    </w:p>
    <w:p w:rsidR="00E24808" w:rsidRPr="003B6E11" w:rsidRDefault="005C7859" w:rsidP="00266522">
      <w:pPr>
        <w:pStyle w:val="ESlet"/>
        <w:rPr>
          <w:lang w:val="cs-CZ"/>
        </w:rPr>
      </w:pPr>
      <w:r w:rsidRPr="003B6E11">
        <w:rPr>
          <w:lang w:val="cs-CZ"/>
        </w:rPr>
        <w:t>a)</w:t>
      </w:r>
      <w:r w:rsidRPr="003B6E11">
        <w:rPr>
          <w:lang w:val="cs-CZ"/>
        </w:rPr>
        <w:tab/>
        <w:t>teplotu chladicí vody hlavních motorů;</w:t>
      </w:r>
    </w:p>
    <w:p w:rsidR="00E24808" w:rsidRPr="003B6E11" w:rsidRDefault="005C7859" w:rsidP="00266522">
      <w:pPr>
        <w:pStyle w:val="ESlet"/>
        <w:rPr>
          <w:lang w:val="cs-CZ"/>
        </w:rPr>
      </w:pPr>
      <w:r w:rsidRPr="003B6E11">
        <w:rPr>
          <w:lang w:val="cs-CZ"/>
        </w:rPr>
        <w:t>b)</w:t>
      </w:r>
      <w:r w:rsidRPr="003B6E11">
        <w:rPr>
          <w:lang w:val="cs-CZ"/>
        </w:rPr>
        <w:tab/>
        <w:t>tlak mazacího oleje u hlavních motorů a převodovek;</w:t>
      </w:r>
    </w:p>
    <w:p w:rsidR="00E24808" w:rsidRPr="003B6E11" w:rsidRDefault="005C7859" w:rsidP="00266522">
      <w:pPr>
        <w:pStyle w:val="ESlet"/>
        <w:rPr>
          <w:lang w:val="cs-CZ"/>
        </w:rPr>
      </w:pPr>
      <w:r w:rsidRPr="003B6E11">
        <w:rPr>
          <w:lang w:val="cs-CZ"/>
        </w:rPr>
        <w:t>c)</w:t>
      </w:r>
      <w:r w:rsidRPr="003B6E11">
        <w:rPr>
          <w:lang w:val="cs-CZ"/>
        </w:rPr>
        <w:tab/>
        <w:t>tlak oleje a vzduchu reverzačních jednotek hlavních motorů, reverzačních převodovek nebo lodních vrtulí.</w:t>
      </w:r>
    </w:p>
    <w:p w:rsidR="000B60B9" w:rsidRPr="003B6E11" w:rsidRDefault="000B60B9" w:rsidP="00266522">
      <w:pPr>
        <w:pStyle w:val="ESch"/>
        <w:rPr>
          <w:noProof/>
          <w:lang w:val="cs-CZ"/>
        </w:rPr>
      </w:pPr>
    </w:p>
    <w:p w:rsidR="00E24808" w:rsidRPr="003B6E11" w:rsidRDefault="00E24808" w:rsidP="00266522">
      <w:pPr>
        <w:pStyle w:val="ESch"/>
        <w:rPr>
          <w:lang w:val="cs-CZ"/>
        </w:rPr>
      </w:pPr>
      <w:r w:rsidRPr="003B6E11">
        <w:rPr>
          <w:lang w:val="cs-CZ"/>
        </w:rPr>
        <w:t>3.</w:t>
      </w:r>
      <w:r w:rsidRPr="003B6E11">
        <w:rPr>
          <w:lang w:val="cs-CZ"/>
        </w:rPr>
        <w:tab/>
        <w:t>U lodí s pouze jedním pohonným motorem se tento motor nesmí automaticky vypínat s výjimkou ochrany proti nadměrným otáčkám.</w:t>
      </w:r>
    </w:p>
    <w:p w:rsidR="000B60B9" w:rsidRPr="003B6E11" w:rsidRDefault="000B60B9" w:rsidP="00266522">
      <w:pPr>
        <w:pStyle w:val="ESch"/>
        <w:rPr>
          <w:noProof/>
          <w:lang w:val="cs-CZ"/>
        </w:rPr>
      </w:pPr>
    </w:p>
    <w:p w:rsidR="00E24808" w:rsidRPr="003B6E11" w:rsidRDefault="00E24808" w:rsidP="00266522">
      <w:pPr>
        <w:pStyle w:val="ESch"/>
        <w:rPr>
          <w:lang w:val="cs-CZ"/>
        </w:rPr>
      </w:pPr>
      <w:r w:rsidRPr="003B6E11">
        <w:rPr>
          <w:lang w:val="cs-CZ"/>
        </w:rPr>
        <w:t>4.</w:t>
      </w:r>
      <w:r w:rsidRPr="003B6E11">
        <w:rPr>
          <w:lang w:val="cs-CZ"/>
        </w:rPr>
        <w:tab/>
        <w:t>U lodí s pouze jedním pohonným motorem může být tento motor opatřen automatickým zařízením ke snížení otáček motoru pouze tehdy, je-li automatické snížení otáček motoru v kormidelně signalizováno opticky i akusticky a zařízení ke snížení otáček motoru lze vypnout ze stanoviště kormidelníka.</w:t>
      </w:r>
    </w:p>
    <w:p w:rsidR="000B60B9" w:rsidRPr="003B6E11" w:rsidRDefault="000B60B9" w:rsidP="00266522">
      <w:pPr>
        <w:pStyle w:val="ESch"/>
        <w:rPr>
          <w:noProof/>
          <w:lang w:val="cs-CZ"/>
        </w:rPr>
      </w:pPr>
    </w:p>
    <w:p w:rsidR="00E24808" w:rsidRPr="003B6E11" w:rsidRDefault="00E24808" w:rsidP="00266522">
      <w:pPr>
        <w:pStyle w:val="ESch"/>
        <w:rPr>
          <w:lang w:val="cs-CZ"/>
        </w:rPr>
      </w:pPr>
      <w:r w:rsidRPr="003B6E11">
        <w:rPr>
          <w:lang w:val="cs-CZ"/>
        </w:rPr>
        <w:t>5.</w:t>
      </w:r>
      <w:r w:rsidRPr="003B6E11">
        <w:rPr>
          <w:lang w:val="cs-CZ"/>
        </w:rPr>
        <w:tab/>
        <w:t>Uložení hřídele musí být konstruováno tak, aby nemohlo dojít k úniku maziv znečišťujících vodu.</w:t>
      </w:r>
    </w:p>
    <w:p w:rsidR="00E24808" w:rsidRPr="003B6E11" w:rsidRDefault="00E24808" w:rsidP="00E24808">
      <w:pPr>
        <w:rPr>
          <w:rFonts w:cs="Arial"/>
          <w:szCs w:val="20"/>
          <w:lang w:val="cs-CZ"/>
        </w:rPr>
      </w:pPr>
    </w:p>
    <w:p w:rsidR="00E24808" w:rsidRPr="003B6E11" w:rsidRDefault="00E24808" w:rsidP="000B60B9">
      <w:pPr>
        <w:pStyle w:val="ES-Titre3"/>
        <w:rPr>
          <w:i/>
          <w:lang w:val="cs-CZ"/>
        </w:rPr>
      </w:pPr>
      <w:bookmarkStart w:id="118" w:name="_Toc491854059"/>
      <w:bookmarkStart w:id="119" w:name="_Toc535416965"/>
      <w:r w:rsidRPr="003B6E11">
        <w:rPr>
          <w:lang w:val="cs-CZ"/>
        </w:rPr>
        <w:t>Článek 8.04</w:t>
      </w:r>
      <w:r w:rsidRPr="003B6E11">
        <w:rPr>
          <w:lang w:val="cs-CZ"/>
        </w:rPr>
        <w:br/>
      </w:r>
      <w:r w:rsidRPr="003B6E11">
        <w:rPr>
          <w:i/>
          <w:noProof/>
          <w:lang w:val="cs-CZ"/>
        </w:rPr>
        <w:t>Výfukový systém motoru</w:t>
      </w:r>
      <w:bookmarkEnd w:id="118"/>
      <w:bookmarkEnd w:id="119"/>
    </w:p>
    <w:p w:rsidR="000B60B9" w:rsidRPr="003B6E11" w:rsidRDefault="000B60B9" w:rsidP="00E24808">
      <w:pPr>
        <w:rPr>
          <w:rFonts w:cs="Arial"/>
          <w:noProof/>
          <w:szCs w:val="20"/>
          <w:lang w:val="cs-CZ"/>
        </w:rPr>
      </w:pPr>
    </w:p>
    <w:p w:rsidR="00E24808" w:rsidRPr="003B6E11" w:rsidRDefault="00E24808" w:rsidP="00266522">
      <w:pPr>
        <w:pStyle w:val="ESch"/>
        <w:rPr>
          <w:lang w:val="cs-CZ"/>
        </w:rPr>
      </w:pPr>
      <w:r w:rsidRPr="003B6E11">
        <w:rPr>
          <w:lang w:val="cs-CZ"/>
        </w:rPr>
        <w:t>1.</w:t>
      </w:r>
      <w:r w:rsidRPr="003B6E11">
        <w:rPr>
          <w:lang w:val="cs-CZ"/>
        </w:rPr>
        <w:tab/>
        <w:t>Výfukové plyny musí být bezezbytku odváděny z lodi.</w:t>
      </w:r>
    </w:p>
    <w:p w:rsidR="000B60B9" w:rsidRPr="003B6E11" w:rsidRDefault="000B60B9" w:rsidP="00266522">
      <w:pPr>
        <w:pStyle w:val="ESch"/>
        <w:rPr>
          <w:noProof/>
          <w:lang w:val="cs-CZ"/>
        </w:rPr>
      </w:pPr>
    </w:p>
    <w:p w:rsidR="00E24808" w:rsidRPr="003B6E11" w:rsidRDefault="00E24808" w:rsidP="00266522">
      <w:pPr>
        <w:pStyle w:val="ESch"/>
        <w:rPr>
          <w:lang w:val="cs-CZ"/>
        </w:rPr>
      </w:pPr>
      <w:r w:rsidRPr="003B6E11">
        <w:rPr>
          <w:lang w:val="cs-CZ"/>
        </w:rPr>
        <w:t>2.</w:t>
      </w:r>
      <w:r w:rsidRPr="003B6E11">
        <w:rPr>
          <w:lang w:val="cs-CZ"/>
        </w:rPr>
        <w:tab/>
        <w:t>Musí být přijata veškerá vhodná opatření k zabránění průniku výfukových plynů do jednotlivých oddělení. Výfuková potrubí procházející obytnými prostory nebo kormidelnou musí mít v těchto prostorech plynotěsné ochranné opláštění. Mezera mezi výfukovým potrubím a plynotěsným ochranným opláštěním musí umožnit přívod vnějšího vzduchu.</w:t>
      </w:r>
    </w:p>
    <w:p w:rsidR="000B60B9" w:rsidRPr="003B6E11" w:rsidRDefault="000B60B9" w:rsidP="00266522">
      <w:pPr>
        <w:pStyle w:val="ESch"/>
        <w:rPr>
          <w:noProof/>
          <w:lang w:val="cs-CZ"/>
        </w:rPr>
      </w:pPr>
    </w:p>
    <w:p w:rsidR="00E24808" w:rsidRPr="003B6E11" w:rsidRDefault="00E24808" w:rsidP="00266522">
      <w:pPr>
        <w:pStyle w:val="ESch"/>
        <w:rPr>
          <w:lang w:val="cs-CZ"/>
        </w:rPr>
      </w:pPr>
      <w:r w:rsidRPr="003B6E11">
        <w:rPr>
          <w:lang w:val="cs-CZ"/>
        </w:rPr>
        <w:t>3.</w:t>
      </w:r>
      <w:r w:rsidRPr="003B6E11">
        <w:rPr>
          <w:lang w:val="cs-CZ"/>
        </w:rPr>
        <w:tab/>
        <w:t>Výfuková potrubí musí být uspořádána a chráněna tak, aby nemohla způsobit požár.</w:t>
      </w:r>
    </w:p>
    <w:p w:rsidR="000B60B9" w:rsidRPr="003B6E11" w:rsidRDefault="000B60B9" w:rsidP="00266522">
      <w:pPr>
        <w:pStyle w:val="ESch"/>
        <w:rPr>
          <w:noProof/>
          <w:lang w:val="cs-CZ"/>
        </w:rPr>
      </w:pPr>
    </w:p>
    <w:p w:rsidR="00E24808" w:rsidRPr="003B6E11" w:rsidRDefault="00E24808" w:rsidP="00266522">
      <w:pPr>
        <w:pStyle w:val="ESch"/>
        <w:rPr>
          <w:lang w:val="cs-CZ"/>
        </w:rPr>
      </w:pPr>
      <w:r w:rsidRPr="003B6E11">
        <w:rPr>
          <w:lang w:val="cs-CZ"/>
        </w:rPr>
        <w:t>4.</w:t>
      </w:r>
      <w:r w:rsidRPr="003B6E11">
        <w:rPr>
          <w:lang w:val="cs-CZ"/>
        </w:rPr>
        <w:tab/>
        <w:t>Ve strojovnách musí být výfukové potrubí vhodně tepelně izolováno, nebo chlazeno. V prostorech mimo strojovnu může postačit ochrana před dotykem.</w:t>
      </w:r>
    </w:p>
    <w:p w:rsidR="00E24808" w:rsidRPr="003B6E11" w:rsidRDefault="00E24808" w:rsidP="00E24808">
      <w:pPr>
        <w:rPr>
          <w:rFonts w:cs="Arial"/>
          <w:szCs w:val="20"/>
          <w:lang w:val="cs-CZ"/>
        </w:rPr>
      </w:pPr>
    </w:p>
    <w:p w:rsidR="000B60B9" w:rsidRPr="003B6E11" w:rsidRDefault="00266522" w:rsidP="00E24808">
      <w:pPr>
        <w:rPr>
          <w:rFonts w:cs="Arial"/>
          <w:szCs w:val="20"/>
          <w:lang w:val="cs-CZ"/>
        </w:rPr>
      </w:pPr>
      <w:r w:rsidRPr="003B6E11">
        <w:rPr>
          <w:lang w:val="cs-CZ"/>
        </w:rPr>
        <w:br w:type="page"/>
      </w:r>
    </w:p>
    <w:p w:rsidR="00E24808" w:rsidRPr="003B6E11" w:rsidRDefault="00E24808" w:rsidP="000B60B9">
      <w:pPr>
        <w:pStyle w:val="ES-Titre3"/>
        <w:rPr>
          <w:lang w:val="cs-CZ"/>
        </w:rPr>
      </w:pPr>
      <w:bookmarkStart w:id="120" w:name="_Toc491854060"/>
      <w:bookmarkStart w:id="121" w:name="_Toc535416966"/>
      <w:r w:rsidRPr="003B6E11">
        <w:rPr>
          <w:lang w:val="cs-CZ"/>
        </w:rPr>
        <w:t>Článek 8.05</w:t>
      </w:r>
      <w:r w:rsidRPr="003B6E11">
        <w:rPr>
          <w:lang w:val="cs-CZ"/>
        </w:rPr>
        <w:br/>
      </w:r>
      <w:r w:rsidRPr="003B6E11">
        <w:rPr>
          <w:i/>
          <w:noProof/>
          <w:lang w:val="cs-CZ"/>
        </w:rPr>
        <w:t>Palivové nádrže, potrubí a příslušenství</w:t>
      </w:r>
      <w:bookmarkEnd w:id="120"/>
      <w:bookmarkEnd w:id="121"/>
    </w:p>
    <w:p w:rsidR="000B60B9" w:rsidRPr="003B6E11" w:rsidRDefault="000B60B9" w:rsidP="00E24808">
      <w:pPr>
        <w:rPr>
          <w:rFonts w:cs="Arial"/>
          <w:noProof/>
          <w:szCs w:val="20"/>
          <w:lang w:val="cs-CZ"/>
        </w:rPr>
      </w:pPr>
    </w:p>
    <w:p w:rsidR="00E24808" w:rsidRPr="003B6E11" w:rsidRDefault="000B60B9" w:rsidP="00266522">
      <w:pPr>
        <w:pStyle w:val="ESch"/>
        <w:rPr>
          <w:noProof/>
          <w:lang w:val="cs-CZ"/>
        </w:rPr>
      </w:pPr>
      <w:r w:rsidRPr="003B6E11">
        <w:rPr>
          <w:lang w:val="cs-CZ"/>
        </w:rPr>
        <w:t xml:space="preserve">1. </w:t>
      </w:r>
      <w:r w:rsidRPr="003B6E11">
        <w:rPr>
          <w:lang w:val="cs-CZ"/>
        </w:rPr>
        <w:tab/>
        <w:t>Kapalné palivo musí být uskladněno v ocelových nádržích, které buď jsou nedílnou součástí lodního trupu, nebo jsou k lodnímu trupu pevně připevněny. Vyžaduje-li to konstrukce lodi, lze použít rovnocenný ohnivzdorný materiál. Tyto požadavky se nevztahují na nádrže s obsahem do 12 litrů, které byly již ve výrobě vestavěny do pomocných energetických jednotek. Palivové nádrže nesmí mít společné dělicí stěny s nádržemi na pitnou vodu.</w:t>
      </w:r>
    </w:p>
    <w:p w:rsidR="000B60B9" w:rsidRPr="003B6E11" w:rsidRDefault="000B60B9" w:rsidP="00266522">
      <w:pPr>
        <w:pStyle w:val="ESch"/>
        <w:rPr>
          <w:noProof/>
          <w:lang w:val="cs-CZ"/>
        </w:rPr>
      </w:pPr>
    </w:p>
    <w:p w:rsidR="00E24808" w:rsidRPr="003B6E11" w:rsidRDefault="00E24808" w:rsidP="00266522">
      <w:pPr>
        <w:pStyle w:val="ESch"/>
        <w:rPr>
          <w:lang w:val="cs-CZ"/>
        </w:rPr>
      </w:pPr>
      <w:r w:rsidRPr="003B6E11">
        <w:rPr>
          <w:lang w:val="cs-CZ"/>
        </w:rPr>
        <w:t>2.</w:t>
      </w:r>
      <w:r w:rsidRPr="003B6E11">
        <w:rPr>
          <w:lang w:val="cs-CZ"/>
        </w:rPr>
        <w:tab/>
        <w:t>Palivové nádrže, jejich potrubí a další příslušenství musí být uspořádány a zařízeny tak, aby palivo ani palivové výpary nemohly náhodně uniknout do vnitřních prostor lodi. Ventily nádrží určené k odběru vzorku paliva nebo odvádění vody se musí zavírat automaticky.</w:t>
      </w:r>
    </w:p>
    <w:p w:rsidR="000B60B9" w:rsidRPr="003B6E11" w:rsidRDefault="000B60B9" w:rsidP="00266522">
      <w:pPr>
        <w:pStyle w:val="ESch"/>
        <w:rPr>
          <w:noProof/>
          <w:lang w:val="cs-CZ"/>
        </w:rPr>
      </w:pPr>
    </w:p>
    <w:p w:rsidR="00E24808" w:rsidRPr="003B6E11" w:rsidRDefault="00E24808" w:rsidP="00266522">
      <w:pPr>
        <w:pStyle w:val="ESch"/>
        <w:rPr>
          <w:lang w:val="cs-CZ"/>
        </w:rPr>
      </w:pPr>
      <w:r w:rsidRPr="003B6E11">
        <w:rPr>
          <w:lang w:val="cs-CZ"/>
        </w:rPr>
        <w:t>3.</w:t>
      </w:r>
      <w:r w:rsidRPr="003B6E11">
        <w:rPr>
          <w:lang w:val="cs-CZ"/>
        </w:rPr>
        <w:tab/>
        <w:t>Před kolizní přepážkou nebo za záďovou přepážkou nesmí být umístěny žádné palivové nádrže.</w:t>
      </w:r>
    </w:p>
    <w:p w:rsidR="000B60B9" w:rsidRPr="003B6E11" w:rsidRDefault="000B60B9" w:rsidP="00266522">
      <w:pPr>
        <w:pStyle w:val="ESch"/>
        <w:rPr>
          <w:noProof/>
          <w:lang w:val="cs-CZ"/>
        </w:rPr>
      </w:pPr>
    </w:p>
    <w:p w:rsidR="00E24808" w:rsidRPr="003B6E11" w:rsidRDefault="00E24808" w:rsidP="00266522">
      <w:pPr>
        <w:pStyle w:val="ESch"/>
        <w:rPr>
          <w:lang w:val="cs-CZ"/>
        </w:rPr>
      </w:pPr>
      <w:r w:rsidRPr="003B6E11">
        <w:rPr>
          <w:lang w:val="cs-CZ"/>
        </w:rPr>
        <w:t>4.</w:t>
      </w:r>
      <w:r w:rsidRPr="003B6E11">
        <w:rPr>
          <w:lang w:val="cs-CZ"/>
        </w:rPr>
        <w:tab/>
        <w:t>Palivové nádrže a jejich armatury nesmí být umístěny přímo nad motory nebo výfukovým potrubím.</w:t>
      </w:r>
    </w:p>
    <w:p w:rsidR="000B60B9" w:rsidRPr="003B6E11" w:rsidRDefault="000B60B9" w:rsidP="00266522">
      <w:pPr>
        <w:pStyle w:val="ESch"/>
        <w:rPr>
          <w:noProof/>
          <w:lang w:val="cs-CZ"/>
        </w:rPr>
      </w:pPr>
    </w:p>
    <w:p w:rsidR="00E24808" w:rsidRPr="003B6E11" w:rsidRDefault="00E24808" w:rsidP="00266522">
      <w:pPr>
        <w:pStyle w:val="ESch"/>
        <w:rPr>
          <w:lang w:val="cs-CZ"/>
        </w:rPr>
      </w:pPr>
      <w:r w:rsidRPr="003B6E11">
        <w:rPr>
          <w:lang w:val="cs-CZ"/>
        </w:rPr>
        <w:t>5.</w:t>
      </w:r>
      <w:r w:rsidRPr="003B6E11">
        <w:rPr>
          <w:lang w:val="cs-CZ"/>
        </w:rPr>
        <w:tab/>
        <w:t>Plnicí otvory palivových nádrží musí být zřetelně označeny.</w:t>
      </w:r>
    </w:p>
    <w:p w:rsidR="000B60B9" w:rsidRPr="003B6E11" w:rsidRDefault="000B60B9" w:rsidP="00266522">
      <w:pPr>
        <w:pStyle w:val="ESch"/>
        <w:rPr>
          <w:noProof/>
          <w:lang w:val="cs-CZ"/>
        </w:rPr>
      </w:pPr>
    </w:p>
    <w:p w:rsidR="00E24808" w:rsidRPr="003B6E11" w:rsidRDefault="00E24808" w:rsidP="00266522">
      <w:pPr>
        <w:pStyle w:val="ESch"/>
        <w:rPr>
          <w:lang w:val="cs-CZ"/>
        </w:rPr>
      </w:pPr>
      <w:r w:rsidRPr="003B6E11">
        <w:rPr>
          <w:lang w:val="cs-CZ"/>
        </w:rPr>
        <w:t>6.</w:t>
      </w:r>
      <w:r w:rsidRPr="003B6E11">
        <w:rPr>
          <w:lang w:val="cs-CZ"/>
        </w:rPr>
        <w:tab/>
        <w:t>Vyústění plnicích potrubí palivových nádrží, kromě nádrží plněných pro denní spotřebu, musí být na palubě. Plnicí potrubí musí být opatřeno připojovacím hrdlem v souladu s evropskou normou EN 12827 : 1999.</w:t>
      </w:r>
    </w:p>
    <w:p w:rsidR="000B60B9" w:rsidRPr="003B6E11" w:rsidRDefault="000B60B9" w:rsidP="00266522">
      <w:pPr>
        <w:pStyle w:val="ESch"/>
        <w:rPr>
          <w:noProof/>
          <w:lang w:val="cs-CZ"/>
        </w:rPr>
      </w:pPr>
    </w:p>
    <w:p w:rsidR="00E24808" w:rsidRPr="003B6E11" w:rsidRDefault="00E24808" w:rsidP="00266522">
      <w:pPr>
        <w:pStyle w:val="ESchpar"/>
        <w:rPr>
          <w:lang w:val="cs-CZ"/>
        </w:rPr>
      </w:pPr>
      <w:r w:rsidRPr="003B6E11">
        <w:rPr>
          <w:lang w:val="cs-CZ"/>
        </w:rPr>
        <w:t>Nádrže musí být opatřeny odvětrávacím potrubím vyústěným do otevřeného prostoru nad palubou, které je uspořádáno tak, aby do něj nemohla vniknout voda. Průřez odvětrávacího potrubí musí činit nejméně 1,25násobek průřezu plnicího potrubí.</w:t>
      </w:r>
    </w:p>
    <w:p w:rsidR="000B60B9" w:rsidRPr="003B6E11" w:rsidRDefault="000B60B9" w:rsidP="00266522">
      <w:pPr>
        <w:pStyle w:val="ESchpar"/>
        <w:rPr>
          <w:noProof/>
          <w:lang w:val="cs-CZ"/>
        </w:rPr>
      </w:pPr>
    </w:p>
    <w:p w:rsidR="00E24808" w:rsidRPr="003B6E11" w:rsidRDefault="004004C5" w:rsidP="00266522">
      <w:pPr>
        <w:pStyle w:val="ESchpar"/>
        <w:rPr>
          <w:lang w:val="cs-CZ"/>
        </w:rPr>
      </w:pPr>
      <w:r w:rsidRPr="003B6E11">
        <w:rPr>
          <w:lang w:val="cs-CZ"/>
        </w:rPr>
        <w:t>Jsou-li nádrže navzájem propojené, musí průřez spojovacího potrubí činit nejméně 1,25násobek průřezu plnicího potrubí.</w:t>
      </w:r>
    </w:p>
    <w:p w:rsidR="000B60B9" w:rsidRPr="003B6E11" w:rsidRDefault="000B60B9" w:rsidP="00266522">
      <w:pPr>
        <w:pStyle w:val="ESch"/>
        <w:rPr>
          <w:noProof/>
          <w:lang w:val="cs-CZ"/>
        </w:rPr>
      </w:pPr>
    </w:p>
    <w:p w:rsidR="00E24808" w:rsidRPr="003B6E11" w:rsidRDefault="00E24808" w:rsidP="00266522">
      <w:pPr>
        <w:pStyle w:val="ESch"/>
        <w:rPr>
          <w:lang w:val="cs-CZ"/>
        </w:rPr>
      </w:pPr>
      <w:r w:rsidRPr="003B6E11">
        <w:rPr>
          <w:lang w:val="cs-CZ"/>
        </w:rPr>
        <w:t>7.</w:t>
      </w:r>
      <w:r w:rsidRPr="003B6E11">
        <w:rPr>
          <w:lang w:val="cs-CZ"/>
        </w:rPr>
        <w:tab/>
        <w:t>Rozvodné potrubí kapalného paliva musí být přímo na výstupu z nádrže vybaveno rychlouzavíracím ventilem, který lze ovládat z paluby, i když jsou dotčené prostory uzavřeny.</w:t>
      </w:r>
    </w:p>
    <w:p w:rsidR="000B60B9" w:rsidRPr="003B6E11" w:rsidRDefault="000B60B9" w:rsidP="00266522">
      <w:pPr>
        <w:pStyle w:val="ESch"/>
        <w:rPr>
          <w:noProof/>
          <w:lang w:val="cs-CZ"/>
        </w:rPr>
      </w:pPr>
    </w:p>
    <w:p w:rsidR="00E24808" w:rsidRPr="003B6E11" w:rsidRDefault="00E24808" w:rsidP="00266522">
      <w:pPr>
        <w:pStyle w:val="ESchpar"/>
        <w:rPr>
          <w:lang w:val="cs-CZ"/>
        </w:rPr>
      </w:pPr>
      <w:r w:rsidRPr="003B6E11">
        <w:rPr>
          <w:lang w:val="cs-CZ"/>
        </w:rPr>
        <w:t>Je-li ovládací zařízení kryté, nesmí být víko nebo kryt uzamykatelné.</w:t>
      </w:r>
    </w:p>
    <w:p w:rsidR="000B60B9" w:rsidRPr="003B6E11" w:rsidRDefault="000B60B9" w:rsidP="00266522">
      <w:pPr>
        <w:pStyle w:val="ESchpar"/>
        <w:rPr>
          <w:noProof/>
          <w:lang w:val="cs-CZ"/>
        </w:rPr>
      </w:pPr>
    </w:p>
    <w:p w:rsidR="00E24808" w:rsidRPr="003B6E11" w:rsidRDefault="00E24808" w:rsidP="00266522">
      <w:pPr>
        <w:pStyle w:val="ESchpar"/>
        <w:rPr>
          <w:lang w:val="cs-CZ"/>
        </w:rPr>
      </w:pPr>
      <w:r w:rsidRPr="003B6E11">
        <w:rPr>
          <w:lang w:val="cs-CZ"/>
        </w:rPr>
        <w:t>Ovládací zařízení musí být označeno červeně. Je-li zařízení kryté, musí být označeno symbolem pro rychlouzavírací ventil na nádrži podle obrázku 9 v příloze 4 s délkou strany nejméně 10 cm.</w:t>
      </w:r>
    </w:p>
    <w:p w:rsidR="000B60B9" w:rsidRPr="003B6E11" w:rsidRDefault="000B60B9" w:rsidP="00266522">
      <w:pPr>
        <w:pStyle w:val="ESch"/>
        <w:rPr>
          <w:noProof/>
          <w:lang w:val="cs-CZ"/>
        </w:rPr>
      </w:pPr>
    </w:p>
    <w:p w:rsidR="00E24808" w:rsidRPr="003B6E11" w:rsidRDefault="00E24808" w:rsidP="00266522">
      <w:pPr>
        <w:pStyle w:val="ESchpar"/>
        <w:rPr>
          <w:lang w:val="cs-CZ"/>
        </w:rPr>
      </w:pPr>
      <w:r w:rsidRPr="003B6E11">
        <w:rPr>
          <w:lang w:val="cs-CZ"/>
        </w:rPr>
        <w:t>První pododstavec se nevztahuje na palivové nádrže namontované přímo na motoru.</w:t>
      </w:r>
    </w:p>
    <w:p w:rsidR="000B60B9" w:rsidRPr="003B6E11" w:rsidRDefault="000B60B9" w:rsidP="00266522">
      <w:pPr>
        <w:pStyle w:val="ESch"/>
        <w:rPr>
          <w:noProof/>
          <w:lang w:val="cs-CZ"/>
        </w:rPr>
      </w:pPr>
    </w:p>
    <w:p w:rsidR="00E24808" w:rsidRPr="003B6E11" w:rsidRDefault="00E24808" w:rsidP="00266522">
      <w:pPr>
        <w:pStyle w:val="ESch"/>
        <w:rPr>
          <w:lang w:val="cs-CZ"/>
        </w:rPr>
      </w:pPr>
      <w:r w:rsidRPr="003B6E11">
        <w:rPr>
          <w:lang w:val="cs-CZ"/>
        </w:rPr>
        <w:t>8.</w:t>
      </w:r>
      <w:r w:rsidRPr="003B6E11">
        <w:rPr>
          <w:lang w:val="cs-CZ"/>
        </w:rPr>
        <w:tab/>
        <w:t>Palivová potrubí, jejich spojovací prvky, těsnění a armatury musí být vyrobeny z materiálu, jenž vydrží mechanické, chemické a tepelné namáhání, které lze předpokládat. Palivová potrubí nesmí být vystavena škodlivým účinkům tepla a musí být možná jejich kontrola po celé délce.</w:t>
      </w:r>
    </w:p>
    <w:p w:rsidR="000B60B9" w:rsidRPr="003B6E11" w:rsidRDefault="000B60B9" w:rsidP="00266522">
      <w:pPr>
        <w:pStyle w:val="ESch"/>
        <w:rPr>
          <w:noProof/>
          <w:lang w:val="cs-CZ"/>
        </w:rPr>
      </w:pPr>
    </w:p>
    <w:p w:rsidR="00266522" w:rsidRPr="003B6E11" w:rsidRDefault="00266522" w:rsidP="00266522">
      <w:pPr>
        <w:pStyle w:val="ESch"/>
        <w:rPr>
          <w:noProof/>
          <w:lang w:val="cs-CZ"/>
        </w:rPr>
      </w:pPr>
      <w:r w:rsidRPr="003B6E11">
        <w:rPr>
          <w:lang w:val="cs-CZ"/>
        </w:rPr>
        <w:br w:type="page"/>
      </w:r>
    </w:p>
    <w:p w:rsidR="00E24808" w:rsidRPr="003B6E11" w:rsidRDefault="00E24808" w:rsidP="00266522">
      <w:pPr>
        <w:pStyle w:val="ESch"/>
        <w:rPr>
          <w:lang w:val="cs-CZ"/>
        </w:rPr>
      </w:pPr>
      <w:r w:rsidRPr="003B6E11">
        <w:rPr>
          <w:lang w:val="cs-CZ"/>
        </w:rPr>
        <w:t>9.</w:t>
      </w:r>
      <w:r w:rsidRPr="003B6E11">
        <w:rPr>
          <w:lang w:val="cs-CZ"/>
        </w:rPr>
        <w:tab/>
        <w:t>Palivové nádrže musí být opatřeny vhodným zařízením pro měření jejich obsahu. Měřicí zařízení musí být dobře čitelné až po nejvyšší hladinu plnění nádrže. Skleněné stavoznaky musí být účinně chráněny před nárazy, musí být na dolním konci opatřeny automatickým uzavíracím zařízením a na horním konci připojeny k nádržím nad nejvyšší hladinou jejich plnění. Materiál použitý k výrobě skleněných stavoznaků se při běžné okolní teplotě nesmí deformovat. Měřicí trubky nesmí být vyústěny v obytných prostorech. Měřicí trubky vyústěné ve strojovně nebo kotelně musí být opatřeny vhodným samouzavíracím zařízením.</w:t>
      </w:r>
    </w:p>
    <w:p w:rsidR="000B60B9" w:rsidRPr="003B6E11" w:rsidRDefault="000B60B9" w:rsidP="00266522">
      <w:pPr>
        <w:pStyle w:val="ESch"/>
        <w:rPr>
          <w:noProof/>
          <w:lang w:val="cs-CZ"/>
        </w:rPr>
      </w:pPr>
    </w:p>
    <w:p w:rsidR="00E24808" w:rsidRPr="003B6E11" w:rsidRDefault="00E24808" w:rsidP="00266522">
      <w:pPr>
        <w:pStyle w:val="ESch"/>
        <w:tabs>
          <w:tab w:val="left" w:pos="567"/>
        </w:tabs>
        <w:ind w:left="993" w:hanging="993"/>
        <w:rPr>
          <w:lang w:val="cs-CZ"/>
        </w:rPr>
      </w:pPr>
      <w:r w:rsidRPr="003B6E11">
        <w:rPr>
          <w:lang w:val="cs-CZ"/>
        </w:rPr>
        <w:t>10.</w:t>
      </w:r>
      <w:r w:rsidRPr="003B6E11">
        <w:rPr>
          <w:lang w:val="cs-CZ"/>
        </w:rPr>
        <w:tab/>
        <w:t>a)</w:t>
      </w:r>
      <w:r w:rsidRPr="003B6E11">
        <w:rPr>
          <w:lang w:val="cs-CZ"/>
        </w:rPr>
        <w:tab/>
        <w:t>Palivové nádrže musí být pomocí vhodných technických zařízení na palubě, která se zaznamenají v bodě 52 osvědčení plavidla vnitrozemské plavby, zabezpečeny proti úniku paliva při jejich doplňování.</w:t>
      </w:r>
    </w:p>
    <w:p w:rsidR="000B60B9" w:rsidRPr="003B6E11" w:rsidRDefault="000B60B9" w:rsidP="000B60B9">
      <w:pPr>
        <w:rPr>
          <w:rFonts w:cs="Arial"/>
          <w:noProof/>
          <w:szCs w:val="20"/>
          <w:lang w:val="cs-CZ"/>
        </w:rPr>
      </w:pPr>
    </w:p>
    <w:p w:rsidR="00E24808" w:rsidRPr="003B6E11" w:rsidRDefault="005C7859" w:rsidP="00266522">
      <w:pPr>
        <w:pStyle w:val="ESlet"/>
        <w:rPr>
          <w:noProof/>
          <w:lang w:val="cs-CZ"/>
        </w:rPr>
      </w:pPr>
      <w:r w:rsidRPr="003B6E11">
        <w:rPr>
          <w:lang w:val="cs-CZ"/>
        </w:rPr>
        <w:t>b)</w:t>
      </w:r>
      <w:r w:rsidRPr="003B6E11">
        <w:rPr>
          <w:lang w:val="cs-CZ"/>
        </w:rPr>
        <w:tab/>
        <w:t>Požadavky na vybavení podle písmene a) a odstavce 11 neplatí, pokud je palivo čerpáno ze zásobovacích čerpacích stanic, které mají vlastní technická zařízení zabraňující úniku paliva.</w:t>
      </w:r>
    </w:p>
    <w:p w:rsidR="000B60B9" w:rsidRPr="003B6E11" w:rsidRDefault="000B60B9" w:rsidP="00E24808">
      <w:pPr>
        <w:rPr>
          <w:rFonts w:cs="Arial"/>
          <w:noProof/>
          <w:szCs w:val="20"/>
          <w:lang w:val="cs-CZ"/>
        </w:rPr>
      </w:pPr>
    </w:p>
    <w:p w:rsidR="00E24808" w:rsidRPr="003B6E11" w:rsidRDefault="00E24808" w:rsidP="00266522">
      <w:pPr>
        <w:pStyle w:val="ESch"/>
        <w:rPr>
          <w:lang w:val="cs-CZ"/>
        </w:rPr>
      </w:pPr>
      <w:r w:rsidRPr="003B6E11">
        <w:rPr>
          <w:lang w:val="cs-CZ"/>
        </w:rPr>
        <w:t>11.</w:t>
      </w:r>
      <w:r w:rsidRPr="003B6E11">
        <w:rPr>
          <w:lang w:val="cs-CZ"/>
        </w:rPr>
        <w:tab/>
        <w:t>Jsou-li palivové nádrže opatřeny automatickým uzavíracím zařízením, musí čidla zastavit plnění, je-li nádrž plná z 97 %; toto zařízení musí splňovat bezpečnostní požadavky.</w:t>
      </w:r>
    </w:p>
    <w:p w:rsidR="000B60B9" w:rsidRPr="003B6E11" w:rsidRDefault="000B60B9" w:rsidP="00266522">
      <w:pPr>
        <w:pStyle w:val="ESch"/>
        <w:rPr>
          <w:noProof/>
          <w:lang w:val="cs-CZ"/>
        </w:rPr>
      </w:pPr>
    </w:p>
    <w:p w:rsidR="000B60B9" w:rsidRPr="003B6E11" w:rsidRDefault="008418DC" w:rsidP="008418DC">
      <w:pPr>
        <w:pStyle w:val="ESch"/>
        <w:ind w:firstLine="0"/>
        <w:rPr>
          <w:noProof/>
          <w:lang w:val="cs-CZ"/>
        </w:rPr>
      </w:pPr>
      <w:r w:rsidRPr="003B6E11">
        <w:rPr>
          <w:lang w:val="cs-CZ"/>
        </w:rPr>
        <w:t>Pokud čidlo aktivuje elektrický kontakt, který může binárním signálem přerušit tok dodávaný zásobovací čerpací stanicí, musí být možné předat signál zásobovací čerpací stanici pomocí vodotěsné spojovací zásuvky splňující požadavky mezinárodní normy IEC 60309-1:2012, pro stejnosměrný proud 40 až 50 V, barva krytu bílá, poloha zemnícího kontaktu deset hodin.</w:t>
      </w:r>
    </w:p>
    <w:p w:rsidR="008418DC" w:rsidRPr="003B6E11" w:rsidRDefault="008418DC" w:rsidP="00266522">
      <w:pPr>
        <w:pStyle w:val="ESch"/>
        <w:rPr>
          <w:noProof/>
          <w:lang w:val="cs-CZ"/>
        </w:rPr>
      </w:pPr>
    </w:p>
    <w:p w:rsidR="00E24808" w:rsidRPr="003B6E11" w:rsidRDefault="00E24808" w:rsidP="00266522">
      <w:pPr>
        <w:pStyle w:val="ESch"/>
        <w:rPr>
          <w:lang w:val="cs-CZ"/>
        </w:rPr>
      </w:pPr>
      <w:r w:rsidRPr="003B6E11">
        <w:rPr>
          <w:lang w:val="cs-CZ"/>
        </w:rPr>
        <w:t>12.</w:t>
      </w:r>
      <w:r w:rsidRPr="003B6E11">
        <w:rPr>
          <w:lang w:val="cs-CZ"/>
        </w:rPr>
        <w:tab/>
        <w:t>Palivové nádrže musí být vybaveny otvory s těsnými uzávěry, které umožňují čištění a kontrolu.</w:t>
      </w:r>
    </w:p>
    <w:p w:rsidR="000B60B9" w:rsidRPr="003B6E11" w:rsidRDefault="000B60B9" w:rsidP="00266522">
      <w:pPr>
        <w:pStyle w:val="ESch"/>
        <w:rPr>
          <w:noProof/>
          <w:lang w:val="cs-CZ"/>
        </w:rPr>
      </w:pPr>
    </w:p>
    <w:p w:rsidR="00E24808" w:rsidRPr="003B6E11" w:rsidRDefault="00E24808" w:rsidP="008418DC">
      <w:pPr>
        <w:pStyle w:val="ESch"/>
        <w:rPr>
          <w:noProof/>
          <w:lang w:val="cs-CZ"/>
        </w:rPr>
      </w:pPr>
      <w:r w:rsidRPr="003B6E11">
        <w:rPr>
          <w:lang w:val="cs-CZ"/>
        </w:rPr>
        <w:t>13.</w:t>
      </w:r>
      <w:r w:rsidRPr="003B6E11">
        <w:rPr>
          <w:lang w:val="cs-CZ"/>
        </w:rPr>
        <w:tab/>
        <w:t>Palivové nádrže přímo zásobující pohonné motory a motory potřebné pro plavbu musí být vybaveny zařízením, které dává v kormidelně vizuální a zvukový signál v případě, že hladina naplnění palivem již není dostatečná pro zajištění bezpečného provozu.</w:t>
      </w:r>
    </w:p>
    <w:p w:rsidR="008418DC" w:rsidRPr="003B6E11" w:rsidRDefault="008418DC" w:rsidP="008418DC">
      <w:pPr>
        <w:pStyle w:val="ESch"/>
        <w:rPr>
          <w:rFonts w:cs="Arial"/>
          <w:szCs w:val="20"/>
          <w:lang w:val="cs-CZ"/>
        </w:rPr>
      </w:pPr>
    </w:p>
    <w:p w:rsidR="000B60B9" w:rsidRPr="003B6E11" w:rsidRDefault="000B60B9" w:rsidP="00E24808">
      <w:pPr>
        <w:rPr>
          <w:rFonts w:cs="Arial"/>
          <w:szCs w:val="20"/>
          <w:lang w:val="cs-CZ"/>
        </w:rPr>
      </w:pPr>
    </w:p>
    <w:p w:rsidR="00E24808" w:rsidRPr="003B6E11" w:rsidRDefault="00E24808" w:rsidP="000B60B9">
      <w:pPr>
        <w:pStyle w:val="ES-Titre3"/>
        <w:rPr>
          <w:lang w:val="cs-CZ"/>
        </w:rPr>
      </w:pPr>
      <w:bookmarkStart w:id="122" w:name="_Toc491854061"/>
      <w:bookmarkStart w:id="123" w:name="_Toc535416967"/>
      <w:r w:rsidRPr="003B6E11">
        <w:rPr>
          <w:lang w:val="cs-CZ"/>
        </w:rPr>
        <w:t>Článek 8.06</w:t>
      </w:r>
      <w:r w:rsidRPr="003B6E11">
        <w:rPr>
          <w:lang w:val="cs-CZ"/>
        </w:rPr>
        <w:br/>
      </w:r>
      <w:r w:rsidRPr="003B6E11">
        <w:rPr>
          <w:i/>
          <w:noProof/>
          <w:lang w:val="cs-CZ"/>
        </w:rPr>
        <w:t>Skladování mazacího oleje, potrubí a příslušenství</w:t>
      </w:r>
      <w:bookmarkEnd w:id="122"/>
      <w:bookmarkEnd w:id="123"/>
    </w:p>
    <w:p w:rsidR="000B60B9" w:rsidRPr="003B6E11" w:rsidRDefault="000B60B9" w:rsidP="00E24808">
      <w:pPr>
        <w:rPr>
          <w:rFonts w:cs="Arial"/>
          <w:noProof/>
          <w:szCs w:val="20"/>
          <w:lang w:val="cs-CZ"/>
        </w:rPr>
      </w:pPr>
    </w:p>
    <w:p w:rsidR="00E24808" w:rsidRPr="003B6E11" w:rsidRDefault="00E24808" w:rsidP="005A3E0D">
      <w:pPr>
        <w:pStyle w:val="ESch"/>
        <w:rPr>
          <w:lang w:val="cs-CZ"/>
        </w:rPr>
      </w:pPr>
      <w:r w:rsidRPr="003B6E11">
        <w:rPr>
          <w:lang w:val="cs-CZ"/>
        </w:rPr>
        <w:t>1.</w:t>
      </w:r>
      <w:r w:rsidRPr="003B6E11">
        <w:rPr>
          <w:lang w:val="cs-CZ"/>
        </w:rPr>
        <w:tab/>
        <w:t>Mazací oleje se skladují v ocelových nádržích, které buď jsou nedílnou součástí lodního trupu, nebo jsou k lodnímu trupu pevně připevněny. Vyžaduje-li to konstrukce lodi, lze použít rovnocenný ohnivzdorný materiál. Tyto požadavky se nevztahují na nádrže s objemem do 25 litrů včetně. Nádrže na mazací olej nesmí mít společné dělicí stěny s nádržemi na pitnou vodu.</w:t>
      </w:r>
    </w:p>
    <w:p w:rsidR="000B60B9" w:rsidRPr="003B6E11" w:rsidRDefault="000B60B9" w:rsidP="005A3E0D">
      <w:pPr>
        <w:pStyle w:val="ESch"/>
        <w:rPr>
          <w:noProof/>
          <w:lang w:val="cs-CZ"/>
        </w:rPr>
      </w:pPr>
    </w:p>
    <w:p w:rsidR="00E24808" w:rsidRPr="003B6E11" w:rsidRDefault="00E24808" w:rsidP="005A3E0D">
      <w:pPr>
        <w:pStyle w:val="ESch"/>
        <w:rPr>
          <w:lang w:val="cs-CZ"/>
        </w:rPr>
      </w:pPr>
      <w:r w:rsidRPr="003B6E11">
        <w:rPr>
          <w:lang w:val="cs-CZ"/>
        </w:rPr>
        <w:t>2.</w:t>
      </w:r>
      <w:r w:rsidRPr="003B6E11">
        <w:rPr>
          <w:lang w:val="cs-CZ"/>
        </w:rPr>
        <w:tab/>
        <w:t>Nádrže na mazací olej, jejich potrubí a další příslušenství musí být uspořádány a zařízeny tak, aby mazací olej ani jeho výpary nemohly náhodně uniknout do vnitřních prostor lodi.</w:t>
      </w:r>
    </w:p>
    <w:p w:rsidR="000B60B9" w:rsidRPr="003B6E11" w:rsidRDefault="000B60B9" w:rsidP="005A3E0D">
      <w:pPr>
        <w:pStyle w:val="ESch"/>
        <w:rPr>
          <w:noProof/>
          <w:lang w:val="cs-CZ"/>
        </w:rPr>
      </w:pPr>
    </w:p>
    <w:p w:rsidR="00E24808" w:rsidRPr="003B6E11" w:rsidRDefault="00E24808" w:rsidP="005A3E0D">
      <w:pPr>
        <w:pStyle w:val="ESch"/>
        <w:rPr>
          <w:lang w:val="cs-CZ"/>
        </w:rPr>
      </w:pPr>
      <w:r w:rsidRPr="003B6E11">
        <w:rPr>
          <w:lang w:val="cs-CZ"/>
        </w:rPr>
        <w:t>3.</w:t>
      </w:r>
      <w:r w:rsidRPr="003B6E11">
        <w:rPr>
          <w:lang w:val="cs-CZ"/>
        </w:rPr>
        <w:tab/>
        <w:t>Před kolizní přepážkou nesmí být umístěny žádné nádrže na mazací olej.</w:t>
      </w:r>
    </w:p>
    <w:p w:rsidR="000B60B9" w:rsidRPr="003B6E11" w:rsidRDefault="000B60B9" w:rsidP="005A3E0D">
      <w:pPr>
        <w:pStyle w:val="ESch"/>
        <w:rPr>
          <w:noProof/>
          <w:lang w:val="cs-CZ"/>
        </w:rPr>
      </w:pPr>
    </w:p>
    <w:p w:rsidR="005A3E0D" w:rsidRPr="003B6E11" w:rsidRDefault="005A3E0D" w:rsidP="005A3E0D">
      <w:pPr>
        <w:pStyle w:val="ESch"/>
        <w:rPr>
          <w:noProof/>
          <w:lang w:val="cs-CZ"/>
        </w:rPr>
      </w:pPr>
      <w:r w:rsidRPr="003B6E11">
        <w:rPr>
          <w:lang w:val="cs-CZ"/>
        </w:rPr>
        <w:br w:type="page"/>
      </w:r>
    </w:p>
    <w:p w:rsidR="00E24808" w:rsidRPr="003B6E11" w:rsidRDefault="00E24808" w:rsidP="005A3E0D">
      <w:pPr>
        <w:pStyle w:val="ESch"/>
        <w:rPr>
          <w:lang w:val="cs-CZ"/>
        </w:rPr>
      </w:pPr>
      <w:r w:rsidRPr="003B6E11">
        <w:rPr>
          <w:lang w:val="cs-CZ"/>
        </w:rPr>
        <w:t>4.</w:t>
      </w:r>
      <w:r w:rsidRPr="003B6E11">
        <w:rPr>
          <w:lang w:val="cs-CZ"/>
        </w:rPr>
        <w:tab/>
        <w:t>Nádrže na mazací olej a jejich armatury nesmí být umístěny přímo nad motory nebo výfukovým potrubím.</w:t>
      </w:r>
    </w:p>
    <w:p w:rsidR="000B60B9" w:rsidRPr="003B6E11" w:rsidRDefault="000B60B9" w:rsidP="005A3E0D">
      <w:pPr>
        <w:pStyle w:val="ESch"/>
        <w:rPr>
          <w:noProof/>
          <w:lang w:val="cs-CZ"/>
        </w:rPr>
      </w:pPr>
    </w:p>
    <w:p w:rsidR="00E24808" w:rsidRPr="003B6E11" w:rsidRDefault="00E24808" w:rsidP="005A3E0D">
      <w:pPr>
        <w:pStyle w:val="ESch"/>
        <w:rPr>
          <w:lang w:val="cs-CZ"/>
        </w:rPr>
      </w:pPr>
      <w:r w:rsidRPr="003B6E11">
        <w:rPr>
          <w:lang w:val="cs-CZ"/>
        </w:rPr>
        <w:t>5.</w:t>
      </w:r>
      <w:r w:rsidRPr="003B6E11">
        <w:rPr>
          <w:lang w:val="cs-CZ"/>
        </w:rPr>
        <w:tab/>
        <w:t>Plnicí otvory nádrží na mazací olej musí být zřetelně označeny.</w:t>
      </w:r>
    </w:p>
    <w:p w:rsidR="000B60B9" w:rsidRPr="003B6E11" w:rsidRDefault="000B60B9" w:rsidP="005A3E0D">
      <w:pPr>
        <w:pStyle w:val="ESch"/>
        <w:rPr>
          <w:noProof/>
          <w:lang w:val="cs-CZ"/>
        </w:rPr>
      </w:pPr>
    </w:p>
    <w:p w:rsidR="00E24808" w:rsidRPr="003B6E11" w:rsidRDefault="00E24808" w:rsidP="005A3E0D">
      <w:pPr>
        <w:pStyle w:val="ESch"/>
        <w:rPr>
          <w:lang w:val="cs-CZ"/>
        </w:rPr>
      </w:pPr>
      <w:r w:rsidRPr="003B6E11">
        <w:rPr>
          <w:lang w:val="cs-CZ"/>
        </w:rPr>
        <w:t>6.</w:t>
      </w:r>
      <w:r w:rsidRPr="003B6E11">
        <w:rPr>
          <w:lang w:val="cs-CZ"/>
        </w:rPr>
        <w:tab/>
        <w:t>Potrubí pro mazací olej, jejich spojovací prvky, těsnění a armatury musí být vyrobeny z materiálu, jenž vydrží mechanické, chemické a tepelné namáhání, které lze předpokládat. Potrubí nesmějí být vystavena škodlivým účinkům tepla a musí být možná jejich kontrola po celé délce.</w:t>
      </w:r>
    </w:p>
    <w:p w:rsidR="000B60B9" w:rsidRPr="003B6E11" w:rsidRDefault="000B60B9" w:rsidP="005A3E0D">
      <w:pPr>
        <w:pStyle w:val="ESch"/>
        <w:rPr>
          <w:noProof/>
          <w:lang w:val="cs-CZ"/>
        </w:rPr>
      </w:pPr>
    </w:p>
    <w:p w:rsidR="00E24808" w:rsidRPr="003B6E11" w:rsidRDefault="00E24808" w:rsidP="005A3E0D">
      <w:pPr>
        <w:pStyle w:val="ESch"/>
        <w:rPr>
          <w:lang w:val="cs-CZ"/>
        </w:rPr>
      </w:pPr>
      <w:r w:rsidRPr="003B6E11">
        <w:rPr>
          <w:lang w:val="cs-CZ"/>
        </w:rPr>
        <w:t>7.</w:t>
      </w:r>
      <w:r w:rsidRPr="003B6E11">
        <w:rPr>
          <w:lang w:val="cs-CZ"/>
        </w:rPr>
        <w:tab/>
        <w:t>Nádrže na mazací olej musí být opatřeny vhodným zařízením pro měření jejich obsahu. Měřicí zařízení musí být dobře čitelné až po nejvyšší hladinu plnění nádrže. Skleněné stavoznaky musí být účinně chráněny před nárazy, musí být na dolním konci opatřeny automatickým uzavíracím zařízením a na horním konci připojeny k nádržím nad nejvyšší hladinou jejich plnění. Materiál použitý k výrobě skleněných stavoznaků se při běžné okolní teplotě nesmí deformovat. Měřicí trubky nesmí být vyústěny v obytných prostorech. Měřicí trubky vyústěné ve strojovně nebo kotelně musí být opatřeny vhodným samouzavíracím zařízením.</w:t>
      </w:r>
    </w:p>
    <w:p w:rsidR="00E24808" w:rsidRPr="003B6E11" w:rsidRDefault="00E24808" w:rsidP="00E24808">
      <w:pPr>
        <w:rPr>
          <w:rFonts w:cs="Arial"/>
          <w:szCs w:val="20"/>
          <w:lang w:val="cs-CZ"/>
        </w:rPr>
      </w:pPr>
    </w:p>
    <w:p w:rsidR="000B60B9" w:rsidRPr="003B6E11" w:rsidRDefault="000B60B9" w:rsidP="00E24808">
      <w:pPr>
        <w:rPr>
          <w:rFonts w:cs="Arial"/>
          <w:szCs w:val="20"/>
          <w:lang w:val="cs-CZ"/>
        </w:rPr>
      </w:pPr>
    </w:p>
    <w:p w:rsidR="00E24808" w:rsidRPr="003B6E11" w:rsidRDefault="00E24808" w:rsidP="000B60B9">
      <w:pPr>
        <w:pStyle w:val="ES-Titre3"/>
        <w:rPr>
          <w:i/>
          <w:lang w:val="cs-CZ"/>
        </w:rPr>
      </w:pPr>
      <w:bookmarkStart w:id="124" w:name="_Toc491854062"/>
      <w:bookmarkStart w:id="125" w:name="_Toc535416968"/>
      <w:r w:rsidRPr="003B6E11">
        <w:rPr>
          <w:lang w:val="cs-CZ"/>
        </w:rPr>
        <w:t>Článek 8.07</w:t>
      </w:r>
      <w:r w:rsidRPr="003B6E11">
        <w:rPr>
          <w:lang w:val="cs-CZ"/>
        </w:rPr>
        <w:br/>
      </w:r>
      <w:r w:rsidRPr="003B6E11">
        <w:rPr>
          <w:i/>
          <w:noProof/>
          <w:lang w:val="cs-CZ"/>
        </w:rPr>
        <w:t>Skladování olejů používaných v soustavách pro přenos energie a v ovládacích, pohonných a topných soustavách, potrubí a příslušenství</w:t>
      </w:r>
      <w:bookmarkEnd w:id="124"/>
      <w:bookmarkEnd w:id="125"/>
    </w:p>
    <w:p w:rsidR="005A3E0D" w:rsidRPr="003B6E11" w:rsidRDefault="005A3E0D" w:rsidP="00E24808">
      <w:pPr>
        <w:rPr>
          <w:rFonts w:cs="Arial"/>
          <w:noProof/>
          <w:szCs w:val="20"/>
          <w:lang w:val="cs-CZ"/>
        </w:rPr>
      </w:pPr>
    </w:p>
    <w:p w:rsidR="00E24808" w:rsidRPr="003B6E11" w:rsidRDefault="00E24808" w:rsidP="005A3E0D">
      <w:pPr>
        <w:pStyle w:val="ESch"/>
        <w:rPr>
          <w:lang w:val="cs-CZ"/>
        </w:rPr>
      </w:pPr>
      <w:r w:rsidRPr="003B6E11">
        <w:rPr>
          <w:lang w:val="cs-CZ"/>
        </w:rPr>
        <w:t>1.</w:t>
      </w:r>
      <w:r w:rsidRPr="003B6E11">
        <w:rPr>
          <w:lang w:val="cs-CZ"/>
        </w:rPr>
        <w:tab/>
        <w:t>Oleje používané v soustavách po přenos energie a v ovládacích, pohonných a topných soustavách se skladují v nádržích, které jsou nedílnou součástí lodního trupu nebo jsou k lodnímu trupu pevně připevněny. Vyžaduje-li to konstrukce lodi, lze použít rovnocenný ohnivzdorný materiál. Tyto požadavky se nevztahují na nádrže s objemem do 25 litrů včetně. Nádrže na olej uvedené v první větě nesmí mít společné dělicí stěny s nádržemi na pitnou vodu.</w:t>
      </w:r>
    </w:p>
    <w:p w:rsidR="000B60B9" w:rsidRPr="003B6E11" w:rsidRDefault="000B60B9" w:rsidP="005A3E0D">
      <w:pPr>
        <w:pStyle w:val="ESch"/>
        <w:rPr>
          <w:noProof/>
          <w:lang w:val="cs-CZ"/>
        </w:rPr>
      </w:pPr>
    </w:p>
    <w:p w:rsidR="00E24808" w:rsidRPr="003B6E11" w:rsidRDefault="00E24808" w:rsidP="005A3E0D">
      <w:pPr>
        <w:pStyle w:val="ESch"/>
        <w:rPr>
          <w:lang w:val="cs-CZ"/>
        </w:rPr>
      </w:pPr>
      <w:r w:rsidRPr="003B6E11">
        <w:rPr>
          <w:lang w:val="cs-CZ"/>
        </w:rPr>
        <w:t>2.</w:t>
      </w:r>
      <w:r w:rsidRPr="003B6E11">
        <w:rPr>
          <w:lang w:val="cs-CZ"/>
        </w:rPr>
        <w:tab/>
        <w:t>Nádrže na olej uvedené v odstavci 1, jejich potrubí a další příslušenství musí být uspořádány a zařízeny tak, aby olej ani jeho výpary nemohly náhodně uniknout do vnitřních prostor lodi.</w:t>
      </w:r>
    </w:p>
    <w:p w:rsidR="000B60B9" w:rsidRPr="003B6E11" w:rsidRDefault="000B60B9" w:rsidP="005A3E0D">
      <w:pPr>
        <w:pStyle w:val="ESch"/>
        <w:rPr>
          <w:noProof/>
          <w:lang w:val="cs-CZ"/>
        </w:rPr>
      </w:pPr>
    </w:p>
    <w:p w:rsidR="00E24808" w:rsidRPr="003B6E11" w:rsidRDefault="00E24808" w:rsidP="005A3E0D">
      <w:pPr>
        <w:pStyle w:val="ESch"/>
        <w:rPr>
          <w:lang w:val="cs-CZ"/>
        </w:rPr>
      </w:pPr>
      <w:r w:rsidRPr="003B6E11">
        <w:rPr>
          <w:lang w:val="cs-CZ"/>
        </w:rPr>
        <w:t>3.</w:t>
      </w:r>
      <w:r w:rsidRPr="003B6E11">
        <w:rPr>
          <w:lang w:val="cs-CZ"/>
        </w:rPr>
        <w:tab/>
        <w:t>Před kolizní přepážkou nesmějí být umístěny žádné nádrže na olej uvedené v odstavci 1.</w:t>
      </w:r>
    </w:p>
    <w:p w:rsidR="000B60B9" w:rsidRPr="003B6E11" w:rsidRDefault="000B60B9" w:rsidP="005A3E0D">
      <w:pPr>
        <w:pStyle w:val="ESch"/>
        <w:rPr>
          <w:noProof/>
          <w:lang w:val="cs-CZ"/>
        </w:rPr>
      </w:pPr>
    </w:p>
    <w:p w:rsidR="00E24808" w:rsidRPr="003B6E11" w:rsidRDefault="00E24808" w:rsidP="005A3E0D">
      <w:pPr>
        <w:pStyle w:val="ESch"/>
        <w:rPr>
          <w:lang w:val="cs-CZ"/>
        </w:rPr>
      </w:pPr>
      <w:r w:rsidRPr="003B6E11">
        <w:rPr>
          <w:lang w:val="cs-CZ"/>
        </w:rPr>
        <w:t>4.</w:t>
      </w:r>
      <w:r w:rsidRPr="003B6E11">
        <w:rPr>
          <w:lang w:val="cs-CZ"/>
        </w:rPr>
        <w:tab/>
        <w:t>Nádrže na olej uvedené v odstavci 1 a jejich armatury nesmí být umístěny přímo nad motory nebo výfukovým potrubím.</w:t>
      </w:r>
    </w:p>
    <w:p w:rsidR="000B60B9" w:rsidRPr="003B6E11" w:rsidRDefault="000B60B9" w:rsidP="005A3E0D">
      <w:pPr>
        <w:pStyle w:val="ESch"/>
        <w:rPr>
          <w:noProof/>
          <w:lang w:val="cs-CZ"/>
        </w:rPr>
      </w:pPr>
    </w:p>
    <w:p w:rsidR="00E24808" w:rsidRPr="003B6E11" w:rsidRDefault="00E24808" w:rsidP="005A3E0D">
      <w:pPr>
        <w:pStyle w:val="ESch"/>
        <w:rPr>
          <w:lang w:val="cs-CZ"/>
        </w:rPr>
      </w:pPr>
      <w:r w:rsidRPr="003B6E11">
        <w:rPr>
          <w:lang w:val="cs-CZ"/>
        </w:rPr>
        <w:t>5.</w:t>
      </w:r>
      <w:r w:rsidRPr="003B6E11">
        <w:rPr>
          <w:lang w:val="cs-CZ"/>
        </w:rPr>
        <w:tab/>
        <w:t>Plnicí otvory nádrží na olej uvedených v odstavci 1 musí být zřetelně označeny.</w:t>
      </w:r>
    </w:p>
    <w:p w:rsidR="000B60B9" w:rsidRPr="003B6E11" w:rsidRDefault="000B60B9" w:rsidP="005A3E0D">
      <w:pPr>
        <w:pStyle w:val="ESch"/>
        <w:rPr>
          <w:noProof/>
          <w:lang w:val="cs-CZ"/>
        </w:rPr>
      </w:pPr>
    </w:p>
    <w:p w:rsidR="00E24808" w:rsidRPr="003B6E11" w:rsidRDefault="00E24808" w:rsidP="005A3E0D">
      <w:pPr>
        <w:pStyle w:val="ESch"/>
        <w:rPr>
          <w:lang w:val="cs-CZ"/>
        </w:rPr>
      </w:pPr>
      <w:r w:rsidRPr="003B6E11">
        <w:rPr>
          <w:lang w:val="cs-CZ"/>
        </w:rPr>
        <w:t>6.</w:t>
      </w:r>
      <w:r w:rsidRPr="003B6E11">
        <w:rPr>
          <w:lang w:val="cs-CZ"/>
        </w:rPr>
        <w:tab/>
        <w:t>Potrubí pro olej uvedená v odstavci 1, jejich spojovací prvky, těsnění a armatury musí být vyrobeny z materiálu, který vydrží mechanické, chemické a tepelné namáhání, které lze předpokládat. Potrubí nesmějí být vystavena škodlivým účinkům tepla a musí být možná jejich kontrola po celé délce.</w:t>
      </w:r>
    </w:p>
    <w:p w:rsidR="000B60B9" w:rsidRPr="003B6E11" w:rsidRDefault="000B60B9" w:rsidP="005A3E0D">
      <w:pPr>
        <w:pStyle w:val="ESch"/>
        <w:rPr>
          <w:noProof/>
          <w:lang w:val="cs-CZ"/>
        </w:rPr>
      </w:pPr>
    </w:p>
    <w:p w:rsidR="005A3E0D" w:rsidRPr="003B6E11" w:rsidRDefault="005A3E0D" w:rsidP="005A3E0D">
      <w:pPr>
        <w:pStyle w:val="ESch"/>
        <w:rPr>
          <w:noProof/>
          <w:lang w:val="cs-CZ"/>
        </w:rPr>
      </w:pPr>
      <w:r w:rsidRPr="003B6E11">
        <w:rPr>
          <w:lang w:val="cs-CZ"/>
        </w:rPr>
        <w:br w:type="page"/>
      </w:r>
    </w:p>
    <w:p w:rsidR="00E24808" w:rsidRPr="003B6E11" w:rsidRDefault="00E24808" w:rsidP="005A3E0D">
      <w:pPr>
        <w:pStyle w:val="ESch"/>
        <w:rPr>
          <w:noProof/>
          <w:lang w:val="cs-CZ"/>
        </w:rPr>
      </w:pPr>
      <w:r w:rsidRPr="003B6E11">
        <w:rPr>
          <w:lang w:val="cs-CZ"/>
        </w:rPr>
        <w:t>7.</w:t>
      </w:r>
      <w:r w:rsidRPr="003B6E11">
        <w:rPr>
          <w:lang w:val="cs-CZ"/>
        </w:rPr>
        <w:tab/>
        <w:t>Nádrže na olej uvedené v odstavci 1 musí být opatřeny vhodným zařízením pro měření jejich obsahu. Měřicí zařízení musí být dobře čitelné až po nejvyšší hladinu plnění nádrže. Skleněné stavoznaky musí být účinně chráněny před nárazy, musí být na dolním konci opatřeny automatickým uzavíracím zařízením a na horním konci připojeny k nádržím nad nejvyšší hladinou jejich plnění. Materiál použitý k výrobě skleněných stavoznaků se při běžné okolní teplotě nesmí deformovat. Měřicí trubky nesmí být vyústěny v obytných prostorech. Měřicí trubky vyústěné ve strojovně nebo kotelně musí být opatřeny vhodným samouzavíracím zařízením.</w:t>
      </w:r>
    </w:p>
    <w:p w:rsidR="000B60B9" w:rsidRPr="003B6E11" w:rsidRDefault="000B60B9" w:rsidP="00E24808">
      <w:pPr>
        <w:rPr>
          <w:rFonts w:cs="Arial"/>
          <w:szCs w:val="20"/>
          <w:lang w:val="cs-CZ"/>
        </w:rPr>
      </w:pPr>
    </w:p>
    <w:p w:rsidR="00E24808" w:rsidRPr="003B6E11" w:rsidRDefault="00E24808" w:rsidP="00E24808">
      <w:pPr>
        <w:rPr>
          <w:rFonts w:cs="Arial"/>
          <w:szCs w:val="20"/>
          <w:lang w:val="cs-CZ"/>
        </w:rPr>
      </w:pPr>
    </w:p>
    <w:p w:rsidR="00E24808" w:rsidRPr="003B6E11" w:rsidRDefault="00E24808" w:rsidP="000B60B9">
      <w:pPr>
        <w:pStyle w:val="ES-Titre3"/>
        <w:rPr>
          <w:i/>
          <w:lang w:val="cs-CZ"/>
        </w:rPr>
      </w:pPr>
      <w:bookmarkStart w:id="126" w:name="_Toc491854063"/>
      <w:bookmarkStart w:id="127" w:name="_Toc535416969"/>
      <w:r w:rsidRPr="003B6E11">
        <w:rPr>
          <w:lang w:val="cs-CZ"/>
        </w:rPr>
        <w:t>Článek 8.08</w:t>
      </w:r>
      <w:r w:rsidRPr="003B6E11">
        <w:rPr>
          <w:lang w:val="cs-CZ"/>
        </w:rPr>
        <w:br/>
      </w:r>
      <w:r w:rsidRPr="003B6E11">
        <w:rPr>
          <w:i/>
          <w:noProof/>
          <w:lang w:val="cs-CZ"/>
        </w:rPr>
        <w:t>Odvodnění a drenážní soustavy</w:t>
      </w:r>
      <w:bookmarkEnd w:id="126"/>
      <w:bookmarkEnd w:id="127"/>
    </w:p>
    <w:p w:rsidR="000B60B9" w:rsidRPr="003B6E11" w:rsidRDefault="000B60B9" w:rsidP="00E24808">
      <w:pPr>
        <w:rPr>
          <w:rFonts w:cs="Arial"/>
          <w:noProof/>
          <w:szCs w:val="20"/>
          <w:lang w:val="cs-CZ"/>
        </w:rPr>
      </w:pPr>
    </w:p>
    <w:p w:rsidR="00E24808" w:rsidRPr="003B6E11" w:rsidRDefault="00E24808" w:rsidP="005A3E0D">
      <w:pPr>
        <w:pStyle w:val="ESch"/>
        <w:rPr>
          <w:lang w:val="cs-CZ"/>
        </w:rPr>
      </w:pPr>
      <w:r w:rsidRPr="003B6E11">
        <w:rPr>
          <w:lang w:val="cs-CZ"/>
        </w:rPr>
        <w:t>1.</w:t>
      </w:r>
      <w:r w:rsidRPr="003B6E11">
        <w:rPr>
          <w:lang w:val="cs-CZ"/>
        </w:rPr>
        <w:tab/>
        <w:t>Každé vodotěsné oddělení musí být možno odvodnit zvlášť. Tento požadavek se nevztahuje na vodotěsná oddělení, která jsou během provozu obvykle hermeticky utěsněna.</w:t>
      </w:r>
    </w:p>
    <w:p w:rsidR="000B60B9" w:rsidRPr="003B6E11" w:rsidRDefault="000B60B9" w:rsidP="005A3E0D">
      <w:pPr>
        <w:pStyle w:val="ESch"/>
        <w:rPr>
          <w:noProof/>
          <w:lang w:val="cs-CZ"/>
        </w:rPr>
      </w:pPr>
    </w:p>
    <w:p w:rsidR="00E24808" w:rsidRPr="003B6E11" w:rsidRDefault="00E24808" w:rsidP="005A3E0D">
      <w:pPr>
        <w:pStyle w:val="ESch"/>
        <w:rPr>
          <w:lang w:val="cs-CZ"/>
        </w:rPr>
      </w:pPr>
      <w:r w:rsidRPr="003B6E11">
        <w:rPr>
          <w:lang w:val="cs-CZ"/>
        </w:rPr>
        <w:t>2.</w:t>
      </w:r>
      <w:r w:rsidRPr="003B6E11">
        <w:rPr>
          <w:lang w:val="cs-CZ"/>
        </w:rPr>
        <w:tab/>
        <w:t>Lodě s posádkou musí být vybaveny dvěma samostatnými drenážními čerpadly, která nesmějí být instalována ve stejném prostoru. Nejméně jedno čerpadlo musí mít motorový pohon. U lodí, jejichž výkon pohonu je menší než 225 kW nebo nosnost menší než 350 t, nebo u lodí, které nejsou určeny pro přepravu nákladu a jejichž výtlak je menší než 250 m</w:t>
      </w:r>
      <w:r w:rsidRPr="003B6E11">
        <w:rPr>
          <w:noProof/>
          <w:vertAlign w:val="superscript"/>
          <w:lang w:val="cs-CZ"/>
        </w:rPr>
        <w:t>3</w:t>
      </w:r>
      <w:r w:rsidRPr="003B6E11">
        <w:rPr>
          <w:lang w:val="cs-CZ"/>
        </w:rPr>
        <w:t>, však postačuje jedno čerpadlo s ručním nebo motorovým pohonem.</w:t>
      </w:r>
    </w:p>
    <w:p w:rsidR="000B60B9" w:rsidRPr="003B6E11" w:rsidRDefault="000B60B9" w:rsidP="005A3E0D">
      <w:pPr>
        <w:pStyle w:val="ESch"/>
        <w:rPr>
          <w:noProof/>
          <w:lang w:val="cs-CZ"/>
        </w:rPr>
      </w:pPr>
    </w:p>
    <w:p w:rsidR="00E24808" w:rsidRPr="003B6E11" w:rsidRDefault="00E24808" w:rsidP="005A3E0D">
      <w:pPr>
        <w:pStyle w:val="ESchpar"/>
        <w:rPr>
          <w:noProof/>
          <w:lang w:val="cs-CZ"/>
        </w:rPr>
      </w:pPr>
      <w:r w:rsidRPr="003B6E11">
        <w:rPr>
          <w:lang w:val="cs-CZ"/>
        </w:rPr>
        <w:t>Všechna předepsaná čerpadla musí být možno použít ve všech vodotěsných odděleních.</w:t>
      </w:r>
    </w:p>
    <w:p w:rsidR="000B60B9" w:rsidRPr="003B6E11" w:rsidRDefault="000B60B9" w:rsidP="005A3E0D">
      <w:pPr>
        <w:pStyle w:val="ESch"/>
        <w:rPr>
          <w:noProof/>
          <w:lang w:val="cs-CZ"/>
        </w:rPr>
      </w:pPr>
    </w:p>
    <w:p w:rsidR="00E24808" w:rsidRPr="003B6E11" w:rsidRDefault="00E24808" w:rsidP="005A3E0D">
      <w:pPr>
        <w:pStyle w:val="ESch"/>
        <w:rPr>
          <w:noProof/>
          <w:lang w:val="cs-CZ"/>
        </w:rPr>
      </w:pPr>
      <w:r w:rsidRPr="003B6E11">
        <w:rPr>
          <w:lang w:val="cs-CZ"/>
        </w:rPr>
        <w:t>3.</w:t>
      </w:r>
      <w:r w:rsidRPr="003B6E11">
        <w:rPr>
          <w:lang w:val="cs-CZ"/>
        </w:rPr>
        <w:tab/>
        <w:t xml:space="preserve">Minimální výkon </w:t>
      </w:r>
      <m:oMath>
        <m:sSub>
          <m:sSubPr>
            <m:ctrlPr>
              <w:rPr>
                <w:rFonts w:ascii="Cambria Math" w:hAnsi="Cambria Math"/>
                <w:i/>
                <w:noProof/>
                <w:lang w:val="cs-CZ"/>
              </w:rPr>
            </m:ctrlPr>
          </m:sSubPr>
          <m:e>
            <m:r>
              <w:rPr>
                <w:rFonts w:ascii="Cambria Math" w:hAnsi="Cambria Math"/>
                <w:noProof/>
                <w:lang w:val="cs-CZ"/>
              </w:rPr>
              <m:t>Q</m:t>
            </m:r>
          </m:e>
          <m:sub>
            <m:r>
              <w:rPr>
                <w:rFonts w:ascii="Cambria Math" w:hAnsi="Cambria Math"/>
                <w:noProof/>
                <w:lang w:val="cs-CZ"/>
              </w:rPr>
              <m:t>1</m:t>
            </m:r>
          </m:sub>
        </m:sSub>
      </m:oMath>
      <w:r w:rsidRPr="003B6E11">
        <w:rPr>
          <w:lang w:val="cs-CZ"/>
        </w:rPr>
        <w:t xml:space="preserve"> prvního drenážního čerpadla se vypočte podle tohoto vzorce:</w:t>
      </w:r>
    </w:p>
    <w:p w:rsidR="00E000F9" w:rsidRPr="003B6E11" w:rsidRDefault="002D015D" w:rsidP="00E000F9">
      <w:pPr>
        <w:pStyle w:val="ESch"/>
        <w:ind w:left="0" w:firstLine="0"/>
        <w:jc w:val="center"/>
        <w:rPr>
          <w:noProof/>
          <w:lang w:val="cs-CZ"/>
        </w:rPr>
      </w:pPr>
      <m:oMathPara>
        <m:oMath>
          <m:sSub>
            <m:sSubPr>
              <m:ctrlPr>
                <w:rPr>
                  <w:rFonts w:ascii="Cambria Math" w:hAnsi="Cambria Math"/>
                  <w:i/>
                  <w:noProof/>
                  <w:lang w:val="cs-CZ"/>
                </w:rPr>
              </m:ctrlPr>
            </m:sSubPr>
            <m:e>
              <m:r>
                <w:rPr>
                  <w:rFonts w:ascii="Cambria Math" w:hAnsi="Cambria Math"/>
                  <w:noProof/>
                  <w:lang w:val="cs-CZ"/>
                </w:rPr>
                <m:t>Q</m:t>
              </m:r>
            </m:e>
            <m:sub>
              <m:r>
                <w:rPr>
                  <w:rFonts w:ascii="Cambria Math" w:hAnsi="Cambria Math"/>
                  <w:noProof/>
                  <w:lang w:val="cs-CZ"/>
                </w:rPr>
                <m:t>1</m:t>
              </m:r>
            </m:sub>
          </m:sSub>
          <m:r>
            <w:rPr>
              <w:rFonts w:ascii="Cambria Math" w:hAnsi="Cambria Math"/>
              <w:noProof/>
              <w:lang w:val="cs-CZ"/>
            </w:rPr>
            <m:t xml:space="preserve">=0,1 ∙ </m:t>
          </m:r>
          <m:sSup>
            <m:sSupPr>
              <m:ctrlPr>
                <w:rPr>
                  <w:rFonts w:ascii="Cambria Math" w:hAnsi="Cambria Math"/>
                  <w:i/>
                  <w:noProof/>
                  <w:lang w:val="cs-CZ"/>
                </w:rPr>
              </m:ctrlPr>
            </m:sSupPr>
            <m:e>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1</m:t>
                  </m:r>
                </m:sub>
              </m:sSub>
            </m:e>
            <m:sup>
              <m:r>
                <w:rPr>
                  <w:rFonts w:ascii="Cambria Math" w:hAnsi="Cambria Math"/>
                  <w:noProof/>
                  <w:lang w:val="cs-CZ"/>
                </w:rPr>
                <m:t>2</m:t>
              </m:r>
            </m:sup>
          </m:sSup>
          <m:r>
            <w:rPr>
              <w:rFonts w:ascii="Cambria Math" w:hAnsi="Cambria Math"/>
              <w:noProof/>
              <w:lang w:val="cs-CZ"/>
            </w:rPr>
            <m:t xml:space="preserve"> [l/min]</m:t>
          </m:r>
        </m:oMath>
      </m:oMathPara>
    </w:p>
    <w:p w:rsidR="00E000F9" w:rsidRPr="003B6E11" w:rsidRDefault="00E000F9" w:rsidP="00E000F9">
      <w:pPr>
        <w:pStyle w:val="ESch"/>
        <w:ind w:left="0" w:firstLine="0"/>
        <w:rPr>
          <w:noProof/>
          <w:lang w:val="cs-CZ"/>
        </w:rPr>
      </w:pPr>
    </w:p>
    <w:p w:rsidR="000B60B9" w:rsidRPr="003B6E11" w:rsidRDefault="002D015D" w:rsidP="0089015B">
      <w:pPr>
        <w:pStyle w:val="ESchpar"/>
        <w:spacing w:before="60"/>
        <w:rPr>
          <w:lang w:val="cs-CZ"/>
        </w:rPr>
      </w:pPr>
      <m:oMath>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1</m:t>
            </m:r>
          </m:sub>
        </m:sSub>
      </m:oMath>
      <w:r w:rsidR="00290EF0" w:rsidRPr="003B6E11">
        <w:rPr>
          <w:lang w:val="cs-CZ"/>
        </w:rPr>
        <w:t xml:space="preserve"> se vypočte podle vzorce:</w:t>
      </w:r>
    </w:p>
    <w:p w:rsidR="00230288" w:rsidRPr="003B6E11" w:rsidRDefault="00230288" w:rsidP="0089015B">
      <w:pPr>
        <w:pStyle w:val="ESchpar"/>
        <w:spacing w:before="60"/>
        <w:rPr>
          <w:lang w:val="cs-CZ"/>
        </w:rPr>
      </w:pPr>
    </w:p>
    <w:p w:rsidR="00230288" w:rsidRPr="003B6E11" w:rsidRDefault="002D015D" w:rsidP="00230288">
      <w:pPr>
        <w:pStyle w:val="ESch"/>
        <w:ind w:left="0" w:firstLine="0"/>
        <w:jc w:val="center"/>
        <w:rPr>
          <w:noProof/>
          <w:lang w:val="cs-CZ"/>
        </w:rPr>
      </w:pPr>
      <m:oMathPara>
        <m:oMath>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1</m:t>
              </m:r>
            </m:sub>
          </m:sSub>
          <m:r>
            <w:rPr>
              <w:rFonts w:ascii="Cambria Math" w:hAnsi="Cambria Math"/>
              <w:noProof/>
              <w:lang w:val="cs-CZ"/>
            </w:rPr>
            <m:t xml:space="preserve">=1,5 ∙ </m:t>
          </m:r>
          <m:rad>
            <m:radPr>
              <m:degHide m:val="1"/>
              <m:ctrlPr>
                <w:rPr>
                  <w:rFonts w:ascii="Cambria Math" w:hAnsi="Cambria Math"/>
                  <w:i/>
                  <w:noProof/>
                  <w:lang w:val="cs-CZ"/>
                </w:rPr>
              </m:ctrlPr>
            </m:radPr>
            <m:deg/>
            <m:e>
              <m:r>
                <w:rPr>
                  <w:rFonts w:ascii="Cambria Math" w:hAnsi="Cambria Math"/>
                  <w:noProof/>
                  <w:lang w:val="cs-CZ"/>
                </w:rPr>
                <m:t xml:space="preserve">L </m:t>
              </m:r>
              <m:d>
                <m:dPr>
                  <m:ctrlPr>
                    <w:rPr>
                      <w:rFonts w:ascii="Cambria Math" w:hAnsi="Cambria Math"/>
                      <w:i/>
                      <w:noProof/>
                      <w:lang w:val="cs-CZ"/>
                    </w:rPr>
                  </m:ctrlPr>
                </m:dPr>
                <m:e>
                  <m:r>
                    <w:rPr>
                      <w:rFonts w:ascii="Cambria Math" w:hAnsi="Cambria Math"/>
                      <w:noProof/>
                      <w:lang w:val="cs-CZ"/>
                    </w:rPr>
                    <m:t>B+H</m:t>
                  </m:r>
                </m:e>
              </m:d>
            </m:e>
          </m:rad>
          <m:r>
            <w:rPr>
              <w:rFonts w:ascii="Cambria Math" w:hAnsi="Cambria Math"/>
              <w:noProof/>
              <w:lang w:val="cs-CZ"/>
            </w:rPr>
            <m:t>+25  [mm]</m:t>
          </m:r>
        </m:oMath>
      </m:oMathPara>
    </w:p>
    <w:p w:rsidR="000B60B9" w:rsidRPr="003B6E11" w:rsidRDefault="000B60B9" w:rsidP="0089015B">
      <w:pPr>
        <w:pStyle w:val="ESchpar"/>
        <w:rPr>
          <w:lang w:val="cs-CZ"/>
        </w:rPr>
      </w:pPr>
    </w:p>
    <w:p w:rsidR="000B60B9" w:rsidRPr="003B6E11" w:rsidRDefault="000B60B9" w:rsidP="0089015B">
      <w:pPr>
        <w:pStyle w:val="ESchpar"/>
        <w:rPr>
          <w:rFonts w:cs="Arial"/>
          <w:noProof/>
          <w:szCs w:val="20"/>
          <w:lang w:val="cs-CZ"/>
        </w:rPr>
      </w:pPr>
      <w:r w:rsidRPr="003B6E11">
        <w:rPr>
          <w:lang w:val="cs-CZ"/>
        </w:rPr>
        <w:t xml:space="preserve">Minimální výkon </w:t>
      </w:r>
      <m:oMath>
        <m:sSub>
          <m:sSubPr>
            <m:ctrlPr>
              <w:rPr>
                <w:rFonts w:ascii="Cambria Math" w:hAnsi="Cambria Math"/>
                <w:i/>
                <w:noProof/>
                <w:lang w:val="cs-CZ"/>
              </w:rPr>
            </m:ctrlPr>
          </m:sSubPr>
          <m:e>
            <m:r>
              <w:rPr>
                <w:rFonts w:ascii="Cambria Math" w:hAnsi="Cambria Math"/>
                <w:noProof/>
                <w:lang w:val="cs-CZ"/>
              </w:rPr>
              <m:t>Q</m:t>
            </m:r>
          </m:e>
          <m:sub>
            <m:r>
              <w:rPr>
                <w:rFonts w:ascii="Cambria Math" w:hAnsi="Cambria Math"/>
                <w:noProof/>
                <w:lang w:val="cs-CZ"/>
              </w:rPr>
              <m:t>2</m:t>
            </m:r>
          </m:sub>
        </m:sSub>
      </m:oMath>
      <w:r w:rsidRPr="003B6E11">
        <w:rPr>
          <w:lang w:val="cs-CZ"/>
        </w:rPr>
        <w:t xml:space="preserve"> druhého drenážního čerpadla se vypočte podle tohoto vzorce:</w:t>
      </w:r>
    </w:p>
    <w:p w:rsidR="000B60B9" w:rsidRPr="003B6E11" w:rsidRDefault="002D015D" w:rsidP="00B079AF">
      <w:pPr>
        <w:pStyle w:val="ESchpar"/>
        <w:spacing w:before="60"/>
        <w:jc w:val="center"/>
        <w:rPr>
          <w:lang w:val="cs-CZ"/>
        </w:rPr>
      </w:pPr>
      <m:oMathPara>
        <m:oMath>
          <m:sSub>
            <m:sSubPr>
              <m:ctrlPr>
                <w:rPr>
                  <w:rFonts w:ascii="Cambria Math" w:hAnsi="Cambria Math"/>
                  <w:i/>
                  <w:noProof/>
                  <w:lang w:val="cs-CZ"/>
                </w:rPr>
              </m:ctrlPr>
            </m:sSubPr>
            <m:e>
              <m:r>
                <w:rPr>
                  <w:rFonts w:ascii="Cambria Math" w:hAnsi="Cambria Math"/>
                  <w:noProof/>
                  <w:lang w:val="cs-CZ"/>
                </w:rPr>
                <m:t>Q</m:t>
              </m:r>
            </m:e>
            <m:sub>
              <m:r>
                <w:rPr>
                  <w:rFonts w:ascii="Cambria Math" w:hAnsi="Cambria Math"/>
                  <w:noProof/>
                  <w:lang w:val="cs-CZ"/>
                </w:rPr>
                <m:t>2</m:t>
              </m:r>
            </m:sub>
          </m:sSub>
          <m:r>
            <w:rPr>
              <w:rFonts w:ascii="Cambria Math" w:hAnsi="Cambria Math"/>
              <w:noProof/>
              <w:lang w:val="cs-CZ"/>
            </w:rPr>
            <m:t xml:space="preserve">=0,1 ∙ </m:t>
          </m:r>
          <m:sSup>
            <m:sSupPr>
              <m:ctrlPr>
                <w:rPr>
                  <w:rFonts w:ascii="Cambria Math" w:hAnsi="Cambria Math"/>
                  <w:i/>
                  <w:noProof/>
                  <w:lang w:val="cs-CZ"/>
                </w:rPr>
              </m:ctrlPr>
            </m:sSupPr>
            <m:e>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2</m:t>
                  </m:r>
                </m:sub>
              </m:sSub>
            </m:e>
            <m:sup>
              <m:r>
                <w:rPr>
                  <w:rFonts w:ascii="Cambria Math" w:hAnsi="Cambria Math"/>
                  <w:noProof/>
                  <w:lang w:val="cs-CZ"/>
                </w:rPr>
                <m:t>2</m:t>
              </m:r>
            </m:sup>
          </m:sSup>
          <m:r>
            <w:rPr>
              <w:rFonts w:ascii="Cambria Math" w:hAnsi="Cambria Math"/>
              <w:noProof/>
              <w:lang w:val="cs-CZ"/>
            </w:rPr>
            <m:t xml:space="preserve"> [l/min]</m:t>
          </m:r>
        </m:oMath>
      </m:oMathPara>
    </w:p>
    <w:p w:rsidR="000B60B9" w:rsidRPr="003B6E11" w:rsidRDefault="002D015D" w:rsidP="0089015B">
      <w:pPr>
        <w:pStyle w:val="ESchpar"/>
        <w:spacing w:before="60"/>
        <w:rPr>
          <w:rFonts w:cs="Arial"/>
          <w:szCs w:val="20"/>
          <w:lang w:val="cs-CZ"/>
        </w:rPr>
      </w:pPr>
      <m:oMath>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2</m:t>
            </m:r>
          </m:sub>
        </m:sSub>
      </m:oMath>
      <w:r w:rsidR="00290EF0" w:rsidRPr="003B6E11">
        <w:rPr>
          <w:lang w:val="cs-CZ"/>
        </w:rPr>
        <w:t xml:space="preserve"> se vypočte podle vzorce:</w:t>
      </w:r>
    </w:p>
    <w:p w:rsidR="00230288" w:rsidRPr="003B6E11" w:rsidRDefault="00230288" w:rsidP="0089015B">
      <w:pPr>
        <w:pStyle w:val="ESchpar"/>
        <w:spacing w:before="60"/>
        <w:rPr>
          <w:lang w:val="cs-CZ"/>
        </w:rPr>
      </w:pPr>
    </w:p>
    <w:p w:rsidR="00230288" w:rsidRPr="003B6E11" w:rsidRDefault="002D015D" w:rsidP="00230288">
      <w:pPr>
        <w:pStyle w:val="ESch"/>
        <w:ind w:left="0" w:firstLine="0"/>
        <w:jc w:val="center"/>
        <w:rPr>
          <w:noProof/>
          <w:lang w:val="cs-CZ"/>
        </w:rPr>
      </w:pPr>
      <m:oMathPara>
        <m:oMath>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2</m:t>
              </m:r>
            </m:sub>
          </m:sSub>
          <m:r>
            <w:rPr>
              <w:rFonts w:ascii="Cambria Math" w:hAnsi="Cambria Math"/>
              <w:noProof/>
              <w:lang w:val="cs-CZ"/>
            </w:rPr>
            <m:t xml:space="preserve">=2 ∙ </m:t>
          </m:r>
          <m:rad>
            <m:radPr>
              <m:degHide m:val="1"/>
              <m:ctrlPr>
                <w:rPr>
                  <w:rFonts w:ascii="Cambria Math" w:hAnsi="Cambria Math"/>
                  <w:i/>
                  <w:noProof/>
                  <w:lang w:val="cs-CZ"/>
                </w:rPr>
              </m:ctrlPr>
            </m:radPr>
            <m:deg/>
            <m:e>
              <m:r>
                <w:rPr>
                  <w:rFonts w:ascii="Cambria Math" w:hAnsi="Cambria Math"/>
                  <w:noProof/>
                  <w:lang w:val="cs-CZ"/>
                </w:rPr>
                <m:t xml:space="preserve">l </m:t>
              </m:r>
              <m:d>
                <m:dPr>
                  <m:ctrlPr>
                    <w:rPr>
                      <w:rFonts w:ascii="Cambria Math" w:hAnsi="Cambria Math"/>
                      <w:i/>
                      <w:noProof/>
                      <w:lang w:val="cs-CZ"/>
                    </w:rPr>
                  </m:ctrlPr>
                </m:dPr>
                <m:e>
                  <m:r>
                    <w:rPr>
                      <w:rFonts w:ascii="Cambria Math" w:hAnsi="Cambria Math"/>
                      <w:noProof/>
                      <w:lang w:val="cs-CZ"/>
                    </w:rPr>
                    <m:t>B+H</m:t>
                  </m:r>
                </m:e>
              </m:d>
            </m:e>
          </m:rad>
          <m:r>
            <w:rPr>
              <w:rFonts w:ascii="Cambria Math" w:hAnsi="Cambria Math"/>
              <w:noProof/>
              <w:lang w:val="cs-CZ"/>
            </w:rPr>
            <m:t>+25  [mm]</m:t>
          </m:r>
        </m:oMath>
      </m:oMathPara>
    </w:p>
    <w:p w:rsidR="00230288" w:rsidRPr="003B6E11" w:rsidRDefault="00230288" w:rsidP="0089015B">
      <w:pPr>
        <w:pStyle w:val="ESchpar"/>
        <w:spacing w:before="60"/>
        <w:rPr>
          <w:lang w:val="cs-CZ"/>
        </w:rPr>
      </w:pPr>
    </w:p>
    <w:p w:rsidR="00E24808" w:rsidRPr="003B6E11" w:rsidRDefault="00480E5E" w:rsidP="002C0EB8">
      <w:pPr>
        <w:pStyle w:val="ESlet"/>
        <w:rPr>
          <w:lang w:val="cs-CZ"/>
        </w:rPr>
      </w:pPr>
      <w:r w:rsidRPr="003B6E11">
        <w:rPr>
          <w:lang w:val="cs-CZ"/>
        </w:rPr>
        <w:t xml:space="preserve">Hodnota </w:t>
      </w:r>
      <m:oMath>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2</m:t>
            </m:r>
          </m:sub>
        </m:sSub>
      </m:oMath>
      <w:r w:rsidRPr="003B6E11">
        <w:rPr>
          <w:lang w:val="cs-CZ"/>
        </w:rPr>
        <w:t xml:space="preserve"> však nesmí být vyšší než hodnota </w:t>
      </w:r>
      <m:oMath>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1</m:t>
            </m:r>
          </m:sub>
        </m:sSub>
      </m:oMath>
      <w:r w:rsidRPr="003B6E11">
        <w:rPr>
          <w:lang w:val="cs-CZ"/>
        </w:rPr>
        <w:t>.</w:t>
      </w:r>
    </w:p>
    <w:p w:rsidR="00E24808" w:rsidRPr="003B6E11" w:rsidRDefault="00E24808" w:rsidP="002C0EB8">
      <w:pPr>
        <w:pStyle w:val="ESlet"/>
        <w:rPr>
          <w:lang w:val="cs-CZ"/>
        </w:rPr>
      </w:pPr>
      <w:r w:rsidRPr="003B6E11">
        <w:rPr>
          <w:lang w:val="cs-CZ"/>
        </w:rPr>
        <w:t xml:space="preserve">K výpočtu </w:t>
      </w:r>
      <m:oMath>
        <m:sSub>
          <m:sSubPr>
            <m:ctrlPr>
              <w:rPr>
                <w:rFonts w:ascii="Cambria Math" w:hAnsi="Cambria Math"/>
                <w:i/>
                <w:noProof/>
                <w:lang w:val="cs-CZ"/>
              </w:rPr>
            </m:ctrlPr>
          </m:sSubPr>
          <m:e>
            <m:r>
              <w:rPr>
                <w:rFonts w:ascii="Cambria Math" w:hAnsi="Cambria Math"/>
                <w:noProof/>
                <w:lang w:val="cs-CZ"/>
              </w:rPr>
              <m:t>Q</m:t>
            </m:r>
          </m:e>
          <m:sub>
            <m:r>
              <w:rPr>
                <w:rFonts w:ascii="Cambria Math" w:hAnsi="Cambria Math"/>
                <w:noProof/>
                <w:lang w:val="cs-CZ"/>
              </w:rPr>
              <m:t>2</m:t>
            </m:r>
          </m:sub>
        </m:sSub>
      </m:oMath>
      <w:r w:rsidRPr="003B6E11">
        <w:rPr>
          <w:lang w:val="cs-CZ"/>
        </w:rPr>
        <w:t xml:space="preserve"> se použije délka </w:t>
      </w:r>
      <m:oMath>
        <m:r>
          <w:rPr>
            <w:rFonts w:ascii="Cambria Math" w:hAnsi="Cambria Math"/>
            <w:lang w:val="cs-CZ"/>
          </w:rPr>
          <m:t>l</m:t>
        </m:r>
      </m:oMath>
      <w:r w:rsidRPr="003B6E11">
        <w:rPr>
          <w:lang w:val="cs-CZ"/>
        </w:rPr>
        <w:t xml:space="preserve"> nejdelšího vodotěsného oddělení.</w:t>
      </w:r>
    </w:p>
    <w:p w:rsidR="00FA096B" w:rsidRPr="003B6E11" w:rsidRDefault="00FA096B" w:rsidP="000B60B9">
      <w:pPr>
        <w:rPr>
          <w:lang w:val="cs-CZ"/>
        </w:rPr>
      </w:pPr>
    </w:p>
    <w:p w:rsidR="00E24808" w:rsidRPr="003B6E11" w:rsidRDefault="00E24808" w:rsidP="002C0EB8">
      <w:pPr>
        <w:pStyle w:val="ESlet"/>
        <w:rPr>
          <w:lang w:val="cs-CZ"/>
        </w:rPr>
      </w:pPr>
      <w:r w:rsidRPr="003B6E11">
        <w:rPr>
          <w:lang w:val="cs-CZ"/>
        </w:rPr>
        <w:t xml:space="preserve">V těchto vzorcích: </w:t>
      </w:r>
    </w:p>
    <w:p w:rsidR="00E24808" w:rsidRPr="003B6E11" w:rsidRDefault="00230288" w:rsidP="002C0EB8">
      <w:pPr>
        <w:pStyle w:val="ESlet"/>
        <w:rPr>
          <w:lang w:val="cs-CZ"/>
        </w:rPr>
      </w:pPr>
      <m:oMath>
        <m:r>
          <w:rPr>
            <w:rFonts w:ascii="Cambria Math" w:hAnsi="Cambria Math"/>
            <w:lang w:val="cs-CZ"/>
          </w:rPr>
          <m:t>l</m:t>
        </m:r>
      </m:oMath>
      <w:r w:rsidRPr="003B6E11">
        <w:rPr>
          <w:lang w:val="cs-CZ"/>
        </w:rPr>
        <w:tab/>
        <w:t>je délka příslušného vodotěsného oddělení v m;</w:t>
      </w:r>
    </w:p>
    <w:p w:rsidR="00E24808" w:rsidRPr="003B6E11" w:rsidRDefault="002D015D" w:rsidP="002C0EB8">
      <w:pPr>
        <w:pStyle w:val="ESlet"/>
        <w:rPr>
          <w:lang w:val="cs-CZ"/>
        </w:rPr>
      </w:pPr>
      <m:oMath>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1</m:t>
            </m:r>
          </m:sub>
        </m:sSub>
      </m:oMath>
      <w:r w:rsidR="00290EF0" w:rsidRPr="003B6E11">
        <w:rPr>
          <w:lang w:val="cs-CZ"/>
        </w:rPr>
        <w:tab/>
        <w:t>je vypočtený vnitřní průměr hlavního drenážního potrubí v mm;</w:t>
      </w:r>
    </w:p>
    <w:p w:rsidR="00E24808" w:rsidRPr="003B6E11" w:rsidRDefault="002D015D" w:rsidP="002C0EB8">
      <w:pPr>
        <w:pStyle w:val="ESlet"/>
        <w:rPr>
          <w:lang w:val="cs-CZ"/>
        </w:rPr>
      </w:pPr>
      <m:oMath>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2</m:t>
            </m:r>
          </m:sub>
        </m:sSub>
      </m:oMath>
      <w:r w:rsidR="00290EF0" w:rsidRPr="003B6E11">
        <w:rPr>
          <w:lang w:val="cs-CZ"/>
        </w:rPr>
        <w:tab/>
        <w:t>je vypočtený vnitřní průměr potrubních větví v mm.</w:t>
      </w:r>
    </w:p>
    <w:p w:rsidR="00FA096B" w:rsidRPr="003B6E11" w:rsidRDefault="00FA096B" w:rsidP="00E24808">
      <w:pPr>
        <w:rPr>
          <w:rFonts w:cs="Arial"/>
          <w:noProof/>
          <w:szCs w:val="20"/>
          <w:lang w:val="cs-CZ"/>
        </w:rPr>
      </w:pPr>
    </w:p>
    <w:p w:rsidR="0089015B" w:rsidRPr="003B6E11" w:rsidRDefault="0089015B" w:rsidP="00E24808">
      <w:pPr>
        <w:rPr>
          <w:rFonts w:cs="Arial"/>
          <w:noProof/>
          <w:szCs w:val="20"/>
          <w:lang w:val="cs-CZ"/>
        </w:rPr>
      </w:pPr>
      <w:r w:rsidRPr="003B6E11">
        <w:rPr>
          <w:lang w:val="cs-CZ"/>
        </w:rPr>
        <w:br w:type="page"/>
      </w:r>
    </w:p>
    <w:p w:rsidR="00E24808" w:rsidRPr="003B6E11" w:rsidRDefault="00E24808" w:rsidP="0089015B">
      <w:pPr>
        <w:pStyle w:val="ESch"/>
        <w:rPr>
          <w:lang w:val="cs-CZ"/>
        </w:rPr>
      </w:pPr>
      <w:r w:rsidRPr="003B6E11">
        <w:rPr>
          <w:lang w:val="cs-CZ"/>
        </w:rPr>
        <w:t>4.</w:t>
      </w:r>
      <w:r w:rsidRPr="003B6E11">
        <w:rPr>
          <w:lang w:val="cs-CZ"/>
        </w:rPr>
        <w:tab/>
        <w:t xml:space="preserve">Jsou-li drenážní čerpadla připojena k drenážní soustavě, drenážní potrubí musí mít vnitřní průměr nejméně </w:t>
      </w:r>
      <m:oMath>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1</m:t>
            </m:r>
          </m:sub>
        </m:sSub>
      </m:oMath>
      <w:r w:rsidRPr="003B6E11">
        <w:rPr>
          <w:lang w:val="cs-CZ"/>
        </w:rPr>
        <w:t xml:space="preserve"> v mm a potrubní větve musí mít vnitřní průměr nejméně </w:t>
      </w:r>
      <m:oMath>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2</m:t>
            </m:r>
          </m:sub>
        </m:sSub>
      </m:oMath>
      <w:r w:rsidRPr="003B6E11">
        <w:rPr>
          <w:lang w:val="cs-CZ"/>
        </w:rPr>
        <w:t xml:space="preserve"> v mm.</w:t>
      </w:r>
    </w:p>
    <w:p w:rsidR="00FA096B" w:rsidRPr="003B6E11" w:rsidRDefault="00FA096B" w:rsidP="00E24808">
      <w:pPr>
        <w:rPr>
          <w:rFonts w:cs="Arial"/>
          <w:noProof/>
          <w:szCs w:val="20"/>
          <w:lang w:val="cs-CZ"/>
        </w:rPr>
      </w:pPr>
    </w:p>
    <w:p w:rsidR="00E24808" w:rsidRPr="003B6E11" w:rsidRDefault="00E24808" w:rsidP="0089015B">
      <w:pPr>
        <w:pStyle w:val="ESchpar"/>
        <w:rPr>
          <w:lang w:val="cs-CZ"/>
        </w:rPr>
      </w:pPr>
      <w:r w:rsidRPr="003B6E11">
        <w:rPr>
          <w:lang w:val="cs-CZ"/>
        </w:rPr>
        <w:t xml:space="preserve">Pokud je délka lodi </w:t>
      </w:r>
      <m:oMath>
        <m:r>
          <w:rPr>
            <w:rFonts w:ascii="Cambria Math" w:hAnsi="Cambria Math"/>
            <w:noProof/>
            <w:lang w:val="cs-CZ"/>
          </w:rPr>
          <m:t>L</m:t>
        </m:r>
      </m:oMath>
      <w:r w:rsidRPr="003B6E11">
        <w:rPr>
          <w:lang w:val="cs-CZ"/>
        </w:rPr>
        <w:t xml:space="preserve"> menší než 25 m, mohou být hodnoty </w:t>
      </w:r>
      <m:oMath>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1</m:t>
            </m:r>
          </m:sub>
        </m:sSub>
      </m:oMath>
      <w:r w:rsidRPr="003B6E11">
        <w:rPr>
          <w:lang w:val="cs-CZ"/>
        </w:rPr>
        <w:t xml:space="preserve"> a </w:t>
      </w:r>
      <m:oMath>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2</m:t>
            </m:r>
          </m:sub>
        </m:sSub>
      </m:oMath>
      <w:r w:rsidRPr="003B6E11">
        <w:rPr>
          <w:lang w:val="cs-CZ"/>
        </w:rPr>
        <w:t xml:space="preserve"> sníženy na 35 mm.</w:t>
      </w:r>
    </w:p>
    <w:p w:rsidR="00FA096B" w:rsidRPr="003B6E11" w:rsidRDefault="00FA096B" w:rsidP="0089015B">
      <w:pPr>
        <w:pStyle w:val="ESch"/>
        <w:rPr>
          <w:noProof/>
          <w:lang w:val="cs-CZ"/>
        </w:rPr>
      </w:pPr>
    </w:p>
    <w:p w:rsidR="00E24808" w:rsidRPr="003B6E11" w:rsidRDefault="00E24808" w:rsidP="0089015B">
      <w:pPr>
        <w:pStyle w:val="ESch"/>
        <w:rPr>
          <w:lang w:val="cs-CZ"/>
        </w:rPr>
      </w:pPr>
      <w:r w:rsidRPr="003B6E11">
        <w:rPr>
          <w:lang w:val="cs-CZ"/>
        </w:rPr>
        <w:t>5.</w:t>
      </w:r>
      <w:r w:rsidRPr="003B6E11">
        <w:rPr>
          <w:lang w:val="cs-CZ"/>
        </w:rPr>
        <w:tab/>
        <w:t>Jsou povolena jen samonasávací drenážní čerpadla.</w:t>
      </w:r>
    </w:p>
    <w:p w:rsidR="00FA096B" w:rsidRPr="003B6E11" w:rsidRDefault="00FA096B" w:rsidP="0089015B">
      <w:pPr>
        <w:pStyle w:val="ESch"/>
        <w:rPr>
          <w:noProof/>
          <w:lang w:val="cs-CZ"/>
        </w:rPr>
      </w:pPr>
    </w:p>
    <w:p w:rsidR="00E24808" w:rsidRPr="003B6E11" w:rsidRDefault="00E24808" w:rsidP="0089015B">
      <w:pPr>
        <w:pStyle w:val="ESch"/>
        <w:rPr>
          <w:lang w:val="cs-CZ"/>
        </w:rPr>
      </w:pPr>
      <w:r w:rsidRPr="003B6E11">
        <w:rPr>
          <w:lang w:val="cs-CZ"/>
        </w:rPr>
        <w:t>6.</w:t>
      </w:r>
      <w:r w:rsidRPr="003B6E11">
        <w:rPr>
          <w:lang w:val="cs-CZ"/>
        </w:rPr>
        <w:tab/>
        <w:t>Pro každé odvodňované oddělení lodi s plochým dnem širší než 5 m musí být instalován alespoň jeden sací koš na levoboku i pravoboku lodi.</w:t>
      </w:r>
    </w:p>
    <w:p w:rsidR="00FA096B" w:rsidRPr="003B6E11" w:rsidRDefault="00FA096B" w:rsidP="0089015B">
      <w:pPr>
        <w:pStyle w:val="ESch"/>
        <w:rPr>
          <w:noProof/>
          <w:lang w:val="cs-CZ"/>
        </w:rPr>
      </w:pPr>
    </w:p>
    <w:p w:rsidR="00E24808" w:rsidRPr="003B6E11" w:rsidRDefault="00E24808" w:rsidP="0089015B">
      <w:pPr>
        <w:pStyle w:val="ESch"/>
        <w:rPr>
          <w:lang w:val="cs-CZ"/>
        </w:rPr>
      </w:pPr>
      <w:r w:rsidRPr="003B6E11">
        <w:rPr>
          <w:lang w:val="cs-CZ"/>
        </w:rPr>
        <w:t>7.</w:t>
      </w:r>
      <w:r w:rsidRPr="003B6E11">
        <w:rPr>
          <w:lang w:val="cs-CZ"/>
        </w:rPr>
        <w:tab/>
        <w:t>Zadní kolizní prostor musí být možné odvodnit z hlavní strojovny pomocí snadno dostupné, automaticky uzavíratelné armatury.</w:t>
      </w:r>
    </w:p>
    <w:p w:rsidR="00FA096B" w:rsidRPr="003B6E11" w:rsidRDefault="00FA096B" w:rsidP="0089015B">
      <w:pPr>
        <w:pStyle w:val="ESch"/>
        <w:rPr>
          <w:noProof/>
          <w:lang w:val="cs-CZ"/>
        </w:rPr>
      </w:pPr>
    </w:p>
    <w:p w:rsidR="00E24808" w:rsidRPr="003B6E11" w:rsidRDefault="00E24808" w:rsidP="0089015B">
      <w:pPr>
        <w:pStyle w:val="ESch"/>
        <w:rPr>
          <w:lang w:val="cs-CZ"/>
        </w:rPr>
      </w:pPr>
      <w:r w:rsidRPr="003B6E11">
        <w:rPr>
          <w:lang w:val="cs-CZ"/>
        </w:rPr>
        <w:t>8.</w:t>
      </w:r>
      <w:r w:rsidRPr="003B6E11">
        <w:rPr>
          <w:lang w:val="cs-CZ"/>
        </w:rPr>
        <w:tab/>
        <w:t>Potrubní větve jednotlivých oddělení musí být spojené do hlavního drenážního potrubí pomocí uzavíratelných zpětných ventilů.</w:t>
      </w:r>
    </w:p>
    <w:p w:rsidR="00FA096B" w:rsidRPr="003B6E11" w:rsidRDefault="00FA096B" w:rsidP="0089015B">
      <w:pPr>
        <w:pStyle w:val="ESch"/>
        <w:rPr>
          <w:noProof/>
          <w:lang w:val="cs-CZ"/>
        </w:rPr>
      </w:pPr>
    </w:p>
    <w:p w:rsidR="00E24808" w:rsidRPr="003B6E11" w:rsidRDefault="00E24808" w:rsidP="0089015B">
      <w:pPr>
        <w:pStyle w:val="ESchpar"/>
        <w:rPr>
          <w:lang w:val="cs-CZ"/>
        </w:rPr>
      </w:pPr>
      <w:r w:rsidRPr="003B6E11">
        <w:rPr>
          <w:lang w:val="cs-CZ"/>
        </w:rPr>
        <w:t>Oddělení nebo jiné prostory umožňující pojmout zátěž (balast) mohou být zapojeny do drenážní soustavy pouze přes jednoduché uzavírací zařízení. Tento požadavek se nevztahuje na podpalubní nákladové prostory schopné pojmout zátěž. Tyto prostory se zaplní zátěžovou vodou pomocí zátěžového potrubí, které je trvale nainstalováno a je nezávislé na drenážním potrubí, nebo pomocí potrubních větví, které lze připojit na hlavní drenážní potrubí pomocí ohebného potrubí (hadic) nebo pružných přechodových kusů. Za tímto účelem nejsou přípustné ventily k regulaci přítoku vody umístěné na podlaze podpalubního nákladového prostoru.</w:t>
      </w:r>
    </w:p>
    <w:p w:rsidR="00FA096B" w:rsidRPr="003B6E11" w:rsidRDefault="00FA096B" w:rsidP="0089015B">
      <w:pPr>
        <w:pStyle w:val="ESch"/>
        <w:rPr>
          <w:noProof/>
          <w:lang w:val="cs-CZ"/>
        </w:rPr>
      </w:pPr>
    </w:p>
    <w:p w:rsidR="00E24808" w:rsidRPr="003B6E11" w:rsidRDefault="00E24808" w:rsidP="0089015B">
      <w:pPr>
        <w:pStyle w:val="ESch"/>
        <w:rPr>
          <w:lang w:val="cs-CZ"/>
        </w:rPr>
      </w:pPr>
      <w:r w:rsidRPr="003B6E11">
        <w:rPr>
          <w:lang w:val="cs-CZ"/>
        </w:rPr>
        <w:t>9.</w:t>
      </w:r>
      <w:r w:rsidRPr="003B6E11">
        <w:rPr>
          <w:lang w:val="cs-CZ"/>
        </w:rPr>
        <w:tab/>
        <w:t>Sběrné prostory podpalubních nákladových prostorů musí být vybaveny měřicím zařízením.</w:t>
      </w:r>
    </w:p>
    <w:p w:rsidR="00FA096B" w:rsidRPr="003B6E11" w:rsidRDefault="00FA096B" w:rsidP="0089015B">
      <w:pPr>
        <w:pStyle w:val="ESch"/>
        <w:rPr>
          <w:noProof/>
          <w:lang w:val="cs-CZ"/>
        </w:rPr>
      </w:pPr>
    </w:p>
    <w:p w:rsidR="00E24808" w:rsidRPr="003B6E11" w:rsidRDefault="00E24808" w:rsidP="0089015B">
      <w:pPr>
        <w:pStyle w:val="ESch"/>
        <w:rPr>
          <w:lang w:val="cs-CZ"/>
        </w:rPr>
      </w:pPr>
      <w:r w:rsidRPr="003B6E11">
        <w:rPr>
          <w:lang w:val="cs-CZ"/>
        </w:rPr>
        <w:t>10.</w:t>
      </w:r>
      <w:r w:rsidRPr="003B6E11">
        <w:rPr>
          <w:lang w:val="cs-CZ"/>
        </w:rPr>
        <w:tab/>
        <w:t>Existuje-li drenážní soustava s trvale instalovaným potrubím, musí být drenážní potrubí sběrných prostor určené ke sběru zaolejované vody vybaveno uzávěry, které subjekt pověřený prohlídkami opatřil plombou. Počet a umístění těchto uzávěrů se uvede v osvědčení plavidla vnitrozemské plavby.</w:t>
      </w:r>
    </w:p>
    <w:p w:rsidR="0089015B" w:rsidRPr="003B6E11" w:rsidRDefault="0089015B" w:rsidP="0089015B">
      <w:pPr>
        <w:pStyle w:val="ESch"/>
        <w:rPr>
          <w:noProof/>
          <w:lang w:val="cs-CZ"/>
        </w:rPr>
      </w:pPr>
    </w:p>
    <w:p w:rsidR="00E24808" w:rsidRPr="003B6E11" w:rsidRDefault="00E24808" w:rsidP="0089015B">
      <w:pPr>
        <w:pStyle w:val="ESch"/>
        <w:rPr>
          <w:lang w:val="cs-CZ"/>
        </w:rPr>
      </w:pPr>
      <w:r w:rsidRPr="003B6E11">
        <w:rPr>
          <w:lang w:val="cs-CZ"/>
        </w:rPr>
        <w:t>11.</w:t>
      </w:r>
      <w:r w:rsidRPr="003B6E11">
        <w:rPr>
          <w:lang w:val="cs-CZ"/>
        </w:rPr>
        <w:tab/>
        <w:t>Uzamknutí uzávěrů se považuje za rovnocenné zaplombování podle odstavce 10. Klíč nebo klíče k zámkům uzávěrů musí být odpovídajícím způsobem označeny a uchovávány na označeném a snadno dostupném místě ve strojovně.</w:t>
      </w:r>
    </w:p>
    <w:p w:rsidR="00E24808" w:rsidRPr="003B6E11" w:rsidRDefault="00E24808" w:rsidP="00E24808">
      <w:pPr>
        <w:rPr>
          <w:rFonts w:cs="Arial"/>
          <w:szCs w:val="20"/>
          <w:lang w:val="cs-CZ"/>
        </w:rPr>
      </w:pPr>
    </w:p>
    <w:p w:rsidR="00FA096B" w:rsidRPr="003B6E11" w:rsidRDefault="00FA096B" w:rsidP="00E24808">
      <w:pPr>
        <w:rPr>
          <w:rFonts w:cs="Arial"/>
          <w:szCs w:val="20"/>
          <w:lang w:val="cs-CZ"/>
        </w:rPr>
      </w:pPr>
    </w:p>
    <w:p w:rsidR="00E24808" w:rsidRPr="003B6E11" w:rsidRDefault="00E24808" w:rsidP="00FA096B">
      <w:pPr>
        <w:pStyle w:val="ES-Titre3"/>
        <w:rPr>
          <w:lang w:val="cs-CZ"/>
        </w:rPr>
      </w:pPr>
      <w:bookmarkStart w:id="128" w:name="_Toc491854064"/>
      <w:bookmarkStart w:id="129" w:name="_Toc535416970"/>
      <w:r w:rsidRPr="003B6E11">
        <w:rPr>
          <w:lang w:val="cs-CZ"/>
        </w:rPr>
        <w:t>Článek 8.09</w:t>
      </w:r>
      <w:r w:rsidRPr="003B6E11">
        <w:rPr>
          <w:lang w:val="cs-CZ"/>
        </w:rPr>
        <w:br/>
      </w:r>
      <w:r w:rsidRPr="003B6E11">
        <w:rPr>
          <w:i/>
          <w:noProof/>
          <w:lang w:val="cs-CZ"/>
        </w:rPr>
        <w:t>Uložení zaolejované vody a použitého oleje</w:t>
      </w:r>
      <w:bookmarkEnd w:id="128"/>
      <w:bookmarkEnd w:id="129"/>
    </w:p>
    <w:p w:rsidR="00FA096B" w:rsidRPr="003B6E11" w:rsidRDefault="00FA096B" w:rsidP="00E24808">
      <w:pPr>
        <w:rPr>
          <w:rFonts w:cs="Arial"/>
          <w:noProof/>
          <w:szCs w:val="20"/>
          <w:lang w:val="cs-CZ"/>
        </w:rPr>
      </w:pPr>
    </w:p>
    <w:p w:rsidR="00E24808" w:rsidRPr="003B6E11" w:rsidRDefault="00E24808" w:rsidP="0089015B">
      <w:pPr>
        <w:pStyle w:val="ESch"/>
        <w:rPr>
          <w:lang w:val="cs-CZ"/>
        </w:rPr>
      </w:pPr>
      <w:r w:rsidRPr="003B6E11">
        <w:rPr>
          <w:lang w:val="cs-CZ"/>
        </w:rPr>
        <w:t>1.</w:t>
      </w:r>
      <w:r w:rsidRPr="003B6E11">
        <w:rPr>
          <w:lang w:val="cs-CZ"/>
        </w:rPr>
        <w:tab/>
        <w:t>Na plavidle musí být možné skladovat zaolejovanou vodu, která se nashromáždila během provozu. Za tímto účelem se za místo uložení považuje sběrný prostor nade dnem strojovny (nádní).</w:t>
      </w:r>
    </w:p>
    <w:p w:rsidR="00FA096B" w:rsidRPr="003B6E11" w:rsidRDefault="00FA096B" w:rsidP="0089015B">
      <w:pPr>
        <w:pStyle w:val="ESch"/>
        <w:rPr>
          <w:noProof/>
          <w:lang w:val="cs-CZ"/>
        </w:rPr>
      </w:pPr>
    </w:p>
    <w:p w:rsidR="00E24808" w:rsidRPr="003B6E11" w:rsidRDefault="00E24808" w:rsidP="0089015B">
      <w:pPr>
        <w:pStyle w:val="ESch"/>
        <w:rPr>
          <w:lang w:val="cs-CZ"/>
        </w:rPr>
      </w:pPr>
      <w:r w:rsidRPr="003B6E11">
        <w:rPr>
          <w:lang w:val="cs-CZ"/>
        </w:rPr>
        <w:t>2.</w:t>
      </w:r>
      <w:r w:rsidRPr="003B6E11">
        <w:rPr>
          <w:lang w:val="cs-CZ"/>
        </w:rPr>
        <w:tab/>
        <w:t>Ke skladování použitého oleje musí být ve strojovně k dispozici jedna nebo několik zvláštních sběrných nádrží o objemu, který odpovídá nejméně 1,5násobku množství použitého oleje z olejových van všech instalovaných spalovacích motorů a převodovek a hydraulické kapaliny z nádrží hydraulické kapaliny.</w:t>
      </w:r>
    </w:p>
    <w:p w:rsidR="00FA096B" w:rsidRPr="003B6E11" w:rsidRDefault="00FA096B" w:rsidP="0089015B">
      <w:pPr>
        <w:pStyle w:val="ESch"/>
        <w:rPr>
          <w:noProof/>
          <w:lang w:val="cs-CZ"/>
        </w:rPr>
      </w:pPr>
    </w:p>
    <w:p w:rsidR="00E24808" w:rsidRPr="003B6E11" w:rsidRDefault="00E24808" w:rsidP="0089015B">
      <w:pPr>
        <w:pStyle w:val="ESchpar"/>
        <w:rPr>
          <w:lang w:val="cs-CZ"/>
        </w:rPr>
      </w:pPr>
      <w:r w:rsidRPr="003B6E11">
        <w:rPr>
          <w:lang w:val="cs-CZ"/>
        </w:rPr>
        <w:t xml:space="preserve">Připojovací hrdla používaná k vyprazdňování výše uvedených sběrných nádrží musí odpovídat evropské normě EN 1305:1996. </w:t>
      </w:r>
    </w:p>
    <w:p w:rsidR="0063454C" w:rsidRPr="003B6E11" w:rsidRDefault="0063454C" w:rsidP="0089015B">
      <w:pPr>
        <w:pStyle w:val="ESch"/>
        <w:rPr>
          <w:noProof/>
          <w:lang w:val="cs-CZ"/>
        </w:rPr>
      </w:pPr>
    </w:p>
    <w:p w:rsidR="00E24808" w:rsidRPr="003B6E11" w:rsidRDefault="00E24808" w:rsidP="0089015B">
      <w:pPr>
        <w:pStyle w:val="ESch"/>
        <w:rPr>
          <w:lang w:val="cs-CZ"/>
        </w:rPr>
      </w:pPr>
      <w:r w:rsidRPr="003B6E11">
        <w:rPr>
          <w:lang w:val="cs-CZ"/>
        </w:rPr>
        <w:t>3.</w:t>
      </w:r>
      <w:r w:rsidRPr="003B6E11">
        <w:rPr>
          <w:lang w:val="cs-CZ"/>
        </w:rPr>
        <w:tab/>
        <w:t>U plavidel používaných pouze pro dopravu na krátkých tratích může subjekt pověřený prohlídkami povolit výjimky z požadavků odstavce 2.</w:t>
      </w:r>
    </w:p>
    <w:p w:rsidR="00E24808" w:rsidRPr="003B6E11" w:rsidRDefault="00E24808" w:rsidP="009622D2">
      <w:pPr>
        <w:pStyle w:val="ESch"/>
        <w:rPr>
          <w:lang w:val="cs-CZ"/>
        </w:rPr>
      </w:pPr>
    </w:p>
    <w:p w:rsidR="00FA096B" w:rsidRPr="003B6E11" w:rsidRDefault="00FA096B" w:rsidP="009622D2">
      <w:pPr>
        <w:pStyle w:val="ESch"/>
        <w:rPr>
          <w:lang w:val="cs-CZ"/>
        </w:rPr>
      </w:pPr>
    </w:p>
    <w:p w:rsidR="0063454C" w:rsidRPr="003B6E11" w:rsidRDefault="0063454C">
      <w:pPr>
        <w:rPr>
          <w:rFonts w:eastAsia="Calibri"/>
          <w:b/>
          <w:noProof/>
          <w:lang w:val="cs-CZ"/>
        </w:rPr>
      </w:pPr>
      <w:r w:rsidRPr="003B6E11">
        <w:rPr>
          <w:lang w:val="cs-CZ"/>
        </w:rPr>
        <w:br w:type="page"/>
      </w:r>
    </w:p>
    <w:p w:rsidR="00E24808" w:rsidRPr="003B6E11" w:rsidRDefault="00E24808" w:rsidP="00FA096B">
      <w:pPr>
        <w:pStyle w:val="ES-Titre3"/>
        <w:rPr>
          <w:lang w:val="cs-CZ"/>
        </w:rPr>
      </w:pPr>
      <w:bookmarkStart w:id="130" w:name="_Toc491854065"/>
      <w:bookmarkStart w:id="131" w:name="_Toc535416971"/>
      <w:r w:rsidRPr="003B6E11">
        <w:rPr>
          <w:lang w:val="cs-CZ"/>
        </w:rPr>
        <w:t>Článek 8.10</w:t>
      </w:r>
      <w:r w:rsidRPr="003B6E11">
        <w:rPr>
          <w:lang w:val="cs-CZ"/>
        </w:rPr>
        <w:br/>
      </w:r>
      <w:r w:rsidRPr="003B6E11">
        <w:rPr>
          <w:i/>
          <w:noProof/>
          <w:lang w:val="cs-CZ"/>
        </w:rPr>
        <w:t>Hluk vydávaný lodí</w:t>
      </w:r>
      <w:bookmarkEnd w:id="130"/>
      <w:bookmarkEnd w:id="131"/>
    </w:p>
    <w:p w:rsidR="00FA096B" w:rsidRPr="003B6E11" w:rsidRDefault="00FA096B" w:rsidP="00E24808">
      <w:pPr>
        <w:rPr>
          <w:rFonts w:cs="Arial"/>
          <w:noProof/>
          <w:szCs w:val="20"/>
          <w:lang w:val="cs-CZ"/>
        </w:rPr>
      </w:pPr>
    </w:p>
    <w:p w:rsidR="00E24808" w:rsidRPr="003B6E11" w:rsidRDefault="00E24808" w:rsidP="0089015B">
      <w:pPr>
        <w:pStyle w:val="ESch"/>
        <w:rPr>
          <w:lang w:val="cs-CZ"/>
        </w:rPr>
      </w:pPr>
      <w:r w:rsidRPr="003B6E11">
        <w:rPr>
          <w:lang w:val="cs-CZ"/>
        </w:rPr>
        <w:t>1.</w:t>
      </w:r>
      <w:r w:rsidRPr="003B6E11">
        <w:rPr>
          <w:lang w:val="cs-CZ"/>
        </w:rPr>
        <w:tab/>
        <w:t>Hluk vydávaný lodí během plavby, zejména hluk způsobený sáním a výfukem motoru, musí být odpovídajícím způsobem tlumen.</w:t>
      </w:r>
    </w:p>
    <w:p w:rsidR="00FA096B" w:rsidRPr="003B6E11" w:rsidRDefault="00FA096B" w:rsidP="0089015B">
      <w:pPr>
        <w:pStyle w:val="ESch"/>
        <w:rPr>
          <w:noProof/>
          <w:lang w:val="cs-CZ"/>
        </w:rPr>
      </w:pPr>
    </w:p>
    <w:p w:rsidR="00E24808" w:rsidRPr="003B6E11" w:rsidRDefault="00E24808" w:rsidP="0089015B">
      <w:pPr>
        <w:pStyle w:val="ESch"/>
        <w:rPr>
          <w:lang w:val="cs-CZ"/>
        </w:rPr>
      </w:pPr>
      <w:r w:rsidRPr="003B6E11">
        <w:rPr>
          <w:lang w:val="cs-CZ"/>
        </w:rPr>
        <w:t>2.</w:t>
      </w:r>
      <w:r w:rsidRPr="003B6E11">
        <w:rPr>
          <w:lang w:val="cs-CZ"/>
        </w:rPr>
        <w:tab/>
        <w:t>Hluk vydávaný lodí během plavby nesmí překročit 75 dB(A) v místě vzdáleném 25 m od boku lodi.</w:t>
      </w:r>
    </w:p>
    <w:p w:rsidR="00FA096B" w:rsidRPr="003B6E11" w:rsidRDefault="00FA096B" w:rsidP="0089015B">
      <w:pPr>
        <w:pStyle w:val="ESch"/>
        <w:rPr>
          <w:noProof/>
          <w:lang w:val="cs-CZ"/>
        </w:rPr>
      </w:pPr>
    </w:p>
    <w:p w:rsidR="00E24808" w:rsidRPr="003B6E11" w:rsidRDefault="00E24808" w:rsidP="0089015B">
      <w:pPr>
        <w:pStyle w:val="ESch"/>
        <w:rPr>
          <w:lang w:val="cs-CZ"/>
        </w:rPr>
      </w:pPr>
      <w:r w:rsidRPr="003B6E11">
        <w:rPr>
          <w:lang w:val="cs-CZ"/>
        </w:rPr>
        <w:t>3.</w:t>
      </w:r>
      <w:r w:rsidRPr="003B6E11">
        <w:rPr>
          <w:lang w:val="cs-CZ"/>
        </w:rPr>
        <w:tab/>
        <w:t>Kromě překládky nesmí hluk vydávaný nehybnou lodí v místě vzdáleném 25 m od boku lodi překročit 65 dB(A).</w:t>
      </w:r>
    </w:p>
    <w:p w:rsidR="0033095A" w:rsidRPr="003B6E11" w:rsidRDefault="0033095A" w:rsidP="00763ADA">
      <w:pPr>
        <w:rPr>
          <w:noProof/>
          <w:lang w:val="cs-CZ"/>
        </w:rPr>
      </w:pPr>
    </w:p>
    <w:p w:rsidR="00917628" w:rsidRPr="003B6E11" w:rsidRDefault="00917628" w:rsidP="00763ADA">
      <w:pPr>
        <w:rPr>
          <w:noProof/>
          <w:lang w:val="cs-CZ"/>
        </w:rPr>
      </w:pPr>
    </w:p>
    <w:p w:rsidR="00917628" w:rsidRPr="003B6E11" w:rsidRDefault="00917628" w:rsidP="00763ADA">
      <w:pPr>
        <w:rPr>
          <w:noProof/>
          <w:lang w:val="cs-CZ"/>
        </w:rPr>
      </w:pPr>
    </w:p>
    <w:p w:rsidR="00917628" w:rsidRPr="003B6E11" w:rsidRDefault="00917628" w:rsidP="00763ADA">
      <w:pPr>
        <w:rPr>
          <w:noProof/>
          <w:lang w:val="cs-CZ"/>
        </w:rPr>
      </w:pPr>
    </w:p>
    <w:p w:rsidR="00917628" w:rsidRPr="003B6E11" w:rsidRDefault="00917628" w:rsidP="00763ADA">
      <w:pPr>
        <w:rPr>
          <w:noProof/>
          <w:lang w:val="cs-CZ"/>
        </w:rPr>
      </w:pPr>
    </w:p>
    <w:p w:rsidR="00917628" w:rsidRPr="003B6E11" w:rsidRDefault="00917628" w:rsidP="00763ADA">
      <w:pPr>
        <w:rPr>
          <w:noProof/>
          <w:lang w:val="cs-CZ"/>
        </w:rPr>
      </w:pPr>
    </w:p>
    <w:p w:rsidR="0033095A" w:rsidRPr="003B6E11" w:rsidRDefault="002D2D76" w:rsidP="0033095A">
      <w:pPr>
        <w:pStyle w:val="ES-Titre2"/>
      </w:pPr>
      <w:bookmarkStart w:id="132" w:name="_Toc491854066"/>
      <w:bookmarkStart w:id="133" w:name="_Toc535416972"/>
      <w:r w:rsidRPr="003B6E11">
        <w:t>Kapitola 9</w:t>
      </w:r>
      <w:r w:rsidRPr="003B6E11">
        <w:br/>
        <w:t>Emise plynných znečišťujících látek a znečišťujících částic ze spalovacích motorů</w:t>
      </w:r>
      <w:bookmarkEnd w:id="132"/>
      <w:bookmarkEnd w:id="133"/>
      <w:r w:rsidRPr="003B6E11">
        <w:t xml:space="preserve"> </w:t>
      </w:r>
    </w:p>
    <w:p w:rsidR="003915AC" w:rsidRPr="003B6E11" w:rsidRDefault="003915AC" w:rsidP="00917628">
      <w:pPr>
        <w:pStyle w:val="ESch"/>
        <w:rPr>
          <w:lang w:val="cs-CZ"/>
        </w:rPr>
      </w:pPr>
    </w:p>
    <w:p w:rsidR="004B6F54" w:rsidRPr="003B6E11" w:rsidRDefault="004B6F54" w:rsidP="004B6F54">
      <w:pPr>
        <w:pStyle w:val="ES-Titre3"/>
        <w:rPr>
          <w:lang w:val="cs-CZ"/>
        </w:rPr>
      </w:pPr>
      <w:bookmarkStart w:id="134" w:name="_Toc491854067"/>
      <w:bookmarkStart w:id="135" w:name="_Toc535416973"/>
      <w:r w:rsidRPr="003B6E11">
        <w:rPr>
          <w:lang w:val="cs-CZ"/>
        </w:rPr>
        <w:t>Článek 9.00</w:t>
      </w:r>
      <w:r w:rsidRPr="003B6E11">
        <w:rPr>
          <w:lang w:val="cs-CZ"/>
        </w:rPr>
        <w:br/>
      </w:r>
      <w:r w:rsidRPr="003B6E11">
        <w:rPr>
          <w:i/>
          <w:lang w:val="cs-CZ"/>
        </w:rPr>
        <w:t>Definice</w:t>
      </w:r>
      <w:bookmarkEnd w:id="134"/>
      <w:bookmarkEnd w:id="135"/>
    </w:p>
    <w:p w:rsidR="002A434E" w:rsidRPr="003B6E11" w:rsidRDefault="002A434E" w:rsidP="004B6F54">
      <w:pPr>
        <w:rPr>
          <w:rFonts w:cs="Arial"/>
          <w:noProof/>
          <w:szCs w:val="20"/>
          <w:lang w:val="cs-CZ"/>
        </w:rPr>
      </w:pPr>
    </w:p>
    <w:p w:rsidR="00DE2419" w:rsidRPr="003B6E11" w:rsidRDefault="00DE2419" w:rsidP="00DE2419">
      <w:pPr>
        <w:pStyle w:val="ESgauche"/>
        <w:rPr>
          <w:lang w:val="cs-CZ"/>
        </w:rPr>
      </w:pPr>
      <w:r w:rsidRPr="003B6E11">
        <w:rPr>
          <w:lang w:val="cs-CZ"/>
        </w:rPr>
        <w:t>Pro účely této kapitoly se použijí tyto definice:</w:t>
      </w:r>
    </w:p>
    <w:p w:rsidR="00DE2419" w:rsidRPr="003B6E11" w:rsidRDefault="00DE2419" w:rsidP="00DE2419">
      <w:pPr>
        <w:pStyle w:val="ESch"/>
        <w:rPr>
          <w:noProof/>
          <w:lang w:val="cs-CZ"/>
        </w:rPr>
      </w:pPr>
    </w:p>
    <w:p w:rsidR="00DE2419" w:rsidRPr="003B6E11" w:rsidRDefault="00DE2419" w:rsidP="00DE2419">
      <w:pPr>
        <w:pStyle w:val="ESch"/>
        <w:rPr>
          <w:lang w:val="cs-CZ"/>
        </w:rPr>
      </w:pPr>
      <w:r w:rsidRPr="003B6E11">
        <w:rPr>
          <w:lang w:val="cs-CZ"/>
        </w:rPr>
        <w:t>1.</w:t>
      </w:r>
      <w:r w:rsidRPr="003B6E11">
        <w:rPr>
          <w:lang w:val="cs-CZ"/>
        </w:rPr>
        <w:tab/>
        <w:t>„spalovací motor“: měnič energie s výjimkou plynové turbíny určený k přeměně chemické energie (na vstupu) na mechanickou energii (na výstupu) na základě vnitřního spalovacího procesu; jeho případnou součástí je systém regulace emisí a komunikační rozhraní (technické vybavení a hlášení) mezi elektronickou řídicí jednotkou (jednotkami) motoru a jakoukoli jinou řídicí jednotkou;</w:t>
      </w:r>
    </w:p>
    <w:p w:rsidR="00DE2419" w:rsidRPr="003B6E11" w:rsidRDefault="00DE2419" w:rsidP="00DE2419">
      <w:pPr>
        <w:pStyle w:val="ESch"/>
        <w:rPr>
          <w:lang w:val="cs-CZ"/>
        </w:rPr>
      </w:pPr>
    </w:p>
    <w:p w:rsidR="00DE2419" w:rsidRPr="003B6E11" w:rsidRDefault="00DE2419" w:rsidP="00DE2419">
      <w:pPr>
        <w:pStyle w:val="ESch"/>
        <w:rPr>
          <w:lang w:val="cs-CZ"/>
        </w:rPr>
      </w:pPr>
      <w:r w:rsidRPr="003B6E11">
        <w:rPr>
          <w:lang w:val="cs-CZ"/>
        </w:rPr>
        <w:t>2.</w:t>
      </w:r>
      <w:r w:rsidRPr="003B6E11">
        <w:rPr>
          <w:lang w:val="cs-CZ"/>
        </w:rPr>
        <w:tab/>
        <w:t>„schválení typu“: postup, kterým příslušný orgán osvědčuje, že typ motoru nebo rodina motorů splňuje příslušné správní předpisy a technické požadavky, pokud jde o úrovně plynných znečišťujících látek a znečišťujících částic emitovaných motorem (motory);</w:t>
      </w:r>
    </w:p>
    <w:p w:rsidR="00DE2419" w:rsidRPr="003B6E11" w:rsidRDefault="00DE2419" w:rsidP="00DE2419">
      <w:pPr>
        <w:pStyle w:val="ESch"/>
        <w:rPr>
          <w:lang w:val="cs-CZ"/>
        </w:rPr>
      </w:pPr>
    </w:p>
    <w:p w:rsidR="00DE2419" w:rsidRPr="003B6E11" w:rsidRDefault="00DE2419" w:rsidP="00DE2419">
      <w:pPr>
        <w:pStyle w:val="ESch"/>
        <w:rPr>
          <w:lang w:val="cs-CZ"/>
        </w:rPr>
      </w:pPr>
      <w:r w:rsidRPr="003B6E11">
        <w:rPr>
          <w:lang w:val="cs-CZ"/>
        </w:rPr>
        <w:t>3.</w:t>
      </w:r>
      <w:r w:rsidRPr="003B6E11">
        <w:rPr>
          <w:lang w:val="cs-CZ"/>
        </w:rPr>
        <w:tab/>
        <w:t>„rodina motorů“: výrobcem stanovená skupina typů motorů, které mají konstrukcí dané podobné vlastnosti z hlediska výfukových emisí a které splňují platné mezní hodnoty emisí;</w:t>
      </w:r>
    </w:p>
    <w:p w:rsidR="00DE2419" w:rsidRPr="003B6E11" w:rsidRDefault="00DE2419" w:rsidP="00DE2419">
      <w:pPr>
        <w:pStyle w:val="ESch"/>
        <w:rPr>
          <w:lang w:val="cs-CZ"/>
        </w:rPr>
      </w:pPr>
    </w:p>
    <w:p w:rsidR="00DE2419" w:rsidRPr="003B6E11" w:rsidRDefault="00DE2419" w:rsidP="00DE2419">
      <w:pPr>
        <w:pStyle w:val="ESch"/>
        <w:rPr>
          <w:sz w:val="18"/>
          <w:lang w:val="cs-CZ"/>
        </w:rPr>
      </w:pPr>
      <w:r w:rsidRPr="003B6E11">
        <w:rPr>
          <w:lang w:val="cs-CZ"/>
        </w:rPr>
        <w:t>4.</w:t>
      </w:r>
      <w:r w:rsidRPr="003B6E11">
        <w:rPr>
          <w:lang w:val="cs-CZ"/>
        </w:rPr>
        <w:tab/>
        <w:t xml:space="preserve">„referenční výkon“: netto výkon, podle </w:t>
      </w:r>
      <w:bookmarkStart w:id="136" w:name="_DV_C386"/>
      <w:r w:rsidRPr="003B6E11">
        <w:rPr>
          <w:lang w:val="cs-CZ"/>
        </w:rPr>
        <w:t>něhož</w:t>
      </w:r>
      <w:bookmarkStart w:id="137" w:name="_DV_M298"/>
      <w:bookmarkEnd w:id="136"/>
      <w:bookmarkEnd w:id="137"/>
      <w:r w:rsidRPr="003B6E11">
        <w:rPr>
          <w:lang w:val="cs-CZ"/>
        </w:rPr>
        <w:t xml:space="preserve"> se pro daný motor stanoví platné mezní hodnoty emisí; </w:t>
      </w:r>
    </w:p>
    <w:p w:rsidR="00DE2419" w:rsidRPr="003B6E11" w:rsidRDefault="00DE2419" w:rsidP="00DE2419">
      <w:pPr>
        <w:pStyle w:val="ESch"/>
        <w:rPr>
          <w:noProof/>
          <w:lang w:val="cs-CZ"/>
        </w:rPr>
      </w:pPr>
    </w:p>
    <w:p w:rsidR="00DE2419" w:rsidRPr="003B6E11" w:rsidRDefault="00DE2419" w:rsidP="00DE2419">
      <w:pPr>
        <w:pStyle w:val="ESch"/>
        <w:rPr>
          <w:lang w:val="cs-CZ"/>
        </w:rPr>
      </w:pPr>
      <w:r w:rsidRPr="003B6E11">
        <w:rPr>
          <w:lang w:val="cs-CZ"/>
        </w:rPr>
        <w:t>5.</w:t>
      </w:r>
      <w:r w:rsidRPr="003B6E11">
        <w:rPr>
          <w:lang w:val="cs-CZ"/>
        </w:rPr>
        <w:tab/>
        <w:t xml:space="preserve">„výrobce motoru“: fyzická nebo právnická osoba, která schvalovacímu orgánu odpovídá za všechna hlediska postupu schválení typu nebo povolení a za zajištění shodnosti výroby motoru a která také odpovídá za otázky dozoru nad trhem týkající se vyráběných motorů, a to bez ohledu na to, zda je přímo nebo nepřímo zapojena do všech fází návrhu a výroby motoru, který je předmětem </w:t>
      </w:r>
      <w:bookmarkStart w:id="138" w:name="_DV_C457"/>
      <w:r w:rsidRPr="003B6E11">
        <w:rPr>
          <w:lang w:val="cs-CZ"/>
        </w:rPr>
        <w:t>postupu</w:t>
      </w:r>
      <w:bookmarkStart w:id="139" w:name="_DV_M380"/>
      <w:bookmarkEnd w:id="138"/>
      <w:bookmarkEnd w:id="139"/>
      <w:r w:rsidRPr="003B6E11">
        <w:rPr>
          <w:lang w:val="cs-CZ"/>
        </w:rPr>
        <w:t xml:space="preserve"> schválení typu; </w:t>
      </w:r>
    </w:p>
    <w:p w:rsidR="00DE2419" w:rsidRPr="003B6E11" w:rsidRDefault="00DE2419" w:rsidP="00DE2419">
      <w:pPr>
        <w:pStyle w:val="ESch"/>
        <w:rPr>
          <w:lang w:val="cs-CZ"/>
        </w:rPr>
      </w:pPr>
    </w:p>
    <w:p w:rsidR="00DE2419" w:rsidRPr="003B6E11" w:rsidRDefault="00DE2419" w:rsidP="00DE2419">
      <w:pPr>
        <w:pStyle w:val="ESch"/>
        <w:rPr>
          <w:lang w:val="cs-CZ"/>
        </w:rPr>
      </w:pPr>
      <w:r w:rsidRPr="003B6E11">
        <w:rPr>
          <w:lang w:val="cs-CZ"/>
        </w:rPr>
        <w:t>6.</w:t>
      </w:r>
      <w:r w:rsidRPr="003B6E11">
        <w:rPr>
          <w:lang w:val="cs-CZ"/>
        </w:rPr>
        <w:tab/>
        <w:t>„protokol o parametrech motoru“: dokument podle přílohy 6, ve kterém jsou řádně zaneseny veškeré parametry a jejich změny, včetně konstrukčních částí a seřízení motoru, jež mají vliv na úroveň emisí plynných znečišťujících látek a znečišťujících částic z motoru.</w:t>
      </w:r>
    </w:p>
    <w:p w:rsidR="00DE2419" w:rsidRPr="003B6E11" w:rsidRDefault="00DE2419" w:rsidP="00DE2419">
      <w:pPr>
        <w:pStyle w:val="ESch"/>
        <w:rPr>
          <w:lang w:val="cs-CZ"/>
        </w:rPr>
      </w:pPr>
    </w:p>
    <w:p w:rsidR="00DE2419" w:rsidRPr="003B6E11" w:rsidRDefault="00DE2419" w:rsidP="00DE2419">
      <w:pPr>
        <w:rPr>
          <w:szCs w:val="20"/>
          <w:lang w:val="cs-CZ"/>
        </w:rPr>
      </w:pPr>
    </w:p>
    <w:p w:rsidR="00DE2419" w:rsidRPr="003B6E11" w:rsidRDefault="00DE2419" w:rsidP="00DE2419">
      <w:pPr>
        <w:pStyle w:val="ES-Titre3"/>
        <w:rPr>
          <w:i/>
          <w:lang w:val="cs-CZ"/>
        </w:rPr>
      </w:pPr>
      <w:bookmarkStart w:id="140" w:name="_Toc453317268"/>
      <w:bookmarkStart w:id="141" w:name="_Toc491854068"/>
      <w:bookmarkStart w:id="142" w:name="_Toc535416974"/>
      <w:r w:rsidRPr="003B6E11">
        <w:rPr>
          <w:lang w:val="cs-CZ"/>
        </w:rPr>
        <w:t>Článek 9.01</w:t>
      </w:r>
      <w:r w:rsidRPr="003B6E11">
        <w:rPr>
          <w:lang w:val="cs-CZ"/>
        </w:rPr>
        <w:br/>
      </w:r>
      <w:r w:rsidRPr="003B6E11">
        <w:rPr>
          <w:i/>
          <w:lang w:val="cs-CZ"/>
        </w:rPr>
        <w:t>Obecná ustanovení</w:t>
      </w:r>
      <w:bookmarkEnd w:id="140"/>
      <w:bookmarkEnd w:id="141"/>
      <w:bookmarkEnd w:id="142"/>
    </w:p>
    <w:p w:rsidR="00DE2419" w:rsidRPr="003B6E11" w:rsidRDefault="00DE2419" w:rsidP="00DE2419">
      <w:pPr>
        <w:pStyle w:val="ESgauche"/>
        <w:rPr>
          <w:lang w:val="cs-CZ"/>
        </w:rPr>
      </w:pPr>
    </w:p>
    <w:p w:rsidR="00DE2419" w:rsidRPr="003B6E11" w:rsidRDefault="00DE2419" w:rsidP="00DE2419">
      <w:pPr>
        <w:pStyle w:val="ESch"/>
        <w:rPr>
          <w:lang w:val="cs-CZ"/>
        </w:rPr>
      </w:pPr>
      <w:r w:rsidRPr="003B6E11">
        <w:rPr>
          <w:lang w:val="cs-CZ"/>
        </w:rPr>
        <w:t>1.</w:t>
      </w:r>
      <w:r w:rsidRPr="003B6E11">
        <w:rPr>
          <w:lang w:val="cs-CZ"/>
        </w:rPr>
        <w:tab/>
        <w:t xml:space="preserve">Ustanovení této kapitoly se vztahují na všechny spalovací motory s referenčním výkonem 19 kW nebo vyšším instalované na palubě plavidla. </w:t>
      </w:r>
    </w:p>
    <w:p w:rsidR="00DE2419" w:rsidRPr="003B6E11" w:rsidRDefault="00DE2419" w:rsidP="00DE2419">
      <w:pPr>
        <w:pStyle w:val="ESch"/>
        <w:rPr>
          <w:lang w:val="cs-CZ"/>
        </w:rPr>
      </w:pPr>
    </w:p>
    <w:p w:rsidR="00211AAA" w:rsidRPr="003B6E11" w:rsidRDefault="00211AAA">
      <w:pPr>
        <w:rPr>
          <w:lang w:val="cs-CZ"/>
        </w:rPr>
      </w:pPr>
      <w:r w:rsidRPr="003B6E11">
        <w:rPr>
          <w:lang w:val="cs-CZ"/>
        </w:rPr>
        <w:br w:type="page"/>
      </w:r>
    </w:p>
    <w:p w:rsidR="00211AAA" w:rsidRPr="003B6E11" w:rsidRDefault="00211AAA" w:rsidP="00DE2419">
      <w:pPr>
        <w:pStyle w:val="ESch"/>
        <w:rPr>
          <w:lang w:val="cs-CZ"/>
        </w:rPr>
      </w:pPr>
    </w:p>
    <w:p w:rsidR="00DE2419" w:rsidRPr="003B6E11" w:rsidRDefault="00DE2419" w:rsidP="00DE2419">
      <w:pPr>
        <w:pStyle w:val="ESch"/>
        <w:rPr>
          <w:lang w:val="cs-CZ"/>
        </w:rPr>
      </w:pPr>
      <w:r w:rsidRPr="003B6E11">
        <w:rPr>
          <w:lang w:val="cs-CZ"/>
        </w:rPr>
        <w:t>2.</w:t>
      </w:r>
      <w:r w:rsidRPr="003B6E11">
        <w:rPr>
          <w:lang w:val="cs-CZ"/>
        </w:rPr>
        <w:tab/>
        <w:t>Spalovací motory splňují požadavky nařízení (EU) 2016/1628</w:t>
      </w:r>
      <w:r w:rsidRPr="003B6E11">
        <w:rPr>
          <w:rStyle w:val="FootnoteReference"/>
          <w:lang w:val="cs-CZ"/>
        </w:rPr>
        <w:footnoteReference w:id="8"/>
      </w:r>
      <w:r w:rsidRPr="003B6E11">
        <w:rPr>
          <w:lang w:val="cs-CZ"/>
        </w:rPr>
        <w:t xml:space="preserve">. Instalují se pouze spalovací motory kategorií </w:t>
      </w:r>
    </w:p>
    <w:p w:rsidR="00DE2419" w:rsidRPr="003B6E11" w:rsidRDefault="00DE2419" w:rsidP="00DE2419">
      <w:pPr>
        <w:pStyle w:val="ESlet"/>
        <w:rPr>
          <w:lang w:val="cs-CZ"/>
        </w:rPr>
      </w:pPr>
      <w:r w:rsidRPr="003B6E11">
        <w:rPr>
          <w:lang w:val="cs-CZ"/>
        </w:rPr>
        <w:t>a)</w:t>
      </w:r>
      <w:r w:rsidRPr="003B6E11">
        <w:rPr>
          <w:lang w:val="cs-CZ"/>
        </w:rPr>
        <w:tab/>
        <w:t xml:space="preserve">IWP; </w:t>
      </w:r>
    </w:p>
    <w:p w:rsidR="00DE2419" w:rsidRPr="003B6E11" w:rsidRDefault="00DE2419" w:rsidP="00DE2419">
      <w:pPr>
        <w:pStyle w:val="ESlet"/>
        <w:rPr>
          <w:lang w:val="cs-CZ"/>
        </w:rPr>
      </w:pPr>
      <w:r w:rsidRPr="003B6E11">
        <w:rPr>
          <w:lang w:val="cs-CZ"/>
        </w:rPr>
        <w:t>b)</w:t>
      </w:r>
      <w:r w:rsidRPr="003B6E11">
        <w:rPr>
          <w:lang w:val="cs-CZ"/>
        </w:rPr>
        <w:tab/>
        <w:t xml:space="preserve">IWA; </w:t>
      </w:r>
    </w:p>
    <w:p w:rsidR="00DE2419" w:rsidRPr="003B6E11" w:rsidRDefault="00DE2419" w:rsidP="00DE2419">
      <w:pPr>
        <w:pStyle w:val="ESlet"/>
        <w:rPr>
          <w:lang w:val="cs-CZ"/>
        </w:rPr>
      </w:pPr>
      <w:r w:rsidRPr="003B6E11">
        <w:rPr>
          <w:lang w:val="cs-CZ"/>
        </w:rPr>
        <w:t>c)</w:t>
      </w:r>
      <w:r w:rsidRPr="003B6E11">
        <w:rPr>
          <w:lang w:val="cs-CZ"/>
        </w:rPr>
        <w:tab/>
        <w:t xml:space="preserve">NRE s referenčním výkonem nižším než 560 kW nebo </w:t>
      </w:r>
    </w:p>
    <w:p w:rsidR="00DE2419" w:rsidRPr="003B6E11" w:rsidRDefault="00DE2419" w:rsidP="00DE2419">
      <w:pPr>
        <w:pStyle w:val="ESlet"/>
        <w:rPr>
          <w:lang w:val="cs-CZ"/>
        </w:rPr>
      </w:pPr>
      <w:r w:rsidRPr="003B6E11">
        <w:rPr>
          <w:lang w:val="cs-CZ"/>
        </w:rPr>
        <w:t>d)</w:t>
      </w:r>
      <w:r w:rsidRPr="003B6E11">
        <w:rPr>
          <w:lang w:val="cs-CZ"/>
        </w:rPr>
        <w:tab/>
        <w:t>motory uznávané jako rovnocenné podle nařízení (EU) 2016/1628.</w:t>
      </w:r>
    </w:p>
    <w:p w:rsidR="00DE2419" w:rsidRPr="003B6E11" w:rsidRDefault="00DE2419" w:rsidP="00DE2419">
      <w:pPr>
        <w:pStyle w:val="ESletpar"/>
        <w:ind w:left="567"/>
        <w:rPr>
          <w:lang w:val="cs-CZ"/>
        </w:rPr>
      </w:pPr>
      <w:r w:rsidRPr="003B6E11">
        <w:rPr>
          <w:lang w:val="cs-CZ"/>
        </w:rPr>
        <w:t xml:space="preserve"> Shoda s požadavky se prokáže prostřednictvím certifikátu schválení typu.</w:t>
      </w:r>
    </w:p>
    <w:p w:rsidR="00DE2419" w:rsidRPr="003B6E11" w:rsidRDefault="00DE2419" w:rsidP="00DE2419">
      <w:pPr>
        <w:pStyle w:val="ESch"/>
        <w:rPr>
          <w:lang w:val="cs-CZ"/>
        </w:rPr>
      </w:pPr>
    </w:p>
    <w:p w:rsidR="00DE2419" w:rsidRPr="003B6E11" w:rsidRDefault="00DE2419" w:rsidP="00DE2419">
      <w:pPr>
        <w:pStyle w:val="ESch"/>
        <w:rPr>
          <w:lang w:val="cs-CZ"/>
        </w:rPr>
      </w:pPr>
      <w:r w:rsidRPr="003B6E11">
        <w:rPr>
          <w:lang w:val="cs-CZ"/>
        </w:rPr>
        <w:t>3.</w:t>
      </w:r>
      <w:r w:rsidRPr="003B6E11">
        <w:rPr>
          <w:lang w:val="cs-CZ"/>
        </w:rPr>
        <w:tab/>
        <w:t>Na palubě musí být uložena kopie certifikátu schválení typu, pokynů výrobce motoru a protokolu o parametrech motoru.</w:t>
      </w:r>
    </w:p>
    <w:p w:rsidR="00DE2419" w:rsidRPr="003B6E11" w:rsidRDefault="00DE2419" w:rsidP="00DE2419">
      <w:pPr>
        <w:pStyle w:val="ESch"/>
        <w:rPr>
          <w:lang w:val="cs-CZ"/>
        </w:rPr>
      </w:pPr>
    </w:p>
    <w:p w:rsidR="00DE2419" w:rsidRPr="003B6E11" w:rsidRDefault="00DE2419" w:rsidP="00DE2419">
      <w:pPr>
        <w:pStyle w:val="ESch"/>
        <w:rPr>
          <w:lang w:val="cs-CZ"/>
        </w:rPr>
      </w:pPr>
      <w:r w:rsidRPr="003B6E11">
        <w:rPr>
          <w:lang w:val="cs-CZ"/>
        </w:rPr>
        <w:t>4.</w:t>
      </w:r>
      <w:r w:rsidRPr="003B6E11">
        <w:rPr>
          <w:lang w:val="cs-CZ"/>
        </w:rPr>
        <w:tab/>
        <w:t>Je zakázána instalace náhradních motorů podle definice v nařízení (EU) 2016/1628.</w:t>
      </w:r>
    </w:p>
    <w:p w:rsidR="00DE2419" w:rsidRPr="003B6E11" w:rsidRDefault="00DE2419" w:rsidP="00DE2419">
      <w:pPr>
        <w:pStyle w:val="ESch"/>
        <w:rPr>
          <w:rFonts w:cs="Arial"/>
          <w:szCs w:val="20"/>
          <w:lang w:val="cs-CZ"/>
        </w:rPr>
      </w:pPr>
    </w:p>
    <w:p w:rsidR="00DE2419" w:rsidRPr="003B6E11" w:rsidRDefault="00DE2419" w:rsidP="00DE2419">
      <w:pPr>
        <w:pStyle w:val="ESch"/>
        <w:rPr>
          <w:lang w:val="cs-CZ"/>
        </w:rPr>
      </w:pPr>
      <w:r w:rsidRPr="003B6E11">
        <w:rPr>
          <w:lang w:val="cs-CZ"/>
        </w:rPr>
        <w:t>5.</w:t>
      </w:r>
      <w:r w:rsidRPr="003B6E11">
        <w:rPr>
          <w:lang w:val="cs-CZ"/>
        </w:rPr>
        <w:tab/>
        <w:t>Ke splnění úkolů podle této kapitoly může subjekt pověřený prohlídkami využít technické zkušebny. Pro účely této normy se uznávají pouze technické zkušebny oznámené podle nařízení (EU) 2016/1628.</w:t>
      </w:r>
    </w:p>
    <w:p w:rsidR="00DE2419" w:rsidRPr="003B6E11" w:rsidRDefault="00DE2419" w:rsidP="00DE2419">
      <w:pPr>
        <w:pStyle w:val="ESch"/>
        <w:rPr>
          <w:lang w:val="cs-CZ"/>
        </w:rPr>
      </w:pPr>
    </w:p>
    <w:p w:rsidR="00DE2419" w:rsidRPr="003B6E11" w:rsidRDefault="00DE2419" w:rsidP="00DE2419">
      <w:pPr>
        <w:pStyle w:val="ESch"/>
        <w:rPr>
          <w:lang w:val="cs-CZ"/>
        </w:rPr>
      </w:pPr>
    </w:p>
    <w:p w:rsidR="00DE2419" w:rsidRPr="003B6E11" w:rsidRDefault="00DE2419" w:rsidP="00DE2419">
      <w:pPr>
        <w:pStyle w:val="ES-Titre3"/>
        <w:rPr>
          <w:i/>
          <w:lang w:val="cs-CZ"/>
        </w:rPr>
      </w:pPr>
      <w:bookmarkStart w:id="143" w:name="_Toc491854069"/>
      <w:bookmarkStart w:id="144" w:name="_Toc535416975"/>
      <w:r w:rsidRPr="003B6E11">
        <w:rPr>
          <w:lang w:val="cs-CZ"/>
        </w:rPr>
        <w:t>Článek 9.02</w:t>
      </w:r>
      <w:r w:rsidRPr="003B6E11">
        <w:rPr>
          <w:lang w:val="cs-CZ"/>
        </w:rPr>
        <w:br/>
      </w:r>
      <w:r w:rsidRPr="003B6E11">
        <w:rPr>
          <w:i/>
          <w:lang w:val="cs-CZ"/>
        </w:rPr>
        <w:t>Záznam v osvědčení plavidla vnitrozemské plavby</w:t>
      </w:r>
      <w:bookmarkEnd w:id="143"/>
      <w:bookmarkEnd w:id="144"/>
    </w:p>
    <w:p w:rsidR="00DE2419" w:rsidRPr="003B6E11" w:rsidRDefault="00DE2419" w:rsidP="00DE2419">
      <w:pPr>
        <w:pStyle w:val="ESch"/>
        <w:rPr>
          <w:lang w:val="cs-CZ"/>
        </w:rPr>
      </w:pPr>
    </w:p>
    <w:p w:rsidR="00DE2419" w:rsidRPr="003B6E11" w:rsidRDefault="00DE2419" w:rsidP="00DE2419">
      <w:pPr>
        <w:pStyle w:val="ESgauche"/>
        <w:rPr>
          <w:lang w:val="cs-CZ"/>
        </w:rPr>
      </w:pPr>
      <w:r w:rsidRPr="003B6E11">
        <w:rPr>
          <w:lang w:val="cs-CZ"/>
        </w:rPr>
        <w:t xml:space="preserve">V bodě 52 osvědčení plavidla vnitrozemské plavby se uvede identifikační číslo a případně i číslo schválení typu všech spalovacích motorů na palubě plavidla. </w:t>
      </w:r>
    </w:p>
    <w:p w:rsidR="00DE2419" w:rsidRPr="003B6E11" w:rsidRDefault="00DE2419" w:rsidP="00DE2419">
      <w:pPr>
        <w:pStyle w:val="ESch"/>
        <w:rPr>
          <w:lang w:val="cs-CZ"/>
        </w:rPr>
      </w:pPr>
    </w:p>
    <w:p w:rsidR="00DE2419" w:rsidRPr="003B6E11" w:rsidRDefault="00DE2419" w:rsidP="00DE2419">
      <w:pPr>
        <w:pStyle w:val="ESch"/>
        <w:rPr>
          <w:lang w:val="cs-CZ"/>
        </w:rPr>
      </w:pPr>
    </w:p>
    <w:p w:rsidR="00DE2419" w:rsidRPr="003B6E11" w:rsidRDefault="00DE2419" w:rsidP="00DE2419">
      <w:pPr>
        <w:pStyle w:val="ES-Titre3"/>
        <w:spacing w:line="240" w:lineRule="atLeast"/>
        <w:rPr>
          <w:lang w:val="cs-CZ"/>
        </w:rPr>
      </w:pPr>
      <w:bookmarkStart w:id="145" w:name="_Toc491854070"/>
      <w:bookmarkStart w:id="146" w:name="_Toc535416976"/>
      <w:r w:rsidRPr="003B6E11">
        <w:rPr>
          <w:lang w:val="cs-CZ"/>
        </w:rPr>
        <w:t>Článek 9.03</w:t>
      </w:r>
      <w:r w:rsidRPr="003B6E11">
        <w:rPr>
          <w:i/>
          <w:lang w:val="cs-CZ"/>
        </w:rPr>
        <w:br/>
        <w:t>Ustanovení týkající se instalace spalovacích motorů</w:t>
      </w:r>
      <w:bookmarkEnd w:id="145"/>
      <w:bookmarkEnd w:id="146"/>
    </w:p>
    <w:p w:rsidR="00DE2419" w:rsidRPr="003B6E11" w:rsidRDefault="00DE2419" w:rsidP="00DE2419">
      <w:pPr>
        <w:pStyle w:val="ESch"/>
        <w:rPr>
          <w:lang w:val="cs-CZ"/>
        </w:rPr>
      </w:pPr>
    </w:p>
    <w:p w:rsidR="00DE2419" w:rsidRPr="003B6E11" w:rsidRDefault="00DE2419" w:rsidP="00DE2419">
      <w:pPr>
        <w:pStyle w:val="ESgauche"/>
        <w:rPr>
          <w:lang w:val="cs-CZ"/>
        </w:rPr>
      </w:pPr>
      <w:r w:rsidRPr="003B6E11">
        <w:rPr>
          <w:lang w:val="cs-CZ"/>
        </w:rPr>
        <w:t>Při instalaci motorů na plavidlo musí být dodržena omezení stanovená v rámci schválení typu.</w:t>
      </w:r>
    </w:p>
    <w:p w:rsidR="00DE2419" w:rsidRPr="003B6E11" w:rsidRDefault="00DE2419" w:rsidP="00DE2419">
      <w:pPr>
        <w:pStyle w:val="ESch"/>
        <w:ind w:left="0" w:firstLine="0"/>
        <w:rPr>
          <w:szCs w:val="20"/>
          <w:lang w:val="cs-CZ"/>
        </w:rPr>
      </w:pPr>
    </w:p>
    <w:p w:rsidR="00DE2419" w:rsidRPr="003B6E11" w:rsidRDefault="00DE2419" w:rsidP="00DE2419">
      <w:pPr>
        <w:pStyle w:val="ESch"/>
        <w:ind w:left="0" w:firstLine="0"/>
        <w:rPr>
          <w:lang w:val="cs-CZ"/>
        </w:rPr>
      </w:pPr>
    </w:p>
    <w:p w:rsidR="00DE2419" w:rsidRPr="003B6E11" w:rsidRDefault="00DE2419" w:rsidP="00DE2419">
      <w:pPr>
        <w:pStyle w:val="ES-Titre3"/>
        <w:spacing w:line="240" w:lineRule="atLeast"/>
        <w:rPr>
          <w:lang w:val="cs-CZ"/>
        </w:rPr>
      </w:pPr>
      <w:bookmarkStart w:id="147" w:name="_Toc491854071"/>
      <w:bookmarkStart w:id="148" w:name="_Toc535416977"/>
      <w:r w:rsidRPr="003B6E11">
        <w:rPr>
          <w:lang w:val="cs-CZ"/>
        </w:rPr>
        <w:t>Článek 9.04</w:t>
      </w:r>
      <w:r w:rsidRPr="003B6E11">
        <w:rPr>
          <w:i/>
          <w:lang w:val="cs-CZ"/>
        </w:rPr>
        <w:br/>
        <w:t>Pokyny výrobce motoru</w:t>
      </w:r>
      <w:bookmarkEnd w:id="147"/>
      <w:bookmarkEnd w:id="148"/>
    </w:p>
    <w:p w:rsidR="00DE2419" w:rsidRPr="003B6E11" w:rsidRDefault="00DE2419" w:rsidP="00DE2419">
      <w:pPr>
        <w:pStyle w:val="ESch"/>
        <w:rPr>
          <w:lang w:val="cs-CZ"/>
        </w:rPr>
      </w:pPr>
    </w:p>
    <w:p w:rsidR="00DE2419" w:rsidRPr="003B6E11" w:rsidRDefault="00DE2419" w:rsidP="00DE2419">
      <w:pPr>
        <w:pStyle w:val="ESch"/>
        <w:rPr>
          <w:lang w:val="cs-CZ"/>
        </w:rPr>
      </w:pPr>
      <w:r w:rsidRPr="003B6E11">
        <w:rPr>
          <w:lang w:val="cs-CZ"/>
        </w:rPr>
        <w:t>1.</w:t>
      </w:r>
      <w:r w:rsidRPr="003B6E11">
        <w:rPr>
          <w:lang w:val="cs-CZ"/>
        </w:rPr>
        <w:tab/>
        <w:t xml:space="preserve">V pokynech výrobce motoru, které vypracovává výrobce motoru, se specifikují konstrukční díly významné z hlediska výfukových plynů a také seřízení a parametry, ze kterých lze vyvodit trvalé dodržování mezních hodnot emisí výfukových plynů. </w:t>
      </w:r>
    </w:p>
    <w:p w:rsidR="00DE2419" w:rsidRPr="003B6E11" w:rsidRDefault="00DE2419" w:rsidP="00DE2419">
      <w:pPr>
        <w:pStyle w:val="ListParagraph"/>
        <w:spacing w:line="240" w:lineRule="atLeast"/>
        <w:ind w:left="567" w:hanging="567"/>
        <w:rPr>
          <w:rFonts w:ascii="Arial" w:eastAsia="Times New Roman" w:hAnsi="Arial" w:cs="Arial"/>
          <w:sz w:val="20"/>
          <w:szCs w:val="20"/>
          <w:lang w:val="cs-CZ"/>
        </w:rPr>
      </w:pPr>
    </w:p>
    <w:p w:rsidR="00DE2419" w:rsidRPr="003B6E11" w:rsidRDefault="00DE2419" w:rsidP="00DE2419">
      <w:pPr>
        <w:pStyle w:val="ESch"/>
        <w:rPr>
          <w:lang w:val="cs-CZ"/>
        </w:rPr>
      </w:pPr>
      <w:r w:rsidRPr="003B6E11">
        <w:rPr>
          <w:lang w:val="cs-CZ"/>
        </w:rPr>
        <w:t>2.</w:t>
      </w:r>
      <w:r w:rsidRPr="003B6E11">
        <w:rPr>
          <w:lang w:val="cs-CZ"/>
        </w:rPr>
        <w:tab/>
        <w:t>Pokyny obsahují minimálně tyto informace:</w:t>
      </w:r>
    </w:p>
    <w:p w:rsidR="00DE2419" w:rsidRPr="003B6E11" w:rsidRDefault="00DE2419" w:rsidP="00DE2419">
      <w:pPr>
        <w:pStyle w:val="ESlet"/>
        <w:rPr>
          <w:lang w:val="cs-CZ"/>
        </w:rPr>
      </w:pPr>
      <w:r w:rsidRPr="003B6E11">
        <w:rPr>
          <w:lang w:val="cs-CZ"/>
        </w:rPr>
        <w:t>a)</w:t>
      </w:r>
      <w:r w:rsidRPr="003B6E11">
        <w:rPr>
          <w:lang w:val="cs-CZ"/>
        </w:rPr>
        <w:tab/>
        <w:t>typ motoru, případně rodinu motorů s uvedením referenčního výkonu a jmenovitých otáček;</w:t>
      </w:r>
    </w:p>
    <w:p w:rsidR="00DE2419" w:rsidRPr="003B6E11" w:rsidRDefault="00DE2419" w:rsidP="00DE2419">
      <w:pPr>
        <w:pStyle w:val="ESlet"/>
        <w:rPr>
          <w:lang w:val="cs-CZ"/>
        </w:rPr>
      </w:pPr>
      <w:r w:rsidRPr="003B6E11">
        <w:rPr>
          <w:lang w:val="cs-CZ"/>
        </w:rPr>
        <w:t>b)</w:t>
      </w:r>
      <w:r w:rsidRPr="003B6E11">
        <w:rPr>
          <w:lang w:val="cs-CZ"/>
        </w:rPr>
        <w:tab/>
        <w:t>seznam konstrukčních částí a parametrů motoru významných z hlediska emisí výfukových plynů;</w:t>
      </w:r>
    </w:p>
    <w:p w:rsidR="00211AAA" w:rsidRPr="003B6E11" w:rsidRDefault="00211AAA">
      <w:pPr>
        <w:rPr>
          <w:lang w:val="cs-CZ"/>
        </w:rPr>
      </w:pPr>
      <w:r w:rsidRPr="003B6E11">
        <w:rPr>
          <w:lang w:val="cs-CZ"/>
        </w:rPr>
        <w:br w:type="page"/>
      </w:r>
    </w:p>
    <w:p w:rsidR="00211AAA" w:rsidRPr="003B6E11" w:rsidRDefault="00211AAA" w:rsidP="00DE2419">
      <w:pPr>
        <w:pStyle w:val="ESlet"/>
        <w:rPr>
          <w:lang w:val="cs-CZ"/>
        </w:rPr>
      </w:pPr>
    </w:p>
    <w:p w:rsidR="00DE2419" w:rsidRPr="003B6E11" w:rsidRDefault="00DE2419" w:rsidP="00DE2419">
      <w:pPr>
        <w:pStyle w:val="ESlet"/>
        <w:rPr>
          <w:lang w:val="cs-CZ"/>
        </w:rPr>
      </w:pPr>
      <w:r w:rsidRPr="003B6E11">
        <w:rPr>
          <w:lang w:val="cs-CZ"/>
        </w:rPr>
        <w:t>c)</w:t>
      </w:r>
      <w:r w:rsidRPr="003B6E11">
        <w:rPr>
          <w:lang w:val="cs-CZ"/>
        </w:rPr>
        <w:tab/>
        <w:t>jednoznačné údaje potřebné pro identifikaci povolených konstrukčních částí významných z hlediska emisí výfukových plynů (např. čísla částí vyznačená na konstrukčních dílech);</w:t>
      </w:r>
    </w:p>
    <w:p w:rsidR="00DE2419" w:rsidRPr="003B6E11" w:rsidRDefault="00DE2419" w:rsidP="00DE2419">
      <w:pPr>
        <w:pStyle w:val="ESlet"/>
        <w:rPr>
          <w:lang w:val="cs-CZ"/>
        </w:rPr>
      </w:pPr>
      <w:r w:rsidRPr="003B6E11">
        <w:rPr>
          <w:lang w:val="cs-CZ"/>
        </w:rPr>
        <w:t>d)</w:t>
      </w:r>
      <w:r w:rsidRPr="003B6E11">
        <w:rPr>
          <w:lang w:val="cs-CZ"/>
        </w:rPr>
        <w:tab/>
        <w:t>parametry motoru významné z hlediska emisí výfukových plynů, jako je stanovení rozmezí pro časování vstřiku, povolená teplota chladicí vody a maximální přípustný protitlak výfukových plynů.</w:t>
      </w:r>
    </w:p>
    <w:p w:rsidR="00DE2419" w:rsidRPr="003B6E11" w:rsidRDefault="00DE2419" w:rsidP="00DE2419">
      <w:pPr>
        <w:pStyle w:val="ESch"/>
        <w:rPr>
          <w:lang w:val="cs-CZ"/>
        </w:rPr>
      </w:pPr>
    </w:p>
    <w:p w:rsidR="00DE2419" w:rsidRPr="003B6E11" w:rsidRDefault="00DE2419" w:rsidP="00DE2419">
      <w:pPr>
        <w:pStyle w:val="ESch"/>
        <w:rPr>
          <w:lang w:val="cs-CZ"/>
        </w:rPr>
      </w:pPr>
    </w:p>
    <w:p w:rsidR="00DE2419" w:rsidRPr="003B6E11" w:rsidRDefault="00DE2419" w:rsidP="00DE2419">
      <w:pPr>
        <w:pStyle w:val="ES-Titre3"/>
        <w:rPr>
          <w:i/>
          <w:lang w:val="cs-CZ"/>
        </w:rPr>
      </w:pPr>
      <w:bookmarkStart w:id="149" w:name="_Toc491854072"/>
      <w:bookmarkStart w:id="150" w:name="_Toc535416978"/>
      <w:r w:rsidRPr="003B6E11">
        <w:rPr>
          <w:lang w:val="cs-CZ"/>
        </w:rPr>
        <w:t>Článek 9.05</w:t>
      </w:r>
      <w:r w:rsidRPr="003B6E11">
        <w:rPr>
          <w:lang w:val="cs-CZ"/>
        </w:rPr>
        <w:br/>
      </w:r>
      <w:r w:rsidRPr="003B6E11">
        <w:rPr>
          <w:i/>
          <w:lang w:val="cs-CZ"/>
        </w:rPr>
        <w:t>Zkoušky spalovacích motorů</w:t>
      </w:r>
      <w:bookmarkEnd w:id="149"/>
      <w:bookmarkEnd w:id="150"/>
    </w:p>
    <w:p w:rsidR="00DE2419" w:rsidRPr="003B6E11" w:rsidRDefault="00DE2419" w:rsidP="00DE2419">
      <w:pPr>
        <w:pStyle w:val="ESch"/>
        <w:rPr>
          <w:lang w:val="cs-CZ"/>
        </w:rPr>
      </w:pPr>
    </w:p>
    <w:p w:rsidR="00DE2419" w:rsidRPr="003B6E11" w:rsidRDefault="00DE2419" w:rsidP="00DE2419">
      <w:pPr>
        <w:pStyle w:val="ESch"/>
        <w:rPr>
          <w:rFonts w:cs="Arial"/>
          <w:szCs w:val="20"/>
          <w:lang w:val="cs-CZ"/>
        </w:rPr>
      </w:pPr>
      <w:r w:rsidRPr="003B6E11">
        <w:rPr>
          <w:lang w:val="cs-CZ"/>
        </w:rPr>
        <w:t>1.</w:t>
      </w:r>
      <w:r w:rsidRPr="003B6E11">
        <w:rPr>
          <w:lang w:val="cs-CZ"/>
        </w:rPr>
        <w:tab/>
        <w:t>Při montážní zkoušce a v případě provozních zkoušek a zvláštních zkoušek zkontroluje subjekt pověřený prohlídkami stávající stav motoru se zřetelem na konstrukční díly, seřízení a parametry specifikované v pokynech výrobce motoru a v protokolu o parametrech motoru.</w:t>
      </w:r>
    </w:p>
    <w:p w:rsidR="00DE2419" w:rsidRPr="003B6E11" w:rsidRDefault="00DE2419" w:rsidP="00DE2419">
      <w:pPr>
        <w:pStyle w:val="ESch"/>
        <w:rPr>
          <w:lang w:val="cs-CZ"/>
        </w:rPr>
      </w:pPr>
    </w:p>
    <w:p w:rsidR="00DE2419" w:rsidRPr="003B6E11" w:rsidRDefault="00DE2419" w:rsidP="00DE2419">
      <w:pPr>
        <w:pStyle w:val="ESch"/>
        <w:rPr>
          <w:rFonts w:cs="Arial"/>
          <w:szCs w:val="20"/>
          <w:lang w:val="cs-CZ"/>
        </w:rPr>
      </w:pPr>
      <w:r w:rsidRPr="003B6E11">
        <w:rPr>
          <w:lang w:val="cs-CZ"/>
        </w:rPr>
        <w:t>2.</w:t>
      </w:r>
      <w:r w:rsidRPr="003B6E11">
        <w:rPr>
          <w:lang w:val="cs-CZ"/>
        </w:rPr>
        <w:tab/>
        <w:t>Výsledky zkoušek podle odstavce 1 se zaznamenávají do protokolu o parametrech motoru v souladu s přílohou 6.</w:t>
      </w:r>
    </w:p>
    <w:p w:rsidR="00DE2419" w:rsidRPr="003B6E11" w:rsidRDefault="00DE2419" w:rsidP="00DE2419">
      <w:pPr>
        <w:pStyle w:val="ESch"/>
        <w:rPr>
          <w:rFonts w:cs="Arial"/>
          <w:szCs w:val="20"/>
          <w:lang w:val="cs-CZ"/>
        </w:rPr>
      </w:pPr>
    </w:p>
    <w:p w:rsidR="00DE2419" w:rsidRPr="003B6E11" w:rsidRDefault="00DE2419" w:rsidP="00DE2419">
      <w:pPr>
        <w:pStyle w:val="ESch"/>
        <w:rPr>
          <w:lang w:val="cs-CZ"/>
        </w:rPr>
      </w:pPr>
      <w:r w:rsidRPr="003B6E11">
        <w:rPr>
          <w:lang w:val="cs-CZ"/>
        </w:rPr>
        <w:t>3.</w:t>
      </w:r>
      <w:r w:rsidRPr="003B6E11">
        <w:rPr>
          <w:lang w:val="cs-CZ"/>
        </w:rPr>
        <w:tab/>
        <w:t>Jestliže se na základě montážní, provozní a zvláštní zkoušky ukáže, že spalovací motory instalované na palubě co do svých parametrů, konstrukčních částí a nastavitelných charakteristik odpovídají specifikacím stanoveným v dokumentech uvedených v čl. 9.01 odst. 3, lze z toho usoudit, že mezní hodnoty splňují i emise výfukových plynů a znečišťujících částic ze spalovacích motorů.</w:t>
      </w:r>
    </w:p>
    <w:p w:rsidR="00DE2419" w:rsidRPr="003B6E11" w:rsidRDefault="00DE2419" w:rsidP="00DE2419">
      <w:pPr>
        <w:pStyle w:val="ESch"/>
        <w:rPr>
          <w:rFonts w:cs="Arial"/>
          <w:szCs w:val="20"/>
          <w:lang w:val="cs-CZ"/>
        </w:rPr>
      </w:pPr>
    </w:p>
    <w:p w:rsidR="00DE2419" w:rsidRPr="003B6E11" w:rsidRDefault="00DE2419" w:rsidP="00DE2419">
      <w:pPr>
        <w:pStyle w:val="ESchpar"/>
        <w:rPr>
          <w:snapToGrid w:val="0"/>
          <w:color w:val="000000"/>
          <w:lang w:val="cs-CZ"/>
        </w:rPr>
      </w:pPr>
      <w:r w:rsidRPr="003B6E11">
        <w:rPr>
          <w:lang w:val="cs-CZ"/>
        </w:rPr>
        <w:t xml:space="preserve">Pokud subjekt pověřený prohlídkami zjistí, že spalovací motor nesplňuje požadavky stanovené v dokumentech uvedených v čl. 9.01 odst. 3, vznese požadavek, aby </w:t>
      </w:r>
      <w:r w:rsidRPr="003B6E11">
        <w:rPr>
          <w:snapToGrid w:val="0"/>
          <w:color w:val="000000"/>
          <w:lang w:val="cs-CZ"/>
        </w:rPr>
        <w:t>byly učiněny kroky k obnovení shodnosti spalovacího motoru.</w:t>
      </w:r>
    </w:p>
    <w:p w:rsidR="00DE2419" w:rsidRPr="003B6E11" w:rsidRDefault="00DE2419" w:rsidP="00DE2419">
      <w:pPr>
        <w:pStyle w:val="ESch"/>
        <w:rPr>
          <w:lang w:val="cs-CZ"/>
        </w:rPr>
      </w:pPr>
    </w:p>
    <w:p w:rsidR="00DE2419" w:rsidRPr="003B6E11" w:rsidRDefault="00DE2419" w:rsidP="00DE2419">
      <w:pPr>
        <w:pStyle w:val="ESch"/>
        <w:rPr>
          <w:lang w:val="cs-CZ"/>
        </w:rPr>
      </w:pPr>
      <w:r w:rsidRPr="003B6E11">
        <w:rPr>
          <w:lang w:val="cs-CZ"/>
        </w:rPr>
        <w:t>4.</w:t>
      </w:r>
      <w:r w:rsidRPr="003B6E11">
        <w:rPr>
          <w:lang w:val="cs-CZ"/>
        </w:rPr>
        <w:tab/>
        <w:t xml:space="preserve">V případě </w:t>
      </w:r>
      <w:r w:rsidRPr="003B6E11">
        <w:rPr>
          <w:snapToGrid w:val="0"/>
          <w:color w:val="000000"/>
          <w:lang w:val="cs-CZ"/>
        </w:rPr>
        <w:t>spalovacích</w:t>
      </w:r>
      <w:r w:rsidRPr="003B6E11">
        <w:rPr>
          <w:lang w:val="cs-CZ"/>
        </w:rPr>
        <w:t xml:space="preserve"> motorů se systémem následného zpracování výfukových plynů se v rámci montážní, provozní nebo zvláštní zkoušky prověří, zda tento systém řádně funguje. </w:t>
      </w:r>
    </w:p>
    <w:p w:rsidR="00DE2419" w:rsidRPr="003B6E11" w:rsidRDefault="00DE2419" w:rsidP="00DE2419">
      <w:pPr>
        <w:pStyle w:val="ESch"/>
        <w:rPr>
          <w:lang w:val="cs-CZ"/>
        </w:rPr>
      </w:pPr>
    </w:p>
    <w:p w:rsidR="00DE2419" w:rsidRPr="003B6E11" w:rsidRDefault="00DE2419" w:rsidP="00DE2419">
      <w:pPr>
        <w:pStyle w:val="ESch"/>
        <w:rPr>
          <w:lang w:val="cs-CZ"/>
        </w:rPr>
      </w:pPr>
    </w:p>
    <w:p w:rsidR="00DE2419" w:rsidRPr="003B6E11" w:rsidRDefault="00DE2419" w:rsidP="00DE2419">
      <w:pPr>
        <w:pStyle w:val="ES-Titre3"/>
        <w:rPr>
          <w:i/>
          <w:lang w:val="cs-CZ"/>
        </w:rPr>
      </w:pPr>
      <w:bookmarkStart w:id="151" w:name="_Toc491854073"/>
      <w:bookmarkStart w:id="152" w:name="_Toc535416979"/>
      <w:r w:rsidRPr="003B6E11">
        <w:rPr>
          <w:lang w:val="cs-CZ"/>
        </w:rPr>
        <w:t>Článek 9.06</w:t>
      </w:r>
      <w:r w:rsidRPr="003B6E11">
        <w:rPr>
          <w:lang w:val="cs-CZ"/>
        </w:rPr>
        <w:br/>
      </w:r>
      <w:r w:rsidRPr="003B6E11">
        <w:rPr>
          <w:i/>
          <w:lang w:val="cs-CZ"/>
        </w:rPr>
        <w:t>Montážní zkoušky</w:t>
      </w:r>
      <w:bookmarkEnd w:id="151"/>
      <w:bookmarkEnd w:id="152"/>
    </w:p>
    <w:p w:rsidR="00DE2419" w:rsidRPr="003B6E11" w:rsidRDefault="00DE2419" w:rsidP="00DE2419">
      <w:pPr>
        <w:pStyle w:val="ESch"/>
        <w:rPr>
          <w:lang w:val="cs-CZ"/>
        </w:rPr>
      </w:pPr>
    </w:p>
    <w:p w:rsidR="00DE2419" w:rsidRPr="003B6E11" w:rsidRDefault="00DE2419" w:rsidP="00DE2419">
      <w:pPr>
        <w:pStyle w:val="ESch"/>
        <w:rPr>
          <w:lang w:val="cs-CZ"/>
        </w:rPr>
      </w:pPr>
      <w:r w:rsidRPr="003B6E11">
        <w:rPr>
          <w:lang w:val="cs-CZ"/>
        </w:rPr>
        <w:t>1.</w:t>
      </w:r>
      <w:r w:rsidRPr="003B6E11">
        <w:rPr>
          <w:lang w:val="cs-CZ"/>
        </w:rPr>
        <w:tab/>
        <w:t xml:space="preserve">Po instalaci </w:t>
      </w:r>
      <w:r w:rsidRPr="003B6E11">
        <w:rPr>
          <w:snapToGrid w:val="0"/>
          <w:color w:val="000000"/>
          <w:lang w:val="cs-CZ"/>
        </w:rPr>
        <w:t>spalovacího</w:t>
      </w:r>
      <w:r w:rsidRPr="003B6E11">
        <w:rPr>
          <w:lang w:val="cs-CZ"/>
        </w:rPr>
        <w:t xml:space="preserve"> motoru na palubě plavidla, avšak dříve, než je uveden do provozu, se provede montážní zkouška. Výsledkem této zkoušky, která je součástí první prohlídky plavidla nebo zvláštní prohlídky v souvislosti s instalací příslušného </w:t>
      </w:r>
      <w:r w:rsidRPr="003B6E11">
        <w:rPr>
          <w:snapToGrid w:val="0"/>
          <w:color w:val="000000"/>
          <w:lang w:val="cs-CZ"/>
        </w:rPr>
        <w:t>spalovacího</w:t>
      </w:r>
      <w:r w:rsidRPr="003B6E11">
        <w:rPr>
          <w:lang w:val="cs-CZ"/>
        </w:rPr>
        <w:t xml:space="preserve"> motoru, je buď registrace motoru v osvědčení plavidla vnitrozemské plavby vystavovaném poprvé, anebo změna stávajícího osvědčení plavidla vnitrozemské plavby.</w:t>
      </w:r>
    </w:p>
    <w:p w:rsidR="00DE2419" w:rsidRPr="003B6E11" w:rsidRDefault="00DE2419" w:rsidP="00DE2419">
      <w:pPr>
        <w:pStyle w:val="ESch"/>
        <w:rPr>
          <w:lang w:val="cs-CZ"/>
        </w:rPr>
      </w:pPr>
    </w:p>
    <w:p w:rsidR="00DE2419" w:rsidRPr="003B6E11" w:rsidRDefault="00DE2419" w:rsidP="00DE2419">
      <w:pPr>
        <w:pStyle w:val="ESch"/>
        <w:rPr>
          <w:rFonts w:cs="Arial"/>
          <w:szCs w:val="20"/>
          <w:lang w:val="cs-CZ"/>
        </w:rPr>
      </w:pPr>
      <w:r w:rsidRPr="003B6E11">
        <w:rPr>
          <w:lang w:val="cs-CZ"/>
        </w:rPr>
        <w:t>2.</w:t>
      </w:r>
      <w:r w:rsidRPr="003B6E11">
        <w:rPr>
          <w:lang w:val="cs-CZ"/>
        </w:rPr>
        <w:tab/>
        <w:t xml:space="preserve">Při montážní zkoušce musí subjekt pověřený prohlídkami zajistit, aby motor instalovaný na palubě plavidla stále splňoval technické požadavky z hlediska úrovně emisí plynných znečišťujících látek a znečišťujících částic, a to i poté, co na něm byly od vydání schválení typu provedeny změny nebo úpravy. </w:t>
      </w:r>
    </w:p>
    <w:p w:rsidR="00DE2419" w:rsidRPr="003B6E11" w:rsidRDefault="00DE2419" w:rsidP="00DE2419">
      <w:pPr>
        <w:pStyle w:val="ESch"/>
        <w:rPr>
          <w:lang w:val="cs-CZ"/>
        </w:rPr>
      </w:pPr>
    </w:p>
    <w:p w:rsidR="00211AAA" w:rsidRPr="003B6E11" w:rsidRDefault="00211AAA">
      <w:pPr>
        <w:rPr>
          <w:lang w:val="cs-CZ"/>
        </w:rPr>
      </w:pPr>
      <w:r w:rsidRPr="003B6E11">
        <w:rPr>
          <w:lang w:val="cs-CZ"/>
        </w:rPr>
        <w:br w:type="page"/>
      </w:r>
    </w:p>
    <w:p w:rsidR="00211AAA" w:rsidRPr="003B6E11" w:rsidRDefault="00211AAA" w:rsidP="00DE2419">
      <w:pPr>
        <w:pStyle w:val="ESch"/>
        <w:rPr>
          <w:lang w:val="cs-CZ"/>
        </w:rPr>
      </w:pPr>
    </w:p>
    <w:p w:rsidR="00DE2419" w:rsidRPr="003B6E11" w:rsidRDefault="00DE2419" w:rsidP="00DE2419">
      <w:pPr>
        <w:pStyle w:val="ESch"/>
        <w:rPr>
          <w:lang w:val="cs-CZ"/>
        </w:rPr>
      </w:pPr>
      <w:r w:rsidRPr="003B6E11">
        <w:rPr>
          <w:lang w:val="cs-CZ"/>
        </w:rPr>
        <w:t>3.</w:t>
      </w:r>
      <w:r w:rsidRPr="003B6E11">
        <w:rPr>
          <w:lang w:val="cs-CZ"/>
        </w:rPr>
        <w:tab/>
        <w:t xml:space="preserve">Subjekt pověřený prohlídkami může od montážní zkoušky podle odstavce 1 upustit, je-li </w:t>
      </w:r>
      <w:r w:rsidRPr="003B6E11">
        <w:rPr>
          <w:snapToGrid w:val="0"/>
          <w:color w:val="000000"/>
          <w:lang w:val="cs-CZ"/>
        </w:rPr>
        <w:t>spalovací</w:t>
      </w:r>
      <w:r w:rsidRPr="003B6E11">
        <w:rPr>
          <w:lang w:val="cs-CZ"/>
        </w:rPr>
        <w:t xml:space="preserve"> motor o referenčním výkonu </w:t>
      </w:r>
      <m:oMath>
        <m:sSub>
          <m:sSubPr>
            <m:ctrlPr>
              <w:rPr>
                <w:rFonts w:ascii="Cambria Math" w:hAnsi="Cambria Math" w:cs="Arial"/>
                <w:i/>
                <w:szCs w:val="20"/>
                <w:lang w:val="cs-CZ"/>
              </w:rPr>
            </m:ctrlPr>
          </m:sSubPr>
          <m:e>
            <m:r>
              <w:rPr>
                <w:rFonts w:ascii="Cambria Math" w:hAnsi="Cambria Math" w:cs="Arial"/>
                <w:szCs w:val="20"/>
                <w:lang w:val="cs-CZ"/>
              </w:rPr>
              <m:t>P</m:t>
            </m:r>
          </m:e>
          <m:sub>
            <m:r>
              <w:rPr>
                <w:rFonts w:ascii="Cambria Math" w:hAnsi="Cambria Math" w:cs="Arial"/>
                <w:szCs w:val="20"/>
                <w:lang w:val="cs-CZ"/>
              </w:rPr>
              <m:t>N</m:t>
            </m:r>
          </m:sub>
        </m:sSub>
      </m:oMath>
      <w:r w:rsidRPr="003B6E11">
        <w:rPr>
          <w:lang w:val="cs-CZ"/>
        </w:rPr>
        <w:t xml:space="preserve"> nižším než 130 kW nahrazován spalovacím motorem, na který se v souladu s čl. 9.01 odst. 2 vztahuje stejné schválení typu. Předpokladem je, že výměna motoru musí být subjektu pověřenému prohlídkami oznámena a musí mu být předložena kopii dokumentu o schválení typu a přesné identifikační číslo nově instalovaného motoru. Subjekt pověřený prohlídkami provede příslušné změny v bodě 52 osvědčení plavidla vnitrozemské plavby.</w:t>
      </w:r>
    </w:p>
    <w:p w:rsidR="00DE2419" w:rsidRPr="003B6E11" w:rsidRDefault="00DE2419" w:rsidP="00DE2419">
      <w:pPr>
        <w:pStyle w:val="ESch"/>
        <w:rPr>
          <w:noProof/>
          <w:lang w:val="cs-CZ"/>
        </w:rPr>
      </w:pPr>
    </w:p>
    <w:p w:rsidR="00DE2419" w:rsidRPr="003B6E11" w:rsidRDefault="00DE2419" w:rsidP="00DE2419">
      <w:pPr>
        <w:pStyle w:val="ESlet"/>
        <w:spacing w:before="0"/>
        <w:ind w:left="567" w:hanging="567"/>
        <w:rPr>
          <w:noProof/>
          <w:lang w:val="cs-CZ"/>
        </w:rPr>
      </w:pPr>
    </w:p>
    <w:p w:rsidR="00DE2419" w:rsidRPr="003B6E11" w:rsidRDefault="00DE2419" w:rsidP="00DE2419">
      <w:pPr>
        <w:pStyle w:val="ES-Titre3"/>
        <w:rPr>
          <w:i/>
          <w:lang w:val="cs-CZ"/>
        </w:rPr>
      </w:pPr>
      <w:bookmarkStart w:id="153" w:name="_Toc491854074"/>
      <w:bookmarkStart w:id="154" w:name="_Toc535416980"/>
      <w:r w:rsidRPr="003B6E11">
        <w:rPr>
          <w:lang w:val="cs-CZ"/>
        </w:rPr>
        <w:t>Článek 9.07</w:t>
      </w:r>
      <w:r w:rsidRPr="003B6E11">
        <w:rPr>
          <w:lang w:val="cs-CZ"/>
        </w:rPr>
        <w:br/>
      </w:r>
      <w:r w:rsidRPr="003B6E11">
        <w:rPr>
          <w:i/>
          <w:lang w:val="cs-CZ"/>
        </w:rPr>
        <w:t>Provozní zkoušky</w:t>
      </w:r>
      <w:bookmarkEnd w:id="153"/>
      <w:bookmarkEnd w:id="154"/>
    </w:p>
    <w:p w:rsidR="00DE2419" w:rsidRPr="003B6E11" w:rsidRDefault="00DE2419" w:rsidP="00DE2419">
      <w:pPr>
        <w:pStyle w:val="ESch"/>
        <w:rPr>
          <w:lang w:val="cs-CZ"/>
        </w:rPr>
      </w:pPr>
    </w:p>
    <w:p w:rsidR="00DE2419" w:rsidRPr="003B6E11" w:rsidRDefault="00DE2419" w:rsidP="00DE2419">
      <w:pPr>
        <w:pStyle w:val="ESch"/>
        <w:rPr>
          <w:szCs w:val="20"/>
          <w:lang w:val="cs-CZ"/>
        </w:rPr>
      </w:pPr>
      <w:r w:rsidRPr="003B6E11">
        <w:rPr>
          <w:lang w:val="cs-CZ"/>
        </w:rPr>
        <w:t>1.</w:t>
      </w:r>
      <w:r w:rsidRPr="003B6E11">
        <w:rPr>
          <w:lang w:val="cs-CZ"/>
        </w:rPr>
        <w:tab/>
        <w:t xml:space="preserve">Při provozní zkoušce musí subjekt pověřený prohlídkami zajistit, aby motor instalovaný na palubě plavidla stále splňoval technické požadavky z hlediska úrovně emisí plynných znečišťujících látek a znečišťujících částic, a to i poté, co na něm byly od provozní zkoušky provedeny změny nebo úpravy. </w:t>
      </w:r>
    </w:p>
    <w:p w:rsidR="00DE2419" w:rsidRPr="003B6E11" w:rsidRDefault="00DE2419" w:rsidP="00DE2419">
      <w:pPr>
        <w:pStyle w:val="ESch"/>
        <w:rPr>
          <w:szCs w:val="20"/>
          <w:lang w:val="cs-CZ"/>
        </w:rPr>
      </w:pPr>
    </w:p>
    <w:p w:rsidR="00DE2419" w:rsidRPr="003B6E11" w:rsidRDefault="00DE2419" w:rsidP="00DE2419">
      <w:pPr>
        <w:pStyle w:val="ESch"/>
        <w:rPr>
          <w:szCs w:val="20"/>
          <w:lang w:val="cs-CZ"/>
        </w:rPr>
      </w:pPr>
      <w:r w:rsidRPr="003B6E11">
        <w:rPr>
          <w:lang w:val="cs-CZ"/>
        </w:rPr>
        <w:t>2.</w:t>
      </w:r>
      <w:r w:rsidRPr="003B6E11">
        <w:rPr>
          <w:lang w:val="cs-CZ"/>
        </w:rPr>
        <w:tab/>
        <w:t>Provozní zkoušky spalovacích motorů se provádějí v rámci pravidelné prohlídky plavidla.</w:t>
      </w:r>
    </w:p>
    <w:p w:rsidR="00DE2419" w:rsidRPr="003B6E11" w:rsidRDefault="00DE2419" w:rsidP="00DE2419">
      <w:pPr>
        <w:pStyle w:val="ESch"/>
        <w:rPr>
          <w:szCs w:val="20"/>
          <w:lang w:val="cs-CZ"/>
        </w:rPr>
      </w:pPr>
    </w:p>
    <w:p w:rsidR="00DE2419" w:rsidRPr="003B6E11" w:rsidRDefault="00DE2419" w:rsidP="00DE2419">
      <w:pPr>
        <w:pStyle w:val="ESch"/>
        <w:rPr>
          <w:szCs w:val="20"/>
          <w:lang w:val="cs-CZ"/>
        </w:rPr>
      </w:pPr>
    </w:p>
    <w:p w:rsidR="00DE2419" w:rsidRPr="003B6E11" w:rsidRDefault="00DE2419" w:rsidP="00DE2419">
      <w:pPr>
        <w:pStyle w:val="ES-Titre3"/>
        <w:rPr>
          <w:i/>
          <w:lang w:val="cs-CZ"/>
        </w:rPr>
      </w:pPr>
      <w:bookmarkStart w:id="155" w:name="_Toc491854075"/>
      <w:bookmarkStart w:id="156" w:name="_Toc535416981"/>
      <w:r w:rsidRPr="003B6E11">
        <w:rPr>
          <w:lang w:val="cs-CZ"/>
        </w:rPr>
        <w:t>Článek 9.08</w:t>
      </w:r>
      <w:r w:rsidRPr="003B6E11">
        <w:rPr>
          <w:lang w:val="cs-CZ"/>
        </w:rPr>
        <w:br/>
      </w:r>
      <w:r w:rsidRPr="003B6E11">
        <w:rPr>
          <w:i/>
          <w:lang w:val="cs-CZ"/>
        </w:rPr>
        <w:t>Zvláštní zkoušky</w:t>
      </w:r>
      <w:bookmarkEnd w:id="155"/>
      <w:bookmarkEnd w:id="156"/>
    </w:p>
    <w:p w:rsidR="00DE2419" w:rsidRPr="003B6E11" w:rsidRDefault="00DE2419" w:rsidP="00DE2419">
      <w:pPr>
        <w:pStyle w:val="ESch"/>
        <w:rPr>
          <w:lang w:val="cs-CZ"/>
        </w:rPr>
      </w:pPr>
    </w:p>
    <w:p w:rsidR="00DE2419" w:rsidRPr="003B6E11" w:rsidRDefault="00DE2419" w:rsidP="00DE2419">
      <w:pPr>
        <w:pStyle w:val="ESch"/>
        <w:rPr>
          <w:szCs w:val="20"/>
          <w:lang w:val="cs-CZ"/>
        </w:rPr>
      </w:pPr>
      <w:r w:rsidRPr="003B6E11">
        <w:rPr>
          <w:lang w:val="cs-CZ"/>
        </w:rPr>
        <w:t>1.</w:t>
      </w:r>
      <w:r w:rsidRPr="003B6E11">
        <w:rPr>
          <w:lang w:val="cs-CZ"/>
        </w:rPr>
        <w:tab/>
        <w:t xml:space="preserve">Při zvláštní zkoušce musí subjekt pověřený prohlídkami zajistit, aby motor instalovaný na palubě plavidla po každé významné provedené změně stále splňoval technické požadavky z hlediska úrovně emisí plynných znečišťujících látek a znečišťujících částic. </w:t>
      </w:r>
    </w:p>
    <w:p w:rsidR="00DE2419" w:rsidRPr="003B6E11" w:rsidRDefault="00DE2419" w:rsidP="00DE2419">
      <w:pPr>
        <w:pStyle w:val="ESch"/>
        <w:rPr>
          <w:lang w:val="cs-CZ"/>
        </w:rPr>
      </w:pPr>
    </w:p>
    <w:p w:rsidR="00DE2419" w:rsidRPr="003B6E11" w:rsidRDefault="00DE2419" w:rsidP="00DE2419">
      <w:pPr>
        <w:pStyle w:val="ESch"/>
        <w:rPr>
          <w:lang w:val="cs-CZ"/>
        </w:rPr>
      </w:pPr>
      <w:r w:rsidRPr="003B6E11">
        <w:rPr>
          <w:lang w:val="cs-CZ"/>
        </w:rPr>
        <w:t>2.</w:t>
      </w:r>
      <w:r w:rsidRPr="003B6E11">
        <w:rPr>
          <w:lang w:val="cs-CZ"/>
        </w:rPr>
        <w:tab/>
        <w:t>Zvláštní zkouška musí být bezpodmínečně provedena po každé významné změně provedené na motoru, která může mít vliv na emise plynných znečišťujících látek a znečišťujících částic ze spalovacího motoru.</w:t>
      </w:r>
    </w:p>
    <w:p w:rsidR="00DE2419" w:rsidRPr="003B6E11" w:rsidRDefault="00DE2419" w:rsidP="00DE2419">
      <w:pPr>
        <w:rPr>
          <w:rFonts w:cs="Arial"/>
          <w:szCs w:val="20"/>
          <w:lang w:val="cs-CZ"/>
        </w:rPr>
      </w:pPr>
    </w:p>
    <w:p w:rsidR="00DE2419" w:rsidRPr="003B6E11" w:rsidRDefault="00DE2419" w:rsidP="00DE2419">
      <w:pPr>
        <w:pStyle w:val="ESch"/>
        <w:rPr>
          <w:lang w:val="cs-CZ"/>
        </w:rPr>
      </w:pPr>
    </w:p>
    <w:p w:rsidR="00DE2419" w:rsidRPr="003B6E11" w:rsidRDefault="00DE2419" w:rsidP="00DE2419">
      <w:pPr>
        <w:pStyle w:val="ES-Titre3"/>
        <w:rPr>
          <w:i/>
          <w:lang w:val="cs-CZ"/>
        </w:rPr>
      </w:pPr>
      <w:bookmarkStart w:id="157" w:name="_Toc491854076"/>
      <w:bookmarkStart w:id="158" w:name="_Toc535416982"/>
      <w:r w:rsidRPr="003B6E11">
        <w:rPr>
          <w:lang w:val="cs-CZ"/>
        </w:rPr>
        <w:t>Článek 9.09</w:t>
      </w:r>
      <w:r w:rsidRPr="003B6E11">
        <w:rPr>
          <w:lang w:val="cs-CZ"/>
        </w:rPr>
        <w:br/>
      </w:r>
      <w:r w:rsidRPr="003B6E11">
        <w:rPr>
          <w:i/>
          <w:lang w:val="cs-CZ"/>
        </w:rPr>
        <w:t>Zvláštní požadavky týkající se systémů následného zpracování výfukových plynů</w:t>
      </w:r>
      <w:bookmarkEnd w:id="157"/>
      <w:bookmarkEnd w:id="158"/>
    </w:p>
    <w:p w:rsidR="00DE2419" w:rsidRPr="003B6E11" w:rsidRDefault="00DE2419" w:rsidP="00DE2419">
      <w:pPr>
        <w:pStyle w:val="ESch"/>
        <w:rPr>
          <w:lang w:val="cs-CZ"/>
        </w:rPr>
      </w:pPr>
    </w:p>
    <w:p w:rsidR="00DE2419" w:rsidRPr="003B6E11" w:rsidRDefault="00DE2419" w:rsidP="00DE2419">
      <w:pPr>
        <w:pStyle w:val="ESch"/>
        <w:rPr>
          <w:rFonts w:cs="Arial"/>
          <w:szCs w:val="20"/>
          <w:lang w:val="cs-CZ"/>
        </w:rPr>
      </w:pPr>
      <w:r w:rsidRPr="003B6E11">
        <w:rPr>
          <w:lang w:val="cs-CZ"/>
        </w:rPr>
        <w:t>1.</w:t>
      </w:r>
      <w:r w:rsidRPr="003B6E11">
        <w:rPr>
          <w:lang w:val="cs-CZ"/>
        </w:rPr>
        <w:tab/>
        <w:t xml:space="preserve">Systémy následného zpracování výfukových plynů nesmí ohrožovat bezpečný provoz plavidla, včetně pohonného systému a napájecího zdroje, ani zablokovat výfukový systém. </w:t>
      </w:r>
    </w:p>
    <w:p w:rsidR="00DE2419" w:rsidRPr="003B6E11" w:rsidRDefault="00DE2419" w:rsidP="00DE2419">
      <w:pPr>
        <w:pStyle w:val="ESch"/>
        <w:rPr>
          <w:rFonts w:cs="Arial"/>
          <w:szCs w:val="20"/>
          <w:lang w:val="cs-CZ"/>
        </w:rPr>
      </w:pPr>
    </w:p>
    <w:p w:rsidR="00DE2419" w:rsidRPr="003B6E11" w:rsidRDefault="00DE2419" w:rsidP="00DE2419">
      <w:pPr>
        <w:pStyle w:val="ESch"/>
        <w:rPr>
          <w:rFonts w:ascii="ArialMT" w:hAnsi="ArialMT" w:cs="ArialMT"/>
          <w:szCs w:val="20"/>
          <w:lang w:val="cs-CZ"/>
        </w:rPr>
      </w:pPr>
      <w:r w:rsidRPr="003B6E11">
        <w:rPr>
          <w:rFonts w:ascii="ArialMT" w:hAnsi="ArialMT"/>
          <w:lang w:val="cs-CZ"/>
        </w:rPr>
        <w:t>2.</w:t>
      </w:r>
      <w:r w:rsidRPr="003B6E11">
        <w:rPr>
          <w:lang w:val="cs-CZ"/>
        </w:rPr>
        <w:tab/>
      </w:r>
      <w:r w:rsidRPr="003B6E11">
        <w:rPr>
          <w:rFonts w:ascii="ArialMT" w:hAnsi="ArialMT"/>
          <w:lang w:val="cs-CZ"/>
        </w:rPr>
        <w:t>Je-li systém následného zpracování výfukových plynů v případě spalovacích motorů, jež jsou hlavním pohonným zdrojem plavidla, vybaven obtokovým zařízením, musí obtokové zařízení splňovat tyto podmínky:</w:t>
      </w:r>
    </w:p>
    <w:p w:rsidR="00DE2419" w:rsidRPr="003B6E11" w:rsidRDefault="00DE2419" w:rsidP="00DE2419">
      <w:pPr>
        <w:pStyle w:val="ESlet"/>
        <w:rPr>
          <w:lang w:val="cs-CZ"/>
        </w:rPr>
      </w:pPr>
      <w:r w:rsidRPr="003B6E11">
        <w:rPr>
          <w:lang w:val="cs-CZ"/>
        </w:rPr>
        <w:t>a)</w:t>
      </w:r>
      <w:r w:rsidRPr="003B6E11">
        <w:rPr>
          <w:lang w:val="cs-CZ"/>
        </w:rPr>
        <w:tab/>
        <w:t>V případě poruchy systému následného zpracování výfukových plynů musí aktivace obtokového zařízení umožňovat, aby plavidlo pokračovalo v plavbě pomocí vlastního pohonu.</w:t>
      </w:r>
    </w:p>
    <w:p w:rsidR="00DE2419" w:rsidRPr="003B6E11" w:rsidRDefault="00DE2419" w:rsidP="00DE2419">
      <w:pPr>
        <w:pStyle w:val="ESlet"/>
        <w:rPr>
          <w:lang w:val="cs-CZ"/>
        </w:rPr>
      </w:pPr>
      <w:r w:rsidRPr="003B6E11">
        <w:rPr>
          <w:lang w:val="cs-CZ"/>
        </w:rPr>
        <w:t>b)</w:t>
      </w:r>
      <w:r w:rsidRPr="003B6E11">
        <w:rPr>
          <w:lang w:val="cs-CZ"/>
        </w:rPr>
        <w:tab/>
        <w:t>V případě aktivování obtokového zařízení musí jeho řídicí systém spustit v kormidelně akustický a optický poplašný signál.</w:t>
      </w:r>
    </w:p>
    <w:p w:rsidR="00DE2419" w:rsidRPr="003B6E11" w:rsidRDefault="00DE2419" w:rsidP="00DE2419">
      <w:pPr>
        <w:pStyle w:val="ESlet"/>
        <w:rPr>
          <w:rFonts w:cs="Arial"/>
          <w:lang w:val="cs-CZ"/>
        </w:rPr>
      </w:pPr>
      <w:r w:rsidRPr="003B6E11">
        <w:rPr>
          <w:lang w:val="cs-CZ"/>
        </w:rPr>
        <w:t>c)</w:t>
      </w:r>
      <w:r w:rsidRPr="003B6E11">
        <w:rPr>
          <w:lang w:val="cs-CZ"/>
        </w:rPr>
        <w:tab/>
        <w:t>Řídicí systém obtokového zařízení musí v energeticky nezávislé počítačové paměti zaznamenávat veškeré události týkající se provozu motoru za použití obtokového zařízení. Tyto informace musí být snadno dostupné pro příslušné orgány.</w:t>
      </w:r>
    </w:p>
    <w:p w:rsidR="00DE2419" w:rsidRPr="003B6E11" w:rsidRDefault="00DE2419" w:rsidP="00DE2419">
      <w:pPr>
        <w:pStyle w:val="ESch"/>
        <w:rPr>
          <w:lang w:val="cs-CZ"/>
        </w:rPr>
      </w:pPr>
    </w:p>
    <w:p w:rsidR="00211AAA" w:rsidRPr="003B6E11" w:rsidRDefault="00211AAA">
      <w:pPr>
        <w:rPr>
          <w:lang w:val="cs-CZ"/>
        </w:rPr>
      </w:pPr>
      <w:r w:rsidRPr="003B6E11">
        <w:rPr>
          <w:lang w:val="cs-CZ"/>
        </w:rPr>
        <w:br w:type="page"/>
      </w:r>
    </w:p>
    <w:p w:rsidR="00211AAA" w:rsidRPr="003B6E11" w:rsidRDefault="00211AAA" w:rsidP="00DE2419">
      <w:pPr>
        <w:pStyle w:val="ESch"/>
        <w:rPr>
          <w:lang w:val="cs-CZ"/>
        </w:rPr>
      </w:pPr>
    </w:p>
    <w:p w:rsidR="00DE2419" w:rsidRPr="003B6E11" w:rsidRDefault="00DE2419" w:rsidP="00DE2419">
      <w:pPr>
        <w:pStyle w:val="ESch"/>
        <w:rPr>
          <w:lang w:val="cs-CZ"/>
        </w:rPr>
      </w:pPr>
      <w:r w:rsidRPr="003B6E11">
        <w:rPr>
          <w:lang w:val="cs-CZ"/>
        </w:rPr>
        <w:t>3.</w:t>
      </w:r>
      <w:r w:rsidRPr="003B6E11">
        <w:rPr>
          <w:lang w:val="cs-CZ"/>
        </w:rPr>
        <w:tab/>
        <w:t>Pokud je instalován diagnostický systém pro regulaci emisí v souladu s čl. 25 odst. 3 písm. f) nařízení (EU) 2016/1628, musí požadované poplašné systémy v případě chybné funkce spustit v kormidelně akustický a optický poplašný signál.</w:t>
      </w:r>
    </w:p>
    <w:p w:rsidR="00DE2419" w:rsidRPr="003B6E11" w:rsidRDefault="00DE2419" w:rsidP="00DE2419">
      <w:pPr>
        <w:pStyle w:val="ESch"/>
        <w:rPr>
          <w:lang w:val="cs-CZ"/>
        </w:rPr>
      </w:pPr>
    </w:p>
    <w:p w:rsidR="00DE2419" w:rsidRPr="003B6E11" w:rsidRDefault="00DE2419" w:rsidP="00DE2419">
      <w:pPr>
        <w:pStyle w:val="ESch"/>
        <w:rPr>
          <w:lang w:val="cs-CZ"/>
        </w:rPr>
      </w:pPr>
      <w:r w:rsidRPr="003B6E11">
        <w:rPr>
          <w:lang w:val="cs-CZ"/>
        </w:rPr>
        <w:t>4.</w:t>
      </w:r>
      <w:r w:rsidRPr="003B6E11">
        <w:rPr>
          <w:lang w:val="cs-CZ"/>
        </w:rPr>
        <w:tab/>
        <w:t xml:space="preserve">V případě, že systém následného zpracování výfukových plynů používá ke snížení emisí činidlo, musí požadované poplašné systémy upozornit posádku, že je potřeba doplnit nádrž s činidlem, než se vyprázdní, nebo že je třeba činidlo vyměnit, jestliže nedosahuje požadované koncentrace. </w:t>
      </w:r>
    </w:p>
    <w:p w:rsidR="00DE2419" w:rsidRPr="003B6E11" w:rsidRDefault="00DE2419" w:rsidP="00DE2419">
      <w:pPr>
        <w:pStyle w:val="ESch"/>
        <w:rPr>
          <w:lang w:val="cs-CZ"/>
        </w:rPr>
      </w:pPr>
    </w:p>
    <w:p w:rsidR="00DE2419" w:rsidRPr="003B6E11" w:rsidRDefault="00DE2419" w:rsidP="00DE2419">
      <w:pPr>
        <w:pStyle w:val="ESchpar"/>
        <w:rPr>
          <w:lang w:val="cs-CZ"/>
        </w:rPr>
      </w:pPr>
      <w:r w:rsidRPr="003B6E11">
        <w:rPr>
          <w:lang w:val="cs-CZ"/>
        </w:rPr>
        <w:t>V případě, že diagnostický systém pro regulaci emisí nainstalovaný v souladu s čl. 25 odst. 3 písm. f) nařízení (EU) 2016/1628 může aktivovat snížení výkonu spalovacího motoru, musí být splněny tyto požadavky:</w:t>
      </w:r>
    </w:p>
    <w:p w:rsidR="00DE2419" w:rsidRPr="003B6E11" w:rsidRDefault="00DE2419" w:rsidP="00DE2419">
      <w:pPr>
        <w:spacing w:before="60" w:line="240" w:lineRule="atLeast"/>
        <w:ind w:left="993" w:hanging="426"/>
        <w:rPr>
          <w:rFonts w:ascii="ArialMT" w:hAnsi="ArialMT" w:cs="ArialMT"/>
          <w:szCs w:val="20"/>
          <w:lang w:val="cs-CZ"/>
        </w:rPr>
      </w:pPr>
      <w:r w:rsidRPr="003B6E11">
        <w:rPr>
          <w:rFonts w:ascii="ArialMT" w:hAnsi="ArialMT"/>
          <w:lang w:val="cs-CZ"/>
        </w:rPr>
        <w:t>a)</w:t>
      </w:r>
      <w:r w:rsidRPr="003B6E11">
        <w:rPr>
          <w:lang w:val="cs-CZ"/>
        </w:rPr>
        <w:tab/>
      </w:r>
      <w:r w:rsidRPr="003B6E11">
        <w:rPr>
          <w:rFonts w:ascii="ArialMT" w:hAnsi="ArialMT"/>
          <w:lang w:val="cs-CZ"/>
        </w:rPr>
        <w:t>Aktivace snížení výkonu musí umožňovat, aby plavidlo pokračovalo v plavbě pomocí vlastního pohonu.</w:t>
      </w:r>
    </w:p>
    <w:p w:rsidR="00DE2419" w:rsidRPr="003B6E11" w:rsidRDefault="00DE2419" w:rsidP="00DE2419">
      <w:pPr>
        <w:spacing w:before="60" w:line="240" w:lineRule="atLeast"/>
        <w:ind w:left="993" w:hanging="426"/>
        <w:rPr>
          <w:rFonts w:ascii="ArialMT" w:hAnsi="ArialMT" w:cs="ArialMT"/>
          <w:szCs w:val="20"/>
          <w:lang w:val="cs-CZ"/>
        </w:rPr>
      </w:pPr>
      <w:r w:rsidRPr="003B6E11">
        <w:rPr>
          <w:rFonts w:ascii="ArialMT" w:hAnsi="ArialMT"/>
          <w:lang w:val="cs-CZ"/>
        </w:rPr>
        <w:t>b)</w:t>
      </w:r>
      <w:r w:rsidRPr="003B6E11">
        <w:rPr>
          <w:lang w:val="cs-CZ"/>
        </w:rPr>
        <w:tab/>
      </w:r>
      <w:r w:rsidRPr="003B6E11">
        <w:rPr>
          <w:rFonts w:ascii="ArialMT" w:hAnsi="ArialMT"/>
          <w:lang w:val="cs-CZ"/>
        </w:rPr>
        <w:t>V případě aktivace snížení výkonu musí systém pro regulaci emisí spustit v kormidelně akustický a optický poplašný signál.</w:t>
      </w:r>
    </w:p>
    <w:p w:rsidR="00DE2419" w:rsidRPr="003B6E11" w:rsidRDefault="00DE2419" w:rsidP="00DE2419">
      <w:pPr>
        <w:pStyle w:val="ESch"/>
        <w:rPr>
          <w:lang w:val="cs-CZ"/>
        </w:rPr>
      </w:pPr>
    </w:p>
    <w:p w:rsidR="00DE2419" w:rsidRPr="003B6E11" w:rsidRDefault="00DE2419" w:rsidP="00DE2419">
      <w:pPr>
        <w:pStyle w:val="ESch"/>
        <w:rPr>
          <w:rFonts w:ascii="ArialMT" w:hAnsi="ArialMT" w:cs="ArialMT"/>
          <w:lang w:val="cs-CZ"/>
        </w:rPr>
      </w:pPr>
      <w:r w:rsidRPr="003B6E11">
        <w:rPr>
          <w:rFonts w:ascii="ArialMT" w:hAnsi="ArialMT"/>
          <w:lang w:val="cs-CZ"/>
        </w:rPr>
        <w:t>5.</w:t>
      </w:r>
      <w:r w:rsidRPr="003B6E11">
        <w:rPr>
          <w:lang w:val="cs-CZ"/>
        </w:rPr>
        <w:tab/>
      </w:r>
      <w:r w:rsidRPr="003B6E11">
        <w:rPr>
          <w:rFonts w:ascii="ArialMT" w:hAnsi="ArialMT"/>
          <w:lang w:val="cs-CZ"/>
        </w:rPr>
        <w:t xml:space="preserve">Požadavek odstavce 1 se považuje za splněný, pokud je loď vybavena </w:t>
      </w:r>
    </w:p>
    <w:p w:rsidR="00DE2419" w:rsidRPr="003B6E11" w:rsidRDefault="00DE2419" w:rsidP="00DE2419">
      <w:pPr>
        <w:pStyle w:val="ESlet"/>
        <w:rPr>
          <w:lang w:val="cs-CZ"/>
        </w:rPr>
      </w:pPr>
      <w:r w:rsidRPr="003B6E11">
        <w:rPr>
          <w:lang w:val="cs-CZ"/>
        </w:rPr>
        <w:t>a)</w:t>
      </w:r>
      <w:r w:rsidRPr="003B6E11">
        <w:rPr>
          <w:lang w:val="cs-CZ"/>
        </w:rPr>
        <w:tab/>
        <w:t>druhým nezávislým pohonným systémem (i v případě, že druhý systém také zahrnuje systém následného zpracování výfukových plynů), který umožňuje, aby plavidlo pokračovalo v plavbě pomocí vlastního pohonu, nebo</w:t>
      </w:r>
    </w:p>
    <w:p w:rsidR="00DE2419" w:rsidRPr="003B6E11" w:rsidRDefault="00DE2419" w:rsidP="00DE2419">
      <w:pPr>
        <w:pStyle w:val="ESlet"/>
        <w:rPr>
          <w:lang w:val="cs-CZ"/>
        </w:rPr>
      </w:pPr>
      <w:r w:rsidRPr="003B6E11">
        <w:rPr>
          <w:lang w:val="cs-CZ"/>
        </w:rPr>
        <w:t>b)</w:t>
      </w:r>
      <w:r w:rsidRPr="003B6E11">
        <w:rPr>
          <w:lang w:val="cs-CZ"/>
        </w:rPr>
        <w:tab/>
        <w:t xml:space="preserve">systémem následného zpracování výfukových plynů s obtokovým zařízením v souladu s odstavcem 2. </w:t>
      </w:r>
    </w:p>
    <w:p w:rsidR="002D2D76" w:rsidRPr="003B6E11" w:rsidRDefault="002D2D76" w:rsidP="002D2D76">
      <w:pPr>
        <w:rPr>
          <w:rFonts w:cs="Arial"/>
          <w:szCs w:val="20"/>
          <w:lang w:val="cs-CZ"/>
        </w:rPr>
      </w:pPr>
    </w:p>
    <w:p w:rsidR="00E9195A" w:rsidRPr="003B6E11" w:rsidRDefault="00E9195A" w:rsidP="00245091">
      <w:pPr>
        <w:rPr>
          <w:lang w:val="cs-CZ"/>
        </w:rPr>
      </w:pPr>
    </w:p>
    <w:p w:rsidR="00ED1CB3" w:rsidRPr="003B6E11" w:rsidRDefault="00ED1CB3" w:rsidP="00245091">
      <w:pPr>
        <w:rPr>
          <w:lang w:val="cs-CZ"/>
        </w:rPr>
      </w:pPr>
    </w:p>
    <w:p w:rsidR="00ED1CB3" w:rsidRPr="003B6E11" w:rsidRDefault="00ED1CB3">
      <w:pPr>
        <w:rPr>
          <w:lang w:val="cs-CZ"/>
        </w:rPr>
      </w:pPr>
      <w:r w:rsidRPr="003B6E11">
        <w:rPr>
          <w:lang w:val="cs-CZ"/>
        </w:rPr>
        <w:br w:type="page"/>
      </w:r>
    </w:p>
    <w:p w:rsidR="00ED1CB3" w:rsidRPr="003B6E11" w:rsidRDefault="00ED1CB3" w:rsidP="00245091">
      <w:pPr>
        <w:rPr>
          <w:lang w:val="cs-CZ"/>
        </w:rPr>
      </w:pPr>
    </w:p>
    <w:p w:rsidR="00ED1CB3" w:rsidRPr="003B6E11" w:rsidRDefault="00ED1CB3" w:rsidP="00245091">
      <w:pPr>
        <w:rPr>
          <w:lang w:val="cs-CZ"/>
        </w:rPr>
      </w:pPr>
    </w:p>
    <w:p w:rsidR="00ED1CB3" w:rsidRPr="003B6E11" w:rsidRDefault="00ED1CB3" w:rsidP="00245091">
      <w:pPr>
        <w:rPr>
          <w:lang w:val="cs-CZ"/>
        </w:rPr>
      </w:pPr>
    </w:p>
    <w:p w:rsidR="00E9195A" w:rsidRPr="003B6E11" w:rsidRDefault="00E9195A" w:rsidP="00245091">
      <w:pPr>
        <w:rPr>
          <w:lang w:val="cs-CZ"/>
        </w:rPr>
      </w:pPr>
    </w:p>
    <w:p w:rsidR="0033095A" w:rsidRPr="003B6E11" w:rsidRDefault="008A12E7" w:rsidP="0033095A">
      <w:pPr>
        <w:pStyle w:val="ES-Titre2"/>
      </w:pPr>
      <w:bookmarkStart w:id="159" w:name="_Toc491854077"/>
      <w:bookmarkStart w:id="160" w:name="_Toc535416983"/>
      <w:r w:rsidRPr="003B6E11">
        <w:t>Kapitola 10</w:t>
      </w:r>
      <w:r w:rsidRPr="003B6E11">
        <w:br/>
        <w:t>Elektrická zařízení a instalace</w:t>
      </w:r>
      <w:bookmarkEnd w:id="159"/>
      <w:bookmarkEnd w:id="160"/>
    </w:p>
    <w:p w:rsidR="0033095A" w:rsidRPr="003B6E11" w:rsidRDefault="0033095A" w:rsidP="00763ADA">
      <w:pPr>
        <w:rPr>
          <w:lang w:val="cs-CZ"/>
        </w:rPr>
      </w:pPr>
    </w:p>
    <w:p w:rsidR="008A12E7" w:rsidRPr="003B6E11" w:rsidRDefault="008A12E7" w:rsidP="008A12E7">
      <w:pPr>
        <w:pStyle w:val="ES-Titre3"/>
        <w:rPr>
          <w:i/>
          <w:noProof/>
          <w:lang w:val="cs-CZ"/>
        </w:rPr>
      </w:pPr>
      <w:bookmarkStart w:id="161" w:name="_Toc491854078"/>
      <w:bookmarkStart w:id="162" w:name="_Toc535416984"/>
      <w:r w:rsidRPr="003B6E11">
        <w:rPr>
          <w:lang w:val="cs-CZ"/>
        </w:rPr>
        <w:t>Článek 10.01</w:t>
      </w:r>
      <w:r w:rsidRPr="003B6E11">
        <w:rPr>
          <w:lang w:val="cs-CZ"/>
        </w:rPr>
        <w:br/>
      </w:r>
      <w:r w:rsidRPr="003B6E11">
        <w:rPr>
          <w:i/>
          <w:noProof/>
          <w:lang w:val="cs-CZ"/>
        </w:rPr>
        <w:t>Obecně</w:t>
      </w:r>
      <w:bookmarkEnd w:id="161"/>
      <w:bookmarkEnd w:id="162"/>
    </w:p>
    <w:p w:rsidR="008A12E7" w:rsidRPr="003B6E11" w:rsidRDefault="008A12E7" w:rsidP="008A12E7">
      <w:pPr>
        <w:rPr>
          <w:rFonts w:cs="Arial"/>
          <w:noProof/>
          <w:szCs w:val="20"/>
          <w:lang w:val="cs-CZ"/>
        </w:rPr>
      </w:pPr>
    </w:p>
    <w:p w:rsidR="001F02E6" w:rsidRPr="003B6E11" w:rsidRDefault="001F02E6" w:rsidP="001F02E6">
      <w:pPr>
        <w:pStyle w:val="ESch"/>
        <w:rPr>
          <w:rFonts w:eastAsia="Calibri"/>
          <w:lang w:val="cs-CZ"/>
        </w:rPr>
      </w:pPr>
      <w:r w:rsidRPr="003B6E11">
        <w:rPr>
          <w:lang w:val="cs-CZ"/>
        </w:rPr>
        <w:t>1.</w:t>
      </w:r>
      <w:r w:rsidRPr="003B6E11">
        <w:rPr>
          <w:lang w:val="cs-CZ"/>
        </w:rPr>
        <w:tab/>
        <w:t>Nejsou-li pro určité části elektrických instalací nebo elektrických zařízení stanoveny žádné zvláštní požadavky, považuje se stupeň bezpečnosti za uspokojivý, pokud byly tyto části instalovány v souladu s platnou evropskou normou nebo v souladu s požadavky uznané klasifikační společnosti.</w:t>
      </w:r>
    </w:p>
    <w:p w:rsidR="001F02E6" w:rsidRPr="003B6E11" w:rsidRDefault="001F02E6" w:rsidP="001F02E6">
      <w:pPr>
        <w:pStyle w:val="ESchpar"/>
        <w:rPr>
          <w:rFonts w:eastAsia="Calibri"/>
          <w:lang w:val="cs-CZ"/>
        </w:rPr>
      </w:pPr>
    </w:p>
    <w:p w:rsidR="001F02E6" w:rsidRPr="003B6E11" w:rsidRDefault="001F02E6" w:rsidP="001F02E6">
      <w:pPr>
        <w:pStyle w:val="ESchpar"/>
        <w:rPr>
          <w:rFonts w:eastAsia="Calibri"/>
          <w:lang w:val="cs-CZ"/>
        </w:rPr>
      </w:pPr>
      <w:r w:rsidRPr="003B6E11">
        <w:rPr>
          <w:lang w:val="cs-CZ"/>
        </w:rPr>
        <w:t>Subjektu pověřenému prohlídkami musí být předloženy příslušné dokumenty.</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2.</w:t>
      </w:r>
      <w:r w:rsidRPr="003B6E11">
        <w:rPr>
          <w:lang w:val="cs-CZ"/>
        </w:rPr>
        <w:tab/>
        <w:t>Na palubě musí být k dispozici tyto dokumenty opatřené razítkem subjektu pověřeného prohlídkami:</w:t>
      </w:r>
    </w:p>
    <w:p w:rsidR="001F02E6" w:rsidRPr="003B6E11" w:rsidRDefault="001F02E6" w:rsidP="001F02E6">
      <w:pPr>
        <w:pStyle w:val="ESlet"/>
        <w:rPr>
          <w:rFonts w:eastAsia="Calibri"/>
          <w:lang w:val="cs-CZ"/>
        </w:rPr>
      </w:pPr>
      <w:r w:rsidRPr="003B6E11">
        <w:rPr>
          <w:lang w:val="cs-CZ"/>
        </w:rPr>
        <w:t>a)</w:t>
      </w:r>
      <w:r w:rsidRPr="003B6E11">
        <w:rPr>
          <w:lang w:val="cs-CZ"/>
        </w:rPr>
        <w:tab/>
        <w:t>přehledné plány veškerých elektrických instalací;</w:t>
      </w:r>
    </w:p>
    <w:p w:rsidR="001F02E6" w:rsidRPr="003B6E11" w:rsidRDefault="001F02E6" w:rsidP="001F02E6">
      <w:pPr>
        <w:pStyle w:val="ESlet"/>
        <w:rPr>
          <w:rFonts w:eastAsia="Calibri" w:cs="Arial"/>
          <w:szCs w:val="20"/>
          <w:lang w:val="cs-CZ"/>
        </w:rPr>
      </w:pPr>
      <w:r w:rsidRPr="003B6E11">
        <w:rPr>
          <w:lang w:val="cs-CZ"/>
        </w:rPr>
        <w:t>b)</w:t>
      </w:r>
      <w:r w:rsidRPr="003B6E11">
        <w:rPr>
          <w:lang w:val="cs-CZ"/>
        </w:rPr>
        <w:tab/>
        <w:t>plány hlavních rozvaděčů, nouzových rozvaděčů a distribučních rozvaděčů s nejdůležitějšími technickými údaji, jako je např. intenzita jmenovitého proudu pojistek a spínacích zařízení;</w:t>
      </w:r>
    </w:p>
    <w:p w:rsidR="001F02E6" w:rsidRPr="003B6E11" w:rsidRDefault="001F02E6" w:rsidP="001F02E6">
      <w:pPr>
        <w:pStyle w:val="ESlet"/>
        <w:rPr>
          <w:rFonts w:eastAsia="Calibri"/>
          <w:lang w:val="cs-CZ"/>
        </w:rPr>
      </w:pPr>
      <w:r w:rsidRPr="003B6E11">
        <w:rPr>
          <w:lang w:val="cs-CZ"/>
        </w:rPr>
        <w:t>c)</w:t>
      </w:r>
      <w:r w:rsidRPr="003B6E11">
        <w:rPr>
          <w:lang w:val="cs-CZ"/>
        </w:rPr>
        <w:tab/>
        <w:t>údaje o příkonu elektrických zařízení;</w:t>
      </w:r>
    </w:p>
    <w:p w:rsidR="001F02E6" w:rsidRPr="003B6E11" w:rsidRDefault="001F02E6" w:rsidP="001F02E6">
      <w:pPr>
        <w:pStyle w:val="ESlet"/>
        <w:rPr>
          <w:rFonts w:eastAsia="Calibri"/>
          <w:lang w:val="cs-CZ"/>
        </w:rPr>
      </w:pPr>
      <w:r w:rsidRPr="003B6E11">
        <w:rPr>
          <w:lang w:val="cs-CZ"/>
        </w:rPr>
        <w:t>d)</w:t>
      </w:r>
      <w:r w:rsidRPr="003B6E11">
        <w:rPr>
          <w:lang w:val="cs-CZ"/>
        </w:rPr>
        <w:tab/>
        <w:t>druhy kabelů s údaji o průřezu vodičů;</w:t>
      </w:r>
    </w:p>
    <w:p w:rsidR="001F02E6" w:rsidRPr="003B6E11" w:rsidRDefault="001F02E6" w:rsidP="001F02E6">
      <w:pPr>
        <w:pStyle w:val="ESlet"/>
        <w:rPr>
          <w:rFonts w:eastAsia="Calibri"/>
          <w:lang w:val="cs-CZ"/>
        </w:rPr>
      </w:pPr>
      <w:r w:rsidRPr="003B6E11">
        <w:rPr>
          <w:lang w:val="cs-CZ"/>
        </w:rPr>
        <w:t>e)</w:t>
      </w:r>
      <w:r w:rsidRPr="003B6E11">
        <w:rPr>
          <w:lang w:val="cs-CZ"/>
        </w:rPr>
        <w:tab/>
        <w:t>u elektrických pohonných systémů lodí plány rozvaděčů a dokumentace k elektrickému pohonnému motoru;</w:t>
      </w:r>
    </w:p>
    <w:p w:rsidR="001F02E6" w:rsidRPr="003B6E11" w:rsidRDefault="001F02E6" w:rsidP="001F02E6">
      <w:pPr>
        <w:pStyle w:val="ESlet"/>
        <w:rPr>
          <w:rFonts w:eastAsia="Calibri"/>
          <w:lang w:val="cs-CZ"/>
        </w:rPr>
      </w:pPr>
      <w:r w:rsidRPr="003B6E11">
        <w:rPr>
          <w:lang w:val="cs-CZ"/>
        </w:rPr>
        <w:t>f)</w:t>
      </w:r>
      <w:r w:rsidRPr="003B6E11">
        <w:rPr>
          <w:lang w:val="cs-CZ"/>
        </w:rPr>
        <w:tab/>
        <w:t>plány elektronických ovládacích prvků řízení, regulačních, poplašných a bezpečnostních systémů;</w:t>
      </w:r>
    </w:p>
    <w:p w:rsidR="001F02E6" w:rsidRPr="003B6E11" w:rsidRDefault="001F02E6" w:rsidP="001F02E6">
      <w:pPr>
        <w:pStyle w:val="ESlet"/>
        <w:rPr>
          <w:rFonts w:eastAsia="Calibri"/>
          <w:lang w:val="cs-CZ"/>
        </w:rPr>
      </w:pPr>
      <w:r w:rsidRPr="003B6E11">
        <w:rPr>
          <w:lang w:val="cs-CZ"/>
        </w:rPr>
        <w:t>g)</w:t>
      </w:r>
      <w:r w:rsidRPr="003B6E11">
        <w:rPr>
          <w:lang w:val="cs-CZ"/>
        </w:rPr>
        <w:tab/>
        <w:t>plány řídicích obvodů.</w:t>
      </w:r>
    </w:p>
    <w:p w:rsidR="001F02E6" w:rsidRPr="003B6E11" w:rsidRDefault="001F02E6" w:rsidP="001F02E6">
      <w:pPr>
        <w:pStyle w:val="ESchpar"/>
        <w:rPr>
          <w:rFonts w:eastAsia="Calibri"/>
          <w:lang w:val="cs-CZ"/>
        </w:rPr>
      </w:pPr>
    </w:p>
    <w:p w:rsidR="001F02E6" w:rsidRPr="003B6E11" w:rsidRDefault="001F02E6" w:rsidP="001F02E6">
      <w:pPr>
        <w:pStyle w:val="ESchpar"/>
        <w:rPr>
          <w:rFonts w:eastAsia="Calibri"/>
          <w:lang w:val="cs-CZ"/>
        </w:rPr>
      </w:pPr>
      <w:r w:rsidRPr="003B6E11">
        <w:rPr>
          <w:lang w:val="cs-CZ"/>
        </w:rPr>
        <w:t>V případě plavidel bez posádky se nevyžaduje, aby byly tyto dokumenty na palubě, ale musí být vždy k dispozici u vlastníka.</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3.</w:t>
      </w:r>
      <w:r w:rsidRPr="003B6E11">
        <w:rPr>
          <w:lang w:val="cs-CZ"/>
        </w:rPr>
        <w:tab/>
        <w:t>Zařízení a instalace musí být navrženy pro stálý náklon plavidla až do 15° a pro okolní teploty ve vnitřních prostorách od 0 °C do +40 °C a na palubě od –20 °C do +40 °C. Do těchto mezních hodnot musí být plně funkční.</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4.</w:t>
      </w:r>
      <w:r w:rsidRPr="003B6E11">
        <w:rPr>
          <w:lang w:val="cs-CZ"/>
        </w:rPr>
        <w:tab/>
        <w:t>Elektrická zařízení a instalace musí být snadno přístupné a jejich údržba musí být snadná.</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5.</w:t>
      </w:r>
      <w:r w:rsidRPr="003B6E11">
        <w:rPr>
          <w:lang w:val="cs-CZ"/>
        </w:rPr>
        <w:tab/>
        <w:t>Elektrická zařízení a instalace musí být navrženy a instalovány tak, aby vibrace, k nimž na palubě plavidla při běžném provozu dochází, nezpůsobovaly poruchy nebo poškození.</w:t>
      </w:r>
    </w:p>
    <w:p w:rsidR="008A12E7" w:rsidRPr="003B6E11" w:rsidRDefault="008A12E7" w:rsidP="008A12E7">
      <w:pPr>
        <w:rPr>
          <w:rFonts w:cs="Arial"/>
          <w:szCs w:val="20"/>
          <w:lang w:val="cs-CZ"/>
        </w:rPr>
      </w:pPr>
    </w:p>
    <w:p w:rsidR="008A12E7" w:rsidRPr="003B6E11" w:rsidRDefault="008A12E7" w:rsidP="008A12E7">
      <w:pPr>
        <w:rPr>
          <w:rFonts w:cs="Arial"/>
          <w:szCs w:val="20"/>
          <w:lang w:val="cs-CZ"/>
        </w:rPr>
      </w:pPr>
    </w:p>
    <w:p w:rsidR="008A12E7" w:rsidRPr="003B6E11" w:rsidRDefault="008A12E7" w:rsidP="008A12E7">
      <w:pPr>
        <w:pStyle w:val="ES-Titre3"/>
        <w:rPr>
          <w:noProof/>
          <w:lang w:val="cs-CZ"/>
        </w:rPr>
      </w:pPr>
      <w:bookmarkStart w:id="163" w:name="_Toc491854079"/>
      <w:bookmarkStart w:id="164" w:name="_Toc535416985"/>
      <w:r w:rsidRPr="003B6E11">
        <w:rPr>
          <w:lang w:val="cs-CZ"/>
        </w:rPr>
        <w:t>Článek 10.02</w:t>
      </w:r>
      <w:r w:rsidRPr="003B6E11">
        <w:rPr>
          <w:lang w:val="cs-CZ"/>
        </w:rPr>
        <w:br/>
      </w:r>
      <w:r w:rsidRPr="003B6E11">
        <w:rPr>
          <w:i/>
          <w:noProof/>
          <w:lang w:val="cs-CZ"/>
        </w:rPr>
        <w:t>Systémy napájení elektrickou energií</w:t>
      </w:r>
      <w:bookmarkEnd w:id="163"/>
      <w:bookmarkEnd w:id="164"/>
    </w:p>
    <w:p w:rsidR="008A12E7" w:rsidRPr="003B6E11" w:rsidRDefault="008A12E7" w:rsidP="008A12E7">
      <w:pPr>
        <w:rPr>
          <w:rFonts w:cs="Arial"/>
          <w:noProof/>
          <w:szCs w:val="20"/>
          <w:lang w:val="cs-CZ"/>
        </w:rPr>
      </w:pPr>
    </w:p>
    <w:p w:rsidR="001F02E6" w:rsidRPr="003B6E11" w:rsidRDefault="001F02E6" w:rsidP="001F02E6">
      <w:pPr>
        <w:pStyle w:val="ESch"/>
        <w:rPr>
          <w:rFonts w:eastAsia="Calibri"/>
          <w:lang w:val="cs-CZ"/>
        </w:rPr>
      </w:pPr>
      <w:r w:rsidRPr="003B6E11">
        <w:rPr>
          <w:lang w:val="cs-CZ"/>
        </w:rPr>
        <w:t>1.</w:t>
      </w:r>
      <w:r w:rsidRPr="003B6E11">
        <w:rPr>
          <w:lang w:val="cs-CZ"/>
        </w:rPr>
        <w:tab/>
        <w:t>Je-li plavidlo vybaveno elektrickými instalacemi, musí mít tyto instalace nejméně dva zdroje energie, aby v případě výpadku jednoho zdroje energie mohl druhý zdroj napájet elektrická zařízení potřebná pro bezpečnou plavbu po dobu nejméně 30 minut.</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2.</w:t>
      </w:r>
      <w:r w:rsidRPr="003B6E11">
        <w:rPr>
          <w:lang w:val="cs-CZ"/>
        </w:rPr>
        <w:tab/>
        <w:t>Dostatečné dimenzování napájení se prokáže pomocí výpočtu výkonové bilance. Je možné zohlednit vhodný faktor využití.</w:t>
      </w:r>
    </w:p>
    <w:p w:rsidR="001F02E6" w:rsidRPr="003B6E11" w:rsidRDefault="001F02E6" w:rsidP="001F02E6">
      <w:pPr>
        <w:pStyle w:val="ESch"/>
        <w:rPr>
          <w:rFonts w:eastAsia="Calibri"/>
          <w:lang w:val="cs-CZ"/>
        </w:rPr>
      </w:pPr>
    </w:p>
    <w:p w:rsidR="00481591" w:rsidRPr="003B6E11" w:rsidRDefault="001F02E6" w:rsidP="001F02E6">
      <w:pPr>
        <w:pStyle w:val="ESch"/>
        <w:rPr>
          <w:lang w:val="cs-CZ"/>
        </w:rPr>
      </w:pPr>
      <w:r w:rsidRPr="003B6E11">
        <w:rPr>
          <w:lang w:val="cs-CZ"/>
        </w:rPr>
        <w:t>3.</w:t>
      </w:r>
      <w:r w:rsidRPr="003B6E11">
        <w:rPr>
          <w:lang w:val="cs-CZ"/>
        </w:rPr>
        <w:tab/>
        <w:t>Bez ohledu na odstavec 1 se článek 6.04 vztahuje na zdroje energie pro kormidelní zařízení.</w:t>
      </w:r>
    </w:p>
    <w:p w:rsidR="008A12E7" w:rsidRPr="003B6E11" w:rsidRDefault="008A12E7" w:rsidP="001F02E6">
      <w:pPr>
        <w:pStyle w:val="ESch"/>
        <w:rPr>
          <w:rFonts w:eastAsia="Calibri"/>
          <w:lang w:val="cs-CZ"/>
        </w:rPr>
      </w:pPr>
      <w:r w:rsidRPr="003B6E11">
        <w:rPr>
          <w:lang w:val="cs-CZ"/>
        </w:rPr>
        <w:br w:type="page"/>
      </w:r>
    </w:p>
    <w:p w:rsidR="008A12E7" w:rsidRPr="003B6E11" w:rsidRDefault="008A12E7" w:rsidP="008A12E7">
      <w:pPr>
        <w:pStyle w:val="ES-Titre3"/>
        <w:rPr>
          <w:i/>
          <w:lang w:val="cs-CZ"/>
        </w:rPr>
      </w:pPr>
      <w:bookmarkStart w:id="165" w:name="_Toc491854080"/>
      <w:bookmarkStart w:id="166" w:name="_Toc535416986"/>
      <w:r w:rsidRPr="003B6E11">
        <w:rPr>
          <w:lang w:val="cs-CZ"/>
        </w:rPr>
        <w:t>Článek 10.03</w:t>
      </w:r>
      <w:r w:rsidRPr="003B6E11">
        <w:rPr>
          <w:lang w:val="cs-CZ"/>
        </w:rPr>
        <w:br/>
      </w:r>
      <w:r w:rsidRPr="003B6E11">
        <w:rPr>
          <w:i/>
          <w:lang w:val="cs-CZ"/>
        </w:rPr>
        <w:t>Ochrana před přístupem k nebezpečným částem, před proniknutím cizích pevných předmětů, před proniknutím vody</w:t>
      </w:r>
      <w:bookmarkEnd w:id="165"/>
      <w:bookmarkEnd w:id="166"/>
    </w:p>
    <w:p w:rsidR="008A12E7" w:rsidRPr="003B6E11" w:rsidRDefault="008A12E7" w:rsidP="008A12E7">
      <w:pPr>
        <w:rPr>
          <w:rFonts w:cs="Arial"/>
          <w:noProof/>
          <w:szCs w:val="20"/>
          <w:lang w:val="cs-CZ"/>
        </w:rPr>
      </w:pPr>
    </w:p>
    <w:p w:rsidR="001F02E6" w:rsidRPr="003B6E11" w:rsidRDefault="001F02E6" w:rsidP="001F02E6">
      <w:pPr>
        <w:pStyle w:val="ESgauche"/>
        <w:rPr>
          <w:rFonts w:eastAsia="Calibri"/>
          <w:noProof w:val="0"/>
          <w:lang w:val="cs-CZ"/>
        </w:rPr>
      </w:pPr>
      <w:r w:rsidRPr="003B6E11">
        <w:rPr>
          <w:lang w:val="cs-CZ"/>
        </w:rPr>
        <w:t>Druh minimální ochrany u částí trvalé elektrické instalace musí odpovídat údajům uvedeným v této tabulce:</w:t>
      </w:r>
    </w:p>
    <w:p w:rsidR="008A12E7" w:rsidRPr="003B6E11" w:rsidRDefault="008A12E7" w:rsidP="008A12E7">
      <w:pPr>
        <w:rPr>
          <w:rFonts w:cs="Arial"/>
          <w:szCs w:val="20"/>
          <w:lang w:val="cs-CZ"/>
        </w:rPr>
      </w:pPr>
    </w:p>
    <w:tbl>
      <w:tblPr>
        <w:tblW w:w="9356" w:type="dxa"/>
        <w:tblInd w:w="8" w:type="dxa"/>
        <w:tblLayout w:type="fixed"/>
        <w:tblCellMar>
          <w:left w:w="0" w:type="dxa"/>
          <w:right w:w="0" w:type="dxa"/>
        </w:tblCellMar>
        <w:tblLook w:val="0000" w:firstRow="0" w:lastRow="0" w:firstColumn="0" w:lastColumn="0" w:noHBand="0" w:noVBand="0"/>
      </w:tblPr>
      <w:tblGrid>
        <w:gridCol w:w="2835"/>
        <w:gridCol w:w="1080"/>
        <w:gridCol w:w="960"/>
        <w:gridCol w:w="960"/>
        <w:gridCol w:w="1253"/>
        <w:gridCol w:w="1154"/>
        <w:gridCol w:w="1114"/>
      </w:tblGrid>
      <w:tr w:rsidR="001F02E6" w:rsidRPr="003B6E11" w:rsidTr="001F02E6">
        <w:trPr>
          <w:cantSplit/>
        </w:trPr>
        <w:tc>
          <w:tcPr>
            <w:tcW w:w="2835" w:type="dxa"/>
            <w:tcBorders>
              <w:top w:val="single" w:sz="6" w:space="0" w:color="auto"/>
              <w:left w:val="single" w:sz="6" w:space="0" w:color="auto"/>
              <w:right w:val="single" w:sz="6" w:space="0" w:color="auto"/>
            </w:tcBorders>
          </w:tcPr>
          <w:p w:rsidR="001F02E6" w:rsidRPr="003B6E11" w:rsidRDefault="001F02E6" w:rsidP="001F02E6">
            <w:pPr>
              <w:keepNext/>
              <w:keepLines/>
              <w:spacing w:before="60" w:after="60" w:line="240" w:lineRule="atLeast"/>
              <w:jc w:val="center"/>
              <w:rPr>
                <w:rFonts w:eastAsia="Calibri" w:cs="Arial"/>
                <w:sz w:val="18"/>
                <w:szCs w:val="18"/>
                <w:lang w:val="cs-CZ"/>
              </w:rPr>
            </w:pPr>
          </w:p>
        </w:tc>
        <w:tc>
          <w:tcPr>
            <w:tcW w:w="6521" w:type="dxa"/>
            <w:gridSpan w:val="6"/>
            <w:tcBorders>
              <w:top w:val="single" w:sz="6" w:space="0" w:color="auto"/>
              <w:left w:val="nil"/>
              <w:bottom w:val="single" w:sz="6" w:space="0" w:color="auto"/>
              <w:right w:val="single" w:sz="6" w:space="0" w:color="auto"/>
            </w:tcBorders>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Druh minimální ochrany v souladu s evropskou normou EN 60529:2014</w:t>
            </w:r>
          </w:p>
        </w:tc>
      </w:tr>
      <w:tr w:rsidR="001F02E6" w:rsidRPr="003B6E11" w:rsidTr="001F02E6">
        <w:trPr>
          <w:cantSplit/>
          <w:trHeight w:val="668"/>
        </w:trPr>
        <w:tc>
          <w:tcPr>
            <w:tcW w:w="2835" w:type="dxa"/>
            <w:tcBorders>
              <w:left w:val="single" w:sz="6" w:space="0" w:color="auto"/>
              <w:bottom w:val="single" w:sz="12" w:space="0" w:color="auto"/>
              <w:right w:val="single" w:sz="6" w:space="0" w:color="auto"/>
            </w:tcBorders>
          </w:tcPr>
          <w:p w:rsidR="001F02E6" w:rsidRPr="003B6E11" w:rsidRDefault="001F02E6" w:rsidP="001F02E6">
            <w:pPr>
              <w:keepNext/>
              <w:keepLines/>
              <w:spacing w:before="60" w:after="60" w:line="240" w:lineRule="atLeast"/>
              <w:jc w:val="center"/>
              <w:rPr>
                <w:rFonts w:eastAsia="Calibri" w:cs="Arial"/>
                <w:sz w:val="18"/>
                <w:szCs w:val="18"/>
                <w:lang w:val="cs-CZ"/>
              </w:rPr>
            </w:pPr>
            <w:r w:rsidRPr="003B6E11">
              <w:rPr>
                <w:sz w:val="18"/>
                <w:lang w:val="cs-CZ"/>
              </w:rPr>
              <w:t>Místo</w:t>
            </w:r>
          </w:p>
        </w:tc>
        <w:tc>
          <w:tcPr>
            <w:tcW w:w="1080" w:type="dxa"/>
            <w:tcBorders>
              <w:top w:val="single" w:sz="6" w:space="0" w:color="auto"/>
              <w:left w:val="nil"/>
              <w:bottom w:val="single" w:sz="12" w:space="0" w:color="auto"/>
              <w:right w:val="single" w:sz="6" w:space="0" w:color="auto"/>
            </w:tcBorders>
          </w:tcPr>
          <w:p w:rsidR="001F02E6" w:rsidRPr="003B6E11" w:rsidRDefault="001F02E6" w:rsidP="00481591">
            <w:pPr>
              <w:keepNext/>
              <w:keepLines/>
              <w:spacing w:before="40" w:after="40" w:line="220" w:lineRule="atLeast"/>
              <w:jc w:val="center"/>
              <w:rPr>
                <w:rFonts w:eastAsia="Calibri" w:cs="Arial"/>
                <w:sz w:val="18"/>
                <w:szCs w:val="18"/>
                <w:lang w:val="cs-CZ"/>
              </w:rPr>
            </w:pPr>
            <w:r w:rsidRPr="003B6E11">
              <w:rPr>
                <w:sz w:val="18"/>
                <w:lang w:val="cs-CZ"/>
              </w:rPr>
              <w:t>Generátory</w:t>
            </w:r>
          </w:p>
        </w:tc>
        <w:tc>
          <w:tcPr>
            <w:tcW w:w="960" w:type="dxa"/>
            <w:tcBorders>
              <w:top w:val="single" w:sz="6" w:space="0" w:color="auto"/>
              <w:left w:val="single" w:sz="6" w:space="0" w:color="auto"/>
              <w:bottom w:val="single" w:sz="12" w:space="0" w:color="auto"/>
              <w:right w:val="single" w:sz="6" w:space="0" w:color="auto"/>
            </w:tcBorders>
          </w:tcPr>
          <w:p w:rsidR="001F02E6" w:rsidRPr="003B6E11" w:rsidRDefault="001F02E6" w:rsidP="00481591">
            <w:pPr>
              <w:keepNext/>
              <w:keepLines/>
              <w:spacing w:before="40" w:after="40" w:line="220" w:lineRule="atLeast"/>
              <w:jc w:val="center"/>
              <w:rPr>
                <w:rFonts w:eastAsia="Calibri" w:cs="Arial"/>
                <w:sz w:val="18"/>
                <w:szCs w:val="18"/>
                <w:lang w:val="cs-CZ"/>
              </w:rPr>
            </w:pPr>
            <w:r w:rsidRPr="003B6E11">
              <w:rPr>
                <w:sz w:val="18"/>
                <w:lang w:val="cs-CZ"/>
              </w:rPr>
              <w:t>Motory</w:t>
            </w:r>
          </w:p>
        </w:tc>
        <w:tc>
          <w:tcPr>
            <w:tcW w:w="960" w:type="dxa"/>
            <w:tcBorders>
              <w:top w:val="single" w:sz="6" w:space="0" w:color="auto"/>
              <w:left w:val="single" w:sz="6" w:space="0" w:color="auto"/>
              <w:bottom w:val="single" w:sz="12" w:space="0" w:color="auto"/>
              <w:right w:val="single" w:sz="6" w:space="0" w:color="auto"/>
            </w:tcBorders>
          </w:tcPr>
          <w:p w:rsidR="001F02E6" w:rsidRPr="003B6E11" w:rsidRDefault="001F02E6" w:rsidP="00481591">
            <w:pPr>
              <w:keepNext/>
              <w:keepLines/>
              <w:spacing w:before="40" w:after="40" w:line="220" w:lineRule="atLeast"/>
              <w:jc w:val="center"/>
              <w:rPr>
                <w:rFonts w:eastAsia="Calibri" w:cs="Arial"/>
                <w:sz w:val="18"/>
                <w:szCs w:val="18"/>
                <w:lang w:val="cs-CZ"/>
              </w:rPr>
            </w:pPr>
            <w:r w:rsidRPr="003B6E11">
              <w:rPr>
                <w:sz w:val="18"/>
                <w:lang w:val="cs-CZ"/>
              </w:rPr>
              <w:t>Transfor-</w:t>
            </w:r>
            <w:r w:rsidRPr="003B6E11">
              <w:rPr>
                <w:sz w:val="18"/>
                <w:szCs w:val="18"/>
                <w:lang w:val="cs-CZ"/>
              </w:rPr>
              <w:br/>
            </w:r>
            <w:r w:rsidRPr="003B6E11">
              <w:rPr>
                <w:sz w:val="18"/>
                <w:lang w:val="cs-CZ"/>
              </w:rPr>
              <w:t>mátory</w:t>
            </w:r>
          </w:p>
        </w:tc>
        <w:tc>
          <w:tcPr>
            <w:tcW w:w="1253" w:type="dxa"/>
            <w:tcBorders>
              <w:top w:val="single" w:sz="6" w:space="0" w:color="auto"/>
              <w:left w:val="single" w:sz="6" w:space="0" w:color="auto"/>
              <w:bottom w:val="single" w:sz="12" w:space="0" w:color="auto"/>
              <w:right w:val="single" w:sz="6" w:space="0" w:color="auto"/>
            </w:tcBorders>
          </w:tcPr>
          <w:p w:rsidR="001F02E6" w:rsidRPr="003B6E11" w:rsidRDefault="001F02E6" w:rsidP="00481591">
            <w:pPr>
              <w:keepNext/>
              <w:keepLines/>
              <w:spacing w:before="40" w:after="40" w:line="220" w:lineRule="atLeast"/>
              <w:jc w:val="center"/>
              <w:rPr>
                <w:rFonts w:eastAsia="Calibri" w:cs="Arial"/>
                <w:sz w:val="18"/>
                <w:szCs w:val="18"/>
                <w:lang w:val="cs-CZ"/>
              </w:rPr>
            </w:pPr>
            <w:r w:rsidRPr="003B6E11">
              <w:rPr>
                <w:sz w:val="18"/>
                <w:lang w:val="cs-CZ"/>
              </w:rPr>
              <w:t>Rozvaděče</w:t>
            </w:r>
            <w:r w:rsidRPr="003B6E11">
              <w:rPr>
                <w:sz w:val="18"/>
                <w:szCs w:val="18"/>
                <w:lang w:val="cs-CZ"/>
              </w:rPr>
              <w:br/>
            </w:r>
            <w:r w:rsidRPr="003B6E11">
              <w:rPr>
                <w:sz w:val="18"/>
                <w:lang w:val="cs-CZ"/>
              </w:rPr>
              <w:t>Distribuční a</w:t>
            </w:r>
            <w:r w:rsidRPr="003B6E11">
              <w:rPr>
                <w:sz w:val="18"/>
                <w:szCs w:val="18"/>
                <w:lang w:val="cs-CZ"/>
              </w:rPr>
              <w:br/>
            </w:r>
            <w:r w:rsidRPr="003B6E11">
              <w:rPr>
                <w:sz w:val="18"/>
                <w:lang w:val="cs-CZ"/>
              </w:rPr>
              <w:t>spínací zařízení</w:t>
            </w:r>
          </w:p>
        </w:tc>
        <w:tc>
          <w:tcPr>
            <w:tcW w:w="1154" w:type="dxa"/>
            <w:tcBorders>
              <w:top w:val="single" w:sz="6" w:space="0" w:color="auto"/>
              <w:left w:val="single" w:sz="6" w:space="0" w:color="auto"/>
              <w:bottom w:val="single" w:sz="12" w:space="0" w:color="auto"/>
              <w:right w:val="single" w:sz="6" w:space="0" w:color="auto"/>
            </w:tcBorders>
          </w:tcPr>
          <w:p w:rsidR="001F02E6" w:rsidRPr="003B6E11" w:rsidRDefault="001F02E6" w:rsidP="00481591">
            <w:pPr>
              <w:keepNext/>
              <w:keepLines/>
              <w:spacing w:before="40" w:after="40" w:line="220" w:lineRule="atLeast"/>
              <w:jc w:val="center"/>
              <w:rPr>
                <w:rFonts w:eastAsia="Calibri" w:cs="Arial"/>
                <w:sz w:val="18"/>
                <w:szCs w:val="18"/>
                <w:lang w:val="cs-CZ"/>
              </w:rPr>
            </w:pPr>
            <w:r w:rsidRPr="003B6E11">
              <w:rPr>
                <w:sz w:val="18"/>
                <w:lang w:val="cs-CZ"/>
              </w:rPr>
              <w:t>Montážní příslušenství</w:t>
            </w:r>
            <w:r w:rsidRPr="003B6E11">
              <w:rPr>
                <w:sz w:val="18"/>
                <w:vertAlign w:val="superscript"/>
                <w:lang w:val="cs-CZ"/>
              </w:rPr>
              <w:t>(4)</w:t>
            </w:r>
          </w:p>
        </w:tc>
        <w:tc>
          <w:tcPr>
            <w:tcW w:w="1114" w:type="dxa"/>
            <w:tcBorders>
              <w:top w:val="single" w:sz="6" w:space="0" w:color="auto"/>
              <w:left w:val="single" w:sz="6" w:space="0" w:color="auto"/>
              <w:bottom w:val="single" w:sz="12" w:space="0" w:color="auto"/>
              <w:right w:val="single" w:sz="6" w:space="0" w:color="auto"/>
            </w:tcBorders>
          </w:tcPr>
          <w:p w:rsidR="001F02E6" w:rsidRPr="003B6E11" w:rsidRDefault="001F02E6" w:rsidP="00481591">
            <w:pPr>
              <w:keepNext/>
              <w:keepLines/>
              <w:spacing w:before="40" w:after="40" w:line="220" w:lineRule="atLeast"/>
              <w:jc w:val="center"/>
              <w:rPr>
                <w:rFonts w:eastAsia="Calibri" w:cs="Arial"/>
                <w:sz w:val="18"/>
                <w:szCs w:val="18"/>
                <w:lang w:val="cs-CZ"/>
              </w:rPr>
            </w:pPr>
            <w:r w:rsidRPr="003B6E11">
              <w:rPr>
                <w:sz w:val="18"/>
                <w:lang w:val="cs-CZ"/>
              </w:rPr>
              <w:t>Osvětlovací přístroje / požární hlásiče</w:t>
            </w:r>
          </w:p>
        </w:tc>
      </w:tr>
      <w:tr w:rsidR="001F02E6" w:rsidRPr="003B6E11" w:rsidTr="00481591">
        <w:trPr>
          <w:cantSplit/>
        </w:trPr>
        <w:tc>
          <w:tcPr>
            <w:tcW w:w="2835" w:type="dxa"/>
            <w:tcBorders>
              <w:top w:val="single" w:sz="12" w:space="0" w:color="auto"/>
              <w:left w:val="single" w:sz="6" w:space="0" w:color="auto"/>
              <w:bottom w:val="single" w:sz="6" w:space="0" w:color="auto"/>
              <w:right w:val="single" w:sz="6" w:space="0" w:color="auto"/>
            </w:tcBorders>
          </w:tcPr>
          <w:p w:rsidR="001F02E6" w:rsidRPr="003B6E11" w:rsidRDefault="001F02E6" w:rsidP="00360E7D">
            <w:pPr>
              <w:keepNext/>
              <w:keepLines/>
              <w:tabs>
                <w:tab w:val="left" w:pos="180"/>
                <w:tab w:val="left" w:leader="dot" w:pos="2694"/>
              </w:tabs>
              <w:spacing w:before="60" w:after="60" w:line="240" w:lineRule="atLeast"/>
              <w:ind w:left="57" w:right="141"/>
              <w:rPr>
                <w:rFonts w:eastAsia="Calibri" w:cs="Arial"/>
                <w:sz w:val="18"/>
                <w:szCs w:val="18"/>
                <w:lang w:val="cs-CZ"/>
              </w:rPr>
            </w:pPr>
            <w:r w:rsidRPr="003B6E11">
              <w:rPr>
                <w:sz w:val="18"/>
                <w:lang w:val="cs-CZ"/>
              </w:rPr>
              <w:t xml:space="preserve">Provozní místnosti, strojovny a kormidelní strojovny </w:t>
            </w:r>
            <w:r w:rsidRPr="003B6E11">
              <w:rPr>
                <w:lang w:val="cs-CZ"/>
              </w:rPr>
              <w:tab/>
            </w:r>
            <w:r w:rsidRPr="003B6E11">
              <w:rPr>
                <w:lang w:val="cs-CZ"/>
              </w:rPr>
              <w:tab/>
            </w:r>
          </w:p>
        </w:tc>
        <w:tc>
          <w:tcPr>
            <w:tcW w:w="1080" w:type="dxa"/>
            <w:tcBorders>
              <w:top w:val="single" w:sz="12" w:space="0" w:color="auto"/>
              <w:left w:val="nil"/>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22</w:t>
            </w:r>
          </w:p>
        </w:tc>
        <w:tc>
          <w:tcPr>
            <w:tcW w:w="960" w:type="dxa"/>
            <w:tcBorders>
              <w:top w:val="single" w:sz="12"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22</w:t>
            </w:r>
          </w:p>
        </w:tc>
        <w:tc>
          <w:tcPr>
            <w:tcW w:w="960" w:type="dxa"/>
            <w:tcBorders>
              <w:top w:val="single" w:sz="12"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22</w:t>
            </w:r>
            <w:r w:rsidRPr="003B6E11">
              <w:rPr>
                <w:sz w:val="18"/>
                <w:vertAlign w:val="superscript"/>
                <w:lang w:val="cs-CZ"/>
              </w:rPr>
              <w:t>(2)</w:t>
            </w:r>
          </w:p>
        </w:tc>
        <w:tc>
          <w:tcPr>
            <w:tcW w:w="1253" w:type="dxa"/>
            <w:tcBorders>
              <w:top w:val="single" w:sz="12"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22</w:t>
            </w:r>
            <w:r w:rsidRPr="003B6E11">
              <w:rPr>
                <w:sz w:val="18"/>
                <w:vertAlign w:val="superscript"/>
                <w:lang w:val="cs-CZ"/>
              </w:rPr>
              <w:t>(1) (2)</w:t>
            </w:r>
          </w:p>
        </w:tc>
        <w:tc>
          <w:tcPr>
            <w:tcW w:w="1154" w:type="dxa"/>
            <w:tcBorders>
              <w:top w:val="single" w:sz="12"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44</w:t>
            </w:r>
          </w:p>
        </w:tc>
        <w:tc>
          <w:tcPr>
            <w:tcW w:w="1114" w:type="dxa"/>
            <w:tcBorders>
              <w:top w:val="single" w:sz="12"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22</w:t>
            </w:r>
          </w:p>
        </w:tc>
      </w:tr>
      <w:tr w:rsidR="001F02E6" w:rsidRPr="003B6E11" w:rsidTr="00481591">
        <w:trPr>
          <w:cantSplit/>
          <w:trHeight w:val="292"/>
        </w:trPr>
        <w:tc>
          <w:tcPr>
            <w:tcW w:w="2835" w:type="dxa"/>
            <w:tcBorders>
              <w:top w:val="single" w:sz="6" w:space="0" w:color="auto"/>
              <w:left w:val="single" w:sz="6" w:space="0" w:color="auto"/>
              <w:bottom w:val="single" w:sz="6" w:space="0" w:color="auto"/>
              <w:right w:val="single" w:sz="6" w:space="0" w:color="auto"/>
            </w:tcBorders>
          </w:tcPr>
          <w:p w:rsidR="001F02E6" w:rsidRPr="003B6E11" w:rsidRDefault="001F02E6" w:rsidP="00360E7D">
            <w:pPr>
              <w:keepNext/>
              <w:keepLines/>
              <w:tabs>
                <w:tab w:val="left" w:pos="180"/>
                <w:tab w:val="left" w:leader="dot" w:pos="2694"/>
              </w:tabs>
              <w:spacing w:before="60" w:after="60" w:line="240" w:lineRule="atLeast"/>
              <w:ind w:left="57" w:right="141"/>
              <w:rPr>
                <w:rFonts w:eastAsia="Calibri" w:cs="Arial"/>
                <w:sz w:val="18"/>
                <w:szCs w:val="18"/>
                <w:lang w:val="cs-CZ"/>
              </w:rPr>
            </w:pPr>
            <w:r w:rsidRPr="003B6E11">
              <w:rPr>
                <w:sz w:val="18"/>
                <w:lang w:val="cs-CZ"/>
              </w:rPr>
              <w:t xml:space="preserve">Podpalubní nákladové prostory </w:t>
            </w:r>
            <w:r w:rsidRPr="003B6E11">
              <w:rPr>
                <w:lang w:val="cs-CZ"/>
              </w:rPr>
              <w:tab/>
            </w:r>
          </w:p>
        </w:tc>
        <w:tc>
          <w:tcPr>
            <w:tcW w:w="1080" w:type="dxa"/>
            <w:tcBorders>
              <w:top w:val="single" w:sz="6" w:space="0" w:color="auto"/>
              <w:left w:val="nil"/>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55</w:t>
            </w: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55</w:t>
            </w:r>
          </w:p>
        </w:tc>
        <w:tc>
          <w:tcPr>
            <w:tcW w:w="1253"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p>
        </w:tc>
        <w:tc>
          <w:tcPr>
            <w:tcW w:w="1154"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55</w:t>
            </w:r>
          </w:p>
        </w:tc>
        <w:tc>
          <w:tcPr>
            <w:tcW w:w="1114"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55</w:t>
            </w:r>
          </w:p>
        </w:tc>
      </w:tr>
      <w:tr w:rsidR="001F02E6" w:rsidRPr="003B6E11" w:rsidTr="00481591">
        <w:trPr>
          <w:cantSplit/>
        </w:trPr>
        <w:tc>
          <w:tcPr>
            <w:tcW w:w="2835" w:type="dxa"/>
            <w:tcBorders>
              <w:top w:val="single" w:sz="6" w:space="0" w:color="auto"/>
              <w:left w:val="single" w:sz="6" w:space="0" w:color="auto"/>
              <w:bottom w:val="single" w:sz="6" w:space="0" w:color="auto"/>
              <w:right w:val="single" w:sz="6" w:space="0" w:color="auto"/>
            </w:tcBorders>
          </w:tcPr>
          <w:p w:rsidR="001F02E6" w:rsidRPr="003B6E11" w:rsidRDefault="001F02E6" w:rsidP="00360E7D">
            <w:pPr>
              <w:keepNext/>
              <w:keepLines/>
              <w:tabs>
                <w:tab w:val="left" w:pos="180"/>
                <w:tab w:val="left" w:leader="dot" w:pos="2694"/>
              </w:tabs>
              <w:spacing w:before="60" w:after="60" w:line="240" w:lineRule="atLeast"/>
              <w:ind w:left="57" w:right="141"/>
              <w:rPr>
                <w:rFonts w:eastAsia="Calibri" w:cs="Arial"/>
                <w:sz w:val="18"/>
                <w:szCs w:val="18"/>
                <w:lang w:val="cs-CZ"/>
              </w:rPr>
            </w:pPr>
            <w:r w:rsidRPr="003B6E11">
              <w:rPr>
                <w:sz w:val="18"/>
                <w:lang w:val="cs-CZ"/>
              </w:rPr>
              <w:t xml:space="preserve">Akumulátorovny a skladovací prostory pro nátěrové hmoty </w:t>
            </w:r>
            <w:r w:rsidRPr="003B6E11">
              <w:rPr>
                <w:lang w:val="cs-CZ"/>
              </w:rPr>
              <w:tab/>
            </w:r>
          </w:p>
        </w:tc>
        <w:tc>
          <w:tcPr>
            <w:tcW w:w="1080" w:type="dxa"/>
            <w:tcBorders>
              <w:top w:val="single" w:sz="6" w:space="0" w:color="auto"/>
              <w:left w:val="nil"/>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p>
        </w:tc>
        <w:tc>
          <w:tcPr>
            <w:tcW w:w="1253"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p>
        </w:tc>
        <w:tc>
          <w:tcPr>
            <w:tcW w:w="1154"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p>
        </w:tc>
        <w:tc>
          <w:tcPr>
            <w:tcW w:w="1114"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44 a (Ex)</w:t>
            </w:r>
            <w:r w:rsidRPr="003B6E11">
              <w:rPr>
                <w:sz w:val="18"/>
                <w:vertAlign w:val="superscript"/>
                <w:lang w:val="cs-CZ"/>
              </w:rPr>
              <w:t>(3)</w:t>
            </w:r>
          </w:p>
        </w:tc>
      </w:tr>
      <w:tr w:rsidR="001F02E6" w:rsidRPr="003B6E11" w:rsidTr="00481591">
        <w:trPr>
          <w:cantSplit/>
        </w:trPr>
        <w:tc>
          <w:tcPr>
            <w:tcW w:w="2835" w:type="dxa"/>
            <w:tcBorders>
              <w:top w:val="single" w:sz="6" w:space="0" w:color="auto"/>
              <w:left w:val="single" w:sz="6" w:space="0" w:color="auto"/>
              <w:bottom w:val="single" w:sz="6" w:space="0" w:color="auto"/>
              <w:right w:val="single" w:sz="6" w:space="0" w:color="auto"/>
            </w:tcBorders>
          </w:tcPr>
          <w:p w:rsidR="001F02E6" w:rsidRPr="003B6E11" w:rsidRDefault="001F02E6" w:rsidP="00360E7D">
            <w:pPr>
              <w:keepNext/>
              <w:keepLines/>
              <w:tabs>
                <w:tab w:val="left" w:pos="180"/>
                <w:tab w:val="left" w:leader="dot" w:pos="2694"/>
              </w:tabs>
              <w:spacing w:before="60" w:after="60" w:line="240" w:lineRule="atLeast"/>
              <w:ind w:left="57" w:right="141"/>
              <w:rPr>
                <w:rFonts w:eastAsia="Calibri" w:cs="Arial"/>
                <w:sz w:val="18"/>
                <w:szCs w:val="18"/>
                <w:lang w:val="cs-CZ"/>
              </w:rPr>
            </w:pPr>
            <w:r w:rsidRPr="003B6E11">
              <w:rPr>
                <w:sz w:val="18"/>
                <w:lang w:val="cs-CZ"/>
              </w:rPr>
              <w:t xml:space="preserve">Nezastřešené paluby a otevřená ovládací stanoviště </w:t>
            </w:r>
            <w:r w:rsidRPr="003B6E11">
              <w:rPr>
                <w:lang w:val="cs-CZ"/>
              </w:rPr>
              <w:tab/>
            </w:r>
          </w:p>
        </w:tc>
        <w:tc>
          <w:tcPr>
            <w:tcW w:w="1080" w:type="dxa"/>
            <w:tcBorders>
              <w:top w:val="single" w:sz="6" w:space="0" w:color="auto"/>
              <w:left w:val="nil"/>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55</w:t>
            </w: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55</w:t>
            </w: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p>
        </w:tc>
        <w:tc>
          <w:tcPr>
            <w:tcW w:w="1253"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55</w:t>
            </w:r>
          </w:p>
        </w:tc>
        <w:tc>
          <w:tcPr>
            <w:tcW w:w="1154"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55</w:t>
            </w:r>
          </w:p>
        </w:tc>
        <w:tc>
          <w:tcPr>
            <w:tcW w:w="1114"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55</w:t>
            </w:r>
          </w:p>
        </w:tc>
      </w:tr>
      <w:tr w:rsidR="001F02E6" w:rsidRPr="003B6E11" w:rsidTr="00481591">
        <w:trPr>
          <w:cantSplit/>
        </w:trPr>
        <w:tc>
          <w:tcPr>
            <w:tcW w:w="2835" w:type="dxa"/>
            <w:tcBorders>
              <w:top w:val="single" w:sz="6" w:space="0" w:color="auto"/>
              <w:left w:val="single" w:sz="6" w:space="0" w:color="auto"/>
              <w:bottom w:val="single" w:sz="6" w:space="0" w:color="auto"/>
              <w:right w:val="single" w:sz="6" w:space="0" w:color="auto"/>
            </w:tcBorders>
          </w:tcPr>
          <w:p w:rsidR="001F02E6" w:rsidRPr="003B6E11" w:rsidRDefault="001F02E6" w:rsidP="00360E7D">
            <w:pPr>
              <w:keepNext/>
              <w:keepLines/>
              <w:tabs>
                <w:tab w:val="left" w:pos="180"/>
                <w:tab w:val="left" w:leader="dot" w:pos="2694"/>
              </w:tabs>
              <w:spacing w:before="60" w:after="60" w:line="240" w:lineRule="atLeast"/>
              <w:ind w:left="57" w:right="141"/>
              <w:rPr>
                <w:rFonts w:eastAsia="Calibri" w:cs="Arial"/>
                <w:sz w:val="18"/>
                <w:szCs w:val="18"/>
                <w:lang w:val="cs-CZ"/>
              </w:rPr>
            </w:pPr>
            <w:r w:rsidRPr="003B6E11">
              <w:rPr>
                <w:sz w:val="18"/>
                <w:lang w:val="cs-CZ"/>
              </w:rPr>
              <w:t xml:space="preserve">Uzavřená kormidelna </w:t>
            </w:r>
            <w:r w:rsidRPr="003B6E11">
              <w:rPr>
                <w:lang w:val="cs-CZ"/>
              </w:rPr>
              <w:tab/>
            </w:r>
          </w:p>
        </w:tc>
        <w:tc>
          <w:tcPr>
            <w:tcW w:w="1080" w:type="dxa"/>
            <w:tcBorders>
              <w:top w:val="single" w:sz="6" w:space="0" w:color="auto"/>
              <w:left w:val="nil"/>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55</w:t>
            </w: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22</w:t>
            </w: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22</w:t>
            </w:r>
          </w:p>
        </w:tc>
        <w:tc>
          <w:tcPr>
            <w:tcW w:w="1253"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22</w:t>
            </w:r>
          </w:p>
        </w:tc>
        <w:tc>
          <w:tcPr>
            <w:tcW w:w="1154"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22</w:t>
            </w:r>
          </w:p>
        </w:tc>
        <w:tc>
          <w:tcPr>
            <w:tcW w:w="1114"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22</w:t>
            </w:r>
          </w:p>
        </w:tc>
      </w:tr>
      <w:tr w:rsidR="001F02E6" w:rsidRPr="003B6E11" w:rsidTr="00481591">
        <w:trPr>
          <w:cantSplit/>
        </w:trPr>
        <w:tc>
          <w:tcPr>
            <w:tcW w:w="2835" w:type="dxa"/>
            <w:tcBorders>
              <w:top w:val="single" w:sz="6" w:space="0" w:color="auto"/>
              <w:left w:val="single" w:sz="6" w:space="0" w:color="auto"/>
              <w:bottom w:val="single" w:sz="6" w:space="0" w:color="auto"/>
              <w:right w:val="single" w:sz="6" w:space="0" w:color="auto"/>
            </w:tcBorders>
          </w:tcPr>
          <w:p w:rsidR="001F02E6" w:rsidRPr="003B6E11" w:rsidRDefault="001F02E6" w:rsidP="00360E7D">
            <w:pPr>
              <w:keepNext/>
              <w:keepLines/>
              <w:tabs>
                <w:tab w:val="left" w:pos="180"/>
                <w:tab w:val="left" w:leader="dot" w:pos="2694"/>
              </w:tabs>
              <w:spacing w:before="60" w:after="60" w:line="240" w:lineRule="atLeast"/>
              <w:ind w:left="57" w:right="141"/>
              <w:rPr>
                <w:rFonts w:eastAsia="Calibri" w:cs="Arial"/>
                <w:sz w:val="18"/>
                <w:szCs w:val="18"/>
                <w:lang w:val="cs-CZ"/>
              </w:rPr>
            </w:pPr>
            <w:r w:rsidRPr="003B6E11">
              <w:rPr>
                <w:sz w:val="18"/>
                <w:lang w:val="cs-CZ"/>
              </w:rPr>
              <w:t xml:space="preserve">Obytné prostory, kromě sanitárních a mokrých prostor </w:t>
            </w:r>
            <w:r w:rsidRPr="003B6E11">
              <w:rPr>
                <w:lang w:val="cs-CZ"/>
              </w:rPr>
              <w:tab/>
            </w:r>
          </w:p>
        </w:tc>
        <w:tc>
          <w:tcPr>
            <w:tcW w:w="1080" w:type="dxa"/>
            <w:tcBorders>
              <w:top w:val="single" w:sz="6" w:space="0" w:color="auto"/>
              <w:left w:val="nil"/>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p>
        </w:tc>
        <w:tc>
          <w:tcPr>
            <w:tcW w:w="1253"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22</w:t>
            </w:r>
          </w:p>
        </w:tc>
        <w:tc>
          <w:tcPr>
            <w:tcW w:w="1154"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20</w:t>
            </w:r>
          </w:p>
        </w:tc>
        <w:tc>
          <w:tcPr>
            <w:tcW w:w="1114"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20</w:t>
            </w:r>
          </w:p>
        </w:tc>
      </w:tr>
      <w:tr w:rsidR="001F02E6" w:rsidRPr="003B6E11" w:rsidTr="00481591">
        <w:trPr>
          <w:cantSplit/>
        </w:trPr>
        <w:tc>
          <w:tcPr>
            <w:tcW w:w="2835" w:type="dxa"/>
            <w:tcBorders>
              <w:top w:val="single" w:sz="6" w:space="0" w:color="auto"/>
              <w:left w:val="single" w:sz="6" w:space="0" w:color="auto"/>
              <w:bottom w:val="single" w:sz="6" w:space="0" w:color="auto"/>
              <w:right w:val="single" w:sz="6" w:space="0" w:color="auto"/>
            </w:tcBorders>
          </w:tcPr>
          <w:p w:rsidR="001F02E6" w:rsidRPr="003B6E11" w:rsidRDefault="001F02E6" w:rsidP="00360E7D">
            <w:pPr>
              <w:keepNext/>
              <w:keepLines/>
              <w:tabs>
                <w:tab w:val="left" w:pos="180"/>
                <w:tab w:val="left" w:leader="dot" w:pos="2694"/>
              </w:tabs>
              <w:spacing w:before="60" w:after="60" w:line="240" w:lineRule="atLeast"/>
              <w:ind w:left="57" w:right="141"/>
              <w:rPr>
                <w:rFonts w:eastAsia="Calibri" w:cs="Arial"/>
                <w:sz w:val="18"/>
                <w:szCs w:val="18"/>
                <w:lang w:val="cs-CZ"/>
              </w:rPr>
            </w:pPr>
            <w:r w:rsidRPr="003B6E11">
              <w:rPr>
                <w:sz w:val="18"/>
                <w:lang w:val="cs-CZ"/>
              </w:rPr>
              <w:t xml:space="preserve">Sanitární a mokré prostory </w:t>
            </w:r>
            <w:r w:rsidRPr="003B6E11">
              <w:rPr>
                <w:lang w:val="cs-CZ"/>
              </w:rPr>
              <w:tab/>
            </w:r>
          </w:p>
        </w:tc>
        <w:tc>
          <w:tcPr>
            <w:tcW w:w="1080" w:type="dxa"/>
            <w:tcBorders>
              <w:top w:val="single" w:sz="6" w:space="0" w:color="auto"/>
              <w:left w:val="nil"/>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44</w:t>
            </w:r>
          </w:p>
        </w:tc>
        <w:tc>
          <w:tcPr>
            <w:tcW w:w="960"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44</w:t>
            </w:r>
          </w:p>
        </w:tc>
        <w:tc>
          <w:tcPr>
            <w:tcW w:w="1253"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44</w:t>
            </w:r>
          </w:p>
        </w:tc>
        <w:tc>
          <w:tcPr>
            <w:tcW w:w="1154"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55</w:t>
            </w:r>
          </w:p>
        </w:tc>
        <w:tc>
          <w:tcPr>
            <w:tcW w:w="1114" w:type="dxa"/>
            <w:tcBorders>
              <w:top w:val="single" w:sz="6" w:space="0" w:color="auto"/>
              <w:left w:val="single" w:sz="6" w:space="0" w:color="auto"/>
              <w:bottom w:val="single" w:sz="6" w:space="0" w:color="auto"/>
              <w:right w:val="single" w:sz="6" w:space="0" w:color="auto"/>
            </w:tcBorders>
            <w:vAlign w:val="bottom"/>
          </w:tcPr>
          <w:p w:rsidR="001F02E6" w:rsidRPr="003B6E11" w:rsidRDefault="001F02E6" w:rsidP="00481591">
            <w:pPr>
              <w:keepNext/>
              <w:keepLines/>
              <w:spacing w:before="60" w:after="60" w:line="240" w:lineRule="atLeast"/>
              <w:jc w:val="center"/>
              <w:rPr>
                <w:rFonts w:eastAsia="Calibri" w:cs="Arial"/>
                <w:sz w:val="18"/>
                <w:szCs w:val="18"/>
                <w:lang w:val="cs-CZ"/>
              </w:rPr>
            </w:pPr>
            <w:r w:rsidRPr="003B6E11">
              <w:rPr>
                <w:sz w:val="18"/>
                <w:lang w:val="cs-CZ"/>
              </w:rPr>
              <w:t>IP 44</w:t>
            </w:r>
          </w:p>
        </w:tc>
      </w:tr>
      <w:tr w:rsidR="001F02E6" w:rsidRPr="002D015D" w:rsidTr="001F02E6">
        <w:trPr>
          <w:cantSplit/>
        </w:trPr>
        <w:tc>
          <w:tcPr>
            <w:tcW w:w="9356" w:type="dxa"/>
            <w:gridSpan w:val="7"/>
            <w:tcBorders>
              <w:top w:val="single" w:sz="6" w:space="0" w:color="auto"/>
              <w:left w:val="single" w:sz="6" w:space="0" w:color="auto"/>
              <w:bottom w:val="single" w:sz="6" w:space="0" w:color="auto"/>
              <w:right w:val="single" w:sz="6" w:space="0" w:color="auto"/>
            </w:tcBorders>
          </w:tcPr>
          <w:p w:rsidR="001F02E6" w:rsidRPr="003B6E11" w:rsidRDefault="001F02E6" w:rsidP="001F02E6">
            <w:pPr>
              <w:widowControl w:val="0"/>
              <w:tabs>
                <w:tab w:val="left" w:pos="142"/>
              </w:tabs>
              <w:overflowPunct w:val="0"/>
              <w:adjustRightInd w:val="0"/>
              <w:spacing w:before="40" w:after="20" w:line="240" w:lineRule="atLeast"/>
              <w:ind w:left="57"/>
              <w:textAlignment w:val="baseline"/>
              <w:rPr>
                <w:rFonts w:eastAsia="Calibri" w:cs="Arial"/>
                <w:sz w:val="18"/>
                <w:szCs w:val="18"/>
                <w:lang w:val="cs-CZ"/>
              </w:rPr>
            </w:pPr>
            <w:r w:rsidRPr="003B6E11">
              <w:rPr>
                <w:sz w:val="18"/>
                <w:lang w:val="cs-CZ"/>
              </w:rPr>
              <w:t>Poznámky:</w:t>
            </w:r>
          </w:p>
          <w:p w:rsidR="001F02E6" w:rsidRPr="003B6E11" w:rsidRDefault="001F02E6" w:rsidP="001F02E6">
            <w:pPr>
              <w:widowControl w:val="0"/>
              <w:overflowPunct w:val="0"/>
              <w:adjustRightInd w:val="0"/>
              <w:spacing w:before="20" w:after="20"/>
              <w:ind w:left="426" w:hanging="369"/>
              <w:textAlignment w:val="baseline"/>
              <w:rPr>
                <w:rFonts w:eastAsia="Calibri" w:cs="Arial"/>
                <w:sz w:val="18"/>
                <w:szCs w:val="18"/>
                <w:lang w:val="cs-CZ"/>
              </w:rPr>
            </w:pPr>
            <w:r w:rsidRPr="003B6E11">
              <w:rPr>
                <w:sz w:val="18"/>
                <w:vertAlign w:val="superscript"/>
                <w:lang w:val="cs-CZ"/>
              </w:rPr>
              <w:t>(1)</w:t>
            </w:r>
            <w:r w:rsidRPr="003B6E11">
              <w:rPr>
                <w:lang w:val="cs-CZ"/>
              </w:rPr>
              <w:tab/>
            </w:r>
            <w:r w:rsidRPr="003B6E11">
              <w:rPr>
                <w:sz w:val="18"/>
                <w:lang w:val="cs-CZ"/>
              </w:rPr>
              <w:t>Pokud zařízení uvolňují velké teplo: IP 12.</w:t>
            </w:r>
          </w:p>
          <w:p w:rsidR="001F02E6" w:rsidRPr="003B6E11" w:rsidRDefault="001F02E6" w:rsidP="001F02E6">
            <w:pPr>
              <w:widowControl w:val="0"/>
              <w:overflowPunct w:val="0"/>
              <w:adjustRightInd w:val="0"/>
              <w:spacing w:before="20" w:after="20"/>
              <w:ind w:left="426" w:hanging="369"/>
              <w:textAlignment w:val="baseline"/>
              <w:rPr>
                <w:rFonts w:eastAsia="Calibri" w:cs="Arial"/>
                <w:sz w:val="18"/>
                <w:szCs w:val="18"/>
                <w:lang w:val="cs-CZ"/>
              </w:rPr>
            </w:pPr>
            <w:r w:rsidRPr="003B6E11">
              <w:rPr>
                <w:sz w:val="18"/>
                <w:vertAlign w:val="superscript"/>
                <w:lang w:val="cs-CZ"/>
              </w:rPr>
              <w:t>(2)</w:t>
            </w:r>
            <w:r w:rsidRPr="003B6E11">
              <w:rPr>
                <w:lang w:val="cs-CZ"/>
              </w:rPr>
              <w:tab/>
            </w:r>
            <w:r w:rsidRPr="003B6E11">
              <w:rPr>
                <w:sz w:val="18"/>
                <w:lang w:val="cs-CZ"/>
              </w:rPr>
              <w:t>Pokud druh ochrany není zajištěn samotným zařízením, musí umístění zařízení splňovat podmínky uvedené v tabulce.</w:t>
            </w:r>
          </w:p>
          <w:p w:rsidR="001F02E6" w:rsidRPr="003B6E11" w:rsidRDefault="001F02E6" w:rsidP="001F02E6">
            <w:pPr>
              <w:widowControl w:val="0"/>
              <w:tabs>
                <w:tab w:val="left" w:pos="567"/>
              </w:tabs>
              <w:overflowPunct w:val="0"/>
              <w:adjustRightInd w:val="0"/>
              <w:spacing w:before="20" w:after="20"/>
              <w:ind w:left="426" w:hanging="369"/>
              <w:textAlignment w:val="baseline"/>
              <w:rPr>
                <w:rFonts w:eastAsia="Calibri" w:cs="Arial"/>
                <w:sz w:val="18"/>
                <w:szCs w:val="18"/>
                <w:lang w:val="cs-CZ"/>
              </w:rPr>
            </w:pPr>
            <w:r w:rsidRPr="003B6E11">
              <w:rPr>
                <w:sz w:val="18"/>
                <w:vertAlign w:val="superscript"/>
                <w:lang w:val="cs-CZ"/>
              </w:rPr>
              <w:t>(3)</w:t>
            </w:r>
            <w:r w:rsidRPr="003B6E11">
              <w:rPr>
                <w:lang w:val="cs-CZ"/>
              </w:rPr>
              <w:tab/>
            </w:r>
            <w:r w:rsidRPr="003B6E11">
              <w:rPr>
                <w:sz w:val="18"/>
                <w:lang w:val="cs-CZ"/>
              </w:rPr>
              <w:t xml:space="preserve">Certifikované elektrické zařízení bezpečného typu, např. instalace </w:t>
            </w:r>
          </w:p>
          <w:p w:rsidR="001F02E6" w:rsidRPr="003B6E11" w:rsidRDefault="001F02E6" w:rsidP="001F02E6">
            <w:pPr>
              <w:widowControl w:val="0"/>
              <w:overflowPunct w:val="0"/>
              <w:adjustRightInd w:val="0"/>
              <w:spacing w:before="20" w:after="20"/>
              <w:ind w:left="709" w:hanging="283"/>
              <w:textAlignment w:val="baseline"/>
              <w:rPr>
                <w:rFonts w:eastAsia="Calibri" w:cs="Arial"/>
                <w:sz w:val="18"/>
                <w:szCs w:val="18"/>
                <w:lang w:val="cs-CZ"/>
              </w:rPr>
            </w:pPr>
            <w:r w:rsidRPr="003B6E11">
              <w:rPr>
                <w:sz w:val="18"/>
                <w:lang w:val="cs-CZ"/>
              </w:rPr>
              <w:t>a)</w:t>
            </w:r>
            <w:r w:rsidRPr="003B6E11">
              <w:rPr>
                <w:lang w:val="cs-CZ"/>
              </w:rPr>
              <w:tab/>
            </w:r>
            <w:r w:rsidRPr="003B6E11">
              <w:rPr>
                <w:sz w:val="18"/>
                <w:lang w:val="cs-CZ"/>
              </w:rPr>
              <w:t>povolené podle evropských norem řady EN 60079 ve znění platném ke dni 6. července 2017;</w:t>
            </w:r>
          </w:p>
          <w:p w:rsidR="001F02E6" w:rsidRPr="003B6E11" w:rsidRDefault="001F02E6" w:rsidP="001F02E6">
            <w:pPr>
              <w:spacing w:line="240" w:lineRule="atLeast"/>
              <w:ind w:left="709" w:hanging="283"/>
              <w:rPr>
                <w:sz w:val="18"/>
                <w:szCs w:val="18"/>
                <w:lang w:val="cs-CZ"/>
              </w:rPr>
            </w:pPr>
            <w:r w:rsidRPr="003B6E11">
              <w:rPr>
                <w:sz w:val="18"/>
                <w:lang w:val="cs-CZ"/>
              </w:rPr>
              <w:t>b)</w:t>
            </w:r>
            <w:r w:rsidRPr="003B6E11">
              <w:rPr>
                <w:lang w:val="cs-CZ"/>
              </w:rPr>
              <w:tab/>
            </w:r>
            <w:r w:rsidRPr="003B6E11">
              <w:rPr>
                <w:sz w:val="18"/>
                <w:lang w:val="cs-CZ"/>
              </w:rPr>
              <w:t>nižší druh minimální ochrany v závislosti na konstrukci, např. některé typy požárních hlásičů.</w:t>
            </w:r>
          </w:p>
          <w:p w:rsidR="001F02E6" w:rsidRPr="003B6E11" w:rsidRDefault="001F02E6" w:rsidP="001F02E6">
            <w:pPr>
              <w:widowControl w:val="0"/>
              <w:overflowPunct w:val="0"/>
              <w:adjustRightInd w:val="0"/>
              <w:spacing w:before="40" w:after="40"/>
              <w:ind w:left="57"/>
              <w:textAlignment w:val="baseline"/>
              <w:rPr>
                <w:rFonts w:cs="Arial"/>
                <w:sz w:val="18"/>
                <w:szCs w:val="18"/>
                <w:vertAlign w:val="superscript"/>
                <w:lang w:val="cs-CZ"/>
              </w:rPr>
            </w:pPr>
            <w:r w:rsidRPr="003B6E11">
              <w:rPr>
                <w:sz w:val="18"/>
                <w:lang w:val="cs-CZ"/>
              </w:rPr>
              <w:t>Jsou-li osvětlovací zařízení nebo požární hlásiče používány v akumulátorovnách a skladovacích prostorách pro nátěrové hmoty, musí být splněny obě podmínky.</w:t>
            </w:r>
          </w:p>
          <w:p w:rsidR="001F02E6" w:rsidRPr="003B6E11" w:rsidRDefault="001F02E6" w:rsidP="000403EC">
            <w:pPr>
              <w:widowControl w:val="0"/>
              <w:tabs>
                <w:tab w:val="left" w:pos="426"/>
              </w:tabs>
              <w:overflowPunct w:val="0"/>
              <w:adjustRightInd w:val="0"/>
              <w:spacing w:before="20" w:after="40" w:line="240" w:lineRule="atLeast"/>
              <w:ind w:left="426" w:hanging="369"/>
              <w:textAlignment w:val="baseline"/>
              <w:rPr>
                <w:rFonts w:eastAsia="Calibri" w:cs="Arial"/>
                <w:sz w:val="16"/>
                <w:szCs w:val="16"/>
                <w:lang w:val="cs-CZ"/>
              </w:rPr>
            </w:pPr>
            <w:r w:rsidRPr="003B6E11">
              <w:rPr>
                <w:sz w:val="18"/>
                <w:vertAlign w:val="superscript"/>
                <w:lang w:val="cs-CZ"/>
              </w:rPr>
              <w:t>(4)</w:t>
            </w:r>
            <w:r w:rsidRPr="003B6E11">
              <w:rPr>
                <w:lang w:val="cs-CZ"/>
              </w:rPr>
              <w:tab/>
            </w:r>
            <w:r w:rsidRPr="003B6E11">
              <w:rPr>
                <w:sz w:val="18"/>
                <w:lang w:val="cs-CZ"/>
              </w:rPr>
              <w:t>V případě montážního příslušenství pro proud 125 A a větší: IP 66 (EN 60529:2014).</w:t>
            </w:r>
          </w:p>
        </w:tc>
      </w:tr>
    </w:tbl>
    <w:p w:rsidR="008A12E7" w:rsidRPr="003B6E11" w:rsidRDefault="008A12E7" w:rsidP="008A12E7">
      <w:pPr>
        <w:rPr>
          <w:rFonts w:cs="Arial"/>
          <w:szCs w:val="20"/>
          <w:lang w:val="cs-CZ"/>
        </w:rPr>
      </w:pPr>
    </w:p>
    <w:p w:rsidR="008A12E7" w:rsidRPr="003B6E11" w:rsidRDefault="008A12E7" w:rsidP="00533048">
      <w:pPr>
        <w:rPr>
          <w:rFonts w:cs="Arial"/>
          <w:szCs w:val="20"/>
          <w:lang w:val="cs-CZ"/>
        </w:rPr>
      </w:pPr>
    </w:p>
    <w:p w:rsidR="008A12E7" w:rsidRPr="003B6E11" w:rsidRDefault="008A12E7" w:rsidP="001D61F0">
      <w:pPr>
        <w:pStyle w:val="ES-Titre3"/>
        <w:rPr>
          <w:lang w:val="cs-CZ"/>
        </w:rPr>
      </w:pPr>
      <w:bookmarkStart w:id="167" w:name="_Toc491854081"/>
      <w:bookmarkStart w:id="168" w:name="_Toc535416987"/>
      <w:r w:rsidRPr="003B6E11">
        <w:rPr>
          <w:lang w:val="cs-CZ"/>
        </w:rPr>
        <w:t>Článek 10.04</w:t>
      </w:r>
      <w:r w:rsidRPr="003B6E11">
        <w:rPr>
          <w:lang w:val="cs-CZ"/>
        </w:rPr>
        <w:br/>
      </w:r>
      <w:r w:rsidRPr="003B6E11">
        <w:rPr>
          <w:i/>
          <w:noProof/>
          <w:lang w:val="cs-CZ"/>
        </w:rPr>
        <w:t>Ochrana před výbuchem</w:t>
      </w:r>
      <w:bookmarkEnd w:id="167"/>
      <w:bookmarkEnd w:id="168"/>
    </w:p>
    <w:p w:rsidR="001D61F0" w:rsidRPr="003B6E11" w:rsidRDefault="001D61F0" w:rsidP="001D61F0">
      <w:pPr>
        <w:rPr>
          <w:rFonts w:cs="Arial"/>
          <w:noProof/>
          <w:szCs w:val="20"/>
          <w:lang w:val="cs-CZ"/>
        </w:rPr>
      </w:pPr>
    </w:p>
    <w:p w:rsidR="001F02E6" w:rsidRPr="003B6E11" w:rsidRDefault="001F02E6" w:rsidP="001F02E6">
      <w:pPr>
        <w:pStyle w:val="ESch"/>
        <w:rPr>
          <w:rFonts w:eastAsia="Calibri" w:cs="Arial"/>
          <w:lang w:val="cs-CZ"/>
        </w:rPr>
      </w:pPr>
      <w:r w:rsidRPr="003B6E11">
        <w:rPr>
          <w:lang w:val="cs-CZ"/>
        </w:rPr>
        <w:t>1.</w:t>
      </w:r>
      <w:r w:rsidRPr="003B6E11">
        <w:rPr>
          <w:lang w:val="cs-CZ"/>
        </w:rPr>
        <w:tab/>
        <w:t xml:space="preserve">V místnostech nebo prostorech, kde je pravděpodobný vznik výbušné atmosféry, mohou být instalována pouze nevýbušná elektrická zařízení (osvědčená bezpečnost). Tato zařízení musí být přezkoušena a schválena, pokud jde o jejich provozní bezpečnost ve výbušné atmosféře, zkušebním ústavem uznaným na základě vnitrostátních předpisů jednoho z členských států. </w:t>
      </w:r>
    </w:p>
    <w:p w:rsidR="001F02E6" w:rsidRPr="003B6E11" w:rsidRDefault="001F02E6" w:rsidP="001F02E6">
      <w:pPr>
        <w:pStyle w:val="ESch"/>
        <w:rPr>
          <w:rFonts w:eastAsia="Calibri"/>
          <w:lang w:val="cs-CZ"/>
        </w:rPr>
      </w:pPr>
    </w:p>
    <w:p w:rsidR="001F02E6" w:rsidRPr="003B6E11" w:rsidRDefault="001F02E6" w:rsidP="001F02E6">
      <w:pPr>
        <w:pStyle w:val="ESchpar"/>
        <w:rPr>
          <w:rFonts w:eastAsia="Calibri"/>
          <w:lang w:val="cs-CZ"/>
        </w:rPr>
      </w:pPr>
      <w:r w:rsidRPr="003B6E11">
        <w:rPr>
          <w:lang w:val="cs-CZ"/>
        </w:rPr>
        <w:t>Pokud je to možné, je třeba se vyvarovat instalace spínacích zařízení pro osvětlovací přístroje a jiná elektrická zařízení do těchto místností nebo prostor. Odolnost proti výbuchu musí zohledňovat vlastnosti atmosféry, která může s určitou pravděpodobností vzniknout (skupina výbušnosti, teplotní třída), a požadavky příslušné zóny.</w:t>
      </w:r>
    </w:p>
    <w:p w:rsidR="001F02E6" w:rsidRPr="003B6E11" w:rsidRDefault="001F02E6" w:rsidP="001F02E6">
      <w:pPr>
        <w:pStyle w:val="ESchpar"/>
        <w:rPr>
          <w:rFonts w:eastAsia="Calibri"/>
          <w:lang w:val="cs-CZ"/>
        </w:rPr>
      </w:pPr>
    </w:p>
    <w:p w:rsidR="00AA5633" w:rsidRPr="003B6E11" w:rsidRDefault="00AA5633">
      <w:pPr>
        <w:rPr>
          <w:rFonts w:eastAsia="Calibri"/>
          <w:lang w:val="cs-CZ"/>
        </w:rPr>
      </w:pPr>
      <w:r w:rsidRPr="003B6E11">
        <w:rPr>
          <w:lang w:val="cs-CZ"/>
        </w:rPr>
        <w:br w:type="page"/>
      </w:r>
    </w:p>
    <w:p w:rsidR="00AA5633" w:rsidRPr="003B6E11" w:rsidRDefault="00AA5633" w:rsidP="001F02E6">
      <w:pPr>
        <w:pStyle w:val="ESchpar"/>
        <w:rPr>
          <w:rFonts w:eastAsia="Calibri"/>
          <w:lang w:val="cs-CZ"/>
        </w:rPr>
      </w:pPr>
    </w:p>
    <w:p w:rsidR="001F02E6" w:rsidRPr="003B6E11" w:rsidRDefault="001F02E6" w:rsidP="001F02E6">
      <w:pPr>
        <w:pStyle w:val="ESchpar"/>
        <w:rPr>
          <w:rFonts w:eastAsia="Calibri"/>
          <w:strike/>
          <w:lang w:val="cs-CZ"/>
        </w:rPr>
      </w:pPr>
      <w:r w:rsidRPr="003B6E11">
        <w:rPr>
          <w:lang w:val="cs-CZ"/>
        </w:rPr>
        <w:t xml:space="preserve">Musí být dodržovány informace a omezení, které jsou uvedeny v certifikátech schválení typu daného zařízení. </w:t>
      </w:r>
    </w:p>
    <w:p w:rsidR="001F02E6" w:rsidRPr="003B6E11" w:rsidRDefault="001F02E6" w:rsidP="001F02E6">
      <w:pPr>
        <w:pStyle w:val="ESchpar"/>
        <w:rPr>
          <w:rFonts w:eastAsia="Calibri"/>
          <w:lang w:val="cs-CZ"/>
        </w:rPr>
      </w:pPr>
    </w:p>
    <w:p w:rsidR="001F02E6" w:rsidRPr="003B6E11" w:rsidRDefault="001F02E6" w:rsidP="001F02E6">
      <w:pPr>
        <w:pStyle w:val="ESchpar"/>
        <w:rPr>
          <w:lang w:val="cs-CZ"/>
        </w:rPr>
      </w:pPr>
      <w:r w:rsidRPr="003B6E11">
        <w:rPr>
          <w:lang w:val="cs-CZ"/>
        </w:rPr>
        <w:t>Klasifikace a hodnocení prostor, v nichž hrozí nebezpečí výbuchu, se provede a zdokumentuje v souladu s mezinárodními normami EN 60079-10-1:2015 a EN 60079</w:t>
      </w:r>
      <w:r w:rsidRPr="003B6E11">
        <w:rPr>
          <w:lang w:val="cs-CZ"/>
        </w:rPr>
        <w:softHyphen/>
        <w:t>10-2:2015.</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2.</w:t>
      </w:r>
      <w:r w:rsidRPr="003B6E11">
        <w:rPr>
          <w:lang w:val="cs-CZ"/>
        </w:rPr>
        <w:tab/>
        <w:t>Pravidla platná pro nebezpečné prostory:</w:t>
      </w:r>
    </w:p>
    <w:p w:rsidR="001F02E6" w:rsidRPr="003B6E11" w:rsidRDefault="001F02E6" w:rsidP="001F02E6">
      <w:pPr>
        <w:pStyle w:val="ESlet"/>
        <w:rPr>
          <w:rFonts w:eastAsia="Calibri"/>
          <w:lang w:val="cs-CZ"/>
        </w:rPr>
      </w:pPr>
      <w:r w:rsidRPr="003B6E11">
        <w:rPr>
          <w:lang w:val="cs-CZ"/>
        </w:rPr>
        <w:t>a)</w:t>
      </w:r>
      <w:r w:rsidRPr="003B6E11">
        <w:rPr>
          <w:lang w:val="cs-CZ"/>
        </w:rPr>
        <w:tab/>
        <w:t>V prostorech zóny 0 jsou povoleny pouze jiskrově bezpečné obvody (třída ochrany Ex ia) v souladu s mezinárodní normou IEC 60079</w:t>
      </w:r>
      <w:r w:rsidRPr="003B6E11">
        <w:rPr>
          <w:lang w:val="cs-CZ"/>
        </w:rPr>
        <w:softHyphen/>
        <w:t>11:2012.</w:t>
      </w:r>
    </w:p>
    <w:p w:rsidR="001F02E6" w:rsidRPr="003B6E11" w:rsidRDefault="001F02E6" w:rsidP="001F02E6">
      <w:pPr>
        <w:pStyle w:val="ESlet"/>
        <w:rPr>
          <w:rFonts w:eastAsia="Calibri"/>
          <w:lang w:val="cs-CZ"/>
        </w:rPr>
      </w:pPr>
      <w:r w:rsidRPr="003B6E11">
        <w:rPr>
          <w:lang w:val="cs-CZ"/>
        </w:rPr>
        <w:t>b)</w:t>
      </w:r>
      <w:r w:rsidRPr="003B6E11">
        <w:rPr>
          <w:lang w:val="cs-CZ"/>
        </w:rPr>
        <w:tab/>
        <w:t xml:space="preserve">V prostorech zóny 1 jsou povolena pouze elektrická zařízení s ochranou proti výbuchu (osvědčená bezpečnost). </w:t>
      </w:r>
    </w:p>
    <w:p w:rsidR="001F02E6" w:rsidRPr="003B6E11" w:rsidRDefault="001F02E6" w:rsidP="001F02E6">
      <w:pPr>
        <w:pStyle w:val="ESlet"/>
        <w:rPr>
          <w:rFonts w:eastAsia="Calibri"/>
          <w:lang w:val="cs-CZ"/>
        </w:rPr>
      </w:pPr>
      <w:r w:rsidRPr="003B6E11">
        <w:rPr>
          <w:lang w:val="cs-CZ"/>
        </w:rPr>
        <w:t>c)</w:t>
      </w:r>
      <w:r w:rsidRPr="003B6E11">
        <w:rPr>
          <w:lang w:val="cs-CZ"/>
        </w:rPr>
        <w:tab/>
        <w:t xml:space="preserve">V prostorech zóny 2 je třeba přijmout opatření na ochranu elektrických zařízení, která odpovídají typu a určenému účelu daného provozního zařízení. </w:t>
      </w:r>
    </w:p>
    <w:p w:rsidR="001F02E6" w:rsidRPr="003B6E11" w:rsidRDefault="001F02E6" w:rsidP="001F02E6">
      <w:pPr>
        <w:pStyle w:val="EStiret"/>
        <w:rPr>
          <w:rFonts w:eastAsia="Calibri"/>
          <w:noProof w:val="0"/>
          <w:lang w:val="cs-CZ"/>
        </w:rPr>
      </w:pPr>
      <w:r w:rsidRPr="003B6E11">
        <w:rPr>
          <w:lang w:val="cs-CZ"/>
        </w:rPr>
        <w:t>Schválení v těchto prostorech je omezeno na:</w:t>
      </w:r>
    </w:p>
    <w:p w:rsidR="001F02E6" w:rsidRPr="003B6E11" w:rsidRDefault="001F02E6" w:rsidP="001F02E6">
      <w:pPr>
        <w:pStyle w:val="EStiret"/>
        <w:rPr>
          <w:rFonts w:eastAsia="Calibri"/>
          <w:noProof w:val="0"/>
          <w:lang w:val="cs-CZ"/>
        </w:rPr>
      </w:pPr>
      <w:r w:rsidRPr="003B6E11">
        <w:rPr>
          <w:lang w:val="cs-CZ"/>
        </w:rPr>
        <w:t>aa)</w:t>
      </w:r>
      <w:r w:rsidRPr="003B6E11">
        <w:rPr>
          <w:lang w:val="cs-CZ"/>
        </w:rPr>
        <w:tab/>
        <w:t>elektrická zařízení s ochranou proti výbuchu (osvědčená bezpečnost) nebo</w:t>
      </w:r>
    </w:p>
    <w:p w:rsidR="001F02E6" w:rsidRPr="003B6E11" w:rsidRDefault="001F02E6" w:rsidP="001F02E6">
      <w:pPr>
        <w:pStyle w:val="EStiret"/>
        <w:rPr>
          <w:rFonts w:eastAsia="Calibri"/>
          <w:noProof w:val="0"/>
          <w:lang w:val="cs-CZ"/>
        </w:rPr>
      </w:pPr>
      <w:r w:rsidRPr="003B6E11">
        <w:rPr>
          <w:lang w:val="cs-CZ"/>
        </w:rPr>
        <w:t>bb)</w:t>
      </w:r>
      <w:r w:rsidRPr="003B6E11">
        <w:rPr>
          <w:lang w:val="cs-CZ"/>
        </w:rPr>
        <w:tab/>
        <w:t xml:space="preserve">provozní zařízení, která při běžném používání nevytváří jiskry a jejichž povrchy by mohly přijít do styku s vnějším vzduchem, nedosahují nepřípustných teplot, nebo </w:t>
      </w:r>
    </w:p>
    <w:p w:rsidR="001F02E6" w:rsidRPr="003B6E11" w:rsidRDefault="001F02E6" w:rsidP="001F02E6">
      <w:pPr>
        <w:pStyle w:val="EStiret"/>
        <w:rPr>
          <w:rFonts w:eastAsia="Calibri"/>
          <w:noProof w:val="0"/>
          <w:lang w:val="cs-CZ"/>
        </w:rPr>
      </w:pPr>
      <w:r w:rsidRPr="003B6E11">
        <w:rPr>
          <w:lang w:val="cs-CZ"/>
        </w:rPr>
        <w:t>cc)</w:t>
      </w:r>
      <w:r w:rsidRPr="003B6E11">
        <w:rPr>
          <w:lang w:val="cs-CZ"/>
        </w:rPr>
        <w:tab/>
        <w:t>provozní zařízení, která jsou chráněna natlakováním nebo jsou zapouzdřena parotěsným způsobem (minimální třída ochrany IP 55) a jejichž povrchy nedosahují nepřípustných teplot.</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3.</w:t>
      </w:r>
      <w:r w:rsidRPr="003B6E11">
        <w:rPr>
          <w:lang w:val="cs-CZ"/>
        </w:rPr>
        <w:tab/>
        <w:t>Pokud jde o ochranu proti výbuchu prachu, platí požadavky stanovené v evropské normě EN 60079-10-2:2015.</w:t>
      </w:r>
    </w:p>
    <w:p w:rsidR="008A12E7" w:rsidRPr="003B6E11" w:rsidRDefault="008A12E7" w:rsidP="008A12E7">
      <w:pPr>
        <w:rPr>
          <w:rFonts w:cs="Arial"/>
          <w:szCs w:val="20"/>
          <w:lang w:val="cs-CZ"/>
        </w:rPr>
      </w:pPr>
    </w:p>
    <w:p w:rsidR="001D61F0" w:rsidRPr="003B6E11" w:rsidRDefault="001D61F0" w:rsidP="008A12E7">
      <w:pPr>
        <w:rPr>
          <w:rFonts w:cs="Arial"/>
          <w:szCs w:val="20"/>
          <w:lang w:val="cs-CZ"/>
        </w:rPr>
      </w:pPr>
    </w:p>
    <w:p w:rsidR="008A12E7" w:rsidRPr="003B6E11" w:rsidRDefault="008A12E7" w:rsidP="001D61F0">
      <w:pPr>
        <w:pStyle w:val="ES-Titre3"/>
        <w:rPr>
          <w:lang w:val="cs-CZ"/>
        </w:rPr>
      </w:pPr>
      <w:bookmarkStart w:id="169" w:name="_Toc491854082"/>
      <w:bookmarkStart w:id="170" w:name="_Toc535416988"/>
      <w:r w:rsidRPr="003B6E11">
        <w:rPr>
          <w:lang w:val="cs-CZ"/>
        </w:rPr>
        <w:t>Článek 10.05</w:t>
      </w:r>
      <w:r w:rsidRPr="003B6E11">
        <w:rPr>
          <w:lang w:val="cs-CZ"/>
        </w:rPr>
        <w:br/>
      </w:r>
      <w:r w:rsidRPr="003B6E11">
        <w:rPr>
          <w:i/>
          <w:noProof/>
          <w:lang w:val="cs-CZ"/>
        </w:rPr>
        <w:t>Uzemnění</w:t>
      </w:r>
      <w:bookmarkEnd w:id="169"/>
      <w:bookmarkEnd w:id="170"/>
    </w:p>
    <w:p w:rsidR="001D61F0" w:rsidRPr="003B6E11" w:rsidRDefault="001D61F0" w:rsidP="008A12E7">
      <w:pPr>
        <w:rPr>
          <w:rFonts w:cs="Arial"/>
          <w:noProof/>
          <w:szCs w:val="20"/>
          <w:lang w:val="cs-CZ"/>
        </w:rPr>
      </w:pPr>
    </w:p>
    <w:p w:rsidR="001F02E6" w:rsidRPr="003B6E11" w:rsidRDefault="001F02E6" w:rsidP="001F02E6">
      <w:pPr>
        <w:pStyle w:val="ESch"/>
        <w:rPr>
          <w:rFonts w:eastAsia="Calibri"/>
          <w:lang w:val="cs-CZ"/>
        </w:rPr>
      </w:pPr>
      <w:r w:rsidRPr="003B6E11">
        <w:rPr>
          <w:lang w:val="cs-CZ"/>
        </w:rPr>
        <w:t>1.</w:t>
      </w:r>
      <w:r w:rsidRPr="003B6E11">
        <w:rPr>
          <w:lang w:val="cs-CZ"/>
        </w:rPr>
        <w:tab/>
        <w:t>Uzemnění se vyžaduje u elektrických instalací o napětí vyšším než 50 V.</w:t>
      </w:r>
    </w:p>
    <w:p w:rsidR="001F02E6" w:rsidRPr="003B6E11" w:rsidRDefault="001F02E6" w:rsidP="001F02E6">
      <w:pPr>
        <w:pStyle w:val="ESch"/>
        <w:rPr>
          <w:rFonts w:eastAsia="Calibri"/>
          <w:sz w:val="18"/>
          <w:lang w:val="cs-CZ"/>
        </w:rPr>
      </w:pPr>
    </w:p>
    <w:p w:rsidR="001F02E6" w:rsidRPr="003B6E11" w:rsidRDefault="001F02E6" w:rsidP="001F02E6">
      <w:pPr>
        <w:pStyle w:val="ESch"/>
        <w:rPr>
          <w:rFonts w:eastAsia="Calibri"/>
          <w:lang w:val="cs-CZ"/>
        </w:rPr>
      </w:pPr>
      <w:r w:rsidRPr="003B6E11">
        <w:rPr>
          <w:lang w:val="cs-CZ"/>
        </w:rPr>
        <w:t>2.</w:t>
      </w:r>
      <w:r w:rsidRPr="003B6E11">
        <w:rPr>
          <w:lang w:val="cs-CZ"/>
        </w:rPr>
        <w:tab/>
        <w:t>Nechráněné kovové díly, které za normálních provozních podmínek nejsou pod napětím, jako jsou rámy elektrických systémů a skříně elektrických instalací a nemobilních elektrických zařízení, musí být samostatně uzemněny, pokud nejsou namontovány tak, že jsou již v elektrickém kontaktu s trupem plavidla.</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3.</w:t>
      </w:r>
      <w:r w:rsidRPr="003B6E11">
        <w:rPr>
          <w:lang w:val="cs-CZ"/>
        </w:rPr>
        <w:tab/>
        <w:t>Skříně mobilních elektrických zařízení musí být uzemněny pomocí doplňkového vodiče, jímž za normálních podmínek neprochází proud a který je začleněn do napájecího kabelu. Tento požadavek neplatí v případě použití izolačního transformátoru nebo pro zařízení opatřená ochrannou izolací (dvojitou izolací).</w:t>
      </w:r>
    </w:p>
    <w:p w:rsidR="001F02E6" w:rsidRPr="003B6E11" w:rsidRDefault="001F02E6" w:rsidP="001F02E6">
      <w:pPr>
        <w:pStyle w:val="ESch"/>
        <w:rPr>
          <w:rFonts w:eastAsia="Calibri"/>
          <w:lang w:val="cs-CZ"/>
        </w:rPr>
      </w:pPr>
    </w:p>
    <w:p w:rsidR="00666810" w:rsidRPr="003B6E11" w:rsidRDefault="00666810">
      <w:pPr>
        <w:rPr>
          <w:rFonts w:eastAsia="Calibri"/>
          <w:lang w:val="cs-CZ"/>
        </w:rPr>
      </w:pPr>
      <w:r w:rsidRPr="003B6E11">
        <w:rPr>
          <w:lang w:val="cs-CZ"/>
        </w:rPr>
        <w:br w:type="page"/>
      </w:r>
    </w:p>
    <w:p w:rsidR="00666810" w:rsidRPr="003B6E11" w:rsidRDefault="00666810"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4.</w:t>
      </w:r>
      <w:r w:rsidRPr="003B6E11">
        <w:rPr>
          <w:lang w:val="cs-CZ"/>
        </w:rPr>
        <w:tab/>
        <w:t>Průřez zemnicích vodičů musí být alespoň roven hodnotám získaným z následující tabulky:</w:t>
      </w:r>
    </w:p>
    <w:p w:rsidR="008A12E7" w:rsidRPr="003B6E11" w:rsidRDefault="008A12E7" w:rsidP="008A12E7">
      <w:pPr>
        <w:rPr>
          <w:rFonts w:cs="Arial"/>
          <w:szCs w:val="20"/>
          <w:lang w:val="cs-CZ"/>
        </w:rPr>
      </w:pPr>
    </w:p>
    <w:tbl>
      <w:tblPr>
        <w:tblW w:w="0" w:type="auto"/>
        <w:jc w:val="center"/>
        <w:tblLayout w:type="fixed"/>
        <w:tblCellMar>
          <w:left w:w="70" w:type="dxa"/>
          <w:right w:w="70" w:type="dxa"/>
        </w:tblCellMar>
        <w:tblLook w:val="0000" w:firstRow="0" w:lastRow="0" w:firstColumn="0" w:lastColumn="0" w:noHBand="0" w:noVBand="0"/>
      </w:tblPr>
      <w:tblGrid>
        <w:gridCol w:w="2214"/>
        <w:gridCol w:w="2833"/>
        <w:gridCol w:w="3062"/>
      </w:tblGrid>
      <w:tr w:rsidR="001F02E6" w:rsidRPr="003B6E11" w:rsidTr="001F02E6">
        <w:trPr>
          <w:cantSplit/>
          <w:jc w:val="center"/>
        </w:trPr>
        <w:tc>
          <w:tcPr>
            <w:tcW w:w="2214" w:type="dxa"/>
            <w:vMerge w:val="restart"/>
            <w:tcBorders>
              <w:top w:val="single" w:sz="6" w:space="0" w:color="auto"/>
              <w:left w:val="single" w:sz="6" w:space="0" w:color="auto"/>
              <w:right w:val="single" w:sz="6" w:space="0" w:color="auto"/>
            </w:tcBorders>
            <w:vAlign w:val="center"/>
          </w:tcPr>
          <w:p w:rsidR="001F02E6" w:rsidRPr="003B6E11" w:rsidRDefault="001F02E6" w:rsidP="001F02E6">
            <w:pPr>
              <w:tabs>
                <w:tab w:val="left" w:pos="1632"/>
                <w:tab w:val="left" w:pos="3456"/>
              </w:tabs>
              <w:spacing w:before="60" w:after="60" w:line="240" w:lineRule="atLeast"/>
              <w:jc w:val="center"/>
              <w:rPr>
                <w:rFonts w:cs="Arial"/>
                <w:sz w:val="18"/>
                <w:szCs w:val="18"/>
                <w:lang w:val="cs-CZ"/>
              </w:rPr>
            </w:pPr>
            <w:r w:rsidRPr="003B6E11">
              <w:rPr>
                <w:sz w:val="18"/>
                <w:lang w:val="cs-CZ"/>
              </w:rPr>
              <w:t>Průřez vnějších vodičů (S)</w:t>
            </w:r>
            <w:r w:rsidRPr="003B6E11">
              <w:rPr>
                <w:sz w:val="18"/>
                <w:szCs w:val="18"/>
                <w:lang w:val="cs-CZ"/>
              </w:rPr>
              <w:br/>
            </w:r>
            <w:r w:rsidRPr="003B6E11">
              <w:rPr>
                <w:sz w:val="18"/>
                <w:lang w:val="cs-CZ"/>
              </w:rPr>
              <w:t>[mm</w:t>
            </w:r>
            <w:r w:rsidRPr="003B6E11">
              <w:rPr>
                <w:sz w:val="16"/>
                <w:vertAlign w:val="superscript"/>
                <w:lang w:val="cs-CZ"/>
              </w:rPr>
              <w:t>2</w:t>
            </w:r>
            <w:r w:rsidRPr="003B6E11">
              <w:rPr>
                <w:sz w:val="18"/>
                <w:lang w:val="cs-CZ"/>
              </w:rPr>
              <w:t>]</w:t>
            </w:r>
          </w:p>
        </w:tc>
        <w:tc>
          <w:tcPr>
            <w:tcW w:w="5895" w:type="dxa"/>
            <w:gridSpan w:val="2"/>
            <w:tcBorders>
              <w:top w:val="single" w:sz="6" w:space="0" w:color="auto"/>
              <w:right w:val="single" w:sz="6" w:space="0" w:color="auto"/>
            </w:tcBorders>
            <w:vAlign w:val="center"/>
          </w:tcPr>
          <w:p w:rsidR="001F02E6" w:rsidRPr="003B6E11" w:rsidRDefault="001F02E6" w:rsidP="001F02E6">
            <w:pPr>
              <w:tabs>
                <w:tab w:val="left" w:pos="1632"/>
                <w:tab w:val="left" w:pos="3456"/>
              </w:tabs>
              <w:spacing w:before="60" w:after="60" w:line="240" w:lineRule="atLeast"/>
              <w:ind w:left="17" w:hanging="17"/>
              <w:jc w:val="center"/>
              <w:rPr>
                <w:rFonts w:cs="Arial"/>
                <w:sz w:val="18"/>
                <w:szCs w:val="18"/>
                <w:lang w:val="cs-CZ"/>
              </w:rPr>
            </w:pPr>
            <w:r w:rsidRPr="003B6E11">
              <w:rPr>
                <w:sz w:val="18"/>
                <w:lang w:val="cs-CZ"/>
              </w:rPr>
              <w:t>Minimální průřez uzemňovacích vodičů</w:t>
            </w:r>
          </w:p>
        </w:tc>
      </w:tr>
      <w:tr w:rsidR="001F02E6" w:rsidRPr="003B6E11" w:rsidTr="001F02E6">
        <w:trPr>
          <w:cantSplit/>
          <w:jc w:val="center"/>
        </w:trPr>
        <w:tc>
          <w:tcPr>
            <w:tcW w:w="2214" w:type="dxa"/>
            <w:vMerge/>
            <w:tcBorders>
              <w:left w:val="single" w:sz="6" w:space="0" w:color="auto"/>
              <w:bottom w:val="single" w:sz="12" w:space="0" w:color="auto"/>
              <w:right w:val="single" w:sz="6" w:space="0" w:color="auto"/>
            </w:tcBorders>
            <w:vAlign w:val="center"/>
          </w:tcPr>
          <w:p w:rsidR="001F02E6" w:rsidRPr="003B6E11" w:rsidRDefault="001F02E6" w:rsidP="001F02E6">
            <w:pPr>
              <w:tabs>
                <w:tab w:val="left" w:pos="1632"/>
                <w:tab w:val="left" w:pos="3456"/>
              </w:tabs>
              <w:spacing w:before="60" w:after="60" w:line="240" w:lineRule="atLeast"/>
              <w:jc w:val="center"/>
              <w:rPr>
                <w:rFonts w:cs="Arial"/>
                <w:sz w:val="18"/>
                <w:szCs w:val="18"/>
                <w:lang w:val="cs-CZ"/>
              </w:rPr>
            </w:pPr>
          </w:p>
        </w:tc>
        <w:tc>
          <w:tcPr>
            <w:tcW w:w="2833" w:type="dxa"/>
            <w:tcBorders>
              <w:bottom w:val="single" w:sz="12" w:space="0" w:color="auto"/>
              <w:right w:val="single" w:sz="6" w:space="0" w:color="auto"/>
            </w:tcBorders>
            <w:vAlign w:val="center"/>
          </w:tcPr>
          <w:p w:rsidR="001F02E6" w:rsidRPr="003B6E11" w:rsidRDefault="001F02E6" w:rsidP="001F02E6">
            <w:pPr>
              <w:tabs>
                <w:tab w:val="left" w:pos="1632"/>
                <w:tab w:val="left" w:pos="3456"/>
              </w:tabs>
              <w:spacing w:before="60" w:after="60" w:line="240" w:lineRule="atLeast"/>
              <w:jc w:val="center"/>
              <w:rPr>
                <w:rFonts w:cs="Arial"/>
                <w:sz w:val="18"/>
                <w:szCs w:val="18"/>
                <w:lang w:val="cs-CZ"/>
              </w:rPr>
            </w:pPr>
            <w:r w:rsidRPr="003B6E11">
              <w:rPr>
                <w:sz w:val="18"/>
                <w:lang w:val="cs-CZ"/>
              </w:rPr>
              <w:t>v izolovaných kabelech</w:t>
            </w:r>
            <w:r w:rsidRPr="003B6E11">
              <w:rPr>
                <w:sz w:val="18"/>
                <w:szCs w:val="18"/>
                <w:lang w:val="cs-CZ"/>
              </w:rPr>
              <w:br/>
            </w:r>
            <w:r w:rsidRPr="003B6E11">
              <w:rPr>
                <w:sz w:val="18"/>
                <w:lang w:val="cs-CZ"/>
              </w:rPr>
              <w:t>[mm</w:t>
            </w:r>
            <w:r w:rsidRPr="003B6E11">
              <w:rPr>
                <w:sz w:val="16"/>
                <w:vertAlign w:val="superscript"/>
                <w:lang w:val="cs-CZ"/>
              </w:rPr>
              <w:t>2</w:t>
            </w:r>
            <w:r w:rsidRPr="003B6E11">
              <w:rPr>
                <w:sz w:val="18"/>
                <w:lang w:val="cs-CZ"/>
              </w:rPr>
              <w:t>]</w:t>
            </w:r>
          </w:p>
        </w:tc>
        <w:tc>
          <w:tcPr>
            <w:tcW w:w="3062" w:type="dxa"/>
            <w:tcBorders>
              <w:left w:val="single" w:sz="6" w:space="0" w:color="auto"/>
              <w:bottom w:val="single" w:sz="12" w:space="0" w:color="auto"/>
              <w:right w:val="single" w:sz="6" w:space="0" w:color="auto"/>
            </w:tcBorders>
            <w:vAlign w:val="center"/>
          </w:tcPr>
          <w:p w:rsidR="001F02E6" w:rsidRPr="003B6E11" w:rsidRDefault="001F02E6" w:rsidP="001F02E6">
            <w:pPr>
              <w:tabs>
                <w:tab w:val="left" w:pos="1632"/>
                <w:tab w:val="left" w:pos="3456"/>
              </w:tabs>
              <w:spacing w:before="60" w:after="60" w:line="240" w:lineRule="atLeast"/>
              <w:jc w:val="center"/>
              <w:rPr>
                <w:rFonts w:cs="Arial"/>
                <w:sz w:val="18"/>
                <w:szCs w:val="18"/>
                <w:lang w:val="cs-CZ"/>
              </w:rPr>
            </w:pPr>
            <w:r w:rsidRPr="003B6E11">
              <w:rPr>
                <w:sz w:val="18"/>
                <w:lang w:val="cs-CZ"/>
              </w:rPr>
              <w:t>montované samostatně</w:t>
            </w:r>
            <w:r w:rsidRPr="003B6E11">
              <w:rPr>
                <w:sz w:val="18"/>
                <w:szCs w:val="18"/>
                <w:lang w:val="cs-CZ"/>
              </w:rPr>
              <w:br/>
            </w:r>
            <w:r w:rsidRPr="003B6E11">
              <w:rPr>
                <w:sz w:val="18"/>
                <w:lang w:val="cs-CZ"/>
              </w:rPr>
              <w:t>[mm</w:t>
            </w:r>
            <w:r w:rsidRPr="003B6E11">
              <w:rPr>
                <w:sz w:val="16"/>
                <w:vertAlign w:val="superscript"/>
                <w:lang w:val="cs-CZ"/>
              </w:rPr>
              <w:t>2</w:t>
            </w:r>
            <w:r w:rsidRPr="003B6E11">
              <w:rPr>
                <w:sz w:val="18"/>
                <w:lang w:val="cs-CZ"/>
              </w:rPr>
              <w:t>]</w:t>
            </w:r>
          </w:p>
        </w:tc>
      </w:tr>
      <w:tr w:rsidR="001F02E6" w:rsidRPr="003B6E11" w:rsidTr="001F02E6">
        <w:trPr>
          <w:cantSplit/>
          <w:jc w:val="center"/>
        </w:trPr>
        <w:tc>
          <w:tcPr>
            <w:tcW w:w="2214" w:type="dxa"/>
            <w:tcBorders>
              <w:top w:val="single" w:sz="12" w:space="0" w:color="auto"/>
              <w:left w:val="single" w:sz="6" w:space="0" w:color="auto"/>
              <w:bottom w:val="single" w:sz="6" w:space="0" w:color="auto"/>
            </w:tcBorders>
            <w:vAlign w:val="center"/>
          </w:tcPr>
          <w:p w:rsidR="001F02E6" w:rsidRPr="003B6E11" w:rsidRDefault="001F02E6" w:rsidP="001F02E6">
            <w:pPr>
              <w:tabs>
                <w:tab w:val="left" w:pos="1632"/>
                <w:tab w:val="left" w:pos="3456"/>
              </w:tabs>
              <w:spacing w:before="60" w:after="60" w:line="240" w:lineRule="atLeast"/>
              <w:jc w:val="center"/>
              <w:rPr>
                <w:rFonts w:cs="Arial"/>
                <w:sz w:val="18"/>
                <w:szCs w:val="18"/>
                <w:lang w:val="cs-CZ"/>
              </w:rPr>
            </w:pPr>
            <w:r w:rsidRPr="003B6E11">
              <w:rPr>
                <w:sz w:val="18"/>
                <w:lang w:val="cs-CZ"/>
              </w:rPr>
              <w:t>0,5 ≤ S ≤ 4</w:t>
            </w:r>
          </w:p>
        </w:tc>
        <w:tc>
          <w:tcPr>
            <w:tcW w:w="2833" w:type="dxa"/>
            <w:tcBorders>
              <w:top w:val="single" w:sz="12" w:space="0" w:color="auto"/>
              <w:left w:val="single" w:sz="6" w:space="0" w:color="auto"/>
              <w:bottom w:val="single" w:sz="6" w:space="0" w:color="auto"/>
              <w:right w:val="single" w:sz="6" w:space="0" w:color="auto"/>
            </w:tcBorders>
            <w:vAlign w:val="center"/>
          </w:tcPr>
          <w:p w:rsidR="001F02E6" w:rsidRPr="003B6E11" w:rsidRDefault="001F02E6" w:rsidP="00AA5633">
            <w:pPr>
              <w:tabs>
                <w:tab w:val="left" w:pos="1632"/>
                <w:tab w:val="left" w:pos="3456"/>
              </w:tabs>
              <w:spacing w:before="60" w:after="60" w:line="240" w:lineRule="atLeast"/>
              <w:jc w:val="center"/>
              <w:rPr>
                <w:rFonts w:cs="Arial"/>
                <w:sz w:val="18"/>
                <w:szCs w:val="18"/>
                <w:lang w:val="cs-CZ"/>
              </w:rPr>
            </w:pPr>
            <w:r w:rsidRPr="003B6E11">
              <w:rPr>
                <w:sz w:val="18"/>
                <w:lang w:val="cs-CZ"/>
              </w:rPr>
              <w:t>stejný průřez jako</w:t>
            </w:r>
            <w:r w:rsidRPr="003B6E11">
              <w:rPr>
                <w:rFonts w:ascii="MS Gothic" w:hAnsi="MS Gothic"/>
                <w:sz w:val="18"/>
                <w:lang w:val="cs-CZ"/>
              </w:rPr>
              <w:t> </w:t>
            </w:r>
            <w:r w:rsidRPr="003B6E11">
              <w:rPr>
                <w:sz w:val="18"/>
                <w:lang w:val="cs-CZ"/>
              </w:rPr>
              <w:t>u vnějšího vodiče</w:t>
            </w:r>
          </w:p>
        </w:tc>
        <w:tc>
          <w:tcPr>
            <w:tcW w:w="3062" w:type="dxa"/>
            <w:tcBorders>
              <w:top w:val="single" w:sz="12" w:space="0" w:color="auto"/>
              <w:left w:val="single" w:sz="6" w:space="0" w:color="auto"/>
              <w:bottom w:val="single" w:sz="6" w:space="0" w:color="auto"/>
              <w:right w:val="single" w:sz="6" w:space="0" w:color="auto"/>
            </w:tcBorders>
            <w:vAlign w:val="center"/>
          </w:tcPr>
          <w:p w:rsidR="001F02E6" w:rsidRPr="003B6E11" w:rsidRDefault="001F02E6" w:rsidP="00AA5633">
            <w:pPr>
              <w:tabs>
                <w:tab w:val="left" w:pos="1632"/>
                <w:tab w:val="left" w:pos="3456"/>
              </w:tabs>
              <w:spacing w:before="60" w:after="60" w:line="240" w:lineRule="atLeast"/>
              <w:jc w:val="center"/>
              <w:rPr>
                <w:rFonts w:cs="Arial"/>
                <w:sz w:val="18"/>
                <w:szCs w:val="18"/>
                <w:lang w:val="cs-CZ"/>
              </w:rPr>
            </w:pPr>
            <w:r w:rsidRPr="003B6E11">
              <w:rPr>
                <w:sz w:val="18"/>
                <w:lang w:val="cs-CZ"/>
              </w:rPr>
              <w:t>4</w:t>
            </w:r>
          </w:p>
        </w:tc>
      </w:tr>
      <w:tr w:rsidR="001F02E6" w:rsidRPr="002D015D" w:rsidTr="001F02E6">
        <w:trPr>
          <w:cantSplit/>
          <w:jc w:val="center"/>
        </w:trPr>
        <w:tc>
          <w:tcPr>
            <w:tcW w:w="2214" w:type="dxa"/>
            <w:tcBorders>
              <w:top w:val="single" w:sz="6" w:space="0" w:color="auto"/>
              <w:left w:val="single" w:sz="6" w:space="0" w:color="auto"/>
              <w:bottom w:val="single" w:sz="6" w:space="0" w:color="auto"/>
            </w:tcBorders>
            <w:vAlign w:val="center"/>
          </w:tcPr>
          <w:p w:rsidR="001F02E6" w:rsidRPr="003B6E11" w:rsidRDefault="001F02E6" w:rsidP="001F02E6">
            <w:pPr>
              <w:tabs>
                <w:tab w:val="left" w:pos="1632"/>
                <w:tab w:val="left" w:pos="3456"/>
              </w:tabs>
              <w:spacing w:before="60" w:after="60" w:line="240" w:lineRule="atLeast"/>
              <w:jc w:val="center"/>
              <w:rPr>
                <w:rFonts w:cs="Arial"/>
                <w:sz w:val="18"/>
                <w:szCs w:val="18"/>
                <w:lang w:val="cs-CZ"/>
              </w:rPr>
            </w:pPr>
            <w:r w:rsidRPr="003B6E11">
              <w:rPr>
                <w:sz w:val="18"/>
                <w:lang w:val="cs-CZ"/>
              </w:rPr>
              <w:t>4 &lt; S ≤ 16</w:t>
            </w:r>
          </w:p>
        </w:tc>
        <w:tc>
          <w:tcPr>
            <w:tcW w:w="5895" w:type="dxa"/>
            <w:gridSpan w:val="2"/>
            <w:tcBorders>
              <w:top w:val="single" w:sz="6" w:space="0" w:color="auto"/>
              <w:left w:val="single" w:sz="6" w:space="0" w:color="auto"/>
              <w:bottom w:val="single" w:sz="6" w:space="0" w:color="auto"/>
              <w:right w:val="single" w:sz="6" w:space="0" w:color="auto"/>
            </w:tcBorders>
            <w:vAlign w:val="center"/>
          </w:tcPr>
          <w:p w:rsidR="001F02E6" w:rsidRPr="003B6E11" w:rsidRDefault="001F02E6" w:rsidP="00AA5633">
            <w:pPr>
              <w:tabs>
                <w:tab w:val="left" w:pos="1632"/>
                <w:tab w:val="left" w:pos="3456"/>
              </w:tabs>
              <w:spacing w:before="60" w:after="60" w:line="240" w:lineRule="atLeast"/>
              <w:jc w:val="center"/>
              <w:rPr>
                <w:rFonts w:cs="Arial"/>
                <w:sz w:val="18"/>
                <w:szCs w:val="18"/>
                <w:lang w:val="cs-CZ"/>
              </w:rPr>
            </w:pPr>
            <w:r w:rsidRPr="003B6E11">
              <w:rPr>
                <w:sz w:val="18"/>
                <w:lang w:val="cs-CZ"/>
              </w:rPr>
              <w:t>stejný průřez jako u vnějšího vodiče</w:t>
            </w:r>
          </w:p>
        </w:tc>
      </w:tr>
      <w:tr w:rsidR="001F02E6" w:rsidRPr="003B6E11" w:rsidTr="001F02E6">
        <w:trPr>
          <w:cantSplit/>
          <w:jc w:val="center"/>
        </w:trPr>
        <w:tc>
          <w:tcPr>
            <w:tcW w:w="2214" w:type="dxa"/>
            <w:tcBorders>
              <w:top w:val="single" w:sz="6" w:space="0" w:color="auto"/>
              <w:left w:val="single" w:sz="6" w:space="0" w:color="auto"/>
              <w:bottom w:val="single" w:sz="6" w:space="0" w:color="auto"/>
            </w:tcBorders>
            <w:vAlign w:val="center"/>
          </w:tcPr>
          <w:p w:rsidR="001F02E6" w:rsidRPr="003B6E11" w:rsidRDefault="001F02E6" w:rsidP="001F02E6">
            <w:pPr>
              <w:tabs>
                <w:tab w:val="left" w:pos="1632"/>
                <w:tab w:val="left" w:pos="3456"/>
              </w:tabs>
              <w:spacing w:before="60" w:after="60" w:line="240" w:lineRule="atLeast"/>
              <w:jc w:val="center"/>
              <w:rPr>
                <w:rFonts w:cs="Arial"/>
                <w:sz w:val="18"/>
                <w:szCs w:val="18"/>
                <w:lang w:val="cs-CZ"/>
              </w:rPr>
            </w:pPr>
            <w:r w:rsidRPr="003B6E11">
              <w:rPr>
                <w:sz w:val="18"/>
                <w:lang w:val="cs-CZ"/>
              </w:rPr>
              <w:t>16 &lt; S ≤ 35</w:t>
            </w:r>
          </w:p>
        </w:tc>
        <w:tc>
          <w:tcPr>
            <w:tcW w:w="5895" w:type="dxa"/>
            <w:gridSpan w:val="2"/>
            <w:tcBorders>
              <w:top w:val="single" w:sz="6" w:space="0" w:color="auto"/>
              <w:left w:val="single" w:sz="6" w:space="0" w:color="auto"/>
              <w:bottom w:val="single" w:sz="6" w:space="0" w:color="auto"/>
              <w:right w:val="single" w:sz="6" w:space="0" w:color="auto"/>
            </w:tcBorders>
            <w:vAlign w:val="center"/>
          </w:tcPr>
          <w:p w:rsidR="001F02E6" w:rsidRPr="003B6E11" w:rsidRDefault="001F02E6" w:rsidP="00AA5633">
            <w:pPr>
              <w:tabs>
                <w:tab w:val="left" w:pos="1632"/>
                <w:tab w:val="left" w:pos="3456"/>
              </w:tabs>
              <w:spacing w:before="60" w:after="60" w:line="240" w:lineRule="atLeast"/>
              <w:jc w:val="center"/>
              <w:rPr>
                <w:rFonts w:cs="Arial"/>
                <w:sz w:val="18"/>
                <w:szCs w:val="18"/>
                <w:lang w:val="cs-CZ"/>
              </w:rPr>
            </w:pPr>
            <w:r w:rsidRPr="003B6E11">
              <w:rPr>
                <w:sz w:val="18"/>
                <w:lang w:val="cs-CZ"/>
              </w:rPr>
              <w:t>16</w:t>
            </w:r>
          </w:p>
        </w:tc>
      </w:tr>
      <w:tr w:rsidR="001F02E6" w:rsidRPr="003B6E11" w:rsidTr="001F02E6">
        <w:trPr>
          <w:cantSplit/>
          <w:jc w:val="center"/>
        </w:trPr>
        <w:tc>
          <w:tcPr>
            <w:tcW w:w="2214" w:type="dxa"/>
            <w:tcBorders>
              <w:top w:val="single" w:sz="6" w:space="0" w:color="auto"/>
              <w:left w:val="single" w:sz="6" w:space="0" w:color="auto"/>
              <w:bottom w:val="single" w:sz="6" w:space="0" w:color="auto"/>
            </w:tcBorders>
            <w:vAlign w:val="center"/>
          </w:tcPr>
          <w:p w:rsidR="001F02E6" w:rsidRPr="003B6E11" w:rsidRDefault="001F02E6" w:rsidP="001F02E6">
            <w:pPr>
              <w:tabs>
                <w:tab w:val="left" w:pos="1632"/>
                <w:tab w:val="left" w:pos="3456"/>
              </w:tabs>
              <w:spacing w:before="60" w:after="60" w:line="240" w:lineRule="atLeast"/>
              <w:jc w:val="center"/>
              <w:rPr>
                <w:rFonts w:cs="Arial"/>
                <w:sz w:val="18"/>
                <w:szCs w:val="18"/>
                <w:lang w:val="cs-CZ"/>
              </w:rPr>
            </w:pPr>
            <w:r w:rsidRPr="003B6E11">
              <w:rPr>
                <w:sz w:val="18"/>
                <w:lang w:val="cs-CZ"/>
              </w:rPr>
              <w:t>35 &lt; S ≤ 120</w:t>
            </w:r>
          </w:p>
        </w:tc>
        <w:tc>
          <w:tcPr>
            <w:tcW w:w="5895" w:type="dxa"/>
            <w:gridSpan w:val="2"/>
            <w:tcBorders>
              <w:top w:val="single" w:sz="6" w:space="0" w:color="auto"/>
              <w:left w:val="single" w:sz="6" w:space="0" w:color="auto"/>
              <w:bottom w:val="single" w:sz="6" w:space="0" w:color="auto"/>
              <w:right w:val="single" w:sz="6" w:space="0" w:color="auto"/>
            </w:tcBorders>
            <w:vAlign w:val="center"/>
          </w:tcPr>
          <w:p w:rsidR="001F02E6" w:rsidRPr="003B6E11" w:rsidRDefault="001F02E6" w:rsidP="00AA5633">
            <w:pPr>
              <w:tabs>
                <w:tab w:val="left" w:pos="1632"/>
                <w:tab w:val="left" w:pos="3456"/>
              </w:tabs>
              <w:spacing w:before="60" w:after="60" w:line="240" w:lineRule="atLeast"/>
              <w:jc w:val="center"/>
              <w:rPr>
                <w:rFonts w:cs="Arial"/>
                <w:sz w:val="18"/>
                <w:szCs w:val="18"/>
                <w:lang w:val="cs-CZ"/>
              </w:rPr>
            </w:pPr>
            <w:r w:rsidRPr="003B6E11">
              <w:rPr>
                <w:sz w:val="18"/>
                <w:lang w:val="cs-CZ"/>
              </w:rPr>
              <w:t>poloviční průřez vnějšího vodiče</w:t>
            </w:r>
          </w:p>
        </w:tc>
      </w:tr>
      <w:tr w:rsidR="001F02E6" w:rsidRPr="003B6E11" w:rsidTr="001F02E6">
        <w:trPr>
          <w:cantSplit/>
          <w:jc w:val="center"/>
        </w:trPr>
        <w:tc>
          <w:tcPr>
            <w:tcW w:w="2214" w:type="dxa"/>
            <w:tcBorders>
              <w:top w:val="single" w:sz="6" w:space="0" w:color="auto"/>
              <w:left w:val="single" w:sz="6" w:space="0" w:color="auto"/>
              <w:bottom w:val="single" w:sz="6" w:space="0" w:color="auto"/>
            </w:tcBorders>
            <w:vAlign w:val="center"/>
          </w:tcPr>
          <w:p w:rsidR="001F02E6" w:rsidRPr="003B6E11" w:rsidRDefault="001F02E6" w:rsidP="001F02E6">
            <w:pPr>
              <w:tabs>
                <w:tab w:val="left" w:pos="1632"/>
                <w:tab w:val="left" w:pos="3456"/>
              </w:tabs>
              <w:spacing w:before="60" w:after="60" w:line="240" w:lineRule="atLeast"/>
              <w:jc w:val="center"/>
              <w:rPr>
                <w:rFonts w:cs="Arial"/>
                <w:sz w:val="18"/>
                <w:szCs w:val="18"/>
                <w:lang w:val="cs-CZ"/>
              </w:rPr>
            </w:pPr>
            <w:r w:rsidRPr="003B6E11">
              <w:rPr>
                <w:sz w:val="18"/>
                <w:lang w:val="cs-CZ"/>
              </w:rPr>
              <w:t>S &gt; 120</w:t>
            </w:r>
          </w:p>
        </w:tc>
        <w:tc>
          <w:tcPr>
            <w:tcW w:w="5895" w:type="dxa"/>
            <w:gridSpan w:val="2"/>
            <w:tcBorders>
              <w:top w:val="single" w:sz="6" w:space="0" w:color="auto"/>
              <w:left w:val="single" w:sz="6" w:space="0" w:color="auto"/>
              <w:bottom w:val="single" w:sz="6" w:space="0" w:color="auto"/>
              <w:right w:val="single" w:sz="6" w:space="0" w:color="auto"/>
            </w:tcBorders>
            <w:vAlign w:val="center"/>
          </w:tcPr>
          <w:p w:rsidR="001F02E6" w:rsidRPr="003B6E11" w:rsidRDefault="001F02E6" w:rsidP="001F02E6">
            <w:pPr>
              <w:tabs>
                <w:tab w:val="left" w:pos="1632"/>
                <w:tab w:val="left" w:pos="3456"/>
              </w:tabs>
              <w:spacing w:before="60" w:after="60" w:line="240" w:lineRule="atLeast"/>
              <w:jc w:val="center"/>
              <w:rPr>
                <w:rFonts w:cs="Arial"/>
                <w:sz w:val="18"/>
                <w:szCs w:val="18"/>
                <w:lang w:val="cs-CZ"/>
              </w:rPr>
            </w:pPr>
            <w:r w:rsidRPr="003B6E11">
              <w:rPr>
                <w:sz w:val="18"/>
                <w:lang w:val="cs-CZ"/>
              </w:rPr>
              <w:t>70</w:t>
            </w:r>
          </w:p>
        </w:tc>
      </w:tr>
    </w:tbl>
    <w:p w:rsidR="001D61F0" w:rsidRPr="003B6E11" w:rsidRDefault="001D61F0" w:rsidP="008A12E7">
      <w:pPr>
        <w:rPr>
          <w:rFonts w:cs="Arial"/>
          <w:szCs w:val="20"/>
          <w:lang w:val="cs-CZ"/>
        </w:rPr>
      </w:pPr>
    </w:p>
    <w:p w:rsidR="001D61F0" w:rsidRPr="003B6E11" w:rsidRDefault="001D61F0" w:rsidP="008A12E7">
      <w:pPr>
        <w:rPr>
          <w:rFonts w:cs="Arial"/>
          <w:szCs w:val="20"/>
          <w:lang w:val="cs-CZ"/>
        </w:rPr>
      </w:pPr>
    </w:p>
    <w:p w:rsidR="00C5222B" w:rsidRPr="003B6E11" w:rsidRDefault="00C5222B">
      <w:pPr>
        <w:rPr>
          <w:rFonts w:cs="Arial"/>
          <w:szCs w:val="20"/>
          <w:lang w:val="cs-CZ"/>
        </w:rPr>
      </w:pPr>
      <w:r w:rsidRPr="003B6E11">
        <w:rPr>
          <w:lang w:val="cs-CZ"/>
        </w:rPr>
        <w:br w:type="page"/>
      </w:r>
    </w:p>
    <w:p w:rsidR="00C5222B" w:rsidRPr="003B6E11" w:rsidRDefault="00C5222B" w:rsidP="008A12E7">
      <w:pPr>
        <w:rPr>
          <w:rFonts w:cs="Arial"/>
          <w:szCs w:val="20"/>
          <w:lang w:val="cs-CZ"/>
        </w:rPr>
      </w:pPr>
    </w:p>
    <w:p w:rsidR="008A12E7" w:rsidRPr="003B6E11" w:rsidRDefault="008A12E7" w:rsidP="001D61F0">
      <w:pPr>
        <w:pStyle w:val="ES-Titre3"/>
        <w:rPr>
          <w:lang w:val="cs-CZ"/>
        </w:rPr>
      </w:pPr>
      <w:bookmarkStart w:id="171" w:name="_Toc491854083"/>
      <w:bookmarkStart w:id="172" w:name="_Toc535416989"/>
      <w:r w:rsidRPr="003B6E11">
        <w:rPr>
          <w:lang w:val="cs-CZ"/>
        </w:rPr>
        <w:t>Článek 10.06</w:t>
      </w:r>
      <w:r w:rsidRPr="003B6E11">
        <w:rPr>
          <w:lang w:val="cs-CZ"/>
        </w:rPr>
        <w:br/>
      </w:r>
      <w:r w:rsidRPr="003B6E11">
        <w:rPr>
          <w:i/>
          <w:noProof/>
          <w:lang w:val="cs-CZ"/>
        </w:rPr>
        <w:t>Nejvyšší přípustná napětí</w:t>
      </w:r>
      <w:bookmarkEnd w:id="171"/>
      <w:bookmarkEnd w:id="172"/>
    </w:p>
    <w:p w:rsidR="001D61F0" w:rsidRPr="003B6E11" w:rsidRDefault="001D61F0" w:rsidP="008A12E7">
      <w:pPr>
        <w:rPr>
          <w:rFonts w:cs="Arial"/>
          <w:noProof/>
          <w:szCs w:val="20"/>
          <w:lang w:val="cs-CZ"/>
        </w:rPr>
      </w:pPr>
    </w:p>
    <w:p w:rsidR="008A12E7" w:rsidRPr="003B6E11" w:rsidRDefault="008A12E7" w:rsidP="001F02E6">
      <w:pPr>
        <w:pStyle w:val="ESch"/>
        <w:numPr>
          <w:ilvl w:val="0"/>
          <w:numId w:val="17"/>
        </w:numPr>
        <w:rPr>
          <w:noProof/>
          <w:lang w:val="cs-CZ"/>
        </w:rPr>
      </w:pPr>
      <w:r w:rsidRPr="003B6E11">
        <w:rPr>
          <w:lang w:val="cs-CZ"/>
        </w:rPr>
        <w:t>Nesmí být překročena tato napětí:</w:t>
      </w:r>
    </w:p>
    <w:p w:rsidR="001F02E6" w:rsidRPr="003B6E11" w:rsidRDefault="001F02E6" w:rsidP="001F02E6">
      <w:pPr>
        <w:pStyle w:val="ESch"/>
        <w:ind w:left="930" w:firstLine="0"/>
        <w:rPr>
          <w:lang w:val="cs-CZ"/>
        </w:rPr>
      </w:pPr>
    </w:p>
    <w:tbl>
      <w:tblPr>
        <w:tblW w:w="9116" w:type="dxa"/>
        <w:tblInd w:w="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960"/>
        <w:gridCol w:w="1680"/>
        <w:gridCol w:w="1680"/>
        <w:gridCol w:w="1796"/>
      </w:tblGrid>
      <w:tr w:rsidR="001F02E6" w:rsidRPr="003B6E11" w:rsidTr="001F02E6">
        <w:trPr>
          <w:cantSplit/>
          <w:tblHeader/>
        </w:trPr>
        <w:tc>
          <w:tcPr>
            <w:tcW w:w="3960" w:type="dxa"/>
            <w:vMerge w:val="restart"/>
            <w:vAlign w:val="center"/>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 xml:space="preserve">Druh zařízení nebo instalace </w:t>
            </w:r>
          </w:p>
        </w:tc>
        <w:tc>
          <w:tcPr>
            <w:tcW w:w="5156" w:type="dxa"/>
            <w:gridSpan w:val="3"/>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Nejvyšší přípustné napětí</w:t>
            </w:r>
          </w:p>
        </w:tc>
      </w:tr>
      <w:tr w:rsidR="001F02E6" w:rsidRPr="003B6E11" w:rsidTr="001F02E6">
        <w:trPr>
          <w:cantSplit/>
          <w:tblHeader/>
        </w:trPr>
        <w:tc>
          <w:tcPr>
            <w:tcW w:w="3960" w:type="dxa"/>
            <w:vMerge/>
            <w:tcBorders>
              <w:bottom w:val="single" w:sz="12" w:space="0" w:color="auto"/>
            </w:tcBorders>
          </w:tcPr>
          <w:p w:rsidR="001F02E6" w:rsidRPr="003B6E11" w:rsidRDefault="001F02E6" w:rsidP="00666810">
            <w:pPr>
              <w:spacing w:before="60" w:after="60" w:line="240" w:lineRule="atLeast"/>
              <w:rPr>
                <w:rFonts w:eastAsia="Calibri" w:cs="Arial"/>
                <w:sz w:val="18"/>
                <w:szCs w:val="18"/>
                <w:lang w:val="cs-CZ"/>
              </w:rPr>
            </w:pPr>
          </w:p>
        </w:tc>
        <w:tc>
          <w:tcPr>
            <w:tcW w:w="1680" w:type="dxa"/>
            <w:tcBorders>
              <w:bottom w:val="single" w:sz="12" w:space="0" w:color="auto"/>
            </w:tcBorders>
            <w:vAlign w:val="center"/>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Stejnosměrný proud</w:t>
            </w:r>
          </w:p>
        </w:tc>
        <w:tc>
          <w:tcPr>
            <w:tcW w:w="1680" w:type="dxa"/>
            <w:tcBorders>
              <w:bottom w:val="single" w:sz="12" w:space="0" w:color="auto"/>
            </w:tcBorders>
            <w:vAlign w:val="center"/>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Jednofázový střídavý proud</w:t>
            </w:r>
          </w:p>
        </w:tc>
        <w:tc>
          <w:tcPr>
            <w:tcW w:w="1796" w:type="dxa"/>
            <w:tcBorders>
              <w:bottom w:val="single" w:sz="12" w:space="0" w:color="auto"/>
            </w:tcBorders>
            <w:vAlign w:val="center"/>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Třífázový střídavý proud</w:t>
            </w:r>
          </w:p>
        </w:tc>
      </w:tr>
      <w:tr w:rsidR="001F02E6" w:rsidRPr="003B6E11" w:rsidTr="00AA5633">
        <w:tc>
          <w:tcPr>
            <w:tcW w:w="3960" w:type="dxa"/>
            <w:tcBorders>
              <w:top w:val="single" w:sz="12" w:space="0" w:color="auto"/>
            </w:tcBorders>
            <w:vAlign w:val="bottom"/>
          </w:tcPr>
          <w:p w:rsidR="001F02E6" w:rsidRPr="003B6E11" w:rsidRDefault="001F02E6" w:rsidP="00666810">
            <w:pPr>
              <w:tabs>
                <w:tab w:val="left" w:leader="dot" w:pos="3621"/>
              </w:tabs>
              <w:spacing w:before="60" w:after="60" w:line="240" w:lineRule="atLeast"/>
              <w:ind w:left="360" w:hanging="357"/>
              <w:rPr>
                <w:rFonts w:eastAsia="Calibri" w:cs="Arial"/>
                <w:sz w:val="18"/>
                <w:szCs w:val="18"/>
                <w:lang w:val="cs-CZ"/>
              </w:rPr>
            </w:pPr>
            <w:r w:rsidRPr="003B6E11">
              <w:rPr>
                <w:sz w:val="18"/>
                <w:lang w:val="cs-CZ"/>
              </w:rPr>
              <w:t>a)</w:t>
            </w:r>
            <w:r w:rsidRPr="003B6E11">
              <w:rPr>
                <w:lang w:val="cs-CZ"/>
              </w:rPr>
              <w:tab/>
            </w:r>
            <w:r w:rsidRPr="003B6E11">
              <w:rPr>
                <w:sz w:val="18"/>
                <w:lang w:val="cs-CZ"/>
              </w:rPr>
              <w:t xml:space="preserve">Pohonná a vytápěcí zařízení včetně elektrických zásuvek pro obecné použití </w:t>
            </w:r>
            <w:r w:rsidRPr="003B6E11">
              <w:rPr>
                <w:lang w:val="cs-CZ"/>
              </w:rPr>
              <w:tab/>
            </w:r>
          </w:p>
        </w:tc>
        <w:tc>
          <w:tcPr>
            <w:tcW w:w="1680" w:type="dxa"/>
            <w:tcBorders>
              <w:top w:val="single" w:sz="12" w:space="0" w:color="auto"/>
            </w:tcBorders>
            <w:vAlign w:val="bottom"/>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250 V</w:t>
            </w:r>
          </w:p>
        </w:tc>
        <w:tc>
          <w:tcPr>
            <w:tcW w:w="1680" w:type="dxa"/>
            <w:tcBorders>
              <w:top w:val="single" w:sz="12" w:space="0" w:color="auto"/>
            </w:tcBorders>
            <w:vAlign w:val="bottom"/>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250 V</w:t>
            </w:r>
          </w:p>
        </w:tc>
        <w:tc>
          <w:tcPr>
            <w:tcW w:w="1796" w:type="dxa"/>
            <w:tcBorders>
              <w:top w:val="single" w:sz="12" w:space="0" w:color="auto"/>
            </w:tcBorders>
            <w:vAlign w:val="bottom"/>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690 V</w:t>
            </w:r>
          </w:p>
        </w:tc>
      </w:tr>
      <w:tr w:rsidR="001F02E6" w:rsidRPr="003B6E11" w:rsidTr="00AA5633">
        <w:tc>
          <w:tcPr>
            <w:tcW w:w="3960" w:type="dxa"/>
            <w:vAlign w:val="bottom"/>
          </w:tcPr>
          <w:p w:rsidR="001F02E6" w:rsidRPr="003B6E11" w:rsidRDefault="001F02E6" w:rsidP="00666810">
            <w:pPr>
              <w:tabs>
                <w:tab w:val="left" w:leader="dot" w:pos="3621"/>
              </w:tabs>
              <w:spacing w:before="60" w:after="60" w:line="240" w:lineRule="atLeast"/>
              <w:ind w:left="360" w:hanging="357"/>
              <w:rPr>
                <w:rFonts w:eastAsia="Calibri" w:cs="Arial"/>
                <w:sz w:val="18"/>
                <w:szCs w:val="18"/>
                <w:lang w:val="cs-CZ"/>
              </w:rPr>
            </w:pPr>
            <w:r w:rsidRPr="003B6E11">
              <w:rPr>
                <w:sz w:val="18"/>
                <w:lang w:val="cs-CZ"/>
              </w:rPr>
              <w:t>b)</w:t>
            </w:r>
            <w:r w:rsidRPr="003B6E11">
              <w:rPr>
                <w:lang w:val="cs-CZ"/>
              </w:rPr>
              <w:tab/>
            </w:r>
            <w:r w:rsidRPr="003B6E11">
              <w:rPr>
                <w:sz w:val="18"/>
                <w:lang w:val="cs-CZ"/>
              </w:rPr>
              <w:t xml:space="preserve">Zařízení pro osvětlení, pro komunikaci, pokynů a informací, včetně elektrických zásuvek pro obecné použití </w:t>
            </w:r>
            <w:r w:rsidRPr="003B6E11">
              <w:rPr>
                <w:lang w:val="cs-CZ"/>
              </w:rPr>
              <w:tab/>
            </w:r>
          </w:p>
        </w:tc>
        <w:tc>
          <w:tcPr>
            <w:tcW w:w="1680" w:type="dxa"/>
            <w:vAlign w:val="bottom"/>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250 V</w:t>
            </w:r>
          </w:p>
        </w:tc>
        <w:tc>
          <w:tcPr>
            <w:tcW w:w="1680" w:type="dxa"/>
            <w:vAlign w:val="bottom"/>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250 V</w:t>
            </w:r>
          </w:p>
        </w:tc>
        <w:tc>
          <w:tcPr>
            <w:tcW w:w="1796" w:type="dxa"/>
            <w:vAlign w:val="bottom"/>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w:t>
            </w:r>
          </w:p>
        </w:tc>
      </w:tr>
      <w:tr w:rsidR="001F02E6" w:rsidRPr="003B6E11" w:rsidTr="00AA5633">
        <w:tc>
          <w:tcPr>
            <w:tcW w:w="3960" w:type="dxa"/>
            <w:vAlign w:val="bottom"/>
          </w:tcPr>
          <w:p w:rsidR="001F02E6" w:rsidRPr="003B6E11" w:rsidRDefault="001F02E6" w:rsidP="005C5181">
            <w:pPr>
              <w:tabs>
                <w:tab w:val="left" w:leader="dot" w:pos="3621"/>
              </w:tabs>
              <w:spacing w:before="60" w:after="60" w:line="240" w:lineRule="atLeast"/>
              <w:ind w:left="360" w:hanging="357"/>
              <w:rPr>
                <w:rFonts w:eastAsia="Calibri" w:cs="Arial"/>
                <w:sz w:val="18"/>
                <w:szCs w:val="18"/>
                <w:lang w:val="cs-CZ"/>
              </w:rPr>
            </w:pPr>
            <w:r w:rsidRPr="003B6E11">
              <w:rPr>
                <w:sz w:val="18"/>
                <w:lang w:val="cs-CZ"/>
              </w:rPr>
              <w:t>c)</w:t>
            </w:r>
            <w:r w:rsidRPr="003B6E11">
              <w:rPr>
                <w:lang w:val="cs-CZ"/>
              </w:rPr>
              <w:tab/>
            </w:r>
            <w:r w:rsidRPr="003B6E11">
              <w:rPr>
                <w:sz w:val="18"/>
                <w:lang w:val="cs-CZ"/>
              </w:rPr>
              <w:t>Elektrické zásuvky pro napájení mobilních elektrických zařízení používaných na otevřených palubách nebo v omezených nebo vlhkých kovových uzavřených prostorách kromě kotlů a nádrží</w:t>
            </w:r>
          </w:p>
        </w:tc>
        <w:tc>
          <w:tcPr>
            <w:tcW w:w="1680" w:type="dxa"/>
            <w:vAlign w:val="bottom"/>
          </w:tcPr>
          <w:p w:rsidR="001F02E6" w:rsidRPr="003B6E11" w:rsidRDefault="001F02E6" w:rsidP="00666810">
            <w:pPr>
              <w:spacing w:before="60" w:after="60" w:line="240" w:lineRule="atLeast"/>
              <w:jc w:val="center"/>
              <w:rPr>
                <w:rFonts w:eastAsia="Calibri" w:cs="Arial"/>
                <w:sz w:val="18"/>
                <w:szCs w:val="18"/>
                <w:lang w:val="cs-CZ"/>
              </w:rPr>
            </w:pPr>
          </w:p>
        </w:tc>
        <w:tc>
          <w:tcPr>
            <w:tcW w:w="1680" w:type="dxa"/>
            <w:vAlign w:val="bottom"/>
          </w:tcPr>
          <w:p w:rsidR="001F02E6" w:rsidRPr="003B6E11" w:rsidRDefault="001F02E6" w:rsidP="00666810">
            <w:pPr>
              <w:spacing w:before="60" w:after="60" w:line="240" w:lineRule="atLeast"/>
              <w:jc w:val="center"/>
              <w:rPr>
                <w:rFonts w:eastAsia="Calibri" w:cs="Arial"/>
                <w:sz w:val="18"/>
                <w:szCs w:val="18"/>
                <w:lang w:val="cs-CZ"/>
              </w:rPr>
            </w:pPr>
          </w:p>
        </w:tc>
        <w:tc>
          <w:tcPr>
            <w:tcW w:w="1796" w:type="dxa"/>
            <w:vAlign w:val="bottom"/>
          </w:tcPr>
          <w:p w:rsidR="001F02E6" w:rsidRPr="003B6E11" w:rsidRDefault="001F02E6" w:rsidP="00666810">
            <w:pPr>
              <w:spacing w:before="60" w:after="60" w:line="240" w:lineRule="atLeast"/>
              <w:jc w:val="center"/>
              <w:rPr>
                <w:rFonts w:eastAsia="Calibri" w:cs="Arial"/>
                <w:sz w:val="18"/>
                <w:szCs w:val="18"/>
                <w:lang w:val="cs-CZ"/>
              </w:rPr>
            </w:pPr>
          </w:p>
        </w:tc>
      </w:tr>
      <w:tr w:rsidR="001F02E6" w:rsidRPr="003B6E11" w:rsidTr="00AA5633">
        <w:tc>
          <w:tcPr>
            <w:tcW w:w="3960" w:type="dxa"/>
            <w:vAlign w:val="bottom"/>
          </w:tcPr>
          <w:p w:rsidR="001F02E6" w:rsidRPr="003B6E11" w:rsidRDefault="001F02E6" w:rsidP="00666810">
            <w:pPr>
              <w:tabs>
                <w:tab w:val="left" w:leader="dot" w:pos="3621"/>
              </w:tabs>
              <w:spacing w:before="60" w:after="60" w:line="240" w:lineRule="atLeast"/>
              <w:ind w:left="720" w:hanging="357"/>
              <w:rPr>
                <w:rFonts w:eastAsia="Calibri" w:cs="Arial"/>
                <w:sz w:val="18"/>
                <w:szCs w:val="18"/>
                <w:lang w:val="cs-CZ"/>
              </w:rPr>
            </w:pPr>
            <w:r w:rsidRPr="003B6E11">
              <w:rPr>
                <w:sz w:val="18"/>
                <w:lang w:val="cs-CZ"/>
              </w:rPr>
              <w:t>1.</w:t>
            </w:r>
            <w:r w:rsidRPr="003B6E11">
              <w:rPr>
                <w:lang w:val="cs-CZ"/>
              </w:rPr>
              <w:tab/>
            </w:r>
            <w:r w:rsidRPr="003B6E11">
              <w:rPr>
                <w:sz w:val="18"/>
                <w:lang w:val="cs-CZ"/>
              </w:rPr>
              <w:t xml:space="preserve">obecné </w:t>
            </w:r>
            <w:r w:rsidRPr="003B6E11">
              <w:rPr>
                <w:lang w:val="cs-CZ"/>
              </w:rPr>
              <w:tab/>
            </w:r>
          </w:p>
        </w:tc>
        <w:tc>
          <w:tcPr>
            <w:tcW w:w="1680" w:type="dxa"/>
            <w:vAlign w:val="bottom"/>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50 V</w:t>
            </w:r>
            <w:r w:rsidRPr="003B6E11">
              <w:rPr>
                <w:sz w:val="18"/>
                <w:vertAlign w:val="superscript"/>
                <w:lang w:val="cs-CZ"/>
              </w:rPr>
              <w:t>(1)</w:t>
            </w:r>
          </w:p>
        </w:tc>
        <w:tc>
          <w:tcPr>
            <w:tcW w:w="1680" w:type="dxa"/>
            <w:vAlign w:val="bottom"/>
          </w:tcPr>
          <w:p w:rsidR="001F02E6" w:rsidRPr="003B6E11" w:rsidRDefault="001F02E6" w:rsidP="00666810">
            <w:pPr>
              <w:spacing w:before="60" w:after="60" w:line="240" w:lineRule="atLeast"/>
              <w:jc w:val="center"/>
              <w:rPr>
                <w:rFonts w:eastAsia="Calibri" w:cs="Arial"/>
                <w:sz w:val="18"/>
                <w:szCs w:val="18"/>
                <w:vertAlign w:val="superscript"/>
                <w:lang w:val="cs-CZ"/>
              </w:rPr>
            </w:pPr>
            <w:r w:rsidRPr="003B6E11">
              <w:rPr>
                <w:sz w:val="18"/>
                <w:lang w:val="cs-CZ"/>
              </w:rPr>
              <w:t>50 V</w:t>
            </w:r>
            <w:r w:rsidRPr="003B6E11">
              <w:rPr>
                <w:sz w:val="18"/>
                <w:vertAlign w:val="superscript"/>
                <w:lang w:val="cs-CZ"/>
              </w:rPr>
              <w:t>(1)</w:t>
            </w:r>
          </w:p>
        </w:tc>
        <w:tc>
          <w:tcPr>
            <w:tcW w:w="1796" w:type="dxa"/>
            <w:vAlign w:val="bottom"/>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w:t>
            </w:r>
          </w:p>
        </w:tc>
      </w:tr>
      <w:tr w:rsidR="001F02E6" w:rsidRPr="003B6E11" w:rsidTr="00AA5633">
        <w:tc>
          <w:tcPr>
            <w:tcW w:w="3960" w:type="dxa"/>
            <w:vAlign w:val="bottom"/>
          </w:tcPr>
          <w:p w:rsidR="001F02E6" w:rsidRPr="003B6E11" w:rsidRDefault="001F02E6" w:rsidP="003A47CF">
            <w:pPr>
              <w:tabs>
                <w:tab w:val="left" w:leader="dot" w:pos="3621"/>
              </w:tabs>
              <w:spacing w:before="60" w:after="60" w:line="240" w:lineRule="atLeast"/>
              <w:ind w:left="720" w:hanging="357"/>
              <w:rPr>
                <w:rFonts w:eastAsia="Calibri" w:cs="Arial"/>
                <w:sz w:val="18"/>
                <w:szCs w:val="18"/>
                <w:lang w:val="cs-CZ"/>
              </w:rPr>
            </w:pPr>
            <w:r w:rsidRPr="003B6E11">
              <w:rPr>
                <w:sz w:val="18"/>
                <w:lang w:val="cs-CZ"/>
              </w:rPr>
              <w:t>2.</w:t>
            </w:r>
            <w:r w:rsidRPr="003B6E11">
              <w:rPr>
                <w:lang w:val="cs-CZ"/>
              </w:rPr>
              <w:tab/>
            </w:r>
            <w:r w:rsidRPr="003B6E11">
              <w:rPr>
                <w:sz w:val="18"/>
                <w:lang w:val="cs-CZ"/>
              </w:rPr>
              <w:t xml:space="preserve">v případě izolačního transformátoru obsluhujícího jediné používané zařízení </w:t>
            </w:r>
            <w:r w:rsidRPr="003B6E11">
              <w:rPr>
                <w:lang w:val="cs-CZ"/>
              </w:rPr>
              <w:tab/>
            </w:r>
          </w:p>
        </w:tc>
        <w:tc>
          <w:tcPr>
            <w:tcW w:w="1680" w:type="dxa"/>
            <w:vAlign w:val="bottom"/>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w:t>
            </w:r>
          </w:p>
        </w:tc>
        <w:tc>
          <w:tcPr>
            <w:tcW w:w="1680" w:type="dxa"/>
            <w:vAlign w:val="bottom"/>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250 V</w:t>
            </w:r>
            <w:r w:rsidRPr="003B6E11">
              <w:rPr>
                <w:sz w:val="18"/>
                <w:vertAlign w:val="superscript"/>
                <w:lang w:val="cs-CZ"/>
              </w:rPr>
              <w:t>2)</w:t>
            </w:r>
          </w:p>
        </w:tc>
        <w:tc>
          <w:tcPr>
            <w:tcW w:w="1796" w:type="dxa"/>
            <w:vAlign w:val="bottom"/>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w:t>
            </w:r>
          </w:p>
        </w:tc>
      </w:tr>
      <w:tr w:rsidR="001F02E6" w:rsidRPr="003B6E11" w:rsidTr="00AA5633">
        <w:tc>
          <w:tcPr>
            <w:tcW w:w="3960" w:type="dxa"/>
            <w:vAlign w:val="bottom"/>
          </w:tcPr>
          <w:p w:rsidR="001F02E6" w:rsidRPr="003B6E11" w:rsidRDefault="001F02E6" w:rsidP="00666810">
            <w:pPr>
              <w:tabs>
                <w:tab w:val="left" w:leader="dot" w:pos="3621"/>
              </w:tabs>
              <w:spacing w:before="60" w:after="60" w:line="240" w:lineRule="atLeast"/>
              <w:ind w:left="720" w:hanging="357"/>
              <w:rPr>
                <w:rFonts w:eastAsia="Calibri" w:cs="Arial"/>
                <w:sz w:val="18"/>
                <w:szCs w:val="18"/>
                <w:lang w:val="cs-CZ"/>
              </w:rPr>
            </w:pPr>
            <w:r w:rsidRPr="003B6E11">
              <w:rPr>
                <w:sz w:val="18"/>
                <w:lang w:val="cs-CZ"/>
              </w:rPr>
              <w:t>3.</w:t>
            </w:r>
            <w:r w:rsidRPr="003B6E11">
              <w:rPr>
                <w:lang w:val="cs-CZ"/>
              </w:rPr>
              <w:tab/>
            </w:r>
            <w:r w:rsidRPr="003B6E11">
              <w:rPr>
                <w:sz w:val="18"/>
                <w:lang w:val="cs-CZ"/>
              </w:rPr>
              <w:t xml:space="preserve">v případě používaných zařízení vybavených ochrannou izolací (dvojitou izolací) </w:t>
            </w:r>
            <w:r w:rsidRPr="003B6E11">
              <w:rPr>
                <w:lang w:val="cs-CZ"/>
              </w:rPr>
              <w:tab/>
            </w:r>
          </w:p>
        </w:tc>
        <w:tc>
          <w:tcPr>
            <w:tcW w:w="1680" w:type="dxa"/>
            <w:vAlign w:val="bottom"/>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250 V</w:t>
            </w:r>
          </w:p>
        </w:tc>
        <w:tc>
          <w:tcPr>
            <w:tcW w:w="1680" w:type="dxa"/>
            <w:vAlign w:val="bottom"/>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250 V</w:t>
            </w:r>
          </w:p>
        </w:tc>
        <w:tc>
          <w:tcPr>
            <w:tcW w:w="1796" w:type="dxa"/>
            <w:vAlign w:val="bottom"/>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w:t>
            </w:r>
          </w:p>
        </w:tc>
      </w:tr>
      <w:tr w:rsidR="001F02E6" w:rsidRPr="003B6E11" w:rsidTr="00AA5633">
        <w:tc>
          <w:tcPr>
            <w:tcW w:w="3960" w:type="dxa"/>
            <w:vAlign w:val="bottom"/>
          </w:tcPr>
          <w:p w:rsidR="001F02E6" w:rsidRPr="003B6E11" w:rsidRDefault="001F02E6" w:rsidP="00666810">
            <w:pPr>
              <w:tabs>
                <w:tab w:val="left" w:leader="dot" w:pos="3621"/>
              </w:tabs>
              <w:spacing w:before="60" w:after="60" w:line="240" w:lineRule="atLeast"/>
              <w:ind w:left="720" w:hanging="357"/>
              <w:rPr>
                <w:rFonts w:eastAsia="Calibri" w:cs="Arial"/>
                <w:sz w:val="18"/>
                <w:szCs w:val="18"/>
                <w:lang w:val="cs-CZ"/>
              </w:rPr>
            </w:pPr>
            <w:r w:rsidRPr="003B6E11">
              <w:rPr>
                <w:sz w:val="18"/>
                <w:lang w:val="cs-CZ"/>
              </w:rPr>
              <w:t>4.</w:t>
            </w:r>
            <w:r w:rsidRPr="003B6E11">
              <w:rPr>
                <w:lang w:val="cs-CZ"/>
              </w:rPr>
              <w:tab/>
            </w:r>
            <w:r w:rsidRPr="003B6E11">
              <w:rPr>
                <w:sz w:val="18"/>
                <w:lang w:val="cs-CZ"/>
              </w:rPr>
              <w:t xml:space="preserve">v případě použití jističe zbytkového proudu ≤ 30 mA </w:t>
            </w:r>
            <w:r w:rsidRPr="003B6E11">
              <w:rPr>
                <w:lang w:val="cs-CZ"/>
              </w:rPr>
              <w:tab/>
            </w:r>
          </w:p>
        </w:tc>
        <w:tc>
          <w:tcPr>
            <w:tcW w:w="1680" w:type="dxa"/>
            <w:vAlign w:val="bottom"/>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w:t>
            </w:r>
          </w:p>
        </w:tc>
        <w:tc>
          <w:tcPr>
            <w:tcW w:w="1680" w:type="dxa"/>
            <w:vAlign w:val="bottom"/>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250 V</w:t>
            </w:r>
          </w:p>
        </w:tc>
        <w:tc>
          <w:tcPr>
            <w:tcW w:w="1796" w:type="dxa"/>
            <w:vAlign w:val="bottom"/>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690 V</w:t>
            </w:r>
          </w:p>
        </w:tc>
      </w:tr>
      <w:tr w:rsidR="001F02E6" w:rsidRPr="003B6E11" w:rsidTr="00666810">
        <w:trPr>
          <w:cantSplit/>
        </w:trPr>
        <w:tc>
          <w:tcPr>
            <w:tcW w:w="3960" w:type="dxa"/>
            <w:vAlign w:val="bottom"/>
          </w:tcPr>
          <w:p w:rsidR="001F02E6" w:rsidRPr="003B6E11" w:rsidRDefault="001F02E6" w:rsidP="00666810">
            <w:pPr>
              <w:tabs>
                <w:tab w:val="left" w:leader="dot" w:pos="3621"/>
              </w:tabs>
              <w:spacing w:before="60" w:after="60" w:line="240" w:lineRule="atLeast"/>
              <w:ind w:left="360" w:hanging="357"/>
              <w:rPr>
                <w:rFonts w:eastAsia="Calibri" w:cs="Arial"/>
                <w:sz w:val="18"/>
                <w:szCs w:val="18"/>
                <w:lang w:val="cs-CZ"/>
              </w:rPr>
            </w:pPr>
            <w:r w:rsidRPr="003B6E11">
              <w:rPr>
                <w:sz w:val="18"/>
                <w:lang w:val="cs-CZ"/>
              </w:rPr>
              <w:t>d)</w:t>
            </w:r>
            <w:r w:rsidRPr="003B6E11">
              <w:rPr>
                <w:lang w:val="cs-CZ"/>
              </w:rPr>
              <w:tab/>
            </w:r>
            <w:r w:rsidRPr="003B6E11">
              <w:rPr>
                <w:sz w:val="18"/>
                <w:lang w:val="cs-CZ"/>
              </w:rPr>
              <w:t xml:space="preserve">Mobilní elektrická zařízení (jako např. elektrická zařízení kontejnerů, motorů, ventilátorů a čerpadel), jež nejsou normálně nastavována během provozu, jejichž nechráněné vodivé části jsou uzemněny ochranným vodičem začleněným do spojovacího kabelu a která jsou připojena k trupu nejen tímto ochranným vodičem, ale i svým umístěním nebo jiným vodičem </w:t>
            </w:r>
            <w:r w:rsidRPr="003B6E11">
              <w:rPr>
                <w:lang w:val="cs-CZ"/>
              </w:rPr>
              <w:tab/>
            </w:r>
          </w:p>
        </w:tc>
        <w:tc>
          <w:tcPr>
            <w:tcW w:w="1680" w:type="dxa"/>
            <w:vAlign w:val="bottom"/>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250 V</w:t>
            </w:r>
          </w:p>
        </w:tc>
        <w:tc>
          <w:tcPr>
            <w:tcW w:w="1680" w:type="dxa"/>
            <w:vAlign w:val="bottom"/>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250 V</w:t>
            </w:r>
          </w:p>
        </w:tc>
        <w:tc>
          <w:tcPr>
            <w:tcW w:w="1796" w:type="dxa"/>
            <w:vAlign w:val="bottom"/>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690 V</w:t>
            </w:r>
          </w:p>
        </w:tc>
      </w:tr>
      <w:tr w:rsidR="001F02E6" w:rsidRPr="003B6E11" w:rsidTr="00AA5633">
        <w:tc>
          <w:tcPr>
            <w:tcW w:w="3960" w:type="dxa"/>
            <w:vAlign w:val="bottom"/>
          </w:tcPr>
          <w:p w:rsidR="001F02E6" w:rsidRPr="003B6E11" w:rsidRDefault="001F02E6" w:rsidP="00666810">
            <w:pPr>
              <w:tabs>
                <w:tab w:val="left" w:leader="dot" w:pos="3621"/>
              </w:tabs>
              <w:spacing w:before="60" w:after="60" w:line="240" w:lineRule="atLeast"/>
              <w:ind w:left="360" w:hanging="357"/>
              <w:rPr>
                <w:rFonts w:eastAsia="Calibri" w:cs="Arial"/>
                <w:sz w:val="18"/>
                <w:szCs w:val="18"/>
                <w:lang w:val="cs-CZ"/>
              </w:rPr>
            </w:pPr>
            <w:r w:rsidRPr="003B6E11">
              <w:rPr>
                <w:sz w:val="18"/>
                <w:lang w:val="cs-CZ"/>
              </w:rPr>
              <w:t>e)</w:t>
            </w:r>
            <w:r w:rsidRPr="003B6E11">
              <w:rPr>
                <w:lang w:val="cs-CZ"/>
              </w:rPr>
              <w:tab/>
            </w:r>
            <w:r w:rsidRPr="003B6E11">
              <w:rPr>
                <w:sz w:val="18"/>
                <w:lang w:val="cs-CZ"/>
              </w:rPr>
              <w:t xml:space="preserve">Elektrické zásuvky pro napájení mobilních elektrických zařízení používaných v kotlích a nádržích </w:t>
            </w:r>
            <w:r w:rsidRPr="003B6E11">
              <w:rPr>
                <w:lang w:val="cs-CZ"/>
              </w:rPr>
              <w:tab/>
            </w:r>
          </w:p>
        </w:tc>
        <w:tc>
          <w:tcPr>
            <w:tcW w:w="1680" w:type="dxa"/>
            <w:vAlign w:val="bottom"/>
          </w:tcPr>
          <w:p w:rsidR="001F02E6" w:rsidRPr="003B6E11" w:rsidRDefault="001F02E6" w:rsidP="00666810">
            <w:pPr>
              <w:spacing w:before="60" w:after="60" w:line="240" w:lineRule="atLeast"/>
              <w:jc w:val="center"/>
              <w:rPr>
                <w:rFonts w:eastAsia="Calibri" w:cs="Arial"/>
                <w:sz w:val="18"/>
                <w:szCs w:val="18"/>
                <w:vertAlign w:val="superscript"/>
                <w:lang w:val="cs-CZ"/>
              </w:rPr>
            </w:pPr>
            <w:r w:rsidRPr="003B6E11">
              <w:rPr>
                <w:sz w:val="18"/>
                <w:lang w:val="cs-CZ"/>
              </w:rPr>
              <w:t>50 V</w:t>
            </w:r>
            <w:r w:rsidRPr="003B6E11">
              <w:rPr>
                <w:sz w:val="18"/>
                <w:vertAlign w:val="superscript"/>
                <w:lang w:val="cs-CZ"/>
              </w:rPr>
              <w:t>1)</w:t>
            </w:r>
          </w:p>
        </w:tc>
        <w:tc>
          <w:tcPr>
            <w:tcW w:w="1680" w:type="dxa"/>
            <w:vAlign w:val="bottom"/>
          </w:tcPr>
          <w:p w:rsidR="001F02E6" w:rsidRPr="003B6E11" w:rsidRDefault="001F02E6" w:rsidP="00666810">
            <w:pPr>
              <w:spacing w:before="60" w:after="60" w:line="240" w:lineRule="atLeast"/>
              <w:jc w:val="center"/>
              <w:rPr>
                <w:rFonts w:eastAsia="Calibri" w:cs="Arial"/>
                <w:sz w:val="18"/>
                <w:szCs w:val="18"/>
                <w:vertAlign w:val="superscript"/>
                <w:lang w:val="cs-CZ"/>
              </w:rPr>
            </w:pPr>
            <w:r w:rsidRPr="003B6E11">
              <w:rPr>
                <w:sz w:val="18"/>
                <w:lang w:val="cs-CZ"/>
              </w:rPr>
              <w:t>50 V</w:t>
            </w:r>
            <w:r w:rsidRPr="003B6E11">
              <w:rPr>
                <w:sz w:val="18"/>
                <w:vertAlign w:val="superscript"/>
                <w:lang w:val="cs-CZ"/>
              </w:rPr>
              <w:t>(1)</w:t>
            </w:r>
          </w:p>
        </w:tc>
        <w:tc>
          <w:tcPr>
            <w:tcW w:w="1796" w:type="dxa"/>
            <w:vAlign w:val="bottom"/>
          </w:tcPr>
          <w:p w:rsidR="001F02E6" w:rsidRPr="003B6E11" w:rsidRDefault="001F02E6" w:rsidP="00666810">
            <w:pPr>
              <w:spacing w:before="60" w:after="60" w:line="240" w:lineRule="atLeast"/>
              <w:jc w:val="center"/>
              <w:rPr>
                <w:rFonts w:eastAsia="Calibri" w:cs="Arial"/>
                <w:sz w:val="18"/>
                <w:szCs w:val="18"/>
                <w:lang w:val="cs-CZ"/>
              </w:rPr>
            </w:pPr>
            <w:r w:rsidRPr="003B6E11">
              <w:rPr>
                <w:sz w:val="18"/>
                <w:lang w:val="cs-CZ"/>
              </w:rPr>
              <w:t>-</w:t>
            </w:r>
          </w:p>
        </w:tc>
      </w:tr>
      <w:tr w:rsidR="001F02E6" w:rsidRPr="002D015D" w:rsidTr="001F02E6">
        <w:tc>
          <w:tcPr>
            <w:tcW w:w="9116" w:type="dxa"/>
            <w:gridSpan w:val="4"/>
          </w:tcPr>
          <w:p w:rsidR="001F02E6" w:rsidRPr="003B6E11" w:rsidRDefault="001F02E6" w:rsidP="00666810">
            <w:pPr>
              <w:spacing w:before="60" w:after="60" w:line="240" w:lineRule="atLeast"/>
              <w:rPr>
                <w:rFonts w:eastAsia="Calibri" w:cs="Arial"/>
                <w:sz w:val="18"/>
                <w:szCs w:val="18"/>
                <w:lang w:val="cs-CZ"/>
              </w:rPr>
            </w:pPr>
            <w:r w:rsidRPr="003B6E11">
              <w:rPr>
                <w:sz w:val="18"/>
                <w:lang w:val="cs-CZ"/>
              </w:rPr>
              <w:t>Poznámky:</w:t>
            </w:r>
          </w:p>
          <w:p w:rsidR="001F02E6" w:rsidRPr="003B6E11" w:rsidRDefault="00666810" w:rsidP="00666810">
            <w:pPr>
              <w:spacing w:before="60" w:after="60" w:line="240" w:lineRule="atLeast"/>
              <w:ind w:left="240" w:hanging="240"/>
              <w:rPr>
                <w:rFonts w:eastAsia="Calibri" w:cs="Arial"/>
                <w:sz w:val="18"/>
                <w:szCs w:val="18"/>
                <w:lang w:val="cs-CZ"/>
              </w:rPr>
            </w:pPr>
            <w:r w:rsidRPr="003B6E11">
              <w:rPr>
                <w:sz w:val="18"/>
                <w:vertAlign w:val="superscript"/>
                <w:lang w:val="cs-CZ"/>
              </w:rPr>
              <w:t>(1)</w:t>
            </w:r>
            <w:r w:rsidRPr="003B6E11">
              <w:rPr>
                <w:lang w:val="cs-CZ"/>
              </w:rPr>
              <w:tab/>
            </w:r>
            <w:r w:rsidRPr="003B6E11">
              <w:rPr>
                <w:sz w:val="18"/>
                <w:lang w:val="cs-CZ"/>
              </w:rPr>
              <w:t>Pokud toto napětí pochází ze sítí s vyšším napětím, musí být použit galvanický izolátor (izolační transformátor).</w:t>
            </w:r>
          </w:p>
          <w:p w:rsidR="001F02E6" w:rsidRPr="003B6E11" w:rsidRDefault="00666810" w:rsidP="00666810">
            <w:pPr>
              <w:spacing w:before="60" w:after="60" w:line="240" w:lineRule="atLeast"/>
              <w:ind w:left="240" w:hanging="240"/>
              <w:rPr>
                <w:rFonts w:eastAsia="Calibri" w:cs="Arial"/>
                <w:sz w:val="18"/>
                <w:szCs w:val="18"/>
                <w:lang w:val="cs-CZ"/>
              </w:rPr>
            </w:pPr>
            <w:r w:rsidRPr="003B6E11">
              <w:rPr>
                <w:sz w:val="18"/>
                <w:vertAlign w:val="superscript"/>
                <w:lang w:val="cs-CZ"/>
              </w:rPr>
              <w:t>(2)</w:t>
            </w:r>
            <w:r w:rsidRPr="003B6E11">
              <w:rPr>
                <w:lang w:val="cs-CZ"/>
              </w:rPr>
              <w:tab/>
            </w:r>
            <w:r w:rsidRPr="003B6E11">
              <w:rPr>
                <w:sz w:val="18"/>
                <w:lang w:val="cs-CZ"/>
              </w:rPr>
              <w:t>Sekundární elektrický obvod musí být u všech polarit izolován od kostry.</w:t>
            </w:r>
          </w:p>
        </w:tc>
      </w:tr>
    </w:tbl>
    <w:p w:rsidR="001F02E6" w:rsidRPr="003B6E11" w:rsidRDefault="001F02E6" w:rsidP="001F02E6">
      <w:pPr>
        <w:pStyle w:val="ESch"/>
        <w:rPr>
          <w:lang w:val="cs-CZ"/>
        </w:rPr>
      </w:pPr>
    </w:p>
    <w:p w:rsidR="00AB2818" w:rsidRPr="003B6E11" w:rsidRDefault="00AB2818">
      <w:pPr>
        <w:rPr>
          <w:lang w:val="cs-CZ"/>
        </w:rPr>
      </w:pPr>
      <w:r w:rsidRPr="003B6E11">
        <w:rPr>
          <w:lang w:val="cs-CZ"/>
        </w:rPr>
        <w:br w:type="page"/>
      </w:r>
    </w:p>
    <w:p w:rsidR="00AB2818" w:rsidRPr="003B6E11" w:rsidRDefault="00AB2818" w:rsidP="001F02E6">
      <w:pPr>
        <w:pStyle w:val="ESch"/>
        <w:rPr>
          <w:lang w:val="cs-CZ"/>
        </w:rPr>
      </w:pPr>
    </w:p>
    <w:p w:rsidR="001F02E6" w:rsidRPr="003B6E11" w:rsidRDefault="001F02E6" w:rsidP="001F02E6">
      <w:pPr>
        <w:pStyle w:val="ESch"/>
        <w:rPr>
          <w:rFonts w:eastAsia="Calibri"/>
          <w:lang w:val="cs-CZ"/>
        </w:rPr>
      </w:pPr>
      <w:r w:rsidRPr="003B6E11">
        <w:rPr>
          <w:lang w:val="cs-CZ"/>
        </w:rPr>
        <w:t>2.</w:t>
      </w:r>
      <w:r w:rsidRPr="003B6E11">
        <w:rPr>
          <w:lang w:val="cs-CZ"/>
        </w:rPr>
        <w:tab/>
        <w:t>Jsou-li dodržena požadovaná ochranná opatření, jsou vyšší napětí přípustná:</w:t>
      </w:r>
    </w:p>
    <w:p w:rsidR="001F02E6" w:rsidRPr="003B6E11" w:rsidRDefault="001F02E6" w:rsidP="001F02E6">
      <w:pPr>
        <w:pStyle w:val="ESlet"/>
        <w:rPr>
          <w:rFonts w:eastAsia="Calibri"/>
          <w:lang w:val="cs-CZ"/>
        </w:rPr>
      </w:pPr>
      <w:r w:rsidRPr="003B6E11">
        <w:rPr>
          <w:lang w:val="cs-CZ"/>
        </w:rPr>
        <w:t>a)</w:t>
      </w:r>
      <w:r w:rsidRPr="003B6E11">
        <w:rPr>
          <w:lang w:val="cs-CZ"/>
        </w:rPr>
        <w:tab/>
        <w:t>pro pohonná zařízení, jejichž výkonnost to vyžaduje;</w:t>
      </w:r>
    </w:p>
    <w:p w:rsidR="001F02E6" w:rsidRPr="003B6E11" w:rsidRDefault="001F02E6" w:rsidP="001F02E6">
      <w:pPr>
        <w:pStyle w:val="ESlet"/>
        <w:rPr>
          <w:rFonts w:eastAsia="Calibri"/>
          <w:lang w:val="cs-CZ"/>
        </w:rPr>
      </w:pPr>
      <w:r w:rsidRPr="003B6E11">
        <w:rPr>
          <w:lang w:val="cs-CZ"/>
        </w:rPr>
        <w:t>b)</w:t>
      </w:r>
      <w:r w:rsidRPr="003B6E11">
        <w:rPr>
          <w:lang w:val="cs-CZ"/>
        </w:rPr>
        <w:tab/>
        <w:t>pro speciální zařízení na palubě, jako např. rádiové zařízení a zapalování.</w:t>
      </w:r>
    </w:p>
    <w:p w:rsidR="008A12E7" w:rsidRPr="003B6E11" w:rsidRDefault="008A12E7" w:rsidP="008A12E7">
      <w:pPr>
        <w:rPr>
          <w:rFonts w:cs="Arial"/>
          <w:szCs w:val="20"/>
          <w:lang w:val="cs-CZ"/>
        </w:rPr>
      </w:pPr>
    </w:p>
    <w:p w:rsidR="001F02E6" w:rsidRPr="003B6E11" w:rsidRDefault="001F02E6" w:rsidP="001F02E6">
      <w:pPr>
        <w:pStyle w:val="ESch"/>
        <w:rPr>
          <w:rFonts w:eastAsia="Calibri"/>
          <w:lang w:val="cs-CZ"/>
        </w:rPr>
      </w:pPr>
      <w:r w:rsidRPr="003B6E11">
        <w:rPr>
          <w:lang w:val="cs-CZ"/>
        </w:rPr>
        <w:t>3.</w:t>
      </w:r>
      <w:r w:rsidRPr="003B6E11">
        <w:rPr>
          <w:lang w:val="cs-CZ"/>
        </w:rPr>
        <w:tab/>
        <w:t>Subjekt pověřený prohlídkami může v odůvodněných případech povolit další výjimky, pokud jsou dodržena požadovaná ochranná opatření.</w:t>
      </w:r>
    </w:p>
    <w:p w:rsidR="001F02E6" w:rsidRPr="003B6E11" w:rsidRDefault="001F02E6" w:rsidP="008A12E7">
      <w:pPr>
        <w:rPr>
          <w:rFonts w:cs="Arial"/>
          <w:szCs w:val="20"/>
          <w:lang w:val="cs-CZ"/>
        </w:rPr>
      </w:pPr>
    </w:p>
    <w:p w:rsidR="00666810" w:rsidRPr="003B6E11" w:rsidRDefault="00666810" w:rsidP="008A12E7">
      <w:pPr>
        <w:rPr>
          <w:rFonts w:cs="Arial"/>
          <w:szCs w:val="20"/>
          <w:lang w:val="cs-CZ"/>
        </w:rPr>
      </w:pPr>
    </w:p>
    <w:p w:rsidR="008A12E7" w:rsidRPr="003B6E11" w:rsidRDefault="008A12E7" w:rsidP="00651EFD">
      <w:pPr>
        <w:pStyle w:val="ES-Titre3"/>
        <w:rPr>
          <w:lang w:val="cs-CZ"/>
        </w:rPr>
      </w:pPr>
      <w:bookmarkStart w:id="173" w:name="_Toc491854084"/>
      <w:bookmarkStart w:id="174" w:name="_Toc535416990"/>
      <w:r w:rsidRPr="003B6E11">
        <w:rPr>
          <w:lang w:val="cs-CZ"/>
        </w:rPr>
        <w:t>Článek 10.07</w:t>
      </w:r>
      <w:r w:rsidRPr="003B6E11">
        <w:rPr>
          <w:lang w:val="cs-CZ"/>
        </w:rPr>
        <w:br/>
      </w:r>
      <w:r w:rsidRPr="003B6E11">
        <w:rPr>
          <w:i/>
          <w:noProof/>
          <w:lang w:val="cs-CZ"/>
        </w:rPr>
        <w:t>Rozvodné systémy</w:t>
      </w:r>
      <w:bookmarkEnd w:id="173"/>
      <w:bookmarkEnd w:id="174"/>
    </w:p>
    <w:p w:rsidR="00651EFD" w:rsidRPr="003B6E11" w:rsidRDefault="00651EFD" w:rsidP="008A12E7">
      <w:pPr>
        <w:rPr>
          <w:rFonts w:cs="Arial"/>
          <w:noProof/>
          <w:szCs w:val="20"/>
          <w:lang w:val="cs-CZ"/>
        </w:rPr>
      </w:pPr>
    </w:p>
    <w:p w:rsidR="001F02E6" w:rsidRPr="003B6E11" w:rsidRDefault="001F02E6" w:rsidP="001F02E6">
      <w:pPr>
        <w:pStyle w:val="ESch"/>
        <w:rPr>
          <w:rFonts w:eastAsia="Calibri"/>
          <w:lang w:val="cs-CZ"/>
        </w:rPr>
      </w:pPr>
      <w:r w:rsidRPr="003B6E11">
        <w:rPr>
          <w:lang w:val="cs-CZ"/>
        </w:rPr>
        <w:t>1.</w:t>
      </w:r>
      <w:r w:rsidRPr="003B6E11">
        <w:rPr>
          <w:lang w:val="cs-CZ"/>
        </w:rPr>
        <w:tab/>
        <w:t>Pro stejnosměrný a jednofázový střídavý proud jsou přípustné tyto rozvodné systémy:</w:t>
      </w:r>
    </w:p>
    <w:p w:rsidR="001F02E6" w:rsidRPr="003B6E11" w:rsidRDefault="001F02E6" w:rsidP="001F02E6">
      <w:pPr>
        <w:pStyle w:val="ESlet"/>
        <w:rPr>
          <w:rFonts w:eastAsia="Calibri"/>
          <w:lang w:val="cs-CZ"/>
        </w:rPr>
      </w:pPr>
      <w:r w:rsidRPr="003B6E11">
        <w:rPr>
          <w:lang w:val="cs-CZ"/>
        </w:rPr>
        <w:t>a)</w:t>
      </w:r>
      <w:r w:rsidRPr="003B6E11">
        <w:rPr>
          <w:lang w:val="cs-CZ"/>
        </w:rPr>
        <w:tab/>
        <w:t>dvouvodičové systémy, z nichž je jeden uzemněn (L1/N/PE);</w:t>
      </w:r>
    </w:p>
    <w:p w:rsidR="001F02E6" w:rsidRPr="003B6E11" w:rsidRDefault="001F02E6" w:rsidP="001F02E6">
      <w:pPr>
        <w:pStyle w:val="ESlet"/>
        <w:rPr>
          <w:rFonts w:eastAsia="Calibri"/>
          <w:lang w:val="cs-CZ"/>
        </w:rPr>
      </w:pPr>
      <w:r w:rsidRPr="003B6E11">
        <w:rPr>
          <w:lang w:val="cs-CZ"/>
        </w:rPr>
        <w:t>b)</w:t>
      </w:r>
      <w:r w:rsidRPr="003B6E11">
        <w:rPr>
          <w:lang w:val="cs-CZ"/>
        </w:rPr>
        <w:tab/>
        <w:t>jednovodičové systémy využívající principu zpětného vedení lodním trupem, pouze pro místní zařízení (např. startéry spalovacích motorů) (L1/PEN);</w:t>
      </w:r>
    </w:p>
    <w:p w:rsidR="001F02E6" w:rsidRPr="003B6E11" w:rsidRDefault="001F02E6" w:rsidP="001F02E6">
      <w:pPr>
        <w:pStyle w:val="ESlet"/>
        <w:rPr>
          <w:rFonts w:eastAsia="Calibri"/>
          <w:lang w:val="cs-CZ"/>
        </w:rPr>
      </w:pPr>
      <w:r w:rsidRPr="003B6E11">
        <w:rPr>
          <w:lang w:val="cs-CZ"/>
        </w:rPr>
        <w:t>c)</w:t>
      </w:r>
      <w:r w:rsidRPr="003B6E11">
        <w:rPr>
          <w:lang w:val="cs-CZ"/>
        </w:rPr>
        <w:tab/>
        <w:t>dvouvodičové systémy izolované od trupu (L1/L2/PE).</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2.</w:t>
      </w:r>
      <w:r w:rsidRPr="003B6E11">
        <w:rPr>
          <w:lang w:val="cs-CZ"/>
        </w:rPr>
        <w:tab/>
        <w:t>Pro třífázový střídavý proud jsou přípustné tyto rozvodné systémy:</w:t>
      </w:r>
    </w:p>
    <w:p w:rsidR="001F02E6" w:rsidRPr="003B6E11" w:rsidRDefault="001F02E6" w:rsidP="001F02E6">
      <w:pPr>
        <w:pStyle w:val="ESlet"/>
        <w:rPr>
          <w:rFonts w:eastAsia="Calibri"/>
          <w:lang w:val="cs-CZ"/>
        </w:rPr>
      </w:pPr>
      <w:r w:rsidRPr="003B6E11">
        <w:rPr>
          <w:lang w:val="cs-CZ"/>
        </w:rPr>
        <w:t>a)</w:t>
      </w:r>
      <w:r w:rsidRPr="003B6E11">
        <w:rPr>
          <w:lang w:val="cs-CZ"/>
        </w:rPr>
        <w:tab/>
        <w:t>čtyřvodičové systémy s uzemněním nulového bodu nevyužívající princip zpětného vedení lodním trupem (L1/L2/L3/N/PE) = síť (TN-S) nebo síť (TT);</w:t>
      </w:r>
    </w:p>
    <w:p w:rsidR="001F02E6" w:rsidRPr="003B6E11" w:rsidRDefault="001F02E6" w:rsidP="001F02E6">
      <w:pPr>
        <w:pStyle w:val="ESlet"/>
        <w:rPr>
          <w:rFonts w:eastAsia="Calibri"/>
          <w:lang w:val="cs-CZ"/>
        </w:rPr>
      </w:pPr>
      <w:r w:rsidRPr="003B6E11">
        <w:rPr>
          <w:lang w:val="cs-CZ"/>
        </w:rPr>
        <w:t>b)</w:t>
      </w:r>
      <w:r w:rsidRPr="003B6E11">
        <w:rPr>
          <w:lang w:val="cs-CZ"/>
        </w:rPr>
        <w:tab/>
        <w:t>třívodičové systémy izolované od trupu (L1/L2/L3/PE) = síť (IT);</w:t>
      </w:r>
    </w:p>
    <w:p w:rsidR="001F02E6" w:rsidRPr="003B6E11" w:rsidRDefault="001F02E6" w:rsidP="001F02E6">
      <w:pPr>
        <w:pStyle w:val="ESlet"/>
        <w:rPr>
          <w:rFonts w:eastAsia="Calibri"/>
          <w:lang w:val="cs-CZ"/>
        </w:rPr>
      </w:pPr>
      <w:r w:rsidRPr="003B6E11">
        <w:rPr>
          <w:lang w:val="cs-CZ"/>
        </w:rPr>
        <w:t>c)</w:t>
      </w:r>
      <w:r w:rsidRPr="003B6E11">
        <w:rPr>
          <w:lang w:val="cs-CZ"/>
        </w:rPr>
        <w:tab/>
        <w:t>třívodičové systémy s uzemněním nulového bodu využívající princip zpětného vedení lodním trupem, s výjimkou koncových obvodů (L1/L2/L3/PEN).</w:t>
      </w:r>
    </w:p>
    <w:p w:rsidR="001F02E6" w:rsidRPr="003B6E11" w:rsidRDefault="001F02E6" w:rsidP="00AA5633">
      <w:pPr>
        <w:pStyle w:val="ESch"/>
        <w:rPr>
          <w:rFonts w:eastAsia="Calibri"/>
          <w:lang w:val="cs-CZ"/>
        </w:rPr>
      </w:pPr>
    </w:p>
    <w:p w:rsidR="001F02E6" w:rsidRPr="003B6E11" w:rsidRDefault="001F02E6" w:rsidP="001F02E6">
      <w:pPr>
        <w:pStyle w:val="ESch"/>
        <w:rPr>
          <w:lang w:val="cs-CZ"/>
        </w:rPr>
      </w:pPr>
      <w:r w:rsidRPr="003B6E11">
        <w:rPr>
          <w:lang w:val="cs-CZ"/>
        </w:rPr>
        <w:t>3.</w:t>
      </w:r>
      <w:r w:rsidRPr="003B6E11">
        <w:rPr>
          <w:lang w:val="cs-CZ"/>
        </w:rPr>
        <w:tab/>
        <w:t>Subjekt pověřený prohlídkami může povolit použití jiných rozvodných systémů.</w:t>
      </w:r>
    </w:p>
    <w:p w:rsidR="00651EFD" w:rsidRPr="003B6E11" w:rsidRDefault="00651EFD" w:rsidP="00AA5633">
      <w:pPr>
        <w:pStyle w:val="ESch"/>
        <w:rPr>
          <w:noProof/>
          <w:lang w:val="cs-CZ"/>
        </w:rPr>
      </w:pPr>
    </w:p>
    <w:p w:rsidR="00651EFD" w:rsidRPr="003B6E11" w:rsidRDefault="00651EFD" w:rsidP="00AA5633">
      <w:pPr>
        <w:pStyle w:val="ESch"/>
        <w:rPr>
          <w:noProof/>
          <w:lang w:val="cs-CZ"/>
        </w:rPr>
      </w:pPr>
    </w:p>
    <w:p w:rsidR="008A12E7" w:rsidRPr="003B6E11" w:rsidRDefault="008A12E7" w:rsidP="00651EFD">
      <w:pPr>
        <w:pStyle w:val="ES-Titre3"/>
        <w:rPr>
          <w:lang w:val="cs-CZ"/>
        </w:rPr>
      </w:pPr>
      <w:bookmarkStart w:id="175" w:name="_Toc491854085"/>
      <w:bookmarkStart w:id="176" w:name="_Toc535416991"/>
      <w:r w:rsidRPr="003B6E11">
        <w:rPr>
          <w:lang w:val="cs-CZ"/>
        </w:rPr>
        <w:t>Článek 10.08</w:t>
      </w:r>
      <w:r w:rsidRPr="003B6E11">
        <w:rPr>
          <w:lang w:val="cs-CZ"/>
        </w:rPr>
        <w:br/>
      </w:r>
      <w:r w:rsidRPr="003B6E11">
        <w:rPr>
          <w:i/>
          <w:lang w:val="cs-CZ"/>
        </w:rPr>
        <w:t>Břehové přípojky nebo jiné vnější sítě</w:t>
      </w:r>
      <w:bookmarkEnd w:id="175"/>
      <w:bookmarkEnd w:id="176"/>
    </w:p>
    <w:p w:rsidR="00651EFD" w:rsidRPr="003B6E11" w:rsidRDefault="00651EFD" w:rsidP="008A12E7">
      <w:pPr>
        <w:rPr>
          <w:rFonts w:cs="Arial"/>
          <w:noProof/>
          <w:szCs w:val="20"/>
          <w:lang w:val="cs-CZ"/>
        </w:rPr>
      </w:pPr>
    </w:p>
    <w:p w:rsidR="001F02E6" w:rsidRPr="003B6E11" w:rsidRDefault="001F02E6" w:rsidP="001F02E6">
      <w:pPr>
        <w:pStyle w:val="ESch"/>
        <w:rPr>
          <w:rFonts w:eastAsia="Calibri"/>
          <w:lang w:val="cs-CZ"/>
        </w:rPr>
      </w:pPr>
      <w:r w:rsidRPr="003B6E11">
        <w:rPr>
          <w:lang w:val="cs-CZ"/>
        </w:rPr>
        <w:t>1.</w:t>
      </w:r>
      <w:r w:rsidRPr="003B6E11">
        <w:rPr>
          <w:lang w:val="cs-CZ"/>
        </w:rPr>
        <w:tab/>
        <w:t>Napájecí jednotka, tj. celé palubní zařízení pro přenos elektrické energie na plavidlo, musí být konstruována takto:</w:t>
      </w:r>
    </w:p>
    <w:p w:rsidR="001F02E6" w:rsidRPr="003B6E11" w:rsidRDefault="001F02E6" w:rsidP="001F02E6">
      <w:pPr>
        <w:pStyle w:val="ESlet"/>
        <w:rPr>
          <w:rFonts w:eastAsia="Calibri"/>
          <w:lang w:val="cs-CZ"/>
        </w:rPr>
      </w:pPr>
      <w:r w:rsidRPr="003B6E11">
        <w:rPr>
          <w:lang w:val="cs-CZ"/>
        </w:rPr>
        <w:t>a)</w:t>
      </w:r>
      <w:r w:rsidRPr="003B6E11">
        <w:rPr>
          <w:lang w:val="cs-CZ"/>
        </w:rPr>
        <w:tab/>
        <w:t>přenos z pobřežních systémů elektrického napájení:</w:t>
      </w:r>
    </w:p>
    <w:p w:rsidR="001F02E6" w:rsidRPr="003B6E11" w:rsidRDefault="001F02E6" w:rsidP="001F02E6">
      <w:pPr>
        <w:pStyle w:val="EStiret"/>
        <w:rPr>
          <w:rFonts w:eastAsia="Calibri"/>
          <w:noProof w:val="0"/>
          <w:lang w:val="cs-CZ"/>
        </w:rPr>
      </w:pPr>
      <w:r w:rsidRPr="003B6E11">
        <w:rPr>
          <w:lang w:val="cs-CZ"/>
        </w:rPr>
        <w:t>aa)</w:t>
      </w:r>
      <w:r w:rsidRPr="003B6E11">
        <w:rPr>
          <w:lang w:val="cs-CZ"/>
        </w:rPr>
        <w:tab/>
        <w:t>v případě proudů do 125 A musí být splněny požadavky evropských norem EN 15869</w:t>
      </w:r>
      <w:r w:rsidRPr="003B6E11">
        <w:rPr>
          <w:lang w:val="cs-CZ"/>
        </w:rPr>
        <w:softHyphen/>
        <w:t>1 a EN 15869</w:t>
      </w:r>
      <w:r w:rsidRPr="003B6E11">
        <w:rPr>
          <w:lang w:val="cs-CZ"/>
        </w:rPr>
        <w:softHyphen/>
        <w:t>3 ve znění platném ke dni 6. července 2017;</w:t>
      </w:r>
    </w:p>
    <w:p w:rsidR="001F02E6" w:rsidRPr="003B6E11" w:rsidRDefault="001F02E6" w:rsidP="001F02E6">
      <w:pPr>
        <w:pStyle w:val="EStiret"/>
        <w:rPr>
          <w:rFonts w:eastAsia="Calibri"/>
          <w:noProof w:val="0"/>
          <w:lang w:val="cs-CZ"/>
        </w:rPr>
      </w:pPr>
      <w:r w:rsidRPr="003B6E11">
        <w:rPr>
          <w:lang w:val="cs-CZ"/>
        </w:rPr>
        <w:t>bb)</w:t>
      </w:r>
      <w:r w:rsidRPr="003B6E11">
        <w:rPr>
          <w:lang w:val="cs-CZ"/>
        </w:rPr>
        <w:tab/>
        <w:t>v případě proudů vyšších než 250 A musí být splněny požadavky evropské normy EN 16840:2017;</w:t>
      </w:r>
    </w:p>
    <w:p w:rsidR="001F02E6" w:rsidRPr="003B6E11" w:rsidRDefault="001F02E6" w:rsidP="001F02E6">
      <w:pPr>
        <w:pStyle w:val="ESlet"/>
        <w:rPr>
          <w:rFonts w:eastAsia="Calibri"/>
          <w:lang w:val="cs-CZ"/>
        </w:rPr>
      </w:pPr>
      <w:r w:rsidRPr="003B6E11">
        <w:rPr>
          <w:lang w:val="cs-CZ"/>
        </w:rPr>
        <w:t>b)</w:t>
      </w:r>
      <w:r w:rsidRPr="003B6E11">
        <w:rPr>
          <w:lang w:val="cs-CZ"/>
        </w:rPr>
        <w:tab/>
        <w:t>ve všech ostatních případech platí požadavky podle odstavců 2 až 9. Stanovené požadavky se považují za splněné, pokud jsou u daného použití dodrženy normy uvedené v písmenu a).</w:t>
      </w:r>
    </w:p>
    <w:p w:rsidR="001F02E6" w:rsidRPr="003B6E11" w:rsidRDefault="001F02E6" w:rsidP="001F02E6">
      <w:pPr>
        <w:pStyle w:val="ESch"/>
        <w:spacing w:line="240" w:lineRule="auto"/>
        <w:rPr>
          <w:rFonts w:eastAsia="Calibri"/>
          <w:sz w:val="18"/>
          <w:szCs w:val="18"/>
          <w:lang w:val="cs-CZ"/>
        </w:rPr>
      </w:pPr>
    </w:p>
    <w:p w:rsidR="001F02E6" w:rsidRPr="003B6E11" w:rsidRDefault="001F02E6" w:rsidP="001F02E6">
      <w:pPr>
        <w:pStyle w:val="ESch"/>
        <w:rPr>
          <w:rFonts w:eastAsia="Calibri"/>
          <w:lang w:val="cs-CZ"/>
        </w:rPr>
      </w:pPr>
      <w:r w:rsidRPr="003B6E11">
        <w:rPr>
          <w:lang w:val="cs-CZ"/>
        </w:rPr>
        <w:t>2.</w:t>
      </w:r>
      <w:r w:rsidRPr="003B6E11">
        <w:rPr>
          <w:lang w:val="cs-CZ"/>
        </w:rPr>
        <w:tab/>
        <w:t>Napájecí vedení z pobřežních sítí nebo jiných vnějších sítí k zařízením palubní sítě musí být na palubě možné připojit k napevno nainstalovaným svorkám nebo k napevno nainstalovaným zásuvkám. Kabelové přípojky nesmí být vystaveny zatížení v tahu.</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3.</w:t>
      </w:r>
      <w:r w:rsidRPr="003B6E11">
        <w:rPr>
          <w:lang w:val="cs-CZ"/>
        </w:rPr>
        <w:tab/>
        <w:t>Pokud přívodní napětí převyšuje 50 V, musí být trup uzemněn. Uzemňovací spoj by měl být speciálně označen.</w:t>
      </w:r>
    </w:p>
    <w:p w:rsidR="001F02E6" w:rsidRPr="003B6E11" w:rsidRDefault="001F02E6" w:rsidP="001F02E6">
      <w:pPr>
        <w:pStyle w:val="ESch"/>
        <w:rPr>
          <w:rFonts w:eastAsia="Calibri"/>
          <w:lang w:val="cs-CZ"/>
        </w:rPr>
      </w:pPr>
    </w:p>
    <w:p w:rsidR="00AB2818" w:rsidRPr="003B6E11" w:rsidRDefault="00AB2818">
      <w:pPr>
        <w:rPr>
          <w:rFonts w:eastAsia="Calibri"/>
          <w:lang w:val="cs-CZ"/>
        </w:rPr>
      </w:pPr>
      <w:r w:rsidRPr="003B6E11">
        <w:rPr>
          <w:lang w:val="cs-CZ"/>
        </w:rPr>
        <w:br w:type="page"/>
      </w:r>
    </w:p>
    <w:p w:rsidR="00AB2818" w:rsidRPr="003B6E11" w:rsidRDefault="00AB2818"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4.</w:t>
      </w:r>
      <w:r w:rsidRPr="003B6E11">
        <w:rPr>
          <w:lang w:val="cs-CZ"/>
        </w:rPr>
        <w:tab/>
        <w:t>Ochranná zařízení přípojek</w:t>
      </w:r>
      <w:r w:rsidRPr="003B6E11">
        <w:rPr>
          <w:rStyle w:val="Heading4Char"/>
          <w:lang w:val="cs-CZ"/>
        </w:rPr>
        <w:t xml:space="preserve"> </w:t>
      </w:r>
      <w:r w:rsidRPr="003B6E11">
        <w:rPr>
          <w:lang w:val="cs-CZ"/>
        </w:rPr>
        <w:t>musí být možné zajistit tak, aby se zamezilo souběžnému provozu generátorů palubní sítě spolu s pobřežní sítí nebo jinou vnější sítí. Krátkodobý souběžný provoz je povolen při přechodu z jednoho systému na druhý bez přerušení napětí.</w:t>
      </w:r>
    </w:p>
    <w:p w:rsidR="001F02E6" w:rsidRPr="003B6E11" w:rsidRDefault="001F02E6" w:rsidP="001F02E6">
      <w:pPr>
        <w:pStyle w:val="ESch"/>
        <w:spacing w:line="240" w:lineRule="auto"/>
        <w:rPr>
          <w:rFonts w:eastAsia="Calibri"/>
          <w:sz w:val="18"/>
          <w:szCs w:val="18"/>
          <w:lang w:val="cs-CZ"/>
        </w:rPr>
      </w:pPr>
    </w:p>
    <w:p w:rsidR="001F02E6" w:rsidRPr="003B6E11" w:rsidRDefault="001F02E6" w:rsidP="001F02E6">
      <w:pPr>
        <w:pStyle w:val="ESch"/>
        <w:rPr>
          <w:rFonts w:eastAsia="Calibri"/>
          <w:lang w:val="cs-CZ"/>
        </w:rPr>
      </w:pPr>
      <w:r w:rsidRPr="003B6E11">
        <w:rPr>
          <w:lang w:val="cs-CZ"/>
        </w:rPr>
        <w:t>5.</w:t>
      </w:r>
      <w:r w:rsidRPr="003B6E11">
        <w:rPr>
          <w:lang w:val="cs-CZ"/>
        </w:rPr>
        <w:tab/>
        <w:t>Přípojka musí být chráněna před zkratem a přetížením.</w:t>
      </w:r>
    </w:p>
    <w:p w:rsidR="001F02E6" w:rsidRPr="003B6E11" w:rsidRDefault="001F02E6" w:rsidP="001F02E6">
      <w:pPr>
        <w:pStyle w:val="ESch"/>
        <w:spacing w:line="240" w:lineRule="auto"/>
        <w:rPr>
          <w:rFonts w:eastAsia="Calibri"/>
          <w:sz w:val="18"/>
          <w:szCs w:val="18"/>
          <w:lang w:val="cs-CZ"/>
        </w:rPr>
      </w:pPr>
    </w:p>
    <w:p w:rsidR="001F02E6" w:rsidRPr="003B6E11" w:rsidRDefault="001F02E6" w:rsidP="001F02E6">
      <w:pPr>
        <w:pStyle w:val="ESch"/>
        <w:rPr>
          <w:rFonts w:eastAsia="Calibri"/>
          <w:lang w:val="cs-CZ"/>
        </w:rPr>
      </w:pPr>
      <w:r w:rsidRPr="003B6E11">
        <w:rPr>
          <w:lang w:val="cs-CZ"/>
        </w:rPr>
        <w:t>6.</w:t>
      </w:r>
      <w:r w:rsidRPr="003B6E11">
        <w:rPr>
          <w:lang w:val="cs-CZ"/>
        </w:rPr>
        <w:tab/>
        <w:t>Hlavní rozvaděč musí ukazovat, zda je přípojka pod napětím.</w:t>
      </w:r>
    </w:p>
    <w:p w:rsidR="001F02E6" w:rsidRPr="003B6E11" w:rsidRDefault="001F02E6" w:rsidP="001F02E6">
      <w:pPr>
        <w:pStyle w:val="ESch"/>
        <w:spacing w:line="240" w:lineRule="auto"/>
        <w:rPr>
          <w:rFonts w:eastAsia="Calibri"/>
          <w:sz w:val="18"/>
          <w:szCs w:val="18"/>
          <w:lang w:val="cs-CZ"/>
        </w:rPr>
      </w:pPr>
    </w:p>
    <w:p w:rsidR="001F02E6" w:rsidRPr="003B6E11" w:rsidRDefault="001F02E6" w:rsidP="001F02E6">
      <w:pPr>
        <w:pStyle w:val="ESch"/>
        <w:rPr>
          <w:rFonts w:eastAsia="Calibri"/>
          <w:lang w:val="cs-CZ"/>
        </w:rPr>
      </w:pPr>
      <w:r w:rsidRPr="003B6E11">
        <w:rPr>
          <w:lang w:val="cs-CZ"/>
        </w:rPr>
        <w:t>7.</w:t>
      </w:r>
      <w:r w:rsidRPr="003B6E11">
        <w:rPr>
          <w:lang w:val="cs-CZ"/>
        </w:rPr>
        <w:tab/>
        <w:t>Musí být nainstalováno kontrolní zařízení, aby bylo možno v případě stejnosměrného proudu srovnat polaritu a u střídavého proudu sled fází mezi přípojkou a palubní sítí.</w:t>
      </w:r>
    </w:p>
    <w:p w:rsidR="001F02E6" w:rsidRPr="003B6E11" w:rsidRDefault="001F02E6" w:rsidP="001F02E6">
      <w:pPr>
        <w:pStyle w:val="ESch"/>
        <w:spacing w:line="240" w:lineRule="auto"/>
        <w:rPr>
          <w:rFonts w:eastAsia="Calibri"/>
          <w:sz w:val="18"/>
          <w:szCs w:val="18"/>
          <w:lang w:val="cs-CZ"/>
        </w:rPr>
      </w:pPr>
    </w:p>
    <w:p w:rsidR="001F02E6" w:rsidRPr="003B6E11" w:rsidRDefault="001F02E6" w:rsidP="001F02E6">
      <w:pPr>
        <w:pStyle w:val="ESch"/>
        <w:rPr>
          <w:rFonts w:eastAsia="Calibri"/>
          <w:lang w:val="cs-CZ"/>
        </w:rPr>
      </w:pPr>
      <w:r w:rsidRPr="003B6E11">
        <w:rPr>
          <w:lang w:val="cs-CZ"/>
        </w:rPr>
        <w:t>8.</w:t>
      </w:r>
      <w:r w:rsidRPr="003B6E11">
        <w:rPr>
          <w:lang w:val="cs-CZ"/>
        </w:rPr>
        <w:tab/>
        <w:t>Na štítku na přípojce musí být uvedeny tyto údaje:</w:t>
      </w:r>
    </w:p>
    <w:p w:rsidR="001F02E6" w:rsidRPr="003B6E11" w:rsidRDefault="001F02E6" w:rsidP="001F02E6">
      <w:pPr>
        <w:pStyle w:val="ESlet"/>
        <w:rPr>
          <w:rFonts w:eastAsia="Calibri"/>
          <w:lang w:val="cs-CZ"/>
        </w:rPr>
      </w:pPr>
      <w:r w:rsidRPr="003B6E11">
        <w:rPr>
          <w:lang w:val="cs-CZ"/>
        </w:rPr>
        <w:t>a)</w:t>
      </w:r>
      <w:r w:rsidRPr="003B6E11">
        <w:rPr>
          <w:lang w:val="cs-CZ"/>
        </w:rPr>
        <w:tab/>
        <w:t>opatření nezbytná ke zřízení přípojky;</w:t>
      </w:r>
    </w:p>
    <w:p w:rsidR="001F02E6" w:rsidRPr="003B6E11" w:rsidRDefault="001F02E6" w:rsidP="001F02E6">
      <w:pPr>
        <w:pStyle w:val="ESlet"/>
        <w:rPr>
          <w:rFonts w:eastAsia="Calibri"/>
          <w:lang w:val="cs-CZ"/>
        </w:rPr>
      </w:pPr>
      <w:r w:rsidRPr="003B6E11">
        <w:rPr>
          <w:lang w:val="cs-CZ"/>
        </w:rPr>
        <w:t>b)</w:t>
      </w:r>
      <w:r w:rsidRPr="003B6E11">
        <w:rPr>
          <w:lang w:val="cs-CZ"/>
        </w:rPr>
        <w:tab/>
        <w:t>druh proudu a jmenovité napětí a u střídavého proudu kmitočet.</w:t>
      </w:r>
    </w:p>
    <w:p w:rsidR="001F02E6" w:rsidRPr="003B6E11" w:rsidRDefault="001F02E6" w:rsidP="001F02E6">
      <w:pPr>
        <w:pStyle w:val="ESch"/>
        <w:spacing w:line="240" w:lineRule="auto"/>
        <w:rPr>
          <w:rFonts w:eastAsia="Calibri"/>
          <w:sz w:val="18"/>
          <w:szCs w:val="18"/>
          <w:lang w:val="cs-CZ"/>
        </w:rPr>
      </w:pPr>
    </w:p>
    <w:p w:rsidR="001F02E6" w:rsidRPr="003B6E11" w:rsidRDefault="001F02E6" w:rsidP="001F02E6">
      <w:pPr>
        <w:pStyle w:val="ESch"/>
        <w:rPr>
          <w:rStyle w:val="Heading4Char"/>
          <w:lang w:val="cs-CZ"/>
        </w:rPr>
      </w:pPr>
      <w:r w:rsidRPr="003B6E11">
        <w:rPr>
          <w:lang w:val="cs-CZ"/>
        </w:rPr>
        <w:t>9.</w:t>
      </w:r>
      <w:r w:rsidRPr="003B6E11">
        <w:rPr>
          <w:lang w:val="cs-CZ"/>
        </w:rPr>
        <w:tab/>
        <w:t>Při použití zásuvek pro jmenovitý proud větší než 16 A je nutno zajistit, aby bylo možné provést zapojení a odpojení pouze tehdy, kdy vedení není pod napětím.</w:t>
      </w:r>
      <w:r w:rsidRPr="003B6E11">
        <w:rPr>
          <w:rStyle w:val="Heading4Char"/>
          <w:lang w:val="cs-CZ"/>
        </w:rPr>
        <w:t xml:space="preserve"> </w:t>
      </w:r>
    </w:p>
    <w:p w:rsidR="008A12E7" w:rsidRPr="003B6E11" w:rsidRDefault="008A12E7" w:rsidP="008A12E7">
      <w:pPr>
        <w:rPr>
          <w:rFonts w:cs="Arial"/>
          <w:szCs w:val="20"/>
          <w:lang w:val="cs-CZ"/>
        </w:rPr>
      </w:pPr>
    </w:p>
    <w:p w:rsidR="00651EFD" w:rsidRPr="003B6E11" w:rsidRDefault="00651EFD" w:rsidP="008A12E7">
      <w:pPr>
        <w:rPr>
          <w:rFonts w:cs="Arial"/>
          <w:szCs w:val="20"/>
          <w:lang w:val="cs-CZ"/>
        </w:rPr>
      </w:pPr>
    </w:p>
    <w:p w:rsidR="008A12E7" w:rsidRPr="003B6E11" w:rsidRDefault="008A12E7" w:rsidP="00651EFD">
      <w:pPr>
        <w:pStyle w:val="ES-Titre3"/>
        <w:rPr>
          <w:lang w:val="cs-CZ"/>
        </w:rPr>
      </w:pPr>
      <w:bookmarkStart w:id="177" w:name="_Toc491854086"/>
      <w:bookmarkStart w:id="178" w:name="_Toc535416992"/>
      <w:r w:rsidRPr="003B6E11">
        <w:rPr>
          <w:lang w:val="cs-CZ"/>
        </w:rPr>
        <w:t>Článek 10.09</w:t>
      </w:r>
      <w:r w:rsidRPr="003B6E11">
        <w:rPr>
          <w:lang w:val="cs-CZ"/>
        </w:rPr>
        <w:br/>
      </w:r>
      <w:r w:rsidRPr="003B6E11">
        <w:rPr>
          <w:i/>
          <w:noProof/>
          <w:lang w:val="cs-CZ"/>
        </w:rPr>
        <w:t>Napájení jiného plavidla</w:t>
      </w:r>
      <w:bookmarkEnd w:id="177"/>
      <w:bookmarkEnd w:id="178"/>
    </w:p>
    <w:p w:rsidR="00651EFD" w:rsidRPr="003B6E11" w:rsidRDefault="00651EFD" w:rsidP="008A12E7">
      <w:pPr>
        <w:rPr>
          <w:rFonts w:cs="Arial"/>
          <w:noProof/>
          <w:szCs w:val="20"/>
          <w:lang w:val="cs-CZ"/>
        </w:rPr>
      </w:pPr>
    </w:p>
    <w:p w:rsidR="001F02E6" w:rsidRPr="003B6E11" w:rsidRDefault="001F02E6" w:rsidP="001F02E6">
      <w:pPr>
        <w:pStyle w:val="ESch"/>
        <w:rPr>
          <w:rFonts w:eastAsia="Calibri"/>
          <w:strike/>
          <w:lang w:val="cs-CZ"/>
        </w:rPr>
      </w:pPr>
      <w:r w:rsidRPr="003B6E11">
        <w:rPr>
          <w:lang w:val="cs-CZ"/>
        </w:rPr>
        <w:t>1.</w:t>
      </w:r>
      <w:r w:rsidRPr="003B6E11">
        <w:rPr>
          <w:lang w:val="cs-CZ"/>
        </w:rPr>
        <w:tab/>
        <w:t xml:space="preserve">Je-li elektrická energie dodávána na jiné plavidlo, musí být k dispozici samostatná přípojka. </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2.</w:t>
      </w:r>
      <w:r w:rsidRPr="003B6E11">
        <w:rPr>
          <w:lang w:val="cs-CZ"/>
        </w:rPr>
        <w:tab/>
        <w:t>Ustanovení čl. 10.08 odst. 2 a 4 až 9 se použijí obdobně.</w:t>
      </w:r>
    </w:p>
    <w:p w:rsidR="008A12E7" w:rsidRPr="003B6E11" w:rsidRDefault="008A12E7" w:rsidP="00253FD8">
      <w:pPr>
        <w:pStyle w:val="ESch"/>
        <w:rPr>
          <w:lang w:val="cs-CZ"/>
        </w:rPr>
      </w:pPr>
    </w:p>
    <w:p w:rsidR="00651EFD" w:rsidRPr="003B6E11" w:rsidRDefault="00651EFD" w:rsidP="008A12E7">
      <w:pPr>
        <w:rPr>
          <w:rFonts w:cs="Arial"/>
          <w:szCs w:val="20"/>
          <w:lang w:val="cs-CZ"/>
        </w:rPr>
      </w:pPr>
    </w:p>
    <w:p w:rsidR="008A12E7" w:rsidRPr="003B6E11" w:rsidRDefault="008A12E7" w:rsidP="00651EFD">
      <w:pPr>
        <w:pStyle w:val="ES-Titre3"/>
        <w:rPr>
          <w:lang w:val="cs-CZ"/>
        </w:rPr>
      </w:pPr>
      <w:bookmarkStart w:id="179" w:name="_Toc491854087"/>
      <w:bookmarkStart w:id="180" w:name="_Toc535416993"/>
      <w:r w:rsidRPr="003B6E11">
        <w:rPr>
          <w:lang w:val="cs-CZ"/>
        </w:rPr>
        <w:t>Článek 10.10</w:t>
      </w:r>
      <w:r w:rsidRPr="003B6E11">
        <w:rPr>
          <w:lang w:val="cs-CZ"/>
        </w:rPr>
        <w:br/>
      </w:r>
      <w:r w:rsidRPr="003B6E11">
        <w:rPr>
          <w:i/>
          <w:lang w:val="cs-CZ"/>
        </w:rPr>
        <w:t>Generátory, motory a transformátory</w:t>
      </w:r>
      <w:bookmarkEnd w:id="179"/>
      <w:bookmarkEnd w:id="180"/>
    </w:p>
    <w:p w:rsidR="00651EFD" w:rsidRPr="003B6E11" w:rsidRDefault="00651EFD" w:rsidP="008A12E7">
      <w:pPr>
        <w:rPr>
          <w:rFonts w:cs="Arial"/>
          <w:noProof/>
          <w:szCs w:val="20"/>
          <w:lang w:val="cs-CZ"/>
        </w:rPr>
      </w:pPr>
    </w:p>
    <w:p w:rsidR="001F02E6" w:rsidRPr="003B6E11" w:rsidRDefault="001F02E6" w:rsidP="001F02E6">
      <w:pPr>
        <w:pStyle w:val="ESch"/>
        <w:rPr>
          <w:rFonts w:eastAsia="Calibri"/>
          <w:lang w:val="cs-CZ"/>
        </w:rPr>
      </w:pPr>
      <w:r w:rsidRPr="003B6E11">
        <w:rPr>
          <w:lang w:val="cs-CZ"/>
        </w:rPr>
        <w:t>1.</w:t>
      </w:r>
      <w:r w:rsidRPr="003B6E11">
        <w:rPr>
          <w:lang w:val="cs-CZ"/>
        </w:rPr>
        <w:tab/>
        <w:t>Generátory poháněné hlavním motorem, vrtulovým hřídelem nebo pomocným agregátem určeným k jiné funkci musí být konstruovány s ohledem na rozsah otáček, které se za provozu mohou vyskytnout.</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2.</w:t>
      </w:r>
      <w:r w:rsidRPr="003B6E11">
        <w:rPr>
          <w:lang w:val="cs-CZ"/>
        </w:rPr>
        <w:tab/>
        <w:t>Transformátory musí být nainstalovány na dobře větraném místě nebo v dobře větraných místnostech.</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3.</w:t>
      </w:r>
      <w:r w:rsidRPr="003B6E11">
        <w:rPr>
          <w:lang w:val="cs-CZ"/>
        </w:rPr>
        <w:tab/>
        <w:t>Primární a sekundární vinutí transformátorů musí být provedeno elektricky izolovaným způsobem. Z toho jsou vyloučeny autotransformátory.</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4.</w:t>
      </w:r>
      <w:r w:rsidRPr="003B6E11">
        <w:rPr>
          <w:lang w:val="cs-CZ"/>
        </w:rPr>
        <w:tab/>
        <w:t>Pro nastavení sekundárního napětí transformátorů musí být zajištěny odpovídající odbočky jmenovitého napětí. Z toho jsou vyloučeny autotransformátory.</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5.</w:t>
      </w:r>
      <w:r w:rsidRPr="003B6E11">
        <w:rPr>
          <w:lang w:val="cs-CZ"/>
        </w:rPr>
        <w:tab/>
        <w:t>Motory, generátory a transformátory musí mít výrobcem připevněný štítek, na němž musí být kromě názvu společnosti, výrobního čísla stroje a jmenovitého výkonu uvedeny i základní charakteristiky.</w:t>
      </w:r>
    </w:p>
    <w:p w:rsidR="008A12E7" w:rsidRPr="003B6E11" w:rsidRDefault="008A12E7" w:rsidP="008A12E7">
      <w:pPr>
        <w:rPr>
          <w:rFonts w:cs="Arial"/>
          <w:szCs w:val="20"/>
          <w:lang w:val="cs-CZ"/>
        </w:rPr>
      </w:pPr>
    </w:p>
    <w:p w:rsidR="00AB2818" w:rsidRPr="003B6E11" w:rsidRDefault="00AB2818">
      <w:pPr>
        <w:rPr>
          <w:rFonts w:cs="Arial"/>
          <w:szCs w:val="20"/>
          <w:lang w:val="cs-CZ"/>
        </w:rPr>
      </w:pPr>
      <w:r w:rsidRPr="003B6E11">
        <w:rPr>
          <w:lang w:val="cs-CZ"/>
        </w:rPr>
        <w:br w:type="page"/>
      </w:r>
    </w:p>
    <w:p w:rsidR="00651EFD" w:rsidRPr="003B6E11" w:rsidRDefault="00651EFD" w:rsidP="008A12E7">
      <w:pPr>
        <w:rPr>
          <w:rFonts w:cs="Arial"/>
          <w:szCs w:val="20"/>
          <w:lang w:val="cs-CZ"/>
        </w:rPr>
      </w:pPr>
    </w:p>
    <w:p w:rsidR="008A12E7" w:rsidRPr="003B6E11" w:rsidRDefault="008A12E7" w:rsidP="00651EFD">
      <w:pPr>
        <w:pStyle w:val="ES-Titre3"/>
        <w:rPr>
          <w:lang w:val="cs-CZ"/>
        </w:rPr>
      </w:pPr>
      <w:bookmarkStart w:id="181" w:name="_Toc491854088"/>
      <w:bookmarkStart w:id="182" w:name="_Toc535416994"/>
      <w:r w:rsidRPr="003B6E11">
        <w:rPr>
          <w:lang w:val="cs-CZ"/>
        </w:rPr>
        <w:t>Článek 10.11</w:t>
      </w:r>
      <w:r w:rsidRPr="003B6E11">
        <w:rPr>
          <w:lang w:val="cs-CZ"/>
        </w:rPr>
        <w:br/>
      </w:r>
      <w:r w:rsidRPr="003B6E11">
        <w:rPr>
          <w:i/>
          <w:lang w:val="cs-CZ"/>
        </w:rPr>
        <w:t>Baterie, akumulátory a jejich nabíjecí zařízení</w:t>
      </w:r>
      <w:bookmarkEnd w:id="181"/>
      <w:bookmarkEnd w:id="182"/>
    </w:p>
    <w:p w:rsidR="00651EFD" w:rsidRPr="003B6E11" w:rsidRDefault="00651EFD" w:rsidP="008A12E7">
      <w:pPr>
        <w:rPr>
          <w:rFonts w:cs="Arial"/>
          <w:noProof/>
          <w:szCs w:val="20"/>
          <w:lang w:val="cs-CZ"/>
        </w:rPr>
      </w:pPr>
    </w:p>
    <w:p w:rsidR="001F02E6" w:rsidRPr="003B6E11" w:rsidRDefault="001F02E6" w:rsidP="001F02E6">
      <w:pPr>
        <w:pStyle w:val="ESch"/>
        <w:rPr>
          <w:rFonts w:eastAsia="Calibri"/>
          <w:lang w:val="cs-CZ"/>
        </w:rPr>
      </w:pPr>
      <w:r w:rsidRPr="003B6E11">
        <w:rPr>
          <w:lang w:val="cs-CZ"/>
        </w:rPr>
        <w:t>1.</w:t>
      </w:r>
      <w:r w:rsidRPr="003B6E11">
        <w:rPr>
          <w:lang w:val="cs-CZ"/>
        </w:rPr>
        <w:tab/>
        <w:t>Akumulátory musí být přístupné a uspořádány tak, aby se neposouvaly s pohyby plavidla. Nesmí být umístěny tam, kde by byly vystaveny nadměrnému teplu, extrémnímu chladu, ostřiku, páře nebo výparům.</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2.</w:t>
      </w:r>
      <w:r w:rsidRPr="003B6E11">
        <w:rPr>
          <w:lang w:val="cs-CZ"/>
        </w:rPr>
        <w:tab/>
        <w:t>Akumulátory se nesmí instalovat v kormidelně, obytných prostorech a podpalubních nákladových prostorech a v případě osobních lodí v místnostech pro cestující, kajutách a kuchyních. První věta se nevztahuje na akumulátory:</w:t>
      </w:r>
    </w:p>
    <w:p w:rsidR="001F02E6" w:rsidRPr="003B6E11" w:rsidRDefault="001F02E6" w:rsidP="001F02E6">
      <w:pPr>
        <w:pStyle w:val="ESlet"/>
        <w:rPr>
          <w:rFonts w:eastAsia="Calibri"/>
          <w:lang w:val="cs-CZ"/>
        </w:rPr>
      </w:pPr>
      <w:r w:rsidRPr="003B6E11">
        <w:rPr>
          <w:lang w:val="cs-CZ"/>
        </w:rPr>
        <w:t>a)</w:t>
      </w:r>
      <w:r w:rsidRPr="003B6E11">
        <w:rPr>
          <w:lang w:val="cs-CZ"/>
        </w:rPr>
        <w:tab/>
        <w:t>v mobilních zařízeních nebo</w:t>
      </w:r>
    </w:p>
    <w:p w:rsidR="001F02E6" w:rsidRPr="003B6E11" w:rsidRDefault="001F02E6" w:rsidP="001F02E6">
      <w:pPr>
        <w:pStyle w:val="ESlet"/>
        <w:rPr>
          <w:rFonts w:eastAsia="Calibri"/>
          <w:lang w:val="cs-CZ"/>
        </w:rPr>
      </w:pPr>
      <w:r w:rsidRPr="003B6E11">
        <w:rPr>
          <w:lang w:val="cs-CZ"/>
        </w:rPr>
        <w:t>b)</w:t>
      </w:r>
      <w:r w:rsidRPr="003B6E11">
        <w:rPr>
          <w:lang w:val="cs-CZ"/>
        </w:rPr>
        <w:tab/>
        <w:t>s nabíjecím příkonem nižším než 0,2 kW.</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3.</w:t>
      </w:r>
      <w:r w:rsidRPr="003B6E11">
        <w:rPr>
          <w:lang w:val="cs-CZ"/>
        </w:rPr>
        <w:tab/>
        <w:t>Akumulátory, které vyžadují nabíjecí příkon vyšší než 2,0 kW, musí být umístěny ve zvláštní místnosti. Jsou-li umístěny na palubě, mohou být též uzavřeny ve skříňce. Pokud může z akumulátorů unikat plyn, musí být tato místnost nebo skříňka mechanicky odvětrávány na volnou palubu (přiváděný a odpadní vzduch).</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4.</w:t>
      </w:r>
      <w:r w:rsidRPr="003B6E11">
        <w:rPr>
          <w:lang w:val="cs-CZ"/>
        </w:rPr>
        <w:tab/>
        <w:t>Nabíjecí příkon se vypočte na základě maximálního nabíjecího proudu a jmenovitého napětí akumulátoru, s přihlédnutím k charakteristickým nabíjecím křivkám nabíjecího zařízení.</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5.</w:t>
      </w:r>
      <w:r w:rsidRPr="003B6E11">
        <w:rPr>
          <w:lang w:val="cs-CZ"/>
        </w:rPr>
        <w:tab/>
        <w:t>Akumulátory, které vyžadují nabíjecí příkon nepřesahující 2,0 kW, mohou být také umístěny pod palubou ve skříňce nebo bedně. Mohou být také umístěny bez jakéhokoli krytu ve strojovně, elektrické strojovně nebo na jiném dobře větraném místě, pokud jsou chráněny proti padajícím předmětům nebo kapající vodě.</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6.</w:t>
      </w:r>
      <w:r w:rsidRPr="003B6E11">
        <w:rPr>
          <w:lang w:val="cs-CZ"/>
        </w:rPr>
        <w:tab/>
        <w:t>Vnitřní plochy všech prostorů, skříněk nebo beden, stejně jako regály či jiné prvky určené pro akumulátory musí být chráněny proti škodlivému působení elektrolytu.</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7.</w:t>
      </w:r>
      <w:r w:rsidRPr="003B6E11">
        <w:rPr>
          <w:lang w:val="cs-CZ"/>
        </w:rPr>
        <w:tab/>
        <w:t xml:space="preserve">Musí být zajištěno účinné větrání, jsou-li akumulátory instalovány v uzavřené místnosti, skříňce nebo bedně. Mechanické větrání musí být zajištěno v případě nabíjecího příkonu, který je vyšší než </w:t>
      </w:r>
    </w:p>
    <w:p w:rsidR="001F02E6" w:rsidRPr="003B6E11" w:rsidRDefault="001F02E6" w:rsidP="001F02E6">
      <w:pPr>
        <w:pStyle w:val="ESlet"/>
        <w:rPr>
          <w:rFonts w:eastAsia="Calibri"/>
          <w:lang w:val="cs-CZ"/>
        </w:rPr>
      </w:pPr>
      <w:r w:rsidRPr="003B6E11">
        <w:rPr>
          <w:lang w:val="cs-CZ"/>
        </w:rPr>
        <w:t>a)</w:t>
      </w:r>
      <w:r w:rsidRPr="003B6E11">
        <w:rPr>
          <w:lang w:val="cs-CZ"/>
        </w:rPr>
        <w:tab/>
        <w:t>2,0 kW u nikl-kadmiových akumulátorů;</w:t>
      </w:r>
    </w:p>
    <w:p w:rsidR="001F02E6" w:rsidRPr="003B6E11" w:rsidRDefault="001F02E6" w:rsidP="001F02E6">
      <w:pPr>
        <w:pStyle w:val="ESlet"/>
        <w:rPr>
          <w:rFonts w:eastAsia="Calibri"/>
          <w:lang w:val="cs-CZ"/>
        </w:rPr>
      </w:pPr>
      <w:r w:rsidRPr="003B6E11">
        <w:rPr>
          <w:lang w:val="cs-CZ"/>
        </w:rPr>
        <w:t>b)</w:t>
      </w:r>
      <w:r w:rsidRPr="003B6E11">
        <w:rPr>
          <w:lang w:val="cs-CZ"/>
        </w:rPr>
        <w:tab/>
        <w:t>3,0 kW u olověných akumulátorů.</w:t>
      </w:r>
    </w:p>
    <w:p w:rsidR="001F02E6" w:rsidRPr="003B6E11" w:rsidRDefault="001F02E6" w:rsidP="001F02E6">
      <w:pPr>
        <w:pStyle w:val="ESchpar"/>
        <w:rPr>
          <w:rFonts w:eastAsia="Calibri"/>
          <w:lang w:val="cs-CZ"/>
        </w:rPr>
      </w:pPr>
    </w:p>
    <w:p w:rsidR="001F02E6" w:rsidRPr="003B6E11" w:rsidRDefault="001F02E6" w:rsidP="001F02E6">
      <w:pPr>
        <w:pStyle w:val="ESchpar"/>
        <w:rPr>
          <w:rFonts w:eastAsia="Calibri"/>
          <w:lang w:val="cs-CZ"/>
        </w:rPr>
      </w:pPr>
      <w:r w:rsidRPr="003B6E11">
        <w:rPr>
          <w:lang w:val="cs-CZ"/>
        </w:rPr>
        <w:t xml:space="preserve">Vzduch musí vstupovat spodem a být vytlačován horem, aby se zajistilo úplné odvětrání plynů. </w:t>
      </w:r>
    </w:p>
    <w:p w:rsidR="001F02E6" w:rsidRPr="003B6E11" w:rsidRDefault="001F02E6" w:rsidP="001F02E6">
      <w:pPr>
        <w:pStyle w:val="ESchpar"/>
        <w:rPr>
          <w:rFonts w:eastAsia="Calibri"/>
          <w:lang w:val="cs-CZ"/>
        </w:rPr>
      </w:pPr>
    </w:p>
    <w:p w:rsidR="001F02E6" w:rsidRPr="003B6E11" w:rsidRDefault="001F02E6" w:rsidP="001F02E6">
      <w:pPr>
        <w:pStyle w:val="ESchpar"/>
        <w:rPr>
          <w:rFonts w:eastAsia="Calibri"/>
          <w:lang w:val="cs-CZ"/>
        </w:rPr>
      </w:pPr>
      <w:r w:rsidRPr="003B6E11">
        <w:rPr>
          <w:lang w:val="cs-CZ"/>
        </w:rPr>
        <w:t>Větrací kanály nesmí obsahovat zařízení bránící průtoku vzduchu, např. uzavírací ventily.</w:t>
      </w:r>
    </w:p>
    <w:p w:rsidR="001F02E6" w:rsidRPr="003B6E11" w:rsidRDefault="001F02E6" w:rsidP="001F02E6">
      <w:pPr>
        <w:pStyle w:val="ESch"/>
        <w:rPr>
          <w:rFonts w:eastAsia="Calibri"/>
          <w:lang w:val="cs-CZ"/>
        </w:rPr>
      </w:pPr>
    </w:p>
    <w:p w:rsidR="001F02E6" w:rsidRPr="003B6E11" w:rsidRDefault="001F02E6" w:rsidP="001F02E6">
      <w:pPr>
        <w:pStyle w:val="ESch"/>
        <w:spacing w:after="120"/>
        <w:rPr>
          <w:rFonts w:eastAsia="Calibri"/>
          <w:lang w:val="cs-CZ"/>
        </w:rPr>
      </w:pPr>
      <w:r w:rsidRPr="003B6E11">
        <w:rPr>
          <w:lang w:val="cs-CZ"/>
        </w:rPr>
        <w:t>8.</w:t>
      </w:r>
      <w:r w:rsidRPr="003B6E11">
        <w:rPr>
          <w:lang w:val="cs-CZ"/>
        </w:rPr>
        <w:tab/>
        <w:t>Požadovaný průtok vzduchu (</w:t>
      </w:r>
      <m:oMath>
        <m:r>
          <w:rPr>
            <w:rFonts w:ascii="Cambria Math" w:hAnsi="Cambria Math"/>
            <w:lang w:val="cs-CZ"/>
          </w:rPr>
          <m:t>Q</m:t>
        </m:r>
      </m:oMath>
      <w:r w:rsidRPr="003B6E11">
        <w:rPr>
          <w:lang w:val="cs-CZ"/>
        </w:rPr>
        <w:t>) se vypočítá podle tohoto vzorce:</w:t>
      </w:r>
    </w:p>
    <w:p w:rsidR="001F02E6" w:rsidRPr="003B6E11" w:rsidRDefault="001F02E6" w:rsidP="001F02E6">
      <w:pPr>
        <w:pStyle w:val="ESch"/>
        <w:jc w:val="center"/>
        <w:rPr>
          <w:lang w:val="cs-CZ"/>
        </w:rPr>
      </w:pPr>
      <m:oMath>
        <m:r>
          <w:rPr>
            <w:rFonts w:ascii="Cambria Math" w:hAnsi="Cambria Math"/>
            <w:lang w:val="cs-CZ"/>
          </w:rPr>
          <m:t>Q=f ∙</m:t>
        </m:r>
        <m:sSub>
          <m:sSubPr>
            <m:ctrlPr>
              <w:rPr>
                <w:rFonts w:ascii="Cambria Math" w:hAnsi="Cambria Math"/>
                <w:i/>
                <w:lang w:val="cs-CZ"/>
              </w:rPr>
            </m:ctrlPr>
          </m:sSubPr>
          <m:e>
            <m:r>
              <w:rPr>
                <w:rFonts w:ascii="Cambria Math" w:hAnsi="Cambria Math"/>
                <w:lang w:val="cs-CZ"/>
              </w:rPr>
              <m:t>I</m:t>
            </m:r>
          </m:e>
          <m:sub>
            <m:r>
              <w:rPr>
                <w:rFonts w:ascii="Cambria Math" w:hAnsi="Cambria Math"/>
                <w:lang w:val="cs-CZ"/>
              </w:rPr>
              <m:t>gas</m:t>
            </m:r>
          </m:sub>
        </m:sSub>
        <m:r>
          <w:rPr>
            <w:rFonts w:ascii="Cambria Math" w:hAnsi="Cambria Math"/>
            <w:lang w:val="cs-CZ"/>
          </w:rPr>
          <m:t xml:space="preserve"> ∙n </m:t>
        </m:r>
        <m:d>
          <m:dPr>
            <m:begChr m:val="["/>
            <m:endChr m:val="]"/>
            <m:ctrlPr>
              <w:rPr>
                <w:rFonts w:ascii="Cambria Math" w:hAnsi="Cambria Math"/>
                <w:i/>
                <w:lang w:val="cs-CZ"/>
              </w:rPr>
            </m:ctrlPr>
          </m:dPr>
          <m:e>
            <m:sSup>
              <m:sSupPr>
                <m:ctrlPr>
                  <w:rPr>
                    <w:rFonts w:ascii="Cambria Math" w:hAnsi="Cambria Math"/>
                    <w:i/>
                    <w:lang w:val="cs-CZ"/>
                  </w:rPr>
                </m:ctrlPr>
              </m:sSupPr>
              <m:e>
                <m:r>
                  <w:rPr>
                    <w:rFonts w:ascii="Cambria Math" w:hAnsi="Cambria Math"/>
                    <w:lang w:val="cs-CZ"/>
                  </w:rPr>
                  <m:t>m</m:t>
                </m:r>
              </m:e>
              <m:sup>
                <m:r>
                  <w:rPr>
                    <w:rFonts w:ascii="Cambria Math" w:hAnsi="Cambria Math"/>
                    <w:lang w:val="cs-CZ"/>
                  </w:rPr>
                  <m:t>3</m:t>
                </m:r>
              </m:sup>
            </m:sSup>
            <m:r>
              <w:rPr>
                <w:rFonts w:ascii="Cambria Math" w:hAnsi="Cambria Math"/>
                <w:lang w:val="cs-CZ"/>
              </w:rPr>
              <m:t>/h</m:t>
            </m:r>
          </m:e>
        </m:d>
      </m:oMath>
      <w:r w:rsidRPr="003B6E11">
        <w:rPr>
          <w:lang w:val="cs-CZ"/>
        </w:rPr>
        <w:t>.</w:t>
      </w:r>
    </w:p>
    <w:p w:rsidR="001F02E6" w:rsidRPr="003B6E11" w:rsidRDefault="001F02E6" w:rsidP="001F02E6">
      <w:pPr>
        <w:pStyle w:val="ESchpar"/>
        <w:rPr>
          <w:rFonts w:eastAsia="Calibri"/>
          <w:lang w:val="cs-CZ"/>
        </w:rPr>
      </w:pPr>
      <w:r w:rsidRPr="003B6E11">
        <w:rPr>
          <w:lang w:val="cs-CZ"/>
        </w:rPr>
        <w:t>kde:</w:t>
      </w:r>
    </w:p>
    <w:p w:rsidR="001F02E6" w:rsidRPr="003B6E11" w:rsidRDefault="001F02E6" w:rsidP="001F02E6">
      <w:pPr>
        <w:pStyle w:val="ESlet"/>
        <w:ind w:left="1276" w:hanging="709"/>
        <w:rPr>
          <w:rFonts w:eastAsia="Calibri"/>
          <w:lang w:val="cs-CZ"/>
        </w:rPr>
      </w:pPr>
      <m:oMath>
        <m:r>
          <w:rPr>
            <w:rFonts w:ascii="Cambria Math" w:eastAsia="Calibri" w:hAnsi="Cambria Math"/>
            <w:lang w:val="cs-CZ"/>
          </w:rPr>
          <m:t>f</m:t>
        </m:r>
      </m:oMath>
      <w:r w:rsidRPr="003B6E11">
        <w:rPr>
          <w:lang w:val="cs-CZ"/>
        </w:rPr>
        <w:t xml:space="preserve"> =</w:t>
      </w:r>
      <w:r w:rsidRPr="003B6E11">
        <w:rPr>
          <w:lang w:val="cs-CZ"/>
        </w:rPr>
        <w:tab/>
        <w:t>0,11 v případě akumulátorů s tekutými elektrolyty;</w:t>
      </w:r>
    </w:p>
    <w:p w:rsidR="001F02E6" w:rsidRPr="003B6E11" w:rsidRDefault="001F02E6" w:rsidP="001F02E6">
      <w:pPr>
        <w:pStyle w:val="ESlet"/>
        <w:ind w:left="1276" w:hanging="709"/>
        <w:rPr>
          <w:rFonts w:eastAsia="Calibri"/>
          <w:lang w:val="cs-CZ"/>
        </w:rPr>
      </w:pPr>
      <m:oMath>
        <m:r>
          <w:rPr>
            <w:rFonts w:ascii="Cambria Math" w:eastAsia="Calibri" w:hAnsi="Cambria Math"/>
            <w:lang w:val="cs-CZ"/>
          </w:rPr>
          <m:t>f</m:t>
        </m:r>
      </m:oMath>
      <w:r w:rsidRPr="003B6E11">
        <w:rPr>
          <w:lang w:val="cs-CZ"/>
        </w:rPr>
        <w:t xml:space="preserve"> =</w:t>
      </w:r>
      <w:r w:rsidRPr="003B6E11">
        <w:rPr>
          <w:lang w:val="cs-CZ"/>
        </w:rPr>
        <w:tab/>
        <w:t>0,03 v případě akumulátorů s uzavřenými články (elektrolyt imobilizovaný ve formě gelu, netkaný vláknitý materiál);</w:t>
      </w:r>
    </w:p>
    <w:p w:rsidR="001F02E6" w:rsidRPr="003B6E11" w:rsidRDefault="002D015D" w:rsidP="001F02E6">
      <w:pPr>
        <w:pStyle w:val="ESlet"/>
        <w:ind w:left="1276" w:hanging="709"/>
        <w:rPr>
          <w:rFonts w:eastAsia="Calibri"/>
          <w:lang w:val="cs-CZ"/>
        </w:rPr>
      </w:pPr>
      <m:oMath>
        <m:sSub>
          <m:sSubPr>
            <m:ctrlPr>
              <w:rPr>
                <w:rFonts w:ascii="Cambria Math" w:hAnsi="Cambria Math"/>
                <w:i/>
                <w:lang w:val="cs-CZ"/>
              </w:rPr>
            </m:ctrlPr>
          </m:sSubPr>
          <m:e>
            <m:r>
              <w:rPr>
                <w:rFonts w:ascii="Cambria Math" w:hAnsi="Cambria Math"/>
                <w:lang w:val="cs-CZ"/>
              </w:rPr>
              <m:t>I</m:t>
            </m:r>
          </m:e>
          <m:sub>
            <m:r>
              <w:rPr>
                <w:rFonts w:ascii="Cambria Math" w:hAnsi="Cambria Math"/>
                <w:lang w:val="cs-CZ"/>
              </w:rPr>
              <m:t>gas</m:t>
            </m:r>
          </m:sub>
        </m:sSub>
      </m:oMath>
      <w:r w:rsidR="00290EF0" w:rsidRPr="003B6E11">
        <w:rPr>
          <w:lang w:val="cs-CZ"/>
        </w:rPr>
        <w:t xml:space="preserve"> =</w:t>
      </w:r>
      <w:r w:rsidR="00290EF0" w:rsidRPr="003B6E11">
        <w:rPr>
          <w:lang w:val="cs-CZ"/>
        </w:rPr>
        <w:tab/>
        <w:t>¼ maximálního proudu nabíjecího zařízení v A;</w:t>
      </w:r>
    </w:p>
    <w:p w:rsidR="001F02E6" w:rsidRPr="003B6E11" w:rsidRDefault="001F02E6" w:rsidP="001F02E6">
      <w:pPr>
        <w:pStyle w:val="ESlet"/>
        <w:ind w:left="1276" w:hanging="709"/>
        <w:rPr>
          <w:rFonts w:eastAsia="Calibri"/>
          <w:lang w:val="cs-CZ"/>
        </w:rPr>
      </w:pPr>
      <m:oMath>
        <m:r>
          <w:rPr>
            <w:rFonts w:ascii="Cambria Math" w:eastAsia="Calibri" w:hAnsi="Cambria Math"/>
            <w:lang w:val="cs-CZ"/>
          </w:rPr>
          <m:t>n</m:t>
        </m:r>
      </m:oMath>
      <w:r w:rsidRPr="003B6E11">
        <w:rPr>
          <w:lang w:val="cs-CZ"/>
        </w:rPr>
        <w:t xml:space="preserve"> =</w:t>
      </w:r>
      <w:r w:rsidRPr="003B6E11">
        <w:rPr>
          <w:lang w:val="cs-CZ"/>
        </w:rPr>
        <w:tab/>
        <w:t>počet článků v sériovém obvodu.</w:t>
      </w:r>
    </w:p>
    <w:p w:rsidR="001F02E6" w:rsidRPr="003B6E11" w:rsidRDefault="001F02E6" w:rsidP="001F02E6">
      <w:pPr>
        <w:pStyle w:val="ESchpar"/>
        <w:rPr>
          <w:rFonts w:eastAsia="Calibri"/>
          <w:lang w:val="cs-CZ"/>
        </w:rPr>
      </w:pPr>
    </w:p>
    <w:p w:rsidR="00AB2818" w:rsidRPr="003B6E11" w:rsidRDefault="00AB2818">
      <w:pPr>
        <w:rPr>
          <w:rFonts w:eastAsia="Calibri"/>
          <w:lang w:val="cs-CZ"/>
        </w:rPr>
      </w:pPr>
      <w:r w:rsidRPr="003B6E11">
        <w:rPr>
          <w:lang w:val="cs-CZ"/>
        </w:rPr>
        <w:br w:type="page"/>
      </w:r>
    </w:p>
    <w:p w:rsidR="00AB2818" w:rsidRPr="003B6E11" w:rsidRDefault="00AB2818" w:rsidP="001F02E6">
      <w:pPr>
        <w:pStyle w:val="ESchpar"/>
        <w:rPr>
          <w:rFonts w:eastAsia="Calibri"/>
          <w:lang w:val="cs-CZ"/>
        </w:rPr>
      </w:pPr>
    </w:p>
    <w:p w:rsidR="001F02E6" w:rsidRPr="003B6E11" w:rsidRDefault="001F02E6" w:rsidP="001F02E6">
      <w:pPr>
        <w:pStyle w:val="ESchpar"/>
        <w:rPr>
          <w:rFonts w:eastAsia="Calibri"/>
          <w:lang w:val="cs-CZ"/>
        </w:rPr>
      </w:pPr>
      <w:r w:rsidRPr="003B6E11">
        <w:rPr>
          <w:lang w:val="cs-CZ"/>
        </w:rPr>
        <w:t>U vyrovnávacích akumulátorů v palubní síti může subjekt pověřený prohlídkami uznat jiné metody výpočtu při zohlednění charakteristické nabíjecí křivky nabíjecích zařízení, pokud tyto metody vycházejí z předpisů uznaných klasifikačních společností nebo z příslušných norem.</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9.</w:t>
      </w:r>
      <w:r w:rsidRPr="003B6E11">
        <w:rPr>
          <w:lang w:val="cs-CZ"/>
        </w:rPr>
        <w:tab/>
        <w:t>Používá-li se přirozená ventilace, musí být průřez vzduchových kanálů dostatečný k tomu, aby bylo při rychlosti proudění vzduchu 0,5 m/s dosaženo požadovaného průtoku vzduchu. Minimální přípustná hodnota průřezu však činí</w:t>
      </w:r>
    </w:p>
    <w:p w:rsidR="001F02E6" w:rsidRPr="003B6E11" w:rsidRDefault="001F02E6" w:rsidP="001F02E6">
      <w:pPr>
        <w:pStyle w:val="ESlet"/>
        <w:rPr>
          <w:rFonts w:eastAsia="Calibri"/>
          <w:lang w:val="cs-CZ"/>
        </w:rPr>
      </w:pPr>
      <w:r w:rsidRPr="003B6E11">
        <w:rPr>
          <w:lang w:val="cs-CZ"/>
        </w:rPr>
        <w:t>a)</w:t>
      </w:r>
      <w:r w:rsidRPr="003B6E11">
        <w:rPr>
          <w:lang w:val="cs-CZ"/>
        </w:rPr>
        <w:tab/>
        <w:t>80 cm</w:t>
      </w:r>
      <w:r w:rsidRPr="003B6E11">
        <w:rPr>
          <w:vertAlign w:val="superscript"/>
          <w:lang w:val="cs-CZ"/>
        </w:rPr>
        <w:t>2</w:t>
      </w:r>
      <w:r w:rsidRPr="003B6E11">
        <w:rPr>
          <w:lang w:val="cs-CZ"/>
        </w:rPr>
        <w:t xml:space="preserve"> u olověných akumulátorů;</w:t>
      </w:r>
    </w:p>
    <w:p w:rsidR="001F02E6" w:rsidRPr="003B6E11" w:rsidRDefault="001F02E6" w:rsidP="001F02E6">
      <w:pPr>
        <w:pStyle w:val="ESlet"/>
        <w:rPr>
          <w:rFonts w:eastAsia="Calibri"/>
          <w:lang w:val="cs-CZ"/>
        </w:rPr>
      </w:pPr>
      <w:r w:rsidRPr="003B6E11">
        <w:rPr>
          <w:lang w:val="cs-CZ"/>
        </w:rPr>
        <w:t>b)</w:t>
      </w:r>
      <w:r w:rsidRPr="003B6E11">
        <w:rPr>
          <w:lang w:val="cs-CZ"/>
        </w:rPr>
        <w:tab/>
        <w:t>120 cm</w:t>
      </w:r>
      <w:r w:rsidRPr="003B6E11">
        <w:rPr>
          <w:vertAlign w:val="superscript"/>
          <w:lang w:val="cs-CZ"/>
        </w:rPr>
        <w:t>2</w:t>
      </w:r>
      <w:r w:rsidRPr="003B6E11">
        <w:rPr>
          <w:lang w:val="cs-CZ"/>
        </w:rPr>
        <w:t xml:space="preserve"> u nikl-kadmiových akumulátorů.</w:t>
      </w:r>
    </w:p>
    <w:p w:rsidR="001F02E6" w:rsidRPr="003B6E11" w:rsidRDefault="001F02E6" w:rsidP="001F02E6">
      <w:pPr>
        <w:spacing w:line="240" w:lineRule="atLeast"/>
        <w:ind w:left="567" w:hanging="567"/>
        <w:rPr>
          <w:rFonts w:eastAsia="Calibri" w:cs="Arial"/>
          <w:szCs w:val="20"/>
          <w:lang w:val="cs-CZ"/>
        </w:rPr>
      </w:pPr>
    </w:p>
    <w:p w:rsidR="001F02E6" w:rsidRPr="003B6E11" w:rsidRDefault="001F02E6" w:rsidP="001F02E6">
      <w:pPr>
        <w:pStyle w:val="ESch"/>
        <w:rPr>
          <w:rFonts w:eastAsia="Calibri" w:cs="Arial"/>
          <w:lang w:val="cs-CZ"/>
        </w:rPr>
      </w:pPr>
      <w:r w:rsidRPr="003B6E11">
        <w:rPr>
          <w:lang w:val="cs-CZ"/>
        </w:rPr>
        <w:t>10.</w:t>
      </w:r>
      <w:r w:rsidRPr="003B6E11">
        <w:rPr>
          <w:lang w:val="cs-CZ"/>
        </w:rPr>
        <w:tab/>
        <w:t>Používá-li se mechanická ventilace, musí být k dispozici ventilátor, nejlépe s exhaustorem; jeho motor musí být mimo proud plynu a proud vzduchu. Ventilátory musí být zkonstruovány tak, aby zamezovaly tvorbě jisker při dotyku lopatek a skříně ventilátoru a tvorbě elektrostatického náboje.</w:t>
      </w:r>
    </w:p>
    <w:p w:rsidR="001F02E6" w:rsidRPr="003B6E11" w:rsidRDefault="001F02E6" w:rsidP="001F02E6">
      <w:pPr>
        <w:pStyle w:val="ESch"/>
        <w:rPr>
          <w:rFonts w:eastAsia="Calibri"/>
          <w:lang w:val="cs-CZ"/>
        </w:rPr>
      </w:pPr>
    </w:p>
    <w:p w:rsidR="001F02E6" w:rsidRPr="003B6E11" w:rsidRDefault="001F02E6" w:rsidP="001F02E6">
      <w:pPr>
        <w:spacing w:line="240" w:lineRule="atLeast"/>
        <w:ind w:left="567" w:hanging="567"/>
        <w:rPr>
          <w:rFonts w:eastAsia="Calibri" w:cs="Arial"/>
          <w:szCs w:val="20"/>
          <w:lang w:val="cs-CZ"/>
        </w:rPr>
      </w:pPr>
      <w:r w:rsidRPr="003B6E11">
        <w:rPr>
          <w:lang w:val="cs-CZ"/>
        </w:rPr>
        <w:t>11.</w:t>
      </w:r>
      <w:r w:rsidRPr="003B6E11">
        <w:rPr>
          <w:lang w:val="cs-CZ"/>
        </w:rPr>
        <w:tab/>
        <w:t>Na dveřích nebo krytech akumulátoroven, skříněk nebo beden musí být připevněn symbol „Zákaz otevřeného ohně a kouření“ podle obrázku 2 v příloze 4 o průměru nejméně 10 cm.</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12.</w:t>
      </w:r>
      <w:r w:rsidRPr="003B6E11">
        <w:rPr>
          <w:lang w:val="cs-CZ"/>
        </w:rPr>
        <w:tab/>
        <w:t>Nabíjecí zařízení musí být v zásadě navržena tak, aby mohly být vybité akumulátory nejpozději do 15 hodin dobity na 80 % své jmenovité kapacity, aniž by při dobíjení byla překročena maximální přípustná intenzita proudu.</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13.</w:t>
      </w:r>
      <w:r w:rsidRPr="003B6E11">
        <w:rPr>
          <w:lang w:val="cs-CZ"/>
        </w:rPr>
        <w:tab/>
        <w:t>Smí být použita pouze automatická nabíjecí zařízení, která odpovídají dobíjecím charakteristikám daného typu akumulátoru.</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14.</w:t>
      </w:r>
      <w:r w:rsidRPr="003B6E11">
        <w:rPr>
          <w:lang w:val="cs-CZ"/>
        </w:rPr>
        <w:tab/>
        <w:t>Aby byla elektrická zařízení při nabíjení současně i napájena, musí být při výběru nabíječky zohledněn potřebný příkon daného elektrického zařízení. Bez ohledu na stávající příkon musí být dodržena hodnota nabíjecího napětí do maximální výše 120 % jmenovitého napětí.</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szCs w:val="20"/>
          <w:lang w:val="cs-CZ"/>
        </w:rPr>
      </w:pPr>
      <w:r w:rsidRPr="003B6E11">
        <w:rPr>
          <w:lang w:val="cs-CZ"/>
        </w:rPr>
        <w:t>15.</w:t>
      </w:r>
      <w:r w:rsidRPr="003B6E11">
        <w:rPr>
          <w:lang w:val="cs-CZ"/>
        </w:rPr>
        <w:tab/>
        <w:t>Na lithium-iontové akumulátory se vztahují požadavky evropské normy EN 62619 ve znění platném ke dni 6. července 2017 a normy EN 62620:2015.</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16.</w:t>
      </w:r>
      <w:r w:rsidRPr="003B6E11">
        <w:rPr>
          <w:lang w:val="cs-CZ"/>
        </w:rPr>
        <w:tab/>
        <w:t>Ke sledování akumulátorů se pokud možno použijí systémy řízení akumulátoru. Lithium-iontové akumulátory musí být takovými systémy vybaveny.</w:t>
      </w:r>
    </w:p>
    <w:p w:rsidR="001F02E6" w:rsidRPr="003B6E11" w:rsidRDefault="001F02E6" w:rsidP="00AA5633">
      <w:pPr>
        <w:pStyle w:val="ESch"/>
        <w:rPr>
          <w:rFonts w:eastAsia="Calibri"/>
          <w:lang w:val="cs-CZ"/>
        </w:rPr>
      </w:pPr>
    </w:p>
    <w:p w:rsidR="001F02E6" w:rsidRPr="003B6E11" w:rsidRDefault="001F02E6" w:rsidP="001F02E6">
      <w:pPr>
        <w:pStyle w:val="ESchpar"/>
        <w:rPr>
          <w:rFonts w:eastAsia="Calibri"/>
          <w:lang w:val="cs-CZ"/>
        </w:rPr>
      </w:pPr>
      <w:r w:rsidRPr="003B6E11">
        <w:rPr>
          <w:lang w:val="cs-CZ"/>
        </w:rPr>
        <w:t>Tyto systémy musí mít alespoň tyto funkce:</w:t>
      </w:r>
    </w:p>
    <w:p w:rsidR="001F02E6" w:rsidRPr="003B6E11" w:rsidRDefault="001F02E6" w:rsidP="001F02E6">
      <w:pPr>
        <w:pStyle w:val="ESlet"/>
        <w:rPr>
          <w:rFonts w:eastAsia="Calibri"/>
          <w:lang w:val="cs-CZ"/>
        </w:rPr>
      </w:pPr>
      <w:r w:rsidRPr="003B6E11">
        <w:rPr>
          <w:lang w:val="cs-CZ"/>
        </w:rPr>
        <w:t>a)</w:t>
      </w:r>
      <w:r w:rsidRPr="003B6E11">
        <w:rPr>
          <w:lang w:val="cs-CZ"/>
        </w:rPr>
        <w:tab/>
        <w:t>ochrana článků (ochrana proti zkratu, vnější a vnitřní ochrana, nadproudová ochrana, ochrana proti hlubokému vybití atd.);</w:t>
      </w:r>
    </w:p>
    <w:p w:rsidR="001F02E6" w:rsidRPr="003B6E11" w:rsidRDefault="001F02E6" w:rsidP="001F02E6">
      <w:pPr>
        <w:pStyle w:val="ESlet"/>
        <w:rPr>
          <w:rFonts w:eastAsia="Calibri"/>
          <w:lang w:val="cs-CZ"/>
        </w:rPr>
      </w:pPr>
      <w:r w:rsidRPr="003B6E11">
        <w:rPr>
          <w:lang w:val="cs-CZ"/>
        </w:rPr>
        <w:t>b)</w:t>
      </w:r>
      <w:r w:rsidRPr="003B6E11">
        <w:rPr>
          <w:lang w:val="cs-CZ"/>
        </w:rPr>
        <w:tab/>
        <w:t>řízení nabíjení, pokud není zajištěno nabíječkou;</w:t>
      </w:r>
    </w:p>
    <w:p w:rsidR="001F02E6" w:rsidRPr="003B6E11" w:rsidRDefault="001F02E6" w:rsidP="001F02E6">
      <w:pPr>
        <w:pStyle w:val="ESlet"/>
        <w:rPr>
          <w:rFonts w:eastAsia="Calibri"/>
          <w:lang w:val="cs-CZ"/>
        </w:rPr>
      </w:pPr>
      <w:r w:rsidRPr="003B6E11">
        <w:rPr>
          <w:lang w:val="cs-CZ"/>
        </w:rPr>
        <w:t>c)</w:t>
      </w:r>
      <w:r w:rsidRPr="003B6E11">
        <w:rPr>
          <w:lang w:val="cs-CZ"/>
        </w:rPr>
        <w:tab/>
        <w:t>řízení zatížení;</w:t>
      </w:r>
    </w:p>
    <w:p w:rsidR="001F02E6" w:rsidRPr="003B6E11" w:rsidRDefault="001F02E6" w:rsidP="001F02E6">
      <w:pPr>
        <w:pStyle w:val="ESlet"/>
        <w:rPr>
          <w:rFonts w:eastAsia="Calibri"/>
          <w:lang w:val="cs-CZ"/>
        </w:rPr>
      </w:pPr>
      <w:r w:rsidRPr="003B6E11">
        <w:rPr>
          <w:lang w:val="cs-CZ"/>
        </w:rPr>
        <w:t>d)</w:t>
      </w:r>
      <w:r w:rsidRPr="003B6E11">
        <w:rPr>
          <w:lang w:val="cs-CZ"/>
        </w:rPr>
        <w:tab/>
        <w:t>určení stupně nabití;</w:t>
      </w:r>
    </w:p>
    <w:p w:rsidR="001F02E6" w:rsidRPr="003B6E11" w:rsidRDefault="001F02E6" w:rsidP="001F02E6">
      <w:pPr>
        <w:pStyle w:val="ESlet"/>
        <w:rPr>
          <w:rFonts w:eastAsia="Calibri"/>
          <w:lang w:val="cs-CZ"/>
        </w:rPr>
      </w:pPr>
      <w:r w:rsidRPr="003B6E11">
        <w:rPr>
          <w:lang w:val="cs-CZ"/>
        </w:rPr>
        <w:t>e)</w:t>
      </w:r>
      <w:r w:rsidRPr="003B6E11">
        <w:rPr>
          <w:lang w:val="cs-CZ"/>
        </w:rPr>
        <w:tab/>
        <w:t>vyrovnávání článků;</w:t>
      </w:r>
    </w:p>
    <w:p w:rsidR="001F02E6" w:rsidRPr="003B6E11" w:rsidRDefault="001F02E6" w:rsidP="001F02E6">
      <w:pPr>
        <w:pStyle w:val="ESlet"/>
        <w:rPr>
          <w:rFonts w:eastAsia="Calibri"/>
          <w:lang w:val="cs-CZ"/>
        </w:rPr>
      </w:pPr>
      <w:r w:rsidRPr="003B6E11">
        <w:rPr>
          <w:lang w:val="cs-CZ"/>
        </w:rPr>
        <w:t>f)</w:t>
      </w:r>
      <w:r w:rsidRPr="003B6E11">
        <w:rPr>
          <w:lang w:val="cs-CZ"/>
        </w:rPr>
        <w:tab/>
        <w:t>řízení teploty.</w:t>
      </w:r>
    </w:p>
    <w:p w:rsidR="001F02E6" w:rsidRPr="003B6E11" w:rsidRDefault="001F02E6" w:rsidP="00AA5633">
      <w:pPr>
        <w:pStyle w:val="ESch"/>
        <w:rPr>
          <w:rFonts w:eastAsia="Calibri"/>
          <w:lang w:val="cs-CZ"/>
        </w:rPr>
      </w:pPr>
    </w:p>
    <w:p w:rsidR="001F02E6" w:rsidRPr="003B6E11" w:rsidRDefault="001F02E6" w:rsidP="001F02E6">
      <w:pPr>
        <w:pStyle w:val="ESlet"/>
        <w:ind w:left="567"/>
        <w:rPr>
          <w:rFonts w:eastAsia="Calibri"/>
          <w:lang w:val="cs-CZ"/>
        </w:rPr>
      </w:pPr>
      <w:r w:rsidRPr="003B6E11">
        <w:rPr>
          <w:lang w:val="cs-CZ"/>
        </w:rPr>
        <w:t>V závislosti na použití by pokud možno měly mít i tyto funkce:</w:t>
      </w:r>
    </w:p>
    <w:p w:rsidR="001F02E6" w:rsidRPr="003B6E11" w:rsidRDefault="001F02E6" w:rsidP="001F02E6">
      <w:pPr>
        <w:pStyle w:val="ESlet"/>
        <w:rPr>
          <w:rFonts w:eastAsia="Calibri"/>
          <w:lang w:val="cs-CZ"/>
        </w:rPr>
      </w:pPr>
      <w:r w:rsidRPr="003B6E11">
        <w:rPr>
          <w:lang w:val="cs-CZ"/>
        </w:rPr>
        <w:t>g)</w:t>
      </w:r>
      <w:r w:rsidRPr="003B6E11">
        <w:rPr>
          <w:lang w:val="cs-CZ"/>
        </w:rPr>
        <w:tab/>
        <w:t>stanovení stárnutí, zbývající kapacity, vnitřního odporu atd.;</w:t>
      </w:r>
    </w:p>
    <w:p w:rsidR="001F02E6" w:rsidRPr="003B6E11" w:rsidRDefault="001F02E6" w:rsidP="001F02E6">
      <w:pPr>
        <w:pStyle w:val="ESlet"/>
        <w:rPr>
          <w:rFonts w:eastAsia="Calibri"/>
          <w:lang w:val="cs-CZ"/>
        </w:rPr>
      </w:pPr>
      <w:r w:rsidRPr="003B6E11">
        <w:rPr>
          <w:lang w:val="cs-CZ"/>
        </w:rPr>
        <w:t>h)</w:t>
      </w:r>
      <w:r w:rsidRPr="003B6E11">
        <w:rPr>
          <w:lang w:val="cs-CZ"/>
        </w:rPr>
        <w:tab/>
        <w:t>komunikace (např. pomocí invertorů a ovládacích zařízení);</w:t>
      </w:r>
    </w:p>
    <w:p w:rsidR="00AB2818" w:rsidRPr="003B6E11" w:rsidRDefault="00AB2818">
      <w:pPr>
        <w:rPr>
          <w:lang w:val="cs-CZ"/>
        </w:rPr>
      </w:pPr>
      <w:r w:rsidRPr="003B6E11">
        <w:rPr>
          <w:lang w:val="cs-CZ"/>
        </w:rPr>
        <w:br w:type="page"/>
      </w:r>
    </w:p>
    <w:p w:rsidR="00AB2818" w:rsidRPr="003B6E11" w:rsidRDefault="00AB2818" w:rsidP="001F02E6">
      <w:pPr>
        <w:pStyle w:val="ESlet"/>
        <w:rPr>
          <w:lang w:val="cs-CZ"/>
        </w:rPr>
      </w:pPr>
    </w:p>
    <w:p w:rsidR="001F02E6" w:rsidRPr="003B6E11" w:rsidRDefault="001F02E6" w:rsidP="001F02E6">
      <w:pPr>
        <w:pStyle w:val="ESlet"/>
        <w:rPr>
          <w:rFonts w:eastAsia="Calibri"/>
          <w:lang w:val="cs-CZ"/>
        </w:rPr>
      </w:pPr>
      <w:r w:rsidRPr="003B6E11">
        <w:rPr>
          <w:lang w:val="cs-CZ"/>
        </w:rPr>
        <w:t>i)</w:t>
      </w:r>
      <w:r w:rsidRPr="003B6E11">
        <w:rPr>
          <w:lang w:val="cs-CZ"/>
        </w:rPr>
        <w:tab/>
        <w:t>ověřování a identifikace;</w:t>
      </w:r>
    </w:p>
    <w:p w:rsidR="001F02E6" w:rsidRPr="003B6E11" w:rsidRDefault="001F02E6" w:rsidP="001F02E6">
      <w:pPr>
        <w:pStyle w:val="ESlet"/>
        <w:rPr>
          <w:rFonts w:eastAsia="Calibri"/>
          <w:lang w:val="cs-CZ"/>
        </w:rPr>
      </w:pPr>
      <w:r w:rsidRPr="003B6E11">
        <w:rPr>
          <w:lang w:val="cs-CZ"/>
        </w:rPr>
        <w:t>j)</w:t>
      </w:r>
      <w:r w:rsidRPr="003B6E11">
        <w:rPr>
          <w:lang w:val="cs-CZ"/>
        </w:rPr>
        <w:tab/>
        <w:t>historie.</w:t>
      </w:r>
    </w:p>
    <w:p w:rsidR="001F02E6" w:rsidRPr="003B6E11" w:rsidRDefault="001F02E6" w:rsidP="001F02E6">
      <w:pPr>
        <w:pStyle w:val="ESch"/>
        <w:rPr>
          <w:rFonts w:eastAsia="Calibri"/>
          <w:lang w:val="cs-CZ"/>
        </w:rPr>
      </w:pPr>
    </w:p>
    <w:p w:rsidR="001F02E6" w:rsidRPr="003B6E11" w:rsidRDefault="001F02E6" w:rsidP="001F02E6">
      <w:pPr>
        <w:pStyle w:val="ESch"/>
        <w:rPr>
          <w:lang w:val="cs-CZ"/>
        </w:rPr>
      </w:pPr>
      <w:r w:rsidRPr="003B6E11">
        <w:rPr>
          <w:lang w:val="cs-CZ"/>
        </w:rPr>
        <w:t>17.</w:t>
      </w:r>
      <w:r w:rsidRPr="003B6E11">
        <w:rPr>
          <w:lang w:val="cs-CZ"/>
        </w:rPr>
        <w:tab/>
        <w:t>Odstavce 1 až 12 a 16 platí obdobně i pro baterie.</w:t>
      </w:r>
    </w:p>
    <w:p w:rsidR="008A12E7" w:rsidRPr="003B6E11" w:rsidRDefault="008A12E7" w:rsidP="00AA5633">
      <w:pPr>
        <w:pStyle w:val="ESch"/>
        <w:rPr>
          <w:lang w:val="cs-CZ"/>
        </w:rPr>
      </w:pPr>
    </w:p>
    <w:p w:rsidR="00651EFD" w:rsidRPr="003B6E11" w:rsidRDefault="00651EFD" w:rsidP="00AA5633">
      <w:pPr>
        <w:pStyle w:val="ESch"/>
        <w:rPr>
          <w:lang w:val="cs-CZ"/>
        </w:rPr>
      </w:pPr>
    </w:p>
    <w:p w:rsidR="008A12E7" w:rsidRPr="003B6E11" w:rsidRDefault="008A12E7" w:rsidP="00651EFD">
      <w:pPr>
        <w:pStyle w:val="ES-Titre3"/>
        <w:rPr>
          <w:lang w:val="cs-CZ"/>
        </w:rPr>
      </w:pPr>
      <w:bookmarkStart w:id="183" w:name="_Toc491854089"/>
      <w:bookmarkStart w:id="184" w:name="_Toc535416995"/>
      <w:r w:rsidRPr="003B6E11">
        <w:rPr>
          <w:lang w:val="cs-CZ"/>
        </w:rPr>
        <w:t>Článek 10.12</w:t>
      </w:r>
      <w:r w:rsidRPr="003B6E11">
        <w:rPr>
          <w:lang w:val="cs-CZ"/>
        </w:rPr>
        <w:br/>
      </w:r>
      <w:r w:rsidRPr="003B6E11">
        <w:rPr>
          <w:i/>
          <w:lang w:val="cs-CZ"/>
        </w:rPr>
        <w:t>Spínací a ovládací zařízení</w:t>
      </w:r>
      <w:bookmarkEnd w:id="183"/>
      <w:bookmarkEnd w:id="184"/>
    </w:p>
    <w:p w:rsidR="00651EFD" w:rsidRPr="003B6E11" w:rsidRDefault="00651EFD" w:rsidP="008A12E7">
      <w:pPr>
        <w:rPr>
          <w:rFonts w:cs="Arial"/>
          <w:noProof/>
          <w:szCs w:val="20"/>
          <w:lang w:val="cs-CZ"/>
        </w:rPr>
      </w:pPr>
    </w:p>
    <w:p w:rsidR="001F02E6" w:rsidRPr="003B6E11" w:rsidRDefault="001F02E6" w:rsidP="001F02E6">
      <w:pPr>
        <w:pStyle w:val="ESch"/>
        <w:rPr>
          <w:rFonts w:eastAsia="Calibri"/>
          <w:lang w:val="cs-CZ"/>
        </w:rPr>
      </w:pPr>
      <w:r w:rsidRPr="003B6E11">
        <w:rPr>
          <w:lang w:val="cs-CZ"/>
        </w:rPr>
        <w:t>1.</w:t>
      </w:r>
      <w:r w:rsidRPr="003B6E11">
        <w:rPr>
          <w:lang w:val="cs-CZ"/>
        </w:rPr>
        <w:tab/>
        <w:t>Rozvaděče</w:t>
      </w:r>
    </w:p>
    <w:p w:rsidR="001F02E6" w:rsidRPr="003B6E11" w:rsidRDefault="001F02E6" w:rsidP="001F02E6">
      <w:pPr>
        <w:pStyle w:val="ESlet"/>
        <w:rPr>
          <w:rFonts w:eastAsia="Calibri"/>
          <w:lang w:val="cs-CZ"/>
        </w:rPr>
      </w:pPr>
      <w:r w:rsidRPr="003B6E11">
        <w:rPr>
          <w:lang w:val="cs-CZ"/>
        </w:rPr>
        <w:t>a)</w:t>
      </w:r>
      <w:r w:rsidRPr="003B6E11">
        <w:rPr>
          <w:lang w:val="cs-CZ"/>
        </w:rPr>
        <w:tab/>
        <w:t>Zařízení, spínače, pojistky a panelové přístroje musí být viditelně uspořádány a snadno dostupné pro údržbu a opravy.</w:t>
      </w:r>
    </w:p>
    <w:p w:rsidR="001F02E6" w:rsidRPr="003B6E11" w:rsidRDefault="001F02E6" w:rsidP="001F02E6">
      <w:pPr>
        <w:pStyle w:val="EStiret"/>
        <w:ind w:left="993" w:hanging="1"/>
        <w:rPr>
          <w:rFonts w:eastAsia="Calibri"/>
          <w:noProof w:val="0"/>
          <w:lang w:val="cs-CZ"/>
        </w:rPr>
      </w:pPr>
      <w:r w:rsidRPr="003B6E11">
        <w:rPr>
          <w:lang w:val="cs-CZ"/>
        </w:rPr>
        <w:t>Svorky pro napětí do 50 V a pro napětí vyšší než 50 V musí být navzájem odděleny a řádně označeny.</w:t>
      </w:r>
    </w:p>
    <w:p w:rsidR="001F02E6" w:rsidRPr="003B6E11" w:rsidRDefault="001F02E6" w:rsidP="001F02E6">
      <w:pPr>
        <w:pStyle w:val="ESlet"/>
        <w:rPr>
          <w:rFonts w:eastAsia="Calibri"/>
          <w:lang w:val="cs-CZ"/>
        </w:rPr>
      </w:pPr>
      <w:r w:rsidRPr="003B6E11">
        <w:rPr>
          <w:lang w:val="cs-CZ"/>
        </w:rPr>
        <w:t>b)</w:t>
      </w:r>
      <w:r w:rsidRPr="003B6E11">
        <w:rPr>
          <w:lang w:val="cs-CZ"/>
        </w:rPr>
        <w:tab/>
        <w:t>U všech spínačů a zařízení musí být na rozvaděčích připevněn štítek s údaji o daném obvodu.</w:t>
      </w:r>
    </w:p>
    <w:p w:rsidR="001F02E6" w:rsidRPr="003B6E11" w:rsidRDefault="001F02E6" w:rsidP="001F02E6">
      <w:pPr>
        <w:pStyle w:val="ESletpar"/>
        <w:rPr>
          <w:rFonts w:eastAsia="Calibri"/>
          <w:lang w:val="cs-CZ"/>
        </w:rPr>
      </w:pPr>
      <w:r w:rsidRPr="003B6E11">
        <w:rPr>
          <w:lang w:val="cs-CZ"/>
        </w:rPr>
        <w:t>U pojistek musí být uvedena jmenovitá intenzita proudu a obvod.</w:t>
      </w:r>
    </w:p>
    <w:p w:rsidR="001F02E6" w:rsidRPr="003B6E11" w:rsidRDefault="001F02E6" w:rsidP="001F02E6">
      <w:pPr>
        <w:pStyle w:val="ESlet"/>
        <w:rPr>
          <w:rFonts w:eastAsia="Calibri"/>
          <w:lang w:val="cs-CZ"/>
        </w:rPr>
      </w:pPr>
      <w:r w:rsidRPr="003B6E11">
        <w:rPr>
          <w:lang w:val="cs-CZ"/>
        </w:rPr>
        <w:t>c)</w:t>
      </w:r>
      <w:r w:rsidRPr="003B6E11">
        <w:rPr>
          <w:lang w:val="cs-CZ"/>
        </w:rPr>
        <w:tab/>
        <w:t>Nacházejí-li se zařízení s provozním napětím vyšším než 50 V za dveřmi, musí být součástí těchto zařízení, které jsou pod proudem, chráněny proti náhodnému dotyku při otevřených dveřích.</w:t>
      </w:r>
    </w:p>
    <w:p w:rsidR="001F02E6" w:rsidRPr="003B6E11" w:rsidRDefault="001F02E6" w:rsidP="001F02E6">
      <w:pPr>
        <w:pStyle w:val="ESlet"/>
        <w:rPr>
          <w:rFonts w:eastAsia="Calibri"/>
          <w:lang w:val="cs-CZ"/>
        </w:rPr>
      </w:pPr>
      <w:r w:rsidRPr="003B6E11">
        <w:rPr>
          <w:lang w:val="cs-CZ"/>
        </w:rPr>
        <w:t>d)</w:t>
      </w:r>
      <w:r w:rsidRPr="003B6E11">
        <w:rPr>
          <w:lang w:val="cs-CZ"/>
        </w:rPr>
        <w:tab/>
        <w:t>Materiály rozvaděčů musí mít dostatečnou mechanickou pevnost, musí být trvanlivé, zpomalující hoření, samozhášecí a nesmí nasávat vodu a vlhkost.</w:t>
      </w:r>
    </w:p>
    <w:p w:rsidR="001F02E6" w:rsidRPr="003B6E11" w:rsidRDefault="001F02E6" w:rsidP="001F02E6">
      <w:pPr>
        <w:pStyle w:val="ESlet"/>
        <w:rPr>
          <w:rFonts w:eastAsia="Calibri"/>
          <w:lang w:val="cs-CZ"/>
        </w:rPr>
      </w:pPr>
      <w:r w:rsidRPr="003B6E11">
        <w:rPr>
          <w:lang w:val="cs-CZ"/>
        </w:rPr>
        <w:t>e)</w:t>
      </w:r>
      <w:r w:rsidRPr="003B6E11">
        <w:rPr>
          <w:lang w:val="cs-CZ"/>
        </w:rPr>
        <w:tab/>
        <w:t>Jsou-li v rozvaděčích použity nízkonapěťové pojistky s velkou vypínací schopností, musí být k dispozici osobní ochranné prostředky a pomůcky ke vkládání a vyjímání tavných vložek.</w:t>
      </w:r>
    </w:p>
    <w:p w:rsidR="001F02E6" w:rsidRPr="003B6E11" w:rsidRDefault="001F02E6" w:rsidP="001F02E6">
      <w:pPr>
        <w:pStyle w:val="ESch"/>
        <w:rPr>
          <w:lang w:val="cs-CZ"/>
        </w:rPr>
      </w:pPr>
    </w:p>
    <w:p w:rsidR="001F02E6" w:rsidRPr="003B6E11" w:rsidRDefault="001F02E6" w:rsidP="001F02E6">
      <w:pPr>
        <w:pStyle w:val="ESch"/>
        <w:rPr>
          <w:rFonts w:eastAsia="Calibri"/>
          <w:lang w:val="cs-CZ"/>
        </w:rPr>
      </w:pPr>
      <w:r w:rsidRPr="003B6E11">
        <w:rPr>
          <w:lang w:val="cs-CZ"/>
        </w:rPr>
        <w:t>2.</w:t>
      </w:r>
      <w:r w:rsidRPr="003B6E11">
        <w:rPr>
          <w:lang w:val="cs-CZ"/>
        </w:rPr>
        <w:tab/>
        <w:t>Spínače, ochranná zařízení</w:t>
      </w:r>
    </w:p>
    <w:p w:rsidR="001F02E6" w:rsidRPr="003B6E11" w:rsidRDefault="001F02E6" w:rsidP="001F02E6">
      <w:pPr>
        <w:pStyle w:val="ESlet"/>
        <w:rPr>
          <w:rFonts w:eastAsia="Calibri"/>
          <w:lang w:val="cs-CZ"/>
        </w:rPr>
      </w:pPr>
      <w:r w:rsidRPr="003B6E11">
        <w:rPr>
          <w:lang w:val="cs-CZ"/>
        </w:rPr>
        <w:t>a)</w:t>
      </w:r>
      <w:r w:rsidRPr="003B6E11">
        <w:rPr>
          <w:lang w:val="cs-CZ"/>
        </w:rPr>
        <w:tab/>
        <w:t xml:space="preserve">Obvody generátorů a elektrických zařízení musí být chráněny proti zkratu a nadproudu na všech neuzemněných vodičích. Pro tento účel mohou být použita spínací zařízení spouštěná při zkratu či přetížení nebo pojistky (s tavnými vložkami). </w:t>
      </w:r>
    </w:p>
    <w:p w:rsidR="001F02E6" w:rsidRPr="003B6E11" w:rsidRDefault="001F02E6" w:rsidP="001F02E6">
      <w:pPr>
        <w:pStyle w:val="ESletpar"/>
        <w:rPr>
          <w:rFonts w:eastAsia="Calibri"/>
          <w:lang w:val="cs-CZ"/>
        </w:rPr>
      </w:pPr>
      <w:r w:rsidRPr="003B6E11">
        <w:rPr>
          <w:lang w:val="cs-CZ"/>
        </w:rPr>
        <w:t>Obvody napájející kormidelní zařízení podle článku 6.04 a jejich řídicí obvody musí být chráněny pouze proti zkratu. Je-li součástí jističe tepelná spoušť, musí být neutralizována nebo nastavena nejméně na dvojnásobek jmenovité intenzity proudu.</w:t>
      </w:r>
    </w:p>
    <w:p w:rsidR="001F02E6" w:rsidRPr="003B6E11" w:rsidRDefault="001F02E6" w:rsidP="001F02E6">
      <w:pPr>
        <w:pStyle w:val="ESlet"/>
        <w:rPr>
          <w:rFonts w:eastAsia="Calibri"/>
          <w:lang w:val="cs-CZ"/>
        </w:rPr>
      </w:pPr>
      <w:r w:rsidRPr="003B6E11">
        <w:rPr>
          <w:lang w:val="cs-CZ"/>
        </w:rPr>
        <w:t>b)</w:t>
      </w:r>
      <w:r w:rsidRPr="003B6E11">
        <w:rPr>
          <w:lang w:val="cs-CZ"/>
        </w:rPr>
        <w:tab/>
        <w:t>Výstupy z hlavního rozvaděče do elektrických zařízení musí mít zátěžový spínač nebo jistič pro jmenovitý proud větší než 16 A.</w:t>
      </w:r>
    </w:p>
    <w:p w:rsidR="001F02E6" w:rsidRPr="003B6E11" w:rsidRDefault="001F02E6" w:rsidP="001F02E6">
      <w:pPr>
        <w:pStyle w:val="ESlet"/>
        <w:rPr>
          <w:rFonts w:eastAsia="Calibri"/>
          <w:lang w:val="cs-CZ"/>
        </w:rPr>
      </w:pPr>
      <w:r w:rsidRPr="003B6E11">
        <w:rPr>
          <w:lang w:val="cs-CZ"/>
        </w:rPr>
        <w:t>c)</w:t>
      </w:r>
      <w:r w:rsidRPr="003B6E11">
        <w:rPr>
          <w:lang w:val="cs-CZ"/>
        </w:rPr>
        <w:tab/>
        <w:t>Elektrická zařízení potřebná pro pohon lodi, pro kormidelní zařízení v souladu s kapitolou 6, pro ukazatele polohy kormidla, navigační systémy nebo bezpečnostní systémy, jakož i elektrická zařízení se jmenovitou intenzitou proudu větší než 16 A musí být napájena samostatnými obvody.</w:t>
      </w:r>
    </w:p>
    <w:p w:rsidR="001F02E6" w:rsidRPr="003B6E11" w:rsidRDefault="001F02E6" w:rsidP="001F02E6">
      <w:pPr>
        <w:pStyle w:val="ESlet"/>
        <w:rPr>
          <w:rFonts w:eastAsia="Calibri"/>
          <w:lang w:val="cs-CZ"/>
        </w:rPr>
      </w:pPr>
      <w:r w:rsidRPr="003B6E11">
        <w:rPr>
          <w:lang w:val="cs-CZ"/>
        </w:rPr>
        <w:t>d)</w:t>
      </w:r>
      <w:r w:rsidRPr="003B6E11">
        <w:rPr>
          <w:lang w:val="cs-CZ"/>
        </w:rPr>
        <w:tab/>
        <w:t>Obvody elektrických zařízení potřebných pro pohon lodi a její manévrování musí být napájeny přímo z hlavního rozvaděče.</w:t>
      </w:r>
    </w:p>
    <w:p w:rsidR="001F02E6" w:rsidRPr="003B6E11" w:rsidRDefault="001F02E6" w:rsidP="001F02E6">
      <w:pPr>
        <w:pStyle w:val="ESlet"/>
        <w:rPr>
          <w:rFonts w:eastAsia="Calibri"/>
          <w:lang w:val="cs-CZ"/>
        </w:rPr>
      </w:pPr>
      <w:r w:rsidRPr="003B6E11">
        <w:rPr>
          <w:lang w:val="cs-CZ"/>
        </w:rPr>
        <w:t>e)</w:t>
      </w:r>
      <w:r w:rsidRPr="003B6E11">
        <w:rPr>
          <w:lang w:val="cs-CZ"/>
        </w:rPr>
        <w:tab/>
        <w:t>Spínací zařízení se zvolí podle jmenovité intenzity proudu, termické nebo dynamické pevnosti a vypínací schopnosti. Spínače musí vypnout současně všechny vodiče pod napětím. Spínací poloha musí být snadno rozpoznatelná.</w:t>
      </w:r>
    </w:p>
    <w:p w:rsidR="001F02E6" w:rsidRPr="003B6E11" w:rsidRDefault="001F02E6" w:rsidP="001F02E6">
      <w:pPr>
        <w:pStyle w:val="ESlet"/>
        <w:rPr>
          <w:rFonts w:eastAsia="Calibri"/>
          <w:lang w:val="cs-CZ"/>
        </w:rPr>
      </w:pPr>
      <w:r w:rsidRPr="003B6E11">
        <w:rPr>
          <w:lang w:val="cs-CZ"/>
        </w:rPr>
        <w:t>f)</w:t>
      </w:r>
      <w:r w:rsidRPr="003B6E11">
        <w:rPr>
          <w:lang w:val="cs-CZ"/>
        </w:rPr>
        <w:tab/>
        <w:t>Tavné vložky musí být uzavřeného typu a musí být vyrobeny z porcelánu nebo rovnocenného materiálu. Musí být možné je vyměnit bez nebezpečí kontaktu.</w:t>
      </w:r>
    </w:p>
    <w:p w:rsidR="001F02E6" w:rsidRPr="003B6E11" w:rsidRDefault="001F02E6" w:rsidP="001F02E6">
      <w:pPr>
        <w:pStyle w:val="ESch"/>
        <w:rPr>
          <w:rFonts w:eastAsia="Calibri"/>
          <w:lang w:val="cs-CZ"/>
        </w:rPr>
      </w:pPr>
    </w:p>
    <w:p w:rsidR="00AB2818" w:rsidRPr="003B6E11" w:rsidRDefault="00AB2818">
      <w:pPr>
        <w:rPr>
          <w:rFonts w:eastAsia="Calibri"/>
          <w:lang w:val="cs-CZ"/>
        </w:rPr>
      </w:pPr>
      <w:r w:rsidRPr="003B6E11">
        <w:rPr>
          <w:lang w:val="cs-CZ"/>
        </w:rPr>
        <w:br w:type="page"/>
      </w:r>
    </w:p>
    <w:p w:rsidR="00AB2818" w:rsidRPr="003B6E11" w:rsidRDefault="00AB2818"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3.</w:t>
      </w:r>
      <w:r w:rsidRPr="003B6E11">
        <w:rPr>
          <w:lang w:val="cs-CZ"/>
        </w:rPr>
        <w:tab/>
        <w:t>Měřicí a kontrolní zařízení</w:t>
      </w:r>
    </w:p>
    <w:p w:rsidR="001F02E6" w:rsidRPr="003B6E11" w:rsidRDefault="001F02E6" w:rsidP="001F02E6">
      <w:pPr>
        <w:pStyle w:val="ESlet"/>
        <w:rPr>
          <w:rFonts w:eastAsia="Calibri"/>
          <w:lang w:val="cs-CZ"/>
        </w:rPr>
      </w:pPr>
      <w:r w:rsidRPr="003B6E11">
        <w:rPr>
          <w:lang w:val="cs-CZ"/>
        </w:rPr>
        <w:t>a)</w:t>
      </w:r>
      <w:r w:rsidRPr="003B6E11">
        <w:rPr>
          <w:lang w:val="cs-CZ"/>
        </w:rPr>
        <w:tab/>
        <w:t>Obvody generátorů, akumulátorů a distribuční obvody musí být opatřeny měřicími a kontrolními zařízeními, která jsou potřeba pro bezpečný provoz zařízení.</w:t>
      </w:r>
    </w:p>
    <w:p w:rsidR="001F02E6" w:rsidRPr="003B6E11" w:rsidRDefault="001F02E6" w:rsidP="001F02E6">
      <w:pPr>
        <w:pStyle w:val="ESlet"/>
        <w:rPr>
          <w:rFonts w:eastAsia="Calibri"/>
          <w:lang w:val="cs-CZ"/>
        </w:rPr>
      </w:pPr>
      <w:r w:rsidRPr="003B6E11">
        <w:rPr>
          <w:lang w:val="cs-CZ"/>
        </w:rPr>
        <w:t>b)</w:t>
      </w:r>
      <w:r w:rsidRPr="003B6E11">
        <w:rPr>
          <w:lang w:val="cs-CZ"/>
        </w:rPr>
        <w:tab/>
        <w:t>Neuzemněné sítě, kde je napětí vyšší než 50 V, musí zahrnovat zařízení pro kontrolu izolace, které je vybaveno optickým a akustickým poplašným systémem. U sekundárních zařízení, např. řídicích obvodů, lze od tohoto zařízení pro kontrolu izolace upustit.</w:t>
      </w:r>
    </w:p>
    <w:p w:rsidR="001F02E6" w:rsidRPr="003B6E11" w:rsidRDefault="001F02E6" w:rsidP="001F02E6">
      <w:pPr>
        <w:pStyle w:val="ESch"/>
        <w:rPr>
          <w:rFonts w:eastAsia="Calibri"/>
          <w:lang w:val="cs-CZ"/>
        </w:rPr>
      </w:pPr>
    </w:p>
    <w:p w:rsidR="001F02E6" w:rsidRPr="003B6E11" w:rsidRDefault="001F02E6" w:rsidP="001F02E6">
      <w:pPr>
        <w:pStyle w:val="ESch"/>
        <w:rPr>
          <w:rFonts w:eastAsia="Calibri"/>
          <w:lang w:val="cs-CZ"/>
        </w:rPr>
      </w:pPr>
      <w:r w:rsidRPr="003B6E11">
        <w:rPr>
          <w:lang w:val="cs-CZ"/>
        </w:rPr>
        <w:t>4.</w:t>
      </w:r>
      <w:r w:rsidRPr="003B6E11">
        <w:rPr>
          <w:lang w:val="cs-CZ"/>
        </w:rPr>
        <w:tab/>
        <w:t>Umístění rozvaděčů</w:t>
      </w:r>
    </w:p>
    <w:p w:rsidR="001F02E6" w:rsidRPr="003B6E11" w:rsidRDefault="001F02E6" w:rsidP="001F02E6">
      <w:pPr>
        <w:pStyle w:val="ESlet"/>
        <w:rPr>
          <w:rFonts w:eastAsia="Calibri"/>
          <w:lang w:val="cs-CZ"/>
        </w:rPr>
      </w:pPr>
      <w:r w:rsidRPr="003B6E11">
        <w:rPr>
          <w:lang w:val="cs-CZ"/>
        </w:rPr>
        <w:t>a)</w:t>
      </w:r>
      <w:r w:rsidRPr="003B6E11">
        <w:rPr>
          <w:lang w:val="cs-CZ"/>
        </w:rPr>
        <w:tab/>
        <w:t>Rozvaděče musí být umístěny v dostupných a dostatečně větraných místnostech, aby byly chráněny před poškozením vodou nebo mechanickým poškozením.</w:t>
      </w:r>
    </w:p>
    <w:p w:rsidR="001F02E6" w:rsidRPr="003B6E11" w:rsidRDefault="001F02E6" w:rsidP="001F02E6">
      <w:pPr>
        <w:pStyle w:val="ESletpar"/>
        <w:rPr>
          <w:rFonts w:eastAsia="Calibri"/>
          <w:lang w:val="cs-CZ"/>
        </w:rPr>
      </w:pPr>
      <w:r w:rsidRPr="003B6E11">
        <w:rPr>
          <w:lang w:val="cs-CZ"/>
        </w:rPr>
        <w:t>Potrubí a vzduchovody musí být uspořádány tak, aby v případě jejich netěsnosti nemohlo dojít k poškození spínacích a ovládacích zařízení. V případě, že musí být nezbytně instalovány blízkosti v rozvaděčů, nesmí se v okolí těchto rozvaděčů nacházet žádné odnímatelné spojovací prvky potrubí.</w:t>
      </w:r>
    </w:p>
    <w:p w:rsidR="001F02E6" w:rsidRPr="003B6E11" w:rsidRDefault="001F02E6" w:rsidP="001F02E6">
      <w:pPr>
        <w:pStyle w:val="ESlet"/>
        <w:rPr>
          <w:rFonts w:eastAsia="Calibri"/>
          <w:lang w:val="cs-CZ"/>
        </w:rPr>
      </w:pPr>
      <w:r w:rsidRPr="003B6E11">
        <w:rPr>
          <w:lang w:val="cs-CZ"/>
        </w:rPr>
        <w:t>b)</w:t>
      </w:r>
      <w:r w:rsidRPr="003B6E11">
        <w:rPr>
          <w:lang w:val="cs-CZ"/>
        </w:rPr>
        <w:tab/>
        <w:t>Skříňky a výklenky ve zdi, v nichž jsou umístěna nechráněná spínací zařízení, musí být z materiálu zpomalujícího hoření nebo být chráněny kovovým opláštěním či opláštěním z jiného nehořlavého materiálu.</w:t>
      </w:r>
    </w:p>
    <w:p w:rsidR="001F02E6" w:rsidRPr="003B6E11" w:rsidRDefault="001F02E6" w:rsidP="001F02E6">
      <w:pPr>
        <w:pStyle w:val="ESlet"/>
        <w:rPr>
          <w:rFonts w:eastAsia="Calibri"/>
          <w:lang w:val="cs-CZ"/>
        </w:rPr>
      </w:pPr>
      <w:r w:rsidRPr="003B6E11">
        <w:rPr>
          <w:lang w:val="cs-CZ"/>
        </w:rPr>
        <w:t>c)</w:t>
      </w:r>
      <w:r w:rsidRPr="003B6E11">
        <w:rPr>
          <w:lang w:val="cs-CZ"/>
        </w:rPr>
        <w:tab/>
        <w:t>Pokud je napětí větší než 50 V, umístí se před hlavní rozvaděč, kde sedí obsluha, mřížky nebo izolační rohože.</w:t>
      </w:r>
    </w:p>
    <w:p w:rsidR="008A12E7" w:rsidRPr="003B6E11" w:rsidRDefault="008A12E7" w:rsidP="00AA5633">
      <w:pPr>
        <w:pStyle w:val="ESch"/>
        <w:rPr>
          <w:lang w:val="cs-CZ"/>
        </w:rPr>
      </w:pPr>
    </w:p>
    <w:p w:rsidR="00651EFD" w:rsidRPr="003B6E11" w:rsidRDefault="00651EFD" w:rsidP="00AA5633">
      <w:pPr>
        <w:pStyle w:val="ESch"/>
        <w:rPr>
          <w:lang w:val="cs-CZ"/>
        </w:rPr>
      </w:pPr>
    </w:p>
    <w:p w:rsidR="008A12E7" w:rsidRPr="003B6E11" w:rsidRDefault="008A12E7" w:rsidP="00F87682">
      <w:pPr>
        <w:pStyle w:val="ES-Titre3"/>
        <w:spacing w:line="240" w:lineRule="atLeast"/>
        <w:rPr>
          <w:lang w:val="cs-CZ"/>
        </w:rPr>
      </w:pPr>
      <w:bookmarkStart w:id="185" w:name="_Toc491854090"/>
      <w:bookmarkStart w:id="186" w:name="_Toc535416996"/>
      <w:r w:rsidRPr="003B6E11">
        <w:rPr>
          <w:lang w:val="cs-CZ"/>
        </w:rPr>
        <w:t>Článek 10.13</w:t>
      </w:r>
      <w:r w:rsidRPr="003B6E11">
        <w:rPr>
          <w:lang w:val="cs-CZ"/>
        </w:rPr>
        <w:br/>
      </w:r>
      <w:r w:rsidRPr="003B6E11">
        <w:rPr>
          <w:i/>
          <w:lang w:val="cs-CZ"/>
        </w:rPr>
        <w:t>Nouzové jističe</w:t>
      </w:r>
      <w:bookmarkEnd w:id="185"/>
      <w:bookmarkEnd w:id="186"/>
    </w:p>
    <w:p w:rsidR="006B754E" w:rsidRPr="003B6E11" w:rsidRDefault="006B754E" w:rsidP="006B754E">
      <w:pPr>
        <w:rPr>
          <w:rFonts w:cs="Arial"/>
          <w:noProof/>
          <w:szCs w:val="20"/>
          <w:lang w:val="cs-CZ"/>
        </w:rPr>
      </w:pPr>
    </w:p>
    <w:p w:rsidR="0091718D" w:rsidRPr="003B6E11" w:rsidRDefault="0091718D" w:rsidP="0091718D">
      <w:pPr>
        <w:pStyle w:val="ESgauche"/>
        <w:rPr>
          <w:rFonts w:eastAsia="Calibri"/>
          <w:noProof w:val="0"/>
          <w:lang w:val="cs-CZ"/>
        </w:rPr>
      </w:pPr>
      <w:r w:rsidRPr="003B6E11">
        <w:rPr>
          <w:lang w:val="cs-CZ"/>
        </w:rPr>
        <w:t>U olejových hořáků, olejových a palivových čerpadel, odlučovačů oleje a paliva a ventilátorů strojoven musí být v centrální pozici mimo místnosti, kde se zařízení nachází, instalovány nouzové jističe.</w:t>
      </w:r>
    </w:p>
    <w:p w:rsidR="008A12E7" w:rsidRPr="003B6E11" w:rsidRDefault="008A12E7" w:rsidP="008A12E7">
      <w:pPr>
        <w:rPr>
          <w:rFonts w:cs="Arial"/>
          <w:szCs w:val="20"/>
          <w:lang w:val="cs-CZ"/>
        </w:rPr>
      </w:pPr>
    </w:p>
    <w:p w:rsidR="00BD4F1D" w:rsidRPr="003B6E11" w:rsidRDefault="00BD4F1D" w:rsidP="008A12E7">
      <w:pPr>
        <w:rPr>
          <w:rFonts w:cs="Arial"/>
          <w:szCs w:val="20"/>
          <w:lang w:val="cs-CZ"/>
        </w:rPr>
      </w:pPr>
    </w:p>
    <w:p w:rsidR="008A12E7" w:rsidRPr="003B6E11" w:rsidRDefault="008A12E7" w:rsidP="00F87682">
      <w:pPr>
        <w:pStyle w:val="ES-Titre3"/>
        <w:spacing w:line="240" w:lineRule="atLeast"/>
        <w:rPr>
          <w:lang w:val="cs-CZ"/>
        </w:rPr>
      </w:pPr>
      <w:bookmarkStart w:id="187" w:name="_Toc491854091"/>
      <w:bookmarkStart w:id="188" w:name="_Toc535416997"/>
      <w:r w:rsidRPr="003B6E11">
        <w:rPr>
          <w:lang w:val="cs-CZ"/>
        </w:rPr>
        <w:t>Článek 10.14</w:t>
      </w:r>
      <w:r w:rsidRPr="003B6E11">
        <w:rPr>
          <w:lang w:val="cs-CZ"/>
        </w:rPr>
        <w:br/>
      </w:r>
      <w:r w:rsidRPr="003B6E11">
        <w:rPr>
          <w:i/>
          <w:noProof/>
          <w:lang w:val="cs-CZ"/>
        </w:rPr>
        <w:t>Montážní příslušenství</w:t>
      </w:r>
      <w:bookmarkEnd w:id="187"/>
      <w:bookmarkEnd w:id="188"/>
    </w:p>
    <w:p w:rsidR="00651EFD" w:rsidRPr="003B6E11" w:rsidRDefault="00651EFD" w:rsidP="008A12E7">
      <w:pPr>
        <w:rPr>
          <w:rFonts w:cs="Arial"/>
          <w:noProof/>
          <w:szCs w:val="20"/>
          <w:lang w:val="cs-CZ"/>
        </w:rPr>
      </w:pPr>
    </w:p>
    <w:p w:rsidR="008A12E7" w:rsidRPr="003B6E11" w:rsidRDefault="008A12E7" w:rsidP="00BD4F1D">
      <w:pPr>
        <w:pStyle w:val="ESch"/>
        <w:rPr>
          <w:lang w:val="cs-CZ"/>
        </w:rPr>
      </w:pPr>
      <w:r w:rsidRPr="003B6E11">
        <w:rPr>
          <w:lang w:val="cs-CZ"/>
        </w:rPr>
        <w:t>1.</w:t>
      </w:r>
      <w:r w:rsidRPr="003B6E11">
        <w:rPr>
          <w:lang w:val="cs-CZ"/>
        </w:rPr>
        <w:tab/>
        <w:t>Kabelové vstupy musí být dimenzovány na kabely, které se mají připojit, a odpovídat druhu použitých kabelů.</w:t>
      </w:r>
    </w:p>
    <w:p w:rsidR="00651EFD" w:rsidRPr="003B6E11" w:rsidRDefault="00651EFD" w:rsidP="00BD4F1D">
      <w:pPr>
        <w:pStyle w:val="ESch"/>
        <w:rPr>
          <w:noProof/>
          <w:lang w:val="cs-CZ"/>
        </w:rPr>
      </w:pPr>
    </w:p>
    <w:p w:rsidR="008A12E7" w:rsidRPr="003B6E11" w:rsidRDefault="008A12E7" w:rsidP="00BD4F1D">
      <w:pPr>
        <w:pStyle w:val="ESch"/>
        <w:rPr>
          <w:lang w:val="cs-CZ"/>
        </w:rPr>
      </w:pPr>
      <w:r w:rsidRPr="003B6E11">
        <w:rPr>
          <w:lang w:val="cs-CZ"/>
        </w:rPr>
        <w:t>2.</w:t>
      </w:r>
      <w:r w:rsidRPr="003B6E11">
        <w:rPr>
          <w:lang w:val="cs-CZ"/>
        </w:rPr>
        <w:tab/>
        <w:t>Zásuvky pro distribuční obvody s různým napětím nebo kmitočtem nesmí být navzájem zaměnitelné.</w:t>
      </w:r>
    </w:p>
    <w:p w:rsidR="00651EFD" w:rsidRPr="003B6E11" w:rsidRDefault="00651EFD" w:rsidP="00BD4F1D">
      <w:pPr>
        <w:pStyle w:val="ESch"/>
        <w:rPr>
          <w:noProof/>
          <w:lang w:val="cs-CZ"/>
        </w:rPr>
      </w:pPr>
    </w:p>
    <w:p w:rsidR="008A12E7" w:rsidRPr="003B6E11" w:rsidRDefault="008A12E7" w:rsidP="00BD4F1D">
      <w:pPr>
        <w:pStyle w:val="ESch"/>
        <w:rPr>
          <w:lang w:val="cs-CZ"/>
        </w:rPr>
      </w:pPr>
      <w:r w:rsidRPr="003B6E11">
        <w:rPr>
          <w:lang w:val="cs-CZ"/>
        </w:rPr>
        <w:t>3.</w:t>
      </w:r>
      <w:r w:rsidRPr="003B6E11">
        <w:rPr>
          <w:lang w:val="cs-CZ"/>
        </w:rPr>
        <w:tab/>
        <w:t>Spínače musí přepínat současně všechny neuzemněné vodiče v obvodu. V neuzemněných soustavách obvodů jsou však v obvodech osvětlení obytných prostorů kromě prádelen, koupelen, umýváren a jiných vlhkých prostorů povoleny jednopólové spínače.</w:t>
      </w:r>
    </w:p>
    <w:p w:rsidR="00651EFD" w:rsidRPr="003B6E11" w:rsidRDefault="00651EFD" w:rsidP="00BD4F1D">
      <w:pPr>
        <w:pStyle w:val="ESch"/>
        <w:rPr>
          <w:noProof/>
          <w:lang w:val="cs-CZ"/>
        </w:rPr>
      </w:pPr>
    </w:p>
    <w:p w:rsidR="008A12E7" w:rsidRPr="003B6E11" w:rsidRDefault="008A12E7" w:rsidP="00BD4F1D">
      <w:pPr>
        <w:pStyle w:val="ESch"/>
        <w:rPr>
          <w:lang w:val="cs-CZ"/>
        </w:rPr>
      </w:pPr>
      <w:r w:rsidRPr="003B6E11">
        <w:rPr>
          <w:lang w:val="cs-CZ"/>
        </w:rPr>
        <w:t>4.</w:t>
      </w:r>
      <w:r w:rsidRPr="003B6E11">
        <w:rPr>
          <w:lang w:val="cs-CZ"/>
        </w:rPr>
        <w:tab/>
        <w:t>Překračuje-li intenzita proudu 16 A, musí být možné zásuvky zablokovat pomocí přepínače, aby zástrčku bylo možné zasunout a vytáhnout pouze tehdy, je-li proud vypnutý.</w:t>
      </w:r>
    </w:p>
    <w:p w:rsidR="00651EFD" w:rsidRPr="003B6E11" w:rsidRDefault="00651EFD" w:rsidP="008A12E7">
      <w:pPr>
        <w:rPr>
          <w:rFonts w:cs="Arial"/>
          <w:szCs w:val="20"/>
          <w:lang w:val="cs-CZ"/>
        </w:rPr>
      </w:pPr>
    </w:p>
    <w:p w:rsidR="00651EFD" w:rsidRPr="003B6E11" w:rsidRDefault="00651EFD" w:rsidP="008A12E7">
      <w:pPr>
        <w:rPr>
          <w:rFonts w:cs="Arial"/>
          <w:szCs w:val="20"/>
          <w:lang w:val="cs-CZ"/>
        </w:rPr>
      </w:pPr>
    </w:p>
    <w:p w:rsidR="00AB2818" w:rsidRPr="003B6E11" w:rsidRDefault="00AB2818">
      <w:pPr>
        <w:rPr>
          <w:rFonts w:cs="Arial"/>
          <w:szCs w:val="20"/>
          <w:lang w:val="cs-CZ"/>
        </w:rPr>
      </w:pPr>
      <w:r w:rsidRPr="003B6E11">
        <w:rPr>
          <w:lang w:val="cs-CZ"/>
        </w:rPr>
        <w:br w:type="page"/>
      </w:r>
    </w:p>
    <w:p w:rsidR="00AB2818" w:rsidRPr="003B6E11" w:rsidRDefault="00AB2818" w:rsidP="008A12E7">
      <w:pPr>
        <w:rPr>
          <w:rFonts w:cs="Arial"/>
          <w:szCs w:val="20"/>
          <w:lang w:val="cs-CZ"/>
        </w:rPr>
      </w:pPr>
    </w:p>
    <w:p w:rsidR="008A12E7" w:rsidRPr="003B6E11" w:rsidRDefault="008A12E7" w:rsidP="00651EFD">
      <w:pPr>
        <w:pStyle w:val="ES-Titre3"/>
        <w:rPr>
          <w:lang w:val="cs-CZ"/>
        </w:rPr>
      </w:pPr>
      <w:bookmarkStart w:id="189" w:name="_Toc491854092"/>
      <w:bookmarkStart w:id="190" w:name="_Toc535416998"/>
      <w:r w:rsidRPr="003B6E11">
        <w:rPr>
          <w:lang w:val="cs-CZ"/>
        </w:rPr>
        <w:t>Článek 10.15</w:t>
      </w:r>
      <w:r w:rsidRPr="003B6E11">
        <w:rPr>
          <w:lang w:val="cs-CZ"/>
        </w:rPr>
        <w:br/>
      </w:r>
      <w:r w:rsidRPr="003B6E11">
        <w:rPr>
          <w:i/>
          <w:lang w:val="cs-CZ"/>
        </w:rPr>
        <w:t>Kabely, izolované kabely a kabelové systémy</w:t>
      </w:r>
      <w:bookmarkEnd w:id="189"/>
      <w:bookmarkEnd w:id="190"/>
    </w:p>
    <w:p w:rsidR="00651EFD" w:rsidRPr="003B6E11" w:rsidRDefault="00651EFD" w:rsidP="008A12E7">
      <w:pPr>
        <w:rPr>
          <w:rFonts w:cs="Arial"/>
          <w:noProof/>
          <w:szCs w:val="20"/>
          <w:lang w:val="cs-CZ"/>
        </w:rPr>
      </w:pPr>
    </w:p>
    <w:p w:rsidR="00A07DE6" w:rsidRPr="003B6E11" w:rsidRDefault="00A07DE6" w:rsidP="00A07DE6">
      <w:pPr>
        <w:pStyle w:val="ESch"/>
        <w:rPr>
          <w:rFonts w:eastAsia="Calibri"/>
          <w:lang w:val="cs-CZ"/>
        </w:rPr>
      </w:pPr>
      <w:r w:rsidRPr="003B6E11">
        <w:rPr>
          <w:lang w:val="cs-CZ"/>
        </w:rPr>
        <w:t>1.</w:t>
      </w:r>
      <w:r w:rsidRPr="003B6E11">
        <w:rPr>
          <w:lang w:val="cs-CZ"/>
        </w:rPr>
        <w:tab/>
        <w:t>Kabely musí zpomalovat hoření, být samozhášecí a odolné vůči vodě a oleji.</w:t>
      </w:r>
    </w:p>
    <w:p w:rsidR="00A07DE6" w:rsidRPr="003B6E11" w:rsidRDefault="00A07DE6" w:rsidP="00A07DE6">
      <w:pPr>
        <w:pStyle w:val="ESch"/>
        <w:rPr>
          <w:rFonts w:eastAsia="Calibri"/>
          <w:lang w:val="cs-CZ"/>
        </w:rPr>
      </w:pPr>
    </w:p>
    <w:p w:rsidR="00A07DE6" w:rsidRPr="003B6E11" w:rsidRDefault="00A07DE6" w:rsidP="00A07DE6">
      <w:pPr>
        <w:pStyle w:val="ESchpar"/>
        <w:rPr>
          <w:rFonts w:eastAsia="Calibri"/>
          <w:lang w:val="cs-CZ"/>
        </w:rPr>
      </w:pPr>
      <w:r w:rsidRPr="003B6E11">
        <w:rPr>
          <w:lang w:val="cs-CZ"/>
        </w:rPr>
        <w:t>V obytných prostorech může subjekt pověřený prohlídkami povolit použití jiných typů kabelů, pokud jsou účinně chráněny, zpomalují hoření nebo jsou samozhášecí.</w:t>
      </w:r>
    </w:p>
    <w:p w:rsidR="00A07DE6" w:rsidRPr="003B6E11" w:rsidRDefault="00A07DE6" w:rsidP="00A07DE6">
      <w:pPr>
        <w:pStyle w:val="ESchpar"/>
        <w:rPr>
          <w:rFonts w:eastAsia="Calibri"/>
          <w:lang w:val="cs-CZ"/>
        </w:rPr>
      </w:pPr>
    </w:p>
    <w:p w:rsidR="00A07DE6" w:rsidRPr="003B6E11" w:rsidRDefault="00A07DE6" w:rsidP="00A07DE6">
      <w:pPr>
        <w:pStyle w:val="ESchpar"/>
        <w:rPr>
          <w:rFonts w:eastAsia="Calibri"/>
          <w:lang w:val="cs-CZ"/>
        </w:rPr>
      </w:pPr>
      <w:r w:rsidRPr="003B6E11">
        <w:rPr>
          <w:lang w:val="cs-CZ"/>
        </w:rPr>
        <w:t xml:space="preserve">Aby mohl být elektrický kabel považován za kabel zpomalující hoření, musí být dodrženy </w:t>
      </w:r>
    </w:p>
    <w:p w:rsidR="00A07DE6" w:rsidRPr="003B6E11" w:rsidRDefault="00A07DE6" w:rsidP="00A07DE6">
      <w:pPr>
        <w:pStyle w:val="ESlet"/>
        <w:rPr>
          <w:rFonts w:eastAsia="Calibri"/>
          <w:lang w:val="cs-CZ"/>
        </w:rPr>
      </w:pPr>
      <w:r w:rsidRPr="003B6E11">
        <w:rPr>
          <w:lang w:val="cs-CZ"/>
        </w:rPr>
        <w:t>a)</w:t>
      </w:r>
      <w:r w:rsidRPr="003B6E11">
        <w:rPr>
          <w:lang w:val="cs-CZ"/>
        </w:rPr>
        <w:tab/>
        <w:t>požadavky evropských norem řady EN 60332</w:t>
      </w:r>
      <w:r w:rsidRPr="003B6E11">
        <w:rPr>
          <w:lang w:val="cs-CZ"/>
        </w:rPr>
        <w:softHyphen/>
        <w:t>1 a EN 60332</w:t>
      </w:r>
      <w:r w:rsidRPr="003B6E11">
        <w:rPr>
          <w:lang w:val="cs-CZ"/>
        </w:rPr>
        <w:softHyphen/>
        <w:t>3 ve znění platném ke dni 6. července 2017 nebo</w:t>
      </w:r>
    </w:p>
    <w:p w:rsidR="001427DF" w:rsidRPr="003B6E11" w:rsidRDefault="00A07DE6" w:rsidP="00A07DE6">
      <w:pPr>
        <w:pStyle w:val="ESlet"/>
        <w:rPr>
          <w:lang w:val="cs-CZ"/>
        </w:rPr>
      </w:pPr>
      <w:r w:rsidRPr="003B6E11">
        <w:rPr>
          <w:lang w:val="cs-CZ"/>
        </w:rPr>
        <w:t>b)</w:t>
      </w:r>
      <w:r w:rsidRPr="003B6E11">
        <w:rPr>
          <w:lang w:val="cs-CZ"/>
        </w:rPr>
        <w:tab/>
        <w:t>rovnocenné předpisy jednoho z členských států.</w:t>
      </w:r>
    </w:p>
    <w:p w:rsidR="00A07DE6" w:rsidRPr="003B6E11" w:rsidRDefault="00A07DE6" w:rsidP="00A07DE6">
      <w:pPr>
        <w:pStyle w:val="ESlet"/>
        <w:rPr>
          <w:rFonts w:eastAsia="Calibri"/>
          <w:lang w:val="cs-CZ"/>
        </w:rPr>
      </w:pP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2.</w:t>
      </w:r>
      <w:r w:rsidRPr="003B6E11">
        <w:rPr>
          <w:lang w:val="cs-CZ"/>
        </w:rPr>
        <w:tab/>
        <w:t>Vodiče kabelů pro silové obvody a obvody osvětlení musí mít minimální průřez jednotlivého vodiče 1,5 mm</w:t>
      </w:r>
      <w:r w:rsidRPr="003B6E11">
        <w:rPr>
          <w:vertAlign w:val="superscript"/>
          <w:lang w:val="cs-CZ"/>
        </w:rPr>
        <w:t>2</w:t>
      </w:r>
      <w:r w:rsidRPr="003B6E11">
        <w:rPr>
          <w:lang w:val="cs-CZ"/>
        </w:rPr>
        <w:t>.</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3.</w:t>
      </w:r>
      <w:r w:rsidRPr="003B6E11">
        <w:rPr>
          <w:lang w:val="cs-CZ"/>
        </w:rPr>
        <w:tab/>
        <w:t>Kovové opancéřování, odstínění a oplášťování kabelů nesmí být za běžných provozních podmínek použito jako vodiče nebo zemnicí vodiče.</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4.</w:t>
      </w:r>
      <w:r w:rsidRPr="003B6E11">
        <w:rPr>
          <w:lang w:val="cs-CZ"/>
        </w:rPr>
        <w:tab/>
        <w:t>Kovové odstínění a oplášťování kabelů v silových a osvětlovacích instalacích musí být nejméně na jednom konci uzemněno.</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5.</w:t>
      </w:r>
      <w:r w:rsidRPr="003B6E11">
        <w:rPr>
          <w:lang w:val="cs-CZ"/>
        </w:rPr>
        <w:tab/>
        <w:t>Průřez vodičů musí odpovídat konečné maximální přípustné teplotě vodiče (maximální přípustné intenzitě proudu) a přípustnému poklesu napětí. Tento pokles mezi hlavním rozvaděčem a nejméně příznivým místem instalace nesmí být v případě osvětlení větší než 5 % jmenovitého napětí a v případě silových nebo vytápěcích instalací větší než 7 %.</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6.</w:t>
      </w:r>
      <w:r w:rsidRPr="003B6E11">
        <w:rPr>
          <w:lang w:val="cs-CZ"/>
        </w:rPr>
        <w:tab/>
        <w:t>Kabely musí být chráněny proti mechanickému poškození.</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7.</w:t>
      </w:r>
      <w:r w:rsidRPr="003B6E11">
        <w:rPr>
          <w:lang w:val="cs-CZ"/>
        </w:rPr>
        <w:tab/>
        <w:t xml:space="preserve">Kabelové přípojky musí být chráněny proti mechanickému zatížení a proti zatížení v tahu. </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8.</w:t>
      </w:r>
      <w:r w:rsidRPr="003B6E11">
        <w:rPr>
          <w:lang w:val="cs-CZ"/>
        </w:rPr>
        <w:tab/>
        <w:t>Procházejí-li kabely přepážkami nebo palubami, nesmí být kabelovými průchodkami nepříznivě ovlivněna mechanická pevnost, vodotěsnost a požadované protipožární vlastnosti (např. aby materiál byl nehořlavý, zpomaloval hoření a byl ohnivzdorný) těchto přepážek a palub.</w:t>
      </w:r>
    </w:p>
    <w:p w:rsidR="00A07DE6" w:rsidRPr="003B6E11" w:rsidRDefault="00A07DE6" w:rsidP="00A07DE6">
      <w:pPr>
        <w:pStyle w:val="ESch"/>
        <w:rPr>
          <w:rFonts w:eastAsia="Calibri"/>
          <w:highlight w:val="yellow"/>
          <w:lang w:val="cs-CZ"/>
        </w:rPr>
      </w:pPr>
    </w:p>
    <w:p w:rsidR="00A07DE6" w:rsidRPr="003B6E11" w:rsidRDefault="00A07DE6" w:rsidP="00A07DE6">
      <w:pPr>
        <w:pStyle w:val="ESch"/>
        <w:rPr>
          <w:rFonts w:eastAsia="Calibri"/>
          <w:lang w:val="cs-CZ"/>
        </w:rPr>
      </w:pPr>
      <w:r w:rsidRPr="003B6E11">
        <w:rPr>
          <w:lang w:val="cs-CZ"/>
        </w:rPr>
        <w:t>9.</w:t>
      </w:r>
      <w:r w:rsidRPr="003B6E11">
        <w:rPr>
          <w:lang w:val="cs-CZ"/>
        </w:rPr>
        <w:tab/>
        <w:t>Koncovky a přípojky všech vodičů musí být navrženy tak, aby byly zachovány původní elektrické, mechanické a protipožární ochranné vlastnosti kabelů (např. aby byl materiál nehořlavý, ohnivzdorný a zpomaloval hoření). Tento požadavek je splněn, pokud jsou koncovky a přípojky v souladu:</w:t>
      </w:r>
    </w:p>
    <w:p w:rsidR="00A07DE6" w:rsidRPr="003B6E11" w:rsidRDefault="00A07DE6" w:rsidP="00A07DE6">
      <w:pPr>
        <w:pStyle w:val="ESlet"/>
        <w:rPr>
          <w:rFonts w:eastAsia="Calibri"/>
          <w:lang w:val="cs-CZ"/>
        </w:rPr>
      </w:pPr>
      <w:r w:rsidRPr="003B6E11">
        <w:rPr>
          <w:lang w:val="cs-CZ"/>
        </w:rPr>
        <w:t>a)</w:t>
      </w:r>
      <w:r w:rsidRPr="003B6E11">
        <w:rPr>
          <w:lang w:val="cs-CZ"/>
        </w:rPr>
        <w:tab/>
        <w:t>s bodem 3.28 mezinárodní normy IEC 60092</w:t>
      </w:r>
      <w:r w:rsidRPr="003B6E11">
        <w:rPr>
          <w:lang w:val="cs-CZ"/>
        </w:rPr>
        <w:softHyphen/>
        <w:t xml:space="preserve">352:2005 ve spojení s přílohou D uvedené normy nebo </w:t>
      </w:r>
    </w:p>
    <w:p w:rsidR="00A07DE6" w:rsidRPr="003B6E11" w:rsidRDefault="00A07DE6" w:rsidP="00A07DE6">
      <w:pPr>
        <w:pStyle w:val="ESlet"/>
        <w:rPr>
          <w:rFonts w:eastAsia="Calibri"/>
          <w:lang w:val="cs-CZ"/>
        </w:rPr>
      </w:pPr>
      <w:r w:rsidRPr="003B6E11">
        <w:rPr>
          <w:lang w:val="cs-CZ"/>
        </w:rPr>
        <w:t>b)</w:t>
      </w:r>
      <w:r w:rsidRPr="003B6E11">
        <w:rPr>
          <w:lang w:val="cs-CZ"/>
        </w:rPr>
        <w:tab/>
        <w:t>s rovnocenným předpisem nebo normou uznávanou jedním z členských států.</w:t>
      </w:r>
    </w:p>
    <w:p w:rsidR="00A07DE6" w:rsidRPr="003B6E11" w:rsidRDefault="00A07DE6" w:rsidP="00A07DE6">
      <w:pPr>
        <w:pStyle w:val="ESlet"/>
        <w:rPr>
          <w:rFonts w:eastAsia="Calibri"/>
          <w:lang w:val="cs-CZ"/>
        </w:rPr>
      </w:pPr>
      <w:r w:rsidRPr="003B6E11">
        <w:rPr>
          <w:lang w:val="cs-CZ"/>
        </w:rPr>
        <w:t>Počet kabelových přípojek musí být omezen na minimum.</w:t>
      </w:r>
    </w:p>
    <w:p w:rsidR="00A07DE6" w:rsidRPr="003B6E11" w:rsidRDefault="00A07DE6" w:rsidP="00A07DE6">
      <w:pPr>
        <w:pStyle w:val="ESch"/>
        <w:rPr>
          <w:rFonts w:eastAsia="Calibri"/>
          <w:lang w:val="cs-CZ"/>
        </w:rPr>
      </w:pPr>
    </w:p>
    <w:p w:rsidR="00A07DE6" w:rsidRPr="003B6E11" w:rsidRDefault="00A07DE6" w:rsidP="00A07DE6">
      <w:pPr>
        <w:pStyle w:val="ESch"/>
        <w:ind w:firstLine="0"/>
        <w:rPr>
          <w:rFonts w:eastAsia="Calibri"/>
          <w:lang w:val="cs-CZ"/>
        </w:rPr>
      </w:pPr>
      <w:r w:rsidRPr="003B6E11">
        <w:rPr>
          <w:lang w:val="cs-CZ"/>
        </w:rPr>
        <w:t>V případě opravených nebo nahrazených kabelů je první věta splněna, pokud jsou kabelové přípojky v souladu s bodem 3.28 mezinárodní normy IEC 60092</w:t>
      </w:r>
      <w:r w:rsidRPr="003B6E11">
        <w:rPr>
          <w:lang w:val="cs-CZ"/>
        </w:rPr>
        <w:softHyphen/>
        <w:t>352:2005 ve spojení s přílohou D uvedené normy nebo s předpisy uznávanými členským státem jako rovnocenné.</w:t>
      </w:r>
    </w:p>
    <w:p w:rsidR="00A07DE6" w:rsidRPr="003B6E11" w:rsidRDefault="00A07DE6" w:rsidP="00A07DE6">
      <w:pPr>
        <w:rPr>
          <w:lang w:val="cs-CZ"/>
        </w:rPr>
      </w:pPr>
    </w:p>
    <w:p w:rsidR="00AB2818" w:rsidRPr="003B6E11" w:rsidRDefault="00AB2818">
      <w:pPr>
        <w:rPr>
          <w:lang w:val="cs-CZ"/>
        </w:rPr>
      </w:pPr>
      <w:r w:rsidRPr="003B6E11">
        <w:rPr>
          <w:lang w:val="cs-CZ"/>
        </w:rPr>
        <w:br w:type="page"/>
      </w:r>
    </w:p>
    <w:p w:rsidR="00AB2818" w:rsidRPr="003B6E11" w:rsidRDefault="00AB2818" w:rsidP="00A07DE6">
      <w:pPr>
        <w:rPr>
          <w:lang w:val="cs-CZ"/>
        </w:rPr>
      </w:pPr>
    </w:p>
    <w:p w:rsidR="00A07DE6" w:rsidRPr="003B6E11" w:rsidRDefault="00A07DE6" w:rsidP="00A07DE6">
      <w:pPr>
        <w:pStyle w:val="ESch"/>
        <w:rPr>
          <w:rFonts w:eastAsia="Calibri"/>
          <w:lang w:val="cs-CZ"/>
        </w:rPr>
      </w:pPr>
      <w:r w:rsidRPr="003B6E11">
        <w:rPr>
          <w:lang w:val="cs-CZ"/>
        </w:rPr>
        <w:t>10.</w:t>
      </w:r>
      <w:r w:rsidRPr="003B6E11">
        <w:rPr>
          <w:lang w:val="cs-CZ"/>
        </w:rPr>
        <w:tab/>
        <w:t>Kabely připojené ke zvedacím kormidelnám musí být dostatečně pružné a mít izolaci s dostatečnou pružností při teplotách do –20 °C a být odolné vůči páře a výparům, ultrafialovému záření a ozonu.</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11.</w:t>
      </w:r>
      <w:r w:rsidRPr="003B6E11">
        <w:rPr>
          <w:lang w:val="cs-CZ"/>
        </w:rPr>
        <w:tab/>
        <w:t>Při instalaci kabelových průchodek nesmí být zhoršeny protipožární vlastnosti dělicí stěny. Tento požadavek se považuje za splněný, pokud kabely odpovídají ustanovením evropské normy řady EN 60332-3 ve znění platném k 6. červenci 2017 nebo jednomu z předpisů uznávaných členským státem za rovnocenné. Pokud tomu tak není, musí být v průchodkách pro dlouhé kabelové svazky zajištěno protipožární těsnění (více než 6 m svisle a 14 m vodorovně), pokud kabely nejsou zcela uzavřeny v kabelovodech.</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12.</w:t>
      </w:r>
      <w:r w:rsidRPr="003B6E11">
        <w:rPr>
          <w:lang w:val="cs-CZ"/>
        </w:rPr>
        <w:tab/>
        <w:t>Kabely vedoucí z nouzového zdroje elektrické energie do elektrického zařízení musí být položeny pokud možno v bezpečném prostoru.</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13.</w:t>
      </w:r>
      <w:r w:rsidRPr="003B6E11">
        <w:rPr>
          <w:lang w:val="cs-CZ"/>
        </w:rPr>
        <w:tab/>
        <w:t xml:space="preserve">Kabely by neměly být vedeny prostory s vysokými teplotami okolí. Pokud to není možné, </w:t>
      </w:r>
    </w:p>
    <w:p w:rsidR="00A07DE6" w:rsidRPr="003B6E11" w:rsidRDefault="00A07DE6" w:rsidP="00A07DE6">
      <w:pPr>
        <w:pStyle w:val="ESlet"/>
        <w:rPr>
          <w:rFonts w:eastAsia="Calibri"/>
          <w:lang w:val="cs-CZ"/>
        </w:rPr>
      </w:pPr>
      <w:r w:rsidRPr="003B6E11">
        <w:rPr>
          <w:lang w:val="cs-CZ"/>
        </w:rPr>
        <w:t>a)</w:t>
      </w:r>
      <w:r w:rsidRPr="003B6E11">
        <w:rPr>
          <w:lang w:val="cs-CZ"/>
        </w:rPr>
        <w:tab/>
        <w:t xml:space="preserve">musí být teploty okolí brány v úvahu při stanovení maximální přípustné intenzity proudu nebo </w:t>
      </w:r>
    </w:p>
    <w:p w:rsidR="00A07DE6" w:rsidRPr="003B6E11" w:rsidRDefault="00A07DE6" w:rsidP="00A07DE6">
      <w:pPr>
        <w:pStyle w:val="ESlet"/>
        <w:rPr>
          <w:rFonts w:eastAsia="Calibri"/>
          <w:lang w:val="cs-CZ"/>
        </w:rPr>
      </w:pPr>
      <w:r w:rsidRPr="003B6E11">
        <w:rPr>
          <w:lang w:val="cs-CZ"/>
        </w:rPr>
        <w:t>b)</w:t>
      </w:r>
      <w:r w:rsidRPr="003B6E11">
        <w:rPr>
          <w:lang w:val="cs-CZ"/>
        </w:rPr>
        <w:tab/>
        <w:t>kabel musí být chráněn proti poškození teplem a požárem.</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14.</w:t>
      </w:r>
      <w:r w:rsidRPr="003B6E11">
        <w:rPr>
          <w:lang w:val="cs-CZ"/>
        </w:rPr>
        <w:tab/>
        <w:t>Hlavní a nouzové napájecí kabely nesmí být vedeny stejnou místností. Subjekt pověřený prohlídkami může od tohoto požadavku upustit, jestliže:</w:t>
      </w:r>
    </w:p>
    <w:p w:rsidR="00A07DE6" w:rsidRPr="003B6E11" w:rsidRDefault="00A07DE6" w:rsidP="00A07DE6">
      <w:pPr>
        <w:pStyle w:val="ESlet"/>
        <w:rPr>
          <w:rFonts w:eastAsia="Calibri"/>
          <w:lang w:val="cs-CZ"/>
        </w:rPr>
      </w:pPr>
      <w:r w:rsidRPr="003B6E11">
        <w:rPr>
          <w:lang w:val="cs-CZ"/>
        </w:rPr>
        <w:t>a)</w:t>
      </w:r>
      <w:r w:rsidRPr="003B6E11">
        <w:rPr>
          <w:lang w:val="cs-CZ"/>
        </w:rPr>
        <w:tab/>
        <w:t>hlavní a nouzové napájecí kabely jsou položeny tak daleko od sebe, jak je to možné, nebo</w:t>
      </w:r>
    </w:p>
    <w:p w:rsidR="00A07DE6" w:rsidRPr="003B6E11" w:rsidRDefault="00A07DE6" w:rsidP="00A07DE6">
      <w:pPr>
        <w:pStyle w:val="ESlet"/>
        <w:rPr>
          <w:rFonts w:eastAsia="Calibri"/>
          <w:lang w:val="cs-CZ"/>
        </w:rPr>
      </w:pPr>
      <w:r w:rsidRPr="003B6E11">
        <w:rPr>
          <w:lang w:val="cs-CZ"/>
        </w:rPr>
        <w:t>b)</w:t>
      </w:r>
      <w:r w:rsidRPr="003B6E11">
        <w:rPr>
          <w:lang w:val="cs-CZ"/>
        </w:rPr>
        <w:tab/>
        <w:t xml:space="preserve">nouzové napájecí kabely jsou ohnivzdorné. Tento požadavek je splněn, pokud jsou dodrženy požadavky mezinárodních norem řady IEC 60331 ve znění platném ke dni 6. července 2017. </w:t>
      </w:r>
    </w:p>
    <w:p w:rsidR="008A12E7" w:rsidRPr="003B6E11" w:rsidRDefault="008A12E7" w:rsidP="00A07DE6">
      <w:pPr>
        <w:rPr>
          <w:rFonts w:cs="Arial"/>
          <w:szCs w:val="20"/>
          <w:lang w:val="cs-CZ"/>
        </w:rPr>
      </w:pPr>
    </w:p>
    <w:p w:rsidR="002A778C" w:rsidRPr="003B6E11" w:rsidRDefault="002A778C" w:rsidP="008A12E7">
      <w:pPr>
        <w:rPr>
          <w:rFonts w:cs="Arial"/>
          <w:szCs w:val="20"/>
          <w:lang w:val="cs-CZ"/>
        </w:rPr>
      </w:pPr>
    </w:p>
    <w:p w:rsidR="008A12E7" w:rsidRPr="003B6E11" w:rsidRDefault="008A12E7" w:rsidP="00651EFD">
      <w:pPr>
        <w:pStyle w:val="ES-Titre3"/>
        <w:rPr>
          <w:lang w:val="cs-CZ"/>
        </w:rPr>
      </w:pPr>
      <w:bookmarkStart w:id="191" w:name="_Toc491854093"/>
      <w:bookmarkStart w:id="192" w:name="_Toc535416999"/>
      <w:r w:rsidRPr="003B6E11">
        <w:rPr>
          <w:lang w:val="cs-CZ"/>
        </w:rPr>
        <w:t>Článek 10.16</w:t>
      </w:r>
      <w:r w:rsidRPr="003B6E11">
        <w:rPr>
          <w:lang w:val="cs-CZ"/>
        </w:rPr>
        <w:br/>
      </w:r>
      <w:r w:rsidRPr="003B6E11">
        <w:rPr>
          <w:i/>
          <w:noProof/>
          <w:lang w:val="cs-CZ"/>
        </w:rPr>
        <w:t>Osvětlovací zařízení</w:t>
      </w:r>
      <w:bookmarkEnd w:id="191"/>
      <w:bookmarkEnd w:id="192"/>
    </w:p>
    <w:p w:rsidR="00651EFD" w:rsidRPr="003B6E11" w:rsidRDefault="00651EFD" w:rsidP="008A12E7">
      <w:pPr>
        <w:rPr>
          <w:rFonts w:cs="Arial"/>
          <w:noProof/>
          <w:szCs w:val="20"/>
          <w:lang w:val="cs-CZ"/>
        </w:rPr>
      </w:pPr>
    </w:p>
    <w:p w:rsidR="00A07DE6" w:rsidRPr="003B6E11" w:rsidRDefault="00A07DE6" w:rsidP="00A07DE6">
      <w:pPr>
        <w:pStyle w:val="ESch"/>
        <w:rPr>
          <w:rFonts w:eastAsia="Calibri"/>
          <w:lang w:val="cs-CZ"/>
        </w:rPr>
      </w:pPr>
      <w:r w:rsidRPr="003B6E11">
        <w:rPr>
          <w:lang w:val="cs-CZ"/>
        </w:rPr>
        <w:t>1.</w:t>
      </w:r>
      <w:r w:rsidRPr="003B6E11">
        <w:rPr>
          <w:lang w:val="cs-CZ"/>
        </w:rPr>
        <w:tab/>
        <w:t>Osvětlovací přístroje musí být instalovány tak, aby jimi vyzařované teplo nemohlo zapálit hořlavé předměty nebo konstrukční díly, které se nachází poblíž.</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2.</w:t>
      </w:r>
      <w:r w:rsidRPr="003B6E11">
        <w:rPr>
          <w:lang w:val="cs-CZ"/>
        </w:rPr>
        <w:tab/>
        <w:t>Osvětlovací přístroje na otevřených palubách musí být instalovány tak, aby nebránily rozpoznání signálních světel.</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3.</w:t>
      </w:r>
      <w:r w:rsidRPr="003B6E11">
        <w:rPr>
          <w:lang w:val="cs-CZ"/>
        </w:rPr>
        <w:tab/>
        <w:t>Jsou-li ve strojovně nebo v kotelně instalovány dva nebo více osvětlovacích přístrojů, musí být rozděleny mezi nejméně dva obvody. Tento požadavek se vztahuje rovněž na místnosti, v nichž jsou instalována chladící zařízení, hydraulická zařízení či elektrické motory.</w:t>
      </w:r>
    </w:p>
    <w:p w:rsidR="008A12E7" w:rsidRPr="003B6E11" w:rsidRDefault="008A12E7" w:rsidP="008A12E7">
      <w:pPr>
        <w:rPr>
          <w:rFonts w:cs="Arial"/>
          <w:szCs w:val="20"/>
          <w:lang w:val="cs-CZ"/>
        </w:rPr>
      </w:pPr>
    </w:p>
    <w:p w:rsidR="00651EFD" w:rsidRPr="003B6E11" w:rsidRDefault="00651EFD" w:rsidP="008A12E7">
      <w:pPr>
        <w:rPr>
          <w:rFonts w:cs="Arial"/>
          <w:szCs w:val="20"/>
          <w:lang w:val="cs-CZ"/>
        </w:rPr>
      </w:pPr>
    </w:p>
    <w:p w:rsidR="008A12E7" w:rsidRPr="003B6E11" w:rsidRDefault="008A12E7" w:rsidP="00651EFD">
      <w:pPr>
        <w:pStyle w:val="ES-Titre3"/>
        <w:rPr>
          <w:lang w:val="cs-CZ"/>
        </w:rPr>
      </w:pPr>
      <w:bookmarkStart w:id="193" w:name="_Toc491854094"/>
      <w:bookmarkStart w:id="194" w:name="_Toc535417000"/>
      <w:r w:rsidRPr="003B6E11">
        <w:rPr>
          <w:lang w:val="cs-CZ"/>
        </w:rPr>
        <w:t>Článek 10.17</w:t>
      </w:r>
      <w:r w:rsidRPr="003B6E11">
        <w:rPr>
          <w:lang w:val="cs-CZ"/>
        </w:rPr>
        <w:br/>
      </w:r>
      <w:r w:rsidRPr="003B6E11">
        <w:rPr>
          <w:i/>
          <w:noProof/>
          <w:lang w:val="cs-CZ"/>
        </w:rPr>
        <w:t>Navigační světla</w:t>
      </w:r>
      <w:bookmarkEnd w:id="193"/>
      <w:bookmarkEnd w:id="194"/>
    </w:p>
    <w:p w:rsidR="00651EFD" w:rsidRPr="003B6E11" w:rsidRDefault="00651EFD" w:rsidP="008A12E7">
      <w:pPr>
        <w:rPr>
          <w:rFonts w:cs="Arial"/>
          <w:noProof/>
          <w:szCs w:val="20"/>
          <w:lang w:val="cs-CZ"/>
        </w:rPr>
      </w:pPr>
    </w:p>
    <w:p w:rsidR="00A07DE6" w:rsidRPr="003B6E11" w:rsidRDefault="00A07DE6" w:rsidP="00A07DE6">
      <w:pPr>
        <w:pStyle w:val="ESch"/>
        <w:rPr>
          <w:rFonts w:eastAsia="Calibri"/>
          <w:lang w:val="cs-CZ"/>
        </w:rPr>
      </w:pPr>
      <w:r w:rsidRPr="003B6E11">
        <w:rPr>
          <w:lang w:val="cs-CZ"/>
        </w:rPr>
        <w:t>1.</w:t>
      </w:r>
      <w:r w:rsidRPr="003B6E11">
        <w:rPr>
          <w:lang w:val="cs-CZ"/>
        </w:rPr>
        <w:tab/>
        <w:t>Rozvaděče pro navigační světla musí být instalovány v kormidelně. Musí být napájeny samostatným kabelem z hlavního rozvaděče nebo dvěma nezávislými sekundárními sítěmi.</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2.</w:t>
      </w:r>
      <w:r w:rsidRPr="003B6E11">
        <w:rPr>
          <w:lang w:val="cs-CZ"/>
        </w:rPr>
        <w:tab/>
        <w:t>Navigační světla musí být samostatně napájena, jištěna a ovládána z rozvaděče pro navigační světla.</w:t>
      </w:r>
    </w:p>
    <w:p w:rsidR="00A07DE6" w:rsidRPr="003B6E11" w:rsidRDefault="00A07DE6" w:rsidP="00A07DE6">
      <w:pPr>
        <w:pStyle w:val="ESch"/>
        <w:rPr>
          <w:rFonts w:eastAsia="Calibri"/>
          <w:lang w:val="cs-CZ"/>
        </w:rPr>
      </w:pPr>
    </w:p>
    <w:p w:rsidR="00AB2818" w:rsidRPr="003B6E11" w:rsidRDefault="00AB2818">
      <w:pPr>
        <w:rPr>
          <w:rFonts w:eastAsia="Calibri"/>
          <w:lang w:val="cs-CZ"/>
        </w:rPr>
      </w:pPr>
      <w:r w:rsidRPr="003B6E11">
        <w:rPr>
          <w:lang w:val="cs-CZ"/>
        </w:rPr>
        <w:br w:type="page"/>
      </w:r>
    </w:p>
    <w:p w:rsidR="00AB2818" w:rsidRPr="003B6E11" w:rsidRDefault="00AB2818"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3.</w:t>
      </w:r>
      <w:r w:rsidRPr="003B6E11">
        <w:rPr>
          <w:lang w:val="cs-CZ"/>
        </w:rPr>
        <w:tab/>
        <w:t>Porucha zařízení uvedených v čl. 7.05 odst. 2 nesmí narušit provoz navigačních světel, k jejichž kontrole slouží.</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 xml:space="preserve">4. </w:t>
      </w:r>
      <w:r w:rsidRPr="003B6E11">
        <w:rPr>
          <w:lang w:val="cs-CZ"/>
        </w:rPr>
        <w:tab/>
        <w:t>Společně napájeno, ovládáno a kontrolováno může být několik signálních svítilen, které tvoří jednu funkční jednotku a jsou nainstalovány společně na stejném místě. Kontrolní zařízení musí být schopno rozpoznat poruchu kteréhokoli z těchto světel. Ve dvojitém světle (dvě světla namontovaná nad sebou v jednom krytu) nesmí být možné používat současně oba světelné zdroje.</w:t>
      </w:r>
    </w:p>
    <w:p w:rsidR="008A12E7" w:rsidRPr="003B6E11" w:rsidRDefault="008A12E7" w:rsidP="00651EFD">
      <w:pPr>
        <w:rPr>
          <w:rFonts w:cs="Arial"/>
          <w:szCs w:val="20"/>
          <w:lang w:val="cs-CZ"/>
        </w:rPr>
      </w:pPr>
    </w:p>
    <w:p w:rsidR="008A12E7" w:rsidRPr="003B6E11" w:rsidRDefault="008A12E7" w:rsidP="008A12E7">
      <w:pPr>
        <w:rPr>
          <w:rFonts w:cs="Arial"/>
          <w:szCs w:val="20"/>
          <w:lang w:val="cs-CZ"/>
        </w:rPr>
      </w:pPr>
    </w:p>
    <w:p w:rsidR="008A12E7" w:rsidRPr="003B6E11" w:rsidRDefault="008A12E7" w:rsidP="00651EFD">
      <w:pPr>
        <w:pStyle w:val="ES-Titre3"/>
        <w:rPr>
          <w:lang w:val="cs-CZ"/>
        </w:rPr>
      </w:pPr>
      <w:bookmarkStart w:id="195" w:name="_Toc491854095"/>
      <w:bookmarkStart w:id="196" w:name="_Toc535417001"/>
      <w:r w:rsidRPr="003B6E11">
        <w:rPr>
          <w:lang w:val="cs-CZ"/>
        </w:rPr>
        <w:t>Článek 10.18</w:t>
      </w:r>
      <w:r w:rsidRPr="003B6E11">
        <w:rPr>
          <w:lang w:val="cs-CZ"/>
        </w:rPr>
        <w:br/>
      </w:r>
      <w:r w:rsidRPr="003B6E11">
        <w:rPr>
          <w:i/>
          <w:lang w:val="cs-CZ"/>
        </w:rPr>
        <w:t>Výkonová elektronika</w:t>
      </w:r>
      <w:bookmarkEnd w:id="195"/>
      <w:bookmarkEnd w:id="196"/>
    </w:p>
    <w:p w:rsidR="00651EFD" w:rsidRPr="003B6E11" w:rsidRDefault="00651EFD" w:rsidP="00651EFD">
      <w:pPr>
        <w:rPr>
          <w:rFonts w:cs="Arial"/>
          <w:noProof/>
          <w:szCs w:val="20"/>
          <w:lang w:val="cs-CZ"/>
        </w:rPr>
      </w:pPr>
    </w:p>
    <w:p w:rsidR="00A07DE6" w:rsidRPr="003B6E11" w:rsidRDefault="00A07DE6" w:rsidP="00A07DE6">
      <w:pPr>
        <w:pStyle w:val="ESch"/>
        <w:rPr>
          <w:rFonts w:eastAsia="Calibri"/>
          <w:lang w:val="cs-CZ"/>
        </w:rPr>
      </w:pPr>
      <w:r w:rsidRPr="003B6E11">
        <w:rPr>
          <w:lang w:val="cs-CZ"/>
        </w:rPr>
        <w:t>1.</w:t>
      </w:r>
      <w:r w:rsidRPr="003B6E11">
        <w:rPr>
          <w:lang w:val="cs-CZ"/>
        </w:rPr>
        <w:tab/>
        <w:t>Pro každý systém výkonové elektroniky musí být zajištěno samostatné zařízení pro odpojení od sítě. U elektrických zařízení se jmenovitým proudem do 315 A může být použita kombinace pojistka-spínač. Ve všech ostatních případech musí být na straně sítě předřazen jistič.</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2.</w:t>
      </w:r>
      <w:r w:rsidRPr="003B6E11">
        <w:rPr>
          <w:lang w:val="cs-CZ"/>
        </w:rPr>
        <w:tab/>
        <w:t>Výkonová elektronika by měla být snadno přístupná pro opravy a měření. Pro kontrolu funkcí a zjišťování chybných funkcí musí být k dispozici vhodná zařízení.</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3.</w:t>
      </w:r>
      <w:r w:rsidRPr="003B6E11">
        <w:rPr>
          <w:lang w:val="cs-CZ"/>
        </w:rPr>
        <w:tab/>
        <w:t>Řídicí a signalizační elektronika musí být galvanicky oddělena od silových obvodů.</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4.</w:t>
      </w:r>
      <w:r w:rsidRPr="003B6E11">
        <w:rPr>
          <w:lang w:val="cs-CZ"/>
        </w:rPr>
        <w:tab/>
        <w:t>Systémy měničů musí zajišťovat bezpečný provoz i při největším přípustném kolísání napětí a kmitočtu. V případě nepřípustně vysokého kolísání kmitočtu a/nebo napětí na straně napájení se musí systém sám vypnout nebo zůstat v bezpečném provozním stavu.</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5.</w:t>
      </w:r>
      <w:r w:rsidRPr="003B6E11">
        <w:rPr>
          <w:lang w:val="cs-CZ"/>
        </w:rPr>
        <w:tab/>
        <w:t xml:space="preserve">Elektrický náboj v zařízeních by měl poklesnout na napětí nižší než 50 V za méně než 5 sekund po odpojení od sítě. Je-li pro pokles náboje zapotřebí delšího času, musí být zařízení opatřeno výstražným upozorněním. </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6.</w:t>
      </w:r>
      <w:r w:rsidRPr="003B6E11">
        <w:rPr>
          <w:lang w:val="cs-CZ"/>
        </w:rPr>
        <w:tab/>
        <w:t>Chybná funkce externích řídicích signálů nesmí způsobit nebezpečný stav.</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7.</w:t>
      </w:r>
      <w:r w:rsidRPr="003B6E11">
        <w:rPr>
          <w:lang w:val="cs-CZ"/>
        </w:rPr>
        <w:tab/>
        <w:t>Výkonová elektronika musí být navržena a instalována takovým způsobem, aby selhání řídicích napětí nemohlo vést k ohrožení nebo poškození systému nebo zařízení, v nichž je instalována výkonová elektronika, nebo celého systému.</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8.</w:t>
      </w:r>
      <w:r w:rsidRPr="003B6E11">
        <w:rPr>
          <w:lang w:val="cs-CZ"/>
        </w:rPr>
        <w:tab/>
        <w:t>Součástí zařízení, které je nezbytné pro pohon a manévrovatelnost, stejně jako pro bezpečnost posádky, plavidla nebo nákladu, musí být konstrukční části pro monitorování jednotlivých výkonových elektronických systémů a subsystémů, aby se usnadnilo odhalování chyb v případě chybné funkce a aby se zabránilo existenci neodhalených chyb.</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9.</w:t>
      </w:r>
      <w:r w:rsidRPr="003B6E11">
        <w:rPr>
          <w:lang w:val="cs-CZ"/>
        </w:rPr>
        <w:tab/>
        <w:t>Monitorování výkonové elektroniky musí zajistit, aby chyby byly odhalovány s jistotou, a předejít tomu, aby některé chyby zůstaly nerozpoznány.</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10.</w:t>
      </w:r>
      <w:r w:rsidRPr="003B6E11">
        <w:rPr>
          <w:lang w:val="cs-CZ"/>
        </w:rPr>
        <w:tab/>
        <w:t>S výjimkou konstrukčních části smí být použita pouze výkonová elektronika, která byla podrobena přezkoušení typu. Pokud výkonová elektronika zahrnuje ochranná a monitorovací zařízení, musí být součástí přezkoušení i prokázání mezních hodnot odezvy a koordinované interakce všech ochranných a monitorovacích zařízení. Zpráva o přezkoušení typu se zahrne do dokumentace systému.</w:t>
      </w:r>
    </w:p>
    <w:p w:rsidR="008A12E7" w:rsidRPr="003B6E11" w:rsidRDefault="008A12E7" w:rsidP="00AA5633">
      <w:pPr>
        <w:pStyle w:val="ESch"/>
        <w:rPr>
          <w:lang w:val="cs-CZ"/>
        </w:rPr>
      </w:pPr>
    </w:p>
    <w:p w:rsidR="00AB2818" w:rsidRPr="003B6E11" w:rsidRDefault="00AB2818">
      <w:pPr>
        <w:rPr>
          <w:lang w:val="cs-CZ"/>
        </w:rPr>
      </w:pPr>
      <w:r w:rsidRPr="003B6E11">
        <w:rPr>
          <w:lang w:val="cs-CZ"/>
        </w:rPr>
        <w:br w:type="page"/>
      </w:r>
    </w:p>
    <w:p w:rsidR="004E6822" w:rsidRPr="003B6E11" w:rsidRDefault="004E6822" w:rsidP="00AA5633">
      <w:pPr>
        <w:pStyle w:val="ESch"/>
        <w:rPr>
          <w:lang w:val="cs-CZ"/>
        </w:rPr>
      </w:pPr>
    </w:p>
    <w:p w:rsidR="008A12E7" w:rsidRPr="003B6E11" w:rsidRDefault="008A12E7" w:rsidP="00651EFD">
      <w:pPr>
        <w:pStyle w:val="ES-Titre3"/>
        <w:rPr>
          <w:lang w:val="cs-CZ"/>
        </w:rPr>
      </w:pPr>
      <w:bookmarkStart w:id="197" w:name="_Toc491854096"/>
      <w:bookmarkStart w:id="198" w:name="_Toc535417002"/>
      <w:r w:rsidRPr="003B6E11">
        <w:rPr>
          <w:lang w:val="cs-CZ"/>
        </w:rPr>
        <w:t>Článek 10.19</w:t>
      </w:r>
      <w:r w:rsidRPr="003B6E11">
        <w:rPr>
          <w:lang w:val="cs-CZ"/>
        </w:rPr>
        <w:br/>
      </w:r>
      <w:r w:rsidRPr="003B6E11">
        <w:rPr>
          <w:i/>
          <w:lang w:val="cs-CZ"/>
        </w:rPr>
        <w:t>Poplašné a bezpečnostní systémy pro mechanická zařízení</w:t>
      </w:r>
      <w:bookmarkEnd w:id="197"/>
      <w:bookmarkEnd w:id="198"/>
    </w:p>
    <w:p w:rsidR="00651EFD" w:rsidRPr="003B6E11" w:rsidRDefault="00651EFD" w:rsidP="008A12E7">
      <w:pPr>
        <w:rPr>
          <w:rFonts w:cs="Arial"/>
          <w:noProof/>
          <w:szCs w:val="20"/>
          <w:lang w:val="cs-CZ"/>
        </w:rPr>
      </w:pPr>
    </w:p>
    <w:p w:rsidR="00A07DE6" w:rsidRPr="003B6E11" w:rsidRDefault="00A07DE6" w:rsidP="00A07DE6">
      <w:pPr>
        <w:pStyle w:val="ESgauche"/>
        <w:rPr>
          <w:rFonts w:eastAsia="Calibri"/>
          <w:noProof w:val="0"/>
          <w:lang w:val="cs-CZ"/>
        </w:rPr>
      </w:pPr>
      <w:r w:rsidRPr="003B6E11">
        <w:rPr>
          <w:lang w:val="cs-CZ"/>
        </w:rPr>
        <w:t>Poplašné a bezpečnostní systémy pro kontrolu a ochranu mechanických zařízení musí splňovat tyto požadavky:</w:t>
      </w:r>
    </w:p>
    <w:p w:rsidR="00A07DE6" w:rsidRPr="003B6E11" w:rsidRDefault="00A07DE6" w:rsidP="00AA5633">
      <w:pPr>
        <w:pStyle w:val="ESch"/>
        <w:rPr>
          <w:rFonts w:eastAsia="Calibri"/>
          <w:lang w:val="cs-CZ"/>
        </w:rPr>
      </w:pPr>
    </w:p>
    <w:p w:rsidR="00A07DE6" w:rsidRPr="003B6E11" w:rsidRDefault="00A07DE6" w:rsidP="00A07DE6">
      <w:pPr>
        <w:pStyle w:val="ESch"/>
        <w:rPr>
          <w:rFonts w:eastAsia="Calibri"/>
          <w:lang w:val="cs-CZ"/>
        </w:rPr>
      </w:pPr>
      <w:r w:rsidRPr="003B6E11">
        <w:rPr>
          <w:lang w:val="cs-CZ"/>
        </w:rPr>
        <w:t>1.</w:t>
      </w:r>
      <w:r w:rsidRPr="003B6E11">
        <w:rPr>
          <w:lang w:val="cs-CZ"/>
        </w:rPr>
        <w:tab/>
        <w:t>Poplašné systémy</w:t>
      </w:r>
    </w:p>
    <w:p w:rsidR="00A07DE6" w:rsidRPr="003B6E11" w:rsidRDefault="00A07DE6" w:rsidP="00A07DE6">
      <w:pPr>
        <w:pStyle w:val="ESchpar"/>
        <w:rPr>
          <w:rFonts w:eastAsia="Calibri"/>
          <w:lang w:val="cs-CZ"/>
        </w:rPr>
      </w:pPr>
    </w:p>
    <w:p w:rsidR="00A07DE6" w:rsidRPr="003B6E11" w:rsidRDefault="00A07DE6" w:rsidP="00A07DE6">
      <w:pPr>
        <w:pStyle w:val="ESchpar"/>
        <w:rPr>
          <w:rFonts w:eastAsia="Calibri"/>
          <w:lang w:val="cs-CZ"/>
        </w:rPr>
      </w:pPr>
      <w:r w:rsidRPr="003B6E11">
        <w:rPr>
          <w:lang w:val="cs-CZ"/>
        </w:rPr>
        <w:t>Poplašné systémy musí být konstruovány tak, aby porucha poplašného systému nemohla způsobit selhání kontrolovaného přístroje nebo zařízení.</w:t>
      </w:r>
    </w:p>
    <w:p w:rsidR="00A07DE6" w:rsidRPr="003B6E11" w:rsidRDefault="00A07DE6" w:rsidP="00A07DE6">
      <w:pPr>
        <w:pStyle w:val="ESchpar"/>
        <w:rPr>
          <w:rFonts w:eastAsia="Calibri"/>
          <w:lang w:val="cs-CZ"/>
        </w:rPr>
      </w:pPr>
    </w:p>
    <w:p w:rsidR="00A07DE6" w:rsidRPr="003B6E11" w:rsidRDefault="00A07DE6" w:rsidP="00A07DE6">
      <w:pPr>
        <w:pStyle w:val="ESchpar"/>
        <w:rPr>
          <w:rFonts w:eastAsia="Calibri"/>
          <w:lang w:val="cs-CZ"/>
        </w:rPr>
      </w:pPr>
      <w:r w:rsidRPr="003B6E11">
        <w:rPr>
          <w:lang w:val="cs-CZ"/>
        </w:rPr>
        <w:t>Binární převodníky musí být navrženy na principu klidového proudu nebo kontrolovaného pracovního proudu.</w:t>
      </w:r>
    </w:p>
    <w:p w:rsidR="00A07DE6" w:rsidRPr="003B6E11" w:rsidRDefault="00A07DE6" w:rsidP="00A07DE6">
      <w:pPr>
        <w:pStyle w:val="ESchpar"/>
        <w:rPr>
          <w:rFonts w:eastAsia="Calibri"/>
          <w:lang w:val="cs-CZ"/>
        </w:rPr>
      </w:pPr>
    </w:p>
    <w:p w:rsidR="00A07DE6" w:rsidRPr="003B6E11" w:rsidRDefault="00A07DE6" w:rsidP="00A07DE6">
      <w:pPr>
        <w:pStyle w:val="ESchpar"/>
        <w:rPr>
          <w:rFonts w:eastAsia="Calibri"/>
          <w:lang w:val="cs-CZ"/>
        </w:rPr>
      </w:pPr>
      <w:r w:rsidRPr="003B6E11">
        <w:rPr>
          <w:lang w:val="cs-CZ"/>
        </w:rPr>
        <w:t>Optické poplašné signály musí zůstat viditelné, dokud není chybná funkce odstraněna; poplašný signál s potvrzením musí být rozlišitelný od poplašného signálu bez potvrzení. Každý poplašný signál musí být doprovázen i akustickým signálem. Akustické poplašné signály musí být možné vypnout. Vypnutí poplašného signálu nesmí zabránit tomu, aby v případě závady z jiných příčin byl poplašný signál znovu spuštěn.</w:t>
      </w:r>
    </w:p>
    <w:p w:rsidR="00A07DE6" w:rsidRPr="003B6E11" w:rsidRDefault="00A07DE6" w:rsidP="00A07DE6">
      <w:pPr>
        <w:pStyle w:val="ESchpar"/>
        <w:rPr>
          <w:rFonts w:eastAsia="Calibri"/>
          <w:lang w:val="cs-CZ"/>
        </w:rPr>
      </w:pPr>
    </w:p>
    <w:p w:rsidR="00A07DE6" w:rsidRPr="003B6E11" w:rsidRDefault="00A07DE6" w:rsidP="00A07DE6">
      <w:pPr>
        <w:pStyle w:val="ESchpar"/>
        <w:rPr>
          <w:rFonts w:eastAsia="Calibri"/>
          <w:lang w:val="cs-CZ"/>
        </w:rPr>
      </w:pPr>
      <w:r w:rsidRPr="003B6E11">
        <w:rPr>
          <w:lang w:val="cs-CZ"/>
        </w:rPr>
        <w:t>Subjekt pověřený prohlídkami povolí výjimky v případě poplašných systémů, které mají méně než pět měřicích bodů.</w:t>
      </w:r>
    </w:p>
    <w:p w:rsidR="00A07DE6" w:rsidRPr="003B6E11" w:rsidRDefault="00A07DE6" w:rsidP="00A07DE6">
      <w:pPr>
        <w:pStyle w:val="ESch"/>
        <w:rPr>
          <w:rFonts w:eastAsia="Calibri"/>
          <w:lang w:val="cs-CZ"/>
        </w:rPr>
      </w:pPr>
    </w:p>
    <w:p w:rsidR="00A07DE6" w:rsidRPr="003B6E11" w:rsidRDefault="00A07DE6" w:rsidP="00A07DE6">
      <w:pPr>
        <w:pStyle w:val="ESch"/>
        <w:rPr>
          <w:rFonts w:eastAsia="Calibri"/>
          <w:lang w:val="cs-CZ"/>
        </w:rPr>
      </w:pPr>
      <w:r w:rsidRPr="003B6E11">
        <w:rPr>
          <w:lang w:val="cs-CZ"/>
        </w:rPr>
        <w:t>2.</w:t>
      </w:r>
      <w:r w:rsidRPr="003B6E11">
        <w:rPr>
          <w:lang w:val="cs-CZ"/>
        </w:rPr>
        <w:tab/>
        <w:t>Bezpečnostní systémy:</w:t>
      </w:r>
    </w:p>
    <w:p w:rsidR="00A07DE6" w:rsidRPr="003B6E11" w:rsidRDefault="00A07DE6" w:rsidP="00A07DE6">
      <w:pPr>
        <w:pStyle w:val="ESchpar"/>
        <w:rPr>
          <w:rFonts w:eastAsia="Calibri"/>
          <w:lang w:val="cs-CZ"/>
        </w:rPr>
      </w:pPr>
    </w:p>
    <w:p w:rsidR="00A07DE6" w:rsidRPr="003B6E11" w:rsidRDefault="00A07DE6" w:rsidP="00A07DE6">
      <w:pPr>
        <w:pStyle w:val="ESchpar"/>
        <w:rPr>
          <w:rFonts w:eastAsia="Calibri"/>
          <w:lang w:val="cs-CZ"/>
        </w:rPr>
      </w:pPr>
      <w:r w:rsidRPr="003B6E11">
        <w:rPr>
          <w:lang w:val="cs-CZ"/>
        </w:rPr>
        <w:t>Bezpečnostní systémy musí být navrženy tak, aby před dosažením kritického stavu zastavily nebo zpomalily chod dotčeného zařízení nebo upozornily trvale obsazené stanoviště na nutnost zastavení nebo zpomalení chodu zařízení.</w:t>
      </w:r>
    </w:p>
    <w:p w:rsidR="00A07DE6" w:rsidRPr="003B6E11" w:rsidRDefault="00A07DE6" w:rsidP="00A07DE6">
      <w:pPr>
        <w:pStyle w:val="ESchpar"/>
        <w:rPr>
          <w:rFonts w:eastAsia="Calibri"/>
          <w:lang w:val="cs-CZ"/>
        </w:rPr>
      </w:pPr>
    </w:p>
    <w:p w:rsidR="00A07DE6" w:rsidRPr="003B6E11" w:rsidRDefault="00A07DE6" w:rsidP="00A07DE6">
      <w:pPr>
        <w:pStyle w:val="ESchpar"/>
        <w:rPr>
          <w:rFonts w:eastAsia="Calibri"/>
          <w:lang w:val="cs-CZ"/>
        </w:rPr>
      </w:pPr>
      <w:r w:rsidRPr="003B6E11">
        <w:rPr>
          <w:lang w:val="cs-CZ"/>
        </w:rPr>
        <w:t>Binární převodníky musí být navrženy na principu pracovního proudu.</w:t>
      </w:r>
    </w:p>
    <w:p w:rsidR="00A07DE6" w:rsidRPr="003B6E11" w:rsidRDefault="00A07DE6" w:rsidP="00A07DE6">
      <w:pPr>
        <w:pStyle w:val="ESchpar"/>
        <w:rPr>
          <w:rFonts w:eastAsia="Calibri"/>
          <w:lang w:val="cs-CZ"/>
        </w:rPr>
      </w:pPr>
    </w:p>
    <w:p w:rsidR="00A07DE6" w:rsidRPr="003B6E11" w:rsidRDefault="00A07DE6" w:rsidP="00A07DE6">
      <w:pPr>
        <w:pStyle w:val="ESchpar"/>
        <w:rPr>
          <w:rFonts w:eastAsia="Calibri"/>
          <w:lang w:val="cs-CZ"/>
        </w:rPr>
      </w:pPr>
      <w:r w:rsidRPr="003B6E11">
        <w:rPr>
          <w:lang w:val="cs-CZ"/>
        </w:rPr>
        <w:t>Pokud bezpečnostní systémy nejsou schopny kontrolovat samy sebe, musí být možné jejich chod ověřovat.</w:t>
      </w:r>
    </w:p>
    <w:p w:rsidR="00A07DE6" w:rsidRPr="003B6E11" w:rsidRDefault="00A07DE6" w:rsidP="00A07DE6">
      <w:pPr>
        <w:pStyle w:val="ESchpar"/>
        <w:rPr>
          <w:rFonts w:eastAsia="Calibri"/>
          <w:lang w:val="cs-CZ"/>
        </w:rPr>
      </w:pPr>
    </w:p>
    <w:p w:rsidR="00A07DE6" w:rsidRPr="003B6E11" w:rsidRDefault="00A07DE6" w:rsidP="00A07DE6">
      <w:pPr>
        <w:pStyle w:val="ESchpar"/>
        <w:rPr>
          <w:rFonts w:eastAsia="Calibri"/>
          <w:lang w:val="cs-CZ"/>
        </w:rPr>
      </w:pPr>
      <w:r w:rsidRPr="003B6E11">
        <w:rPr>
          <w:lang w:val="cs-CZ"/>
        </w:rPr>
        <w:t>Bezpečnostní systémy musí být nezávislé na ostatních systémech.</w:t>
      </w:r>
    </w:p>
    <w:p w:rsidR="008A12E7" w:rsidRPr="003B6E11" w:rsidRDefault="008A12E7" w:rsidP="008A12E7">
      <w:pPr>
        <w:rPr>
          <w:rFonts w:cs="Arial"/>
          <w:szCs w:val="20"/>
          <w:lang w:val="cs-CZ"/>
        </w:rPr>
      </w:pPr>
    </w:p>
    <w:p w:rsidR="0009596F" w:rsidRPr="003B6E11" w:rsidRDefault="0009596F" w:rsidP="008A12E7">
      <w:pPr>
        <w:rPr>
          <w:rFonts w:cs="Arial"/>
          <w:szCs w:val="20"/>
          <w:lang w:val="cs-CZ"/>
        </w:rPr>
      </w:pPr>
    </w:p>
    <w:p w:rsidR="008A12E7" w:rsidRPr="003B6E11" w:rsidRDefault="008A12E7" w:rsidP="00F06174">
      <w:pPr>
        <w:pStyle w:val="ES-Titre3"/>
        <w:rPr>
          <w:lang w:val="cs-CZ"/>
        </w:rPr>
      </w:pPr>
      <w:bookmarkStart w:id="199" w:name="_Toc491854097"/>
      <w:bookmarkStart w:id="200" w:name="_Toc535417003"/>
      <w:r w:rsidRPr="003B6E11">
        <w:rPr>
          <w:lang w:val="cs-CZ"/>
        </w:rPr>
        <w:t>Článek 10.20</w:t>
      </w:r>
      <w:r w:rsidRPr="003B6E11">
        <w:rPr>
          <w:lang w:val="cs-CZ"/>
        </w:rPr>
        <w:br/>
      </w:r>
      <w:r w:rsidRPr="003B6E11">
        <w:rPr>
          <w:i/>
          <w:lang w:val="cs-CZ"/>
        </w:rPr>
        <w:t>Zkušební podmínky pro elektronická zařízení</w:t>
      </w:r>
      <w:bookmarkEnd w:id="199"/>
      <w:bookmarkEnd w:id="200"/>
    </w:p>
    <w:p w:rsidR="00F06174" w:rsidRPr="003B6E11" w:rsidRDefault="00F06174" w:rsidP="00F06174">
      <w:pPr>
        <w:rPr>
          <w:rFonts w:cs="Arial"/>
          <w:noProof/>
          <w:szCs w:val="20"/>
          <w:lang w:val="cs-CZ"/>
        </w:rPr>
      </w:pPr>
    </w:p>
    <w:p w:rsidR="00A07DE6" w:rsidRPr="003B6E11" w:rsidRDefault="00A07DE6" w:rsidP="00A07DE6">
      <w:pPr>
        <w:spacing w:line="240" w:lineRule="atLeast"/>
        <w:ind w:left="567" w:hanging="567"/>
        <w:rPr>
          <w:lang w:val="cs-CZ"/>
        </w:rPr>
      </w:pPr>
      <w:r w:rsidRPr="003B6E11">
        <w:rPr>
          <w:lang w:val="cs-CZ"/>
        </w:rPr>
        <w:t>1.</w:t>
      </w:r>
      <w:r w:rsidRPr="003B6E11">
        <w:rPr>
          <w:lang w:val="cs-CZ"/>
        </w:rPr>
        <w:tab/>
        <w:t>Obecně</w:t>
      </w:r>
    </w:p>
    <w:p w:rsidR="00A07DE6" w:rsidRPr="003B6E11" w:rsidRDefault="00A07DE6" w:rsidP="00A07DE6">
      <w:pPr>
        <w:spacing w:line="240" w:lineRule="atLeast"/>
        <w:ind w:left="567"/>
        <w:rPr>
          <w:lang w:val="cs-CZ"/>
        </w:rPr>
      </w:pPr>
    </w:p>
    <w:p w:rsidR="00A07DE6" w:rsidRPr="003B6E11" w:rsidRDefault="00A07DE6" w:rsidP="00A07DE6">
      <w:pPr>
        <w:spacing w:line="240" w:lineRule="atLeast"/>
        <w:ind w:left="567"/>
        <w:rPr>
          <w:lang w:val="cs-CZ"/>
        </w:rPr>
      </w:pPr>
      <w:r w:rsidRPr="003B6E11">
        <w:rPr>
          <w:lang w:val="cs-CZ"/>
        </w:rPr>
        <w:t>Zkušební podmínky stanovené v odstavci 2 se vztahují pouze na elektronická zařízení, která jsou nezbytná pro kormidelní zařízení a pohonné stroje plavidla, včetně jejich pomocných zařízení.</w:t>
      </w:r>
    </w:p>
    <w:p w:rsidR="00A07DE6" w:rsidRPr="003B6E11" w:rsidRDefault="00A07DE6" w:rsidP="00A07DE6">
      <w:pPr>
        <w:spacing w:line="240" w:lineRule="atLeast"/>
        <w:ind w:left="567" w:hanging="567"/>
        <w:rPr>
          <w:lang w:val="cs-CZ"/>
        </w:rPr>
      </w:pPr>
    </w:p>
    <w:p w:rsidR="00A07DE6" w:rsidRPr="003B6E11" w:rsidRDefault="00A07DE6" w:rsidP="00A07DE6">
      <w:pPr>
        <w:spacing w:line="240" w:lineRule="atLeast"/>
        <w:ind w:left="567" w:hanging="567"/>
        <w:rPr>
          <w:lang w:val="cs-CZ"/>
        </w:rPr>
      </w:pPr>
      <w:r w:rsidRPr="003B6E11">
        <w:rPr>
          <w:lang w:val="cs-CZ"/>
        </w:rPr>
        <w:t>2.</w:t>
      </w:r>
      <w:r w:rsidRPr="003B6E11">
        <w:rPr>
          <w:lang w:val="cs-CZ"/>
        </w:rPr>
        <w:tab/>
        <w:t>Zkušební podmínky</w:t>
      </w:r>
    </w:p>
    <w:p w:rsidR="00A07DE6" w:rsidRPr="003B6E11" w:rsidRDefault="00A07DE6" w:rsidP="00A07DE6">
      <w:pPr>
        <w:spacing w:before="60" w:line="240" w:lineRule="atLeast"/>
        <w:ind w:left="992"/>
        <w:rPr>
          <w:lang w:val="cs-CZ"/>
        </w:rPr>
      </w:pPr>
      <w:r w:rsidRPr="003B6E11">
        <w:rPr>
          <w:lang w:val="cs-CZ"/>
        </w:rPr>
        <w:t>a)</w:t>
      </w:r>
      <w:r w:rsidRPr="003B6E11">
        <w:rPr>
          <w:lang w:val="cs-CZ"/>
        </w:rPr>
        <w:tab/>
        <w:t>Namáhání plynoucí z níže uvedených zkoušek nesmí vést k poškození elektronických zařízení nebo jejich chybné funkci. Zkoušky podle příslušných mezinárodních norem, např. IEC 60092-504:2016, se s výjimkou zkoušky při nízké teplotě provádí na zapnutém zařízení. Tyto zkoušky zahrnují kontrolu správné funkce.</w:t>
      </w:r>
    </w:p>
    <w:p w:rsidR="00AB2818" w:rsidRPr="003B6E11" w:rsidRDefault="00AB2818">
      <w:pPr>
        <w:rPr>
          <w:lang w:val="cs-CZ"/>
        </w:rPr>
      </w:pPr>
      <w:r w:rsidRPr="003B6E11">
        <w:rPr>
          <w:lang w:val="cs-CZ"/>
        </w:rPr>
        <w:br w:type="page"/>
      </w:r>
    </w:p>
    <w:p w:rsidR="00AB2818" w:rsidRPr="003B6E11" w:rsidRDefault="00AB2818" w:rsidP="00A07DE6">
      <w:pPr>
        <w:spacing w:before="60" w:line="240" w:lineRule="atLeast"/>
        <w:ind w:left="992"/>
        <w:rPr>
          <w:lang w:val="cs-CZ"/>
        </w:rPr>
      </w:pPr>
    </w:p>
    <w:p w:rsidR="00A07DE6" w:rsidRPr="003B6E11" w:rsidRDefault="00A07DE6" w:rsidP="00A07DE6">
      <w:pPr>
        <w:spacing w:before="60" w:line="240" w:lineRule="atLeast"/>
        <w:ind w:left="992"/>
        <w:rPr>
          <w:lang w:val="cs-CZ"/>
        </w:rPr>
      </w:pPr>
      <w:r w:rsidRPr="003B6E11">
        <w:rPr>
          <w:lang w:val="cs-CZ"/>
        </w:rPr>
        <w:t>b)</w:t>
      </w:r>
      <w:r w:rsidRPr="003B6E11">
        <w:rPr>
          <w:lang w:val="cs-CZ"/>
        </w:rPr>
        <w:tab/>
        <w:t>Kolísání napětí a kmitočtu</w:t>
      </w:r>
    </w:p>
    <w:p w:rsidR="00A07DE6" w:rsidRPr="003B6E11" w:rsidRDefault="00A07DE6" w:rsidP="00A07DE6">
      <w:pPr>
        <w:spacing w:line="240" w:lineRule="atLeast"/>
        <w:ind w:left="567" w:hanging="567"/>
        <w:rPr>
          <w:lang w:val="cs-CZ"/>
        </w:rPr>
      </w:pPr>
    </w:p>
    <w:tbl>
      <w:tblPr>
        <w:tblW w:w="0" w:type="auto"/>
        <w:jc w:val="center"/>
        <w:tblLayout w:type="fixed"/>
        <w:tblCellMar>
          <w:left w:w="70" w:type="dxa"/>
          <w:right w:w="70" w:type="dxa"/>
        </w:tblCellMar>
        <w:tblLook w:val="0000" w:firstRow="0" w:lastRow="0" w:firstColumn="0" w:lastColumn="0" w:noHBand="0" w:noVBand="0"/>
      </w:tblPr>
      <w:tblGrid>
        <w:gridCol w:w="1985"/>
        <w:gridCol w:w="1701"/>
        <w:gridCol w:w="2155"/>
        <w:gridCol w:w="2155"/>
      </w:tblGrid>
      <w:tr w:rsidR="00A07DE6" w:rsidRPr="003B6E11" w:rsidTr="00A07DE6">
        <w:trPr>
          <w:cantSplit/>
          <w:jc w:val="center"/>
        </w:trPr>
        <w:tc>
          <w:tcPr>
            <w:tcW w:w="1985" w:type="dxa"/>
            <w:tcBorders>
              <w:top w:val="single" w:sz="6" w:space="0" w:color="auto"/>
              <w:left w:val="single" w:sz="6" w:space="0" w:color="auto"/>
            </w:tcBorders>
            <w:vAlign w:val="center"/>
          </w:tcPr>
          <w:p w:rsidR="00A07DE6" w:rsidRPr="003B6E11" w:rsidRDefault="00A07DE6" w:rsidP="00A07DE6">
            <w:pPr>
              <w:spacing w:before="60" w:after="60" w:line="240" w:lineRule="atLeast"/>
              <w:jc w:val="center"/>
              <w:rPr>
                <w:sz w:val="18"/>
                <w:lang w:val="cs-CZ"/>
              </w:rPr>
            </w:pPr>
          </w:p>
        </w:tc>
        <w:tc>
          <w:tcPr>
            <w:tcW w:w="1701" w:type="dxa"/>
            <w:tcBorders>
              <w:top w:val="single" w:sz="6" w:space="0" w:color="auto"/>
              <w:left w:val="single" w:sz="6" w:space="0" w:color="auto"/>
              <w:right w:val="single" w:sz="6" w:space="0" w:color="auto"/>
            </w:tcBorders>
            <w:vAlign w:val="center"/>
          </w:tcPr>
          <w:p w:rsidR="00A07DE6" w:rsidRPr="003B6E11" w:rsidRDefault="00A07DE6" w:rsidP="00A07DE6">
            <w:pPr>
              <w:spacing w:before="60" w:after="60" w:line="240" w:lineRule="atLeast"/>
              <w:jc w:val="center"/>
              <w:rPr>
                <w:sz w:val="18"/>
                <w:lang w:val="cs-CZ"/>
              </w:rPr>
            </w:pPr>
            <w:r w:rsidRPr="003B6E11">
              <w:rPr>
                <w:sz w:val="18"/>
                <w:lang w:val="cs-CZ"/>
              </w:rPr>
              <w:t>Parametry</w:t>
            </w:r>
          </w:p>
        </w:tc>
        <w:tc>
          <w:tcPr>
            <w:tcW w:w="4310" w:type="dxa"/>
            <w:gridSpan w:val="2"/>
            <w:tcBorders>
              <w:top w:val="single" w:sz="6" w:space="0" w:color="auto"/>
              <w:right w:val="single" w:sz="6" w:space="0" w:color="auto"/>
            </w:tcBorders>
            <w:vAlign w:val="center"/>
          </w:tcPr>
          <w:p w:rsidR="00A07DE6" w:rsidRPr="003B6E11" w:rsidRDefault="00A07DE6" w:rsidP="00A07DE6">
            <w:pPr>
              <w:spacing w:before="60" w:after="60" w:line="240" w:lineRule="atLeast"/>
              <w:jc w:val="center"/>
              <w:rPr>
                <w:sz w:val="18"/>
                <w:lang w:val="cs-CZ"/>
              </w:rPr>
            </w:pPr>
            <w:r w:rsidRPr="003B6E11">
              <w:rPr>
                <w:sz w:val="18"/>
                <w:lang w:val="cs-CZ"/>
              </w:rPr>
              <w:t>Kolísání</w:t>
            </w:r>
          </w:p>
        </w:tc>
      </w:tr>
      <w:tr w:rsidR="00A07DE6" w:rsidRPr="003B6E11" w:rsidTr="00A07DE6">
        <w:trPr>
          <w:cantSplit/>
          <w:jc w:val="center"/>
        </w:trPr>
        <w:tc>
          <w:tcPr>
            <w:tcW w:w="1985" w:type="dxa"/>
            <w:tcBorders>
              <w:left w:val="single" w:sz="6" w:space="0" w:color="auto"/>
              <w:bottom w:val="single" w:sz="12" w:space="0" w:color="auto"/>
              <w:right w:val="single" w:sz="6" w:space="0" w:color="auto"/>
            </w:tcBorders>
            <w:vAlign w:val="center"/>
          </w:tcPr>
          <w:p w:rsidR="00A07DE6" w:rsidRPr="003B6E11" w:rsidRDefault="00A07DE6" w:rsidP="00A07DE6">
            <w:pPr>
              <w:spacing w:before="60" w:after="60" w:line="240" w:lineRule="atLeast"/>
              <w:jc w:val="center"/>
              <w:rPr>
                <w:sz w:val="18"/>
                <w:lang w:val="cs-CZ"/>
              </w:rPr>
            </w:pPr>
          </w:p>
        </w:tc>
        <w:tc>
          <w:tcPr>
            <w:tcW w:w="1701" w:type="dxa"/>
            <w:tcBorders>
              <w:left w:val="single" w:sz="6" w:space="0" w:color="auto"/>
              <w:bottom w:val="single" w:sz="12" w:space="0" w:color="auto"/>
              <w:right w:val="single" w:sz="6" w:space="0" w:color="auto"/>
            </w:tcBorders>
            <w:vAlign w:val="center"/>
          </w:tcPr>
          <w:p w:rsidR="00A07DE6" w:rsidRPr="003B6E11" w:rsidRDefault="00A07DE6" w:rsidP="00A07DE6">
            <w:pPr>
              <w:spacing w:before="60" w:after="60" w:line="240" w:lineRule="atLeast"/>
              <w:jc w:val="center"/>
              <w:rPr>
                <w:sz w:val="18"/>
                <w:lang w:val="cs-CZ"/>
              </w:rPr>
            </w:pPr>
          </w:p>
        </w:tc>
        <w:tc>
          <w:tcPr>
            <w:tcW w:w="2155" w:type="dxa"/>
            <w:tcBorders>
              <w:left w:val="single" w:sz="6" w:space="0" w:color="auto"/>
              <w:bottom w:val="single" w:sz="12" w:space="0" w:color="auto"/>
              <w:right w:val="single" w:sz="6" w:space="0" w:color="auto"/>
            </w:tcBorders>
            <w:vAlign w:val="center"/>
          </w:tcPr>
          <w:p w:rsidR="00A07DE6" w:rsidRPr="003B6E11" w:rsidRDefault="00A07DE6" w:rsidP="00A07DE6">
            <w:pPr>
              <w:spacing w:before="60" w:after="60" w:line="240" w:lineRule="atLeast"/>
              <w:jc w:val="center"/>
              <w:rPr>
                <w:sz w:val="18"/>
                <w:lang w:val="cs-CZ"/>
              </w:rPr>
            </w:pPr>
            <w:r w:rsidRPr="003B6E11">
              <w:rPr>
                <w:sz w:val="18"/>
                <w:lang w:val="cs-CZ"/>
              </w:rPr>
              <w:t>trvalé</w:t>
            </w:r>
          </w:p>
        </w:tc>
        <w:tc>
          <w:tcPr>
            <w:tcW w:w="2155" w:type="dxa"/>
            <w:tcBorders>
              <w:left w:val="single" w:sz="6" w:space="0" w:color="auto"/>
              <w:bottom w:val="single" w:sz="12" w:space="0" w:color="auto"/>
              <w:right w:val="single" w:sz="6" w:space="0" w:color="auto"/>
            </w:tcBorders>
            <w:vAlign w:val="center"/>
          </w:tcPr>
          <w:p w:rsidR="00A07DE6" w:rsidRPr="003B6E11" w:rsidRDefault="00A07DE6" w:rsidP="00A07DE6">
            <w:pPr>
              <w:spacing w:before="60" w:after="60" w:line="240" w:lineRule="atLeast"/>
              <w:jc w:val="center"/>
              <w:rPr>
                <w:sz w:val="18"/>
                <w:lang w:val="cs-CZ"/>
              </w:rPr>
            </w:pPr>
            <w:r w:rsidRPr="003B6E11">
              <w:rPr>
                <w:sz w:val="18"/>
                <w:lang w:val="cs-CZ"/>
              </w:rPr>
              <w:t>krátkodobé</w:t>
            </w:r>
          </w:p>
        </w:tc>
      </w:tr>
      <w:tr w:rsidR="00A07DE6" w:rsidRPr="003B6E11" w:rsidTr="00A07DE6">
        <w:trPr>
          <w:cantSplit/>
          <w:trHeight w:val="763"/>
          <w:jc w:val="center"/>
        </w:trPr>
        <w:tc>
          <w:tcPr>
            <w:tcW w:w="1985" w:type="dxa"/>
            <w:tcBorders>
              <w:top w:val="single" w:sz="12" w:space="0" w:color="auto"/>
              <w:left w:val="single" w:sz="6" w:space="0" w:color="auto"/>
              <w:bottom w:val="single" w:sz="6" w:space="0" w:color="auto"/>
              <w:right w:val="single" w:sz="6" w:space="0" w:color="auto"/>
            </w:tcBorders>
            <w:vAlign w:val="center"/>
          </w:tcPr>
          <w:p w:rsidR="00A07DE6" w:rsidRPr="003B6E11" w:rsidRDefault="00A07DE6" w:rsidP="00A07DE6">
            <w:pPr>
              <w:spacing w:before="60" w:after="60" w:line="240" w:lineRule="atLeast"/>
              <w:rPr>
                <w:sz w:val="18"/>
                <w:lang w:val="cs-CZ"/>
              </w:rPr>
            </w:pPr>
            <w:r w:rsidRPr="003B6E11">
              <w:rPr>
                <w:sz w:val="18"/>
                <w:lang w:val="cs-CZ"/>
              </w:rPr>
              <w:t>Obecně</w:t>
            </w:r>
          </w:p>
        </w:tc>
        <w:tc>
          <w:tcPr>
            <w:tcW w:w="1701" w:type="dxa"/>
            <w:tcBorders>
              <w:top w:val="single" w:sz="12" w:space="0" w:color="auto"/>
              <w:left w:val="single" w:sz="6" w:space="0" w:color="auto"/>
              <w:bottom w:val="single" w:sz="6" w:space="0" w:color="auto"/>
              <w:right w:val="single" w:sz="6" w:space="0" w:color="auto"/>
            </w:tcBorders>
            <w:vAlign w:val="center"/>
          </w:tcPr>
          <w:p w:rsidR="00A07DE6" w:rsidRPr="003B6E11" w:rsidRDefault="00A07DE6" w:rsidP="00A07DE6">
            <w:pPr>
              <w:spacing w:before="60" w:after="60" w:line="240" w:lineRule="atLeast"/>
              <w:jc w:val="center"/>
              <w:rPr>
                <w:sz w:val="18"/>
                <w:lang w:val="cs-CZ"/>
              </w:rPr>
            </w:pPr>
            <w:r w:rsidRPr="003B6E11">
              <w:rPr>
                <w:sz w:val="18"/>
                <w:lang w:val="cs-CZ"/>
              </w:rPr>
              <w:t>kmitočet</w:t>
            </w:r>
            <w:r w:rsidRPr="003B6E11">
              <w:rPr>
                <w:sz w:val="18"/>
                <w:lang w:val="cs-CZ"/>
              </w:rPr>
              <w:br/>
              <w:t>napětí</w:t>
            </w:r>
          </w:p>
        </w:tc>
        <w:tc>
          <w:tcPr>
            <w:tcW w:w="2155" w:type="dxa"/>
            <w:tcBorders>
              <w:top w:val="single" w:sz="12" w:space="0" w:color="auto"/>
              <w:left w:val="single" w:sz="6" w:space="0" w:color="auto"/>
              <w:bottom w:val="single" w:sz="6" w:space="0" w:color="auto"/>
              <w:right w:val="single" w:sz="6" w:space="0" w:color="auto"/>
            </w:tcBorders>
            <w:vAlign w:val="center"/>
          </w:tcPr>
          <w:p w:rsidR="00A07DE6" w:rsidRPr="003B6E11" w:rsidRDefault="00A07DE6" w:rsidP="00A07DE6">
            <w:pPr>
              <w:spacing w:before="60" w:after="60" w:line="240" w:lineRule="atLeast"/>
              <w:jc w:val="center"/>
              <w:rPr>
                <w:sz w:val="18"/>
                <w:lang w:val="cs-CZ"/>
              </w:rPr>
            </w:pPr>
            <w:r w:rsidRPr="003B6E11">
              <w:rPr>
                <w:sz w:val="18"/>
                <w:lang w:val="cs-CZ"/>
              </w:rPr>
              <w:sym w:font="Symbol" w:char="F0B1"/>
            </w:r>
            <w:r w:rsidRPr="003B6E11">
              <w:rPr>
                <w:sz w:val="18"/>
                <w:lang w:val="cs-CZ"/>
              </w:rPr>
              <w:t xml:space="preserve"> 5 %</w:t>
            </w:r>
            <w:r w:rsidRPr="003B6E11">
              <w:rPr>
                <w:sz w:val="18"/>
                <w:lang w:val="cs-CZ"/>
              </w:rPr>
              <w:br/>
            </w:r>
            <w:r w:rsidRPr="003B6E11">
              <w:rPr>
                <w:sz w:val="18"/>
                <w:lang w:val="cs-CZ"/>
              </w:rPr>
              <w:sym w:font="Symbol" w:char="F0B1"/>
            </w:r>
            <w:r w:rsidRPr="003B6E11">
              <w:rPr>
                <w:sz w:val="18"/>
                <w:lang w:val="cs-CZ"/>
              </w:rPr>
              <w:t xml:space="preserve"> 10 %</w:t>
            </w:r>
          </w:p>
        </w:tc>
        <w:tc>
          <w:tcPr>
            <w:tcW w:w="2155" w:type="dxa"/>
            <w:tcBorders>
              <w:top w:val="single" w:sz="12" w:space="0" w:color="auto"/>
              <w:left w:val="single" w:sz="6" w:space="0" w:color="auto"/>
              <w:bottom w:val="single" w:sz="6" w:space="0" w:color="auto"/>
              <w:right w:val="single" w:sz="6" w:space="0" w:color="auto"/>
            </w:tcBorders>
            <w:vAlign w:val="center"/>
          </w:tcPr>
          <w:p w:rsidR="00A07DE6" w:rsidRPr="003B6E11" w:rsidRDefault="00A07DE6" w:rsidP="00A07DE6">
            <w:pPr>
              <w:spacing w:before="60" w:after="60" w:line="240" w:lineRule="atLeast"/>
              <w:jc w:val="center"/>
              <w:rPr>
                <w:sz w:val="18"/>
                <w:lang w:val="cs-CZ"/>
              </w:rPr>
            </w:pPr>
            <w:r w:rsidRPr="003B6E11">
              <w:rPr>
                <w:sz w:val="18"/>
                <w:lang w:val="cs-CZ"/>
              </w:rPr>
              <w:sym w:font="Symbol" w:char="F0B1"/>
            </w:r>
            <w:r w:rsidRPr="003B6E11">
              <w:rPr>
                <w:sz w:val="18"/>
                <w:lang w:val="cs-CZ"/>
              </w:rPr>
              <w:t xml:space="preserve"> 10 % 5 s</w:t>
            </w:r>
            <w:r w:rsidRPr="003B6E11">
              <w:rPr>
                <w:sz w:val="18"/>
                <w:lang w:val="cs-CZ"/>
              </w:rPr>
              <w:br/>
            </w:r>
            <w:r w:rsidRPr="003B6E11">
              <w:rPr>
                <w:sz w:val="18"/>
                <w:lang w:val="cs-CZ"/>
              </w:rPr>
              <w:sym w:font="Symbol" w:char="F0B1"/>
            </w:r>
            <w:r w:rsidRPr="003B6E11">
              <w:rPr>
                <w:sz w:val="18"/>
                <w:lang w:val="cs-CZ"/>
              </w:rPr>
              <w:t xml:space="preserve"> 20 % 1,5 s</w:t>
            </w:r>
          </w:p>
        </w:tc>
      </w:tr>
      <w:tr w:rsidR="00A07DE6" w:rsidRPr="003B6E11" w:rsidTr="00A07DE6">
        <w:trPr>
          <w:cantSplit/>
          <w:trHeight w:val="689"/>
          <w:jc w:val="center"/>
        </w:trPr>
        <w:tc>
          <w:tcPr>
            <w:tcW w:w="1985" w:type="dxa"/>
            <w:tcBorders>
              <w:top w:val="single" w:sz="6" w:space="0" w:color="auto"/>
              <w:left w:val="single" w:sz="6" w:space="0" w:color="auto"/>
              <w:bottom w:val="single" w:sz="6" w:space="0" w:color="auto"/>
              <w:right w:val="single" w:sz="6" w:space="0" w:color="auto"/>
            </w:tcBorders>
            <w:vAlign w:val="center"/>
          </w:tcPr>
          <w:p w:rsidR="00A07DE6" w:rsidRPr="003B6E11" w:rsidRDefault="00A07DE6" w:rsidP="00A07DE6">
            <w:pPr>
              <w:spacing w:before="60" w:after="60" w:line="240" w:lineRule="atLeast"/>
              <w:rPr>
                <w:sz w:val="18"/>
                <w:lang w:val="cs-CZ"/>
              </w:rPr>
            </w:pPr>
            <w:r w:rsidRPr="003B6E11">
              <w:rPr>
                <w:sz w:val="18"/>
                <w:lang w:val="cs-CZ"/>
              </w:rPr>
              <w:t>Provoz akumulátoru</w:t>
            </w:r>
          </w:p>
        </w:tc>
        <w:tc>
          <w:tcPr>
            <w:tcW w:w="1701" w:type="dxa"/>
            <w:tcBorders>
              <w:top w:val="single" w:sz="6" w:space="0" w:color="auto"/>
              <w:left w:val="single" w:sz="6" w:space="0" w:color="auto"/>
              <w:bottom w:val="single" w:sz="6" w:space="0" w:color="auto"/>
              <w:right w:val="single" w:sz="6" w:space="0" w:color="auto"/>
            </w:tcBorders>
            <w:vAlign w:val="center"/>
          </w:tcPr>
          <w:p w:rsidR="00A07DE6" w:rsidRPr="003B6E11" w:rsidRDefault="00A07DE6" w:rsidP="00A07DE6">
            <w:pPr>
              <w:spacing w:before="60" w:after="60" w:line="240" w:lineRule="atLeast"/>
              <w:jc w:val="center"/>
              <w:rPr>
                <w:sz w:val="18"/>
                <w:lang w:val="cs-CZ"/>
              </w:rPr>
            </w:pPr>
            <w:r w:rsidRPr="003B6E11">
              <w:rPr>
                <w:sz w:val="18"/>
                <w:lang w:val="cs-CZ"/>
              </w:rPr>
              <w:t>napětí</w:t>
            </w:r>
          </w:p>
        </w:tc>
        <w:tc>
          <w:tcPr>
            <w:tcW w:w="2155" w:type="dxa"/>
            <w:tcBorders>
              <w:top w:val="single" w:sz="6" w:space="0" w:color="auto"/>
              <w:left w:val="single" w:sz="6" w:space="0" w:color="auto"/>
              <w:bottom w:val="single" w:sz="6" w:space="0" w:color="auto"/>
              <w:right w:val="single" w:sz="6" w:space="0" w:color="auto"/>
            </w:tcBorders>
            <w:vAlign w:val="center"/>
          </w:tcPr>
          <w:p w:rsidR="00A07DE6" w:rsidRPr="003B6E11" w:rsidRDefault="00A07DE6" w:rsidP="00A07DE6">
            <w:pPr>
              <w:spacing w:before="60" w:after="60" w:line="240" w:lineRule="atLeast"/>
              <w:jc w:val="center"/>
              <w:rPr>
                <w:sz w:val="18"/>
                <w:lang w:val="cs-CZ"/>
              </w:rPr>
            </w:pPr>
            <w:r w:rsidRPr="003B6E11">
              <w:rPr>
                <w:sz w:val="18"/>
                <w:lang w:val="cs-CZ"/>
              </w:rPr>
              <w:t>+ 30 % / - 25 %</w:t>
            </w:r>
          </w:p>
        </w:tc>
        <w:tc>
          <w:tcPr>
            <w:tcW w:w="2155" w:type="dxa"/>
            <w:tcBorders>
              <w:top w:val="single" w:sz="6" w:space="0" w:color="auto"/>
              <w:left w:val="single" w:sz="6" w:space="0" w:color="auto"/>
              <w:bottom w:val="single" w:sz="6" w:space="0" w:color="auto"/>
              <w:right w:val="single" w:sz="6" w:space="0" w:color="auto"/>
            </w:tcBorders>
            <w:vAlign w:val="center"/>
          </w:tcPr>
          <w:p w:rsidR="00A07DE6" w:rsidRPr="003B6E11" w:rsidRDefault="00A07DE6" w:rsidP="00A07DE6">
            <w:pPr>
              <w:spacing w:before="60" w:after="60" w:line="240" w:lineRule="atLeast"/>
              <w:jc w:val="center"/>
              <w:rPr>
                <w:sz w:val="18"/>
                <w:lang w:val="cs-CZ"/>
              </w:rPr>
            </w:pPr>
            <w:r w:rsidRPr="003B6E11">
              <w:rPr>
                <w:sz w:val="18"/>
                <w:lang w:val="cs-CZ"/>
              </w:rPr>
              <w:t>-</w:t>
            </w:r>
          </w:p>
        </w:tc>
      </w:tr>
    </w:tbl>
    <w:p w:rsidR="00A07DE6" w:rsidRPr="003B6E11" w:rsidRDefault="00A07DE6" w:rsidP="00A07DE6">
      <w:pPr>
        <w:spacing w:line="240" w:lineRule="atLeast"/>
        <w:ind w:left="567" w:hanging="567"/>
        <w:rPr>
          <w:lang w:val="cs-CZ"/>
        </w:rPr>
      </w:pPr>
    </w:p>
    <w:p w:rsidR="00A07DE6" w:rsidRPr="003B6E11" w:rsidRDefault="00A07DE6" w:rsidP="00A07DE6">
      <w:pPr>
        <w:spacing w:before="60" w:line="240" w:lineRule="atLeast"/>
        <w:ind w:left="992"/>
        <w:rPr>
          <w:lang w:val="cs-CZ"/>
        </w:rPr>
      </w:pPr>
      <w:r w:rsidRPr="003B6E11">
        <w:rPr>
          <w:lang w:val="cs-CZ"/>
        </w:rPr>
        <w:t>c)</w:t>
      </w:r>
      <w:r w:rsidRPr="003B6E11">
        <w:rPr>
          <w:lang w:val="cs-CZ"/>
        </w:rPr>
        <w:tab/>
        <w:t>Tepelná zkouška</w:t>
      </w:r>
    </w:p>
    <w:p w:rsidR="00A07DE6" w:rsidRPr="003B6E11" w:rsidRDefault="00A07DE6" w:rsidP="00A07DE6">
      <w:pPr>
        <w:spacing w:before="60" w:line="240" w:lineRule="atLeast"/>
        <w:ind w:left="992"/>
        <w:rPr>
          <w:lang w:val="cs-CZ"/>
        </w:rPr>
      </w:pPr>
      <w:r w:rsidRPr="003B6E11">
        <w:rPr>
          <w:lang w:val="cs-CZ"/>
        </w:rPr>
        <w:t>Zkoušené zařízení se během půl hodiny zahřeje na teplotu 55 °C. Po dosažení této úrovně se teplota udržuje na stejné výši po dobu 16 hodin. Poté se provede zkouška funkčnosti.</w:t>
      </w:r>
    </w:p>
    <w:p w:rsidR="00A07DE6" w:rsidRPr="003B6E11" w:rsidRDefault="00A07DE6" w:rsidP="00E9735B">
      <w:pPr>
        <w:pStyle w:val="ESlet"/>
        <w:rPr>
          <w:lang w:val="cs-CZ"/>
        </w:rPr>
      </w:pPr>
      <w:r w:rsidRPr="003B6E11">
        <w:rPr>
          <w:lang w:val="cs-CZ"/>
        </w:rPr>
        <w:t>d)</w:t>
      </w:r>
      <w:r w:rsidRPr="003B6E11">
        <w:rPr>
          <w:lang w:val="cs-CZ"/>
        </w:rPr>
        <w:tab/>
        <w:t>Zkouška při nízké teplotě</w:t>
      </w:r>
    </w:p>
    <w:p w:rsidR="00A07DE6" w:rsidRPr="003B6E11" w:rsidRDefault="00A07DE6" w:rsidP="00A07DE6">
      <w:pPr>
        <w:spacing w:before="60" w:line="240" w:lineRule="atLeast"/>
        <w:ind w:left="992"/>
        <w:rPr>
          <w:lang w:val="cs-CZ"/>
        </w:rPr>
      </w:pPr>
      <w:r w:rsidRPr="003B6E11">
        <w:rPr>
          <w:lang w:val="cs-CZ"/>
        </w:rPr>
        <w:t>Zkoušené zařízení se vypne, ochladí na –25 °C a udržuje se na této teplotě po dobu dvou hodin. Poté se teplota zvýší na 0 °C a provede se zkouška funkčnosti.</w:t>
      </w:r>
    </w:p>
    <w:p w:rsidR="00A07DE6" w:rsidRPr="003B6E11" w:rsidRDefault="00A07DE6" w:rsidP="00E9735B">
      <w:pPr>
        <w:pStyle w:val="ESlet"/>
        <w:rPr>
          <w:lang w:val="cs-CZ"/>
        </w:rPr>
      </w:pPr>
      <w:r w:rsidRPr="003B6E11">
        <w:rPr>
          <w:lang w:val="cs-CZ"/>
        </w:rPr>
        <w:t>e)</w:t>
      </w:r>
      <w:r w:rsidRPr="003B6E11">
        <w:rPr>
          <w:lang w:val="cs-CZ"/>
        </w:rPr>
        <w:tab/>
        <w:t>Vibrační zkouška</w:t>
      </w:r>
    </w:p>
    <w:p w:rsidR="00A07DE6" w:rsidRPr="003B6E11" w:rsidRDefault="00A07DE6" w:rsidP="00A07DE6">
      <w:pPr>
        <w:spacing w:before="60" w:line="240" w:lineRule="atLeast"/>
        <w:ind w:left="992"/>
        <w:rPr>
          <w:lang w:val="cs-CZ"/>
        </w:rPr>
      </w:pPr>
      <w:r w:rsidRPr="003B6E11">
        <w:rPr>
          <w:lang w:val="cs-CZ"/>
        </w:rPr>
        <w:t>Vibrační zkouška se provádí ve všech třech osách s rezonanční frekvencí zařízení nebo jejich součástí vždy po dobu 90 minut. Není-li zjištěna žádná výrazná rezonance, provádí se vibrační zkouška při 30 Hz.</w:t>
      </w:r>
    </w:p>
    <w:p w:rsidR="00A07DE6" w:rsidRPr="003B6E11" w:rsidRDefault="00A07DE6" w:rsidP="00350277">
      <w:pPr>
        <w:pStyle w:val="ESletpar"/>
        <w:rPr>
          <w:lang w:val="cs-CZ"/>
        </w:rPr>
      </w:pPr>
      <w:r w:rsidRPr="003B6E11">
        <w:rPr>
          <w:lang w:val="cs-CZ"/>
        </w:rPr>
        <w:t>Vibrační zkouška se provádí pomocí sinusové oscilace v rámci těchto mezních hodnot:</w:t>
      </w:r>
    </w:p>
    <w:p w:rsidR="00A07DE6" w:rsidRPr="003B6E11" w:rsidRDefault="00A07DE6" w:rsidP="00350277">
      <w:pPr>
        <w:pStyle w:val="ESletpar"/>
        <w:rPr>
          <w:lang w:val="cs-CZ"/>
        </w:rPr>
      </w:pPr>
      <w:r w:rsidRPr="003B6E11">
        <w:rPr>
          <w:lang w:val="cs-CZ"/>
        </w:rPr>
        <w:t>Obecně:</w:t>
      </w:r>
    </w:p>
    <w:p w:rsidR="00A07DE6" w:rsidRPr="003B6E11" w:rsidRDefault="00A07DE6" w:rsidP="00A07DE6">
      <w:pPr>
        <w:spacing w:before="60" w:line="240" w:lineRule="atLeast"/>
        <w:ind w:left="992"/>
        <w:rPr>
          <w:lang w:val="cs-CZ"/>
        </w:rPr>
      </w:pPr>
      <m:oMath>
        <m:r>
          <w:rPr>
            <w:rFonts w:ascii="Cambria Math" w:hAnsi="Cambria Math"/>
            <w:lang w:val="cs-CZ"/>
          </w:rPr>
          <m:t>f</m:t>
        </m:r>
      </m:oMath>
      <w:r w:rsidRPr="003B6E11">
        <w:rPr>
          <w:lang w:val="cs-CZ"/>
        </w:rPr>
        <w:t xml:space="preserve"> = 2,0 až 13,2 Hz; </w:t>
      </w:r>
      <m:oMath>
        <m:r>
          <w:rPr>
            <w:rFonts w:ascii="Cambria Math" w:hAnsi="Cambria Math"/>
            <w:lang w:val="cs-CZ"/>
          </w:rPr>
          <m:t>a</m:t>
        </m:r>
      </m:oMath>
      <w:r w:rsidRPr="003B6E11">
        <w:rPr>
          <w:lang w:val="cs-CZ"/>
        </w:rPr>
        <w:t xml:space="preserve"> = ± 1 mm</w:t>
      </w:r>
    </w:p>
    <w:p w:rsidR="00A07DE6" w:rsidRPr="003B6E11" w:rsidRDefault="00A07DE6" w:rsidP="00A07DE6">
      <w:pPr>
        <w:spacing w:before="60" w:line="240" w:lineRule="atLeast"/>
        <w:ind w:left="992"/>
        <w:rPr>
          <w:lang w:val="cs-CZ"/>
        </w:rPr>
      </w:pPr>
      <w:r w:rsidRPr="003B6E11">
        <w:rPr>
          <w:lang w:val="cs-CZ"/>
        </w:rPr>
        <w:t xml:space="preserve">(amplituda </w:t>
      </w:r>
      <m:oMath>
        <m:r>
          <w:rPr>
            <w:rFonts w:ascii="Cambria Math" w:hAnsi="Cambria Math"/>
            <w:lang w:val="cs-CZ"/>
          </w:rPr>
          <m:t>a</m:t>
        </m:r>
      </m:oMath>
      <w:r w:rsidRPr="003B6E11">
        <w:rPr>
          <w:lang w:val="cs-CZ"/>
        </w:rPr>
        <w:t xml:space="preserve"> = 1/2 rozkmitu)</w:t>
      </w:r>
    </w:p>
    <w:p w:rsidR="00A07DE6" w:rsidRPr="003B6E11" w:rsidRDefault="00A07DE6" w:rsidP="00A07DE6">
      <w:pPr>
        <w:spacing w:before="60" w:line="240" w:lineRule="atLeast"/>
        <w:ind w:left="992"/>
        <w:rPr>
          <w:lang w:val="cs-CZ"/>
        </w:rPr>
      </w:pPr>
      <m:oMath>
        <m:r>
          <w:rPr>
            <w:rFonts w:ascii="Cambria Math" w:hAnsi="Cambria Math"/>
            <w:lang w:val="cs-CZ"/>
          </w:rPr>
          <m:t>f</m:t>
        </m:r>
      </m:oMath>
      <w:r w:rsidRPr="003B6E11">
        <w:rPr>
          <w:lang w:val="cs-CZ"/>
        </w:rPr>
        <w:t xml:space="preserve"> = 13,2 Hz až 100 Hz: zrychlení ± 0,7 g.</w:t>
      </w:r>
    </w:p>
    <w:p w:rsidR="00A07DE6" w:rsidRPr="003B6E11" w:rsidRDefault="00A07DE6" w:rsidP="00A07DE6">
      <w:pPr>
        <w:spacing w:before="60" w:line="240" w:lineRule="atLeast"/>
        <w:ind w:left="992"/>
        <w:rPr>
          <w:lang w:val="cs-CZ"/>
        </w:rPr>
      </w:pPr>
      <w:r w:rsidRPr="003B6E11">
        <w:rPr>
          <w:lang w:val="cs-CZ"/>
        </w:rPr>
        <w:t>Provozní zařízení, které má být zabudováno do spalovacích motorů nebo kormidelního stroje, se zkouší takto:</w:t>
      </w:r>
    </w:p>
    <w:p w:rsidR="00A07DE6" w:rsidRPr="003B6E11" w:rsidRDefault="00A07DE6" w:rsidP="00A07DE6">
      <w:pPr>
        <w:spacing w:before="60" w:line="240" w:lineRule="atLeast"/>
        <w:ind w:left="992"/>
        <w:rPr>
          <w:lang w:val="cs-CZ"/>
        </w:rPr>
      </w:pPr>
      <m:oMath>
        <m:r>
          <w:rPr>
            <w:rFonts w:ascii="Cambria Math" w:hAnsi="Cambria Math"/>
            <w:lang w:val="cs-CZ"/>
          </w:rPr>
          <m:t>f</m:t>
        </m:r>
      </m:oMath>
      <w:r w:rsidRPr="003B6E11">
        <w:rPr>
          <w:lang w:val="cs-CZ"/>
        </w:rPr>
        <w:t xml:space="preserve"> = 2,0 až 25 Hz; </w:t>
      </w:r>
      <m:oMath>
        <m:r>
          <w:rPr>
            <w:rFonts w:ascii="Cambria Math" w:hAnsi="Cambria Math"/>
            <w:lang w:val="cs-CZ"/>
          </w:rPr>
          <m:t>a</m:t>
        </m:r>
      </m:oMath>
      <w:r w:rsidRPr="003B6E11">
        <w:rPr>
          <w:lang w:val="cs-CZ"/>
        </w:rPr>
        <w:t xml:space="preserve"> = ± 1,6 mm</w:t>
      </w:r>
    </w:p>
    <w:p w:rsidR="00A07DE6" w:rsidRPr="003B6E11" w:rsidRDefault="00A07DE6" w:rsidP="00A07DE6">
      <w:pPr>
        <w:spacing w:before="60" w:line="240" w:lineRule="atLeast"/>
        <w:ind w:left="992"/>
        <w:rPr>
          <w:lang w:val="cs-CZ"/>
        </w:rPr>
      </w:pPr>
      <w:r w:rsidRPr="003B6E11">
        <w:rPr>
          <w:lang w:val="cs-CZ"/>
        </w:rPr>
        <w:t xml:space="preserve">(amplituda </w:t>
      </w:r>
      <m:oMath>
        <m:r>
          <w:rPr>
            <w:rFonts w:ascii="Cambria Math" w:hAnsi="Cambria Math"/>
            <w:lang w:val="cs-CZ"/>
          </w:rPr>
          <m:t>a</m:t>
        </m:r>
      </m:oMath>
      <w:r w:rsidRPr="003B6E11">
        <w:rPr>
          <w:lang w:val="cs-CZ"/>
        </w:rPr>
        <w:t xml:space="preserve"> = 1/2 rozkmitu)</w:t>
      </w:r>
    </w:p>
    <w:p w:rsidR="00A07DE6" w:rsidRPr="003B6E11" w:rsidRDefault="00A07DE6" w:rsidP="00A07DE6">
      <w:pPr>
        <w:spacing w:before="60" w:line="240" w:lineRule="atLeast"/>
        <w:ind w:left="992"/>
        <w:rPr>
          <w:lang w:val="cs-CZ"/>
        </w:rPr>
      </w:pPr>
      <m:oMath>
        <m:r>
          <w:rPr>
            <w:rFonts w:ascii="Cambria Math" w:hAnsi="Cambria Math"/>
            <w:lang w:val="cs-CZ"/>
          </w:rPr>
          <m:t>f</m:t>
        </m:r>
      </m:oMath>
      <w:r w:rsidRPr="003B6E11">
        <w:rPr>
          <w:lang w:val="cs-CZ"/>
        </w:rPr>
        <w:t xml:space="preserve"> = 25 Hz až 100 Hz; zrychlení ± 4 g.</w:t>
      </w:r>
    </w:p>
    <w:p w:rsidR="00A07DE6" w:rsidRPr="003B6E11" w:rsidRDefault="00A07DE6" w:rsidP="00350277">
      <w:pPr>
        <w:pStyle w:val="ESletpar"/>
        <w:rPr>
          <w:lang w:val="cs-CZ"/>
        </w:rPr>
      </w:pPr>
      <w:r w:rsidRPr="003B6E11">
        <w:rPr>
          <w:lang w:val="cs-CZ"/>
        </w:rPr>
        <w:t>Čidla, která mají být zabudována do výfukového potrubí spalovacích motorů, mohou být vystavena podstatně vyššímu namáhání. Toto je třeba při zkouškách vzít v úvahu.</w:t>
      </w:r>
    </w:p>
    <w:p w:rsidR="00A07DE6" w:rsidRPr="003B6E11" w:rsidRDefault="00A07DE6" w:rsidP="00350277">
      <w:pPr>
        <w:pStyle w:val="ESch"/>
        <w:rPr>
          <w:lang w:val="cs-CZ"/>
        </w:rPr>
      </w:pPr>
    </w:p>
    <w:p w:rsidR="00A07DE6" w:rsidRPr="003B6E11" w:rsidRDefault="00A07DE6" w:rsidP="00A07DE6">
      <w:pPr>
        <w:spacing w:line="240" w:lineRule="atLeast"/>
        <w:ind w:left="567" w:hanging="567"/>
        <w:rPr>
          <w:lang w:val="cs-CZ"/>
        </w:rPr>
      </w:pPr>
      <w:r w:rsidRPr="003B6E11">
        <w:rPr>
          <w:lang w:val="cs-CZ"/>
        </w:rPr>
        <w:t>4.</w:t>
      </w:r>
      <w:r w:rsidRPr="003B6E11">
        <w:rPr>
          <w:lang w:val="cs-CZ"/>
        </w:rPr>
        <w:tab/>
        <w:t>Zkouška elektromagnetické kompatibility se provádí podle evropských norem EN 61000-4-2:2009, EN 61000-4-3:2010, EN 61000-4-4:2012, stupeň zkoušky 3.</w:t>
      </w:r>
    </w:p>
    <w:p w:rsidR="00A07DE6" w:rsidRPr="003B6E11" w:rsidRDefault="00A07DE6" w:rsidP="00A07DE6">
      <w:pPr>
        <w:spacing w:line="240" w:lineRule="atLeast"/>
        <w:ind w:left="992"/>
        <w:rPr>
          <w:lang w:val="cs-CZ"/>
        </w:rPr>
      </w:pPr>
    </w:p>
    <w:p w:rsidR="00A07DE6" w:rsidRPr="003B6E11" w:rsidRDefault="00A07DE6" w:rsidP="00A07DE6">
      <w:pPr>
        <w:spacing w:line="240" w:lineRule="atLeast"/>
        <w:ind w:left="567" w:hanging="567"/>
        <w:rPr>
          <w:lang w:val="cs-CZ"/>
        </w:rPr>
      </w:pPr>
      <w:r w:rsidRPr="003B6E11">
        <w:rPr>
          <w:lang w:val="cs-CZ"/>
        </w:rPr>
        <w:t>5.</w:t>
      </w:r>
      <w:r w:rsidRPr="003B6E11">
        <w:rPr>
          <w:lang w:val="cs-CZ"/>
        </w:rPr>
        <w:tab/>
        <w:t>Doklad, že elektronické zařízení vyhovuje těmto zkušebním podmínkám, poskytne výrobce. Za důkaz se považuje rovněž osvědčení uznané klasifikační společnosti.</w:t>
      </w:r>
    </w:p>
    <w:p w:rsidR="00283317" w:rsidRPr="003B6E11" w:rsidRDefault="00283317" w:rsidP="00283317">
      <w:pPr>
        <w:rPr>
          <w:rFonts w:cs="Arial"/>
          <w:szCs w:val="20"/>
          <w:lang w:val="cs-CZ"/>
        </w:rPr>
      </w:pPr>
    </w:p>
    <w:p w:rsidR="00B04291" w:rsidRPr="003B6E11" w:rsidRDefault="00B04291" w:rsidP="00AA5633">
      <w:pPr>
        <w:pStyle w:val="ESch"/>
        <w:rPr>
          <w:lang w:val="cs-CZ"/>
        </w:rPr>
      </w:pPr>
      <w:bookmarkStart w:id="201" w:name="_Toc436115054"/>
    </w:p>
    <w:p w:rsidR="00E9735B" w:rsidRPr="003B6E11" w:rsidRDefault="00E9735B">
      <w:pPr>
        <w:rPr>
          <w:lang w:val="cs-CZ"/>
        </w:rPr>
      </w:pPr>
      <w:r w:rsidRPr="003B6E11">
        <w:rPr>
          <w:lang w:val="cs-CZ"/>
        </w:rPr>
        <w:br w:type="page"/>
      </w:r>
    </w:p>
    <w:p w:rsidR="00E9735B" w:rsidRPr="003B6E11" w:rsidRDefault="00E9735B" w:rsidP="00AA5633">
      <w:pPr>
        <w:pStyle w:val="ESch"/>
        <w:rPr>
          <w:lang w:val="cs-CZ"/>
        </w:rPr>
      </w:pPr>
    </w:p>
    <w:p w:rsidR="00B04291" w:rsidRPr="003B6E11" w:rsidRDefault="00B04291" w:rsidP="00B04291">
      <w:pPr>
        <w:pStyle w:val="ES-Titre3"/>
        <w:rPr>
          <w:i/>
          <w:lang w:val="cs-CZ"/>
        </w:rPr>
      </w:pPr>
      <w:bookmarkStart w:id="202" w:name="_Toc491854098"/>
      <w:bookmarkStart w:id="203" w:name="_Toc535417004"/>
      <w:r w:rsidRPr="003B6E11">
        <w:rPr>
          <w:lang w:val="cs-CZ"/>
        </w:rPr>
        <w:t>Článek 10.21</w:t>
      </w:r>
      <w:r w:rsidRPr="003B6E11">
        <w:rPr>
          <w:lang w:val="cs-CZ"/>
        </w:rPr>
        <w:br/>
      </w:r>
      <w:r w:rsidRPr="003B6E11">
        <w:rPr>
          <w:i/>
          <w:lang w:val="cs-CZ"/>
        </w:rPr>
        <w:t>Elektromagnetická kompatibilita</w:t>
      </w:r>
      <w:bookmarkEnd w:id="201"/>
      <w:bookmarkEnd w:id="202"/>
      <w:bookmarkEnd w:id="203"/>
    </w:p>
    <w:p w:rsidR="00B04291" w:rsidRPr="003B6E11" w:rsidRDefault="00B04291" w:rsidP="00B04291">
      <w:pPr>
        <w:pStyle w:val="ESch"/>
        <w:rPr>
          <w:lang w:val="cs-CZ"/>
        </w:rPr>
      </w:pPr>
    </w:p>
    <w:p w:rsidR="00B04291" w:rsidRPr="003B6E11" w:rsidRDefault="00B04291" w:rsidP="00B04291">
      <w:pPr>
        <w:pStyle w:val="ESgauche"/>
        <w:rPr>
          <w:noProof w:val="0"/>
          <w:lang w:val="cs-CZ"/>
        </w:rPr>
      </w:pPr>
      <w:r w:rsidRPr="003B6E11">
        <w:rPr>
          <w:lang w:val="cs-CZ"/>
        </w:rPr>
        <w:t>Funkce elektrických a elektronických zařízení nesmí být zhoršena elektromagnetickým rušením. Obecná opatření se musí rovnocenně vztahovat na:</w:t>
      </w:r>
    </w:p>
    <w:p w:rsidR="00B04291" w:rsidRPr="003B6E11" w:rsidRDefault="00B04291" w:rsidP="00B04291">
      <w:pPr>
        <w:pStyle w:val="ESletgauche"/>
        <w:rPr>
          <w:lang w:val="cs-CZ"/>
        </w:rPr>
      </w:pPr>
      <w:r w:rsidRPr="003B6E11">
        <w:rPr>
          <w:lang w:val="cs-CZ"/>
        </w:rPr>
        <w:t>a)</w:t>
      </w:r>
      <w:r w:rsidRPr="003B6E11">
        <w:rPr>
          <w:lang w:val="cs-CZ"/>
        </w:rPr>
        <w:tab/>
        <w:t>odpojení přenosových cest mezi zdrojem rušení a dotčeným zařízením;</w:t>
      </w:r>
    </w:p>
    <w:p w:rsidR="00B04291" w:rsidRPr="003B6E11" w:rsidRDefault="00B04291" w:rsidP="00B04291">
      <w:pPr>
        <w:pStyle w:val="ESletgauche"/>
        <w:rPr>
          <w:lang w:val="cs-CZ"/>
        </w:rPr>
      </w:pPr>
      <w:r w:rsidRPr="003B6E11">
        <w:rPr>
          <w:lang w:val="cs-CZ"/>
        </w:rPr>
        <w:t>b)</w:t>
      </w:r>
      <w:r w:rsidRPr="003B6E11">
        <w:rPr>
          <w:lang w:val="cs-CZ"/>
        </w:rPr>
        <w:tab/>
        <w:t>omezení příčin rušení u zdroje;</w:t>
      </w:r>
    </w:p>
    <w:p w:rsidR="00B04291" w:rsidRPr="003B6E11" w:rsidRDefault="00B04291" w:rsidP="00B04291">
      <w:pPr>
        <w:pStyle w:val="ESletgauche"/>
        <w:rPr>
          <w:lang w:val="cs-CZ"/>
        </w:rPr>
      </w:pPr>
      <w:r w:rsidRPr="003B6E11">
        <w:rPr>
          <w:lang w:val="cs-CZ"/>
        </w:rPr>
        <w:t>c)</w:t>
      </w:r>
      <w:r w:rsidRPr="003B6E11">
        <w:rPr>
          <w:lang w:val="cs-CZ"/>
        </w:rPr>
        <w:tab/>
        <w:t>snížení citlivosti dotčených přístrojů na rušení.</w:t>
      </w:r>
    </w:p>
    <w:p w:rsidR="00283317" w:rsidRPr="003B6E11" w:rsidRDefault="00283317" w:rsidP="00283317">
      <w:pPr>
        <w:rPr>
          <w:rFonts w:cs="Arial"/>
          <w:szCs w:val="20"/>
          <w:lang w:val="cs-CZ"/>
        </w:rPr>
      </w:pPr>
    </w:p>
    <w:p w:rsidR="00350277" w:rsidRPr="003B6E11" w:rsidRDefault="00350277">
      <w:pPr>
        <w:rPr>
          <w:rFonts w:cs="Arial"/>
          <w:szCs w:val="20"/>
          <w:lang w:val="cs-CZ"/>
        </w:rPr>
      </w:pPr>
    </w:p>
    <w:p w:rsidR="00E9735B" w:rsidRPr="003B6E11" w:rsidRDefault="00E9735B">
      <w:pPr>
        <w:rPr>
          <w:rFonts w:cs="Arial"/>
          <w:szCs w:val="20"/>
          <w:lang w:val="cs-CZ"/>
        </w:rPr>
      </w:pPr>
      <w:r w:rsidRPr="003B6E11">
        <w:rPr>
          <w:lang w:val="cs-CZ"/>
        </w:rPr>
        <w:br w:type="page"/>
      </w:r>
    </w:p>
    <w:p w:rsidR="00350277" w:rsidRPr="003B6E11" w:rsidRDefault="00350277" w:rsidP="00283317">
      <w:pPr>
        <w:rPr>
          <w:rFonts w:cs="Arial"/>
          <w:szCs w:val="20"/>
          <w:lang w:val="cs-CZ"/>
        </w:rPr>
      </w:pPr>
    </w:p>
    <w:p w:rsidR="00E9735B" w:rsidRPr="003B6E11" w:rsidRDefault="00E9735B" w:rsidP="00283317">
      <w:pPr>
        <w:rPr>
          <w:rFonts w:cs="Arial"/>
          <w:szCs w:val="20"/>
          <w:lang w:val="cs-CZ"/>
        </w:rPr>
      </w:pPr>
    </w:p>
    <w:p w:rsidR="00350277" w:rsidRPr="003B6E11" w:rsidRDefault="00350277" w:rsidP="00283317">
      <w:pPr>
        <w:rPr>
          <w:rFonts w:cs="Arial"/>
          <w:szCs w:val="20"/>
          <w:lang w:val="cs-CZ"/>
        </w:rPr>
      </w:pPr>
    </w:p>
    <w:p w:rsidR="00F6371D" w:rsidRPr="003B6E11" w:rsidRDefault="00F06174" w:rsidP="00F6371D">
      <w:pPr>
        <w:pStyle w:val="ES-Titre2"/>
      </w:pPr>
      <w:bookmarkStart w:id="204" w:name="_Toc491854099"/>
      <w:bookmarkStart w:id="205" w:name="_Toc535417005"/>
      <w:r w:rsidRPr="003B6E11">
        <w:t>Kapitola 11</w:t>
      </w:r>
      <w:r w:rsidRPr="003B6E11">
        <w:br/>
        <w:t>Elektrické pohonné systémy</w:t>
      </w:r>
      <w:bookmarkEnd w:id="204"/>
      <w:bookmarkEnd w:id="205"/>
    </w:p>
    <w:p w:rsidR="009E1A19" w:rsidRPr="003B6E11" w:rsidRDefault="009E1A19" w:rsidP="009E1A19">
      <w:pPr>
        <w:rPr>
          <w:lang w:val="cs-CZ"/>
        </w:rPr>
      </w:pPr>
    </w:p>
    <w:p w:rsidR="009E1A19" w:rsidRPr="003B6E11" w:rsidRDefault="009E1A19" w:rsidP="009E1A19">
      <w:pPr>
        <w:jc w:val="center"/>
        <w:rPr>
          <w:lang w:val="cs-CZ"/>
        </w:rPr>
      </w:pPr>
      <w:r w:rsidRPr="003B6E11">
        <w:rPr>
          <w:lang w:val="cs-CZ"/>
        </w:rPr>
        <w:t>(ponecháno volné)</w:t>
      </w:r>
    </w:p>
    <w:p w:rsidR="00283317" w:rsidRPr="003B6E11" w:rsidRDefault="00283317" w:rsidP="009E1A19">
      <w:pPr>
        <w:jc w:val="center"/>
        <w:rPr>
          <w:lang w:val="cs-CZ"/>
        </w:rPr>
      </w:pPr>
    </w:p>
    <w:p w:rsidR="00283317" w:rsidRPr="003B6E11" w:rsidRDefault="00283317" w:rsidP="009E1A19">
      <w:pPr>
        <w:jc w:val="center"/>
        <w:rPr>
          <w:lang w:val="cs-CZ"/>
        </w:rPr>
      </w:pPr>
    </w:p>
    <w:p w:rsidR="0093091E" w:rsidRPr="003B6E11" w:rsidRDefault="000222E9" w:rsidP="009E1A19">
      <w:pPr>
        <w:jc w:val="center"/>
        <w:rPr>
          <w:lang w:val="cs-CZ"/>
        </w:rPr>
      </w:pPr>
      <w:r w:rsidRPr="003B6E11">
        <w:rPr>
          <w:lang w:val="cs-CZ"/>
        </w:rPr>
        <w:br w:type="page"/>
      </w:r>
    </w:p>
    <w:p w:rsidR="00283317" w:rsidRPr="003B6E11" w:rsidRDefault="00283317" w:rsidP="009E1A19">
      <w:pPr>
        <w:jc w:val="center"/>
        <w:rPr>
          <w:lang w:val="cs-CZ"/>
        </w:rPr>
      </w:pPr>
    </w:p>
    <w:p w:rsidR="00283317" w:rsidRPr="003B6E11" w:rsidRDefault="00283317" w:rsidP="009E1A19">
      <w:pPr>
        <w:jc w:val="center"/>
        <w:rPr>
          <w:lang w:val="cs-CZ"/>
        </w:rPr>
      </w:pPr>
    </w:p>
    <w:p w:rsidR="00F6371D" w:rsidRPr="003B6E11" w:rsidRDefault="00F06174" w:rsidP="00F6371D">
      <w:pPr>
        <w:pStyle w:val="ES-Titre2"/>
      </w:pPr>
      <w:bookmarkStart w:id="206" w:name="_Toc491854100"/>
      <w:bookmarkStart w:id="207" w:name="_Toc535417006"/>
      <w:r w:rsidRPr="003B6E11">
        <w:t>Kapitola 12</w:t>
      </w:r>
      <w:r w:rsidRPr="003B6E11">
        <w:br/>
        <w:t>Elektronická zařízení a systémy</w:t>
      </w:r>
      <w:bookmarkEnd w:id="206"/>
      <w:bookmarkEnd w:id="207"/>
    </w:p>
    <w:p w:rsidR="009E1A19" w:rsidRPr="003B6E11" w:rsidRDefault="009E1A19" w:rsidP="009E1A19">
      <w:pPr>
        <w:jc w:val="center"/>
        <w:rPr>
          <w:lang w:val="cs-CZ"/>
        </w:rPr>
      </w:pPr>
    </w:p>
    <w:p w:rsidR="009E1A19" w:rsidRPr="003B6E11" w:rsidRDefault="009E1A19" w:rsidP="009E1A19">
      <w:pPr>
        <w:jc w:val="center"/>
        <w:rPr>
          <w:lang w:val="cs-CZ"/>
        </w:rPr>
      </w:pPr>
      <w:r w:rsidRPr="003B6E11">
        <w:rPr>
          <w:lang w:val="cs-CZ"/>
        </w:rPr>
        <w:t>(ponecháno volné)</w:t>
      </w:r>
    </w:p>
    <w:p w:rsidR="00283317" w:rsidRPr="003B6E11" w:rsidRDefault="00283317" w:rsidP="009E1A19">
      <w:pPr>
        <w:jc w:val="center"/>
        <w:rPr>
          <w:lang w:val="cs-CZ"/>
        </w:rPr>
      </w:pPr>
    </w:p>
    <w:p w:rsidR="00283317" w:rsidRPr="003B6E11" w:rsidRDefault="00283317" w:rsidP="009E1A19">
      <w:pPr>
        <w:jc w:val="center"/>
        <w:rPr>
          <w:lang w:val="cs-CZ"/>
        </w:rPr>
      </w:pPr>
    </w:p>
    <w:p w:rsidR="000222E9" w:rsidRPr="003B6E11" w:rsidRDefault="000222E9" w:rsidP="009E1A19">
      <w:pPr>
        <w:jc w:val="center"/>
        <w:rPr>
          <w:lang w:val="cs-CZ"/>
        </w:rPr>
      </w:pPr>
    </w:p>
    <w:p w:rsidR="000222E9" w:rsidRPr="003B6E11" w:rsidRDefault="000222E9" w:rsidP="009E1A19">
      <w:pPr>
        <w:jc w:val="center"/>
        <w:rPr>
          <w:lang w:val="cs-CZ"/>
        </w:rPr>
      </w:pPr>
      <w:r w:rsidRPr="003B6E11">
        <w:rPr>
          <w:lang w:val="cs-CZ"/>
        </w:rPr>
        <w:br w:type="page"/>
      </w:r>
    </w:p>
    <w:p w:rsidR="00283317" w:rsidRPr="003B6E11" w:rsidRDefault="00283317" w:rsidP="009E1A19">
      <w:pPr>
        <w:jc w:val="center"/>
        <w:rPr>
          <w:lang w:val="cs-CZ"/>
        </w:rPr>
      </w:pPr>
    </w:p>
    <w:p w:rsidR="00F6371D" w:rsidRPr="003B6E11" w:rsidRDefault="00F06174" w:rsidP="00F6371D">
      <w:pPr>
        <w:pStyle w:val="ES-Titre2"/>
      </w:pPr>
      <w:bookmarkStart w:id="208" w:name="_Toc491854101"/>
      <w:bookmarkStart w:id="209" w:name="_Toc535417007"/>
      <w:r w:rsidRPr="003B6E11">
        <w:t>Kapitola 13</w:t>
      </w:r>
      <w:r w:rsidRPr="003B6E11">
        <w:br/>
        <w:t>Výstroj</w:t>
      </w:r>
      <w:bookmarkEnd w:id="208"/>
      <w:bookmarkEnd w:id="209"/>
    </w:p>
    <w:p w:rsidR="00E65F26" w:rsidRPr="003B6E11" w:rsidRDefault="00E65F26" w:rsidP="00E65F26">
      <w:pPr>
        <w:pStyle w:val="ESch"/>
        <w:rPr>
          <w:lang w:val="cs-CZ"/>
        </w:rPr>
      </w:pPr>
    </w:p>
    <w:p w:rsidR="00E65F26" w:rsidRPr="003B6E11" w:rsidRDefault="00E65F26" w:rsidP="00E65F26">
      <w:pPr>
        <w:pStyle w:val="ES-Titre3"/>
        <w:rPr>
          <w:i/>
          <w:lang w:val="cs-CZ"/>
        </w:rPr>
      </w:pPr>
      <w:bookmarkStart w:id="210" w:name="_Toc491854102"/>
      <w:bookmarkStart w:id="211" w:name="_Toc535417008"/>
      <w:r w:rsidRPr="003B6E11">
        <w:rPr>
          <w:lang w:val="cs-CZ"/>
        </w:rPr>
        <w:t>Článek 13.01</w:t>
      </w:r>
      <w:r w:rsidRPr="003B6E11">
        <w:rPr>
          <w:lang w:val="cs-CZ"/>
        </w:rPr>
        <w:br/>
      </w:r>
      <w:r w:rsidRPr="003B6E11">
        <w:rPr>
          <w:i/>
          <w:noProof/>
          <w:lang w:val="cs-CZ"/>
        </w:rPr>
        <w:t>Kotevní zařízení</w:t>
      </w:r>
      <w:bookmarkEnd w:id="210"/>
      <w:bookmarkEnd w:id="211"/>
    </w:p>
    <w:p w:rsidR="00312E1A" w:rsidRPr="003B6E11" w:rsidRDefault="00312E1A" w:rsidP="00E65F26">
      <w:pPr>
        <w:pStyle w:val="ESch"/>
        <w:rPr>
          <w:noProof/>
          <w:lang w:val="cs-CZ"/>
        </w:rPr>
      </w:pPr>
    </w:p>
    <w:p w:rsidR="00E65F26" w:rsidRPr="003B6E11" w:rsidRDefault="00E65F26" w:rsidP="00E65F26">
      <w:pPr>
        <w:pStyle w:val="ESch"/>
        <w:rPr>
          <w:noProof/>
          <w:lang w:val="cs-CZ"/>
        </w:rPr>
      </w:pPr>
      <w:r w:rsidRPr="003B6E11">
        <w:rPr>
          <w:lang w:val="cs-CZ"/>
        </w:rPr>
        <w:t>1.</w:t>
      </w:r>
      <w:r w:rsidRPr="003B6E11">
        <w:rPr>
          <w:lang w:val="cs-CZ"/>
        </w:rPr>
        <w:tab/>
        <w:t xml:space="preserve">Lodě určené pro přepravu nákladu s výjimkou člunových kontejnerů, jejichž délka </w:t>
      </w:r>
      <m:oMath>
        <m:r>
          <w:rPr>
            <w:rFonts w:ascii="Cambria Math" w:hAnsi="Cambria Math"/>
            <w:lang w:val="cs-CZ"/>
          </w:rPr>
          <m:t>L</m:t>
        </m:r>
      </m:oMath>
      <w:r w:rsidRPr="003B6E11">
        <w:rPr>
          <w:lang w:val="cs-CZ"/>
        </w:rPr>
        <w:t xml:space="preserve"> nepřesahuje 40 m, musí být vybaveny příďovými kotvami, jejichž celková hmotnost </w:t>
      </w:r>
      <m:oMath>
        <m:r>
          <w:rPr>
            <w:rFonts w:ascii="Cambria Math" w:hAnsi="Cambria Math"/>
            <w:noProof/>
            <w:lang w:val="cs-CZ"/>
          </w:rPr>
          <m:t>P</m:t>
        </m:r>
      </m:oMath>
      <w:r w:rsidRPr="003B6E11">
        <w:rPr>
          <w:lang w:val="cs-CZ"/>
        </w:rPr>
        <w:t xml:space="preserve"> se vypočte pomocí vzorce:</w:t>
      </w:r>
    </w:p>
    <w:p w:rsidR="00754A0C" w:rsidRPr="003B6E11" w:rsidRDefault="00754A0C" w:rsidP="00E65F26">
      <w:pPr>
        <w:pStyle w:val="ESch"/>
        <w:rPr>
          <w:noProof/>
          <w:lang w:val="cs-CZ"/>
        </w:rPr>
      </w:pPr>
    </w:p>
    <w:p w:rsidR="00754A0C" w:rsidRPr="003B6E11" w:rsidRDefault="00754A0C" w:rsidP="00AD0020">
      <w:pPr>
        <w:pStyle w:val="ESch"/>
        <w:ind w:left="0" w:firstLine="0"/>
        <w:jc w:val="center"/>
        <w:rPr>
          <w:noProof/>
          <w:lang w:val="cs-CZ"/>
        </w:rPr>
      </w:pPr>
      <m:oMathPara>
        <m:oMath>
          <m:r>
            <w:rPr>
              <w:rFonts w:ascii="Cambria Math" w:hAnsi="Cambria Math"/>
              <w:noProof/>
              <w:lang w:val="cs-CZ"/>
            </w:rPr>
            <m:t>P=k ∙B ∙T [kg]</m:t>
          </m:r>
        </m:oMath>
      </m:oMathPara>
    </w:p>
    <w:p w:rsidR="00E65F26" w:rsidRPr="003B6E11" w:rsidRDefault="00E65F26" w:rsidP="00E65F26">
      <w:pPr>
        <w:pStyle w:val="ESch"/>
        <w:rPr>
          <w:lang w:val="cs-CZ"/>
        </w:rPr>
      </w:pPr>
    </w:p>
    <w:p w:rsidR="00E65F26" w:rsidRPr="003B6E11" w:rsidRDefault="00E65F26" w:rsidP="00E65F26">
      <w:pPr>
        <w:pStyle w:val="ESchpar"/>
        <w:rPr>
          <w:lang w:val="cs-CZ"/>
        </w:rPr>
      </w:pPr>
      <w:r w:rsidRPr="003B6E11">
        <w:rPr>
          <w:lang w:val="cs-CZ"/>
        </w:rPr>
        <w:t>kde:</w:t>
      </w:r>
    </w:p>
    <w:p w:rsidR="00E65F26" w:rsidRPr="003B6E11" w:rsidRDefault="00754A0C" w:rsidP="00E65F26">
      <w:pPr>
        <w:pStyle w:val="ESlet"/>
        <w:rPr>
          <w:lang w:val="cs-CZ"/>
        </w:rPr>
      </w:pPr>
      <m:oMath>
        <m:r>
          <w:rPr>
            <w:rFonts w:ascii="Cambria Math" w:hAnsi="Cambria Math"/>
            <w:lang w:val="cs-CZ"/>
          </w:rPr>
          <m:t>k</m:t>
        </m:r>
      </m:oMath>
      <w:r w:rsidRPr="003B6E11">
        <w:rPr>
          <w:lang w:val="cs-CZ"/>
        </w:rPr>
        <w:tab/>
        <w:t xml:space="preserve">je koeficient, který bere v úvahu vztah mezi délkou </w:t>
      </w:r>
      <m:oMath>
        <m:r>
          <w:rPr>
            <w:rFonts w:ascii="Cambria Math" w:hAnsi="Cambria Math"/>
            <w:lang w:val="cs-CZ"/>
          </w:rPr>
          <m:t>L</m:t>
        </m:r>
      </m:oMath>
      <w:r w:rsidRPr="003B6E11">
        <w:rPr>
          <w:lang w:val="cs-CZ"/>
        </w:rPr>
        <w:t xml:space="preserve"> a šířkou </w:t>
      </w:r>
      <m:oMath>
        <m:r>
          <w:rPr>
            <w:rFonts w:ascii="Cambria Math" w:hAnsi="Cambria Math"/>
            <w:lang w:val="cs-CZ"/>
          </w:rPr>
          <m:t xml:space="preserve"> B</m:t>
        </m:r>
      </m:oMath>
      <w:r w:rsidRPr="003B6E11">
        <w:rPr>
          <w:lang w:val="cs-CZ"/>
        </w:rPr>
        <w:t xml:space="preserve"> a druh lodi:</w:t>
      </w:r>
    </w:p>
    <w:p w:rsidR="00AD0020" w:rsidRPr="003B6E11" w:rsidRDefault="001C4EBE" w:rsidP="00AD0020">
      <w:pPr>
        <w:pStyle w:val="ESlet"/>
        <w:ind w:left="0"/>
        <w:jc w:val="center"/>
        <w:rPr>
          <w:noProof/>
          <w:lang w:val="cs-CZ"/>
        </w:rPr>
      </w:pPr>
      <m:oMathPara>
        <m:oMath>
          <m:r>
            <w:rPr>
              <w:rFonts w:ascii="Cambria Math" w:hAnsi="Cambria Math"/>
              <w:noProof/>
              <w:lang w:val="cs-CZ"/>
            </w:rPr>
            <m:t xml:space="preserve">k= c </m:t>
          </m:r>
          <m:rad>
            <m:radPr>
              <m:degHide m:val="1"/>
              <m:ctrlPr>
                <w:rPr>
                  <w:rFonts w:ascii="Cambria Math" w:hAnsi="Cambria Math"/>
                  <w:i/>
                  <w:noProof/>
                  <w:lang w:val="cs-CZ"/>
                </w:rPr>
              </m:ctrlPr>
            </m:radPr>
            <m:deg/>
            <m:e>
              <m:f>
                <m:fPr>
                  <m:ctrlPr>
                    <w:rPr>
                      <w:rFonts w:ascii="Cambria Math" w:hAnsi="Cambria Math"/>
                      <w:i/>
                      <w:noProof/>
                      <w:lang w:val="cs-CZ"/>
                    </w:rPr>
                  </m:ctrlPr>
                </m:fPr>
                <m:num>
                  <m:r>
                    <w:rPr>
                      <w:rFonts w:ascii="Cambria Math" w:hAnsi="Cambria Math"/>
                      <w:noProof/>
                      <w:lang w:val="cs-CZ"/>
                    </w:rPr>
                    <m:t>L</m:t>
                  </m:r>
                </m:num>
                <m:den>
                  <m:r>
                    <w:rPr>
                      <w:rFonts w:ascii="Cambria Math" w:hAnsi="Cambria Math"/>
                      <w:noProof/>
                      <w:lang w:val="cs-CZ"/>
                    </w:rPr>
                    <m:t>8 ∙B</m:t>
                  </m:r>
                </m:den>
              </m:f>
            </m:e>
          </m:rad>
        </m:oMath>
      </m:oMathPara>
    </w:p>
    <w:p w:rsidR="00E65F26" w:rsidRPr="003B6E11" w:rsidRDefault="00E65F26" w:rsidP="00E65F26">
      <w:pPr>
        <w:pStyle w:val="ESch"/>
        <w:jc w:val="center"/>
        <w:rPr>
          <w:rStyle w:val="FootnoteReference"/>
          <w:rFonts w:cs="Arial"/>
          <w:sz w:val="18"/>
          <w:szCs w:val="18"/>
          <w:lang w:val="cs-CZ"/>
        </w:rPr>
      </w:pPr>
    </w:p>
    <w:p w:rsidR="00E65F26" w:rsidRPr="003B6E11" w:rsidRDefault="00E65F26" w:rsidP="00E65F26">
      <w:pPr>
        <w:pStyle w:val="ESletpar"/>
        <w:rPr>
          <w:noProof/>
          <w:lang w:val="cs-CZ"/>
        </w:rPr>
      </w:pPr>
      <w:r w:rsidRPr="003B6E11">
        <w:rPr>
          <w:lang w:val="cs-CZ"/>
        </w:rPr>
        <w:t xml:space="preserve">u tlačných člunů však platí </w:t>
      </w:r>
      <m:oMath>
        <m:r>
          <w:rPr>
            <w:rFonts w:ascii="Cambria Math" w:hAnsi="Cambria Math"/>
            <w:noProof/>
            <w:lang w:val="cs-CZ"/>
          </w:rPr>
          <m:t>k=c</m:t>
        </m:r>
      </m:oMath>
      <w:r w:rsidRPr="003B6E11">
        <w:rPr>
          <w:lang w:val="cs-CZ"/>
        </w:rPr>
        <w:t>;</w:t>
      </w:r>
    </w:p>
    <w:p w:rsidR="00E65F26" w:rsidRPr="003B6E11" w:rsidRDefault="00754A0C" w:rsidP="00E65F26">
      <w:pPr>
        <w:pStyle w:val="ESlet"/>
        <w:rPr>
          <w:noProof/>
          <w:lang w:val="cs-CZ"/>
        </w:rPr>
      </w:pPr>
      <m:oMath>
        <m:r>
          <w:rPr>
            <w:rFonts w:ascii="Cambria Math" w:hAnsi="Cambria Math"/>
            <w:noProof/>
            <w:lang w:val="cs-CZ"/>
          </w:rPr>
          <m:t>c</m:t>
        </m:r>
      </m:oMath>
      <w:r w:rsidRPr="003B6E11">
        <w:rPr>
          <w:lang w:val="cs-CZ"/>
        </w:rPr>
        <w:tab/>
        <w:t>je empirický koeficient uvedený v této tabulce:</w:t>
      </w:r>
    </w:p>
    <w:p w:rsidR="00E65F26" w:rsidRPr="003B6E11" w:rsidRDefault="00E65F26" w:rsidP="00E65F26">
      <w:pPr>
        <w:pStyle w:val="ESchpar"/>
        <w:rPr>
          <w:noProof/>
          <w:lang w:val="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E65F26" w:rsidRPr="003B6E11" w:rsidTr="0097624C">
        <w:trPr>
          <w:jc w:val="center"/>
        </w:trPr>
        <w:tc>
          <w:tcPr>
            <w:tcW w:w="3402" w:type="dxa"/>
            <w:shd w:val="clear" w:color="auto" w:fill="auto"/>
          </w:tcPr>
          <w:p w:rsidR="00E65F26" w:rsidRPr="003B6E11" w:rsidRDefault="00E65F26" w:rsidP="00481A0E">
            <w:pPr>
              <w:pStyle w:val="ESch"/>
              <w:spacing w:before="60" w:after="60"/>
              <w:ind w:left="0" w:firstLine="0"/>
              <w:jc w:val="center"/>
              <w:rPr>
                <w:sz w:val="18"/>
                <w:lang w:val="cs-CZ"/>
              </w:rPr>
            </w:pPr>
            <w:r w:rsidRPr="003B6E11">
              <w:rPr>
                <w:noProof/>
                <w:sz w:val="18"/>
                <w:lang w:val="cs-CZ"/>
              </w:rPr>
              <w:t>Celková nosnost [t]</w:t>
            </w:r>
          </w:p>
        </w:tc>
        <w:tc>
          <w:tcPr>
            <w:tcW w:w="3402" w:type="dxa"/>
            <w:shd w:val="clear" w:color="auto" w:fill="auto"/>
          </w:tcPr>
          <w:p w:rsidR="00E65F26" w:rsidRPr="003B6E11" w:rsidRDefault="00E65F26" w:rsidP="0097624C">
            <w:pPr>
              <w:pStyle w:val="ESch"/>
              <w:spacing w:before="60" w:after="60"/>
              <w:ind w:left="0" w:firstLine="0"/>
              <w:jc w:val="center"/>
              <w:rPr>
                <w:sz w:val="18"/>
                <w:lang w:val="cs-CZ"/>
              </w:rPr>
            </w:pPr>
            <w:r w:rsidRPr="003B6E11">
              <w:rPr>
                <w:noProof/>
                <w:sz w:val="18"/>
                <w:lang w:val="cs-CZ"/>
              </w:rPr>
              <w:t xml:space="preserve">Koeficient </w:t>
            </w:r>
            <m:oMath>
              <m:r>
                <w:rPr>
                  <w:rFonts w:ascii="Cambria Math" w:hAnsi="Cambria Math"/>
                  <w:noProof/>
                  <w:lang w:val="cs-CZ"/>
                </w:rPr>
                <m:t>c</m:t>
              </m:r>
            </m:oMath>
          </w:p>
        </w:tc>
      </w:tr>
      <w:tr w:rsidR="00E65F26" w:rsidRPr="003B6E11" w:rsidTr="0097624C">
        <w:trPr>
          <w:jc w:val="center"/>
        </w:trPr>
        <w:tc>
          <w:tcPr>
            <w:tcW w:w="3402" w:type="dxa"/>
            <w:shd w:val="clear" w:color="auto" w:fill="auto"/>
          </w:tcPr>
          <w:p w:rsidR="00E65F26" w:rsidRPr="003B6E11" w:rsidRDefault="00E65F26" w:rsidP="0097624C">
            <w:pPr>
              <w:pStyle w:val="ESch"/>
              <w:spacing w:before="60" w:after="60"/>
              <w:ind w:left="0" w:firstLine="0"/>
              <w:rPr>
                <w:sz w:val="18"/>
                <w:lang w:val="cs-CZ"/>
              </w:rPr>
            </w:pPr>
            <w:r w:rsidRPr="003B6E11">
              <w:rPr>
                <w:noProof/>
                <w:sz w:val="18"/>
                <w:lang w:val="cs-CZ"/>
              </w:rPr>
              <w:t>do 400 včetně</w:t>
            </w:r>
          </w:p>
        </w:tc>
        <w:tc>
          <w:tcPr>
            <w:tcW w:w="3402" w:type="dxa"/>
            <w:shd w:val="clear" w:color="auto" w:fill="auto"/>
          </w:tcPr>
          <w:p w:rsidR="00E65F26" w:rsidRPr="003B6E11" w:rsidRDefault="00E65F26" w:rsidP="0097624C">
            <w:pPr>
              <w:pStyle w:val="ESch"/>
              <w:spacing w:before="60" w:after="60"/>
              <w:ind w:left="0" w:firstLine="0"/>
              <w:jc w:val="center"/>
              <w:rPr>
                <w:sz w:val="18"/>
                <w:lang w:val="cs-CZ"/>
              </w:rPr>
            </w:pPr>
            <w:r w:rsidRPr="003B6E11">
              <w:rPr>
                <w:sz w:val="18"/>
                <w:lang w:val="cs-CZ"/>
              </w:rPr>
              <w:t>45</w:t>
            </w:r>
          </w:p>
        </w:tc>
      </w:tr>
      <w:tr w:rsidR="00E65F26" w:rsidRPr="003B6E11" w:rsidTr="0097624C">
        <w:trPr>
          <w:jc w:val="center"/>
        </w:trPr>
        <w:tc>
          <w:tcPr>
            <w:tcW w:w="3402" w:type="dxa"/>
            <w:shd w:val="clear" w:color="auto" w:fill="auto"/>
          </w:tcPr>
          <w:p w:rsidR="00E65F26" w:rsidRPr="003B6E11" w:rsidRDefault="00E65F26" w:rsidP="0097624C">
            <w:pPr>
              <w:pStyle w:val="ESch"/>
              <w:spacing w:before="60" w:after="60"/>
              <w:ind w:left="0" w:firstLine="0"/>
              <w:rPr>
                <w:sz w:val="18"/>
                <w:lang w:val="cs-CZ"/>
              </w:rPr>
            </w:pPr>
            <w:r w:rsidRPr="003B6E11">
              <w:rPr>
                <w:noProof/>
                <w:sz w:val="18"/>
                <w:lang w:val="cs-CZ"/>
              </w:rPr>
              <w:t>od 400 do 650 včetně</w:t>
            </w:r>
          </w:p>
        </w:tc>
        <w:tc>
          <w:tcPr>
            <w:tcW w:w="3402" w:type="dxa"/>
            <w:shd w:val="clear" w:color="auto" w:fill="auto"/>
          </w:tcPr>
          <w:p w:rsidR="00E65F26" w:rsidRPr="003B6E11" w:rsidRDefault="00E65F26" w:rsidP="0097624C">
            <w:pPr>
              <w:pStyle w:val="ESch"/>
              <w:spacing w:before="60" w:after="60"/>
              <w:ind w:left="0" w:firstLine="0"/>
              <w:jc w:val="center"/>
              <w:rPr>
                <w:sz w:val="18"/>
                <w:lang w:val="cs-CZ"/>
              </w:rPr>
            </w:pPr>
            <w:r w:rsidRPr="003B6E11">
              <w:rPr>
                <w:sz w:val="18"/>
                <w:lang w:val="cs-CZ"/>
              </w:rPr>
              <w:t>55</w:t>
            </w:r>
          </w:p>
        </w:tc>
      </w:tr>
      <w:tr w:rsidR="00E65F26" w:rsidRPr="003B6E11" w:rsidTr="0097624C">
        <w:trPr>
          <w:jc w:val="center"/>
        </w:trPr>
        <w:tc>
          <w:tcPr>
            <w:tcW w:w="3402" w:type="dxa"/>
            <w:shd w:val="clear" w:color="auto" w:fill="auto"/>
          </w:tcPr>
          <w:p w:rsidR="00E65F26" w:rsidRPr="003B6E11" w:rsidRDefault="00E65F26" w:rsidP="0097624C">
            <w:pPr>
              <w:pStyle w:val="ESch"/>
              <w:spacing w:before="60" w:after="60"/>
              <w:ind w:left="0" w:firstLine="0"/>
              <w:rPr>
                <w:sz w:val="18"/>
                <w:lang w:val="cs-CZ"/>
              </w:rPr>
            </w:pPr>
            <w:r w:rsidRPr="003B6E11">
              <w:rPr>
                <w:noProof/>
                <w:sz w:val="18"/>
                <w:lang w:val="cs-CZ"/>
              </w:rPr>
              <w:t>od 650 do 1000 včetně</w:t>
            </w:r>
          </w:p>
        </w:tc>
        <w:tc>
          <w:tcPr>
            <w:tcW w:w="3402" w:type="dxa"/>
            <w:shd w:val="clear" w:color="auto" w:fill="auto"/>
          </w:tcPr>
          <w:p w:rsidR="00E65F26" w:rsidRPr="003B6E11" w:rsidRDefault="00E65F26" w:rsidP="0097624C">
            <w:pPr>
              <w:pStyle w:val="ESch"/>
              <w:spacing w:before="60" w:after="60"/>
              <w:ind w:left="0" w:firstLine="0"/>
              <w:jc w:val="center"/>
              <w:rPr>
                <w:sz w:val="18"/>
                <w:lang w:val="cs-CZ"/>
              </w:rPr>
            </w:pPr>
            <w:r w:rsidRPr="003B6E11">
              <w:rPr>
                <w:sz w:val="18"/>
                <w:lang w:val="cs-CZ"/>
              </w:rPr>
              <w:t>65</w:t>
            </w:r>
          </w:p>
        </w:tc>
      </w:tr>
      <w:tr w:rsidR="00E65F26" w:rsidRPr="003B6E11" w:rsidTr="0097624C">
        <w:trPr>
          <w:jc w:val="center"/>
        </w:trPr>
        <w:tc>
          <w:tcPr>
            <w:tcW w:w="3402" w:type="dxa"/>
            <w:shd w:val="clear" w:color="auto" w:fill="auto"/>
          </w:tcPr>
          <w:p w:rsidR="00E65F26" w:rsidRPr="003B6E11" w:rsidRDefault="00E65F26" w:rsidP="0097624C">
            <w:pPr>
              <w:pStyle w:val="ESch"/>
              <w:spacing w:before="60" w:after="60"/>
              <w:ind w:left="0" w:firstLine="0"/>
              <w:rPr>
                <w:sz w:val="18"/>
                <w:lang w:val="cs-CZ"/>
              </w:rPr>
            </w:pPr>
            <w:r w:rsidRPr="003B6E11">
              <w:rPr>
                <w:noProof/>
                <w:sz w:val="18"/>
                <w:lang w:val="cs-CZ"/>
              </w:rPr>
              <w:t>nad 1000</w:t>
            </w:r>
          </w:p>
        </w:tc>
        <w:tc>
          <w:tcPr>
            <w:tcW w:w="3402" w:type="dxa"/>
            <w:shd w:val="clear" w:color="auto" w:fill="auto"/>
          </w:tcPr>
          <w:p w:rsidR="00E65F26" w:rsidRPr="003B6E11" w:rsidRDefault="00E65F26" w:rsidP="0097624C">
            <w:pPr>
              <w:pStyle w:val="ESch"/>
              <w:spacing w:before="60" w:after="60"/>
              <w:ind w:left="0" w:firstLine="0"/>
              <w:jc w:val="center"/>
              <w:rPr>
                <w:sz w:val="18"/>
                <w:lang w:val="cs-CZ"/>
              </w:rPr>
            </w:pPr>
            <w:r w:rsidRPr="003B6E11">
              <w:rPr>
                <w:sz w:val="18"/>
                <w:lang w:val="cs-CZ"/>
              </w:rPr>
              <w:t>70</w:t>
            </w:r>
          </w:p>
        </w:tc>
      </w:tr>
    </w:tbl>
    <w:p w:rsidR="00E65F26" w:rsidRPr="003B6E11" w:rsidRDefault="00E65F26" w:rsidP="00E65F26">
      <w:pPr>
        <w:pStyle w:val="ESchpar"/>
        <w:rPr>
          <w:noProof/>
          <w:lang w:val="cs-CZ"/>
        </w:rPr>
      </w:pPr>
    </w:p>
    <w:p w:rsidR="00E65F26" w:rsidRPr="003B6E11" w:rsidRDefault="00E65F26" w:rsidP="00E65F26">
      <w:pPr>
        <w:pStyle w:val="ESchpar"/>
        <w:rPr>
          <w:lang w:val="cs-CZ"/>
        </w:rPr>
      </w:pPr>
      <w:r w:rsidRPr="003B6E11">
        <w:rPr>
          <w:lang w:val="cs-CZ"/>
        </w:rPr>
        <w:t xml:space="preserve">U lodí s celkovou nosností do 400 t, které se vzhledem ke své konstrukci a ke svému předpokládanému účelu používají pouze k přepravě na předem určených krátkých tratích, může subjekt pověřený prohlídkami povolit, že pro příďové kotvy jsou nutné pouze dvě třetiny celkové hmotnosti </w:t>
      </w:r>
      <m:oMath>
        <m:r>
          <w:rPr>
            <w:rFonts w:ascii="Cambria Math" w:hAnsi="Cambria Math"/>
            <w:noProof/>
            <w:lang w:val="cs-CZ"/>
          </w:rPr>
          <m:t>P</m:t>
        </m:r>
      </m:oMath>
      <w:r w:rsidRPr="003B6E11">
        <w:rPr>
          <w:lang w:val="cs-CZ"/>
        </w:rPr>
        <w:t>.</w:t>
      </w:r>
    </w:p>
    <w:p w:rsidR="00E65F26" w:rsidRPr="003B6E11" w:rsidRDefault="00E65F26" w:rsidP="00E65F26">
      <w:pPr>
        <w:pStyle w:val="ESch"/>
        <w:rPr>
          <w:noProof/>
          <w:lang w:val="cs-CZ"/>
        </w:rPr>
      </w:pPr>
    </w:p>
    <w:p w:rsidR="00E65F26" w:rsidRPr="003B6E11" w:rsidRDefault="00E65F26" w:rsidP="00E65F26">
      <w:pPr>
        <w:pStyle w:val="ESlet"/>
        <w:tabs>
          <w:tab w:val="left" w:pos="567"/>
        </w:tabs>
        <w:ind w:hanging="992"/>
        <w:rPr>
          <w:lang w:val="cs-CZ"/>
        </w:rPr>
      </w:pPr>
      <w:r w:rsidRPr="003B6E11">
        <w:rPr>
          <w:lang w:val="cs-CZ"/>
        </w:rPr>
        <w:t>2.</w:t>
      </w:r>
      <w:r w:rsidRPr="003B6E11">
        <w:rPr>
          <w:lang w:val="cs-CZ"/>
        </w:rPr>
        <w:tab/>
        <w:t>a)</w:t>
      </w:r>
      <w:r w:rsidRPr="003B6E11">
        <w:rPr>
          <w:lang w:val="cs-CZ"/>
        </w:rPr>
        <w:tab/>
        <w:t xml:space="preserve">Osobní lodě a lodě, které nejsou určeny k přepravě nákladu, s výjimkou tlačných remorkérů, musí být vybaveny příďovými kotvami, jejichž celková hmotnost </w:t>
      </w:r>
      <m:oMath>
        <m:r>
          <w:rPr>
            <w:rFonts w:ascii="Cambria Math" w:hAnsi="Cambria Math"/>
            <w:noProof/>
            <w:lang w:val="cs-CZ"/>
          </w:rPr>
          <m:t>P</m:t>
        </m:r>
      </m:oMath>
      <w:r w:rsidRPr="003B6E11">
        <w:rPr>
          <w:lang w:val="cs-CZ"/>
        </w:rPr>
        <w:t xml:space="preserve"> se vypočte pomocí vzorce:</w:t>
      </w:r>
    </w:p>
    <w:p w:rsidR="00E65F26" w:rsidRPr="003B6E11" w:rsidRDefault="00E65F26" w:rsidP="00E65F26">
      <w:pPr>
        <w:pStyle w:val="ESch"/>
        <w:rPr>
          <w:noProof/>
          <w:lang w:val="cs-CZ"/>
        </w:rPr>
      </w:pPr>
    </w:p>
    <w:p w:rsidR="000E4A73" w:rsidRPr="003B6E11" w:rsidRDefault="000E4A73" w:rsidP="000E4A73">
      <w:pPr>
        <w:pStyle w:val="ESch"/>
        <w:ind w:left="0" w:firstLine="0"/>
        <w:jc w:val="center"/>
        <w:rPr>
          <w:noProof/>
          <w:lang w:val="cs-CZ"/>
        </w:rPr>
      </w:pPr>
      <m:oMathPara>
        <m:oMath>
          <m:r>
            <w:rPr>
              <w:rFonts w:ascii="Cambria Math" w:hAnsi="Cambria Math"/>
              <w:noProof/>
              <w:lang w:val="cs-CZ"/>
            </w:rPr>
            <m:t>P=k ∙B ∙T [kg]</m:t>
          </m:r>
        </m:oMath>
      </m:oMathPara>
    </w:p>
    <w:p w:rsidR="000E4A73" w:rsidRPr="003B6E11" w:rsidRDefault="000E4A73" w:rsidP="000E4A73">
      <w:pPr>
        <w:pStyle w:val="ESch"/>
        <w:jc w:val="center"/>
        <w:rPr>
          <w:noProof/>
          <w:lang w:val="cs-CZ"/>
        </w:rPr>
      </w:pPr>
    </w:p>
    <w:p w:rsidR="00E65F26" w:rsidRPr="003B6E11" w:rsidRDefault="005C7859" w:rsidP="00E65F26">
      <w:pPr>
        <w:pStyle w:val="ESlet"/>
        <w:rPr>
          <w:rFonts w:eastAsia="Calibri"/>
          <w:lang w:val="cs-CZ"/>
        </w:rPr>
      </w:pPr>
      <w:r w:rsidRPr="003B6E11">
        <w:rPr>
          <w:lang w:val="cs-CZ"/>
        </w:rPr>
        <w:t>b)</w:t>
      </w:r>
      <w:r w:rsidRPr="003B6E11">
        <w:rPr>
          <w:lang w:val="cs-CZ"/>
        </w:rPr>
        <w:tab/>
        <w:t xml:space="preserve">Odchylně od písmene a) a s ohledem na platné předpisy plavebních orgánů pro určité oblasti plavby v členských státech musí být u osobních lodí, v jejichž případě byla celková hmotnost </w:t>
      </w:r>
      <m:oMath>
        <m:r>
          <w:rPr>
            <w:rFonts w:ascii="Cambria Math" w:hAnsi="Cambria Math"/>
            <w:lang w:val="cs-CZ"/>
          </w:rPr>
          <m:t>P</m:t>
        </m:r>
      </m:oMath>
      <w:r w:rsidRPr="003B6E11">
        <w:rPr>
          <w:lang w:val="cs-CZ"/>
        </w:rPr>
        <w:t xml:space="preserve"> jejich příďových kotev vypočtena pomocí níže uvedeného vzorce, uvedeno v bodě 52 osvědčení plavidla vnitrozemské plavby, že celková hmotnost příďových kotev splňuje požadavky stanovené v čl. 13.01 odst. 2 písm. b):</w:t>
      </w:r>
    </w:p>
    <w:p w:rsidR="003552BC" w:rsidRPr="003B6E11" w:rsidRDefault="003552BC" w:rsidP="00E65F26">
      <w:pPr>
        <w:pStyle w:val="ESlet"/>
        <w:rPr>
          <w:sz w:val="18"/>
          <w:lang w:val="cs-CZ"/>
        </w:rPr>
      </w:pPr>
    </w:p>
    <w:p w:rsidR="000E4A73" w:rsidRPr="003B6E11" w:rsidRDefault="000E4A73" w:rsidP="00497A37">
      <w:pPr>
        <w:pStyle w:val="ESch"/>
        <w:spacing w:before="60"/>
        <w:ind w:left="0" w:firstLine="0"/>
        <w:jc w:val="center"/>
        <w:rPr>
          <w:noProof/>
          <w:lang w:val="cs-CZ"/>
        </w:rPr>
      </w:pPr>
      <m:oMathPara>
        <m:oMath>
          <m:r>
            <w:rPr>
              <w:rFonts w:ascii="Cambria Math" w:hAnsi="Cambria Math"/>
              <w:noProof/>
              <w:lang w:val="cs-CZ"/>
            </w:rPr>
            <m:t xml:space="preserve">P=k ∙B ∙T+4 </m:t>
          </m:r>
          <m:sSub>
            <m:sSubPr>
              <m:ctrlPr>
                <w:rPr>
                  <w:rFonts w:ascii="Cambria Math" w:hAnsi="Cambria Math"/>
                  <w:i/>
                  <w:noProof/>
                  <w:lang w:val="cs-CZ"/>
                </w:rPr>
              </m:ctrlPr>
            </m:sSubPr>
            <m:e>
              <m:r>
                <w:rPr>
                  <w:rFonts w:ascii="Cambria Math" w:hAnsi="Cambria Math"/>
                  <w:noProof/>
                  <w:lang w:val="cs-CZ"/>
                </w:rPr>
                <m:t>A</m:t>
              </m:r>
            </m:e>
            <m:sub>
              <m:r>
                <w:rPr>
                  <w:rFonts w:ascii="Cambria Math" w:hAnsi="Cambria Math"/>
                  <w:noProof/>
                  <w:lang w:val="cs-CZ"/>
                </w:rPr>
                <m:t>f</m:t>
              </m:r>
            </m:sub>
          </m:sSub>
          <m:r>
            <w:rPr>
              <w:rFonts w:ascii="Cambria Math" w:hAnsi="Cambria Math"/>
              <w:noProof/>
              <w:lang w:val="cs-CZ"/>
            </w:rPr>
            <m:t xml:space="preserve"> [kg]</m:t>
          </m:r>
        </m:oMath>
      </m:oMathPara>
    </w:p>
    <w:p w:rsidR="000E4A73" w:rsidRPr="003B6E11" w:rsidRDefault="000E4A73" w:rsidP="00E65F26">
      <w:pPr>
        <w:pStyle w:val="ESch"/>
        <w:rPr>
          <w:lang w:val="cs-CZ"/>
        </w:rPr>
      </w:pPr>
    </w:p>
    <w:p w:rsidR="003552BC" w:rsidRPr="003B6E11" w:rsidRDefault="003552BC">
      <w:pPr>
        <w:rPr>
          <w:lang w:val="cs-CZ"/>
        </w:rPr>
      </w:pPr>
      <w:r w:rsidRPr="003B6E11">
        <w:rPr>
          <w:lang w:val="cs-CZ"/>
        </w:rPr>
        <w:br w:type="page"/>
      </w:r>
    </w:p>
    <w:p w:rsidR="003552BC" w:rsidRPr="003B6E11" w:rsidRDefault="003552BC" w:rsidP="00E65F26">
      <w:pPr>
        <w:pStyle w:val="ESch"/>
        <w:rPr>
          <w:lang w:val="cs-CZ"/>
        </w:rPr>
      </w:pPr>
    </w:p>
    <w:p w:rsidR="00E65F26" w:rsidRPr="003B6E11" w:rsidRDefault="00E65F26" w:rsidP="00E65F26">
      <w:pPr>
        <w:pStyle w:val="ESchpar"/>
        <w:rPr>
          <w:lang w:val="cs-CZ"/>
        </w:rPr>
      </w:pPr>
      <w:r w:rsidRPr="003B6E11">
        <w:rPr>
          <w:lang w:val="cs-CZ"/>
        </w:rPr>
        <w:t>kde:</w:t>
      </w:r>
    </w:p>
    <w:p w:rsidR="00E65F26" w:rsidRPr="003B6E11" w:rsidRDefault="000E4A73" w:rsidP="00E65F26">
      <w:pPr>
        <w:pStyle w:val="ESlet"/>
        <w:rPr>
          <w:rStyle w:val="FootnoteReference"/>
          <w:rFonts w:cs="Arial"/>
          <w:sz w:val="18"/>
          <w:szCs w:val="18"/>
          <w:lang w:val="cs-CZ"/>
        </w:rPr>
      </w:pPr>
      <m:oMath>
        <m:r>
          <w:rPr>
            <w:rFonts w:ascii="Cambria Math" w:hAnsi="Cambria Math"/>
            <w:lang w:val="cs-CZ"/>
          </w:rPr>
          <m:t>k</m:t>
        </m:r>
      </m:oMath>
      <w:r w:rsidRPr="003B6E11">
        <w:rPr>
          <w:lang w:val="cs-CZ"/>
        </w:rPr>
        <w:tab/>
        <w:t xml:space="preserve">je koeficient podle odstavce 1, avšak k určení hodnoty empirického koeficientu </w:t>
      </w:r>
      <m:oMath>
        <m:r>
          <w:rPr>
            <w:rFonts w:ascii="Cambria Math" w:hAnsi="Cambria Math"/>
            <w:noProof/>
            <w:lang w:val="cs-CZ"/>
          </w:rPr>
          <m:t>c</m:t>
        </m:r>
      </m:oMath>
      <w:r w:rsidRPr="003B6E11">
        <w:rPr>
          <w:lang w:val="cs-CZ"/>
        </w:rPr>
        <w:t xml:space="preserve"> se místo celkové nosnosti použije výtlak vody v m</w:t>
      </w:r>
      <w:r w:rsidRPr="003B6E11">
        <w:rPr>
          <w:noProof/>
          <w:vertAlign w:val="superscript"/>
          <w:lang w:val="cs-CZ"/>
        </w:rPr>
        <w:t>3</w:t>
      </w:r>
      <w:r w:rsidRPr="003B6E11">
        <w:rPr>
          <w:lang w:val="cs-CZ"/>
        </w:rPr>
        <w:t xml:space="preserve"> zapsaný v osvědčení plavidla vnitrozemské plavby.</w:t>
      </w:r>
    </w:p>
    <w:p w:rsidR="00E65F26" w:rsidRPr="003B6E11" w:rsidRDefault="002D015D" w:rsidP="00E65F26">
      <w:pPr>
        <w:pStyle w:val="ESlet"/>
        <w:rPr>
          <w:lang w:val="cs-CZ"/>
        </w:rPr>
      </w:pPr>
      <m:oMath>
        <m:sSub>
          <m:sSubPr>
            <m:ctrlPr>
              <w:rPr>
                <w:rFonts w:ascii="Cambria Math" w:hAnsi="Cambria Math"/>
                <w:i/>
                <w:lang w:val="cs-CZ"/>
              </w:rPr>
            </m:ctrlPr>
          </m:sSubPr>
          <m:e>
            <m:r>
              <w:rPr>
                <w:rFonts w:ascii="Cambria Math" w:hAnsi="Cambria Math"/>
                <w:lang w:val="cs-CZ"/>
              </w:rPr>
              <m:t>A</m:t>
            </m:r>
          </m:e>
          <m:sub>
            <m:r>
              <w:rPr>
                <w:rFonts w:ascii="Cambria Math" w:hAnsi="Cambria Math"/>
                <w:lang w:val="cs-CZ"/>
              </w:rPr>
              <m:t>f</m:t>
            </m:r>
          </m:sub>
        </m:sSub>
      </m:oMath>
      <w:r w:rsidR="00290EF0" w:rsidRPr="003B6E11">
        <w:rPr>
          <w:lang w:val="cs-CZ"/>
        </w:rPr>
        <w:tab/>
        <w:t xml:space="preserve">je čelní plocha průmětu vystavená větru v m </w:t>
      </w:r>
      <w:r w:rsidR="00290EF0" w:rsidRPr="003B6E11">
        <w:rPr>
          <w:position w:val="6"/>
          <w:sz w:val="12"/>
          <w:lang w:val="cs-CZ"/>
        </w:rPr>
        <w:t>2</w:t>
      </w:r>
      <w:r w:rsidR="00290EF0" w:rsidRPr="003B6E11">
        <w:rPr>
          <w:lang w:val="cs-CZ"/>
        </w:rPr>
        <w:t>.</w:t>
      </w:r>
    </w:p>
    <w:p w:rsidR="00E65F26" w:rsidRPr="003B6E11" w:rsidRDefault="00E65F26" w:rsidP="00E65F26">
      <w:pPr>
        <w:pStyle w:val="ESch"/>
        <w:rPr>
          <w:lang w:val="cs-CZ"/>
        </w:rPr>
      </w:pPr>
    </w:p>
    <w:p w:rsidR="00E65F26" w:rsidRPr="003B6E11" w:rsidRDefault="00E65F26" w:rsidP="00E65F26">
      <w:pPr>
        <w:pStyle w:val="ESch"/>
        <w:rPr>
          <w:lang w:val="cs-CZ"/>
        </w:rPr>
      </w:pPr>
      <w:r w:rsidRPr="003B6E11">
        <w:rPr>
          <w:lang w:val="cs-CZ"/>
        </w:rPr>
        <w:t>3.</w:t>
      </w:r>
      <w:r w:rsidRPr="003B6E11">
        <w:rPr>
          <w:lang w:val="cs-CZ"/>
        </w:rPr>
        <w:tab/>
        <w:t xml:space="preserve">Lodě uvedené v odstavci 1, jejichž délka </w:t>
      </w:r>
      <m:oMath>
        <m:r>
          <w:rPr>
            <w:rFonts w:ascii="Cambria Math" w:hAnsi="Cambria Math"/>
            <w:lang w:val="cs-CZ"/>
          </w:rPr>
          <m:t>L</m:t>
        </m:r>
      </m:oMath>
      <w:r w:rsidRPr="003B6E11">
        <w:rPr>
          <w:lang w:val="cs-CZ"/>
        </w:rPr>
        <w:t xml:space="preserve"> nepřekračuje 86 m, musí být vybaveny záďovými kotvami, jejichž celková hmotnost činí 25 % hmotnosti </w:t>
      </w:r>
      <m:oMath>
        <m:r>
          <w:rPr>
            <w:rFonts w:ascii="Cambria Math" w:hAnsi="Cambria Math"/>
            <w:noProof/>
            <w:lang w:val="cs-CZ"/>
          </w:rPr>
          <m:t>P</m:t>
        </m:r>
      </m:oMath>
      <w:r w:rsidRPr="003B6E11">
        <w:rPr>
          <w:lang w:val="cs-CZ"/>
        </w:rPr>
        <w:t>.</w:t>
      </w:r>
    </w:p>
    <w:p w:rsidR="00E65F26" w:rsidRPr="003B6E11" w:rsidRDefault="00E65F26" w:rsidP="00E65F26">
      <w:pPr>
        <w:pStyle w:val="ESch"/>
        <w:rPr>
          <w:noProof/>
          <w:lang w:val="cs-CZ"/>
        </w:rPr>
      </w:pPr>
    </w:p>
    <w:p w:rsidR="00E65F26" w:rsidRPr="003B6E11" w:rsidRDefault="00E65F26" w:rsidP="00E65F26">
      <w:pPr>
        <w:pStyle w:val="ESchpar"/>
        <w:rPr>
          <w:lang w:val="cs-CZ"/>
        </w:rPr>
      </w:pPr>
      <w:r w:rsidRPr="003B6E11">
        <w:rPr>
          <w:lang w:val="cs-CZ"/>
        </w:rPr>
        <w:t xml:space="preserve">Lodě, jejichž délka </w:t>
      </w:r>
      <m:oMath>
        <m:r>
          <w:rPr>
            <w:rFonts w:ascii="Cambria Math" w:hAnsi="Cambria Math"/>
            <w:lang w:val="cs-CZ"/>
          </w:rPr>
          <m:t>L</m:t>
        </m:r>
      </m:oMath>
      <w:r w:rsidRPr="003B6E11">
        <w:rPr>
          <w:lang w:val="cs-CZ"/>
        </w:rPr>
        <w:t xml:space="preserve"> překračuje 86 m, musí být vybaveny záďovými kotvami, jejichž celková hmotnost se rovná 50 % hmotnosti </w:t>
      </w:r>
      <m:oMath>
        <m:r>
          <w:rPr>
            <w:rFonts w:ascii="Cambria Math" w:hAnsi="Cambria Math"/>
            <w:noProof/>
            <w:lang w:val="cs-CZ"/>
          </w:rPr>
          <m:t>P</m:t>
        </m:r>
      </m:oMath>
      <w:r w:rsidRPr="003B6E11">
        <w:rPr>
          <w:lang w:val="cs-CZ"/>
        </w:rPr>
        <w:t xml:space="preserve"> vypočtené podle odstavce 1 nebo 2.</w:t>
      </w:r>
    </w:p>
    <w:p w:rsidR="00E65F26" w:rsidRPr="003B6E11" w:rsidRDefault="00E65F26" w:rsidP="00E65F26">
      <w:pPr>
        <w:pStyle w:val="ESchpar"/>
        <w:rPr>
          <w:noProof/>
          <w:lang w:val="cs-CZ"/>
        </w:rPr>
      </w:pPr>
    </w:p>
    <w:p w:rsidR="00E65F26" w:rsidRPr="003B6E11" w:rsidRDefault="00E65F26" w:rsidP="00E65F26">
      <w:pPr>
        <w:pStyle w:val="ESchpar"/>
        <w:rPr>
          <w:noProof/>
          <w:lang w:val="cs-CZ"/>
        </w:rPr>
      </w:pPr>
      <w:r w:rsidRPr="003B6E11">
        <w:rPr>
          <w:lang w:val="cs-CZ"/>
        </w:rPr>
        <w:t>Záďové kotvy se nevyžadují u:</w:t>
      </w:r>
    </w:p>
    <w:p w:rsidR="00E65F26" w:rsidRPr="003B6E11" w:rsidRDefault="005C7859" w:rsidP="00E65F26">
      <w:pPr>
        <w:pStyle w:val="ESlet"/>
        <w:rPr>
          <w:lang w:val="cs-CZ"/>
        </w:rPr>
      </w:pPr>
      <w:r w:rsidRPr="003B6E11">
        <w:rPr>
          <w:lang w:val="cs-CZ"/>
        </w:rPr>
        <w:t>a)</w:t>
      </w:r>
      <w:r w:rsidRPr="003B6E11">
        <w:rPr>
          <w:lang w:val="cs-CZ"/>
        </w:rPr>
        <w:tab/>
        <w:t>lodí, u nichž by hmotnost záďové kotvy byla menší než 150 kg; v případě lodí uvedených v odst. 1 posledním pododstavci se vezme v úvahu snížená hmotnost příďových kotev;</w:t>
      </w:r>
    </w:p>
    <w:p w:rsidR="00E65F26" w:rsidRPr="003B6E11" w:rsidRDefault="005C7859" w:rsidP="00E65F26">
      <w:pPr>
        <w:pStyle w:val="ESlet"/>
        <w:rPr>
          <w:lang w:val="cs-CZ"/>
        </w:rPr>
      </w:pPr>
      <w:r w:rsidRPr="003B6E11">
        <w:rPr>
          <w:lang w:val="cs-CZ"/>
        </w:rPr>
        <w:t>b)</w:t>
      </w:r>
      <w:r w:rsidRPr="003B6E11">
        <w:rPr>
          <w:lang w:val="cs-CZ"/>
        </w:rPr>
        <w:tab/>
        <w:t>tlačných člunů.</w:t>
      </w:r>
    </w:p>
    <w:p w:rsidR="00E65F26" w:rsidRPr="003B6E11" w:rsidRDefault="00E65F26" w:rsidP="00E65F26">
      <w:pPr>
        <w:pStyle w:val="ESch"/>
        <w:rPr>
          <w:noProof/>
          <w:lang w:val="cs-CZ"/>
        </w:rPr>
      </w:pPr>
    </w:p>
    <w:p w:rsidR="00E65F26" w:rsidRPr="003B6E11" w:rsidRDefault="00E65F26" w:rsidP="00E65F26">
      <w:pPr>
        <w:pStyle w:val="ESch"/>
        <w:rPr>
          <w:lang w:val="cs-CZ"/>
        </w:rPr>
      </w:pPr>
      <w:r w:rsidRPr="003B6E11">
        <w:rPr>
          <w:lang w:val="cs-CZ"/>
        </w:rPr>
        <w:t>4.</w:t>
      </w:r>
      <w:r w:rsidRPr="003B6E11">
        <w:rPr>
          <w:lang w:val="cs-CZ"/>
        </w:rPr>
        <w:tab/>
        <w:t xml:space="preserve">Lodě určené k vedení pevně svázaných sestav, jejichž délka nepřekračuje 86 m, musí být vybaveny záďovými kotvami, jejichž celková hmotnost se rovná 25 % maximální hmotnosti </w:t>
      </w:r>
      <m:oMath>
        <m:r>
          <w:rPr>
            <w:rFonts w:ascii="Cambria Math" w:hAnsi="Cambria Math"/>
            <w:noProof/>
            <w:lang w:val="cs-CZ"/>
          </w:rPr>
          <m:t>P</m:t>
        </m:r>
      </m:oMath>
      <w:r w:rsidRPr="003B6E11">
        <w:rPr>
          <w:lang w:val="cs-CZ"/>
        </w:rPr>
        <w:t xml:space="preserve"> vypočtené podle odstavce 1 pro tvary sestav (považované za lodní jednotku) povolené a zapsané v osvědčení plavidla vnitrozemské plavby.</w:t>
      </w:r>
    </w:p>
    <w:p w:rsidR="00E65F26" w:rsidRPr="003B6E11" w:rsidRDefault="00E65F26" w:rsidP="00E65F26">
      <w:pPr>
        <w:pStyle w:val="ESch"/>
        <w:rPr>
          <w:noProof/>
          <w:lang w:val="cs-CZ"/>
        </w:rPr>
      </w:pPr>
    </w:p>
    <w:p w:rsidR="00E65F26" w:rsidRPr="003B6E11" w:rsidRDefault="00E65F26" w:rsidP="00E65F26">
      <w:pPr>
        <w:pStyle w:val="ESchpar"/>
        <w:rPr>
          <w:lang w:val="cs-CZ"/>
        </w:rPr>
      </w:pPr>
      <w:r w:rsidRPr="003B6E11">
        <w:rPr>
          <w:lang w:val="cs-CZ"/>
        </w:rPr>
        <w:t xml:space="preserve">Lodě určené k vedení pevně svázaných sestav, jejichž délka překračuje 86 m, po proudu musí být vybaveny záďovými kotvami, jejichž celková hmotnost se rovná 50 % maximální hmotnosti </w:t>
      </w:r>
      <m:oMath>
        <m:r>
          <w:rPr>
            <w:rFonts w:ascii="Cambria Math" w:hAnsi="Cambria Math"/>
            <w:noProof/>
            <w:lang w:val="cs-CZ"/>
          </w:rPr>
          <m:t>P</m:t>
        </m:r>
      </m:oMath>
      <w:r w:rsidRPr="003B6E11">
        <w:rPr>
          <w:lang w:val="cs-CZ"/>
        </w:rPr>
        <w:t xml:space="preserve"> vypočtené podle odstavce 1 pro tvary sestav (považované za lodní jednotku) povolené a zapsané v osvědčení plavidla vnitrozemské plavby.</w:t>
      </w:r>
    </w:p>
    <w:p w:rsidR="00E65F26" w:rsidRPr="003B6E11" w:rsidRDefault="00E65F26" w:rsidP="00E65F26">
      <w:pPr>
        <w:pStyle w:val="ESch"/>
        <w:rPr>
          <w:noProof/>
          <w:lang w:val="cs-CZ"/>
        </w:rPr>
      </w:pPr>
    </w:p>
    <w:p w:rsidR="00E65F26" w:rsidRPr="003B6E11" w:rsidRDefault="00E65F26" w:rsidP="00E65F26">
      <w:pPr>
        <w:pStyle w:val="ESch"/>
        <w:rPr>
          <w:lang w:val="cs-CZ"/>
        </w:rPr>
      </w:pPr>
      <w:r w:rsidRPr="003B6E11">
        <w:rPr>
          <w:lang w:val="cs-CZ"/>
        </w:rPr>
        <w:t>5.</w:t>
      </w:r>
      <w:r w:rsidRPr="003B6E11">
        <w:rPr>
          <w:lang w:val="cs-CZ"/>
        </w:rPr>
        <w:tab/>
        <w:t>Hmotnosti kotev stanovené podle odstavců 1 až 4 mohou být u určitých zvláštních kotev sníženy.</w:t>
      </w:r>
    </w:p>
    <w:p w:rsidR="00E65F26" w:rsidRPr="003B6E11" w:rsidRDefault="00E65F26" w:rsidP="00E65F26">
      <w:pPr>
        <w:pStyle w:val="ESch"/>
        <w:rPr>
          <w:noProof/>
          <w:lang w:val="cs-CZ"/>
        </w:rPr>
      </w:pPr>
    </w:p>
    <w:p w:rsidR="00E65F26" w:rsidRPr="003B6E11" w:rsidRDefault="00E65F26" w:rsidP="00E65F26">
      <w:pPr>
        <w:pStyle w:val="ESch"/>
        <w:rPr>
          <w:lang w:val="cs-CZ"/>
        </w:rPr>
      </w:pPr>
      <w:r w:rsidRPr="003B6E11">
        <w:rPr>
          <w:lang w:val="cs-CZ"/>
        </w:rPr>
        <w:t>6.</w:t>
      </w:r>
      <w:r w:rsidRPr="003B6E11">
        <w:rPr>
          <w:lang w:val="cs-CZ"/>
        </w:rPr>
        <w:tab/>
        <w:t xml:space="preserve">Celková hmotnost </w:t>
      </w:r>
      <m:oMath>
        <m:r>
          <w:rPr>
            <w:rFonts w:ascii="Cambria Math" w:hAnsi="Cambria Math"/>
            <w:noProof/>
            <w:lang w:val="cs-CZ"/>
          </w:rPr>
          <m:t>P</m:t>
        </m:r>
      </m:oMath>
      <w:r w:rsidRPr="003B6E11">
        <w:rPr>
          <w:lang w:val="cs-CZ"/>
        </w:rPr>
        <w:t xml:space="preserve"> stanovená pro příďové kotvy může být rozložena na jednu nebo dvě kotvy. Lze ji snížit o 15 %, je-li loď vybavena pouze jednou příďovou kotvou a kotevní skluz se nachází uprostřed lodi.</w:t>
      </w:r>
    </w:p>
    <w:p w:rsidR="00E65F26" w:rsidRPr="003B6E11" w:rsidRDefault="00E65F26" w:rsidP="00E65F26">
      <w:pPr>
        <w:pStyle w:val="ESch"/>
        <w:rPr>
          <w:noProof/>
          <w:lang w:val="cs-CZ"/>
        </w:rPr>
      </w:pPr>
    </w:p>
    <w:p w:rsidR="00E65F26" w:rsidRPr="003B6E11" w:rsidRDefault="00E65F26" w:rsidP="00E65F26">
      <w:pPr>
        <w:pStyle w:val="ESchpar"/>
        <w:rPr>
          <w:lang w:val="cs-CZ"/>
        </w:rPr>
      </w:pPr>
      <w:r w:rsidRPr="003B6E11">
        <w:rPr>
          <w:lang w:val="cs-CZ"/>
        </w:rPr>
        <w:t>Celkovou hmotnost stanovenou pro záďové kotvy u tlačných remorkérů a lodí, jejichž maximální délka překračuje 86 m, lze rozložit na jednu nebo dvě kotvy.</w:t>
      </w:r>
    </w:p>
    <w:p w:rsidR="00E65F26" w:rsidRPr="003B6E11" w:rsidRDefault="00E65F26" w:rsidP="00E65F26">
      <w:pPr>
        <w:pStyle w:val="ESch"/>
        <w:rPr>
          <w:noProof/>
          <w:lang w:val="cs-CZ"/>
        </w:rPr>
      </w:pPr>
    </w:p>
    <w:p w:rsidR="00E65F26" w:rsidRPr="003B6E11" w:rsidRDefault="00E65F26" w:rsidP="00E65F26">
      <w:pPr>
        <w:pStyle w:val="ESchpar"/>
        <w:rPr>
          <w:lang w:val="cs-CZ"/>
        </w:rPr>
      </w:pPr>
      <w:r w:rsidRPr="003B6E11">
        <w:rPr>
          <w:lang w:val="cs-CZ"/>
        </w:rPr>
        <w:t>Hmotnost nejlehčí kotvy nesmí být menší než 45 % celkové hmotnosti.</w:t>
      </w:r>
    </w:p>
    <w:p w:rsidR="00E65F26" w:rsidRPr="003B6E11" w:rsidRDefault="00E65F26" w:rsidP="00E65F26">
      <w:pPr>
        <w:pStyle w:val="ESch"/>
        <w:rPr>
          <w:noProof/>
          <w:lang w:val="cs-CZ"/>
        </w:rPr>
      </w:pPr>
    </w:p>
    <w:p w:rsidR="00E65F26" w:rsidRPr="003B6E11" w:rsidRDefault="00E65F26" w:rsidP="00E65F26">
      <w:pPr>
        <w:pStyle w:val="ESch"/>
        <w:rPr>
          <w:lang w:val="cs-CZ"/>
        </w:rPr>
      </w:pPr>
      <w:r w:rsidRPr="003B6E11">
        <w:rPr>
          <w:lang w:val="cs-CZ"/>
        </w:rPr>
        <w:t>7.</w:t>
      </w:r>
      <w:r w:rsidRPr="003B6E11">
        <w:rPr>
          <w:lang w:val="cs-CZ"/>
        </w:rPr>
        <w:tab/>
        <w:t>Kotvy z litiny nejsou povoleny.</w:t>
      </w:r>
    </w:p>
    <w:p w:rsidR="00E65F26" w:rsidRPr="003B6E11" w:rsidRDefault="00E65F26" w:rsidP="00E65F26">
      <w:pPr>
        <w:pStyle w:val="ESch"/>
        <w:rPr>
          <w:noProof/>
          <w:lang w:val="cs-CZ"/>
        </w:rPr>
      </w:pPr>
    </w:p>
    <w:p w:rsidR="00E65F26" w:rsidRPr="003B6E11" w:rsidRDefault="00E65F26" w:rsidP="00E65F26">
      <w:pPr>
        <w:pStyle w:val="ESch"/>
        <w:rPr>
          <w:lang w:val="cs-CZ"/>
        </w:rPr>
      </w:pPr>
      <w:r w:rsidRPr="003B6E11">
        <w:rPr>
          <w:lang w:val="cs-CZ"/>
        </w:rPr>
        <w:t>8.</w:t>
      </w:r>
      <w:r w:rsidRPr="003B6E11">
        <w:rPr>
          <w:lang w:val="cs-CZ"/>
        </w:rPr>
        <w:tab/>
        <w:t>Na kotvách musí být trvanlivým způsobem vyznačena jejich hmotnost plastickým písmem.</w:t>
      </w:r>
    </w:p>
    <w:p w:rsidR="00E65F26" w:rsidRPr="003B6E11" w:rsidRDefault="00E65F26" w:rsidP="00E65F26">
      <w:pPr>
        <w:pStyle w:val="ESch"/>
        <w:rPr>
          <w:noProof/>
          <w:lang w:val="cs-CZ"/>
        </w:rPr>
      </w:pPr>
    </w:p>
    <w:p w:rsidR="00E65F26" w:rsidRPr="003B6E11" w:rsidRDefault="00E65F26" w:rsidP="00E65F26">
      <w:pPr>
        <w:pStyle w:val="ESch"/>
        <w:rPr>
          <w:lang w:val="cs-CZ"/>
        </w:rPr>
      </w:pPr>
      <w:r w:rsidRPr="003B6E11">
        <w:rPr>
          <w:lang w:val="cs-CZ"/>
        </w:rPr>
        <w:t>9.</w:t>
      </w:r>
      <w:r w:rsidRPr="003B6E11">
        <w:rPr>
          <w:lang w:val="cs-CZ"/>
        </w:rPr>
        <w:tab/>
        <w:t>Kotvy o hmotnosti větší než 50 kg musí být vybaveny navijáky.</w:t>
      </w:r>
    </w:p>
    <w:p w:rsidR="00E65F26" w:rsidRPr="003B6E11" w:rsidRDefault="00E65F26" w:rsidP="00E65F26">
      <w:pPr>
        <w:pStyle w:val="ESch"/>
        <w:rPr>
          <w:noProof/>
          <w:lang w:val="cs-CZ"/>
        </w:rPr>
      </w:pPr>
    </w:p>
    <w:p w:rsidR="00E65F26" w:rsidRPr="003B6E11" w:rsidRDefault="00E65F26" w:rsidP="00E65F26">
      <w:pPr>
        <w:pStyle w:val="ESch"/>
        <w:rPr>
          <w:lang w:val="cs-CZ"/>
        </w:rPr>
      </w:pPr>
      <w:r w:rsidRPr="003B6E11">
        <w:rPr>
          <w:lang w:val="cs-CZ"/>
        </w:rPr>
        <w:t>10.</w:t>
      </w:r>
      <w:r w:rsidRPr="003B6E11">
        <w:rPr>
          <w:lang w:val="cs-CZ"/>
        </w:rPr>
        <w:tab/>
        <w:t>Délka řetězu příďové kotvy musí být:</w:t>
      </w:r>
    </w:p>
    <w:p w:rsidR="00E65F26" w:rsidRPr="003B6E11" w:rsidRDefault="005C7859" w:rsidP="00E65F26">
      <w:pPr>
        <w:pStyle w:val="ESlet"/>
        <w:rPr>
          <w:lang w:val="cs-CZ"/>
        </w:rPr>
      </w:pPr>
      <w:r w:rsidRPr="003B6E11">
        <w:rPr>
          <w:lang w:val="cs-CZ"/>
        </w:rPr>
        <w:t>a)</w:t>
      </w:r>
      <w:r w:rsidRPr="003B6E11">
        <w:rPr>
          <w:lang w:val="cs-CZ"/>
        </w:rPr>
        <w:tab/>
        <w:t xml:space="preserve">nejméně 40 m v případě lodí, jejichž délka </w:t>
      </w:r>
      <m:oMath>
        <m:r>
          <w:rPr>
            <w:rFonts w:ascii="Cambria Math" w:hAnsi="Cambria Math"/>
            <w:lang w:val="cs-CZ"/>
          </w:rPr>
          <m:t>L</m:t>
        </m:r>
      </m:oMath>
      <w:r w:rsidRPr="003B6E11">
        <w:rPr>
          <w:lang w:val="cs-CZ"/>
        </w:rPr>
        <w:t xml:space="preserve"> nepřesahuje 40 m;</w:t>
      </w:r>
    </w:p>
    <w:p w:rsidR="00E65F26" w:rsidRPr="003B6E11" w:rsidRDefault="005C7859" w:rsidP="00E65F26">
      <w:pPr>
        <w:pStyle w:val="ESlet"/>
        <w:rPr>
          <w:lang w:val="cs-CZ"/>
        </w:rPr>
      </w:pPr>
      <w:r w:rsidRPr="003B6E11">
        <w:rPr>
          <w:lang w:val="cs-CZ"/>
        </w:rPr>
        <w:t>b)</w:t>
      </w:r>
      <w:r w:rsidRPr="003B6E11">
        <w:rPr>
          <w:lang w:val="cs-CZ"/>
        </w:rPr>
        <w:tab/>
        <w:t xml:space="preserve">nejméně o 10 m větší než délka </w:t>
      </w:r>
      <m:oMath>
        <m:r>
          <w:rPr>
            <w:rFonts w:ascii="Cambria Math" w:hAnsi="Cambria Math"/>
            <w:lang w:val="cs-CZ"/>
          </w:rPr>
          <m:t>L</m:t>
        </m:r>
      </m:oMath>
      <w:r w:rsidRPr="003B6E11">
        <w:rPr>
          <w:lang w:val="cs-CZ"/>
        </w:rPr>
        <w:t xml:space="preserve"> lodi, pokud je tato délka v rozmezí od 30 m do 50 m;</w:t>
      </w:r>
    </w:p>
    <w:p w:rsidR="00E65F26" w:rsidRPr="003B6E11" w:rsidRDefault="005C7859" w:rsidP="00E65F26">
      <w:pPr>
        <w:pStyle w:val="ESlet"/>
        <w:rPr>
          <w:noProof/>
          <w:lang w:val="cs-CZ"/>
        </w:rPr>
      </w:pPr>
      <w:r w:rsidRPr="003B6E11">
        <w:rPr>
          <w:lang w:val="cs-CZ"/>
        </w:rPr>
        <w:t>c)</w:t>
      </w:r>
      <w:r w:rsidRPr="003B6E11">
        <w:rPr>
          <w:lang w:val="cs-CZ"/>
        </w:rPr>
        <w:tab/>
        <w:t xml:space="preserve">60 m v případě lodí, jejichž délka </w:t>
      </w:r>
      <m:oMath>
        <m:r>
          <w:rPr>
            <w:rFonts w:ascii="Cambria Math" w:hAnsi="Cambria Math"/>
            <w:lang w:val="cs-CZ"/>
          </w:rPr>
          <m:t>L</m:t>
        </m:r>
      </m:oMath>
      <w:r w:rsidRPr="003B6E11">
        <w:rPr>
          <w:lang w:val="cs-CZ"/>
        </w:rPr>
        <w:t xml:space="preserve"> přesahuje 50 m.</w:t>
      </w:r>
    </w:p>
    <w:p w:rsidR="00E65F26" w:rsidRPr="003B6E11" w:rsidRDefault="00E65F26" w:rsidP="00E65F26">
      <w:pPr>
        <w:pStyle w:val="ESch"/>
        <w:rPr>
          <w:noProof/>
          <w:lang w:val="cs-CZ"/>
        </w:rPr>
      </w:pPr>
    </w:p>
    <w:p w:rsidR="003552BC" w:rsidRPr="003B6E11" w:rsidRDefault="003552BC">
      <w:pPr>
        <w:rPr>
          <w:noProof/>
          <w:lang w:val="cs-CZ"/>
        </w:rPr>
      </w:pPr>
      <w:r w:rsidRPr="003B6E11">
        <w:rPr>
          <w:lang w:val="cs-CZ"/>
        </w:rPr>
        <w:br w:type="page"/>
      </w:r>
    </w:p>
    <w:p w:rsidR="00E65F26" w:rsidRPr="003B6E11" w:rsidRDefault="00E65F26" w:rsidP="00E65F26">
      <w:pPr>
        <w:pStyle w:val="ESchpar"/>
        <w:rPr>
          <w:lang w:val="cs-CZ"/>
        </w:rPr>
      </w:pPr>
      <w:r w:rsidRPr="003B6E11">
        <w:rPr>
          <w:lang w:val="cs-CZ"/>
        </w:rPr>
        <w:t>Délka každého řetězu záďové kotvy musí být nejméně 40 m. Pokud však lodě musí zastavovat směrem po proudu, musí být délka každého řetězu záďové kotvy nejméně 60 m.</w:t>
      </w:r>
    </w:p>
    <w:p w:rsidR="00E65F26" w:rsidRPr="003B6E11" w:rsidRDefault="00E65F26" w:rsidP="00E65F26">
      <w:pPr>
        <w:pStyle w:val="ESch"/>
        <w:rPr>
          <w:noProof/>
          <w:lang w:val="cs-CZ"/>
        </w:rPr>
      </w:pPr>
    </w:p>
    <w:p w:rsidR="00E65F26" w:rsidRPr="003B6E11" w:rsidRDefault="00E65F26" w:rsidP="00E65F26">
      <w:pPr>
        <w:pStyle w:val="ESch"/>
        <w:rPr>
          <w:lang w:val="cs-CZ"/>
        </w:rPr>
      </w:pPr>
      <w:r w:rsidRPr="003B6E11">
        <w:rPr>
          <w:lang w:val="cs-CZ"/>
        </w:rPr>
        <w:t>11.</w:t>
      </w:r>
      <w:r w:rsidRPr="003B6E11">
        <w:rPr>
          <w:lang w:val="cs-CZ"/>
        </w:rPr>
        <w:tab/>
        <w:t xml:space="preserve">Minimální mezní zatížení </w:t>
      </w:r>
      <m:oMath>
        <m:r>
          <w:rPr>
            <w:rFonts w:ascii="Cambria Math" w:hAnsi="Cambria Math"/>
            <w:noProof/>
            <w:lang w:val="cs-CZ"/>
          </w:rPr>
          <m:t>R</m:t>
        </m:r>
      </m:oMath>
      <w:r w:rsidRPr="003B6E11">
        <w:rPr>
          <w:lang w:val="cs-CZ"/>
        </w:rPr>
        <w:t xml:space="preserve"> kotevních řetězů se vypočte podle vzorce:</w:t>
      </w:r>
    </w:p>
    <w:p w:rsidR="00E65F26" w:rsidRPr="003B6E11" w:rsidRDefault="005C7859" w:rsidP="00E65F26">
      <w:pPr>
        <w:pStyle w:val="ESlet"/>
        <w:rPr>
          <w:noProof/>
          <w:lang w:val="cs-CZ"/>
        </w:rPr>
      </w:pPr>
      <w:r w:rsidRPr="003B6E11">
        <w:rPr>
          <w:lang w:val="cs-CZ"/>
        </w:rPr>
        <w:t>a)</w:t>
      </w:r>
      <w:r w:rsidRPr="003B6E11">
        <w:rPr>
          <w:lang w:val="cs-CZ"/>
        </w:rPr>
        <w:tab/>
        <w:t>kotvy s hmotností do 500 kg:</w:t>
      </w:r>
    </w:p>
    <w:p w:rsidR="000E4A73" w:rsidRPr="003B6E11" w:rsidRDefault="000E4A73" w:rsidP="00E65F26">
      <w:pPr>
        <w:pStyle w:val="ESlet"/>
        <w:rPr>
          <w:noProof/>
          <w:lang w:val="cs-CZ"/>
        </w:rPr>
      </w:pPr>
    </w:p>
    <w:p w:rsidR="000E4A73" w:rsidRPr="003B6E11" w:rsidRDefault="000E4A73" w:rsidP="000E4A73">
      <w:pPr>
        <w:pStyle w:val="ESlet"/>
        <w:ind w:left="0"/>
        <w:jc w:val="center"/>
        <w:rPr>
          <w:noProof/>
          <w:lang w:val="cs-CZ"/>
        </w:rPr>
      </w:pPr>
      <m:oMathPara>
        <m:oMath>
          <m:r>
            <w:rPr>
              <w:rFonts w:ascii="Cambria Math" w:hAnsi="Cambria Math"/>
              <w:noProof/>
              <w:lang w:val="cs-CZ"/>
            </w:rPr>
            <m:t>R=0,35 ∙</m:t>
          </m:r>
          <m:sSup>
            <m:sSupPr>
              <m:ctrlPr>
                <w:rPr>
                  <w:rFonts w:ascii="Cambria Math" w:hAnsi="Cambria Math"/>
                  <w:i/>
                  <w:noProof/>
                  <w:lang w:val="cs-CZ"/>
                </w:rPr>
              </m:ctrlPr>
            </m:sSupPr>
            <m:e>
              <m:r>
                <w:rPr>
                  <w:rFonts w:ascii="Cambria Math" w:hAnsi="Cambria Math"/>
                  <w:noProof/>
                  <w:lang w:val="cs-CZ"/>
                </w:rPr>
                <m:t>P</m:t>
              </m:r>
            </m:e>
            <m:sup>
              <m:r>
                <w:rPr>
                  <w:rFonts w:ascii="Cambria Math" w:hAnsi="Cambria Math"/>
                  <w:noProof/>
                  <w:lang w:val="cs-CZ"/>
                </w:rPr>
                <m:t>'</m:t>
              </m:r>
            </m:sup>
          </m:sSup>
          <m:r>
            <w:rPr>
              <w:rFonts w:ascii="Cambria Math" w:hAnsi="Cambria Math"/>
              <w:noProof/>
              <w:lang w:val="cs-CZ"/>
            </w:rPr>
            <m:t>[kN]</m:t>
          </m:r>
        </m:oMath>
      </m:oMathPara>
    </w:p>
    <w:p w:rsidR="000E4A73" w:rsidRPr="003B6E11" w:rsidRDefault="000E4A73" w:rsidP="00E65F26">
      <w:pPr>
        <w:pStyle w:val="ESlet"/>
        <w:rPr>
          <w:lang w:val="cs-CZ"/>
        </w:rPr>
      </w:pPr>
    </w:p>
    <w:p w:rsidR="00E65F26" w:rsidRPr="003B6E11" w:rsidRDefault="005C7859" w:rsidP="00E65F26">
      <w:pPr>
        <w:pStyle w:val="ESlet"/>
        <w:rPr>
          <w:lang w:val="cs-CZ"/>
        </w:rPr>
      </w:pPr>
      <w:r w:rsidRPr="003B6E11">
        <w:rPr>
          <w:lang w:val="cs-CZ"/>
        </w:rPr>
        <w:t>b)</w:t>
      </w:r>
      <w:r w:rsidRPr="003B6E11">
        <w:rPr>
          <w:lang w:val="cs-CZ"/>
        </w:rPr>
        <w:tab/>
        <w:t>kotvy s hmotností větší než 500 kg a nepřesahující 2 000 kg:</w:t>
      </w:r>
    </w:p>
    <w:p w:rsidR="003D2E2F" w:rsidRPr="003B6E11" w:rsidRDefault="003D2E2F" w:rsidP="003D2E2F">
      <w:pPr>
        <w:pStyle w:val="ESgauche"/>
        <w:jc w:val="center"/>
        <w:rPr>
          <w:lang w:val="cs-CZ"/>
        </w:rPr>
      </w:pPr>
    </w:p>
    <w:p w:rsidR="007F43E9" w:rsidRPr="003B6E11" w:rsidRDefault="007F43E9" w:rsidP="007F43E9">
      <w:pPr>
        <w:pStyle w:val="ESlet"/>
        <w:ind w:left="0"/>
        <w:jc w:val="center"/>
        <w:rPr>
          <w:noProof/>
          <w:lang w:val="cs-CZ"/>
        </w:rPr>
      </w:pPr>
      <m:oMathPara>
        <m:oMath>
          <m:r>
            <w:rPr>
              <w:rFonts w:ascii="Cambria Math" w:hAnsi="Cambria Math"/>
              <w:noProof/>
              <w:lang w:val="cs-CZ"/>
            </w:rPr>
            <m:t>R=</m:t>
          </m:r>
          <m:d>
            <m:dPr>
              <m:ctrlPr>
                <w:rPr>
                  <w:rFonts w:ascii="Cambria Math" w:hAnsi="Cambria Math"/>
                  <w:i/>
                  <w:noProof/>
                  <w:lang w:val="cs-CZ"/>
                </w:rPr>
              </m:ctrlPr>
            </m:dPr>
            <m:e>
              <m:r>
                <w:rPr>
                  <w:rFonts w:ascii="Cambria Math" w:hAnsi="Cambria Math"/>
                  <w:noProof/>
                  <w:lang w:val="cs-CZ"/>
                </w:rPr>
                <m:t xml:space="preserve">0,35- </m:t>
              </m:r>
              <m:f>
                <m:fPr>
                  <m:ctrlPr>
                    <w:rPr>
                      <w:rFonts w:ascii="Cambria Math" w:hAnsi="Cambria Math"/>
                      <w:i/>
                      <w:noProof/>
                      <w:lang w:val="cs-CZ"/>
                    </w:rPr>
                  </m:ctrlPr>
                </m:fPr>
                <m:num>
                  <m:sSup>
                    <m:sSupPr>
                      <m:ctrlPr>
                        <w:rPr>
                          <w:rFonts w:ascii="Cambria Math" w:hAnsi="Cambria Math"/>
                          <w:i/>
                          <w:noProof/>
                          <w:lang w:val="cs-CZ"/>
                        </w:rPr>
                      </m:ctrlPr>
                    </m:sSupPr>
                    <m:e>
                      <m:r>
                        <w:rPr>
                          <w:rFonts w:ascii="Cambria Math" w:hAnsi="Cambria Math"/>
                          <w:noProof/>
                          <w:lang w:val="cs-CZ"/>
                        </w:rPr>
                        <m:t>P</m:t>
                      </m:r>
                    </m:e>
                    <m:sup>
                      <m:r>
                        <w:rPr>
                          <w:rFonts w:ascii="Cambria Math" w:hAnsi="Cambria Math"/>
                          <w:noProof/>
                          <w:lang w:val="cs-CZ"/>
                        </w:rPr>
                        <m:t>'</m:t>
                      </m:r>
                    </m:sup>
                  </m:sSup>
                  <m:r>
                    <w:rPr>
                      <w:rFonts w:ascii="Cambria Math" w:hAnsi="Cambria Math"/>
                      <w:noProof/>
                      <w:lang w:val="cs-CZ"/>
                    </w:rPr>
                    <m:t>-500</m:t>
                  </m:r>
                </m:num>
                <m:den>
                  <m:r>
                    <w:rPr>
                      <w:rFonts w:ascii="Cambria Math" w:hAnsi="Cambria Math"/>
                      <w:noProof/>
                      <w:lang w:val="cs-CZ"/>
                    </w:rPr>
                    <m:t>15000</m:t>
                  </m:r>
                </m:den>
              </m:f>
            </m:e>
          </m:d>
          <m:sSup>
            <m:sSupPr>
              <m:ctrlPr>
                <w:rPr>
                  <w:rFonts w:ascii="Cambria Math" w:hAnsi="Cambria Math"/>
                  <w:i/>
                  <w:noProof/>
                  <w:lang w:val="cs-CZ"/>
                </w:rPr>
              </m:ctrlPr>
            </m:sSupPr>
            <m:e>
              <m:r>
                <w:rPr>
                  <w:rFonts w:ascii="Cambria Math" w:hAnsi="Cambria Math"/>
                  <w:noProof/>
                  <w:lang w:val="cs-CZ"/>
                </w:rPr>
                <m:t>P</m:t>
              </m:r>
            </m:e>
            <m:sup>
              <m:r>
                <w:rPr>
                  <w:rFonts w:ascii="Cambria Math" w:hAnsi="Cambria Math"/>
                  <w:noProof/>
                  <w:lang w:val="cs-CZ"/>
                </w:rPr>
                <m:t>'</m:t>
              </m:r>
            </m:sup>
          </m:sSup>
          <m:r>
            <w:rPr>
              <w:rFonts w:ascii="Cambria Math" w:hAnsi="Cambria Math"/>
              <w:noProof/>
              <w:lang w:val="cs-CZ"/>
            </w:rPr>
            <m:t xml:space="preserve"> [kN]</m:t>
          </m:r>
        </m:oMath>
      </m:oMathPara>
    </w:p>
    <w:p w:rsidR="007F43E9" w:rsidRPr="003B6E11" w:rsidRDefault="007F43E9" w:rsidP="003D2E2F">
      <w:pPr>
        <w:pStyle w:val="ESgauche"/>
        <w:jc w:val="center"/>
        <w:rPr>
          <w:lang w:val="cs-CZ"/>
        </w:rPr>
      </w:pPr>
    </w:p>
    <w:p w:rsidR="00E65F26" w:rsidRPr="003B6E11" w:rsidRDefault="005C7859" w:rsidP="00E65F26">
      <w:pPr>
        <w:pStyle w:val="ESlet"/>
        <w:rPr>
          <w:noProof/>
          <w:lang w:val="cs-CZ"/>
        </w:rPr>
      </w:pPr>
      <w:r w:rsidRPr="003B6E11">
        <w:rPr>
          <w:lang w:val="cs-CZ"/>
        </w:rPr>
        <w:t>c)</w:t>
      </w:r>
      <w:r w:rsidRPr="003B6E11">
        <w:rPr>
          <w:lang w:val="cs-CZ"/>
        </w:rPr>
        <w:tab/>
        <w:t>kotvy s hmotností větší než 2 000 kg:</w:t>
      </w:r>
    </w:p>
    <w:p w:rsidR="003D2E2F" w:rsidRPr="003B6E11" w:rsidRDefault="003D2E2F" w:rsidP="003D2E2F">
      <w:pPr>
        <w:pStyle w:val="ESgauche"/>
        <w:jc w:val="center"/>
        <w:rPr>
          <w:lang w:val="cs-CZ"/>
        </w:rPr>
      </w:pPr>
    </w:p>
    <w:p w:rsidR="007F43E9" w:rsidRPr="003B6E11" w:rsidRDefault="007F43E9" w:rsidP="007F43E9">
      <w:pPr>
        <w:pStyle w:val="ESlet"/>
        <w:ind w:left="0"/>
        <w:jc w:val="center"/>
        <w:rPr>
          <w:noProof/>
          <w:lang w:val="cs-CZ"/>
        </w:rPr>
      </w:pPr>
      <m:oMathPara>
        <m:oMath>
          <m:r>
            <w:rPr>
              <w:rFonts w:ascii="Cambria Math" w:hAnsi="Cambria Math"/>
              <w:noProof/>
              <w:lang w:val="cs-CZ"/>
            </w:rPr>
            <m:t>R=0,25 ∙</m:t>
          </m:r>
          <m:sSup>
            <m:sSupPr>
              <m:ctrlPr>
                <w:rPr>
                  <w:rFonts w:ascii="Cambria Math" w:hAnsi="Cambria Math"/>
                  <w:i/>
                  <w:noProof/>
                  <w:lang w:val="cs-CZ"/>
                </w:rPr>
              </m:ctrlPr>
            </m:sSupPr>
            <m:e>
              <m:r>
                <w:rPr>
                  <w:rFonts w:ascii="Cambria Math" w:hAnsi="Cambria Math"/>
                  <w:noProof/>
                  <w:lang w:val="cs-CZ"/>
                </w:rPr>
                <m:t>P</m:t>
              </m:r>
            </m:e>
            <m:sup>
              <m:r>
                <w:rPr>
                  <w:rFonts w:ascii="Cambria Math" w:hAnsi="Cambria Math"/>
                  <w:noProof/>
                  <w:lang w:val="cs-CZ"/>
                </w:rPr>
                <m:t>'</m:t>
              </m:r>
            </m:sup>
          </m:sSup>
          <m:r>
            <w:rPr>
              <w:rFonts w:ascii="Cambria Math" w:hAnsi="Cambria Math"/>
              <w:noProof/>
              <w:lang w:val="cs-CZ"/>
            </w:rPr>
            <m:t>[kN]</m:t>
          </m:r>
        </m:oMath>
      </m:oMathPara>
    </w:p>
    <w:p w:rsidR="007F43E9" w:rsidRPr="003B6E11" w:rsidRDefault="007F43E9" w:rsidP="007F43E9">
      <w:pPr>
        <w:pStyle w:val="ESlet"/>
        <w:rPr>
          <w:lang w:val="cs-CZ"/>
        </w:rPr>
      </w:pPr>
    </w:p>
    <w:p w:rsidR="00E65F26" w:rsidRPr="003B6E11" w:rsidRDefault="00E65F26" w:rsidP="00E65F26">
      <w:pPr>
        <w:pStyle w:val="ESchpar"/>
        <w:rPr>
          <w:lang w:val="cs-CZ"/>
        </w:rPr>
      </w:pPr>
      <w:r w:rsidRPr="003B6E11">
        <w:rPr>
          <w:lang w:val="cs-CZ"/>
        </w:rPr>
        <w:t>kde:</w:t>
      </w:r>
    </w:p>
    <w:p w:rsidR="00E65F26" w:rsidRPr="003B6E11" w:rsidRDefault="000E4A73" w:rsidP="00C973E6">
      <w:pPr>
        <w:pStyle w:val="ESlet"/>
        <w:rPr>
          <w:rStyle w:val="FootnoteReference"/>
          <w:rFonts w:cs="Arial"/>
          <w:sz w:val="18"/>
          <w:szCs w:val="18"/>
          <w:lang w:val="cs-CZ"/>
        </w:rPr>
      </w:pPr>
      <m:oMath>
        <m:r>
          <w:rPr>
            <w:rFonts w:ascii="Cambria Math" w:hAnsi="Cambria Math"/>
            <w:noProof/>
            <w:lang w:val="cs-CZ"/>
          </w:rPr>
          <m:t>P'</m:t>
        </m:r>
      </m:oMath>
      <w:r w:rsidRPr="003B6E11">
        <w:rPr>
          <w:lang w:val="cs-CZ"/>
        </w:rPr>
        <w:t xml:space="preserve"> je teoretická hmotnost každé kotvy vypočtená podle odstavců 1 až 4 a 6.</w:t>
      </w:r>
    </w:p>
    <w:p w:rsidR="00E65F26" w:rsidRPr="003B6E11" w:rsidRDefault="00E65F26" w:rsidP="009A25DA">
      <w:pPr>
        <w:pStyle w:val="ESchpar"/>
        <w:rPr>
          <w:noProof/>
          <w:lang w:val="cs-CZ"/>
        </w:rPr>
      </w:pPr>
    </w:p>
    <w:p w:rsidR="00E65F26" w:rsidRPr="003B6E11" w:rsidRDefault="00E65F26" w:rsidP="009A25DA">
      <w:pPr>
        <w:pStyle w:val="ESchpar"/>
        <w:rPr>
          <w:lang w:val="cs-CZ"/>
        </w:rPr>
      </w:pPr>
      <w:r w:rsidRPr="003B6E11">
        <w:rPr>
          <w:lang w:val="cs-CZ"/>
        </w:rPr>
        <w:t>Mezní zatížení kotevních řetězů se stanoví podle normy platné v jednom z členských států.</w:t>
      </w:r>
    </w:p>
    <w:p w:rsidR="00E65F26" w:rsidRPr="003B6E11" w:rsidRDefault="00E65F26" w:rsidP="00E65F26">
      <w:pPr>
        <w:pStyle w:val="ESch"/>
        <w:rPr>
          <w:noProof/>
          <w:lang w:val="cs-CZ"/>
        </w:rPr>
      </w:pPr>
    </w:p>
    <w:p w:rsidR="00E65F26" w:rsidRPr="003B6E11" w:rsidRDefault="00E65F26" w:rsidP="00E65F26">
      <w:pPr>
        <w:pStyle w:val="ESch"/>
        <w:rPr>
          <w:lang w:val="cs-CZ"/>
        </w:rPr>
      </w:pPr>
      <w:r w:rsidRPr="003B6E11">
        <w:rPr>
          <w:lang w:val="cs-CZ"/>
        </w:rPr>
        <w:t>12.</w:t>
      </w:r>
      <w:r w:rsidRPr="003B6E11">
        <w:rPr>
          <w:lang w:val="cs-CZ"/>
        </w:rPr>
        <w:tab/>
        <w:t>Mají-li kotvy hmotnost větší, než je stanoveno odstavcích 1 až 6, stanoví se mezní zatížení kotevního řetězu v závislosti na skutečné hmotnosti kotvy.</w:t>
      </w:r>
    </w:p>
    <w:p w:rsidR="00E65F26" w:rsidRPr="003B6E11" w:rsidRDefault="00E65F26" w:rsidP="00E65F26">
      <w:pPr>
        <w:pStyle w:val="ESch"/>
        <w:rPr>
          <w:noProof/>
          <w:lang w:val="cs-CZ"/>
        </w:rPr>
      </w:pPr>
    </w:p>
    <w:p w:rsidR="00E65F26" w:rsidRPr="003B6E11" w:rsidRDefault="00E65F26" w:rsidP="009A25DA">
      <w:pPr>
        <w:pStyle w:val="ESchpar"/>
        <w:rPr>
          <w:lang w:val="cs-CZ"/>
        </w:rPr>
      </w:pPr>
      <w:r w:rsidRPr="003B6E11">
        <w:rPr>
          <w:lang w:val="cs-CZ"/>
        </w:rPr>
        <w:t>Pokud jsou na palubě těžší kotvy s příslušnými silnějšími kotevními řetězy, zapíší se do osvědčení plavidla vnitrozemské plavby pouze minimální hmotnosti a minimální mezní zatížení požadované podle odstavců 1 až 6 a 11.</w:t>
      </w:r>
    </w:p>
    <w:p w:rsidR="00E65F26" w:rsidRPr="003B6E11" w:rsidRDefault="00E65F26" w:rsidP="00E65F26">
      <w:pPr>
        <w:pStyle w:val="ESch"/>
        <w:rPr>
          <w:noProof/>
          <w:lang w:val="cs-CZ"/>
        </w:rPr>
      </w:pPr>
    </w:p>
    <w:p w:rsidR="00E65F26" w:rsidRPr="003B6E11" w:rsidRDefault="00E65F26" w:rsidP="00E65F26">
      <w:pPr>
        <w:pStyle w:val="ESch"/>
        <w:rPr>
          <w:lang w:val="cs-CZ"/>
        </w:rPr>
      </w:pPr>
      <w:r w:rsidRPr="003B6E11">
        <w:rPr>
          <w:lang w:val="cs-CZ"/>
        </w:rPr>
        <w:t>13.</w:t>
      </w:r>
      <w:r w:rsidRPr="003B6E11">
        <w:rPr>
          <w:lang w:val="cs-CZ"/>
        </w:rPr>
        <w:tab/>
        <w:t>Spojovací součásti (obrtlíky) mezi kotvou a řetězem musí odolat zatížení v tahu o 20 % vyššímu, než je mezní zatížení příslušného řetězu.</w:t>
      </w:r>
    </w:p>
    <w:p w:rsidR="00E65F26" w:rsidRPr="003B6E11" w:rsidRDefault="00E65F26" w:rsidP="00E65F26">
      <w:pPr>
        <w:pStyle w:val="ESch"/>
        <w:rPr>
          <w:noProof/>
          <w:lang w:val="cs-CZ"/>
        </w:rPr>
      </w:pPr>
    </w:p>
    <w:p w:rsidR="00E65F26" w:rsidRPr="003B6E11" w:rsidRDefault="00E65F26" w:rsidP="00E65F26">
      <w:pPr>
        <w:pStyle w:val="ESch"/>
        <w:rPr>
          <w:lang w:val="cs-CZ"/>
        </w:rPr>
      </w:pPr>
      <w:r w:rsidRPr="003B6E11">
        <w:rPr>
          <w:lang w:val="cs-CZ"/>
        </w:rPr>
        <w:t>14.</w:t>
      </w:r>
      <w:r w:rsidRPr="003B6E11">
        <w:rPr>
          <w:lang w:val="cs-CZ"/>
        </w:rPr>
        <w:tab/>
        <w:t>Místo kotevních řetězů lze použít ocelová lana. Ocelová lana musí mít stejné mezní zatížení jako řetězy, avšak musí být o 20 % delší.</w:t>
      </w:r>
    </w:p>
    <w:p w:rsidR="00E65F26" w:rsidRPr="003B6E11" w:rsidRDefault="00E65F26" w:rsidP="00E65F26">
      <w:pPr>
        <w:pStyle w:val="ESch"/>
        <w:rPr>
          <w:lang w:val="cs-CZ"/>
        </w:rPr>
      </w:pPr>
    </w:p>
    <w:p w:rsidR="009A25DA" w:rsidRPr="003B6E11" w:rsidRDefault="009A25DA" w:rsidP="00E65F26">
      <w:pPr>
        <w:pStyle w:val="ESch"/>
        <w:rPr>
          <w:lang w:val="cs-CZ"/>
        </w:rPr>
      </w:pPr>
    </w:p>
    <w:p w:rsidR="00E65F26" w:rsidRPr="003B6E11" w:rsidRDefault="00E65F26" w:rsidP="00E65F26">
      <w:pPr>
        <w:pStyle w:val="ES-Titre3"/>
        <w:rPr>
          <w:i/>
          <w:noProof/>
          <w:lang w:val="cs-CZ"/>
        </w:rPr>
      </w:pPr>
      <w:bookmarkStart w:id="212" w:name="_Toc491854103"/>
      <w:bookmarkStart w:id="213" w:name="_Toc535417009"/>
      <w:r w:rsidRPr="003B6E11">
        <w:rPr>
          <w:lang w:val="cs-CZ"/>
        </w:rPr>
        <w:t>Článek 13.02</w:t>
      </w:r>
      <w:r w:rsidRPr="003B6E11">
        <w:rPr>
          <w:lang w:val="cs-CZ"/>
        </w:rPr>
        <w:br/>
      </w:r>
      <w:r w:rsidRPr="003B6E11">
        <w:rPr>
          <w:i/>
          <w:noProof/>
          <w:lang w:val="cs-CZ"/>
        </w:rPr>
        <w:t>Jiné vybavení</w:t>
      </w:r>
      <w:bookmarkEnd w:id="212"/>
      <w:bookmarkEnd w:id="213"/>
    </w:p>
    <w:p w:rsidR="00E65F26" w:rsidRPr="003B6E11" w:rsidRDefault="00E65F26" w:rsidP="00E65F26">
      <w:pPr>
        <w:pStyle w:val="ESch"/>
        <w:rPr>
          <w:noProof/>
          <w:lang w:val="cs-CZ"/>
        </w:rPr>
      </w:pPr>
    </w:p>
    <w:p w:rsidR="00E65F26" w:rsidRPr="003B6E11" w:rsidRDefault="00E65F26" w:rsidP="00E65F26">
      <w:pPr>
        <w:pStyle w:val="ESch"/>
        <w:rPr>
          <w:lang w:val="cs-CZ"/>
        </w:rPr>
      </w:pPr>
      <w:r w:rsidRPr="003B6E11">
        <w:rPr>
          <w:lang w:val="cs-CZ"/>
        </w:rPr>
        <w:t>1.</w:t>
      </w:r>
      <w:r w:rsidRPr="003B6E11">
        <w:rPr>
          <w:lang w:val="cs-CZ"/>
        </w:rPr>
        <w:tab/>
        <w:t>V souladu s příslušnými předpisy plavebních orgánů platnými v jednom z členských států musí být na palubě přinejmenším toto vybavení:</w:t>
      </w:r>
    </w:p>
    <w:p w:rsidR="00E65F26" w:rsidRPr="003B6E11" w:rsidRDefault="005C7859" w:rsidP="00E65F26">
      <w:pPr>
        <w:pStyle w:val="ESlet"/>
        <w:rPr>
          <w:lang w:val="cs-CZ"/>
        </w:rPr>
      </w:pPr>
      <w:r w:rsidRPr="003B6E11">
        <w:rPr>
          <w:lang w:val="cs-CZ"/>
        </w:rPr>
        <w:t>a)</w:t>
      </w:r>
      <w:r w:rsidRPr="003B6E11">
        <w:rPr>
          <w:lang w:val="cs-CZ"/>
        </w:rPr>
        <w:tab/>
        <w:t>radiotelefonní zařízení;</w:t>
      </w:r>
    </w:p>
    <w:p w:rsidR="00E65F26" w:rsidRPr="003B6E11" w:rsidRDefault="005C7859" w:rsidP="00E65F26">
      <w:pPr>
        <w:pStyle w:val="ESlet"/>
        <w:rPr>
          <w:lang w:val="cs-CZ"/>
        </w:rPr>
      </w:pPr>
      <w:r w:rsidRPr="003B6E11">
        <w:rPr>
          <w:lang w:val="cs-CZ"/>
        </w:rPr>
        <w:t>b)</w:t>
      </w:r>
      <w:r w:rsidRPr="003B6E11">
        <w:rPr>
          <w:lang w:val="cs-CZ"/>
        </w:rPr>
        <w:tab/>
        <w:t>přístroje a zařízení potřebná k vysílání vizuálních a akustických signálů a k označení lodi;</w:t>
      </w:r>
    </w:p>
    <w:p w:rsidR="00E65F26" w:rsidRPr="003B6E11" w:rsidRDefault="005C7859" w:rsidP="00E65F26">
      <w:pPr>
        <w:pStyle w:val="ESlet"/>
        <w:rPr>
          <w:lang w:val="cs-CZ"/>
        </w:rPr>
      </w:pPr>
      <w:r w:rsidRPr="003B6E11">
        <w:rPr>
          <w:lang w:val="cs-CZ"/>
        </w:rPr>
        <w:t>c)</w:t>
      </w:r>
      <w:r w:rsidRPr="003B6E11">
        <w:rPr>
          <w:lang w:val="cs-CZ"/>
        </w:rPr>
        <w:tab/>
        <w:t>nezávislá záložní světla pro předepsaná kotevní světla.</w:t>
      </w:r>
    </w:p>
    <w:p w:rsidR="00E65F26" w:rsidRPr="003B6E11" w:rsidRDefault="00E65F26" w:rsidP="00E65F26">
      <w:pPr>
        <w:pStyle w:val="ESch"/>
        <w:rPr>
          <w:noProof/>
          <w:lang w:val="cs-CZ"/>
        </w:rPr>
      </w:pPr>
    </w:p>
    <w:p w:rsidR="003552BC" w:rsidRPr="003B6E11" w:rsidRDefault="003552BC">
      <w:pPr>
        <w:rPr>
          <w:noProof/>
          <w:lang w:val="cs-CZ"/>
        </w:rPr>
      </w:pPr>
      <w:r w:rsidRPr="003B6E11">
        <w:rPr>
          <w:lang w:val="cs-CZ"/>
        </w:rPr>
        <w:br w:type="page"/>
      </w:r>
    </w:p>
    <w:p w:rsidR="003552BC" w:rsidRPr="003B6E11" w:rsidRDefault="003552BC" w:rsidP="00E65F26">
      <w:pPr>
        <w:pStyle w:val="ESch"/>
        <w:rPr>
          <w:noProof/>
          <w:lang w:val="cs-CZ"/>
        </w:rPr>
      </w:pPr>
    </w:p>
    <w:p w:rsidR="00E65F26" w:rsidRPr="003B6E11" w:rsidRDefault="00E65F26" w:rsidP="00E65F26">
      <w:pPr>
        <w:pStyle w:val="ESch"/>
        <w:rPr>
          <w:lang w:val="cs-CZ"/>
        </w:rPr>
      </w:pPr>
      <w:r w:rsidRPr="003B6E11">
        <w:rPr>
          <w:lang w:val="cs-CZ"/>
        </w:rPr>
        <w:t>2.</w:t>
      </w:r>
      <w:r w:rsidRPr="003B6E11">
        <w:rPr>
          <w:lang w:val="cs-CZ"/>
        </w:rPr>
        <w:tab/>
        <w:t>Na plavidle musí být přítomny také tyto nádrže:</w:t>
      </w:r>
    </w:p>
    <w:p w:rsidR="00E65F26" w:rsidRPr="003B6E11" w:rsidRDefault="005C7859" w:rsidP="00E65F26">
      <w:pPr>
        <w:pStyle w:val="ESlet"/>
        <w:rPr>
          <w:lang w:val="cs-CZ"/>
        </w:rPr>
      </w:pPr>
      <w:r w:rsidRPr="003B6E11">
        <w:rPr>
          <w:lang w:val="cs-CZ"/>
        </w:rPr>
        <w:t>a)</w:t>
      </w:r>
      <w:r w:rsidRPr="003B6E11">
        <w:rPr>
          <w:lang w:val="cs-CZ"/>
        </w:rPr>
        <w:tab/>
        <w:t>označená sběrná nádrž na běžný odpad;</w:t>
      </w:r>
    </w:p>
    <w:p w:rsidR="00E65F26" w:rsidRPr="003B6E11" w:rsidRDefault="005C7859" w:rsidP="00E65F26">
      <w:pPr>
        <w:pStyle w:val="ESlet"/>
        <w:rPr>
          <w:lang w:val="cs-CZ"/>
        </w:rPr>
      </w:pPr>
      <w:r w:rsidRPr="003B6E11">
        <w:rPr>
          <w:lang w:val="cs-CZ"/>
        </w:rPr>
        <w:t>b)</w:t>
      </w:r>
      <w:r w:rsidRPr="003B6E11">
        <w:rPr>
          <w:lang w:val="cs-CZ"/>
        </w:rPr>
        <w:tab/>
        <w:t>samostatné označené nádrže s těsnicími uzávěry vyrobené z oceli nebo jiného odolného nehořlavého materiálu přiměřené velikosti, o objemu nejméně 10 litrů, určené k ukládání</w:t>
      </w:r>
    </w:p>
    <w:p w:rsidR="00E65F26" w:rsidRPr="003B6E11" w:rsidRDefault="0029453D" w:rsidP="00E65F26">
      <w:pPr>
        <w:pStyle w:val="EStiret"/>
        <w:rPr>
          <w:lang w:val="cs-CZ"/>
        </w:rPr>
      </w:pPr>
      <w:r w:rsidRPr="003B6E11">
        <w:rPr>
          <w:lang w:val="cs-CZ"/>
        </w:rPr>
        <w:t>aa)</w:t>
      </w:r>
      <w:r w:rsidRPr="003B6E11">
        <w:rPr>
          <w:lang w:val="cs-CZ"/>
        </w:rPr>
        <w:tab/>
        <w:t>utěrek znečištěných olejem;</w:t>
      </w:r>
    </w:p>
    <w:p w:rsidR="00E65F26" w:rsidRPr="003B6E11" w:rsidRDefault="0029453D" w:rsidP="00E65F26">
      <w:pPr>
        <w:pStyle w:val="EStiret"/>
        <w:rPr>
          <w:lang w:val="cs-CZ"/>
        </w:rPr>
      </w:pPr>
      <w:r w:rsidRPr="003B6E11">
        <w:rPr>
          <w:lang w:val="cs-CZ"/>
        </w:rPr>
        <w:t>bb)</w:t>
      </w:r>
      <w:r w:rsidRPr="003B6E11">
        <w:rPr>
          <w:lang w:val="cs-CZ"/>
        </w:rPr>
        <w:tab/>
        <w:t>nebezpečných nebo škodlivých pevných odpadů;</w:t>
      </w:r>
    </w:p>
    <w:p w:rsidR="00E65F26" w:rsidRPr="003B6E11" w:rsidRDefault="0029453D" w:rsidP="00E65F26">
      <w:pPr>
        <w:pStyle w:val="EStiret"/>
        <w:rPr>
          <w:lang w:val="cs-CZ"/>
        </w:rPr>
      </w:pPr>
      <w:r w:rsidRPr="003B6E11">
        <w:rPr>
          <w:lang w:val="cs-CZ"/>
        </w:rPr>
        <w:t>cc)</w:t>
      </w:r>
      <w:r w:rsidRPr="003B6E11">
        <w:rPr>
          <w:lang w:val="cs-CZ"/>
        </w:rPr>
        <w:tab/>
        <w:t>nebezpečných nebo škodlivých kapalných odpadů</w:t>
      </w:r>
    </w:p>
    <w:p w:rsidR="00E65F26" w:rsidRPr="003B6E11" w:rsidRDefault="00E65F26" w:rsidP="00E65F26">
      <w:pPr>
        <w:pStyle w:val="EStiret"/>
        <w:rPr>
          <w:lang w:val="cs-CZ"/>
        </w:rPr>
      </w:pPr>
      <w:r w:rsidRPr="003B6E11">
        <w:rPr>
          <w:lang w:val="cs-CZ"/>
        </w:rPr>
        <w:t>a v náležitém rozsahu také k ukládání</w:t>
      </w:r>
    </w:p>
    <w:p w:rsidR="00E65F26" w:rsidRPr="003B6E11" w:rsidRDefault="00E65F26" w:rsidP="00E65F26">
      <w:pPr>
        <w:pStyle w:val="EStiret"/>
        <w:rPr>
          <w:lang w:val="cs-CZ"/>
        </w:rPr>
      </w:pPr>
      <w:r w:rsidRPr="003B6E11">
        <w:rPr>
          <w:lang w:val="cs-CZ"/>
        </w:rPr>
        <w:t>dd)</w:t>
      </w:r>
      <w:r w:rsidRPr="003B6E11">
        <w:rPr>
          <w:lang w:val="cs-CZ"/>
        </w:rPr>
        <w:tab/>
        <w:t>splašků;</w:t>
      </w:r>
    </w:p>
    <w:p w:rsidR="00E65F26" w:rsidRPr="003B6E11" w:rsidRDefault="00E65F26" w:rsidP="00E65F26">
      <w:pPr>
        <w:pStyle w:val="EStiret"/>
        <w:rPr>
          <w:lang w:val="cs-CZ"/>
        </w:rPr>
      </w:pPr>
      <w:r w:rsidRPr="003B6E11">
        <w:rPr>
          <w:lang w:val="cs-CZ"/>
        </w:rPr>
        <w:t>ee)</w:t>
      </w:r>
      <w:r w:rsidRPr="003B6E11">
        <w:rPr>
          <w:lang w:val="cs-CZ"/>
        </w:rPr>
        <w:tab/>
        <w:t>jiného zaolejovaného nebo mastného odpadu.</w:t>
      </w:r>
    </w:p>
    <w:p w:rsidR="009A25DA" w:rsidRPr="003B6E11" w:rsidRDefault="009A25DA" w:rsidP="00E65F26">
      <w:pPr>
        <w:pStyle w:val="ESch"/>
        <w:rPr>
          <w:noProof/>
          <w:lang w:val="cs-CZ"/>
        </w:rPr>
      </w:pPr>
    </w:p>
    <w:p w:rsidR="00E65F26" w:rsidRPr="003B6E11" w:rsidRDefault="00E65F26" w:rsidP="00E65F26">
      <w:pPr>
        <w:pStyle w:val="ESch"/>
        <w:rPr>
          <w:lang w:val="cs-CZ"/>
        </w:rPr>
      </w:pPr>
      <w:r w:rsidRPr="003B6E11">
        <w:rPr>
          <w:lang w:val="cs-CZ"/>
        </w:rPr>
        <w:t>3.</w:t>
      </w:r>
      <w:r w:rsidRPr="003B6E11">
        <w:rPr>
          <w:lang w:val="cs-CZ"/>
        </w:rPr>
        <w:tab/>
        <w:t>Kromě toho k vybavení patří přinejmenším:</w:t>
      </w:r>
    </w:p>
    <w:p w:rsidR="00E65F26" w:rsidRPr="003B6E11" w:rsidRDefault="005C7859" w:rsidP="009A25DA">
      <w:pPr>
        <w:pStyle w:val="ESlet"/>
        <w:rPr>
          <w:lang w:val="cs-CZ"/>
        </w:rPr>
      </w:pPr>
      <w:r w:rsidRPr="003B6E11">
        <w:rPr>
          <w:lang w:val="cs-CZ"/>
        </w:rPr>
        <w:t>a)</w:t>
      </w:r>
      <w:r w:rsidRPr="003B6E11">
        <w:rPr>
          <w:lang w:val="cs-CZ"/>
        </w:rPr>
        <w:tab/>
        <w:t>uvazovací lana:</w:t>
      </w:r>
    </w:p>
    <w:p w:rsidR="00E65F26" w:rsidRPr="003B6E11" w:rsidRDefault="00E65F26" w:rsidP="009A25DA">
      <w:pPr>
        <w:pStyle w:val="ESletpar"/>
        <w:rPr>
          <w:lang w:val="cs-CZ"/>
        </w:rPr>
      </w:pPr>
      <w:r w:rsidRPr="003B6E11">
        <w:rPr>
          <w:lang w:val="cs-CZ"/>
        </w:rPr>
        <w:t>Plavidla musí být vybavena třemi uvazovacími lany. Musí mít alespoň tyto minimální délky:</w:t>
      </w:r>
    </w:p>
    <w:p w:rsidR="00E65F26" w:rsidRPr="003B6E11" w:rsidRDefault="00E65F26" w:rsidP="00894579">
      <w:pPr>
        <w:pStyle w:val="EStiret"/>
        <w:tabs>
          <w:tab w:val="left" w:pos="2694"/>
        </w:tabs>
        <w:rPr>
          <w:rStyle w:val="FootnoteReference"/>
          <w:rFonts w:cs="Arial"/>
          <w:sz w:val="18"/>
          <w:szCs w:val="18"/>
          <w:vertAlign w:val="baseline"/>
          <w:lang w:val="cs-CZ"/>
        </w:rPr>
      </w:pPr>
      <w:r w:rsidRPr="003B6E11">
        <w:rPr>
          <w:lang w:val="cs-CZ"/>
        </w:rPr>
        <w:t xml:space="preserve">první lano: </w:t>
      </w:r>
      <w:r w:rsidRPr="003B6E11">
        <w:rPr>
          <w:lang w:val="cs-CZ"/>
        </w:rPr>
        <w:tab/>
      </w:r>
      <m:oMath>
        <m:r>
          <w:rPr>
            <w:rFonts w:ascii="Cambria Math" w:hAnsi="Cambria Math"/>
            <w:lang w:val="cs-CZ"/>
          </w:rPr>
          <m:t>L+20 m</m:t>
        </m:r>
      </m:oMath>
      <w:r w:rsidRPr="003B6E11">
        <w:rPr>
          <w:lang w:val="cs-CZ"/>
        </w:rPr>
        <w:t xml:space="preserve"> avšak ne více než 100 m,</w:t>
      </w:r>
    </w:p>
    <w:p w:rsidR="00E65F26" w:rsidRPr="003B6E11" w:rsidRDefault="00E65F26" w:rsidP="00894579">
      <w:pPr>
        <w:pStyle w:val="EStiret"/>
        <w:tabs>
          <w:tab w:val="left" w:pos="2694"/>
        </w:tabs>
        <w:rPr>
          <w:rStyle w:val="FootnoteReference"/>
          <w:rFonts w:cs="Arial"/>
          <w:sz w:val="18"/>
          <w:szCs w:val="18"/>
          <w:vertAlign w:val="baseline"/>
          <w:lang w:val="cs-CZ"/>
        </w:rPr>
      </w:pPr>
      <w:r w:rsidRPr="003B6E11">
        <w:rPr>
          <w:lang w:val="cs-CZ"/>
        </w:rPr>
        <w:t>druhé lano:</w:t>
      </w:r>
      <w:r w:rsidRPr="003B6E11">
        <w:rPr>
          <w:lang w:val="cs-CZ"/>
        </w:rPr>
        <w:tab/>
        <w:t>2/3 prvního lana,</w:t>
      </w:r>
    </w:p>
    <w:p w:rsidR="00E65F26" w:rsidRPr="003B6E11" w:rsidRDefault="00E65F26" w:rsidP="00894579">
      <w:pPr>
        <w:pStyle w:val="EStiret"/>
        <w:tabs>
          <w:tab w:val="left" w:pos="2694"/>
        </w:tabs>
        <w:rPr>
          <w:rStyle w:val="FootnoteReference"/>
          <w:rFonts w:cs="Arial"/>
          <w:sz w:val="18"/>
          <w:szCs w:val="18"/>
          <w:vertAlign w:val="baseline"/>
          <w:lang w:val="cs-CZ"/>
        </w:rPr>
      </w:pPr>
      <w:r w:rsidRPr="003B6E11">
        <w:rPr>
          <w:lang w:val="cs-CZ"/>
        </w:rPr>
        <w:t>třetí lano:</w:t>
      </w:r>
      <w:r w:rsidRPr="003B6E11">
        <w:rPr>
          <w:lang w:val="cs-CZ"/>
        </w:rPr>
        <w:tab/>
        <w:t>1/3 prvního lana.</w:t>
      </w:r>
    </w:p>
    <w:p w:rsidR="00E65F26" w:rsidRPr="003B6E11" w:rsidRDefault="00E65F26" w:rsidP="009A25DA">
      <w:pPr>
        <w:pStyle w:val="ESletpar"/>
        <w:rPr>
          <w:lang w:val="cs-CZ"/>
        </w:rPr>
      </w:pPr>
      <w:r w:rsidRPr="003B6E11">
        <w:rPr>
          <w:lang w:val="cs-CZ"/>
        </w:rPr>
        <w:t xml:space="preserve">Nejkratší lano se nevyžaduje u lodí s délkou </w:t>
      </w:r>
      <m:oMath>
        <m:r>
          <w:rPr>
            <w:rFonts w:ascii="Cambria Math" w:hAnsi="Cambria Math"/>
            <w:noProof/>
            <w:lang w:val="cs-CZ"/>
          </w:rPr>
          <m:t>L</m:t>
        </m:r>
      </m:oMath>
      <w:r w:rsidRPr="003B6E11">
        <w:rPr>
          <w:lang w:val="cs-CZ"/>
        </w:rPr>
        <w:t xml:space="preserve"> kratší než 20 m.</w:t>
      </w:r>
    </w:p>
    <w:p w:rsidR="00E65F26" w:rsidRPr="003B6E11" w:rsidRDefault="00E65F26" w:rsidP="009A25DA">
      <w:pPr>
        <w:pStyle w:val="ESletpar"/>
        <w:rPr>
          <w:noProof/>
          <w:lang w:val="cs-CZ"/>
        </w:rPr>
      </w:pPr>
      <w:r w:rsidRPr="003B6E11">
        <w:rPr>
          <w:lang w:val="cs-CZ"/>
        </w:rPr>
        <w:t xml:space="preserve">Tato ocelová lana musí mít mezní zatížení </w:t>
      </w:r>
      <m:oMath>
        <m:sSub>
          <m:sSubPr>
            <m:ctrlPr>
              <w:rPr>
                <w:rFonts w:ascii="Cambria Math" w:hAnsi="Cambria Math"/>
                <w:i/>
                <w:noProof/>
                <w:lang w:val="cs-CZ"/>
              </w:rPr>
            </m:ctrlPr>
          </m:sSubPr>
          <m:e>
            <m:r>
              <w:rPr>
                <w:rFonts w:ascii="Cambria Math" w:hAnsi="Cambria Math"/>
                <w:noProof/>
                <w:lang w:val="cs-CZ"/>
              </w:rPr>
              <m:t>R</m:t>
            </m:r>
          </m:e>
          <m:sub>
            <m:r>
              <w:rPr>
                <w:rFonts w:ascii="Cambria Math" w:hAnsi="Cambria Math"/>
                <w:noProof/>
                <w:lang w:val="cs-CZ"/>
              </w:rPr>
              <m:t>s</m:t>
            </m:r>
          </m:sub>
        </m:sSub>
      </m:oMath>
      <w:r w:rsidRPr="003B6E11">
        <w:rPr>
          <w:lang w:val="cs-CZ"/>
        </w:rPr>
        <w:t>, které se vypočte podle těchto vzorců:</w:t>
      </w:r>
    </w:p>
    <w:p w:rsidR="00894579" w:rsidRPr="003B6E11" w:rsidRDefault="00894579" w:rsidP="009A25DA">
      <w:pPr>
        <w:pStyle w:val="ESletpar"/>
        <w:rPr>
          <w:lang w:val="cs-CZ"/>
        </w:rPr>
      </w:pPr>
    </w:p>
    <w:p w:rsidR="00E65F26" w:rsidRPr="003B6E11" w:rsidRDefault="00894579" w:rsidP="001B5ABA">
      <w:pPr>
        <w:pStyle w:val="ESgauche"/>
        <w:jc w:val="center"/>
        <w:rPr>
          <w:lang w:val="cs-CZ"/>
        </w:rPr>
      </w:pPr>
      <w:r w:rsidRPr="003B6E11">
        <w:rPr>
          <w:lang w:val="cs-CZ"/>
        </w:rPr>
        <w:t xml:space="preserve">jestliže </w:t>
      </w:r>
      <m:oMath>
        <m:r>
          <w:rPr>
            <w:rFonts w:ascii="Cambria Math" w:hAnsi="Cambria Math"/>
            <w:lang w:val="cs-CZ"/>
          </w:rPr>
          <m:t>L ∙B ∙T</m:t>
        </m:r>
      </m:oMath>
      <w:r w:rsidRPr="003B6E11">
        <w:rPr>
          <w:lang w:val="cs-CZ"/>
        </w:rPr>
        <w:t xml:space="preserve"> nepřesahuje 1 000 m</w:t>
      </w:r>
      <w:r w:rsidRPr="003B6E11">
        <w:rPr>
          <w:vertAlign w:val="superscript"/>
          <w:lang w:val="cs-CZ"/>
        </w:rPr>
        <w:t>3</w:t>
      </w:r>
      <w:r w:rsidRPr="003B6E11">
        <w:rPr>
          <w:lang w:val="cs-CZ"/>
        </w:rPr>
        <w:t xml:space="preserve">: </w:t>
      </w:r>
      <m:oMath>
        <m:sSub>
          <m:sSubPr>
            <m:ctrlPr>
              <w:rPr>
                <w:rFonts w:ascii="Cambria Math" w:hAnsi="Cambria Math"/>
                <w:i/>
                <w:lang w:val="cs-CZ"/>
              </w:rPr>
            </m:ctrlPr>
          </m:sSubPr>
          <m:e>
            <m:r>
              <w:rPr>
                <w:rFonts w:ascii="Cambria Math" w:hAnsi="Cambria Math"/>
                <w:lang w:val="cs-CZ"/>
              </w:rPr>
              <m:t>R</m:t>
            </m:r>
          </m:e>
          <m:sub>
            <m:r>
              <w:rPr>
                <w:rFonts w:ascii="Cambria Math" w:hAnsi="Cambria Math"/>
                <w:lang w:val="cs-CZ"/>
              </w:rPr>
              <m:t>s</m:t>
            </m:r>
          </m:sub>
        </m:sSub>
        <m:r>
          <w:rPr>
            <w:rFonts w:ascii="Cambria Math" w:hAnsi="Cambria Math"/>
            <w:lang w:val="cs-CZ"/>
          </w:rPr>
          <m:t xml:space="preserve">=60+ </m:t>
        </m:r>
        <m:f>
          <m:fPr>
            <m:ctrlPr>
              <w:rPr>
                <w:rFonts w:ascii="Cambria Math" w:hAnsi="Cambria Math"/>
                <w:i/>
                <w:lang w:val="cs-CZ"/>
              </w:rPr>
            </m:ctrlPr>
          </m:fPr>
          <m:num>
            <m:r>
              <w:rPr>
                <w:rFonts w:ascii="Cambria Math" w:hAnsi="Cambria Math"/>
                <w:lang w:val="cs-CZ"/>
              </w:rPr>
              <m:t>L ∙B ∙T</m:t>
            </m:r>
          </m:num>
          <m:den>
            <m:r>
              <w:rPr>
                <w:rFonts w:ascii="Cambria Math" w:hAnsi="Cambria Math"/>
                <w:lang w:val="cs-CZ"/>
              </w:rPr>
              <m:t>10</m:t>
            </m:r>
          </m:den>
        </m:f>
        <m:r>
          <w:rPr>
            <w:rFonts w:ascii="Cambria Math" w:hAnsi="Cambria Math"/>
            <w:lang w:val="cs-CZ"/>
          </w:rPr>
          <m:t xml:space="preserve"> </m:t>
        </m:r>
        <m:d>
          <m:dPr>
            <m:begChr m:val="["/>
            <m:endChr m:val="]"/>
            <m:ctrlPr>
              <w:rPr>
                <w:rFonts w:ascii="Cambria Math" w:hAnsi="Cambria Math"/>
                <w:i/>
                <w:lang w:val="cs-CZ"/>
              </w:rPr>
            </m:ctrlPr>
          </m:dPr>
          <m:e>
            <m:r>
              <w:rPr>
                <w:rFonts w:ascii="Cambria Math" w:hAnsi="Cambria Math"/>
                <w:lang w:val="cs-CZ"/>
              </w:rPr>
              <m:t>kN</m:t>
            </m:r>
          </m:e>
        </m:d>
        <m:r>
          <w:rPr>
            <w:rFonts w:ascii="Cambria Math" w:hAnsi="Cambria Math"/>
            <w:lang w:val="cs-CZ"/>
          </w:rPr>
          <m:t>;</m:t>
        </m:r>
      </m:oMath>
    </w:p>
    <w:p w:rsidR="001B5ABA" w:rsidRPr="003B6E11" w:rsidRDefault="001B5ABA" w:rsidP="001B5ABA">
      <w:pPr>
        <w:pStyle w:val="ESgauche"/>
        <w:jc w:val="center"/>
        <w:rPr>
          <w:lang w:val="cs-CZ"/>
        </w:rPr>
      </w:pPr>
    </w:p>
    <w:p w:rsidR="009A25DA" w:rsidRPr="003B6E11" w:rsidRDefault="009A25DA" w:rsidP="001B5ABA">
      <w:pPr>
        <w:pStyle w:val="ESgauche"/>
        <w:jc w:val="center"/>
        <w:rPr>
          <w:lang w:val="cs-CZ"/>
        </w:rPr>
      </w:pPr>
      <w:r w:rsidRPr="003B6E11">
        <w:rPr>
          <w:lang w:val="cs-CZ"/>
        </w:rPr>
        <w:t xml:space="preserve">jestliže </w:t>
      </w:r>
      <m:oMath>
        <m:r>
          <w:rPr>
            <w:rFonts w:ascii="Cambria Math" w:hAnsi="Cambria Math"/>
            <w:lang w:val="cs-CZ"/>
          </w:rPr>
          <m:t>L ∙B ∙T</m:t>
        </m:r>
      </m:oMath>
      <w:r w:rsidRPr="003B6E11">
        <w:rPr>
          <w:lang w:val="cs-CZ"/>
        </w:rPr>
        <w:t xml:space="preserve"> přesahuje 1 000 m</w:t>
      </w:r>
      <w:r w:rsidRPr="003B6E11">
        <w:rPr>
          <w:vertAlign w:val="superscript"/>
          <w:lang w:val="cs-CZ"/>
        </w:rPr>
        <w:t>3</w:t>
      </w:r>
      <w:r w:rsidRPr="003B6E11">
        <w:rPr>
          <w:lang w:val="cs-CZ"/>
        </w:rPr>
        <w:t xml:space="preserve">: </w:t>
      </w:r>
      <m:oMath>
        <m:sSub>
          <m:sSubPr>
            <m:ctrlPr>
              <w:rPr>
                <w:rFonts w:ascii="Cambria Math" w:hAnsi="Cambria Math"/>
                <w:i/>
                <w:lang w:val="cs-CZ"/>
              </w:rPr>
            </m:ctrlPr>
          </m:sSubPr>
          <m:e>
            <m:r>
              <w:rPr>
                <w:rFonts w:ascii="Cambria Math" w:hAnsi="Cambria Math"/>
                <w:lang w:val="cs-CZ"/>
              </w:rPr>
              <m:t>R</m:t>
            </m:r>
          </m:e>
          <m:sub>
            <m:r>
              <w:rPr>
                <w:rFonts w:ascii="Cambria Math" w:hAnsi="Cambria Math"/>
                <w:lang w:val="cs-CZ"/>
              </w:rPr>
              <m:t>s</m:t>
            </m:r>
          </m:sub>
        </m:sSub>
        <m:r>
          <w:rPr>
            <w:rFonts w:ascii="Cambria Math" w:hAnsi="Cambria Math"/>
            <w:lang w:val="cs-CZ"/>
          </w:rPr>
          <m:t xml:space="preserve">=150+ </m:t>
        </m:r>
        <m:f>
          <m:fPr>
            <m:ctrlPr>
              <w:rPr>
                <w:rFonts w:ascii="Cambria Math" w:hAnsi="Cambria Math"/>
                <w:i/>
                <w:lang w:val="cs-CZ"/>
              </w:rPr>
            </m:ctrlPr>
          </m:fPr>
          <m:num>
            <m:r>
              <w:rPr>
                <w:rFonts w:ascii="Cambria Math" w:hAnsi="Cambria Math"/>
                <w:lang w:val="cs-CZ"/>
              </w:rPr>
              <m:t>L ∙B ∙T</m:t>
            </m:r>
          </m:num>
          <m:den>
            <m:r>
              <w:rPr>
                <w:rFonts w:ascii="Cambria Math" w:hAnsi="Cambria Math"/>
                <w:lang w:val="cs-CZ"/>
              </w:rPr>
              <m:t>100</m:t>
            </m:r>
          </m:den>
        </m:f>
        <m:r>
          <w:rPr>
            <w:rFonts w:ascii="Cambria Math" w:hAnsi="Cambria Math"/>
            <w:lang w:val="cs-CZ"/>
          </w:rPr>
          <m:t xml:space="preserve"> </m:t>
        </m:r>
        <m:d>
          <m:dPr>
            <m:begChr m:val="["/>
            <m:endChr m:val="]"/>
            <m:ctrlPr>
              <w:rPr>
                <w:rFonts w:ascii="Cambria Math" w:hAnsi="Cambria Math"/>
                <w:i/>
                <w:lang w:val="cs-CZ"/>
              </w:rPr>
            </m:ctrlPr>
          </m:dPr>
          <m:e>
            <m:r>
              <w:rPr>
                <w:rFonts w:ascii="Cambria Math" w:hAnsi="Cambria Math"/>
                <w:lang w:val="cs-CZ"/>
              </w:rPr>
              <m:t>kN</m:t>
            </m:r>
          </m:e>
        </m:d>
        <m:r>
          <w:rPr>
            <w:rFonts w:ascii="Cambria Math" w:hAnsi="Cambria Math"/>
            <w:lang w:val="cs-CZ"/>
          </w:rPr>
          <m:t>.</m:t>
        </m:r>
      </m:oMath>
    </w:p>
    <w:p w:rsidR="00D20B98" w:rsidRPr="003B6E11" w:rsidRDefault="00D20B98" w:rsidP="0034064A">
      <w:pPr>
        <w:pStyle w:val="ESletpar"/>
        <w:spacing w:before="0"/>
        <w:rPr>
          <w:noProof/>
          <w:lang w:val="cs-CZ"/>
        </w:rPr>
      </w:pPr>
    </w:p>
    <w:p w:rsidR="0088585A" w:rsidRPr="003B6E11" w:rsidRDefault="0088585A" w:rsidP="009A25DA">
      <w:pPr>
        <w:pStyle w:val="ESletpar"/>
        <w:rPr>
          <w:noProof/>
          <w:lang w:val="cs-CZ"/>
        </w:rPr>
      </w:pPr>
      <w:r w:rsidRPr="003B6E11">
        <w:rPr>
          <w:lang w:val="cs-CZ"/>
        </w:rPr>
        <w:t>Pro předepsaná ocelová lana se musí na plavidle nacházet osvědčení podle evropské normy EN 10204:2004, č. 3.1.</w:t>
      </w:r>
    </w:p>
    <w:p w:rsidR="00E65F26" w:rsidRPr="003B6E11" w:rsidRDefault="00E65F26" w:rsidP="009A25DA">
      <w:pPr>
        <w:pStyle w:val="ESletpar"/>
        <w:rPr>
          <w:lang w:val="cs-CZ"/>
        </w:rPr>
      </w:pPr>
      <w:r w:rsidRPr="003B6E11">
        <w:rPr>
          <w:lang w:val="cs-CZ"/>
        </w:rPr>
        <w:t>Tato ocelová lana lze nahradit jinými lany stejné délky a mezního zatížení. Minimální mezní zatížení těchto lan musí být uvedeno v osvědčení;</w:t>
      </w:r>
    </w:p>
    <w:p w:rsidR="00E65F26" w:rsidRPr="003B6E11" w:rsidRDefault="005C7859" w:rsidP="009A25DA">
      <w:pPr>
        <w:pStyle w:val="ESlet"/>
        <w:rPr>
          <w:lang w:val="cs-CZ"/>
        </w:rPr>
      </w:pPr>
      <w:r w:rsidRPr="003B6E11">
        <w:rPr>
          <w:lang w:val="cs-CZ"/>
        </w:rPr>
        <w:t>b)</w:t>
      </w:r>
      <w:r w:rsidRPr="003B6E11">
        <w:rPr>
          <w:lang w:val="cs-CZ"/>
        </w:rPr>
        <w:tab/>
        <w:t>vlečná lana:</w:t>
      </w:r>
    </w:p>
    <w:p w:rsidR="00E65F26" w:rsidRPr="003B6E11" w:rsidRDefault="00E65F26" w:rsidP="009A25DA">
      <w:pPr>
        <w:pStyle w:val="ESletpar"/>
        <w:rPr>
          <w:lang w:val="cs-CZ"/>
        </w:rPr>
      </w:pPr>
      <w:r w:rsidRPr="003B6E11">
        <w:rPr>
          <w:lang w:val="cs-CZ"/>
        </w:rPr>
        <w:t>Remorkéry musí být vybaveny takovým množstvím lan, které je vhodné pro jejich provoz.</w:t>
      </w:r>
    </w:p>
    <w:p w:rsidR="00E65F26" w:rsidRPr="003B6E11" w:rsidRDefault="00E65F26" w:rsidP="009A25DA">
      <w:pPr>
        <w:pStyle w:val="ESletpar"/>
        <w:rPr>
          <w:lang w:val="cs-CZ"/>
        </w:rPr>
      </w:pPr>
      <w:r w:rsidRPr="003B6E11">
        <w:rPr>
          <w:lang w:val="cs-CZ"/>
        </w:rPr>
        <w:t>Hlavní lano musí být nejméně 100 m dlouhé a jeho mezní zatížení (v kN) nesmí být menší než jedna třetina celkového výkonu hlavního motoru nebo motorů (v kW).</w:t>
      </w:r>
    </w:p>
    <w:p w:rsidR="00E65F26" w:rsidRPr="003B6E11" w:rsidRDefault="00E65F26" w:rsidP="009A25DA">
      <w:pPr>
        <w:pStyle w:val="ESletpar"/>
        <w:rPr>
          <w:lang w:val="cs-CZ"/>
        </w:rPr>
      </w:pPr>
      <w:r w:rsidRPr="003B6E11">
        <w:rPr>
          <w:lang w:val="cs-CZ"/>
        </w:rPr>
        <w:t>Motorové lodě a tlačné remorkéry vhodné rovněž k vlečení musí být vybaveny nejméně 100 m dlouhým vlečným lanem, jehož mezní zatížení (v kN) odpovídá nejméně jedné čtvrtině celkového výkonu hlavního motoru nebo motorů (v kW);</w:t>
      </w:r>
    </w:p>
    <w:p w:rsidR="00E65F26" w:rsidRPr="003B6E11" w:rsidRDefault="005C7859" w:rsidP="009A25DA">
      <w:pPr>
        <w:pStyle w:val="ESlet"/>
        <w:rPr>
          <w:lang w:val="cs-CZ"/>
        </w:rPr>
      </w:pPr>
      <w:r w:rsidRPr="003B6E11">
        <w:rPr>
          <w:lang w:val="cs-CZ"/>
        </w:rPr>
        <w:t>c)</w:t>
      </w:r>
      <w:r w:rsidRPr="003B6E11">
        <w:rPr>
          <w:lang w:val="cs-CZ"/>
        </w:rPr>
        <w:tab/>
        <w:t>vrhací lano;</w:t>
      </w:r>
    </w:p>
    <w:p w:rsidR="00E65F26" w:rsidRPr="003B6E11" w:rsidRDefault="005C7859" w:rsidP="009A25DA">
      <w:pPr>
        <w:pStyle w:val="ESlet"/>
        <w:rPr>
          <w:lang w:val="cs-CZ"/>
        </w:rPr>
      </w:pPr>
      <w:r w:rsidRPr="003B6E11">
        <w:rPr>
          <w:lang w:val="cs-CZ"/>
        </w:rPr>
        <w:t>d)</w:t>
      </w:r>
      <w:r w:rsidRPr="003B6E11">
        <w:rPr>
          <w:lang w:val="cs-CZ"/>
        </w:rPr>
        <w:tab/>
        <w:t>lodní lávka, nejméně 0,40 m široká a 4 m dlouhá, jejíž boční okraje jsou označeny světlými pruhy; tato lávka musí být opatřena zábradlím. U malých lodí může subjekt pověřený prohlídkami povolit kratší lávky;</w:t>
      </w:r>
    </w:p>
    <w:p w:rsidR="00E65F26" w:rsidRPr="003B6E11" w:rsidRDefault="0029453D" w:rsidP="009A25DA">
      <w:pPr>
        <w:pStyle w:val="ESlet"/>
        <w:rPr>
          <w:lang w:val="cs-CZ"/>
        </w:rPr>
      </w:pPr>
      <w:r w:rsidRPr="003B6E11">
        <w:rPr>
          <w:lang w:val="cs-CZ"/>
        </w:rPr>
        <w:t>e)</w:t>
      </w:r>
      <w:r w:rsidRPr="003B6E11">
        <w:rPr>
          <w:lang w:val="cs-CZ"/>
        </w:rPr>
        <w:tab/>
        <w:t>hák;</w:t>
      </w:r>
    </w:p>
    <w:p w:rsidR="009A25DA" w:rsidRPr="003B6E11" w:rsidRDefault="009A25DA" w:rsidP="009A25DA">
      <w:pPr>
        <w:pStyle w:val="ESlet"/>
        <w:rPr>
          <w:noProof/>
          <w:lang w:val="cs-CZ"/>
        </w:rPr>
      </w:pPr>
    </w:p>
    <w:p w:rsidR="009A25DA" w:rsidRPr="003B6E11" w:rsidRDefault="009A25DA" w:rsidP="009A25DA">
      <w:pPr>
        <w:pStyle w:val="ESlet"/>
        <w:rPr>
          <w:noProof/>
          <w:lang w:val="cs-CZ"/>
        </w:rPr>
      </w:pPr>
      <w:r w:rsidRPr="003B6E11">
        <w:rPr>
          <w:lang w:val="cs-CZ"/>
        </w:rPr>
        <w:br w:type="page"/>
      </w:r>
    </w:p>
    <w:p w:rsidR="00E65F26" w:rsidRPr="003B6E11" w:rsidRDefault="0029453D" w:rsidP="009A25DA">
      <w:pPr>
        <w:pStyle w:val="ESlet"/>
        <w:rPr>
          <w:lang w:val="cs-CZ"/>
        </w:rPr>
      </w:pPr>
      <w:r w:rsidRPr="003B6E11">
        <w:rPr>
          <w:lang w:val="cs-CZ"/>
        </w:rPr>
        <w:t>f)</w:t>
      </w:r>
      <w:r w:rsidRPr="003B6E11">
        <w:rPr>
          <w:lang w:val="cs-CZ"/>
        </w:rPr>
        <w:tab/>
        <w:t>odpovídající lékárnička, jejíž obsah je v souladu s příslušnou normou členského státu. Lékárnička musí být uchovávána v obytném prostoru nebo v kormidelně a uložena tak, aby byla v případě potřeby snadno a bezpečně dostupná. Pokud jsou lékárničky uschovány, musí být kryt označen příslušným symbolem podle obrázku 8 v příloze 4 s délkou strany nejméně 10 cm;</w:t>
      </w:r>
    </w:p>
    <w:p w:rsidR="00E65F26" w:rsidRPr="003B6E11" w:rsidRDefault="0029453D" w:rsidP="009A25DA">
      <w:pPr>
        <w:pStyle w:val="ESlet"/>
        <w:rPr>
          <w:lang w:val="cs-CZ"/>
        </w:rPr>
      </w:pPr>
      <w:r w:rsidRPr="003B6E11">
        <w:rPr>
          <w:lang w:val="cs-CZ"/>
        </w:rPr>
        <w:t>g)</w:t>
      </w:r>
      <w:r w:rsidRPr="003B6E11">
        <w:rPr>
          <w:lang w:val="cs-CZ"/>
        </w:rPr>
        <w:tab/>
        <w:t>dalekohled 7 × 50 nebo s větším průměrem čočky;</w:t>
      </w:r>
    </w:p>
    <w:p w:rsidR="00E65F26" w:rsidRPr="003B6E11" w:rsidRDefault="0029453D" w:rsidP="009A25DA">
      <w:pPr>
        <w:pStyle w:val="ESlet"/>
        <w:rPr>
          <w:lang w:val="cs-CZ"/>
        </w:rPr>
      </w:pPr>
      <w:r w:rsidRPr="003B6E11">
        <w:rPr>
          <w:lang w:val="cs-CZ"/>
        </w:rPr>
        <w:t>h)</w:t>
      </w:r>
      <w:r w:rsidRPr="003B6E11">
        <w:rPr>
          <w:lang w:val="cs-CZ"/>
        </w:rPr>
        <w:tab/>
        <w:t>instrukce k záchraně a oživování osob přes palubu;</w:t>
      </w:r>
    </w:p>
    <w:p w:rsidR="00E65F26" w:rsidRPr="003B6E11" w:rsidRDefault="0029453D" w:rsidP="009A25DA">
      <w:pPr>
        <w:pStyle w:val="ESlet"/>
        <w:rPr>
          <w:lang w:val="cs-CZ"/>
        </w:rPr>
      </w:pPr>
      <w:r w:rsidRPr="003B6E11">
        <w:rPr>
          <w:lang w:val="cs-CZ"/>
        </w:rPr>
        <w:t>i)</w:t>
      </w:r>
      <w:r w:rsidRPr="003B6E11">
        <w:rPr>
          <w:lang w:val="cs-CZ"/>
        </w:rPr>
        <w:tab/>
        <w:t>světlomet, který lze ovládat z kormidelny.</w:t>
      </w:r>
    </w:p>
    <w:p w:rsidR="009A25DA" w:rsidRPr="003B6E11" w:rsidRDefault="009A25DA" w:rsidP="00E65F26">
      <w:pPr>
        <w:pStyle w:val="ESch"/>
        <w:rPr>
          <w:noProof/>
          <w:lang w:val="cs-CZ"/>
        </w:rPr>
      </w:pPr>
    </w:p>
    <w:p w:rsidR="00E65F26" w:rsidRPr="003B6E11" w:rsidRDefault="00E65F26" w:rsidP="00E65F26">
      <w:pPr>
        <w:pStyle w:val="ESch"/>
        <w:rPr>
          <w:lang w:val="cs-CZ"/>
        </w:rPr>
      </w:pPr>
      <w:r w:rsidRPr="003B6E11">
        <w:rPr>
          <w:lang w:val="cs-CZ"/>
        </w:rPr>
        <w:t>4.</w:t>
      </w:r>
      <w:r w:rsidRPr="003B6E11">
        <w:rPr>
          <w:lang w:val="cs-CZ"/>
        </w:rPr>
        <w:tab/>
        <w:t>U lodí, jejichž boční výška je 1,50 m nad vodoryskou v nenaloženém stavu, musí být k dispozici naloďovací schůdky nebo žebřík.</w:t>
      </w:r>
    </w:p>
    <w:p w:rsidR="00E65F26" w:rsidRPr="003B6E11" w:rsidRDefault="00E65F26" w:rsidP="00E65F26">
      <w:pPr>
        <w:pStyle w:val="ESch"/>
        <w:rPr>
          <w:lang w:val="cs-CZ"/>
        </w:rPr>
      </w:pPr>
    </w:p>
    <w:p w:rsidR="009A25DA" w:rsidRPr="003B6E11" w:rsidRDefault="009A25DA" w:rsidP="00E65F26">
      <w:pPr>
        <w:pStyle w:val="ESch"/>
        <w:rPr>
          <w:lang w:val="cs-CZ"/>
        </w:rPr>
      </w:pPr>
    </w:p>
    <w:p w:rsidR="00E65F26" w:rsidRPr="003B6E11" w:rsidRDefault="00E65F26" w:rsidP="009A25DA">
      <w:pPr>
        <w:pStyle w:val="ES-Titre3"/>
        <w:rPr>
          <w:i/>
          <w:noProof/>
          <w:lang w:val="cs-CZ"/>
        </w:rPr>
      </w:pPr>
      <w:bookmarkStart w:id="214" w:name="_Toc491854104"/>
      <w:bookmarkStart w:id="215" w:name="_Toc535417010"/>
      <w:r w:rsidRPr="003B6E11">
        <w:rPr>
          <w:lang w:val="cs-CZ"/>
        </w:rPr>
        <w:t>Článek 13.03</w:t>
      </w:r>
      <w:r w:rsidRPr="003B6E11">
        <w:rPr>
          <w:lang w:val="cs-CZ"/>
        </w:rPr>
        <w:br/>
      </w:r>
      <w:r w:rsidRPr="003B6E11">
        <w:rPr>
          <w:i/>
          <w:noProof/>
          <w:lang w:val="cs-CZ"/>
        </w:rPr>
        <w:t>Přenosné hasicí přístroje</w:t>
      </w:r>
      <w:bookmarkEnd w:id="214"/>
      <w:bookmarkEnd w:id="215"/>
    </w:p>
    <w:p w:rsidR="009A25DA" w:rsidRPr="003B6E11" w:rsidRDefault="009A25DA" w:rsidP="00E65F26">
      <w:pPr>
        <w:pStyle w:val="ESch"/>
        <w:rPr>
          <w:noProof/>
          <w:lang w:val="cs-CZ"/>
        </w:rPr>
      </w:pPr>
    </w:p>
    <w:p w:rsidR="00E65F26" w:rsidRPr="003B6E11" w:rsidRDefault="00E65F26" w:rsidP="00E65F26">
      <w:pPr>
        <w:pStyle w:val="ESch"/>
        <w:rPr>
          <w:lang w:val="cs-CZ"/>
        </w:rPr>
      </w:pPr>
      <w:r w:rsidRPr="003B6E11">
        <w:rPr>
          <w:lang w:val="cs-CZ"/>
        </w:rPr>
        <w:t>1.</w:t>
      </w:r>
      <w:r w:rsidRPr="003B6E11">
        <w:rPr>
          <w:lang w:val="cs-CZ"/>
        </w:rPr>
        <w:tab/>
        <w:t>Na každém z níže uvedených míst musí být nejméně jeden přenosný hasicí přístroj v souladu s evropskými normami EN 3-7:2007 a EN 3-8:2007:</w:t>
      </w:r>
    </w:p>
    <w:p w:rsidR="00E65F26" w:rsidRPr="003B6E11" w:rsidRDefault="005C7859" w:rsidP="009A25DA">
      <w:pPr>
        <w:pStyle w:val="ESlet"/>
        <w:rPr>
          <w:lang w:val="cs-CZ"/>
        </w:rPr>
      </w:pPr>
      <w:r w:rsidRPr="003B6E11">
        <w:rPr>
          <w:lang w:val="cs-CZ"/>
        </w:rPr>
        <w:t>a)</w:t>
      </w:r>
      <w:r w:rsidRPr="003B6E11">
        <w:rPr>
          <w:lang w:val="cs-CZ"/>
        </w:rPr>
        <w:tab/>
        <w:t>v kormidelně;</w:t>
      </w:r>
    </w:p>
    <w:p w:rsidR="00E65F26" w:rsidRPr="003B6E11" w:rsidRDefault="005C7859" w:rsidP="009A25DA">
      <w:pPr>
        <w:pStyle w:val="ESlet"/>
        <w:rPr>
          <w:lang w:val="cs-CZ"/>
        </w:rPr>
      </w:pPr>
      <w:r w:rsidRPr="003B6E11">
        <w:rPr>
          <w:lang w:val="cs-CZ"/>
        </w:rPr>
        <w:t>b)</w:t>
      </w:r>
      <w:r w:rsidRPr="003B6E11">
        <w:rPr>
          <w:lang w:val="cs-CZ"/>
        </w:rPr>
        <w:tab/>
        <w:t>poblíž každého místa vstupu z paluby do obytných prostor;</w:t>
      </w:r>
    </w:p>
    <w:p w:rsidR="00E65F26" w:rsidRPr="003B6E11" w:rsidRDefault="005C7859" w:rsidP="009A25DA">
      <w:pPr>
        <w:pStyle w:val="ESlet"/>
        <w:rPr>
          <w:lang w:val="cs-CZ"/>
        </w:rPr>
      </w:pPr>
      <w:r w:rsidRPr="003B6E11">
        <w:rPr>
          <w:lang w:val="cs-CZ"/>
        </w:rPr>
        <w:t>c)</w:t>
      </w:r>
      <w:r w:rsidRPr="003B6E11">
        <w:rPr>
          <w:lang w:val="cs-CZ"/>
        </w:rPr>
        <w:tab/>
        <w:t>v místě vstupu do každého služebního prostoru nepřístupného z obytných prostor, ve kterém je umístěno zařízení k topení, vaření nebo chlazení na pevné nebo kapalné palivo nebo zkapalněný plyn;</w:t>
      </w:r>
    </w:p>
    <w:p w:rsidR="00E65F26" w:rsidRPr="003B6E11" w:rsidRDefault="005C7859" w:rsidP="009A25DA">
      <w:pPr>
        <w:pStyle w:val="ESlet"/>
        <w:rPr>
          <w:lang w:val="cs-CZ"/>
        </w:rPr>
      </w:pPr>
      <w:r w:rsidRPr="003B6E11">
        <w:rPr>
          <w:lang w:val="cs-CZ"/>
        </w:rPr>
        <w:t>d)</w:t>
      </w:r>
      <w:r w:rsidRPr="003B6E11">
        <w:rPr>
          <w:lang w:val="cs-CZ"/>
        </w:rPr>
        <w:tab/>
        <w:t>u každého vchodu do strojoven a kotelen;</w:t>
      </w:r>
    </w:p>
    <w:p w:rsidR="00E65F26" w:rsidRPr="003B6E11" w:rsidRDefault="0029453D" w:rsidP="009A25DA">
      <w:pPr>
        <w:pStyle w:val="ESlet"/>
        <w:rPr>
          <w:lang w:val="cs-CZ"/>
        </w:rPr>
      </w:pPr>
      <w:r w:rsidRPr="003B6E11">
        <w:rPr>
          <w:lang w:val="cs-CZ"/>
        </w:rPr>
        <w:t>e)</w:t>
      </w:r>
      <w:r w:rsidRPr="003B6E11">
        <w:rPr>
          <w:lang w:val="cs-CZ"/>
        </w:rPr>
        <w:tab/>
        <w:t>na vhodném místě v podpalubí ve strojovnách a kotelnách, umístěný tak, aby z jakéhokoli místa v daném prostoru nebyla vzdálenost k hasicímu přístroji větší než 10 metrů.</w:t>
      </w:r>
    </w:p>
    <w:p w:rsidR="009A25DA" w:rsidRPr="003B6E11" w:rsidRDefault="009A25DA" w:rsidP="00E65F26">
      <w:pPr>
        <w:pStyle w:val="ESch"/>
        <w:rPr>
          <w:lang w:val="cs-CZ"/>
        </w:rPr>
      </w:pPr>
    </w:p>
    <w:p w:rsidR="00E65F26" w:rsidRPr="003B6E11" w:rsidRDefault="00E65F26" w:rsidP="00E65F26">
      <w:pPr>
        <w:pStyle w:val="ESch"/>
        <w:rPr>
          <w:lang w:val="cs-CZ"/>
        </w:rPr>
      </w:pPr>
      <w:r w:rsidRPr="003B6E11">
        <w:rPr>
          <w:lang w:val="cs-CZ"/>
        </w:rPr>
        <w:t>2.</w:t>
      </w:r>
      <w:r w:rsidRPr="003B6E11">
        <w:rPr>
          <w:lang w:val="cs-CZ"/>
        </w:rPr>
        <w:tab/>
        <w:t>Co se týče přenosných hasicích přístrojů podle odstavce 1, lze používat pouze práškové hasicí přístroje o obsahu nejméně 6 kg nebo jiné přenosné hasicí přístroje se stejným hasicím výkonem. Musí být vhodné pro požáry třídy A, B a C.</w:t>
      </w:r>
    </w:p>
    <w:p w:rsidR="009A25DA" w:rsidRPr="003B6E11" w:rsidRDefault="009A25DA" w:rsidP="00E65F26">
      <w:pPr>
        <w:pStyle w:val="ESch"/>
        <w:rPr>
          <w:noProof/>
          <w:lang w:val="cs-CZ"/>
        </w:rPr>
      </w:pPr>
    </w:p>
    <w:p w:rsidR="00E65F26" w:rsidRPr="003B6E11" w:rsidRDefault="00E65F26" w:rsidP="009A25DA">
      <w:pPr>
        <w:pStyle w:val="ESchpar"/>
        <w:rPr>
          <w:lang w:val="cs-CZ"/>
        </w:rPr>
      </w:pPr>
      <w:r w:rsidRPr="003B6E11">
        <w:rPr>
          <w:lang w:val="cs-CZ"/>
        </w:rPr>
        <w:t>Odchylně jsou však na lodích bez zařízení na zkapalněný plyn přípustné sprejové pěnové hasicí přístroje, které využívají pěnu tvořící vodní film (AFFF-AR) a jsou mrazuvzdorné do –20 °C, a to i v případě, že nejsou vhodné pro požáry třídy C. Tyto hasicí přístroje musí mít minimální kapacitu 9 litrů.</w:t>
      </w:r>
    </w:p>
    <w:p w:rsidR="009A25DA" w:rsidRPr="003B6E11" w:rsidRDefault="009A25DA" w:rsidP="00E65F26">
      <w:pPr>
        <w:pStyle w:val="ESch"/>
        <w:rPr>
          <w:noProof/>
          <w:lang w:val="cs-CZ"/>
        </w:rPr>
      </w:pPr>
    </w:p>
    <w:p w:rsidR="00E65F26" w:rsidRPr="003B6E11" w:rsidRDefault="00E65F26" w:rsidP="009A25DA">
      <w:pPr>
        <w:pStyle w:val="ESchpar"/>
        <w:rPr>
          <w:lang w:val="cs-CZ"/>
        </w:rPr>
      </w:pPr>
      <w:r w:rsidRPr="003B6E11">
        <w:rPr>
          <w:lang w:val="cs-CZ"/>
        </w:rPr>
        <w:t>Všechny hasicí přístroje musí být vhodné k hašení požárů v elektrických systémech až do 1 000 V.</w:t>
      </w:r>
    </w:p>
    <w:p w:rsidR="009A25DA" w:rsidRPr="003B6E11" w:rsidRDefault="009A25DA" w:rsidP="00E65F26">
      <w:pPr>
        <w:pStyle w:val="ESch"/>
        <w:rPr>
          <w:noProof/>
          <w:lang w:val="cs-CZ"/>
        </w:rPr>
      </w:pPr>
    </w:p>
    <w:p w:rsidR="00E65F26" w:rsidRPr="003B6E11" w:rsidRDefault="00E65F26" w:rsidP="00E65F26">
      <w:pPr>
        <w:pStyle w:val="ESch"/>
        <w:rPr>
          <w:lang w:val="cs-CZ"/>
        </w:rPr>
      </w:pPr>
      <w:r w:rsidRPr="003B6E11">
        <w:rPr>
          <w:lang w:val="cs-CZ"/>
        </w:rPr>
        <w:t>3.</w:t>
      </w:r>
      <w:r w:rsidRPr="003B6E11">
        <w:rPr>
          <w:lang w:val="cs-CZ"/>
        </w:rPr>
        <w:tab/>
        <w:t>Kromě toho lze používat práškové, vodní nebo pěnové hasicí přístroje, které jsou vhodné k likvidaci takového typu ohně, který se může nejpravděpodobněji vyskytnout v prostorech, pro které je hasicí přístroj určen.</w:t>
      </w:r>
    </w:p>
    <w:p w:rsidR="009A25DA" w:rsidRPr="003B6E11" w:rsidRDefault="009A25DA" w:rsidP="00E65F26">
      <w:pPr>
        <w:pStyle w:val="ESch"/>
        <w:rPr>
          <w:noProof/>
          <w:lang w:val="cs-CZ"/>
        </w:rPr>
      </w:pPr>
    </w:p>
    <w:p w:rsidR="00E65F26" w:rsidRPr="003B6E11" w:rsidRDefault="00E65F26" w:rsidP="00E65F26">
      <w:pPr>
        <w:pStyle w:val="ESch"/>
        <w:rPr>
          <w:lang w:val="cs-CZ"/>
        </w:rPr>
      </w:pPr>
      <w:r w:rsidRPr="003B6E11">
        <w:rPr>
          <w:lang w:val="cs-CZ"/>
        </w:rPr>
        <w:t>4.</w:t>
      </w:r>
      <w:r w:rsidRPr="003B6E11">
        <w:rPr>
          <w:lang w:val="cs-CZ"/>
        </w:rPr>
        <w:tab/>
        <w:t>Přenosné hasicí přístroje s CO</w:t>
      </w:r>
      <w:r w:rsidRPr="003B6E11">
        <w:rPr>
          <w:noProof/>
          <w:vertAlign w:val="subscript"/>
          <w:lang w:val="cs-CZ"/>
        </w:rPr>
        <w:t>2</w:t>
      </w:r>
      <w:r w:rsidRPr="003B6E11">
        <w:rPr>
          <w:lang w:val="cs-CZ"/>
        </w:rPr>
        <w:t xml:space="preserve"> jako hasicí náplní lze používat k likvidaci požárů pouze v kuchyních a elektrických zařízeních. Obsah těchto hasicích přístrojů nesmí být větší než 1 kg na 15 m</w:t>
      </w:r>
      <w:r w:rsidRPr="003B6E11">
        <w:rPr>
          <w:noProof/>
          <w:vertAlign w:val="superscript"/>
          <w:lang w:val="cs-CZ"/>
        </w:rPr>
        <w:t>3</w:t>
      </w:r>
      <w:r w:rsidRPr="003B6E11">
        <w:rPr>
          <w:lang w:val="cs-CZ"/>
        </w:rPr>
        <w:t xml:space="preserve"> prostoru, v němž jsou přístroje k dispozici pro použití.</w:t>
      </w:r>
    </w:p>
    <w:p w:rsidR="009A25DA" w:rsidRPr="003B6E11" w:rsidRDefault="009A25DA" w:rsidP="00E65F26">
      <w:pPr>
        <w:pStyle w:val="ESch"/>
        <w:rPr>
          <w:noProof/>
          <w:lang w:val="cs-CZ"/>
        </w:rPr>
      </w:pPr>
    </w:p>
    <w:p w:rsidR="009A25DA" w:rsidRPr="003B6E11" w:rsidRDefault="009A25DA" w:rsidP="00E65F26">
      <w:pPr>
        <w:pStyle w:val="ESch"/>
        <w:rPr>
          <w:noProof/>
          <w:lang w:val="cs-CZ"/>
        </w:rPr>
      </w:pPr>
      <w:r w:rsidRPr="003B6E11">
        <w:rPr>
          <w:lang w:val="cs-CZ"/>
        </w:rPr>
        <w:br w:type="page"/>
      </w:r>
    </w:p>
    <w:p w:rsidR="00E65F26" w:rsidRPr="003B6E11" w:rsidRDefault="00E65F26" w:rsidP="00E65F26">
      <w:pPr>
        <w:pStyle w:val="ESch"/>
        <w:rPr>
          <w:lang w:val="cs-CZ"/>
        </w:rPr>
      </w:pPr>
      <w:r w:rsidRPr="003B6E11">
        <w:rPr>
          <w:lang w:val="cs-CZ"/>
        </w:rPr>
        <w:t>5.</w:t>
      </w:r>
      <w:r w:rsidRPr="003B6E11">
        <w:rPr>
          <w:lang w:val="cs-CZ"/>
        </w:rPr>
        <w:tab/>
        <w:t>Přenosné hasicí přístroje musí být kontrolovány nejméně jednou za dva roky odborně způsobilou osobou. Na hasicím přístroji musí být umístěn kontrolní štítek podepsaný odborně způsobilou osobou, na němž je uvedeno datum prohlídky.</w:t>
      </w:r>
    </w:p>
    <w:p w:rsidR="009A25DA" w:rsidRPr="003B6E11" w:rsidRDefault="009A25DA" w:rsidP="00E65F26">
      <w:pPr>
        <w:pStyle w:val="ESch"/>
        <w:rPr>
          <w:noProof/>
          <w:lang w:val="cs-CZ"/>
        </w:rPr>
      </w:pPr>
    </w:p>
    <w:p w:rsidR="00E65F26" w:rsidRPr="003B6E11" w:rsidRDefault="00E65F26" w:rsidP="00E65F26">
      <w:pPr>
        <w:pStyle w:val="ESch"/>
        <w:rPr>
          <w:lang w:val="cs-CZ"/>
        </w:rPr>
      </w:pPr>
      <w:r w:rsidRPr="003B6E11">
        <w:rPr>
          <w:lang w:val="cs-CZ"/>
        </w:rPr>
        <w:t>6.</w:t>
      </w:r>
      <w:r w:rsidRPr="003B6E11">
        <w:rPr>
          <w:lang w:val="cs-CZ"/>
        </w:rPr>
        <w:tab/>
        <w:t>Jsou-li přenosné hasicí přístroje umístěné skrytě, musí být jejich kryt označen symbolem pro hasicí přístroje podle obrázku 3 v příloze 4, který má délku strany nejméně 10 cm.</w:t>
      </w:r>
    </w:p>
    <w:p w:rsidR="00E65F26" w:rsidRPr="003B6E11" w:rsidRDefault="00E65F26" w:rsidP="00E65F26">
      <w:pPr>
        <w:pStyle w:val="ESch"/>
        <w:rPr>
          <w:lang w:val="cs-CZ"/>
        </w:rPr>
      </w:pPr>
    </w:p>
    <w:p w:rsidR="00824063" w:rsidRPr="003B6E11" w:rsidRDefault="00824063" w:rsidP="00E65F26">
      <w:pPr>
        <w:pStyle w:val="ESch"/>
        <w:rPr>
          <w:lang w:val="cs-CZ"/>
        </w:rPr>
      </w:pPr>
    </w:p>
    <w:p w:rsidR="00E65F26" w:rsidRPr="003B6E11" w:rsidRDefault="00E65F26" w:rsidP="009A25DA">
      <w:pPr>
        <w:pStyle w:val="ES-Titre3"/>
        <w:rPr>
          <w:i/>
          <w:lang w:val="cs-CZ"/>
        </w:rPr>
      </w:pPr>
      <w:bookmarkStart w:id="216" w:name="_Toc491854105"/>
      <w:bookmarkStart w:id="217" w:name="_Toc535417011"/>
      <w:r w:rsidRPr="003B6E11">
        <w:rPr>
          <w:lang w:val="cs-CZ"/>
        </w:rPr>
        <w:t>Článek 13.04</w:t>
      </w:r>
      <w:r w:rsidRPr="003B6E11">
        <w:rPr>
          <w:lang w:val="cs-CZ"/>
        </w:rPr>
        <w:br/>
      </w:r>
      <w:r w:rsidRPr="003B6E11">
        <w:rPr>
          <w:i/>
          <w:noProof/>
          <w:lang w:val="cs-CZ"/>
        </w:rPr>
        <w:t>Pevně instalované protipožární systémy k ochraně obytných</w:t>
      </w:r>
      <w:r w:rsidRPr="003B6E11">
        <w:rPr>
          <w:i/>
          <w:noProof/>
          <w:lang w:val="cs-CZ"/>
        </w:rPr>
        <w:br/>
        <w:t>prostorů, kormidelen a místností pro cestující</w:t>
      </w:r>
      <w:bookmarkEnd w:id="216"/>
      <w:bookmarkEnd w:id="217"/>
    </w:p>
    <w:p w:rsidR="009A25DA" w:rsidRPr="003B6E11" w:rsidRDefault="009A25DA" w:rsidP="00E65F26">
      <w:pPr>
        <w:pStyle w:val="ESch"/>
        <w:rPr>
          <w:noProof/>
          <w:lang w:val="cs-CZ"/>
        </w:rPr>
      </w:pPr>
    </w:p>
    <w:p w:rsidR="00E65F26" w:rsidRPr="003B6E11" w:rsidRDefault="00E65F26" w:rsidP="00E65F26">
      <w:pPr>
        <w:pStyle w:val="ESch"/>
        <w:rPr>
          <w:lang w:val="cs-CZ"/>
        </w:rPr>
      </w:pPr>
      <w:r w:rsidRPr="003B6E11">
        <w:rPr>
          <w:lang w:val="cs-CZ"/>
        </w:rPr>
        <w:t>1.</w:t>
      </w:r>
      <w:r w:rsidRPr="003B6E11">
        <w:rPr>
          <w:lang w:val="cs-CZ"/>
        </w:rPr>
        <w:tab/>
        <w:t>K ochraně obytných prostorů, kormidelen a místností pro cestující jsou jako pevně instalované protipožární systémy povoleny pouze vhodné automatické sprinklerové protipožární systémy s tlakovou vodou.</w:t>
      </w:r>
    </w:p>
    <w:p w:rsidR="00824063" w:rsidRPr="003B6E11" w:rsidRDefault="00824063" w:rsidP="00E65F26">
      <w:pPr>
        <w:pStyle w:val="ESch"/>
        <w:rPr>
          <w:noProof/>
          <w:lang w:val="cs-CZ"/>
        </w:rPr>
      </w:pPr>
    </w:p>
    <w:p w:rsidR="00E65F26" w:rsidRPr="003B6E11" w:rsidRDefault="00E65F26" w:rsidP="00E65F26">
      <w:pPr>
        <w:pStyle w:val="ESch"/>
        <w:rPr>
          <w:lang w:val="cs-CZ"/>
        </w:rPr>
      </w:pPr>
      <w:r w:rsidRPr="003B6E11">
        <w:rPr>
          <w:lang w:val="cs-CZ"/>
        </w:rPr>
        <w:t>2.</w:t>
      </w:r>
      <w:r w:rsidRPr="003B6E11">
        <w:rPr>
          <w:lang w:val="cs-CZ"/>
        </w:rPr>
        <w:tab/>
        <w:t>Instalaci nebo přestavbu těchto systémů smí provádět pouze odborné firmy.</w:t>
      </w:r>
    </w:p>
    <w:p w:rsidR="00824063" w:rsidRPr="003B6E11" w:rsidRDefault="00824063" w:rsidP="00E65F26">
      <w:pPr>
        <w:pStyle w:val="ESch"/>
        <w:rPr>
          <w:noProof/>
          <w:lang w:val="cs-CZ"/>
        </w:rPr>
      </w:pPr>
    </w:p>
    <w:p w:rsidR="00E65F26" w:rsidRPr="003B6E11" w:rsidRDefault="00E65F26" w:rsidP="00E65F26">
      <w:pPr>
        <w:pStyle w:val="ESch"/>
        <w:rPr>
          <w:lang w:val="cs-CZ"/>
        </w:rPr>
      </w:pPr>
      <w:r w:rsidRPr="003B6E11">
        <w:rPr>
          <w:lang w:val="cs-CZ"/>
        </w:rPr>
        <w:t>3.</w:t>
      </w:r>
      <w:r w:rsidRPr="003B6E11">
        <w:rPr>
          <w:lang w:val="cs-CZ"/>
        </w:rPr>
        <w:tab/>
        <w:t>Systémy musí být vyrobeny z oceli nebo rovnocenných nehořlavých materiálů.</w:t>
      </w:r>
    </w:p>
    <w:p w:rsidR="00824063" w:rsidRPr="003B6E11" w:rsidRDefault="00824063" w:rsidP="00E65F26">
      <w:pPr>
        <w:pStyle w:val="ESch"/>
        <w:rPr>
          <w:noProof/>
          <w:lang w:val="cs-CZ"/>
        </w:rPr>
      </w:pPr>
    </w:p>
    <w:p w:rsidR="00E65F26" w:rsidRPr="003B6E11" w:rsidRDefault="00E65F26" w:rsidP="00E65F26">
      <w:pPr>
        <w:pStyle w:val="ESch"/>
        <w:rPr>
          <w:lang w:val="cs-CZ"/>
        </w:rPr>
      </w:pPr>
      <w:r w:rsidRPr="003B6E11">
        <w:rPr>
          <w:lang w:val="cs-CZ"/>
        </w:rPr>
        <w:t>4.</w:t>
      </w:r>
      <w:r w:rsidRPr="003B6E11">
        <w:rPr>
          <w:lang w:val="cs-CZ"/>
        </w:rPr>
        <w:tab/>
        <w:t>Systémy musí být schopné rozstřikovat vodu intenzitou nejméně 5 l/m</w:t>
      </w:r>
      <w:r w:rsidRPr="003B6E11">
        <w:rPr>
          <w:noProof/>
          <w:vertAlign w:val="superscript"/>
          <w:lang w:val="cs-CZ"/>
        </w:rPr>
        <w:t>2</w:t>
      </w:r>
      <w:r w:rsidRPr="003B6E11">
        <w:rPr>
          <w:lang w:val="cs-CZ"/>
        </w:rPr>
        <w:t xml:space="preserve"> za minutu nad plochou největší místnosti, která má být chráněna.</w:t>
      </w:r>
    </w:p>
    <w:p w:rsidR="00824063" w:rsidRPr="003B6E11" w:rsidRDefault="00824063" w:rsidP="00E65F26">
      <w:pPr>
        <w:pStyle w:val="ESch"/>
        <w:rPr>
          <w:noProof/>
          <w:lang w:val="cs-CZ"/>
        </w:rPr>
      </w:pPr>
    </w:p>
    <w:p w:rsidR="00E65F26" w:rsidRPr="003B6E11" w:rsidRDefault="00E65F26" w:rsidP="00E65F26">
      <w:pPr>
        <w:pStyle w:val="ESch"/>
        <w:rPr>
          <w:lang w:val="cs-CZ"/>
        </w:rPr>
      </w:pPr>
      <w:r w:rsidRPr="003B6E11">
        <w:rPr>
          <w:lang w:val="cs-CZ"/>
        </w:rPr>
        <w:t>5.</w:t>
      </w:r>
      <w:r w:rsidRPr="003B6E11">
        <w:rPr>
          <w:lang w:val="cs-CZ"/>
        </w:rPr>
        <w:tab/>
        <w:t>Systémy, které rozstřikují menší množství vody, musí být typově schváleny podle rezoluce IMO A.800 (19)</w:t>
      </w:r>
      <w:r w:rsidRPr="003B6E11">
        <w:rPr>
          <w:rStyle w:val="FootnoteReference"/>
          <w:noProof/>
          <w:lang w:val="cs-CZ"/>
        </w:rPr>
        <w:footnoteReference w:id="9"/>
      </w:r>
      <w:r w:rsidRPr="003B6E11">
        <w:rPr>
          <w:lang w:val="cs-CZ"/>
        </w:rPr>
        <w:t xml:space="preserve"> nebo jiné normy uznané jedním z členských států. Schválení typu provádí uznaná klasifikační společnost nebo akreditovaný zkušební ústav. </w:t>
      </w:r>
      <w:r w:rsidRPr="003B6E11">
        <w:rPr>
          <w:rFonts w:ascii="ArialMT" w:hAnsi="ArialMT"/>
          <w:lang w:val="cs-CZ"/>
        </w:rPr>
        <w:t>Akreditovaný zkušební ústav musí splňovat požadavky evropské normy EN ISO/IEC 17025:2005.</w:t>
      </w:r>
    </w:p>
    <w:p w:rsidR="00824063" w:rsidRPr="003B6E11" w:rsidRDefault="00824063" w:rsidP="00E65F26">
      <w:pPr>
        <w:pStyle w:val="ESch"/>
        <w:rPr>
          <w:noProof/>
          <w:lang w:val="cs-CZ"/>
        </w:rPr>
      </w:pPr>
    </w:p>
    <w:p w:rsidR="00E65F26" w:rsidRPr="003B6E11" w:rsidRDefault="00E65F26" w:rsidP="00E65F26">
      <w:pPr>
        <w:pStyle w:val="ESch"/>
        <w:rPr>
          <w:lang w:val="cs-CZ"/>
        </w:rPr>
      </w:pPr>
      <w:r w:rsidRPr="003B6E11">
        <w:rPr>
          <w:lang w:val="cs-CZ"/>
        </w:rPr>
        <w:t>6.</w:t>
      </w:r>
      <w:r w:rsidRPr="003B6E11">
        <w:rPr>
          <w:lang w:val="cs-CZ"/>
        </w:rPr>
        <w:tab/>
        <w:t>Systémy musí zkontrolovat odborník:</w:t>
      </w:r>
    </w:p>
    <w:p w:rsidR="00E65F26" w:rsidRPr="003B6E11" w:rsidRDefault="005C7859" w:rsidP="00824063">
      <w:pPr>
        <w:pStyle w:val="ESlet"/>
        <w:rPr>
          <w:lang w:val="cs-CZ"/>
        </w:rPr>
      </w:pPr>
      <w:r w:rsidRPr="003B6E11">
        <w:rPr>
          <w:lang w:val="cs-CZ"/>
        </w:rPr>
        <w:t>a)</w:t>
      </w:r>
      <w:r w:rsidRPr="003B6E11">
        <w:rPr>
          <w:lang w:val="cs-CZ"/>
        </w:rPr>
        <w:tab/>
        <w:t>před prvním uvedením do provozu;</w:t>
      </w:r>
    </w:p>
    <w:p w:rsidR="00E65F26" w:rsidRPr="003B6E11" w:rsidRDefault="005C7859" w:rsidP="00824063">
      <w:pPr>
        <w:pStyle w:val="ESlet"/>
        <w:rPr>
          <w:lang w:val="cs-CZ"/>
        </w:rPr>
      </w:pPr>
      <w:r w:rsidRPr="003B6E11">
        <w:rPr>
          <w:lang w:val="cs-CZ"/>
        </w:rPr>
        <w:t>b)</w:t>
      </w:r>
      <w:r w:rsidRPr="003B6E11">
        <w:rPr>
          <w:lang w:val="cs-CZ"/>
        </w:rPr>
        <w:tab/>
        <w:t>před opětovným uvedením do provozu po spuštění;</w:t>
      </w:r>
    </w:p>
    <w:p w:rsidR="00E65F26" w:rsidRPr="003B6E11" w:rsidRDefault="005C7859" w:rsidP="00824063">
      <w:pPr>
        <w:pStyle w:val="ESlet"/>
        <w:rPr>
          <w:lang w:val="cs-CZ"/>
        </w:rPr>
      </w:pPr>
      <w:r w:rsidRPr="003B6E11">
        <w:rPr>
          <w:lang w:val="cs-CZ"/>
        </w:rPr>
        <w:t>c)</w:t>
      </w:r>
      <w:r w:rsidRPr="003B6E11">
        <w:rPr>
          <w:lang w:val="cs-CZ"/>
        </w:rPr>
        <w:tab/>
        <w:t>před opětovným uvedením do provozu po jakékoli závažnější úpravě nebo opravě a</w:t>
      </w:r>
    </w:p>
    <w:p w:rsidR="00E65F26" w:rsidRPr="003B6E11" w:rsidRDefault="005C7859" w:rsidP="00824063">
      <w:pPr>
        <w:pStyle w:val="ESlet"/>
        <w:rPr>
          <w:lang w:val="cs-CZ"/>
        </w:rPr>
      </w:pPr>
      <w:r w:rsidRPr="003B6E11">
        <w:rPr>
          <w:lang w:val="cs-CZ"/>
        </w:rPr>
        <w:t>d)</w:t>
      </w:r>
      <w:r w:rsidRPr="003B6E11">
        <w:rPr>
          <w:lang w:val="cs-CZ"/>
        </w:rPr>
        <w:tab/>
        <w:t>pravidelně nejméně jednou za dva roky.</w:t>
      </w:r>
    </w:p>
    <w:p w:rsidR="00824063" w:rsidRPr="003B6E11" w:rsidRDefault="00824063" w:rsidP="00E65F26">
      <w:pPr>
        <w:pStyle w:val="ESch"/>
        <w:rPr>
          <w:noProof/>
          <w:lang w:val="cs-CZ"/>
        </w:rPr>
      </w:pPr>
    </w:p>
    <w:p w:rsidR="00E65F26" w:rsidRPr="003B6E11" w:rsidRDefault="00E65F26" w:rsidP="00824063">
      <w:pPr>
        <w:pStyle w:val="ESchpar"/>
        <w:rPr>
          <w:lang w:val="cs-CZ"/>
        </w:rPr>
      </w:pPr>
      <w:r w:rsidRPr="003B6E11">
        <w:rPr>
          <w:lang w:val="cs-CZ"/>
        </w:rPr>
        <w:t>Kontroly uvedené v písmenu d) může provádět i odborně způsobilá osoba z příslušné firmy specializované na protipožární systémy.</w:t>
      </w:r>
    </w:p>
    <w:p w:rsidR="00824063" w:rsidRPr="003B6E11" w:rsidRDefault="00824063" w:rsidP="00E65F26">
      <w:pPr>
        <w:pStyle w:val="ESch"/>
        <w:rPr>
          <w:noProof/>
          <w:lang w:val="cs-CZ"/>
        </w:rPr>
      </w:pPr>
    </w:p>
    <w:p w:rsidR="00E65F26" w:rsidRPr="003B6E11" w:rsidRDefault="00E65F26" w:rsidP="00E65F26">
      <w:pPr>
        <w:pStyle w:val="ESch"/>
        <w:rPr>
          <w:lang w:val="cs-CZ"/>
        </w:rPr>
      </w:pPr>
      <w:r w:rsidRPr="003B6E11">
        <w:rPr>
          <w:lang w:val="cs-CZ"/>
        </w:rPr>
        <w:t>7.</w:t>
      </w:r>
      <w:r w:rsidRPr="003B6E11">
        <w:rPr>
          <w:lang w:val="cs-CZ"/>
        </w:rPr>
        <w:tab/>
        <w:t>Při kontrole podle odstavce 6 odborník nebo odborně způsobilá osoba ověří, zda systémy splňují požadavky tohoto článku.</w:t>
      </w:r>
    </w:p>
    <w:p w:rsidR="00824063" w:rsidRPr="003B6E11" w:rsidRDefault="00824063" w:rsidP="00E65F26">
      <w:pPr>
        <w:pStyle w:val="ESch"/>
        <w:rPr>
          <w:noProof/>
          <w:lang w:val="cs-CZ"/>
        </w:rPr>
      </w:pPr>
    </w:p>
    <w:p w:rsidR="00E65F26" w:rsidRPr="003B6E11" w:rsidRDefault="00E65F26" w:rsidP="00824063">
      <w:pPr>
        <w:pStyle w:val="ESchpar"/>
        <w:rPr>
          <w:lang w:val="cs-CZ"/>
        </w:rPr>
      </w:pPr>
      <w:r w:rsidRPr="003B6E11">
        <w:rPr>
          <w:lang w:val="cs-CZ"/>
        </w:rPr>
        <w:t>Kontrola musí zahrnovat alespoň:</w:t>
      </w:r>
    </w:p>
    <w:p w:rsidR="00E65F26" w:rsidRPr="003B6E11" w:rsidRDefault="005C7859" w:rsidP="00824063">
      <w:pPr>
        <w:pStyle w:val="ESlet"/>
        <w:rPr>
          <w:lang w:val="cs-CZ"/>
        </w:rPr>
      </w:pPr>
      <w:r w:rsidRPr="003B6E11">
        <w:rPr>
          <w:lang w:val="cs-CZ"/>
        </w:rPr>
        <w:t>a)</w:t>
      </w:r>
      <w:r w:rsidRPr="003B6E11">
        <w:rPr>
          <w:lang w:val="cs-CZ"/>
        </w:rPr>
        <w:tab/>
        <w:t>vnější prohlídku celého systému;</w:t>
      </w:r>
    </w:p>
    <w:p w:rsidR="00E65F26" w:rsidRPr="003B6E11" w:rsidRDefault="005C7859" w:rsidP="00824063">
      <w:pPr>
        <w:pStyle w:val="ESlet"/>
        <w:rPr>
          <w:lang w:val="cs-CZ"/>
        </w:rPr>
      </w:pPr>
      <w:r w:rsidRPr="003B6E11">
        <w:rPr>
          <w:lang w:val="cs-CZ"/>
        </w:rPr>
        <w:t>b)</w:t>
      </w:r>
      <w:r w:rsidRPr="003B6E11">
        <w:rPr>
          <w:lang w:val="cs-CZ"/>
        </w:rPr>
        <w:tab/>
        <w:t>zkoušku funkčnosti bezpečnostních systémů a trysek;</w:t>
      </w:r>
    </w:p>
    <w:p w:rsidR="00E65F26" w:rsidRPr="003B6E11" w:rsidRDefault="005C7859" w:rsidP="00824063">
      <w:pPr>
        <w:pStyle w:val="ESlet"/>
        <w:rPr>
          <w:lang w:val="cs-CZ"/>
        </w:rPr>
      </w:pPr>
      <w:r w:rsidRPr="003B6E11">
        <w:rPr>
          <w:lang w:val="cs-CZ"/>
        </w:rPr>
        <w:t>c)</w:t>
      </w:r>
      <w:r w:rsidRPr="003B6E11">
        <w:rPr>
          <w:lang w:val="cs-CZ"/>
        </w:rPr>
        <w:tab/>
        <w:t>zkoušku funkčnosti tlakových nádob a čerpacího systému.</w:t>
      </w:r>
    </w:p>
    <w:p w:rsidR="00824063" w:rsidRPr="003B6E11" w:rsidRDefault="00824063" w:rsidP="00E65F26">
      <w:pPr>
        <w:pStyle w:val="ESch"/>
        <w:rPr>
          <w:noProof/>
          <w:lang w:val="cs-CZ"/>
        </w:rPr>
      </w:pPr>
    </w:p>
    <w:p w:rsidR="00824063" w:rsidRPr="003B6E11" w:rsidRDefault="00824063" w:rsidP="00E65F26">
      <w:pPr>
        <w:pStyle w:val="ESch"/>
        <w:rPr>
          <w:noProof/>
          <w:lang w:val="cs-CZ"/>
        </w:rPr>
      </w:pPr>
      <w:r w:rsidRPr="003B6E11">
        <w:rPr>
          <w:lang w:val="cs-CZ"/>
        </w:rPr>
        <w:br w:type="page"/>
      </w:r>
    </w:p>
    <w:p w:rsidR="00E65F26" w:rsidRPr="003B6E11" w:rsidRDefault="00E65F26" w:rsidP="00E65F26">
      <w:pPr>
        <w:pStyle w:val="ESch"/>
        <w:rPr>
          <w:lang w:val="cs-CZ"/>
        </w:rPr>
      </w:pPr>
      <w:r w:rsidRPr="003B6E11">
        <w:rPr>
          <w:lang w:val="cs-CZ"/>
        </w:rPr>
        <w:t>8.</w:t>
      </w:r>
      <w:r w:rsidRPr="003B6E11">
        <w:rPr>
          <w:lang w:val="cs-CZ"/>
        </w:rPr>
        <w:tab/>
        <w:t>Musí být vystaveno potvrzení o prohlídce podepsané odborníkem nebo odborně způsobilou osobou, na němž je uvedeno datum prohlídky.</w:t>
      </w:r>
    </w:p>
    <w:p w:rsidR="00824063" w:rsidRPr="003B6E11" w:rsidRDefault="00824063" w:rsidP="00E65F26">
      <w:pPr>
        <w:pStyle w:val="ESch"/>
        <w:rPr>
          <w:noProof/>
          <w:lang w:val="cs-CZ"/>
        </w:rPr>
      </w:pPr>
    </w:p>
    <w:p w:rsidR="00E65F26" w:rsidRPr="003B6E11" w:rsidRDefault="00E65F26" w:rsidP="00E65F26">
      <w:pPr>
        <w:pStyle w:val="ESch"/>
        <w:rPr>
          <w:lang w:val="cs-CZ"/>
        </w:rPr>
      </w:pPr>
      <w:r w:rsidRPr="003B6E11">
        <w:rPr>
          <w:lang w:val="cs-CZ"/>
        </w:rPr>
        <w:t>9.</w:t>
      </w:r>
      <w:r w:rsidRPr="003B6E11">
        <w:rPr>
          <w:lang w:val="cs-CZ"/>
        </w:rPr>
        <w:tab/>
        <w:t>Počet instalovaných systémů se uvede v osvědčení plavidla vnitrozemské plavby.</w:t>
      </w:r>
    </w:p>
    <w:p w:rsidR="00E65F26" w:rsidRPr="003B6E11" w:rsidRDefault="00E65F26" w:rsidP="00E65F26">
      <w:pPr>
        <w:pStyle w:val="ESch"/>
        <w:rPr>
          <w:lang w:val="cs-CZ"/>
        </w:rPr>
      </w:pPr>
    </w:p>
    <w:p w:rsidR="00E65F26" w:rsidRPr="003B6E11" w:rsidRDefault="00E65F26" w:rsidP="00E65F26">
      <w:pPr>
        <w:pStyle w:val="ESch"/>
        <w:rPr>
          <w:lang w:val="cs-CZ"/>
        </w:rPr>
      </w:pPr>
    </w:p>
    <w:p w:rsidR="00E65F26" w:rsidRPr="003B6E11" w:rsidRDefault="00E65F26" w:rsidP="00824063">
      <w:pPr>
        <w:pStyle w:val="ES-Titre3"/>
        <w:rPr>
          <w:i/>
          <w:noProof/>
          <w:lang w:val="cs-CZ"/>
        </w:rPr>
      </w:pPr>
      <w:bookmarkStart w:id="218" w:name="_Toc491854106"/>
      <w:bookmarkStart w:id="219" w:name="_Toc535417012"/>
      <w:r w:rsidRPr="003B6E11">
        <w:rPr>
          <w:lang w:val="cs-CZ"/>
        </w:rPr>
        <w:t>Článek 13.05</w:t>
      </w:r>
      <w:r w:rsidRPr="003B6E11">
        <w:rPr>
          <w:lang w:val="cs-CZ"/>
        </w:rPr>
        <w:br/>
      </w:r>
      <w:r w:rsidRPr="003B6E11">
        <w:rPr>
          <w:i/>
          <w:noProof/>
          <w:lang w:val="cs-CZ"/>
        </w:rPr>
        <w:t>Pevně instalované protipožární systémy k ochraně strojoven, kotelen a strojoven čerpadel</w:t>
      </w:r>
      <w:bookmarkEnd w:id="218"/>
      <w:bookmarkEnd w:id="219"/>
    </w:p>
    <w:p w:rsidR="00824063" w:rsidRPr="003B6E11" w:rsidRDefault="00824063" w:rsidP="00E65F26">
      <w:pPr>
        <w:pStyle w:val="ESch"/>
        <w:rPr>
          <w:noProof/>
          <w:lang w:val="cs-CZ"/>
        </w:rPr>
      </w:pPr>
    </w:p>
    <w:p w:rsidR="00E65F26" w:rsidRPr="003B6E11" w:rsidRDefault="00E65F26" w:rsidP="00E65F26">
      <w:pPr>
        <w:pStyle w:val="ESch"/>
        <w:rPr>
          <w:lang w:val="cs-CZ"/>
        </w:rPr>
      </w:pPr>
      <w:r w:rsidRPr="003B6E11">
        <w:rPr>
          <w:lang w:val="cs-CZ"/>
        </w:rPr>
        <w:t>1.</w:t>
      </w:r>
      <w:r w:rsidRPr="003B6E11">
        <w:rPr>
          <w:lang w:val="cs-CZ"/>
        </w:rPr>
        <w:tab/>
        <w:t>Hasicí látky</w:t>
      </w:r>
    </w:p>
    <w:p w:rsidR="00824063" w:rsidRPr="003B6E11" w:rsidRDefault="00824063" w:rsidP="00E65F26">
      <w:pPr>
        <w:pStyle w:val="ESch"/>
        <w:rPr>
          <w:noProof/>
          <w:lang w:val="cs-CZ"/>
        </w:rPr>
      </w:pPr>
    </w:p>
    <w:p w:rsidR="00E65F26" w:rsidRPr="003B6E11" w:rsidRDefault="00E65F26" w:rsidP="00824063">
      <w:pPr>
        <w:pStyle w:val="ESchpar"/>
        <w:rPr>
          <w:lang w:val="cs-CZ"/>
        </w:rPr>
      </w:pPr>
      <w:r w:rsidRPr="003B6E11">
        <w:rPr>
          <w:lang w:val="cs-CZ"/>
        </w:rPr>
        <w:t>K ochraně strojoven, kotelen a strojoven čerpadel je v pevně instalovaných protipožárních systémech možno použít pouze tyto hasicí látky:</w:t>
      </w:r>
    </w:p>
    <w:p w:rsidR="00E65F26" w:rsidRPr="003B6E11" w:rsidRDefault="005C7859" w:rsidP="00824063">
      <w:pPr>
        <w:pStyle w:val="ESlet"/>
        <w:rPr>
          <w:lang w:val="cs-CZ"/>
        </w:rPr>
      </w:pPr>
      <w:r w:rsidRPr="003B6E11">
        <w:rPr>
          <w:lang w:val="cs-CZ"/>
        </w:rPr>
        <w:t>a)</w:t>
      </w:r>
      <w:r w:rsidRPr="003B6E11">
        <w:rPr>
          <w:lang w:val="cs-CZ"/>
        </w:rPr>
        <w:tab/>
        <w:t>CO</w:t>
      </w:r>
      <w:r w:rsidRPr="003B6E11">
        <w:rPr>
          <w:noProof/>
          <w:vertAlign w:val="subscript"/>
          <w:lang w:val="cs-CZ"/>
        </w:rPr>
        <w:t>2</w:t>
      </w:r>
      <w:r w:rsidRPr="003B6E11">
        <w:rPr>
          <w:lang w:val="cs-CZ"/>
        </w:rPr>
        <w:t xml:space="preserve"> (oxid uhličitý);</w:t>
      </w:r>
    </w:p>
    <w:p w:rsidR="00E65F26" w:rsidRPr="003B6E11" w:rsidRDefault="005C7859" w:rsidP="00824063">
      <w:pPr>
        <w:pStyle w:val="ESlet"/>
        <w:rPr>
          <w:lang w:val="cs-CZ"/>
        </w:rPr>
      </w:pPr>
      <w:r w:rsidRPr="003B6E11">
        <w:rPr>
          <w:lang w:val="cs-CZ"/>
        </w:rPr>
        <w:t>b)</w:t>
      </w:r>
      <w:r w:rsidRPr="003B6E11">
        <w:rPr>
          <w:lang w:val="cs-CZ"/>
        </w:rPr>
        <w:tab/>
        <w:t>HFC 227ea (heptafluorpropan);</w:t>
      </w:r>
    </w:p>
    <w:p w:rsidR="00E65F26" w:rsidRPr="003B6E11" w:rsidRDefault="005C7859" w:rsidP="00824063">
      <w:pPr>
        <w:pStyle w:val="ESlet"/>
        <w:rPr>
          <w:lang w:val="cs-CZ"/>
        </w:rPr>
      </w:pPr>
      <w:r w:rsidRPr="003B6E11">
        <w:rPr>
          <w:lang w:val="cs-CZ"/>
        </w:rPr>
        <w:t>c)</w:t>
      </w:r>
      <w:r w:rsidRPr="003B6E11">
        <w:rPr>
          <w:lang w:val="cs-CZ"/>
        </w:rPr>
        <w:tab/>
        <w:t>IG-541 (52 % dusík, 40 % argon, 8 % oxid uhličitý);</w:t>
      </w:r>
    </w:p>
    <w:p w:rsidR="00E65F26" w:rsidRPr="003B6E11" w:rsidRDefault="005C7859" w:rsidP="00824063">
      <w:pPr>
        <w:pStyle w:val="ESlet"/>
        <w:rPr>
          <w:noProof/>
          <w:lang w:val="cs-CZ"/>
        </w:rPr>
      </w:pPr>
      <w:r w:rsidRPr="003B6E11">
        <w:rPr>
          <w:lang w:val="cs-CZ"/>
        </w:rPr>
        <w:t>d)</w:t>
      </w:r>
      <w:r w:rsidRPr="003B6E11">
        <w:rPr>
          <w:lang w:val="cs-CZ"/>
        </w:rPr>
        <w:tab/>
        <w:t>FK-5-1-12 (dodekafluoro-2-methylpentan-3-on);</w:t>
      </w:r>
    </w:p>
    <w:p w:rsidR="0088585A" w:rsidRPr="003B6E11" w:rsidRDefault="0088585A" w:rsidP="00824063">
      <w:pPr>
        <w:pStyle w:val="ESlet"/>
        <w:rPr>
          <w:lang w:val="cs-CZ"/>
        </w:rPr>
      </w:pPr>
      <w:r w:rsidRPr="003B6E11">
        <w:rPr>
          <w:lang w:val="cs-CZ"/>
        </w:rPr>
        <w:t>e)</w:t>
      </w:r>
      <w:r w:rsidRPr="003B6E11">
        <w:rPr>
          <w:lang w:val="cs-CZ"/>
        </w:rPr>
        <w:tab/>
        <w:t>voda.</w:t>
      </w:r>
    </w:p>
    <w:p w:rsidR="00E65F26" w:rsidRPr="003B6E11" w:rsidRDefault="00E65F26" w:rsidP="00E65F26">
      <w:pPr>
        <w:pStyle w:val="ESch"/>
        <w:rPr>
          <w:lang w:val="cs-CZ"/>
        </w:rPr>
      </w:pPr>
    </w:p>
    <w:p w:rsidR="00E65F26" w:rsidRPr="003B6E11" w:rsidRDefault="00E65F26" w:rsidP="00E65F26">
      <w:pPr>
        <w:pStyle w:val="ESch"/>
        <w:rPr>
          <w:lang w:val="cs-CZ"/>
        </w:rPr>
      </w:pPr>
      <w:r w:rsidRPr="003B6E11">
        <w:rPr>
          <w:lang w:val="cs-CZ"/>
        </w:rPr>
        <w:t>2.</w:t>
      </w:r>
      <w:r w:rsidRPr="003B6E11">
        <w:rPr>
          <w:lang w:val="cs-CZ"/>
        </w:rPr>
        <w:tab/>
        <w:t>Větrání, přívod vzduchu</w:t>
      </w:r>
    </w:p>
    <w:p w:rsidR="00E65F26" w:rsidRPr="003B6E11" w:rsidRDefault="005C7859" w:rsidP="00824063">
      <w:pPr>
        <w:pStyle w:val="ESlet"/>
        <w:rPr>
          <w:lang w:val="cs-CZ"/>
        </w:rPr>
      </w:pPr>
      <w:r w:rsidRPr="003B6E11">
        <w:rPr>
          <w:lang w:val="cs-CZ"/>
        </w:rPr>
        <w:t>a)</w:t>
      </w:r>
      <w:r w:rsidRPr="003B6E11">
        <w:rPr>
          <w:lang w:val="cs-CZ"/>
        </w:rPr>
        <w:tab/>
        <w:t>Spalovací vzduch pro pohonné motory nesmí být nasáván z prostor, které mají být chráněny pevně instalovanými protipožárními systémy. Toto neplatí, pokud existují dvě navzájem nezávislé a hermeticky oddělené hlavní strojovny nebo pokud se vedle hlavní strojovny nachází samostatná strojovna s bočním pohonem přídě, aby bylo zajištěno, že v případě požáru v hlavní strojovně může loď pokračovat v plavbě pomocí vlastního pohonu.</w:t>
      </w:r>
    </w:p>
    <w:p w:rsidR="00E65F26" w:rsidRPr="003B6E11" w:rsidRDefault="005C7859" w:rsidP="00824063">
      <w:pPr>
        <w:pStyle w:val="ESlet"/>
        <w:rPr>
          <w:lang w:val="cs-CZ"/>
        </w:rPr>
      </w:pPr>
      <w:r w:rsidRPr="003B6E11">
        <w:rPr>
          <w:lang w:val="cs-CZ"/>
        </w:rPr>
        <w:t>b)</w:t>
      </w:r>
      <w:r w:rsidRPr="003B6E11">
        <w:rPr>
          <w:lang w:val="cs-CZ"/>
        </w:rPr>
        <w:tab/>
        <w:t>Větrání s nuceným prouděním vzduchu v místnosti, která má být chráněna, se musí při spuštění protipožárního systému automaticky vypnout.</w:t>
      </w:r>
    </w:p>
    <w:p w:rsidR="00E65F26" w:rsidRPr="003B6E11" w:rsidRDefault="005C7859" w:rsidP="00824063">
      <w:pPr>
        <w:pStyle w:val="ESlet"/>
        <w:rPr>
          <w:lang w:val="cs-CZ"/>
        </w:rPr>
      </w:pPr>
      <w:r w:rsidRPr="003B6E11">
        <w:rPr>
          <w:lang w:val="cs-CZ"/>
        </w:rPr>
        <w:t>c)</w:t>
      </w:r>
      <w:r w:rsidRPr="003B6E11">
        <w:rPr>
          <w:lang w:val="cs-CZ"/>
        </w:rPr>
        <w:tab/>
        <w:t>Musí být k dispozici zařízení, pomocí nichž lze rychle uzavřít všechny otvory, kterými by mohl do místnosti, která má být chráněna, vnikat vzduch nebo z ní unikat plyn. Musí být jednoznačně rozpoznatelné, zda jsou otvory otevřené nebo zavřené.</w:t>
      </w:r>
    </w:p>
    <w:p w:rsidR="00E65F26" w:rsidRPr="003B6E11" w:rsidRDefault="005C7859" w:rsidP="00824063">
      <w:pPr>
        <w:pStyle w:val="ESlet"/>
        <w:rPr>
          <w:lang w:val="cs-CZ"/>
        </w:rPr>
      </w:pPr>
      <w:r w:rsidRPr="003B6E11">
        <w:rPr>
          <w:lang w:val="cs-CZ"/>
        </w:rPr>
        <w:t>d)</w:t>
      </w:r>
      <w:r w:rsidRPr="003B6E11">
        <w:rPr>
          <w:lang w:val="cs-CZ"/>
        </w:rPr>
        <w:tab/>
        <w:t>Vzduch unikající z přetlakových ventilů ve vzduchojemech instalovaných ve strojovnách musí být odváděn do otevřeného prostoru.</w:t>
      </w:r>
    </w:p>
    <w:p w:rsidR="00E65F26" w:rsidRPr="003B6E11" w:rsidRDefault="0029453D" w:rsidP="00824063">
      <w:pPr>
        <w:pStyle w:val="ESlet"/>
        <w:rPr>
          <w:lang w:val="cs-CZ"/>
        </w:rPr>
      </w:pPr>
      <w:r w:rsidRPr="003B6E11">
        <w:rPr>
          <w:lang w:val="cs-CZ"/>
        </w:rPr>
        <w:t>e)</w:t>
      </w:r>
      <w:r w:rsidRPr="003B6E11">
        <w:rPr>
          <w:lang w:val="cs-CZ"/>
        </w:rPr>
        <w:tab/>
        <w:t>Přetlak nebo podtlak vznikající při přívodu hasicí látky nesmí zničit konstrukční prvky okolních dělicích stěn místnosti, která má být chráněna. Musí být možné bez jakéhokoli nebezpečí tlak vyrovnat.</w:t>
      </w:r>
    </w:p>
    <w:p w:rsidR="00E65F26" w:rsidRPr="003B6E11" w:rsidRDefault="0029453D" w:rsidP="00824063">
      <w:pPr>
        <w:pStyle w:val="ESlet"/>
        <w:rPr>
          <w:lang w:val="cs-CZ"/>
        </w:rPr>
      </w:pPr>
      <w:r w:rsidRPr="003B6E11">
        <w:rPr>
          <w:lang w:val="cs-CZ"/>
        </w:rPr>
        <w:t>f)</w:t>
      </w:r>
      <w:r w:rsidRPr="003B6E11">
        <w:rPr>
          <w:lang w:val="cs-CZ"/>
        </w:rPr>
        <w:tab/>
        <w:t>Chráněné prostory musí mít zařízení k odčerpání hasicí látky a kouřových plynů. Ovládání těchto zařízení musí být možné ze stanoviště mimo chráněné prostory, které nesmí být kvůli požáru v těchto prostorech nepřístupné. Existují-li pevná odsávací zařízení, nesmí být možné je během hašení požáru zapnout.</w:t>
      </w:r>
    </w:p>
    <w:p w:rsidR="00824063" w:rsidRPr="003B6E11" w:rsidRDefault="00824063" w:rsidP="00E65F26">
      <w:pPr>
        <w:pStyle w:val="ESch"/>
        <w:rPr>
          <w:noProof/>
          <w:lang w:val="cs-CZ"/>
        </w:rPr>
      </w:pPr>
    </w:p>
    <w:p w:rsidR="00E65F26" w:rsidRPr="003B6E11" w:rsidRDefault="00E65F26" w:rsidP="00E65F26">
      <w:pPr>
        <w:pStyle w:val="ESch"/>
        <w:rPr>
          <w:lang w:val="cs-CZ"/>
        </w:rPr>
      </w:pPr>
      <w:r w:rsidRPr="003B6E11">
        <w:rPr>
          <w:lang w:val="cs-CZ"/>
        </w:rPr>
        <w:t>3.</w:t>
      </w:r>
      <w:r w:rsidRPr="003B6E11">
        <w:rPr>
          <w:lang w:val="cs-CZ"/>
        </w:rPr>
        <w:tab/>
        <w:t>Požární poplašný systém</w:t>
      </w:r>
    </w:p>
    <w:p w:rsidR="00824063" w:rsidRPr="003B6E11" w:rsidRDefault="00824063" w:rsidP="00824063">
      <w:pPr>
        <w:pStyle w:val="ESchpar"/>
        <w:rPr>
          <w:noProof/>
          <w:lang w:val="cs-CZ"/>
        </w:rPr>
      </w:pPr>
    </w:p>
    <w:p w:rsidR="00E65F26" w:rsidRPr="003B6E11" w:rsidRDefault="00E65F26" w:rsidP="00824063">
      <w:pPr>
        <w:pStyle w:val="ESchpar"/>
        <w:rPr>
          <w:lang w:val="cs-CZ"/>
        </w:rPr>
      </w:pPr>
      <w:r w:rsidRPr="003B6E11">
        <w:rPr>
          <w:lang w:val="cs-CZ"/>
        </w:rPr>
        <w:t>Místnost, která má být chráněna, musí být monitorována pomocí vhodného požárního poplašného systému. Hlášení požáru musí být patrné v kormidelně, v obytných prostorech a v místnosti, která má být chráněna.</w:t>
      </w:r>
    </w:p>
    <w:p w:rsidR="00824063" w:rsidRPr="003B6E11" w:rsidRDefault="00824063" w:rsidP="00E65F26">
      <w:pPr>
        <w:pStyle w:val="ESch"/>
        <w:rPr>
          <w:noProof/>
          <w:lang w:val="cs-CZ"/>
        </w:rPr>
      </w:pPr>
    </w:p>
    <w:p w:rsidR="00824063" w:rsidRPr="003B6E11" w:rsidRDefault="00824063" w:rsidP="00E65F26">
      <w:pPr>
        <w:pStyle w:val="ESch"/>
        <w:rPr>
          <w:noProof/>
          <w:lang w:val="cs-CZ"/>
        </w:rPr>
      </w:pPr>
      <w:r w:rsidRPr="003B6E11">
        <w:rPr>
          <w:lang w:val="cs-CZ"/>
        </w:rPr>
        <w:br w:type="page"/>
      </w:r>
    </w:p>
    <w:p w:rsidR="00E65F26" w:rsidRPr="003B6E11" w:rsidRDefault="00E65F26" w:rsidP="00E65F26">
      <w:pPr>
        <w:pStyle w:val="ESch"/>
        <w:rPr>
          <w:lang w:val="cs-CZ"/>
        </w:rPr>
      </w:pPr>
      <w:r w:rsidRPr="003B6E11">
        <w:rPr>
          <w:lang w:val="cs-CZ"/>
        </w:rPr>
        <w:t>4.</w:t>
      </w:r>
      <w:r w:rsidRPr="003B6E11">
        <w:rPr>
          <w:lang w:val="cs-CZ"/>
        </w:rPr>
        <w:tab/>
        <w:t>Potrubní soustava</w:t>
      </w:r>
    </w:p>
    <w:p w:rsidR="00E65F26" w:rsidRPr="003B6E11" w:rsidRDefault="005C7859" w:rsidP="00824063">
      <w:pPr>
        <w:pStyle w:val="ESlet"/>
        <w:rPr>
          <w:lang w:val="cs-CZ"/>
        </w:rPr>
      </w:pPr>
      <w:r w:rsidRPr="003B6E11">
        <w:rPr>
          <w:lang w:val="cs-CZ"/>
        </w:rPr>
        <w:t>a)</w:t>
      </w:r>
      <w:r w:rsidRPr="003B6E11">
        <w:rPr>
          <w:lang w:val="cs-CZ"/>
        </w:rPr>
        <w:tab/>
        <w:t>Hasicí látka je dopravována do místnosti, která má být chráněna, a zde rozváděna pomocí pevné potrubní soustavy. Potrubí a příslušné armatury uvnitř místnosti, která má být chráněna, musí být vyrobeny z oceli. Z tohoto požadavku jsou vyňata potrubí spojující nádrže a dilatační spoje, pokud použité materiály mají v případě požáru rovnocenné vlastnosti. Potrubí musí být zevnitř i zvenku chráněno proti korozi.</w:t>
      </w:r>
    </w:p>
    <w:p w:rsidR="00E65F26" w:rsidRPr="003B6E11" w:rsidRDefault="005C7859" w:rsidP="00824063">
      <w:pPr>
        <w:pStyle w:val="ESlet"/>
        <w:rPr>
          <w:lang w:val="cs-CZ"/>
        </w:rPr>
      </w:pPr>
      <w:r w:rsidRPr="003B6E11">
        <w:rPr>
          <w:lang w:val="cs-CZ"/>
        </w:rPr>
        <w:t>b)</w:t>
      </w:r>
      <w:r w:rsidRPr="003B6E11">
        <w:rPr>
          <w:lang w:val="cs-CZ"/>
        </w:rPr>
        <w:tab/>
        <w:t>Výstupní trysky musí být dimenzovány a uspořádány tak, aby byla hasicí látka rozstřikována rovnoměrně. Zejména musí být hasicí látka účinná i pod podlahovými deskami.</w:t>
      </w:r>
    </w:p>
    <w:p w:rsidR="00824063" w:rsidRPr="003B6E11" w:rsidRDefault="00824063" w:rsidP="00E65F26">
      <w:pPr>
        <w:pStyle w:val="ESch"/>
        <w:rPr>
          <w:noProof/>
          <w:lang w:val="cs-CZ"/>
        </w:rPr>
      </w:pPr>
    </w:p>
    <w:p w:rsidR="00E65F26" w:rsidRPr="003B6E11" w:rsidRDefault="00E65F26" w:rsidP="00E65F26">
      <w:pPr>
        <w:pStyle w:val="ESch"/>
        <w:rPr>
          <w:lang w:val="cs-CZ"/>
        </w:rPr>
      </w:pPr>
      <w:r w:rsidRPr="003B6E11">
        <w:rPr>
          <w:lang w:val="cs-CZ"/>
        </w:rPr>
        <w:t>5.</w:t>
      </w:r>
      <w:r w:rsidRPr="003B6E11">
        <w:rPr>
          <w:lang w:val="cs-CZ"/>
        </w:rPr>
        <w:tab/>
        <w:t>Spouštěcí zařízení</w:t>
      </w:r>
    </w:p>
    <w:p w:rsidR="00E65F26" w:rsidRPr="003B6E11" w:rsidRDefault="005C7859" w:rsidP="00824063">
      <w:pPr>
        <w:pStyle w:val="ESlet"/>
        <w:rPr>
          <w:lang w:val="cs-CZ"/>
        </w:rPr>
      </w:pPr>
      <w:r w:rsidRPr="003B6E11">
        <w:rPr>
          <w:lang w:val="cs-CZ"/>
        </w:rPr>
        <w:t>a)</w:t>
      </w:r>
      <w:r w:rsidRPr="003B6E11">
        <w:rPr>
          <w:lang w:val="cs-CZ"/>
        </w:rPr>
        <w:tab/>
        <w:t>Protipožární systémy s automatickým spouštěním nejsou přípustné.</w:t>
      </w:r>
    </w:p>
    <w:p w:rsidR="00E65F26" w:rsidRPr="003B6E11" w:rsidRDefault="005C7859" w:rsidP="00824063">
      <w:pPr>
        <w:pStyle w:val="ESlet"/>
        <w:rPr>
          <w:lang w:val="cs-CZ"/>
        </w:rPr>
      </w:pPr>
      <w:r w:rsidRPr="003B6E11">
        <w:rPr>
          <w:lang w:val="cs-CZ"/>
        </w:rPr>
        <w:t>b)</w:t>
      </w:r>
      <w:r w:rsidRPr="003B6E11">
        <w:rPr>
          <w:lang w:val="cs-CZ"/>
        </w:rPr>
        <w:tab/>
        <w:t>Musí být možné spustit protipožární systém z vhodného stanoviště mimo místnost, která má být chráněna.</w:t>
      </w:r>
    </w:p>
    <w:p w:rsidR="00E65F26" w:rsidRPr="003B6E11" w:rsidRDefault="005C7859" w:rsidP="00824063">
      <w:pPr>
        <w:pStyle w:val="ESlet"/>
        <w:rPr>
          <w:lang w:val="cs-CZ"/>
        </w:rPr>
      </w:pPr>
      <w:r w:rsidRPr="003B6E11">
        <w:rPr>
          <w:lang w:val="cs-CZ"/>
        </w:rPr>
        <w:t>c)</w:t>
      </w:r>
      <w:r w:rsidRPr="003B6E11">
        <w:rPr>
          <w:lang w:val="cs-CZ"/>
        </w:rPr>
        <w:tab/>
        <w:t>Spouštěcí zařízení musí být namontována tak, aby jejich ovládání bylo možné i v případě požáru a aby v případě poškození ohněm nebo výbuchem v místnosti, která má být chráněna, mohlo být stále dopravováno potřebné množství hasicí látky.</w:t>
      </w:r>
    </w:p>
    <w:p w:rsidR="00E65F26" w:rsidRPr="003B6E11" w:rsidRDefault="00C44D3C" w:rsidP="00824063">
      <w:pPr>
        <w:pStyle w:val="ESletpar"/>
        <w:rPr>
          <w:lang w:val="cs-CZ"/>
        </w:rPr>
      </w:pPr>
      <w:r w:rsidRPr="003B6E11">
        <w:rPr>
          <w:lang w:val="cs-CZ"/>
        </w:rPr>
        <w:t>Nemechanická spouštěcí zařízení musí být napájena ze dvou různých, navzájem nezávislých zdrojů energie. Tyto zdroje energie se musí nacházet mimo místnost, která má být chráněna. Řídicí vedení v místnosti, která má být chráněna, musí být navržena tak, aby zůstala funkční i v případě požáru pod dobu nejméně 30 minut. V případě elektrického vedení je tento požadavek splněn, pokud toto vedení vyhovuje mezinárodní normě IEC 60331-21:1999.</w:t>
      </w:r>
    </w:p>
    <w:p w:rsidR="00E65F26" w:rsidRPr="003B6E11" w:rsidRDefault="00E65F26" w:rsidP="00824063">
      <w:pPr>
        <w:pStyle w:val="ESletpar"/>
        <w:rPr>
          <w:lang w:val="cs-CZ"/>
        </w:rPr>
      </w:pPr>
      <w:r w:rsidRPr="003B6E11">
        <w:rPr>
          <w:lang w:val="cs-CZ"/>
        </w:rPr>
        <w:t>Jsou-li spouštěcí zařízení umístěná skrytě, musí být jejich kryt označen symbolem „protipožární zařízení“ podle obrázku 6 v příloze 4, který má délku strany nejméně 10 cm a tento text vyhotovený červeným písmem na bílém pozadí:</w:t>
      </w:r>
    </w:p>
    <w:p w:rsidR="00E65F26" w:rsidRPr="003B6E11" w:rsidRDefault="0064343D" w:rsidP="001B5ABA">
      <w:pPr>
        <w:pStyle w:val="ESletpar"/>
        <w:jc w:val="center"/>
        <w:rPr>
          <w:lang w:val="cs-CZ"/>
        </w:rPr>
      </w:pPr>
      <w:r w:rsidRPr="003B6E11">
        <w:rPr>
          <w:lang w:val="cs-CZ"/>
        </w:rPr>
        <w:t>„Feuerlöscheinrichtung</w:t>
      </w:r>
    </w:p>
    <w:p w:rsidR="00E65F26" w:rsidRPr="003B6E11" w:rsidRDefault="00E65F26" w:rsidP="001B5ABA">
      <w:pPr>
        <w:pStyle w:val="ESletpar"/>
        <w:jc w:val="center"/>
        <w:rPr>
          <w:lang w:val="cs-CZ"/>
        </w:rPr>
      </w:pPr>
      <w:r w:rsidRPr="003B6E11">
        <w:rPr>
          <w:lang w:val="cs-CZ"/>
        </w:rPr>
        <w:t>Installation d'extinction</w:t>
      </w:r>
    </w:p>
    <w:p w:rsidR="00E65F26" w:rsidRPr="003B6E11" w:rsidRDefault="00E65F26" w:rsidP="001B5ABA">
      <w:pPr>
        <w:pStyle w:val="ESletpar"/>
        <w:jc w:val="center"/>
        <w:rPr>
          <w:lang w:val="cs-CZ"/>
        </w:rPr>
      </w:pPr>
      <w:r w:rsidRPr="003B6E11">
        <w:rPr>
          <w:lang w:val="cs-CZ"/>
        </w:rPr>
        <w:t>Brandblusinstallatie</w:t>
      </w:r>
    </w:p>
    <w:p w:rsidR="00E65F26" w:rsidRPr="003B6E11" w:rsidRDefault="00E65F26" w:rsidP="001B5ABA">
      <w:pPr>
        <w:pStyle w:val="ESletpar"/>
        <w:jc w:val="center"/>
        <w:rPr>
          <w:lang w:val="cs-CZ"/>
        </w:rPr>
      </w:pPr>
      <w:r w:rsidRPr="003B6E11">
        <w:rPr>
          <w:lang w:val="cs-CZ"/>
        </w:rPr>
        <w:t>Fire-fighting installation“.</w:t>
      </w:r>
    </w:p>
    <w:p w:rsidR="00E65F26" w:rsidRPr="003B6E11" w:rsidRDefault="005C7859" w:rsidP="00824063">
      <w:pPr>
        <w:pStyle w:val="ESlet"/>
        <w:rPr>
          <w:lang w:val="cs-CZ"/>
        </w:rPr>
      </w:pPr>
      <w:r w:rsidRPr="003B6E11">
        <w:rPr>
          <w:lang w:val="cs-CZ"/>
        </w:rPr>
        <w:t>d)</w:t>
      </w:r>
      <w:r w:rsidRPr="003B6E11">
        <w:rPr>
          <w:lang w:val="cs-CZ"/>
        </w:rPr>
        <w:tab/>
        <w:t>Má-li protipožární systém chránit několik místností, musí mít každá místnost samostatné spouštěcí zařízení, které musí být zřetelně označeno.</w:t>
      </w:r>
    </w:p>
    <w:p w:rsidR="00E65F26" w:rsidRPr="003B6E11" w:rsidRDefault="0029453D" w:rsidP="00824063">
      <w:pPr>
        <w:pStyle w:val="ESlet"/>
        <w:rPr>
          <w:lang w:val="cs-CZ"/>
        </w:rPr>
      </w:pPr>
      <w:r w:rsidRPr="003B6E11">
        <w:rPr>
          <w:lang w:val="cs-CZ"/>
        </w:rPr>
        <w:t>e)</w:t>
      </w:r>
      <w:r w:rsidRPr="003B6E11">
        <w:rPr>
          <w:lang w:val="cs-CZ"/>
        </w:rPr>
        <w:tab/>
        <w:t>Vedle každého spouštěcího zařízení musí být viditelně umístěn nesmazatelný návod k obsluze v jednom z jazyků členských států. Návod k obsluze musí obsahovat zejména pokyny o:</w:t>
      </w:r>
    </w:p>
    <w:p w:rsidR="00E65F26" w:rsidRPr="003B6E11" w:rsidRDefault="0029453D" w:rsidP="00574385">
      <w:pPr>
        <w:pStyle w:val="EStiret"/>
        <w:rPr>
          <w:lang w:val="cs-CZ"/>
        </w:rPr>
      </w:pPr>
      <w:r w:rsidRPr="003B6E11">
        <w:rPr>
          <w:lang w:val="cs-CZ"/>
        </w:rPr>
        <w:t>aa)</w:t>
      </w:r>
      <w:r w:rsidRPr="003B6E11">
        <w:rPr>
          <w:lang w:val="cs-CZ"/>
        </w:rPr>
        <w:tab/>
        <w:t>spuštění protipožárního systému;</w:t>
      </w:r>
    </w:p>
    <w:p w:rsidR="00E65F26" w:rsidRPr="003B6E11" w:rsidRDefault="0029453D" w:rsidP="00574385">
      <w:pPr>
        <w:pStyle w:val="EStiret"/>
        <w:rPr>
          <w:lang w:val="cs-CZ"/>
        </w:rPr>
      </w:pPr>
      <w:r w:rsidRPr="003B6E11">
        <w:rPr>
          <w:lang w:val="cs-CZ"/>
        </w:rPr>
        <w:t>bb)</w:t>
      </w:r>
      <w:r w:rsidRPr="003B6E11">
        <w:rPr>
          <w:lang w:val="cs-CZ"/>
        </w:rPr>
        <w:tab/>
        <w:t>nutnosti zkontrolovat, že místnost, která má být chráněna, opustily všechny osoby;</w:t>
      </w:r>
    </w:p>
    <w:p w:rsidR="00E65F26" w:rsidRPr="003B6E11" w:rsidRDefault="00E65F26" w:rsidP="00574385">
      <w:pPr>
        <w:pStyle w:val="EStiret"/>
        <w:rPr>
          <w:lang w:val="cs-CZ"/>
        </w:rPr>
      </w:pPr>
      <w:r w:rsidRPr="003B6E11">
        <w:rPr>
          <w:lang w:val="cs-CZ"/>
        </w:rPr>
        <w:t>cc)</w:t>
      </w:r>
      <w:r w:rsidRPr="003B6E11">
        <w:rPr>
          <w:lang w:val="cs-CZ"/>
        </w:rPr>
        <w:tab/>
        <w:t>opatřeních, která musí přijmout posádka v případě spuštění protipožárního systému a v případě vstupu do chráněných prostor po spuštění systému nebo zaplnění hasicí látkou, zejména s ohledem na možnou přítomnost nebezpečných látek;</w:t>
      </w:r>
    </w:p>
    <w:p w:rsidR="00E65F26" w:rsidRPr="003B6E11" w:rsidRDefault="00E65F26" w:rsidP="00574385">
      <w:pPr>
        <w:pStyle w:val="EStiret"/>
        <w:rPr>
          <w:lang w:val="cs-CZ"/>
        </w:rPr>
      </w:pPr>
      <w:r w:rsidRPr="003B6E11">
        <w:rPr>
          <w:lang w:val="cs-CZ"/>
        </w:rPr>
        <w:t>dd)</w:t>
      </w:r>
      <w:r w:rsidRPr="003B6E11">
        <w:rPr>
          <w:lang w:val="cs-CZ"/>
        </w:rPr>
        <w:tab/>
        <w:t>opatřeních, která musí přijmout posádka v případě poruchy protipožárního systému.</w:t>
      </w:r>
    </w:p>
    <w:p w:rsidR="00E65F26" w:rsidRPr="003B6E11" w:rsidRDefault="0029453D" w:rsidP="00824063">
      <w:pPr>
        <w:pStyle w:val="ESlet"/>
        <w:rPr>
          <w:lang w:val="cs-CZ"/>
        </w:rPr>
      </w:pPr>
      <w:r w:rsidRPr="003B6E11">
        <w:rPr>
          <w:lang w:val="cs-CZ"/>
        </w:rPr>
        <w:t>f)</w:t>
      </w:r>
      <w:r w:rsidRPr="003B6E11">
        <w:rPr>
          <w:lang w:val="cs-CZ"/>
        </w:rPr>
        <w:tab/>
        <w:t>Návod k obsluze musí obsahovat upozornění, že před spuštěním protipožárního systému musí být zastaveny spalovací motory s nasáváním vzduchu z místnosti, která má být chráněna.</w:t>
      </w:r>
    </w:p>
    <w:p w:rsidR="00824063" w:rsidRPr="003B6E11" w:rsidRDefault="00824063" w:rsidP="00E65F26">
      <w:pPr>
        <w:pStyle w:val="ESch"/>
        <w:rPr>
          <w:noProof/>
          <w:lang w:val="cs-CZ"/>
        </w:rPr>
      </w:pPr>
    </w:p>
    <w:p w:rsidR="004C4825" w:rsidRPr="003B6E11" w:rsidRDefault="004C4825">
      <w:pPr>
        <w:rPr>
          <w:noProof/>
          <w:lang w:val="cs-CZ"/>
        </w:rPr>
      </w:pPr>
      <w:r w:rsidRPr="003B6E11">
        <w:rPr>
          <w:lang w:val="cs-CZ"/>
        </w:rPr>
        <w:br w:type="page"/>
      </w:r>
    </w:p>
    <w:p w:rsidR="00E65F26" w:rsidRPr="003B6E11" w:rsidRDefault="00E65F26" w:rsidP="00E65F26">
      <w:pPr>
        <w:pStyle w:val="ESch"/>
        <w:rPr>
          <w:lang w:val="cs-CZ"/>
        </w:rPr>
      </w:pPr>
      <w:r w:rsidRPr="003B6E11">
        <w:rPr>
          <w:lang w:val="cs-CZ"/>
        </w:rPr>
        <w:t>6.</w:t>
      </w:r>
      <w:r w:rsidRPr="003B6E11">
        <w:rPr>
          <w:lang w:val="cs-CZ"/>
        </w:rPr>
        <w:tab/>
        <w:t>Výstražný systém</w:t>
      </w:r>
    </w:p>
    <w:p w:rsidR="00E65F26" w:rsidRPr="003B6E11" w:rsidRDefault="005C7859" w:rsidP="00824063">
      <w:pPr>
        <w:pStyle w:val="ESlet"/>
        <w:rPr>
          <w:lang w:val="cs-CZ"/>
        </w:rPr>
      </w:pPr>
      <w:r w:rsidRPr="003B6E11">
        <w:rPr>
          <w:lang w:val="cs-CZ"/>
        </w:rPr>
        <w:t>a)</w:t>
      </w:r>
      <w:r w:rsidRPr="003B6E11">
        <w:rPr>
          <w:lang w:val="cs-CZ"/>
        </w:rPr>
        <w:tab/>
        <w:t>Pevně instalované protipožární systémy musí být opatřeny akustickými a optickými výstražnými systémy.</w:t>
      </w:r>
    </w:p>
    <w:p w:rsidR="00E65F26" w:rsidRPr="003B6E11" w:rsidRDefault="005C7859" w:rsidP="00824063">
      <w:pPr>
        <w:pStyle w:val="ESlet"/>
        <w:rPr>
          <w:lang w:val="cs-CZ"/>
        </w:rPr>
      </w:pPr>
      <w:r w:rsidRPr="003B6E11">
        <w:rPr>
          <w:lang w:val="cs-CZ"/>
        </w:rPr>
        <w:t>b)</w:t>
      </w:r>
      <w:r w:rsidRPr="003B6E11">
        <w:rPr>
          <w:lang w:val="cs-CZ"/>
        </w:rPr>
        <w:tab/>
        <w:t>Výstražný systém se musí automaticky spustit, jakmile se poprvé spustí protipožární systém. Výstražný signál musí znít po přiměřeně dlouhou dobu, než dojde k uvolnění hasicí látky, a nesmí být možné jej vypnout.</w:t>
      </w:r>
    </w:p>
    <w:p w:rsidR="00E65F26" w:rsidRPr="003B6E11" w:rsidRDefault="005C7859" w:rsidP="00824063">
      <w:pPr>
        <w:pStyle w:val="ESlet"/>
        <w:rPr>
          <w:lang w:val="cs-CZ"/>
        </w:rPr>
      </w:pPr>
      <w:r w:rsidRPr="003B6E11">
        <w:rPr>
          <w:lang w:val="cs-CZ"/>
        </w:rPr>
        <w:t>c)</w:t>
      </w:r>
      <w:r w:rsidRPr="003B6E11">
        <w:rPr>
          <w:lang w:val="cs-CZ"/>
        </w:rPr>
        <w:tab/>
        <w:t>Výstražné signály musí být zřetelně viditelné v prostorech, které mají být chráněny, a před přístupy do těchto prostorů a musí je být zřetelně slyšet i za provozních podmínek, při nichž dochází k největšímu hluku. Musí být jednoznačně rozeznatelné od jiných akustických a optických signálů v místnosti, která má být chráněna.</w:t>
      </w:r>
    </w:p>
    <w:p w:rsidR="00E65F26" w:rsidRPr="003B6E11" w:rsidRDefault="005C7859" w:rsidP="00824063">
      <w:pPr>
        <w:pStyle w:val="ESlet"/>
        <w:rPr>
          <w:lang w:val="cs-CZ"/>
        </w:rPr>
      </w:pPr>
      <w:r w:rsidRPr="003B6E11">
        <w:rPr>
          <w:lang w:val="cs-CZ"/>
        </w:rPr>
        <w:t>d)</w:t>
      </w:r>
      <w:r w:rsidRPr="003B6E11">
        <w:rPr>
          <w:lang w:val="cs-CZ"/>
        </w:rPr>
        <w:tab/>
        <w:t>Akustické výstražné signály musí být zřetelně slyšitelné v okolních prostorech i tehdy, jsou-li uzavřeny spojovací dveře, a za provozních podmínek, při nichž dochází k největšímu hluku.</w:t>
      </w:r>
    </w:p>
    <w:p w:rsidR="00E65F26" w:rsidRPr="003B6E11" w:rsidRDefault="0029453D" w:rsidP="00824063">
      <w:pPr>
        <w:pStyle w:val="ESlet"/>
        <w:rPr>
          <w:lang w:val="cs-CZ"/>
        </w:rPr>
      </w:pPr>
      <w:r w:rsidRPr="003B6E11">
        <w:rPr>
          <w:lang w:val="cs-CZ"/>
        </w:rPr>
        <w:t>e)</w:t>
      </w:r>
      <w:r w:rsidRPr="003B6E11">
        <w:rPr>
          <w:lang w:val="cs-CZ"/>
        </w:rPr>
        <w:tab/>
        <w:t>Nemá-li výstražný systém vlastní kontrolu zkratu, přerušení vodiče a poklesu napětí, musí být možné zkontrolovat jeho správnou funkci.</w:t>
      </w:r>
    </w:p>
    <w:p w:rsidR="00E65F26" w:rsidRPr="003B6E11" w:rsidRDefault="0029453D" w:rsidP="00824063">
      <w:pPr>
        <w:pStyle w:val="ESlet"/>
        <w:rPr>
          <w:lang w:val="cs-CZ"/>
        </w:rPr>
      </w:pPr>
      <w:r w:rsidRPr="003B6E11">
        <w:rPr>
          <w:lang w:val="cs-CZ"/>
        </w:rPr>
        <w:t>f)</w:t>
      </w:r>
      <w:r w:rsidRPr="003B6E11">
        <w:rPr>
          <w:lang w:val="cs-CZ"/>
        </w:rPr>
        <w:tab/>
        <w:t>U každého vstupu do prostoru, do něhož může být přivedena hasicí látka, musí být umístěn zřetelně viditelný štítek s tímto textem vyhotoveným červeným písmem na bílém pozadí:</w:t>
      </w:r>
    </w:p>
    <w:p w:rsidR="00E65F26" w:rsidRPr="003B6E11" w:rsidRDefault="0064343D" w:rsidP="001B5ABA">
      <w:pPr>
        <w:pStyle w:val="ESgauche"/>
        <w:spacing w:before="60"/>
        <w:jc w:val="center"/>
        <w:rPr>
          <w:lang w:val="cs-CZ"/>
        </w:rPr>
      </w:pPr>
      <w:r w:rsidRPr="003B6E11">
        <w:rPr>
          <w:lang w:val="cs-CZ"/>
        </w:rPr>
        <w:t>„Vorsicht, Feuerlöscheinrichtung!</w:t>
      </w:r>
    </w:p>
    <w:p w:rsidR="00E65F26" w:rsidRPr="003B6E11" w:rsidRDefault="00E65F26" w:rsidP="001B5ABA">
      <w:pPr>
        <w:pStyle w:val="ESgauche"/>
        <w:jc w:val="center"/>
        <w:rPr>
          <w:lang w:val="cs-CZ"/>
        </w:rPr>
      </w:pPr>
      <w:r w:rsidRPr="003B6E11">
        <w:rPr>
          <w:lang w:val="cs-CZ"/>
        </w:rPr>
        <w:t>Bei Ertönen des Warnsignals (Beschreibung des Signals) den Raum sofort verlassen!</w:t>
      </w:r>
    </w:p>
    <w:p w:rsidR="00EC2B81" w:rsidRPr="003B6E11" w:rsidRDefault="00EC2B81" w:rsidP="001B5ABA">
      <w:pPr>
        <w:pStyle w:val="ESgauche"/>
        <w:jc w:val="center"/>
        <w:rPr>
          <w:lang w:val="cs-CZ"/>
        </w:rPr>
      </w:pPr>
    </w:p>
    <w:p w:rsidR="00E65F26" w:rsidRPr="003B6E11" w:rsidRDefault="00E65F26" w:rsidP="001B5ABA">
      <w:pPr>
        <w:pStyle w:val="ESgauche"/>
        <w:jc w:val="center"/>
        <w:rPr>
          <w:lang w:val="cs-CZ"/>
        </w:rPr>
      </w:pPr>
      <w:r w:rsidRPr="003B6E11">
        <w:rPr>
          <w:lang w:val="cs-CZ"/>
        </w:rPr>
        <w:t>Attention, installation d'extinction d'incendie !</w:t>
      </w:r>
    </w:p>
    <w:p w:rsidR="00E65F26" w:rsidRPr="003B6E11" w:rsidRDefault="00E65F26" w:rsidP="001B5ABA">
      <w:pPr>
        <w:pStyle w:val="ESgauche"/>
        <w:jc w:val="center"/>
        <w:rPr>
          <w:lang w:val="cs-CZ"/>
        </w:rPr>
      </w:pPr>
      <w:r w:rsidRPr="003B6E11">
        <w:rPr>
          <w:lang w:val="cs-CZ"/>
        </w:rPr>
        <w:t>Quitter immédiatement ce local au signal (description du signal) !</w:t>
      </w:r>
    </w:p>
    <w:p w:rsidR="00EC2B81" w:rsidRPr="003B6E11" w:rsidRDefault="00EC2B81" w:rsidP="001B5ABA">
      <w:pPr>
        <w:pStyle w:val="ESgauche"/>
        <w:jc w:val="center"/>
        <w:rPr>
          <w:lang w:val="cs-CZ"/>
        </w:rPr>
      </w:pPr>
    </w:p>
    <w:p w:rsidR="00E65F26" w:rsidRPr="003B6E11" w:rsidRDefault="00E65F26" w:rsidP="001B5ABA">
      <w:pPr>
        <w:pStyle w:val="ESgauche"/>
        <w:jc w:val="center"/>
        <w:rPr>
          <w:lang w:val="cs-CZ"/>
        </w:rPr>
      </w:pPr>
      <w:r w:rsidRPr="003B6E11">
        <w:rPr>
          <w:lang w:val="cs-CZ"/>
        </w:rPr>
        <w:t>Let op, brandblusinstallatie!</w:t>
      </w:r>
    </w:p>
    <w:p w:rsidR="00E65F26" w:rsidRPr="003B6E11" w:rsidRDefault="00E65F26" w:rsidP="001B5ABA">
      <w:pPr>
        <w:pStyle w:val="ESgauche"/>
        <w:jc w:val="center"/>
        <w:rPr>
          <w:lang w:val="cs-CZ"/>
        </w:rPr>
      </w:pPr>
      <w:r w:rsidRPr="003B6E11">
        <w:rPr>
          <w:lang w:val="cs-CZ"/>
        </w:rPr>
        <w:t>Bij het in werking treden van het alarmsignaal (omschrijving van het signaal) deze ruimte onmiddellijk verlaten!</w:t>
      </w:r>
    </w:p>
    <w:p w:rsidR="00EC2B81" w:rsidRPr="003B6E11" w:rsidRDefault="00EC2B81" w:rsidP="001B5ABA">
      <w:pPr>
        <w:pStyle w:val="ESgauche"/>
        <w:jc w:val="center"/>
        <w:rPr>
          <w:lang w:val="cs-CZ"/>
        </w:rPr>
      </w:pPr>
    </w:p>
    <w:p w:rsidR="00E65F26" w:rsidRPr="003B6E11" w:rsidRDefault="00E65F26" w:rsidP="001B5ABA">
      <w:pPr>
        <w:pStyle w:val="ESgauche"/>
        <w:jc w:val="center"/>
        <w:rPr>
          <w:lang w:val="cs-CZ"/>
        </w:rPr>
      </w:pPr>
      <w:r w:rsidRPr="003B6E11">
        <w:rPr>
          <w:lang w:val="cs-CZ"/>
        </w:rPr>
        <w:t>Warning, fire-fighting installation!</w:t>
      </w:r>
    </w:p>
    <w:p w:rsidR="00E65F26" w:rsidRPr="003B6E11" w:rsidRDefault="00E65F26" w:rsidP="001B5ABA">
      <w:pPr>
        <w:pStyle w:val="ESgauche"/>
        <w:jc w:val="center"/>
        <w:rPr>
          <w:lang w:val="cs-CZ"/>
        </w:rPr>
      </w:pPr>
      <w:r w:rsidRPr="003B6E11">
        <w:rPr>
          <w:lang w:val="cs-CZ"/>
        </w:rPr>
        <w:t>Leave the room as soon as the warning signal sounds (description of signal)!“</w:t>
      </w:r>
    </w:p>
    <w:p w:rsidR="00824063" w:rsidRPr="003B6E11" w:rsidRDefault="00824063" w:rsidP="001B5ABA">
      <w:pPr>
        <w:pStyle w:val="ESgauche"/>
        <w:jc w:val="center"/>
        <w:rPr>
          <w:lang w:val="cs-CZ"/>
        </w:rPr>
      </w:pPr>
    </w:p>
    <w:p w:rsidR="00E65F26" w:rsidRPr="003B6E11" w:rsidRDefault="00E65F26" w:rsidP="00E65F26">
      <w:pPr>
        <w:pStyle w:val="ESch"/>
        <w:rPr>
          <w:lang w:val="cs-CZ"/>
        </w:rPr>
      </w:pPr>
      <w:r w:rsidRPr="003B6E11">
        <w:rPr>
          <w:lang w:val="cs-CZ"/>
        </w:rPr>
        <w:t>7.</w:t>
      </w:r>
      <w:r w:rsidRPr="003B6E11">
        <w:rPr>
          <w:lang w:val="cs-CZ"/>
        </w:rPr>
        <w:tab/>
        <w:t>Tlakové nádoby, armatury a tlaková vedení</w:t>
      </w:r>
    </w:p>
    <w:p w:rsidR="00E65F26" w:rsidRPr="003B6E11" w:rsidRDefault="005C7859" w:rsidP="00824063">
      <w:pPr>
        <w:pStyle w:val="ESlet"/>
        <w:rPr>
          <w:lang w:val="cs-CZ"/>
        </w:rPr>
      </w:pPr>
      <w:r w:rsidRPr="003B6E11">
        <w:rPr>
          <w:lang w:val="cs-CZ"/>
        </w:rPr>
        <w:t>a)</w:t>
      </w:r>
      <w:r w:rsidRPr="003B6E11">
        <w:rPr>
          <w:lang w:val="cs-CZ"/>
        </w:rPr>
        <w:tab/>
        <w:t>Tlakové nádoby, armatury a tlaková vedení musí vyhovovat předpisům platným v jednom z členských států.</w:t>
      </w:r>
    </w:p>
    <w:p w:rsidR="00E65F26" w:rsidRPr="003B6E11" w:rsidRDefault="005C7859" w:rsidP="00824063">
      <w:pPr>
        <w:pStyle w:val="ESlet"/>
        <w:rPr>
          <w:lang w:val="cs-CZ"/>
        </w:rPr>
      </w:pPr>
      <w:r w:rsidRPr="003B6E11">
        <w:rPr>
          <w:lang w:val="cs-CZ"/>
        </w:rPr>
        <w:t>b)</w:t>
      </w:r>
      <w:r w:rsidRPr="003B6E11">
        <w:rPr>
          <w:lang w:val="cs-CZ"/>
        </w:rPr>
        <w:tab/>
        <w:t>Tlakové nádoby musí být namontovány podle pokynů výrobce.</w:t>
      </w:r>
    </w:p>
    <w:p w:rsidR="00E65F26" w:rsidRPr="003B6E11" w:rsidRDefault="005C7859" w:rsidP="00824063">
      <w:pPr>
        <w:pStyle w:val="ESlet"/>
        <w:rPr>
          <w:lang w:val="cs-CZ"/>
        </w:rPr>
      </w:pPr>
      <w:r w:rsidRPr="003B6E11">
        <w:rPr>
          <w:lang w:val="cs-CZ"/>
        </w:rPr>
        <w:t>c)</w:t>
      </w:r>
      <w:r w:rsidRPr="003B6E11">
        <w:rPr>
          <w:lang w:val="cs-CZ"/>
        </w:rPr>
        <w:tab/>
        <w:t>Tlakové nádoby, armatury a tlaková vedení nesmí být umístěny v obytných prostorech.</w:t>
      </w:r>
    </w:p>
    <w:p w:rsidR="00E65F26" w:rsidRPr="003B6E11" w:rsidRDefault="005C7859" w:rsidP="00824063">
      <w:pPr>
        <w:pStyle w:val="ESlet"/>
        <w:rPr>
          <w:lang w:val="cs-CZ"/>
        </w:rPr>
      </w:pPr>
      <w:r w:rsidRPr="003B6E11">
        <w:rPr>
          <w:lang w:val="cs-CZ"/>
        </w:rPr>
        <w:t>d)</w:t>
      </w:r>
      <w:r w:rsidRPr="003B6E11">
        <w:rPr>
          <w:lang w:val="cs-CZ"/>
        </w:rPr>
        <w:tab/>
        <w:t>Teplota ve skříních a montážních prostorech, kde jsou tlakové nádoby umístěny, nesmí překročit 50 °C.</w:t>
      </w:r>
    </w:p>
    <w:p w:rsidR="00E65F26" w:rsidRPr="003B6E11" w:rsidRDefault="0029453D" w:rsidP="00824063">
      <w:pPr>
        <w:pStyle w:val="ESlet"/>
        <w:rPr>
          <w:lang w:val="cs-CZ"/>
        </w:rPr>
      </w:pPr>
      <w:r w:rsidRPr="003B6E11">
        <w:rPr>
          <w:lang w:val="cs-CZ"/>
        </w:rPr>
        <w:t>e)</w:t>
      </w:r>
      <w:r w:rsidRPr="003B6E11">
        <w:rPr>
          <w:lang w:val="cs-CZ"/>
        </w:rPr>
        <w:tab/>
        <w:t>Skříně nebo montážní prostory na plavidle musí být pevně upevněny a mít větrací otvory, které jsou uspořádány tak, aby v případě netěsnosti tlakové nádoby nemohl dovnitř lodi uniknout žádný plyn. Přímé přípojky k ostatním prostorům nejsou přípustné.</w:t>
      </w:r>
    </w:p>
    <w:p w:rsidR="00824063" w:rsidRPr="003B6E11" w:rsidRDefault="00824063" w:rsidP="00E65F26">
      <w:pPr>
        <w:pStyle w:val="ESch"/>
        <w:rPr>
          <w:noProof/>
          <w:lang w:val="cs-CZ"/>
        </w:rPr>
      </w:pPr>
    </w:p>
    <w:p w:rsidR="00771FEA" w:rsidRPr="003B6E11" w:rsidRDefault="00771FEA" w:rsidP="00E65F26">
      <w:pPr>
        <w:pStyle w:val="ESch"/>
        <w:rPr>
          <w:noProof/>
          <w:lang w:val="cs-CZ"/>
        </w:rPr>
      </w:pPr>
      <w:r w:rsidRPr="003B6E11">
        <w:rPr>
          <w:lang w:val="cs-CZ"/>
        </w:rPr>
        <w:br w:type="page"/>
      </w:r>
    </w:p>
    <w:p w:rsidR="00E65F26" w:rsidRPr="003B6E11" w:rsidRDefault="00E65F26" w:rsidP="00E65F26">
      <w:pPr>
        <w:pStyle w:val="ESch"/>
        <w:rPr>
          <w:lang w:val="cs-CZ"/>
        </w:rPr>
      </w:pPr>
      <w:r w:rsidRPr="003B6E11">
        <w:rPr>
          <w:lang w:val="cs-CZ"/>
        </w:rPr>
        <w:t>8.</w:t>
      </w:r>
      <w:r w:rsidRPr="003B6E11">
        <w:rPr>
          <w:lang w:val="cs-CZ"/>
        </w:rPr>
        <w:tab/>
        <w:t>Množství hasicí látky</w:t>
      </w:r>
    </w:p>
    <w:p w:rsidR="00824063" w:rsidRPr="003B6E11" w:rsidRDefault="00824063" w:rsidP="00824063">
      <w:pPr>
        <w:pStyle w:val="ESchpar"/>
        <w:rPr>
          <w:noProof/>
          <w:lang w:val="cs-CZ"/>
        </w:rPr>
      </w:pPr>
    </w:p>
    <w:p w:rsidR="00E65F26" w:rsidRPr="003B6E11" w:rsidRDefault="00E65F26" w:rsidP="00824063">
      <w:pPr>
        <w:pStyle w:val="ESchpar"/>
        <w:rPr>
          <w:lang w:val="cs-CZ"/>
        </w:rPr>
      </w:pPr>
      <w:r w:rsidRPr="003B6E11">
        <w:rPr>
          <w:lang w:val="cs-CZ"/>
        </w:rPr>
        <w:t>Je-li množství hasicí látky určeno k ochraně více než jedné místnosti, nemusí být celkové množství dostupné hasicí látky větší než množství potřebné pro největší místnost, která má být chráněna.</w:t>
      </w:r>
    </w:p>
    <w:p w:rsidR="00824063" w:rsidRPr="003B6E11" w:rsidRDefault="00824063" w:rsidP="00E65F26">
      <w:pPr>
        <w:pStyle w:val="ESch"/>
        <w:rPr>
          <w:noProof/>
          <w:lang w:val="cs-CZ"/>
        </w:rPr>
      </w:pPr>
    </w:p>
    <w:p w:rsidR="00E65F26" w:rsidRPr="003B6E11" w:rsidRDefault="00E65F26" w:rsidP="00E65F26">
      <w:pPr>
        <w:pStyle w:val="ESch"/>
        <w:rPr>
          <w:lang w:val="cs-CZ"/>
        </w:rPr>
      </w:pPr>
      <w:r w:rsidRPr="003B6E11">
        <w:rPr>
          <w:lang w:val="cs-CZ"/>
        </w:rPr>
        <w:t>9.</w:t>
      </w:r>
      <w:r w:rsidRPr="003B6E11">
        <w:rPr>
          <w:lang w:val="cs-CZ"/>
        </w:rPr>
        <w:tab/>
        <w:t>Instalace, prohlídka a dokumentace</w:t>
      </w:r>
    </w:p>
    <w:p w:rsidR="00E65F26" w:rsidRPr="003B6E11" w:rsidRDefault="005C7859" w:rsidP="00824063">
      <w:pPr>
        <w:pStyle w:val="ESlet"/>
        <w:rPr>
          <w:lang w:val="cs-CZ"/>
        </w:rPr>
      </w:pPr>
      <w:r w:rsidRPr="003B6E11">
        <w:rPr>
          <w:lang w:val="cs-CZ"/>
        </w:rPr>
        <w:t>a)</w:t>
      </w:r>
      <w:r w:rsidRPr="003B6E11">
        <w:rPr>
          <w:lang w:val="cs-CZ"/>
        </w:rPr>
        <w:tab/>
        <w:t>Systém může instalovat nebo přestavět pouze firma specializovaná na protipožární systémy. Musí být splněny požadavky stanovené výrobcem hasicí látky a výrobcem protipožárního systému (list s údaji o výrobku, bezpečnostní list). Údržba, zejména pokud jde o stav rozstřikovacích trysek, se provádí pravidelně v souladu s pokyny výrobce systému nebo výrobce hasicí látky (list s údaji o výrobku).</w:t>
      </w:r>
    </w:p>
    <w:p w:rsidR="00E65F26" w:rsidRPr="003B6E11" w:rsidRDefault="005C7859" w:rsidP="00824063">
      <w:pPr>
        <w:pStyle w:val="ESlet"/>
        <w:rPr>
          <w:lang w:val="cs-CZ"/>
        </w:rPr>
      </w:pPr>
      <w:r w:rsidRPr="003B6E11">
        <w:rPr>
          <w:lang w:val="cs-CZ"/>
        </w:rPr>
        <w:t>b)</w:t>
      </w:r>
      <w:r w:rsidRPr="003B6E11">
        <w:rPr>
          <w:lang w:val="cs-CZ"/>
        </w:rPr>
        <w:tab/>
        <w:t>Prohlídku systému odborník provádí:</w:t>
      </w:r>
    </w:p>
    <w:p w:rsidR="00E65F26" w:rsidRPr="003B6E11" w:rsidRDefault="0029453D" w:rsidP="00771FEA">
      <w:pPr>
        <w:pStyle w:val="EStiret"/>
        <w:rPr>
          <w:lang w:val="cs-CZ"/>
        </w:rPr>
      </w:pPr>
      <w:r w:rsidRPr="003B6E11">
        <w:rPr>
          <w:lang w:val="cs-CZ"/>
        </w:rPr>
        <w:t>aa)</w:t>
      </w:r>
      <w:r w:rsidRPr="003B6E11">
        <w:rPr>
          <w:lang w:val="cs-CZ"/>
        </w:rPr>
        <w:tab/>
        <w:t>před prvním uvedením do provozu;</w:t>
      </w:r>
    </w:p>
    <w:p w:rsidR="00E65F26" w:rsidRPr="003B6E11" w:rsidRDefault="0029453D" w:rsidP="00771FEA">
      <w:pPr>
        <w:pStyle w:val="EStiret"/>
        <w:rPr>
          <w:lang w:val="cs-CZ"/>
        </w:rPr>
      </w:pPr>
      <w:r w:rsidRPr="003B6E11">
        <w:rPr>
          <w:lang w:val="cs-CZ"/>
        </w:rPr>
        <w:t>bb)</w:t>
      </w:r>
      <w:r w:rsidRPr="003B6E11">
        <w:rPr>
          <w:lang w:val="cs-CZ"/>
        </w:rPr>
        <w:tab/>
        <w:t>před opětovným uvedením do provozu po spuštění;</w:t>
      </w:r>
    </w:p>
    <w:p w:rsidR="00E65F26" w:rsidRPr="003B6E11" w:rsidRDefault="00E65F26" w:rsidP="00771FEA">
      <w:pPr>
        <w:pStyle w:val="EStiret"/>
        <w:rPr>
          <w:lang w:val="cs-CZ"/>
        </w:rPr>
      </w:pPr>
      <w:r w:rsidRPr="003B6E11">
        <w:rPr>
          <w:lang w:val="cs-CZ"/>
        </w:rPr>
        <w:t>cc)</w:t>
      </w:r>
      <w:r w:rsidRPr="003B6E11">
        <w:rPr>
          <w:lang w:val="cs-CZ"/>
        </w:rPr>
        <w:tab/>
        <w:t>před opětovným uvedením do provozu po jakékoli závažnější úpravě nebo opravě a</w:t>
      </w:r>
    </w:p>
    <w:p w:rsidR="00E65F26" w:rsidRPr="003B6E11" w:rsidRDefault="00E65F26" w:rsidP="00771FEA">
      <w:pPr>
        <w:pStyle w:val="EStiret"/>
        <w:rPr>
          <w:lang w:val="cs-CZ"/>
        </w:rPr>
      </w:pPr>
      <w:r w:rsidRPr="003B6E11">
        <w:rPr>
          <w:lang w:val="cs-CZ"/>
        </w:rPr>
        <w:t>dd)</w:t>
      </w:r>
      <w:r w:rsidRPr="003B6E11">
        <w:rPr>
          <w:lang w:val="cs-CZ"/>
        </w:rPr>
        <w:tab/>
        <w:t>pravidelně nejméně jednou za dva roky.</w:t>
      </w:r>
    </w:p>
    <w:p w:rsidR="00E65F26" w:rsidRPr="003B6E11" w:rsidRDefault="00E65F26" w:rsidP="00771FEA">
      <w:pPr>
        <w:pStyle w:val="ESletpar"/>
        <w:rPr>
          <w:lang w:val="cs-CZ"/>
        </w:rPr>
      </w:pPr>
      <w:r w:rsidRPr="003B6E11">
        <w:rPr>
          <w:lang w:val="cs-CZ"/>
        </w:rPr>
        <w:t>Prohlídky podle písmene dd) může provádět odborně způsobilá osoba z příslušné firmy specializované na protipožární systémy.</w:t>
      </w:r>
    </w:p>
    <w:p w:rsidR="00E65F26" w:rsidRPr="003B6E11" w:rsidRDefault="005C7859" w:rsidP="00824063">
      <w:pPr>
        <w:pStyle w:val="ESlet"/>
        <w:rPr>
          <w:lang w:val="cs-CZ"/>
        </w:rPr>
      </w:pPr>
      <w:r w:rsidRPr="003B6E11">
        <w:rPr>
          <w:lang w:val="cs-CZ"/>
        </w:rPr>
        <w:t>c)</w:t>
      </w:r>
      <w:r w:rsidRPr="003B6E11">
        <w:rPr>
          <w:lang w:val="cs-CZ"/>
        </w:rPr>
        <w:tab/>
        <w:t>Při prohlídce odborník nebo odborně způsobilá osoba zkontroluje, zda systém splňuje požadavky tohoto článku.</w:t>
      </w:r>
    </w:p>
    <w:p w:rsidR="00E65F26" w:rsidRPr="003B6E11" w:rsidRDefault="005C7859" w:rsidP="00824063">
      <w:pPr>
        <w:pStyle w:val="ESlet"/>
        <w:rPr>
          <w:lang w:val="cs-CZ"/>
        </w:rPr>
      </w:pPr>
      <w:r w:rsidRPr="003B6E11">
        <w:rPr>
          <w:lang w:val="cs-CZ"/>
        </w:rPr>
        <w:t>d)</w:t>
      </w:r>
      <w:r w:rsidRPr="003B6E11">
        <w:rPr>
          <w:lang w:val="cs-CZ"/>
        </w:rPr>
        <w:tab/>
        <w:t>Prohlídka musí zahrnovat alespoň:</w:t>
      </w:r>
    </w:p>
    <w:p w:rsidR="00E65F26" w:rsidRPr="003B6E11" w:rsidRDefault="0029453D" w:rsidP="00771FEA">
      <w:pPr>
        <w:pStyle w:val="EStiret"/>
        <w:rPr>
          <w:lang w:val="cs-CZ"/>
        </w:rPr>
      </w:pPr>
      <w:r w:rsidRPr="003B6E11">
        <w:rPr>
          <w:lang w:val="cs-CZ"/>
        </w:rPr>
        <w:t>aa)</w:t>
      </w:r>
      <w:r w:rsidRPr="003B6E11">
        <w:rPr>
          <w:lang w:val="cs-CZ"/>
        </w:rPr>
        <w:tab/>
        <w:t>vnější prohlídku celého zařízení;</w:t>
      </w:r>
    </w:p>
    <w:p w:rsidR="00E65F26" w:rsidRPr="003B6E11" w:rsidRDefault="0029453D" w:rsidP="00824063">
      <w:pPr>
        <w:pStyle w:val="EStiret"/>
        <w:rPr>
          <w:lang w:val="cs-CZ"/>
        </w:rPr>
      </w:pPr>
      <w:r w:rsidRPr="003B6E11">
        <w:rPr>
          <w:lang w:val="cs-CZ"/>
        </w:rPr>
        <w:t>bb)</w:t>
      </w:r>
      <w:r w:rsidRPr="003B6E11">
        <w:rPr>
          <w:lang w:val="cs-CZ"/>
        </w:rPr>
        <w:tab/>
        <w:t>zkoušku těsnosti potrubí;</w:t>
      </w:r>
    </w:p>
    <w:p w:rsidR="00E65F26" w:rsidRPr="003B6E11" w:rsidRDefault="00E65F26" w:rsidP="00824063">
      <w:pPr>
        <w:pStyle w:val="EStiret"/>
        <w:rPr>
          <w:lang w:val="cs-CZ"/>
        </w:rPr>
      </w:pPr>
      <w:r w:rsidRPr="003B6E11">
        <w:rPr>
          <w:lang w:val="cs-CZ"/>
        </w:rPr>
        <w:t>cc)</w:t>
      </w:r>
      <w:r w:rsidRPr="003B6E11">
        <w:rPr>
          <w:lang w:val="cs-CZ"/>
        </w:rPr>
        <w:tab/>
        <w:t>zkoušku funkčnosti ovládacích a spouštěcích systémů;</w:t>
      </w:r>
    </w:p>
    <w:p w:rsidR="00E65F26" w:rsidRPr="003B6E11" w:rsidRDefault="00E65F26" w:rsidP="00824063">
      <w:pPr>
        <w:pStyle w:val="EStiret"/>
        <w:rPr>
          <w:lang w:val="cs-CZ"/>
        </w:rPr>
      </w:pPr>
      <w:r w:rsidRPr="003B6E11">
        <w:rPr>
          <w:lang w:val="cs-CZ"/>
        </w:rPr>
        <w:t>dd)</w:t>
      </w:r>
      <w:r w:rsidRPr="003B6E11">
        <w:rPr>
          <w:lang w:val="cs-CZ"/>
        </w:rPr>
        <w:tab/>
        <w:t>kontrolu tlaku nádob a jejich obsahu;</w:t>
      </w:r>
    </w:p>
    <w:p w:rsidR="00E65F26" w:rsidRPr="003B6E11" w:rsidRDefault="00E65F26" w:rsidP="00824063">
      <w:pPr>
        <w:pStyle w:val="EStiret"/>
        <w:rPr>
          <w:lang w:val="cs-CZ"/>
        </w:rPr>
      </w:pPr>
      <w:r w:rsidRPr="003B6E11">
        <w:rPr>
          <w:lang w:val="cs-CZ"/>
        </w:rPr>
        <w:t>ee)</w:t>
      </w:r>
      <w:r w:rsidRPr="003B6E11">
        <w:rPr>
          <w:lang w:val="cs-CZ"/>
        </w:rPr>
        <w:tab/>
        <w:t>kontrolu těsnosti a zařízení k uzavření místnosti, která má být chráněna;</w:t>
      </w:r>
    </w:p>
    <w:p w:rsidR="00E65F26" w:rsidRPr="003B6E11" w:rsidRDefault="00E65F26" w:rsidP="00824063">
      <w:pPr>
        <w:pStyle w:val="EStiret"/>
        <w:rPr>
          <w:lang w:val="cs-CZ"/>
        </w:rPr>
      </w:pPr>
      <w:r w:rsidRPr="003B6E11">
        <w:rPr>
          <w:lang w:val="cs-CZ"/>
        </w:rPr>
        <w:t>ff)</w:t>
      </w:r>
      <w:r w:rsidRPr="003B6E11">
        <w:rPr>
          <w:lang w:val="cs-CZ"/>
        </w:rPr>
        <w:tab/>
        <w:t>kontrolu požárního poplašného systému;</w:t>
      </w:r>
    </w:p>
    <w:p w:rsidR="00E65F26" w:rsidRPr="003B6E11" w:rsidRDefault="00E65F26" w:rsidP="00824063">
      <w:pPr>
        <w:pStyle w:val="EStiret"/>
        <w:rPr>
          <w:lang w:val="cs-CZ"/>
        </w:rPr>
      </w:pPr>
      <w:r w:rsidRPr="003B6E11">
        <w:rPr>
          <w:lang w:val="cs-CZ"/>
        </w:rPr>
        <w:t>gg)</w:t>
      </w:r>
      <w:r w:rsidRPr="003B6E11">
        <w:rPr>
          <w:lang w:val="cs-CZ"/>
        </w:rPr>
        <w:tab/>
        <w:t>kontrolu výstražného systému.</w:t>
      </w:r>
    </w:p>
    <w:p w:rsidR="00E65F26" w:rsidRPr="003B6E11" w:rsidRDefault="0029453D" w:rsidP="00824063">
      <w:pPr>
        <w:pStyle w:val="ESlet"/>
        <w:rPr>
          <w:lang w:val="cs-CZ"/>
        </w:rPr>
      </w:pPr>
      <w:r w:rsidRPr="003B6E11">
        <w:rPr>
          <w:lang w:val="cs-CZ"/>
        </w:rPr>
        <w:t>e)</w:t>
      </w:r>
      <w:r w:rsidRPr="003B6E11">
        <w:rPr>
          <w:lang w:val="cs-CZ"/>
        </w:rPr>
        <w:tab/>
        <w:t>Musí být vystaveno potvrzení o prohlídce podepsané odborníkem, na němž je uvedeno datum prohlídky.</w:t>
      </w:r>
    </w:p>
    <w:p w:rsidR="00E65F26" w:rsidRPr="003B6E11" w:rsidRDefault="0029453D" w:rsidP="00824063">
      <w:pPr>
        <w:pStyle w:val="ESlet"/>
        <w:rPr>
          <w:lang w:val="cs-CZ"/>
        </w:rPr>
      </w:pPr>
      <w:r w:rsidRPr="003B6E11">
        <w:rPr>
          <w:lang w:val="cs-CZ"/>
        </w:rPr>
        <w:t>f)</w:t>
      </w:r>
      <w:r w:rsidRPr="003B6E11">
        <w:rPr>
          <w:lang w:val="cs-CZ"/>
        </w:rPr>
        <w:tab/>
        <w:t>Počet pevně instalovaných protipožárních systémů se uvede v osvědčení plavidla vnitrozemské plavby.</w:t>
      </w:r>
    </w:p>
    <w:p w:rsidR="00824063" w:rsidRPr="003B6E11" w:rsidRDefault="00824063" w:rsidP="00E65F26">
      <w:pPr>
        <w:pStyle w:val="ESch"/>
        <w:rPr>
          <w:noProof/>
          <w:lang w:val="cs-CZ"/>
        </w:rPr>
      </w:pPr>
    </w:p>
    <w:p w:rsidR="00E65F26" w:rsidRPr="003B6E11" w:rsidRDefault="00E65F26" w:rsidP="00E65F26">
      <w:pPr>
        <w:pStyle w:val="ESch"/>
        <w:rPr>
          <w:lang w:val="cs-CZ"/>
        </w:rPr>
      </w:pPr>
      <w:r w:rsidRPr="003B6E11">
        <w:rPr>
          <w:lang w:val="cs-CZ"/>
        </w:rPr>
        <w:t>10.</w:t>
      </w:r>
      <w:r w:rsidRPr="003B6E11">
        <w:rPr>
          <w:lang w:val="cs-CZ"/>
        </w:rPr>
        <w:tab/>
        <w:t>Protipožární systémy s CO</w:t>
      </w:r>
      <w:r w:rsidRPr="003B6E11">
        <w:rPr>
          <w:noProof/>
          <w:vertAlign w:val="subscript"/>
          <w:lang w:val="cs-CZ"/>
        </w:rPr>
        <w:t>2</w:t>
      </w:r>
    </w:p>
    <w:p w:rsidR="00824063" w:rsidRPr="003B6E11" w:rsidRDefault="00824063" w:rsidP="00824063">
      <w:pPr>
        <w:pStyle w:val="ESchpar"/>
        <w:rPr>
          <w:noProof/>
          <w:lang w:val="cs-CZ"/>
        </w:rPr>
      </w:pPr>
    </w:p>
    <w:p w:rsidR="00E65F26" w:rsidRPr="003B6E11" w:rsidRDefault="00E65F26" w:rsidP="00824063">
      <w:pPr>
        <w:pStyle w:val="ESchpar"/>
        <w:rPr>
          <w:lang w:val="cs-CZ"/>
        </w:rPr>
      </w:pPr>
      <w:r w:rsidRPr="003B6E11">
        <w:rPr>
          <w:lang w:val="cs-CZ"/>
        </w:rPr>
        <w:t>Protipožární systémy používající jako hasicí látku CO</w:t>
      </w:r>
      <w:r w:rsidRPr="003B6E11">
        <w:rPr>
          <w:noProof/>
          <w:vertAlign w:val="subscript"/>
          <w:lang w:val="cs-CZ"/>
        </w:rPr>
        <w:t>2</w:t>
      </w:r>
      <w:r w:rsidRPr="003B6E11">
        <w:rPr>
          <w:lang w:val="cs-CZ"/>
        </w:rPr>
        <w:t xml:space="preserve"> musí kromě požadavků uvedených v odstavcích 1 až 9 splňovat tato ustanovení:</w:t>
      </w:r>
    </w:p>
    <w:p w:rsidR="00E65F26" w:rsidRPr="003B6E11" w:rsidRDefault="005C7859" w:rsidP="00824063">
      <w:pPr>
        <w:pStyle w:val="ESlet"/>
        <w:rPr>
          <w:lang w:val="cs-CZ"/>
        </w:rPr>
      </w:pPr>
      <w:r w:rsidRPr="003B6E11">
        <w:rPr>
          <w:lang w:val="cs-CZ"/>
        </w:rPr>
        <w:t>a)</w:t>
      </w:r>
      <w:r w:rsidRPr="003B6E11">
        <w:rPr>
          <w:lang w:val="cs-CZ"/>
        </w:rPr>
        <w:tab/>
        <w:t>Nádoby s CO</w:t>
      </w:r>
      <w:r w:rsidRPr="003B6E11">
        <w:rPr>
          <w:noProof/>
          <w:vertAlign w:val="subscript"/>
          <w:lang w:val="cs-CZ"/>
        </w:rPr>
        <w:t>2</w:t>
      </w:r>
      <w:r w:rsidRPr="003B6E11">
        <w:rPr>
          <w:lang w:val="cs-CZ"/>
        </w:rPr>
        <w:t xml:space="preserve"> musí být uloženy mimo místnost, která má být chráněna, v prostoru nebo skříni, které jsou hermeticky oddělené od ostatních místností. Dveře do těchto prostorů a skříní se musí otevírat směrem ven, musí být uzamykatelné a být opatřeny na vnější straně symbolem „Všeobecné nebezpečí“ podle obrázku 4 v příloze 4, který je nejméně 5 cm vysoký, společně s označením „CO</w:t>
      </w:r>
      <w:r w:rsidRPr="003B6E11">
        <w:rPr>
          <w:noProof/>
          <w:vertAlign w:val="subscript"/>
          <w:lang w:val="cs-CZ"/>
        </w:rPr>
        <w:t>2</w:t>
      </w:r>
      <w:r w:rsidRPr="003B6E11">
        <w:rPr>
          <w:lang w:val="cs-CZ"/>
        </w:rPr>
        <w:t>“ ve stejné barvě a se stejnou výškou.</w:t>
      </w:r>
    </w:p>
    <w:p w:rsidR="00E65F26" w:rsidRPr="003B6E11" w:rsidRDefault="005C7859" w:rsidP="00824063">
      <w:pPr>
        <w:pStyle w:val="ESlet"/>
        <w:rPr>
          <w:lang w:val="cs-CZ"/>
        </w:rPr>
      </w:pPr>
      <w:r w:rsidRPr="003B6E11">
        <w:rPr>
          <w:lang w:val="cs-CZ"/>
        </w:rPr>
        <w:t>b)</w:t>
      </w:r>
      <w:r w:rsidRPr="003B6E11">
        <w:rPr>
          <w:lang w:val="cs-CZ"/>
        </w:rPr>
        <w:tab/>
        <w:t>Prostory k uložení nádob s CO</w:t>
      </w:r>
      <w:r w:rsidRPr="003B6E11">
        <w:rPr>
          <w:noProof/>
          <w:vertAlign w:val="subscript"/>
          <w:lang w:val="cs-CZ"/>
        </w:rPr>
        <w:t>2</w:t>
      </w:r>
      <w:r w:rsidRPr="003B6E11">
        <w:rPr>
          <w:lang w:val="cs-CZ"/>
        </w:rPr>
        <w:t>, které se nacházejí pod palubou, musí být přístupné pouze z vnějšího otevřeného prostoru. Tyto prostory musí být opatřeny vlastním dostatečným systémem umělého větrání s odvětrávacími kanály, která je zcela nezávislý na jiných systémech větrání na palubě.</w:t>
      </w:r>
    </w:p>
    <w:p w:rsidR="00771FEA" w:rsidRPr="003B6E11" w:rsidRDefault="00771FEA" w:rsidP="00824063">
      <w:pPr>
        <w:pStyle w:val="ESlet"/>
        <w:rPr>
          <w:noProof/>
          <w:lang w:val="cs-CZ"/>
        </w:rPr>
      </w:pPr>
    </w:p>
    <w:p w:rsidR="00771FEA" w:rsidRPr="003B6E11" w:rsidRDefault="00771FEA" w:rsidP="00824063">
      <w:pPr>
        <w:pStyle w:val="ESlet"/>
        <w:rPr>
          <w:noProof/>
          <w:lang w:val="cs-CZ"/>
        </w:rPr>
      </w:pPr>
      <w:r w:rsidRPr="003B6E11">
        <w:rPr>
          <w:lang w:val="cs-CZ"/>
        </w:rPr>
        <w:br w:type="page"/>
      </w:r>
    </w:p>
    <w:p w:rsidR="00E65F26" w:rsidRPr="003B6E11" w:rsidRDefault="005C7859" w:rsidP="00824063">
      <w:pPr>
        <w:pStyle w:val="ESlet"/>
        <w:rPr>
          <w:lang w:val="cs-CZ"/>
        </w:rPr>
      </w:pPr>
      <w:r w:rsidRPr="003B6E11">
        <w:rPr>
          <w:lang w:val="cs-CZ"/>
        </w:rPr>
        <w:t>c)</w:t>
      </w:r>
      <w:r w:rsidRPr="003B6E11">
        <w:rPr>
          <w:lang w:val="cs-CZ"/>
        </w:rPr>
        <w:tab/>
        <w:t>Nádoby s CO</w:t>
      </w:r>
      <w:r w:rsidRPr="003B6E11">
        <w:rPr>
          <w:noProof/>
          <w:vertAlign w:val="subscript"/>
          <w:lang w:val="cs-CZ"/>
        </w:rPr>
        <w:t>2</w:t>
      </w:r>
      <w:r w:rsidRPr="003B6E11">
        <w:rPr>
          <w:lang w:val="cs-CZ"/>
        </w:rPr>
        <w:t xml:space="preserve"> nesmí být naplněny na více než 0,75 kg/l. Měrný objem nestlačeného plynu CO</w:t>
      </w:r>
      <w:r w:rsidRPr="003B6E11">
        <w:rPr>
          <w:noProof/>
          <w:vertAlign w:val="subscript"/>
          <w:lang w:val="cs-CZ"/>
        </w:rPr>
        <w:t>2</w:t>
      </w:r>
      <w:r w:rsidRPr="003B6E11">
        <w:rPr>
          <w:lang w:val="cs-CZ"/>
        </w:rPr>
        <w:t xml:space="preserve"> je 0,56 m</w:t>
      </w:r>
      <w:r w:rsidRPr="003B6E11">
        <w:rPr>
          <w:noProof/>
          <w:vertAlign w:val="superscript"/>
          <w:lang w:val="cs-CZ"/>
        </w:rPr>
        <w:t>3</w:t>
      </w:r>
      <w:r w:rsidRPr="003B6E11">
        <w:rPr>
          <w:lang w:val="cs-CZ"/>
        </w:rPr>
        <w:t>/kg.</w:t>
      </w:r>
    </w:p>
    <w:p w:rsidR="00E65F26" w:rsidRPr="003B6E11" w:rsidRDefault="005C7859" w:rsidP="00824063">
      <w:pPr>
        <w:pStyle w:val="ESlet"/>
        <w:rPr>
          <w:lang w:val="cs-CZ"/>
        </w:rPr>
      </w:pPr>
      <w:r w:rsidRPr="003B6E11">
        <w:rPr>
          <w:lang w:val="cs-CZ"/>
        </w:rPr>
        <w:t>d)</w:t>
      </w:r>
      <w:r w:rsidRPr="003B6E11">
        <w:rPr>
          <w:lang w:val="cs-CZ"/>
        </w:rPr>
        <w:tab/>
        <w:t>Objem CO</w:t>
      </w:r>
      <w:r w:rsidRPr="003B6E11">
        <w:rPr>
          <w:noProof/>
          <w:vertAlign w:val="subscript"/>
          <w:lang w:val="cs-CZ"/>
        </w:rPr>
        <w:t>2</w:t>
      </w:r>
      <w:r w:rsidRPr="003B6E11">
        <w:rPr>
          <w:lang w:val="cs-CZ"/>
        </w:rPr>
        <w:t xml:space="preserve"> pro místnost, která má být chráněna, musí činit nejméně 40 % hrubého objemu této místnosti. Musí být možné uvolnit tento objem do 120 sekund a zkontrolovat, zda k uvolnění došlo.</w:t>
      </w:r>
    </w:p>
    <w:p w:rsidR="00E65F26" w:rsidRPr="003B6E11" w:rsidRDefault="0029453D" w:rsidP="00824063">
      <w:pPr>
        <w:pStyle w:val="ESlet"/>
        <w:rPr>
          <w:lang w:val="cs-CZ"/>
        </w:rPr>
      </w:pPr>
      <w:r w:rsidRPr="003B6E11">
        <w:rPr>
          <w:lang w:val="cs-CZ"/>
        </w:rPr>
        <w:t>e)</w:t>
      </w:r>
      <w:r w:rsidRPr="003B6E11">
        <w:rPr>
          <w:lang w:val="cs-CZ"/>
        </w:rPr>
        <w:tab/>
        <w:t>Otevření ventilů nádob a obsluha napouštěcího ventilu musí být zajištěna samostatnými ovládacími úkony.</w:t>
      </w:r>
    </w:p>
    <w:p w:rsidR="00E65F26" w:rsidRPr="003B6E11" w:rsidRDefault="0029453D" w:rsidP="00824063">
      <w:pPr>
        <w:pStyle w:val="ESlet"/>
        <w:rPr>
          <w:lang w:val="cs-CZ"/>
        </w:rPr>
      </w:pPr>
      <w:r w:rsidRPr="003B6E11">
        <w:rPr>
          <w:lang w:val="cs-CZ"/>
        </w:rPr>
        <w:t>f)</w:t>
      </w:r>
      <w:r w:rsidRPr="003B6E11">
        <w:rPr>
          <w:lang w:val="cs-CZ"/>
        </w:rPr>
        <w:tab/>
        <w:t>Přiměřeně dlouhá doba zmíněná v odst. 6 písm. b) činí nejméně 20 sekund. Prodleva, která uplyne před přivedením CO</w:t>
      </w:r>
      <w:r w:rsidRPr="003B6E11">
        <w:rPr>
          <w:noProof/>
          <w:vertAlign w:val="subscript"/>
          <w:lang w:val="cs-CZ"/>
        </w:rPr>
        <w:t>2</w:t>
      </w:r>
      <w:r w:rsidRPr="003B6E11">
        <w:rPr>
          <w:lang w:val="cs-CZ"/>
        </w:rPr>
        <w:t>, musí být zajištěna pomocí spolehlivého zařízení.</w:t>
      </w:r>
    </w:p>
    <w:p w:rsidR="00824063" w:rsidRPr="003B6E11" w:rsidRDefault="00824063" w:rsidP="00E65F26">
      <w:pPr>
        <w:pStyle w:val="ESch"/>
        <w:rPr>
          <w:noProof/>
          <w:lang w:val="cs-CZ"/>
        </w:rPr>
      </w:pPr>
    </w:p>
    <w:p w:rsidR="00E65F26" w:rsidRPr="003B6E11" w:rsidRDefault="00E65F26" w:rsidP="00E65F26">
      <w:pPr>
        <w:pStyle w:val="ESch"/>
        <w:rPr>
          <w:lang w:val="cs-CZ"/>
        </w:rPr>
      </w:pPr>
      <w:r w:rsidRPr="003B6E11">
        <w:rPr>
          <w:lang w:val="cs-CZ"/>
        </w:rPr>
        <w:t>11.</w:t>
      </w:r>
      <w:r w:rsidRPr="003B6E11">
        <w:rPr>
          <w:lang w:val="cs-CZ"/>
        </w:rPr>
        <w:tab/>
        <w:t>Protipožární systémy s HFC-227ea</w:t>
      </w:r>
    </w:p>
    <w:p w:rsidR="00824063" w:rsidRPr="003B6E11" w:rsidRDefault="00824063" w:rsidP="00824063">
      <w:pPr>
        <w:pStyle w:val="ESchpar"/>
        <w:rPr>
          <w:noProof/>
          <w:lang w:val="cs-CZ"/>
        </w:rPr>
      </w:pPr>
    </w:p>
    <w:p w:rsidR="00E65F26" w:rsidRPr="003B6E11" w:rsidRDefault="00E65F26" w:rsidP="00824063">
      <w:pPr>
        <w:pStyle w:val="ESchpar"/>
        <w:rPr>
          <w:lang w:val="cs-CZ"/>
        </w:rPr>
      </w:pPr>
      <w:r w:rsidRPr="003B6E11">
        <w:rPr>
          <w:lang w:val="cs-CZ"/>
        </w:rPr>
        <w:t>Protipožární systémy používající jako hasicí látku HFC-227ea musí kromě požadavků uvedených v odstavcích 1 až 9 splňovat tato ustanovení:</w:t>
      </w:r>
    </w:p>
    <w:p w:rsidR="00E65F26" w:rsidRPr="003B6E11" w:rsidRDefault="005C7859" w:rsidP="00824063">
      <w:pPr>
        <w:pStyle w:val="ESlet"/>
        <w:rPr>
          <w:lang w:val="cs-CZ"/>
        </w:rPr>
      </w:pPr>
      <w:r w:rsidRPr="003B6E11">
        <w:rPr>
          <w:lang w:val="cs-CZ"/>
        </w:rPr>
        <w:t>a)</w:t>
      </w:r>
      <w:r w:rsidRPr="003B6E11">
        <w:rPr>
          <w:lang w:val="cs-CZ"/>
        </w:rPr>
        <w:tab/>
        <w:t>Má-li být chráněno několik prostorů s různým hrubým objemem, musí být každý prostor opatřen vlastním protipožárním systémem.</w:t>
      </w:r>
    </w:p>
    <w:p w:rsidR="00E65F26" w:rsidRPr="003B6E11" w:rsidRDefault="005C7859" w:rsidP="00824063">
      <w:pPr>
        <w:pStyle w:val="ESlet"/>
        <w:rPr>
          <w:lang w:val="cs-CZ"/>
        </w:rPr>
      </w:pPr>
      <w:r w:rsidRPr="003B6E11">
        <w:rPr>
          <w:lang w:val="cs-CZ"/>
        </w:rPr>
        <w:t>b)</w:t>
      </w:r>
      <w:r w:rsidRPr="003B6E11">
        <w:rPr>
          <w:lang w:val="cs-CZ"/>
        </w:rPr>
        <w:tab/>
        <w:t>Každá nádoba s HFC-227ea, která je instalována v místnosti, která má být chráněna, musí být opatřena přetlakovým ventilem. Ten musí bez nebezpečí uvolnit obsah nádoby do místnosti, která má být chráněna, pokud je nádoba vystavena účinkům požáru a protipožární systém nebyl spuštěn.</w:t>
      </w:r>
    </w:p>
    <w:p w:rsidR="00E65F26" w:rsidRPr="003B6E11" w:rsidRDefault="005C7859" w:rsidP="00824063">
      <w:pPr>
        <w:pStyle w:val="ESlet"/>
        <w:rPr>
          <w:lang w:val="cs-CZ"/>
        </w:rPr>
      </w:pPr>
      <w:r w:rsidRPr="003B6E11">
        <w:rPr>
          <w:lang w:val="cs-CZ"/>
        </w:rPr>
        <w:t>c)</w:t>
      </w:r>
      <w:r w:rsidRPr="003B6E11">
        <w:rPr>
          <w:lang w:val="cs-CZ"/>
        </w:rPr>
        <w:tab/>
        <w:t>Každá nádoba musí být opatřena zařízením ke kontrole tlaku plynu.</w:t>
      </w:r>
    </w:p>
    <w:p w:rsidR="00E65F26" w:rsidRPr="003B6E11" w:rsidRDefault="005C7859" w:rsidP="00824063">
      <w:pPr>
        <w:pStyle w:val="ESlet"/>
        <w:rPr>
          <w:lang w:val="cs-CZ"/>
        </w:rPr>
      </w:pPr>
      <w:r w:rsidRPr="003B6E11">
        <w:rPr>
          <w:lang w:val="cs-CZ"/>
        </w:rPr>
        <w:t>d)</w:t>
      </w:r>
      <w:r w:rsidRPr="003B6E11">
        <w:rPr>
          <w:lang w:val="cs-CZ"/>
        </w:rPr>
        <w:tab/>
        <w:t>Nádoby se nesmí plnit na více než 1,15 kg/l. Měrný objem nestlačeného HFC-227ea je 0,1374 m</w:t>
      </w:r>
      <w:r w:rsidRPr="003B6E11">
        <w:rPr>
          <w:noProof/>
          <w:vertAlign w:val="superscript"/>
          <w:lang w:val="cs-CZ"/>
        </w:rPr>
        <w:t>3</w:t>
      </w:r>
      <w:r w:rsidRPr="003B6E11">
        <w:rPr>
          <w:lang w:val="cs-CZ"/>
        </w:rPr>
        <w:t>/kg.</w:t>
      </w:r>
    </w:p>
    <w:p w:rsidR="00E65F26" w:rsidRPr="003B6E11" w:rsidRDefault="0029453D" w:rsidP="00824063">
      <w:pPr>
        <w:pStyle w:val="ESlet"/>
        <w:rPr>
          <w:lang w:val="cs-CZ"/>
        </w:rPr>
      </w:pPr>
      <w:r w:rsidRPr="003B6E11">
        <w:rPr>
          <w:lang w:val="cs-CZ"/>
        </w:rPr>
        <w:t>e)</w:t>
      </w:r>
      <w:r w:rsidRPr="003B6E11">
        <w:rPr>
          <w:lang w:val="cs-CZ"/>
        </w:rPr>
        <w:tab/>
        <w:t>Objem HFC-227ea pro místnost, která má být chráněna, musí činit nejméně 8 % hrubého objemu této místnosti. Tento objem musí být uvolněn do 10 sekund.</w:t>
      </w:r>
    </w:p>
    <w:p w:rsidR="00E65F26" w:rsidRPr="003B6E11" w:rsidRDefault="0029453D" w:rsidP="00824063">
      <w:pPr>
        <w:pStyle w:val="ESlet"/>
        <w:rPr>
          <w:lang w:val="cs-CZ"/>
        </w:rPr>
      </w:pPr>
      <w:r w:rsidRPr="003B6E11">
        <w:rPr>
          <w:lang w:val="cs-CZ"/>
        </w:rPr>
        <w:t>f)</w:t>
      </w:r>
      <w:r w:rsidRPr="003B6E11">
        <w:rPr>
          <w:lang w:val="cs-CZ"/>
        </w:rPr>
        <w:tab/>
        <w:t>Nádoby s HFC-227ea musí být opatřeny zařízením ke sledování tlaku, které v případě nepřípustného úbytku náplně spustí akustický a optický poplašný signál v kormidelně. Neexistuje-li kormidelna, musí být tento výstražný signál dán mimo místnost, která má být chráněna.</w:t>
      </w:r>
    </w:p>
    <w:p w:rsidR="00E65F26" w:rsidRPr="003B6E11" w:rsidRDefault="0029453D" w:rsidP="00824063">
      <w:pPr>
        <w:pStyle w:val="ESlet"/>
        <w:rPr>
          <w:lang w:val="cs-CZ"/>
        </w:rPr>
      </w:pPr>
      <w:r w:rsidRPr="003B6E11">
        <w:rPr>
          <w:lang w:val="cs-CZ"/>
        </w:rPr>
        <w:t>g)</w:t>
      </w:r>
      <w:r w:rsidRPr="003B6E11">
        <w:rPr>
          <w:lang w:val="cs-CZ"/>
        </w:rPr>
        <w:tab/>
        <w:t>Po zaplnění nesmí koncentrace v místnosti, která má být chráněna, přesáhnout 10,5 %.</w:t>
      </w:r>
    </w:p>
    <w:p w:rsidR="00E65F26" w:rsidRPr="003B6E11" w:rsidRDefault="0029453D" w:rsidP="00824063">
      <w:pPr>
        <w:pStyle w:val="ESlet"/>
        <w:rPr>
          <w:lang w:val="cs-CZ"/>
        </w:rPr>
      </w:pPr>
      <w:r w:rsidRPr="003B6E11">
        <w:rPr>
          <w:lang w:val="cs-CZ"/>
        </w:rPr>
        <w:t>h)</w:t>
      </w:r>
      <w:r w:rsidRPr="003B6E11">
        <w:rPr>
          <w:lang w:val="cs-CZ"/>
        </w:rPr>
        <w:tab/>
        <w:t>Protipožární systém nesmí obsahovat součásti vyrobené z hliníku.</w:t>
      </w:r>
    </w:p>
    <w:p w:rsidR="00824063" w:rsidRPr="003B6E11" w:rsidRDefault="00824063" w:rsidP="00E65F26">
      <w:pPr>
        <w:pStyle w:val="ESch"/>
        <w:rPr>
          <w:noProof/>
          <w:lang w:val="cs-CZ"/>
        </w:rPr>
      </w:pPr>
    </w:p>
    <w:p w:rsidR="00E65F26" w:rsidRPr="003B6E11" w:rsidRDefault="00E65F26" w:rsidP="00E65F26">
      <w:pPr>
        <w:pStyle w:val="ESch"/>
        <w:rPr>
          <w:lang w:val="cs-CZ"/>
        </w:rPr>
      </w:pPr>
      <w:r w:rsidRPr="003B6E11">
        <w:rPr>
          <w:lang w:val="cs-CZ"/>
        </w:rPr>
        <w:t>12.</w:t>
      </w:r>
      <w:r w:rsidRPr="003B6E11">
        <w:rPr>
          <w:lang w:val="cs-CZ"/>
        </w:rPr>
        <w:tab/>
        <w:t>Protipožární systémy s IG-541</w:t>
      </w:r>
    </w:p>
    <w:p w:rsidR="00824063" w:rsidRPr="003B6E11" w:rsidRDefault="00824063" w:rsidP="00E65F26">
      <w:pPr>
        <w:pStyle w:val="ESch"/>
        <w:rPr>
          <w:noProof/>
          <w:lang w:val="cs-CZ"/>
        </w:rPr>
      </w:pPr>
    </w:p>
    <w:p w:rsidR="00E65F26" w:rsidRPr="003B6E11" w:rsidRDefault="00E65F26" w:rsidP="00824063">
      <w:pPr>
        <w:pStyle w:val="ESchpar"/>
        <w:rPr>
          <w:lang w:val="cs-CZ"/>
        </w:rPr>
      </w:pPr>
      <w:r w:rsidRPr="003B6E11">
        <w:rPr>
          <w:lang w:val="cs-CZ"/>
        </w:rPr>
        <w:t>Protipožární systémy používající jako hasicí látku IG-541 musí kromě požadavků podle odstavců 1 až 9 splňovat tato ustanovení:</w:t>
      </w:r>
    </w:p>
    <w:p w:rsidR="00E65F26" w:rsidRPr="003B6E11" w:rsidRDefault="005C7859" w:rsidP="00824063">
      <w:pPr>
        <w:pStyle w:val="ESlet"/>
        <w:rPr>
          <w:lang w:val="cs-CZ"/>
        </w:rPr>
      </w:pPr>
      <w:r w:rsidRPr="003B6E11">
        <w:rPr>
          <w:lang w:val="cs-CZ"/>
        </w:rPr>
        <w:t>a)</w:t>
      </w:r>
      <w:r w:rsidRPr="003B6E11">
        <w:rPr>
          <w:lang w:val="cs-CZ"/>
        </w:rPr>
        <w:tab/>
        <w:t>Má-li být chráněno několik prostorů s různým hrubým objemem, musí být každý prostor opatřen vlastním protipožárním systémem.</w:t>
      </w:r>
    </w:p>
    <w:p w:rsidR="00E65F26" w:rsidRPr="003B6E11" w:rsidRDefault="005C7859" w:rsidP="00824063">
      <w:pPr>
        <w:pStyle w:val="ESlet"/>
        <w:rPr>
          <w:lang w:val="cs-CZ"/>
        </w:rPr>
      </w:pPr>
      <w:r w:rsidRPr="003B6E11">
        <w:rPr>
          <w:lang w:val="cs-CZ"/>
        </w:rPr>
        <w:t>b)</w:t>
      </w:r>
      <w:r w:rsidRPr="003B6E11">
        <w:rPr>
          <w:lang w:val="cs-CZ"/>
        </w:rPr>
        <w:tab/>
        <w:t>Každá nádoba s IG-541, která je instalována v místnosti, která má být chráněna, musí být opatřena přetlakovým ventilem. Ten musí bez nebezpečí uvolnit obsah nádoby do místnosti, která má být chráněna, pokud je nádoba vystavena účinkům požáru a protipožární systém nebyl spuštěn.</w:t>
      </w:r>
    </w:p>
    <w:p w:rsidR="00E65F26" w:rsidRPr="003B6E11" w:rsidRDefault="005C7859" w:rsidP="00824063">
      <w:pPr>
        <w:pStyle w:val="ESlet"/>
        <w:rPr>
          <w:lang w:val="cs-CZ"/>
        </w:rPr>
      </w:pPr>
      <w:r w:rsidRPr="003B6E11">
        <w:rPr>
          <w:lang w:val="cs-CZ"/>
        </w:rPr>
        <w:t>c)</w:t>
      </w:r>
      <w:r w:rsidRPr="003B6E11">
        <w:rPr>
          <w:lang w:val="cs-CZ"/>
        </w:rPr>
        <w:tab/>
        <w:t>Každá nádoba musí být opatřena zařízením ke kontrole obsahu.</w:t>
      </w:r>
    </w:p>
    <w:p w:rsidR="00771FEA" w:rsidRPr="003B6E11" w:rsidRDefault="00771FEA" w:rsidP="00824063">
      <w:pPr>
        <w:pStyle w:val="ESlet"/>
        <w:rPr>
          <w:noProof/>
          <w:lang w:val="cs-CZ"/>
        </w:rPr>
      </w:pPr>
    </w:p>
    <w:p w:rsidR="00771FEA" w:rsidRPr="003B6E11" w:rsidRDefault="00771FEA" w:rsidP="00824063">
      <w:pPr>
        <w:pStyle w:val="ESlet"/>
        <w:rPr>
          <w:noProof/>
          <w:lang w:val="cs-CZ"/>
        </w:rPr>
      </w:pPr>
      <w:r w:rsidRPr="003B6E11">
        <w:rPr>
          <w:lang w:val="cs-CZ"/>
        </w:rPr>
        <w:br w:type="page"/>
      </w:r>
    </w:p>
    <w:p w:rsidR="00E65F26" w:rsidRPr="003B6E11" w:rsidRDefault="005C7859" w:rsidP="00824063">
      <w:pPr>
        <w:pStyle w:val="ESlet"/>
        <w:rPr>
          <w:lang w:val="cs-CZ"/>
        </w:rPr>
      </w:pPr>
      <w:r w:rsidRPr="003B6E11">
        <w:rPr>
          <w:lang w:val="cs-CZ"/>
        </w:rPr>
        <w:t>d)</w:t>
      </w:r>
      <w:r w:rsidRPr="003B6E11">
        <w:rPr>
          <w:lang w:val="cs-CZ"/>
        </w:rPr>
        <w:tab/>
        <w:t>Plnicí tlak nádoby nesmí při +15 °C překročit 200 barů.</w:t>
      </w:r>
    </w:p>
    <w:p w:rsidR="00E65F26" w:rsidRPr="003B6E11" w:rsidRDefault="0029453D" w:rsidP="00824063">
      <w:pPr>
        <w:pStyle w:val="ESlet"/>
        <w:rPr>
          <w:lang w:val="cs-CZ"/>
        </w:rPr>
      </w:pPr>
      <w:r w:rsidRPr="003B6E11">
        <w:rPr>
          <w:lang w:val="cs-CZ"/>
        </w:rPr>
        <w:t>e)</w:t>
      </w:r>
      <w:r w:rsidRPr="003B6E11">
        <w:rPr>
          <w:lang w:val="cs-CZ"/>
        </w:rPr>
        <w:tab/>
        <w:t>Objem IG-541 pro místnost, která má být chráněna, musí činit nejméně 44 % a nejvýše 50 % hrubého objemu této místnosti. Tento objem musí být uvolněn do 120 sekund.</w:t>
      </w:r>
    </w:p>
    <w:p w:rsidR="00824063" w:rsidRPr="003B6E11" w:rsidRDefault="00824063" w:rsidP="00E65F26">
      <w:pPr>
        <w:pStyle w:val="ESch"/>
        <w:rPr>
          <w:noProof/>
          <w:lang w:val="cs-CZ"/>
        </w:rPr>
      </w:pPr>
    </w:p>
    <w:p w:rsidR="00E65F26" w:rsidRPr="003B6E11" w:rsidRDefault="00E65F26" w:rsidP="00E65F26">
      <w:pPr>
        <w:pStyle w:val="ESch"/>
        <w:rPr>
          <w:lang w:val="cs-CZ"/>
        </w:rPr>
      </w:pPr>
      <w:r w:rsidRPr="003B6E11">
        <w:rPr>
          <w:lang w:val="cs-CZ"/>
        </w:rPr>
        <w:t>13.</w:t>
      </w:r>
      <w:r w:rsidRPr="003B6E11">
        <w:rPr>
          <w:lang w:val="cs-CZ"/>
        </w:rPr>
        <w:tab/>
        <w:t>Protipožární systémy s FK-5-1-12</w:t>
      </w:r>
    </w:p>
    <w:p w:rsidR="00824063" w:rsidRPr="003B6E11" w:rsidRDefault="00824063" w:rsidP="00E65F26">
      <w:pPr>
        <w:pStyle w:val="ESch"/>
        <w:rPr>
          <w:noProof/>
          <w:lang w:val="cs-CZ"/>
        </w:rPr>
      </w:pPr>
    </w:p>
    <w:p w:rsidR="00E65F26" w:rsidRPr="003B6E11" w:rsidRDefault="00E65F26" w:rsidP="00824063">
      <w:pPr>
        <w:pStyle w:val="ESchpar"/>
        <w:rPr>
          <w:lang w:val="cs-CZ"/>
        </w:rPr>
      </w:pPr>
      <w:r w:rsidRPr="003B6E11">
        <w:rPr>
          <w:lang w:val="cs-CZ"/>
        </w:rPr>
        <w:t>Protipožární systémy s FK-5-1-12 jako hasicí látkou musí kromě požadavků podle odstavců 1 až 9 splňovat tato ustanovení:</w:t>
      </w:r>
    </w:p>
    <w:p w:rsidR="00E65F26" w:rsidRPr="003B6E11" w:rsidRDefault="005C7859" w:rsidP="00824063">
      <w:pPr>
        <w:pStyle w:val="ESlet"/>
        <w:rPr>
          <w:lang w:val="cs-CZ"/>
        </w:rPr>
      </w:pPr>
      <w:r w:rsidRPr="003B6E11">
        <w:rPr>
          <w:lang w:val="cs-CZ"/>
        </w:rPr>
        <w:t>a)</w:t>
      </w:r>
      <w:r w:rsidRPr="003B6E11">
        <w:rPr>
          <w:lang w:val="cs-CZ"/>
        </w:rPr>
        <w:tab/>
        <w:t>Má-li být chráněno několik prostorů s různým hrubým objemem, musí být každý prostor opatřen vlastním protipožárním systémem.</w:t>
      </w:r>
    </w:p>
    <w:p w:rsidR="00E65F26" w:rsidRPr="003B6E11" w:rsidRDefault="005C7859" w:rsidP="00824063">
      <w:pPr>
        <w:pStyle w:val="ESlet"/>
        <w:rPr>
          <w:lang w:val="cs-CZ"/>
        </w:rPr>
      </w:pPr>
      <w:r w:rsidRPr="003B6E11">
        <w:rPr>
          <w:lang w:val="cs-CZ"/>
        </w:rPr>
        <w:t>b)</w:t>
      </w:r>
      <w:r w:rsidRPr="003B6E11">
        <w:rPr>
          <w:lang w:val="cs-CZ"/>
        </w:rPr>
        <w:tab/>
        <w:t>Každá nádoba s FK-5-1-12, která je instalována v místnosti, která má být chráněna, musí být opatřena přetlakovým ventilem. Přetlakový ventil musí bez nebezpečí uvolnit obsah nádoby do místnosti, která má být chráněna, pokud je nádoba vystavena účinkům požáru a protipožární systém nebyl spuštěn.</w:t>
      </w:r>
    </w:p>
    <w:p w:rsidR="00E65F26" w:rsidRPr="003B6E11" w:rsidRDefault="005C7859" w:rsidP="00824063">
      <w:pPr>
        <w:pStyle w:val="ESlet"/>
        <w:rPr>
          <w:lang w:val="cs-CZ"/>
        </w:rPr>
      </w:pPr>
      <w:r w:rsidRPr="003B6E11">
        <w:rPr>
          <w:lang w:val="cs-CZ"/>
        </w:rPr>
        <w:t>c)</w:t>
      </w:r>
      <w:r w:rsidRPr="003B6E11">
        <w:rPr>
          <w:lang w:val="cs-CZ"/>
        </w:rPr>
        <w:tab/>
        <w:t>Každá nádoba musí být opatřena zařízením ke kontrole tlaku plynu.</w:t>
      </w:r>
    </w:p>
    <w:p w:rsidR="00E65F26" w:rsidRPr="003B6E11" w:rsidRDefault="005C7859" w:rsidP="00824063">
      <w:pPr>
        <w:pStyle w:val="ESlet"/>
        <w:rPr>
          <w:lang w:val="cs-CZ"/>
        </w:rPr>
      </w:pPr>
      <w:r w:rsidRPr="003B6E11">
        <w:rPr>
          <w:lang w:val="cs-CZ"/>
        </w:rPr>
        <w:t>d)</w:t>
      </w:r>
      <w:r w:rsidRPr="003B6E11">
        <w:rPr>
          <w:lang w:val="cs-CZ"/>
        </w:rPr>
        <w:tab/>
        <w:t>Nádoby se nesmí plnit na více než 1,00 kg/l. Měrný objem nestlačeného FK-5-1-12 je 0,0719 m</w:t>
      </w:r>
      <w:r w:rsidRPr="003B6E11">
        <w:rPr>
          <w:noProof/>
          <w:vertAlign w:val="superscript"/>
          <w:lang w:val="cs-CZ"/>
        </w:rPr>
        <w:t>3</w:t>
      </w:r>
      <w:r w:rsidRPr="003B6E11">
        <w:rPr>
          <w:lang w:val="cs-CZ"/>
        </w:rPr>
        <w:t>/kg.</w:t>
      </w:r>
    </w:p>
    <w:p w:rsidR="00E65F26" w:rsidRPr="003B6E11" w:rsidRDefault="0029453D" w:rsidP="00824063">
      <w:pPr>
        <w:pStyle w:val="ESlet"/>
        <w:rPr>
          <w:lang w:val="cs-CZ"/>
        </w:rPr>
      </w:pPr>
      <w:r w:rsidRPr="003B6E11">
        <w:rPr>
          <w:lang w:val="cs-CZ"/>
        </w:rPr>
        <w:t>e)</w:t>
      </w:r>
      <w:r w:rsidRPr="003B6E11">
        <w:rPr>
          <w:lang w:val="cs-CZ"/>
        </w:rPr>
        <w:tab/>
        <w:t>Objem FK-5-1-12 pro místnost, která má být chráněna, musí být nejméně 5,5 % hrubého objemu této místnosti. Tento objem musí být uvolněn do 10 sekund.</w:t>
      </w:r>
    </w:p>
    <w:p w:rsidR="00E65F26" w:rsidRPr="003B6E11" w:rsidRDefault="0029453D" w:rsidP="00824063">
      <w:pPr>
        <w:pStyle w:val="ESlet"/>
        <w:rPr>
          <w:lang w:val="cs-CZ"/>
        </w:rPr>
      </w:pPr>
      <w:r w:rsidRPr="003B6E11">
        <w:rPr>
          <w:lang w:val="cs-CZ"/>
        </w:rPr>
        <w:t>f)</w:t>
      </w:r>
      <w:r w:rsidRPr="003B6E11">
        <w:rPr>
          <w:lang w:val="cs-CZ"/>
        </w:rPr>
        <w:tab/>
        <w:t>Nádoby s FK-5-1-12 musí být opatřeny zařízením ke sledování tlaku, které v případě nepřípustného úbytku náplně spustí akustický a optický poplašný signál v kormidelně. Neexistuje-li kormidelna, musí být tento výstražný signál dán mimo místnost, která má být chráněna.</w:t>
      </w:r>
    </w:p>
    <w:p w:rsidR="00E65F26" w:rsidRPr="003B6E11" w:rsidRDefault="0029453D" w:rsidP="00824063">
      <w:pPr>
        <w:pStyle w:val="ESlet"/>
        <w:rPr>
          <w:noProof/>
          <w:lang w:val="cs-CZ"/>
        </w:rPr>
      </w:pPr>
      <w:r w:rsidRPr="003B6E11">
        <w:rPr>
          <w:lang w:val="cs-CZ"/>
        </w:rPr>
        <w:t>g)</w:t>
      </w:r>
      <w:r w:rsidRPr="003B6E11">
        <w:rPr>
          <w:lang w:val="cs-CZ"/>
        </w:rPr>
        <w:tab/>
        <w:t>Po zaplnění nesmí koncentrace v místnosti, která má být chráněna, přesáhnout 10,0 %.</w:t>
      </w:r>
    </w:p>
    <w:p w:rsidR="00C44D3C" w:rsidRPr="003B6E11" w:rsidRDefault="00C44D3C" w:rsidP="00C44D3C">
      <w:pPr>
        <w:widowControl w:val="0"/>
        <w:ind w:left="1276"/>
        <w:rPr>
          <w:noProof/>
          <w:lang w:val="cs-CZ"/>
        </w:rPr>
      </w:pPr>
    </w:p>
    <w:p w:rsidR="00C44D3C" w:rsidRPr="003B6E11" w:rsidRDefault="00C44D3C" w:rsidP="00C44D3C">
      <w:pPr>
        <w:pStyle w:val="ESch"/>
        <w:rPr>
          <w:noProof/>
          <w:lang w:val="cs-CZ"/>
        </w:rPr>
      </w:pPr>
      <w:r w:rsidRPr="003B6E11">
        <w:rPr>
          <w:lang w:val="cs-CZ"/>
        </w:rPr>
        <w:t>14.</w:t>
      </w:r>
      <w:r w:rsidRPr="003B6E11">
        <w:rPr>
          <w:lang w:val="cs-CZ"/>
        </w:rPr>
        <w:tab/>
        <w:t xml:space="preserve">Protipožární systémy používající jako hasicí látku vodu </w:t>
      </w:r>
    </w:p>
    <w:p w:rsidR="00C44D3C" w:rsidRPr="003B6E11" w:rsidRDefault="00C44D3C" w:rsidP="00980973">
      <w:pPr>
        <w:pStyle w:val="ESch"/>
        <w:rPr>
          <w:highlight w:val="lightGray"/>
          <w:lang w:val="cs-CZ"/>
        </w:rPr>
      </w:pPr>
    </w:p>
    <w:p w:rsidR="00C44D3C" w:rsidRPr="003B6E11" w:rsidRDefault="00C44D3C" w:rsidP="00C44D3C">
      <w:pPr>
        <w:pStyle w:val="ESchpar"/>
        <w:rPr>
          <w:szCs w:val="20"/>
          <w:lang w:val="cs-CZ"/>
        </w:rPr>
      </w:pPr>
      <w:r w:rsidRPr="003B6E11">
        <w:rPr>
          <w:lang w:val="cs-CZ"/>
        </w:rPr>
        <w:t xml:space="preserve">Protipožární systémy používající jako hasicí látku vodu, mohou tuto hasicí látku uvolnit do místnosti, která má být chráněna, pouze v podobě vodní mlhy. Kapička musí mít velikost mezi 5 a 300 mikrony. </w:t>
      </w:r>
    </w:p>
    <w:p w:rsidR="00C44D3C" w:rsidRPr="003B6E11" w:rsidRDefault="00C44D3C" w:rsidP="00980973">
      <w:pPr>
        <w:pStyle w:val="ESch"/>
        <w:rPr>
          <w:lang w:val="cs-CZ"/>
        </w:rPr>
      </w:pPr>
    </w:p>
    <w:p w:rsidR="00C44D3C" w:rsidRPr="003B6E11" w:rsidRDefault="00C44D3C" w:rsidP="00980973">
      <w:pPr>
        <w:pStyle w:val="ESchpar"/>
        <w:rPr>
          <w:lang w:val="cs-CZ"/>
        </w:rPr>
      </w:pPr>
      <w:r w:rsidRPr="003B6E11">
        <w:rPr>
          <w:lang w:val="cs-CZ"/>
        </w:rPr>
        <w:t>Kromě požadavků stanovených v odstavcích 1 až 7 a 9, přičemž odstavec 8 se použije obdobně, musí tyto protipožární systémy splňovat následující ustanovení:</w:t>
      </w:r>
    </w:p>
    <w:p w:rsidR="00C44D3C" w:rsidRPr="003B6E11" w:rsidRDefault="00C44D3C" w:rsidP="00980973">
      <w:pPr>
        <w:pStyle w:val="ESlet"/>
        <w:rPr>
          <w:rFonts w:cs="Arial"/>
          <w:lang w:val="cs-CZ"/>
        </w:rPr>
      </w:pPr>
      <w:r w:rsidRPr="003B6E11">
        <w:rPr>
          <w:lang w:val="cs-CZ"/>
        </w:rPr>
        <w:t>a)</w:t>
      </w:r>
      <w:r w:rsidRPr="003B6E11">
        <w:rPr>
          <w:lang w:val="cs-CZ"/>
        </w:rPr>
        <w:tab/>
        <w:t>Protipožární systém musí mít schválení typu podle MSC/Circ. 1165</w:t>
      </w:r>
      <w:r w:rsidRPr="003B6E11">
        <w:rPr>
          <w:vertAlign w:val="superscript"/>
          <w:lang w:val="cs-CZ"/>
        </w:rPr>
        <w:footnoteReference w:id="10"/>
      </w:r>
      <w:r w:rsidRPr="003B6E11">
        <w:rPr>
          <w:lang w:val="cs-CZ"/>
        </w:rPr>
        <w:t xml:space="preserve"> nebo jiné normy uznané jedním z členských států. Schválení typu provádí uznaná klasifikační společnost nebo akreditovaný zkušební ústav. Akreditovaný zkušební ústav musí splňovat evropskou normu o všeobecných požadavcích na způsobilost zkušebních a kalibračních laboratoří (EN ISO/IEC 17025:2005).</w:t>
      </w:r>
    </w:p>
    <w:p w:rsidR="00C44D3C" w:rsidRPr="003B6E11" w:rsidRDefault="00C44D3C" w:rsidP="00980973">
      <w:pPr>
        <w:pStyle w:val="ESlet"/>
        <w:rPr>
          <w:snapToGrid w:val="0"/>
          <w:lang w:val="cs-CZ"/>
        </w:rPr>
      </w:pPr>
      <w:r w:rsidRPr="003B6E11">
        <w:rPr>
          <w:lang w:val="cs-CZ"/>
        </w:rPr>
        <w:t>b)</w:t>
      </w:r>
      <w:r w:rsidRPr="003B6E11">
        <w:rPr>
          <w:lang w:val="cs-CZ"/>
        </w:rPr>
        <w:tab/>
        <w:t>Protipožární systém musí být dimenzován podle největší plochy prostorů, které mají být chráněny, a musí být schopen rozstřikovat vodu po místnosti nepřetržitě po dobu minimálně 30 minut.</w:t>
      </w:r>
    </w:p>
    <w:p w:rsidR="00C44D3C" w:rsidRPr="003B6E11" w:rsidRDefault="00C44D3C" w:rsidP="00980973">
      <w:pPr>
        <w:pStyle w:val="ESlet"/>
        <w:rPr>
          <w:lang w:val="cs-CZ"/>
        </w:rPr>
      </w:pPr>
      <w:r w:rsidRPr="003B6E11">
        <w:rPr>
          <w:lang w:val="cs-CZ"/>
        </w:rPr>
        <w:br w:type="page"/>
      </w:r>
    </w:p>
    <w:p w:rsidR="00C44D3C" w:rsidRPr="003B6E11" w:rsidRDefault="00C44D3C" w:rsidP="00980973">
      <w:pPr>
        <w:pStyle w:val="ESlet"/>
        <w:rPr>
          <w:rFonts w:cs="Arial"/>
          <w:lang w:val="cs-CZ"/>
        </w:rPr>
      </w:pPr>
      <w:r w:rsidRPr="003B6E11">
        <w:rPr>
          <w:lang w:val="cs-CZ"/>
        </w:rPr>
        <w:t>c)</w:t>
      </w:r>
      <w:r w:rsidRPr="003B6E11">
        <w:rPr>
          <w:lang w:val="cs-CZ"/>
        </w:rPr>
        <w:tab/>
        <w:t xml:space="preserve">Čerpadla, jejich přepínací mechanismy a ventily nutné k tomu, aby systém fungoval, by měly být instalovány v místnosti mimo prostory, které mají být chráněny. Místnost, v níž jsou instalovány, by měla být oddělena od sousedních prostorů dělicími stěnami alespoň typu A30. </w:t>
      </w:r>
    </w:p>
    <w:p w:rsidR="00C44D3C" w:rsidRPr="003B6E11" w:rsidRDefault="00C44D3C" w:rsidP="00980973">
      <w:pPr>
        <w:pStyle w:val="ESlet"/>
        <w:rPr>
          <w:rFonts w:cs="Arial"/>
          <w:lang w:val="cs-CZ"/>
        </w:rPr>
      </w:pPr>
      <w:r w:rsidRPr="003B6E11">
        <w:rPr>
          <w:lang w:val="cs-CZ"/>
        </w:rPr>
        <w:t>d)</w:t>
      </w:r>
      <w:r w:rsidRPr="003B6E11">
        <w:rPr>
          <w:lang w:val="cs-CZ"/>
        </w:rPr>
        <w:tab/>
        <w:t>Protipožární systém musí být vždy zcela zaplněn vodou nejméně až po rychlouzavírací ventily a musí být pod požadovaným počátečním provozním tlakem. Když je systém spuštěn, musí se automaticky zapnout čerpadla pro přívod vody. Systém musí zajišťovat nepřetržitý přívod vody. Musí být přijata příslušná opatření, aby chod systému nebyl ovlivněn nečistotami.</w:t>
      </w:r>
    </w:p>
    <w:p w:rsidR="00C44D3C" w:rsidRPr="003B6E11" w:rsidRDefault="00C44D3C" w:rsidP="00980973">
      <w:pPr>
        <w:pStyle w:val="ESlet"/>
        <w:rPr>
          <w:rFonts w:cs="Arial"/>
          <w:lang w:val="cs-CZ"/>
        </w:rPr>
      </w:pPr>
      <w:r w:rsidRPr="003B6E11">
        <w:rPr>
          <w:lang w:val="cs-CZ"/>
        </w:rPr>
        <w:t>e)</w:t>
      </w:r>
      <w:r w:rsidRPr="003B6E11">
        <w:rPr>
          <w:lang w:val="cs-CZ"/>
        </w:rPr>
        <w:tab/>
        <w:t>Kapacita a návrh potrubní sítě systému musí vycházet z hydraulických výpočtů.</w:t>
      </w:r>
    </w:p>
    <w:p w:rsidR="00C44D3C" w:rsidRPr="003B6E11" w:rsidRDefault="00C44D3C" w:rsidP="00980973">
      <w:pPr>
        <w:pStyle w:val="ESlet"/>
        <w:rPr>
          <w:rFonts w:cs="Arial"/>
          <w:lang w:val="cs-CZ"/>
        </w:rPr>
      </w:pPr>
      <w:r w:rsidRPr="003B6E11">
        <w:rPr>
          <w:lang w:val="cs-CZ"/>
        </w:rPr>
        <w:t>f)</w:t>
      </w:r>
      <w:r w:rsidRPr="003B6E11">
        <w:rPr>
          <w:lang w:val="cs-CZ"/>
        </w:rPr>
        <w:tab/>
        <w:t xml:space="preserve">Počet a rozmístění rozstřikovacích trysek musí zajišťovat účinný rozvod vody do místností, které mají být chráněny. Rozstřikovací trysky musí být rozmístěny tak, aby se zajistilo rozptýlení vodní mlhy po celé místnosti, která má být chráněna, zejména v těch prostorech, kde je vyšší riziko požáru, včetně prostoru za armaturami a pod podlahou. </w:t>
      </w:r>
    </w:p>
    <w:p w:rsidR="00C44D3C" w:rsidRPr="003B6E11" w:rsidRDefault="00C44D3C" w:rsidP="00980973">
      <w:pPr>
        <w:pStyle w:val="ESlet"/>
        <w:rPr>
          <w:rFonts w:cs="Arial"/>
          <w:lang w:val="cs-CZ"/>
        </w:rPr>
      </w:pPr>
      <w:r w:rsidRPr="003B6E11">
        <w:rPr>
          <w:lang w:val="cs-CZ"/>
        </w:rPr>
        <w:t>g)</w:t>
      </w:r>
      <w:r w:rsidRPr="003B6E11">
        <w:rPr>
          <w:lang w:val="cs-CZ"/>
        </w:rPr>
        <w:tab/>
        <w:t>Elektrické součásti protipožárního systému v místnosti, která má být chráněna, musí splňovat přinejmenším ochrannou třídu IP54. Systém musí obsahovat dva nezávislé zdroje energie s automatickým přepínáním. Jeden z těchto zdrojů energie se musí nacházet mimo místnost, která má být chráněna. Každý zdroj energie by měl být schopen sám zajistit chod systému.</w:t>
      </w:r>
    </w:p>
    <w:p w:rsidR="00C44D3C" w:rsidRPr="003B6E11" w:rsidRDefault="00C44D3C" w:rsidP="00980973">
      <w:pPr>
        <w:pStyle w:val="ESlet"/>
        <w:rPr>
          <w:rFonts w:cs="Arial"/>
          <w:lang w:val="cs-CZ"/>
        </w:rPr>
      </w:pPr>
      <w:r w:rsidRPr="003B6E11">
        <w:rPr>
          <w:lang w:val="cs-CZ"/>
        </w:rPr>
        <w:t>h)</w:t>
      </w:r>
      <w:r w:rsidRPr="003B6E11">
        <w:rPr>
          <w:lang w:val="cs-CZ"/>
        </w:rPr>
        <w:tab/>
        <w:t xml:space="preserve">Součástí protipožárního systému musí být rezervní čerpadla. </w:t>
      </w:r>
    </w:p>
    <w:p w:rsidR="00C44D3C" w:rsidRPr="003B6E11" w:rsidRDefault="00C44D3C" w:rsidP="00980973">
      <w:pPr>
        <w:pStyle w:val="ESlet"/>
        <w:rPr>
          <w:rFonts w:cs="Arial"/>
          <w:lang w:val="cs-CZ"/>
        </w:rPr>
      </w:pPr>
      <w:r w:rsidRPr="003B6E11">
        <w:rPr>
          <w:lang w:val="cs-CZ"/>
        </w:rPr>
        <w:t>i)</w:t>
      </w:r>
      <w:r w:rsidRPr="003B6E11">
        <w:rPr>
          <w:lang w:val="cs-CZ"/>
        </w:rPr>
        <w:tab/>
        <w:t>Protipožární systém musí být vybaven monitorovacím zařízením,</w:t>
      </w:r>
      <w:r w:rsidRPr="003B6E11">
        <w:rPr>
          <w:rFonts w:ascii="Times New Roman" w:hAnsi="Times New Roman"/>
          <w:lang w:val="cs-CZ"/>
        </w:rPr>
        <w:t xml:space="preserve"> </w:t>
      </w:r>
      <w:r w:rsidRPr="003B6E11">
        <w:rPr>
          <w:lang w:val="cs-CZ"/>
        </w:rPr>
        <w:t>které spustí poplašný signál v kormidelně v těchto případech:</w:t>
      </w:r>
    </w:p>
    <w:p w:rsidR="00C44D3C" w:rsidRPr="003B6E11" w:rsidRDefault="00C44D3C" w:rsidP="00C44D3C">
      <w:pPr>
        <w:pStyle w:val="EStiret"/>
        <w:rPr>
          <w:lang w:val="cs-CZ"/>
        </w:rPr>
      </w:pPr>
      <w:r w:rsidRPr="003B6E11">
        <w:rPr>
          <w:lang w:val="cs-CZ"/>
        </w:rPr>
        <w:t>–</w:t>
      </w:r>
      <w:r w:rsidRPr="003B6E11">
        <w:rPr>
          <w:lang w:val="cs-CZ"/>
        </w:rPr>
        <w:tab/>
        <w:t>pokles hladiny ve vodní nádrži (je-li jí plavidlo vybaveno),</w:t>
      </w:r>
    </w:p>
    <w:p w:rsidR="00C44D3C" w:rsidRPr="003B6E11" w:rsidRDefault="00C44D3C" w:rsidP="00C44D3C">
      <w:pPr>
        <w:pStyle w:val="EStiret"/>
        <w:rPr>
          <w:lang w:val="cs-CZ"/>
        </w:rPr>
      </w:pPr>
      <w:r w:rsidRPr="003B6E11">
        <w:rPr>
          <w:lang w:val="cs-CZ"/>
        </w:rPr>
        <w:t>–</w:t>
      </w:r>
      <w:r w:rsidRPr="003B6E11">
        <w:rPr>
          <w:lang w:val="cs-CZ"/>
        </w:rPr>
        <w:tab/>
        <w:t>výpadek napájení,</w:t>
      </w:r>
    </w:p>
    <w:p w:rsidR="00C44D3C" w:rsidRPr="003B6E11" w:rsidRDefault="00C44D3C" w:rsidP="00C44D3C">
      <w:pPr>
        <w:pStyle w:val="EStiret"/>
        <w:rPr>
          <w:lang w:val="cs-CZ"/>
        </w:rPr>
      </w:pPr>
      <w:r w:rsidRPr="003B6E11">
        <w:rPr>
          <w:lang w:val="cs-CZ"/>
        </w:rPr>
        <w:t>–</w:t>
      </w:r>
      <w:r w:rsidRPr="003B6E11">
        <w:rPr>
          <w:lang w:val="cs-CZ"/>
        </w:rPr>
        <w:tab/>
        <w:t>ztráta tlaku v nízkotlakém potrubním systému,</w:t>
      </w:r>
    </w:p>
    <w:p w:rsidR="00C44D3C" w:rsidRPr="003B6E11" w:rsidRDefault="00C44D3C" w:rsidP="00C44D3C">
      <w:pPr>
        <w:pStyle w:val="EStiret"/>
        <w:rPr>
          <w:lang w:val="cs-CZ"/>
        </w:rPr>
      </w:pPr>
      <w:r w:rsidRPr="003B6E11">
        <w:rPr>
          <w:lang w:val="cs-CZ"/>
        </w:rPr>
        <w:t>–</w:t>
      </w:r>
      <w:r w:rsidRPr="003B6E11">
        <w:rPr>
          <w:lang w:val="cs-CZ"/>
        </w:rPr>
        <w:tab/>
        <w:t>ztráta tlaku ve vysokotlakém okruhu,</w:t>
      </w:r>
    </w:p>
    <w:p w:rsidR="00C44D3C" w:rsidRPr="003B6E11" w:rsidRDefault="00C44D3C" w:rsidP="00C44D3C">
      <w:pPr>
        <w:pStyle w:val="EStiret"/>
        <w:rPr>
          <w:lang w:val="cs-CZ"/>
        </w:rPr>
      </w:pPr>
      <w:r w:rsidRPr="003B6E11">
        <w:rPr>
          <w:lang w:val="cs-CZ"/>
        </w:rPr>
        <w:t>–</w:t>
      </w:r>
      <w:r w:rsidRPr="003B6E11">
        <w:rPr>
          <w:lang w:val="cs-CZ"/>
        </w:rPr>
        <w:tab/>
        <w:t>je-li systém aktivován.</w:t>
      </w:r>
    </w:p>
    <w:p w:rsidR="00C44D3C" w:rsidRPr="003B6E11" w:rsidRDefault="00C44D3C" w:rsidP="00980973">
      <w:pPr>
        <w:pStyle w:val="ESlet"/>
        <w:rPr>
          <w:lang w:val="cs-CZ"/>
        </w:rPr>
      </w:pPr>
      <w:r w:rsidRPr="003B6E11">
        <w:rPr>
          <w:lang w:val="cs-CZ"/>
        </w:rPr>
        <w:t>j)</w:t>
      </w:r>
      <w:r w:rsidRPr="003B6E11">
        <w:rPr>
          <w:lang w:val="cs-CZ"/>
        </w:rPr>
        <w:tab/>
        <w:t xml:space="preserve">Doklady požadované pro instalaci, funkční zkoušky a dokumentace zařízení podle odstavce 9 musí zahrnovat přinejmenším: </w:t>
      </w:r>
    </w:p>
    <w:p w:rsidR="00C44D3C" w:rsidRPr="003B6E11" w:rsidRDefault="00C44D3C" w:rsidP="00C44D3C">
      <w:pPr>
        <w:pStyle w:val="EStiret"/>
        <w:rPr>
          <w:lang w:val="cs-CZ"/>
        </w:rPr>
      </w:pPr>
      <w:r w:rsidRPr="003B6E11">
        <w:rPr>
          <w:lang w:val="cs-CZ"/>
        </w:rPr>
        <w:t xml:space="preserve">– </w:t>
      </w:r>
      <w:r w:rsidRPr="003B6E11">
        <w:rPr>
          <w:lang w:val="cs-CZ"/>
        </w:rPr>
        <w:tab/>
        <w:t>schéma systému znázorňující úseky potrubí a typy rozstřikovací trysky,</w:t>
      </w:r>
    </w:p>
    <w:p w:rsidR="00C44D3C" w:rsidRPr="003B6E11" w:rsidRDefault="00C44D3C" w:rsidP="00C44D3C">
      <w:pPr>
        <w:pStyle w:val="EStiret"/>
        <w:rPr>
          <w:lang w:val="cs-CZ"/>
        </w:rPr>
      </w:pPr>
      <w:r w:rsidRPr="003B6E11">
        <w:rPr>
          <w:lang w:val="cs-CZ"/>
        </w:rPr>
        <w:t xml:space="preserve">– </w:t>
      </w:r>
      <w:r w:rsidRPr="003B6E11">
        <w:rPr>
          <w:lang w:val="cs-CZ"/>
        </w:rPr>
        <w:tab/>
        <w:t>hydraulické výpočty uvedené v písmenu d),</w:t>
      </w:r>
    </w:p>
    <w:p w:rsidR="00C44D3C" w:rsidRPr="003B6E11" w:rsidRDefault="00C44D3C" w:rsidP="00C44D3C">
      <w:pPr>
        <w:pStyle w:val="EStiret"/>
        <w:rPr>
          <w:lang w:val="cs-CZ"/>
        </w:rPr>
      </w:pPr>
      <w:r w:rsidRPr="003B6E11">
        <w:rPr>
          <w:lang w:val="cs-CZ"/>
        </w:rPr>
        <w:t xml:space="preserve">– </w:t>
      </w:r>
      <w:r w:rsidRPr="003B6E11">
        <w:rPr>
          <w:lang w:val="cs-CZ"/>
        </w:rPr>
        <w:tab/>
        <w:t>technickou dokumentaci výrobce, která zahrnuje všechny aspekty zařízení,</w:t>
      </w:r>
    </w:p>
    <w:p w:rsidR="00C44D3C" w:rsidRPr="003B6E11" w:rsidRDefault="00C44D3C" w:rsidP="00C44D3C">
      <w:pPr>
        <w:pStyle w:val="EStiret"/>
        <w:rPr>
          <w:lang w:val="cs-CZ"/>
        </w:rPr>
      </w:pPr>
      <w:r w:rsidRPr="003B6E11">
        <w:rPr>
          <w:lang w:val="cs-CZ"/>
        </w:rPr>
        <w:t xml:space="preserve">– </w:t>
      </w:r>
      <w:r w:rsidRPr="003B6E11">
        <w:rPr>
          <w:lang w:val="cs-CZ"/>
        </w:rPr>
        <w:tab/>
        <w:t>příručku pro údržbu.</w:t>
      </w:r>
    </w:p>
    <w:p w:rsidR="00E65F26" w:rsidRPr="003B6E11" w:rsidRDefault="00E65F26" w:rsidP="00E65F26">
      <w:pPr>
        <w:pStyle w:val="ESch"/>
        <w:rPr>
          <w:lang w:val="cs-CZ"/>
        </w:rPr>
      </w:pPr>
    </w:p>
    <w:p w:rsidR="00771FEA" w:rsidRPr="003B6E11" w:rsidRDefault="00771FEA" w:rsidP="00E65F26">
      <w:pPr>
        <w:pStyle w:val="ESch"/>
        <w:rPr>
          <w:lang w:val="cs-CZ"/>
        </w:rPr>
      </w:pPr>
    </w:p>
    <w:p w:rsidR="00C83149" w:rsidRPr="003B6E11" w:rsidRDefault="00C83149" w:rsidP="00C83149">
      <w:pPr>
        <w:pStyle w:val="ES-Titre3"/>
        <w:rPr>
          <w:i/>
          <w:noProof/>
          <w:lang w:val="cs-CZ"/>
        </w:rPr>
      </w:pPr>
      <w:bookmarkStart w:id="220" w:name="_Toc491854107"/>
      <w:bookmarkStart w:id="221" w:name="_Toc535417013"/>
      <w:r w:rsidRPr="003B6E11">
        <w:rPr>
          <w:lang w:val="cs-CZ"/>
        </w:rPr>
        <w:t>Článek 13.06</w:t>
      </w:r>
      <w:r w:rsidRPr="003B6E11">
        <w:rPr>
          <w:lang w:val="cs-CZ"/>
        </w:rPr>
        <w:br/>
      </w:r>
      <w:r w:rsidRPr="003B6E11">
        <w:rPr>
          <w:i/>
          <w:noProof/>
          <w:lang w:val="cs-CZ"/>
        </w:rPr>
        <w:t>Pevně instalované protipožární systémy k ochraně objektů</w:t>
      </w:r>
      <w:bookmarkEnd w:id="220"/>
      <w:bookmarkEnd w:id="221"/>
    </w:p>
    <w:p w:rsidR="00C83149" w:rsidRPr="003B6E11" w:rsidRDefault="00C83149" w:rsidP="00E65F26">
      <w:pPr>
        <w:pStyle w:val="ESch"/>
        <w:rPr>
          <w:lang w:val="cs-CZ"/>
        </w:rPr>
      </w:pPr>
    </w:p>
    <w:p w:rsidR="00C83149" w:rsidRPr="003B6E11" w:rsidRDefault="00C83149" w:rsidP="00C83149">
      <w:pPr>
        <w:pStyle w:val="ESgauche"/>
        <w:rPr>
          <w:lang w:val="cs-CZ"/>
        </w:rPr>
      </w:pPr>
      <w:r w:rsidRPr="003B6E11">
        <w:rPr>
          <w:lang w:val="cs-CZ"/>
        </w:rPr>
        <w:t>Pevně instalované protipožární systémy k ochraně objektů jsou zakázány.</w:t>
      </w:r>
    </w:p>
    <w:p w:rsidR="00C83149" w:rsidRPr="003B6E11" w:rsidRDefault="00C83149" w:rsidP="00E65F26">
      <w:pPr>
        <w:pStyle w:val="ESch"/>
        <w:rPr>
          <w:lang w:val="cs-CZ"/>
        </w:rPr>
      </w:pPr>
    </w:p>
    <w:p w:rsidR="00C83149" w:rsidRPr="003B6E11" w:rsidRDefault="00C83149" w:rsidP="00E65F26">
      <w:pPr>
        <w:pStyle w:val="ESch"/>
        <w:rPr>
          <w:lang w:val="cs-CZ"/>
        </w:rPr>
      </w:pPr>
    </w:p>
    <w:p w:rsidR="00C44D3C" w:rsidRPr="003B6E11" w:rsidRDefault="00C44D3C">
      <w:pPr>
        <w:rPr>
          <w:rFonts w:eastAsia="Calibri"/>
          <w:b/>
          <w:noProof/>
          <w:lang w:val="cs-CZ"/>
        </w:rPr>
      </w:pPr>
      <w:r w:rsidRPr="003B6E11">
        <w:rPr>
          <w:lang w:val="cs-CZ"/>
        </w:rPr>
        <w:br w:type="page"/>
      </w:r>
    </w:p>
    <w:p w:rsidR="00E65F26" w:rsidRPr="003B6E11" w:rsidRDefault="00E65F26" w:rsidP="00824063">
      <w:pPr>
        <w:pStyle w:val="ES-Titre3"/>
        <w:rPr>
          <w:i/>
          <w:lang w:val="cs-CZ"/>
        </w:rPr>
      </w:pPr>
      <w:bookmarkStart w:id="222" w:name="_Toc491854108"/>
      <w:bookmarkStart w:id="223" w:name="_Toc535417014"/>
      <w:r w:rsidRPr="003B6E11">
        <w:rPr>
          <w:lang w:val="cs-CZ"/>
        </w:rPr>
        <w:t>Článek 13.07</w:t>
      </w:r>
      <w:r w:rsidRPr="003B6E11">
        <w:rPr>
          <w:lang w:val="cs-CZ"/>
        </w:rPr>
        <w:br/>
      </w:r>
      <w:r w:rsidRPr="003B6E11">
        <w:rPr>
          <w:i/>
          <w:noProof/>
          <w:lang w:val="cs-CZ"/>
        </w:rPr>
        <w:t>Lodní čluny</w:t>
      </w:r>
      <w:bookmarkEnd w:id="222"/>
      <w:bookmarkEnd w:id="223"/>
    </w:p>
    <w:p w:rsidR="00824063" w:rsidRPr="003B6E11" w:rsidRDefault="00824063" w:rsidP="00E65F26">
      <w:pPr>
        <w:pStyle w:val="ESch"/>
        <w:rPr>
          <w:noProof/>
          <w:lang w:val="cs-CZ"/>
        </w:rPr>
      </w:pPr>
    </w:p>
    <w:p w:rsidR="00E65F26" w:rsidRPr="003B6E11" w:rsidRDefault="00E65F26" w:rsidP="00E65F26">
      <w:pPr>
        <w:pStyle w:val="ESch"/>
        <w:rPr>
          <w:noProof/>
          <w:lang w:val="cs-CZ"/>
        </w:rPr>
      </w:pPr>
      <w:r w:rsidRPr="003B6E11">
        <w:rPr>
          <w:lang w:val="cs-CZ"/>
        </w:rPr>
        <w:t>1.</w:t>
      </w:r>
      <w:r w:rsidRPr="003B6E11">
        <w:rPr>
          <w:lang w:val="cs-CZ"/>
        </w:rPr>
        <w:tab/>
        <w:t>Níže uvedená plavidla musí být vybavena lodním člunem podle evropské normy EN 1914:2016:</w:t>
      </w:r>
    </w:p>
    <w:p w:rsidR="00E65F26" w:rsidRPr="003B6E11" w:rsidRDefault="005C7859" w:rsidP="00824063">
      <w:pPr>
        <w:pStyle w:val="ESlet"/>
        <w:rPr>
          <w:lang w:val="cs-CZ"/>
        </w:rPr>
      </w:pPr>
      <w:r w:rsidRPr="003B6E11">
        <w:rPr>
          <w:lang w:val="cs-CZ"/>
        </w:rPr>
        <w:t>a)</w:t>
      </w:r>
      <w:r w:rsidRPr="003B6E11">
        <w:rPr>
          <w:lang w:val="cs-CZ"/>
        </w:rPr>
        <w:tab/>
        <w:t>motorové lodě a nákladní čluny s nosností větší než 150 t;</w:t>
      </w:r>
    </w:p>
    <w:p w:rsidR="00E65F26" w:rsidRPr="003B6E11" w:rsidRDefault="005C7859" w:rsidP="00824063">
      <w:pPr>
        <w:pStyle w:val="ESlet"/>
        <w:rPr>
          <w:lang w:val="cs-CZ"/>
        </w:rPr>
      </w:pPr>
      <w:r w:rsidRPr="003B6E11">
        <w:rPr>
          <w:lang w:val="cs-CZ"/>
        </w:rPr>
        <w:t>b)</w:t>
      </w:r>
      <w:r w:rsidRPr="003B6E11">
        <w:rPr>
          <w:lang w:val="cs-CZ"/>
        </w:rPr>
        <w:tab/>
        <w:t>remorkéry a tlačné remorkéry s výtlakem vody větším než 150 m</w:t>
      </w:r>
      <w:r w:rsidRPr="003B6E11">
        <w:rPr>
          <w:noProof/>
          <w:vertAlign w:val="superscript"/>
          <w:lang w:val="cs-CZ"/>
        </w:rPr>
        <w:t>3</w:t>
      </w:r>
      <w:r w:rsidRPr="003B6E11">
        <w:rPr>
          <w:lang w:val="cs-CZ"/>
        </w:rPr>
        <w:t>;</w:t>
      </w:r>
    </w:p>
    <w:p w:rsidR="00E65F26" w:rsidRPr="003B6E11" w:rsidRDefault="005C7859" w:rsidP="00824063">
      <w:pPr>
        <w:pStyle w:val="ESlet"/>
        <w:rPr>
          <w:lang w:val="cs-CZ"/>
        </w:rPr>
      </w:pPr>
      <w:r w:rsidRPr="003B6E11">
        <w:rPr>
          <w:lang w:val="cs-CZ"/>
        </w:rPr>
        <w:t>c)</w:t>
      </w:r>
      <w:r w:rsidRPr="003B6E11">
        <w:rPr>
          <w:lang w:val="cs-CZ"/>
        </w:rPr>
        <w:tab/>
        <w:t>plovoucí stroje;</w:t>
      </w:r>
    </w:p>
    <w:p w:rsidR="00E65F26" w:rsidRPr="003B6E11" w:rsidRDefault="005C7859" w:rsidP="00824063">
      <w:pPr>
        <w:pStyle w:val="ESlet"/>
        <w:rPr>
          <w:lang w:val="cs-CZ"/>
        </w:rPr>
      </w:pPr>
      <w:r w:rsidRPr="003B6E11">
        <w:rPr>
          <w:lang w:val="cs-CZ"/>
        </w:rPr>
        <w:t>d)</w:t>
      </w:r>
      <w:r w:rsidRPr="003B6E11">
        <w:rPr>
          <w:lang w:val="cs-CZ"/>
        </w:rPr>
        <w:tab/>
        <w:t>osobní lodě.</w:t>
      </w:r>
    </w:p>
    <w:p w:rsidR="00771FEA" w:rsidRPr="003B6E11" w:rsidRDefault="00771FEA" w:rsidP="00E65F26">
      <w:pPr>
        <w:pStyle w:val="ESch"/>
        <w:rPr>
          <w:noProof/>
          <w:lang w:val="cs-CZ"/>
        </w:rPr>
      </w:pPr>
    </w:p>
    <w:p w:rsidR="00E65F26" w:rsidRPr="003B6E11" w:rsidRDefault="00E65F26" w:rsidP="00E65F26">
      <w:pPr>
        <w:pStyle w:val="ESch"/>
        <w:rPr>
          <w:lang w:val="cs-CZ"/>
        </w:rPr>
      </w:pPr>
      <w:r w:rsidRPr="003B6E11">
        <w:rPr>
          <w:lang w:val="cs-CZ"/>
        </w:rPr>
        <w:t>2.</w:t>
      </w:r>
      <w:r w:rsidRPr="003B6E11">
        <w:rPr>
          <w:lang w:val="cs-CZ"/>
        </w:rPr>
        <w:tab/>
        <w:t>Musí být možné, aby lodní člun spustila na vodu bezpečně jedna osoba do pěti minut po zahájení prvního potřebného manuálního úkonu. Pokud se ke spouštění na vodu používá strojní zařízení, musí být takové, aby v případě výpadku jeho napájení nebylo znemožněno bezpečné a rychlé spuštění na vodu.</w:t>
      </w:r>
    </w:p>
    <w:p w:rsidR="00824063" w:rsidRPr="003B6E11" w:rsidRDefault="00824063" w:rsidP="00E65F26">
      <w:pPr>
        <w:pStyle w:val="ESch"/>
        <w:rPr>
          <w:noProof/>
          <w:lang w:val="cs-CZ"/>
        </w:rPr>
      </w:pPr>
    </w:p>
    <w:p w:rsidR="00E65F26" w:rsidRPr="003B6E11" w:rsidRDefault="00E65F26" w:rsidP="00E65F26">
      <w:pPr>
        <w:pStyle w:val="ESch"/>
        <w:rPr>
          <w:lang w:val="cs-CZ"/>
        </w:rPr>
      </w:pPr>
      <w:r w:rsidRPr="003B6E11">
        <w:rPr>
          <w:lang w:val="cs-CZ"/>
        </w:rPr>
        <w:t>3.</w:t>
      </w:r>
      <w:r w:rsidRPr="003B6E11">
        <w:rPr>
          <w:lang w:val="cs-CZ"/>
        </w:rPr>
        <w:tab/>
        <w:t>Nafukovací lodní čluny musí být zkontrolovány podle pokynů výrobce.</w:t>
      </w:r>
    </w:p>
    <w:p w:rsidR="00E65F26" w:rsidRPr="003B6E11" w:rsidRDefault="00E65F26" w:rsidP="00E65F26">
      <w:pPr>
        <w:pStyle w:val="ESch"/>
        <w:rPr>
          <w:lang w:val="cs-CZ"/>
        </w:rPr>
      </w:pPr>
    </w:p>
    <w:p w:rsidR="00771FEA" w:rsidRPr="003B6E11" w:rsidRDefault="00771FEA" w:rsidP="00E65F26">
      <w:pPr>
        <w:pStyle w:val="ESch"/>
        <w:rPr>
          <w:lang w:val="cs-CZ"/>
        </w:rPr>
      </w:pPr>
    </w:p>
    <w:p w:rsidR="00771FEA" w:rsidRPr="003B6E11" w:rsidRDefault="00771FEA" w:rsidP="00E65F26">
      <w:pPr>
        <w:pStyle w:val="ESch"/>
        <w:rPr>
          <w:lang w:val="cs-CZ"/>
        </w:rPr>
      </w:pPr>
    </w:p>
    <w:p w:rsidR="00E65F26" w:rsidRPr="003B6E11" w:rsidRDefault="00E65F26" w:rsidP="00824063">
      <w:pPr>
        <w:pStyle w:val="ES-Titre3"/>
        <w:rPr>
          <w:i/>
          <w:noProof/>
          <w:lang w:val="cs-CZ"/>
        </w:rPr>
      </w:pPr>
      <w:bookmarkStart w:id="224" w:name="_Toc491854109"/>
      <w:bookmarkStart w:id="225" w:name="_Toc535417015"/>
      <w:r w:rsidRPr="003B6E11">
        <w:rPr>
          <w:lang w:val="cs-CZ"/>
        </w:rPr>
        <w:t>Článek 13.08</w:t>
      </w:r>
      <w:r w:rsidRPr="003B6E11">
        <w:rPr>
          <w:lang w:val="cs-CZ"/>
        </w:rPr>
        <w:br/>
      </w:r>
      <w:r w:rsidRPr="003B6E11">
        <w:rPr>
          <w:i/>
          <w:noProof/>
          <w:lang w:val="cs-CZ"/>
        </w:rPr>
        <w:t>Záchranné kruhy a vesty</w:t>
      </w:r>
      <w:bookmarkEnd w:id="224"/>
      <w:bookmarkEnd w:id="225"/>
    </w:p>
    <w:p w:rsidR="00824063" w:rsidRPr="003B6E11" w:rsidRDefault="00824063" w:rsidP="00E65F26">
      <w:pPr>
        <w:pStyle w:val="ESch"/>
        <w:rPr>
          <w:noProof/>
          <w:lang w:val="cs-CZ"/>
        </w:rPr>
      </w:pPr>
    </w:p>
    <w:p w:rsidR="00E65F26" w:rsidRPr="003B6E11" w:rsidRDefault="00E65F26" w:rsidP="00E65F26">
      <w:pPr>
        <w:pStyle w:val="ESch"/>
        <w:rPr>
          <w:lang w:val="cs-CZ"/>
        </w:rPr>
      </w:pPr>
      <w:r w:rsidRPr="003B6E11">
        <w:rPr>
          <w:lang w:val="cs-CZ"/>
        </w:rPr>
        <w:t>1.</w:t>
      </w:r>
      <w:r w:rsidRPr="003B6E11">
        <w:rPr>
          <w:lang w:val="cs-CZ"/>
        </w:rPr>
        <w:tab/>
        <w:t xml:space="preserve">Na palubě plavidla musí být nejméně tři záchranné kruhy: </w:t>
      </w:r>
    </w:p>
    <w:p w:rsidR="00E65F26" w:rsidRPr="003B6E11" w:rsidRDefault="00E65F26" w:rsidP="00574385">
      <w:pPr>
        <w:pStyle w:val="ESlet"/>
        <w:rPr>
          <w:lang w:val="cs-CZ"/>
        </w:rPr>
      </w:pPr>
      <w:r w:rsidRPr="003B6E11">
        <w:rPr>
          <w:lang w:val="cs-CZ"/>
        </w:rPr>
        <w:t>–</w:t>
      </w:r>
      <w:r w:rsidRPr="003B6E11">
        <w:rPr>
          <w:lang w:val="cs-CZ"/>
        </w:rPr>
        <w:tab/>
        <w:t>v souladu s evropskou normou EN 14144:2003 nebo</w:t>
      </w:r>
    </w:p>
    <w:p w:rsidR="00E65F26" w:rsidRPr="003B6E11" w:rsidRDefault="00E65F26" w:rsidP="00574385">
      <w:pPr>
        <w:pStyle w:val="ESlet"/>
        <w:rPr>
          <w:lang w:val="cs-CZ"/>
        </w:rPr>
      </w:pPr>
      <w:r w:rsidRPr="003B6E11">
        <w:rPr>
          <w:lang w:val="cs-CZ"/>
        </w:rPr>
        <w:t>–</w:t>
      </w:r>
      <w:r w:rsidRPr="003B6E11">
        <w:rPr>
          <w:lang w:val="cs-CZ"/>
        </w:rPr>
        <w:tab/>
        <w:t>v souladu s kapitolou III předpisu 7.1 Mezinárodní úmluvy o bezpečnosti lidského života na moři z roku 1974 (SOLAS 1974) a odstavcem 2.1 Mezinárodních předpisů pro záchranné prostředky (LSA).</w:t>
      </w:r>
    </w:p>
    <w:p w:rsidR="00824063" w:rsidRPr="003B6E11" w:rsidRDefault="00824063" w:rsidP="00E65F26">
      <w:pPr>
        <w:pStyle w:val="ESch"/>
        <w:rPr>
          <w:noProof/>
          <w:lang w:val="cs-CZ"/>
        </w:rPr>
      </w:pPr>
    </w:p>
    <w:p w:rsidR="00E65F26" w:rsidRPr="003B6E11" w:rsidRDefault="00E65F26" w:rsidP="00574385">
      <w:pPr>
        <w:pStyle w:val="ESchpar"/>
        <w:rPr>
          <w:lang w:val="cs-CZ"/>
        </w:rPr>
      </w:pPr>
      <w:r w:rsidRPr="003B6E11">
        <w:rPr>
          <w:lang w:val="cs-CZ"/>
        </w:rPr>
        <w:t>Musí se nacházet na vhodných místech na palubě ve stavu připraveném k použití a nesmí být připevněny k držákům. Nejméně jeden záchranný kruh musí být umístěn v bezprostřední blízkosti kormidelny a vybaven samozápalným, baterií napájeným světlem, které nezhasne ve vodě.</w:t>
      </w:r>
    </w:p>
    <w:p w:rsidR="00574385" w:rsidRPr="003B6E11" w:rsidRDefault="00574385" w:rsidP="00E65F26">
      <w:pPr>
        <w:pStyle w:val="ESch"/>
        <w:rPr>
          <w:lang w:val="cs-CZ"/>
        </w:rPr>
      </w:pPr>
    </w:p>
    <w:p w:rsidR="00E65F26" w:rsidRPr="003B6E11" w:rsidRDefault="00E65F26" w:rsidP="00E65F26">
      <w:pPr>
        <w:pStyle w:val="ESch"/>
        <w:rPr>
          <w:lang w:val="cs-CZ"/>
        </w:rPr>
      </w:pPr>
      <w:r w:rsidRPr="003B6E11">
        <w:rPr>
          <w:lang w:val="cs-CZ"/>
        </w:rPr>
        <w:t>2.</w:t>
      </w:r>
      <w:r w:rsidRPr="003B6E11">
        <w:rPr>
          <w:lang w:val="cs-CZ"/>
        </w:rPr>
        <w:tab/>
        <w:t xml:space="preserve">V dosahu každé osoby, která bývá pravidelně na palubě plavidla, musí být osobní automaticky nafukovací záchranná vesta. Tyto záchranné vesty musí být v souladu s: </w:t>
      </w:r>
    </w:p>
    <w:p w:rsidR="00E65F26" w:rsidRPr="003B6E11" w:rsidRDefault="00E65F26" w:rsidP="00574385">
      <w:pPr>
        <w:pStyle w:val="ESlet"/>
        <w:rPr>
          <w:lang w:val="cs-CZ"/>
        </w:rPr>
      </w:pPr>
      <w:r w:rsidRPr="003B6E11">
        <w:rPr>
          <w:lang w:val="cs-CZ"/>
        </w:rPr>
        <w:t>–</w:t>
      </w:r>
      <w:r w:rsidRPr="003B6E11">
        <w:rPr>
          <w:lang w:val="cs-CZ"/>
        </w:rPr>
        <w:tab/>
        <w:t>evropskými normami EN ISO 12402-2:2006, EN ISO 12402-3:2006, EN ISO 12402</w:t>
      </w:r>
      <w:r w:rsidRPr="003B6E11">
        <w:rPr>
          <w:lang w:val="cs-CZ"/>
        </w:rPr>
        <w:softHyphen/>
        <w:t>4:2006 nebo</w:t>
      </w:r>
    </w:p>
    <w:p w:rsidR="00E65F26" w:rsidRPr="003B6E11" w:rsidRDefault="00E65F26" w:rsidP="00574385">
      <w:pPr>
        <w:pStyle w:val="ESlet"/>
        <w:rPr>
          <w:lang w:val="cs-CZ"/>
        </w:rPr>
      </w:pPr>
      <w:r w:rsidRPr="003B6E11">
        <w:rPr>
          <w:lang w:val="cs-CZ"/>
        </w:rPr>
        <w:t>–</w:t>
      </w:r>
      <w:r w:rsidRPr="003B6E11">
        <w:rPr>
          <w:lang w:val="cs-CZ"/>
        </w:rPr>
        <w:tab/>
        <w:t>kapitolou III předpisu 7.2 Mezinárodní úmluvy o bezpečnosti lidského života na moři z roku 1974 (SOLAS 1974) a odstavcem 2.2 Mezinárodních předpisů pro záchranné prostředky (LSA).</w:t>
      </w:r>
    </w:p>
    <w:p w:rsidR="00574385" w:rsidRPr="003B6E11" w:rsidRDefault="00574385" w:rsidP="00574385">
      <w:pPr>
        <w:pStyle w:val="ESchpar"/>
        <w:rPr>
          <w:noProof/>
          <w:lang w:val="cs-CZ"/>
        </w:rPr>
      </w:pPr>
    </w:p>
    <w:p w:rsidR="00E65F26" w:rsidRPr="003B6E11" w:rsidRDefault="00E65F26" w:rsidP="00574385">
      <w:pPr>
        <w:pStyle w:val="ESchpar"/>
        <w:rPr>
          <w:lang w:val="cs-CZ"/>
        </w:rPr>
      </w:pPr>
      <w:r w:rsidRPr="003B6E11">
        <w:rPr>
          <w:lang w:val="cs-CZ"/>
        </w:rPr>
        <w:t>Pro děti jsou přípustné rovněž nenafukovací záchranné vesty podle těchto norem.</w:t>
      </w:r>
    </w:p>
    <w:p w:rsidR="00574385" w:rsidRPr="003B6E11" w:rsidRDefault="00574385" w:rsidP="00E65F26">
      <w:pPr>
        <w:pStyle w:val="ESch"/>
        <w:rPr>
          <w:noProof/>
          <w:lang w:val="cs-CZ"/>
        </w:rPr>
      </w:pPr>
    </w:p>
    <w:p w:rsidR="00E65F26" w:rsidRPr="003B6E11" w:rsidRDefault="00E65F26" w:rsidP="00E65F26">
      <w:pPr>
        <w:pStyle w:val="ESch"/>
        <w:rPr>
          <w:lang w:val="cs-CZ"/>
        </w:rPr>
      </w:pPr>
      <w:r w:rsidRPr="003B6E11">
        <w:rPr>
          <w:lang w:val="cs-CZ"/>
        </w:rPr>
        <w:t>3.</w:t>
      </w:r>
      <w:r w:rsidRPr="003B6E11">
        <w:rPr>
          <w:lang w:val="cs-CZ"/>
        </w:rPr>
        <w:tab/>
        <w:t>Záchranné vesty musí být zkontrolovány podle pokynů výrobce.</w:t>
      </w:r>
    </w:p>
    <w:p w:rsidR="00E65F26" w:rsidRPr="003B6E11" w:rsidRDefault="00E65F26" w:rsidP="00E65F26">
      <w:pPr>
        <w:pStyle w:val="ESch"/>
        <w:rPr>
          <w:lang w:val="cs-CZ"/>
        </w:rPr>
      </w:pPr>
    </w:p>
    <w:p w:rsidR="00AD0BF7" w:rsidRPr="003B6E11" w:rsidRDefault="00AD0BF7" w:rsidP="00E65F26">
      <w:pPr>
        <w:pStyle w:val="ESch"/>
        <w:rPr>
          <w:lang w:val="cs-CZ"/>
        </w:rPr>
      </w:pPr>
    </w:p>
    <w:p w:rsidR="00AD0BF7" w:rsidRPr="003B6E11" w:rsidRDefault="00B51D33" w:rsidP="00E65F26">
      <w:pPr>
        <w:pStyle w:val="ESch"/>
        <w:rPr>
          <w:lang w:val="cs-CZ"/>
        </w:rPr>
      </w:pPr>
      <w:r w:rsidRPr="003B6E11">
        <w:rPr>
          <w:lang w:val="cs-CZ"/>
        </w:rPr>
        <w:br w:type="page"/>
      </w:r>
    </w:p>
    <w:p w:rsidR="005144F5" w:rsidRPr="003B6E11" w:rsidRDefault="00F06174" w:rsidP="00F6371D">
      <w:pPr>
        <w:pStyle w:val="ES-Titre2"/>
      </w:pPr>
      <w:bookmarkStart w:id="226" w:name="_Toc491854110"/>
      <w:bookmarkStart w:id="227" w:name="_Toc535417016"/>
      <w:r w:rsidRPr="003B6E11">
        <w:t>Kapitola 14</w:t>
      </w:r>
      <w:r w:rsidRPr="003B6E11">
        <w:br/>
        <w:t>Bezpečnost na pracovištích</w:t>
      </w:r>
      <w:bookmarkEnd w:id="226"/>
      <w:bookmarkEnd w:id="227"/>
    </w:p>
    <w:p w:rsidR="005144F5" w:rsidRPr="003B6E11" w:rsidRDefault="005144F5" w:rsidP="005144F5">
      <w:pPr>
        <w:rPr>
          <w:lang w:val="cs-CZ"/>
        </w:rPr>
      </w:pPr>
    </w:p>
    <w:p w:rsidR="00F06174" w:rsidRPr="003B6E11" w:rsidRDefault="00F06174" w:rsidP="00DE69C7">
      <w:pPr>
        <w:pStyle w:val="ES-Titre3"/>
        <w:rPr>
          <w:lang w:val="cs-CZ"/>
        </w:rPr>
      </w:pPr>
      <w:bookmarkStart w:id="228" w:name="_Toc491854111"/>
      <w:bookmarkStart w:id="229" w:name="_Toc535417017"/>
      <w:r w:rsidRPr="003B6E11">
        <w:rPr>
          <w:lang w:val="cs-CZ"/>
        </w:rPr>
        <w:t>Článek 14.01</w:t>
      </w:r>
      <w:r w:rsidRPr="003B6E11">
        <w:rPr>
          <w:lang w:val="cs-CZ"/>
        </w:rPr>
        <w:br/>
      </w:r>
      <w:r w:rsidRPr="003B6E11">
        <w:rPr>
          <w:i/>
          <w:noProof/>
          <w:lang w:val="cs-CZ"/>
        </w:rPr>
        <w:t>Obecně</w:t>
      </w:r>
      <w:bookmarkEnd w:id="228"/>
      <w:bookmarkEnd w:id="229"/>
    </w:p>
    <w:p w:rsidR="00725D4A" w:rsidRPr="003B6E11" w:rsidRDefault="00725D4A" w:rsidP="00F06174">
      <w:pPr>
        <w:rPr>
          <w:rFonts w:cs="Arial"/>
          <w:noProof/>
          <w:szCs w:val="20"/>
          <w:lang w:val="cs-CZ"/>
        </w:rPr>
      </w:pPr>
    </w:p>
    <w:p w:rsidR="00F06174" w:rsidRPr="003B6E11" w:rsidRDefault="00F06174" w:rsidP="00725D4A">
      <w:pPr>
        <w:pStyle w:val="ESch"/>
        <w:rPr>
          <w:noProof/>
          <w:lang w:val="cs-CZ"/>
        </w:rPr>
      </w:pPr>
      <w:r w:rsidRPr="003B6E11">
        <w:rPr>
          <w:lang w:val="cs-CZ"/>
        </w:rPr>
        <w:t>1.</w:t>
      </w:r>
      <w:r w:rsidRPr="003B6E11">
        <w:rPr>
          <w:lang w:val="cs-CZ"/>
        </w:rPr>
        <w:tab/>
        <w:t xml:space="preserve">Lodě musí být postaveny, uspořádány a vybaveny tak, aby osoby mohly bezpečně pracovat a pohybovat se v průchodech. </w:t>
      </w:r>
    </w:p>
    <w:p w:rsidR="00DE69C7" w:rsidRPr="003B6E11" w:rsidRDefault="00DE69C7" w:rsidP="00725D4A">
      <w:pPr>
        <w:pStyle w:val="ESch"/>
        <w:rPr>
          <w:noProof/>
          <w:lang w:val="cs-CZ"/>
        </w:rPr>
      </w:pPr>
    </w:p>
    <w:p w:rsidR="00F06174" w:rsidRPr="003B6E11" w:rsidRDefault="00F06174" w:rsidP="00725D4A">
      <w:pPr>
        <w:pStyle w:val="ESch"/>
        <w:rPr>
          <w:noProof/>
          <w:lang w:val="cs-CZ"/>
        </w:rPr>
      </w:pPr>
      <w:r w:rsidRPr="003B6E11">
        <w:rPr>
          <w:lang w:val="cs-CZ"/>
        </w:rPr>
        <w:t>2.</w:t>
      </w:r>
      <w:r w:rsidRPr="003B6E11">
        <w:rPr>
          <w:lang w:val="cs-CZ"/>
        </w:rPr>
        <w:tab/>
        <w:t xml:space="preserve">Pevně instalovaná zařízení, která jsou potřebná pro práci na palubě, musí být zařízena, umístěna a zabezpečena tak, aby jejich obsluha, používání a údržba byla bezpečná a snadná. V případě potřeby musí být přenosné nebo horké konstrukční prvky vybaveny ochrannými zařízeními. </w:t>
      </w:r>
    </w:p>
    <w:p w:rsidR="00F06174" w:rsidRPr="003B6E11" w:rsidRDefault="00F06174" w:rsidP="00725D4A">
      <w:pPr>
        <w:pStyle w:val="ESch"/>
        <w:rPr>
          <w:lang w:val="cs-CZ"/>
        </w:rPr>
      </w:pPr>
    </w:p>
    <w:p w:rsidR="00DE69C7" w:rsidRPr="003B6E11" w:rsidRDefault="00DE69C7" w:rsidP="00F06174">
      <w:pPr>
        <w:rPr>
          <w:rFonts w:cs="Arial"/>
          <w:szCs w:val="20"/>
          <w:lang w:val="cs-CZ"/>
        </w:rPr>
      </w:pPr>
    </w:p>
    <w:p w:rsidR="00F06174" w:rsidRPr="003B6E11" w:rsidRDefault="00F06174" w:rsidP="00DE69C7">
      <w:pPr>
        <w:pStyle w:val="ES-Titre3"/>
        <w:rPr>
          <w:i/>
          <w:lang w:val="cs-CZ"/>
        </w:rPr>
      </w:pPr>
      <w:bookmarkStart w:id="230" w:name="_Toc491854112"/>
      <w:bookmarkStart w:id="231" w:name="_Toc535417018"/>
      <w:r w:rsidRPr="003B6E11">
        <w:rPr>
          <w:lang w:val="cs-CZ"/>
        </w:rPr>
        <w:t>Článek 14.02</w:t>
      </w:r>
      <w:r w:rsidRPr="003B6E11">
        <w:rPr>
          <w:lang w:val="cs-CZ"/>
        </w:rPr>
        <w:br/>
      </w:r>
      <w:r w:rsidRPr="003B6E11">
        <w:rPr>
          <w:i/>
          <w:noProof/>
          <w:lang w:val="cs-CZ"/>
        </w:rPr>
        <w:t>Ochrana před pádem</w:t>
      </w:r>
      <w:bookmarkEnd w:id="230"/>
      <w:bookmarkEnd w:id="231"/>
    </w:p>
    <w:p w:rsidR="00DE69C7" w:rsidRPr="003B6E11" w:rsidRDefault="00DE69C7" w:rsidP="00F06174">
      <w:pPr>
        <w:rPr>
          <w:rFonts w:cs="Arial"/>
          <w:noProof/>
          <w:szCs w:val="20"/>
          <w:lang w:val="cs-CZ"/>
        </w:rPr>
      </w:pPr>
    </w:p>
    <w:p w:rsidR="00F06174" w:rsidRPr="003B6E11" w:rsidRDefault="00F06174" w:rsidP="00725D4A">
      <w:pPr>
        <w:pStyle w:val="ESch"/>
        <w:rPr>
          <w:lang w:val="cs-CZ"/>
        </w:rPr>
      </w:pPr>
      <w:r w:rsidRPr="003B6E11">
        <w:rPr>
          <w:lang w:val="cs-CZ"/>
        </w:rPr>
        <w:t>1.</w:t>
      </w:r>
      <w:r w:rsidRPr="003B6E11">
        <w:rPr>
          <w:lang w:val="cs-CZ"/>
        </w:rPr>
        <w:tab/>
        <w:t>Paluby a boční paluby musí být rovné a nesmí se na nich nacházet místa, kde by bylo možné zakopnout; nesmí se na nich vytvářet louže.</w:t>
      </w:r>
    </w:p>
    <w:p w:rsidR="00DE69C7" w:rsidRPr="003B6E11" w:rsidRDefault="00DE69C7" w:rsidP="00725D4A">
      <w:pPr>
        <w:pStyle w:val="ESch"/>
        <w:rPr>
          <w:noProof/>
          <w:lang w:val="cs-CZ"/>
        </w:rPr>
      </w:pPr>
    </w:p>
    <w:p w:rsidR="00F06174" w:rsidRPr="003B6E11" w:rsidRDefault="00F06174" w:rsidP="00725D4A">
      <w:pPr>
        <w:pStyle w:val="ESch"/>
        <w:rPr>
          <w:noProof/>
          <w:lang w:val="cs-CZ"/>
        </w:rPr>
      </w:pPr>
      <w:r w:rsidRPr="003B6E11">
        <w:rPr>
          <w:lang w:val="cs-CZ"/>
        </w:rPr>
        <w:t>2.</w:t>
      </w:r>
      <w:r w:rsidRPr="003B6E11">
        <w:rPr>
          <w:lang w:val="cs-CZ"/>
        </w:rPr>
        <w:tab/>
        <w:t>Paluby, boční paluby, podlahy strojoven, odpočívadla schodišť, schodiště a vrchní části postranních pacholat musí mít neklouzavý povrch.</w:t>
      </w:r>
    </w:p>
    <w:p w:rsidR="00DE69C7" w:rsidRPr="003B6E11" w:rsidRDefault="00DE69C7" w:rsidP="00725D4A">
      <w:pPr>
        <w:pStyle w:val="ESch"/>
        <w:rPr>
          <w:noProof/>
          <w:lang w:val="cs-CZ"/>
        </w:rPr>
      </w:pPr>
    </w:p>
    <w:p w:rsidR="00F06174" w:rsidRPr="003B6E11" w:rsidRDefault="00F06174" w:rsidP="00725D4A">
      <w:pPr>
        <w:pStyle w:val="ESch"/>
        <w:rPr>
          <w:lang w:val="cs-CZ"/>
        </w:rPr>
      </w:pPr>
      <w:r w:rsidRPr="003B6E11">
        <w:rPr>
          <w:lang w:val="cs-CZ"/>
        </w:rPr>
        <w:t>3.</w:t>
      </w:r>
      <w:r w:rsidRPr="003B6E11">
        <w:rPr>
          <w:lang w:val="cs-CZ"/>
        </w:rPr>
        <w:tab/>
        <w:t>Horní části postranních pacholat a jakékoli překážky v průchodech, např. hrany schodů, musí být označeny barvou, která kontrastuje s okolní palubou.</w:t>
      </w:r>
    </w:p>
    <w:p w:rsidR="00DE69C7" w:rsidRPr="003B6E11" w:rsidRDefault="00DE69C7" w:rsidP="00725D4A">
      <w:pPr>
        <w:pStyle w:val="ESch"/>
        <w:rPr>
          <w:noProof/>
          <w:lang w:val="cs-CZ"/>
        </w:rPr>
      </w:pPr>
    </w:p>
    <w:p w:rsidR="00F06174" w:rsidRPr="003B6E11" w:rsidRDefault="00F06174" w:rsidP="00725D4A">
      <w:pPr>
        <w:pStyle w:val="ESch"/>
        <w:rPr>
          <w:lang w:val="cs-CZ"/>
        </w:rPr>
      </w:pPr>
      <w:r w:rsidRPr="003B6E11">
        <w:rPr>
          <w:lang w:val="cs-CZ"/>
        </w:rPr>
        <w:t>4.</w:t>
      </w:r>
      <w:r w:rsidRPr="003B6E11">
        <w:rPr>
          <w:lang w:val="cs-CZ"/>
        </w:rPr>
        <w:tab/>
      </w:r>
      <w:r w:rsidRPr="003B6E11">
        <w:rPr>
          <w:color w:val="000000"/>
          <w:lang w:val="cs-CZ"/>
        </w:rPr>
        <w:t>Vnější okraje palub a bočních palub, stejně jako pracoviště, z nichž mohou osoby spadnout z výšky více než 1 m, musí být opatřeny štítnicemi nebo sily o výšce nejméně 0,90 m nebo průběžným zábradlím podle evropské normy EN 711:2016</w:t>
      </w:r>
      <w:r w:rsidRPr="003B6E11">
        <w:rPr>
          <w:lang w:val="cs-CZ"/>
        </w:rPr>
        <w:t>. Je-li zábradlí na boku lodi sklápěcí,</w:t>
      </w:r>
    </w:p>
    <w:p w:rsidR="00F06174" w:rsidRPr="003B6E11" w:rsidRDefault="005C7859" w:rsidP="00725D4A">
      <w:pPr>
        <w:pStyle w:val="ESlet"/>
        <w:rPr>
          <w:lang w:val="cs-CZ"/>
        </w:rPr>
      </w:pPr>
      <w:r w:rsidRPr="003B6E11">
        <w:rPr>
          <w:lang w:val="cs-CZ"/>
        </w:rPr>
        <w:t>a)</w:t>
      </w:r>
      <w:r w:rsidRPr="003B6E11">
        <w:rPr>
          <w:lang w:val="cs-CZ"/>
        </w:rPr>
        <w:tab/>
        <w:t>musí být k silu ve výšce 0,7 až 1,1 m upevněno navíc průběžné madlo o průměru 0,02 až 0,04 m a</w:t>
      </w:r>
    </w:p>
    <w:p w:rsidR="00F06174" w:rsidRPr="003B6E11" w:rsidRDefault="005C7859" w:rsidP="00725D4A">
      <w:pPr>
        <w:pStyle w:val="ESlet"/>
        <w:rPr>
          <w:lang w:val="cs-CZ"/>
        </w:rPr>
      </w:pPr>
      <w:r w:rsidRPr="003B6E11">
        <w:rPr>
          <w:lang w:val="cs-CZ"/>
        </w:rPr>
        <w:t>b)</w:t>
      </w:r>
      <w:r w:rsidRPr="003B6E11">
        <w:rPr>
          <w:lang w:val="cs-CZ"/>
        </w:rPr>
        <w:tab/>
        <w:t>na jasně viditelných místech na okrajích boční paluby musí být umístěny značky v souladu s obrázkem 10 v příloze 4 o průměru nejméně 15 cm.</w:t>
      </w:r>
    </w:p>
    <w:p w:rsidR="00F06174" w:rsidRPr="003B6E11" w:rsidRDefault="00F06174" w:rsidP="00DE69C7">
      <w:pPr>
        <w:rPr>
          <w:rFonts w:cs="Arial"/>
          <w:szCs w:val="20"/>
          <w:lang w:val="cs-CZ"/>
        </w:rPr>
      </w:pPr>
    </w:p>
    <w:p w:rsidR="00F06174" w:rsidRPr="003B6E11" w:rsidRDefault="00F06174" w:rsidP="00725D4A">
      <w:pPr>
        <w:pStyle w:val="ESch"/>
        <w:rPr>
          <w:lang w:val="cs-CZ"/>
        </w:rPr>
      </w:pPr>
      <w:r w:rsidRPr="003B6E11">
        <w:rPr>
          <w:lang w:val="cs-CZ"/>
        </w:rPr>
        <w:t>5.</w:t>
      </w:r>
      <w:r w:rsidRPr="003B6E11">
        <w:rPr>
          <w:lang w:val="cs-CZ"/>
        </w:rPr>
        <w:tab/>
        <w:t>Odchylně od odstavce 4 nejsou na tlačných člunech nebo nákladních člunech bez obytného prostoru vyžadovány štítnice nebo zábradlí, pokud:</w:t>
      </w:r>
    </w:p>
    <w:p w:rsidR="00F06174" w:rsidRPr="003B6E11" w:rsidRDefault="005C7859" w:rsidP="00725D4A">
      <w:pPr>
        <w:pStyle w:val="ESlet"/>
        <w:rPr>
          <w:lang w:val="cs-CZ"/>
        </w:rPr>
      </w:pPr>
      <w:r w:rsidRPr="003B6E11">
        <w:rPr>
          <w:lang w:val="cs-CZ"/>
        </w:rPr>
        <w:t>a)</w:t>
      </w:r>
      <w:r w:rsidRPr="003B6E11">
        <w:rPr>
          <w:lang w:val="cs-CZ"/>
        </w:rPr>
        <w:tab/>
        <w:t>jsou vnější okraje palub a bočních palub vybaveny ochrannými profily u paty zábradlí;</w:t>
      </w:r>
    </w:p>
    <w:p w:rsidR="00F06174" w:rsidRPr="003B6E11" w:rsidRDefault="005C7859" w:rsidP="00725D4A">
      <w:pPr>
        <w:pStyle w:val="ESlet"/>
        <w:rPr>
          <w:lang w:val="cs-CZ"/>
        </w:rPr>
      </w:pPr>
      <w:r w:rsidRPr="003B6E11">
        <w:rPr>
          <w:lang w:val="cs-CZ"/>
        </w:rPr>
        <w:t>b)</w:t>
      </w:r>
      <w:r w:rsidRPr="003B6E11">
        <w:rPr>
          <w:lang w:val="cs-CZ"/>
        </w:rPr>
        <w:tab/>
        <w:t>jsou k silům v souladu s odst. 4 písm. a) upevněna madla a</w:t>
      </w:r>
    </w:p>
    <w:p w:rsidR="00F06174" w:rsidRPr="003B6E11" w:rsidRDefault="005C7859" w:rsidP="00725D4A">
      <w:pPr>
        <w:pStyle w:val="ESlet"/>
        <w:rPr>
          <w:lang w:val="cs-CZ"/>
        </w:rPr>
      </w:pPr>
      <w:r w:rsidRPr="003B6E11">
        <w:rPr>
          <w:lang w:val="cs-CZ"/>
        </w:rPr>
        <w:t>c)</w:t>
      </w:r>
      <w:r w:rsidRPr="003B6E11">
        <w:rPr>
          <w:lang w:val="cs-CZ"/>
        </w:rPr>
        <w:tab/>
        <w:t>na jasně viditelných místech na palubě jsou umístěny značky v souladu s obrázkem 10 v příloze 4 o průměru nejméně 15 cm.</w:t>
      </w:r>
    </w:p>
    <w:p w:rsidR="00DE69C7" w:rsidRPr="003B6E11" w:rsidRDefault="00DE69C7" w:rsidP="00F06174">
      <w:pPr>
        <w:rPr>
          <w:rFonts w:cs="Arial"/>
          <w:szCs w:val="20"/>
          <w:lang w:val="cs-CZ"/>
        </w:rPr>
      </w:pPr>
    </w:p>
    <w:p w:rsidR="00F06174" w:rsidRPr="003B6E11" w:rsidRDefault="00F06174" w:rsidP="00725D4A">
      <w:pPr>
        <w:pStyle w:val="ESch"/>
        <w:rPr>
          <w:lang w:val="cs-CZ"/>
        </w:rPr>
      </w:pPr>
      <w:r w:rsidRPr="003B6E11">
        <w:rPr>
          <w:lang w:val="cs-CZ"/>
        </w:rPr>
        <w:t>6.</w:t>
      </w:r>
      <w:r w:rsidRPr="003B6E11">
        <w:rPr>
          <w:lang w:val="cs-CZ"/>
        </w:rPr>
        <w:tab/>
        <w:t>Odchylně od odstavce 4 se v případě lodí s průběžnou palubou nebo palubní mezinástavbou nevyžaduje, aby bylo přímo na vnějších okrajích těchto palub nebo bočních palub umístěno zábradlí, pokud:</w:t>
      </w:r>
    </w:p>
    <w:p w:rsidR="00F06174" w:rsidRPr="003B6E11" w:rsidRDefault="005C7859" w:rsidP="00725D4A">
      <w:pPr>
        <w:pStyle w:val="ESlet"/>
        <w:rPr>
          <w:lang w:val="cs-CZ"/>
        </w:rPr>
      </w:pPr>
      <w:r w:rsidRPr="003B6E11">
        <w:rPr>
          <w:lang w:val="cs-CZ"/>
        </w:rPr>
        <w:t>a)</w:t>
      </w:r>
      <w:r w:rsidRPr="003B6E11">
        <w:rPr>
          <w:lang w:val="cs-CZ"/>
        </w:rPr>
        <w:tab/>
        <w:t>přes tyto paluby vedou průchody;</w:t>
      </w:r>
    </w:p>
    <w:p w:rsidR="00F06174" w:rsidRPr="003B6E11" w:rsidRDefault="00725D4A" w:rsidP="00725D4A">
      <w:pPr>
        <w:pStyle w:val="ESlet"/>
        <w:rPr>
          <w:lang w:val="cs-CZ"/>
        </w:rPr>
      </w:pPr>
      <w:r w:rsidRPr="003B6E11">
        <w:rPr>
          <w:lang w:val="cs-CZ"/>
        </w:rPr>
        <w:br w:type="page"/>
        <w:t>b)</w:t>
      </w:r>
      <w:r w:rsidRPr="003B6E11">
        <w:rPr>
          <w:lang w:val="cs-CZ"/>
        </w:rPr>
        <w:tab/>
      </w:r>
      <w:r w:rsidRPr="003B6E11">
        <w:rPr>
          <w:rFonts w:ascii="ArialMT" w:hAnsi="ArialMT"/>
          <w:lang w:val="cs-CZ"/>
        </w:rPr>
        <w:t>průchody a pracoviště na těchto palubách jsou obklopeny pevným zábradlím v souladu s normou EN 711:2016 a</w:t>
      </w:r>
    </w:p>
    <w:p w:rsidR="00F06174" w:rsidRPr="003B6E11" w:rsidRDefault="00F06174" w:rsidP="00725D4A">
      <w:pPr>
        <w:pStyle w:val="ESlet"/>
        <w:rPr>
          <w:lang w:val="cs-CZ"/>
        </w:rPr>
      </w:pPr>
      <w:r w:rsidRPr="003B6E11">
        <w:rPr>
          <w:lang w:val="cs-CZ"/>
        </w:rPr>
        <w:t>c)</w:t>
      </w:r>
      <w:r w:rsidRPr="003B6E11">
        <w:rPr>
          <w:lang w:val="cs-CZ"/>
        </w:rPr>
        <w:tab/>
        <w:t>na jasně viditelných místech na přechodech do oblasti nechráněné zábradlím jsou umístěny značky v souladu s obrázkem 10 v příloze 4 o průměru nejméně 15 cm.</w:t>
      </w:r>
    </w:p>
    <w:p w:rsidR="00DE69C7" w:rsidRPr="003B6E11" w:rsidRDefault="00DE69C7" w:rsidP="00F06174">
      <w:pPr>
        <w:rPr>
          <w:rFonts w:cs="Arial"/>
          <w:noProof/>
          <w:szCs w:val="20"/>
          <w:lang w:val="cs-CZ"/>
        </w:rPr>
      </w:pPr>
    </w:p>
    <w:p w:rsidR="00F06174" w:rsidRPr="003B6E11" w:rsidRDefault="00F06174" w:rsidP="00725D4A">
      <w:pPr>
        <w:pStyle w:val="ESch"/>
        <w:rPr>
          <w:lang w:val="cs-CZ"/>
        </w:rPr>
      </w:pPr>
      <w:r w:rsidRPr="003B6E11">
        <w:rPr>
          <w:lang w:val="cs-CZ"/>
        </w:rPr>
        <w:t>7.</w:t>
      </w:r>
      <w:r w:rsidRPr="003B6E11">
        <w:rPr>
          <w:lang w:val="cs-CZ"/>
        </w:rPr>
        <w:tab/>
        <w:t>Na pracovištích s nebezpečím pádu z výšky více než 1 m může subjekt pověřený prohlídkami vyžadovat vhodné vybavení a zařízení k bezpečné práci.</w:t>
      </w:r>
    </w:p>
    <w:p w:rsidR="00F06174" w:rsidRPr="003B6E11" w:rsidRDefault="00F06174" w:rsidP="00F06174">
      <w:pPr>
        <w:rPr>
          <w:rFonts w:cs="Arial"/>
          <w:szCs w:val="20"/>
          <w:lang w:val="cs-CZ"/>
        </w:rPr>
      </w:pPr>
    </w:p>
    <w:p w:rsidR="00F06174" w:rsidRPr="003B6E11" w:rsidRDefault="00F06174" w:rsidP="00F06174">
      <w:pPr>
        <w:rPr>
          <w:rFonts w:cs="Arial"/>
          <w:szCs w:val="20"/>
          <w:lang w:val="cs-CZ"/>
        </w:rPr>
      </w:pPr>
    </w:p>
    <w:p w:rsidR="00F06174" w:rsidRPr="003B6E11" w:rsidRDefault="00F06174" w:rsidP="00DE69C7">
      <w:pPr>
        <w:pStyle w:val="ES-Titre3"/>
        <w:rPr>
          <w:lang w:val="cs-CZ"/>
        </w:rPr>
      </w:pPr>
      <w:bookmarkStart w:id="232" w:name="_Toc491854113"/>
      <w:bookmarkStart w:id="233" w:name="_Toc535417019"/>
      <w:r w:rsidRPr="003B6E11">
        <w:rPr>
          <w:lang w:val="cs-CZ"/>
        </w:rPr>
        <w:t>Článek 14.03</w:t>
      </w:r>
      <w:r w:rsidRPr="003B6E11">
        <w:rPr>
          <w:lang w:val="cs-CZ"/>
        </w:rPr>
        <w:br/>
      </w:r>
      <w:r w:rsidRPr="003B6E11">
        <w:rPr>
          <w:i/>
          <w:noProof/>
          <w:lang w:val="cs-CZ"/>
        </w:rPr>
        <w:t>Rozměry pracovišť</w:t>
      </w:r>
      <w:bookmarkEnd w:id="232"/>
      <w:bookmarkEnd w:id="233"/>
    </w:p>
    <w:p w:rsidR="00DE69C7" w:rsidRPr="003B6E11" w:rsidRDefault="00DE69C7" w:rsidP="00DE69C7">
      <w:pPr>
        <w:rPr>
          <w:rFonts w:cs="Arial"/>
          <w:noProof/>
          <w:szCs w:val="20"/>
          <w:lang w:val="cs-CZ"/>
        </w:rPr>
      </w:pPr>
    </w:p>
    <w:p w:rsidR="00F06174" w:rsidRPr="003B6E11" w:rsidRDefault="00F06174" w:rsidP="00725D4A">
      <w:pPr>
        <w:pStyle w:val="ESgauche"/>
        <w:rPr>
          <w:lang w:val="cs-CZ"/>
        </w:rPr>
      </w:pPr>
      <w:r w:rsidRPr="003B6E11">
        <w:rPr>
          <w:lang w:val="cs-CZ"/>
        </w:rPr>
        <w:t>Pracoviště musí mít takové rozměry, aby všechny osoby, které na nich pracují, měly přiměřenou volnost pohybu.</w:t>
      </w:r>
    </w:p>
    <w:p w:rsidR="00F06174" w:rsidRPr="003B6E11" w:rsidRDefault="00F06174" w:rsidP="00F06174">
      <w:pPr>
        <w:rPr>
          <w:rFonts w:cs="Arial"/>
          <w:szCs w:val="20"/>
          <w:lang w:val="cs-CZ"/>
        </w:rPr>
      </w:pPr>
    </w:p>
    <w:p w:rsidR="00DE69C7" w:rsidRPr="003B6E11" w:rsidRDefault="00DE69C7" w:rsidP="00F06174">
      <w:pPr>
        <w:rPr>
          <w:rFonts w:cs="Arial"/>
          <w:szCs w:val="20"/>
          <w:lang w:val="cs-CZ"/>
        </w:rPr>
      </w:pPr>
    </w:p>
    <w:p w:rsidR="00F06174" w:rsidRPr="003B6E11" w:rsidRDefault="00F06174" w:rsidP="00DE69C7">
      <w:pPr>
        <w:pStyle w:val="ES-Titre3"/>
        <w:rPr>
          <w:sz w:val="20"/>
          <w:lang w:val="cs-CZ"/>
        </w:rPr>
      </w:pPr>
      <w:bookmarkStart w:id="234" w:name="_Toc491854114"/>
      <w:bookmarkStart w:id="235" w:name="_Toc535417020"/>
      <w:r w:rsidRPr="003B6E11">
        <w:rPr>
          <w:lang w:val="cs-CZ"/>
        </w:rPr>
        <w:t>Článek 14.04</w:t>
      </w:r>
      <w:r w:rsidRPr="003B6E11">
        <w:rPr>
          <w:lang w:val="cs-CZ"/>
        </w:rPr>
        <w:br/>
      </w:r>
      <w:r w:rsidRPr="003B6E11">
        <w:rPr>
          <w:i/>
          <w:noProof/>
          <w:lang w:val="cs-CZ"/>
        </w:rPr>
        <w:t>Boční paluby</w:t>
      </w:r>
      <w:bookmarkEnd w:id="234"/>
      <w:bookmarkEnd w:id="235"/>
    </w:p>
    <w:p w:rsidR="00DE69C7" w:rsidRPr="003B6E11" w:rsidRDefault="00DE69C7" w:rsidP="00F06174">
      <w:pPr>
        <w:rPr>
          <w:rFonts w:cs="Arial"/>
          <w:noProof/>
          <w:szCs w:val="20"/>
          <w:lang w:val="cs-CZ"/>
        </w:rPr>
      </w:pPr>
    </w:p>
    <w:p w:rsidR="00F06174" w:rsidRPr="003B6E11" w:rsidRDefault="00F06174" w:rsidP="00725D4A">
      <w:pPr>
        <w:pStyle w:val="ESch"/>
        <w:rPr>
          <w:lang w:val="cs-CZ"/>
        </w:rPr>
      </w:pPr>
      <w:r w:rsidRPr="003B6E11">
        <w:rPr>
          <w:lang w:val="cs-CZ"/>
        </w:rPr>
        <w:t xml:space="preserve">1. </w:t>
      </w:r>
      <w:r w:rsidRPr="003B6E11">
        <w:rPr>
          <w:lang w:val="cs-CZ"/>
        </w:rPr>
        <w:tab/>
        <w:t>Světlá šířka boční paluby musí být nejméně 0,60 m. Na některých místech, která jsou nezbytná pro provoz lodi, např. hydranty k umývání paluby, lze tuto hodnotu snížit na 0,50 m. U pacholat a oporek ji lze snížit na 0,40 m.</w:t>
      </w:r>
    </w:p>
    <w:p w:rsidR="00DE69C7" w:rsidRPr="003B6E11" w:rsidRDefault="00DE69C7" w:rsidP="00725D4A">
      <w:pPr>
        <w:pStyle w:val="ESch"/>
        <w:rPr>
          <w:noProof/>
          <w:lang w:val="cs-CZ"/>
        </w:rPr>
      </w:pPr>
    </w:p>
    <w:p w:rsidR="00F06174" w:rsidRPr="003B6E11" w:rsidRDefault="00F06174" w:rsidP="00725D4A">
      <w:pPr>
        <w:pStyle w:val="ESch"/>
        <w:rPr>
          <w:lang w:val="cs-CZ"/>
        </w:rPr>
      </w:pPr>
      <w:r w:rsidRPr="003B6E11">
        <w:rPr>
          <w:lang w:val="cs-CZ"/>
        </w:rPr>
        <w:t>2.</w:t>
      </w:r>
      <w:r w:rsidRPr="003B6E11">
        <w:rPr>
          <w:lang w:val="cs-CZ"/>
        </w:rPr>
        <w:tab/>
        <w:t>Do výšky 0,90 m nad boční palubou lze světlou šířku boční paluby snížit na 0,50 m, pokud světlá šířka nad ní, mezi vnějším okrajem lodního trupu a vnitřním okrajem podpalubního nákladového prostoru, činí nejméně 0,65 m.</w:t>
      </w:r>
    </w:p>
    <w:p w:rsidR="00DE69C7" w:rsidRPr="003B6E11" w:rsidRDefault="00DE69C7" w:rsidP="00725D4A">
      <w:pPr>
        <w:pStyle w:val="ESch"/>
        <w:rPr>
          <w:noProof/>
          <w:lang w:val="cs-CZ"/>
        </w:rPr>
      </w:pPr>
    </w:p>
    <w:p w:rsidR="00F06174" w:rsidRPr="003B6E11" w:rsidRDefault="00F06174" w:rsidP="00725D4A">
      <w:pPr>
        <w:pStyle w:val="ESch"/>
        <w:rPr>
          <w:lang w:val="cs-CZ"/>
        </w:rPr>
      </w:pPr>
      <w:r w:rsidRPr="003B6E11">
        <w:rPr>
          <w:lang w:val="cs-CZ"/>
        </w:rPr>
        <w:t xml:space="preserve">3. </w:t>
      </w:r>
      <w:r w:rsidRPr="003B6E11">
        <w:rPr>
          <w:lang w:val="cs-CZ"/>
        </w:rPr>
        <w:tab/>
        <w:t>Požadavky odstavců 1 a 2 platí až do výšky 2,00 m nad boční palubou.</w:t>
      </w:r>
    </w:p>
    <w:p w:rsidR="00F06174" w:rsidRPr="003B6E11" w:rsidRDefault="00F06174" w:rsidP="00F06174">
      <w:pPr>
        <w:rPr>
          <w:rFonts w:cs="Arial"/>
          <w:szCs w:val="20"/>
          <w:lang w:val="cs-CZ"/>
        </w:rPr>
      </w:pPr>
    </w:p>
    <w:p w:rsidR="00F06174" w:rsidRPr="003B6E11" w:rsidRDefault="00F06174" w:rsidP="00F06174">
      <w:pPr>
        <w:rPr>
          <w:rFonts w:cs="Arial"/>
          <w:szCs w:val="20"/>
          <w:lang w:val="cs-CZ"/>
        </w:rPr>
      </w:pPr>
    </w:p>
    <w:p w:rsidR="00F06174" w:rsidRPr="003B6E11" w:rsidRDefault="00F06174" w:rsidP="00DE69C7">
      <w:pPr>
        <w:pStyle w:val="ES-Titre3"/>
        <w:rPr>
          <w:i/>
          <w:sz w:val="20"/>
          <w:lang w:val="cs-CZ"/>
        </w:rPr>
      </w:pPr>
      <w:bookmarkStart w:id="236" w:name="_Toc491854115"/>
      <w:bookmarkStart w:id="237" w:name="_Toc535417021"/>
      <w:r w:rsidRPr="003B6E11">
        <w:rPr>
          <w:lang w:val="cs-CZ"/>
        </w:rPr>
        <w:t>Článek 14.05</w:t>
      </w:r>
      <w:r w:rsidRPr="003B6E11">
        <w:rPr>
          <w:lang w:val="cs-CZ"/>
        </w:rPr>
        <w:br/>
      </w:r>
      <w:r w:rsidRPr="003B6E11">
        <w:rPr>
          <w:i/>
          <w:noProof/>
          <w:lang w:val="cs-CZ"/>
        </w:rPr>
        <w:t>Přístup na pracoviště</w:t>
      </w:r>
      <w:bookmarkEnd w:id="236"/>
      <w:bookmarkEnd w:id="237"/>
    </w:p>
    <w:p w:rsidR="00DE69C7" w:rsidRPr="003B6E11" w:rsidRDefault="00DE69C7" w:rsidP="00F06174">
      <w:pPr>
        <w:rPr>
          <w:rFonts w:cs="Arial"/>
          <w:noProof/>
          <w:szCs w:val="20"/>
          <w:lang w:val="cs-CZ"/>
        </w:rPr>
      </w:pPr>
    </w:p>
    <w:p w:rsidR="00F06174" w:rsidRPr="003B6E11" w:rsidRDefault="00F06174" w:rsidP="00725D4A">
      <w:pPr>
        <w:pStyle w:val="ESch"/>
        <w:rPr>
          <w:lang w:val="cs-CZ"/>
        </w:rPr>
      </w:pPr>
      <w:r w:rsidRPr="003B6E11">
        <w:rPr>
          <w:lang w:val="cs-CZ"/>
        </w:rPr>
        <w:t>1.</w:t>
      </w:r>
      <w:r w:rsidRPr="003B6E11">
        <w:rPr>
          <w:lang w:val="cs-CZ"/>
        </w:rPr>
        <w:tab/>
        <w:t>Přístupy a průchody, které slouží k pohybu osob nebo předmětů, musí být dostatečně velké a uspořádány tak, že:</w:t>
      </w:r>
    </w:p>
    <w:p w:rsidR="00F06174" w:rsidRPr="003B6E11" w:rsidRDefault="005C7859" w:rsidP="00725D4A">
      <w:pPr>
        <w:pStyle w:val="ESlet"/>
        <w:rPr>
          <w:lang w:val="cs-CZ"/>
        </w:rPr>
      </w:pPr>
      <w:r w:rsidRPr="003B6E11">
        <w:rPr>
          <w:lang w:val="cs-CZ"/>
        </w:rPr>
        <w:t>a)</w:t>
      </w:r>
      <w:r w:rsidRPr="003B6E11">
        <w:rPr>
          <w:lang w:val="cs-CZ"/>
        </w:rPr>
        <w:tab/>
        <w:t>před vstupními otvory je dostatečný prostor, aby byl umožněn nerušený pohyb;</w:t>
      </w:r>
    </w:p>
    <w:p w:rsidR="00F06174" w:rsidRPr="003B6E11" w:rsidRDefault="005C7859" w:rsidP="00725D4A">
      <w:pPr>
        <w:pStyle w:val="ESlet"/>
        <w:rPr>
          <w:lang w:val="cs-CZ"/>
        </w:rPr>
      </w:pPr>
      <w:r w:rsidRPr="003B6E11">
        <w:rPr>
          <w:lang w:val="cs-CZ"/>
        </w:rPr>
        <w:t>b)</w:t>
      </w:r>
      <w:r w:rsidRPr="003B6E11">
        <w:rPr>
          <w:lang w:val="cs-CZ"/>
        </w:rPr>
        <w:tab/>
        <w:t>světlá šířka průchodu odpovídá účelu pracoviště a není menší než 0,60 m, kromě plavidel širokých méně než 8 m, na kterých může být světlá šířka průchodu snížena na 0,50 m;</w:t>
      </w:r>
    </w:p>
    <w:p w:rsidR="00F06174" w:rsidRPr="003B6E11" w:rsidRDefault="005C7859" w:rsidP="00725D4A">
      <w:pPr>
        <w:pStyle w:val="ESlet"/>
        <w:rPr>
          <w:lang w:val="cs-CZ"/>
        </w:rPr>
      </w:pPr>
      <w:r w:rsidRPr="003B6E11">
        <w:rPr>
          <w:lang w:val="cs-CZ"/>
        </w:rPr>
        <w:t>c)</w:t>
      </w:r>
      <w:r w:rsidRPr="003B6E11">
        <w:rPr>
          <w:lang w:val="cs-CZ"/>
        </w:rPr>
        <w:tab/>
        <w:t>světlá výška průchodu včetně silu není menší než 1,90 m.</w:t>
      </w:r>
    </w:p>
    <w:p w:rsidR="00DE69C7" w:rsidRPr="003B6E11" w:rsidRDefault="00DE69C7" w:rsidP="00F06174">
      <w:pPr>
        <w:rPr>
          <w:rFonts w:cs="Arial"/>
          <w:noProof/>
          <w:szCs w:val="20"/>
          <w:lang w:val="cs-CZ"/>
        </w:rPr>
      </w:pPr>
    </w:p>
    <w:p w:rsidR="00F06174" w:rsidRPr="003B6E11" w:rsidRDefault="00F06174" w:rsidP="00725D4A">
      <w:pPr>
        <w:pStyle w:val="ESch"/>
        <w:rPr>
          <w:lang w:val="cs-CZ"/>
        </w:rPr>
      </w:pPr>
      <w:r w:rsidRPr="003B6E11">
        <w:rPr>
          <w:lang w:val="cs-CZ"/>
        </w:rPr>
        <w:t>2.</w:t>
      </w:r>
      <w:r w:rsidRPr="003B6E11">
        <w:rPr>
          <w:lang w:val="cs-CZ"/>
        </w:rPr>
        <w:tab/>
        <w:t>Uspořádání dveří musí být takové, aby mohly být bezpečně otvírány a zavírány z obou stran. Dveře musí být chráněny proti náhodnému otevření a zavření.</w:t>
      </w:r>
    </w:p>
    <w:p w:rsidR="00DE69C7" w:rsidRPr="003B6E11" w:rsidRDefault="00DE69C7" w:rsidP="00725D4A">
      <w:pPr>
        <w:pStyle w:val="ESch"/>
        <w:rPr>
          <w:noProof/>
          <w:lang w:val="cs-CZ"/>
        </w:rPr>
      </w:pPr>
    </w:p>
    <w:p w:rsidR="00101CB2" w:rsidRPr="003B6E11" w:rsidRDefault="00101CB2">
      <w:pPr>
        <w:rPr>
          <w:noProof/>
          <w:lang w:val="cs-CZ"/>
        </w:rPr>
      </w:pPr>
      <w:r w:rsidRPr="003B6E11">
        <w:rPr>
          <w:lang w:val="cs-CZ"/>
        </w:rPr>
        <w:br w:type="page"/>
      </w:r>
    </w:p>
    <w:p w:rsidR="00F06174" w:rsidRPr="003B6E11" w:rsidRDefault="00F06174" w:rsidP="00725D4A">
      <w:pPr>
        <w:pStyle w:val="ESch"/>
        <w:rPr>
          <w:lang w:val="cs-CZ"/>
        </w:rPr>
      </w:pPr>
      <w:r w:rsidRPr="003B6E11">
        <w:rPr>
          <w:lang w:val="cs-CZ"/>
        </w:rPr>
        <w:t>3.</w:t>
      </w:r>
      <w:r w:rsidRPr="003B6E11">
        <w:rPr>
          <w:lang w:val="cs-CZ"/>
        </w:rPr>
        <w:tab/>
        <w:t>Přístupy, východy a průchody s rozdílem ve výšce podlah více než 0,50 m musí být opatřeny vhodnými schody, žebříky nebo stupadly.</w:t>
      </w:r>
    </w:p>
    <w:p w:rsidR="00DE69C7" w:rsidRPr="003B6E11" w:rsidRDefault="00DE69C7" w:rsidP="00725D4A">
      <w:pPr>
        <w:pStyle w:val="ESch"/>
        <w:rPr>
          <w:noProof/>
          <w:lang w:val="cs-CZ"/>
        </w:rPr>
      </w:pPr>
    </w:p>
    <w:p w:rsidR="00F06174" w:rsidRPr="003B6E11" w:rsidRDefault="00F06174" w:rsidP="00725D4A">
      <w:pPr>
        <w:pStyle w:val="ESch"/>
        <w:rPr>
          <w:lang w:val="cs-CZ"/>
        </w:rPr>
      </w:pPr>
      <w:r w:rsidRPr="003B6E11">
        <w:rPr>
          <w:lang w:val="cs-CZ"/>
        </w:rPr>
        <w:t>4.</w:t>
      </w:r>
      <w:r w:rsidRPr="003B6E11">
        <w:rPr>
          <w:lang w:val="cs-CZ"/>
        </w:rPr>
        <w:tab/>
        <w:t>Pracoviště, která jsou trvale obsazena, musí být opatřena schody, je-li rozdíl ve výšce podlah větší než 1,00 m. Tento požadavek se nevztahuje na nouzové východy.</w:t>
      </w:r>
    </w:p>
    <w:p w:rsidR="00DE69C7" w:rsidRPr="003B6E11" w:rsidRDefault="00DE69C7" w:rsidP="00725D4A">
      <w:pPr>
        <w:pStyle w:val="ESch"/>
        <w:rPr>
          <w:noProof/>
          <w:lang w:val="cs-CZ"/>
        </w:rPr>
      </w:pPr>
    </w:p>
    <w:p w:rsidR="00F06174" w:rsidRPr="003B6E11" w:rsidRDefault="00F06174" w:rsidP="00725D4A">
      <w:pPr>
        <w:pStyle w:val="ESch"/>
        <w:rPr>
          <w:lang w:val="cs-CZ"/>
        </w:rPr>
      </w:pPr>
      <w:r w:rsidRPr="003B6E11">
        <w:rPr>
          <w:lang w:val="cs-CZ"/>
        </w:rPr>
        <w:t>5.</w:t>
      </w:r>
      <w:r w:rsidRPr="003B6E11">
        <w:rPr>
          <w:lang w:val="cs-CZ"/>
        </w:rPr>
        <w:tab/>
        <w:t>Lodě s podpalubními nákladovými prostory musí mít nejméně na každém konci nákladového prostoru pevně zabudované prostředky k zajištění přístupu.</w:t>
      </w:r>
    </w:p>
    <w:p w:rsidR="00DE69C7" w:rsidRPr="003B6E11" w:rsidRDefault="00DE69C7" w:rsidP="00725D4A">
      <w:pPr>
        <w:pStyle w:val="ESch"/>
        <w:rPr>
          <w:noProof/>
          <w:lang w:val="cs-CZ"/>
        </w:rPr>
      </w:pPr>
    </w:p>
    <w:p w:rsidR="00F06174" w:rsidRPr="003B6E11" w:rsidRDefault="00F06174" w:rsidP="00725D4A">
      <w:pPr>
        <w:pStyle w:val="ESchpar"/>
        <w:rPr>
          <w:lang w:val="cs-CZ"/>
        </w:rPr>
      </w:pPr>
      <w:r w:rsidRPr="003B6E11">
        <w:rPr>
          <w:lang w:val="cs-CZ"/>
        </w:rPr>
        <w:t>Odchylně od prvního pododstavce nejsou pevně zabudované prostředky k zajištění přístupu nutné, jsou-li poskytnuty nejméně dva přenosné žebříky, které při úhlu sklonu 60° přesahují jícnový sil nejméně o tři příčle.</w:t>
      </w:r>
    </w:p>
    <w:p w:rsidR="00F06174" w:rsidRPr="003B6E11" w:rsidRDefault="00F06174" w:rsidP="00F06174">
      <w:pPr>
        <w:rPr>
          <w:rFonts w:cs="Arial"/>
          <w:szCs w:val="20"/>
          <w:lang w:val="cs-CZ"/>
        </w:rPr>
      </w:pPr>
    </w:p>
    <w:p w:rsidR="00725D4A" w:rsidRPr="003B6E11" w:rsidRDefault="00725D4A" w:rsidP="00F06174">
      <w:pPr>
        <w:rPr>
          <w:rFonts w:cs="Arial"/>
          <w:szCs w:val="20"/>
          <w:lang w:val="cs-CZ"/>
        </w:rPr>
      </w:pPr>
    </w:p>
    <w:p w:rsidR="00F06174" w:rsidRPr="003B6E11" w:rsidRDefault="00F06174" w:rsidP="00DE69C7">
      <w:pPr>
        <w:pStyle w:val="ES-Titre3"/>
        <w:rPr>
          <w:sz w:val="20"/>
          <w:lang w:val="cs-CZ"/>
        </w:rPr>
      </w:pPr>
      <w:bookmarkStart w:id="238" w:name="_Toc491854116"/>
      <w:bookmarkStart w:id="239" w:name="_Toc535417022"/>
      <w:r w:rsidRPr="003B6E11">
        <w:rPr>
          <w:lang w:val="cs-CZ"/>
        </w:rPr>
        <w:t>Článek 14.06</w:t>
      </w:r>
      <w:r w:rsidRPr="003B6E11">
        <w:rPr>
          <w:lang w:val="cs-CZ"/>
        </w:rPr>
        <w:br/>
      </w:r>
      <w:r w:rsidRPr="003B6E11">
        <w:rPr>
          <w:i/>
          <w:noProof/>
          <w:lang w:val="cs-CZ"/>
        </w:rPr>
        <w:t>Východy a nouzové východy</w:t>
      </w:r>
      <w:bookmarkEnd w:id="238"/>
      <w:bookmarkEnd w:id="239"/>
    </w:p>
    <w:p w:rsidR="00DE69C7" w:rsidRPr="003B6E11" w:rsidRDefault="00DE69C7" w:rsidP="00F06174">
      <w:pPr>
        <w:rPr>
          <w:rFonts w:cs="Arial"/>
          <w:noProof/>
          <w:szCs w:val="20"/>
          <w:lang w:val="cs-CZ"/>
        </w:rPr>
      </w:pPr>
    </w:p>
    <w:p w:rsidR="00F06174" w:rsidRPr="003B6E11" w:rsidRDefault="00F06174" w:rsidP="00725D4A">
      <w:pPr>
        <w:pStyle w:val="ESch"/>
        <w:rPr>
          <w:lang w:val="cs-CZ"/>
        </w:rPr>
      </w:pPr>
      <w:r w:rsidRPr="003B6E11">
        <w:rPr>
          <w:lang w:val="cs-CZ"/>
        </w:rPr>
        <w:t>1.</w:t>
      </w:r>
      <w:r w:rsidRPr="003B6E11">
        <w:rPr>
          <w:lang w:val="cs-CZ"/>
        </w:rPr>
        <w:tab/>
        <w:t>Počet, uspořádání a rozměry východů, včetně nouzových, musí odpovídat účelu a rozměrům příslušného prostoru. Je-li jeden z východů nouzový, musí být jako takový zřetelně označen.</w:t>
      </w:r>
    </w:p>
    <w:p w:rsidR="00DE69C7" w:rsidRPr="003B6E11" w:rsidRDefault="00DE69C7" w:rsidP="00725D4A">
      <w:pPr>
        <w:pStyle w:val="ESch"/>
        <w:rPr>
          <w:noProof/>
          <w:lang w:val="cs-CZ"/>
        </w:rPr>
      </w:pPr>
    </w:p>
    <w:p w:rsidR="00F06174" w:rsidRPr="003B6E11" w:rsidRDefault="00F06174" w:rsidP="00725D4A">
      <w:pPr>
        <w:pStyle w:val="ESch"/>
        <w:rPr>
          <w:lang w:val="cs-CZ"/>
        </w:rPr>
      </w:pPr>
      <w:r w:rsidRPr="003B6E11">
        <w:rPr>
          <w:lang w:val="cs-CZ"/>
        </w:rPr>
        <w:t>2.</w:t>
      </w:r>
      <w:r w:rsidRPr="003B6E11">
        <w:rPr>
          <w:lang w:val="cs-CZ"/>
        </w:rPr>
        <w:tab/>
        <w:t>Nouzové východy nebo okna či kryty světlíků, které mají být použity jsou nouzové východy, musí mít světlost otvoru nejméně 0,36 m</w:t>
      </w:r>
      <w:r w:rsidRPr="003B6E11">
        <w:rPr>
          <w:noProof/>
          <w:vertAlign w:val="superscript"/>
          <w:lang w:val="cs-CZ"/>
        </w:rPr>
        <w:t>2</w:t>
      </w:r>
      <w:r w:rsidRPr="003B6E11">
        <w:rPr>
          <w:lang w:val="cs-CZ"/>
        </w:rPr>
        <w:t xml:space="preserve"> a nejmenší rozměr musí být nejméně 0,50 m.</w:t>
      </w:r>
    </w:p>
    <w:p w:rsidR="00F06174" w:rsidRPr="003B6E11" w:rsidRDefault="00F06174" w:rsidP="00F06174">
      <w:pPr>
        <w:rPr>
          <w:rFonts w:cs="Arial"/>
          <w:szCs w:val="20"/>
          <w:lang w:val="cs-CZ"/>
        </w:rPr>
      </w:pPr>
    </w:p>
    <w:p w:rsidR="00F06174" w:rsidRPr="003B6E11" w:rsidRDefault="00F06174" w:rsidP="00DE69C7">
      <w:pPr>
        <w:pStyle w:val="ES-Titre3"/>
        <w:rPr>
          <w:sz w:val="20"/>
          <w:lang w:val="cs-CZ"/>
        </w:rPr>
      </w:pPr>
      <w:bookmarkStart w:id="240" w:name="_Toc491854117"/>
      <w:bookmarkStart w:id="241" w:name="_Toc535417023"/>
      <w:r w:rsidRPr="003B6E11">
        <w:rPr>
          <w:lang w:val="cs-CZ"/>
        </w:rPr>
        <w:t>Článek 14.07</w:t>
      </w:r>
      <w:r w:rsidRPr="003B6E11">
        <w:rPr>
          <w:lang w:val="cs-CZ"/>
        </w:rPr>
        <w:br/>
      </w:r>
      <w:r w:rsidRPr="003B6E11">
        <w:rPr>
          <w:i/>
          <w:noProof/>
          <w:lang w:val="cs-CZ"/>
        </w:rPr>
        <w:t>Žebříky, stupadla a podobná zařízení</w:t>
      </w:r>
      <w:bookmarkEnd w:id="240"/>
      <w:bookmarkEnd w:id="241"/>
    </w:p>
    <w:p w:rsidR="00DE69C7" w:rsidRPr="003B6E11" w:rsidRDefault="00DE69C7" w:rsidP="00F06174">
      <w:pPr>
        <w:rPr>
          <w:rFonts w:cs="Arial"/>
          <w:noProof/>
          <w:szCs w:val="20"/>
          <w:lang w:val="cs-CZ"/>
        </w:rPr>
      </w:pPr>
    </w:p>
    <w:p w:rsidR="00F06174" w:rsidRPr="003B6E11" w:rsidRDefault="00F06174" w:rsidP="00725D4A">
      <w:pPr>
        <w:pStyle w:val="ESch"/>
        <w:rPr>
          <w:lang w:val="cs-CZ"/>
        </w:rPr>
      </w:pPr>
      <w:r w:rsidRPr="003B6E11">
        <w:rPr>
          <w:lang w:val="cs-CZ"/>
        </w:rPr>
        <w:t>1.</w:t>
      </w:r>
      <w:r w:rsidRPr="003B6E11">
        <w:rPr>
          <w:lang w:val="cs-CZ"/>
        </w:rPr>
        <w:tab/>
        <w:t>Schody a žebříky musí být bezpečně upevněny. Schody musí být široké nejméně 0,60 m a světlá šířka mezi madly nesmí být menší než 0,60 m; výška stupně nesmí být menší než 0,15 m; stupně musí mít povrchy s neklouzavou úpravou a schodiště s více než třemi stupni musí být opatřena madly.</w:t>
      </w:r>
    </w:p>
    <w:p w:rsidR="00DE69C7" w:rsidRPr="003B6E11" w:rsidRDefault="00DE69C7" w:rsidP="00725D4A">
      <w:pPr>
        <w:pStyle w:val="ESch"/>
        <w:rPr>
          <w:noProof/>
          <w:lang w:val="cs-CZ"/>
        </w:rPr>
      </w:pPr>
    </w:p>
    <w:p w:rsidR="00F06174" w:rsidRPr="003B6E11" w:rsidRDefault="00F06174" w:rsidP="00725D4A">
      <w:pPr>
        <w:pStyle w:val="ESch"/>
        <w:rPr>
          <w:lang w:val="cs-CZ"/>
        </w:rPr>
      </w:pPr>
      <w:r w:rsidRPr="003B6E11">
        <w:rPr>
          <w:lang w:val="cs-CZ"/>
        </w:rPr>
        <w:t>2.</w:t>
      </w:r>
      <w:r w:rsidRPr="003B6E11">
        <w:rPr>
          <w:lang w:val="cs-CZ"/>
        </w:rPr>
        <w:tab/>
        <w:t>Žebříky a samostatně upevněné příčle musí mít světlou šířku nejméně 0,30 m; maximální vzdálenost mezi příčlemi je 0,30 m a vzdálenost mezi příčlemi a konstrukcí nesmí být menší než 0,15 m.</w:t>
      </w:r>
    </w:p>
    <w:p w:rsidR="00DE69C7" w:rsidRPr="003B6E11" w:rsidRDefault="00DE69C7" w:rsidP="00725D4A">
      <w:pPr>
        <w:pStyle w:val="ESch"/>
        <w:rPr>
          <w:noProof/>
          <w:lang w:val="cs-CZ"/>
        </w:rPr>
      </w:pPr>
    </w:p>
    <w:p w:rsidR="00F06174" w:rsidRPr="003B6E11" w:rsidRDefault="00CD654F" w:rsidP="00725D4A">
      <w:pPr>
        <w:pStyle w:val="ESch"/>
        <w:rPr>
          <w:lang w:val="cs-CZ"/>
        </w:rPr>
      </w:pPr>
      <w:r w:rsidRPr="003B6E11">
        <w:rPr>
          <w:lang w:val="cs-CZ"/>
        </w:rPr>
        <w:t>3.</w:t>
      </w:r>
      <w:r w:rsidRPr="003B6E11">
        <w:rPr>
          <w:lang w:val="cs-CZ"/>
        </w:rPr>
        <w:tab/>
        <w:t>Žebříky a samostatně upevněné příčle musí být viditelné shora a nad otvory východů musí být vybaveny bezpečnostními rukojeťmi.</w:t>
      </w:r>
    </w:p>
    <w:p w:rsidR="00DE69C7" w:rsidRPr="003B6E11" w:rsidRDefault="00DE69C7" w:rsidP="00725D4A">
      <w:pPr>
        <w:pStyle w:val="ESch"/>
        <w:rPr>
          <w:noProof/>
          <w:lang w:val="cs-CZ"/>
        </w:rPr>
      </w:pPr>
    </w:p>
    <w:p w:rsidR="00F06174" w:rsidRPr="003B6E11" w:rsidRDefault="00F06174" w:rsidP="00725D4A">
      <w:pPr>
        <w:pStyle w:val="ESch"/>
        <w:rPr>
          <w:lang w:val="cs-CZ"/>
        </w:rPr>
      </w:pPr>
      <w:r w:rsidRPr="003B6E11">
        <w:rPr>
          <w:lang w:val="cs-CZ"/>
        </w:rPr>
        <w:t>4.</w:t>
      </w:r>
      <w:r w:rsidRPr="003B6E11">
        <w:rPr>
          <w:lang w:val="cs-CZ"/>
        </w:rPr>
        <w:tab/>
        <w:t>Přenosné žebříky musí být široké nejméně 0,40 m a nejméně 0,50 m u základny; musí být možné zajistit, aby se nepřevrátily nebo nesklouzly; příčle musí být pevně upevněny v bočnicích.</w:t>
      </w:r>
    </w:p>
    <w:p w:rsidR="00F06174" w:rsidRPr="003B6E11" w:rsidRDefault="00F06174" w:rsidP="00F06174">
      <w:pPr>
        <w:rPr>
          <w:rFonts w:cs="Arial"/>
          <w:szCs w:val="20"/>
          <w:lang w:val="cs-CZ"/>
        </w:rPr>
      </w:pPr>
    </w:p>
    <w:p w:rsidR="00DE69C7" w:rsidRPr="003B6E11" w:rsidRDefault="00DE69C7" w:rsidP="00F06174">
      <w:pPr>
        <w:rPr>
          <w:rFonts w:cs="Arial"/>
          <w:szCs w:val="20"/>
          <w:lang w:val="cs-CZ"/>
        </w:rPr>
      </w:pPr>
    </w:p>
    <w:p w:rsidR="00F06174" w:rsidRPr="003B6E11" w:rsidRDefault="00F06174" w:rsidP="00DE69C7">
      <w:pPr>
        <w:pStyle w:val="ES-Titre3"/>
        <w:rPr>
          <w:lang w:val="cs-CZ"/>
        </w:rPr>
      </w:pPr>
      <w:bookmarkStart w:id="242" w:name="_Toc491854118"/>
      <w:bookmarkStart w:id="243" w:name="_Toc535417024"/>
      <w:r w:rsidRPr="003B6E11">
        <w:rPr>
          <w:lang w:val="cs-CZ"/>
        </w:rPr>
        <w:t>Článek 14.08</w:t>
      </w:r>
      <w:r w:rsidRPr="003B6E11">
        <w:rPr>
          <w:lang w:val="cs-CZ"/>
        </w:rPr>
        <w:br/>
      </w:r>
      <w:r w:rsidRPr="003B6E11">
        <w:rPr>
          <w:i/>
          <w:lang w:val="cs-CZ"/>
        </w:rPr>
        <w:t>Vnitřní místnosti</w:t>
      </w:r>
      <w:bookmarkEnd w:id="242"/>
      <w:bookmarkEnd w:id="243"/>
    </w:p>
    <w:p w:rsidR="00DE69C7" w:rsidRPr="003B6E11" w:rsidRDefault="00DE69C7" w:rsidP="00F06174">
      <w:pPr>
        <w:rPr>
          <w:rFonts w:cs="Arial"/>
          <w:noProof/>
          <w:szCs w:val="20"/>
          <w:lang w:val="cs-CZ"/>
        </w:rPr>
      </w:pPr>
    </w:p>
    <w:p w:rsidR="00F06174" w:rsidRPr="003B6E11" w:rsidRDefault="00F06174" w:rsidP="00725D4A">
      <w:pPr>
        <w:pStyle w:val="ESch"/>
        <w:rPr>
          <w:lang w:val="cs-CZ"/>
        </w:rPr>
      </w:pPr>
      <w:r w:rsidRPr="003B6E11">
        <w:rPr>
          <w:lang w:val="cs-CZ"/>
        </w:rPr>
        <w:t>1.</w:t>
      </w:r>
      <w:r w:rsidRPr="003B6E11">
        <w:rPr>
          <w:lang w:val="cs-CZ"/>
        </w:rPr>
        <w:tab/>
        <w:t>Rozměry, zařízení a uspořádání vnitřních pracovišť musí odpovídat práci, která má být vykonávána, a musí splňovat zdravotní a bezpečnostní požadavky. Musí být dostatečně osvětlena neoslňujícím světlem a dostatečně větrána. V případě potřeby musí být opatřena topným zařízením k udržení přiměřené teploty.</w:t>
      </w:r>
    </w:p>
    <w:p w:rsidR="00DE69C7" w:rsidRPr="003B6E11" w:rsidRDefault="00DE69C7" w:rsidP="00725D4A">
      <w:pPr>
        <w:pStyle w:val="ESch"/>
        <w:rPr>
          <w:noProof/>
          <w:lang w:val="cs-CZ"/>
        </w:rPr>
      </w:pPr>
    </w:p>
    <w:p w:rsidR="00725D4A" w:rsidRPr="003B6E11" w:rsidRDefault="00725D4A" w:rsidP="00725D4A">
      <w:pPr>
        <w:pStyle w:val="ESch"/>
        <w:rPr>
          <w:noProof/>
          <w:lang w:val="cs-CZ"/>
        </w:rPr>
      </w:pPr>
      <w:r w:rsidRPr="003B6E11">
        <w:rPr>
          <w:lang w:val="cs-CZ"/>
        </w:rPr>
        <w:br w:type="page"/>
      </w:r>
    </w:p>
    <w:p w:rsidR="00F06174" w:rsidRPr="003B6E11" w:rsidRDefault="00F06174" w:rsidP="00725D4A">
      <w:pPr>
        <w:pStyle w:val="ESch"/>
        <w:rPr>
          <w:lang w:val="cs-CZ"/>
        </w:rPr>
      </w:pPr>
      <w:r w:rsidRPr="003B6E11">
        <w:rPr>
          <w:lang w:val="cs-CZ"/>
        </w:rPr>
        <w:t>2.</w:t>
      </w:r>
      <w:r w:rsidRPr="003B6E11">
        <w:rPr>
          <w:lang w:val="cs-CZ"/>
        </w:rPr>
        <w:tab/>
        <w:t>Podlahy vnitřních pracovišť musí být pevné a trvanlivé a konstruované tak, aby nevytvářely předpoklady pro zakopnutí či uklouznutí. Otvory v palubách a podlahách musí být, pokud jsou otevřené, zajištěny proti nebezpečí pádu. Okna a světlíky musí být uspořádány a vybaveny tak, aby bylo možné je bezpečně používat a čistit.</w:t>
      </w:r>
    </w:p>
    <w:p w:rsidR="00F06174" w:rsidRPr="003B6E11" w:rsidRDefault="00F06174" w:rsidP="00F06174">
      <w:pPr>
        <w:rPr>
          <w:rFonts w:cs="Arial"/>
          <w:szCs w:val="20"/>
          <w:lang w:val="cs-CZ"/>
        </w:rPr>
      </w:pPr>
    </w:p>
    <w:p w:rsidR="00DE69C7" w:rsidRPr="003B6E11" w:rsidRDefault="00DE69C7" w:rsidP="00F06174">
      <w:pPr>
        <w:rPr>
          <w:rFonts w:cs="Arial"/>
          <w:szCs w:val="20"/>
          <w:lang w:val="cs-CZ"/>
        </w:rPr>
      </w:pPr>
    </w:p>
    <w:p w:rsidR="00F06174" w:rsidRPr="003B6E11" w:rsidRDefault="00F06174" w:rsidP="00DE69C7">
      <w:pPr>
        <w:pStyle w:val="ES-Titre3"/>
        <w:rPr>
          <w:lang w:val="cs-CZ"/>
        </w:rPr>
      </w:pPr>
      <w:bookmarkStart w:id="244" w:name="_Toc491854119"/>
      <w:bookmarkStart w:id="245" w:name="_Toc535417025"/>
      <w:r w:rsidRPr="003B6E11">
        <w:rPr>
          <w:lang w:val="cs-CZ"/>
        </w:rPr>
        <w:t>Článek 14.09</w:t>
      </w:r>
      <w:r w:rsidRPr="003B6E11">
        <w:rPr>
          <w:lang w:val="cs-CZ"/>
        </w:rPr>
        <w:br/>
      </w:r>
      <w:r w:rsidRPr="003B6E11">
        <w:rPr>
          <w:i/>
          <w:lang w:val="cs-CZ"/>
        </w:rPr>
        <w:t>Ochrana proti hluku a vibracím</w:t>
      </w:r>
      <w:bookmarkEnd w:id="244"/>
      <w:bookmarkEnd w:id="245"/>
    </w:p>
    <w:p w:rsidR="00DE69C7" w:rsidRPr="003B6E11" w:rsidRDefault="00DE69C7" w:rsidP="00F06174">
      <w:pPr>
        <w:rPr>
          <w:rFonts w:cs="Arial"/>
          <w:szCs w:val="20"/>
          <w:lang w:val="cs-CZ"/>
        </w:rPr>
      </w:pPr>
    </w:p>
    <w:p w:rsidR="00F06174" w:rsidRPr="003B6E11" w:rsidRDefault="00F06174" w:rsidP="00725D4A">
      <w:pPr>
        <w:pStyle w:val="ESch"/>
        <w:rPr>
          <w:lang w:val="cs-CZ"/>
        </w:rPr>
      </w:pPr>
      <w:r w:rsidRPr="003B6E11">
        <w:rPr>
          <w:lang w:val="cs-CZ"/>
        </w:rPr>
        <w:t>1.</w:t>
      </w:r>
      <w:r w:rsidRPr="003B6E11">
        <w:rPr>
          <w:lang w:val="cs-CZ"/>
        </w:rPr>
        <w:tab/>
        <w:t>Pracoviště musí být umístěna, vybavena a konstruována tak, aby zaměstnanci nebyli vystaveni škodlivým vibracím.</w:t>
      </w:r>
    </w:p>
    <w:p w:rsidR="00DE69C7" w:rsidRPr="003B6E11" w:rsidRDefault="00DE69C7" w:rsidP="00725D4A">
      <w:pPr>
        <w:pStyle w:val="ESch"/>
        <w:rPr>
          <w:noProof/>
          <w:lang w:val="cs-CZ"/>
        </w:rPr>
      </w:pPr>
    </w:p>
    <w:p w:rsidR="00F06174" w:rsidRPr="003B6E11" w:rsidRDefault="00F06174" w:rsidP="00725D4A">
      <w:pPr>
        <w:pStyle w:val="ESch"/>
        <w:rPr>
          <w:lang w:val="cs-CZ"/>
        </w:rPr>
      </w:pPr>
      <w:r w:rsidRPr="003B6E11">
        <w:rPr>
          <w:lang w:val="cs-CZ"/>
        </w:rPr>
        <w:t>2.</w:t>
      </w:r>
      <w:r w:rsidRPr="003B6E11">
        <w:rPr>
          <w:lang w:val="cs-CZ"/>
        </w:rPr>
        <w:tab/>
        <w:t>Stálá pracoviště musí být kromě toho zkonstruována takovým způsobem a musí být tak zvukotěsná, aby zdraví a bezpečnost zaměstnanců nebyly ohroženy hlukem.</w:t>
      </w:r>
    </w:p>
    <w:p w:rsidR="00DE69C7" w:rsidRPr="003B6E11" w:rsidRDefault="00DE69C7" w:rsidP="00725D4A">
      <w:pPr>
        <w:pStyle w:val="ESch"/>
        <w:rPr>
          <w:noProof/>
          <w:lang w:val="cs-CZ"/>
        </w:rPr>
      </w:pPr>
    </w:p>
    <w:p w:rsidR="00F06174" w:rsidRPr="003B6E11" w:rsidRDefault="00F06174" w:rsidP="00725D4A">
      <w:pPr>
        <w:pStyle w:val="ESch"/>
        <w:rPr>
          <w:lang w:val="cs-CZ"/>
        </w:rPr>
      </w:pPr>
      <w:r w:rsidRPr="003B6E11">
        <w:rPr>
          <w:lang w:val="cs-CZ"/>
        </w:rPr>
        <w:t>3.</w:t>
      </w:r>
      <w:r w:rsidRPr="003B6E11">
        <w:rPr>
          <w:lang w:val="cs-CZ"/>
        </w:rPr>
        <w:tab/>
        <w:t>Pro zaměstnance, kteří budou každý den pravděpodobně vystaveni hladině hluku vyšší než 85 dB(A), musí být k dispozici individuální ochranné protihlukové prostředky. Na pracovištích, na nichž hladina hluku převyšuje 90 dB(A), musí být povinné použití ochranných protihlukových prostředků vyznačeno symbolem „Použijte ochranné protihlukové prostředky“ o průměru nejméně 10 cm v souladu s obrázkem 7 v příloze 4.</w:t>
      </w:r>
    </w:p>
    <w:p w:rsidR="00F06174" w:rsidRPr="003B6E11" w:rsidRDefault="00F06174" w:rsidP="00F06174">
      <w:pPr>
        <w:rPr>
          <w:rFonts w:cs="Arial"/>
          <w:szCs w:val="20"/>
          <w:lang w:val="cs-CZ"/>
        </w:rPr>
      </w:pPr>
    </w:p>
    <w:p w:rsidR="00C973E6" w:rsidRPr="003B6E11" w:rsidRDefault="00C973E6" w:rsidP="00F06174">
      <w:pPr>
        <w:rPr>
          <w:rFonts w:cs="Arial"/>
          <w:szCs w:val="20"/>
          <w:lang w:val="cs-CZ"/>
        </w:rPr>
      </w:pPr>
    </w:p>
    <w:p w:rsidR="00F06174" w:rsidRPr="003B6E11" w:rsidRDefault="00F06174" w:rsidP="00DE69C7">
      <w:pPr>
        <w:pStyle w:val="ES-Titre3"/>
        <w:rPr>
          <w:sz w:val="20"/>
          <w:lang w:val="cs-CZ"/>
        </w:rPr>
      </w:pPr>
      <w:bookmarkStart w:id="246" w:name="_Toc491854120"/>
      <w:bookmarkStart w:id="247" w:name="_Toc535417026"/>
      <w:r w:rsidRPr="003B6E11">
        <w:rPr>
          <w:lang w:val="cs-CZ"/>
        </w:rPr>
        <w:t>Článek 14.10</w:t>
      </w:r>
      <w:r w:rsidRPr="003B6E11">
        <w:rPr>
          <w:lang w:val="cs-CZ"/>
        </w:rPr>
        <w:br/>
      </w:r>
      <w:r w:rsidRPr="003B6E11">
        <w:rPr>
          <w:i/>
          <w:noProof/>
          <w:lang w:val="cs-CZ"/>
        </w:rPr>
        <w:t>Kryty jícnů</w:t>
      </w:r>
      <w:bookmarkEnd w:id="246"/>
      <w:bookmarkEnd w:id="247"/>
    </w:p>
    <w:p w:rsidR="00725D4A" w:rsidRPr="003B6E11" w:rsidRDefault="00725D4A" w:rsidP="00725D4A">
      <w:pPr>
        <w:pStyle w:val="ESch"/>
        <w:rPr>
          <w:noProof/>
          <w:lang w:val="cs-CZ"/>
        </w:rPr>
      </w:pPr>
    </w:p>
    <w:p w:rsidR="00F06174" w:rsidRPr="003B6E11" w:rsidRDefault="00F06174" w:rsidP="00725D4A">
      <w:pPr>
        <w:pStyle w:val="ESch"/>
        <w:rPr>
          <w:lang w:val="cs-CZ"/>
        </w:rPr>
      </w:pPr>
      <w:r w:rsidRPr="003B6E11">
        <w:rPr>
          <w:lang w:val="cs-CZ"/>
        </w:rPr>
        <w:t xml:space="preserve">1. </w:t>
      </w:r>
      <w:r w:rsidRPr="003B6E11">
        <w:rPr>
          <w:lang w:val="cs-CZ"/>
        </w:rPr>
        <w:tab/>
        <w:t>Kryty jícnů musí být snadno dostupné a manipulace s nimi musí být bezpečná. Díly krytů jícnů o hmotnosti větší než 40 kg musí být navrženy tak, aby se daly posouvat nebo otáčet, nebo musí být vybaveny mechanickými prostředky k otevírání. Kryty jícnů ovládané pomocí zvedáku musí být vybaveny přiměřenými a snadno dostupnými upevňovacími prostředky. Kryty jícnů a jejich krokve, které nejsou zaměnitelné, musí být zřetelně označeny, aby bylo zřejmé, ke kterým jícnům patří, a jejich správná poloha na jícnech.</w:t>
      </w:r>
    </w:p>
    <w:p w:rsidR="00756D4B" w:rsidRPr="003B6E11" w:rsidRDefault="00756D4B" w:rsidP="00725D4A">
      <w:pPr>
        <w:pStyle w:val="ESch"/>
        <w:rPr>
          <w:noProof/>
          <w:lang w:val="cs-CZ"/>
        </w:rPr>
      </w:pPr>
    </w:p>
    <w:p w:rsidR="00F06174" w:rsidRPr="003B6E11" w:rsidRDefault="00F06174" w:rsidP="00725D4A">
      <w:pPr>
        <w:pStyle w:val="ESch"/>
        <w:rPr>
          <w:lang w:val="cs-CZ"/>
        </w:rPr>
      </w:pPr>
      <w:r w:rsidRPr="003B6E11">
        <w:rPr>
          <w:lang w:val="cs-CZ"/>
        </w:rPr>
        <w:t>2.</w:t>
      </w:r>
      <w:r w:rsidRPr="003B6E11">
        <w:rPr>
          <w:lang w:val="cs-CZ"/>
        </w:rPr>
        <w:tab/>
        <w:t>Kryty jícnů musí být zajištěny proti sklopení větrem nebo nakládacím zařízením. Posuvné kryty musí být vybaveny záchytkami, které zabraňují jejich neúmyslnému vodorovnému pohybu o více než 0,40 m; musí být uzamykatelné v koncové poloze. K upevnění na sebe naskládaných krytů jícnů musí být k dispozici vhodné prostředky.</w:t>
      </w:r>
    </w:p>
    <w:p w:rsidR="00756D4B" w:rsidRPr="003B6E11" w:rsidRDefault="00756D4B" w:rsidP="00725D4A">
      <w:pPr>
        <w:pStyle w:val="ESch"/>
        <w:rPr>
          <w:noProof/>
          <w:lang w:val="cs-CZ"/>
        </w:rPr>
      </w:pPr>
    </w:p>
    <w:p w:rsidR="00F06174" w:rsidRPr="003B6E11" w:rsidRDefault="00F06174" w:rsidP="00725D4A">
      <w:pPr>
        <w:pStyle w:val="ESch"/>
        <w:rPr>
          <w:lang w:val="cs-CZ"/>
        </w:rPr>
      </w:pPr>
      <w:r w:rsidRPr="003B6E11">
        <w:rPr>
          <w:lang w:val="cs-CZ"/>
        </w:rPr>
        <w:t>3.</w:t>
      </w:r>
      <w:r w:rsidRPr="003B6E11">
        <w:rPr>
          <w:lang w:val="cs-CZ"/>
        </w:rPr>
        <w:tab/>
        <w:t>Napájení mechanicky ovládaných krytů jícnů se musí po uvolnění ovládacího spínače automaticky vypnout.</w:t>
      </w:r>
    </w:p>
    <w:p w:rsidR="00756D4B" w:rsidRPr="003B6E11" w:rsidRDefault="00756D4B" w:rsidP="00725D4A">
      <w:pPr>
        <w:pStyle w:val="ESch"/>
        <w:rPr>
          <w:lang w:val="cs-CZ"/>
        </w:rPr>
      </w:pPr>
    </w:p>
    <w:p w:rsidR="00F06174" w:rsidRPr="003B6E11" w:rsidRDefault="00F06174" w:rsidP="00725D4A">
      <w:pPr>
        <w:pStyle w:val="ESch"/>
        <w:rPr>
          <w:lang w:val="cs-CZ"/>
        </w:rPr>
      </w:pPr>
      <w:r w:rsidRPr="003B6E11">
        <w:rPr>
          <w:lang w:val="cs-CZ"/>
        </w:rPr>
        <w:t>4.</w:t>
      </w:r>
      <w:r w:rsidRPr="003B6E11">
        <w:rPr>
          <w:lang w:val="cs-CZ"/>
        </w:rPr>
        <w:tab/>
        <w:t>Kryty jícnů musí vydržet zátěž, kterou lze předpokládat; pochozí kryty jícnů musí vydržet bodové zatížení nejméně 75 kg. Kryty jícnů, které nejsou navrženy jako pochozí, musí být jako takové označeny. Na krytech jícnů, které jsou navrženy k ukládání lodního nákladu, musí mít vyznačeno přípustné zatížení v t/m</w:t>
      </w:r>
      <w:r w:rsidRPr="003B6E11">
        <w:rPr>
          <w:noProof/>
          <w:vertAlign w:val="superscript"/>
          <w:lang w:val="cs-CZ"/>
        </w:rPr>
        <w:t>2</w:t>
      </w:r>
      <w:r w:rsidRPr="003B6E11">
        <w:rPr>
          <w:lang w:val="cs-CZ"/>
        </w:rPr>
        <w:t>. Pokud jsou k dosažení nejvyššího přípustného zatížení nutné podpěry, musí to být na vhodném místě uvedeno; v takovém případě musí být na plavidle uloženy příslušné plány.</w:t>
      </w:r>
    </w:p>
    <w:p w:rsidR="00F06174" w:rsidRPr="003B6E11" w:rsidRDefault="00F06174" w:rsidP="00F06174">
      <w:pPr>
        <w:rPr>
          <w:rFonts w:cs="Arial"/>
          <w:szCs w:val="20"/>
          <w:lang w:val="cs-CZ"/>
        </w:rPr>
      </w:pPr>
    </w:p>
    <w:p w:rsidR="00756D4B" w:rsidRPr="003B6E11" w:rsidRDefault="00725D4A" w:rsidP="00F06174">
      <w:pPr>
        <w:rPr>
          <w:rFonts w:cs="Arial"/>
          <w:szCs w:val="20"/>
          <w:lang w:val="cs-CZ"/>
        </w:rPr>
      </w:pPr>
      <w:r w:rsidRPr="003B6E11">
        <w:rPr>
          <w:lang w:val="cs-CZ"/>
        </w:rPr>
        <w:br w:type="page"/>
      </w:r>
    </w:p>
    <w:p w:rsidR="00F06174" w:rsidRPr="003B6E11" w:rsidRDefault="00F06174" w:rsidP="00756D4B">
      <w:pPr>
        <w:pStyle w:val="ES-Titre3"/>
        <w:rPr>
          <w:lang w:val="cs-CZ"/>
        </w:rPr>
      </w:pPr>
      <w:bookmarkStart w:id="248" w:name="_Toc491854121"/>
      <w:bookmarkStart w:id="249" w:name="_Toc535417027"/>
      <w:r w:rsidRPr="003B6E11">
        <w:rPr>
          <w:lang w:val="cs-CZ"/>
        </w:rPr>
        <w:t>Článek 14.11</w:t>
      </w:r>
      <w:r w:rsidRPr="003B6E11">
        <w:rPr>
          <w:lang w:val="cs-CZ"/>
        </w:rPr>
        <w:br/>
      </w:r>
      <w:r w:rsidRPr="003B6E11">
        <w:rPr>
          <w:i/>
          <w:lang w:val="cs-CZ"/>
        </w:rPr>
        <w:t>Navijáky</w:t>
      </w:r>
      <w:bookmarkEnd w:id="248"/>
      <w:bookmarkEnd w:id="249"/>
    </w:p>
    <w:p w:rsidR="00725D4A" w:rsidRPr="003B6E11" w:rsidRDefault="00725D4A" w:rsidP="00725D4A">
      <w:pPr>
        <w:pStyle w:val="ESch"/>
        <w:rPr>
          <w:noProof/>
          <w:lang w:val="cs-CZ"/>
        </w:rPr>
      </w:pPr>
    </w:p>
    <w:p w:rsidR="00F06174" w:rsidRPr="003B6E11" w:rsidRDefault="00F06174" w:rsidP="00725D4A">
      <w:pPr>
        <w:pStyle w:val="ESch"/>
        <w:rPr>
          <w:lang w:val="cs-CZ"/>
        </w:rPr>
      </w:pPr>
      <w:r w:rsidRPr="003B6E11">
        <w:rPr>
          <w:lang w:val="cs-CZ"/>
        </w:rPr>
        <w:t>1.</w:t>
      </w:r>
      <w:r w:rsidRPr="003B6E11">
        <w:rPr>
          <w:lang w:val="cs-CZ"/>
        </w:rPr>
        <w:tab/>
        <w:t>Navijáky musí být navrženy tak, aby bylo možno provádět práci bezpečně. Musí být vybaveny prostředky, které zamezí neúmyslnému uvolnění nákladu. Navijáky, které nejsou samočinně brzdící, musí být opatřeny brzdou přiměřenou k jejich tažné síle.</w:t>
      </w:r>
    </w:p>
    <w:p w:rsidR="00756D4B" w:rsidRPr="003B6E11" w:rsidRDefault="00756D4B" w:rsidP="00725D4A">
      <w:pPr>
        <w:pStyle w:val="ESch"/>
        <w:rPr>
          <w:noProof/>
          <w:lang w:val="cs-CZ"/>
        </w:rPr>
      </w:pPr>
    </w:p>
    <w:p w:rsidR="00F06174" w:rsidRPr="003B6E11" w:rsidRDefault="00F06174" w:rsidP="00725D4A">
      <w:pPr>
        <w:pStyle w:val="ESch"/>
        <w:rPr>
          <w:lang w:val="cs-CZ"/>
        </w:rPr>
      </w:pPr>
      <w:r w:rsidRPr="003B6E11">
        <w:rPr>
          <w:lang w:val="cs-CZ"/>
        </w:rPr>
        <w:t>2.</w:t>
      </w:r>
      <w:r w:rsidRPr="003B6E11">
        <w:rPr>
          <w:lang w:val="cs-CZ"/>
        </w:rPr>
        <w:tab/>
        <w:t>Navijáky na ruční pohon musí být vybaveny zařízením, které zamezí zpětnému úderu kliky. Navijáky na strojní i ruční pohon musí být zkonstruovány tak, aby ruční pohon nemohl být uveden do pohybu strojním pohonem.</w:t>
      </w:r>
    </w:p>
    <w:p w:rsidR="00F06174" w:rsidRPr="003B6E11" w:rsidRDefault="00F06174" w:rsidP="00F06174">
      <w:pPr>
        <w:rPr>
          <w:rFonts w:cs="Arial"/>
          <w:szCs w:val="20"/>
          <w:lang w:val="cs-CZ"/>
        </w:rPr>
      </w:pPr>
    </w:p>
    <w:p w:rsidR="00725D4A" w:rsidRPr="003B6E11" w:rsidRDefault="00725D4A" w:rsidP="00F06174">
      <w:pPr>
        <w:rPr>
          <w:rFonts w:cs="Arial"/>
          <w:szCs w:val="20"/>
          <w:lang w:val="cs-CZ"/>
        </w:rPr>
      </w:pPr>
    </w:p>
    <w:p w:rsidR="00F06174" w:rsidRPr="003B6E11" w:rsidRDefault="00F06174" w:rsidP="00756D4B">
      <w:pPr>
        <w:pStyle w:val="ES-Titre3"/>
        <w:rPr>
          <w:lang w:val="cs-CZ"/>
        </w:rPr>
      </w:pPr>
      <w:bookmarkStart w:id="250" w:name="_Toc491854122"/>
      <w:bookmarkStart w:id="251" w:name="_Toc535417028"/>
      <w:r w:rsidRPr="003B6E11">
        <w:rPr>
          <w:lang w:val="cs-CZ"/>
        </w:rPr>
        <w:t>Článek 14.12</w:t>
      </w:r>
      <w:r w:rsidRPr="003B6E11">
        <w:rPr>
          <w:lang w:val="cs-CZ"/>
        </w:rPr>
        <w:br/>
      </w:r>
      <w:r w:rsidRPr="003B6E11">
        <w:rPr>
          <w:i/>
          <w:noProof/>
          <w:lang w:val="cs-CZ"/>
        </w:rPr>
        <w:t>Jeřáby</w:t>
      </w:r>
      <w:bookmarkEnd w:id="250"/>
      <w:bookmarkEnd w:id="251"/>
    </w:p>
    <w:p w:rsidR="00756D4B" w:rsidRPr="003B6E11" w:rsidRDefault="00756D4B" w:rsidP="00F06174">
      <w:pPr>
        <w:rPr>
          <w:rFonts w:cs="Arial"/>
          <w:noProof/>
          <w:szCs w:val="20"/>
          <w:lang w:val="cs-CZ"/>
        </w:rPr>
      </w:pPr>
    </w:p>
    <w:p w:rsidR="00F06174" w:rsidRPr="003B6E11" w:rsidRDefault="00F06174" w:rsidP="00725D4A">
      <w:pPr>
        <w:pStyle w:val="ESch"/>
        <w:rPr>
          <w:lang w:val="cs-CZ"/>
        </w:rPr>
      </w:pPr>
      <w:r w:rsidRPr="003B6E11">
        <w:rPr>
          <w:lang w:val="cs-CZ"/>
        </w:rPr>
        <w:t>1.</w:t>
      </w:r>
      <w:r w:rsidRPr="003B6E11">
        <w:rPr>
          <w:lang w:val="cs-CZ"/>
        </w:rPr>
        <w:tab/>
        <w:t>Jeřáby musí být postaveny v souladu s osvědčenými postupy. Síly, které vznikají při jejich provozu, musí být bezpečně přenášeny na konstrukci lodi; nesmí ohrozit její stabilitu.</w:t>
      </w:r>
    </w:p>
    <w:p w:rsidR="00756D4B" w:rsidRPr="003B6E11" w:rsidRDefault="00756D4B" w:rsidP="00725D4A">
      <w:pPr>
        <w:pStyle w:val="ESch"/>
        <w:rPr>
          <w:noProof/>
          <w:lang w:val="cs-CZ"/>
        </w:rPr>
      </w:pPr>
    </w:p>
    <w:p w:rsidR="00F06174" w:rsidRPr="003B6E11" w:rsidRDefault="00F06174" w:rsidP="00725D4A">
      <w:pPr>
        <w:pStyle w:val="ESch"/>
        <w:rPr>
          <w:lang w:val="cs-CZ"/>
        </w:rPr>
      </w:pPr>
      <w:r w:rsidRPr="003B6E11">
        <w:rPr>
          <w:lang w:val="cs-CZ"/>
        </w:rPr>
        <w:t>2.</w:t>
      </w:r>
      <w:r w:rsidRPr="003B6E11">
        <w:rPr>
          <w:lang w:val="cs-CZ"/>
        </w:rPr>
        <w:tab/>
        <w:t>Na jeřábech musí být upevněn štítek výrobce s těmito údaji:</w:t>
      </w:r>
    </w:p>
    <w:p w:rsidR="00F06174" w:rsidRPr="003B6E11" w:rsidRDefault="005C7859" w:rsidP="00725D4A">
      <w:pPr>
        <w:pStyle w:val="ESlet"/>
        <w:rPr>
          <w:lang w:val="cs-CZ"/>
        </w:rPr>
      </w:pPr>
      <w:r w:rsidRPr="003B6E11">
        <w:rPr>
          <w:lang w:val="cs-CZ"/>
        </w:rPr>
        <w:t>a)</w:t>
      </w:r>
      <w:r w:rsidRPr="003B6E11">
        <w:rPr>
          <w:lang w:val="cs-CZ"/>
        </w:rPr>
        <w:tab/>
        <w:t>jméno a adresa výrobce;</w:t>
      </w:r>
    </w:p>
    <w:p w:rsidR="00F06174" w:rsidRPr="003B6E11" w:rsidRDefault="005C7859" w:rsidP="00725D4A">
      <w:pPr>
        <w:pStyle w:val="ESlet"/>
        <w:rPr>
          <w:lang w:val="cs-CZ"/>
        </w:rPr>
      </w:pPr>
      <w:r w:rsidRPr="003B6E11">
        <w:rPr>
          <w:lang w:val="cs-CZ"/>
        </w:rPr>
        <w:t>b)</w:t>
      </w:r>
      <w:r w:rsidRPr="003B6E11">
        <w:rPr>
          <w:lang w:val="cs-CZ"/>
        </w:rPr>
        <w:tab/>
        <w:t>označení CE s uvedením roku výroby;</w:t>
      </w:r>
    </w:p>
    <w:p w:rsidR="00F06174" w:rsidRPr="003B6E11" w:rsidRDefault="005C7859" w:rsidP="00725D4A">
      <w:pPr>
        <w:pStyle w:val="ESlet"/>
        <w:rPr>
          <w:lang w:val="cs-CZ"/>
        </w:rPr>
      </w:pPr>
      <w:r w:rsidRPr="003B6E11">
        <w:rPr>
          <w:lang w:val="cs-CZ"/>
        </w:rPr>
        <w:t>c)</w:t>
      </w:r>
      <w:r w:rsidRPr="003B6E11">
        <w:rPr>
          <w:lang w:val="cs-CZ"/>
        </w:rPr>
        <w:tab/>
        <w:t>označení řady nebo typu;</w:t>
      </w:r>
    </w:p>
    <w:p w:rsidR="00F06174" w:rsidRPr="003B6E11" w:rsidRDefault="005C7859" w:rsidP="00725D4A">
      <w:pPr>
        <w:pStyle w:val="ESlet"/>
        <w:rPr>
          <w:lang w:val="cs-CZ"/>
        </w:rPr>
      </w:pPr>
      <w:r w:rsidRPr="003B6E11">
        <w:rPr>
          <w:lang w:val="cs-CZ"/>
        </w:rPr>
        <w:t>d)</w:t>
      </w:r>
      <w:r w:rsidRPr="003B6E11">
        <w:rPr>
          <w:lang w:val="cs-CZ"/>
        </w:rPr>
        <w:tab/>
        <w:t>případně výrobní číslo.</w:t>
      </w:r>
    </w:p>
    <w:p w:rsidR="00756D4B" w:rsidRPr="003B6E11" w:rsidRDefault="00756D4B" w:rsidP="00F06174">
      <w:pPr>
        <w:rPr>
          <w:rFonts w:cs="Arial"/>
          <w:noProof/>
          <w:szCs w:val="20"/>
          <w:lang w:val="cs-CZ"/>
        </w:rPr>
      </w:pPr>
    </w:p>
    <w:p w:rsidR="00F06174" w:rsidRPr="003B6E11" w:rsidRDefault="00F06174" w:rsidP="00725D4A">
      <w:pPr>
        <w:pStyle w:val="ESch"/>
        <w:rPr>
          <w:lang w:val="cs-CZ"/>
        </w:rPr>
      </w:pPr>
      <w:r w:rsidRPr="003B6E11">
        <w:rPr>
          <w:lang w:val="cs-CZ"/>
        </w:rPr>
        <w:t>3.</w:t>
      </w:r>
      <w:r w:rsidRPr="003B6E11">
        <w:rPr>
          <w:lang w:val="cs-CZ"/>
        </w:rPr>
        <w:tab/>
        <w:t>Na jeřábech musí být snadno čitelným způsobem trvanlivě vyznačena nejvyšší přípustná zatížení.</w:t>
      </w:r>
    </w:p>
    <w:p w:rsidR="00756D4B" w:rsidRPr="003B6E11" w:rsidRDefault="00756D4B" w:rsidP="00725D4A">
      <w:pPr>
        <w:pStyle w:val="ESch"/>
        <w:rPr>
          <w:noProof/>
          <w:lang w:val="cs-CZ"/>
        </w:rPr>
      </w:pPr>
    </w:p>
    <w:p w:rsidR="00F06174" w:rsidRPr="003B6E11" w:rsidRDefault="00F06174" w:rsidP="00725D4A">
      <w:pPr>
        <w:pStyle w:val="ESchpar"/>
        <w:rPr>
          <w:lang w:val="cs-CZ"/>
        </w:rPr>
      </w:pPr>
      <w:r w:rsidRPr="003B6E11">
        <w:rPr>
          <w:lang w:val="cs-CZ"/>
        </w:rPr>
        <w:t>U jeřábů, jejichž jmenovitá nosnost nepřesahuje 2 000 kg, postačuje, je-li na jeřábu snadno čitelným způsobem trvanlivě vyznačena jmenovitá nosnost při maximálním vyložení.</w:t>
      </w:r>
    </w:p>
    <w:p w:rsidR="00756D4B" w:rsidRPr="003B6E11" w:rsidRDefault="00756D4B" w:rsidP="00725D4A">
      <w:pPr>
        <w:pStyle w:val="ESch"/>
        <w:rPr>
          <w:noProof/>
          <w:lang w:val="cs-CZ"/>
        </w:rPr>
      </w:pPr>
    </w:p>
    <w:p w:rsidR="00F06174" w:rsidRPr="003B6E11" w:rsidRDefault="00F06174" w:rsidP="00725D4A">
      <w:pPr>
        <w:pStyle w:val="ESch"/>
        <w:rPr>
          <w:lang w:val="cs-CZ"/>
        </w:rPr>
      </w:pPr>
      <w:r w:rsidRPr="003B6E11">
        <w:rPr>
          <w:lang w:val="cs-CZ"/>
        </w:rPr>
        <w:t>4.</w:t>
      </w:r>
      <w:r w:rsidRPr="003B6E11">
        <w:rPr>
          <w:lang w:val="cs-CZ"/>
        </w:rPr>
        <w:tab/>
        <w:t>Na plavidle musí být povinně k dispozici ochranná zařízení proti nebezpečí přimáčknutí nebo usmyknutí. Bezpečnostní vzdálenost vnějších částí jeřábu od pevně zabudovaných nástaveb na pracovištích a průchodech musí činit minimálně 0,50 m.</w:t>
      </w:r>
    </w:p>
    <w:p w:rsidR="00756D4B" w:rsidRPr="003B6E11" w:rsidRDefault="00756D4B" w:rsidP="00725D4A">
      <w:pPr>
        <w:pStyle w:val="ESch"/>
        <w:rPr>
          <w:noProof/>
          <w:lang w:val="cs-CZ"/>
        </w:rPr>
      </w:pPr>
    </w:p>
    <w:p w:rsidR="00F06174" w:rsidRPr="003B6E11" w:rsidRDefault="00F06174" w:rsidP="00725D4A">
      <w:pPr>
        <w:pStyle w:val="ESch"/>
        <w:rPr>
          <w:lang w:val="cs-CZ"/>
        </w:rPr>
      </w:pPr>
      <w:r w:rsidRPr="003B6E11">
        <w:rPr>
          <w:lang w:val="cs-CZ"/>
        </w:rPr>
        <w:t>5.</w:t>
      </w:r>
      <w:r w:rsidRPr="003B6E11">
        <w:rPr>
          <w:lang w:val="cs-CZ"/>
        </w:rPr>
        <w:tab/>
        <w:t>Jeřáby se strojním pohonem musí být zabezpečeny proti neoprávněnému použití. Musí být možné je zapnout pouze z ovládacího stanoviště jeřábu. Ovládání musí být se samočinným vracením (tlačítka bez samodržného zapojení); musí být jednoznačně rozpoznatelný směr ovládání.</w:t>
      </w:r>
    </w:p>
    <w:p w:rsidR="00756D4B" w:rsidRPr="003B6E11" w:rsidRDefault="00756D4B" w:rsidP="00725D4A">
      <w:pPr>
        <w:pStyle w:val="ESch"/>
        <w:rPr>
          <w:noProof/>
          <w:lang w:val="cs-CZ"/>
        </w:rPr>
      </w:pPr>
    </w:p>
    <w:p w:rsidR="00F06174" w:rsidRPr="003B6E11" w:rsidRDefault="00F06174" w:rsidP="00725D4A">
      <w:pPr>
        <w:pStyle w:val="ESchpar"/>
        <w:rPr>
          <w:lang w:val="cs-CZ"/>
        </w:rPr>
      </w:pPr>
      <w:r w:rsidRPr="003B6E11">
        <w:rPr>
          <w:lang w:val="cs-CZ"/>
        </w:rPr>
        <w:t>Při výpadku pohonu nesmí náklad nekontrolovaně upadnout. Je nutno zamezit neúmyslným pohybům jeřábu.</w:t>
      </w:r>
    </w:p>
    <w:p w:rsidR="00756D4B" w:rsidRPr="003B6E11" w:rsidRDefault="00756D4B" w:rsidP="00725D4A">
      <w:pPr>
        <w:pStyle w:val="ESchpar"/>
        <w:rPr>
          <w:noProof/>
          <w:lang w:val="cs-CZ"/>
        </w:rPr>
      </w:pPr>
    </w:p>
    <w:p w:rsidR="00F06174" w:rsidRPr="003B6E11" w:rsidRDefault="00F06174" w:rsidP="00725D4A">
      <w:pPr>
        <w:pStyle w:val="ESchpar"/>
        <w:rPr>
          <w:lang w:val="cs-CZ"/>
        </w:rPr>
      </w:pPr>
      <w:r w:rsidRPr="003B6E11">
        <w:rPr>
          <w:lang w:val="cs-CZ"/>
        </w:rPr>
        <w:t>Pohyb zdvihacího ústrojí vzhůru a překročení jmenovité nosnosti musí být omezeno vhodným zařízením. Pohyb zdvihacího ústrojí směrem dolů musí být omezen, pokud při předpokládaných provozních podmínkách jsou na bubnu v okamžiku, kdy je nasazován hák, méně než dvě ovinutí lana. Po spuštění samočinných omezovacích zařízení musí být stále ještě možný odpovídající protisměrný pohyb.</w:t>
      </w:r>
    </w:p>
    <w:p w:rsidR="00756D4B" w:rsidRPr="003B6E11" w:rsidRDefault="00756D4B" w:rsidP="00725D4A">
      <w:pPr>
        <w:pStyle w:val="ESchpar"/>
        <w:rPr>
          <w:noProof/>
          <w:lang w:val="cs-CZ"/>
        </w:rPr>
      </w:pPr>
    </w:p>
    <w:p w:rsidR="00725D4A" w:rsidRPr="003B6E11" w:rsidRDefault="00725D4A" w:rsidP="00725D4A">
      <w:pPr>
        <w:pStyle w:val="ESchpar"/>
        <w:rPr>
          <w:noProof/>
          <w:lang w:val="cs-CZ"/>
        </w:rPr>
      </w:pPr>
      <w:r w:rsidRPr="003B6E11">
        <w:rPr>
          <w:lang w:val="cs-CZ"/>
        </w:rPr>
        <w:br w:type="page"/>
      </w:r>
    </w:p>
    <w:p w:rsidR="00F06174" w:rsidRPr="003B6E11" w:rsidRDefault="00F06174" w:rsidP="00725D4A">
      <w:pPr>
        <w:pStyle w:val="ESchpar"/>
        <w:rPr>
          <w:lang w:val="cs-CZ"/>
        </w:rPr>
      </w:pPr>
      <w:r w:rsidRPr="003B6E11">
        <w:rPr>
          <w:lang w:val="cs-CZ"/>
        </w:rPr>
        <w:t>Mezní zatížení lan pro pohybující se břemeno musí odpovídat pětinásobku přípustného zatížení lana. Konstrukce lana musí být bez závad a musí být vhodná pro použití na jeřábech.</w:t>
      </w:r>
    </w:p>
    <w:p w:rsidR="00756D4B" w:rsidRPr="003B6E11" w:rsidRDefault="00756D4B" w:rsidP="00725D4A">
      <w:pPr>
        <w:pStyle w:val="ESch"/>
        <w:rPr>
          <w:noProof/>
          <w:lang w:val="cs-CZ"/>
        </w:rPr>
      </w:pPr>
    </w:p>
    <w:p w:rsidR="00F06174" w:rsidRPr="003B6E11" w:rsidRDefault="00F06174" w:rsidP="00725D4A">
      <w:pPr>
        <w:pStyle w:val="ESch"/>
        <w:rPr>
          <w:lang w:val="cs-CZ"/>
        </w:rPr>
      </w:pPr>
      <w:r w:rsidRPr="003B6E11">
        <w:rPr>
          <w:lang w:val="cs-CZ"/>
        </w:rPr>
        <w:t>6.</w:t>
      </w:r>
      <w:r w:rsidRPr="003B6E11">
        <w:rPr>
          <w:lang w:val="cs-CZ"/>
        </w:rPr>
        <w:tab/>
        <w:t>Prohlídku jeřábů musí provést odborník:</w:t>
      </w:r>
    </w:p>
    <w:p w:rsidR="00F06174" w:rsidRPr="003B6E11" w:rsidRDefault="005C7859" w:rsidP="00064BFC">
      <w:pPr>
        <w:pStyle w:val="ESlet"/>
        <w:rPr>
          <w:lang w:val="cs-CZ"/>
        </w:rPr>
      </w:pPr>
      <w:r w:rsidRPr="003B6E11">
        <w:rPr>
          <w:lang w:val="cs-CZ"/>
        </w:rPr>
        <w:t>a)</w:t>
      </w:r>
      <w:r w:rsidRPr="003B6E11">
        <w:rPr>
          <w:lang w:val="cs-CZ"/>
        </w:rPr>
        <w:tab/>
        <w:t>před prvním uvedením do provozu;</w:t>
      </w:r>
    </w:p>
    <w:p w:rsidR="00F06174" w:rsidRPr="003B6E11" w:rsidRDefault="005C7859" w:rsidP="00064BFC">
      <w:pPr>
        <w:pStyle w:val="ESlet"/>
        <w:rPr>
          <w:lang w:val="cs-CZ"/>
        </w:rPr>
      </w:pPr>
      <w:r w:rsidRPr="003B6E11">
        <w:rPr>
          <w:lang w:val="cs-CZ"/>
        </w:rPr>
        <w:t>b)</w:t>
      </w:r>
      <w:r w:rsidRPr="003B6E11">
        <w:rPr>
          <w:lang w:val="cs-CZ"/>
        </w:rPr>
        <w:tab/>
        <w:t>před opětovným uvedením do provozu po jakékoli závažnější úpravě nebo opravě a</w:t>
      </w:r>
    </w:p>
    <w:p w:rsidR="00F06174" w:rsidRPr="003B6E11" w:rsidRDefault="005C7859" w:rsidP="00064BFC">
      <w:pPr>
        <w:pStyle w:val="ESlet"/>
        <w:rPr>
          <w:lang w:val="cs-CZ"/>
        </w:rPr>
      </w:pPr>
      <w:r w:rsidRPr="003B6E11">
        <w:rPr>
          <w:lang w:val="cs-CZ"/>
        </w:rPr>
        <w:t>c)</w:t>
      </w:r>
      <w:r w:rsidRPr="003B6E11">
        <w:rPr>
          <w:lang w:val="cs-CZ"/>
        </w:rPr>
        <w:tab/>
        <w:t>pravidelně nejméně jednou za deset let.</w:t>
      </w:r>
    </w:p>
    <w:p w:rsidR="00756D4B" w:rsidRPr="003B6E11" w:rsidRDefault="00756D4B" w:rsidP="00F06174">
      <w:pPr>
        <w:rPr>
          <w:rFonts w:cs="Arial"/>
          <w:noProof/>
          <w:szCs w:val="20"/>
          <w:lang w:val="cs-CZ"/>
        </w:rPr>
      </w:pPr>
    </w:p>
    <w:p w:rsidR="00F06174" w:rsidRPr="003B6E11" w:rsidRDefault="00F06174" w:rsidP="00064BFC">
      <w:pPr>
        <w:pStyle w:val="ESchpar"/>
        <w:rPr>
          <w:lang w:val="cs-CZ"/>
        </w:rPr>
      </w:pPr>
      <w:r w:rsidRPr="003B6E11">
        <w:rPr>
          <w:lang w:val="cs-CZ"/>
        </w:rPr>
        <w:t>Při této prohlídce je nutno prokázat přiměřenou pevnost a stabilitu pomocí výpočtů a zatěžovací zkoušky na plavidle.</w:t>
      </w:r>
    </w:p>
    <w:p w:rsidR="00756D4B" w:rsidRPr="003B6E11" w:rsidRDefault="00756D4B" w:rsidP="00064BFC">
      <w:pPr>
        <w:pStyle w:val="ESchpar"/>
        <w:rPr>
          <w:noProof/>
          <w:lang w:val="cs-CZ"/>
        </w:rPr>
      </w:pPr>
    </w:p>
    <w:p w:rsidR="00F06174" w:rsidRPr="003B6E11" w:rsidRDefault="00F06174" w:rsidP="00064BFC">
      <w:pPr>
        <w:pStyle w:val="ESchpar"/>
        <w:rPr>
          <w:lang w:val="cs-CZ"/>
        </w:rPr>
      </w:pPr>
      <w:r w:rsidRPr="003B6E11">
        <w:rPr>
          <w:lang w:val="cs-CZ"/>
        </w:rPr>
        <w:t>Nepřekračuje-li jmenovitá nosnost jeřábu 2 000 kg, může odborník rozhodnout, že důkaz pomocí výpočtu může být částečně nebo zcela nahrazen zkouškou se zatížením ve výši 1,25násobku jmenovité nosnosti provedenou v celém pracovním rozsahu.</w:t>
      </w:r>
    </w:p>
    <w:p w:rsidR="00756D4B" w:rsidRPr="003B6E11" w:rsidRDefault="00756D4B" w:rsidP="00064BFC">
      <w:pPr>
        <w:pStyle w:val="ESchpar"/>
        <w:rPr>
          <w:noProof/>
          <w:lang w:val="cs-CZ"/>
        </w:rPr>
      </w:pPr>
    </w:p>
    <w:p w:rsidR="00F06174" w:rsidRPr="003B6E11" w:rsidRDefault="00F06174" w:rsidP="00064BFC">
      <w:pPr>
        <w:pStyle w:val="ESchpar"/>
        <w:rPr>
          <w:lang w:val="cs-CZ"/>
        </w:rPr>
      </w:pPr>
      <w:r w:rsidRPr="003B6E11">
        <w:rPr>
          <w:lang w:val="cs-CZ"/>
        </w:rPr>
        <w:t>Musí být vystaveno potvrzení o prohlídce podepsané odborníkem, na němž je uvedeno datum prohlídky.</w:t>
      </w:r>
    </w:p>
    <w:p w:rsidR="00064BFC" w:rsidRPr="003B6E11" w:rsidRDefault="00064BFC" w:rsidP="00F06174">
      <w:pPr>
        <w:rPr>
          <w:rFonts w:cs="Arial"/>
          <w:noProof/>
          <w:szCs w:val="20"/>
          <w:lang w:val="cs-CZ"/>
        </w:rPr>
      </w:pPr>
    </w:p>
    <w:p w:rsidR="00F06174" w:rsidRPr="003B6E11" w:rsidRDefault="00F06174" w:rsidP="00064BFC">
      <w:pPr>
        <w:pStyle w:val="ESch"/>
        <w:rPr>
          <w:lang w:val="cs-CZ"/>
        </w:rPr>
      </w:pPr>
      <w:r w:rsidRPr="003B6E11">
        <w:rPr>
          <w:lang w:val="cs-CZ"/>
        </w:rPr>
        <w:t>7.</w:t>
      </w:r>
      <w:r w:rsidRPr="003B6E11">
        <w:rPr>
          <w:lang w:val="cs-CZ"/>
        </w:rPr>
        <w:tab/>
        <w:t>Jeřáby musí pravidelně a v každém případě nejméně jednou za rok zkontrolovat odborně způsobilá osoba. Během této prohlídky se bezpečný provozní stav jeřábu určí vizuální kontrolou a kontrolou funkčnosti.</w:t>
      </w:r>
    </w:p>
    <w:p w:rsidR="00756D4B" w:rsidRPr="003B6E11" w:rsidRDefault="00756D4B" w:rsidP="00064BFC">
      <w:pPr>
        <w:pStyle w:val="ESch"/>
        <w:rPr>
          <w:noProof/>
          <w:lang w:val="cs-CZ"/>
        </w:rPr>
      </w:pPr>
    </w:p>
    <w:p w:rsidR="00F06174" w:rsidRPr="003B6E11" w:rsidRDefault="00F06174" w:rsidP="00064BFC">
      <w:pPr>
        <w:pStyle w:val="ESchpar"/>
        <w:rPr>
          <w:lang w:val="cs-CZ"/>
        </w:rPr>
      </w:pPr>
      <w:r w:rsidRPr="003B6E11">
        <w:rPr>
          <w:lang w:val="cs-CZ"/>
        </w:rPr>
        <w:t>Musí být vystaveno potvrzení o prohlídce podepsané odborně způsobilou osobou, na němž je uvedeno datum prohlídky.</w:t>
      </w:r>
    </w:p>
    <w:p w:rsidR="00F06174" w:rsidRPr="003B6E11" w:rsidRDefault="00F06174" w:rsidP="00064BFC">
      <w:pPr>
        <w:pStyle w:val="ESch"/>
        <w:rPr>
          <w:lang w:val="cs-CZ"/>
        </w:rPr>
      </w:pPr>
    </w:p>
    <w:p w:rsidR="00F06174" w:rsidRPr="003B6E11" w:rsidRDefault="00F06174" w:rsidP="00064BFC">
      <w:pPr>
        <w:pStyle w:val="ESch"/>
        <w:rPr>
          <w:lang w:val="cs-CZ"/>
        </w:rPr>
      </w:pPr>
      <w:r w:rsidRPr="003B6E11">
        <w:rPr>
          <w:lang w:val="cs-CZ"/>
        </w:rPr>
        <w:t>8.</w:t>
      </w:r>
      <w:r w:rsidRPr="003B6E11">
        <w:rPr>
          <w:lang w:val="cs-CZ"/>
        </w:rPr>
        <w:tab/>
        <w:t>Jeřáby se jmenovitou nosností vyšší než 2 000 kg nebo jeřáby, které se používají k překládce nebo které jsou namontovány na palubě zvedáků, pontonů nebo jiných plovoucích strojů či pracovních plavidel, musí navíc splňovat požadavky jednoho z členských států.</w:t>
      </w:r>
    </w:p>
    <w:p w:rsidR="00756D4B" w:rsidRPr="003B6E11" w:rsidRDefault="00756D4B" w:rsidP="00064BFC">
      <w:pPr>
        <w:pStyle w:val="ESch"/>
        <w:rPr>
          <w:noProof/>
          <w:lang w:val="cs-CZ"/>
        </w:rPr>
      </w:pPr>
    </w:p>
    <w:p w:rsidR="00F06174" w:rsidRPr="003B6E11" w:rsidRDefault="00F06174" w:rsidP="00064BFC">
      <w:pPr>
        <w:pStyle w:val="ESch"/>
        <w:rPr>
          <w:lang w:val="cs-CZ"/>
        </w:rPr>
      </w:pPr>
      <w:r w:rsidRPr="003B6E11">
        <w:rPr>
          <w:lang w:val="cs-CZ"/>
        </w:rPr>
        <w:t>9.</w:t>
      </w:r>
      <w:r w:rsidRPr="003B6E11">
        <w:rPr>
          <w:lang w:val="cs-CZ"/>
        </w:rPr>
        <w:tab/>
        <w:t>Návod k obsluze dodaný výrobcem jeřábu musí být uschován na palubě. Tento návod musí obsahovat alespoň tyto informace:</w:t>
      </w:r>
    </w:p>
    <w:p w:rsidR="00F06174" w:rsidRPr="003B6E11" w:rsidRDefault="005C7859" w:rsidP="00064BFC">
      <w:pPr>
        <w:pStyle w:val="ESlet"/>
        <w:rPr>
          <w:lang w:val="cs-CZ"/>
        </w:rPr>
      </w:pPr>
      <w:r w:rsidRPr="003B6E11">
        <w:rPr>
          <w:lang w:val="cs-CZ"/>
        </w:rPr>
        <w:t>a)</w:t>
      </w:r>
      <w:r w:rsidRPr="003B6E11">
        <w:rPr>
          <w:lang w:val="cs-CZ"/>
        </w:rPr>
        <w:tab/>
        <w:t>pracovní rozsah a funkce ovládačů;</w:t>
      </w:r>
    </w:p>
    <w:p w:rsidR="00F06174" w:rsidRPr="003B6E11" w:rsidRDefault="005C7859" w:rsidP="00064BFC">
      <w:pPr>
        <w:pStyle w:val="ESlet"/>
        <w:rPr>
          <w:lang w:val="cs-CZ"/>
        </w:rPr>
      </w:pPr>
      <w:r w:rsidRPr="003B6E11">
        <w:rPr>
          <w:lang w:val="cs-CZ"/>
        </w:rPr>
        <w:t>b)</w:t>
      </w:r>
      <w:r w:rsidRPr="003B6E11">
        <w:rPr>
          <w:lang w:val="cs-CZ"/>
        </w:rPr>
        <w:tab/>
        <w:t>nejvyšší přípustnou jmenovitou nosnost podle vyložení jeřábu;</w:t>
      </w:r>
    </w:p>
    <w:p w:rsidR="00F06174" w:rsidRPr="003B6E11" w:rsidRDefault="005C7859" w:rsidP="00064BFC">
      <w:pPr>
        <w:pStyle w:val="ESlet"/>
        <w:rPr>
          <w:lang w:val="cs-CZ"/>
        </w:rPr>
      </w:pPr>
      <w:r w:rsidRPr="003B6E11">
        <w:rPr>
          <w:lang w:val="cs-CZ"/>
        </w:rPr>
        <w:t>c)</w:t>
      </w:r>
      <w:r w:rsidRPr="003B6E11">
        <w:rPr>
          <w:lang w:val="cs-CZ"/>
        </w:rPr>
        <w:tab/>
        <w:t>nejvyšší přípustné naklonění jeřábu;</w:t>
      </w:r>
    </w:p>
    <w:p w:rsidR="00F06174" w:rsidRPr="003B6E11" w:rsidRDefault="005C7859" w:rsidP="00064BFC">
      <w:pPr>
        <w:pStyle w:val="ESlet"/>
        <w:rPr>
          <w:lang w:val="cs-CZ"/>
        </w:rPr>
      </w:pPr>
      <w:r w:rsidRPr="003B6E11">
        <w:rPr>
          <w:lang w:val="cs-CZ"/>
        </w:rPr>
        <w:t>d)</w:t>
      </w:r>
      <w:r w:rsidRPr="003B6E11">
        <w:rPr>
          <w:lang w:val="cs-CZ"/>
        </w:rPr>
        <w:tab/>
        <w:t>návod k montáži a údržbě;</w:t>
      </w:r>
    </w:p>
    <w:p w:rsidR="00F06174" w:rsidRPr="003B6E11" w:rsidRDefault="0029453D" w:rsidP="00064BFC">
      <w:pPr>
        <w:pStyle w:val="ESlet"/>
        <w:rPr>
          <w:lang w:val="cs-CZ"/>
        </w:rPr>
      </w:pPr>
      <w:r w:rsidRPr="003B6E11">
        <w:rPr>
          <w:lang w:val="cs-CZ"/>
        </w:rPr>
        <w:t>e)</w:t>
      </w:r>
      <w:r w:rsidRPr="003B6E11">
        <w:rPr>
          <w:lang w:val="cs-CZ"/>
        </w:rPr>
        <w:tab/>
        <w:t>obecné technické údaje.</w:t>
      </w:r>
    </w:p>
    <w:p w:rsidR="00F06174" w:rsidRPr="003B6E11" w:rsidRDefault="00F06174" w:rsidP="00B239F2">
      <w:pPr>
        <w:pStyle w:val="ESlet"/>
        <w:ind w:left="0"/>
        <w:rPr>
          <w:rFonts w:cs="Arial"/>
          <w:noProof/>
          <w:szCs w:val="20"/>
          <w:lang w:val="cs-CZ"/>
        </w:rPr>
      </w:pPr>
    </w:p>
    <w:p w:rsidR="00756D4B" w:rsidRPr="003B6E11" w:rsidRDefault="00756D4B" w:rsidP="00B239F2">
      <w:pPr>
        <w:rPr>
          <w:rFonts w:cs="Arial"/>
          <w:noProof/>
          <w:szCs w:val="20"/>
          <w:lang w:val="cs-CZ"/>
        </w:rPr>
      </w:pPr>
    </w:p>
    <w:p w:rsidR="00F06174" w:rsidRPr="003B6E11" w:rsidRDefault="00F06174" w:rsidP="00756D4B">
      <w:pPr>
        <w:pStyle w:val="ES-Titre3"/>
        <w:rPr>
          <w:lang w:val="cs-CZ"/>
        </w:rPr>
      </w:pPr>
      <w:bookmarkStart w:id="252" w:name="_Toc491854123"/>
      <w:bookmarkStart w:id="253" w:name="_Toc535417029"/>
      <w:r w:rsidRPr="003B6E11">
        <w:rPr>
          <w:lang w:val="cs-CZ"/>
        </w:rPr>
        <w:t>Článek 14.13</w:t>
      </w:r>
      <w:r w:rsidRPr="003B6E11">
        <w:rPr>
          <w:lang w:val="cs-CZ"/>
        </w:rPr>
        <w:br/>
      </w:r>
      <w:r w:rsidRPr="003B6E11">
        <w:rPr>
          <w:i/>
          <w:lang w:val="cs-CZ"/>
        </w:rPr>
        <w:t>Skladování hořlavých kapalin</w:t>
      </w:r>
      <w:bookmarkEnd w:id="252"/>
      <w:bookmarkEnd w:id="253"/>
    </w:p>
    <w:p w:rsidR="00756D4B" w:rsidRPr="003B6E11" w:rsidRDefault="00756D4B" w:rsidP="00756D4B">
      <w:pPr>
        <w:rPr>
          <w:rFonts w:cs="Arial"/>
          <w:noProof/>
          <w:szCs w:val="20"/>
          <w:lang w:val="cs-CZ"/>
        </w:rPr>
      </w:pPr>
    </w:p>
    <w:p w:rsidR="00F06174" w:rsidRPr="003B6E11" w:rsidRDefault="00F06174" w:rsidP="00064BFC">
      <w:pPr>
        <w:pStyle w:val="ESgauche"/>
        <w:rPr>
          <w:lang w:val="cs-CZ"/>
        </w:rPr>
      </w:pPr>
      <w:r w:rsidRPr="003B6E11">
        <w:rPr>
          <w:lang w:val="cs-CZ"/>
        </w:rPr>
        <w:t>Ke skladování hořlavých kapalin s bodem vzplanutí nižším než 55 °C musí být na palubě k dispozici větraná skříň z nehořlavého materiálu. Na vnější straně této skříně se musí nacházet symbol „Zákaz otevřeného ohně a kouření“ o průměru nejméně 10 cm v souladu s obrázkem 2 v příloze 4.</w:t>
      </w:r>
    </w:p>
    <w:p w:rsidR="00F6371D" w:rsidRPr="003B6E11" w:rsidRDefault="00F6371D" w:rsidP="00A9660C">
      <w:pPr>
        <w:rPr>
          <w:lang w:val="cs-CZ"/>
        </w:rPr>
      </w:pPr>
    </w:p>
    <w:p w:rsidR="006161E9" w:rsidRPr="003B6E11" w:rsidRDefault="006161E9" w:rsidP="006161E9">
      <w:pPr>
        <w:pStyle w:val="ES-Titre2"/>
        <w:rPr>
          <w:szCs w:val="24"/>
        </w:rPr>
      </w:pPr>
      <w:bookmarkStart w:id="254" w:name="_Toc491854124"/>
      <w:bookmarkStart w:id="255" w:name="_Toc535417030"/>
      <w:r w:rsidRPr="003B6E11">
        <w:t>Kapitola 15</w:t>
      </w:r>
      <w:r w:rsidRPr="003B6E11">
        <w:br/>
        <w:t>Obytné prostory</w:t>
      </w:r>
      <w:bookmarkEnd w:id="254"/>
      <w:bookmarkEnd w:id="255"/>
    </w:p>
    <w:p w:rsidR="006161E9" w:rsidRPr="003B6E11" w:rsidRDefault="006161E9" w:rsidP="006161E9">
      <w:pPr>
        <w:rPr>
          <w:lang w:val="cs-CZ"/>
        </w:rPr>
      </w:pPr>
    </w:p>
    <w:p w:rsidR="006161E9" w:rsidRPr="003B6E11" w:rsidRDefault="006161E9" w:rsidP="006161E9">
      <w:pPr>
        <w:pStyle w:val="ES-Titre3"/>
        <w:rPr>
          <w:lang w:val="cs-CZ"/>
        </w:rPr>
      </w:pPr>
      <w:bookmarkStart w:id="256" w:name="_Toc491854125"/>
      <w:bookmarkStart w:id="257" w:name="_Toc535417031"/>
      <w:r w:rsidRPr="003B6E11">
        <w:rPr>
          <w:lang w:val="cs-CZ"/>
        </w:rPr>
        <w:t>Článek 15.01</w:t>
      </w:r>
      <w:r w:rsidRPr="003B6E11">
        <w:rPr>
          <w:lang w:val="cs-CZ"/>
        </w:rPr>
        <w:br/>
      </w:r>
      <w:r w:rsidRPr="003B6E11">
        <w:rPr>
          <w:i/>
          <w:noProof/>
          <w:lang w:val="cs-CZ"/>
        </w:rPr>
        <w:t>Obecně</w:t>
      </w:r>
      <w:bookmarkEnd w:id="256"/>
      <w:bookmarkEnd w:id="257"/>
    </w:p>
    <w:p w:rsidR="006161E9" w:rsidRPr="003B6E11" w:rsidRDefault="006161E9"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1.</w:t>
      </w:r>
      <w:r w:rsidRPr="003B6E11">
        <w:rPr>
          <w:lang w:val="cs-CZ"/>
        </w:rPr>
        <w:tab/>
        <w:t xml:space="preserve">Lodě musí mít obytné prostory pro osoby, které se obvykle nacházejí na palubě, přinejmenším však pro minimální posádku. </w:t>
      </w:r>
    </w:p>
    <w:p w:rsidR="00811428" w:rsidRPr="003B6E11" w:rsidRDefault="00811428" w:rsidP="00811428">
      <w:pPr>
        <w:pStyle w:val="ESch"/>
        <w:rPr>
          <w:szCs w:val="20"/>
          <w:lang w:val="cs-CZ"/>
        </w:rPr>
      </w:pPr>
    </w:p>
    <w:p w:rsidR="006161E9" w:rsidRPr="003B6E11" w:rsidRDefault="006161E9" w:rsidP="00811428">
      <w:pPr>
        <w:pStyle w:val="ESch"/>
        <w:rPr>
          <w:rFonts w:cs="Arial"/>
          <w:i/>
          <w:szCs w:val="20"/>
          <w:lang w:val="cs-CZ"/>
        </w:rPr>
      </w:pPr>
      <w:r w:rsidRPr="003B6E11">
        <w:rPr>
          <w:lang w:val="cs-CZ"/>
        </w:rPr>
        <w:t>2.</w:t>
      </w:r>
      <w:r w:rsidRPr="003B6E11">
        <w:rPr>
          <w:lang w:val="cs-CZ"/>
        </w:rPr>
        <w:tab/>
        <w:t>Obytné prostory musí být navrženy, uspořádány a vybaveny tak, aby uspokojily potřeby osob na plavidle z hlediska zdraví, bezpečnosti a pohodlí. Musí mít bezpečný a snadný přístup a být přiměřeně izolované proti teplu a chladu.</w:t>
      </w:r>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3.</w:t>
      </w:r>
      <w:r w:rsidRPr="003B6E11">
        <w:rPr>
          <w:lang w:val="cs-CZ"/>
        </w:rPr>
        <w:tab/>
        <w:t>Subjekt pověřený prohlídkami může povolit výjimky z této kapitoly, pokud jsou zdraví a bezpečnost osob na plavidle zabezpečeny jinými prostředky.</w:t>
      </w:r>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4.</w:t>
      </w:r>
      <w:r w:rsidRPr="003B6E11">
        <w:rPr>
          <w:lang w:val="cs-CZ"/>
        </w:rPr>
        <w:tab/>
        <w:t>Subjekt pověřený prohlídkami zapíše do osvědčení plavidla vnitrozemské plavby případná omezení denní provozní doby lodi a druhu provozu vyplývající z výjimek podle odstavce 3.</w:t>
      </w:r>
    </w:p>
    <w:p w:rsidR="006161E9" w:rsidRPr="003B6E11" w:rsidRDefault="006161E9" w:rsidP="00811428">
      <w:pPr>
        <w:pStyle w:val="ESch"/>
        <w:rPr>
          <w:rFonts w:cs="Arial"/>
          <w:szCs w:val="20"/>
          <w:lang w:val="cs-CZ"/>
        </w:rPr>
      </w:pPr>
    </w:p>
    <w:p w:rsidR="00A60E37" w:rsidRPr="003B6E11" w:rsidRDefault="00A60E37" w:rsidP="00811428">
      <w:pPr>
        <w:pStyle w:val="ESch"/>
        <w:rPr>
          <w:rFonts w:cs="Arial"/>
          <w:szCs w:val="20"/>
          <w:lang w:val="cs-CZ"/>
        </w:rPr>
      </w:pPr>
    </w:p>
    <w:p w:rsidR="006161E9" w:rsidRPr="003B6E11" w:rsidRDefault="006161E9" w:rsidP="00811428">
      <w:pPr>
        <w:pStyle w:val="ES-Titre3"/>
        <w:rPr>
          <w:i/>
          <w:lang w:val="cs-CZ"/>
        </w:rPr>
      </w:pPr>
      <w:bookmarkStart w:id="258" w:name="_Toc491854126"/>
      <w:bookmarkStart w:id="259" w:name="_Toc535417032"/>
      <w:r w:rsidRPr="003B6E11">
        <w:rPr>
          <w:lang w:val="cs-CZ"/>
        </w:rPr>
        <w:t>Článek 15.02</w:t>
      </w:r>
      <w:r w:rsidRPr="003B6E11">
        <w:rPr>
          <w:lang w:val="cs-CZ"/>
        </w:rPr>
        <w:br/>
      </w:r>
      <w:r w:rsidRPr="003B6E11">
        <w:rPr>
          <w:i/>
          <w:lang w:val="cs-CZ"/>
        </w:rPr>
        <w:t>Zvláštní požadavky na konstrukci obytných prostorů</w:t>
      </w:r>
      <w:bookmarkEnd w:id="258"/>
      <w:bookmarkEnd w:id="259"/>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1.</w:t>
      </w:r>
      <w:r w:rsidRPr="003B6E11">
        <w:rPr>
          <w:lang w:val="cs-CZ"/>
        </w:rPr>
        <w:tab/>
        <w:t>Obytné prostory musí být možné přiměřeně větrat i při zavřených dveřích; kromě toho musí mít společenské místnosti dostatečné denní světlo a pokud možno umožňovat výhled ven.</w:t>
      </w:r>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2.</w:t>
      </w:r>
      <w:r w:rsidRPr="003B6E11">
        <w:rPr>
          <w:lang w:val="cs-CZ"/>
        </w:rPr>
        <w:tab/>
        <w:t>Obytné prostory musí být přístupné pomocí schodů, není-li přístup k nim na úrovni paluby a výškový rozdíl činí 0,30 m nebo více.</w:t>
      </w:r>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3.</w:t>
      </w:r>
      <w:r w:rsidRPr="003B6E11">
        <w:rPr>
          <w:lang w:val="cs-CZ"/>
        </w:rPr>
        <w:tab/>
        <w:t>V přední části lodě nesmí být žádná podlaha níže než 1,20 m pod rovinou největšího přípustného ponoru.</w:t>
      </w:r>
    </w:p>
    <w:p w:rsidR="00811428" w:rsidRPr="003B6E11" w:rsidRDefault="00811428" w:rsidP="00811428">
      <w:pPr>
        <w:pStyle w:val="ESch"/>
        <w:rPr>
          <w:spacing w:val="-2"/>
          <w:szCs w:val="20"/>
          <w:lang w:val="cs-CZ"/>
        </w:rPr>
      </w:pPr>
    </w:p>
    <w:p w:rsidR="006161E9" w:rsidRPr="003B6E11" w:rsidRDefault="006161E9" w:rsidP="00811428">
      <w:pPr>
        <w:pStyle w:val="ESch"/>
        <w:rPr>
          <w:rFonts w:cs="Arial"/>
          <w:szCs w:val="20"/>
          <w:lang w:val="cs-CZ"/>
        </w:rPr>
      </w:pPr>
      <w:r w:rsidRPr="003B6E11">
        <w:rPr>
          <w:lang w:val="cs-CZ"/>
        </w:rPr>
        <w:t>4.</w:t>
      </w:r>
      <w:r w:rsidRPr="003B6E11">
        <w:rPr>
          <w:lang w:val="cs-CZ"/>
        </w:rPr>
        <w:tab/>
        <w:t>Společenské místnosti a spací kabiny musí mít nejméně dva východy, jež jsou od sebe pokud možno co nejvíce vzdáleny a slouží jako únikové cesty. Jeden východ může být zkonstruován jako nouzový východ. To se nevztahuje na místnosti, jejichž východ vede přímo na palubu nebo na chodbu, která slouží jako úniková cesta, pokud má chodba dva od sebe vzdálené východy, které vedou na levobok a pravobok. Nouzové východy, k nimž mohou patřit i světlíky a okna, musí mít světlost otvoru alespoň 0,36 m</w:t>
      </w:r>
      <w:r w:rsidRPr="003B6E11">
        <w:rPr>
          <w:spacing w:val="-2"/>
          <w:vertAlign w:val="superscript"/>
          <w:lang w:val="cs-CZ"/>
        </w:rPr>
        <w:t>2</w:t>
      </w:r>
      <w:r w:rsidRPr="003B6E11">
        <w:rPr>
          <w:lang w:val="cs-CZ"/>
        </w:rPr>
        <w:t xml:space="preserve"> a nejmenší rozměr musí být alespoň 0,50 m a v případě nouze musí umožňovat rychlou evakuaci. Izolace a obklady únikových cest musí být z materiálů zpomalujících hoření a použitelnost únikových cest musí být kdykoli zajištěna vhodnými prostředky, např. žebříky nebo samostatnými příčlemi.</w:t>
      </w:r>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5.</w:t>
      </w:r>
      <w:r w:rsidRPr="003B6E11">
        <w:rPr>
          <w:lang w:val="cs-CZ"/>
        </w:rPr>
        <w:tab/>
        <w:t>Obytné prostory musí být chráněny před nepřijatelným hlukem a vibracemi. Hladina akustického tlaku nesmí překročit:</w:t>
      </w:r>
    </w:p>
    <w:p w:rsidR="006161E9" w:rsidRPr="003B6E11" w:rsidRDefault="005C7859" w:rsidP="00811428">
      <w:pPr>
        <w:pStyle w:val="ESlet"/>
        <w:rPr>
          <w:rFonts w:cs="Arial"/>
          <w:lang w:val="cs-CZ"/>
        </w:rPr>
      </w:pPr>
      <w:r w:rsidRPr="003B6E11">
        <w:rPr>
          <w:lang w:val="cs-CZ"/>
        </w:rPr>
        <w:t>a)</w:t>
      </w:r>
      <w:r w:rsidRPr="003B6E11">
        <w:rPr>
          <w:lang w:val="cs-CZ"/>
        </w:rPr>
        <w:tab/>
        <w:t>70 dB(A) ve společenských místnostech;</w:t>
      </w:r>
    </w:p>
    <w:p w:rsidR="006161E9" w:rsidRPr="003B6E11" w:rsidRDefault="005C7859" w:rsidP="00811428">
      <w:pPr>
        <w:pStyle w:val="ESlet"/>
        <w:rPr>
          <w:rFonts w:cs="Arial"/>
          <w:lang w:val="cs-CZ"/>
        </w:rPr>
      </w:pPr>
      <w:r w:rsidRPr="003B6E11">
        <w:rPr>
          <w:lang w:val="cs-CZ"/>
        </w:rPr>
        <w:t>b)</w:t>
      </w:r>
      <w:r w:rsidRPr="003B6E11">
        <w:rPr>
          <w:lang w:val="cs-CZ"/>
        </w:rPr>
        <w:tab/>
        <w:t>60 dB(A) ve spacích kabinách. Toto ustanovení se nevztahuje na lodě, které jsou v provozu výlučně mimo dobu odpočinku posádky stanovenou vnitrostátními předpisy členských států.</w:t>
      </w:r>
    </w:p>
    <w:p w:rsidR="00811428" w:rsidRPr="003B6E11" w:rsidRDefault="00811428" w:rsidP="00811428">
      <w:pPr>
        <w:pStyle w:val="ESch"/>
        <w:rPr>
          <w:szCs w:val="20"/>
          <w:lang w:val="cs-CZ"/>
        </w:rPr>
      </w:pPr>
    </w:p>
    <w:p w:rsidR="006161E9" w:rsidRPr="003B6E11" w:rsidRDefault="008C3FE7" w:rsidP="00A60E37">
      <w:pPr>
        <w:pStyle w:val="ESchpar"/>
        <w:rPr>
          <w:rFonts w:cs="Arial"/>
          <w:lang w:val="cs-CZ"/>
        </w:rPr>
      </w:pPr>
      <w:r w:rsidRPr="003B6E11">
        <w:rPr>
          <w:lang w:val="cs-CZ"/>
        </w:rPr>
        <w:t>Omezení denní provozní doby zmíněné v písmenu b) se uvede v osvědčení plavidla vnitrozemské plavby.</w:t>
      </w:r>
    </w:p>
    <w:p w:rsidR="00811428" w:rsidRPr="003B6E11" w:rsidRDefault="00811428" w:rsidP="00811428">
      <w:pPr>
        <w:pStyle w:val="ESch"/>
        <w:rPr>
          <w:szCs w:val="20"/>
          <w:lang w:val="cs-CZ"/>
        </w:rPr>
      </w:pPr>
    </w:p>
    <w:p w:rsidR="00A60E37" w:rsidRPr="003B6E11" w:rsidRDefault="00A60E37" w:rsidP="00811428">
      <w:pPr>
        <w:pStyle w:val="ESch"/>
        <w:rPr>
          <w:szCs w:val="20"/>
          <w:lang w:val="cs-CZ"/>
        </w:rPr>
      </w:pPr>
      <w:r w:rsidRPr="003B6E11">
        <w:rPr>
          <w:lang w:val="cs-CZ"/>
        </w:rPr>
        <w:br w:type="page"/>
      </w:r>
    </w:p>
    <w:p w:rsidR="006161E9" w:rsidRPr="003B6E11" w:rsidRDefault="006161E9" w:rsidP="00811428">
      <w:pPr>
        <w:pStyle w:val="ESch"/>
        <w:rPr>
          <w:rFonts w:cs="Arial"/>
          <w:szCs w:val="20"/>
          <w:lang w:val="cs-CZ"/>
        </w:rPr>
      </w:pPr>
      <w:r w:rsidRPr="003B6E11">
        <w:rPr>
          <w:lang w:val="cs-CZ"/>
        </w:rPr>
        <w:t>6.</w:t>
      </w:r>
      <w:r w:rsidRPr="003B6E11">
        <w:rPr>
          <w:lang w:val="cs-CZ"/>
        </w:rPr>
        <w:tab/>
        <w:t>Světlá výška v obytných prostorech nesmí být menší než 2,00 m.</w:t>
      </w:r>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7.</w:t>
      </w:r>
      <w:r w:rsidRPr="003B6E11">
        <w:rPr>
          <w:lang w:val="cs-CZ"/>
        </w:rPr>
        <w:tab/>
        <w:t>Obecným pravidlem je, že lodě musí mít nejméně jednu společenskou místnost oddělenou od spacích kabin.</w:t>
      </w:r>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8.</w:t>
      </w:r>
      <w:r w:rsidRPr="003B6E11">
        <w:rPr>
          <w:lang w:val="cs-CZ"/>
        </w:rPr>
        <w:tab/>
        <w:t>Volná podlahová plocha společenských místností nesmí být menší než 2 m</w:t>
      </w:r>
      <w:r w:rsidRPr="003B6E11">
        <w:rPr>
          <w:vertAlign w:val="superscript"/>
          <w:lang w:val="cs-CZ"/>
        </w:rPr>
        <w:t>2</w:t>
      </w:r>
      <w:r w:rsidRPr="003B6E11">
        <w:rPr>
          <w:lang w:val="cs-CZ"/>
        </w:rPr>
        <w:t xml:space="preserve"> na osobu, a v žádném případě menší než celkem 8 m</w:t>
      </w:r>
      <w:r w:rsidRPr="003B6E11">
        <w:rPr>
          <w:vertAlign w:val="superscript"/>
          <w:lang w:val="cs-CZ"/>
        </w:rPr>
        <w:t>2</w:t>
      </w:r>
      <w:r w:rsidRPr="003B6E11">
        <w:rPr>
          <w:lang w:val="cs-CZ"/>
        </w:rPr>
        <w:t xml:space="preserve"> (přičemž se nezapočítává nábytek, kromě stolů a židlí).</w:t>
      </w:r>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9.</w:t>
      </w:r>
      <w:r w:rsidRPr="003B6E11">
        <w:rPr>
          <w:lang w:val="cs-CZ"/>
        </w:rPr>
        <w:tab/>
        <w:t>Krychlový obsah každé soukromé obytné místnosti a každé spací kabiny nesmí být menší než 7 m</w:t>
      </w:r>
      <w:r w:rsidRPr="003B6E11">
        <w:rPr>
          <w:vertAlign w:val="superscript"/>
          <w:lang w:val="cs-CZ"/>
        </w:rPr>
        <w:t>3</w:t>
      </w:r>
      <w:r w:rsidRPr="003B6E11">
        <w:rPr>
          <w:lang w:val="cs-CZ"/>
        </w:rPr>
        <w:t>.</w:t>
      </w:r>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10.</w:t>
      </w:r>
      <w:r w:rsidRPr="003B6E11">
        <w:rPr>
          <w:lang w:val="cs-CZ"/>
        </w:rPr>
        <w:tab/>
        <w:t>Objem vzduchu na osobu musí být v soukromých obytných místnostech nejméně 3,5 m</w:t>
      </w:r>
      <w:r w:rsidRPr="003B6E11">
        <w:rPr>
          <w:vertAlign w:val="superscript"/>
          <w:lang w:val="cs-CZ"/>
        </w:rPr>
        <w:t>3</w:t>
      </w:r>
      <w:r w:rsidRPr="003B6E11">
        <w:rPr>
          <w:lang w:val="cs-CZ"/>
        </w:rPr>
        <w:t>. Ve spacích kabinách musí být nejméně 5 m</w:t>
      </w:r>
      <w:r w:rsidRPr="003B6E11">
        <w:rPr>
          <w:vertAlign w:val="superscript"/>
          <w:lang w:val="cs-CZ"/>
        </w:rPr>
        <w:t>3</w:t>
      </w:r>
      <w:r w:rsidRPr="003B6E11">
        <w:rPr>
          <w:lang w:val="cs-CZ"/>
        </w:rPr>
        <w:t xml:space="preserve"> vzduchu pro prvního obyvatele a nejméně 3 m</w:t>
      </w:r>
      <w:r w:rsidRPr="003B6E11">
        <w:rPr>
          <w:vertAlign w:val="superscript"/>
          <w:lang w:val="cs-CZ"/>
        </w:rPr>
        <w:t>3</w:t>
      </w:r>
      <w:r w:rsidRPr="003B6E11">
        <w:rPr>
          <w:lang w:val="cs-CZ"/>
        </w:rPr>
        <w:t xml:space="preserve"> pro každého dalšího obyvatele (přičemž se nezapočítává objem nábytku). Spací kabiny nesmí být pokud možno určeny pro více než dvě osoby. Lůžka nesmí být níže než 0,30 m nad podlahou. Je-li jedno lůžko umístěno nad druhým, nesmí být světlý prostor nad každým lůžkem menší než 0,60 m.</w:t>
      </w:r>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11.</w:t>
      </w:r>
      <w:r w:rsidRPr="003B6E11">
        <w:rPr>
          <w:lang w:val="cs-CZ"/>
        </w:rPr>
        <w:tab/>
        <w:t>Dveře musí mít otvor, jehož horní hrana je nejméně 1,90 m nad palubou nebo nad podlahou a jehož světlá šířka je nejméně 0,60 m. Předepsané výšky lze dosáhnout pomocí posuvných nebo sklopných krytů nebo poklopů. Dveře se musí otvírat směrem ven a musí být možné je otevřít z obou stran. Sily nesmějí být vyšší než 0,40 m, musí však splňovat ustanovení jiných bezpečnostních předpisů.</w:t>
      </w:r>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12.</w:t>
      </w:r>
      <w:r w:rsidRPr="003B6E11">
        <w:rPr>
          <w:lang w:val="cs-CZ"/>
        </w:rPr>
        <w:tab/>
        <w:t>Schody musí být pevně zabudovány a schůdné bez nebezpečí. Za takové jsou považovány, pokud:</w:t>
      </w:r>
    </w:p>
    <w:p w:rsidR="006161E9" w:rsidRPr="003B6E11" w:rsidRDefault="005C7859" w:rsidP="00811428">
      <w:pPr>
        <w:pStyle w:val="ESlet"/>
        <w:rPr>
          <w:rFonts w:cs="Arial"/>
          <w:lang w:val="cs-CZ"/>
        </w:rPr>
      </w:pPr>
      <w:r w:rsidRPr="003B6E11">
        <w:rPr>
          <w:lang w:val="cs-CZ"/>
        </w:rPr>
        <w:t>a)</w:t>
      </w:r>
      <w:r w:rsidRPr="003B6E11">
        <w:rPr>
          <w:lang w:val="cs-CZ"/>
        </w:rPr>
        <w:tab/>
        <w:t>nejsou užší než 0,60 m;</w:t>
      </w:r>
    </w:p>
    <w:p w:rsidR="006161E9" w:rsidRPr="003B6E11" w:rsidRDefault="005C7859" w:rsidP="00811428">
      <w:pPr>
        <w:pStyle w:val="ESlet"/>
        <w:rPr>
          <w:rFonts w:cs="Arial"/>
          <w:lang w:val="cs-CZ"/>
        </w:rPr>
      </w:pPr>
      <w:r w:rsidRPr="003B6E11">
        <w:rPr>
          <w:lang w:val="cs-CZ"/>
        </w:rPr>
        <w:t>b)</w:t>
      </w:r>
      <w:r w:rsidRPr="003B6E11">
        <w:rPr>
          <w:lang w:val="cs-CZ"/>
        </w:rPr>
        <w:tab/>
        <w:t>výška stupně je nejméně 0,15 m;</w:t>
      </w:r>
    </w:p>
    <w:p w:rsidR="006161E9" w:rsidRPr="003B6E11" w:rsidRDefault="005C7859" w:rsidP="00811428">
      <w:pPr>
        <w:pStyle w:val="ESlet"/>
        <w:rPr>
          <w:rFonts w:cs="Arial"/>
          <w:lang w:val="cs-CZ"/>
        </w:rPr>
      </w:pPr>
      <w:r w:rsidRPr="003B6E11">
        <w:rPr>
          <w:lang w:val="cs-CZ"/>
        </w:rPr>
        <w:t>c)</w:t>
      </w:r>
      <w:r w:rsidRPr="003B6E11">
        <w:rPr>
          <w:lang w:val="cs-CZ"/>
        </w:rPr>
        <w:tab/>
        <w:t>stupně jsou neklouzavé a</w:t>
      </w:r>
    </w:p>
    <w:p w:rsidR="006161E9" w:rsidRPr="003B6E11" w:rsidRDefault="005C7859" w:rsidP="00811428">
      <w:pPr>
        <w:pStyle w:val="ESlet"/>
        <w:rPr>
          <w:rFonts w:cs="Arial"/>
          <w:lang w:val="cs-CZ"/>
        </w:rPr>
      </w:pPr>
      <w:r w:rsidRPr="003B6E11">
        <w:rPr>
          <w:lang w:val="cs-CZ"/>
        </w:rPr>
        <w:t>d)</w:t>
      </w:r>
      <w:r w:rsidRPr="003B6E11">
        <w:rPr>
          <w:lang w:val="cs-CZ"/>
        </w:rPr>
        <w:tab/>
        <w:t>schody s více než třemi stupni jsou vybaveny alespoň jedním madlem nebo držadlem.</w:t>
      </w:r>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13.</w:t>
      </w:r>
      <w:r w:rsidRPr="003B6E11">
        <w:rPr>
          <w:lang w:val="cs-CZ"/>
        </w:rPr>
        <w:tab/>
        <w:t>Potrubí pro nebezpečné plyny nebo kapaliny, zejména potrubí pod tak vysokým tlakem, že jejich netěsnost by mohla ohrozit osoby, se nesmí nacházet v obytných prostorech nebo chodbách vedoucích k obytným prostorům. To se nevztahuje na potrubí zařízení na zkapalněný plyn pro domácí použití, na parní potrubí a na potrubí hydraulických systémů za předpokladu, že jsou uložena v kovových chráničkách.</w:t>
      </w:r>
    </w:p>
    <w:p w:rsidR="006161E9" w:rsidRPr="003B6E11" w:rsidRDefault="006161E9" w:rsidP="00811428">
      <w:pPr>
        <w:pStyle w:val="ESch"/>
        <w:rPr>
          <w:rFonts w:cs="Arial"/>
          <w:szCs w:val="20"/>
          <w:lang w:val="cs-CZ"/>
        </w:rPr>
      </w:pPr>
    </w:p>
    <w:p w:rsidR="00A60E37" w:rsidRPr="003B6E11" w:rsidRDefault="00A60E37" w:rsidP="00811428">
      <w:pPr>
        <w:pStyle w:val="ESch"/>
        <w:rPr>
          <w:rFonts w:cs="Arial"/>
          <w:szCs w:val="20"/>
          <w:lang w:val="cs-CZ"/>
        </w:rPr>
      </w:pPr>
    </w:p>
    <w:p w:rsidR="006161E9" w:rsidRPr="003B6E11" w:rsidRDefault="006161E9" w:rsidP="00811428">
      <w:pPr>
        <w:pStyle w:val="ES-Titre3"/>
        <w:rPr>
          <w:i/>
          <w:lang w:val="cs-CZ"/>
        </w:rPr>
      </w:pPr>
      <w:bookmarkStart w:id="260" w:name="_Toc491854127"/>
      <w:bookmarkStart w:id="261" w:name="_Toc535417033"/>
      <w:r w:rsidRPr="003B6E11">
        <w:rPr>
          <w:lang w:val="cs-CZ"/>
        </w:rPr>
        <w:t>Článek 15.03</w:t>
      </w:r>
      <w:r w:rsidRPr="003B6E11">
        <w:rPr>
          <w:lang w:val="cs-CZ"/>
        </w:rPr>
        <w:br/>
      </w:r>
      <w:r w:rsidRPr="003B6E11">
        <w:rPr>
          <w:i/>
          <w:lang w:val="cs-CZ"/>
        </w:rPr>
        <w:t>Sociální zařízení</w:t>
      </w:r>
      <w:bookmarkEnd w:id="260"/>
      <w:bookmarkEnd w:id="261"/>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1.</w:t>
      </w:r>
      <w:r w:rsidRPr="003B6E11">
        <w:rPr>
          <w:lang w:val="cs-CZ"/>
        </w:rPr>
        <w:tab/>
        <w:t>Na lodích s obytnými prostory musí být k dispozici přinejmenším tato sociální zařízení:</w:t>
      </w:r>
    </w:p>
    <w:p w:rsidR="006161E9" w:rsidRPr="003B6E11" w:rsidRDefault="005C7859" w:rsidP="00811428">
      <w:pPr>
        <w:pStyle w:val="ESlet"/>
        <w:rPr>
          <w:rFonts w:cs="Arial"/>
          <w:lang w:val="cs-CZ"/>
        </w:rPr>
      </w:pPr>
      <w:r w:rsidRPr="003B6E11">
        <w:rPr>
          <w:lang w:val="cs-CZ"/>
        </w:rPr>
        <w:t>a)</w:t>
      </w:r>
      <w:r w:rsidRPr="003B6E11">
        <w:rPr>
          <w:lang w:val="cs-CZ"/>
        </w:rPr>
        <w:tab/>
        <w:t>jeden záchod na jednu místnost nebo na šest členů posádky. Musí být možné jej odvětrat čerstvým vzduchem;</w:t>
      </w:r>
    </w:p>
    <w:p w:rsidR="006161E9" w:rsidRPr="003B6E11" w:rsidRDefault="005C7859" w:rsidP="00811428">
      <w:pPr>
        <w:pStyle w:val="ESlet"/>
        <w:rPr>
          <w:rFonts w:cs="Arial"/>
          <w:lang w:val="cs-CZ"/>
        </w:rPr>
      </w:pPr>
      <w:r w:rsidRPr="003B6E11">
        <w:rPr>
          <w:lang w:val="cs-CZ"/>
        </w:rPr>
        <w:t>b)</w:t>
      </w:r>
      <w:r w:rsidRPr="003B6E11">
        <w:rPr>
          <w:lang w:val="cs-CZ"/>
        </w:rPr>
        <w:tab/>
        <w:t>jedno umyvadlo s odpadní trubkou připojené na teplou a studenou pitnou vodu na jednu místnost nebo na čtyři členy posádky;</w:t>
      </w:r>
    </w:p>
    <w:p w:rsidR="006161E9" w:rsidRPr="003B6E11" w:rsidRDefault="005C7859" w:rsidP="00811428">
      <w:pPr>
        <w:pStyle w:val="ESlet"/>
        <w:rPr>
          <w:rFonts w:cs="Arial"/>
          <w:lang w:val="cs-CZ"/>
        </w:rPr>
      </w:pPr>
      <w:r w:rsidRPr="003B6E11">
        <w:rPr>
          <w:lang w:val="cs-CZ"/>
        </w:rPr>
        <w:t>c)</w:t>
      </w:r>
      <w:r w:rsidRPr="003B6E11">
        <w:rPr>
          <w:lang w:val="cs-CZ"/>
        </w:rPr>
        <w:tab/>
        <w:t>jedna vana nebo sprcha připojená na teplou a studenou vodu na jednu místnost nebo na šest členů posádky.</w:t>
      </w:r>
    </w:p>
    <w:p w:rsidR="00811428" w:rsidRPr="003B6E11" w:rsidRDefault="00811428" w:rsidP="00811428">
      <w:pPr>
        <w:pStyle w:val="ESlet"/>
        <w:rPr>
          <w:szCs w:val="20"/>
          <w:lang w:val="cs-CZ"/>
        </w:rPr>
      </w:pPr>
    </w:p>
    <w:p w:rsidR="00A60E37" w:rsidRPr="003B6E11" w:rsidRDefault="00A60E37" w:rsidP="00811428">
      <w:pPr>
        <w:pStyle w:val="ESlet"/>
        <w:rPr>
          <w:szCs w:val="20"/>
          <w:lang w:val="cs-CZ"/>
        </w:rPr>
      </w:pPr>
      <w:r w:rsidRPr="003B6E11">
        <w:rPr>
          <w:lang w:val="cs-CZ"/>
        </w:rPr>
        <w:br w:type="page"/>
      </w:r>
    </w:p>
    <w:p w:rsidR="006161E9" w:rsidRPr="003B6E11" w:rsidRDefault="006161E9" w:rsidP="00811428">
      <w:pPr>
        <w:pStyle w:val="ESch"/>
        <w:rPr>
          <w:rFonts w:cs="Arial"/>
          <w:szCs w:val="20"/>
          <w:lang w:val="cs-CZ"/>
        </w:rPr>
      </w:pPr>
      <w:r w:rsidRPr="003B6E11">
        <w:rPr>
          <w:lang w:val="cs-CZ"/>
        </w:rPr>
        <w:t>2.</w:t>
      </w:r>
      <w:r w:rsidRPr="003B6E11">
        <w:rPr>
          <w:lang w:val="cs-CZ"/>
        </w:rPr>
        <w:tab/>
        <w:t>Sociální zařízení musí být v těsné blízkosti obytných prostor. Ze záchodů nesmí být přímý přístup do kuchyní, jídelen nebo kombinací společenské místnosti a kuchyně.</w:t>
      </w:r>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3.</w:t>
      </w:r>
      <w:r w:rsidRPr="003B6E11">
        <w:rPr>
          <w:lang w:val="cs-CZ"/>
        </w:rPr>
        <w:tab/>
        <w:t>Záchody musí mít podlahovou plochu nejméně 1 m</w:t>
      </w:r>
      <w:r w:rsidRPr="003B6E11">
        <w:rPr>
          <w:vertAlign w:val="superscript"/>
          <w:lang w:val="cs-CZ"/>
        </w:rPr>
        <w:t>2</w:t>
      </w:r>
      <w:r w:rsidRPr="003B6E11">
        <w:rPr>
          <w:lang w:val="cs-CZ"/>
        </w:rPr>
        <w:t>, musí být nejméně 0,75 m široké a nejméně 1,10 m dlouhé. Záchody ve spacích kabinách pro nejvýše dvě osoby mohou být menší. Pokud se na záchodě nachází i umyvadlo a/nebo sprcha, musí se podlahová plocha navýšit nejméně o podlahovou plochu umyvadla a/nebo sprchy (či vany).</w:t>
      </w:r>
    </w:p>
    <w:p w:rsidR="006161E9" w:rsidRPr="003B6E11" w:rsidRDefault="006161E9" w:rsidP="00811428">
      <w:pPr>
        <w:pStyle w:val="ESch"/>
        <w:rPr>
          <w:rFonts w:cs="Arial"/>
          <w:szCs w:val="20"/>
          <w:lang w:val="cs-CZ"/>
        </w:rPr>
      </w:pPr>
    </w:p>
    <w:p w:rsidR="00A60E37" w:rsidRPr="003B6E11" w:rsidRDefault="00A60E37" w:rsidP="00811428">
      <w:pPr>
        <w:pStyle w:val="ESch"/>
        <w:rPr>
          <w:rFonts w:cs="Arial"/>
          <w:szCs w:val="20"/>
          <w:lang w:val="cs-CZ"/>
        </w:rPr>
      </w:pPr>
    </w:p>
    <w:p w:rsidR="006161E9" w:rsidRPr="003B6E11" w:rsidRDefault="006161E9" w:rsidP="00811428">
      <w:pPr>
        <w:pStyle w:val="ES-Titre3"/>
        <w:rPr>
          <w:i/>
          <w:lang w:val="cs-CZ"/>
        </w:rPr>
      </w:pPr>
      <w:bookmarkStart w:id="262" w:name="_Toc491854128"/>
      <w:bookmarkStart w:id="263" w:name="_Toc535417034"/>
      <w:r w:rsidRPr="003B6E11">
        <w:rPr>
          <w:lang w:val="cs-CZ"/>
        </w:rPr>
        <w:t>Článek 15.04</w:t>
      </w:r>
      <w:r w:rsidRPr="003B6E11">
        <w:rPr>
          <w:lang w:val="cs-CZ"/>
        </w:rPr>
        <w:br/>
      </w:r>
      <w:r w:rsidRPr="003B6E11">
        <w:rPr>
          <w:i/>
          <w:lang w:val="cs-CZ"/>
        </w:rPr>
        <w:t>Kuchyně</w:t>
      </w:r>
      <w:bookmarkEnd w:id="262"/>
      <w:bookmarkEnd w:id="263"/>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1.</w:t>
      </w:r>
      <w:r w:rsidRPr="003B6E11">
        <w:rPr>
          <w:lang w:val="cs-CZ"/>
        </w:rPr>
        <w:tab/>
        <w:t>Kuchyně mohou být kombinované se společenskými místnostmi.</w:t>
      </w:r>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2.</w:t>
      </w:r>
      <w:r w:rsidRPr="003B6E11">
        <w:rPr>
          <w:lang w:val="cs-CZ"/>
        </w:rPr>
        <w:tab/>
        <w:t>Kuchyně musí být vybaveny:</w:t>
      </w:r>
    </w:p>
    <w:p w:rsidR="006161E9" w:rsidRPr="003B6E11" w:rsidRDefault="005C7859" w:rsidP="00811428">
      <w:pPr>
        <w:pStyle w:val="ESlet"/>
        <w:rPr>
          <w:rFonts w:cs="Arial"/>
          <w:lang w:val="cs-CZ"/>
        </w:rPr>
      </w:pPr>
      <w:r w:rsidRPr="003B6E11">
        <w:rPr>
          <w:lang w:val="cs-CZ"/>
        </w:rPr>
        <w:t>a)</w:t>
      </w:r>
      <w:r w:rsidRPr="003B6E11">
        <w:rPr>
          <w:lang w:val="cs-CZ"/>
        </w:rPr>
        <w:tab/>
        <w:t>vařičem;</w:t>
      </w:r>
    </w:p>
    <w:p w:rsidR="006161E9" w:rsidRPr="003B6E11" w:rsidRDefault="005C7859" w:rsidP="00811428">
      <w:pPr>
        <w:pStyle w:val="ESlet"/>
        <w:rPr>
          <w:rFonts w:cs="Arial"/>
          <w:lang w:val="cs-CZ"/>
        </w:rPr>
      </w:pPr>
      <w:r w:rsidRPr="003B6E11">
        <w:rPr>
          <w:lang w:val="cs-CZ"/>
        </w:rPr>
        <w:t>b)</w:t>
      </w:r>
      <w:r w:rsidRPr="003B6E11">
        <w:rPr>
          <w:lang w:val="cs-CZ"/>
        </w:rPr>
        <w:tab/>
        <w:t>dřezem s přípojem na odpad;</w:t>
      </w:r>
    </w:p>
    <w:p w:rsidR="006161E9" w:rsidRPr="003B6E11" w:rsidRDefault="005C7859" w:rsidP="00811428">
      <w:pPr>
        <w:pStyle w:val="ESlet"/>
        <w:rPr>
          <w:rFonts w:cs="Arial"/>
          <w:lang w:val="cs-CZ"/>
        </w:rPr>
      </w:pPr>
      <w:r w:rsidRPr="003B6E11">
        <w:rPr>
          <w:lang w:val="cs-CZ"/>
        </w:rPr>
        <w:t>c)</w:t>
      </w:r>
      <w:r w:rsidRPr="003B6E11">
        <w:rPr>
          <w:lang w:val="cs-CZ"/>
        </w:rPr>
        <w:tab/>
        <w:t>dodávkou pitné vody;</w:t>
      </w:r>
    </w:p>
    <w:p w:rsidR="006161E9" w:rsidRPr="003B6E11" w:rsidRDefault="005C7859" w:rsidP="00811428">
      <w:pPr>
        <w:pStyle w:val="ESlet"/>
        <w:rPr>
          <w:rFonts w:cs="Arial"/>
          <w:lang w:val="cs-CZ"/>
        </w:rPr>
      </w:pPr>
      <w:r w:rsidRPr="003B6E11">
        <w:rPr>
          <w:lang w:val="cs-CZ"/>
        </w:rPr>
        <w:t>d)</w:t>
      </w:r>
      <w:r w:rsidRPr="003B6E11">
        <w:rPr>
          <w:lang w:val="cs-CZ"/>
        </w:rPr>
        <w:tab/>
        <w:t>chladničkou;</w:t>
      </w:r>
    </w:p>
    <w:p w:rsidR="006161E9" w:rsidRPr="003B6E11" w:rsidRDefault="0029453D" w:rsidP="00811428">
      <w:pPr>
        <w:pStyle w:val="ESlet"/>
        <w:rPr>
          <w:rFonts w:cs="Arial"/>
          <w:lang w:val="cs-CZ"/>
        </w:rPr>
      </w:pPr>
      <w:r w:rsidRPr="003B6E11">
        <w:rPr>
          <w:lang w:val="cs-CZ"/>
        </w:rPr>
        <w:t>e)</w:t>
      </w:r>
      <w:r w:rsidRPr="003B6E11">
        <w:rPr>
          <w:lang w:val="cs-CZ"/>
        </w:rPr>
        <w:tab/>
        <w:t>dostatečným skladovacím a pracovním prostorem.</w:t>
      </w:r>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3.</w:t>
      </w:r>
      <w:r w:rsidRPr="003B6E11">
        <w:rPr>
          <w:lang w:val="cs-CZ"/>
        </w:rPr>
        <w:tab/>
        <w:t>Jídelní část kombinace kuchyně a společenské místnosti musí být dostatečně velká pro počet členů posádky, který ji běžně používá současně. Sedačky musí být široké nejméně 0,60 m.</w:t>
      </w:r>
    </w:p>
    <w:p w:rsidR="006161E9" w:rsidRPr="003B6E11" w:rsidRDefault="006161E9" w:rsidP="00811428">
      <w:pPr>
        <w:pStyle w:val="ESch"/>
        <w:rPr>
          <w:rFonts w:cs="Arial"/>
          <w:szCs w:val="20"/>
          <w:lang w:val="cs-CZ"/>
        </w:rPr>
      </w:pPr>
    </w:p>
    <w:p w:rsidR="00A60E37" w:rsidRPr="003B6E11" w:rsidRDefault="00A60E37" w:rsidP="00811428">
      <w:pPr>
        <w:pStyle w:val="ESch"/>
        <w:rPr>
          <w:rFonts w:cs="Arial"/>
          <w:szCs w:val="20"/>
          <w:lang w:val="cs-CZ"/>
        </w:rPr>
      </w:pPr>
    </w:p>
    <w:p w:rsidR="006161E9" w:rsidRPr="003B6E11" w:rsidRDefault="006161E9" w:rsidP="00811428">
      <w:pPr>
        <w:pStyle w:val="ES-Titre3"/>
        <w:rPr>
          <w:i/>
          <w:lang w:val="cs-CZ"/>
        </w:rPr>
      </w:pPr>
      <w:bookmarkStart w:id="264" w:name="_Toc491854129"/>
      <w:bookmarkStart w:id="265" w:name="_Toc535417035"/>
      <w:r w:rsidRPr="003B6E11">
        <w:rPr>
          <w:lang w:val="cs-CZ"/>
        </w:rPr>
        <w:t>Článek 15.05</w:t>
      </w:r>
      <w:r w:rsidRPr="003B6E11">
        <w:rPr>
          <w:lang w:val="cs-CZ"/>
        </w:rPr>
        <w:br/>
      </w:r>
      <w:r w:rsidRPr="003B6E11">
        <w:rPr>
          <w:i/>
          <w:lang w:val="cs-CZ"/>
        </w:rPr>
        <w:t>Zařízení na pitnou vodu</w:t>
      </w:r>
      <w:bookmarkEnd w:id="264"/>
      <w:bookmarkEnd w:id="265"/>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1.</w:t>
      </w:r>
      <w:r w:rsidRPr="003B6E11">
        <w:rPr>
          <w:lang w:val="cs-CZ"/>
        </w:rPr>
        <w:tab/>
        <w:t>Lodě s obytnými prostory musí být vybaveny zařízením na pitnou vodu. Plnicí otvory nádrží na pitnou vodu a hadice s pitnou vodou musí být označeny jako určené výhradně pro pitnou vodu. Plnicí potrubí pro pitnou vodu musí být umístěna nad palubou.</w:t>
      </w:r>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2.</w:t>
      </w:r>
      <w:r w:rsidRPr="003B6E11">
        <w:rPr>
          <w:lang w:val="cs-CZ"/>
        </w:rPr>
        <w:tab/>
        <w:t>Zařízení na pitnou vodu:</w:t>
      </w:r>
    </w:p>
    <w:p w:rsidR="006161E9" w:rsidRPr="003B6E11" w:rsidRDefault="005C7859" w:rsidP="00811428">
      <w:pPr>
        <w:pStyle w:val="ESlet"/>
        <w:rPr>
          <w:rFonts w:cs="Arial"/>
          <w:lang w:val="cs-CZ"/>
        </w:rPr>
      </w:pPr>
      <w:r w:rsidRPr="003B6E11">
        <w:rPr>
          <w:lang w:val="cs-CZ"/>
        </w:rPr>
        <w:t>a)</w:t>
      </w:r>
      <w:r w:rsidRPr="003B6E11">
        <w:rPr>
          <w:lang w:val="cs-CZ"/>
        </w:rPr>
        <w:tab/>
        <w:t>musí mít vnitřní povrchy vyrobené z materiálu, který je odolný vůči korozi a nepředstavuje žádné fyziologické nebezpečí;</w:t>
      </w:r>
    </w:p>
    <w:p w:rsidR="006161E9" w:rsidRPr="003B6E11" w:rsidRDefault="005C7859" w:rsidP="00811428">
      <w:pPr>
        <w:pStyle w:val="ESlet"/>
        <w:rPr>
          <w:rFonts w:cs="Arial"/>
          <w:lang w:val="cs-CZ"/>
        </w:rPr>
      </w:pPr>
      <w:r w:rsidRPr="003B6E11">
        <w:rPr>
          <w:lang w:val="cs-CZ"/>
        </w:rPr>
        <w:t>b)</w:t>
      </w:r>
      <w:r w:rsidRPr="003B6E11">
        <w:rPr>
          <w:lang w:val="cs-CZ"/>
        </w:rPr>
        <w:tab/>
        <w:t>nesmí obsahovat potrubní úseky, kde není možné zajistit pravidelný průtok vody, a</w:t>
      </w:r>
    </w:p>
    <w:p w:rsidR="006161E9" w:rsidRPr="003B6E11" w:rsidRDefault="005C7859" w:rsidP="00811428">
      <w:pPr>
        <w:pStyle w:val="ESlet"/>
        <w:rPr>
          <w:rFonts w:cs="Arial"/>
          <w:lang w:val="cs-CZ"/>
        </w:rPr>
      </w:pPr>
      <w:r w:rsidRPr="003B6E11">
        <w:rPr>
          <w:lang w:val="cs-CZ"/>
        </w:rPr>
        <w:t>c)</w:t>
      </w:r>
      <w:r w:rsidRPr="003B6E11">
        <w:rPr>
          <w:lang w:val="cs-CZ"/>
        </w:rPr>
        <w:tab/>
        <w:t>musí být chráněny proti nadměrnému zahřívání.</w:t>
      </w:r>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3.</w:t>
      </w:r>
      <w:r w:rsidRPr="003B6E11">
        <w:rPr>
          <w:lang w:val="cs-CZ"/>
        </w:rPr>
        <w:tab/>
        <w:t>Kromě odstavce 2 musí nádrže na pitnou vodu:</w:t>
      </w:r>
    </w:p>
    <w:p w:rsidR="006161E9" w:rsidRPr="003B6E11" w:rsidRDefault="005C7859" w:rsidP="00811428">
      <w:pPr>
        <w:pStyle w:val="ESlet"/>
        <w:rPr>
          <w:rFonts w:cs="Arial"/>
          <w:lang w:val="cs-CZ"/>
        </w:rPr>
      </w:pPr>
      <w:r w:rsidRPr="003B6E11">
        <w:rPr>
          <w:lang w:val="cs-CZ"/>
        </w:rPr>
        <w:t>a)</w:t>
      </w:r>
      <w:r w:rsidRPr="003B6E11">
        <w:rPr>
          <w:lang w:val="cs-CZ"/>
        </w:rPr>
        <w:tab/>
        <w:t>mít objem nejméně 150 l na každou osobu, která se obvykle nachází na plavidle, nejméně však na každého člena posádky;</w:t>
      </w:r>
    </w:p>
    <w:p w:rsidR="006161E9" w:rsidRPr="003B6E11" w:rsidRDefault="005C7859" w:rsidP="00811428">
      <w:pPr>
        <w:pStyle w:val="ESlet"/>
        <w:rPr>
          <w:rFonts w:cs="Arial"/>
          <w:lang w:val="cs-CZ"/>
        </w:rPr>
      </w:pPr>
      <w:r w:rsidRPr="003B6E11">
        <w:rPr>
          <w:lang w:val="cs-CZ"/>
        </w:rPr>
        <w:t>b)</w:t>
      </w:r>
      <w:r w:rsidRPr="003B6E11">
        <w:rPr>
          <w:lang w:val="cs-CZ"/>
        </w:rPr>
        <w:tab/>
        <w:t>mít vhodný, uzamykatelný otvor, aby je bylo možno uvnitř čistit;</w:t>
      </w:r>
    </w:p>
    <w:p w:rsidR="006161E9" w:rsidRPr="003B6E11" w:rsidRDefault="005C7859" w:rsidP="00811428">
      <w:pPr>
        <w:pStyle w:val="ESlet"/>
        <w:rPr>
          <w:rFonts w:cs="Arial"/>
          <w:lang w:val="cs-CZ"/>
        </w:rPr>
      </w:pPr>
      <w:r w:rsidRPr="003B6E11">
        <w:rPr>
          <w:lang w:val="cs-CZ"/>
        </w:rPr>
        <w:t>c)</w:t>
      </w:r>
      <w:r w:rsidRPr="003B6E11">
        <w:rPr>
          <w:lang w:val="cs-CZ"/>
        </w:rPr>
        <w:tab/>
        <w:t>být vybaveny ukazatelem hladiny;</w:t>
      </w:r>
    </w:p>
    <w:p w:rsidR="006161E9" w:rsidRPr="003B6E11" w:rsidRDefault="005C7859" w:rsidP="00811428">
      <w:pPr>
        <w:pStyle w:val="ESlet"/>
        <w:rPr>
          <w:rFonts w:cs="Arial"/>
          <w:lang w:val="cs-CZ"/>
        </w:rPr>
      </w:pPr>
      <w:r w:rsidRPr="003B6E11">
        <w:rPr>
          <w:lang w:val="cs-CZ"/>
        </w:rPr>
        <w:t>d)</w:t>
      </w:r>
      <w:r w:rsidRPr="003B6E11">
        <w:rPr>
          <w:lang w:val="cs-CZ"/>
        </w:rPr>
        <w:tab/>
        <w:t>mít odvzdušňovací trubky, které vedou do otevřeného prostoru, nebo být vybaveny vhodnými filtry.</w:t>
      </w:r>
    </w:p>
    <w:p w:rsidR="00811428" w:rsidRPr="003B6E11" w:rsidRDefault="00811428" w:rsidP="00811428">
      <w:pPr>
        <w:pStyle w:val="ESch"/>
        <w:rPr>
          <w:szCs w:val="20"/>
          <w:lang w:val="cs-CZ"/>
        </w:rPr>
      </w:pPr>
    </w:p>
    <w:p w:rsidR="00A60E37" w:rsidRPr="003B6E11" w:rsidRDefault="00A60E37" w:rsidP="00811428">
      <w:pPr>
        <w:pStyle w:val="ESch"/>
        <w:rPr>
          <w:szCs w:val="20"/>
          <w:lang w:val="cs-CZ"/>
        </w:rPr>
      </w:pPr>
      <w:r w:rsidRPr="003B6E11">
        <w:rPr>
          <w:lang w:val="cs-CZ"/>
        </w:rPr>
        <w:br w:type="page"/>
      </w:r>
    </w:p>
    <w:p w:rsidR="006161E9" w:rsidRPr="003B6E11" w:rsidRDefault="006161E9" w:rsidP="00811428">
      <w:pPr>
        <w:pStyle w:val="ESch"/>
        <w:rPr>
          <w:rFonts w:cs="Arial"/>
          <w:szCs w:val="20"/>
          <w:lang w:val="cs-CZ"/>
        </w:rPr>
      </w:pPr>
      <w:r w:rsidRPr="003B6E11">
        <w:rPr>
          <w:lang w:val="cs-CZ"/>
        </w:rPr>
        <w:t>4.</w:t>
      </w:r>
      <w:r w:rsidRPr="003B6E11">
        <w:rPr>
          <w:lang w:val="cs-CZ"/>
        </w:rPr>
        <w:tab/>
        <w:t>Nádrže na pitnou vodu nesmí mít společné stěny s jinými nádržemi. Potrubí pro pitnou vodu nesmí procházet nádržemi obsahujícími jiné kapaliny. Je zakázáno propojení mezi soustavou dodávky pitné vody a jinými soustavami potrubí. Potrubí vedoucí plyn nebo jiné kapaliny než vodu nesmí procházet nádržemi na pitnou vodu.</w:t>
      </w:r>
    </w:p>
    <w:p w:rsidR="00811428" w:rsidRPr="003B6E11" w:rsidRDefault="00811428" w:rsidP="00811428">
      <w:pPr>
        <w:pStyle w:val="ESch"/>
        <w:rPr>
          <w:szCs w:val="20"/>
          <w:lang w:val="cs-CZ"/>
        </w:rPr>
      </w:pPr>
    </w:p>
    <w:p w:rsidR="006161E9" w:rsidRPr="003B6E11" w:rsidRDefault="006161E9" w:rsidP="00811428">
      <w:pPr>
        <w:pStyle w:val="ESch"/>
        <w:rPr>
          <w:szCs w:val="20"/>
          <w:lang w:val="cs-CZ"/>
        </w:rPr>
      </w:pPr>
      <w:r w:rsidRPr="003B6E11">
        <w:rPr>
          <w:lang w:val="cs-CZ"/>
        </w:rPr>
        <w:t>5.</w:t>
      </w:r>
      <w:r w:rsidRPr="003B6E11">
        <w:rPr>
          <w:lang w:val="cs-CZ"/>
        </w:rPr>
        <w:tab/>
        <w:t>Pro tlakové nádoby na pitnou vodu smí být použit jen neznečištěný stlačený vzduch. Je-li stlačený vzduch vyráběn pomocí kompresorů, musí být přímo před tlakovou nádobou umístěny vhodné vzduchové filtry a odlučovače oleje, pokud nejsou voda a vzduch odděleny membránami.</w:t>
      </w:r>
    </w:p>
    <w:p w:rsidR="00811428" w:rsidRPr="003B6E11" w:rsidRDefault="00811428" w:rsidP="00811428">
      <w:pPr>
        <w:pStyle w:val="ESch"/>
        <w:rPr>
          <w:szCs w:val="20"/>
          <w:lang w:val="cs-CZ"/>
        </w:rPr>
      </w:pPr>
    </w:p>
    <w:p w:rsidR="00811428" w:rsidRPr="003B6E11" w:rsidRDefault="00811428" w:rsidP="00811428">
      <w:pPr>
        <w:pStyle w:val="ESch"/>
        <w:rPr>
          <w:rFonts w:cs="Arial"/>
          <w:szCs w:val="20"/>
          <w:lang w:val="cs-CZ"/>
        </w:rPr>
      </w:pPr>
    </w:p>
    <w:p w:rsidR="006161E9" w:rsidRPr="003B6E11" w:rsidRDefault="006161E9" w:rsidP="00811428">
      <w:pPr>
        <w:pStyle w:val="ES-Titre3"/>
        <w:rPr>
          <w:i/>
          <w:lang w:val="cs-CZ"/>
        </w:rPr>
      </w:pPr>
      <w:bookmarkStart w:id="266" w:name="_Toc491854130"/>
      <w:bookmarkStart w:id="267" w:name="_Toc535417036"/>
      <w:r w:rsidRPr="003B6E11">
        <w:rPr>
          <w:lang w:val="cs-CZ"/>
        </w:rPr>
        <w:t>Článek 15.06</w:t>
      </w:r>
      <w:r w:rsidRPr="003B6E11">
        <w:rPr>
          <w:lang w:val="cs-CZ"/>
        </w:rPr>
        <w:br/>
      </w:r>
      <w:r w:rsidRPr="003B6E11">
        <w:rPr>
          <w:i/>
          <w:lang w:val="cs-CZ"/>
        </w:rPr>
        <w:t>Topení a větrání</w:t>
      </w:r>
      <w:bookmarkEnd w:id="266"/>
      <w:bookmarkEnd w:id="267"/>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1.</w:t>
      </w:r>
      <w:r w:rsidRPr="003B6E11">
        <w:rPr>
          <w:lang w:val="cs-CZ"/>
        </w:rPr>
        <w:tab/>
        <w:t>Obytné prostory musí být možné vytápět v souladu s jejich účelem. Topná zařízení musí odpovídat povětrnostním podmínkám, které mohou nastat.</w:t>
      </w:r>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2.</w:t>
      </w:r>
      <w:r w:rsidRPr="003B6E11">
        <w:rPr>
          <w:lang w:val="cs-CZ"/>
        </w:rPr>
        <w:tab/>
        <w:t>Společenské místnosti a spací kabiny musí být možné přiměřeně větrat i při zavřených dveřích. Větrání musí za všech povětrnostních podmínek zajistit přiměřenou cirkulaci vzduchu.</w:t>
      </w:r>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3.</w:t>
      </w:r>
      <w:r w:rsidRPr="003B6E11">
        <w:rPr>
          <w:lang w:val="cs-CZ"/>
        </w:rPr>
        <w:tab/>
        <w:t>Obytné prostory musí být uspořádány a zařízeny tak, aby bylo možné co nejvíce zabránit pronikání znečištěného vzduchu z jiných oddělení lodi, např. strojoven nebo podpalubních nákladových prostorů; je-li použito větrání s nuceným prouděním vzduchu, musí být vstupní větrací kanály umístěny tak, aby byly splněny výše uvedené požadavky.</w:t>
      </w:r>
    </w:p>
    <w:p w:rsidR="006161E9" w:rsidRPr="003B6E11" w:rsidRDefault="006161E9" w:rsidP="00811428">
      <w:pPr>
        <w:pStyle w:val="ESch"/>
        <w:rPr>
          <w:rFonts w:cs="Arial"/>
          <w:i/>
          <w:szCs w:val="20"/>
          <w:lang w:val="cs-CZ"/>
        </w:rPr>
      </w:pPr>
    </w:p>
    <w:p w:rsidR="00811428" w:rsidRPr="003B6E11" w:rsidRDefault="00811428" w:rsidP="00811428">
      <w:pPr>
        <w:pStyle w:val="ESch"/>
        <w:rPr>
          <w:rFonts w:cs="Arial"/>
          <w:i/>
          <w:szCs w:val="20"/>
          <w:lang w:val="cs-CZ"/>
        </w:rPr>
      </w:pPr>
    </w:p>
    <w:p w:rsidR="006161E9" w:rsidRPr="003B6E11" w:rsidRDefault="006161E9" w:rsidP="00811428">
      <w:pPr>
        <w:pStyle w:val="ES-Titre3"/>
        <w:rPr>
          <w:i/>
          <w:lang w:val="cs-CZ"/>
        </w:rPr>
      </w:pPr>
      <w:bookmarkStart w:id="268" w:name="_Toc491854131"/>
      <w:bookmarkStart w:id="269" w:name="_Toc535417037"/>
      <w:r w:rsidRPr="003B6E11">
        <w:rPr>
          <w:lang w:val="cs-CZ"/>
        </w:rPr>
        <w:t>Článek 15.07</w:t>
      </w:r>
      <w:r w:rsidRPr="003B6E11">
        <w:rPr>
          <w:lang w:val="cs-CZ"/>
        </w:rPr>
        <w:br/>
      </w:r>
      <w:r w:rsidRPr="003B6E11">
        <w:rPr>
          <w:i/>
          <w:lang w:val="cs-CZ"/>
        </w:rPr>
        <w:t>Ostatní zařízení v obytných prostorech</w:t>
      </w:r>
      <w:bookmarkEnd w:id="268"/>
      <w:bookmarkEnd w:id="269"/>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1.</w:t>
      </w:r>
      <w:r w:rsidRPr="003B6E11">
        <w:rPr>
          <w:lang w:val="cs-CZ"/>
        </w:rPr>
        <w:tab/>
        <w:t>Každý člen posádky bydlící na plavidle musí mít samostatné lůžko a samostatnou skříňku na šaty vybavenou zámkem. Vnitřní rozměry lůžka musí být nejméně 2,00 m na délku a 0,90 m na šířku.</w:t>
      </w:r>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2.</w:t>
      </w:r>
      <w:r w:rsidRPr="003B6E11">
        <w:rPr>
          <w:lang w:val="cs-CZ"/>
        </w:rPr>
        <w:tab/>
        <w:t>Musí být poskytnuty vhodné prostory pro uložení a sušení pracovních oděvů, ne však ve spacích místnostech.</w:t>
      </w:r>
    </w:p>
    <w:p w:rsidR="00811428" w:rsidRPr="003B6E11" w:rsidRDefault="00811428" w:rsidP="00811428">
      <w:pPr>
        <w:pStyle w:val="ESch"/>
        <w:rPr>
          <w:szCs w:val="20"/>
          <w:lang w:val="cs-CZ"/>
        </w:rPr>
      </w:pPr>
    </w:p>
    <w:p w:rsidR="006161E9" w:rsidRPr="003B6E11" w:rsidRDefault="006161E9" w:rsidP="00811428">
      <w:pPr>
        <w:pStyle w:val="ESch"/>
        <w:rPr>
          <w:rFonts w:cs="Arial"/>
          <w:szCs w:val="20"/>
          <w:lang w:val="cs-CZ"/>
        </w:rPr>
      </w:pPr>
      <w:r w:rsidRPr="003B6E11">
        <w:rPr>
          <w:lang w:val="cs-CZ"/>
        </w:rPr>
        <w:t>3.</w:t>
      </w:r>
      <w:r w:rsidRPr="003B6E11">
        <w:rPr>
          <w:lang w:val="cs-CZ"/>
        </w:rPr>
        <w:tab/>
        <w:t>Všechny obytné prostory musí být vybaveny elektrickým osvětlením. Dodatečné plynové lampy nebo lampy na kapalné palivo lze používat pouze ve společenských místnostech. Osvětlovací zařízení na kapalné palivo musí být vyrobena z kovu a musí být možné v nich používat pouze palivo s bodem vzplanutí vyšším než 55 °C nebo obchodní petrolej. Musí být umístěna nebo upevněna tak, aby nehrozilo nebezpečí požáru.</w:t>
      </w:r>
    </w:p>
    <w:p w:rsidR="00AE4E9D" w:rsidRPr="003B6E11" w:rsidRDefault="00AE4E9D" w:rsidP="00811428">
      <w:pPr>
        <w:pStyle w:val="ESch"/>
        <w:rPr>
          <w:szCs w:val="20"/>
          <w:lang w:val="cs-CZ"/>
        </w:rPr>
      </w:pPr>
    </w:p>
    <w:p w:rsidR="00260F40" w:rsidRPr="003B6E11" w:rsidRDefault="00260F40" w:rsidP="00811428">
      <w:pPr>
        <w:pStyle w:val="ESch"/>
        <w:rPr>
          <w:szCs w:val="20"/>
          <w:lang w:val="cs-CZ"/>
        </w:rPr>
      </w:pPr>
    </w:p>
    <w:p w:rsidR="00260F40" w:rsidRPr="003B6E11" w:rsidRDefault="00260F40" w:rsidP="00260F40">
      <w:pPr>
        <w:pStyle w:val="ES-Titre2"/>
        <w:rPr>
          <w:szCs w:val="24"/>
        </w:rPr>
      </w:pPr>
      <w:bookmarkStart w:id="270" w:name="_Toc491854132"/>
      <w:bookmarkStart w:id="271" w:name="_Toc535417038"/>
      <w:r w:rsidRPr="003B6E11">
        <w:t>Kapitola 16</w:t>
      </w:r>
      <w:r w:rsidRPr="003B6E11">
        <w:br/>
        <w:t>Palivová zařízení k topení, vaření a chlazení</w:t>
      </w:r>
      <w:bookmarkEnd w:id="270"/>
      <w:bookmarkEnd w:id="271"/>
    </w:p>
    <w:p w:rsidR="00260F40" w:rsidRPr="003B6E11" w:rsidRDefault="00260F40" w:rsidP="00260F40">
      <w:pPr>
        <w:rPr>
          <w:lang w:val="cs-CZ"/>
        </w:rPr>
      </w:pPr>
    </w:p>
    <w:p w:rsidR="00260F40" w:rsidRPr="003B6E11" w:rsidRDefault="00260F40" w:rsidP="00260F40">
      <w:pPr>
        <w:pStyle w:val="ES-Titre3"/>
        <w:rPr>
          <w:lang w:val="cs-CZ"/>
        </w:rPr>
      </w:pPr>
      <w:bookmarkStart w:id="272" w:name="_Toc491854133"/>
      <w:bookmarkStart w:id="273" w:name="_Toc535417039"/>
      <w:r w:rsidRPr="003B6E11">
        <w:rPr>
          <w:lang w:val="cs-CZ"/>
        </w:rPr>
        <w:t>Článek 16.01</w:t>
      </w:r>
      <w:r w:rsidRPr="003B6E11">
        <w:rPr>
          <w:lang w:val="cs-CZ"/>
        </w:rPr>
        <w:br/>
      </w:r>
      <w:r w:rsidRPr="003B6E11">
        <w:rPr>
          <w:i/>
          <w:noProof/>
          <w:lang w:val="cs-CZ"/>
        </w:rPr>
        <w:t>Obecně</w:t>
      </w:r>
      <w:bookmarkEnd w:id="272"/>
      <w:bookmarkEnd w:id="273"/>
    </w:p>
    <w:p w:rsidR="00260F40" w:rsidRPr="003B6E11" w:rsidRDefault="00260F40" w:rsidP="00811428">
      <w:pPr>
        <w:pStyle w:val="ESch"/>
        <w:rPr>
          <w:szCs w:val="20"/>
          <w:lang w:val="cs-CZ"/>
        </w:rPr>
      </w:pPr>
    </w:p>
    <w:p w:rsidR="00260F40" w:rsidRPr="003B6E11" w:rsidRDefault="00260F40" w:rsidP="00260F40">
      <w:pPr>
        <w:pStyle w:val="ESch"/>
        <w:rPr>
          <w:rFonts w:cs="Arial"/>
          <w:lang w:val="cs-CZ"/>
        </w:rPr>
      </w:pPr>
      <w:r w:rsidRPr="003B6E11">
        <w:rPr>
          <w:lang w:val="cs-CZ"/>
        </w:rPr>
        <w:t>1.</w:t>
      </w:r>
      <w:r w:rsidRPr="003B6E11">
        <w:rPr>
          <w:lang w:val="cs-CZ"/>
        </w:rPr>
        <w:tab/>
        <w:t>Zařízení na zkapalněný plyn určená k topení, vaření a chlazení musí splňovat požadavky kapitoly 17.</w:t>
      </w:r>
    </w:p>
    <w:p w:rsidR="00260F40" w:rsidRPr="003B6E11" w:rsidRDefault="00260F40" w:rsidP="00260F40">
      <w:pPr>
        <w:pStyle w:val="ESch"/>
        <w:rPr>
          <w:noProof/>
          <w:lang w:val="cs-CZ"/>
        </w:rPr>
      </w:pPr>
    </w:p>
    <w:p w:rsidR="00260F40" w:rsidRPr="003B6E11" w:rsidRDefault="00260F40" w:rsidP="00260F40">
      <w:pPr>
        <w:pStyle w:val="ESch"/>
        <w:rPr>
          <w:rFonts w:cs="Arial"/>
          <w:lang w:val="cs-CZ"/>
        </w:rPr>
      </w:pPr>
      <w:r w:rsidRPr="003B6E11">
        <w:rPr>
          <w:lang w:val="cs-CZ"/>
        </w:rPr>
        <w:t>2.</w:t>
      </w:r>
      <w:r w:rsidRPr="003B6E11">
        <w:rPr>
          <w:lang w:val="cs-CZ"/>
        </w:rPr>
        <w:tab/>
        <w:t>Zařízení k topení, vaření a chlazení včetně příslušenství musí být zhotovena a umístěna tak, aby nebyla nebezpečná ani v případě přehřátí. Musí být umístěna tak, aby se nemohla náhodně převrhnout nebo pohnout.</w:t>
      </w:r>
    </w:p>
    <w:p w:rsidR="00260F40" w:rsidRPr="003B6E11" w:rsidRDefault="00260F40" w:rsidP="00260F40">
      <w:pPr>
        <w:pStyle w:val="ESch"/>
        <w:rPr>
          <w:noProof/>
          <w:lang w:val="cs-CZ"/>
        </w:rPr>
      </w:pPr>
    </w:p>
    <w:p w:rsidR="00260F40" w:rsidRPr="003B6E11" w:rsidRDefault="00260F40" w:rsidP="00260F40">
      <w:pPr>
        <w:pStyle w:val="ESch"/>
        <w:rPr>
          <w:rFonts w:cs="Arial"/>
          <w:lang w:val="cs-CZ"/>
        </w:rPr>
      </w:pPr>
      <w:r w:rsidRPr="003B6E11">
        <w:rPr>
          <w:lang w:val="cs-CZ"/>
        </w:rPr>
        <w:t>3.</w:t>
      </w:r>
      <w:r w:rsidRPr="003B6E11">
        <w:rPr>
          <w:lang w:val="cs-CZ"/>
        </w:rPr>
        <w:tab/>
        <w:t>Zařízení podle odstavce 2 se nesmí nacházet v prostorech, v nichž se používají nebo skladují látky s bodem vzplanutí nižším než 55 °C. Uvedenými prostory nesmí procházet žádné kouřovody těchto zařízení.</w:t>
      </w:r>
    </w:p>
    <w:p w:rsidR="00260F40" w:rsidRPr="003B6E11" w:rsidRDefault="00260F40" w:rsidP="00260F40">
      <w:pPr>
        <w:pStyle w:val="ESch"/>
        <w:rPr>
          <w:noProof/>
          <w:lang w:val="cs-CZ"/>
        </w:rPr>
      </w:pPr>
    </w:p>
    <w:p w:rsidR="00260F40" w:rsidRPr="003B6E11" w:rsidRDefault="00260F40" w:rsidP="00260F40">
      <w:pPr>
        <w:pStyle w:val="ESch"/>
        <w:rPr>
          <w:rFonts w:cs="Arial"/>
          <w:lang w:val="cs-CZ"/>
        </w:rPr>
      </w:pPr>
      <w:r w:rsidRPr="003B6E11">
        <w:rPr>
          <w:lang w:val="cs-CZ"/>
        </w:rPr>
        <w:t>4.</w:t>
      </w:r>
      <w:r w:rsidRPr="003B6E11">
        <w:rPr>
          <w:lang w:val="cs-CZ"/>
        </w:rPr>
        <w:tab/>
        <w:t>Musí být zajištěn dostatečný přívod vzduchu pro spalování.</w:t>
      </w:r>
    </w:p>
    <w:p w:rsidR="00260F40" w:rsidRPr="003B6E11" w:rsidRDefault="00260F40" w:rsidP="00260F40">
      <w:pPr>
        <w:pStyle w:val="ESch"/>
        <w:rPr>
          <w:noProof/>
          <w:lang w:val="cs-CZ"/>
        </w:rPr>
      </w:pPr>
    </w:p>
    <w:p w:rsidR="00260F40" w:rsidRPr="003B6E11" w:rsidRDefault="00260F40" w:rsidP="00260F40">
      <w:pPr>
        <w:pStyle w:val="ESch"/>
        <w:rPr>
          <w:rFonts w:cs="Arial"/>
          <w:lang w:val="cs-CZ"/>
        </w:rPr>
      </w:pPr>
      <w:r w:rsidRPr="003B6E11">
        <w:rPr>
          <w:lang w:val="cs-CZ"/>
        </w:rPr>
        <w:t>5.</w:t>
      </w:r>
      <w:r w:rsidRPr="003B6E11">
        <w:rPr>
          <w:lang w:val="cs-CZ"/>
        </w:rPr>
        <w:tab/>
        <w:t>Topná zařízení musí být bezpečně připojena ke kouřovodům, které musí být vybaveny vhodnými kryty nebo zařízením, které zajišťuje ochranu před větrem. Kouřovody musí být uspořádány tak, aby bylo možné provádět čištění.</w:t>
      </w:r>
    </w:p>
    <w:p w:rsidR="00260F40" w:rsidRPr="003B6E11" w:rsidRDefault="00260F40" w:rsidP="00260F40">
      <w:pPr>
        <w:pStyle w:val="ESch"/>
        <w:rPr>
          <w:rFonts w:cs="Arial"/>
          <w:lang w:val="cs-CZ"/>
        </w:rPr>
      </w:pPr>
    </w:p>
    <w:p w:rsidR="00260F40" w:rsidRPr="003B6E11" w:rsidRDefault="00260F40" w:rsidP="00260F40">
      <w:pPr>
        <w:pStyle w:val="ESch"/>
        <w:rPr>
          <w:rFonts w:cs="Arial"/>
          <w:lang w:val="cs-CZ"/>
        </w:rPr>
      </w:pPr>
    </w:p>
    <w:p w:rsidR="00260F40" w:rsidRPr="003B6E11" w:rsidRDefault="00260F40" w:rsidP="00260F40">
      <w:pPr>
        <w:pStyle w:val="ES-Titre3"/>
        <w:rPr>
          <w:rFonts w:cs="Arial"/>
          <w:i/>
          <w:lang w:val="cs-CZ"/>
        </w:rPr>
      </w:pPr>
      <w:bookmarkStart w:id="274" w:name="_Toc491854134"/>
      <w:bookmarkStart w:id="275" w:name="_Toc535417040"/>
      <w:r w:rsidRPr="003B6E11">
        <w:rPr>
          <w:lang w:val="cs-CZ"/>
        </w:rPr>
        <w:t>Článek 16.02</w:t>
      </w:r>
      <w:r w:rsidRPr="003B6E11">
        <w:rPr>
          <w:lang w:val="cs-CZ"/>
        </w:rPr>
        <w:br/>
      </w:r>
      <w:r w:rsidRPr="003B6E11">
        <w:rPr>
          <w:i/>
          <w:noProof/>
          <w:lang w:val="cs-CZ"/>
        </w:rPr>
        <w:t>Použití kapalných paliv, zařízení na petrolej</w:t>
      </w:r>
      <w:bookmarkEnd w:id="274"/>
      <w:bookmarkEnd w:id="275"/>
    </w:p>
    <w:p w:rsidR="00260F40" w:rsidRPr="003B6E11" w:rsidRDefault="00260F40" w:rsidP="00260F40">
      <w:pPr>
        <w:pStyle w:val="ESch"/>
        <w:rPr>
          <w:noProof/>
          <w:lang w:val="cs-CZ"/>
        </w:rPr>
      </w:pPr>
    </w:p>
    <w:p w:rsidR="00260F40" w:rsidRPr="003B6E11" w:rsidRDefault="00260F40" w:rsidP="00260F40">
      <w:pPr>
        <w:pStyle w:val="ESch"/>
        <w:rPr>
          <w:rFonts w:cs="Arial"/>
          <w:lang w:val="cs-CZ"/>
        </w:rPr>
      </w:pPr>
      <w:r w:rsidRPr="003B6E11">
        <w:rPr>
          <w:lang w:val="cs-CZ"/>
        </w:rPr>
        <w:t>1.</w:t>
      </w:r>
      <w:r w:rsidRPr="003B6E11">
        <w:rPr>
          <w:lang w:val="cs-CZ"/>
        </w:rPr>
        <w:tab/>
        <w:t>Zařízení k topení, vaření a chlazení, které používá kapalné palivo, lze používat pouze s palivy, jejichž bod vzplanutí je vyšší než 55 °C.</w:t>
      </w:r>
    </w:p>
    <w:p w:rsidR="00260F40" w:rsidRPr="003B6E11" w:rsidRDefault="00260F40" w:rsidP="00260F40">
      <w:pPr>
        <w:pStyle w:val="ESch"/>
        <w:rPr>
          <w:noProof/>
          <w:lang w:val="cs-CZ"/>
        </w:rPr>
      </w:pPr>
    </w:p>
    <w:p w:rsidR="00260F40" w:rsidRPr="003B6E11" w:rsidRDefault="00260F40" w:rsidP="00260F40">
      <w:pPr>
        <w:pStyle w:val="ESch"/>
        <w:rPr>
          <w:rFonts w:cs="Arial"/>
          <w:lang w:val="cs-CZ"/>
        </w:rPr>
      </w:pPr>
      <w:r w:rsidRPr="003B6E11">
        <w:rPr>
          <w:lang w:val="cs-CZ"/>
        </w:rPr>
        <w:t>2.</w:t>
      </w:r>
      <w:r w:rsidRPr="003B6E11">
        <w:rPr>
          <w:lang w:val="cs-CZ"/>
        </w:rPr>
        <w:tab/>
        <w:t>Odchylně od odstavce 1 lze v obytných prostorech a kormidelně povolit zařízení k vaření, topení a chlazení vybavené hořáky s knoty fungující na obchodní petrolej, pokud obsah palivové nádrže nepřesahuje 12 litrů.</w:t>
      </w:r>
    </w:p>
    <w:p w:rsidR="00260F40" w:rsidRPr="003B6E11" w:rsidRDefault="00260F40" w:rsidP="00260F40">
      <w:pPr>
        <w:pStyle w:val="ESch"/>
        <w:rPr>
          <w:noProof/>
          <w:lang w:val="cs-CZ"/>
        </w:rPr>
      </w:pPr>
    </w:p>
    <w:p w:rsidR="00260F40" w:rsidRPr="003B6E11" w:rsidRDefault="00260F40" w:rsidP="00260F40">
      <w:pPr>
        <w:pStyle w:val="ESch"/>
        <w:rPr>
          <w:rFonts w:cs="Arial"/>
          <w:lang w:val="cs-CZ"/>
        </w:rPr>
      </w:pPr>
      <w:r w:rsidRPr="003B6E11">
        <w:rPr>
          <w:lang w:val="cs-CZ"/>
        </w:rPr>
        <w:t>3.</w:t>
      </w:r>
      <w:r w:rsidRPr="003B6E11">
        <w:rPr>
          <w:lang w:val="cs-CZ"/>
        </w:rPr>
        <w:tab/>
        <w:t>Zařízení vybavená hořáky s knoty musí:</w:t>
      </w:r>
    </w:p>
    <w:p w:rsidR="00260F40" w:rsidRPr="003B6E11" w:rsidRDefault="005C7859" w:rsidP="00260F40">
      <w:pPr>
        <w:pStyle w:val="ESlet"/>
        <w:rPr>
          <w:rFonts w:cs="Arial"/>
          <w:lang w:val="cs-CZ"/>
        </w:rPr>
      </w:pPr>
      <w:r w:rsidRPr="003B6E11">
        <w:rPr>
          <w:lang w:val="cs-CZ"/>
        </w:rPr>
        <w:t>a)</w:t>
      </w:r>
      <w:r w:rsidRPr="003B6E11">
        <w:rPr>
          <w:lang w:val="cs-CZ"/>
        </w:rPr>
        <w:tab/>
        <w:t>mít kovovou palivovou nádrž, jejíž plnicí otvor lze uzavřít a která nemá pod nejvyšší hladinou plnění žádné měkce pájené spoje a je navržena a umístěna tak, aby ji nebylo možno neúmyslně otevřít nebo vyprázdnit;</w:t>
      </w:r>
    </w:p>
    <w:p w:rsidR="00260F40" w:rsidRPr="003B6E11" w:rsidRDefault="005C7859" w:rsidP="00260F40">
      <w:pPr>
        <w:pStyle w:val="ESlet"/>
        <w:rPr>
          <w:rFonts w:cs="Arial"/>
          <w:lang w:val="cs-CZ"/>
        </w:rPr>
      </w:pPr>
      <w:r w:rsidRPr="003B6E11">
        <w:rPr>
          <w:lang w:val="cs-CZ"/>
        </w:rPr>
        <w:t>b)</w:t>
      </w:r>
      <w:r w:rsidRPr="003B6E11">
        <w:rPr>
          <w:lang w:val="cs-CZ"/>
        </w:rPr>
        <w:tab/>
        <w:t>být možné zapálit bez použití dalšího kapalného paliva a</w:t>
      </w:r>
    </w:p>
    <w:p w:rsidR="00260F40" w:rsidRPr="003B6E11" w:rsidRDefault="005C7859" w:rsidP="00260F40">
      <w:pPr>
        <w:pStyle w:val="ESlet"/>
        <w:rPr>
          <w:rFonts w:cs="Arial"/>
          <w:lang w:val="cs-CZ"/>
        </w:rPr>
      </w:pPr>
      <w:r w:rsidRPr="003B6E11">
        <w:rPr>
          <w:lang w:val="cs-CZ"/>
        </w:rPr>
        <w:t>c)</w:t>
      </w:r>
      <w:r w:rsidRPr="003B6E11">
        <w:rPr>
          <w:lang w:val="cs-CZ"/>
        </w:rPr>
        <w:tab/>
        <w:t>být umístěna tak, aby bylo zajištěno bezpečné odvádění kouřových plynů.</w:t>
      </w:r>
    </w:p>
    <w:p w:rsidR="00260F40" w:rsidRPr="003B6E11" w:rsidRDefault="00260F40" w:rsidP="00260F40">
      <w:pPr>
        <w:pStyle w:val="ESch"/>
        <w:rPr>
          <w:rFonts w:cs="Arial"/>
          <w:lang w:val="cs-CZ"/>
        </w:rPr>
      </w:pPr>
    </w:p>
    <w:p w:rsidR="00260F40" w:rsidRPr="003B6E11" w:rsidRDefault="00260F40" w:rsidP="00260F40">
      <w:pPr>
        <w:pStyle w:val="ESch"/>
        <w:rPr>
          <w:rFonts w:cs="Arial"/>
          <w:lang w:val="cs-CZ"/>
        </w:rPr>
      </w:pPr>
    </w:p>
    <w:p w:rsidR="00260F40" w:rsidRPr="003B6E11" w:rsidRDefault="00260F40" w:rsidP="00260F40">
      <w:pPr>
        <w:pStyle w:val="ES-Titre3"/>
        <w:rPr>
          <w:rFonts w:cs="Arial"/>
          <w:i/>
          <w:lang w:val="cs-CZ"/>
        </w:rPr>
      </w:pPr>
      <w:bookmarkStart w:id="276" w:name="_Toc491854135"/>
      <w:bookmarkStart w:id="277" w:name="_Toc535417041"/>
      <w:r w:rsidRPr="003B6E11">
        <w:rPr>
          <w:lang w:val="cs-CZ"/>
        </w:rPr>
        <w:t>Článek 16.03</w:t>
      </w:r>
      <w:r w:rsidRPr="003B6E11">
        <w:rPr>
          <w:lang w:val="cs-CZ"/>
        </w:rPr>
        <w:br/>
      </w:r>
      <w:r w:rsidRPr="003B6E11">
        <w:rPr>
          <w:i/>
          <w:noProof/>
          <w:lang w:val="cs-CZ"/>
        </w:rPr>
        <w:t>Naftová kamna s odpařovacími hořáky a naftová topná zařízení s hořáky s rozprašováním paliva</w:t>
      </w:r>
      <w:bookmarkEnd w:id="276"/>
      <w:bookmarkEnd w:id="277"/>
    </w:p>
    <w:p w:rsidR="00260F40" w:rsidRPr="003B6E11" w:rsidRDefault="00260F40" w:rsidP="00260F40">
      <w:pPr>
        <w:pStyle w:val="ESch"/>
        <w:rPr>
          <w:noProof/>
          <w:lang w:val="cs-CZ"/>
        </w:rPr>
      </w:pPr>
    </w:p>
    <w:p w:rsidR="00260F40" w:rsidRPr="003B6E11" w:rsidRDefault="00260F40" w:rsidP="00260F40">
      <w:pPr>
        <w:pStyle w:val="ESch"/>
        <w:rPr>
          <w:rFonts w:cs="Arial"/>
          <w:lang w:val="cs-CZ"/>
        </w:rPr>
      </w:pPr>
      <w:r w:rsidRPr="003B6E11">
        <w:rPr>
          <w:lang w:val="cs-CZ"/>
        </w:rPr>
        <w:t>1.</w:t>
      </w:r>
      <w:r w:rsidRPr="003B6E11">
        <w:rPr>
          <w:lang w:val="cs-CZ"/>
        </w:rPr>
        <w:tab/>
        <w:t>Naftová kamna s odpařovacími hořáky a naftová topná zařízení s hořáky s rozprašováním paliva musí být postavena v souladu s osvědčenými postupy.</w:t>
      </w:r>
    </w:p>
    <w:p w:rsidR="00260F40" w:rsidRPr="003B6E11" w:rsidRDefault="00260F40" w:rsidP="00260F40">
      <w:pPr>
        <w:pStyle w:val="ESch"/>
        <w:rPr>
          <w:noProof/>
          <w:lang w:val="cs-CZ"/>
        </w:rPr>
      </w:pPr>
    </w:p>
    <w:p w:rsidR="00260F40" w:rsidRPr="003B6E11" w:rsidRDefault="00260F40" w:rsidP="00260F40">
      <w:pPr>
        <w:pStyle w:val="ESch"/>
        <w:rPr>
          <w:noProof/>
          <w:lang w:val="cs-CZ"/>
        </w:rPr>
      </w:pPr>
      <w:r w:rsidRPr="003B6E11">
        <w:rPr>
          <w:lang w:val="cs-CZ"/>
        </w:rPr>
        <w:br w:type="page"/>
      </w:r>
    </w:p>
    <w:p w:rsidR="00260F40" w:rsidRPr="003B6E11" w:rsidRDefault="00260F40" w:rsidP="00260F40">
      <w:pPr>
        <w:pStyle w:val="ESch"/>
        <w:rPr>
          <w:rFonts w:cs="Arial"/>
          <w:lang w:val="cs-CZ"/>
        </w:rPr>
      </w:pPr>
      <w:r w:rsidRPr="003B6E11">
        <w:rPr>
          <w:lang w:val="cs-CZ"/>
        </w:rPr>
        <w:t>2.</w:t>
      </w:r>
      <w:r w:rsidRPr="003B6E11">
        <w:rPr>
          <w:lang w:val="cs-CZ"/>
        </w:rPr>
        <w:tab/>
        <w:t>Jsou-li naftová kamna s odpařovacími hořáky nebo naftová topná zařízení s hořáky s rozprašováním paliva umístěna ve strojovně, musí být přívod vzduchu k topnému zařízení a motorům uspořádán tak, aby topné zařízení a motory mohly nezávisle na sobě fungovat účinně a bezpečně. Podle potřeby musí být zajištěn samostatný přívod vzduchu. Zařízení musí být umístěno tak, aby plamen z hořáku nemohl zasáhnout součásti ostatních zařízení ve strojovně.</w:t>
      </w:r>
    </w:p>
    <w:p w:rsidR="00260F40" w:rsidRPr="003B6E11" w:rsidRDefault="00260F40" w:rsidP="00260F40">
      <w:pPr>
        <w:pStyle w:val="ESch"/>
        <w:rPr>
          <w:rFonts w:cs="Arial"/>
          <w:lang w:val="cs-CZ"/>
        </w:rPr>
      </w:pPr>
    </w:p>
    <w:p w:rsidR="00260F40" w:rsidRPr="003B6E11" w:rsidRDefault="00260F40" w:rsidP="00260F40">
      <w:pPr>
        <w:pStyle w:val="ESch"/>
        <w:rPr>
          <w:rFonts w:cs="Arial"/>
          <w:lang w:val="cs-CZ"/>
        </w:rPr>
      </w:pPr>
    </w:p>
    <w:p w:rsidR="00260F40" w:rsidRPr="003B6E11" w:rsidRDefault="00260F40" w:rsidP="00260F40">
      <w:pPr>
        <w:pStyle w:val="ES-Titre3"/>
        <w:rPr>
          <w:rFonts w:cs="Arial"/>
          <w:i/>
          <w:lang w:val="cs-CZ"/>
        </w:rPr>
      </w:pPr>
      <w:bookmarkStart w:id="278" w:name="_Toc491854136"/>
      <w:bookmarkStart w:id="279" w:name="_Toc535417042"/>
      <w:r w:rsidRPr="003B6E11">
        <w:rPr>
          <w:lang w:val="cs-CZ"/>
        </w:rPr>
        <w:t>Článek 16.04</w:t>
      </w:r>
      <w:r w:rsidRPr="003B6E11">
        <w:rPr>
          <w:lang w:val="cs-CZ"/>
        </w:rPr>
        <w:br/>
      </w:r>
      <w:r w:rsidRPr="003B6E11">
        <w:rPr>
          <w:i/>
          <w:noProof/>
          <w:lang w:val="cs-CZ"/>
        </w:rPr>
        <w:t>Naftová kamna s odpařovacími hořáky</w:t>
      </w:r>
      <w:bookmarkEnd w:id="278"/>
      <w:bookmarkEnd w:id="279"/>
    </w:p>
    <w:p w:rsidR="00260F40" w:rsidRPr="003B6E11" w:rsidRDefault="00260F40" w:rsidP="00260F40">
      <w:pPr>
        <w:pStyle w:val="ESch"/>
        <w:rPr>
          <w:i/>
          <w:noProof/>
          <w:lang w:val="cs-CZ"/>
        </w:rPr>
      </w:pPr>
    </w:p>
    <w:p w:rsidR="00260F40" w:rsidRPr="003B6E11" w:rsidRDefault="00260F40" w:rsidP="00260F40">
      <w:pPr>
        <w:pStyle w:val="ESch"/>
        <w:rPr>
          <w:rFonts w:cs="Arial"/>
          <w:lang w:val="cs-CZ"/>
        </w:rPr>
      </w:pPr>
      <w:r w:rsidRPr="003B6E11">
        <w:rPr>
          <w:lang w:val="cs-CZ"/>
        </w:rPr>
        <w:t>1.</w:t>
      </w:r>
      <w:r w:rsidRPr="003B6E11">
        <w:rPr>
          <w:lang w:val="cs-CZ"/>
        </w:rPr>
        <w:tab/>
        <w:t>Naftová kamna s odpařovacími hořáky musí být možné zapálit bez použití jiné hořlavé kapaliny. Musí být umístěna nad kovovou odkapovou nádobou, která zahrnuje všechny části vedoucí palivo a jejíž postranice jsou nejméně 20 mm vysoké a objem je nejméně 2 litry.</w:t>
      </w:r>
    </w:p>
    <w:p w:rsidR="00260F40" w:rsidRPr="003B6E11" w:rsidRDefault="00260F40" w:rsidP="00260F40">
      <w:pPr>
        <w:pStyle w:val="ESch"/>
        <w:rPr>
          <w:noProof/>
          <w:lang w:val="cs-CZ"/>
        </w:rPr>
      </w:pPr>
    </w:p>
    <w:p w:rsidR="00260F40" w:rsidRPr="003B6E11" w:rsidRDefault="00260F40" w:rsidP="00260F40">
      <w:pPr>
        <w:pStyle w:val="ESch"/>
        <w:rPr>
          <w:rFonts w:cs="Arial"/>
          <w:lang w:val="cs-CZ"/>
        </w:rPr>
      </w:pPr>
      <w:r w:rsidRPr="003B6E11">
        <w:rPr>
          <w:lang w:val="cs-CZ"/>
        </w:rPr>
        <w:t>2.</w:t>
      </w:r>
      <w:r w:rsidRPr="003B6E11">
        <w:rPr>
          <w:lang w:val="cs-CZ"/>
        </w:rPr>
        <w:tab/>
        <w:t>U naftových kamen s odpařovacími hořáky umístěných ve strojovně musí být postranice kovové odkapové nádoby podle odstavce 1 nejméně 200 mm vysoké. Spodní okraj odpařovacího hořáku musí být umístěn nad okrajem odkapové nádoby. Horní okraj odkapové nádoby musí sahat nejméně 100 mm nad podlahu.</w:t>
      </w:r>
    </w:p>
    <w:p w:rsidR="00260F40" w:rsidRPr="003B6E11" w:rsidRDefault="00260F40" w:rsidP="00260F40">
      <w:pPr>
        <w:pStyle w:val="ESch"/>
        <w:rPr>
          <w:noProof/>
          <w:lang w:val="cs-CZ"/>
        </w:rPr>
      </w:pPr>
    </w:p>
    <w:p w:rsidR="00260F40" w:rsidRPr="003B6E11" w:rsidRDefault="00260F40" w:rsidP="00260F40">
      <w:pPr>
        <w:pStyle w:val="ESch"/>
        <w:rPr>
          <w:rFonts w:cs="Arial"/>
          <w:lang w:val="cs-CZ"/>
        </w:rPr>
      </w:pPr>
      <w:r w:rsidRPr="003B6E11">
        <w:rPr>
          <w:lang w:val="cs-CZ"/>
        </w:rPr>
        <w:t>3.</w:t>
      </w:r>
      <w:r w:rsidRPr="003B6E11">
        <w:rPr>
          <w:lang w:val="cs-CZ"/>
        </w:rPr>
        <w:tab/>
        <w:t>Naftová kamna s odpařovacími hořáky musí být vybavena vhodným regulátorem, který při všech nastaveních zajišťuje prakticky stálý přívod paliva k hořáku a který při zhasnutí plamene zabraňuje rozlévání paliva. Za vhodné se považují regulátory, které fungují účinně i v případě, jsou-li vystaveny vibracím a nakloněny až o 12°, a které kromě plováku k regulaci hladiny mají</w:t>
      </w:r>
    </w:p>
    <w:p w:rsidR="00260F40" w:rsidRPr="003B6E11" w:rsidRDefault="005C7859" w:rsidP="00260F40">
      <w:pPr>
        <w:pStyle w:val="ESlet"/>
        <w:rPr>
          <w:rFonts w:cs="Arial"/>
          <w:lang w:val="cs-CZ"/>
        </w:rPr>
      </w:pPr>
      <w:r w:rsidRPr="003B6E11">
        <w:rPr>
          <w:lang w:val="cs-CZ"/>
        </w:rPr>
        <w:t>a)</w:t>
      </w:r>
      <w:r w:rsidRPr="003B6E11">
        <w:rPr>
          <w:lang w:val="cs-CZ"/>
        </w:rPr>
        <w:tab/>
        <w:t>druhý plovák, který bezpečně a spolehlivě zastavuje přívod paliva při překročení povolené hladiny, nebo</w:t>
      </w:r>
    </w:p>
    <w:p w:rsidR="00260F40" w:rsidRPr="003B6E11" w:rsidRDefault="005C7859" w:rsidP="00260F40">
      <w:pPr>
        <w:pStyle w:val="ESlet"/>
        <w:rPr>
          <w:rFonts w:cs="Arial"/>
          <w:lang w:val="cs-CZ"/>
        </w:rPr>
      </w:pPr>
      <w:r w:rsidRPr="003B6E11">
        <w:rPr>
          <w:lang w:val="cs-CZ"/>
        </w:rPr>
        <w:t>b)</w:t>
      </w:r>
      <w:r w:rsidRPr="003B6E11">
        <w:rPr>
          <w:lang w:val="cs-CZ"/>
        </w:rPr>
        <w:tab/>
        <w:t>přetokovou trubku, ale pouze tehdy, pokud má odkapová nádoba dostatečný objem, aby mohla zachytit alespoň obsah palivové nádrže.</w:t>
      </w:r>
    </w:p>
    <w:p w:rsidR="00260F40" w:rsidRPr="003B6E11" w:rsidRDefault="00260F40" w:rsidP="00260F40">
      <w:pPr>
        <w:pStyle w:val="ESch"/>
        <w:rPr>
          <w:noProof/>
          <w:lang w:val="cs-CZ"/>
        </w:rPr>
      </w:pPr>
    </w:p>
    <w:p w:rsidR="00260F40" w:rsidRPr="003B6E11" w:rsidRDefault="00260F40" w:rsidP="00260F40">
      <w:pPr>
        <w:pStyle w:val="ESch"/>
        <w:rPr>
          <w:rFonts w:cs="Arial"/>
          <w:lang w:val="cs-CZ"/>
        </w:rPr>
      </w:pPr>
      <w:r w:rsidRPr="003B6E11">
        <w:rPr>
          <w:lang w:val="cs-CZ"/>
        </w:rPr>
        <w:t>4.</w:t>
      </w:r>
      <w:r w:rsidRPr="003B6E11">
        <w:rPr>
          <w:lang w:val="cs-CZ"/>
        </w:rPr>
        <w:tab/>
        <w:t>Pokud je palivová nádrž naftových kamen s odpařovacími hořáky oddělená od zařízení,</w:t>
      </w:r>
    </w:p>
    <w:p w:rsidR="00260F40" w:rsidRPr="003B6E11" w:rsidRDefault="005C7859" w:rsidP="00260F40">
      <w:pPr>
        <w:pStyle w:val="ESlet"/>
        <w:rPr>
          <w:rFonts w:cs="Arial"/>
          <w:lang w:val="cs-CZ"/>
        </w:rPr>
      </w:pPr>
      <w:r w:rsidRPr="003B6E11">
        <w:rPr>
          <w:lang w:val="cs-CZ"/>
        </w:rPr>
        <w:t>a)</w:t>
      </w:r>
      <w:r w:rsidRPr="003B6E11">
        <w:rPr>
          <w:lang w:val="cs-CZ"/>
        </w:rPr>
        <w:tab/>
        <w:t>spád mezi nádrží a napájením hořáku nesmí překročit hodnotu uvedenou v návodu k obsluze dodaném výrobcem;</w:t>
      </w:r>
    </w:p>
    <w:p w:rsidR="00260F40" w:rsidRPr="003B6E11" w:rsidRDefault="005C7859" w:rsidP="00260F40">
      <w:pPr>
        <w:pStyle w:val="ESlet"/>
        <w:rPr>
          <w:rFonts w:cs="Arial"/>
          <w:lang w:val="cs-CZ"/>
        </w:rPr>
      </w:pPr>
      <w:r w:rsidRPr="003B6E11">
        <w:rPr>
          <w:lang w:val="cs-CZ"/>
        </w:rPr>
        <w:t>b)</w:t>
      </w:r>
      <w:r w:rsidRPr="003B6E11">
        <w:rPr>
          <w:lang w:val="cs-CZ"/>
        </w:rPr>
        <w:tab/>
        <w:t>musí být umístěna tak, aby byla chráněna před nepřípustným zahříváním;</w:t>
      </w:r>
    </w:p>
    <w:p w:rsidR="00260F40" w:rsidRPr="003B6E11" w:rsidRDefault="005C7859" w:rsidP="00260F40">
      <w:pPr>
        <w:pStyle w:val="ESlet"/>
        <w:rPr>
          <w:rFonts w:cs="Arial"/>
          <w:lang w:val="cs-CZ"/>
        </w:rPr>
      </w:pPr>
      <w:r w:rsidRPr="003B6E11">
        <w:rPr>
          <w:lang w:val="cs-CZ"/>
        </w:rPr>
        <w:t>c)</w:t>
      </w:r>
      <w:r w:rsidRPr="003B6E11">
        <w:rPr>
          <w:lang w:val="cs-CZ"/>
        </w:rPr>
        <w:tab/>
        <w:t>musí být možné z paluby přerušit tok paliva.</w:t>
      </w:r>
    </w:p>
    <w:p w:rsidR="00260F40" w:rsidRPr="003B6E11" w:rsidRDefault="00260F40" w:rsidP="00260F40">
      <w:pPr>
        <w:pStyle w:val="ESch"/>
        <w:rPr>
          <w:noProof/>
          <w:lang w:val="cs-CZ"/>
        </w:rPr>
      </w:pPr>
    </w:p>
    <w:p w:rsidR="00260F40" w:rsidRPr="003B6E11" w:rsidRDefault="00260F40" w:rsidP="00260F40">
      <w:pPr>
        <w:pStyle w:val="ESch"/>
        <w:rPr>
          <w:rFonts w:cs="Arial"/>
          <w:lang w:val="cs-CZ"/>
        </w:rPr>
      </w:pPr>
      <w:r w:rsidRPr="003B6E11">
        <w:rPr>
          <w:lang w:val="cs-CZ"/>
        </w:rPr>
        <w:t>5.</w:t>
      </w:r>
      <w:r w:rsidRPr="003B6E11">
        <w:rPr>
          <w:lang w:val="cs-CZ"/>
        </w:rPr>
        <w:tab/>
        <w:t>Kouřovody naftových kamen s odpařovacími hořáky musí být vybaveny zařízením proti obrácení tahu.</w:t>
      </w:r>
    </w:p>
    <w:p w:rsidR="00260F40" w:rsidRPr="003B6E11" w:rsidRDefault="00260F40" w:rsidP="00260F40">
      <w:pPr>
        <w:pStyle w:val="ESch"/>
        <w:rPr>
          <w:rFonts w:cs="Arial"/>
          <w:lang w:val="cs-CZ"/>
        </w:rPr>
      </w:pPr>
    </w:p>
    <w:p w:rsidR="00260F40" w:rsidRPr="003B6E11" w:rsidRDefault="00260F40" w:rsidP="00260F40">
      <w:pPr>
        <w:pStyle w:val="ESch"/>
        <w:rPr>
          <w:rFonts w:cs="Arial"/>
          <w:lang w:val="cs-CZ"/>
        </w:rPr>
      </w:pPr>
    </w:p>
    <w:p w:rsidR="00260F40" w:rsidRPr="003B6E11" w:rsidRDefault="00260F40" w:rsidP="00260F40">
      <w:pPr>
        <w:pStyle w:val="ES-Titre3"/>
        <w:rPr>
          <w:rFonts w:cs="Arial"/>
          <w:i/>
          <w:lang w:val="cs-CZ"/>
        </w:rPr>
      </w:pPr>
      <w:bookmarkStart w:id="280" w:name="_Toc491854137"/>
      <w:bookmarkStart w:id="281" w:name="_Toc535417043"/>
      <w:r w:rsidRPr="003B6E11">
        <w:rPr>
          <w:lang w:val="cs-CZ"/>
        </w:rPr>
        <w:t>Článek 16.05</w:t>
      </w:r>
      <w:r w:rsidRPr="003B6E11">
        <w:rPr>
          <w:lang w:val="cs-CZ"/>
        </w:rPr>
        <w:br/>
      </w:r>
      <w:r w:rsidRPr="003B6E11">
        <w:rPr>
          <w:i/>
          <w:noProof/>
          <w:lang w:val="cs-CZ"/>
        </w:rPr>
        <w:t>Naftová topná zařízení s hořáky s rozprašováním paliva</w:t>
      </w:r>
      <w:bookmarkEnd w:id="280"/>
      <w:bookmarkEnd w:id="281"/>
    </w:p>
    <w:p w:rsidR="00260F40" w:rsidRPr="003B6E11" w:rsidRDefault="00260F40" w:rsidP="00260F40">
      <w:pPr>
        <w:pStyle w:val="ESch"/>
        <w:rPr>
          <w:noProof/>
          <w:lang w:val="cs-CZ"/>
        </w:rPr>
      </w:pPr>
    </w:p>
    <w:p w:rsidR="00260F40" w:rsidRPr="003B6E11" w:rsidRDefault="00260F40" w:rsidP="00260F40">
      <w:pPr>
        <w:pStyle w:val="ESgauche"/>
        <w:rPr>
          <w:rFonts w:cs="Arial"/>
          <w:lang w:val="cs-CZ"/>
        </w:rPr>
      </w:pPr>
      <w:r w:rsidRPr="003B6E11">
        <w:rPr>
          <w:lang w:val="cs-CZ"/>
        </w:rPr>
        <w:t>Naftová topná zařízení s hořáky s rozprašováním paliva musí splňovat zejména tyto požadavky:</w:t>
      </w:r>
    </w:p>
    <w:p w:rsidR="00260F40" w:rsidRPr="003B6E11" w:rsidRDefault="005C7859" w:rsidP="00260F40">
      <w:pPr>
        <w:pStyle w:val="ESletgauche"/>
        <w:rPr>
          <w:rFonts w:cs="Arial"/>
          <w:lang w:val="cs-CZ"/>
        </w:rPr>
      </w:pPr>
      <w:r w:rsidRPr="003B6E11">
        <w:rPr>
          <w:lang w:val="cs-CZ"/>
        </w:rPr>
        <w:t>a)</w:t>
      </w:r>
      <w:r w:rsidRPr="003B6E11">
        <w:rPr>
          <w:lang w:val="cs-CZ"/>
        </w:rPr>
        <w:tab/>
        <w:t>před přívodem paliva musí být zajištěno přiměřené vyvětrání hořáku;</w:t>
      </w:r>
    </w:p>
    <w:p w:rsidR="00260F40" w:rsidRPr="003B6E11" w:rsidRDefault="005C7859" w:rsidP="00260F40">
      <w:pPr>
        <w:pStyle w:val="ESletgauche"/>
        <w:rPr>
          <w:rFonts w:cs="Arial"/>
          <w:lang w:val="cs-CZ"/>
        </w:rPr>
      </w:pPr>
      <w:r w:rsidRPr="003B6E11">
        <w:rPr>
          <w:lang w:val="cs-CZ"/>
        </w:rPr>
        <w:t>b)</w:t>
      </w:r>
      <w:r w:rsidRPr="003B6E11">
        <w:rPr>
          <w:lang w:val="cs-CZ"/>
        </w:rPr>
        <w:tab/>
        <w:t>přívod paliva musí být regulován termostatem;</w:t>
      </w:r>
    </w:p>
    <w:p w:rsidR="00260F40" w:rsidRPr="003B6E11" w:rsidRDefault="005C7859" w:rsidP="00260F40">
      <w:pPr>
        <w:pStyle w:val="ESletgauche"/>
        <w:rPr>
          <w:rFonts w:cs="Arial"/>
          <w:lang w:val="cs-CZ"/>
        </w:rPr>
      </w:pPr>
      <w:r w:rsidRPr="003B6E11">
        <w:rPr>
          <w:lang w:val="cs-CZ"/>
        </w:rPr>
        <w:t>c)</w:t>
      </w:r>
      <w:r w:rsidRPr="003B6E11">
        <w:rPr>
          <w:lang w:val="cs-CZ"/>
        </w:rPr>
        <w:tab/>
        <w:t>palivo musí být zažehnuto elektrickým přístrojem nebo zapalovacím plamenem;</w:t>
      </w:r>
    </w:p>
    <w:p w:rsidR="00260F40" w:rsidRPr="003B6E11" w:rsidRDefault="00260F40" w:rsidP="00260F40">
      <w:pPr>
        <w:pStyle w:val="ESletgauche"/>
        <w:rPr>
          <w:noProof/>
          <w:lang w:val="cs-CZ"/>
        </w:rPr>
      </w:pPr>
    </w:p>
    <w:p w:rsidR="00260F40" w:rsidRPr="003B6E11" w:rsidRDefault="00260F40" w:rsidP="00260F40">
      <w:pPr>
        <w:pStyle w:val="ESletgauche"/>
        <w:rPr>
          <w:noProof/>
          <w:lang w:val="cs-CZ"/>
        </w:rPr>
      </w:pPr>
      <w:r w:rsidRPr="003B6E11">
        <w:rPr>
          <w:lang w:val="cs-CZ"/>
        </w:rPr>
        <w:br w:type="page"/>
      </w:r>
    </w:p>
    <w:p w:rsidR="00260F40" w:rsidRPr="003B6E11" w:rsidRDefault="005C7859" w:rsidP="00260F40">
      <w:pPr>
        <w:pStyle w:val="ESletgauche"/>
        <w:rPr>
          <w:rFonts w:cs="Arial"/>
          <w:lang w:val="cs-CZ"/>
        </w:rPr>
      </w:pPr>
      <w:r w:rsidRPr="003B6E11">
        <w:rPr>
          <w:lang w:val="cs-CZ"/>
        </w:rPr>
        <w:t>d)</w:t>
      </w:r>
      <w:r w:rsidRPr="003B6E11">
        <w:rPr>
          <w:lang w:val="cs-CZ"/>
        </w:rPr>
        <w:tab/>
        <w:t>při zhasnutí plamene musí zařízení ke sledování plamene zastavit přívod paliva;</w:t>
      </w:r>
    </w:p>
    <w:p w:rsidR="00260F40" w:rsidRPr="003B6E11" w:rsidRDefault="0029453D" w:rsidP="00260F40">
      <w:pPr>
        <w:pStyle w:val="ESletgauche"/>
        <w:rPr>
          <w:noProof/>
          <w:lang w:val="cs-CZ"/>
        </w:rPr>
      </w:pPr>
      <w:r w:rsidRPr="003B6E11">
        <w:rPr>
          <w:lang w:val="cs-CZ"/>
        </w:rPr>
        <w:t>e)</w:t>
      </w:r>
      <w:r w:rsidRPr="003B6E11">
        <w:rPr>
          <w:lang w:val="cs-CZ"/>
        </w:rPr>
        <w:tab/>
        <w:t>hlavní spínač musí být umístěn na snadno dostupném místě mimo prostor, v němž se zařízení nachází.</w:t>
      </w:r>
    </w:p>
    <w:p w:rsidR="00260F40" w:rsidRPr="003B6E11" w:rsidRDefault="00260F40" w:rsidP="00260F40">
      <w:pPr>
        <w:pStyle w:val="ESletgauche"/>
        <w:rPr>
          <w:noProof/>
          <w:lang w:val="cs-CZ"/>
        </w:rPr>
      </w:pPr>
    </w:p>
    <w:p w:rsidR="00260F40" w:rsidRPr="003B6E11" w:rsidRDefault="00260F40" w:rsidP="00260F40">
      <w:pPr>
        <w:pStyle w:val="ESch"/>
        <w:rPr>
          <w:rFonts w:cs="Arial"/>
          <w:lang w:val="cs-CZ"/>
        </w:rPr>
      </w:pPr>
    </w:p>
    <w:p w:rsidR="00260F40" w:rsidRPr="003B6E11" w:rsidRDefault="00260F40" w:rsidP="00260F40">
      <w:pPr>
        <w:pStyle w:val="ES-Titre3"/>
        <w:rPr>
          <w:rFonts w:cs="Arial"/>
          <w:i/>
          <w:lang w:val="cs-CZ"/>
        </w:rPr>
      </w:pPr>
      <w:bookmarkStart w:id="282" w:name="_Toc491854138"/>
      <w:bookmarkStart w:id="283" w:name="_Toc535417044"/>
      <w:r w:rsidRPr="003B6E11">
        <w:rPr>
          <w:lang w:val="cs-CZ"/>
        </w:rPr>
        <w:t>Článek 16.06</w:t>
      </w:r>
      <w:r w:rsidRPr="003B6E11">
        <w:rPr>
          <w:lang w:val="cs-CZ"/>
        </w:rPr>
        <w:br/>
      </w:r>
      <w:r w:rsidRPr="003B6E11">
        <w:rPr>
          <w:i/>
          <w:noProof/>
          <w:lang w:val="cs-CZ"/>
        </w:rPr>
        <w:t>Topné zařízení s nuceným tahem</w:t>
      </w:r>
      <w:bookmarkEnd w:id="282"/>
      <w:bookmarkEnd w:id="283"/>
    </w:p>
    <w:p w:rsidR="00260F40" w:rsidRPr="003B6E11" w:rsidRDefault="00260F40" w:rsidP="00260F40">
      <w:pPr>
        <w:pStyle w:val="ESch"/>
        <w:rPr>
          <w:noProof/>
          <w:lang w:val="cs-CZ"/>
        </w:rPr>
      </w:pPr>
    </w:p>
    <w:p w:rsidR="00260F40" w:rsidRPr="003B6E11" w:rsidRDefault="00260F40" w:rsidP="00260F40">
      <w:pPr>
        <w:pStyle w:val="ESgauche"/>
        <w:rPr>
          <w:rFonts w:cs="Arial"/>
          <w:lang w:val="cs-CZ"/>
        </w:rPr>
      </w:pPr>
      <w:r w:rsidRPr="003B6E11">
        <w:rPr>
          <w:lang w:val="cs-CZ"/>
        </w:rPr>
        <w:t>Topné zařízení s nuceným tahem skládající se ze spalovací komory, kolem níž je topný vzduch veden pod tlakem k rozvodnému systému nebo do místnosti, musí splňovat tyto požadavky:</w:t>
      </w:r>
    </w:p>
    <w:p w:rsidR="00260F40" w:rsidRPr="003B6E11" w:rsidRDefault="005C7859" w:rsidP="00260F40">
      <w:pPr>
        <w:pStyle w:val="ESletgauche"/>
        <w:rPr>
          <w:rFonts w:cs="Arial"/>
          <w:lang w:val="cs-CZ"/>
        </w:rPr>
      </w:pPr>
      <w:r w:rsidRPr="003B6E11">
        <w:rPr>
          <w:lang w:val="cs-CZ"/>
        </w:rPr>
        <w:t>a)</w:t>
      </w:r>
      <w:r w:rsidRPr="003B6E11">
        <w:rPr>
          <w:lang w:val="cs-CZ"/>
        </w:rPr>
        <w:tab/>
        <w:t>Je-li palivo rozprašováno pod tlakem, musí být přívod spalovacího vzduchu zajištěn pomocí ventilátoru.</w:t>
      </w:r>
    </w:p>
    <w:p w:rsidR="00260F40" w:rsidRPr="003B6E11" w:rsidRDefault="005C7859" w:rsidP="00260F40">
      <w:pPr>
        <w:pStyle w:val="ESletgauche"/>
        <w:rPr>
          <w:rFonts w:cs="Arial"/>
          <w:lang w:val="cs-CZ"/>
        </w:rPr>
      </w:pPr>
      <w:r w:rsidRPr="003B6E11">
        <w:rPr>
          <w:lang w:val="cs-CZ"/>
        </w:rPr>
        <w:t>b)</w:t>
      </w:r>
      <w:r w:rsidRPr="003B6E11">
        <w:rPr>
          <w:lang w:val="cs-CZ"/>
        </w:rPr>
        <w:tab/>
        <w:t>Před zapálením hořáku musí být spalovací komora dobře vyvětrána. Větrání lze považovat za dobré, pokud ventilátor spalovacího vzduchu funguje i po zhasnutí plamene.</w:t>
      </w:r>
    </w:p>
    <w:p w:rsidR="00260F40" w:rsidRPr="003B6E11" w:rsidRDefault="005C7859" w:rsidP="00260F40">
      <w:pPr>
        <w:pStyle w:val="ESletgauche"/>
        <w:rPr>
          <w:rFonts w:cs="Arial"/>
          <w:lang w:val="cs-CZ"/>
        </w:rPr>
      </w:pPr>
      <w:r w:rsidRPr="003B6E11">
        <w:rPr>
          <w:lang w:val="cs-CZ"/>
        </w:rPr>
        <w:t>c)</w:t>
      </w:r>
      <w:r w:rsidRPr="003B6E11">
        <w:rPr>
          <w:lang w:val="cs-CZ"/>
        </w:rPr>
        <w:tab/>
        <w:t>Přívod paliva musí být automaticky zastaven, pokud:</w:t>
      </w:r>
    </w:p>
    <w:p w:rsidR="00260F40" w:rsidRPr="003B6E11" w:rsidRDefault="00260F40" w:rsidP="00260F40">
      <w:pPr>
        <w:pStyle w:val="ESletgauche"/>
        <w:ind w:firstLine="0"/>
        <w:rPr>
          <w:rFonts w:cs="Arial"/>
          <w:lang w:val="cs-CZ"/>
        </w:rPr>
      </w:pPr>
      <w:r w:rsidRPr="003B6E11">
        <w:rPr>
          <w:lang w:val="cs-CZ"/>
        </w:rPr>
        <w:t>oheň zhasne;</w:t>
      </w:r>
    </w:p>
    <w:p w:rsidR="00260F40" w:rsidRPr="003B6E11" w:rsidRDefault="00260F40" w:rsidP="00260F40">
      <w:pPr>
        <w:pStyle w:val="ESletgauche"/>
        <w:ind w:firstLine="0"/>
        <w:rPr>
          <w:rFonts w:cs="Arial"/>
          <w:lang w:val="cs-CZ"/>
        </w:rPr>
      </w:pPr>
      <w:r w:rsidRPr="003B6E11">
        <w:rPr>
          <w:lang w:val="cs-CZ"/>
        </w:rPr>
        <w:t>přívod spalovacího vzduchu není dostatečný;</w:t>
      </w:r>
    </w:p>
    <w:p w:rsidR="00260F40" w:rsidRPr="003B6E11" w:rsidRDefault="00260F40" w:rsidP="00260F40">
      <w:pPr>
        <w:pStyle w:val="ESletgauche"/>
        <w:ind w:firstLine="0"/>
        <w:rPr>
          <w:rFonts w:cs="Arial"/>
          <w:lang w:val="cs-CZ"/>
        </w:rPr>
      </w:pPr>
      <w:r w:rsidRPr="003B6E11">
        <w:rPr>
          <w:lang w:val="cs-CZ"/>
        </w:rPr>
        <w:t>ohřátý vzduch překračuje předem nastavenou teplotu nebo</w:t>
      </w:r>
    </w:p>
    <w:p w:rsidR="00260F40" w:rsidRPr="003B6E11" w:rsidRDefault="00260F40" w:rsidP="00260F40">
      <w:pPr>
        <w:pStyle w:val="ESletgauche"/>
        <w:ind w:firstLine="0"/>
        <w:rPr>
          <w:rFonts w:cs="Arial"/>
          <w:lang w:val="cs-CZ"/>
        </w:rPr>
      </w:pPr>
      <w:r w:rsidRPr="003B6E11">
        <w:rPr>
          <w:lang w:val="cs-CZ"/>
        </w:rPr>
        <w:t>dojde k výpadku napájení bezpečnostních zařízení.</w:t>
      </w:r>
    </w:p>
    <w:p w:rsidR="00260F40" w:rsidRPr="003B6E11" w:rsidRDefault="00260F40" w:rsidP="00260F40">
      <w:pPr>
        <w:pStyle w:val="ESletgauche"/>
        <w:ind w:firstLine="0"/>
        <w:rPr>
          <w:rFonts w:cs="Arial"/>
          <w:lang w:val="cs-CZ"/>
        </w:rPr>
      </w:pPr>
      <w:r w:rsidRPr="003B6E11">
        <w:rPr>
          <w:lang w:val="cs-CZ"/>
        </w:rPr>
        <w:t>V těchto případech nesmí být přívod paliva po zastavení automaticky obnoven.</w:t>
      </w:r>
    </w:p>
    <w:p w:rsidR="00260F40" w:rsidRPr="003B6E11" w:rsidRDefault="005C7859" w:rsidP="00260F40">
      <w:pPr>
        <w:pStyle w:val="ESletgauche"/>
        <w:rPr>
          <w:rFonts w:cs="Arial"/>
          <w:lang w:val="cs-CZ"/>
        </w:rPr>
      </w:pPr>
      <w:r w:rsidRPr="003B6E11">
        <w:rPr>
          <w:lang w:val="cs-CZ"/>
        </w:rPr>
        <w:t>d)</w:t>
      </w:r>
      <w:r w:rsidRPr="003B6E11">
        <w:rPr>
          <w:lang w:val="cs-CZ"/>
        </w:rPr>
        <w:tab/>
        <w:t>Ventilátory spalovacího a topného vzduchu musí být možné vypnout mimo prostor, v němž se topné zařízení nachází.</w:t>
      </w:r>
    </w:p>
    <w:p w:rsidR="00260F40" w:rsidRPr="003B6E11" w:rsidRDefault="0029453D" w:rsidP="00260F40">
      <w:pPr>
        <w:pStyle w:val="ESletgauche"/>
        <w:rPr>
          <w:rFonts w:cs="Arial"/>
          <w:lang w:val="cs-CZ"/>
        </w:rPr>
      </w:pPr>
      <w:r w:rsidRPr="003B6E11">
        <w:rPr>
          <w:lang w:val="cs-CZ"/>
        </w:rPr>
        <w:t>e)</w:t>
      </w:r>
      <w:r w:rsidRPr="003B6E11">
        <w:rPr>
          <w:lang w:val="cs-CZ"/>
        </w:rPr>
        <w:tab/>
        <w:t>Je-li topný vzduch nasáván zvenku, musí být vstupní větrací kanály umístěny co nejvýše nad palubou. Musí být namontovány tak, aby se do nich nemohla dostat dešťová nebo rozstřikovaná voda.</w:t>
      </w:r>
    </w:p>
    <w:p w:rsidR="00260F40" w:rsidRPr="003B6E11" w:rsidRDefault="0029453D" w:rsidP="00260F40">
      <w:pPr>
        <w:pStyle w:val="ESletgauche"/>
        <w:rPr>
          <w:rFonts w:cs="Arial"/>
          <w:lang w:val="cs-CZ"/>
        </w:rPr>
      </w:pPr>
      <w:r w:rsidRPr="003B6E11">
        <w:rPr>
          <w:lang w:val="cs-CZ"/>
        </w:rPr>
        <w:t>f)</w:t>
      </w:r>
      <w:r w:rsidRPr="003B6E11">
        <w:rPr>
          <w:lang w:val="cs-CZ"/>
        </w:rPr>
        <w:tab/>
        <w:t>Vedení topného vzduchu musí být z kovu.</w:t>
      </w:r>
    </w:p>
    <w:p w:rsidR="00260F40" w:rsidRPr="003B6E11" w:rsidRDefault="0029453D" w:rsidP="00260F40">
      <w:pPr>
        <w:pStyle w:val="ESletgauche"/>
        <w:rPr>
          <w:rFonts w:cs="Arial"/>
          <w:lang w:val="cs-CZ"/>
        </w:rPr>
      </w:pPr>
      <w:r w:rsidRPr="003B6E11">
        <w:rPr>
          <w:lang w:val="cs-CZ"/>
        </w:rPr>
        <w:t>g)</w:t>
      </w:r>
      <w:r w:rsidRPr="003B6E11">
        <w:rPr>
          <w:lang w:val="cs-CZ"/>
        </w:rPr>
        <w:tab/>
        <w:t>Výstupní otvory topného vzduchu nesmí být možné úplně zavřít.</w:t>
      </w:r>
    </w:p>
    <w:p w:rsidR="00260F40" w:rsidRPr="003B6E11" w:rsidRDefault="0029453D" w:rsidP="00260F40">
      <w:pPr>
        <w:pStyle w:val="ESletgauche"/>
        <w:rPr>
          <w:rFonts w:cs="Arial"/>
          <w:lang w:val="cs-CZ"/>
        </w:rPr>
      </w:pPr>
      <w:r w:rsidRPr="003B6E11">
        <w:rPr>
          <w:lang w:val="cs-CZ"/>
        </w:rPr>
        <w:t>h)</w:t>
      </w:r>
      <w:r w:rsidRPr="003B6E11">
        <w:rPr>
          <w:lang w:val="cs-CZ"/>
        </w:rPr>
        <w:tab/>
        <w:t>Unikající palivo se nesmí dostat do vedení topného vzduchu.</w:t>
      </w:r>
    </w:p>
    <w:p w:rsidR="00260F40" w:rsidRPr="003B6E11" w:rsidRDefault="0029453D" w:rsidP="00260F40">
      <w:pPr>
        <w:pStyle w:val="ESletgauche"/>
        <w:rPr>
          <w:rFonts w:cs="Arial"/>
          <w:lang w:val="cs-CZ"/>
        </w:rPr>
      </w:pPr>
      <w:r w:rsidRPr="003B6E11">
        <w:rPr>
          <w:lang w:val="cs-CZ"/>
        </w:rPr>
        <w:t>i)</w:t>
      </w:r>
      <w:r w:rsidRPr="003B6E11">
        <w:rPr>
          <w:lang w:val="cs-CZ"/>
        </w:rPr>
        <w:tab/>
        <w:t>U topných zařízení s nuceným tahem nesmí být možné, aby nasávala topný vzduch ze strojovny.</w:t>
      </w:r>
    </w:p>
    <w:p w:rsidR="00260F40" w:rsidRPr="003B6E11" w:rsidRDefault="00260F40" w:rsidP="00260F40">
      <w:pPr>
        <w:pStyle w:val="ESch"/>
        <w:rPr>
          <w:rFonts w:cs="Arial"/>
          <w:lang w:val="cs-CZ"/>
        </w:rPr>
      </w:pPr>
    </w:p>
    <w:p w:rsidR="00260F40" w:rsidRPr="003B6E11" w:rsidRDefault="00260F40" w:rsidP="00260F40">
      <w:pPr>
        <w:pStyle w:val="ESch"/>
        <w:rPr>
          <w:rFonts w:cs="Arial"/>
          <w:lang w:val="cs-CZ"/>
        </w:rPr>
      </w:pPr>
    </w:p>
    <w:p w:rsidR="00260F40" w:rsidRPr="003B6E11" w:rsidRDefault="00260F40" w:rsidP="00260F40">
      <w:pPr>
        <w:pStyle w:val="ES-Titre3"/>
        <w:rPr>
          <w:rFonts w:cs="Arial"/>
          <w:i/>
          <w:lang w:val="cs-CZ"/>
        </w:rPr>
      </w:pPr>
      <w:bookmarkStart w:id="284" w:name="_Toc491854139"/>
      <w:bookmarkStart w:id="285" w:name="_Toc535417045"/>
      <w:r w:rsidRPr="003B6E11">
        <w:rPr>
          <w:lang w:val="cs-CZ"/>
        </w:rPr>
        <w:t>Článek 16.07</w:t>
      </w:r>
      <w:r w:rsidRPr="003B6E11">
        <w:rPr>
          <w:lang w:val="cs-CZ"/>
        </w:rPr>
        <w:br/>
      </w:r>
      <w:r w:rsidRPr="003B6E11">
        <w:rPr>
          <w:i/>
          <w:noProof/>
          <w:lang w:val="cs-CZ"/>
        </w:rPr>
        <w:t>Topení tuhými palivy</w:t>
      </w:r>
      <w:bookmarkEnd w:id="284"/>
      <w:bookmarkEnd w:id="285"/>
    </w:p>
    <w:p w:rsidR="00260F40" w:rsidRPr="003B6E11" w:rsidRDefault="00260F40" w:rsidP="00260F40">
      <w:pPr>
        <w:pStyle w:val="ESch"/>
        <w:rPr>
          <w:noProof/>
          <w:lang w:val="cs-CZ"/>
        </w:rPr>
      </w:pPr>
    </w:p>
    <w:p w:rsidR="00260F40" w:rsidRPr="003B6E11" w:rsidRDefault="00260F40" w:rsidP="00260F40">
      <w:pPr>
        <w:pStyle w:val="ESch"/>
        <w:rPr>
          <w:rFonts w:cs="Arial"/>
          <w:lang w:val="cs-CZ"/>
        </w:rPr>
      </w:pPr>
      <w:r w:rsidRPr="003B6E11">
        <w:rPr>
          <w:lang w:val="cs-CZ"/>
        </w:rPr>
        <w:t>1.</w:t>
      </w:r>
      <w:r w:rsidRPr="003B6E11">
        <w:rPr>
          <w:lang w:val="cs-CZ"/>
        </w:rPr>
        <w:tab/>
        <w:t>Zařízení k topení fungující na tuhá paliva musí být umístěno na kovové desce se zdviženými okraji, aby žádné hořící palivo nebo horké oharky nemohly vypadnout mimo tuto desku.</w:t>
      </w:r>
    </w:p>
    <w:p w:rsidR="00260F40" w:rsidRPr="003B6E11" w:rsidRDefault="00260F40" w:rsidP="00260F40">
      <w:pPr>
        <w:pStyle w:val="ESch"/>
        <w:rPr>
          <w:noProof/>
          <w:lang w:val="cs-CZ"/>
        </w:rPr>
      </w:pPr>
    </w:p>
    <w:p w:rsidR="00260F40" w:rsidRPr="003B6E11" w:rsidRDefault="00260F40" w:rsidP="00260F40">
      <w:pPr>
        <w:pStyle w:val="ESchpar"/>
        <w:rPr>
          <w:rFonts w:cs="Arial"/>
          <w:lang w:val="cs-CZ"/>
        </w:rPr>
      </w:pPr>
      <w:r w:rsidRPr="003B6E11">
        <w:rPr>
          <w:lang w:val="cs-CZ"/>
        </w:rPr>
        <w:t>Tento požadavek se nevztahuje na zařízení umístěná v odděleních postavených z nehořlavých materiálů, která jsou určena výhradně k umístění kotlů.</w:t>
      </w:r>
    </w:p>
    <w:p w:rsidR="00260F40" w:rsidRPr="003B6E11" w:rsidRDefault="00260F40" w:rsidP="00260F40">
      <w:pPr>
        <w:pStyle w:val="ESch"/>
        <w:rPr>
          <w:noProof/>
          <w:lang w:val="cs-CZ"/>
        </w:rPr>
      </w:pPr>
    </w:p>
    <w:p w:rsidR="00260F40" w:rsidRPr="003B6E11" w:rsidRDefault="00260F40" w:rsidP="00260F40">
      <w:pPr>
        <w:pStyle w:val="ESch"/>
        <w:rPr>
          <w:rFonts w:cs="Arial"/>
          <w:lang w:val="cs-CZ"/>
        </w:rPr>
      </w:pPr>
      <w:r w:rsidRPr="003B6E11">
        <w:rPr>
          <w:lang w:val="cs-CZ"/>
        </w:rPr>
        <w:t>2.</w:t>
      </w:r>
      <w:r w:rsidRPr="003B6E11">
        <w:rPr>
          <w:lang w:val="cs-CZ"/>
        </w:rPr>
        <w:tab/>
        <w:t>Kotle na tuhá paliva musí být vybaveny termostatickým zařízením k regulaci průtoku spalovacího vzduchu.</w:t>
      </w:r>
    </w:p>
    <w:p w:rsidR="00260F40" w:rsidRPr="003B6E11" w:rsidRDefault="00260F40" w:rsidP="00260F40">
      <w:pPr>
        <w:pStyle w:val="ESch"/>
        <w:rPr>
          <w:noProof/>
          <w:lang w:val="cs-CZ"/>
        </w:rPr>
      </w:pPr>
    </w:p>
    <w:p w:rsidR="00260F40" w:rsidRPr="003B6E11" w:rsidRDefault="00260F40" w:rsidP="00260F40">
      <w:pPr>
        <w:pStyle w:val="ESch"/>
        <w:rPr>
          <w:rFonts w:cs="Arial"/>
          <w:lang w:val="cs-CZ"/>
        </w:rPr>
      </w:pPr>
      <w:r w:rsidRPr="003B6E11">
        <w:rPr>
          <w:lang w:val="cs-CZ"/>
        </w:rPr>
        <w:t>3.</w:t>
      </w:r>
      <w:r w:rsidRPr="003B6E11">
        <w:rPr>
          <w:lang w:val="cs-CZ"/>
        </w:rPr>
        <w:tab/>
        <w:t>V blízkosti každého topného zařízení musí být umístěny prostředky, kterými lze oharky rychle uhasit.</w:t>
      </w:r>
    </w:p>
    <w:p w:rsidR="00260F40" w:rsidRPr="003B6E11" w:rsidRDefault="00260F40" w:rsidP="00811428">
      <w:pPr>
        <w:pStyle w:val="ESch"/>
        <w:rPr>
          <w:szCs w:val="20"/>
          <w:lang w:val="cs-CZ"/>
        </w:rPr>
      </w:pPr>
    </w:p>
    <w:p w:rsidR="00B51D33" w:rsidRPr="003B6E11" w:rsidRDefault="00B51D33" w:rsidP="00811428">
      <w:pPr>
        <w:pStyle w:val="ESch"/>
        <w:rPr>
          <w:szCs w:val="20"/>
          <w:lang w:val="cs-CZ"/>
        </w:rPr>
      </w:pPr>
      <w:r w:rsidRPr="003B6E11">
        <w:rPr>
          <w:lang w:val="cs-CZ"/>
        </w:rPr>
        <w:br w:type="page"/>
      </w:r>
    </w:p>
    <w:p w:rsidR="00B51D33" w:rsidRPr="003B6E11" w:rsidRDefault="00B51D33" w:rsidP="00811428">
      <w:pPr>
        <w:pStyle w:val="ESch"/>
        <w:rPr>
          <w:szCs w:val="20"/>
          <w:lang w:val="cs-CZ"/>
        </w:rPr>
      </w:pPr>
    </w:p>
    <w:p w:rsidR="00D96486" w:rsidRPr="003B6E11" w:rsidRDefault="00D96486" w:rsidP="00811428">
      <w:pPr>
        <w:pStyle w:val="ESch"/>
        <w:rPr>
          <w:szCs w:val="20"/>
          <w:lang w:val="cs-CZ"/>
        </w:rPr>
      </w:pPr>
    </w:p>
    <w:p w:rsidR="00AE4E9D" w:rsidRPr="003B6E11" w:rsidRDefault="00AE4E9D" w:rsidP="00AE4E9D">
      <w:pPr>
        <w:pStyle w:val="ES-Titre2"/>
        <w:rPr>
          <w:szCs w:val="24"/>
        </w:rPr>
      </w:pPr>
      <w:bookmarkStart w:id="286" w:name="_Toc491854140"/>
      <w:bookmarkStart w:id="287" w:name="_Toc535417046"/>
      <w:r w:rsidRPr="003B6E11">
        <w:t>Kapitola 17</w:t>
      </w:r>
      <w:r w:rsidRPr="003B6E11">
        <w:br/>
        <w:t>Zařízení na zkapalněný plyn pro domácí použití</w:t>
      </w:r>
      <w:bookmarkEnd w:id="286"/>
      <w:bookmarkEnd w:id="287"/>
    </w:p>
    <w:p w:rsidR="00AE4E9D" w:rsidRPr="003B6E11" w:rsidRDefault="00AE4E9D" w:rsidP="00AE4E9D">
      <w:pPr>
        <w:rPr>
          <w:lang w:val="cs-CZ"/>
        </w:rPr>
      </w:pPr>
    </w:p>
    <w:p w:rsidR="00AE4E9D" w:rsidRPr="003B6E11" w:rsidRDefault="00AE4E9D" w:rsidP="00AE4E9D">
      <w:pPr>
        <w:pStyle w:val="ES-Titre3"/>
        <w:rPr>
          <w:lang w:val="cs-CZ"/>
        </w:rPr>
      </w:pPr>
      <w:bookmarkStart w:id="288" w:name="_Toc491854141"/>
      <w:bookmarkStart w:id="289" w:name="_Toc535417047"/>
      <w:r w:rsidRPr="003B6E11">
        <w:rPr>
          <w:lang w:val="cs-CZ"/>
        </w:rPr>
        <w:t>Článek 17.01</w:t>
      </w:r>
      <w:r w:rsidRPr="003B6E11">
        <w:rPr>
          <w:lang w:val="cs-CZ"/>
        </w:rPr>
        <w:br/>
      </w:r>
      <w:r w:rsidRPr="003B6E11">
        <w:rPr>
          <w:i/>
          <w:noProof/>
          <w:lang w:val="cs-CZ"/>
        </w:rPr>
        <w:t>Obecně</w:t>
      </w:r>
      <w:bookmarkEnd w:id="288"/>
      <w:bookmarkEnd w:id="289"/>
    </w:p>
    <w:p w:rsidR="00AE4E9D" w:rsidRPr="003B6E11" w:rsidRDefault="00AE4E9D" w:rsidP="00AE4E9D">
      <w:pPr>
        <w:pStyle w:val="ESch"/>
        <w:rPr>
          <w:noProof/>
          <w:lang w:val="cs-CZ"/>
        </w:rPr>
      </w:pPr>
    </w:p>
    <w:p w:rsidR="00AE4E9D" w:rsidRPr="003B6E11" w:rsidRDefault="00AE4E9D" w:rsidP="00AE4E9D">
      <w:pPr>
        <w:pStyle w:val="ESch"/>
        <w:rPr>
          <w:szCs w:val="20"/>
          <w:lang w:val="cs-CZ"/>
        </w:rPr>
      </w:pPr>
      <w:r w:rsidRPr="003B6E11">
        <w:rPr>
          <w:lang w:val="cs-CZ"/>
        </w:rPr>
        <w:t>1.</w:t>
      </w:r>
      <w:r w:rsidRPr="003B6E11">
        <w:rPr>
          <w:lang w:val="cs-CZ"/>
        </w:rPr>
        <w:tab/>
        <w:t>Zařízení na zkapalněný plyn se skládá ze zásobovací jednotky zahrnující jednu nebo více plynových nádrží a jeden nebo více regulátorů tlaku, z rozvodného systému a řady plynových spotřebičů.</w:t>
      </w:r>
    </w:p>
    <w:p w:rsidR="00AE4E9D" w:rsidRPr="003B6E11" w:rsidRDefault="00AE4E9D" w:rsidP="00AE4E9D">
      <w:pPr>
        <w:pStyle w:val="ESch"/>
        <w:rPr>
          <w:szCs w:val="20"/>
          <w:lang w:val="cs-CZ"/>
        </w:rPr>
      </w:pPr>
    </w:p>
    <w:p w:rsidR="00AE4E9D" w:rsidRPr="003B6E11" w:rsidRDefault="00AE4E9D" w:rsidP="00AE4E9D">
      <w:pPr>
        <w:pStyle w:val="ESchpar"/>
        <w:rPr>
          <w:lang w:val="cs-CZ"/>
        </w:rPr>
      </w:pPr>
      <w:r w:rsidRPr="003B6E11">
        <w:rPr>
          <w:lang w:val="cs-CZ"/>
        </w:rPr>
        <w:t>Za součást zařízení se nepovažují náhradní a prázdné nádrže, které nejsou umístěné v zásobovací jednotce. Obdobně se na ně použije článek 17.05.</w:t>
      </w:r>
    </w:p>
    <w:p w:rsidR="00AE4E9D" w:rsidRPr="003B6E11" w:rsidRDefault="00AE4E9D" w:rsidP="00AE4E9D">
      <w:pPr>
        <w:pStyle w:val="ESch"/>
        <w:rPr>
          <w:szCs w:val="20"/>
          <w:lang w:val="cs-CZ"/>
        </w:rPr>
      </w:pPr>
    </w:p>
    <w:p w:rsidR="00AE4E9D" w:rsidRPr="003B6E11" w:rsidRDefault="00AE4E9D" w:rsidP="00AE4E9D">
      <w:pPr>
        <w:pStyle w:val="ESch"/>
        <w:rPr>
          <w:szCs w:val="20"/>
          <w:lang w:val="cs-CZ"/>
        </w:rPr>
      </w:pPr>
      <w:r w:rsidRPr="003B6E11">
        <w:rPr>
          <w:lang w:val="cs-CZ"/>
        </w:rPr>
        <w:t>2.</w:t>
      </w:r>
      <w:r w:rsidRPr="003B6E11">
        <w:rPr>
          <w:lang w:val="cs-CZ"/>
        </w:rPr>
        <w:tab/>
        <w:t>Zařízení mohou být provozována pouze na obchodní propan.</w:t>
      </w:r>
    </w:p>
    <w:p w:rsidR="00AE4E9D" w:rsidRPr="003B6E11" w:rsidRDefault="00AE4E9D" w:rsidP="00AE4E9D">
      <w:pPr>
        <w:pStyle w:val="ESch"/>
        <w:rPr>
          <w:szCs w:val="20"/>
          <w:lang w:val="cs-CZ"/>
        </w:rPr>
      </w:pPr>
    </w:p>
    <w:p w:rsidR="001D67AA" w:rsidRPr="003B6E11" w:rsidRDefault="001D67AA" w:rsidP="00AE4E9D">
      <w:pPr>
        <w:pStyle w:val="ESch"/>
        <w:rPr>
          <w:szCs w:val="20"/>
          <w:lang w:val="cs-CZ"/>
        </w:rPr>
      </w:pPr>
    </w:p>
    <w:p w:rsidR="00AE4E9D" w:rsidRPr="003B6E11" w:rsidRDefault="00AE4E9D" w:rsidP="00AE4E9D">
      <w:pPr>
        <w:pStyle w:val="ES-Titre3"/>
        <w:rPr>
          <w:lang w:val="cs-CZ"/>
        </w:rPr>
      </w:pPr>
      <w:bookmarkStart w:id="290" w:name="_Toc491854142"/>
      <w:bookmarkStart w:id="291" w:name="_Toc535417048"/>
      <w:r w:rsidRPr="003B6E11">
        <w:rPr>
          <w:lang w:val="cs-CZ"/>
        </w:rPr>
        <w:t>Článek 17.02</w:t>
      </w:r>
      <w:r w:rsidRPr="003B6E11">
        <w:rPr>
          <w:lang w:val="cs-CZ"/>
        </w:rPr>
        <w:br/>
      </w:r>
      <w:r w:rsidRPr="003B6E11">
        <w:rPr>
          <w:i/>
          <w:lang w:val="cs-CZ"/>
        </w:rPr>
        <w:t>Zařízení</w:t>
      </w:r>
      <w:bookmarkEnd w:id="290"/>
      <w:bookmarkEnd w:id="291"/>
    </w:p>
    <w:p w:rsidR="001D67AA" w:rsidRPr="003B6E11" w:rsidRDefault="001D67AA" w:rsidP="00AE4E9D">
      <w:pPr>
        <w:pStyle w:val="ESch"/>
        <w:rPr>
          <w:szCs w:val="20"/>
          <w:lang w:val="cs-CZ"/>
        </w:rPr>
      </w:pPr>
    </w:p>
    <w:p w:rsidR="00AE4E9D" w:rsidRPr="003B6E11" w:rsidRDefault="00AE4E9D" w:rsidP="00AE4E9D">
      <w:pPr>
        <w:pStyle w:val="ESch"/>
        <w:rPr>
          <w:rFonts w:cs="Arial"/>
          <w:szCs w:val="20"/>
          <w:lang w:val="cs-CZ"/>
        </w:rPr>
      </w:pPr>
      <w:r w:rsidRPr="003B6E11">
        <w:rPr>
          <w:lang w:val="cs-CZ"/>
        </w:rPr>
        <w:t>1.</w:t>
      </w:r>
      <w:r w:rsidRPr="003B6E11">
        <w:rPr>
          <w:lang w:val="cs-CZ"/>
        </w:rPr>
        <w:tab/>
        <w:t>Zařízení na zkapalněný plyn musí být vhodné pro použití propanu a musí být postaveno a umístěno v souladu s osvědčenými postupy.</w:t>
      </w:r>
    </w:p>
    <w:p w:rsidR="001D67AA" w:rsidRPr="003B6E11" w:rsidRDefault="001D67AA" w:rsidP="00AE4E9D">
      <w:pPr>
        <w:pStyle w:val="ESch"/>
        <w:rPr>
          <w:szCs w:val="20"/>
          <w:lang w:val="cs-CZ"/>
        </w:rPr>
      </w:pPr>
    </w:p>
    <w:p w:rsidR="00AE4E9D" w:rsidRPr="003B6E11" w:rsidRDefault="00AE4E9D" w:rsidP="00AE4E9D">
      <w:pPr>
        <w:pStyle w:val="ESch"/>
        <w:rPr>
          <w:rFonts w:cs="Arial"/>
          <w:szCs w:val="20"/>
          <w:lang w:val="cs-CZ"/>
        </w:rPr>
      </w:pPr>
      <w:r w:rsidRPr="003B6E11">
        <w:rPr>
          <w:lang w:val="cs-CZ"/>
        </w:rPr>
        <w:t>2.</w:t>
      </w:r>
      <w:r w:rsidRPr="003B6E11">
        <w:rPr>
          <w:lang w:val="cs-CZ"/>
        </w:rPr>
        <w:tab/>
        <w:t>Zařízení na zkapalněný plyn smí být užito pouze pro domácí účely v obytných prostorech a v kormidelně a k odpovídajícím účelům na osobních lodích.</w:t>
      </w:r>
    </w:p>
    <w:p w:rsidR="001D67AA" w:rsidRPr="003B6E11" w:rsidRDefault="001D67AA" w:rsidP="00AE4E9D">
      <w:pPr>
        <w:pStyle w:val="ESch"/>
        <w:rPr>
          <w:szCs w:val="20"/>
          <w:lang w:val="cs-CZ"/>
        </w:rPr>
      </w:pPr>
    </w:p>
    <w:p w:rsidR="00AE4E9D" w:rsidRPr="003B6E11" w:rsidRDefault="00AE4E9D" w:rsidP="00AE4E9D">
      <w:pPr>
        <w:pStyle w:val="ESch"/>
        <w:rPr>
          <w:rFonts w:cs="Arial"/>
          <w:szCs w:val="20"/>
          <w:lang w:val="cs-CZ"/>
        </w:rPr>
      </w:pPr>
      <w:r w:rsidRPr="003B6E11">
        <w:rPr>
          <w:lang w:val="cs-CZ"/>
        </w:rPr>
        <w:t>3.</w:t>
      </w:r>
      <w:r w:rsidRPr="003B6E11">
        <w:rPr>
          <w:lang w:val="cs-CZ"/>
        </w:rPr>
        <w:tab/>
        <w:t>Na palubě může být více samostatných zařízení. Jednotlivá zařízení nesmí být použita k obsluze obytných prostorů oddělených podpalubním nákladovým prostorem nebo pevnou nádrží.</w:t>
      </w:r>
    </w:p>
    <w:p w:rsidR="001D67AA" w:rsidRPr="003B6E11" w:rsidRDefault="001D67AA" w:rsidP="00AE4E9D">
      <w:pPr>
        <w:pStyle w:val="ESch"/>
        <w:rPr>
          <w:szCs w:val="20"/>
          <w:lang w:val="cs-CZ"/>
        </w:rPr>
      </w:pPr>
    </w:p>
    <w:p w:rsidR="00AE4E9D" w:rsidRPr="003B6E11" w:rsidRDefault="00AE4E9D" w:rsidP="00AE4E9D">
      <w:pPr>
        <w:pStyle w:val="ESch"/>
        <w:rPr>
          <w:szCs w:val="20"/>
          <w:lang w:val="cs-CZ"/>
        </w:rPr>
      </w:pPr>
      <w:r w:rsidRPr="003B6E11">
        <w:rPr>
          <w:lang w:val="cs-CZ"/>
        </w:rPr>
        <w:t>4.</w:t>
      </w:r>
      <w:r w:rsidRPr="003B6E11">
        <w:rPr>
          <w:lang w:val="cs-CZ"/>
        </w:rPr>
        <w:tab/>
        <w:t>Ve strojovně nesmí být umístěna žádná součást zařízení na zkapalněný plyn.</w:t>
      </w:r>
    </w:p>
    <w:p w:rsidR="001D67AA" w:rsidRPr="003B6E11" w:rsidRDefault="001D67AA" w:rsidP="00AE4E9D">
      <w:pPr>
        <w:pStyle w:val="ESch"/>
        <w:rPr>
          <w:szCs w:val="20"/>
          <w:lang w:val="cs-CZ"/>
        </w:rPr>
      </w:pPr>
    </w:p>
    <w:p w:rsidR="001D67AA" w:rsidRPr="003B6E11" w:rsidRDefault="001D67AA" w:rsidP="00AE4E9D">
      <w:pPr>
        <w:pStyle w:val="ESch"/>
        <w:rPr>
          <w:rFonts w:cs="Arial"/>
          <w:szCs w:val="20"/>
          <w:lang w:val="cs-CZ"/>
        </w:rPr>
      </w:pPr>
    </w:p>
    <w:p w:rsidR="00AE4E9D" w:rsidRPr="003B6E11" w:rsidRDefault="00AE4E9D" w:rsidP="00AE4E9D">
      <w:pPr>
        <w:pStyle w:val="ES-Titre3"/>
        <w:rPr>
          <w:lang w:val="cs-CZ"/>
        </w:rPr>
      </w:pPr>
      <w:bookmarkStart w:id="292" w:name="_Toc491854143"/>
      <w:bookmarkStart w:id="293" w:name="_Toc535417049"/>
      <w:r w:rsidRPr="003B6E11">
        <w:rPr>
          <w:lang w:val="cs-CZ"/>
        </w:rPr>
        <w:t>Článek 17.03</w:t>
      </w:r>
      <w:r w:rsidRPr="003B6E11">
        <w:rPr>
          <w:lang w:val="cs-CZ"/>
        </w:rPr>
        <w:br/>
      </w:r>
      <w:r w:rsidRPr="003B6E11">
        <w:rPr>
          <w:i/>
          <w:lang w:val="cs-CZ"/>
        </w:rPr>
        <w:t>Nádrže</w:t>
      </w:r>
      <w:bookmarkEnd w:id="292"/>
      <w:bookmarkEnd w:id="293"/>
    </w:p>
    <w:p w:rsidR="001D67AA" w:rsidRPr="003B6E11" w:rsidRDefault="001D67AA" w:rsidP="001D67AA">
      <w:pPr>
        <w:pStyle w:val="ESch"/>
        <w:rPr>
          <w:lang w:val="cs-CZ"/>
        </w:rPr>
      </w:pPr>
    </w:p>
    <w:p w:rsidR="00AE4E9D" w:rsidRPr="003B6E11" w:rsidRDefault="00AE4E9D" w:rsidP="001D67AA">
      <w:pPr>
        <w:pStyle w:val="ESch"/>
        <w:rPr>
          <w:lang w:val="cs-CZ"/>
        </w:rPr>
      </w:pPr>
      <w:r w:rsidRPr="003B6E11">
        <w:rPr>
          <w:lang w:val="cs-CZ"/>
        </w:rPr>
        <w:t>1.</w:t>
      </w:r>
      <w:r w:rsidRPr="003B6E11">
        <w:rPr>
          <w:lang w:val="cs-CZ"/>
        </w:rPr>
        <w:tab/>
        <w:t>Jsou povoleny pouze nádrže se schváleným obsahem mezi 5 a 35 kg. U osobních lodí může subjekt pověřený prohlídkami povolit použití nádrží s větším obsahem.</w:t>
      </w:r>
    </w:p>
    <w:p w:rsidR="001D67AA" w:rsidRPr="003B6E11" w:rsidRDefault="001D67AA" w:rsidP="001D67AA">
      <w:pPr>
        <w:pStyle w:val="ESch"/>
        <w:rPr>
          <w:lang w:val="cs-CZ"/>
        </w:rPr>
      </w:pPr>
    </w:p>
    <w:p w:rsidR="00AE4E9D" w:rsidRPr="003B6E11" w:rsidRDefault="00AE4E9D" w:rsidP="001D67AA">
      <w:pPr>
        <w:pStyle w:val="ESch"/>
        <w:rPr>
          <w:lang w:val="cs-CZ"/>
        </w:rPr>
      </w:pPr>
      <w:r w:rsidRPr="003B6E11">
        <w:rPr>
          <w:lang w:val="cs-CZ"/>
        </w:rPr>
        <w:t>2.</w:t>
      </w:r>
      <w:r w:rsidRPr="003B6E11">
        <w:rPr>
          <w:lang w:val="cs-CZ"/>
        </w:rPr>
        <w:tab/>
        <w:t>Nádrže musí splňovat současné požadavky platné v jednom z členských států.</w:t>
      </w:r>
    </w:p>
    <w:p w:rsidR="001D67AA" w:rsidRPr="003B6E11" w:rsidRDefault="001D67AA" w:rsidP="001D67AA">
      <w:pPr>
        <w:pStyle w:val="ESch"/>
        <w:rPr>
          <w:lang w:val="cs-CZ"/>
        </w:rPr>
      </w:pPr>
    </w:p>
    <w:p w:rsidR="00AE4E9D" w:rsidRPr="003B6E11" w:rsidRDefault="00AE4E9D" w:rsidP="001D67AA">
      <w:pPr>
        <w:pStyle w:val="ESchpar"/>
        <w:rPr>
          <w:lang w:val="cs-CZ"/>
        </w:rPr>
      </w:pPr>
      <w:r w:rsidRPr="003B6E11">
        <w:rPr>
          <w:lang w:val="cs-CZ"/>
        </w:rPr>
        <w:t>Tyto nádrže musí být opatřeny úředním razítkem potvrzujícím, že byly přijaty po provedení požadovaných zkoušek.</w:t>
      </w:r>
    </w:p>
    <w:p w:rsidR="00AE4E9D" w:rsidRPr="003B6E11" w:rsidRDefault="00AE4E9D" w:rsidP="001D67AA">
      <w:pPr>
        <w:pStyle w:val="ESch"/>
        <w:rPr>
          <w:lang w:val="cs-CZ"/>
        </w:rPr>
      </w:pPr>
    </w:p>
    <w:p w:rsidR="001D67AA" w:rsidRPr="003B6E11" w:rsidRDefault="001D67AA" w:rsidP="001D67AA">
      <w:pPr>
        <w:pStyle w:val="ESch"/>
        <w:rPr>
          <w:lang w:val="cs-CZ"/>
        </w:rPr>
      </w:pPr>
    </w:p>
    <w:p w:rsidR="00AE4E9D" w:rsidRPr="003B6E11" w:rsidRDefault="00AE4E9D" w:rsidP="00AE4E9D">
      <w:pPr>
        <w:pStyle w:val="ES-Titre3"/>
        <w:rPr>
          <w:i/>
          <w:lang w:val="cs-CZ"/>
        </w:rPr>
      </w:pPr>
      <w:bookmarkStart w:id="294" w:name="_Toc491854144"/>
      <w:bookmarkStart w:id="295" w:name="_Toc535417050"/>
      <w:r w:rsidRPr="003B6E11">
        <w:rPr>
          <w:lang w:val="cs-CZ"/>
        </w:rPr>
        <w:t>Článek 17.04</w:t>
      </w:r>
      <w:r w:rsidRPr="003B6E11">
        <w:rPr>
          <w:lang w:val="cs-CZ"/>
        </w:rPr>
        <w:br/>
      </w:r>
      <w:r w:rsidRPr="003B6E11">
        <w:rPr>
          <w:i/>
          <w:lang w:val="cs-CZ"/>
        </w:rPr>
        <w:t>Umístění a uspořádání zásobovacích jednotek</w:t>
      </w:r>
      <w:bookmarkEnd w:id="294"/>
      <w:bookmarkEnd w:id="295"/>
    </w:p>
    <w:p w:rsidR="001D67AA" w:rsidRPr="003B6E11" w:rsidRDefault="001D67AA" w:rsidP="001D67AA">
      <w:pPr>
        <w:pStyle w:val="ESch"/>
        <w:rPr>
          <w:lang w:val="cs-CZ"/>
        </w:rPr>
      </w:pPr>
    </w:p>
    <w:p w:rsidR="00AE4E9D" w:rsidRPr="003B6E11" w:rsidRDefault="00AE4E9D" w:rsidP="001D67AA">
      <w:pPr>
        <w:pStyle w:val="ESch"/>
        <w:rPr>
          <w:lang w:val="cs-CZ"/>
        </w:rPr>
      </w:pPr>
      <w:r w:rsidRPr="003B6E11">
        <w:rPr>
          <w:lang w:val="cs-CZ"/>
        </w:rPr>
        <w:t>1.</w:t>
      </w:r>
      <w:r w:rsidRPr="003B6E11">
        <w:rPr>
          <w:lang w:val="cs-CZ"/>
        </w:rPr>
        <w:tab/>
        <w:t>Zásobovací jednotky musí být umístěny na palubě ve volně stojící nebo nástěnné skříňce umístěné mimo obytný prostor tak, že nebrání pohybu na plavidle. Nesmí být umístěny u příďové nebo záďové štítnice. Skříňka může být nástěnná a usazená do nástavby, pokud je plynotěsná, a může být otevírána jedině směrem ven. Musí být umístěná tak, aby rozvodné trubky vedoucí ke spotřebičům byly co nejkratší.</w:t>
      </w:r>
    </w:p>
    <w:p w:rsidR="001D67AA" w:rsidRPr="003B6E11" w:rsidRDefault="001D67AA" w:rsidP="001D67AA">
      <w:pPr>
        <w:pStyle w:val="ESch"/>
        <w:rPr>
          <w:lang w:val="cs-CZ"/>
        </w:rPr>
      </w:pPr>
    </w:p>
    <w:p w:rsidR="001D67AA" w:rsidRPr="003B6E11" w:rsidRDefault="001D67AA" w:rsidP="001D67AA">
      <w:pPr>
        <w:pStyle w:val="ESch"/>
        <w:rPr>
          <w:lang w:val="cs-CZ"/>
        </w:rPr>
      </w:pPr>
      <w:r w:rsidRPr="003B6E11">
        <w:rPr>
          <w:lang w:val="cs-CZ"/>
        </w:rPr>
        <w:br w:type="page"/>
      </w:r>
    </w:p>
    <w:p w:rsidR="00AE4E9D" w:rsidRPr="003B6E11" w:rsidRDefault="00AE4E9D" w:rsidP="001D67AA">
      <w:pPr>
        <w:pStyle w:val="ESchpar"/>
        <w:rPr>
          <w:lang w:val="cs-CZ"/>
        </w:rPr>
      </w:pPr>
      <w:r w:rsidRPr="003B6E11">
        <w:rPr>
          <w:lang w:val="cs-CZ"/>
        </w:rPr>
        <w:t>Současně může být v provozu pouze tolik nádrží, kolik je jich nezbytných pro fungování zařízení. Více nádrží lze připojit pouze tehdy, použije-li se zpětný propojovač. Na jednu zásobovací jednotku lze připojit až čtyři nádrže. Počet nádrží na plavidle, včetně náhradních, nesmí převýšit šest na jedno zařízení.</w:t>
      </w:r>
    </w:p>
    <w:p w:rsidR="00397B6A" w:rsidRPr="003B6E11" w:rsidRDefault="00397B6A" w:rsidP="001D67AA">
      <w:pPr>
        <w:pStyle w:val="ESchpar"/>
        <w:rPr>
          <w:lang w:val="cs-CZ"/>
        </w:rPr>
      </w:pPr>
    </w:p>
    <w:p w:rsidR="00AE4E9D" w:rsidRPr="003B6E11" w:rsidRDefault="00AE4E9D" w:rsidP="001D67AA">
      <w:pPr>
        <w:pStyle w:val="ESchpar"/>
        <w:rPr>
          <w:lang w:val="cs-CZ"/>
        </w:rPr>
      </w:pPr>
      <w:r w:rsidRPr="003B6E11">
        <w:rPr>
          <w:lang w:val="cs-CZ"/>
        </w:rPr>
        <w:t>U osobních lodí s kuchyněmi nebo kantýnami pro cestující lze připojit až šest nádrží. Počet nádrží na plavidle, včetně náhradních, nesmí převýšit devět na jedno zařízení.</w:t>
      </w:r>
    </w:p>
    <w:p w:rsidR="001D67AA" w:rsidRPr="003B6E11" w:rsidRDefault="001D67AA" w:rsidP="001D67AA">
      <w:pPr>
        <w:pStyle w:val="ESchpar"/>
        <w:rPr>
          <w:lang w:val="cs-CZ"/>
        </w:rPr>
      </w:pPr>
    </w:p>
    <w:p w:rsidR="00AE4E9D" w:rsidRPr="003B6E11" w:rsidRDefault="00AE4E9D" w:rsidP="001D67AA">
      <w:pPr>
        <w:pStyle w:val="ESchpar"/>
        <w:rPr>
          <w:lang w:val="cs-CZ"/>
        </w:rPr>
      </w:pPr>
      <w:r w:rsidRPr="003B6E11">
        <w:rPr>
          <w:lang w:val="cs-CZ"/>
        </w:rPr>
        <w:t>Regulátory tlaku, nebo v případě dvoufázové regulace první regulátor tlaku musí být připevněny ke stěně ve stejné skříňce jako nádrže.</w:t>
      </w:r>
    </w:p>
    <w:p w:rsidR="001D67AA" w:rsidRPr="003B6E11" w:rsidRDefault="001D67AA" w:rsidP="001D67AA">
      <w:pPr>
        <w:pStyle w:val="ESchpar"/>
        <w:rPr>
          <w:lang w:val="cs-CZ"/>
        </w:rPr>
      </w:pPr>
    </w:p>
    <w:p w:rsidR="00AE4E9D" w:rsidRPr="003B6E11" w:rsidRDefault="00AE4E9D" w:rsidP="001D67AA">
      <w:pPr>
        <w:pStyle w:val="ESch"/>
        <w:rPr>
          <w:lang w:val="cs-CZ"/>
        </w:rPr>
      </w:pPr>
      <w:r w:rsidRPr="003B6E11">
        <w:rPr>
          <w:lang w:val="cs-CZ"/>
        </w:rPr>
        <w:t>2.</w:t>
      </w:r>
      <w:r w:rsidRPr="003B6E11">
        <w:rPr>
          <w:lang w:val="cs-CZ"/>
        </w:rPr>
        <w:tab/>
        <w:t>Zásobovací jednotky musí být umístěny tak, aby v případě netěsnosti mohl plyn unikat do otevřeného prostoru bez rizika, že by mohl proniknout dovnitř lodi nebo přijít do styku se zdrojem zapálení.</w:t>
      </w:r>
    </w:p>
    <w:p w:rsidR="001D67AA" w:rsidRPr="003B6E11" w:rsidRDefault="001D67AA" w:rsidP="001D67AA">
      <w:pPr>
        <w:pStyle w:val="ESch"/>
        <w:rPr>
          <w:lang w:val="cs-CZ"/>
        </w:rPr>
      </w:pPr>
    </w:p>
    <w:p w:rsidR="00AE4E9D" w:rsidRPr="003B6E11" w:rsidRDefault="00AE4E9D" w:rsidP="001D67AA">
      <w:pPr>
        <w:pStyle w:val="ESch"/>
        <w:rPr>
          <w:lang w:val="cs-CZ"/>
        </w:rPr>
      </w:pPr>
      <w:r w:rsidRPr="003B6E11">
        <w:rPr>
          <w:lang w:val="cs-CZ"/>
        </w:rPr>
        <w:t>3.</w:t>
      </w:r>
      <w:r w:rsidRPr="003B6E11">
        <w:rPr>
          <w:lang w:val="cs-CZ"/>
        </w:rPr>
        <w:tab/>
        <w:t>Skříňky musí být zkonstruovány z materiálů zpomalujících hoření a musí být dostatečně větrány otvory v horní a dolní části. Nádrže musí být umístěny ve skříňce svisle tak, aby se nemohly převrátit.</w:t>
      </w:r>
    </w:p>
    <w:p w:rsidR="001D67AA" w:rsidRPr="003B6E11" w:rsidRDefault="001D67AA" w:rsidP="001D67AA">
      <w:pPr>
        <w:pStyle w:val="ESch"/>
        <w:rPr>
          <w:lang w:val="cs-CZ"/>
        </w:rPr>
      </w:pPr>
    </w:p>
    <w:p w:rsidR="00AE4E9D" w:rsidRPr="003B6E11" w:rsidRDefault="00AE4E9D" w:rsidP="001D67AA">
      <w:pPr>
        <w:pStyle w:val="ESch"/>
        <w:rPr>
          <w:lang w:val="cs-CZ"/>
        </w:rPr>
      </w:pPr>
      <w:r w:rsidRPr="003B6E11">
        <w:rPr>
          <w:lang w:val="cs-CZ"/>
        </w:rPr>
        <w:t>4.</w:t>
      </w:r>
      <w:r w:rsidRPr="003B6E11">
        <w:rPr>
          <w:lang w:val="cs-CZ"/>
        </w:rPr>
        <w:tab/>
        <w:t>Skříňky musí být zkonstruovány a umístěny tak, aby teplota nádrží nemohla přesáhnout 50 °C.</w:t>
      </w:r>
    </w:p>
    <w:p w:rsidR="001D67AA" w:rsidRPr="003B6E11" w:rsidRDefault="001D67AA" w:rsidP="001D67AA">
      <w:pPr>
        <w:pStyle w:val="ESch"/>
        <w:rPr>
          <w:lang w:val="cs-CZ"/>
        </w:rPr>
      </w:pPr>
    </w:p>
    <w:p w:rsidR="00AE4E9D" w:rsidRPr="003B6E11" w:rsidRDefault="00AE4E9D" w:rsidP="001D67AA">
      <w:pPr>
        <w:pStyle w:val="ESch"/>
        <w:rPr>
          <w:lang w:val="cs-CZ"/>
        </w:rPr>
      </w:pPr>
      <w:r w:rsidRPr="003B6E11">
        <w:rPr>
          <w:lang w:val="cs-CZ"/>
        </w:rPr>
        <w:t>5.</w:t>
      </w:r>
      <w:r w:rsidRPr="003B6E11">
        <w:rPr>
          <w:lang w:val="cs-CZ"/>
        </w:rPr>
        <w:tab/>
        <w:t>Vnější stěna skříňky musí být opatřena nápisem „Zkapalněný plyn“ a symbolem „Zákaz otevřeného ohně a kouření“ o průměru nejméně 10 cm v souladu s obrázkem 2 v příloze 4.</w:t>
      </w:r>
    </w:p>
    <w:p w:rsidR="001D67AA" w:rsidRPr="003B6E11" w:rsidRDefault="001D67AA" w:rsidP="001D67AA">
      <w:pPr>
        <w:pStyle w:val="ESch"/>
        <w:rPr>
          <w:lang w:val="cs-CZ"/>
        </w:rPr>
      </w:pPr>
    </w:p>
    <w:p w:rsidR="00AE4E9D" w:rsidRPr="003B6E11" w:rsidRDefault="00AE4E9D" w:rsidP="001D67AA">
      <w:pPr>
        <w:pStyle w:val="ESch"/>
        <w:rPr>
          <w:lang w:val="cs-CZ"/>
        </w:rPr>
      </w:pPr>
    </w:p>
    <w:p w:rsidR="00AE4E9D" w:rsidRPr="003B6E11" w:rsidRDefault="00AE4E9D" w:rsidP="00AE4E9D">
      <w:pPr>
        <w:pStyle w:val="ES-Titre3"/>
        <w:rPr>
          <w:i/>
          <w:lang w:val="cs-CZ"/>
        </w:rPr>
      </w:pPr>
      <w:bookmarkStart w:id="296" w:name="_Toc491854145"/>
      <w:bookmarkStart w:id="297" w:name="_Toc535417051"/>
      <w:r w:rsidRPr="003B6E11">
        <w:rPr>
          <w:lang w:val="cs-CZ"/>
        </w:rPr>
        <w:t>Článek 17.05</w:t>
      </w:r>
      <w:r w:rsidRPr="003B6E11">
        <w:rPr>
          <w:lang w:val="cs-CZ"/>
        </w:rPr>
        <w:br/>
      </w:r>
      <w:r w:rsidRPr="003B6E11">
        <w:rPr>
          <w:i/>
          <w:lang w:val="cs-CZ"/>
        </w:rPr>
        <w:t>Náhradní a prázdné nádrže</w:t>
      </w:r>
      <w:bookmarkEnd w:id="296"/>
      <w:bookmarkEnd w:id="297"/>
    </w:p>
    <w:p w:rsidR="001D67AA" w:rsidRPr="003B6E11" w:rsidRDefault="001D67AA" w:rsidP="001D67AA">
      <w:pPr>
        <w:pStyle w:val="ESch"/>
        <w:rPr>
          <w:lang w:val="cs-CZ"/>
        </w:rPr>
      </w:pPr>
    </w:p>
    <w:p w:rsidR="00AE4E9D" w:rsidRPr="003B6E11" w:rsidRDefault="00AE4E9D" w:rsidP="001D67AA">
      <w:pPr>
        <w:pStyle w:val="ESgauche"/>
        <w:rPr>
          <w:lang w:val="cs-CZ"/>
        </w:rPr>
      </w:pPr>
      <w:r w:rsidRPr="003B6E11">
        <w:rPr>
          <w:lang w:val="cs-CZ"/>
        </w:rPr>
        <w:t>Náhradní a prázdné nádrže, které nejsou umístěny v zásobovací jednotce, musí být uloženy mimo obytné prostory a kormidelnu ve skříňce zhotovené v souladu s článkem 17.04.</w:t>
      </w:r>
    </w:p>
    <w:p w:rsidR="00AE4E9D" w:rsidRPr="003B6E11" w:rsidRDefault="00AE4E9D" w:rsidP="001D67AA">
      <w:pPr>
        <w:pStyle w:val="ESch"/>
        <w:rPr>
          <w:lang w:val="cs-CZ"/>
        </w:rPr>
      </w:pPr>
    </w:p>
    <w:p w:rsidR="001D67AA" w:rsidRPr="003B6E11" w:rsidRDefault="001D67AA" w:rsidP="001D67AA">
      <w:pPr>
        <w:pStyle w:val="ESch"/>
        <w:rPr>
          <w:lang w:val="cs-CZ"/>
        </w:rPr>
      </w:pPr>
    </w:p>
    <w:p w:rsidR="00AE4E9D" w:rsidRPr="003B6E11" w:rsidRDefault="00AE4E9D" w:rsidP="00AE4E9D">
      <w:pPr>
        <w:pStyle w:val="ES-Titre3"/>
        <w:rPr>
          <w:i/>
          <w:lang w:val="cs-CZ"/>
        </w:rPr>
      </w:pPr>
      <w:bookmarkStart w:id="298" w:name="_Toc491854146"/>
      <w:bookmarkStart w:id="299" w:name="_Toc535417052"/>
      <w:r w:rsidRPr="003B6E11">
        <w:rPr>
          <w:lang w:val="cs-CZ"/>
        </w:rPr>
        <w:t>Článek 17.06</w:t>
      </w:r>
      <w:r w:rsidRPr="003B6E11">
        <w:rPr>
          <w:lang w:val="cs-CZ"/>
        </w:rPr>
        <w:br/>
      </w:r>
      <w:r w:rsidRPr="003B6E11">
        <w:rPr>
          <w:i/>
          <w:lang w:val="cs-CZ"/>
        </w:rPr>
        <w:t>Regulátory tlaku</w:t>
      </w:r>
      <w:bookmarkEnd w:id="298"/>
      <w:bookmarkEnd w:id="299"/>
    </w:p>
    <w:p w:rsidR="001D67AA" w:rsidRPr="003B6E11" w:rsidRDefault="001D67AA" w:rsidP="001D67AA">
      <w:pPr>
        <w:pStyle w:val="ESch"/>
        <w:rPr>
          <w:lang w:val="cs-CZ"/>
        </w:rPr>
      </w:pPr>
    </w:p>
    <w:p w:rsidR="00AE4E9D" w:rsidRPr="003B6E11" w:rsidRDefault="00AE4E9D" w:rsidP="001D67AA">
      <w:pPr>
        <w:pStyle w:val="ESch"/>
        <w:rPr>
          <w:lang w:val="cs-CZ"/>
        </w:rPr>
      </w:pPr>
      <w:r w:rsidRPr="003B6E11">
        <w:rPr>
          <w:lang w:val="cs-CZ"/>
        </w:rPr>
        <w:t>1.</w:t>
      </w:r>
      <w:r w:rsidRPr="003B6E11">
        <w:rPr>
          <w:lang w:val="cs-CZ"/>
        </w:rPr>
        <w:tab/>
        <w:t>Plynové spotřebiče mohou být spojeny se nádržemi pouze rozvodným systémem s jedním nebo více regulátory tlaku určenými ke snížení tlaku plynu na pracovní tlak. Tlak může být snížen v jedné, nebo ve dvou fázích. Všechny regulátory tlaku musí být stále nastaveny na tlak určený podle článku 17.07.</w:t>
      </w:r>
    </w:p>
    <w:p w:rsidR="001D67AA" w:rsidRPr="003B6E11" w:rsidRDefault="001D67AA" w:rsidP="001D67AA">
      <w:pPr>
        <w:pStyle w:val="ESch"/>
        <w:rPr>
          <w:lang w:val="cs-CZ"/>
        </w:rPr>
      </w:pPr>
    </w:p>
    <w:p w:rsidR="00AE4E9D" w:rsidRPr="003B6E11" w:rsidRDefault="00AE4E9D" w:rsidP="001D67AA">
      <w:pPr>
        <w:pStyle w:val="ESch"/>
        <w:rPr>
          <w:lang w:val="cs-CZ"/>
        </w:rPr>
      </w:pPr>
      <w:r w:rsidRPr="003B6E11">
        <w:rPr>
          <w:lang w:val="cs-CZ"/>
        </w:rPr>
        <w:t>2.</w:t>
      </w:r>
      <w:r w:rsidRPr="003B6E11">
        <w:rPr>
          <w:lang w:val="cs-CZ"/>
        </w:rPr>
        <w:tab/>
        <w:t>Koncové regulátory tlaku musí být buď vybaveny, nebo ihned následovány zařízením automaticky chránícím potrubí proti nadměrnému tlaku v případě selhání funkce regulátoru tlaku. Musí být zajištěno, aby v případě netěsnosti tohoto ochranného zařízení mohl plyn unikat do otevřeného prostoru bez rizika, že by mohl proniknout dovnitř lodi nebo přijít do styku se zdrojem zapálení; je-li to nutné, musí být pro tento účel namontováno speciální potrubí.</w:t>
      </w:r>
    </w:p>
    <w:p w:rsidR="001D67AA" w:rsidRPr="003B6E11" w:rsidRDefault="001D67AA" w:rsidP="001D67AA">
      <w:pPr>
        <w:pStyle w:val="ESch"/>
        <w:rPr>
          <w:lang w:val="cs-CZ"/>
        </w:rPr>
      </w:pPr>
    </w:p>
    <w:p w:rsidR="00AE4E9D" w:rsidRPr="003B6E11" w:rsidRDefault="00AE4E9D" w:rsidP="001D67AA">
      <w:pPr>
        <w:pStyle w:val="ESch"/>
        <w:rPr>
          <w:lang w:val="cs-CZ"/>
        </w:rPr>
      </w:pPr>
      <w:r w:rsidRPr="003B6E11">
        <w:rPr>
          <w:lang w:val="cs-CZ"/>
        </w:rPr>
        <w:t>3.</w:t>
      </w:r>
      <w:r w:rsidRPr="003B6E11">
        <w:rPr>
          <w:lang w:val="cs-CZ"/>
        </w:rPr>
        <w:tab/>
        <w:t>Ochranná zařízení i větrací kanály musí být chráněny proti vniknutí vody.</w:t>
      </w:r>
    </w:p>
    <w:p w:rsidR="00AE4E9D" w:rsidRPr="003B6E11" w:rsidRDefault="00AE4E9D" w:rsidP="001D67AA">
      <w:pPr>
        <w:pStyle w:val="ESch"/>
        <w:rPr>
          <w:lang w:val="cs-CZ"/>
        </w:rPr>
      </w:pPr>
    </w:p>
    <w:p w:rsidR="001D67AA" w:rsidRPr="003B6E11" w:rsidRDefault="001D67AA" w:rsidP="001D67AA">
      <w:pPr>
        <w:pStyle w:val="ESch"/>
        <w:rPr>
          <w:lang w:val="cs-CZ"/>
        </w:rPr>
      </w:pPr>
      <w:r w:rsidRPr="003B6E11">
        <w:rPr>
          <w:lang w:val="cs-CZ"/>
        </w:rPr>
        <w:br w:type="page"/>
      </w:r>
    </w:p>
    <w:p w:rsidR="00AE4E9D" w:rsidRPr="003B6E11" w:rsidRDefault="00AE4E9D" w:rsidP="00AE4E9D">
      <w:pPr>
        <w:pStyle w:val="ES-Titre3"/>
        <w:rPr>
          <w:i/>
          <w:lang w:val="cs-CZ"/>
        </w:rPr>
      </w:pPr>
      <w:bookmarkStart w:id="300" w:name="_Toc491854147"/>
      <w:bookmarkStart w:id="301" w:name="_Toc535417053"/>
      <w:r w:rsidRPr="003B6E11">
        <w:rPr>
          <w:lang w:val="cs-CZ"/>
        </w:rPr>
        <w:t>Článek 17.07</w:t>
      </w:r>
      <w:r w:rsidRPr="003B6E11">
        <w:rPr>
          <w:lang w:val="cs-CZ"/>
        </w:rPr>
        <w:br/>
      </w:r>
      <w:r w:rsidRPr="003B6E11">
        <w:rPr>
          <w:i/>
          <w:lang w:val="cs-CZ"/>
        </w:rPr>
        <w:t>Tlak</w:t>
      </w:r>
      <w:bookmarkEnd w:id="300"/>
      <w:bookmarkEnd w:id="301"/>
    </w:p>
    <w:p w:rsidR="001D67AA" w:rsidRPr="003B6E11" w:rsidRDefault="001D67AA" w:rsidP="001D67AA">
      <w:pPr>
        <w:pStyle w:val="ESch"/>
        <w:rPr>
          <w:lang w:val="cs-CZ"/>
        </w:rPr>
      </w:pPr>
    </w:p>
    <w:p w:rsidR="00AE4E9D" w:rsidRPr="003B6E11" w:rsidRDefault="00AE4E9D" w:rsidP="001D67AA">
      <w:pPr>
        <w:pStyle w:val="ESch"/>
        <w:rPr>
          <w:lang w:val="cs-CZ"/>
        </w:rPr>
      </w:pPr>
      <w:r w:rsidRPr="003B6E11">
        <w:rPr>
          <w:lang w:val="cs-CZ"/>
        </w:rPr>
        <w:t>1.</w:t>
      </w:r>
      <w:r w:rsidRPr="003B6E11">
        <w:rPr>
          <w:lang w:val="cs-CZ"/>
        </w:rPr>
        <w:tab/>
        <w:t>Pokud jsou použity dvoustupňové regulační systémy, nesmí být střední tlak vyšší oproti atmosférickému tlaku o více než 2,5 baru.</w:t>
      </w:r>
    </w:p>
    <w:p w:rsidR="001D67AA" w:rsidRPr="003B6E11" w:rsidRDefault="001D67AA" w:rsidP="001D67AA">
      <w:pPr>
        <w:pStyle w:val="ESch"/>
        <w:rPr>
          <w:lang w:val="cs-CZ"/>
        </w:rPr>
      </w:pPr>
    </w:p>
    <w:p w:rsidR="00AE4E9D" w:rsidRPr="003B6E11" w:rsidRDefault="00AE4E9D" w:rsidP="001D67AA">
      <w:pPr>
        <w:pStyle w:val="ESch"/>
        <w:rPr>
          <w:lang w:val="cs-CZ"/>
        </w:rPr>
      </w:pPr>
      <w:r w:rsidRPr="003B6E11">
        <w:rPr>
          <w:lang w:val="cs-CZ"/>
        </w:rPr>
        <w:t>2.</w:t>
      </w:r>
      <w:r w:rsidRPr="003B6E11">
        <w:rPr>
          <w:lang w:val="cs-CZ"/>
        </w:rPr>
        <w:tab/>
        <w:t>Tlak na výstupu z posledního regulátoru tlaku smí být maximálně o 0,05 baru vyšší než atmosférický tlak, s tolerancí 10 %.</w:t>
      </w:r>
    </w:p>
    <w:p w:rsidR="00AE4E9D" w:rsidRPr="003B6E11" w:rsidRDefault="00AE4E9D" w:rsidP="001D67AA">
      <w:pPr>
        <w:pStyle w:val="ESch"/>
        <w:rPr>
          <w:lang w:val="cs-CZ"/>
        </w:rPr>
      </w:pPr>
    </w:p>
    <w:p w:rsidR="001D67AA" w:rsidRPr="003B6E11" w:rsidRDefault="001D67AA" w:rsidP="001D67AA">
      <w:pPr>
        <w:pStyle w:val="ESch"/>
        <w:rPr>
          <w:lang w:val="cs-CZ"/>
        </w:rPr>
      </w:pPr>
    </w:p>
    <w:p w:rsidR="00AE4E9D" w:rsidRPr="003B6E11" w:rsidRDefault="00AE4E9D" w:rsidP="00AE4E9D">
      <w:pPr>
        <w:pStyle w:val="ES-Titre3"/>
        <w:rPr>
          <w:i/>
          <w:lang w:val="cs-CZ"/>
        </w:rPr>
      </w:pPr>
      <w:bookmarkStart w:id="302" w:name="_Toc491854148"/>
      <w:bookmarkStart w:id="303" w:name="_Toc535417054"/>
      <w:r w:rsidRPr="003B6E11">
        <w:rPr>
          <w:lang w:val="cs-CZ"/>
        </w:rPr>
        <w:t>Článek 17.08</w:t>
      </w:r>
      <w:r w:rsidRPr="003B6E11">
        <w:rPr>
          <w:lang w:val="cs-CZ"/>
        </w:rPr>
        <w:br/>
      </w:r>
      <w:r w:rsidRPr="003B6E11">
        <w:rPr>
          <w:i/>
          <w:lang w:val="cs-CZ"/>
        </w:rPr>
        <w:t>Potrubí a ohebné hadice</w:t>
      </w:r>
      <w:bookmarkEnd w:id="302"/>
      <w:bookmarkEnd w:id="303"/>
    </w:p>
    <w:p w:rsidR="001D67AA" w:rsidRPr="003B6E11" w:rsidRDefault="001D67AA" w:rsidP="001D67AA">
      <w:pPr>
        <w:pStyle w:val="ESch"/>
        <w:rPr>
          <w:lang w:val="cs-CZ"/>
        </w:rPr>
      </w:pPr>
    </w:p>
    <w:p w:rsidR="00AE4E9D" w:rsidRPr="003B6E11" w:rsidRDefault="00AE4E9D" w:rsidP="001D67AA">
      <w:pPr>
        <w:pStyle w:val="ESch"/>
        <w:rPr>
          <w:lang w:val="cs-CZ"/>
        </w:rPr>
      </w:pPr>
      <w:r w:rsidRPr="003B6E11">
        <w:rPr>
          <w:lang w:val="cs-CZ"/>
        </w:rPr>
        <w:t>1.</w:t>
      </w:r>
      <w:r w:rsidRPr="003B6E11">
        <w:rPr>
          <w:lang w:val="cs-CZ"/>
        </w:rPr>
        <w:tab/>
        <w:t>Potrubí se musí skládat z pevně instalovaných ocelových nebo měděných trubek.</w:t>
      </w:r>
    </w:p>
    <w:p w:rsidR="001D67AA" w:rsidRPr="003B6E11" w:rsidRDefault="001D67AA" w:rsidP="001D67AA">
      <w:pPr>
        <w:pStyle w:val="ESchpar"/>
        <w:rPr>
          <w:lang w:val="cs-CZ"/>
        </w:rPr>
      </w:pPr>
    </w:p>
    <w:p w:rsidR="00AE4E9D" w:rsidRPr="003B6E11" w:rsidRDefault="00AE4E9D" w:rsidP="001D67AA">
      <w:pPr>
        <w:pStyle w:val="ESchpar"/>
        <w:rPr>
          <w:lang w:val="cs-CZ"/>
        </w:rPr>
      </w:pPr>
      <w:r w:rsidRPr="003B6E11">
        <w:rPr>
          <w:lang w:val="cs-CZ"/>
        </w:rPr>
        <w:t>Avšak potrubí spojené s nádržemi musí být z vysokotlakých ohebných hadic nebo spirálových hadic vhodných pro propan. Plynové spotřebiče, nejsou-li pevně instalovány, mohou být spojeny pomocí vhodných ohebných hadic, které nejsou delší než 1 m.</w:t>
      </w:r>
    </w:p>
    <w:p w:rsidR="001D67AA" w:rsidRPr="003B6E11" w:rsidRDefault="001D67AA" w:rsidP="001D67AA">
      <w:pPr>
        <w:pStyle w:val="ESch"/>
        <w:rPr>
          <w:lang w:val="cs-CZ"/>
        </w:rPr>
      </w:pPr>
    </w:p>
    <w:p w:rsidR="00AE4E9D" w:rsidRPr="003B6E11" w:rsidRDefault="00AE4E9D" w:rsidP="001D67AA">
      <w:pPr>
        <w:pStyle w:val="ESch"/>
        <w:rPr>
          <w:lang w:val="cs-CZ"/>
        </w:rPr>
      </w:pPr>
      <w:r w:rsidRPr="003B6E11">
        <w:rPr>
          <w:lang w:val="cs-CZ"/>
        </w:rPr>
        <w:t>2.</w:t>
      </w:r>
      <w:r w:rsidRPr="003B6E11">
        <w:rPr>
          <w:lang w:val="cs-CZ"/>
        </w:rPr>
        <w:tab/>
        <w:t>Potrubí musí vydržet jakékoli namáhání, zejména pokud jde o korozi a pevnost, kterému může být při běžných pracovních podmínkách na plavidle vystaveno, a jeho charakteristiky a uspořádání musí být takové, aby zajistily uspokojivý průtok plynu k plynovým spotřebičům při odpovídajícím tlaku.</w:t>
      </w:r>
    </w:p>
    <w:p w:rsidR="001D67AA" w:rsidRPr="003B6E11" w:rsidRDefault="001D67AA" w:rsidP="001D67AA">
      <w:pPr>
        <w:pStyle w:val="ESch"/>
        <w:rPr>
          <w:lang w:val="cs-CZ"/>
        </w:rPr>
      </w:pPr>
    </w:p>
    <w:p w:rsidR="00AE4E9D" w:rsidRPr="003B6E11" w:rsidRDefault="00AE4E9D" w:rsidP="001D67AA">
      <w:pPr>
        <w:pStyle w:val="ESch"/>
        <w:rPr>
          <w:lang w:val="cs-CZ"/>
        </w:rPr>
      </w:pPr>
      <w:r w:rsidRPr="003B6E11">
        <w:rPr>
          <w:lang w:val="cs-CZ"/>
        </w:rPr>
        <w:t>3.</w:t>
      </w:r>
      <w:r w:rsidRPr="003B6E11">
        <w:rPr>
          <w:lang w:val="cs-CZ"/>
        </w:rPr>
        <w:tab/>
        <w:t>Potrubí musí mít co nejméně spojů. Jak potrubí, tak spoje musí být plynotěsné a musí plynotěsnými zůstat bez ohledu na vibrace nebo roztahování, jimž mohou být vystaveny.</w:t>
      </w:r>
    </w:p>
    <w:p w:rsidR="001D67AA" w:rsidRPr="003B6E11" w:rsidRDefault="001D67AA" w:rsidP="001D67AA">
      <w:pPr>
        <w:pStyle w:val="ESch"/>
        <w:rPr>
          <w:lang w:val="cs-CZ"/>
        </w:rPr>
      </w:pPr>
    </w:p>
    <w:p w:rsidR="00AE4E9D" w:rsidRPr="003B6E11" w:rsidRDefault="00AE4E9D" w:rsidP="001D67AA">
      <w:pPr>
        <w:pStyle w:val="ESch"/>
        <w:rPr>
          <w:lang w:val="cs-CZ"/>
        </w:rPr>
      </w:pPr>
      <w:r w:rsidRPr="003B6E11">
        <w:rPr>
          <w:lang w:val="cs-CZ"/>
        </w:rPr>
        <w:t>4.</w:t>
      </w:r>
      <w:r w:rsidRPr="003B6E11">
        <w:rPr>
          <w:lang w:val="cs-CZ"/>
        </w:rPr>
        <w:tab/>
        <w:t>Trubky musí být snadno přístupné, řádně upevněné a chráněné ve všech místech, kde by mohly být vystaveny úderům nebo tření, zvláště v místech průchodu ocelovými přepážkami nebo kovovými stěnami. Celý vnější povrch ocelových trubek musí být protikorozně upraven.</w:t>
      </w:r>
    </w:p>
    <w:p w:rsidR="001D67AA" w:rsidRPr="003B6E11" w:rsidRDefault="001D67AA" w:rsidP="001D67AA">
      <w:pPr>
        <w:pStyle w:val="ESch"/>
        <w:rPr>
          <w:lang w:val="cs-CZ"/>
        </w:rPr>
      </w:pPr>
    </w:p>
    <w:p w:rsidR="00AE4E9D" w:rsidRPr="003B6E11" w:rsidRDefault="00AE4E9D" w:rsidP="001D67AA">
      <w:pPr>
        <w:pStyle w:val="ESch"/>
        <w:rPr>
          <w:rStyle w:val="HeaderChar"/>
          <w:rFonts w:ascii="Arial" w:hAnsi="Arial"/>
          <w:sz w:val="20"/>
          <w:lang w:val="cs-CZ"/>
        </w:rPr>
      </w:pPr>
      <w:r w:rsidRPr="003B6E11">
        <w:rPr>
          <w:lang w:val="cs-CZ"/>
        </w:rPr>
        <w:t>5.</w:t>
      </w:r>
      <w:r w:rsidRPr="003B6E11">
        <w:rPr>
          <w:lang w:val="cs-CZ"/>
        </w:rPr>
        <w:tab/>
        <w:t>Ohebné hadice a jejich spoje musí být schopny vydržet jakákoli namáhání, kterým mohou být za běžných pracovních podmínek na plavidle vystaveny. Musí být umístěny tak, aby nedošlo k namáhání tahem, jejich nadměrnému přehřátí a aby mohly být kontrolovány po celé své délce.</w:t>
      </w:r>
    </w:p>
    <w:p w:rsidR="00AE4E9D" w:rsidRPr="003B6E11" w:rsidRDefault="00AE4E9D" w:rsidP="001D67AA">
      <w:pPr>
        <w:pStyle w:val="ESch"/>
        <w:rPr>
          <w:lang w:val="cs-CZ"/>
        </w:rPr>
      </w:pPr>
    </w:p>
    <w:p w:rsidR="001D67AA" w:rsidRPr="003B6E11" w:rsidRDefault="001D67AA" w:rsidP="001D67AA">
      <w:pPr>
        <w:pStyle w:val="ESch"/>
        <w:rPr>
          <w:lang w:val="cs-CZ"/>
        </w:rPr>
      </w:pPr>
    </w:p>
    <w:p w:rsidR="00AE4E9D" w:rsidRPr="003B6E11" w:rsidRDefault="00AE4E9D" w:rsidP="00AE4E9D">
      <w:pPr>
        <w:pStyle w:val="ES-Titre3"/>
        <w:rPr>
          <w:i/>
          <w:lang w:val="cs-CZ"/>
        </w:rPr>
      </w:pPr>
      <w:bookmarkStart w:id="304" w:name="_Toc491854149"/>
      <w:bookmarkStart w:id="305" w:name="_Toc535417055"/>
      <w:r w:rsidRPr="003B6E11">
        <w:rPr>
          <w:lang w:val="cs-CZ"/>
        </w:rPr>
        <w:t>Článek 17.09</w:t>
      </w:r>
      <w:r w:rsidRPr="003B6E11">
        <w:rPr>
          <w:lang w:val="cs-CZ"/>
        </w:rPr>
        <w:br/>
      </w:r>
      <w:r w:rsidRPr="003B6E11">
        <w:rPr>
          <w:i/>
          <w:lang w:val="cs-CZ"/>
        </w:rPr>
        <w:t>Rozvodný systém</w:t>
      </w:r>
      <w:bookmarkEnd w:id="304"/>
      <w:bookmarkEnd w:id="305"/>
    </w:p>
    <w:p w:rsidR="001D67AA" w:rsidRPr="003B6E11" w:rsidRDefault="001D67AA" w:rsidP="001D67AA">
      <w:pPr>
        <w:pStyle w:val="ESch"/>
        <w:rPr>
          <w:lang w:val="cs-CZ"/>
        </w:rPr>
      </w:pPr>
    </w:p>
    <w:p w:rsidR="00AE4E9D" w:rsidRPr="003B6E11" w:rsidRDefault="00AE4E9D" w:rsidP="001D67AA">
      <w:pPr>
        <w:pStyle w:val="ESch"/>
        <w:rPr>
          <w:lang w:val="cs-CZ"/>
        </w:rPr>
      </w:pPr>
      <w:r w:rsidRPr="003B6E11">
        <w:rPr>
          <w:lang w:val="cs-CZ"/>
        </w:rPr>
        <w:t>1.</w:t>
      </w:r>
      <w:r w:rsidRPr="003B6E11">
        <w:rPr>
          <w:lang w:val="cs-CZ"/>
        </w:rPr>
        <w:tab/>
        <w:t>Celý rozvodný systém musí být možné odpojit ventilem, který je kdykoli snadno a rychle přístupný.</w:t>
      </w:r>
    </w:p>
    <w:p w:rsidR="001D67AA" w:rsidRPr="003B6E11" w:rsidRDefault="001D67AA" w:rsidP="001D67AA">
      <w:pPr>
        <w:pStyle w:val="ESch"/>
        <w:rPr>
          <w:lang w:val="cs-CZ"/>
        </w:rPr>
      </w:pPr>
    </w:p>
    <w:p w:rsidR="00AE4E9D" w:rsidRPr="003B6E11" w:rsidRDefault="00AE4E9D" w:rsidP="001D67AA">
      <w:pPr>
        <w:pStyle w:val="ESch"/>
        <w:rPr>
          <w:lang w:val="cs-CZ"/>
        </w:rPr>
      </w:pPr>
      <w:r w:rsidRPr="003B6E11">
        <w:rPr>
          <w:lang w:val="cs-CZ"/>
        </w:rPr>
        <w:t>2.</w:t>
      </w:r>
      <w:r w:rsidRPr="003B6E11">
        <w:rPr>
          <w:lang w:val="cs-CZ"/>
        </w:rPr>
        <w:tab/>
        <w:t>Každý plynový spotřebič musí být napájen samostatnou větví rozvodného systému a každá větev musí být ovládána samostatným uzavíracím zařízením.</w:t>
      </w:r>
    </w:p>
    <w:p w:rsidR="001D67AA" w:rsidRPr="003B6E11" w:rsidRDefault="001D67AA" w:rsidP="001D67AA">
      <w:pPr>
        <w:pStyle w:val="ESch"/>
        <w:rPr>
          <w:lang w:val="cs-CZ"/>
        </w:rPr>
      </w:pPr>
    </w:p>
    <w:p w:rsidR="005662C0" w:rsidRPr="003B6E11" w:rsidRDefault="005662C0" w:rsidP="001D67AA">
      <w:pPr>
        <w:pStyle w:val="ESch"/>
        <w:rPr>
          <w:lang w:val="cs-CZ"/>
        </w:rPr>
      </w:pPr>
      <w:r w:rsidRPr="003B6E11">
        <w:rPr>
          <w:lang w:val="cs-CZ"/>
        </w:rPr>
        <w:br w:type="page"/>
      </w:r>
    </w:p>
    <w:p w:rsidR="00AE4E9D" w:rsidRPr="003B6E11" w:rsidRDefault="00AE4E9D" w:rsidP="001D67AA">
      <w:pPr>
        <w:pStyle w:val="ESch"/>
        <w:rPr>
          <w:lang w:val="cs-CZ"/>
        </w:rPr>
      </w:pPr>
      <w:r w:rsidRPr="003B6E11">
        <w:rPr>
          <w:lang w:val="cs-CZ"/>
        </w:rPr>
        <w:t>3.</w:t>
      </w:r>
      <w:r w:rsidRPr="003B6E11">
        <w:rPr>
          <w:lang w:val="cs-CZ"/>
        </w:rPr>
        <w:tab/>
        <w:t>Ventily musí být pokud možno instalovány v místech, kde jsou chráněny před nepříznivým počasím a před nárazem.</w:t>
      </w:r>
    </w:p>
    <w:p w:rsidR="001D67AA" w:rsidRPr="003B6E11" w:rsidRDefault="001D67AA" w:rsidP="001D67AA">
      <w:pPr>
        <w:pStyle w:val="ESch"/>
        <w:rPr>
          <w:lang w:val="cs-CZ"/>
        </w:rPr>
      </w:pPr>
    </w:p>
    <w:p w:rsidR="00AE4E9D" w:rsidRPr="003B6E11" w:rsidRDefault="00AE4E9D" w:rsidP="001D67AA">
      <w:pPr>
        <w:pStyle w:val="ESch"/>
        <w:rPr>
          <w:lang w:val="cs-CZ"/>
        </w:rPr>
      </w:pPr>
      <w:r w:rsidRPr="003B6E11">
        <w:rPr>
          <w:lang w:val="cs-CZ"/>
        </w:rPr>
        <w:t>4.</w:t>
      </w:r>
      <w:r w:rsidRPr="003B6E11">
        <w:rPr>
          <w:lang w:val="cs-CZ"/>
        </w:rPr>
        <w:tab/>
        <w:t>Za každým regulátorem tlaku musí být nainstalována kontrolní přípojka. Pomocí uzavíracího zařízení musí být zajištěno, aby regulátor tlaku nebyl při tlakové zkoušce vystaven zkušebnímu tlaku.</w:t>
      </w:r>
    </w:p>
    <w:p w:rsidR="00AE4E9D" w:rsidRPr="003B6E11" w:rsidRDefault="00AE4E9D" w:rsidP="001D67AA">
      <w:pPr>
        <w:pStyle w:val="ESch"/>
        <w:rPr>
          <w:lang w:val="cs-CZ"/>
        </w:rPr>
      </w:pPr>
    </w:p>
    <w:p w:rsidR="001D67AA" w:rsidRPr="003B6E11" w:rsidRDefault="001D67AA" w:rsidP="001D67AA">
      <w:pPr>
        <w:pStyle w:val="ESch"/>
        <w:rPr>
          <w:lang w:val="cs-CZ"/>
        </w:rPr>
      </w:pPr>
    </w:p>
    <w:p w:rsidR="00AE4E9D" w:rsidRPr="003B6E11" w:rsidRDefault="00AE4E9D" w:rsidP="00AE4E9D">
      <w:pPr>
        <w:pStyle w:val="ES-Titre3"/>
        <w:rPr>
          <w:i/>
          <w:lang w:val="cs-CZ"/>
        </w:rPr>
      </w:pPr>
      <w:bookmarkStart w:id="306" w:name="_Toc491854150"/>
      <w:bookmarkStart w:id="307" w:name="_Toc535417056"/>
      <w:r w:rsidRPr="003B6E11">
        <w:rPr>
          <w:lang w:val="cs-CZ"/>
        </w:rPr>
        <w:t>Článek 17.10</w:t>
      </w:r>
      <w:r w:rsidRPr="003B6E11">
        <w:rPr>
          <w:lang w:val="cs-CZ"/>
        </w:rPr>
        <w:br/>
      </w:r>
      <w:r w:rsidRPr="003B6E11">
        <w:rPr>
          <w:i/>
          <w:lang w:val="cs-CZ"/>
        </w:rPr>
        <w:t>Plynové spotřebiče a jejich instalace</w:t>
      </w:r>
      <w:bookmarkEnd w:id="306"/>
      <w:bookmarkEnd w:id="307"/>
    </w:p>
    <w:p w:rsidR="005662C0" w:rsidRPr="003B6E11" w:rsidRDefault="005662C0" w:rsidP="005662C0">
      <w:pPr>
        <w:pStyle w:val="ESch"/>
        <w:rPr>
          <w:lang w:val="cs-CZ"/>
        </w:rPr>
      </w:pPr>
    </w:p>
    <w:p w:rsidR="00AE4E9D" w:rsidRPr="003B6E11" w:rsidRDefault="00AE4E9D" w:rsidP="005662C0">
      <w:pPr>
        <w:pStyle w:val="ESch"/>
        <w:rPr>
          <w:lang w:val="cs-CZ"/>
        </w:rPr>
      </w:pPr>
      <w:r w:rsidRPr="003B6E11">
        <w:rPr>
          <w:lang w:val="cs-CZ"/>
        </w:rPr>
        <w:t>1.</w:t>
      </w:r>
      <w:r w:rsidRPr="003B6E11">
        <w:rPr>
          <w:lang w:val="cs-CZ"/>
        </w:rPr>
        <w:tab/>
        <w:t>Jediné spotřebiče, které mohou být instalovány, jsou propanové spotřebiče schválené v jednom z členských států a vybavené zařízením pro účinné zabránění úniku plynu jak v případě zhasnutí plamene, tak v případě zhasnutí zapalovacího hořáku.</w:t>
      </w:r>
    </w:p>
    <w:p w:rsidR="005662C0" w:rsidRPr="003B6E11" w:rsidRDefault="005662C0" w:rsidP="005662C0">
      <w:pPr>
        <w:pStyle w:val="ESch"/>
        <w:rPr>
          <w:lang w:val="cs-CZ"/>
        </w:rPr>
      </w:pPr>
    </w:p>
    <w:p w:rsidR="00AE4E9D" w:rsidRPr="003B6E11" w:rsidRDefault="00AE4E9D" w:rsidP="005662C0">
      <w:pPr>
        <w:pStyle w:val="ESch"/>
        <w:rPr>
          <w:lang w:val="cs-CZ"/>
        </w:rPr>
      </w:pPr>
      <w:r w:rsidRPr="003B6E11">
        <w:rPr>
          <w:lang w:val="cs-CZ"/>
        </w:rPr>
        <w:t>2.</w:t>
      </w:r>
      <w:r w:rsidRPr="003B6E11">
        <w:rPr>
          <w:lang w:val="cs-CZ"/>
        </w:rPr>
        <w:tab/>
        <w:t>Přístroje musí být umístěny a propojeny tak, aby se nemohly náhodně převrátit nebo posunout a aby se zabránilo riziku přetržení připojovacího potrubí.</w:t>
      </w:r>
    </w:p>
    <w:p w:rsidR="005662C0" w:rsidRPr="003B6E11" w:rsidRDefault="005662C0" w:rsidP="005662C0">
      <w:pPr>
        <w:pStyle w:val="ESch"/>
        <w:rPr>
          <w:lang w:val="cs-CZ"/>
        </w:rPr>
      </w:pPr>
    </w:p>
    <w:p w:rsidR="00AE4E9D" w:rsidRPr="003B6E11" w:rsidRDefault="00AE4E9D" w:rsidP="005662C0">
      <w:pPr>
        <w:pStyle w:val="ESch"/>
        <w:rPr>
          <w:lang w:val="cs-CZ"/>
        </w:rPr>
      </w:pPr>
      <w:r w:rsidRPr="003B6E11">
        <w:rPr>
          <w:lang w:val="cs-CZ"/>
        </w:rPr>
        <w:t>3.</w:t>
      </w:r>
      <w:r w:rsidRPr="003B6E11">
        <w:rPr>
          <w:lang w:val="cs-CZ"/>
        </w:rPr>
        <w:tab/>
        <w:t>Topidla a ohřívače vody a chladničky musí být napojeny na kouřovod pro odvádění kouřových plynů do otevřeného prostoru.</w:t>
      </w:r>
    </w:p>
    <w:p w:rsidR="005662C0" w:rsidRPr="003B6E11" w:rsidRDefault="005662C0" w:rsidP="005662C0">
      <w:pPr>
        <w:pStyle w:val="ESch"/>
        <w:rPr>
          <w:lang w:val="cs-CZ"/>
        </w:rPr>
      </w:pPr>
    </w:p>
    <w:p w:rsidR="00AE4E9D" w:rsidRPr="003B6E11" w:rsidRDefault="00AE4E9D" w:rsidP="005662C0">
      <w:pPr>
        <w:pStyle w:val="ESch"/>
        <w:rPr>
          <w:lang w:val="cs-CZ"/>
        </w:rPr>
      </w:pPr>
      <w:r w:rsidRPr="003B6E11">
        <w:rPr>
          <w:lang w:val="cs-CZ"/>
        </w:rPr>
        <w:t>4.</w:t>
      </w:r>
      <w:r w:rsidRPr="003B6E11">
        <w:rPr>
          <w:lang w:val="cs-CZ"/>
        </w:rPr>
        <w:tab/>
        <w:t>Umístění plynových spotřebičů v kormidelně je dovoleno pouze tehdy, je-li kormidelna konstruována tak, aby uniklý plyn nemohl proniknout do spodních částí plavidla, zejména průchodkami řídicích vedení do strojovny.</w:t>
      </w:r>
    </w:p>
    <w:p w:rsidR="005662C0" w:rsidRPr="003B6E11" w:rsidRDefault="005662C0" w:rsidP="005662C0">
      <w:pPr>
        <w:pStyle w:val="ESch"/>
        <w:rPr>
          <w:lang w:val="cs-CZ"/>
        </w:rPr>
      </w:pPr>
    </w:p>
    <w:p w:rsidR="00AE4E9D" w:rsidRPr="003B6E11" w:rsidRDefault="00AE4E9D" w:rsidP="005662C0">
      <w:pPr>
        <w:pStyle w:val="ESch"/>
        <w:rPr>
          <w:lang w:val="cs-CZ"/>
        </w:rPr>
      </w:pPr>
      <w:r w:rsidRPr="003B6E11">
        <w:rPr>
          <w:lang w:val="cs-CZ"/>
        </w:rPr>
        <w:t>5.</w:t>
      </w:r>
      <w:r w:rsidRPr="003B6E11">
        <w:rPr>
          <w:lang w:val="cs-CZ"/>
        </w:rPr>
        <w:tab/>
        <w:t>Plynové spotřebiče smí být instalovány ve spacích místnostech pouze tehdy, probíhá-li spalování nezávisle na okolním vzduchu v těchto místnostech.</w:t>
      </w:r>
    </w:p>
    <w:p w:rsidR="005662C0" w:rsidRPr="003B6E11" w:rsidRDefault="005662C0" w:rsidP="005662C0">
      <w:pPr>
        <w:pStyle w:val="ESch"/>
        <w:rPr>
          <w:lang w:val="cs-CZ"/>
        </w:rPr>
      </w:pPr>
    </w:p>
    <w:p w:rsidR="00AE4E9D" w:rsidRPr="003B6E11" w:rsidRDefault="00AE4E9D" w:rsidP="005662C0">
      <w:pPr>
        <w:pStyle w:val="ESch"/>
        <w:rPr>
          <w:lang w:val="cs-CZ"/>
        </w:rPr>
      </w:pPr>
      <w:r w:rsidRPr="003B6E11">
        <w:rPr>
          <w:lang w:val="cs-CZ"/>
        </w:rPr>
        <w:t>6.</w:t>
      </w:r>
      <w:r w:rsidRPr="003B6E11">
        <w:rPr>
          <w:lang w:val="cs-CZ"/>
        </w:rPr>
        <w:tab/>
        <w:t>Plynové spotřebiče, u nichž spalování probíhá závisle na okolním vzduchu, musí být instalovány v místnostech, které jsou dostatečně velké.</w:t>
      </w:r>
    </w:p>
    <w:p w:rsidR="00AE4E9D" w:rsidRPr="003B6E11" w:rsidRDefault="00AE4E9D" w:rsidP="005662C0">
      <w:pPr>
        <w:pStyle w:val="ESch"/>
        <w:rPr>
          <w:lang w:val="cs-CZ"/>
        </w:rPr>
      </w:pPr>
    </w:p>
    <w:p w:rsidR="005662C0" w:rsidRPr="003B6E11" w:rsidRDefault="005662C0" w:rsidP="005662C0">
      <w:pPr>
        <w:pStyle w:val="ESch"/>
        <w:rPr>
          <w:lang w:val="cs-CZ"/>
        </w:rPr>
      </w:pPr>
    </w:p>
    <w:p w:rsidR="00AE4E9D" w:rsidRPr="003B6E11" w:rsidRDefault="00AE4E9D" w:rsidP="00AE4E9D">
      <w:pPr>
        <w:pStyle w:val="ES-Titre3"/>
        <w:rPr>
          <w:i/>
          <w:lang w:val="cs-CZ"/>
        </w:rPr>
      </w:pPr>
      <w:bookmarkStart w:id="308" w:name="_Toc491854151"/>
      <w:bookmarkStart w:id="309" w:name="_Toc535417057"/>
      <w:r w:rsidRPr="003B6E11">
        <w:rPr>
          <w:lang w:val="cs-CZ"/>
        </w:rPr>
        <w:t>Článek 17.11</w:t>
      </w:r>
      <w:r w:rsidRPr="003B6E11">
        <w:rPr>
          <w:lang w:val="cs-CZ"/>
        </w:rPr>
        <w:br/>
      </w:r>
      <w:r w:rsidRPr="003B6E11">
        <w:rPr>
          <w:i/>
          <w:lang w:val="cs-CZ"/>
        </w:rPr>
        <w:t>Větrání a odvádění kouřových plynů</w:t>
      </w:r>
      <w:bookmarkEnd w:id="308"/>
      <w:bookmarkEnd w:id="309"/>
    </w:p>
    <w:p w:rsidR="005662C0" w:rsidRPr="003B6E11" w:rsidRDefault="005662C0" w:rsidP="005662C0">
      <w:pPr>
        <w:pStyle w:val="ESch"/>
        <w:rPr>
          <w:lang w:val="cs-CZ"/>
        </w:rPr>
      </w:pPr>
    </w:p>
    <w:p w:rsidR="00AE4E9D" w:rsidRPr="003B6E11" w:rsidRDefault="00AE4E9D" w:rsidP="005662C0">
      <w:pPr>
        <w:pStyle w:val="ESch"/>
        <w:rPr>
          <w:lang w:val="cs-CZ"/>
        </w:rPr>
      </w:pPr>
      <w:r w:rsidRPr="003B6E11">
        <w:rPr>
          <w:lang w:val="cs-CZ"/>
        </w:rPr>
        <w:t>1.</w:t>
      </w:r>
      <w:r w:rsidRPr="003B6E11">
        <w:rPr>
          <w:lang w:val="cs-CZ"/>
        </w:rPr>
        <w:tab/>
        <w:t>V místnostech, kde jsou plynové spotřebiče, jejichž spalování závisí na okolním vzduchu, musí být zajištěna dodávka čerstvého vzduchu a odvádění kouřových plynů větracími otvory odpovídajících rozměrů se světlým průřezem nejméně 150 cm</w:t>
      </w:r>
      <w:r w:rsidRPr="003B6E11">
        <w:rPr>
          <w:vertAlign w:val="superscript"/>
          <w:lang w:val="cs-CZ"/>
        </w:rPr>
        <w:t>2</w:t>
      </w:r>
      <w:r w:rsidRPr="003B6E11">
        <w:rPr>
          <w:lang w:val="cs-CZ"/>
        </w:rPr>
        <w:t xml:space="preserve"> na každý otvor.</w:t>
      </w:r>
    </w:p>
    <w:p w:rsidR="005662C0" w:rsidRPr="003B6E11" w:rsidRDefault="005662C0" w:rsidP="005662C0">
      <w:pPr>
        <w:pStyle w:val="ESch"/>
        <w:rPr>
          <w:lang w:val="cs-CZ"/>
        </w:rPr>
      </w:pPr>
    </w:p>
    <w:p w:rsidR="00AE4E9D" w:rsidRPr="003B6E11" w:rsidRDefault="00AE4E9D" w:rsidP="005662C0">
      <w:pPr>
        <w:pStyle w:val="ESch"/>
        <w:rPr>
          <w:lang w:val="cs-CZ"/>
        </w:rPr>
      </w:pPr>
      <w:r w:rsidRPr="003B6E11">
        <w:rPr>
          <w:lang w:val="cs-CZ"/>
        </w:rPr>
        <w:t>2.</w:t>
      </w:r>
      <w:r w:rsidRPr="003B6E11">
        <w:rPr>
          <w:lang w:val="cs-CZ"/>
        </w:rPr>
        <w:tab/>
        <w:t>Větrací otvory nesmí mít žádné uzavírací zařízení a nesmí vést do spacích místností.</w:t>
      </w:r>
    </w:p>
    <w:p w:rsidR="005662C0" w:rsidRPr="003B6E11" w:rsidRDefault="005662C0" w:rsidP="005662C0">
      <w:pPr>
        <w:pStyle w:val="ESch"/>
        <w:rPr>
          <w:lang w:val="cs-CZ"/>
        </w:rPr>
      </w:pPr>
    </w:p>
    <w:p w:rsidR="00AE4E9D" w:rsidRPr="003B6E11" w:rsidRDefault="00AE4E9D" w:rsidP="005662C0">
      <w:pPr>
        <w:pStyle w:val="ESch"/>
        <w:rPr>
          <w:lang w:val="cs-CZ"/>
        </w:rPr>
      </w:pPr>
      <w:r w:rsidRPr="003B6E11">
        <w:rPr>
          <w:lang w:val="cs-CZ"/>
        </w:rPr>
        <w:t>3.</w:t>
      </w:r>
      <w:r w:rsidRPr="003B6E11">
        <w:rPr>
          <w:lang w:val="cs-CZ"/>
        </w:rPr>
        <w:tab/>
        <w:t>Odvětrávací zařízení musí být navržena tak, aby zajistila bezpečné odvádění kouřových plynů. Musí být provozně spolehlivá a být vyrobena z nehořlavých materiálů. Jejich činnost nesmí být ovlivňována umělým větráním.</w:t>
      </w:r>
    </w:p>
    <w:p w:rsidR="00AE4E9D" w:rsidRPr="003B6E11" w:rsidRDefault="00AE4E9D" w:rsidP="005662C0">
      <w:pPr>
        <w:pStyle w:val="ESch"/>
        <w:rPr>
          <w:lang w:val="cs-CZ"/>
        </w:rPr>
      </w:pPr>
    </w:p>
    <w:p w:rsidR="005662C0" w:rsidRPr="003B6E11" w:rsidRDefault="005662C0" w:rsidP="005662C0">
      <w:pPr>
        <w:pStyle w:val="ESch"/>
        <w:rPr>
          <w:lang w:val="cs-CZ"/>
        </w:rPr>
      </w:pPr>
      <w:r w:rsidRPr="003B6E11">
        <w:rPr>
          <w:lang w:val="cs-CZ"/>
        </w:rPr>
        <w:br w:type="page"/>
      </w:r>
    </w:p>
    <w:p w:rsidR="00AE4E9D" w:rsidRPr="003B6E11" w:rsidRDefault="00AE4E9D" w:rsidP="00AE4E9D">
      <w:pPr>
        <w:pStyle w:val="ES-Titre3"/>
        <w:rPr>
          <w:i/>
          <w:lang w:val="cs-CZ"/>
        </w:rPr>
      </w:pPr>
      <w:bookmarkStart w:id="310" w:name="_Toc491854152"/>
      <w:bookmarkStart w:id="311" w:name="_Toc535417058"/>
      <w:r w:rsidRPr="003B6E11">
        <w:rPr>
          <w:lang w:val="cs-CZ"/>
        </w:rPr>
        <w:t>Článek 17.12</w:t>
      </w:r>
      <w:r w:rsidRPr="003B6E11">
        <w:rPr>
          <w:lang w:val="cs-CZ"/>
        </w:rPr>
        <w:br/>
      </w:r>
      <w:r w:rsidRPr="003B6E11">
        <w:rPr>
          <w:i/>
          <w:lang w:val="cs-CZ"/>
        </w:rPr>
        <w:t>Návod k obsluze</w:t>
      </w:r>
      <w:bookmarkEnd w:id="310"/>
      <w:bookmarkEnd w:id="311"/>
    </w:p>
    <w:p w:rsidR="005662C0" w:rsidRPr="003B6E11" w:rsidRDefault="005662C0" w:rsidP="005662C0">
      <w:pPr>
        <w:pStyle w:val="ESgauche"/>
        <w:rPr>
          <w:lang w:val="cs-CZ"/>
        </w:rPr>
      </w:pPr>
    </w:p>
    <w:p w:rsidR="00AE4E9D" w:rsidRPr="003B6E11" w:rsidRDefault="00AE4E9D" w:rsidP="005662C0">
      <w:pPr>
        <w:pStyle w:val="ESgauche"/>
        <w:rPr>
          <w:lang w:val="cs-CZ"/>
        </w:rPr>
      </w:pPr>
      <w:r w:rsidRPr="003B6E11">
        <w:rPr>
          <w:lang w:val="cs-CZ"/>
        </w:rPr>
        <w:t>Návod k obsluze musí být připevněn na plavidle na vhodném místě. Musí obsahovat alespoň tyto pokyny:</w:t>
      </w:r>
    </w:p>
    <w:p w:rsidR="005662C0" w:rsidRPr="003B6E11" w:rsidRDefault="005662C0" w:rsidP="005662C0">
      <w:pPr>
        <w:pStyle w:val="ESgauche"/>
        <w:rPr>
          <w:lang w:val="cs-CZ"/>
        </w:rPr>
      </w:pPr>
    </w:p>
    <w:p w:rsidR="00AE4E9D" w:rsidRPr="003B6E11" w:rsidRDefault="0064343D" w:rsidP="005D13EF">
      <w:pPr>
        <w:pStyle w:val="ESgauche"/>
        <w:jc w:val="center"/>
        <w:rPr>
          <w:lang w:val="cs-CZ"/>
        </w:rPr>
      </w:pPr>
      <w:r w:rsidRPr="003B6E11">
        <w:rPr>
          <w:lang w:val="cs-CZ"/>
        </w:rPr>
        <w:t>„Ventily nádrží, které nejsou spojeny s rozvodným systémem, musí být uzavřeny, i pokud jsou nádrže považovány za prázdné.“;</w:t>
      </w:r>
    </w:p>
    <w:p w:rsidR="005662C0" w:rsidRPr="003B6E11" w:rsidRDefault="005662C0" w:rsidP="005D13EF">
      <w:pPr>
        <w:pStyle w:val="ESgauche"/>
        <w:jc w:val="center"/>
        <w:rPr>
          <w:lang w:val="cs-CZ"/>
        </w:rPr>
      </w:pPr>
    </w:p>
    <w:p w:rsidR="00AE4E9D" w:rsidRPr="003B6E11" w:rsidRDefault="0064343D" w:rsidP="005D13EF">
      <w:pPr>
        <w:pStyle w:val="ESgauche"/>
        <w:jc w:val="center"/>
        <w:rPr>
          <w:lang w:val="cs-CZ"/>
        </w:rPr>
      </w:pPr>
      <w:r w:rsidRPr="003B6E11">
        <w:rPr>
          <w:lang w:val="cs-CZ"/>
        </w:rPr>
        <w:t>„Ohebné hadice je nutné vyměnit, jakmile si to vyžádá jejich stav.“;</w:t>
      </w:r>
    </w:p>
    <w:p w:rsidR="005662C0" w:rsidRPr="003B6E11" w:rsidRDefault="005662C0" w:rsidP="005D13EF">
      <w:pPr>
        <w:pStyle w:val="ESgauche"/>
        <w:jc w:val="center"/>
        <w:rPr>
          <w:lang w:val="cs-CZ"/>
        </w:rPr>
      </w:pPr>
    </w:p>
    <w:p w:rsidR="00AE4E9D" w:rsidRPr="003B6E11" w:rsidRDefault="0064343D" w:rsidP="005D13EF">
      <w:pPr>
        <w:pStyle w:val="ESgauche"/>
        <w:jc w:val="center"/>
        <w:rPr>
          <w:lang w:val="cs-CZ"/>
        </w:rPr>
      </w:pPr>
      <w:r w:rsidRPr="003B6E11">
        <w:rPr>
          <w:lang w:val="cs-CZ"/>
        </w:rPr>
        <w:t>„Všechny plynové spotřebiče musí být připojeny nebo příslušné spojovací potrubí musí být zapečetěno.“</w:t>
      </w:r>
    </w:p>
    <w:p w:rsidR="00AE4E9D" w:rsidRPr="003B6E11" w:rsidRDefault="00AE4E9D" w:rsidP="005662C0">
      <w:pPr>
        <w:pStyle w:val="ESch"/>
        <w:rPr>
          <w:lang w:val="cs-CZ"/>
        </w:rPr>
      </w:pPr>
    </w:p>
    <w:p w:rsidR="005662C0" w:rsidRPr="003B6E11" w:rsidRDefault="005662C0" w:rsidP="005662C0">
      <w:pPr>
        <w:pStyle w:val="ESch"/>
        <w:rPr>
          <w:lang w:val="cs-CZ"/>
        </w:rPr>
      </w:pPr>
    </w:p>
    <w:p w:rsidR="00AE4E9D" w:rsidRPr="003B6E11" w:rsidRDefault="00AE4E9D" w:rsidP="00AE4E9D">
      <w:pPr>
        <w:pStyle w:val="ES-Titre3"/>
        <w:rPr>
          <w:i/>
          <w:lang w:val="cs-CZ"/>
        </w:rPr>
      </w:pPr>
      <w:bookmarkStart w:id="312" w:name="_Toc491854153"/>
      <w:bookmarkStart w:id="313" w:name="_Toc535417059"/>
      <w:r w:rsidRPr="003B6E11">
        <w:rPr>
          <w:lang w:val="cs-CZ"/>
        </w:rPr>
        <w:t>Článek 17.13</w:t>
      </w:r>
      <w:r w:rsidRPr="003B6E11">
        <w:rPr>
          <w:lang w:val="cs-CZ"/>
        </w:rPr>
        <w:br/>
      </w:r>
      <w:r w:rsidRPr="003B6E11">
        <w:rPr>
          <w:i/>
          <w:lang w:val="cs-CZ"/>
        </w:rPr>
        <w:t>Přejímací zkouška</w:t>
      </w:r>
      <w:bookmarkEnd w:id="312"/>
      <w:bookmarkEnd w:id="313"/>
    </w:p>
    <w:p w:rsidR="005662C0" w:rsidRPr="003B6E11" w:rsidRDefault="005662C0" w:rsidP="005662C0">
      <w:pPr>
        <w:pStyle w:val="ESch"/>
        <w:rPr>
          <w:lang w:val="cs-CZ"/>
        </w:rPr>
      </w:pPr>
    </w:p>
    <w:p w:rsidR="00AE4E9D" w:rsidRPr="003B6E11" w:rsidRDefault="00AE4E9D" w:rsidP="005662C0">
      <w:pPr>
        <w:pStyle w:val="ESgauche"/>
        <w:rPr>
          <w:lang w:val="cs-CZ"/>
        </w:rPr>
      </w:pPr>
      <w:r w:rsidRPr="003B6E11">
        <w:rPr>
          <w:lang w:val="cs-CZ"/>
        </w:rPr>
        <w:t>Zařízení na zkapalněný plyn musí zkontrolovat odborník za účelem ověření, zda je zařízení v souladu s požadavky této kapitoly:</w:t>
      </w:r>
    </w:p>
    <w:p w:rsidR="00AE4E9D" w:rsidRPr="003B6E11" w:rsidRDefault="005C7859" w:rsidP="005662C0">
      <w:pPr>
        <w:pStyle w:val="ESletgauche"/>
        <w:rPr>
          <w:lang w:val="cs-CZ"/>
        </w:rPr>
      </w:pPr>
      <w:r w:rsidRPr="003B6E11">
        <w:rPr>
          <w:lang w:val="cs-CZ"/>
        </w:rPr>
        <w:t>a)</w:t>
      </w:r>
      <w:r w:rsidRPr="003B6E11">
        <w:rPr>
          <w:lang w:val="cs-CZ"/>
        </w:rPr>
        <w:tab/>
        <w:t>před prvním uvedením do provozu;</w:t>
      </w:r>
    </w:p>
    <w:p w:rsidR="00AE4E9D" w:rsidRPr="003B6E11" w:rsidRDefault="005C7859" w:rsidP="005662C0">
      <w:pPr>
        <w:pStyle w:val="ESletgauche"/>
        <w:rPr>
          <w:lang w:val="cs-CZ"/>
        </w:rPr>
      </w:pPr>
      <w:r w:rsidRPr="003B6E11">
        <w:rPr>
          <w:lang w:val="cs-CZ"/>
        </w:rPr>
        <w:t>b)</w:t>
      </w:r>
      <w:r w:rsidRPr="003B6E11">
        <w:rPr>
          <w:lang w:val="cs-CZ"/>
        </w:rPr>
        <w:tab/>
        <w:t>před opětovným uvedením do provozu po jakékoli závažnější úpravě nebo opravě a</w:t>
      </w:r>
    </w:p>
    <w:p w:rsidR="00AE4E9D" w:rsidRPr="003B6E11" w:rsidRDefault="005C7859" w:rsidP="005662C0">
      <w:pPr>
        <w:pStyle w:val="ESletgauche"/>
        <w:rPr>
          <w:lang w:val="cs-CZ"/>
        </w:rPr>
      </w:pPr>
      <w:r w:rsidRPr="003B6E11">
        <w:rPr>
          <w:lang w:val="cs-CZ"/>
        </w:rPr>
        <w:t>c)</w:t>
      </w:r>
      <w:r w:rsidRPr="003B6E11">
        <w:rPr>
          <w:lang w:val="cs-CZ"/>
        </w:rPr>
        <w:tab/>
        <w:t>při každém obnovování atestace podle článku 17.15.</w:t>
      </w:r>
    </w:p>
    <w:p w:rsidR="00AE4E9D" w:rsidRPr="003B6E11" w:rsidRDefault="00AE4E9D" w:rsidP="005662C0">
      <w:pPr>
        <w:pStyle w:val="ESgauche"/>
        <w:rPr>
          <w:lang w:val="cs-CZ"/>
        </w:rPr>
      </w:pPr>
    </w:p>
    <w:p w:rsidR="00AE4E9D" w:rsidRPr="003B6E11" w:rsidRDefault="00AE4E9D" w:rsidP="005662C0">
      <w:pPr>
        <w:pStyle w:val="ESgauche"/>
        <w:rPr>
          <w:lang w:val="cs-CZ"/>
        </w:rPr>
      </w:pPr>
      <w:r w:rsidRPr="003B6E11">
        <w:rPr>
          <w:lang w:val="cs-CZ"/>
        </w:rPr>
        <w:t>Musí být vystaveno potvrzení o prohlídce podepsané odborníkem, na němž je uvedeno datum prohlídky. Kopii potvrzení o prohlídce je nutno předložit subjektu pověřenému prohlídkami.</w:t>
      </w:r>
    </w:p>
    <w:p w:rsidR="00AE4E9D" w:rsidRPr="003B6E11" w:rsidRDefault="00AE4E9D" w:rsidP="005662C0">
      <w:pPr>
        <w:pStyle w:val="ESgauche"/>
        <w:rPr>
          <w:lang w:val="cs-CZ"/>
        </w:rPr>
      </w:pPr>
    </w:p>
    <w:p w:rsidR="005662C0" w:rsidRPr="003B6E11" w:rsidRDefault="005662C0" w:rsidP="005662C0">
      <w:pPr>
        <w:pStyle w:val="ESgauche"/>
        <w:rPr>
          <w:lang w:val="cs-CZ"/>
        </w:rPr>
      </w:pPr>
    </w:p>
    <w:p w:rsidR="00AE4E9D" w:rsidRPr="003B6E11" w:rsidRDefault="00AE4E9D" w:rsidP="00AE4E9D">
      <w:pPr>
        <w:pStyle w:val="ES-Titre3"/>
        <w:rPr>
          <w:i/>
          <w:lang w:val="cs-CZ"/>
        </w:rPr>
      </w:pPr>
      <w:bookmarkStart w:id="314" w:name="_Toc491854154"/>
      <w:bookmarkStart w:id="315" w:name="_Toc535417060"/>
      <w:r w:rsidRPr="003B6E11">
        <w:rPr>
          <w:lang w:val="cs-CZ"/>
        </w:rPr>
        <w:t>Článek 17.14</w:t>
      </w:r>
      <w:r w:rsidRPr="003B6E11">
        <w:rPr>
          <w:lang w:val="cs-CZ"/>
        </w:rPr>
        <w:br/>
      </w:r>
      <w:r w:rsidRPr="003B6E11">
        <w:rPr>
          <w:i/>
          <w:lang w:val="cs-CZ"/>
        </w:rPr>
        <w:t>Zkušební podmínky</w:t>
      </w:r>
      <w:bookmarkEnd w:id="314"/>
      <w:bookmarkEnd w:id="315"/>
    </w:p>
    <w:p w:rsidR="005662C0" w:rsidRPr="003B6E11" w:rsidRDefault="005662C0" w:rsidP="005662C0">
      <w:pPr>
        <w:pStyle w:val="ESgauche"/>
        <w:rPr>
          <w:lang w:val="cs-CZ"/>
        </w:rPr>
      </w:pPr>
    </w:p>
    <w:p w:rsidR="00AE4E9D" w:rsidRPr="003B6E11" w:rsidRDefault="00AE4E9D" w:rsidP="005662C0">
      <w:pPr>
        <w:pStyle w:val="ESgauche"/>
        <w:rPr>
          <w:lang w:val="cs-CZ"/>
        </w:rPr>
      </w:pPr>
      <w:r w:rsidRPr="003B6E11">
        <w:rPr>
          <w:lang w:val="cs-CZ"/>
        </w:rPr>
        <w:t>Zkoušky zařízení se provádějí za těchto podmínek:</w:t>
      </w:r>
    </w:p>
    <w:p w:rsidR="005662C0" w:rsidRPr="003B6E11" w:rsidRDefault="005662C0" w:rsidP="005662C0">
      <w:pPr>
        <w:pStyle w:val="ESch"/>
        <w:rPr>
          <w:lang w:val="cs-CZ"/>
        </w:rPr>
      </w:pPr>
    </w:p>
    <w:p w:rsidR="00AE4E9D" w:rsidRPr="003B6E11" w:rsidRDefault="00AE4E9D" w:rsidP="005662C0">
      <w:pPr>
        <w:pStyle w:val="ESch"/>
        <w:rPr>
          <w:lang w:val="cs-CZ"/>
        </w:rPr>
      </w:pPr>
      <w:r w:rsidRPr="003B6E11">
        <w:rPr>
          <w:lang w:val="cs-CZ"/>
        </w:rPr>
        <w:t>1.</w:t>
      </w:r>
      <w:r w:rsidRPr="003B6E11">
        <w:rPr>
          <w:lang w:val="cs-CZ"/>
        </w:rPr>
        <w:tab/>
        <w:t>Středotlaké potrubí mezi uzavíracím zařízením uvedeným v čl. 17.09 odst. 4 prvního regulátoru tlaku a ventily namontovanými před koncovým regulátorem tlaku:</w:t>
      </w:r>
    </w:p>
    <w:p w:rsidR="00AE4E9D" w:rsidRPr="003B6E11" w:rsidRDefault="005C7859" w:rsidP="005662C0">
      <w:pPr>
        <w:pStyle w:val="ESlet"/>
        <w:rPr>
          <w:lang w:val="cs-CZ"/>
        </w:rPr>
      </w:pPr>
      <w:r w:rsidRPr="003B6E11">
        <w:rPr>
          <w:lang w:val="cs-CZ"/>
        </w:rPr>
        <w:t>a)</w:t>
      </w:r>
      <w:r w:rsidRPr="003B6E11">
        <w:rPr>
          <w:lang w:val="cs-CZ"/>
        </w:rPr>
        <w:tab/>
        <w:t>tlaková zkouška provedená vzduchem, inertním plynem nebo kapalinou při tlaku o 20 barů vyšším než atmosférický tlak;</w:t>
      </w:r>
    </w:p>
    <w:p w:rsidR="00AE4E9D" w:rsidRPr="003B6E11" w:rsidRDefault="005C7859" w:rsidP="005662C0">
      <w:pPr>
        <w:pStyle w:val="ESlet"/>
        <w:rPr>
          <w:lang w:val="cs-CZ"/>
        </w:rPr>
      </w:pPr>
      <w:r w:rsidRPr="003B6E11">
        <w:rPr>
          <w:lang w:val="cs-CZ"/>
        </w:rPr>
        <w:t>b)</w:t>
      </w:r>
      <w:r w:rsidRPr="003B6E11">
        <w:rPr>
          <w:lang w:val="cs-CZ"/>
        </w:rPr>
        <w:tab/>
        <w:t>zkouška těsnosti provedená vzduchem nebo inertním plynem při tlaku o 3,5 baru vyšším než atmosférický tlak.</w:t>
      </w:r>
    </w:p>
    <w:p w:rsidR="005662C0" w:rsidRPr="003B6E11" w:rsidRDefault="005662C0" w:rsidP="005662C0">
      <w:pPr>
        <w:pStyle w:val="ESch"/>
        <w:rPr>
          <w:lang w:val="cs-CZ"/>
        </w:rPr>
      </w:pPr>
    </w:p>
    <w:p w:rsidR="00AE4E9D" w:rsidRPr="003B6E11" w:rsidRDefault="00AE4E9D" w:rsidP="005662C0">
      <w:pPr>
        <w:pStyle w:val="ESch"/>
        <w:rPr>
          <w:lang w:val="cs-CZ"/>
        </w:rPr>
      </w:pPr>
      <w:r w:rsidRPr="003B6E11">
        <w:rPr>
          <w:lang w:val="cs-CZ"/>
        </w:rPr>
        <w:t>2.</w:t>
      </w:r>
      <w:r w:rsidRPr="003B6E11">
        <w:rPr>
          <w:lang w:val="cs-CZ"/>
        </w:rPr>
        <w:tab/>
        <w:t>Potrubí při pracovním tlaku mezi uzavíracím zařízením uvedeným v čl. 17.09 odst. 4 jediného nebo koncového regulátoru tlaku a ventily namontovanými před plynovými spotřebiči:</w:t>
      </w:r>
    </w:p>
    <w:p w:rsidR="00AE4E9D" w:rsidRPr="003B6E11" w:rsidRDefault="00AE4E9D" w:rsidP="00572BD3">
      <w:pPr>
        <w:pStyle w:val="ESletpar"/>
        <w:rPr>
          <w:lang w:val="cs-CZ"/>
        </w:rPr>
      </w:pPr>
      <w:r w:rsidRPr="003B6E11">
        <w:rPr>
          <w:lang w:val="cs-CZ"/>
        </w:rPr>
        <w:t>zkouška těsnosti provedená vzduchem nebo inertním plynem při tlaku o 1 bar vyšším než atmosférický tlak.</w:t>
      </w:r>
    </w:p>
    <w:p w:rsidR="005662C0" w:rsidRPr="003B6E11" w:rsidRDefault="005662C0" w:rsidP="005662C0">
      <w:pPr>
        <w:pStyle w:val="ESch"/>
        <w:rPr>
          <w:lang w:val="cs-CZ"/>
        </w:rPr>
      </w:pPr>
    </w:p>
    <w:p w:rsidR="00AE4E9D" w:rsidRPr="003B6E11" w:rsidRDefault="00AE4E9D" w:rsidP="005662C0">
      <w:pPr>
        <w:pStyle w:val="ESch"/>
        <w:rPr>
          <w:lang w:val="cs-CZ"/>
        </w:rPr>
      </w:pPr>
      <w:r w:rsidRPr="003B6E11">
        <w:rPr>
          <w:lang w:val="cs-CZ"/>
        </w:rPr>
        <w:t>3.</w:t>
      </w:r>
      <w:r w:rsidRPr="003B6E11">
        <w:rPr>
          <w:lang w:val="cs-CZ"/>
        </w:rPr>
        <w:tab/>
        <w:t>Potrubí mezi uzavíracím zařízením uvedeným v čl. 17.09 odst. 4 jediného nebo koncového regulátoru tlaku a ovládacími prvky plynových spotřebičů:</w:t>
      </w:r>
    </w:p>
    <w:p w:rsidR="00AE4E9D" w:rsidRPr="003B6E11" w:rsidRDefault="00AE4E9D" w:rsidP="00572BD3">
      <w:pPr>
        <w:pStyle w:val="ESletpar"/>
        <w:rPr>
          <w:lang w:val="cs-CZ"/>
        </w:rPr>
      </w:pPr>
      <w:r w:rsidRPr="003B6E11">
        <w:rPr>
          <w:lang w:val="cs-CZ"/>
        </w:rPr>
        <w:t>zkouška těsnosti při tlaku o 0,15 baru vyšším než atmosférický tlak.</w:t>
      </w:r>
    </w:p>
    <w:p w:rsidR="005662C0" w:rsidRPr="003B6E11" w:rsidRDefault="005662C0" w:rsidP="005662C0">
      <w:pPr>
        <w:pStyle w:val="ESch"/>
        <w:rPr>
          <w:lang w:val="cs-CZ"/>
        </w:rPr>
      </w:pPr>
    </w:p>
    <w:p w:rsidR="005662C0" w:rsidRPr="003B6E11" w:rsidRDefault="005662C0" w:rsidP="005662C0">
      <w:pPr>
        <w:pStyle w:val="ESch"/>
        <w:rPr>
          <w:lang w:val="cs-CZ"/>
        </w:rPr>
      </w:pPr>
      <w:r w:rsidRPr="003B6E11">
        <w:rPr>
          <w:lang w:val="cs-CZ"/>
        </w:rPr>
        <w:br w:type="page"/>
      </w:r>
    </w:p>
    <w:p w:rsidR="00AE4E9D" w:rsidRPr="003B6E11" w:rsidRDefault="00AE4E9D" w:rsidP="005662C0">
      <w:pPr>
        <w:pStyle w:val="ESch"/>
        <w:rPr>
          <w:lang w:val="cs-CZ"/>
        </w:rPr>
      </w:pPr>
      <w:r w:rsidRPr="003B6E11">
        <w:rPr>
          <w:lang w:val="cs-CZ"/>
        </w:rPr>
        <w:t>4.</w:t>
      </w:r>
      <w:r w:rsidRPr="003B6E11">
        <w:rPr>
          <w:lang w:val="cs-CZ"/>
        </w:rPr>
        <w:tab/>
        <w:t>Při zkouškách podle odst. 1 písm. b) a odstavců 2 a 3 je potrubí považováno za plynotěsné, není-li po uplynutí času potřebného k vyrovnání teploty během následujících 10 minut zaznamenán pokles zkušebního tlaku.</w:t>
      </w:r>
    </w:p>
    <w:p w:rsidR="005662C0" w:rsidRPr="003B6E11" w:rsidRDefault="005662C0" w:rsidP="005662C0">
      <w:pPr>
        <w:pStyle w:val="ESch"/>
        <w:rPr>
          <w:lang w:val="cs-CZ"/>
        </w:rPr>
      </w:pPr>
    </w:p>
    <w:p w:rsidR="00AE4E9D" w:rsidRPr="003B6E11" w:rsidRDefault="00AE4E9D" w:rsidP="005662C0">
      <w:pPr>
        <w:pStyle w:val="ESch"/>
        <w:rPr>
          <w:lang w:val="cs-CZ"/>
        </w:rPr>
      </w:pPr>
      <w:r w:rsidRPr="003B6E11">
        <w:rPr>
          <w:lang w:val="cs-CZ"/>
        </w:rPr>
        <w:t>5.</w:t>
      </w:r>
      <w:r w:rsidRPr="003B6E11">
        <w:rPr>
          <w:lang w:val="cs-CZ"/>
        </w:rPr>
        <w:tab/>
        <w:t>Přípojky nádrží, potrubní spoje a jiné armatury vystavené tlaku v nádržích a spoje mezi regulátory tlaku a rozvodným potrubím:</w:t>
      </w:r>
    </w:p>
    <w:p w:rsidR="00AE4E9D" w:rsidRPr="003B6E11" w:rsidRDefault="00AE4E9D" w:rsidP="00572BD3">
      <w:pPr>
        <w:pStyle w:val="ESletpar"/>
        <w:rPr>
          <w:lang w:val="cs-CZ"/>
        </w:rPr>
      </w:pPr>
      <w:r w:rsidRPr="003B6E11">
        <w:rPr>
          <w:lang w:val="cs-CZ"/>
        </w:rPr>
        <w:t>zkouška těsnosti provedená pěnivou látkou při provozním tlaku.</w:t>
      </w:r>
    </w:p>
    <w:p w:rsidR="005662C0" w:rsidRPr="003B6E11" w:rsidRDefault="005662C0" w:rsidP="005662C0">
      <w:pPr>
        <w:pStyle w:val="ESch"/>
        <w:rPr>
          <w:lang w:val="cs-CZ"/>
        </w:rPr>
      </w:pPr>
    </w:p>
    <w:p w:rsidR="00AE4E9D" w:rsidRPr="003B6E11" w:rsidRDefault="00AE4E9D" w:rsidP="005662C0">
      <w:pPr>
        <w:pStyle w:val="ESch"/>
        <w:rPr>
          <w:lang w:val="cs-CZ"/>
        </w:rPr>
      </w:pPr>
      <w:r w:rsidRPr="003B6E11">
        <w:rPr>
          <w:lang w:val="cs-CZ"/>
        </w:rPr>
        <w:t>6.</w:t>
      </w:r>
      <w:r w:rsidRPr="003B6E11">
        <w:rPr>
          <w:lang w:val="cs-CZ"/>
        </w:rPr>
        <w:tab/>
        <w:t>Všechny plynové spotřebiče musí být uvedeny do provozu při jmenovité kapacitě a zkoušeny za účelem ověření uspokojivého a nerušeného spalování při různých kapacitních nastaveních.</w:t>
      </w:r>
    </w:p>
    <w:p w:rsidR="006058B1" w:rsidRPr="003B6E11" w:rsidRDefault="006058B1" w:rsidP="005662C0">
      <w:pPr>
        <w:pStyle w:val="ESchpar"/>
        <w:rPr>
          <w:lang w:val="cs-CZ"/>
        </w:rPr>
      </w:pPr>
    </w:p>
    <w:p w:rsidR="00AE4E9D" w:rsidRPr="003B6E11" w:rsidRDefault="00AE4E9D" w:rsidP="005662C0">
      <w:pPr>
        <w:pStyle w:val="ESchpar"/>
        <w:rPr>
          <w:lang w:val="cs-CZ"/>
        </w:rPr>
      </w:pPr>
      <w:r w:rsidRPr="003B6E11">
        <w:rPr>
          <w:lang w:val="cs-CZ"/>
        </w:rPr>
        <w:t>U pojistek plamene musí být zkontrolováno, zda uspokojivě fungují.</w:t>
      </w:r>
    </w:p>
    <w:p w:rsidR="005662C0" w:rsidRPr="003B6E11" w:rsidRDefault="005662C0" w:rsidP="005662C0">
      <w:pPr>
        <w:pStyle w:val="ESch"/>
        <w:rPr>
          <w:lang w:val="cs-CZ"/>
        </w:rPr>
      </w:pPr>
    </w:p>
    <w:p w:rsidR="00AE4E9D" w:rsidRPr="003B6E11" w:rsidRDefault="00AE4E9D" w:rsidP="005662C0">
      <w:pPr>
        <w:pStyle w:val="ESch"/>
        <w:rPr>
          <w:lang w:val="cs-CZ"/>
        </w:rPr>
      </w:pPr>
      <w:r w:rsidRPr="003B6E11">
        <w:rPr>
          <w:lang w:val="cs-CZ"/>
        </w:rPr>
        <w:t>7.</w:t>
      </w:r>
      <w:r w:rsidRPr="003B6E11">
        <w:rPr>
          <w:lang w:val="cs-CZ"/>
        </w:rPr>
        <w:tab/>
        <w:t>Po provedení zkoušky podle odstavce 6 musí být u každého plynového spotřebiče připojeného ke kouřovodu ověřeno, zda po pěti minutách provozu při jmenovité kapacitě, uzavřených oknech a dveřích a s ventilátory v provozu nepronikají do místnosti přes přívod vzduchu žádné kouřové plyny.</w:t>
      </w:r>
    </w:p>
    <w:p w:rsidR="005662C0" w:rsidRPr="003B6E11" w:rsidRDefault="005662C0" w:rsidP="005662C0">
      <w:pPr>
        <w:pStyle w:val="ESch"/>
        <w:rPr>
          <w:lang w:val="cs-CZ"/>
        </w:rPr>
      </w:pPr>
    </w:p>
    <w:p w:rsidR="00AE4E9D" w:rsidRPr="003B6E11" w:rsidRDefault="00AE4E9D" w:rsidP="005662C0">
      <w:pPr>
        <w:pStyle w:val="ESchpar"/>
        <w:rPr>
          <w:lang w:val="cs-CZ"/>
        </w:rPr>
      </w:pPr>
      <w:r w:rsidRPr="003B6E11">
        <w:rPr>
          <w:lang w:val="cs-CZ"/>
        </w:rPr>
        <w:t>Pokud dojde k většímu úniku takových plynů než ojedinělému v daný okamžik, je nutné ihned odhalit a odstranit příčinu. Spotřebič nesmí být schválen k použití, dokud nejsou všechny závady odstraněny.</w:t>
      </w:r>
    </w:p>
    <w:p w:rsidR="00AE4E9D" w:rsidRPr="003B6E11" w:rsidRDefault="00AE4E9D" w:rsidP="005662C0">
      <w:pPr>
        <w:pStyle w:val="ESch"/>
        <w:rPr>
          <w:lang w:val="cs-CZ"/>
        </w:rPr>
      </w:pPr>
    </w:p>
    <w:p w:rsidR="005662C0" w:rsidRPr="003B6E11" w:rsidRDefault="005662C0" w:rsidP="005662C0">
      <w:pPr>
        <w:pStyle w:val="ESch"/>
        <w:rPr>
          <w:lang w:val="cs-CZ"/>
        </w:rPr>
      </w:pPr>
    </w:p>
    <w:p w:rsidR="00AE4E9D" w:rsidRPr="003B6E11" w:rsidRDefault="00AE4E9D" w:rsidP="00AE4E9D">
      <w:pPr>
        <w:pStyle w:val="ES-Titre3"/>
        <w:rPr>
          <w:lang w:val="cs-CZ"/>
        </w:rPr>
      </w:pPr>
      <w:bookmarkStart w:id="316" w:name="_Toc491854155"/>
      <w:bookmarkStart w:id="317" w:name="_Toc535417061"/>
      <w:r w:rsidRPr="003B6E11">
        <w:rPr>
          <w:lang w:val="cs-CZ"/>
        </w:rPr>
        <w:t>Článek 17.15</w:t>
      </w:r>
      <w:r w:rsidRPr="003B6E11">
        <w:rPr>
          <w:lang w:val="cs-CZ"/>
        </w:rPr>
        <w:br/>
      </w:r>
      <w:r w:rsidRPr="003B6E11">
        <w:rPr>
          <w:i/>
          <w:lang w:val="cs-CZ"/>
        </w:rPr>
        <w:t>Atestace</w:t>
      </w:r>
      <w:bookmarkEnd w:id="316"/>
      <w:bookmarkEnd w:id="317"/>
    </w:p>
    <w:p w:rsidR="005662C0" w:rsidRPr="003B6E11" w:rsidRDefault="005662C0" w:rsidP="005662C0">
      <w:pPr>
        <w:pStyle w:val="ESch"/>
        <w:rPr>
          <w:lang w:val="cs-CZ"/>
        </w:rPr>
      </w:pPr>
    </w:p>
    <w:p w:rsidR="00AE4E9D" w:rsidRPr="003B6E11" w:rsidRDefault="00AE4E9D" w:rsidP="005662C0">
      <w:pPr>
        <w:pStyle w:val="ESch"/>
        <w:rPr>
          <w:lang w:val="cs-CZ"/>
        </w:rPr>
      </w:pPr>
      <w:r w:rsidRPr="003B6E11">
        <w:rPr>
          <w:lang w:val="cs-CZ"/>
        </w:rPr>
        <w:t>1.</w:t>
      </w:r>
      <w:r w:rsidRPr="003B6E11">
        <w:rPr>
          <w:lang w:val="cs-CZ"/>
        </w:rPr>
        <w:tab/>
        <w:t>Osvědčení plavidla vnitrozemské plavby musí zahrnovat atestaci prokazující, že zařízení na zkapalněný plyn odpovídají požadavkům této kapitoly.</w:t>
      </w:r>
    </w:p>
    <w:p w:rsidR="005662C0" w:rsidRPr="003B6E11" w:rsidRDefault="005662C0" w:rsidP="005662C0">
      <w:pPr>
        <w:pStyle w:val="ESch"/>
        <w:rPr>
          <w:lang w:val="cs-CZ"/>
        </w:rPr>
      </w:pPr>
    </w:p>
    <w:p w:rsidR="00AE4E9D" w:rsidRPr="003B6E11" w:rsidRDefault="00AE4E9D" w:rsidP="005662C0">
      <w:pPr>
        <w:pStyle w:val="ESch"/>
        <w:rPr>
          <w:lang w:val="cs-CZ"/>
        </w:rPr>
      </w:pPr>
      <w:r w:rsidRPr="003B6E11">
        <w:rPr>
          <w:lang w:val="cs-CZ"/>
        </w:rPr>
        <w:t>2.</w:t>
      </w:r>
      <w:r w:rsidRPr="003B6E11">
        <w:rPr>
          <w:lang w:val="cs-CZ"/>
        </w:rPr>
        <w:tab/>
        <w:t>Atestaci vystaví subjekt pověřený prohlídkami po provedení přejímací zkoušky podle článku 17.13.</w:t>
      </w:r>
    </w:p>
    <w:p w:rsidR="005662C0" w:rsidRPr="003B6E11" w:rsidRDefault="005662C0" w:rsidP="005662C0">
      <w:pPr>
        <w:pStyle w:val="ESch"/>
        <w:rPr>
          <w:lang w:val="cs-CZ"/>
        </w:rPr>
      </w:pPr>
    </w:p>
    <w:p w:rsidR="00AE4E9D" w:rsidRPr="003B6E11" w:rsidRDefault="00AE4E9D" w:rsidP="005662C0">
      <w:pPr>
        <w:pStyle w:val="ESch"/>
        <w:rPr>
          <w:lang w:val="cs-CZ"/>
        </w:rPr>
      </w:pPr>
      <w:r w:rsidRPr="003B6E11">
        <w:rPr>
          <w:lang w:val="cs-CZ"/>
        </w:rPr>
        <w:t>3.</w:t>
      </w:r>
      <w:r w:rsidRPr="003B6E11">
        <w:rPr>
          <w:lang w:val="cs-CZ"/>
        </w:rPr>
        <w:tab/>
        <w:t>Atestace platí po dobu nepřesahující tři roky. Lze ji obnovit pouze po další přejímací zkoušce provedené podle článku 17.13.</w:t>
      </w:r>
    </w:p>
    <w:p w:rsidR="005662C0" w:rsidRPr="003B6E11" w:rsidRDefault="005662C0" w:rsidP="005662C0">
      <w:pPr>
        <w:pStyle w:val="ESch"/>
        <w:rPr>
          <w:lang w:val="cs-CZ"/>
        </w:rPr>
      </w:pPr>
    </w:p>
    <w:p w:rsidR="00AE4E9D" w:rsidRPr="003B6E11" w:rsidRDefault="00AE4E9D" w:rsidP="005662C0">
      <w:pPr>
        <w:pStyle w:val="ESchpar"/>
        <w:rPr>
          <w:lang w:val="cs-CZ"/>
        </w:rPr>
      </w:pPr>
      <w:r w:rsidRPr="003B6E11">
        <w:rPr>
          <w:lang w:val="cs-CZ"/>
        </w:rPr>
        <w:t>Pokud vlastník lodě nebo jeho zplnomocněný zástupce předloží odůvodněnou žádost, může subjekt pověřený prohlídkami výjimečně prodloužit platnost atestace o maximálně tři měsíce bez provedení přejímací zkoušky podle článku 17.13. Takové prodloužení musí být uvedeno v osvědčení plavidla vnitrozemské plavby.</w:t>
      </w:r>
    </w:p>
    <w:p w:rsidR="00AE4E9D" w:rsidRPr="003B6E11" w:rsidRDefault="00AE4E9D" w:rsidP="005662C0">
      <w:pPr>
        <w:pStyle w:val="ESch"/>
        <w:rPr>
          <w:lang w:val="cs-CZ"/>
        </w:rPr>
      </w:pPr>
    </w:p>
    <w:p w:rsidR="00973DAA" w:rsidRPr="003B6E11" w:rsidRDefault="00973DAA" w:rsidP="005662C0">
      <w:pPr>
        <w:pStyle w:val="ESch"/>
        <w:rPr>
          <w:lang w:val="cs-CZ"/>
        </w:rPr>
      </w:pPr>
    </w:p>
    <w:p w:rsidR="00AC39F0" w:rsidRPr="003B6E11" w:rsidRDefault="00AC39F0" w:rsidP="005662C0">
      <w:pPr>
        <w:pStyle w:val="ESch"/>
        <w:rPr>
          <w:lang w:val="cs-CZ"/>
        </w:rPr>
      </w:pPr>
    </w:p>
    <w:p w:rsidR="00AC39F0" w:rsidRPr="003B6E11" w:rsidRDefault="00AC39F0" w:rsidP="005662C0">
      <w:pPr>
        <w:pStyle w:val="ESch"/>
        <w:rPr>
          <w:lang w:val="cs-CZ"/>
        </w:rPr>
      </w:pPr>
    </w:p>
    <w:p w:rsidR="00AC39F0" w:rsidRPr="003B6E11" w:rsidRDefault="00AC39F0" w:rsidP="00AC39F0">
      <w:pPr>
        <w:pStyle w:val="ES-Titre2"/>
        <w:rPr>
          <w:szCs w:val="24"/>
        </w:rPr>
      </w:pPr>
      <w:bookmarkStart w:id="318" w:name="_Toc491854156"/>
      <w:bookmarkStart w:id="319" w:name="_Toc535417062"/>
      <w:r w:rsidRPr="003B6E11">
        <w:t>Kapitola 18</w:t>
      </w:r>
      <w:r w:rsidRPr="003B6E11">
        <w:br/>
      </w:r>
      <w:r w:rsidRPr="003B6E11">
        <w:rPr>
          <w:noProof/>
          <w:sz w:val="22"/>
        </w:rPr>
        <w:t>Palubní čistírny odpadních vod</w:t>
      </w:r>
      <w:bookmarkEnd w:id="318"/>
      <w:bookmarkEnd w:id="319"/>
    </w:p>
    <w:p w:rsidR="00AC39F0" w:rsidRPr="003B6E11" w:rsidRDefault="00AC39F0" w:rsidP="00917628">
      <w:pPr>
        <w:pStyle w:val="ESch"/>
        <w:rPr>
          <w:lang w:val="cs-CZ"/>
        </w:rPr>
      </w:pPr>
    </w:p>
    <w:p w:rsidR="00F935C7" w:rsidRPr="003B6E11" w:rsidRDefault="00F935C7" w:rsidP="00F935C7">
      <w:pPr>
        <w:pStyle w:val="ES-Titre3"/>
        <w:rPr>
          <w:lang w:val="cs-CZ"/>
        </w:rPr>
      </w:pPr>
      <w:bookmarkStart w:id="320" w:name="_Toc491854157"/>
      <w:bookmarkStart w:id="321" w:name="_Toc535417063"/>
      <w:r w:rsidRPr="003B6E11">
        <w:rPr>
          <w:lang w:val="cs-CZ"/>
        </w:rPr>
        <w:t>Článek 18.00</w:t>
      </w:r>
      <w:r w:rsidRPr="003B6E11">
        <w:rPr>
          <w:lang w:val="cs-CZ"/>
        </w:rPr>
        <w:br/>
      </w:r>
      <w:r w:rsidRPr="003B6E11">
        <w:rPr>
          <w:i/>
          <w:noProof/>
          <w:lang w:val="cs-CZ"/>
        </w:rPr>
        <w:t>Definice</w:t>
      </w:r>
      <w:bookmarkEnd w:id="320"/>
      <w:bookmarkEnd w:id="321"/>
    </w:p>
    <w:p w:rsidR="002A434E" w:rsidRPr="003B6E11" w:rsidRDefault="002A434E" w:rsidP="002A434E">
      <w:pPr>
        <w:rPr>
          <w:rFonts w:cs="Arial"/>
          <w:noProof/>
          <w:szCs w:val="20"/>
          <w:lang w:val="cs-CZ"/>
        </w:rPr>
      </w:pPr>
    </w:p>
    <w:p w:rsidR="002A434E" w:rsidRPr="003B6E11" w:rsidRDefault="002A434E" w:rsidP="002A434E">
      <w:pPr>
        <w:rPr>
          <w:rFonts w:cs="Arial"/>
          <w:noProof/>
          <w:szCs w:val="20"/>
          <w:lang w:val="cs-CZ"/>
        </w:rPr>
      </w:pPr>
      <w:r w:rsidRPr="003B6E11">
        <w:rPr>
          <w:lang w:val="cs-CZ"/>
        </w:rPr>
        <w:t>V této kapitole se rozumí:</w:t>
      </w:r>
    </w:p>
    <w:p w:rsidR="00F935C7" w:rsidRPr="003B6E11" w:rsidRDefault="00F935C7" w:rsidP="00E61447">
      <w:pPr>
        <w:pStyle w:val="ESch"/>
        <w:rPr>
          <w:noProof/>
          <w:lang w:val="cs-CZ"/>
        </w:rPr>
      </w:pPr>
    </w:p>
    <w:p w:rsidR="00E61447" w:rsidRPr="003B6E11" w:rsidRDefault="00E61447" w:rsidP="00E61447">
      <w:pPr>
        <w:pStyle w:val="ESch"/>
        <w:rPr>
          <w:rFonts w:cs="Arial"/>
          <w:szCs w:val="18"/>
          <w:lang w:val="cs-CZ"/>
        </w:rPr>
      </w:pPr>
      <w:r w:rsidRPr="003B6E11">
        <w:rPr>
          <w:lang w:val="cs-CZ"/>
        </w:rPr>
        <w:t>1.</w:t>
      </w:r>
      <w:r w:rsidRPr="003B6E11">
        <w:rPr>
          <w:lang w:val="cs-CZ"/>
        </w:rPr>
        <w:tab/>
        <w:t>„palubní čistírnou odpadních vod“: čistírna odpadních vod drobnějších rozměrů určená k čištění takového množství splašků, jaké vzniká na palubě;</w:t>
      </w:r>
    </w:p>
    <w:p w:rsidR="00E61447" w:rsidRPr="003B6E11" w:rsidRDefault="00E61447" w:rsidP="00E61447">
      <w:pPr>
        <w:pStyle w:val="ESch"/>
        <w:rPr>
          <w:noProof/>
          <w:lang w:val="cs-CZ"/>
        </w:rPr>
      </w:pPr>
    </w:p>
    <w:p w:rsidR="00E61447" w:rsidRPr="003B6E11" w:rsidRDefault="00E61447" w:rsidP="00E61447">
      <w:pPr>
        <w:pStyle w:val="ESch"/>
        <w:rPr>
          <w:rFonts w:cs="Arial"/>
          <w:szCs w:val="18"/>
          <w:lang w:val="cs-CZ"/>
        </w:rPr>
      </w:pPr>
      <w:r w:rsidRPr="003B6E11">
        <w:rPr>
          <w:lang w:val="cs-CZ"/>
        </w:rPr>
        <w:t>2.</w:t>
      </w:r>
      <w:r w:rsidRPr="003B6E11">
        <w:rPr>
          <w:lang w:val="cs-CZ"/>
        </w:rPr>
        <w:tab/>
        <w:t>„schválením typu“: rozhodnutí, kterým příslušný orgán potvrzuje, že palubní čistírna odpadních vod splňuje technické požadavky uvedené v kapitole 18;</w:t>
      </w:r>
    </w:p>
    <w:p w:rsidR="00E61447" w:rsidRPr="003B6E11" w:rsidRDefault="00E61447" w:rsidP="00E61447">
      <w:pPr>
        <w:pStyle w:val="ESch"/>
        <w:rPr>
          <w:noProof/>
          <w:lang w:val="cs-CZ"/>
        </w:rPr>
      </w:pPr>
    </w:p>
    <w:p w:rsidR="00E61447" w:rsidRPr="003B6E11" w:rsidRDefault="00E61447" w:rsidP="00E61447">
      <w:pPr>
        <w:pStyle w:val="ESch"/>
        <w:rPr>
          <w:rFonts w:cs="Arial"/>
          <w:szCs w:val="18"/>
          <w:lang w:val="cs-CZ"/>
        </w:rPr>
      </w:pPr>
      <w:r w:rsidRPr="003B6E11">
        <w:rPr>
          <w:lang w:val="cs-CZ"/>
        </w:rPr>
        <w:t>3.</w:t>
      </w:r>
      <w:r w:rsidRPr="003B6E11">
        <w:rPr>
          <w:lang w:val="cs-CZ"/>
        </w:rPr>
        <w:tab/>
        <w:t>„zvláštní zkouškou“: postup prováděný v souladu s článkem 18.09, kterým se příslušný orgán ujistí, že palubní čistírna odpadních vod provozovaná na plavidle splňuje požadavky uvedené v kapitole 18;</w:t>
      </w:r>
    </w:p>
    <w:p w:rsidR="00E61447" w:rsidRPr="003B6E11" w:rsidRDefault="00E61447" w:rsidP="00E61447">
      <w:pPr>
        <w:pStyle w:val="ESch"/>
        <w:rPr>
          <w:noProof/>
          <w:lang w:val="cs-CZ"/>
        </w:rPr>
      </w:pPr>
    </w:p>
    <w:p w:rsidR="00E61447" w:rsidRPr="003B6E11" w:rsidRDefault="00E61447" w:rsidP="00E61447">
      <w:pPr>
        <w:pStyle w:val="ESch"/>
        <w:rPr>
          <w:rFonts w:cs="Arial"/>
          <w:szCs w:val="18"/>
          <w:lang w:val="cs-CZ"/>
        </w:rPr>
      </w:pPr>
      <w:r w:rsidRPr="003B6E11">
        <w:rPr>
          <w:lang w:val="cs-CZ"/>
        </w:rPr>
        <w:t>4.</w:t>
      </w:r>
      <w:r w:rsidRPr="003B6E11">
        <w:rPr>
          <w:lang w:val="cs-CZ"/>
        </w:rPr>
        <w:tab/>
        <w:t>„výrobcem“: osoba nebo organizace, která odpovídá příslušnému orgánu za všechny aspekty postupu schvalování typu a za zajištění shodnosti výroby. Tato osoba nebo organizace se nemusí podílet na všech stadiích stavby palubní čistírny odpadních vod. Pokud je palubní čistírna odpadních vod po své původní výrobě přestavěna úpravou nebo dodatečným vybavením pro použití na plavidle pro účely kapitoly 18, považuje se za výrobce osoba nebo organizace, která úpravu nebo dodatečné vybavení provedla;</w:t>
      </w:r>
    </w:p>
    <w:p w:rsidR="00E61447" w:rsidRPr="003B6E11" w:rsidRDefault="00E61447" w:rsidP="00E61447">
      <w:pPr>
        <w:pStyle w:val="ESch"/>
        <w:rPr>
          <w:noProof/>
          <w:lang w:val="cs-CZ"/>
        </w:rPr>
      </w:pPr>
    </w:p>
    <w:p w:rsidR="00E61447" w:rsidRPr="003B6E11" w:rsidRDefault="00E61447" w:rsidP="00E61447">
      <w:pPr>
        <w:pStyle w:val="ESch"/>
        <w:rPr>
          <w:rFonts w:cs="Arial"/>
          <w:szCs w:val="18"/>
          <w:lang w:val="cs-CZ"/>
        </w:rPr>
      </w:pPr>
      <w:r w:rsidRPr="003B6E11">
        <w:rPr>
          <w:lang w:val="cs-CZ"/>
        </w:rPr>
        <w:t>5.</w:t>
      </w:r>
      <w:r w:rsidRPr="003B6E11">
        <w:rPr>
          <w:lang w:val="cs-CZ"/>
        </w:rPr>
        <w:tab/>
        <w:t>„informačním dokumentem“: dokument stanovený v příloze 7 oddílu II, který předepisuje informace, jež musí žadatel poskytnout;</w:t>
      </w:r>
    </w:p>
    <w:p w:rsidR="00E61447" w:rsidRPr="003B6E11" w:rsidRDefault="00E61447" w:rsidP="00E61447">
      <w:pPr>
        <w:pStyle w:val="ESch"/>
        <w:rPr>
          <w:noProof/>
          <w:lang w:val="cs-CZ"/>
        </w:rPr>
      </w:pPr>
    </w:p>
    <w:p w:rsidR="00E61447" w:rsidRPr="003B6E11" w:rsidRDefault="00E61447" w:rsidP="00E61447">
      <w:pPr>
        <w:pStyle w:val="ESch"/>
        <w:rPr>
          <w:rFonts w:cs="Arial"/>
          <w:szCs w:val="18"/>
          <w:lang w:val="cs-CZ"/>
        </w:rPr>
      </w:pPr>
      <w:r w:rsidRPr="003B6E11">
        <w:rPr>
          <w:lang w:val="cs-CZ"/>
        </w:rPr>
        <w:t>6.</w:t>
      </w:r>
      <w:r w:rsidRPr="003B6E11">
        <w:rPr>
          <w:lang w:val="cs-CZ"/>
        </w:rPr>
        <w:tab/>
        <w:t>„dokumentací výrobce“: úplný soubor údajů, výkresů, fotografií nebo jiných dokumentů, který technické zkušebně nebo příslušnému orgánu poskytuje žadatel, jak je předepsáno v informačním dokumentu;</w:t>
      </w:r>
    </w:p>
    <w:p w:rsidR="00E61447" w:rsidRPr="003B6E11" w:rsidRDefault="00E61447" w:rsidP="00E61447">
      <w:pPr>
        <w:pStyle w:val="ESch"/>
        <w:rPr>
          <w:noProof/>
          <w:lang w:val="cs-CZ"/>
        </w:rPr>
      </w:pPr>
    </w:p>
    <w:p w:rsidR="00E61447" w:rsidRPr="003B6E11" w:rsidRDefault="00E61447" w:rsidP="00E61447">
      <w:pPr>
        <w:pStyle w:val="ESch"/>
        <w:rPr>
          <w:rFonts w:cs="Arial"/>
          <w:szCs w:val="18"/>
          <w:lang w:val="cs-CZ"/>
        </w:rPr>
      </w:pPr>
      <w:r w:rsidRPr="003B6E11">
        <w:rPr>
          <w:lang w:val="cs-CZ"/>
        </w:rPr>
        <w:t>7.</w:t>
      </w:r>
      <w:r w:rsidRPr="003B6E11">
        <w:rPr>
          <w:lang w:val="cs-CZ"/>
        </w:rPr>
        <w:tab/>
        <w:t>„schvalovací dokumentací“: dokumentace výrobce se všemi zkušebními protokoly nebo jinými dokumenty, které přiložila technická zkušebna nebo příslušný orgán k dokumentaci výrobce v průběhu výkonu svých povinností;</w:t>
      </w:r>
    </w:p>
    <w:p w:rsidR="00E61447" w:rsidRPr="003B6E11" w:rsidRDefault="00E61447" w:rsidP="00E61447">
      <w:pPr>
        <w:pStyle w:val="ESch"/>
        <w:rPr>
          <w:noProof/>
          <w:lang w:val="cs-CZ"/>
        </w:rPr>
      </w:pPr>
    </w:p>
    <w:p w:rsidR="00E61447" w:rsidRPr="003B6E11" w:rsidRDefault="00E61447" w:rsidP="00E61447">
      <w:pPr>
        <w:pStyle w:val="ESch"/>
        <w:rPr>
          <w:rFonts w:cs="Arial"/>
          <w:szCs w:val="18"/>
          <w:lang w:val="cs-CZ"/>
        </w:rPr>
      </w:pPr>
      <w:r w:rsidRPr="003B6E11">
        <w:rPr>
          <w:lang w:val="cs-CZ"/>
        </w:rPr>
        <w:t>8.</w:t>
      </w:r>
      <w:r w:rsidRPr="003B6E11">
        <w:rPr>
          <w:lang w:val="cs-CZ"/>
        </w:rPr>
        <w:tab/>
        <w:t>„certifikátem schválení typu“: dokument vystavený v souladu s přílohou 7 oddílem III, jehož prostřednictvím příslušný orgán osvědčuje schválení typu;</w:t>
      </w:r>
    </w:p>
    <w:p w:rsidR="00E61447" w:rsidRPr="003B6E11" w:rsidRDefault="00E61447" w:rsidP="00E61447">
      <w:pPr>
        <w:pStyle w:val="ESch"/>
        <w:rPr>
          <w:noProof/>
          <w:lang w:val="cs-CZ"/>
        </w:rPr>
      </w:pPr>
    </w:p>
    <w:p w:rsidR="00E61447" w:rsidRPr="003B6E11" w:rsidRDefault="00E61447" w:rsidP="00E61447">
      <w:pPr>
        <w:pStyle w:val="ESch"/>
        <w:rPr>
          <w:rFonts w:cs="Arial"/>
          <w:szCs w:val="18"/>
          <w:lang w:val="cs-CZ"/>
        </w:rPr>
      </w:pPr>
      <w:r w:rsidRPr="003B6E11">
        <w:rPr>
          <w:lang w:val="cs-CZ"/>
        </w:rPr>
        <w:t>9.</w:t>
      </w:r>
      <w:r w:rsidRPr="003B6E11">
        <w:rPr>
          <w:lang w:val="cs-CZ"/>
        </w:rPr>
        <w:tab/>
        <w:t>„záznamem o parametrech palubní čistírny odpadních vod“: dokument vystavený v souladu s přílohou 7 oddílem VIII, ve kterém jsou uvedeny všechny parametry včetně konstrukčních částí a seřízení palubní čistírny odpadních vod majících vliv na stupeň čištění odpadních vod, včetně změn těchto parametrů;</w:t>
      </w:r>
    </w:p>
    <w:p w:rsidR="00E61447" w:rsidRPr="003B6E11" w:rsidRDefault="00E61447" w:rsidP="00E61447">
      <w:pPr>
        <w:pStyle w:val="ESch"/>
        <w:rPr>
          <w:noProof/>
          <w:lang w:val="cs-CZ"/>
        </w:rPr>
      </w:pPr>
    </w:p>
    <w:p w:rsidR="00E61447" w:rsidRPr="003B6E11" w:rsidRDefault="00E61447" w:rsidP="00E61447">
      <w:pPr>
        <w:pStyle w:val="ESch"/>
        <w:rPr>
          <w:rFonts w:cs="Arial"/>
          <w:szCs w:val="18"/>
          <w:lang w:val="cs-CZ"/>
        </w:rPr>
      </w:pPr>
      <w:r w:rsidRPr="003B6E11">
        <w:rPr>
          <w:lang w:val="cs-CZ"/>
        </w:rPr>
        <w:t>10.</w:t>
      </w:r>
      <w:r w:rsidRPr="003B6E11">
        <w:rPr>
          <w:lang w:val="cs-CZ"/>
        </w:rPr>
        <w:tab/>
        <w:t>„příručkou výrobce pro kontrolu konstrukčních částí a parametrů souvisejících s čištěním odpadních vod“: dokument sestavený v souladu s čl. 18.09 odst. 4 za účelem provedení zvláštní zkoušky;</w:t>
      </w:r>
    </w:p>
    <w:p w:rsidR="00E61447" w:rsidRPr="003B6E11" w:rsidRDefault="00E61447" w:rsidP="00E61447">
      <w:pPr>
        <w:pStyle w:val="ESch"/>
        <w:rPr>
          <w:noProof/>
          <w:lang w:val="cs-CZ"/>
        </w:rPr>
      </w:pPr>
    </w:p>
    <w:p w:rsidR="00E61447" w:rsidRPr="003B6E11" w:rsidRDefault="00E61447" w:rsidP="00E61447">
      <w:pPr>
        <w:pStyle w:val="ESch"/>
        <w:rPr>
          <w:rFonts w:cs="Arial"/>
          <w:szCs w:val="18"/>
          <w:lang w:val="cs-CZ"/>
        </w:rPr>
      </w:pPr>
      <w:r w:rsidRPr="003B6E11">
        <w:rPr>
          <w:lang w:val="cs-CZ"/>
        </w:rPr>
        <w:t>11.</w:t>
      </w:r>
      <w:r w:rsidRPr="003B6E11">
        <w:rPr>
          <w:lang w:val="cs-CZ"/>
        </w:rPr>
        <w:tab/>
        <w:t>„splašky“: odpadní voda z kuchyní, jídelen, umýváren a prádelen a fekální voda;</w:t>
      </w:r>
    </w:p>
    <w:p w:rsidR="00E61447" w:rsidRPr="003B6E11" w:rsidRDefault="00E61447" w:rsidP="00E61447">
      <w:pPr>
        <w:pStyle w:val="ESch"/>
        <w:rPr>
          <w:noProof/>
          <w:lang w:val="cs-CZ"/>
        </w:rPr>
      </w:pPr>
    </w:p>
    <w:p w:rsidR="00E61447" w:rsidRPr="003B6E11" w:rsidRDefault="00E61447" w:rsidP="00E61447">
      <w:pPr>
        <w:pStyle w:val="ESch"/>
        <w:rPr>
          <w:rFonts w:cs="Arial"/>
          <w:szCs w:val="18"/>
          <w:lang w:val="cs-CZ"/>
        </w:rPr>
      </w:pPr>
      <w:r w:rsidRPr="003B6E11">
        <w:rPr>
          <w:lang w:val="cs-CZ"/>
        </w:rPr>
        <w:t>12.</w:t>
      </w:r>
      <w:r w:rsidRPr="003B6E11">
        <w:rPr>
          <w:lang w:val="cs-CZ"/>
        </w:rPr>
        <w:tab/>
        <w:t>„kalem z čistíren odpadních vod“: rezidua vznikající provozem čistírny odpadních vod na palubě plavidla.</w:t>
      </w:r>
    </w:p>
    <w:p w:rsidR="00E61447" w:rsidRPr="003B6E11" w:rsidRDefault="00E61447" w:rsidP="00E61447">
      <w:pPr>
        <w:pStyle w:val="ESch"/>
        <w:rPr>
          <w:lang w:val="cs-CZ"/>
        </w:rPr>
      </w:pPr>
    </w:p>
    <w:p w:rsidR="00E61447" w:rsidRPr="003B6E11" w:rsidRDefault="00917628" w:rsidP="00917628">
      <w:pPr>
        <w:pStyle w:val="ESch"/>
        <w:rPr>
          <w:noProof/>
          <w:lang w:val="cs-CZ"/>
        </w:rPr>
      </w:pPr>
      <w:r w:rsidRPr="003B6E11">
        <w:rPr>
          <w:lang w:val="cs-CZ"/>
        </w:rPr>
        <w:br w:type="page"/>
      </w:r>
    </w:p>
    <w:p w:rsidR="00AC39F0" w:rsidRPr="003B6E11" w:rsidRDefault="00AC39F0" w:rsidP="00AC39F0">
      <w:pPr>
        <w:pStyle w:val="ES-Titre3"/>
        <w:rPr>
          <w:lang w:val="cs-CZ"/>
        </w:rPr>
      </w:pPr>
      <w:bookmarkStart w:id="322" w:name="_Toc491854158"/>
      <w:bookmarkStart w:id="323" w:name="_Toc535417064"/>
      <w:r w:rsidRPr="003B6E11">
        <w:rPr>
          <w:lang w:val="cs-CZ"/>
        </w:rPr>
        <w:t>Článek 18.01</w:t>
      </w:r>
      <w:r w:rsidRPr="003B6E11">
        <w:rPr>
          <w:lang w:val="cs-CZ"/>
        </w:rPr>
        <w:br/>
      </w:r>
      <w:r w:rsidRPr="003B6E11">
        <w:rPr>
          <w:i/>
          <w:noProof/>
          <w:lang w:val="cs-CZ"/>
        </w:rPr>
        <w:t>Obecná ustanovení</w:t>
      </w:r>
      <w:bookmarkEnd w:id="322"/>
      <w:bookmarkEnd w:id="323"/>
    </w:p>
    <w:p w:rsidR="00AC39F0" w:rsidRPr="003B6E11" w:rsidRDefault="00AC39F0" w:rsidP="005662C0">
      <w:pPr>
        <w:pStyle w:val="ESch"/>
        <w:rPr>
          <w:lang w:val="cs-CZ"/>
        </w:rPr>
      </w:pPr>
    </w:p>
    <w:p w:rsidR="00AC39F0" w:rsidRPr="003B6E11" w:rsidRDefault="00AC39F0" w:rsidP="00AC39F0">
      <w:pPr>
        <w:pStyle w:val="ESch"/>
        <w:rPr>
          <w:rFonts w:cs="Arial"/>
          <w:szCs w:val="20"/>
          <w:lang w:val="cs-CZ"/>
        </w:rPr>
      </w:pPr>
      <w:r w:rsidRPr="003B6E11">
        <w:rPr>
          <w:lang w:val="cs-CZ"/>
        </w:rPr>
        <w:t>1.</w:t>
      </w:r>
      <w:r w:rsidRPr="003B6E11">
        <w:rPr>
          <w:lang w:val="cs-CZ"/>
        </w:rPr>
        <w:tab/>
        <w:t>Tato kapitola se použije na všechny palubní čistírny odpadních vod instalované na palubě plavidla.</w:t>
      </w:r>
    </w:p>
    <w:p w:rsidR="00AC39F0" w:rsidRPr="003B6E11" w:rsidRDefault="00AC39F0" w:rsidP="00AC39F0">
      <w:pPr>
        <w:pStyle w:val="ESch"/>
        <w:rPr>
          <w:noProof/>
          <w:szCs w:val="20"/>
          <w:lang w:val="cs-CZ"/>
        </w:rPr>
      </w:pPr>
    </w:p>
    <w:p w:rsidR="00AC39F0" w:rsidRPr="003B6E11" w:rsidRDefault="00AC39F0" w:rsidP="00AC39F0">
      <w:pPr>
        <w:pStyle w:val="ESch"/>
        <w:tabs>
          <w:tab w:val="left" w:pos="567"/>
        </w:tabs>
        <w:ind w:left="993" w:hanging="993"/>
        <w:rPr>
          <w:rFonts w:cs="Arial"/>
          <w:szCs w:val="20"/>
          <w:lang w:val="cs-CZ"/>
        </w:rPr>
      </w:pPr>
      <w:r w:rsidRPr="003B6E11">
        <w:rPr>
          <w:lang w:val="cs-CZ"/>
        </w:rPr>
        <w:t>2.</w:t>
      </w:r>
      <w:r w:rsidRPr="003B6E11">
        <w:rPr>
          <w:lang w:val="cs-CZ"/>
        </w:rPr>
        <w:tab/>
        <w:t>a)</w:t>
      </w:r>
      <w:r w:rsidRPr="003B6E11">
        <w:rPr>
          <w:lang w:val="cs-CZ"/>
        </w:rPr>
        <w:tab/>
        <w:t>Při typové zkoušce palubní čistírny odpadních vod musí být dodrženy tyto mezní hodnoty:</w:t>
      </w:r>
    </w:p>
    <w:p w:rsidR="00AC39F0" w:rsidRPr="003B6E11" w:rsidRDefault="00AC39F0" w:rsidP="00AC39F0">
      <w:pPr>
        <w:pStyle w:val="ESch"/>
        <w:rPr>
          <w:noProof/>
          <w:szCs w:val="20"/>
          <w:lang w:val="cs-CZ"/>
        </w:rPr>
      </w:pPr>
    </w:p>
    <w:p w:rsidR="00AC39F0" w:rsidRPr="003B6E11" w:rsidRDefault="00AC39F0" w:rsidP="00AC39F0">
      <w:pPr>
        <w:pStyle w:val="ESletpar"/>
        <w:rPr>
          <w:rFonts w:cs="Arial"/>
          <w:lang w:val="cs-CZ"/>
        </w:rPr>
      </w:pPr>
      <w:r w:rsidRPr="003B6E11">
        <w:rPr>
          <w:lang w:val="cs-CZ"/>
        </w:rPr>
        <w:t xml:space="preserve">Tabulka </w:t>
      </w:r>
      <w:r w:rsidRPr="003B6E11">
        <w:rPr>
          <w:noProof/>
          <w:lang w:val="cs-CZ"/>
        </w:rPr>
        <w:fldChar w:fldCharType="begin"/>
      </w:r>
      <w:r w:rsidRPr="003B6E11">
        <w:rPr>
          <w:noProof/>
          <w:lang w:val="cs-CZ"/>
        </w:rPr>
        <w:instrText xml:space="preserve"> SEQ Tabelle \* ARABIC </w:instrText>
      </w:r>
      <w:r w:rsidRPr="003B6E11">
        <w:rPr>
          <w:noProof/>
          <w:lang w:val="cs-CZ"/>
        </w:rPr>
        <w:fldChar w:fldCharType="separate"/>
      </w:r>
      <w:r w:rsidRPr="003B6E11">
        <w:rPr>
          <w:noProof/>
          <w:lang w:val="cs-CZ"/>
        </w:rPr>
        <w:t>1</w:t>
      </w:r>
      <w:r w:rsidRPr="003B6E11">
        <w:rPr>
          <w:noProof/>
          <w:lang w:val="cs-CZ"/>
        </w:rPr>
        <w:fldChar w:fldCharType="end"/>
      </w:r>
      <w:r w:rsidRPr="003B6E11">
        <w:rPr>
          <w:lang w:val="cs-CZ"/>
        </w:rPr>
        <w:t>: Mezní hodnoty, které musí být za provozu dodrženy na odtoku palubní čistírny odpadních vod (čistírny, u níž je prováděna zkouška) v průběhu typové zkoušky</w:t>
      </w:r>
    </w:p>
    <w:p w:rsidR="00AC39F0" w:rsidRPr="003B6E11" w:rsidRDefault="00AC39F0" w:rsidP="00AC39F0">
      <w:pPr>
        <w:pStyle w:val="ESch"/>
        <w:rPr>
          <w:szCs w:val="20"/>
          <w:lang w:val="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9"/>
        <w:gridCol w:w="1588"/>
        <w:gridCol w:w="2608"/>
      </w:tblGrid>
      <w:tr w:rsidR="000E1B99" w:rsidRPr="003B6E11" w:rsidTr="00EB78D3">
        <w:trPr>
          <w:trHeight w:val="836"/>
          <w:jc w:val="center"/>
        </w:trPr>
        <w:tc>
          <w:tcPr>
            <w:tcW w:w="3629" w:type="dxa"/>
            <w:vAlign w:val="center"/>
          </w:tcPr>
          <w:p w:rsidR="000E1B99" w:rsidRPr="003B6E11" w:rsidRDefault="000E1B99" w:rsidP="00274EE8">
            <w:pPr>
              <w:spacing w:before="60" w:after="60" w:line="240" w:lineRule="atLeast"/>
              <w:jc w:val="center"/>
              <w:rPr>
                <w:noProof/>
                <w:sz w:val="18"/>
                <w:szCs w:val="18"/>
                <w:lang w:val="cs-CZ"/>
              </w:rPr>
            </w:pPr>
            <w:r w:rsidRPr="003B6E11">
              <w:rPr>
                <w:noProof/>
                <w:sz w:val="18"/>
                <w:lang w:val="cs-CZ"/>
              </w:rPr>
              <w:t>Parametr</w:t>
            </w:r>
          </w:p>
        </w:tc>
        <w:tc>
          <w:tcPr>
            <w:tcW w:w="1588" w:type="dxa"/>
            <w:vAlign w:val="center"/>
          </w:tcPr>
          <w:p w:rsidR="000E1B99" w:rsidRPr="003B6E11" w:rsidRDefault="000E1B99" w:rsidP="00274EE8">
            <w:pPr>
              <w:spacing w:before="60" w:after="60" w:line="240" w:lineRule="atLeast"/>
              <w:jc w:val="center"/>
              <w:rPr>
                <w:noProof/>
                <w:sz w:val="18"/>
                <w:szCs w:val="18"/>
                <w:lang w:val="cs-CZ"/>
              </w:rPr>
            </w:pPr>
            <w:r w:rsidRPr="003B6E11">
              <w:rPr>
                <w:noProof/>
                <w:sz w:val="18"/>
                <w:lang w:val="cs-CZ"/>
              </w:rPr>
              <w:t>Koncentrace (fáze II)</w:t>
            </w:r>
          </w:p>
        </w:tc>
        <w:tc>
          <w:tcPr>
            <w:tcW w:w="2608" w:type="dxa"/>
            <w:vAlign w:val="center"/>
          </w:tcPr>
          <w:p w:rsidR="000E1B99" w:rsidRPr="003B6E11" w:rsidRDefault="000E1B99" w:rsidP="00274EE8">
            <w:pPr>
              <w:spacing w:before="60" w:after="60" w:line="240" w:lineRule="atLeast"/>
              <w:jc w:val="center"/>
              <w:rPr>
                <w:noProof/>
                <w:sz w:val="18"/>
                <w:szCs w:val="18"/>
                <w:lang w:val="cs-CZ"/>
              </w:rPr>
            </w:pPr>
            <w:r w:rsidRPr="003B6E11">
              <w:rPr>
                <w:noProof/>
                <w:sz w:val="18"/>
                <w:lang w:val="cs-CZ"/>
              </w:rPr>
              <w:t>Vzorek</w:t>
            </w:r>
          </w:p>
        </w:tc>
      </w:tr>
      <w:tr w:rsidR="000E1B99" w:rsidRPr="002D015D" w:rsidTr="00EB78D3">
        <w:trPr>
          <w:jc w:val="center"/>
        </w:trPr>
        <w:tc>
          <w:tcPr>
            <w:tcW w:w="3629" w:type="dxa"/>
            <w:vMerge w:val="restart"/>
            <w:vAlign w:val="center"/>
          </w:tcPr>
          <w:p w:rsidR="000E1B99" w:rsidRPr="003B6E11" w:rsidRDefault="000E1B99" w:rsidP="0085414C">
            <w:pPr>
              <w:spacing w:before="60" w:after="60" w:line="240" w:lineRule="atLeast"/>
              <w:rPr>
                <w:noProof/>
                <w:sz w:val="18"/>
                <w:szCs w:val="18"/>
                <w:vertAlign w:val="superscript"/>
                <w:lang w:val="cs-CZ"/>
              </w:rPr>
            </w:pPr>
            <w:r w:rsidRPr="003B6E11">
              <w:rPr>
                <w:noProof/>
                <w:sz w:val="18"/>
                <w:lang w:val="cs-CZ"/>
              </w:rPr>
              <w:t>Biochemická spotřeba kyslíku (</w:t>
            </w:r>
            <m:oMath>
              <m:sSub>
                <m:sSubPr>
                  <m:ctrlPr>
                    <w:rPr>
                      <w:rFonts w:ascii="Cambria Math" w:hAnsi="Cambria Math"/>
                      <w:i/>
                      <w:noProof/>
                      <w:sz w:val="18"/>
                      <w:szCs w:val="18"/>
                      <w:lang w:val="cs-CZ"/>
                    </w:rPr>
                  </m:ctrlPr>
                </m:sSubPr>
                <m:e>
                  <m:r>
                    <w:rPr>
                      <w:rFonts w:ascii="Cambria Math" w:hAnsi="Cambria Math"/>
                      <w:noProof/>
                      <w:sz w:val="18"/>
                      <w:szCs w:val="18"/>
                      <w:lang w:val="cs-CZ"/>
                    </w:rPr>
                    <m:t>BOD</m:t>
                  </m:r>
                </m:e>
                <m:sub>
                  <m:r>
                    <w:rPr>
                      <w:rFonts w:ascii="Cambria Math" w:hAnsi="Cambria Math"/>
                      <w:noProof/>
                      <w:sz w:val="18"/>
                      <w:szCs w:val="18"/>
                      <w:lang w:val="cs-CZ"/>
                    </w:rPr>
                    <m:t>5</m:t>
                  </m:r>
                </m:sub>
              </m:sSub>
            </m:oMath>
            <w:r w:rsidRPr="003B6E11">
              <w:rPr>
                <w:noProof/>
                <w:sz w:val="18"/>
                <w:lang w:val="cs-CZ"/>
              </w:rPr>
              <w:t>)</w:t>
            </w:r>
            <w:r w:rsidRPr="003B6E11">
              <w:rPr>
                <w:noProof/>
                <w:sz w:val="18"/>
                <w:szCs w:val="18"/>
                <w:lang w:val="cs-CZ"/>
              </w:rPr>
              <w:br/>
            </w:r>
            <w:r w:rsidRPr="003B6E11">
              <w:rPr>
                <w:noProof/>
                <w:sz w:val="18"/>
                <w:lang w:val="cs-CZ"/>
              </w:rPr>
              <w:t>ISO 5815-1 a 5815-2:2003</w:t>
            </w:r>
            <w:r w:rsidRPr="003B6E11">
              <w:rPr>
                <w:noProof/>
                <w:sz w:val="18"/>
                <w:vertAlign w:val="superscript"/>
                <w:lang w:val="cs-CZ"/>
              </w:rPr>
              <w:t>1</w:t>
            </w:r>
          </w:p>
        </w:tc>
        <w:tc>
          <w:tcPr>
            <w:tcW w:w="1588" w:type="dxa"/>
            <w:vAlign w:val="center"/>
          </w:tcPr>
          <w:p w:rsidR="000E1B99" w:rsidRPr="003B6E11" w:rsidRDefault="000E1B99" w:rsidP="00274EE8">
            <w:pPr>
              <w:spacing w:before="60" w:after="60" w:line="240" w:lineRule="atLeast"/>
              <w:jc w:val="center"/>
              <w:rPr>
                <w:noProof/>
                <w:sz w:val="18"/>
                <w:szCs w:val="18"/>
                <w:lang w:val="cs-CZ"/>
              </w:rPr>
            </w:pPr>
            <w:r w:rsidRPr="003B6E11">
              <w:rPr>
                <w:noProof/>
                <w:sz w:val="18"/>
                <w:lang w:val="cs-CZ"/>
              </w:rPr>
              <w:t>20 mg/l</w:t>
            </w:r>
          </w:p>
        </w:tc>
        <w:tc>
          <w:tcPr>
            <w:tcW w:w="2608" w:type="dxa"/>
            <w:vAlign w:val="center"/>
          </w:tcPr>
          <w:p w:rsidR="000E1B99" w:rsidRPr="003B6E11" w:rsidRDefault="000E1B99" w:rsidP="00274EE8">
            <w:pPr>
              <w:spacing w:before="60" w:after="60" w:line="240" w:lineRule="atLeast"/>
              <w:rPr>
                <w:noProof/>
                <w:sz w:val="18"/>
                <w:szCs w:val="18"/>
                <w:lang w:val="cs-CZ"/>
              </w:rPr>
            </w:pPr>
            <w:r w:rsidRPr="003B6E11">
              <w:rPr>
                <w:noProof/>
                <w:sz w:val="18"/>
                <w:lang w:val="cs-CZ"/>
              </w:rPr>
              <w:t>Homogenizovaný souhrnný vzorek za 24 h</w:t>
            </w:r>
          </w:p>
        </w:tc>
      </w:tr>
      <w:tr w:rsidR="000E1B99" w:rsidRPr="003B6E11" w:rsidTr="00EB78D3">
        <w:trPr>
          <w:jc w:val="center"/>
        </w:trPr>
        <w:tc>
          <w:tcPr>
            <w:tcW w:w="3629" w:type="dxa"/>
            <w:vMerge/>
            <w:vAlign w:val="center"/>
          </w:tcPr>
          <w:p w:rsidR="000E1B99" w:rsidRPr="003B6E11" w:rsidRDefault="000E1B99" w:rsidP="00274EE8">
            <w:pPr>
              <w:spacing w:before="60" w:after="60" w:line="240" w:lineRule="atLeast"/>
              <w:rPr>
                <w:noProof/>
                <w:sz w:val="18"/>
                <w:szCs w:val="18"/>
                <w:lang w:val="cs-CZ"/>
              </w:rPr>
            </w:pPr>
          </w:p>
        </w:tc>
        <w:tc>
          <w:tcPr>
            <w:tcW w:w="1588" w:type="dxa"/>
            <w:vAlign w:val="center"/>
          </w:tcPr>
          <w:p w:rsidR="000E1B99" w:rsidRPr="003B6E11" w:rsidRDefault="000E1B99" w:rsidP="00274EE8">
            <w:pPr>
              <w:spacing w:before="60" w:after="60" w:line="240" w:lineRule="atLeast"/>
              <w:jc w:val="center"/>
              <w:rPr>
                <w:noProof/>
                <w:sz w:val="18"/>
                <w:szCs w:val="18"/>
                <w:lang w:val="cs-CZ"/>
              </w:rPr>
            </w:pPr>
            <w:r w:rsidRPr="003B6E11">
              <w:rPr>
                <w:noProof/>
                <w:sz w:val="18"/>
                <w:lang w:val="cs-CZ"/>
              </w:rPr>
              <w:t>25 mg/l</w:t>
            </w:r>
          </w:p>
        </w:tc>
        <w:tc>
          <w:tcPr>
            <w:tcW w:w="2608" w:type="dxa"/>
            <w:vAlign w:val="center"/>
          </w:tcPr>
          <w:p w:rsidR="000E1B99" w:rsidRPr="003B6E11" w:rsidRDefault="000E1B99" w:rsidP="00274EE8">
            <w:pPr>
              <w:spacing w:before="60" w:after="60" w:line="240" w:lineRule="atLeast"/>
              <w:rPr>
                <w:noProof/>
                <w:sz w:val="18"/>
                <w:szCs w:val="18"/>
                <w:lang w:val="cs-CZ"/>
              </w:rPr>
            </w:pPr>
            <w:r w:rsidRPr="003B6E11">
              <w:rPr>
                <w:noProof/>
                <w:sz w:val="18"/>
                <w:lang w:val="cs-CZ"/>
              </w:rPr>
              <w:t>Homogenizovaný náhodný vzorek</w:t>
            </w:r>
          </w:p>
        </w:tc>
      </w:tr>
      <w:tr w:rsidR="000E1B99" w:rsidRPr="002D015D" w:rsidTr="00EB78D3">
        <w:trPr>
          <w:jc w:val="center"/>
        </w:trPr>
        <w:tc>
          <w:tcPr>
            <w:tcW w:w="3629" w:type="dxa"/>
            <w:vMerge w:val="restart"/>
            <w:vAlign w:val="center"/>
          </w:tcPr>
          <w:p w:rsidR="000E1B99" w:rsidRPr="003B6E11" w:rsidRDefault="000E1B99" w:rsidP="0085414C">
            <w:pPr>
              <w:spacing w:before="60" w:after="60" w:line="240" w:lineRule="atLeast"/>
              <w:rPr>
                <w:noProof/>
                <w:sz w:val="18"/>
                <w:szCs w:val="18"/>
                <w:lang w:val="cs-CZ"/>
              </w:rPr>
            </w:pPr>
            <w:r w:rsidRPr="003B6E11">
              <w:rPr>
                <w:noProof/>
                <w:sz w:val="18"/>
                <w:lang w:val="cs-CZ"/>
              </w:rPr>
              <w:t>Chemická spotřeba kyslíku (CHSK)</w:t>
            </w:r>
            <w:r w:rsidRPr="003B6E11">
              <w:rPr>
                <w:noProof/>
                <w:sz w:val="18"/>
                <w:vertAlign w:val="superscript"/>
                <w:lang w:val="cs-CZ"/>
              </w:rPr>
              <w:t>2</w:t>
            </w:r>
            <w:r w:rsidRPr="003B6E11">
              <w:rPr>
                <w:noProof/>
                <w:sz w:val="18"/>
                <w:lang w:val="cs-CZ"/>
              </w:rPr>
              <w:t xml:space="preserve"> </w:t>
            </w:r>
            <w:r w:rsidRPr="003B6E11">
              <w:rPr>
                <w:noProof/>
                <w:sz w:val="18"/>
                <w:szCs w:val="18"/>
                <w:lang w:val="cs-CZ"/>
              </w:rPr>
              <w:br/>
            </w:r>
            <w:r w:rsidRPr="003B6E11">
              <w:rPr>
                <w:noProof/>
                <w:sz w:val="18"/>
                <w:lang w:val="cs-CZ"/>
              </w:rPr>
              <w:t>ISO 6060:1989</w:t>
            </w:r>
            <w:r w:rsidRPr="003B6E11">
              <w:rPr>
                <w:noProof/>
                <w:sz w:val="18"/>
                <w:vertAlign w:val="superscript"/>
                <w:lang w:val="cs-CZ"/>
              </w:rPr>
              <w:t>1</w:t>
            </w:r>
          </w:p>
        </w:tc>
        <w:tc>
          <w:tcPr>
            <w:tcW w:w="1588" w:type="dxa"/>
            <w:vAlign w:val="center"/>
          </w:tcPr>
          <w:p w:rsidR="000E1B99" w:rsidRPr="003B6E11" w:rsidRDefault="000E1B99" w:rsidP="00274EE8">
            <w:pPr>
              <w:spacing w:before="60" w:after="60" w:line="240" w:lineRule="atLeast"/>
              <w:jc w:val="center"/>
              <w:rPr>
                <w:noProof/>
                <w:sz w:val="18"/>
                <w:szCs w:val="18"/>
                <w:lang w:val="cs-CZ"/>
              </w:rPr>
            </w:pPr>
            <w:r w:rsidRPr="003B6E11">
              <w:rPr>
                <w:noProof/>
                <w:sz w:val="18"/>
                <w:lang w:val="cs-CZ"/>
              </w:rPr>
              <w:t>100 mg/l</w:t>
            </w:r>
          </w:p>
        </w:tc>
        <w:tc>
          <w:tcPr>
            <w:tcW w:w="2608" w:type="dxa"/>
            <w:vAlign w:val="center"/>
          </w:tcPr>
          <w:p w:rsidR="000E1B99" w:rsidRPr="003B6E11" w:rsidRDefault="000E1B99" w:rsidP="00274EE8">
            <w:pPr>
              <w:spacing w:before="60" w:after="60" w:line="240" w:lineRule="atLeast"/>
              <w:rPr>
                <w:noProof/>
                <w:sz w:val="18"/>
                <w:szCs w:val="18"/>
                <w:lang w:val="cs-CZ"/>
              </w:rPr>
            </w:pPr>
            <w:r w:rsidRPr="003B6E11">
              <w:rPr>
                <w:noProof/>
                <w:sz w:val="18"/>
                <w:lang w:val="cs-CZ"/>
              </w:rPr>
              <w:t>Homogenizovaný souhrnný vzorek za 24 h</w:t>
            </w:r>
          </w:p>
        </w:tc>
      </w:tr>
      <w:tr w:rsidR="000E1B99" w:rsidRPr="003B6E11" w:rsidTr="00EB78D3">
        <w:trPr>
          <w:jc w:val="center"/>
        </w:trPr>
        <w:tc>
          <w:tcPr>
            <w:tcW w:w="3629" w:type="dxa"/>
            <w:vMerge/>
            <w:vAlign w:val="center"/>
          </w:tcPr>
          <w:p w:rsidR="000E1B99" w:rsidRPr="003B6E11" w:rsidRDefault="000E1B99" w:rsidP="00274EE8">
            <w:pPr>
              <w:spacing w:before="60" w:after="60" w:line="240" w:lineRule="atLeast"/>
              <w:rPr>
                <w:noProof/>
                <w:sz w:val="18"/>
                <w:szCs w:val="18"/>
                <w:lang w:val="cs-CZ"/>
              </w:rPr>
            </w:pPr>
          </w:p>
        </w:tc>
        <w:tc>
          <w:tcPr>
            <w:tcW w:w="1588" w:type="dxa"/>
            <w:vAlign w:val="center"/>
          </w:tcPr>
          <w:p w:rsidR="000E1B99" w:rsidRPr="003B6E11" w:rsidRDefault="000E1B99" w:rsidP="00274EE8">
            <w:pPr>
              <w:spacing w:before="60" w:after="60" w:line="240" w:lineRule="atLeast"/>
              <w:jc w:val="center"/>
              <w:rPr>
                <w:noProof/>
                <w:sz w:val="18"/>
                <w:szCs w:val="18"/>
                <w:lang w:val="cs-CZ"/>
              </w:rPr>
            </w:pPr>
            <w:r w:rsidRPr="003B6E11">
              <w:rPr>
                <w:noProof/>
                <w:sz w:val="18"/>
                <w:lang w:val="cs-CZ"/>
              </w:rPr>
              <w:t>125 mg/l</w:t>
            </w:r>
          </w:p>
        </w:tc>
        <w:tc>
          <w:tcPr>
            <w:tcW w:w="2608" w:type="dxa"/>
            <w:vAlign w:val="center"/>
          </w:tcPr>
          <w:p w:rsidR="000E1B99" w:rsidRPr="003B6E11" w:rsidRDefault="000E1B99" w:rsidP="00274EE8">
            <w:pPr>
              <w:spacing w:before="60" w:after="60" w:line="240" w:lineRule="atLeast"/>
              <w:rPr>
                <w:noProof/>
                <w:sz w:val="18"/>
                <w:szCs w:val="18"/>
                <w:lang w:val="cs-CZ"/>
              </w:rPr>
            </w:pPr>
            <w:r w:rsidRPr="003B6E11">
              <w:rPr>
                <w:noProof/>
                <w:sz w:val="18"/>
                <w:lang w:val="cs-CZ"/>
              </w:rPr>
              <w:t>Homogenizovaný náhodný vzorek</w:t>
            </w:r>
          </w:p>
        </w:tc>
      </w:tr>
      <w:tr w:rsidR="000E1B99" w:rsidRPr="002D015D" w:rsidTr="00EB78D3">
        <w:trPr>
          <w:jc w:val="center"/>
        </w:trPr>
        <w:tc>
          <w:tcPr>
            <w:tcW w:w="3629" w:type="dxa"/>
            <w:vMerge w:val="restart"/>
            <w:vAlign w:val="center"/>
          </w:tcPr>
          <w:p w:rsidR="000E1B99" w:rsidRPr="003B6E11" w:rsidRDefault="000E1B99" w:rsidP="0085414C">
            <w:pPr>
              <w:spacing w:before="60" w:after="60" w:line="240" w:lineRule="atLeast"/>
              <w:rPr>
                <w:noProof/>
                <w:sz w:val="18"/>
                <w:szCs w:val="18"/>
                <w:vertAlign w:val="superscript"/>
                <w:lang w:val="cs-CZ"/>
              </w:rPr>
            </w:pPr>
            <w:r w:rsidRPr="003B6E11">
              <w:rPr>
                <w:noProof/>
                <w:sz w:val="18"/>
                <w:lang w:val="cs-CZ"/>
              </w:rPr>
              <w:t>Celkový organický uhlík (TOC)</w:t>
            </w:r>
            <w:r w:rsidRPr="003B6E11">
              <w:rPr>
                <w:noProof/>
                <w:sz w:val="18"/>
                <w:szCs w:val="18"/>
                <w:lang w:val="cs-CZ"/>
              </w:rPr>
              <w:br/>
            </w:r>
            <w:r w:rsidRPr="003B6E11">
              <w:rPr>
                <w:noProof/>
                <w:sz w:val="18"/>
                <w:lang w:val="cs-CZ"/>
              </w:rPr>
              <w:t>EN 1484:1997</w:t>
            </w:r>
            <w:r w:rsidRPr="003B6E11">
              <w:rPr>
                <w:noProof/>
                <w:sz w:val="18"/>
                <w:vertAlign w:val="superscript"/>
                <w:lang w:val="cs-CZ"/>
              </w:rPr>
              <w:t>1</w:t>
            </w:r>
          </w:p>
        </w:tc>
        <w:tc>
          <w:tcPr>
            <w:tcW w:w="1588" w:type="dxa"/>
            <w:vAlign w:val="center"/>
          </w:tcPr>
          <w:p w:rsidR="000E1B99" w:rsidRPr="003B6E11" w:rsidRDefault="000E1B99" w:rsidP="00274EE8">
            <w:pPr>
              <w:spacing w:before="60" w:after="60" w:line="240" w:lineRule="atLeast"/>
              <w:jc w:val="center"/>
              <w:rPr>
                <w:noProof/>
                <w:sz w:val="18"/>
                <w:szCs w:val="18"/>
                <w:lang w:val="cs-CZ"/>
              </w:rPr>
            </w:pPr>
            <w:r w:rsidRPr="003B6E11">
              <w:rPr>
                <w:noProof/>
                <w:sz w:val="18"/>
                <w:lang w:val="cs-CZ"/>
              </w:rPr>
              <w:t>35 mg/l</w:t>
            </w:r>
          </w:p>
        </w:tc>
        <w:tc>
          <w:tcPr>
            <w:tcW w:w="2608" w:type="dxa"/>
            <w:vAlign w:val="center"/>
          </w:tcPr>
          <w:p w:rsidR="000E1B99" w:rsidRPr="003B6E11" w:rsidRDefault="000E1B99" w:rsidP="00274EE8">
            <w:pPr>
              <w:spacing w:before="60" w:after="60" w:line="240" w:lineRule="atLeast"/>
              <w:rPr>
                <w:noProof/>
                <w:sz w:val="18"/>
                <w:szCs w:val="18"/>
                <w:lang w:val="cs-CZ"/>
              </w:rPr>
            </w:pPr>
            <w:r w:rsidRPr="003B6E11">
              <w:rPr>
                <w:noProof/>
                <w:sz w:val="18"/>
                <w:lang w:val="cs-CZ"/>
              </w:rPr>
              <w:t>Homogenizovaný souhrnný vzorek za 24 h</w:t>
            </w:r>
          </w:p>
        </w:tc>
      </w:tr>
      <w:tr w:rsidR="000E1B99" w:rsidRPr="003B6E11" w:rsidTr="00EB78D3">
        <w:trPr>
          <w:jc w:val="center"/>
        </w:trPr>
        <w:tc>
          <w:tcPr>
            <w:tcW w:w="3629" w:type="dxa"/>
            <w:vMerge/>
            <w:vAlign w:val="center"/>
          </w:tcPr>
          <w:p w:rsidR="000E1B99" w:rsidRPr="003B6E11" w:rsidRDefault="000E1B99" w:rsidP="00274EE8">
            <w:pPr>
              <w:spacing w:before="60" w:after="60" w:line="240" w:lineRule="atLeast"/>
              <w:rPr>
                <w:noProof/>
                <w:sz w:val="18"/>
                <w:szCs w:val="18"/>
                <w:lang w:val="cs-CZ"/>
              </w:rPr>
            </w:pPr>
          </w:p>
        </w:tc>
        <w:tc>
          <w:tcPr>
            <w:tcW w:w="1588" w:type="dxa"/>
            <w:vAlign w:val="center"/>
          </w:tcPr>
          <w:p w:rsidR="000E1B99" w:rsidRPr="003B6E11" w:rsidRDefault="000E1B99" w:rsidP="00274EE8">
            <w:pPr>
              <w:spacing w:before="60" w:after="60" w:line="240" w:lineRule="atLeast"/>
              <w:jc w:val="center"/>
              <w:rPr>
                <w:noProof/>
                <w:sz w:val="18"/>
                <w:szCs w:val="18"/>
                <w:lang w:val="cs-CZ"/>
              </w:rPr>
            </w:pPr>
            <w:r w:rsidRPr="003B6E11">
              <w:rPr>
                <w:noProof/>
                <w:sz w:val="18"/>
                <w:lang w:val="cs-CZ"/>
              </w:rPr>
              <w:t>45 mg/l</w:t>
            </w:r>
          </w:p>
        </w:tc>
        <w:tc>
          <w:tcPr>
            <w:tcW w:w="2608" w:type="dxa"/>
            <w:vAlign w:val="center"/>
          </w:tcPr>
          <w:p w:rsidR="000E1B99" w:rsidRPr="003B6E11" w:rsidRDefault="000E1B99" w:rsidP="00274EE8">
            <w:pPr>
              <w:spacing w:before="60" w:after="60" w:line="240" w:lineRule="atLeast"/>
              <w:rPr>
                <w:noProof/>
                <w:sz w:val="18"/>
                <w:szCs w:val="18"/>
                <w:lang w:val="cs-CZ"/>
              </w:rPr>
            </w:pPr>
            <w:r w:rsidRPr="003B6E11">
              <w:rPr>
                <w:noProof/>
                <w:sz w:val="18"/>
                <w:lang w:val="cs-CZ"/>
              </w:rPr>
              <w:t>Homogenizovaný náhodný vzorek</w:t>
            </w:r>
          </w:p>
        </w:tc>
      </w:tr>
    </w:tbl>
    <w:p w:rsidR="00AC39F0" w:rsidRPr="003B6E11" w:rsidRDefault="00AC39F0" w:rsidP="000F3425">
      <w:pPr>
        <w:spacing w:before="60"/>
        <w:ind w:left="992"/>
        <w:rPr>
          <w:noProof/>
          <w:sz w:val="16"/>
          <w:szCs w:val="16"/>
          <w:lang w:val="cs-CZ"/>
        </w:rPr>
      </w:pPr>
      <w:r w:rsidRPr="003B6E11">
        <w:rPr>
          <w:noProof/>
          <w:sz w:val="14"/>
          <w:lang w:val="cs-CZ"/>
        </w:rPr>
        <w:t>1)</w:t>
      </w:r>
      <w:r w:rsidRPr="003B6E11">
        <w:rPr>
          <w:lang w:val="cs-CZ"/>
        </w:rPr>
        <w:tab/>
      </w:r>
      <w:r w:rsidRPr="003B6E11">
        <w:rPr>
          <w:noProof/>
          <w:sz w:val="16"/>
          <w:lang w:val="cs-CZ"/>
        </w:rPr>
        <w:t>Členské státy mohou zavést rovnocenné postupy.</w:t>
      </w:r>
    </w:p>
    <w:p w:rsidR="00AC39F0" w:rsidRPr="003B6E11" w:rsidRDefault="00AC39F0" w:rsidP="000F3425">
      <w:pPr>
        <w:ind w:left="992"/>
        <w:rPr>
          <w:noProof/>
          <w:sz w:val="16"/>
          <w:szCs w:val="16"/>
          <w:lang w:val="cs-CZ"/>
        </w:rPr>
      </w:pPr>
      <w:r w:rsidRPr="003B6E11">
        <w:rPr>
          <w:noProof/>
          <w:sz w:val="14"/>
          <w:lang w:val="cs-CZ"/>
        </w:rPr>
        <w:t>2)</w:t>
      </w:r>
      <w:r w:rsidRPr="003B6E11">
        <w:rPr>
          <w:lang w:val="cs-CZ"/>
        </w:rPr>
        <w:tab/>
      </w:r>
      <w:r w:rsidRPr="003B6E11">
        <w:rPr>
          <w:noProof/>
          <w:sz w:val="16"/>
          <w:lang w:val="cs-CZ"/>
        </w:rPr>
        <w:t>Místo chemické spotřeby kyslíku (CHSK) může být pro kontrolu uveden celkový organický uhlík (TOC).</w:t>
      </w:r>
    </w:p>
    <w:p w:rsidR="00AC39F0" w:rsidRPr="003B6E11" w:rsidRDefault="00AC39F0" w:rsidP="00AC39F0">
      <w:pPr>
        <w:pStyle w:val="ESch"/>
        <w:rPr>
          <w:noProof/>
          <w:szCs w:val="20"/>
          <w:lang w:val="cs-CZ"/>
        </w:rPr>
      </w:pPr>
    </w:p>
    <w:p w:rsidR="003D0171" w:rsidRPr="003B6E11" w:rsidRDefault="003D0171" w:rsidP="00AC39F0">
      <w:pPr>
        <w:pStyle w:val="ESch"/>
        <w:rPr>
          <w:noProof/>
          <w:szCs w:val="20"/>
          <w:lang w:val="cs-CZ"/>
        </w:rPr>
      </w:pPr>
      <w:r w:rsidRPr="003B6E11">
        <w:rPr>
          <w:lang w:val="cs-CZ"/>
        </w:rPr>
        <w:br w:type="page"/>
      </w:r>
    </w:p>
    <w:p w:rsidR="00AC39F0" w:rsidRPr="003B6E11" w:rsidRDefault="005C7859" w:rsidP="00AC39F0">
      <w:pPr>
        <w:pStyle w:val="ESlet"/>
        <w:rPr>
          <w:rFonts w:cs="Arial"/>
          <w:lang w:val="cs-CZ"/>
        </w:rPr>
      </w:pPr>
      <w:r w:rsidRPr="003B6E11">
        <w:rPr>
          <w:lang w:val="cs-CZ"/>
        </w:rPr>
        <w:t>b)</w:t>
      </w:r>
      <w:r w:rsidRPr="003B6E11">
        <w:rPr>
          <w:lang w:val="cs-CZ"/>
        </w:rPr>
        <w:tab/>
        <w:t>Při provozu palubní čistírny odpadních vod musí být dodrženy tyto kontrolní hodnoty:</w:t>
      </w:r>
    </w:p>
    <w:p w:rsidR="00AC39F0" w:rsidRPr="003B6E11" w:rsidRDefault="00AC39F0" w:rsidP="00AC39F0">
      <w:pPr>
        <w:pStyle w:val="ESch"/>
        <w:rPr>
          <w:noProof/>
          <w:szCs w:val="20"/>
          <w:lang w:val="cs-CZ"/>
        </w:rPr>
      </w:pPr>
    </w:p>
    <w:p w:rsidR="00AC39F0" w:rsidRPr="003B6E11" w:rsidRDefault="00AC39F0" w:rsidP="00AC39F0">
      <w:pPr>
        <w:pStyle w:val="ESletpar"/>
        <w:rPr>
          <w:rFonts w:cs="Arial"/>
          <w:lang w:val="cs-CZ"/>
        </w:rPr>
      </w:pPr>
      <w:r w:rsidRPr="003B6E11">
        <w:rPr>
          <w:lang w:val="cs-CZ"/>
        </w:rPr>
        <w:t>Tabulka 2: Kontrolní hodnoty, které musí být za provozu dodrženy na odtoku palubní čistírny odpadních vod</w:t>
      </w:r>
    </w:p>
    <w:p w:rsidR="00AC39F0" w:rsidRPr="003B6E11" w:rsidRDefault="00AC39F0" w:rsidP="00AC39F0">
      <w:pPr>
        <w:pStyle w:val="ESch"/>
        <w:rPr>
          <w:szCs w:val="20"/>
          <w:lang w:val="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9"/>
        <w:gridCol w:w="1588"/>
        <w:gridCol w:w="2608"/>
      </w:tblGrid>
      <w:tr w:rsidR="000E1B99" w:rsidRPr="003B6E11" w:rsidTr="000E1B99">
        <w:trPr>
          <w:trHeight w:val="836"/>
          <w:jc w:val="center"/>
        </w:trPr>
        <w:tc>
          <w:tcPr>
            <w:tcW w:w="3629" w:type="dxa"/>
            <w:vAlign w:val="center"/>
          </w:tcPr>
          <w:p w:rsidR="000E1B99" w:rsidRPr="003B6E11" w:rsidRDefault="000E1B99" w:rsidP="00B33A41">
            <w:pPr>
              <w:spacing w:before="60" w:after="60" w:line="240" w:lineRule="atLeast"/>
              <w:jc w:val="center"/>
              <w:rPr>
                <w:noProof/>
                <w:sz w:val="18"/>
                <w:szCs w:val="18"/>
                <w:lang w:val="cs-CZ"/>
              </w:rPr>
            </w:pPr>
            <w:r w:rsidRPr="003B6E11">
              <w:rPr>
                <w:noProof/>
                <w:sz w:val="18"/>
                <w:lang w:val="cs-CZ"/>
              </w:rPr>
              <w:t>Parametr</w:t>
            </w:r>
          </w:p>
        </w:tc>
        <w:tc>
          <w:tcPr>
            <w:tcW w:w="1588" w:type="dxa"/>
            <w:vAlign w:val="center"/>
          </w:tcPr>
          <w:p w:rsidR="000E1B99" w:rsidRPr="003B6E11" w:rsidRDefault="000E1B99" w:rsidP="00B33A41">
            <w:pPr>
              <w:spacing w:before="60" w:after="60" w:line="240" w:lineRule="atLeast"/>
              <w:jc w:val="center"/>
              <w:rPr>
                <w:noProof/>
                <w:sz w:val="18"/>
                <w:szCs w:val="18"/>
                <w:lang w:val="cs-CZ"/>
              </w:rPr>
            </w:pPr>
            <w:r w:rsidRPr="003B6E11">
              <w:rPr>
                <w:noProof/>
                <w:sz w:val="18"/>
                <w:lang w:val="cs-CZ"/>
              </w:rPr>
              <w:t>Koncentrace (fáze II)</w:t>
            </w:r>
          </w:p>
        </w:tc>
        <w:tc>
          <w:tcPr>
            <w:tcW w:w="2608" w:type="dxa"/>
            <w:vAlign w:val="center"/>
          </w:tcPr>
          <w:p w:rsidR="000E1B99" w:rsidRPr="003B6E11" w:rsidRDefault="000E1B99" w:rsidP="00B33A41">
            <w:pPr>
              <w:spacing w:before="60" w:after="60" w:line="240" w:lineRule="atLeast"/>
              <w:jc w:val="center"/>
              <w:rPr>
                <w:noProof/>
                <w:sz w:val="18"/>
                <w:szCs w:val="18"/>
                <w:lang w:val="cs-CZ"/>
              </w:rPr>
            </w:pPr>
            <w:r w:rsidRPr="003B6E11">
              <w:rPr>
                <w:noProof/>
                <w:sz w:val="18"/>
                <w:lang w:val="cs-CZ"/>
              </w:rPr>
              <w:t>Vzorek</w:t>
            </w:r>
          </w:p>
        </w:tc>
      </w:tr>
      <w:tr w:rsidR="000E1B99" w:rsidRPr="003B6E11" w:rsidTr="000E1B99">
        <w:trPr>
          <w:trHeight w:val="1080"/>
          <w:jc w:val="center"/>
        </w:trPr>
        <w:tc>
          <w:tcPr>
            <w:tcW w:w="3629" w:type="dxa"/>
            <w:vAlign w:val="center"/>
          </w:tcPr>
          <w:p w:rsidR="000E1B99" w:rsidRPr="003B6E11" w:rsidRDefault="000E1B99" w:rsidP="00B33A41">
            <w:pPr>
              <w:spacing w:before="60" w:after="60" w:line="240" w:lineRule="atLeast"/>
              <w:rPr>
                <w:noProof/>
                <w:sz w:val="18"/>
                <w:szCs w:val="18"/>
                <w:vertAlign w:val="superscript"/>
                <w:lang w:val="cs-CZ"/>
              </w:rPr>
            </w:pPr>
            <w:r w:rsidRPr="003B6E11">
              <w:rPr>
                <w:noProof/>
                <w:sz w:val="18"/>
                <w:lang w:val="cs-CZ"/>
              </w:rPr>
              <w:t>Biochemická spotřeba kyslíku (</w:t>
            </w:r>
            <m:oMath>
              <m:sSub>
                <m:sSubPr>
                  <m:ctrlPr>
                    <w:rPr>
                      <w:rFonts w:ascii="Cambria Math" w:hAnsi="Cambria Math"/>
                      <w:i/>
                      <w:noProof/>
                      <w:sz w:val="18"/>
                      <w:szCs w:val="18"/>
                      <w:lang w:val="cs-CZ"/>
                    </w:rPr>
                  </m:ctrlPr>
                </m:sSubPr>
                <m:e>
                  <m:r>
                    <w:rPr>
                      <w:rFonts w:ascii="Cambria Math" w:hAnsi="Cambria Math"/>
                      <w:noProof/>
                      <w:sz w:val="18"/>
                      <w:szCs w:val="18"/>
                      <w:lang w:val="cs-CZ"/>
                    </w:rPr>
                    <m:t>BOD</m:t>
                  </m:r>
                </m:e>
                <m:sub>
                  <m:r>
                    <w:rPr>
                      <w:rFonts w:ascii="Cambria Math" w:hAnsi="Cambria Math"/>
                      <w:noProof/>
                      <w:sz w:val="18"/>
                      <w:szCs w:val="18"/>
                      <w:lang w:val="cs-CZ"/>
                    </w:rPr>
                    <m:t>5</m:t>
                  </m:r>
                </m:sub>
              </m:sSub>
            </m:oMath>
            <w:r w:rsidRPr="003B6E11">
              <w:rPr>
                <w:noProof/>
                <w:sz w:val="18"/>
                <w:lang w:val="cs-CZ"/>
              </w:rPr>
              <w:t>)</w:t>
            </w:r>
            <w:r w:rsidRPr="003B6E11">
              <w:rPr>
                <w:noProof/>
                <w:sz w:val="18"/>
                <w:szCs w:val="18"/>
                <w:lang w:val="cs-CZ"/>
              </w:rPr>
              <w:br/>
            </w:r>
            <w:r w:rsidRPr="003B6E11">
              <w:rPr>
                <w:noProof/>
                <w:sz w:val="18"/>
                <w:lang w:val="cs-CZ"/>
              </w:rPr>
              <w:t>ISO 5815-1 a 5815-2 (2003)</w:t>
            </w:r>
            <w:r w:rsidRPr="003B6E11">
              <w:rPr>
                <w:noProof/>
                <w:sz w:val="18"/>
                <w:vertAlign w:val="superscript"/>
                <w:lang w:val="cs-CZ"/>
              </w:rPr>
              <w:t>1</w:t>
            </w:r>
          </w:p>
        </w:tc>
        <w:tc>
          <w:tcPr>
            <w:tcW w:w="1588" w:type="dxa"/>
            <w:vAlign w:val="center"/>
          </w:tcPr>
          <w:p w:rsidR="000E1B99" w:rsidRPr="003B6E11" w:rsidRDefault="000E1B99" w:rsidP="00B33A41">
            <w:pPr>
              <w:suppressAutoHyphens/>
              <w:snapToGrid w:val="0"/>
              <w:spacing w:before="60" w:after="60" w:line="240" w:lineRule="atLeast"/>
              <w:jc w:val="center"/>
              <w:rPr>
                <w:rFonts w:cs="Arial"/>
                <w:sz w:val="18"/>
                <w:szCs w:val="18"/>
                <w:lang w:val="cs-CZ"/>
              </w:rPr>
            </w:pPr>
            <w:r w:rsidRPr="003B6E11">
              <w:rPr>
                <w:sz w:val="18"/>
                <w:lang w:val="cs-CZ"/>
              </w:rPr>
              <w:t>25 mg/l</w:t>
            </w:r>
          </w:p>
        </w:tc>
        <w:tc>
          <w:tcPr>
            <w:tcW w:w="2608" w:type="dxa"/>
            <w:vAlign w:val="center"/>
          </w:tcPr>
          <w:p w:rsidR="000E1B99" w:rsidRPr="003B6E11" w:rsidRDefault="000E1B99" w:rsidP="00B33A41">
            <w:pPr>
              <w:spacing w:before="60" w:after="60" w:line="240" w:lineRule="atLeast"/>
              <w:rPr>
                <w:noProof/>
                <w:sz w:val="18"/>
                <w:szCs w:val="18"/>
                <w:lang w:val="cs-CZ"/>
              </w:rPr>
            </w:pPr>
            <w:r w:rsidRPr="003B6E11">
              <w:rPr>
                <w:noProof/>
                <w:sz w:val="18"/>
                <w:lang w:val="cs-CZ"/>
              </w:rPr>
              <w:t>Homogenizovaný náhodný vzorek</w:t>
            </w:r>
          </w:p>
        </w:tc>
      </w:tr>
      <w:tr w:rsidR="000E1B99" w:rsidRPr="003B6E11" w:rsidTr="000E1B99">
        <w:trPr>
          <w:jc w:val="center"/>
        </w:trPr>
        <w:tc>
          <w:tcPr>
            <w:tcW w:w="3629" w:type="dxa"/>
            <w:vMerge w:val="restart"/>
            <w:vAlign w:val="center"/>
          </w:tcPr>
          <w:p w:rsidR="000E1B99" w:rsidRPr="003B6E11" w:rsidRDefault="000E1B99" w:rsidP="00B33A41">
            <w:pPr>
              <w:spacing w:before="60" w:after="60" w:line="240" w:lineRule="atLeast"/>
              <w:rPr>
                <w:noProof/>
                <w:sz w:val="18"/>
                <w:szCs w:val="18"/>
                <w:lang w:val="cs-CZ"/>
              </w:rPr>
            </w:pPr>
            <w:r w:rsidRPr="003B6E11">
              <w:rPr>
                <w:noProof/>
                <w:sz w:val="18"/>
                <w:lang w:val="cs-CZ"/>
              </w:rPr>
              <w:t>Chemická spotřeba kyslíku (CHSK)</w:t>
            </w:r>
            <w:r w:rsidRPr="003B6E11">
              <w:rPr>
                <w:noProof/>
                <w:sz w:val="18"/>
                <w:vertAlign w:val="superscript"/>
                <w:lang w:val="cs-CZ"/>
              </w:rPr>
              <w:t xml:space="preserve">2 </w:t>
            </w:r>
            <w:r w:rsidRPr="003B6E11">
              <w:rPr>
                <w:noProof/>
                <w:sz w:val="18"/>
                <w:szCs w:val="18"/>
                <w:vertAlign w:val="superscript"/>
                <w:lang w:val="cs-CZ"/>
              </w:rPr>
              <w:br/>
            </w:r>
            <w:r w:rsidRPr="003B6E11">
              <w:rPr>
                <w:noProof/>
                <w:sz w:val="18"/>
                <w:lang w:val="cs-CZ"/>
              </w:rPr>
              <w:t>ISO 6060 (1989)</w:t>
            </w:r>
            <w:r w:rsidRPr="003B6E11">
              <w:rPr>
                <w:noProof/>
                <w:sz w:val="18"/>
                <w:vertAlign w:val="superscript"/>
                <w:lang w:val="cs-CZ"/>
              </w:rPr>
              <w:t>1</w:t>
            </w:r>
          </w:p>
        </w:tc>
        <w:tc>
          <w:tcPr>
            <w:tcW w:w="1588" w:type="dxa"/>
            <w:vAlign w:val="center"/>
          </w:tcPr>
          <w:p w:rsidR="000E1B99" w:rsidRPr="003B6E11" w:rsidRDefault="000E1B99" w:rsidP="00B33A41">
            <w:pPr>
              <w:suppressAutoHyphens/>
              <w:snapToGrid w:val="0"/>
              <w:spacing w:before="60" w:after="60" w:line="240" w:lineRule="atLeast"/>
              <w:jc w:val="center"/>
              <w:rPr>
                <w:rFonts w:cs="Arial"/>
                <w:sz w:val="18"/>
                <w:szCs w:val="18"/>
                <w:lang w:val="cs-CZ"/>
              </w:rPr>
            </w:pPr>
            <w:r w:rsidRPr="003B6E11">
              <w:rPr>
                <w:sz w:val="18"/>
                <w:lang w:val="cs-CZ"/>
              </w:rPr>
              <w:t>125 mg/l</w:t>
            </w:r>
          </w:p>
        </w:tc>
        <w:tc>
          <w:tcPr>
            <w:tcW w:w="2608" w:type="dxa"/>
            <w:vAlign w:val="center"/>
          </w:tcPr>
          <w:p w:rsidR="000E1B99" w:rsidRPr="003B6E11" w:rsidRDefault="000E1B99" w:rsidP="00B33A41">
            <w:pPr>
              <w:spacing w:before="60" w:after="60" w:line="240" w:lineRule="atLeast"/>
              <w:rPr>
                <w:noProof/>
                <w:sz w:val="18"/>
                <w:szCs w:val="18"/>
                <w:lang w:val="cs-CZ"/>
              </w:rPr>
            </w:pPr>
            <w:r w:rsidRPr="003B6E11">
              <w:rPr>
                <w:noProof/>
                <w:sz w:val="18"/>
                <w:lang w:val="cs-CZ"/>
              </w:rPr>
              <w:t>Homogenizovaný náhodný vzorek</w:t>
            </w:r>
          </w:p>
        </w:tc>
      </w:tr>
      <w:tr w:rsidR="000E1B99" w:rsidRPr="003B6E11" w:rsidTr="000E1B99">
        <w:trPr>
          <w:jc w:val="center"/>
        </w:trPr>
        <w:tc>
          <w:tcPr>
            <w:tcW w:w="3629" w:type="dxa"/>
            <w:vMerge/>
            <w:vAlign w:val="center"/>
          </w:tcPr>
          <w:p w:rsidR="000E1B99" w:rsidRPr="003B6E11" w:rsidRDefault="000E1B99" w:rsidP="00B33A41">
            <w:pPr>
              <w:spacing w:before="60" w:after="60" w:line="240" w:lineRule="atLeast"/>
              <w:rPr>
                <w:noProof/>
                <w:sz w:val="18"/>
                <w:szCs w:val="18"/>
                <w:lang w:val="cs-CZ"/>
              </w:rPr>
            </w:pPr>
          </w:p>
        </w:tc>
        <w:tc>
          <w:tcPr>
            <w:tcW w:w="1588" w:type="dxa"/>
            <w:vAlign w:val="center"/>
          </w:tcPr>
          <w:p w:rsidR="000E1B99" w:rsidRPr="003B6E11" w:rsidRDefault="000E1B99" w:rsidP="00B33A41">
            <w:pPr>
              <w:suppressAutoHyphens/>
              <w:snapToGrid w:val="0"/>
              <w:spacing w:before="60" w:after="60" w:line="240" w:lineRule="atLeast"/>
              <w:jc w:val="center"/>
              <w:rPr>
                <w:rFonts w:cs="Arial"/>
                <w:sz w:val="18"/>
                <w:szCs w:val="18"/>
                <w:lang w:val="cs-CZ"/>
              </w:rPr>
            </w:pPr>
            <w:r w:rsidRPr="003B6E11">
              <w:rPr>
                <w:sz w:val="18"/>
                <w:lang w:val="cs-CZ"/>
              </w:rPr>
              <w:t>150 mg/l</w:t>
            </w:r>
          </w:p>
        </w:tc>
        <w:tc>
          <w:tcPr>
            <w:tcW w:w="2608" w:type="dxa"/>
            <w:vAlign w:val="center"/>
          </w:tcPr>
          <w:p w:rsidR="000E1B99" w:rsidRPr="003B6E11" w:rsidRDefault="000E1B99" w:rsidP="00B33A41">
            <w:pPr>
              <w:spacing w:before="60" w:after="60" w:line="240" w:lineRule="atLeast"/>
              <w:rPr>
                <w:noProof/>
                <w:sz w:val="18"/>
                <w:szCs w:val="18"/>
                <w:lang w:val="cs-CZ"/>
              </w:rPr>
            </w:pPr>
            <w:r w:rsidRPr="003B6E11">
              <w:rPr>
                <w:noProof/>
                <w:sz w:val="18"/>
                <w:lang w:val="cs-CZ"/>
              </w:rPr>
              <w:t>Náhodný vzorek</w:t>
            </w:r>
          </w:p>
        </w:tc>
      </w:tr>
      <w:tr w:rsidR="000E1B99" w:rsidRPr="003B6E11" w:rsidTr="000E1B99">
        <w:trPr>
          <w:trHeight w:val="730"/>
          <w:jc w:val="center"/>
        </w:trPr>
        <w:tc>
          <w:tcPr>
            <w:tcW w:w="3629" w:type="dxa"/>
            <w:vAlign w:val="center"/>
          </w:tcPr>
          <w:p w:rsidR="000E1B99" w:rsidRPr="003B6E11" w:rsidRDefault="000E1B99" w:rsidP="00B33A41">
            <w:pPr>
              <w:spacing w:before="60" w:after="60" w:line="240" w:lineRule="atLeast"/>
              <w:rPr>
                <w:noProof/>
                <w:sz w:val="18"/>
                <w:szCs w:val="18"/>
                <w:vertAlign w:val="superscript"/>
                <w:lang w:val="cs-CZ"/>
              </w:rPr>
            </w:pPr>
            <w:r w:rsidRPr="003B6E11">
              <w:rPr>
                <w:noProof/>
                <w:sz w:val="18"/>
                <w:lang w:val="cs-CZ"/>
              </w:rPr>
              <w:t xml:space="preserve">Celkový organický uhlík (TOC) </w:t>
            </w:r>
            <w:r w:rsidRPr="003B6E11">
              <w:rPr>
                <w:noProof/>
                <w:sz w:val="18"/>
                <w:szCs w:val="18"/>
                <w:lang w:val="cs-CZ"/>
              </w:rPr>
              <w:br/>
            </w:r>
            <w:r w:rsidRPr="003B6E11">
              <w:rPr>
                <w:noProof/>
                <w:sz w:val="18"/>
                <w:lang w:val="cs-CZ"/>
              </w:rPr>
              <w:t>EN 1484 (1997)</w:t>
            </w:r>
            <w:r w:rsidRPr="003B6E11">
              <w:rPr>
                <w:noProof/>
                <w:sz w:val="18"/>
                <w:vertAlign w:val="superscript"/>
                <w:lang w:val="cs-CZ"/>
              </w:rPr>
              <w:t>1</w:t>
            </w:r>
          </w:p>
        </w:tc>
        <w:tc>
          <w:tcPr>
            <w:tcW w:w="1588" w:type="dxa"/>
            <w:vAlign w:val="center"/>
          </w:tcPr>
          <w:p w:rsidR="000E1B99" w:rsidRPr="003B6E11" w:rsidRDefault="000E1B99" w:rsidP="00B33A41">
            <w:pPr>
              <w:suppressAutoHyphens/>
              <w:snapToGrid w:val="0"/>
              <w:spacing w:before="60" w:after="60" w:line="240" w:lineRule="atLeast"/>
              <w:jc w:val="center"/>
              <w:rPr>
                <w:rFonts w:cs="Arial"/>
                <w:sz w:val="18"/>
                <w:szCs w:val="18"/>
                <w:lang w:val="cs-CZ"/>
              </w:rPr>
            </w:pPr>
            <w:r w:rsidRPr="003B6E11">
              <w:rPr>
                <w:sz w:val="18"/>
                <w:lang w:val="cs-CZ"/>
              </w:rPr>
              <w:t>45 mg/l</w:t>
            </w:r>
          </w:p>
        </w:tc>
        <w:tc>
          <w:tcPr>
            <w:tcW w:w="2608" w:type="dxa"/>
            <w:vAlign w:val="center"/>
          </w:tcPr>
          <w:p w:rsidR="000E1B99" w:rsidRPr="003B6E11" w:rsidRDefault="000E1B99" w:rsidP="00B33A41">
            <w:pPr>
              <w:spacing w:before="60" w:after="60" w:line="240" w:lineRule="atLeast"/>
              <w:rPr>
                <w:noProof/>
                <w:sz w:val="18"/>
                <w:szCs w:val="18"/>
                <w:lang w:val="cs-CZ"/>
              </w:rPr>
            </w:pPr>
            <w:r w:rsidRPr="003B6E11">
              <w:rPr>
                <w:noProof/>
                <w:sz w:val="18"/>
                <w:lang w:val="cs-CZ"/>
              </w:rPr>
              <w:t>Homogenizovaný náhodný vzorek</w:t>
            </w:r>
          </w:p>
        </w:tc>
      </w:tr>
    </w:tbl>
    <w:p w:rsidR="003D0171" w:rsidRPr="003B6E11" w:rsidRDefault="003D0171" w:rsidP="000E1B99">
      <w:pPr>
        <w:spacing w:before="60" w:line="240" w:lineRule="atLeast"/>
        <w:ind w:left="993" w:hanging="426"/>
        <w:rPr>
          <w:noProof/>
          <w:sz w:val="16"/>
          <w:szCs w:val="16"/>
          <w:lang w:val="cs-CZ"/>
        </w:rPr>
      </w:pPr>
      <w:r w:rsidRPr="003B6E11">
        <w:rPr>
          <w:noProof/>
          <w:sz w:val="16"/>
          <w:lang w:val="cs-CZ"/>
        </w:rPr>
        <w:t>1)</w:t>
      </w:r>
      <w:r w:rsidRPr="003B6E11">
        <w:rPr>
          <w:lang w:val="cs-CZ"/>
        </w:rPr>
        <w:tab/>
      </w:r>
      <w:r w:rsidRPr="003B6E11">
        <w:rPr>
          <w:noProof/>
          <w:sz w:val="16"/>
          <w:lang w:val="cs-CZ"/>
        </w:rPr>
        <w:t>Členské státy mohou zavést rovnocenné postupy.</w:t>
      </w:r>
    </w:p>
    <w:p w:rsidR="003D0171" w:rsidRPr="003B6E11" w:rsidRDefault="003D0171" w:rsidP="000E1B99">
      <w:pPr>
        <w:spacing w:before="60" w:line="240" w:lineRule="atLeast"/>
        <w:ind w:left="993" w:hanging="426"/>
        <w:rPr>
          <w:noProof/>
          <w:sz w:val="16"/>
          <w:szCs w:val="16"/>
          <w:lang w:val="cs-CZ"/>
        </w:rPr>
      </w:pPr>
      <w:r w:rsidRPr="003B6E11">
        <w:rPr>
          <w:noProof/>
          <w:sz w:val="16"/>
          <w:lang w:val="cs-CZ"/>
        </w:rPr>
        <w:t>2)</w:t>
      </w:r>
      <w:r w:rsidRPr="003B6E11">
        <w:rPr>
          <w:lang w:val="cs-CZ"/>
        </w:rPr>
        <w:tab/>
      </w:r>
      <w:r w:rsidRPr="003B6E11">
        <w:rPr>
          <w:noProof/>
          <w:sz w:val="16"/>
          <w:lang w:val="cs-CZ"/>
        </w:rPr>
        <w:t>Místo chemické spotřeby kyslíku (CHSK) může být pro kontrolu uveden celkový organický uhlík (TOC).</w:t>
      </w:r>
    </w:p>
    <w:p w:rsidR="003D0171" w:rsidRPr="003B6E11" w:rsidRDefault="003D0171" w:rsidP="00AC39F0">
      <w:pPr>
        <w:pStyle w:val="ESch"/>
        <w:rPr>
          <w:rFonts w:cs="Arial"/>
          <w:szCs w:val="20"/>
          <w:lang w:val="cs-CZ"/>
        </w:rPr>
      </w:pPr>
    </w:p>
    <w:p w:rsidR="00AC39F0" w:rsidRPr="003B6E11" w:rsidRDefault="00AC39F0" w:rsidP="00AC39F0">
      <w:pPr>
        <w:pStyle w:val="ESch"/>
        <w:rPr>
          <w:rFonts w:cs="Arial"/>
          <w:szCs w:val="20"/>
          <w:lang w:val="cs-CZ"/>
        </w:rPr>
      </w:pPr>
      <w:r w:rsidRPr="003B6E11">
        <w:rPr>
          <w:lang w:val="cs-CZ"/>
        </w:rPr>
        <w:t>3.</w:t>
      </w:r>
      <w:r w:rsidRPr="003B6E11">
        <w:rPr>
          <w:lang w:val="cs-CZ"/>
        </w:rPr>
        <w:tab/>
        <w:t>Nejsou povoleny postupy s využitím přípravků obsahujících chlor.</w:t>
      </w:r>
    </w:p>
    <w:p w:rsidR="00AC39F0" w:rsidRPr="003B6E11" w:rsidRDefault="00AC39F0" w:rsidP="00AC39F0">
      <w:pPr>
        <w:pStyle w:val="ESch"/>
        <w:rPr>
          <w:noProof/>
          <w:szCs w:val="20"/>
          <w:lang w:val="cs-CZ"/>
        </w:rPr>
      </w:pPr>
    </w:p>
    <w:p w:rsidR="00AC39F0" w:rsidRPr="003B6E11" w:rsidRDefault="00AC39F0" w:rsidP="00AC39F0">
      <w:pPr>
        <w:pStyle w:val="ESchpar"/>
        <w:rPr>
          <w:rFonts w:cs="Arial"/>
          <w:lang w:val="cs-CZ"/>
        </w:rPr>
      </w:pPr>
      <w:r w:rsidRPr="003B6E11">
        <w:rPr>
          <w:lang w:val="cs-CZ"/>
        </w:rPr>
        <w:t>Rovněž není povoleno ředit splašky tak, aby se snížilo měrné zatížení, a aby tak také bylo možné jejich ukládání.</w:t>
      </w:r>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4.</w:t>
      </w:r>
      <w:r w:rsidRPr="003B6E11">
        <w:rPr>
          <w:lang w:val="cs-CZ"/>
        </w:rPr>
        <w:tab/>
        <w:t>Je nutné přijmout vhodná opatření pro zajištění skladování, uchovávání (v případě nutnosti) a vypouštění kalu z čistíren odpadních vod. Součástí toho musí být i plán nakládání s kalem z čistíren odpadních vod.</w:t>
      </w:r>
    </w:p>
    <w:p w:rsidR="00AC39F0" w:rsidRPr="003B6E11" w:rsidRDefault="00AC39F0" w:rsidP="00AC39F0">
      <w:pPr>
        <w:pStyle w:val="ESch"/>
        <w:rPr>
          <w:noProof/>
          <w:szCs w:val="20"/>
          <w:lang w:val="cs-CZ"/>
        </w:rPr>
      </w:pPr>
    </w:p>
    <w:p w:rsidR="00AC39F0" w:rsidRPr="003B6E11" w:rsidRDefault="00AC39F0" w:rsidP="00AC39F0">
      <w:pPr>
        <w:pStyle w:val="ESch"/>
        <w:rPr>
          <w:noProof/>
          <w:szCs w:val="20"/>
          <w:lang w:val="cs-CZ"/>
        </w:rPr>
      </w:pPr>
      <w:r w:rsidRPr="003B6E11">
        <w:rPr>
          <w:lang w:val="cs-CZ"/>
        </w:rPr>
        <w:t>5.</w:t>
      </w:r>
      <w:r w:rsidRPr="003B6E11">
        <w:rPr>
          <w:lang w:val="cs-CZ"/>
        </w:rPr>
        <w:tab/>
        <w:t>Mezní hodnoty stanovené v tabulce 1 v odst. 2 písm. a) musí být potvrzeny typovou zkouškou a stanoveny prostřednictvím schválení typu. Schválení typu musí být osvědčeno prostřednictvím certifikátu schválení typu. Před instalací palubní čistírny odpadních vod musí být subjektu pověřenému prohlídkami zaslána kopie certifikátu schválení typu. Kopie certifikátu schválení typu a záznam o parametrech palubní čistírny odpadních vod musí být uloženy na palubě.</w:t>
      </w:r>
    </w:p>
    <w:p w:rsidR="00C509E3" w:rsidRPr="003B6E11" w:rsidRDefault="00C509E3"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6.</w:t>
      </w:r>
      <w:r w:rsidRPr="003B6E11">
        <w:rPr>
          <w:lang w:val="cs-CZ"/>
        </w:rPr>
        <w:tab/>
        <w:t>Po instalaci palubní čistírny odpadních vod na palubě musí výrobce před zahájením plánovaného provozu provést zkoušku funkčnosti. Palubní čistírna odpadních vod musí být uvedena v bodě 52 osvědčení plavidla vnitrozemské plavby spolu s následujícími údaji:</w:t>
      </w:r>
    </w:p>
    <w:p w:rsidR="00AC39F0" w:rsidRPr="003B6E11" w:rsidRDefault="005C7859" w:rsidP="00AC39F0">
      <w:pPr>
        <w:pStyle w:val="ESlet"/>
        <w:rPr>
          <w:rFonts w:cs="Arial"/>
          <w:lang w:val="cs-CZ"/>
        </w:rPr>
      </w:pPr>
      <w:r w:rsidRPr="003B6E11">
        <w:rPr>
          <w:lang w:val="cs-CZ"/>
        </w:rPr>
        <w:t>a)</w:t>
      </w:r>
      <w:r w:rsidRPr="003B6E11">
        <w:rPr>
          <w:lang w:val="cs-CZ"/>
        </w:rPr>
        <w:tab/>
        <w:t>název;</w:t>
      </w:r>
    </w:p>
    <w:p w:rsidR="00AC39F0" w:rsidRPr="003B6E11" w:rsidRDefault="005C7859" w:rsidP="00AC39F0">
      <w:pPr>
        <w:pStyle w:val="ESlet"/>
        <w:rPr>
          <w:lang w:val="cs-CZ"/>
        </w:rPr>
      </w:pPr>
      <w:r w:rsidRPr="003B6E11">
        <w:rPr>
          <w:lang w:val="cs-CZ"/>
        </w:rPr>
        <w:t>b)</w:t>
      </w:r>
      <w:r w:rsidRPr="003B6E11">
        <w:rPr>
          <w:lang w:val="cs-CZ"/>
        </w:rPr>
        <w:tab/>
        <w:t>číslo schválení typu;</w:t>
      </w:r>
    </w:p>
    <w:p w:rsidR="00AC39F0" w:rsidRPr="003B6E11" w:rsidRDefault="005C7859" w:rsidP="00AC39F0">
      <w:pPr>
        <w:pStyle w:val="ESlet"/>
        <w:rPr>
          <w:rFonts w:cs="Arial"/>
          <w:lang w:val="cs-CZ"/>
        </w:rPr>
      </w:pPr>
      <w:r w:rsidRPr="003B6E11">
        <w:rPr>
          <w:lang w:val="cs-CZ"/>
        </w:rPr>
        <w:t>c)</w:t>
      </w:r>
      <w:r w:rsidRPr="003B6E11">
        <w:rPr>
          <w:lang w:val="cs-CZ"/>
        </w:rPr>
        <w:tab/>
        <w:t>výrobní číslo;</w:t>
      </w:r>
    </w:p>
    <w:p w:rsidR="00AC39F0" w:rsidRPr="003B6E11" w:rsidRDefault="005C7859" w:rsidP="00AC39F0">
      <w:pPr>
        <w:pStyle w:val="ESlet"/>
        <w:rPr>
          <w:rFonts w:cs="Arial"/>
          <w:lang w:val="cs-CZ"/>
        </w:rPr>
      </w:pPr>
      <w:r w:rsidRPr="003B6E11">
        <w:rPr>
          <w:lang w:val="cs-CZ"/>
        </w:rPr>
        <w:t>d)</w:t>
      </w:r>
      <w:r w:rsidRPr="003B6E11">
        <w:rPr>
          <w:lang w:val="cs-CZ"/>
        </w:rPr>
        <w:tab/>
        <w:t>rok výroby.</w:t>
      </w:r>
    </w:p>
    <w:p w:rsidR="00AC39F0" w:rsidRPr="003B6E11" w:rsidRDefault="00AC39F0" w:rsidP="00AC39F0">
      <w:pPr>
        <w:pStyle w:val="ESch"/>
        <w:rPr>
          <w:noProof/>
          <w:szCs w:val="20"/>
          <w:lang w:val="cs-CZ"/>
        </w:rPr>
      </w:pPr>
    </w:p>
    <w:p w:rsidR="00B33A41" w:rsidRPr="003B6E11" w:rsidRDefault="00B33A41" w:rsidP="00AC39F0">
      <w:pPr>
        <w:pStyle w:val="ESch"/>
        <w:rPr>
          <w:noProof/>
          <w:szCs w:val="20"/>
          <w:lang w:val="cs-CZ"/>
        </w:rPr>
      </w:pPr>
      <w:r w:rsidRPr="003B6E11">
        <w:rPr>
          <w:lang w:val="cs-CZ"/>
        </w:rPr>
        <w:br w:type="page"/>
      </w:r>
    </w:p>
    <w:p w:rsidR="00AC39F0" w:rsidRPr="003B6E11" w:rsidRDefault="00AC39F0" w:rsidP="00AC39F0">
      <w:pPr>
        <w:pStyle w:val="ESch"/>
        <w:rPr>
          <w:rFonts w:cs="Arial"/>
          <w:szCs w:val="20"/>
          <w:lang w:val="cs-CZ"/>
        </w:rPr>
      </w:pPr>
      <w:r w:rsidRPr="003B6E11">
        <w:rPr>
          <w:lang w:val="cs-CZ"/>
        </w:rPr>
        <w:t xml:space="preserve">7. </w:t>
      </w:r>
      <w:r w:rsidRPr="003B6E11">
        <w:rPr>
          <w:lang w:val="cs-CZ"/>
        </w:rPr>
        <w:tab/>
        <w:t>Po jakékoli významné úpravě palubní čistírny odpadních vod mající vliv na čištění odpadních vod musí být vždy provedena zvláštní zkouška podle čl. 18.09 odst. 3.</w:t>
      </w:r>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8.</w:t>
      </w:r>
      <w:r w:rsidRPr="003B6E11">
        <w:rPr>
          <w:lang w:val="cs-CZ"/>
        </w:rPr>
        <w:tab/>
        <w:t>Ke splnění úkolů podle této kapitoly může příslušný orgán využít služby technické zkušebny.</w:t>
      </w:r>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 xml:space="preserve">9. </w:t>
      </w:r>
      <w:r w:rsidRPr="003B6E11">
        <w:rPr>
          <w:lang w:val="cs-CZ"/>
        </w:rPr>
        <w:tab/>
        <w:t>Na palubní čistírně odpadních vod je nutné provádět pravidelnou údržbu podle pokynů výrobce tak, aby se zajistilo, že bude v perfektním provozním stavu. Na palubě musí být servisní knížka, v níž je možné provádění údržby ověřit.</w:t>
      </w:r>
    </w:p>
    <w:p w:rsidR="00AC39F0" w:rsidRPr="003B6E11" w:rsidRDefault="00AC39F0" w:rsidP="00AC39F0">
      <w:pPr>
        <w:pStyle w:val="ESch"/>
        <w:rPr>
          <w:rFonts w:cs="Arial"/>
          <w:szCs w:val="20"/>
          <w:lang w:val="cs-CZ"/>
        </w:rPr>
      </w:pPr>
    </w:p>
    <w:p w:rsidR="00B33A41" w:rsidRPr="003B6E11" w:rsidRDefault="00B33A41" w:rsidP="00AC39F0">
      <w:pPr>
        <w:pStyle w:val="ESch"/>
        <w:rPr>
          <w:rFonts w:cs="Arial"/>
          <w:szCs w:val="20"/>
          <w:lang w:val="cs-CZ"/>
        </w:rPr>
      </w:pPr>
    </w:p>
    <w:p w:rsidR="00AC39F0" w:rsidRPr="003B6E11" w:rsidRDefault="00AC39F0" w:rsidP="00AC39F0">
      <w:pPr>
        <w:pStyle w:val="ES-Titre3"/>
        <w:rPr>
          <w:rFonts w:cs="Arial"/>
          <w:i/>
          <w:lang w:val="cs-CZ"/>
        </w:rPr>
      </w:pPr>
      <w:bookmarkStart w:id="324" w:name="_Toc491854159"/>
      <w:bookmarkStart w:id="325" w:name="_Toc535417065"/>
      <w:r w:rsidRPr="003B6E11">
        <w:rPr>
          <w:lang w:val="cs-CZ"/>
        </w:rPr>
        <w:t>Článek 18.02</w:t>
      </w:r>
      <w:r w:rsidRPr="003B6E11">
        <w:rPr>
          <w:lang w:val="cs-CZ"/>
        </w:rPr>
        <w:br/>
      </w:r>
      <w:r w:rsidRPr="003B6E11">
        <w:rPr>
          <w:i/>
          <w:noProof/>
          <w:lang w:val="cs-CZ"/>
        </w:rPr>
        <w:t>Žádost o schválení typu</w:t>
      </w:r>
      <w:bookmarkEnd w:id="324"/>
      <w:bookmarkEnd w:id="325"/>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1.</w:t>
      </w:r>
      <w:r w:rsidRPr="003B6E11">
        <w:rPr>
          <w:lang w:val="cs-CZ"/>
        </w:rPr>
        <w:tab/>
        <w:t>Žádost o schválení typu palubní čistírny odpadních vod předkládá výrobce příslušnému orgánu. K žádosti musí být přiložena dokumentace výrobce podle čl. 18.00 odst. 6, návrh záznamu o parametrech palubní čistírny odpadních vod podle čl. 18.00 odst. 9 a také návrh příručky výrobce pro kontrolu konstrukčních částí a parametrů souvisejících s čištěním odpadních vod pro daný typ palubní čistírny odpadních vod podle čl. 18.00 odst. 10. Při typové zkoušce musí výrobce předvést prototyp dané palubní čistírny odpadních vod.</w:t>
      </w:r>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2.</w:t>
      </w:r>
      <w:r w:rsidRPr="003B6E11">
        <w:rPr>
          <w:lang w:val="cs-CZ"/>
        </w:rPr>
        <w:tab/>
        <w:t>V případě, že u konkrétní žádosti o schválení typu k určitému typu palubní čistírny odpadních vod příslušný orgán shledá, že předložená žádost s ohledem na představený prototyp čistírny neodpovídá parametrům daného typu palubní čistírny odpadních vod popsaným v příloze 7 oddílu II dodatku 1, musí být ke schválení podle odstavce 1 předložen jiný, v případě potřeby další prototyp, který určí příslušný orgán.</w:t>
      </w:r>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3.</w:t>
      </w:r>
      <w:r w:rsidRPr="003B6E11">
        <w:rPr>
          <w:lang w:val="cs-CZ"/>
        </w:rPr>
        <w:tab/>
        <w:t>Žádost o schválení typu palubní čistírny odpadních vod nesmí být předložena více než jednomu příslušnému orgánu. Ke každému typu palubní čistírny odpadních vod, který má být schválen, musí být předložena samostatná žádost.</w:t>
      </w:r>
    </w:p>
    <w:p w:rsidR="00AC39F0" w:rsidRPr="003B6E11" w:rsidRDefault="00AC39F0" w:rsidP="00AC39F0">
      <w:pPr>
        <w:pStyle w:val="ESch"/>
        <w:rPr>
          <w:rFonts w:cs="Arial"/>
          <w:szCs w:val="20"/>
          <w:lang w:val="cs-CZ"/>
        </w:rPr>
      </w:pPr>
    </w:p>
    <w:p w:rsidR="00AC39F0" w:rsidRPr="003B6E11" w:rsidRDefault="00AC39F0" w:rsidP="00AC39F0">
      <w:pPr>
        <w:pStyle w:val="ESch"/>
        <w:rPr>
          <w:rFonts w:cs="Arial"/>
          <w:szCs w:val="20"/>
          <w:lang w:val="cs-CZ"/>
        </w:rPr>
      </w:pPr>
    </w:p>
    <w:p w:rsidR="00AC39F0" w:rsidRPr="003B6E11" w:rsidRDefault="00AC39F0" w:rsidP="00AC39F0">
      <w:pPr>
        <w:pStyle w:val="ES-Titre3"/>
        <w:rPr>
          <w:rFonts w:cs="Arial"/>
          <w:i/>
          <w:lang w:val="cs-CZ"/>
        </w:rPr>
      </w:pPr>
      <w:bookmarkStart w:id="326" w:name="_Toc491854160"/>
      <w:bookmarkStart w:id="327" w:name="_Toc535417066"/>
      <w:r w:rsidRPr="003B6E11">
        <w:rPr>
          <w:lang w:val="cs-CZ"/>
        </w:rPr>
        <w:t>Článek 18.03</w:t>
      </w:r>
      <w:r w:rsidRPr="003B6E11">
        <w:rPr>
          <w:lang w:val="cs-CZ"/>
        </w:rPr>
        <w:br/>
      </w:r>
      <w:r w:rsidRPr="003B6E11">
        <w:rPr>
          <w:i/>
          <w:noProof/>
          <w:lang w:val="cs-CZ"/>
        </w:rPr>
        <w:t>Postup schválení typu</w:t>
      </w:r>
      <w:bookmarkEnd w:id="326"/>
      <w:bookmarkEnd w:id="327"/>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1.</w:t>
      </w:r>
      <w:r w:rsidRPr="003B6E11">
        <w:rPr>
          <w:lang w:val="cs-CZ"/>
        </w:rPr>
        <w:tab/>
        <w:t>Příslušný orgán, kterému je žádost předložena, vydá schválení typu pro typ palubní čistírny odpadních vod, který odpovídá popisu v dokumentaci výrobce a splňuje požadavky uvedené v této kapitole. Splnění těchto požadavků bude posouzeno v souladu s přílohou 7 oddílem IX.</w:t>
      </w:r>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2.</w:t>
      </w:r>
      <w:r w:rsidRPr="003B6E11">
        <w:rPr>
          <w:lang w:val="cs-CZ"/>
        </w:rPr>
        <w:tab/>
        <w:t>Příslušný orgán doplní pro každý typ palubní čistírny odpadních vod, který schválí, veškeré příslušné části certifikátu schválení typu, jehož vzor je uveden v příloze 7 oddíle III, a sestaví nebo zkontroluje položky seznamu schvalovací dokumentace. Certifikáty schválení typu musí být očíslovány v souladu s metodou popsanou v příloze 7 oddíle IV. Vyplněný certifikát schválení typu a jeho přílohy se doručí žadateli.</w:t>
      </w:r>
    </w:p>
    <w:p w:rsidR="00AC39F0" w:rsidRPr="003B6E11" w:rsidRDefault="00AC39F0" w:rsidP="00AC39F0">
      <w:pPr>
        <w:pStyle w:val="ESch"/>
        <w:rPr>
          <w:noProof/>
          <w:szCs w:val="20"/>
          <w:lang w:val="cs-CZ"/>
        </w:rPr>
      </w:pPr>
    </w:p>
    <w:p w:rsidR="00B33A41" w:rsidRPr="003B6E11" w:rsidRDefault="00B33A41" w:rsidP="00AC39F0">
      <w:pPr>
        <w:pStyle w:val="ESch"/>
        <w:rPr>
          <w:noProof/>
          <w:szCs w:val="20"/>
          <w:lang w:val="cs-CZ"/>
        </w:rPr>
      </w:pPr>
      <w:r w:rsidRPr="003B6E11">
        <w:rPr>
          <w:lang w:val="cs-CZ"/>
        </w:rPr>
        <w:br w:type="page"/>
      </w:r>
    </w:p>
    <w:p w:rsidR="00AC39F0" w:rsidRPr="003B6E11" w:rsidRDefault="00AC39F0" w:rsidP="00AC39F0">
      <w:pPr>
        <w:pStyle w:val="ESch"/>
        <w:rPr>
          <w:rFonts w:cs="Arial"/>
          <w:szCs w:val="20"/>
          <w:lang w:val="cs-CZ"/>
        </w:rPr>
      </w:pPr>
      <w:r w:rsidRPr="003B6E11">
        <w:rPr>
          <w:lang w:val="cs-CZ"/>
        </w:rPr>
        <w:t>3.</w:t>
      </w:r>
      <w:r w:rsidRPr="003B6E11">
        <w:rPr>
          <w:lang w:val="cs-CZ"/>
        </w:rPr>
        <w:tab/>
        <w:t>V případě, že schvalovaná palubní čistírna odpadních vod může plnit svoji funkci nebo má určité vlastnosti pouze v kombinaci s jinými konstrukčními částmi plavidla, na němž má být nainstalována, a pokud je z tohoto důvodu kontrola splnění jednoho nebo více požadavků možná pouze tehdy, je-li schvalovaná palubní čistírna odpadních vod provozována společně s dalšími skutečnými nebo simulovanými konstrukčními částmi plavidla, musí být rozsah schválení typu této palubní čistírny odpadních vod odpovídajícím způsobem omezen. V takových případech musí být všechna omezení použití a všechny požadavky na instalaci podrobně uvedeny v certifikátu schválení typu pro daný typ čistírny.</w:t>
      </w:r>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p>
    <w:p w:rsidR="00AC39F0" w:rsidRPr="003B6E11" w:rsidRDefault="00AC39F0" w:rsidP="00AC39F0">
      <w:pPr>
        <w:pStyle w:val="ES-Titre3"/>
        <w:rPr>
          <w:rFonts w:cs="Arial"/>
          <w:i/>
          <w:lang w:val="cs-CZ"/>
        </w:rPr>
      </w:pPr>
      <w:bookmarkStart w:id="328" w:name="_Toc491854161"/>
      <w:bookmarkStart w:id="329" w:name="_Toc535417067"/>
      <w:r w:rsidRPr="003B6E11">
        <w:rPr>
          <w:lang w:val="cs-CZ"/>
        </w:rPr>
        <w:t>Článek 18.04</w:t>
      </w:r>
      <w:r w:rsidRPr="003B6E11">
        <w:rPr>
          <w:lang w:val="cs-CZ"/>
        </w:rPr>
        <w:br/>
      </w:r>
      <w:r w:rsidRPr="003B6E11">
        <w:rPr>
          <w:i/>
          <w:noProof/>
          <w:lang w:val="cs-CZ"/>
        </w:rPr>
        <w:t>Změna schválení typu</w:t>
      </w:r>
      <w:bookmarkEnd w:id="328"/>
      <w:bookmarkEnd w:id="329"/>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1.</w:t>
      </w:r>
      <w:r w:rsidRPr="003B6E11">
        <w:rPr>
          <w:lang w:val="cs-CZ"/>
        </w:rPr>
        <w:tab/>
        <w:t>Příslušný orgán, který vydal schválení typu, přijme nezbytná opatření, aby byl informován o každé změně údajů uvedených ve schvalovací dokumentaci.</w:t>
      </w:r>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2.</w:t>
      </w:r>
      <w:r w:rsidRPr="003B6E11">
        <w:rPr>
          <w:lang w:val="cs-CZ"/>
        </w:rPr>
        <w:tab/>
        <w:t>Žádost o změnu nebo rozšíření schválení typu musí být podána výlučně u příslušného orgánu, který vydal původní schválení typu.</w:t>
      </w:r>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3.</w:t>
      </w:r>
      <w:r w:rsidRPr="003B6E11">
        <w:rPr>
          <w:lang w:val="cs-CZ"/>
        </w:rPr>
        <w:tab/>
        <w:t>V případě změn parametrů palubní čistírny odpadních vod popsaných ve schvalovací dokumentaci příslušný orgán:</w:t>
      </w:r>
    </w:p>
    <w:p w:rsidR="00AC39F0" w:rsidRPr="003B6E11" w:rsidRDefault="005C7859" w:rsidP="00AC39F0">
      <w:pPr>
        <w:pStyle w:val="ESlet"/>
        <w:rPr>
          <w:rFonts w:cs="Arial"/>
          <w:lang w:val="cs-CZ"/>
        </w:rPr>
      </w:pPr>
      <w:r w:rsidRPr="003B6E11">
        <w:rPr>
          <w:lang w:val="cs-CZ"/>
        </w:rPr>
        <w:t>a)</w:t>
      </w:r>
      <w:r w:rsidRPr="003B6E11">
        <w:rPr>
          <w:lang w:val="cs-CZ"/>
        </w:rPr>
        <w:tab/>
        <w:t>vydá podle potřeby revidované stránky schvalovací dokumentace a na každé revidované stránce zřetelně vyznačí povahu změny a datum jejího nového vydání. Při každém vydání revidovaných stránek musí být odpovídajícím způsobem aktualizován i seznam schvalovací dokumentace, který se přikládá k certifikátu schválení typu;</w:t>
      </w:r>
    </w:p>
    <w:p w:rsidR="00AC39F0" w:rsidRPr="003B6E11" w:rsidRDefault="005C7859" w:rsidP="00AC39F0">
      <w:pPr>
        <w:pStyle w:val="ESlet"/>
        <w:rPr>
          <w:rFonts w:cs="Arial"/>
          <w:lang w:val="cs-CZ"/>
        </w:rPr>
      </w:pPr>
      <w:r w:rsidRPr="003B6E11">
        <w:rPr>
          <w:lang w:val="cs-CZ"/>
        </w:rPr>
        <w:t>b)</w:t>
      </w:r>
      <w:r w:rsidRPr="003B6E11">
        <w:rPr>
          <w:lang w:val="cs-CZ"/>
        </w:rPr>
        <w:tab/>
        <w:t>vydá revidovaný certifikát schválení typu (označený číslem rozšíření), pokud se změnila kterákoli informace v něm uvedená (s výjimkou příloh) nebo pokud se ode dne původního schválení změnily minimální požadavky uvedené v této kapitole. V revidovaném certifikátu schválení typu se zřetelně vyznačí důvod změny a datum jeho nového vydání.</w:t>
      </w:r>
    </w:p>
    <w:p w:rsidR="00AC39F0" w:rsidRPr="003B6E11" w:rsidRDefault="00AC39F0" w:rsidP="00AC39F0">
      <w:pPr>
        <w:pStyle w:val="ESletpar"/>
        <w:rPr>
          <w:rFonts w:cs="Arial"/>
          <w:lang w:val="cs-CZ"/>
        </w:rPr>
      </w:pPr>
      <w:r w:rsidRPr="003B6E11">
        <w:rPr>
          <w:lang w:val="cs-CZ"/>
        </w:rPr>
        <w:t>Pokud příslušný orgán, který vydal schválení typu, shledá, že z důvodu změny schvalovací dokumentace je namístě provést nové zkoušky nebo testy, uvědomí o této skutečnosti výrobce a výše uvedené dokumenty vydá teprve po úspěšném dokončení těchto zkoušek nebo testů.</w:t>
      </w:r>
    </w:p>
    <w:p w:rsidR="00AC39F0" w:rsidRPr="003B6E11" w:rsidRDefault="00AC39F0" w:rsidP="00AC39F0">
      <w:pPr>
        <w:pStyle w:val="ESch"/>
        <w:rPr>
          <w:rFonts w:cs="Arial"/>
          <w:szCs w:val="20"/>
          <w:lang w:val="cs-CZ"/>
        </w:rPr>
      </w:pPr>
    </w:p>
    <w:p w:rsidR="00AC39F0" w:rsidRPr="003B6E11" w:rsidRDefault="00AC39F0" w:rsidP="00AC39F0">
      <w:pPr>
        <w:pStyle w:val="ESch"/>
        <w:rPr>
          <w:rFonts w:cs="Arial"/>
          <w:szCs w:val="20"/>
          <w:lang w:val="cs-CZ"/>
        </w:rPr>
      </w:pPr>
    </w:p>
    <w:p w:rsidR="00B33A41" w:rsidRPr="003B6E11" w:rsidRDefault="00B33A41" w:rsidP="00AC39F0">
      <w:pPr>
        <w:pStyle w:val="ESch"/>
        <w:rPr>
          <w:rFonts w:cs="Arial"/>
          <w:szCs w:val="20"/>
          <w:lang w:val="cs-CZ"/>
        </w:rPr>
      </w:pPr>
      <w:r w:rsidRPr="003B6E11">
        <w:rPr>
          <w:lang w:val="cs-CZ"/>
        </w:rPr>
        <w:br w:type="page"/>
      </w:r>
    </w:p>
    <w:p w:rsidR="00AC39F0" w:rsidRPr="003B6E11" w:rsidRDefault="00AC39F0" w:rsidP="00AC39F0">
      <w:pPr>
        <w:pStyle w:val="ES-Titre3"/>
        <w:rPr>
          <w:rFonts w:cs="Arial"/>
          <w:lang w:val="cs-CZ"/>
        </w:rPr>
      </w:pPr>
      <w:bookmarkStart w:id="330" w:name="_Toc491854162"/>
      <w:bookmarkStart w:id="331" w:name="_Toc535417068"/>
      <w:r w:rsidRPr="003B6E11">
        <w:rPr>
          <w:lang w:val="cs-CZ"/>
        </w:rPr>
        <w:t>Článek 18.05</w:t>
      </w:r>
      <w:r w:rsidRPr="003B6E11">
        <w:rPr>
          <w:lang w:val="cs-CZ"/>
        </w:rPr>
        <w:br/>
      </w:r>
      <w:r w:rsidRPr="003B6E11">
        <w:rPr>
          <w:i/>
          <w:noProof/>
          <w:lang w:val="cs-CZ"/>
        </w:rPr>
        <w:t>Shoda se schválením typu</w:t>
      </w:r>
      <w:bookmarkEnd w:id="330"/>
      <w:bookmarkEnd w:id="331"/>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1.</w:t>
      </w:r>
      <w:r w:rsidRPr="003B6E11">
        <w:rPr>
          <w:lang w:val="cs-CZ"/>
        </w:rPr>
        <w:tab/>
        <w:t>Každou palubní čistírnu odpadních vod vyrobenou v souladu se schválením typu opatří výrobce označením podle přílohy 7 oddílu I, včetně čísla schválení typu.</w:t>
      </w:r>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2.</w:t>
      </w:r>
      <w:r w:rsidRPr="003B6E11">
        <w:rPr>
          <w:lang w:val="cs-CZ"/>
        </w:rPr>
        <w:tab/>
        <w:t>V případě, že schválení typu obsahuje omezení použití podle čl. 18.03 odst. 3, přiloží výrobce ke každé vyrobené jednotce podrobné informace o těchto omezeních a veškerých požadavcích na instalaci.</w:t>
      </w:r>
    </w:p>
    <w:p w:rsidR="00AC39F0" w:rsidRPr="003B6E11" w:rsidRDefault="00AC39F0" w:rsidP="00AC39F0">
      <w:pPr>
        <w:pStyle w:val="ESch"/>
        <w:rPr>
          <w:noProof/>
          <w:lang w:val="cs-CZ"/>
        </w:rPr>
      </w:pPr>
    </w:p>
    <w:p w:rsidR="00AC39F0" w:rsidRPr="003B6E11" w:rsidRDefault="00AC39F0" w:rsidP="00AC39F0">
      <w:pPr>
        <w:pStyle w:val="ESch"/>
        <w:rPr>
          <w:rFonts w:cs="Arial"/>
          <w:lang w:val="cs-CZ"/>
        </w:rPr>
      </w:pPr>
      <w:r w:rsidRPr="003B6E11">
        <w:rPr>
          <w:lang w:val="cs-CZ"/>
        </w:rPr>
        <w:t>3.</w:t>
      </w:r>
      <w:r w:rsidRPr="003B6E11">
        <w:rPr>
          <w:lang w:val="cs-CZ"/>
        </w:rPr>
        <w:tab/>
        <w:t>Pokud o to požádá příslušný orgán, který vydal schválení typu, poskytne výrobce seznam výrobních čísel palubních čistíren odpadních vod vyrobených v souladu s požadavky uvedenými v této kapitole od poslední zprávy nebo od chvíle, kdy tato ustanovení poprvé vstoupila v platnost, do 45 dnů od konce každého kalendářního roku a neprodleně po každém dalším datu určeném příslušným orgánem. Ze seznamu musí vyplývat vztahy mezi výrobními čísly, příslušnými typy palubních čistíren odpadních vod a čísly schválení typu. Seznam musí dále obsahovat zvláštní informace pro případy, kdy výrobce ukončí výrobu schváleného typu palubní čistírny odpadních vod. Pokud si příslušný orgán od výrobce nevyžádá pravidelné předkládání tohoto seznamu, musí výrobce zaznamenané údaje uchovávat po dobu alespoň 40 let.</w:t>
      </w:r>
    </w:p>
    <w:p w:rsidR="00AC39F0" w:rsidRPr="003B6E11" w:rsidRDefault="00AC39F0" w:rsidP="00AC39F0">
      <w:pPr>
        <w:pStyle w:val="ESch"/>
        <w:rPr>
          <w:lang w:val="cs-CZ"/>
        </w:rPr>
      </w:pPr>
    </w:p>
    <w:p w:rsidR="00AC39F0" w:rsidRPr="003B6E11" w:rsidRDefault="00AC39F0" w:rsidP="00AC39F0">
      <w:pPr>
        <w:pStyle w:val="ESch"/>
        <w:rPr>
          <w:lang w:val="cs-CZ"/>
        </w:rPr>
      </w:pPr>
    </w:p>
    <w:p w:rsidR="00AC39F0" w:rsidRPr="003B6E11" w:rsidRDefault="00AC39F0" w:rsidP="00AC39F0">
      <w:pPr>
        <w:pStyle w:val="ES-Titre3"/>
        <w:rPr>
          <w:rFonts w:cs="Arial"/>
          <w:i/>
          <w:lang w:val="cs-CZ"/>
        </w:rPr>
      </w:pPr>
      <w:bookmarkStart w:id="332" w:name="_Toc491854163"/>
      <w:bookmarkStart w:id="333" w:name="_Toc535417069"/>
      <w:r w:rsidRPr="003B6E11">
        <w:rPr>
          <w:lang w:val="cs-CZ"/>
        </w:rPr>
        <w:t>Článek 18.06</w:t>
      </w:r>
      <w:r w:rsidRPr="003B6E11">
        <w:rPr>
          <w:lang w:val="cs-CZ"/>
        </w:rPr>
        <w:br/>
      </w:r>
      <w:r w:rsidRPr="003B6E11">
        <w:rPr>
          <w:i/>
          <w:noProof/>
          <w:lang w:val="cs-CZ"/>
        </w:rPr>
        <w:t>Kontrola výrobních čísel</w:t>
      </w:r>
      <w:bookmarkEnd w:id="332"/>
      <w:bookmarkEnd w:id="333"/>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1.</w:t>
      </w:r>
      <w:r w:rsidRPr="003B6E11">
        <w:rPr>
          <w:lang w:val="cs-CZ"/>
        </w:rPr>
        <w:tab/>
        <w:t>Příslušný orgán vydávající schválení typu zajistí, aby byla výrobní čísla palubních čistíren odpadních vod vyrobených v souladu s požadavky této kapitoly registrována a kontrolována. Může tak učinit ve spolupráci s jinými orgány vymezenými v této kapitole a s příslušnými orgány členských států.</w:t>
      </w:r>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2.</w:t>
      </w:r>
      <w:r w:rsidRPr="003B6E11">
        <w:rPr>
          <w:lang w:val="cs-CZ"/>
        </w:rPr>
        <w:tab/>
        <w:t>Doplňková kontrola výrobních čísel může být prováděna společně s kontrolou shodnosti výroby s požadavky stanovenými v článku 18.07.</w:t>
      </w:r>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3.</w:t>
      </w:r>
      <w:r w:rsidRPr="003B6E11">
        <w:rPr>
          <w:lang w:val="cs-CZ"/>
        </w:rPr>
        <w:tab/>
        <w:t>V souvislosti s kontrolou výrobních čísel musí výrobce nebo jeho oprávnění zástupci v členských státech na vyžádání příslušnému orgánu neprodleně poskytnout všechny potřebné informace související s jejich přímými odběrateli a výrobní čísla palubních čistíren odpadních vod, které byly nahlášeny jako vyrobené v souladu s čl. 18.05 odst. 3.</w:t>
      </w:r>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4.</w:t>
      </w:r>
      <w:r w:rsidRPr="003B6E11">
        <w:rPr>
          <w:lang w:val="cs-CZ"/>
        </w:rPr>
        <w:tab/>
        <w:t>Pokud výrobce na požádání příslušného orgánu není schopen splnit požadavky uvedené v článku 18.05, může být schválení pro dotčenou palubní čistírnu odpadních vod odňato. V takovém případě se použije oznamovací postup stanovený v čl. 18.08 odst. 4.</w:t>
      </w:r>
    </w:p>
    <w:p w:rsidR="00AC39F0" w:rsidRPr="003B6E11" w:rsidRDefault="00AC39F0" w:rsidP="00AC39F0">
      <w:pPr>
        <w:pStyle w:val="ESch"/>
        <w:rPr>
          <w:rFonts w:cs="Arial"/>
          <w:szCs w:val="20"/>
          <w:lang w:val="cs-CZ"/>
        </w:rPr>
      </w:pPr>
    </w:p>
    <w:p w:rsidR="00CF5E0F" w:rsidRPr="003B6E11" w:rsidRDefault="00CF5E0F">
      <w:pPr>
        <w:rPr>
          <w:rFonts w:cs="Arial"/>
          <w:szCs w:val="20"/>
          <w:lang w:val="cs-CZ"/>
        </w:rPr>
      </w:pPr>
      <w:r w:rsidRPr="003B6E11">
        <w:rPr>
          <w:lang w:val="cs-CZ"/>
        </w:rPr>
        <w:br w:type="page"/>
      </w:r>
    </w:p>
    <w:p w:rsidR="003216FC" w:rsidRPr="003B6E11" w:rsidRDefault="003216FC" w:rsidP="00AC39F0">
      <w:pPr>
        <w:pStyle w:val="ESch"/>
        <w:rPr>
          <w:rFonts w:cs="Arial"/>
          <w:szCs w:val="20"/>
          <w:lang w:val="cs-CZ"/>
        </w:rPr>
      </w:pPr>
    </w:p>
    <w:p w:rsidR="00AC39F0" w:rsidRPr="003B6E11" w:rsidRDefault="00AC39F0" w:rsidP="00AC39F0">
      <w:pPr>
        <w:pStyle w:val="ES-Titre3"/>
        <w:rPr>
          <w:rFonts w:cs="Arial"/>
          <w:i/>
          <w:lang w:val="cs-CZ"/>
        </w:rPr>
      </w:pPr>
      <w:bookmarkStart w:id="334" w:name="_Toc491854164"/>
      <w:bookmarkStart w:id="335" w:name="_Toc535417070"/>
      <w:r w:rsidRPr="003B6E11">
        <w:rPr>
          <w:lang w:val="cs-CZ"/>
        </w:rPr>
        <w:t>Článek 18.07</w:t>
      </w:r>
      <w:r w:rsidRPr="003B6E11">
        <w:rPr>
          <w:lang w:val="cs-CZ"/>
        </w:rPr>
        <w:br/>
      </w:r>
      <w:r w:rsidRPr="003B6E11">
        <w:rPr>
          <w:i/>
          <w:noProof/>
          <w:lang w:val="cs-CZ"/>
        </w:rPr>
        <w:t>Shodnost výroby</w:t>
      </w:r>
      <w:bookmarkEnd w:id="334"/>
      <w:bookmarkEnd w:id="335"/>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1.</w:t>
      </w:r>
      <w:r w:rsidRPr="003B6E11">
        <w:rPr>
          <w:lang w:val="cs-CZ"/>
        </w:rPr>
        <w:tab/>
        <w:t>Příslušný orgán vydávající schválení typu se předem ujistí, že byla přijata vhodná opatření, aby byla zajištěna účinná kontrola shodnosti výroby s ohledem na požadavky přílohy 7 oddílu I. Může tak učinit ve spolupráci s jinými orgány vymezenými v této kapitole a s příslušnými orgány členských států.</w:t>
      </w:r>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2.</w:t>
      </w:r>
      <w:r w:rsidRPr="003B6E11">
        <w:rPr>
          <w:lang w:val="cs-CZ"/>
        </w:rPr>
        <w:tab/>
        <w:t>Příslušný orgán, jenž vydal schválení typu, se ujistí, že opatření uvedená v odstavci 1 s ohledem na ustanovení přílohy 7 oddílu I jsou nadále dostačující a že všechny palubní čistírny odpadních vod opatřené číslem schválení typu v souladu s požadavky této kapitoly nadále odpovídají popisu schváleného typu palubní čistírny odpadních vod uvedenému v certifikátu schválení typu a jeho přílohách. Může tak učinit ve spolupráci s jinými orgány vymezenými v této kapitole a s příslušnými orgány členských států.</w:t>
      </w:r>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3.</w:t>
      </w:r>
      <w:r w:rsidRPr="003B6E11">
        <w:rPr>
          <w:lang w:val="cs-CZ"/>
        </w:rPr>
        <w:tab/>
        <w:t>Příslušný orgán může uznat srovnatelné zkoušky provedené jinými příslušnými orgány jako rovnocenné ustanovením odstavců 1 a 2.</w:t>
      </w:r>
    </w:p>
    <w:p w:rsidR="00AC39F0" w:rsidRPr="003B6E11" w:rsidRDefault="00AC39F0" w:rsidP="00AC39F0">
      <w:pPr>
        <w:pStyle w:val="ESch"/>
        <w:rPr>
          <w:rFonts w:cs="Arial"/>
          <w:szCs w:val="20"/>
          <w:lang w:val="cs-CZ"/>
        </w:rPr>
      </w:pPr>
    </w:p>
    <w:p w:rsidR="00AC39F0" w:rsidRPr="003B6E11" w:rsidRDefault="00AC39F0" w:rsidP="00AC39F0">
      <w:pPr>
        <w:pStyle w:val="ESch"/>
        <w:rPr>
          <w:rFonts w:cs="Arial"/>
          <w:szCs w:val="20"/>
          <w:lang w:val="cs-CZ"/>
        </w:rPr>
      </w:pPr>
    </w:p>
    <w:p w:rsidR="00AC39F0" w:rsidRPr="003B6E11" w:rsidRDefault="00AC39F0" w:rsidP="00AC39F0">
      <w:pPr>
        <w:pStyle w:val="ES-Titre3"/>
        <w:rPr>
          <w:rFonts w:cs="Arial"/>
          <w:i/>
          <w:lang w:val="cs-CZ"/>
        </w:rPr>
      </w:pPr>
      <w:bookmarkStart w:id="336" w:name="_Toc491854165"/>
      <w:bookmarkStart w:id="337" w:name="_Toc535417071"/>
      <w:r w:rsidRPr="003B6E11">
        <w:rPr>
          <w:lang w:val="cs-CZ"/>
        </w:rPr>
        <w:t>Článek 18.08</w:t>
      </w:r>
      <w:r w:rsidRPr="003B6E11">
        <w:rPr>
          <w:lang w:val="cs-CZ"/>
        </w:rPr>
        <w:br/>
      </w:r>
      <w:r w:rsidRPr="003B6E11">
        <w:rPr>
          <w:i/>
          <w:noProof/>
          <w:lang w:val="cs-CZ"/>
        </w:rPr>
        <w:t>Neshoda se schváleným typem palubní čistírny odpadních vod</w:t>
      </w:r>
      <w:bookmarkEnd w:id="336"/>
      <w:bookmarkEnd w:id="337"/>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1.</w:t>
      </w:r>
      <w:r w:rsidRPr="003B6E11">
        <w:rPr>
          <w:lang w:val="cs-CZ"/>
        </w:rPr>
        <w:tab/>
        <w:t>O neshodu se schváleným typem palubní čistírny odpadních vod se jedná v případě, že existují odchylky od parametrů uvedených v certifikátu schválení typu nebo případně od schvalovací dokumentace, které nebyly schváleny příslušným orgánem v souladu s čl. 18.04 odst. 3, jenž vydal schválení typu.</w:t>
      </w:r>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2.</w:t>
      </w:r>
      <w:r w:rsidRPr="003B6E11">
        <w:rPr>
          <w:lang w:val="cs-CZ"/>
        </w:rPr>
        <w:tab/>
        <w:t>V případě, že příslušný orgán, který vydal schválení typu, shledá, že palubní čistírny odpadních vod neodpovídají typu palubní čistírny odpadních vod, pro který vydal schválení, přijme nezbytná opatření, aby zajistil, že palubní čistírny odpadních vod, které jsou ve výrobě, budou opět odpovídat schválenému typu palubní čistírny odpadních vod. Příslušný orgán, který neshodu zjistil, informuje ostatní příslušné orgány o přijatých opatřeních, mezi nimiž může jako krajní opatření být i odnětí schválení typu.</w:t>
      </w:r>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3.</w:t>
      </w:r>
      <w:r w:rsidRPr="003B6E11">
        <w:rPr>
          <w:lang w:val="cs-CZ"/>
        </w:rPr>
        <w:tab/>
        <w:t>Pokud je příslušný orgán schopen doložit, že palubní čistírny odpadních vod opatřené číslem schválení typu neodpovídají schválenému typu palubní čistírny odpadních vod, může požádat příslušný orgán, který vydal schválení typu, aby nechal provést kontrolu typu palubní čistírny odpadních vod, který je ve výrobě, aby ověřil, zda je ve shodě se schváleným typem palubní čistírny odpadních vod. Tato kontrola musí být provedena do šesti měsíců ode dne podání žádosti.</w:t>
      </w:r>
    </w:p>
    <w:p w:rsidR="00AC39F0" w:rsidRPr="003B6E11" w:rsidRDefault="00AC39F0" w:rsidP="00AC39F0">
      <w:pPr>
        <w:pStyle w:val="ESch"/>
        <w:rPr>
          <w:rFonts w:cs="Arial"/>
          <w:szCs w:val="20"/>
          <w:lang w:val="cs-CZ"/>
        </w:rPr>
      </w:pPr>
    </w:p>
    <w:p w:rsidR="00AC39F0" w:rsidRPr="003B6E11" w:rsidRDefault="00AC39F0" w:rsidP="00AC39F0">
      <w:pPr>
        <w:pStyle w:val="ESch"/>
        <w:rPr>
          <w:rFonts w:cs="Arial"/>
          <w:szCs w:val="20"/>
          <w:lang w:val="cs-CZ"/>
        </w:rPr>
      </w:pPr>
    </w:p>
    <w:p w:rsidR="003216FC" w:rsidRPr="003B6E11" w:rsidRDefault="003216FC" w:rsidP="00AC39F0">
      <w:pPr>
        <w:pStyle w:val="ESch"/>
        <w:rPr>
          <w:rFonts w:cs="Arial"/>
          <w:szCs w:val="20"/>
          <w:lang w:val="cs-CZ"/>
        </w:rPr>
      </w:pPr>
      <w:r w:rsidRPr="003B6E11">
        <w:rPr>
          <w:lang w:val="cs-CZ"/>
        </w:rPr>
        <w:br w:type="page"/>
      </w:r>
    </w:p>
    <w:p w:rsidR="00AC39F0" w:rsidRPr="003B6E11" w:rsidRDefault="00AC39F0" w:rsidP="00AC39F0">
      <w:pPr>
        <w:pStyle w:val="ES-Titre3"/>
        <w:rPr>
          <w:rFonts w:cs="Arial"/>
          <w:i/>
          <w:lang w:val="cs-CZ"/>
        </w:rPr>
      </w:pPr>
      <w:bookmarkStart w:id="338" w:name="_Toc491854166"/>
      <w:bookmarkStart w:id="339" w:name="_Toc535417072"/>
      <w:r w:rsidRPr="003B6E11">
        <w:rPr>
          <w:lang w:val="cs-CZ"/>
        </w:rPr>
        <w:t>Článek 18.09</w:t>
      </w:r>
      <w:r w:rsidRPr="003B6E11">
        <w:rPr>
          <w:lang w:val="cs-CZ"/>
        </w:rPr>
        <w:br/>
      </w:r>
      <w:r w:rsidRPr="003B6E11">
        <w:rPr>
          <w:i/>
          <w:noProof/>
          <w:lang w:val="cs-CZ"/>
        </w:rPr>
        <w:t>Měření na základě náhodného vzorku / zvláštní zkouška</w:t>
      </w:r>
      <w:bookmarkEnd w:id="338"/>
      <w:bookmarkEnd w:id="339"/>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1.</w:t>
      </w:r>
      <w:r w:rsidRPr="003B6E11">
        <w:rPr>
          <w:lang w:val="cs-CZ"/>
        </w:rPr>
        <w:tab/>
        <w:t>Nejpozději tři měsíce po uvedení plavidla do provozu nebo poté, co byla provedena instalace a příslušná zkouška funkčnosti palubní čistírny odpadních vod (pokud jí bylo plavidlo dodatečně vybaveno), odebere příslušný orgán náhodný vzorek za provozu plavidla, aby zkontroloval hodnoty uvedené v tabulce 2 v čl. 18.01 odst. 2.</w:t>
      </w:r>
    </w:p>
    <w:p w:rsidR="00AC39F0" w:rsidRPr="003B6E11" w:rsidRDefault="00AC39F0" w:rsidP="00AC39F0">
      <w:pPr>
        <w:pStyle w:val="ESchpar"/>
        <w:rPr>
          <w:noProof/>
          <w:lang w:val="cs-CZ"/>
        </w:rPr>
      </w:pPr>
    </w:p>
    <w:p w:rsidR="00AC39F0" w:rsidRPr="003B6E11" w:rsidRDefault="00AC39F0" w:rsidP="00AC39F0">
      <w:pPr>
        <w:pStyle w:val="ESchpar"/>
        <w:rPr>
          <w:rFonts w:cs="Arial"/>
          <w:lang w:val="cs-CZ"/>
        </w:rPr>
      </w:pPr>
      <w:r w:rsidRPr="003B6E11">
        <w:rPr>
          <w:lang w:val="cs-CZ"/>
        </w:rPr>
        <w:t>V nepravidelných intervalech provede příslušný orgán kontroly funkčnosti palubní čistírny odpadních vod prostřednictvím měření na základě náhodného vzorku, aby zkontroloval hodnoty uvedené v tabulce 2 v čl. 18.01 odst. 2.</w:t>
      </w:r>
    </w:p>
    <w:p w:rsidR="00AC39F0" w:rsidRPr="003B6E11" w:rsidRDefault="00AC39F0" w:rsidP="00AC39F0">
      <w:pPr>
        <w:pStyle w:val="ESchpar"/>
        <w:rPr>
          <w:noProof/>
          <w:lang w:val="cs-CZ"/>
        </w:rPr>
      </w:pPr>
    </w:p>
    <w:p w:rsidR="00AC39F0" w:rsidRPr="003B6E11" w:rsidRDefault="00AC39F0" w:rsidP="00AC39F0">
      <w:pPr>
        <w:pStyle w:val="ESchpar"/>
        <w:rPr>
          <w:rFonts w:cs="Arial"/>
          <w:lang w:val="cs-CZ"/>
        </w:rPr>
      </w:pPr>
      <w:r w:rsidRPr="003B6E11">
        <w:rPr>
          <w:lang w:val="cs-CZ"/>
        </w:rPr>
        <w:t>Pokud příslušný orgán shledá, že hodnoty v náhodném vzorku neodpovídají hodnotám uvedeným v tabulce 2 v čl. 18.01 odst. 1, může vyžadovat:</w:t>
      </w:r>
    </w:p>
    <w:p w:rsidR="00AC39F0" w:rsidRPr="003B6E11" w:rsidRDefault="005C7859" w:rsidP="00AC39F0">
      <w:pPr>
        <w:pStyle w:val="ESlet"/>
        <w:rPr>
          <w:rFonts w:cs="Arial"/>
          <w:lang w:val="cs-CZ"/>
        </w:rPr>
      </w:pPr>
      <w:r w:rsidRPr="003B6E11">
        <w:rPr>
          <w:lang w:val="cs-CZ"/>
        </w:rPr>
        <w:t xml:space="preserve">a) </w:t>
      </w:r>
      <w:r w:rsidRPr="003B6E11">
        <w:rPr>
          <w:lang w:val="cs-CZ"/>
        </w:rPr>
        <w:tab/>
        <w:t>aby byly závady na palubní čistírně odpadních vod odstraněny tak, aby byl zajištěn její řádný provoz;</w:t>
      </w:r>
    </w:p>
    <w:p w:rsidR="00AC39F0" w:rsidRPr="003B6E11" w:rsidRDefault="005C7859" w:rsidP="00AC39F0">
      <w:pPr>
        <w:pStyle w:val="ESlet"/>
        <w:rPr>
          <w:rFonts w:cs="Arial"/>
          <w:lang w:val="cs-CZ"/>
        </w:rPr>
      </w:pPr>
      <w:r w:rsidRPr="003B6E11">
        <w:rPr>
          <w:lang w:val="cs-CZ"/>
        </w:rPr>
        <w:t xml:space="preserve">b) </w:t>
      </w:r>
      <w:r w:rsidRPr="003B6E11">
        <w:rPr>
          <w:lang w:val="cs-CZ"/>
        </w:rPr>
        <w:tab/>
        <w:t>aby bylo zajištěno, že palubní čistírna odpadních vod bude opět odpovídat schválení typu, nebo</w:t>
      </w:r>
    </w:p>
    <w:p w:rsidR="00AC39F0" w:rsidRPr="003B6E11" w:rsidRDefault="005C7859" w:rsidP="00AC39F0">
      <w:pPr>
        <w:pStyle w:val="ESlet"/>
        <w:rPr>
          <w:noProof/>
          <w:lang w:val="cs-CZ"/>
        </w:rPr>
      </w:pPr>
      <w:r w:rsidRPr="003B6E11">
        <w:rPr>
          <w:lang w:val="cs-CZ"/>
        </w:rPr>
        <w:t xml:space="preserve">c) </w:t>
      </w:r>
      <w:r w:rsidRPr="003B6E11">
        <w:rPr>
          <w:lang w:val="cs-CZ"/>
        </w:rPr>
        <w:tab/>
        <w:t>aby byla provedena zvláštní zkouška podle odstavce 3.</w:t>
      </w:r>
    </w:p>
    <w:p w:rsidR="005714D9" w:rsidRPr="003B6E11" w:rsidRDefault="005714D9" w:rsidP="00AC39F0">
      <w:pPr>
        <w:pStyle w:val="ESlet"/>
        <w:rPr>
          <w:rFonts w:cs="Arial"/>
          <w:lang w:val="cs-CZ"/>
        </w:rPr>
      </w:pPr>
    </w:p>
    <w:p w:rsidR="00AC39F0" w:rsidRPr="003B6E11" w:rsidRDefault="00AC39F0" w:rsidP="005714D9">
      <w:pPr>
        <w:pStyle w:val="ESchpar"/>
        <w:rPr>
          <w:noProof/>
          <w:lang w:val="cs-CZ"/>
        </w:rPr>
      </w:pPr>
      <w:r w:rsidRPr="003B6E11">
        <w:rPr>
          <w:lang w:val="cs-CZ"/>
        </w:rPr>
        <w:t>Poté, co byla neshodnost napravena, a poté, co bylo zajištěno, aby palubní čistírna odpadních vod opět odpovídala schválení typu, může příslušný orgán provést nové měření na základě náhodného vzorku.</w:t>
      </w:r>
    </w:p>
    <w:p w:rsidR="00AC39F0" w:rsidRPr="003B6E11" w:rsidRDefault="00AC39F0" w:rsidP="005714D9">
      <w:pPr>
        <w:pStyle w:val="ESchpar"/>
        <w:rPr>
          <w:noProof/>
          <w:lang w:val="cs-CZ"/>
        </w:rPr>
      </w:pPr>
      <w:r w:rsidRPr="003B6E11">
        <w:rPr>
          <w:lang w:val="cs-CZ"/>
        </w:rPr>
        <w:t>Pokud nedošlo k odstranění závad nebo nebyla opětovně zajištěna shoda palubní čistírny odpadních vod se specifikacemi schválení typu, příslušný orgán palubní čistírnu odpadních vod zapečetí a informuje subjekt pověřený prohlídkami, aby tuto skutečnost odpovídajícím způsobem zaznamenal v bodě 52 osvědčení plavidla vnitrozemské plavby.</w:t>
      </w:r>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2.</w:t>
      </w:r>
      <w:r w:rsidRPr="003B6E11">
        <w:rPr>
          <w:lang w:val="cs-CZ"/>
        </w:rPr>
        <w:tab/>
        <w:t>Náhodné vzorky se měří podle specifikací uvedených v tabulce 2 v čl. 18.01 odst. 2.</w:t>
      </w:r>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3.</w:t>
      </w:r>
      <w:r w:rsidRPr="003B6E11">
        <w:rPr>
          <w:lang w:val="cs-CZ"/>
        </w:rPr>
        <w:tab/>
        <w:t>Pokud příslušný orgán zjistí u palubní čistírny odpadních vod nějaké nesrovnalosti, které by ukazovaly na odchylku od schválení typu, provede zvláštní zkoušku, pomocí které určí aktuální stav palubní čistírny odpadních vod ve vztahu ke konstrukčním částem uvedeným v záznamu o parametrech palubní čistírny odpadních vod, kalibraci a nastavení těchto parametrů.</w:t>
      </w:r>
    </w:p>
    <w:p w:rsidR="00AC39F0" w:rsidRPr="003B6E11" w:rsidRDefault="00AC39F0" w:rsidP="00AC39F0">
      <w:pPr>
        <w:pStyle w:val="ESch"/>
        <w:rPr>
          <w:noProof/>
          <w:szCs w:val="20"/>
          <w:lang w:val="cs-CZ"/>
        </w:rPr>
      </w:pPr>
    </w:p>
    <w:p w:rsidR="00AC39F0" w:rsidRPr="003B6E11" w:rsidRDefault="00AC39F0" w:rsidP="00AC39F0">
      <w:pPr>
        <w:pStyle w:val="ESchpar"/>
        <w:rPr>
          <w:rFonts w:cs="Arial"/>
          <w:lang w:val="cs-CZ"/>
        </w:rPr>
      </w:pPr>
      <w:r w:rsidRPr="003B6E11">
        <w:rPr>
          <w:lang w:val="cs-CZ"/>
        </w:rPr>
        <w:t>Pokud příslušný orgán dospěje k závěru, že palubní čistírna odpadních vod neodpovídá schválenému typu palubní čistírny odpadních vod, může přijmout tato opatření:</w:t>
      </w:r>
    </w:p>
    <w:p w:rsidR="00AC39F0" w:rsidRPr="003B6E11" w:rsidRDefault="005C7859" w:rsidP="00AC39F0">
      <w:pPr>
        <w:pStyle w:val="ESlet"/>
        <w:rPr>
          <w:rFonts w:cs="Arial"/>
          <w:lang w:val="cs-CZ"/>
        </w:rPr>
      </w:pPr>
      <w:r w:rsidRPr="003B6E11">
        <w:rPr>
          <w:lang w:val="cs-CZ"/>
        </w:rPr>
        <w:t>a)</w:t>
      </w:r>
      <w:r w:rsidRPr="003B6E11">
        <w:rPr>
          <w:lang w:val="cs-CZ"/>
        </w:rPr>
        <w:tab/>
        <w:t>vyžadovat, aby:</w:t>
      </w:r>
    </w:p>
    <w:p w:rsidR="00AC39F0" w:rsidRPr="003B6E11" w:rsidRDefault="0029453D" w:rsidP="00AC39F0">
      <w:pPr>
        <w:pStyle w:val="EStiret"/>
        <w:rPr>
          <w:rFonts w:cs="Arial"/>
          <w:lang w:val="cs-CZ"/>
        </w:rPr>
      </w:pPr>
      <w:r w:rsidRPr="003B6E11">
        <w:rPr>
          <w:lang w:val="cs-CZ"/>
        </w:rPr>
        <w:t>aa)</w:t>
      </w:r>
      <w:r w:rsidRPr="003B6E11">
        <w:rPr>
          <w:lang w:val="cs-CZ"/>
        </w:rPr>
        <w:tab/>
        <w:t>byla opětovně zajištěna shodnost palubní čistírny odpadních vod nebo</w:t>
      </w:r>
    </w:p>
    <w:p w:rsidR="00AC39F0" w:rsidRPr="003B6E11" w:rsidRDefault="0029453D" w:rsidP="00AC39F0">
      <w:pPr>
        <w:pStyle w:val="EStiret"/>
        <w:rPr>
          <w:rFonts w:cs="Arial"/>
          <w:lang w:val="cs-CZ"/>
        </w:rPr>
      </w:pPr>
      <w:r w:rsidRPr="003B6E11">
        <w:rPr>
          <w:lang w:val="cs-CZ"/>
        </w:rPr>
        <w:t>bb)</w:t>
      </w:r>
      <w:r w:rsidRPr="003B6E11">
        <w:rPr>
          <w:lang w:val="cs-CZ"/>
        </w:rPr>
        <w:tab/>
        <w:t>bylo odpovídajícím způsobem změněno schválení typu podle článku 18.04 nebo</w:t>
      </w:r>
    </w:p>
    <w:p w:rsidR="00AC39F0" w:rsidRPr="003B6E11" w:rsidRDefault="005C7859" w:rsidP="00AC39F0">
      <w:pPr>
        <w:pStyle w:val="ESlet"/>
        <w:rPr>
          <w:noProof/>
          <w:lang w:val="cs-CZ"/>
        </w:rPr>
      </w:pPr>
      <w:r w:rsidRPr="003B6E11">
        <w:rPr>
          <w:lang w:val="cs-CZ"/>
        </w:rPr>
        <w:t>b)</w:t>
      </w:r>
      <w:r w:rsidRPr="003B6E11">
        <w:rPr>
          <w:lang w:val="cs-CZ"/>
        </w:rPr>
        <w:tab/>
        <w:t>nařídit provedení měření podle zkušebního postupu stanoveného v příloze 7 oddíle IX.</w:t>
      </w:r>
    </w:p>
    <w:p w:rsidR="005714D9" w:rsidRPr="003B6E11" w:rsidRDefault="005714D9" w:rsidP="00AC39F0">
      <w:pPr>
        <w:pStyle w:val="ESlet"/>
        <w:rPr>
          <w:rFonts w:cs="Arial"/>
          <w:lang w:val="cs-CZ"/>
        </w:rPr>
      </w:pPr>
    </w:p>
    <w:p w:rsidR="00AC39F0" w:rsidRPr="003B6E11" w:rsidRDefault="00AC39F0" w:rsidP="005A6C74">
      <w:pPr>
        <w:pStyle w:val="ESletpar"/>
        <w:ind w:left="567"/>
        <w:rPr>
          <w:rFonts w:cs="Arial"/>
          <w:lang w:val="cs-CZ"/>
        </w:rPr>
      </w:pPr>
      <w:r w:rsidRPr="003B6E11">
        <w:rPr>
          <w:lang w:val="cs-CZ"/>
        </w:rPr>
        <w:t>Pokud není opětovně zajištěna shoda nebo není schválení typu odpovídajícím způsobem změněno nebo v případě, že z měření provedených podle písmene b) vyjde najevo, že hodnoty stanovené v tabulce 1 v čl. 18.01 odst. 2 písm. a) nebyly dodrženy, příslušný orgán palubní čistírnu odpadních vod zapečetí a informuje kontrolní orgán, aby tuto skutečnost odpovídajícím způsobem zaznamenal v bodě 52 osvědčení plavidla vnitrozemské plavby.</w:t>
      </w:r>
    </w:p>
    <w:p w:rsidR="00AC39F0" w:rsidRPr="003B6E11" w:rsidRDefault="00AC39F0" w:rsidP="00AC39F0">
      <w:pPr>
        <w:pStyle w:val="ESch"/>
        <w:rPr>
          <w:noProof/>
          <w:szCs w:val="20"/>
          <w:lang w:val="cs-CZ"/>
        </w:rPr>
      </w:pPr>
    </w:p>
    <w:p w:rsidR="003216FC" w:rsidRPr="003B6E11" w:rsidRDefault="003216FC" w:rsidP="00AC39F0">
      <w:pPr>
        <w:pStyle w:val="ESch"/>
        <w:rPr>
          <w:noProof/>
          <w:szCs w:val="20"/>
          <w:lang w:val="cs-CZ"/>
        </w:rPr>
      </w:pPr>
      <w:r w:rsidRPr="003B6E11">
        <w:rPr>
          <w:lang w:val="cs-CZ"/>
        </w:rPr>
        <w:br w:type="page"/>
      </w:r>
    </w:p>
    <w:p w:rsidR="00AC39F0" w:rsidRPr="003B6E11" w:rsidRDefault="00AC39F0" w:rsidP="00AC39F0">
      <w:pPr>
        <w:pStyle w:val="ESch"/>
        <w:rPr>
          <w:rFonts w:cs="Arial"/>
          <w:szCs w:val="20"/>
          <w:lang w:val="cs-CZ"/>
        </w:rPr>
      </w:pPr>
      <w:r w:rsidRPr="003B6E11">
        <w:rPr>
          <w:lang w:val="cs-CZ"/>
        </w:rPr>
        <w:t xml:space="preserve">4. </w:t>
      </w:r>
      <w:r w:rsidRPr="003B6E11">
        <w:rPr>
          <w:lang w:val="cs-CZ"/>
        </w:rPr>
        <w:tab/>
        <w:t>Zkoušky prováděné podle odstavce 3 musí být provedeny na základě příručky výrobce pro kontrolu konstrukčních částí a parametrů palubní čistírny odpadních vod souvisejících s čištěním odpadních vod. V této příručce, kterou připraví výrobce a schválí příslušný orgán, musí být uvedeny konstrukční části související s čištěním a rovněž nastavení, kritéria dimenzování a parametry, jež je třeba použít, aby se zajistilo, že budou stále dodržovány hodnoty stanovené v tabulkách 1 a 2 v čl. 18.01 odst. 2. Příručka musí obsahovat alespoň tyto informace:</w:t>
      </w:r>
    </w:p>
    <w:p w:rsidR="00AC39F0" w:rsidRPr="003B6E11" w:rsidRDefault="005C7859" w:rsidP="00AC39F0">
      <w:pPr>
        <w:pStyle w:val="ESlet"/>
        <w:rPr>
          <w:rFonts w:cs="Arial"/>
          <w:lang w:val="cs-CZ"/>
        </w:rPr>
      </w:pPr>
      <w:r w:rsidRPr="003B6E11">
        <w:rPr>
          <w:lang w:val="cs-CZ"/>
        </w:rPr>
        <w:t>a)</w:t>
      </w:r>
      <w:r w:rsidRPr="003B6E11">
        <w:rPr>
          <w:lang w:val="cs-CZ"/>
        </w:rPr>
        <w:tab/>
        <w:t>specifikaci typu palubní čistírny odpadních vod obsahující popis fungování a informaci o tom, zda se před palubní čistírnu odpadních vod mají instalovat sedimentační nádrže;</w:t>
      </w:r>
    </w:p>
    <w:p w:rsidR="00AC39F0" w:rsidRPr="003B6E11" w:rsidRDefault="005C7859" w:rsidP="00AC39F0">
      <w:pPr>
        <w:pStyle w:val="ESlet"/>
        <w:rPr>
          <w:rFonts w:cs="Arial"/>
          <w:lang w:val="cs-CZ"/>
        </w:rPr>
      </w:pPr>
      <w:r w:rsidRPr="003B6E11">
        <w:rPr>
          <w:lang w:val="cs-CZ"/>
        </w:rPr>
        <w:t>b)</w:t>
      </w:r>
      <w:r w:rsidRPr="003B6E11">
        <w:rPr>
          <w:lang w:val="cs-CZ"/>
        </w:rPr>
        <w:tab/>
        <w:t>seznam konstrukčních částí určených k čištění odpadních vod;</w:t>
      </w:r>
    </w:p>
    <w:p w:rsidR="00AC39F0" w:rsidRPr="003B6E11" w:rsidRDefault="005C7859" w:rsidP="00AC39F0">
      <w:pPr>
        <w:pStyle w:val="ESlet"/>
        <w:rPr>
          <w:rFonts w:cs="Arial"/>
          <w:lang w:val="cs-CZ"/>
        </w:rPr>
      </w:pPr>
      <w:r w:rsidRPr="003B6E11">
        <w:rPr>
          <w:lang w:val="cs-CZ"/>
        </w:rPr>
        <w:t>c)</w:t>
      </w:r>
      <w:r w:rsidRPr="003B6E11">
        <w:rPr>
          <w:lang w:val="cs-CZ"/>
        </w:rPr>
        <w:tab/>
        <w:t>konstrukční kritéria a kritéria dimenzování, specifikace dimenzování a předpisy, které byly dodrženy;</w:t>
      </w:r>
    </w:p>
    <w:p w:rsidR="00AC39F0" w:rsidRPr="003B6E11" w:rsidRDefault="005C7859" w:rsidP="00AC39F0">
      <w:pPr>
        <w:pStyle w:val="ESlet"/>
        <w:rPr>
          <w:rFonts w:cs="Arial"/>
          <w:lang w:val="cs-CZ"/>
        </w:rPr>
      </w:pPr>
      <w:r w:rsidRPr="003B6E11">
        <w:rPr>
          <w:lang w:val="cs-CZ"/>
        </w:rPr>
        <w:t>d)</w:t>
      </w:r>
      <w:r w:rsidRPr="003B6E11">
        <w:rPr>
          <w:lang w:val="cs-CZ"/>
        </w:rPr>
        <w:tab/>
        <w:t>schématické znázornění palubní čistírny odpadních vod s upřesněním prvků schválených konstrukčních částí souvisejících s čištěním (např. čísla dílů uvedená na konstrukčních částech).</w:t>
      </w:r>
    </w:p>
    <w:p w:rsidR="00AC39F0" w:rsidRPr="003B6E11" w:rsidRDefault="00AC39F0" w:rsidP="00AC39F0">
      <w:pPr>
        <w:pStyle w:val="ESch"/>
        <w:rPr>
          <w:noProof/>
          <w:szCs w:val="20"/>
          <w:lang w:val="cs-CZ"/>
        </w:rPr>
      </w:pPr>
    </w:p>
    <w:p w:rsidR="00AC39F0" w:rsidRPr="003B6E11" w:rsidRDefault="00AC39F0" w:rsidP="00AC39F0">
      <w:pPr>
        <w:pStyle w:val="ESch"/>
        <w:rPr>
          <w:rFonts w:cs="Arial"/>
          <w:szCs w:val="20"/>
          <w:lang w:val="cs-CZ"/>
        </w:rPr>
      </w:pPr>
      <w:r w:rsidRPr="003B6E11">
        <w:rPr>
          <w:lang w:val="cs-CZ"/>
        </w:rPr>
        <w:t>5.</w:t>
      </w:r>
      <w:r w:rsidRPr="003B6E11">
        <w:rPr>
          <w:lang w:val="cs-CZ"/>
        </w:rPr>
        <w:tab/>
        <w:t>Palubní čistírna odpadních vod, která byla zapečetěna v souladu s odst. 3 třetí větou, může být opět zprovozněna pouze po provedení zvláštní zkoušky podle odst. 3 prvního pododstavce.</w:t>
      </w:r>
    </w:p>
    <w:p w:rsidR="00AC39F0" w:rsidRPr="003B6E11" w:rsidRDefault="00AC39F0" w:rsidP="00AC39F0">
      <w:pPr>
        <w:pStyle w:val="ESch"/>
        <w:rPr>
          <w:rFonts w:cs="Arial"/>
          <w:szCs w:val="20"/>
          <w:lang w:val="cs-CZ"/>
        </w:rPr>
      </w:pPr>
    </w:p>
    <w:p w:rsidR="00AC39F0" w:rsidRPr="003B6E11" w:rsidRDefault="00AC39F0" w:rsidP="00AC39F0">
      <w:pPr>
        <w:pStyle w:val="ESch"/>
        <w:rPr>
          <w:rFonts w:cs="Arial"/>
          <w:szCs w:val="20"/>
          <w:lang w:val="cs-CZ"/>
        </w:rPr>
      </w:pPr>
    </w:p>
    <w:p w:rsidR="00AC39F0" w:rsidRPr="003B6E11" w:rsidRDefault="00AC39F0" w:rsidP="00AC39F0">
      <w:pPr>
        <w:pStyle w:val="ES-Titre3"/>
        <w:rPr>
          <w:rFonts w:cs="Arial"/>
          <w:i/>
          <w:lang w:val="cs-CZ"/>
        </w:rPr>
      </w:pPr>
      <w:bookmarkStart w:id="340" w:name="_Toc491854167"/>
      <w:bookmarkStart w:id="341" w:name="_Toc535417073"/>
      <w:r w:rsidRPr="003B6E11">
        <w:rPr>
          <w:lang w:val="cs-CZ"/>
        </w:rPr>
        <w:t>Článek 18.10</w:t>
      </w:r>
      <w:r w:rsidRPr="003B6E11">
        <w:rPr>
          <w:lang w:val="cs-CZ"/>
        </w:rPr>
        <w:br/>
      </w:r>
      <w:r w:rsidRPr="003B6E11">
        <w:rPr>
          <w:i/>
          <w:noProof/>
          <w:lang w:val="cs-CZ"/>
        </w:rPr>
        <w:t>Příslušné orgány a technické zkušebny</w:t>
      </w:r>
      <w:bookmarkEnd w:id="340"/>
      <w:bookmarkEnd w:id="341"/>
    </w:p>
    <w:p w:rsidR="00AC39F0" w:rsidRPr="003B6E11" w:rsidRDefault="00AC39F0" w:rsidP="00AC39F0">
      <w:pPr>
        <w:pStyle w:val="ESgauche"/>
        <w:rPr>
          <w:lang w:val="cs-CZ"/>
        </w:rPr>
      </w:pPr>
    </w:p>
    <w:p w:rsidR="00AC39F0" w:rsidRPr="003B6E11" w:rsidRDefault="00072882" w:rsidP="00AC39F0">
      <w:pPr>
        <w:pStyle w:val="ESgauche"/>
        <w:rPr>
          <w:rFonts w:cs="Arial"/>
          <w:lang w:val="cs-CZ"/>
        </w:rPr>
      </w:pPr>
      <w:r w:rsidRPr="003B6E11">
        <w:rPr>
          <w:rFonts w:ascii="ArialMT" w:hAnsi="ArialMT"/>
          <w:lang w:val="cs-CZ"/>
        </w:rPr>
        <w:t>Příslušné technické zkušebny musí splňovat evropskou normu EN ISO/IEC 17025:2005, s přihlédnutím k následujícím ustanovením</w:t>
      </w:r>
      <w:r w:rsidRPr="003B6E11">
        <w:rPr>
          <w:lang w:val="cs-CZ"/>
        </w:rPr>
        <w:t>:</w:t>
      </w:r>
    </w:p>
    <w:p w:rsidR="00AC39F0" w:rsidRPr="003B6E11" w:rsidRDefault="005C7859" w:rsidP="00AC39F0">
      <w:pPr>
        <w:pStyle w:val="ESletgauche"/>
        <w:rPr>
          <w:rFonts w:cs="Arial"/>
          <w:lang w:val="cs-CZ"/>
        </w:rPr>
      </w:pPr>
      <w:r w:rsidRPr="003B6E11">
        <w:rPr>
          <w:lang w:val="cs-CZ"/>
        </w:rPr>
        <w:t>a)</w:t>
      </w:r>
      <w:r w:rsidRPr="003B6E11">
        <w:rPr>
          <w:lang w:val="cs-CZ"/>
        </w:rPr>
        <w:tab/>
        <w:t>výrobci palubních čistíren odpadních vod nemohou být uznáni jako technické zkušebny;</w:t>
      </w:r>
    </w:p>
    <w:p w:rsidR="00AC39F0" w:rsidRPr="003B6E11" w:rsidRDefault="005C7859" w:rsidP="00AC39F0">
      <w:pPr>
        <w:pStyle w:val="ESletgauche"/>
        <w:rPr>
          <w:rFonts w:cs="Arial"/>
          <w:lang w:val="cs-CZ"/>
        </w:rPr>
      </w:pPr>
      <w:r w:rsidRPr="003B6E11">
        <w:rPr>
          <w:lang w:val="cs-CZ"/>
        </w:rPr>
        <w:t>b)</w:t>
      </w:r>
      <w:r w:rsidRPr="003B6E11">
        <w:rPr>
          <w:lang w:val="cs-CZ"/>
        </w:rPr>
        <w:tab/>
        <w:t>pro účely této kapitoly může technická zkušebna se souhlasem příslušného orgánu používat zařízení mimo svou vlastní zkušební laboratoř.</w:t>
      </w:r>
    </w:p>
    <w:p w:rsidR="00AC39F0" w:rsidRPr="003B6E11" w:rsidRDefault="00AC39F0" w:rsidP="00AC39F0">
      <w:pPr>
        <w:pStyle w:val="ESch"/>
        <w:rPr>
          <w:rFonts w:cs="Arial"/>
          <w:szCs w:val="20"/>
          <w:lang w:val="cs-CZ"/>
        </w:rPr>
      </w:pPr>
    </w:p>
    <w:p w:rsidR="00AC39F0" w:rsidRPr="003B6E11" w:rsidRDefault="00AC39F0" w:rsidP="00AC39F0">
      <w:pPr>
        <w:pStyle w:val="ESch"/>
        <w:rPr>
          <w:rFonts w:cs="Arial"/>
          <w:szCs w:val="20"/>
          <w:lang w:val="cs-CZ"/>
        </w:rPr>
      </w:pPr>
    </w:p>
    <w:p w:rsidR="00973DAA" w:rsidRPr="003B6E11" w:rsidRDefault="00973DAA" w:rsidP="005662C0">
      <w:pPr>
        <w:pStyle w:val="ESch"/>
        <w:rPr>
          <w:lang w:val="cs-CZ"/>
        </w:rPr>
      </w:pPr>
    </w:p>
    <w:p w:rsidR="00A2046F" w:rsidRPr="003B6E11" w:rsidRDefault="00A2046F" w:rsidP="005662C0">
      <w:pPr>
        <w:pStyle w:val="ESch"/>
        <w:rPr>
          <w:lang w:val="cs-CZ"/>
        </w:rPr>
      </w:pPr>
    </w:p>
    <w:p w:rsidR="00A2046F" w:rsidRPr="003B6E11" w:rsidRDefault="00A2046F" w:rsidP="005662C0">
      <w:pPr>
        <w:pStyle w:val="ESch"/>
        <w:rPr>
          <w:lang w:val="cs-CZ"/>
        </w:rPr>
      </w:pPr>
      <w:r w:rsidRPr="003B6E11">
        <w:rPr>
          <w:lang w:val="cs-CZ"/>
        </w:rPr>
        <w:br w:type="page"/>
      </w:r>
    </w:p>
    <w:p w:rsidR="00FD5887" w:rsidRPr="003B6E11" w:rsidRDefault="00FD5887" w:rsidP="005662C0">
      <w:pPr>
        <w:pStyle w:val="ESch"/>
        <w:rPr>
          <w:lang w:val="cs-CZ"/>
        </w:rPr>
      </w:pPr>
    </w:p>
    <w:p w:rsidR="00FD5887" w:rsidRPr="003B6E11" w:rsidRDefault="00FD5887" w:rsidP="005662C0">
      <w:pPr>
        <w:pStyle w:val="ESch"/>
        <w:rPr>
          <w:lang w:val="cs-CZ"/>
        </w:rPr>
      </w:pPr>
    </w:p>
    <w:p w:rsidR="00FD5887" w:rsidRPr="003B6E11" w:rsidRDefault="00FD5887" w:rsidP="005662C0">
      <w:pPr>
        <w:pStyle w:val="ESch"/>
        <w:rPr>
          <w:lang w:val="cs-CZ"/>
        </w:rPr>
      </w:pPr>
    </w:p>
    <w:p w:rsidR="00FD5887" w:rsidRPr="003B6E11" w:rsidRDefault="00FD5887" w:rsidP="005662C0">
      <w:pPr>
        <w:pStyle w:val="ESch"/>
        <w:rPr>
          <w:lang w:val="cs-CZ"/>
        </w:rPr>
        <w:sectPr w:rsidR="00FD5887" w:rsidRPr="003B6E11" w:rsidSect="00AC5CC1">
          <w:footnotePr>
            <w:numRestart w:val="eachPage"/>
          </w:footnotePr>
          <w:pgSz w:w="11906" w:h="16838" w:code="9"/>
          <w:pgMar w:top="1418" w:right="1418" w:bottom="1418" w:left="1418" w:header="709" w:footer="709" w:gutter="0"/>
          <w:cols w:space="709"/>
          <w:titlePg/>
          <w:docGrid w:linePitch="272"/>
        </w:sectPr>
      </w:pPr>
    </w:p>
    <w:p w:rsidR="00E82B25" w:rsidRPr="003B6E11" w:rsidRDefault="00E82B25" w:rsidP="00E82B25">
      <w:pPr>
        <w:pStyle w:val="ES-Titre1"/>
      </w:pPr>
      <w:bookmarkStart w:id="342" w:name="_Toc491854168"/>
      <w:bookmarkStart w:id="343" w:name="_Toc535417074"/>
      <w:r w:rsidRPr="003B6E11">
        <w:t>ČÁST III</w:t>
      </w:r>
      <w:r w:rsidRPr="003B6E11">
        <w:br/>
        <w:t>ZVLÁŠTNÍ USTANOVENÍ</w:t>
      </w:r>
      <w:bookmarkEnd w:id="342"/>
      <w:bookmarkEnd w:id="343"/>
    </w:p>
    <w:p w:rsidR="00E82B25" w:rsidRPr="003B6E11" w:rsidRDefault="00E82B25" w:rsidP="00E82B25">
      <w:pPr>
        <w:rPr>
          <w:lang w:val="cs-CZ"/>
        </w:rPr>
      </w:pPr>
    </w:p>
    <w:p w:rsidR="00E82B25" w:rsidRPr="003B6E11" w:rsidRDefault="00E82B25" w:rsidP="00E82B25">
      <w:pPr>
        <w:pStyle w:val="ES-Titre2"/>
        <w:pageBreakBefore w:val="0"/>
        <w:rPr>
          <w:szCs w:val="24"/>
        </w:rPr>
      </w:pPr>
      <w:bookmarkStart w:id="344" w:name="_Toc491854169"/>
      <w:bookmarkStart w:id="345" w:name="_Toc535417075"/>
      <w:r w:rsidRPr="003B6E11">
        <w:t>Kapitola 19</w:t>
      </w:r>
      <w:r w:rsidRPr="003B6E11">
        <w:br/>
      </w:r>
      <w:r w:rsidRPr="003B6E11">
        <w:rPr>
          <w:noProof/>
          <w:sz w:val="22"/>
        </w:rPr>
        <w:t>Zvláštní ustanovení pro osobní lodě</w:t>
      </w:r>
      <w:bookmarkEnd w:id="344"/>
      <w:bookmarkEnd w:id="345"/>
    </w:p>
    <w:p w:rsidR="00E82B25" w:rsidRPr="003B6E11" w:rsidRDefault="00E82B25" w:rsidP="00E82B25">
      <w:pPr>
        <w:rPr>
          <w:lang w:val="cs-CZ"/>
        </w:rPr>
      </w:pPr>
    </w:p>
    <w:p w:rsidR="00E82B25" w:rsidRPr="003B6E11" w:rsidRDefault="00E82B25" w:rsidP="00E82B25">
      <w:pPr>
        <w:pStyle w:val="ES-Titre3"/>
        <w:rPr>
          <w:lang w:val="cs-CZ"/>
        </w:rPr>
      </w:pPr>
      <w:bookmarkStart w:id="346" w:name="_Toc491854170"/>
      <w:bookmarkStart w:id="347" w:name="_Toc535417076"/>
      <w:r w:rsidRPr="003B6E11">
        <w:rPr>
          <w:lang w:val="cs-CZ"/>
        </w:rPr>
        <w:t>Článek 19.01</w:t>
      </w:r>
      <w:r w:rsidRPr="003B6E11">
        <w:rPr>
          <w:lang w:val="cs-CZ"/>
        </w:rPr>
        <w:br/>
      </w:r>
      <w:r w:rsidRPr="003B6E11">
        <w:rPr>
          <w:i/>
          <w:noProof/>
          <w:lang w:val="cs-CZ"/>
        </w:rPr>
        <w:t>Obecná ustanovení</w:t>
      </w:r>
      <w:bookmarkEnd w:id="346"/>
      <w:bookmarkEnd w:id="347"/>
    </w:p>
    <w:p w:rsidR="00E82B25" w:rsidRPr="003B6E11" w:rsidRDefault="00E82B25" w:rsidP="00E82B25">
      <w:pPr>
        <w:pStyle w:val="ESch"/>
        <w:rPr>
          <w:noProof/>
          <w:lang w:val="cs-CZ"/>
        </w:rPr>
      </w:pPr>
    </w:p>
    <w:p w:rsidR="00E82B25" w:rsidRPr="003B6E11" w:rsidRDefault="00E82B25" w:rsidP="00E82B25">
      <w:pPr>
        <w:pStyle w:val="ESch"/>
        <w:rPr>
          <w:rFonts w:eastAsia="Calibri" w:cs="Arial"/>
          <w:szCs w:val="18"/>
          <w:lang w:val="cs-CZ"/>
        </w:rPr>
      </w:pPr>
      <w:r w:rsidRPr="003B6E11">
        <w:rPr>
          <w:lang w:val="cs-CZ"/>
        </w:rPr>
        <w:t>1.</w:t>
      </w:r>
      <w:r w:rsidRPr="003B6E11">
        <w:rPr>
          <w:lang w:val="cs-CZ"/>
        </w:rPr>
        <w:tab/>
        <w:t>Neplatí tato ustanovení:</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čl. 3.02 odst. 1 písm. b);</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články 4.01 až 4.03;</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čl. 8.08 odst. 2 druhá věta a odstavec 7;</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čl. 10.14 odst. 3 druhá věta pro jmenovité napětí nad 50 V.</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2.</w:t>
      </w:r>
      <w:r w:rsidRPr="003B6E11">
        <w:rPr>
          <w:lang w:val="cs-CZ"/>
        </w:rPr>
        <w:tab/>
        <w:t>Na osobních lodích jsou zakázána tato zařízení:</w:t>
      </w:r>
    </w:p>
    <w:p w:rsidR="00E82B25" w:rsidRPr="003B6E11" w:rsidRDefault="00E82B25" w:rsidP="00E82B25">
      <w:pPr>
        <w:pStyle w:val="ESlet"/>
        <w:rPr>
          <w:rFonts w:eastAsia="Calibri"/>
          <w:noProof/>
          <w:lang w:val="cs-CZ"/>
        </w:rPr>
      </w:pPr>
      <w:r w:rsidRPr="003B6E11">
        <w:rPr>
          <w:lang w:val="cs-CZ"/>
        </w:rPr>
        <w:t>a)</w:t>
      </w:r>
      <w:r w:rsidRPr="003B6E11">
        <w:rPr>
          <w:lang w:val="cs-CZ"/>
        </w:rPr>
        <w:tab/>
        <w:t>lampy na zkapalněný plyn nebo kapalné palivo podle čl. 15.07 odst. 3 druhá věta;</w:t>
      </w:r>
    </w:p>
    <w:p w:rsidR="00E82B25" w:rsidRPr="003B6E11" w:rsidRDefault="00E82B25" w:rsidP="00E82B25">
      <w:pPr>
        <w:pStyle w:val="ESlet"/>
        <w:rPr>
          <w:rFonts w:eastAsia="Calibri"/>
          <w:noProof/>
          <w:lang w:val="cs-CZ"/>
        </w:rPr>
      </w:pPr>
      <w:r w:rsidRPr="003B6E11">
        <w:rPr>
          <w:lang w:val="cs-CZ"/>
        </w:rPr>
        <w:t>b)</w:t>
      </w:r>
      <w:r w:rsidRPr="003B6E11">
        <w:rPr>
          <w:lang w:val="cs-CZ"/>
        </w:rPr>
        <w:tab/>
        <w:t>zařízení s knotovými hořáky podle čl. 16.02 odst. 2 a 3;</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naftová kamna s odpařovacími hořáky podle článku 16.04;</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topná zařízení a kotle na tuhá paliva podle článku 16.07;</w:t>
      </w:r>
    </w:p>
    <w:p w:rsidR="00E82B25" w:rsidRPr="003B6E11" w:rsidRDefault="00E82B25" w:rsidP="00E82B25">
      <w:pPr>
        <w:pStyle w:val="ESlet"/>
        <w:rPr>
          <w:rFonts w:eastAsia="Calibri" w:cs="Arial"/>
          <w:szCs w:val="18"/>
          <w:lang w:val="cs-CZ"/>
        </w:rPr>
      </w:pPr>
      <w:r w:rsidRPr="003B6E11">
        <w:rPr>
          <w:lang w:val="cs-CZ"/>
        </w:rPr>
        <w:t>e)</w:t>
      </w:r>
      <w:r w:rsidRPr="003B6E11">
        <w:rPr>
          <w:lang w:val="cs-CZ"/>
        </w:rPr>
        <w:tab/>
        <w:t>zařízení na zkapalněný plyn podle kapitoly 17.</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3.</w:t>
      </w:r>
      <w:r w:rsidRPr="003B6E11">
        <w:rPr>
          <w:lang w:val="cs-CZ"/>
        </w:rPr>
        <w:tab/>
        <w:t>Pro přepravu cestujících nemohou být schváleny lodě bez vlastního pohonu.</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4.</w:t>
      </w:r>
      <w:r w:rsidRPr="003B6E11">
        <w:rPr>
          <w:lang w:val="cs-CZ"/>
        </w:rPr>
        <w:tab/>
        <w:t>Na osobních lodích musí existovat prostory pro osoby s omezenou schopností pohybu a orientace podle této kapitoly.</w:t>
      </w:r>
    </w:p>
    <w:p w:rsidR="00E82B25" w:rsidRPr="003B6E11" w:rsidRDefault="00E82B25" w:rsidP="00E82B25">
      <w:pPr>
        <w:pStyle w:val="ESch"/>
        <w:rPr>
          <w:rFonts w:eastAsia="Calibri"/>
          <w:szCs w:val="18"/>
          <w:lang w:val="cs-CZ"/>
        </w:rPr>
      </w:pPr>
    </w:p>
    <w:p w:rsidR="00E82B25" w:rsidRPr="003B6E11" w:rsidRDefault="00E82B25" w:rsidP="00E82B25">
      <w:pPr>
        <w:pStyle w:val="ESch"/>
        <w:rPr>
          <w:rFonts w:eastAsia="Calibri"/>
          <w:szCs w:val="18"/>
          <w:lang w:val="cs-CZ"/>
        </w:rPr>
      </w:pPr>
      <w:r w:rsidRPr="003B6E11">
        <w:rPr>
          <w:lang w:val="cs-CZ"/>
        </w:rPr>
        <w:t>5.</w:t>
      </w:r>
      <w:r w:rsidRPr="003B6E11">
        <w:rPr>
          <w:lang w:val="cs-CZ"/>
        </w:rPr>
        <w:tab/>
        <w:t>Odchylně od ustanovení čl. 7.02 odst. 2 první věty nesmí oblast omezeného výhledu kormidelníka před přídí lodě v nenaloženém stavu s polovičními zásobami bez balastní zátěže překročit dvě délky lodi nebo 250 m, podle toho, která hodnota je nižší.</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szCs w:val="18"/>
          <w:lang w:val="cs-CZ"/>
        </w:rPr>
      </w:pPr>
      <w:r w:rsidRPr="003B6E11">
        <w:rPr>
          <w:lang w:val="cs-CZ"/>
        </w:rPr>
        <w:t>6.</w:t>
      </w:r>
      <w:r w:rsidRPr="003B6E11">
        <w:rPr>
          <w:lang w:val="cs-CZ"/>
        </w:rPr>
        <w:tab/>
        <w:t>Není-li zajištěn dostatečný neomezený výhled směrem dozadu, musí být odchylně od čl. 7.02 odst. 3 třetího pododstavce osobní loď vybavena vhodnými pomocnými prostředky. Pokud tyto pomocné prostředky neumožňují neomezený výhled v noci, uvede se odpovídající omezení do bodu 52 osvědčení plavidla vnitrozemské plavby.</w:t>
      </w:r>
    </w:p>
    <w:p w:rsidR="00E82B25" w:rsidRPr="003B6E11" w:rsidRDefault="00E82B25" w:rsidP="00E82B25">
      <w:pPr>
        <w:pStyle w:val="ESch"/>
        <w:rPr>
          <w:rFonts w:eastAsia="Calibri"/>
          <w:szCs w:val="18"/>
          <w:lang w:val="cs-CZ"/>
        </w:rPr>
      </w:pPr>
    </w:p>
    <w:p w:rsidR="00E82B25" w:rsidRPr="003B6E11" w:rsidRDefault="00E82B25" w:rsidP="00E82B25">
      <w:pPr>
        <w:pStyle w:val="ESch"/>
        <w:rPr>
          <w:rFonts w:eastAsia="Calibri"/>
          <w:szCs w:val="18"/>
          <w:lang w:val="cs-CZ"/>
        </w:rPr>
      </w:pPr>
    </w:p>
    <w:p w:rsidR="00E82B25" w:rsidRPr="003B6E11" w:rsidRDefault="00E82B25" w:rsidP="00E82B25">
      <w:pPr>
        <w:pStyle w:val="ES-Titre3"/>
        <w:rPr>
          <w:rFonts w:cs="Arial"/>
          <w:i/>
          <w:szCs w:val="18"/>
          <w:lang w:val="cs-CZ"/>
        </w:rPr>
      </w:pPr>
      <w:bookmarkStart w:id="348" w:name="_Toc491854171"/>
      <w:bookmarkStart w:id="349" w:name="_Toc535417077"/>
      <w:r w:rsidRPr="003B6E11">
        <w:rPr>
          <w:lang w:val="cs-CZ"/>
        </w:rPr>
        <w:t>Článek 19.02</w:t>
      </w:r>
      <w:r w:rsidRPr="003B6E11">
        <w:rPr>
          <w:lang w:val="cs-CZ"/>
        </w:rPr>
        <w:br/>
      </w:r>
      <w:r w:rsidRPr="003B6E11">
        <w:rPr>
          <w:i/>
          <w:noProof/>
          <w:lang w:val="cs-CZ"/>
        </w:rPr>
        <w:t>Lodní trup</w:t>
      </w:r>
      <w:bookmarkEnd w:id="348"/>
      <w:bookmarkEnd w:id="349"/>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 xml:space="preserve">1 </w:t>
      </w:r>
      <w:r w:rsidRPr="003B6E11">
        <w:rPr>
          <w:lang w:val="cs-CZ"/>
        </w:rPr>
        <w:tab/>
        <w:t>Při pravidelných prohlídkách se tloušťka vnější obšívky ocelových osobních lodí stanoví takto:</w:t>
      </w:r>
    </w:p>
    <w:p w:rsidR="00E82B25" w:rsidRPr="003B6E11" w:rsidRDefault="00E82B25" w:rsidP="00E82B25">
      <w:pPr>
        <w:pStyle w:val="ESlet"/>
        <w:rPr>
          <w:rFonts w:eastAsia="Calibri"/>
          <w:noProof/>
          <w:lang w:val="cs-CZ"/>
        </w:rPr>
      </w:pPr>
      <w:r w:rsidRPr="003B6E11">
        <w:rPr>
          <w:lang w:val="cs-CZ"/>
        </w:rPr>
        <w:t>a)</w:t>
      </w:r>
      <w:r w:rsidRPr="003B6E11">
        <w:rPr>
          <w:lang w:val="cs-CZ"/>
        </w:rPr>
        <w:tab/>
        <w:t xml:space="preserve">minimální tloušťka </w:t>
      </w:r>
      <m:oMath>
        <m:sSub>
          <m:sSubPr>
            <m:ctrlPr>
              <w:rPr>
                <w:rFonts w:ascii="Cambria Math" w:eastAsia="Calibri" w:hAnsi="Cambria Math"/>
                <w:i/>
                <w:noProof/>
                <w:lang w:val="cs-CZ"/>
              </w:rPr>
            </m:ctrlPr>
          </m:sSubPr>
          <m:e>
            <m:r>
              <w:rPr>
                <w:rFonts w:ascii="Cambria Math" w:eastAsia="Calibri" w:hAnsi="Cambria Math"/>
                <w:noProof/>
                <w:lang w:val="cs-CZ"/>
              </w:rPr>
              <m:t>t</m:t>
            </m:r>
          </m:e>
          <m:sub>
            <m:r>
              <w:rPr>
                <w:rFonts w:ascii="Cambria Math" w:eastAsia="Calibri" w:hAnsi="Cambria Math"/>
                <w:noProof/>
                <w:lang w:val="cs-CZ"/>
              </w:rPr>
              <m:t>min</m:t>
            </m:r>
          </m:sub>
        </m:sSub>
      </m:oMath>
      <w:r w:rsidRPr="003B6E11">
        <w:rPr>
          <w:lang w:val="cs-CZ"/>
        </w:rPr>
        <w:t xml:space="preserve"> obšívky dna, outoru a boků vnějšího trupu osobních lodí se stanoví podle vyšší hodnoty ze vzorců:</w:t>
      </w:r>
    </w:p>
    <w:p w:rsidR="00E82B25" w:rsidRPr="003B6E11" w:rsidRDefault="002D015D" w:rsidP="00E82B25">
      <w:pPr>
        <w:pStyle w:val="ESlet"/>
        <w:ind w:firstLine="1"/>
        <w:rPr>
          <w:rFonts w:eastAsia="Calibri" w:cs="Arial"/>
          <w:szCs w:val="18"/>
          <w:lang w:val="cs-CZ"/>
        </w:rPr>
      </w:pPr>
      <m:oMathPara>
        <m:oMathParaPr>
          <m:jc m:val="left"/>
        </m:oMathParaPr>
        <m:oMath>
          <m:sSub>
            <m:sSubPr>
              <m:ctrlPr>
                <w:rPr>
                  <w:rFonts w:ascii="Cambria Math" w:eastAsia="Calibri" w:hAnsi="Cambria Math" w:cs="Arial"/>
                  <w:i/>
                  <w:szCs w:val="18"/>
                  <w:lang w:val="cs-CZ"/>
                </w:rPr>
              </m:ctrlPr>
            </m:sSubPr>
            <m:e>
              <m:r>
                <w:rPr>
                  <w:rFonts w:ascii="Cambria Math" w:eastAsia="Calibri" w:hAnsi="Cambria Math" w:cs="Arial"/>
                  <w:szCs w:val="18"/>
                  <w:lang w:val="cs-CZ"/>
                </w:rPr>
                <m:t>t</m:t>
              </m:r>
            </m:e>
            <m:sub>
              <m:sSub>
                <m:sSubPr>
                  <m:ctrlPr>
                    <w:rPr>
                      <w:rFonts w:ascii="Cambria Math" w:eastAsia="Calibri" w:hAnsi="Cambria Math" w:cs="Arial"/>
                      <w:i/>
                      <w:szCs w:val="18"/>
                      <w:lang w:val="cs-CZ"/>
                    </w:rPr>
                  </m:ctrlPr>
                </m:sSubPr>
                <m:e>
                  <m:r>
                    <w:rPr>
                      <w:rFonts w:ascii="Cambria Math" w:eastAsia="Calibri" w:hAnsi="Cambria Math" w:cs="Arial"/>
                      <w:szCs w:val="18"/>
                      <w:lang w:val="cs-CZ"/>
                    </w:rPr>
                    <m:t>1</m:t>
                  </m:r>
                </m:e>
                <m:sub>
                  <m:r>
                    <w:rPr>
                      <w:rFonts w:ascii="Cambria Math" w:eastAsia="Calibri" w:hAnsi="Cambria Math" w:cs="Arial"/>
                      <w:szCs w:val="18"/>
                      <w:lang w:val="cs-CZ"/>
                    </w:rPr>
                    <m:t>min</m:t>
                  </m:r>
                </m:sub>
              </m:sSub>
              <m:r>
                <w:rPr>
                  <w:rFonts w:ascii="Cambria Math" w:eastAsia="Calibri" w:hAnsi="Cambria Math" w:cs="Arial"/>
                  <w:szCs w:val="18"/>
                  <w:lang w:val="cs-CZ"/>
                </w:rPr>
                <m:t xml:space="preserve"> </m:t>
              </m:r>
            </m:sub>
          </m:sSub>
          <m:r>
            <w:rPr>
              <w:rFonts w:ascii="Cambria Math" w:eastAsia="Calibri" w:hAnsi="Cambria Math" w:cs="Arial"/>
              <w:szCs w:val="18"/>
              <w:lang w:val="cs-CZ"/>
            </w:rPr>
            <m:t xml:space="preserve">=  0,006 ∙a ∙ </m:t>
          </m:r>
          <m:rad>
            <m:radPr>
              <m:degHide m:val="1"/>
              <m:ctrlPr>
                <w:rPr>
                  <w:rFonts w:ascii="Cambria Math" w:eastAsia="Calibri" w:hAnsi="Cambria Math" w:cs="Arial"/>
                  <w:i/>
                  <w:szCs w:val="18"/>
                  <w:lang w:val="cs-CZ"/>
                </w:rPr>
              </m:ctrlPr>
            </m:radPr>
            <m:deg/>
            <m:e>
              <m:r>
                <w:rPr>
                  <w:rFonts w:ascii="Cambria Math" w:eastAsia="Calibri" w:hAnsi="Cambria Math" w:cs="Arial"/>
                  <w:szCs w:val="18"/>
                  <w:lang w:val="cs-CZ"/>
                </w:rPr>
                <m:t>T</m:t>
              </m:r>
            </m:e>
          </m:rad>
          <m:r>
            <w:rPr>
              <w:rFonts w:ascii="Cambria Math" w:eastAsia="Calibri" w:hAnsi="Cambria Math" w:cs="Arial"/>
              <w:szCs w:val="18"/>
              <w:lang w:val="cs-CZ"/>
            </w:rPr>
            <m:t xml:space="preserve"> </m:t>
          </m:r>
          <m:d>
            <m:dPr>
              <m:begChr m:val="["/>
              <m:endChr m:val="]"/>
              <m:ctrlPr>
                <w:rPr>
                  <w:rFonts w:ascii="Cambria Math" w:eastAsia="Calibri" w:hAnsi="Cambria Math" w:cs="Arial"/>
                  <w:i/>
                  <w:szCs w:val="18"/>
                  <w:lang w:val="cs-CZ"/>
                </w:rPr>
              </m:ctrlPr>
            </m:dPr>
            <m:e>
              <m:r>
                <w:rPr>
                  <w:rFonts w:ascii="Cambria Math" w:eastAsia="Calibri" w:hAnsi="Cambria Math" w:cs="Arial"/>
                  <w:szCs w:val="18"/>
                  <w:lang w:val="cs-CZ"/>
                </w:rPr>
                <m:t>mm</m:t>
              </m:r>
            </m:e>
          </m:d>
          <m:r>
            <w:rPr>
              <w:rFonts w:ascii="Cambria Math" w:eastAsia="Calibri" w:hAnsi="Cambria Math" w:cs="Arial"/>
              <w:szCs w:val="18"/>
              <w:lang w:val="cs-CZ"/>
            </w:rPr>
            <m:t>;</m:t>
          </m:r>
        </m:oMath>
      </m:oMathPara>
    </w:p>
    <w:p w:rsidR="00E82B25" w:rsidRPr="003B6E11" w:rsidRDefault="002D015D" w:rsidP="00E82B25">
      <w:pPr>
        <w:pStyle w:val="ESlet"/>
        <w:ind w:firstLine="1"/>
        <w:rPr>
          <w:rFonts w:eastAsia="Calibri" w:cs="Arial"/>
          <w:szCs w:val="18"/>
          <w:lang w:val="cs-CZ"/>
        </w:rPr>
      </w:pPr>
      <m:oMathPara>
        <m:oMathParaPr>
          <m:jc m:val="left"/>
        </m:oMathParaPr>
        <m:oMath>
          <m:sSub>
            <m:sSubPr>
              <m:ctrlPr>
                <w:rPr>
                  <w:rFonts w:ascii="Cambria Math" w:eastAsia="Calibri" w:hAnsi="Cambria Math" w:cs="Arial"/>
                  <w:i/>
                  <w:szCs w:val="18"/>
                  <w:lang w:val="cs-CZ"/>
                </w:rPr>
              </m:ctrlPr>
            </m:sSubPr>
            <m:e>
              <m:r>
                <w:rPr>
                  <w:rFonts w:ascii="Cambria Math" w:eastAsia="Calibri" w:hAnsi="Cambria Math" w:cs="Arial"/>
                  <w:szCs w:val="18"/>
                  <w:lang w:val="cs-CZ"/>
                </w:rPr>
                <m:t>t</m:t>
              </m:r>
            </m:e>
            <m:sub>
              <m:sSub>
                <m:sSubPr>
                  <m:ctrlPr>
                    <w:rPr>
                      <w:rFonts w:ascii="Cambria Math" w:eastAsia="Calibri" w:hAnsi="Cambria Math" w:cs="Arial"/>
                      <w:i/>
                      <w:szCs w:val="18"/>
                      <w:lang w:val="cs-CZ"/>
                    </w:rPr>
                  </m:ctrlPr>
                </m:sSubPr>
                <m:e>
                  <m:r>
                    <w:rPr>
                      <w:rFonts w:ascii="Cambria Math" w:eastAsia="Calibri" w:hAnsi="Cambria Math" w:cs="Arial"/>
                      <w:szCs w:val="18"/>
                      <w:lang w:val="cs-CZ"/>
                    </w:rPr>
                    <m:t>2</m:t>
                  </m:r>
                </m:e>
                <m:sub>
                  <m:r>
                    <w:rPr>
                      <w:rFonts w:ascii="Cambria Math" w:eastAsia="Calibri" w:hAnsi="Cambria Math" w:cs="Arial"/>
                      <w:szCs w:val="18"/>
                      <w:lang w:val="cs-CZ"/>
                    </w:rPr>
                    <m:t>min</m:t>
                  </m:r>
                </m:sub>
              </m:sSub>
              <m:r>
                <w:rPr>
                  <w:rFonts w:ascii="Cambria Math" w:eastAsia="Calibri" w:hAnsi="Cambria Math" w:cs="Arial"/>
                  <w:szCs w:val="18"/>
                  <w:lang w:val="cs-CZ"/>
                </w:rPr>
                <m:t xml:space="preserve"> </m:t>
              </m:r>
            </m:sub>
          </m:sSub>
          <m:r>
            <w:rPr>
              <w:rFonts w:ascii="Cambria Math" w:eastAsia="Calibri" w:hAnsi="Cambria Math" w:cs="Arial"/>
              <w:szCs w:val="18"/>
              <w:lang w:val="cs-CZ"/>
            </w:rPr>
            <m:t xml:space="preserve">=  f ∙0,55 ∙ </m:t>
          </m:r>
          <m:rad>
            <m:radPr>
              <m:degHide m:val="1"/>
              <m:ctrlPr>
                <w:rPr>
                  <w:rFonts w:ascii="Cambria Math" w:eastAsia="Calibri" w:hAnsi="Cambria Math" w:cs="Arial"/>
                  <w:i/>
                  <w:szCs w:val="18"/>
                  <w:lang w:val="cs-CZ"/>
                </w:rPr>
              </m:ctrlPr>
            </m:radPr>
            <m:deg/>
            <m:e>
              <m:sSub>
                <m:sSubPr>
                  <m:ctrlPr>
                    <w:rPr>
                      <w:rFonts w:ascii="Cambria Math" w:eastAsia="Calibri" w:hAnsi="Cambria Math" w:cs="Arial"/>
                      <w:i/>
                      <w:szCs w:val="18"/>
                      <w:lang w:val="cs-CZ"/>
                    </w:rPr>
                  </m:ctrlPr>
                </m:sSubPr>
                <m:e>
                  <m:r>
                    <w:rPr>
                      <w:rFonts w:ascii="Cambria Math" w:eastAsia="Calibri" w:hAnsi="Cambria Math" w:cs="Arial"/>
                      <w:szCs w:val="18"/>
                      <w:lang w:val="cs-CZ"/>
                    </w:rPr>
                    <m:t>L</m:t>
                  </m:r>
                </m:e>
                <m:sub>
                  <m:r>
                    <w:rPr>
                      <w:rFonts w:ascii="Cambria Math" w:eastAsia="Calibri" w:hAnsi="Cambria Math" w:cs="Arial"/>
                      <w:szCs w:val="18"/>
                      <w:lang w:val="cs-CZ"/>
                    </w:rPr>
                    <m:t>F</m:t>
                  </m:r>
                </m:sub>
              </m:sSub>
            </m:e>
          </m:rad>
          <m:r>
            <w:rPr>
              <w:rFonts w:ascii="Cambria Math" w:eastAsia="Calibri" w:hAnsi="Cambria Math" w:cs="Arial"/>
              <w:szCs w:val="18"/>
              <w:lang w:val="cs-CZ"/>
            </w:rPr>
            <m:t xml:space="preserve"> </m:t>
          </m:r>
          <m:d>
            <m:dPr>
              <m:begChr m:val="["/>
              <m:endChr m:val="]"/>
              <m:ctrlPr>
                <w:rPr>
                  <w:rFonts w:ascii="Cambria Math" w:eastAsia="Calibri" w:hAnsi="Cambria Math" w:cs="Arial"/>
                  <w:i/>
                  <w:szCs w:val="18"/>
                  <w:lang w:val="cs-CZ"/>
                </w:rPr>
              </m:ctrlPr>
            </m:dPr>
            <m:e>
              <m:r>
                <w:rPr>
                  <w:rFonts w:ascii="Cambria Math" w:eastAsia="Calibri" w:hAnsi="Cambria Math" w:cs="Arial"/>
                  <w:szCs w:val="18"/>
                  <w:lang w:val="cs-CZ"/>
                </w:rPr>
                <m:t>mm</m:t>
              </m:r>
            </m:e>
          </m:d>
          <m:r>
            <w:rPr>
              <w:rFonts w:ascii="Cambria Math" w:eastAsia="Calibri" w:hAnsi="Cambria Math" w:cs="Arial"/>
              <w:szCs w:val="18"/>
              <w:lang w:val="cs-CZ"/>
            </w:rPr>
            <m:t>.</m:t>
          </m:r>
        </m:oMath>
      </m:oMathPara>
    </w:p>
    <w:p w:rsidR="00E82B25" w:rsidRPr="003B6E11" w:rsidRDefault="00E82B25" w:rsidP="00E82B25">
      <w:pPr>
        <w:pStyle w:val="ESletpar"/>
        <w:rPr>
          <w:rFonts w:eastAsia="Calibri"/>
          <w:noProof/>
          <w:lang w:val="cs-CZ"/>
        </w:rPr>
      </w:pPr>
    </w:p>
    <w:p w:rsidR="00E82B25" w:rsidRPr="003B6E11" w:rsidRDefault="00E82B25" w:rsidP="00E82B25">
      <w:pPr>
        <w:pStyle w:val="ESletpar"/>
        <w:rPr>
          <w:rFonts w:eastAsia="Calibri"/>
          <w:noProof/>
          <w:lang w:val="cs-CZ"/>
        </w:rPr>
      </w:pPr>
      <w:r w:rsidRPr="003B6E11">
        <w:rPr>
          <w:lang w:val="cs-CZ"/>
        </w:rPr>
        <w:br w:type="page"/>
        <w:t>V těchto vzorcích:</w:t>
      </w:r>
    </w:p>
    <w:p w:rsidR="00E82B25" w:rsidRPr="003B6E11" w:rsidRDefault="00E82B25" w:rsidP="00E82B25">
      <w:pPr>
        <w:pStyle w:val="ESletpar"/>
        <w:rPr>
          <w:rFonts w:eastAsia="Calibri" w:cs="Arial"/>
          <w:szCs w:val="18"/>
          <w:lang w:val="cs-CZ"/>
        </w:rPr>
      </w:pPr>
      <m:oMathPara>
        <m:oMathParaPr>
          <m:jc m:val="left"/>
        </m:oMathParaPr>
        <m:oMath>
          <m:r>
            <w:rPr>
              <w:rFonts w:ascii="Cambria Math" w:eastAsia="Calibri" w:hAnsi="Cambria Math" w:cs="Arial"/>
              <w:szCs w:val="18"/>
              <w:lang w:val="cs-CZ"/>
            </w:rPr>
            <m:t>f=1+0,0013 ∙</m:t>
          </m:r>
          <m:d>
            <m:dPr>
              <m:ctrlPr>
                <w:rPr>
                  <w:rFonts w:ascii="Cambria Math" w:eastAsia="Calibri" w:hAnsi="Cambria Math" w:cs="Arial"/>
                  <w:i/>
                  <w:szCs w:val="18"/>
                  <w:lang w:val="cs-CZ"/>
                </w:rPr>
              </m:ctrlPr>
            </m:dPr>
            <m:e>
              <m:r>
                <w:rPr>
                  <w:rFonts w:ascii="Cambria Math" w:eastAsia="Calibri" w:hAnsi="Cambria Math" w:cs="Arial"/>
                  <w:szCs w:val="18"/>
                  <w:lang w:val="cs-CZ"/>
                </w:rPr>
                <m:t>a-500</m:t>
              </m:r>
            </m:e>
          </m:d>
          <m:r>
            <w:rPr>
              <w:rFonts w:ascii="Cambria Math" w:eastAsia="Calibri" w:hAnsi="Cambria Math" w:cs="Arial"/>
              <w:szCs w:val="18"/>
              <w:lang w:val="cs-CZ"/>
            </w:rPr>
            <m:t>;</m:t>
          </m:r>
        </m:oMath>
      </m:oMathPara>
    </w:p>
    <w:p w:rsidR="00E82B25" w:rsidRPr="003B6E11" w:rsidRDefault="00E82B25" w:rsidP="00E82B25">
      <w:pPr>
        <w:pStyle w:val="EStiret"/>
        <w:rPr>
          <w:rFonts w:eastAsia="Calibri"/>
          <w:lang w:val="cs-CZ"/>
        </w:rPr>
      </w:pPr>
      <m:oMath>
        <m:r>
          <w:rPr>
            <w:rFonts w:ascii="Cambria Math" w:eastAsia="Calibri" w:hAnsi="Cambria Math"/>
            <w:lang w:val="cs-CZ"/>
          </w:rPr>
          <m:t>a</m:t>
        </m:r>
      </m:oMath>
      <w:r w:rsidRPr="003B6E11">
        <w:rPr>
          <w:lang w:val="cs-CZ"/>
        </w:rPr>
        <w:t xml:space="preserve"> = podélná nebo příčná rozteč žeber v [mm], je-li rozteč žeber menší než 400 mm, použije se </w:t>
      </w:r>
      <m:oMath>
        <m:r>
          <w:rPr>
            <w:rFonts w:ascii="Cambria Math" w:eastAsia="Calibri" w:hAnsi="Cambria Math"/>
            <w:lang w:val="cs-CZ"/>
          </w:rPr>
          <m:t>a=400 mm</m:t>
        </m:r>
      </m:oMath>
      <w:r w:rsidRPr="003B6E11">
        <w:rPr>
          <w:lang w:val="cs-CZ"/>
        </w:rPr>
        <w:t>;</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minimální hodnoty stanovené podle písmene a) nemusí být u tloušťky obšívky dosaženo, pokud přípustná hodnota byla stanovena a osvědčena na základě výpočtů pro dostatečnou pevnost (podélnou, příčnou a místní) lodního trupu;</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v žádném místě vnější obšívky nesmí být tloušťka vypočtená podle písmene a) nebo b) menší než 3 mm;</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obnovení obšívky je nutno provést, pokud tloušťka obšívky dna, outoru nebo boků nedosahuje minimální hodnoty stanovené podle písmene a) nebo b) ve spojení s písmenem c).</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2.</w:t>
      </w:r>
      <w:r w:rsidRPr="003B6E11">
        <w:rPr>
          <w:lang w:val="cs-CZ"/>
        </w:rPr>
        <w:tab/>
        <w:t>Počet a umístění příček musí být zvolen tak, aby v případě zaplavení byla loď schopna další plavby podle čl. 19.03 odst. 7 až 13. Každá část vnitřní konstrukce, která má vliv na účinnost dělení plavidla, musí být vodotěsná a zkonstruována tak, aby byla zachována celistvost dělení.</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r w:rsidRPr="003B6E11">
        <w:rPr>
          <w:lang w:val="cs-CZ"/>
        </w:rPr>
        <w:t>3.</w:t>
      </w:r>
      <w:r w:rsidRPr="003B6E11">
        <w:rPr>
          <w:lang w:val="cs-CZ"/>
        </w:rPr>
        <w:tab/>
        <w:t xml:space="preserve">Ke stanovení polohy kolizní přepážky a záďové přepážky se použijí ustanovení čl. 3.03 odst. 1, avšak jako referenční hodnota se místo délky použije délka na vodorysce </w:t>
      </w:r>
      <m:oMath>
        <m:sSub>
          <m:sSubPr>
            <m:ctrlPr>
              <w:rPr>
                <w:rFonts w:ascii="Cambria Math" w:eastAsia="Calibri" w:hAnsi="Cambria Math"/>
                <w:i/>
                <w:lang w:val="cs-CZ"/>
              </w:rPr>
            </m:ctrlPr>
          </m:sSubPr>
          <m:e>
            <m:r>
              <w:rPr>
                <w:rFonts w:ascii="Cambria Math" w:eastAsia="Calibri" w:hAnsi="Cambria Math"/>
                <w:lang w:val="cs-CZ"/>
              </w:rPr>
              <m:t>L</m:t>
            </m:r>
          </m:e>
          <m:sub>
            <m:r>
              <w:rPr>
                <w:rFonts w:ascii="Cambria Math" w:eastAsia="Calibri" w:hAnsi="Cambria Math"/>
                <w:lang w:val="cs-CZ"/>
              </w:rPr>
              <m:t>WL</m:t>
            </m:r>
          </m:sub>
        </m:sSub>
      </m:oMath>
      <w:r w:rsidRPr="003B6E11">
        <w:rPr>
          <w:lang w:val="cs-CZ"/>
        </w:rPr>
        <w:t>.</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4.</w:t>
      </w:r>
      <w:r w:rsidRPr="003B6E11">
        <w:rPr>
          <w:lang w:val="cs-CZ"/>
        </w:rPr>
        <w:tab/>
        <w:t>Příčná přepážka může být opatřena výklenkem, pokud všechny jeho části leží v bezpečném prostoru.</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5.</w:t>
      </w:r>
      <w:r w:rsidRPr="003B6E11">
        <w:rPr>
          <w:lang w:val="cs-CZ"/>
        </w:rPr>
        <w:tab/>
        <w:t>Přepážky, které se berou v úvahu při výpočtu stability v narušeném stavu podle čl. 19.03 odst. 7 až 13, musí být vodotěsné a musí být namontovány až k přepážkové palubě. Pokud přepážková paluba neexistuje, musí tyto přepážky sahat do výše 0,20 m nad rovinou zbytkového výtlaku.</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6.</w:t>
      </w:r>
      <w:r w:rsidRPr="003B6E11">
        <w:rPr>
          <w:lang w:val="cs-CZ"/>
        </w:rPr>
        <w:tab/>
        <w:t>Počet otvorů v těchto přepážkách musí být co nejmenší podle druhu konstrukce a běžného provozu plavidla. Otvory a průchody nesmí mít nepříznivý vliv na vodotěsnou funkci přepážek.</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7.</w:t>
      </w:r>
      <w:r w:rsidRPr="003B6E11">
        <w:rPr>
          <w:lang w:val="cs-CZ"/>
        </w:rPr>
        <w:tab/>
        <w:t>Kolizní přepážky nesmí mít žádné otvory a dveře.</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8.</w:t>
      </w:r>
      <w:r w:rsidRPr="003B6E11">
        <w:rPr>
          <w:lang w:val="cs-CZ"/>
        </w:rPr>
        <w:tab/>
        <w:t>Přepážky oddělující strojovny od místností pro cestující nebo obytných prostor pro posádku a lodní personál nesmí mít žádné dveře.</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9.</w:t>
      </w:r>
      <w:r w:rsidRPr="003B6E11">
        <w:rPr>
          <w:lang w:val="cs-CZ"/>
        </w:rPr>
        <w:tab/>
        <w:t>Ručně ovládané dveře bez dálkového ovládání v přepážkách podle odstavce 5 jsou povoleny pouze v prostorech, do nichž nemají cestující přístup. Musí splňovat tyto požadavky:</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musí být trvale uzavřené a lze je otevřít pouze krátce za účelem průchodu;</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musí být vybaveny vhodnými zařízeními, která umožňují jejich rychlé a bezpečné zavření;</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na obou stranách musí být opatřeny nápisem:</w:t>
      </w:r>
    </w:p>
    <w:p w:rsidR="00E82B25" w:rsidRPr="003B6E11" w:rsidRDefault="00E82B25" w:rsidP="00E82B25">
      <w:pPr>
        <w:pStyle w:val="ESlet"/>
        <w:jc w:val="center"/>
        <w:rPr>
          <w:rFonts w:eastAsia="Calibri" w:cs="Arial"/>
          <w:szCs w:val="18"/>
          <w:lang w:val="cs-CZ"/>
        </w:rPr>
      </w:pPr>
      <w:r w:rsidRPr="003B6E11">
        <w:rPr>
          <w:lang w:val="cs-CZ"/>
        </w:rPr>
        <w:t>„Po průchodu dveře ihned uzavřít“.</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10.</w:t>
      </w:r>
      <w:r w:rsidRPr="003B6E11">
        <w:rPr>
          <w:lang w:val="cs-CZ"/>
        </w:rPr>
        <w:tab/>
        <w:t>Dveře v přepážkách podle odstavce 5, které jsou otevřeny dlouhodobě, musí splňovat tyto požadavky:</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musí být možné je zavřít z obou stran přepážky a ze snadno dostupného místa nad přepážkovou palubou;</w:t>
      </w:r>
    </w:p>
    <w:p w:rsidR="00E82B25" w:rsidRPr="003B6E11" w:rsidRDefault="00E82B25" w:rsidP="00E82B25">
      <w:pPr>
        <w:pStyle w:val="ESlet"/>
        <w:rPr>
          <w:rFonts w:eastAsia="Calibri" w:cs="Arial"/>
          <w:szCs w:val="18"/>
          <w:lang w:val="cs-CZ"/>
        </w:rPr>
      </w:pPr>
      <w:r w:rsidRPr="003B6E11">
        <w:rPr>
          <w:lang w:val="cs-CZ"/>
        </w:rPr>
        <w:br w:type="page"/>
        <w:t>b)</w:t>
      </w:r>
      <w:r w:rsidRPr="003B6E11">
        <w:rPr>
          <w:lang w:val="cs-CZ"/>
        </w:rPr>
        <w:tab/>
        <w:t>po uzavření pomocí dálkového ovládání musí být možné dveře opět na místě otevřít a bezpečně zavřít. Zavření dveří nesmí bránit koberce, ochranné profily u paty zábradlí nebo jiné překážky;</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doba potřebná k dálkovému uzavření dveří musí činit nejméně 30 a nejvýše 60 sekund;</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během zavírání dveří musí být vydáván automatický akustický výstražný signál;</w:t>
      </w:r>
    </w:p>
    <w:p w:rsidR="00E82B25" w:rsidRPr="003B6E11" w:rsidRDefault="00E82B25" w:rsidP="00E82B25">
      <w:pPr>
        <w:pStyle w:val="ESlet"/>
        <w:rPr>
          <w:rFonts w:eastAsia="Calibri" w:cs="Arial"/>
          <w:szCs w:val="18"/>
          <w:lang w:val="cs-CZ"/>
        </w:rPr>
      </w:pPr>
      <w:r w:rsidRPr="003B6E11">
        <w:rPr>
          <w:lang w:val="cs-CZ"/>
        </w:rPr>
        <w:t>e)</w:t>
      </w:r>
      <w:r w:rsidRPr="003B6E11">
        <w:rPr>
          <w:lang w:val="cs-CZ"/>
        </w:rPr>
        <w:tab/>
        <w:t>pohon dveří a výstražný signál musí fungovat nezávisle na energetické síti plavidla. Na místě dálkového ovládání musí být zařízení, které signalizuje, zda jsou dveře otevřeny či zavřeny.</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11.</w:t>
      </w:r>
      <w:r w:rsidRPr="003B6E11">
        <w:rPr>
          <w:lang w:val="cs-CZ"/>
        </w:rPr>
        <w:tab/>
        <w:t>Dveře v přepážkách podle odstavce 5 a jejich ovládače musí být umístěny v bezpečném prostoru.</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 xml:space="preserve">12. </w:t>
      </w:r>
      <w:r w:rsidRPr="003B6E11">
        <w:rPr>
          <w:lang w:val="cs-CZ"/>
        </w:rPr>
        <w:tab/>
        <w:t>V kormidelně se musí nacházet výstražný systém, který signalizuje, které z dveří v přepážkách podle odstavce 5 jsou otevřené.</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 xml:space="preserve">13. </w:t>
      </w:r>
      <w:r w:rsidRPr="003B6E11">
        <w:rPr>
          <w:lang w:val="cs-CZ"/>
        </w:rPr>
        <w:tab/>
        <w:t>Otevřená potrubí a větrací kanály musí být namontovány tak, aby v případě možného zaplavení nebyly jimi zaplaveny další prostory nebo nádrže.</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Je-li několik oddělení otevřeně propojeno potrubím nebo větracími kanály, musí být tato potrubí a kanály na vhodném místě vyvedeny nad vodorysku odpovídající nejhoršímu možnému zaplavení.</w:t>
      </w:r>
    </w:p>
    <w:p w:rsidR="00E82B25" w:rsidRPr="003B6E11" w:rsidRDefault="00E82B25" w:rsidP="00E82B25">
      <w:pPr>
        <w:pStyle w:val="ESlet"/>
        <w:rPr>
          <w:rFonts w:eastAsia="Calibri"/>
          <w:noProof/>
          <w:lang w:val="cs-CZ"/>
        </w:rPr>
      </w:pPr>
      <w:r w:rsidRPr="003B6E11">
        <w:rPr>
          <w:lang w:val="cs-CZ"/>
        </w:rPr>
        <w:t>b)</w:t>
      </w:r>
      <w:r w:rsidRPr="003B6E11">
        <w:rPr>
          <w:lang w:val="cs-CZ"/>
        </w:rPr>
        <w:tab/>
        <w:t>Potrubí nemusí splňovat požadavek podle písmene a), je-li potrubí v místech, kde prochází přepážkami, opatřeno uzavíracím zařízením, které lze dálkově ovládat z místa nad přepážkovou palubou.</w:t>
      </w:r>
    </w:p>
    <w:p w:rsidR="00E82B25" w:rsidRPr="003B6E11" w:rsidRDefault="00E82B25" w:rsidP="00E82B25">
      <w:pPr>
        <w:pStyle w:val="ESlet"/>
        <w:rPr>
          <w:rFonts w:eastAsia="Calibri"/>
          <w:noProof/>
          <w:lang w:val="cs-CZ"/>
        </w:rPr>
      </w:pPr>
      <w:r w:rsidRPr="003B6E11">
        <w:rPr>
          <w:lang w:val="cs-CZ"/>
        </w:rPr>
        <w:t>c)</w:t>
      </w:r>
      <w:r w:rsidRPr="003B6E11">
        <w:rPr>
          <w:lang w:val="cs-CZ"/>
        </w:rPr>
        <w:tab/>
        <w:t>Nemá-li potrubní systém v oddělení otevřený vývod, lze potrubí v případě poškození oddělení považovat za nepoškozené, je-li vedeno bezpečným prostorem a nachází-li se ve vzdálenosti více než 0,50 m od dna plavidla.</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14.</w:t>
      </w:r>
      <w:r w:rsidRPr="003B6E11">
        <w:rPr>
          <w:lang w:val="cs-CZ"/>
        </w:rPr>
        <w:tab/>
        <w:t>Dálkové ovládání přepážkových dveří podle odstavce 10 a uzavírací zařízení podle odst. 13 písm. b) nad přepážkovou palubou musí být jako takové zřetelně označené.</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15.</w:t>
      </w:r>
      <w:r w:rsidRPr="003B6E11">
        <w:rPr>
          <w:lang w:val="cs-CZ"/>
        </w:rPr>
        <w:tab/>
        <w:t>V případě dvojitého dna musí být jeho výška nejméně 0,60 m, a je-li bok dvojitý, musí být jeho šířka nejméně 0,60 m.</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16.</w:t>
      </w:r>
      <w:r w:rsidRPr="003B6E11">
        <w:rPr>
          <w:lang w:val="cs-CZ"/>
        </w:rPr>
        <w:tab/>
        <w:t>Okna mohou být umístěna pod rovinou zbytkového výtlaku, jsou-li vodotěsná, nelze je otevírat, jsou dostatečně pevná a odpovídají čl. 19.06 odst. 14.</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p>
    <w:p w:rsidR="00E82B25" w:rsidRPr="003B6E11" w:rsidRDefault="00E82B25" w:rsidP="00E82B25">
      <w:pPr>
        <w:pStyle w:val="ES-Titre3"/>
        <w:rPr>
          <w:rFonts w:cs="Arial"/>
          <w:lang w:val="cs-CZ"/>
        </w:rPr>
      </w:pPr>
      <w:bookmarkStart w:id="350" w:name="_Toc491854172"/>
      <w:bookmarkStart w:id="351" w:name="_Toc535417078"/>
      <w:r w:rsidRPr="003B6E11">
        <w:rPr>
          <w:lang w:val="cs-CZ"/>
        </w:rPr>
        <w:t>Článek 19.03</w:t>
      </w:r>
      <w:r w:rsidRPr="003B6E11">
        <w:rPr>
          <w:lang w:val="cs-CZ"/>
        </w:rPr>
        <w:br/>
      </w:r>
      <w:r w:rsidRPr="003B6E11">
        <w:rPr>
          <w:i/>
          <w:noProof/>
          <w:lang w:val="cs-CZ"/>
        </w:rPr>
        <w:t>Stabilita</w:t>
      </w:r>
      <w:bookmarkEnd w:id="350"/>
      <w:bookmarkEnd w:id="351"/>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w:t>
      </w:r>
      <w:r w:rsidRPr="003B6E11">
        <w:rPr>
          <w:lang w:val="cs-CZ"/>
        </w:rPr>
        <w:tab/>
        <w:t>Žadatel musí pomocí výpočtu na základě výsledků získaných při uplatnění normy pro stabilitu v neporušeném stavu prokázat, že stabilita plavidla v neporušeném stavu je přiměřená. Všechny výpočty se provedou bez omezení sklonu a poklesu. Údaje pro prázdnou loď, které se používají pro stabilitní výpočty, musí být stanoveny zkouškou náklonu.</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br w:type="page"/>
      </w:r>
    </w:p>
    <w:p w:rsidR="00E82B25" w:rsidRPr="003B6E11" w:rsidRDefault="00E82B25" w:rsidP="00E82B25">
      <w:pPr>
        <w:pStyle w:val="ESch"/>
        <w:rPr>
          <w:rFonts w:eastAsia="Calibri"/>
          <w:noProof/>
          <w:lang w:val="cs-CZ"/>
        </w:rPr>
      </w:pPr>
      <w:r w:rsidRPr="003B6E11">
        <w:rPr>
          <w:lang w:val="cs-CZ"/>
        </w:rPr>
        <w:t>2.</w:t>
      </w:r>
      <w:r w:rsidRPr="003B6E11">
        <w:rPr>
          <w:lang w:val="cs-CZ"/>
        </w:rPr>
        <w:tab/>
        <w:t>Stabilita v neporušeném stavu musí být prokázána pro tyto standardní podmínky zatížení:</w:t>
      </w:r>
    </w:p>
    <w:p w:rsidR="00E82B25" w:rsidRPr="003B6E11" w:rsidRDefault="00E82B25" w:rsidP="00E82B25">
      <w:pPr>
        <w:pStyle w:val="ESlet"/>
        <w:rPr>
          <w:rFonts w:eastAsia="Calibri"/>
          <w:noProof/>
          <w:lang w:val="cs-CZ"/>
        </w:rPr>
      </w:pPr>
      <w:r w:rsidRPr="003B6E11">
        <w:rPr>
          <w:lang w:val="cs-CZ"/>
        </w:rPr>
        <w:t>a)</w:t>
      </w:r>
      <w:r w:rsidRPr="003B6E11">
        <w:rPr>
          <w:lang w:val="cs-CZ"/>
        </w:rPr>
        <w:tab/>
        <w:t>na začátku plavby:</w:t>
      </w:r>
    </w:p>
    <w:p w:rsidR="00E82B25" w:rsidRPr="003B6E11" w:rsidRDefault="00E82B25" w:rsidP="00E82B25">
      <w:pPr>
        <w:pStyle w:val="ESletpar"/>
        <w:rPr>
          <w:rFonts w:eastAsia="Calibri"/>
          <w:noProof/>
          <w:lang w:val="cs-CZ"/>
        </w:rPr>
      </w:pPr>
      <w:r w:rsidRPr="003B6E11">
        <w:rPr>
          <w:lang w:val="cs-CZ"/>
        </w:rPr>
        <w:t>cestující 100 %, palivo a pitná voda 98 %, odpadní voda 10 %;</w:t>
      </w:r>
    </w:p>
    <w:p w:rsidR="00E82B25" w:rsidRPr="003B6E11" w:rsidRDefault="00E82B25" w:rsidP="00E82B25">
      <w:pPr>
        <w:pStyle w:val="ESlet"/>
        <w:rPr>
          <w:rFonts w:eastAsia="Calibri"/>
          <w:noProof/>
          <w:lang w:val="cs-CZ"/>
        </w:rPr>
      </w:pPr>
      <w:r w:rsidRPr="003B6E11">
        <w:rPr>
          <w:lang w:val="cs-CZ"/>
        </w:rPr>
        <w:t>b)</w:t>
      </w:r>
      <w:r w:rsidRPr="003B6E11">
        <w:rPr>
          <w:lang w:val="cs-CZ"/>
        </w:rPr>
        <w:tab/>
        <w:t>během plavby:</w:t>
      </w:r>
    </w:p>
    <w:p w:rsidR="00E82B25" w:rsidRPr="003B6E11" w:rsidRDefault="00E82B25" w:rsidP="00E82B25">
      <w:pPr>
        <w:pStyle w:val="ESletpar"/>
        <w:rPr>
          <w:rFonts w:eastAsia="Calibri"/>
          <w:noProof/>
          <w:lang w:val="cs-CZ"/>
        </w:rPr>
      </w:pPr>
      <w:r w:rsidRPr="003B6E11">
        <w:rPr>
          <w:lang w:val="cs-CZ"/>
        </w:rPr>
        <w:t>cestující 100 %, palivo a pitná voda 50 %, odpadní voda 50 %;</w:t>
      </w:r>
    </w:p>
    <w:p w:rsidR="00E82B25" w:rsidRPr="003B6E11" w:rsidRDefault="00E82B25" w:rsidP="00E82B25">
      <w:pPr>
        <w:pStyle w:val="ESlet"/>
        <w:rPr>
          <w:rFonts w:eastAsia="Calibri"/>
          <w:noProof/>
          <w:lang w:val="cs-CZ"/>
        </w:rPr>
      </w:pPr>
      <w:r w:rsidRPr="003B6E11">
        <w:rPr>
          <w:lang w:val="cs-CZ"/>
        </w:rPr>
        <w:t>c)</w:t>
      </w:r>
      <w:r w:rsidRPr="003B6E11">
        <w:rPr>
          <w:lang w:val="cs-CZ"/>
        </w:rPr>
        <w:tab/>
        <w:t>na konci plavby:</w:t>
      </w:r>
    </w:p>
    <w:p w:rsidR="00E82B25" w:rsidRPr="003B6E11" w:rsidRDefault="00E82B25" w:rsidP="00E82B25">
      <w:pPr>
        <w:pStyle w:val="ESletpar"/>
        <w:rPr>
          <w:rFonts w:eastAsia="Calibri"/>
          <w:noProof/>
          <w:lang w:val="cs-CZ"/>
        </w:rPr>
      </w:pPr>
      <w:r w:rsidRPr="003B6E11">
        <w:rPr>
          <w:lang w:val="cs-CZ"/>
        </w:rPr>
        <w:t>cestující 100 %, palivo a pitná voda 10 %, odpadní voda 98 %;</w:t>
      </w:r>
    </w:p>
    <w:p w:rsidR="00E82B25" w:rsidRPr="003B6E11" w:rsidRDefault="00E82B25" w:rsidP="00E82B25">
      <w:pPr>
        <w:pStyle w:val="ESlet"/>
        <w:rPr>
          <w:rFonts w:eastAsia="Calibri"/>
          <w:noProof/>
          <w:lang w:val="cs-CZ"/>
        </w:rPr>
      </w:pPr>
      <w:r w:rsidRPr="003B6E11">
        <w:rPr>
          <w:lang w:val="cs-CZ"/>
        </w:rPr>
        <w:t>d)</w:t>
      </w:r>
      <w:r w:rsidRPr="003B6E11">
        <w:rPr>
          <w:lang w:val="cs-CZ"/>
        </w:rPr>
        <w:tab/>
        <w:t>nenaložené plavidlo:</w:t>
      </w:r>
    </w:p>
    <w:p w:rsidR="00E82B25" w:rsidRPr="003B6E11" w:rsidRDefault="00E82B25" w:rsidP="00E82B25">
      <w:pPr>
        <w:pStyle w:val="ESletpar"/>
        <w:rPr>
          <w:rFonts w:eastAsia="Calibri"/>
          <w:noProof/>
          <w:lang w:val="cs-CZ"/>
        </w:rPr>
      </w:pPr>
      <w:r w:rsidRPr="003B6E11">
        <w:rPr>
          <w:lang w:val="cs-CZ"/>
        </w:rPr>
        <w:t>žádní cestující, palivo a pitná voda 10 %, žádná odpadní voda.</w:t>
      </w:r>
    </w:p>
    <w:p w:rsidR="00E82B25" w:rsidRPr="003B6E11" w:rsidRDefault="00E82B25" w:rsidP="00E82B25">
      <w:pPr>
        <w:pStyle w:val="ESchpar"/>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Pro všechny standardní podmínky zatížení se zátěžové nádrže musí považovat podle obvyklých provozních podmínek za prázdné nebo plné.</w:t>
      </w:r>
    </w:p>
    <w:p w:rsidR="00E82B25" w:rsidRPr="003B6E11" w:rsidRDefault="00E82B25" w:rsidP="00E82B25">
      <w:pPr>
        <w:pStyle w:val="ESchpar"/>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Kromě toho je nutno požadavek odst. 3 písm. d) prokázat pro tuto podmínku zatížení:</w:t>
      </w:r>
    </w:p>
    <w:p w:rsidR="00E82B25" w:rsidRPr="003B6E11" w:rsidRDefault="00E82B25" w:rsidP="00E82B25">
      <w:pPr>
        <w:pStyle w:val="ESchpar"/>
        <w:spacing w:before="60"/>
        <w:ind w:left="992"/>
        <w:rPr>
          <w:rFonts w:eastAsia="Calibri" w:cs="Arial"/>
          <w:szCs w:val="18"/>
          <w:lang w:val="cs-CZ"/>
        </w:rPr>
      </w:pPr>
      <w:r w:rsidRPr="003B6E11">
        <w:rPr>
          <w:lang w:val="cs-CZ"/>
        </w:rPr>
        <w:t>cestující 100 %, palivo a pitná voda 50 %, odpadní voda 50 %, všechny ostatní nádrže na kapaliny (včetně zátěžové vody) se považují za naplněné na 50 %.</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r w:rsidRPr="003B6E11">
        <w:rPr>
          <w:lang w:val="cs-CZ"/>
        </w:rPr>
        <w:t>3.</w:t>
      </w:r>
      <w:r w:rsidRPr="003B6E11">
        <w:rPr>
          <w:lang w:val="cs-CZ"/>
        </w:rPr>
        <w:tab/>
        <w:t>Je nutno předložit důkaz o přiměřené stabilitě v neporušeném stavu pomocí výpočtu s použitím níže uvedených definic stability v neporušeném stavu a standardních podmínek zatížení podle odst. 2 písm. a) až d):</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 xml:space="preserve">k maximálnímu ramenu stability </w:t>
      </w:r>
      <m:oMath>
        <m:sSub>
          <m:sSubPr>
            <m:ctrlPr>
              <w:rPr>
                <w:rFonts w:ascii="Cambria Math" w:eastAsia="Calibri" w:hAnsi="Cambria Math"/>
                <w:i/>
                <w:noProof/>
                <w:lang w:val="cs-CZ"/>
              </w:rPr>
            </m:ctrlPr>
          </m:sSubPr>
          <m:e>
            <m:r>
              <w:rPr>
                <w:rFonts w:ascii="Cambria Math" w:eastAsia="Calibri" w:hAnsi="Cambria Math"/>
                <w:noProof/>
                <w:lang w:val="cs-CZ"/>
              </w:rPr>
              <m:t>h</m:t>
            </m:r>
          </m:e>
          <m:sub>
            <m:r>
              <w:rPr>
                <w:rFonts w:ascii="Cambria Math" w:eastAsia="Calibri" w:hAnsi="Cambria Math"/>
                <w:noProof/>
                <w:lang w:val="cs-CZ"/>
              </w:rPr>
              <m:t>max</m:t>
            </m:r>
          </m:sub>
        </m:sSub>
      </m:oMath>
      <w:r w:rsidRPr="003B6E11">
        <w:rPr>
          <w:lang w:val="cs-CZ"/>
        </w:rPr>
        <w:t xml:space="preserve"> musí dojít při úhlu náklonu </w:t>
      </w:r>
      <m:oMath>
        <m:sSub>
          <m:sSubPr>
            <m:ctrlPr>
              <w:rPr>
                <w:rFonts w:ascii="Cambria Math" w:eastAsia="Calibri" w:hAnsi="Cambria Math"/>
                <w:i/>
                <w:noProof/>
                <w:lang w:val="cs-CZ"/>
              </w:rPr>
            </m:ctrlPr>
          </m:sSubPr>
          <m:e>
            <m:r>
              <w:rPr>
                <w:rFonts w:ascii="Cambria Math" w:eastAsia="Calibri" w:hAnsi="Cambria Math"/>
                <w:noProof/>
                <w:lang w:val="cs-CZ"/>
              </w:rPr>
              <m:t>φ</m:t>
            </m:r>
          </m:e>
          <m:sub>
            <m:r>
              <w:rPr>
                <w:rFonts w:ascii="Cambria Math" w:eastAsia="Calibri" w:hAnsi="Cambria Math"/>
                <w:noProof/>
                <w:lang w:val="cs-CZ"/>
              </w:rPr>
              <m:t>max</m:t>
            </m:r>
          </m:sub>
        </m:sSub>
        <m:r>
          <w:rPr>
            <w:rFonts w:ascii="Cambria Math" w:eastAsia="Calibri" w:hAnsi="Cambria Math"/>
            <w:noProof/>
            <w:lang w:val="cs-CZ"/>
          </w:rPr>
          <m:t xml:space="preserve"> ≥(</m:t>
        </m:r>
        <m:sSub>
          <m:sSubPr>
            <m:ctrlPr>
              <w:rPr>
                <w:rFonts w:ascii="Cambria Math" w:eastAsia="Calibri" w:hAnsi="Cambria Math"/>
                <w:i/>
                <w:noProof/>
                <w:lang w:val="cs-CZ"/>
              </w:rPr>
            </m:ctrlPr>
          </m:sSubPr>
          <m:e>
            <m:r>
              <w:rPr>
                <w:rFonts w:ascii="Cambria Math" w:eastAsia="Calibri" w:hAnsi="Cambria Math"/>
                <w:noProof/>
                <w:lang w:val="cs-CZ"/>
              </w:rPr>
              <m:t>φ</m:t>
            </m:r>
          </m:e>
          <m:sub>
            <m:r>
              <w:rPr>
                <w:rFonts w:ascii="Cambria Math" w:eastAsia="Calibri" w:hAnsi="Cambria Math"/>
                <w:noProof/>
                <w:lang w:val="cs-CZ"/>
              </w:rPr>
              <m:t>mom</m:t>
            </m:r>
          </m:sub>
        </m:sSub>
        <m:r>
          <w:rPr>
            <w:rFonts w:ascii="Cambria Math" w:eastAsia="Calibri" w:hAnsi="Cambria Math"/>
            <w:noProof/>
            <w:lang w:val="cs-CZ"/>
          </w:rPr>
          <m:t>+3°)</m:t>
        </m:r>
      </m:oMath>
      <w:r w:rsidRPr="003B6E11">
        <w:rPr>
          <w:lang w:val="cs-CZ"/>
        </w:rPr>
        <w:t xml:space="preserve"> a nesmí být menší než 0,20 m. V případě </w:t>
      </w:r>
      <m:oMath>
        <m:sSub>
          <m:sSubPr>
            <m:ctrlPr>
              <w:rPr>
                <w:rFonts w:ascii="Cambria Math" w:eastAsia="Calibri" w:hAnsi="Cambria Math"/>
                <w:i/>
                <w:noProof/>
                <w:lang w:val="cs-CZ"/>
              </w:rPr>
            </m:ctrlPr>
          </m:sSubPr>
          <m:e>
            <m:r>
              <w:rPr>
                <w:rFonts w:ascii="Cambria Math" w:eastAsia="Calibri" w:hAnsi="Cambria Math"/>
                <w:noProof/>
                <w:lang w:val="cs-CZ"/>
              </w:rPr>
              <m:t>φ</m:t>
            </m:r>
          </m:e>
          <m:sub>
            <m:r>
              <w:rPr>
                <w:rFonts w:ascii="Cambria Math" w:eastAsia="Calibri" w:hAnsi="Cambria Math"/>
                <w:noProof/>
                <w:lang w:val="cs-CZ"/>
              </w:rPr>
              <m:t>f</m:t>
            </m:r>
          </m:sub>
        </m:sSub>
        <m:r>
          <w:rPr>
            <w:rFonts w:ascii="Cambria Math" w:eastAsia="Calibri" w:hAnsi="Cambria Math"/>
            <w:noProof/>
            <w:lang w:val="cs-CZ"/>
          </w:rPr>
          <m:t>&lt;</m:t>
        </m:r>
        <m:sSub>
          <m:sSubPr>
            <m:ctrlPr>
              <w:rPr>
                <w:rFonts w:ascii="Cambria Math" w:eastAsia="Calibri" w:hAnsi="Cambria Math"/>
                <w:i/>
                <w:noProof/>
                <w:lang w:val="cs-CZ"/>
              </w:rPr>
            </m:ctrlPr>
          </m:sSubPr>
          <m:e>
            <m:r>
              <w:rPr>
                <w:rFonts w:ascii="Cambria Math" w:eastAsia="Calibri" w:hAnsi="Cambria Math"/>
                <w:noProof/>
                <w:lang w:val="cs-CZ"/>
              </w:rPr>
              <m:t>φ</m:t>
            </m:r>
          </m:e>
          <m:sub>
            <m:r>
              <w:rPr>
                <w:rFonts w:ascii="Cambria Math" w:eastAsia="Calibri" w:hAnsi="Cambria Math"/>
                <w:noProof/>
                <w:lang w:val="cs-CZ"/>
              </w:rPr>
              <m:t>max</m:t>
            </m:r>
          </m:sub>
        </m:sSub>
      </m:oMath>
      <w:r w:rsidRPr="003B6E11">
        <w:rPr>
          <w:lang w:val="cs-CZ"/>
        </w:rPr>
        <w:t xml:space="preserve"> však nesmí být rameno stability při úhlu zaplavení </w:t>
      </w:r>
      <m:oMath>
        <m:sSub>
          <m:sSubPr>
            <m:ctrlPr>
              <w:rPr>
                <w:rFonts w:ascii="Cambria Math" w:eastAsia="Calibri" w:hAnsi="Cambria Math"/>
                <w:i/>
                <w:lang w:val="cs-CZ"/>
              </w:rPr>
            </m:ctrlPr>
          </m:sSubPr>
          <m:e>
            <m:r>
              <w:rPr>
                <w:rFonts w:ascii="Cambria Math" w:eastAsia="Calibri" w:hAnsi="Cambria Math"/>
                <w:lang w:val="cs-CZ"/>
              </w:rPr>
              <m:t>φ</m:t>
            </m:r>
          </m:e>
          <m:sub>
            <m:r>
              <w:rPr>
                <w:rFonts w:ascii="Cambria Math" w:eastAsia="Calibri" w:hAnsi="Cambria Math"/>
                <w:lang w:val="cs-CZ"/>
              </w:rPr>
              <m:t>f</m:t>
            </m:r>
          </m:sub>
        </m:sSub>
      </m:oMath>
      <w:r w:rsidRPr="003B6E11">
        <w:rPr>
          <w:lang w:val="cs-CZ"/>
        </w:rPr>
        <w:t xml:space="preserve"> menší než 0,20 m;</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 xml:space="preserve">úhel zaplavení </w:t>
      </w:r>
      <m:oMath>
        <m:sSub>
          <m:sSubPr>
            <m:ctrlPr>
              <w:rPr>
                <w:rFonts w:ascii="Cambria Math" w:eastAsia="Calibri" w:hAnsi="Cambria Math"/>
                <w:i/>
                <w:lang w:val="cs-CZ"/>
              </w:rPr>
            </m:ctrlPr>
          </m:sSubPr>
          <m:e>
            <m:r>
              <w:rPr>
                <w:rFonts w:ascii="Cambria Math" w:eastAsia="Calibri" w:hAnsi="Cambria Math"/>
                <w:lang w:val="cs-CZ"/>
              </w:rPr>
              <m:t>φ</m:t>
            </m:r>
          </m:e>
          <m:sub>
            <m:r>
              <w:rPr>
                <w:rFonts w:ascii="Cambria Math" w:eastAsia="Calibri" w:hAnsi="Cambria Math"/>
                <w:lang w:val="cs-CZ"/>
              </w:rPr>
              <m:t>f</m:t>
            </m:r>
          </m:sub>
        </m:sSub>
      </m:oMath>
      <w:r w:rsidRPr="003B6E11">
        <w:rPr>
          <w:lang w:val="cs-CZ"/>
        </w:rPr>
        <w:t xml:space="preserve"> nesmí být menší než </w:t>
      </w:r>
      <m:oMath>
        <m:r>
          <w:rPr>
            <w:rFonts w:ascii="Cambria Math" w:eastAsia="Calibri" w:hAnsi="Cambria Math"/>
            <w:noProof/>
            <w:lang w:val="cs-CZ"/>
          </w:rPr>
          <m:t>(</m:t>
        </m:r>
        <m:sSub>
          <m:sSubPr>
            <m:ctrlPr>
              <w:rPr>
                <w:rFonts w:ascii="Cambria Math" w:eastAsia="Calibri" w:hAnsi="Cambria Math"/>
                <w:i/>
                <w:noProof/>
                <w:lang w:val="cs-CZ"/>
              </w:rPr>
            </m:ctrlPr>
          </m:sSubPr>
          <m:e>
            <m:r>
              <w:rPr>
                <w:rFonts w:ascii="Cambria Math" w:eastAsia="Calibri" w:hAnsi="Cambria Math"/>
                <w:noProof/>
                <w:lang w:val="cs-CZ"/>
              </w:rPr>
              <m:t>φ</m:t>
            </m:r>
          </m:e>
          <m:sub>
            <m:r>
              <w:rPr>
                <w:rFonts w:ascii="Cambria Math" w:eastAsia="Calibri" w:hAnsi="Cambria Math"/>
                <w:noProof/>
                <w:lang w:val="cs-CZ"/>
              </w:rPr>
              <m:t>mom</m:t>
            </m:r>
          </m:sub>
        </m:sSub>
        <m:r>
          <w:rPr>
            <w:rFonts w:ascii="Cambria Math" w:eastAsia="Calibri" w:hAnsi="Cambria Math"/>
            <w:noProof/>
            <w:lang w:val="cs-CZ"/>
          </w:rPr>
          <m:t>+3°)</m:t>
        </m:r>
      </m:oMath>
      <w:r w:rsidRPr="003B6E11">
        <w:rPr>
          <w:lang w:val="cs-CZ"/>
        </w:rPr>
        <w:t>;</w:t>
      </w:r>
    </w:p>
    <w:p w:rsidR="00E82B25" w:rsidRPr="003B6E11" w:rsidRDefault="00E82B25" w:rsidP="00E82B25">
      <w:pPr>
        <w:pStyle w:val="ESlet"/>
        <w:rPr>
          <w:rFonts w:eastAsia="Calibri"/>
          <w:noProof/>
          <w:lang w:val="cs-CZ"/>
        </w:rPr>
      </w:pPr>
      <w:r w:rsidRPr="003B6E11">
        <w:rPr>
          <w:lang w:val="cs-CZ"/>
        </w:rPr>
        <w:t>c)</w:t>
      </w:r>
      <w:r w:rsidRPr="003B6E11">
        <w:rPr>
          <w:lang w:val="cs-CZ"/>
        </w:rPr>
        <w:tab/>
        <w:t xml:space="preserve">plocha </w:t>
      </w:r>
      <m:oMath>
        <m:r>
          <w:rPr>
            <w:rFonts w:ascii="Cambria Math" w:eastAsia="Calibri" w:hAnsi="Cambria Math" w:cs="Arial"/>
            <w:szCs w:val="18"/>
            <w:lang w:val="cs-CZ"/>
          </w:rPr>
          <m:t>A</m:t>
        </m:r>
      </m:oMath>
      <w:r w:rsidRPr="003B6E11">
        <w:rPr>
          <w:lang w:val="cs-CZ"/>
        </w:rPr>
        <w:t xml:space="preserve"> pod křivkou ramene stability musí pro hodnoty </w:t>
      </w:r>
      <m:oMath>
        <m:sSub>
          <m:sSubPr>
            <m:ctrlPr>
              <w:rPr>
                <w:rFonts w:ascii="Cambria Math" w:eastAsia="Calibri" w:hAnsi="Cambria Math"/>
                <w:i/>
                <w:noProof/>
                <w:lang w:val="cs-CZ"/>
              </w:rPr>
            </m:ctrlPr>
          </m:sSubPr>
          <m:e>
            <m:r>
              <w:rPr>
                <w:rFonts w:ascii="Cambria Math" w:eastAsia="Calibri" w:hAnsi="Cambria Math"/>
                <w:noProof/>
                <w:lang w:val="cs-CZ"/>
              </w:rPr>
              <m:t>φ</m:t>
            </m:r>
          </m:e>
          <m:sub>
            <m:r>
              <w:rPr>
                <w:rFonts w:ascii="Cambria Math" w:eastAsia="Calibri" w:hAnsi="Cambria Math"/>
                <w:noProof/>
                <w:lang w:val="cs-CZ"/>
              </w:rPr>
              <m:t>f</m:t>
            </m:r>
          </m:sub>
        </m:sSub>
      </m:oMath>
      <w:r w:rsidRPr="003B6E11">
        <w:rPr>
          <w:lang w:val="cs-CZ"/>
        </w:rPr>
        <w:t xml:space="preserve"> a </w:t>
      </w:r>
      <m:oMath>
        <m:sSub>
          <m:sSubPr>
            <m:ctrlPr>
              <w:rPr>
                <w:rFonts w:ascii="Cambria Math" w:eastAsia="Calibri" w:hAnsi="Cambria Math"/>
                <w:i/>
                <w:noProof/>
                <w:lang w:val="cs-CZ"/>
              </w:rPr>
            </m:ctrlPr>
          </m:sSubPr>
          <m:e>
            <m:r>
              <w:rPr>
                <w:rFonts w:ascii="Cambria Math" w:eastAsia="Calibri" w:hAnsi="Cambria Math"/>
                <w:noProof/>
                <w:lang w:val="cs-CZ"/>
              </w:rPr>
              <m:t>φ</m:t>
            </m:r>
          </m:e>
          <m:sub>
            <m:r>
              <w:rPr>
                <w:rFonts w:ascii="Cambria Math" w:eastAsia="Calibri" w:hAnsi="Cambria Math"/>
                <w:noProof/>
                <w:lang w:val="cs-CZ"/>
              </w:rPr>
              <m:t>max</m:t>
            </m:r>
          </m:sub>
        </m:sSub>
      </m:oMath>
      <w:r w:rsidRPr="003B6E11">
        <w:rPr>
          <w:lang w:val="cs-CZ"/>
        </w:rPr>
        <w:t xml:space="preserve"> dosahovat nejméně těchto hodnot:</w:t>
      </w:r>
    </w:p>
    <w:p w:rsidR="00E82B25" w:rsidRPr="003B6E11" w:rsidRDefault="00E82B25" w:rsidP="00E82B25">
      <w:pPr>
        <w:pStyle w:val="ESgauche"/>
        <w:rPr>
          <w:rFonts w:eastAsia="Calibri"/>
          <w:lang w:val="cs-CZ"/>
        </w:rPr>
      </w:pPr>
    </w:p>
    <w:tbl>
      <w:tblPr>
        <w:tblW w:w="0" w:type="auto"/>
        <w:tblLayout w:type="fixed"/>
        <w:tblLook w:val="0000" w:firstRow="0" w:lastRow="0" w:firstColumn="0" w:lastColumn="0" w:noHBand="0" w:noVBand="0"/>
      </w:tblPr>
      <w:tblGrid>
        <w:gridCol w:w="680"/>
        <w:gridCol w:w="2381"/>
        <w:gridCol w:w="1393"/>
        <w:gridCol w:w="4736"/>
      </w:tblGrid>
      <w:tr w:rsidR="00E82B25" w:rsidRPr="003B6E11" w:rsidTr="002D015D">
        <w:tc>
          <w:tcPr>
            <w:tcW w:w="680"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Případ</w:t>
            </w:r>
          </w:p>
        </w:tc>
        <w:tc>
          <w:tcPr>
            <w:tcW w:w="2381"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jc w:val="center"/>
              <w:rPr>
                <w:rFonts w:cs="Arial"/>
                <w:noProof/>
                <w:sz w:val="18"/>
                <w:szCs w:val="18"/>
                <w:lang w:val="cs-CZ"/>
              </w:rPr>
            </w:pPr>
          </w:p>
        </w:tc>
        <w:tc>
          <w:tcPr>
            <w:tcW w:w="1393"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jc w:val="center"/>
              <w:rPr>
                <w:rFonts w:cs="Arial"/>
                <w:noProof/>
                <w:sz w:val="18"/>
                <w:szCs w:val="18"/>
                <w:lang w:val="cs-CZ"/>
              </w:rPr>
            </w:pPr>
          </w:p>
        </w:tc>
        <w:tc>
          <w:tcPr>
            <w:tcW w:w="4736"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w:t>
            </w:r>
          </w:p>
        </w:tc>
      </w:tr>
      <w:tr w:rsidR="00E82B25" w:rsidRPr="002D015D" w:rsidTr="002D015D">
        <w:tc>
          <w:tcPr>
            <w:tcW w:w="680"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1</w:t>
            </w:r>
          </w:p>
        </w:tc>
        <w:tc>
          <w:tcPr>
            <w:tcW w:w="2381" w:type="dxa"/>
            <w:tcBorders>
              <w:top w:val="single" w:sz="2" w:space="0" w:color="auto"/>
              <w:left w:val="single" w:sz="2" w:space="0" w:color="auto"/>
              <w:bottom w:val="single" w:sz="2" w:space="0" w:color="auto"/>
              <w:right w:val="single" w:sz="2" w:space="0" w:color="auto"/>
            </w:tcBorders>
          </w:tcPr>
          <w:p w:rsidR="00E82B25" w:rsidRPr="003B6E11" w:rsidRDefault="002D015D" w:rsidP="002D015D">
            <w:pPr>
              <w:spacing w:before="60" w:after="60" w:line="240" w:lineRule="atLeast"/>
              <w:rPr>
                <w:rFonts w:cs="Arial"/>
                <w:noProof/>
                <w:szCs w:val="20"/>
                <w:lang w:val="cs-CZ"/>
              </w:rPr>
            </w:pPr>
            <m:oMath>
              <m:sSub>
                <m:sSubPr>
                  <m:ctrlPr>
                    <w:rPr>
                      <w:rFonts w:ascii="Cambria Math" w:eastAsia="Calibri" w:hAnsi="Cambria Math"/>
                      <w:i/>
                      <w:noProof/>
                      <w:szCs w:val="20"/>
                      <w:lang w:val="cs-CZ"/>
                    </w:rPr>
                  </m:ctrlPr>
                </m:sSubPr>
                <m:e>
                  <m:r>
                    <w:rPr>
                      <w:rFonts w:ascii="Cambria Math" w:eastAsia="Calibri" w:hAnsi="Cambria Math"/>
                      <w:noProof/>
                      <w:szCs w:val="20"/>
                      <w:lang w:val="cs-CZ"/>
                    </w:rPr>
                    <m:t>φ</m:t>
                  </m:r>
                </m:e>
                <m:sub>
                  <m:r>
                    <w:rPr>
                      <w:rFonts w:ascii="Cambria Math" w:eastAsia="Calibri" w:hAnsi="Cambria Math"/>
                      <w:noProof/>
                      <w:szCs w:val="20"/>
                      <w:lang w:val="cs-CZ"/>
                    </w:rPr>
                    <m:t>max</m:t>
                  </m:r>
                </m:sub>
              </m:sSub>
              <m:r>
                <w:rPr>
                  <w:rFonts w:ascii="Cambria Math" w:eastAsia="Calibri" w:hAnsi="Cambria Math"/>
                  <w:noProof/>
                  <w:szCs w:val="20"/>
                  <w:lang w:val="cs-CZ"/>
                </w:rPr>
                <m:t xml:space="preserve"> ≤15°</m:t>
              </m:r>
            </m:oMath>
            <w:r w:rsidR="00E82B25" w:rsidRPr="003B6E11">
              <w:rPr>
                <w:lang w:val="cs-CZ"/>
              </w:rPr>
              <w:t xml:space="preserve"> nebo </w:t>
            </w:r>
            <m:oMath>
              <m:sSub>
                <m:sSubPr>
                  <m:ctrlPr>
                    <w:rPr>
                      <w:rFonts w:ascii="Cambria Math" w:eastAsia="Calibri" w:hAnsi="Cambria Math"/>
                      <w:i/>
                      <w:noProof/>
                      <w:szCs w:val="20"/>
                      <w:lang w:val="cs-CZ"/>
                    </w:rPr>
                  </m:ctrlPr>
                </m:sSubPr>
                <m:e>
                  <m:r>
                    <w:rPr>
                      <w:rFonts w:ascii="Cambria Math" w:eastAsia="Calibri" w:hAnsi="Cambria Math"/>
                      <w:noProof/>
                      <w:szCs w:val="20"/>
                      <w:lang w:val="cs-CZ"/>
                    </w:rPr>
                    <m:t>φ</m:t>
                  </m:r>
                </m:e>
                <m:sub>
                  <m:r>
                    <w:rPr>
                      <w:rFonts w:ascii="Cambria Math" w:eastAsia="Calibri" w:hAnsi="Cambria Math"/>
                      <w:noProof/>
                      <w:szCs w:val="20"/>
                      <w:lang w:val="cs-CZ"/>
                    </w:rPr>
                    <m:t>f</m:t>
                  </m:r>
                </m:sub>
              </m:sSub>
              <m:r>
                <w:rPr>
                  <w:rFonts w:ascii="Cambria Math" w:eastAsia="Calibri" w:hAnsi="Cambria Math"/>
                  <w:noProof/>
                  <w:szCs w:val="20"/>
                  <w:lang w:val="cs-CZ"/>
                </w:rPr>
                <m:t xml:space="preserve"> ≤15°</m:t>
              </m:r>
            </m:oMath>
          </w:p>
        </w:tc>
        <w:tc>
          <w:tcPr>
            <w:tcW w:w="1393"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w:p>
        </w:tc>
        <w:tc>
          <w:tcPr>
            <w:tcW w:w="4736"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m:oMath>
              <m:r>
                <w:rPr>
                  <w:rFonts w:ascii="Cambria Math" w:hAnsi="Cambria Math" w:cs="Arial"/>
                  <w:noProof/>
                  <w:szCs w:val="18"/>
                  <w:lang w:val="cs-CZ"/>
                </w:rPr>
                <m:t>0,05 m ∙rad</m:t>
              </m:r>
            </m:oMath>
            <w:r w:rsidRPr="003B6E11">
              <w:rPr>
                <w:noProof/>
                <w:sz w:val="18"/>
                <w:lang w:val="cs-CZ"/>
              </w:rPr>
              <w:t xml:space="preserve"> až do menšího z úhlů </w:t>
            </w:r>
            <m:oMath>
              <m:sSub>
                <m:sSubPr>
                  <m:ctrlPr>
                    <w:rPr>
                      <w:rFonts w:ascii="Cambria Math" w:eastAsia="Calibri" w:hAnsi="Cambria Math"/>
                      <w:i/>
                      <w:noProof/>
                      <w:lang w:val="cs-CZ"/>
                    </w:rPr>
                  </m:ctrlPr>
                </m:sSubPr>
                <m:e>
                  <m:r>
                    <w:rPr>
                      <w:rFonts w:ascii="Cambria Math" w:eastAsia="Calibri" w:hAnsi="Cambria Math"/>
                      <w:noProof/>
                      <w:lang w:val="cs-CZ"/>
                    </w:rPr>
                    <m:t>φ</m:t>
                  </m:r>
                </m:e>
                <m:sub>
                  <m:r>
                    <w:rPr>
                      <w:rFonts w:ascii="Cambria Math" w:eastAsia="Calibri" w:hAnsi="Cambria Math"/>
                      <w:noProof/>
                      <w:lang w:val="cs-CZ"/>
                    </w:rPr>
                    <m:t>max</m:t>
                  </m:r>
                </m:sub>
              </m:sSub>
            </m:oMath>
            <w:r w:rsidRPr="003B6E11">
              <w:rPr>
                <w:noProof/>
                <w:sz w:val="18"/>
                <w:lang w:val="cs-CZ"/>
              </w:rPr>
              <w:t xml:space="preserve"> nebo </w:t>
            </w:r>
            <m:oMath>
              <m:sSub>
                <m:sSubPr>
                  <m:ctrlPr>
                    <w:rPr>
                      <w:rFonts w:ascii="Cambria Math" w:eastAsia="Calibri" w:hAnsi="Cambria Math"/>
                      <w:i/>
                      <w:noProof/>
                      <w:lang w:val="cs-CZ"/>
                    </w:rPr>
                  </m:ctrlPr>
                </m:sSubPr>
                <m:e>
                  <m:r>
                    <w:rPr>
                      <w:rFonts w:ascii="Cambria Math" w:eastAsia="Calibri" w:hAnsi="Cambria Math"/>
                      <w:noProof/>
                      <w:lang w:val="cs-CZ"/>
                    </w:rPr>
                    <m:t>φ</m:t>
                  </m:r>
                </m:e>
                <m:sub>
                  <m:r>
                    <w:rPr>
                      <w:rFonts w:ascii="Cambria Math" w:eastAsia="Calibri" w:hAnsi="Cambria Math"/>
                      <w:noProof/>
                      <w:lang w:val="cs-CZ"/>
                    </w:rPr>
                    <m:t>f</m:t>
                  </m:r>
                </m:sub>
              </m:sSub>
            </m:oMath>
          </w:p>
        </w:tc>
      </w:tr>
      <w:tr w:rsidR="00E82B25" w:rsidRPr="002D015D" w:rsidTr="002D015D">
        <w:tc>
          <w:tcPr>
            <w:tcW w:w="680"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2</w:t>
            </w:r>
          </w:p>
        </w:tc>
        <w:tc>
          <w:tcPr>
            <w:tcW w:w="2381" w:type="dxa"/>
            <w:tcBorders>
              <w:top w:val="single" w:sz="2" w:space="0" w:color="auto"/>
              <w:left w:val="single" w:sz="2" w:space="0" w:color="auto"/>
              <w:bottom w:val="single" w:sz="2" w:space="0" w:color="auto"/>
              <w:right w:val="single" w:sz="2" w:space="0" w:color="auto"/>
            </w:tcBorders>
          </w:tcPr>
          <w:p w:rsidR="00E82B25" w:rsidRPr="003B6E11" w:rsidRDefault="002D015D" w:rsidP="002D015D">
            <w:pPr>
              <w:spacing w:before="60" w:after="60" w:line="240" w:lineRule="atLeast"/>
              <w:rPr>
                <w:rFonts w:cs="Arial"/>
                <w:noProof/>
                <w:szCs w:val="20"/>
                <w:lang w:val="cs-CZ"/>
              </w:rPr>
            </w:pPr>
            <m:oMathPara>
              <m:oMath>
                <m:sSub>
                  <m:sSubPr>
                    <m:ctrlPr>
                      <w:rPr>
                        <w:rFonts w:ascii="Cambria Math" w:eastAsia="Calibri" w:hAnsi="Cambria Math"/>
                        <w:i/>
                        <w:noProof/>
                        <w:szCs w:val="20"/>
                        <w:lang w:val="cs-CZ"/>
                      </w:rPr>
                    </m:ctrlPr>
                  </m:sSubPr>
                  <m:e>
                    <m:r>
                      <w:rPr>
                        <w:rFonts w:ascii="Cambria Math" w:eastAsia="Calibri" w:hAnsi="Cambria Math"/>
                        <w:noProof/>
                        <w:szCs w:val="20"/>
                        <w:lang w:val="cs-CZ"/>
                      </w:rPr>
                      <m:t>15° &lt;φ</m:t>
                    </m:r>
                  </m:e>
                  <m:sub>
                    <m:r>
                      <w:rPr>
                        <w:rFonts w:ascii="Cambria Math" w:eastAsia="Calibri" w:hAnsi="Cambria Math"/>
                        <w:noProof/>
                        <w:szCs w:val="20"/>
                        <w:lang w:val="cs-CZ"/>
                      </w:rPr>
                      <m:t>max</m:t>
                    </m:r>
                  </m:sub>
                </m:sSub>
                <m:r>
                  <w:rPr>
                    <w:rFonts w:ascii="Cambria Math" w:eastAsia="Calibri" w:hAnsi="Cambria Math"/>
                    <w:noProof/>
                    <w:szCs w:val="20"/>
                    <w:lang w:val="cs-CZ"/>
                  </w:rPr>
                  <m:t>&lt; 30°</m:t>
                </m:r>
              </m:oMath>
            </m:oMathPara>
          </w:p>
        </w:tc>
        <w:tc>
          <w:tcPr>
            <w:tcW w:w="1393" w:type="dxa"/>
            <w:tcBorders>
              <w:top w:val="single" w:sz="2" w:space="0" w:color="auto"/>
              <w:left w:val="single" w:sz="2" w:space="0" w:color="auto"/>
              <w:bottom w:val="single" w:sz="2" w:space="0" w:color="auto"/>
              <w:right w:val="single" w:sz="2" w:space="0" w:color="auto"/>
            </w:tcBorders>
          </w:tcPr>
          <w:p w:rsidR="00E82B25" w:rsidRPr="003B6E11" w:rsidRDefault="002D015D" w:rsidP="002D015D">
            <w:pPr>
              <w:spacing w:before="60" w:after="60" w:line="240" w:lineRule="atLeast"/>
              <w:rPr>
                <w:rFonts w:cs="Arial"/>
                <w:noProof/>
                <w:sz w:val="18"/>
                <w:szCs w:val="18"/>
                <w:lang w:val="cs-CZ"/>
              </w:rPr>
            </w:pPr>
            <m:oMathPara>
              <m:oMath>
                <m:sSub>
                  <m:sSubPr>
                    <m:ctrlPr>
                      <w:rPr>
                        <w:rFonts w:ascii="Cambria Math" w:eastAsia="Calibri" w:hAnsi="Cambria Math"/>
                        <w:i/>
                        <w:noProof/>
                        <w:lang w:val="cs-CZ"/>
                      </w:rPr>
                    </m:ctrlPr>
                  </m:sSubPr>
                  <m:e>
                    <m:r>
                      <w:rPr>
                        <w:rFonts w:ascii="Cambria Math" w:eastAsia="Calibri" w:hAnsi="Cambria Math"/>
                        <w:noProof/>
                        <w:lang w:val="cs-CZ"/>
                      </w:rPr>
                      <m:t>φ</m:t>
                    </m:r>
                  </m:e>
                  <m:sub>
                    <m:r>
                      <w:rPr>
                        <w:rFonts w:ascii="Cambria Math" w:eastAsia="Calibri" w:hAnsi="Cambria Math"/>
                        <w:noProof/>
                        <w:lang w:val="cs-CZ"/>
                      </w:rPr>
                      <m:t>max</m:t>
                    </m:r>
                  </m:sub>
                </m:sSub>
                <m:r>
                  <w:rPr>
                    <w:rFonts w:ascii="Cambria Math" w:eastAsia="Calibri" w:hAnsi="Cambria Math"/>
                    <w:noProof/>
                    <w:lang w:val="cs-CZ"/>
                  </w:rPr>
                  <m:t xml:space="preserve"> ≤</m:t>
                </m:r>
                <m:sSub>
                  <m:sSubPr>
                    <m:ctrlPr>
                      <w:rPr>
                        <w:rFonts w:ascii="Cambria Math" w:eastAsia="Calibri" w:hAnsi="Cambria Math"/>
                        <w:i/>
                        <w:noProof/>
                        <w:lang w:val="cs-CZ"/>
                      </w:rPr>
                    </m:ctrlPr>
                  </m:sSubPr>
                  <m:e>
                    <m:r>
                      <w:rPr>
                        <w:rFonts w:ascii="Cambria Math" w:eastAsia="Calibri" w:hAnsi="Cambria Math"/>
                        <w:noProof/>
                        <w:lang w:val="cs-CZ"/>
                      </w:rPr>
                      <m:t>φ</m:t>
                    </m:r>
                  </m:e>
                  <m:sub>
                    <m:r>
                      <w:rPr>
                        <w:rFonts w:ascii="Cambria Math" w:eastAsia="Calibri" w:hAnsi="Cambria Math"/>
                        <w:noProof/>
                        <w:lang w:val="cs-CZ"/>
                      </w:rPr>
                      <m:t>f</m:t>
                    </m:r>
                  </m:sub>
                </m:sSub>
              </m:oMath>
            </m:oMathPara>
          </w:p>
        </w:tc>
        <w:tc>
          <w:tcPr>
            <w:tcW w:w="4736"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m:oMath>
              <m:r>
                <w:rPr>
                  <w:rFonts w:ascii="Cambria Math" w:hAnsi="Cambria Math" w:cs="Arial"/>
                  <w:noProof/>
                  <w:szCs w:val="18"/>
                  <w:lang w:val="cs-CZ"/>
                </w:rPr>
                <m:t xml:space="preserve">0,035+0,001 ∙(30- </m:t>
              </m:r>
              <m:sSub>
                <m:sSubPr>
                  <m:ctrlPr>
                    <w:rPr>
                      <w:rFonts w:ascii="Cambria Math" w:hAnsi="Cambria Math" w:cs="Arial"/>
                      <w:i/>
                      <w:noProof/>
                      <w:szCs w:val="18"/>
                      <w:lang w:val="cs-CZ"/>
                    </w:rPr>
                  </m:ctrlPr>
                </m:sSubPr>
                <m:e>
                  <m:r>
                    <w:rPr>
                      <w:rFonts w:ascii="Cambria Math" w:hAnsi="Cambria Math" w:cs="Arial"/>
                      <w:noProof/>
                      <w:szCs w:val="18"/>
                      <w:lang w:val="cs-CZ"/>
                    </w:rPr>
                    <m:t>φ</m:t>
                  </m:r>
                </m:e>
                <m:sub>
                  <m:r>
                    <w:rPr>
                      <w:rFonts w:ascii="Cambria Math" w:hAnsi="Cambria Math" w:cs="Arial"/>
                      <w:noProof/>
                      <w:szCs w:val="18"/>
                      <w:lang w:val="cs-CZ"/>
                    </w:rPr>
                    <m:t>max</m:t>
                  </m:r>
                </m:sub>
              </m:sSub>
              <m:r>
                <w:rPr>
                  <w:rFonts w:ascii="Cambria Math" w:hAnsi="Cambria Math" w:cs="Arial"/>
                  <w:noProof/>
                  <w:szCs w:val="18"/>
                  <w:lang w:val="cs-CZ"/>
                </w:rPr>
                <m:t>) m ∙rad</m:t>
              </m:r>
            </m:oMath>
            <w:r w:rsidRPr="003B6E11">
              <w:rPr>
                <w:lang w:val="cs-CZ"/>
              </w:rPr>
              <w:t xml:space="preserve"> </w:t>
            </w:r>
            <w:r w:rsidRPr="003B6E11">
              <w:rPr>
                <w:noProof/>
                <w:sz w:val="18"/>
                <w:lang w:val="cs-CZ"/>
              </w:rPr>
              <w:t xml:space="preserve">až do úhlu </w:t>
            </w:r>
            <m:oMath>
              <m:sSub>
                <m:sSubPr>
                  <m:ctrlPr>
                    <w:rPr>
                      <w:rFonts w:ascii="Cambria Math" w:eastAsia="Calibri" w:hAnsi="Cambria Math"/>
                      <w:i/>
                      <w:noProof/>
                      <w:lang w:val="cs-CZ"/>
                    </w:rPr>
                  </m:ctrlPr>
                </m:sSubPr>
                <m:e>
                  <m:r>
                    <w:rPr>
                      <w:rFonts w:ascii="Cambria Math" w:eastAsia="Calibri" w:hAnsi="Cambria Math"/>
                      <w:noProof/>
                      <w:lang w:val="cs-CZ"/>
                    </w:rPr>
                    <m:t>φ</m:t>
                  </m:r>
                </m:e>
                <m:sub>
                  <m:r>
                    <w:rPr>
                      <w:rFonts w:ascii="Cambria Math" w:eastAsia="Calibri" w:hAnsi="Cambria Math"/>
                      <w:noProof/>
                      <w:lang w:val="cs-CZ"/>
                    </w:rPr>
                    <m:t>max</m:t>
                  </m:r>
                </m:sub>
              </m:sSub>
            </m:oMath>
          </w:p>
        </w:tc>
      </w:tr>
      <w:tr w:rsidR="00E82B25" w:rsidRPr="002D015D" w:rsidTr="002D015D">
        <w:tc>
          <w:tcPr>
            <w:tcW w:w="680"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3</w:t>
            </w:r>
          </w:p>
        </w:tc>
        <w:tc>
          <w:tcPr>
            <w:tcW w:w="2381" w:type="dxa"/>
            <w:tcBorders>
              <w:top w:val="single" w:sz="2" w:space="0" w:color="auto"/>
              <w:left w:val="single" w:sz="2" w:space="0" w:color="auto"/>
              <w:bottom w:val="single" w:sz="2" w:space="0" w:color="auto"/>
              <w:right w:val="single" w:sz="2" w:space="0" w:color="auto"/>
            </w:tcBorders>
          </w:tcPr>
          <w:p w:rsidR="00E82B25" w:rsidRPr="003B6E11" w:rsidRDefault="002D015D" w:rsidP="002D015D">
            <w:pPr>
              <w:spacing w:before="60" w:after="60" w:line="240" w:lineRule="atLeast"/>
              <w:rPr>
                <w:rFonts w:cs="Arial"/>
                <w:noProof/>
                <w:szCs w:val="20"/>
                <w:lang w:val="cs-CZ"/>
              </w:rPr>
            </w:pPr>
            <m:oMathPara>
              <m:oMath>
                <m:sSub>
                  <m:sSubPr>
                    <m:ctrlPr>
                      <w:rPr>
                        <w:rFonts w:ascii="Cambria Math" w:eastAsia="Calibri" w:hAnsi="Cambria Math"/>
                        <w:i/>
                        <w:noProof/>
                        <w:szCs w:val="20"/>
                        <w:lang w:val="cs-CZ"/>
                      </w:rPr>
                    </m:ctrlPr>
                  </m:sSubPr>
                  <m:e>
                    <m:r>
                      <w:rPr>
                        <w:rFonts w:ascii="Cambria Math" w:eastAsia="Calibri" w:hAnsi="Cambria Math"/>
                        <w:noProof/>
                        <w:szCs w:val="20"/>
                        <w:lang w:val="cs-CZ"/>
                      </w:rPr>
                      <m:t>15° &lt;φ</m:t>
                    </m:r>
                  </m:e>
                  <m:sub>
                    <m:r>
                      <w:rPr>
                        <w:rFonts w:ascii="Cambria Math" w:eastAsia="Calibri" w:hAnsi="Cambria Math"/>
                        <w:noProof/>
                        <w:szCs w:val="20"/>
                        <w:lang w:val="cs-CZ"/>
                      </w:rPr>
                      <m:t>f</m:t>
                    </m:r>
                  </m:sub>
                </m:sSub>
                <m:r>
                  <w:rPr>
                    <w:rFonts w:ascii="Cambria Math" w:eastAsia="Calibri" w:hAnsi="Cambria Math"/>
                    <w:noProof/>
                    <w:szCs w:val="20"/>
                    <w:lang w:val="cs-CZ"/>
                  </w:rPr>
                  <m:t>&lt; 30°</m:t>
                </m:r>
              </m:oMath>
            </m:oMathPara>
          </w:p>
        </w:tc>
        <w:tc>
          <w:tcPr>
            <w:tcW w:w="1393" w:type="dxa"/>
            <w:tcBorders>
              <w:top w:val="single" w:sz="2" w:space="0" w:color="auto"/>
              <w:left w:val="single" w:sz="2" w:space="0" w:color="auto"/>
              <w:bottom w:val="single" w:sz="2" w:space="0" w:color="auto"/>
              <w:right w:val="single" w:sz="2" w:space="0" w:color="auto"/>
            </w:tcBorders>
          </w:tcPr>
          <w:p w:rsidR="00E82B25" w:rsidRPr="003B6E11" w:rsidRDefault="002D015D" w:rsidP="002D015D">
            <w:pPr>
              <w:spacing w:before="60" w:after="60" w:line="240" w:lineRule="atLeast"/>
              <w:rPr>
                <w:rFonts w:cs="Arial"/>
                <w:noProof/>
                <w:sz w:val="18"/>
                <w:szCs w:val="18"/>
                <w:lang w:val="cs-CZ"/>
              </w:rPr>
            </w:pPr>
            <m:oMathPara>
              <m:oMath>
                <m:sSub>
                  <m:sSubPr>
                    <m:ctrlPr>
                      <w:rPr>
                        <w:rFonts w:ascii="Cambria Math" w:eastAsia="Calibri" w:hAnsi="Cambria Math"/>
                        <w:i/>
                        <w:noProof/>
                        <w:lang w:val="cs-CZ"/>
                      </w:rPr>
                    </m:ctrlPr>
                  </m:sSubPr>
                  <m:e>
                    <m:r>
                      <w:rPr>
                        <w:rFonts w:ascii="Cambria Math" w:eastAsia="Calibri" w:hAnsi="Cambria Math"/>
                        <w:noProof/>
                        <w:lang w:val="cs-CZ"/>
                      </w:rPr>
                      <m:t>φ</m:t>
                    </m:r>
                  </m:e>
                  <m:sub>
                    <m:r>
                      <w:rPr>
                        <w:rFonts w:ascii="Cambria Math" w:eastAsia="Calibri" w:hAnsi="Cambria Math"/>
                        <w:noProof/>
                        <w:lang w:val="cs-CZ"/>
                      </w:rPr>
                      <m:t>max</m:t>
                    </m:r>
                  </m:sub>
                </m:sSub>
                <m:r>
                  <w:rPr>
                    <w:rFonts w:ascii="Cambria Math" w:eastAsia="Calibri" w:hAnsi="Cambria Math"/>
                    <w:noProof/>
                    <w:lang w:val="cs-CZ"/>
                  </w:rPr>
                  <m:t>&gt;</m:t>
                </m:r>
                <m:sSub>
                  <m:sSubPr>
                    <m:ctrlPr>
                      <w:rPr>
                        <w:rFonts w:ascii="Cambria Math" w:eastAsia="Calibri" w:hAnsi="Cambria Math"/>
                        <w:i/>
                        <w:noProof/>
                        <w:lang w:val="cs-CZ"/>
                      </w:rPr>
                    </m:ctrlPr>
                  </m:sSubPr>
                  <m:e>
                    <m:r>
                      <w:rPr>
                        <w:rFonts w:ascii="Cambria Math" w:eastAsia="Calibri" w:hAnsi="Cambria Math"/>
                        <w:noProof/>
                        <w:lang w:val="cs-CZ"/>
                      </w:rPr>
                      <m:t>φ</m:t>
                    </m:r>
                  </m:e>
                  <m:sub>
                    <m:r>
                      <w:rPr>
                        <w:rFonts w:ascii="Cambria Math" w:eastAsia="Calibri" w:hAnsi="Cambria Math"/>
                        <w:noProof/>
                        <w:lang w:val="cs-CZ"/>
                      </w:rPr>
                      <m:t>f</m:t>
                    </m:r>
                  </m:sub>
                </m:sSub>
              </m:oMath>
            </m:oMathPara>
          </w:p>
        </w:tc>
        <w:tc>
          <w:tcPr>
            <w:tcW w:w="4736"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m:oMath>
              <m:r>
                <w:rPr>
                  <w:rFonts w:ascii="Cambria Math" w:hAnsi="Cambria Math" w:cs="Arial"/>
                  <w:noProof/>
                  <w:szCs w:val="18"/>
                  <w:lang w:val="cs-CZ"/>
                </w:rPr>
                <m:t xml:space="preserve">0,035+0,001 ∙(30- </m:t>
              </m:r>
              <m:sSub>
                <m:sSubPr>
                  <m:ctrlPr>
                    <w:rPr>
                      <w:rFonts w:ascii="Cambria Math" w:hAnsi="Cambria Math" w:cs="Arial"/>
                      <w:i/>
                      <w:noProof/>
                      <w:szCs w:val="18"/>
                      <w:lang w:val="cs-CZ"/>
                    </w:rPr>
                  </m:ctrlPr>
                </m:sSubPr>
                <m:e>
                  <m:r>
                    <w:rPr>
                      <w:rFonts w:ascii="Cambria Math" w:hAnsi="Cambria Math" w:cs="Arial"/>
                      <w:noProof/>
                      <w:szCs w:val="18"/>
                      <w:lang w:val="cs-CZ"/>
                    </w:rPr>
                    <m:t>φ</m:t>
                  </m:r>
                </m:e>
                <m:sub>
                  <m:r>
                    <w:rPr>
                      <w:rFonts w:ascii="Cambria Math" w:hAnsi="Cambria Math" w:cs="Arial"/>
                      <w:noProof/>
                      <w:szCs w:val="18"/>
                      <w:lang w:val="cs-CZ"/>
                    </w:rPr>
                    <m:t>f</m:t>
                  </m:r>
                </m:sub>
              </m:sSub>
              <m:r>
                <w:rPr>
                  <w:rFonts w:ascii="Cambria Math" w:hAnsi="Cambria Math" w:cs="Arial"/>
                  <w:noProof/>
                  <w:szCs w:val="18"/>
                  <w:lang w:val="cs-CZ"/>
                </w:rPr>
                <m:t>) m ∙rad</m:t>
              </m:r>
            </m:oMath>
            <w:r w:rsidRPr="003B6E11">
              <w:rPr>
                <w:noProof/>
                <w:sz w:val="18"/>
                <w:lang w:val="cs-CZ"/>
              </w:rPr>
              <w:t xml:space="preserve"> až do úhlu </w:t>
            </w:r>
            <m:oMath>
              <m:sSub>
                <m:sSubPr>
                  <m:ctrlPr>
                    <w:rPr>
                      <w:rFonts w:ascii="Cambria Math" w:eastAsia="Calibri" w:hAnsi="Cambria Math"/>
                      <w:i/>
                      <w:noProof/>
                      <w:lang w:val="cs-CZ"/>
                    </w:rPr>
                  </m:ctrlPr>
                </m:sSubPr>
                <m:e>
                  <m:r>
                    <w:rPr>
                      <w:rFonts w:ascii="Cambria Math" w:eastAsia="Calibri" w:hAnsi="Cambria Math"/>
                      <w:noProof/>
                      <w:lang w:val="cs-CZ"/>
                    </w:rPr>
                    <m:t>φ</m:t>
                  </m:r>
                </m:e>
                <m:sub>
                  <m:r>
                    <w:rPr>
                      <w:rFonts w:ascii="Cambria Math" w:eastAsia="Calibri" w:hAnsi="Cambria Math"/>
                      <w:noProof/>
                      <w:lang w:val="cs-CZ"/>
                    </w:rPr>
                    <m:t>f</m:t>
                  </m:r>
                </m:sub>
              </m:sSub>
            </m:oMath>
          </w:p>
        </w:tc>
      </w:tr>
      <w:tr w:rsidR="00E82B25" w:rsidRPr="002D015D" w:rsidTr="002D015D">
        <w:tc>
          <w:tcPr>
            <w:tcW w:w="680"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4</w:t>
            </w:r>
          </w:p>
        </w:tc>
        <w:tc>
          <w:tcPr>
            <w:tcW w:w="2381" w:type="dxa"/>
            <w:tcBorders>
              <w:top w:val="single" w:sz="2" w:space="0" w:color="auto"/>
              <w:left w:val="single" w:sz="2" w:space="0" w:color="auto"/>
              <w:bottom w:val="single" w:sz="2" w:space="0" w:color="auto"/>
              <w:right w:val="single" w:sz="2" w:space="0" w:color="auto"/>
            </w:tcBorders>
          </w:tcPr>
          <w:p w:rsidR="00E82B25" w:rsidRPr="003B6E11" w:rsidRDefault="002D015D" w:rsidP="002D015D">
            <w:pPr>
              <w:spacing w:before="60" w:after="60" w:line="240" w:lineRule="atLeast"/>
              <w:rPr>
                <w:rFonts w:cs="Arial"/>
                <w:noProof/>
                <w:szCs w:val="20"/>
                <w:lang w:val="cs-CZ"/>
              </w:rPr>
            </w:pPr>
            <m:oMath>
              <m:sSub>
                <m:sSubPr>
                  <m:ctrlPr>
                    <w:rPr>
                      <w:rFonts w:ascii="Cambria Math" w:eastAsia="Calibri" w:hAnsi="Cambria Math"/>
                      <w:i/>
                      <w:noProof/>
                      <w:szCs w:val="20"/>
                      <w:lang w:val="cs-CZ"/>
                    </w:rPr>
                  </m:ctrlPr>
                </m:sSubPr>
                <m:e>
                  <m:r>
                    <w:rPr>
                      <w:rFonts w:ascii="Cambria Math" w:eastAsia="Calibri" w:hAnsi="Cambria Math"/>
                      <w:noProof/>
                      <w:szCs w:val="20"/>
                      <w:lang w:val="cs-CZ"/>
                    </w:rPr>
                    <m:t>φ</m:t>
                  </m:r>
                </m:e>
                <m:sub>
                  <m:r>
                    <w:rPr>
                      <w:rFonts w:ascii="Cambria Math" w:eastAsia="Calibri" w:hAnsi="Cambria Math"/>
                      <w:noProof/>
                      <w:szCs w:val="20"/>
                      <w:lang w:val="cs-CZ"/>
                    </w:rPr>
                    <m:t>max</m:t>
                  </m:r>
                </m:sub>
              </m:sSub>
              <m:r>
                <w:rPr>
                  <w:rFonts w:ascii="Cambria Math" w:eastAsia="Calibri" w:hAnsi="Cambria Math"/>
                  <w:noProof/>
                  <w:szCs w:val="20"/>
                  <w:lang w:val="cs-CZ"/>
                </w:rPr>
                <m:t xml:space="preserve"> ≥30°</m:t>
              </m:r>
            </m:oMath>
            <w:r w:rsidR="00E82B25" w:rsidRPr="003B6E11">
              <w:rPr>
                <w:lang w:val="cs-CZ"/>
              </w:rPr>
              <w:t xml:space="preserve"> a </w:t>
            </w:r>
            <m:oMath>
              <m:sSub>
                <m:sSubPr>
                  <m:ctrlPr>
                    <w:rPr>
                      <w:rFonts w:ascii="Cambria Math" w:eastAsia="Calibri" w:hAnsi="Cambria Math"/>
                      <w:i/>
                      <w:noProof/>
                      <w:szCs w:val="20"/>
                      <w:lang w:val="cs-CZ"/>
                    </w:rPr>
                  </m:ctrlPr>
                </m:sSubPr>
                <m:e>
                  <m:r>
                    <w:rPr>
                      <w:rFonts w:ascii="Cambria Math" w:eastAsia="Calibri" w:hAnsi="Cambria Math"/>
                      <w:noProof/>
                      <w:szCs w:val="20"/>
                      <w:lang w:val="cs-CZ"/>
                    </w:rPr>
                    <m:t>φ</m:t>
                  </m:r>
                </m:e>
                <m:sub>
                  <m:r>
                    <w:rPr>
                      <w:rFonts w:ascii="Cambria Math" w:eastAsia="Calibri" w:hAnsi="Cambria Math"/>
                      <w:noProof/>
                      <w:szCs w:val="20"/>
                      <w:lang w:val="cs-CZ"/>
                    </w:rPr>
                    <m:t>f</m:t>
                  </m:r>
                </m:sub>
              </m:sSub>
              <m:r>
                <w:rPr>
                  <w:rFonts w:ascii="Cambria Math" w:eastAsia="Calibri" w:hAnsi="Cambria Math"/>
                  <w:noProof/>
                  <w:szCs w:val="20"/>
                  <w:lang w:val="cs-CZ"/>
                </w:rPr>
                <m:t xml:space="preserve"> ≥30°</m:t>
              </m:r>
            </m:oMath>
          </w:p>
        </w:tc>
        <w:tc>
          <w:tcPr>
            <w:tcW w:w="1393"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w:p>
        </w:tc>
        <w:tc>
          <w:tcPr>
            <w:tcW w:w="4736"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m:oMath>
              <m:r>
                <w:rPr>
                  <w:rFonts w:ascii="Cambria Math" w:hAnsi="Cambria Math" w:cs="Arial"/>
                  <w:noProof/>
                  <w:szCs w:val="18"/>
                  <w:lang w:val="cs-CZ"/>
                </w:rPr>
                <m:t>0,035 m ∙rad</m:t>
              </m:r>
            </m:oMath>
            <w:r w:rsidRPr="003B6E11">
              <w:rPr>
                <w:noProof/>
                <w:sz w:val="18"/>
                <w:lang w:val="cs-CZ"/>
              </w:rPr>
              <w:t xml:space="preserve"> až do úhlu </w:t>
            </w:r>
            <m:oMath>
              <m:r>
                <w:rPr>
                  <w:rFonts w:ascii="Cambria Math" w:hAnsi="Cambria Math" w:cs="Arial"/>
                  <w:noProof/>
                  <w:sz w:val="18"/>
                  <w:szCs w:val="18"/>
                  <w:lang w:val="cs-CZ"/>
                </w:rPr>
                <m:t>φ</m:t>
              </m:r>
              <m:r>
                <w:rPr>
                  <w:rFonts w:ascii="Cambria Math" w:eastAsia="Calibri" w:hAnsi="Cambria Math"/>
                  <w:noProof/>
                  <w:lang w:val="cs-CZ"/>
                </w:rPr>
                <m:t>=30°</m:t>
              </m:r>
            </m:oMath>
          </w:p>
        </w:tc>
      </w:tr>
    </w:tbl>
    <w:p w:rsidR="00E82B25" w:rsidRPr="003B6E11" w:rsidRDefault="00E82B25" w:rsidP="00E82B25">
      <w:pPr>
        <w:pStyle w:val="ESgauche"/>
        <w:rPr>
          <w:rFonts w:eastAsia="Calibri"/>
          <w:lang w:val="cs-CZ"/>
        </w:rPr>
      </w:pPr>
    </w:p>
    <w:p w:rsidR="00E82B25" w:rsidRPr="003B6E11" w:rsidRDefault="00E82B25" w:rsidP="00E82B25">
      <w:pPr>
        <w:pStyle w:val="ESletpar"/>
        <w:ind w:left="567"/>
        <w:rPr>
          <w:rFonts w:ascii="Times New Roman" w:hAnsi="Times New Roman" w:cs="Arial"/>
          <w:szCs w:val="18"/>
          <w:lang w:val="cs-CZ"/>
        </w:rPr>
      </w:pPr>
      <w:r w:rsidRPr="003B6E11">
        <w:rPr>
          <w:lang w:val="cs-CZ"/>
        </w:rPr>
        <w:t>Kde:</w:t>
      </w:r>
    </w:p>
    <w:p w:rsidR="00E82B25" w:rsidRPr="003B6E11" w:rsidRDefault="002D015D" w:rsidP="00E82B25">
      <w:pPr>
        <w:pStyle w:val="EStiret"/>
        <w:ind w:left="1276" w:hanging="709"/>
        <w:rPr>
          <w:rFonts w:eastAsia="Calibri" w:cs="Arial"/>
          <w:szCs w:val="18"/>
          <w:lang w:val="cs-CZ"/>
        </w:rPr>
      </w:pPr>
      <m:oMath>
        <m:sSub>
          <m:sSubPr>
            <m:ctrlPr>
              <w:rPr>
                <w:rFonts w:ascii="Cambria Math" w:eastAsia="Calibri" w:hAnsi="Cambria Math"/>
                <w:i/>
                <w:snapToGrid/>
                <w:color w:val="auto"/>
                <w:lang w:val="cs-CZ"/>
              </w:rPr>
            </m:ctrlPr>
          </m:sSubPr>
          <m:e>
            <m:r>
              <w:rPr>
                <w:rFonts w:ascii="Cambria Math" w:eastAsia="Calibri" w:hAnsi="Cambria Math"/>
                <w:lang w:val="cs-CZ"/>
              </w:rPr>
              <m:t>h</m:t>
            </m:r>
          </m:e>
          <m:sub>
            <m:r>
              <w:rPr>
                <w:rFonts w:ascii="Cambria Math" w:eastAsia="Calibri" w:hAnsi="Cambria Math"/>
                <w:lang w:val="cs-CZ"/>
              </w:rPr>
              <m:t>max</m:t>
            </m:r>
          </m:sub>
        </m:sSub>
      </m:oMath>
      <w:r w:rsidR="00E82B25" w:rsidRPr="003B6E11">
        <w:rPr>
          <w:lang w:val="cs-CZ"/>
        </w:rPr>
        <w:tab/>
        <w:t>je maximální rameno stability,</w:t>
      </w:r>
    </w:p>
    <w:p w:rsidR="00E82B25" w:rsidRPr="003B6E11" w:rsidRDefault="00E82B25" w:rsidP="00E82B25">
      <w:pPr>
        <w:pStyle w:val="EStiret"/>
        <w:ind w:left="1276" w:hanging="709"/>
        <w:rPr>
          <w:rFonts w:eastAsia="Calibri" w:cs="Arial"/>
          <w:szCs w:val="18"/>
          <w:vertAlign w:val="superscript"/>
          <w:lang w:val="cs-CZ"/>
        </w:rPr>
      </w:pPr>
      <m:oMath>
        <m:r>
          <w:rPr>
            <w:rFonts w:ascii="Cambria Math" w:eastAsia="Calibri" w:hAnsi="Cambria Math"/>
            <w:lang w:val="cs-CZ"/>
          </w:rPr>
          <m:t>φ</m:t>
        </m:r>
      </m:oMath>
      <w:r w:rsidRPr="003B6E11">
        <w:rPr>
          <w:lang w:val="cs-CZ"/>
        </w:rPr>
        <w:tab/>
        <w:t>je úhel náklonu,</w:t>
      </w:r>
    </w:p>
    <w:p w:rsidR="00E82B25" w:rsidRPr="003B6E11" w:rsidRDefault="002D015D" w:rsidP="00E82B25">
      <w:pPr>
        <w:pStyle w:val="EStiret"/>
        <w:ind w:left="1276" w:hanging="709"/>
        <w:rPr>
          <w:rFonts w:eastAsia="Calibri" w:cs="Arial"/>
          <w:szCs w:val="18"/>
          <w:vertAlign w:val="superscript"/>
          <w:lang w:val="cs-CZ"/>
        </w:rPr>
      </w:pPr>
      <m:oMath>
        <m:sSub>
          <m:sSubPr>
            <m:ctrlPr>
              <w:rPr>
                <w:rFonts w:ascii="Cambria Math" w:eastAsia="Calibri" w:hAnsi="Cambria Math"/>
                <w:i/>
                <w:snapToGrid/>
                <w:color w:val="auto"/>
                <w:lang w:val="cs-CZ"/>
              </w:rPr>
            </m:ctrlPr>
          </m:sSubPr>
          <m:e>
            <m:r>
              <w:rPr>
                <w:rFonts w:ascii="Cambria Math" w:eastAsia="Calibri" w:hAnsi="Cambria Math"/>
                <w:lang w:val="cs-CZ"/>
              </w:rPr>
              <m:t>φ</m:t>
            </m:r>
          </m:e>
          <m:sub>
            <m:r>
              <w:rPr>
                <w:rFonts w:ascii="Cambria Math" w:eastAsia="Calibri" w:hAnsi="Cambria Math"/>
                <w:lang w:val="cs-CZ"/>
              </w:rPr>
              <m:t>f</m:t>
            </m:r>
          </m:sub>
        </m:sSub>
      </m:oMath>
      <w:r w:rsidR="00E82B25" w:rsidRPr="003B6E11">
        <w:rPr>
          <w:lang w:val="cs-CZ"/>
        </w:rPr>
        <w:tab/>
        <w:t>je úhel zaplavení, tj. úhel náklonu, při němž by otvory v lodním trupu, v nástavbě nebo kabinách na horní palubě, které nelze uzavřít tak, aby byly odolné povětrnostním vlivům, byly ponořeny,</w:t>
      </w:r>
    </w:p>
    <w:p w:rsidR="00E82B25" w:rsidRPr="003B6E11" w:rsidRDefault="002D015D" w:rsidP="00E82B25">
      <w:pPr>
        <w:pStyle w:val="EStiret"/>
        <w:ind w:left="1276" w:hanging="709"/>
        <w:rPr>
          <w:rFonts w:eastAsia="Calibri" w:cs="Arial"/>
          <w:szCs w:val="18"/>
          <w:vertAlign w:val="superscript"/>
          <w:lang w:val="cs-CZ"/>
        </w:rPr>
      </w:pPr>
      <m:oMath>
        <m:sSub>
          <m:sSubPr>
            <m:ctrlPr>
              <w:rPr>
                <w:rFonts w:ascii="Cambria Math" w:eastAsia="Calibri" w:hAnsi="Cambria Math"/>
                <w:i/>
                <w:snapToGrid/>
                <w:color w:val="auto"/>
                <w:lang w:val="cs-CZ"/>
              </w:rPr>
            </m:ctrlPr>
          </m:sSubPr>
          <m:e>
            <m:r>
              <w:rPr>
                <w:rFonts w:ascii="Cambria Math" w:eastAsia="Calibri" w:hAnsi="Cambria Math"/>
                <w:lang w:val="cs-CZ"/>
              </w:rPr>
              <m:t>φ</m:t>
            </m:r>
          </m:e>
          <m:sub>
            <m:r>
              <w:rPr>
                <w:rFonts w:ascii="Cambria Math" w:eastAsia="Calibri" w:hAnsi="Cambria Math"/>
                <w:lang w:val="cs-CZ"/>
              </w:rPr>
              <m:t>mom</m:t>
            </m:r>
          </m:sub>
        </m:sSub>
      </m:oMath>
      <w:r w:rsidR="00E82B25" w:rsidRPr="003B6E11">
        <w:rPr>
          <w:lang w:val="cs-CZ"/>
        </w:rPr>
        <w:tab/>
        <w:t>je maximální úhel náklonu podle písmene e),</w:t>
      </w:r>
    </w:p>
    <w:p w:rsidR="00E82B25" w:rsidRPr="003B6E11" w:rsidRDefault="002D015D" w:rsidP="00E82B25">
      <w:pPr>
        <w:pStyle w:val="EStiret"/>
        <w:ind w:left="1276" w:hanging="709"/>
        <w:rPr>
          <w:rFonts w:eastAsia="Calibri" w:cs="Arial"/>
          <w:szCs w:val="18"/>
          <w:vertAlign w:val="superscript"/>
          <w:lang w:val="cs-CZ"/>
        </w:rPr>
      </w:pPr>
      <m:oMath>
        <m:sSub>
          <m:sSubPr>
            <m:ctrlPr>
              <w:rPr>
                <w:rFonts w:ascii="Cambria Math" w:eastAsia="Calibri" w:hAnsi="Cambria Math"/>
                <w:i/>
                <w:snapToGrid/>
                <w:color w:val="auto"/>
                <w:lang w:val="cs-CZ"/>
              </w:rPr>
            </m:ctrlPr>
          </m:sSubPr>
          <m:e>
            <m:r>
              <w:rPr>
                <w:rFonts w:ascii="Cambria Math" w:eastAsia="Calibri" w:hAnsi="Cambria Math"/>
                <w:lang w:val="cs-CZ"/>
              </w:rPr>
              <m:t>φ</m:t>
            </m:r>
          </m:e>
          <m:sub>
            <m:r>
              <w:rPr>
                <w:rFonts w:ascii="Cambria Math" w:eastAsia="Calibri" w:hAnsi="Cambria Math"/>
                <w:lang w:val="cs-CZ"/>
              </w:rPr>
              <m:t>max</m:t>
            </m:r>
          </m:sub>
        </m:sSub>
      </m:oMath>
      <w:r w:rsidR="00E82B25" w:rsidRPr="003B6E11">
        <w:rPr>
          <w:lang w:val="cs-CZ"/>
        </w:rPr>
        <w:tab/>
        <w:t>je úhel náklonu, při němž rameno stability dosáhne maximální hodnoty,</w:t>
      </w:r>
    </w:p>
    <w:p w:rsidR="00E82B25" w:rsidRPr="003B6E11" w:rsidRDefault="00E82B25" w:rsidP="00E82B25">
      <w:pPr>
        <w:pStyle w:val="EStiret"/>
        <w:ind w:left="1276" w:hanging="709"/>
        <w:rPr>
          <w:rFonts w:eastAsia="Calibri" w:cs="Arial"/>
          <w:szCs w:val="18"/>
          <w:vertAlign w:val="superscript"/>
          <w:lang w:val="cs-CZ"/>
        </w:rPr>
      </w:pPr>
      <m:oMath>
        <m:r>
          <w:rPr>
            <w:rFonts w:ascii="Cambria Math" w:eastAsia="Calibri" w:hAnsi="Cambria Math" w:cs="Arial"/>
            <w:szCs w:val="18"/>
            <w:lang w:val="cs-CZ"/>
          </w:rPr>
          <m:t>A</m:t>
        </m:r>
      </m:oMath>
      <w:r w:rsidRPr="003B6E11">
        <w:rPr>
          <w:lang w:val="cs-CZ"/>
        </w:rPr>
        <w:tab/>
        <w:t>je plocha pod křivkou ramene stability;</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br w:type="page"/>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 xml:space="preserve">počáteční metacentrická výška </w:t>
      </w:r>
      <m:oMath>
        <m:sSub>
          <m:sSubPr>
            <m:ctrlPr>
              <w:rPr>
                <w:rFonts w:ascii="Cambria Math" w:eastAsia="Calibri" w:hAnsi="Cambria Math"/>
                <w:i/>
                <w:noProof/>
                <w:lang w:val="cs-CZ"/>
              </w:rPr>
            </m:ctrlPr>
          </m:sSubPr>
          <m:e>
            <m:r>
              <w:rPr>
                <w:rFonts w:ascii="Cambria Math" w:eastAsia="Calibri" w:hAnsi="Cambria Math"/>
                <w:noProof/>
                <w:lang w:val="cs-CZ"/>
              </w:rPr>
              <m:t>GM</m:t>
            </m:r>
          </m:e>
          <m:sub>
            <m:r>
              <w:rPr>
                <w:rFonts w:ascii="Cambria Math" w:eastAsia="Calibri" w:hAnsi="Cambria Math"/>
                <w:noProof/>
                <w:lang w:val="cs-CZ"/>
              </w:rPr>
              <m:t>o</m:t>
            </m:r>
          </m:sub>
        </m:sSub>
      </m:oMath>
      <w:r w:rsidRPr="003B6E11">
        <w:rPr>
          <w:lang w:val="cs-CZ"/>
        </w:rPr>
        <w:t xml:space="preserve"> opravená o účinek volných hladin v nádržích na kapaliny nesmí být menší než 0,15 m;</w:t>
      </w:r>
    </w:p>
    <w:p w:rsidR="00E82B25" w:rsidRPr="003B6E11" w:rsidRDefault="00E82B25" w:rsidP="00E82B25">
      <w:pPr>
        <w:pStyle w:val="ESlet"/>
        <w:rPr>
          <w:rFonts w:eastAsia="Calibri" w:cs="Arial"/>
          <w:szCs w:val="18"/>
          <w:lang w:val="cs-CZ"/>
        </w:rPr>
      </w:pPr>
      <w:r w:rsidRPr="003B6E11">
        <w:rPr>
          <w:lang w:val="cs-CZ"/>
        </w:rPr>
        <w:t>e)</w:t>
      </w:r>
      <w:r w:rsidRPr="003B6E11">
        <w:rPr>
          <w:lang w:val="cs-CZ"/>
        </w:rPr>
        <w:tab/>
        <w:t xml:space="preserve">v obou následujících případech nesmí úhel náklonu </w:t>
      </w:r>
      <m:oMath>
        <m:sSub>
          <m:sSubPr>
            <m:ctrlPr>
              <w:rPr>
                <w:rFonts w:ascii="Cambria Math" w:eastAsia="Calibri" w:hAnsi="Cambria Math"/>
                <w:i/>
                <w:lang w:val="cs-CZ"/>
              </w:rPr>
            </m:ctrlPr>
          </m:sSubPr>
          <m:e>
            <m:r>
              <w:rPr>
                <w:rFonts w:ascii="Cambria Math" w:eastAsia="Calibri" w:hAnsi="Cambria Math"/>
                <w:lang w:val="cs-CZ"/>
              </w:rPr>
              <m:t>φ</m:t>
            </m:r>
          </m:e>
          <m:sub>
            <m:r>
              <w:rPr>
                <w:rFonts w:ascii="Cambria Math" w:eastAsia="Calibri" w:hAnsi="Cambria Math"/>
                <w:lang w:val="cs-CZ"/>
              </w:rPr>
              <m:t>mom</m:t>
            </m:r>
          </m:sub>
        </m:sSub>
      </m:oMath>
      <w:r w:rsidRPr="003B6E11">
        <w:rPr>
          <w:lang w:val="cs-CZ"/>
        </w:rPr>
        <w:t xml:space="preserve"> překročit 12 °:</w:t>
      </w:r>
    </w:p>
    <w:p w:rsidR="00E82B25" w:rsidRPr="003B6E11" w:rsidRDefault="00E82B25" w:rsidP="00E82B25">
      <w:pPr>
        <w:pStyle w:val="EStiret"/>
        <w:rPr>
          <w:rFonts w:eastAsia="Calibri" w:cs="Arial"/>
          <w:szCs w:val="18"/>
          <w:lang w:val="cs-CZ"/>
        </w:rPr>
      </w:pPr>
      <w:r w:rsidRPr="003B6E11">
        <w:rPr>
          <w:lang w:val="cs-CZ"/>
        </w:rPr>
        <w:t>aa)</w:t>
      </w:r>
      <w:r w:rsidRPr="003B6E11">
        <w:rPr>
          <w:lang w:val="cs-CZ"/>
        </w:rPr>
        <w:tab/>
        <w:t>při použití klopného momentu způsobeného osobami a větrem podle odstavců 4 a 5;</w:t>
      </w:r>
    </w:p>
    <w:p w:rsidR="00E82B25" w:rsidRPr="003B6E11" w:rsidRDefault="00E82B25" w:rsidP="00E82B25">
      <w:pPr>
        <w:pStyle w:val="EStiret"/>
        <w:rPr>
          <w:rFonts w:eastAsia="Calibri" w:cs="Arial"/>
          <w:szCs w:val="18"/>
          <w:lang w:val="cs-CZ"/>
        </w:rPr>
      </w:pPr>
      <w:r w:rsidRPr="003B6E11">
        <w:rPr>
          <w:lang w:val="cs-CZ"/>
        </w:rPr>
        <w:t>bb)</w:t>
      </w:r>
      <w:r w:rsidRPr="003B6E11">
        <w:rPr>
          <w:lang w:val="cs-CZ"/>
        </w:rPr>
        <w:tab/>
        <w:t>při použití klopného momentu způsobeného osobami a otáčením podle odstavců 4 a 6;</w:t>
      </w:r>
    </w:p>
    <w:p w:rsidR="00E82B25" w:rsidRPr="003B6E11" w:rsidRDefault="00E82B25" w:rsidP="00E82B25">
      <w:pPr>
        <w:pStyle w:val="ESlet"/>
        <w:rPr>
          <w:rFonts w:eastAsia="Calibri" w:cs="Arial"/>
          <w:szCs w:val="18"/>
          <w:lang w:val="cs-CZ"/>
        </w:rPr>
      </w:pPr>
      <w:r w:rsidRPr="003B6E11">
        <w:rPr>
          <w:lang w:val="cs-CZ"/>
        </w:rPr>
        <w:t>f)</w:t>
      </w:r>
      <w:r w:rsidRPr="003B6E11">
        <w:rPr>
          <w:lang w:val="cs-CZ"/>
        </w:rPr>
        <w:tab/>
        <w:t>pro klopný moment způsobený osobami, větrem a otáčením podle odstavců 4, 5 a 6 nesmí být zbývající volný bok méně než 0,20 m;</w:t>
      </w:r>
    </w:p>
    <w:p w:rsidR="00E82B25" w:rsidRPr="003B6E11" w:rsidRDefault="00E82B25" w:rsidP="00E82B25">
      <w:pPr>
        <w:pStyle w:val="ESlet"/>
        <w:rPr>
          <w:rFonts w:eastAsia="Calibri" w:cs="Arial"/>
          <w:szCs w:val="18"/>
          <w:lang w:val="cs-CZ"/>
        </w:rPr>
      </w:pPr>
      <w:r w:rsidRPr="003B6E11">
        <w:rPr>
          <w:lang w:val="cs-CZ"/>
        </w:rPr>
        <w:t>g)</w:t>
      </w:r>
      <w:r w:rsidRPr="003B6E11">
        <w:rPr>
          <w:lang w:val="cs-CZ"/>
        </w:rPr>
        <w:tab/>
        <w:t>u lodí s okny nebo jinými otvory v lodním trupu umístěnými pod přepážkovými palubami, které nejsou vodotěsně uzavřeny, musí být zbývající bezpečnostní vzdálenost při použití tří klopných momentů podle písmene f) nejméně 0,10 m.</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4.</w:t>
      </w:r>
      <w:r w:rsidRPr="003B6E11">
        <w:rPr>
          <w:lang w:val="cs-CZ"/>
        </w:rPr>
        <w:tab/>
        <w:t xml:space="preserve">Klopný moment způsobený nakupením osob na jednu stranu </w:t>
      </w:r>
      <m:oMath>
        <m:sSub>
          <m:sSubPr>
            <m:ctrlPr>
              <w:rPr>
                <w:rFonts w:ascii="Cambria Math" w:eastAsia="Calibri" w:hAnsi="Cambria Math"/>
                <w:i/>
                <w:noProof/>
                <w:lang w:val="cs-CZ"/>
              </w:rPr>
            </m:ctrlPr>
          </m:sSubPr>
          <m:e>
            <m:r>
              <w:rPr>
                <w:rFonts w:ascii="Cambria Math" w:eastAsia="Calibri" w:hAnsi="Cambria Math"/>
                <w:noProof/>
                <w:lang w:val="cs-CZ"/>
              </w:rPr>
              <m:t>M</m:t>
            </m:r>
          </m:e>
          <m:sub>
            <m:r>
              <w:rPr>
                <w:rFonts w:ascii="Cambria Math" w:eastAsia="Calibri" w:hAnsi="Cambria Math"/>
                <w:noProof/>
                <w:lang w:val="cs-CZ"/>
              </w:rPr>
              <m:t>p</m:t>
            </m:r>
          </m:sub>
        </m:sSub>
      </m:oMath>
      <w:r w:rsidRPr="003B6E11">
        <w:rPr>
          <w:lang w:val="cs-CZ"/>
        </w:rPr>
        <w:t xml:space="preserve"> se vypočte podle vzorce:</w:t>
      </w:r>
    </w:p>
    <w:p w:rsidR="00E82B25" w:rsidRPr="003B6E11" w:rsidRDefault="00E82B25" w:rsidP="00E82B25">
      <w:pPr>
        <w:pStyle w:val="ESch"/>
        <w:rPr>
          <w:rFonts w:eastAsia="Calibri"/>
          <w:noProof/>
          <w:lang w:val="cs-CZ"/>
        </w:rPr>
      </w:pPr>
    </w:p>
    <w:p w:rsidR="00E82B25" w:rsidRPr="003B6E11" w:rsidRDefault="002D015D" w:rsidP="00E82B25">
      <w:pPr>
        <w:pStyle w:val="ESch"/>
        <w:ind w:left="0" w:firstLine="0"/>
        <w:rPr>
          <w:rFonts w:eastAsia="Calibri" w:cs="Arial"/>
          <w:szCs w:val="18"/>
          <w:lang w:val="cs-CZ"/>
        </w:rPr>
      </w:pPr>
      <m:oMathPara>
        <m:oMath>
          <m:sSub>
            <m:sSubPr>
              <m:ctrlPr>
                <w:rPr>
                  <w:rFonts w:ascii="Cambria Math" w:eastAsia="Calibri" w:hAnsi="Cambria Math" w:cs="Arial"/>
                  <w:i/>
                  <w:szCs w:val="18"/>
                  <w:lang w:val="cs-CZ"/>
                </w:rPr>
              </m:ctrlPr>
            </m:sSubPr>
            <m:e>
              <m:r>
                <w:rPr>
                  <w:rFonts w:ascii="Cambria Math" w:eastAsia="Calibri" w:hAnsi="Cambria Math" w:cs="Arial"/>
                  <w:szCs w:val="18"/>
                  <w:lang w:val="cs-CZ"/>
                </w:rPr>
                <m:t>M</m:t>
              </m:r>
            </m:e>
            <m:sub>
              <m:r>
                <w:rPr>
                  <w:rFonts w:ascii="Cambria Math" w:eastAsia="Calibri" w:hAnsi="Cambria Math" w:cs="Arial"/>
                  <w:szCs w:val="18"/>
                  <w:lang w:val="cs-CZ"/>
                </w:rPr>
                <m:t>p</m:t>
              </m:r>
            </m:sub>
          </m:sSub>
          <m:r>
            <w:rPr>
              <w:rFonts w:ascii="Cambria Math" w:eastAsia="Calibri" w:hAnsi="Cambria Math" w:cs="Arial"/>
              <w:szCs w:val="18"/>
              <w:lang w:val="cs-CZ"/>
            </w:rPr>
            <m:t xml:space="preserve">=g ∙P ∙y=g ∙ </m:t>
          </m:r>
          <m:nary>
            <m:naryPr>
              <m:chr m:val="∑"/>
              <m:limLoc m:val="undOvr"/>
              <m:subHide m:val="1"/>
              <m:supHide m:val="1"/>
              <m:ctrlPr>
                <w:rPr>
                  <w:rFonts w:ascii="Cambria Math" w:eastAsia="Calibri" w:hAnsi="Cambria Math" w:cs="Arial"/>
                  <w:i/>
                  <w:szCs w:val="18"/>
                  <w:lang w:val="cs-CZ"/>
                </w:rPr>
              </m:ctrlPr>
            </m:naryPr>
            <m:sub/>
            <m:sup/>
            <m:e>
              <m:sSub>
                <m:sSubPr>
                  <m:ctrlPr>
                    <w:rPr>
                      <w:rFonts w:ascii="Cambria Math" w:eastAsia="Calibri" w:hAnsi="Cambria Math" w:cs="Arial"/>
                      <w:i/>
                      <w:szCs w:val="18"/>
                      <w:lang w:val="cs-CZ"/>
                    </w:rPr>
                  </m:ctrlPr>
                </m:sSubPr>
                <m:e>
                  <m:r>
                    <w:rPr>
                      <w:rFonts w:ascii="Cambria Math" w:eastAsia="Calibri" w:hAnsi="Cambria Math" w:cs="Arial"/>
                      <w:szCs w:val="18"/>
                      <w:lang w:val="cs-CZ"/>
                    </w:rPr>
                    <m:t>P</m:t>
                  </m:r>
                </m:e>
                <m:sub>
                  <m:r>
                    <w:rPr>
                      <w:rFonts w:ascii="Cambria Math" w:eastAsia="Calibri" w:hAnsi="Cambria Math" w:cs="Arial"/>
                      <w:szCs w:val="18"/>
                      <w:lang w:val="cs-CZ"/>
                    </w:rPr>
                    <m:t>i</m:t>
                  </m:r>
                </m:sub>
              </m:sSub>
              <m:r>
                <w:rPr>
                  <w:rFonts w:ascii="Cambria Math" w:eastAsia="Calibri" w:hAnsi="Cambria Math" w:cs="Arial"/>
                  <w:szCs w:val="18"/>
                  <w:lang w:val="cs-CZ"/>
                </w:rPr>
                <m:t xml:space="preserve"> ∙</m:t>
              </m:r>
              <m:sSub>
                <m:sSubPr>
                  <m:ctrlPr>
                    <w:rPr>
                      <w:rFonts w:ascii="Cambria Math" w:eastAsia="Calibri" w:hAnsi="Cambria Math" w:cs="Arial"/>
                      <w:i/>
                      <w:szCs w:val="18"/>
                      <w:lang w:val="cs-CZ"/>
                    </w:rPr>
                  </m:ctrlPr>
                </m:sSubPr>
                <m:e>
                  <m:r>
                    <w:rPr>
                      <w:rFonts w:ascii="Cambria Math" w:eastAsia="Calibri" w:hAnsi="Cambria Math" w:cs="Arial"/>
                      <w:szCs w:val="18"/>
                      <w:lang w:val="cs-CZ"/>
                    </w:rPr>
                    <m:t>y</m:t>
                  </m:r>
                </m:e>
                <m:sub>
                  <m:r>
                    <w:rPr>
                      <w:rFonts w:ascii="Cambria Math" w:eastAsia="Calibri" w:hAnsi="Cambria Math" w:cs="Arial"/>
                      <w:szCs w:val="18"/>
                      <w:lang w:val="cs-CZ"/>
                    </w:rPr>
                    <m:t>i</m:t>
                  </m:r>
                </m:sub>
              </m:sSub>
              <m:r>
                <w:rPr>
                  <w:rFonts w:ascii="Cambria Math" w:eastAsia="Calibri" w:hAnsi="Cambria Math" w:cs="Arial"/>
                  <w:szCs w:val="18"/>
                  <w:lang w:val="cs-CZ"/>
                </w:rPr>
                <m:t xml:space="preserve"> [kNm]</m:t>
              </m:r>
            </m:e>
          </m:nary>
        </m:oMath>
      </m:oMathPara>
    </w:p>
    <w:p w:rsidR="00E82B25" w:rsidRPr="003B6E11" w:rsidRDefault="00E82B25" w:rsidP="00E82B25">
      <w:pPr>
        <w:pStyle w:val="ESch"/>
        <w:rPr>
          <w:rFonts w:eastAsia="Calibri" w:cs="Arial"/>
          <w:lang w:val="cs-CZ"/>
        </w:rPr>
      </w:pPr>
    </w:p>
    <w:p w:rsidR="00E82B25" w:rsidRPr="003B6E11" w:rsidRDefault="00E82B25" w:rsidP="00E82B25">
      <w:pPr>
        <w:pStyle w:val="ESlet"/>
        <w:rPr>
          <w:rFonts w:eastAsia="Calibri"/>
          <w:lang w:val="cs-CZ"/>
        </w:rPr>
      </w:pPr>
      <m:oMath>
        <m:r>
          <w:rPr>
            <w:rFonts w:ascii="Cambria Math" w:eastAsia="Calibri" w:hAnsi="Cambria Math" w:cs="Arial"/>
            <w:szCs w:val="18"/>
            <w:lang w:val="cs-CZ"/>
          </w:rPr>
          <m:t>P</m:t>
        </m:r>
      </m:oMath>
      <w:r w:rsidRPr="003B6E11">
        <w:rPr>
          <w:lang w:val="cs-CZ"/>
        </w:rPr>
        <w:t xml:space="preserve"> =</w:t>
      </w:r>
      <w:r w:rsidRPr="003B6E11">
        <w:rPr>
          <w:lang w:val="cs-CZ"/>
        </w:rPr>
        <w:tab/>
        <w:t>celková hmotnost osob na lodi v [t], vypočtena sečtením nejvyššího přípustného počtu cestujících a nejvyššího počtu lodního personálu a posádky za běžných provozních podmínek, přičemž se předpokládá průměrná hmotnost na osobu 0,075 t,</w:t>
      </w:r>
    </w:p>
    <w:p w:rsidR="00E82B25" w:rsidRPr="003B6E11" w:rsidRDefault="00E82B25" w:rsidP="00E82B25">
      <w:pPr>
        <w:pStyle w:val="ESlet"/>
        <w:rPr>
          <w:rFonts w:eastAsia="Calibri"/>
          <w:noProof/>
          <w:lang w:val="cs-CZ"/>
        </w:rPr>
      </w:pPr>
      <m:oMath>
        <m:r>
          <w:rPr>
            <w:rFonts w:ascii="Cambria Math" w:eastAsia="Calibri" w:hAnsi="Cambria Math"/>
            <w:noProof/>
            <w:lang w:val="cs-CZ"/>
          </w:rPr>
          <m:t>y</m:t>
        </m:r>
      </m:oMath>
      <w:r w:rsidRPr="003B6E11">
        <w:rPr>
          <w:lang w:val="cs-CZ"/>
        </w:rPr>
        <w:t xml:space="preserve"> =</w:t>
      </w:r>
      <w:r w:rsidRPr="003B6E11">
        <w:rPr>
          <w:lang w:val="cs-CZ"/>
        </w:rPr>
        <w:tab/>
        <w:t xml:space="preserve">boční vzdálenost těžiště celkové hmotnosti osob </w:t>
      </w:r>
      <m:oMath>
        <m:r>
          <w:rPr>
            <w:rFonts w:ascii="Cambria Math" w:eastAsia="Calibri" w:hAnsi="Cambria Math"/>
            <w:noProof/>
            <w:lang w:val="cs-CZ"/>
          </w:rPr>
          <m:t>P</m:t>
        </m:r>
      </m:oMath>
      <w:r w:rsidRPr="003B6E11">
        <w:rPr>
          <w:lang w:val="cs-CZ"/>
        </w:rPr>
        <w:t xml:space="preserve"> od středové roviny v [m],</w:t>
      </w:r>
    </w:p>
    <w:p w:rsidR="00E82B25" w:rsidRPr="003B6E11" w:rsidRDefault="00E82B25" w:rsidP="00E82B25">
      <w:pPr>
        <w:pStyle w:val="ESlet"/>
        <w:rPr>
          <w:rFonts w:eastAsia="Calibri"/>
          <w:noProof/>
          <w:lang w:val="cs-CZ"/>
        </w:rPr>
      </w:pPr>
      <m:oMath>
        <m:r>
          <w:rPr>
            <w:rFonts w:ascii="Cambria Math" w:eastAsia="Calibri" w:hAnsi="Cambria Math"/>
            <w:noProof/>
            <w:lang w:val="cs-CZ"/>
          </w:rPr>
          <m:t>g</m:t>
        </m:r>
      </m:oMath>
      <w:r w:rsidRPr="003B6E11">
        <w:rPr>
          <w:lang w:val="cs-CZ"/>
        </w:rPr>
        <w:t xml:space="preserve"> =</w:t>
      </w:r>
      <w:r w:rsidRPr="003B6E11">
        <w:rPr>
          <w:lang w:val="cs-CZ"/>
        </w:rPr>
        <w:tab/>
        <w:t xml:space="preserve">gravitační zrychlení </w:t>
      </w:r>
      <m:oMath>
        <m:r>
          <w:rPr>
            <w:rFonts w:ascii="Cambria Math" w:eastAsia="Calibri" w:hAnsi="Cambria Math"/>
            <w:szCs w:val="18"/>
            <w:lang w:val="cs-CZ"/>
          </w:rPr>
          <m:t>(g=9,81 m/</m:t>
        </m:r>
        <m:sSup>
          <m:sSupPr>
            <m:ctrlPr>
              <w:rPr>
                <w:rFonts w:ascii="Cambria Math" w:eastAsia="Calibri" w:hAnsi="Cambria Math"/>
                <w:i/>
                <w:szCs w:val="18"/>
                <w:lang w:val="cs-CZ"/>
              </w:rPr>
            </m:ctrlPr>
          </m:sSupPr>
          <m:e>
            <m:r>
              <w:rPr>
                <w:rFonts w:ascii="Cambria Math" w:eastAsia="Calibri" w:hAnsi="Cambria Math"/>
                <w:szCs w:val="18"/>
                <w:lang w:val="cs-CZ"/>
              </w:rPr>
              <m:t>s</m:t>
            </m:r>
          </m:e>
          <m:sup>
            <m:r>
              <w:rPr>
                <w:rFonts w:ascii="Cambria Math" w:eastAsia="Calibri" w:hAnsi="Cambria Math"/>
                <w:szCs w:val="18"/>
                <w:lang w:val="cs-CZ"/>
              </w:rPr>
              <m:t>2</m:t>
            </m:r>
          </m:sup>
        </m:sSup>
        <m:r>
          <w:rPr>
            <w:rFonts w:ascii="Cambria Math" w:eastAsia="Calibri" w:hAnsi="Cambria Math"/>
            <w:szCs w:val="18"/>
            <w:lang w:val="cs-CZ"/>
          </w:rPr>
          <m:t>)</m:t>
        </m:r>
      </m:oMath>
      <w:r w:rsidRPr="003B6E11">
        <w:rPr>
          <w:lang w:val="cs-CZ"/>
        </w:rPr>
        <w:t>,</w:t>
      </w:r>
    </w:p>
    <w:p w:rsidR="00E82B25" w:rsidRPr="003B6E11" w:rsidRDefault="002D015D" w:rsidP="00E82B25">
      <w:pPr>
        <w:pStyle w:val="ESlet"/>
        <w:rPr>
          <w:rFonts w:eastAsia="Calibri"/>
          <w:noProof/>
          <w:lang w:val="cs-CZ"/>
        </w:rPr>
      </w:pPr>
      <m:oMath>
        <m:sSub>
          <m:sSubPr>
            <m:ctrlPr>
              <w:rPr>
                <w:rFonts w:ascii="Cambria Math" w:eastAsia="Calibri" w:hAnsi="Cambria Math"/>
                <w:i/>
                <w:szCs w:val="18"/>
                <w:lang w:val="cs-CZ"/>
              </w:rPr>
            </m:ctrlPr>
          </m:sSubPr>
          <m:e>
            <m:r>
              <w:rPr>
                <w:rFonts w:ascii="Cambria Math" w:eastAsia="Calibri" w:hAnsi="Cambria Math"/>
                <w:szCs w:val="18"/>
                <w:lang w:val="cs-CZ"/>
              </w:rPr>
              <m:t>P</m:t>
            </m:r>
          </m:e>
          <m:sub>
            <m:r>
              <w:rPr>
                <w:rFonts w:ascii="Cambria Math" w:eastAsia="Calibri" w:hAnsi="Cambria Math"/>
                <w:szCs w:val="18"/>
                <w:lang w:val="cs-CZ"/>
              </w:rPr>
              <m:t>i</m:t>
            </m:r>
          </m:sub>
        </m:sSub>
      </m:oMath>
      <w:r w:rsidR="00E82B25" w:rsidRPr="003B6E11">
        <w:rPr>
          <w:lang w:val="cs-CZ"/>
        </w:rPr>
        <w:t xml:space="preserve"> =</w:t>
      </w:r>
      <w:r w:rsidR="00E82B25" w:rsidRPr="003B6E11">
        <w:rPr>
          <w:lang w:val="cs-CZ"/>
        </w:rPr>
        <w:tab/>
        <w:t xml:space="preserve">hmotnost osob nakupených na ploše </w:t>
      </w:r>
      <m:oMath>
        <m:sSub>
          <m:sSubPr>
            <m:ctrlPr>
              <w:rPr>
                <w:rFonts w:ascii="Cambria Math" w:eastAsia="Calibri" w:hAnsi="Cambria Math"/>
                <w:i/>
                <w:noProof/>
                <w:lang w:val="cs-CZ"/>
              </w:rPr>
            </m:ctrlPr>
          </m:sSubPr>
          <m:e>
            <m:r>
              <w:rPr>
                <w:rFonts w:ascii="Cambria Math" w:eastAsia="Calibri" w:hAnsi="Cambria Math"/>
                <w:noProof/>
                <w:lang w:val="cs-CZ"/>
              </w:rPr>
              <m:t>A</m:t>
            </m:r>
          </m:e>
          <m:sub>
            <m:r>
              <w:rPr>
                <w:rFonts w:ascii="Cambria Math" w:eastAsia="Calibri" w:hAnsi="Cambria Math"/>
                <w:noProof/>
                <w:lang w:val="cs-CZ"/>
              </w:rPr>
              <m:t>i</m:t>
            </m:r>
          </m:sub>
        </m:sSub>
      </m:oMath>
      <w:r w:rsidR="00E82B25" w:rsidRPr="003B6E11">
        <w:rPr>
          <w:lang w:val="cs-CZ"/>
        </w:rPr>
        <w:t>,</w:t>
      </w:r>
    </w:p>
    <w:p w:rsidR="00E82B25" w:rsidRPr="003B6E11" w:rsidRDefault="002D015D" w:rsidP="00E82B25">
      <w:pPr>
        <w:pStyle w:val="ESlet"/>
        <w:ind w:left="0"/>
        <w:rPr>
          <w:rFonts w:eastAsia="Calibri"/>
          <w:noProof/>
          <w:lang w:val="cs-CZ"/>
        </w:rPr>
      </w:pPr>
      <m:oMathPara>
        <m:oMath>
          <m:sSub>
            <m:sSubPr>
              <m:ctrlPr>
                <w:rPr>
                  <w:rFonts w:ascii="Cambria Math" w:eastAsia="Calibri" w:hAnsi="Cambria Math"/>
                  <w:i/>
                  <w:noProof/>
                  <w:lang w:val="cs-CZ"/>
                </w:rPr>
              </m:ctrlPr>
            </m:sSubPr>
            <m:e>
              <m:r>
                <w:rPr>
                  <w:rFonts w:ascii="Cambria Math" w:eastAsia="Calibri" w:hAnsi="Cambria Math"/>
                  <w:noProof/>
                  <w:lang w:val="cs-CZ"/>
                </w:rPr>
                <m:t>P</m:t>
              </m:r>
            </m:e>
            <m:sub>
              <m:r>
                <w:rPr>
                  <w:rFonts w:ascii="Cambria Math" w:eastAsia="Calibri" w:hAnsi="Cambria Math"/>
                  <w:noProof/>
                  <w:lang w:val="cs-CZ"/>
                </w:rPr>
                <m:t>i</m:t>
              </m:r>
            </m:sub>
          </m:sSub>
          <m:r>
            <w:rPr>
              <w:rFonts w:ascii="Cambria Math" w:eastAsia="Calibri" w:hAnsi="Cambria Math"/>
              <w:noProof/>
              <w:lang w:val="cs-CZ"/>
            </w:rPr>
            <m:t xml:space="preserve">= </m:t>
          </m:r>
          <m:sSub>
            <m:sSubPr>
              <m:ctrlPr>
                <w:rPr>
                  <w:rFonts w:ascii="Cambria Math" w:eastAsia="Calibri" w:hAnsi="Cambria Math"/>
                  <w:i/>
                  <w:noProof/>
                  <w:lang w:val="cs-CZ"/>
                </w:rPr>
              </m:ctrlPr>
            </m:sSubPr>
            <m:e>
              <m:r>
                <w:rPr>
                  <w:rFonts w:ascii="Cambria Math" w:eastAsia="Calibri" w:hAnsi="Cambria Math"/>
                  <w:noProof/>
                  <w:lang w:val="cs-CZ"/>
                </w:rPr>
                <m:t>n</m:t>
              </m:r>
            </m:e>
            <m:sub>
              <m:r>
                <w:rPr>
                  <w:rFonts w:ascii="Cambria Math" w:eastAsia="Calibri" w:hAnsi="Cambria Math"/>
                  <w:noProof/>
                  <w:lang w:val="cs-CZ"/>
                </w:rPr>
                <m:t>i</m:t>
              </m:r>
            </m:sub>
          </m:sSub>
          <m:r>
            <w:rPr>
              <w:rFonts w:ascii="Cambria Math" w:eastAsia="Calibri" w:hAnsi="Cambria Math"/>
              <w:noProof/>
              <w:lang w:val="cs-CZ"/>
            </w:rPr>
            <m:t xml:space="preserve"> ∙0,075 ∙ </m:t>
          </m:r>
          <m:sSub>
            <m:sSubPr>
              <m:ctrlPr>
                <w:rPr>
                  <w:rFonts w:ascii="Cambria Math" w:eastAsia="Calibri" w:hAnsi="Cambria Math"/>
                  <w:i/>
                  <w:noProof/>
                  <w:lang w:val="cs-CZ"/>
                </w:rPr>
              </m:ctrlPr>
            </m:sSubPr>
            <m:e>
              <m:r>
                <w:rPr>
                  <w:rFonts w:ascii="Cambria Math" w:eastAsia="Calibri" w:hAnsi="Cambria Math"/>
                  <w:noProof/>
                  <w:lang w:val="cs-CZ"/>
                </w:rPr>
                <m:t>A</m:t>
              </m:r>
            </m:e>
            <m:sub>
              <m:r>
                <w:rPr>
                  <w:rFonts w:ascii="Cambria Math" w:eastAsia="Calibri" w:hAnsi="Cambria Math"/>
                  <w:noProof/>
                  <w:lang w:val="cs-CZ"/>
                </w:rPr>
                <m:t>i</m:t>
              </m:r>
            </m:sub>
          </m:sSub>
          <m:r>
            <w:rPr>
              <w:rFonts w:ascii="Cambria Math" w:eastAsia="Calibri" w:hAnsi="Cambria Math"/>
              <w:noProof/>
              <w:lang w:val="cs-CZ"/>
            </w:rPr>
            <m:t xml:space="preserve"> [t]</m:t>
          </m:r>
        </m:oMath>
      </m:oMathPara>
    </w:p>
    <w:p w:rsidR="00E82B25" w:rsidRPr="003B6E11" w:rsidRDefault="00E82B25" w:rsidP="00E82B25">
      <w:pPr>
        <w:pStyle w:val="ESchpar"/>
        <w:rPr>
          <w:rFonts w:eastAsia="Calibri"/>
          <w:noProof/>
          <w:lang w:val="cs-CZ"/>
        </w:rPr>
      </w:pPr>
      <w:r w:rsidRPr="003B6E11">
        <w:rPr>
          <w:lang w:val="cs-CZ"/>
        </w:rPr>
        <w:t>kde:</w:t>
      </w:r>
    </w:p>
    <w:p w:rsidR="00E82B25" w:rsidRPr="003B6E11" w:rsidRDefault="002D015D" w:rsidP="00E82B25">
      <w:pPr>
        <w:pStyle w:val="ESlet"/>
        <w:rPr>
          <w:rFonts w:eastAsia="Calibri"/>
          <w:noProof/>
          <w:lang w:val="cs-CZ"/>
        </w:rPr>
      </w:pPr>
      <m:oMath>
        <m:sSub>
          <m:sSubPr>
            <m:ctrlPr>
              <w:rPr>
                <w:rFonts w:ascii="Cambria Math" w:eastAsia="Calibri" w:hAnsi="Cambria Math"/>
                <w:i/>
                <w:noProof/>
                <w:lang w:val="cs-CZ"/>
              </w:rPr>
            </m:ctrlPr>
          </m:sSubPr>
          <m:e>
            <m:r>
              <w:rPr>
                <w:rFonts w:ascii="Cambria Math" w:eastAsia="Calibri" w:hAnsi="Cambria Math"/>
                <w:noProof/>
                <w:lang w:val="cs-CZ"/>
              </w:rPr>
              <m:t>A</m:t>
            </m:r>
          </m:e>
          <m:sub>
            <m:r>
              <w:rPr>
                <w:rFonts w:ascii="Cambria Math" w:eastAsia="Calibri" w:hAnsi="Cambria Math"/>
                <w:noProof/>
                <w:lang w:val="cs-CZ"/>
              </w:rPr>
              <m:t>i</m:t>
            </m:r>
          </m:sub>
        </m:sSub>
      </m:oMath>
      <w:r w:rsidR="00E82B25" w:rsidRPr="003B6E11">
        <w:rPr>
          <w:lang w:val="cs-CZ"/>
        </w:rPr>
        <w:t xml:space="preserve"> =</w:t>
      </w:r>
      <w:r w:rsidR="00E82B25" w:rsidRPr="003B6E11">
        <w:rPr>
          <w:lang w:val="cs-CZ"/>
        </w:rPr>
        <w:tab/>
        <w:t>plocha, na níž se osoby nacházejí, v [m</w:t>
      </w:r>
      <w:r w:rsidR="00E82B25" w:rsidRPr="003B6E11">
        <w:rPr>
          <w:vertAlign w:val="superscript"/>
          <w:lang w:val="cs-CZ"/>
        </w:rPr>
        <w:t>2</w:t>
      </w:r>
      <w:r w:rsidR="00E82B25" w:rsidRPr="003B6E11">
        <w:rPr>
          <w:lang w:val="cs-CZ"/>
        </w:rPr>
        <w:t>],</w:t>
      </w:r>
    </w:p>
    <w:p w:rsidR="00E82B25" w:rsidRPr="003B6E11" w:rsidRDefault="002D015D" w:rsidP="00E82B25">
      <w:pPr>
        <w:pStyle w:val="ESlet"/>
        <w:rPr>
          <w:rFonts w:eastAsia="Calibri"/>
          <w:noProof/>
          <w:lang w:val="cs-CZ"/>
        </w:rPr>
      </w:pPr>
      <m:oMath>
        <m:sSub>
          <m:sSubPr>
            <m:ctrlPr>
              <w:rPr>
                <w:rFonts w:ascii="Cambria Math" w:eastAsia="Calibri" w:hAnsi="Cambria Math"/>
                <w:i/>
                <w:noProof/>
                <w:lang w:val="cs-CZ"/>
              </w:rPr>
            </m:ctrlPr>
          </m:sSubPr>
          <m:e>
            <m:r>
              <w:rPr>
                <w:rFonts w:ascii="Cambria Math" w:eastAsia="Calibri" w:hAnsi="Cambria Math"/>
                <w:noProof/>
                <w:lang w:val="cs-CZ"/>
              </w:rPr>
              <m:t>n</m:t>
            </m:r>
          </m:e>
          <m:sub>
            <m:r>
              <w:rPr>
                <w:rFonts w:ascii="Cambria Math" w:eastAsia="Calibri" w:hAnsi="Cambria Math"/>
                <w:noProof/>
                <w:lang w:val="cs-CZ"/>
              </w:rPr>
              <m:t>i</m:t>
            </m:r>
          </m:sub>
        </m:sSub>
      </m:oMath>
      <w:r w:rsidR="00E82B25" w:rsidRPr="003B6E11">
        <w:rPr>
          <w:lang w:val="cs-CZ"/>
        </w:rPr>
        <w:t xml:space="preserve"> =</w:t>
      </w:r>
      <w:r w:rsidR="00E82B25" w:rsidRPr="003B6E11">
        <w:rPr>
          <w:lang w:val="cs-CZ"/>
        </w:rPr>
        <w:tab/>
        <w:t>počet osob na metr čtvereční:</w:t>
      </w:r>
    </w:p>
    <w:p w:rsidR="00E82B25" w:rsidRPr="003B6E11" w:rsidRDefault="002D015D" w:rsidP="00E82B25">
      <w:pPr>
        <w:pStyle w:val="EStiret"/>
        <w:rPr>
          <w:rFonts w:eastAsia="Calibri"/>
          <w:lang w:val="cs-CZ"/>
        </w:rPr>
      </w:pPr>
      <m:oMath>
        <m:sSub>
          <m:sSubPr>
            <m:ctrlPr>
              <w:rPr>
                <w:rFonts w:ascii="Cambria Math" w:eastAsia="Calibri" w:hAnsi="Cambria Math"/>
                <w:i/>
                <w:lang w:val="cs-CZ"/>
              </w:rPr>
            </m:ctrlPr>
          </m:sSubPr>
          <m:e>
            <m:r>
              <w:rPr>
                <w:rFonts w:ascii="Cambria Math" w:eastAsia="Calibri" w:hAnsi="Cambria Math"/>
                <w:lang w:val="cs-CZ"/>
              </w:rPr>
              <m:t>n</m:t>
            </m:r>
          </m:e>
          <m:sub>
            <m:r>
              <w:rPr>
                <w:rFonts w:ascii="Cambria Math" w:eastAsia="Calibri" w:hAnsi="Cambria Math"/>
                <w:lang w:val="cs-CZ"/>
              </w:rPr>
              <m:t>i</m:t>
            </m:r>
          </m:sub>
        </m:sSub>
      </m:oMath>
      <w:r w:rsidR="00E82B25" w:rsidRPr="003B6E11">
        <w:rPr>
          <w:lang w:val="cs-CZ"/>
        </w:rPr>
        <w:t>=</w:t>
      </w:r>
      <w:r w:rsidR="00E82B25" w:rsidRPr="003B6E11">
        <w:rPr>
          <w:lang w:val="cs-CZ"/>
        </w:rPr>
        <w:tab/>
        <w:t xml:space="preserve">3,75 pro volné plochy paluby a plochy paluby s přenosným nábytkem; pro plochy paluby s pevně vestavěným sedacím nábytkem, např. lavicemi, se </w:t>
      </w:r>
      <m:oMath>
        <m:sSub>
          <m:sSubPr>
            <m:ctrlPr>
              <w:rPr>
                <w:rFonts w:ascii="Cambria Math" w:eastAsia="Calibri" w:hAnsi="Cambria Math"/>
                <w:i/>
                <w:snapToGrid/>
                <w:color w:val="auto"/>
                <w:lang w:val="cs-CZ"/>
              </w:rPr>
            </m:ctrlPr>
          </m:sSubPr>
          <m:e>
            <m:r>
              <w:rPr>
                <w:rFonts w:ascii="Cambria Math" w:eastAsia="Calibri" w:hAnsi="Cambria Math"/>
                <w:lang w:val="cs-CZ"/>
              </w:rPr>
              <m:t>n</m:t>
            </m:r>
          </m:e>
          <m:sub>
            <m:r>
              <w:rPr>
                <w:rFonts w:ascii="Cambria Math" w:eastAsia="Calibri" w:hAnsi="Cambria Math"/>
                <w:lang w:val="cs-CZ"/>
              </w:rPr>
              <m:t>i</m:t>
            </m:r>
          </m:sub>
        </m:sSub>
      </m:oMath>
      <w:r w:rsidR="00E82B25" w:rsidRPr="003B6E11">
        <w:rPr>
          <w:lang w:val="cs-CZ"/>
        </w:rPr>
        <w:t xml:space="preserve"> vypočte za předpokladu šířky sedadla 0,50 m a výšky sedadla 0,75 m na osobu,</w:t>
      </w:r>
    </w:p>
    <w:p w:rsidR="00E82B25" w:rsidRPr="003B6E11" w:rsidRDefault="002D015D" w:rsidP="00E82B25">
      <w:pPr>
        <w:pStyle w:val="ESlet"/>
        <w:rPr>
          <w:rFonts w:eastAsia="Calibri"/>
          <w:noProof/>
          <w:lang w:val="cs-CZ"/>
        </w:rPr>
      </w:pPr>
      <m:oMath>
        <m:sSub>
          <m:sSubPr>
            <m:ctrlPr>
              <w:rPr>
                <w:rFonts w:ascii="Cambria Math" w:eastAsia="Calibri" w:hAnsi="Cambria Math"/>
                <w:i/>
                <w:noProof/>
                <w:lang w:val="cs-CZ"/>
              </w:rPr>
            </m:ctrlPr>
          </m:sSubPr>
          <m:e>
            <m:r>
              <w:rPr>
                <w:rFonts w:ascii="Cambria Math" w:eastAsia="Calibri" w:hAnsi="Cambria Math"/>
                <w:noProof/>
                <w:lang w:val="cs-CZ"/>
              </w:rPr>
              <m:t>y</m:t>
            </m:r>
          </m:e>
          <m:sub>
            <m:r>
              <w:rPr>
                <w:rFonts w:ascii="Cambria Math" w:eastAsia="Calibri" w:hAnsi="Cambria Math"/>
                <w:noProof/>
                <w:lang w:val="cs-CZ"/>
              </w:rPr>
              <m:t>i</m:t>
            </m:r>
          </m:sub>
        </m:sSub>
      </m:oMath>
      <w:r w:rsidR="00E82B25" w:rsidRPr="003B6E11">
        <w:rPr>
          <w:lang w:val="cs-CZ"/>
        </w:rPr>
        <w:t xml:space="preserve"> =</w:t>
      </w:r>
      <w:r w:rsidR="00E82B25" w:rsidRPr="003B6E11">
        <w:rPr>
          <w:lang w:val="cs-CZ"/>
        </w:rPr>
        <w:tab/>
        <w:t xml:space="preserve">boční vzdálenost geometrického středu plochy </w:t>
      </w:r>
      <m:oMath>
        <m:sSub>
          <m:sSubPr>
            <m:ctrlPr>
              <w:rPr>
                <w:rFonts w:ascii="Cambria Math" w:eastAsia="Calibri" w:hAnsi="Cambria Math"/>
                <w:i/>
                <w:noProof/>
                <w:lang w:val="cs-CZ"/>
              </w:rPr>
            </m:ctrlPr>
          </m:sSubPr>
          <m:e>
            <m:r>
              <w:rPr>
                <w:rFonts w:ascii="Cambria Math" w:eastAsia="Calibri" w:hAnsi="Cambria Math"/>
                <w:noProof/>
                <w:lang w:val="cs-CZ"/>
              </w:rPr>
              <m:t>A</m:t>
            </m:r>
          </m:e>
          <m:sub>
            <m:r>
              <w:rPr>
                <w:rFonts w:ascii="Cambria Math" w:eastAsia="Calibri" w:hAnsi="Cambria Math"/>
                <w:noProof/>
                <w:lang w:val="cs-CZ"/>
              </w:rPr>
              <m:t>i</m:t>
            </m:r>
          </m:sub>
        </m:sSub>
      </m:oMath>
      <w:r w:rsidR="00E82B25" w:rsidRPr="003B6E11">
        <w:rPr>
          <w:lang w:val="cs-CZ"/>
        </w:rPr>
        <w:t xml:space="preserve"> od středové roviny v [m].</w:t>
      </w:r>
    </w:p>
    <w:p w:rsidR="00E82B25" w:rsidRPr="003B6E11" w:rsidRDefault="00E82B25" w:rsidP="00E82B25">
      <w:pPr>
        <w:pStyle w:val="ESch"/>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Výpočet se provede pro nakupení osob na pravoboku i na levoboku.</w:t>
      </w:r>
    </w:p>
    <w:p w:rsidR="00E82B25" w:rsidRPr="003B6E11" w:rsidRDefault="00E82B25" w:rsidP="00E82B25">
      <w:pPr>
        <w:pStyle w:val="ESchpar"/>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Rozložení osob musí být z hlediska stability nejméně příznivé. Při výpočtu momentu osob se předpokládá, že kajuty jsou neobsazené.</w:t>
      </w:r>
    </w:p>
    <w:p w:rsidR="00E82B25" w:rsidRPr="003B6E11" w:rsidRDefault="00E82B25" w:rsidP="00E82B25">
      <w:pPr>
        <w:pStyle w:val="ESchpar"/>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 xml:space="preserve">Pro výpočet případů zatížení se má za to, že těžiště osoby je 1 m nad nejnižším bodem paluby při </w:t>
      </w:r>
      <m:oMath>
        <m:r>
          <w:rPr>
            <w:rFonts w:ascii="Cambria Math" w:eastAsia="Calibri" w:hAnsi="Cambria Math"/>
            <w:noProof/>
            <w:lang w:val="cs-CZ"/>
          </w:rPr>
          <m:t xml:space="preserve">0,5 </m:t>
        </m:r>
        <m:sSub>
          <m:sSubPr>
            <m:ctrlPr>
              <w:rPr>
                <w:rFonts w:ascii="Cambria Math" w:eastAsia="Calibri" w:hAnsi="Cambria Math"/>
                <w:i/>
                <w:noProof/>
                <w:lang w:val="cs-CZ"/>
              </w:rPr>
            </m:ctrlPr>
          </m:sSubPr>
          <m:e>
            <m:r>
              <w:rPr>
                <w:rFonts w:ascii="Cambria Math" w:eastAsia="Calibri" w:hAnsi="Cambria Math"/>
                <w:noProof/>
                <w:lang w:val="cs-CZ"/>
              </w:rPr>
              <m:t>L</m:t>
            </m:r>
          </m:e>
          <m:sub>
            <m:r>
              <w:rPr>
                <w:rFonts w:ascii="Cambria Math" w:eastAsia="Calibri" w:hAnsi="Cambria Math"/>
                <w:noProof/>
                <w:lang w:val="cs-CZ"/>
              </w:rPr>
              <m:t>WL</m:t>
            </m:r>
          </m:sub>
        </m:sSub>
      </m:oMath>
      <w:r w:rsidRPr="003B6E11">
        <w:rPr>
          <w:lang w:val="cs-CZ"/>
        </w:rPr>
        <w:t>, přičemž se nebere v úvahu zakřivení paluby a předpokládá se hmotnost 0,075 t na osobu.</w:t>
      </w:r>
    </w:p>
    <w:p w:rsidR="00E82B25" w:rsidRPr="003B6E11" w:rsidRDefault="00E82B25" w:rsidP="00E82B25">
      <w:pPr>
        <w:pStyle w:val="ESchpar"/>
        <w:rPr>
          <w:rFonts w:eastAsia="Calibri"/>
          <w:noProof/>
          <w:lang w:val="cs-CZ"/>
        </w:rPr>
      </w:pPr>
    </w:p>
    <w:p w:rsidR="00E82B25" w:rsidRPr="003B6E11" w:rsidRDefault="00E82B25" w:rsidP="00E82B25">
      <w:pPr>
        <w:pStyle w:val="ESchpar"/>
        <w:rPr>
          <w:rFonts w:eastAsia="Calibri"/>
          <w:noProof/>
          <w:lang w:val="cs-CZ"/>
        </w:rPr>
      </w:pPr>
      <w:r w:rsidRPr="003B6E11">
        <w:rPr>
          <w:lang w:val="cs-CZ"/>
        </w:rPr>
        <w:br w:type="page"/>
      </w:r>
    </w:p>
    <w:p w:rsidR="00E82B25" w:rsidRPr="003B6E11" w:rsidRDefault="00E82B25" w:rsidP="00E82B25">
      <w:pPr>
        <w:pStyle w:val="ESchpar"/>
        <w:rPr>
          <w:rFonts w:eastAsia="Calibri"/>
          <w:noProof/>
          <w:lang w:val="cs-CZ"/>
        </w:rPr>
      </w:pPr>
      <w:r w:rsidRPr="003B6E11">
        <w:rPr>
          <w:lang w:val="cs-CZ"/>
        </w:rPr>
        <w:t>Od podrobného výpočtu lodních ploch, které jsou obsazeny osobami, lze upustit, použijí-li se tyto hodnoty:</w:t>
      </w:r>
    </w:p>
    <w:p w:rsidR="00E82B25" w:rsidRPr="003B6E11" w:rsidRDefault="00E82B25" w:rsidP="00E82B25">
      <w:pPr>
        <w:pStyle w:val="ESchpar"/>
        <w:rPr>
          <w:rFonts w:eastAsia="Calibri"/>
          <w:noProof/>
          <w:lang w:val="cs-CZ"/>
        </w:rPr>
      </w:pPr>
    </w:p>
    <w:p w:rsidR="00E82B25" w:rsidRPr="003B6E11" w:rsidRDefault="00E82B25" w:rsidP="00E82B25">
      <w:pPr>
        <w:pStyle w:val="ESchpar"/>
        <w:rPr>
          <w:rFonts w:eastAsia="Calibri"/>
          <w:lang w:val="cs-CZ"/>
        </w:rPr>
      </w:pPr>
      <m:oMath>
        <m:r>
          <w:rPr>
            <w:rFonts w:ascii="Cambria Math" w:eastAsia="Calibri" w:hAnsi="Cambria Math" w:cs="Arial"/>
            <w:szCs w:val="18"/>
            <w:lang w:val="cs-CZ"/>
          </w:rPr>
          <m:t xml:space="preserve">P=1,1 ∙ </m:t>
        </m:r>
        <m:sSub>
          <m:sSubPr>
            <m:ctrlPr>
              <w:rPr>
                <w:rFonts w:ascii="Cambria Math" w:eastAsia="Calibri" w:hAnsi="Cambria Math" w:cs="Arial"/>
                <w:i/>
                <w:szCs w:val="18"/>
                <w:lang w:val="cs-CZ"/>
              </w:rPr>
            </m:ctrlPr>
          </m:sSubPr>
          <m:e>
            <m:r>
              <w:rPr>
                <w:rFonts w:ascii="Cambria Math" w:eastAsia="Calibri" w:hAnsi="Cambria Math" w:cs="Arial"/>
                <w:szCs w:val="18"/>
                <w:lang w:val="cs-CZ"/>
              </w:rPr>
              <m:t>F</m:t>
            </m:r>
          </m:e>
          <m:sub>
            <m:r>
              <w:rPr>
                <w:rFonts w:ascii="Cambria Math" w:eastAsia="Calibri" w:hAnsi="Cambria Math" w:cs="Arial"/>
                <w:szCs w:val="18"/>
                <w:lang w:val="cs-CZ"/>
              </w:rPr>
              <m:t>max</m:t>
            </m:r>
          </m:sub>
        </m:sSub>
        <m:r>
          <w:rPr>
            <w:rFonts w:ascii="Cambria Math" w:eastAsia="Calibri" w:hAnsi="Cambria Math" w:cs="Arial"/>
            <w:szCs w:val="18"/>
            <w:lang w:val="cs-CZ"/>
          </w:rPr>
          <m:t>∙0,075</m:t>
        </m:r>
      </m:oMath>
      <w:r w:rsidRPr="003B6E11">
        <w:rPr>
          <w:lang w:val="cs-CZ"/>
        </w:rPr>
        <w:t xml:space="preserve"> pro výletní osobní lodě</w:t>
      </w:r>
    </w:p>
    <w:p w:rsidR="00E82B25" w:rsidRPr="003B6E11" w:rsidRDefault="00E82B25" w:rsidP="00E82B25">
      <w:pPr>
        <w:pStyle w:val="ESchpar"/>
        <w:spacing w:before="60"/>
        <w:ind w:left="992"/>
        <w:rPr>
          <w:rFonts w:eastAsia="Calibri" w:cs="Arial"/>
          <w:szCs w:val="18"/>
          <w:lang w:val="cs-CZ"/>
        </w:rPr>
      </w:pPr>
      <m:oMath>
        <m:r>
          <w:rPr>
            <w:rFonts w:ascii="Cambria Math" w:eastAsia="Calibri" w:hAnsi="Cambria Math" w:cs="Arial"/>
            <w:szCs w:val="18"/>
            <w:lang w:val="cs-CZ"/>
          </w:rPr>
          <m:t xml:space="preserve">1,5 ∙ </m:t>
        </m:r>
        <m:sSub>
          <m:sSubPr>
            <m:ctrlPr>
              <w:rPr>
                <w:rFonts w:ascii="Cambria Math" w:eastAsia="Calibri" w:hAnsi="Cambria Math" w:cs="Arial"/>
                <w:i/>
                <w:szCs w:val="18"/>
                <w:lang w:val="cs-CZ"/>
              </w:rPr>
            </m:ctrlPr>
          </m:sSubPr>
          <m:e>
            <m:r>
              <w:rPr>
                <w:rFonts w:ascii="Cambria Math" w:eastAsia="Calibri" w:hAnsi="Cambria Math" w:cs="Arial"/>
                <w:szCs w:val="18"/>
                <w:lang w:val="cs-CZ"/>
              </w:rPr>
              <m:t>F</m:t>
            </m:r>
          </m:e>
          <m:sub>
            <m:r>
              <w:rPr>
                <w:rFonts w:ascii="Cambria Math" w:eastAsia="Calibri" w:hAnsi="Cambria Math" w:cs="Arial"/>
                <w:szCs w:val="18"/>
                <w:lang w:val="cs-CZ"/>
              </w:rPr>
              <m:t>max</m:t>
            </m:r>
          </m:sub>
        </m:sSub>
        <m:r>
          <w:rPr>
            <w:rFonts w:ascii="Cambria Math" w:eastAsia="Calibri" w:hAnsi="Cambria Math" w:cs="Arial"/>
            <w:szCs w:val="18"/>
            <w:lang w:val="cs-CZ"/>
          </w:rPr>
          <m:t>∙0,075</m:t>
        </m:r>
      </m:oMath>
      <w:r w:rsidRPr="003B6E11">
        <w:rPr>
          <w:lang w:val="cs-CZ"/>
        </w:rPr>
        <w:t xml:space="preserve"> pro kajutové osobní lodě</w:t>
      </w:r>
    </w:p>
    <w:p w:rsidR="00E82B25" w:rsidRPr="003B6E11" w:rsidRDefault="00E82B25" w:rsidP="00E82B25">
      <w:pPr>
        <w:pStyle w:val="ESletpar"/>
        <w:rPr>
          <w:rFonts w:eastAsia="Calibri"/>
          <w:lang w:val="cs-CZ"/>
        </w:rPr>
      </w:pPr>
      <w:r w:rsidRPr="003B6E11">
        <w:rPr>
          <w:lang w:val="cs-CZ"/>
        </w:rPr>
        <w:t xml:space="preserve">kde: </w:t>
      </w:r>
    </w:p>
    <w:p w:rsidR="00E82B25" w:rsidRPr="003B6E11" w:rsidRDefault="002D015D" w:rsidP="00E82B25">
      <w:pPr>
        <w:pStyle w:val="EStiret"/>
        <w:ind w:left="1701" w:hanging="709"/>
        <w:rPr>
          <w:rFonts w:eastAsia="Calibri"/>
          <w:lang w:val="cs-CZ"/>
        </w:rPr>
      </w:pPr>
      <m:oMath>
        <m:sSub>
          <m:sSubPr>
            <m:ctrlPr>
              <w:rPr>
                <w:rFonts w:ascii="Cambria Math" w:eastAsia="Calibri" w:hAnsi="Cambria Math"/>
                <w:i/>
                <w:snapToGrid/>
                <w:color w:val="auto"/>
                <w:lang w:val="cs-CZ"/>
              </w:rPr>
            </m:ctrlPr>
          </m:sSubPr>
          <m:e>
            <m:r>
              <w:rPr>
                <w:rFonts w:ascii="Cambria Math" w:eastAsia="Calibri" w:hAnsi="Cambria Math"/>
                <w:lang w:val="cs-CZ"/>
              </w:rPr>
              <m:t>F</m:t>
            </m:r>
          </m:e>
          <m:sub>
            <m:r>
              <w:rPr>
                <w:rFonts w:ascii="Cambria Math" w:eastAsia="Calibri" w:hAnsi="Cambria Math"/>
                <w:lang w:val="cs-CZ"/>
              </w:rPr>
              <m:t>max</m:t>
            </m:r>
          </m:sub>
        </m:sSub>
      </m:oMath>
      <w:r w:rsidR="00E82B25" w:rsidRPr="003B6E11">
        <w:rPr>
          <w:lang w:val="cs-CZ"/>
        </w:rPr>
        <w:t xml:space="preserve"> =</w:t>
      </w:r>
      <w:r w:rsidR="00E82B25" w:rsidRPr="003B6E11">
        <w:rPr>
          <w:lang w:val="cs-CZ"/>
        </w:rPr>
        <w:tab/>
        <w:t xml:space="preserve">nejvyšší přípustný počet cestujících na lodi </w:t>
      </w:r>
    </w:p>
    <w:p w:rsidR="00E82B25" w:rsidRPr="003B6E11" w:rsidRDefault="00E82B25" w:rsidP="00E82B25">
      <w:pPr>
        <w:pStyle w:val="ESlet"/>
        <w:rPr>
          <w:rFonts w:eastAsia="Calibri"/>
          <w:lang w:val="cs-CZ"/>
        </w:rPr>
      </w:pPr>
      <m:oMath>
        <m:r>
          <w:rPr>
            <w:rFonts w:ascii="Cambria Math" w:eastAsia="Calibri" w:hAnsi="Cambria Math"/>
            <w:lang w:val="cs-CZ"/>
          </w:rPr>
          <m:t>y=B/2</m:t>
        </m:r>
      </m:oMath>
      <w:r w:rsidRPr="003B6E11">
        <w:rPr>
          <w:lang w:val="cs-CZ"/>
        </w:rPr>
        <w:t xml:space="preserve"> v [m].</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5.</w:t>
      </w:r>
      <w:r w:rsidRPr="003B6E11">
        <w:rPr>
          <w:lang w:val="cs-CZ"/>
        </w:rPr>
        <w:tab/>
        <w:t xml:space="preserve">Klopný moment způsobený tlakem větru </w:t>
      </w:r>
      <m:oMath>
        <m:sSub>
          <m:sSubPr>
            <m:ctrlPr>
              <w:rPr>
                <w:rFonts w:ascii="Cambria Math" w:eastAsia="Calibri" w:hAnsi="Cambria Math"/>
                <w:i/>
                <w:noProof/>
                <w:lang w:val="cs-CZ"/>
              </w:rPr>
            </m:ctrlPr>
          </m:sSubPr>
          <m:e>
            <m:r>
              <w:rPr>
                <w:rFonts w:ascii="Cambria Math" w:eastAsia="Calibri" w:hAnsi="Cambria Math"/>
                <w:noProof/>
                <w:lang w:val="cs-CZ"/>
              </w:rPr>
              <m:t>M</m:t>
            </m:r>
          </m:e>
          <m:sub>
            <m:r>
              <w:rPr>
                <w:rFonts w:ascii="Cambria Math" w:eastAsia="Calibri" w:hAnsi="Cambria Math"/>
                <w:noProof/>
                <w:lang w:val="cs-CZ"/>
              </w:rPr>
              <m:t>w</m:t>
            </m:r>
          </m:sub>
        </m:sSub>
      </m:oMath>
      <w:r w:rsidRPr="003B6E11">
        <w:rPr>
          <w:lang w:val="cs-CZ"/>
        </w:rPr>
        <w:t xml:space="preserve"> se vypočte takto:</w:t>
      </w:r>
    </w:p>
    <w:p w:rsidR="00E82B25" w:rsidRPr="003B6E11" w:rsidRDefault="00E82B25" w:rsidP="00E82B25">
      <w:pPr>
        <w:pStyle w:val="ESch"/>
        <w:rPr>
          <w:rFonts w:eastAsia="Calibri" w:cs="Arial"/>
          <w:szCs w:val="18"/>
          <w:lang w:val="cs-CZ"/>
        </w:rPr>
      </w:pPr>
    </w:p>
    <w:p w:rsidR="00E82B25" w:rsidRPr="003B6E11" w:rsidRDefault="002D015D" w:rsidP="00E82B25">
      <w:pPr>
        <w:pStyle w:val="ESch"/>
        <w:ind w:left="0" w:firstLine="0"/>
        <w:rPr>
          <w:rFonts w:eastAsia="Calibri" w:cs="Arial"/>
          <w:szCs w:val="18"/>
          <w:lang w:val="cs-CZ"/>
        </w:rPr>
      </w:pPr>
      <m:oMathPara>
        <m:oMath>
          <m:sSub>
            <m:sSubPr>
              <m:ctrlPr>
                <w:rPr>
                  <w:rFonts w:ascii="Cambria Math" w:eastAsia="Calibri" w:hAnsi="Cambria Math" w:cs="Arial"/>
                  <w:i/>
                  <w:szCs w:val="18"/>
                  <w:lang w:val="cs-CZ"/>
                </w:rPr>
              </m:ctrlPr>
            </m:sSubPr>
            <m:e>
              <m:r>
                <w:rPr>
                  <w:rFonts w:ascii="Cambria Math" w:eastAsia="Calibri" w:hAnsi="Cambria Math" w:cs="Arial"/>
                  <w:szCs w:val="18"/>
                  <w:lang w:val="cs-CZ"/>
                </w:rPr>
                <m:t>M</m:t>
              </m:r>
            </m:e>
            <m:sub>
              <m:r>
                <w:rPr>
                  <w:rFonts w:ascii="Cambria Math" w:eastAsia="Calibri" w:hAnsi="Cambria Math" w:cs="Arial"/>
                  <w:szCs w:val="18"/>
                  <w:lang w:val="cs-CZ"/>
                </w:rPr>
                <m:t>w</m:t>
              </m:r>
            </m:sub>
          </m:sSub>
          <m:r>
            <w:rPr>
              <w:rFonts w:ascii="Cambria Math" w:eastAsia="Calibri" w:hAnsi="Cambria Math" w:cs="Arial"/>
              <w:szCs w:val="18"/>
              <w:lang w:val="cs-CZ"/>
            </w:rPr>
            <m:t xml:space="preserve">= </m:t>
          </m:r>
          <m:sSub>
            <m:sSubPr>
              <m:ctrlPr>
                <w:rPr>
                  <w:rFonts w:ascii="Cambria Math" w:eastAsia="Calibri" w:hAnsi="Cambria Math" w:cs="Arial"/>
                  <w:i/>
                  <w:szCs w:val="18"/>
                  <w:lang w:val="cs-CZ"/>
                </w:rPr>
              </m:ctrlPr>
            </m:sSubPr>
            <m:e>
              <m:r>
                <w:rPr>
                  <w:rFonts w:ascii="Cambria Math" w:eastAsia="Calibri" w:hAnsi="Cambria Math" w:cs="Arial"/>
                  <w:szCs w:val="18"/>
                  <w:lang w:val="cs-CZ"/>
                </w:rPr>
                <m:t>p</m:t>
              </m:r>
            </m:e>
            <m:sub>
              <m:r>
                <w:rPr>
                  <w:rFonts w:ascii="Cambria Math" w:eastAsia="Calibri" w:hAnsi="Cambria Math" w:cs="Arial"/>
                  <w:szCs w:val="18"/>
                  <w:lang w:val="cs-CZ"/>
                </w:rPr>
                <m:t>w</m:t>
              </m:r>
            </m:sub>
          </m:sSub>
          <m:r>
            <w:rPr>
              <w:rFonts w:ascii="Cambria Math" w:eastAsia="Calibri" w:hAnsi="Cambria Math" w:cs="Arial"/>
              <w:szCs w:val="18"/>
              <w:lang w:val="cs-CZ"/>
            </w:rPr>
            <m:t xml:space="preserve"> ∙ </m:t>
          </m:r>
          <m:sSub>
            <m:sSubPr>
              <m:ctrlPr>
                <w:rPr>
                  <w:rFonts w:ascii="Cambria Math" w:eastAsia="Calibri" w:hAnsi="Cambria Math" w:cs="Arial"/>
                  <w:i/>
                  <w:szCs w:val="18"/>
                  <w:lang w:val="cs-CZ"/>
                </w:rPr>
              </m:ctrlPr>
            </m:sSubPr>
            <m:e>
              <m:r>
                <w:rPr>
                  <w:rFonts w:ascii="Cambria Math" w:eastAsia="Calibri" w:hAnsi="Cambria Math" w:cs="Arial"/>
                  <w:szCs w:val="18"/>
                  <w:lang w:val="cs-CZ"/>
                </w:rPr>
                <m:t>A</m:t>
              </m:r>
            </m:e>
            <m:sub>
              <m:r>
                <w:rPr>
                  <w:rFonts w:ascii="Cambria Math" w:eastAsia="Calibri" w:hAnsi="Cambria Math" w:cs="Arial"/>
                  <w:szCs w:val="18"/>
                  <w:lang w:val="cs-CZ"/>
                </w:rPr>
                <m:t>w</m:t>
              </m:r>
            </m:sub>
          </m:sSub>
          <m:r>
            <w:rPr>
              <w:rFonts w:ascii="Cambria Math" w:eastAsia="Calibri" w:hAnsi="Cambria Math" w:cs="Arial"/>
              <w:szCs w:val="18"/>
              <w:lang w:val="cs-CZ"/>
            </w:rPr>
            <m:t xml:space="preserve"> ∙</m:t>
          </m:r>
          <m:d>
            <m:dPr>
              <m:ctrlPr>
                <w:rPr>
                  <w:rFonts w:ascii="Cambria Math" w:eastAsia="Calibri" w:hAnsi="Cambria Math" w:cs="Arial"/>
                  <w:i/>
                  <w:szCs w:val="18"/>
                  <w:lang w:val="cs-CZ"/>
                </w:rPr>
              </m:ctrlPr>
            </m:dPr>
            <m:e>
              <m:sSub>
                <m:sSubPr>
                  <m:ctrlPr>
                    <w:rPr>
                      <w:rFonts w:ascii="Cambria Math" w:eastAsia="Calibri" w:hAnsi="Cambria Math" w:cs="Arial"/>
                      <w:i/>
                      <w:szCs w:val="18"/>
                      <w:lang w:val="cs-CZ"/>
                    </w:rPr>
                  </m:ctrlPr>
                </m:sSubPr>
                <m:e>
                  <m:r>
                    <w:rPr>
                      <w:rFonts w:ascii="Cambria Math" w:eastAsia="Calibri" w:hAnsi="Cambria Math" w:cs="Arial"/>
                      <w:szCs w:val="18"/>
                      <w:lang w:val="cs-CZ"/>
                    </w:rPr>
                    <m:t>L</m:t>
                  </m:r>
                </m:e>
                <m:sub>
                  <m:r>
                    <w:rPr>
                      <w:rFonts w:ascii="Cambria Math" w:eastAsia="Calibri" w:hAnsi="Cambria Math" w:cs="Arial"/>
                      <w:szCs w:val="18"/>
                      <w:lang w:val="cs-CZ"/>
                    </w:rPr>
                    <m:t>w</m:t>
                  </m:r>
                </m:sub>
              </m:sSub>
              <m:r>
                <w:rPr>
                  <w:rFonts w:ascii="Cambria Math" w:eastAsia="Calibri" w:hAnsi="Cambria Math" w:cs="Arial"/>
                  <w:szCs w:val="18"/>
                  <w:lang w:val="cs-CZ"/>
                </w:rPr>
                <m:t>+</m:t>
              </m:r>
              <m:f>
                <m:fPr>
                  <m:ctrlPr>
                    <w:rPr>
                      <w:rFonts w:ascii="Cambria Math" w:eastAsia="Calibri" w:hAnsi="Cambria Math" w:cs="Arial"/>
                      <w:i/>
                      <w:szCs w:val="18"/>
                      <w:lang w:val="cs-CZ"/>
                    </w:rPr>
                  </m:ctrlPr>
                </m:fPr>
                <m:num>
                  <m:r>
                    <w:rPr>
                      <w:rFonts w:ascii="Cambria Math" w:eastAsia="Calibri" w:hAnsi="Cambria Math" w:cs="Arial"/>
                      <w:szCs w:val="18"/>
                      <w:lang w:val="cs-CZ"/>
                    </w:rPr>
                    <m:t>T</m:t>
                  </m:r>
                </m:num>
                <m:den>
                  <m:r>
                    <w:rPr>
                      <w:rFonts w:ascii="Cambria Math" w:eastAsia="Calibri" w:hAnsi="Cambria Math" w:cs="Arial"/>
                      <w:szCs w:val="18"/>
                      <w:lang w:val="cs-CZ"/>
                    </w:rPr>
                    <m:t>2</m:t>
                  </m:r>
                </m:den>
              </m:f>
            </m:e>
          </m:d>
          <m:r>
            <w:rPr>
              <w:rFonts w:ascii="Cambria Math" w:eastAsia="Calibri" w:hAnsi="Cambria Math" w:cs="Arial"/>
              <w:szCs w:val="18"/>
              <w:lang w:val="cs-CZ"/>
            </w:rPr>
            <m:t xml:space="preserve"> [kNm]</m:t>
          </m:r>
        </m:oMath>
      </m:oMathPara>
    </w:p>
    <w:p w:rsidR="00E82B25" w:rsidRPr="003B6E11" w:rsidRDefault="00E82B25" w:rsidP="00E82B25">
      <w:pPr>
        <w:pStyle w:val="ESch"/>
        <w:rPr>
          <w:rFonts w:eastAsia="Calibri" w:cs="Arial"/>
          <w:szCs w:val="18"/>
          <w:lang w:val="cs-CZ"/>
        </w:rPr>
      </w:pPr>
    </w:p>
    <w:p w:rsidR="00E82B25" w:rsidRPr="003B6E11" w:rsidRDefault="00E82B25" w:rsidP="00E82B25">
      <w:pPr>
        <w:pStyle w:val="ESchpar"/>
        <w:rPr>
          <w:rFonts w:eastAsia="Calibri" w:cs="Arial"/>
          <w:szCs w:val="18"/>
          <w:lang w:val="cs-CZ"/>
        </w:rPr>
      </w:pPr>
      <w:r w:rsidRPr="003B6E11">
        <w:rPr>
          <w:lang w:val="cs-CZ"/>
        </w:rPr>
        <w:t>kde:</w:t>
      </w:r>
    </w:p>
    <w:p w:rsidR="00E82B25" w:rsidRPr="003B6E11" w:rsidRDefault="002D015D" w:rsidP="00E82B25">
      <w:pPr>
        <w:pStyle w:val="ESlet"/>
        <w:ind w:left="1134" w:hanging="567"/>
        <w:rPr>
          <w:rFonts w:eastAsia="Calibri" w:cs="Arial"/>
          <w:szCs w:val="18"/>
          <w:lang w:val="cs-CZ"/>
        </w:rPr>
      </w:pPr>
      <m:oMath>
        <m:sSub>
          <m:sSubPr>
            <m:ctrlPr>
              <w:rPr>
                <w:rFonts w:ascii="Cambria Math" w:eastAsia="Calibri" w:hAnsi="Cambria Math"/>
                <w:i/>
                <w:noProof/>
                <w:lang w:val="cs-CZ"/>
              </w:rPr>
            </m:ctrlPr>
          </m:sSubPr>
          <m:e>
            <m:r>
              <w:rPr>
                <w:rFonts w:ascii="Cambria Math" w:eastAsia="Calibri" w:hAnsi="Cambria Math"/>
                <w:noProof/>
                <w:lang w:val="cs-CZ"/>
              </w:rPr>
              <m:t>p</m:t>
            </m:r>
          </m:e>
          <m:sub>
            <m:r>
              <w:rPr>
                <w:rFonts w:ascii="Cambria Math" w:eastAsia="Calibri" w:hAnsi="Cambria Math"/>
                <w:noProof/>
                <w:lang w:val="cs-CZ"/>
              </w:rPr>
              <m:t>w</m:t>
            </m:r>
          </m:sub>
        </m:sSub>
      </m:oMath>
      <w:r w:rsidR="00E82B25" w:rsidRPr="003B6E11">
        <w:rPr>
          <w:lang w:val="cs-CZ"/>
        </w:rPr>
        <w:t xml:space="preserve"> =</w:t>
      </w:r>
      <w:r w:rsidR="00E82B25" w:rsidRPr="003B6E11">
        <w:rPr>
          <w:lang w:val="cs-CZ"/>
        </w:rPr>
        <w:tab/>
        <w:t>specifický tlak větru 0,25 kN/m</w:t>
      </w:r>
      <w:r w:rsidR="00E82B25" w:rsidRPr="003B6E11">
        <w:rPr>
          <w:vertAlign w:val="superscript"/>
          <w:lang w:val="cs-CZ"/>
        </w:rPr>
        <w:t>2</w:t>
      </w:r>
      <w:r w:rsidR="00E82B25" w:rsidRPr="003B6E11">
        <w:rPr>
          <w:lang w:val="cs-CZ"/>
        </w:rPr>
        <w:t>,</w:t>
      </w:r>
    </w:p>
    <w:p w:rsidR="00E82B25" w:rsidRPr="003B6E11" w:rsidRDefault="002D015D" w:rsidP="00E82B25">
      <w:pPr>
        <w:pStyle w:val="ESlet"/>
        <w:ind w:left="1134" w:hanging="567"/>
        <w:rPr>
          <w:rFonts w:eastAsia="Calibri" w:cs="Arial"/>
          <w:szCs w:val="18"/>
          <w:lang w:val="cs-CZ"/>
        </w:rPr>
      </w:pPr>
      <m:oMath>
        <m:sSub>
          <m:sSubPr>
            <m:ctrlPr>
              <w:rPr>
                <w:rFonts w:ascii="Cambria Math" w:eastAsia="Calibri" w:hAnsi="Cambria Math"/>
                <w:i/>
                <w:noProof/>
                <w:lang w:val="cs-CZ"/>
              </w:rPr>
            </m:ctrlPr>
          </m:sSubPr>
          <m:e>
            <m:r>
              <w:rPr>
                <w:rFonts w:ascii="Cambria Math" w:eastAsia="Calibri" w:hAnsi="Cambria Math"/>
                <w:noProof/>
                <w:lang w:val="cs-CZ"/>
              </w:rPr>
              <m:t>A</m:t>
            </m:r>
          </m:e>
          <m:sub>
            <m:r>
              <w:rPr>
                <w:rFonts w:ascii="Cambria Math" w:eastAsia="Calibri" w:hAnsi="Cambria Math"/>
                <w:noProof/>
                <w:lang w:val="cs-CZ"/>
              </w:rPr>
              <m:t>w</m:t>
            </m:r>
          </m:sub>
        </m:sSub>
      </m:oMath>
      <w:r w:rsidR="00E82B25" w:rsidRPr="003B6E11">
        <w:rPr>
          <w:lang w:val="cs-CZ"/>
        </w:rPr>
        <w:t xml:space="preserve"> =</w:t>
      </w:r>
      <w:r w:rsidR="00E82B25" w:rsidRPr="003B6E11">
        <w:rPr>
          <w:lang w:val="cs-CZ"/>
        </w:rPr>
        <w:tab/>
        <w:t>boční plocha lodi nad rovinou ponoru podle uvažované podmínky zatížení v [m</w:t>
      </w:r>
      <w:r w:rsidR="00E82B25" w:rsidRPr="003B6E11">
        <w:rPr>
          <w:vertAlign w:val="superscript"/>
          <w:lang w:val="cs-CZ"/>
        </w:rPr>
        <w:t>2</w:t>
      </w:r>
      <w:r w:rsidR="00E82B25" w:rsidRPr="003B6E11">
        <w:rPr>
          <w:lang w:val="cs-CZ"/>
        </w:rPr>
        <w:t>],</w:t>
      </w:r>
    </w:p>
    <w:p w:rsidR="00E82B25" w:rsidRPr="003B6E11" w:rsidRDefault="002D015D" w:rsidP="00E82B25">
      <w:pPr>
        <w:pStyle w:val="ESlet"/>
        <w:ind w:left="1134" w:hanging="567"/>
        <w:rPr>
          <w:rFonts w:eastAsia="Calibri" w:cs="Arial"/>
          <w:szCs w:val="18"/>
          <w:lang w:val="cs-CZ"/>
        </w:rPr>
      </w:pPr>
      <m:oMath>
        <m:sSub>
          <m:sSubPr>
            <m:ctrlPr>
              <w:rPr>
                <w:rFonts w:ascii="Cambria Math" w:eastAsia="Calibri" w:hAnsi="Cambria Math"/>
                <w:i/>
                <w:noProof/>
                <w:lang w:val="cs-CZ"/>
              </w:rPr>
            </m:ctrlPr>
          </m:sSubPr>
          <m:e>
            <m:r>
              <w:rPr>
                <w:rFonts w:ascii="Cambria Math" w:eastAsia="Calibri" w:hAnsi="Cambria Math"/>
                <w:noProof/>
                <w:lang w:val="cs-CZ"/>
              </w:rPr>
              <m:t>l</m:t>
            </m:r>
          </m:e>
          <m:sub>
            <m:r>
              <w:rPr>
                <w:rFonts w:ascii="Cambria Math" w:eastAsia="Calibri" w:hAnsi="Cambria Math"/>
                <w:noProof/>
                <w:lang w:val="cs-CZ"/>
              </w:rPr>
              <m:t>w</m:t>
            </m:r>
          </m:sub>
        </m:sSub>
      </m:oMath>
      <w:r w:rsidR="00E82B25" w:rsidRPr="003B6E11">
        <w:rPr>
          <w:lang w:val="cs-CZ"/>
        </w:rPr>
        <w:t xml:space="preserve"> =</w:t>
      </w:r>
      <w:r w:rsidR="00E82B25" w:rsidRPr="003B6E11">
        <w:rPr>
          <w:lang w:val="cs-CZ"/>
        </w:rPr>
        <w:tab/>
        <w:t xml:space="preserve">vzdálenost těžiště boční plochy </w:t>
      </w:r>
      <m:oMath>
        <m:sSub>
          <m:sSubPr>
            <m:ctrlPr>
              <w:rPr>
                <w:rFonts w:ascii="Cambria Math" w:eastAsia="Calibri" w:hAnsi="Cambria Math"/>
                <w:i/>
                <w:noProof/>
                <w:lang w:val="cs-CZ"/>
              </w:rPr>
            </m:ctrlPr>
          </m:sSubPr>
          <m:e>
            <m:r>
              <w:rPr>
                <w:rFonts w:ascii="Cambria Math" w:eastAsia="Calibri" w:hAnsi="Cambria Math"/>
                <w:noProof/>
                <w:lang w:val="cs-CZ"/>
              </w:rPr>
              <m:t>A</m:t>
            </m:r>
          </m:e>
          <m:sub>
            <m:r>
              <w:rPr>
                <w:rFonts w:ascii="Cambria Math" w:eastAsia="Calibri" w:hAnsi="Cambria Math"/>
                <w:noProof/>
                <w:lang w:val="cs-CZ"/>
              </w:rPr>
              <m:t>w</m:t>
            </m:r>
          </m:sub>
        </m:sSub>
      </m:oMath>
      <w:r w:rsidR="00E82B25" w:rsidRPr="003B6E11">
        <w:rPr>
          <w:lang w:val="cs-CZ"/>
        </w:rPr>
        <w:t xml:space="preserve"> od roviny ponoru podle uvažované podmínky zatížení v [m].</w:t>
      </w:r>
    </w:p>
    <w:p w:rsidR="00E82B25" w:rsidRPr="003B6E11" w:rsidRDefault="00E82B25" w:rsidP="00E82B25">
      <w:pPr>
        <w:pStyle w:val="ESch"/>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Při výpočtu boční plochy je třeba vzít v úvahu zamýšlené uzavření paluby ochrannými plachtami a podobnými mobilními zařízeními.</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6.</w:t>
      </w:r>
      <w:r w:rsidRPr="003B6E11">
        <w:rPr>
          <w:lang w:val="cs-CZ"/>
        </w:rPr>
        <w:tab/>
        <w:t xml:space="preserve">Moment způsobený odstředivou silou </w:t>
      </w:r>
      <m:oMath>
        <m:sSub>
          <m:sSubPr>
            <m:ctrlPr>
              <w:rPr>
                <w:rFonts w:ascii="Cambria Math" w:eastAsia="Calibri" w:hAnsi="Cambria Math"/>
                <w:i/>
                <w:noProof/>
                <w:lang w:val="cs-CZ"/>
              </w:rPr>
            </m:ctrlPr>
          </m:sSubPr>
          <m:e>
            <m:r>
              <w:rPr>
                <w:rFonts w:ascii="Cambria Math" w:eastAsia="Calibri" w:hAnsi="Cambria Math"/>
                <w:noProof/>
                <w:lang w:val="cs-CZ"/>
              </w:rPr>
              <m:t>M</m:t>
            </m:r>
          </m:e>
          <m:sub>
            <m:r>
              <w:rPr>
                <w:rFonts w:ascii="Cambria Math" w:eastAsia="Calibri" w:hAnsi="Cambria Math"/>
                <w:noProof/>
                <w:lang w:val="cs-CZ"/>
              </w:rPr>
              <m:t>dr</m:t>
            </m:r>
          </m:sub>
        </m:sSub>
      </m:oMath>
      <w:r w:rsidRPr="003B6E11">
        <w:rPr>
          <w:lang w:val="cs-CZ"/>
        </w:rPr>
        <w:t xml:space="preserve"> vyvolanou otáčením lodi se vypočte takto:</w:t>
      </w:r>
    </w:p>
    <w:p w:rsidR="00E82B25" w:rsidRPr="003B6E11" w:rsidRDefault="00E82B25" w:rsidP="00E82B25">
      <w:pPr>
        <w:pStyle w:val="ESch"/>
        <w:rPr>
          <w:rFonts w:eastAsia="Calibri" w:cs="Arial"/>
          <w:szCs w:val="18"/>
          <w:lang w:val="cs-CZ"/>
        </w:rPr>
      </w:pPr>
    </w:p>
    <w:p w:rsidR="00E82B25" w:rsidRPr="003B6E11" w:rsidRDefault="002D015D" w:rsidP="00E82B25">
      <w:pPr>
        <w:pStyle w:val="ESch"/>
        <w:ind w:left="0" w:firstLine="0"/>
        <w:rPr>
          <w:rFonts w:eastAsia="Calibri" w:cs="Arial"/>
          <w:szCs w:val="18"/>
          <w:lang w:val="cs-CZ"/>
        </w:rPr>
      </w:pPr>
      <m:oMathPara>
        <m:oMath>
          <m:sSub>
            <m:sSubPr>
              <m:ctrlPr>
                <w:rPr>
                  <w:rFonts w:ascii="Cambria Math" w:eastAsia="Calibri" w:hAnsi="Cambria Math" w:cs="Arial"/>
                  <w:i/>
                  <w:szCs w:val="18"/>
                  <w:lang w:val="cs-CZ"/>
                </w:rPr>
              </m:ctrlPr>
            </m:sSubPr>
            <m:e>
              <m:r>
                <w:rPr>
                  <w:rFonts w:ascii="Cambria Math" w:eastAsia="Calibri" w:hAnsi="Cambria Math" w:cs="Arial"/>
                  <w:szCs w:val="18"/>
                  <w:lang w:val="cs-CZ"/>
                </w:rPr>
                <m:t>M</m:t>
              </m:r>
            </m:e>
            <m:sub>
              <m:r>
                <w:rPr>
                  <w:rFonts w:ascii="Cambria Math" w:eastAsia="Calibri" w:hAnsi="Cambria Math" w:cs="Arial"/>
                  <w:szCs w:val="18"/>
                  <w:lang w:val="cs-CZ"/>
                </w:rPr>
                <m:t>dr</m:t>
              </m:r>
            </m:sub>
          </m:sSub>
          <m:r>
            <w:rPr>
              <w:rFonts w:ascii="Cambria Math" w:eastAsia="Calibri" w:hAnsi="Cambria Math" w:cs="Arial"/>
              <w:szCs w:val="18"/>
              <w:lang w:val="cs-CZ"/>
            </w:rPr>
            <m:t xml:space="preserve">= </m:t>
          </m:r>
          <m:sSub>
            <m:sSubPr>
              <m:ctrlPr>
                <w:rPr>
                  <w:rFonts w:ascii="Cambria Math" w:eastAsia="Calibri" w:hAnsi="Cambria Math" w:cs="Arial"/>
                  <w:i/>
                  <w:szCs w:val="18"/>
                  <w:lang w:val="cs-CZ"/>
                </w:rPr>
              </m:ctrlPr>
            </m:sSubPr>
            <m:e>
              <m:r>
                <w:rPr>
                  <w:rFonts w:ascii="Cambria Math" w:eastAsia="Calibri" w:hAnsi="Cambria Math" w:cs="Arial"/>
                  <w:szCs w:val="18"/>
                  <w:lang w:val="cs-CZ"/>
                </w:rPr>
                <m:t>c</m:t>
              </m:r>
            </m:e>
            <m:sub>
              <m:r>
                <w:rPr>
                  <w:rFonts w:ascii="Cambria Math" w:eastAsia="Calibri" w:hAnsi="Cambria Math" w:cs="Arial"/>
                  <w:szCs w:val="18"/>
                  <w:lang w:val="cs-CZ"/>
                </w:rPr>
                <m:t>dr</m:t>
              </m:r>
            </m:sub>
          </m:sSub>
          <m:r>
            <w:rPr>
              <w:rFonts w:ascii="Cambria Math" w:eastAsia="Calibri" w:hAnsi="Cambria Math" w:cs="Arial"/>
              <w:szCs w:val="18"/>
              <w:lang w:val="cs-CZ"/>
            </w:rPr>
            <m:t xml:space="preserve"> ∙ </m:t>
          </m:r>
          <m:sSub>
            <m:sSubPr>
              <m:ctrlPr>
                <w:rPr>
                  <w:rFonts w:ascii="Cambria Math" w:eastAsia="Calibri" w:hAnsi="Cambria Math" w:cs="Arial"/>
                  <w:i/>
                  <w:szCs w:val="18"/>
                  <w:lang w:val="cs-CZ"/>
                </w:rPr>
              </m:ctrlPr>
            </m:sSubPr>
            <m:e>
              <m:r>
                <w:rPr>
                  <w:rFonts w:ascii="Cambria Math" w:eastAsia="Calibri" w:hAnsi="Cambria Math" w:cs="Arial"/>
                  <w:szCs w:val="18"/>
                  <w:lang w:val="cs-CZ"/>
                </w:rPr>
                <m:t>C</m:t>
              </m:r>
            </m:e>
            <m:sub>
              <m:r>
                <w:rPr>
                  <w:rFonts w:ascii="Cambria Math" w:eastAsia="Calibri" w:hAnsi="Cambria Math" w:cs="Arial"/>
                  <w:szCs w:val="18"/>
                  <w:lang w:val="cs-CZ"/>
                </w:rPr>
                <m:t>B</m:t>
              </m:r>
            </m:sub>
          </m:sSub>
          <m:r>
            <w:rPr>
              <w:rFonts w:ascii="Cambria Math" w:eastAsia="Calibri" w:hAnsi="Cambria Math" w:cs="Arial"/>
              <w:szCs w:val="18"/>
              <w:lang w:val="cs-CZ"/>
            </w:rPr>
            <m:t xml:space="preserve"> ∙ </m:t>
          </m:r>
          <m:sSup>
            <m:sSupPr>
              <m:ctrlPr>
                <w:rPr>
                  <w:rFonts w:ascii="Cambria Math" w:eastAsia="Calibri" w:hAnsi="Cambria Math" w:cs="Arial"/>
                  <w:i/>
                  <w:szCs w:val="18"/>
                  <w:lang w:val="cs-CZ"/>
                </w:rPr>
              </m:ctrlPr>
            </m:sSupPr>
            <m:e>
              <m:r>
                <w:rPr>
                  <w:rFonts w:ascii="Cambria Math" w:eastAsia="Calibri" w:hAnsi="Cambria Math" w:cs="Arial"/>
                  <w:szCs w:val="18"/>
                  <w:lang w:val="cs-CZ"/>
                </w:rPr>
                <m:t>v</m:t>
              </m:r>
            </m:e>
            <m:sup>
              <m:r>
                <w:rPr>
                  <w:rFonts w:ascii="Cambria Math" w:eastAsia="Calibri" w:hAnsi="Cambria Math" w:cs="Arial"/>
                  <w:szCs w:val="18"/>
                  <w:lang w:val="cs-CZ"/>
                </w:rPr>
                <m:t>2</m:t>
              </m:r>
            </m:sup>
          </m:sSup>
          <m:r>
            <w:rPr>
              <w:rFonts w:ascii="Cambria Math" w:eastAsia="Calibri" w:hAnsi="Cambria Math" w:cs="Arial"/>
              <w:szCs w:val="18"/>
              <w:lang w:val="cs-CZ"/>
            </w:rPr>
            <m:t xml:space="preserve"> ∙</m:t>
          </m:r>
          <m:f>
            <m:fPr>
              <m:ctrlPr>
                <w:rPr>
                  <w:rFonts w:ascii="Cambria Math" w:eastAsia="Calibri" w:hAnsi="Cambria Math" w:cs="Arial"/>
                  <w:i/>
                  <w:szCs w:val="18"/>
                  <w:lang w:val="cs-CZ"/>
                </w:rPr>
              </m:ctrlPr>
            </m:fPr>
            <m:num>
              <m:r>
                <w:rPr>
                  <w:rFonts w:ascii="Cambria Math" w:eastAsia="Calibri" w:hAnsi="Cambria Math" w:cs="Arial"/>
                  <w:szCs w:val="18"/>
                  <w:lang w:val="cs-CZ"/>
                </w:rPr>
                <m:t>D</m:t>
              </m:r>
            </m:num>
            <m:den>
              <m:sSub>
                <m:sSubPr>
                  <m:ctrlPr>
                    <w:rPr>
                      <w:rFonts w:ascii="Cambria Math" w:eastAsia="Calibri" w:hAnsi="Cambria Math" w:cs="Arial"/>
                      <w:i/>
                      <w:szCs w:val="18"/>
                      <w:lang w:val="cs-CZ"/>
                    </w:rPr>
                  </m:ctrlPr>
                </m:sSubPr>
                <m:e>
                  <m:r>
                    <w:rPr>
                      <w:rFonts w:ascii="Cambria Math" w:eastAsia="Calibri" w:hAnsi="Cambria Math" w:cs="Arial"/>
                      <w:szCs w:val="18"/>
                      <w:lang w:val="cs-CZ"/>
                    </w:rPr>
                    <m:t>L</m:t>
                  </m:r>
                </m:e>
                <m:sub>
                  <m:r>
                    <w:rPr>
                      <w:rFonts w:ascii="Cambria Math" w:eastAsia="Calibri" w:hAnsi="Cambria Math" w:cs="Arial"/>
                      <w:szCs w:val="18"/>
                      <w:lang w:val="cs-CZ"/>
                    </w:rPr>
                    <m:t>WL</m:t>
                  </m:r>
                </m:sub>
              </m:sSub>
            </m:den>
          </m:f>
          <m:r>
            <w:rPr>
              <w:rFonts w:ascii="Cambria Math" w:eastAsia="Calibri" w:hAnsi="Cambria Math" w:cs="Arial"/>
              <w:szCs w:val="18"/>
              <w:lang w:val="cs-CZ"/>
            </w:rPr>
            <m:t>∙</m:t>
          </m:r>
          <m:d>
            <m:dPr>
              <m:ctrlPr>
                <w:rPr>
                  <w:rFonts w:ascii="Cambria Math" w:eastAsia="Calibri" w:hAnsi="Cambria Math" w:cs="Arial"/>
                  <w:i/>
                  <w:szCs w:val="18"/>
                  <w:lang w:val="cs-CZ"/>
                </w:rPr>
              </m:ctrlPr>
            </m:dPr>
            <m:e>
              <m:r>
                <w:rPr>
                  <w:rFonts w:ascii="Cambria Math" w:eastAsia="Calibri" w:hAnsi="Cambria Math" w:cs="Arial"/>
                  <w:szCs w:val="18"/>
                  <w:lang w:val="cs-CZ"/>
                </w:rPr>
                <m:t>KG-</m:t>
              </m:r>
              <m:f>
                <m:fPr>
                  <m:ctrlPr>
                    <w:rPr>
                      <w:rFonts w:ascii="Cambria Math" w:eastAsia="Calibri" w:hAnsi="Cambria Math" w:cs="Arial"/>
                      <w:i/>
                      <w:szCs w:val="18"/>
                      <w:lang w:val="cs-CZ"/>
                    </w:rPr>
                  </m:ctrlPr>
                </m:fPr>
                <m:num>
                  <m:r>
                    <w:rPr>
                      <w:rFonts w:ascii="Cambria Math" w:eastAsia="Calibri" w:hAnsi="Cambria Math" w:cs="Arial"/>
                      <w:szCs w:val="18"/>
                      <w:lang w:val="cs-CZ"/>
                    </w:rPr>
                    <m:t>T</m:t>
                  </m:r>
                </m:num>
                <m:den>
                  <m:r>
                    <w:rPr>
                      <w:rFonts w:ascii="Cambria Math" w:eastAsia="Calibri" w:hAnsi="Cambria Math" w:cs="Arial"/>
                      <w:szCs w:val="18"/>
                      <w:lang w:val="cs-CZ"/>
                    </w:rPr>
                    <m:t>2</m:t>
                  </m:r>
                </m:den>
              </m:f>
            </m:e>
          </m:d>
          <m:r>
            <w:rPr>
              <w:rFonts w:ascii="Cambria Math" w:eastAsia="Calibri" w:hAnsi="Cambria Math" w:cs="Arial"/>
              <w:szCs w:val="18"/>
              <w:lang w:val="cs-CZ"/>
            </w:rPr>
            <m:t xml:space="preserve"> [kNm]</m:t>
          </m:r>
        </m:oMath>
      </m:oMathPara>
    </w:p>
    <w:p w:rsidR="00E82B25" w:rsidRPr="003B6E11" w:rsidRDefault="00E82B25" w:rsidP="00E82B25">
      <w:pPr>
        <w:pStyle w:val="ESch"/>
        <w:rPr>
          <w:rFonts w:eastAsia="Calibri" w:cs="Arial"/>
          <w:szCs w:val="18"/>
          <w:lang w:val="cs-CZ"/>
        </w:rPr>
      </w:pPr>
    </w:p>
    <w:p w:rsidR="00E82B25" w:rsidRPr="003B6E11" w:rsidRDefault="00E82B25" w:rsidP="00E82B25">
      <w:pPr>
        <w:pStyle w:val="ESchpar"/>
        <w:rPr>
          <w:rFonts w:eastAsia="Calibri"/>
          <w:lang w:val="cs-CZ"/>
        </w:rPr>
      </w:pPr>
      <w:r w:rsidRPr="003B6E11">
        <w:rPr>
          <w:lang w:val="cs-CZ"/>
        </w:rPr>
        <w:t>kde:</w:t>
      </w:r>
    </w:p>
    <w:p w:rsidR="00E82B25" w:rsidRPr="003B6E11" w:rsidRDefault="002D015D" w:rsidP="00E82B25">
      <w:pPr>
        <w:pStyle w:val="ESlet"/>
        <w:ind w:left="1134" w:hanging="567"/>
        <w:rPr>
          <w:rFonts w:eastAsia="Calibri"/>
          <w:szCs w:val="20"/>
          <w:lang w:val="cs-CZ"/>
        </w:rPr>
      </w:pPr>
      <m:oMath>
        <m:sSub>
          <m:sSubPr>
            <m:ctrlPr>
              <w:rPr>
                <w:rFonts w:ascii="Cambria Math" w:eastAsia="Calibri" w:hAnsi="Cambria Math"/>
                <w:i/>
                <w:szCs w:val="18"/>
                <w:lang w:val="cs-CZ"/>
              </w:rPr>
            </m:ctrlPr>
          </m:sSubPr>
          <m:e>
            <m:r>
              <w:rPr>
                <w:rFonts w:ascii="Cambria Math" w:eastAsia="Calibri" w:hAnsi="Cambria Math"/>
                <w:szCs w:val="18"/>
                <w:lang w:val="cs-CZ"/>
              </w:rPr>
              <m:t>C</m:t>
            </m:r>
          </m:e>
          <m:sub>
            <m:r>
              <w:rPr>
                <w:rFonts w:ascii="Cambria Math" w:eastAsia="Calibri" w:hAnsi="Cambria Math"/>
                <w:szCs w:val="18"/>
                <w:lang w:val="cs-CZ"/>
              </w:rPr>
              <m:t>dr</m:t>
            </m:r>
          </m:sub>
        </m:sSub>
      </m:oMath>
      <w:r w:rsidR="00E82B25" w:rsidRPr="003B6E11">
        <w:rPr>
          <w:lang w:val="cs-CZ"/>
        </w:rPr>
        <w:t xml:space="preserve"> =</w:t>
      </w:r>
      <w:r w:rsidR="00E82B25" w:rsidRPr="003B6E11">
        <w:rPr>
          <w:lang w:val="cs-CZ"/>
        </w:rPr>
        <w:tab/>
        <w:t>koeficient 0,45,</w:t>
      </w:r>
    </w:p>
    <w:p w:rsidR="00E82B25" w:rsidRPr="003B6E11" w:rsidRDefault="002D015D" w:rsidP="00E82B25">
      <w:pPr>
        <w:pStyle w:val="ESlet"/>
        <w:ind w:left="1134" w:hanging="567"/>
        <w:rPr>
          <w:rFonts w:eastAsia="Calibri"/>
          <w:noProof/>
          <w:szCs w:val="20"/>
          <w:lang w:val="cs-CZ"/>
        </w:rPr>
      </w:pPr>
      <m:oMath>
        <m:sSub>
          <m:sSubPr>
            <m:ctrlPr>
              <w:rPr>
                <w:rFonts w:ascii="Cambria Math" w:eastAsia="Calibri" w:hAnsi="Cambria Math"/>
                <w:i/>
                <w:szCs w:val="18"/>
                <w:lang w:val="cs-CZ"/>
              </w:rPr>
            </m:ctrlPr>
          </m:sSubPr>
          <m:e>
            <m:r>
              <w:rPr>
                <w:rFonts w:ascii="Cambria Math" w:eastAsia="Calibri" w:hAnsi="Cambria Math"/>
                <w:szCs w:val="18"/>
                <w:lang w:val="cs-CZ"/>
              </w:rPr>
              <m:t>C</m:t>
            </m:r>
          </m:e>
          <m:sub>
            <m:r>
              <w:rPr>
                <w:rFonts w:ascii="Cambria Math" w:eastAsia="Calibri" w:hAnsi="Cambria Math"/>
                <w:szCs w:val="18"/>
                <w:lang w:val="cs-CZ"/>
              </w:rPr>
              <m:t>B</m:t>
            </m:r>
          </m:sub>
        </m:sSub>
      </m:oMath>
      <w:r w:rsidR="00E82B25" w:rsidRPr="003B6E11">
        <w:rPr>
          <w:lang w:val="cs-CZ"/>
        </w:rPr>
        <w:t xml:space="preserve"> =</w:t>
      </w:r>
      <w:r w:rsidR="00E82B25" w:rsidRPr="003B6E11">
        <w:rPr>
          <w:lang w:val="cs-CZ"/>
        </w:rPr>
        <w:tab/>
        <w:t>součinitel plnosti výtlaku (není-li znám, dosadí se 1,0),</w:t>
      </w:r>
    </w:p>
    <w:p w:rsidR="00E82B25" w:rsidRPr="003B6E11" w:rsidRDefault="00E82B25" w:rsidP="00E82B25">
      <w:pPr>
        <w:pStyle w:val="ESlet"/>
        <w:ind w:left="1134" w:hanging="567"/>
        <w:rPr>
          <w:rFonts w:eastAsia="Calibri"/>
          <w:szCs w:val="20"/>
          <w:lang w:val="cs-CZ"/>
        </w:rPr>
      </w:pPr>
      <m:oMath>
        <m:r>
          <w:rPr>
            <w:rFonts w:ascii="Cambria Math" w:eastAsia="Calibri" w:hAnsi="Cambria Math"/>
            <w:szCs w:val="20"/>
            <w:lang w:val="cs-CZ"/>
          </w:rPr>
          <m:t>v</m:t>
        </m:r>
      </m:oMath>
      <w:r w:rsidRPr="003B6E11">
        <w:rPr>
          <w:lang w:val="cs-CZ"/>
        </w:rPr>
        <w:t xml:space="preserve"> =</w:t>
      </w:r>
      <w:r w:rsidRPr="003B6E11">
        <w:rPr>
          <w:lang w:val="cs-CZ"/>
        </w:rPr>
        <w:tab/>
        <w:t>maximální rychlost lodi v m/s,</w:t>
      </w:r>
    </w:p>
    <w:p w:rsidR="00E82B25" w:rsidRPr="003B6E11" w:rsidRDefault="00E82B25" w:rsidP="00E82B25">
      <w:pPr>
        <w:pStyle w:val="ESlet"/>
        <w:ind w:left="1134" w:hanging="567"/>
        <w:rPr>
          <w:rFonts w:eastAsia="Calibri"/>
          <w:szCs w:val="20"/>
          <w:lang w:val="cs-CZ"/>
        </w:rPr>
      </w:pPr>
      <m:oMath>
        <m:r>
          <w:rPr>
            <w:rFonts w:ascii="Cambria Math" w:eastAsia="Calibri" w:hAnsi="Cambria Math"/>
            <w:szCs w:val="20"/>
            <w:lang w:val="cs-CZ"/>
          </w:rPr>
          <m:t>KG</m:t>
        </m:r>
      </m:oMath>
      <w:r w:rsidRPr="003B6E11">
        <w:rPr>
          <w:lang w:val="cs-CZ"/>
        </w:rPr>
        <w:t xml:space="preserve"> =</w:t>
      </w:r>
      <w:r w:rsidRPr="003B6E11">
        <w:rPr>
          <w:lang w:val="cs-CZ"/>
        </w:rPr>
        <w:tab/>
        <w:t>vzdálenost mezi těžištěm a rovinou kýlu v m.</w:t>
      </w:r>
    </w:p>
    <w:p w:rsidR="00E82B25" w:rsidRPr="003B6E11" w:rsidRDefault="00E82B25" w:rsidP="00E82B25">
      <w:pPr>
        <w:pStyle w:val="ESch"/>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 xml:space="preserve">U osobních lodí s pohonnými systémy podle článku 6.06 se </w:t>
      </w:r>
      <m:oMath>
        <m:sSub>
          <m:sSubPr>
            <m:ctrlPr>
              <w:rPr>
                <w:rFonts w:ascii="Cambria Math" w:eastAsia="Calibri" w:hAnsi="Cambria Math"/>
                <w:i/>
                <w:szCs w:val="18"/>
                <w:lang w:val="cs-CZ"/>
              </w:rPr>
            </m:ctrlPr>
          </m:sSubPr>
          <m:e>
            <m:r>
              <w:rPr>
                <w:rFonts w:ascii="Cambria Math" w:eastAsia="Calibri" w:hAnsi="Cambria Math"/>
                <w:szCs w:val="18"/>
                <w:lang w:val="cs-CZ"/>
              </w:rPr>
              <m:t>M</m:t>
            </m:r>
          </m:e>
          <m:sub>
            <m:r>
              <w:rPr>
                <w:rFonts w:ascii="Cambria Math" w:eastAsia="Calibri" w:hAnsi="Cambria Math"/>
                <w:szCs w:val="18"/>
                <w:lang w:val="cs-CZ"/>
              </w:rPr>
              <m:t>dr</m:t>
            </m:r>
          </m:sub>
        </m:sSub>
      </m:oMath>
      <w:r w:rsidRPr="003B6E11">
        <w:rPr>
          <w:lang w:val="cs-CZ"/>
        </w:rPr>
        <w:t xml:space="preserve"> odvodí ze zkoušek v plném měřítku nebo modelových zkoušek či jinak z odpovídajících výpočtů.</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r w:rsidRPr="003B6E11">
        <w:rPr>
          <w:lang w:val="cs-CZ"/>
        </w:rPr>
        <w:t>7.</w:t>
      </w:r>
      <w:r w:rsidRPr="003B6E11">
        <w:rPr>
          <w:lang w:val="cs-CZ"/>
        </w:rPr>
        <w:tab/>
        <w:t>Žadatel doloží výpočtem, že stabilita lodi v narušeném stavu je přiměřená. Výpočet konečného stavu zaplavení by měl být založen na metodě „ztráty plovatelnosti“ a prozatímní stavy zaplavení by se měly vypočítat na základě metody „přidané hmotnosti“. Všechny výpočty se provedou bez sklonu plavidla a klesání.</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8.</w:t>
      </w:r>
      <w:r w:rsidRPr="003B6E11">
        <w:rPr>
          <w:lang w:val="cs-CZ"/>
        </w:rPr>
        <w:tab/>
        <w:t>Plovatelnost lodi při zaplavení je nutno prokázat pro standardní podmínky zatížení uvedené v odstavci 2. Matematický důkaz dostatečné stability se určí pro tři mezistupně zaplavení (25 %, 50 % a 75 % konečného zaplavení) a pro konečné zaplavení.</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br w:type="page"/>
      </w:r>
    </w:p>
    <w:p w:rsidR="00E82B25" w:rsidRPr="003B6E11" w:rsidRDefault="00E82B25" w:rsidP="00E82B25">
      <w:pPr>
        <w:pStyle w:val="ESch"/>
        <w:rPr>
          <w:rFonts w:eastAsia="Calibri" w:cs="Arial"/>
          <w:szCs w:val="18"/>
          <w:lang w:val="cs-CZ"/>
        </w:rPr>
      </w:pPr>
      <w:r w:rsidRPr="003B6E11">
        <w:rPr>
          <w:lang w:val="cs-CZ"/>
        </w:rPr>
        <w:t>9.</w:t>
      </w:r>
      <w:r w:rsidRPr="003B6E11">
        <w:rPr>
          <w:lang w:val="cs-CZ"/>
        </w:rPr>
        <w:tab/>
        <w:t>Osobní lodě musí splňovat status 1 oddělení a status 2 oddělení.</w:t>
      </w:r>
    </w:p>
    <w:p w:rsidR="00E82B25" w:rsidRPr="003B6E11" w:rsidRDefault="00E82B25" w:rsidP="00E82B25">
      <w:pPr>
        <w:pStyle w:val="ESch"/>
        <w:rPr>
          <w:rFonts w:eastAsia="Calibri"/>
          <w:noProof/>
          <w:lang w:val="cs-CZ"/>
        </w:rPr>
      </w:pPr>
    </w:p>
    <w:p w:rsidR="00E82B25" w:rsidRPr="003B6E11" w:rsidRDefault="00E82B25" w:rsidP="00E82B25">
      <w:pPr>
        <w:pStyle w:val="ESchpar"/>
        <w:rPr>
          <w:rFonts w:eastAsia="Calibri"/>
          <w:noProof/>
          <w:lang w:val="cs-CZ"/>
        </w:rPr>
      </w:pPr>
      <w:r w:rsidRPr="003B6E11">
        <w:rPr>
          <w:lang w:val="cs-CZ"/>
        </w:rPr>
        <w:t>Při zaplavení se berou v úvahu tyto předpoklady, pokud jde o rozsah poškození:</w:t>
      </w:r>
    </w:p>
    <w:p w:rsidR="00E82B25" w:rsidRPr="003B6E11" w:rsidRDefault="00E82B25" w:rsidP="00E82B25">
      <w:pPr>
        <w:pStyle w:val="ESchpar"/>
        <w:rPr>
          <w:rFonts w:eastAsia="Calibri"/>
          <w:noProof/>
          <w:lang w:val="cs-CZ"/>
        </w:rPr>
      </w:pPr>
    </w:p>
    <w:tbl>
      <w:tblPr>
        <w:tblW w:w="0" w:type="auto"/>
        <w:tblLayout w:type="fixed"/>
        <w:tblLook w:val="0000" w:firstRow="0" w:lastRow="0" w:firstColumn="0" w:lastColumn="0" w:noHBand="0" w:noVBand="0"/>
      </w:tblPr>
      <w:tblGrid>
        <w:gridCol w:w="2786"/>
        <w:gridCol w:w="3250"/>
        <w:gridCol w:w="3250"/>
      </w:tblGrid>
      <w:tr w:rsidR="00E82B25" w:rsidRPr="003B6E11" w:rsidTr="002D015D">
        <w:tc>
          <w:tcPr>
            <w:tcW w:w="2786"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adjustRightInd w:val="0"/>
              <w:spacing w:before="60" w:after="60" w:line="240" w:lineRule="atLeast"/>
              <w:rPr>
                <w:rFonts w:cs="Arial"/>
                <w:noProof/>
                <w:sz w:val="18"/>
                <w:szCs w:val="18"/>
                <w:lang w:val="cs-CZ"/>
              </w:rPr>
            </w:pPr>
          </w:p>
        </w:tc>
        <w:tc>
          <w:tcPr>
            <w:tcW w:w="3250"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Status 1 oddělení</w:t>
            </w:r>
          </w:p>
        </w:tc>
        <w:tc>
          <w:tcPr>
            <w:tcW w:w="3250"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Status 2 oddělení</w:t>
            </w:r>
          </w:p>
        </w:tc>
      </w:tr>
      <w:tr w:rsidR="00E82B25" w:rsidRPr="003B6E11" w:rsidTr="002D015D">
        <w:tc>
          <w:tcPr>
            <w:tcW w:w="2786"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Rozsah poškození boku</w:t>
            </w:r>
          </w:p>
        </w:tc>
        <w:tc>
          <w:tcPr>
            <w:tcW w:w="3250"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jc w:val="center"/>
              <w:rPr>
                <w:rFonts w:cs="Arial"/>
                <w:noProof/>
                <w:sz w:val="18"/>
                <w:szCs w:val="18"/>
                <w:lang w:val="cs-CZ"/>
              </w:rPr>
            </w:pPr>
          </w:p>
        </w:tc>
        <w:tc>
          <w:tcPr>
            <w:tcW w:w="3250"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jc w:val="center"/>
              <w:rPr>
                <w:rFonts w:cs="Arial"/>
                <w:noProof/>
                <w:sz w:val="18"/>
                <w:szCs w:val="18"/>
                <w:lang w:val="cs-CZ"/>
              </w:rPr>
            </w:pPr>
          </w:p>
        </w:tc>
      </w:tr>
      <w:tr w:rsidR="00E82B25" w:rsidRPr="002D015D" w:rsidTr="002D015D">
        <w:tc>
          <w:tcPr>
            <w:tcW w:w="2786"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 xml:space="preserve">podélný </w:t>
            </w:r>
            <m:oMath>
              <m:r>
                <w:rPr>
                  <w:rFonts w:ascii="Cambria Math" w:hAnsi="Cambria Math" w:cs="Arial"/>
                  <w:noProof/>
                  <w:sz w:val="18"/>
                  <w:szCs w:val="18"/>
                  <w:lang w:val="cs-CZ"/>
                </w:rPr>
                <m:t xml:space="preserve">l </m:t>
              </m:r>
            </m:oMath>
            <w:r w:rsidRPr="003B6E11">
              <w:rPr>
                <w:noProof/>
                <w:sz w:val="18"/>
                <w:lang w:val="cs-CZ"/>
              </w:rPr>
              <w:t xml:space="preserve"> [m]</w:t>
            </w:r>
          </w:p>
        </w:tc>
        <w:tc>
          <w:tcPr>
            <w:tcW w:w="3250"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m:oMath>
              <m:r>
                <w:rPr>
                  <w:rFonts w:ascii="Cambria Math" w:hAnsi="Cambria Math" w:cs="Arial"/>
                  <w:noProof/>
                  <w:sz w:val="18"/>
                  <w:szCs w:val="18"/>
                  <w:lang w:val="cs-CZ"/>
                </w:rPr>
                <m:t xml:space="preserve">0,10 ∙ </m:t>
              </m:r>
              <m:sSub>
                <m:sSubPr>
                  <m:ctrlPr>
                    <w:rPr>
                      <w:rFonts w:ascii="Cambria Math" w:hAnsi="Cambria Math" w:cs="Arial"/>
                      <w:i/>
                      <w:noProof/>
                      <w:sz w:val="18"/>
                      <w:szCs w:val="18"/>
                      <w:lang w:val="cs-CZ"/>
                    </w:rPr>
                  </m:ctrlPr>
                </m:sSubPr>
                <m:e>
                  <m:r>
                    <w:rPr>
                      <w:rFonts w:ascii="Cambria Math" w:hAnsi="Cambria Math" w:cs="Arial"/>
                      <w:noProof/>
                      <w:sz w:val="18"/>
                      <w:szCs w:val="18"/>
                      <w:lang w:val="cs-CZ"/>
                    </w:rPr>
                    <m:t>L</m:t>
                  </m:r>
                </m:e>
                <m:sub>
                  <m:r>
                    <w:rPr>
                      <w:rFonts w:ascii="Cambria Math" w:hAnsi="Cambria Math" w:cs="Arial"/>
                      <w:noProof/>
                      <w:sz w:val="18"/>
                      <w:szCs w:val="18"/>
                      <w:lang w:val="cs-CZ"/>
                    </w:rPr>
                    <m:t>WL</m:t>
                  </m:r>
                </m:sub>
              </m:sSub>
            </m:oMath>
            <w:r w:rsidRPr="003B6E11">
              <w:rPr>
                <w:noProof/>
                <w:sz w:val="18"/>
                <w:lang w:val="cs-CZ"/>
              </w:rPr>
              <w:t>, nejméně však 4,00 m</w:t>
            </w:r>
          </w:p>
        </w:tc>
        <w:tc>
          <w:tcPr>
            <w:tcW w:w="3250"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m:oMath>
              <m:r>
                <w:rPr>
                  <w:rFonts w:ascii="Cambria Math" w:hAnsi="Cambria Math" w:cs="Arial"/>
                  <w:noProof/>
                  <w:sz w:val="18"/>
                  <w:szCs w:val="18"/>
                  <w:lang w:val="cs-CZ"/>
                </w:rPr>
                <m:t xml:space="preserve">0,05 ∙ </m:t>
              </m:r>
              <m:sSub>
                <m:sSubPr>
                  <m:ctrlPr>
                    <w:rPr>
                      <w:rFonts w:ascii="Cambria Math" w:hAnsi="Cambria Math" w:cs="Arial"/>
                      <w:i/>
                      <w:noProof/>
                      <w:sz w:val="18"/>
                      <w:szCs w:val="18"/>
                      <w:lang w:val="cs-CZ"/>
                    </w:rPr>
                  </m:ctrlPr>
                </m:sSubPr>
                <m:e>
                  <m:r>
                    <w:rPr>
                      <w:rFonts w:ascii="Cambria Math" w:hAnsi="Cambria Math" w:cs="Arial"/>
                      <w:noProof/>
                      <w:sz w:val="18"/>
                      <w:szCs w:val="18"/>
                      <w:lang w:val="cs-CZ"/>
                    </w:rPr>
                    <m:t>L</m:t>
                  </m:r>
                </m:e>
                <m:sub>
                  <m:r>
                    <w:rPr>
                      <w:rFonts w:ascii="Cambria Math" w:hAnsi="Cambria Math" w:cs="Arial"/>
                      <w:noProof/>
                      <w:sz w:val="18"/>
                      <w:szCs w:val="18"/>
                      <w:lang w:val="cs-CZ"/>
                    </w:rPr>
                    <m:t>WL</m:t>
                  </m:r>
                </m:sub>
              </m:sSub>
            </m:oMath>
            <w:r w:rsidRPr="003B6E11">
              <w:rPr>
                <w:noProof/>
                <w:sz w:val="18"/>
                <w:lang w:val="cs-CZ"/>
              </w:rPr>
              <w:t>, nejméně však 2,25 m</w:t>
            </w:r>
          </w:p>
        </w:tc>
      </w:tr>
      <w:tr w:rsidR="00E82B25" w:rsidRPr="003B6E11" w:rsidTr="002D015D">
        <w:tc>
          <w:tcPr>
            <w:tcW w:w="2786"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 xml:space="preserve">příčný </w:t>
            </w:r>
            <m:oMath>
              <m:r>
                <w:rPr>
                  <w:rFonts w:ascii="Cambria Math" w:hAnsi="Cambria Math" w:cs="Arial"/>
                  <w:noProof/>
                  <w:sz w:val="18"/>
                  <w:szCs w:val="18"/>
                  <w:lang w:val="cs-CZ"/>
                </w:rPr>
                <m:t xml:space="preserve">b </m:t>
              </m:r>
            </m:oMath>
            <w:r w:rsidRPr="003B6E11">
              <w:rPr>
                <w:noProof/>
                <w:sz w:val="18"/>
                <w:lang w:val="cs-CZ"/>
              </w:rPr>
              <w:t xml:space="preserve"> [m]</w:t>
            </w:r>
          </w:p>
        </w:tc>
        <w:tc>
          <w:tcPr>
            <w:tcW w:w="3250"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B/5</w:t>
            </w:r>
          </w:p>
        </w:tc>
        <w:tc>
          <w:tcPr>
            <w:tcW w:w="3250"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0,59</w:t>
            </w:r>
          </w:p>
        </w:tc>
      </w:tr>
      <w:tr w:rsidR="00E82B25" w:rsidRPr="002D015D" w:rsidTr="002D015D">
        <w:tc>
          <w:tcPr>
            <w:tcW w:w="2786"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 xml:space="preserve">svislý </w:t>
            </w:r>
            <m:oMath>
              <m:r>
                <w:rPr>
                  <w:rFonts w:ascii="Cambria Math" w:hAnsi="Cambria Math" w:cs="Arial"/>
                  <w:noProof/>
                  <w:sz w:val="18"/>
                  <w:szCs w:val="18"/>
                  <w:lang w:val="cs-CZ"/>
                </w:rPr>
                <m:t>h</m:t>
              </m:r>
            </m:oMath>
            <w:r w:rsidRPr="003B6E11">
              <w:rPr>
                <w:noProof/>
                <w:sz w:val="18"/>
                <w:lang w:val="cs-CZ"/>
              </w:rPr>
              <w:t xml:space="preserve"> [m]</w:t>
            </w:r>
          </w:p>
        </w:tc>
        <w:tc>
          <w:tcPr>
            <w:tcW w:w="6500" w:type="dxa"/>
            <w:gridSpan w:val="2"/>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od dna lodi směrem nahoru bez omezení</w:t>
            </w:r>
          </w:p>
        </w:tc>
      </w:tr>
      <w:tr w:rsidR="00E82B25" w:rsidRPr="003B6E11" w:rsidTr="002D015D">
        <w:tc>
          <w:tcPr>
            <w:tcW w:w="2786"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Rozsah poškození dna</w:t>
            </w:r>
          </w:p>
        </w:tc>
        <w:tc>
          <w:tcPr>
            <w:tcW w:w="3250"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jc w:val="center"/>
              <w:rPr>
                <w:rFonts w:cs="Arial"/>
                <w:noProof/>
                <w:sz w:val="18"/>
                <w:szCs w:val="18"/>
                <w:lang w:val="cs-CZ"/>
              </w:rPr>
            </w:pPr>
          </w:p>
        </w:tc>
        <w:tc>
          <w:tcPr>
            <w:tcW w:w="3250"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jc w:val="center"/>
              <w:rPr>
                <w:rFonts w:cs="Arial"/>
                <w:noProof/>
                <w:sz w:val="18"/>
                <w:szCs w:val="18"/>
                <w:lang w:val="cs-CZ"/>
              </w:rPr>
            </w:pPr>
          </w:p>
        </w:tc>
      </w:tr>
      <w:tr w:rsidR="00E82B25" w:rsidRPr="002D015D" w:rsidTr="002D015D">
        <w:tc>
          <w:tcPr>
            <w:tcW w:w="2786"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 xml:space="preserve">podélný </w:t>
            </w:r>
            <m:oMath>
              <m:r>
                <w:rPr>
                  <w:rFonts w:ascii="Cambria Math" w:hAnsi="Cambria Math" w:cs="Arial"/>
                  <w:noProof/>
                  <w:sz w:val="18"/>
                  <w:szCs w:val="18"/>
                  <w:lang w:val="cs-CZ"/>
                </w:rPr>
                <m:t>l</m:t>
              </m:r>
            </m:oMath>
            <w:r w:rsidRPr="003B6E11">
              <w:rPr>
                <w:noProof/>
                <w:sz w:val="18"/>
                <w:lang w:val="cs-CZ"/>
              </w:rPr>
              <w:t xml:space="preserve"> [m]</w:t>
            </w:r>
          </w:p>
        </w:tc>
        <w:tc>
          <w:tcPr>
            <w:tcW w:w="3250"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m:oMath>
              <m:r>
                <w:rPr>
                  <w:rFonts w:ascii="Cambria Math" w:hAnsi="Cambria Math" w:cs="Arial"/>
                  <w:noProof/>
                  <w:sz w:val="18"/>
                  <w:szCs w:val="18"/>
                  <w:lang w:val="cs-CZ"/>
                </w:rPr>
                <m:t xml:space="preserve">0,10 ∙ </m:t>
              </m:r>
              <m:sSub>
                <m:sSubPr>
                  <m:ctrlPr>
                    <w:rPr>
                      <w:rFonts w:ascii="Cambria Math" w:hAnsi="Cambria Math" w:cs="Arial"/>
                      <w:i/>
                      <w:noProof/>
                      <w:sz w:val="18"/>
                      <w:szCs w:val="18"/>
                      <w:lang w:val="cs-CZ"/>
                    </w:rPr>
                  </m:ctrlPr>
                </m:sSubPr>
                <m:e>
                  <m:r>
                    <w:rPr>
                      <w:rFonts w:ascii="Cambria Math" w:hAnsi="Cambria Math" w:cs="Arial"/>
                      <w:noProof/>
                      <w:sz w:val="18"/>
                      <w:szCs w:val="18"/>
                      <w:lang w:val="cs-CZ"/>
                    </w:rPr>
                    <m:t>L</m:t>
                  </m:r>
                </m:e>
                <m:sub>
                  <m:r>
                    <w:rPr>
                      <w:rFonts w:ascii="Cambria Math" w:hAnsi="Cambria Math" w:cs="Arial"/>
                      <w:noProof/>
                      <w:sz w:val="18"/>
                      <w:szCs w:val="18"/>
                      <w:lang w:val="cs-CZ"/>
                    </w:rPr>
                    <m:t>WL</m:t>
                  </m:r>
                </m:sub>
              </m:sSub>
            </m:oMath>
            <w:r w:rsidRPr="003B6E11">
              <w:rPr>
                <w:noProof/>
                <w:sz w:val="18"/>
                <w:lang w:val="cs-CZ"/>
              </w:rPr>
              <w:t>, nejméně však 4,00 m</w:t>
            </w:r>
          </w:p>
        </w:tc>
        <w:tc>
          <w:tcPr>
            <w:tcW w:w="3250"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m:oMath>
              <m:r>
                <w:rPr>
                  <w:rFonts w:ascii="Cambria Math" w:hAnsi="Cambria Math" w:cs="Arial"/>
                  <w:noProof/>
                  <w:sz w:val="18"/>
                  <w:szCs w:val="18"/>
                  <w:lang w:val="cs-CZ"/>
                </w:rPr>
                <m:t xml:space="preserve">0,05 ∙ </m:t>
              </m:r>
              <m:sSub>
                <m:sSubPr>
                  <m:ctrlPr>
                    <w:rPr>
                      <w:rFonts w:ascii="Cambria Math" w:hAnsi="Cambria Math" w:cs="Arial"/>
                      <w:i/>
                      <w:noProof/>
                      <w:sz w:val="18"/>
                      <w:szCs w:val="18"/>
                      <w:lang w:val="cs-CZ"/>
                    </w:rPr>
                  </m:ctrlPr>
                </m:sSubPr>
                <m:e>
                  <m:r>
                    <w:rPr>
                      <w:rFonts w:ascii="Cambria Math" w:hAnsi="Cambria Math" w:cs="Arial"/>
                      <w:noProof/>
                      <w:sz w:val="18"/>
                      <w:szCs w:val="18"/>
                      <w:lang w:val="cs-CZ"/>
                    </w:rPr>
                    <m:t>L</m:t>
                  </m:r>
                </m:e>
                <m:sub>
                  <m:r>
                    <w:rPr>
                      <w:rFonts w:ascii="Cambria Math" w:hAnsi="Cambria Math" w:cs="Arial"/>
                      <w:noProof/>
                      <w:sz w:val="18"/>
                      <w:szCs w:val="18"/>
                      <w:lang w:val="cs-CZ"/>
                    </w:rPr>
                    <m:t>WL</m:t>
                  </m:r>
                </m:sub>
              </m:sSub>
            </m:oMath>
            <w:r w:rsidRPr="003B6E11">
              <w:rPr>
                <w:noProof/>
                <w:sz w:val="18"/>
                <w:lang w:val="cs-CZ"/>
              </w:rPr>
              <w:t>, nejméně však 2,25 m</w:t>
            </w:r>
          </w:p>
        </w:tc>
      </w:tr>
      <w:tr w:rsidR="00E82B25" w:rsidRPr="003B6E11" w:rsidTr="002D015D">
        <w:tc>
          <w:tcPr>
            <w:tcW w:w="2786"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 xml:space="preserve">příčný </w:t>
            </w:r>
            <m:oMath>
              <m:r>
                <w:rPr>
                  <w:rFonts w:ascii="Cambria Math" w:hAnsi="Cambria Math" w:cs="Arial"/>
                  <w:noProof/>
                  <w:sz w:val="18"/>
                  <w:szCs w:val="18"/>
                  <w:lang w:val="cs-CZ"/>
                </w:rPr>
                <m:t>b</m:t>
              </m:r>
            </m:oMath>
            <w:r w:rsidRPr="003B6E11">
              <w:rPr>
                <w:noProof/>
                <w:sz w:val="18"/>
                <w:lang w:val="cs-CZ"/>
              </w:rPr>
              <w:t xml:space="preserve"> [m]</w:t>
            </w:r>
          </w:p>
        </w:tc>
        <w:tc>
          <w:tcPr>
            <w:tcW w:w="6500" w:type="dxa"/>
            <w:gridSpan w:val="2"/>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B/5</w:t>
            </w:r>
          </w:p>
        </w:tc>
      </w:tr>
      <w:tr w:rsidR="00E82B25" w:rsidRPr="002D015D" w:rsidTr="002D015D">
        <w:tc>
          <w:tcPr>
            <w:tcW w:w="2786" w:type="dxa"/>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 xml:space="preserve">svislý </w:t>
            </w:r>
            <m:oMath>
              <m:r>
                <w:rPr>
                  <w:rFonts w:ascii="Cambria Math" w:hAnsi="Cambria Math" w:cs="Arial"/>
                  <w:noProof/>
                  <w:sz w:val="18"/>
                  <w:szCs w:val="18"/>
                  <w:lang w:val="cs-CZ"/>
                </w:rPr>
                <m:t>h</m:t>
              </m:r>
            </m:oMath>
            <w:r w:rsidRPr="003B6E11">
              <w:rPr>
                <w:noProof/>
                <w:sz w:val="18"/>
                <w:lang w:val="cs-CZ"/>
              </w:rPr>
              <w:t xml:space="preserve"> [m]</w:t>
            </w:r>
          </w:p>
        </w:tc>
        <w:tc>
          <w:tcPr>
            <w:tcW w:w="6500" w:type="dxa"/>
            <w:gridSpan w:val="2"/>
            <w:tcBorders>
              <w:top w:val="single" w:sz="2" w:space="0" w:color="auto"/>
              <w:left w:val="single" w:sz="2" w:space="0" w:color="auto"/>
              <w:bottom w:val="single" w:sz="2" w:space="0" w:color="auto"/>
              <w:right w:val="single" w:sz="2" w:space="0" w:color="auto"/>
            </w:tcBorders>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0,59; potrubí namontovaná podle čl. 19.02 odst. 13 písm. c) lze považovat za nepoškozená</w:t>
            </w:r>
          </w:p>
        </w:tc>
      </w:tr>
    </w:tbl>
    <w:p w:rsidR="00E82B25" w:rsidRPr="003B6E11" w:rsidRDefault="00E82B25" w:rsidP="00E82B25">
      <w:pPr>
        <w:pStyle w:val="ESchpar"/>
        <w:rPr>
          <w:rFonts w:eastAsia="Calibri"/>
          <w:noProof/>
          <w:lang w:val="cs-CZ"/>
        </w:rPr>
      </w:pP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pro status 1 oddělení lze přepážky považovat za nepoškozené, je-li vzdálenost mezi dvěma přilehlými přepážkami větší než délka poškození. Podélné přepážky ve vzdálenosti kratší než B/3 od trupu, měřeno kolmo ke středové rovině plavidla v rovině největšího přípustného ponoru, se pro účely výpočtu neberou v úvahu. Výklenek v příčné přepážce, který je delší než 2,5 m se považuje za podélnou přepážku;</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pro status 2 oddělení se každá přepážka v rozsahu poškození považuje za poškozenou. To znamená, že polohu přepážek je nutno zvolit tak, aby bylo zajištěno, že osobní loď je po zatopení dvou nebo více přilehlých oddělení v podélném směru i nadále schopna plout;</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nejnižší bod každého nevodotěsného otvoru (např. dveře, okna, přístupové jícny) musí ležet nejméně 0,10 m nad vodoryskou v narušeném stavu. Přepážková paluba nesmí být při konečném zaplavení ponořena;</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předpokládá se zaplavitelnost 95 %. Prokáže-li se výpočtem, že průměrná zaplavitelnost oddělení je menší než 95 %, lze použít vypočtenou hodnotu.</w:t>
      </w:r>
    </w:p>
    <w:p w:rsidR="00E82B25" w:rsidRPr="003B6E11" w:rsidRDefault="00E82B25" w:rsidP="00E82B25">
      <w:pPr>
        <w:pStyle w:val="ESletpar"/>
        <w:rPr>
          <w:rFonts w:eastAsia="Calibri"/>
          <w:noProof/>
          <w:lang w:val="cs-CZ"/>
        </w:rPr>
      </w:pPr>
      <w:r w:rsidRPr="003B6E11">
        <w:rPr>
          <w:lang w:val="cs-CZ"/>
        </w:rPr>
        <w:t>Převzaté hodnoty nesmí být menší než:</w:t>
      </w:r>
    </w:p>
    <w:tbl>
      <w:tblPr>
        <w:tblW w:w="8392"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1"/>
        <w:gridCol w:w="1531"/>
      </w:tblGrid>
      <w:tr w:rsidR="00E82B25" w:rsidRPr="003B6E11" w:rsidTr="002D015D">
        <w:tc>
          <w:tcPr>
            <w:tcW w:w="6861" w:type="dxa"/>
            <w:shd w:val="clear" w:color="auto" w:fill="auto"/>
            <w:vAlign w:val="center"/>
          </w:tcPr>
          <w:p w:rsidR="00E82B25" w:rsidRPr="003B6E11" w:rsidRDefault="00E82B25" w:rsidP="002D015D">
            <w:pPr>
              <w:pStyle w:val="ESlet"/>
              <w:ind w:left="0"/>
              <w:rPr>
                <w:lang w:val="cs-CZ"/>
              </w:rPr>
            </w:pPr>
            <w:r w:rsidRPr="003B6E11">
              <w:rPr>
                <w:lang w:val="cs-CZ"/>
              </w:rPr>
              <w:t>Společenské prostory</w:t>
            </w:r>
          </w:p>
        </w:tc>
        <w:tc>
          <w:tcPr>
            <w:tcW w:w="1531" w:type="dxa"/>
            <w:shd w:val="clear" w:color="auto" w:fill="auto"/>
            <w:vAlign w:val="center"/>
          </w:tcPr>
          <w:p w:rsidR="00E82B25" w:rsidRPr="003B6E11" w:rsidRDefault="00E82B25" w:rsidP="002D015D">
            <w:pPr>
              <w:pStyle w:val="ESlet"/>
              <w:ind w:left="0"/>
              <w:jc w:val="center"/>
              <w:rPr>
                <w:lang w:val="cs-CZ"/>
              </w:rPr>
            </w:pPr>
            <w:r w:rsidRPr="003B6E11">
              <w:rPr>
                <w:lang w:val="cs-CZ"/>
              </w:rPr>
              <w:t>95 %</w:t>
            </w:r>
          </w:p>
        </w:tc>
      </w:tr>
      <w:tr w:rsidR="00E82B25" w:rsidRPr="003B6E11" w:rsidTr="002D015D">
        <w:tc>
          <w:tcPr>
            <w:tcW w:w="6861" w:type="dxa"/>
            <w:shd w:val="clear" w:color="auto" w:fill="auto"/>
            <w:vAlign w:val="center"/>
          </w:tcPr>
          <w:p w:rsidR="00E82B25" w:rsidRPr="003B6E11" w:rsidRDefault="00E82B25" w:rsidP="002D015D">
            <w:pPr>
              <w:pStyle w:val="ESlet"/>
              <w:ind w:left="0"/>
              <w:rPr>
                <w:lang w:val="cs-CZ"/>
              </w:rPr>
            </w:pPr>
            <w:r w:rsidRPr="003B6E11">
              <w:rPr>
                <w:lang w:val="cs-CZ"/>
              </w:rPr>
              <w:t>Strojovny a kotelny</w:t>
            </w:r>
          </w:p>
        </w:tc>
        <w:tc>
          <w:tcPr>
            <w:tcW w:w="1531" w:type="dxa"/>
            <w:shd w:val="clear" w:color="auto" w:fill="auto"/>
            <w:vAlign w:val="center"/>
          </w:tcPr>
          <w:p w:rsidR="00E82B25" w:rsidRPr="003B6E11" w:rsidRDefault="00E82B25" w:rsidP="002D015D">
            <w:pPr>
              <w:pStyle w:val="ESlet"/>
              <w:ind w:left="0"/>
              <w:jc w:val="center"/>
              <w:rPr>
                <w:lang w:val="cs-CZ"/>
              </w:rPr>
            </w:pPr>
            <w:r w:rsidRPr="003B6E11">
              <w:rPr>
                <w:lang w:val="cs-CZ"/>
              </w:rPr>
              <w:t>85 %</w:t>
            </w:r>
          </w:p>
        </w:tc>
      </w:tr>
      <w:tr w:rsidR="00E82B25" w:rsidRPr="003B6E11" w:rsidTr="002D015D">
        <w:tc>
          <w:tcPr>
            <w:tcW w:w="6861" w:type="dxa"/>
            <w:shd w:val="clear" w:color="auto" w:fill="auto"/>
            <w:vAlign w:val="center"/>
          </w:tcPr>
          <w:p w:rsidR="00E82B25" w:rsidRPr="003B6E11" w:rsidRDefault="00E82B25" w:rsidP="002D015D">
            <w:pPr>
              <w:pStyle w:val="ESlet"/>
              <w:ind w:left="0"/>
              <w:rPr>
                <w:lang w:val="cs-CZ"/>
              </w:rPr>
            </w:pPr>
            <w:r w:rsidRPr="003B6E11">
              <w:rPr>
                <w:lang w:val="cs-CZ"/>
              </w:rPr>
              <w:t>Zavazadlové a skladovací prostory</w:t>
            </w:r>
          </w:p>
        </w:tc>
        <w:tc>
          <w:tcPr>
            <w:tcW w:w="1531" w:type="dxa"/>
            <w:shd w:val="clear" w:color="auto" w:fill="auto"/>
            <w:vAlign w:val="center"/>
          </w:tcPr>
          <w:p w:rsidR="00E82B25" w:rsidRPr="003B6E11" w:rsidRDefault="00E82B25" w:rsidP="002D015D">
            <w:pPr>
              <w:pStyle w:val="ESlet"/>
              <w:ind w:left="0"/>
              <w:jc w:val="center"/>
              <w:rPr>
                <w:lang w:val="cs-CZ"/>
              </w:rPr>
            </w:pPr>
            <w:r w:rsidRPr="003B6E11">
              <w:rPr>
                <w:lang w:val="cs-CZ"/>
              </w:rPr>
              <w:t>75 %</w:t>
            </w:r>
          </w:p>
        </w:tc>
      </w:tr>
      <w:tr w:rsidR="00E82B25" w:rsidRPr="003B6E11" w:rsidTr="002D015D">
        <w:tc>
          <w:tcPr>
            <w:tcW w:w="6861" w:type="dxa"/>
            <w:shd w:val="clear" w:color="auto" w:fill="auto"/>
            <w:vAlign w:val="center"/>
          </w:tcPr>
          <w:p w:rsidR="00E82B25" w:rsidRPr="003B6E11" w:rsidRDefault="00E82B25" w:rsidP="002D015D">
            <w:pPr>
              <w:pStyle w:val="ESlet"/>
              <w:ind w:left="0"/>
              <w:rPr>
                <w:lang w:val="cs-CZ"/>
              </w:rPr>
            </w:pPr>
            <w:r w:rsidRPr="003B6E11">
              <w:rPr>
                <w:lang w:val="cs-CZ"/>
              </w:rPr>
              <w:t>Dvojitá dna, palivové a jiné nádrže v závislosti na tom, považují-li se v souladu s předpokládaným účelem u lodi plovoucí v rovině největšího přípustného ponoru za plné nebo prázdné</w:t>
            </w:r>
          </w:p>
        </w:tc>
        <w:tc>
          <w:tcPr>
            <w:tcW w:w="1531" w:type="dxa"/>
            <w:shd w:val="clear" w:color="auto" w:fill="auto"/>
            <w:vAlign w:val="center"/>
          </w:tcPr>
          <w:p w:rsidR="00E82B25" w:rsidRPr="003B6E11" w:rsidRDefault="00E82B25" w:rsidP="002D015D">
            <w:pPr>
              <w:pStyle w:val="ESlet"/>
              <w:ind w:left="0"/>
              <w:jc w:val="center"/>
              <w:rPr>
                <w:lang w:val="cs-CZ"/>
              </w:rPr>
            </w:pPr>
            <w:r w:rsidRPr="003B6E11">
              <w:rPr>
                <w:lang w:val="cs-CZ"/>
              </w:rPr>
              <w:t>0 % nebo 95 %</w:t>
            </w:r>
          </w:p>
        </w:tc>
      </w:tr>
    </w:tbl>
    <w:p w:rsidR="00E82B25" w:rsidRPr="003B6E11" w:rsidRDefault="00E82B25" w:rsidP="00E82B25">
      <w:pPr>
        <w:pStyle w:val="ESlet"/>
        <w:rPr>
          <w:rFonts w:eastAsia="Calibri" w:cs="Arial"/>
          <w:szCs w:val="18"/>
          <w:lang w:val="cs-CZ"/>
        </w:rPr>
      </w:pPr>
      <w:r w:rsidRPr="003B6E11">
        <w:rPr>
          <w:lang w:val="cs-CZ"/>
        </w:rPr>
        <w:t>e)</w:t>
      </w:r>
      <w:r w:rsidRPr="003B6E11">
        <w:rPr>
          <w:lang w:val="cs-CZ"/>
        </w:rPr>
        <w:tab/>
        <w:t>pokud poškození menšího rozsahu, než je uvedeno výše, vyvolává nepříznivější účinky s ohledem na náklon nebo ztrátu metacentrické výšky, je nutno při výpočtu vycházet z tohoto poškození.</w:t>
      </w:r>
    </w:p>
    <w:p w:rsidR="00E82B25" w:rsidRPr="003B6E11" w:rsidRDefault="00E82B25" w:rsidP="00E82B25">
      <w:pPr>
        <w:pStyle w:val="ESch"/>
        <w:rPr>
          <w:rFonts w:eastAsia="Calibri"/>
          <w:noProof/>
          <w:lang w:val="cs-CZ"/>
        </w:rPr>
      </w:pPr>
      <w:r w:rsidRPr="003B6E11">
        <w:rPr>
          <w:lang w:val="cs-CZ"/>
        </w:rPr>
        <w:br w:type="page"/>
      </w:r>
    </w:p>
    <w:p w:rsidR="00E82B25" w:rsidRPr="003B6E11" w:rsidRDefault="00E82B25" w:rsidP="00E82B25">
      <w:pPr>
        <w:pStyle w:val="ESch"/>
        <w:rPr>
          <w:rFonts w:eastAsia="Calibri" w:cs="Arial"/>
          <w:szCs w:val="18"/>
          <w:lang w:val="cs-CZ"/>
        </w:rPr>
      </w:pPr>
      <w:r w:rsidRPr="003B6E11">
        <w:rPr>
          <w:lang w:val="cs-CZ"/>
        </w:rPr>
        <w:t>10.</w:t>
      </w:r>
      <w:r w:rsidRPr="003B6E11">
        <w:rPr>
          <w:lang w:val="cs-CZ"/>
        </w:rPr>
        <w:tab/>
        <w:t>Pro všechny mezistupně zaplavení podle odstavce 8 musí být splněna tato kritéria:</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 xml:space="preserve">úhel náklonu </w:t>
      </w:r>
      <m:oMath>
        <m:r>
          <w:rPr>
            <w:rFonts w:ascii="Cambria Math" w:eastAsia="Calibri" w:hAnsi="Cambria Math"/>
            <w:noProof/>
            <w:lang w:val="cs-CZ"/>
          </w:rPr>
          <m:t>φ</m:t>
        </m:r>
      </m:oMath>
      <w:r w:rsidRPr="003B6E11">
        <w:rPr>
          <w:lang w:val="cs-CZ"/>
        </w:rPr>
        <w:t xml:space="preserve"> v rovnovážné poloze dotyčného mezistupně zaplavení nesmí být větší než 15°;</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 xml:space="preserve">nad náklonem v rovnovážné poloze dotyčného mezistupně zaplavení musí pozitivní část křivky vyrovnávacího ramena páky vykazovat hodnotu vyrovnávacího ramena páky </w:t>
      </w:r>
      <m:oMath>
        <m:r>
          <w:rPr>
            <w:rFonts w:ascii="Cambria Math" w:eastAsia="Calibri" w:hAnsi="Cambria Math"/>
            <w:noProof/>
            <w:lang w:val="cs-CZ"/>
          </w:rPr>
          <m:t xml:space="preserve">GZ ≥0,02 m </m:t>
        </m:r>
      </m:oMath>
      <w:r w:rsidRPr="003B6E11">
        <w:rPr>
          <w:lang w:val="cs-CZ"/>
        </w:rPr>
        <w:t xml:space="preserve">, dokud nedojde k ponoření prvního nechráněného otvoru nebo dokud není dosaženo úhlu náklonu </w:t>
      </w:r>
      <m:oMath>
        <m:r>
          <w:rPr>
            <w:rFonts w:ascii="Cambria Math" w:eastAsia="Calibri" w:hAnsi="Cambria Math"/>
            <w:noProof/>
            <w:lang w:val="cs-CZ"/>
          </w:rPr>
          <m:t>φ</m:t>
        </m:r>
      </m:oMath>
      <w:r w:rsidRPr="003B6E11">
        <w:rPr>
          <w:lang w:val="cs-CZ"/>
        </w:rPr>
        <w:t xml:space="preserve"> 25°;</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nevodotěsné otvory nesmějí být ponořeny, dokud se nedosáhlo náklonu v rovnovážné poloze dotyčného mezistupně zaplavení;</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výpočet účinku volné hladiny v mezistupních zaplavení musí být založen na hrubé povrchové ploše poškozených oddělení.</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 xml:space="preserve">11. </w:t>
      </w:r>
      <w:r w:rsidRPr="003B6E11">
        <w:rPr>
          <w:lang w:val="cs-CZ"/>
        </w:rPr>
        <w:tab/>
        <w:t>Během konečného stupně zaplavení musí být při zohlednění klopného momentu podle odstavce 4 splněna tato kritéria:</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 xml:space="preserve">úhel náklonu </w:t>
      </w:r>
      <m:oMath>
        <m:sSub>
          <m:sSubPr>
            <m:ctrlPr>
              <w:rPr>
                <w:rFonts w:ascii="Cambria Math" w:eastAsia="Calibri" w:hAnsi="Cambria Math"/>
                <w:i/>
                <w:lang w:val="cs-CZ"/>
              </w:rPr>
            </m:ctrlPr>
          </m:sSubPr>
          <m:e>
            <m:r>
              <w:rPr>
                <w:rFonts w:ascii="Cambria Math" w:eastAsia="Calibri" w:hAnsi="Cambria Math"/>
                <w:lang w:val="cs-CZ"/>
              </w:rPr>
              <m:t>φ</m:t>
            </m:r>
          </m:e>
          <m:sub>
            <m:r>
              <w:rPr>
                <w:rFonts w:ascii="Cambria Math" w:eastAsia="Calibri" w:hAnsi="Cambria Math"/>
                <w:lang w:val="cs-CZ"/>
              </w:rPr>
              <m:t>E</m:t>
            </m:r>
          </m:sub>
        </m:sSub>
      </m:oMath>
      <w:r w:rsidRPr="003B6E11">
        <w:rPr>
          <w:lang w:val="cs-CZ"/>
        </w:rPr>
        <w:t xml:space="preserve"> nesmí být vyšší než 10°;</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 xml:space="preserve">nad rovnovážnou polohou musí pozitivní část křivky ramene stability vykazovat hodnotu ramene stability </w:t>
      </w:r>
      <m:oMath>
        <m:sSub>
          <m:sSubPr>
            <m:ctrlPr>
              <w:rPr>
                <w:rFonts w:ascii="Cambria Math" w:eastAsia="Calibri" w:hAnsi="Cambria Math"/>
                <w:i/>
                <w:noProof/>
                <w:lang w:val="cs-CZ"/>
              </w:rPr>
            </m:ctrlPr>
          </m:sSubPr>
          <m:e>
            <m:r>
              <w:rPr>
                <w:rFonts w:ascii="Cambria Math" w:eastAsia="Calibri" w:hAnsi="Cambria Math"/>
                <w:noProof/>
                <w:lang w:val="cs-CZ"/>
              </w:rPr>
              <m:t>GZ</m:t>
            </m:r>
          </m:e>
          <m:sub>
            <m:r>
              <w:rPr>
                <w:rFonts w:ascii="Cambria Math" w:eastAsia="Calibri" w:hAnsi="Cambria Math"/>
                <w:noProof/>
                <w:lang w:val="cs-CZ"/>
              </w:rPr>
              <m:t>R</m:t>
            </m:r>
          </m:sub>
        </m:sSub>
        <m:r>
          <w:rPr>
            <w:rFonts w:ascii="Cambria Math" w:eastAsia="Calibri" w:hAnsi="Cambria Math"/>
            <w:noProof/>
            <w:lang w:val="cs-CZ"/>
          </w:rPr>
          <m:t xml:space="preserve"> ≥0,02 m </m:t>
        </m:r>
      </m:oMath>
      <w:r w:rsidRPr="003B6E11">
        <w:rPr>
          <w:lang w:val="cs-CZ"/>
        </w:rPr>
        <w:t xml:space="preserve"> s oblastí </w:t>
      </w:r>
      <m:oMath>
        <m:r>
          <w:rPr>
            <w:rFonts w:ascii="Cambria Math" w:eastAsia="Calibri" w:hAnsi="Cambria Math"/>
            <w:noProof/>
            <w:lang w:val="cs-CZ"/>
          </w:rPr>
          <m:t>A ≥0,0025 m ∙rad</m:t>
        </m:r>
      </m:oMath>
      <w:r w:rsidRPr="003B6E11">
        <w:rPr>
          <w:lang w:val="cs-CZ"/>
        </w:rPr>
        <w:t>. Tyto minimální hodnoty stability musí být dodrženy až do ponoření prvního nechráněného otvoru nebo v každém případě před dosažením úhlu náklonu 25 °.</w:t>
      </w:r>
    </w:p>
    <w:p w:rsidR="00E82B25" w:rsidRPr="003B6E11" w:rsidRDefault="00E82B25" w:rsidP="00E82B25">
      <w:pPr>
        <w:pStyle w:val="ESch"/>
        <w:rPr>
          <w:rFonts w:eastAsia="Calibri"/>
          <w:noProof/>
          <w:lang w:val="cs-CZ"/>
        </w:rPr>
      </w:pPr>
    </w:p>
    <w:p w:rsidR="00E82B25" w:rsidRPr="003B6E11" w:rsidRDefault="00E82B25" w:rsidP="00E82B25">
      <w:pPr>
        <w:pStyle w:val="ESch"/>
        <w:jc w:val="center"/>
        <w:rPr>
          <w:rFonts w:eastAsia="Calibri"/>
          <w:noProof/>
          <w:lang w:val="cs-CZ"/>
        </w:rPr>
      </w:pPr>
      <w:r w:rsidRPr="003B6E11">
        <w:rPr>
          <w:rFonts w:eastAsia="Calibri"/>
          <w:noProof/>
          <w:lang w:eastAsia="en-GB"/>
        </w:rPr>
        <w:drawing>
          <wp:inline distT="0" distB="0" distL="0" distR="0" wp14:anchorId="6CC4A39F" wp14:editId="4EC5F310">
            <wp:extent cx="5312664" cy="2831592"/>
            <wp:effectExtent l="0" t="0" r="2540" b="69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ES_Trin_19_03_11b_en.jpg"/>
                    <pic:cNvPicPr/>
                  </pic:nvPicPr>
                  <pic:blipFill>
                    <a:blip r:embed="rId25">
                      <a:extLst>
                        <a:ext uri="{28A0092B-C50C-407E-A947-70E740481C1C}">
                          <a14:useLocalDpi xmlns:a14="http://schemas.microsoft.com/office/drawing/2010/main" val="0"/>
                        </a:ext>
                      </a:extLst>
                    </a:blip>
                    <a:stretch>
                      <a:fillRect/>
                    </a:stretch>
                  </pic:blipFill>
                  <pic:spPr>
                    <a:xfrm>
                      <a:off x="0" y="0"/>
                      <a:ext cx="5312664" cy="2831592"/>
                    </a:xfrm>
                    <a:prstGeom prst="rect">
                      <a:avLst/>
                    </a:prstGeom>
                  </pic:spPr>
                </pic:pic>
              </a:graphicData>
            </a:graphic>
          </wp:inline>
        </w:drawing>
      </w:r>
    </w:p>
    <w:p w:rsidR="00E82B25" w:rsidRPr="003B6E11" w:rsidRDefault="00E82B25" w:rsidP="00E82B25">
      <w:pPr>
        <w:pStyle w:val="ESch"/>
        <w:ind w:left="0" w:firstLine="0"/>
        <w:jc w:val="center"/>
        <w:rPr>
          <w:rFonts w:eastAsia="Calibri" w:cs="Arial"/>
          <w:szCs w:val="18"/>
          <w:lang w:val="cs-CZ"/>
        </w:rPr>
      </w:pPr>
    </w:p>
    <w:p w:rsidR="00E82B25" w:rsidRPr="003B6E11" w:rsidRDefault="00E82B25" w:rsidP="00E82B25">
      <w:pPr>
        <w:pStyle w:val="EStiret"/>
        <w:rPr>
          <w:rFonts w:eastAsia="Calibri" w:cs="Arial"/>
          <w:szCs w:val="18"/>
          <w:lang w:val="cs-CZ"/>
        </w:rPr>
      </w:pPr>
      <w:r w:rsidRPr="003B6E11">
        <w:rPr>
          <w:lang w:val="cs-CZ"/>
        </w:rPr>
        <w:t>Kde:</w:t>
      </w:r>
    </w:p>
    <w:p w:rsidR="00E82B25" w:rsidRPr="003B6E11" w:rsidRDefault="002D015D" w:rsidP="00E82B25">
      <w:pPr>
        <w:pStyle w:val="EStiret"/>
        <w:ind w:left="1560" w:hanging="568"/>
        <w:rPr>
          <w:rFonts w:eastAsia="Calibri"/>
          <w:lang w:val="cs-CZ"/>
        </w:rPr>
      </w:pPr>
      <m:oMath>
        <m:sSub>
          <m:sSubPr>
            <m:ctrlPr>
              <w:rPr>
                <w:rFonts w:ascii="Cambria Math" w:eastAsia="Calibri" w:hAnsi="Cambria Math"/>
                <w:i/>
                <w:lang w:val="cs-CZ"/>
              </w:rPr>
            </m:ctrlPr>
          </m:sSubPr>
          <m:e>
            <m:r>
              <w:rPr>
                <w:rFonts w:ascii="Cambria Math" w:eastAsia="Calibri" w:hAnsi="Cambria Math"/>
                <w:lang w:val="cs-CZ"/>
              </w:rPr>
              <m:t>φ</m:t>
            </m:r>
          </m:e>
          <m:sub>
            <m:r>
              <w:rPr>
                <w:rFonts w:ascii="Cambria Math" w:eastAsia="Calibri" w:hAnsi="Cambria Math"/>
                <w:lang w:val="cs-CZ"/>
              </w:rPr>
              <m:t>E</m:t>
            </m:r>
          </m:sub>
        </m:sSub>
      </m:oMath>
      <w:r w:rsidR="00E82B25" w:rsidRPr="003B6E11">
        <w:rPr>
          <w:lang w:val="cs-CZ"/>
        </w:rPr>
        <w:t xml:space="preserve"> </w:t>
      </w:r>
      <w:r w:rsidR="00E82B25" w:rsidRPr="003B6E11">
        <w:rPr>
          <w:lang w:val="cs-CZ"/>
        </w:rPr>
        <w:tab/>
        <w:t>je úhel náklonu v konečné fázi zaplavení zohledňující moment podle odstavce 4,</w:t>
      </w:r>
    </w:p>
    <w:p w:rsidR="00E82B25" w:rsidRPr="003B6E11" w:rsidRDefault="002D015D" w:rsidP="00E82B25">
      <w:pPr>
        <w:pStyle w:val="EStiret"/>
        <w:ind w:left="1560" w:hanging="568"/>
        <w:rPr>
          <w:rFonts w:eastAsia="Calibri"/>
          <w:lang w:val="cs-CZ"/>
        </w:rPr>
      </w:pPr>
      <m:oMath>
        <m:sSub>
          <m:sSubPr>
            <m:ctrlPr>
              <w:rPr>
                <w:rFonts w:ascii="Cambria Math" w:eastAsia="Calibri" w:hAnsi="Cambria Math"/>
                <w:i/>
                <w:lang w:val="cs-CZ"/>
              </w:rPr>
            </m:ctrlPr>
          </m:sSubPr>
          <m:e>
            <m:r>
              <w:rPr>
                <w:rFonts w:ascii="Cambria Math" w:eastAsia="Calibri" w:hAnsi="Cambria Math"/>
                <w:lang w:val="cs-CZ"/>
              </w:rPr>
              <m:t>φ</m:t>
            </m:r>
          </m:e>
          <m:sub>
            <m:r>
              <w:rPr>
                <w:rFonts w:ascii="Cambria Math" w:eastAsia="Calibri" w:hAnsi="Cambria Math"/>
                <w:lang w:val="cs-CZ"/>
              </w:rPr>
              <m:t>m</m:t>
            </m:r>
          </m:sub>
        </m:sSub>
      </m:oMath>
      <w:r w:rsidR="00E82B25" w:rsidRPr="003B6E11">
        <w:rPr>
          <w:lang w:val="cs-CZ"/>
        </w:rPr>
        <w:tab/>
        <w:t>je úhel nulové stability nebo úhel, při němž je ponořen první nechráněný otvor, nebo 25 °, podle toho, která hodnota je nižší,</w:t>
      </w:r>
    </w:p>
    <w:p w:rsidR="00E82B25" w:rsidRPr="003B6E11" w:rsidRDefault="002D015D" w:rsidP="00E82B25">
      <w:pPr>
        <w:pStyle w:val="EStiret"/>
        <w:ind w:left="1560" w:hanging="568"/>
        <w:rPr>
          <w:rFonts w:eastAsia="Calibri"/>
          <w:lang w:val="cs-CZ"/>
        </w:rPr>
      </w:pPr>
      <m:oMath>
        <m:sSub>
          <m:sSubPr>
            <m:ctrlPr>
              <w:rPr>
                <w:rFonts w:ascii="Cambria Math" w:eastAsia="Calibri" w:hAnsi="Cambria Math"/>
                <w:i/>
                <w:lang w:val="cs-CZ"/>
              </w:rPr>
            </m:ctrlPr>
          </m:sSubPr>
          <m:e>
            <m:r>
              <w:rPr>
                <w:rFonts w:ascii="Cambria Math" w:eastAsia="Calibri" w:hAnsi="Cambria Math"/>
                <w:lang w:val="cs-CZ"/>
              </w:rPr>
              <m:t>GZ</m:t>
            </m:r>
          </m:e>
          <m:sub>
            <m:r>
              <w:rPr>
                <w:rFonts w:ascii="Cambria Math" w:eastAsia="Calibri" w:hAnsi="Cambria Math"/>
                <w:lang w:val="cs-CZ"/>
              </w:rPr>
              <m:t>R</m:t>
            </m:r>
          </m:sub>
        </m:sSub>
      </m:oMath>
      <w:r w:rsidR="00E82B25" w:rsidRPr="003B6E11">
        <w:rPr>
          <w:lang w:val="cs-CZ"/>
        </w:rPr>
        <w:t xml:space="preserve"> </w:t>
      </w:r>
      <w:r w:rsidR="00E82B25" w:rsidRPr="003B6E11">
        <w:rPr>
          <w:lang w:val="cs-CZ"/>
        </w:rPr>
        <w:tab/>
        <w:t>zbývající rameno stability v konečné fázi zaplavení zohledňující moment podle odstavce 4,</w:t>
      </w:r>
    </w:p>
    <w:p w:rsidR="00E82B25" w:rsidRPr="003B6E11" w:rsidRDefault="002D015D" w:rsidP="00E82B25">
      <w:pPr>
        <w:pStyle w:val="EStiret"/>
        <w:ind w:left="1560" w:hanging="568"/>
        <w:rPr>
          <w:rFonts w:eastAsia="Calibri"/>
          <w:lang w:val="cs-CZ"/>
        </w:rPr>
      </w:pPr>
      <m:oMath>
        <m:sSub>
          <m:sSubPr>
            <m:ctrlPr>
              <w:rPr>
                <w:rFonts w:ascii="Cambria Math" w:eastAsia="Calibri" w:hAnsi="Cambria Math"/>
                <w:i/>
                <w:lang w:val="cs-CZ"/>
              </w:rPr>
            </m:ctrlPr>
          </m:sSubPr>
          <m:e>
            <m:r>
              <w:rPr>
                <w:rFonts w:ascii="Cambria Math" w:eastAsia="Calibri" w:hAnsi="Cambria Math"/>
                <w:lang w:val="cs-CZ"/>
              </w:rPr>
              <m:t>GZ</m:t>
            </m:r>
          </m:e>
          <m:sub>
            <m:r>
              <w:rPr>
                <w:rFonts w:ascii="Cambria Math" w:eastAsia="Calibri" w:hAnsi="Cambria Math"/>
                <w:lang w:val="cs-CZ"/>
              </w:rPr>
              <m:t>K</m:t>
            </m:r>
          </m:sub>
        </m:sSub>
      </m:oMath>
      <w:r w:rsidR="00E82B25" w:rsidRPr="003B6E11">
        <w:rPr>
          <w:lang w:val="cs-CZ"/>
        </w:rPr>
        <w:tab/>
        <w:t>je klopné rameno, které je výsledkem momentu podle odstavce 4;</w:t>
      </w:r>
    </w:p>
    <w:p w:rsidR="00E82B25" w:rsidRPr="003B6E11" w:rsidRDefault="00E82B25" w:rsidP="00E82B25">
      <w:pPr>
        <w:pStyle w:val="ESlet"/>
        <w:rPr>
          <w:rFonts w:eastAsia="Calibri"/>
          <w:noProof/>
          <w:lang w:val="cs-CZ"/>
        </w:rPr>
      </w:pPr>
      <w:r w:rsidRPr="003B6E11">
        <w:rPr>
          <w:lang w:val="cs-CZ"/>
        </w:rPr>
        <w:br w:type="page"/>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nevodotěsné otvory nesmí být ponořeny před dosažením rovnovážné polohy. Dojde-li k ponoření zmíněných otvorů před tímto bodem, je nutno pro účely výpočtu stability v narušeném stavu považovat prostory umožňující přístup za zaplavené.</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12.</w:t>
      </w:r>
      <w:r w:rsidRPr="003B6E11">
        <w:rPr>
          <w:lang w:val="cs-CZ"/>
        </w:rPr>
        <w:tab/>
        <w:t>Uzavírací zařízení, která lze uzavřít vodotěsně, musí být odpovídajícím způsobem označena.</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13.</w:t>
      </w:r>
      <w:r w:rsidRPr="003B6E11">
        <w:rPr>
          <w:lang w:val="cs-CZ"/>
        </w:rPr>
        <w:tab/>
        <w:t>Existují-li otvory pro příčné zaplavení ke snížení nesouměrného zaplavení, musí splňovat tyto podmínky:</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k výpočtu příčného zaplavení se použije rezoluce IMO A.266 (VIII)</w:t>
      </w:r>
      <w:r w:rsidRPr="003B6E11">
        <w:rPr>
          <w:rStyle w:val="FootnoteReference"/>
          <w:noProof/>
          <w:lang w:val="cs-CZ"/>
        </w:rPr>
        <w:footnoteReference w:id="11"/>
      </w:r>
      <w:r w:rsidRPr="003B6E11">
        <w:rPr>
          <w:lang w:val="cs-CZ"/>
        </w:rPr>
        <w:t>;</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musí se aktivovat samy;</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nesmí být vybaveny uzavíracím zařízením;</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celková doba vyrovnání nesmí přesáhnout 15 minut.</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p>
    <w:p w:rsidR="00E82B25" w:rsidRPr="003B6E11" w:rsidRDefault="00E82B25" w:rsidP="00E82B25">
      <w:pPr>
        <w:pStyle w:val="ES-Titre3"/>
        <w:rPr>
          <w:rFonts w:cs="Arial"/>
          <w:i/>
          <w:szCs w:val="18"/>
          <w:lang w:val="cs-CZ"/>
        </w:rPr>
      </w:pPr>
      <w:bookmarkStart w:id="352" w:name="_Toc491854173"/>
      <w:bookmarkStart w:id="353" w:name="_Toc535417079"/>
      <w:r w:rsidRPr="003B6E11">
        <w:rPr>
          <w:lang w:val="cs-CZ"/>
        </w:rPr>
        <w:t>Článek 19.04</w:t>
      </w:r>
      <w:r w:rsidRPr="003B6E11">
        <w:rPr>
          <w:lang w:val="cs-CZ"/>
        </w:rPr>
        <w:br/>
      </w:r>
      <w:r w:rsidRPr="003B6E11">
        <w:rPr>
          <w:i/>
          <w:noProof/>
          <w:lang w:val="cs-CZ"/>
        </w:rPr>
        <w:t>Bezpečnostní vzdálenost a volný bok</w:t>
      </w:r>
      <w:bookmarkEnd w:id="352"/>
      <w:bookmarkEnd w:id="353"/>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w:t>
      </w:r>
      <w:r w:rsidRPr="003B6E11">
        <w:rPr>
          <w:lang w:val="cs-CZ"/>
        </w:rPr>
        <w:tab/>
        <w:t>Bezpečnostní vzdálenost musí přinejmenším odpovídat součtu:</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dodatečného zanoření boku, které měřeno na vnější obšívce vyplývá z přípustného úhlu náklonu podle čl. 19.03 odst. 3 písm. e) a</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zbývající bezpečnostní vzdálenosti podle čl. 19.03 odst. 3 písm. g).</w:t>
      </w:r>
    </w:p>
    <w:p w:rsidR="00E82B25" w:rsidRPr="003B6E11" w:rsidRDefault="00E82B25" w:rsidP="00E82B25">
      <w:pPr>
        <w:pStyle w:val="ESch"/>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U lodí bez přepážkové paluby musí být bezpečnostní vzdálenost nejméně 0,50 m.</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2.</w:t>
      </w:r>
      <w:r w:rsidRPr="003B6E11">
        <w:rPr>
          <w:lang w:val="cs-CZ"/>
        </w:rPr>
        <w:tab/>
        <w:t>Volný bok musí odpovídat nejméně součtu:</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dodatečného zanoření boku, které měřeno na vnější obšívce vyplývá z úhlu náklonu podle čl. 19.03 odst. 3 písm. e) a</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zbývajícího volného boku podle čl. 19.03 odst. 3 písm. f).</w:t>
      </w:r>
    </w:p>
    <w:p w:rsidR="00E82B25" w:rsidRPr="003B6E11" w:rsidRDefault="00E82B25" w:rsidP="00E82B25">
      <w:pPr>
        <w:pStyle w:val="ESchpar"/>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Volný bok však musí být nejméně 0,30 m.</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3.</w:t>
      </w:r>
      <w:r w:rsidRPr="003B6E11">
        <w:rPr>
          <w:lang w:val="cs-CZ"/>
        </w:rPr>
        <w:tab/>
        <w:t>Rovinu největšího přípustného ponoru je nutno stanovit tak, aby byla dodržena bezpečnostní vzdálenost podle odstavce 1 a volný bok podle odstavce 2 a články 19.02 a 19.03.</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4.</w:t>
      </w:r>
      <w:r w:rsidRPr="003B6E11">
        <w:rPr>
          <w:lang w:val="cs-CZ"/>
        </w:rPr>
        <w:tab/>
        <w:t>Z bezpečnostních důvodů může subjekt pověřený prohlídkami stanovit větší bezpečnostní vzdálenost nebo větší volný bok.</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p>
    <w:p w:rsidR="00E82B25" w:rsidRPr="003B6E11" w:rsidRDefault="00E82B25" w:rsidP="00E82B25">
      <w:pPr>
        <w:pStyle w:val="ES-Titre3"/>
        <w:rPr>
          <w:rFonts w:cs="Arial"/>
          <w:i/>
          <w:szCs w:val="18"/>
          <w:lang w:val="cs-CZ"/>
        </w:rPr>
      </w:pPr>
      <w:bookmarkStart w:id="354" w:name="_Toc491854174"/>
      <w:bookmarkStart w:id="355" w:name="_Toc535417080"/>
      <w:r w:rsidRPr="003B6E11">
        <w:rPr>
          <w:lang w:val="cs-CZ"/>
        </w:rPr>
        <w:t>Článek 19.05</w:t>
      </w:r>
      <w:r w:rsidRPr="003B6E11">
        <w:rPr>
          <w:lang w:val="cs-CZ"/>
        </w:rPr>
        <w:br/>
      </w:r>
      <w:r w:rsidRPr="003B6E11">
        <w:rPr>
          <w:i/>
          <w:noProof/>
          <w:lang w:val="cs-CZ"/>
        </w:rPr>
        <w:t>Nejvyšší přípustný počet cestujících</w:t>
      </w:r>
      <w:bookmarkEnd w:id="354"/>
      <w:bookmarkEnd w:id="355"/>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w:t>
      </w:r>
      <w:r w:rsidRPr="003B6E11">
        <w:rPr>
          <w:lang w:val="cs-CZ"/>
        </w:rPr>
        <w:tab/>
        <w:t>Subjekt pověřený prohlídkami stanoví nejvyšší přípustný počet cestujících a zapíše tento údaj do osvědčení plavidla vnitrozemské plavby.</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2.</w:t>
      </w:r>
      <w:r w:rsidRPr="003B6E11">
        <w:rPr>
          <w:lang w:val="cs-CZ"/>
        </w:rPr>
        <w:tab/>
        <w:t>Nejvyšší přípustný počet cestujících nesmí překročit žádnou z těchto hodnot:</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počet cestujících, pro něž byla prokázána existence evakuačního prostoru podle čl. 19.06 odst. 8;</w:t>
      </w:r>
    </w:p>
    <w:p w:rsidR="00E82B25" w:rsidRPr="003B6E11" w:rsidRDefault="00E82B25" w:rsidP="00E82B25">
      <w:pPr>
        <w:pStyle w:val="ESlet"/>
        <w:rPr>
          <w:rFonts w:eastAsia="Calibri"/>
          <w:noProof/>
          <w:lang w:val="cs-CZ"/>
        </w:rPr>
      </w:pPr>
      <w:r w:rsidRPr="003B6E11">
        <w:rPr>
          <w:lang w:val="cs-CZ"/>
        </w:rPr>
        <w:br w:type="page"/>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počet cestujících, který byl vzat v úvahu při výpočtu stability podle článku 19.03;</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počet dostupných lůžek pro cestující na kajutových osobních lodích používaných pro plavby s přenocováním.</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3.</w:t>
      </w:r>
      <w:r w:rsidRPr="003B6E11">
        <w:rPr>
          <w:lang w:val="cs-CZ"/>
        </w:rPr>
        <w:tab/>
        <w:t>U kajutových osobních lodí, které se používají rovněž jako výletní osobní lodě, se počet cestujících vypočítá pro použití jako výletní osobní loď i jako kajutová osobní loď a zapíše se do osvědčení plavidla vnitrozemské plavby.</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4.</w:t>
      </w:r>
      <w:r w:rsidRPr="003B6E11">
        <w:rPr>
          <w:lang w:val="cs-CZ"/>
        </w:rPr>
        <w:tab/>
        <w:t>Nejvyšší přípustný počet cestujících musí být uveden na dobře čitelných a na viditelném místě umístěných cedulích na lodi.</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p>
    <w:p w:rsidR="00E82B25" w:rsidRPr="003B6E11" w:rsidRDefault="00E82B25" w:rsidP="00E82B25">
      <w:pPr>
        <w:pStyle w:val="ES-Titre3"/>
        <w:rPr>
          <w:rFonts w:cs="Arial"/>
          <w:i/>
          <w:szCs w:val="18"/>
          <w:lang w:val="cs-CZ"/>
        </w:rPr>
      </w:pPr>
      <w:bookmarkStart w:id="356" w:name="_Toc491854175"/>
      <w:bookmarkStart w:id="357" w:name="_Toc535417081"/>
      <w:r w:rsidRPr="003B6E11">
        <w:rPr>
          <w:lang w:val="cs-CZ"/>
        </w:rPr>
        <w:t>Článek 19.06</w:t>
      </w:r>
      <w:r w:rsidRPr="003B6E11">
        <w:rPr>
          <w:lang w:val="cs-CZ"/>
        </w:rPr>
        <w:br/>
      </w:r>
      <w:r w:rsidRPr="003B6E11">
        <w:rPr>
          <w:i/>
          <w:noProof/>
          <w:lang w:val="cs-CZ"/>
        </w:rPr>
        <w:t>Místnosti a prostory pro cestující</w:t>
      </w:r>
      <w:bookmarkEnd w:id="356"/>
      <w:bookmarkEnd w:id="357"/>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w:t>
      </w:r>
      <w:r w:rsidRPr="003B6E11">
        <w:rPr>
          <w:lang w:val="cs-CZ"/>
        </w:rPr>
        <w:tab/>
        <w:t>Místnosti pro cestující musí:</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být na všech palubách umístěny za rovinou kolizní přepážky a, pokud se nacházejí pod přepážkovou palubou, před rovinou záďové přepážky a</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být plynotěsně odděleny od strojoven a kotelen.</w:t>
      </w:r>
    </w:p>
    <w:p w:rsidR="00E82B25" w:rsidRPr="003B6E11" w:rsidRDefault="00E82B25" w:rsidP="00E82B25">
      <w:pPr>
        <w:pStyle w:val="ESch"/>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Plochy paluby, které jsou ochrannými plachtami nebo podobnými mobilními zařízeními uzavřeny nejenom shora, ale jsou jimi zcela nebo částečně uzavřeny také po stranách, musí splňovat stejné požadavky jako uzavřené prostory pro cestující.</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2.</w:t>
      </w:r>
      <w:r w:rsidRPr="003B6E11">
        <w:rPr>
          <w:lang w:val="cs-CZ"/>
        </w:rPr>
        <w:tab/>
        <w:t>Skříně a místnosti uvedené v článku 14.13, které jsou určeny ke skladování hořlavých kapalin, se musí nacházet mimo prostory pro cestující.</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3.</w:t>
      </w:r>
      <w:r w:rsidRPr="003B6E11">
        <w:rPr>
          <w:lang w:val="cs-CZ"/>
        </w:rPr>
        <w:tab/>
        <w:t>Počet a šířka východů z místností pro cestující musí splňovat tyto požadavky:</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místnosti nebo skupiny místností, které jsou navrženy nebo zařízeny pro 30 a více cestujících nebo mají lůžka pro 12 a více cestujících, musí mít nejméně dva východy. Na výletních osobních lodích lze jeden z těchto dvou východů nahradit dvěma nouzovými východy. Místnosti, kromě kajut, a skupiny místností, které mají jen jeden východ, musí mít nejméně jeden nouzový východ;</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nacházejí-li se místnosti pod přepážkovou palubou, jedním východem mohou být vodotěsné přepážkové dveře podle čl. 19.02 odst. 10, které vedou do přilehlého oddělení, z něhož se lze přímo dostat na horní palubu. Druhý východ musí vést přímo nebo, je-li to povoleno podle písmene a), jako nouzový východ do otevřeného prostoru nebo na přepážkovou palubu. Tento požadavek se nevztahuje na jednotlivé kajuty;</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východy podle písmen a) a b) musí být vhodně uspořádány a musí mít světlou šířku nejméně 0,80 m a světlou výšku nejméně 2,00 m. U dveří kajut pro cestující a jiných malých místností může být světlá šířka snížena na 0,70 m;</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u místností nebo skupin místností určených pro více než 80 cestujících musí součet šířek všech východů určených pro cestující, které musí cestující použít v případě nouze, činit nejméně 0,01 m na každého cestujícího;</w:t>
      </w:r>
    </w:p>
    <w:p w:rsidR="00E82B25" w:rsidRPr="003B6E11" w:rsidRDefault="00E82B25" w:rsidP="00E82B25">
      <w:pPr>
        <w:pStyle w:val="ESlet"/>
        <w:rPr>
          <w:rFonts w:eastAsia="Calibri" w:cs="Arial"/>
          <w:szCs w:val="18"/>
          <w:lang w:val="cs-CZ"/>
        </w:rPr>
      </w:pPr>
      <w:r w:rsidRPr="003B6E11">
        <w:rPr>
          <w:lang w:val="cs-CZ"/>
        </w:rPr>
        <w:t>e)</w:t>
      </w:r>
      <w:r w:rsidRPr="003B6E11">
        <w:rPr>
          <w:lang w:val="cs-CZ"/>
        </w:rPr>
        <w:tab/>
        <w:t>je-li pro celkovou šířku východů rozhodující počet cestujících, šířka každého východu musí být nejméně 0,005 m na každého cestujícího;</w:t>
      </w:r>
    </w:p>
    <w:p w:rsidR="00E82B25" w:rsidRPr="003B6E11" w:rsidRDefault="00E82B25" w:rsidP="00E82B25">
      <w:pPr>
        <w:pStyle w:val="ESlet"/>
        <w:rPr>
          <w:rFonts w:eastAsia="Calibri"/>
          <w:noProof/>
          <w:lang w:val="cs-CZ"/>
        </w:rPr>
      </w:pPr>
    </w:p>
    <w:p w:rsidR="00E82B25" w:rsidRPr="003B6E11" w:rsidRDefault="00E82B25" w:rsidP="00E82B25">
      <w:pPr>
        <w:pStyle w:val="ESlet"/>
        <w:rPr>
          <w:rFonts w:eastAsia="Calibri"/>
          <w:noProof/>
          <w:lang w:val="cs-CZ"/>
        </w:rPr>
      </w:pPr>
      <w:r w:rsidRPr="003B6E11">
        <w:rPr>
          <w:lang w:val="cs-CZ"/>
        </w:rPr>
        <w:br w:type="page"/>
      </w:r>
    </w:p>
    <w:p w:rsidR="00E82B25" w:rsidRPr="003B6E11" w:rsidRDefault="00E82B25" w:rsidP="00E82B25">
      <w:pPr>
        <w:pStyle w:val="ESlet"/>
        <w:rPr>
          <w:rFonts w:eastAsia="Calibri" w:cs="Arial"/>
          <w:szCs w:val="18"/>
          <w:lang w:val="cs-CZ"/>
        </w:rPr>
      </w:pPr>
      <w:r w:rsidRPr="003B6E11">
        <w:rPr>
          <w:lang w:val="cs-CZ"/>
        </w:rPr>
        <w:t>f)</w:t>
      </w:r>
      <w:r w:rsidRPr="003B6E11">
        <w:rPr>
          <w:lang w:val="cs-CZ"/>
        </w:rPr>
        <w:tab/>
        <w:t>nouzové východy musí mít nejkratší stranu dlouhou nejméně 0,60 m nebo minimální průměr 0,70 m. Musejí se otevírat ve směru úniku a být označeny na obou stranách;</w:t>
      </w:r>
    </w:p>
    <w:p w:rsidR="00E82B25" w:rsidRPr="003B6E11" w:rsidRDefault="00E82B25" w:rsidP="00E82B25">
      <w:pPr>
        <w:pStyle w:val="ESlet"/>
        <w:rPr>
          <w:rFonts w:eastAsia="Calibri" w:cs="Arial"/>
          <w:szCs w:val="18"/>
          <w:lang w:val="cs-CZ"/>
        </w:rPr>
      </w:pPr>
      <w:r w:rsidRPr="003B6E11">
        <w:rPr>
          <w:lang w:val="cs-CZ"/>
        </w:rPr>
        <w:t>g)</w:t>
      </w:r>
      <w:r w:rsidRPr="003B6E11">
        <w:rPr>
          <w:lang w:val="cs-CZ"/>
        </w:rPr>
        <w:tab/>
        <w:t>východy z místností určených pro osoby s omezenou pohyblivostí musí mít světlou šířku nejméně 0,90 m. Východy obvykle používané k naloďování a vyloďování osob s omezenou pohyblivostí musí mít světlou šířku nejméně 1,50 m.</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4.</w:t>
      </w:r>
      <w:r w:rsidRPr="003B6E11">
        <w:rPr>
          <w:lang w:val="cs-CZ"/>
        </w:rPr>
        <w:tab/>
        <w:t>Dveře místností pro cestující musí splňovat tyto požadavky:</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kromě dveří vedoucích do spojovacích chodeb se musí otevírat směrem ven nebo být zkonstruovány jako posuvné dveře;</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dveře kajut musí být zhotoveny tak, aby se daly otevřít kdykoli i zvenku,</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dveře s pohonem se musí snadno otevírat v případě výpadku napájení tohoto mechanismu;</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u dveří, které jsou určeny pro osoby s omezenou pohyblivostí, musí na straně ve směru, v němž se dveře otevírají, být mezi vnitřním okrajem zárubní na straně se zámkem a přilehlou svislou stěnou minimální vzdálenost 0,60 m.</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5.</w:t>
      </w:r>
      <w:r w:rsidRPr="003B6E11">
        <w:rPr>
          <w:lang w:val="cs-CZ"/>
        </w:rPr>
        <w:tab/>
        <w:t>Spojovací chodby musí splňovat tyto požadavky:</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mít světlou šířku nejméně 0,80 m. Vedou-li k místnostem používaným více než 80 cestujícími, musí splňovat ustanovení uvedená v odst. 3 písm. d) a e), pokud jde o šířku východů vedoucích do spojovacích chodeb;</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jejich světlá výška musí být nejméně 2,00 m;</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spojovací chodby, které jsou určeny pro osoby s omezenou pohyblivostí, musí mít světlou šířku 1,30 m. Spojovací chodby širší než 1,50 m musí mít na každé straně madla;</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vede-li do části plavidla nebo do místnosti určené pro cestující pouze jedna spojovací chodba, musí být její světlá šířka nejméně 1,00 m;</w:t>
      </w:r>
    </w:p>
    <w:p w:rsidR="00E82B25" w:rsidRPr="003B6E11" w:rsidRDefault="00E82B25" w:rsidP="00E82B25">
      <w:pPr>
        <w:pStyle w:val="ESlet"/>
        <w:rPr>
          <w:rFonts w:eastAsia="Calibri" w:cs="Arial"/>
          <w:szCs w:val="18"/>
          <w:lang w:val="cs-CZ"/>
        </w:rPr>
      </w:pPr>
      <w:r w:rsidRPr="003B6E11">
        <w:rPr>
          <w:lang w:val="cs-CZ"/>
        </w:rPr>
        <w:t>e)</w:t>
      </w:r>
      <w:r w:rsidRPr="003B6E11">
        <w:rPr>
          <w:lang w:val="cs-CZ"/>
        </w:rPr>
        <w:tab/>
        <w:t>ve spojovacích chodbách nesmí být žádné schody;</w:t>
      </w:r>
    </w:p>
    <w:p w:rsidR="00E82B25" w:rsidRPr="003B6E11" w:rsidRDefault="00E82B25" w:rsidP="00E82B25">
      <w:pPr>
        <w:pStyle w:val="ESlet"/>
        <w:rPr>
          <w:rFonts w:eastAsia="Calibri" w:cs="Arial"/>
          <w:szCs w:val="18"/>
          <w:lang w:val="cs-CZ"/>
        </w:rPr>
      </w:pPr>
      <w:r w:rsidRPr="003B6E11">
        <w:rPr>
          <w:lang w:val="cs-CZ"/>
        </w:rPr>
        <w:t>f)</w:t>
      </w:r>
      <w:r w:rsidRPr="003B6E11">
        <w:rPr>
          <w:lang w:val="cs-CZ"/>
        </w:rPr>
        <w:tab/>
        <w:t>musí vést pouze na otevřené paluby, prostory nebo schodiště;</w:t>
      </w:r>
    </w:p>
    <w:p w:rsidR="00E82B25" w:rsidRPr="003B6E11" w:rsidRDefault="00E82B25" w:rsidP="00E82B25">
      <w:pPr>
        <w:pStyle w:val="ESlet"/>
        <w:rPr>
          <w:rFonts w:eastAsia="Calibri" w:cs="Arial"/>
          <w:szCs w:val="18"/>
          <w:lang w:val="cs-CZ"/>
        </w:rPr>
      </w:pPr>
      <w:r w:rsidRPr="003B6E11">
        <w:rPr>
          <w:lang w:val="cs-CZ"/>
        </w:rPr>
        <w:t>g)</w:t>
      </w:r>
      <w:r w:rsidRPr="003B6E11">
        <w:rPr>
          <w:lang w:val="cs-CZ"/>
        </w:rPr>
        <w:tab/>
        <w:t>slepé chodby ve spojovacích chodbách nesmí být delší než dva metry.</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6.</w:t>
      </w:r>
      <w:r w:rsidRPr="003B6E11">
        <w:rPr>
          <w:lang w:val="cs-CZ"/>
        </w:rPr>
        <w:tab/>
        <w:t>Kromě odstavce 5 musí únikové cesty splňovat rovněž tyto požadavky:</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schodiště, východy a nouzové východy musí být uspořádány tak, aby v případě požáru v kterékoli dané místnosti bylo možné bezpečně evakuovat ostatní prostory;</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únikové cesty musí vést nejkratší cestou do evakuačních prostor podle odstavce 8;</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únikové cesty nesmí vést přes strojovny nebo kuchyně;</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v únikových cestách nesmějí být namontovány žádné příčle, žebříky a podobně;</w:t>
      </w:r>
    </w:p>
    <w:p w:rsidR="00E82B25" w:rsidRPr="003B6E11" w:rsidRDefault="00E82B25" w:rsidP="00E82B25">
      <w:pPr>
        <w:pStyle w:val="ESlet"/>
        <w:rPr>
          <w:rFonts w:eastAsia="Calibri" w:cs="Arial"/>
          <w:szCs w:val="18"/>
          <w:lang w:val="cs-CZ"/>
        </w:rPr>
      </w:pPr>
      <w:r w:rsidRPr="003B6E11">
        <w:rPr>
          <w:lang w:val="cs-CZ"/>
        </w:rPr>
        <w:t>e)</w:t>
      </w:r>
      <w:r w:rsidRPr="003B6E11">
        <w:rPr>
          <w:lang w:val="cs-CZ"/>
        </w:rPr>
        <w:tab/>
        <w:t>dveře k únikovým cestám musejí být zkonstruovány tak, aby nezužovaly minimální šířku únikové cesty podle odst. 5 písm. a) nebo d);</w:t>
      </w:r>
    </w:p>
    <w:p w:rsidR="00E82B25" w:rsidRPr="003B6E11" w:rsidRDefault="00E82B25" w:rsidP="00E82B25">
      <w:pPr>
        <w:pStyle w:val="ESlet"/>
        <w:rPr>
          <w:rFonts w:eastAsia="Calibri" w:cs="Arial"/>
          <w:szCs w:val="18"/>
          <w:lang w:val="cs-CZ"/>
        </w:rPr>
      </w:pPr>
      <w:r w:rsidRPr="003B6E11">
        <w:rPr>
          <w:lang w:val="cs-CZ"/>
        </w:rPr>
        <w:t>f)</w:t>
      </w:r>
      <w:r w:rsidRPr="003B6E11">
        <w:rPr>
          <w:lang w:val="cs-CZ"/>
        </w:rPr>
        <w:tab/>
        <w:t>únikové cesty a nouzové východy musí být zřetelně označeny. Značky musí být osvětleny nouzovým osvětlovacím systémem.</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7.</w:t>
      </w:r>
      <w:r w:rsidRPr="003B6E11">
        <w:rPr>
          <w:lang w:val="cs-CZ"/>
        </w:rPr>
        <w:tab/>
        <w:t>Únikové cesty a nouzové východy musí mít vhodný bezpečnostní naváděcí systém.</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br w:type="page"/>
      </w:r>
    </w:p>
    <w:p w:rsidR="00E82B25" w:rsidRPr="003B6E11" w:rsidRDefault="00E82B25" w:rsidP="00E82B25">
      <w:pPr>
        <w:pStyle w:val="ESch"/>
        <w:rPr>
          <w:rFonts w:eastAsia="Calibri" w:cs="Arial"/>
          <w:szCs w:val="18"/>
          <w:lang w:val="cs-CZ"/>
        </w:rPr>
      </w:pPr>
      <w:r w:rsidRPr="003B6E11">
        <w:rPr>
          <w:lang w:val="cs-CZ"/>
        </w:rPr>
        <w:t>8.</w:t>
      </w:r>
      <w:r w:rsidRPr="003B6E11">
        <w:rPr>
          <w:lang w:val="cs-CZ"/>
        </w:rPr>
        <w:tab/>
        <w:t>Pro všechny osoby na plavidle musí být k dispozici shromažďovací prostory, které splňují tyto požadavky:</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 xml:space="preserve">celková plocha shromažďovacích prostor </w:t>
      </w:r>
      <m:oMath>
        <m:sSub>
          <m:sSubPr>
            <m:ctrlPr>
              <w:rPr>
                <w:rFonts w:ascii="Cambria Math" w:eastAsia="Calibri" w:hAnsi="Cambria Math"/>
                <w:i/>
                <w:lang w:val="cs-CZ"/>
              </w:rPr>
            </m:ctrlPr>
          </m:sSubPr>
          <m:e>
            <m:r>
              <w:rPr>
                <w:rFonts w:ascii="Cambria Math" w:eastAsia="Calibri" w:hAnsi="Cambria Math"/>
                <w:lang w:val="cs-CZ"/>
              </w:rPr>
              <m:t>A</m:t>
            </m:r>
          </m:e>
          <m:sub>
            <m:r>
              <w:rPr>
                <w:rFonts w:ascii="Cambria Math" w:eastAsia="Calibri" w:hAnsi="Cambria Math"/>
                <w:lang w:val="cs-CZ"/>
              </w:rPr>
              <m:t>S</m:t>
            </m:r>
          </m:sub>
        </m:sSub>
      </m:oMath>
      <w:r w:rsidRPr="003B6E11">
        <w:rPr>
          <w:lang w:val="cs-CZ"/>
        </w:rPr>
        <w:t xml:space="preserve"> musí odpovídat nejméně této hodnotě:</w:t>
      </w:r>
    </w:p>
    <w:p w:rsidR="00E82B25" w:rsidRPr="003B6E11" w:rsidRDefault="00E82B25" w:rsidP="00E82B25">
      <w:pPr>
        <w:pStyle w:val="ESletpar"/>
        <w:rPr>
          <w:rFonts w:eastAsia="Calibri"/>
          <w:lang w:val="cs-CZ"/>
        </w:rPr>
      </w:pPr>
      <w:r w:rsidRPr="003B6E11">
        <w:rPr>
          <w:lang w:val="cs-CZ"/>
        </w:rPr>
        <w:t>Výletní osobní lodě:</w:t>
      </w:r>
      <w:r w:rsidRPr="003B6E11">
        <w:rPr>
          <w:lang w:val="cs-CZ"/>
        </w:rPr>
        <w:tab/>
      </w:r>
      <m:oMath>
        <m:sSub>
          <m:sSubPr>
            <m:ctrlPr>
              <w:rPr>
                <w:rFonts w:ascii="Cambria Math" w:eastAsia="Calibri" w:hAnsi="Cambria Math"/>
                <w:i/>
                <w:lang w:val="cs-CZ"/>
              </w:rPr>
            </m:ctrlPr>
          </m:sSubPr>
          <m:e>
            <m:r>
              <w:rPr>
                <w:rFonts w:ascii="Cambria Math" w:eastAsia="Calibri" w:hAnsi="Cambria Math"/>
                <w:lang w:val="cs-CZ"/>
              </w:rPr>
              <m:t>A</m:t>
            </m:r>
          </m:e>
          <m:sub>
            <m:r>
              <w:rPr>
                <w:rFonts w:ascii="Cambria Math" w:eastAsia="Calibri" w:hAnsi="Cambria Math"/>
                <w:lang w:val="cs-CZ"/>
              </w:rPr>
              <m:t>S</m:t>
            </m:r>
          </m:sub>
        </m:sSub>
        <m:r>
          <w:rPr>
            <w:rFonts w:ascii="Cambria Math" w:eastAsia="Calibri" w:hAnsi="Cambria Math"/>
            <w:lang w:val="cs-CZ"/>
          </w:rPr>
          <m:t xml:space="preserve">=0,35 ∙ </m:t>
        </m:r>
        <m:sSub>
          <m:sSubPr>
            <m:ctrlPr>
              <w:rPr>
                <w:rFonts w:ascii="Cambria Math" w:eastAsia="Calibri" w:hAnsi="Cambria Math"/>
                <w:i/>
                <w:lang w:val="cs-CZ"/>
              </w:rPr>
            </m:ctrlPr>
          </m:sSubPr>
          <m:e>
            <m:r>
              <w:rPr>
                <w:rFonts w:ascii="Cambria Math" w:eastAsia="Calibri" w:hAnsi="Cambria Math"/>
                <w:lang w:val="cs-CZ"/>
              </w:rPr>
              <m:t>F</m:t>
            </m:r>
          </m:e>
          <m:sub>
            <m:r>
              <w:rPr>
                <w:rFonts w:ascii="Cambria Math" w:eastAsia="Calibri" w:hAnsi="Cambria Math"/>
                <w:lang w:val="cs-CZ"/>
              </w:rPr>
              <m:t>max</m:t>
            </m:r>
          </m:sub>
        </m:sSub>
        <m:r>
          <w:rPr>
            <w:rFonts w:ascii="Cambria Math" w:eastAsia="Calibri" w:hAnsi="Cambria Math"/>
            <w:lang w:val="cs-CZ"/>
          </w:rPr>
          <m:t xml:space="preserve"> </m:t>
        </m:r>
        <m:d>
          <m:dPr>
            <m:begChr m:val="["/>
            <m:endChr m:val="]"/>
            <m:ctrlPr>
              <w:rPr>
                <w:rFonts w:ascii="Cambria Math" w:eastAsia="Calibri" w:hAnsi="Cambria Math"/>
                <w:i/>
                <w:lang w:val="cs-CZ"/>
              </w:rPr>
            </m:ctrlPr>
          </m:dPr>
          <m:e>
            <m:sSup>
              <m:sSupPr>
                <m:ctrlPr>
                  <w:rPr>
                    <w:rFonts w:ascii="Cambria Math" w:eastAsia="Calibri" w:hAnsi="Cambria Math"/>
                    <w:i/>
                    <w:lang w:val="cs-CZ"/>
                  </w:rPr>
                </m:ctrlPr>
              </m:sSupPr>
              <m:e>
                <m:r>
                  <w:rPr>
                    <w:rFonts w:ascii="Cambria Math" w:eastAsia="Calibri" w:hAnsi="Cambria Math"/>
                    <w:lang w:val="cs-CZ"/>
                  </w:rPr>
                  <m:t>m</m:t>
                </m:r>
              </m:e>
              <m:sup>
                <m:r>
                  <w:rPr>
                    <w:rFonts w:ascii="Cambria Math" w:eastAsia="Calibri" w:hAnsi="Cambria Math"/>
                    <w:lang w:val="cs-CZ"/>
                  </w:rPr>
                  <m:t>2</m:t>
                </m:r>
              </m:sup>
            </m:sSup>
          </m:e>
        </m:d>
      </m:oMath>
      <w:r w:rsidRPr="003B6E11">
        <w:rPr>
          <w:vertAlign w:val="subscript"/>
          <w:lang w:val="cs-CZ"/>
        </w:rPr>
        <w:t xml:space="preserve"> </w:t>
      </w:r>
    </w:p>
    <w:p w:rsidR="00E82B25" w:rsidRPr="003B6E11" w:rsidRDefault="00E82B25" w:rsidP="00E82B25">
      <w:pPr>
        <w:pStyle w:val="ESletpar"/>
        <w:rPr>
          <w:rFonts w:eastAsia="Calibri"/>
          <w:lang w:val="cs-CZ"/>
        </w:rPr>
      </w:pPr>
      <w:r w:rsidRPr="003B6E11">
        <w:rPr>
          <w:lang w:val="cs-CZ"/>
        </w:rPr>
        <w:t>Kajutové osobní lodě:</w:t>
      </w:r>
      <w:r w:rsidRPr="003B6E11">
        <w:rPr>
          <w:lang w:val="cs-CZ"/>
        </w:rPr>
        <w:tab/>
      </w:r>
      <m:oMath>
        <m:sSub>
          <m:sSubPr>
            <m:ctrlPr>
              <w:rPr>
                <w:rFonts w:ascii="Cambria Math" w:eastAsia="Calibri" w:hAnsi="Cambria Math"/>
                <w:i/>
                <w:lang w:val="cs-CZ"/>
              </w:rPr>
            </m:ctrlPr>
          </m:sSubPr>
          <m:e>
            <m:r>
              <w:rPr>
                <w:rFonts w:ascii="Cambria Math" w:eastAsia="Calibri" w:hAnsi="Cambria Math"/>
                <w:lang w:val="cs-CZ"/>
              </w:rPr>
              <m:t>A</m:t>
            </m:r>
          </m:e>
          <m:sub>
            <m:r>
              <w:rPr>
                <w:rFonts w:ascii="Cambria Math" w:eastAsia="Calibri" w:hAnsi="Cambria Math"/>
                <w:lang w:val="cs-CZ"/>
              </w:rPr>
              <m:t>S</m:t>
            </m:r>
          </m:sub>
        </m:sSub>
        <m:r>
          <w:rPr>
            <w:rFonts w:ascii="Cambria Math" w:eastAsia="Calibri" w:hAnsi="Cambria Math"/>
            <w:lang w:val="cs-CZ"/>
          </w:rPr>
          <m:t xml:space="preserve">=0,45 ∙ </m:t>
        </m:r>
        <m:sSub>
          <m:sSubPr>
            <m:ctrlPr>
              <w:rPr>
                <w:rFonts w:ascii="Cambria Math" w:eastAsia="Calibri" w:hAnsi="Cambria Math"/>
                <w:i/>
                <w:lang w:val="cs-CZ"/>
              </w:rPr>
            </m:ctrlPr>
          </m:sSubPr>
          <m:e>
            <m:r>
              <w:rPr>
                <w:rFonts w:ascii="Cambria Math" w:eastAsia="Calibri" w:hAnsi="Cambria Math"/>
                <w:lang w:val="cs-CZ"/>
              </w:rPr>
              <m:t>F</m:t>
            </m:r>
          </m:e>
          <m:sub>
            <m:r>
              <w:rPr>
                <w:rFonts w:ascii="Cambria Math" w:eastAsia="Calibri" w:hAnsi="Cambria Math"/>
                <w:lang w:val="cs-CZ"/>
              </w:rPr>
              <m:t>max</m:t>
            </m:r>
          </m:sub>
        </m:sSub>
        <m:r>
          <w:rPr>
            <w:rFonts w:ascii="Cambria Math" w:eastAsia="Calibri" w:hAnsi="Cambria Math"/>
            <w:lang w:val="cs-CZ"/>
          </w:rPr>
          <m:t xml:space="preserve"> </m:t>
        </m:r>
        <m:d>
          <m:dPr>
            <m:begChr m:val="["/>
            <m:endChr m:val="]"/>
            <m:ctrlPr>
              <w:rPr>
                <w:rFonts w:ascii="Cambria Math" w:eastAsia="Calibri" w:hAnsi="Cambria Math"/>
                <w:i/>
                <w:lang w:val="cs-CZ"/>
              </w:rPr>
            </m:ctrlPr>
          </m:dPr>
          <m:e>
            <m:sSup>
              <m:sSupPr>
                <m:ctrlPr>
                  <w:rPr>
                    <w:rFonts w:ascii="Cambria Math" w:eastAsia="Calibri" w:hAnsi="Cambria Math"/>
                    <w:i/>
                    <w:lang w:val="cs-CZ"/>
                  </w:rPr>
                </m:ctrlPr>
              </m:sSupPr>
              <m:e>
                <m:r>
                  <w:rPr>
                    <w:rFonts w:ascii="Cambria Math" w:eastAsia="Calibri" w:hAnsi="Cambria Math"/>
                    <w:lang w:val="cs-CZ"/>
                  </w:rPr>
                  <m:t>m</m:t>
                </m:r>
              </m:e>
              <m:sup>
                <m:r>
                  <w:rPr>
                    <w:rFonts w:ascii="Cambria Math" w:eastAsia="Calibri" w:hAnsi="Cambria Math"/>
                    <w:lang w:val="cs-CZ"/>
                  </w:rPr>
                  <m:t>2</m:t>
                </m:r>
              </m:sup>
            </m:sSup>
          </m:e>
        </m:d>
      </m:oMath>
    </w:p>
    <w:p w:rsidR="00E82B25" w:rsidRPr="003B6E11" w:rsidRDefault="00E82B25" w:rsidP="00E82B25">
      <w:pPr>
        <w:pStyle w:val="ESletpar"/>
        <w:rPr>
          <w:rFonts w:eastAsia="Calibri"/>
          <w:lang w:val="cs-CZ"/>
        </w:rPr>
      </w:pPr>
      <w:r w:rsidRPr="003B6E11">
        <w:rPr>
          <w:lang w:val="cs-CZ"/>
        </w:rPr>
        <w:t>kde:</w:t>
      </w:r>
    </w:p>
    <w:p w:rsidR="00E82B25" w:rsidRPr="003B6E11" w:rsidRDefault="002D015D" w:rsidP="00E82B25">
      <w:pPr>
        <w:pStyle w:val="ESletpar"/>
        <w:tabs>
          <w:tab w:val="left" w:pos="1701"/>
        </w:tabs>
        <w:rPr>
          <w:rFonts w:eastAsia="Calibri"/>
          <w:szCs w:val="18"/>
          <w:lang w:val="cs-CZ"/>
        </w:rPr>
      </w:pPr>
      <m:oMath>
        <m:sSub>
          <m:sSubPr>
            <m:ctrlPr>
              <w:rPr>
                <w:rFonts w:ascii="Cambria Math" w:eastAsia="Calibri" w:hAnsi="Cambria Math"/>
                <w:i/>
                <w:szCs w:val="18"/>
                <w:lang w:val="cs-CZ"/>
              </w:rPr>
            </m:ctrlPr>
          </m:sSubPr>
          <m:e>
            <m:r>
              <w:rPr>
                <w:rFonts w:ascii="Cambria Math" w:eastAsia="Calibri" w:hAnsi="Cambria Math"/>
                <w:szCs w:val="18"/>
                <w:lang w:val="cs-CZ"/>
              </w:rPr>
              <m:t>F</m:t>
            </m:r>
          </m:e>
          <m:sub>
            <m:r>
              <w:rPr>
                <w:rFonts w:ascii="Cambria Math" w:eastAsia="Calibri" w:hAnsi="Cambria Math"/>
                <w:szCs w:val="18"/>
                <w:lang w:val="cs-CZ"/>
              </w:rPr>
              <m:t>max</m:t>
            </m:r>
          </m:sub>
        </m:sSub>
      </m:oMath>
      <w:r w:rsidR="00E82B25" w:rsidRPr="003B6E11">
        <w:rPr>
          <w:lang w:val="cs-CZ"/>
        </w:rPr>
        <w:t xml:space="preserve"> =</w:t>
      </w:r>
      <w:r w:rsidR="00E82B25" w:rsidRPr="003B6E11">
        <w:rPr>
          <w:lang w:val="cs-CZ"/>
        </w:rPr>
        <w:tab/>
        <w:t>nejvyšší přípustný počet cestujících na lodi;</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každý jednotlivý shromažďovací prostor nebo evakuační prostor musí být větší než 10 m</w:t>
      </w:r>
      <w:r w:rsidRPr="003B6E11">
        <w:rPr>
          <w:vertAlign w:val="superscript"/>
          <w:lang w:val="cs-CZ"/>
        </w:rPr>
        <w:t>2</w:t>
      </w:r>
      <w:r w:rsidRPr="003B6E11">
        <w:rPr>
          <w:lang w:val="cs-CZ"/>
        </w:rPr>
        <w:t>;</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v shromažďovacích prostorech se nesmí nacházet žádný nábytek, přenosný ani pevně vestavěný;</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pokud se v prostoru, který je určen jako shromažďovací prostor, nachází přenosný nábytek, musí být vhodným způsobem zajištěn proti sesmeknutí;</w:t>
      </w:r>
    </w:p>
    <w:p w:rsidR="00E82B25" w:rsidRPr="003B6E11" w:rsidRDefault="00E82B25" w:rsidP="00E82B25">
      <w:pPr>
        <w:pStyle w:val="ESlet"/>
        <w:rPr>
          <w:rFonts w:eastAsia="Calibri" w:cs="Arial"/>
          <w:szCs w:val="18"/>
          <w:lang w:val="cs-CZ"/>
        </w:rPr>
      </w:pPr>
      <w:r w:rsidRPr="003B6E11">
        <w:rPr>
          <w:lang w:val="cs-CZ"/>
        </w:rPr>
        <w:t>e)</w:t>
      </w:r>
      <w:r w:rsidRPr="003B6E11">
        <w:rPr>
          <w:lang w:val="cs-CZ"/>
        </w:rPr>
        <w:tab/>
        <w:t>jsou-li v místnosti, v níž se nacházejí vymezené shromažďovací prostory, pevná sedadla nebo lavice, nemusí se při výpočtu celkové plochy shromažďovacích prostor podle písmene a) brát v úvahu odpovídající počet osob. Počet osob, pro který jsou určena pevná sedadla nebo lavice v určité místnosti, však nesmí překročit počet osob, pro který jsou dimenzovány shromažďovací prostory nacházející se v této místnosti;</w:t>
      </w:r>
    </w:p>
    <w:p w:rsidR="00E82B25" w:rsidRPr="003B6E11" w:rsidRDefault="00E82B25" w:rsidP="00E82B25">
      <w:pPr>
        <w:pStyle w:val="ESlet"/>
        <w:rPr>
          <w:rFonts w:eastAsia="Calibri" w:cs="Arial"/>
          <w:szCs w:val="18"/>
          <w:lang w:val="cs-CZ"/>
        </w:rPr>
      </w:pPr>
      <w:r w:rsidRPr="003B6E11">
        <w:rPr>
          <w:lang w:val="cs-CZ"/>
        </w:rPr>
        <w:t>f)</w:t>
      </w:r>
      <w:r w:rsidRPr="003B6E11">
        <w:rPr>
          <w:lang w:val="cs-CZ"/>
        </w:rPr>
        <w:tab/>
        <w:t>z evakuačních prostor musí být snadno dostupné záchranné prostředky;</w:t>
      </w:r>
    </w:p>
    <w:p w:rsidR="00E82B25" w:rsidRPr="003B6E11" w:rsidRDefault="00E82B25" w:rsidP="00E82B25">
      <w:pPr>
        <w:pStyle w:val="ESlet"/>
        <w:rPr>
          <w:rFonts w:eastAsia="Calibri" w:cs="Arial"/>
          <w:szCs w:val="18"/>
          <w:lang w:val="cs-CZ"/>
        </w:rPr>
      </w:pPr>
      <w:r w:rsidRPr="003B6E11">
        <w:rPr>
          <w:lang w:val="cs-CZ"/>
        </w:rPr>
        <w:t>g)</w:t>
      </w:r>
      <w:r w:rsidRPr="003B6E11">
        <w:rPr>
          <w:lang w:val="cs-CZ"/>
        </w:rPr>
        <w:tab/>
        <w:t>musí být možné bezpečně evakuovat osoby z těchto evakuačních prostor z obou stran plavidla;</w:t>
      </w:r>
    </w:p>
    <w:p w:rsidR="00E82B25" w:rsidRPr="003B6E11" w:rsidRDefault="00E82B25" w:rsidP="00E82B25">
      <w:pPr>
        <w:pStyle w:val="ESlet"/>
        <w:rPr>
          <w:rFonts w:eastAsia="Calibri" w:cs="Arial"/>
          <w:szCs w:val="18"/>
          <w:lang w:val="cs-CZ"/>
        </w:rPr>
      </w:pPr>
      <w:r w:rsidRPr="003B6E11">
        <w:rPr>
          <w:lang w:val="cs-CZ"/>
        </w:rPr>
        <w:t>h)</w:t>
      </w:r>
      <w:r w:rsidRPr="003B6E11">
        <w:rPr>
          <w:lang w:val="cs-CZ"/>
        </w:rPr>
        <w:tab/>
        <w:t>shromažďovací prostory musí ležet nad rovinou zbytkového výtlaku;</w:t>
      </w:r>
    </w:p>
    <w:p w:rsidR="00E82B25" w:rsidRPr="003B6E11" w:rsidRDefault="00E82B25" w:rsidP="00E82B25">
      <w:pPr>
        <w:pStyle w:val="ESlet"/>
        <w:rPr>
          <w:rFonts w:eastAsia="Calibri" w:cs="Arial"/>
          <w:szCs w:val="18"/>
          <w:lang w:val="cs-CZ"/>
        </w:rPr>
      </w:pPr>
      <w:r w:rsidRPr="003B6E11">
        <w:rPr>
          <w:lang w:val="cs-CZ"/>
        </w:rPr>
        <w:t>i)</w:t>
      </w:r>
      <w:r w:rsidRPr="003B6E11">
        <w:rPr>
          <w:lang w:val="cs-CZ"/>
        </w:rPr>
        <w:tab/>
        <w:t>shromažďovací a evakuační prostory musí být jako takové vyznačeny v bezpečnostním plánu a označeny na plavidle;</w:t>
      </w:r>
    </w:p>
    <w:p w:rsidR="00E82B25" w:rsidRPr="003B6E11" w:rsidRDefault="00E82B25" w:rsidP="00E82B25">
      <w:pPr>
        <w:pStyle w:val="ESlet"/>
        <w:rPr>
          <w:rFonts w:eastAsia="Calibri" w:cs="Arial"/>
          <w:szCs w:val="18"/>
          <w:lang w:val="cs-CZ"/>
        </w:rPr>
      </w:pPr>
      <w:r w:rsidRPr="003B6E11">
        <w:rPr>
          <w:lang w:val="cs-CZ"/>
        </w:rPr>
        <w:t>j)</w:t>
      </w:r>
      <w:r w:rsidRPr="003B6E11">
        <w:rPr>
          <w:lang w:val="cs-CZ"/>
        </w:rPr>
        <w:tab/>
        <w:t>písmena d) a e) se vztahují rovněž na volné paluby, na nichž jsou určeny shromažďovací prostory;</w:t>
      </w:r>
    </w:p>
    <w:p w:rsidR="00E82B25" w:rsidRPr="003B6E11" w:rsidRDefault="00E82B25" w:rsidP="00E82B25">
      <w:pPr>
        <w:pStyle w:val="ESlet"/>
        <w:rPr>
          <w:rFonts w:eastAsia="Calibri" w:cs="Arial"/>
          <w:szCs w:val="18"/>
          <w:lang w:val="cs-CZ"/>
        </w:rPr>
      </w:pPr>
      <w:r w:rsidRPr="003B6E11">
        <w:rPr>
          <w:lang w:val="cs-CZ"/>
        </w:rPr>
        <w:t>k)</w:t>
      </w:r>
      <w:r w:rsidRPr="003B6E11">
        <w:rPr>
          <w:lang w:val="cs-CZ"/>
        </w:rPr>
        <w:tab/>
        <w:t>jsou-li na plavidle k dispozici kolektivní záchranné prostředky podle čl. 19.09 odst. 5, lze při výpočtu celkové povrchové plochy shromažďovacích prostor podle písmene a) nebrat v úvahu počet cestujících, pro nějž jsou tyto prostředky k dispozici;</w:t>
      </w:r>
    </w:p>
    <w:p w:rsidR="00E82B25" w:rsidRPr="003B6E11" w:rsidRDefault="00E82B25" w:rsidP="00E82B25">
      <w:pPr>
        <w:pStyle w:val="ESlet"/>
        <w:rPr>
          <w:rFonts w:eastAsia="Calibri" w:cs="Arial"/>
          <w:szCs w:val="18"/>
          <w:lang w:val="cs-CZ"/>
        </w:rPr>
      </w:pPr>
      <w:r w:rsidRPr="003B6E11">
        <w:rPr>
          <w:lang w:val="cs-CZ"/>
        </w:rPr>
        <w:t>l)</w:t>
      </w:r>
      <w:r w:rsidRPr="003B6E11">
        <w:rPr>
          <w:lang w:val="cs-CZ"/>
        </w:rPr>
        <w:tab/>
        <w:t>ve všech případech, kdy se uplatňují snížení podle písmen e), j) a k), musí být celková plocha podle písmene a) dostačující pro nejméně 50 % nejvyššího přípustného počtu cestujících.</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9.</w:t>
      </w:r>
      <w:r w:rsidRPr="003B6E11">
        <w:rPr>
          <w:lang w:val="cs-CZ"/>
        </w:rPr>
        <w:tab/>
        <w:t>Schody a schodišťová odpočívadla v prostorech pro cestující musí splňovat tyto požadavky:</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musí být zkonstruovány v souladu s evropskou normou EN 13056:2000;</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musí mít světlou šířku nejméně 0,80 m nebo, vedou-li ke spojovacím chodbám nebo prostorům užívaným více než 80 cestujícími, nejméně 0,01 m na každého cestujícího;</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musí mít světlou šířku nejméně 1,00 m, zajišťují-li jediný přístup do prostoru určeného pro cestující;</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musí ležet v bezpečném prostoru, pokud na každé straně plavidla není ve stejné místnosti alespoň jedno schodiště;</w:t>
      </w:r>
    </w:p>
    <w:p w:rsidR="00E82B25" w:rsidRPr="003B6E11" w:rsidRDefault="00E82B25" w:rsidP="00E82B25">
      <w:pPr>
        <w:pStyle w:val="ESlet"/>
        <w:rPr>
          <w:rFonts w:eastAsia="Calibri" w:cs="Arial"/>
          <w:szCs w:val="18"/>
          <w:lang w:val="cs-CZ"/>
        </w:rPr>
      </w:pPr>
      <w:r w:rsidRPr="003B6E11">
        <w:rPr>
          <w:lang w:val="cs-CZ"/>
        </w:rPr>
        <w:t>e)</w:t>
      </w:r>
      <w:r w:rsidRPr="003B6E11">
        <w:rPr>
          <w:lang w:val="cs-CZ"/>
        </w:rPr>
        <w:tab/>
        <w:t>schody určené pro osoby s omezenou pohyblivostí musí kromě toho vyhovovat těmto požadavkům:</w:t>
      </w:r>
    </w:p>
    <w:p w:rsidR="00E82B25" w:rsidRPr="003B6E11" w:rsidRDefault="00E82B25" w:rsidP="00E82B25">
      <w:pPr>
        <w:pStyle w:val="EStiret"/>
        <w:rPr>
          <w:rFonts w:eastAsia="Calibri" w:cs="Arial"/>
          <w:szCs w:val="18"/>
          <w:lang w:val="cs-CZ"/>
        </w:rPr>
      </w:pPr>
      <w:r w:rsidRPr="003B6E11">
        <w:rPr>
          <w:lang w:val="cs-CZ"/>
        </w:rPr>
        <w:t>aa)</w:t>
      </w:r>
      <w:r w:rsidRPr="003B6E11">
        <w:rPr>
          <w:lang w:val="cs-CZ"/>
        </w:rPr>
        <w:tab/>
        <w:t>sklon schodů nesmí překročit 38°;</w:t>
      </w:r>
    </w:p>
    <w:p w:rsidR="00E82B25" w:rsidRPr="003B6E11" w:rsidRDefault="00E82B25" w:rsidP="00E82B25">
      <w:pPr>
        <w:pStyle w:val="EStiret"/>
        <w:rPr>
          <w:rFonts w:eastAsia="Calibri" w:cs="Arial"/>
          <w:szCs w:val="18"/>
          <w:lang w:val="cs-CZ"/>
        </w:rPr>
      </w:pPr>
      <w:r w:rsidRPr="003B6E11">
        <w:rPr>
          <w:lang w:val="cs-CZ"/>
        </w:rPr>
        <w:t>bb)</w:t>
      </w:r>
      <w:r w:rsidRPr="003B6E11">
        <w:rPr>
          <w:lang w:val="cs-CZ"/>
        </w:rPr>
        <w:tab/>
        <w:t>schody musí mít světlou šířku nejméně 0,90 m;</w:t>
      </w:r>
    </w:p>
    <w:p w:rsidR="00E82B25" w:rsidRPr="003B6E11" w:rsidRDefault="00E82B25" w:rsidP="00E82B25">
      <w:pPr>
        <w:pStyle w:val="EStiret"/>
        <w:rPr>
          <w:rFonts w:eastAsia="Calibri"/>
          <w:lang w:val="cs-CZ"/>
        </w:rPr>
      </w:pPr>
      <w:r w:rsidRPr="003B6E11">
        <w:rPr>
          <w:lang w:val="cs-CZ"/>
        </w:rPr>
        <w:br w:type="page"/>
      </w:r>
    </w:p>
    <w:p w:rsidR="00E82B25" w:rsidRPr="003B6E11" w:rsidRDefault="00E82B25" w:rsidP="00E82B25">
      <w:pPr>
        <w:pStyle w:val="EStiret"/>
        <w:rPr>
          <w:rFonts w:eastAsia="Calibri" w:cs="Arial"/>
          <w:szCs w:val="18"/>
          <w:lang w:val="cs-CZ"/>
        </w:rPr>
      </w:pPr>
      <w:r w:rsidRPr="003B6E11">
        <w:rPr>
          <w:lang w:val="cs-CZ"/>
        </w:rPr>
        <w:t>cc)</w:t>
      </w:r>
      <w:r w:rsidRPr="003B6E11">
        <w:rPr>
          <w:lang w:val="cs-CZ"/>
        </w:rPr>
        <w:tab/>
        <w:t>točitá schodiště nejsou přípustná;</w:t>
      </w:r>
    </w:p>
    <w:p w:rsidR="00E82B25" w:rsidRPr="003B6E11" w:rsidRDefault="00E82B25" w:rsidP="00E82B25">
      <w:pPr>
        <w:pStyle w:val="EStiret"/>
        <w:rPr>
          <w:rFonts w:eastAsia="Calibri" w:cs="Arial"/>
          <w:szCs w:val="18"/>
          <w:lang w:val="cs-CZ"/>
        </w:rPr>
      </w:pPr>
      <w:r w:rsidRPr="003B6E11">
        <w:rPr>
          <w:lang w:val="cs-CZ"/>
        </w:rPr>
        <w:t>dd)</w:t>
      </w:r>
      <w:r w:rsidRPr="003B6E11">
        <w:rPr>
          <w:lang w:val="cs-CZ"/>
        </w:rPr>
        <w:tab/>
        <w:t>schody nesmějí vést v příčném směru k plavidlu;</w:t>
      </w:r>
    </w:p>
    <w:p w:rsidR="00E82B25" w:rsidRPr="003B6E11" w:rsidRDefault="00E82B25" w:rsidP="00E82B25">
      <w:pPr>
        <w:pStyle w:val="EStiret"/>
        <w:rPr>
          <w:rFonts w:eastAsia="Calibri" w:cs="Arial"/>
          <w:szCs w:val="18"/>
          <w:lang w:val="cs-CZ"/>
        </w:rPr>
      </w:pPr>
      <w:r w:rsidRPr="003B6E11">
        <w:rPr>
          <w:lang w:val="cs-CZ"/>
        </w:rPr>
        <w:t>ee)</w:t>
      </w:r>
      <w:r w:rsidRPr="003B6E11">
        <w:rPr>
          <w:lang w:val="cs-CZ"/>
        </w:rPr>
        <w:tab/>
        <w:t>madla musí přibližně o 0,30 m přesahovat začátek a konec schodiště, aniž by omezovala dopravní cesty;</w:t>
      </w:r>
    </w:p>
    <w:p w:rsidR="00E82B25" w:rsidRPr="003B6E11" w:rsidRDefault="00E82B25" w:rsidP="00E82B25">
      <w:pPr>
        <w:pStyle w:val="EStiret"/>
        <w:rPr>
          <w:rFonts w:eastAsia="Calibri" w:cs="Arial"/>
          <w:szCs w:val="18"/>
          <w:lang w:val="cs-CZ"/>
        </w:rPr>
      </w:pPr>
      <w:r w:rsidRPr="003B6E11">
        <w:rPr>
          <w:lang w:val="cs-CZ"/>
        </w:rPr>
        <w:t>ff)</w:t>
      </w:r>
      <w:r w:rsidRPr="003B6E11">
        <w:rPr>
          <w:lang w:val="cs-CZ"/>
        </w:rPr>
        <w:tab/>
        <w:t>madla, přední hrany nejméně prvního a posledního schodu a podlahové krytiny na koncích schodů musí být barevně označeny.</w:t>
      </w:r>
    </w:p>
    <w:p w:rsidR="00E82B25" w:rsidRPr="003B6E11" w:rsidRDefault="00E82B25" w:rsidP="00E82B25">
      <w:pPr>
        <w:pStyle w:val="ESletpar"/>
        <w:rPr>
          <w:rFonts w:eastAsia="Calibri" w:cs="Arial"/>
          <w:szCs w:val="18"/>
          <w:lang w:val="cs-CZ"/>
        </w:rPr>
      </w:pPr>
      <w:r w:rsidRPr="003B6E11">
        <w:rPr>
          <w:lang w:val="cs-CZ"/>
        </w:rPr>
        <w:t>Výtahy určené pro osoby s omezenou pohyblivostí a zdvihací zařízení, např. schodišťové výtahy nebo zdvihací plošiny, musí být zhotoveny podle příslušné normy nebo předpisu členského státu.</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10.</w:t>
      </w:r>
      <w:r w:rsidRPr="003B6E11">
        <w:rPr>
          <w:lang w:val="cs-CZ"/>
        </w:rPr>
        <w:tab/>
        <w:t>Části paluby určené pro cestující, které nejsou uzavřeny, musí splňovat tyto požadavky:</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r>
      <w:r w:rsidRPr="003B6E11">
        <w:rPr>
          <w:rFonts w:ascii="ArialMT" w:hAnsi="ArialMT"/>
          <w:lang w:val="cs-CZ"/>
        </w:rPr>
        <w:t>musí být obklopeny pevnou štítnicí nebo zábradlím s výškou nejméně 1,00 m nebo zábradlím podle evropské normy EN 711:2016, konstrukční typ PF, PG nebo PZ. Štítnice a zábradlí palub určených pro osoby s omezenou pohyblivostí musí být vysoké nejméně 1,10 m</w:t>
      </w:r>
      <w:r w:rsidRPr="003B6E11">
        <w:rPr>
          <w:lang w:val="cs-CZ"/>
        </w:rPr>
        <w:t>;</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otvory a zařízení pro nalodění či vylodění nebo nakládku či vykládku musí být možné zajistit a musí mít světlou šířku nejméně 1,00 m. Otvory, které se obvykle používají k nalodění či vylodění osob s omezenou pohyblivostí, musí mít světlou šířku nejméně 1,50 m;</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nelze-li z kormidelny dohlédnout na otvory a zařízení určené k nalodění či vylodění, musí být poskytnuty optické nebo elektronické pomůcky.</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11.</w:t>
      </w:r>
      <w:r w:rsidRPr="003B6E11">
        <w:rPr>
          <w:lang w:val="cs-CZ"/>
        </w:rPr>
        <w:tab/>
        <w:t>Části plavidel, které nejsou určeny pro cestující, zejména přístup ke kormidelně, k navijákům a ke strojovnám, musí být možné zabezpečit proti vstupu neoprávněných osob. U těchto přístupů musí být na viditelném místě umístěn symbol podle obrázku 1 v příloze 4.</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12.</w:t>
      </w:r>
      <w:r w:rsidRPr="003B6E11">
        <w:rPr>
          <w:lang w:val="cs-CZ"/>
        </w:rPr>
        <w:tab/>
        <w:t>Lodní lávky musí být zhotoveny v souladu s evropskou normou EN 14206:2003. Odchylně od čl. 13.02 odst. 3 písm. d) mohou být kratší než 4 m.</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13.</w:t>
      </w:r>
      <w:r w:rsidRPr="003B6E11">
        <w:rPr>
          <w:lang w:val="cs-CZ"/>
        </w:rPr>
        <w:tab/>
        <w:t>Průchody, které mají používat osoby s omezenou schopností pohybu a orientace, musí mít světlou šířku 1,30 m a musí být prosty prahů a silů vyšších než 0,025 m. Stěny v průchodech, které mají používat osoby s omezenou schopností pohybu a orientace, musí mít madla ve výšce 0,90 m nad podlahou.</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14.</w:t>
      </w:r>
      <w:r w:rsidRPr="003B6E11">
        <w:rPr>
          <w:lang w:val="cs-CZ"/>
        </w:rPr>
        <w:tab/>
        <w:t>Skleněné dveře a stěny v průchodech a rovněž okenní tabule musí být vyrobeny z předpjatého nebo vrstveného skla. Mohou být vyrobeny rovněž ze syntetického materiálu, je-li jeho použití přípustné z hlediska požární bezpečnosti.</w:t>
      </w:r>
    </w:p>
    <w:p w:rsidR="00E82B25" w:rsidRPr="003B6E11" w:rsidRDefault="00E82B25" w:rsidP="00E82B25">
      <w:pPr>
        <w:pStyle w:val="ESch"/>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Průhledné dveře a průhledné stěny v průchodech sahající až k podlaze musí být viditelně označeny.</w:t>
      </w:r>
    </w:p>
    <w:p w:rsidR="00E82B25" w:rsidRPr="003B6E11" w:rsidRDefault="00E82B25" w:rsidP="00E82B25">
      <w:pPr>
        <w:pStyle w:val="ESch"/>
        <w:rPr>
          <w:rFonts w:eastAsia="Calibri" w:cs="Arial"/>
          <w:color w:val="000000"/>
          <w:szCs w:val="20"/>
          <w:lang w:val="cs-CZ"/>
        </w:rPr>
      </w:pPr>
    </w:p>
    <w:p w:rsidR="00E82B25" w:rsidRPr="003B6E11" w:rsidRDefault="00E82B25" w:rsidP="00E82B25">
      <w:pPr>
        <w:pStyle w:val="ESch"/>
        <w:rPr>
          <w:rFonts w:eastAsia="Calibri" w:cs="Arial"/>
          <w:color w:val="000000"/>
          <w:szCs w:val="20"/>
          <w:lang w:val="cs-CZ"/>
        </w:rPr>
      </w:pPr>
      <w:r w:rsidRPr="003B6E11">
        <w:rPr>
          <w:lang w:val="cs-CZ"/>
        </w:rPr>
        <w:br w:type="page"/>
      </w:r>
    </w:p>
    <w:p w:rsidR="00E82B25" w:rsidRPr="003B6E11" w:rsidRDefault="00E82B25" w:rsidP="00E82B25">
      <w:pPr>
        <w:pStyle w:val="ESch"/>
        <w:rPr>
          <w:rFonts w:eastAsia="Calibri" w:cs="Arial"/>
          <w:szCs w:val="18"/>
          <w:lang w:val="cs-CZ"/>
        </w:rPr>
      </w:pPr>
      <w:r w:rsidRPr="003B6E11">
        <w:rPr>
          <w:color w:val="000000"/>
          <w:lang w:val="cs-CZ"/>
        </w:rPr>
        <w:t>15.</w:t>
      </w:r>
      <w:r w:rsidRPr="003B6E11">
        <w:rPr>
          <w:lang w:val="cs-CZ"/>
        </w:rPr>
        <w:tab/>
      </w:r>
      <w:r w:rsidRPr="003B6E11">
        <w:rPr>
          <w:color w:val="000000"/>
          <w:lang w:val="cs-CZ"/>
        </w:rPr>
        <w:t>Nástavby (nebo jejich střechy) skládající se zcela z panoramatických tabulí, přístřešky vytvořené ochrannými plachtami nebo podobná mobilní zařízení a jejich nosné konstrukce smí být navrženy jen takovým způsobem, aby způsob jejich výroby a použité materiály v případě poškození nepředstavovaly nebezpečí poranění osob na palubě.</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16.</w:t>
      </w:r>
      <w:r w:rsidRPr="003B6E11">
        <w:rPr>
          <w:lang w:val="cs-CZ"/>
        </w:rPr>
        <w:tab/>
        <w:t>Systémy pitné vody musí splňovat alespoň požadavky článku 15.05.</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17.</w:t>
      </w:r>
      <w:r w:rsidRPr="003B6E11">
        <w:rPr>
          <w:lang w:val="cs-CZ"/>
        </w:rPr>
        <w:tab/>
        <w:t>Cestujícím musí být k dispozici záchody. Nejméně jeden ze záchodů musí být zařízen tak, aby jej mohly používat osoby s omezenou schopností pohybu a orientace podle příslušné normy nebo předpisu členského státu, a musí být přístupný z prostor určených pro osoby s omezenou schopností pohybu a orientace.</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18.</w:t>
      </w:r>
      <w:r w:rsidRPr="003B6E11">
        <w:rPr>
          <w:lang w:val="cs-CZ"/>
        </w:rPr>
        <w:tab/>
        <w:t>Kajuty bez otevíracího okna musí být napojeny na větrací soustavu.</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19.</w:t>
      </w:r>
      <w:r w:rsidRPr="003B6E11">
        <w:rPr>
          <w:lang w:val="cs-CZ"/>
        </w:rPr>
        <w:tab/>
        <w:t>Prostory, v nichž jsou ubytováni členové posádky nebo lodní personál, musí obdobně splňovat tento článek.</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p>
    <w:p w:rsidR="00E82B25" w:rsidRPr="003B6E11" w:rsidRDefault="00E82B25" w:rsidP="00E82B25">
      <w:pPr>
        <w:pStyle w:val="ES-Titre3"/>
        <w:rPr>
          <w:i/>
          <w:noProof/>
          <w:lang w:val="cs-CZ"/>
        </w:rPr>
      </w:pPr>
      <w:bookmarkStart w:id="358" w:name="_Toc491854176"/>
      <w:bookmarkStart w:id="359" w:name="_Toc535417082"/>
      <w:r w:rsidRPr="003B6E11">
        <w:rPr>
          <w:lang w:val="cs-CZ"/>
        </w:rPr>
        <w:t>Článek 19.07</w:t>
      </w:r>
      <w:r w:rsidRPr="003B6E11">
        <w:rPr>
          <w:lang w:val="cs-CZ"/>
        </w:rPr>
        <w:br/>
      </w:r>
      <w:r w:rsidRPr="003B6E11">
        <w:rPr>
          <w:i/>
          <w:noProof/>
          <w:lang w:val="cs-CZ"/>
        </w:rPr>
        <w:t>Pohonný systém</w:t>
      </w:r>
      <w:bookmarkEnd w:id="358"/>
      <w:bookmarkEnd w:id="359"/>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1.</w:t>
      </w:r>
      <w:r w:rsidRPr="003B6E11">
        <w:rPr>
          <w:lang w:val="cs-CZ"/>
        </w:rPr>
        <w:tab/>
        <w:t>Kromě hlavního pohonného systému musí být lodě vybaveny druhým nezávislým pohonným systémem, aby v případě selhání hlavního pohonného systému mohla loď pokračovat v plavbě vlastním pohonem.</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2.</w:t>
      </w:r>
      <w:r w:rsidRPr="003B6E11">
        <w:rPr>
          <w:lang w:val="cs-CZ"/>
        </w:rPr>
        <w:tab/>
        <w:t>Druhý nezávislý pohonný systém musí být umístěn v samostatné strojovně. Mají-li obě strojovny společné dělící stěny, musí být tyto zhotoveny podle čl. 19.11 odst. 2.</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p>
    <w:p w:rsidR="00E82B25" w:rsidRPr="003B6E11" w:rsidRDefault="00E82B25" w:rsidP="00E82B25">
      <w:pPr>
        <w:pStyle w:val="ES-Titre3"/>
        <w:rPr>
          <w:rFonts w:cs="Arial"/>
          <w:i/>
          <w:szCs w:val="18"/>
          <w:lang w:val="cs-CZ"/>
        </w:rPr>
      </w:pPr>
      <w:bookmarkStart w:id="360" w:name="_Toc491854177"/>
      <w:bookmarkStart w:id="361" w:name="_Toc535417083"/>
      <w:r w:rsidRPr="003B6E11">
        <w:rPr>
          <w:lang w:val="cs-CZ"/>
        </w:rPr>
        <w:t>Článek 19.08</w:t>
      </w:r>
      <w:r w:rsidRPr="003B6E11">
        <w:rPr>
          <w:lang w:val="cs-CZ"/>
        </w:rPr>
        <w:br/>
      </w:r>
      <w:r w:rsidRPr="003B6E11">
        <w:rPr>
          <w:i/>
          <w:noProof/>
          <w:lang w:val="cs-CZ"/>
        </w:rPr>
        <w:t>Bezpečnostní zařízení a vybavení</w:t>
      </w:r>
      <w:bookmarkEnd w:id="360"/>
      <w:bookmarkEnd w:id="361"/>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 xml:space="preserve">1. </w:t>
      </w:r>
      <w:r w:rsidRPr="003B6E11">
        <w:rPr>
          <w:lang w:val="cs-CZ"/>
        </w:rPr>
        <w:tab/>
        <w:t>Všechny osobní lodě musí mít vnitřní komunikační zařízení podle článku 7.08. Toto zařízení musí být k dispozici v provozních prostorech – a pokud není možná přímá komunikace z ovládacího stanoviště – v přístupových a shromažďovacích prostorech pro cestující podle čl. 19.06 odst. 8.</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2.</w:t>
      </w:r>
      <w:r w:rsidRPr="003B6E11">
        <w:rPr>
          <w:lang w:val="cs-CZ"/>
        </w:rPr>
        <w:tab/>
        <w:t>Všechny prostory pro cestující musí být dosažitelné pomocí reproduktorové soustavy. Soustava musí být navržena tak, aby bylo zajištěno, že předávané informace jsou zřetelně odlišitelné od hluku pozadí. Reproduktory nejsou povinné, pokud je možná přímá komunikace mezi kormidelnou a prostorem pro cestující.</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3.</w:t>
      </w:r>
      <w:r w:rsidRPr="003B6E11">
        <w:rPr>
          <w:lang w:val="cs-CZ"/>
        </w:rPr>
        <w:tab/>
        <w:t>Loď musí být vybavena poplašným systémem. Tento zahrnuje:</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poplašný systém, který umožní cestujícím, členům posádky a lodnímu personálu upozornit velení lodi a posádku.</w:t>
      </w:r>
    </w:p>
    <w:p w:rsidR="00E82B25" w:rsidRPr="003B6E11" w:rsidRDefault="00E82B25" w:rsidP="00E82B25">
      <w:pPr>
        <w:pStyle w:val="ESletpar"/>
        <w:rPr>
          <w:rFonts w:eastAsia="Calibri" w:cs="Arial"/>
          <w:szCs w:val="18"/>
          <w:lang w:val="cs-CZ"/>
        </w:rPr>
      </w:pPr>
      <w:r w:rsidRPr="003B6E11">
        <w:rPr>
          <w:lang w:val="cs-CZ"/>
        </w:rPr>
        <w:t>Tento poplašný signál by měl být dáván pouze v prostorech vyhrazených pro velení plavidla a posádku; vypnout poplašný signál může pouze velení lodi. Poplašný signál musí být možné spustit alespoň z těchto míst:</w:t>
      </w:r>
    </w:p>
    <w:p w:rsidR="00E82B25" w:rsidRPr="003B6E11" w:rsidRDefault="00E82B25" w:rsidP="00E82B25">
      <w:pPr>
        <w:pStyle w:val="EStiret"/>
        <w:rPr>
          <w:rFonts w:eastAsia="Calibri" w:cs="Arial"/>
          <w:szCs w:val="18"/>
          <w:lang w:val="cs-CZ"/>
        </w:rPr>
      </w:pPr>
      <w:r w:rsidRPr="003B6E11">
        <w:rPr>
          <w:lang w:val="cs-CZ"/>
        </w:rPr>
        <w:t>aa)</w:t>
      </w:r>
      <w:r w:rsidRPr="003B6E11">
        <w:rPr>
          <w:lang w:val="cs-CZ"/>
        </w:rPr>
        <w:tab/>
        <w:t>v každé kajutě;</w:t>
      </w:r>
    </w:p>
    <w:p w:rsidR="00E82B25" w:rsidRPr="003B6E11" w:rsidRDefault="00E82B25" w:rsidP="00E82B25">
      <w:pPr>
        <w:pStyle w:val="EStiret"/>
        <w:rPr>
          <w:rFonts w:eastAsia="Calibri"/>
          <w:lang w:val="cs-CZ"/>
        </w:rPr>
      </w:pPr>
    </w:p>
    <w:p w:rsidR="00E82B25" w:rsidRPr="003B6E11" w:rsidRDefault="00E82B25" w:rsidP="00E82B25">
      <w:pPr>
        <w:pStyle w:val="EStiret"/>
        <w:rPr>
          <w:rFonts w:eastAsia="Calibri"/>
          <w:lang w:val="cs-CZ"/>
        </w:rPr>
      </w:pPr>
      <w:r w:rsidRPr="003B6E11">
        <w:rPr>
          <w:lang w:val="cs-CZ"/>
        </w:rPr>
        <w:br w:type="page"/>
      </w:r>
    </w:p>
    <w:p w:rsidR="00E82B25" w:rsidRPr="003B6E11" w:rsidRDefault="00E82B25" w:rsidP="00E82B25">
      <w:pPr>
        <w:pStyle w:val="EStiret"/>
        <w:rPr>
          <w:rFonts w:eastAsia="Calibri" w:cs="Arial"/>
          <w:szCs w:val="18"/>
          <w:lang w:val="cs-CZ"/>
        </w:rPr>
      </w:pPr>
      <w:r w:rsidRPr="003B6E11">
        <w:rPr>
          <w:lang w:val="cs-CZ"/>
        </w:rPr>
        <w:t>bb)</w:t>
      </w:r>
      <w:r w:rsidRPr="003B6E11">
        <w:rPr>
          <w:lang w:val="cs-CZ"/>
        </w:rPr>
        <w:tab/>
        <w:t>na chodbách, ve výtazích a na schodištích, přičemž vzdálenost k nejbližšímu spouštěči poplašného signálu nesmí být větší než 10 m a v každém vodotěsném oddělení musí být nejméně jeden spouštěč;</w:t>
      </w:r>
    </w:p>
    <w:p w:rsidR="00E82B25" w:rsidRPr="003B6E11" w:rsidRDefault="00E82B25" w:rsidP="00E82B25">
      <w:pPr>
        <w:pStyle w:val="EStiret"/>
        <w:rPr>
          <w:rFonts w:eastAsia="Calibri" w:cs="Arial"/>
          <w:szCs w:val="18"/>
          <w:lang w:val="cs-CZ"/>
        </w:rPr>
      </w:pPr>
      <w:r w:rsidRPr="003B6E11">
        <w:rPr>
          <w:lang w:val="cs-CZ"/>
        </w:rPr>
        <w:t>cc)</w:t>
      </w:r>
      <w:r w:rsidRPr="003B6E11">
        <w:rPr>
          <w:lang w:val="cs-CZ"/>
        </w:rPr>
        <w:tab/>
        <w:t>ve společenských místnostech, jídelnách a podobných místnostech;</w:t>
      </w:r>
    </w:p>
    <w:p w:rsidR="00E82B25" w:rsidRPr="003B6E11" w:rsidRDefault="00E82B25" w:rsidP="00E82B25">
      <w:pPr>
        <w:pStyle w:val="EStiret"/>
        <w:rPr>
          <w:rFonts w:eastAsia="Calibri" w:cs="Arial"/>
          <w:szCs w:val="18"/>
          <w:lang w:val="cs-CZ"/>
        </w:rPr>
      </w:pPr>
      <w:r w:rsidRPr="003B6E11">
        <w:rPr>
          <w:lang w:val="cs-CZ"/>
        </w:rPr>
        <w:t>dd)</w:t>
      </w:r>
      <w:r w:rsidRPr="003B6E11">
        <w:rPr>
          <w:lang w:val="cs-CZ"/>
        </w:rPr>
        <w:tab/>
        <w:t>na záchodech určených pro osoby s omezenou schopností pohybu a orientace;</w:t>
      </w:r>
    </w:p>
    <w:p w:rsidR="00E82B25" w:rsidRPr="003B6E11" w:rsidRDefault="00E82B25" w:rsidP="00E82B25">
      <w:pPr>
        <w:pStyle w:val="EStiret"/>
        <w:rPr>
          <w:rFonts w:eastAsia="Calibri" w:cs="Arial"/>
          <w:szCs w:val="18"/>
          <w:lang w:val="cs-CZ"/>
        </w:rPr>
      </w:pPr>
      <w:r w:rsidRPr="003B6E11">
        <w:rPr>
          <w:lang w:val="cs-CZ"/>
        </w:rPr>
        <w:t>ee)</w:t>
      </w:r>
      <w:r w:rsidRPr="003B6E11">
        <w:rPr>
          <w:lang w:val="cs-CZ"/>
        </w:rPr>
        <w:tab/>
        <w:t>ve strojovnách, kuchyních a podobných místnostech s nebezpečím požáru;</w:t>
      </w:r>
    </w:p>
    <w:p w:rsidR="00E82B25" w:rsidRPr="003B6E11" w:rsidRDefault="00E82B25" w:rsidP="00E82B25">
      <w:pPr>
        <w:pStyle w:val="EStiret"/>
        <w:rPr>
          <w:rFonts w:eastAsia="Calibri" w:cs="Arial"/>
          <w:szCs w:val="18"/>
          <w:lang w:val="cs-CZ"/>
        </w:rPr>
      </w:pPr>
      <w:r w:rsidRPr="003B6E11">
        <w:rPr>
          <w:lang w:val="cs-CZ"/>
        </w:rPr>
        <w:t>ff)</w:t>
      </w:r>
      <w:r w:rsidRPr="003B6E11">
        <w:rPr>
          <w:lang w:val="cs-CZ"/>
        </w:rPr>
        <w:tab/>
        <w:t>v chladírnách a ostatních skladovacích prostorech.</w:t>
      </w:r>
    </w:p>
    <w:p w:rsidR="00E82B25" w:rsidRPr="003B6E11" w:rsidRDefault="00E82B25" w:rsidP="00E82B25">
      <w:pPr>
        <w:pStyle w:val="ESletpar"/>
        <w:rPr>
          <w:rFonts w:eastAsia="Calibri" w:cs="Arial"/>
          <w:szCs w:val="18"/>
          <w:lang w:val="cs-CZ"/>
        </w:rPr>
      </w:pPr>
      <w:r w:rsidRPr="003B6E11">
        <w:rPr>
          <w:lang w:val="cs-CZ"/>
        </w:rPr>
        <w:t>Spouštěče poplašného signálu musí být namontovány ve výšce 0,85 m až 1,10 m nad úrovní podlahy;</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poplašný systém, který umožňuje velení lodi upozornit cestující.</w:t>
      </w:r>
    </w:p>
    <w:p w:rsidR="00E82B25" w:rsidRPr="003B6E11" w:rsidRDefault="00E82B25" w:rsidP="00E82B25">
      <w:pPr>
        <w:pStyle w:val="ESletpar"/>
        <w:rPr>
          <w:rFonts w:eastAsia="Calibri" w:cs="Arial"/>
          <w:szCs w:val="18"/>
          <w:lang w:val="cs-CZ"/>
        </w:rPr>
      </w:pPr>
      <w:r w:rsidRPr="003B6E11">
        <w:rPr>
          <w:lang w:val="cs-CZ"/>
        </w:rPr>
        <w:t>Tento poplašný systém musí být zřetelně a patrně slyšitelný ve všech prostorech, do nichž mají cestující přístup. Musí být možné spustit ho z kormidelny a z trvale obsazeného stanoviště;</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poplašný systém podle čl. 7.09 odst. 1, který umožňuje velení lodi upozornit posádku a lodní personál.</w:t>
      </w:r>
    </w:p>
    <w:p w:rsidR="00E82B25" w:rsidRPr="003B6E11" w:rsidRDefault="00E82B25" w:rsidP="00E82B25">
      <w:pPr>
        <w:pStyle w:val="ESletpar"/>
        <w:rPr>
          <w:rFonts w:eastAsia="Calibri" w:cs="Arial"/>
          <w:szCs w:val="18"/>
          <w:lang w:val="cs-CZ"/>
        </w:rPr>
      </w:pPr>
      <w:r w:rsidRPr="003B6E11">
        <w:rPr>
          <w:lang w:val="cs-CZ"/>
        </w:rPr>
        <w:t>Tento poplašný systém musí dosáhnout také do společenských místností pro lodní personál, chladíren a ostatních skladovacích prostor.</w:t>
      </w:r>
    </w:p>
    <w:p w:rsidR="00E82B25" w:rsidRPr="003B6E11" w:rsidRDefault="00E82B25" w:rsidP="00E82B25">
      <w:pPr>
        <w:pStyle w:val="ESchpar"/>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Spouštěče poplašného signálu musí být chráněny před neúmyslným použitím.</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4.</w:t>
      </w:r>
      <w:r w:rsidRPr="003B6E11">
        <w:rPr>
          <w:lang w:val="cs-CZ"/>
        </w:rPr>
        <w:tab/>
        <w:t>Každé vodotěsné oddělení musí být vybaveno signálem výše hladiny vody.</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5.</w:t>
      </w:r>
      <w:r w:rsidRPr="003B6E11">
        <w:rPr>
          <w:lang w:val="cs-CZ"/>
        </w:rPr>
        <w:tab/>
        <w:t>Musí existovat dvě drenážní čerpadla.</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6.</w:t>
      </w:r>
      <w:r w:rsidRPr="003B6E11">
        <w:rPr>
          <w:lang w:val="cs-CZ"/>
        </w:rPr>
        <w:tab/>
        <w:t>Musí být k dispozici soustava drenážních čerpadel s trvale instalovaným potrubím.</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7.</w:t>
      </w:r>
      <w:r w:rsidRPr="003B6E11">
        <w:rPr>
          <w:lang w:val="cs-CZ"/>
        </w:rPr>
        <w:tab/>
        <w:t>Dveře chladíren musí být možné otevřít zevnitř, i když jsou uzavřené.</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8.</w:t>
      </w:r>
      <w:r w:rsidRPr="003B6E11">
        <w:rPr>
          <w:lang w:val="cs-CZ"/>
        </w:rPr>
        <w:tab/>
        <w:t>Jsou-li systémy dodávající CO</w:t>
      </w:r>
      <w:r w:rsidRPr="003B6E11">
        <w:rPr>
          <w:vertAlign w:val="subscript"/>
          <w:lang w:val="cs-CZ"/>
        </w:rPr>
        <w:t>2</w:t>
      </w:r>
      <w:r w:rsidRPr="003B6E11">
        <w:rPr>
          <w:lang w:val="cs-CZ"/>
        </w:rPr>
        <w:t xml:space="preserve"> umístěny v prostorech pod palubou, musí být tyto vybaveny automatickou větrací soustavou, která se automaticky zapíná při otevření dveří nebo jícnu do této místnosti. Větrací kanály musí vést dolů až do výše 0,05 m od úrovně podlahy v této místnosti.</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9.</w:t>
      </w:r>
      <w:r w:rsidRPr="003B6E11">
        <w:rPr>
          <w:lang w:val="cs-CZ"/>
        </w:rPr>
        <w:tab/>
        <w:t>Kromě schránky první pomoci podle čl. 13.02 odst. 2 písm. f) musí být v dostatečném počtu k dispozici další schránky první pomoci. Schránky první pomoci a jejich skladování musí splňovat požadavky čl. 13.02 odst. 2 písm. f).</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p>
    <w:p w:rsidR="00E82B25" w:rsidRPr="003B6E11" w:rsidRDefault="00E82B25" w:rsidP="00E82B25">
      <w:pPr>
        <w:pStyle w:val="ES-Titre3"/>
        <w:rPr>
          <w:rFonts w:cs="Arial"/>
          <w:i/>
          <w:szCs w:val="18"/>
          <w:lang w:val="cs-CZ"/>
        </w:rPr>
      </w:pPr>
      <w:bookmarkStart w:id="362" w:name="_Toc491854178"/>
      <w:bookmarkStart w:id="363" w:name="_Toc535417084"/>
      <w:r w:rsidRPr="003B6E11">
        <w:rPr>
          <w:lang w:val="cs-CZ"/>
        </w:rPr>
        <w:t>Článek 19.09</w:t>
      </w:r>
      <w:r w:rsidRPr="003B6E11">
        <w:rPr>
          <w:lang w:val="cs-CZ"/>
        </w:rPr>
        <w:br/>
      </w:r>
      <w:r w:rsidRPr="003B6E11">
        <w:rPr>
          <w:i/>
          <w:noProof/>
          <w:lang w:val="cs-CZ"/>
        </w:rPr>
        <w:t>Záchranné prostředky</w:t>
      </w:r>
      <w:bookmarkEnd w:id="362"/>
      <w:bookmarkEnd w:id="363"/>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w:t>
      </w:r>
      <w:r w:rsidRPr="003B6E11">
        <w:rPr>
          <w:lang w:val="cs-CZ"/>
        </w:rPr>
        <w:tab/>
        <w:t>Kromě záchranných kruhů podle čl. 13.08 odst. 1 musí být všechny části paluby, které jsou určeny pro cestující a nejsou uzavřené, vybaveny vhodnými záchrannými kruhy, a to na obou stranách lodi vždy ve vzdálenosti nejvýše 20 m.  Záchranné kruhy jsou považovány za vyhovující, pokud splňují</w:t>
      </w:r>
    </w:p>
    <w:p w:rsidR="00E82B25" w:rsidRPr="003B6E11" w:rsidRDefault="00E82B25" w:rsidP="00E82B25">
      <w:pPr>
        <w:pStyle w:val="ESlet"/>
        <w:rPr>
          <w:rFonts w:eastAsia="Calibri" w:cs="Arial"/>
          <w:szCs w:val="18"/>
          <w:lang w:val="cs-CZ"/>
        </w:rPr>
      </w:pPr>
      <w:r w:rsidRPr="003B6E11">
        <w:rPr>
          <w:lang w:val="cs-CZ"/>
        </w:rPr>
        <w:t>–</w:t>
      </w:r>
      <w:r w:rsidRPr="003B6E11">
        <w:rPr>
          <w:lang w:val="cs-CZ"/>
        </w:rPr>
        <w:tab/>
        <w:t>evropskou normu EN 14144:2003 nebo</w:t>
      </w:r>
    </w:p>
    <w:p w:rsidR="00E82B25" w:rsidRPr="003B6E11" w:rsidRDefault="00E82B25" w:rsidP="00E82B25">
      <w:pPr>
        <w:pStyle w:val="ESlet"/>
        <w:rPr>
          <w:rFonts w:eastAsia="Calibri"/>
          <w:noProof/>
          <w:lang w:val="cs-CZ"/>
        </w:rPr>
      </w:pPr>
      <w:r w:rsidRPr="003B6E11">
        <w:rPr>
          <w:lang w:val="cs-CZ"/>
        </w:rPr>
        <w:t>–</w:t>
      </w:r>
      <w:r w:rsidRPr="003B6E11">
        <w:rPr>
          <w:lang w:val="cs-CZ"/>
        </w:rPr>
        <w:tab/>
        <w:t>kapitolu III předpis 7.1 Mezinárodní úmluvy o bezpečnosti lidského života na moři (SOLAS 1974) a odstavec 2.1 Mezinárodních předpisů pro záchranné prostředky (LSA).</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noProof/>
          <w:lang w:val="cs-CZ"/>
        </w:rPr>
      </w:pPr>
      <w:r w:rsidRPr="003B6E11">
        <w:rPr>
          <w:lang w:val="cs-CZ"/>
        </w:rPr>
        <w:br w:type="page"/>
      </w:r>
    </w:p>
    <w:p w:rsidR="00E82B25" w:rsidRPr="003B6E11" w:rsidRDefault="00E82B25" w:rsidP="00E82B25">
      <w:pPr>
        <w:pStyle w:val="ESchpar"/>
        <w:rPr>
          <w:rFonts w:eastAsia="Calibri" w:cs="Arial"/>
          <w:szCs w:val="18"/>
          <w:lang w:val="cs-CZ"/>
        </w:rPr>
      </w:pPr>
      <w:r w:rsidRPr="003B6E11">
        <w:rPr>
          <w:lang w:val="cs-CZ"/>
        </w:rPr>
        <w:t>Polovina předepsaných záchranných kruhů musí být vybavena plovoucí šňůrou nejméně 30 m dlouhou o průměru 8 až 11 mm. Druhá polovina předepsaných záchranných kruhů musí být vybavena samočinně se zapínajícím světlem na akumulátor, které ve vodě nezhasne.</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2.</w:t>
      </w:r>
      <w:r w:rsidRPr="003B6E11">
        <w:rPr>
          <w:lang w:val="cs-CZ"/>
        </w:rPr>
        <w:tab/>
        <w:t>Kromě záchranných kruhů podle odstavce 1 musí být k dispozici pro lodní personál osobní záchranné prostředky podle čl. 13.08 odst. 2. Pro lodní personál, který není odpovědný za převzetí funkcí podle bezpečnostního rozpisu, jsou přípustné nenafukovací nebo poloautomatické nafukovací záchranné vesty podle čl. 13.08 odst. 2.</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3.</w:t>
      </w:r>
      <w:r w:rsidRPr="003B6E11">
        <w:rPr>
          <w:lang w:val="cs-CZ"/>
        </w:rPr>
        <w:tab/>
        <w:t>Osobní lodě musí mít vhodné prostředky, které umožní bezpečný přesun osob na mělčinu, na břeh nebo jiné plavidlo.</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4.</w:t>
      </w:r>
      <w:r w:rsidRPr="003B6E11">
        <w:rPr>
          <w:lang w:val="cs-CZ"/>
        </w:rPr>
        <w:tab/>
        <w:t>Kromě záchranných prostředků podle odstavců 1 a 2 musí být pro 100 % nejvyššího přípustného počtu cestujících k dispozici osobní záchranné prostředky podle čl. 13.08 odst. 2. Nenafukovací nebo poloautomatické nafukovací záchranné vesty podle norem uvedených v čl. 13.08 odst. 2 jsou rovněž přípustné.</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r w:rsidRPr="003B6E11">
        <w:rPr>
          <w:lang w:val="cs-CZ"/>
        </w:rPr>
        <w:t>5.</w:t>
      </w:r>
      <w:r w:rsidRPr="003B6E11">
        <w:rPr>
          <w:lang w:val="cs-CZ"/>
        </w:rPr>
        <w:tab/>
        <w:t>Výraz „kolektivní záchranné prostředky“ zahrnuje lodní čluny podle článku 13.07 a záchranné vory.</w:t>
      </w:r>
    </w:p>
    <w:p w:rsidR="00E82B25" w:rsidRPr="003B6E11" w:rsidRDefault="00E82B25" w:rsidP="00E82B25">
      <w:pPr>
        <w:pStyle w:val="ESch"/>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Záchranné vory musí</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mít nápis s uvedením svého účelu a počtu osob, pro nějž jsou schváleny;</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nabízet dostatečný prostor k sezení pro přípustný počet osob;</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mít ve sladkých vodách vztlak nejméně 750 N na osobu;</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být opatřeny lanem připojeným k osobní lodi, aby nemohly uplavat;</w:t>
      </w:r>
    </w:p>
    <w:p w:rsidR="00E82B25" w:rsidRPr="003B6E11" w:rsidRDefault="00E82B25" w:rsidP="00E82B25">
      <w:pPr>
        <w:pStyle w:val="ESlet"/>
        <w:rPr>
          <w:rFonts w:eastAsia="Calibri" w:cs="Arial"/>
          <w:szCs w:val="18"/>
          <w:lang w:val="cs-CZ"/>
        </w:rPr>
      </w:pPr>
      <w:r w:rsidRPr="003B6E11">
        <w:rPr>
          <w:lang w:val="cs-CZ"/>
        </w:rPr>
        <w:t>e)</w:t>
      </w:r>
      <w:r w:rsidRPr="003B6E11">
        <w:rPr>
          <w:lang w:val="cs-CZ"/>
        </w:rPr>
        <w:tab/>
        <w:t>být vyrobeny z vhodného materiálu a být odolné vůči naftě a ropným produktům a teplotám do 50 °C;</w:t>
      </w:r>
    </w:p>
    <w:p w:rsidR="00E82B25" w:rsidRPr="003B6E11" w:rsidRDefault="00E82B25" w:rsidP="00E82B25">
      <w:pPr>
        <w:pStyle w:val="ESlet"/>
        <w:rPr>
          <w:rFonts w:eastAsia="Calibri" w:cs="Arial"/>
          <w:szCs w:val="18"/>
          <w:lang w:val="cs-CZ"/>
        </w:rPr>
      </w:pPr>
      <w:r w:rsidRPr="003B6E11">
        <w:rPr>
          <w:lang w:val="cs-CZ"/>
        </w:rPr>
        <w:t>f)</w:t>
      </w:r>
      <w:r w:rsidRPr="003B6E11">
        <w:rPr>
          <w:lang w:val="cs-CZ"/>
        </w:rPr>
        <w:tab/>
        <w:t>zaujmout a udržovat stabilní sklon a v tomto ohledu být vybaveny vhodnými držáky pro uvedený počet osob;</w:t>
      </w:r>
    </w:p>
    <w:p w:rsidR="00E82B25" w:rsidRPr="003B6E11" w:rsidRDefault="00E82B25" w:rsidP="00E82B25">
      <w:pPr>
        <w:pStyle w:val="ESlet"/>
        <w:rPr>
          <w:rFonts w:eastAsia="Calibri" w:cs="Arial"/>
          <w:szCs w:val="18"/>
          <w:lang w:val="cs-CZ"/>
        </w:rPr>
      </w:pPr>
      <w:r w:rsidRPr="003B6E11">
        <w:rPr>
          <w:lang w:val="cs-CZ"/>
        </w:rPr>
        <w:t>g)</w:t>
      </w:r>
      <w:r w:rsidRPr="003B6E11">
        <w:rPr>
          <w:lang w:val="cs-CZ"/>
        </w:rPr>
        <w:tab/>
        <w:t>mít fluoreskující oranžovou barvu nebo fluoreskující povrchy viditelné ze všech stran o velikosti nejméně 100 cm</w:t>
      </w:r>
      <w:r w:rsidRPr="003B6E11">
        <w:rPr>
          <w:vertAlign w:val="superscript"/>
          <w:lang w:val="cs-CZ"/>
        </w:rPr>
        <w:t>2</w:t>
      </w:r>
      <w:r w:rsidRPr="003B6E11">
        <w:rPr>
          <w:lang w:val="cs-CZ"/>
        </w:rPr>
        <w:t>;</w:t>
      </w:r>
    </w:p>
    <w:p w:rsidR="00E82B25" w:rsidRPr="003B6E11" w:rsidRDefault="00E82B25" w:rsidP="00E82B25">
      <w:pPr>
        <w:pStyle w:val="ESlet"/>
        <w:rPr>
          <w:rFonts w:eastAsia="Calibri" w:cs="Arial"/>
          <w:szCs w:val="18"/>
          <w:lang w:val="cs-CZ"/>
        </w:rPr>
      </w:pPr>
      <w:r w:rsidRPr="003B6E11">
        <w:rPr>
          <w:lang w:val="cs-CZ"/>
        </w:rPr>
        <w:t>h)</w:t>
      </w:r>
      <w:r w:rsidRPr="003B6E11">
        <w:rPr>
          <w:lang w:val="cs-CZ"/>
        </w:rPr>
        <w:tab/>
        <w:t>být takové, aby je z místa, kde jsou uloženy, mohla uvolnit a spustit přes palubu rychle a bezpečně jedna osoba, nebo aby se mohly místa, kde jsou uloženy, volně spouštět na vodu;</w:t>
      </w:r>
    </w:p>
    <w:p w:rsidR="00E82B25" w:rsidRPr="003B6E11" w:rsidRDefault="00E82B25" w:rsidP="00E82B25">
      <w:pPr>
        <w:pStyle w:val="ESlet"/>
        <w:rPr>
          <w:rFonts w:eastAsia="Calibri" w:cs="Arial"/>
          <w:szCs w:val="18"/>
          <w:lang w:val="cs-CZ"/>
        </w:rPr>
      </w:pPr>
      <w:r w:rsidRPr="003B6E11">
        <w:rPr>
          <w:lang w:val="cs-CZ"/>
        </w:rPr>
        <w:t>i)</w:t>
      </w:r>
      <w:r w:rsidRPr="003B6E11">
        <w:rPr>
          <w:lang w:val="cs-CZ"/>
        </w:rPr>
        <w:tab/>
        <w:t>být opatřeny vhodnými prostředky k evakuaci z evakuačních prostor uvedených v čl. 19.06 odst. 8 na záchranné vory, je-li svislá vzdálenost mezi palubou evakuačních prostor a rovinou největšího přípustného ponoru větší než 1 m.</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6.</w:t>
      </w:r>
      <w:r w:rsidRPr="003B6E11">
        <w:rPr>
          <w:lang w:val="cs-CZ"/>
        </w:rPr>
        <w:tab/>
        <w:t>Dodatečnými kolektivními záchrannými prostředky jsou prvky záchranných prostředků, které zajišťují udržení se na vodě pro několik osob nacházejících se ve vodě. Musí</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mít nápis s uvedením svého účelu a počtu osob, pro nějž jsou schváleny;</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mít ve sladkých vodách vztlak nejméně 100 N na osobu;</w:t>
      </w:r>
    </w:p>
    <w:p w:rsidR="00E82B25" w:rsidRPr="003B6E11" w:rsidRDefault="00E82B25" w:rsidP="00E82B25">
      <w:pPr>
        <w:pStyle w:val="ESlet"/>
        <w:rPr>
          <w:rFonts w:eastAsia="Calibri"/>
          <w:noProof/>
          <w:lang w:val="cs-CZ"/>
        </w:rPr>
      </w:pPr>
      <w:r w:rsidRPr="003B6E11">
        <w:rPr>
          <w:lang w:val="cs-CZ"/>
        </w:rPr>
        <w:t>c)</w:t>
      </w:r>
      <w:r w:rsidRPr="003B6E11">
        <w:rPr>
          <w:lang w:val="cs-CZ"/>
        </w:rPr>
        <w:tab/>
        <w:t>být vyrobeny z vhodného materiálu a být odolné vůči naftě a ropným produktům a teplotám do 50 °C;</w:t>
      </w:r>
    </w:p>
    <w:p w:rsidR="00E82B25" w:rsidRPr="003B6E11" w:rsidRDefault="00E82B25" w:rsidP="00E82B25">
      <w:pPr>
        <w:pStyle w:val="ESlet"/>
        <w:rPr>
          <w:rFonts w:eastAsia="Calibri"/>
          <w:noProof/>
          <w:lang w:val="cs-CZ"/>
        </w:rPr>
      </w:pPr>
    </w:p>
    <w:p w:rsidR="00E82B25" w:rsidRPr="003B6E11" w:rsidRDefault="00E82B25" w:rsidP="00E82B25">
      <w:pPr>
        <w:pStyle w:val="ESlet"/>
        <w:rPr>
          <w:rFonts w:eastAsia="Calibri" w:cs="Arial"/>
          <w:szCs w:val="18"/>
          <w:lang w:val="cs-CZ"/>
        </w:rPr>
      </w:pPr>
    </w:p>
    <w:p w:rsidR="00E82B25" w:rsidRPr="003B6E11" w:rsidRDefault="00E82B25" w:rsidP="00E82B25">
      <w:pPr>
        <w:pStyle w:val="ESlet"/>
        <w:rPr>
          <w:rFonts w:eastAsia="Calibri"/>
          <w:noProof/>
          <w:lang w:val="cs-CZ"/>
        </w:rPr>
      </w:pPr>
      <w:r w:rsidRPr="003B6E11">
        <w:rPr>
          <w:lang w:val="cs-CZ"/>
        </w:rPr>
        <w:br w:type="page"/>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zaujmout a udržovat stabilní sklon a v tomto ohledu být vybaveny vhodnými držáky pro uvedený počet osob;</w:t>
      </w:r>
    </w:p>
    <w:p w:rsidR="00E82B25" w:rsidRPr="003B6E11" w:rsidRDefault="00E82B25" w:rsidP="00E82B25">
      <w:pPr>
        <w:pStyle w:val="ESlet"/>
        <w:rPr>
          <w:rFonts w:eastAsia="Calibri" w:cs="Arial"/>
          <w:szCs w:val="18"/>
          <w:lang w:val="cs-CZ"/>
        </w:rPr>
      </w:pPr>
      <w:r w:rsidRPr="003B6E11">
        <w:rPr>
          <w:lang w:val="cs-CZ"/>
        </w:rPr>
        <w:t>e)</w:t>
      </w:r>
      <w:r w:rsidRPr="003B6E11">
        <w:rPr>
          <w:lang w:val="cs-CZ"/>
        </w:rPr>
        <w:tab/>
        <w:t>mít fluoreskující oranžovou barvu nebo fluoreskující povrchy viditelné ze všech stran o velikosti nejméně 100 cm</w:t>
      </w:r>
      <w:r w:rsidRPr="003B6E11">
        <w:rPr>
          <w:vertAlign w:val="superscript"/>
          <w:lang w:val="cs-CZ"/>
        </w:rPr>
        <w:t>2</w:t>
      </w:r>
      <w:r w:rsidRPr="003B6E11">
        <w:rPr>
          <w:lang w:val="cs-CZ"/>
        </w:rPr>
        <w:t>;</w:t>
      </w:r>
    </w:p>
    <w:p w:rsidR="00E82B25" w:rsidRPr="003B6E11" w:rsidRDefault="00E82B25" w:rsidP="00E82B25">
      <w:pPr>
        <w:pStyle w:val="ESlet"/>
        <w:rPr>
          <w:rFonts w:eastAsia="Calibri" w:cs="Arial"/>
          <w:szCs w:val="18"/>
          <w:lang w:val="cs-CZ"/>
        </w:rPr>
      </w:pPr>
      <w:r w:rsidRPr="003B6E11">
        <w:rPr>
          <w:lang w:val="cs-CZ"/>
        </w:rPr>
        <w:t>f)</w:t>
      </w:r>
      <w:r w:rsidRPr="003B6E11">
        <w:rPr>
          <w:lang w:val="cs-CZ"/>
        </w:rPr>
        <w:tab/>
        <w:t>být takové, aby je z místa, kde jsou uloženy, mohla uvolnit a spustit přes palubu rychle a bezpečně jedna osoba, nebo aby se mohly z místa, kde jsou uloženy, volně spouštět na vodu.</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7.</w:t>
      </w:r>
      <w:r w:rsidRPr="003B6E11">
        <w:rPr>
          <w:lang w:val="cs-CZ"/>
        </w:rPr>
        <w:tab/>
        <w:t>Nafukovací kolektivní záchranné prostředky kromě toho musí</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skládat se z nejméně dvou samostatných vzduchových komor;</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nafukovat se automaticky nebo ručním spuštěním při spuštění na vodu;</w:t>
      </w:r>
    </w:p>
    <w:p w:rsidR="00E82B25" w:rsidRPr="003B6E11" w:rsidRDefault="00E82B25" w:rsidP="00E82B25">
      <w:pPr>
        <w:pStyle w:val="ESlet"/>
        <w:rPr>
          <w:rFonts w:eastAsia="Calibri"/>
          <w:noProof/>
          <w:lang w:val="cs-CZ"/>
        </w:rPr>
      </w:pPr>
      <w:r w:rsidRPr="003B6E11">
        <w:rPr>
          <w:lang w:val="cs-CZ"/>
        </w:rPr>
        <w:t>c)</w:t>
      </w:r>
      <w:r w:rsidRPr="003B6E11">
        <w:rPr>
          <w:lang w:val="cs-CZ"/>
        </w:rPr>
        <w:tab/>
        <w:t>zaujmout a udržovat stabilní sklon bez ohledu na zatížení, i když je nafouknuta teprve polovina vzduchových komor.</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8.</w:t>
      </w:r>
      <w:r w:rsidRPr="003B6E11">
        <w:rPr>
          <w:lang w:val="cs-CZ"/>
        </w:rPr>
        <w:tab/>
        <w:t>Záchranné prostředky musí být na plavidle uloženy tak, aby v případě potřeby byly snadno a bezpečně dosažitelné. Zakrytá skladovací místa musí být zřetelně označena.</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9.</w:t>
      </w:r>
      <w:r w:rsidRPr="003B6E11">
        <w:rPr>
          <w:lang w:val="cs-CZ"/>
        </w:rPr>
        <w:tab/>
        <w:t>Záchranné prostředky je nutno zkontrolovat podle pokynů výrobce.</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10.</w:t>
      </w:r>
      <w:r w:rsidRPr="003B6E11">
        <w:rPr>
          <w:lang w:val="cs-CZ"/>
        </w:rPr>
        <w:tab/>
        <w:t>Lodní člun musí být vybaven motorem a světlometem.</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11.</w:t>
      </w:r>
      <w:r w:rsidRPr="003B6E11">
        <w:rPr>
          <w:lang w:val="cs-CZ"/>
        </w:rPr>
        <w:tab/>
        <w:t>Musí být k dispozici vhodná nosítka.</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p>
    <w:p w:rsidR="00E82B25" w:rsidRPr="003B6E11" w:rsidRDefault="00E82B25" w:rsidP="00E82B25">
      <w:pPr>
        <w:pStyle w:val="ES-Titre3"/>
        <w:rPr>
          <w:rFonts w:cs="Arial"/>
          <w:i/>
          <w:szCs w:val="18"/>
          <w:lang w:val="cs-CZ"/>
        </w:rPr>
      </w:pPr>
      <w:bookmarkStart w:id="364" w:name="_Toc491854179"/>
      <w:bookmarkStart w:id="365" w:name="_Toc535417085"/>
      <w:r w:rsidRPr="003B6E11">
        <w:rPr>
          <w:lang w:val="cs-CZ"/>
        </w:rPr>
        <w:t>Článek 19.10</w:t>
      </w:r>
      <w:r w:rsidRPr="003B6E11">
        <w:rPr>
          <w:lang w:val="cs-CZ"/>
        </w:rPr>
        <w:br/>
      </w:r>
      <w:r w:rsidRPr="003B6E11">
        <w:rPr>
          <w:i/>
          <w:noProof/>
          <w:lang w:val="cs-CZ"/>
        </w:rPr>
        <w:t>Elektrická zařízení</w:t>
      </w:r>
      <w:bookmarkEnd w:id="364"/>
      <w:bookmarkEnd w:id="365"/>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w:t>
      </w:r>
      <w:r w:rsidRPr="003B6E11">
        <w:rPr>
          <w:lang w:val="cs-CZ"/>
        </w:rPr>
        <w:tab/>
        <w:t>K osvětlení je povoleno pouze elektrické zařízení.</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2.</w:t>
      </w:r>
      <w:r w:rsidRPr="003B6E11">
        <w:rPr>
          <w:lang w:val="cs-CZ"/>
        </w:rPr>
        <w:tab/>
        <w:t>Čl. 10.16 odst. 3 se navíc vztahuje také na místnosti pro cestující.</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3.</w:t>
      </w:r>
      <w:r w:rsidRPr="003B6E11">
        <w:rPr>
          <w:lang w:val="cs-CZ"/>
        </w:rPr>
        <w:tab/>
        <w:t>Pro níže uvedené prostory a místa musí být zajištěno přiměřené osvětlení a nouzové osvětlení:</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místa, na nichž jsou uskladněny záchranné prostředky, a místa, kde jsou tyto prostředky obvykle připraveny k použití;</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únikové cesty, vstupy pro cestující, včetně přechodových lávek, vchodů a východů, spojovacích chodeb, výtahů a schodů v obytných prostorech, v oblasti kajut a obytných prostorů;</w:t>
      </w:r>
    </w:p>
    <w:p w:rsidR="00E82B25" w:rsidRPr="003B6E11" w:rsidRDefault="00E82B25" w:rsidP="00E82B25">
      <w:pPr>
        <w:pStyle w:val="ESlet"/>
        <w:rPr>
          <w:rFonts w:eastAsia="Calibri"/>
          <w:noProof/>
          <w:lang w:val="cs-CZ"/>
        </w:rPr>
      </w:pPr>
      <w:r w:rsidRPr="003B6E11">
        <w:rPr>
          <w:lang w:val="cs-CZ"/>
        </w:rPr>
        <w:t>c)</w:t>
      </w:r>
      <w:r w:rsidRPr="003B6E11">
        <w:rPr>
          <w:lang w:val="cs-CZ"/>
        </w:rPr>
        <w:tab/>
        <w:t>označení únikových cest a nouzových východů;</w:t>
      </w:r>
    </w:p>
    <w:p w:rsidR="00E82B25" w:rsidRPr="003B6E11" w:rsidRDefault="00E82B25" w:rsidP="00E82B25">
      <w:pPr>
        <w:pStyle w:val="ESlet"/>
        <w:rPr>
          <w:rFonts w:eastAsia="Calibri"/>
          <w:noProof/>
          <w:lang w:val="cs-CZ"/>
        </w:rPr>
      </w:pPr>
      <w:r w:rsidRPr="003B6E11">
        <w:rPr>
          <w:lang w:val="cs-CZ"/>
        </w:rPr>
        <w:t>d)</w:t>
      </w:r>
      <w:r w:rsidRPr="003B6E11">
        <w:rPr>
          <w:lang w:val="cs-CZ"/>
        </w:rPr>
        <w:tab/>
        <w:t>v ostatních prostorech určených pro osoby s omezenou schopností pohybu a orientace;</w:t>
      </w:r>
    </w:p>
    <w:p w:rsidR="00E82B25" w:rsidRPr="003B6E11" w:rsidRDefault="00E82B25" w:rsidP="00E82B25">
      <w:pPr>
        <w:pStyle w:val="ESlet"/>
        <w:rPr>
          <w:rFonts w:eastAsia="Calibri"/>
          <w:noProof/>
          <w:lang w:val="cs-CZ"/>
        </w:rPr>
      </w:pPr>
      <w:r w:rsidRPr="003B6E11">
        <w:rPr>
          <w:lang w:val="cs-CZ"/>
        </w:rPr>
        <w:t>e)</w:t>
      </w:r>
      <w:r w:rsidRPr="003B6E11">
        <w:rPr>
          <w:lang w:val="cs-CZ"/>
        </w:rPr>
        <w:tab/>
        <w:t>provozní místnosti, strojovny, místnosti s kormidelním strojem a jejich východy;</w:t>
      </w:r>
    </w:p>
    <w:p w:rsidR="00E82B25" w:rsidRPr="003B6E11" w:rsidRDefault="00E82B25" w:rsidP="00E82B25">
      <w:pPr>
        <w:pStyle w:val="ESlet"/>
        <w:rPr>
          <w:rFonts w:eastAsia="Calibri"/>
          <w:noProof/>
          <w:lang w:val="cs-CZ"/>
        </w:rPr>
      </w:pPr>
      <w:r w:rsidRPr="003B6E11">
        <w:rPr>
          <w:lang w:val="cs-CZ"/>
        </w:rPr>
        <w:t>f)</w:t>
      </w:r>
      <w:r w:rsidRPr="003B6E11">
        <w:rPr>
          <w:lang w:val="cs-CZ"/>
        </w:rPr>
        <w:tab/>
        <w:t>kormidelna;</w:t>
      </w:r>
    </w:p>
    <w:p w:rsidR="00E82B25" w:rsidRPr="003B6E11" w:rsidRDefault="00E82B25" w:rsidP="00E82B25">
      <w:pPr>
        <w:pStyle w:val="ESlet"/>
        <w:rPr>
          <w:rFonts w:eastAsia="Calibri"/>
          <w:noProof/>
          <w:lang w:val="cs-CZ"/>
        </w:rPr>
      </w:pPr>
      <w:r w:rsidRPr="003B6E11">
        <w:rPr>
          <w:lang w:val="cs-CZ"/>
        </w:rPr>
        <w:t>g)</w:t>
      </w:r>
      <w:r w:rsidRPr="003B6E11">
        <w:rPr>
          <w:lang w:val="cs-CZ"/>
        </w:rPr>
        <w:tab/>
        <w:t>místnost s nouzovým zdrojem elektrické energie;</w:t>
      </w:r>
    </w:p>
    <w:p w:rsidR="00E82B25" w:rsidRPr="003B6E11" w:rsidRDefault="00E82B25" w:rsidP="00E82B25">
      <w:pPr>
        <w:pStyle w:val="ESlet"/>
        <w:rPr>
          <w:rFonts w:eastAsia="Calibri"/>
          <w:noProof/>
          <w:lang w:val="cs-CZ"/>
        </w:rPr>
      </w:pPr>
      <w:r w:rsidRPr="003B6E11">
        <w:rPr>
          <w:lang w:val="cs-CZ"/>
        </w:rPr>
        <w:t>h)</w:t>
      </w:r>
      <w:r w:rsidRPr="003B6E11">
        <w:rPr>
          <w:lang w:val="cs-CZ"/>
        </w:rPr>
        <w:tab/>
        <w:t>místa, na nichž se nacházejí hasicí přístroje, a místa, z nichž se ovládají požární soustavy;</w:t>
      </w:r>
    </w:p>
    <w:p w:rsidR="00E82B25" w:rsidRPr="003B6E11" w:rsidRDefault="00E82B25" w:rsidP="00E82B25">
      <w:pPr>
        <w:pStyle w:val="ESlet"/>
        <w:rPr>
          <w:rFonts w:eastAsia="Calibri"/>
          <w:noProof/>
          <w:lang w:val="cs-CZ"/>
        </w:rPr>
      </w:pPr>
      <w:r w:rsidRPr="003B6E11">
        <w:rPr>
          <w:lang w:val="cs-CZ"/>
        </w:rPr>
        <w:t>i)</w:t>
      </w:r>
      <w:r w:rsidRPr="003B6E11">
        <w:rPr>
          <w:lang w:val="cs-CZ"/>
        </w:rPr>
        <w:tab/>
        <w:t>prostory, v nichž se shromažďují cestující, lodní personál a posádka v případě nebezpečí.</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br w:type="page"/>
      </w:r>
    </w:p>
    <w:p w:rsidR="00E82B25" w:rsidRPr="003B6E11" w:rsidRDefault="00E82B25" w:rsidP="00E82B25">
      <w:pPr>
        <w:pStyle w:val="ESch"/>
        <w:rPr>
          <w:rFonts w:eastAsia="Calibri"/>
          <w:noProof/>
          <w:lang w:val="cs-CZ"/>
        </w:rPr>
      </w:pPr>
      <w:r w:rsidRPr="003B6E11">
        <w:rPr>
          <w:lang w:val="cs-CZ"/>
        </w:rPr>
        <w:t>4.</w:t>
      </w:r>
      <w:r w:rsidRPr="003B6E11">
        <w:rPr>
          <w:lang w:val="cs-CZ"/>
        </w:rPr>
        <w:tab/>
        <w:t>Musí existovat nouzový generátor elektrické energie skládající se z nouzového zdroje energie a nouzového rozvaděče, který v případě výpadku napájení níže uvedených elektrických zařízení může neprodleně převzít jejich náhradní napájení, nemá-li zařízení vlastní zdroj energie:</w:t>
      </w:r>
    </w:p>
    <w:p w:rsidR="00E82B25" w:rsidRPr="003B6E11" w:rsidRDefault="00E82B25" w:rsidP="00E82B25">
      <w:pPr>
        <w:pStyle w:val="ESlet"/>
        <w:rPr>
          <w:rFonts w:eastAsia="Calibri"/>
          <w:noProof/>
          <w:lang w:val="cs-CZ"/>
        </w:rPr>
      </w:pPr>
      <w:r w:rsidRPr="003B6E11">
        <w:rPr>
          <w:lang w:val="cs-CZ"/>
        </w:rPr>
        <w:t>a)</w:t>
      </w:r>
      <w:r w:rsidRPr="003B6E11">
        <w:rPr>
          <w:lang w:val="cs-CZ"/>
        </w:rPr>
        <w:tab/>
        <w:t>navigační světla;</w:t>
      </w:r>
    </w:p>
    <w:p w:rsidR="00E82B25" w:rsidRPr="003B6E11" w:rsidRDefault="00E82B25" w:rsidP="00E82B25">
      <w:pPr>
        <w:pStyle w:val="ESlet"/>
        <w:rPr>
          <w:rFonts w:eastAsia="Calibri"/>
          <w:noProof/>
          <w:lang w:val="cs-CZ"/>
        </w:rPr>
      </w:pPr>
      <w:r w:rsidRPr="003B6E11">
        <w:rPr>
          <w:lang w:val="cs-CZ"/>
        </w:rPr>
        <w:t>b)</w:t>
      </w:r>
      <w:r w:rsidRPr="003B6E11">
        <w:rPr>
          <w:lang w:val="cs-CZ"/>
        </w:rPr>
        <w:tab/>
        <w:t>akustické výstražné systémy;</w:t>
      </w:r>
    </w:p>
    <w:p w:rsidR="00E82B25" w:rsidRPr="003B6E11" w:rsidRDefault="00E82B25" w:rsidP="00E82B25">
      <w:pPr>
        <w:pStyle w:val="ESlet"/>
        <w:rPr>
          <w:rFonts w:eastAsia="Calibri"/>
          <w:noProof/>
          <w:lang w:val="cs-CZ"/>
        </w:rPr>
      </w:pPr>
      <w:r w:rsidRPr="003B6E11">
        <w:rPr>
          <w:lang w:val="cs-CZ"/>
        </w:rPr>
        <w:t>c)</w:t>
      </w:r>
      <w:r w:rsidRPr="003B6E11">
        <w:rPr>
          <w:lang w:val="cs-CZ"/>
        </w:rPr>
        <w:tab/>
        <w:t>nouzové osvětlení podle odstavce 3;</w:t>
      </w:r>
    </w:p>
    <w:p w:rsidR="00E82B25" w:rsidRPr="003B6E11" w:rsidRDefault="00E82B25" w:rsidP="00E82B25">
      <w:pPr>
        <w:pStyle w:val="ESlet"/>
        <w:rPr>
          <w:rFonts w:eastAsia="Calibri"/>
          <w:noProof/>
          <w:lang w:val="cs-CZ"/>
        </w:rPr>
      </w:pPr>
      <w:r w:rsidRPr="003B6E11">
        <w:rPr>
          <w:lang w:val="cs-CZ"/>
        </w:rPr>
        <w:t>d)</w:t>
      </w:r>
      <w:r w:rsidRPr="003B6E11">
        <w:rPr>
          <w:lang w:val="cs-CZ"/>
        </w:rPr>
        <w:tab/>
        <w:t>radiotelefonní systém;</w:t>
      </w:r>
    </w:p>
    <w:p w:rsidR="00E82B25" w:rsidRPr="003B6E11" w:rsidRDefault="00E82B25" w:rsidP="00E82B25">
      <w:pPr>
        <w:pStyle w:val="ESlet"/>
        <w:rPr>
          <w:rFonts w:eastAsia="Calibri"/>
          <w:noProof/>
          <w:lang w:val="cs-CZ"/>
        </w:rPr>
      </w:pPr>
      <w:r w:rsidRPr="003B6E11">
        <w:rPr>
          <w:lang w:val="cs-CZ"/>
        </w:rPr>
        <w:t>e)</w:t>
      </w:r>
      <w:r w:rsidRPr="003B6E11">
        <w:rPr>
          <w:lang w:val="cs-CZ"/>
        </w:rPr>
        <w:tab/>
        <w:t>poplašné systémy, reproduktorové soustavy a palubní komunikační systémy;</w:t>
      </w:r>
    </w:p>
    <w:p w:rsidR="00E82B25" w:rsidRPr="003B6E11" w:rsidRDefault="00E82B25" w:rsidP="00E82B25">
      <w:pPr>
        <w:pStyle w:val="ESlet"/>
        <w:rPr>
          <w:rFonts w:eastAsia="Calibri"/>
          <w:noProof/>
          <w:lang w:val="cs-CZ"/>
        </w:rPr>
      </w:pPr>
      <w:r w:rsidRPr="003B6E11">
        <w:rPr>
          <w:lang w:val="cs-CZ"/>
        </w:rPr>
        <w:t>f)</w:t>
      </w:r>
      <w:r w:rsidRPr="003B6E11">
        <w:rPr>
          <w:lang w:val="cs-CZ"/>
        </w:rPr>
        <w:tab/>
        <w:t>světlomety podle čl. 13.02 odst. 2 písm. i);</w:t>
      </w:r>
    </w:p>
    <w:p w:rsidR="00E82B25" w:rsidRPr="003B6E11" w:rsidRDefault="00E82B25" w:rsidP="00E82B25">
      <w:pPr>
        <w:pStyle w:val="ESlet"/>
        <w:rPr>
          <w:rFonts w:eastAsia="Calibri"/>
          <w:noProof/>
          <w:lang w:val="cs-CZ"/>
        </w:rPr>
      </w:pPr>
      <w:r w:rsidRPr="003B6E11">
        <w:rPr>
          <w:lang w:val="cs-CZ"/>
        </w:rPr>
        <w:t>g)</w:t>
      </w:r>
      <w:r w:rsidRPr="003B6E11">
        <w:rPr>
          <w:lang w:val="cs-CZ"/>
        </w:rPr>
        <w:tab/>
        <w:t>požární poplašný systém;</w:t>
      </w:r>
    </w:p>
    <w:p w:rsidR="00E82B25" w:rsidRPr="003B6E11" w:rsidRDefault="00E82B25" w:rsidP="00E82B25">
      <w:pPr>
        <w:pStyle w:val="ESlet"/>
        <w:rPr>
          <w:rFonts w:eastAsia="Calibri"/>
          <w:noProof/>
          <w:lang w:val="cs-CZ"/>
        </w:rPr>
      </w:pPr>
      <w:r w:rsidRPr="003B6E11">
        <w:rPr>
          <w:lang w:val="cs-CZ"/>
        </w:rPr>
        <w:t>h)</w:t>
      </w:r>
      <w:r w:rsidRPr="003B6E11">
        <w:rPr>
          <w:lang w:val="cs-CZ"/>
        </w:rPr>
        <w:tab/>
        <w:t>ostatní bezpečnostní zařízení, např. automatické postřikovací systémy s tlakovou vodou nebo požární čerpadla;</w:t>
      </w:r>
    </w:p>
    <w:p w:rsidR="00E82B25" w:rsidRPr="003B6E11" w:rsidRDefault="00E82B25" w:rsidP="00E82B25">
      <w:pPr>
        <w:pStyle w:val="ESlet"/>
        <w:rPr>
          <w:rFonts w:eastAsia="Calibri"/>
          <w:noProof/>
          <w:lang w:val="cs-CZ"/>
        </w:rPr>
      </w:pPr>
      <w:r w:rsidRPr="003B6E11">
        <w:rPr>
          <w:lang w:val="cs-CZ"/>
        </w:rPr>
        <w:t>i)</w:t>
      </w:r>
      <w:r w:rsidRPr="003B6E11">
        <w:rPr>
          <w:lang w:val="cs-CZ"/>
        </w:rPr>
        <w:tab/>
        <w:t>výtahy a zdvihací zařízení podle čl. 19.06 odst. 9 druhé věty.</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5.</w:t>
      </w:r>
      <w:r w:rsidRPr="003B6E11">
        <w:rPr>
          <w:lang w:val="cs-CZ"/>
        </w:rPr>
        <w:tab/>
        <w:t>Svítidla nouzového osvětlení musí být označena jako taková.</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6.</w:t>
      </w:r>
      <w:r w:rsidRPr="003B6E11">
        <w:rPr>
          <w:lang w:val="cs-CZ"/>
        </w:rPr>
        <w:tab/>
        <w:t>Nouzový generátor elektrické energie musí být umístěn mimo hlavní strojovnu, mimo prostory, v nichž jsou umístěny zdroje energie podle čl. 10.02 odst. 1 a mimo místnost, v níž se nachází hlavní rozvaděč; od těchto místností musí být oddělen dělicími stěnami podle čl. 19.11 odst. 2.</w:t>
      </w:r>
    </w:p>
    <w:p w:rsidR="00E82B25" w:rsidRPr="003B6E11" w:rsidRDefault="00E82B25" w:rsidP="00E82B25">
      <w:pPr>
        <w:pStyle w:val="ESch"/>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Kabely, jimiž jsou napájena elektrická zařízení v případě nouze, musí být uloženy a vedeny tak, aby v případě požáru nebo zaplavení bylo zachováno nepřetržité napájení těchto zařízení. Tyto kabely nesmí být nikdy vedeny přes hlavní strojovnu, kuchyně nebo místnosti, v nichž je instalován hlavní zdroj elektrické energie a příslušné zařízení, není-li nutné v těchto prostorech zajistit nouzová zařízení.</w:t>
      </w:r>
    </w:p>
    <w:p w:rsidR="00E82B25" w:rsidRPr="003B6E11" w:rsidRDefault="00E82B25" w:rsidP="00E82B25">
      <w:pPr>
        <w:pStyle w:val="ESchpar"/>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Nouzový generátor elektrické energie musí být umístěn buď nad rovinou maximálního ponoru při zbytkovém výtlaku, nebo co nejdále od zdrojů energie podle čl. 10.02 odst. 1, aby bylo zajištěno, že v případě zaplavení podle čl. 19.03 odst. 9 nebude zaplaven současně s těmito zdroji energie.</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7.</w:t>
      </w:r>
      <w:r w:rsidRPr="003B6E11">
        <w:rPr>
          <w:lang w:val="cs-CZ"/>
        </w:rPr>
        <w:tab/>
        <w:t>Jako nouzový zdroj energie jsou přípustné:</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pomocné agregáty s vlastním nezávislým přívodem paliva a nezávislým chladicím systémem, které se v případě výpadku proudu zapnou a převezmou napájení proudem do 30 sekund automaticky nebo, nacházejí-li se v bezprostřední blízkosti kormidelny nebo jiného stanoviště trvale obsazeného členy posádky, mohou být zapínány ručně, nebo</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akumulátory, které se v případě výpadku proudu zapínají automaticky nebo, nacházejí-li se v bezprostřední blízkosti kormidelny nebo jiného stanoviště trvale obsazeného členy posádky, mohou být zapínány ručně. Musí zajistit napájení výše uvedených elektrických spotřebičů po předepsanou dobu bez dobití a bez nepřípustného poklesu napětí.</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br w:type="page"/>
      </w:r>
    </w:p>
    <w:p w:rsidR="00E82B25" w:rsidRPr="003B6E11" w:rsidRDefault="00E82B25" w:rsidP="00E82B25">
      <w:pPr>
        <w:pStyle w:val="ESch"/>
        <w:rPr>
          <w:rFonts w:eastAsia="Calibri" w:cs="Arial"/>
          <w:szCs w:val="18"/>
          <w:lang w:val="cs-CZ"/>
        </w:rPr>
      </w:pPr>
      <w:r w:rsidRPr="003B6E11">
        <w:rPr>
          <w:lang w:val="cs-CZ"/>
        </w:rPr>
        <w:t>8.</w:t>
      </w:r>
      <w:r w:rsidRPr="003B6E11">
        <w:rPr>
          <w:lang w:val="cs-CZ"/>
        </w:rPr>
        <w:tab/>
        <w:t>Plánovanou provozní dobu nouzového napájení je nutno určit podle stanoveného účelu osobní lodi. Nesmí být kratší než 30 minut.</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9.</w:t>
      </w:r>
      <w:r w:rsidRPr="003B6E11">
        <w:rPr>
          <w:lang w:val="cs-CZ"/>
        </w:rPr>
        <w:tab/>
        <w:t>Izolační odpory a uzemnění elektrických systémů je nutno zkontrolovat při pravidelných prohlídkách.</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10.</w:t>
      </w:r>
      <w:r w:rsidRPr="003B6E11">
        <w:rPr>
          <w:lang w:val="cs-CZ"/>
        </w:rPr>
        <w:tab/>
        <w:t>Zdroje energie podle čl. 10.02 odst. 1 musí být navzájem nezávislé.</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11.</w:t>
      </w:r>
      <w:r w:rsidRPr="003B6E11">
        <w:rPr>
          <w:lang w:val="cs-CZ"/>
        </w:rPr>
        <w:tab/>
        <w:t>Porucha hlavního nebo nouzového generátoru elektrické energie nesmí vzájemně ovlivňovat provozní bezpečnost zařízení.</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p>
    <w:p w:rsidR="00E82B25" w:rsidRPr="003B6E11" w:rsidRDefault="00E82B25" w:rsidP="00E82B25">
      <w:pPr>
        <w:pStyle w:val="ES-Titre3"/>
        <w:rPr>
          <w:rFonts w:cs="Arial"/>
          <w:i/>
          <w:szCs w:val="18"/>
          <w:lang w:val="cs-CZ"/>
        </w:rPr>
      </w:pPr>
      <w:bookmarkStart w:id="366" w:name="_Toc491854180"/>
      <w:bookmarkStart w:id="367" w:name="_Toc535417086"/>
      <w:r w:rsidRPr="003B6E11">
        <w:rPr>
          <w:lang w:val="cs-CZ"/>
        </w:rPr>
        <w:t>Článek 19.11</w:t>
      </w:r>
      <w:r w:rsidRPr="003B6E11">
        <w:rPr>
          <w:lang w:val="cs-CZ"/>
        </w:rPr>
        <w:br/>
      </w:r>
      <w:r w:rsidRPr="003B6E11">
        <w:rPr>
          <w:i/>
          <w:noProof/>
          <w:lang w:val="cs-CZ"/>
        </w:rPr>
        <w:t>Požární ochrana</w:t>
      </w:r>
      <w:bookmarkEnd w:id="366"/>
      <w:bookmarkEnd w:id="367"/>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w:t>
      </w:r>
      <w:r w:rsidRPr="003B6E11">
        <w:rPr>
          <w:lang w:val="cs-CZ"/>
        </w:rPr>
        <w:tab/>
        <w:t>Vhodnost materiálů a konstrukčních prvků pro požární ochranu musí zjistit akreditovaný zkušební ústav na základě příslušných zkušebních metod.</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zkušební ústav musí splňovat:</w:t>
      </w:r>
    </w:p>
    <w:p w:rsidR="00E82B25" w:rsidRPr="003B6E11" w:rsidRDefault="00E82B25" w:rsidP="00E82B25">
      <w:pPr>
        <w:pStyle w:val="EStiret"/>
        <w:rPr>
          <w:rFonts w:eastAsia="Calibri" w:cs="Arial"/>
          <w:szCs w:val="18"/>
          <w:lang w:val="cs-CZ"/>
        </w:rPr>
      </w:pPr>
      <w:r w:rsidRPr="003B6E11">
        <w:rPr>
          <w:lang w:val="cs-CZ"/>
        </w:rPr>
        <w:t>aa)</w:t>
      </w:r>
      <w:r w:rsidRPr="003B6E11">
        <w:rPr>
          <w:lang w:val="cs-CZ"/>
        </w:rPr>
        <w:tab/>
        <w:t>předpis pro provádění požárních zkoušek nebo</w:t>
      </w:r>
    </w:p>
    <w:p w:rsidR="00E82B25" w:rsidRPr="003B6E11" w:rsidRDefault="00E82B25" w:rsidP="00E82B25">
      <w:pPr>
        <w:pStyle w:val="EStiret"/>
        <w:rPr>
          <w:rFonts w:eastAsia="Calibri" w:cs="Arial"/>
          <w:szCs w:val="18"/>
          <w:lang w:val="cs-CZ"/>
        </w:rPr>
      </w:pPr>
      <w:r w:rsidRPr="003B6E11">
        <w:rPr>
          <w:lang w:val="cs-CZ"/>
        </w:rPr>
        <w:t>bb)</w:t>
      </w:r>
      <w:r w:rsidRPr="003B6E11">
        <w:rPr>
          <w:lang w:val="cs-CZ"/>
        </w:rPr>
        <w:tab/>
        <w:t>evropskou normu EN ISO/IEC 17025: 2005.</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uznávanými zkušebními metodami ke zjištění hořlavosti materiálů jsou:</w:t>
      </w:r>
    </w:p>
    <w:p w:rsidR="00E82B25" w:rsidRPr="003B6E11" w:rsidRDefault="00E82B25" w:rsidP="00E82B25">
      <w:pPr>
        <w:pStyle w:val="EStiret"/>
        <w:rPr>
          <w:rFonts w:eastAsia="Calibri" w:cs="Arial"/>
          <w:szCs w:val="18"/>
          <w:lang w:val="cs-CZ"/>
        </w:rPr>
      </w:pPr>
      <w:r w:rsidRPr="003B6E11">
        <w:rPr>
          <w:lang w:val="cs-CZ"/>
        </w:rPr>
        <w:t>aa)</w:t>
      </w:r>
      <w:r w:rsidRPr="003B6E11">
        <w:rPr>
          <w:lang w:val="cs-CZ"/>
        </w:rPr>
        <w:tab/>
        <w:t>příloha 1 část 1 předpisu pro provádění požárních zkoušek a</w:t>
      </w:r>
    </w:p>
    <w:p w:rsidR="00E82B25" w:rsidRPr="003B6E11" w:rsidRDefault="00E82B25" w:rsidP="00E82B25">
      <w:pPr>
        <w:pStyle w:val="EStiret"/>
        <w:rPr>
          <w:rFonts w:eastAsia="Calibri" w:cs="Arial"/>
          <w:szCs w:val="18"/>
          <w:lang w:val="cs-CZ"/>
        </w:rPr>
      </w:pPr>
      <w:r w:rsidRPr="003B6E11">
        <w:rPr>
          <w:lang w:val="cs-CZ"/>
        </w:rPr>
        <w:t>bb)</w:t>
      </w:r>
      <w:r w:rsidRPr="003B6E11">
        <w:rPr>
          <w:lang w:val="cs-CZ"/>
        </w:rPr>
        <w:tab/>
        <w:t>rovnocenné předpisy jednoho z členských států;</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uznávanými zkušebními metodami ke zjištění, zda materiál zpomaluje hoření, jsou:</w:t>
      </w:r>
    </w:p>
    <w:p w:rsidR="00E82B25" w:rsidRPr="003B6E11" w:rsidRDefault="00E82B25" w:rsidP="00E82B25">
      <w:pPr>
        <w:pStyle w:val="EStiret"/>
        <w:rPr>
          <w:rFonts w:eastAsia="Calibri" w:cs="Arial"/>
          <w:szCs w:val="18"/>
          <w:lang w:val="cs-CZ"/>
        </w:rPr>
      </w:pPr>
      <w:r w:rsidRPr="003B6E11">
        <w:rPr>
          <w:lang w:val="cs-CZ"/>
        </w:rPr>
        <w:t>aa)</w:t>
      </w:r>
      <w:r w:rsidRPr="003B6E11">
        <w:rPr>
          <w:lang w:val="cs-CZ"/>
        </w:rPr>
        <w:tab/>
        <w:t>příslušné požadavky stanovené v příloze 1 části 5 (zkouška hořlavosti povrchu –  zkouška povrchových materiálů a základního palubního obložení), 7 (zkouška pro zavěšené textilie a fólie), 8 (zkouška pro čalouněný nábytek) a 9 (zkouška pro lůžkoviny) předpisu pro provádění požárních zkoušek a</w:t>
      </w:r>
    </w:p>
    <w:p w:rsidR="00E82B25" w:rsidRPr="003B6E11" w:rsidRDefault="00E82B25" w:rsidP="00E82B25">
      <w:pPr>
        <w:pStyle w:val="EStiret"/>
        <w:rPr>
          <w:rFonts w:eastAsia="Calibri" w:cs="Arial"/>
          <w:szCs w:val="18"/>
          <w:lang w:val="cs-CZ"/>
        </w:rPr>
      </w:pPr>
      <w:r w:rsidRPr="003B6E11">
        <w:rPr>
          <w:lang w:val="cs-CZ"/>
        </w:rPr>
        <w:t>bb)</w:t>
      </w:r>
      <w:r w:rsidRPr="003B6E11">
        <w:rPr>
          <w:lang w:val="cs-CZ"/>
        </w:rPr>
        <w:tab/>
        <w:t>rovnocenné předpisy jednoho z členských států;</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uznávanými zkušebními metodami ke zjištění ohnivzdornosti jsou:</w:t>
      </w:r>
    </w:p>
    <w:p w:rsidR="00E82B25" w:rsidRPr="003B6E11" w:rsidRDefault="00E82B25" w:rsidP="00E82B25">
      <w:pPr>
        <w:pStyle w:val="EStiret"/>
        <w:rPr>
          <w:rFonts w:eastAsia="Calibri" w:cs="Arial"/>
          <w:szCs w:val="18"/>
          <w:lang w:val="cs-CZ"/>
        </w:rPr>
      </w:pPr>
      <w:r w:rsidRPr="003B6E11">
        <w:rPr>
          <w:lang w:val="cs-CZ"/>
        </w:rPr>
        <w:t>aa)</w:t>
      </w:r>
      <w:r w:rsidRPr="003B6E11">
        <w:rPr>
          <w:lang w:val="cs-CZ"/>
        </w:rPr>
        <w:tab/>
        <w:t>příloha 1 část 3 předpisu pro provádění požárních zkoušek a</w:t>
      </w:r>
    </w:p>
    <w:p w:rsidR="00E82B25" w:rsidRPr="003B6E11" w:rsidRDefault="00E82B25" w:rsidP="00E82B25">
      <w:pPr>
        <w:pStyle w:val="EStiret"/>
        <w:rPr>
          <w:rFonts w:eastAsia="Calibri" w:cs="Arial"/>
          <w:szCs w:val="18"/>
          <w:lang w:val="cs-CZ"/>
        </w:rPr>
      </w:pPr>
      <w:r w:rsidRPr="003B6E11">
        <w:rPr>
          <w:lang w:val="cs-CZ"/>
        </w:rPr>
        <w:t>bb)</w:t>
      </w:r>
      <w:r w:rsidRPr="003B6E11">
        <w:rPr>
          <w:lang w:val="cs-CZ"/>
        </w:rPr>
        <w:tab/>
        <w:t>rovnocenné předpisy jednoho z členských států;</w:t>
      </w:r>
    </w:p>
    <w:p w:rsidR="00E82B25" w:rsidRPr="003B6E11" w:rsidRDefault="00E82B25" w:rsidP="00E82B25">
      <w:pPr>
        <w:pStyle w:val="ESlet"/>
        <w:rPr>
          <w:rFonts w:eastAsia="Calibri" w:cs="Arial"/>
          <w:szCs w:val="18"/>
          <w:lang w:val="cs-CZ"/>
        </w:rPr>
      </w:pPr>
      <w:r w:rsidRPr="003B6E11">
        <w:rPr>
          <w:lang w:val="cs-CZ"/>
        </w:rPr>
        <w:t>e)</w:t>
      </w:r>
      <w:r w:rsidRPr="003B6E11">
        <w:rPr>
          <w:lang w:val="cs-CZ"/>
        </w:rPr>
        <w:tab/>
        <w:t>subjekt pověřený prohlídkami může v souladu s předpisem pro provádění požárních zkoušek předepsat zkoušku na vzorové dělící stěně, aby byla zajištěna shoda s ustanoveními odstavce 2 o odolnosti a zvýšení teploty.</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br w:type="page"/>
      </w:r>
    </w:p>
    <w:p w:rsidR="00E82B25" w:rsidRPr="003B6E11" w:rsidRDefault="00E82B25" w:rsidP="00E82B25">
      <w:pPr>
        <w:pStyle w:val="ESch"/>
        <w:rPr>
          <w:rFonts w:eastAsia="Calibri" w:cs="Arial"/>
          <w:szCs w:val="18"/>
          <w:lang w:val="cs-CZ"/>
        </w:rPr>
      </w:pPr>
      <w:r w:rsidRPr="003B6E11">
        <w:rPr>
          <w:lang w:val="cs-CZ"/>
        </w:rPr>
        <w:t>2.</w:t>
      </w:r>
      <w:r w:rsidRPr="003B6E11">
        <w:rPr>
          <w:lang w:val="cs-CZ"/>
        </w:rPr>
        <w:tab/>
        <w:t>Dělící stěny</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mezi místnostmi musí být navrženy v souladu s těmito tabulkami:</w:t>
      </w:r>
    </w:p>
    <w:p w:rsidR="00E82B25" w:rsidRPr="003B6E11" w:rsidRDefault="00E82B25" w:rsidP="00E82B25">
      <w:pPr>
        <w:pStyle w:val="ESlet"/>
        <w:ind w:left="1560" w:hanging="567"/>
        <w:rPr>
          <w:rFonts w:eastAsia="Calibri"/>
          <w:noProof/>
          <w:lang w:val="cs-CZ"/>
        </w:rPr>
      </w:pPr>
      <w:r w:rsidRPr="003B6E11">
        <w:rPr>
          <w:lang w:val="cs-CZ"/>
        </w:rPr>
        <w:t>aa)</w:t>
      </w:r>
      <w:r w:rsidRPr="003B6E11">
        <w:rPr>
          <w:lang w:val="cs-CZ"/>
        </w:rPr>
        <w:tab/>
        <w:t>tabulka pro dělicí stěny mezi místnostmi, v nichž nejsou instalovány žádné postřikovací systémy s tlakovou vodou podle článku 13.04</w:t>
      </w:r>
    </w:p>
    <w:p w:rsidR="00E82B25" w:rsidRPr="003B6E11" w:rsidRDefault="00E82B25" w:rsidP="00E82B25">
      <w:pPr>
        <w:pStyle w:val="ESch"/>
        <w:rPr>
          <w:rFonts w:eastAsia="Calibri"/>
          <w:noProof/>
          <w:lang w:val="cs-CZ"/>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1843"/>
        <w:gridCol w:w="972"/>
        <w:gridCol w:w="972"/>
        <w:gridCol w:w="972"/>
        <w:gridCol w:w="972"/>
        <w:gridCol w:w="972"/>
        <w:gridCol w:w="972"/>
        <w:gridCol w:w="972"/>
      </w:tblGrid>
      <w:tr w:rsidR="00E82B25" w:rsidRPr="003B6E11" w:rsidTr="002D015D">
        <w:trPr>
          <w:jc w:val="center"/>
        </w:trPr>
        <w:tc>
          <w:tcPr>
            <w:tcW w:w="1843" w:type="dxa"/>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Místnosti</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Ovládací stanoviště</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Schodišťové šachty</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Shromažďovací prostory</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Společenské prostory</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Strojovny</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Kuchyně</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Skladovací prostory</w:t>
            </w:r>
          </w:p>
        </w:tc>
      </w:tr>
      <w:tr w:rsidR="00E82B25" w:rsidRPr="003B6E11" w:rsidTr="002D015D">
        <w:trPr>
          <w:jc w:val="center"/>
        </w:trPr>
        <w:tc>
          <w:tcPr>
            <w:tcW w:w="1843" w:type="dxa"/>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Ovládací stanoviště</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A0</w:t>
            </w:r>
          </w:p>
        </w:tc>
        <w:tc>
          <w:tcPr>
            <w:tcW w:w="972" w:type="dxa"/>
          </w:tcPr>
          <w:p w:rsidR="00E82B25" w:rsidRPr="003B6E11" w:rsidRDefault="00E82B25" w:rsidP="002D015D">
            <w:pPr>
              <w:spacing w:before="60" w:after="60" w:line="240" w:lineRule="atLeast"/>
              <w:jc w:val="center"/>
              <w:rPr>
                <w:rFonts w:cs="Arial"/>
                <w:noProof/>
                <w:sz w:val="18"/>
                <w:szCs w:val="18"/>
                <w:vertAlign w:val="superscript"/>
                <w:lang w:val="cs-CZ"/>
              </w:rPr>
            </w:pPr>
            <w:r w:rsidRPr="003B6E11">
              <w:rPr>
                <w:noProof/>
                <w:sz w:val="18"/>
                <w:lang w:val="cs-CZ"/>
              </w:rPr>
              <w:t>A0/B15</w:t>
            </w:r>
            <w:r w:rsidRPr="003B6E11">
              <w:rPr>
                <w:noProof/>
                <w:sz w:val="18"/>
                <w:vertAlign w:val="superscript"/>
                <w:lang w:val="cs-CZ"/>
              </w:rPr>
              <w:t>1)</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A30</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A60</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A60</w:t>
            </w:r>
          </w:p>
        </w:tc>
        <w:tc>
          <w:tcPr>
            <w:tcW w:w="972" w:type="dxa"/>
            <w:vAlign w:val="center"/>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A30/A60</w:t>
            </w:r>
            <w:r w:rsidRPr="003B6E11">
              <w:rPr>
                <w:noProof/>
                <w:sz w:val="18"/>
                <w:vertAlign w:val="superscript"/>
                <w:lang w:val="cs-CZ"/>
              </w:rPr>
              <w:t>5)</w:t>
            </w:r>
          </w:p>
        </w:tc>
      </w:tr>
      <w:tr w:rsidR="00E82B25" w:rsidRPr="003B6E11" w:rsidTr="002D015D">
        <w:trPr>
          <w:jc w:val="center"/>
        </w:trPr>
        <w:tc>
          <w:tcPr>
            <w:tcW w:w="1843" w:type="dxa"/>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Schodišťové šachty</w:t>
            </w: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A0</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A30</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A60</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A60</w:t>
            </w:r>
          </w:p>
        </w:tc>
        <w:tc>
          <w:tcPr>
            <w:tcW w:w="972" w:type="dxa"/>
            <w:vAlign w:val="center"/>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A30</w:t>
            </w:r>
          </w:p>
        </w:tc>
      </w:tr>
      <w:tr w:rsidR="00E82B25" w:rsidRPr="003B6E11" w:rsidTr="002D015D">
        <w:trPr>
          <w:jc w:val="center"/>
        </w:trPr>
        <w:tc>
          <w:tcPr>
            <w:tcW w:w="1843" w:type="dxa"/>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Shromažďovací prostory</w:t>
            </w: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A30/B15</w:t>
            </w:r>
            <w:r w:rsidRPr="003B6E11">
              <w:rPr>
                <w:noProof/>
                <w:sz w:val="18"/>
                <w:vertAlign w:val="superscript"/>
                <w:lang w:val="cs-CZ"/>
              </w:rPr>
              <w:t>2)</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A60</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A60</w:t>
            </w:r>
          </w:p>
        </w:tc>
        <w:tc>
          <w:tcPr>
            <w:tcW w:w="972" w:type="dxa"/>
            <w:vAlign w:val="center"/>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A30/A60</w:t>
            </w:r>
            <w:r w:rsidRPr="003B6E11">
              <w:rPr>
                <w:noProof/>
                <w:sz w:val="18"/>
                <w:vertAlign w:val="superscript"/>
                <w:lang w:val="cs-CZ"/>
              </w:rPr>
              <w:t>5)</w:t>
            </w:r>
          </w:p>
        </w:tc>
      </w:tr>
      <w:tr w:rsidR="00E82B25" w:rsidRPr="003B6E11" w:rsidTr="002D015D">
        <w:trPr>
          <w:jc w:val="center"/>
        </w:trPr>
        <w:tc>
          <w:tcPr>
            <w:tcW w:w="1843" w:type="dxa"/>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Společenské prostory</w:t>
            </w: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-/A0/B15</w:t>
            </w:r>
            <w:r w:rsidRPr="003B6E11">
              <w:rPr>
                <w:noProof/>
                <w:sz w:val="18"/>
                <w:vertAlign w:val="superscript"/>
                <w:lang w:val="cs-CZ"/>
              </w:rPr>
              <w:t>3)</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A60</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A60</w:t>
            </w:r>
          </w:p>
        </w:tc>
        <w:tc>
          <w:tcPr>
            <w:tcW w:w="972" w:type="dxa"/>
            <w:vAlign w:val="center"/>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A30</w:t>
            </w:r>
          </w:p>
        </w:tc>
      </w:tr>
      <w:tr w:rsidR="00E82B25" w:rsidRPr="003B6E11" w:rsidTr="002D015D">
        <w:trPr>
          <w:jc w:val="center"/>
        </w:trPr>
        <w:tc>
          <w:tcPr>
            <w:tcW w:w="1843" w:type="dxa"/>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Strojovny</w:t>
            </w: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vertAlign w:val="superscript"/>
                <w:lang w:val="cs-CZ"/>
              </w:rPr>
            </w:pPr>
            <w:r w:rsidRPr="003B6E11">
              <w:rPr>
                <w:noProof/>
                <w:sz w:val="18"/>
                <w:lang w:val="cs-CZ"/>
              </w:rPr>
              <w:t>A60/A0</w:t>
            </w:r>
            <w:r w:rsidRPr="003B6E11">
              <w:rPr>
                <w:noProof/>
                <w:sz w:val="18"/>
                <w:vertAlign w:val="superscript"/>
                <w:lang w:val="cs-CZ"/>
              </w:rPr>
              <w:t>4)</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A60</w:t>
            </w:r>
          </w:p>
        </w:tc>
        <w:tc>
          <w:tcPr>
            <w:tcW w:w="972" w:type="dxa"/>
            <w:vAlign w:val="center"/>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A60</w:t>
            </w:r>
          </w:p>
        </w:tc>
      </w:tr>
      <w:tr w:rsidR="00E82B25" w:rsidRPr="003B6E11" w:rsidTr="002D015D">
        <w:trPr>
          <w:jc w:val="center"/>
        </w:trPr>
        <w:tc>
          <w:tcPr>
            <w:tcW w:w="1843" w:type="dxa"/>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Kuchyně</w:t>
            </w: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A0</w:t>
            </w:r>
          </w:p>
        </w:tc>
        <w:tc>
          <w:tcPr>
            <w:tcW w:w="972" w:type="dxa"/>
            <w:vAlign w:val="center"/>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A30/B15</w:t>
            </w:r>
            <w:r w:rsidRPr="003B6E11">
              <w:rPr>
                <w:noProof/>
                <w:sz w:val="18"/>
                <w:vertAlign w:val="superscript"/>
                <w:lang w:val="cs-CZ"/>
              </w:rPr>
              <w:t>6)</w:t>
            </w:r>
          </w:p>
        </w:tc>
      </w:tr>
      <w:tr w:rsidR="00E82B25" w:rsidRPr="003B6E11" w:rsidTr="002D015D">
        <w:trPr>
          <w:jc w:val="center"/>
        </w:trPr>
        <w:tc>
          <w:tcPr>
            <w:tcW w:w="1843" w:type="dxa"/>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Skladovací prostory</w:t>
            </w: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w:t>
            </w:r>
          </w:p>
        </w:tc>
      </w:tr>
    </w:tbl>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p>
    <w:p w:rsidR="00E82B25" w:rsidRPr="003B6E11" w:rsidRDefault="00E82B25" w:rsidP="00E82B25">
      <w:pPr>
        <w:pStyle w:val="ESlet"/>
        <w:ind w:left="1560" w:hanging="567"/>
        <w:rPr>
          <w:rFonts w:eastAsia="Calibri"/>
          <w:noProof/>
          <w:lang w:val="cs-CZ"/>
        </w:rPr>
      </w:pPr>
      <w:r w:rsidRPr="003B6E11">
        <w:rPr>
          <w:lang w:val="cs-CZ"/>
        </w:rPr>
        <w:t>bb)</w:t>
      </w:r>
      <w:r w:rsidRPr="003B6E11">
        <w:rPr>
          <w:lang w:val="cs-CZ"/>
        </w:rPr>
        <w:tab/>
        <w:t>tabulka pro dělicí stěny mezi místnostmi, v nichž jsou instalovány postřikovací systémy s tlakovou vodou podle článku 13.04</w:t>
      </w:r>
    </w:p>
    <w:p w:rsidR="00E82B25" w:rsidRPr="003B6E11" w:rsidRDefault="00E82B25" w:rsidP="00E82B25">
      <w:pPr>
        <w:pStyle w:val="ESch"/>
        <w:rPr>
          <w:rFonts w:eastAsia="Calibri"/>
          <w:noProof/>
          <w:lang w:val="cs-CZ"/>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1843"/>
        <w:gridCol w:w="972"/>
        <w:gridCol w:w="972"/>
        <w:gridCol w:w="972"/>
        <w:gridCol w:w="972"/>
        <w:gridCol w:w="972"/>
        <w:gridCol w:w="972"/>
        <w:gridCol w:w="972"/>
      </w:tblGrid>
      <w:tr w:rsidR="00E82B25" w:rsidRPr="003B6E11" w:rsidTr="002D015D">
        <w:trPr>
          <w:tblHeader/>
          <w:jc w:val="center"/>
        </w:trPr>
        <w:tc>
          <w:tcPr>
            <w:tcW w:w="1843" w:type="dxa"/>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Místnosti</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Ovládací stanoviště</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Schodišťové šachty</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Shromažďovací prostory</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Společenské prostory</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Strojovny</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Kuchyně</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 xml:space="preserve">Skladovací prostory </w:t>
            </w:r>
          </w:p>
        </w:tc>
      </w:tr>
      <w:tr w:rsidR="00E82B25" w:rsidRPr="003B6E11" w:rsidTr="002D015D">
        <w:trPr>
          <w:jc w:val="center"/>
        </w:trPr>
        <w:tc>
          <w:tcPr>
            <w:tcW w:w="1843" w:type="dxa"/>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Ovládací stanoviště</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A0</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 xml:space="preserve">A0/ B15 </w:t>
            </w:r>
            <w:r w:rsidRPr="003B6E11">
              <w:rPr>
                <w:noProof/>
                <w:sz w:val="18"/>
                <w:vertAlign w:val="superscript"/>
                <w:lang w:val="cs-CZ"/>
              </w:rPr>
              <w:t>1)</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A0</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A60</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A30</w:t>
            </w:r>
          </w:p>
        </w:tc>
        <w:tc>
          <w:tcPr>
            <w:tcW w:w="972" w:type="dxa"/>
            <w:vAlign w:val="center"/>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A0/A30</w:t>
            </w:r>
            <w:r w:rsidRPr="003B6E11">
              <w:rPr>
                <w:noProof/>
                <w:sz w:val="18"/>
                <w:vertAlign w:val="superscript"/>
                <w:lang w:val="cs-CZ"/>
              </w:rPr>
              <w:t>5)</w:t>
            </w:r>
          </w:p>
        </w:tc>
      </w:tr>
      <w:tr w:rsidR="00E82B25" w:rsidRPr="003B6E11" w:rsidTr="002D015D">
        <w:trPr>
          <w:jc w:val="center"/>
        </w:trPr>
        <w:tc>
          <w:tcPr>
            <w:tcW w:w="1843" w:type="dxa"/>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Schodišťové šachty</w:t>
            </w: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b/>
                <w:noProof/>
                <w:sz w:val="18"/>
                <w:szCs w:val="18"/>
                <w:lang w:val="cs-CZ"/>
              </w:rPr>
            </w:pPr>
            <w:r w:rsidRPr="003B6E11">
              <w:rPr>
                <w:b/>
                <w:noProof/>
                <w:sz w:val="18"/>
                <w:lang w:val="cs-CZ"/>
              </w:rPr>
              <w:t>–</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A0</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A0</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A60</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A30</w:t>
            </w:r>
          </w:p>
        </w:tc>
        <w:tc>
          <w:tcPr>
            <w:tcW w:w="972" w:type="dxa"/>
            <w:vAlign w:val="center"/>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A0</w:t>
            </w:r>
          </w:p>
        </w:tc>
      </w:tr>
      <w:tr w:rsidR="00E82B25" w:rsidRPr="003B6E11" w:rsidTr="002D015D">
        <w:trPr>
          <w:jc w:val="center"/>
        </w:trPr>
        <w:tc>
          <w:tcPr>
            <w:tcW w:w="1843" w:type="dxa"/>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Shromažďovací prostory</w:t>
            </w: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 xml:space="preserve">A30/B15 </w:t>
            </w:r>
            <w:r w:rsidRPr="003B6E11">
              <w:rPr>
                <w:noProof/>
                <w:sz w:val="18"/>
                <w:vertAlign w:val="superscript"/>
                <w:lang w:val="cs-CZ"/>
              </w:rPr>
              <w:t>2)</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A60</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A30</w:t>
            </w:r>
          </w:p>
        </w:tc>
        <w:tc>
          <w:tcPr>
            <w:tcW w:w="972" w:type="dxa"/>
            <w:vAlign w:val="center"/>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A0/A30</w:t>
            </w:r>
            <w:r w:rsidRPr="003B6E11">
              <w:rPr>
                <w:noProof/>
                <w:sz w:val="18"/>
                <w:vertAlign w:val="superscript"/>
                <w:lang w:val="cs-CZ"/>
              </w:rPr>
              <w:t>5)</w:t>
            </w:r>
          </w:p>
        </w:tc>
      </w:tr>
      <w:tr w:rsidR="00E82B25" w:rsidRPr="003B6E11" w:rsidTr="002D015D">
        <w:trPr>
          <w:jc w:val="center"/>
        </w:trPr>
        <w:tc>
          <w:tcPr>
            <w:tcW w:w="1843" w:type="dxa"/>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Společenské prostory</w:t>
            </w: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-/B15/B0</w:t>
            </w:r>
            <w:r w:rsidRPr="003B6E11">
              <w:rPr>
                <w:noProof/>
                <w:sz w:val="18"/>
                <w:vertAlign w:val="superscript"/>
                <w:lang w:val="cs-CZ"/>
              </w:rPr>
              <w:t>3)</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A60</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A30</w:t>
            </w:r>
          </w:p>
        </w:tc>
        <w:tc>
          <w:tcPr>
            <w:tcW w:w="972" w:type="dxa"/>
            <w:vAlign w:val="center"/>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A0</w:t>
            </w:r>
          </w:p>
        </w:tc>
      </w:tr>
      <w:tr w:rsidR="00E82B25" w:rsidRPr="003B6E11" w:rsidTr="002D015D">
        <w:trPr>
          <w:jc w:val="center"/>
        </w:trPr>
        <w:tc>
          <w:tcPr>
            <w:tcW w:w="1843" w:type="dxa"/>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Strojovny</w:t>
            </w: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b/>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 xml:space="preserve">A60/A0 </w:t>
            </w:r>
            <w:r w:rsidRPr="003B6E11">
              <w:rPr>
                <w:noProof/>
                <w:sz w:val="18"/>
                <w:vertAlign w:val="superscript"/>
                <w:lang w:val="cs-CZ"/>
              </w:rPr>
              <w:t>4)</w:t>
            </w: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A60</w:t>
            </w:r>
          </w:p>
        </w:tc>
        <w:tc>
          <w:tcPr>
            <w:tcW w:w="972" w:type="dxa"/>
            <w:vAlign w:val="center"/>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A60</w:t>
            </w:r>
          </w:p>
        </w:tc>
      </w:tr>
      <w:tr w:rsidR="00E82B25" w:rsidRPr="003B6E11" w:rsidTr="002D015D">
        <w:trPr>
          <w:jc w:val="center"/>
        </w:trPr>
        <w:tc>
          <w:tcPr>
            <w:tcW w:w="1843" w:type="dxa"/>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Kuchyně</w:t>
            </w: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b/>
                <w:noProof/>
                <w:sz w:val="18"/>
                <w:szCs w:val="18"/>
                <w:lang w:val="cs-CZ"/>
              </w:rPr>
            </w:pPr>
          </w:p>
        </w:tc>
        <w:tc>
          <w:tcPr>
            <w:tcW w:w="972" w:type="dxa"/>
          </w:tcPr>
          <w:p w:rsidR="00E82B25" w:rsidRPr="003B6E11" w:rsidRDefault="00E82B25" w:rsidP="002D015D">
            <w:pPr>
              <w:spacing w:before="60" w:after="60" w:line="240" w:lineRule="atLeast"/>
              <w:jc w:val="center"/>
              <w:rPr>
                <w:rFonts w:cs="Arial"/>
                <w:b/>
                <w:noProof/>
                <w:sz w:val="18"/>
                <w:szCs w:val="18"/>
                <w:lang w:val="cs-CZ"/>
              </w:rPr>
            </w:pPr>
          </w:p>
        </w:tc>
        <w:tc>
          <w:tcPr>
            <w:tcW w:w="972" w:type="dxa"/>
          </w:tcPr>
          <w:p w:rsidR="00E82B25" w:rsidRPr="003B6E11" w:rsidRDefault="00E82B25" w:rsidP="002D015D">
            <w:pPr>
              <w:spacing w:before="60" w:after="60" w:line="240" w:lineRule="atLeast"/>
              <w:jc w:val="center"/>
              <w:rPr>
                <w:rFonts w:cs="Arial"/>
                <w:b/>
                <w:noProof/>
                <w:sz w:val="18"/>
                <w:szCs w:val="18"/>
                <w:lang w:val="cs-CZ"/>
              </w:rPr>
            </w:pPr>
            <w:r w:rsidRPr="003B6E11">
              <w:rPr>
                <w:b/>
                <w:noProof/>
                <w:sz w:val="18"/>
                <w:lang w:val="cs-CZ"/>
              </w:rPr>
              <w:t>–</w:t>
            </w:r>
          </w:p>
        </w:tc>
        <w:tc>
          <w:tcPr>
            <w:tcW w:w="972" w:type="dxa"/>
            <w:vAlign w:val="center"/>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A0/B15</w:t>
            </w:r>
            <w:r w:rsidRPr="003B6E11">
              <w:rPr>
                <w:noProof/>
                <w:sz w:val="18"/>
                <w:vertAlign w:val="superscript"/>
                <w:lang w:val="cs-CZ"/>
              </w:rPr>
              <w:t xml:space="preserve">6) </w:t>
            </w:r>
          </w:p>
        </w:tc>
      </w:tr>
      <w:tr w:rsidR="00E82B25" w:rsidRPr="003B6E11" w:rsidTr="002D015D">
        <w:trPr>
          <w:jc w:val="center"/>
        </w:trPr>
        <w:tc>
          <w:tcPr>
            <w:tcW w:w="1843" w:type="dxa"/>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Skladovací prostory</w:t>
            </w: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p>
        </w:tc>
        <w:tc>
          <w:tcPr>
            <w:tcW w:w="972" w:type="dxa"/>
          </w:tcPr>
          <w:p w:rsidR="00E82B25" w:rsidRPr="003B6E11" w:rsidRDefault="00E82B25" w:rsidP="002D015D">
            <w:pPr>
              <w:spacing w:before="60" w:after="60" w:line="240" w:lineRule="atLeast"/>
              <w:jc w:val="center"/>
              <w:rPr>
                <w:rFonts w:cs="Arial"/>
                <w:noProof/>
                <w:sz w:val="18"/>
                <w:szCs w:val="18"/>
                <w:lang w:val="cs-CZ"/>
              </w:rPr>
            </w:pPr>
            <w:r w:rsidRPr="003B6E11">
              <w:rPr>
                <w:noProof/>
                <w:sz w:val="18"/>
                <w:lang w:val="cs-CZ"/>
              </w:rPr>
              <w:t>–</w:t>
            </w:r>
          </w:p>
        </w:tc>
      </w:tr>
      <w:tr w:rsidR="00E82B25" w:rsidRPr="003B6E11" w:rsidTr="002D015D">
        <w:trPr>
          <w:jc w:val="center"/>
        </w:trPr>
        <w:tc>
          <w:tcPr>
            <w:tcW w:w="8647" w:type="dxa"/>
            <w:gridSpan w:val="8"/>
            <w:tcBorders>
              <w:left w:val="nil"/>
              <w:bottom w:val="nil"/>
              <w:right w:val="nil"/>
            </w:tcBorders>
          </w:tcPr>
          <w:p w:rsidR="00E82B25" w:rsidRPr="003B6E11" w:rsidRDefault="00E82B25" w:rsidP="002D015D">
            <w:pPr>
              <w:tabs>
                <w:tab w:val="left" w:pos="567"/>
                <w:tab w:val="left" w:pos="1134"/>
                <w:tab w:val="left" w:pos="5670"/>
              </w:tabs>
              <w:suppressAutoHyphens/>
              <w:spacing w:before="60" w:after="20"/>
              <w:ind w:left="284" w:hanging="284"/>
              <w:rPr>
                <w:noProof/>
                <w:spacing w:val="-20"/>
                <w:sz w:val="18"/>
                <w:szCs w:val="18"/>
                <w:vertAlign w:val="superscript"/>
                <w:lang w:val="cs-CZ"/>
              </w:rPr>
            </w:pPr>
          </w:p>
          <w:p w:rsidR="00E82B25" w:rsidRPr="003B6E11" w:rsidRDefault="00E82B25" w:rsidP="002D015D">
            <w:pPr>
              <w:tabs>
                <w:tab w:val="left" w:pos="567"/>
                <w:tab w:val="left" w:pos="1134"/>
                <w:tab w:val="left" w:pos="5670"/>
              </w:tabs>
              <w:suppressAutoHyphens/>
              <w:spacing w:before="60" w:after="20"/>
              <w:ind w:left="284" w:hanging="284"/>
              <w:rPr>
                <w:noProof/>
                <w:spacing w:val="-20"/>
                <w:sz w:val="18"/>
                <w:szCs w:val="18"/>
                <w:lang w:val="cs-CZ"/>
              </w:rPr>
            </w:pPr>
            <w:r w:rsidRPr="003B6E11">
              <w:rPr>
                <w:noProof/>
                <w:spacing w:val="-20"/>
                <w:sz w:val="18"/>
                <w:vertAlign w:val="superscript"/>
                <w:lang w:val="cs-CZ"/>
              </w:rPr>
              <w:t>1)</w:t>
            </w:r>
            <w:r w:rsidRPr="003B6E11">
              <w:rPr>
                <w:lang w:val="cs-CZ"/>
              </w:rPr>
              <w:tab/>
            </w:r>
            <w:r w:rsidRPr="003B6E11">
              <w:rPr>
                <w:noProof/>
                <w:sz w:val="18"/>
                <w:lang w:val="cs-CZ"/>
              </w:rPr>
              <w:t>Dělicí stěny mezi ovládacími stanovišti a vnitřními shromažďovacími prostory musí odpovídat typu A0, u vnějších shromažďovacích prostorů však pouze typu B15.</w:t>
            </w:r>
          </w:p>
        </w:tc>
      </w:tr>
      <w:tr w:rsidR="00E82B25" w:rsidRPr="003B6E11" w:rsidTr="002D015D">
        <w:trPr>
          <w:jc w:val="center"/>
        </w:trPr>
        <w:tc>
          <w:tcPr>
            <w:tcW w:w="8647" w:type="dxa"/>
            <w:gridSpan w:val="8"/>
            <w:tcBorders>
              <w:top w:val="nil"/>
              <w:left w:val="nil"/>
              <w:bottom w:val="nil"/>
              <w:right w:val="nil"/>
            </w:tcBorders>
          </w:tcPr>
          <w:p w:rsidR="00E82B25" w:rsidRPr="003B6E11" w:rsidRDefault="00E82B25" w:rsidP="002D015D">
            <w:pPr>
              <w:tabs>
                <w:tab w:val="left" w:pos="567"/>
                <w:tab w:val="left" w:pos="1134"/>
                <w:tab w:val="left" w:pos="5670"/>
              </w:tabs>
              <w:suppressAutoHyphens/>
              <w:spacing w:before="20" w:after="20"/>
              <w:ind w:left="284" w:hanging="284"/>
              <w:rPr>
                <w:noProof/>
                <w:spacing w:val="-20"/>
                <w:sz w:val="18"/>
                <w:szCs w:val="18"/>
                <w:lang w:val="cs-CZ"/>
              </w:rPr>
            </w:pPr>
            <w:r w:rsidRPr="003B6E11">
              <w:rPr>
                <w:noProof/>
                <w:spacing w:val="-20"/>
                <w:sz w:val="18"/>
                <w:vertAlign w:val="superscript"/>
                <w:lang w:val="cs-CZ"/>
              </w:rPr>
              <w:t>2)</w:t>
            </w:r>
            <w:r w:rsidRPr="003B6E11">
              <w:rPr>
                <w:lang w:val="cs-CZ"/>
              </w:rPr>
              <w:tab/>
            </w:r>
            <w:r w:rsidRPr="003B6E11">
              <w:rPr>
                <w:noProof/>
                <w:sz w:val="18"/>
                <w:lang w:val="cs-CZ"/>
              </w:rPr>
              <w:t>Dělicí stěny mezi společenskými prostory a vnitřními shromažďovacími prostory musí odpovídat typu A30, u vnějších shromažďovacích prostor však pouze typu B15.</w:t>
            </w:r>
          </w:p>
        </w:tc>
      </w:tr>
      <w:tr w:rsidR="00E82B25" w:rsidRPr="003B6E11" w:rsidTr="002D015D">
        <w:trPr>
          <w:jc w:val="center"/>
        </w:trPr>
        <w:tc>
          <w:tcPr>
            <w:tcW w:w="8647" w:type="dxa"/>
            <w:gridSpan w:val="8"/>
            <w:tcBorders>
              <w:top w:val="nil"/>
              <w:left w:val="nil"/>
              <w:bottom w:val="nil"/>
              <w:right w:val="nil"/>
            </w:tcBorders>
          </w:tcPr>
          <w:p w:rsidR="00E82B25" w:rsidRPr="003B6E11" w:rsidRDefault="00E82B25" w:rsidP="002D015D">
            <w:pPr>
              <w:tabs>
                <w:tab w:val="left" w:pos="567"/>
                <w:tab w:val="left" w:pos="1134"/>
                <w:tab w:val="left" w:pos="5670"/>
              </w:tabs>
              <w:suppressAutoHyphens/>
              <w:spacing w:before="20" w:after="20"/>
              <w:ind w:left="284" w:hanging="284"/>
              <w:rPr>
                <w:noProof/>
                <w:spacing w:val="-20"/>
                <w:sz w:val="18"/>
                <w:szCs w:val="18"/>
                <w:lang w:val="cs-CZ"/>
              </w:rPr>
            </w:pPr>
            <w:r w:rsidRPr="003B6E11">
              <w:rPr>
                <w:noProof/>
                <w:spacing w:val="-20"/>
                <w:sz w:val="18"/>
                <w:vertAlign w:val="superscript"/>
                <w:lang w:val="cs-CZ"/>
              </w:rPr>
              <w:t>3)</w:t>
            </w:r>
            <w:r w:rsidRPr="003B6E11">
              <w:rPr>
                <w:lang w:val="cs-CZ"/>
              </w:rPr>
              <w:tab/>
            </w:r>
            <w:r w:rsidRPr="003B6E11">
              <w:rPr>
                <w:noProof/>
                <w:sz w:val="18"/>
                <w:lang w:val="cs-CZ"/>
              </w:rPr>
              <w:t>Dělicí stěny mezi kajutami, dělicí stěny mezi kajutami a chodbami a svislé dělicí stěny oddělující společenské prostory podle odstavce 10 musí odpovídat typu B15, u místností vybavených postřikovacími systémy s tlakovou vodou typu B0. Dělicí stěny mezi kajutami a saunami musí odpovídat typu A0, u místností vybavených postřikovacími systémy s tlakovou vodou musí odpovídat typu B15.</w:t>
            </w:r>
          </w:p>
        </w:tc>
      </w:tr>
      <w:tr w:rsidR="00E82B25" w:rsidRPr="003B6E11" w:rsidTr="002D015D">
        <w:trPr>
          <w:jc w:val="center"/>
        </w:trPr>
        <w:tc>
          <w:tcPr>
            <w:tcW w:w="8647" w:type="dxa"/>
            <w:gridSpan w:val="8"/>
            <w:tcBorders>
              <w:top w:val="nil"/>
              <w:left w:val="nil"/>
              <w:bottom w:val="nil"/>
              <w:right w:val="nil"/>
            </w:tcBorders>
          </w:tcPr>
          <w:p w:rsidR="00E82B25" w:rsidRPr="003B6E11" w:rsidRDefault="00E82B25" w:rsidP="002D015D">
            <w:pPr>
              <w:tabs>
                <w:tab w:val="left" w:pos="567"/>
                <w:tab w:val="left" w:pos="1134"/>
                <w:tab w:val="left" w:pos="5670"/>
              </w:tabs>
              <w:suppressAutoHyphens/>
              <w:spacing w:before="20" w:after="20"/>
              <w:ind w:left="284" w:hanging="284"/>
              <w:rPr>
                <w:noProof/>
                <w:spacing w:val="-20"/>
                <w:sz w:val="18"/>
                <w:szCs w:val="18"/>
                <w:lang w:val="cs-CZ"/>
              </w:rPr>
            </w:pPr>
            <w:r w:rsidRPr="003B6E11">
              <w:rPr>
                <w:noProof/>
                <w:spacing w:val="-20"/>
                <w:sz w:val="18"/>
                <w:vertAlign w:val="superscript"/>
                <w:lang w:val="cs-CZ"/>
              </w:rPr>
              <w:t>4)</w:t>
            </w:r>
            <w:r w:rsidRPr="003B6E11">
              <w:rPr>
                <w:lang w:val="cs-CZ"/>
              </w:rPr>
              <w:tab/>
            </w:r>
            <w:r w:rsidRPr="003B6E11">
              <w:rPr>
                <w:noProof/>
                <w:sz w:val="18"/>
                <w:lang w:val="cs-CZ"/>
              </w:rPr>
              <w:t>Dělicí stěny mezi strojovnami podle článku 19.07 a čl. 19.10 odst. 6 musí odpovídat typu A60; v ostatních případech musí odpovídat typu A0.</w:t>
            </w:r>
          </w:p>
        </w:tc>
      </w:tr>
      <w:tr w:rsidR="00E82B25" w:rsidRPr="003B6E11" w:rsidTr="002D015D">
        <w:trPr>
          <w:jc w:val="center"/>
        </w:trPr>
        <w:tc>
          <w:tcPr>
            <w:tcW w:w="8647" w:type="dxa"/>
            <w:gridSpan w:val="8"/>
            <w:tcBorders>
              <w:top w:val="nil"/>
              <w:left w:val="nil"/>
              <w:bottom w:val="nil"/>
              <w:right w:val="nil"/>
            </w:tcBorders>
          </w:tcPr>
          <w:p w:rsidR="00E82B25" w:rsidRPr="003B6E11" w:rsidRDefault="00E82B25" w:rsidP="002D015D">
            <w:pPr>
              <w:tabs>
                <w:tab w:val="left" w:pos="567"/>
                <w:tab w:val="left" w:pos="1134"/>
                <w:tab w:val="left" w:pos="5670"/>
              </w:tabs>
              <w:suppressAutoHyphens/>
              <w:spacing w:before="20" w:after="20"/>
              <w:ind w:left="284" w:hanging="284"/>
              <w:rPr>
                <w:noProof/>
                <w:spacing w:val="-20"/>
                <w:sz w:val="18"/>
                <w:szCs w:val="18"/>
                <w:lang w:val="cs-CZ"/>
              </w:rPr>
            </w:pPr>
            <w:r w:rsidRPr="003B6E11">
              <w:rPr>
                <w:noProof/>
                <w:spacing w:val="-20"/>
                <w:sz w:val="18"/>
                <w:vertAlign w:val="superscript"/>
                <w:lang w:val="cs-CZ"/>
              </w:rPr>
              <w:t>5)</w:t>
            </w:r>
            <w:r w:rsidRPr="003B6E11">
              <w:rPr>
                <w:lang w:val="cs-CZ"/>
              </w:rPr>
              <w:tab/>
            </w:r>
            <w:r w:rsidRPr="003B6E11">
              <w:rPr>
                <w:noProof/>
                <w:sz w:val="18"/>
                <w:lang w:val="cs-CZ"/>
              </w:rPr>
              <w:t>Dělicí stěny mezi skladovacími prostory pro skladování hořlavých kapalin a mezi ovládacími stanovišti a shromažďovacími prostory musí odpovídat typu A60, u místností vybavených postřikovacími systémy s tlakovou vodou musí odpovídat typu A30.</w:t>
            </w:r>
          </w:p>
        </w:tc>
      </w:tr>
      <w:tr w:rsidR="00E82B25" w:rsidRPr="003B6E11" w:rsidTr="002D015D">
        <w:trPr>
          <w:jc w:val="center"/>
        </w:trPr>
        <w:tc>
          <w:tcPr>
            <w:tcW w:w="8647" w:type="dxa"/>
            <w:gridSpan w:val="8"/>
            <w:tcBorders>
              <w:top w:val="nil"/>
              <w:left w:val="nil"/>
              <w:bottom w:val="nil"/>
              <w:right w:val="nil"/>
            </w:tcBorders>
          </w:tcPr>
          <w:p w:rsidR="00E82B25" w:rsidRPr="003B6E11" w:rsidRDefault="00E82B25" w:rsidP="002D015D">
            <w:pPr>
              <w:tabs>
                <w:tab w:val="left" w:pos="567"/>
                <w:tab w:val="left" w:pos="1134"/>
                <w:tab w:val="left" w:pos="5670"/>
              </w:tabs>
              <w:suppressAutoHyphens/>
              <w:spacing w:before="20" w:after="20"/>
              <w:ind w:left="284" w:hanging="284"/>
              <w:rPr>
                <w:noProof/>
                <w:spacing w:val="-20"/>
                <w:sz w:val="18"/>
                <w:szCs w:val="18"/>
                <w:lang w:val="cs-CZ"/>
              </w:rPr>
            </w:pPr>
            <w:r w:rsidRPr="003B6E11">
              <w:rPr>
                <w:noProof/>
                <w:spacing w:val="-20"/>
                <w:sz w:val="18"/>
                <w:vertAlign w:val="superscript"/>
                <w:lang w:val="cs-CZ"/>
              </w:rPr>
              <w:t>6)</w:t>
            </w:r>
            <w:r w:rsidRPr="003B6E11">
              <w:rPr>
                <w:lang w:val="cs-CZ"/>
              </w:rPr>
              <w:tab/>
            </w:r>
            <w:r w:rsidRPr="003B6E11">
              <w:rPr>
                <w:noProof/>
                <w:sz w:val="18"/>
                <w:lang w:val="cs-CZ"/>
              </w:rPr>
              <w:t>Typ B15 postačuje pro dělicí stěny mezi kuchyněmi na straně jedné a chladírnami a skladovacími prostory pro potraviny na straně druhé.</w:t>
            </w:r>
          </w:p>
        </w:tc>
      </w:tr>
    </w:tbl>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r w:rsidRPr="003B6E11">
        <w:rPr>
          <w:lang w:val="cs-CZ"/>
        </w:rPr>
        <w:br w:type="page"/>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dělící stěny typu A jsou přepážky, stěny a paluby, které splňují tyto požadavky:</w:t>
      </w:r>
    </w:p>
    <w:p w:rsidR="00E82B25" w:rsidRPr="003B6E11" w:rsidRDefault="00E82B25" w:rsidP="00E82B25">
      <w:pPr>
        <w:pStyle w:val="EStiret"/>
        <w:rPr>
          <w:rFonts w:eastAsia="Calibri" w:cs="Arial"/>
          <w:szCs w:val="18"/>
          <w:lang w:val="cs-CZ"/>
        </w:rPr>
      </w:pPr>
      <w:r w:rsidRPr="003B6E11">
        <w:rPr>
          <w:lang w:val="cs-CZ"/>
        </w:rPr>
        <w:t>aa)</w:t>
      </w:r>
      <w:r w:rsidRPr="003B6E11">
        <w:rPr>
          <w:lang w:val="cs-CZ"/>
        </w:rPr>
        <w:tab/>
        <w:t>Jsou zhotoveny z oceli nebo jiného rovnocenného materiálu;</w:t>
      </w:r>
    </w:p>
    <w:p w:rsidR="00E82B25" w:rsidRPr="003B6E11" w:rsidRDefault="00E82B25" w:rsidP="00E82B25">
      <w:pPr>
        <w:pStyle w:val="EStiret"/>
        <w:rPr>
          <w:rFonts w:eastAsia="Calibri" w:cs="Arial"/>
          <w:szCs w:val="18"/>
          <w:lang w:val="cs-CZ"/>
        </w:rPr>
      </w:pPr>
      <w:r w:rsidRPr="003B6E11">
        <w:rPr>
          <w:lang w:val="cs-CZ"/>
        </w:rPr>
        <w:t>bb)</w:t>
      </w:r>
      <w:r w:rsidRPr="003B6E11">
        <w:rPr>
          <w:lang w:val="cs-CZ"/>
        </w:rPr>
        <w:tab/>
        <w:t>jsou náležitě vyztuženy;</w:t>
      </w:r>
    </w:p>
    <w:p w:rsidR="00E82B25" w:rsidRPr="003B6E11" w:rsidRDefault="00E82B25" w:rsidP="00E82B25">
      <w:pPr>
        <w:pStyle w:val="EStiret"/>
        <w:rPr>
          <w:rFonts w:eastAsia="Calibri"/>
          <w:lang w:val="cs-CZ"/>
        </w:rPr>
      </w:pPr>
      <w:r w:rsidRPr="003B6E11">
        <w:rPr>
          <w:lang w:val="cs-CZ"/>
        </w:rPr>
        <w:t>cc)</w:t>
      </w:r>
      <w:r w:rsidRPr="003B6E11">
        <w:rPr>
          <w:lang w:val="cs-CZ"/>
        </w:rPr>
        <w:tab/>
        <w:t>jsou izolovány schváleným nehořlavým materiálem, takže průměrná teplota na straně odvrácené od ohně se nezvýší o více než 140 °C nad počáteční teplotu a na žádném místě, včetně styčných spár, nedojde během níže uvedené doby ke zvýšení teploty o více než 180 °C nad počáteční teplotu:</w:t>
      </w:r>
    </w:p>
    <w:p w:rsidR="00E82B25" w:rsidRPr="003B6E11" w:rsidRDefault="00E82B25" w:rsidP="00E82B25">
      <w:pPr>
        <w:pStyle w:val="EStiretpar"/>
        <w:tabs>
          <w:tab w:val="decimal" w:pos="2835"/>
          <w:tab w:val="left" w:pos="2977"/>
        </w:tabs>
        <w:rPr>
          <w:rFonts w:eastAsia="Calibri" w:cs="Arial"/>
          <w:szCs w:val="18"/>
          <w:lang w:val="cs-CZ"/>
        </w:rPr>
      </w:pPr>
      <w:r w:rsidRPr="003B6E11">
        <w:rPr>
          <w:lang w:val="cs-CZ"/>
        </w:rPr>
        <w:t xml:space="preserve">typ A60 </w:t>
      </w:r>
      <w:r w:rsidRPr="003B6E11">
        <w:rPr>
          <w:lang w:val="cs-CZ"/>
        </w:rPr>
        <w:tab/>
        <w:t>60</w:t>
      </w:r>
      <w:r w:rsidRPr="003B6E11">
        <w:rPr>
          <w:lang w:val="cs-CZ"/>
        </w:rPr>
        <w:tab/>
        <w:t>minut</w:t>
      </w:r>
    </w:p>
    <w:p w:rsidR="00E82B25" w:rsidRPr="003B6E11" w:rsidRDefault="00E82B25" w:rsidP="00E82B25">
      <w:pPr>
        <w:pStyle w:val="EStiretpar"/>
        <w:tabs>
          <w:tab w:val="decimal" w:pos="2835"/>
          <w:tab w:val="left" w:pos="2977"/>
        </w:tabs>
        <w:rPr>
          <w:rFonts w:eastAsia="Calibri" w:cs="Arial"/>
          <w:szCs w:val="18"/>
          <w:lang w:val="cs-CZ"/>
        </w:rPr>
      </w:pPr>
      <w:r w:rsidRPr="003B6E11">
        <w:rPr>
          <w:lang w:val="cs-CZ"/>
        </w:rPr>
        <w:t>typ A30</w:t>
      </w:r>
      <w:r w:rsidRPr="003B6E11">
        <w:rPr>
          <w:lang w:val="cs-CZ"/>
        </w:rPr>
        <w:tab/>
        <w:t>30</w:t>
      </w:r>
      <w:r w:rsidRPr="003B6E11">
        <w:rPr>
          <w:lang w:val="cs-CZ"/>
        </w:rPr>
        <w:tab/>
        <w:t>minut</w:t>
      </w:r>
    </w:p>
    <w:p w:rsidR="00E82B25" w:rsidRPr="003B6E11" w:rsidRDefault="00E82B25" w:rsidP="00E82B25">
      <w:pPr>
        <w:pStyle w:val="EStiretpar"/>
        <w:tabs>
          <w:tab w:val="decimal" w:pos="2835"/>
          <w:tab w:val="left" w:pos="2977"/>
        </w:tabs>
        <w:rPr>
          <w:rFonts w:eastAsia="Calibri" w:cs="Arial"/>
          <w:szCs w:val="18"/>
          <w:lang w:val="cs-CZ"/>
        </w:rPr>
      </w:pPr>
      <w:r w:rsidRPr="003B6E11">
        <w:rPr>
          <w:lang w:val="cs-CZ"/>
        </w:rPr>
        <w:t xml:space="preserve">typ A0 </w:t>
      </w:r>
      <w:r w:rsidRPr="003B6E11">
        <w:rPr>
          <w:lang w:val="cs-CZ"/>
        </w:rPr>
        <w:tab/>
        <w:t>0</w:t>
      </w:r>
      <w:r w:rsidRPr="003B6E11">
        <w:rPr>
          <w:lang w:val="cs-CZ"/>
        </w:rPr>
        <w:tab/>
        <w:t>minut;</w:t>
      </w:r>
    </w:p>
    <w:p w:rsidR="00E82B25" w:rsidRPr="003B6E11" w:rsidRDefault="00E82B25" w:rsidP="00E82B25">
      <w:pPr>
        <w:pStyle w:val="EStiret"/>
        <w:rPr>
          <w:rFonts w:eastAsia="Calibri" w:cs="Arial"/>
          <w:szCs w:val="18"/>
          <w:lang w:val="cs-CZ"/>
        </w:rPr>
      </w:pPr>
      <w:r w:rsidRPr="003B6E11">
        <w:rPr>
          <w:lang w:val="cs-CZ"/>
        </w:rPr>
        <w:t>dd)</w:t>
      </w:r>
      <w:r w:rsidRPr="003B6E11">
        <w:rPr>
          <w:lang w:val="cs-CZ"/>
        </w:rPr>
        <w:tab/>
        <w:t>jsou zkonstruovány tak, aby zabraňovaly pronikání kouře a plamenů až do konce jednohodinové běžné požární zkoušky;</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dělící stěny typu B jsou přepážky, stěny, paluby, stropy nebo obklady, které splňují tyto požadavky:</w:t>
      </w:r>
    </w:p>
    <w:p w:rsidR="00E82B25" w:rsidRPr="003B6E11" w:rsidRDefault="00E82B25" w:rsidP="00E82B25">
      <w:pPr>
        <w:pStyle w:val="EStiret"/>
        <w:rPr>
          <w:rFonts w:eastAsia="Calibri" w:cs="Arial"/>
          <w:szCs w:val="18"/>
          <w:lang w:val="cs-CZ"/>
        </w:rPr>
      </w:pPr>
      <w:r w:rsidRPr="003B6E11">
        <w:rPr>
          <w:lang w:val="cs-CZ"/>
        </w:rPr>
        <w:t>aa)</w:t>
      </w:r>
      <w:r w:rsidRPr="003B6E11">
        <w:rPr>
          <w:lang w:val="cs-CZ"/>
        </w:rPr>
        <w:tab/>
        <w:t>jsou vyrobeny ze schváleného nehořlavého materiálu. Kromě toho všechny materiály použité při výrobě a montáži dělících stěn musí být nehořlavé s výjimkou obložení, které musí alespoň zpomalovat hoření;</w:t>
      </w:r>
    </w:p>
    <w:p w:rsidR="00E82B25" w:rsidRPr="003B6E11" w:rsidRDefault="00E82B25" w:rsidP="00E82B25">
      <w:pPr>
        <w:pStyle w:val="EStiret"/>
        <w:rPr>
          <w:rFonts w:eastAsia="Calibri" w:cs="Arial"/>
          <w:szCs w:val="18"/>
          <w:lang w:val="cs-CZ"/>
        </w:rPr>
      </w:pPr>
      <w:r w:rsidRPr="003B6E11">
        <w:rPr>
          <w:lang w:val="cs-CZ"/>
        </w:rPr>
        <w:t>bb)</w:t>
      </w:r>
      <w:r w:rsidRPr="003B6E11">
        <w:rPr>
          <w:lang w:val="cs-CZ"/>
        </w:rPr>
        <w:tab/>
        <w:t>vykazují takovou izolační hodnotu, že průměrná teplota na straně odvrácené od ohně se nezvýší o více než 140 °C nad počáteční teplotu a na žádném místě, včetně styčných spár, nedojde během níže uvedené doby ke zvýšení teploty o více než 225 °C nad počáteční teplotu:</w:t>
      </w:r>
    </w:p>
    <w:p w:rsidR="00E82B25" w:rsidRPr="003B6E11" w:rsidRDefault="00E82B25" w:rsidP="00E82B25">
      <w:pPr>
        <w:pStyle w:val="EStiretpar"/>
        <w:tabs>
          <w:tab w:val="decimal" w:pos="2835"/>
          <w:tab w:val="left" w:pos="2977"/>
        </w:tabs>
        <w:rPr>
          <w:rFonts w:eastAsia="Calibri" w:cs="Arial"/>
          <w:szCs w:val="18"/>
          <w:lang w:val="cs-CZ"/>
        </w:rPr>
      </w:pPr>
      <w:r w:rsidRPr="003B6E11">
        <w:rPr>
          <w:lang w:val="cs-CZ"/>
        </w:rPr>
        <w:t xml:space="preserve">typ B15 </w:t>
      </w:r>
      <w:r w:rsidRPr="003B6E11">
        <w:rPr>
          <w:lang w:val="cs-CZ"/>
        </w:rPr>
        <w:tab/>
        <w:t>15</w:t>
      </w:r>
      <w:r w:rsidRPr="003B6E11">
        <w:rPr>
          <w:lang w:val="cs-CZ"/>
        </w:rPr>
        <w:tab/>
        <w:t>minut</w:t>
      </w:r>
    </w:p>
    <w:p w:rsidR="00E82B25" w:rsidRPr="003B6E11" w:rsidRDefault="00E82B25" w:rsidP="00E82B25">
      <w:pPr>
        <w:pStyle w:val="EStiretpar"/>
        <w:tabs>
          <w:tab w:val="decimal" w:pos="2835"/>
          <w:tab w:val="left" w:pos="2977"/>
        </w:tabs>
        <w:rPr>
          <w:rFonts w:eastAsia="Calibri" w:cs="Arial"/>
          <w:szCs w:val="18"/>
          <w:lang w:val="cs-CZ"/>
        </w:rPr>
      </w:pPr>
      <w:r w:rsidRPr="003B6E11">
        <w:rPr>
          <w:lang w:val="cs-CZ"/>
        </w:rPr>
        <w:t xml:space="preserve">typ B0 </w:t>
      </w:r>
      <w:r w:rsidRPr="003B6E11">
        <w:rPr>
          <w:lang w:val="cs-CZ"/>
        </w:rPr>
        <w:tab/>
        <w:t>0</w:t>
      </w:r>
      <w:r w:rsidRPr="003B6E11">
        <w:rPr>
          <w:lang w:val="cs-CZ"/>
        </w:rPr>
        <w:tab/>
        <w:t>minut;</w:t>
      </w:r>
    </w:p>
    <w:p w:rsidR="00E82B25" w:rsidRPr="003B6E11" w:rsidRDefault="00E82B25" w:rsidP="00E82B25">
      <w:pPr>
        <w:pStyle w:val="EStiret"/>
        <w:rPr>
          <w:rFonts w:eastAsia="Calibri" w:cs="Arial"/>
          <w:szCs w:val="18"/>
          <w:lang w:val="cs-CZ"/>
        </w:rPr>
      </w:pPr>
      <w:r w:rsidRPr="003B6E11">
        <w:rPr>
          <w:lang w:val="cs-CZ"/>
        </w:rPr>
        <w:t>cc)</w:t>
      </w:r>
      <w:r w:rsidRPr="003B6E11">
        <w:rPr>
          <w:lang w:val="cs-CZ"/>
        </w:rPr>
        <w:tab/>
        <w:t>jsou zkonstruovány tak, aby zabraňovaly pronikání plamenů do konce první půlhodiny běžné požární zkoušky.</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3.</w:t>
      </w:r>
      <w:r w:rsidRPr="003B6E11">
        <w:rPr>
          <w:lang w:val="cs-CZ"/>
        </w:rPr>
        <w:tab/>
        <w:t>Barvy, laky a jiné výrobky k ošetření povrchů a palubní krytiny použité v místnostech s výjimkou strojoven a skladovacích prostor musí zpomalovat hoření. Koberce, tkaniny, záclony a jiné závěsné textilní materiály a čalouněný nábytek a lůžkoviny musí zpomalovat hoření, nejsou-li místnosti, v nichž se nacházejí, vybaveny postřikovacím systémem s tlakovou vodou podle článku 13.04.</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4.</w:t>
      </w:r>
      <w:r w:rsidRPr="003B6E11">
        <w:rPr>
          <w:lang w:val="cs-CZ"/>
        </w:rPr>
        <w:tab/>
        <w:t>Stropy a obložení stěn ve společenských prostorech, včetně základových konstrukcí, musí být, nejsou-li tyto společenské prostory vybaveny postřikovacím systémem s tlakovou vodou v souladu s článkem 13.04, zhotoveny z nehořlavých materiálů s výjimkou povrchů, které musí alespoň zpomalovat hoření. První věta se nevztahuje na sauny.</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5.</w:t>
      </w:r>
      <w:r w:rsidRPr="003B6E11">
        <w:rPr>
          <w:lang w:val="cs-CZ"/>
        </w:rPr>
        <w:tab/>
        <w:t>Nábytek a vybavení ve společenských prostorech, které slouží jako shromažďovací prostory, musí být vyrobeny z nehořlavých materiálů, nejsou-li tyto prostory vybaveny postřikovacím systémem s tlakovou vodou podle článku 13.04.</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br w:type="page"/>
      </w:r>
    </w:p>
    <w:p w:rsidR="00E82B25" w:rsidRPr="003B6E11" w:rsidRDefault="00E82B25" w:rsidP="00E82B25">
      <w:pPr>
        <w:pStyle w:val="ESch"/>
        <w:rPr>
          <w:rFonts w:eastAsia="Calibri"/>
          <w:noProof/>
          <w:lang w:val="cs-CZ"/>
        </w:rPr>
      </w:pPr>
      <w:r w:rsidRPr="003B6E11">
        <w:rPr>
          <w:lang w:val="cs-CZ"/>
        </w:rPr>
        <w:t>6.</w:t>
      </w:r>
      <w:r w:rsidRPr="003B6E11">
        <w:rPr>
          <w:lang w:val="cs-CZ"/>
        </w:rPr>
        <w:tab/>
        <w:t>Barvy, laky a jiné materiály použité na nechráněných vnitřních površích nesmějí produkovat nadměrné množství kouře nebo toxických látek. Toto je nutno prokázat v souladu s předpisem pro provádění požárních zkoušek.</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7.</w:t>
      </w:r>
      <w:r w:rsidRPr="003B6E11">
        <w:rPr>
          <w:lang w:val="cs-CZ"/>
        </w:rPr>
        <w:tab/>
        <w:t>Izolační materiály ve společenských prostorech musí být nehořlavé. To neplatí pro izolace použité na potrubích vedoucích chladivo. Povrchy izolačních materiálů použitých na těchto potrubích musí alespoň zpomalovat hoření.</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8.</w:t>
      </w:r>
      <w:r w:rsidRPr="003B6E11">
        <w:rPr>
          <w:lang w:val="cs-CZ"/>
        </w:rPr>
        <w:tab/>
        <w:t>Ochranné plachty nebo podobná mobilní zařízení, kterými jsou paluby zcela nebo částečně uzavřeny, a jejich nosné konstrukce musí alespoň zpomalovat hoření.</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9.</w:t>
      </w:r>
      <w:r w:rsidRPr="003B6E11">
        <w:rPr>
          <w:lang w:val="cs-CZ"/>
        </w:rPr>
        <w:tab/>
        <w:t>Dveře v dělících stěnách podle odstavce 2 musí splňovat tyto požadavky:</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splňují stejné požadavky podle odstavce 2 jako samotné dělící stěny;</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musí být samouzavírací v případě dveří v dělících stěnách podle odstavce 10 nebo v případě obestavění strojoven, kuchyní a schodišťových šachet;</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samouzavírací dveře, které jsou při běžném provozu otevřené, musí být takové, aby se daly zavřít ze stanoviště trvale obsazeného lodním personálem nebo členy posádky. Po dálkovém uzavření dveří musí být možné je znovu bezpečně otevřít a zavřít na místě;</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vodotěsné dveře podle článku 19.02 nemusí být izolovány.</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 xml:space="preserve">10. </w:t>
      </w:r>
      <w:r w:rsidRPr="003B6E11">
        <w:rPr>
          <w:lang w:val="cs-CZ"/>
        </w:rPr>
        <w:tab/>
        <w:t>Stěny podle odstavce 2 musí být průběžné od paluby k palubě nebo končit na průběžných stropech, které splňují stejné požadavky, jako jsou uvedeny v odstavci 2.</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11.</w:t>
      </w:r>
      <w:r w:rsidRPr="003B6E11">
        <w:rPr>
          <w:lang w:val="cs-CZ"/>
        </w:rPr>
        <w:tab/>
        <w:t>Svislými dělícími stěnami podle odstavce 2 musí být rozděleny tyto prostory pro cestující:</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prostory pro cestující s celkovou povrchovou plochou více než 800 m</w:t>
      </w:r>
      <w:r w:rsidRPr="003B6E11">
        <w:rPr>
          <w:vertAlign w:val="superscript"/>
          <w:lang w:val="cs-CZ"/>
        </w:rPr>
        <w:t>2</w:t>
      </w:r>
      <w:r w:rsidRPr="003B6E11">
        <w:rPr>
          <w:lang w:val="cs-CZ"/>
        </w:rPr>
        <w:t>;</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prostory pro cestující, v nichž se nacházejí kajuty, v odstupech nejvýše 40 m.</w:t>
      </w:r>
    </w:p>
    <w:p w:rsidR="00E82B25" w:rsidRPr="003B6E11" w:rsidRDefault="00E82B25" w:rsidP="00E82B25">
      <w:pPr>
        <w:pStyle w:val="ESch"/>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Svislé dělící stěny nesmí za běžných provozních podmínek propouštět kouř a musí být průběžné od paluby k palubě.</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12.</w:t>
      </w:r>
      <w:r w:rsidRPr="003B6E11">
        <w:rPr>
          <w:lang w:val="cs-CZ"/>
        </w:rPr>
        <w:tab/>
        <w:t>Dutiny nad stropy, pod podlahami a za obložením stěn musí být odděleny v odstupech nejvýše 14 m nehořlavými clonami, které zamezují přívodu vzduchu a které i v případě požáru poskytují účinné ohnivzdorné utěsnění.</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13.</w:t>
      </w:r>
      <w:r w:rsidRPr="003B6E11">
        <w:rPr>
          <w:lang w:val="cs-CZ"/>
        </w:rPr>
        <w:tab/>
        <w:t>Schody musí být vyrobeny z oceli nebo jiného rovnocenně nehořlavého materiálu.</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14.</w:t>
      </w:r>
      <w:r w:rsidRPr="003B6E11">
        <w:rPr>
          <w:lang w:val="cs-CZ"/>
        </w:rPr>
        <w:tab/>
        <w:t>Vnitřní schody a výtahy musí být na všech úrovních uzavřené stěnami podle odstavce 2. Přípustné jsou tyto výjimky:</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schodiště spojující pouze dvě paluby nemusí být uzavřené, pokud na jedné palubě je schodiště uzavřené podle odstavce 2;</w:t>
      </w:r>
    </w:p>
    <w:p w:rsidR="00E82B25" w:rsidRPr="003B6E11" w:rsidRDefault="00E82B25" w:rsidP="00E82B25">
      <w:pPr>
        <w:pStyle w:val="ESlet"/>
        <w:rPr>
          <w:rFonts w:eastAsia="Calibri"/>
          <w:noProof/>
          <w:lang w:val="cs-CZ"/>
        </w:rPr>
      </w:pPr>
    </w:p>
    <w:p w:rsidR="00E82B25" w:rsidRPr="003B6E11" w:rsidRDefault="00E82B25" w:rsidP="00E82B25">
      <w:pPr>
        <w:pStyle w:val="ESlet"/>
        <w:rPr>
          <w:rFonts w:eastAsia="Calibri"/>
          <w:noProof/>
          <w:lang w:val="cs-CZ"/>
        </w:rPr>
      </w:pPr>
      <w:r w:rsidRPr="003B6E11">
        <w:rPr>
          <w:lang w:val="cs-CZ"/>
        </w:rPr>
        <w:br w:type="page"/>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ve společenském prostoru nemusí být schody uzavřené, jsou-li umístěny zcela uvnitř této místnosti a</w:t>
      </w:r>
    </w:p>
    <w:p w:rsidR="00E82B25" w:rsidRPr="003B6E11" w:rsidRDefault="00E82B25" w:rsidP="00E82B25">
      <w:pPr>
        <w:pStyle w:val="EStiret"/>
        <w:rPr>
          <w:rFonts w:eastAsia="Calibri" w:cs="Arial"/>
          <w:szCs w:val="18"/>
          <w:lang w:val="cs-CZ"/>
        </w:rPr>
      </w:pPr>
      <w:r w:rsidRPr="003B6E11">
        <w:rPr>
          <w:lang w:val="cs-CZ"/>
        </w:rPr>
        <w:t>aa)</w:t>
      </w:r>
      <w:r w:rsidRPr="003B6E11">
        <w:rPr>
          <w:lang w:val="cs-CZ"/>
        </w:rPr>
        <w:tab/>
        <w:t>pokud se tato místnost rozkládá pouze přes dvě paluby nebo</w:t>
      </w:r>
    </w:p>
    <w:p w:rsidR="00E82B25" w:rsidRPr="003B6E11" w:rsidRDefault="00E82B25" w:rsidP="00E82B25">
      <w:pPr>
        <w:pStyle w:val="EStiret"/>
        <w:rPr>
          <w:rFonts w:eastAsia="Calibri" w:cs="Arial"/>
          <w:szCs w:val="18"/>
          <w:lang w:val="cs-CZ"/>
        </w:rPr>
      </w:pPr>
      <w:r w:rsidRPr="003B6E11">
        <w:rPr>
          <w:lang w:val="cs-CZ"/>
        </w:rPr>
        <w:t>bb)</w:t>
      </w:r>
      <w:r w:rsidRPr="003B6E11">
        <w:rPr>
          <w:lang w:val="cs-CZ"/>
        </w:rPr>
        <w:tab/>
        <w:t>je-li v místnosti nainstalován na všech palubách postřikovací systém s tlakovou vodou podle článku 13.04, místnost má systém odvádění kouře podle odstavce 16 a na všech palubách je v místnosti přístup ke schodišťové šachtě.</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15.</w:t>
      </w:r>
      <w:r w:rsidRPr="003B6E11">
        <w:rPr>
          <w:lang w:val="cs-CZ"/>
        </w:rPr>
        <w:tab/>
        <w:t>Větrací soustavy a soustavy přívodu vzduchu musí splňovat tyto požadavky:</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musí být navrženy tak, aby bylo zajištěno, že samy o sobě nemohou způsobit šíření ohně a kouře;</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otvory pro nasávání a odsávání vzduchu a systémy přívodu vzduchu musí být možné uzavřít;</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větrací kanály musí být zhotoveny z oceli nebo rovnocenného nehořlavého materiálu a být bezpečně spojeny navzájem a s nástavbou plavidla;</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procházejí-li větrací kanály o průměru více než 0,02 m</w:t>
      </w:r>
      <w:r w:rsidRPr="003B6E11">
        <w:rPr>
          <w:vertAlign w:val="superscript"/>
          <w:lang w:val="cs-CZ"/>
        </w:rPr>
        <w:t>2</w:t>
      </w:r>
      <w:r w:rsidRPr="003B6E11">
        <w:rPr>
          <w:lang w:val="cs-CZ"/>
        </w:rPr>
        <w:t xml:space="preserve"> dělícími stěnami podle odstavce 2 typu A nebo dělícími stěnami podle odstavce 10, musí být opatřeny samočinnými požárními klapkami, které lze ovládat ze stanoviště trvale obsazeného lodním personálem nebo členy posádky;</w:t>
      </w:r>
    </w:p>
    <w:p w:rsidR="00E82B25" w:rsidRPr="003B6E11" w:rsidRDefault="00E82B25" w:rsidP="00E82B25">
      <w:pPr>
        <w:pStyle w:val="ESlet"/>
        <w:rPr>
          <w:rFonts w:eastAsia="Calibri" w:cs="Arial"/>
          <w:szCs w:val="18"/>
          <w:lang w:val="cs-CZ"/>
        </w:rPr>
      </w:pPr>
      <w:r w:rsidRPr="003B6E11">
        <w:rPr>
          <w:lang w:val="cs-CZ"/>
        </w:rPr>
        <w:t>e)</w:t>
      </w:r>
      <w:r w:rsidRPr="003B6E11">
        <w:rPr>
          <w:lang w:val="cs-CZ"/>
        </w:rPr>
        <w:tab/>
        <w:t>větrací soustavy pro kuchyně a strojovny musí být odděleny od větracích soustav určených pro ostatní prostory;</w:t>
      </w:r>
    </w:p>
    <w:p w:rsidR="00E82B25" w:rsidRPr="003B6E11" w:rsidRDefault="00E82B25" w:rsidP="00E82B25">
      <w:pPr>
        <w:pStyle w:val="ESlet"/>
        <w:rPr>
          <w:rFonts w:eastAsia="Calibri" w:cs="Arial"/>
          <w:szCs w:val="18"/>
          <w:lang w:val="cs-CZ"/>
        </w:rPr>
      </w:pPr>
      <w:r w:rsidRPr="003B6E11">
        <w:rPr>
          <w:lang w:val="cs-CZ"/>
        </w:rPr>
        <w:t>f)</w:t>
      </w:r>
      <w:r w:rsidRPr="003B6E11">
        <w:rPr>
          <w:lang w:val="cs-CZ"/>
        </w:rPr>
        <w:tab/>
        <w:t>odvětrávací kanály musí být opatřeny uzavíratelnými otvory určenými k prohlídkám a čištění. Tyto otvory se musí nacházet v blízkosti požárních klapek;</w:t>
      </w:r>
    </w:p>
    <w:p w:rsidR="00E82B25" w:rsidRPr="003B6E11" w:rsidRDefault="00E82B25" w:rsidP="00E82B25">
      <w:pPr>
        <w:pStyle w:val="ESlet"/>
        <w:rPr>
          <w:rFonts w:eastAsia="Calibri" w:cs="Arial"/>
          <w:szCs w:val="18"/>
          <w:lang w:val="cs-CZ"/>
        </w:rPr>
      </w:pPr>
      <w:r w:rsidRPr="003B6E11">
        <w:rPr>
          <w:lang w:val="cs-CZ"/>
        </w:rPr>
        <w:t>g)</w:t>
      </w:r>
      <w:r w:rsidRPr="003B6E11">
        <w:rPr>
          <w:lang w:val="cs-CZ"/>
        </w:rPr>
        <w:tab/>
        <w:t>vestavěné větráky musí být možné vypnout z centrálního stanoviště mimo strojovnu.</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16.</w:t>
      </w:r>
      <w:r w:rsidRPr="003B6E11">
        <w:rPr>
          <w:lang w:val="cs-CZ"/>
        </w:rPr>
        <w:tab/>
        <w:t>Kuchyně musí být vybaveny větracími soustavami a sporáky s odsávači par. Odvětrávací kanály odsávačů musí splňovat požadavky podle odstavce 14 a navíc být vybaveny ručně ovládanými požárními klapkami na vstupních otvorech.</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17.</w:t>
      </w:r>
      <w:r w:rsidRPr="003B6E11">
        <w:rPr>
          <w:lang w:val="cs-CZ"/>
        </w:rPr>
        <w:tab/>
        <w:t>Ovládací stanoviště, schodišťové šachty a vnitřní shromažďovací prostory musí být vybaveny přirozenými nebo mechanickými systémy odvádění kouře. Systémy odvádění kouře musí splňovat tyto požadavky:</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musí být dostatečně výkonné a spolehlivé;</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musí odpovídat provozním podmínkám osobních lodí;</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slouží-li systémy odvádění kouře rovněž jako obecné větráky prostor, nesmí to v případě požáru bránit jejich fungování jakožto systémů odvádění kouře;</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systémy odvádění kouře musí mít ručně ovládané spouštěcí zařízení;</w:t>
      </w:r>
    </w:p>
    <w:p w:rsidR="00E82B25" w:rsidRPr="003B6E11" w:rsidRDefault="00E82B25" w:rsidP="00E82B25">
      <w:pPr>
        <w:pStyle w:val="ESlet"/>
        <w:rPr>
          <w:rFonts w:eastAsia="Calibri" w:cs="Arial"/>
          <w:szCs w:val="18"/>
          <w:lang w:val="cs-CZ"/>
        </w:rPr>
      </w:pPr>
      <w:r w:rsidRPr="003B6E11">
        <w:rPr>
          <w:lang w:val="cs-CZ"/>
        </w:rPr>
        <w:t>e)</w:t>
      </w:r>
      <w:r w:rsidRPr="003B6E11">
        <w:rPr>
          <w:lang w:val="cs-CZ"/>
        </w:rPr>
        <w:tab/>
        <w:t>mechanické systémy odvádění kouře musí kromě toho být možné ovládat ze stanoviště trvale obsazeného lodním personálem nebo členy posádky;</w:t>
      </w:r>
    </w:p>
    <w:p w:rsidR="00E82B25" w:rsidRPr="003B6E11" w:rsidRDefault="00E82B25" w:rsidP="00E82B25">
      <w:pPr>
        <w:pStyle w:val="ESlet"/>
        <w:rPr>
          <w:rFonts w:eastAsia="Calibri" w:cs="Arial"/>
          <w:szCs w:val="18"/>
          <w:lang w:val="cs-CZ"/>
        </w:rPr>
      </w:pPr>
      <w:r w:rsidRPr="003B6E11">
        <w:rPr>
          <w:lang w:val="cs-CZ"/>
        </w:rPr>
        <w:t>f)</w:t>
      </w:r>
      <w:r w:rsidRPr="003B6E11">
        <w:rPr>
          <w:lang w:val="cs-CZ"/>
        </w:rPr>
        <w:tab/>
        <w:t>přirozené systémy odvádění kouře musí být vybaveny otevíracím mechanismem ovládaným ručně nebo zdrojem energie uvnitř systému odvádění;</w:t>
      </w:r>
    </w:p>
    <w:p w:rsidR="00E82B25" w:rsidRPr="003B6E11" w:rsidRDefault="00E82B25" w:rsidP="00E82B25">
      <w:pPr>
        <w:pStyle w:val="ESlet"/>
        <w:rPr>
          <w:rFonts w:eastAsia="Calibri" w:cs="Arial"/>
          <w:szCs w:val="18"/>
          <w:lang w:val="cs-CZ"/>
        </w:rPr>
      </w:pPr>
      <w:r w:rsidRPr="003B6E11">
        <w:rPr>
          <w:lang w:val="cs-CZ"/>
        </w:rPr>
        <w:t>g)</w:t>
      </w:r>
      <w:r w:rsidRPr="003B6E11">
        <w:rPr>
          <w:lang w:val="cs-CZ"/>
        </w:rPr>
        <w:tab/>
        <w:t>ručně ovládaná spouštěcí zařízení a otvírací mechanismy musí být přístupné zevnitř nebo zvenku chráněného prostoru.</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br w:type="page"/>
      </w:r>
    </w:p>
    <w:p w:rsidR="00E82B25" w:rsidRPr="003B6E11" w:rsidRDefault="00E82B25" w:rsidP="00E82B25">
      <w:pPr>
        <w:pStyle w:val="ESch"/>
        <w:rPr>
          <w:rFonts w:eastAsia="Calibri" w:cs="Arial"/>
          <w:szCs w:val="18"/>
          <w:lang w:val="cs-CZ"/>
        </w:rPr>
      </w:pPr>
      <w:r w:rsidRPr="003B6E11">
        <w:rPr>
          <w:lang w:val="cs-CZ"/>
        </w:rPr>
        <w:t>18.</w:t>
      </w:r>
      <w:r w:rsidRPr="003B6E11">
        <w:rPr>
          <w:lang w:val="cs-CZ"/>
        </w:rPr>
        <w:tab/>
        <w:t>Společenské prostory bez trvalého dohledu lodního personálu nebo členů posádky, kuchyně, strojovny a jiné místnosti s rizikem vzniku požáru musí být napojeny na vhodný požární poplašný systém. Požár a přesné místo jeho výskytu se musí automaticky zobrazit na stanovišti trvale obsazeném lodním personálem nebo členy posádky.</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p>
    <w:p w:rsidR="00E82B25" w:rsidRPr="003B6E11" w:rsidRDefault="00E82B25" w:rsidP="00E82B25">
      <w:pPr>
        <w:pStyle w:val="ES-Titre3"/>
        <w:rPr>
          <w:rFonts w:cs="Arial"/>
          <w:i/>
          <w:szCs w:val="18"/>
          <w:lang w:val="cs-CZ"/>
        </w:rPr>
      </w:pPr>
      <w:bookmarkStart w:id="368" w:name="_Toc491854181"/>
      <w:bookmarkStart w:id="369" w:name="_Toc535417087"/>
      <w:r w:rsidRPr="003B6E11">
        <w:rPr>
          <w:lang w:val="cs-CZ"/>
        </w:rPr>
        <w:t>Článek 19.12</w:t>
      </w:r>
      <w:r w:rsidRPr="003B6E11">
        <w:rPr>
          <w:lang w:val="cs-CZ"/>
        </w:rPr>
        <w:br/>
      </w:r>
      <w:r w:rsidRPr="003B6E11">
        <w:rPr>
          <w:i/>
          <w:noProof/>
          <w:lang w:val="cs-CZ"/>
        </w:rPr>
        <w:t>Hašení</w:t>
      </w:r>
      <w:bookmarkEnd w:id="368"/>
      <w:bookmarkEnd w:id="369"/>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w:t>
      </w:r>
      <w:r w:rsidRPr="003B6E11">
        <w:rPr>
          <w:lang w:val="cs-CZ"/>
        </w:rPr>
        <w:tab/>
        <w:t>Kromě přenosných hasicích přístrojů podle článku 13.03 musí být na plavidle k dispozici nejméně tyto přenosné hasicí přístroje:</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jeden přenosný hasicí přístroj na každých 120 m</w:t>
      </w:r>
      <w:r w:rsidRPr="003B6E11">
        <w:rPr>
          <w:vertAlign w:val="superscript"/>
          <w:lang w:val="cs-CZ"/>
        </w:rPr>
        <w:t>2</w:t>
      </w:r>
      <w:r w:rsidRPr="003B6E11">
        <w:rPr>
          <w:lang w:val="cs-CZ"/>
        </w:rPr>
        <w:t xml:space="preserve"> hrubé podlahové plochy v místnostech pro cestující;</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jeden přenosný hasicí přístroj na každou započatou skupinu deseti kajut;</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jeden přenosný hasicí přístroj v každé kuchyni a v blízkosti každé místnosti, v níž se skladují nebo používají hořlavé kapaliny. V kuchyních musí být k dispozici rovněž hasicí prostředek vhodný k hašení hořícího tuku.</w:t>
      </w:r>
    </w:p>
    <w:p w:rsidR="00E82B25" w:rsidRPr="003B6E11" w:rsidRDefault="00E82B25" w:rsidP="00E82B25">
      <w:pPr>
        <w:pStyle w:val="ESch"/>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Tyto dodatečné hasicí přístroje musí splňovat požadavky stanovené v čl. 13.03 odst. 2 a být na lodi umístěny a rozloženy tak, aby v případě vzniku požáru kdekoli a kdykoli byl hasicí přístroj ihned k dispozici. V každé kuchyni a rovněž v kadeřnických salónech a parfumeriích musí být po ruce hasicí deky.</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2.</w:t>
      </w:r>
      <w:r w:rsidRPr="003B6E11">
        <w:rPr>
          <w:lang w:val="cs-CZ"/>
        </w:rPr>
        <w:tab/>
        <w:t>Osobní lodě musí být opatřeny soustavou hydrantů skládající se ze:</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dvou požárních čerpadel se strojním pohonem s dostatečným výkonem, jedno z těchto čerpadel musí být pevné;</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jednoho požárního vedení s dostatečným počtem hydrantů s trvale připojenými požárními hadicemi dlouhými nejméně 20 m a opatřenými tryskou, kterou lze vytvořit vodní mlhu i proud vody, a uzavíracím zařízením.</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3.</w:t>
      </w:r>
      <w:r w:rsidRPr="003B6E11">
        <w:rPr>
          <w:lang w:val="cs-CZ"/>
        </w:rPr>
        <w:tab/>
        <w:t>Soustavy hydrantů musí být navrženy a dimenzovány tak, aby</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každé místo na lodi bylo v dosahu nejméně dvou hydrantů nacházejících se na různých místech, každý hydrant musí mít jedinou hadici dlouhou nejvýše 20 m;</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tlak u hydrantů je nejméně 300 kPa a</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na všech palubách lze dosáhnout délky vodního proudu nejméně 6 m.</w:t>
      </w:r>
    </w:p>
    <w:p w:rsidR="00E82B25" w:rsidRPr="003B6E11" w:rsidRDefault="00E82B25" w:rsidP="00E82B25">
      <w:pPr>
        <w:pStyle w:val="ESch"/>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Existují-li skříňky na hydrant, musí být na vnější straně skříňky umístěn symbol „požární hadice“ podle obrázku 5 v příloze 4 s délkou strany nejméně 10 cm.</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4.</w:t>
      </w:r>
      <w:r w:rsidRPr="003B6E11">
        <w:rPr>
          <w:lang w:val="cs-CZ"/>
        </w:rPr>
        <w:tab/>
        <w:t>Ventily hydrantů se závity nebo kohouty musí být možné nastavit tak, aby bylo možné každou požární hadici sundat a odstranit během provozu požárních čerpadel.</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5.</w:t>
      </w:r>
      <w:r w:rsidRPr="003B6E11">
        <w:rPr>
          <w:lang w:val="cs-CZ"/>
        </w:rPr>
        <w:tab/>
        <w:t>Požární hadice ve vnitřních prostorech musí být navinuty na osově připojený naviják.</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6.</w:t>
      </w:r>
      <w:r w:rsidRPr="003B6E11">
        <w:rPr>
          <w:lang w:val="cs-CZ"/>
        </w:rPr>
        <w:tab/>
        <w:t>Materiály požárního zařízení musí být buď žáruvzdorné nebo být vhodně chráněny před poruchou v případě vystavení vysokým teplotám.</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7.</w:t>
      </w:r>
      <w:r w:rsidRPr="003B6E11">
        <w:rPr>
          <w:lang w:val="cs-CZ"/>
        </w:rPr>
        <w:tab/>
        <w:t>Potrubí a hydranty musí být uspořádány tak, aby nehrozilo zamrznutí.</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br w:type="page"/>
      </w:r>
    </w:p>
    <w:p w:rsidR="00E82B25" w:rsidRPr="003B6E11" w:rsidRDefault="00E82B25" w:rsidP="00E82B25">
      <w:pPr>
        <w:pStyle w:val="ESch"/>
        <w:rPr>
          <w:rFonts w:eastAsia="Calibri" w:cs="Arial"/>
          <w:szCs w:val="18"/>
          <w:lang w:val="cs-CZ"/>
        </w:rPr>
      </w:pPr>
      <w:r w:rsidRPr="003B6E11">
        <w:rPr>
          <w:lang w:val="cs-CZ"/>
        </w:rPr>
        <w:t>8.</w:t>
      </w:r>
      <w:r w:rsidRPr="003B6E11">
        <w:rPr>
          <w:lang w:val="cs-CZ"/>
        </w:rPr>
        <w:tab/>
        <w:t>Požární čerpadla musí:</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být instalována nebo umístěna v oddělených prostorech;</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být ovladatelná nezávisle na sobě;</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každé být schopné na všech palubách udržet potřebný tlak u hydrantů a dosáhnout požadované délky proudu vody;</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být instalována před záďovou přepážkou.</w:t>
      </w:r>
    </w:p>
    <w:p w:rsidR="00E82B25" w:rsidRPr="003B6E11" w:rsidRDefault="00E82B25" w:rsidP="00E82B25">
      <w:pPr>
        <w:pStyle w:val="ESch"/>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Požární čerpadla lze využívat i k obecným účelům.</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9.</w:t>
      </w:r>
      <w:r w:rsidRPr="003B6E11">
        <w:rPr>
          <w:lang w:val="cs-CZ"/>
        </w:rPr>
        <w:tab/>
        <w:t>Strojovny musí být vybaveny pevnou požární soustavou podle článku 13.05.</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10.</w:t>
      </w:r>
      <w:r w:rsidRPr="003B6E11">
        <w:rPr>
          <w:lang w:val="cs-CZ"/>
        </w:rPr>
        <w:tab/>
        <w:t>Na kajutových osobních lodích musí být k dispozici:</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dva samostatné dýchací přístroje typu 2 podle evropské normy EN 137:2006 s celoobličejovou maskou podle evropské normy EN 136:1998;</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 xml:space="preserve">dvě sady vybavení skládající se nejméně z ochranného oděvu, helmy, holínek, rukavic, sekery, páčidla, svítilny a bezpečnostní šňůry; </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čtyři respirační kukly.</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p>
    <w:p w:rsidR="00E82B25" w:rsidRPr="003B6E11" w:rsidRDefault="00E82B25" w:rsidP="00E82B25">
      <w:pPr>
        <w:pStyle w:val="ES-Titre3"/>
        <w:rPr>
          <w:rFonts w:cs="Arial"/>
          <w:i/>
          <w:szCs w:val="18"/>
          <w:lang w:val="cs-CZ"/>
        </w:rPr>
      </w:pPr>
      <w:bookmarkStart w:id="370" w:name="_Toc491854182"/>
      <w:bookmarkStart w:id="371" w:name="_Toc535417088"/>
      <w:r w:rsidRPr="003B6E11">
        <w:rPr>
          <w:lang w:val="cs-CZ"/>
        </w:rPr>
        <w:t>Článek 19.13</w:t>
      </w:r>
      <w:r w:rsidRPr="003B6E11">
        <w:rPr>
          <w:lang w:val="cs-CZ"/>
        </w:rPr>
        <w:br/>
      </w:r>
      <w:r w:rsidRPr="003B6E11">
        <w:rPr>
          <w:i/>
          <w:noProof/>
          <w:lang w:val="cs-CZ"/>
        </w:rPr>
        <w:t>Zajištění bezpečnosti</w:t>
      </w:r>
      <w:bookmarkEnd w:id="370"/>
      <w:bookmarkEnd w:id="371"/>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w:t>
      </w:r>
      <w:r w:rsidRPr="003B6E11">
        <w:rPr>
          <w:lang w:val="cs-CZ"/>
        </w:rPr>
        <w:tab/>
        <w:t>Na osobních lodích se musí nacházet bezpečnostní rozpis. Bezpečnostní rozpis popisuje povinnosti posádky a lodního personálu za těchto okolností:</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havárie;</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požár na plavidle;</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evakuace cestujících;</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člověk přes palubu.</w:t>
      </w:r>
    </w:p>
    <w:p w:rsidR="00E82B25" w:rsidRPr="003B6E11" w:rsidRDefault="00E82B25" w:rsidP="00E82B25">
      <w:pPr>
        <w:pStyle w:val="ESch"/>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Je nutno vzít v úvahu zvláštní bezpečnostní opatření pro osoby s omezenou schopností pohybu a orientace.</w:t>
      </w:r>
    </w:p>
    <w:p w:rsidR="00E82B25" w:rsidRPr="003B6E11" w:rsidRDefault="00E82B25" w:rsidP="00E82B25">
      <w:pPr>
        <w:pStyle w:val="ESchpar"/>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Členové posádky a lodní personál uvedený v bezpečnostním rozpisu musí mít přiděleny různé úkoly podle místa, které zastávají. Zvláštní pokyny pro posádku musí zajistit, aby v případě nebezpečí byly všechny dveře a otvory ve vodotěsných přepážkách podle článku 19.02 neprodleně hermeticky uzavřeny.</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2.</w:t>
      </w:r>
      <w:r w:rsidRPr="003B6E11">
        <w:rPr>
          <w:lang w:val="cs-CZ"/>
        </w:rPr>
        <w:tab/>
        <w:t>Bezpečnostní rozpis obsahuje bezpečnostní plán, v němž jsou zřetelně a přesně označeny nejméně:</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prostory určené pro osoby s omezenou schopností pohybu a orientace;</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únikové cesty, nouzové východy a shromažďovací a evakuační prostory;</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záchranné prostředky a lodní čluny;</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hasicí přístroje a hasicí postřikovací systémy s tlakovou vodou;</w:t>
      </w:r>
    </w:p>
    <w:p w:rsidR="00E82B25" w:rsidRPr="003B6E11" w:rsidRDefault="00E82B25" w:rsidP="00E82B25">
      <w:pPr>
        <w:pStyle w:val="ESlet"/>
        <w:rPr>
          <w:rFonts w:eastAsia="Calibri" w:cs="Arial"/>
          <w:szCs w:val="18"/>
          <w:lang w:val="cs-CZ"/>
        </w:rPr>
      </w:pPr>
      <w:r w:rsidRPr="003B6E11">
        <w:rPr>
          <w:lang w:val="cs-CZ"/>
        </w:rPr>
        <w:t>e)</w:t>
      </w:r>
      <w:r w:rsidRPr="003B6E11">
        <w:rPr>
          <w:lang w:val="cs-CZ"/>
        </w:rPr>
        <w:tab/>
        <w:t>ostatní bezpečnostní zařízení;</w:t>
      </w:r>
    </w:p>
    <w:p w:rsidR="00E82B25" w:rsidRPr="003B6E11" w:rsidRDefault="00E82B25" w:rsidP="00E82B25">
      <w:pPr>
        <w:pStyle w:val="ESlet"/>
        <w:rPr>
          <w:rFonts w:eastAsia="Calibri" w:cs="Arial"/>
          <w:szCs w:val="18"/>
          <w:lang w:val="cs-CZ"/>
        </w:rPr>
      </w:pPr>
      <w:r w:rsidRPr="003B6E11">
        <w:rPr>
          <w:lang w:val="cs-CZ"/>
        </w:rPr>
        <w:t>f)</w:t>
      </w:r>
      <w:r w:rsidRPr="003B6E11">
        <w:rPr>
          <w:lang w:val="cs-CZ"/>
        </w:rPr>
        <w:tab/>
        <w:t>poplašný systém podle čl. 19.08 odst. 3 písm. a);</w:t>
      </w:r>
    </w:p>
    <w:p w:rsidR="00E82B25" w:rsidRPr="003B6E11" w:rsidRDefault="00E82B25" w:rsidP="00E82B25">
      <w:pPr>
        <w:pStyle w:val="ESlet"/>
        <w:rPr>
          <w:rFonts w:eastAsia="Calibri"/>
          <w:noProof/>
          <w:lang w:val="cs-CZ"/>
        </w:rPr>
      </w:pPr>
    </w:p>
    <w:p w:rsidR="00E82B25" w:rsidRPr="003B6E11" w:rsidRDefault="00E82B25" w:rsidP="00E82B25">
      <w:pPr>
        <w:pStyle w:val="ESlet"/>
        <w:rPr>
          <w:rFonts w:eastAsia="Calibri"/>
          <w:noProof/>
          <w:lang w:val="cs-CZ"/>
        </w:rPr>
      </w:pPr>
      <w:r w:rsidRPr="003B6E11">
        <w:rPr>
          <w:lang w:val="cs-CZ"/>
        </w:rPr>
        <w:br w:type="page"/>
      </w:r>
    </w:p>
    <w:p w:rsidR="00E82B25" w:rsidRPr="003B6E11" w:rsidRDefault="00E82B25" w:rsidP="00E82B25">
      <w:pPr>
        <w:pStyle w:val="ESlet"/>
        <w:rPr>
          <w:rFonts w:eastAsia="Calibri" w:cs="Arial"/>
          <w:szCs w:val="18"/>
          <w:lang w:val="cs-CZ"/>
        </w:rPr>
      </w:pPr>
      <w:r w:rsidRPr="003B6E11">
        <w:rPr>
          <w:lang w:val="cs-CZ"/>
        </w:rPr>
        <w:t>g)</w:t>
      </w:r>
      <w:r w:rsidRPr="003B6E11">
        <w:rPr>
          <w:lang w:val="cs-CZ"/>
        </w:rPr>
        <w:tab/>
        <w:t>poplašný systém podle čl. 19.08 odst. 3 písm. b) a c);</w:t>
      </w:r>
    </w:p>
    <w:p w:rsidR="00E82B25" w:rsidRPr="003B6E11" w:rsidRDefault="00E82B25" w:rsidP="00E82B25">
      <w:pPr>
        <w:pStyle w:val="ESlet"/>
        <w:rPr>
          <w:rFonts w:eastAsia="Calibri" w:cs="Arial"/>
          <w:szCs w:val="18"/>
          <w:lang w:val="cs-CZ"/>
        </w:rPr>
      </w:pPr>
      <w:r w:rsidRPr="003B6E11">
        <w:rPr>
          <w:lang w:val="cs-CZ"/>
        </w:rPr>
        <w:t>h)</w:t>
      </w:r>
      <w:r w:rsidRPr="003B6E11">
        <w:rPr>
          <w:lang w:val="cs-CZ"/>
        </w:rPr>
        <w:tab/>
        <w:t>dveře v přepážkách podle čl. 19.02 odst. 5 a místa jejich ovládání a další otvory podle čl. 19.02 odst. 9, 10 a 13 a čl. 19.03 odst. 12;</w:t>
      </w:r>
    </w:p>
    <w:p w:rsidR="00E82B25" w:rsidRPr="003B6E11" w:rsidRDefault="00E82B25" w:rsidP="00E82B25">
      <w:pPr>
        <w:pStyle w:val="ESlet"/>
        <w:rPr>
          <w:rFonts w:eastAsia="Calibri" w:cs="Arial"/>
          <w:szCs w:val="18"/>
          <w:lang w:val="cs-CZ"/>
        </w:rPr>
      </w:pPr>
      <w:r w:rsidRPr="003B6E11">
        <w:rPr>
          <w:lang w:val="cs-CZ"/>
        </w:rPr>
        <w:t>i)</w:t>
      </w:r>
      <w:r w:rsidRPr="003B6E11">
        <w:rPr>
          <w:lang w:val="cs-CZ"/>
        </w:rPr>
        <w:tab/>
        <w:t>dveře podle čl. 19.11 odst. 9;</w:t>
      </w:r>
    </w:p>
    <w:p w:rsidR="00E82B25" w:rsidRPr="003B6E11" w:rsidRDefault="00E82B25" w:rsidP="00E82B25">
      <w:pPr>
        <w:pStyle w:val="ESlet"/>
        <w:rPr>
          <w:rFonts w:eastAsia="Calibri" w:cs="Arial"/>
          <w:szCs w:val="18"/>
          <w:lang w:val="cs-CZ"/>
        </w:rPr>
      </w:pPr>
      <w:r w:rsidRPr="003B6E11">
        <w:rPr>
          <w:lang w:val="cs-CZ"/>
        </w:rPr>
        <w:t>j)</w:t>
      </w:r>
      <w:r w:rsidRPr="003B6E11">
        <w:rPr>
          <w:lang w:val="cs-CZ"/>
        </w:rPr>
        <w:tab/>
        <w:t>požární klapky;</w:t>
      </w:r>
    </w:p>
    <w:p w:rsidR="00E82B25" w:rsidRPr="003B6E11" w:rsidRDefault="00E82B25" w:rsidP="00E82B25">
      <w:pPr>
        <w:pStyle w:val="ESlet"/>
        <w:rPr>
          <w:rFonts w:eastAsia="Calibri" w:cs="Arial"/>
          <w:szCs w:val="18"/>
          <w:lang w:val="cs-CZ"/>
        </w:rPr>
      </w:pPr>
      <w:r w:rsidRPr="003B6E11">
        <w:rPr>
          <w:lang w:val="cs-CZ"/>
        </w:rPr>
        <w:t>k)</w:t>
      </w:r>
      <w:r w:rsidRPr="003B6E11">
        <w:rPr>
          <w:lang w:val="cs-CZ"/>
        </w:rPr>
        <w:tab/>
        <w:t>požární poplašný systém;</w:t>
      </w:r>
    </w:p>
    <w:p w:rsidR="00E82B25" w:rsidRPr="003B6E11" w:rsidRDefault="00E82B25" w:rsidP="00E82B25">
      <w:pPr>
        <w:pStyle w:val="ESlet"/>
        <w:rPr>
          <w:rFonts w:eastAsia="Calibri" w:cs="Arial"/>
          <w:szCs w:val="18"/>
          <w:lang w:val="cs-CZ"/>
        </w:rPr>
      </w:pPr>
      <w:r w:rsidRPr="003B6E11">
        <w:rPr>
          <w:lang w:val="cs-CZ"/>
        </w:rPr>
        <w:t>l)</w:t>
      </w:r>
      <w:r w:rsidRPr="003B6E11">
        <w:rPr>
          <w:lang w:val="cs-CZ"/>
        </w:rPr>
        <w:tab/>
        <w:t>nouzový generátor elektrické energie;</w:t>
      </w:r>
    </w:p>
    <w:p w:rsidR="00E82B25" w:rsidRPr="003B6E11" w:rsidRDefault="00E82B25" w:rsidP="00E82B25">
      <w:pPr>
        <w:pStyle w:val="ESlet"/>
        <w:rPr>
          <w:rFonts w:eastAsia="Calibri" w:cs="Arial"/>
          <w:szCs w:val="18"/>
          <w:lang w:val="cs-CZ"/>
        </w:rPr>
      </w:pPr>
      <w:r w:rsidRPr="003B6E11">
        <w:rPr>
          <w:lang w:val="cs-CZ"/>
        </w:rPr>
        <w:t>m)</w:t>
      </w:r>
      <w:r w:rsidRPr="003B6E11">
        <w:rPr>
          <w:lang w:val="cs-CZ"/>
        </w:rPr>
        <w:tab/>
        <w:t>ovládací prvky větrací soustavy;</w:t>
      </w:r>
    </w:p>
    <w:p w:rsidR="00E82B25" w:rsidRPr="003B6E11" w:rsidRDefault="00E82B25" w:rsidP="00E82B25">
      <w:pPr>
        <w:pStyle w:val="ESlet"/>
        <w:rPr>
          <w:rFonts w:eastAsia="Calibri" w:cs="Arial"/>
          <w:szCs w:val="18"/>
          <w:lang w:val="cs-CZ"/>
        </w:rPr>
      </w:pPr>
      <w:r w:rsidRPr="003B6E11">
        <w:rPr>
          <w:lang w:val="cs-CZ"/>
        </w:rPr>
        <w:t>n)</w:t>
      </w:r>
      <w:r w:rsidRPr="003B6E11">
        <w:rPr>
          <w:lang w:val="cs-CZ"/>
        </w:rPr>
        <w:tab/>
        <w:t>břehové přípojky;</w:t>
      </w:r>
    </w:p>
    <w:p w:rsidR="00E82B25" w:rsidRPr="003B6E11" w:rsidRDefault="00E82B25" w:rsidP="00E82B25">
      <w:pPr>
        <w:pStyle w:val="ESlet"/>
        <w:rPr>
          <w:rFonts w:eastAsia="Calibri" w:cs="Arial"/>
          <w:szCs w:val="18"/>
          <w:lang w:val="cs-CZ"/>
        </w:rPr>
      </w:pPr>
      <w:r w:rsidRPr="003B6E11">
        <w:rPr>
          <w:lang w:val="cs-CZ"/>
        </w:rPr>
        <w:t>o)</w:t>
      </w:r>
      <w:r w:rsidRPr="003B6E11">
        <w:rPr>
          <w:lang w:val="cs-CZ"/>
        </w:rPr>
        <w:tab/>
        <w:t>uzávěry palivových potrubí;</w:t>
      </w:r>
    </w:p>
    <w:p w:rsidR="00E82B25" w:rsidRPr="003B6E11" w:rsidRDefault="00E82B25" w:rsidP="00E82B25">
      <w:pPr>
        <w:pStyle w:val="ESlet"/>
        <w:rPr>
          <w:rFonts w:eastAsia="Calibri" w:cs="Arial"/>
          <w:szCs w:val="18"/>
          <w:lang w:val="cs-CZ"/>
        </w:rPr>
      </w:pPr>
      <w:r w:rsidRPr="003B6E11">
        <w:rPr>
          <w:lang w:val="cs-CZ"/>
        </w:rPr>
        <w:t>p)</w:t>
      </w:r>
      <w:r w:rsidRPr="003B6E11">
        <w:rPr>
          <w:lang w:val="cs-CZ"/>
        </w:rPr>
        <w:tab/>
        <w:t>zařízení na zkapalněný plyn;</w:t>
      </w:r>
    </w:p>
    <w:p w:rsidR="00E82B25" w:rsidRPr="003B6E11" w:rsidRDefault="00E82B25" w:rsidP="00E82B25">
      <w:pPr>
        <w:pStyle w:val="ESlet"/>
        <w:rPr>
          <w:rFonts w:eastAsia="Calibri" w:cs="Arial"/>
          <w:szCs w:val="18"/>
          <w:lang w:val="cs-CZ"/>
        </w:rPr>
      </w:pPr>
      <w:r w:rsidRPr="003B6E11">
        <w:rPr>
          <w:lang w:val="cs-CZ"/>
        </w:rPr>
        <w:t xml:space="preserve">q) </w:t>
      </w:r>
      <w:r w:rsidRPr="003B6E11">
        <w:rPr>
          <w:lang w:val="cs-CZ"/>
        </w:rPr>
        <w:tab/>
        <w:t>systémy místního rozhlasu;</w:t>
      </w:r>
    </w:p>
    <w:p w:rsidR="00E82B25" w:rsidRPr="003B6E11" w:rsidRDefault="00E82B25" w:rsidP="00E82B25">
      <w:pPr>
        <w:pStyle w:val="ESlet"/>
        <w:rPr>
          <w:rFonts w:eastAsia="Calibri" w:cs="Arial"/>
          <w:szCs w:val="18"/>
          <w:lang w:val="cs-CZ"/>
        </w:rPr>
      </w:pPr>
      <w:r w:rsidRPr="003B6E11">
        <w:rPr>
          <w:lang w:val="cs-CZ"/>
        </w:rPr>
        <w:t xml:space="preserve">r) </w:t>
      </w:r>
      <w:r w:rsidRPr="003B6E11">
        <w:rPr>
          <w:lang w:val="cs-CZ"/>
        </w:rPr>
        <w:tab/>
        <w:t>radiotelefonní zařízení;</w:t>
      </w:r>
    </w:p>
    <w:p w:rsidR="00E82B25" w:rsidRPr="003B6E11" w:rsidRDefault="00E82B25" w:rsidP="00E82B25">
      <w:pPr>
        <w:pStyle w:val="ESlet"/>
        <w:rPr>
          <w:rFonts w:eastAsia="Calibri" w:cs="Arial"/>
          <w:szCs w:val="18"/>
          <w:lang w:val="cs-CZ"/>
        </w:rPr>
      </w:pPr>
      <w:r w:rsidRPr="003B6E11">
        <w:rPr>
          <w:lang w:val="cs-CZ"/>
        </w:rPr>
        <w:t xml:space="preserve">s) </w:t>
      </w:r>
      <w:r w:rsidRPr="003B6E11">
        <w:rPr>
          <w:lang w:val="cs-CZ"/>
        </w:rPr>
        <w:tab/>
        <w:t>lékárničky.</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3.</w:t>
      </w:r>
      <w:r w:rsidRPr="003B6E11">
        <w:rPr>
          <w:lang w:val="cs-CZ"/>
        </w:rPr>
        <w:tab/>
        <w:t>Bezpečnostní rozpis podle odstavce 1 a bezpečnostní plán podle odstavce 2 musí:</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být řádně opatřeny razítkem subjektu pověřeného prohlídkami a</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být umístěny na vhodném, dobře viditelném místě na každé palubě.</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4.</w:t>
      </w:r>
      <w:r w:rsidRPr="003B6E11">
        <w:rPr>
          <w:lang w:val="cs-CZ"/>
        </w:rPr>
        <w:tab/>
        <w:t>V každé kajutě se musí nacházet pravidla chování pro cestující a rovněž zjednodušený bezpečnostní plán, který obsahuje pouze informace uvedené v odst. 2 písm. a) až f).</w:t>
      </w:r>
    </w:p>
    <w:p w:rsidR="00E82B25" w:rsidRPr="003B6E11" w:rsidRDefault="00E82B25" w:rsidP="00E82B25">
      <w:pPr>
        <w:pStyle w:val="ESchpar"/>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Pravidla chování obsahují alespoň:</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označení stavu nouze:</w:t>
      </w:r>
    </w:p>
    <w:p w:rsidR="00E82B25" w:rsidRPr="003B6E11" w:rsidRDefault="00E82B25" w:rsidP="00E82B25">
      <w:pPr>
        <w:pStyle w:val="ESletpar"/>
        <w:rPr>
          <w:rFonts w:eastAsia="Calibri" w:cs="Arial"/>
          <w:szCs w:val="18"/>
          <w:lang w:val="cs-CZ"/>
        </w:rPr>
      </w:pPr>
      <w:r w:rsidRPr="003B6E11">
        <w:rPr>
          <w:lang w:val="cs-CZ"/>
        </w:rPr>
        <w:t>aa)</w:t>
      </w:r>
      <w:r w:rsidRPr="003B6E11">
        <w:rPr>
          <w:lang w:val="cs-CZ"/>
        </w:rPr>
        <w:tab/>
        <w:t>požár;</w:t>
      </w:r>
    </w:p>
    <w:p w:rsidR="00E82B25" w:rsidRPr="003B6E11" w:rsidRDefault="00E82B25" w:rsidP="00E82B25">
      <w:pPr>
        <w:pStyle w:val="ESletpar"/>
        <w:rPr>
          <w:rFonts w:eastAsia="Calibri" w:cs="Arial"/>
          <w:szCs w:val="18"/>
          <w:lang w:val="cs-CZ"/>
        </w:rPr>
      </w:pPr>
      <w:r w:rsidRPr="003B6E11">
        <w:rPr>
          <w:lang w:val="cs-CZ"/>
        </w:rPr>
        <w:t>bb)</w:t>
      </w:r>
      <w:r w:rsidRPr="003B6E11">
        <w:rPr>
          <w:lang w:val="cs-CZ"/>
        </w:rPr>
        <w:tab/>
        <w:t>zaplavení;</w:t>
      </w:r>
    </w:p>
    <w:p w:rsidR="00E82B25" w:rsidRPr="003B6E11" w:rsidRDefault="00E82B25" w:rsidP="00E82B25">
      <w:pPr>
        <w:pStyle w:val="ESletpar"/>
        <w:rPr>
          <w:rFonts w:eastAsia="Calibri" w:cs="Arial"/>
          <w:szCs w:val="18"/>
          <w:lang w:val="cs-CZ"/>
        </w:rPr>
      </w:pPr>
      <w:r w:rsidRPr="003B6E11">
        <w:rPr>
          <w:lang w:val="cs-CZ"/>
        </w:rPr>
        <w:t>cc)</w:t>
      </w:r>
      <w:r w:rsidRPr="003B6E11">
        <w:rPr>
          <w:lang w:val="cs-CZ"/>
        </w:rPr>
        <w:tab/>
        <w:t>obecné nebezpečí;</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popis různých poplašných signálů;</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upozornění týkající se:</w:t>
      </w:r>
    </w:p>
    <w:p w:rsidR="00E82B25" w:rsidRPr="003B6E11" w:rsidRDefault="00E82B25" w:rsidP="00E82B25">
      <w:pPr>
        <w:pStyle w:val="ESletpar"/>
        <w:rPr>
          <w:rFonts w:eastAsia="Calibri" w:cs="Arial"/>
          <w:szCs w:val="18"/>
          <w:lang w:val="cs-CZ"/>
        </w:rPr>
      </w:pPr>
      <w:r w:rsidRPr="003B6E11">
        <w:rPr>
          <w:lang w:val="cs-CZ"/>
        </w:rPr>
        <w:t>aa)</w:t>
      </w:r>
      <w:r w:rsidRPr="003B6E11">
        <w:rPr>
          <w:lang w:val="cs-CZ"/>
        </w:rPr>
        <w:tab/>
        <w:t>únikových cest;</w:t>
      </w:r>
    </w:p>
    <w:p w:rsidR="00E82B25" w:rsidRPr="003B6E11" w:rsidRDefault="00E82B25" w:rsidP="00E82B25">
      <w:pPr>
        <w:pStyle w:val="ESletpar"/>
        <w:rPr>
          <w:rFonts w:eastAsia="Calibri" w:cs="Arial"/>
          <w:szCs w:val="18"/>
          <w:lang w:val="cs-CZ"/>
        </w:rPr>
      </w:pPr>
      <w:r w:rsidRPr="003B6E11">
        <w:rPr>
          <w:lang w:val="cs-CZ"/>
        </w:rPr>
        <w:t>bb)</w:t>
      </w:r>
      <w:r w:rsidRPr="003B6E11">
        <w:rPr>
          <w:lang w:val="cs-CZ"/>
        </w:rPr>
        <w:tab/>
        <w:t>chování;</w:t>
      </w:r>
    </w:p>
    <w:p w:rsidR="00E82B25" w:rsidRPr="003B6E11" w:rsidRDefault="00E82B25" w:rsidP="00E82B25">
      <w:pPr>
        <w:pStyle w:val="ESletpar"/>
        <w:rPr>
          <w:rFonts w:eastAsia="Calibri" w:cs="Arial"/>
          <w:szCs w:val="18"/>
          <w:lang w:val="cs-CZ"/>
        </w:rPr>
      </w:pPr>
      <w:r w:rsidRPr="003B6E11">
        <w:rPr>
          <w:lang w:val="cs-CZ"/>
        </w:rPr>
        <w:t>cc)</w:t>
      </w:r>
      <w:r w:rsidRPr="003B6E11">
        <w:rPr>
          <w:lang w:val="cs-CZ"/>
        </w:rPr>
        <w:tab/>
        <w:t>nutnosti zachovat klid;</w:t>
      </w:r>
    </w:p>
    <w:p w:rsidR="00E82B25" w:rsidRPr="003B6E11" w:rsidRDefault="00E82B25" w:rsidP="00E82B25">
      <w:pPr>
        <w:pStyle w:val="ESlet"/>
        <w:rPr>
          <w:rFonts w:eastAsia="Calibri" w:cs="Arial"/>
          <w:szCs w:val="18"/>
          <w:lang w:val="cs-CZ"/>
        </w:rPr>
      </w:pPr>
      <w:r w:rsidRPr="003B6E11">
        <w:rPr>
          <w:lang w:val="cs-CZ"/>
        </w:rPr>
        <w:t>d) upozornění týkající se:</w:t>
      </w:r>
    </w:p>
    <w:p w:rsidR="00E82B25" w:rsidRPr="003B6E11" w:rsidRDefault="00E82B25" w:rsidP="00E82B25">
      <w:pPr>
        <w:pStyle w:val="ESletpar"/>
        <w:rPr>
          <w:rFonts w:eastAsia="Calibri" w:cs="Arial"/>
          <w:szCs w:val="18"/>
          <w:lang w:val="cs-CZ"/>
        </w:rPr>
      </w:pPr>
      <w:r w:rsidRPr="003B6E11">
        <w:rPr>
          <w:lang w:val="cs-CZ"/>
        </w:rPr>
        <w:t>aa)</w:t>
      </w:r>
      <w:r w:rsidRPr="003B6E11">
        <w:rPr>
          <w:lang w:val="cs-CZ"/>
        </w:rPr>
        <w:tab/>
        <w:t>kouření;</w:t>
      </w:r>
    </w:p>
    <w:p w:rsidR="00E82B25" w:rsidRPr="003B6E11" w:rsidRDefault="00E82B25" w:rsidP="00E82B25">
      <w:pPr>
        <w:pStyle w:val="ESletpar"/>
        <w:rPr>
          <w:rFonts w:eastAsia="Calibri" w:cs="Arial"/>
          <w:szCs w:val="18"/>
          <w:lang w:val="cs-CZ"/>
        </w:rPr>
      </w:pPr>
      <w:r w:rsidRPr="003B6E11">
        <w:rPr>
          <w:lang w:val="cs-CZ"/>
        </w:rPr>
        <w:t>bb)</w:t>
      </w:r>
      <w:r w:rsidRPr="003B6E11">
        <w:rPr>
          <w:lang w:val="cs-CZ"/>
        </w:rPr>
        <w:tab/>
        <w:t>používání ohně a otevřeného plamene;</w:t>
      </w:r>
    </w:p>
    <w:p w:rsidR="00E82B25" w:rsidRPr="003B6E11" w:rsidRDefault="00E82B25" w:rsidP="00E82B25">
      <w:pPr>
        <w:pStyle w:val="ESletpar"/>
        <w:rPr>
          <w:rFonts w:eastAsia="Calibri" w:cs="Arial"/>
          <w:szCs w:val="18"/>
          <w:lang w:val="cs-CZ"/>
        </w:rPr>
      </w:pPr>
      <w:r w:rsidRPr="003B6E11">
        <w:rPr>
          <w:lang w:val="cs-CZ"/>
        </w:rPr>
        <w:t>cc)</w:t>
      </w:r>
      <w:r w:rsidRPr="003B6E11">
        <w:rPr>
          <w:lang w:val="cs-CZ"/>
        </w:rPr>
        <w:tab/>
        <w:t>otevírání oken;</w:t>
      </w:r>
    </w:p>
    <w:p w:rsidR="00E82B25" w:rsidRPr="003B6E11" w:rsidRDefault="00E82B25" w:rsidP="00E82B25">
      <w:pPr>
        <w:pStyle w:val="ESletpar"/>
        <w:rPr>
          <w:rFonts w:eastAsia="Calibri" w:cs="Arial"/>
          <w:szCs w:val="18"/>
          <w:lang w:val="cs-CZ"/>
        </w:rPr>
      </w:pPr>
      <w:r w:rsidRPr="003B6E11">
        <w:rPr>
          <w:lang w:val="cs-CZ"/>
        </w:rPr>
        <w:t>dd)</w:t>
      </w:r>
      <w:r w:rsidRPr="003B6E11">
        <w:rPr>
          <w:lang w:val="cs-CZ"/>
        </w:rPr>
        <w:tab/>
        <w:t>použití některých zařízení.</w:t>
      </w:r>
    </w:p>
    <w:p w:rsidR="00E82B25" w:rsidRPr="003B6E11" w:rsidRDefault="00E82B25" w:rsidP="00E82B25">
      <w:pPr>
        <w:pStyle w:val="ESchpar"/>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Tyto pokyny musí být v angličtině, francouzštině, němčině a nizozemštině.</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r w:rsidRPr="003B6E11">
        <w:rPr>
          <w:lang w:val="cs-CZ"/>
        </w:rPr>
        <w:br w:type="page"/>
      </w:r>
    </w:p>
    <w:p w:rsidR="00E82B25" w:rsidRPr="003B6E11" w:rsidRDefault="00E82B25" w:rsidP="00E82B25">
      <w:pPr>
        <w:pStyle w:val="ES-Titre3"/>
        <w:rPr>
          <w:rFonts w:cs="Arial"/>
          <w:i/>
          <w:szCs w:val="18"/>
          <w:lang w:val="cs-CZ"/>
        </w:rPr>
      </w:pPr>
      <w:bookmarkStart w:id="372" w:name="_Toc491854183"/>
      <w:bookmarkStart w:id="373" w:name="_Toc535417089"/>
      <w:r w:rsidRPr="003B6E11">
        <w:rPr>
          <w:lang w:val="cs-CZ"/>
        </w:rPr>
        <w:t>Článek 19.14</w:t>
      </w:r>
      <w:r w:rsidRPr="003B6E11">
        <w:rPr>
          <w:lang w:val="cs-CZ"/>
        </w:rPr>
        <w:br/>
      </w:r>
      <w:r w:rsidRPr="003B6E11">
        <w:rPr>
          <w:i/>
          <w:noProof/>
          <w:lang w:val="cs-CZ"/>
        </w:rPr>
        <w:t>Zařízení k shromažďování a odstraňování odpadních vod</w:t>
      </w:r>
      <w:bookmarkEnd w:id="372"/>
      <w:bookmarkEnd w:id="373"/>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w:t>
      </w:r>
      <w:r w:rsidRPr="003B6E11">
        <w:rPr>
          <w:lang w:val="cs-CZ"/>
        </w:rPr>
        <w:tab/>
        <w:t>Osobní lodě musejí být vybaveny sběrnými nádržemi na odpadní vody podle odstavce 2 tohoto článku nebo vhodnými palubními čistírnami odpadních vod podle kapitoly 18.</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2.</w:t>
      </w:r>
      <w:r w:rsidRPr="003B6E11">
        <w:rPr>
          <w:lang w:val="cs-CZ"/>
        </w:rPr>
        <w:tab/>
        <w:t>Sběrné nádrže na odpadní vody musí mít dostatečný objem. Nádrže musí být opatřeny zařízením k označení stavu hladiny. Musí být k dispozici palubní čerpadla a potrubí k vyprazdňování těchto nádrží, jimiž lze odpadní vody předávat z obou stran plavidla. Musí být možné procházení odpadních vod z jiných plavidel.</w:t>
      </w:r>
    </w:p>
    <w:p w:rsidR="00E82B25" w:rsidRPr="003B6E11" w:rsidRDefault="00E82B25" w:rsidP="00E82B25">
      <w:pPr>
        <w:pStyle w:val="ESch"/>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Potrubí musí být opatřeno vypouštěcí přípojkou podle evropské normy EN 1306: 1996.</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p>
    <w:p w:rsidR="00E82B25" w:rsidRPr="003B6E11" w:rsidRDefault="00E82B25" w:rsidP="00E82B25">
      <w:pPr>
        <w:pStyle w:val="ES-Titre3"/>
        <w:rPr>
          <w:rFonts w:cs="Arial"/>
          <w:i/>
          <w:szCs w:val="18"/>
          <w:lang w:val="cs-CZ"/>
        </w:rPr>
      </w:pPr>
      <w:bookmarkStart w:id="374" w:name="_Toc491854184"/>
      <w:bookmarkStart w:id="375" w:name="_Toc535417090"/>
      <w:r w:rsidRPr="003B6E11">
        <w:rPr>
          <w:lang w:val="cs-CZ"/>
        </w:rPr>
        <w:t>Článek 19.15</w:t>
      </w:r>
      <w:r w:rsidRPr="003B6E11">
        <w:rPr>
          <w:lang w:val="cs-CZ"/>
        </w:rPr>
        <w:br/>
      </w:r>
      <w:r w:rsidRPr="003B6E11">
        <w:rPr>
          <w:i/>
          <w:noProof/>
          <w:lang w:val="cs-CZ"/>
        </w:rPr>
        <w:t>Výjimky u některých osobních lodí</w:t>
      </w:r>
      <w:bookmarkEnd w:id="374"/>
      <w:bookmarkEnd w:id="375"/>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w:t>
      </w:r>
      <w:r w:rsidRPr="003B6E11">
        <w:rPr>
          <w:lang w:val="cs-CZ"/>
        </w:rPr>
        <w:tab/>
        <w:t xml:space="preserve">Osobní lodě s povolením přepravovat nejvýše 50 cestujících a o délce </w:t>
      </w:r>
      <m:oMath>
        <m:sSub>
          <m:sSubPr>
            <m:ctrlPr>
              <w:rPr>
                <w:rFonts w:ascii="Cambria Math" w:hAnsi="Cambria Math" w:cs="Arial"/>
                <w:i/>
                <w:noProof/>
                <w:sz w:val="18"/>
                <w:szCs w:val="18"/>
                <w:lang w:val="cs-CZ"/>
              </w:rPr>
            </m:ctrlPr>
          </m:sSubPr>
          <m:e>
            <m:r>
              <w:rPr>
                <w:rFonts w:ascii="Cambria Math" w:hAnsi="Cambria Math" w:cs="Arial"/>
                <w:noProof/>
                <w:sz w:val="18"/>
                <w:szCs w:val="18"/>
                <w:lang w:val="cs-CZ"/>
              </w:rPr>
              <m:t>L</m:t>
            </m:r>
          </m:e>
          <m:sub>
            <m:r>
              <w:rPr>
                <w:rFonts w:ascii="Cambria Math" w:hAnsi="Cambria Math" w:cs="Arial"/>
                <w:noProof/>
                <w:sz w:val="18"/>
                <w:szCs w:val="18"/>
                <w:lang w:val="cs-CZ"/>
              </w:rPr>
              <m:t>WL</m:t>
            </m:r>
          </m:sub>
        </m:sSub>
      </m:oMath>
      <w:r w:rsidRPr="003B6E11">
        <w:rPr>
          <w:lang w:val="cs-CZ"/>
        </w:rPr>
        <w:t xml:space="preserve"> nejvýše 25 m musí prokázat přiměřenou stabilitu v narušeném stavu podle čl. 19.03 odst. 7 až 13, nebo musí místo toho prokázat, že splňují tato kritéria po souměrném zaplavení:</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loď se může ponořit nejvýše k rovině maximálního ponoru při zbytkovém výtlaku a</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 xml:space="preserve">zbývající metacentrická výška </w:t>
      </w:r>
      <m:oMath>
        <m:sSub>
          <m:sSubPr>
            <m:ctrlPr>
              <w:rPr>
                <w:rFonts w:ascii="Cambria Math" w:eastAsia="Calibri" w:hAnsi="Cambria Math"/>
                <w:i/>
                <w:noProof/>
                <w:lang w:val="cs-CZ"/>
              </w:rPr>
            </m:ctrlPr>
          </m:sSubPr>
          <m:e>
            <m:r>
              <w:rPr>
                <w:rFonts w:ascii="Cambria Math" w:eastAsia="Calibri" w:hAnsi="Cambria Math"/>
                <w:noProof/>
                <w:lang w:val="cs-CZ"/>
              </w:rPr>
              <m:t>GM</m:t>
            </m:r>
          </m:e>
          <m:sub>
            <m:r>
              <w:rPr>
                <w:rFonts w:ascii="Cambria Math" w:eastAsia="Calibri" w:hAnsi="Cambria Math"/>
                <w:noProof/>
                <w:lang w:val="cs-CZ"/>
              </w:rPr>
              <m:t>R</m:t>
            </m:r>
          </m:sub>
        </m:sSub>
      </m:oMath>
      <w:r w:rsidRPr="003B6E11">
        <w:rPr>
          <w:lang w:val="cs-CZ"/>
        </w:rPr>
        <w:t xml:space="preserve"> nesmí být nižší než 0,10 m.</w:t>
      </w:r>
    </w:p>
    <w:p w:rsidR="00E82B25" w:rsidRPr="003B6E11" w:rsidRDefault="00E82B25" w:rsidP="00E82B25">
      <w:pPr>
        <w:pStyle w:val="ESch"/>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Potřebná zbytková plovatelnost musí být zajištěna volbou vhodného materiálu použitého ke konstrukci lodního trupu nebo pomocí plováků z pěnového materiálu s buněčnou strukturou, které jsou pevně připojeny k lodnímu trupu. U plavidel delších než 15 m lze zbytkovou plovatelnost zajistit kombinací plováků a dělením odpovídajícím statusu 1 oddělení podle článku 19.03.</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2.</w:t>
      </w:r>
      <w:r w:rsidRPr="003B6E11">
        <w:rPr>
          <w:lang w:val="cs-CZ"/>
        </w:rPr>
        <w:tab/>
        <w:t>U osobních lodí podle odstavce 1 může subjekt pověřený prohlídkami povolit menší odchylky od světlé výšky podle čl. 19.06 odst. 3 písm. c) a odst. 5 písm. b). Odchylka nesmí být větší než 5 %. V případě odchylky musí být dotyčné části barevně označeny.</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3.</w:t>
      </w:r>
      <w:r w:rsidRPr="003B6E11">
        <w:rPr>
          <w:lang w:val="cs-CZ"/>
        </w:rPr>
        <w:tab/>
        <w:t xml:space="preserve">Odchylně od čl. 19.03 odst. 9 nemusí mít osobní lodě, jejichž délka </w:t>
      </w:r>
      <m:oMath>
        <m:r>
          <w:rPr>
            <w:rFonts w:ascii="Cambria Math" w:eastAsia="Calibri" w:hAnsi="Cambria Math"/>
            <w:noProof/>
            <w:lang w:val="cs-CZ"/>
          </w:rPr>
          <m:t>L</m:t>
        </m:r>
      </m:oMath>
      <w:r w:rsidRPr="003B6E11">
        <w:rPr>
          <w:lang w:val="cs-CZ"/>
        </w:rPr>
        <w:t xml:space="preserve"> nepřesahuje 45 m a které jsou určeny k přepravě nejvýše 250 cestujících, status 2 oddělení.</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r w:rsidRPr="003B6E11">
        <w:rPr>
          <w:lang w:val="cs-CZ"/>
        </w:rPr>
        <w:t>4.</w:t>
      </w:r>
      <w:r w:rsidRPr="003B6E11">
        <w:rPr>
          <w:lang w:val="cs-CZ"/>
        </w:rPr>
        <w:tab/>
        <w:t xml:space="preserve">Subjekt pověřený prohlídkami může upustit od uplatňování článku 13.07 u osobních lodí určených k přepravě nejvýše 250 cestujících a s délkou </w:t>
      </w:r>
      <m:oMath>
        <m:sSub>
          <m:sSubPr>
            <m:ctrlPr>
              <w:rPr>
                <w:rFonts w:ascii="Cambria Math" w:hAnsi="Cambria Math" w:cs="Arial"/>
                <w:i/>
                <w:noProof/>
                <w:sz w:val="18"/>
                <w:szCs w:val="18"/>
                <w:lang w:val="cs-CZ"/>
              </w:rPr>
            </m:ctrlPr>
          </m:sSubPr>
          <m:e>
            <m:r>
              <w:rPr>
                <w:rFonts w:ascii="Cambria Math" w:hAnsi="Cambria Math" w:cs="Arial"/>
                <w:noProof/>
                <w:sz w:val="18"/>
                <w:szCs w:val="18"/>
                <w:lang w:val="cs-CZ"/>
              </w:rPr>
              <m:t>L</m:t>
            </m:r>
          </m:e>
          <m:sub>
            <m:r>
              <w:rPr>
                <w:rFonts w:ascii="Cambria Math" w:hAnsi="Cambria Math" w:cs="Arial"/>
                <w:noProof/>
                <w:sz w:val="18"/>
                <w:szCs w:val="18"/>
                <w:lang w:val="cs-CZ"/>
              </w:rPr>
              <m:t>WL</m:t>
            </m:r>
          </m:sub>
        </m:sSub>
      </m:oMath>
      <w:r w:rsidRPr="003B6E11">
        <w:rPr>
          <w:lang w:val="cs-CZ"/>
        </w:rPr>
        <w:t xml:space="preserve"> nejvýše 25 m, pokud jsou vybaveny plošinou dostupnou z obou stran plavidla přímo nad rovinou maximálního ponoru při zbytkovém výtlaku, aby bylo možno zachránit osoby z vody. Osobní lodě mohou být vybaveny srovnatelným zařízením, s výhradou těchto podmínek:</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k ovládání zařízení postačuje jedna osoba;</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jsou přípustná mobilní zařízení;</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zařízení se musí nacházet mimo nebezpečnou oblast pohonných systémů a</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je možná účinná komunikace mezi vůdcem plavidla a osobou, která zařízení obsluhuje.</w:t>
      </w:r>
    </w:p>
    <w:p w:rsidR="00E82B25" w:rsidRPr="003B6E11" w:rsidRDefault="00E82B25" w:rsidP="00E82B25">
      <w:pPr>
        <w:pStyle w:val="ESch"/>
        <w:rPr>
          <w:rFonts w:eastAsia="Calibri"/>
          <w:noProof/>
          <w:lang w:val="cs-CZ"/>
        </w:rPr>
      </w:pPr>
      <w:r w:rsidRPr="003B6E11">
        <w:rPr>
          <w:lang w:val="cs-CZ"/>
        </w:rPr>
        <w:br w:type="page"/>
      </w:r>
    </w:p>
    <w:p w:rsidR="00E82B25" w:rsidRPr="003B6E11" w:rsidRDefault="00E82B25" w:rsidP="00E82B25">
      <w:pPr>
        <w:pStyle w:val="ESch"/>
        <w:rPr>
          <w:rFonts w:eastAsia="Calibri" w:cs="Arial"/>
          <w:szCs w:val="18"/>
          <w:lang w:val="cs-CZ"/>
        </w:rPr>
      </w:pPr>
      <w:r w:rsidRPr="003B6E11">
        <w:rPr>
          <w:lang w:val="cs-CZ"/>
        </w:rPr>
        <w:t>5.</w:t>
      </w:r>
      <w:r w:rsidRPr="003B6E11">
        <w:rPr>
          <w:lang w:val="cs-CZ"/>
        </w:rPr>
        <w:tab/>
        <w:t xml:space="preserve">Subjekt pověřený prohlídkami může upustit od uplatňování článku 13.07 u osobních lodí, které mají povolení přepravovat nejvýše 600 cestujících a jejichž délka </w:t>
      </w:r>
      <m:oMath>
        <m:r>
          <w:rPr>
            <w:rFonts w:ascii="Cambria Math" w:eastAsia="Calibri" w:hAnsi="Cambria Math"/>
            <w:noProof/>
            <w:lang w:val="cs-CZ"/>
          </w:rPr>
          <m:t>L</m:t>
        </m:r>
      </m:oMath>
      <w:r w:rsidRPr="003B6E11">
        <w:rPr>
          <w:lang w:val="cs-CZ"/>
        </w:rPr>
        <w:t xml:space="preserve"> nepřesahuje 45 m, je-li loď vybavena plošinou podle odst. 4 první věty nebo rovnocenným zařízením podle odst. 4 druhé věty. Kromě toho musí osobní loď mít:</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jako hlavní pohon kormidlovací propeler, cykloidní (Voth-Schneider) propeler nebo vodomet nebo</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hlavní pohonný systém se dvěma pohonnými jednotkami nebo</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hlavní pohonný systém a boční pohon přídě.</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6.</w:t>
      </w:r>
      <w:r w:rsidRPr="003B6E11">
        <w:rPr>
          <w:lang w:val="cs-CZ"/>
        </w:rPr>
        <w:tab/>
        <w:t xml:space="preserve">Odchylně od čl. 19.02 odst. 9 osobní lodě, jejichž délka </w:t>
      </w:r>
      <m:oMath>
        <m:r>
          <w:rPr>
            <w:rFonts w:ascii="Cambria Math" w:eastAsia="Calibri" w:hAnsi="Cambria Math"/>
            <w:noProof/>
            <w:lang w:val="cs-CZ"/>
          </w:rPr>
          <m:t>L</m:t>
        </m:r>
      </m:oMath>
      <w:r w:rsidRPr="003B6E11">
        <w:rPr>
          <w:lang w:val="cs-CZ"/>
        </w:rPr>
        <w:t xml:space="preserve"> nepřesahuje 45 m a jež jsou povoleny k přepravě nejvýše počtu cestujících, který odpovídá délce plavidla v metrech, mohou mít na plavidle v prostoru pro cestující ručně ovládané přepážkové dveře bez dálkového ovládání podle čl. 19.02 odst. 5, pokud</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má loď pouze jednu palubu;</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tyto dveře jsou dostupné přímo z paluby a nejsou od paluby dále než 10 m;</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spodní hrana otvoru dveří leží nejméně 30 cm nad úrovní podlahy v prostoru pro cestující a</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každé z oddělení oddělených těmito dveřmi je vybaveno signálem výše hladiny vody.</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7.</w:t>
      </w:r>
      <w:r w:rsidRPr="003B6E11">
        <w:rPr>
          <w:lang w:val="cs-CZ"/>
        </w:rPr>
        <w:tab/>
        <w:t>Na osobních lodích podle odstavce 6 může odchylně od čl. 19.06 odst. 6 písm. c) vést kuchyní jedna úniková cesta, pokud existuje druhá úniková cesta.</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8.</w:t>
      </w:r>
      <w:r w:rsidRPr="003B6E11">
        <w:rPr>
          <w:lang w:val="cs-CZ"/>
        </w:rPr>
        <w:tab/>
        <w:t xml:space="preserve">Na osobní lodě, jejichž délka </w:t>
      </w:r>
      <m:oMath>
        <m:r>
          <w:rPr>
            <w:rFonts w:ascii="Cambria Math" w:eastAsia="Calibri" w:hAnsi="Cambria Math"/>
            <w:noProof/>
            <w:lang w:val="cs-CZ"/>
          </w:rPr>
          <m:t>L</m:t>
        </m:r>
      </m:oMath>
      <w:r w:rsidRPr="003B6E11">
        <w:rPr>
          <w:lang w:val="cs-CZ"/>
        </w:rPr>
        <w:t xml:space="preserve"> nepřesahuje 45 m, se nevztahuje následující: ustanovení čl. 19.01 odst. 2 písm. e), jsou-li zařízení na zkapalněný plyn vybavena vhodným výstražným zařízením pro koncentrace CO, které představují zdravotní riziko, a pro potenciálně výbušné směsi plynu se vzduchem.</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9.</w:t>
      </w:r>
      <w:r w:rsidRPr="003B6E11">
        <w:rPr>
          <w:lang w:val="cs-CZ"/>
        </w:rPr>
        <w:tab/>
        <w:t xml:space="preserve">Pro osobní lodě s délkou </w:t>
      </w:r>
      <m:oMath>
        <m:sSub>
          <m:sSubPr>
            <m:ctrlPr>
              <w:rPr>
                <w:rFonts w:ascii="Cambria Math" w:hAnsi="Cambria Math" w:cs="Arial"/>
                <w:i/>
                <w:noProof/>
                <w:sz w:val="18"/>
                <w:szCs w:val="18"/>
                <w:lang w:val="cs-CZ"/>
              </w:rPr>
            </m:ctrlPr>
          </m:sSubPr>
          <m:e>
            <m:r>
              <w:rPr>
                <w:rFonts w:ascii="Cambria Math" w:hAnsi="Cambria Math" w:cs="Arial"/>
                <w:noProof/>
                <w:sz w:val="18"/>
                <w:szCs w:val="18"/>
                <w:lang w:val="cs-CZ"/>
              </w:rPr>
              <m:t>L</m:t>
            </m:r>
          </m:e>
          <m:sub>
            <m:r>
              <w:rPr>
                <w:rFonts w:ascii="Cambria Math" w:hAnsi="Cambria Math" w:cs="Arial"/>
                <w:noProof/>
                <w:sz w:val="18"/>
                <w:szCs w:val="18"/>
                <w:lang w:val="cs-CZ"/>
              </w:rPr>
              <m:t>WL</m:t>
            </m:r>
          </m:sub>
        </m:sSub>
      </m:oMath>
      <w:r w:rsidRPr="003B6E11">
        <w:rPr>
          <w:lang w:val="cs-CZ"/>
        </w:rPr>
        <w:t xml:space="preserve"> do 25 m neplatí tato ustanovení:</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čl. 19.04 odst. 1 poslední věta;</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čl. 19.06 odst. 6 písm. c) pro kuchyně, je-li k dispozici druhá úniková cesta;</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článek 19.07.</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noProof/>
          <w:lang w:val="cs-CZ"/>
        </w:rPr>
      </w:pPr>
      <w:r w:rsidRPr="003B6E11">
        <w:rPr>
          <w:lang w:val="cs-CZ"/>
        </w:rPr>
        <w:t>10.</w:t>
      </w:r>
      <w:r w:rsidRPr="003B6E11">
        <w:rPr>
          <w:lang w:val="cs-CZ"/>
        </w:rPr>
        <w:tab/>
        <w:t xml:space="preserve">Na kajutové osobní lodě, jejichž délka </w:t>
      </w:r>
      <m:oMath>
        <m:r>
          <w:rPr>
            <w:rFonts w:ascii="Cambria Math" w:eastAsia="Calibri" w:hAnsi="Cambria Math"/>
            <w:noProof/>
            <w:lang w:val="cs-CZ"/>
          </w:rPr>
          <m:t>L</m:t>
        </m:r>
      </m:oMath>
      <w:r w:rsidRPr="003B6E11">
        <w:rPr>
          <w:lang w:val="cs-CZ"/>
        </w:rPr>
        <w:t>nepřesahuje 45 m, se nevztahuje čl. 19.12 odst. 10, pokud jsou v každé kajutě po ruce respirační kukly v počtu odpovídajícím počtu lůžek.</w:t>
      </w: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Titre2"/>
        <w:rPr>
          <w:szCs w:val="24"/>
        </w:rPr>
      </w:pPr>
      <w:bookmarkStart w:id="376" w:name="_Toc491854185"/>
      <w:bookmarkStart w:id="377" w:name="_Toc535417091"/>
      <w:r w:rsidRPr="003B6E11">
        <w:t>Kapitola 20</w:t>
      </w:r>
      <w:r w:rsidRPr="003B6E11">
        <w:br/>
        <w:t>Zvláštní ustanovení pro osobní plachetní lodě neprovozované na Rýně (zóna R)</w:t>
      </w:r>
      <w:bookmarkEnd w:id="376"/>
      <w:bookmarkEnd w:id="377"/>
    </w:p>
    <w:p w:rsidR="00E82B25" w:rsidRPr="003B6E11" w:rsidRDefault="00E82B25" w:rsidP="00E82B25">
      <w:pPr>
        <w:rPr>
          <w:lang w:val="cs-CZ"/>
        </w:rPr>
      </w:pPr>
    </w:p>
    <w:p w:rsidR="00E82B25" w:rsidRPr="003B6E11" w:rsidRDefault="00E82B25" w:rsidP="00E82B25">
      <w:pPr>
        <w:pStyle w:val="ES-Titre3"/>
        <w:rPr>
          <w:i/>
          <w:lang w:val="cs-CZ"/>
        </w:rPr>
      </w:pPr>
      <w:bookmarkStart w:id="378" w:name="_Toc491854186"/>
      <w:bookmarkStart w:id="379" w:name="_Toc535417092"/>
      <w:r w:rsidRPr="003B6E11">
        <w:rPr>
          <w:lang w:val="cs-CZ"/>
        </w:rPr>
        <w:t>Článek 20.01</w:t>
      </w:r>
      <w:r w:rsidRPr="003B6E11">
        <w:rPr>
          <w:lang w:val="cs-CZ"/>
        </w:rPr>
        <w:br/>
      </w:r>
      <w:r w:rsidRPr="003B6E11">
        <w:rPr>
          <w:i/>
          <w:lang w:val="cs-CZ"/>
        </w:rPr>
        <w:t>Použití částí II a III</w:t>
      </w:r>
      <w:bookmarkEnd w:id="378"/>
      <w:bookmarkEnd w:id="379"/>
    </w:p>
    <w:p w:rsidR="00E82B25" w:rsidRPr="003B6E11" w:rsidRDefault="00E82B25" w:rsidP="00E82B25">
      <w:pPr>
        <w:pStyle w:val="ESch"/>
        <w:rPr>
          <w:lang w:val="cs-CZ"/>
        </w:rPr>
      </w:pPr>
    </w:p>
    <w:p w:rsidR="00E82B25" w:rsidRPr="003B6E11" w:rsidRDefault="00E82B25" w:rsidP="00E82B25">
      <w:pPr>
        <w:pStyle w:val="ESgauche"/>
        <w:rPr>
          <w:rFonts w:cs="Arial"/>
          <w:lang w:val="cs-CZ"/>
        </w:rPr>
      </w:pPr>
      <w:r w:rsidRPr="003B6E11">
        <w:rPr>
          <w:lang w:val="cs-CZ"/>
        </w:rPr>
        <w:t>Kromě ustanovení částí II a III se požadavky této kapitoly vztahují na osobní plachetní lodě neprovozované na Rýně (zóna R).</w:t>
      </w:r>
    </w:p>
    <w:p w:rsidR="00E82B25" w:rsidRPr="003B6E11" w:rsidRDefault="00E82B25" w:rsidP="00E82B25">
      <w:pPr>
        <w:pStyle w:val="ESch"/>
        <w:rPr>
          <w:i/>
          <w:noProof/>
          <w:szCs w:val="20"/>
          <w:lang w:val="cs-CZ"/>
        </w:rPr>
      </w:pPr>
    </w:p>
    <w:p w:rsidR="00E82B25" w:rsidRPr="003B6E11" w:rsidRDefault="00E82B25" w:rsidP="00E82B25">
      <w:pPr>
        <w:pStyle w:val="ESch"/>
        <w:rPr>
          <w:i/>
          <w:noProof/>
          <w:szCs w:val="20"/>
          <w:lang w:val="cs-CZ"/>
        </w:rPr>
      </w:pPr>
    </w:p>
    <w:p w:rsidR="00E82B25" w:rsidRPr="003B6E11" w:rsidRDefault="00E82B25" w:rsidP="00E82B25">
      <w:pPr>
        <w:pStyle w:val="ES-Titre3"/>
        <w:rPr>
          <w:rFonts w:cs="Arial"/>
          <w:i/>
          <w:lang w:val="cs-CZ"/>
        </w:rPr>
      </w:pPr>
      <w:bookmarkStart w:id="380" w:name="_Toc491854187"/>
      <w:bookmarkStart w:id="381" w:name="_Toc535417093"/>
      <w:r w:rsidRPr="003B6E11">
        <w:rPr>
          <w:lang w:val="cs-CZ"/>
        </w:rPr>
        <w:t>Článek 20.02</w:t>
      </w:r>
      <w:r w:rsidRPr="003B6E11">
        <w:rPr>
          <w:lang w:val="cs-CZ"/>
        </w:rPr>
        <w:br/>
      </w:r>
      <w:r w:rsidRPr="003B6E11">
        <w:rPr>
          <w:i/>
          <w:noProof/>
          <w:lang w:val="cs-CZ"/>
        </w:rPr>
        <w:t>Výjimky u některých osobních plachetních lodí</w:t>
      </w:r>
      <w:bookmarkEnd w:id="380"/>
      <w:bookmarkEnd w:id="381"/>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 xml:space="preserve">1. </w:t>
      </w:r>
      <w:r w:rsidRPr="003B6E11">
        <w:rPr>
          <w:lang w:val="cs-CZ"/>
        </w:rPr>
        <w:tab/>
        <w:t xml:space="preserve">Na osobní plachetní lodě, jejichž délka </w:t>
      </w:r>
      <m:oMath>
        <m:sSub>
          <m:sSubPr>
            <m:ctrlPr>
              <w:rPr>
                <w:rFonts w:ascii="Cambria Math" w:hAnsi="Cambria Math"/>
                <w:i/>
                <w:noProof/>
                <w:szCs w:val="20"/>
                <w:lang w:val="cs-CZ"/>
              </w:rPr>
            </m:ctrlPr>
          </m:sSubPr>
          <m:e>
            <m:r>
              <w:rPr>
                <w:rFonts w:ascii="Cambria Math" w:hAnsi="Cambria Math"/>
                <w:noProof/>
                <w:szCs w:val="20"/>
                <w:lang w:val="cs-CZ"/>
              </w:rPr>
              <m:t>L</m:t>
            </m:r>
          </m:e>
          <m:sub>
            <m:r>
              <w:rPr>
                <w:rFonts w:ascii="Cambria Math" w:hAnsi="Cambria Math"/>
                <w:noProof/>
                <w:szCs w:val="20"/>
                <w:lang w:val="cs-CZ"/>
              </w:rPr>
              <m:t>WL</m:t>
            </m:r>
          </m:sub>
        </m:sSub>
      </m:oMath>
      <w:r w:rsidRPr="003B6E11">
        <w:rPr>
          <w:lang w:val="cs-CZ"/>
        </w:rPr>
        <w:t xml:space="preserve"> nepřekračuje 45 m a nejvyšší přípustný počet cestujících není vyšší než </w:t>
      </w:r>
      <m:oMath>
        <m:sSub>
          <m:sSubPr>
            <m:ctrlPr>
              <w:rPr>
                <w:rFonts w:ascii="Cambria Math" w:hAnsi="Cambria Math"/>
                <w:i/>
                <w:noProof/>
                <w:szCs w:val="20"/>
                <w:lang w:val="cs-CZ"/>
              </w:rPr>
            </m:ctrlPr>
          </m:sSubPr>
          <m:e>
            <m:r>
              <w:rPr>
                <w:rFonts w:ascii="Cambria Math" w:hAnsi="Cambria Math"/>
                <w:noProof/>
                <w:szCs w:val="20"/>
                <w:lang w:val="cs-CZ"/>
              </w:rPr>
              <m:t>L</m:t>
            </m:r>
          </m:e>
          <m:sub>
            <m:r>
              <w:rPr>
                <w:rFonts w:ascii="Cambria Math" w:hAnsi="Cambria Math"/>
                <w:noProof/>
                <w:szCs w:val="20"/>
                <w:lang w:val="cs-CZ"/>
              </w:rPr>
              <m:t>WL</m:t>
            </m:r>
          </m:sub>
        </m:sSub>
      </m:oMath>
      <w:r w:rsidRPr="003B6E11">
        <w:rPr>
          <w:lang w:val="cs-CZ"/>
        </w:rPr>
        <w:t xml:space="preserve"> v celých metrech, se nevztahují tato ustanovení:</w:t>
      </w:r>
    </w:p>
    <w:p w:rsidR="00E82B25" w:rsidRPr="003B6E11" w:rsidRDefault="00E82B25" w:rsidP="00E82B25">
      <w:pPr>
        <w:pStyle w:val="ESlet"/>
        <w:rPr>
          <w:rFonts w:cs="Arial"/>
          <w:lang w:val="cs-CZ"/>
        </w:rPr>
      </w:pPr>
      <w:r w:rsidRPr="003B6E11">
        <w:rPr>
          <w:lang w:val="cs-CZ"/>
        </w:rPr>
        <w:t>a)</w:t>
      </w:r>
      <w:r w:rsidRPr="003B6E11">
        <w:rPr>
          <w:lang w:val="cs-CZ"/>
        </w:rPr>
        <w:tab/>
        <w:t>čl. 3.03 odst. 7, nejsou-li kotvy uloženy v kotevních skluzech;</w:t>
      </w:r>
    </w:p>
    <w:p w:rsidR="00E82B25" w:rsidRPr="003B6E11" w:rsidRDefault="00E82B25" w:rsidP="00E82B25">
      <w:pPr>
        <w:pStyle w:val="ESlet"/>
        <w:rPr>
          <w:rFonts w:cs="Arial"/>
          <w:lang w:val="cs-CZ"/>
        </w:rPr>
      </w:pPr>
      <w:r w:rsidRPr="003B6E11">
        <w:rPr>
          <w:lang w:val="cs-CZ"/>
        </w:rPr>
        <w:t>b)</w:t>
      </w:r>
      <w:r w:rsidRPr="003B6E11">
        <w:rPr>
          <w:lang w:val="cs-CZ"/>
        </w:rPr>
        <w:tab/>
        <w:t>čl. 13.02 odst. 2 písm. d), pokud jde o délku;</w:t>
      </w:r>
    </w:p>
    <w:p w:rsidR="00E82B25" w:rsidRPr="003B6E11" w:rsidRDefault="00E82B25" w:rsidP="00E82B25">
      <w:pPr>
        <w:pStyle w:val="ESlet"/>
        <w:rPr>
          <w:rFonts w:cs="Arial"/>
          <w:lang w:val="cs-CZ"/>
        </w:rPr>
      </w:pPr>
      <w:r w:rsidRPr="003B6E11">
        <w:rPr>
          <w:lang w:val="cs-CZ"/>
        </w:rPr>
        <w:t>c)</w:t>
      </w:r>
      <w:r w:rsidRPr="003B6E11">
        <w:rPr>
          <w:lang w:val="cs-CZ"/>
        </w:rPr>
        <w:tab/>
        <w:t>čl. 19.08 odst. 3 písm. a);</w:t>
      </w:r>
    </w:p>
    <w:p w:rsidR="00E82B25" w:rsidRPr="003B6E11" w:rsidRDefault="00E82B25" w:rsidP="00E82B25">
      <w:pPr>
        <w:pStyle w:val="ESlet"/>
        <w:rPr>
          <w:rFonts w:cs="Arial"/>
          <w:lang w:val="cs-CZ"/>
        </w:rPr>
      </w:pPr>
      <w:r w:rsidRPr="003B6E11">
        <w:rPr>
          <w:lang w:val="cs-CZ"/>
        </w:rPr>
        <w:t>d)</w:t>
      </w:r>
      <w:r w:rsidRPr="003B6E11">
        <w:rPr>
          <w:lang w:val="cs-CZ"/>
        </w:rPr>
        <w:tab/>
        <w:t>čl. 19.15 odst. 8.</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2.</w:t>
      </w:r>
      <w:r w:rsidRPr="003B6E11">
        <w:rPr>
          <w:lang w:val="cs-CZ"/>
        </w:rPr>
        <w:tab/>
        <w:t xml:space="preserve">Odchylně od odstavce 1 se může počet cestujících zvýšit na 1,5násobek </w:t>
      </w:r>
      <m:oMath>
        <m:sSub>
          <m:sSubPr>
            <m:ctrlPr>
              <w:rPr>
                <w:rFonts w:ascii="Cambria Math" w:hAnsi="Cambria Math"/>
                <w:i/>
                <w:noProof/>
                <w:szCs w:val="20"/>
                <w:lang w:val="cs-CZ"/>
              </w:rPr>
            </m:ctrlPr>
          </m:sSubPr>
          <m:e>
            <m:r>
              <w:rPr>
                <w:rFonts w:ascii="Cambria Math" w:hAnsi="Cambria Math"/>
                <w:noProof/>
                <w:szCs w:val="20"/>
                <w:lang w:val="cs-CZ"/>
              </w:rPr>
              <m:t>L</m:t>
            </m:r>
          </m:e>
          <m:sub>
            <m:r>
              <w:rPr>
                <w:rFonts w:ascii="Cambria Math" w:hAnsi="Cambria Math"/>
                <w:noProof/>
                <w:szCs w:val="20"/>
                <w:lang w:val="cs-CZ"/>
              </w:rPr>
              <m:t>WL</m:t>
            </m:r>
          </m:sub>
        </m:sSub>
      </m:oMath>
      <w:r w:rsidRPr="003B6E11">
        <w:rPr>
          <w:lang w:val="cs-CZ"/>
        </w:rPr>
        <w:t xml:space="preserve"> v celých metrech, umožňuje-li to plachtoví, takeláž a vybavení paluby.</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Titre3"/>
        <w:rPr>
          <w:rFonts w:cs="Arial"/>
          <w:i/>
          <w:lang w:val="cs-CZ"/>
        </w:rPr>
      </w:pPr>
      <w:bookmarkStart w:id="382" w:name="_Toc491854188"/>
      <w:bookmarkStart w:id="383" w:name="_Toc535417094"/>
      <w:r w:rsidRPr="003B6E11">
        <w:rPr>
          <w:lang w:val="cs-CZ"/>
        </w:rPr>
        <w:t>Článek 20.03</w:t>
      </w:r>
      <w:r w:rsidRPr="003B6E11">
        <w:rPr>
          <w:lang w:val="cs-CZ"/>
        </w:rPr>
        <w:br/>
      </w:r>
      <w:r w:rsidRPr="003B6E11">
        <w:rPr>
          <w:i/>
          <w:noProof/>
          <w:lang w:val="cs-CZ"/>
        </w:rPr>
        <w:t>Požadavky na stabilitu u plachtících lodí</w:t>
      </w:r>
      <w:bookmarkEnd w:id="382"/>
      <w:bookmarkEnd w:id="383"/>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 xml:space="preserve">1. </w:t>
      </w:r>
      <w:r w:rsidRPr="003B6E11">
        <w:rPr>
          <w:lang w:val="cs-CZ"/>
        </w:rPr>
        <w:tab/>
        <w:t>Při výpočtu klopného momentu podle čl. 19.03 odst. 3 se při určení těžiště plavidla berou v úvahu svinuté plachty.</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 xml:space="preserve">2. </w:t>
      </w:r>
      <w:r w:rsidRPr="003B6E11">
        <w:rPr>
          <w:lang w:val="cs-CZ"/>
        </w:rPr>
        <w:tab/>
        <w:t>Při zohlednění všech podmínek zatížení podle čl. 19.03 odst. 2 a při použití standardního uspořádání plachtoví nesmí být klopný moment způsobený tlakem větru tak vysoký, aby úhel náklonu překročil 20°. Zároveň</w:t>
      </w:r>
    </w:p>
    <w:p w:rsidR="00E82B25" w:rsidRPr="003B6E11" w:rsidRDefault="00E82B25" w:rsidP="00E82B25">
      <w:pPr>
        <w:pStyle w:val="ESlet"/>
        <w:rPr>
          <w:rFonts w:cs="Arial"/>
          <w:lang w:val="cs-CZ"/>
        </w:rPr>
      </w:pPr>
      <w:r w:rsidRPr="003B6E11">
        <w:rPr>
          <w:lang w:val="cs-CZ"/>
        </w:rPr>
        <w:t>a)</w:t>
      </w:r>
      <w:r w:rsidRPr="003B6E11">
        <w:rPr>
          <w:lang w:val="cs-CZ"/>
        </w:rPr>
        <w:tab/>
        <w:t>se pro výpočet použije konstantní tlak větru 0,07 kN/m</w:t>
      </w:r>
      <w:r w:rsidRPr="003B6E11">
        <w:rPr>
          <w:vertAlign w:val="superscript"/>
          <w:lang w:val="cs-CZ"/>
        </w:rPr>
        <w:t>2</w:t>
      </w:r>
      <w:r w:rsidRPr="003B6E11">
        <w:rPr>
          <w:lang w:val="cs-CZ"/>
        </w:rPr>
        <w:t>;</w:t>
      </w:r>
    </w:p>
    <w:p w:rsidR="00E82B25" w:rsidRPr="003B6E11" w:rsidRDefault="00E82B25" w:rsidP="00E82B25">
      <w:pPr>
        <w:pStyle w:val="ESlet"/>
        <w:rPr>
          <w:rFonts w:cs="Arial"/>
          <w:lang w:val="cs-CZ"/>
        </w:rPr>
      </w:pPr>
      <w:r w:rsidRPr="003B6E11">
        <w:rPr>
          <w:lang w:val="cs-CZ"/>
        </w:rPr>
        <w:t>b)</w:t>
      </w:r>
      <w:r w:rsidRPr="003B6E11">
        <w:rPr>
          <w:lang w:val="cs-CZ"/>
        </w:rPr>
        <w:tab/>
        <w:t>zbývající bezpečnostní vzdálenost musí být nejméně 100 mm a</w:t>
      </w:r>
    </w:p>
    <w:p w:rsidR="00E82B25" w:rsidRPr="003B6E11" w:rsidRDefault="00E82B25" w:rsidP="00E82B25">
      <w:pPr>
        <w:pStyle w:val="ESlet"/>
        <w:rPr>
          <w:rFonts w:cs="Arial"/>
          <w:lang w:val="cs-CZ"/>
        </w:rPr>
      </w:pPr>
      <w:r w:rsidRPr="003B6E11">
        <w:rPr>
          <w:lang w:val="cs-CZ"/>
        </w:rPr>
        <w:t>c)</w:t>
      </w:r>
      <w:r w:rsidRPr="003B6E11">
        <w:rPr>
          <w:lang w:val="cs-CZ"/>
        </w:rPr>
        <w:tab/>
        <w:t>zbývající volný bok nesmí být záporný.</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 xml:space="preserve">3. </w:t>
      </w:r>
      <w:r w:rsidRPr="003B6E11">
        <w:rPr>
          <w:lang w:val="cs-CZ"/>
        </w:rPr>
        <w:tab/>
        <w:t>Vyrovnávací rameno páky statické stability musí</w:t>
      </w:r>
    </w:p>
    <w:p w:rsidR="00E82B25" w:rsidRPr="003B6E11" w:rsidRDefault="00E82B25" w:rsidP="00E82B25">
      <w:pPr>
        <w:pStyle w:val="ESlet"/>
        <w:rPr>
          <w:rFonts w:cs="Arial"/>
          <w:lang w:val="cs-CZ"/>
        </w:rPr>
      </w:pPr>
      <w:r w:rsidRPr="003B6E11">
        <w:rPr>
          <w:lang w:val="cs-CZ"/>
        </w:rPr>
        <w:t>a)</w:t>
      </w:r>
      <w:r w:rsidRPr="003B6E11">
        <w:rPr>
          <w:lang w:val="cs-CZ"/>
        </w:rPr>
        <w:tab/>
        <w:t xml:space="preserve">dosáhnout nejvyšší hodnoty </w:t>
      </w:r>
      <m:oMath>
        <m:sSub>
          <m:sSubPr>
            <m:ctrlPr>
              <w:rPr>
                <w:rFonts w:ascii="Cambria Math" w:hAnsi="Cambria Math"/>
                <w:i/>
                <w:noProof/>
                <w:szCs w:val="20"/>
                <w:lang w:val="cs-CZ"/>
              </w:rPr>
            </m:ctrlPr>
          </m:sSubPr>
          <m:e>
            <m:r>
              <w:rPr>
                <w:rFonts w:ascii="Cambria Math" w:hAnsi="Cambria Math"/>
                <w:noProof/>
                <w:szCs w:val="20"/>
                <w:lang w:val="cs-CZ"/>
              </w:rPr>
              <m:t>h</m:t>
            </m:r>
          </m:e>
          <m:sub>
            <m:r>
              <w:rPr>
                <w:rFonts w:ascii="Cambria Math" w:hAnsi="Cambria Math"/>
                <w:noProof/>
                <w:szCs w:val="20"/>
                <w:lang w:val="cs-CZ"/>
              </w:rPr>
              <m:t>max</m:t>
            </m:r>
          </m:sub>
        </m:sSub>
      </m:oMath>
      <w:r w:rsidRPr="003B6E11">
        <w:rPr>
          <w:lang w:val="cs-CZ"/>
        </w:rPr>
        <w:t xml:space="preserve"> při úhlu náklonu </w:t>
      </w:r>
      <m:oMath>
        <m:sSub>
          <m:sSubPr>
            <m:ctrlPr>
              <w:rPr>
                <w:rFonts w:ascii="Cambria Math" w:hAnsi="Cambria Math"/>
                <w:i/>
                <w:noProof/>
                <w:lang w:val="cs-CZ"/>
              </w:rPr>
            </m:ctrlPr>
          </m:sSubPr>
          <m:e>
            <m:r>
              <w:rPr>
                <w:rFonts w:ascii="Cambria Math" w:hAnsi="Cambria Math"/>
                <w:noProof/>
                <w:lang w:val="cs-CZ"/>
              </w:rPr>
              <m:t>φ</m:t>
            </m:r>
          </m:e>
          <m:sub>
            <m:r>
              <w:rPr>
                <w:rFonts w:ascii="Cambria Math" w:hAnsi="Cambria Math"/>
                <w:noProof/>
                <w:lang w:val="cs-CZ"/>
              </w:rPr>
              <m:t>max</m:t>
            </m:r>
          </m:sub>
        </m:sSub>
      </m:oMath>
      <w:r w:rsidRPr="003B6E11">
        <w:rPr>
          <w:lang w:val="cs-CZ"/>
        </w:rPr>
        <w:t xml:space="preserve"> 25° nebo více;</w:t>
      </w:r>
    </w:p>
    <w:p w:rsidR="00E82B25" w:rsidRPr="003B6E11" w:rsidRDefault="00E82B25" w:rsidP="00E82B25">
      <w:pPr>
        <w:pStyle w:val="ESlet"/>
        <w:rPr>
          <w:rFonts w:cs="Arial"/>
          <w:lang w:val="cs-CZ"/>
        </w:rPr>
      </w:pPr>
      <w:r w:rsidRPr="003B6E11">
        <w:rPr>
          <w:lang w:val="cs-CZ"/>
        </w:rPr>
        <w:t>b)</w:t>
      </w:r>
      <w:r w:rsidRPr="003B6E11">
        <w:rPr>
          <w:lang w:val="cs-CZ"/>
        </w:rPr>
        <w:tab/>
        <w:t>činit nejméně 0,20 m při úhlu náklonu 30° nebo více;</w:t>
      </w:r>
    </w:p>
    <w:p w:rsidR="00E82B25" w:rsidRPr="003B6E11" w:rsidRDefault="00E82B25" w:rsidP="00E82B25">
      <w:pPr>
        <w:pStyle w:val="ESlet"/>
        <w:rPr>
          <w:rFonts w:cs="Arial"/>
          <w:lang w:val="cs-CZ"/>
        </w:rPr>
      </w:pPr>
      <w:r w:rsidRPr="003B6E11">
        <w:rPr>
          <w:lang w:val="cs-CZ"/>
        </w:rPr>
        <w:t xml:space="preserve">c) </w:t>
      </w:r>
      <w:r w:rsidRPr="003B6E11">
        <w:rPr>
          <w:lang w:val="cs-CZ"/>
        </w:rPr>
        <w:tab/>
        <w:t>být pozitivní při úhlu náklonu do 60°.</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 xml:space="preserve">4. </w:t>
      </w:r>
      <w:r w:rsidRPr="003B6E11">
        <w:rPr>
          <w:lang w:val="cs-CZ"/>
        </w:rPr>
        <w:tab/>
        <w:t>Plocha A pod křivkou ramene stability nesmí být menší než</w:t>
      </w:r>
    </w:p>
    <w:p w:rsidR="00E82B25" w:rsidRPr="003B6E11" w:rsidRDefault="00E82B25" w:rsidP="00E82B25">
      <w:pPr>
        <w:pStyle w:val="ESlet"/>
        <w:rPr>
          <w:rFonts w:cs="Arial"/>
          <w:lang w:val="cs-CZ"/>
        </w:rPr>
      </w:pPr>
      <w:r w:rsidRPr="003B6E11">
        <w:rPr>
          <w:lang w:val="cs-CZ"/>
        </w:rPr>
        <w:t>a)</w:t>
      </w:r>
      <w:r w:rsidRPr="003B6E11">
        <w:rPr>
          <w:lang w:val="cs-CZ"/>
        </w:rPr>
        <w:tab/>
      </w:r>
      <m:oMath>
        <m:r>
          <w:rPr>
            <w:rFonts w:ascii="Cambria Math" w:hAnsi="Cambria Math"/>
            <w:noProof/>
            <w:lang w:val="cs-CZ"/>
          </w:rPr>
          <m:t>0,055 m ∙rad</m:t>
        </m:r>
      </m:oMath>
      <w:r w:rsidRPr="003B6E11">
        <w:rPr>
          <w:lang w:val="cs-CZ"/>
        </w:rPr>
        <w:t xml:space="preserve"> do 30°;</w:t>
      </w:r>
    </w:p>
    <w:p w:rsidR="00E82B25" w:rsidRPr="003B6E11" w:rsidRDefault="00E82B25" w:rsidP="00E82B25">
      <w:pPr>
        <w:pStyle w:val="ESlet"/>
        <w:rPr>
          <w:rFonts w:cs="Arial"/>
          <w:lang w:val="cs-CZ"/>
        </w:rPr>
      </w:pPr>
      <w:r w:rsidRPr="003B6E11">
        <w:rPr>
          <w:lang w:val="cs-CZ"/>
        </w:rPr>
        <w:t>b)</w:t>
      </w:r>
      <w:r w:rsidRPr="003B6E11">
        <w:rPr>
          <w:lang w:val="cs-CZ"/>
        </w:rPr>
        <w:tab/>
      </w:r>
      <m:oMath>
        <m:r>
          <w:rPr>
            <w:rFonts w:ascii="Cambria Math" w:hAnsi="Cambria Math"/>
            <w:noProof/>
            <w:lang w:val="cs-CZ"/>
          </w:rPr>
          <m:t>0,09 m ∙rad</m:t>
        </m:r>
      </m:oMath>
      <w:r w:rsidRPr="003B6E11">
        <w:rPr>
          <w:lang w:val="cs-CZ"/>
        </w:rPr>
        <w:t xml:space="preserve"> do 40° nebo v úhlu </w:t>
      </w:r>
      <m:oMath>
        <m:sSub>
          <m:sSubPr>
            <m:ctrlPr>
              <w:rPr>
                <w:rFonts w:ascii="Cambria Math" w:hAnsi="Cambria Math"/>
                <w:i/>
                <w:noProof/>
                <w:lang w:val="cs-CZ"/>
              </w:rPr>
            </m:ctrlPr>
          </m:sSubPr>
          <m:e>
            <m:r>
              <w:rPr>
                <w:rFonts w:ascii="Cambria Math" w:hAnsi="Cambria Math"/>
                <w:noProof/>
                <w:lang w:val="cs-CZ"/>
              </w:rPr>
              <m:t>φ</m:t>
            </m:r>
          </m:e>
          <m:sub>
            <m:r>
              <w:rPr>
                <w:rFonts w:ascii="Cambria Math" w:hAnsi="Cambria Math"/>
                <w:noProof/>
                <w:lang w:val="cs-CZ"/>
              </w:rPr>
              <m:t>f</m:t>
            </m:r>
          </m:sub>
        </m:sSub>
      </m:oMath>
      <w:r w:rsidRPr="003B6E11">
        <w:rPr>
          <w:lang w:val="cs-CZ"/>
        </w:rPr>
        <w:t>, při němž se nechráněný otvor dostane pod hladinu vody, a který je menší než 40°.</w:t>
      </w:r>
    </w:p>
    <w:p w:rsidR="00E82B25" w:rsidRPr="003B6E11" w:rsidRDefault="00E82B25" w:rsidP="00E82B25">
      <w:pPr>
        <w:pStyle w:val="ESlet"/>
        <w:rPr>
          <w:noProof/>
          <w:lang w:val="cs-CZ"/>
        </w:rPr>
      </w:pPr>
    </w:p>
    <w:p w:rsidR="00E82B25" w:rsidRPr="003B6E11" w:rsidRDefault="00E82B25" w:rsidP="00E82B25">
      <w:pPr>
        <w:rPr>
          <w:noProof/>
          <w:lang w:val="cs-CZ"/>
        </w:rPr>
      </w:pPr>
      <w:r w:rsidRPr="003B6E11">
        <w:rPr>
          <w:lang w:val="cs-CZ"/>
        </w:rPr>
        <w:br w:type="page"/>
      </w:r>
    </w:p>
    <w:p w:rsidR="00E82B25" w:rsidRPr="003B6E11" w:rsidRDefault="00E82B25" w:rsidP="00E82B25">
      <w:pPr>
        <w:pStyle w:val="ESlet"/>
        <w:rPr>
          <w:noProof/>
          <w:lang w:val="cs-CZ"/>
        </w:rPr>
      </w:pPr>
    </w:p>
    <w:p w:rsidR="00E82B25" w:rsidRPr="003B6E11" w:rsidRDefault="00E82B25" w:rsidP="00E82B25">
      <w:pPr>
        <w:pStyle w:val="ESlet"/>
        <w:rPr>
          <w:rFonts w:cs="Arial"/>
          <w:lang w:val="cs-CZ"/>
        </w:rPr>
      </w:pPr>
      <w:r w:rsidRPr="003B6E11">
        <w:rPr>
          <w:lang w:val="cs-CZ"/>
        </w:rPr>
        <w:t>Mezi</w:t>
      </w:r>
    </w:p>
    <w:p w:rsidR="00E82B25" w:rsidRPr="003B6E11" w:rsidRDefault="00E82B25" w:rsidP="00E82B25">
      <w:pPr>
        <w:pStyle w:val="ESlet"/>
        <w:rPr>
          <w:rFonts w:cs="Arial"/>
          <w:lang w:val="cs-CZ"/>
        </w:rPr>
      </w:pPr>
      <w:r w:rsidRPr="003B6E11">
        <w:rPr>
          <w:lang w:val="cs-CZ"/>
        </w:rPr>
        <w:t>c)</w:t>
      </w:r>
      <w:r w:rsidRPr="003B6E11">
        <w:rPr>
          <w:lang w:val="cs-CZ"/>
        </w:rPr>
        <w:tab/>
        <w:t>30° a 40° nebo</w:t>
      </w:r>
    </w:p>
    <w:p w:rsidR="00E82B25" w:rsidRPr="003B6E11" w:rsidRDefault="00E82B25" w:rsidP="00E82B25">
      <w:pPr>
        <w:pStyle w:val="ESlet"/>
        <w:rPr>
          <w:rFonts w:cs="Arial"/>
          <w:lang w:val="cs-CZ"/>
        </w:rPr>
      </w:pPr>
      <w:r w:rsidRPr="003B6E11">
        <w:rPr>
          <w:lang w:val="cs-CZ"/>
        </w:rPr>
        <w:t>d)</w:t>
      </w:r>
      <w:r w:rsidRPr="003B6E11">
        <w:rPr>
          <w:lang w:val="cs-CZ"/>
        </w:rPr>
        <w:tab/>
        <w:t xml:space="preserve">30° a úhlem </w:t>
      </w:r>
      <m:oMath>
        <m:sSub>
          <m:sSubPr>
            <m:ctrlPr>
              <w:rPr>
                <w:rFonts w:ascii="Cambria Math" w:hAnsi="Cambria Math"/>
                <w:i/>
                <w:noProof/>
                <w:lang w:val="cs-CZ"/>
              </w:rPr>
            </m:ctrlPr>
          </m:sSubPr>
          <m:e>
            <m:r>
              <w:rPr>
                <w:rFonts w:ascii="Cambria Math" w:hAnsi="Cambria Math"/>
                <w:noProof/>
                <w:lang w:val="cs-CZ"/>
              </w:rPr>
              <m:t>φ</m:t>
            </m:r>
          </m:e>
          <m:sub>
            <m:r>
              <w:rPr>
                <w:rFonts w:ascii="Cambria Math" w:hAnsi="Cambria Math"/>
                <w:noProof/>
                <w:lang w:val="cs-CZ"/>
              </w:rPr>
              <m:t>f</m:t>
            </m:r>
          </m:sub>
        </m:sSub>
      </m:oMath>
      <w:r w:rsidRPr="003B6E11">
        <w:rPr>
          <w:lang w:val="cs-CZ"/>
        </w:rPr>
        <w:t>, při němž se nechráněný otvor dostane pod hladinu vody, a který je menší než 40°,</w:t>
      </w:r>
    </w:p>
    <w:p w:rsidR="00E82B25" w:rsidRPr="003B6E11" w:rsidRDefault="00E82B25" w:rsidP="00E82B25">
      <w:pPr>
        <w:pStyle w:val="Esletgauchepar"/>
        <w:rPr>
          <w:rFonts w:cs="Arial"/>
        </w:rPr>
      </w:pPr>
      <w:r w:rsidRPr="003B6E11">
        <w:t xml:space="preserve">nesmí být tento prostor menší než </w:t>
      </w:r>
      <m:oMath>
        <m:r>
          <w:rPr>
            <w:rFonts w:ascii="Cambria Math" w:hAnsi="Cambria Math"/>
            <w:noProof/>
          </w:rPr>
          <m:t>0,03 m ∙rad</m:t>
        </m:r>
      </m:oMath>
      <w:r w:rsidRPr="003B6E11">
        <w:t>.</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Titre3"/>
        <w:rPr>
          <w:rFonts w:cs="Arial"/>
          <w:i/>
          <w:lang w:val="cs-CZ"/>
        </w:rPr>
      </w:pPr>
      <w:bookmarkStart w:id="384" w:name="_Toc491854189"/>
      <w:bookmarkStart w:id="385" w:name="_Toc535417095"/>
      <w:r w:rsidRPr="003B6E11">
        <w:rPr>
          <w:lang w:val="cs-CZ"/>
        </w:rPr>
        <w:t>Článek 20.04</w:t>
      </w:r>
      <w:r w:rsidRPr="003B6E11">
        <w:rPr>
          <w:lang w:val="cs-CZ"/>
        </w:rPr>
        <w:br/>
      </w:r>
      <w:r w:rsidRPr="003B6E11">
        <w:rPr>
          <w:i/>
          <w:noProof/>
          <w:lang w:val="cs-CZ"/>
        </w:rPr>
        <w:t>Požadavky na stavbu lodi a strojní zařízení</w:t>
      </w:r>
      <w:bookmarkEnd w:id="384"/>
      <w:bookmarkEnd w:id="385"/>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 xml:space="preserve">1. </w:t>
      </w:r>
      <w:r w:rsidRPr="003B6E11">
        <w:rPr>
          <w:lang w:val="cs-CZ"/>
        </w:rPr>
        <w:tab/>
        <w:t>Odchylně od čl. 6.01 odst. 3 a čl. 10.01 odst. 3 musí být zařízení navrženo pro stálé naklánění až do 20°.</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2.</w:t>
      </w:r>
      <w:r w:rsidRPr="003B6E11">
        <w:rPr>
          <w:lang w:val="cs-CZ"/>
        </w:rPr>
        <w:tab/>
        <w:t>Odchylně od čl. 19.06 odst. 5 písm. a) a čl. 19.06 odst. 9 písm. b) může subjekt pověřený prohlídkami v případě osobních plachetních lodí s délkou do 25 m povolit světlou šířku méně než 0,80 m u spojovacích chodeb a schodů. Světlá šířka však musí být nejméně 0,60 m.</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3.</w:t>
      </w:r>
      <w:r w:rsidRPr="003B6E11">
        <w:rPr>
          <w:lang w:val="cs-CZ"/>
        </w:rPr>
        <w:tab/>
        <w:t>Odchylně od čl. 19.06 odst. 10 písmene a) může subjekt pověřený prohlídkami v určitých případech povolit použití snímatelného zábradlí v místech, kde je to nezbytné pro ovládání plachet.</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4.</w:t>
      </w:r>
      <w:r w:rsidRPr="003B6E11">
        <w:rPr>
          <w:lang w:val="cs-CZ"/>
        </w:rPr>
        <w:tab/>
        <w:t>Ve smyslu článku 19.07 se plachty považují za hlavní pohonný systém.</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5.</w:t>
      </w:r>
      <w:r w:rsidRPr="003B6E11">
        <w:rPr>
          <w:lang w:val="cs-CZ"/>
        </w:rPr>
        <w:tab/>
        <w:t>Odchylně od čl. 19.15 odst. 6 písm. c) lze v prostoru pro cestující výšku spodní hrany otvoru dveří snížit na 0,20 m nad úrovní podlahy. Po otevření se musí dveře samočinně zavřít a uzamknout.</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6.</w:t>
      </w:r>
      <w:r w:rsidRPr="003B6E11">
        <w:rPr>
          <w:lang w:val="cs-CZ"/>
        </w:rPr>
        <w:tab/>
        <w:t>Může-li během plachtění vrtule běžet naprázdno, musí být ohrožené části pohonného systému chráněny před možným poškozením.</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Titre3"/>
        <w:rPr>
          <w:rFonts w:cs="Arial"/>
          <w:i/>
          <w:lang w:val="cs-CZ"/>
        </w:rPr>
      </w:pPr>
      <w:bookmarkStart w:id="386" w:name="_Toc491854190"/>
      <w:bookmarkStart w:id="387" w:name="_Toc535417096"/>
      <w:r w:rsidRPr="003B6E11">
        <w:rPr>
          <w:lang w:val="cs-CZ"/>
        </w:rPr>
        <w:t>Článek 20.05</w:t>
      </w:r>
      <w:r w:rsidRPr="003B6E11">
        <w:rPr>
          <w:lang w:val="cs-CZ"/>
        </w:rPr>
        <w:br/>
      </w:r>
      <w:r w:rsidRPr="003B6E11">
        <w:rPr>
          <w:i/>
          <w:noProof/>
          <w:lang w:val="cs-CZ"/>
        </w:rPr>
        <w:t>Takeláž obecně</w:t>
      </w:r>
      <w:bookmarkEnd w:id="386"/>
      <w:bookmarkEnd w:id="387"/>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1.</w:t>
      </w:r>
      <w:r w:rsidRPr="003B6E11">
        <w:rPr>
          <w:lang w:val="cs-CZ"/>
        </w:rPr>
        <w:tab/>
        <w:t>Součásti takeláže musí být uspořádány tak, aby se zamezilo nepřípustnému tření.</w:t>
      </w:r>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t>2.</w:t>
      </w:r>
      <w:r w:rsidRPr="003B6E11">
        <w:rPr>
          <w:lang w:val="cs-CZ"/>
        </w:rPr>
        <w:tab/>
        <w:t xml:space="preserve">Pokud se použije jiný materiál než dřevo nebo zvláštní typy takeláže, musí tato konstrukce zajistit rovnocennou bezpečnost při rozměrech a pevnosti podle této kapitoly. </w:t>
      </w:r>
    </w:p>
    <w:p w:rsidR="00E82B25" w:rsidRPr="003B6E11" w:rsidRDefault="00E82B25" w:rsidP="00E82B25">
      <w:pPr>
        <w:pStyle w:val="ESchpar"/>
        <w:rPr>
          <w:noProof/>
          <w:lang w:val="cs-CZ"/>
        </w:rPr>
      </w:pPr>
    </w:p>
    <w:p w:rsidR="00E82B25" w:rsidRPr="003B6E11" w:rsidRDefault="00E82B25" w:rsidP="00E82B25">
      <w:pPr>
        <w:pStyle w:val="ESchpar"/>
        <w:rPr>
          <w:rFonts w:cs="Arial"/>
          <w:lang w:val="cs-CZ"/>
        </w:rPr>
      </w:pPr>
      <w:r w:rsidRPr="003B6E11">
        <w:rPr>
          <w:lang w:val="cs-CZ"/>
        </w:rPr>
        <w:t>Jako důkaz o dostatečné pevnosti:</w:t>
      </w:r>
    </w:p>
    <w:p w:rsidR="00E82B25" w:rsidRPr="003B6E11" w:rsidRDefault="00E82B25" w:rsidP="00E82B25">
      <w:pPr>
        <w:pStyle w:val="ESlet"/>
        <w:rPr>
          <w:rFonts w:cs="Arial"/>
          <w:lang w:val="cs-CZ"/>
        </w:rPr>
      </w:pPr>
      <w:r w:rsidRPr="003B6E11">
        <w:rPr>
          <w:lang w:val="cs-CZ"/>
        </w:rPr>
        <w:t>a)</w:t>
      </w:r>
      <w:r w:rsidRPr="003B6E11">
        <w:rPr>
          <w:lang w:val="cs-CZ"/>
        </w:rPr>
        <w:tab/>
        <w:t>musí být proveden výpočet pevnosti nebo</w:t>
      </w:r>
    </w:p>
    <w:p w:rsidR="00E82B25" w:rsidRPr="003B6E11" w:rsidRDefault="00E82B25" w:rsidP="00E82B25">
      <w:pPr>
        <w:pStyle w:val="ESlet"/>
        <w:rPr>
          <w:rFonts w:cs="Arial"/>
          <w:lang w:val="cs-CZ"/>
        </w:rPr>
      </w:pPr>
      <w:r w:rsidRPr="003B6E11">
        <w:rPr>
          <w:lang w:val="cs-CZ"/>
        </w:rPr>
        <w:t>b)</w:t>
      </w:r>
      <w:r w:rsidRPr="003B6E11">
        <w:rPr>
          <w:lang w:val="cs-CZ"/>
        </w:rPr>
        <w:tab/>
        <w:t>bylo získáno osvědčení od uznané klasifikační společnosti nebo</w:t>
      </w:r>
    </w:p>
    <w:p w:rsidR="00E82B25" w:rsidRPr="003B6E11" w:rsidRDefault="00E82B25" w:rsidP="00E82B25">
      <w:pPr>
        <w:pStyle w:val="ESlet"/>
        <w:rPr>
          <w:rFonts w:cs="Arial"/>
          <w:lang w:val="cs-CZ"/>
        </w:rPr>
      </w:pPr>
      <w:r w:rsidRPr="003B6E11">
        <w:rPr>
          <w:lang w:val="cs-CZ"/>
        </w:rPr>
        <w:t>c)</w:t>
      </w:r>
      <w:r w:rsidRPr="003B6E11">
        <w:rPr>
          <w:lang w:val="cs-CZ"/>
        </w:rPr>
        <w:tab/>
        <w:t>dimenzování musí být založeno na postupech stanovených uznaným regulativním rámcem (např. Middendorf, Kusk-Jensen).</w:t>
      </w:r>
    </w:p>
    <w:p w:rsidR="00E82B25" w:rsidRPr="003B6E11" w:rsidRDefault="00E82B25" w:rsidP="00E82B25">
      <w:pPr>
        <w:pStyle w:val="ESch"/>
        <w:rPr>
          <w:noProof/>
          <w:szCs w:val="20"/>
          <w:lang w:val="cs-CZ"/>
        </w:rPr>
      </w:pPr>
    </w:p>
    <w:p w:rsidR="00E82B25" w:rsidRPr="003B6E11" w:rsidRDefault="00E82B25" w:rsidP="00E82B25">
      <w:pPr>
        <w:pStyle w:val="ESchpar"/>
        <w:rPr>
          <w:noProof/>
          <w:lang w:val="cs-CZ"/>
        </w:rPr>
      </w:pPr>
      <w:r w:rsidRPr="003B6E11">
        <w:rPr>
          <w:lang w:val="cs-CZ"/>
        </w:rPr>
        <w:t>Důkaz je nutno předložit subjektu pověřenému prohlídkami.</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p>
    <w:p w:rsidR="00E82B25" w:rsidRPr="003B6E11" w:rsidRDefault="00E82B25" w:rsidP="00E82B25">
      <w:pPr>
        <w:rPr>
          <w:rFonts w:cs="Arial"/>
          <w:szCs w:val="20"/>
          <w:lang w:val="cs-CZ"/>
        </w:rPr>
      </w:pPr>
      <w:r w:rsidRPr="003B6E11">
        <w:rPr>
          <w:lang w:val="cs-CZ"/>
        </w:rPr>
        <w:br w:type="page"/>
      </w:r>
    </w:p>
    <w:p w:rsidR="00E82B25" w:rsidRPr="003B6E11" w:rsidRDefault="00E82B25" w:rsidP="00E82B25">
      <w:pPr>
        <w:pStyle w:val="ES-Titre3"/>
        <w:rPr>
          <w:rFonts w:cs="Arial"/>
          <w:i/>
          <w:lang w:val="cs-CZ"/>
        </w:rPr>
      </w:pPr>
      <w:bookmarkStart w:id="388" w:name="_Toc491854191"/>
      <w:bookmarkStart w:id="389" w:name="_Toc535417097"/>
      <w:r w:rsidRPr="003B6E11">
        <w:rPr>
          <w:lang w:val="cs-CZ"/>
        </w:rPr>
        <w:t>Článek 20.06</w:t>
      </w:r>
      <w:r w:rsidRPr="003B6E11">
        <w:rPr>
          <w:lang w:val="cs-CZ"/>
        </w:rPr>
        <w:br/>
      </w:r>
      <w:r w:rsidRPr="003B6E11">
        <w:rPr>
          <w:i/>
          <w:noProof/>
          <w:lang w:val="cs-CZ"/>
        </w:rPr>
        <w:t>Stěžně a lodní kulatina obecně</w:t>
      </w:r>
      <w:bookmarkEnd w:id="388"/>
      <w:bookmarkEnd w:id="389"/>
    </w:p>
    <w:p w:rsidR="00E82B25" w:rsidRPr="003B6E11" w:rsidRDefault="00E82B25" w:rsidP="00E82B25">
      <w:pPr>
        <w:pStyle w:val="ESch"/>
        <w:rPr>
          <w:i/>
          <w:noProof/>
          <w:szCs w:val="20"/>
          <w:lang w:val="cs-CZ"/>
        </w:rPr>
      </w:pPr>
    </w:p>
    <w:p w:rsidR="00E82B25" w:rsidRPr="003B6E11" w:rsidRDefault="00E82B25" w:rsidP="00E82B25">
      <w:pPr>
        <w:pStyle w:val="ESch"/>
        <w:rPr>
          <w:rFonts w:cs="Arial"/>
          <w:szCs w:val="20"/>
          <w:lang w:val="cs-CZ"/>
        </w:rPr>
      </w:pPr>
      <w:r w:rsidRPr="003B6E11">
        <w:rPr>
          <w:lang w:val="cs-CZ"/>
        </w:rPr>
        <w:t xml:space="preserve">1. </w:t>
      </w:r>
      <w:r w:rsidRPr="003B6E11">
        <w:rPr>
          <w:lang w:val="cs-CZ"/>
        </w:rPr>
        <w:tab/>
        <w:t>Všechna lodní kulatina musí být zhotovena z vysoce kvalitního materiálu.</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 xml:space="preserve">2. </w:t>
      </w:r>
      <w:r w:rsidRPr="003B6E11">
        <w:rPr>
          <w:lang w:val="cs-CZ"/>
        </w:rPr>
        <w:tab/>
        <w:t>Dřevo na stěžně musí být:</w:t>
      </w:r>
    </w:p>
    <w:p w:rsidR="00E82B25" w:rsidRPr="003B6E11" w:rsidRDefault="00E82B25" w:rsidP="00E82B25">
      <w:pPr>
        <w:pStyle w:val="ESlet"/>
        <w:rPr>
          <w:rFonts w:cs="Arial"/>
          <w:lang w:val="cs-CZ"/>
        </w:rPr>
      </w:pPr>
      <w:r w:rsidRPr="003B6E11">
        <w:rPr>
          <w:lang w:val="cs-CZ"/>
        </w:rPr>
        <w:t>a)</w:t>
      </w:r>
      <w:r w:rsidRPr="003B6E11">
        <w:rPr>
          <w:lang w:val="cs-CZ"/>
        </w:rPr>
        <w:tab/>
        <w:t>bez koncentrací suků;</w:t>
      </w:r>
    </w:p>
    <w:p w:rsidR="00E82B25" w:rsidRPr="003B6E11" w:rsidRDefault="00E82B25" w:rsidP="00E82B25">
      <w:pPr>
        <w:pStyle w:val="ESlet"/>
        <w:rPr>
          <w:rFonts w:cs="Arial"/>
          <w:lang w:val="cs-CZ"/>
        </w:rPr>
      </w:pPr>
      <w:r w:rsidRPr="003B6E11">
        <w:rPr>
          <w:lang w:val="cs-CZ"/>
        </w:rPr>
        <w:t>b)</w:t>
      </w:r>
      <w:r w:rsidRPr="003B6E11">
        <w:rPr>
          <w:lang w:val="cs-CZ"/>
        </w:rPr>
        <w:tab/>
        <w:t>bez bělového dřeva v rámci stanovených rozměrů;</w:t>
      </w:r>
    </w:p>
    <w:p w:rsidR="00E82B25" w:rsidRPr="003B6E11" w:rsidRDefault="00E82B25" w:rsidP="00E82B25">
      <w:pPr>
        <w:pStyle w:val="ESlet"/>
        <w:rPr>
          <w:rFonts w:cs="Arial"/>
          <w:lang w:val="cs-CZ"/>
        </w:rPr>
      </w:pPr>
      <w:r w:rsidRPr="003B6E11">
        <w:rPr>
          <w:lang w:val="cs-CZ"/>
        </w:rPr>
        <w:t xml:space="preserve">c) </w:t>
      </w:r>
      <w:r w:rsidRPr="003B6E11">
        <w:rPr>
          <w:lang w:val="cs-CZ"/>
        </w:rPr>
        <w:tab/>
        <w:t>být pokud možno rovnovláknité;</w:t>
      </w:r>
    </w:p>
    <w:p w:rsidR="00E82B25" w:rsidRPr="003B6E11" w:rsidRDefault="00E82B25" w:rsidP="00E82B25">
      <w:pPr>
        <w:pStyle w:val="ESlet"/>
        <w:rPr>
          <w:rFonts w:cs="Arial"/>
          <w:lang w:val="cs-CZ"/>
        </w:rPr>
      </w:pPr>
      <w:r w:rsidRPr="003B6E11">
        <w:rPr>
          <w:lang w:val="cs-CZ"/>
        </w:rPr>
        <w:t>d)</w:t>
      </w:r>
      <w:r w:rsidRPr="003B6E11">
        <w:rPr>
          <w:lang w:val="cs-CZ"/>
        </w:rPr>
        <w:tab/>
        <w:t>být pokud možno bez točitého růstu.</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3.</w:t>
      </w:r>
      <w:r w:rsidRPr="003B6E11">
        <w:rPr>
          <w:lang w:val="cs-CZ"/>
        </w:rPr>
        <w:tab/>
        <w:t>Je-li zvoleným druhem dřeva borovice bahenní nebo oregonská borovice (Oregon pine) jakosti „bez suků a lepší“, lze průměry uvedené v tabulkách v článcích 20.07 až 20.12 zmenšit o 5 %.</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4.</w:t>
      </w:r>
      <w:r w:rsidRPr="003B6E11">
        <w:rPr>
          <w:lang w:val="cs-CZ"/>
        </w:rPr>
        <w:tab/>
        <w:t>Nepoužije-li se na stěžně, košové čnělky, ráhna, vratipně a příďové čeleny dříví kulatého průřezu, musí mít toto dříví rovnocennou pevnost.</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5.</w:t>
      </w:r>
      <w:r w:rsidRPr="003B6E11">
        <w:rPr>
          <w:lang w:val="cs-CZ"/>
        </w:rPr>
        <w:tab/>
        <w:t>Základy stěžňů, stěžňové tuleje a upevnění na palubu, podlahové desky nebo k přídi či zádi musí být zhotoveny tak, aby absorbovaly síly, které na ně působí, nebo je přenášely na jiné připojené části konstrukce.</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 xml:space="preserve">6. </w:t>
      </w:r>
      <w:r w:rsidRPr="003B6E11">
        <w:rPr>
          <w:lang w:val="cs-CZ"/>
        </w:rPr>
        <w:tab/>
        <w:t>V závislosti na stabilitě lodi a vnějších silách, které na ni působí, a rovněž na rozložení disponibilní plochy plachet může subjekt pověřený prohlídkami na základě rozměrů stanovených v článcích 20.07 až 20.12 povolit menší průřezy lodní kulatiny a případně takeláže. Předloží se důkazy podle čl. 20.05 odst. 2.</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7.</w:t>
      </w:r>
      <w:r w:rsidRPr="003B6E11">
        <w:rPr>
          <w:lang w:val="cs-CZ"/>
        </w:rPr>
        <w:tab/>
        <w:t>Je-li doba kývání/kolébání plavidla v sekundách kratší než tři čtvrtiny jeho šířky v metrech, je nutno rozměry stanovené v článcích 20.07 až 20.12 zvýšit. Předloží se důkazy podle čl. 20.05 odst. 2.</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 xml:space="preserve">8. </w:t>
      </w:r>
      <w:r w:rsidRPr="003B6E11">
        <w:rPr>
          <w:lang w:val="cs-CZ"/>
        </w:rPr>
        <w:tab/>
        <w:t>V tabulkách uvedených v článcích 20.07 až 20.12 a 20.14 se možné mezihodnoty interpolují.</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Titre3"/>
        <w:rPr>
          <w:rFonts w:cs="Arial"/>
          <w:i/>
          <w:lang w:val="cs-CZ"/>
        </w:rPr>
      </w:pPr>
      <w:bookmarkStart w:id="390" w:name="_Toc491854192"/>
      <w:bookmarkStart w:id="391" w:name="_Toc535417098"/>
      <w:r w:rsidRPr="003B6E11">
        <w:rPr>
          <w:lang w:val="cs-CZ"/>
        </w:rPr>
        <w:t>Článek 20.07</w:t>
      </w:r>
      <w:r w:rsidRPr="003B6E11">
        <w:rPr>
          <w:lang w:val="cs-CZ"/>
        </w:rPr>
        <w:br/>
      </w:r>
      <w:r w:rsidRPr="003B6E11">
        <w:rPr>
          <w:i/>
          <w:noProof/>
          <w:lang w:val="cs-CZ"/>
        </w:rPr>
        <w:t>Zvláštní ustanovení pro stěžně</w:t>
      </w:r>
      <w:bookmarkEnd w:id="390"/>
      <w:bookmarkEnd w:id="391"/>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 xml:space="preserve">1. </w:t>
      </w:r>
      <w:r w:rsidRPr="003B6E11">
        <w:rPr>
          <w:lang w:val="cs-CZ"/>
        </w:rPr>
        <w:tab/>
        <w:t>Dřevěné stěžně musí splňovat tyto minimální požadavky:</w:t>
      </w:r>
    </w:p>
    <w:p w:rsidR="00E82B25" w:rsidRPr="003B6E11" w:rsidRDefault="00E82B25" w:rsidP="00E82B25">
      <w:pPr>
        <w:pStyle w:val="ESch"/>
        <w:rPr>
          <w:szCs w:val="20"/>
          <w:lang w:val="cs-CZ"/>
        </w:rPr>
      </w:pPr>
    </w:p>
    <w:tbl>
      <w:tblPr>
        <w:tblW w:w="0" w:type="auto"/>
        <w:jc w:val="center"/>
        <w:tblLayout w:type="fixed"/>
        <w:tblLook w:val="0000" w:firstRow="0" w:lastRow="0" w:firstColumn="0" w:lastColumn="0" w:noHBand="0" w:noVBand="0"/>
      </w:tblPr>
      <w:tblGrid>
        <w:gridCol w:w="1871"/>
        <w:gridCol w:w="1871"/>
        <w:gridCol w:w="1871"/>
        <w:gridCol w:w="1871"/>
      </w:tblGrid>
      <w:tr w:rsidR="00E82B25" w:rsidRPr="003B6E11" w:rsidTr="002D015D">
        <w:trPr>
          <w:cantSplit/>
          <w:tblHeader/>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Centered"/>
              <w:spacing w:before="20" w:after="20" w:line="240" w:lineRule="atLeast"/>
              <w:rPr>
                <w:rFonts w:cs="Arial"/>
                <w:noProof/>
                <w:sz w:val="18"/>
                <w:szCs w:val="18"/>
                <w:lang w:val="cs-CZ"/>
              </w:rPr>
            </w:pPr>
            <w:r w:rsidRPr="003B6E11">
              <w:rPr>
                <w:noProof/>
                <w:sz w:val="18"/>
                <w:lang w:val="cs-CZ"/>
              </w:rPr>
              <w:t>Délka</w:t>
            </w:r>
            <w:r w:rsidRPr="003B6E11">
              <w:rPr>
                <w:rStyle w:val="FootnoteReference"/>
                <w:noProof/>
                <w:sz w:val="18"/>
                <w:lang w:val="cs-CZ"/>
              </w:rPr>
              <w:footnoteReference w:id="12"/>
            </w:r>
            <w:r w:rsidRPr="003B6E11">
              <w:rPr>
                <w:rFonts w:cs="Arial"/>
                <w:noProof/>
                <w:sz w:val="18"/>
                <w:szCs w:val="18"/>
                <w:lang w:val="cs-CZ"/>
              </w:rPr>
              <w:br/>
            </w:r>
            <w:r w:rsidRPr="003B6E11">
              <w:rPr>
                <w:noProof/>
                <w:sz w:val="18"/>
                <w:lang w:val="cs-CZ"/>
              </w:rPr>
              <w:t>[m]</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Centered"/>
              <w:spacing w:before="20" w:after="20" w:line="240" w:lineRule="atLeast"/>
              <w:rPr>
                <w:rFonts w:cs="Arial"/>
                <w:noProof/>
                <w:sz w:val="18"/>
                <w:szCs w:val="18"/>
                <w:lang w:val="cs-CZ"/>
              </w:rPr>
            </w:pPr>
            <w:r w:rsidRPr="003B6E11">
              <w:rPr>
                <w:noProof/>
                <w:sz w:val="18"/>
                <w:lang w:val="cs-CZ"/>
              </w:rPr>
              <w:t>Průměr u paluby</w:t>
            </w:r>
            <w:r w:rsidRPr="003B6E11">
              <w:rPr>
                <w:rFonts w:cs="Arial"/>
                <w:noProof/>
                <w:sz w:val="18"/>
                <w:szCs w:val="18"/>
                <w:lang w:val="cs-CZ"/>
              </w:rPr>
              <w:br/>
            </w:r>
            <w:r w:rsidRPr="003B6E11">
              <w:rPr>
                <w:noProof/>
                <w:sz w:val="18"/>
                <w:lang w:val="cs-CZ"/>
              </w:rPr>
              <w:t>[cm]</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Centered"/>
              <w:spacing w:before="20" w:after="20" w:line="240" w:lineRule="atLeast"/>
              <w:rPr>
                <w:rFonts w:cs="Arial"/>
                <w:noProof/>
                <w:sz w:val="18"/>
                <w:szCs w:val="18"/>
                <w:lang w:val="cs-CZ"/>
              </w:rPr>
            </w:pPr>
            <w:r w:rsidRPr="003B6E11">
              <w:rPr>
                <w:noProof/>
                <w:sz w:val="18"/>
                <w:lang w:val="cs-CZ"/>
              </w:rPr>
              <w:t>Průměr u stěžňového kříže</w:t>
            </w:r>
            <w:r w:rsidRPr="003B6E11">
              <w:rPr>
                <w:rFonts w:cs="Arial"/>
                <w:noProof/>
                <w:sz w:val="18"/>
                <w:szCs w:val="18"/>
                <w:lang w:val="cs-CZ"/>
              </w:rPr>
              <w:br/>
            </w:r>
            <w:r w:rsidRPr="003B6E11">
              <w:rPr>
                <w:noProof/>
                <w:sz w:val="18"/>
                <w:lang w:val="cs-CZ"/>
              </w:rPr>
              <w:t>[cm]</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Centered"/>
              <w:spacing w:before="20" w:after="20" w:line="240" w:lineRule="atLeast"/>
              <w:rPr>
                <w:rFonts w:cs="Arial"/>
                <w:noProof/>
                <w:sz w:val="18"/>
                <w:szCs w:val="18"/>
                <w:lang w:val="cs-CZ"/>
              </w:rPr>
            </w:pPr>
            <w:r w:rsidRPr="003B6E11">
              <w:rPr>
                <w:noProof/>
                <w:sz w:val="18"/>
                <w:lang w:val="cs-CZ"/>
              </w:rPr>
              <w:t>Průměr u stěžňové spojky</w:t>
            </w:r>
            <w:r w:rsidRPr="003B6E11">
              <w:rPr>
                <w:rFonts w:cs="Arial"/>
                <w:noProof/>
                <w:sz w:val="18"/>
                <w:szCs w:val="18"/>
                <w:lang w:val="cs-CZ"/>
              </w:rPr>
              <w:br/>
            </w:r>
            <w:r w:rsidRPr="003B6E11">
              <w:rPr>
                <w:noProof/>
                <w:sz w:val="18"/>
                <w:lang w:val="cs-CZ"/>
              </w:rPr>
              <w:t>[cm]</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10</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20</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17</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15</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11</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22</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17</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15</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12</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24</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19</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17</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13</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26</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21</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18</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14</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28</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23</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19</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15</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30</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25</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21</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16</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32</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26</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40" w:after="20" w:line="240" w:lineRule="atLeast"/>
              <w:jc w:val="center"/>
              <w:rPr>
                <w:rFonts w:cs="Arial"/>
                <w:noProof/>
                <w:sz w:val="18"/>
                <w:szCs w:val="18"/>
                <w:lang w:val="cs-CZ"/>
              </w:rPr>
            </w:pPr>
            <w:r w:rsidRPr="003B6E11">
              <w:rPr>
                <w:noProof/>
                <w:sz w:val="18"/>
                <w:lang w:val="cs-CZ"/>
              </w:rPr>
              <w:t>22</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17</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34</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28</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23</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18</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36</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29</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24</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19</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39</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31</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25</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20</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41</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33</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26</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21</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43</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34</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28</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22</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44</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35</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29</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23</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46</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37</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30</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24</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49</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39</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32</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25</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51</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41</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20" w:after="20" w:line="240" w:lineRule="atLeast"/>
              <w:jc w:val="center"/>
              <w:rPr>
                <w:rFonts w:cs="Arial"/>
                <w:noProof/>
                <w:sz w:val="18"/>
                <w:szCs w:val="18"/>
                <w:lang w:val="cs-CZ"/>
              </w:rPr>
            </w:pPr>
            <w:r w:rsidRPr="003B6E11">
              <w:rPr>
                <w:noProof/>
                <w:sz w:val="18"/>
                <w:lang w:val="cs-CZ"/>
              </w:rPr>
              <w:t>33</w:t>
            </w:r>
          </w:p>
        </w:tc>
      </w:tr>
    </w:tbl>
    <w:p w:rsidR="00E82B25" w:rsidRPr="003B6E11" w:rsidRDefault="00E82B25" w:rsidP="00E82B25">
      <w:pPr>
        <w:pStyle w:val="ESchpar"/>
        <w:rPr>
          <w:noProof/>
          <w:lang w:val="cs-CZ"/>
        </w:rPr>
      </w:pPr>
    </w:p>
    <w:p w:rsidR="00E82B25" w:rsidRPr="003B6E11" w:rsidRDefault="00E82B25" w:rsidP="00E82B25">
      <w:pPr>
        <w:pStyle w:val="ESchpar"/>
        <w:rPr>
          <w:rFonts w:cs="Arial"/>
          <w:lang w:val="cs-CZ"/>
        </w:rPr>
      </w:pPr>
      <w:r w:rsidRPr="003B6E11">
        <w:rPr>
          <w:lang w:val="cs-CZ"/>
        </w:rPr>
        <w:t>Má-li stěžeň dvě ráhna, musí se průměr zvýšit nejméně o 10 %.</w:t>
      </w:r>
    </w:p>
    <w:p w:rsidR="00E82B25" w:rsidRPr="003B6E11" w:rsidRDefault="00E82B25" w:rsidP="00E82B25">
      <w:pPr>
        <w:pStyle w:val="ESchpar"/>
        <w:rPr>
          <w:noProof/>
          <w:lang w:val="cs-CZ"/>
        </w:rPr>
      </w:pPr>
    </w:p>
    <w:p w:rsidR="00E82B25" w:rsidRPr="003B6E11" w:rsidRDefault="00E82B25" w:rsidP="00E82B25">
      <w:pPr>
        <w:pStyle w:val="ESchpar"/>
        <w:rPr>
          <w:rFonts w:cs="Arial"/>
          <w:lang w:val="cs-CZ"/>
        </w:rPr>
      </w:pPr>
      <w:r w:rsidRPr="003B6E11">
        <w:rPr>
          <w:lang w:val="cs-CZ"/>
        </w:rPr>
        <w:t>Má-li stěžeň více než dvě ráhna, musí se průměr zvýšit nejméně o 15 %.</w:t>
      </w:r>
    </w:p>
    <w:p w:rsidR="00E82B25" w:rsidRPr="003B6E11" w:rsidRDefault="00E82B25" w:rsidP="00E82B25">
      <w:pPr>
        <w:pStyle w:val="ESchpar"/>
        <w:rPr>
          <w:noProof/>
          <w:lang w:val="cs-CZ"/>
        </w:rPr>
      </w:pPr>
    </w:p>
    <w:p w:rsidR="00E82B25" w:rsidRPr="003B6E11" w:rsidRDefault="00E82B25" w:rsidP="00E82B25">
      <w:pPr>
        <w:pStyle w:val="ESchpar"/>
        <w:rPr>
          <w:rFonts w:cs="Arial"/>
          <w:lang w:val="cs-CZ"/>
        </w:rPr>
      </w:pPr>
      <w:r w:rsidRPr="003B6E11">
        <w:rPr>
          <w:lang w:val="cs-CZ"/>
        </w:rPr>
        <w:t>V případě stěžňů prostrčených přes palubu musí průměr u paty stěžně činit nejméně 75 % průměru stěžně na úrovni paluby.</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 xml:space="preserve">2. </w:t>
      </w:r>
      <w:r w:rsidRPr="003B6E11">
        <w:rPr>
          <w:lang w:val="cs-CZ"/>
        </w:rPr>
        <w:tab/>
        <w:t>Kování stěžňů, pásy, stěžňové kříže a spojky musí být dostatečně pevně dimenzovány a upevněny.</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Titre3"/>
        <w:rPr>
          <w:rFonts w:cs="Arial"/>
          <w:i/>
          <w:lang w:val="cs-CZ"/>
        </w:rPr>
      </w:pPr>
      <w:bookmarkStart w:id="392" w:name="_Toc491854193"/>
      <w:bookmarkStart w:id="393" w:name="_Toc535417099"/>
      <w:r w:rsidRPr="003B6E11">
        <w:rPr>
          <w:lang w:val="cs-CZ"/>
        </w:rPr>
        <w:t>Článek 20.08</w:t>
      </w:r>
      <w:r w:rsidRPr="003B6E11">
        <w:rPr>
          <w:lang w:val="cs-CZ"/>
        </w:rPr>
        <w:br/>
      </w:r>
      <w:r w:rsidRPr="003B6E11">
        <w:rPr>
          <w:i/>
          <w:noProof/>
          <w:lang w:val="cs-CZ"/>
        </w:rPr>
        <w:t>Zvláštní ustanovení pro košové čnělky</w:t>
      </w:r>
      <w:bookmarkEnd w:id="392"/>
      <w:bookmarkEnd w:id="393"/>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t>1.</w:t>
      </w:r>
      <w:r w:rsidRPr="003B6E11">
        <w:rPr>
          <w:lang w:val="cs-CZ"/>
        </w:rPr>
        <w:tab/>
        <w:t>Dřevěné košové čnělky musí splňovat tyto minimální požadavky:</w:t>
      </w:r>
    </w:p>
    <w:p w:rsidR="00E82B25" w:rsidRPr="003B6E11" w:rsidRDefault="00E82B25" w:rsidP="00E82B25">
      <w:pPr>
        <w:pStyle w:val="ESch"/>
        <w:rPr>
          <w:rFonts w:cs="Arial"/>
          <w:szCs w:val="20"/>
          <w:lang w:val="cs-CZ"/>
        </w:rPr>
      </w:pPr>
    </w:p>
    <w:tbl>
      <w:tblPr>
        <w:tblW w:w="0" w:type="auto"/>
        <w:jc w:val="center"/>
        <w:tblLayout w:type="fixed"/>
        <w:tblLook w:val="0000" w:firstRow="0" w:lastRow="0" w:firstColumn="0" w:lastColumn="0" w:noHBand="0" w:noVBand="0"/>
      </w:tblPr>
      <w:tblGrid>
        <w:gridCol w:w="1871"/>
        <w:gridCol w:w="1871"/>
        <w:gridCol w:w="1871"/>
        <w:gridCol w:w="1871"/>
      </w:tblGrid>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Centered"/>
              <w:spacing w:before="60" w:after="60" w:line="240" w:lineRule="atLeast"/>
              <w:rPr>
                <w:rFonts w:cs="Arial"/>
                <w:noProof/>
                <w:sz w:val="18"/>
                <w:szCs w:val="18"/>
                <w:lang w:val="cs-CZ"/>
              </w:rPr>
            </w:pPr>
            <w:r w:rsidRPr="003B6E11">
              <w:rPr>
                <w:noProof/>
                <w:sz w:val="18"/>
                <w:lang w:val="cs-CZ"/>
              </w:rPr>
              <w:t>Délka</w:t>
            </w:r>
            <w:r w:rsidRPr="003B6E11">
              <w:rPr>
                <w:rStyle w:val="FootnoteReference"/>
                <w:noProof/>
                <w:sz w:val="18"/>
                <w:lang w:val="cs-CZ"/>
              </w:rPr>
              <w:footnoteReference w:id="13"/>
            </w:r>
            <w:r w:rsidRPr="003B6E11">
              <w:rPr>
                <w:rFonts w:cs="Arial"/>
                <w:noProof/>
                <w:sz w:val="18"/>
                <w:szCs w:val="18"/>
                <w:lang w:val="cs-CZ"/>
              </w:rPr>
              <w:br/>
            </w:r>
            <w:r w:rsidRPr="003B6E11">
              <w:rPr>
                <w:noProof/>
                <w:sz w:val="18"/>
                <w:lang w:val="cs-CZ"/>
              </w:rPr>
              <w:t>[m]</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Centered"/>
              <w:spacing w:before="60" w:after="60" w:line="240" w:lineRule="atLeast"/>
              <w:rPr>
                <w:rFonts w:cs="Arial"/>
                <w:noProof/>
                <w:sz w:val="18"/>
                <w:szCs w:val="18"/>
                <w:lang w:val="cs-CZ"/>
              </w:rPr>
            </w:pPr>
            <w:r w:rsidRPr="003B6E11">
              <w:rPr>
                <w:noProof/>
                <w:sz w:val="18"/>
                <w:lang w:val="cs-CZ"/>
              </w:rPr>
              <w:t>Průměr u paty</w:t>
            </w:r>
            <w:r w:rsidRPr="003B6E11">
              <w:rPr>
                <w:rFonts w:cs="Arial"/>
                <w:noProof/>
                <w:sz w:val="18"/>
                <w:szCs w:val="18"/>
                <w:lang w:val="cs-CZ"/>
              </w:rPr>
              <w:br/>
            </w:r>
            <w:r w:rsidRPr="003B6E11">
              <w:rPr>
                <w:noProof/>
                <w:sz w:val="18"/>
                <w:lang w:val="cs-CZ"/>
              </w:rPr>
              <w:t>[cm]</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Centered"/>
              <w:spacing w:before="60" w:after="60" w:line="240" w:lineRule="atLeast"/>
              <w:rPr>
                <w:rFonts w:cs="Arial"/>
                <w:noProof/>
                <w:sz w:val="18"/>
                <w:szCs w:val="18"/>
                <w:lang w:val="cs-CZ"/>
              </w:rPr>
            </w:pPr>
            <w:r w:rsidRPr="003B6E11">
              <w:rPr>
                <w:noProof/>
                <w:sz w:val="18"/>
                <w:lang w:val="cs-CZ"/>
              </w:rPr>
              <w:t>Průměr v polovině délky</w:t>
            </w:r>
            <w:r w:rsidRPr="003B6E11">
              <w:rPr>
                <w:rFonts w:cs="Arial"/>
                <w:noProof/>
                <w:sz w:val="18"/>
                <w:szCs w:val="18"/>
                <w:lang w:val="cs-CZ"/>
              </w:rPr>
              <w:br/>
            </w:r>
            <w:r w:rsidRPr="003B6E11">
              <w:rPr>
                <w:noProof/>
                <w:sz w:val="18"/>
                <w:lang w:val="cs-CZ"/>
              </w:rPr>
              <w:t>[cm]</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Centered"/>
              <w:spacing w:before="60" w:after="60" w:line="240" w:lineRule="atLeast"/>
              <w:rPr>
                <w:rFonts w:cs="Arial"/>
                <w:noProof/>
                <w:sz w:val="18"/>
                <w:szCs w:val="18"/>
                <w:lang w:val="cs-CZ"/>
              </w:rPr>
            </w:pPr>
            <w:r w:rsidRPr="003B6E11">
              <w:rPr>
                <w:noProof/>
                <w:sz w:val="18"/>
                <w:lang w:val="cs-CZ"/>
              </w:rPr>
              <w:t>Průměr u kování</w:t>
            </w:r>
            <w:r w:rsidRPr="003B6E11">
              <w:rPr>
                <w:rStyle w:val="FootnoteReference"/>
                <w:noProof/>
                <w:sz w:val="18"/>
                <w:lang w:val="cs-CZ"/>
              </w:rPr>
              <w:footnoteReference w:id="14"/>
            </w:r>
            <w:r w:rsidRPr="003B6E11">
              <w:rPr>
                <w:rFonts w:cs="Arial"/>
                <w:noProof/>
                <w:sz w:val="18"/>
                <w:szCs w:val="18"/>
                <w:lang w:val="cs-CZ"/>
              </w:rPr>
              <w:br/>
            </w:r>
            <w:r w:rsidRPr="003B6E11">
              <w:rPr>
                <w:noProof/>
                <w:sz w:val="18"/>
                <w:lang w:val="cs-CZ"/>
              </w:rPr>
              <w:t>[cm]</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4</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8</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7</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6</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5</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10</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9</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7</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6</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13</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11</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8</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7</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14</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13</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10</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8</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16</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15</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11</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9</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18</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16</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13</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10</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20</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18</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15</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11</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23</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20</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16</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12</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25</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22</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17</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13</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26</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24</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18</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14</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28</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25</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20</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15</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31</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27</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21</w:t>
            </w:r>
          </w:p>
        </w:tc>
      </w:tr>
    </w:tbl>
    <w:p w:rsidR="00E82B25" w:rsidRPr="003B6E11" w:rsidRDefault="00E82B25" w:rsidP="00E82B25">
      <w:pPr>
        <w:pStyle w:val="ESch"/>
        <w:rPr>
          <w:noProof/>
          <w:szCs w:val="20"/>
          <w:lang w:val="cs-CZ"/>
        </w:rPr>
      </w:pPr>
    </w:p>
    <w:p w:rsidR="00E82B25" w:rsidRPr="003B6E11" w:rsidRDefault="00E82B25" w:rsidP="00E82B25">
      <w:pPr>
        <w:pStyle w:val="ESchpar"/>
        <w:rPr>
          <w:rFonts w:cs="Arial"/>
          <w:lang w:val="cs-CZ"/>
        </w:rPr>
      </w:pPr>
      <w:r w:rsidRPr="003B6E11">
        <w:rPr>
          <w:lang w:val="cs-CZ"/>
        </w:rPr>
        <w:t>Jsou-li ke košové čnělce připojeny ráhnové plachty, zvyšují se rozměry uvedené v tabulce o 10 %.</w:t>
      </w:r>
    </w:p>
    <w:p w:rsidR="00E82B25" w:rsidRPr="003B6E11" w:rsidRDefault="00E82B25" w:rsidP="00E82B25">
      <w:pPr>
        <w:pStyle w:val="ESch"/>
        <w:rPr>
          <w:noProof/>
          <w:szCs w:val="20"/>
          <w:lang w:val="cs-CZ"/>
        </w:rPr>
      </w:pPr>
    </w:p>
    <w:p w:rsidR="00E82B25" w:rsidRPr="003B6E11" w:rsidRDefault="00E82B25" w:rsidP="00E82B25">
      <w:pPr>
        <w:rPr>
          <w:noProof/>
          <w:szCs w:val="20"/>
          <w:lang w:val="cs-CZ"/>
        </w:rPr>
      </w:pPr>
      <w:r w:rsidRPr="003B6E11">
        <w:rPr>
          <w:lang w:val="cs-CZ"/>
        </w:rPr>
        <w:br w:type="page"/>
      </w:r>
    </w:p>
    <w:p w:rsidR="00E82B25" w:rsidRPr="003B6E11" w:rsidRDefault="00E82B25" w:rsidP="00E82B25">
      <w:pPr>
        <w:pStyle w:val="ESch"/>
        <w:rPr>
          <w:rFonts w:cs="Arial"/>
          <w:szCs w:val="20"/>
          <w:lang w:val="cs-CZ"/>
        </w:rPr>
      </w:pPr>
      <w:r w:rsidRPr="003B6E11">
        <w:rPr>
          <w:lang w:val="cs-CZ"/>
        </w:rPr>
        <w:t>2.</w:t>
      </w:r>
      <w:r w:rsidRPr="003B6E11">
        <w:rPr>
          <w:lang w:val="cs-CZ"/>
        </w:rPr>
        <w:tab/>
        <w:t>Přesah mezi košovou čnělkou a stěžněm musí činit nejméně 10násobek požadovaného průměru košové čnělky u paty.</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Titre3"/>
        <w:rPr>
          <w:rFonts w:cs="Arial"/>
          <w:i/>
          <w:lang w:val="cs-CZ"/>
        </w:rPr>
      </w:pPr>
      <w:bookmarkStart w:id="394" w:name="_Toc491854194"/>
      <w:bookmarkStart w:id="395" w:name="_Toc535417100"/>
      <w:r w:rsidRPr="003B6E11">
        <w:rPr>
          <w:lang w:val="cs-CZ"/>
        </w:rPr>
        <w:t>Článek 20.09</w:t>
      </w:r>
      <w:r w:rsidRPr="003B6E11">
        <w:rPr>
          <w:lang w:val="cs-CZ"/>
        </w:rPr>
        <w:br/>
      </w:r>
      <w:r w:rsidRPr="003B6E11">
        <w:rPr>
          <w:i/>
          <w:noProof/>
          <w:lang w:val="cs-CZ"/>
        </w:rPr>
        <w:t>Zvláštní ustanovení pro příďové čeleny</w:t>
      </w:r>
      <w:bookmarkEnd w:id="394"/>
      <w:bookmarkEnd w:id="395"/>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 xml:space="preserve">1. </w:t>
      </w:r>
      <w:r w:rsidRPr="003B6E11">
        <w:rPr>
          <w:lang w:val="cs-CZ"/>
        </w:rPr>
        <w:tab/>
        <w:t>Dřevěné příďové čeleny musí splňovat tyto minimální požadavky:</w:t>
      </w:r>
    </w:p>
    <w:p w:rsidR="00E82B25" w:rsidRPr="003B6E11" w:rsidRDefault="00E82B25" w:rsidP="00E82B25">
      <w:pPr>
        <w:pStyle w:val="ESch"/>
        <w:rPr>
          <w:szCs w:val="20"/>
          <w:lang w:val="cs-CZ"/>
        </w:rPr>
      </w:pPr>
    </w:p>
    <w:tbl>
      <w:tblPr>
        <w:tblW w:w="0" w:type="auto"/>
        <w:jc w:val="center"/>
        <w:tblLayout w:type="fixed"/>
        <w:tblLook w:val="0000" w:firstRow="0" w:lastRow="0" w:firstColumn="0" w:lastColumn="0" w:noHBand="0" w:noVBand="0"/>
      </w:tblPr>
      <w:tblGrid>
        <w:gridCol w:w="1871"/>
        <w:gridCol w:w="1871"/>
        <w:gridCol w:w="1871"/>
      </w:tblGrid>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Centered"/>
              <w:spacing w:before="60" w:after="60" w:line="240" w:lineRule="atLeast"/>
              <w:rPr>
                <w:rFonts w:cs="Arial"/>
                <w:noProof/>
                <w:sz w:val="18"/>
                <w:szCs w:val="18"/>
                <w:lang w:val="cs-CZ"/>
              </w:rPr>
            </w:pPr>
            <w:r w:rsidRPr="003B6E11">
              <w:rPr>
                <w:noProof/>
                <w:sz w:val="18"/>
                <w:lang w:val="cs-CZ"/>
              </w:rPr>
              <w:t>Délka</w:t>
            </w:r>
            <w:r w:rsidRPr="003B6E11">
              <w:rPr>
                <w:rStyle w:val="FootnoteReference"/>
                <w:noProof/>
                <w:sz w:val="18"/>
                <w:lang w:val="cs-CZ"/>
              </w:rPr>
              <w:footnoteReference w:id="15"/>
            </w:r>
            <w:r w:rsidRPr="003B6E11">
              <w:rPr>
                <w:rFonts w:cs="Arial"/>
                <w:noProof/>
                <w:sz w:val="18"/>
                <w:szCs w:val="18"/>
                <w:lang w:val="cs-CZ"/>
              </w:rPr>
              <w:br/>
            </w:r>
            <w:r w:rsidRPr="003B6E11">
              <w:rPr>
                <w:noProof/>
                <w:sz w:val="18"/>
                <w:lang w:val="cs-CZ"/>
              </w:rPr>
              <w:t>[m]</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Centered"/>
              <w:spacing w:before="60" w:after="60" w:line="240" w:lineRule="atLeast"/>
              <w:rPr>
                <w:rFonts w:cs="Arial"/>
                <w:noProof/>
                <w:sz w:val="18"/>
                <w:szCs w:val="18"/>
                <w:lang w:val="cs-CZ"/>
              </w:rPr>
            </w:pPr>
            <w:r w:rsidRPr="003B6E11">
              <w:rPr>
                <w:noProof/>
                <w:sz w:val="18"/>
                <w:lang w:val="cs-CZ"/>
              </w:rPr>
              <w:t>Průměr u přídě</w:t>
            </w:r>
            <w:r w:rsidRPr="003B6E11">
              <w:rPr>
                <w:rFonts w:cs="Arial"/>
                <w:noProof/>
                <w:sz w:val="18"/>
                <w:szCs w:val="18"/>
                <w:lang w:val="cs-CZ"/>
              </w:rPr>
              <w:br/>
            </w:r>
            <w:r w:rsidRPr="003B6E11">
              <w:rPr>
                <w:noProof/>
                <w:sz w:val="18"/>
                <w:lang w:val="cs-CZ"/>
              </w:rPr>
              <w:t>[cm]</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Centered"/>
              <w:spacing w:before="60" w:after="60" w:line="240" w:lineRule="atLeast"/>
              <w:rPr>
                <w:rFonts w:cs="Arial"/>
                <w:noProof/>
                <w:sz w:val="18"/>
                <w:szCs w:val="18"/>
                <w:lang w:val="cs-CZ"/>
              </w:rPr>
            </w:pPr>
            <w:r w:rsidRPr="003B6E11">
              <w:rPr>
                <w:noProof/>
                <w:sz w:val="18"/>
                <w:lang w:val="cs-CZ"/>
              </w:rPr>
              <w:t>Průměr v polovině délky</w:t>
            </w:r>
            <w:r w:rsidRPr="003B6E11">
              <w:rPr>
                <w:rFonts w:cs="Arial"/>
                <w:noProof/>
                <w:sz w:val="18"/>
                <w:szCs w:val="18"/>
                <w:lang w:val="cs-CZ"/>
              </w:rPr>
              <w:br/>
            </w:r>
            <w:r w:rsidRPr="003B6E11">
              <w:rPr>
                <w:noProof/>
                <w:sz w:val="18"/>
                <w:lang w:val="cs-CZ"/>
              </w:rPr>
              <w:t>[cm]</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4</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14,5</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12,5</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5</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18</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16</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6</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22</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19</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7</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25</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23</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8</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29</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25</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9</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32</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29</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10</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36</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32</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11</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39</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35</w:t>
            </w:r>
          </w:p>
        </w:tc>
      </w:tr>
      <w:tr w:rsidR="00E82B25" w:rsidRPr="003B6E11" w:rsidTr="002D015D">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12</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43</w:t>
            </w:r>
          </w:p>
        </w:tc>
        <w:tc>
          <w:tcPr>
            <w:tcW w:w="1871"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39</w:t>
            </w:r>
          </w:p>
        </w:tc>
      </w:tr>
    </w:tbl>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 xml:space="preserve">2. </w:t>
      </w:r>
      <w:r w:rsidRPr="003B6E11">
        <w:rPr>
          <w:lang w:val="cs-CZ"/>
        </w:rPr>
        <w:tab/>
        <w:t>Část příďového čelenu uvnitř paluby musí mít délku rovnající se nejméně čtyřnásobku průměru příďového čelenu na přídi.</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 xml:space="preserve">3. </w:t>
      </w:r>
      <w:r w:rsidRPr="003B6E11">
        <w:rPr>
          <w:lang w:val="cs-CZ"/>
        </w:rPr>
        <w:tab/>
        <w:t>Průměr příďového čelenu na jeho horním konci musí činit nejméně 60 % průměru čelenu u přídě.</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Titre3"/>
        <w:rPr>
          <w:rFonts w:cs="Arial"/>
          <w:i/>
          <w:lang w:val="cs-CZ"/>
        </w:rPr>
      </w:pPr>
      <w:bookmarkStart w:id="396" w:name="_Toc491854195"/>
      <w:bookmarkStart w:id="397" w:name="_Toc535417101"/>
      <w:r w:rsidRPr="003B6E11">
        <w:rPr>
          <w:lang w:val="cs-CZ"/>
        </w:rPr>
        <w:t>Článek 20.10</w:t>
      </w:r>
      <w:r w:rsidRPr="003B6E11">
        <w:rPr>
          <w:lang w:val="cs-CZ"/>
        </w:rPr>
        <w:br/>
      </w:r>
      <w:r w:rsidRPr="003B6E11">
        <w:rPr>
          <w:i/>
          <w:noProof/>
          <w:lang w:val="cs-CZ"/>
        </w:rPr>
        <w:t>Zvláštní ustanovení pro čelenní čnělky</w:t>
      </w:r>
      <w:bookmarkEnd w:id="396"/>
      <w:bookmarkEnd w:id="397"/>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 xml:space="preserve">1. </w:t>
      </w:r>
      <w:r w:rsidRPr="003B6E11">
        <w:rPr>
          <w:lang w:val="cs-CZ"/>
        </w:rPr>
        <w:tab/>
        <w:t>Dřevěné čelenní čnělky musí splňovat tyto minimální požadavky:</w:t>
      </w:r>
    </w:p>
    <w:p w:rsidR="00E82B25" w:rsidRPr="003B6E11" w:rsidRDefault="00E82B25" w:rsidP="00E82B25">
      <w:pPr>
        <w:pStyle w:val="ESch"/>
        <w:rPr>
          <w:szCs w:val="20"/>
          <w:lang w:val="cs-CZ"/>
        </w:rPr>
      </w:pPr>
    </w:p>
    <w:tbl>
      <w:tblPr>
        <w:tblW w:w="0" w:type="auto"/>
        <w:jc w:val="center"/>
        <w:tblLayout w:type="fixed"/>
        <w:tblLook w:val="0000" w:firstRow="0" w:lastRow="0" w:firstColumn="0" w:lastColumn="0" w:noHBand="0" w:noVBand="0"/>
      </w:tblPr>
      <w:tblGrid>
        <w:gridCol w:w="2835"/>
        <w:gridCol w:w="510"/>
        <w:gridCol w:w="510"/>
        <w:gridCol w:w="510"/>
        <w:gridCol w:w="510"/>
        <w:gridCol w:w="510"/>
        <w:gridCol w:w="510"/>
        <w:gridCol w:w="510"/>
        <w:gridCol w:w="510"/>
        <w:gridCol w:w="510"/>
      </w:tblGrid>
      <w:tr w:rsidR="00E82B25" w:rsidRPr="003B6E11" w:rsidTr="002D015D">
        <w:trPr>
          <w:cantSplit/>
          <w:jc w:val="center"/>
        </w:trPr>
        <w:tc>
          <w:tcPr>
            <w:tcW w:w="2835"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Délka</w:t>
            </w:r>
            <w:r w:rsidRPr="003B6E11">
              <w:rPr>
                <w:rStyle w:val="FootnoteReference"/>
                <w:noProof/>
                <w:sz w:val="18"/>
                <w:lang w:val="cs-CZ"/>
              </w:rPr>
              <w:footnoteReference w:id="16"/>
            </w:r>
            <w:r w:rsidRPr="003B6E11">
              <w:rPr>
                <w:noProof/>
                <w:sz w:val="18"/>
                <w:lang w:val="cs-CZ"/>
              </w:rPr>
              <w:t xml:space="preserve"> [m]</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2</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3</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4</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5</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6</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7</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8</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9</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10</w:t>
            </w:r>
          </w:p>
        </w:tc>
      </w:tr>
      <w:tr w:rsidR="00E82B25" w:rsidRPr="003B6E11" w:rsidTr="002D015D">
        <w:trPr>
          <w:cantSplit/>
          <w:jc w:val="center"/>
        </w:trPr>
        <w:tc>
          <w:tcPr>
            <w:tcW w:w="2835"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Průměr u přídě [cm]</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7</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10</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14</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17</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21</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24</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28</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31</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35</w:t>
            </w:r>
          </w:p>
        </w:tc>
      </w:tr>
    </w:tbl>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2.</w:t>
      </w:r>
      <w:r w:rsidRPr="003B6E11">
        <w:rPr>
          <w:lang w:val="cs-CZ"/>
        </w:rPr>
        <w:tab/>
        <w:t>Průměr čelenní čnělky na jejím horním konci musí činit nejméně 60 % průměru u přídě.</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r w:rsidRPr="003B6E11">
        <w:rPr>
          <w:lang w:val="cs-CZ"/>
        </w:rPr>
        <w:br w:type="page"/>
      </w:r>
    </w:p>
    <w:p w:rsidR="00E82B25" w:rsidRPr="003B6E11" w:rsidRDefault="00E82B25" w:rsidP="00E82B25">
      <w:pPr>
        <w:pStyle w:val="ES-Titre3"/>
        <w:rPr>
          <w:rFonts w:cs="Arial"/>
          <w:i/>
          <w:lang w:val="cs-CZ"/>
        </w:rPr>
      </w:pPr>
      <w:bookmarkStart w:id="398" w:name="_Toc491854196"/>
      <w:bookmarkStart w:id="399" w:name="_Toc535417102"/>
      <w:r w:rsidRPr="003B6E11">
        <w:rPr>
          <w:lang w:val="cs-CZ"/>
        </w:rPr>
        <w:t>Článek 20.11</w:t>
      </w:r>
      <w:r w:rsidRPr="003B6E11">
        <w:rPr>
          <w:lang w:val="cs-CZ"/>
        </w:rPr>
        <w:br/>
      </w:r>
      <w:r w:rsidRPr="003B6E11">
        <w:rPr>
          <w:i/>
          <w:noProof/>
          <w:lang w:val="cs-CZ"/>
        </w:rPr>
        <w:t>Zvláštní ustanovení pro hlavní vratipně</w:t>
      </w:r>
      <w:bookmarkEnd w:id="398"/>
      <w:bookmarkEnd w:id="399"/>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 xml:space="preserve">1. </w:t>
      </w:r>
      <w:r w:rsidRPr="003B6E11">
        <w:rPr>
          <w:lang w:val="cs-CZ"/>
        </w:rPr>
        <w:tab/>
        <w:t>Dřevěné hlavní vratipně musí splňovat tyto minimální požadavky:</w:t>
      </w:r>
    </w:p>
    <w:p w:rsidR="00E82B25" w:rsidRPr="003B6E11" w:rsidRDefault="00E82B25" w:rsidP="00E82B25">
      <w:pPr>
        <w:pStyle w:val="ESch"/>
        <w:rPr>
          <w:szCs w:val="20"/>
          <w:lang w:val="cs-CZ"/>
        </w:rPr>
      </w:pPr>
    </w:p>
    <w:tbl>
      <w:tblPr>
        <w:tblW w:w="0" w:type="auto"/>
        <w:jc w:val="center"/>
        <w:tblLayout w:type="fixed"/>
        <w:tblLook w:val="0000" w:firstRow="0" w:lastRow="0" w:firstColumn="0" w:lastColumn="0" w:noHBand="0" w:noVBand="0"/>
      </w:tblPr>
      <w:tblGrid>
        <w:gridCol w:w="1985"/>
        <w:gridCol w:w="510"/>
        <w:gridCol w:w="510"/>
        <w:gridCol w:w="510"/>
        <w:gridCol w:w="510"/>
        <w:gridCol w:w="510"/>
        <w:gridCol w:w="510"/>
        <w:gridCol w:w="510"/>
        <w:gridCol w:w="510"/>
        <w:gridCol w:w="510"/>
        <w:gridCol w:w="510"/>
        <w:gridCol w:w="510"/>
        <w:gridCol w:w="510"/>
      </w:tblGrid>
      <w:tr w:rsidR="00E82B25" w:rsidRPr="003B6E11" w:rsidTr="002D015D">
        <w:trPr>
          <w:cantSplit/>
          <w:jc w:val="center"/>
        </w:trPr>
        <w:tc>
          <w:tcPr>
            <w:tcW w:w="1985"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Délka</w:t>
            </w:r>
            <w:r w:rsidRPr="003B6E11">
              <w:rPr>
                <w:rStyle w:val="FootnoteReference"/>
                <w:noProof/>
                <w:sz w:val="18"/>
                <w:lang w:val="cs-CZ"/>
              </w:rPr>
              <w:footnoteReference w:id="17"/>
            </w:r>
            <w:r w:rsidRPr="003B6E11">
              <w:rPr>
                <w:noProof/>
                <w:sz w:val="18"/>
                <w:lang w:val="cs-CZ"/>
              </w:rPr>
              <w:t xml:space="preserve"> [m]</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5</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6</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7</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8</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9</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10</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11</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12</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13</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14</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15</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16</w:t>
            </w:r>
          </w:p>
        </w:tc>
      </w:tr>
      <w:tr w:rsidR="00E82B25" w:rsidRPr="003B6E11" w:rsidTr="002D015D">
        <w:trPr>
          <w:cantSplit/>
          <w:jc w:val="center"/>
        </w:trPr>
        <w:tc>
          <w:tcPr>
            <w:tcW w:w="1985"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Průměr [cm]</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14</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15</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16</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17</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18</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20</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21</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23</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24</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25</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26</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27</w:t>
            </w:r>
          </w:p>
        </w:tc>
      </w:tr>
    </w:tbl>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2.</w:t>
      </w:r>
      <w:r w:rsidRPr="003B6E11">
        <w:rPr>
          <w:lang w:val="cs-CZ"/>
        </w:rPr>
        <w:tab/>
        <w:t>Průměr u otočného čepu musí činit nejméně 72 % průměru uvedeného v tabulce.</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3.</w:t>
      </w:r>
      <w:r w:rsidRPr="003B6E11">
        <w:rPr>
          <w:lang w:val="cs-CZ"/>
        </w:rPr>
        <w:tab/>
        <w:t>Průměr u otěžového rohu musí činit nejméně 85 % průměru uvedeného v tabulce.</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4.</w:t>
      </w:r>
      <w:r w:rsidRPr="003B6E11">
        <w:rPr>
          <w:lang w:val="cs-CZ"/>
        </w:rPr>
        <w:tab/>
        <w:t>Měřeno od stěžně musí být průměr největší ve dvou třetinách délky.</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5.</w:t>
      </w:r>
      <w:r w:rsidRPr="003B6E11">
        <w:rPr>
          <w:lang w:val="cs-CZ"/>
        </w:rPr>
        <w:tab/>
        <w:t>Kde:</w:t>
      </w:r>
    </w:p>
    <w:p w:rsidR="00E82B25" w:rsidRPr="003B6E11" w:rsidRDefault="00E82B25" w:rsidP="00E82B25">
      <w:pPr>
        <w:pStyle w:val="ESlet"/>
        <w:rPr>
          <w:rFonts w:cs="Arial"/>
          <w:lang w:val="cs-CZ"/>
        </w:rPr>
      </w:pPr>
      <w:r w:rsidRPr="003B6E11">
        <w:rPr>
          <w:lang w:val="cs-CZ"/>
        </w:rPr>
        <w:t>a)</w:t>
      </w:r>
      <w:r w:rsidRPr="003B6E11">
        <w:rPr>
          <w:lang w:val="cs-CZ"/>
        </w:rPr>
        <w:tab/>
        <w:t>je mezi hlavním vratipněm a zadním plachtovým lemem úhel menší než 65° a hlavní otěž je připevněna na konci vratipně nebo</w:t>
      </w:r>
    </w:p>
    <w:p w:rsidR="00E82B25" w:rsidRPr="003B6E11" w:rsidRDefault="00E82B25" w:rsidP="00E82B25">
      <w:pPr>
        <w:pStyle w:val="ESlet"/>
        <w:rPr>
          <w:rFonts w:cs="Arial"/>
          <w:lang w:val="cs-CZ"/>
        </w:rPr>
      </w:pPr>
      <w:r w:rsidRPr="003B6E11">
        <w:rPr>
          <w:lang w:val="cs-CZ"/>
        </w:rPr>
        <w:t>b)</w:t>
      </w:r>
      <w:r w:rsidRPr="003B6E11">
        <w:rPr>
          <w:lang w:val="cs-CZ"/>
        </w:rPr>
        <w:tab/>
        <w:t>místo uchycení otěže neleží naproti otěžovému rohu,</w:t>
      </w:r>
    </w:p>
    <w:p w:rsidR="00E82B25" w:rsidRPr="003B6E11" w:rsidRDefault="00E82B25" w:rsidP="00E82B25">
      <w:pPr>
        <w:pStyle w:val="ESch"/>
        <w:rPr>
          <w:noProof/>
          <w:szCs w:val="20"/>
          <w:lang w:val="cs-CZ"/>
        </w:rPr>
      </w:pPr>
    </w:p>
    <w:p w:rsidR="00E82B25" w:rsidRPr="003B6E11" w:rsidRDefault="00E82B25" w:rsidP="00E82B25">
      <w:pPr>
        <w:pStyle w:val="ESchpar"/>
        <w:rPr>
          <w:rFonts w:cs="Arial"/>
          <w:lang w:val="cs-CZ"/>
        </w:rPr>
      </w:pPr>
      <w:r w:rsidRPr="003B6E11">
        <w:rPr>
          <w:lang w:val="cs-CZ"/>
        </w:rPr>
        <w:t>subjekt pověřený prohlídkami může podle čl. 20.05 odst. 2 požadovat větší průměr.</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6.</w:t>
      </w:r>
      <w:r w:rsidRPr="003B6E11">
        <w:rPr>
          <w:lang w:val="cs-CZ"/>
        </w:rPr>
        <w:tab/>
        <w:t>U plachet s plochou menší než 50 m</w:t>
      </w:r>
      <w:r w:rsidRPr="003B6E11">
        <w:rPr>
          <w:vertAlign w:val="superscript"/>
          <w:lang w:val="cs-CZ"/>
        </w:rPr>
        <w:t>2</w:t>
      </w:r>
      <w:r w:rsidRPr="003B6E11">
        <w:rPr>
          <w:lang w:val="cs-CZ"/>
        </w:rPr>
        <w:t xml:space="preserve"> může subjekt pověřený prohlídkami povolit menší průměry, než jsou uvedeny v tabulce.</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Titre3"/>
        <w:rPr>
          <w:rFonts w:cs="Arial"/>
          <w:i/>
          <w:lang w:val="cs-CZ"/>
        </w:rPr>
      </w:pPr>
      <w:bookmarkStart w:id="400" w:name="_Toc491854197"/>
      <w:bookmarkStart w:id="401" w:name="_Toc535417103"/>
      <w:r w:rsidRPr="003B6E11">
        <w:rPr>
          <w:lang w:val="cs-CZ"/>
        </w:rPr>
        <w:t>Článek 20.12</w:t>
      </w:r>
      <w:r w:rsidRPr="003B6E11">
        <w:rPr>
          <w:lang w:val="cs-CZ"/>
        </w:rPr>
        <w:br/>
      </w:r>
      <w:r w:rsidRPr="003B6E11">
        <w:rPr>
          <w:i/>
          <w:noProof/>
          <w:lang w:val="cs-CZ"/>
        </w:rPr>
        <w:t>Zvláštní ustanovení pro vratiráhna</w:t>
      </w:r>
      <w:bookmarkEnd w:id="400"/>
      <w:bookmarkEnd w:id="401"/>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1.</w:t>
      </w:r>
      <w:r w:rsidRPr="003B6E11">
        <w:rPr>
          <w:lang w:val="cs-CZ"/>
        </w:rPr>
        <w:tab/>
        <w:t>Dřevěná vratiráhna musí splňovat tyto minimální požadavky:</w:t>
      </w:r>
    </w:p>
    <w:p w:rsidR="00E82B25" w:rsidRPr="003B6E11" w:rsidRDefault="00E82B25" w:rsidP="00E82B25">
      <w:pPr>
        <w:pStyle w:val="ESch"/>
        <w:rPr>
          <w:szCs w:val="20"/>
          <w:lang w:val="cs-CZ"/>
        </w:rPr>
      </w:pPr>
    </w:p>
    <w:tbl>
      <w:tblPr>
        <w:tblW w:w="0" w:type="auto"/>
        <w:jc w:val="center"/>
        <w:tblLayout w:type="fixed"/>
        <w:tblLook w:val="0000" w:firstRow="0" w:lastRow="0" w:firstColumn="0" w:lastColumn="0" w:noHBand="0" w:noVBand="0"/>
      </w:tblPr>
      <w:tblGrid>
        <w:gridCol w:w="1985"/>
        <w:gridCol w:w="510"/>
        <w:gridCol w:w="510"/>
        <w:gridCol w:w="510"/>
        <w:gridCol w:w="510"/>
        <w:gridCol w:w="510"/>
        <w:gridCol w:w="510"/>
        <w:gridCol w:w="510"/>
      </w:tblGrid>
      <w:tr w:rsidR="00E82B25" w:rsidRPr="003B6E11" w:rsidTr="002D015D">
        <w:trPr>
          <w:cantSplit/>
          <w:jc w:val="center"/>
        </w:trPr>
        <w:tc>
          <w:tcPr>
            <w:tcW w:w="1985"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Délka</w:t>
            </w:r>
            <w:r w:rsidRPr="003B6E11">
              <w:rPr>
                <w:rStyle w:val="FootnoteReference"/>
                <w:noProof/>
                <w:sz w:val="18"/>
                <w:lang w:val="cs-CZ"/>
              </w:rPr>
              <w:footnoteReference w:id="18"/>
            </w:r>
            <w:r w:rsidRPr="003B6E11">
              <w:rPr>
                <w:noProof/>
                <w:sz w:val="18"/>
                <w:lang w:val="cs-CZ"/>
              </w:rPr>
              <w:t xml:space="preserve"> [m]</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4</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5</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6</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7</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8</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9</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10</w:t>
            </w:r>
          </w:p>
        </w:tc>
      </w:tr>
      <w:tr w:rsidR="00E82B25" w:rsidRPr="003B6E11" w:rsidTr="002D015D">
        <w:trPr>
          <w:cantSplit/>
          <w:jc w:val="center"/>
        </w:trPr>
        <w:tc>
          <w:tcPr>
            <w:tcW w:w="1985"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Průměr [cm]</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10</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12</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14</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16</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17</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18</w:t>
            </w:r>
          </w:p>
        </w:tc>
        <w:tc>
          <w:tcPr>
            <w:tcW w:w="51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20</w:t>
            </w:r>
          </w:p>
        </w:tc>
      </w:tr>
    </w:tbl>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r w:rsidRPr="003B6E11">
        <w:rPr>
          <w:lang w:val="cs-CZ"/>
        </w:rPr>
        <w:t>2.</w:t>
      </w:r>
      <w:r w:rsidRPr="003B6E11">
        <w:rPr>
          <w:lang w:val="cs-CZ"/>
        </w:rPr>
        <w:tab/>
        <w:t>Nepodepřená délka vratiráhna nesmí být větší než 75 %.</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3.</w:t>
      </w:r>
      <w:r w:rsidRPr="003B6E11">
        <w:rPr>
          <w:lang w:val="cs-CZ"/>
        </w:rPr>
        <w:tab/>
        <w:t>Mez pevnosti v lomu paprskovitého úvazu musí být přinejmenším rovna 1,2násobku meze pevnosti v lomu spouště konce ráhna.</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4.</w:t>
      </w:r>
      <w:r w:rsidRPr="003B6E11">
        <w:rPr>
          <w:lang w:val="cs-CZ"/>
        </w:rPr>
        <w:tab/>
        <w:t>Vrcholový úhel paprskovitého úvazu musí být nejvýše 60°.</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5.</w:t>
      </w:r>
      <w:r w:rsidRPr="003B6E11">
        <w:rPr>
          <w:lang w:val="cs-CZ"/>
        </w:rPr>
        <w:tab/>
        <w:t>Je-li odchylně od odstavce 4 vrcholový úhel paprskovitého úvazu větší než 60°, musí se pevnost v tahu upravit s ohledem na síly, které působí v tomto případě.</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6.</w:t>
      </w:r>
      <w:r w:rsidRPr="003B6E11">
        <w:rPr>
          <w:lang w:val="cs-CZ"/>
        </w:rPr>
        <w:tab/>
        <w:t>U plachet s plochou menší než 50 m</w:t>
      </w:r>
      <w:r w:rsidRPr="003B6E11">
        <w:rPr>
          <w:vertAlign w:val="superscript"/>
          <w:lang w:val="cs-CZ"/>
        </w:rPr>
        <w:t>2</w:t>
      </w:r>
      <w:r w:rsidRPr="003B6E11">
        <w:rPr>
          <w:lang w:val="cs-CZ"/>
        </w:rPr>
        <w:t xml:space="preserve"> může subjekt pověřený prohlídkami povolit menší průměry, než jsou uvedeny v tabulce.</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r w:rsidRPr="003B6E11">
        <w:rPr>
          <w:lang w:val="cs-CZ"/>
        </w:rPr>
        <w:br w:type="page"/>
      </w:r>
    </w:p>
    <w:p w:rsidR="00E82B25" w:rsidRPr="003B6E11" w:rsidRDefault="00E82B25" w:rsidP="00E82B25">
      <w:pPr>
        <w:pStyle w:val="ES-Titre3"/>
        <w:rPr>
          <w:rFonts w:cs="Arial"/>
          <w:i/>
          <w:lang w:val="cs-CZ"/>
        </w:rPr>
      </w:pPr>
      <w:bookmarkStart w:id="402" w:name="_Toc491854198"/>
      <w:bookmarkStart w:id="403" w:name="_Toc535417104"/>
      <w:r w:rsidRPr="003B6E11">
        <w:rPr>
          <w:lang w:val="cs-CZ"/>
        </w:rPr>
        <w:t>Článek 20.13</w:t>
      </w:r>
      <w:r w:rsidRPr="003B6E11">
        <w:rPr>
          <w:lang w:val="cs-CZ"/>
        </w:rPr>
        <w:br/>
      </w:r>
      <w:r w:rsidRPr="003B6E11">
        <w:rPr>
          <w:i/>
          <w:noProof/>
          <w:lang w:val="cs-CZ"/>
        </w:rPr>
        <w:t>Obecná ustanovení pro pevnou a pohyblivou takeláž</w:t>
      </w:r>
      <w:bookmarkEnd w:id="402"/>
      <w:bookmarkEnd w:id="403"/>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 xml:space="preserve">1. </w:t>
      </w:r>
      <w:r w:rsidRPr="003B6E11">
        <w:rPr>
          <w:lang w:val="cs-CZ"/>
        </w:rPr>
        <w:tab/>
        <w:t>Pevná a pohyblivá takeláž musí splňovat požadavky na pevnost stanovené v článcích 20.14 a 20.15.</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 xml:space="preserve">2. </w:t>
      </w:r>
      <w:r w:rsidRPr="003B6E11">
        <w:rPr>
          <w:lang w:val="cs-CZ"/>
        </w:rPr>
        <w:tab/>
        <w:t>Spojení drátěných lan mohou mít podobu:</w:t>
      </w:r>
    </w:p>
    <w:p w:rsidR="00E82B25" w:rsidRPr="003B6E11" w:rsidRDefault="00E82B25" w:rsidP="00E82B25">
      <w:pPr>
        <w:pStyle w:val="ESlet"/>
        <w:rPr>
          <w:rFonts w:cs="Arial"/>
          <w:lang w:val="cs-CZ"/>
        </w:rPr>
      </w:pPr>
      <w:r w:rsidRPr="003B6E11">
        <w:rPr>
          <w:lang w:val="cs-CZ"/>
        </w:rPr>
        <w:t>a)</w:t>
      </w:r>
      <w:r w:rsidRPr="003B6E11">
        <w:rPr>
          <w:lang w:val="cs-CZ"/>
        </w:rPr>
        <w:tab/>
        <w:t>spletení;</w:t>
      </w:r>
    </w:p>
    <w:p w:rsidR="00E82B25" w:rsidRPr="003B6E11" w:rsidRDefault="00E82B25" w:rsidP="00E82B25">
      <w:pPr>
        <w:pStyle w:val="ESlet"/>
        <w:rPr>
          <w:rFonts w:cs="Arial"/>
          <w:lang w:val="cs-CZ"/>
        </w:rPr>
      </w:pPr>
      <w:r w:rsidRPr="003B6E11">
        <w:rPr>
          <w:lang w:val="cs-CZ"/>
        </w:rPr>
        <w:t>b)</w:t>
      </w:r>
      <w:r w:rsidRPr="003B6E11">
        <w:rPr>
          <w:lang w:val="cs-CZ"/>
        </w:rPr>
        <w:tab/>
        <w:t>kompresních spojek nebo</w:t>
      </w:r>
    </w:p>
    <w:p w:rsidR="00E82B25" w:rsidRPr="003B6E11" w:rsidRDefault="00E82B25" w:rsidP="00E82B25">
      <w:pPr>
        <w:pStyle w:val="ESlet"/>
        <w:rPr>
          <w:rFonts w:cs="Arial"/>
          <w:lang w:val="cs-CZ"/>
        </w:rPr>
      </w:pPr>
      <w:r w:rsidRPr="003B6E11">
        <w:rPr>
          <w:lang w:val="cs-CZ"/>
        </w:rPr>
        <w:t>c)</w:t>
      </w:r>
      <w:r w:rsidRPr="003B6E11">
        <w:rPr>
          <w:lang w:val="cs-CZ"/>
        </w:rPr>
        <w:tab/>
        <w:t>zalévacích spojek.</w:t>
      </w:r>
    </w:p>
    <w:p w:rsidR="00E82B25" w:rsidRPr="003B6E11" w:rsidRDefault="00E82B25" w:rsidP="00E82B25">
      <w:pPr>
        <w:pStyle w:val="ESlet"/>
        <w:rPr>
          <w:rFonts w:cs="Arial"/>
          <w:lang w:val="cs-CZ"/>
        </w:rPr>
      </w:pPr>
      <w:r w:rsidRPr="003B6E11">
        <w:rPr>
          <w:lang w:val="cs-CZ"/>
        </w:rPr>
        <w:t>Spletení musí být omotaná a konce musí být zakončeny.</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3.</w:t>
      </w:r>
      <w:r w:rsidRPr="003B6E11">
        <w:rPr>
          <w:lang w:val="cs-CZ"/>
        </w:rPr>
        <w:tab/>
        <w:t>Lanová oka musí být opatřena očnicemi.</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4.</w:t>
      </w:r>
      <w:r w:rsidRPr="003B6E11">
        <w:rPr>
          <w:lang w:val="cs-CZ"/>
        </w:rPr>
        <w:tab/>
        <w:t>Lana musí být vedena tak, aby nepřekážela ve vstupech a na schodech.</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Titre3"/>
        <w:rPr>
          <w:rFonts w:cs="Arial"/>
          <w:i/>
          <w:lang w:val="cs-CZ"/>
        </w:rPr>
      </w:pPr>
      <w:bookmarkStart w:id="404" w:name="_Toc491854199"/>
      <w:bookmarkStart w:id="405" w:name="_Toc535417105"/>
      <w:r w:rsidRPr="003B6E11">
        <w:rPr>
          <w:lang w:val="cs-CZ"/>
        </w:rPr>
        <w:t>Článek 20.14</w:t>
      </w:r>
      <w:r w:rsidRPr="003B6E11">
        <w:rPr>
          <w:lang w:val="cs-CZ"/>
        </w:rPr>
        <w:br/>
      </w:r>
      <w:r w:rsidRPr="003B6E11">
        <w:rPr>
          <w:i/>
          <w:noProof/>
          <w:lang w:val="cs-CZ"/>
        </w:rPr>
        <w:t>Zvláštní ustanovení pro pevnou takeláž</w:t>
      </w:r>
      <w:bookmarkEnd w:id="404"/>
      <w:bookmarkEnd w:id="405"/>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1.</w:t>
      </w:r>
      <w:r w:rsidRPr="003B6E11">
        <w:rPr>
          <w:lang w:val="cs-CZ"/>
        </w:rPr>
        <w:tab/>
        <w:t>Přední stěhy a úpony musí splňovat tyto minimální požadavky:</w:t>
      </w:r>
    </w:p>
    <w:p w:rsidR="00E82B25" w:rsidRPr="003B6E11" w:rsidRDefault="00E82B25" w:rsidP="00E82B25">
      <w:pPr>
        <w:pStyle w:val="ESch"/>
        <w:rPr>
          <w:szCs w:val="20"/>
          <w:lang w:val="cs-CZ"/>
        </w:rPr>
      </w:pPr>
    </w:p>
    <w:tbl>
      <w:tblPr>
        <w:tblW w:w="0" w:type="auto"/>
        <w:jc w:val="center"/>
        <w:tblLayout w:type="fixed"/>
        <w:tblLook w:val="0000" w:firstRow="0" w:lastRow="0" w:firstColumn="0" w:lastColumn="0" w:noHBand="0" w:noVBand="0"/>
      </w:tblPr>
      <w:tblGrid>
        <w:gridCol w:w="3343"/>
        <w:gridCol w:w="567"/>
        <w:gridCol w:w="567"/>
        <w:gridCol w:w="567"/>
        <w:gridCol w:w="567"/>
        <w:gridCol w:w="567"/>
        <w:gridCol w:w="567"/>
        <w:gridCol w:w="567"/>
        <w:gridCol w:w="567"/>
      </w:tblGrid>
      <w:tr w:rsidR="00E82B25" w:rsidRPr="003B6E11" w:rsidTr="002D015D">
        <w:trPr>
          <w:cantSplit/>
          <w:jc w:val="center"/>
        </w:trPr>
        <w:tc>
          <w:tcPr>
            <w:tcW w:w="3343"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Délka stěžně</w:t>
            </w:r>
            <w:r w:rsidRPr="003B6E11">
              <w:rPr>
                <w:rStyle w:val="FootnoteReference"/>
                <w:noProof/>
                <w:sz w:val="18"/>
                <w:lang w:val="cs-CZ"/>
              </w:rPr>
              <w:footnoteReference w:id="19"/>
            </w:r>
            <w:r w:rsidRPr="003B6E11">
              <w:rPr>
                <w:noProof/>
                <w:sz w:val="18"/>
                <w:lang w:val="cs-CZ"/>
              </w:rPr>
              <w:t xml:space="preserve"> (m)</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11</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12</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13</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14</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15</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16</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17</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18</w:t>
            </w:r>
          </w:p>
        </w:tc>
      </w:tr>
      <w:tr w:rsidR="00E82B25" w:rsidRPr="003B6E11" w:rsidTr="002D015D">
        <w:trPr>
          <w:cantSplit/>
          <w:jc w:val="center"/>
        </w:trPr>
        <w:tc>
          <w:tcPr>
            <w:tcW w:w="3343"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Pevnost v tahu předního stěhu (kN)</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160</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172</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185</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200</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220</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244</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269</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294</w:t>
            </w:r>
          </w:p>
        </w:tc>
      </w:tr>
      <w:tr w:rsidR="00E82B25" w:rsidRPr="003B6E11" w:rsidTr="002D015D">
        <w:trPr>
          <w:cantSplit/>
          <w:jc w:val="center"/>
        </w:trPr>
        <w:tc>
          <w:tcPr>
            <w:tcW w:w="3343"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Pevnost v tahu úponů (kN)</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355</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415</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450</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485</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525</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540</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630</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720</w:t>
            </w:r>
          </w:p>
        </w:tc>
      </w:tr>
      <w:tr w:rsidR="00E82B25" w:rsidRPr="003B6E11" w:rsidTr="002D015D">
        <w:trPr>
          <w:cantSplit/>
          <w:jc w:val="center"/>
        </w:trPr>
        <w:tc>
          <w:tcPr>
            <w:tcW w:w="3343"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Počet kabelů a lan úponů na jedné straně</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3</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3</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3</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3</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3</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3</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4</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4</w:t>
            </w:r>
          </w:p>
        </w:tc>
      </w:tr>
    </w:tbl>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2.</w:t>
      </w:r>
      <w:r w:rsidRPr="003B6E11">
        <w:rPr>
          <w:lang w:val="cs-CZ"/>
        </w:rPr>
        <w:tab/>
        <w:t>Parduny, košové čnělky, stěhy pro létavku, čelenní čnělky a úpony příďového čelenu musí splňovat tyto minimální požadavky:</w:t>
      </w:r>
    </w:p>
    <w:p w:rsidR="00E82B25" w:rsidRPr="003B6E11" w:rsidRDefault="00E82B25" w:rsidP="00E82B25">
      <w:pPr>
        <w:pStyle w:val="ESch"/>
        <w:rPr>
          <w:szCs w:val="20"/>
          <w:lang w:val="cs-CZ"/>
        </w:rPr>
      </w:pPr>
    </w:p>
    <w:tbl>
      <w:tblPr>
        <w:tblW w:w="0" w:type="auto"/>
        <w:jc w:val="center"/>
        <w:tblLayout w:type="fixed"/>
        <w:tblLook w:val="0000" w:firstRow="0" w:lastRow="0" w:firstColumn="0" w:lastColumn="0" w:noHBand="0" w:noVBand="0"/>
      </w:tblPr>
      <w:tblGrid>
        <w:gridCol w:w="4736"/>
        <w:gridCol w:w="737"/>
        <w:gridCol w:w="737"/>
        <w:gridCol w:w="737"/>
      </w:tblGrid>
      <w:tr w:rsidR="00E82B25" w:rsidRPr="003B6E11" w:rsidTr="002D015D">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Délka stěžně</w:t>
            </w:r>
            <w:r w:rsidRPr="003B6E11">
              <w:rPr>
                <w:rStyle w:val="FootnoteReference"/>
                <w:noProof/>
                <w:sz w:val="18"/>
                <w:lang w:val="cs-CZ"/>
              </w:rPr>
              <w:footnoteReference w:id="20"/>
            </w:r>
            <w:r w:rsidRPr="003B6E11">
              <w:rPr>
                <w:noProof/>
                <w:sz w:val="18"/>
                <w:lang w:val="cs-CZ"/>
              </w:rPr>
              <w:t xml:space="preserve"> (m)</w:t>
            </w:r>
          </w:p>
        </w:tc>
        <w:tc>
          <w:tcPr>
            <w:tcW w:w="73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tabs>
                <w:tab w:val="decimal" w:pos="332"/>
              </w:tabs>
              <w:spacing w:before="60" w:after="60" w:line="240" w:lineRule="atLeast"/>
              <w:rPr>
                <w:rFonts w:cs="Arial"/>
                <w:noProof/>
                <w:sz w:val="18"/>
                <w:szCs w:val="18"/>
                <w:lang w:val="cs-CZ"/>
              </w:rPr>
            </w:pPr>
            <w:r w:rsidRPr="003B6E11">
              <w:rPr>
                <w:noProof/>
                <w:sz w:val="18"/>
                <w:lang w:val="cs-CZ"/>
              </w:rPr>
              <w:t>&lt; 13</w:t>
            </w:r>
          </w:p>
        </w:tc>
        <w:tc>
          <w:tcPr>
            <w:tcW w:w="73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13–18</w:t>
            </w:r>
          </w:p>
        </w:tc>
        <w:tc>
          <w:tcPr>
            <w:tcW w:w="73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tabs>
                <w:tab w:val="decimal" w:pos="332"/>
              </w:tabs>
              <w:spacing w:before="60" w:after="60" w:line="240" w:lineRule="atLeast"/>
              <w:rPr>
                <w:rFonts w:cs="Arial"/>
                <w:noProof/>
                <w:sz w:val="18"/>
                <w:szCs w:val="18"/>
                <w:lang w:val="cs-CZ"/>
              </w:rPr>
            </w:pPr>
            <w:r w:rsidRPr="003B6E11">
              <w:rPr>
                <w:noProof/>
                <w:sz w:val="18"/>
                <w:lang w:val="cs-CZ"/>
              </w:rPr>
              <w:t>&gt; 18</w:t>
            </w:r>
          </w:p>
        </w:tc>
      </w:tr>
      <w:tr w:rsidR="00E82B25" w:rsidRPr="003B6E11" w:rsidTr="002D015D">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Pevnost v tahu pardunu (kN)</w:t>
            </w:r>
          </w:p>
        </w:tc>
        <w:tc>
          <w:tcPr>
            <w:tcW w:w="73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tabs>
                <w:tab w:val="decimal" w:pos="332"/>
              </w:tabs>
              <w:spacing w:before="60" w:after="60" w:line="240" w:lineRule="atLeast"/>
              <w:rPr>
                <w:rFonts w:cs="Arial"/>
                <w:noProof/>
                <w:sz w:val="18"/>
                <w:szCs w:val="18"/>
                <w:lang w:val="cs-CZ"/>
              </w:rPr>
            </w:pPr>
            <w:r w:rsidRPr="003B6E11">
              <w:rPr>
                <w:noProof/>
                <w:sz w:val="18"/>
                <w:lang w:val="cs-CZ"/>
              </w:rPr>
              <w:t>89</w:t>
            </w:r>
          </w:p>
        </w:tc>
        <w:tc>
          <w:tcPr>
            <w:tcW w:w="73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tabs>
                <w:tab w:val="decimal" w:pos="332"/>
              </w:tabs>
              <w:spacing w:before="60" w:after="60" w:line="240" w:lineRule="atLeast"/>
              <w:rPr>
                <w:rFonts w:cs="Arial"/>
                <w:noProof/>
                <w:sz w:val="18"/>
                <w:szCs w:val="18"/>
                <w:lang w:val="cs-CZ"/>
              </w:rPr>
            </w:pPr>
            <w:r w:rsidRPr="003B6E11">
              <w:rPr>
                <w:noProof/>
                <w:sz w:val="18"/>
                <w:lang w:val="cs-CZ"/>
              </w:rPr>
              <w:t>119</w:t>
            </w:r>
          </w:p>
        </w:tc>
        <w:tc>
          <w:tcPr>
            <w:tcW w:w="73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tabs>
                <w:tab w:val="decimal" w:pos="332"/>
              </w:tabs>
              <w:spacing w:before="60" w:after="60" w:line="240" w:lineRule="atLeast"/>
              <w:rPr>
                <w:rFonts w:cs="Arial"/>
                <w:noProof/>
                <w:sz w:val="18"/>
                <w:szCs w:val="18"/>
                <w:lang w:val="cs-CZ"/>
              </w:rPr>
            </w:pPr>
            <w:r w:rsidRPr="003B6E11">
              <w:rPr>
                <w:noProof/>
                <w:sz w:val="18"/>
                <w:lang w:val="cs-CZ"/>
              </w:rPr>
              <w:t>159</w:t>
            </w:r>
          </w:p>
        </w:tc>
      </w:tr>
      <w:tr w:rsidR="00E82B25" w:rsidRPr="003B6E11" w:rsidTr="002D015D">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Pevnost v tahu košové čnělky (kN)</w:t>
            </w:r>
          </w:p>
        </w:tc>
        <w:tc>
          <w:tcPr>
            <w:tcW w:w="73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tabs>
                <w:tab w:val="decimal" w:pos="332"/>
              </w:tabs>
              <w:spacing w:before="60" w:after="60" w:line="240" w:lineRule="atLeast"/>
              <w:rPr>
                <w:rFonts w:cs="Arial"/>
                <w:noProof/>
                <w:sz w:val="18"/>
                <w:szCs w:val="18"/>
                <w:lang w:val="cs-CZ"/>
              </w:rPr>
            </w:pPr>
            <w:r w:rsidRPr="003B6E11">
              <w:rPr>
                <w:noProof/>
                <w:sz w:val="18"/>
                <w:lang w:val="cs-CZ"/>
              </w:rPr>
              <w:t>89</w:t>
            </w:r>
          </w:p>
        </w:tc>
        <w:tc>
          <w:tcPr>
            <w:tcW w:w="73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tabs>
                <w:tab w:val="decimal" w:pos="332"/>
              </w:tabs>
              <w:spacing w:before="60" w:after="60" w:line="240" w:lineRule="atLeast"/>
              <w:rPr>
                <w:rFonts w:cs="Arial"/>
                <w:noProof/>
                <w:sz w:val="18"/>
                <w:szCs w:val="18"/>
                <w:lang w:val="cs-CZ"/>
              </w:rPr>
            </w:pPr>
            <w:r w:rsidRPr="003B6E11">
              <w:rPr>
                <w:noProof/>
                <w:sz w:val="18"/>
                <w:lang w:val="cs-CZ"/>
              </w:rPr>
              <w:t>119</w:t>
            </w:r>
          </w:p>
        </w:tc>
        <w:tc>
          <w:tcPr>
            <w:tcW w:w="73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tabs>
                <w:tab w:val="decimal" w:pos="332"/>
              </w:tabs>
              <w:spacing w:before="60" w:after="60" w:line="240" w:lineRule="atLeast"/>
              <w:rPr>
                <w:rFonts w:cs="Arial"/>
                <w:noProof/>
                <w:sz w:val="18"/>
                <w:szCs w:val="18"/>
                <w:lang w:val="cs-CZ"/>
              </w:rPr>
            </w:pPr>
            <w:r w:rsidRPr="003B6E11">
              <w:rPr>
                <w:noProof/>
                <w:sz w:val="18"/>
                <w:lang w:val="cs-CZ"/>
              </w:rPr>
              <w:t>159</w:t>
            </w:r>
          </w:p>
        </w:tc>
      </w:tr>
      <w:tr w:rsidR="00E82B25" w:rsidRPr="003B6E11" w:rsidTr="002D015D">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Délka košové čnělky (m)</w:t>
            </w:r>
          </w:p>
        </w:tc>
        <w:tc>
          <w:tcPr>
            <w:tcW w:w="73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tabs>
                <w:tab w:val="decimal" w:pos="332"/>
              </w:tabs>
              <w:spacing w:before="60" w:after="60" w:line="240" w:lineRule="atLeast"/>
              <w:rPr>
                <w:rFonts w:cs="Arial"/>
                <w:noProof/>
                <w:sz w:val="18"/>
                <w:szCs w:val="18"/>
                <w:lang w:val="cs-CZ"/>
              </w:rPr>
            </w:pPr>
            <w:r w:rsidRPr="003B6E11">
              <w:rPr>
                <w:noProof/>
                <w:sz w:val="18"/>
                <w:lang w:val="cs-CZ"/>
              </w:rPr>
              <w:t>&lt; 6</w:t>
            </w:r>
          </w:p>
        </w:tc>
        <w:tc>
          <w:tcPr>
            <w:tcW w:w="73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6–8</w:t>
            </w:r>
          </w:p>
        </w:tc>
        <w:tc>
          <w:tcPr>
            <w:tcW w:w="73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tabs>
                <w:tab w:val="decimal" w:pos="332"/>
              </w:tabs>
              <w:spacing w:before="60" w:after="60" w:line="240" w:lineRule="atLeast"/>
              <w:rPr>
                <w:rFonts w:cs="Arial"/>
                <w:noProof/>
                <w:sz w:val="18"/>
                <w:szCs w:val="18"/>
                <w:lang w:val="cs-CZ"/>
              </w:rPr>
            </w:pPr>
            <w:r w:rsidRPr="003B6E11">
              <w:rPr>
                <w:noProof/>
                <w:sz w:val="18"/>
                <w:lang w:val="cs-CZ"/>
              </w:rPr>
              <w:t>&gt; 8</w:t>
            </w:r>
          </w:p>
        </w:tc>
      </w:tr>
      <w:tr w:rsidR="00E82B25" w:rsidRPr="003B6E11" w:rsidTr="002D015D">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Pevnost v tahu stěhu pro létavku (kN)</w:t>
            </w:r>
          </w:p>
        </w:tc>
        <w:tc>
          <w:tcPr>
            <w:tcW w:w="73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tabs>
                <w:tab w:val="decimal" w:pos="332"/>
              </w:tabs>
              <w:spacing w:before="60" w:after="60" w:line="240" w:lineRule="atLeast"/>
              <w:rPr>
                <w:rFonts w:cs="Arial"/>
                <w:noProof/>
                <w:sz w:val="18"/>
                <w:szCs w:val="18"/>
                <w:lang w:val="cs-CZ"/>
              </w:rPr>
            </w:pPr>
            <w:r w:rsidRPr="003B6E11">
              <w:rPr>
                <w:noProof/>
                <w:sz w:val="18"/>
                <w:lang w:val="cs-CZ"/>
              </w:rPr>
              <w:t>58</w:t>
            </w:r>
          </w:p>
        </w:tc>
        <w:tc>
          <w:tcPr>
            <w:tcW w:w="73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tabs>
                <w:tab w:val="decimal" w:pos="332"/>
              </w:tabs>
              <w:spacing w:before="60" w:after="60" w:line="240" w:lineRule="atLeast"/>
              <w:rPr>
                <w:rFonts w:cs="Arial"/>
                <w:noProof/>
                <w:sz w:val="18"/>
                <w:szCs w:val="18"/>
                <w:lang w:val="cs-CZ"/>
              </w:rPr>
            </w:pPr>
            <w:r w:rsidRPr="003B6E11">
              <w:rPr>
                <w:noProof/>
                <w:sz w:val="18"/>
                <w:lang w:val="cs-CZ"/>
              </w:rPr>
              <w:t>89</w:t>
            </w:r>
          </w:p>
        </w:tc>
        <w:tc>
          <w:tcPr>
            <w:tcW w:w="73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tabs>
                <w:tab w:val="decimal" w:pos="332"/>
              </w:tabs>
              <w:spacing w:before="60" w:after="60" w:line="240" w:lineRule="atLeast"/>
              <w:rPr>
                <w:rFonts w:cs="Arial"/>
                <w:noProof/>
                <w:sz w:val="18"/>
                <w:szCs w:val="18"/>
                <w:lang w:val="cs-CZ"/>
              </w:rPr>
            </w:pPr>
            <w:r w:rsidRPr="003B6E11">
              <w:rPr>
                <w:noProof/>
                <w:sz w:val="18"/>
                <w:lang w:val="cs-CZ"/>
              </w:rPr>
              <w:t>119</w:t>
            </w:r>
          </w:p>
        </w:tc>
      </w:tr>
      <w:tr w:rsidR="00E82B25" w:rsidRPr="003B6E11" w:rsidTr="002D015D">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Délka čelenní čnělky (m)</w:t>
            </w:r>
          </w:p>
        </w:tc>
        <w:tc>
          <w:tcPr>
            <w:tcW w:w="73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tabs>
                <w:tab w:val="decimal" w:pos="332"/>
              </w:tabs>
              <w:spacing w:before="60" w:after="60" w:line="240" w:lineRule="atLeast"/>
              <w:rPr>
                <w:rFonts w:cs="Arial"/>
                <w:noProof/>
                <w:sz w:val="18"/>
                <w:szCs w:val="18"/>
                <w:lang w:val="cs-CZ"/>
              </w:rPr>
            </w:pPr>
            <w:r w:rsidRPr="003B6E11">
              <w:rPr>
                <w:noProof/>
                <w:sz w:val="18"/>
                <w:lang w:val="cs-CZ"/>
              </w:rPr>
              <w:t>&lt; 5</w:t>
            </w:r>
          </w:p>
        </w:tc>
        <w:tc>
          <w:tcPr>
            <w:tcW w:w="73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5–7</w:t>
            </w:r>
          </w:p>
        </w:tc>
        <w:tc>
          <w:tcPr>
            <w:tcW w:w="73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tabs>
                <w:tab w:val="decimal" w:pos="332"/>
              </w:tabs>
              <w:spacing w:before="60" w:after="60" w:line="240" w:lineRule="atLeast"/>
              <w:rPr>
                <w:rFonts w:cs="Arial"/>
                <w:noProof/>
                <w:sz w:val="18"/>
                <w:szCs w:val="18"/>
                <w:lang w:val="cs-CZ"/>
              </w:rPr>
            </w:pPr>
            <w:r w:rsidRPr="003B6E11">
              <w:rPr>
                <w:noProof/>
                <w:sz w:val="18"/>
                <w:lang w:val="cs-CZ"/>
              </w:rPr>
              <w:t>&gt; 7</w:t>
            </w:r>
          </w:p>
        </w:tc>
      </w:tr>
      <w:tr w:rsidR="00E82B25" w:rsidRPr="003B6E11" w:rsidTr="002D015D">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Pevnost v tahu úponů příďového čelenu (kN)</w:t>
            </w:r>
          </w:p>
        </w:tc>
        <w:tc>
          <w:tcPr>
            <w:tcW w:w="73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tabs>
                <w:tab w:val="decimal" w:pos="332"/>
              </w:tabs>
              <w:spacing w:before="60" w:after="60" w:line="240" w:lineRule="atLeast"/>
              <w:rPr>
                <w:rFonts w:cs="Arial"/>
                <w:noProof/>
                <w:sz w:val="18"/>
                <w:szCs w:val="18"/>
                <w:lang w:val="cs-CZ"/>
              </w:rPr>
            </w:pPr>
            <w:r w:rsidRPr="003B6E11">
              <w:rPr>
                <w:noProof/>
                <w:sz w:val="18"/>
                <w:lang w:val="cs-CZ"/>
              </w:rPr>
              <w:t>58</w:t>
            </w:r>
          </w:p>
        </w:tc>
        <w:tc>
          <w:tcPr>
            <w:tcW w:w="73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tabs>
                <w:tab w:val="decimal" w:pos="332"/>
              </w:tabs>
              <w:spacing w:before="60" w:after="60" w:line="240" w:lineRule="atLeast"/>
              <w:rPr>
                <w:rFonts w:cs="Arial"/>
                <w:noProof/>
                <w:sz w:val="18"/>
                <w:szCs w:val="18"/>
                <w:lang w:val="cs-CZ"/>
              </w:rPr>
            </w:pPr>
            <w:r w:rsidRPr="003B6E11">
              <w:rPr>
                <w:noProof/>
                <w:sz w:val="18"/>
                <w:lang w:val="cs-CZ"/>
              </w:rPr>
              <w:t>89</w:t>
            </w:r>
          </w:p>
        </w:tc>
        <w:tc>
          <w:tcPr>
            <w:tcW w:w="73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tabs>
                <w:tab w:val="decimal" w:pos="332"/>
              </w:tabs>
              <w:spacing w:before="60" w:after="60" w:line="240" w:lineRule="atLeast"/>
              <w:rPr>
                <w:rFonts w:cs="Arial"/>
                <w:noProof/>
                <w:sz w:val="18"/>
                <w:szCs w:val="18"/>
                <w:lang w:val="cs-CZ"/>
              </w:rPr>
            </w:pPr>
            <w:r w:rsidRPr="003B6E11">
              <w:rPr>
                <w:noProof/>
                <w:sz w:val="18"/>
                <w:lang w:val="cs-CZ"/>
              </w:rPr>
              <w:t>119</w:t>
            </w:r>
          </w:p>
        </w:tc>
      </w:tr>
    </w:tbl>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br w:type="page"/>
      </w:r>
    </w:p>
    <w:p w:rsidR="00E82B25" w:rsidRPr="003B6E11" w:rsidRDefault="00E82B25" w:rsidP="00E82B25">
      <w:pPr>
        <w:pStyle w:val="ESch"/>
        <w:rPr>
          <w:rFonts w:cs="Arial"/>
          <w:szCs w:val="20"/>
          <w:lang w:val="cs-CZ"/>
        </w:rPr>
      </w:pPr>
      <w:r w:rsidRPr="003B6E11">
        <w:rPr>
          <w:lang w:val="cs-CZ"/>
        </w:rPr>
        <w:t>3.</w:t>
      </w:r>
      <w:r w:rsidRPr="003B6E11">
        <w:rPr>
          <w:lang w:val="cs-CZ"/>
        </w:rPr>
        <w:tab/>
        <w:t>Konstrukce lan musí být přednostně založena na druhu konstrukce lana 6 × 7 FE v třídě pevnosti 1 550 N/mm</w:t>
      </w:r>
      <w:r w:rsidRPr="003B6E11">
        <w:rPr>
          <w:vertAlign w:val="superscript"/>
          <w:lang w:val="cs-CZ"/>
        </w:rPr>
        <w:t>2</w:t>
      </w:r>
      <w:r w:rsidRPr="003B6E11">
        <w:rPr>
          <w:lang w:val="cs-CZ"/>
        </w:rPr>
        <w:t>. Alternativně lze ve stejné třídě pevnosti použít typ konstrukce 6 × 36 SE nebo 6 × 19 FE. Vzhledem k vyšší elasticitě typu konstrukce 6 × 19 je nutno zvýšit pevnosti v tahu uvedené v tabulce o 10 %. Použití různých konstrukcí lan je přípustné, mají-li srovnatelné vlastnosti.</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4.</w:t>
      </w:r>
      <w:r w:rsidRPr="003B6E11">
        <w:rPr>
          <w:lang w:val="cs-CZ"/>
        </w:rPr>
        <w:tab/>
        <w:t>Je-li použita pevná takeláž, pevnosti v tahu uvedené v tabulce je nutno zvýšit o 30 %.</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5.</w:t>
      </w:r>
      <w:r w:rsidRPr="003B6E11">
        <w:rPr>
          <w:lang w:val="cs-CZ"/>
        </w:rPr>
        <w:tab/>
        <w:t>Pro takeláž lze použít pouze schválené vidlice, kulatá oka a svorníky.</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6.</w:t>
      </w:r>
      <w:r w:rsidRPr="003B6E11">
        <w:rPr>
          <w:lang w:val="cs-CZ"/>
        </w:rPr>
        <w:tab/>
        <w:t>Svorníky, vidlice, kulatá oka a napínače musí být možné řádně zajistit.</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7.</w:t>
      </w:r>
      <w:r w:rsidRPr="003B6E11">
        <w:rPr>
          <w:lang w:val="cs-CZ"/>
        </w:rPr>
        <w:tab/>
        <w:t>Pevnost v tahu vodního stěhu musí činit nejméně 1,2násobek pevnosti v tahu příslušného stěhu kosatky a létavky.</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8.</w:t>
      </w:r>
      <w:r w:rsidRPr="003B6E11">
        <w:rPr>
          <w:lang w:val="cs-CZ"/>
        </w:rPr>
        <w:tab/>
        <w:t>U plavidel s výtlakem vody méně než 30 m</w:t>
      </w:r>
      <w:r w:rsidRPr="003B6E11">
        <w:rPr>
          <w:vertAlign w:val="superscript"/>
          <w:lang w:val="cs-CZ"/>
        </w:rPr>
        <w:t>3</w:t>
      </w:r>
      <w:r w:rsidRPr="003B6E11">
        <w:rPr>
          <w:lang w:val="cs-CZ"/>
        </w:rPr>
        <w:t xml:space="preserve"> může subjekt pověřený prohlídkami povolit snížení pevnosti v tahu uvedené v této tabulce:</w:t>
      </w:r>
    </w:p>
    <w:p w:rsidR="00E82B25" w:rsidRPr="003B6E11" w:rsidRDefault="00E82B25" w:rsidP="00E82B25">
      <w:pPr>
        <w:pStyle w:val="ESch"/>
        <w:rPr>
          <w:rFonts w:cs="Arial"/>
          <w:szCs w:val="20"/>
          <w:lang w:val="cs-CZ"/>
        </w:rPr>
      </w:pPr>
    </w:p>
    <w:tbl>
      <w:tblPr>
        <w:tblW w:w="0" w:type="auto"/>
        <w:jc w:val="center"/>
        <w:tblLayout w:type="fixed"/>
        <w:tblLook w:val="0000" w:firstRow="0" w:lastRow="0" w:firstColumn="0" w:lastColumn="0" w:noHBand="0" w:noVBand="0"/>
      </w:tblPr>
      <w:tblGrid>
        <w:gridCol w:w="5863"/>
        <w:gridCol w:w="1752"/>
      </w:tblGrid>
      <w:tr w:rsidR="00E82B25" w:rsidRPr="003B6E11" w:rsidTr="002D015D">
        <w:trPr>
          <w:cantSplit/>
          <w:jc w:val="center"/>
        </w:trPr>
        <w:tc>
          <w:tcPr>
            <w:tcW w:w="5863"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Centered"/>
              <w:spacing w:before="60" w:after="60" w:line="240" w:lineRule="atLeast"/>
              <w:rPr>
                <w:rFonts w:cs="Arial"/>
                <w:noProof/>
                <w:sz w:val="18"/>
                <w:szCs w:val="18"/>
                <w:lang w:val="cs-CZ"/>
              </w:rPr>
            </w:pPr>
            <w:r w:rsidRPr="003B6E11">
              <w:rPr>
                <w:noProof/>
                <w:sz w:val="18"/>
                <w:lang w:val="cs-CZ"/>
              </w:rPr>
              <w:t>Výtlak vody děleno počtem stěžňů (m</w:t>
            </w:r>
            <w:r w:rsidRPr="003B6E11">
              <w:rPr>
                <w:noProof/>
                <w:sz w:val="18"/>
                <w:vertAlign w:val="superscript"/>
                <w:lang w:val="cs-CZ"/>
              </w:rPr>
              <w:t>3</w:t>
            </w:r>
            <w:r w:rsidRPr="003B6E11">
              <w:rPr>
                <w:noProof/>
                <w:sz w:val="18"/>
                <w:lang w:val="cs-CZ"/>
              </w:rPr>
              <w:t>)</w:t>
            </w:r>
          </w:p>
        </w:tc>
        <w:tc>
          <w:tcPr>
            <w:tcW w:w="1752"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Centered"/>
              <w:spacing w:before="60" w:after="60" w:line="240" w:lineRule="atLeast"/>
              <w:rPr>
                <w:rFonts w:cs="Arial"/>
                <w:noProof/>
                <w:sz w:val="18"/>
                <w:szCs w:val="18"/>
                <w:lang w:val="cs-CZ"/>
              </w:rPr>
            </w:pPr>
            <w:r w:rsidRPr="003B6E11">
              <w:rPr>
                <w:noProof/>
                <w:sz w:val="18"/>
                <w:lang w:val="cs-CZ"/>
              </w:rPr>
              <w:t>Snížení (%)</w:t>
            </w:r>
          </w:p>
        </w:tc>
      </w:tr>
      <w:tr w:rsidR="00E82B25" w:rsidRPr="003B6E11" w:rsidTr="002D015D">
        <w:trPr>
          <w:cantSplit/>
          <w:jc w:val="center"/>
        </w:trPr>
        <w:tc>
          <w:tcPr>
            <w:tcW w:w="5863"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&gt; 20 až 30</w:t>
            </w:r>
          </w:p>
        </w:tc>
        <w:tc>
          <w:tcPr>
            <w:tcW w:w="1752"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20</w:t>
            </w:r>
          </w:p>
        </w:tc>
      </w:tr>
      <w:tr w:rsidR="00E82B25" w:rsidRPr="003B6E11" w:rsidTr="002D015D">
        <w:trPr>
          <w:cantSplit/>
          <w:jc w:val="center"/>
        </w:trPr>
        <w:tc>
          <w:tcPr>
            <w:tcW w:w="5863"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10 až 20</w:t>
            </w:r>
          </w:p>
        </w:tc>
        <w:tc>
          <w:tcPr>
            <w:tcW w:w="1752"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35</w:t>
            </w:r>
          </w:p>
        </w:tc>
      </w:tr>
      <w:tr w:rsidR="00E82B25" w:rsidRPr="003B6E11" w:rsidTr="002D015D">
        <w:trPr>
          <w:cantSplit/>
          <w:jc w:val="center"/>
        </w:trPr>
        <w:tc>
          <w:tcPr>
            <w:tcW w:w="5863"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&lt; 10</w:t>
            </w:r>
          </w:p>
        </w:tc>
        <w:tc>
          <w:tcPr>
            <w:tcW w:w="1752"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60</w:t>
            </w:r>
          </w:p>
        </w:tc>
      </w:tr>
    </w:tbl>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Titre3"/>
        <w:rPr>
          <w:rFonts w:cs="Arial"/>
          <w:i/>
          <w:lang w:val="cs-CZ"/>
        </w:rPr>
      </w:pPr>
      <w:bookmarkStart w:id="406" w:name="_Toc491854200"/>
      <w:bookmarkStart w:id="407" w:name="_Toc535417106"/>
      <w:r w:rsidRPr="003B6E11">
        <w:rPr>
          <w:lang w:val="cs-CZ"/>
        </w:rPr>
        <w:t>Článek 20.15</w:t>
      </w:r>
      <w:r w:rsidRPr="003B6E11">
        <w:rPr>
          <w:lang w:val="cs-CZ"/>
        </w:rPr>
        <w:br/>
      </w:r>
      <w:r w:rsidRPr="003B6E11">
        <w:rPr>
          <w:i/>
          <w:noProof/>
          <w:lang w:val="cs-CZ"/>
        </w:rPr>
        <w:t>Zvláštní ustanovení pro pohyblivou takeláž</w:t>
      </w:r>
      <w:bookmarkEnd w:id="406"/>
      <w:bookmarkEnd w:id="407"/>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1.</w:t>
      </w:r>
      <w:r w:rsidRPr="003B6E11">
        <w:rPr>
          <w:lang w:val="cs-CZ"/>
        </w:rPr>
        <w:tab/>
        <w:t>Pro pohyblivou takeláž je nutno použít vláknová lana nebo lana z ocelových drátů. Minimální pevnost v tahu a průměr pro pevnou takeláž musí v poměru k ploše plachet splňovat tyto minimální požadavky:</w:t>
      </w:r>
    </w:p>
    <w:p w:rsidR="00E82B25" w:rsidRPr="003B6E11" w:rsidRDefault="00E82B25" w:rsidP="00E82B25">
      <w:pPr>
        <w:pStyle w:val="ESch"/>
        <w:rPr>
          <w:noProof/>
          <w:szCs w:val="20"/>
          <w:lang w:val="cs-CZ"/>
        </w:rPr>
      </w:pPr>
    </w:p>
    <w:tbl>
      <w:tblPr>
        <w:tblW w:w="0" w:type="auto"/>
        <w:jc w:val="center"/>
        <w:tblLayout w:type="fixed"/>
        <w:tblLook w:val="0000" w:firstRow="0" w:lastRow="0" w:firstColumn="0" w:lastColumn="0" w:noHBand="0" w:noVBand="0"/>
      </w:tblPr>
      <w:tblGrid>
        <w:gridCol w:w="2229"/>
        <w:gridCol w:w="1393"/>
        <w:gridCol w:w="1578"/>
        <w:gridCol w:w="2136"/>
        <w:gridCol w:w="1950"/>
      </w:tblGrid>
      <w:tr w:rsidR="00E82B25" w:rsidRPr="003B6E11" w:rsidTr="002D015D">
        <w:trPr>
          <w:cantSplit/>
          <w:tblHeader/>
          <w:jc w:val="center"/>
        </w:trPr>
        <w:tc>
          <w:tcPr>
            <w:tcW w:w="2229"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Centered"/>
              <w:spacing w:before="60" w:after="60" w:line="240" w:lineRule="atLeast"/>
              <w:rPr>
                <w:rFonts w:cs="Arial"/>
                <w:noProof/>
                <w:sz w:val="18"/>
                <w:szCs w:val="18"/>
                <w:lang w:val="cs-CZ"/>
              </w:rPr>
            </w:pPr>
            <w:r w:rsidRPr="003B6E11">
              <w:rPr>
                <w:noProof/>
                <w:sz w:val="18"/>
                <w:lang w:val="cs-CZ"/>
              </w:rPr>
              <w:t>Druh pohyblivé takeláže</w:t>
            </w:r>
          </w:p>
        </w:tc>
        <w:tc>
          <w:tcPr>
            <w:tcW w:w="1393"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Centered"/>
              <w:spacing w:before="60" w:after="60" w:line="240" w:lineRule="atLeast"/>
              <w:rPr>
                <w:rFonts w:cs="Arial"/>
                <w:noProof/>
                <w:sz w:val="18"/>
                <w:szCs w:val="18"/>
                <w:lang w:val="cs-CZ"/>
              </w:rPr>
            </w:pPr>
            <w:r w:rsidRPr="003B6E11">
              <w:rPr>
                <w:noProof/>
                <w:sz w:val="18"/>
                <w:lang w:val="cs-CZ"/>
              </w:rPr>
              <w:t>Materiál lana</w:t>
            </w:r>
          </w:p>
        </w:tc>
        <w:tc>
          <w:tcPr>
            <w:tcW w:w="1578"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Centered"/>
              <w:spacing w:before="60" w:after="60" w:line="240" w:lineRule="atLeast"/>
              <w:rPr>
                <w:rFonts w:cs="Arial"/>
                <w:noProof/>
                <w:sz w:val="18"/>
                <w:szCs w:val="18"/>
                <w:lang w:val="cs-CZ"/>
              </w:rPr>
            </w:pPr>
            <w:r w:rsidRPr="003B6E11">
              <w:rPr>
                <w:noProof/>
                <w:sz w:val="18"/>
                <w:lang w:val="cs-CZ"/>
              </w:rPr>
              <w:t>Plocha plachet (m</w:t>
            </w:r>
            <w:r w:rsidRPr="003B6E11">
              <w:rPr>
                <w:noProof/>
                <w:sz w:val="18"/>
                <w:vertAlign w:val="superscript"/>
                <w:lang w:val="cs-CZ"/>
              </w:rPr>
              <w:t>2</w:t>
            </w:r>
            <w:r w:rsidRPr="003B6E11">
              <w:rPr>
                <w:noProof/>
                <w:sz w:val="18"/>
                <w:lang w:val="cs-CZ"/>
              </w:rPr>
              <w:t>)</w:t>
            </w:r>
          </w:p>
        </w:tc>
        <w:tc>
          <w:tcPr>
            <w:tcW w:w="2136"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Centered"/>
              <w:spacing w:before="60" w:after="60" w:line="240" w:lineRule="atLeast"/>
              <w:rPr>
                <w:rFonts w:cs="Arial"/>
                <w:noProof/>
                <w:sz w:val="18"/>
                <w:szCs w:val="18"/>
                <w:lang w:val="cs-CZ"/>
              </w:rPr>
            </w:pPr>
            <w:r w:rsidRPr="003B6E11">
              <w:rPr>
                <w:noProof/>
                <w:sz w:val="18"/>
                <w:lang w:val="cs-CZ"/>
              </w:rPr>
              <w:t>Minimální pevnost v tahu (kN)</w:t>
            </w:r>
          </w:p>
        </w:tc>
        <w:tc>
          <w:tcPr>
            <w:tcW w:w="195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Centered"/>
              <w:spacing w:before="60" w:after="60" w:line="240" w:lineRule="atLeast"/>
              <w:rPr>
                <w:rFonts w:cs="Arial"/>
                <w:noProof/>
                <w:sz w:val="18"/>
                <w:szCs w:val="18"/>
                <w:lang w:val="cs-CZ"/>
              </w:rPr>
            </w:pPr>
            <w:r w:rsidRPr="003B6E11">
              <w:rPr>
                <w:noProof/>
                <w:sz w:val="18"/>
                <w:lang w:val="cs-CZ"/>
              </w:rPr>
              <w:t>Průměr lana (mm)</w:t>
            </w:r>
          </w:p>
        </w:tc>
      </w:tr>
      <w:tr w:rsidR="00E82B25" w:rsidRPr="003B6E11" w:rsidTr="002D015D">
        <w:trPr>
          <w:cantSplit/>
          <w:jc w:val="center"/>
        </w:trPr>
        <w:tc>
          <w:tcPr>
            <w:tcW w:w="2229" w:type="dxa"/>
            <w:vMerge w:val="restart"/>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60" w:line="240" w:lineRule="atLeast"/>
              <w:rPr>
                <w:rFonts w:cs="Arial"/>
                <w:noProof/>
                <w:sz w:val="18"/>
                <w:szCs w:val="18"/>
                <w:lang w:val="cs-CZ"/>
              </w:rPr>
            </w:pPr>
            <w:r w:rsidRPr="003B6E11">
              <w:rPr>
                <w:noProof/>
                <w:sz w:val="18"/>
                <w:lang w:val="cs-CZ"/>
              </w:rPr>
              <w:t>Spouště stěhové plachty</w:t>
            </w:r>
          </w:p>
        </w:tc>
        <w:tc>
          <w:tcPr>
            <w:tcW w:w="1393" w:type="dxa"/>
            <w:vMerge w:val="restart"/>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60" w:line="240" w:lineRule="atLeast"/>
              <w:rPr>
                <w:rFonts w:cs="Arial"/>
                <w:noProof/>
                <w:sz w:val="18"/>
                <w:szCs w:val="18"/>
                <w:lang w:val="cs-CZ"/>
              </w:rPr>
            </w:pPr>
            <w:r w:rsidRPr="003B6E11">
              <w:rPr>
                <w:noProof/>
                <w:sz w:val="18"/>
                <w:lang w:val="cs-CZ"/>
              </w:rPr>
              <w:t>Ocelový drát</w:t>
            </w:r>
          </w:p>
        </w:tc>
        <w:tc>
          <w:tcPr>
            <w:tcW w:w="1578"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60" w:line="240" w:lineRule="atLeast"/>
              <w:jc w:val="center"/>
              <w:rPr>
                <w:rFonts w:cs="Arial"/>
                <w:noProof/>
                <w:sz w:val="18"/>
                <w:szCs w:val="18"/>
                <w:lang w:val="cs-CZ"/>
              </w:rPr>
            </w:pPr>
            <w:r w:rsidRPr="003B6E11">
              <w:rPr>
                <w:noProof/>
                <w:sz w:val="18"/>
                <w:lang w:val="cs-CZ"/>
              </w:rPr>
              <w:t>do 35</w:t>
            </w:r>
          </w:p>
        </w:tc>
        <w:tc>
          <w:tcPr>
            <w:tcW w:w="2136"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60" w:line="240" w:lineRule="atLeast"/>
              <w:jc w:val="center"/>
              <w:rPr>
                <w:rFonts w:cs="Arial"/>
                <w:noProof/>
                <w:sz w:val="18"/>
                <w:szCs w:val="18"/>
                <w:lang w:val="cs-CZ"/>
              </w:rPr>
            </w:pPr>
            <w:r w:rsidRPr="003B6E11">
              <w:rPr>
                <w:noProof/>
                <w:sz w:val="18"/>
                <w:lang w:val="cs-CZ"/>
              </w:rPr>
              <w:t>20</w:t>
            </w:r>
          </w:p>
        </w:tc>
        <w:tc>
          <w:tcPr>
            <w:tcW w:w="195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60" w:line="240" w:lineRule="atLeast"/>
              <w:jc w:val="center"/>
              <w:rPr>
                <w:rFonts w:cs="Arial"/>
                <w:noProof/>
                <w:sz w:val="18"/>
                <w:szCs w:val="18"/>
                <w:lang w:val="cs-CZ"/>
              </w:rPr>
            </w:pPr>
            <w:r w:rsidRPr="003B6E11">
              <w:rPr>
                <w:noProof/>
                <w:sz w:val="18"/>
                <w:lang w:val="cs-CZ"/>
              </w:rPr>
              <w:t>6</w:t>
            </w:r>
          </w:p>
        </w:tc>
      </w:tr>
      <w:tr w:rsidR="00E82B25" w:rsidRPr="003B6E11" w:rsidTr="002D015D">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adjustRightInd w:val="0"/>
              <w:spacing w:before="160" w:after="160" w:line="240" w:lineRule="atLeast"/>
              <w:rPr>
                <w:rFonts w:cs="Arial"/>
                <w:noProof/>
                <w:sz w:val="18"/>
                <w:szCs w:val="18"/>
                <w:lang w:val="cs-CZ"/>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adjustRightInd w:val="0"/>
              <w:spacing w:before="160" w:after="160" w:line="240" w:lineRule="atLeast"/>
              <w:rPr>
                <w:rFonts w:cs="Arial"/>
                <w:noProof/>
                <w:sz w:val="18"/>
                <w:szCs w:val="18"/>
                <w:lang w:val="cs-CZ"/>
              </w:rPr>
            </w:pPr>
          </w:p>
        </w:tc>
        <w:tc>
          <w:tcPr>
            <w:tcW w:w="1578"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60" w:line="240" w:lineRule="atLeast"/>
              <w:jc w:val="center"/>
              <w:rPr>
                <w:rFonts w:cs="Arial"/>
                <w:noProof/>
                <w:sz w:val="18"/>
                <w:szCs w:val="18"/>
                <w:lang w:val="cs-CZ"/>
              </w:rPr>
            </w:pPr>
            <w:r w:rsidRPr="003B6E11">
              <w:rPr>
                <w:noProof/>
                <w:sz w:val="18"/>
                <w:lang w:val="cs-CZ"/>
              </w:rPr>
              <w:t>&gt; 35</w:t>
            </w:r>
          </w:p>
        </w:tc>
        <w:tc>
          <w:tcPr>
            <w:tcW w:w="2136"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60" w:line="240" w:lineRule="atLeast"/>
              <w:jc w:val="center"/>
              <w:rPr>
                <w:rFonts w:cs="Arial"/>
                <w:noProof/>
                <w:sz w:val="18"/>
                <w:szCs w:val="18"/>
                <w:lang w:val="cs-CZ"/>
              </w:rPr>
            </w:pPr>
            <w:r w:rsidRPr="003B6E11">
              <w:rPr>
                <w:noProof/>
                <w:sz w:val="18"/>
                <w:lang w:val="cs-CZ"/>
              </w:rPr>
              <w:t>38</w:t>
            </w:r>
          </w:p>
        </w:tc>
        <w:tc>
          <w:tcPr>
            <w:tcW w:w="195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60" w:line="240" w:lineRule="atLeast"/>
              <w:jc w:val="center"/>
              <w:rPr>
                <w:rFonts w:cs="Arial"/>
                <w:noProof/>
                <w:sz w:val="18"/>
                <w:szCs w:val="18"/>
                <w:lang w:val="cs-CZ"/>
              </w:rPr>
            </w:pPr>
            <w:r w:rsidRPr="003B6E11">
              <w:rPr>
                <w:noProof/>
                <w:sz w:val="18"/>
                <w:lang w:val="cs-CZ"/>
              </w:rPr>
              <w:t>8</w:t>
            </w:r>
          </w:p>
        </w:tc>
      </w:tr>
      <w:tr w:rsidR="00E82B25" w:rsidRPr="003B6E11" w:rsidTr="002D015D">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adjustRightInd w:val="0"/>
              <w:spacing w:before="160" w:after="160" w:line="240" w:lineRule="atLeast"/>
              <w:rPr>
                <w:rFonts w:cs="Arial"/>
                <w:noProof/>
                <w:sz w:val="18"/>
                <w:szCs w:val="18"/>
                <w:lang w:val="cs-CZ"/>
              </w:rPr>
            </w:pPr>
          </w:p>
        </w:tc>
        <w:tc>
          <w:tcPr>
            <w:tcW w:w="1393"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60" w:line="240" w:lineRule="atLeast"/>
              <w:rPr>
                <w:rFonts w:cs="Arial"/>
                <w:noProof/>
                <w:sz w:val="18"/>
                <w:szCs w:val="18"/>
                <w:lang w:val="cs-CZ"/>
              </w:rPr>
            </w:pPr>
            <w:r w:rsidRPr="003B6E11">
              <w:rPr>
                <w:noProof/>
                <w:sz w:val="18"/>
                <w:lang w:val="cs-CZ"/>
              </w:rPr>
              <w:t>Vlákno (polypropylen-PP)</w:t>
            </w:r>
          </w:p>
        </w:tc>
        <w:tc>
          <w:tcPr>
            <w:tcW w:w="5664" w:type="dxa"/>
            <w:gridSpan w:val="3"/>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60" w:line="240" w:lineRule="atLeast"/>
              <w:jc w:val="both"/>
              <w:rPr>
                <w:rFonts w:cs="Arial"/>
                <w:noProof/>
                <w:sz w:val="18"/>
                <w:szCs w:val="18"/>
                <w:lang w:val="cs-CZ"/>
              </w:rPr>
            </w:pPr>
            <w:r w:rsidRPr="003B6E11">
              <w:rPr>
                <w:noProof/>
                <w:sz w:val="18"/>
                <w:lang w:val="cs-CZ"/>
              </w:rPr>
              <w:t>Průměr lana nejméně 14 mm a jedna lanovnice na každých započatých 25 m</w:t>
            </w:r>
            <w:r w:rsidRPr="003B6E11">
              <w:rPr>
                <w:noProof/>
                <w:sz w:val="18"/>
                <w:vertAlign w:val="superscript"/>
                <w:lang w:val="cs-CZ"/>
              </w:rPr>
              <w:t>2</w:t>
            </w:r>
          </w:p>
        </w:tc>
      </w:tr>
      <w:tr w:rsidR="00E82B25" w:rsidRPr="003B6E11" w:rsidTr="002D015D">
        <w:trPr>
          <w:cantSplit/>
          <w:jc w:val="center"/>
        </w:trPr>
        <w:tc>
          <w:tcPr>
            <w:tcW w:w="2229" w:type="dxa"/>
            <w:vMerge w:val="restart"/>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40" w:line="240" w:lineRule="atLeast"/>
              <w:rPr>
                <w:rFonts w:cs="Arial"/>
                <w:noProof/>
                <w:sz w:val="18"/>
                <w:szCs w:val="18"/>
                <w:lang w:val="cs-CZ"/>
              </w:rPr>
            </w:pPr>
            <w:r w:rsidRPr="003B6E11">
              <w:rPr>
                <w:noProof/>
                <w:sz w:val="18"/>
                <w:lang w:val="cs-CZ"/>
              </w:rPr>
              <w:t>Spouště vratiplachty</w:t>
            </w:r>
            <w:r w:rsidRPr="003B6E11">
              <w:rPr>
                <w:rFonts w:cs="Arial"/>
                <w:noProof/>
                <w:sz w:val="18"/>
                <w:szCs w:val="18"/>
                <w:lang w:val="cs-CZ"/>
              </w:rPr>
              <w:br/>
            </w:r>
            <w:r w:rsidRPr="003B6E11">
              <w:rPr>
                <w:noProof/>
                <w:sz w:val="18"/>
                <w:lang w:val="cs-CZ"/>
              </w:rPr>
              <w:t>Spouště košové plachty</w:t>
            </w:r>
          </w:p>
        </w:tc>
        <w:tc>
          <w:tcPr>
            <w:tcW w:w="1393" w:type="dxa"/>
            <w:vMerge w:val="restart"/>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40" w:line="240" w:lineRule="atLeast"/>
              <w:rPr>
                <w:rFonts w:cs="Arial"/>
                <w:noProof/>
                <w:sz w:val="18"/>
                <w:szCs w:val="18"/>
                <w:lang w:val="cs-CZ"/>
              </w:rPr>
            </w:pPr>
            <w:r w:rsidRPr="003B6E11">
              <w:rPr>
                <w:noProof/>
                <w:sz w:val="18"/>
                <w:lang w:val="cs-CZ"/>
              </w:rPr>
              <w:t>Ocelový drát</w:t>
            </w:r>
          </w:p>
        </w:tc>
        <w:tc>
          <w:tcPr>
            <w:tcW w:w="1578"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40" w:line="240" w:lineRule="atLeast"/>
              <w:jc w:val="center"/>
              <w:rPr>
                <w:rFonts w:cs="Arial"/>
                <w:noProof/>
                <w:sz w:val="18"/>
                <w:szCs w:val="18"/>
                <w:lang w:val="cs-CZ"/>
              </w:rPr>
            </w:pPr>
            <w:r w:rsidRPr="003B6E11">
              <w:rPr>
                <w:noProof/>
                <w:sz w:val="18"/>
                <w:lang w:val="cs-CZ"/>
              </w:rPr>
              <w:t>do 50</w:t>
            </w:r>
          </w:p>
        </w:tc>
        <w:tc>
          <w:tcPr>
            <w:tcW w:w="2136"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40" w:line="240" w:lineRule="atLeast"/>
              <w:jc w:val="center"/>
              <w:rPr>
                <w:rFonts w:cs="Arial"/>
                <w:noProof/>
                <w:sz w:val="18"/>
                <w:szCs w:val="18"/>
                <w:lang w:val="cs-CZ"/>
              </w:rPr>
            </w:pPr>
            <w:r w:rsidRPr="003B6E11">
              <w:rPr>
                <w:noProof/>
                <w:sz w:val="18"/>
                <w:lang w:val="cs-CZ"/>
              </w:rPr>
              <w:t>20</w:t>
            </w:r>
          </w:p>
        </w:tc>
        <w:tc>
          <w:tcPr>
            <w:tcW w:w="195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40" w:line="240" w:lineRule="atLeast"/>
              <w:jc w:val="center"/>
              <w:rPr>
                <w:rFonts w:cs="Arial"/>
                <w:noProof/>
                <w:sz w:val="18"/>
                <w:szCs w:val="18"/>
                <w:lang w:val="cs-CZ"/>
              </w:rPr>
            </w:pPr>
            <w:r w:rsidRPr="003B6E11">
              <w:rPr>
                <w:noProof/>
                <w:sz w:val="18"/>
                <w:lang w:val="cs-CZ"/>
              </w:rPr>
              <w:t>6</w:t>
            </w:r>
          </w:p>
        </w:tc>
      </w:tr>
      <w:tr w:rsidR="00E82B25" w:rsidRPr="003B6E11" w:rsidTr="002D015D">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adjustRightInd w:val="0"/>
              <w:spacing w:before="160" w:after="140" w:line="240" w:lineRule="atLeast"/>
              <w:rPr>
                <w:rFonts w:cs="Arial"/>
                <w:noProof/>
                <w:sz w:val="18"/>
                <w:szCs w:val="18"/>
                <w:lang w:val="cs-CZ"/>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adjustRightInd w:val="0"/>
              <w:spacing w:before="160" w:after="140" w:line="240" w:lineRule="atLeast"/>
              <w:rPr>
                <w:rFonts w:cs="Arial"/>
                <w:noProof/>
                <w:sz w:val="18"/>
                <w:szCs w:val="18"/>
                <w:lang w:val="cs-CZ"/>
              </w:rPr>
            </w:pPr>
          </w:p>
        </w:tc>
        <w:tc>
          <w:tcPr>
            <w:tcW w:w="1578"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40" w:line="240" w:lineRule="atLeast"/>
              <w:jc w:val="center"/>
              <w:rPr>
                <w:rFonts w:cs="Arial"/>
                <w:noProof/>
                <w:sz w:val="18"/>
                <w:szCs w:val="18"/>
                <w:lang w:val="cs-CZ"/>
              </w:rPr>
            </w:pPr>
            <w:r w:rsidRPr="003B6E11">
              <w:rPr>
                <w:noProof/>
                <w:sz w:val="18"/>
                <w:lang w:val="cs-CZ"/>
              </w:rPr>
              <w:t>&gt; 50 až 80</w:t>
            </w:r>
          </w:p>
        </w:tc>
        <w:tc>
          <w:tcPr>
            <w:tcW w:w="2136"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40" w:line="240" w:lineRule="atLeast"/>
              <w:jc w:val="center"/>
              <w:rPr>
                <w:rFonts w:cs="Arial"/>
                <w:noProof/>
                <w:sz w:val="18"/>
                <w:szCs w:val="18"/>
                <w:lang w:val="cs-CZ"/>
              </w:rPr>
            </w:pPr>
            <w:r w:rsidRPr="003B6E11">
              <w:rPr>
                <w:noProof/>
                <w:sz w:val="18"/>
                <w:lang w:val="cs-CZ"/>
              </w:rPr>
              <w:t>30</w:t>
            </w:r>
          </w:p>
        </w:tc>
        <w:tc>
          <w:tcPr>
            <w:tcW w:w="195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40" w:line="240" w:lineRule="atLeast"/>
              <w:jc w:val="center"/>
              <w:rPr>
                <w:rFonts w:cs="Arial"/>
                <w:noProof/>
                <w:sz w:val="18"/>
                <w:szCs w:val="18"/>
                <w:lang w:val="cs-CZ"/>
              </w:rPr>
            </w:pPr>
            <w:r w:rsidRPr="003B6E11">
              <w:rPr>
                <w:noProof/>
                <w:sz w:val="18"/>
                <w:lang w:val="cs-CZ"/>
              </w:rPr>
              <w:t>8</w:t>
            </w:r>
          </w:p>
        </w:tc>
      </w:tr>
      <w:tr w:rsidR="00E82B25" w:rsidRPr="003B6E11" w:rsidTr="002D015D">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adjustRightInd w:val="0"/>
              <w:spacing w:before="160" w:after="140" w:line="240" w:lineRule="atLeast"/>
              <w:rPr>
                <w:rFonts w:cs="Arial"/>
                <w:noProof/>
                <w:sz w:val="18"/>
                <w:szCs w:val="18"/>
                <w:lang w:val="cs-CZ"/>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adjustRightInd w:val="0"/>
              <w:spacing w:before="160" w:after="140" w:line="240" w:lineRule="atLeast"/>
              <w:rPr>
                <w:rFonts w:cs="Arial"/>
                <w:noProof/>
                <w:sz w:val="18"/>
                <w:szCs w:val="18"/>
                <w:lang w:val="cs-CZ"/>
              </w:rPr>
            </w:pPr>
          </w:p>
        </w:tc>
        <w:tc>
          <w:tcPr>
            <w:tcW w:w="1578"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40" w:line="240" w:lineRule="atLeast"/>
              <w:jc w:val="center"/>
              <w:rPr>
                <w:rFonts w:cs="Arial"/>
                <w:noProof/>
                <w:sz w:val="18"/>
                <w:szCs w:val="18"/>
                <w:lang w:val="cs-CZ"/>
              </w:rPr>
            </w:pPr>
            <w:r w:rsidRPr="003B6E11">
              <w:rPr>
                <w:noProof/>
                <w:sz w:val="18"/>
                <w:lang w:val="cs-CZ"/>
              </w:rPr>
              <w:t>&gt; 80 až 120</w:t>
            </w:r>
          </w:p>
        </w:tc>
        <w:tc>
          <w:tcPr>
            <w:tcW w:w="2136"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40" w:line="240" w:lineRule="atLeast"/>
              <w:jc w:val="center"/>
              <w:rPr>
                <w:rFonts w:cs="Arial"/>
                <w:noProof/>
                <w:sz w:val="18"/>
                <w:szCs w:val="18"/>
                <w:lang w:val="cs-CZ"/>
              </w:rPr>
            </w:pPr>
            <w:r w:rsidRPr="003B6E11">
              <w:rPr>
                <w:noProof/>
                <w:sz w:val="18"/>
                <w:lang w:val="cs-CZ"/>
              </w:rPr>
              <w:t>60</w:t>
            </w:r>
          </w:p>
        </w:tc>
        <w:tc>
          <w:tcPr>
            <w:tcW w:w="195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40" w:line="240" w:lineRule="atLeast"/>
              <w:jc w:val="center"/>
              <w:rPr>
                <w:rFonts w:cs="Arial"/>
                <w:noProof/>
                <w:sz w:val="18"/>
                <w:szCs w:val="18"/>
                <w:lang w:val="cs-CZ"/>
              </w:rPr>
            </w:pPr>
            <w:r w:rsidRPr="003B6E11">
              <w:rPr>
                <w:noProof/>
                <w:sz w:val="18"/>
                <w:lang w:val="cs-CZ"/>
              </w:rPr>
              <w:t>10</w:t>
            </w:r>
          </w:p>
        </w:tc>
      </w:tr>
      <w:tr w:rsidR="00E82B25" w:rsidRPr="003B6E11" w:rsidTr="002D015D">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adjustRightInd w:val="0"/>
              <w:spacing w:before="160" w:after="140" w:line="240" w:lineRule="atLeast"/>
              <w:rPr>
                <w:rFonts w:cs="Arial"/>
                <w:noProof/>
                <w:sz w:val="18"/>
                <w:szCs w:val="18"/>
                <w:lang w:val="cs-CZ"/>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adjustRightInd w:val="0"/>
              <w:spacing w:before="160" w:after="140" w:line="240" w:lineRule="atLeast"/>
              <w:rPr>
                <w:rFonts w:cs="Arial"/>
                <w:noProof/>
                <w:sz w:val="18"/>
                <w:szCs w:val="18"/>
                <w:lang w:val="cs-CZ"/>
              </w:rPr>
            </w:pPr>
          </w:p>
        </w:tc>
        <w:tc>
          <w:tcPr>
            <w:tcW w:w="1578"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40" w:line="240" w:lineRule="atLeast"/>
              <w:jc w:val="center"/>
              <w:rPr>
                <w:rFonts w:cs="Arial"/>
                <w:noProof/>
                <w:sz w:val="18"/>
                <w:szCs w:val="18"/>
                <w:lang w:val="cs-CZ"/>
              </w:rPr>
            </w:pPr>
            <w:r w:rsidRPr="003B6E11">
              <w:rPr>
                <w:noProof/>
                <w:sz w:val="18"/>
                <w:lang w:val="cs-CZ"/>
              </w:rPr>
              <w:t>&gt; 120 až 160</w:t>
            </w:r>
          </w:p>
        </w:tc>
        <w:tc>
          <w:tcPr>
            <w:tcW w:w="2136"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40" w:line="240" w:lineRule="atLeast"/>
              <w:jc w:val="center"/>
              <w:rPr>
                <w:rFonts w:cs="Arial"/>
                <w:noProof/>
                <w:sz w:val="18"/>
                <w:szCs w:val="18"/>
                <w:lang w:val="cs-CZ"/>
              </w:rPr>
            </w:pPr>
            <w:r w:rsidRPr="003B6E11">
              <w:rPr>
                <w:noProof/>
                <w:sz w:val="18"/>
                <w:lang w:val="cs-CZ"/>
              </w:rPr>
              <w:t>80</w:t>
            </w:r>
          </w:p>
        </w:tc>
        <w:tc>
          <w:tcPr>
            <w:tcW w:w="195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40" w:line="240" w:lineRule="atLeast"/>
              <w:jc w:val="center"/>
              <w:rPr>
                <w:rFonts w:cs="Arial"/>
                <w:noProof/>
                <w:sz w:val="18"/>
                <w:szCs w:val="18"/>
                <w:lang w:val="cs-CZ"/>
              </w:rPr>
            </w:pPr>
            <w:r w:rsidRPr="003B6E11">
              <w:rPr>
                <w:noProof/>
                <w:sz w:val="18"/>
                <w:lang w:val="cs-CZ"/>
              </w:rPr>
              <w:t>12</w:t>
            </w:r>
          </w:p>
        </w:tc>
      </w:tr>
      <w:tr w:rsidR="00E82B25" w:rsidRPr="003B6E11" w:rsidTr="002D015D">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adjustRightInd w:val="0"/>
              <w:spacing w:before="160" w:after="140" w:line="240" w:lineRule="atLeast"/>
              <w:rPr>
                <w:rFonts w:cs="Arial"/>
                <w:noProof/>
                <w:sz w:val="18"/>
                <w:szCs w:val="18"/>
                <w:lang w:val="cs-CZ"/>
              </w:rPr>
            </w:pPr>
          </w:p>
        </w:tc>
        <w:tc>
          <w:tcPr>
            <w:tcW w:w="1393"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40" w:line="240" w:lineRule="atLeast"/>
              <w:rPr>
                <w:rFonts w:cs="Arial"/>
                <w:noProof/>
                <w:sz w:val="18"/>
                <w:szCs w:val="18"/>
                <w:lang w:val="cs-CZ"/>
              </w:rPr>
            </w:pPr>
            <w:r w:rsidRPr="003B6E11">
              <w:rPr>
                <w:noProof/>
                <w:sz w:val="18"/>
                <w:lang w:val="cs-CZ"/>
              </w:rPr>
              <w:t>Vlákno (PP)</w:t>
            </w:r>
          </w:p>
        </w:tc>
        <w:tc>
          <w:tcPr>
            <w:tcW w:w="5664" w:type="dxa"/>
            <w:gridSpan w:val="3"/>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160" w:after="140" w:line="240" w:lineRule="atLeast"/>
              <w:jc w:val="both"/>
              <w:rPr>
                <w:rFonts w:cs="Arial"/>
                <w:noProof/>
                <w:sz w:val="18"/>
                <w:szCs w:val="18"/>
                <w:lang w:val="cs-CZ"/>
              </w:rPr>
            </w:pPr>
            <w:r w:rsidRPr="003B6E11">
              <w:rPr>
                <w:noProof/>
                <w:sz w:val="18"/>
                <w:lang w:val="cs-CZ"/>
              </w:rPr>
              <w:t>Průměr lana nejméně 18 mm a jedna lanovnice na každých započatých 30 m</w:t>
            </w:r>
            <w:r w:rsidRPr="003B6E11">
              <w:rPr>
                <w:noProof/>
                <w:sz w:val="18"/>
                <w:vertAlign w:val="superscript"/>
                <w:lang w:val="cs-CZ"/>
              </w:rPr>
              <w:t>2</w:t>
            </w:r>
          </w:p>
        </w:tc>
      </w:tr>
      <w:tr w:rsidR="00E82B25" w:rsidRPr="003B6E11" w:rsidTr="002D015D">
        <w:trPr>
          <w:cantSplit/>
          <w:jc w:val="center"/>
        </w:trPr>
        <w:tc>
          <w:tcPr>
            <w:tcW w:w="2229" w:type="dxa"/>
            <w:vMerge w:val="restart"/>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Otěže stěhové plachty</w:t>
            </w:r>
          </w:p>
        </w:tc>
        <w:tc>
          <w:tcPr>
            <w:tcW w:w="1393" w:type="dxa"/>
            <w:vMerge w:val="restart"/>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Vlákno (PP)</w:t>
            </w:r>
          </w:p>
        </w:tc>
        <w:tc>
          <w:tcPr>
            <w:tcW w:w="1578"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do 40</w:t>
            </w:r>
          </w:p>
        </w:tc>
        <w:tc>
          <w:tcPr>
            <w:tcW w:w="2136"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14</w:t>
            </w:r>
          </w:p>
        </w:tc>
        <w:tc>
          <w:tcPr>
            <w:tcW w:w="195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p>
        </w:tc>
      </w:tr>
      <w:tr w:rsidR="00E82B25" w:rsidRPr="003B6E11" w:rsidTr="002D015D">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adjustRightInd w:val="0"/>
              <w:spacing w:before="60" w:after="60" w:line="240" w:lineRule="atLeast"/>
              <w:rPr>
                <w:rFonts w:cs="Arial"/>
                <w:noProof/>
                <w:sz w:val="18"/>
                <w:szCs w:val="18"/>
                <w:lang w:val="cs-CZ"/>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adjustRightInd w:val="0"/>
              <w:spacing w:before="60" w:after="60" w:line="240" w:lineRule="atLeast"/>
              <w:rPr>
                <w:rFonts w:cs="Arial"/>
                <w:noProof/>
                <w:sz w:val="18"/>
                <w:szCs w:val="18"/>
                <w:lang w:val="cs-CZ"/>
              </w:rPr>
            </w:pPr>
          </w:p>
        </w:tc>
        <w:tc>
          <w:tcPr>
            <w:tcW w:w="1578"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&gt; 40</w:t>
            </w:r>
          </w:p>
        </w:tc>
        <w:tc>
          <w:tcPr>
            <w:tcW w:w="2136"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r w:rsidRPr="003B6E11">
              <w:rPr>
                <w:noProof/>
                <w:sz w:val="18"/>
                <w:lang w:val="cs-CZ"/>
              </w:rPr>
              <w:t>18</w:t>
            </w:r>
          </w:p>
        </w:tc>
        <w:tc>
          <w:tcPr>
            <w:tcW w:w="195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center"/>
              <w:rPr>
                <w:rFonts w:cs="Arial"/>
                <w:noProof/>
                <w:sz w:val="18"/>
                <w:szCs w:val="18"/>
                <w:lang w:val="cs-CZ"/>
              </w:rPr>
            </w:pPr>
          </w:p>
        </w:tc>
      </w:tr>
      <w:tr w:rsidR="00E82B25" w:rsidRPr="003B6E11" w:rsidTr="002D015D">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adjustRightInd w:val="0"/>
              <w:spacing w:before="60" w:after="60" w:line="240" w:lineRule="atLeast"/>
              <w:rPr>
                <w:rFonts w:cs="Arial"/>
                <w:noProof/>
                <w:sz w:val="18"/>
                <w:szCs w:val="18"/>
                <w:lang w:val="cs-CZ"/>
              </w:rPr>
            </w:pPr>
          </w:p>
        </w:tc>
        <w:tc>
          <w:tcPr>
            <w:tcW w:w="7057" w:type="dxa"/>
            <w:gridSpan w:val="4"/>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both"/>
              <w:rPr>
                <w:rFonts w:cs="Arial"/>
                <w:noProof/>
                <w:sz w:val="18"/>
                <w:szCs w:val="18"/>
                <w:lang w:val="cs-CZ"/>
              </w:rPr>
            </w:pPr>
            <w:r w:rsidRPr="003B6E11">
              <w:rPr>
                <w:noProof/>
                <w:sz w:val="18"/>
                <w:lang w:val="cs-CZ"/>
              </w:rPr>
              <w:t>U plachtových ploch větších než 30 m</w:t>
            </w:r>
            <w:r w:rsidRPr="003B6E11">
              <w:rPr>
                <w:noProof/>
                <w:sz w:val="18"/>
                <w:vertAlign w:val="superscript"/>
                <w:lang w:val="cs-CZ"/>
              </w:rPr>
              <w:t>2</w:t>
            </w:r>
            <w:r w:rsidRPr="003B6E11">
              <w:rPr>
                <w:noProof/>
                <w:sz w:val="18"/>
                <w:lang w:val="cs-CZ"/>
              </w:rPr>
              <w:t xml:space="preserve"> musí mít otěž podobu táhlice nebo ji musí být možné ovládat pomocí navijáku.</w:t>
            </w:r>
          </w:p>
        </w:tc>
      </w:tr>
      <w:tr w:rsidR="00E82B25" w:rsidRPr="003B6E11" w:rsidTr="002D015D">
        <w:trPr>
          <w:cantSplit/>
          <w:jc w:val="center"/>
        </w:trPr>
        <w:tc>
          <w:tcPr>
            <w:tcW w:w="2229" w:type="dxa"/>
            <w:vMerge w:val="restart"/>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Otěže vratiplachty/košové plachty</w:t>
            </w:r>
          </w:p>
        </w:tc>
        <w:tc>
          <w:tcPr>
            <w:tcW w:w="1393" w:type="dxa"/>
            <w:vMerge w:val="restart"/>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Ocelový drát</w:t>
            </w:r>
          </w:p>
        </w:tc>
        <w:tc>
          <w:tcPr>
            <w:tcW w:w="1578"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&lt; 100</w:t>
            </w:r>
          </w:p>
        </w:tc>
        <w:tc>
          <w:tcPr>
            <w:tcW w:w="2136"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60</w:t>
            </w:r>
          </w:p>
        </w:tc>
        <w:tc>
          <w:tcPr>
            <w:tcW w:w="195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10</w:t>
            </w:r>
          </w:p>
        </w:tc>
      </w:tr>
      <w:tr w:rsidR="00E82B25" w:rsidRPr="003B6E11" w:rsidTr="002D015D">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adjustRightInd w:val="0"/>
              <w:spacing w:before="60" w:after="60" w:line="240" w:lineRule="atLeast"/>
              <w:rPr>
                <w:rFonts w:cs="Arial"/>
                <w:noProof/>
                <w:sz w:val="18"/>
                <w:szCs w:val="18"/>
                <w:lang w:val="cs-CZ"/>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adjustRightInd w:val="0"/>
              <w:spacing w:before="60" w:after="60" w:line="240" w:lineRule="atLeast"/>
              <w:rPr>
                <w:rFonts w:cs="Arial"/>
                <w:noProof/>
                <w:sz w:val="18"/>
                <w:szCs w:val="18"/>
                <w:lang w:val="cs-CZ"/>
              </w:rPr>
            </w:pPr>
          </w:p>
        </w:tc>
        <w:tc>
          <w:tcPr>
            <w:tcW w:w="1578"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100 až 150</w:t>
            </w:r>
          </w:p>
        </w:tc>
        <w:tc>
          <w:tcPr>
            <w:tcW w:w="2136"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85</w:t>
            </w:r>
          </w:p>
        </w:tc>
        <w:tc>
          <w:tcPr>
            <w:tcW w:w="195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12</w:t>
            </w:r>
          </w:p>
        </w:tc>
      </w:tr>
      <w:tr w:rsidR="00E82B25" w:rsidRPr="003B6E11" w:rsidTr="002D015D">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adjustRightInd w:val="0"/>
              <w:spacing w:before="60" w:after="60" w:line="240" w:lineRule="atLeast"/>
              <w:rPr>
                <w:rFonts w:cs="Arial"/>
                <w:noProof/>
                <w:sz w:val="18"/>
                <w:szCs w:val="18"/>
                <w:lang w:val="cs-CZ"/>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adjustRightInd w:val="0"/>
              <w:spacing w:before="60" w:after="60" w:line="240" w:lineRule="atLeast"/>
              <w:rPr>
                <w:rFonts w:cs="Arial"/>
                <w:noProof/>
                <w:sz w:val="18"/>
                <w:szCs w:val="18"/>
                <w:lang w:val="cs-CZ"/>
              </w:rPr>
            </w:pPr>
          </w:p>
        </w:tc>
        <w:tc>
          <w:tcPr>
            <w:tcW w:w="1578"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&gt; 150</w:t>
            </w:r>
          </w:p>
        </w:tc>
        <w:tc>
          <w:tcPr>
            <w:tcW w:w="2136"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116</w:t>
            </w:r>
          </w:p>
        </w:tc>
        <w:tc>
          <w:tcPr>
            <w:tcW w:w="1950"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14</w:t>
            </w:r>
          </w:p>
        </w:tc>
      </w:tr>
      <w:tr w:rsidR="00E82B25" w:rsidRPr="003B6E11" w:rsidTr="002D015D">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adjustRightInd w:val="0"/>
              <w:spacing w:before="60" w:after="60" w:line="240" w:lineRule="atLeast"/>
              <w:rPr>
                <w:rFonts w:cs="Arial"/>
                <w:noProof/>
                <w:sz w:val="18"/>
                <w:szCs w:val="18"/>
                <w:lang w:val="cs-CZ"/>
              </w:rPr>
            </w:pPr>
          </w:p>
        </w:tc>
        <w:tc>
          <w:tcPr>
            <w:tcW w:w="1393" w:type="dxa"/>
            <w:vMerge/>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adjustRightInd w:val="0"/>
              <w:spacing w:before="60" w:after="60" w:line="240" w:lineRule="atLeast"/>
              <w:rPr>
                <w:rFonts w:cs="Arial"/>
                <w:noProof/>
                <w:sz w:val="18"/>
                <w:szCs w:val="18"/>
                <w:lang w:val="cs-CZ"/>
              </w:rPr>
            </w:pPr>
          </w:p>
        </w:tc>
        <w:tc>
          <w:tcPr>
            <w:tcW w:w="5664" w:type="dxa"/>
            <w:gridSpan w:val="3"/>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both"/>
              <w:rPr>
                <w:rFonts w:cs="Arial"/>
                <w:noProof/>
                <w:sz w:val="18"/>
                <w:szCs w:val="18"/>
                <w:lang w:val="cs-CZ"/>
              </w:rPr>
            </w:pPr>
            <w:r w:rsidRPr="003B6E11">
              <w:rPr>
                <w:noProof/>
                <w:sz w:val="18"/>
                <w:lang w:val="cs-CZ"/>
              </w:rPr>
              <w:t>U otěží košových plachet jsou nezbytné pružné spojovací prvky.</w:t>
            </w:r>
          </w:p>
        </w:tc>
      </w:tr>
      <w:tr w:rsidR="00E82B25" w:rsidRPr="003B6E11" w:rsidTr="002D015D">
        <w:trPr>
          <w:cantSplit/>
          <w:jc w:val="center"/>
        </w:trPr>
        <w:tc>
          <w:tcPr>
            <w:tcW w:w="2229" w:type="dxa"/>
            <w:vMerge/>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adjustRightInd w:val="0"/>
              <w:spacing w:before="60" w:after="60" w:line="240" w:lineRule="atLeast"/>
              <w:rPr>
                <w:rFonts w:cs="Arial"/>
                <w:noProof/>
                <w:sz w:val="18"/>
                <w:szCs w:val="18"/>
                <w:lang w:val="cs-CZ"/>
              </w:rPr>
            </w:pPr>
          </w:p>
        </w:tc>
        <w:tc>
          <w:tcPr>
            <w:tcW w:w="1393"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Vlákno (PP)</w:t>
            </w:r>
          </w:p>
        </w:tc>
        <w:tc>
          <w:tcPr>
            <w:tcW w:w="5664" w:type="dxa"/>
            <w:gridSpan w:val="3"/>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both"/>
              <w:rPr>
                <w:rFonts w:cs="Arial"/>
                <w:noProof/>
                <w:sz w:val="18"/>
                <w:szCs w:val="18"/>
                <w:lang w:val="cs-CZ"/>
              </w:rPr>
            </w:pPr>
            <w:r w:rsidRPr="003B6E11">
              <w:rPr>
                <w:noProof/>
                <w:sz w:val="18"/>
                <w:lang w:val="cs-CZ"/>
              </w:rPr>
              <w:t>Průměr lana nejméně 18 mm a nejméně tři lanovnice. Je-li plocha plachet větší než 60 m</w:t>
            </w:r>
            <w:r w:rsidRPr="003B6E11">
              <w:rPr>
                <w:noProof/>
                <w:sz w:val="18"/>
                <w:vertAlign w:val="superscript"/>
                <w:lang w:val="cs-CZ"/>
              </w:rPr>
              <w:t>2</w:t>
            </w:r>
            <w:r w:rsidRPr="003B6E11">
              <w:rPr>
                <w:noProof/>
                <w:sz w:val="18"/>
                <w:lang w:val="cs-CZ"/>
              </w:rPr>
              <w:t>, jedna lanovnice na 20 m</w:t>
            </w:r>
            <w:r w:rsidRPr="003B6E11">
              <w:rPr>
                <w:noProof/>
                <w:sz w:val="18"/>
                <w:vertAlign w:val="superscript"/>
                <w:lang w:val="cs-CZ"/>
              </w:rPr>
              <w:t>2</w:t>
            </w:r>
            <w:r w:rsidRPr="003B6E11">
              <w:rPr>
                <w:noProof/>
                <w:sz w:val="18"/>
                <w:lang w:val="cs-CZ"/>
              </w:rPr>
              <w:t>.</w:t>
            </w:r>
          </w:p>
        </w:tc>
      </w:tr>
    </w:tbl>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2.</w:t>
      </w:r>
      <w:r w:rsidRPr="003B6E11">
        <w:rPr>
          <w:lang w:val="cs-CZ"/>
        </w:rPr>
        <w:tab/>
        <w:t>Pohyblivá takeláž, která tvoří součást stěhoví, musí mít pevnost v tahu, která odpovídá pevnosti příslušného stěhu nebo úponů.</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3.</w:t>
      </w:r>
      <w:r w:rsidRPr="003B6E11">
        <w:rPr>
          <w:lang w:val="cs-CZ"/>
        </w:rPr>
        <w:tab/>
        <w:t>Jsou-li použity jiné materiály než materiály uvedené v odstavci 1, musí být dodrženy hodnoty pevnosti uvedené v tabulce v odstavci 1.</w:t>
      </w:r>
    </w:p>
    <w:p w:rsidR="00E82B25" w:rsidRPr="003B6E11" w:rsidRDefault="00E82B25" w:rsidP="00E82B25">
      <w:pPr>
        <w:pStyle w:val="ESch"/>
        <w:rPr>
          <w:noProof/>
          <w:szCs w:val="20"/>
          <w:lang w:val="cs-CZ"/>
        </w:rPr>
      </w:pPr>
    </w:p>
    <w:p w:rsidR="00E82B25" w:rsidRPr="003B6E11" w:rsidRDefault="00E82B25" w:rsidP="00E82B25">
      <w:pPr>
        <w:pStyle w:val="ESchpar"/>
        <w:rPr>
          <w:rFonts w:cs="Arial"/>
          <w:lang w:val="cs-CZ"/>
        </w:rPr>
      </w:pPr>
      <w:r w:rsidRPr="003B6E11">
        <w:rPr>
          <w:lang w:val="cs-CZ"/>
        </w:rPr>
        <w:t>Vláknová lana z polyethylenu nelze použít.</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Titre3"/>
        <w:rPr>
          <w:rFonts w:cs="Arial"/>
          <w:i/>
          <w:lang w:val="cs-CZ"/>
        </w:rPr>
      </w:pPr>
      <w:bookmarkStart w:id="408" w:name="_Toc491854201"/>
      <w:bookmarkStart w:id="409" w:name="_Toc535417107"/>
      <w:r w:rsidRPr="003B6E11">
        <w:rPr>
          <w:lang w:val="cs-CZ"/>
        </w:rPr>
        <w:t>Článek 20.16</w:t>
      </w:r>
      <w:r w:rsidRPr="003B6E11">
        <w:rPr>
          <w:lang w:val="cs-CZ"/>
        </w:rPr>
        <w:br/>
      </w:r>
      <w:r w:rsidRPr="003B6E11">
        <w:rPr>
          <w:i/>
          <w:noProof/>
          <w:lang w:val="cs-CZ"/>
        </w:rPr>
        <w:t>Kování a součásti takeláže</w:t>
      </w:r>
      <w:bookmarkEnd w:id="408"/>
      <w:bookmarkEnd w:id="409"/>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1.</w:t>
      </w:r>
      <w:r w:rsidRPr="003B6E11">
        <w:rPr>
          <w:lang w:val="cs-CZ"/>
        </w:rPr>
        <w:tab/>
        <w:t>Jsou-li použita lana z ocelových drátů nebo vláknová lana, průměr lanovnic (měřeno od středu lana ke středu lana) musí splňovat tyto minimální požadavky:</w:t>
      </w:r>
    </w:p>
    <w:p w:rsidR="00E82B25" w:rsidRPr="003B6E11" w:rsidRDefault="00E82B25" w:rsidP="00E82B25">
      <w:pPr>
        <w:pStyle w:val="ESch"/>
        <w:rPr>
          <w:noProof/>
          <w:szCs w:val="20"/>
          <w:lang w:val="cs-CZ"/>
        </w:rPr>
      </w:pPr>
    </w:p>
    <w:tbl>
      <w:tblPr>
        <w:tblW w:w="0" w:type="auto"/>
        <w:jc w:val="center"/>
        <w:tblLayout w:type="fixed"/>
        <w:tblLook w:val="0000" w:firstRow="0" w:lastRow="0" w:firstColumn="0" w:lastColumn="0" w:noHBand="0" w:noVBand="0"/>
      </w:tblPr>
      <w:tblGrid>
        <w:gridCol w:w="2268"/>
        <w:gridCol w:w="567"/>
        <w:gridCol w:w="567"/>
        <w:gridCol w:w="567"/>
        <w:gridCol w:w="567"/>
        <w:gridCol w:w="567"/>
        <w:gridCol w:w="567"/>
        <w:gridCol w:w="567"/>
      </w:tblGrid>
      <w:tr w:rsidR="00E82B25" w:rsidRPr="003B6E11" w:rsidTr="002D015D">
        <w:trPr>
          <w:cantSplit/>
          <w:jc w:val="center"/>
        </w:trPr>
        <w:tc>
          <w:tcPr>
            <w:tcW w:w="2268"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Ocelový drát (mm)</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6</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7</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8</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9</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10</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11</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12</w:t>
            </w:r>
          </w:p>
        </w:tc>
      </w:tr>
      <w:tr w:rsidR="00E82B25" w:rsidRPr="003B6E11" w:rsidTr="002D015D">
        <w:trPr>
          <w:cantSplit/>
          <w:jc w:val="center"/>
        </w:trPr>
        <w:tc>
          <w:tcPr>
            <w:tcW w:w="2268"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Vlákno (mm)</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16</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18</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20</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22</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24</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26</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28</w:t>
            </w:r>
          </w:p>
        </w:tc>
      </w:tr>
      <w:tr w:rsidR="00E82B25" w:rsidRPr="003B6E11" w:rsidTr="002D015D">
        <w:trPr>
          <w:cantSplit/>
          <w:jc w:val="center"/>
        </w:trPr>
        <w:tc>
          <w:tcPr>
            <w:tcW w:w="2268"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rPr>
                <w:rFonts w:cs="Arial"/>
                <w:noProof/>
                <w:sz w:val="18"/>
                <w:szCs w:val="18"/>
                <w:lang w:val="cs-CZ"/>
              </w:rPr>
            </w:pPr>
            <w:r w:rsidRPr="003B6E11">
              <w:rPr>
                <w:noProof/>
                <w:sz w:val="18"/>
                <w:lang w:val="cs-CZ"/>
              </w:rPr>
              <w:t>Lanovnice (mm)</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100</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110</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120</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130</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145</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155</w:t>
            </w:r>
          </w:p>
        </w:tc>
        <w:tc>
          <w:tcPr>
            <w:tcW w:w="567" w:type="dxa"/>
            <w:tcBorders>
              <w:top w:val="single" w:sz="2" w:space="0" w:color="auto"/>
              <w:left w:val="single" w:sz="2" w:space="0" w:color="auto"/>
              <w:bottom w:val="single" w:sz="2" w:space="0" w:color="auto"/>
              <w:right w:val="single" w:sz="2" w:space="0" w:color="auto"/>
            </w:tcBorders>
            <w:vAlign w:val="center"/>
          </w:tcPr>
          <w:p w:rsidR="00E82B25" w:rsidRPr="003B6E11" w:rsidRDefault="00E82B25" w:rsidP="002D015D">
            <w:pPr>
              <w:pStyle w:val="NormalLeft"/>
              <w:spacing w:before="60" w:after="60" w:line="240" w:lineRule="atLeast"/>
              <w:jc w:val="right"/>
              <w:rPr>
                <w:rFonts w:cs="Arial"/>
                <w:noProof/>
                <w:sz w:val="18"/>
                <w:szCs w:val="18"/>
                <w:lang w:val="cs-CZ"/>
              </w:rPr>
            </w:pPr>
            <w:r w:rsidRPr="003B6E11">
              <w:rPr>
                <w:noProof/>
                <w:sz w:val="18"/>
                <w:lang w:val="cs-CZ"/>
              </w:rPr>
              <w:t>165</w:t>
            </w:r>
          </w:p>
        </w:tc>
      </w:tr>
    </w:tbl>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2.</w:t>
      </w:r>
      <w:r w:rsidRPr="003B6E11">
        <w:rPr>
          <w:lang w:val="cs-CZ"/>
        </w:rPr>
        <w:tab/>
        <w:t>Odchylně od odstavce 1 může být průměr lanovnic roven šestinásobku průměru ocelového drátu, pokud se ocelový drát nepohybuje přes lanovnice trvale.</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 xml:space="preserve">3. </w:t>
      </w:r>
      <w:r w:rsidRPr="003B6E11">
        <w:rPr>
          <w:lang w:val="cs-CZ"/>
        </w:rPr>
        <w:tab/>
        <w:t>Pevnost v tahu kování (např. vidlic, kulatých ok, napínačů, destiček s otvory, svorníků, kroužků a spojovacích článků) musí odpovídat síle pevnosti pevné nebo pohyblivé takeláže, která je k nim připevněna.</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4.</w:t>
      </w:r>
      <w:r w:rsidRPr="003B6E11">
        <w:rPr>
          <w:lang w:val="cs-CZ"/>
        </w:rPr>
        <w:tab/>
        <w:t>Upevnění úchytů stěhů a úpon musí být navrženo s ohledem na síly, které na ně působí.</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5.</w:t>
      </w:r>
      <w:r w:rsidRPr="003B6E11">
        <w:rPr>
          <w:lang w:val="cs-CZ"/>
        </w:rPr>
        <w:tab/>
        <w:t>Ke každému oku lze připojit pouze jeden spojovací článek společně s příslušným stěhem nebo úponem.</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6.</w:t>
      </w:r>
      <w:r w:rsidRPr="003B6E11">
        <w:rPr>
          <w:lang w:val="cs-CZ"/>
        </w:rPr>
        <w:tab/>
        <w:t>Kladky spouští a výložných lan musí být bezpečně upevněny na stěžeň a otočné paprskovité úvazy používané za tímto účelem musí být v dobrém stavu.</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7.</w:t>
      </w:r>
      <w:r w:rsidRPr="003B6E11">
        <w:rPr>
          <w:lang w:val="cs-CZ"/>
        </w:rPr>
        <w:tab/>
        <w:t>Upevnění svorníků s okem, oporek, ovíjecích trnů a stěžňových lavic musí být navrženo s ohledem na síly, které na ně působí.</w:t>
      </w:r>
    </w:p>
    <w:p w:rsidR="00E82B25" w:rsidRPr="003B6E11" w:rsidRDefault="00E82B25" w:rsidP="00E82B25">
      <w:pPr>
        <w:pStyle w:val="ESch"/>
        <w:rPr>
          <w:rFonts w:cs="Arial"/>
          <w:szCs w:val="20"/>
          <w:lang w:val="cs-CZ"/>
        </w:rPr>
      </w:pPr>
      <w:r w:rsidRPr="003B6E11">
        <w:rPr>
          <w:lang w:val="cs-CZ"/>
        </w:rPr>
        <w:br w:type="page"/>
      </w:r>
    </w:p>
    <w:p w:rsidR="00E82B25" w:rsidRPr="003B6E11" w:rsidRDefault="00E82B25" w:rsidP="00E82B25">
      <w:pPr>
        <w:pStyle w:val="ES-Titre3"/>
        <w:rPr>
          <w:rFonts w:cs="Arial"/>
          <w:i/>
          <w:lang w:val="cs-CZ"/>
        </w:rPr>
      </w:pPr>
      <w:bookmarkStart w:id="410" w:name="_Toc491854202"/>
      <w:bookmarkStart w:id="411" w:name="_Toc535417108"/>
      <w:r w:rsidRPr="003B6E11">
        <w:rPr>
          <w:lang w:val="cs-CZ"/>
        </w:rPr>
        <w:t>Článek 20.17</w:t>
      </w:r>
      <w:r w:rsidRPr="003B6E11">
        <w:rPr>
          <w:lang w:val="cs-CZ"/>
        </w:rPr>
        <w:br/>
      </w:r>
      <w:r w:rsidRPr="003B6E11">
        <w:rPr>
          <w:i/>
          <w:noProof/>
          <w:lang w:val="cs-CZ"/>
        </w:rPr>
        <w:t>Plachty</w:t>
      </w:r>
      <w:bookmarkEnd w:id="410"/>
      <w:bookmarkEnd w:id="411"/>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1.</w:t>
      </w:r>
      <w:r w:rsidRPr="003B6E11">
        <w:rPr>
          <w:lang w:val="cs-CZ"/>
        </w:rPr>
        <w:tab/>
        <w:t>Je nutno zajistit, aby se plachty daly svinout jednoduše, rychle a bezpečně.</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2.</w:t>
      </w:r>
      <w:r w:rsidRPr="003B6E11">
        <w:rPr>
          <w:lang w:val="cs-CZ"/>
        </w:rPr>
        <w:tab/>
        <w:t>Plocha plachet musí odpovídat typu plavidla a výtlaku vody.</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Titre3"/>
        <w:rPr>
          <w:rFonts w:cs="Arial"/>
          <w:i/>
          <w:lang w:val="cs-CZ"/>
        </w:rPr>
      </w:pPr>
      <w:bookmarkStart w:id="412" w:name="_Toc491854203"/>
      <w:bookmarkStart w:id="413" w:name="_Toc535417109"/>
      <w:r w:rsidRPr="003B6E11">
        <w:rPr>
          <w:lang w:val="cs-CZ"/>
        </w:rPr>
        <w:t>Článek 20.18</w:t>
      </w:r>
      <w:r w:rsidRPr="003B6E11">
        <w:rPr>
          <w:lang w:val="cs-CZ"/>
        </w:rPr>
        <w:br/>
      </w:r>
      <w:r w:rsidRPr="003B6E11">
        <w:rPr>
          <w:i/>
          <w:noProof/>
          <w:lang w:val="cs-CZ"/>
        </w:rPr>
        <w:t>Výstroj</w:t>
      </w:r>
      <w:bookmarkEnd w:id="412"/>
      <w:bookmarkEnd w:id="413"/>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 xml:space="preserve">1. </w:t>
      </w:r>
      <w:r w:rsidRPr="003B6E11">
        <w:rPr>
          <w:lang w:val="cs-CZ"/>
        </w:rPr>
        <w:tab/>
        <w:t>Plavidla, která jsou vybavena čelenní čnělkou nebo příďovým čelenem, musí mít kosatkovou síť a přiměřený počet vhodných upínadel a napínacích zařízení.</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2.</w:t>
      </w:r>
      <w:r w:rsidRPr="003B6E11">
        <w:rPr>
          <w:lang w:val="cs-CZ"/>
        </w:rPr>
        <w:tab/>
        <w:t>Od zařízení podle odstavce 1 lze upustit, je-li čelenní čnělka nebo příďový čelen opatřen ručním úvazkem a šlapnicí přiměřeně dimenzovanou pro připojení bezpečnostního pásu, který se musí nacházet na plavidle.</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3.</w:t>
      </w:r>
      <w:r w:rsidRPr="003B6E11">
        <w:rPr>
          <w:lang w:val="cs-CZ"/>
        </w:rPr>
        <w:tab/>
        <w:t>Pro práci v takeláži musí být k dispozici stolice pro loďmistra.</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Titre3"/>
        <w:rPr>
          <w:rFonts w:cs="Arial"/>
          <w:i/>
          <w:lang w:val="cs-CZ"/>
        </w:rPr>
      </w:pPr>
      <w:bookmarkStart w:id="414" w:name="_Toc491854204"/>
      <w:bookmarkStart w:id="415" w:name="_Toc535417110"/>
      <w:r w:rsidRPr="003B6E11">
        <w:rPr>
          <w:lang w:val="cs-CZ"/>
        </w:rPr>
        <w:t>Článek 20.19</w:t>
      </w:r>
      <w:r w:rsidRPr="003B6E11">
        <w:rPr>
          <w:lang w:val="cs-CZ"/>
        </w:rPr>
        <w:br/>
      </w:r>
      <w:r w:rsidRPr="003B6E11">
        <w:rPr>
          <w:i/>
          <w:noProof/>
          <w:lang w:val="cs-CZ"/>
        </w:rPr>
        <w:t>Zkoušky</w:t>
      </w:r>
      <w:bookmarkEnd w:id="414"/>
      <w:bookmarkEnd w:id="415"/>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1.</w:t>
      </w:r>
      <w:r w:rsidRPr="003B6E11">
        <w:rPr>
          <w:lang w:val="cs-CZ"/>
        </w:rPr>
        <w:tab/>
        <w:t>Takeláž musí zkontrolovat subjekt pověřený prohlídkami každého 2,5 roku. Zkouška musí zahrnovat alespoň:</w:t>
      </w:r>
    </w:p>
    <w:p w:rsidR="00E82B25" w:rsidRPr="003B6E11" w:rsidRDefault="00E82B25" w:rsidP="00E82B25">
      <w:pPr>
        <w:pStyle w:val="ESlet"/>
        <w:rPr>
          <w:rFonts w:cs="Arial"/>
          <w:lang w:val="cs-CZ"/>
        </w:rPr>
      </w:pPr>
      <w:r w:rsidRPr="003B6E11">
        <w:rPr>
          <w:lang w:val="cs-CZ"/>
        </w:rPr>
        <w:t>a)</w:t>
      </w:r>
      <w:r w:rsidRPr="003B6E11">
        <w:rPr>
          <w:lang w:val="cs-CZ"/>
        </w:rPr>
        <w:tab/>
        <w:t>plachty, včetně plachtových lemů, otěžových rohů a ok ke kasání;</w:t>
      </w:r>
    </w:p>
    <w:p w:rsidR="00E82B25" w:rsidRPr="003B6E11" w:rsidRDefault="00E82B25" w:rsidP="00E82B25">
      <w:pPr>
        <w:pStyle w:val="ESlet"/>
        <w:rPr>
          <w:rFonts w:cs="Arial"/>
          <w:lang w:val="cs-CZ"/>
        </w:rPr>
      </w:pPr>
      <w:r w:rsidRPr="003B6E11">
        <w:rPr>
          <w:lang w:val="cs-CZ"/>
        </w:rPr>
        <w:t>b)</w:t>
      </w:r>
      <w:r w:rsidRPr="003B6E11">
        <w:rPr>
          <w:lang w:val="cs-CZ"/>
        </w:rPr>
        <w:tab/>
        <w:t>stav stěžňů a lodní kulatiny;</w:t>
      </w:r>
    </w:p>
    <w:p w:rsidR="00E82B25" w:rsidRPr="003B6E11" w:rsidRDefault="00E82B25" w:rsidP="00E82B25">
      <w:pPr>
        <w:pStyle w:val="ESlet"/>
        <w:rPr>
          <w:rFonts w:cs="Arial"/>
          <w:lang w:val="cs-CZ"/>
        </w:rPr>
      </w:pPr>
      <w:r w:rsidRPr="003B6E11">
        <w:rPr>
          <w:lang w:val="cs-CZ"/>
        </w:rPr>
        <w:t>c)</w:t>
      </w:r>
      <w:r w:rsidRPr="003B6E11">
        <w:rPr>
          <w:lang w:val="cs-CZ"/>
        </w:rPr>
        <w:tab/>
        <w:t>stav pevné a pohyblivé takeláže včetně spojení drátěných lan;</w:t>
      </w:r>
    </w:p>
    <w:p w:rsidR="00E82B25" w:rsidRPr="003B6E11" w:rsidRDefault="00E82B25" w:rsidP="00E82B25">
      <w:pPr>
        <w:pStyle w:val="ESlet"/>
        <w:rPr>
          <w:rFonts w:cs="Arial"/>
          <w:lang w:val="cs-CZ"/>
        </w:rPr>
      </w:pPr>
      <w:r w:rsidRPr="003B6E11">
        <w:rPr>
          <w:lang w:val="cs-CZ"/>
        </w:rPr>
        <w:t>d)</w:t>
      </w:r>
      <w:r w:rsidRPr="003B6E11">
        <w:rPr>
          <w:lang w:val="cs-CZ"/>
        </w:rPr>
        <w:tab/>
        <w:t>zařízení k rychlému a bezpečnému svinutí plachet;</w:t>
      </w:r>
    </w:p>
    <w:p w:rsidR="00E82B25" w:rsidRPr="003B6E11" w:rsidRDefault="00E82B25" w:rsidP="00E82B25">
      <w:pPr>
        <w:pStyle w:val="ESlet"/>
        <w:rPr>
          <w:rFonts w:cs="Arial"/>
          <w:lang w:val="cs-CZ"/>
        </w:rPr>
      </w:pPr>
      <w:r w:rsidRPr="003B6E11">
        <w:rPr>
          <w:lang w:val="cs-CZ"/>
        </w:rPr>
        <w:t>e)</w:t>
      </w:r>
      <w:r w:rsidRPr="003B6E11">
        <w:rPr>
          <w:lang w:val="cs-CZ"/>
        </w:rPr>
        <w:tab/>
        <w:t>bezpečné upevnění kladek spouští a výložných lan;</w:t>
      </w:r>
    </w:p>
    <w:p w:rsidR="00E82B25" w:rsidRPr="003B6E11" w:rsidRDefault="00E82B25" w:rsidP="00E82B25">
      <w:pPr>
        <w:pStyle w:val="ESlet"/>
        <w:rPr>
          <w:rFonts w:cs="Arial"/>
          <w:lang w:val="cs-CZ"/>
        </w:rPr>
      </w:pPr>
      <w:r w:rsidRPr="003B6E11">
        <w:rPr>
          <w:lang w:val="cs-CZ"/>
        </w:rPr>
        <w:t>f)</w:t>
      </w:r>
      <w:r w:rsidRPr="003B6E11">
        <w:rPr>
          <w:lang w:val="cs-CZ"/>
        </w:rPr>
        <w:tab/>
        <w:t>upevnění stěžňových tulejů a dalších upevňovacích bodů pevné a pohyblivé takeláže, které jsou připojeny k plavidlu;</w:t>
      </w:r>
    </w:p>
    <w:p w:rsidR="00E82B25" w:rsidRPr="003B6E11" w:rsidRDefault="00E82B25" w:rsidP="00E82B25">
      <w:pPr>
        <w:pStyle w:val="ESlet"/>
        <w:rPr>
          <w:rFonts w:cs="Arial"/>
          <w:lang w:val="cs-CZ"/>
        </w:rPr>
      </w:pPr>
      <w:r w:rsidRPr="003B6E11">
        <w:rPr>
          <w:lang w:val="cs-CZ"/>
        </w:rPr>
        <w:t>g)</w:t>
      </w:r>
      <w:r w:rsidRPr="003B6E11">
        <w:rPr>
          <w:lang w:val="cs-CZ"/>
        </w:rPr>
        <w:tab/>
        <w:t>navijáky k ovládání plachet;</w:t>
      </w:r>
    </w:p>
    <w:p w:rsidR="00E82B25" w:rsidRPr="003B6E11" w:rsidRDefault="00E82B25" w:rsidP="00E82B25">
      <w:pPr>
        <w:pStyle w:val="ESlet"/>
        <w:rPr>
          <w:rFonts w:cs="Arial"/>
          <w:lang w:val="cs-CZ"/>
        </w:rPr>
      </w:pPr>
      <w:r w:rsidRPr="003B6E11">
        <w:rPr>
          <w:lang w:val="cs-CZ"/>
        </w:rPr>
        <w:t>h)</w:t>
      </w:r>
      <w:r w:rsidRPr="003B6E11">
        <w:rPr>
          <w:lang w:val="cs-CZ"/>
        </w:rPr>
        <w:tab/>
        <w:t>ostatní zařízení za účelem plachtění, např. boční ploutve a zařízení k jejich ovládání;</w:t>
      </w:r>
    </w:p>
    <w:p w:rsidR="00E82B25" w:rsidRPr="003B6E11" w:rsidRDefault="00E82B25" w:rsidP="00E82B25">
      <w:pPr>
        <w:pStyle w:val="ESlet"/>
        <w:rPr>
          <w:rFonts w:cs="Arial"/>
          <w:lang w:val="cs-CZ"/>
        </w:rPr>
      </w:pPr>
      <w:r w:rsidRPr="003B6E11">
        <w:rPr>
          <w:lang w:val="cs-CZ"/>
        </w:rPr>
        <w:t>i)</w:t>
      </w:r>
      <w:r w:rsidRPr="003B6E11">
        <w:rPr>
          <w:lang w:val="cs-CZ"/>
        </w:rPr>
        <w:tab/>
        <w:t>opatření, kterými se zamezuje tření lodní kulatiny, pevné a pohyblivé takeláže a plachet;</w:t>
      </w:r>
    </w:p>
    <w:p w:rsidR="00E82B25" w:rsidRPr="003B6E11" w:rsidRDefault="00E82B25" w:rsidP="00E82B25">
      <w:pPr>
        <w:pStyle w:val="ESlet"/>
        <w:rPr>
          <w:rFonts w:cs="Arial"/>
          <w:lang w:val="cs-CZ"/>
        </w:rPr>
      </w:pPr>
      <w:r w:rsidRPr="003B6E11">
        <w:rPr>
          <w:lang w:val="cs-CZ"/>
        </w:rPr>
        <w:t>j)</w:t>
      </w:r>
      <w:r w:rsidRPr="003B6E11">
        <w:rPr>
          <w:lang w:val="cs-CZ"/>
        </w:rPr>
        <w:tab/>
        <w:t>zařízení podle článku 20.18.</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2.</w:t>
      </w:r>
      <w:r w:rsidRPr="003B6E11">
        <w:rPr>
          <w:lang w:val="cs-CZ"/>
        </w:rPr>
        <w:tab/>
        <w:t>Část dřevěného stěžně, která prochází palubou a která se nachází pod palubou, se musí kontrolovat v intervalech, které stanoví subjekt pověřený prohlídkami, nejpozději však při každé pravidelné prohlídce. K tomuto účelu se stěžeň musí vytáhnout.</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3.</w:t>
      </w:r>
      <w:r w:rsidRPr="003B6E11">
        <w:rPr>
          <w:lang w:val="cs-CZ"/>
        </w:rPr>
        <w:tab/>
        <w:t>Na plavidle se musí nacházet osvědčení o poslední prohlídce provedené podle odstavce 1, které vystaví subjekt pověřený prohlídkami, s uvedením data a s podpisem.</w:t>
      </w: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Titre2"/>
        <w:rPr>
          <w:szCs w:val="24"/>
        </w:rPr>
      </w:pPr>
      <w:bookmarkStart w:id="416" w:name="_Toc491854205"/>
      <w:bookmarkStart w:id="417" w:name="_Toc535417111"/>
      <w:r w:rsidRPr="003B6E11">
        <w:t>Kapitola 21</w:t>
      </w:r>
      <w:r w:rsidRPr="003B6E11">
        <w:br/>
      </w:r>
      <w:r w:rsidRPr="003B6E11">
        <w:rPr>
          <w:noProof/>
          <w:sz w:val="22"/>
        </w:rPr>
        <w:t>Zvláštní ustanovení pro plavidla, která jsou určena k použití jako součást tlačné nebo vlečné sestavy nebo bočně svázané sestavy</w:t>
      </w:r>
      <w:bookmarkEnd w:id="416"/>
      <w:bookmarkEnd w:id="417"/>
    </w:p>
    <w:p w:rsidR="00E82B25" w:rsidRPr="003B6E11" w:rsidRDefault="00E82B25" w:rsidP="00E82B25">
      <w:pPr>
        <w:rPr>
          <w:lang w:val="cs-CZ"/>
        </w:rPr>
      </w:pPr>
    </w:p>
    <w:p w:rsidR="00E82B25" w:rsidRPr="003B6E11" w:rsidRDefault="00E82B25" w:rsidP="00E82B25">
      <w:pPr>
        <w:pStyle w:val="ES-Titre3"/>
        <w:rPr>
          <w:lang w:val="cs-CZ"/>
        </w:rPr>
      </w:pPr>
      <w:bookmarkStart w:id="418" w:name="_Toc491854206"/>
      <w:bookmarkStart w:id="419" w:name="_Toc535417112"/>
      <w:r w:rsidRPr="003B6E11">
        <w:rPr>
          <w:lang w:val="cs-CZ"/>
        </w:rPr>
        <w:t>Článek 21.01</w:t>
      </w:r>
      <w:r w:rsidRPr="003B6E11">
        <w:rPr>
          <w:lang w:val="cs-CZ"/>
        </w:rPr>
        <w:br/>
      </w:r>
      <w:r w:rsidRPr="003B6E11">
        <w:rPr>
          <w:i/>
          <w:noProof/>
          <w:lang w:val="cs-CZ"/>
        </w:rPr>
        <w:t>Plavidla vhodná k tlačení</w:t>
      </w:r>
      <w:bookmarkEnd w:id="418"/>
      <w:bookmarkEnd w:id="419"/>
    </w:p>
    <w:p w:rsidR="00E82B25" w:rsidRPr="003B6E11" w:rsidRDefault="00E82B25" w:rsidP="00E82B25">
      <w:pPr>
        <w:pStyle w:val="ESch"/>
        <w:rPr>
          <w:noProof/>
          <w:lang w:val="cs-CZ"/>
        </w:rPr>
      </w:pPr>
    </w:p>
    <w:p w:rsidR="00E82B25" w:rsidRPr="003B6E11" w:rsidRDefault="00E82B25" w:rsidP="00E82B25">
      <w:pPr>
        <w:pStyle w:val="ESch"/>
        <w:rPr>
          <w:rFonts w:eastAsia="Calibri" w:cs="Arial"/>
          <w:szCs w:val="18"/>
          <w:lang w:val="cs-CZ"/>
        </w:rPr>
      </w:pPr>
      <w:r w:rsidRPr="003B6E11">
        <w:rPr>
          <w:lang w:val="cs-CZ"/>
        </w:rPr>
        <w:t xml:space="preserve">1. </w:t>
      </w:r>
      <w:r w:rsidRPr="003B6E11">
        <w:rPr>
          <w:lang w:val="cs-CZ"/>
        </w:rPr>
        <w:tab/>
        <w:t>Plavidlo, které má být použito k tlačení, musí být opatřeno vhodným tlačným zařízením. Musí být navrženo a vybaveno tak, aby:</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posádky mohly snadno a bezpečně přecházet na tlačené plavidlo, je-li připojeno spojovací zařízení;</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mohlo zaujmout pevnou pozici s ohledem na bočně přivázané plavidlo;</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zabraňovalo vzájemnému pohybu mezi plavidly.</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2.</w:t>
      </w:r>
      <w:r w:rsidRPr="003B6E11">
        <w:rPr>
          <w:lang w:val="cs-CZ"/>
        </w:rPr>
        <w:tab/>
        <w:t>Jsou-li plavidla spojena lany, musí být tlačný remorkér vybaven nejméně dvěma speciálními navijáky nebo rovnocenným spojovacím zařízením k napínání lan.</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 xml:space="preserve">3. </w:t>
      </w:r>
      <w:r w:rsidRPr="003B6E11">
        <w:rPr>
          <w:lang w:val="cs-CZ"/>
        </w:rPr>
        <w:tab/>
        <w:t>Spojovací zařízení musí umožnit pevné spojení s tlačeným plavidlem.</w:t>
      </w:r>
    </w:p>
    <w:p w:rsidR="00E82B25" w:rsidRPr="003B6E11" w:rsidRDefault="00E82B25" w:rsidP="00E82B25">
      <w:pPr>
        <w:pStyle w:val="ESch"/>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Pokud se sestavy skládají z tlačného remorkéru a jednoho tlačeného plavidla, mohou spojovací zařízení umožňovat řízené kloubové spojení. Potřebné pohonné jednotky musí snadno absorbovat síly, které mají být přenášeny, a musí být možné je snadno a bezpečně ovládat. Na tyto pohonné jednotky se použijí obdobně články 6.02 až 6.04.</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 xml:space="preserve">4. </w:t>
      </w:r>
      <w:r w:rsidRPr="003B6E11">
        <w:rPr>
          <w:lang w:val="cs-CZ"/>
        </w:rPr>
        <w:tab/>
        <w:t>U tlačných remorkérů lze upustit od kolizní přepážky podle čl. 3.03 odst. 1 písm. a).</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p>
    <w:p w:rsidR="00E82B25" w:rsidRPr="003B6E11" w:rsidRDefault="00E82B25" w:rsidP="00E82B25">
      <w:pPr>
        <w:pStyle w:val="ES-Titre3"/>
        <w:rPr>
          <w:rFonts w:cs="Arial"/>
          <w:i/>
          <w:szCs w:val="18"/>
          <w:lang w:val="cs-CZ"/>
        </w:rPr>
      </w:pPr>
      <w:bookmarkStart w:id="420" w:name="_Toc491854207"/>
      <w:bookmarkStart w:id="421" w:name="_Toc535417113"/>
      <w:r w:rsidRPr="003B6E11">
        <w:rPr>
          <w:lang w:val="cs-CZ"/>
        </w:rPr>
        <w:t>Článek 21.02</w:t>
      </w:r>
      <w:r w:rsidRPr="003B6E11">
        <w:rPr>
          <w:lang w:val="cs-CZ"/>
        </w:rPr>
        <w:br/>
      </w:r>
      <w:r w:rsidRPr="003B6E11">
        <w:rPr>
          <w:i/>
          <w:noProof/>
          <w:lang w:val="cs-CZ"/>
        </w:rPr>
        <w:t>Plavidla, která mohou být tlačena</w:t>
      </w:r>
      <w:bookmarkEnd w:id="420"/>
      <w:bookmarkEnd w:id="421"/>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 xml:space="preserve">1. </w:t>
      </w:r>
      <w:r w:rsidRPr="003B6E11">
        <w:rPr>
          <w:lang w:val="cs-CZ"/>
        </w:rPr>
        <w:tab/>
        <w:t>Na tlačné čluny bez kormidelního zařízení, obytných prostor, strojoven nebo kotelen se nevztahují:</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kapitoly 5 až 7 a 15;</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čl. 8.08 odst. 2 až 8, článek 13.02 a čl. 13.08 odst. 1.</w:t>
      </w:r>
    </w:p>
    <w:p w:rsidR="00E82B25" w:rsidRPr="003B6E11" w:rsidRDefault="00E82B25" w:rsidP="00E82B25">
      <w:pPr>
        <w:pStyle w:val="ESch"/>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Existují-li kormidelní zařízení, obytné prostory, strojovny nebo kotelny, platí pro ně příslušné požadavky této normy.</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2.</w:t>
      </w:r>
      <w:r w:rsidRPr="003B6E11">
        <w:rPr>
          <w:lang w:val="cs-CZ"/>
        </w:rPr>
        <w:tab/>
        <w:t xml:space="preserve">Člunové kontejnery, jejichž délka </w:t>
      </w:r>
      <m:oMath>
        <m:r>
          <w:rPr>
            <w:rFonts w:ascii="Cambria Math" w:eastAsia="Calibri" w:hAnsi="Cambria Math"/>
            <w:noProof/>
            <w:lang w:val="cs-CZ"/>
          </w:rPr>
          <m:t>L</m:t>
        </m:r>
      </m:oMath>
      <w:r w:rsidRPr="003B6E11">
        <w:rPr>
          <w:lang w:val="cs-CZ"/>
        </w:rPr>
        <w:t xml:space="preserve"> nepřesahuje 40 m, musí kromě toho splňovat tyto požadavky:</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od kolizních přepážek podle čl. 3.03 odst. 1 lze upustit, pokud jejich čelní stěny mohou pojmout 2,5násobné zatížení, než je stanoveno pro kolizní přepážky u plavidel vnitrozemské plavby se stejným ponorem postavených podle požadavků uznané klasifikační společnosti;</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odchylně od čl. 8.08 odst. 1 nemusí být oddělení dvojitého dna, která jsou obtížně přístupná, odvodnitelná, pokud jejich objem nepřekračuje 5 % výtlaku vody člunového kontejneru při největším přípustném ponoru naloženého plavidla.</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 xml:space="preserve">3. </w:t>
      </w:r>
      <w:r w:rsidRPr="003B6E11">
        <w:rPr>
          <w:lang w:val="cs-CZ"/>
        </w:rPr>
        <w:tab/>
        <w:t>Plavidla, která mají být tlačena, musí být vybavena spojovacím zařízením, které zajišťuje bezpečné připojení k druhému plavidlu.</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p>
    <w:p w:rsidR="00E82B25" w:rsidRPr="003B6E11" w:rsidRDefault="00E82B25" w:rsidP="00E82B25">
      <w:pPr>
        <w:rPr>
          <w:rFonts w:eastAsia="Calibri" w:cs="Arial"/>
          <w:szCs w:val="18"/>
          <w:lang w:val="cs-CZ"/>
        </w:rPr>
      </w:pPr>
      <w:r w:rsidRPr="003B6E11">
        <w:rPr>
          <w:lang w:val="cs-CZ"/>
        </w:rPr>
        <w:br w:type="page"/>
      </w:r>
    </w:p>
    <w:p w:rsidR="00E82B25" w:rsidRPr="003B6E11" w:rsidRDefault="00E82B25" w:rsidP="00E82B25">
      <w:pPr>
        <w:pStyle w:val="ES-Titre3"/>
        <w:rPr>
          <w:rFonts w:cs="Arial"/>
          <w:i/>
          <w:szCs w:val="18"/>
          <w:lang w:val="cs-CZ"/>
        </w:rPr>
      </w:pPr>
      <w:bookmarkStart w:id="422" w:name="_Toc491854208"/>
      <w:bookmarkStart w:id="423" w:name="_Toc535417114"/>
      <w:r w:rsidRPr="003B6E11">
        <w:rPr>
          <w:lang w:val="cs-CZ"/>
        </w:rPr>
        <w:t>Článek 21.03</w:t>
      </w:r>
      <w:r w:rsidRPr="003B6E11">
        <w:rPr>
          <w:lang w:val="cs-CZ"/>
        </w:rPr>
        <w:br/>
      </w:r>
      <w:r w:rsidRPr="003B6E11">
        <w:rPr>
          <w:i/>
          <w:noProof/>
          <w:lang w:val="cs-CZ"/>
        </w:rPr>
        <w:t>Plavidla vhodná k pohonu bočně svázaných sestav</w:t>
      </w:r>
      <w:bookmarkEnd w:id="422"/>
      <w:bookmarkEnd w:id="423"/>
    </w:p>
    <w:p w:rsidR="00E82B25" w:rsidRPr="003B6E11" w:rsidRDefault="00E82B25" w:rsidP="00E82B25">
      <w:pPr>
        <w:pStyle w:val="ESch"/>
        <w:rPr>
          <w:rFonts w:eastAsia="Calibri"/>
          <w:noProof/>
          <w:lang w:val="cs-CZ"/>
        </w:rPr>
      </w:pPr>
    </w:p>
    <w:p w:rsidR="00E82B25" w:rsidRPr="003B6E11" w:rsidRDefault="00E82B25" w:rsidP="00E82B25">
      <w:pPr>
        <w:pStyle w:val="ESgauche"/>
        <w:rPr>
          <w:rFonts w:eastAsia="Calibri" w:cs="Arial"/>
          <w:szCs w:val="18"/>
          <w:lang w:val="cs-CZ"/>
        </w:rPr>
      </w:pPr>
      <w:r w:rsidRPr="003B6E11">
        <w:rPr>
          <w:lang w:val="cs-CZ"/>
        </w:rPr>
        <w:t>Plavidlo, které má vést bočně svázané sestavy, musí být vybaveno pacholaty nebo rovnocenným zařízením, které podle počtu a uspořádání umožňuje bezpečné boční svázání plavidel.</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p>
    <w:p w:rsidR="00E82B25" w:rsidRPr="003B6E11" w:rsidRDefault="00E82B25" w:rsidP="00E82B25">
      <w:pPr>
        <w:pStyle w:val="ES-Titre3"/>
        <w:rPr>
          <w:rFonts w:cs="Arial"/>
          <w:i/>
          <w:szCs w:val="18"/>
          <w:lang w:val="cs-CZ"/>
        </w:rPr>
      </w:pPr>
      <w:bookmarkStart w:id="424" w:name="_Toc491854209"/>
      <w:bookmarkStart w:id="425" w:name="_Toc535417115"/>
      <w:r w:rsidRPr="003B6E11">
        <w:rPr>
          <w:lang w:val="cs-CZ"/>
        </w:rPr>
        <w:t>Článek 21.04</w:t>
      </w:r>
      <w:r w:rsidRPr="003B6E11">
        <w:rPr>
          <w:lang w:val="cs-CZ"/>
        </w:rPr>
        <w:br/>
      </w:r>
      <w:r w:rsidRPr="003B6E11">
        <w:rPr>
          <w:i/>
          <w:noProof/>
          <w:lang w:val="cs-CZ"/>
        </w:rPr>
        <w:t>Plavidla, která mohou být vedena v sestavách</w:t>
      </w:r>
      <w:bookmarkEnd w:id="424"/>
      <w:bookmarkEnd w:id="425"/>
    </w:p>
    <w:p w:rsidR="00E82B25" w:rsidRPr="003B6E11" w:rsidRDefault="00E82B25" w:rsidP="00E82B25">
      <w:pPr>
        <w:pStyle w:val="ESch"/>
        <w:rPr>
          <w:rFonts w:eastAsia="Calibri"/>
          <w:noProof/>
          <w:lang w:val="cs-CZ"/>
        </w:rPr>
      </w:pPr>
    </w:p>
    <w:p w:rsidR="00E82B25" w:rsidRPr="003B6E11" w:rsidRDefault="00E82B25" w:rsidP="00E82B25">
      <w:pPr>
        <w:pStyle w:val="ESgauche"/>
        <w:rPr>
          <w:rFonts w:eastAsia="Calibri" w:cs="Arial"/>
          <w:szCs w:val="18"/>
          <w:lang w:val="cs-CZ"/>
        </w:rPr>
      </w:pPr>
      <w:r w:rsidRPr="003B6E11">
        <w:rPr>
          <w:lang w:val="cs-CZ"/>
        </w:rPr>
        <w:t>Plavidlo, které má být vedeno v sestavách, musí být vybaveno spojovacím zařízením, pacholaty nebo rovnocenným zařízením, které podle počtu a uspořádání umožňuje bezpečné připojení k jinému plavidlu v sestavě.</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p>
    <w:p w:rsidR="00E82B25" w:rsidRPr="003B6E11" w:rsidRDefault="00E82B25" w:rsidP="00E82B25">
      <w:pPr>
        <w:pStyle w:val="ES-Titre3"/>
        <w:rPr>
          <w:rFonts w:cs="Arial"/>
          <w:i/>
          <w:szCs w:val="18"/>
          <w:lang w:val="cs-CZ"/>
        </w:rPr>
      </w:pPr>
      <w:bookmarkStart w:id="426" w:name="_Toc491854210"/>
      <w:bookmarkStart w:id="427" w:name="_Toc535417116"/>
      <w:r w:rsidRPr="003B6E11">
        <w:rPr>
          <w:lang w:val="cs-CZ"/>
        </w:rPr>
        <w:t>Článek 21.05</w:t>
      </w:r>
      <w:r w:rsidRPr="003B6E11">
        <w:rPr>
          <w:lang w:val="cs-CZ"/>
        </w:rPr>
        <w:br/>
      </w:r>
      <w:r w:rsidRPr="003B6E11">
        <w:rPr>
          <w:i/>
          <w:noProof/>
          <w:lang w:val="cs-CZ"/>
        </w:rPr>
        <w:t>Plavidla vhodná k vlečení</w:t>
      </w:r>
      <w:bookmarkEnd w:id="426"/>
      <w:bookmarkEnd w:id="427"/>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w:t>
      </w:r>
      <w:r w:rsidRPr="003B6E11">
        <w:rPr>
          <w:lang w:val="cs-CZ"/>
        </w:rPr>
        <w:tab/>
        <w:t>Plavidla určená k vlečení musí splňovat tyto požadavky:</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vlečné zařízení musí být uspořádáno tak, aby jeho použití neohrozilo bezpečnost plavidla, posádky nebo nákladu;</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vlečené plavidlo a remorkér musí být vybaveny vlečným hákem, který lze bezpečně uvolnit z kormidelny; toto neplatí, pokud konstrukce nebo jiná zařízení brání převrácení;</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vlečné zařízení se skládá z navijáků nebo vlečného háku. Vlečné zařízení musí být umístěno před rovinou vrtule. Tento požadavek se nevztahuje na plavidla, která jsou řízena pohonnými jednotkami jako kormidlovacími vrtulemi nebo cykloidními (Voth-Schneider) vrtulemi;</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odchylně od požadavků písmene c) postačuje u plavidel, která podle příslušných předpisů plavebních orgánů členských států poskytují výhradně pomoc při vlečení plavidlům s motorovým pohonem, vlečné zařízení jako pachole nebo jiné rovnocenné zařízení. Písmeno b) se použije obdobně;</w:t>
      </w:r>
    </w:p>
    <w:p w:rsidR="00E82B25" w:rsidRPr="003B6E11" w:rsidRDefault="00E82B25" w:rsidP="00E82B25">
      <w:pPr>
        <w:pStyle w:val="ESlet"/>
        <w:rPr>
          <w:rFonts w:eastAsia="Calibri" w:cs="Arial"/>
          <w:szCs w:val="18"/>
          <w:lang w:val="cs-CZ"/>
        </w:rPr>
      </w:pPr>
      <w:r w:rsidRPr="003B6E11">
        <w:rPr>
          <w:lang w:val="cs-CZ"/>
        </w:rPr>
        <w:t>e)</w:t>
      </w:r>
      <w:r w:rsidRPr="003B6E11">
        <w:rPr>
          <w:lang w:val="cs-CZ"/>
        </w:rPr>
        <w:tab/>
        <w:t>hrozí-li nebezpečí, že by se vlečná lana mohla zachytit na zádi plavidla, musí být poskytnuty deflektory se zachycovači lana.</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2.</w:t>
      </w:r>
      <w:r w:rsidRPr="003B6E11">
        <w:rPr>
          <w:lang w:val="cs-CZ"/>
        </w:rPr>
        <w:tab/>
        <w:t xml:space="preserve">Plavidlo, jehož délka </w:t>
      </w:r>
      <m:oMath>
        <m:r>
          <w:rPr>
            <w:rFonts w:ascii="Cambria Math" w:eastAsia="Calibri" w:hAnsi="Cambria Math"/>
            <w:noProof/>
            <w:lang w:val="cs-CZ"/>
          </w:rPr>
          <m:t>L</m:t>
        </m:r>
      </m:oMath>
      <w:r w:rsidRPr="003B6E11">
        <w:rPr>
          <w:lang w:val="cs-CZ"/>
        </w:rPr>
        <w:t xml:space="preserve"> přesahuje 86 m, nelze použít k vlečení směrem po proudu.</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p>
    <w:p w:rsidR="00E82B25" w:rsidRPr="003B6E11" w:rsidRDefault="00E82B25" w:rsidP="00E82B25">
      <w:pPr>
        <w:pStyle w:val="ES-Titre3"/>
        <w:rPr>
          <w:rFonts w:cs="Arial"/>
          <w:i/>
          <w:szCs w:val="18"/>
          <w:lang w:val="cs-CZ"/>
        </w:rPr>
      </w:pPr>
      <w:bookmarkStart w:id="428" w:name="_Toc491854211"/>
      <w:bookmarkStart w:id="429" w:name="_Toc535417117"/>
      <w:r w:rsidRPr="003B6E11">
        <w:rPr>
          <w:lang w:val="cs-CZ"/>
        </w:rPr>
        <w:t>Článek 21.06</w:t>
      </w:r>
      <w:r w:rsidRPr="003B6E11">
        <w:rPr>
          <w:lang w:val="cs-CZ"/>
        </w:rPr>
        <w:br/>
      </w:r>
      <w:r w:rsidRPr="003B6E11">
        <w:rPr>
          <w:i/>
          <w:noProof/>
          <w:lang w:val="cs-CZ"/>
        </w:rPr>
        <w:t>Zkušební plavby sestav</w:t>
      </w:r>
      <w:bookmarkEnd w:id="428"/>
      <w:bookmarkEnd w:id="429"/>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1</w:t>
      </w:r>
      <w:r w:rsidRPr="003B6E11">
        <w:rPr>
          <w:lang w:val="cs-CZ"/>
        </w:rPr>
        <w:tab/>
        <w:t>Aby tlačný remorkér nebo motorové plavidlo získal povolení k vedení pevně svázané sestavy, a za účelem zápisu do osvědčení plavidla vnitrozemské plavby rozhodne subjekt pověřený prohlídkami, zda mají být sestavy přistaveny, a provede zkušební plavby podle článku 5.02 u sestavy v požadovaném tvaru nebo požadovaných tvarech, o nichž se subjekt pověřený prohlídkami domnívá, že jsou nejméně příznivé. Sestava musí splnit požadavky stanovené v článcích 5.02 až 5.10.</w:t>
      </w:r>
    </w:p>
    <w:p w:rsidR="00E82B25" w:rsidRPr="003B6E11" w:rsidRDefault="00E82B25" w:rsidP="00E82B25">
      <w:pPr>
        <w:pStyle w:val="ESch"/>
        <w:rPr>
          <w:rFonts w:eastAsia="Calibri"/>
          <w:noProof/>
          <w:lang w:val="cs-CZ"/>
        </w:rPr>
      </w:pPr>
    </w:p>
    <w:p w:rsidR="00E82B25" w:rsidRPr="003B6E11" w:rsidRDefault="00E82B25" w:rsidP="00E82B25">
      <w:pPr>
        <w:pStyle w:val="ESchpar"/>
        <w:rPr>
          <w:rFonts w:eastAsia="Calibri" w:cs="Arial"/>
          <w:szCs w:val="18"/>
          <w:lang w:val="cs-CZ"/>
        </w:rPr>
      </w:pPr>
      <w:r w:rsidRPr="003B6E11">
        <w:rPr>
          <w:lang w:val="cs-CZ"/>
        </w:rPr>
        <w:t>Subjekt pověřený prohlídkami zkontroluje, zda je během manévrování podle kapitoly 5 zachováno pevné spojení všech plavidel v sestavě.</w:t>
      </w:r>
    </w:p>
    <w:p w:rsidR="00E82B25" w:rsidRPr="003B6E11" w:rsidRDefault="00E82B25" w:rsidP="00E82B25">
      <w:pPr>
        <w:pStyle w:val="ESch"/>
        <w:rPr>
          <w:rFonts w:eastAsia="Calibri"/>
          <w:noProof/>
          <w:lang w:val="cs-CZ"/>
        </w:rPr>
      </w:pPr>
    </w:p>
    <w:p w:rsidR="00E82B25" w:rsidRPr="003B6E11" w:rsidRDefault="00E82B25" w:rsidP="00E82B25">
      <w:pPr>
        <w:rPr>
          <w:rFonts w:eastAsia="Calibri"/>
          <w:noProof/>
          <w:lang w:val="cs-CZ"/>
        </w:rPr>
      </w:pPr>
      <w:r w:rsidRPr="003B6E11">
        <w:rPr>
          <w:lang w:val="cs-CZ"/>
        </w:rPr>
        <w:br w:type="page"/>
      </w:r>
    </w:p>
    <w:p w:rsidR="00E82B25" w:rsidRPr="003B6E11" w:rsidRDefault="00E82B25" w:rsidP="00E82B25">
      <w:pPr>
        <w:pStyle w:val="ESch"/>
        <w:rPr>
          <w:rFonts w:eastAsia="Calibri" w:cs="Arial"/>
          <w:szCs w:val="18"/>
          <w:lang w:val="cs-CZ"/>
        </w:rPr>
      </w:pPr>
      <w:r w:rsidRPr="003B6E11">
        <w:rPr>
          <w:lang w:val="cs-CZ"/>
        </w:rPr>
        <w:t xml:space="preserve">2 </w:t>
      </w:r>
      <w:r w:rsidRPr="003B6E11">
        <w:rPr>
          <w:lang w:val="cs-CZ"/>
        </w:rPr>
        <w:tab/>
        <w:t>Jsou-li během zkušebních plaveb podle odstavce 1 na plavidlech, která mají být tlačena nebo vedena bočně svázaná, zvláštní zařízení, např. kormidelní zařízení, pohonné jednotky nebo manévrovací zařízení, nebo kloubové spojky za účelem splnění požadavků stanovených v článcích 5.02 až 5.10, zapíše se do osvědčení plavidla vnitrozemské plavby u plavidla vedoucího sestavu: tvar sestavy, pozice, název a jednotné evropské identifikační číslo plavidla, která jsou vybavena těmito použitými zvláštními zařízeními.</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p>
    <w:p w:rsidR="00E82B25" w:rsidRPr="003B6E11" w:rsidRDefault="00E82B25" w:rsidP="00E82B25">
      <w:pPr>
        <w:pStyle w:val="ES-Titre3"/>
        <w:rPr>
          <w:rFonts w:cs="Arial"/>
          <w:i/>
          <w:szCs w:val="18"/>
          <w:lang w:val="cs-CZ"/>
        </w:rPr>
      </w:pPr>
      <w:bookmarkStart w:id="430" w:name="_Toc491854212"/>
      <w:bookmarkStart w:id="431" w:name="_Toc535417118"/>
      <w:r w:rsidRPr="003B6E11">
        <w:rPr>
          <w:lang w:val="cs-CZ"/>
        </w:rPr>
        <w:t>Článek 21.07</w:t>
      </w:r>
      <w:r w:rsidRPr="003B6E11">
        <w:rPr>
          <w:lang w:val="cs-CZ"/>
        </w:rPr>
        <w:br/>
      </w:r>
      <w:r w:rsidRPr="003B6E11">
        <w:rPr>
          <w:i/>
          <w:noProof/>
          <w:lang w:val="cs-CZ"/>
        </w:rPr>
        <w:t>Záznamy v osvědčení plavidla vnitrozemské plavby</w:t>
      </w:r>
      <w:bookmarkEnd w:id="430"/>
      <w:bookmarkEnd w:id="431"/>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 xml:space="preserve">1 </w:t>
      </w:r>
      <w:r w:rsidRPr="003B6E11">
        <w:rPr>
          <w:lang w:val="cs-CZ"/>
        </w:rPr>
        <w:tab/>
        <w:t>Má-li plavidlo vést sestavu nebo být v sestavě vedeno, zapíše se do osvědčení plavidla vnitrozemské plavby, že splňuje příslušné požadavky stanovené v článcích 21.01 až 21.06.</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 xml:space="preserve">2 </w:t>
      </w:r>
      <w:r w:rsidRPr="003B6E11">
        <w:rPr>
          <w:lang w:val="cs-CZ"/>
        </w:rPr>
        <w:tab/>
        <w:t>U vedoucího plavidla se do osvědčení plavidla vnitrozemské plavby zapíší tyto údaje:</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schválené sestavy a tvary sestav;</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druhy spojení;</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největší zjištěné spojovací síly a</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případně minimální mezní zatížení spojovacích lan pro podélné spojení a rovněž počet ovinutí lana.</w:t>
      </w: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br w:type="page"/>
      </w:r>
    </w:p>
    <w:p w:rsidR="00E82B25" w:rsidRPr="003B6E11" w:rsidRDefault="00E82B25" w:rsidP="00E82B25">
      <w:pPr>
        <w:pStyle w:val="ESch"/>
        <w:rPr>
          <w:lang w:val="cs-CZ"/>
        </w:rPr>
      </w:pPr>
    </w:p>
    <w:p w:rsidR="00E82B25" w:rsidRPr="003B6E11" w:rsidRDefault="00E82B25" w:rsidP="00E82B25">
      <w:pPr>
        <w:pStyle w:val="ES-Titre2"/>
        <w:rPr>
          <w:szCs w:val="24"/>
        </w:rPr>
      </w:pPr>
      <w:bookmarkStart w:id="432" w:name="_Toc491854213"/>
      <w:bookmarkStart w:id="433" w:name="_Toc535417119"/>
      <w:r w:rsidRPr="003B6E11">
        <w:t>Kapitola 22</w:t>
      </w:r>
      <w:r w:rsidRPr="003B6E11">
        <w:br/>
      </w:r>
      <w:r w:rsidRPr="003B6E11">
        <w:rPr>
          <w:noProof/>
          <w:sz w:val="22"/>
        </w:rPr>
        <w:t>Zvláštní ustanovení pro plovoucí stroje</w:t>
      </w:r>
      <w:bookmarkEnd w:id="432"/>
      <w:bookmarkEnd w:id="433"/>
    </w:p>
    <w:p w:rsidR="00E82B25" w:rsidRPr="003B6E11" w:rsidRDefault="00E82B25" w:rsidP="00E82B25">
      <w:pPr>
        <w:rPr>
          <w:lang w:val="cs-CZ"/>
        </w:rPr>
      </w:pPr>
    </w:p>
    <w:p w:rsidR="00E82B25" w:rsidRPr="003B6E11" w:rsidRDefault="00E82B25" w:rsidP="00E82B25">
      <w:pPr>
        <w:pStyle w:val="ES-Titre3"/>
        <w:rPr>
          <w:lang w:val="cs-CZ"/>
        </w:rPr>
      </w:pPr>
      <w:bookmarkStart w:id="434" w:name="_Toc491854214"/>
      <w:bookmarkStart w:id="435" w:name="_Toc535417120"/>
      <w:r w:rsidRPr="003B6E11">
        <w:rPr>
          <w:lang w:val="cs-CZ"/>
        </w:rPr>
        <w:t>Článek 22.01</w:t>
      </w:r>
      <w:r w:rsidRPr="003B6E11">
        <w:rPr>
          <w:lang w:val="cs-CZ"/>
        </w:rPr>
        <w:br/>
      </w:r>
      <w:r w:rsidRPr="003B6E11">
        <w:rPr>
          <w:i/>
          <w:noProof/>
          <w:lang w:val="cs-CZ"/>
        </w:rPr>
        <w:t>Obecně</w:t>
      </w:r>
      <w:bookmarkEnd w:id="434"/>
      <w:bookmarkEnd w:id="435"/>
    </w:p>
    <w:p w:rsidR="00E82B25" w:rsidRPr="003B6E11" w:rsidRDefault="00E82B25" w:rsidP="00E82B25">
      <w:pPr>
        <w:pStyle w:val="ESch"/>
        <w:rPr>
          <w:noProof/>
          <w:lang w:val="cs-CZ"/>
        </w:rPr>
      </w:pPr>
    </w:p>
    <w:p w:rsidR="00E82B25" w:rsidRPr="003B6E11" w:rsidRDefault="00E82B25" w:rsidP="00E82B25">
      <w:pPr>
        <w:pStyle w:val="ESgauche"/>
        <w:rPr>
          <w:rFonts w:cs="Arial"/>
          <w:szCs w:val="18"/>
          <w:lang w:val="cs-CZ"/>
        </w:rPr>
      </w:pPr>
      <w:r w:rsidRPr="003B6E11">
        <w:rPr>
          <w:lang w:val="cs-CZ"/>
        </w:rPr>
        <w:t>Na konstrukci a vybavení plovoucích strojů se vztahují kapitoly 3, 7 až 17 a 21. Plovoucí stroje s vlastním pohonem musí splňovat rovněž požadavky kapitol 5 a 6. Pohonné jednotky umožňující pouze plavbu na krátké vzdálenosti nepředstavují vlastní pohonné prostředky.</w:t>
      </w:r>
    </w:p>
    <w:p w:rsidR="00E82B25" w:rsidRPr="003B6E11" w:rsidRDefault="00E82B25" w:rsidP="00E82B25">
      <w:pPr>
        <w:pStyle w:val="ESch"/>
        <w:rPr>
          <w:rFonts w:cs="Arial"/>
          <w:szCs w:val="18"/>
          <w:lang w:val="cs-CZ"/>
        </w:rPr>
      </w:pPr>
    </w:p>
    <w:p w:rsidR="00E82B25" w:rsidRPr="003B6E11" w:rsidRDefault="00E82B25" w:rsidP="00E82B25">
      <w:pPr>
        <w:pStyle w:val="ESch"/>
        <w:rPr>
          <w:rFonts w:cs="Arial"/>
          <w:szCs w:val="18"/>
          <w:lang w:val="cs-CZ"/>
        </w:rPr>
      </w:pPr>
    </w:p>
    <w:p w:rsidR="00E82B25" w:rsidRPr="003B6E11" w:rsidRDefault="00E82B25" w:rsidP="00E82B25">
      <w:pPr>
        <w:pStyle w:val="ES-Titre3"/>
        <w:rPr>
          <w:rFonts w:cs="Arial"/>
          <w:i/>
          <w:szCs w:val="18"/>
          <w:lang w:val="cs-CZ"/>
        </w:rPr>
      </w:pPr>
      <w:bookmarkStart w:id="436" w:name="_Toc491854215"/>
      <w:bookmarkStart w:id="437" w:name="_Toc535417121"/>
      <w:r w:rsidRPr="003B6E11">
        <w:rPr>
          <w:lang w:val="cs-CZ"/>
        </w:rPr>
        <w:t>Článek 22.02</w:t>
      </w:r>
      <w:r w:rsidRPr="003B6E11">
        <w:rPr>
          <w:lang w:val="cs-CZ"/>
        </w:rPr>
        <w:br/>
      </w:r>
      <w:r w:rsidRPr="003B6E11">
        <w:rPr>
          <w:i/>
          <w:noProof/>
          <w:lang w:val="cs-CZ"/>
        </w:rPr>
        <w:t>Odchylky</w:t>
      </w:r>
      <w:bookmarkEnd w:id="436"/>
      <w:bookmarkEnd w:id="437"/>
    </w:p>
    <w:p w:rsidR="00E82B25" w:rsidRPr="003B6E11" w:rsidRDefault="00E82B25" w:rsidP="00E82B25">
      <w:pPr>
        <w:pStyle w:val="ESch"/>
        <w:rPr>
          <w:noProof/>
          <w:lang w:val="cs-CZ"/>
        </w:rPr>
      </w:pPr>
    </w:p>
    <w:p w:rsidR="00E82B25" w:rsidRPr="003B6E11" w:rsidRDefault="00E82B25" w:rsidP="00E82B25">
      <w:pPr>
        <w:pStyle w:val="ESch"/>
        <w:rPr>
          <w:rFonts w:cs="Arial"/>
          <w:szCs w:val="18"/>
          <w:lang w:val="cs-CZ"/>
        </w:rPr>
      </w:pPr>
      <w:r w:rsidRPr="003B6E11">
        <w:rPr>
          <w:lang w:val="cs-CZ"/>
        </w:rPr>
        <w:t xml:space="preserve">1. </w:t>
      </w:r>
      <w:r w:rsidRPr="003B6E11">
        <w:rPr>
          <w:lang w:val="cs-CZ"/>
        </w:rPr>
        <w:tab/>
      </w:r>
    </w:p>
    <w:p w:rsidR="00E82B25" w:rsidRPr="003B6E11" w:rsidRDefault="00E82B25" w:rsidP="00E82B25">
      <w:pPr>
        <w:pStyle w:val="ESlet"/>
        <w:rPr>
          <w:rFonts w:cs="Arial"/>
          <w:szCs w:val="18"/>
          <w:lang w:val="cs-CZ"/>
        </w:rPr>
      </w:pPr>
      <w:r w:rsidRPr="003B6E11">
        <w:rPr>
          <w:lang w:val="cs-CZ"/>
        </w:rPr>
        <w:t>a)</w:t>
      </w:r>
      <w:r w:rsidRPr="003B6E11">
        <w:rPr>
          <w:lang w:val="cs-CZ"/>
        </w:rPr>
        <w:tab/>
        <w:t>čl. 3.03 odst. 1 a 2 se použije obdobně;</w:t>
      </w:r>
    </w:p>
    <w:p w:rsidR="00E82B25" w:rsidRPr="003B6E11" w:rsidRDefault="00E82B25" w:rsidP="00E82B25">
      <w:pPr>
        <w:pStyle w:val="ESlet"/>
        <w:rPr>
          <w:rFonts w:cs="Arial"/>
          <w:szCs w:val="18"/>
          <w:lang w:val="cs-CZ"/>
        </w:rPr>
      </w:pPr>
      <w:r w:rsidRPr="003B6E11">
        <w:rPr>
          <w:lang w:val="cs-CZ"/>
        </w:rPr>
        <w:t>b)</w:t>
      </w:r>
      <w:r w:rsidRPr="003B6E11">
        <w:rPr>
          <w:lang w:val="cs-CZ"/>
        </w:rPr>
        <w:tab/>
        <w:t>článek 7.02 se použije obdobně;</w:t>
      </w:r>
    </w:p>
    <w:p w:rsidR="00E82B25" w:rsidRPr="003B6E11" w:rsidRDefault="00E82B25" w:rsidP="00E82B25">
      <w:pPr>
        <w:pStyle w:val="ESlet"/>
        <w:rPr>
          <w:rFonts w:cs="Arial"/>
          <w:szCs w:val="18"/>
          <w:lang w:val="cs-CZ"/>
        </w:rPr>
      </w:pPr>
      <w:r w:rsidRPr="003B6E11">
        <w:rPr>
          <w:lang w:val="cs-CZ"/>
        </w:rPr>
        <w:t>c)</w:t>
      </w:r>
      <w:r w:rsidRPr="003B6E11">
        <w:rPr>
          <w:lang w:val="cs-CZ"/>
        </w:rPr>
        <w:tab/>
        <w:t>maximální hladiny akustického tlaku stanovené v čl. 15.02 odst. 5 druhé větě lze překročit, je-li pracovní zařízení plovoucího stroje v provozu, pokud během provozu na plavidle nikdo nenocuje;</w:t>
      </w:r>
    </w:p>
    <w:p w:rsidR="00E82B25" w:rsidRPr="003B6E11" w:rsidRDefault="00E82B25" w:rsidP="00E82B25">
      <w:pPr>
        <w:pStyle w:val="ESlet"/>
        <w:rPr>
          <w:rFonts w:cs="Arial"/>
          <w:szCs w:val="18"/>
          <w:lang w:val="cs-CZ"/>
        </w:rPr>
      </w:pPr>
      <w:r w:rsidRPr="003B6E11">
        <w:rPr>
          <w:lang w:val="cs-CZ"/>
        </w:rPr>
        <w:t>d)</w:t>
      </w:r>
      <w:r w:rsidRPr="003B6E11">
        <w:rPr>
          <w:lang w:val="cs-CZ"/>
        </w:rPr>
        <w:tab/>
        <w:t>subjekt pověřený prohlídkami může udělit výjimky z ostatních požadavků s ohledem na konstrukci, zařízení a výstroj, je-li v každém jednotlivém případě prokázána rovnocenná bezpečnost.</w:t>
      </w:r>
    </w:p>
    <w:p w:rsidR="00E82B25" w:rsidRPr="003B6E11" w:rsidRDefault="00E82B25" w:rsidP="00E82B25">
      <w:pPr>
        <w:pStyle w:val="ESch"/>
        <w:rPr>
          <w:noProof/>
          <w:lang w:val="cs-CZ"/>
        </w:rPr>
      </w:pPr>
    </w:p>
    <w:p w:rsidR="00E82B25" w:rsidRPr="003B6E11" w:rsidRDefault="00E82B25" w:rsidP="00E82B25">
      <w:pPr>
        <w:pStyle w:val="ESch"/>
        <w:rPr>
          <w:rFonts w:cs="Arial"/>
          <w:szCs w:val="18"/>
          <w:lang w:val="cs-CZ"/>
        </w:rPr>
      </w:pPr>
      <w:r w:rsidRPr="003B6E11">
        <w:rPr>
          <w:lang w:val="cs-CZ"/>
        </w:rPr>
        <w:t>2.</w:t>
      </w:r>
      <w:r w:rsidRPr="003B6E11">
        <w:rPr>
          <w:lang w:val="cs-CZ"/>
        </w:rPr>
        <w:tab/>
        <w:t>Subjekt pověřený prohlídkami může upustit od uplatňování těchto požadavků:</w:t>
      </w:r>
    </w:p>
    <w:p w:rsidR="00E82B25" w:rsidRPr="003B6E11" w:rsidRDefault="00E82B25" w:rsidP="00E82B25">
      <w:pPr>
        <w:pStyle w:val="ESlet"/>
        <w:rPr>
          <w:rFonts w:cs="Arial"/>
          <w:szCs w:val="18"/>
          <w:lang w:val="cs-CZ"/>
        </w:rPr>
      </w:pPr>
      <w:r w:rsidRPr="003B6E11">
        <w:rPr>
          <w:lang w:val="cs-CZ"/>
        </w:rPr>
        <w:t>a)</w:t>
      </w:r>
      <w:r w:rsidRPr="003B6E11">
        <w:rPr>
          <w:lang w:val="cs-CZ"/>
        </w:rPr>
        <w:tab/>
        <w:t xml:space="preserve">ustanovení čl. 13.01 odst. 1 se nepoužije, pokud lze plovoucí stroje během provozu bezpečně ukotvit pomocí pracovní kotvy nebo pilot. Avšak plovoucí stroj s vlastním pohonem musí mít alespoň kotvu vyhovující požadavkům čl. 13.01 odst. 1, přičemž empirický koeficient </w:t>
      </w:r>
      <m:oMath>
        <m:r>
          <w:rPr>
            <w:rFonts w:ascii="Cambria Math" w:hAnsi="Cambria Math"/>
            <w:noProof/>
            <w:lang w:val="cs-CZ"/>
          </w:rPr>
          <m:t>k</m:t>
        </m:r>
      </m:oMath>
      <w:r w:rsidRPr="003B6E11">
        <w:rPr>
          <w:lang w:val="cs-CZ"/>
        </w:rPr>
        <w:t xml:space="preserve"> se považuje za roven 45 a </w:t>
      </w:r>
      <m:oMath>
        <m:r>
          <w:rPr>
            <w:rFonts w:ascii="Cambria Math" w:hAnsi="Cambria Math"/>
            <w:noProof/>
            <w:lang w:val="cs-CZ"/>
          </w:rPr>
          <m:t>T</m:t>
        </m:r>
      </m:oMath>
      <w:r w:rsidRPr="003B6E11">
        <w:rPr>
          <w:lang w:val="cs-CZ"/>
        </w:rPr>
        <w:t xml:space="preserve"> se považuje za rovno výšce </w:t>
      </w:r>
      <m:oMath>
        <m:r>
          <w:rPr>
            <w:rFonts w:ascii="Cambria Math" w:hAnsi="Cambria Math"/>
            <w:noProof/>
            <w:lang w:val="cs-CZ"/>
          </w:rPr>
          <m:t>H</m:t>
        </m:r>
      </m:oMath>
      <w:r w:rsidRPr="003B6E11">
        <w:rPr>
          <w:lang w:val="cs-CZ"/>
        </w:rPr>
        <w:t>;</w:t>
      </w:r>
    </w:p>
    <w:p w:rsidR="00E82B25" w:rsidRPr="003B6E11" w:rsidRDefault="00E82B25" w:rsidP="00E82B25">
      <w:pPr>
        <w:pStyle w:val="ESlet"/>
        <w:rPr>
          <w:rFonts w:cs="Arial"/>
          <w:szCs w:val="18"/>
          <w:lang w:val="cs-CZ"/>
        </w:rPr>
      </w:pPr>
      <w:r w:rsidRPr="003B6E11">
        <w:rPr>
          <w:lang w:val="cs-CZ"/>
        </w:rPr>
        <w:t>b)</w:t>
      </w:r>
      <w:r w:rsidRPr="003B6E11">
        <w:rPr>
          <w:lang w:val="cs-CZ"/>
        </w:rPr>
        <w:tab/>
        <w:t>ustanovení čl. 15.02 odst. 1 druhá část věty: lze-li obytné prostory přiměřeně elektricky osvětlit.</w:t>
      </w:r>
    </w:p>
    <w:p w:rsidR="00E82B25" w:rsidRPr="003B6E11" w:rsidRDefault="00E82B25" w:rsidP="00E82B25">
      <w:pPr>
        <w:pStyle w:val="ESch"/>
        <w:rPr>
          <w:noProof/>
          <w:lang w:val="cs-CZ"/>
        </w:rPr>
      </w:pPr>
    </w:p>
    <w:p w:rsidR="00E82B25" w:rsidRPr="003B6E11" w:rsidRDefault="00E82B25" w:rsidP="00E82B25">
      <w:pPr>
        <w:pStyle w:val="ESch"/>
        <w:rPr>
          <w:rFonts w:cs="Arial"/>
          <w:szCs w:val="18"/>
          <w:lang w:val="cs-CZ"/>
        </w:rPr>
      </w:pPr>
      <w:r w:rsidRPr="003B6E11">
        <w:rPr>
          <w:lang w:val="cs-CZ"/>
        </w:rPr>
        <w:t>3.</w:t>
      </w:r>
      <w:r w:rsidRPr="003B6E11">
        <w:rPr>
          <w:lang w:val="cs-CZ"/>
        </w:rPr>
        <w:tab/>
        <w:t>Kromě toho platí:</w:t>
      </w:r>
    </w:p>
    <w:p w:rsidR="00E82B25" w:rsidRPr="003B6E11" w:rsidRDefault="00E82B25" w:rsidP="00E82B25">
      <w:pPr>
        <w:pStyle w:val="ESlet"/>
        <w:rPr>
          <w:rFonts w:cs="Arial"/>
          <w:szCs w:val="18"/>
          <w:lang w:val="cs-CZ"/>
        </w:rPr>
      </w:pPr>
      <w:r w:rsidRPr="003B6E11">
        <w:rPr>
          <w:lang w:val="cs-CZ"/>
        </w:rPr>
        <w:t>a)</w:t>
      </w:r>
      <w:r w:rsidRPr="003B6E11">
        <w:rPr>
          <w:lang w:val="cs-CZ"/>
        </w:rPr>
        <w:tab/>
        <w:t>pro čl. 8.08 odst. 2 druhou větu: drenážní čerpadlo musí mít strojní pohon;</w:t>
      </w:r>
    </w:p>
    <w:p w:rsidR="00E82B25" w:rsidRPr="003B6E11" w:rsidRDefault="00E82B25" w:rsidP="00E82B25">
      <w:pPr>
        <w:pStyle w:val="ESlet"/>
        <w:rPr>
          <w:rFonts w:cs="Arial"/>
          <w:szCs w:val="18"/>
          <w:lang w:val="cs-CZ"/>
        </w:rPr>
      </w:pPr>
      <w:r w:rsidRPr="003B6E11">
        <w:rPr>
          <w:lang w:val="cs-CZ"/>
        </w:rPr>
        <w:t>b)</w:t>
      </w:r>
      <w:r w:rsidRPr="003B6E11">
        <w:rPr>
          <w:lang w:val="cs-CZ"/>
        </w:rPr>
        <w:tab/>
        <w:t>pro čl. 8.10 odst. 3: je-li pracovní zařízení v provozu, nesmí hluk v místě vzdáleném 25 m od boku plovoucího stroje překročit 65 dB(A);</w:t>
      </w:r>
    </w:p>
    <w:p w:rsidR="00E82B25" w:rsidRPr="003B6E11" w:rsidRDefault="00E82B25" w:rsidP="00E82B25">
      <w:pPr>
        <w:pStyle w:val="ESlet"/>
        <w:rPr>
          <w:rFonts w:cs="Arial"/>
          <w:szCs w:val="18"/>
          <w:lang w:val="cs-CZ"/>
        </w:rPr>
      </w:pPr>
      <w:r w:rsidRPr="003B6E11">
        <w:rPr>
          <w:lang w:val="cs-CZ"/>
        </w:rPr>
        <w:t>c)</w:t>
      </w:r>
      <w:r w:rsidRPr="003B6E11">
        <w:rPr>
          <w:lang w:val="cs-CZ"/>
        </w:rPr>
        <w:tab/>
        <w:t>pro čl. 13.03 odst. 1: vyžaduje se nejméně jeden další přenosný hasicí přístroj, nachází-li se na plavidle pracovní zařízení, které k němu není pevně připevněno;</w:t>
      </w:r>
    </w:p>
    <w:p w:rsidR="00E82B25" w:rsidRPr="003B6E11" w:rsidRDefault="00E82B25" w:rsidP="00E82B25">
      <w:pPr>
        <w:pStyle w:val="ESlet"/>
        <w:rPr>
          <w:rFonts w:cs="Arial"/>
          <w:szCs w:val="18"/>
          <w:lang w:val="cs-CZ"/>
        </w:rPr>
      </w:pPr>
      <w:r w:rsidRPr="003B6E11">
        <w:rPr>
          <w:lang w:val="cs-CZ"/>
        </w:rPr>
        <w:t>d)</w:t>
      </w:r>
      <w:r w:rsidRPr="003B6E11">
        <w:rPr>
          <w:lang w:val="cs-CZ"/>
        </w:rPr>
        <w:tab/>
        <w:t>pro čl. 17.02 odst. 2: kromě zařízení na zkapalněný plyn k domácímu použití mohou existovat i jiná zařízení na zkapalněný plyn. Tato zařízení a jejich příslušenství musí splňovat požadavky jednoho členského státu.</w:t>
      </w:r>
    </w:p>
    <w:p w:rsidR="00E82B25" w:rsidRPr="003B6E11" w:rsidRDefault="00E82B25" w:rsidP="00E82B25">
      <w:pPr>
        <w:pStyle w:val="ESch"/>
        <w:rPr>
          <w:rFonts w:cs="Arial"/>
          <w:szCs w:val="18"/>
          <w:lang w:val="cs-CZ"/>
        </w:rPr>
      </w:pPr>
    </w:p>
    <w:p w:rsidR="00E82B25" w:rsidRPr="003B6E11" w:rsidRDefault="00E82B25" w:rsidP="00E82B25">
      <w:pPr>
        <w:pStyle w:val="ESch"/>
        <w:rPr>
          <w:rFonts w:cs="Arial"/>
          <w:szCs w:val="18"/>
          <w:lang w:val="cs-CZ"/>
        </w:rPr>
      </w:pPr>
      <w:r w:rsidRPr="003B6E11">
        <w:rPr>
          <w:lang w:val="cs-CZ"/>
        </w:rPr>
        <w:br w:type="page"/>
      </w:r>
    </w:p>
    <w:p w:rsidR="00E82B25" w:rsidRPr="003B6E11" w:rsidRDefault="00E82B25" w:rsidP="00E82B25">
      <w:pPr>
        <w:pStyle w:val="ES-Titre3"/>
        <w:rPr>
          <w:rFonts w:cs="Arial"/>
          <w:i/>
          <w:szCs w:val="18"/>
          <w:lang w:val="cs-CZ"/>
        </w:rPr>
      </w:pPr>
      <w:bookmarkStart w:id="438" w:name="_Toc491854216"/>
      <w:bookmarkStart w:id="439" w:name="_Toc535417122"/>
      <w:r w:rsidRPr="003B6E11">
        <w:rPr>
          <w:lang w:val="cs-CZ"/>
        </w:rPr>
        <w:t>Článek 22.03</w:t>
      </w:r>
      <w:r w:rsidRPr="003B6E11">
        <w:rPr>
          <w:lang w:val="cs-CZ"/>
        </w:rPr>
        <w:br/>
      </w:r>
      <w:r w:rsidRPr="003B6E11">
        <w:rPr>
          <w:i/>
          <w:noProof/>
          <w:lang w:val="cs-CZ"/>
        </w:rPr>
        <w:t>Dodatečné požadavky</w:t>
      </w:r>
      <w:bookmarkEnd w:id="438"/>
      <w:bookmarkEnd w:id="439"/>
    </w:p>
    <w:p w:rsidR="00E82B25" w:rsidRPr="003B6E11" w:rsidRDefault="00E82B25" w:rsidP="00E82B25">
      <w:pPr>
        <w:pStyle w:val="ESch"/>
        <w:rPr>
          <w:noProof/>
          <w:lang w:val="cs-CZ"/>
        </w:rPr>
      </w:pPr>
    </w:p>
    <w:p w:rsidR="00E82B25" w:rsidRPr="003B6E11" w:rsidRDefault="00E82B25" w:rsidP="00E82B25">
      <w:pPr>
        <w:pStyle w:val="ESch"/>
        <w:rPr>
          <w:rFonts w:cs="Arial"/>
          <w:szCs w:val="18"/>
          <w:lang w:val="cs-CZ"/>
        </w:rPr>
      </w:pPr>
      <w:r w:rsidRPr="003B6E11">
        <w:rPr>
          <w:lang w:val="cs-CZ"/>
        </w:rPr>
        <w:t>1.</w:t>
      </w:r>
      <w:r w:rsidRPr="003B6E11">
        <w:rPr>
          <w:lang w:val="cs-CZ"/>
        </w:rPr>
        <w:tab/>
        <w:t>Plovoucí stroj, na němž se během provozu nacházejí osoby, musí být vybaven všeobecným poplašným systémem. Poplašný signál musí být zřetelně odlišitelný od ostatních signálů a v ubytovacích prostorech a na všech pracovištích musí být zajištěna hladina akustického tlaku, která je nejméně o 5 dB(A) vyšší než nejvyšší lokální hladina akustického tlaku. Poplašný signál musí být ovladatelný z kormidelny a hlavních provozních stanovišť.</w:t>
      </w:r>
    </w:p>
    <w:p w:rsidR="00E82B25" w:rsidRPr="003B6E11" w:rsidRDefault="00E82B25" w:rsidP="00E82B25">
      <w:pPr>
        <w:pStyle w:val="ESch"/>
        <w:rPr>
          <w:noProof/>
          <w:lang w:val="cs-CZ"/>
        </w:rPr>
      </w:pPr>
    </w:p>
    <w:p w:rsidR="00E82B25" w:rsidRPr="003B6E11" w:rsidRDefault="00E82B25" w:rsidP="00E82B25">
      <w:pPr>
        <w:pStyle w:val="ESch"/>
        <w:rPr>
          <w:rFonts w:cs="Arial"/>
          <w:szCs w:val="18"/>
          <w:lang w:val="cs-CZ"/>
        </w:rPr>
      </w:pPr>
      <w:r w:rsidRPr="003B6E11">
        <w:rPr>
          <w:lang w:val="cs-CZ"/>
        </w:rPr>
        <w:t>2.</w:t>
      </w:r>
      <w:r w:rsidRPr="003B6E11">
        <w:rPr>
          <w:lang w:val="cs-CZ"/>
        </w:rPr>
        <w:tab/>
        <w:t>Pracovní stroj musí mít dostatečnou pevnost, aby vydržel zatížení, kterému je vystaven, a musí splňovat požadavky některého z členských států CCNR nebo směrnice 2006/42/ES</w:t>
      </w:r>
      <w:r w:rsidRPr="003B6E11">
        <w:rPr>
          <w:rStyle w:val="FootnoteReference"/>
          <w:noProof/>
          <w:lang w:val="cs-CZ"/>
        </w:rPr>
        <w:footnoteReference w:id="21"/>
      </w:r>
      <w:r w:rsidRPr="003B6E11">
        <w:rPr>
          <w:lang w:val="cs-CZ"/>
        </w:rPr>
        <w:t xml:space="preserve"> ve znění pozdějších předpisů.</w:t>
      </w:r>
    </w:p>
    <w:p w:rsidR="00E82B25" w:rsidRPr="003B6E11" w:rsidRDefault="00E82B25" w:rsidP="00E82B25">
      <w:pPr>
        <w:pStyle w:val="ESch"/>
        <w:rPr>
          <w:noProof/>
          <w:lang w:val="cs-CZ"/>
        </w:rPr>
      </w:pPr>
    </w:p>
    <w:p w:rsidR="00E82B25" w:rsidRPr="003B6E11" w:rsidRDefault="00E82B25" w:rsidP="00E82B25">
      <w:pPr>
        <w:pStyle w:val="ESch"/>
        <w:rPr>
          <w:rFonts w:cs="Arial"/>
          <w:szCs w:val="18"/>
          <w:lang w:val="cs-CZ"/>
        </w:rPr>
      </w:pPr>
      <w:r w:rsidRPr="003B6E11">
        <w:rPr>
          <w:lang w:val="cs-CZ"/>
        </w:rPr>
        <w:t>3.</w:t>
      </w:r>
      <w:r w:rsidRPr="003B6E11">
        <w:rPr>
          <w:lang w:val="cs-CZ"/>
        </w:rPr>
        <w:tab/>
        <w:t>Stabilita a pevnost pracovního stroje a případně jeho upevnění musí postačovat k tomu, aby vydržel síly vyplývající z předpokládaného náklonu, sklonu a pohybu plovoucího stroje.</w:t>
      </w:r>
    </w:p>
    <w:p w:rsidR="00E82B25" w:rsidRPr="003B6E11" w:rsidRDefault="00E82B25" w:rsidP="00E82B25">
      <w:pPr>
        <w:pStyle w:val="ESch"/>
        <w:rPr>
          <w:rFonts w:cs="Arial"/>
          <w:szCs w:val="18"/>
          <w:lang w:val="cs-CZ"/>
        </w:rPr>
      </w:pPr>
    </w:p>
    <w:p w:rsidR="00E82B25" w:rsidRPr="003B6E11" w:rsidRDefault="00E82B25" w:rsidP="00E82B25">
      <w:pPr>
        <w:pStyle w:val="ESch"/>
        <w:rPr>
          <w:rFonts w:cs="Arial"/>
          <w:szCs w:val="18"/>
          <w:lang w:val="cs-CZ"/>
        </w:rPr>
      </w:pPr>
      <w:r w:rsidRPr="003B6E11">
        <w:rPr>
          <w:lang w:val="cs-CZ"/>
        </w:rPr>
        <w:t>4.</w:t>
      </w:r>
      <w:r w:rsidRPr="003B6E11">
        <w:rPr>
          <w:lang w:val="cs-CZ"/>
        </w:rPr>
        <w:tab/>
        <w:t>Zdvihají-li se břemena pomocí zdvihacího zařízení, musí být nejvyšší povolené zatížení s ohledem na stabilitu a pevnost uvedeno viditelně na cedulích na plavidle a na provozních stanovištích. Lze-li nosnost zvýšit připojením dodatečných plováků, musí být zřetelně uvedeny přípustné hodnoty jak při použití těchto plováků, tak i bez nich.</w:t>
      </w:r>
    </w:p>
    <w:p w:rsidR="00E82B25" w:rsidRPr="003B6E11" w:rsidRDefault="00E82B25" w:rsidP="00E82B25">
      <w:pPr>
        <w:pStyle w:val="ESch"/>
        <w:rPr>
          <w:rFonts w:cs="Arial"/>
          <w:szCs w:val="18"/>
          <w:lang w:val="cs-CZ"/>
        </w:rPr>
      </w:pPr>
    </w:p>
    <w:p w:rsidR="00E82B25" w:rsidRPr="003B6E11" w:rsidRDefault="00E82B25" w:rsidP="00E82B25">
      <w:pPr>
        <w:pStyle w:val="ESch"/>
        <w:rPr>
          <w:rFonts w:cs="Arial"/>
          <w:szCs w:val="18"/>
          <w:lang w:val="cs-CZ"/>
        </w:rPr>
      </w:pPr>
    </w:p>
    <w:p w:rsidR="00E82B25" w:rsidRPr="003B6E11" w:rsidRDefault="00E82B25" w:rsidP="00E82B25">
      <w:pPr>
        <w:pStyle w:val="ES-Titre3"/>
        <w:rPr>
          <w:rFonts w:cs="Arial"/>
          <w:i/>
          <w:szCs w:val="18"/>
          <w:lang w:val="cs-CZ"/>
        </w:rPr>
      </w:pPr>
      <w:bookmarkStart w:id="440" w:name="_Toc491854217"/>
      <w:bookmarkStart w:id="441" w:name="_Toc535417123"/>
      <w:r w:rsidRPr="003B6E11">
        <w:rPr>
          <w:lang w:val="cs-CZ"/>
        </w:rPr>
        <w:t>Článek 22.04</w:t>
      </w:r>
      <w:r w:rsidRPr="003B6E11">
        <w:rPr>
          <w:lang w:val="cs-CZ"/>
        </w:rPr>
        <w:br/>
      </w:r>
      <w:r w:rsidRPr="003B6E11">
        <w:rPr>
          <w:i/>
          <w:noProof/>
          <w:lang w:val="cs-CZ"/>
        </w:rPr>
        <w:t>Zbývající bezpečnostní vzdálenost</w:t>
      </w:r>
      <w:bookmarkEnd w:id="440"/>
      <w:bookmarkEnd w:id="441"/>
    </w:p>
    <w:p w:rsidR="00E82B25" w:rsidRPr="003B6E11" w:rsidRDefault="00E82B25" w:rsidP="00E82B25">
      <w:pPr>
        <w:pStyle w:val="ESch"/>
        <w:rPr>
          <w:noProof/>
          <w:lang w:val="cs-CZ"/>
        </w:rPr>
      </w:pPr>
    </w:p>
    <w:p w:rsidR="00E82B25" w:rsidRPr="003B6E11" w:rsidRDefault="00E82B25" w:rsidP="00E82B25">
      <w:pPr>
        <w:pStyle w:val="ESch"/>
        <w:rPr>
          <w:rFonts w:cs="Arial"/>
          <w:szCs w:val="18"/>
          <w:lang w:val="cs-CZ"/>
        </w:rPr>
      </w:pPr>
      <w:r w:rsidRPr="003B6E11">
        <w:rPr>
          <w:lang w:val="cs-CZ"/>
        </w:rPr>
        <w:t>1.</w:t>
      </w:r>
      <w:r w:rsidRPr="003B6E11">
        <w:rPr>
          <w:lang w:val="cs-CZ"/>
        </w:rPr>
        <w:tab/>
        <w:t>Pro účely této kapitoly a odchylně od článku 1.01 se zbývající bezpečnostní vzdáleností rozumí nejkratší svislá vzdálenost mezi hladinou vody a nejnižší částí plovoucího stroje, nad níž není stroj dále vodotěsný, přičemž se bere v úvahu sklon a náklon plynoucí z momentů uvedených v čl. 22.07 odst. 4 až 9.</w:t>
      </w:r>
    </w:p>
    <w:p w:rsidR="00E82B25" w:rsidRPr="003B6E11" w:rsidRDefault="00E82B25" w:rsidP="00E82B25">
      <w:pPr>
        <w:pStyle w:val="ESch"/>
        <w:rPr>
          <w:noProof/>
          <w:lang w:val="cs-CZ"/>
        </w:rPr>
      </w:pPr>
    </w:p>
    <w:p w:rsidR="00E82B25" w:rsidRPr="003B6E11" w:rsidRDefault="00E82B25" w:rsidP="00E82B25">
      <w:pPr>
        <w:pStyle w:val="ESch"/>
        <w:rPr>
          <w:rFonts w:cs="Arial"/>
          <w:szCs w:val="18"/>
          <w:lang w:val="cs-CZ"/>
        </w:rPr>
      </w:pPr>
      <w:r w:rsidRPr="003B6E11">
        <w:rPr>
          <w:lang w:val="cs-CZ"/>
        </w:rPr>
        <w:t>2.</w:t>
      </w:r>
      <w:r w:rsidRPr="003B6E11">
        <w:rPr>
          <w:lang w:val="cs-CZ"/>
        </w:rPr>
        <w:tab/>
        <w:t>Zbývající bezpečnostní vzdálenost je podle čl. 22.07 odst. 1 u jakéhokoli otvoru odolného vůči stříkající vodě a povětrnostním vlivům dostatečná, činí-li nejméně 300 mm.</w:t>
      </w:r>
    </w:p>
    <w:p w:rsidR="00E82B25" w:rsidRPr="003B6E11" w:rsidRDefault="00E82B25" w:rsidP="00E82B25">
      <w:pPr>
        <w:pStyle w:val="ESch"/>
        <w:rPr>
          <w:noProof/>
          <w:lang w:val="cs-CZ"/>
        </w:rPr>
      </w:pPr>
    </w:p>
    <w:p w:rsidR="00E82B25" w:rsidRPr="003B6E11" w:rsidRDefault="00E82B25" w:rsidP="00E82B25">
      <w:pPr>
        <w:pStyle w:val="ESch"/>
        <w:rPr>
          <w:rFonts w:cs="Arial"/>
          <w:szCs w:val="18"/>
          <w:lang w:val="cs-CZ"/>
        </w:rPr>
      </w:pPr>
      <w:r w:rsidRPr="003B6E11">
        <w:rPr>
          <w:lang w:val="cs-CZ"/>
        </w:rPr>
        <w:t>3.</w:t>
      </w:r>
      <w:r w:rsidRPr="003B6E11">
        <w:rPr>
          <w:lang w:val="cs-CZ"/>
        </w:rPr>
        <w:tab/>
        <w:t>U otvoru, který není odolný vůči stříkající vodě a povětrnostním vlivům, musí být zbývající bezpečnostní vzdálenost nejméně 400 mm.</w:t>
      </w:r>
    </w:p>
    <w:p w:rsidR="00E82B25" w:rsidRPr="003B6E11" w:rsidRDefault="00E82B25" w:rsidP="00E82B25">
      <w:pPr>
        <w:pStyle w:val="ESch"/>
        <w:rPr>
          <w:rFonts w:cs="Arial"/>
          <w:szCs w:val="18"/>
          <w:lang w:val="cs-CZ"/>
        </w:rPr>
      </w:pPr>
    </w:p>
    <w:p w:rsidR="00E82B25" w:rsidRPr="003B6E11" w:rsidRDefault="00E82B25" w:rsidP="00E82B25">
      <w:pPr>
        <w:pStyle w:val="ESch"/>
        <w:rPr>
          <w:rFonts w:cs="Arial"/>
          <w:szCs w:val="18"/>
          <w:lang w:val="cs-CZ"/>
        </w:rPr>
      </w:pPr>
    </w:p>
    <w:p w:rsidR="00E82B25" w:rsidRPr="003B6E11" w:rsidRDefault="00E82B25" w:rsidP="00E82B25">
      <w:pPr>
        <w:pStyle w:val="ES-Titre3"/>
        <w:rPr>
          <w:i/>
          <w:noProof/>
          <w:lang w:val="cs-CZ"/>
        </w:rPr>
      </w:pPr>
      <w:bookmarkStart w:id="442" w:name="_Toc491854218"/>
      <w:bookmarkStart w:id="443" w:name="_Toc535417124"/>
      <w:r w:rsidRPr="003B6E11">
        <w:rPr>
          <w:lang w:val="cs-CZ"/>
        </w:rPr>
        <w:t>Článek 22.05</w:t>
      </w:r>
      <w:r w:rsidRPr="003B6E11">
        <w:rPr>
          <w:lang w:val="cs-CZ"/>
        </w:rPr>
        <w:br/>
      </w:r>
      <w:r w:rsidRPr="003B6E11">
        <w:rPr>
          <w:i/>
          <w:noProof/>
          <w:lang w:val="cs-CZ"/>
        </w:rPr>
        <w:t>Zbývající volný bok</w:t>
      </w:r>
      <w:bookmarkEnd w:id="442"/>
      <w:bookmarkEnd w:id="443"/>
    </w:p>
    <w:p w:rsidR="00E82B25" w:rsidRPr="003B6E11" w:rsidRDefault="00E82B25" w:rsidP="00E82B25">
      <w:pPr>
        <w:pStyle w:val="ESch"/>
        <w:rPr>
          <w:noProof/>
          <w:lang w:val="cs-CZ"/>
        </w:rPr>
      </w:pPr>
    </w:p>
    <w:p w:rsidR="00E82B25" w:rsidRPr="003B6E11" w:rsidRDefault="00E82B25" w:rsidP="00E82B25">
      <w:pPr>
        <w:pStyle w:val="ESch"/>
        <w:rPr>
          <w:noProof/>
          <w:lang w:val="cs-CZ"/>
        </w:rPr>
      </w:pPr>
      <w:r w:rsidRPr="003B6E11">
        <w:rPr>
          <w:lang w:val="cs-CZ"/>
        </w:rPr>
        <w:t>1.</w:t>
      </w:r>
      <w:r w:rsidRPr="003B6E11">
        <w:rPr>
          <w:lang w:val="cs-CZ"/>
        </w:rPr>
        <w:tab/>
        <w:t>Pro účely této kapitoly a odchylně od článku 1.01 se zbývající bezpečnostní vzdáleností rozumí nejkratší svislá vzdálenost mezi hladinou vody a nejnižší částí plovoucího stroje, nad níž není stroj dále vodotěsný, přičemž se bere v úvahu sklon a náklon plynoucí z momentů uvedených v čl. 22.07 odst. 4 až 9.</w:t>
      </w:r>
    </w:p>
    <w:p w:rsidR="00E82B25" w:rsidRPr="003B6E11" w:rsidRDefault="00E82B25" w:rsidP="00E82B25">
      <w:pPr>
        <w:pStyle w:val="ESch"/>
        <w:rPr>
          <w:noProof/>
          <w:lang w:val="cs-CZ"/>
        </w:rPr>
      </w:pPr>
    </w:p>
    <w:p w:rsidR="00E82B25" w:rsidRPr="003B6E11" w:rsidRDefault="00E82B25" w:rsidP="00E82B25">
      <w:pPr>
        <w:pStyle w:val="ESch"/>
        <w:rPr>
          <w:noProof/>
          <w:lang w:val="cs-CZ"/>
        </w:rPr>
      </w:pPr>
      <w:r w:rsidRPr="003B6E11">
        <w:rPr>
          <w:lang w:val="cs-CZ"/>
        </w:rPr>
        <w:t>2.</w:t>
      </w:r>
      <w:r w:rsidRPr="003B6E11">
        <w:rPr>
          <w:lang w:val="cs-CZ"/>
        </w:rPr>
        <w:tab/>
        <w:t>Zbývající volný bok je podle čl. 22.07 odst. 1 dostatečný, činí-li nejméně 300 mm.</w:t>
      </w:r>
    </w:p>
    <w:p w:rsidR="00E82B25" w:rsidRPr="003B6E11" w:rsidRDefault="00E82B25" w:rsidP="00E82B25">
      <w:pPr>
        <w:pStyle w:val="ESch"/>
        <w:rPr>
          <w:noProof/>
          <w:lang w:val="cs-CZ"/>
        </w:rPr>
      </w:pPr>
    </w:p>
    <w:p w:rsidR="00E82B25" w:rsidRPr="003B6E11" w:rsidRDefault="00E82B25" w:rsidP="00E82B25">
      <w:pPr>
        <w:pStyle w:val="ESch"/>
        <w:rPr>
          <w:noProof/>
          <w:lang w:val="cs-CZ"/>
        </w:rPr>
      </w:pPr>
      <w:r w:rsidRPr="003B6E11">
        <w:rPr>
          <w:lang w:val="cs-CZ"/>
        </w:rPr>
        <w:t>3.</w:t>
      </w:r>
      <w:r w:rsidRPr="003B6E11">
        <w:rPr>
          <w:lang w:val="cs-CZ"/>
        </w:rPr>
        <w:tab/>
        <w:t>Zbývající volný bok lze zmenšit, prokáže-li se, že jsou splněny požadavky článku 22.08.</w:t>
      </w:r>
    </w:p>
    <w:p w:rsidR="00E82B25" w:rsidRPr="003B6E11" w:rsidRDefault="00E82B25" w:rsidP="00E82B25">
      <w:pPr>
        <w:pStyle w:val="ESch"/>
        <w:rPr>
          <w:noProof/>
          <w:lang w:val="cs-CZ"/>
        </w:rPr>
      </w:pPr>
    </w:p>
    <w:p w:rsidR="00E82B25" w:rsidRPr="003B6E11" w:rsidRDefault="00E82B25" w:rsidP="00E82B25">
      <w:pPr>
        <w:pStyle w:val="ESch"/>
        <w:rPr>
          <w:noProof/>
          <w:lang w:val="cs-CZ"/>
        </w:rPr>
      </w:pPr>
      <w:r w:rsidRPr="003B6E11">
        <w:rPr>
          <w:lang w:val="cs-CZ"/>
        </w:rPr>
        <w:br w:type="page"/>
      </w:r>
    </w:p>
    <w:p w:rsidR="00E82B25" w:rsidRPr="003B6E11" w:rsidRDefault="00E82B25" w:rsidP="00E82B25">
      <w:pPr>
        <w:pStyle w:val="ESch"/>
        <w:rPr>
          <w:noProof/>
          <w:lang w:val="cs-CZ"/>
        </w:rPr>
      </w:pPr>
      <w:r w:rsidRPr="003B6E11">
        <w:rPr>
          <w:lang w:val="cs-CZ"/>
        </w:rPr>
        <w:t>4.</w:t>
      </w:r>
      <w:r w:rsidRPr="003B6E11">
        <w:rPr>
          <w:lang w:val="cs-CZ"/>
        </w:rPr>
        <w:tab/>
        <w:t>Odlišuje-li se tvar plovoucího tělesa podstatně od tvaru pontonu, např. v případě válcových plovoucích těles, nebo má-li průřez plovoucího tělesa více než čtyři strany, může subjekt pověřený prohlídkami požadovat nebo povolit zbývající volný bok, který se liší od odstavce 2. To platí rovněž pro plovoucí stroje s více plovoucími tělesy.</w:t>
      </w:r>
    </w:p>
    <w:p w:rsidR="00E82B25" w:rsidRPr="003B6E11" w:rsidRDefault="00E82B25" w:rsidP="00E82B25">
      <w:pPr>
        <w:pStyle w:val="ESch"/>
        <w:rPr>
          <w:rFonts w:cs="Arial"/>
          <w:szCs w:val="18"/>
          <w:lang w:val="cs-CZ"/>
        </w:rPr>
      </w:pPr>
    </w:p>
    <w:p w:rsidR="00E82B25" w:rsidRPr="003B6E11" w:rsidRDefault="00E82B25" w:rsidP="00E82B25">
      <w:pPr>
        <w:pStyle w:val="ESch"/>
        <w:rPr>
          <w:rFonts w:cs="Arial"/>
          <w:szCs w:val="18"/>
          <w:lang w:val="cs-CZ"/>
        </w:rPr>
      </w:pPr>
    </w:p>
    <w:p w:rsidR="00E82B25" w:rsidRPr="003B6E11" w:rsidRDefault="00E82B25" w:rsidP="00E82B25">
      <w:pPr>
        <w:pStyle w:val="ES-Titre3"/>
        <w:rPr>
          <w:rFonts w:cs="Arial"/>
          <w:i/>
          <w:szCs w:val="18"/>
          <w:lang w:val="cs-CZ"/>
        </w:rPr>
      </w:pPr>
      <w:bookmarkStart w:id="444" w:name="_Toc491854219"/>
      <w:bookmarkStart w:id="445" w:name="_Toc535417125"/>
      <w:r w:rsidRPr="003B6E11">
        <w:rPr>
          <w:lang w:val="cs-CZ"/>
        </w:rPr>
        <w:t>Článek 22.06</w:t>
      </w:r>
      <w:r w:rsidRPr="003B6E11">
        <w:rPr>
          <w:lang w:val="cs-CZ"/>
        </w:rPr>
        <w:br/>
      </w:r>
      <w:r w:rsidRPr="003B6E11">
        <w:rPr>
          <w:i/>
          <w:noProof/>
          <w:lang w:val="cs-CZ"/>
        </w:rPr>
        <w:t>Zkouška náklonu</w:t>
      </w:r>
      <w:bookmarkEnd w:id="444"/>
      <w:bookmarkEnd w:id="445"/>
    </w:p>
    <w:p w:rsidR="00E82B25" w:rsidRPr="003B6E11" w:rsidRDefault="00E82B25" w:rsidP="00E82B25">
      <w:pPr>
        <w:pStyle w:val="ESch"/>
        <w:rPr>
          <w:noProof/>
          <w:lang w:val="cs-CZ"/>
        </w:rPr>
      </w:pPr>
    </w:p>
    <w:p w:rsidR="00E82B25" w:rsidRPr="003B6E11" w:rsidRDefault="00E82B25" w:rsidP="00E82B25">
      <w:pPr>
        <w:pStyle w:val="ESch"/>
        <w:rPr>
          <w:rFonts w:cs="Arial"/>
          <w:szCs w:val="18"/>
          <w:lang w:val="cs-CZ"/>
        </w:rPr>
      </w:pPr>
      <w:r w:rsidRPr="003B6E11">
        <w:rPr>
          <w:lang w:val="cs-CZ"/>
        </w:rPr>
        <w:t>1.</w:t>
      </w:r>
      <w:r w:rsidRPr="003B6E11">
        <w:rPr>
          <w:lang w:val="cs-CZ"/>
        </w:rPr>
        <w:tab/>
        <w:t>Potvrzení stability podle článků 22.07 a 22.08 se musí zakládat na řádně provedené zkoušce náklonu.</w:t>
      </w:r>
    </w:p>
    <w:p w:rsidR="00E82B25" w:rsidRPr="003B6E11" w:rsidRDefault="00E82B25" w:rsidP="00E82B25">
      <w:pPr>
        <w:pStyle w:val="ESch"/>
        <w:rPr>
          <w:noProof/>
          <w:lang w:val="cs-CZ"/>
        </w:rPr>
      </w:pPr>
    </w:p>
    <w:p w:rsidR="00E82B25" w:rsidRPr="003B6E11" w:rsidRDefault="00E82B25" w:rsidP="00E82B25">
      <w:pPr>
        <w:pStyle w:val="ESch"/>
        <w:rPr>
          <w:rFonts w:cs="Arial"/>
          <w:szCs w:val="18"/>
          <w:lang w:val="cs-CZ"/>
        </w:rPr>
      </w:pPr>
      <w:r w:rsidRPr="003B6E11">
        <w:rPr>
          <w:lang w:val="cs-CZ"/>
        </w:rPr>
        <w:t>2.</w:t>
      </w:r>
      <w:r w:rsidRPr="003B6E11">
        <w:rPr>
          <w:lang w:val="cs-CZ"/>
        </w:rPr>
        <w:tab/>
        <w:t>Nelze-li během zkoušky náklonu dosáhnout přiměřených úhlů náklonu nebo pokud by zkouška náklonu znamenala nepřiměřené technické obtíže, lze ji nahradit výpočtem těžiště plavidla a hmotnosti. Výsledek výpočtu hmotnosti se musí zkontrolovat změřením ponoru a rozdíl nesmí překročit ± 5 %.</w:t>
      </w:r>
    </w:p>
    <w:p w:rsidR="00E82B25" w:rsidRPr="003B6E11" w:rsidRDefault="00E82B25" w:rsidP="00E82B25">
      <w:pPr>
        <w:pStyle w:val="ESch"/>
        <w:rPr>
          <w:rFonts w:cs="Arial"/>
          <w:szCs w:val="18"/>
          <w:lang w:val="cs-CZ"/>
        </w:rPr>
      </w:pPr>
    </w:p>
    <w:p w:rsidR="00E82B25" w:rsidRPr="003B6E11" w:rsidRDefault="00E82B25" w:rsidP="00E82B25">
      <w:pPr>
        <w:pStyle w:val="ESch"/>
        <w:rPr>
          <w:rFonts w:cs="Arial"/>
          <w:szCs w:val="18"/>
          <w:lang w:val="cs-CZ"/>
        </w:rPr>
      </w:pPr>
    </w:p>
    <w:p w:rsidR="00E82B25" w:rsidRPr="003B6E11" w:rsidRDefault="00E82B25" w:rsidP="00E82B25">
      <w:pPr>
        <w:pStyle w:val="ES-Titre3"/>
        <w:rPr>
          <w:rFonts w:cs="Arial"/>
          <w:i/>
          <w:szCs w:val="18"/>
          <w:lang w:val="cs-CZ"/>
        </w:rPr>
      </w:pPr>
      <w:bookmarkStart w:id="446" w:name="_Toc491854220"/>
      <w:bookmarkStart w:id="447" w:name="_Toc535417126"/>
      <w:r w:rsidRPr="003B6E11">
        <w:rPr>
          <w:lang w:val="cs-CZ"/>
        </w:rPr>
        <w:t>Článek 22.07</w:t>
      </w:r>
      <w:r w:rsidRPr="003B6E11">
        <w:rPr>
          <w:lang w:val="cs-CZ"/>
        </w:rPr>
        <w:br/>
      </w:r>
      <w:r w:rsidRPr="003B6E11">
        <w:rPr>
          <w:i/>
          <w:noProof/>
          <w:lang w:val="cs-CZ"/>
        </w:rPr>
        <w:t>Potvrzení stability</w:t>
      </w:r>
      <w:bookmarkEnd w:id="446"/>
      <w:bookmarkEnd w:id="447"/>
    </w:p>
    <w:p w:rsidR="00E82B25" w:rsidRPr="003B6E11" w:rsidRDefault="00E82B25" w:rsidP="00E82B25">
      <w:pPr>
        <w:pStyle w:val="ESch"/>
        <w:rPr>
          <w:noProof/>
          <w:lang w:val="cs-CZ"/>
        </w:rPr>
      </w:pPr>
    </w:p>
    <w:p w:rsidR="00E82B25" w:rsidRPr="003B6E11" w:rsidRDefault="00E82B25" w:rsidP="00E82B25">
      <w:pPr>
        <w:pStyle w:val="ESch"/>
        <w:rPr>
          <w:rFonts w:cs="Arial"/>
          <w:szCs w:val="18"/>
          <w:lang w:val="cs-CZ"/>
        </w:rPr>
      </w:pPr>
      <w:r w:rsidRPr="003B6E11">
        <w:rPr>
          <w:lang w:val="cs-CZ"/>
        </w:rPr>
        <w:t xml:space="preserve">1. </w:t>
      </w:r>
      <w:r w:rsidRPr="003B6E11">
        <w:rPr>
          <w:lang w:val="cs-CZ"/>
        </w:rPr>
        <w:tab/>
        <w:t>Je nutno potvrdit, že s přihlédnutím k zatížením, k nimž dochází při provozu pracovního zařízení a během plavby, zbývající volný bok a zbývající bezpečnostní vzdálenost jsou dostatečné. Za tímto účelem nesmí překročit součet úhlů sklonu a náklonu 10° a dno plováku se nesmí vynořit.</w:t>
      </w:r>
    </w:p>
    <w:p w:rsidR="00E82B25" w:rsidRPr="003B6E11" w:rsidRDefault="00E82B25" w:rsidP="00E82B25">
      <w:pPr>
        <w:pStyle w:val="ESch"/>
        <w:rPr>
          <w:noProof/>
          <w:lang w:val="cs-CZ"/>
        </w:rPr>
      </w:pPr>
    </w:p>
    <w:p w:rsidR="00E82B25" w:rsidRPr="003B6E11" w:rsidRDefault="00E82B25" w:rsidP="00E82B25">
      <w:pPr>
        <w:pStyle w:val="ESch"/>
        <w:rPr>
          <w:rFonts w:cs="Arial"/>
          <w:szCs w:val="18"/>
          <w:lang w:val="cs-CZ"/>
        </w:rPr>
      </w:pPr>
      <w:r w:rsidRPr="003B6E11">
        <w:rPr>
          <w:lang w:val="cs-CZ"/>
        </w:rPr>
        <w:t>2.</w:t>
      </w:r>
      <w:r w:rsidRPr="003B6E11">
        <w:rPr>
          <w:lang w:val="cs-CZ"/>
        </w:rPr>
        <w:tab/>
        <w:t>Potvrzení stability zahrnuje tyto údaje a doklady:</w:t>
      </w:r>
    </w:p>
    <w:p w:rsidR="00E82B25" w:rsidRPr="003B6E11" w:rsidRDefault="00E82B25" w:rsidP="00E82B25">
      <w:pPr>
        <w:pStyle w:val="ESlet"/>
        <w:rPr>
          <w:noProof/>
          <w:lang w:val="cs-CZ"/>
        </w:rPr>
      </w:pPr>
      <w:r w:rsidRPr="003B6E11">
        <w:rPr>
          <w:lang w:val="cs-CZ"/>
        </w:rPr>
        <w:t>a)</w:t>
      </w:r>
      <w:r w:rsidRPr="003B6E11">
        <w:rPr>
          <w:lang w:val="cs-CZ"/>
        </w:rPr>
        <w:tab/>
        <w:t>výkresy v měřítku plovoucích těles a pracovního zařízení a podrobné údaje, které jsou nezbytné k potvrzení stability, např. obsah nádrží, otvory umožňující přístup dovnitř plavidla;</w:t>
      </w:r>
    </w:p>
    <w:p w:rsidR="00E82B25" w:rsidRPr="003B6E11" w:rsidRDefault="00E82B25" w:rsidP="00E82B25">
      <w:pPr>
        <w:pStyle w:val="ESlet"/>
        <w:rPr>
          <w:noProof/>
          <w:lang w:val="cs-CZ"/>
        </w:rPr>
      </w:pPr>
      <w:r w:rsidRPr="003B6E11">
        <w:rPr>
          <w:lang w:val="cs-CZ"/>
        </w:rPr>
        <w:t>b)</w:t>
      </w:r>
      <w:r w:rsidRPr="003B6E11">
        <w:rPr>
          <w:lang w:val="cs-CZ"/>
        </w:rPr>
        <w:tab/>
        <w:t>hydrostatické údaje nebo křivky;</w:t>
      </w:r>
    </w:p>
    <w:p w:rsidR="00E82B25" w:rsidRPr="003B6E11" w:rsidRDefault="00E82B25" w:rsidP="00E82B25">
      <w:pPr>
        <w:pStyle w:val="ESlet"/>
        <w:rPr>
          <w:noProof/>
          <w:lang w:val="cs-CZ"/>
        </w:rPr>
      </w:pPr>
      <w:r w:rsidRPr="003B6E11">
        <w:rPr>
          <w:lang w:val="cs-CZ"/>
        </w:rPr>
        <w:t>c)</w:t>
      </w:r>
      <w:r w:rsidRPr="003B6E11">
        <w:rPr>
          <w:lang w:val="cs-CZ"/>
        </w:rPr>
        <w:tab/>
        <w:t>křivky vyrovnávacího ramena páky pro statickou stabilitu, vyžadují-li se podle odstavce 5 nebo podle článku 22.08;</w:t>
      </w:r>
    </w:p>
    <w:p w:rsidR="00E82B25" w:rsidRPr="003B6E11" w:rsidRDefault="00E82B25" w:rsidP="00E82B25">
      <w:pPr>
        <w:pStyle w:val="ESlet"/>
        <w:rPr>
          <w:noProof/>
          <w:lang w:val="cs-CZ"/>
        </w:rPr>
      </w:pPr>
      <w:r w:rsidRPr="003B6E11">
        <w:rPr>
          <w:lang w:val="cs-CZ"/>
        </w:rPr>
        <w:t>d)</w:t>
      </w:r>
      <w:r w:rsidRPr="003B6E11">
        <w:rPr>
          <w:lang w:val="cs-CZ"/>
        </w:rPr>
        <w:tab/>
        <w:t>popis provozních podmínek s odpovídajícími údaji o hmotnosti a těžišti, včetně nenaloženého stavu a stavu zařízení, pokud jde o přepravu;</w:t>
      </w:r>
    </w:p>
    <w:p w:rsidR="00E82B25" w:rsidRPr="003B6E11" w:rsidRDefault="00E82B25" w:rsidP="00E82B25">
      <w:pPr>
        <w:pStyle w:val="ESlet"/>
        <w:rPr>
          <w:noProof/>
          <w:lang w:val="cs-CZ"/>
        </w:rPr>
      </w:pPr>
      <w:r w:rsidRPr="003B6E11">
        <w:rPr>
          <w:lang w:val="cs-CZ"/>
        </w:rPr>
        <w:t>e)</w:t>
      </w:r>
      <w:r w:rsidRPr="003B6E11">
        <w:rPr>
          <w:lang w:val="cs-CZ"/>
        </w:rPr>
        <w:tab/>
        <w:t>výpočet klopného, sklopného a vyrovnávacího momentu s údaji o úhlu sklonu a náklonu a příslušném zbývajícím volném boku a zbývající bezpečnostní vzdálenosti;</w:t>
      </w:r>
    </w:p>
    <w:p w:rsidR="00E82B25" w:rsidRPr="003B6E11" w:rsidRDefault="00E82B25" w:rsidP="00E82B25">
      <w:pPr>
        <w:pStyle w:val="ESlet"/>
        <w:rPr>
          <w:noProof/>
          <w:lang w:val="cs-CZ"/>
        </w:rPr>
      </w:pPr>
      <w:r w:rsidRPr="003B6E11">
        <w:rPr>
          <w:lang w:val="cs-CZ"/>
        </w:rPr>
        <w:t>f)</w:t>
      </w:r>
      <w:r w:rsidRPr="003B6E11">
        <w:rPr>
          <w:lang w:val="cs-CZ"/>
        </w:rPr>
        <w:tab/>
        <w:t>shrnutí výsledků výpočtů s uvedením mezních hodnot týkajících se provozu a největšího zatížení.</w:t>
      </w:r>
    </w:p>
    <w:p w:rsidR="00E82B25" w:rsidRPr="003B6E11" w:rsidRDefault="00E82B25" w:rsidP="00E82B25">
      <w:pPr>
        <w:pStyle w:val="ESch"/>
        <w:rPr>
          <w:noProof/>
          <w:lang w:val="cs-CZ"/>
        </w:rPr>
      </w:pPr>
    </w:p>
    <w:p w:rsidR="00E82B25" w:rsidRPr="003B6E11" w:rsidRDefault="00E82B25" w:rsidP="00E82B25">
      <w:pPr>
        <w:pStyle w:val="ESch"/>
        <w:rPr>
          <w:noProof/>
          <w:lang w:val="cs-CZ"/>
        </w:rPr>
      </w:pPr>
      <w:r w:rsidRPr="003B6E11">
        <w:rPr>
          <w:lang w:val="cs-CZ"/>
        </w:rPr>
        <w:t>3.</w:t>
      </w:r>
      <w:r w:rsidRPr="003B6E11">
        <w:rPr>
          <w:lang w:val="cs-CZ"/>
        </w:rPr>
        <w:tab/>
        <w:t>Potvrzení stability se zakládá nejméně na těchto předpokladech týkajících se zatížení:</w:t>
      </w:r>
    </w:p>
    <w:p w:rsidR="00E82B25" w:rsidRPr="003B6E11" w:rsidRDefault="00E82B25" w:rsidP="00E82B25">
      <w:pPr>
        <w:pStyle w:val="ESlet"/>
        <w:rPr>
          <w:rFonts w:cs="Arial"/>
          <w:szCs w:val="18"/>
          <w:lang w:val="cs-CZ"/>
        </w:rPr>
      </w:pPr>
      <w:r w:rsidRPr="003B6E11">
        <w:rPr>
          <w:lang w:val="cs-CZ"/>
        </w:rPr>
        <w:t>a)</w:t>
      </w:r>
      <w:r w:rsidRPr="003B6E11">
        <w:rPr>
          <w:lang w:val="cs-CZ"/>
        </w:rPr>
        <w:tab/>
        <w:t>hustota vytěženého materiálu u rypadel:</w:t>
      </w:r>
    </w:p>
    <w:p w:rsidR="00E82B25" w:rsidRPr="003B6E11" w:rsidRDefault="00E82B25" w:rsidP="00E82B25">
      <w:pPr>
        <w:pStyle w:val="ESletpar"/>
        <w:rPr>
          <w:rFonts w:cs="Arial"/>
          <w:szCs w:val="18"/>
          <w:lang w:val="cs-CZ"/>
        </w:rPr>
      </w:pPr>
      <w:r w:rsidRPr="003B6E11">
        <w:rPr>
          <w:lang w:val="cs-CZ"/>
        </w:rPr>
        <w:t>písek a štěrk: 1,5 t/m</w:t>
      </w:r>
      <w:r w:rsidRPr="003B6E11">
        <w:rPr>
          <w:noProof/>
          <w:vertAlign w:val="superscript"/>
          <w:lang w:val="cs-CZ"/>
        </w:rPr>
        <w:t>3</w:t>
      </w:r>
      <w:r w:rsidRPr="003B6E11">
        <w:rPr>
          <w:lang w:val="cs-CZ"/>
        </w:rPr>
        <w:t>,</w:t>
      </w:r>
    </w:p>
    <w:p w:rsidR="00E82B25" w:rsidRPr="003B6E11" w:rsidRDefault="00E82B25" w:rsidP="00E82B25">
      <w:pPr>
        <w:pStyle w:val="ESletpar"/>
        <w:rPr>
          <w:rFonts w:cs="Arial"/>
          <w:szCs w:val="18"/>
          <w:lang w:val="cs-CZ"/>
        </w:rPr>
      </w:pPr>
      <w:r w:rsidRPr="003B6E11">
        <w:rPr>
          <w:lang w:val="cs-CZ"/>
        </w:rPr>
        <w:t>velmi mokrý písek: 2,0 t/m</w:t>
      </w:r>
      <w:r w:rsidRPr="003B6E11">
        <w:rPr>
          <w:noProof/>
          <w:vertAlign w:val="superscript"/>
          <w:lang w:val="cs-CZ"/>
        </w:rPr>
        <w:t>3</w:t>
      </w:r>
      <w:r w:rsidRPr="003B6E11">
        <w:rPr>
          <w:lang w:val="cs-CZ"/>
        </w:rPr>
        <w:t>,</w:t>
      </w:r>
    </w:p>
    <w:p w:rsidR="00E82B25" w:rsidRPr="003B6E11" w:rsidRDefault="00E82B25" w:rsidP="00E82B25">
      <w:pPr>
        <w:pStyle w:val="ESletpar"/>
        <w:rPr>
          <w:rFonts w:cs="Arial"/>
          <w:szCs w:val="18"/>
          <w:lang w:val="cs-CZ"/>
        </w:rPr>
      </w:pPr>
      <w:r w:rsidRPr="003B6E11">
        <w:rPr>
          <w:lang w:val="cs-CZ"/>
        </w:rPr>
        <w:t>zemina v průměru: 1,8 t/m</w:t>
      </w:r>
      <w:r w:rsidRPr="003B6E11">
        <w:rPr>
          <w:noProof/>
          <w:vertAlign w:val="superscript"/>
          <w:lang w:val="cs-CZ"/>
        </w:rPr>
        <w:t>3</w:t>
      </w:r>
      <w:r w:rsidRPr="003B6E11">
        <w:rPr>
          <w:lang w:val="cs-CZ"/>
        </w:rPr>
        <w:t>,</w:t>
      </w:r>
    </w:p>
    <w:p w:rsidR="00E82B25" w:rsidRPr="003B6E11" w:rsidRDefault="00E82B25" w:rsidP="00E82B25">
      <w:pPr>
        <w:pStyle w:val="ESletpar"/>
        <w:rPr>
          <w:rFonts w:cs="Arial"/>
          <w:szCs w:val="18"/>
          <w:lang w:val="cs-CZ"/>
        </w:rPr>
      </w:pPr>
      <w:r w:rsidRPr="003B6E11">
        <w:rPr>
          <w:lang w:val="cs-CZ"/>
        </w:rPr>
        <w:t>směs písku a vody v potrubích: 1,3 t/m</w:t>
      </w:r>
      <w:r w:rsidRPr="003B6E11">
        <w:rPr>
          <w:noProof/>
          <w:vertAlign w:val="superscript"/>
          <w:lang w:val="cs-CZ"/>
        </w:rPr>
        <w:t>3</w:t>
      </w:r>
      <w:r w:rsidRPr="003B6E11">
        <w:rPr>
          <w:lang w:val="cs-CZ"/>
        </w:rPr>
        <w:t>,</w:t>
      </w:r>
    </w:p>
    <w:p w:rsidR="00E82B25" w:rsidRPr="003B6E11" w:rsidRDefault="00E82B25" w:rsidP="00E82B25">
      <w:pPr>
        <w:pStyle w:val="ESlet"/>
        <w:rPr>
          <w:noProof/>
          <w:lang w:val="cs-CZ"/>
        </w:rPr>
      </w:pPr>
      <w:r w:rsidRPr="003B6E11">
        <w:rPr>
          <w:lang w:val="cs-CZ"/>
        </w:rPr>
        <w:br w:type="page"/>
      </w:r>
    </w:p>
    <w:p w:rsidR="00E82B25" w:rsidRPr="003B6E11" w:rsidRDefault="00E82B25" w:rsidP="00E82B25">
      <w:pPr>
        <w:pStyle w:val="ESlet"/>
        <w:rPr>
          <w:noProof/>
          <w:lang w:val="cs-CZ"/>
        </w:rPr>
      </w:pPr>
      <w:r w:rsidRPr="003B6E11">
        <w:rPr>
          <w:lang w:val="cs-CZ"/>
        </w:rPr>
        <w:t>b)</w:t>
      </w:r>
      <w:r w:rsidRPr="003B6E11">
        <w:rPr>
          <w:lang w:val="cs-CZ"/>
        </w:rPr>
        <w:tab/>
        <w:t>u drapákových rypadel se hodnoty uvedené v písmenu a) zvyšují o 15 %;</w:t>
      </w:r>
    </w:p>
    <w:p w:rsidR="00E82B25" w:rsidRPr="003B6E11" w:rsidRDefault="00E82B25" w:rsidP="00E82B25">
      <w:pPr>
        <w:pStyle w:val="ESlet"/>
        <w:rPr>
          <w:noProof/>
          <w:lang w:val="cs-CZ"/>
        </w:rPr>
      </w:pPr>
      <w:r w:rsidRPr="003B6E11">
        <w:rPr>
          <w:lang w:val="cs-CZ"/>
        </w:rPr>
        <w:t>c)</w:t>
      </w:r>
      <w:r w:rsidRPr="003B6E11">
        <w:rPr>
          <w:lang w:val="cs-CZ"/>
        </w:rPr>
        <w:tab/>
        <w:t>u hydraulických rypadel se uvažuje nejvyšší nosnost.</w:t>
      </w:r>
    </w:p>
    <w:p w:rsidR="00E82B25" w:rsidRPr="003B6E11" w:rsidRDefault="00E82B25" w:rsidP="00E82B25">
      <w:pPr>
        <w:pStyle w:val="ESch"/>
        <w:rPr>
          <w:noProof/>
          <w:lang w:val="cs-CZ"/>
        </w:rPr>
      </w:pPr>
    </w:p>
    <w:p w:rsidR="00E82B25" w:rsidRPr="003B6E11" w:rsidRDefault="00E82B25" w:rsidP="00E82B25">
      <w:pPr>
        <w:pStyle w:val="ESch"/>
        <w:rPr>
          <w:noProof/>
          <w:lang w:val="cs-CZ"/>
        </w:rPr>
      </w:pPr>
      <w:r w:rsidRPr="003B6E11">
        <w:rPr>
          <w:lang w:val="cs-CZ"/>
        </w:rPr>
        <w:t>4.</w:t>
      </w:r>
      <w:r w:rsidRPr="003B6E11">
        <w:rPr>
          <w:lang w:val="cs-CZ"/>
        </w:rPr>
        <w:tab/>
        <w:t>Při potvrzení stability se berou v úvahu momenty plynoucí ze:</w:t>
      </w:r>
    </w:p>
    <w:p w:rsidR="00E82B25" w:rsidRPr="003B6E11" w:rsidRDefault="00E82B25" w:rsidP="00E82B25">
      <w:pPr>
        <w:pStyle w:val="ESlet"/>
        <w:rPr>
          <w:noProof/>
          <w:lang w:val="cs-CZ"/>
        </w:rPr>
      </w:pPr>
      <w:r w:rsidRPr="003B6E11">
        <w:rPr>
          <w:lang w:val="cs-CZ"/>
        </w:rPr>
        <w:t>a)</w:t>
      </w:r>
      <w:r w:rsidRPr="003B6E11">
        <w:rPr>
          <w:lang w:val="cs-CZ"/>
        </w:rPr>
        <w:tab/>
        <w:t>zatížení;</w:t>
      </w:r>
    </w:p>
    <w:p w:rsidR="00E82B25" w:rsidRPr="003B6E11" w:rsidRDefault="00E82B25" w:rsidP="00E82B25">
      <w:pPr>
        <w:pStyle w:val="ESlet"/>
        <w:rPr>
          <w:noProof/>
          <w:lang w:val="cs-CZ"/>
        </w:rPr>
      </w:pPr>
      <w:r w:rsidRPr="003B6E11">
        <w:rPr>
          <w:lang w:val="cs-CZ"/>
        </w:rPr>
        <w:t>b)</w:t>
      </w:r>
      <w:r w:rsidRPr="003B6E11">
        <w:rPr>
          <w:lang w:val="cs-CZ"/>
        </w:rPr>
        <w:tab/>
        <w:t>nesouměrné konstrukce;</w:t>
      </w:r>
    </w:p>
    <w:p w:rsidR="00E82B25" w:rsidRPr="003B6E11" w:rsidRDefault="00E82B25" w:rsidP="00E82B25">
      <w:pPr>
        <w:pStyle w:val="ESlet"/>
        <w:rPr>
          <w:noProof/>
          <w:lang w:val="cs-CZ"/>
        </w:rPr>
      </w:pPr>
      <w:r w:rsidRPr="003B6E11">
        <w:rPr>
          <w:lang w:val="cs-CZ"/>
        </w:rPr>
        <w:t>c)</w:t>
      </w:r>
      <w:r w:rsidRPr="003B6E11">
        <w:rPr>
          <w:lang w:val="cs-CZ"/>
        </w:rPr>
        <w:tab/>
        <w:t>tlaku větru;</w:t>
      </w:r>
    </w:p>
    <w:p w:rsidR="00E82B25" w:rsidRPr="003B6E11" w:rsidRDefault="00E82B25" w:rsidP="00E82B25">
      <w:pPr>
        <w:pStyle w:val="ESlet"/>
        <w:rPr>
          <w:noProof/>
          <w:lang w:val="cs-CZ"/>
        </w:rPr>
      </w:pPr>
      <w:r w:rsidRPr="003B6E11">
        <w:rPr>
          <w:lang w:val="cs-CZ"/>
        </w:rPr>
        <w:t>d)</w:t>
      </w:r>
      <w:r w:rsidRPr="003B6E11">
        <w:rPr>
          <w:lang w:val="cs-CZ"/>
        </w:rPr>
        <w:tab/>
        <w:t>otáčení plovoucího stroje s vlastním pohonem během plavby;</w:t>
      </w:r>
    </w:p>
    <w:p w:rsidR="00E82B25" w:rsidRPr="003B6E11" w:rsidRDefault="00E82B25" w:rsidP="00E82B25">
      <w:pPr>
        <w:pStyle w:val="ESlet"/>
        <w:rPr>
          <w:noProof/>
          <w:lang w:val="cs-CZ"/>
        </w:rPr>
      </w:pPr>
      <w:r w:rsidRPr="003B6E11">
        <w:rPr>
          <w:lang w:val="cs-CZ"/>
        </w:rPr>
        <w:t>e)</w:t>
      </w:r>
      <w:r w:rsidRPr="003B6E11">
        <w:rPr>
          <w:lang w:val="cs-CZ"/>
        </w:rPr>
        <w:tab/>
        <w:t>případného příčného proudění;</w:t>
      </w:r>
    </w:p>
    <w:p w:rsidR="00E82B25" w:rsidRPr="003B6E11" w:rsidRDefault="00E82B25" w:rsidP="00E82B25">
      <w:pPr>
        <w:pStyle w:val="ESlet"/>
        <w:rPr>
          <w:noProof/>
          <w:lang w:val="cs-CZ"/>
        </w:rPr>
      </w:pPr>
      <w:r w:rsidRPr="003B6E11">
        <w:rPr>
          <w:lang w:val="cs-CZ"/>
        </w:rPr>
        <w:t>f)</w:t>
      </w:r>
      <w:r w:rsidRPr="003B6E11">
        <w:rPr>
          <w:lang w:val="cs-CZ"/>
        </w:rPr>
        <w:tab/>
        <w:t>zátěže a zásob;</w:t>
      </w:r>
    </w:p>
    <w:p w:rsidR="00E82B25" w:rsidRPr="003B6E11" w:rsidRDefault="00E82B25" w:rsidP="00E82B25">
      <w:pPr>
        <w:pStyle w:val="ESlet"/>
        <w:rPr>
          <w:noProof/>
          <w:lang w:val="cs-CZ"/>
        </w:rPr>
      </w:pPr>
      <w:r w:rsidRPr="003B6E11">
        <w:rPr>
          <w:lang w:val="cs-CZ"/>
        </w:rPr>
        <w:t>g)</w:t>
      </w:r>
      <w:r w:rsidRPr="003B6E11">
        <w:rPr>
          <w:lang w:val="cs-CZ"/>
        </w:rPr>
        <w:tab/>
        <w:t>zatížení paluby a popřípadě nákladu;</w:t>
      </w:r>
    </w:p>
    <w:p w:rsidR="00E82B25" w:rsidRPr="003B6E11" w:rsidRDefault="00E82B25" w:rsidP="00E82B25">
      <w:pPr>
        <w:pStyle w:val="ESlet"/>
        <w:rPr>
          <w:rFonts w:cs="Arial"/>
          <w:szCs w:val="18"/>
          <w:lang w:val="cs-CZ"/>
        </w:rPr>
      </w:pPr>
      <w:r w:rsidRPr="003B6E11">
        <w:rPr>
          <w:lang w:val="cs-CZ"/>
        </w:rPr>
        <w:t>h)</w:t>
      </w:r>
      <w:r w:rsidRPr="003B6E11">
        <w:rPr>
          <w:lang w:val="cs-CZ"/>
        </w:rPr>
        <w:tab/>
        <w:t>volných hladin kapalin;</w:t>
      </w:r>
    </w:p>
    <w:p w:rsidR="00E82B25" w:rsidRPr="003B6E11" w:rsidRDefault="00E82B25" w:rsidP="00E82B25">
      <w:pPr>
        <w:pStyle w:val="ESlet"/>
        <w:rPr>
          <w:rFonts w:cs="Arial"/>
          <w:szCs w:val="18"/>
          <w:lang w:val="cs-CZ"/>
        </w:rPr>
      </w:pPr>
      <w:r w:rsidRPr="003B6E11">
        <w:rPr>
          <w:lang w:val="cs-CZ"/>
        </w:rPr>
        <w:t>i)</w:t>
      </w:r>
      <w:r w:rsidRPr="003B6E11">
        <w:rPr>
          <w:lang w:val="cs-CZ"/>
        </w:rPr>
        <w:tab/>
        <w:t>setrvačných sil;</w:t>
      </w:r>
    </w:p>
    <w:p w:rsidR="00E82B25" w:rsidRPr="003B6E11" w:rsidRDefault="00E82B25" w:rsidP="00E82B25">
      <w:pPr>
        <w:pStyle w:val="ESlet"/>
        <w:rPr>
          <w:rFonts w:cs="Arial"/>
          <w:szCs w:val="18"/>
          <w:lang w:val="cs-CZ"/>
        </w:rPr>
      </w:pPr>
      <w:r w:rsidRPr="003B6E11">
        <w:rPr>
          <w:lang w:val="cs-CZ"/>
        </w:rPr>
        <w:t>j)</w:t>
      </w:r>
      <w:r w:rsidRPr="003B6E11">
        <w:rPr>
          <w:lang w:val="cs-CZ"/>
        </w:rPr>
        <w:tab/>
        <w:t>ostatních mechanických zařízení.</w:t>
      </w:r>
    </w:p>
    <w:p w:rsidR="00E82B25" w:rsidRPr="003B6E11" w:rsidRDefault="00E82B25" w:rsidP="00E82B25">
      <w:pPr>
        <w:pStyle w:val="ESch"/>
        <w:rPr>
          <w:noProof/>
          <w:lang w:val="cs-CZ"/>
        </w:rPr>
      </w:pPr>
    </w:p>
    <w:p w:rsidR="00E82B25" w:rsidRPr="003B6E11" w:rsidRDefault="00E82B25" w:rsidP="00E82B25">
      <w:pPr>
        <w:pStyle w:val="ESchpar"/>
        <w:rPr>
          <w:rFonts w:cs="Arial"/>
          <w:szCs w:val="18"/>
          <w:lang w:val="cs-CZ"/>
        </w:rPr>
      </w:pPr>
      <w:r w:rsidRPr="003B6E11">
        <w:rPr>
          <w:lang w:val="cs-CZ"/>
        </w:rPr>
        <w:t>Momenty, které mohou působit současně, se sčítají.</w:t>
      </w:r>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t>5.</w:t>
      </w:r>
      <w:r w:rsidRPr="003B6E11">
        <w:rPr>
          <w:lang w:val="cs-CZ"/>
        </w:rPr>
        <w:tab/>
        <w:t>Moment způsobený tlakem větru se vypočte podle tohoto vzorce:</w:t>
      </w:r>
    </w:p>
    <w:p w:rsidR="00E82B25" w:rsidRPr="003B6E11" w:rsidRDefault="00E82B25" w:rsidP="00E82B25">
      <w:pPr>
        <w:pStyle w:val="ESch"/>
        <w:rPr>
          <w:lang w:val="cs-CZ"/>
        </w:rPr>
      </w:pPr>
    </w:p>
    <w:p w:rsidR="00E82B25" w:rsidRPr="003B6E11" w:rsidRDefault="002D015D" w:rsidP="00E82B25">
      <w:pPr>
        <w:pStyle w:val="ESch"/>
        <w:rPr>
          <w:lang w:val="cs-CZ"/>
        </w:rPr>
      </w:pPr>
      <m:oMathPara>
        <m:oMath>
          <m:sSub>
            <m:sSubPr>
              <m:ctrlPr>
                <w:rPr>
                  <w:rFonts w:ascii="Cambria Math" w:hAnsi="Cambria Math"/>
                  <w:i/>
                  <w:lang w:val="cs-CZ"/>
                </w:rPr>
              </m:ctrlPr>
            </m:sSubPr>
            <m:e>
              <m:r>
                <w:rPr>
                  <w:rFonts w:ascii="Cambria Math" w:hAnsi="Cambria Math"/>
                  <w:lang w:val="cs-CZ"/>
                </w:rPr>
                <m:t>M</m:t>
              </m:r>
            </m:e>
            <m:sub>
              <m:r>
                <w:rPr>
                  <w:rFonts w:ascii="Cambria Math" w:hAnsi="Cambria Math"/>
                  <w:lang w:val="cs-CZ"/>
                </w:rPr>
                <m:t>W</m:t>
              </m:r>
            </m:sub>
          </m:sSub>
          <m:r>
            <w:rPr>
              <w:rFonts w:ascii="Cambria Math" w:hAnsi="Cambria Math"/>
              <w:lang w:val="cs-CZ"/>
            </w:rPr>
            <m:t xml:space="preserve">=c ∙ </m:t>
          </m:r>
          <m:sSub>
            <m:sSubPr>
              <m:ctrlPr>
                <w:rPr>
                  <w:rFonts w:ascii="Cambria Math" w:hAnsi="Cambria Math"/>
                  <w:i/>
                  <w:lang w:val="cs-CZ"/>
                </w:rPr>
              </m:ctrlPr>
            </m:sSubPr>
            <m:e>
              <m:r>
                <w:rPr>
                  <w:rFonts w:ascii="Cambria Math" w:hAnsi="Cambria Math"/>
                  <w:lang w:val="cs-CZ"/>
                </w:rPr>
                <m:t>P</m:t>
              </m:r>
            </m:e>
            <m:sub>
              <m:r>
                <w:rPr>
                  <w:rFonts w:ascii="Cambria Math" w:hAnsi="Cambria Math"/>
                  <w:lang w:val="cs-CZ"/>
                </w:rPr>
                <m:t>W</m:t>
              </m:r>
            </m:sub>
          </m:sSub>
          <m:r>
            <w:rPr>
              <w:rFonts w:ascii="Cambria Math" w:hAnsi="Cambria Math"/>
              <w:lang w:val="cs-CZ"/>
            </w:rPr>
            <m:t xml:space="preserve"> ∙ </m:t>
          </m:r>
          <m:sSub>
            <m:sSubPr>
              <m:ctrlPr>
                <w:rPr>
                  <w:rFonts w:ascii="Cambria Math" w:hAnsi="Cambria Math"/>
                  <w:i/>
                  <w:lang w:val="cs-CZ"/>
                </w:rPr>
              </m:ctrlPr>
            </m:sSubPr>
            <m:e>
              <m:r>
                <w:rPr>
                  <w:rFonts w:ascii="Cambria Math" w:hAnsi="Cambria Math"/>
                  <w:lang w:val="cs-CZ"/>
                </w:rPr>
                <m:t>A</m:t>
              </m:r>
            </m:e>
            <m:sub>
              <m:r>
                <w:rPr>
                  <w:rFonts w:ascii="Cambria Math" w:hAnsi="Cambria Math"/>
                  <w:lang w:val="cs-CZ"/>
                </w:rPr>
                <m:t>w</m:t>
              </m:r>
            </m:sub>
          </m:sSub>
          <m:r>
            <w:rPr>
              <w:rFonts w:ascii="Cambria Math" w:hAnsi="Cambria Math"/>
              <w:lang w:val="cs-CZ"/>
            </w:rPr>
            <m:t xml:space="preserve"> ∙</m:t>
          </m:r>
          <m:d>
            <m:dPr>
              <m:ctrlPr>
                <w:rPr>
                  <w:rFonts w:ascii="Cambria Math" w:hAnsi="Cambria Math"/>
                  <w:i/>
                  <w:lang w:val="cs-CZ"/>
                </w:rPr>
              </m:ctrlPr>
            </m:dPr>
            <m:e>
              <m:sSub>
                <m:sSubPr>
                  <m:ctrlPr>
                    <w:rPr>
                      <w:rFonts w:ascii="Cambria Math" w:hAnsi="Cambria Math"/>
                      <w:i/>
                      <w:lang w:val="cs-CZ"/>
                    </w:rPr>
                  </m:ctrlPr>
                </m:sSubPr>
                <m:e>
                  <m:r>
                    <w:rPr>
                      <w:rFonts w:ascii="Cambria Math" w:hAnsi="Cambria Math"/>
                      <w:lang w:val="cs-CZ"/>
                    </w:rPr>
                    <m:t>l</m:t>
                  </m:r>
                </m:e>
                <m:sub>
                  <m:r>
                    <w:rPr>
                      <w:rFonts w:ascii="Cambria Math" w:hAnsi="Cambria Math"/>
                      <w:lang w:val="cs-CZ"/>
                    </w:rPr>
                    <m:t>W</m:t>
                  </m:r>
                </m:sub>
              </m:sSub>
              <m:r>
                <w:rPr>
                  <w:rFonts w:ascii="Cambria Math" w:hAnsi="Cambria Math"/>
                  <w:lang w:val="cs-CZ"/>
                </w:rPr>
                <m:t>+</m:t>
              </m:r>
              <m:f>
                <m:fPr>
                  <m:ctrlPr>
                    <w:rPr>
                      <w:rFonts w:ascii="Cambria Math" w:hAnsi="Cambria Math"/>
                      <w:i/>
                      <w:lang w:val="cs-CZ"/>
                    </w:rPr>
                  </m:ctrlPr>
                </m:fPr>
                <m:num>
                  <m:r>
                    <w:rPr>
                      <w:rFonts w:ascii="Cambria Math" w:hAnsi="Cambria Math"/>
                      <w:lang w:val="cs-CZ"/>
                    </w:rPr>
                    <m:t>T</m:t>
                  </m:r>
                </m:num>
                <m:den>
                  <m:r>
                    <w:rPr>
                      <w:rFonts w:ascii="Cambria Math" w:hAnsi="Cambria Math"/>
                      <w:lang w:val="cs-CZ"/>
                    </w:rPr>
                    <m:t>2</m:t>
                  </m:r>
                </m:den>
              </m:f>
            </m:e>
          </m:d>
          <m:r>
            <w:rPr>
              <w:rFonts w:ascii="Cambria Math" w:hAnsi="Cambria Math"/>
              <w:lang w:val="cs-CZ"/>
            </w:rPr>
            <m:t xml:space="preserve"> </m:t>
          </m:r>
          <m:d>
            <m:dPr>
              <m:begChr m:val="["/>
              <m:endChr m:val="]"/>
              <m:ctrlPr>
                <w:rPr>
                  <w:rFonts w:ascii="Cambria Math" w:hAnsi="Cambria Math"/>
                  <w:i/>
                  <w:lang w:val="cs-CZ"/>
                </w:rPr>
              </m:ctrlPr>
            </m:dPr>
            <m:e>
              <m:r>
                <w:rPr>
                  <w:rFonts w:ascii="Cambria Math" w:hAnsi="Cambria Math"/>
                  <w:lang w:val="cs-CZ"/>
                </w:rPr>
                <m:t>kNm</m:t>
              </m:r>
            </m:e>
          </m:d>
        </m:oMath>
      </m:oMathPara>
    </w:p>
    <w:p w:rsidR="00E82B25" w:rsidRPr="003B6E11" w:rsidRDefault="00E82B25" w:rsidP="00E82B25">
      <w:pPr>
        <w:pStyle w:val="ESch"/>
        <w:rPr>
          <w:lang w:val="cs-CZ"/>
        </w:rPr>
      </w:pPr>
    </w:p>
    <w:p w:rsidR="00E82B25" w:rsidRPr="003B6E11" w:rsidRDefault="00E82B25" w:rsidP="00E82B25">
      <w:pPr>
        <w:pStyle w:val="ESlet"/>
        <w:rPr>
          <w:lang w:val="cs-CZ"/>
        </w:rPr>
      </w:pPr>
      <w:r w:rsidRPr="003B6E11">
        <w:rPr>
          <w:lang w:val="cs-CZ"/>
        </w:rPr>
        <w:t>kde:</w:t>
      </w:r>
    </w:p>
    <w:p w:rsidR="00E82B25" w:rsidRPr="003B6E11" w:rsidRDefault="00E82B25" w:rsidP="00E82B25">
      <w:pPr>
        <w:pStyle w:val="ESlet"/>
        <w:rPr>
          <w:lang w:val="cs-CZ"/>
        </w:rPr>
      </w:pPr>
      <m:oMath>
        <m:r>
          <w:rPr>
            <w:rFonts w:ascii="Cambria Math" w:hAnsi="Cambria Math"/>
            <w:lang w:val="cs-CZ"/>
          </w:rPr>
          <m:t>c</m:t>
        </m:r>
      </m:oMath>
      <w:r w:rsidRPr="003B6E11">
        <w:rPr>
          <w:lang w:val="cs-CZ"/>
        </w:rPr>
        <w:tab/>
        <w:t xml:space="preserve"> =</w:t>
      </w:r>
      <w:r w:rsidRPr="003B6E11">
        <w:rPr>
          <w:lang w:val="cs-CZ"/>
        </w:rPr>
        <w:tab/>
        <w:t>koeficient odporu v závislosti na tvaru</w:t>
      </w:r>
    </w:p>
    <w:p w:rsidR="00E82B25" w:rsidRPr="003B6E11" w:rsidRDefault="00E82B25" w:rsidP="00E82B25">
      <w:pPr>
        <w:pStyle w:val="EStiretpar"/>
        <w:rPr>
          <w:lang w:val="cs-CZ"/>
        </w:rPr>
      </w:pPr>
      <w:r w:rsidRPr="003B6E11">
        <w:rPr>
          <w:lang w:val="cs-CZ"/>
        </w:rPr>
        <w:t xml:space="preserve">U rámových konstrukcí </w:t>
      </w:r>
      <m:oMath>
        <m:r>
          <w:rPr>
            <w:rFonts w:ascii="Cambria Math" w:hAnsi="Cambria Math"/>
            <w:lang w:val="cs-CZ"/>
          </w:rPr>
          <m:t>c=1,2</m:t>
        </m:r>
      </m:oMath>
      <w:r w:rsidRPr="003B6E11">
        <w:rPr>
          <w:lang w:val="cs-CZ"/>
        </w:rPr>
        <w:t xml:space="preserve"> a u plnostěnných nosníků </w:t>
      </w:r>
      <m:oMath>
        <m:r>
          <w:rPr>
            <w:rFonts w:ascii="Cambria Math" w:hAnsi="Cambria Math"/>
            <w:lang w:val="cs-CZ"/>
          </w:rPr>
          <m:t>c=1,6</m:t>
        </m:r>
      </m:oMath>
      <w:r w:rsidRPr="003B6E11">
        <w:rPr>
          <w:lang w:val="cs-CZ"/>
        </w:rPr>
        <w:t>. Obě hodnoty berou v úvahu nárazy větru.</w:t>
      </w:r>
    </w:p>
    <w:p w:rsidR="00E82B25" w:rsidRPr="003B6E11" w:rsidRDefault="00E82B25" w:rsidP="00E82B25">
      <w:pPr>
        <w:pStyle w:val="EStiretpar"/>
        <w:rPr>
          <w:lang w:val="cs-CZ"/>
        </w:rPr>
      </w:pPr>
      <w:r w:rsidRPr="003B6E11">
        <w:rPr>
          <w:lang w:val="cs-CZ"/>
        </w:rPr>
        <w:t>Za povrchovou plochu vystavenou větru se považuje celá plocha uzavřená obrysem rámové konstrukce.</w:t>
      </w:r>
    </w:p>
    <w:p w:rsidR="00E82B25" w:rsidRPr="003B6E11" w:rsidRDefault="002D015D" w:rsidP="00E82B25">
      <w:pPr>
        <w:pStyle w:val="ESlet"/>
        <w:rPr>
          <w:lang w:val="cs-CZ"/>
        </w:rPr>
      </w:pPr>
      <m:oMath>
        <m:sSub>
          <m:sSubPr>
            <m:ctrlPr>
              <w:rPr>
                <w:rFonts w:ascii="Cambria Math" w:hAnsi="Cambria Math"/>
                <w:i/>
                <w:lang w:val="cs-CZ"/>
              </w:rPr>
            </m:ctrlPr>
          </m:sSubPr>
          <m:e>
            <m:r>
              <w:rPr>
                <w:rFonts w:ascii="Cambria Math" w:hAnsi="Cambria Math"/>
                <w:lang w:val="cs-CZ"/>
              </w:rPr>
              <m:t>P</m:t>
            </m:r>
          </m:e>
          <m:sub>
            <m:r>
              <w:rPr>
                <w:rFonts w:ascii="Cambria Math" w:hAnsi="Cambria Math"/>
                <w:lang w:val="cs-CZ"/>
              </w:rPr>
              <m:t>W</m:t>
            </m:r>
          </m:sub>
        </m:sSub>
      </m:oMath>
      <w:r w:rsidR="00E82B25" w:rsidRPr="003B6E11">
        <w:rPr>
          <w:lang w:val="cs-CZ"/>
        </w:rPr>
        <w:tab/>
        <w:t>=</w:t>
      </w:r>
      <w:r w:rsidR="00E82B25" w:rsidRPr="003B6E11">
        <w:rPr>
          <w:lang w:val="cs-CZ"/>
        </w:rPr>
        <w:tab/>
        <w:t>specifický tlak větru; použije se jednotně hodnota 0,25 kN/m</w:t>
      </w:r>
      <w:r w:rsidR="00E82B25" w:rsidRPr="003B6E11">
        <w:rPr>
          <w:vertAlign w:val="superscript"/>
          <w:lang w:val="cs-CZ"/>
        </w:rPr>
        <w:t>2</w:t>
      </w:r>
      <w:r w:rsidR="00E82B25" w:rsidRPr="003B6E11">
        <w:rPr>
          <w:lang w:val="cs-CZ"/>
        </w:rPr>
        <w:t>;</w:t>
      </w:r>
    </w:p>
    <w:p w:rsidR="00E82B25" w:rsidRPr="003B6E11" w:rsidRDefault="002D015D" w:rsidP="00E82B25">
      <w:pPr>
        <w:pStyle w:val="ESlet"/>
        <w:tabs>
          <w:tab w:val="left" w:pos="993"/>
        </w:tabs>
        <w:ind w:left="1418" w:hanging="851"/>
        <w:rPr>
          <w:lang w:val="cs-CZ"/>
        </w:rPr>
      </w:pPr>
      <m:oMath>
        <m:sSub>
          <m:sSubPr>
            <m:ctrlPr>
              <w:rPr>
                <w:rFonts w:ascii="Cambria Math" w:hAnsi="Cambria Math"/>
                <w:i/>
                <w:lang w:val="cs-CZ"/>
              </w:rPr>
            </m:ctrlPr>
          </m:sSubPr>
          <m:e>
            <m:r>
              <w:rPr>
                <w:rFonts w:ascii="Cambria Math" w:hAnsi="Cambria Math"/>
                <w:lang w:val="cs-CZ"/>
              </w:rPr>
              <m:t>A</m:t>
            </m:r>
          </m:e>
          <m:sub>
            <m:r>
              <w:rPr>
                <w:rFonts w:ascii="Cambria Math" w:hAnsi="Cambria Math"/>
                <w:lang w:val="cs-CZ"/>
              </w:rPr>
              <m:t>W</m:t>
            </m:r>
          </m:sub>
        </m:sSub>
      </m:oMath>
      <w:r w:rsidR="00E82B25" w:rsidRPr="003B6E11">
        <w:rPr>
          <w:lang w:val="cs-CZ"/>
        </w:rPr>
        <w:tab/>
        <w:t>=</w:t>
      </w:r>
      <w:r w:rsidR="00E82B25" w:rsidRPr="003B6E11">
        <w:rPr>
          <w:lang w:val="cs-CZ"/>
        </w:rPr>
        <w:tab/>
        <w:t>boční plocha lodi nad rovinou ponoru podle uvažované podmínky zatížení v m</w:t>
      </w:r>
      <w:r w:rsidR="00E82B25" w:rsidRPr="003B6E11">
        <w:rPr>
          <w:vertAlign w:val="superscript"/>
          <w:lang w:val="cs-CZ"/>
        </w:rPr>
        <w:t>2</w:t>
      </w:r>
      <w:r w:rsidR="00E82B25" w:rsidRPr="003B6E11">
        <w:rPr>
          <w:lang w:val="cs-CZ"/>
        </w:rPr>
        <w:t>,</w:t>
      </w:r>
    </w:p>
    <w:p w:rsidR="00E82B25" w:rsidRPr="003B6E11" w:rsidRDefault="002D015D" w:rsidP="00E82B25">
      <w:pPr>
        <w:pStyle w:val="ESlet"/>
        <w:tabs>
          <w:tab w:val="left" w:pos="993"/>
        </w:tabs>
        <w:ind w:left="1418" w:hanging="851"/>
        <w:rPr>
          <w:lang w:val="cs-CZ"/>
        </w:rPr>
      </w:pPr>
      <m:oMath>
        <m:sSub>
          <m:sSubPr>
            <m:ctrlPr>
              <w:rPr>
                <w:rFonts w:ascii="Cambria Math" w:hAnsi="Cambria Math"/>
                <w:i/>
                <w:lang w:val="cs-CZ"/>
              </w:rPr>
            </m:ctrlPr>
          </m:sSubPr>
          <m:e>
            <m:r>
              <w:rPr>
                <w:rFonts w:ascii="Cambria Math" w:hAnsi="Cambria Math"/>
                <w:lang w:val="cs-CZ"/>
              </w:rPr>
              <m:t>l</m:t>
            </m:r>
          </m:e>
          <m:sub>
            <m:r>
              <w:rPr>
                <w:rFonts w:ascii="Cambria Math" w:hAnsi="Cambria Math"/>
                <w:lang w:val="cs-CZ"/>
              </w:rPr>
              <m:t>W</m:t>
            </m:r>
          </m:sub>
        </m:sSub>
      </m:oMath>
      <w:r w:rsidR="00E82B25" w:rsidRPr="003B6E11">
        <w:rPr>
          <w:lang w:val="cs-CZ"/>
        </w:rPr>
        <w:t xml:space="preserve"> </w:t>
      </w:r>
      <w:r w:rsidR="00E82B25" w:rsidRPr="003B6E11">
        <w:rPr>
          <w:lang w:val="cs-CZ"/>
        </w:rPr>
        <w:tab/>
        <w:t>=</w:t>
      </w:r>
      <w:r w:rsidR="00E82B25" w:rsidRPr="003B6E11">
        <w:rPr>
          <w:lang w:val="cs-CZ"/>
        </w:rPr>
        <w:tab/>
        <w:t xml:space="preserve">vzdálenost těžiště boční plochy </w:t>
      </w:r>
      <m:oMath>
        <m:sSub>
          <m:sSubPr>
            <m:ctrlPr>
              <w:rPr>
                <w:rFonts w:ascii="Cambria Math" w:hAnsi="Cambria Math"/>
                <w:i/>
                <w:lang w:val="cs-CZ"/>
              </w:rPr>
            </m:ctrlPr>
          </m:sSubPr>
          <m:e>
            <m:r>
              <w:rPr>
                <w:rFonts w:ascii="Cambria Math" w:hAnsi="Cambria Math"/>
                <w:lang w:val="cs-CZ"/>
              </w:rPr>
              <m:t>A</m:t>
            </m:r>
          </m:e>
          <m:sub>
            <m:r>
              <w:rPr>
                <w:rFonts w:ascii="Cambria Math" w:hAnsi="Cambria Math"/>
                <w:lang w:val="cs-CZ"/>
              </w:rPr>
              <m:t>W</m:t>
            </m:r>
          </m:sub>
        </m:sSub>
      </m:oMath>
      <w:r w:rsidR="00E82B25" w:rsidRPr="003B6E11">
        <w:rPr>
          <w:lang w:val="cs-CZ"/>
        </w:rPr>
        <w:t xml:space="preserve"> od roviny ponoru podle uvažované podmínky zatížení v (m).</w:t>
      </w:r>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t>6.</w:t>
      </w:r>
      <w:r w:rsidRPr="003B6E11">
        <w:rPr>
          <w:lang w:val="cs-CZ"/>
        </w:rPr>
        <w:tab/>
        <w:t>K určení momentů způsobených otáčením během plavby podle odst. 4 písm. d) u plovoucího stroje s vlastním pohonem se použije vzorec uvedený v čl. 19.03 odst. 6.</w:t>
      </w:r>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t>7.</w:t>
      </w:r>
      <w:r w:rsidRPr="003B6E11">
        <w:rPr>
          <w:lang w:val="cs-CZ"/>
        </w:rPr>
        <w:tab/>
        <w:t>Moment způsobený příčným prouděním podle odst. 4 písm. e) se bere v úvahu pouze u plovoucího stroje, který je během provozu zakotven nebo připevněn napříč k proudu.</w:t>
      </w:r>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t>8.</w:t>
      </w:r>
      <w:r w:rsidRPr="003B6E11">
        <w:rPr>
          <w:lang w:val="cs-CZ"/>
        </w:rPr>
        <w:tab/>
        <w:t>Při výpočtu momentů způsobených kapalnou zátěží a kapalnými zásobami podle odst. 4 písm. f) se určí z hlediska stability nejméně příznivý stupeň naplnění nádrže a příslušný moment se dosadí do výpočtu.</w:t>
      </w:r>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t>9.</w:t>
      </w:r>
      <w:r w:rsidRPr="003B6E11">
        <w:rPr>
          <w:lang w:val="cs-CZ"/>
        </w:rPr>
        <w:tab/>
        <w:t>Moment způsobený setrvačnými silami podle odst. 4 písm. i) je nutno patřičně zvážit, lze-li očekávat, že na stabilitu budou mít vliv pohyby břemene a pracovního zařízení.</w:t>
      </w:r>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br w:type="page"/>
      </w:r>
    </w:p>
    <w:p w:rsidR="00E82B25" w:rsidRPr="003B6E11" w:rsidRDefault="00E82B25" w:rsidP="00E82B25">
      <w:pPr>
        <w:pStyle w:val="ESch"/>
        <w:rPr>
          <w:lang w:val="cs-CZ"/>
        </w:rPr>
      </w:pPr>
      <w:r w:rsidRPr="003B6E11">
        <w:rPr>
          <w:lang w:val="cs-CZ"/>
        </w:rPr>
        <w:t>10.</w:t>
      </w:r>
      <w:r w:rsidRPr="003B6E11">
        <w:rPr>
          <w:lang w:val="cs-CZ"/>
        </w:rPr>
        <w:tab/>
        <w:t>Vyrovnávací momenty lze pro plováky se svislými bočními stěnami vypočítat podle vzorce</w:t>
      </w:r>
    </w:p>
    <w:p w:rsidR="00E82B25" w:rsidRPr="003B6E11" w:rsidRDefault="00E82B25" w:rsidP="00E82B25">
      <w:pPr>
        <w:pStyle w:val="ESch"/>
        <w:rPr>
          <w:lang w:val="cs-CZ"/>
        </w:rPr>
      </w:pPr>
    </w:p>
    <w:p w:rsidR="00E82B25" w:rsidRPr="003B6E11" w:rsidRDefault="002D015D" w:rsidP="00E82B25">
      <w:pPr>
        <w:pStyle w:val="ESch"/>
        <w:rPr>
          <w:lang w:val="cs-CZ"/>
        </w:rPr>
      </w:pPr>
      <m:oMathPara>
        <m:oMath>
          <m:sSub>
            <m:sSubPr>
              <m:ctrlPr>
                <w:rPr>
                  <w:rFonts w:ascii="Cambria Math" w:hAnsi="Cambria Math"/>
                  <w:i/>
                  <w:lang w:val="cs-CZ"/>
                </w:rPr>
              </m:ctrlPr>
            </m:sSubPr>
            <m:e>
              <m:r>
                <w:rPr>
                  <w:rFonts w:ascii="Cambria Math" w:hAnsi="Cambria Math"/>
                  <w:lang w:val="cs-CZ"/>
                </w:rPr>
                <m:t>M</m:t>
              </m:r>
            </m:e>
            <m:sub>
              <m:r>
                <w:rPr>
                  <w:rFonts w:ascii="Cambria Math" w:hAnsi="Cambria Math"/>
                  <w:lang w:val="cs-CZ"/>
                </w:rPr>
                <m:t>R</m:t>
              </m:r>
            </m:sub>
          </m:sSub>
          <m:r>
            <w:rPr>
              <w:rFonts w:ascii="Cambria Math" w:hAnsi="Cambria Math"/>
              <w:lang w:val="cs-CZ"/>
            </w:rPr>
            <m:t xml:space="preserve">=10 ∙D ∙ </m:t>
          </m:r>
          <m:acc>
            <m:accPr>
              <m:chr m:val="̅"/>
              <m:ctrlPr>
                <w:rPr>
                  <w:rFonts w:ascii="Cambria Math" w:hAnsi="Cambria Math"/>
                  <w:i/>
                  <w:lang w:val="cs-CZ"/>
                </w:rPr>
              </m:ctrlPr>
            </m:accPr>
            <m:e>
              <m:r>
                <w:rPr>
                  <w:rFonts w:ascii="Cambria Math" w:hAnsi="Cambria Math"/>
                  <w:lang w:val="cs-CZ"/>
                </w:rPr>
                <m:t>MG</m:t>
              </m:r>
            </m:e>
          </m:acc>
          <m:r>
            <w:rPr>
              <w:rFonts w:ascii="Cambria Math" w:hAnsi="Cambria Math"/>
              <w:lang w:val="cs-CZ"/>
            </w:rPr>
            <m:t xml:space="preserve"> ∙ </m:t>
          </m:r>
          <m:func>
            <m:funcPr>
              <m:ctrlPr>
                <w:rPr>
                  <w:rFonts w:ascii="Cambria Math" w:hAnsi="Cambria Math"/>
                  <w:i/>
                  <w:lang w:val="cs-CZ"/>
                </w:rPr>
              </m:ctrlPr>
            </m:funcPr>
            <m:fName>
              <m:r>
                <m:rPr>
                  <m:sty m:val="p"/>
                </m:rPr>
                <w:rPr>
                  <w:rFonts w:ascii="Cambria Math" w:hAnsi="Cambria Math"/>
                  <w:lang w:val="cs-CZ"/>
                </w:rPr>
                <m:t>sin</m:t>
              </m:r>
            </m:fName>
            <m:e>
              <m:r>
                <w:rPr>
                  <w:rFonts w:ascii="Cambria Math" w:hAnsi="Cambria Math"/>
                  <w:lang w:val="cs-CZ"/>
                </w:rPr>
                <m:t>φ</m:t>
              </m:r>
            </m:e>
          </m:func>
          <m:r>
            <w:rPr>
              <w:rFonts w:ascii="Cambria Math" w:hAnsi="Cambria Math"/>
              <w:lang w:val="cs-CZ"/>
            </w:rPr>
            <m:t xml:space="preserve"> </m:t>
          </m:r>
          <m:d>
            <m:dPr>
              <m:begChr m:val="["/>
              <m:endChr m:val="]"/>
              <m:ctrlPr>
                <w:rPr>
                  <w:rFonts w:ascii="Cambria Math" w:hAnsi="Cambria Math"/>
                  <w:i/>
                  <w:lang w:val="cs-CZ"/>
                </w:rPr>
              </m:ctrlPr>
            </m:dPr>
            <m:e>
              <m:r>
                <w:rPr>
                  <w:rFonts w:ascii="Cambria Math" w:hAnsi="Cambria Math"/>
                  <w:lang w:val="cs-CZ"/>
                </w:rPr>
                <m:t>kNm</m:t>
              </m:r>
            </m:e>
          </m:d>
        </m:oMath>
      </m:oMathPara>
    </w:p>
    <w:p w:rsidR="00E82B25" w:rsidRPr="003B6E11" w:rsidRDefault="00E82B25" w:rsidP="00E82B25">
      <w:pPr>
        <w:pStyle w:val="ESch"/>
        <w:rPr>
          <w:noProof/>
          <w:lang w:val="cs-CZ"/>
        </w:rPr>
      </w:pPr>
    </w:p>
    <w:p w:rsidR="00E82B25" w:rsidRPr="003B6E11" w:rsidRDefault="00E82B25" w:rsidP="00E82B25">
      <w:pPr>
        <w:pStyle w:val="ESchpar"/>
        <w:rPr>
          <w:rFonts w:cs="Arial"/>
          <w:szCs w:val="18"/>
          <w:lang w:val="cs-CZ"/>
        </w:rPr>
      </w:pPr>
      <w:r w:rsidRPr="003B6E11">
        <w:rPr>
          <w:lang w:val="cs-CZ"/>
        </w:rPr>
        <w:t>kde:</w:t>
      </w:r>
    </w:p>
    <w:p w:rsidR="00E82B25" w:rsidRPr="003B6E11" w:rsidRDefault="002D015D" w:rsidP="00E82B25">
      <w:pPr>
        <w:pStyle w:val="ESlet"/>
        <w:tabs>
          <w:tab w:val="left" w:pos="1134"/>
        </w:tabs>
        <w:ind w:left="1560" w:hanging="993"/>
        <w:rPr>
          <w:lang w:val="cs-CZ"/>
        </w:rPr>
      </w:pPr>
      <m:oMath>
        <m:acc>
          <m:accPr>
            <m:chr m:val="̅"/>
            <m:ctrlPr>
              <w:rPr>
                <w:rFonts w:ascii="Cambria Math" w:hAnsi="Cambria Math"/>
                <w:i/>
                <w:lang w:val="cs-CZ"/>
              </w:rPr>
            </m:ctrlPr>
          </m:accPr>
          <m:e>
            <m:r>
              <w:rPr>
                <w:rFonts w:ascii="Cambria Math" w:hAnsi="Cambria Math"/>
                <w:lang w:val="cs-CZ"/>
              </w:rPr>
              <m:t>MG</m:t>
            </m:r>
          </m:e>
        </m:acc>
      </m:oMath>
      <w:r w:rsidR="00E82B25" w:rsidRPr="003B6E11">
        <w:rPr>
          <w:lang w:val="cs-CZ"/>
        </w:rPr>
        <w:tab/>
      </w:r>
      <w:r w:rsidR="00E82B25" w:rsidRPr="003B6E11">
        <w:rPr>
          <w:noProof/>
          <w:vertAlign w:val="superscript"/>
          <w:lang w:val="cs-CZ"/>
        </w:rPr>
        <w:t xml:space="preserve"> </w:t>
      </w:r>
      <w:r w:rsidR="00E82B25" w:rsidRPr="003B6E11">
        <w:rPr>
          <w:lang w:val="cs-CZ"/>
        </w:rPr>
        <w:t>=</w:t>
      </w:r>
      <w:r w:rsidR="00E82B25" w:rsidRPr="003B6E11">
        <w:rPr>
          <w:lang w:val="cs-CZ"/>
        </w:rPr>
        <w:tab/>
        <w:t>metacentrická výška v m;</w:t>
      </w:r>
    </w:p>
    <w:p w:rsidR="00E82B25" w:rsidRPr="003B6E11" w:rsidRDefault="00E82B25" w:rsidP="00E82B25">
      <w:pPr>
        <w:pStyle w:val="ESlet"/>
        <w:tabs>
          <w:tab w:val="left" w:pos="1134"/>
        </w:tabs>
        <w:ind w:left="1560" w:hanging="993"/>
        <w:rPr>
          <w:lang w:val="cs-CZ"/>
        </w:rPr>
      </w:pPr>
      <m:oMath>
        <m:r>
          <w:rPr>
            <w:rFonts w:ascii="Cambria Math" w:hAnsi="Cambria Math"/>
            <w:i/>
            <w:lang w:val="cs-CZ"/>
          </w:rPr>
          <w:sym w:font="Symbol" w:char="F06A"/>
        </m:r>
      </m:oMath>
      <w:r w:rsidRPr="003B6E11">
        <w:rPr>
          <w:lang w:val="cs-CZ"/>
        </w:rPr>
        <w:tab/>
        <w:t>=</w:t>
      </w:r>
      <w:r w:rsidRPr="003B6E11">
        <w:rPr>
          <w:lang w:val="cs-CZ"/>
        </w:rPr>
        <w:tab/>
        <w:t>úhel náklonu ve stupních.</w:t>
      </w:r>
    </w:p>
    <w:p w:rsidR="00E82B25" w:rsidRPr="003B6E11" w:rsidRDefault="00E82B25" w:rsidP="00E82B25">
      <w:pPr>
        <w:pStyle w:val="ESchpar"/>
        <w:rPr>
          <w:noProof/>
          <w:lang w:val="cs-CZ"/>
        </w:rPr>
      </w:pPr>
    </w:p>
    <w:p w:rsidR="00E82B25" w:rsidRPr="003B6E11" w:rsidRDefault="00E82B25" w:rsidP="00E82B25">
      <w:pPr>
        <w:pStyle w:val="ESchpar"/>
        <w:rPr>
          <w:rFonts w:cs="Arial"/>
          <w:szCs w:val="18"/>
          <w:lang w:val="cs-CZ"/>
        </w:rPr>
      </w:pPr>
      <w:r w:rsidRPr="003B6E11">
        <w:rPr>
          <w:lang w:val="cs-CZ"/>
        </w:rPr>
        <w:t>Tento vzorec se použije až do úhlů náklonů 10° nebo až do úhlu náklonu, který odpovídá ponoření okraje paluby nebo vynoření okraje dna; rozhodující je nejmenší úhel. Vzorec lze u šikmých bočních stěn použít až do úhlů náklonu 5°; platí rovněž mezní podmínky stanovené v odstavcích 3 až 9.</w:t>
      </w:r>
    </w:p>
    <w:p w:rsidR="00E82B25" w:rsidRPr="003B6E11" w:rsidRDefault="00E82B25" w:rsidP="00E82B25">
      <w:pPr>
        <w:pStyle w:val="ESchpar"/>
        <w:rPr>
          <w:noProof/>
          <w:lang w:val="cs-CZ"/>
        </w:rPr>
      </w:pPr>
    </w:p>
    <w:p w:rsidR="00E82B25" w:rsidRPr="003B6E11" w:rsidRDefault="00E82B25" w:rsidP="00E82B25">
      <w:pPr>
        <w:pStyle w:val="ESchpar"/>
        <w:rPr>
          <w:rFonts w:cs="Arial"/>
          <w:szCs w:val="18"/>
          <w:lang w:val="cs-CZ"/>
        </w:rPr>
      </w:pPr>
      <w:r w:rsidRPr="003B6E11">
        <w:rPr>
          <w:lang w:val="cs-CZ"/>
        </w:rPr>
        <w:t>Pokud zvláštní tvar plovoucích těles neumožňuje takovéto zjednodušení, vyžadují se křivky vyrovnávacího ramena páky podle odst. 2 písm. c).</w:t>
      </w: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Titre3"/>
        <w:rPr>
          <w:rFonts w:cs="Arial"/>
          <w:i/>
          <w:szCs w:val="18"/>
          <w:lang w:val="cs-CZ"/>
        </w:rPr>
      </w:pPr>
      <w:bookmarkStart w:id="448" w:name="_Toc491854221"/>
      <w:bookmarkStart w:id="449" w:name="_Toc535417127"/>
      <w:r w:rsidRPr="003B6E11">
        <w:rPr>
          <w:lang w:val="cs-CZ"/>
        </w:rPr>
        <w:t>Článek 22.08</w:t>
      </w:r>
      <w:r w:rsidRPr="003B6E11">
        <w:rPr>
          <w:lang w:val="cs-CZ"/>
        </w:rPr>
        <w:br/>
      </w:r>
      <w:r w:rsidRPr="003B6E11">
        <w:rPr>
          <w:i/>
          <w:noProof/>
          <w:lang w:val="cs-CZ"/>
        </w:rPr>
        <w:t>Potvrzení stability při menším zbývajícím volném boku</w:t>
      </w:r>
      <w:bookmarkEnd w:id="448"/>
      <w:bookmarkEnd w:id="449"/>
    </w:p>
    <w:p w:rsidR="00E82B25" w:rsidRPr="003B6E11" w:rsidRDefault="00E82B25" w:rsidP="00E82B25">
      <w:pPr>
        <w:pStyle w:val="ESch"/>
        <w:rPr>
          <w:noProof/>
          <w:lang w:val="cs-CZ"/>
        </w:rPr>
      </w:pPr>
    </w:p>
    <w:p w:rsidR="00E82B25" w:rsidRPr="003B6E11" w:rsidRDefault="00E82B25" w:rsidP="00E82B25">
      <w:pPr>
        <w:pStyle w:val="ESgauche"/>
        <w:rPr>
          <w:rFonts w:cs="Arial"/>
          <w:szCs w:val="18"/>
          <w:lang w:val="cs-CZ"/>
        </w:rPr>
      </w:pPr>
      <w:r w:rsidRPr="003B6E11">
        <w:rPr>
          <w:lang w:val="cs-CZ"/>
        </w:rPr>
        <w:t>Použije-li se menší zbývající volný bok podle čl. 22.05 odst. 3, je nutno pro všechny provozní podmínky prokázat, že</w:t>
      </w:r>
    </w:p>
    <w:p w:rsidR="00E82B25" w:rsidRPr="003B6E11" w:rsidRDefault="00E82B25" w:rsidP="00E82B25">
      <w:pPr>
        <w:pStyle w:val="ESletgauche"/>
        <w:rPr>
          <w:rFonts w:cs="Arial"/>
          <w:szCs w:val="18"/>
          <w:lang w:val="cs-CZ"/>
        </w:rPr>
      </w:pPr>
      <w:r w:rsidRPr="003B6E11">
        <w:rPr>
          <w:lang w:val="cs-CZ"/>
        </w:rPr>
        <w:t>a)</w:t>
      </w:r>
      <w:r w:rsidRPr="003B6E11">
        <w:rPr>
          <w:lang w:val="cs-CZ"/>
        </w:rPr>
        <w:tab/>
        <w:t>po opravách pro volné hladiny kapalin není metacentrická výška menší než 0,15 m;</w:t>
      </w:r>
    </w:p>
    <w:p w:rsidR="00E82B25" w:rsidRPr="003B6E11" w:rsidRDefault="00E82B25" w:rsidP="00E82B25">
      <w:pPr>
        <w:pStyle w:val="ESletgauche"/>
        <w:rPr>
          <w:noProof/>
          <w:lang w:val="cs-CZ"/>
        </w:rPr>
      </w:pPr>
      <w:r w:rsidRPr="003B6E11">
        <w:rPr>
          <w:lang w:val="cs-CZ"/>
        </w:rPr>
        <w:t>b)</w:t>
      </w:r>
      <w:r w:rsidRPr="003B6E11">
        <w:rPr>
          <w:lang w:val="cs-CZ"/>
        </w:rPr>
        <w:tab/>
        <w:t>pro úhly náklonu mezi 0 a 30° je vyrovnávací rameno páky nejméně</w:t>
      </w:r>
    </w:p>
    <w:p w:rsidR="00E82B25" w:rsidRPr="003B6E11" w:rsidRDefault="00E82B25" w:rsidP="00E82B25">
      <w:pPr>
        <w:pStyle w:val="ESletgauche"/>
        <w:rPr>
          <w:rFonts w:cs="Arial"/>
          <w:szCs w:val="18"/>
          <w:lang w:val="cs-CZ"/>
        </w:rPr>
      </w:pPr>
      <m:oMathPara>
        <m:oMath>
          <m:r>
            <w:rPr>
              <w:rFonts w:ascii="Cambria Math" w:hAnsi="Cambria Math" w:cs="Arial"/>
              <w:szCs w:val="18"/>
              <w:lang w:val="cs-CZ"/>
            </w:rPr>
            <m:t xml:space="preserve">h=0,30-0,28 ∙ </m:t>
          </m:r>
          <m:sSub>
            <m:sSubPr>
              <m:ctrlPr>
                <w:rPr>
                  <w:rFonts w:ascii="Cambria Math" w:hAnsi="Cambria Math" w:cs="Arial"/>
                  <w:i/>
                  <w:szCs w:val="18"/>
                  <w:lang w:val="cs-CZ"/>
                </w:rPr>
              </m:ctrlPr>
            </m:sSubPr>
            <m:e>
              <m:r>
                <w:rPr>
                  <w:rFonts w:ascii="Cambria Math" w:hAnsi="Cambria Math" w:cs="Arial"/>
                  <w:szCs w:val="18"/>
                  <w:lang w:val="cs-CZ"/>
                </w:rPr>
                <m:t>φ</m:t>
              </m:r>
            </m:e>
            <m:sub>
              <m:r>
                <w:rPr>
                  <w:rFonts w:ascii="Cambria Math" w:hAnsi="Cambria Math" w:cs="Arial"/>
                  <w:szCs w:val="18"/>
                  <w:lang w:val="cs-CZ"/>
                </w:rPr>
                <m:t>n</m:t>
              </m:r>
            </m:sub>
          </m:sSub>
          <m:r>
            <w:rPr>
              <w:rFonts w:ascii="Cambria Math" w:hAnsi="Cambria Math" w:cs="Arial"/>
              <w:szCs w:val="18"/>
              <w:lang w:val="cs-CZ"/>
            </w:rPr>
            <m:t xml:space="preserve"> </m:t>
          </m:r>
          <m:d>
            <m:dPr>
              <m:begChr m:val="["/>
              <m:endChr m:val="]"/>
              <m:ctrlPr>
                <w:rPr>
                  <w:rFonts w:ascii="Cambria Math" w:hAnsi="Cambria Math" w:cs="Arial"/>
                  <w:i/>
                  <w:szCs w:val="18"/>
                  <w:lang w:val="cs-CZ"/>
                </w:rPr>
              </m:ctrlPr>
            </m:dPr>
            <m:e>
              <m:r>
                <w:rPr>
                  <w:rFonts w:ascii="Cambria Math" w:hAnsi="Cambria Math" w:cs="Arial"/>
                  <w:szCs w:val="18"/>
                  <w:lang w:val="cs-CZ"/>
                </w:rPr>
                <m:t>m</m:t>
              </m:r>
            </m:e>
          </m:d>
        </m:oMath>
      </m:oMathPara>
    </w:p>
    <w:p w:rsidR="00E82B25" w:rsidRPr="003B6E11" w:rsidRDefault="002D015D" w:rsidP="00E82B25">
      <w:pPr>
        <w:pStyle w:val="ESletgauche"/>
        <w:ind w:left="993" w:hanging="426"/>
        <w:rPr>
          <w:rFonts w:cs="Arial"/>
          <w:szCs w:val="18"/>
          <w:lang w:val="cs-CZ"/>
        </w:rPr>
      </w:pPr>
      <m:oMath>
        <m:sSub>
          <m:sSubPr>
            <m:ctrlPr>
              <w:rPr>
                <w:rFonts w:ascii="Cambria Math" w:hAnsi="Cambria Math"/>
                <w:i/>
                <w:noProof/>
                <w:lang w:val="cs-CZ"/>
              </w:rPr>
            </m:ctrlPr>
          </m:sSubPr>
          <m:e>
            <m:r>
              <w:rPr>
                <w:rFonts w:ascii="Cambria Math" w:hAnsi="Cambria Math"/>
                <w:noProof/>
                <w:lang w:val="cs-CZ"/>
              </w:rPr>
              <m:t>φ</m:t>
            </m:r>
          </m:e>
          <m:sub>
            <m:r>
              <w:rPr>
                <w:rFonts w:ascii="Cambria Math" w:hAnsi="Cambria Math"/>
                <w:noProof/>
                <w:lang w:val="cs-CZ"/>
              </w:rPr>
              <m:t>n</m:t>
            </m:r>
          </m:sub>
        </m:sSub>
      </m:oMath>
      <w:r w:rsidR="00E82B25" w:rsidRPr="003B6E11">
        <w:rPr>
          <w:lang w:val="cs-CZ"/>
        </w:rPr>
        <w:tab/>
        <w:t xml:space="preserve">je úhel náklonu, od něhož křivka vyrovnávacího ramena páky vykazuje záporné hodnoty (rozsah stability); nesmí být menší než 20° nebo 0,35 rad a do vzorce se dosazuje nejvýše 30° nebo 0,52 rad, přičemž se pro jednotku </w:t>
      </w:r>
      <m:oMath>
        <m:sSub>
          <m:sSubPr>
            <m:ctrlPr>
              <w:rPr>
                <w:rFonts w:ascii="Cambria Math" w:hAnsi="Cambria Math"/>
                <w:i/>
                <w:noProof/>
                <w:lang w:val="cs-CZ"/>
              </w:rPr>
            </m:ctrlPr>
          </m:sSubPr>
          <m:e>
            <m:r>
              <w:rPr>
                <w:rFonts w:ascii="Cambria Math" w:hAnsi="Cambria Math"/>
                <w:noProof/>
                <w:lang w:val="cs-CZ"/>
              </w:rPr>
              <m:t>φ</m:t>
            </m:r>
          </m:e>
          <m:sub>
            <m:r>
              <w:rPr>
                <w:rFonts w:ascii="Cambria Math" w:hAnsi="Cambria Math"/>
                <w:noProof/>
                <w:lang w:val="cs-CZ"/>
              </w:rPr>
              <m:t>n</m:t>
            </m:r>
          </m:sub>
        </m:sSub>
      </m:oMath>
      <w:r w:rsidR="00E82B25" w:rsidRPr="003B6E11">
        <w:rPr>
          <w:lang w:val="cs-CZ"/>
        </w:rPr>
        <w:t xml:space="preserve"> použije radián (rad) (1° = 0,01745 rad);</w:t>
      </w:r>
    </w:p>
    <w:p w:rsidR="00E82B25" w:rsidRPr="003B6E11" w:rsidRDefault="00E82B25" w:rsidP="00E82B25">
      <w:pPr>
        <w:pStyle w:val="ESletgauche"/>
        <w:rPr>
          <w:rFonts w:cs="Arial"/>
          <w:szCs w:val="18"/>
          <w:lang w:val="cs-CZ"/>
        </w:rPr>
      </w:pPr>
      <w:r w:rsidRPr="003B6E11">
        <w:rPr>
          <w:lang w:val="cs-CZ"/>
        </w:rPr>
        <w:t>c)</w:t>
      </w:r>
      <w:r w:rsidRPr="003B6E11">
        <w:rPr>
          <w:lang w:val="cs-CZ"/>
        </w:rPr>
        <w:tab/>
        <w:t>součet úhlů sklonu a náklonu nesmí přesáhnout 10°;</w:t>
      </w:r>
    </w:p>
    <w:p w:rsidR="00E82B25" w:rsidRPr="003B6E11" w:rsidRDefault="00E82B25" w:rsidP="00E82B25">
      <w:pPr>
        <w:pStyle w:val="ESletgauche"/>
        <w:rPr>
          <w:rFonts w:cs="Arial"/>
          <w:szCs w:val="18"/>
          <w:lang w:val="cs-CZ"/>
        </w:rPr>
      </w:pPr>
      <w:r w:rsidRPr="003B6E11">
        <w:rPr>
          <w:lang w:val="cs-CZ"/>
        </w:rPr>
        <w:t>d)</w:t>
      </w:r>
      <w:r w:rsidRPr="003B6E11">
        <w:rPr>
          <w:lang w:val="cs-CZ"/>
        </w:rPr>
        <w:tab/>
        <w:t>je zachována zbývající bezpečnostní vzdálenost podle požadavků článku 22.04;</w:t>
      </w:r>
    </w:p>
    <w:p w:rsidR="00E82B25" w:rsidRPr="003B6E11" w:rsidRDefault="00E82B25" w:rsidP="00E82B25">
      <w:pPr>
        <w:pStyle w:val="ESletgauche"/>
        <w:rPr>
          <w:rFonts w:cs="Arial"/>
          <w:szCs w:val="18"/>
          <w:lang w:val="cs-CZ"/>
        </w:rPr>
      </w:pPr>
      <w:r w:rsidRPr="003B6E11">
        <w:rPr>
          <w:lang w:val="cs-CZ"/>
        </w:rPr>
        <w:t>e)</w:t>
      </w:r>
      <w:r w:rsidRPr="003B6E11">
        <w:rPr>
          <w:lang w:val="cs-CZ"/>
        </w:rPr>
        <w:tab/>
        <w:t>je zachován zbývající volný bok nejméně 0,05 m;</w:t>
      </w:r>
    </w:p>
    <w:p w:rsidR="00E82B25" w:rsidRPr="003B6E11" w:rsidRDefault="00E82B25" w:rsidP="00E82B25">
      <w:pPr>
        <w:pStyle w:val="ESletgauche"/>
        <w:rPr>
          <w:noProof/>
          <w:lang w:val="cs-CZ"/>
        </w:rPr>
      </w:pPr>
      <w:r w:rsidRPr="003B6E11">
        <w:rPr>
          <w:lang w:val="cs-CZ"/>
        </w:rPr>
        <w:t>f)</w:t>
      </w:r>
      <w:r w:rsidRPr="003B6E11">
        <w:rPr>
          <w:lang w:val="cs-CZ"/>
        </w:rPr>
        <w:tab/>
        <w:t>pro úhly náklonu mezi 0 a 30° je zachováno zbývající vyrovnávací rameno páky nejméně</w:t>
      </w:r>
    </w:p>
    <w:p w:rsidR="00E82B25" w:rsidRPr="003B6E11" w:rsidRDefault="00E82B25" w:rsidP="00E82B25">
      <w:pPr>
        <w:pStyle w:val="ESletgauche"/>
        <w:rPr>
          <w:rFonts w:cs="Arial"/>
          <w:szCs w:val="18"/>
          <w:lang w:val="cs-CZ"/>
        </w:rPr>
      </w:pPr>
      <m:oMathPara>
        <m:oMath>
          <m:r>
            <w:rPr>
              <w:rFonts w:ascii="Cambria Math" w:hAnsi="Cambria Math" w:cs="Arial"/>
              <w:szCs w:val="18"/>
              <w:lang w:val="cs-CZ"/>
            </w:rPr>
            <m:t xml:space="preserve">h=0,20-0,23 ∙ </m:t>
          </m:r>
          <m:sSub>
            <m:sSubPr>
              <m:ctrlPr>
                <w:rPr>
                  <w:rFonts w:ascii="Cambria Math" w:hAnsi="Cambria Math" w:cs="Arial"/>
                  <w:i/>
                  <w:szCs w:val="18"/>
                  <w:lang w:val="cs-CZ"/>
                </w:rPr>
              </m:ctrlPr>
            </m:sSubPr>
            <m:e>
              <m:r>
                <w:rPr>
                  <w:rFonts w:ascii="Cambria Math" w:hAnsi="Cambria Math" w:cs="Arial"/>
                  <w:szCs w:val="18"/>
                  <w:lang w:val="cs-CZ"/>
                </w:rPr>
                <m:t>φ</m:t>
              </m:r>
            </m:e>
            <m:sub>
              <m:r>
                <w:rPr>
                  <w:rFonts w:ascii="Cambria Math" w:hAnsi="Cambria Math" w:cs="Arial"/>
                  <w:szCs w:val="18"/>
                  <w:lang w:val="cs-CZ"/>
                </w:rPr>
                <m:t>n</m:t>
              </m:r>
            </m:sub>
          </m:sSub>
          <m:r>
            <w:rPr>
              <w:rFonts w:ascii="Cambria Math" w:hAnsi="Cambria Math" w:cs="Arial"/>
              <w:szCs w:val="18"/>
              <w:lang w:val="cs-CZ"/>
            </w:rPr>
            <m:t xml:space="preserve"> </m:t>
          </m:r>
          <m:d>
            <m:dPr>
              <m:begChr m:val="["/>
              <m:endChr m:val="]"/>
              <m:ctrlPr>
                <w:rPr>
                  <w:rFonts w:ascii="Cambria Math" w:hAnsi="Cambria Math" w:cs="Arial"/>
                  <w:i/>
                  <w:szCs w:val="18"/>
                  <w:lang w:val="cs-CZ"/>
                </w:rPr>
              </m:ctrlPr>
            </m:dPr>
            <m:e>
              <m:r>
                <w:rPr>
                  <w:rFonts w:ascii="Cambria Math" w:hAnsi="Cambria Math" w:cs="Arial"/>
                  <w:szCs w:val="18"/>
                  <w:lang w:val="cs-CZ"/>
                </w:rPr>
                <m:t>m</m:t>
              </m:r>
            </m:e>
          </m:d>
        </m:oMath>
      </m:oMathPara>
    </w:p>
    <w:p w:rsidR="00E82B25" w:rsidRPr="003B6E11" w:rsidRDefault="00E82B25" w:rsidP="00E82B25">
      <w:pPr>
        <w:pStyle w:val="ESlet"/>
        <w:ind w:left="567"/>
        <w:rPr>
          <w:szCs w:val="18"/>
          <w:lang w:val="cs-CZ"/>
        </w:rPr>
      </w:pPr>
      <w:r w:rsidRPr="003B6E11">
        <w:rPr>
          <w:lang w:val="cs-CZ"/>
        </w:rPr>
        <w:t xml:space="preserve">přičemž </w:t>
      </w:r>
      <m:oMath>
        <m:sSub>
          <m:sSubPr>
            <m:ctrlPr>
              <w:rPr>
                <w:rFonts w:ascii="Cambria Math" w:hAnsi="Cambria Math"/>
                <w:i/>
                <w:noProof/>
                <w:lang w:val="cs-CZ"/>
              </w:rPr>
            </m:ctrlPr>
          </m:sSubPr>
          <m:e>
            <m:r>
              <w:rPr>
                <w:rFonts w:ascii="Cambria Math" w:hAnsi="Cambria Math"/>
                <w:noProof/>
                <w:lang w:val="cs-CZ"/>
              </w:rPr>
              <m:t>φ</m:t>
            </m:r>
          </m:e>
          <m:sub>
            <m:r>
              <w:rPr>
                <w:rFonts w:ascii="Cambria Math" w:hAnsi="Cambria Math"/>
                <w:noProof/>
                <w:lang w:val="cs-CZ"/>
              </w:rPr>
              <m:t>n</m:t>
            </m:r>
          </m:sub>
        </m:sSub>
      </m:oMath>
      <w:r w:rsidRPr="003B6E11">
        <w:rPr>
          <w:lang w:val="cs-CZ"/>
        </w:rPr>
        <w:t xml:space="preserve"> je úhel náklonu, od něhož křivka vyrovnávacího ramena páky vykazuje záporné hodnoty; do vzorce se dosazuje nejvýše 30° nebo 0,52 rad.</w:t>
      </w:r>
    </w:p>
    <w:p w:rsidR="00E82B25" w:rsidRPr="003B6E11" w:rsidRDefault="00E82B25" w:rsidP="00E82B25">
      <w:pPr>
        <w:pStyle w:val="ESgauche"/>
        <w:rPr>
          <w:lang w:val="cs-CZ"/>
        </w:rPr>
      </w:pPr>
    </w:p>
    <w:p w:rsidR="00E82B25" w:rsidRPr="003B6E11" w:rsidRDefault="00E82B25" w:rsidP="00E82B25">
      <w:pPr>
        <w:pStyle w:val="Esletgauchepar"/>
        <w:rPr>
          <w:szCs w:val="18"/>
        </w:rPr>
      </w:pPr>
      <w:r w:rsidRPr="003B6E11">
        <w:t>Zbývajícím vyrovnávacím ramenem páky se rozumí největší rozdíl mezi 0° a 30° náklonu mezi křivkou vyrovnávacího ramena páky a křivkou klopného ramena páky. Pokud se voda dostane k otvoru směřujícímu dovnitř plavidla při úhlu náklonu menším než úhel náklonu odpovídající největšímu rozdílu mezi křivkami ramena páky, vezme se v úvahu rameno páky odpovídající tomuto úhlu náklonu.</w:t>
      </w:r>
    </w:p>
    <w:p w:rsidR="00E82B25" w:rsidRPr="003B6E11" w:rsidRDefault="00E82B25" w:rsidP="00E82B25">
      <w:pPr>
        <w:pStyle w:val="ESch"/>
        <w:rPr>
          <w:rFonts w:cs="Arial"/>
          <w:szCs w:val="18"/>
          <w:lang w:val="cs-CZ"/>
        </w:rPr>
      </w:pPr>
    </w:p>
    <w:p w:rsidR="00E82B25" w:rsidRPr="003B6E11" w:rsidRDefault="00E82B25" w:rsidP="00E82B25">
      <w:pPr>
        <w:pStyle w:val="ESch"/>
        <w:rPr>
          <w:rFonts w:cs="Arial"/>
          <w:szCs w:val="18"/>
          <w:lang w:val="cs-CZ"/>
        </w:rPr>
      </w:pPr>
      <w:r w:rsidRPr="003B6E11">
        <w:rPr>
          <w:lang w:val="cs-CZ"/>
        </w:rPr>
        <w:br w:type="page"/>
      </w:r>
    </w:p>
    <w:p w:rsidR="00E82B25" w:rsidRPr="003B6E11" w:rsidRDefault="00E82B25" w:rsidP="00E82B25">
      <w:pPr>
        <w:pStyle w:val="ES-Titre3"/>
        <w:rPr>
          <w:rFonts w:cs="Arial"/>
          <w:i/>
          <w:szCs w:val="18"/>
          <w:lang w:val="cs-CZ"/>
        </w:rPr>
      </w:pPr>
      <w:bookmarkStart w:id="450" w:name="_Toc491854222"/>
      <w:bookmarkStart w:id="451" w:name="_Toc535417128"/>
      <w:r w:rsidRPr="003B6E11">
        <w:rPr>
          <w:lang w:val="cs-CZ"/>
        </w:rPr>
        <w:t>Článek 22.09</w:t>
      </w:r>
      <w:r w:rsidRPr="003B6E11">
        <w:rPr>
          <w:lang w:val="cs-CZ"/>
        </w:rPr>
        <w:br/>
      </w:r>
      <w:r w:rsidRPr="003B6E11">
        <w:rPr>
          <w:i/>
          <w:noProof/>
          <w:lang w:val="cs-CZ"/>
        </w:rPr>
        <w:t>Nákladové značky a ponorové stupnice</w:t>
      </w:r>
      <w:bookmarkEnd w:id="450"/>
      <w:bookmarkEnd w:id="451"/>
    </w:p>
    <w:p w:rsidR="00E82B25" w:rsidRPr="003B6E11" w:rsidRDefault="00E82B25" w:rsidP="00E82B25">
      <w:pPr>
        <w:pStyle w:val="ESch"/>
        <w:rPr>
          <w:noProof/>
          <w:lang w:val="cs-CZ"/>
        </w:rPr>
      </w:pPr>
    </w:p>
    <w:p w:rsidR="00E82B25" w:rsidRPr="003B6E11" w:rsidRDefault="00E82B25" w:rsidP="00E82B25">
      <w:pPr>
        <w:pStyle w:val="ESgauche"/>
        <w:rPr>
          <w:rFonts w:cs="Arial"/>
          <w:szCs w:val="18"/>
          <w:lang w:val="cs-CZ"/>
        </w:rPr>
      </w:pPr>
      <w:r w:rsidRPr="003B6E11">
        <w:rPr>
          <w:lang w:val="cs-CZ"/>
        </w:rPr>
        <w:t>Musí být upevněny nákladové značky a ponorové stupnice podle článků 4.04 a 4.06.</w:t>
      </w:r>
    </w:p>
    <w:p w:rsidR="00E82B25" w:rsidRPr="003B6E11" w:rsidRDefault="00E82B25" w:rsidP="00E82B25">
      <w:pPr>
        <w:pStyle w:val="ESch"/>
        <w:rPr>
          <w:rFonts w:cs="Arial"/>
          <w:szCs w:val="18"/>
          <w:lang w:val="cs-CZ"/>
        </w:rPr>
      </w:pPr>
    </w:p>
    <w:p w:rsidR="00E82B25" w:rsidRPr="003B6E11" w:rsidRDefault="00E82B25" w:rsidP="00E82B25">
      <w:pPr>
        <w:pStyle w:val="ESch"/>
        <w:rPr>
          <w:rFonts w:cs="Arial"/>
          <w:szCs w:val="18"/>
          <w:lang w:val="cs-CZ"/>
        </w:rPr>
      </w:pPr>
    </w:p>
    <w:p w:rsidR="00E82B25" w:rsidRPr="003B6E11" w:rsidRDefault="00E82B25" w:rsidP="00E82B25">
      <w:pPr>
        <w:pStyle w:val="ES-Titre3"/>
        <w:rPr>
          <w:rFonts w:cs="Arial"/>
          <w:i/>
          <w:szCs w:val="18"/>
          <w:lang w:val="cs-CZ"/>
        </w:rPr>
      </w:pPr>
      <w:bookmarkStart w:id="452" w:name="_Toc491854223"/>
      <w:bookmarkStart w:id="453" w:name="_Toc535417129"/>
      <w:r w:rsidRPr="003B6E11">
        <w:rPr>
          <w:lang w:val="cs-CZ"/>
        </w:rPr>
        <w:t>Článek 22.10</w:t>
      </w:r>
      <w:r w:rsidRPr="003B6E11">
        <w:rPr>
          <w:lang w:val="cs-CZ"/>
        </w:rPr>
        <w:br/>
      </w:r>
      <w:r w:rsidRPr="003B6E11">
        <w:rPr>
          <w:i/>
          <w:noProof/>
          <w:lang w:val="cs-CZ"/>
        </w:rPr>
        <w:t>Plovoucí stroj bez potvrzení stability</w:t>
      </w:r>
      <w:bookmarkEnd w:id="452"/>
      <w:bookmarkEnd w:id="453"/>
    </w:p>
    <w:p w:rsidR="00E82B25" w:rsidRPr="003B6E11" w:rsidRDefault="00E82B25" w:rsidP="00E82B25">
      <w:pPr>
        <w:pStyle w:val="ESch"/>
        <w:rPr>
          <w:noProof/>
          <w:lang w:val="cs-CZ"/>
        </w:rPr>
      </w:pPr>
    </w:p>
    <w:p w:rsidR="00E82B25" w:rsidRPr="003B6E11" w:rsidRDefault="00E82B25" w:rsidP="00E82B25">
      <w:pPr>
        <w:pStyle w:val="ESch"/>
        <w:rPr>
          <w:rFonts w:cs="Arial"/>
          <w:szCs w:val="18"/>
          <w:lang w:val="cs-CZ"/>
        </w:rPr>
      </w:pPr>
      <w:r w:rsidRPr="003B6E11">
        <w:rPr>
          <w:lang w:val="cs-CZ"/>
        </w:rPr>
        <w:t>1.</w:t>
      </w:r>
      <w:r w:rsidRPr="003B6E11">
        <w:rPr>
          <w:lang w:val="cs-CZ"/>
        </w:rPr>
        <w:tab/>
        <w:t>Od použití článků 22.04 až 22.08 lze upustit u plovoucího stroje,</w:t>
      </w:r>
    </w:p>
    <w:p w:rsidR="00E82B25" w:rsidRPr="003B6E11" w:rsidRDefault="00E82B25" w:rsidP="00E82B25">
      <w:pPr>
        <w:pStyle w:val="ESlet"/>
        <w:rPr>
          <w:rFonts w:cs="Arial"/>
          <w:szCs w:val="18"/>
          <w:lang w:val="cs-CZ"/>
        </w:rPr>
      </w:pPr>
      <w:r w:rsidRPr="003B6E11">
        <w:rPr>
          <w:lang w:val="cs-CZ"/>
        </w:rPr>
        <w:t>a)</w:t>
      </w:r>
      <w:r w:rsidRPr="003B6E11">
        <w:rPr>
          <w:lang w:val="cs-CZ"/>
        </w:rPr>
        <w:tab/>
        <w:t>jehož pracovní zařízení nemůže v žádném případě změnit náklon nebo sklon tohoto stroje a</w:t>
      </w:r>
    </w:p>
    <w:p w:rsidR="00E82B25" w:rsidRPr="003B6E11" w:rsidRDefault="00E82B25" w:rsidP="00E82B25">
      <w:pPr>
        <w:pStyle w:val="ESlet"/>
        <w:rPr>
          <w:rFonts w:cs="Arial"/>
          <w:szCs w:val="18"/>
          <w:lang w:val="cs-CZ"/>
        </w:rPr>
      </w:pPr>
      <w:r w:rsidRPr="003B6E11">
        <w:rPr>
          <w:lang w:val="cs-CZ"/>
        </w:rPr>
        <w:t>b)</w:t>
      </w:r>
      <w:r w:rsidRPr="003B6E11">
        <w:rPr>
          <w:lang w:val="cs-CZ"/>
        </w:rPr>
        <w:tab/>
        <w:t>lze-li jednoznačně vyloučit posunutí těžiště.</w:t>
      </w:r>
    </w:p>
    <w:p w:rsidR="00E82B25" w:rsidRPr="003B6E11" w:rsidRDefault="00E82B25" w:rsidP="00E82B25">
      <w:pPr>
        <w:pStyle w:val="ESch"/>
        <w:rPr>
          <w:noProof/>
          <w:lang w:val="cs-CZ"/>
        </w:rPr>
      </w:pPr>
    </w:p>
    <w:p w:rsidR="00E82B25" w:rsidRPr="003B6E11" w:rsidRDefault="00E82B25" w:rsidP="00E82B25">
      <w:pPr>
        <w:pStyle w:val="ESch"/>
        <w:rPr>
          <w:noProof/>
          <w:lang w:val="cs-CZ"/>
        </w:rPr>
      </w:pPr>
      <w:r w:rsidRPr="003B6E11">
        <w:rPr>
          <w:lang w:val="cs-CZ"/>
        </w:rPr>
        <w:t>2.</w:t>
      </w:r>
      <w:r w:rsidRPr="003B6E11">
        <w:rPr>
          <w:lang w:val="cs-CZ"/>
        </w:rPr>
        <w:tab/>
        <w:t>Avšak:</w:t>
      </w:r>
    </w:p>
    <w:p w:rsidR="00E82B25" w:rsidRPr="003B6E11" w:rsidRDefault="00E82B25" w:rsidP="00E82B25">
      <w:pPr>
        <w:pStyle w:val="ESlet"/>
        <w:rPr>
          <w:noProof/>
          <w:lang w:val="cs-CZ"/>
        </w:rPr>
      </w:pPr>
      <w:r w:rsidRPr="003B6E11">
        <w:rPr>
          <w:lang w:val="cs-CZ"/>
        </w:rPr>
        <w:t>a)</w:t>
      </w:r>
      <w:r w:rsidRPr="003B6E11">
        <w:rPr>
          <w:lang w:val="cs-CZ"/>
        </w:rPr>
        <w:tab/>
        <w:t>při největším zatížení musí bezpečnostní vzdálenost činit nejméně 300 mm a volný bok nejméně 150 mm a</w:t>
      </w:r>
    </w:p>
    <w:p w:rsidR="00E82B25" w:rsidRPr="003B6E11" w:rsidRDefault="00E82B25" w:rsidP="00E82B25">
      <w:pPr>
        <w:pStyle w:val="ESlet"/>
        <w:rPr>
          <w:noProof/>
          <w:lang w:val="cs-CZ"/>
        </w:rPr>
      </w:pPr>
      <w:r w:rsidRPr="003B6E11">
        <w:rPr>
          <w:lang w:val="cs-CZ"/>
        </w:rPr>
        <w:t>b)</w:t>
      </w:r>
      <w:r w:rsidRPr="003B6E11">
        <w:rPr>
          <w:lang w:val="cs-CZ"/>
        </w:rPr>
        <w:tab/>
        <w:t>u otvorů, které nelze uzavřít tak, aby byly odolné vůči stříkající vodě a povětrnostním vlivům, musí bezpečnostní vzdálenost činit nejméně 500 mm.</w:t>
      </w: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Titre2"/>
        <w:rPr>
          <w:szCs w:val="24"/>
        </w:rPr>
      </w:pPr>
      <w:bookmarkStart w:id="454" w:name="_Toc491854224"/>
      <w:bookmarkStart w:id="455" w:name="_Toc535417130"/>
      <w:r w:rsidRPr="003B6E11">
        <w:t>Kapitola 23</w:t>
      </w:r>
      <w:r w:rsidRPr="003B6E11">
        <w:br/>
      </w:r>
      <w:r w:rsidRPr="003B6E11">
        <w:rPr>
          <w:noProof/>
          <w:sz w:val="22"/>
        </w:rPr>
        <w:t>Zvláštní ustanovení pro pracovní plavidla</w:t>
      </w:r>
      <w:bookmarkEnd w:id="454"/>
      <w:bookmarkEnd w:id="455"/>
    </w:p>
    <w:p w:rsidR="00E82B25" w:rsidRPr="003B6E11" w:rsidRDefault="00E82B25" w:rsidP="00E82B25">
      <w:pPr>
        <w:rPr>
          <w:lang w:val="cs-CZ"/>
        </w:rPr>
      </w:pPr>
    </w:p>
    <w:p w:rsidR="00E82B25" w:rsidRPr="003B6E11" w:rsidRDefault="00E82B25" w:rsidP="00E82B25">
      <w:pPr>
        <w:pStyle w:val="ES-Titre3"/>
        <w:rPr>
          <w:lang w:val="cs-CZ"/>
        </w:rPr>
      </w:pPr>
      <w:bookmarkStart w:id="456" w:name="_Toc491854225"/>
      <w:bookmarkStart w:id="457" w:name="_Toc535417131"/>
      <w:r w:rsidRPr="003B6E11">
        <w:rPr>
          <w:lang w:val="cs-CZ"/>
        </w:rPr>
        <w:t>Článek 23.01</w:t>
      </w:r>
      <w:r w:rsidRPr="003B6E11">
        <w:rPr>
          <w:lang w:val="cs-CZ"/>
        </w:rPr>
        <w:br/>
      </w:r>
      <w:r w:rsidRPr="003B6E11">
        <w:rPr>
          <w:i/>
          <w:noProof/>
          <w:lang w:val="cs-CZ"/>
        </w:rPr>
        <w:t>Provozní podmínky</w:t>
      </w:r>
      <w:bookmarkEnd w:id="456"/>
      <w:bookmarkEnd w:id="457"/>
    </w:p>
    <w:p w:rsidR="00E82B25" w:rsidRPr="003B6E11" w:rsidRDefault="00E82B25" w:rsidP="00E82B25">
      <w:pPr>
        <w:pStyle w:val="ESch"/>
        <w:rPr>
          <w:noProof/>
          <w:lang w:val="cs-CZ"/>
        </w:rPr>
      </w:pPr>
    </w:p>
    <w:p w:rsidR="00E82B25" w:rsidRPr="003B6E11" w:rsidRDefault="00E82B25" w:rsidP="00E82B25">
      <w:pPr>
        <w:pStyle w:val="ESgauche"/>
        <w:rPr>
          <w:lang w:val="cs-CZ"/>
        </w:rPr>
      </w:pPr>
      <w:r w:rsidRPr="003B6E11">
        <w:rPr>
          <w:lang w:val="cs-CZ"/>
        </w:rPr>
        <w:t>Pracovní plavidlo určené jako takové v osvědčení plavidla vnitrozemské plavby může plout mimo pracoviště na vodní cestě pouze v nenaloženém stavu. Toto omezení se zapíše do osvědčení plavidla vnitrozemské plavby.</w:t>
      </w:r>
    </w:p>
    <w:p w:rsidR="00E82B25" w:rsidRPr="003B6E11" w:rsidRDefault="00E82B25" w:rsidP="00E82B25">
      <w:pPr>
        <w:pStyle w:val="ESgauche"/>
        <w:rPr>
          <w:lang w:val="cs-CZ"/>
        </w:rPr>
      </w:pPr>
    </w:p>
    <w:p w:rsidR="00E82B25" w:rsidRPr="003B6E11" w:rsidRDefault="00E82B25" w:rsidP="00E82B25">
      <w:pPr>
        <w:pStyle w:val="ESgauche"/>
        <w:rPr>
          <w:lang w:val="cs-CZ"/>
        </w:rPr>
      </w:pPr>
      <w:r w:rsidRPr="003B6E11">
        <w:rPr>
          <w:lang w:val="cs-CZ"/>
        </w:rPr>
        <w:t>Za tímto účelem musí mít pracovní plavidla potvrzení vystavené příslušným orgánem, v němž je uvedena doba trvání prací a zeměpisné hranice oblasti práce na vodní cestě, na němž může být plavidlo provozováno.</w:t>
      </w: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Titre3"/>
        <w:rPr>
          <w:i/>
          <w:lang w:val="cs-CZ"/>
        </w:rPr>
      </w:pPr>
      <w:bookmarkStart w:id="458" w:name="_Toc491854226"/>
      <w:bookmarkStart w:id="459" w:name="_Toc535417132"/>
      <w:r w:rsidRPr="003B6E11">
        <w:rPr>
          <w:lang w:val="cs-CZ"/>
        </w:rPr>
        <w:t>Článek 23.02</w:t>
      </w:r>
      <w:r w:rsidRPr="003B6E11">
        <w:rPr>
          <w:lang w:val="cs-CZ"/>
        </w:rPr>
        <w:br/>
      </w:r>
      <w:r w:rsidRPr="003B6E11">
        <w:rPr>
          <w:i/>
          <w:noProof/>
          <w:lang w:val="cs-CZ"/>
        </w:rPr>
        <w:t>Uplatňování části II</w:t>
      </w:r>
      <w:bookmarkEnd w:id="458"/>
      <w:bookmarkEnd w:id="459"/>
    </w:p>
    <w:p w:rsidR="00E82B25" w:rsidRPr="003B6E11" w:rsidRDefault="00E82B25" w:rsidP="00E82B25">
      <w:pPr>
        <w:pStyle w:val="ESgauche"/>
        <w:rPr>
          <w:lang w:val="cs-CZ"/>
        </w:rPr>
      </w:pPr>
    </w:p>
    <w:p w:rsidR="00E82B25" w:rsidRPr="003B6E11" w:rsidRDefault="00E82B25" w:rsidP="00E82B25">
      <w:pPr>
        <w:pStyle w:val="ESgauche"/>
        <w:rPr>
          <w:lang w:val="cs-CZ"/>
        </w:rPr>
      </w:pPr>
      <w:r w:rsidRPr="003B6E11">
        <w:rPr>
          <w:lang w:val="cs-CZ"/>
        </w:rPr>
        <w:t>Není-li v této kapitole uvedeno jinak, konstrukce a výstroj pracovních plavidel musí být v souladu s kapitolami 3 až 17 části II.</w:t>
      </w: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Titre3"/>
        <w:rPr>
          <w:lang w:val="cs-CZ"/>
        </w:rPr>
      </w:pPr>
      <w:bookmarkStart w:id="460" w:name="_Toc491854227"/>
      <w:bookmarkStart w:id="461" w:name="_Toc535417133"/>
      <w:r w:rsidRPr="003B6E11">
        <w:rPr>
          <w:lang w:val="cs-CZ"/>
        </w:rPr>
        <w:t>Článek 23.03</w:t>
      </w:r>
      <w:r w:rsidRPr="003B6E11">
        <w:rPr>
          <w:lang w:val="cs-CZ"/>
        </w:rPr>
        <w:br/>
      </w:r>
      <w:r w:rsidRPr="003B6E11">
        <w:rPr>
          <w:i/>
          <w:noProof/>
          <w:lang w:val="cs-CZ"/>
        </w:rPr>
        <w:t>Odchylky</w:t>
      </w:r>
      <w:bookmarkEnd w:id="460"/>
      <w:bookmarkEnd w:id="461"/>
    </w:p>
    <w:p w:rsidR="00E82B25" w:rsidRPr="003B6E11" w:rsidRDefault="00E82B25" w:rsidP="00E82B25">
      <w:pPr>
        <w:pStyle w:val="ESch"/>
        <w:rPr>
          <w:noProof/>
          <w:lang w:val="cs-CZ"/>
        </w:rPr>
      </w:pPr>
    </w:p>
    <w:p w:rsidR="00E82B25" w:rsidRPr="003B6E11" w:rsidRDefault="00E82B25" w:rsidP="00E82B25">
      <w:pPr>
        <w:pStyle w:val="ESch"/>
        <w:tabs>
          <w:tab w:val="left" w:pos="567"/>
        </w:tabs>
        <w:ind w:left="993" w:hanging="993"/>
        <w:rPr>
          <w:lang w:val="cs-CZ"/>
        </w:rPr>
      </w:pPr>
      <w:r w:rsidRPr="003B6E11">
        <w:rPr>
          <w:lang w:val="cs-CZ"/>
        </w:rPr>
        <w:t>1.</w:t>
      </w:r>
      <w:r w:rsidRPr="003B6E11">
        <w:rPr>
          <w:lang w:val="cs-CZ"/>
        </w:rPr>
        <w:tab/>
        <w:t>a)</w:t>
      </w:r>
      <w:r w:rsidRPr="003B6E11">
        <w:rPr>
          <w:lang w:val="cs-CZ"/>
        </w:rPr>
        <w:tab/>
        <w:t>ustanovení čl. 3.03 odst. 1 se použijí obdobně;</w:t>
      </w:r>
    </w:p>
    <w:p w:rsidR="00E82B25" w:rsidRPr="003B6E11" w:rsidRDefault="00E82B25" w:rsidP="00E82B25">
      <w:pPr>
        <w:pStyle w:val="ESlet"/>
        <w:rPr>
          <w:lang w:val="cs-CZ"/>
        </w:rPr>
      </w:pPr>
      <w:r w:rsidRPr="003B6E11">
        <w:rPr>
          <w:lang w:val="cs-CZ"/>
        </w:rPr>
        <w:t>b)</w:t>
      </w:r>
      <w:r w:rsidRPr="003B6E11">
        <w:rPr>
          <w:lang w:val="cs-CZ"/>
        </w:rPr>
        <w:tab/>
        <w:t>má-li plavidlo vlastní pohon, použijí se obdobně kapitoly 5 a 6;</w:t>
      </w:r>
    </w:p>
    <w:p w:rsidR="00E82B25" w:rsidRPr="003B6E11" w:rsidRDefault="00E82B25" w:rsidP="00E82B25">
      <w:pPr>
        <w:pStyle w:val="ESlet"/>
        <w:rPr>
          <w:lang w:val="cs-CZ"/>
        </w:rPr>
      </w:pPr>
      <w:r w:rsidRPr="003B6E11">
        <w:rPr>
          <w:lang w:val="cs-CZ"/>
        </w:rPr>
        <w:t>c)</w:t>
      </w:r>
      <w:r w:rsidRPr="003B6E11">
        <w:rPr>
          <w:lang w:val="cs-CZ"/>
        </w:rPr>
        <w:tab/>
        <w:t>ustanovení čl. 13.02 odst. 2 písm. a) a b) se použijí obdobně;</w:t>
      </w:r>
    </w:p>
    <w:p w:rsidR="00E82B25" w:rsidRPr="003B6E11" w:rsidRDefault="00E82B25" w:rsidP="00E82B25">
      <w:pPr>
        <w:pStyle w:val="ESlet"/>
        <w:rPr>
          <w:rFonts w:cs="Arial"/>
          <w:szCs w:val="18"/>
          <w:lang w:val="cs-CZ"/>
        </w:rPr>
      </w:pPr>
      <w:r w:rsidRPr="003B6E11">
        <w:rPr>
          <w:lang w:val="cs-CZ"/>
        </w:rPr>
        <w:t>d)</w:t>
      </w:r>
      <w:r w:rsidRPr="003B6E11">
        <w:rPr>
          <w:lang w:val="cs-CZ"/>
        </w:rPr>
        <w:tab/>
        <w:t>subjekt pověřený prohlídkami může udělit výjimky z ostatních požadavků s ohledem na konstrukci, zařízení a výstroj, je-li v každém jednotlivém případě prokázána rovnocenná bezpečnost.</w:t>
      </w:r>
    </w:p>
    <w:p w:rsidR="00E82B25" w:rsidRPr="003B6E11" w:rsidRDefault="00E82B25" w:rsidP="00E82B25">
      <w:pPr>
        <w:pStyle w:val="ESch"/>
        <w:rPr>
          <w:noProof/>
          <w:lang w:val="cs-CZ"/>
        </w:rPr>
      </w:pPr>
    </w:p>
    <w:p w:rsidR="00E82B25" w:rsidRPr="003B6E11" w:rsidRDefault="00E82B25" w:rsidP="00E82B25">
      <w:pPr>
        <w:pStyle w:val="ESch"/>
        <w:rPr>
          <w:b/>
          <w:lang w:val="cs-CZ"/>
        </w:rPr>
      </w:pPr>
      <w:r w:rsidRPr="003B6E11">
        <w:rPr>
          <w:lang w:val="cs-CZ"/>
        </w:rPr>
        <w:t>2.</w:t>
      </w:r>
      <w:r w:rsidRPr="003B6E11">
        <w:rPr>
          <w:lang w:val="cs-CZ"/>
        </w:rPr>
        <w:tab/>
        <w:t>Subjekt pověřený prohlídkami může upustit od těchto ustanovení:</w:t>
      </w:r>
    </w:p>
    <w:p w:rsidR="00E82B25" w:rsidRPr="003B6E11" w:rsidRDefault="00E82B25" w:rsidP="00E82B25">
      <w:pPr>
        <w:pStyle w:val="ESlet"/>
        <w:rPr>
          <w:b/>
          <w:lang w:val="cs-CZ"/>
        </w:rPr>
      </w:pPr>
      <w:r w:rsidRPr="003B6E11">
        <w:rPr>
          <w:lang w:val="cs-CZ"/>
        </w:rPr>
        <w:t>a)</w:t>
      </w:r>
      <w:r w:rsidRPr="003B6E11">
        <w:rPr>
          <w:lang w:val="cs-CZ"/>
        </w:rPr>
        <w:tab/>
        <w:t>ustanovení čl. 8.08 odst. 2 až 8, není-li nutná posádka;</w:t>
      </w:r>
    </w:p>
    <w:p w:rsidR="00E82B25" w:rsidRPr="003B6E11" w:rsidRDefault="00E82B25" w:rsidP="00E82B25">
      <w:pPr>
        <w:pStyle w:val="ESlet"/>
        <w:rPr>
          <w:lang w:val="cs-CZ"/>
        </w:rPr>
      </w:pPr>
      <w:r w:rsidRPr="003B6E11">
        <w:rPr>
          <w:lang w:val="cs-CZ"/>
        </w:rPr>
        <w:t>b)</w:t>
      </w:r>
      <w:r w:rsidRPr="003B6E11">
        <w:rPr>
          <w:lang w:val="cs-CZ"/>
        </w:rPr>
        <w:tab/>
        <w:t xml:space="preserve">ustanovení čl. 13.01 odst. 1 a 3, lze-li pracovní plavidlo bezpečně ukotvit pomocí pracovních kotev nebo pilot. Pracovní plavidla s vlastním pohonem však musí být vybavena nejméně jednou kotvou, která splňuje požadavky stanovené v čl. 13.01 odst. 1, přičemž koeficient </w:t>
      </w:r>
      <m:oMath>
        <m:r>
          <w:rPr>
            <w:rFonts w:ascii="Cambria Math" w:hAnsi="Cambria Math"/>
            <w:noProof/>
            <w:lang w:val="cs-CZ"/>
          </w:rPr>
          <m:t>k</m:t>
        </m:r>
      </m:oMath>
      <w:r w:rsidRPr="003B6E11">
        <w:rPr>
          <w:lang w:val="cs-CZ"/>
        </w:rPr>
        <w:t xml:space="preserve"> se považuje za roven 45 a </w:t>
      </w:r>
      <m:oMath>
        <m:r>
          <w:rPr>
            <w:rFonts w:ascii="Cambria Math" w:hAnsi="Cambria Math"/>
            <w:noProof/>
            <w:lang w:val="cs-CZ"/>
          </w:rPr>
          <m:t>T</m:t>
        </m:r>
      </m:oMath>
      <w:r w:rsidRPr="003B6E11">
        <w:rPr>
          <w:lang w:val="cs-CZ"/>
        </w:rPr>
        <w:t xml:space="preserve"> se považuje za rovno výšce </w:t>
      </w:r>
      <m:oMath>
        <m:r>
          <w:rPr>
            <w:rFonts w:ascii="Cambria Math" w:hAnsi="Cambria Math"/>
            <w:noProof/>
            <w:lang w:val="cs-CZ"/>
          </w:rPr>
          <m:t>H</m:t>
        </m:r>
      </m:oMath>
      <w:r w:rsidRPr="003B6E11">
        <w:rPr>
          <w:lang w:val="cs-CZ"/>
        </w:rPr>
        <w:t>;</w:t>
      </w:r>
    </w:p>
    <w:p w:rsidR="00E82B25" w:rsidRPr="003B6E11" w:rsidRDefault="00E82B25" w:rsidP="00E82B25">
      <w:pPr>
        <w:pStyle w:val="ESlet"/>
        <w:rPr>
          <w:lang w:val="cs-CZ"/>
        </w:rPr>
      </w:pPr>
      <w:r w:rsidRPr="003B6E11">
        <w:rPr>
          <w:lang w:val="cs-CZ"/>
        </w:rPr>
        <w:t>c)</w:t>
      </w:r>
      <w:r w:rsidRPr="003B6E11">
        <w:rPr>
          <w:lang w:val="cs-CZ"/>
        </w:rPr>
        <w:tab/>
        <w:t>ustanovení čl. 13.02 odst. 1 písm. c), nemá-li pracovní plavidlo vlastní pohon.</w:t>
      </w: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br w:type="page"/>
      </w:r>
    </w:p>
    <w:p w:rsidR="00E82B25" w:rsidRPr="003B6E11" w:rsidRDefault="00E82B25" w:rsidP="00E82B25">
      <w:pPr>
        <w:pStyle w:val="ES-Titre3"/>
        <w:rPr>
          <w:i/>
          <w:lang w:val="cs-CZ"/>
        </w:rPr>
      </w:pPr>
      <w:bookmarkStart w:id="462" w:name="_Toc491854228"/>
      <w:bookmarkStart w:id="463" w:name="_Toc535417134"/>
      <w:r w:rsidRPr="003B6E11">
        <w:rPr>
          <w:lang w:val="cs-CZ"/>
        </w:rPr>
        <w:t>Článek 23.04</w:t>
      </w:r>
      <w:r w:rsidRPr="003B6E11">
        <w:rPr>
          <w:lang w:val="cs-CZ"/>
        </w:rPr>
        <w:br/>
      </w:r>
      <w:r w:rsidRPr="003B6E11">
        <w:rPr>
          <w:i/>
          <w:noProof/>
          <w:lang w:val="cs-CZ"/>
        </w:rPr>
        <w:t>Bezpečnostní vzdálenost a volný bok</w:t>
      </w:r>
      <w:bookmarkEnd w:id="462"/>
      <w:bookmarkEnd w:id="463"/>
    </w:p>
    <w:p w:rsidR="00E82B25" w:rsidRPr="003B6E11" w:rsidRDefault="00E82B25" w:rsidP="00E82B25">
      <w:pPr>
        <w:pStyle w:val="ESch"/>
        <w:rPr>
          <w:noProof/>
          <w:lang w:val="cs-CZ"/>
        </w:rPr>
      </w:pPr>
    </w:p>
    <w:p w:rsidR="00E82B25" w:rsidRPr="003B6E11" w:rsidRDefault="00E82B25" w:rsidP="00E82B25">
      <w:pPr>
        <w:pStyle w:val="ESch"/>
        <w:rPr>
          <w:lang w:val="cs-CZ"/>
        </w:rPr>
      </w:pPr>
      <w:r w:rsidRPr="003B6E11">
        <w:rPr>
          <w:lang w:val="cs-CZ"/>
        </w:rPr>
        <w:t>1.</w:t>
      </w:r>
      <w:r w:rsidRPr="003B6E11">
        <w:rPr>
          <w:lang w:val="cs-CZ"/>
        </w:rPr>
        <w:tab/>
        <w:t>Používá-li se pracovní plavidlo jako výsypný člun pro meliorační práce nebo jako zásobníkový hopper, musí bezpečnostní vzdálenost mimo podpalubní nákladový prostor činit nejméně 300 mm a volný bok nejméně 150 mm. Subjekt pověřený prohlídkami může povolit menší volný bok, je-li výpočtem prokázáno, že stabilita je dostatečná pro náklad s hustotou 1,5 t/m</w:t>
      </w:r>
      <w:r w:rsidRPr="003B6E11">
        <w:rPr>
          <w:vertAlign w:val="superscript"/>
          <w:lang w:val="cs-CZ"/>
        </w:rPr>
        <w:t>3</w:t>
      </w:r>
      <w:r w:rsidRPr="003B6E11">
        <w:rPr>
          <w:lang w:val="cs-CZ"/>
        </w:rPr>
        <w:t xml:space="preserve"> a že se žádný bok paluby nedostane k hladině vody. Je nutno vzít v úvahu účinek kapalného nákladu.</w:t>
      </w:r>
    </w:p>
    <w:p w:rsidR="00E82B25" w:rsidRPr="003B6E11" w:rsidRDefault="00E82B25" w:rsidP="00E82B25">
      <w:pPr>
        <w:pStyle w:val="ESch"/>
        <w:rPr>
          <w:noProof/>
          <w:lang w:val="cs-CZ"/>
        </w:rPr>
      </w:pPr>
    </w:p>
    <w:p w:rsidR="00E82B25" w:rsidRPr="003B6E11" w:rsidRDefault="00E82B25" w:rsidP="00E82B25">
      <w:pPr>
        <w:pStyle w:val="ESch"/>
        <w:rPr>
          <w:lang w:val="cs-CZ"/>
        </w:rPr>
      </w:pPr>
      <w:r w:rsidRPr="003B6E11">
        <w:rPr>
          <w:lang w:val="cs-CZ"/>
        </w:rPr>
        <w:t>2.</w:t>
      </w:r>
      <w:r w:rsidRPr="003B6E11">
        <w:rPr>
          <w:lang w:val="cs-CZ"/>
        </w:rPr>
        <w:tab/>
        <w:t>Články 4.01 a 4.02 se použijí obdobně na pracovní plavidla, která nejsou zahrnuta v odstavci 1. Subjekt pověřený prohlídkami může pro bezpečnostní vzdálenost a volný bok stanovit jiné hodnoty.</w:t>
      </w: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Titre3"/>
        <w:rPr>
          <w:lang w:val="cs-CZ"/>
        </w:rPr>
      </w:pPr>
      <w:bookmarkStart w:id="464" w:name="_Toc491854229"/>
      <w:bookmarkStart w:id="465" w:name="_Toc535417135"/>
      <w:r w:rsidRPr="003B6E11">
        <w:rPr>
          <w:lang w:val="cs-CZ"/>
        </w:rPr>
        <w:t>Článek 23.05</w:t>
      </w:r>
      <w:r w:rsidRPr="003B6E11">
        <w:rPr>
          <w:lang w:val="cs-CZ"/>
        </w:rPr>
        <w:br/>
      </w:r>
      <w:r w:rsidRPr="003B6E11">
        <w:rPr>
          <w:i/>
          <w:noProof/>
          <w:lang w:val="cs-CZ"/>
        </w:rPr>
        <w:t>Lodní čluny</w:t>
      </w:r>
      <w:bookmarkEnd w:id="464"/>
      <w:bookmarkEnd w:id="465"/>
    </w:p>
    <w:p w:rsidR="00E82B25" w:rsidRPr="003B6E11" w:rsidRDefault="00E82B25" w:rsidP="00E82B25">
      <w:pPr>
        <w:pStyle w:val="ESch"/>
        <w:rPr>
          <w:noProof/>
          <w:lang w:val="cs-CZ"/>
        </w:rPr>
      </w:pPr>
    </w:p>
    <w:p w:rsidR="00E82B25" w:rsidRPr="003B6E11" w:rsidRDefault="00E82B25" w:rsidP="00E82B25">
      <w:pPr>
        <w:pStyle w:val="ESgauche"/>
        <w:rPr>
          <w:lang w:val="cs-CZ"/>
        </w:rPr>
      </w:pPr>
      <w:r w:rsidRPr="003B6E11">
        <w:rPr>
          <w:lang w:val="cs-CZ"/>
        </w:rPr>
        <w:t>Pracovní plavidlo nemusí mít lodní člun, pokud</w:t>
      </w:r>
    </w:p>
    <w:p w:rsidR="00E82B25" w:rsidRPr="003B6E11" w:rsidRDefault="00E82B25" w:rsidP="00E82B25">
      <w:pPr>
        <w:pStyle w:val="ESletgauche"/>
        <w:rPr>
          <w:lang w:val="cs-CZ"/>
        </w:rPr>
      </w:pPr>
      <w:r w:rsidRPr="003B6E11">
        <w:rPr>
          <w:lang w:val="cs-CZ"/>
        </w:rPr>
        <w:t>a)</w:t>
      </w:r>
      <w:r w:rsidRPr="003B6E11">
        <w:rPr>
          <w:lang w:val="cs-CZ"/>
        </w:rPr>
        <w:tab/>
        <w:t>nemá vlastní pohon nebo</w:t>
      </w:r>
    </w:p>
    <w:p w:rsidR="00E82B25" w:rsidRPr="003B6E11" w:rsidRDefault="00E82B25" w:rsidP="00E82B25">
      <w:pPr>
        <w:pStyle w:val="ESletgauche"/>
        <w:rPr>
          <w:lang w:val="cs-CZ"/>
        </w:rPr>
      </w:pPr>
      <w:r w:rsidRPr="003B6E11">
        <w:rPr>
          <w:lang w:val="cs-CZ"/>
        </w:rPr>
        <w:t>b)</w:t>
      </w:r>
      <w:r w:rsidRPr="003B6E11">
        <w:rPr>
          <w:lang w:val="cs-CZ"/>
        </w:rPr>
        <w:tab/>
        <w:t>lodní člun je k dispozici v oblasti práce na vodní cestě.</w:t>
      </w:r>
    </w:p>
    <w:p w:rsidR="00E82B25" w:rsidRPr="003B6E11" w:rsidRDefault="00E82B25" w:rsidP="00E82B25">
      <w:pPr>
        <w:pStyle w:val="ESch"/>
        <w:rPr>
          <w:noProof/>
          <w:lang w:val="cs-CZ"/>
        </w:rPr>
      </w:pPr>
    </w:p>
    <w:p w:rsidR="00E82B25" w:rsidRPr="003B6E11" w:rsidRDefault="00E82B25" w:rsidP="00E82B25">
      <w:pPr>
        <w:pStyle w:val="ESgauche"/>
        <w:rPr>
          <w:lang w:val="cs-CZ"/>
        </w:rPr>
      </w:pPr>
      <w:r w:rsidRPr="003B6E11">
        <w:rPr>
          <w:lang w:val="cs-CZ"/>
        </w:rPr>
        <w:t>Tato odchylka se zapíše do osvědčení plavidla vnitrozemské plavby.</w:t>
      </w: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Titre2"/>
        <w:rPr>
          <w:szCs w:val="24"/>
        </w:rPr>
      </w:pPr>
      <w:bookmarkStart w:id="466" w:name="_Toc491854230"/>
      <w:bookmarkStart w:id="467" w:name="_Toc535417136"/>
      <w:r w:rsidRPr="003B6E11">
        <w:t>Kapitola 24</w:t>
      </w:r>
      <w:r w:rsidRPr="003B6E11">
        <w:br/>
      </w:r>
      <w:r w:rsidRPr="003B6E11">
        <w:rPr>
          <w:noProof/>
          <w:sz w:val="22"/>
        </w:rPr>
        <w:t>Zvláštní ustanovení pro tradiční plavidla</w:t>
      </w:r>
      <w:bookmarkEnd w:id="466"/>
      <w:bookmarkEnd w:id="467"/>
    </w:p>
    <w:p w:rsidR="00E82B25" w:rsidRPr="003B6E11" w:rsidRDefault="00E82B25" w:rsidP="00E82B25">
      <w:pPr>
        <w:pStyle w:val="ESch"/>
        <w:rPr>
          <w:lang w:val="cs-CZ"/>
        </w:rPr>
      </w:pPr>
    </w:p>
    <w:p w:rsidR="00E82B25" w:rsidRPr="003B6E11" w:rsidRDefault="00E82B25" w:rsidP="00E82B25">
      <w:pPr>
        <w:pStyle w:val="ES-Titre3"/>
        <w:rPr>
          <w:rFonts w:cs="Arial"/>
          <w:i/>
          <w:lang w:val="cs-CZ"/>
        </w:rPr>
      </w:pPr>
      <w:bookmarkStart w:id="468" w:name="_Toc491854231"/>
      <w:bookmarkStart w:id="469" w:name="_Toc535417137"/>
      <w:r w:rsidRPr="003B6E11">
        <w:rPr>
          <w:lang w:val="cs-CZ"/>
        </w:rPr>
        <w:t>Článek 24.01</w:t>
      </w:r>
      <w:r w:rsidRPr="003B6E11">
        <w:rPr>
          <w:lang w:val="cs-CZ"/>
        </w:rPr>
        <w:br/>
      </w:r>
      <w:r w:rsidRPr="003B6E11">
        <w:rPr>
          <w:i/>
          <w:lang w:val="cs-CZ"/>
        </w:rPr>
        <w:t>Použití částí II a III</w:t>
      </w:r>
      <w:bookmarkEnd w:id="468"/>
      <w:bookmarkEnd w:id="469"/>
      <w:r w:rsidRPr="003B6E11">
        <w:rPr>
          <w:i/>
          <w:lang w:val="cs-CZ"/>
        </w:rPr>
        <w:t xml:space="preserve"> </w:t>
      </w:r>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t>1.</w:t>
      </w:r>
      <w:r w:rsidRPr="003B6E11">
        <w:rPr>
          <w:lang w:val="cs-CZ"/>
        </w:rPr>
        <w:tab/>
        <w:t>Tradiční plavidlo musí být postaveno v souladu se správnou praxí stavby lodí v souladu s technickými podmínkami zvoleného historického období.</w:t>
      </w:r>
    </w:p>
    <w:p w:rsidR="00E82B25" w:rsidRPr="003B6E11" w:rsidRDefault="00E82B25" w:rsidP="00E82B25">
      <w:pPr>
        <w:pStyle w:val="ESch"/>
        <w:rPr>
          <w:lang w:val="cs-CZ"/>
        </w:rPr>
      </w:pPr>
    </w:p>
    <w:p w:rsidR="00E82B25" w:rsidRPr="003B6E11" w:rsidRDefault="00E82B25" w:rsidP="00E82B25">
      <w:pPr>
        <w:pStyle w:val="ESchpar"/>
        <w:rPr>
          <w:lang w:val="cs-CZ"/>
        </w:rPr>
      </w:pPr>
      <w:r w:rsidRPr="003B6E11">
        <w:rPr>
          <w:lang w:val="cs-CZ"/>
        </w:rPr>
        <w:t>Stav stavby, zařízení a vybavení tradičního plavidla musí být v souladu alespoň s vnitrostátními právními předpisy členského státu, v němž bylo tradiční plavidlo ke zvolenému historickému datu původně provozováno.</w:t>
      </w:r>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t>2.</w:t>
      </w:r>
      <w:r w:rsidRPr="003B6E11">
        <w:rPr>
          <w:lang w:val="cs-CZ"/>
        </w:rPr>
        <w:tab/>
        <w:t>Všechny konstrukční prvky, zařízení a vybavení, které nejsou zahrnuty ve stavu stavby lodí, zařízení a vybavení zvolené doby, musí splňovat všechna použitelná ustanovení částí II a III této normy.</w:t>
      </w:r>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t>3.</w:t>
      </w:r>
      <w:r w:rsidRPr="003B6E11">
        <w:rPr>
          <w:lang w:val="cs-CZ"/>
        </w:rPr>
        <w:tab/>
        <w:t>V případě odchylek od aktuálně platných ustanovení této normy stanoví subjekt pověřený prohlídkami jako vyvažovací prvek rovnocennou úroveň bezpečnosti, přičemž přihlédne k technickému fungování tradičního plavidla i jeho vzhledu. Tyto odchylky jsou přípustné pouze tehdy, jsou-li nezbytné vzhledem k nutnosti zachovat historický charakter plavidla.</w:t>
      </w:r>
    </w:p>
    <w:p w:rsidR="00E82B25" w:rsidRPr="003B6E11" w:rsidRDefault="00E82B25" w:rsidP="00E82B25">
      <w:pPr>
        <w:pStyle w:val="ESch"/>
        <w:rPr>
          <w:rFonts w:cs="Arial"/>
          <w:szCs w:val="20"/>
          <w:lang w:val="cs-CZ"/>
        </w:rPr>
      </w:pPr>
    </w:p>
    <w:p w:rsidR="00E82B25" w:rsidRPr="003B6E11" w:rsidRDefault="00E82B25" w:rsidP="00E82B25">
      <w:pPr>
        <w:rPr>
          <w:rFonts w:cs="Arial"/>
          <w:color w:val="000000"/>
          <w:szCs w:val="20"/>
          <w:lang w:val="cs-CZ"/>
        </w:rPr>
      </w:pPr>
    </w:p>
    <w:p w:rsidR="00E82B25" w:rsidRPr="003B6E11" w:rsidRDefault="00E82B25" w:rsidP="00E82B25">
      <w:pPr>
        <w:pStyle w:val="ES-Titre3"/>
        <w:rPr>
          <w:rFonts w:cs="Arial"/>
          <w:i/>
          <w:lang w:val="cs-CZ"/>
        </w:rPr>
      </w:pPr>
      <w:bookmarkStart w:id="470" w:name="_Toc491854232"/>
      <w:bookmarkStart w:id="471" w:name="_Toc535417138"/>
      <w:r w:rsidRPr="003B6E11">
        <w:rPr>
          <w:lang w:val="cs-CZ"/>
        </w:rPr>
        <w:t>Článek 24.02</w:t>
      </w:r>
      <w:r w:rsidRPr="003B6E11">
        <w:rPr>
          <w:lang w:val="cs-CZ"/>
        </w:rPr>
        <w:br/>
      </w:r>
      <w:r w:rsidRPr="003B6E11">
        <w:rPr>
          <w:i/>
          <w:lang w:val="cs-CZ"/>
        </w:rPr>
        <w:t>Uznání a záznam v osvědčení plavidla vnitrozemské plavby</w:t>
      </w:r>
      <w:bookmarkEnd w:id="470"/>
      <w:bookmarkEnd w:id="471"/>
    </w:p>
    <w:p w:rsidR="00E82B25" w:rsidRPr="003B6E11" w:rsidRDefault="00E82B25" w:rsidP="00E82B25">
      <w:pPr>
        <w:widowControl w:val="0"/>
        <w:spacing w:line="240" w:lineRule="exact"/>
        <w:jc w:val="center"/>
        <w:rPr>
          <w:rFonts w:cs="Arial"/>
          <w:color w:val="000000"/>
          <w:szCs w:val="20"/>
          <w:lang w:val="cs-CZ"/>
        </w:rPr>
      </w:pPr>
    </w:p>
    <w:p w:rsidR="00E82B25" w:rsidRPr="003B6E11" w:rsidRDefault="00E82B25" w:rsidP="00E82B25">
      <w:pPr>
        <w:pStyle w:val="ESch"/>
        <w:rPr>
          <w:highlight w:val="lightGray"/>
          <w:lang w:val="cs-CZ"/>
        </w:rPr>
      </w:pPr>
      <w:r w:rsidRPr="003B6E11">
        <w:rPr>
          <w:lang w:val="cs-CZ"/>
        </w:rPr>
        <w:t>1.</w:t>
      </w:r>
      <w:r w:rsidRPr="003B6E11">
        <w:rPr>
          <w:lang w:val="cs-CZ"/>
        </w:rPr>
        <w:tab/>
        <w:t>K uznání plavidla jako tradičního je třeba provést:</w:t>
      </w:r>
    </w:p>
    <w:p w:rsidR="00E82B25" w:rsidRPr="003B6E11" w:rsidRDefault="00E82B25" w:rsidP="00E82B25">
      <w:pPr>
        <w:pStyle w:val="ESlet"/>
        <w:rPr>
          <w:lang w:val="cs-CZ"/>
        </w:rPr>
      </w:pPr>
      <w:r w:rsidRPr="003B6E11">
        <w:rPr>
          <w:lang w:val="cs-CZ"/>
        </w:rPr>
        <w:t xml:space="preserve">a) </w:t>
      </w:r>
      <w:r w:rsidRPr="003B6E11">
        <w:rPr>
          <w:lang w:val="cs-CZ"/>
        </w:rPr>
        <w:tab/>
        <w:t xml:space="preserve">první prohlídku před prvním vydáním osvědčení plavidla vnitrozemské plavby nebo </w:t>
      </w:r>
    </w:p>
    <w:p w:rsidR="00E82B25" w:rsidRPr="003B6E11" w:rsidRDefault="00E82B25" w:rsidP="00E82B25">
      <w:pPr>
        <w:pStyle w:val="ESlet"/>
        <w:rPr>
          <w:lang w:val="cs-CZ"/>
        </w:rPr>
      </w:pPr>
      <w:r w:rsidRPr="003B6E11">
        <w:rPr>
          <w:lang w:val="cs-CZ"/>
        </w:rPr>
        <w:t xml:space="preserve">b) </w:t>
      </w:r>
      <w:r w:rsidRPr="003B6E11">
        <w:rPr>
          <w:lang w:val="cs-CZ"/>
        </w:rPr>
        <w:tab/>
        <w:t>zvláštní prohlídku před vydáním pozměněného osvědčení plavidla vnitrozemské plavby v důsledku přeměny nebo změny zamýšleného účelu plavidla na tradiční plavidlo.</w:t>
      </w:r>
    </w:p>
    <w:p w:rsidR="00E82B25" w:rsidRPr="003B6E11" w:rsidRDefault="00E82B25" w:rsidP="00E82B25">
      <w:pPr>
        <w:spacing w:line="240" w:lineRule="atLeast"/>
        <w:ind w:left="567" w:hanging="567"/>
        <w:rPr>
          <w:highlight w:val="lightGray"/>
          <w:lang w:val="cs-CZ"/>
        </w:rPr>
      </w:pPr>
    </w:p>
    <w:p w:rsidR="00E82B25" w:rsidRPr="003B6E11" w:rsidRDefault="00E82B25" w:rsidP="00E82B25">
      <w:pPr>
        <w:pStyle w:val="ESch"/>
        <w:rPr>
          <w:lang w:val="cs-CZ"/>
        </w:rPr>
      </w:pPr>
      <w:r w:rsidRPr="003B6E11">
        <w:rPr>
          <w:lang w:val="cs-CZ"/>
        </w:rPr>
        <w:t>2.</w:t>
      </w:r>
      <w:r w:rsidRPr="003B6E11">
        <w:rPr>
          <w:lang w:val="cs-CZ"/>
        </w:rPr>
        <w:tab/>
        <w:t>Kromě požadovaných regulačních dokumentů se subjektu pověřenému prohlídkami předkládají spolu s žádostí o prohlídku tyto doklady:</w:t>
      </w:r>
    </w:p>
    <w:p w:rsidR="00E82B25" w:rsidRPr="003B6E11" w:rsidRDefault="00E82B25" w:rsidP="00E82B25">
      <w:pPr>
        <w:pStyle w:val="ESlet"/>
        <w:rPr>
          <w:lang w:val="cs-CZ"/>
        </w:rPr>
      </w:pPr>
      <w:r w:rsidRPr="003B6E11">
        <w:rPr>
          <w:lang w:val="cs-CZ"/>
        </w:rPr>
        <w:t>a)</w:t>
      </w:r>
      <w:r w:rsidRPr="003B6E11">
        <w:rPr>
          <w:lang w:val="cs-CZ"/>
        </w:rPr>
        <w:tab/>
        <w:t>znalecký posudek odborníka orgánu pro ochranu kulturního dědictví s odpovídajícími odbornými znalostmi v oboru nebo odborníka na tradiční plavidla, vydaný v návaznosti na prohlídku, jež se uskutečnila nejdříve tři měsíce před datem podání žádosti, a který potvrzuje, že byly splněny požadavky čl. 24.01 odst. 01, že se předpokládá vhodnost pro použití podle čl. 1.01 (1.29) a že je plavidlo hodno zachování;</w:t>
      </w:r>
    </w:p>
    <w:p w:rsidR="00E82B25" w:rsidRPr="003B6E11" w:rsidRDefault="00E82B25" w:rsidP="00E82B25">
      <w:pPr>
        <w:pStyle w:val="ESlet"/>
        <w:rPr>
          <w:lang w:val="cs-CZ"/>
        </w:rPr>
      </w:pPr>
      <w:r w:rsidRPr="003B6E11">
        <w:rPr>
          <w:lang w:val="cs-CZ"/>
        </w:rPr>
        <w:t>b)</w:t>
      </w:r>
      <w:r w:rsidRPr="003B6E11">
        <w:rPr>
          <w:lang w:val="cs-CZ"/>
        </w:rPr>
        <w:tab/>
        <w:t>koncepce provozu;</w:t>
      </w:r>
    </w:p>
    <w:p w:rsidR="00E82B25" w:rsidRPr="003B6E11" w:rsidRDefault="00E82B25" w:rsidP="00E82B25">
      <w:pPr>
        <w:pStyle w:val="ESlet"/>
        <w:rPr>
          <w:lang w:val="cs-CZ"/>
        </w:rPr>
      </w:pPr>
      <w:r w:rsidRPr="003B6E11">
        <w:rPr>
          <w:lang w:val="cs-CZ"/>
        </w:rPr>
        <w:t>c)</w:t>
      </w:r>
      <w:r w:rsidRPr="003B6E11">
        <w:rPr>
          <w:lang w:val="cs-CZ"/>
        </w:rPr>
        <w:tab/>
        <w:t>bezpečnostní koncepce založená na koncepci provozu podle písmene b);</w:t>
      </w:r>
    </w:p>
    <w:p w:rsidR="00E82B25" w:rsidRPr="003B6E11" w:rsidRDefault="00E82B25" w:rsidP="00E82B25">
      <w:pPr>
        <w:pStyle w:val="ESlet"/>
        <w:rPr>
          <w:lang w:val="cs-CZ"/>
        </w:rPr>
      </w:pPr>
      <w:r w:rsidRPr="003B6E11">
        <w:rPr>
          <w:lang w:val="cs-CZ"/>
        </w:rPr>
        <w:t>d)</w:t>
      </w:r>
      <w:r w:rsidRPr="003B6E11">
        <w:rPr>
          <w:lang w:val="cs-CZ"/>
        </w:rPr>
        <w:tab/>
        <w:t>dokumentace tradičního plavidla, která má tyto části:</w:t>
      </w:r>
    </w:p>
    <w:p w:rsidR="00E82B25" w:rsidRPr="003B6E11" w:rsidRDefault="00E82B25" w:rsidP="00E82B25">
      <w:pPr>
        <w:pStyle w:val="EStiret"/>
        <w:rPr>
          <w:lang w:val="cs-CZ"/>
        </w:rPr>
      </w:pPr>
      <w:r w:rsidRPr="003B6E11">
        <w:rPr>
          <w:lang w:val="cs-CZ"/>
        </w:rPr>
        <w:t>aa)</w:t>
      </w:r>
      <w:r w:rsidRPr="003B6E11">
        <w:rPr>
          <w:lang w:val="cs-CZ"/>
        </w:rPr>
        <w:tab/>
        <w:t>podrobnosti o stavu stavby, zařízení a vybavení plavidla, jež je přistaveno k prohlídce, ve formě příslušných popisů, výkresů, fotografií a další dokumentace;</w:t>
      </w:r>
    </w:p>
    <w:p w:rsidR="00E82B25" w:rsidRPr="003B6E11" w:rsidRDefault="00E82B25" w:rsidP="00E82B25">
      <w:pPr>
        <w:pStyle w:val="EStiret"/>
        <w:rPr>
          <w:lang w:val="cs-CZ"/>
        </w:rPr>
      </w:pPr>
      <w:r w:rsidRPr="003B6E11">
        <w:rPr>
          <w:lang w:val="cs-CZ"/>
        </w:rPr>
        <w:t>bb)</w:t>
      </w:r>
      <w:r w:rsidRPr="003B6E11">
        <w:rPr>
          <w:lang w:val="cs-CZ"/>
        </w:rPr>
        <w:tab/>
        <w:t>seznam požadavků platných pro zvolené historické datum a jejich kopie, jsou-li nezbytné k odůvodnění odchylek od požadavků částí II a III této normy;</w:t>
      </w:r>
    </w:p>
    <w:p w:rsidR="00E82B25" w:rsidRPr="003B6E11" w:rsidRDefault="00E82B25" w:rsidP="00E82B25">
      <w:pPr>
        <w:rPr>
          <w:noProof/>
          <w:snapToGrid w:val="0"/>
          <w:color w:val="000000"/>
          <w:lang w:val="cs-CZ"/>
        </w:rPr>
      </w:pPr>
      <w:r w:rsidRPr="003B6E11">
        <w:rPr>
          <w:lang w:val="cs-CZ"/>
        </w:rPr>
        <w:br w:type="page"/>
      </w:r>
    </w:p>
    <w:p w:rsidR="00E82B25" w:rsidRPr="003B6E11" w:rsidRDefault="00E82B25" w:rsidP="00E82B25">
      <w:pPr>
        <w:pStyle w:val="EStiret"/>
        <w:rPr>
          <w:lang w:val="cs-CZ"/>
        </w:rPr>
      </w:pPr>
      <w:r w:rsidRPr="003B6E11">
        <w:rPr>
          <w:lang w:val="cs-CZ"/>
        </w:rPr>
        <w:t>cc)</w:t>
      </w:r>
      <w:r w:rsidRPr="003B6E11">
        <w:rPr>
          <w:lang w:val="cs-CZ"/>
        </w:rPr>
        <w:tab/>
        <w:t>doklad o tom, že stav stavby, zařízení a vybavení jsou vhodné k provozování plavidla jako plavidla tradičního;</w:t>
      </w:r>
    </w:p>
    <w:p w:rsidR="00E82B25" w:rsidRPr="003B6E11" w:rsidRDefault="00E82B25" w:rsidP="00E82B25">
      <w:pPr>
        <w:pStyle w:val="EStiret"/>
        <w:rPr>
          <w:lang w:val="cs-CZ"/>
        </w:rPr>
      </w:pPr>
      <w:r w:rsidRPr="003B6E11">
        <w:rPr>
          <w:lang w:val="cs-CZ"/>
        </w:rPr>
        <w:t>dd)</w:t>
      </w:r>
      <w:r w:rsidRPr="003B6E11">
        <w:rPr>
          <w:lang w:val="cs-CZ"/>
        </w:rPr>
        <w:tab/>
        <w:t>výkresy, plány, výpočty a důkazy podle této normy. Tato dokumentace musí odpovídat stavu plavidla v době podání žádosti;</w:t>
      </w:r>
    </w:p>
    <w:p w:rsidR="00E82B25" w:rsidRPr="003B6E11" w:rsidRDefault="00E82B25" w:rsidP="00E82B25">
      <w:pPr>
        <w:pStyle w:val="EStiret"/>
        <w:rPr>
          <w:lang w:val="cs-CZ"/>
        </w:rPr>
      </w:pPr>
      <w:r w:rsidRPr="003B6E11">
        <w:rPr>
          <w:lang w:val="cs-CZ"/>
        </w:rPr>
        <w:t>ee)</w:t>
      </w:r>
      <w:r w:rsidRPr="003B6E11">
        <w:rPr>
          <w:lang w:val="cs-CZ"/>
        </w:rPr>
        <w:tab/>
        <w:t>seznam odchylek týkajících se stavu stavby lodí, jejich vybavení a zařízení podle údajů v písmeni aa) od požadavků této normy platných v době podání žádosti;</w:t>
      </w:r>
    </w:p>
    <w:p w:rsidR="00E82B25" w:rsidRPr="003B6E11" w:rsidRDefault="00E82B25" w:rsidP="00E82B25">
      <w:pPr>
        <w:pStyle w:val="EStiret"/>
        <w:rPr>
          <w:lang w:val="cs-CZ"/>
        </w:rPr>
      </w:pPr>
      <w:r w:rsidRPr="003B6E11">
        <w:rPr>
          <w:lang w:val="cs-CZ"/>
        </w:rPr>
        <w:t>ff)</w:t>
      </w:r>
      <w:r w:rsidRPr="003B6E11">
        <w:rPr>
          <w:lang w:val="cs-CZ"/>
        </w:rPr>
        <w:tab/>
        <w:t>údaje o posádce tradičního plavidla ve zvoleném historickém období.</w:t>
      </w:r>
    </w:p>
    <w:p w:rsidR="00E82B25" w:rsidRPr="003B6E11" w:rsidRDefault="00E82B25" w:rsidP="00E82B25">
      <w:pPr>
        <w:spacing w:line="240" w:lineRule="atLeast"/>
        <w:ind w:left="567" w:hanging="567"/>
        <w:rPr>
          <w:highlight w:val="lightGray"/>
          <w:lang w:val="cs-CZ"/>
        </w:rPr>
      </w:pPr>
    </w:p>
    <w:p w:rsidR="00E82B25" w:rsidRPr="003B6E11" w:rsidRDefault="00E82B25" w:rsidP="00E82B25">
      <w:pPr>
        <w:pStyle w:val="ESch"/>
        <w:rPr>
          <w:lang w:val="cs-CZ"/>
        </w:rPr>
      </w:pPr>
      <w:r w:rsidRPr="003B6E11">
        <w:rPr>
          <w:lang w:val="cs-CZ"/>
        </w:rPr>
        <w:t>3.</w:t>
      </w:r>
      <w:r w:rsidRPr="003B6E11">
        <w:rPr>
          <w:lang w:val="cs-CZ"/>
        </w:rPr>
        <w:tab/>
        <w:t>Žadatel žádá o přidělení historického data pro tradiční plavidlo; nesmí být zvoleno datum předcházející datu prvního uvedení plavidla do provozu. U replik tradičních plavidel lze historické datum zjistit ze znalecké zprávy podle odst. 2  písm. a).</w:t>
      </w:r>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t>4.</w:t>
      </w:r>
      <w:r w:rsidRPr="003B6E11">
        <w:rPr>
          <w:lang w:val="cs-CZ"/>
        </w:rPr>
        <w:tab/>
        <w:t xml:space="preserve">Na základě výše uvedené dokumentace a prohlídky podle odst. 1 posoudí subjekt pověřený prohlídkami soulad podle čl. 1.01 (1.29) a článku 24.01 a uznání za „tradiční plavidlo“ se uvede v bodě 2 osvědčení plavidla vnitrozemské plavby. </w:t>
      </w:r>
    </w:p>
    <w:p w:rsidR="00E82B25" w:rsidRPr="003B6E11" w:rsidRDefault="00E82B25" w:rsidP="00E82B25">
      <w:pPr>
        <w:pStyle w:val="ESch"/>
        <w:rPr>
          <w:lang w:val="cs-CZ"/>
        </w:rPr>
      </w:pPr>
    </w:p>
    <w:p w:rsidR="00E82B25" w:rsidRPr="003B6E11" w:rsidRDefault="00E82B25" w:rsidP="00E82B25">
      <w:pPr>
        <w:pStyle w:val="ESch"/>
        <w:ind w:firstLine="0"/>
        <w:rPr>
          <w:lang w:val="cs-CZ"/>
        </w:rPr>
      </w:pPr>
      <w:r w:rsidRPr="003B6E11">
        <w:rPr>
          <w:lang w:val="cs-CZ"/>
        </w:rPr>
        <w:t>Posouzení souladu nelze provést v rozporu s posudkem odborníka na tradiční plavidla a v rozporu se znaleckým posudkem podle odst. 2 písm. a).</w:t>
      </w:r>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t>5.</w:t>
      </w:r>
      <w:r w:rsidRPr="003B6E11">
        <w:rPr>
          <w:lang w:val="cs-CZ"/>
        </w:rPr>
        <w:tab/>
        <w:t>Kromě záznamu „tradiční plavidlo“ musí být příloha „tradiční plavidla“ vydána podle vzoru v příloze 3 oddíle V. V bodě 52 osvědčení plavidla vnitrozemské plavby se uvede tento záznam:</w:t>
      </w:r>
    </w:p>
    <w:p w:rsidR="00E82B25" w:rsidRPr="003B6E11" w:rsidRDefault="00E82B25" w:rsidP="00E82B25">
      <w:pPr>
        <w:spacing w:line="240" w:lineRule="atLeast"/>
        <w:rPr>
          <w:highlight w:val="lightGray"/>
          <w:lang w:val="cs-CZ"/>
        </w:rPr>
      </w:pPr>
    </w:p>
    <w:p w:rsidR="00E82B25" w:rsidRPr="003B6E11" w:rsidRDefault="00E82B25" w:rsidP="00E82B25">
      <w:pPr>
        <w:pStyle w:val="ESch"/>
        <w:jc w:val="center"/>
        <w:rPr>
          <w:lang w:val="cs-CZ"/>
        </w:rPr>
      </w:pPr>
      <w:r w:rsidRPr="003B6E11">
        <w:rPr>
          <w:lang w:val="cs-CZ"/>
        </w:rPr>
        <w:t>„Viz příloha pro tradiční plavidla .“</w:t>
      </w:r>
    </w:p>
    <w:p w:rsidR="00E82B25" w:rsidRPr="003B6E11" w:rsidRDefault="00E82B25" w:rsidP="00E82B25">
      <w:pPr>
        <w:rPr>
          <w:highlight w:val="lightGray"/>
          <w:lang w:val="cs-CZ"/>
        </w:rPr>
      </w:pPr>
    </w:p>
    <w:p w:rsidR="00E82B25" w:rsidRPr="003B6E11" w:rsidRDefault="00E82B25" w:rsidP="00E82B25">
      <w:pPr>
        <w:pStyle w:val="ESch"/>
        <w:rPr>
          <w:lang w:val="cs-CZ"/>
        </w:rPr>
      </w:pPr>
      <w:r w:rsidRPr="003B6E11">
        <w:rPr>
          <w:lang w:val="cs-CZ"/>
        </w:rPr>
        <w:t>6.</w:t>
      </w:r>
      <w:r w:rsidRPr="003B6E11">
        <w:rPr>
          <w:lang w:val="cs-CZ"/>
        </w:rPr>
        <w:tab/>
        <w:t>Zjistí-li se v dokumentaci podle odst. 2 písm. d) bodu ee) nebo při prohlídce podle odst. 1 neshody se zněním této normy použitelným v okamžiku předložení žádosti, pak:</w:t>
      </w:r>
    </w:p>
    <w:p w:rsidR="00E82B25" w:rsidRPr="003B6E11" w:rsidRDefault="00E82B25" w:rsidP="00E82B25">
      <w:pPr>
        <w:pStyle w:val="ESlet"/>
        <w:rPr>
          <w:lang w:val="cs-CZ"/>
        </w:rPr>
      </w:pPr>
      <w:r w:rsidRPr="003B6E11">
        <w:rPr>
          <w:lang w:val="cs-CZ"/>
        </w:rPr>
        <w:t>a)</w:t>
      </w:r>
      <w:r w:rsidRPr="003B6E11">
        <w:rPr>
          <w:lang w:val="cs-CZ"/>
        </w:rPr>
        <w:tab/>
        <w:t>na plavidle se při plavbě může zdržovat pouze posádka nebo osoby, které jsou na palubě služebně, a</w:t>
      </w:r>
    </w:p>
    <w:p w:rsidR="00E82B25" w:rsidRPr="003B6E11" w:rsidRDefault="00E82B25" w:rsidP="00E82B25">
      <w:pPr>
        <w:pStyle w:val="ESlet"/>
        <w:rPr>
          <w:lang w:val="cs-CZ"/>
        </w:rPr>
      </w:pPr>
      <w:r w:rsidRPr="003B6E11">
        <w:rPr>
          <w:lang w:val="cs-CZ"/>
        </w:rPr>
        <w:t>b)</w:t>
      </w:r>
      <w:r w:rsidRPr="003B6E11">
        <w:rPr>
          <w:lang w:val="cs-CZ"/>
        </w:rPr>
        <w:tab/>
        <w:t>provoz snadno přístupných strojů nebo mechanicky poháněných zařízení na palubě je povolen pouze tehdy, není-li na palubě nikdo přítomen, s výjimkou posádky nebo osob, které jsou na palubě služebně.</w:t>
      </w:r>
    </w:p>
    <w:p w:rsidR="00E82B25" w:rsidRPr="003B6E11" w:rsidRDefault="00E82B25" w:rsidP="00E82B25">
      <w:pPr>
        <w:rPr>
          <w:highlight w:val="lightGray"/>
          <w:lang w:val="cs-CZ"/>
        </w:rPr>
      </w:pPr>
    </w:p>
    <w:p w:rsidR="00E82B25" w:rsidRPr="003B6E11" w:rsidRDefault="00E82B25" w:rsidP="00E82B25">
      <w:pPr>
        <w:pStyle w:val="ESchpar"/>
        <w:rPr>
          <w:lang w:val="cs-CZ"/>
        </w:rPr>
      </w:pPr>
      <w:r w:rsidRPr="003B6E11">
        <w:rPr>
          <w:lang w:val="cs-CZ"/>
        </w:rPr>
        <w:t>V bodě 52 osvědčení plavidla vnitrozemské plavby se uvede tento záznam.</w:t>
      </w:r>
    </w:p>
    <w:p w:rsidR="00E82B25" w:rsidRPr="003B6E11" w:rsidRDefault="00E82B25" w:rsidP="00E82B25">
      <w:pPr>
        <w:pStyle w:val="ESchpar"/>
        <w:rPr>
          <w:lang w:val="cs-CZ"/>
        </w:rPr>
      </w:pPr>
    </w:p>
    <w:p w:rsidR="00E82B25" w:rsidRPr="003B6E11" w:rsidRDefault="00E82B25" w:rsidP="00E82B25">
      <w:pPr>
        <w:pStyle w:val="ESchpar"/>
        <w:rPr>
          <w:lang w:val="cs-CZ"/>
        </w:rPr>
      </w:pPr>
      <w:r w:rsidRPr="003B6E11">
        <w:rPr>
          <w:lang w:val="cs-CZ"/>
        </w:rPr>
        <w:t>„Osoby jiné než posádka nebo osoby, které jsou na palubě služebně, se na palubě mohou zdržovat pouze tehdy, je-li plavidlo bezpečně uvázáno a nejsou v provozu volně přístupné stroje a mechanicky poháněná zařízení.“</w:t>
      </w:r>
    </w:p>
    <w:p w:rsidR="00E82B25" w:rsidRPr="003B6E11" w:rsidRDefault="00E82B25" w:rsidP="00E82B25">
      <w:pPr>
        <w:pStyle w:val="ESchpar"/>
        <w:rPr>
          <w:lang w:val="cs-CZ"/>
        </w:rPr>
      </w:pPr>
    </w:p>
    <w:p w:rsidR="00E82B25" w:rsidRPr="003B6E11" w:rsidRDefault="00E82B25" w:rsidP="00E82B25">
      <w:pPr>
        <w:pStyle w:val="ESchpar"/>
        <w:rPr>
          <w:rFonts w:cs="Arial"/>
          <w:color w:val="000000"/>
          <w:szCs w:val="20"/>
          <w:lang w:val="cs-CZ"/>
        </w:rPr>
      </w:pPr>
    </w:p>
    <w:p w:rsidR="00E82B25" w:rsidRPr="003B6E11" w:rsidRDefault="00E82B25" w:rsidP="00E82B25">
      <w:pPr>
        <w:rPr>
          <w:rFonts w:cs="Arial"/>
          <w:b/>
          <w:color w:val="000000"/>
          <w:lang w:val="cs-CZ"/>
        </w:rPr>
      </w:pPr>
      <w:r w:rsidRPr="003B6E11">
        <w:rPr>
          <w:lang w:val="cs-CZ"/>
        </w:rPr>
        <w:br w:type="page"/>
      </w:r>
    </w:p>
    <w:p w:rsidR="00E82B25" w:rsidRPr="003B6E11" w:rsidRDefault="00E82B25" w:rsidP="00E82B25">
      <w:pPr>
        <w:pStyle w:val="ESch"/>
        <w:rPr>
          <w:highlight w:val="lightGray"/>
          <w:lang w:val="cs-CZ"/>
        </w:rPr>
      </w:pPr>
    </w:p>
    <w:p w:rsidR="00E82B25" w:rsidRPr="003B6E11" w:rsidRDefault="00E82B25" w:rsidP="00E82B25">
      <w:pPr>
        <w:pStyle w:val="ES-Titre3"/>
        <w:rPr>
          <w:szCs w:val="20"/>
          <w:lang w:val="cs-CZ"/>
        </w:rPr>
      </w:pPr>
      <w:bookmarkStart w:id="472" w:name="_Toc491854233"/>
      <w:bookmarkStart w:id="473" w:name="_Toc535417139"/>
      <w:r w:rsidRPr="003B6E11">
        <w:rPr>
          <w:lang w:val="cs-CZ"/>
        </w:rPr>
        <w:t>Článek 24.03</w:t>
      </w:r>
      <w:r w:rsidRPr="003B6E11">
        <w:rPr>
          <w:lang w:val="cs-CZ"/>
        </w:rPr>
        <w:br/>
      </w:r>
      <w:r w:rsidRPr="003B6E11">
        <w:rPr>
          <w:i/>
          <w:lang w:val="cs-CZ"/>
        </w:rPr>
        <w:t>Jiná ustanovení a požadavky</w:t>
      </w:r>
      <w:bookmarkEnd w:id="472"/>
      <w:bookmarkEnd w:id="473"/>
    </w:p>
    <w:p w:rsidR="00E82B25" w:rsidRPr="003B6E11" w:rsidRDefault="00E82B25" w:rsidP="00E82B25">
      <w:pPr>
        <w:widowControl w:val="0"/>
        <w:outlineLvl w:val="0"/>
        <w:rPr>
          <w:rFonts w:cs="Arial"/>
          <w:color w:val="000000"/>
          <w:szCs w:val="20"/>
          <w:lang w:val="cs-CZ"/>
        </w:rPr>
      </w:pPr>
    </w:p>
    <w:p w:rsidR="00E82B25" w:rsidRPr="003B6E11" w:rsidRDefault="00E82B25" w:rsidP="00E82B25">
      <w:pPr>
        <w:pStyle w:val="ESch"/>
        <w:rPr>
          <w:lang w:val="cs-CZ"/>
        </w:rPr>
      </w:pPr>
      <w:r w:rsidRPr="003B6E11">
        <w:rPr>
          <w:lang w:val="cs-CZ"/>
        </w:rPr>
        <w:t>1.</w:t>
      </w:r>
      <w:r w:rsidRPr="003B6E11">
        <w:rPr>
          <w:lang w:val="cs-CZ"/>
        </w:rPr>
        <w:tab/>
        <w:t>V souladu s provozní a bezpečnostní koncepcí podle čl. 24.02 odst. 2 písm. b) a c), jakož i se stavem stavby, vybavování a zařízení tradičních plavidel stanoví subjekt pověřený prohlídkami:</w:t>
      </w:r>
    </w:p>
    <w:p w:rsidR="00E82B25" w:rsidRPr="003B6E11" w:rsidRDefault="00E82B25" w:rsidP="00E82B25">
      <w:pPr>
        <w:pStyle w:val="ESlet"/>
        <w:rPr>
          <w:lang w:val="cs-CZ"/>
        </w:rPr>
      </w:pPr>
      <w:r w:rsidRPr="003B6E11">
        <w:rPr>
          <w:lang w:val="cs-CZ"/>
        </w:rPr>
        <w:t>a)</w:t>
      </w:r>
      <w:r w:rsidRPr="003B6E11">
        <w:rPr>
          <w:lang w:val="cs-CZ"/>
        </w:rPr>
        <w:tab/>
        <w:t>minimální velikost posádky a její kvalifikaci;</w:t>
      </w:r>
    </w:p>
    <w:p w:rsidR="00E82B25" w:rsidRPr="003B6E11" w:rsidRDefault="00E82B25" w:rsidP="00E82B25">
      <w:pPr>
        <w:pStyle w:val="ESlet"/>
        <w:rPr>
          <w:lang w:val="cs-CZ"/>
        </w:rPr>
      </w:pPr>
      <w:r w:rsidRPr="003B6E11">
        <w:rPr>
          <w:lang w:val="cs-CZ"/>
        </w:rPr>
        <w:t>b)</w:t>
      </w:r>
      <w:r w:rsidRPr="003B6E11">
        <w:rPr>
          <w:lang w:val="cs-CZ"/>
        </w:rPr>
        <w:tab/>
        <w:t>přípustný počet osob, který lze snížit na minimální velikost posádky;</w:t>
      </w:r>
    </w:p>
    <w:p w:rsidR="00E82B25" w:rsidRPr="003B6E11" w:rsidRDefault="00E82B25" w:rsidP="00E82B25">
      <w:pPr>
        <w:pStyle w:val="ESlet"/>
        <w:rPr>
          <w:lang w:val="cs-CZ"/>
        </w:rPr>
      </w:pPr>
      <w:r w:rsidRPr="003B6E11">
        <w:rPr>
          <w:lang w:val="cs-CZ"/>
        </w:rPr>
        <w:t>c)</w:t>
      </w:r>
      <w:r w:rsidRPr="003B6E11">
        <w:rPr>
          <w:lang w:val="cs-CZ"/>
        </w:rPr>
        <w:tab/>
        <w:t>omezení pro pobyt osob jiných než členů posádky na palubě;</w:t>
      </w:r>
    </w:p>
    <w:p w:rsidR="00E82B25" w:rsidRPr="003B6E11" w:rsidRDefault="00E82B25" w:rsidP="00E82B25">
      <w:pPr>
        <w:pStyle w:val="ESlet"/>
        <w:rPr>
          <w:lang w:val="cs-CZ"/>
        </w:rPr>
      </w:pPr>
      <w:r w:rsidRPr="003B6E11">
        <w:rPr>
          <w:lang w:val="cs-CZ"/>
        </w:rPr>
        <w:t>d)</w:t>
      </w:r>
      <w:r w:rsidRPr="003B6E11">
        <w:rPr>
          <w:lang w:val="cs-CZ"/>
        </w:rPr>
        <w:tab/>
        <w:t>přípustné zatížení, které lze snížit na „nulu“;</w:t>
      </w:r>
    </w:p>
    <w:p w:rsidR="00E82B25" w:rsidRPr="003B6E11" w:rsidRDefault="00E82B25" w:rsidP="00E82B25">
      <w:pPr>
        <w:pStyle w:val="ESlet"/>
        <w:rPr>
          <w:lang w:val="cs-CZ"/>
        </w:rPr>
      </w:pPr>
      <w:r w:rsidRPr="003B6E11">
        <w:rPr>
          <w:lang w:val="cs-CZ"/>
        </w:rPr>
        <w:t>e)</w:t>
      </w:r>
      <w:r w:rsidRPr="003B6E11">
        <w:rPr>
          <w:lang w:val="cs-CZ"/>
        </w:rPr>
        <w:tab/>
        <w:t>přípustná provozní oblast;</w:t>
      </w:r>
    </w:p>
    <w:p w:rsidR="00E82B25" w:rsidRPr="003B6E11" w:rsidRDefault="00E82B25" w:rsidP="00E82B25">
      <w:pPr>
        <w:pStyle w:val="ESlet"/>
        <w:rPr>
          <w:lang w:val="cs-CZ"/>
        </w:rPr>
      </w:pPr>
      <w:r w:rsidRPr="003B6E11">
        <w:rPr>
          <w:lang w:val="cs-CZ"/>
        </w:rPr>
        <w:t>f)</w:t>
      </w:r>
      <w:r w:rsidRPr="003B6E11">
        <w:rPr>
          <w:lang w:val="cs-CZ"/>
        </w:rPr>
        <w:tab/>
        <w:t>meteorologická omezení;</w:t>
      </w:r>
    </w:p>
    <w:p w:rsidR="00E82B25" w:rsidRPr="003B6E11" w:rsidRDefault="00E82B25" w:rsidP="00E82B25">
      <w:pPr>
        <w:pStyle w:val="ESlet"/>
        <w:rPr>
          <w:lang w:val="cs-CZ"/>
        </w:rPr>
      </w:pPr>
      <w:r w:rsidRPr="003B6E11">
        <w:rPr>
          <w:lang w:val="cs-CZ"/>
        </w:rPr>
        <w:t>g)</w:t>
      </w:r>
      <w:r w:rsidRPr="003B6E11">
        <w:rPr>
          <w:lang w:val="cs-CZ"/>
        </w:rPr>
        <w:tab/>
        <w:t>plavební omezení;</w:t>
      </w:r>
    </w:p>
    <w:p w:rsidR="00E82B25" w:rsidRPr="003B6E11" w:rsidRDefault="00E82B25" w:rsidP="00E82B25">
      <w:pPr>
        <w:pStyle w:val="ESlet"/>
        <w:rPr>
          <w:lang w:val="cs-CZ"/>
        </w:rPr>
      </w:pPr>
      <w:r w:rsidRPr="003B6E11">
        <w:rPr>
          <w:lang w:val="cs-CZ"/>
        </w:rPr>
        <w:t>h)</w:t>
      </w:r>
      <w:r w:rsidRPr="003B6E11">
        <w:rPr>
          <w:lang w:val="cs-CZ"/>
        </w:rPr>
        <w:tab/>
        <w:t>jiná omezení.</w:t>
      </w:r>
    </w:p>
    <w:p w:rsidR="00E82B25" w:rsidRPr="003B6E11" w:rsidRDefault="00E82B25" w:rsidP="00E82B25">
      <w:pPr>
        <w:widowControl w:val="0"/>
        <w:tabs>
          <w:tab w:val="left" w:pos="1440"/>
        </w:tabs>
        <w:spacing w:line="240" w:lineRule="atLeast"/>
        <w:ind w:left="900"/>
        <w:rPr>
          <w:rFonts w:ascii="Times New Roman" w:hAnsi="Times New Roman"/>
          <w:szCs w:val="20"/>
          <w:lang w:val="cs-CZ"/>
        </w:rPr>
      </w:pPr>
    </w:p>
    <w:p w:rsidR="00E82B25" w:rsidRPr="003B6E11" w:rsidRDefault="00E82B25" w:rsidP="00E82B25">
      <w:pPr>
        <w:pStyle w:val="ESch"/>
        <w:rPr>
          <w:lang w:val="cs-CZ"/>
        </w:rPr>
      </w:pPr>
      <w:r w:rsidRPr="003B6E11">
        <w:rPr>
          <w:lang w:val="cs-CZ"/>
        </w:rPr>
        <w:t>2.</w:t>
      </w:r>
      <w:r w:rsidRPr="003B6E11">
        <w:rPr>
          <w:lang w:val="cs-CZ"/>
        </w:rPr>
        <w:tab/>
        <w:t>U pravidelných prohlídek může subjekt pověřený prohlídkami změnit na základě dalšího vývoje technických ustanovení této normy podmínky podle čl. 24.03 odst. 1 a čl. 24.01 odst. 3. Tyto změny musí být uvedeny v příloze „Tradiční plavidlo“ osvědčení plavidla vnitrozemské plavby.</w:t>
      </w: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br w:type="page"/>
      </w: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Titre2"/>
        <w:rPr>
          <w:szCs w:val="24"/>
        </w:rPr>
      </w:pPr>
      <w:bookmarkStart w:id="474" w:name="_Toc491854234"/>
      <w:bookmarkStart w:id="475" w:name="_Toc535417140"/>
      <w:r w:rsidRPr="003B6E11">
        <w:t>Kapitola 25</w:t>
      </w:r>
      <w:r w:rsidRPr="003B6E11">
        <w:br/>
      </w:r>
      <w:r w:rsidRPr="003B6E11">
        <w:rPr>
          <w:noProof/>
          <w:sz w:val="22"/>
        </w:rPr>
        <w:t>Zvláštní ustanovení pro námořní lodě</w:t>
      </w:r>
      <w:bookmarkEnd w:id="474"/>
      <w:bookmarkEnd w:id="475"/>
    </w:p>
    <w:p w:rsidR="00E82B25" w:rsidRPr="003B6E11" w:rsidRDefault="00E82B25" w:rsidP="00E82B25">
      <w:pPr>
        <w:rPr>
          <w:lang w:val="cs-CZ"/>
        </w:rPr>
      </w:pPr>
    </w:p>
    <w:p w:rsidR="00E82B25" w:rsidRPr="003B6E11" w:rsidRDefault="00E82B25" w:rsidP="00E82B25">
      <w:pPr>
        <w:pStyle w:val="ES-Titre3"/>
        <w:rPr>
          <w:lang w:val="cs-CZ"/>
        </w:rPr>
      </w:pPr>
      <w:bookmarkStart w:id="476" w:name="_Toc491854235"/>
      <w:bookmarkStart w:id="477" w:name="_Toc535417141"/>
      <w:r w:rsidRPr="003B6E11">
        <w:rPr>
          <w:lang w:val="cs-CZ"/>
        </w:rPr>
        <w:t>Článek 25.01</w:t>
      </w:r>
      <w:r w:rsidRPr="003B6E11">
        <w:rPr>
          <w:lang w:val="cs-CZ"/>
        </w:rPr>
        <w:br/>
      </w:r>
      <w:r w:rsidRPr="003B6E11">
        <w:rPr>
          <w:i/>
          <w:noProof/>
          <w:lang w:val="cs-CZ"/>
        </w:rPr>
        <w:t>Ustanovení pro Rýn (zóna R)</w:t>
      </w:r>
      <w:bookmarkEnd w:id="476"/>
      <w:bookmarkEnd w:id="477"/>
    </w:p>
    <w:p w:rsidR="00E82B25" w:rsidRPr="003B6E11" w:rsidRDefault="00E82B25" w:rsidP="00E82B25">
      <w:pPr>
        <w:pStyle w:val="ESch"/>
        <w:rPr>
          <w:noProof/>
          <w:lang w:val="cs-CZ"/>
        </w:rPr>
      </w:pPr>
    </w:p>
    <w:p w:rsidR="00E82B25" w:rsidRPr="003B6E11" w:rsidRDefault="00E82B25" w:rsidP="00E82B25">
      <w:pPr>
        <w:pStyle w:val="ESch"/>
        <w:rPr>
          <w:lang w:val="cs-CZ"/>
        </w:rPr>
      </w:pPr>
      <w:r w:rsidRPr="003B6E11">
        <w:rPr>
          <w:lang w:val="cs-CZ"/>
        </w:rPr>
        <w:t xml:space="preserve">1. </w:t>
      </w:r>
      <w:r w:rsidRPr="003B6E11">
        <w:rPr>
          <w:lang w:val="cs-CZ"/>
        </w:rPr>
        <w:tab/>
        <w:t xml:space="preserve">Námořní lodě provozované na Rýně splňují příslušná vnitrostátní a mezinárodní ustanovení o technických požadavcích na konstrukci, zařízení a prostředí námořních lodí a tuto skutečnost musí být schopny doložit prostřednictvím potřebných osvědčení. </w:t>
      </w:r>
    </w:p>
    <w:p w:rsidR="00E82B25" w:rsidRPr="003B6E11" w:rsidRDefault="00E82B25" w:rsidP="00E82B25">
      <w:pPr>
        <w:pStyle w:val="ESch"/>
        <w:rPr>
          <w:noProof/>
          <w:lang w:val="cs-CZ"/>
        </w:rPr>
      </w:pPr>
    </w:p>
    <w:p w:rsidR="00E82B25" w:rsidRPr="003B6E11" w:rsidRDefault="00E82B25" w:rsidP="00E82B25">
      <w:pPr>
        <w:pStyle w:val="ESch"/>
        <w:rPr>
          <w:noProof/>
          <w:lang w:val="cs-CZ"/>
        </w:rPr>
      </w:pPr>
      <w:r w:rsidRPr="003B6E11">
        <w:rPr>
          <w:lang w:val="cs-CZ"/>
        </w:rPr>
        <w:t>2.</w:t>
      </w:r>
      <w:r w:rsidRPr="003B6E11">
        <w:rPr>
          <w:lang w:val="cs-CZ"/>
        </w:rPr>
        <w:tab/>
        <w:t>Kromě požadavků v odstavci 1 musí námořní lodě splňovat tato ustanovení této normy:</w:t>
      </w:r>
    </w:p>
    <w:p w:rsidR="00E82B25" w:rsidRPr="003B6E11" w:rsidRDefault="00E82B25" w:rsidP="00E82B25">
      <w:pPr>
        <w:pStyle w:val="ESletgauche"/>
        <w:rPr>
          <w:rFonts w:cs="Arial"/>
          <w:szCs w:val="20"/>
          <w:lang w:val="cs-CZ"/>
        </w:rPr>
      </w:pPr>
      <w:r w:rsidRPr="003B6E11">
        <w:rPr>
          <w:lang w:val="cs-CZ"/>
        </w:rPr>
        <w:t>a)</w:t>
      </w:r>
      <w:r w:rsidRPr="003B6E11">
        <w:rPr>
          <w:lang w:val="cs-CZ"/>
        </w:rPr>
        <w:tab/>
        <w:t>kapitola 5;</w:t>
      </w:r>
    </w:p>
    <w:p w:rsidR="00E82B25" w:rsidRPr="003B6E11" w:rsidRDefault="00E82B25" w:rsidP="00E82B25">
      <w:pPr>
        <w:pStyle w:val="ESletgauche"/>
        <w:rPr>
          <w:rFonts w:cs="Arial"/>
          <w:szCs w:val="20"/>
          <w:lang w:val="cs-CZ"/>
        </w:rPr>
      </w:pPr>
      <w:r w:rsidRPr="003B6E11">
        <w:rPr>
          <w:lang w:val="cs-CZ"/>
        </w:rPr>
        <w:t>b)</w:t>
      </w:r>
      <w:r w:rsidRPr="003B6E11">
        <w:rPr>
          <w:lang w:val="cs-CZ"/>
        </w:rPr>
        <w:tab/>
        <w:t>kapitola 6:</w:t>
      </w:r>
    </w:p>
    <w:p w:rsidR="00E82B25" w:rsidRPr="003B6E11" w:rsidRDefault="00E82B25" w:rsidP="00E82B25">
      <w:pPr>
        <w:pStyle w:val="Esletgauchepar"/>
        <w:rPr>
          <w:rFonts w:cs="Arial"/>
          <w:szCs w:val="20"/>
        </w:rPr>
      </w:pPr>
      <w:r w:rsidRPr="003B6E11">
        <w:t>čl. 6.01 odst. 1 a čl. 6.02 odst. 1 a 2;</w:t>
      </w:r>
    </w:p>
    <w:p w:rsidR="00E82B25" w:rsidRPr="003B6E11" w:rsidRDefault="00E82B25" w:rsidP="00E82B25">
      <w:pPr>
        <w:pStyle w:val="ESletgauche"/>
        <w:rPr>
          <w:rFonts w:cs="Arial"/>
          <w:szCs w:val="20"/>
          <w:lang w:val="cs-CZ"/>
        </w:rPr>
      </w:pPr>
      <w:r w:rsidRPr="003B6E11">
        <w:rPr>
          <w:lang w:val="cs-CZ"/>
        </w:rPr>
        <w:t>c)</w:t>
      </w:r>
      <w:r w:rsidRPr="003B6E11">
        <w:rPr>
          <w:lang w:val="cs-CZ"/>
        </w:rPr>
        <w:tab/>
        <w:t>kapitola 7:</w:t>
      </w:r>
    </w:p>
    <w:p w:rsidR="00E82B25" w:rsidRPr="003B6E11" w:rsidRDefault="00E82B25" w:rsidP="00E82B25">
      <w:pPr>
        <w:pStyle w:val="Esletgauchepar"/>
        <w:rPr>
          <w:rFonts w:cs="Arial"/>
        </w:rPr>
      </w:pPr>
      <w:r w:rsidRPr="003B6E11">
        <w:t>čl. 7.01 odst. 2, čl. 7.02 odst. 1 a 3 a čl. 7.05 odst. 2,</w:t>
      </w:r>
    </w:p>
    <w:p w:rsidR="00E82B25" w:rsidRPr="003B6E11" w:rsidRDefault="00E82B25" w:rsidP="00E82B25">
      <w:pPr>
        <w:pStyle w:val="Esletgauchepar"/>
        <w:rPr>
          <w:rFonts w:cs="Arial"/>
        </w:rPr>
      </w:pPr>
      <w:r w:rsidRPr="003B6E11">
        <w:t>článek 7.13 v případě námořních lodí navržených k řízení jednou osobou s pomocí radaru;</w:t>
      </w:r>
    </w:p>
    <w:p w:rsidR="00E82B25" w:rsidRPr="003B6E11" w:rsidRDefault="00E82B25" w:rsidP="00E82B25">
      <w:pPr>
        <w:pStyle w:val="ESletgauche"/>
        <w:rPr>
          <w:rFonts w:cs="Arial"/>
          <w:szCs w:val="20"/>
          <w:lang w:val="cs-CZ"/>
        </w:rPr>
      </w:pPr>
      <w:r w:rsidRPr="003B6E11">
        <w:rPr>
          <w:lang w:val="cs-CZ"/>
        </w:rPr>
        <w:t>d)</w:t>
      </w:r>
      <w:r w:rsidRPr="003B6E11">
        <w:rPr>
          <w:lang w:val="cs-CZ"/>
        </w:rPr>
        <w:tab/>
        <w:t>kapitola 8:</w:t>
      </w:r>
    </w:p>
    <w:p w:rsidR="00E82B25" w:rsidRPr="003B6E11" w:rsidRDefault="00E82B25" w:rsidP="00E82B25">
      <w:pPr>
        <w:pStyle w:val="Esletgauchepar"/>
        <w:rPr>
          <w:rFonts w:cs="Arial"/>
        </w:rPr>
      </w:pPr>
      <w:r w:rsidRPr="003B6E11">
        <w:t>ustanovení čl. 8.03 odst. 3 v případě námořních lodí, u nichž lze automatické uzavírací zařízení vypnout z ovládacího stanoviště; čl. 8.05 odst. 13, čl. 8.08 odst. 10, čl. 8.09 odst. 1 a 2 a článek 8.10.</w:t>
      </w:r>
    </w:p>
    <w:p w:rsidR="00E82B25" w:rsidRPr="003B6E11" w:rsidRDefault="00E82B25" w:rsidP="00E82B25">
      <w:pPr>
        <w:pStyle w:val="Esletgauchepar"/>
        <w:rPr>
          <w:rFonts w:cs="Arial"/>
        </w:rPr>
      </w:pPr>
      <w:r w:rsidRPr="003B6E11">
        <w:t>Uzamknutí uzávěrů v poloze předepsané v čl. 8.08 odst. 10 se považuje za rovnocenné zablokování uzávěrů drenážní soustavy, jimiž se z lodi odčerpává voda znečištěná ropnými látkami. Příslušný klíč nebo klíče musí být uloženy na centrálním stanovišti, jež musí být náležitě označeno.</w:t>
      </w:r>
    </w:p>
    <w:p w:rsidR="00E82B25" w:rsidRPr="003B6E11" w:rsidRDefault="00E82B25" w:rsidP="00E82B25">
      <w:pPr>
        <w:pStyle w:val="Esletgauchepar"/>
        <w:rPr>
          <w:rFonts w:cs="Arial"/>
        </w:rPr>
      </w:pPr>
      <w:r w:rsidRPr="003B6E11">
        <w:t>Systém sledování a ovládání vypouštění ropných látek, který je v souladu s pravidlem 16 úmluvy MARPOL 73/78, se považuje za rovnocenný uzamknutí uzávěrů v poloze předepsané v čl. 8.08 odst. 10. Existence systému sledování a ovládání musí být doložena mezinárodním osvědčením o zabránění znečištění ropnými látkami (IOPP), které je v souladu s úmluvou MARPOL 73/78.</w:t>
      </w:r>
    </w:p>
    <w:p w:rsidR="00E82B25" w:rsidRPr="003B6E11" w:rsidRDefault="00E82B25" w:rsidP="00E82B25">
      <w:pPr>
        <w:pStyle w:val="Esletgauchepar"/>
        <w:rPr>
          <w:rFonts w:cs="Arial"/>
        </w:rPr>
      </w:pPr>
      <w:r w:rsidRPr="003B6E11">
        <w:t>Pokud z osvědčení IOPP vyplývá, že loď má sběrné nádrže, díky nimž lze na palubě uchovávat veškerou vodu znečištěnou ropnými látkami a ropné zbytky, má se za to, že byl dodržen soulad s čl. 8.09 odst. 2;</w:t>
      </w:r>
    </w:p>
    <w:p w:rsidR="00E82B25" w:rsidRPr="003B6E11" w:rsidRDefault="00E82B25" w:rsidP="00E82B25">
      <w:pPr>
        <w:pStyle w:val="ESletgauche"/>
        <w:rPr>
          <w:rFonts w:cs="Arial"/>
          <w:szCs w:val="20"/>
          <w:lang w:val="cs-CZ"/>
        </w:rPr>
      </w:pPr>
      <w:r w:rsidRPr="003B6E11">
        <w:rPr>
          <w:lang w:val="cs-CZ"/>
        </w:rPr>
        <w:t>e)</w:t>
      </w:r>
      <w:r w:rsidRPr="003B6E11">
        <w:rPr>
          <w:lang w:val="cs-CZ"/>
        </w:rPr>
        <w:tab/>
        <w:t>kapitola 10:</w:t>
      </w:r>
    </w:p>
    <w:p w:rsidR="00E82B25" w:rsidRPr="003B6E11" w:rsidRDefault="00E82B25" w:rsidP="00E82B25">
      <w:pPr>
        <w:pStyle w:val="Esletgauchepar"/>
        <w:rPr>
          <w:rFonts w:cs="Arial"/>
        </w:rPr>
      </w:pPr>
      <w:r w:rsidRPr="003B6E11">
        <w:t>článek 10.17</w:t>
      </w:r>
    </w:p>
    <w:p w:rsidR="00E82B25" w:rsidRPr="003B6E11" w:rsidRDefault="00E82B25" w:rsidP="00E82B25">
      <w:pPr>
        <w:pStyle w:val="ESletgauche"/>
        <w:rPr>
          <w:rFonts w:cs="Arial"/>
          <w:szCs w:val="20"/>
          <w:lang w:val="cs-CZ"/>
        </w:rPr>
      </w:pPr>
      <w:r w:rsidRPr="003B6E11">
        <w:rPr>
          <w:lang w:val="cs-CZ"/>
        </w:rPr>
        <w:t>f)</w:t>
      </w:r>
      <w:r w:rsidRPr="003B6E11">
        <w:rPr>
          <w:lang w:val="cs-CZ"/>
        </w:rPr>
        <w:tab/>
        <w:t>kapitola 13:</w:t>
      </w:r>
    </w:p>
    <w:p w:rsidR="00E82B25" w:rsidRPr="003B6E11" w:rsidRDefault="00E82B25" w:rsidP="00E82B25">
      <w:pPr>
        <w:pStyle w:val="Esletgauchepar"/>
        <w:rPr>
          <w:rFonts w:cs="Arial"/>
        </w:rPr>
      </w:pPr>
      <w:r w:rsidRPr="003B6E11">
        <w:t>článek 13.01 a čl. 13.02 odst. 1;</w:t>
      </w:r>
    </w:p>
    <w:p w:rsidR="00E82B25" w:rsidRPr="003B6E11" w:rsidRDefault="00E82B25" w:rsidP="00E82B25">
      <w:pPr>
        <w:pStyle w:val="ESletgauche"/>
        <w:rPr>
          <w:rFonts w:cs="Arial"/>
          <w:szCs w:val="20"/>
          <w:lang w:val="cs-CZ"/>
        </w:rPr>
      </w:pPr>
      <w:r w:rsidRPr="003B6E11">
        <w:rPr>
          <w:lang w:val="cs-CZ"/>
        </w:rPr>
        <w:t>g)</w:t>
      </w:r>
      <w:r w:rsidRPr="003B6E11">
        <w:rPr>
          <w:lang w:val="cs-CZ"/>
        </w:rPr>
        <w:tab/>
        <w:t>kapitola 21</w:t>
      </w:r>
    </w:p>
    <w:p w:rsidR="00E82B25" w:rsidRPr="003B6E11" w:rsidRDefault="00E82B25" w:rsidP="00E82B25">
      <w:pPr>
        <w:pStyle w:val="Esletgauchepar"/>
        <w:rPr>
          <w:rFonts w:cs="Arial"/>
        </w:rPr>
      </w:pPr>
      <w:r w:rsidRPr="003B6E11">
        <w:t>v případě námořních lodí, které mohou být součástí sestavy;</w:t>
      </w:r>
    </w:p>
    <w:p w:rsidR="00E82B25" w:rsidRPr="003B6E11" w:rsidRDefault="00E82B25" w:rsidP="00E82B25">
      <w:pPr>
        <w:pStyle w:val="ESletgauche"/>
        <w:rPr>
          <w:rFonts w:cs="Arial"/>
          <w:szCs w:val="20"/>
          <w:lang w:val="cs-CZ"/>
        </w:rPr>
      </w:pPr>
      <w:r w:rsidRPr="003B6E11">
        <w:rPr>
          <w:lang w:val="cs-CZ"/>
        </w:rPr>
        <w:t>h)</w:t>
      </w:r>
      <w:r w:rsidRPr="003B6E11">
        <w:rPr>
          <w:lang w:val="cs-CZ"/>
        </w:rPr>
        <w:tab/>
        <w:t>kapitola 27:</w:t>
      </w:r>
    </w:p>
    <w:p w:rsidR="00E82B25" w:rsidRPr="003B6E11" w:rsidRDefault="00E82B25" w:rsidP="00E82B25">
      <w:pPr>
        <w:pStyle w:val="Esletgauchepar"/>
        <w:rPr>
          <w:rFonts w:cs="Arial"/>
        </w:rPr>
      </w:pPr>
      <w:r w:rsidRPr="003B6E11">
        <w:t>kapitola 27 se považuje za splněnou, je-li stabilita v souladu s platnými rezolucemi IMO, příslušný orgán schválil odpovídající dokumentaci ke stabilitě a kontejnery jsou zajištěny způsobem obvyklým pro námořní plavbu.</w:t>
      </w:r>
    </w:p>
    <w:p w:rsidR="00E82B25" w:rsidRPr="003B6E11" w:rsidRDefault="00E82B25" w:rsidP="00E82B25">
      <w:pPr>
        <w:pStyle w:val="Esletgauchepar"/>
      </w:pPr>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br w:type="page"/>
      </w: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Titre2"/>
        <w:rPr>
          <w:szCs w:val="24"/>
        </w:rPr>
      </w:pPr>
      <w:bookmarkStart w:id="478" w:name="_Toc491854236"/>
      <w:bookmarkStart w:id="479" w:name="_Toc535417142"/>
      <w:r w:rsidRPr="003B6E11">
        <w:t>Kapitola 26</w:t>
      </w:r>
      <w:r w:rsidRPr="003B6E11">
        <w:br/>
      </w:r>
      <w:r w:rsidRPr="003B6E11">
        <w:rPr>
          <w:noProof/>
          <w:sz w:val="22"/>
        </w:rPr>
        <w:t>Zvláštní ustanovení pro rekreační plavidla</w:t>
      </w:r>
      <w:bookmarkEnd w:id="478"/>
      <w:bookmarkEnd w:id="479"/>
    </w:p>
    <w:p w:rsidR="00E82B25" w:rsidRPr="003B6E11" w:rsidRDefault="00E82B25" w:rsidP="00E82B25">
      <w:pPr>
        <w:rPr>
          <w:lang w:val="cs-CZ"/>
        </w:rPr>
      </w:pPr>
    </w:p>
    <w:p w:rsidR="00E82B25" w:rsidRPr="003B6E11" w:rsidRDefault="00E82B25" w:rsidP="00E82B25">
      <w:pPr>
        <w:pStyle w:val="ES-Titre3"/>
        <w:rPr>
          <w:rFonts w:cs="Arial"/>
          <w:i/>
          <w:szCs w:val="18"/>
          <w:lang w:val="cs-CZ"/>
        </w:rPr>
      </w:pPr>
      <w:bookmarkStart w:id="480" w:name="_Toc491854237"/>
      <w:bookmarkStart w:id="481" w:name="_Toc535417143"/>
      <w:r w:rsidRPr="003B6E11">
        <w:rPr>
          <w:lang w:val="cs-CZ"/>
        </w:rPr>
        <w:t>Článek 26.01</w:t>
      </w:r>
      <w:r w:rsidRPr="003B6E11">
        <w:rPr>
          <w:lang w:val="cs-CZ"/>
        </w:rPr>
        <w:br/>
      </w:r>
      <w:r w:rsidRPr="003B6E11">
        <w:rPr>
          <w:i/>
          <w:noProof/>
          <w:lang w:val="cs-CZ"/>
        </w:rPr>
        <w:t>Uplatňování části II</w:t>
      </w:r>
      <w:bookmarkEnd w:id="480"/>
      <w:bookmarkEnd w:id="481"/>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 xml:space="preserve">1. </w:t>
      </w:r>
      <w:r w:rsidRPr="003B6E11">
        <w:rPr>
          <w:lang w:val="cs-CZ"/>
        </w:rPr>
        <w:tab/>
        <w:t>Rekreační plavidla musí splňovat tyto požadavky:</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z kapitoly 3:</w:t>
      </w:r>
    </w:p>
    <w:p w:rsidR="00E82B25" w:rsidRPr="003B6E11" w:rsidRDefault="00E82B25" w:rsidP="00E82B25">
      <w:pPr>
        <w:pStyle w:val="ESletpar"/>
        <w:rPr>
          <w:rFonts w:eastAsia="Calibri" w:cs="Arial"/>
          <w:szCs w:val="18"/>
          <w:lang w:val="cs-CZ"/>
        </w:rPr>
      </w:pPr>
      <w:r w:rsidRPr="003B6E11">
        <w:rPr>
          <w:lang w:val="cs-CZ"/>
        </w:rPr>
        <w:t>článek 3.01, čl. 3.02 odst. 1 písm. a) a odst. 2, čl. 3.03 odst. 1 písm. a) a odst. 6 a čl. 3.04 odst. 1;</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kapitola 5;</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z kapitoly 6:</w:t>
      </w:r>
    </w:p>
    <w:p w:rsidR="00E82B25" w:rsidRPr="003B6E11" w:rsidRDefault="00E82B25" w:rsidP="00E82B25">
      <w:pPr>
        <w:pStyle w:val="ESletpar"/>
        <w:rPr>
          <w:rFonts w:eastAsia="Calibri" w:cs="Arial"/>
          <w:szCs w:val="18"/>
          <w:lang w:val="cs-CZ"/>
        </w:rPr>
      </w:pPr>
      <w:r w:rsidRPr="003B6E11">
        <w:rPr>
          <w:lang w:val="cs-CZ"/>
        </w:rPr>
        <w:t>čl. 6.01 odst. 1 a článek 6.08;</w:t>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z kapitoly 7:</w:t>
      </w:r>
    </w:p>
    <w:p w:rsidR="00E82B25" w:rsidRPr="003B6E11" w:rsidRDefault="00E82B25" w:rsidP="00E82B25">
      <w:pPr>
        <w:pStyle w:val="ESletpar"/>
        <w:rPr>
          <w:rFonts w:eastAsia="Calibri"/>
          <w:noProof/>
          <w:lang w:val="cs-CZ"/>
        </w:rPr>
      </w:pPr>
      <w:r w:rsidRPr="003B6E11">
        <w:rPr>
          <w:lang w:val="cs-CZ"/>
        </w:rPr>
        <w:t xml:space="preserve">čl. 7.01 odst. 1 a 2, článek 7.02, čl. 7.03 odst. 1 a 2, čl. 7.04 odst. 1, čl. 7.05 odst. 2, </w:t>
      </w:r>
    </w:p>
    <w:p w:rsidR="00E82B25" w:rsidRPr="003B6E11" w:rsidRDefault="00E82B25" w:rsidP="00E82B25">
      <w:pPr>
        <w:pStyle w:val="ESletpar"/>
        <w:rPr>
          <w:rFonts w:eastAsia="Calibri" w:cs="Arial"/>
          <w:szCs w:val="18"/>
          <w:lang w:val="cs-CZ"/>
        </w:rPr>
      </w:pPr>
      <w:r w:rsidRPr="003B6E11">
        <w:rPr>
          <w:lang w:val="cs-CZ"/>
        </w:rPr>
        <w:t>článek 7.13, je-li kormidelna uzpůsobena k řízení plavidla jednou osobou s pomocí radaru:</w:t>
      </w:r>
    </w:p>
    <w:p w:rsidR="00E82B25" w:rsidRPr="003B6E11" w:rsidRDefault="00E82B25" w:rsidP="00E82B25">
      <w:pPr>
        <w:pStyle w:val="ESlet"/>
        <w:rPr>
          <w:rFonts w:eastAsia="Calibri" w:cs="Arial"/>
          <w:szCs w:val="18"/>
          <w:lang w:val="cs-CZ"/>
        </w:rPr>
      </w:pPr>
      <w:r w:rsidRPr="003B6E11">
        <w:rPr>
          <w:lang w:val="cs-CZ"/>
        </w:rPr>
        <w:t>e)</w:t>
      </w:r>
      <w:r w:rsidRPr="003B6E11">
        <w:rPr>
          <w:lang w:val="cs-CZ"/>
        </w:rPr>
        <w:tab/>
        <w:t>z kapitoly 8:</w:t>
      </w:r>
    </w:p>
    <w:p w:rsidR="00E82B25" w:rsidRPr="003B6E11" w:rsidRDefault="00E82B25" w:rsidP="00E82B25">
      <w:pPr>
        <w:pStyle w:val="ESletpar"/>
        <w:rPr>
          <w:rFonts w:eastAsia="Calibri"/>
          <w:noProof/>
          <w:lang w:val="cs-CZ"/>
        </w:rPr>
      </w:pPr>
      <w:r w:rsidRPr="003B6E11">
        <w:rPr>
          <w:lang w:val="cs-CZ"/>
        </w:rPr>
        <w:t>čl. 8.01 odst. 1 a 2, čl. 8.02 odst. 1 a 2, čl. 8.03 odst. 1 a 3, článek 8.04, čl. 8.05 odst. 1 až 10 a odst. 13, článek 8.06, článek 8.07, čl. 8.08 odst. 1, 2, 5, 7 a 10, čl. 8.09 odst. 1 a článek 8.10;</w:t>
      </w:r>
    </w:p>
    <w:p w:rsidR="00E82B25" w:rsidRPr="003B6E11" w:rsidRDefault="00E82B25" w:rsidP="00E82B25">
      <w:pPr>
        <w:pStyle w:val="ESlet"/>
        <w:rPr>
          <w:rFonts w:eastAsia="Calibri" w:cs="Arial"/>
          <w:szCs w:val="18"/>
          <w:lang w:val="cs-CZ"/>
        </w:rPr>
      </w:pPr>
      <w:r w:rsidRPr="003B6E11">
        <w:rPr>
          <w:lang w:val="cs-CZ"/>
        </w:rPr>
        <w:t>f)</w:t>
      </w:r>
      <w:r w:rsidRPr="003B6E11">
        <w:rPr>
          <w:lang w:val="cs-CZ"/>
        </w:rPr>
        <w:tab/>
        <w:t>kapitola 9;</w:t>
      </w:r>
    </w:p>
    <w:p w:rsidR="00E82B25" w:rsidRPr="003B6E11" w:rsidRDefault="00E82B25" w:rsidP="00E82B25">
      <w:pPr>
        <w:pStyle w:val="ESlet"/>
        <w:rPr>
          <w:rFonts w:eastAsia="Calibri" w:cs="Arial"/>
          <w:szCs w:val="18"/>
          <w:lang w:val="cs-CZ"/>
        </w:rPr>
      </w:pPr>
      <w:r w:rsidRPr="003B6E11">
        <w:rPr>
          <w:lang w:val="cs-CZ"/>
        </w:rPr>
        <w:t>g)</w:t>
      </w:r>
      <w:r w:rsidRPr="003B6E11">
        <w:rPr>
          <w:lang w:val="cs-CZ"/>
        </w:rPr>
        <w:tab/>
        <w:t>z kapitoly 10:</w:t>
      </w:r>
    </w:p>
    <w:p w:rsidR="00E82B25" w:rsidRPr="003B6E11" w:rsidRDefault="00E82B25" w:rsidP="00E82B25">
      <w:pPr>
        <w:pStyle w:val="ESletpar"/>
        <w:rPr>
          <w:rFonts w:eastAsia="Calibri" w:cs="Arial"/>
          <w:szCs w:val="18"/>
          <w:lang w:val="cs-CZ"/>
        </w:rPr>
      </w:pPr>
      <w:r w:rsidRPr="003B6E11">
        <w:rPr>
          <w:lang w:val="cs-CZ"/>
        </w:rPr>
        <w:t>obdobně čl. 10.01 odst. 1;</w:t>
      </w:r>
    </w:p>
    <w:p w:rsidR="00E82B25" w:rsidRPr="003B6E11" w:rsidRDefault="00E82B25" w:rsidP="00E82B25">
      <w:pPr>
        <w:pStyle w:val="ESlet"/>
        <w:rPr>
          <w:rFonts w:eastAsia="Calibri" w:cs="Arial"/>
          <w:szCs w:val="18"/>
          <w:lang w:val="cs-CZ"/>
        </w:rPr>
      </w:pPr>
      <w:r w:rsidRPr="003B6E11">
        <w:rPr>
          <w:lang w:val="cs-CZ"/>
        </w:rPr>
        <w:t>h)</w:t>
      </w:r>
      <w:r w:rsidRPr="003B6E11">
        <w:rPr>
          <w:lang w:val="cs-CZ"/>
        </w:rPr>
        <w:tab/>
        <w:t>z kapitoly 13:</w:t>
      </w:r>
    </w:p>
    <w:p w:rsidR="00E82B25" w:rsidRPr="003B6E11" w:rsidRDefault="00E82B25" w:rsidP="00E82B25">
      <w:pPr>
        <w:pStyle w:val="ESletpar"/>
        <w:rPr>
          <w:rFonts w:eastAsia="Calibri" w:cs="Arial"/>
          <w:szCs w:val="18"/>
          <w:lang w:val="cs-CZ"/>
        </w:rPr>
      </w:pPr>
      <w:r w:rsidRPr="003B6E11">
        <w:rPr>
          <w:lang w:val="cs-CZ"/>
        </w:rPr>
        <w:t>čl. 13.01 odst. 2, 3 a 5 až 14, čl. 13.02 odst. 1 písm. a) až c) a odst. 3 písm. a) a e) až h), čl. 13.03 odst. 1 písm. a), b) a d): na plavidle se však musí nacházet nejméně dva hasicí přístroje; čl. 13.03 odst. 2 až 6, článek 13.04 a článek 13.05, 13.07 a 13.08;</w:t>
      </w:r>
    </w:p>
    <w:p w:rsidR="00E82B25" w:rsidRPr="003B6E11" w:rsidRDefault="00E82B25" w:rsidP="00E82B25">
      <w:pPr>
        <w:pStyle w:val="ESlet"/>
        <w:rPr>
          <w:rFonts w:eastAsia="Calibri" w:cs="Arial"/>
          <w:szCs w:val="18"/>
          <w:lang w:val="cs-CZ"/>
        </w:rPr>
      </w:pPr>
      <w:r w:rsidRPr="003B6E11">
        <w:rPr>
          <w:lang w:val="cs-CZ"/>
        </w:rPr>
        <w:t>i)</w:t>
      </w:r>
      <w:r w:rsidRPr="003B6E11">
        <w:rPr>
          <w:lang w:val="cs-CZ"/>
        </w:rPr>
        <w:tab/>
        <w:t>kapitola 16;</w:t>
      </w:r>
    </w:p>
    <w:p w:rsidR="00E82B25" w:rsidRPr="003B6E11" w:rsidRDefault="00E82B25" w:rsidP="00E82B25">
      <w:pPr>
        <w:pStyle w:val="ESlet"/>
        <w:rPr>
          <w:rFonts w:eastAsia="Calibri" w:cs="Arial"/>
          <w:szCs w:val="18"/>
          <w:lang w:val="cs-CZ"/>
        </w:rPr>
      </w:pPr>
      <w:r w:rsidRPr="003B6E11">
        <w:rPr>
          <w:lang w:val="cs-CZ"/>
        </w:rPr>
        <w:t>j)</w:t>
      </w:r>
      <w:r w:rsidRPr="003B6E11">
        <w:rPr>
          <w:lang w:val="cs-CZ"/>
        </w:rPr>
        <w:tab/>
        <w:t>kapitola 17.</w:t>
      </w:r>
    </w:p>
    <w:p w:rsidR="00E82B25" w:rsidRPr="003B6E11" w:rsidRDefault="00E82B25" w:rsidP="00E82B25">
      <w:pPr>
        <w:pStyle w:val="ESch"/>
        <w:rPr>
          <w:rFonts w:eastAsia="Calibri"/>
          <w:noProof/>
          <w:lang w:val="cs-CZ"/>
        </w:rPr>
      </w:pPr>
    </w:p>
    <w:p w:rsidR="00E82B25" w:rsidRPr="003B6E11" w:rsidRDefault="00E82B25" w:rsidP="00E82B25">
      <w:pPr>
        <w:pStyle w:val="ESch"/>
        <w:rPr>
          <w:rFonts w:eastAsia="Calibri" w:cs="Arial"/>
          <w:szCs w:val="18"/>
          <w:lang w:val="cs-CZ"/>
        </w:rPr>
      </w:pPr>
      <w:r w:rsidRPr="003B6E11">
        <w:rPr>
          <w:lang w:val="cs-CZ"/>
        </w:rPr>
        <w:t>2.</w:t>
      </w:r>
      <w:r w:rsidRPr="003B6E11">
        <w:rPr>
          <w:lang w:val="cs-CZ"/>
        </w:rPr>
        <w:tab/>
        <w:t>U rekreačních plavidel, na něž se vztahuje směrnice 2013/53/EU</w:t>
      </w:r>
      <w:r w:rsidRPr="003B6E11">
        <w:rPr>
          <w:rStyle w:val="FootnoteReference"/>
          <w:noProof/>
          <w:lang w:val="cs-CZ"/>
        </w:rPr>
        <w:footnoteReference w:id="22"/>
      </w:r>
      <w:r w:rsidRPr="003B6E11">
        <w:rPr>
          <w:lang w:val="cs-CZ"/>
        </w:rPr>
        <w:t>, se počáteční prohlídka a pravidelné prohlídky vztahují pouze na:</w:t>
      </w:r>
    </w:p>
    <w:p w:rsidR="00E82B25" w:rsidRPr="003B6E11" w:rsidRDefault="00E82B25" w:rsidP="00E82B25">
      <w:pPr>
        <w:pStyle w:val="ESlet"/>
        <w:rPr>
          <w:rFonts w:eastAsia="Calibri" w:cs="Arial"/>
          <w:szCs w:val="18"/>
          <w:lang w:val="cs-CZ"/>
        </w:rPr>
      </w:pPr>
      <w:r w:rsidRPr="003B6E11">
        <w:rPr>
          <w:lang w:val="cs-CZ"/>
        </w:rPr>
        <w:t>a)</w:t>
      </w:r>
      <w:r w:rsidRPr="003B6E11">
        <w:rPr>
          <w:lang w:val="cs-CZ"/>
        </w:rPr>
        <w:tab/>
        <w:t>článek 6.08, existuje-li ukazatel rychlosti otáčení;</w:t>
      </w:r>
    </w:p>
    <w:p w:rsidR="00E82B25" w:rsidRPr="003B6E11" w:rsidRDefault="00E82B25" w:rsidP="00E82B25">
      <w:pPr>
        <w:pStyle w:val="ESlet"/>
        <w:rPr>
          <w:rFonts w:eastAsia="Calibri" w:cs="Arial"/>
          <w:szCs w:val="18"/>
          <w:lang w:val="cs-CZ"/>
        </w:rPr>
      </w:pPr>
      <w:r w:rsidRPr="003B6E11">
        <w:rPr>
          <w:lang w:val="cs-CZ"/>
        </w:rPr>
        <w:t>b)</w:t>
      </w:r>
      <w:r w:rsidRPr="003B6E11">
        <w:rPr>
          <w:lang w:val="cs-CZ"/>
        </w:rPr>
        <w:tab/>
        <w:t>čl. 7.01 odst. 2, článek 7.02, čl. 7.03 odst. 1 a článek 7.13, existuje-li kormidelna uzpůsobená k řízení plavidla jednou osobou s pomocí radaru;</w:t>
      </w:r>
    </w:p>
    <w:p w:rsidR="00E82B25" w:rsidRPr="003B6E11" w:rsidRDefault="00E82B25" w:rsidP="00E82B25">
      <w:pPr>
        <w:pStyle w:val="ESlet"/>
        <w:rPr>
          <w:rFonts w:eastAsia="Calibri" w:cs="Arial"/>
          <w:szCs w:val="18"/>
          <w:lang w:val="cs-CZ"/>
        </w:rPr>
      </w:pPr>
      <w:r w:rsidRPr="003B6E11">
        <w:rPr>
          <w:lang w:val="cs-CZ"/>
        </w:rPr>
        <w:t>c)</w:t>
      </w:r>
      <w:r w:rsidRPr="003B6E11">
        <w:rPr>
          <w:lang w:val="cs-CZ"/>
        </w:rPr>
        <w:tab/>
        <w:t>čl. 8.01 odst. 2, čl. 8.02 odst. 1, čl. 8.03 odst. 3, čl. 8.05 odst. 5, čl. 8.08 odst. 2, článek 8.10;</w:t>
      </w:r>
    </w:p>
    <w:p w:rsidR="00E82B25" w:rsidRPr="003B6E11" w:rsidRDefault="00E82B25" w:rsidP="00E82B25">
      <w:pPr>
        <w:pStyle w:val="ESlet"/>
        <w:rPr>
          <w:rFonts w:eastAsia="Calibri"/>
          <w:noProof/>
          <w:lang w:val="cs-CZ"/>
        </w:rPr>
      </w:pPr>
    </w:p>
    <w:p w:rsidR="00E82B25" w:rsidRPr="003B6E11" w:rsidRDefault="00E82B25" w:rsidP="00E82B25">
      <w:pPr>
        <w:pStyle w:val="ESlet"/>
        <w:rPr>
          <w:rFonts w:eastAsia="Calibri"/>
          <w:noProof/>
          <w:lang w:val="cs-CZ"/>
        </w:rPr>
      </w:pPr>
      <w:r w:rsidRPr="003B6E11">
        <w:rPr>
          <w:lang w:val="cs-CZ"/>
        </w:rPr>
        <w:br w:type="page"/>
      </w:r>
    </w:p>
    <w:p w:rsidR="00E82B25" w:rsidRPr="003B6E11" w:rsidRDefault="00E82B25" w:rsidP="00E82B25">
      <w:pPr>
        <w:pStyle w:val="ESlet"/>
        <w:rPr>
          <w:rFonts w:eastAsia="Calibri" w:cs="Arial"/>
          <w:szCs w:val="18"/>
          <w:lang w:val="cs-CZ"/>
        </w:rPr>
      </w:pPr>
      <w:r w:rsidRPr="003B6E11">
        <w:rPr>
          <w:lang w:val="cs-CZ"/>
        </w:rPr>
        <w:t>d)</w:t>
      </w:r>
      <w:r w:rsidRPr="003B6E11">
        <w:rPr>
          <w:lang w:val="cs-CZ"/>
        </w:rPr>
        <w:tab/>
        <w:t>čl. 13.01 odst. 2, 3, 6 a 14, čl. 13.02 odst. 1 písm. b) a c), odst. 3 písm. a) a e) až h), čl. 13.03 odst. 1 písm. b) a d), odst. 2 až 6 a článek 13.08;</w:t>
      </w:r>
    </w:p>
    <w:p w:rsidR="00E82B25" w:rsidRPr="003B6E11" w:rsidRDefault="00E82B25" w:rsidP="00E82B25">
      <w:pPr>
        <w:pStyle w:val="ESlet"/>
        <w:rPr>
          <w:rFonts w:eastAsia="Calibri" w:cs="Arial"/>
          <w:szCs w:val="18"/>
          <w:lang w:val="cs-CZ"/>
        </w:rPr>
      </w:pPr>
      <w:r w:rsidRPr="003B6E11">
        <w:rPr>
          <w:lang w:val="cs-CZ"/>
        </w:rPr>
        <w:t>e)</w:t>
      </w:r>
      <w:r w:rsidRPr="003B6E11">
        <w:rPr>
          <w:lang w:val="cs-CZ"/>
        </w:rPr>
        <w:tab/>
        <w:t>kapitola 16;</w:t>
      </w:r>
    </w:p>
    <w:p w:rsidR="00E82B25" w:rsidRPr="003B6E11" w:rsidRDefault="00E82B25" w:rsidP="00E82B25">
      <w:pPr>
        <w:pStyle w:val="ESlet"/>
        <w:rPr>
          <w:rFonts w:eastAsia="Calibri" w:cs="Arial"/>
          <w:szCs w:val="18"/>
          <w:lang w:val="cs-CZ"/>
        </w:rPr>
      </w:pPr>
      <w:r w:rsidRPr="003B6E11">
        <w:rPr>
          <w:lang w:val="cs-CZ"/>
        </w:rPr>
        <w:t>f)</w:t>
      </w:r>
      <w:r w:rsidRPr="003B6E11">
        <w:rPr>
          <w:lang w:val="cs-CZ"/>
        </w:rPr>
        <w:tab/>
        <w:t>z kapitoly 17:</w:t>
      </w:r>
    </w:p>
    <w:p w:rsidR="00E82B25" w:rsidRPr="003B6E11" w:rsidRDefault="00E82B25" w:rsidP="00E82B25">
      <w:pPr>
        <w:pStyle w:val="EStiret"/>
        <w:rPr>
          <w:rFonts w:eastAsia="Calibri" w:cs="Arial"/>
          <w:szCs w:val="18"/>
          <w:lang w:val="cs-CZ"/>
        </w:rPr>
      </w:pPr>
      <w:r w:rsidRPr="003B6E11">
        <w:rPr>
          <w:lang w:val="cs-CZ"/>
        </w:rPr>
        <w:t>aa)</w:t>
      </w:r>
      <w:r w:rsidRPr="003B6E11">
        <w:rPr>
          <w:lang w:val="cs-CZ"/>
        </w:rPr>
        <w:tab/>
        <w:t>článek 17.12;</w:t>
      </w:r>
    </w:p>
    <w:p w:rsidR="00E82B25" w:rsidRPr="003B6E11" w:rsidRDefault="00E82B25" w:rsidP="00E82B25">
      <w:pPr>
        <w:pStyle w:val="EStiret"/>
        <w:rPr>
          <w:rFonts w:eastAsia="Calibri" w:cs="Arial"/>
          <w:szCs w:val="18"/>
          <w:lang w:val="cs-CZ"/>
        </w:rPr>
      </w:pPr>
      <w:r w:rsidRPr="003B6E11">
        <w:rPr>
          <w:lang w:val="cs-CZ"/>
        </w:rPr>
        <w:t>bb)</w:t>
      </w:r>
      <w:r w:rsidRPr="003B6E11">
        <w:rPr>
          <w:lang w:val="cs-CZ"/>
        </w:rPr>
        <w:tab/>
        <w:t>článek 17.13; přejímací zkouška po uvedení zařízení na zkapalněný plyn do provozu se provádí v souladu s požadavky směrnice 2013/53/EU a subjektu pověřenému prohlídkami se předloží potvrzení o prohlídce;</w:t>
      </w:r>
    </w:p>
    <w:p w:rsidR="00E82B25" w:rsidRPr="003B6E11" w:rsidRDefault="00E82B25" w:rsidP="00E82B25">
      <w:pPr>
        <w:pStyle w:val="EStiret"/>
        <w:rPr>
          <w:rFonts w:eastAsia="Calibri" w:cs="Arial"/>
          <w:szCs w:val="18"/>
          <w:lang w:val="cs-CZ"/>
        </w:rPr>
      </w:pPr>
      <w:r w:rsidRPr="003B6E11">
        <w:rPr>
          <w:lang w:val="cs-CZ"/>
        </w:rPr>
        <w:t>cc)</w:t>
      </w:r>
      <w:r w:rsidRPr="003B6E11">
        <w:rPr>
          <w:lang w:val="cs-CZ"/>
        </w:rPr>
        <w:tab/>
        <w:t>články 17.14 a 17.15; zařízení na zkapalněný plyn musí být v souladu s požadavky směrnice 2013/53/EU;</w:t>
      </w:r>
    </w:p>
    <w:p w:rsidR="00E82B25" w:rsidRPr="003B6E11" w:rsidRDefault="00E82B25" w:rsidP="00E82B25">
      <w:pPr>
        <w:pStyle w:val="EStiret"/>
        <w:rPr>
          <w:rFonts w:eastAsia="Calibri" w:cs="Arial"/>
          <w:szCs w:val="18"/>
          <w:lang w:val="cs-CZ"/>
        </w:rPr>
      </w:pPr>
      <w:r w:rsidRPr="003B6E11">
        <w:rPr>
          <w:lang w:val="cs-CZ"/>
        </w:rPr>
        <w:t>dd)</w:t>
      </w:r>
      <w:r w:rsidRPr="003B6E11">
        <w:rPr>
          <w:lang w:val="cs-CZ"/>
        </w:rPr>
        <w:tab/>
        <w:t>celá kapitola 17, je-li zařízení na zkapalněný plyn zabudováno po uvedení rekreačního plavidla na trh.</w:t>
      </w:r>
    </w:p>
    <w:p w:rsidR="00E82B25" w:rsidRPr="003B6E11" w:rsidRDefault="00E82B25" w:rsidP="00E82B25">
      <w:pPr>
        <w:pStyle w:val="EStiret"/>
        <w:rPr>
          <w:rFonts w:eastAsia="Calibri" w:cs="Arial"/>
          <w:szCs w:val="18"/>
          <w:lang w:val="cs-CZ"/>
        </w:rPr>
      </w:pP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Titre2"/>
        <w:rPr>
          <w:szCs w:val="24"/>
        </w:rPr>
      </w:pPr>
      <w:bookmarkStart w:id="482" w:name="_Toc491854238"/>
      <w:bookmarkStart w:id="483" w:name="_Toc535417144"/>
      <w:r w:rsidRPr="003B6E11">
        <w:t>Kapitola 27</w:t>
      </w:r>
      <w:r w:rsidRPr="003B6E11">
        <w:br/>
      </w:r>
      <w:r w:rsidRPr="003B6E11">
        <w:rPr>
          <w:noProof/>
          <w:sz w:val="22"/>
        </w:rPr>
        <w:t>Zvláštní ustanovení pro lodě převážející kontejnery</w:t>
      </w:r>
      <w:bookmarkEnd w:id="482"/>
      <w:bookmarkEnd w:id="483"/>
    </w:p>
    <w:p w:rsidR="00E82B25" w:rsidRPr="003B6E11" w:rsidRDefault="00E82B25" w:rsidP="00E82B25">
      <w:pPr>
        <w:rPr>
          <w:lang w:val="cs-CZ"/>
        </w:rPr>
      </w:pPr>
    </w:p>
    <w:p w:rsidR="00E82B25" w:rsidRPr="003B6E11" w:rsidRDefault="00E82B25" w:rsidP="00E82B25">
      <w:pPr>
        <w:pStyle w:val="ES-Titre3"/>
        <w:rPr>
          <w:lang w:val="cs-CZ"/>
        </w:rPr>
      </w:pPr>
      <w:bookmarkStart w:id="484" w:name="_Toc491854239"/>
      <w:bookmarkStart w:id="485" w:name="_Toc535417145"/>
      <w:r w:rsidRPr="003B6E11">
        <w:rPr>
          <w:lang w:val="cs-CZ"/>
        </w:rPr>
        <w:t>Článek 27.01</w:t>
      </w:r>
      <w:r w:rsidRPr="003B6E11">
        <w:rPr>
          <w:lang w:val="cs-CZ"/>
        </w:rPr>
        <w:br/>
      </w:r>
      <w:r w:rsidRPr="003B6E11">
        <w:rPr>
          <w:i/>
          <w:noProof/>
          <w:lang w:val="cs-CZ"/>
        </w:rPr>
        <w:t>Obecně</w:t>
      </w:r>
      <w:bookmarkEnd w:id="484"/>
      <w:bookmarkEnd w:id="485"/>
    </w:p>
    <w:p w:rsidR="00E82B25" w:rsidRPr="003B6E11" w:rsidRDefault="00E82B25" w:rsidP="00E82B25">
      <w:pPr>
        <w:pStyle w:val="ESch"/>
        <w:rPr>
          <w:noProof/>
          <w:lang w:val="cs-CZ"/>
        </w:rPr>
      </w:pPr>
    </w:p>
    <w:p w:rsidR="00E82B25" w:rsidRPr="003B6E11" w:rsidRDefault="00E82B25" w:rsidP="00E82B25">
      <w:pPr>
        <w:pStyle w:val="ESch"/>
        <w:rPr>
          <w:rFonts w:cs="Arial"/>
          <w:szCs w:val="18"/>
          <w:lang w:val="cs-CZ"/>
        </w:rPr>
      </w:pPr>
      <w:r w:rsidRPr="003B6E11">
        <w:rPr>
          <w:lang w:val="cs-CZ"/>
        </w:rPr>
        <w:t xml:space="preserve">1. </w:t>
      </w:r>
      <w:r w:rsidRPr="003B6E11">
        <w:rPr>
          <w:lang w:val="cs-CZ"/>
        </w:rPr>
        <w:tab/>
        <w:t>Tato kapitola se vztahuje na lodě převážející kontejnery, vyžadují-li se podle použitelných platných předpisů plavebních orgánů v členských státech doklady o stabilitě.</w:t>
      </w:r>
    </w:p>
    <w:p w:rsidR="00E82B25" w:rsidRPr="003B6E11" w:rsidRDefault="00E82B25" w:rsidP="00E82B25">
      <w:pPr>
        <w:pStyle w:val="ESch"/>
        <w:rPr>
          <w:noProof/>
          <w:lang w:val="cs-CZ"/>
        </w:rPr>
      </w:pPr>
    </w:p>
    <w:p w:rsidR="00E82B25" w:rsidRPr="003B6E11" w:rsidRDefault="00E82B25" w:rsidP="00E82B25">
      <w:pPr>
        <w:pStyle w:val="ESchpar"/>
        <w:rPr>
          <w:rFonts w:cs="Arial"/>
          <w:szCs w:val="18"/>
          <w:lang w:val="cs-CZ"/>
        </w:rPr>
      </w:pPr>
      <w:r w:rsidRPr="003B6E11">
        <w:rPr>
          <w:lang w:val="cs-CZ"/>
        </w:rPr>
        <w:t>Doklady o stabilitě musí zkontrolovat nebo nechat zkontrolovat a řádně opatřit razítkem subjekt pověřený prohlídkami.</w:t>
      </w:r>
    </w:p>
    <w:p w:rsidR="00E82B25" w:rsidRPr="003B6E11" w:rsidRDefault="00E82B25" w:rsidP="00E82B25">
      <w:pPr>
        <w:pStyle w:val="ESch"/>
        <w:rPr>
          <w:noProof/>
          <w:lang w:val="cs-CZ"/>
        </w:rPr>
      </w:pPr>
    </w:p>
    <w:p w:rsidR="00E82B25" w:rsidRPr="003B6E11" w:rsidRDefault="00E82B25" w:rsidP="00E82B25">
      <w:pPr>
        <w:pStyle w:val="ESch"/>
        <w:rPr>
          <w:rFonts w:cs="Arial"/>
          <w:szCs w:val="18"/>
          <w:lang w:val="cs-CZ"/>
        </w:rPr>
      </w:pPr>
      <w:r w:rsidRPr="003B6E11">
        <w:rPr>
          <w:lang w:val="cs-CZ"/>
        </w:rPr>
        <w:t xml:space="preserve">2. </w:t>
      </w:r>
      <w:r w:rsidRPr="003B6E11">
        <w:rPr>
          <w:lang w:val="cs-CZ"/>
        </w:rPr>
        <w:tab/>
        <w:t>Doklady o stabilitě musí vůdci plavidla poskytnout srozumitelné informace o stabilitě plavidla pro všechny podmínky zatížení.</w:t>
      </w:r>
    </w:p>
    <w:p w:rsidR="00E82B25" w:rsidRPr="003B6E11" w:rsidRDefault="00E82B25" w:rsidP="00E82B25">
      <w:pPr>
        <w:pStyle w:val="ESch"/>
        <w:rPr>
          <w:noProof/>
          <w:lang w:val="cs-CZ"/>
        </w:rPr>
      </w:pPr>
    </w:p>
    <w:p w:rsidR="00E82B25" w:rsidRPr="003B6E11" w:rsidRDefault="00E82B25" w:rsidP="00E82B25">
      <w:pPr>
        <w:pStyle w:val="ESchpar"/>
        <w:rPr>
          <w:rFonts w:cs="Arial"/>
          <w:szCs w:val="18"/>
          <w:lang w:val="cs-CZ"/>
        </w:rPr>
      </w:pPr>
      <w:r w:rsidRPr="003B6E11">
        <w:rPr>
          <w:lang w:val="cs-CZ"/>
        </w:rPr>
        <w:t>Doklady o stabilitě musí obsahovat alespoň:</w:t>
      </w:r>
    </w:p>
    <w:p w:rsidR="00E82B25" w:rsidRPr="003B6E11" w:rsidRDefault="00E82B25" w:rsidP="00E82B25">
      <w:pPr>
        <w:pStyle w:val="ESlet"/>
        <w:rPr>
          <w:rFonts w:cs="Arial"/>
          <w:szCs w:val="18"/>
          <w:lang w:val="cs-CZ"/>
        </w:rPr>
      </w:pPr>
      <w:r w:rsidRPr="003B6E11">
        <w:rPr>
          <w:lang w:val="cs-CZ"/>
        </w:rPr>
        <w:t>a)</w:t>
      </w:r>
      <w:r w:rsidRPr="003B6E11">
        <w:rPr>
          <w:lang w:val="cs-CZ"/>
        </w:rPr>
        <w:tab/>
        <w:t xml:space="preserve">údaje o přípustných koeficientech stability, přípustných hodnotách </w:t>
      </w:r>
      <m:oMath>
        <m:acc>
          <m:accPr>
            <m:chr m:val="̅"/>
            <m:ctrlPr>
              <w:rPr>
                <w:rFonts w:ascii="Cambria Math" w:hAnsi="Cambria Math"/>
                <w:i/>
                <w:noProof/>
                <w:lang w:val="cs-CZ"/>
              </w:rPr>
            </m:ctrlPr>
          </m:accPr>
          <m:e>
            <m:r>
              <w:rPr>
                <w:rFonts w:ascii="Cambria Math" w:hAnsi="Cambria Math"/>
                <w:noProof/>
                <w:lang w:val="cs-CZ"/>
              </w:rPr>
              <m:t>KG</m:t>
            </m:r>
          </m:e>
        </m:acc>
      </m:oMath>
      <w:r w:rsidRPr="003B6E11">
        <w:rPr>
          <w:lang w:val="cs-CZ"/>
        </w:rPr>
        <w:t xml:space="preserve"> nebo přípustných výškách pro těžiště nákladu;</w:t>
      </w:r>
    </w:p>
    <w:p w:rsidR="00E82B25" w:rsidRPr="003B6E11" w:rsidRDefault="00E82B25" w:rsidP="00E82B25">
      <w:pPr>
        <w:pStyle w:val="ESlet"/>
        <w:rPr>
          <w:rFonts w:cs="Arial"/>
          <w:szCs w:val="18"/>
          <w:lang w:val="cs-CZ"/>
        </w:rPr>
      </w:pPr>
      <w:r w:rsidRPr="003B6E11">
        <w:rPr>
          <w:lang w:val="cs-CZ"/>
        </w:rPr>
        <w:t>b)</w:t>
      </w:r>
      <w:r w:rsidRPr="003B6E11">
        <w:rPr>
          <w:lang w:val="cs-CZ"/>
        </w:rPr>
        <w:tab/>
        <w:t>údaje o prostorech, které lze zaplnit zátěžovou vodou;</w:t>
      </w:r>
    </w:p>
    <w:p w:rsidR="00E82B25" w:rsidRPr="003B6E11" w:rsidRDefault="00E82B25" w:rsidP="00E82B25">
      <w:pPr>
        <w:pStyle w:val="ESlet"/>
        <w:rPr>
          <w:rFonts w:cs="Arial"/>
          <w:szCs w:val="18"/>
          <w:lang w:val="cs-CZ"/>
        </w:rPr>
      </w:pPr>
      <w:r w:rsidRPr="003B6E11">
        <w:rPr>
          <w:lang w:val="cs-CZ"/>
        </w:rPr>
        <w:t>c)</w:t>
      </w:r>
      <w:r w:rsidRPr="003B6E11">
        <w:rPr>
          <w:lang w:val="cs-CZ"/>
        </w:rPr>
        <w:tab/>
        <w:t>formuláře pro kontrolu stability;</w:t>
      </w:r>
    </w:p>
    <w:p w:rsidR="00E82B25" w:rsidRPr="003B6E11" w:rsidRDefault="00E82B25" w:rsidP="00E82B25">
      <w:pPr>
        <w:pStyle w:val="ESlet"/>
        <w:rPr>
          <w:rFonts w:cs="Arial"/>
          <w:szCs w:val="18"/>
          <w:lang w:val="cs-CZ"/>
        </w:rPr>
      </w:pPr>
      <w:r w:rsidRPr="003B6E11">
        <w:rPr>
          <w:lang w:val="cs-CZ"/>
        </w:rPr>
        <w:t>d)</w:t>
      </w:r>
      <w:r w:rsidRPr="003B6E11">
        <w:rPr>
          <w:lang w:val="cs-CZ"/>
        </w:rPr>
        <w:tab/>
        <w:t>návod k použití nebo příklad výpočtu pro vůdce plavidla.</w:t>
      </w:r>
    </w:p>
    <w:p w:rsidR="00E82B25" w:rsidRPr="003B6E11" w:rsidRDefault="00E82B25" w:rsidP="00E82B25">
      <w:pPr>
        <w:pStyle w:val="ESch"/>
        <w:rPr>
          <w:noProof/>
          <w:lang w:val="cs-CZ"/>
        </w:rPr>
      </w:pPr>
    </w:p>
    <w:p w:rsidR="00E82B25" w:rsidRPr="003B6E11" w:rsidRDefault="00E82B25" w:rsidP="00E82B25">
      <w:pPr>
        <w:pStyle w:val="ESch"/>
        <w:rPr>
          <w:rFonts w:cs="Arial"/>
          <w:szCs w:val="18"/>
          <w:lang w:val="cs-CZ"/>
        </w:rPr>
      </w:pPr>
      <w:r w:rsidRPr="003B6E11">
        <w:rPr>
          <w:lang w:val="cs-CZ"/>
        </w:rPr>
        <w:t xml:space="preserve">3. </w:t>
      </w:r>
      <w:r w:rsidRPr="003B6E11">
        <w:rPr>
          <w:lang w:val="cs-CZ"/>
        </w:rPr>
        <w:tab/>
        <w:t>U plavidel, na nichž lze převážet kontejnery zajištěné i nezajištěné, se poskytne samostatný způsob výpočtu pro potvrzení stability pro přepravu nezajištěných i zajištěných kontejnerových nákladů.</w:t>
      </w:r>
    </w:p>
    <w:p w:rsidR="00E82B25" w:rsidRPr="003B6E11" w:rsidRDefault="00E82B25" w:rsidP="00E82B25">
      <w:pPr>
        <w:pStyle w:val="ESch"/>
        <w:rPr>
          <w:noProof/>
          <w:lang w:val="cs-CZ"/>
        </w:rPr>
      </w:pPr>
    </w:p>
    <w:p w:rsidR="00E82B25" w:rsidRPr="003B6E11" w:rsidRDefault="00E82B25" w:rsidP="00E82B25">
      <w:pPr>
        <w:pStyle w:val="ESch"/>
        <w:rPr>
          <w:rFonts w:cs="Arial"/>
          <w:szCs w:val="18"/>
          <w:lang w:val="cs-CZ"/>
        </w:rPr>
      </w:pPr>
      <w:r w:rsidRPr="003B6E11">
        <w:rPr>
          <w:lang w:val="cs-CZ"/>
        </w:rPr>
        <w:t>4.</w:t>
      </w:r>
      <w:r w:rsidRPr="003B6E11">
        <w:rPr>
          <w:lang w:val="cs-CZ"/>
        </w:rPr>
        <w:tab/>
        <w:t>Kontejnerový náklad se považuje za zajištěný pouze tehdy, pokud je každý jednotlivý kontejner pevně upevněn k lodnímu trupu pomocí vodícího zařízení nebo zajišťovacího zařízení a jeho poloha se během plavby nemůže změnit.</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p>
    <w:p w:rsidR="00E82B25" w:rsidRPr="003B6E11" w:rsidRDefault="00E82B25" w:rsidP="00E82B25">
      <w:pPr>
        <w:pStyle w:val="ES-Titre3"/>
        <w:rPr>
          <w:rFonts w:cs="Arial"/>
          <w:i/>
          <w:szCs w:val="18"/>
          <w:lang w:val="cs-CZ"/>
        </w:rPr>
      </w:pPr>
      <w:bookmarkStart w:id="486" w:name="_Toc491854240"/>
      <w:bookmarkStart w:id="487" w:name="_Toc535417146"/>
      <w:r w:rsidRPr="003B6E11">
        <w:rPr>
          <w:rStyle w:val="ES-Titre3Car"/>
          <w:b/>
          <w:lang w:val="cs-CZ"/>
        </w:rPr>
        <w:t>Článek 27.02</w:t>
      </w:r>
      <w:r w:rsidRPr="003B6E11">
        <w:rPr>
          <w:rStyle w:val="ES-Titre3Car"/>
          <w:b/>
          <w:lang w:val="cs-CZ"/>
        </w:rPr>
        <w:br/>
      </w:r>
      <w:r w:rsidRPr="003B6E11">
        <w:rPr>
          <w:rStyle w:val="ES-Titre3Car"/>
          <w:b/>
          <w:i/>
          <w:lang w:val="cs-CZ"/>
        </w:rPr>
        <w:t>Mezní podmínky a způsob výpočtu k potvrzení stability</w:t>
      </w:r>
      <w:r w:rsidRPr="003B6E11">
        <w:rPr>
          <w:rStyle w:val="ES-Titre3Car"/>
          <w:b/>
          <w:i/>
          <w:lang w:val="cs-CZ"/>
        </w:rPr>
        <w:br/>
      </w:r>
      <w:r w:rsidRPr="003B6E11">
        <w:rPr>
          <w:i/>
          <w:noProof/>
          <w:lang w:val="cs-CZ"/>
        </w:rPr>
        <w:t>při přepravě nezajištěných kontejnerů</w:t>
      </w:r>
      <w:bookmarkEnd w:id="486"/>
      <w:bookmarkEnd w:id="487"/>
    </w:p>
    <w:p w:rsidR="00E82B25" w:rsidRPr="003B6E11" w:rsidRDefault="00E82B25" w:rsidP="00E82B25">
      <w:pPr>
        <w:pStyle w:val="ESch"/>
        <w:rPr>
          <w:noProof/>
          <w:lang w:val="cs-CZ"/>
        </w:rPr>
      </w:pPr>
    </w:p>
    <w:p w:rsidR="00E82B25" w:rsidRPr="003B6E11" w:rsidRDefault="00E82B25" w:rsidP="00E82B25">
      <w:pPr>
        <w:pStyle w:val="ESch"/>
        <w:rPr>
          <w:rFonts w:cs="Arial"/>
          <w:szCs w:val="18"/>
          <w:lang w:val="cs-CZ"/>
        </w:rPr>
      </w:pPr>
      <w:r w:rsidRPr="003B6E11">
        <w:rPr>
          <w:lang w:val="cs-CZ"/>
        </w:rPr>
        <w:t xml:space="preserve">1. </w:t>
      </w:r>
      <w:r w:rsidRPr="003B6E11">
        <w:rPr>
          <w:lang w:val="cs-CZ"/>
        </w:rPr>
        <w:tab/>
        <w:t>Všechny způsoby výpočtu stability plavidla v případě nezajištěných kontejnerů musí vyhovovat těmto mezním podmínkám:</w:t>
      </w:r>
    </w:p>
    <w:p w:rsidR="00E82B25" w:rsidRPr="003B6E11" w:rsidRDefault="00E82B25" w:rsidP="00E82B25">
      <w:pPr>
        <w:pStyle w:val="ESlet"/>
        <w:rPr>
          <w:rFonts w:cs="Arial"/>
          <w:szCs w:val="18"/>
          <w:lang w:val="cs-CZ"/>
        </w:rPr>
      </w:pPr>
      <w:r w:rsidRPr="003B6E11">
        <w:rPr>
          <w:lang w:val="cs-CZ"/>
        </w:rPr>
        <w:t>a)</w:t>
      </w:r>
      <w:r w:rsidRPr="003B6E11">
        <w:rPr>
          <w:lang w:val="cs-CZ"/>
        </w:rPr>
        <w:tab/>
        <w:t xml:space="preserve">metacentrická výška </w:t>
      </w:r>
      <m:oMath>
        <m:acc>
          <m:accPr>
            <m:chr m:val="̅"/>
            <m:ctrlPr>
              <w:rPr>
                <w:rFonts w:ascii="Cambria Math" w:hAnsi="Cambria Math"/>
                <w:i/>
                <w:noProof/>
                <w:lang w:val="cs-CZ"/>
              </w:rPr>
            </m:ctrlPr>
          </m:accPr>
          <m:e>
            <m:r>
              <w:rPr>
                <w:rFonts w:ascii="Cambria Math" w:hAnsi="Cambria Math"/>
                <w:noProof/>
                <w:lang w:val="cs-CZ"/>
              </w:rPr>
              <m:t>MG</m:t>
            </m:r>
          </m:e>
        </m:acc>
      </m:oMath>
      <w:r w:rsidRPr="003B6E11">
        <w:rPr>
          <w:lang w:val="cs-CZ"/>
        </w:rPr>
        <w:t xml:space="preserve"> nesmí být menší než 1,00 m.</w:t>
      </w:r>
    </w:p>
    <w:p w:rsidR="00E82B25" w:rsidRPr="003B6E11" w:rsidRDefault="00E82B25" w:rsidP="00E82B25">
      <w:pPr>
        <w:pStyle w:val="ESlet"/>
        <w:rPr>
          <w:rFonts w:cs="Arial"/>
          <w:szCs w:val="18"/>
          <w:lang w:val="cs-CZ"/>
        </w:rPr>
      </w:pPr>
      <w:r w:rsidRPr="003B6E11">
        <w:rPr>
          <w:lang w:val="cs-CZ"/>
        </w:rPr>
        <w:t>b)</w:t>
      </w:r>
      <w:r w:rsidRPr="003B6E11">
        <w:rPr>
          <w:lang w:val="cs-CZ"/>
        </w:rPr>
        <w:tab/>
        <w:t>při společném působení odstředivé síly plynoucí z otáčení lodi, tlaku větru a volných hladin kapalin nesmí úhel náklonu překročit 5° a okraj paluby se nesmí ponořit;</w:t>
      </w:r>
    </w:p>
    <w:p w:rsidR="00E82B25" w:rsidRPr="003B6E11" w:rsidRDefault="00E82B25" w:rsidP="00E82B25">
      <w:pPr>
        <w:pStyle w:val="ESlet"/>
        <w:rPr>
          <w:rFonts w:cs="Arial"/>
          <w:szCs w:val="18"/>
          <w:lang w:val="cs-CZ"/>
        </w:rPr>
      </w:pPr>
      <w:r w:rsidRPr="003B6E11">
        <w:rPr>
          <w:lang w:val="cs-CZ"/>
        </w:rPr>
        <w:t>c)</w:t>
      </w:r>
      <w:r w:rsidRPr="003B6E11">
        <w:rPr>
          <w:lang w:val="cs-CZ"/>
        </w:rPr>
        <w:tab/>
        <w:t>klopné rameno páky způsobené odstředivou silou plynoucí z otáčení plavidla se určí podle vzorce:</w:t>
      </w:r>
    </w:p>
    <w:p w:rsidR="00E82B25" w:rsidRPr="003B6E11" w:rsidRDefault="002D015D" w:rsidP="00E82B25">
      <w:pPr>
        <w:pStyle w:val="ESlet"/>
        <w:ind w:left="0"/>
        <w:rPr>
          <w:rFonts w:eastAsia="Calibri" w:cs="Arial"/>
          <w:szCs w:val="18"/>
          <w:lang w:val="cs-CZ"/>
        </w:rPr>
      </w:pPr>
      <m:oMathPara>
        <m:oMath>
          <m:sSub>
            <m:sSubPr>
              <m:ctrlPr>
                <w:rPr>
                  <w:rFonts w:ascii="Cambria Math" w:eastAsia="Calibri" w:hAnsi="Cambria Math" w:cs="Arial"/>
                  <w:i/>
                  <w:szCs w:val="18"/>
                  <w:lang w:val="cs-CZ"/>
                </w:rPr>
              </m:ctrlPr>
            </m:sSubPr>
            <m:e>
              <m:r>
                <w:rPr>
                  <w:rFonts w:ascii="Cambria Math" w:eastAsia="Calibri" w:hAnsi="Cambria Math" w:cs="Arial"/>
                  <w:szCs w:val="18"/>
                  <w:lang w:val="cs-CZ"/>
                </w:rPr>
                <m:t>h</m:t>
              </m:r>
            </m:e>
            <m:sub>
              <m:r>
                <w:rPr>
                  <w:rFonts w:ascii="Cambria Math" w:eastAsia="Calibri" w:hAnsi="Cambria Math" w:cs="Arial"/>
                  <w:szCs w:val="18"/>
                  <w:lang w:val="cs-CZ"/>
                </w:rPr>
                <m:t>KZ</m:t>
              </m:r>
            </m:sub>
          </m:sSub>
          <m:r>
            <w:rPr>
              <w:rFonts w:ascii="Cambria Math" w:eastAsia="Calibri" w:hAnsi="Cambria Math" w:cs="Arial"/>
              <w:szCs w:val="18"/>
              <w:lang w:val="cs-CZ"/>
            </w:rPr>
            <m:t xml:space="preserve">= </m:t>
          </m:r>
          <m:sSub>
            <m:sSubPr>
              <m:ctrlPr>
                <w:rPr>
                  <w:rFonts w:ascii="Cambria Math" w:eastAsia="Calibri" w:hAnsi="Cambria Math" w:cs="Arial"/>
                  <w:i/>
                  <w:szCs w:val="18"/>
                  <w:lang w:val="cs-CZ"/>
                </w:rPr>
              </m:ctrlPr>
            </m:sSubPr>
            <m:e>
              <m:r>
                <w:rPr>
                  <w:rFonts w:ascii="Cambria Math" w:eastAsia="Calibri" w:hAnsi="Cambria Math" w:cs="Arial"/>
                  <w:szCs w:val="18"/>
                  <w:lang w:val="cs-CZ"/>
                </w:rPr>
                <m:t>c</m:t>
              </m:r>
            </m:e>
            <m:sub>
              <m:r>
                <w:rPr>
                  <w:rFonts w:ascii="Cambria Math" w:eastAsia="Calibri" w:hAnsi="Cambria Math" w:cs="Arial"/>
                  <w:szCs w:val="18"/>
                  <w:lang w:val="cs-CZ"/>
                </w:rPr>
                <m:t>KZ</m:t>
              </m:r>
            </m:sub>
          </m:sSub>
          <m:r>
            <w:rPr>
              <w:rFonts w:ascii="Cambria Math" w:eastAsia="Calibri" w:hAnsi="Cambria Math" w:cs="Arial"/>
              <w:szCs w:val="18"/>
              <w:lang w:val="cs-CZ"/>
            </w:rPr>
            <m:t xml:space="preserve"> ∙ </m:t>
          </m:r>
          <m:f>
            <m:fPr>
              <m:ctrlPr>
                <w:rPr>
                  <w:rFonts w:ascii="Cambria Math" w:eastAsia="Calibri" w:hAnsi="Cambria Math" w:cs="Arial"/>
                  <w:i/>
                  <w:szCs w:val="18"/>
                  <w:lang w:val="cs-CZ"/>
                </w:rPr>
              </m:ctrlPr>
            </m:fPr>
            <m:num>
              <m:sSup>
                <m:sSupPr>
                  <m:ctrlPr>
                    <w:rPr>
                      <w:rFonts w:ascii="Cambria Math" w:eastAsia="Calibri" w:hAnsi="Cambria Math" w:cs="Arial"/>
                      <w:i/>
                      <w:szCs w:val="18"/>
                      <w:lang w:val="cs-CZ"/>
                    </w:rPr>
                  </m:ctrlPr>
                </m:sSupPr>
                <m:e>
                  <m:r>
                    <w:rPr>
                      <w:rFonts w:ascii="Cambria Math" w:eastAsia="Calibri" w:hAnsi="Cambria Math" w:cs="Arial"/>
                      <w:szCs w:val="18"/>
                      <w:lang w:val="cs-CZ"/>
                    </w:rPr>
                    <m:t>v</m:t>
                  </m:r>
                </m:e>
                <m:sup>
                  <m:r>
                    <w:rPr>
                      <w:rFonts w:ascii="Cambria Math" w:eastAsia="Calibri" w:hAnsi="Cambria Math" w:cs="Arial"/>
                      <w:szCs w:val="18"/>
                      <w:lang w:val="cs-CZ"/>
                    </w:rPr>
                    <m:t>2</m:t>
                  </m:r>
                </m:sup>
              </m:sSup>
            </m:num>
            <m:den>
              <m:sSub>
                <m:sSubPr>
                  <m:ctrlPr>
                    <w:rPr>
                      <w:rFonts w:ascii="Cambria Math" w:eastAsia="Calibri" w:hAnsi="Cambria Math" w:cs="Arial"/>
                      <w:i/>
                      <w:szCs w:val="18"/>
                      <w:lang w:val="cs-CZ"/>
                    </w:rPr>
                  </m:ctrlPr>
                </m:sSubPr>
                <m:e>
                  <m:r>
                    <w:rPr>
                      <w:rFonts w:ascii="Cambria Math" w:eastAsia="Calibri" w:hAnsi="Cambria Math" w:cs="Arial"/>
                      <w:szCs w:val="18"/>
                      <w:lang w:val="cs-CZ"/>
                    </w:rPr>
                    <m:t>L</m:t>
                  </m:r>
                </m:e>
                <m:sub>
                  <m:r>
                    <w:rPr>
                      <w:rFonts w:ascii="Cambria Math" w:eastAsia="Calibri" w:hAnsi="Cambria Math" w:cs="Arial"/>
                      <w:szCs w:val="18"/>
                      <w:lang w:val="cs-CZ"/>
                    </w:rPr>
                    <m:t>WL</m:t>
                  </m:r>
                </m:sub>
              </m:sSub>
            </m:den>
          </m:f>
          <m:r>
            <w:rPr>
              <w:rFonts w:ascii="Cambria Math" w:eastAsia="Calibri" w:hAnsi="Cambria Math" w:cs="Arial"/>
              <w:szCs w:val="18"/>
              <w:lang w:val="cs-CZ"/>
            </w:rPr>
            <m:t xml:space="preserve"> ∙ </m:t>
          </m:r>
          <m:d>
            <m:dPr>
              <m:ctrlPr>
                <w:rPr>
                  <w:rFonts w:ascii="Cambria Math" w:eastAsia="Calibri" w:hAnsi="Cambria Math" w:cs="Arial"/>
                  <w:i/>
                  <w:szCs w:val="18"/>
                  <w:lang w:val="cs-CZ"/>
                </w:rPr>
              </m:ctrlPr>
            </m:dPr>
            <m:e>
              <m:acc>
                <m:accPr>
                  <m:chr m:val="̅"/>
                  <m:ctrlPr>
                    <w:rPr>
                      <w:rFonts w:ascii="Cambria Math" w:eastAsia="Calibri" w:hAnsi="Cambria Math" w:cs="Arial"/>
                      <w:i/>
                      <w:szCs w:val="18"/>
                      <w:lang w:val="cs-CZ"/>
                    </w:rPr>
                  </m:ctrlPr>
                </m:accPr>
                <m:e>
                  <m:r>
                    <w:rPr>
                      <w:rFonts w:ascii="Cambria Math" w:eastAsia="Calibri" w:hAnsi="Cambria Math" w:cs="Arial"/>
                      <w:szCs w:val="18"/>
                      <w:lang w:val="cs-CZ"/>
                    </w:rPr>
                    <m:t>KG</m:t>
                  </m:r>
                </m:e>
              </m:acc>
              <m:r>
                <w:rPr>
                  <w:rFonts w:ascii="Cambria Math" w:eastAsia="Calibri" w:hAnsi="Cambria Math" w:cs="Arial"/>
                  <w:szCs w:val="18"/>
                  <w:lang w:val="cs-CZ"/>
                </w:rPr>
                <m:t xml:space="preserve">- </m:t>
              </m:r>
              <m:f>
                <m:fPr>
                  <m:ctrlPr>
                    <w:rPr>
                      <w:rFonts w:ascii="Cambria Math" w:eastAsia="Calibri" w:hAnsi="Cambria Math" w:cs="Arial"/>
                      <w:i/>
                      <w:szCs w:val="18"/>
                      <w:lang w:val="cs-CZ"/>
                    </w:rPr>
                  </m:ctrlPr>
                </m:fPr>
                <m:num>
                  <m:sSup>
                    <m:sSupPr>
                      <m:ctrlPr>
                        <w:rPr>
                          <w:rFonts w:ascii="Cambria Math" w:eastAsia="Calibri" w:hAnsi="Cambria Math" w:cs="Arial"/>
                          <w:i/>
                          <w:szCs w:val="18"/>
                          <w:lang w:val="cs-CZ"/>
                        </w:rPr>
                      </m:ctrlPr>
                    </m:sSupPr>
                    <m:e>
                      <m:r>
                        <w:rPr>
                          <w:rFonts w:ascii="Cambria Math" w:eastAsia="Calibri" w:hAnsi="Cambria Math" w:cs="Arial"/>
                          <w:szCs w:val="18"/>
                          <w:lang w:val="cs-CZ"/>
                        </w:rPr>
                        <m:t>T</m:t>
                      </m:r>
                    </m:e>
                    <m:sup>
                      <m:r>
                        <w:rPr>
                          <w:rFonts w:ascii="Cambria Math" w:eastAsia="Calibri" w:hAnsi="Cambria Math" w:cs="Arial"/>
                          <w:szCs w:val="18"/>
                          <w:lang w:val="cs-CZ"/>
                        </w:rPr>
                        <m:t>'</m:t>
                      </m:r>
                    </m:sup>
                  </m:sSup>
                </m:num>
                <m:den>
                  <m:r>
                    <w:rPr>
                      <w:rFonts w:ascii="Cambria Math" w:eastAsia="Calibri" w:hAnsi="Cambria Math" w:cs="Arial"/>
                      <w:szCs w:val="18"/>
                      <w:lang w:val="cs-CZ"/>
                    </w:rPr>
                    <m:t>2</m:t>
                  </m:r>
                </m:den>
              </m:f>
            </m:e>
          </m:d>
          <m:r>
            <w:rPr>
              <w:rFonts w:ascii="Cambria Math" w:eastAsia="Calibri" w:hAnsi="Cambria Math" w:cs="Arial"/>
              <w:szCs w:val="18"/>
              <w:lang w:val="cs-CZ"/>
            </w:rPr>
            <m:t xml:space="preserve"> </m:t>
          </m:r>
          <m:d>
            <m:dPr>
              <m:begChr m:val="["/>
              <m:endChr m:val="]"/>
              <m:ctrlPr>
                <w:rPr>
                  <w:rFonts w:ascii="Cambria Math" w:eastAsia="Calibri" w:hAnsi="Cambria Math" w:cs="Arial"/>
                  <w:i/>
                  <w:szCs w:val="18"/>
                  <w:lang w:val="cs-CZ"/>
                </w:rPr>
              </m:ctrlPr>
            </m:dPr>
            <m:e>
              <m:r>
                <w:rPr>
                  <w:rFonts w:ascii="Cambria Math" w:eastAsia="Calibri" w:hAnsi="Cambria Math" w:cs="Arial"/>
                  <w:szCs w:val="18"/>
                  <w:lang w:val="cs-CZ"/>
                </w:rPr>
                <m:t>m</m:t>
              </m:r>
            </m:e>
          </m:d>
        </m:oMath>
      </m:oMathPara>
    </w:p>
    <w:p w:rsidR="00E82B25" w:rsidRPr="003B6E11" w:rsidRDefault="00E82B25" w:rsidP="00E82B25">
      <w:pPr>
        <w:pStyle w:val="EStiret"/>
        <w:rPr>
          <w:lang w:val="cs-CZ"/>
        </w:rPr>
      </w:pPr>
    </w:p>
    <w:p w:rsidR="00E82B25" w:rsidRPr="003B6E11" w:rsidRDefault="00E82B25" w:rsidP="00E82B25">
      <w:pPr>
        <w:pStyle w:val="EStiret"/>
        <w:rPr>
          <w:lang w:val="cs-CZ"/>
        </w:rPr>
      </w:pPr>
      <w:r w:rsidRPr="003B6E11">
        <w:rPr>
          <w:lang w:val="cs-CZ"/>
        </w:rPr>
        <w:br w:type="page"/>
      </w:r>
    </w:p>
    <w:p w:rsidR="00E82B25" w:rsidRPr="003B6E11" w:rsidRDefault="00E82B25" w:rsidP="00E82B25">
      <w:pPr>
        <w:pStyle w:val="EStiret"/>
        <w:rPr>
          <w:rFonts w:cs="Arial"/>
          <w:szCs w:val="18"/>
          <w:lang w:val="cs-CZ"/>
        </w:rPr>
      </w:pPr>
      <w:r w:rsidRPr="003B6E11">
        <w:rPr>
          <w:lang w:val="cs-CZ"/>
        </w:rPr>
        <w:t>kde:</w:t>
      </w:r>
    </w:p>
    <w:p w:rsidR="00E82B25" w:rsidRPr="003B6E11" w:rsidRDefault="002D015D" w:rsidP="00E82B25">
      <w:pPr>
        <w:pStyle w:val="EStiret"/>
        <w:ind w:left="1701" w:hanging="709"/>
        <w:rPr>
          <w:rFonts w:eastAsia="Calibri"/>
          <w:lang w:val="cs-CZ"/>
        </w:rPr>
      </w:pPr>
      <m:oMath>
        <m:sSub>
          <m:sSubPr>
            <m:ctrlPr>
              <w:rPr>
                <w:rFonts w:ascii="Cambria Math" w:eastAsia="Calibri" w:hAnsi="Cambria Math"/>
                <w:i/>
                <w:lang w:val="cs-CZ"/>
              </w:rPr>
            </m:ctrlPr>
          </m:sSubPr>
          <m:e>
            <m:r>
              <w:rPr>
                <w:rFonts w:ascii="Cambria Math" w:eastAsia="Calibri" w:hAnsi="Cambria Math"/>
                <w:lang w:val="cs-CZ"/>
              </w:rPr>
              <m:t>c</m:t>
            </m:r>
          </m:e>
          <m:sub>
            <m:r>
              <w:rPr>
                <w:rFonts w:ascii="Cambria Math" w:eastAsia="Calibri" w:hAnsi="Cambria Math"/>
                <w:lang w:val="cs-CZ"/>
              </w:rPr>
              <m:t>KZ</m:t>
            </m:r>
          </m:sub>
        </m:sSub>
      </m:oMath>
      <w:r w:rsidR="00E82B25" w:rsidRPr="003B6E11">
        <w:rPr>
          <w:lang w:val="cs-CZ"/>
        </w:rPr>
        <w:tab/>
        <w:t xml:space="preserve">parametr </w:t>
      </w:r>
      <m:oMath>
        <m:d>
          <m:dPr>
            <m:ctrlPr>
              <w:rPr>
                <w:rFonts w:ascii="Cambria Math" w:eastAsia="Calibri" w:hAnsi="Cambria Math"/>
                <w:i/>
                <w:szCs w:val="16"/>
                <w:lang w:val="cs-CZ"/>
              </w:rPr>
            </m:ctrlPr>
          </m:dPr>
          <m:e>
            <m:sSub>
              <m:sSubPr>
                <m:ctrlPr>
                  <w:rPr>
                    <w:rFonts w:ascii="Cambria Math" w:eastAsia="Calibri" w:hAnsi="Cambria Math"/>
                    <w:i/>
                    <w:szCs w:val="16"/>
                    <w:lang w:val="cs-CZ"/>
                  </w:rPr>
                </m:ctrlPr>
              </m:sSubPr>
              <m:e>
                <m:r>
                  <w:rPr>
                    <w:rFonts w:ascii="Cambria Math" w:eastAsia="Calibri" w:hAnsi="Cambria Math"/>
                    <w:szCs w:val="16"/>
                    <w:lang w:val="cs-CZ"/>
                  </w:rPr>
                  <m:t>c</m:t>
                </m:r>
              </m:e>
              <m:sub>
                <m:r>
                  <w:rPr>
                    <w:rFonts w:ascii="Cambria Math" w:eastAsia="Calibri" w:hAnsi="Cambria Math"/>
                    <w:szCs w:val="16"/>
                    <w:lang w:val="cs-CZ"/>
                  </w:rPr>
                  <m:t>KZ</m:t>
                </m:r>
              </m:sub>
            </m:sSub>
            <m:r>
              <w:rPr>
                <w:rFonts w:ascii="Cambria Math" w:eastAsia="Calibri" w:hAnsi="Cambria Math"/>
                <w:szCs w:val="16"/>
                <w:lang w:val="cs-CZ"/>
              </w:rPr>
              <m:t>=0,04</m:t>
            </m:r>
          </m:e>
        </m:d>
      </m:oMath>
      <w:r w:rsidR="00E82B25" w:rsidRPr="003B6E11">
        <w:rPr>
          <w:lang w:val="cs-CZ"/>
        </w:rPr>
        <w:t xml:space="preserve"> [s</w:t>
      </w:r>
      <w:r w:rsidR="00E82B25" w:rsidRPr="003B6E11">
        <w:rPr>
          <w:vertAlign w:val="superscript"/>
          <w:lang w:val="cs-CZ"/>
        </w:rPr>
        <w:t>2</w:t>
      </w:r>
      <w:r w:rsidR="00E82B25" w:rsidRPr="003B6E11">
        <w:rPr>
          <w:lang w:val="cs-CZ"/>
        </w:rPr>
        <w:t>/m],</w:t>
      </w:r>
    </w:p>
    <w:p w:rsidR="00E82B25" w:rsidRPr="003B6E11" w:rsidRDefault="00E82B25" w:rsidP="00E82B25">
      <w:pPr>
        <w:pStyle w:val="EStiret"/>
        <w:ind w:left="1701" w:hanging="709"/>
        <w:rPr>
          <w:rFonts w:eastAsia="Calibri"/>
          <w:lang w:val="cs-CZ"/>
        </w:rPr>
      </w:pPr>
      <m:oMath>
        <m:r>
          <w:rPr>
            <w:rFonts w:ascii="Cambria Math" w:eastAsia="Calibri" w:hAnsi="Cambria Math"/>
            <w:lang w:val="cs-CZ"/>
          </w:rPr>
          <m:t>v</m:t>
        </m:r>
      </m:oMath>
      <w:r w:rsidRPr="003B6E11">
        <w:rPr>
          <w:lang w:val="cs-CZ"/>
        </w:rPr>
        <w:tab/>
        <w:t>nejvyšší rychlost lodi proti odporu vody [m/s],</w:t>
      </w:r>
    </w:p>
    <w:p w:rsidR="00E82B25" w:rsidRPr="003B6E11" w:rsidRDefault="002D015D" w:rsidP="00E82B25">
      <w:pPr>
        <w:pStyle w:val="EStiret"/>
        <w:ind w:left="1701" w:hanging="709"/>
        <w:rPr>
          <w:rFonts w:eastAsia="Calibri"/>
          <w:lang w:val="cs-CZ"/>
        </w:rPr>
      </w:pPr>
      <m:oMath>
        <m:acc>
          <m:accPr>
            <m:chr m:val="̅"/>
            <m:ctrlPr>
              <w:rPr>
                <w:rFonts w:ascii="Cambria Math" w:eastAsia="Calibri" w:hAnsi="Cambria Math"/>
                <w:i/>
                <w:lang w:val="cs-CZ"/>
              </w:rPr>
            </m:ctrlPr>
          </m:accPr>
          <m:e>
            <m:r>
              <w:rPr>
                <w:rFonts w:ascii="Cambria Math" w:eastAsia="Calibri" w:hAnsi="Cambria Math"/>
                <w:lang w:val="cs-CZ"/>
              </w:rPr>
              <m:t>KG</m:t>
            </m:r>
          </m:e>
        </m:acc>
      </m:oMath>
      <w:r w:rsidR="00E82B25" w:rsidRPr="003B6E11">
        <w:rPr>
          <w:lang w:val="cs-CZ"/>
        </w:rPr>
        <w:tab/>
        <w:t>výška těžiště naložené lodi nad základnou [m],</w:t>
      </w:r>
    </w:p>
    <w:p w:rsidR="00E82B25" w:rsidRPr="003B6E11" w:rsidRDefault="00E82B25" w:rsidP="00E82B25">
      <w:pPr>
        <w:pStyle w:val="EStiret"/>
        <w:ind w:left="1701" w:hanging="709"/>
        <w:rPr>
          <w:rFonts w:eastAsia="Calibri"/>
          <w:lang w:val="cs-CZ"/>
        </w:rPr>
      </w:pPr>
      <m:oMath>
        <m:r>
          <w:rPr>
            <w:rFonts w:ascii="Cambria Math" w:eastAsia="Calibri" w:hAnsi="Cambria Math"/>
            <w:lang w:val="cs-CZ"/>
          </w:rPr>
          <m:t>T'</m:t>
        </m:r>
      </m:oMath>
      <w:r w:rsidRPr="003B6E11">
        <w:rPr>
          <w:lang w:val="cs-CZ"/>
        </w:rPr>
        <w:tab/>
        <w:t>ponor naložené lodi [m];</w:t>
      </w:r>
    </w:p>
    <w:p w:rsidR="00E82B25" w:rsidRPr="003B6E11" w:rsidRDefault="00E82B25" w:rsidP="00E82B25">
      <w:pPr>
        <w:pStyle w:val="ESlet"/>
        <w:rPr>
          <w:noProof/>
          <w:lang w:val="cs-CZ"/>
        </w:rPr>
      </w:pPr>
    </w:p>
    <w:p w:rsidR="00E82B25" w:rsidRPr="003B6E11" w:rsidRDefault="00E82B25" w:rsidP="00E82B25">
      <w:pPr>
        <w:pStyle w:val="ESlet"/>
        <w:rPr>
          <w:noProof/>
          <w:lang w:val="cs-CZ"/>
        </w:rPr>
      </w:pPr>
      <w:r w:rsidRPr="003B6E11">
        <w:rPr>
          <w:lang w:val="cs-CZ"/>
        </w:rPr>
        <w:t>d)</w:t>
      </w:r>
      <w:r w:rsidRPr="003B6E11">
        <w:rPr>
          <w:lang w:val="cs-CZ"/>
        </w:rPr>
        <w:tab/>
        <w:t>klopné rameno páky způsobené tlakem větru se určí podle vzorce:</w:t>
      </w:r>
    </w:p>
    <w:p w:rsidR="00E82B25" w:rsidRPr="003B6E11" w:rsidRDefault="002D015D" w:rsidP="00E82B25">
      <w:pPr>
        <w:pStyle w:val="ESlet"/>
        <w:ind w:left="0"/>
        <w:rPr>
          <w:rFonts w:cs="Arial"/>
          <w:szCs w:val="18"/>
          <w:lang w:val="cs-CZ"/>
        </w:rPr>
      </w:pPr>
      <m:oMathPara>
        <m:oMath>
          <m:sSub>
            <m:sSubPr>
              <m:ctrlPr>
                <w:rPr>
                  <w:rFonts w:ascii="Cambria Math" w:hAnsi="Cambria Math" w:cs="Arial"/>
                  <w:i/>
                  <w:szCs w:val="18"/>
                  <w:lang w:val="cs-CZ"/>
                </w:rPr>
              </m:ctrlPr>
            </m:sSubPr>
            <m:e>
              <m:r>
                <w:rPr>
                  <w:rFonts w:ascii="Cambria Math" w:hAnsi="Cambria Math" w:cs="Arial"/>
                  <w:szCs w:val="18"/>
                  <w:lang w:val="cs-CZ"/>
                </w:rPr>
                <m:t>h</m:t>
              </m:r>
            </m:e>
            <m:sub>
              <m:r>
                <w:rPr>
                  <w:rFonts w:ascii="Cambria Math" w:hAnsi="Cambria Math" w:cs="Arial"/>
                  <w:szCs w:val="18"/>
                  <w:lang w:val="cs-CZ"/>
                </w:rPr>
                <m:t>KW</m:t>
              </m:r>
            </m:sub>
          </m:sSub>
          <m:r>
            <w:rPr>
              <w:rFonts w:ascii="Cambria Math" w:hAnsi="Cambria Math" w:cs="Arial"/>
              <w:szCs w:val="18"/>
              <w:lang w:val="cs-CZ"/>
            </w:rPr>
            <m:t xml:space="preserve">= </m:t>
          </m:r>
          <m:sSub>
            <m:sSubPr>
              <m:ctrlPr>
                <w:rPr>
                  <w:rFonts w:ascii="Cambria Math" w:hAnsi="Cambria Math" w:cs="Arial"/>
                  <w:i/>
                  <w:szCs w:val="18"/>
                  <w:lang w:val="cs-CZ"/>
                </w:rPr>
              </m:ctrlPr>
            </m:sSubPr>
            <m:e>
              <m:r>
                <w:rPr>
                  <w:rFonts w:ascii="Cambria Math" w:hAnsi="Cambria Math" w:cs="Arial"/>
                  <w:szCs w:val="18"/>
                  <w:lang w:val="cs-CZ"/>
                </w:rPr>
                <m:t>c</m:t>
              </m:r>
            </m:e>
            <m:sub>
              <m:r>
                <w:rPr>
                  <w:rFonts w:ascii="Cambria Math" w:hAnsi="Cambria Math" w:cs="Arial"/>
                  <w:szCs w:val="18"/>
                  <w:lang w:val="cs-CZ"/>
                </w:rPr>
                <m:t>KW</m:t>
              </m:r>
            </m:sub>
          </m:sSub>
          <m:r>
            <w:rPr>
              <w:rFonts w:ascii="Cambria Math" w:hAnsi="Cambria Math" w:cs="Arial"/>
              <w:szCs w:val="18"/>
              <w:lang w:val="cs-CZ"/>
            </w:rPr>
            <m:t xml:space="preserve"> ∙ </m:t>
          </m:r>
          <m:f>
            <m:fPr>
              <m:ctrlPr>
                <w:rPr>
                  <w:rFonts w:ascii="Cambria Math" w:hAnsi="Cambria Math" w:cs="Arial"/>
                  <w:i/>
                  <w:szCs w:val="18"/>
                  <w:lang w:val="cs-CZ"/>
                </w:rPr>
              </m:ctrlPr>
            </m:fPr>
            <m:num>
              <m:sSup>
                <m:sSupPr>
                  <m:ctrlPr>
                    <w:rPr>
                      <w:rFonts w:ascii="Cambria Math" w:hAnsi="Cambria Math" w:cs="Arial"/>
                      <w:i/>
                      <w:szCs w:val="18"/>
                      <w:lang w:val="cs-CZ"/>
                    </w:rPr>
                  </m:ctrlPr>
                </m:sSupPr>
                <m:e>
                  <m:r>
                    <w:rPr>
                      <w:rFonts w:ascii="Cambria Math" w:hAnsi="Cambria Math" w:cs="Arial"/>
                      <w:szCs w:val="18"/>
                      <w:lang w:val="cs-CZ"/>
                    </w:rPr>
                    <m:t>A</m:t>
                  </m:r>
                </m:e>
                <m:sup>
                  <m:r>
                    <w:rPr>
                      <w:rFonts w:ascii="Cambria Math" w:hAnsi="Cambria Math" w:cs="Arial"/>
                      <w:szCs w:val="18"/>
                      <w:lang w:val="cs-CZ"/>
                    </w:rPr>
                    <m:t>'</m:t>
                  </m:r>
                </m:sup>
              </m:sSup>
            </m:num>
            <m:den>
              <m:sSup>
                <m:sSupPr>
                  <m:ctrlPr>
                    <w:rPr>
                      <w:rFonts w:ascii="Cambria Math" w:hAnsi="Cambria Math" w:cs="Arial"/>
                      <w:i/>
                      <w:szCs w:val="18"/>
                      <w:lang w:val="cs-CZ"/>
                    </w:rPr>
                  </m:ctrlPr>
                </m:sSupPr>
                <m:e>
                  <m:r>
                    <w:rPr>
                      <w:rFonts w:ascii="Cambria Math" w:hAnsi="Cambria Math" w:cs="Arial"/>
                      <w:szCs w:val="18"/>
                      <w:lang w:val="cs-CZ"/>
                    </w:rPr>
                    <m:t>D</m:t>
                  </m:r>
                </m:e>
                <m:sup>
                  <m:r>
                    <w:rPr>
                      <w:rFonts w:ascii="Cambria Math" w:hAnsi="Cambria Math" w:cs="Arial"/>
                      <w:szCs w:val="18"/>
                      <w:lang w:val="cs-CZ"/>
                    </w:rPr>
                    <m:t>'</m:t>
                  </m:r>
                </m:sup>
              </m:sSup>
            </m:den>
          </m:f>
          <m:r>
            <w:rPr>
              <w:rFonts w:ascii="Cambria Math" w:hAnsi="Cambria Math" w:cs="Arial"/>
              <w:szCs w:val="18"/>
              <w:lang w:val="cs-CZ"/>
            </w:rPr>
            <m:t xml:space="preserve"> ∙ </m:t>
          </m:r>
          <m:d>
            <m:dPr>
              <m:ctrlPr>
                <w:rPr>
                  <w:rFonts w:ascii="Cambria Math" w:hAnsi="Cambria Math" w:cs="Arial"/>
                  <w:i/>
                  <w:szCs w:val="18"/>
                  <w:lang w:val="cs-CZ"/>
                </w:rPr>
              </m:ctrlPr>
            </m:dPr>
            <m:e>
              <m:sSub>
                <m:sSubPr>
                  <m:ctrlPr>
                    <w:rPr>
                      <w:rFonts w:ascii="Cambria Math" w:hAnsi="Cambria Math" w:cs="Arial"/>
                      <w:i/>
                      <w:szCs w:val="18"/>
                      <w:lang w:val="cs-CZ"/>
                    </w:rPr>
                  </m:ctrlPr>
                </m:sSubPr>
                <m:e>
                  <m:r>
                    <w:rPr>
                      <w:rFonts w:ascii="Cambria Math" w:hAnsi="Cambria Math" w:cs="Arial"/>
                      <w:szCs w:val="18"/>
                      <w:lang w:val="cs-CZ"/>
                    </w:rPr>
                    <m:t>l</m:t>
                  </m:r>
                </m:e>
                <m:sub>
                  <m:r>
                    <w:rPr>
                      <w:rFonts w:ascii="Cambria Math" w:hAnsi="Cambria Math" w:cs="Arial"/>
                      <w:szCs w:val="18"/>
                      <w:lang w:val="cs-CZ"/>
                    </w:rPr>
                    <m:t>W</m:t>
                  </m:r>
                </m:sub>
              </m:sSub>
              <m:r>
                <w:rPr>
                  <w:rFonts w:ascii="Cambria Math" w:hAnsi="Cambria Math" w:cs="Arial"/>
                  <w:szCs w:val="18"/>
                  <w:lang w:val="cs-CZ"/>
                </w:rPr>
                <m:t xml:space="preserve">+ </m:t>
              </m:r>
              <m:f>
                <m:fPr>
                  <m:ctrlPr>
                    <w:rPr>
                      <w:rFonts w:ascii="Cambria Math" w:hAnsi="Cambria Math" w:cs="Arial"/>
                      <w:i/>
                      <w:szCs w:val="18"/>
                      <w:lang w:val="cs-CZ"/>
                    </w:rPr>
                  </m:ctrlPr>
                </m:fPr>
                <m:num>
                  <m:sSup>
                    <m:sSupPr>
                      <m:ctrlPr>
                        <w:rPr>
                          <w:rFonts w:ascii="Cambria Math" w:hAnsi="Cambria Math" w:cs="Arial"/>
                          <w:i/>
                          <w:szCs w:val="18"/>
                          <w:lang w:val="cs-CZ"/>
                        </w:rPr>
                      </m:ctrlPr>
                    </m:sSupPr>
                    <m:e>
                      <m:r>
                        <w:rPr>
                          <w:rFonts w:ascii="Cambria Math" w:hAnsi="Cambria Math" w:cs="Arial"/>
                          <w:szCs w:val="18"/>
                          <w:lang w:val="cs-CZ"/>
                        </w:rPr>
                        <m:t>T</m:t>
                      </m:r>
                    </m:e>
                    <m:sup>
                      <m:r>
                        <w:rPr>
                          <w:rFonts w:ascii="Cambria Math" w:hAnsi="Cambria Math" w:cs="Arial"/>
                          <w:szCs w:val="18"/>
                          <w:lang w:val="cs-CZ"/>
                        </w:rPr>
                        <m:t>'</m:t>
                      </m:r>
                    </m:sup>
                  </m:sSup>
                </m:num>
                <m:den>
                  <m:r>
                    <w:rPr>
                      <w:rFonts w:ascii="Cambria Math" w:hAnsi="Cambria Math" w:cs="Arial"/>
                      <w:szCs w:val="18"/>
                      <w:lang w:val="cs-CZ"/>
                    </w:rPr>
                    <m:t>2</m:t>
                  </m:r>
                </m:den>
              </m:f>
            </m:e>
          </m:d>
          <m:r>
            <w:rPr>
              <w:rFonts w:ascii="Cambria Math" w:hAnsi="Cambria Math" w:cs="Arial"/>
              <w:szCs w:val="18"/>
              <w:lang w:val="cs-CZ"/>
            </w:rPr>
            <m:t xml:space="preserve"> </m:t>
          </m:r>
          <m:d>
            <m:dPr>
              <m:begChr m:val="["/>
              <m:endChr m:val="]"/>
              <m:ctrlPr>
                <w:rPr>
                  <w:rFonts w:ascii="Cambria Math" w:hAnsi="Cambria Math" w:cs="Arial"/>
                  <w:i/>
                  <w:szCs w:val="18"/>
                  <w:lang w:val="cs-CZ"/>
                </w:rPr>
              </m:ctrlPr>
            </m:dPr>
            <m:e>
              <m:r>
                <w:rPr>
                  <w:rFonts w:ascii="Cambria Math" w:hAnsi="Cambria Math" w:cs="Arial"/>
                  <w:szCs w:val="18"/>
                  <w:lang w:val="cs-CZ"/>
                </w:rPr>
                <m:t>m</m:t>
              </m:r>
            </m:e>
          </m:d>
        </m:oMath>
      </m:oMathPara>
    </w:p>
    <w:p w:rsidR="00E82B25" w:rsidRPr="003B6E11" w:rsidRDefault="00E82B25" w:rsidP="00E82B25">
      <w:pPr>
        <w:pStyle w:val="EStiret"/>
        <w:rPr>
          <w:rFonts w:eastAsia="Calibri"/>
          <w:szCs w:val="20"/>
          <w:lang w:val="cs-CZ"/>
        </w:rPr>
      </w:pPr>
      <w:r w:rsidRPr="003B6E11">
        <w:rPr>
          <w:lang w:val="cs-CZ"/>
        </w:rPr>
        <w:t>kde:</w:t>
      </w:r>
    </w:p>
    <w:p w:rsidR="00E82B25" w:rsidRPr="003B6E11" w:rsidRDefault="002D015D" w:rsidP="00E82B25">
      <w:pPr>
        <w:pStyle w:val="EStiret"/>
        <w:ind w:left="1701" w:hanging="709"/>
        <w:rPr>
          <w:rFonts w:eastAsia="Calibri"/>
          <w:szCs w:val="20"/>
          <w:lang w:val="cs-CZ"/>
        </w:rPr>
      </w:pPr>
      <m:oMath>
        <m:sSub>
          <m:sSubPr>
            <m:ctrlPr>
              <w:rPr>
                <w:rFonts w:ascii="Cambria Math" w:eastAsia="Calibri" w:hAnsi="Cambria Math"/>
                <w:i/>
                <w:lang w:val="cs-CZ"/>
              </w:rPr>
            </m:ctrlPr>
          </m:sSubPr>
          <m:e>
            <m:r>
              <w:rPr>
                <w:rFonts w:ascii="Cambria Math" w:eastAsia="Calibri" w:hAnsi="Cambria Math"/>
                <w:lang w:val="cs-CZ"/>
              </w:rPr>
              <m:t>c</m:t>
            </m:r>
          </m:e>
          <m:sub>
            <m:r>
              <w:rPr>
                <w:rFonts w:ascii="Cambria Math" w:eastAsia="Calibri" w:hAnsi="Cambria Math"/>
                <w:lang w:val="cs-CZ"/>
              </w:rPr>
              <m:t>KW</m:t>
            </m:r>
          </m:sub>
        </m:sSub>
      </m:oMath>
      <w:r w:rsidR="00E82B25" w:rsidRPr="003B6E11">
        <w:rPr>
          <w:lang w:val="cs-CZ"/>
        </w:rPr>
        <w:tab/>
        <w:t xml:space="preserve">parametr </w:t>
      </w:r>
      <m:oMath>
        <m:d>
          <m:dPr>
            <m:ctrlPr>
              <w:rPr>
                <w:rFonts w:ascii="Cambria Math" w:eastAsia="Calibri" w:hAnsi="Cambria Math"/>
                <w:i/>
                <w:szCs w:val="16"/>
                <w:lang w:val="cs-CZ"/>
              </w:rPr>
            </m:ctrlPr>
          </m:dPr>
          <m:e>
            <m:sSub>
              <m:sSubPr>
                <m:ctrlPr>
                  <w:rPr>
                    <w:rFonts w:ascii="Cambria Math" w:eastAsia="Calibri" w:hAnsi="Cambria Math"/>
                    <w:i/>
                    <w:szCs w:val="16"/>
                    <w:lang w:val="cs-CZ"/>
                  </w:rPr>
                </m:ctrlPr>
              </m:sSubPr>
              <m:e>
                <m:r>
                  <w:rPr>
                    <w:rFonts w:ascii="Cambria Math" w:eastAsia="Calibri" w:hAnsi="Cambria Math"/>
                    <w:szCs w:val="16"/>
                    <w:lang w:val="cs-CZ"/>
                  </w:rPr>
                  <m:t>c</m:t>
                </m:r>
              </m:e>
              <m:sub>
                <m:r>
                  <w:rPr>
                    <w:rFonts w:ascii="Cambria Math" w:eastAsia="Calibri" w:hAnsi="Cambria Math"/>
                    <w:szCs w:val="16"/>
                    <w:lang w:val="cs-CZ"/>
                  </w:rPr>
                  <m:t>KW</m:t>
                </m:r>
              </m:sub>
            </m:sSub>
            <m:r>
              <w:rPr>
                <w:rFonts w:ascii="Cambria Math" w:eastAsia="Calibri" w:hAnsi="Cambria Math"/>
                <w:szCs w:val="16"/>
                <w:lang w:val="cs-CZ"/>
              </w:rPr>
              <m:t>=0,025</m:t>
            </m:r>
          </m:e>
        </m:d>
      </m:oMath>
      <w:r w:rsidR="00E82B25" w:rsidRPr="003B6E11">
        <w:rPr>
          <w:lang w:val="cs-CZ"/>
        </w:rPr>
        <w:t xml:space="preserve"> [t/m</w:t>
      </w:r>
      <w:r w:rsidR="00E82B25" w:rsidRPr="003B6E11">
        <w:rPr>
          <w:position w:val="6"/>
          <w:sz w:val="16"/>
          <w:vertAlign w:val="superscript"/>
          <w:lang w:val="cs-CZ"/>
        </w:rPr>
        <w:t>2</w:t>
      </w:r>
      <w:r w:rsidR="00E82B25" w:rsidRPr="003B6E11">
        <w:rPr>
          <w:lang w:val="cs-CZ"/>
        </w:rPr>
        <w:t>];</w:t>
      </w:r>
    </w:p>
    <w:p w:rsidR="00E82B25" w:rsidRPr="003B6E11" w:rsidRDefault="00E82B25" w:rsidP="00E82B25">
      <w:pPr>
        <w:pStyle w:val="EStiret"/>
        <w:ind w:left="1701" w:hanging="709"/>
        <w:rPr>
          <w:rFonts w:eastAsia="Calibri"/>
          <w:szCs w:val="20"/>
          <w:lang w:val="cs-CZ"/>
        </w:rPr>
      </w:pPr>
      <m:oMath>
        <m:r>
          <w:rPr>
            <w:rFonts w:ascii="Cambria Math" w:eastAsia="Calibri" w:hAnsi="Cambria Math"/>
            <w:szCs w:val="20"/>
            <w:lang w:val="cs-CZ"/>
          </w:rPr>
          <m:t>A'</m:t>
        </m:r>
      </m:oMath>
      <w:r w:rsidRPr="003B6E11">
        <w:rPr>
          <w:lang w:val="cs-CZ"/>
        </w:rPr>
        <w:tab/>
        <w:t>boční plocha nad hladinou u naložené lodi [m</w:t>
      </w:r>
      <w:r w:rsidRPr="003B6E11">
        <w:rPr>
          <w:vertAlign w:val="superscript"/>
          <w:lang w:val="cs-CZ"/>
        </w:rPr>
        <w:t>2</w:t>
      </w:r>
      <w:r w:rsidRPr="003B6E11">
        <w:rPr>
          <w:lang w:val="cs-CZ"/>
        </w:rPr>
        <w:t xml:space="preserve"> ], </w:t>
      </w:r>
    </w:p>
    <w:p w:rsidR="00E82B25" w:rsidRPr="003B6E11" w:rsidRDefault="00E82B25" w:rsidP="00E82B25">
      <w:pPr>
        <w:pStyle w:val="EStiret"/>
        <w:ind w:left="1701" w:hanging="709"/>
        <w:rPr>
          <w:rFonts w:eastAsia="Calibri"/>
          <w:szCs w:val="20"/>
          <w:lang w:val="cs-CZ"/>
        </w:rPr>
      </w:pPr>
      <m:oMath>
        <m:r>
          <w:rPr>
            <w:rFonts w:ascii="Cambria Math" w:eastAsia="Calibri" w:hAnsi="Cambria Math"/>
            <w:szCs w:val="20"/>
            <w:lang w:val="cs-CZ"/>
          </w:rPr>
          <m:t>D'</m:t>
        </m:r>
      </m:oMath>
      <w:r w:rsidRPr="003B6E11">
        <w:rPr>
          <w:lang w:val="cs-CZ"/>
        </w:rPr>
        <w:tab/>
        <w:t>výtlak naložené lodi [t],</w:t>
      </w:r>
    </w:p>
    <w:p w:rsidR="00E82B25" w:rsidRPr="003B6E11" w:rsidRDefault="002D015D" w:rsidP="00E82B25">
      <w:pPr>
        <w:pStyle w:val="EStiret"/>
        <w:ind w:left="1701" w:hanging="709"/>
        <w:rPr>
          <w:rFonts w:eastAsia="Calibri"/>
          <w:szCs w:val="20"/>
          <w:lang w:val="cs-CZ"/>
        </w:rPr>
      </w:pPr>
      <m:oMath>
        <m:sSub>
          <m:sSubPr>
            <m:ctrlPr>
              <w:rPr>
                <w:rFonts w:ascii="Cambria Math" w:eastAsia="Calibri" w:hAnsi="Cambria Math"/>
                <w:i/>
                <w:szCs w:val="20"/>
                <w:lang w:val="cs-CZ"/>
              </w:rPr>
            </m:ctrlPr>
          </m:sSubPr>
          <m:e>
            <m:r>
              <w:rPr>
                <w:rFonts w:ascii="Cambria Math" w:eastAsia="Calibri" w:hAnsi="Cambria Math"/>
                <w:szCs w:val="20"/>
                <w:lang w:val="cs-CZ"/>
              </w:rPr>
              <m:t>l</m:t>
            </m:r>
          </m:e>
          <m:sub>
            <m:r>
              <w:rPr>
                <w:rFonts w:ascii="Cambria Math" w:eastAsia="Calibri" w:hAnsi="Cambria Math"/>
                <w:szCs w:val="20"/>
                <w:lang w:val="cs-CZ"/>
              </w:rPr>
              <m:t>W</m:t>
            </m:r>
          </m:sub>
        </m:sSub>
      </m:oMath>
      <w:r w:rsidR="00E82B25" w:rsidRPr="003B6E11">
        <w:rPr>
          <w:lang w:val="cs-CZ"/>
        </w:rPr>
        <w:tab/>
        <w:t>výška těžiště boční plochy A' nad příslušnou vodoryskou [m],</w:t>
      </w:r>
    </w:p>
    <w:p w:rsidR="00E82B25" w:rsidRPr="003B6E11" w:rsidRDefault="00E82B25" w:rsidP="00E82B25">
      <w:pPr>
        <w:pStyle w:val="EStiret"/>
        <w:ind w:left="1701" w:hanging="709"/>
        <w:rPr>
          <w:rFonts w:eastAsia="Calibri"/>
          <w:szCs w:val="20"/>
          <w:lang w:val="cs-CZ"/>
        </w:rPr>
      </w:pPr>
      <m:oMath>
        <m:r>
          <w:rPr>
            <w:rFonts w:ascii="Cambria Math" w:eastAsia="Calibri" w:hAnsi="Cambria Math"/>
            <w:szCs w:val="20"/>
            <w:lang w:val="cs-CZ"/>
          </w:rPr>
          <m:t>T'</m:t>
        </m:r>
      </m:oMath>
      <w:r w:rsidRPr="003B6E11">
        <w:rPr>
          <w:lang w:val="cs-CZ"/>
        </w:rPr>
        <w:tab/>
        <w:t>ponor naložené lodi [m];</w:t>
      </w:r>
    </w:p>
    <w:p w:rsidR="00E82B25" w:rsidRPr="003B6E11" w:rsidRDefault="00E82B25" w:rsidP="00E82B25">
      <w:pPr>
        <w:pStyle w:val="ESch"/>
        <w:rPr>
          <w:noProof/>
          <w:lang w:val="cs-CZ"/>
        </w:rPr>
      </w:pPr>
    </w:p>
    <w:p w:rsidR="00E82B25" w:rsidRPr="003B6E11" w:rsidRDefault="00E82B25" w:rsidP="00E82B25">
      <w:pPr>
        <w:pStyle w:val="ESlet"/>
        <w:rPr>
          <w:noProof/>
          <w:lang w:val="cs-CZ"/>
        </w:rPr>
      </w:pPr>
      <w:r w:rsidRPr="003B6E11">
        <w:rPr>
          <w:lang w:val="cs-CZ"/>
        </w:rPr>
        <w:t>e)</w:t>
      </w:r>
      <w:r w:rsidRPr="003B6E11">
        <w:rPr>
          <w:lang w:val="cs-CZ"/>
        </w:rPr>
        <w:tab/>
        <w:t>klopné rameno páky způsobené volnou hladinou dešťové a zbytkové vody v úložném prostoru nebo dvojitém dnu se určí podle vzorce:</w:t>
      </w:r>
    </w:p>
    <w:p w:rsidR="00E82B25" w:rsidRPr="003B6E11" w:rsidRDefault="002D015D" w:rsidP="00E82B25">
      <w:pPr>
        <w:pStyle w:val="ESlet"/>
        <w:ind w:left="0"/>
        <w:rPr>
          <w:rFonts w:cs="Arial"/>
          <w:szCs w:val="18"/>
          <w:lang w:val="cs-CZ"/>
        </w:rPr>
      </w:pPr>
      <m:oMathPara>
        <m:oMath>
          <m:sSub>
            <m:sSubPr>
              <m:ctrlPr>
                <w:rPr>
                  <w:rFonts w:ascii="Cambria Math" w:hAnsi="Cambria Math" w:cs="Arial"/>
                  <w:i/>
                  <w:szCs w:val="18"/>
                  <w:lang w:val="cs-CZ"/>
                </w:rPr>
              </m:ctrlPr>
            </m:sSubPr>
            <m:e>
              <m:r>
                <w:rPr>
                  <w:rFonts w:ascii="Cambria Math" w:hAnsi="Cambria Math" w:cs="Arial"/>
                  <w:szCs w:val="18"/>
                  <w:lang w:val="cs-CZ"/>
                </w:rPr>
                <m:t>h</m:t>
              </m:r>
            </m:e>
            <m:sub>
              <m:r>
                <w:rPr>
                  <w:rFonts w:ascii="Cambria Math" w:hAnsi="Cambria Math" w:cs="Arial"/>
                  <w:szCs w:val="18"/>
                  <w:lang w:val="cs-CZ"/>
                </w:rPr>
                <m:t>KfO</m:t>
              </m:r>
            </m:sub>
          </m:sSub>
          <m:r>
            <w:rPr>
              <w:rFonts w:ascii="Cambria Math" w:hAnsi="Cambria Math" w:cs="Arial"/>
              <w:szCs w:val="18"/>
              <w:lang w:val="cs-CZ"/>
            </w:rPr>
            <m:t xml:space="preserve">= </m:t>
          </m:r>
          <m:f>
            <m:fPr>
              <m:ctrlPr>
                <w:rPr>
                  <w:rFonts w:ascii="Cambria Math" w:hAnsi="Cambria Math" w:cs="Arial"/>
                  <w:i/>
                  <w:szCs w:val="18"/>
                  <w:lang w:val="cs-CZ"/>
                </w:rPr>
              </m:ctrlPr>
            </m:fPr>
            <m:num>
              <m:sSub>
                <m:sSubPr>
                  <m:ctrlPr>
                    <w:rPr>
                      <w:rFonts w:ascii="Cambria Math" w:hAnsi="Cambria Math" w:cs="Arial"/>
                      <w:i/>
                      <w:szCs w:val="18"/>
                      <w:lang w:val="cs-CZ"/>
                    </w:rPr>
                  </m:ctrlPr>
                </m:sSubPr>
                <m:e>
                  <m:r>
                    <w:rPr>
                      <w:rFonts w:ascii="Cambria Math" w:hAnsi="Cambria Math" w:cs="Arial"/>
                      <w:szCs w:val="18"/>
                      <w:lang w:val="cs-CZ"/>
                    </w:rPr>
                    <m:t>c</m:t>
                  </m:r>
                </m:e>
                <m:sub>
                  <m:r>
                    <w:rPr>
                      <w:rFonts w:ascii="Cambria Math" w:hAnsi="Cambria Math" w:cs="Arial"/>
                      <w:szCs w:val="18"/>
                      <w:lang w:val="cs-CZ"/>
                    </w:rPr>
                    <m:t>KfO</m:t>
                  </m:r>
                </m:sub>
              </m:sSub>
            </m:num>
            <m:den>
              <m:r>
                <w:rPr>
                  <w:rFonts w:ascii="Cambria Math" w:hAnsi="Cambria Math" w:cs="Arial"/>
                  <w:szCs w:val="18"/>
                  <w:lang w:val="cs-CZ"/>
                </w:rPr>
                <m:t>D'</m:t>
              </m:r>
            </m:den>
          </m:f>
          <m:r>
            <w:rPr>
              <w:rFonts w:ascii="Cambria Math" w:hAnsi="Cambria Math" w:cs="Arial"/>
              <w:szCs w:val="18"/>
              <w:lang w:val="cs-CZ"/>
            </w:rPr>
            <m:t xml:space="preserve"> ∙ </m:t>
          </m:r>
          <m:nary>
            <m:naryPr>
              <m:chr m:val="∑"/>
              <m:limLoc m:val="undOvr"/>
              <m:subHide m:val="1"/>
              <m:supHide m:val="1"/>
              <m:ctrlPr>
                <w:rPr>
                  <w:rFonts w:ascii="Cambria Math" w:hAnsi="Cambria Math" w:cs="Arial"/>
                  <w:i/>
                  <w:szCs w:val="18"/>
                  <w:lang w:val="cs-CZ"/>
                </w:rPr>
              </m:ctrlPr>
            </m:naryPr>
            <m:sub/>
            <m:sup/>
            <m:e>
              <m:d>
                <m:dPr>
                  <m:ctrlPr>
                    <w:rPr>
                      <w:rFonts w:ascii="Cambria Math" w:hAnsi="Cambria Math" w:cs="Arial"/>
                      <w:i/>
                      <w:szCs w:val="18"/>
                      <w:lang w:val="cs-CZ"/>
                    </w:rPr>
                  </m:ctrlPr>
                </m:dPr>
                <m:e>
                  <m:r>
                    <w:rPr>
                      <w:rFonts w:ascii="Cambria Math" w:hAnsi="Cambria Math" w:cs="Arial"/>
                      <w:szCs w:val="18"/>
                      <w:lang w:val="cs-CZ"/>
                    </w:rPr>
                    <m:t xml:space="preserve">b ∙l ∙ </m:t>
                  </m:r>
                  <m:d>
                    <m:dPr>
                      <m:ctrlPr>
                        <w:rPr>
                          <w:rFonts w:ascii="Cambria Math" w:hAnsi="Cambria Math" w:cs="Arial"/>
                          <w:i/>
                          <w:szCs w:val="18"/>
                          <w:lang w:val="cs-CZ"/>
                        </w:rPr>
                      </m:ctrlPr>
                    </m:dPr>
                    <m:e>
                      <m:r>
                        <w:rPr>
                          <w:rFonts w:ascii="Cambria Math" w:hAnsi="Cambria Math" w:cs="Arial"/>
                          <w:szCs w:val="18"/>
                          <w:lang w:val="cs-CZ"/>
                        </w:rPr>
                        <m:t xml:space="preserve">b-0,55 </m:t>
                      </m:r>
                      <m:rad>
                        <m:radPr>
                          <m:degHide m:val="1"/>
                          <m:ctrlPr>
                            <w:rPr>
                              <w:rFonts w:ascii="Cambria Math" w:hAnsi="Cambria Math" w:cs="Arial"/>
                              <w:i/>
                              <w:szCs w:val="18"/>
                              <w:lang w:val="cs-CZ"/>
                            </w:rPr>
                          </m:ctrlPr>
                        </m:radPr>
                        <m:deg/>
                        <m:e>
                          <m:r>
                            <w:rPr>
                              <w:rFonts w:ascii="Cambria Math" w:hAnsi="Cambria Math" w:cs="Arial"/>
                              <w:szCs w:val="18"/>
                              <w:lang w:val="cs-CZ"/>
                            </w:rPr>
                            <m:t>b</m:t>
                          </m:r>
                        </m:e>
                      </m:rad>
                    </m:e>
                  </m:d>
                </m:e>
              </m:d>
              <m:r>
                <w:rPr>
                  <w:rFonts w:ascii="Cambria Math" w:hAnsi="Cambria Math" w:cs="Arial"/>
                  <w:szCs w:val="18"/>
                  <w:lang w:val="cs-CZ"/>
                </w:rPr>
                <m:t xml:space="preserve"> </m:t>
              </m:r>
              <m:d>
                <m:dPr>
                  <m:begChr m:val="["/>
                  <m:endChr m:val="]"/>
                  <m:ctrlPr>
                    <w:rPr>
                      <w:rFonts w:ascii="Cambria Math" w:hAnsi="Cambria Math" w:cs="Arial"/>
                      <w:i/>
                      <w:szCs w:val="18"/>
                      <w:lang w:val="cs-CZ"/>
                    </w:rPr>
                  </m:ctrlPr>
                </m:dPr>
                <m:e>
                  <m:r>
                    <w:rPr>
                      <w:rFonts w:ascii="Cambria Math" w:hAnsi="Cambria Math" w:cs="Arial"/>
                      <w:szCs w:val="18"/>
                      <w:lang w:val="cs-CZ"/>
                    </w:rPr>
                    <m:t>m</m:t>
                  </m:r>
                </m:e>
              </m:d>
            </m:e>
          </m:nary>
        </m:oMath>
      </m:oMathPara>
    </w:p>
    <w:p w:rsidR="00E82B25" w:rsidRPr="003B6E11" w:rsidRDefault="00E82B25" w:rsidP="00E82B25">
      <w:pPr>
        <w:pStyle w:val="EStiret"/>
        <w:rPr>
          <w:rFonts w:cs="Arial"/>
          <w:szCs w:val="20"/>
          <w:lang w:val="cs-CZ"/>
        </w:rPr>
      </w:pPr>
      <w:r w:rsidRPr="003B6E11">
        <w:rPr>
          <w:lang w:val="cs-CZ"/>
        </w:rPr>
        <w:t>kde:</w:t>
      </w:r>
    </w:p>
    <w:p w:rsidR="00E82B25" w:rsidRPr="003B6E11" w:rsidRDefault="002D015D" w:rsidP="00E82B25">
      <w:pPr>
        <w:pStyle w:val="EStiret"/>
        <w:ind w:left="1701" w:hanging="709"/>
        <w:rPr>
          <w:rFonts w:eastAsia="Calibri" w:cs="Arial"/>
          <w:szCs w:val="20"/>
          <w:lang w:val="cs-CZ"/>
        </w:rPr>
      </w:pPr>
      <m:oMath>
        <m:sSub>
          <m:sSubPr>
            <m:ctrlPr>
              <w:rPr>
                <w:rFonts w:ascii="Cambria Math" w:eastAsia="Calibri" w:hAnsi="Cambria Math"/>
                <w:i/>
                <w:lang w:val="cs-CZ"/>
              </w:rPr>
            </m:ctrlPr>
          </m:sSubPr>
          <m:e>
            <m:r>
              <w:rPr>
                <w:rFonts w:ascii="Cambria Math" w:eastAsia="Calibri" w:hAnsi="Cambria Math"/>
                <w:lang w:val="cs-CZ"/>
              </w:rPr>
              <m:t>c</m:t>
            </m:r>
          </m:e>
          <m:sub>
            <m:r>
              <w:rPr>
                <w:rFonts w:ascii="Cambria Math" w:eastAsia="Calibri" w:hAnsi="Cambria Math"/>
                <w:lang w:val="cs-CZ"/>
              </w:rPr>
              <m:t>KfO</m:t>
            </m:r>
          </m:sub>
        </m:sSub>
      </m:oMath>
      <w:r w:rsidR="00E82B25" w:rsidRPr="003B6E11">
        <w:rPr>
          <w:lang w:val="cs-CZ"/>
        </w:rPr>
        <w:tab/>
        <w:t xml:space="preserve">parametr </w:t>
      </w:r>
      <m:oMath>
        <m:d>
          <m:dPr>
            <m:ctrlPr>
              <w:rPr>
                <w:rFonts w:ascii="Cambria Math" w:eastAsia="Calibri" w:hAnsi="Cambria Math"/>
                <w:i/>
                <w:szCs w:val="16"/>
                <w:lang w:val="cs-CZ"/>
              </w:rPr>
            </m:ctrlPr>
          </m:dPr>
          <m:e>
            <m:sSub>
              <m:sSubPr>
                <m:ctrlPr>
                  <w:rPr>
                    <w:rFonts w:ascii="Cambria Math" w:eastAsia="Calibri" w:hAnsi="Cambria Math"/>
                    <w:i/>
                    <w:szCs w:val="16"/>
                    <w:lang w:val="cs-CZ"/>
                  </w:rPr>
                </m:ctrlPr>
              </m:sSubPr>
              <m:e>
                <m:r>
                  <w:rPr>
                    <w:rFonts w:ascii="Cambria Math" w:eastAsia="Calibri" w:hAnsi="Cambria Math"/>
                    <w:szCs w:val="16"/>
                    <w:lang w:val="cs-CZ"/>
                  </w:rPr>
                  <m:t>c</m:t>
                </m:r>
              </m:e>
              <m:sub>
                <m:r>
                  <w:rPr>
                    <w:rFonts w:ascii="Cambria Math" w:eastAsia="Calibri" w:hAnsi="Cambria Math"/>
                    <w:szCs w:val="16"/>
                    <w:lang w:val="cs-CZ"/>
                  </w:rPr>
                  <m:t>KfO</m:t>
                </m:r>
              </m:sub>
            </m:sSub>
            <m:r>
              <w:rPr>
                <w:rFonts w:ascii="Cambria Math" w:eastAsia="Calibri" w:hAnsi="Cambria Math"/>
                <w:szCs w:val="16"/>
                <w:lang w:val="cs-CZ"/>
              </w:rPr>
              <m:t>=0,015</m:t>
            </m:r>
          </m:e>
        </m:d>
      </m:oMath>
      <w:r w:rsidR="00E82B25" w:rsidRPr="003B6E11">
        <w:rPr>
          <w:lang w:val="cs-CZ"/>
        </w:rPr>
        <w:t xml:space="preserve"> [t/m</w:t>
      </w:r>
      <w:r w:rsidR="00E82B25" w:rsidRPr="003B6E11">
        <w:rPr>
          <w:position w:val="6"/>
          <w:sz w:val="16"/>
          <w:vertAlign w:val="superscript"/>
          <w:lang w:val="cs-CZ"/>
        </w:rPr>
        <w:t>2</w:t>
      </w:r>
      <w:r w:rsidR="00E82B25" w:rsidRPr="003B6E11">
        <w:rPr>
          <w:lang w:val="cs-CZ"/>
        </w:rPr>
        <w:t>],</w:t>
      </w:r>
    </w:p>
    <w:p w:rsidR="00E82B25" w:rsidRPr="003B6E11" w:rsidRDefault="00E82B25" w:rsidP="00E82B25">
      <w:pPr>
        <w:pStyle w:val="EStiret"/>
        <w:ind w:left="1701" w:hanging="709"/>
        <w:rPr>
          <w:rFonts w:eastAsia="Calibri" w:cs="Arial"/>
          <w:szCs w:val="20"/>
          <w:lang w:val="cs-CZ"/>
        </w:rPr>
      </w:pPr>
      <m:oMath>
        <m:r>
          <w:rPr>
            <w:rFonts w:ascii="Cambria Math" w:eastAsia="Calibri" w:hAnsi="Cambria Math" w:cs="Arial"/>
            <w:szCs w:val="20"/>
            <w:lang w:val="cs-CZ"/>
          </w:rPr>
          <m:t>b</m:t>
        </m:r>
      </m:oMath>
      <w:r w:rsidRPr="003B6E11">
        <w:rPr>
          <w:lang w:val="cs-CZ"/>
        </w:rPr>
        <w:tab/>
        <w:t>šířka nákladového prostoru nebo jeho příslušného úseku [m],</w:t>
      </w:r>
      <w:r w:rsidRPr="003B6E11">
        <w:rPr>
          <w:rStyle w:val="FootnoteReference"/>
          <w:lang w:val="cs-CZ"/>
        </w:rPr>
        <w:footnoteReference w:customMarkFollows="1" w:id="23"/>
        <w:t>*</w:t>
      </w:r>
    </w:p>
    <w:p w:rsidR="00E82B25" w:rsidRPr="003B6E11" w:rsidRDefault="00E82B25" w:rsidP="00E82B25">
      <w:pPr>
        <w:pStyle w:val="EStiret"/>
        <w:ind w:left="1701" w:hanging="709"/>
        <w:rPr>
          <w:rFonts w:eastAsia="Calibri" w:cs="Arial"/>
          <w:szCs w:val="20"/>
          <w:vertAlign w:val="superscript"/>
          <w:lang w:val="cs-CZ"/>
        </w:rPr>
      </w:pPr>
      <m:oMath>
        <m:r>
          <w:rPr>
            <w:rFonts w:ascii="Cambria Math" w:eastAsia="Calibri" w:hAnsi="Cambria Math" w:cs="Arial"/>
            <w:szCs w:val="20"/>
            <w:lang w:val="cs-CZ"/>
          </w:rPr>
          <m:t>l</m:t>
        </m:r>
      </m:oMath>
      <w:r w:rsidRPr="003B6E11">
        <w:rPr>
          <w:lang w:val="cs-CZ"/>
        </w:rPr>
        <w:tab/>
        <w:t>délka nákladového prostoru nebo jeho příslušného úseku [m],</w:t>
      </w:r>
      <w:r w:rsidRPr="003B6E11">
        <w:rPr>
          <w:vertAlign w:val="superscript"/>
          <w:lang w:val="cs-CZ"/>
        </w:rPr>
        <w:t>*</w:t>
      </w:r>
    </w:p>
    <w:p w:rsidR="00E82B25" w:rsidRPr="003B6E11" w:rsidRDefault="00E82B25" w:rsidP="00E82B25">
      <w:pPr>
        <w:pStyle w:val="EStiret"/>
        <w:ind w:left="1701" w:hanging="709"/>
        <w:rPr>
          <w:rFonts w:eastAsia="Calibri" w:cs="Arial"/>
          <w:szCs w:val="20"/>
          <w:lang w:val="cs-CZ"/>
        </w:rPr>
      </w:pPr>
      <m:oMath>
        <m:r>
          <w:rPr>
            <w:rFonts w:ascii="Cambria Math" w:eastAsia="Calibri" w:hAnsi="Cambria Math" w:cs="Arial"/>
            <w:szCs w:val="20"/>
            <w:lang w:val="cs-CZ"/>
          </w:rPr>
          <m:t>D'</m:t>
        </m:r>
      </m:oMath>
      <w:r w:rsidRPr="003B6E11">
        <w:rPr>
          <w:lang w:val="cs-CZ"/>
        </w:rPr>
        <w:tab/>
        <w:t>výtlak naložené lodi [t];</w:t>
      </w:r>
    </w:p>
    <w:p w:rsidR="00E82B25" w:rsidRPr="003B6E11" w:rsidRDefault="00E82B25" w:rsidP="00E82B25">
      <w:pPr>
        <w:pStyle w:val="ESch"/>
        <w:rPr>
          <w:noProof/>
          <w:lang w:val="cs-CZ"/>
        </w:rPr>
      </w:pPr>
    </w:p>
    <w:p w:rsidR="00E82B25" w:rsidRPr="003B6E11" w:rsidRDefault="00E82B25" w:rsidP="00E82B25">
      <w:pPr>
        <w:pStyle w:val="ESlet"/>
        <w:rPr>
          <w:rFonts w:cs="Arial"/>
          <w:szCs w:val="18"/>
          <w:lang w:val="cs-CZ"/>
        </w:rPr>
      </w:pPr>
      <w:r w:rsidRPr="003B6E11">
        <w:rPr>
          <w:lang w:val="cs-CZ"/>
        </w:rPr>
        <w:t>f)</w:t>
      </w:r>
      <w:r w:rsidRPr="003B6E11">
        <w:rPr>
          <w:lang w:val="cs-CZ"/>
        </w:rPr>
        <w:tab/>
        <w:t>pro každou podmínku zatížení se bere v úvahu polovina zásob paliva a pitné vody.</w:t>
      </w:r>
    </w:p>
    <w:p w:rsidR="00E82B25" w:rsidRPr="003B6E11" w:rsidRDefault="00E82B25" w:rsidP="00E82B25">
      <w:pPr>
        <w:pStyle w:val="ESch"/>
        <w:rPr>
          <w:noProof/>
          <w:lang w:val="cs-CZ"/>
        </w:rPr>
      </w:pPr>
    </w:p>
    <w:p w:rsidR="00E82B25" w:rsidRPr="003B6E11" w:rsidRDefault="00E82B25" w:rsidP="00E82B25">
      <w:pPr>
        <w:pStyle w:val="ESch"/>
        <w:rPr>
          <w:noProof/>
          <w:lang w:val="cs-CZ"/>
        </w:rPr>
      </w:pPr>
      <w:r w:rsidRPr="003B6E11">
        <w:rPr>
          <w:lang w:val="cs-CZ"/>
        </w:rPr>
        <w:t>2.</w:t>
      </w:r>
      <w:r w:rsidRPr="003B6E11">
        <w:rPr>
          <w:lang w:val="cs-CZ"/>
        </w:rPr>
        <w:tab/>
        <w:t xml:space="preserve">Stabilita plavidla převážejícího nezajištěné kontejnery se považuje za dostatečnou, pokud skutečná hodnota </w:t>
      </w:r>
      <m:oMath>
        <m:acc>
          <m:accPr>
            <m:chr m:val="̅"/>
            <m:ctrlPr>
              <w:rPr>
                <w:rFonts w:ascii="Cambria Math" w:hAnsi="Cambria Math"/>
                <w:i/>
                <w:noProof/>
                <w:lang w:val="cs-CZ"/>
              </w:rPr>
            </m:ctrlPr>
          </m:accPr>
          <m:e>
            <m:r>
              <w:rPr>
                <w:rFonts w:ascii="Cambria Math" w:hAnsi="Cambria Math"/>
                <w:noProof/>
                <w:lang w:val="cs-CZ"/>
              </w:rPr>
              <m:t>KG</m:t>
            </m:r>
          </m:e>
        </m:acc>
      </m:oMath>
      <w:r w:rsidRPr="003B6E11">
        <w:rPr>
          <w:lang w:val="cs-CZ"/>
        </w:rPr>
        <w:t xml:space="preserve"> nepřevyšuje hodnotu </w:t>
      </w:r>
      <m:oMath>
        <m:sSub>
          <m:sSubPr>
            <m:ctrlPr>
              <w:rPr>
                <w:rFonts w:ascii="Cambria Math" w:hAnsi="Cambria Math"/>
                <w:i/>
                <w:noProof/>
                <w:lang w:val="cs-CZ"/>
              </w:rPr>
            </m:ctrlPr>
          </m:sSubPr>
          <m:e>
            <m:acc>
              <m:accPr>
                <m:chr m:val="̅"/>
                <m:ctrlPr>
                  <w:rPr>
                    <w:rFonts w:ascii="Cambria Math" w:hAnsi="Cambria Math"/>
                    <w:i/>
                    <w:noProof/>
                    <w:lang w:val="cs-CZ"/>
                  </w:rPr>
                </m:ctrlPr>
              </m:accPr>
              <m:e>
                <m:r>
                  <w:rPr>
                    <w:rFonts w:ascii="Cambria Math" w:hAnsi="Cambria Math"/>
                    <w:noProof/>
                    <w:lang w:val="cs-CZ"/>
                  </w:rPr>
                  <m:t>KG</m:t>
                </m:r>
              </m:e>
            </m:acc>
          </m:e>
          <m:sub>
            <m:r>
              <w:rPr>
                <w:rFonts w:ascii="Cambria Math" w:hAnsi="Cambria Math"/>
                <w:noProof/>
                <w:lang w:val="cs-CZ"/>
              </w:rPr>
              <m:t>zul</m:t>
            </m:r>
          </m:sub>
        </m:sSub>
      </m:oMath>
      <w:r w:rsidRPr="003B6E11">
        <w:rPr>
          <w:lang w:val="cs-CZ"/>
        </w:rPr>
        <w:t xml:space="preserve"> vyplývající z následujících vzorců. Hodnota </w:t>
      </w:r>
      <m:oMath>
        <m:sSub>
          <m:sSubPr>
            <m:ctrlPr>
              <w:rPr>
                <w:rFonts w:ascii="Cambria Math" w:hAnsi="Cambria Math"/>
                <w:i/>
                <w:noProof/>
                <w:lang w:val="cs-CZ"/>
              </w:rPr>
            </m:ctrlPr>
          </m:sSubPr>
          <m:e>
            <m:acc>
              <m:accPr>
                <m:chr m:val="̅"/>
                <m:ctrlPr>
                  <w:rPr>
                    <w:rFonts w:ascii="Cambria Math" w:hAnsi="Cambria Math"/>
                    <w:i/>
                    <w:noProof/>
                    <w:lang w:val="cs-CZ"/>
                  </w:rPr>
                </m:ctrlPr>
              </m:accPr>
              <m:e>
                <m:r>
                  <w:rPr>
                    <w:rFonts w:ascii="Cambria Math" w:hAnsi="Cambria Math"/>
                    <w:noProof/>
                    <w:lang w:val="cs-CZ"/>
                  </w:rPr>
                  <m:t>KG</m:t>
                </m:r>
              </m:e>
            </m:acc>
          </m:e>
          <m:sub>
            <m:r>
              <w:rPr>
                <w:rFonts w:ascii="Cambria Math" w:hAnsi="Cambria Math"/>
                <w:noProof/>
                <w:lang w:val="cs-CZ"/>
              </w:rPr>
              <m:t>zul</m:t>
            </m:r>
          </m:sub>
        </m:sSub>
      </m:oMath>
      <w:r w:rsidRPr="003B6E11">
        <w:rPr>
          <w:lang w:val="cs-CZ"/>
        </w:rPr>
        <w:t xml:space="preserve"> se vypočte pro různé výtlaky zahrnující celý rozsah ponorů:</w:t>
      </w:r>
    </w:p>
    <w:p w:rsidR="00E82B25" w:rsidRPr="003B6E11" w:rsidRDefault="00E82B25" w:rsidP="00E82B25">
      <w:pPr>
        <w:pStyle w:val="ESch"/>
        <w:rPr>
          <w:noProof/>
          <w:lang w:val="cs-CZ"/>
        </w:rPr>
      </w:pPr>
    </w:p>
    <w:p w:rsidR="00E82B25" w:rsidRPr="003B6E11" w:rsidRDefault="00E82B25" w:rsidP="00E82B25">
      <w:pPr>
        <w:pStyle w:val="ESch"/>
        <w:rPr>
          <w:rFonts w:cs="Arial"/>
          <w:szCs w:val="18"/>
          <w:lang w:val="cs-CZ"/>
        </w:rPr>
      </w:pPr>
      <w:r w:rsidRPr="003B6E11">
        <w:rPr>
          <w:lang w:val="cs-CZ"/>
        </w:rPr>
        <w:br w:type="page"/>
      </w:r>
    </w:p>
    <w:p w:rsidR="00E82B25" w:rsidRPr="003B6E11" w:rsidRDefault="00E82B25" w:rsidP="00E82B25">
      <w:pPr>
        <w:pStyle w:val="ESlet"/>
        <w:rPr>
          <w:rFonts w:eastAsia="Calibri"/>
          <w:noProof/>
          <w:lang w:val="cs-CZ"/>
        </w:rPr>
      </w:pPr>
      <w:r w:rsidRPr="003B6E11">
        <w:rPr>
          <w:lang w:val="cs-CZ"/>
        </w:rPr>
        <w:t>a)</w:t>
      </w:r>
    </w:p>
    <w:p w:rsidR="00E82B25" w:rsidRPr="003B6E11" w:rsidRDefault="002D015D" w:rsidP="00E82B25">
      <w:pPr>
        <w:pStyle w:val="ESlet"/>
        <w:ind w:left="0"/>
        <w:rPr>
          <w:rFonts w:eastAsia="Calibri"/>
          <w:lang w:val="cs-CZ"/>
        </w:rPr>
      </w:pPr>
      <m:oMathPara>
        <m:oMath>
          <m:sSub>
            <m:sSubPr>
              <m:ctrlPr>
                <w:rPr>
                  <w:rFonts w:ascii="Cambria Math" w:eastAsia="Calibri" w:hAnsi="Cambria Math"/>
                  <w:i/>
                  <w:lang w:val="cs-CZ"/>
                </w:rPr>
              </m:ctrlPr>
            </m:sSubPr>
            <m:e>
              <m:acc>
                <m:accPr>
                  <m:chr m:val="̅"/>
                  <m:ctrlPr>
                    <w:rPr>
                      <w:rFonts w:ascii="Cambria Math" w:eastAsia="Calibri" w:hAnsi="Cambria Math"/>
                      <w:i/>
                      <w:lang w:val="cs-CZ"/>
                    </w:rPr>
                  </m:ctrlPr>
                </m:accPr>
                <m:e>
                  <m:r>
                    <w:rPr>
                      <w:rFonts w:ascii="Cambria Math" w:eastAsia="Calibri" w:hAnsi="Cambria Math"/>
                      <w:lang w:val="cs-CZ"/>
                    </w:rPr>
                    <m:t>KG</m:t>
                  </m:r>
                </m:e>
              </m:acc>
            </m:e>
            <m:sub>
              <m:r>
                <w:rPr>
                  <w:rFonts w:ascii="Cambria Math" w:eastAsia="Calibri" w:hAnsi="Cambria Math"/>
                  <w:lang w:val="cs-CZ"/>
                </w:rPr>
                <m:t>zul</m:t>
              </m:r>
            </m:sub>
          </m:sSub>
          <m:r>
            <w:rPr>
              <w:rFonts w:ascii="Cambria Math" w:eastAsia="Calibri" w:hAnsi="Cambria Math"/>
              <w:lang w:val="cs-CZ"/>
            </w:rPr>
            <m:t xml:space="preserve">= </m:t>
          </m:r>
          <m:f>
            <m:fPr>
              <m:ctrlPr>
                <w:rPr>
                  <w:rFonts w:ascii="Cambria Math" w:eastAsia="Calibri" w:hAnsi="Cambria Math"/>
                  <w:i/>
                  <w:lang w:val="cs-CZ"/>
                </w:rPr>
              </m:ctrlPr>
            </m:fPr>
            <m:num>
              <m:acc>
                <m:accPr>
                  <m:chr m:val="̅"/>
                  <m:ctrlPr>
                    <w:rPr>
                      <w:rFonts w:ascii="Cambria Math" w:eastAsia="Calibri" w:hAnsi="Cambria Math"/>
                      <w:i/>
                      <w:lang w:val="cs-CZ"/>
                    </w:rPr>
                  </m:ctrlPr>
                </m:accPr>
                <m:e>
                  <m:r>
                    <w:rPr>
                      <w:rFonts w:ascii="Cambria Math" w:eastAsia="Calibri" w:hAnsi="Cambria Math"/>
                      <w:lang w:val="cs-CZ"/>
                    </w:rPr>
                    <m:t>KM</m:t>
                  </m:r>
                </m:e>
              </m:acc>
              <m:r>
                <w:rPr>
                  <w:rFonts w:ascii="Cambria Math" w:eastAsia="Calibri" w:hAnsi="Cambria Math"/>
                  <w:lang w:val="cs-CZ"/>
                </w:rPr>
                <m:t xml:space="preserve">+ </m:t>
              </m:r>
              <m:f>
                <m:fPr>
                  <m:ctrlPr>
                    <w:rPr>
                      <w:rFonts w:ascii="Cambria Math" w:eastAsia="Calibri" w:hAnsi="Cambria Math"/>
                      <w:i/>
                      <w:lang w:val="cs-CZ"/>
                    </w:rPr>
                  </m:ctrlPr>
                </m:fPr>
                <m:num>
                  <m:sSub>
                    <m:sSubPr>
                      <m:ctrlPr>
                        <w:rPr>
                          <w:rFonts w:ascii="Cambria Math" w:eastAsia="Calibri" w:hAnsi="Cambria Math"/>
                          <w:i/>
                          <w:lang w:val="cs-CZ"/>
                        </w:rPr>
                      </m:ctrlPr>
                    </m:sSubPr>
                    <m:e>
                      <m:r>
                        <w:rPr>
                          <w:rFonts w:ascii="Cambria Math" w:eastAsia="Calibri" w:hAnsi="Cambria Math"/>
                          <w:lang w:val="cs-CZ"/>
                        </w:rPr>
                        <m:t>B</m:t>
                      </m:r>
                    </m:e>
                    <m:sub>
                      <m:r>
                        <w:rPr>
                          <w:rFonts w:ascii="Cambria Math" w:eastAsia="Calibri" w:hAnsi="Cambria Math"/>
                          <w:lang w:val="cs-CZ"/>
                        </w:rPr>
                        <m:t>WL</m:t>
                      </m:r>
                    </m:sub>
                  </m:sSub>
                </m:num>
                <m:den>
                  <m:r>
                    <w:rPr>
                      <w:rFonts w:ascii="Cambria Math" w:eastAsia="Calibri" w:hAnsi="Cambria Math"/>
                      <w:lang w:val="cs-CZ"/>
                    </w:rPr>
                    <m:t>2F</m:t>
                  </m:r>
                </m:den>
              </m:f>
              <m:r>
                <w:rPr>
                  <w:rFonts w:ascii="Cambria Math" w:eastAsia="Calibri" w:hAnsi="Cambria Math"/>
                  <w:lang w:val="cs-CZ"/>
                </w:rPr>
                <m:t xml:space="preserve"> ∙ </m:t>
              </m:r>
              <m:d>
                <m:dPr>
                  <m:ctrlPr>
                    <w:rPr>
                      <w:rFonts w:ascii="Cambria Math" w:eastAsia="Calibri" w:hAnsi="Cambria Math"/>
                      <w:i/>
                      <w:lang w:val="cs-CZ"/>
                    </w:rPr>
                  </m:ctrlPr>
                </m:dPr>
                <m:e>
                  <m:r>
                    <w:rPr>
                      <w:rFonts w:ascii="Cambria Math" w:eastAsia="Calibri" w:hAnsi="Cambria Math"/>
                      <w:lang w:val="cs-CZ"/>
                    </w:rPr>
                    <m:t xml:space="preserve">Z ∙ </m:t>
                  </m:r>
                  <m:f>
                    <m:fPr>
                      <m:ctrlPr>
                        <w:rPr>
                          <w:rFonts w:ascii="Cambria Math" w:eastAsia="Calibri" w:hAnsi="Cambria Math"/>
                          <w:i/>
                          <w:lang w:val="cs-CZ"/>
                        </w:rPr>
                      </m:ctrlPr>
                    </m:fPr>
                    <m:num>
                      <m:sSub>
                        <m:sSubPr>
                          <m:ctrlPr>
                            <w:rPr>
                              <w:rFonts w:ascii="Cambria Math" w:eastAsia="Calibri" w:hAnsi="Cambria Math"/>
                              <w:i/>
                              <w:lang w:val="cs-CZ"/>
                            </w:rPr>
                          </m:ctrlPr>
                        </m:sSubPr>
                        <m:e>
                          <m:r>
                            <w:rPr>
                              <w:rFonts w:ascii="Cambria Math" w:eastAsia="Calibri" w:hAnsi="Cambria Math"/>
                              <w:lang w:val="cs-CZ"/>
                            </w:rPr>
                            <m:t>T</m:t>
                          </m:r>
                        </m:e>
                        <m:sub>
                          <m:r>
                            <w:rPr>
                              <w:rFonts w:ascii="Cambria Math" w:eastAsia="Calibri" w:hAnsi="Cambria Math"/>
                              <w:lang w:val="cs-CZ"/>
                            </w:rPr>
                            <m:t>m</m:t>
                          </m:r>
                        </m:sub>
                      </m:sSub>
                    </m:num>
                    <m:den>
                      <m:r>
                        <w:rPr>
                          <w:rFonts w:ascii="Cambria Math" w:eastAsia="Calibri" w:hAnsi="Cambria Math"/>
                          <w:lang w:val="cs-CZ"/>
                        </w:rPr>
                        <m:t>2</m:t>
                      </m:r>
                    </m:den>
                  </m:f>
                  <m:r>
                    <w:rPr>
                      <w:rFonts w:ascii="Cambria Math" w:eastAsia="Calibri" w:hAnsi="Cambria Math"/>
                      <w:lang w:val="cs-CZ"/>
                    </w:rPr>
                    <m:t xml:space="preserve">- </m:t>
                  </m:r>
                  <m:sSub>
                    <m:sSubPr>
                      <m:ctrlPr>
                        <w:rPr>
                          <w:rFonts w:ascii="Cambria Math" w:eastAsia="Calibri" w:hAnsi="Cambria Math"/>
                          <w:i/>
                          <w:lang w:val="cs-CZ"/>
                        </w:rPr>
                      </m:ctrlPr>
                    </m:sSubPr>
                    <m:e>
                      <m:r>
                        <w:rPr>
                          <w:rFonts w:ascii="Cambria Math" w:eastAsia="Calibri" w:hAnsi="Cambria Math"/>
                          <w:lang w:val="cs-CZ"/>
                        </w:rPr>
                        <m:t>h</m:t>
                      </m:r>
                    </m:e>
                    <m:sub>
                      <m:r>
                        <w:rPr>
                          <w:rFonts w:ascii="Cambria Math" w:eastAsia="Calibri" w:hAnsi="Cambria Math"/>
                          <w:lang w:val="cs-CZ"/>
                        </w:rPr>
                        <m:t>KW</m:t>
                      </m:r>
                    </m:sub>
                  </m:sSub>
                  <m:r>
                    <w:rPr>
                      <w:rFonts w:ascii="Cambria Math" w:eastAsia="Calibri" w:hAnsi="Cambria Math"/>
                      <w:lang w:val="cs-CZ"/>
                    </w:rPr>
                    <m:t xml:space="preserve">- </m:t>
                  </m:r>
                  <m:sSub>
                    <m:sSubPr>
                      <m:ctrlPr>
                        <w:rPr>
                          <w:rFonts w:ascii="Cambria Math" w:eastAsia="Calibri" w:hAnsi="Cambria Math"/>
                          <w:i/>
                          <w:lang w:val="cs-CZ"/>
                        </w:rPr>
                      </m:ctrlPr>
                    </m:sSubPr>
                    <m:e>
                      <m:r>
                        <w:rPr>
                          <w:rFonts w:ascii="Cambria Math" w:eastAsia="Calibri" w:hAnsi="Cambria Math"/>
                          <w:lang w:val="cs-CZ"/>
                        </w:rPr>
                        <m:t>h</m:t>
                      </m:r>
                    </m:e>
                    <m:sub>
                      <m:r>
                        <w:rPr>
                          <w:rFonts w:ascii="Cambria Math" w:eastAsia="Calibri" w:hAnsi="Cambria Math"/>
                          <w:lang w:val="cs-CZ"/>
                        </w:rPr>
                        <m:t>kFO</m:t>
                      </m:r>
                    </m:sub>
                  </m:sSub>
                </m:e>
              </m:d>
            </m:num>
            <m:den>
              <m:f>
                <m:fPr>
                  <m:ctrlPr>
                    <w:rPr>
                      <w:rFonts w:ascii="Cambria Math" w:eastAsia="Calibri" w:hAnsi="Cambria Math"/>
                      <w:i/>
                      <w:lang w:val="cs-CZ"/>
                    </w:rPr>
                  </m:ctrlPr>
                </m:fPr>
                <m:num>
                  <m:sSub>
                    <m:sSubPr>
                      <m:ctrlPr>
                        <w:rPr>
                          <w:rFonts w:ascii="Cambria Math" w:eastAsia="Calibri" w:hAnsi="Cambria Math"/>
                          <w:i/>
                          <w:lang w:val="cs-CZ"/>
                        </w:rPr>
                      </m:ctrlPr>
                    </m:sSubPr>
                    <m:e>
                      <m:r>
                        <w:rPr>
                          <w:rFonts w:ascii="Cambria Math" w:eastAsia="Calibri" w:hAnsi="Cambria Math"/>
                          <w:lang w:val="cs-CZ"/>
                        </w:rPr>
                        <m:t>B</m:t>
                      </m:r>
                    </m:e>
                    <m:sub>
                      <m:r>
                        <w:rPr>
                          <w:rFonts w:ascii="Cambria Math" w:eastAsia="Calibri" w:hAnsi="Cambria Math"/>
                          <w:lang w:val="cs-CZ"/>
                        </w:rPr>
                        <m:t>WL</m:t>
                      </m:r>
                    </m:sub>
                  </m:sSub>
                </m:num>
                <m:den>
                  <m:r>
                    <w:rPr>
                      <w:rFonts w:ascii="Cambria Math" w:eastAsia="Calibri" w:hAnsi="Cambria Math"/>
                      <w:lang w:val="cs-CZ"/>
                    </w:rPr>
                    <m:t>2F</m:t>
                  </m:r>
                </m:den>
              </m:f>
              <m:r>
                <w:rPr>
                  <w:rFonts w:ascii="Cambria Math" w:eastAsia="Calibri" w:hAnsi="Cambria Math"/>
                  <w:lang w:val="cs-CZ"/>
                </w:rPr>
                <m:t xml:space="preserve"> ∙Z+1</m:t>
              </m:r>
            </m:den>
          </m:f>
          <m:r>
            <w:rPr>
              <w:rFonts w:ascii="Cambria Math" w:eastAsia="Calibri" w:hAnsi="Cambria Math"/>
              <w:lang w:val="cs-CZ"/>
            </w:rPr>
            <m:t xml:space="preserve"> </m:t>
          </m:r>
          <m:d>
            <m:dPr>
              <m:begChr m:val="["/>
              <m:endChr m:val="]"/>
              <m:ctrlPr>
                <w:rPr>
                  <w:rFonts w:ascii="Cambria Math" w:eastAsia="Calibri" w:hAnsi="Cambria Math"/>
                  <w:i/>
                  <w:lang w:val="cs-CZ"/>
                </w:rPr>
              </m:ctrlPr>
            </m:dPr>
            <m:e>
              <m:r>
                <w:rPr>
                  <w:rFonts w:ascii="Cambria Math" w:eastAsia="Calibri" w:hAnsi="Cambria Math"/>
                  <w:lang w:val="cs-CZ"/>
                </w:rPr>
                <m:t>m</m:t>
              </m:r>
            </m:e>
          </m:d>
        </m:oMath>
      </m:oMathPara>
    </w:p>
    <w:p w:rsidR="00E82B25" w:rsidRPr="003B6E11" w:rsidRDefault="00E82B25" w:rsidP="00E82B25">
      <w:pPr>
        <w:pStyle w:val="ESletpar"/>
        <w:rPr>
          <w:rFonts w:cs="Arial"/>
          <w:szCs w:val="18"/>
          <w:lang w:val="cs-CZ"/>
        </w:rPr>
      </w:pPr>
      <w:r w:rsidRPr="003B6E11">
        <w:rPr>
          <w:lang w:val="cs-CZ"/>
        </w:rPr>
        <w:t xml:space="preserve">Hodnoty menší než 11,5 (11,5 = 1/tan5°) se nepřijímají pro </w:t>
      </w:r>
      <m:oMath>
        <m:f>
          <m:fPr>
            <m:ctrlPr>
              <w:rPr>
                <w:rFonts w:ascii="Cambria Math" w:hAnsi="Cambria Math"/>
                <w:i/>
                <w:noProof/>
                <w:lang w:val="cs-CZ"/>
              </w:rPr>
            </m:ctrlPr>
          </m:fPr>
          <m:num>
            <m:sSub>
              <m:sSubPr>
                <m:ctrlPr>
                  <w:rPr>
                    <w:rFonts w:ascii="Cambria Math" w:hAnsi="Cambria Math"/>
                    <w:i/>
                    <w:noProof/>
                    <w:lang w:val="cs-CZ"/>
                  </w:rPr>
                </m:ctrlPr>
              </m:sSubPr>
              <m:e>
                <m:r>
                  <w:rPr>
                    <w:rFonts w:ascii="Cambria Math" w:hAnsi="Cambria Math"/>
                    <w:noProof/>
                    <w:lang w:val="cs-CZ"/>
                  </w:rPr>
                  <m:t>B</m:t>
                </m:r>
              </m:e>
              <m:sub>
                <m:r>
                  <w:rPr>
                    <w:rFonts w:ascii="Cambria Math" w:hAnsi="Cambria Math"/>
                    <w:noProof/>
                    <w:lang w:val="cs-CZ"/>
                  </w:rPr>
                  <m:t>WL</m:t>
                </m:r>
              </m:sub>
            </m:sSub>
          </m:num>
          <m:den>
            <m:r>
              <w:rPr>
                <w:rFonts w:ascii="Cambria Math" w:hAnsi="Cambria Math"/>
                <w:noProof/>
                <w:lang w:val="cs-CZ"/>
              </w:rPr>
              <m:t>2F</m:t>
            </m:r>
          </m:den>
        </m:f>
      </m:oMath>
      <w:r w:rsidRPr="003B6E11">
        <w:rPr>
          <w:lang w:val="cs-CZ"/>
        </w:rPr>
        <w:t xml:space="preserve"> </w:t>
      </w:r>
    </w:p>
    <w:p w:rsidR="00E82B25" w:rsidRPr="003B6E11" w:rsidRDefault="00E82B25" w:rsidP="00E82B25">
      <w:pPr>
        <w:pStyle w:val="ESlet"/>
        <w:rPr>
          <w:rFonts w:cs="Arial"/>
          <w:szCs w:val="18"/>
          <w:lang w:val="cs-CZ"/>
        </w:rPr>
      </w:pPr>
      <w:r w:rsidRPr="003B6E11">
        <w:rPr>
          <w:lang w:val="cs-CZ"/>
        </w:rPr>
        <w:t>b)</w:t>
      </w:r>
      <w:r w:rsidRPr="003B6E11">
        <w:rPr>
          <w:lang w:val="cs-CZ"/>
        </w:rPr>
        <w:tab/>
      </w:r>
      <m:oMath>
        <m:sSub>
          <m:sSubPr>
            <m:ctrlPr>
              <w:rPr>
                <w:rFonts w:ascii="Cambria Math" w:hAnsi="Cambria Math"/>
                <w:i/>
                <w:noProof/>
                <w:lang w:val="cs-CZ"/>
              </w:rPr>
            </m:ctrlPr>
          </m:sSubPr>
          <m:e>
            <m:acc>
              <m:accPr>
                <m:chr m:val="̅"/>
                <m:ctrlPr>
                  <w:rPr>
                    <w:rFonts w:ascii="Cambria Math" w:hAnsi="Cambria Math"/>
                    <w:i/>
                    <w:noProof/>
                    <w:lang w:val="cs-CZ"/>
                  </w:rPr>
                </m:ctrlPr>
              </m:accPr>
              <m:e>
                <m:r>
                  <w:rPr>
                    <w:rFonts w:ascii="Cambria Math" w:hAnsi="Cambria Math"/>
                    <w:noProof/>
                    <w:lang w:val="cs-CZ"/>
                  </w:rPr>
                  <m:t>KG</m:t>
                </m:r>
              </m:e>
            </m:acc>
          </m:e>
          <m:sub>
            <m:r>
              <w:rPr>
                <w:rFonts w:ascii="Cambria Math" w:hAnsi="Cambria Math"/>
                <w:noProof/>
                <w:lang w:val="cs-CZ"/>
              </w:rPr>
              <m:t>zul</m:t>
            </m:r>
          </m:sub>
        </m:sSub>
        <m:r>
          <w:rPr>
            <w:rFonts w:ascii="Cambria Math" w:hAnsi="Cambria Math"/>
            <w:noProof/>
            <w:lang w:val="cs-CZ"/>
          </w:rPr>
          <m:t xml:space="preserve">= </m:t>
        </m:r>
        <m:acc>
          <m:accPr>
            <m:chr m:val="̅"/>
            <m:ctrlPr>
              <w:rPr>
                <w:rFonts w:ascii="Cambria Math" w:hAnsi="Cambria Math"/>
                <w:i/>
                <w:noProof/>
                <w:lang w:val="cs-CZ"/>
              </w:rPr>
            </m:ctrlPr>
          </m:accPr>
          <m:e>
            <m:r>
              <w:rPr>
                <w:rFonts w:ascii="Cambria Math" w:hAnsi="Cambria Math"/>
                <w:noProof/>
                <w:lang w:val="cs-CZ"/>
              </w:rPr>
              <m:t>KM</m:t>
            </m:r>
          </m:e>
        </m:acc>
        <m:r>
          <w:rPr>
            <w:rFonts w:ascii="Cambria Math" w:hAnsi="Cambria Math"/>
            <w:noProof/>
            <w:lang w:val="cs-CZ"/>
          </w:rPr>
          <m:t xml:space="preserve">-1,00 </m:t>
        </m:r>
        <m:d>
          <m:dPr>
            <m:begChr m:val="["/>
            <m:endChr m:val="]"/>
            <m:ctrlPr>
              <w:rPr>
                <w:rFonts w:ascii="Cambria Math" w:hAnsi="Cambria Math"/>
                <w:i/>
                <w:noProof/>
                <w:lang w:val="cs-CZ"/>
              </w:rPr>
            </m:ctrlPr>
          </m:dPr>
          <m:e>
            <m:r>
              <w:rPr>
                <w:rFonts w:ascii="Cambria Math" w:hAnsi="Cambria Math"/>
                <w:noProof/>
                <w:lang w:val="cs-CZ"/>
              </w:rPr>
              <m:t>m</m:t>
            </m:r>
          </m:e>
        </m:d>
      </m:oMath>
    </w:p>
    <w:p w:rsidR="00E82B25" w:rsidRPr="003B6E11" w:rsidRDefault="00E82B25" w:rsidP="00E82B25">
      <w:pPr>
        <w:pStyle w:val="ESletpar"/>
        <w:rPr>
          <w:rFonts w:cs="Arial"/>
          <w:szCs w:val="18"/>
          <w:lang w:val="cs-CZ"/>
        </w:rPr>
      </w:pPr>
      <w:r w:rsidRPr="003B6E11">
        <w:rPr>
          <w:lang w:val="cs-CZ"/>
        </w:rPr>
        <w:t xml:space="preserve">Rozhodující je nejnižší z hodnot </w:t>
      </w:r>
      <m:oMath>
        <m:sSub>
          <m:sSubPr>
            <m:ctrlPr>
              <w:rPr>
                <w:rFonts w:ascii="Cambria Math" w:hAnsi="Cambria Math"/>
                <w:i/>
                <w:noProof/>
                <w:lang w:val="cs-CZ"/>
              </w:rPr>
            </m:ctrlPr>
          </m:sSubPr>
          <m:e>
            <m:acc>
              <m:accPr>
                <m:chr m:val="̅"/>
                <m:ctrlPr>
                  <w:rPr>
                    <w:rFonts w:ascii="Cambria Math" w:hAnsi="Cambria Math"/>
                    <w:i/>
                    <w:noProof/>
                    <w:lang w:val="cs-CZ"/>
                  </w:rPr>
                </m:ctrlPr>
              </m:accPr>
              <m:e>
                <m:r>
                  <w:rPr>
                    <w:rFonts w:ascii="Cambria Math" w:hAnsi="Cambria Math"/>
                    <w:noProof/>
                    <w:lang w:val="cs-CZ"/>
                  </w:rPr>
                  <m:t>KG</m:t>
                </m:r>
              </m:e>
            </m:acc>
          </m:e>
          <m:sub>
            <m:r>
              <w:rPr>
                <w:rFonts w:ascii="Cambria Math" w:hAnsi="Cambria Math"/>
                <w:noProof/>
                <w:lang w:val="cs-CZ"/>
              </w:rPr>
              <m:t>zul</m:t>
            </m:r>
          </m:sub>
        </m:sSub>
      </m:oMath>
      <w:r w:rsidRPr="003B6E11">
        <w:rPr>
          <w:lang w:val="cs-CZ"/>
        </w:rPr>
        <w:t xml:space="preserve"> podle vzorce a) nebo b).</w:t>
      </w:r>
    </w:p>
    <w:p w:rsidR="00E82B25" w:rsidRPr="003B6E11" w:rsidRDefault="00E82B25" w:rsidP="00E82B25">
      <w:pPr>
        <w:pStyle w:val="ESletpar"/>
        <w:rPr>
          <w:rFonts w:cs="Arial"/>
          <w:szCs w:val="18"/>
          <w:lang w:val="cs-CZ"/>
        </w:rPr>
      </w:pPr>
      <w:r w:rsidRPr="003B6E11">
        <w:rPr>
          <w:lang w:val="cs-CZ"/>
        </w:rPr>
        <w:t>V těchto vzorcích:</w:t>
      </w:r>
    </w:p>
    <w:p w:rsidR="00E82B25" w:rsidRPr="003B6E11" w:rsidRDefault="002D015D" w:rsidP="00E82B25">
      <w:pPr>
        <w:pStyle w:val="EStiret"/>
        <w:ind w:left="1701" w:hanging="709"/>
        <w:rPr>
          <w:rFonts w:eastAsia="Calibri"/>
          <w:lang w:val="cs-CZ"/>
        </w:rPr>
      </w:pPr>
      <m:oMath>
        <m:sSub>
          <m:sSubPr>
            <m:ctrlPr>
              <w:rPr>
                <w:rFonts w:ascii="Cambria Math" w:hAnsi="Cambria Math"/>
                <w:i/>
                <w:snapToGrid/>
                <w:color w:val="auto"/>
                <w:lang w:val="cs-CZ"/>
              </w:rPr>
            </m:ctrlPr>
          </m:sSubPr>
          <m:e>
            <m:acc>
              <m:accPr>
                <m:chr m:val="̅"/>
                <m:ctrlPr>
                  <w:rPr>
                    <w:rFonts w:ascii="Cambria Math" w:hAnsi="Cambria Math"/>
                    <w:i/>
                    <w:snapToGrid/>
                    <w:color w:val="auto"/>
                    <w:lang w:val="cs-CZ"/>
                  </w:rPr>
                </m:ctrlPr>
              </m:accPr>
              <m:e>
                <m:r>
                  <w:rPr>
                    <w:rFonts w:ascii="Cambria Math" w:hAnsi="Cambria Math"/>
                    <w:lang w:val="cs-CZ"/>
                  </w:rPr>
                  <m:t>KG</m:t>
                </m:r>
              </m:e>
            </m:acc>
          </m:e>
          <m:sub>
            <m:r>
              <w:rPr>
                <w:rFonts w:ascii="Cambria Math" w:hAnsi="Cambria Math"/>
                <w:lang w:val="cs-CZ"/>
              </w:rPr>
              <m:t>zul</m:t>
            </m:r>
          </m:sub>
        </m:sSub>
      </m:oMath>
      <w:r w:rsidR="00E82B25" w:rsidRPr="003B6E11">
        <w:rPr>
          <w:lang w:val="cs-CZ"/>
        </w:rPr>
        <w:tab/>
        <w:t>nejvyšší přípustná výška těžiště naložené lodi nad její základnou [m],</w:t>
      </w:r>
    </w:p>
    <w:p w:rsidR="00E82B25" w:rsidRPr="003B6E11" w:rsidRDefault="002D015D" w:rsidP="00E82B25">
      <w:pPr>
        <w:pStyle w:val="EStiret"/>
        <w:ind w:left="1701" w:hanging="709"/>
        <w:rPr>
          <w:rFonts w:eastAsia="Calibri"/>
          <w:lang w:val="cs-CZ"/>
        </w:rPr>
      </w:pPr>
      <m:oMath>
        <m:acc>
          <m:accPr>
            <m:chr m:val="̅"/>
            <m:ctrlPr>
              <w:rPr>
                <w:rFonts w:ascii="Cambria Math" w:eastAsia="Calibri" w:hAnsi="Cambria Math"/>
                <w:i/>
                <w:lang w:val="cs-CZ"/>
              </w:rPr>
            </m:ctrlPr>
          </m:accPr>
          <m:e>
            <m:r>
              <w:rPr>
                <w:rFonts w:ascii="Cambria Math" w:eastAsia="Calibri" w:hAnsi="Cambria Math"/>
                <w:lang w:val="cs-CZ"/>
              </w:rPr>
              <m:t>KM</m:t>
            </m:r>
          </m:e>
        </m:acc>
      </m:oMath>
      <w:r w:rsidR="00E82B25" w:rsidRPr="003B6E11">
        <w:rPr>
          <w:lang w:val="cs-CZ"/>
        </w:rPr>
        <w:tab/>
        <w:t>výška metacentra nad základnou [m] podle přibližného vzorce v odstavci 3;</w:t>
      </w:r>
    </w:p>
    <w:p w:rsidR="00E82B25" w:rsidRPr="003B6E11" w:rsidRDefault="00E82B25" w:rsidP="00E82B25">
      <w:pPr>
        <w:pStyle w:val="EStiret"/>
        <w:ind w:left="1701" w:hanging="709"/>
        <w:rPr>
          <w:rFonts w:eastAsia="Calibri"/>
          <w:lang w:val="cs-CZ"/>
        </w:rPr>
      </w:pPr>
      <m:oMath>
        <m:r>
          <w:rPr>
            <w:rFonts w:ascii="Cambria Math" w:eastAsia="Calibri" w:hAnsi="Cambria Math"/>
            <w:lang w:val="cs-CZ"/>
          </w:rPr>
          <m:t>F</m:t>
        </m:r>
      </m:oMath>
      <w:r w:rsidRPr="003B6E11">
        <w:rPr>
          <w:lang w:val="cs-CZ"/>
        </w:rPr>
        <w:tab/>
        <w:t xml:space="preserve">příslušný skutečný volný bok při </w:t>
      </w:r>
      <m:oMath>
        <m:f>
          <m:fPr>
            <m:ctrlPr>
              <w:rPr>
                <w:rFonts w:ascii="Cambria Math" w:eastAsia="Calibri" w:hAnsi="Cambria Math"/>
                <w:i/>
                <w:lang w:val="cs-CZ"/>
              </w:rPr>
            </m:ctrlPr>
          </m:fPr>
          <m:num>
            <m:r>
              <w:rPr>
                <w:rFonts w:ascii="Cambria Math" w:eastAsia="Calibri" w:hAnsi="Cambria Math"/>
                <w:lang w:val="cs-CZ"/>
              </w:rPr>
              <m:t>1</m:t>
            </m:r>
          </m:num>
          <m:den>
            <m:r>
              <w:rPr>
                <w:rFonts w:ascii="Cambria Math" w:eastAsia="Calibri" w:hAnsi="Cambria Math"/>
                <w:lang w:val="cs-CZ"/>
              </w:rPr>
              <m:t>2</m:t>
            </m:r>
          </m:den>
        </m:f>
        <m:r>
          <w:rPr>
            <w:rFonts w:ascii="Cambria Math" w:eastAsia="Calibri" w:hAnsi="Cambria Math"/>
            <w:lang w:val="cs-CZ"/>
          </w:rPr>
          <m:t xml:space="preserve"> L</m:t>
        </m:r>
      </m:oMath>
      <w:r w:rsidRPr="003B6E11">
        <w:rPr>
          <w:lang w:val="cs-CZ"/>
        </w:rPr>
        <w:t xml:space="preserve"> [m],</w:t>
      </w:r>
    </w:p>
    <w:p w:rsidR="00E82B25" w:rsidRPr="003B6E11" w:rsidRDefault="00E82B25" w:rsidP="00E82B25">
      <w:pPr>
        <w:pStyle w:val="EStiret"/>
        <w:ind w:left="1701" w:hanging="709"/>
        <w:rPr>
          <w:lang w:val="cs-CZ"/>
        </w:rPr>
      </w:pPr>
      <m:oMath>
        <m:r>
          <w:rPr>
            <w:rFonts w:ascii="Cambria Math" w:hAnsi="Cambria Math"/>
            <w:lang w:val="cs-CZ"/>
          </w:rPr>
          <m:t>Z</m:t>
        </m:r>
      </m:oMath>
      <w:r w:rsidRPr="003B6E11">
        <w:rPr>
          <w:lang w:val="cs-CZ"/>
        </w:rPr>
        <w:tab/>
        <w:t>parametr pro odstředivou sílu způsobenou otáčením</w:t>
      </w:r>
    </w:p>
    <w:p w:rsidR="00E82B25" w:rsidRPr="003B6E11" w:rsidRDefault="00E82B25" w:rsidP="00E82B25">
      <w:pPr>
        <w:pStyle w:val="ESch"/>
        <w:spacing w:before="60"/>
        <w:ind w:left="0" w:firstLine="0"/>
        <w:rPr>
          <w:rFonts w:eastAsia="Calibri" w:cs="Arial"/>
          <w:szCs w:val="18"/>
          <w:lang w:val="cs-CZ"/>
        </w:rPr>
      </w:pPr>
      <m:oMathPara>
        <m:oMath>
          <m:r>
            <w:rPr>
              <w:rFonts w:ascii="Cambria Math" w:eastAsia="Calibri" w:hAnsi="Cambria Math" w:cs="Arial"/>
              <w:szCs w:val="18"/>
              <w:lang w:val="cs-CZ"/>
            </w:rPr>
            <m:t xml:space="preserve">Z= </m:t>
          </m:r>
          <m:f>
            <m:fPr>
              <m:ctrlPr>
                <w:rPr>
                  <w:rFonts w:ascii="Cambria Math" w:eastAsia="Calibri" w:hAnsi="Cambria Math" w:cs="Arial"/>
                  <w:i/>
                  <w:szCs w:val="18"/>
                  <w:lang w:val="cs-CZ"/>
                </w:rPr>
              </m:ctrlPr>
            </m:fPr>
            <m:num>
              <m:sSup>
                <m:sSupPr>
                  <m:ctrlPr>
                    <w:rPr>
                      <w:rFonts w:ascii="Cambria Math" w:eastAsia="Calibri" w:hAnsi="Cambria Math" w:cs="Arial"/>
                      <w:i/>
                      <w:szCs w:val="18"/>
                      <w:lang w:val="cs-CZ"/>
                    </w:rPr>
                  </m:ctrlPr>
                </m:sSupPr>
                <m:e>
                  <m:d>
                    <m:dPr>
                      <m:ctrlPr>
                        <w:rPr>
                          <w:rFonts w:ascii="Cambria Math" w:eastAsia="Calibri" w:hAnsi="Cambria Math" w:cs="Arial"/>
                          <w:i/>
                          <w:szCs w:val="18"/>
                          <w:lang w:val="cs-CZ"/>
                        </w:rPr>
                      </m:ctrlPr>
                    </m:dPr>
                    <m:e>
                      <m:r>
                        <w:rPr>
                          <w:rFonts w:ascii="Cambria Math" w:eastAsia="Calibri" w:hAnsi="Cambria Math" w:cs="Arial"/>
                          <w:szCs w:val="18"/>
                          <w:lang w:val="cs-CZ"/>
                        </w:rPr>
                        <m:t>0,7 ∙v</m:t>
                      </m:r>
                    </m:e>
                  </m:d>
                </m:e>
                <m:sup>
                  <m:r>
                    <w:rPr>
                      <w:rFonts w:ascii="Cambria Math" w:eastAsia="Calibri" w:hAnsi="Cambria Math" w:cs="Arial"/>
                      <w:szCs w:val="18"/>
                      <w:lang w:val="cs-CZ"/>
                    </w:rPr>
                    <m:t>2</m:t>
                  </m:r>
                </m:sup>
              </m:sSup>
            </m:num>
            <m:den>
              <m:r>
                <w:rPr>
                  <w:rFonts w:ascii="Cambria Math" w:eastAsia="Calibri" w:hAnsi="Cambria Math" w:cs="Arial"/>
                  <w:szCs w:val="18"/>
                  <w:lang w:val="cs-CZ"/>
                </w:rPr>
                <m:t xml:space="preserve">9,81 ∙1,25 </m:t>
              </m:r>
              <m:sSub>
                <m:sSubPr>
                  <m:ctrlPr>
                    <w:rPr>
                      <w:rFonts w:ascii="Cambria Math" w:eastAsia="Calibri" w:hAnsi="Cambria Math" w:cs="Arial"/>
                      <w:i/>
                      <w:szCs w:val="18"/>
                      <w:lang w:val="cs-CZ"/>
                    </w:rPr>
                  </m:ctrlPr>
                </m:sSubPr>
                <m:e>
                  <m:r>
                    <w:rPr>
                      <w:rFonts w:ascii="Cambria Math" w:eastAsia="Calibri" w:hAnsi="Cambria Math" w:cs="Arial"/>
                      <w:szCs w:val="18"/>
                      <w:lang w:val="cs-CZ"/>
                    </w:rPr>
                    <m:t>L</m:t>
                  </m:r>
                </m:e>
                <m:sub>
                  <m:r>
                    <w:rPr>
                      <w:rFonts w:ascii="Cambria Math" w:eastAsia="Calibri" w:hAnsi="Cambria Math" w:cs="Arial"/>
                      <w:szCs w:val="18"/>
                      <w:lang w:val="cs-CZ"/>
                    </w:rPr>
                    <m:t>WL</m:t>
                  </m:r>
                </m:sub>
              </m:sSub>
            </m:den>
          </m:f>
          <m:r>
            <w:rPr>
              <w:rFonts w:ascii="Cambria Math" w:eastAsia="Calibri" w:hAnsi="Cambria Math" w:cs="Arial"/>
              <w:szCs w:val="18"/>
              <w:lang w:val="cs-CZ"/>
            </w:rPr>
            <m:t xml:space="preserve">=0,04 ∙ </m:t>
          </m:r>
          <m:f>
            <m:fPr>
              <m:ctrlPr>
                <w:rPr>
                  <w:rFonts w:ascii="Cambria Math" w:eastAsia="Calibri" w:hAnsi="Cambria Math" w:cs="Arial"/>
                  <w:i/>
                  <w:szCs w:val="18"/>
                  <w:lang w:val="cs-CZ"/>
                </w:rPr>
              </m:ctrlPr>
            </m:fPr>
            <m:num>
              <m:sSup>
                <m:sSupPr>
                  <m:ctrlPr>
                    <w:rPr>
                      <w:rFonts w:ascii="Cambria Math" w:eastAsia="Calibri" w:hAnsi="Cambria Math" w:cs="Arial"/>
                      <w:i/>
                      <w:szCs w:val="18"/>
                      <w:lang w:val="cs-CZ"/>
                    </w:rPr>
                  </m:ctrlPr>
                </m:sSupPr>
                <m:e>
                  <m:r>
                    <w:rPr>
                      <w:rFonts w:ascii="Cambria Math" w:eastAsia="Calibri" w:hAnsi="Cambria Math" w:cs="Arial"/>
                      <w:szCs w:val="18"/>
                      <w:lang w:val="cs-CZ"/>
                    </w:rPr>
                    <m:t>v</m:t>
                  </m:r>
                </m:e>
                <m:sup>
                  <m:r>
                    <w:rPr>
                      <w:rFonts w:ascii="Cambria Math" w:eastAsia="Calibri" w:hAnsi="Cambria Math" w:cs="Arial"/>
                      <w:szCs w:val="18"/>
                      <w:lang w:val="cs-CZ"/>
                    </w:rPr>
                    <m:t>2</m:t>
                  </m:r>
                </m:sup>
              </m:sSup>
            </m:num>
            <m:den>
              <m:sSub>
                <m:sSubPr>
                  <m:ctrlPr>
                    <w:rPr>
                      <w:rFonts w:ascii="Cambria Math" w:eastAsia="Calibri" w:hAnsi="Cambria Math" w:cs="Arial"/>
                      <w:i/>
                      <w:szCs w:val="18"/>
                      <w:lang w:val="cs-CZ"/>
                    </w:rPr>
                  </m:ctrlPr>
                </m:sSubPr>
                <m:e>
                  <m:r>
                    <w:rPr>
                      <w:rFonts w:ascii="Cambria Math" w:eastAsia="Calibri" w:hAnsi="Cambria Math" w:cs="Arial"/>
                      <w:szCs w:val="18"/>
                      <w:lang w:val="cs-CZ"/>
                    </w:rPr>
                    <m:t>L</m:t>
                  </m:r>
                </m:e>
                <m:sub>
                  <m:r>
                    <w:rPr>
                      <w:rFonts w:ascii="Cambria Math" w:eastAsia="Calibri" w:hAnsi="Cambria Math" w:cs="Arial"/>
                      <w:szCs w:val="18"/>
                      <w:lang w:val="cs-CZ"/>
                    </w:rPr>
                    <m:t>WL</m:t>
                  </m:r>
                </m:sub>
              </m:sSub>
            </m:den>
          </m:f>
        </m:oMath>
      </m:oMathPara>
    </w:p>
    <w:p w:rsidR="00E82B25" w:rsidRPr="003B6E11" w:rsidRDefault="00E82B25" w:rsidP="00E82B25">
      <w:pPr>
        <w:pStyle w:val="ESch"/>
        <w:rPr>
          <w:rFonts w:eastAsia="Calibri" w:cs="Arial"/>
          <w:szCs w:val="18"/>
          <w:lang w:val="cs-CZ"/>
        </w:rPr>
      </w:pPr>
    </w:p>
    <w:p w:rsidR="00E82B25" w:rsidRPr="003B6E11" w:rsidRDefault="00E82B25" w:rsidP="00E82B25">
      <w:pPr>
        <w:pStyle w:val="EStiret"/>
        <w:ind w:left="1701" w:hanging="709"/>
        <w:rPr>
          <w:rFonts w:cs="Arial"/>
          <w:lang w:val="cs-CZ"/>
        </w:rPr>
      </w:pPr>
      <m:oMath>
        <m:r>
          <w:rPr>
            <w:rFonts w:ascii="Cambria Math" w:hAnsi="Cambria Math" w:cs="Arial"/>
            <w:lang w:val="cs-CZ"/>
          </w:rPr>
          <m:t>v</m:t>
        </m:r>
      </m:oMath>
      <w:r w:rsidRPr="003B6E11">
        <w:rPr>
          <w:lang w:val="cs-CZ"/>
        </w:rPr>
        <w:tab/>
        <w:t>nejvyšší rychlost lodi proti odporu vody [m/s],</w:t>
      </w:r>
    </w:p>
    <w:p w:rsidR="00E82B25" w:rsidRPr="003B6E11" w:rsidRDefault="002D015D" w:rsidP="00E82B25">
      <w:pPr>
        <w:pStyle w:val="EStiret"/>
        <w:ind w:left="1701" w:hanging="709"/>
        <w:rPr>
          <w:rFonts w:cs="Arial"/>
          <w:lang w:val="cs-CZ"/>
        </w:rPr>
      </w:pPr>
      <m:oMath>
        <m:sSub>
          <m:sSubPr>
            <m:ctrlPr>
              <w:rPr>
                <w:rFonts w:ascii="Cambria Math" w:hAnsi="Cambria Math" w:cs="Arial"/>
                <w:i/>
                <w:lang w:val="cs-CZ"/>
              </w:rPr>
            </m:ctrlPr>
          </m:sSubPr>
          <m:e>
            <m:r>
              <w:rPr>
                <w:rFonts w:ascii="Cambria Math" w:hAnsi="Cambria Math" w:cs="Arial"/>
                <w:lang w:val="cs-CZ"/>
              </w:rPr>
              <m:t>T</m:t>
            </m:r>
          </m:e>
          <m:sub>
            <m:r>
              <w:rPr>
                <w:rFonts w:ascii="Cambria Math" w:hAnsi="Cambria Math" w:cs="Arial"/>
                <w:lang w:val="cs-CZ"/>
              </w:rPr>
              <m:t>m</m:t>
            </m:r>
          </m:sub>
        </m:sSub>
      </m:oMath>
      <w:r w:rsidR="00E82B25" w:rsidRPr="003B6E11">
        <w:rPr>
          <w:lang w:val="cs-CZ"/>
        </w:rPr>
        <w:t xml:space="preserve"> </w:t>
      </w:r>
      <w:r w:rsidR="00E82B25" w:rsidRPr="003B6E11">
        <w:rPr>
          <w:lang w:val="cs-CZ"/>
        </w:rPr>
        <w:tab/>
        <w:t>příslušný průměrný ponor [m],</w:t>
      </w:r>
    </w:p>
    <w:p w:rsidR="00E82B25" w:rsidRPr="003B6E11" w:rsidRDefault="002D015D" w:rsidP="00E82B25">
      <w:pPr>
        <w:pStyle w:val="EStiret"/>
        <w:ind w:left="1701" w:hanging="709"/>
        <w:rPr>
          <w:rFonts w:cs="Arial"/>
          <w:lang w:val="cs-CZ"/>
        </w:rPr>
      </w:pPr>
      <m:oMath>
        <m:sSub>
          <m:sSubPr>
            <m:ctrlPr>
              <w:rPr>
                <w:rFonts w:ascii="Cambria Math" w:hAnsi="Cambria Math" w:cs="Arial"/>
                <w:i/>
                <w:lang w:val="cs-CZ"/>
              </w:rPr>
            </m:ctrlPr>
          </m:sSubPr>
          <m:e>
            <m:r>
              <w:rPr>
                <w:rFonts w:ascii="Cambria Math" w:hAnsi="Cambria Math" w:cs="Arial"/>
                <w:lang w:val="cs-CZ"/>
              </w:rPr>
              <m:t>h</m:t>
            </m:r>
          </m:e>
          <m:sub>
            <m:r>
              <w:rPr>
                <w:rFonts w:ascii="Cambria Math" w:hAnsi="Cambria Math" w:cs="Arial"/>
                <w:lang w:val="cs-CZ"/>
              </w:rPr>
              <m:t>KW</m:t>
            </m:r>
          </m:sub>
        </m:sSub>
      </m:oMath>
      <w:r w:rsidR="00E82B25" w:rsidRPr="003B6E11">
        <w:rPr>
          <w:lang w:val="cs-CZ"/>
        </w:rPr>
        <w:tab/>
        <w:t>klopné rameno páky způsobené bočním tlakem větru podle odst. 1 písm. d) [m],</w:t>
      </w:r>
    </w:p>
    <w:p w:rsidR="00E82B25" w:rsidRPr="003B6E11" w:rsidRDefault="002D015D" w:rsidP="00E82B25">
      <w:pPr>
        <w:pStyle w:val="EStiret"/>
        <w:ind w:left="1701" w:hanging="709"/>
        <w:rPr>
          <w:rFonts w:cs="Arial"/>
          <w:lang w:val="cs-CZ"/>
        </w:rPr>
      </w:pPr>
      <m:oMath>
        <m:sSub>
          <m:sSubPr>
            <m:ctrlPr>
              <w:rPr>
                <w:rFonts w:ascii="Cambria Math" w:hAnsi="Cambria Math" w:cs="Arial"/>
                <w:i/>
                <w:lang w:val="cs-CZ"/>
              </w:rPr>
            </m:ctrlPr>
          </m:sSubPr>
          <m:e>
            <m:r>
              <w:rPr>
                <w:rFonts w:ascii="Cambria Math" w:hAnsi="Cambria Math" w:cs="Arial"/>
                <w:lang w:val="cs-CZ"/>
              </w:rPr>
              <m:t>h</m:t>
            </m:r>
          </m:e>
          <m:sub>
            <m:r>
              <w:rPr>
                <w:rFonts w:ascii="Cambria Math" w:hAnsi="Cambria Math" w:cs="Arial"/>
                <w:lang w:val="cs-CZ"/>
              </w:rPr>
              <m:t>KfO</m:t>
            </m:r>
          </m:sub>
        </m:sSub>
      </m:oMath>
      <w:r w:rsidR="00E82B25" w:rsidRPr="003B6E11">
        <w:rPr>
          <w:lang w:val="cs-CZ"/>
        </w:rPr>
        <w:tab/>
        <w:t>součet klopných ramen páky způsobených volnými hladinami kapalin podle odst. 1 písm. e) [m].</w:t>
      </w:r>
    </w:p>
    <w:p w:rsidR="00E82B25" w:rsidRPr="003B6E11" w:rsidRDefault="00E82B25" w:rsidP="00E82B25">
      <w:pPr>
        <w:pStyle w:val="ESch"/>
        <w:rPr>
          <w:noProof/>
          <w:szCs w:val="18"/>
          <w:lang w:val="cs-CZ"/>
        </w:rPr>
      </w:pPr>
    </w:p>
    <w:p w:rsidR="00E82B25" w:rsidRPr="003B6E11" w:rsidRDefault="00E82B25" w:rsidP="00E82B25">
      <w:pPr>
        <w:pStyle w:val="ESch"/>
        <w:rPr>
          <w:rFonts w:cs="Arial"/>
          <w:szCs w:val="18"/>
          <w:lang w:val="cs-CZ"/>
        </w:rPr>
      </w:pPr>
      <w:r w:rsidRPr="003B6E11">
        <w:rPr>
          <w:lang w:val="cs-CZ"/>
        </w:rPr>
        <w:t>3.</w:t>
      </w:r>
      <w:r w:rsidRPr="003B6E11">
        <w:rPr>
          <w:lang w:val="cs-CZ"/>
        </w:rPr>
        <w:tab/>
        <w:t xml:space="preserve">Přibližný vzorec pro </w:t>
      </w:r>
      <m:oMath>
        <m:acc>
          <m:accPr>
            <m:chr m:val="̅"/>
            <m:ctrlPr>
              <w:rPr>
                <w:rFonts w:ascii="Cambria Math" w:eastAsia="Calibri" w:hAnsi="Cambria Math"/>
                <w:i/>
                <w:noProof/>
                <w:snapToGrid w:val="0"/>
                <w:color w:val="000000"/>
                <w:lang w:val="cs-CZ"/>
              </w:rPr>
            </m:ctrlPr>
          </m:accPr>
          <m:e>
            <m:r>
              <w:rPr>
                <w:rFonts w:ascii="Cambria Math" w:eastAsia="Calibri" w:hAnsi="Cambria Math"/>
                <w:lang w:val="cs-CZ"/>
              </w:rPr>
              <m:t>KM</m:t>
            </m:r>
          </m:e>
        </m:acc>
      </m:oMath>
      <w:r w:rsidRPr="003B6E11">
        <w:rPr>
          <w:lang w:val="cs-CZ"/>
        </w:rPr>
        <w:t>:</w:t>
      </w:r>
    </w:p>
    <w:p w:rsidR="00E82B25" w:rsidRPr="003B6E11" w:rsidRDefault="00E82B25" w:rsidP="00E82B25">
      <w:pPr>
        <w:pStyle w:val="ESchpar"/>
        <w:rPr>
          <w:noProof/>
          <w:lang w:val="cs-CZ"/>
        </w:rPr>
      </w:pPr>
    </w:p>
    <w:p w:rsidR="00E82B25" w:rsidRPr="003B6E11" w:rsidRDefault="00E82B25" w:rsidP="00E82B25">
      <w:pPr>
        <w:pStyle w:val="ESchpar"/>
        <w:rPr>
          <w:rFonts w:cs="Arial"/>
          <w:szCs w:val="18"/>
          <w:lang w:val="cs-CZ"/>
        </w:rPr>
      </w:pPr>
      <w:r w:rsidRPr="003B6E11">
        <w:rPr>
          <w:lang w:val="cs-CZ"/>
        </w:rPr>
        <w:t xml:space="preserve">Nejsou-li k dispozici hydrostatické křivky, lze hodnotu </w:t>
      </w:r>
      <m:oMath>
        <m:acc>
          <m:accPr>
            <m:chr m:val="̅"/>
            <m:ctrlPr>
              <w:rPr>
                <w:rFonts w:ascii="Cambria Math" w:eastAsia="Calibri" w:hAnsi="Cambria Math"/>
                <w:i/>
                <w:noProof/>
                <w:snapToGrid w:val="0"/>
                <w:color w:val="000000"/>
                <w:lang w:val="cs-CZ"/>
              </w:rPr>
            </m:ctrlPr>
          </m:accPr>
          <m:e>
            <m:r>
              <w:rPr>
                <w:rFonts w:ascii="Cambria Math" w:eastAsia="Calibri" w:hAnsi="Cambria Math"/>
                <w:lang w:val="cs-CZ"/>
              </w:rPr>
              <m:t>KM</m:t>
            </m:r>
          </m:e>
        </m:acc>
      </m:oMath>
      <w:r w:rsidRPr="003B6E11">
        <w:rPr>
          <w:lang w:val="cs-CZ"/>
        </w:rPr>
        <w:t xml:space="preserve"> pro výpočet podle odstavce 2 a čl. 27.03 odst. 2 určit pomocí těchto přibližných vzorců:</w:t>
      </w:r>
    </w:p>
    <w:p w:rsidR="00E82B25" w:rsidRPr="003B6E11" w:rsidRDefault="00E82B25" w:rsidP="00E82B25">
      <w:pPr>
        <w:pStyle w:val="ESlet"/>
        <w:rPr>
          <w:noProof/>
          <w:lang w:val="cs-CZ"/>
        </w:rPr>
      </w:pPr>
      <w:r w:rsidRPr="003B6E11">
        <w:rPr>
          <w:lang w:val="cs-CZ"/>
        </w:rPr>
        <w:t>a)</w:t>
      </w:r>
      <w:r w:rsidRPr="003B6E11">
        <w:rPr>
          <w:lang w:val="cs-CZ"/>
        </w:rPr>
        <w:tab/>
        <w:t>pro lodě ve tvaru pontonu</w:t>
      </w:r>
    </w:p>
    <w:p w:rsidR="00E82B25" w:rsidRPr="003B6E11" w:rsidRDefault="002D015D" w:rsidP="00E82B25">
      <w:pPr>
        <w:pStyle w:val="ESlet"/>
        <w:ind w:left="0"/>
        <w:rPr>
          <w:rFonts w:cs="Arial"/>
          <w:szCs w:val="18"/>
          <w:lang w:val="cs-CZ"/>
        </w:rPr>
      </w:pPr>
      <m:oMathPara>
        <m:oMath>
          <m:acc>
            <m:accPr>
              <m:chr m:val="̅"/>
              <m:ctrlPr>
                <w:rPr>
                  <w:rFonts w:ascii="Cambria Math" w:hAnsi="Cambria Math" w:cs="Arial"/>
                  <w:i/>
                  <w:szCs w:val="18"/>
                  <w:lang w:val="cs-CZ"/>
                </w:rPr>
              </m:ctrlPr>
            </m:accPr>
            <m:e>
              <m:r>
                <w:rPr>
                  <w:rFonts w:ascii="Cambria Math" w:hAnsi="Cambria Math" w:cs="Arial"/>
                  <w:szCs w:val="18"/>
                  <w:lang w:val="cs-CZ"/>
                </w:rPr>
                <m:t>KM</m:t>
              </m:r>
            </m:e>
          </m:acc>
          <m:r>
            <w:rPr>
              <w:rFonts w:ascii="Cambria Math" w:hAnsi="Cambria Math" w:cs="Arial"/>
              <w:szCs w:val="18"/>
              <w:lang w:val="cs-CZ"/>
            </w:rPr>
            <m:t xml:space="preserve">= </m:t>
          </m:r>
          <m:f>
            <m:fPr>
              <m:ctrlPr>
                <w:rPr>
                  <w:rFonts w:ascii="Cambria Math" w:hAnsi="Cambria Math" w:cs="Arial"/>
                  <w:i/>
                  <w:szCs w:val="18"/>
                  <w:lang w:val="cs-CZ"/>
                </w:rPr>
              </m:ctrlPr>
            </m:fPr>
            <m:num>
              <m:sSub>
                <m:sSubPr>
                  <m:ctrlPr>
                    <w:rPr>
                      <w:rFonts w:ascii="Cambria Math" w:hAnsi="Cambria Math" w:cs="Arial"/>
                      <w:i/>
                      <w:szCs w:val="18"/>
                      <w:lang w:val="cs-CZ"/>
                    </w:rPr>
                  </m:ctrlPr>
                </m:sSubPr>
                <m:e>
                  <m:sSup>
                    <m:sSupPr>
                      <m:ctrlPr>
                        <w:rPr>
                          <w:rFonts w:ascii="Cambria Math" w:hAnsi="Cambria Math" w:cs="Arial"/>
                          <w:i/>
                          <w:szCs w:val="18"/>
                          <w:lang w:val="cs-CZ"/>
                        </w:rPr>
                      </m:ctrlPr>
                    </m:sSupPr>
                    <m:e>
                      <m:r>
                        <w:rPr>
                          <w:rFonts w:ascii="Cambria Math" w:hAnsi="Cambria Math" w:cs="Arial"/>
                          <w:szCs w:val="18"/>
                          <w:lang w:val="cs-CZ"/>
                        </w:rPr>
                        <m:t>B</m:t>
                      </m:r>
                    </m:e>
                    <m:sup>
                      <m:r>
                        <w:rPr>
                          <w:rFonts w:ascii="Cambria Math" w:hAnsi="Cambria Math" w:cs="Arial"/>
                          <w:szCs w:val="18"/>
                          <w:lang w:val="cs-CZ"/>
                        </w:rPr>
                        <m:t>2</m:t>
                      </m:r>
                    </m:sup>
                  </m:sSup>
                </m:e>
                <m:sub>
                  <m:r>
                    <w:rPr>
                      <w:rFonts w:ascii="Cambria Math" w:hAnsi="Cambria Math" w:cs="Arial"/>
                      <w:szCs w:val="18"/>
                      <w:lang w:val="cs-CZ"/>
                    </w:rPr>
                    <m:t>WL</m:t>
                  </m:r>
                </m:sub>
              </m:sSub>
            </m:num>
            <m:den>
              <m:d>
                <m:dPr>
                  <m:ctrlPr>
                    <w:rPr>
                      <w:rFonts w:ascii="Cambria Math" w:hAnsi="Cambria Math" w:cs="Arial"/>
                      <w:i/>
                      <w:szCs w:val="18"/>
                      <w:lang w:val="cs-CZ"/>
                    </w:rPr>
                  </m:ctrlPr>
                </m:dPr>
                <m:e>
                  <m:r>
                    <w:rPr>
                      <w:rFonts w:ascii="Cambria Math" w:hAnsi="Cambria Math" w:cs="Arial"/>
                      <w:szCs w:val="18"/>
                      <w:lang w:val="cs-CZ"/>
                    </w:rPr>
                    <m:t xml:space="preserve">12,5- </m:t>
                  </m:r>
                  <m:f>
                    <m:fPr>
                      <m:ctrlPr>
                        <w:rPr>
                          <w:rFonts w:ascii="Cambria Math" w:hAnsi="Cambria Math" w:cs="Arial"/>
                          <w:i/>
                          <w:szCs w:val="18"/>
                          <w:lang w:val="cs-CZ"/>
                        </w:rPr>
                      </m:ctrlPr>
                    </m:fPr>
                    <m:num>
                      <m:sSub>
                        <m:sSubPr>
                          <m:ctrlPr>
                            <w:rPr>
                              <w:rFonts w:ascii="Cambria Math" w:hAnsi="Cambria Math" w:cs="Arial"/>
                              <w:i/>
                              <w:szCs w:val="18"/>
                              <w:lang w:val="cs-CZ"/>
                            </w:rPr>
                          </m:ctrlPr>
                        </m:sSubPr>
                        <m:e>
                          <m:r>
                            <w:rPr>
                              <w:rFonts w:ascii="Cambria Math" w:hAnsi="Cambria Math" w:cs="Arial"/>
                              <w:szCs w:val="18"/>
                              <w:lang w:val="cs-CZ"/>
                            </w:rPr>
                            <m:t>T</m:t>
                          </m:r>
                        </m:e>
                        <m:sub>
                          <m:r>
                            <w:rPr>
                              <w:rFonts w:ascii="Cambria Math" w:hAnsi="Cambria Math" w:cs="Arial"/>
                              <w:szCs w:val="18"/>
                              <w:lang w:val="cs-CZ"/>
                            </w:rPr>
                            <m:t>m</m:t>
                          </m:r>
                        </m:sub>
                      </m:sSub>
                    </m:num>
                    <m:den>
                      <m:r>
                        <w:rPr>
                          <w:rFonts w:ascii="Cambria Math" w:hAnsi="Cambria Math" w:cs="Arial"/>
                          <w:szCs w:val="18"/>
                          <w:lang w:val="cs-CZ"/>
                        </w:rPr>
                        <m:t>H</m:t>
                      </m:r>
                    </m:den>
                  </m:f>
                </m:e>
              </m:d>
              <m:r>
                <w:rPr>
                  <w:rFonts w:ascii="Cambria Math" w:hAnsi="Cambria Math" w:cs="Arial"/>
                  <w:szCs w:val="18"/>
                  <w:lang w:val="cs-CZ"/>
                </w:rPr>
                <m:t xml:space="preserve"> ∙ </m:t>
              </m:r>
              <m:sSub>
                <m:sSubPr>
                  <m:ctrlPr>
                    <w:rPr>
                      <w:rFonts w:ascii="Cambria Math" w:hAnsi="Cambria Math" w:cs="Arial"/>
                      <w:i/>
                      <w:szCs w:val="18"/>
                      <w:lang w:val="cs-CZ"/>
                    </w:rPr>
                  </m:ctrlPr>
                </m:sSubPr>
                <m:e>
                  <m:r>
                    <w:rPr>
                      <w:rFonts w:ascii="Cambria Math" w:hAnsi="Cambria Math" w:cs="Arial"/>
                      <w:szCs w:val="18"/>
                      <w:lang w:val="cs-CZ"/>
                    </w:rPr>
                    <m:t>T</m:t>
                  </m:r>
                </m:e>
                <m:sub>
                  <m:r>
                    <w:rPr>
                      <w:rFonts w:ascii="Cambria Math" w:hAnsi="Cambria Math" w:cs="Arial"/>
                      <w:szCs w:val="18"/>
                      <w:lang w:val="cs-CZ"/>
                    </w:rPr>
                    <m:t>m</m:t>
                  </m:r>
                </m:sub>
              </m:sSub>
            </m:den>
          </m:f>
          <m:r>
            <w:rPr>
              <w:rFonts w:ascii="Cambria Math" w:hAnsi="Cambria Math" w:cs="Arial"/>
              <w:szCs w:val="18"/>
              <w:lang w:val="cs-CZ"/>
            </w:rPr>
            <m:t xml:space="preserve">+ </m:t>
          </m:r>
          <m:f>
            <m:fPr>
              <m:ctrlPr>
                <w:rPr>
                  <w:rFonts w:ascii="Cambria Math" w:hAnsi="Cambria Math" w:cs="Arial"/>
                  <w:i/>
                  <w:szCs w:val="18"/>
                  <w:lang w:val="cs-CZ"/>
                </w:rPr>
              </m:ctrlPr>
            </m:fPr>
            <m:num>
              <m:sSub>
                <m:sSubPr>
                  <m:ctrlPr>
                    <w:rPr>
                      <w:rFonts w:ascii="Cambria Math" w:hAnsi="Cambria Math" w:cs="Arial"/>
                      <w:i/>
                      <w:szCs w:val="18"/>
                      <w:lang w:val="cs-CZ"/>
                    </w:rPr>
                  </m:ctrlPr>
                </m:sSubPr>
                <m:e>
                  <m:r>
                    <w:rPr>
                      <w:rFonts w:ascii="Cambria Math" w:hAnsi="Cambria Math" w:cs="Arial"/>
                      <w:szCs w:val="18"/>
                      <w:lang w:val="cs-CZ"/>
                    </w:rPr>
                    <m:t>T</m:t>
                  </m:r>
                </m:e>
                <m:sub>
                  <m:r>
                    <w:rPr>
                      <w:rFonts w:ascii="Cambria Math" w:hAnsi="Cambria Math" w:cs="Arial"/>
                      <w:szCs w:val="18"/>
                      <w:lang w:val="cs-CZ"/>
                    </w:rPr>
                    <m:t>m</m:t>
                  </m:r>
                </m:sub>
              </m:sSub>
            </m:num>
            <m:den>
              <m:r>
                <w:rPr>
                  <w:rFonts w:ascii="Cambria Math" w:hAnsi="Cambria Math" w:cs="Arial"/>
                  <w:szCs w:val="18"/>
                  <w:lang w:val="cs-CZ"/>
                </w:rPr>
                <m:t>2</m:t>
              </m:r>
            </m:den>
          </m:f>
          <m:r>
            <w:rPr>
              <w:rFonts w:ascii="Cambria Math" w:hAnsi="Cambria Math" w:cs="Arial"/>
              <w:szCs w:val="18"/>
              <w:lang w:val="cs-CZ"/>
            </w:rPr>
            <m:t xml:space="preserve"> </m:t>
          </m:r>
          <m:d>
            <m:dPr>
              <m:begChr m:val="["/>
              <m:endChr m:val="]"/>
              <m:ctrlPr>
                <w:rPr>
                  <w:rFonts w:ascii="Cambria Math" w:hAnsi="Cambria Math" w:cs="Arial"/>
                  <w:i/>
                  <w:szCs w:val="18"/>
                  <w:lang w:val="cs-CZ"/>
                </w:rPr>
              </m:ctrlPr>
            </m:dPr>
            <m:e>
              <m:r>
                <w:rPr>
                  <w:rFonts w:ascii="Cambria Math" w:hAnsi="Cambria Math" w:cs="Arial"/>
                  <w:szCs w:val="18"/>
                  <w:lang w:val="cs-CZ"/>
                </w:rPr>
                <m:t>m</m:t>
              </m:r>
            </m:e>
          </m:d>
        </m:oMath>
      </m:oMathPara>
    </w:p>
    <w:p w:rsidR="00E82B25" w:rsidRPr="003B6E11" w:rsidRDefault="00E82B25" w:rsidP="00E82B25">
      <w:pPr>
        <w:pStyle w:val="ESlet"/>
        <w:ind w:left="0"/>
        <w:rPr>
          <w:rFonts w:cs="Arial"/>
          <w:szCs w:val="18"/>
          <w:lang w:val="cs-CZ"/>
        </w:rPr>
      </w:pPr>
    </w:p>
    <w:p w:rsidR="00E82B25" w:rsidRPr="003B6E11" w:rsidRDefault="00E82B25" w:rsidP="00E82B25">
      <w:pPr>
        <w:pStyle w:val="ESlet"/>
        <w:rPr>
          <w:noProof/>
          <w:lang w:val="cs-CZ"/>
        </w:rPr>
      </w:pPr>
      <w:r w:rsidRPr="003B6E11">
        <w:rPr>
          <w:lang w:val="cs-CZ"/>
        </w:rPr>
        <w:t>b)</w:t>
      </w:r>
      <w:r w:rsidRPr="003B6E11">
        <w:rPr>
          <w:lang w:val="cs-CZ"/>
        </w:rPr>
        <w:tab/>
        <w:t>pro ostatní lodě</w:t>
      </w:r>
    </w:p>
    <w:p w:rsidR="00E82B25" w:rsidRPr="003B6E11" w:rsidRDefault="002D015D" w:rsidP="00E82B25">
      <w:pPr>
        <w:pStyle w:val="ESlet"/>
        <w:ind w:left="0"/>
        <w:rPr>
          <w:rFonts w:cs="Arial"/>
          <w:szCs w:val="18"/>
          <w:lang w:val="cs-CZ"/>
        </w:rPr>
      </w:pPr>
      <m:oMathPara>
        <m:oMath>
          <m:acc>
            <m:accPr>
              <m:chr m:val="̅"/>
              <m:ctrlPr>
                <w:rPr>
                  <w:rFonts w:ascii="Cambria Math" w:hAnsi="Cambria Math" w:cs="Arial"/>
                  <w:i/>
                  <w:szCs w:val="18"/>
                  <w:lang w:val="cs-CZ"/>
                </w:rPr>
              </m:ctrlPr>
            </m:accPr>
            <m:e>
              <m:r>
                <w:rPr>
                  <w:rFonts w:ascii="Cambria Math" w:hAnsi="Cambria Math" w:cs="Arial"/>
                  <w:szCs w:val="18"/>
                  <w:lang w:val="cs-CZ"/>
                </w:rPr>
                <m:t>KM</m:t>
              </m:r>
            </m:e>
          </m:acc>
          <m:r>
            <w:rPr>
              <w:rFonts w:ascii="Cambria Math" w:hAnsi="Cambria Math" w:cs="Arial"/>
              <w:szCs w:val="18"/>
              <w:lang w:val="cs-CZ"/>
            </w:rPr>
            <m:t xml:space="preserve">= </m:t>
          </m:r>
          <m:f>
            <m:fPr>
              <m:ctrlPr>
                <w:rPr>
                  <w:rFonts w:ascii="Cambria Math" w:hAnsi="Cambria Math" w:cs="Arial"/>
                  <w:i/>
                  <w:szCs w:val="18"/>
                  <w:lang w:val="cs-CZ"/>
                </w:rPr>
              </m:ctrlPr>
            </m:fPr>
            <m:num>
              <m:sSub>
                <m:sSubPr>
                  <m:ctrlPr>
                    <w:rPr>
                      <w:rFonts w:ascii="Cambria Math" w:hAnsi="Cambria Math" w:cs="Arial"/>
                      <w:i/>
                      <w:szCs w:val="18"/>
                      <w:lang w:val="cs-CZ"/>
                    </w:rPr>
                  </m:ctrlPr>
                </m:sSubPr>
                <m:e>
                  <m:sSup>
                    <m:sSupPr>
                      <m:ctrlPr>
                        <w:rPr>
                          <w:rFonts w:ascii="Cambria Math" w:hAnsi="Cambria Math" w:cs="Arial"/>
                          <w:i/>
                          <w:szCs w:val="18"/>
                          <w:lang w:val="cs-CZ"/>
                        </w:rPr>
                      </m:ctrlPr>
                    </m:sSupPr>
                    <m:e>
                      <m:r>
                        <w:rPr>
                          <w:rFonts w:ascii="Cambria Math" w:hAnsi="Cambria Math" w:cs="Arial"/>
                          <w:szCs w:val="18"/>
                          <w:lang w:val="cs-CZ"/>
                        </w:rPr>
                        <m:t>B</m:t>
                      </m:r>
                    </m:e>
                    <m:sup>
                      <m:r>
                        <w:rPr>
                          <w:rFonts w:ascii="Cambria Math" w:hAnsi="Cambria Math" w:cs="Arial"/>
                          <w:szCs w:val="18"/>
                          <w:lang w:val="cs-CZ"/>
                        </w:rPr>
                        <m:t>2</m:t>
                      </m:r>
                    </m:sup>
                  </m:sSup>
                </m:e>
                <m:sub>
                  <m:r>
                    <w:rPr>
                      <w:rFonts w:ascii="Cambria Math" w:hAnsi="Cambria Math" w:cs="Arial"/>
                      <w:szCs w:val="18"/>
                      <w:lang w:val="cs-CZ"/>
                    </w:rPr>
                    <m:t>WL</m:t>
                  </m:r>
                </m:sub>
              </m:sSub>
            </m:num>
            <m:den>
              <m:d>
                <m:dPr>
                  <m:ctrlPr>
                    <w:rPr>
                      <w:rFonts w:ascii="Cambria Math" w:hAnsi="Cambria Math" w:cs="Arial"/>
                      <w:i/>
                      <w:szCs w:val="18"/>
                      <w:lang w:val="cs-CZ"/>
                    </w:rPr>
                  </m:ctrlPr>
                </m:dPr>
                <m:e>
                  <m:r>
                    <w:rPr>
                      <w:rFonts w:ascii="Cambria Math" w:hAnsi="Cambria Math" w:cs="Arial"/>
                      <w:szCs w:val="18"/>
                      <w:lang w:val="cs-CZ"/>
                    </w:rPr>
                    <m:t xml:space="preserve">12,7-1,2 ∙ </m:t>
                  </m:r>
                  <m:f>
                    <m:fPr>
                      <m:ctrlPr>
                        <w:rPr>
                          <w:rFonts w:ascii="Cambria Math" w:hAnsi="Cambria Math" w:cs="Arial"/>
                          <w:i/>
                          <w:szCs w:val="18"/>
                          <w:lang w:val="cs-CZ"/>
                        </w:rPr>
                      </m:ctrlPr>
                    </m:fPr>
                    <m:num>
                      <m:sSub>
                        <m:sSubPr>
                          <m:ctrlPr>
                            <w:rPr>
                              <w:rFonts w:ascii="Cambria Math" w:hAnsi="Cambria Math" w:cs="Arial"/>
                              <w:i/>
                              <w:szCs w:val="18"/>
                              <w:lang w:val="cs-CZ"/>
                            </w:rPr>
                          </m:ctrlPr>
                        </m:sSubPr>
                        <m:e>
                          <m:r>
                            <w:rPr>
                              <w:rFonts w:ascii="Cambria Math" w:hAnsi="Cambria Math" w:cs="Arial"/>
                              <w:szCs w:val="18"/>
                              <w:lang w:val="cs-CZ"/>
                            </w:rPr>
                            <m:t>T</m:t>
                          </m:r>
                        </m:e>
                        <m:sub>
                          <m:r>
                            <w:rPr>
                              <w:rFonts w:ascii="Cambria Math" w:hAnsi="Cambria Math" w:cs="Arial"/>
                              <w:szCs w:val="18"/>
                              <w:lang w:val="cs-CZ"/>
                            </w:rPr>
                            <m:t>m</m:t>
                          </m:r>
                        </m:sub>
                      </m:sSub>
                    </m:num>
                    <m:den>
                      <m:r>
                        <w:rPr>
                          <w:rFonts w:ascii="Cambria Math" w:hAnsi="Cambria Math" w:cs="Arial"/>
                          <w:szCs w:val="18"/>
                          <w:lang w:val="cs-CZ"/>
                        </w:rPr>
                        <m:t>H</m:t>
                      </m:r>
                    </m:den>
                  </m:f>
                </m:e>
              </m:d>
              <m:r>
                <w:rPr>
                  <w:rFonts w:ascii="Cambria Math" w:hAnsi="Cambria Math" w:cs="Arial"/>
                  <w:szCs w:val="18"/>
                  <w:lang w:val="cs-CZ"/>
                </w:rPr>
                <m:t xml:space="preserve"> ∙ </m:t>
              </m:r>
              <m:sSub>
                <m:sSubPr>
                  <m:ctrlPr>
                    <w:rPr>
                      <w:rFonts w:ascii="Cambria Math" w:hAnsi="Cambria Math" w:cs="Arial"/>
                      <w:i/>
                      <w:szCs w:val="18"/>
                      <w:lang w:val="cs-CZ"/>
                    </w:rPr>
                  </m:ctrlPr>
                </m:sSubPr>
                <m:e>
                  <m:r>
                    <w:rPr>
                      <w:rFonts w:ascii="Cambria Math" w:hAnsi="Cambria Math" w:cs="Arial"/>
                      <w:szCs w:val="18"/>
                      <w:lang w:val="cs-CZ"/>
                    </w:rPr>
                    <m:t>T</m:t>
                  </m:r>
                </m:e>
                <m:sub>
                  <m:r>
                    <w:rPr>
                      <w:rFonts w:ascii="Cambria Math" w:hAnsi="Cambria Math" w:cs="Arial"/>
                      <w:szCs w:val="18"/>
                      <w:lang w:val="cs-CZ"/>
                    </w:rPr>
                    <m:t>m</m:t>
                  </m:r>
                </m:sub>
              </m:sSub>
            </m:den>
          </m:f>
          <m:r>
            <w:rPr>
              <w:rFonts w:ascii="Cambria Math" w:hAnsi="Cambria Math" w:cs="Arial"/>
              <w:szCs w:val="18"/>
              <w:lang w:val="cs-CZ"/>
            </w:rPr>
            <m:t xml:space="preserve">+ </m:t>
          </m:r>
          <m:f>
            <m:fPr>
              <m:ctrlPr>
                <w:rPr>
                  <w:rFonts w:ascii="Cambria Math" w:hAnsi="Cambria Math" w:cs="Arial"/>
                  <w:i/>
                  <w:szCs w:val="18"/>
                  <w:lang w:val="cs-CZ"/>
                </w:rPr>
              </m:ctrlPr>
            </m:fPr>
            <m:num>
              <m:sSub>
                <m:sSubPr>
                  <m:ctrlPr>
                    <w:rPr>
                      <w:rFonts w:ascii="Cambria Math" w:hAnsi="Cambria Math" w:cs="Arial"/>
                      <w:i/>
                      <w:szCs w:val="18"/>
                      <w:lang w:val="cs-CZ"/>
                    </w:rPr>
                  </m:ctrlPr>
                </m:sSubPr>
                <m:e>
                  <m:r>
                    <w:rPr>
                      <w:rFonts w:ascii="Cambria Math" w:hAnsi="Cambria Math" w:cs="Arial"/>
                      <w:szCs w:val="18"/>
                      <w:lang w:val="cs-CZ"/>
                    </w:rPr>
                    <m:t>T</m:t>
                  </m:r>
                </m:e>
                <m:sub>
                  <m:r>
                    <w:rPr>
                      <w:rFonts w:ascii="Cambria Math" w:hAnsi="Cambria Math" w:cs="Arial"/>
                      <w:szCs w:val="18"/>
                      <w:lang w:val="cs-CZ"/>
                    </w:rPr>
                    <m:t>m</m:t>
                  </m:r>
                </m:sub>
              </m:sSub>
            </m:num>
            <m:den>
              <m:r>
                <w:rPr>
                  <w:rFonts w:ascii="Cambria Math" w:hAnsi="Cambria Math" w:cs="Arial"/>
                  <w:szCs w:val="18"/>
                  <w:lang w:val="cs-CZ"/>
                </w:rPr>
                <m:t>2</m:t>
              </m:r>
            </m:den>
          </m:f>
          <m:r>
            <w:rPr>
              <w:rFonts w:ascii="Cambria Math" w:hAnsi="Cambria Math" w:cs="Arial"/>
              <w:szCs w:val="18"/>
              <w:lang w:val="cs-CZ"/>
            </w:rPr>
            <m:t xml:space="preserve"> </m:t>
          </m:r>
          <m:d>
            <m:dPr>
              <m:begChr m:val="["/>
              <m:endChr m:val="]"/>
              <m:ctrlPr>
                <w:rPr>
                  <w:rFonts w:ascii="Cambria Math" w:hAnsi="Cambria Math" w:cs="Arial"/>
                  <w:i/>
                  <w:szCs w:val="18"/>
                  <w:lang w:val="cs-CZ"/>
                </w:rPr>
              </m:ctrlPr>
            </m:dPr>
            <m:e>
              <m:r>
                <w:rPr>
                  <w:rFonts w:ascii="Cambria Math" w:hAnsi="Cambria Math" w:cs="Arial"/>
                  <w:szCs w:val="18"/>
                  <w:lang w:val="cs-CZ"/>
                </w:rPr>
                <m:t>m</m:t>
              </m:r>
            </m:e>
          </m:d>
        </m:oMath>
      </m:oMathPara>
    </w:p>
    <w:p w:rsidR="00E82B25" w:rsidRPr="003B6E11" w:rsidRDefault="00E82B25" w:rsidP="00E82B25">
      <w:pPr>
        <w:pStyle w:val="ESlet"/>
        <w:ind w:left="0"/>
        <w:rPr>
          <w:rFonts w:cs="Arial"/>
          <w:szCs w:val="18"/>
          <w:lang w:val="cs-CZ"/>
        </w:rPr>
      </w:pPr>
    </w:p>
    <w:p w:rsidR="00E82B25" w:rsidRPr="003B6E11" w:rsidRDefault="00E82B25" w:rsidP="00E82B25">
      <w:pPr>
        <w:pStyle w:val="ESch"/>
        <w:rPr>
          <w:rFonts w:eastAsia="Calibri" w:cs="Arial"/>
          <w:szCs w:val="18"/>
          <w:lang w:val="cs-CZ"/>
        </w:rPr>
      </w:pPr>
      <w:r w:rsidRPr="003B6E11">
        <w:rPr>
          <w:lang w:val="cs-CZ"/>
        </w:rPr>
        <w:br w:type="page"/>
      </w:r>
    </w:p>
    <w:p w:rsidR="00E82B25" w:rsidRPr="003B6E11" w:rsidRDefault="00E82B25" w:rsidP="00E82B25">
      <w:pPr>
        <w:pStyle w:val="ES-Titre3"/>
        <w:rPr>
          <w:rFonts w:cs="Arial"/>
          <w:i/>
          <w:szCs w:val="18"/>
          <w:lang w:val="cs-CZ"/>
        </w:rPr>
      </w:pPr>
      <w:bookmarkStart w:id="488" w:name="_Toc491854241"/>
      <w:bookmarkStart w:id="489" w:name="_Toc535417147"/>
      <w:r w:rsidRPr="003B6E11">
        <w:rPr>
          <w:lang w:val="cs-CZ"/>
        </w:rPr>
        <w:t>Článek 27.03</w:t>
      </w:r>
      <w:r w:rsidRPr="003B6E11">
        <w:rPr>
          <w:lang w:val="cs-CZ"/>
        </w:rPr>
        <w:br/>
      </w:r>
      <w:r w:rsidRPr="003B6E11">
        <w:rPr>
          <w:i/>
          <w:noProof/>
          <w:lang w:val="cs-CZ"/>
        </w:rPr>
        <w:t>Mezní podmínky a způsob výpočtu k potvrzení stability</w:t>
      </w:r>
      <w:r w:rsidRPr="003B6E11">
        <w:rPr>
          <w:i/>
          <w:noProof/>
          <w:lang w:val="cs-CZ"/>
        </w:rPr>
        <w:br/>
        <w:t>při přepravě zajištěných kontejnerů</w:t>
      </w:r>
      <w:bookmarkEnd w:id="488"/>
      <w:bookmarkEnd w:id="489"/>
    </w:p>
    <w:p w:rsidR="00E82B25" w:rsidRPr="003B6E11" w:rsidRDefault="00E82B25" w:rsidP="00E82B25">
      <w:pPr>
        <w:pStyle w:val="ESch"/>
        <w:rPr>
          <w:noProof/>
          <w:lang w:val="cs-CZ"/>
        </w:rPr>
      </w:pPr>
    </w:p>
    <w:p w:rsidR="00E82B25" w:rsidRPr="003B6E11" w:rsidRDefault="00E82B25" w:rsidP="00E82B25">
      <w:pPr>
        <w:pStyle w:val="ESch"/>
        <w:rPr>
          <w:rFonts w:cs="Arial"/>
          <w:szCs w:val="18"/>
          <w:lang w:val="cs-CZ"/>
        </w:rPr>
      </w:pPr>
      <w:r w:rsidRPr="003B6E11">
        <w:rPr>
          <w:lang w:val="cs-CZ"/>
        </w:rPr>
        <w:t>1.</w:t>
      </w:r>
      <w:r w:rsidRPr="003B6E11">
        <w:rPr>
          <w:lang w:val="cs-CZ"/>
        </w:rPr>
        <w:tab/>
        <w:t>Všechny způsoby výpočtu stability plavidla v případě zajištěných kontejnerů musí vyhovovat těmto mezním podmínkám:</w:t>
      </w:r>
    </w:p>
    <w:p w:rsidR="00E82B25" w:rsidRPr="003B6E11" w:rsidRDefault="00E82B25" w:rsidP="00E82B25">
      <w:pPr>
        <w:pStyle w:val="ESlet"/>
        <w:rPr>
          <w:rFonts w:cs="Arial"/>
          <w:szCs w:val="18"/>
          <w:lang w:val="cs-CZ"/>
        </w:rPr>
      </w:pPr>
      <w:r w:rsidRPr="003B6E11">
        <w:rPr>
          <w:lang w:val="cs-CZ"/>
        </w:rPr>
        <w:t>a)</w:t>
      </w:r>
      <w:r w:rsidRPr="003B6E11">
        <w:rPr>
          <w:lang w:val="cs-CZ"/>
        </w:rPr>
        <w:tab/>
        <w:t xml:space="preserve">metacentrická výška </w:t>
      </w:r>
      <m:oMath>
        <m:acc>
          <m:accPr>
            <m:chr m:val="̅"/>
            <m:ctrlPr>
              <w:rPr>
                <w:rFonts w:ascii="Cambria Math" w:hAnsi="Cambria Math"/>
                <w:i/>
                <w:noProof/>
                <w:lang w:val="cs-CZ"/>
              </w:rPr>
            </m:ctrlPr>
          </m:accPr>
          <m:e>
            <m:r>
              <w:rPr>
                <w:rFonts w:ascii="Cambria Math" w:hAnsi="Cambria Math"/>
                <w:noProof/>
                <w:lang w:val="cs-CZ"/>
              </w:rPr>
              <m:t>MG</m:t>
            </m:r>
          </m:e>
        </m:acc>
      </m:oMath>
      <w:r w:rsidRPr="003B6E11">
        <w:rPr>
          <w:lang w:val="cs-CZ"/>
        </w:rPr>
        <w:t xml:space="preserve"> nesmí být menší než 0,50 m.</w:t>
      </w:r>
    </w:p>
    <w:p w:rsidR="00E82B25" w:rsidRPr="003B6E11" w:rsidRDefault="00E82B25" w:rsidP="00E82B25">
      <w:pPr>
        <w:pStyle w:val="ESlet"/>
        <w:rPr>
          <w:rFonts w:cs="Arial"/>
          <w:szCs w:val="18"/>
          <w:lang w:val="cs-CZ"/>
        </w:rPr>
      </w:pPr>
      <w:r w:rsidRPr="003B6E11">
        <w:rPr>
          <w:lang w:val="cs-CZ"/>
        </w:rPr>
        <w:t>b)</w:t>
      </w:r>
      <w:r w:rsidRPr="003B6E11">
        <w:rPr>
          <w:lang w:val="cs-CZ"/>
        </w:rPr>
        <w:tab/>
        <w:t>při společném působení odstředivé síly plynoucí z otáčení lodi, tlaku větru a volných hladin kapalin se žádný otvor v lodním trupu nesmí ponořit;</w:t>
      </w:r>
    </w:p>
    <w:p w:rsidR="00E82B25" w:rsidRPr="003B6E11" w:rsidRDefault="00E82B25" w:rsidP="00E82B25">
      <w:pPr>
        <w:pStyle w:val="ESlet"/>
        <w:rPr>
          <w:rFonts w:cs="Arial"/>
          <w:szCs w:val="18"/>
          <w:lang w:val="cs-CZ"/>
        </w:rPr>
      </w:pPr>
      <w:r w:rsidRPr="003B6E11">
        <w:rPr>
          <w:lang w:val="cs-CZ"/>
        </w:rPr>
        <w:t>c)</w:t>
      </w:r>
      <w:r w:rsidRPr="003B6E11">
        <w:rPr>
          <w:lang w:val="cs-CZ"/>
        </w:rPr>
        <w:tab/>
        <w:t>klopná ramena páky způsobená odstředivou silou plynoucí z otáčení lodi, tlakem větru a volnými hladinami kapalin se vypočtou podle vzorců v čl. 27.02 odst. 1 písm. c) až e);</w:t>
      </w:r>
    </w:p>
    <w:p w:rsidR="00E82B25" w:rsidRPr="003B6E11" w:rsidRDefault="00E82B25" w:rsidP="00E82B25">
      <w:pPr>
        <w:pStyle w:val="ESlet"/>
        <w:rPr>
          <w:rFonts w:cs="Arial"/>
          <w:szCs w:val="18"/>
          <w:lang w:val="cs-CZ"/>
        </w:rPr>
      </w:pPr>
      <w:r w:rsidRPr="003B6E11">
        <w:rPr>
          <w:lang w:val="cs-CZ"/>
        </w:rPr>
        <w:t>d)</w:t>
      </w:r>
      <w:r w:rsidRPr="003B6E11">
        <w:rPr>
          <w:lang w:val="cs-CZ"/>
        </w:rPr>
        <w:tab/>
        <w:t>pro každou podmínku zatížení se bere v úvahu polovina zásob paliva a pitné vody.</w:t>
      </w:r>
    </w:p>
    <w:p w:rsidR="00E82B25" w:rsidRPr="003B6E11" w:rsidRDefault="00E82B25" w:rsidP="00E82B25">
      <w:pPr>
        <w:pStyle w:val="ESch"/>
        <w:rPr>
          <w:noProof/>
          <w:lang w:val="cs-CZ"/>
        </w:rPr>
      </w:pPr>
    </w:p>
    <w:p w:rsidR="00E82B25" w:rsidRPr="003B6E11" w:rsidRDefault="00E82B25" w:rsidP="00E82B25">
      <w:pPr>
        <w:pStyle w:val="ESch"/>
        <w:rPr>
          <w:noProof/>
          <w:lang w:val="cs-CZ"/>
        </w:rPr>
      </w:pPr>
      <w:r w:rsidRPr="003B6E11">
        <w:rPr>
          <w:lang w:val="cs-CZ"/>
        </w:rPr>
        <w:t>2.</w:t>
      </w:r>
      <w:r w:rsidRPr="003B6E11">
        <w:rPr>
          <w:lang w:val="cs-CZ"/>
        </w:rPr>
        <w:tab/>
        <w:t xml:space="preserve">Stabilita lodi převážející zajištěné kontejnery se považuje za dostatečnou, pokud skutečná hodnota </w:t>
      </w:r>
      <m:oMath>
        <m:acc>
          <m:accPr>
            <m:chr m:val="̅"/>
            <m:ctrlPr>
              <w:rPr>
                <w:rFonts w:ascii="Cambria Math" w:eastAsia="Calibri" w:hAnsi="Cambria Math"/>
                <w:i/>
                <w:lang w:val="cs-CZ"/>
              </w:rPr>
            </m:ctrlPr>
          </m:accPr>
          <m:e>
            <m:r>
              <w:rPr>
                <w:rFonts w:ascii="Cambria Math" w:eastAsia="Calibri" w:hAnsi="Cambria Math"/>
                <w:lang w:val="cs-CZ"/>
              </w:rPr>
              <m:t>KG</m:t>
            </m:r>
          </m:e>
        </m:acc>
      </m:oMath>
      <w:r w:rsidRPr="003B6E11">
        <w:rPr>
          <w:lang w:val="cs-CZ"/>
        </w:rPr>
        <w:t xml:space="preserve"> nepřevyšuje hodnotu </w:t>
      </w:r>
      <m:oMath>
        <m:sSub>
          <m:sSubPr>
            <m:ctrlPr>
              <w:rPr>
                <w:rFonts w:ascii="Cambria Math" w:hAnsi="Cambria Math"/>
                <w:i/>
                <w:noProof/>
                <w:lang w:val="cs-CZ"/>
              </w:rPr>
            </m:ctrlPr>
          </m:sSubPr>
          <m:e>
            <m:acc>
              <m:accPr>
                <m:chr m:val="̅"/>
                <m:ctrlPr>
                  <w:rPr>
                    <w:rFonts w:ascii="Cambria Math" w:hAnsi="Cambria Math"/>
                    <w:i/>
                    <w:noProof/>
                    <w:lang w:val="cs-CZ"/>
                  </w:rPr>
                </m:ctrlPr>
              </m:accPr>
              <m:e>
                <m:r>
                  <w:rPr>
                    <w:rFonts w:ascii="Cambria Math" w:hAnsi="Cambria Math"/>
                    <w:noProof/>
                    <w:lang w:val="cs-CZ"/>
                  </w:rPr>
                  <m:t>KG</m:t>
                </m:r>
              </m:e>
            </m:acc>
          </m:e>
          <m:sub>
            <m:r>
              <w:rPr>
                <w:rFonts w:ascii="Cambria Math" w:hAnsi="Cambria Math"/>
                <w:noProof/>
                <w:lang w:val="cs-CZ"/>
              </w:rPr>
              <m:t>zul</m:t>
            </m:r>
          </m:sub>
        </m:sSub>
      </m:oMath>
      <w:r w:rsidRPr="003B6E11">
        <w:rPr>
          <w:lang w:val="cs-CZ"/>
        </w:rPr>
        <w:t xml:space="preserve"> vyplývající z následujících vzorců, která byla vypočtena pro jednotlivé výtlaky v celém rozsahu ponorů.</w:t>
      </w:r>
    </w:p>
    <w:p w:rsidR="00E82B25" w:rsidRPr="003B6E11" w:rsidRDefault="00E82B25" w:rsidP="00E82B25">
      <w:pPr>
        <w:pStyle w:val="ESch"/>
        <w:rPr>
          <w:rFonts w:cs="Arial"/>
          <w:szCs w:val="18"/>
          <w:lang w:val="cs-CZ"/>
        </w:rPr>
      </w:pPr>
    </w:p>
    <w:p w:rsidR="00E82B25" w:rsidRPr="003B6E11" w:rsidRDefault="00E82B25" w:rsidP="00E82B25">
      <w:pPr>
        <w:pStyle w:val="ESlet"/>
        <w:rPr>
          <w:rFonts w:eastAsia="Calibri"/>
          <w:lang w:val="cs-CZ"/>
        </w:rPr>
      </w:pPr>
      <w:r w:rsidRPr="003B6E11">
        <w:rPr>
          <w:lang w:val="cs-CZ"/>
        </w:rPr>
        <w:t>a)</w:t>
      </w:r>
      <w:r w:rsidRPr="003B6E11">
        <w:rPr>
          <w:lang w:val="cs-CZ"/>
        </w:rPr>
        <w:tab/>
      </w:r>
      <m:oMath>
        <m:sSub>
          <m:sSubPr>
            <m:ctrlPr>
              <w:rPr>
                <w:rFonts w:ascii="Cambria Math" w:eastAsia="Calibri" w:hAnsi="Cambria Math"/>
                <w:i/>
                <w:lang w:val="cs-CZ"/>
              </w:rPr>
            </m:ctrlPr>
          </m:sSubPr>
          <m:e>
            <m:acc>
              <m:accPr>
                <m:chr m:val="̅"/>
                <m:ctrlPr>
                  <w:rPr>
                    <w:rFonts w:ascii="Cambria Math" w:eastAsia="Calibri" w:hAnsi="Cambria Math"/>
                    <w:i/>
                    <w:lang w:val="cs-CZ"/>
                  </w:rPr>
                </m:ctrlPr>
              </m:accPr>
              <m:e>
                <m:r>
                  <w:rPr>
                    <w:rFonts w:ascii="Cambria Math" w:eastAsia="Calibri" w:hAnsi="Cambria Math"/>
                    <w:sz w:val="24"/>
                    <w:lang w:val="cs-CZ"/>
                  </w:rPr>
                  <m:t>KG</m:t>
                </m:r>
              </m:e>
            </m:acc>
          </m:e>
          <m:sub>
            <m:r>
              <w:rPr>
                <w:rFonts w:ascii="Cambria Math" w:eastAsia="Calibri" w:hAnsi="Cambria Math"/>
                <w:lang w:val="cs-CZ"/>
              </w:rPr>
              <m:t>zul</m:t>
            </m:r>
          </m:sub>
        </m:sSub>
        <m:r>
          <w:rPr>
            <w:rFonts w:ascii="Cambria Math" w:eastAsia="Calibri" w:hAnsi="Cambria Math"/>
            <w:lang w:val="cs-CZ"/>
          </w:rPr>
          <m:t xml:space="preserve">= </m:t>
        </m:r>
        <m:f>
          <m:fPr>
            <m:ctrlPr>
              <w:rPr>
                <w:rFonts w:ascii="Cambria Math" w:eastAsia="Calibri" w:hAnsi="Cambria Math"/>
                <w:i/>
                <w:lang w:val="cs-CZ"/>
              </w:rPr>
            </m:ctrlPr>
          </m:fPr>
          <m:num>
            <m:acc>
              <m:accPr>
                <m:chr m:val="̅"/>
                <m:ctrlPr>
                  <w:rPr>
                    <w:rFonts w:ascii="Cambria Math" w:eastAsia="Calibri" w:hAnsi="Cambria Math"/>
                    <w:i/>
                    <w:lang w:val="cs-CZ"/>
                  </w:rPr>
                </m:ctrlPr>
              </m:accPr>
              <m:e>
                <m:r>
                  <w:rPr>
                    <w:rFonts w:ascii="Cambria Math" w:eastAsia="Calibri" w:hAnsi="Cambria Math"/>
                    <w:lang w:val="cs-CZ"/>
                  </w:rPr>
                  <m:t>KM</m:t>
                </m:r>
              </m:e>
            </m:acc>
            <m:r>
              <w:rPr>
                <w:rFonts w:ascii="Cambria Math" w:eastAsia="Calibri" w:hAnsi="Cambria Math"/>
                <w:lang w:val="cs-CZ"/>
              </w:rPr>
              <m:t xml:space="preserve">- </m:t>
            </m:r>
            <m:f>
              <m:fPr>
                <m:ctrlPr>
                  <w:rPr>
                    <w:rFonts w:ascii="Cambria Math" w:eastAsia="Calibri" w:hAnsi="Cambria Math"/>
                    <w:i/>
                    <w:lang w:val="cs-CZ"/>
                  </w:rPr>
                </m:ctrlPr>
              </m:fPr>
              <m:num>
                <m:r>
                  <w:rPr>
                    <w:rFonts w:ascii="Cambria Math" w:eastAsia="Calibri" w:hAnsi="Cambria Math"/>
                    <w:lang w:val="cs-CZ"/>
                  </w:rPr>
                  <m:t>I-i</m:t>
                </m:r>
              </m:num>
              <m:den>
                <m:r>
                  <w:rPr>
                    <w:rFonts w:ascii="Cambria Math" w:eastAsia="Calibri" w:hAnsi="Cambria Math"/>
                    <w:lang w:val="cs-CZ"/>
                  </w:rPr>
                  <m:t>2 ∀</m:t>
                </m:r>
              </m:den>
            </m:f>
            <m:r>
              <w:rPr>
                <w:rFonts w:ascii="Cambria Math" w:eastAsia="Calibri" w:hAnsi="Cambria Math"/>
                <w:lang w:val="cs-CZ"/>
              </w:rPr>
              <m:t xml:space="preserve"> </m:t>
            </m:r>
            <m:d>
              <m:dPr>
                <m:ctrlPr>
                  <w:rPr>
                    <w:rFonts w:ascii="Cambria Math" w:eastAsia="Calibri" w:hAnsi="Cambria Math"/>
                    <w:i/>
                    <w:lang w:val="cs-CZ"/>
                  </w:rPr>
                </m:ctrlPr>
              </m:dPr>
              <m:e>
                <m:r>
                  <w:rPr>
                    <w:rFonts w:ascii="Cambria Math" w:eastAsia="Calibri" w:hAnsi="Cambria Math"/>
                    <w:lang w:val="cs-CZ"/>
                  </w:rPr>
                  <m:t xml:space="preserve">1-1,5 </m:t>
                </m:r>
                <m:f>
                  <m:fPr>
                    <m:ctrlPr>
                      <w:rPr>
                        <w:rFonts w:ascii="Cambria Math" w:eastAsia="Calibri" w:hAnsi="Cambria Math"/>
                        <w:i/>
                        <w:lang w:val="cs-CZ"/>
                      </w:rPr>
                    </m:ctrlPr>
                  </m:fPr>
                  <m:num>
                    <m:r>
                      <w:rPr>
                        <w:rFonts w:ascii="Cambria Math" w:eastAsia="Calibri" w:hAnsi="Cambria Math"/>
                        <w:lang w:val="cs-CZ"/>
                      </w:rPr>
                      <m:t>F</m:t>
                    </m:r>
                  </m:num>
                  <m:den>
                    <m:sSup>
                      <m:sSupPr>
                        <m:ctrlPr>
                          <w:rPr>
                            <w:rFonts w:ascii="Cambria Math" w:eastAsia="Calibri" w:hAnsi="Cambria Math"/>
                            <w:i/>
                            <w:lang w:val="cs-CZ"/>
                          </w:rPr>
                        </m:ctrlPr>
                      </m:sSupPr>
                      <m:e>
                        <m:r>
                          <w:rPr>
                            <w:rFonts w:ascii="Cambria Math" w:eastAsia="Calibri" w:hAnsi="Cambria Math"/>
                            <w:lang w:val="cs-CZ"/>
                          </w:rPr>
                          <m:t>F</m:t>
                        </m:r>
                      </m:e>
                      <m:sup>
                        <m:r>
                          <w:rPr>
                            <w:rFonts w:ascii="Cambria Math" w:eastAsia="Calibri" w:hAnsi="Cambria Math"/>
                            <w:lang w:val="cs-CZ"/>
                          </w:rPr>
                          <m:t>'</m:t>
                        </m:r>
                      </m:sup>
                    </m:sSup>
                  </m:den>
                </m:f>
              </m:e>
            </m:d>
            <m:r>
              <w:rPr>
                <w:rFonts w:ascii="Cambria Math" w:eastAsia="Calibri" w:hAnsi="Cambria Math"/>
                <w:lang w:val="cs-CZ"/>
              </w:rPr>
              <m:t xml:space="preserve">+0,75 </m:t>
            </m:r>
            <m:f>
              <m:fPr>
                <m:ctrlPr>
                  <w:rPr>
                    <w:rFonts w:ascii="Cambria Math" w:eastAsia="Calibri" w:hAnsi="Cambria Math"/>
                    <w:i/>
                    <w:lang w:val="cs-CZ"/>
                  </w:rPr>
                </m:ctrlPr>
              </m:fPr>
              <m:num>
                <m:sSub>
                  <m:sSubPr>
                    <m:ctrlPr>
                      <w:rPr>
                        <w:rFonts w:ascii="Cambria Math" w:eastAsia="Calibri" w:hAnsi="Cambria Math"/>
                        <w:i/>
                        <w:lang w:val="cs-CZ"/>
                      </w:rPr>
                    </m:ctrlPr>
                  </m:sSubPr>
                  <m:e>
                    <m:r>
                      <w:rPr>
                        <w:rFonts w:ascii="Cambria Math" w:eastAsia="Calibri" w:hAnsi="Cambria Math"/>
                        <w:lang w:val="cs-CZ"/>
                      </w:rPr>
                      <m:t>B</m:t>
                    </m:r>
                  </m:e>
                  <m:sub>
                    <m:r>
                      <w:rPr>
                        <w:rFonts w:ascii="Cambria Math" w:eastAsia="Calibri" w:hAnsi="Cambria Math"/>
                        <w:lang w:val="cs-CZ"/>
                      </w:rPr>
                      <m:t>WL</m:t>
                    </m:r>
                  </m:sub>
                </m:sSub>
              </m:num>
              <m:den>
                <m:sSup>
                  <m:sSupPr>
                    <m:ctrlPr>
                      <w:rPr>
                        <w:rFonts w:ascii="Cambria Math" w:eastAsia="Calibri" w:hAnsi="Cambria Math"/>
                        <w:i/>
                        <w:lang w:val="cs-CZ"/>
                      </w:rPr>
                    </m:ctrlPr>
                  </m:sSupPr>
                  <m:e>
                    <m:r>
                      <w:rPr>
                        <w:rFonts w:ascii="Cambria Math" w:eastAsia="Calibri" w:hAnsi="Cambria Math"/>
                        <w:lang w:val="cs-CZ"/>
                      </w:rPr>
                      <m:t>F</m:t>
                    </m:r>
                  </m:e>
                  <m:sup>
                    <m:r>
                      <w:rPr>
                        <w:rFonts w:ascii="Cambria Math" w:eastAsia="Calibri" w:hAnsi="Cambria Math"/>
                        <w:lang w:val="cs-CZ"/>
                      </w:rPr>
                      <m:t>'</m:t>
                    </m:r>
                  </m:sup>
                </m:sSup>
              </m:den>
            </m:f>
            <m:r>
              <w:rPr>
                <w:rFonts w:ascii="Cambria Math" w:eastAsia="Calibri" w:hAnsi="Cambria Math"/>
                <w:lang w:val="cs-CZ"/>
              </w:rPr>
              <m:t xml:space="preserve"> </m:t>
            </m:r>
            <m:d>
              <m:dPr>
                <m:ctrlPr>
                  <w:rPr>
                    <w:rFonts w:ascii="Cambria Math" w:eastAsia="Calibri" w:hAnsi="Cambria Math"/>
                    <w:i/>
                    <w:lang w:val="cs-CZ"/>
                  </w:rPr>
                </m:ctrlPr>
              </m:dPr>
              <m:e>
                <m:r>
                  <w:rPr>
                    <w:rFonts w:ascii="Cambria Math" w:eastAsia="Calibri" w:hAnsi="Cambria Math"/>
                    <w:lang w:val="cs-CZ"/>
                  </w:rPr>
                  <m:t xml:space="preserve">Z ∙ </m:t>
                </m:r>
                <m:f>
                  <m:fPr>
                    <m:ctrlPr>
                      <w:rPr>
                        <w:rFonts w:ascii="Cambria Math" w:eastAsia="Calibri" w:hAnsi="Cambria Math"/>
                        <w:i/>
                        <w:lang w:val="cs-CZ"/>
                      </w:rPr>
                    </m:ctrlPr>
                  </m:fPr>
                  <m:num>
                    <m:sSub>
                      <m:sSubPr>
                        <m:ctrlPr>
                          <w:rPr>
                            <w:rFonts w:ascii="Cambria Math" w:eastAsia="Calibri" w:hAnsi="Cambria Math"/>
                            <w:i/>
                            <w:lang w:val="cs-CZ"/>
                          </w:rPr>
                        </m:ctrlPr>
                      </m:sSubPr>
                      <m:e>
                        <m:r>
                          <w:rPr>
                            <w:rFonts w:ascii="Cambria Math" w:eastAsia="Calibri" w:hAnsi="Cambria Math"/>
                            <w:lang w:val="cs-CZ"/>
                          </w:rPr>
                          <m:t>T</m:t>
                        </m:r>
                      </m:e>
                      <m:sub>
                        <m:r>
                          <w:rPr>
                            <w:rFonts w:ascii="Cambria Math" w:eastAsia="Calibri" w:hAnsi="Cambria Math"/>
                            <w:lang w:val="cs-CZ"/>
                          </w:rPr>
                          <m:t>m</m:t>
                        </m:r>
                      </m:sub>
                    </m:sSub>
                  </m:num>
                  <m:den>
                    <m:r>
                      <w:rPr>
                        <w:rFonts w:ascii="Cambria Math" w:eastAsia="Calibri" w:hAnsi="Cambria Math"/>
                        <w:lang w:val="cs-CZ"/>
                      </w:rPr>
                      <m:t>2</m:t>
                    </m:r>
                  </m:den>
                </m:f>
                <m:r>
                  <w:rPr>
                    <w:rFonts w:ascii="Cambria Math" w:eastAsia="Calibri" w:hAnsi="Cambria Math"/>
                    <w:lang w:val="cs-CZ"/>
                  </w:rPr>
                  <m:t xml:space="preserve">- </m:t>
                </m:r>
                <m:sSub>
                  <m:sSubPr>
                    <m:ctrlPr>
                      <w:rPr>
                        <w:rFonts w:ascii="Cambria Math" w:eastAsia="Calibri" w:hAnsi="Cambria Math"/>
                        <w:i/>
                        <w:lang w:val="cs-CZ"/>
                      </w:rPr>
                    </m:ctrlPr>
                  </m:sSubPr>
                  <m:e>
                    <m:r>
                      <w:rPr>
                        <w:rFonts w:ascii="Cambria Math" w:eastAsia="Calibri" w:hAnsi="Cambria Math"/>
                        <w:lang w:val="cs-CZ"/>
                      </w:rPr>
                      <m:t>h</m:t>
                    </m:r>
                  </m:e>
                  <m:sub>
                    <m:r>
                      <w:rPr>
                        <w:rFonts w:ascii="Cambria Math" w:eastAsia="Calibri" w:hAnsi="Cambria Math"/>
                        <w:lang w:val="cs-CZ"/>
                      </w:rPr>
                      <m:t>KW</m:t>
                    </m:r>
                  </m:sub>
                </m:sSub>
                <m:r>
                  <w:rPr>
                    <w:rFonts w:ascii="Cambria Math" w:eastAsia="Calibri" w:hAnsi="Cambria Math"/>
                    <w:lang w:val="cs-CZ"/>
                  </w:rPr>
                  <m:t xml:space="preserve">- </m:t>
                </m:r>
                <m:sSub>
                  <m:sSubPr>
                    <m:ctrlPr>
                      <w:rPr>
                        <w:rFonts w:ascii="Cambria Math" w:eastAsia="Calibri" w:hAnsi="Cambria Math"/>
                        <w:i/>
                        <w:lang w:val="cs-CZ"/>
                      </w:rPr>
                    </m:ctrlPr>
                  </m:sSubPr>
                  <m:e>
                    <m:r>
                      <w:rPr>
                        <w:rFonts w:ascii="Cambria Math" w:eastAsia="Calibri" w:hAnsi="Cambria Math"/>
                        <w:lang w:val="cs-CZ"/>
                      </w:rPr>
                      <m:t>h</m:t>
                    </m:r>
                  </m:e>
                  <m:sub>
                    <m:r>
                      <w:rPr>
                        <w:rFonts w:ascii="Cambria Math" w:eastAsia="Calibri" w:hAnsi="Cambria Math"/>
                        <w:lang w:val="cs-CZ"/>
                      </w:rPr>
                      <m:t>KfO</m:t>
                    </m:r>
                  </m:sub>
                </m:sSub>
              </m:e>
            </m:d>
          </m:num>
          <m:den>
            <m:r>
              <w:rPr>
                <w:rFonts w:ascii="Cambria Math" w:eastAsia="Calibri" w:hAnsi="Cambria Math"/>
                <w:lang w:val="cs-CZ"/>
              </w:rPr>
              <m:t xml:space="preserve">0,75 ∙ </m:t>
            </m:r>
            <m:f>
              <m:fPr>
                <m:ctrlPr>
                  <w:rPr>
                    <w:rFonts w:ascii="Cambria Math" w:eastAsia="Calibri" w:hAnsi="Cambria Math"/>
                    <w:i/>
                    <w:lang w:val="cs-CZ"/>
                  </w:rPr>
                </m:ctrlPr>
              </m:fPr>
              <m:num>
                <m:sSub>
                  <m:sSubPr>
                    <m:ctrlPr>
                      <w:rPr>
                        <w:rFonts w:ascii="Cambria Math" w:eastAsia="Calibri" w:hAnsi="Cambria Math"/>
                        <w:i/>
                        <w:lang w:val="cs-CZ"/>
                      </w:rPr>
                    </m:ctrlPr>
                  </m:sSubPr>
                  <m:e>
                    <m:r>
                      <w:rPr>
                        <w:rFonts w:ascii="Cambria Math" w:eastAsia="Calibri" w:hAnsi="Cambria Math"/>
                        <w:lang w:val="cs-CZ"/>
                      </w:rPr>
                      <m:t>B</m:t>
                    </m:r>
                  </m:e>
                  <m:sub>
                    <m:r>
                      <w:rPr>
                        <w:rFonts w:ascii="Cambria Math" w:eastAsia="Calibri" w:hAnsi="Cambria Math"/>
                        <w:lang w:val="cs-CZ"/>
                      </w:rPr>
                      <m:t>WL</m:t>
                    </m:r>
                  </m:sub>
                </m:sSub>
              </m:num>
              <m:den>
                <m:sSup>
                  <m:sSupPr>
                    <m:ctrlPr>
                      <w:rPr>
                        <w:rFonts w:ascii="Cambria Math" w:eastAsia="Calibri" w:hAnsi="Cambria Math"/>
                        <w:i/>
                        <w:lang w:val="cs-CZ"/>
                      </w:rPr>
                    </m:ctrlPr>
                  </m:sSupPr>
                  <m:e>
                    <m:r>
                      <w:rPr>
                        <w:rFonts w:ascii="Cambria Math" w:eastAsia="Calibri" w:hAnsi="Cambria Math"/>
                        <w:lang w:val="cs-CZ"/>
                      </w:rPr>
                      <m:t>F</m:t>
                    </m:r>
                  </m:e>
                  <m:sup>
                    <m:r>
                      <w:rPr>
                        <w:rFonts w:ascii="Cambria Math" w:eastAsia="Calibri" w:hAnsi="Cambria Math"/>
                        <w:lang w:val="cs-CZ"/>
                      </w:rPr>
                      <m:t>'</m:t>
                    </m:r>
                  </m:sup>
                </m:sSup>
              </m:den>
            </m:f>
            <m:r>
              <w:rPr>
                <w:rFonts w:ascii="Cambria Math" w:eastAsia="Calibri" w:hAnsi="Cambria Math"/>
                <w:lang w:val="cs-CZ"/>
              </w:rPr>
              <m:t xml:space="preserve"> ∙  Z+1</m:t>
            </m:r>
          </m:den>
        </m:f>
        <m:r>
          <w:rPr>
            <w:rFonts w:ascii="Cambria Math" w:eastAsia="Calibri" w:hAnsi="Cambria Math"/>
            <w:lang w:val="cs-CZ"/>
          </w:rPr>
          <m:t xml:space="preserve"> </m:t>
        </m:r>
        <m:d>
          <m:dPr>
            <m:begChr m:val="["/>
            <m:endChr m:val="]"/>
            <m:ctrlPr>
              <w:rPr>
                <w:rFonts w:ascii="Cambria Math" w:eastAsia="Calibri" w:hAnsi="Cambria Math"/>
                <w:i/>
                <w:lang w:val="cs-CZ"/>
              </w:rPr>
            </m:ctrlPr>
          </m:dPr>
          <m:e>
            <m:r>
              <w:rPr>
                <w:rFonts w:ascii="Cambria Math" w:eastAsia="Calibri" w:hAnsi="Cambria Math"/>
                <w:lang w:val="cs-CZ"/>
              </w:rPr>
              <m:t>m</m:t>
            </m:r>
          </m:e>
        </m:d>
      </m:oMath>
    </w:p>
    <w:p w:rsidR="00E82B25" w:rsidRPr="003B6E11" w:rsidRDefault="00E82B25" w:rsidP="00E82B25">
      <w:pPr>
        <w:pStyle w:val="ESlet"/>
        <w:rPr>
          <w:rFonts w:eastAsia="Calibri"/>
          <w:lang w:val="cs-CZ"/>
        </w:rPr>
      </w:pPr>
    </w:p>
    <w:p w:rsidR="00E82B25" w:rsidRPr="003B6E11" w:rsidRDefault="00E82B25" w:rsidP="00E82B25">
      <w:pPr>
        <w:pStyle w:val="ESletpar"/>
        <w:rPr>
          <w:rFonts w:cs="Arial"/>
          <w:szCs w:val="18"/>
          <w:lang w:val="cs-CZ"/>
        </w:rPr>
      </w:pPr>
      <w:r w:rsidRPr="003B6E11">
        <w:rPr>
          <w:lang w:val="cs-CZ"/>
        </w:rPr>
        <w:t xml:space="preserve">Pro </w:t>
      </w:r>
      <m:oMath>
        <m:f>
          <m:fPr>
            <m:ctrlPr>
              <w:rPr>
                <w:rFonts w:ascii="Cambria Math" w:hAnsi="Cambria Math"/>
                <w:i/>
                <w:noProof/>
                <w:lang w:val="cs-CZ"/>
              </w:rPr>
            </m:ctrlPr>
          </m:fPr>
          <m:num>
            <m:sSub>
              <m:sSubPr>
                <m:ctrlPr>
                  <w:rPr>
                    <w:rFonts w:ascii="Cambria Math" w:hAnsi="Cambria Math"/>
                    <w:i/>
                    <w:noProof/>
                    <w:lang w:val="cs-CZ"/>
                  </w:rPr>
                </m:ctrlPr>
              </m:sSubPr>
              <m:e>
                <m:r>
                  <w:rPr>
                    <w:rFonts w:ascii="Cambria Math" w:hAnsi="Cambria Math"/>
                    <w:noProof/>
                    <w:lang w:val="cs-CZ"/>
                  </w:rPr>
                  <m:t>B</m:t>
                </m:r>
              </m:e>
              <m:sub>
                <m:r>
                  <w:rPr>
                    <w:rFonts w:ascii="Cambria Math" w:hAnsi="Cambria Math"/>
                    <w:noProof/>
                    <w:lang w:val="cs-CZ"/>
                  </w:rPr>
                  <m:t>WL</m:t>
                </m:r>
              </m:sub>
            </m:sSub>
          </m:num>
          <m:den>
            <m:r>
              <w:rPr>
                <w:rFonts w:ascii="Cambria Math" w:hAnsi="Cambria Math"/>
                <w:noProof/>
                <w:lang w:val="cs-CZ"/>
              </w:rPr>
              <m:t>F'</m:t>
            </m:r>
          </m:den>
        </m:f>
      </m:oMath>
      <w:r w:rsidRPr="003B6E11">
        <w:rPr>
          <w:lang w:val="cs-CZ"/>
        </w:rPr>
        <w:t xml:space="preserve"> nesmí být žádná hodnota menší než 6,6 a</w:t>
      </w:r>
    </w:p>
    <w:p w:rsidR="00E82B25" w:rsidRPr="003B6E11" w:rsidRDefault="00E82B25" w:rsidP="00E82B25">
      <w:pPr>
        <w:pStyle w:val="ESletpar"/>
        <w:rPr>
          <w:rFonts w:cs="Arial"/>
          <w:szCs w:val="18"/>
          <w:lang w:val="cs-CZ"/>
        </w:rPr>
      </w:pPr>
      <w:r w:rsidRPr="003B6E11">
        <w:rPr>
          <w:lang w:val="cs-CZ"/>
        </w:rPr>
        <w:t xml:space="preserve">žádná hodnota nesmí být menší než 0 pro  </w:t>
      </w:r>
      <m:oMath>
        <m:f>
          <m:fPr>
            <m:ctrlPr>
              <w:rPr>
                <w:rFonts w:ascii="Cambria Math" w:hAnsi="Cambria Math"/>
                <w:i/>
                <w:noProof/>
                <w:lang w:val="cs-CZ"/>
              </w:rPr>
            </m:ctrlPr>
          </m:fPr>
          <m:num>
            <m:r>
              <w:rPr>
                <w:rFonts w:ascii="Cambria Math" w:hAnsi="Cambria Math"/>
                <w:noProof/>
                <w:lang w:val="cs-CZ"/>
              </w:rPr>
              <m:t>I-i</m:t>
            </m:r>
          </m:num>
          <m:den>
            <m:r>
              <w:rPr>
                <w:rFonts w:ascii="Cambria Math" w:hAnsi="Cambria Math"/>
                <w:noProof/>
                <w:lang w:val="cs-CZ"/>
              </w:rPr>
              <m:t>2 ∀</m:t>
            </m:r>
          </m:den>
        </m:f>
        <m:r>
          <w:rPr>
            <w:rFonts w:ascii="Cambria Math" w:hAnsi="Cambria Math"/>
            <w:noProof/>
            <w:lang w:val="cs-CZ"/>
          </w:rPr>
          <m:t xml:space="preserve"> ∙ </m:t>
        </m:r>
        <m:d>
          <m:dPr>
            <m:ctrlPr>
              <w:rPr>
                <w:rFonts w:ascii="Cambria Math" w:hAnsi="Cambria Math"/>
                <w:i/>
                <w:noProof/>
                <w:lang w:val="cs-CZ"/>
              </w:rPr>
            </m:ctrlPr>
          </m:dPr>
          <m:e>
            <m:r>
              <w:rPr>
                <w:rFonts w:ascii="Cambria Math" w:hAnsi="Cambria Math"/>
                <w:noProof/>
                <w:lang w:val="cs-CZ"/>
              </w:rPr>
              <m:t xml:space="preserve">1-1,5 </m:t>
            </m:r>
            <m:f>
              <m:fPr>
                <m:ctrlPr>
                  <w:rPr>
                    <w:rFonts w:ascii="Cambria Math" w:hAnsi="Cambria Math"/>
                    <w:i/>
                    <w:noProof/>
                    <w:lang w:val="cs-CZ"/>
                  </w:rPr>
                </m:ctrlPr>
              </m:fPr>
              <m:num>
                <m:r>
                  <w:rPr>
                    <w:rFonts w:ascii="Cambria Math" w:hAnsi="Cambria Math"/>
                    <w:noProof/>
                    <w:lang w:val="cs-CZ"/>
                  </w:rPr>
                  <m:t>F</m:t>
                </m:r>
              </m:num>
              <m:den>
                <m:r>
                  <w:rPr>
                    <w:rFonts w:ascii="Cambria Math" w:hAnsi="Cambria Math"/>
                    <w:noProof/>
                    <w:lang w:val="cs-CZ"/>
                  </w:rPr>
                  <m:t>F'</m:t>
                </m:r>
              </m:den>
            </m:f>
          </m:e>
        </m:d>
      </m:oMath>
    </w:p>
    <w:p w:rsidR="00E82B25" w:rsidRPr="003B6E11" w:rsidRDefault="00E82B25" w:rsidP="00E82B25">
      <w:pPr>
        <w:pStyle w:val="ESlet"/>
        <w:rPr>
          <w:rFonts w:cs="Arial"/>
          <w:szCs w:val="18"/>
          <w:lang w:val="cs-CZ"/>
        </w:rPr>
      </w:pPr>
      <w:r w:rsidRPr="003B6E11">
        <w:rPr>
          <w:lang w:val="cs-CZ"/>
        </w:rPr>
        <w:t>b)</w:t>
      </w:r>
      <w:r w:rsidRPr="003B6E11">
        <w:rPr>
          <w:lang w:val="cs-CZ"/>
        </w:rPr>
        <w:tab/>
      </w:r>
      <m:oMath>
        <m:sSub>
          <m:sSubPr>
            <m:ctrlPr>
              <w:rPr>
                <w:rFonts w:ascii="Cambria Math" w:hAnsi="Cambria Math"/>
                <w:i/>
                <w:noProof/>
                <w:lang w:val="cs-CZ"/>
              </w:rPr>
            </m:ctrlPr>
          </m:sSubPr>
          <m:e>
            <m:acc>
              <m:accPr>
                <m:chr m:val="̅"/>
                <m:ctrlPr>
                  <w:rPr>
                    <w:rFonts w:ascii="Cambria Math" w:hAnsi="Cambria Math"/>
                    <w:i/>
                    <w:noProof/>
                    <w:lang w:val="cs-CZ"/>
                  </w:rPr>
                </m:ctrlPr>
              </m:accPr>
              <m:e>
                <m:r>
                  <w:rPr>
                    <w:rFonts w:ascii="Cambria Math" w:hAnsi="Cambria Math"/>
                    <w:noProof/>
                    <w:lang w:val="cs-CZ"/>
                  </w:rPr>
                  <m:t>KG</m:t>
                </m:r>
              </m:e>
            </m:acc>
          </m:e>
          <m:sub>
            <m:r>
              <w:rPr>
                <w:rFonts w:ascii="Cambria Math" w:hAnsi="Cambria Math"/>
                <w:noProof/>
                <w:lang w:val="cs-CZ"/>
              </w:rPr>
              <m:t>zul</m:t>
            </m:r>
          </m:sub>
        </m:sSub>
        <m:r>
          <w:rPr>
            <w:rFonts w:ascii="Cambria Math" w:hAnsi="Cambria Math"/>
            <w:noProof/>
            <w:lang w:val="cs-CZ"/>
          </w:rPr>
          <m:t xml:space="preserve">= </m:t>
        </m:r>
        <m:acc>
          <m:accPr>
            <m:chr m:val="̅"/>
            <m:ctrlPr>
              <w:rPr>
                <w:rFonts w:ascii="Cambria Math" w:hAnsi="Cambria Math"/>
                <w:i/>
                <w:noProof/>
                <w:lang w:val="cs-CZ"/>
              </w:rPr>
            </m:ctrlPr>
          </m:accPr>
          <m:e>
            <m:r>
              <w:rPr>
                <w:rFonts w:ascii="Cambria Math" w:hAnsi="Cambria Math"/>
                <w:noProof/>
                <w:lang w:val="cs-CZ"/>
              </w:rPr>
              <m:t>KM</m:t>
            </m:r>
          </m:e>
        </m:acc>
        <m:r>
          <w:rPr>
            <w:rFonts w:ascii="Cambria Math" w:hAnsi="Cambria Math"/>
            <w:noProof/>
            <w:lang w:val="cs-CZ"/>
          </w:rPr>
          <m:t xml:space="preserve">-0,50 </m:t>
        </m:r>
        <m:d>
          <m:dPr>
            <m:begChr m:val="["/>
            <m:endChr m:val="]"/>
            <m:ctrlPr>
              <w:rPr>
                <w:rFonts w:ascii="Cambria Math" w:hAnsi="Cambria Math"/>
                <w:i/>
                <w:noProof/>
                <w:lang w:val="cs-CZ"/>
              </w:rPr>
            </m:ctrlPr>
          </m:dPr>
          <m:e>
            <m:r>
              <w:rPr>
                <w:rFonts w:ascii="Cambria Math" w:hAnsi="Cambria Math"/>
                <w:noProof/>
                <w:lang w:val="cs-CZ"/>
              </w:rPr>
              <m:t>m</m:t>
            </m:r>
          </m:e>
        </m:d>
      </m:oMath>
    </w:p>
    <w:p w:rsidR="00E82B25" w:rsidRPr="003B6E11" w:rsidRDefault="00E82B25" w:rsidP="00E82B25">
      <w:pPr>
        <w:pStyle w:val="ESletpar"/>
        <w:rPr>
          <w:rFonts w:cs="Arial"/>
          <w:szCs w:val="18"/>
          <w:lang w:val="cs-CZ"/>
        </w:rPr>
      </w:pPr>
      <w:r w:rsidRPr="003B6E11">
        <w:rPr>
          <w:lang w:val="cs-CZ"/>
        </w:rPr>
        <w:t xml:space="preserve">Rozhodující je nejnižší z hodnot </w:t>
      </w:r>
      <m:oMath>
        <m:sSub>
          <m:sSubPr>
            <m:ctrlPr>
              <w:rPr>
                <w:rFonts w:ascii="Cambria Math" w:hAnsi="Cambria Math"/>
                <w:i/>
                <w:noProof/>
                <w:lang w:val="cs-CZ"/>
              </w:rPr>
            </m:ctrlPr>
          </m:sSubPr>
          <m:e>
            <m:acc>
              <m:accPr>
                <m:chr m:val="̅"/>
                <m:ctrlPr>
                  <w:rPr>
                    <w:rFonts w:ascii="Cambria Math" w:hAnsi="Cambria Math"/>
                    <w:i/>
                    <w:noProof/>
                    <w:lang w:val="cs-CZ"/>
                  </w:rPr>
                </m:ctrlPr>
              </m:accPr>
              <m:e>
                <m:r>
                  <w:rPr>
                    <w:rFonts w:ascii="Cambria Math" w:hAnsi="Cambria Math"/>
                    <w:noProof/>
                    <w:lang w:val="cs-CZ"/>
                  </w:rPr>
                  <m:t>KG</m:t>
                </m:r>
              </m:e>
            </m:acc>
          </m:e>
          <m:sub>
            <m:r>
              <w:rPr>
                <w:rFonts w:ascii="Cambria Math" w:hAnsi="Cambria Math"/>
                <w:noProof/>
                <w:lang w:val="cs-CZ"/>
              </w:rPr>
              <m:t>zul</m:t>
            </m:r>
          </m:sub>
        </m:sSub>
      </m:oMath>
      <w:r w:rsidRPr="003B6E11">
        <w:rPr>
          <w:lang w:val="cs-CZ"/>
        </w:rPr>
        <w:t xml:space="preserve"> podle vzorce a) nebo b).</w:t>
      </w:r>
    </w:p>
    <w:p w:rsidR="00E82B25" w:rsidRPr="003B6E11" w:rsidRDefault="00E82B25" w:rsidP="00E82B25">
      <w:pPr>
        <w:pStyle w:val="ESletpar"/>
        <w:rPr>
          <w:rFonts w:cs="Arial"/>
          <w:szCs w:val="18"/>
          <w:lang w:val="cs-CZ"/>
        </w:rPr>
      </w:pPr>
      <w:r w:rsidRPr="003B6E11">
        <w:rPr>
          <w:lang w:val="cs-CZ"/>
        </w:rPr>
        <w:t>Kromě již výše definovaných výrazů platí v těchto vzorcích:</w:t>
      </w:r>
    </w:p>
    <w:p w:rsidR="00E82B25" w:rsidRPr="003B6E11" w:rsidRDefault="00E82B25" w:rsidP="00E82B25">
      <w:pPr>
        <w:pStyle w:val="EStiret"/>
        <w:rPr>
          <w:rFonts w:eastAsia="Calibri"/>
          <w:lang w:val="cs-CZ"/>
        </w:rPr>
      </w:pPr>
      <m:oMath>
        <m:r>
          <w:rPr>
            <w:rFonts w:ascii="Cambria Math" w:eastAsia="Calibri" w:hAnsi="Cambria Math"/>
            <w:lang w:val="cs-CZ"/>
          </w:rPr>
          <m:t>I</m:t>
        </m:r>
      </m:oMath>
      <w:r w:rsidRPr="003B6E11">
        <w:rPr>
          <w:lang w:val="cs-CZ"/>
        </w:rPr>
        <w:tab/>
        <w:t xml:space="preserve">příčný moment setrvačnosti plochy vodorysky při </w:t>
      </w:r>
      <m:oMath>
        <m:sSub>
          <m:sSubPr>
            <m:ctrlPr>
              <w:rPr>
                <w:rFonts w:ascii="Cambria Math" w:eastAsia="Calibri" w:hAnsi="Cambria Math"/>
                <w:i/>
                <w:lang w:val="cs-CZ"/>
              </w:rPr>
            </m:ctrlPr>
          </m:sSubPr>
          <m:e>
            <m:r>
              <w:rPr>
                <w:rFonts w:ascii="Cambria Math" w:eastAsia="Calibri" w:hAnsi="Cambria Math"/>
                <w:lang w:val="cs-CZ"/>
              </w:rPr>
              <m:t>T</m:t>
            </m:r>
          </m:e>
          <m:sub>
            <m:r>
              <w:rPr>
                <w:rFonts w:ascii="Cambria Math" w:eastAsia="Calibri" w:hAnsi="Cambria Math"/>
                <w:lang w:val="cs-CZ"/>
              </w:rPr>
              <m:t>m</m:t>
            </m:r>
          </m:sub>
        </m:sSub>
      </m:oMath>
      <w:r w:rsidRPr="003B6E11">
        <w:rPr>
          <w:lang w:val="cs-CZ"/>
        </w:rPr>
        <w:t xml:space="preserve"> [m</w:t>
      </w:r>
      <w:r w:rsidRPr="003B6E11">
        <w:rPr>
          <w:vertAlign w:val="superscript"/>
          <w:lang w:val="cs-CZ"/>
        </w:rPr>
        <w:t>4</w:t>
      </w:r>
      <w:r w:rsidRPr="003B6E11">
        <w:rPr>
          <w:lang w:val="cs-CZ"/>
        </w:rPr>
        <w:t>] (přibližný vzorec viz odst. 3),</w:t>
      </w:r>
    </w:p>
    <w:p w:rsidR="00E82B25" w:rsidRPr="003B6E11" w:rsidRDefault="00E82B25" w:rsidP="00E82B25">
      <w:pPr>
        <w:pStyle w:val="EStiret"/>
        <w:rPr>
          <w:rFonts w:eastAsia="Calibri"/>
          <w:lang w:val="cs-CZ"/>
        </w:rPr>
      </w:pPr>
      <m:oMath>
        <m:r>
          <w:rPr>
            <w:rFonts w:ascii="Cambria Math" w:eastAsia="Calibri" w:hAnsi="Cambria Math"/>
            <w:lang w:val="cs-CZ"/>
          </w:rPr>
          <m:t>i</m:t>
        </m:r>
      </m:oMath>
      <w:r w:rsidRPr="003B6E11">
        <w:rPr>
          <w:lang w:val="cs-CZ"/>
        </w:rPr>
        <w:tab/>
        <w:t>příčný moment setrvačnosti plochy vodorysky rovnoběžné se základnou ve výšce</w:t>
      </w:r>
    </w:p>
    <w:p w:rsidR="00E82B25" w:rsidRPr="003B6E11" w:rsidRDefault="002D015D" w:rsidP="00E82B25">
      <w:pPr>
        <w:pStyle w:val="EStiret"/>
        <w:ind w:left="0"/>
        <w:rPr>
          <w:rFonts w:eastAsia="Calibri"/>
          <w:lang w:val="cs-CZ"/>
        </w:rPr>
      </w:pPr>
      <m:oMathPara>
        <m:oMath>
          <m:sSub>
            <m:sSubPr>
              <m:ctrlPr>
                <w:rPr>
                  <w:rFonts w:ascii="Cambria Math" w:eastAsia="Calibri" w:hAnsi="Cambria Math"/>
                  <w:i/>
                  <w:lang w:val="cs-CZ"/>
                </w:rPr>
              </m:ctrlPr>
            </m:sSubPr>
            <m:e>
              <m:r>
                <w:rPr>
                  <w:rFonts w:ascii="Cambria Math" w:eastAsia="Calibri" w:hAnsi="Cambria Math"/>
                  <w:lang w:val="cs-CZ"/>
                </w:rPr>
                <m:t>T</m:t>
              </m:r>
            </m:e>
            <m:sub>
              <m:r>
                <w:rPr>
                  <w:rFonts w:ascii="Cambria Math" w:eastAsia="Calibri" w:hAnsi="Cambria Math"/>
                  <w:lang w:val="cs-CZ"/>
                </w:rPr>
                <m:t>m</m:t>
              </m:r>
            </m:sub>
          </m:sSub>
          <m:r>
            <w:rPr>
              <w:rFonts w:ascii="Cambria Math" w:eastAsia="Calibri" w:hAnsi="Cambria Math"/>
              <w:lang w:val="cs-CZ"/>
            </w:rPr>
            <m:t xml:space="preserve">+ </m:t>
          </m:r>
          <m:f>
            <m:fPr>
              <m:ctrlPr>
                <w:rPr>
                  <w:rFonts w:ascii="Cambria Math" w:eastAsia="Calibri" w:hAnsi="Cambria Math"/>
                  <w:i/>
                  <w:lang w:val="cs-CZ"/>
                </w:rPr>
              </m:ctrlPr>
            </m:fPr>
            <m:num>
              <m:r>
                <w:rPr>
                  <w:rFonts w:ascii="Cambria Math" w:eastAsia="Calibri" w:hAnsi="Cambria Math"/>
                  <w:lang w:val="cs-CZ"/>
                </w:rPr>
                <m:t>2</m:t>
              </m:r>
            </m:num>
            <m:den>
              <m:r>
                <w:rPr>
                  <w:rFonts w:ascii="Cambria Math" w:eastAsia="Calibri" w:hAnsi="Cambria Math"/>
                  <w:lang w:val="cs-CZ"/>
                </w:rPr>
                <m:t>3</m:t>
              </m:r>
            </m:den>
          </m:f>
          <m:r>
            <w:rPr>
              <w:rFonts w:ascii="Cambria Math" w:eastAsia="Calibri" w:hAnsi="Cambria Math"/>
              <w:lang w:val="cs-CZ"/>
            </w:rPr>
            <m:t xml:space="preserve"> </m:t>
          </m:r>
          <m:sSup>
            <m:sSupPr>
              <m:ctrlPr>
                <w:rPr>
                  <w:rFonts w:ascii="Cambria Math" w:eastAsia="Calibri" w:hAnsi="Cambria Math"/>
                  <w:i/>
                  <w:lang w:val="cs-CZ"/>
                </w:rPr>
              </m:ctrlPr>
            </m:sSupPr>
            <m:e>
              <m:r>
                <w:rPr>
                  <w:rFonts w:ascii="Cambria Math" w:eastAsia="Calibri" w:hAnsi="Cambria Math"/>
                  <w:lang w:val="cs-CZ"/>
                </w:rPr>
                <m:t>F</m:t>
              </m:r>
            </m:e>
            <m:sup>
              <m:r>
                <w:rPr>
                  <w:rFonts w:ascii="Cambria Math" w:eastAsia="Calibri" w:hAnsi="Cambria Math"/>
                  <w:lang w:val="cs-CZ"/>
                </w:rPr>
                <m:t>'</m:t>
              </m:r>
            </m:sup>
          </m:sSup>
          <m:d>
            <m:dPr>
              <m:begChr m:val="["/>
              <m:endChr m:val="]"/>
              <m:ctrlPr>
                <w:rPr>
                  <w:rFonts w:ascii="Cambria Math" w:eastAsia="Calibri" w:hAnsi="Cambria Math"/>
                  <w:i/>
                  <w:lang w:val="cs-CZ"/>
                </w:rPr>
              </m:ctrlPr>
            </m:dPr>
            <m:e>
              <m:sSup>
                <m:sSupPr>
                  <m:ctrlPr>
                    <w:rPr>
                      <w:rFonts w:ascii="Cambria Math" w:eastAsia="Calibri" w:hAnsi="Cambria Math"/>
                      <w:i/>
                      <w:lang w:val="cs-CZ"/>
                    </w:rPr>
                  </m:ctrlPr>
                </m:sSupPr>
                <m:e>
                  <m:r>
                    <w:rPr>
                      <w:rFonts w:ascii="Cambria Math" w:eastAsia="Calibri" w:hAnsi="Cambria Math"/>
                      <w:lang w:val="cs-CZ"/>
                    </w:rPr>
                    <m:t>m</m:t>
                  </m:r>
                </m:e>
                <m:sup>
                  <m:r>
                    <w:rPr>
                      <w:rFonts w:ascii="Cambria Math" w:eastAsia="Calibri" w:hAnsi="Cambria Math"/>
                      <w:lang w:val="cs-CZ"/>
                    </w:rPr>
                    <m:t>4</m:t>
                  </m:r>
                </m:sup>
              </m:sSup>
            </m:e>
          </m:d>
        </m:oMath>
      </m:oMathPara>
    </w:p>
    <w:p w:rsidR="00E82B25" w:rsidRPr="003B6E11" w:rsidRDefault="00E82B25" w:rsidP="00E82B25">
      <w:pPr>
        <w:pStyle w:val="EStiret"/>
        <w:rPr>
          <w:rFonts w:eastAsia="Calibri"/>
          <w:lang w:val="cs-CZ"/>
        </w:rPr>
      </w:pPr>
      <m:oMath>
        <m:r>
          <w:rPr>
            <w:rFonts w:ascii="Cambria Math" w:eastAsia="Calibri" w:hAnsi="Cambria Math"/>
            <w:lang w:val="cs-CZ"/>
          </w:rPr>
          <m:t>∀</m:t>
        </m:r>
      </m:oMath>
      <w:r w:rsidRPr="003B6E11">
        <w:rPr>
          <w:lang w:val="cs-CZ"/>
        </w:rPr>
        <w:tab/>
        <w:t xml:space="preserve">výtlak lodi při </w:t>
      </w:r>
      <m:oMath>
        <m:sSub>
          <m:sSubPr>
            <m:ctrlPr>
              <w:rPr>
                <w:rFonts w:ascii="Cambria Math" w:eastAsia="Calibri" w:hAnsi="Cambria Math"/>
                <w:i/>
                <w:lang w:val="cs-CZ"/>
              </w:rPr>
            </m:ctrlPr>
          </m:sSubPr>
          <m:e>
            <m:r>
              <w:rPr>
                <w:rFonts w:ascii="Cambria Math" w:eastAsia="Calibri" w:hAnsi="Cambria Math"/>
                <w:lang w:val="cs-CZ"/>
              </w:rPr>
              <m:t>T</m:t>
            </m:r>
          </m:e>
          <m:sub>
            <m:r>
              <w:rPr>
                <w:rFonts w:ascii="Cambria Math" w:eastAsia="Calibri" w:hAnsi="Cambria Math"/>
                <w:lang w:val="cs-CZ"/>
              </w:rPr>
              <m:t>m</m:t>
            </m:r>
          </m:sub>
        </m:sSub>
      </m:oMath>
      <w:r w:rsidRPr="003B6E11">
        <w:rPr>
          <w:lang w:val="cs-CZ"/>
        </w:rPr>
        <w:t xml:space="preserve"> [m</w:t>
      </w:r>
      <w:r w:rsidRPr="003B6E11">
        <w:rPr>
          <w:vertAlign w:val="superscript"/>
          <w:lang w:val="cs-CZ"/>
        </w:rPr>
        <w:t>3</w:t>
      </w:r>
      <w:r w:rsidRPr="003B6E11">
        <w:rPr>
          <w:lang w:val="cs-CZ"/>
        </w:rPr>
        <w:t>],</w:t>
      </w:r>
    </w:p>
    <w:p w:rsidR="00E82B25" w:rsidRPr="003B6E11" w:rsidRDefault="00E82B25" w:rsidP="00E82B25">
      <w:pPr>
        <w:pStyle w:val="EStiret"/>
        <w:rPr>
          <w:rFonts w:eastAsia="Calibri"/>
          <w:lang w:val="cs-CZ"/>
        </w:rPr>
      </w:pPr>
      <m:oMath>
        <m:r>
          <w:rPr>
            <w:rFonts w:ascii="Cambria Math" w:eastAsia="Calibri" w:hAnsi="Cambria Math"/>
            <w:lang w:val="cs-CZ"/>
          </w:rPr>
          <m:t>F'</m:t>
        </m:r>
      </m:oMath>
      <w:r w:rsidRPr="003B6E11">
        <w:rPr>
          <w:lang w:val="cs-CZ"/>
        </w:rPr>
        <w:tab/>
        <w:t xml:space="preserve">ideální volný bok </w:t>
      </w:r>
    </w:p>
    <w:p w:rsidR="00E82B25" w:rsidRPr="003B6E11" w:rsidRDefault="002D015D" w:rsidP="00E82B25">
      <w:pPr>
        <w:pStyle w:val="EStiret"/>
        <w:ind w:firstLine="1"/>
        <w:rPr>
          <w:rFonts w:eastAsia="Calibri"/>
          <w:lang w:val="cs-CZ"/>
        </w:rPr>
      </w:pPr>
      <m:oMath>
        <m:sSup>
          <m:sSupPr>
            <m:ctrlPr>
              <w:rPr>
                <w:rFonts w:ascii="Cambria Math" w:eastAsia="Calibri" w:hAnsi="Cambria Math"/>
                <w:i/>
                <w:lang w:val="cs-CZ"/>
              </w:rPr>
            </m:ctrlPr>
          </m:sSupPr>
          <m:e>
            <m:r>
              <w:rPr>
                <w:rFonts w:ascii="Cambria Math" w:eastAsia="Calibri" w:hAnsi="Cambria Math"/>
                <w:lang w:val="cs-CZ"/>
              </w:rPr>
              <m:t>F</m:t>
            </m:r>
          </m:e>
          <m:sup>
            <m:r>
              <w:rPr>
                <w:rFonts w:ascii="Cambria Math" w:eastAsia="Calibri" w:hAnsi="Cambria Math"/>
                <w:lang w:val="cs-CZ"/>
              </w:rPr>
              <m:t>'</m:t>
            </m:r>
          </m:sup>
        </m:sSup>
        <m:r>
          <w:rPr>
            <w:rFonts w:ascii="Cambria Math" w:eastAsia="Calibri" w:hAnsi="Cambria Math"/>
            <w:lang w:val="cs-CZ"/>
          </w:rPr>
          <m:t>=</m:t>
        </m:r>
        <m:sSup>
          <m:sSupPr>
            <m:ctrlPr>
              <w:rPr>
                <w:rFonts w:ascii="Cambria Math" w:eastAsia="Calibri" w:hAnsi="Cambria Math"/>
                <w:i/>
                <w:lang w:val="cs-CZ"/>
              </w:rPr>
            </m:ctrlPr>
          </m:sSupPr>
          <m:e>
            <m:r>
              <w:rPr>
                <w:rFonts w:ascii="Cambria Math" w:eastAsia="Calibri" w:hAnsi="Cambria Math"/>
                <w:lang w:val="cs-CZ"/>
              </w:rPr>
              <m:t>H</m:t>
            </m:r>
          </m:e>
          <m:sup>
            <m:r>
              <w:rPr>
                <w:rFonts w:ascii="Cambria Math" w:eastAsia="Calibri" w:hAnsi="Cambria Math"/>
                <w:lang w:val="cs-CZ"/>
              </w:rPr>
              <m:t>'</m:t>
            </m:r>
          </m:sup>
        </m:sSup>
        <m:r>
          <w:rPr>
            <w:rFonts w:ascii="Cambria Math" w:eastAsia="Calibri" w:hAnsi="Cambria Math"/>
            <w:lang w:val="cs-CZ"/>
          </w:rPr>
          <m:t xml:space="preserve">- </m:t>
        </m:r>
        <m:sSub>
          <m:sSubPr>
            <m:ctrlPr>
              <w:rPr>
                <w:rFonts w:ascii="Cambria Math" w:eastAsia="Calibri" w:hAnsi="Cambria Math"/>
                <w:i/>
                <w:lang w:val="cs-CZ"/>
              </w:rPr>
            </m:ctrlPr>
          </m:sSubPr>
          <m:e>
            <m:r>
              <w:rPr>
                <w:rFonts w:ascii="Cambria Math" w:eastAsia="Calibri" w:hAnsi="Cambria Math"/>
                <w:lang w:val="cs-CZ"/>
              </w:rPr>
              <m:t>T</m:t>
            </m:r>
          </m:e>
          <m:sub>
            <m:r>
              <w:rPr>
                <w:rFonts w:ascii="Cambria Math" w:eastAsia="Calibri" w:hAnsi="Cambria Math"/>
                <w:lang w:val="cs-CZ"/>
              </w:rPr>
              <m:t>m</m:t>
            </m:r>
          </m:sub>
        </m:sSub>
        <m:r>
          <w:rPr>
            <w:rFonts w:ascii="Cambria Math" w:eastAsia="Calibri" w:hAnsi="Cambria Math"/>
            <w:lang w:val="cs-CZ"/>
          </w:rPr>
          <m:t xml:space="preserve"> </m:t>
        </m:r>
        <m:d>
          <m:dPr>
            <m:begChr m:val="["/>
            <m:endChr m:val="]"/>
            <m:ctrlPr>
              <w:rPr>
                <w:rFonts w:ascii="Cambria Math" w:eastAsia="Calibri" w:hAnsi="Cambria Math"/>
                <w:i/>
                <w:lang w:val="cs-CZ"/>
              </w:rPr>
            </m:ctrlPr>
          </m:dPr>
          <m:e>
            <m:r>
              <w:rPr>
                <w:rFonts w:ascii="Cambria Math" w:eastAsia="Calibri" w:hAnsi="Cambria Math"/>
                <w:lang w:val="cs-CZ"/>
              </w:rPr>
              <m:t>m</m:t>
            </m:r>
          </m:e>
        </m:d>
      </m:oMath>
      <w:r w:rsidR="00E82B25" w:rsidRPr="003B6E11">
        <w:rPr>
          <w:lang w:val="cs-CZ"/>
        </w:rPr>
        <w:t xml:space="preserve"> nebo </w:t>
      </w:r>
      <m:oMath>
        <m:sSup>
          <m:sSupPr>
            <m:ctrlPr>
              <w:rPr>
                <w:rFonts w:ascii="Cambria Math" w:eastAsia="Calibri" w:hAnsi="Cambria Math"/>
                <w:i/>
                <w:lang w:val="cs-CZ"/>
              </w:rPr>
            </m:ctrlPr>
          </m:sSupPr>
          <m:e>
            <m:r>
              <w:rPr>
                <w:rFonts w:ascii="Cambria Math" w:eastAsia="Calibri" w:hAnsi="Cambria Math"/>
                <w:lang w:val="cs-CZ"/>
              </w:rPr>
              <m:t>F</m:t>
            </m:r>
          </m:e>
          <m:sup>
            <m:r>
              <w:rPr>
                <w:rFonts w:ascii="Cambria Math" w:eastAsia="Calibri" w:hAnsi="Cambria Math"/>
                <w:lang w:val="cs-CZ"/>
              </w:rPr>
              <m:t>'</m:t>
            </m:r>
          </m:sup>
        </m:sSup>
        <m:r>
          <w:rPr>
            <w:rFonts w:ascii="Cambria Math" w:eastAsia="Calibri" w:hAnsi="Cambria Math"/>
            <w:lang w:val="cs-CZ"/>
          </w:rPr>
          <m:t xml:space="preserve">= </m:t>
        </m:r>
        <m:f>
          <m:fPr>
            <m:ctrlPr>
              <w:rPr>
                <w:rFonts w:ascii="Cambria Math" w:eastAsia="Calibri" w:hAnsi="Cambria Math"/>
                <w:i/>
                <w:lang w:val="cs-CZ"/>
              </w:rPr>
            </m:ctrlPr>
          </m:fPr>
          <m:num>
            <m:r>
              <w:rPr>
                <w:rFonts w:ascii="Cambria Math" w:eastAsia="Calibri" w:hAnsi="Cambria Math"/>
                <w:lang w:val="cs-CZ"/>
              </w:rPr>
              <m:t xml:space="preserve">a ∙ </m:t>
            </m:r>
            <m:sSub>
              <m:sSubPr>
                <m:ctrlPr>
                  <w:rPr>
                    <w:rFonts w:ascii="Cambria Math" w:eastAsia="Calibri" w:hAnsi="Cambria Math"/>
                    <w:i/>
                    <w:lang w:val="cs-CZ"/>
                  </w:rPr>
                </m:ctrlPr>
              </m:sSubPr>
              <m:e>
                <m:r>
                  <w:rPr>
                    <w:rFonts w:ascii="Cambria Math" w:eastAsia="Calibri" w:hAnsi="Cambria Math"/>
                    <w:lang w:val="cs-CZ"/>
                  </w:rPr>
                  <m:t>B</m:t>
                </m:r>
              </m:e>
              <m:sub>
                <m:r>
                  <w:rPr>
                    <w:rFonts w:ascii="Cambria Math" w:eastAsia="Calibri" w:hAnsi="Cambria Math"/>
                    <w:lang w:val="cs-CZ"/>
                  </w:rPr>
                  <m:t>WL</m:t>
                </m:r>
              </m:sub>
            </m:sSub>
          </m:num>
          <m:den>
            <m:r>
              <w:rPr>
                <w:rFonts w:ascii="Cambria Math" w:eastAsia="Calibri" w:hAnsi="Cambria Math"/>
                <w:lang w:val="cs-CZ"/>
              </w:rPr>
              <m:t>2 ∙b</m:t>
            </m:r>
          </m:den>
        </m:f>
        <m:r>
          <w:rPr>
            <w:rFonts w:ascii="Cambria Math" w:eastAsia="Calibri" w:hAnsi="Cambria Math"/>
            <w:lang w:val="cs-CZ"/>
          </w:rPr>
          <m:t xml:space="preserve"> </m:t>
        </m:r>
        <m:d>
          <m:dPr>
            <m:begChr m:val="["/>
            <m:endChr m:val="]"/>
            <m:ctrlPr>
              <w:rPr>
                <w:rFonts w:ascii="Cambria Math" w:eastAsia="Calibri" w:hAnsi="Cambria Math"/>
                <w:i/>
                <w:lang w:val="cs-CZ"/>
              </w:rPr>
            </m:ctrlPr>
          </m:dPr>
          <m:e>
            <m:r>
              <w:rPr>
                <w:rFonts w:ascii="Cambria Math" w:eastAsia="Calibri" w:hAnsi="Cambria Math"/>
                <w:lang w:val="cs-CZ"/>
              </w:rPr>
              <m:t>m</m:t>
            </m:r>
          </m:e>
        </m:d>
      </m:oMath>
      <w:r w:rsidR="00E82B25" w:rsidRPr="003B6E11">
        <w:rPr>
          <w:lang w:val="cs-CZ"/>
        </w:rPr>
        <w:t>, rozhodující je nejmenší úhel,</w:t>
      </w:r>
    </w:p>
    <w:p w:rsidR="00E82B25" w:rsidRPr="003B6E11" w:rsidRDefault="00E82B25" w:rsidP="00E82B25">
      <w:pPr>
        <w:pStyle w:val="EStiret"/>
        <w:rPr>
          <w:rFonts w:eastAsia="Calibri"/>
          <w:lang w:val="cs-CZ"/>
        </w:rPr>
      </w:pPr>
    </w:p>
    <w:p w:rsidR="00E82B25" w:rsidRPr="003B6E11" w:rsidRDefault="00E82B25" w:rsidP="00E82B25">
      <w:pPr>
        <w:pStyle w:val="EStiret"/>
        <w:rPr>
          <w:rFonts w:eastAsia="Calibri"/>
          <w:lang w:val="cs-CZ"/>
        </w:rPr>
      </w:pPr>
      <w:r w:rsidRPr="003B6E11">
        <w:rPr>
          <w:lang w:val="cs-CZ"/>
        </w:rPr>
        <w:br w:type="page"/>
      </w:r>
    </w:p>
    <w:p w:rsidR="00E82B25" w:rsidRPr="003B6E11" w:rsidRDefault="00E82B25" w:rsidP="00E82B25">
      <w:pPr>
        <w:pStyle w:val="EStiret"/>
        <w:rPr>
          <w:rFonts w:eastAsia="Calibri"/>
          <w:lang w:val="cs-CZ"/>
        </w:rPr>
      </w:pPr>
      <m:oMath>
        <m:r>
          <w:rPr>
            <w:rFonts w:ascii="Cambria Math" w:eastAsia="Calibri" w:hAnsi="Cambria Math"/>
            <w:lang w:val="cs-CZ"/>
          </w:rPr>
          <m:t>a</m:t>
        </m:r>
      </m:oMath>
      <w:r w:rsidRPr="003B6E11">
        <w:rPr>
          <w:lang w:val="cs-CZ"/>
        </w:rPr>
        <w:tab/>
        <w:t>svislá vzdálenost mezi spodní hranou otvoru, který se v případě náklonu ponoří první, a vodoryskou v rovné poloze lodi [m],</w:t>
      </w:r>
    </w:p>
    <w:p w:rsidR="00E82B25" w:rsidRPr="003B6E11" w:rsidRDefault="00E82B25" w:rsidP="00E82B25">
      <w:pPr>
        <w:pStyle w:val="EStiret"/>
        <w:rPr>
          <w:rFonts w:eastAsia="Calibri"/>
          <w:lang w:val="cs-CZ"/>
        </w:rPr>
      </w:pPr>
      <m:oMath>
        <m:r>
          <w:rPr>
            <w:rFonts w:ascii="Cambria Math" w:eastAsia="Calibri" w:hAnsi="Cambria Math"/>
            <w:lang w:val="cs-CZ"/>
          </w:rPr>
          <m:t>b</m:t>
        </m:r>
      </m:oMath>
      <w:r w:rsidRPr="003B6E11">
        <w:rPr>
          <w:lang w:val="cs-CZ"/>
        </w:rPr>
        <w:tab/>
        <w:t>vzdálenost téhož otvoru od středu lodi [m],</w:t>
      </w:r>
    </w:p>
    <w:p w:rsidR="00E82B25" w:rsidRPr="003B6E11" w:rsidRDefault="00E82B25" w:rsidP="00E82B25">
      <w:pPr>
        <w:pStyle w:val="EStiret"/>
        <w:rPr>
          <w:rFonts w:eastAsia="Calibri"/>
          <w:lang w:val="cs-CZ"/>
        </w:rPr>
      </w:pPr>
      <m:oMath>
        <m:r>
          <w:rPr>
            <w:rFonts w:ascii="Cambria Math" w:eastAsia="Calibri" w:hAnsi="Cambria Math"/>
            <w:lang w:val="cs-CZ"/>
          </w:rPr>
          <m:t>H'</m:t>
        </m:r>
      </m:oMath>
      <w:r w:rsidRPr="003B6E11">
        <w:rPr>
          <w:lang w:val="cs-CZ"/>
        </w:rPr>
        <w:tab/>
        <w:t xml:space="preserve">ideální boční výška </w:t>
      </w:r>
      <m:oMath>
        <m:sSup>
          <m:sSupPr>
            <m:ctrlPr>
              <w:rPr>
                <w:rFonts w:ascii="Cambria Math" w:eastAsia="Calibri" w:hAnsi="Cambria Math"/>
                <w:i/>
                <w:lang w:val="cs-CZ"/>
              </w:rPr>
            </m:ctrlPr>
          </m:sSupPr>
          <m:e>
            <m:r>
              <w:rPr>
                <w:rFonts w:ascii="Cambria Math" w:eastAsia="Calibri" w:hAnsi="Cambria Math"/>
                <w:lang w:val="cs-CZ"/>
              </w:rPr>
              <m:t>H</m:t>
            </m:r>
          </m:e>
          <m:sup>
            <m:r>
              <w:rPr>
                <w:rFonts w:ascii="Cambria Math" w:eastAsia="Calibri" w:hAnsi="Cambria Math"/>
                <w:lang w:val="cs-CZ"/>
              </w:rPr>
              <m:t>'</m:t>
            </m:r>
          </m:sup>
        </m:sSup>
        <m:r>
          <w:rPr>
            <w:rFonts w:ascii="Cambria Math" w:eastAsia="Calibri" w:hAnsi="Cambria Math"/>
            <w:lang w:val="cs-CZ"/>
          </w:rPr>
          <m:t xml:space="preserve">=H+ </m:t>
        </m:r>
        <m:f>
          <m:fPr>
            <m:ctrlPr>
              <w:rPr>
                <w:rFonts w:ascii="Cambria Math" w:eastAsia="Calibri" w:hAnsi="Cambria Math"/>
                <w:i/>
                <w:lang w:val="cs-CZ"/>
              </w:rPr>
            </m:ctrlPr>
          </m:fPr>
          <m:num>
            <m:r>
              <w:rPr>
                <w:rFonts w:ascii="Cambria Math" w:eastAsia="Calibri" w:hAnsi="Cambria Math"/>
                <w:lang w:val="cs-CZ"/>
              </w:rPr>
              <m:t>q</m:t>
            </m:r>
          </m:num>
          <m:den>
            <m:r>
              <w:rPr>
                <w:rFonts w:ascii="Cambria Math" w:eastAsia="Calibri" w:hAnsi="Cambria Math"/>
                <w:lang w:val="cs-CZ"/>
              </w:rPr>
              <m:t xml:space="preserve">0,9 ∙L ∙ </m:t>
            </m:r>
            <m:sSub>
              <m:sSubPr>
                <m:ctrlPr>
                  <w:rPr>
                    <w:rFonts w:ascii="Cambria Math" w:eastAsia="Calibri" w:hAnsi="Cambria Math"/>
                    <w:i/>
                    <w:lang w:val="cs-CZ"/>
                  </w:rPr>
                </m:ctrlPr>
              </m:sSubPr>
              <m:e>
                <m:r>
                  <w:rPr>
                    <w:rFonts w:ascii="Cambria Math" w:eastAsia="Calibri" w:hAnsi="Cambria Math"/>
                    <w:lang w:val="cs-CZ"/>
                  </w:rPr>
                  <m:t>B</m:t>
                </m:r>
              </m:e>
              <m:sub>
                <m:r>
                  <w:rPr>
                    <w:rFonts w:ascii="Cambria Math" w:eastAsia="Calibri" w:hAnsi="Cambria Math"/>
                    <w:lang w:val="cs-CZ"/>
                  </w:rPr>
                  <m:t>WL</m:t>
                </m:r>
              </m:sub>
            </m:sSub>
          </m:den>
        </m:f>
        <m:r>
          <w:rPr>
            <w:rFonts w:ascii="Cambria Math" w:eastAsia="Calibri" w:hAnsi="Cambria Math"/>
            <w:lang w:val="cs-CZ"/>
          </w:rPr>
          <m:t xml:space="preserve"> </m:t>
        </m:r>
        <m:d>
          <m:dPr>
            <m:begChr m:val="["/>
            <m:endChr m:val="]"/>
            <m:ctrlPr>
              <w:rPr>
                <w:rFonts w:ascii="Cambria Math" w:eastAsia="Calibri" w:hAnsi="Cambria Math"/>
                <w:i/>
                <w:lang w:val="cs-CZ"/>
              </w:rPr>
            </m:ctrlPr>
          </m:dPr>
          <m:e>
            <m:r>
              <w:rPr>
                <w:rFonts w:ascii="Cambria Math" w:eastAsia="Calibri" w:hAnsi="Cambria Math"/>
                <w:lang w:val="cs-CZ"/>
              </w:rPr>
              <m:t>m</m:t>
            </m:r>
          </m:e>
        </m:d>
        <m:r>
          <w:rPr>
            <w:rFonts w:ascii="Cambria Math" w:eastAsia="Calibri" w:hAnsi="Cambria Math"/>
            <w:lang w:val="cs-CZ"/>
          </w:rPr>
          <m:t>;</m:t>
        </m:r>
      </m:oMath>
    </w:p>
    <w:p w:rsidR="00E82B25" w:rsidRPr="003B6E11" w:rsidRDefault="00E82B25" w:rsidP="00E82B25">
      <w:pPr>
        <w:pStyle w:val="EStiret"/>
        <w:rPr>
          <w:rFonts w:eastAsia="Calibri"/>
          <w:lang w:val="cs-CZ"/>
        </w:rPr>
      </w:pPr>
      <m:oMath>
        <m:r>
          <w:rPr>
            <w:rFonts w:ascii="Cambria Math" w:eastAsia="Calibri" w:hAnsi="Cambria Math"/>
            <w:szCs w:val="16"/>
            <w:lang w:val="cs-CZ"/>
          </w:rPr>
          <m:t>q</m:t>
        </m:r>
      </m:oMath>
      <w:r w:rsidRPr="003B6E11">
        <w:rPr>
          <w:lang w:val="cs-CZ"/>
        </w:rPr>
        <w:tab/>
        <w:t xml:space="preserve">součet objemů palubních přístřešků, jícnů, palubních mezinástaveb a jiných nástaveb do výšky nejvýše 1,0 m nad </w:t>
      </w:r>
      <m:oMath>
        <m:r>
          <w:rPr>
            <w:rFonts w:ascii="Cambria Math" w:eastAsia="Calibri" w:hAnsi="Cambria Math"/>
            <w:szCs w:val="16"/>
            <w:lang w:val="cs-CZ"/>
          </w:rPr>
          <m:t>H</m:t>
        </m:r>
      </m:oMath>
      <w:r w:rsidRPr="003B6E11">
        <w:rPr>
          <w:lang w:val="cs-CZ"/>
        </w:rPr>
        <w:t xml:space="preserve"> nebo do nejnižšího otvoru ve zvažovaném objemu; rozhodující je nejmenší hodnota. Části objemů, které se nacházejí v rozsahu </w:t>
      </w:r>
      <m:oMath>
        <m:r>
          <w:rPr>
            <w:rFonts w:ascii="Cambria Math" w:eastAsia="Calibri" w:hAnsi="Cambria Math"/>
            <w:szCs w:val="16"/>
            <w:lang w:val="cs-CZ"/>
          </w:rPr>
          <m:t>0,05 L</m:t>
        </m:r>
      </m:oMath>
      <w:r w:rsidRPr="003B6E11">
        <w:rPr>
          <w:lang w:val="cs-CZ"/>
        </w:rPr>
        <w:t xml:space="preserve"> od konců lodi, se neberou v úvahu [m</w:t>
      </w:r>
      <w:r w:rsidRPr="003B6E11">
        <w:rPr>
          <w:vertAlign w:val="superscript"/>
          <w:lang w:val="cs-CZ"/>
        </w:rPr>
        <w:t>3</w:t>
      </w:r>
      <w:r w:rsidRPr="003B6E11">
        <w:rPr>
          <w:lang w:val="cs-CZ"/>
        </w:rPr>
        <w:t>].</w:t>
      </w:r>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r w:rsidRPr="003B6E11">
        <w:rPr>
          <w:lang w:val="cs-CZ"/>
        </w:rPr>
        <w:t>3.</w:t>
      </w:r>
      <w:r w:rsidRPr="003B6E11">
        <w:rPr>
          <w:lang w:val="cs-CZ"/>
        </w:rPr>
        <w:tab/>
        <w:t>Přibližný vzorec pro I</w:t>
      </w:r>
    </w:p>
    <w:p w:rsidR="00E82B25" w:rsidRPr="003B6E11" w:rsidRDefault="00E82B25" w:rsidP="00E82B25">
      <w:pPr>
        <w:pStyle w:val="ESchpar"/>
        <w:rPr>
          <w:noProof/>
          <w:lang w:val="cs-CZ"/>
        </w:rPr>
      </w:pPr>
    </w:p>
    <w:p w:rsidR="00E82B25" w:rsidRPr="003B6E11" w:rsidRDefault="00E82B25" w:rsidP="00E82B25">
      <w:pPr>
        <w:pStyle w:val="ESchpar"/>
        <w:rPr>
          <w:rFonts w:cs="Arial"/>
          <w:szCs w:val="18"/>
          <w:lang w:val="cs-CZ"/>
        </w:rPr>
      </w:pPr>
      <w:r w:rsidRPr="003B6E11">
        <w:rPr>
          <w:lang w:val="cs-CZ"/>
        </w:rPr>
        <w:t>Nejsou-li k dispozici hydrostatické křivky, lze hodnotu příčného momentu setrvačnosti I plochy vodorysky vypočítat podle přibližného vzorce:</w:t>
      </w:r>
    </w:p>
    <w:p w:rsidR="00E82B25" w:rsidRPr="003B6E11" w:rsidRDefault="00E82B25" w:rsidP="00E82B25">
      <w:pPr>
        <w:pStyle w:val="ESlet"/>
        <w:rPr>
          <w:noProof/>
          <w:lang w:val="cs-CZ"/>
        </w:rPr>
      </w:pPr>
      <w:r w:rsidRPr="003B6E11">
        <w:rPr>
          <w:lang w:val="cs-CZ"/>
        </w:rPr>
        <w:t>a)</w:t>
      </w:r>
      <w:r w:rsidRPr="003B6E11">
        <w:rPr>
          <w:lang w:val="cs-CZ"/>
        </w:rPr>
        <w:tab/>
        <w:t>pro lodě ve tvaru pontonu</w:t>
      </w:r>
    </w:p>
    <w:p w:rsidR="00E82B25" w:rsidRPr="003B6E11" w:rsidRDefault="00E82B25" w:rsidP="00E82B25">
      <w:pPr>
        <w:pStyle w:val="ESlet"/>
        <w:rPr>
          <w:rFonts w:cs="Arial"/>
          <w:szCs w:val="18"/>
          <w:lang w:val="cs-CZ"/>
        </w:rPr>
      </w:pPr>
    </w:p>
    <w:p w:rsidR="00E82B25" w:rsidRPr="003B6E11" w:rsidRDefault="00E82B25" w:rsidP="00E82B25">
      <w:pPr>
        <w:pStyle w:val="ESlet"/>
        <w:ind w:left="0"/>
        <w:rPr>
          <w:rFonts w:cs="Arial"/>
          <w:szCs w:val="18"/>
          <w:lang w:val="cs-CZ"/>
        </w:rPr>
      </w:pPr>
      <m:oMathPara>
        <m:oMath>
          <m:r>
            <w:rPr>
              <w:rFonts w:ascii="Cambria Math" w:hAnsi="Cambria Math" w:cs="Arial"/>
              <w:szCs w:val="18"/>
              <w:lang w:val="cs-CZ"/>
            </w:rPr>
            <m:t xml:space="preserve">I= </m:t>
          </m:r>
          <m:f>
            <m:fPr>
              <m:ctrlPr>
                <w:rPr>
                  <w:rFonts w:ascii="Cambria Math" w:hAnsi="Cambria Math" w:cs="Arial"/>
                  <w:i/>
                  <w:szCs w:val="18"/>
                  <w:lang w:val="cs-CZ"/>
                </w:rPr>
              </m:ctrlPr>
            </m:fPr>
            <m:num>
              <m:sSub>
                <m:sSubPr>
                  <m:ctrlPr>
                    <w:rPr>
                      <w:rFonts w:ascii="Cambria Math" w:hAnsi="Cambria Math" w:cs="Arial"/>
                      <w:i/>
                      <w:szCs w:val="18"/>
                      <w:lang w:val="cs-CZ"/>
                    </w:rPr>
                  </m:ctrlPr>
                </m:sSubPr>
                <m:e>
                  <m:sSup>
                    <m:sSupPr>
                      <m:ctrlPr>
                        <w:rPr>
                          <w:rFonts w:ascii="Cambria Math" w:hAnsi="Cambria Math" w:cs="Arial"/>
                          <w:i/>
                          <w:szCs w:val="18"/>
                          <w:lang w:val="cs-CZ"/>
                        </w:rPr>
                      </m:ctrlPr>
                    </m:sSupPr>
                    <m:e>
                      <m:r>
                        <w:rPr>
                          <w:rFonts w:ascii="Cambria Math" w:hAnsi="Cambria Math" w:cs="Arial"/>
                          <w:szCs w:val="18"/>
                          <w:lang w:val="cs-CZ"/>
                        </w:rPr>
                        <m:t>B</m:t>
                      </m:r>
                    </m:e>
                    <m:sup>
                      <m:r>
                        <w:rPr>
                          <w:rFonts w:ascii="Cambria Math" w:hAnsi="Cambria Math" w:cs="Arial"/>
                          <w:szCs w:val="18"/>
                          <w:lang w:val="cs-CZ"/>
                        </w:rPr>
                        <m:t>2</m:t>
                      </m:r>
                    </m:sup>
                  </m:sSup>
                </m:e>
                <m:sub>
                  <m:r>
                    <w:rPr>
                      <w:rFonts w:ascii="Cambria Math" w:hAnsi="Cambria Math" w:cs="Arial"/>
                      <w:szCs w:val="18"/>
                      <w:lang w:val="cs-CZ"/>
                    </w:rPr>
                    <m:t>WL</m:t>
                  </m:r>
                </m:sub>
              </m:sSub>
              <m:r>
                <w:rPr>
                  <w:rFonts w:ascii="Cambria Math" w:hAnsi="Cambria Math" w:cs="Arial"/>
                  <w:szCs w:val="18"/>
                  <w:lang w:val="cs-CZ"/>
                </w:rPr>
                <m:t xml:space="preserve"> ∙ ∀</m:t>
              </m:r>
            </m:num>
            <m:den>
              <m:d>
                <m:dPr>
                  <m:ctrlPr>
                    <w:rPr>
                      <w:rFonts w:ascii="Cambria Math" w:hAnsi="Cambria Math" w:cs="Arial"/>
                      <w:i/>
                      <w:szCs w:val="18"/>
                      <w:lang w:val="cs-CZ"/>
                    </w:rPr>
                  </m:ctrlPr>
                </m:dPr>
                <m:e>
                  <m:r>
                    <w:rPr>
                      <w:rFonts w:ascii="Cambria Math" w:hAnsi="Cambria Math" w:cs="Arial"/>
                      <w:szCs w:val="18"/>
                      <w:lang w:val="cs-CZ"/>
                    </w:rPr>
                    <m:t xml:space="preserve">12,5- </m:t>
                  </m:r>
                  <m:f>
                    <m:fPr>
                      <m:ctrlPr>
                        <w:rPr>
                          <w:rFonts w:ascii="Cambria Math" w:hAnsi="Cambria Math" w:cs="Arial"/>
                          <w:i/>
                          <w:szCs w:val="18"/>
                          <w:lang w:val="cs-CZ"/>
                        </w:rPr>
                      </m:ctrlPr>
                    </m:fPr>
                    <m:num>
                      <m:sSub>
                        <m:sSubPr>
                          <m:ctrlPr>
                            <w:rPr>
                              <w:rFonts w:ascii="Cambria Math" w:hAnsi="Cambria Math" w:cs="Arial"/>
                              <w:i/>
                              <w:szCs w:val="18"/>
                              <w:lang w:val="cs-CZ"/>
                            </w:rPr>
                          </m:ctrlPr>
                        </m:sSubPr>
                        <m:e>
                          <m:r>
                            <w:rPr>
                              <w:rFonts w:ascii="Cambria Math" w:hAnsi="Cambria Math" w:cs="Arial"/>
                              <w:szCs w:val="18"/>
                              <w:lang w:val="cs-CZ"/>
                            </w:rPr>
                            <m:t>T</m:t>
                          </m:r>
                        </m:e>
                        <m:sub>
                          <m:r>
                            <w:rPr>
                              <w:rFonts w:ascii="Cambria Math" w:hAnsi="Cambria Math" w:cs="Arial"/>
                              <w:szCs w:val="18"/>
                              <w:lang w:val="cs-CZ"/>
                            </w:rPr>
                            <m:t>m</m:t>
                          </m:r>
                        </m:sub>
                      </m:sSub>
                    </m:num>
                    <m:den>
                      <m:r>
                        <w:rPr>
                          <w:rFonts w:ascii="Cambria Math" w:hAnsi="Cambria Math" w:cs="Arial"/>
                          <w:szCs w:val="18"/>
                          <w:lang w:val="cs-CZ"/>
                        </w:rPr>
                        <m:t>H</m:t>
                      </m:r>
                    </m:den>
                  </m:f>
                </m:e>
              </m:d>
              <m:r>
                <w:rPr>
                  <w:rFonts w:ascii="Cambria Math" w:hAnsi="Cambria Math" w:cs="Arial"/>
                  <w:szCs w:val="18"/>
                  <w:lang w:val="cs-CZ"/>
                </w:rPr>
                <m:t xml:space="preserve"> ∙ </m:t>
              </m:r>
              <m:sSub>
                <m:sSubPr>
                  <m:ctrlPr>
                    <w:rPr>
                      <w:rFonts w:ascii="Cambria Math" w:hAnsi="Cambria Math" w:cs="Arial"/>
                      <w:i/>
                      <w:szCs w:val="18"/>
                      <w:lang w:val="cs-CZ"/>
                    </w:rPr>
                  </m:ctrlPr>
                </m:sSubPr>
                <m:e>
                  <m:r>
                    <w:rPr>
                      <w:rFonts w:ascii="Cambria Math" w:hAnsi="Cambria Math" w:cs="Arial"/>
                      <w:szCs w:val="18"/>
                      <w:lang w:val="cs-CZ"/>
                    </w:rPr>
                    <m:t>T</m:t>
                  </m:r>
                </m:e>
                <m:sub>
                  <m:r>
                    <w:rPr>
                      <w:rFonts w:ascii="Cambria Math" w:hAnsi="Cambria Math" w:cs="Arial"/>
                      <w:szCs w:val="18"/>
                      <w:lang w:val="cs-CZ"/>
                    </w:rPr>
                    <m:t>m</m:t>
                  </m:r>
                </m:sub>
              </m:sSub>
            </m:den>
          </m:f>
          <m:r>
            <w:rPr>
              <w:rFonts w:ascii="Cambria Math" w:hAnsi="Cambria Math" w:cs="Arial"/>
              <w:szCs w:val="18"/>
              <w:lang w:val="cs-CZ"/>
            </w:rPr>
            <m:t xml:space="preserve"> </m:t>
          </m:r>
          <m:d>
            <m:dPr>
              <m:begChr m:val="["/>
              <m:endChr m:val="]"/>
              <m:ctrlPr>
                <w:rPr>
                  <w:rFonts w:ascii="Cambria Math" w:hAnsi="Cambria Math" w:cs="Arial"/>
                  <w:i/>
                  <w:szCs w:val="18"/>
                  <w:lang w:val="cs-CZ"/>
                </w:rPr>
              </m:ctrlPr>
            </m:dPr>
            <m:e>
              <m:sSup>
                <m:sSupPr>
                  <m:ctrlPr>
                    <w:rPr>
                      <w:rFonts w:ascii="Cambria Math" w:hAnsi="Cambria Math" w:cs="Arial"/>
                      <w:i/>
                      <w:szCs w:val="18"/>
                      <w:lang w:val="cs-CZ"/>
                    </w:rPr>
                  </m:ctrlPr>
                </m:sSupPr>
                <m:e>
                  <m:r>
                    <w:rPr>
                      <w:rFonts w:ascii="Cambria Math" w:hAnsi="Cambria Math" w:cs="Arial"/>
                      <w:szCs w:val="18"/>
                      <w:lang w:val="cs-CZ"/>
                    </w:rPr>
                    <m:t>m</m:t>
                  </m:r>
                </m:e>
                <m:sup>
                  <m:r>
                    <w:rPr>
                      <w:rFonts w:ascii="Cambria Math" w:hAnsi="Cambria Math" w:cs="Arial"/>
                      <w:szCs w:val="18"/>
                      <w:lang w:val="cs-CZ"/>
                    </w:rPr>
                    <m:t>4</m:t>
                  </m:r>
                </m:sup>
              </m:sSup>
            </m:e>
          </m:d>
        </m:oMath>
      </m:oMathPara>
    </w:p>
    <w:p w:rsidR="00E82B25" w:rsidRPr="003B6E11" w:rsidRDefault="00E82B25" w:rsidP="00E82B25">
      <w:pPr>
        <w:pStyle w:val="ESlet"/>
        <w:rPr>
          <w:rFonts w:eastAsia="Calibri"/>
          <w:lang w:val="cs-CZ"/>
        </w:rPr>
      </w:pPr>
    </w:p>
    <w:p w:rsidR="00E82B25" w:rsidRPr="003B6E11" w:rsidRDefault="00E82B25" w:rsidP="00E82B25">
      <w:pPr>
        <w:pStyle w:val="ESlet"/>
        <w:rPr>
          <w:rFonts w:eastAsia="Calibri"/>
          <w:lang w:val="cs-CZ"/>
        </w:rPr>
      </w:pPr>
      <w:r w:rsidRPr="003B6E11">
        <w:rPr>
          <w:lang w:val="cs-CZ"/>
        </w:rPr>
        <w:t>b)</w:t>
      </w:r>
      <w:r w:rsidRPr="003B6E11">
        <w:rPr>
          <w:lang w:val="cs-CZ"/>
        </w:rPr>
        <w:tab/>
        <w:t>pro ostatní lodě</w:t>
      </w:r>
    </w:p>
    <w:p w:rsidR="00E82B25" w:rsidRPr="003B6E11" w:rsidRDefault="00E82B25" w:rsidP="00E82B25">
      <w:pPr>
        <w:pStyle w:val="ESlet"/>
        <w:rPr>
          <w:rFonts w:eastAsia="Calibri"/>
          <w:lang w:val="cs-CZ"/>
        </w:rPr>
      </w:pPr>
    </w:p>
    <w:p w:rsidR="00E82B25" w:rsidRPr="003B6E11" w:rsidRDefault="00E82B25" w:rsidP="00E82B25">
      <w:pPr>
        <w:pStyle w:val="ESlet"/>
        <w:ind w:left="0"/>
        <w:rPr>
          <w:rFonts w:cs="Arial"/>
          <w:szCs w:val="18"/>
          <w:lang w:val="cs-CZ"/>
        </w:rPr>
      </w:pPr>
      <m:oMathPara>
        <m:oMath>
          <m:r>
            <w:rPr>
              <w:rFonts w:ascii="Cambria Math" w:hAnsi="Cambria Math" w:cs="Arial"/>
              <w:szCs w:val="18"/>
              <w:lang w:val="cs-CZ"/>
            </w:rPr>
            <m:t xml:space="preserve">I= </m:t>
          </m:r>
          <m:f>
            <m:fPr>
              <m:ctrlPr>
                <w:rPr>
                  <w:rFonts w:ascii="Cambria Math" w:hAnsi="Cambria Math" w:cs="Arial"/>
                  <w:i/>
                  <w:szCs w:val="18"/>
                  <w:lang w:val="cs-CZ"/>
                </w:rPr>
              </m:ctrlPr>
            </m:fPr>
            <m:num>
              <m:sSub>
                <m:sSubPr>
                  <m:ctrlPr>
                    <w:rPr>
                      <w:rFonts w:ascii="Cambria Math" w:hAnsi="Cambria Math" w:cs="Arial"/>
                      <w:i/>
                      <w:szCs w:val="18"/>
                      <w:lang w:val="cs-CZ"/>
                    </w:rPr>
                  </m:ctrlPr>
                </m:sSubPr>
                <m:e>
                  <m:sSup>
                    <m:sSupPr>
                      <m:ctrlPr>
                        <w:rPr>
                          <w:rFonts w:ascii="Cambria Math" w:hAnsi="Cambria Math" w:cs="Arial"/>
                          <w:i/>
                          <w:szCs w:val="18"/>
                          <w:lang w:val="cs-CZ"/>
                        </w:rPr>
                      </m:ctrlPr>
                    </m:sSupPr>
                    <m:e>
                      <m:r>
                        <w:rPr>
                          <w:rFonts w:ascii="Cambria Math" w:hAnsi="Cambria Math" w:cs="Arial"/>
                          <w:szCs w:val="18"/>
                          <w:lang w:val="cs-CZ"/>
                        </w:rPr>
                        <m:t>B</m:t>
                      </m:r>
                    </m:e>
                    <m:sup>
                      <m:r>
                        <w:rPr>
                          <w:rFonts w:ascii="Cambria Math" w:hAnsi="Cambria Math" w:cs="Arial"/>
                          <w:szCs w:val="18"/>
                          <w:lang w:val="cs-CZ"/>
                        </w:rPr>
                        <m:t>2</m:t>
                      </m:r>
                    </m:sup>
                  </m:sSup>
                </m:e>
                <m:sub>
                  <m:r>
                    <w:rPr>
                      <w:rFonts w:ascii="Cambria Math" w:hAnsi="Cambria Math" w:cs="Arial"/>
                      <w:szCs w:val="18"/>
                      <w:lang w:val="cs-CZ"/>
                    </w:rPr>
                    <m:t>WL</m:t>
                  </m:r>
                </m:sub>
              </m:sSub>
              <m:r>
                <w:rPr>
                  <w:rFonts w:ascii="Cambria Math" w:hAnsi="Cambria Math" w:cs="Arial"/>
                  <w:szCs w:val="18"/>
                  <w:lang w:val="cs-CZ"/>
                </w:rPr>
                <m:t xml:space="preserve"> ∙ ∀</m:t>
              </m:r>
            </m:num>
            <m:den>
              <m:d>
                <m:dPr>
                  <m:ctrlPr>
                    <w:rPr>
                      <w:rFonts w:ascii="Cambria Math" w:hAnsi="Cambria Math" w:cs="Arial"/>
                      <w:i/>
                      <w:szCs w:val="18"/>
                      <w:lang w:val="cs-CZ"/>
                    </w:rPr>
                  </m:ctrlPr>
                </m:dPr>
                <m:e>
                  <m:r>
                    <w:rPr>
                      <w:rFonts w:ascii="Cambria Math" w:hAnsi="Cambria Math" w:cs="Arial"/>
                      <w:szCs w:val="18"/>
                      <w:lang w:val="cs-CZ"/>
                    </w:rPr>
                    <m:t xml:space="preserve">12,7-1,2 ∙ </m:t>
                  </m:r>
                  <m:f>
                    <m:fPr>
                      <m:ctrlPr>
                        <w:rPr>
                          <w:rFonts w:ascii="Cambria Math" w:hAnsi="Cambria Math" w:cs="Arial"/>
                          <w:i/>
                          <w:szCs w:val="18"/>
                          <w:lang w:val="cs-CZ"/>
                        </w:rPr>
                      </m:ctrlPr>
                    </m:fPr>
                    <m:num>
                      <m:sSub>
                        <m:sSubPr>
                          <m:ctrlPr>
                            <w:rPr>
                              <w:rFonts w:ascii="Cambria Math" w:hAnsi="Cambria Math" w:cs="Arial"/>
                              <w:i/>
                              <w:szCs w:val="18"/>
                              <w:lang w:val="cs-CZ"/>
                            </w:rPr>
                          </m:ctrlPr>
                        </m:sSubPr>
                        <m:e>
                          <m:r>
                            <w:rPr>
                              <w:rFonts w:ascii="Cambria Math" w:hAnsi="Cambria Math" w:cs="Arial"/>
                              <w:szCs w:val="18"/>
                              <w:lang w:val="cs-CZ"/>
                            </w:rPr>
                            <m:t>T</m:t>
                          </m:r>
                        </m:e>
                        <m:sub>
                          <m:r>
                            <w:rPr>
                              <w:rFonts w:ascii="Cambria Math" w:hAnsi="Cambria Math" w:cs="Arial"/>
                              <w:szCs w:val="18"/>
                              <w:lang w:val="cs-CZ"/>
                            </w:rPr>
                            <m:t>m</m:t>
                          </m:r>
                        </m:sub>
                      </m:sSub>
                    </m:num>
                    <m:den>
                      <m:r>
                        <w:rPr>
                          <w:rFonts w:ascii="Cambria Math" w:hAnsi="Cambria Math" w:cs="Arial"/>
                          <w:szCs w:val="18"/>
                          <w:lang w:val="cs-CZ"/>
                        </w:rPr>
                        <m:t>H</m:t>
                      </m:r>
                    </m:den>
                  </m:f>
                </m:e>
              </m:d>
              <m:r>
                <w:rPr>
                  <w:rFonts w:ascii="Cambria Math" w:hAnsi="Cambria Math" w:cs="Arial"/>
                  <w:szCs w:val="18"/>
                  <w:lang w:val="cs-CZ"/>
                </w:rPr>
                <m:t xml:space="preserve"> ∙ </m:t>
              </m:r>
              <m:sSub>
                <m:sSubPr>
                  <m:ctrlPr>
                    <w:rPr>
                      <w:rFonts w:ascii="Cambria Math" w:hAnsi="Cambria Math" w:cs="Arial"/>
                      <w:i/>
                      <w:szCs w:val="18"/>
                      <w:lang w:val="cs-CZ"/>
                    </w:rPr>
                  </m:ctrlPr>
                </m:sSubPr>
                <m:e>
                  <m:r>
                    <w:rPr>
                      <w:rFonts w:ascii="Cambria Math" w:hAnsi="Cambria Math" w:cs="Arial"/>
                      <w:szCs w:val="18"/>
                      <w:lang w:val="cs-CZ"/>
                    </w:rPr>
                    <m:t>T</m:t>
                  </m:r>
                </m:e>
                <m:sub>
                  <m:r>
                    <w:rPr>
                      <w:rFonts w:ascii="Cambria Math" w:hAnsi="Cambria Math" w:cs="Arial"/>
                      <w:szCs w:val="18"/>
                      <w:lang w:val="cs-CZ"/>
                    </w:rPr>
                    <m:t>m</m:t>
                  </m:r>
                </m:sub>
              </m:sSub>
            </m:den>
          </m:f>
          <m:r>
            <w:rPr>
              <w:rFonts w:ascii="Cambria Math" w:hAnsi="Cambria Math" w:cs="Arial"/>
              <w:szCs w:val="18"/>
              <w:lang w:val="cs-CZ"/>
            </w:rPr>
            <m:t xml:space="preserve"> </m:t>
          </m:r>
          <m:d>
            <m:dPr>
              <m:begChr m:val="["/>
              <m:endChr m:val="]"/>
              <m:ctrlPr>
                <w:rPr>
                  <w:rFonts w:ascii="Cambria Math" w:hAnsi="Cambria Math" w:cs="Arial"/>
                  <w:i/>
                  <w:szCs w:val="18"/>
                  <w:lang w:val="cs-CZ"/>
                </w:rPr>
              </m:ctrlPr>
            </m:dPr>
            <m:e>
              <m:sSup>
                <m:sSupPr>
                  <m:ctrlPr>
                    <w:rPr>
                      <w:rFonts w:ascii="Cambria Math" w:hAnsi="Cambria Math" w:cs="Arial"/>
                      <w:i/>
                      <w:szCs w:val="18"/>
                      <w:lang w:val="cs-CZ"/>
                    </w:rPr>
                  </m:ctrlPr>
                </m:sSupPr>
                <m:e>
                  <m:r>
                    <w:rPr>
                      <w:rFonts w:ascii="Cambria Math" w:hAnsi="Cambria Math" w:cs="Arial"/>
                      <w:szCs w:val="18"/>
                      <w:lang w:val="cs-CZ"/>
                    </w:rPr>
                    <m:t>m</m:t>
                  </m:r>
                </m:e>
                <m:sup>
                  <m:r>
                    <w:rPr>
                      <w:rFonts w:ascii="Cambria Math" w:hAnsi="Cambria Math" w:cs="Arial"/>
                      <w:szCs w:val="18"/>
                      <w:lang w:val="cs-CZ"/>
                    </w:rPr>
                    <m:t>4</m:t>
                  </m:r>
                </m:sup>
              </m:sSup>
            </m:e>
          </m:d>
        </m:oMath>
      </m:oMathPara>
    </w:p>
    <w:p w:rsidR="00E82B25" w:rsidRPr="003B6E11" w:rsidRDefault="00E82B25" w:rsidP="00E82B25">
      <w:pPr>
        <w:pStyle w:val="ESch"/>
        <w:rPr>
          <w:rFonts w:eastAsia="Calibri" w:cs="Arial"/>
          <w:szCs w:val="18"/>
          <w:lang w:val="cs-CZ"/>
        </w:rPr>
      </w:pPr>
    </w:p>
    <w:p w:rsidR="00E82B25" w:rsidRPr="003B6E11" w:rsidRDefault="00E82B25" w:rsidP="00E82B25">
      <w:pPr>
        <w:pStyle w:val="ESch"/>
        <w:rPr>
          <w:rFonts w:eastAsia="Calibri" w:cs="Arial"/>
          <w:szCs w:val="18"/>
          <w:lang w:val="cs-CZ"/>
        </w:rPr>
      </w:pPr>
    </w:p>
    <w:p w:rsidR="00E82B25" w:rsidRPr="003B6E11" w:rsidRDefault="00E82B25" w:rsidP="00E82B25">
      <w:pPr>
        <w:pStyle w:val="ES-Titre3"/>
        <w:rPr>
          <w:rFonts w:cs="Arial"/>
          <w:i/>
          <w:szCs w:val="18"/>
          <w:lang w:val="cs-CZ"/>
        </w:rPr>
      </w:pPr>
      <w:bookmarkStart w:id="490" w:name="_Toc491854242"/>
      <w:bookmarkStart w:id="491" w:name="_Toc535417148"/>
      <w:r w:rsidRPr="003B6E11">
        <w:rPr>
          <w:lang w:val="cs-CZ"/>
        </w:rPr>
        <w:t>Článek 27.04</w:t>
      </w:r>
      <w:r w:rsidRPr="003B6E11">
        <w:rPr>
          <w:lang w:val="cs-CZ"/>
        </w:rPr>
        <w:br/>
      </w:r>
      <w:r w:rsidRPr="003B6E11">
        <w:rPr>
          <w:i/>
          <w:noProof/>
          <w:lang w:val="cs-CZ"/>
        </w:rPr>
        <w:t>Postup posuzování stability na palubě</w:t>
      </w:r>
      <w:bookmarkEnd w:id="490"/>
      <w:bookmarkEnd w:id="491"/>
    </w:p>
    <w:p w:rsidR="00E82B25" w:rsidRPr="003B6E11" w:rsidRDefault="00E82B25" w:rsidP="00E82B25">
      <w:pPr>
        <w:pStyle w:val="ESch"/>
        <w:rPr>
          <w:noProof/>
          <w:lang w:val="cs-CZ"/>
        </w:rPr>
      </w:pPr>
    </w:p>
    <w:p w:rsidR="00E82B25" w:rsidRPr="003B6E11" w:rsidRDefault="00E82B25" w:rsidP="00E82B25">
      <w:pPr>
        <w:pStyle w:val="ESgauche"/>
        <w:rPr>
          <w:rFonts w:cs="Arial"/>
          <w:szCs w:val="18"/>
          <w:lang w:val="cs-CZ"/>
        </w:rPr>
      </w:pPr>
      <w:r w:rsidRPr="003B6E11">
        <w:rPr>
          <w:lang w:val="cs-CZ"/>
        </w:rPr>
        <w:t>Postup posuzování stability na palubě lze zjistit z dokladů uvedených v čl. 27.01 odst. 2.</w:t>
      </w: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br w:type="page"/>
      </w: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Titre2"/>
        <w:rPr>
          <w:szCs w:val="24"/>
        </w:rPr>
      </w:pPr>
      <w:bookmarkStart w:id="492" w:name="_Toc491854243"/>
      <w:bookmarkStart w:id="493" w:name="_Toc535417149"/>
      <w:r w:rsidRPr="003B6E11">
        <w:t>Kapitola 28</w:t>
      </w:r>
      <w:r w:rsidRPr="003B6E11">
        <w:br/>
      </w:r>
      <w:r w:rsidRPr="003B6E11">
        <w:rPr>
          <w:noProof/>
          <w:sz w:val="22"/>
        </w:rPr>
        <w:t>Zvláštní ustanovení pro plavidla delší než 110 m</w:t>
      </w:r>
      <w:bookmarkEnd w:id="492"/>
      <w:bookmarkEnd w:id="493"/>
    </w:p>
    <w:p w:rsidR="00E82B25" w:rsidRPr="003B6E11" w:rsidRDefault="00E82B25" w:rsidP="00E82B25">
      <w:pPr>
        <w:rPr>
          <w:lang w:val="cs-CZ"/>
        </w:rPr>
      </w:pPr>
    </w:p>
    <w:p w:rsidR="00E82B25" w:rsidRPr="003B6E11" w:rsidRDefault="00E82B25" w:rsidP="00E82B25">
      <w:pPr>
        <w:pStyle w:val="ES-Titre3"/>
        <w:rPr>
          <w:lang w:val="cs-CZ"/>
        </w:rPr>
      </w:pPr>
      <w:bookmarkStart w:id="494" w:name="_Toc491854244"/>
      <w:bookmarkStart w:id="495" w:name="_Toc535417150"/>
      <w:r w:rsidRPr="003B6E11">
        <w:rPr>
          <w:lang w:val="cs-CZ"/>
        </w:rPr>
        <w:t>Článek 28.01</w:t>
      </w:r>
      <w:r w:rsidRPr="003B6E11">
        <w:rPr>
          <w:lang w:val="cs-CZ"/>
        </w:rPr>
        <w:br/>
      </w:r>
      <w:r w:rsidRPr="003B6E11">
        <w:rPr>
          <w:i/>
          <w:noProof/>
          <w:lang w:val="cs-CZ"/>
        </w:rPr>
        <w:t>Uplatňování části II</w:t>
      </w:r>
      <w:bookmarkEnd w:id="494"/>
      <w:bookmarkEnd w:id="495"/>
    </w:p>
    <w:p w:rsidR="00E82B25" w:rsidRPr="003B6E11" w:rsidRDefault="00E82B25" w:rsidP="00E82B25">
      <w:pPr>
        <w:pStyle w:val="ESch"/>
        <w:rPr>
          <w:noProof/>
          <w:lang w:val="cs-CZ"/>
        </w:rPr>
      </w:pPr>
    </w:p>
    <w:p w:rsidR="00E82B25" w:rsidRPr="003B6E11" w:rsidRDefault="00E82B25" w:rsidP="00E82B25">
      <w:pPr>
        <w:pStyle w:val="ESgauche"/>
        <w:rPr>
          <w:lang w:val="cs-CZ"/>
        </w:rPr>
      </w:pPr>
      <w:r w:rsidRPr="003B6E11">
        <w:rPr>
          <w:lang w:val="cs-CZ"/>
        </w:rPr>
        <w:t xml:space="preserve">Na plavidla s délkou </w:t>
      </w:r>
      <m:oMath>
        <m:r>
          <w:rPr>
            <w:rFonts w:ascii="Cambria Math" w:hAnsi="Cambria Math"/>
            <w:lang w:val="cs-CZ"/>
          </w:rPr>
          <m:t>L</m:t>
        </m:r>
      </m:oMath>
      <w:r w:rsidRPr="003B6E11">
        <w:rPr>
          <w:lang w:val="cs-CZ"/>
        </w:rPr>
        <w:t xml:space="preserve"> přesahující 110 m se kromě částí II a III vztahují články 28.02 až 28.04.</w:t>
      </w:r>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p>
    <w:p w:rsidR="00E82B25" w:rsidRPr="003B6E11" w:rsidRDefault="00E82B25" w:rsidP="00E82B25">
      <w:pPr>
        <w:pStyle w:val="ES-Titre3"/>
        <w:rPr>
          <w:i/>
          <w:noProof/>
          <w:lang w:val="cs-CZ"/>
        </w:rPr>
      </w:pPr>
      <w:bookmarkStart w:id="496" w:name="_Toc491854245"/>
      <w:bookmarkStart w:id="497" w:name="_Toc535417151"/>
      <w:r w:rsidRPr="003B6E11">
        <w:rPr>
          <w:lang w:val="cs-CZ"/>
        </w:rPr>
        <w:t>Článek 28.02</w:t>
      </w:r>
      <w:r w:rsidRPr="003B6E11">
        <w:rPr>
          <w:lang w:val="cs-CZ"/>
        </w:rPr>
        <w:br/>
      </w:r>
      <w:r w:rsidRPr="003B6E11">
        <w:rPr>
          <w:i/>
          <w:noProof/>
          <w:lang w:val="cs-CZ"/>
        </w:rPr>
        <w:t>Pevnost</w:t>
      </w:r>
      <w:bookmarkEnd w:id="496"/>
      <w:bookmarkEnd w:id="497"/>
    </w:p>
    <w:p w:rsidR="00E82B25" w:rsidRPr="003B6E11" w:rsidRDefault="00E82B25" w:rsidP="00E82B25">
      <w:pPr>
        <w:pStyle w:val="ESgauche"/>
        <w:rPr>
          <w:lang w:val="cs-CZ"/>
        </w:rPr>
      </w:pPr>
    </w:p>
    <w:p w:rsidR="00E82B25" w:rsidRPr="003B6E11" w:rsidRDefault="00E82B25" w:rsidP="00E82B25">
      <w:pPr>
        <w:pStyle w:val="ESgauche"/>
        <w:rPr>
          <w:lang w:val="cs-CZ"/>
        </w:rPr>
      </w:pPr>
      <w:r w:rsidRPr="003B6E11">
        <w:rPr>
          <w:lang w:val="cs-CZ"/>
        </w:rPr>
        <w:t>Uznaná klasifikační společnost ověří dostatečnou pevnost lodního trupu podle čl. 3.02 odst. 1 písm. a) (podélnou, příčnou a místní pevnost) a vystaví potvrzení.</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Titre3"/>
        <w:rPr>
          <w:i/>
          <w:noProof/>
          <w:lang w:val="cs-CZ"/>
        </w:rPr>
      </w:pPr>
      <w:bookmarkStart w:id="498" w:name="_Toc491854246"/>
      <w:bookmarkStart w:id="499" w:name="_Toc535417152"/>
      <w:r w:rsidRPr="003B6E11">
        <w:rPr>
          <w:i/>
          <w:noProof/>
          <w:lang w:val="cs-CZ"/>
        </w:rPr>
        <w:t>Článek 28.03</w:t>
      </w:r>
      <w:r w:rsidRPr="003B6E11">
        <w:rPr>
          <w:lang w:val="cs-CZ"/>
        </w:rPr>
        <w:br/>
      </w:r>
      <w:r w:rsidRPr="003B6E11">
        <w:rPr>
          <w:i/>
          <w:noProof/>
          <w:lang w:val="cs-CZ"/>
        </w:rPr>
        <w:t>Plovatelnost a stabilita</w:t>
      </w:r>
      <w:bookmarkEnd w:id="498"/>
      <w:bookmarkEnd w:id="499"/>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t>1.</w:t>
      </w:r>
      <w:r w:rsidRPr="003B6E11">
        <w:rPr>
          <w:lang w:val="cs-CZ"/>
        </w:rPr>
        <w:tab/>
        <w:t xml:space="preserve">Odstavce 2 až 10 se vztahují na plavidla s délkou </w:t>
      </w:r>
      <m:oMath>
        <m:r>
          <w:rPr>
            <w:rFonts w:ascii="Cambria Math" w:hAnsi="Cambria Math"/>
            <w:noProof/>
            <w:szCs w:val="20"/>
            <w:lang w:val="cs-CZ"/>
          </w:rPr>
          <m:t>L</m:t>
        </m:r>
      </m:oMath>
      <w:r w:rsidRPr="003B6E11">
        <w:rPr>
          <w:lang w:val="cs-CZ"/>
        </w:rPr>
        <w:t xml:space="preserve"> přesahující 110 m, s výjimkou osobních lodí.</w:t>
      </w:r>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t>2.</w:t>
      </w:r>
      <w:r w:rsidRPr="003B6E11">
        <w:rPr>
          <w:lang w:val="cs-CZ"/>
        </w:rPr>
        <w:tab/>
        <w:t>Základní hodnoty pro výpočet stability – hmotnost prázdné lodi a umístění těžiště – se určí zkouškou náklonu provedenou v souladu s přílohou I rezoluce IMO MSC.267 (85)</w:t>
      </w:r>
      <w:r w:rsidRPr="003B6E11">
        <w:rPr>
          <w:rStyle w:val="FootnoteReference"/>
          <w:noProof/>
          <w:lang w:val="cs-CZ"/>
        </w:rPr>
        <w:footnoteReference w:id="24"/>
      </w:r>
      <w:r w:rsidRPr="003B6E11">
        <w:rPr>
          <w:lang w:val="cs-CZ"/>
        </w:rPr>
        <w:t>.</w:t>
      </w:r>
    </w:p>
    <w:p w:rsidR="00E82B25" w:rsidRPr="003B6E11" w:rsidRDefault="00E82B25" w:rsidP="00E82B25">
      <w:pPr>
        <w:pStyle w:val="ESch"/>
        <w:rPr>
          <w:szCs w:val="20"/>
          <w:lang w:val="cs-CZ"/>
        </w:rPr>
      </w:pPr>
    </w:p>
    <w:p w:rsidR="00E82B25" w:rsidRPr="003B6E11" w:rsidRDefault="00E82B25" w:rsidP="00E82B25">
      <w:pPr>
        <w:pStyle w:val="ESch"/>
        <w:rPr>
          <w:rFonts w:cs="Arial"/>
          <w:szCs w:val="20"/>
          <w:lang w:val="cs-CZ"/>
        </w:rPr>
      </w:pPr>
      <w:r w:rsidRPr="003B6E11">
        <w:rPr>
          <w:lang w:val="cs-CZ"/>
        </w:rPr>
        <w:t>3.</w:t>
      </w:r>
      <w:r w:rsidRPr="003B6E11">
        <w:rPr>
          <w:lang w:val="cs-CZ"/>
        </w:rPr>
        <w:tab/>
        <w:t>Žadatel doloží výpočtem, že stabilita lodi v narušeném stavu je přiměřená. Výpočet konečného stavu zaplavení by měl být založen na metodě „ztráty plovatelnosti“ a prozatímní stavy zaplavení by se měly vypočítat na základě metody „přidané hmotnosti“. Všechny výpočty se provedou bez omezení sklonu a poklesu.</w:t>
      </w:r>
    </w:p>
    <w:p w:rsidR="00E82B25" w:rsidRPr="003B6E11" w:rsidRDefault="00E82B25" w:rsidP="00E82B25">
      <w:pPr>
        <w:pStyle w:val="ESchpar"/>
        <w:rPr>
          <w:noProof/>
          <w:lang w:val="cs-CZ"/>
        </w:rPr>
      </w:pPr>
    </w:p>
    <w:p w:rsidR="00E82B25" w:rsidRPr="003B6E11" w:rsidRDefault="00E82B25" w:rsidP="00E82B25">
      <w:pPr>
        <w:pStyle w:val="ESchpar"/>
        <w:rPr>
          <w:noProof/>
          <w:lang w:val="cs-CZ"/>
        </w:rPr>
      </w:pPr>
      <w:r w:rsidRPr="003B6E11">
        <w:rPr>
          <w:lang w:val="cs-CZ"/>
        </w:rPr>
        <w:t>Dostatečnou plovatelnost a stabilitu lodi v případě zaplavení je nutno prokázat s nákladem, který odpovídá největšímu přípustnému ponoru lodi a je rovnoměrně rozmístěn do všech podpalubních nákladových prostor, při plném naložení zásobami a pohonnými hmotami.</w:t>
      </w:r>
    </w:p>
    <w:p w:rsidR="00E82B25" w:rsidRPr="003B6E11" w:rsidRDefault="00E82B25" w:rsidP="00E82B25">
      <w:pPr>
        <w:pStyle w:val="ESchpar"/>
        <w:rPr>
          <w:noProof/>
          <w:lang w:val="cs-CZ"/>
        </w:rPr>
      </w:pPr>
    </w:p>
    <w:p w:rsidR="00E82B25" w:rsidRPr="003B6E11" w:rsidRDefault="00E82B25" w:rsidP="00E82B25">
      <w:pPr>
        <w:pStyle w:val="ESchpar"/>
        <w:rPr>
          <w:noProof/>
          <w:lang w:val="cs-CZ"/>
        </w:rPr>
      </w:pPr>
      <w:r w:rsidRPr="003B6E11">
        <w:rPr>
          <w:lang w:val="cs-CZ"/>
        </w:rPr>
        <w:t>V případě nerovnoměrně rozmístěného nákladu se stabilita vypočítá pro nejméně příznivé podmínky zatížení. Výpočet stability se provede na palubě.</w:t>
      </w:r>
    </w:p>
    <w:p w:rsidR="00E82B25" w:rsidRPr="003B6E11" w:rsidRDefault="00E82B25" w:rsidP="00E82B25">
      <w:pPr>
        <w:pStyle w:val="ESchpar"/>
        <w:rPr>
          <w:noProof/>
          <w:lang w:val="cs-CZ"/>
        </w:rPr>
      </w:pPr>
    </w:p>
    <w:p w:rsidR="00E82B25" w:rsidRPr="003B6E11" w:rsidRDefault="00E82B25" w:rsidP="00E82B25">
      <w:pPr>
        <w:pStyle w:val="ESchpar"/>
        <w:rPr>
          <w:noProof/>
          <w:lang w:val="cs-CZ"/>
        </w:rPr>
      </w:pPr>
      <w:r w:rsidRPr="003B6E11">
        <w:rPr>
          <w:lang w:val="cs-CZ"/>
        </w:rPr>
        <w:t>Za tímto účelem je nutno na základě matematického výpočtu prokázat dostatečnou stabilitu v mezistupních zaplavení (25 %, 50 % a 75 % konečného zaplavení a případně ve fázi bezprostředně před dosažením příčné rovnováhy) a v konečné fázi zaplavení, za podmínek naložení uvedených výše.</w:t>
      </w:r>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t>4.</w:t>
      </w:r>
      <w:r w:rsidRPr="003B6E11">
        <w:rPr>
          <w:lang w:val="cs-CZ"/>
        </w:rPr>
        <w:tab/>
        <w:t>Pro narušený stav se berou v úvahu tyto předpoklady:</w:t>
      </w:r>
    </w:p>
    <w:p w:rsidR="00E82B25" w:rsidRPr="003B6E11" w:rsidRDefault="00E82B25" w:rsidP="00E82B25">
      <w:pPr>
        <w:pStyle w:val="ESlet"/>
        <w:rPr>
          <w:noProof/>
          <w:lang w:val="cs-CZ"/>
        </w:rPr>
      </w:pPr>
      <w:r w:rsidRPr="003B6E11">
        <w:rPr>
          <w:lang w:val="cs-CZ"/>
        </w:rPr>
        <w:t>a)</w:t>
      </w:r>
      <w:r w:rsidRPr="003B6E11">
        <w:rPr>
          <w:lang w:val="cs-CZ"/>
        </w:rPr>
        <w:tab/>
        <w:t>rozsah poškození boku:</w:t>
      </w:r>
    </w:p>
    <w:p w:rsidR="00E82B25" w:rsidRPr="003B6E11" w:rsidRDefault="00E82B25" w:rsidP="00E82B25">
      <w:pPr>
        <w:pStyle w:val="ESletpar"/>
        <w:rPr>
          <w:noProof/>
          <w:lang w:val="cs-CZ"/>
        </w:rPr>
      </w:pPr>
      <w:r w:rsidRPr="003B6E11">
        <w:rPr>
          <w:lang w:val="cs-CZ"/>
        </w:rPr>
        <w:t>podélný rozsah:</w:t>
      </w:r>
      <w:r w:rsidRPr="003B6E11">
        <w:rPr>
          <w:lang w:val="cs-CZ"/>
        </w:rPr>
        <w:tab/>
        <w:t xml:space="preserve">nejméně 0,10 </w:t>
      </w:r>
      <m:oMath>
        <m:r>
          <w:rPr>
            <w:rFonts w:ascii="Cambria Math" w:hAnsi="Cambria Math"/>
            <w:noProof/>
            <w:lang w:val="cs-CZ"/>
          </w:rPr>
          <m:t xml:space="preserve">L </m:t>
        </m:r>
      </m:oMath>
      <w:r w:rsidRPr="003B6E11">
        <w:rPr>
          <w:lang w:val="cs-CZ"/>
        </w:rPr>
        <w:t>,</w:t>
      </w:r>
    </w:p>
    <w:p w:rsidR="00E82B25" w:rsidRPr="003B6E11" w:rsidRDefault="00E82B25" w:rsidP="00E82B25">
      <w:pPr>
        <w:pStyle w:val="ESletpar"/>
        <w:rPr>
          <w:noProof/>
          <w:lang w:val="cs-CZ"/>
        </w:rPr>
      </w:pPr>
      <w:r w:rsidRPr="003B6E11">
        <w:rPr>
          <w:lang w:val="cs-CZ"/>
        </w:rPr>
        <w:t>příčný rozsah:</w:t>
      </w:r>
      <w:r w:rsidRPr="003B6E11">
        <w:rPr>
          <w:lang w:val="cs-CZ"/>
        </w:rPr>
        <w:tab/>
        <w:t>0,59 m,</w:t>
      </w:r>
    </w:p>
    <w:p w:rsidR="00E82B25" w:rsidRPr="003B6E11" w:rsidRDefault="00E82B25" w:rsidP="00E82B25">
      <w:pPr>
        <w:pStyle w:val="ESletpar"/>
        <w:rPr>
          <w:noProof/>
          <w:lang w:val="cs-CZ"/>
        </w:rPr>
      </w:pPr>
      <w:r w:rsidRPr="003B6E11">
        <w:rPr>
          <w:lang w:val="cs-CZ"/>
        </w:rPr>
        <w:t xml:space="preserve">svislý rozsah: </w:t>
      </w:r>
      <w:r w:rsidRPr="003B6E11">
        <w:rPr>
          <w:lang w:val="cs-CZ"/>
        </w:rPr>
        <w:tab/>
        <w:t>ode dna směrem nahoru bez omezení;</w:t>
      </w:r>
    </w:p>
    <w:p w:rsidR="00E82B25" w:rsidRPr="003B6E11" w:rsidRDefault="00E82B25" w:rsidP="00E82B25">
      <w:pPr>
        <w:pStyle w:val="ESlet"/>
        <w:rPr>
          <w:noProof/>
          <w:lang w:val="cs-CZ"/>
        </w:rPr>
      </w:pPr>
    </w:p>
    <w:p w:rsidR="00E82B25" w:rsidRPr="003B6E11" w:rsidRDefault="00E82B25" w:rsidP="00E82B25">
      <w:pPr>
        <w:pStyle w:val="ESlet"/>
        <w:rPr>
          <w:noProof/>
          <w:lang w:val="cs-CZ"/>
        </w:rPr>
      </w:pPr>
      <w:r w:rsidRPr="003B6E11">
        <w:rPr>
          <w:lang w:val="cs-CZ"/>
        </w:rPr>
        <w:br w:type="page"/>
      </w:r>
    </w:p>
    <w:p w:rsidR="00E82B25" w:rsidRPr="003B6E11" w:rsidRDefault="00E82B25" w:rsidP="00E82B25">
      <w:pPr>
        <w:pStyle w:val="ESlet"/>
        <w:rPr>
          <w:noProof/>
          <w:lang w:val="cs-CZ"/>
        </w:rPr>
      </w:pPr>
      <w:r w:rsidRPr="003B6E11">
        <w:rPr>
          <w:lang w:val="cs-CZ"/>
        </w:rPr>
        <w:t>b)</w:t>
      </w:r>
      <w:r w:rsidRPr="003B6E11">
        <w:rPr>
          <w:lang w:val="cs-CZ"/>
        </w:rPr>
        <w:tab/>
        <w:t>rozsah poškození dna:</w:t>
      </w:r>
    </w:p>
    <w:p w:rsidR="00E82B25" w:rsidRPr="003B6E11" w:rsidRDefault="00E82B25" w:rsidP="00E82B25">
      <w:pPr>
        <w:pStyle w:val="ESletpar"/>
        <w:rPr>
          <w:noProof/>
          <w:lang w:val="cs-CZ"/>
        </w:rPr>
      </w:pPr>
      <w:r w:rsidRPr="003B6E11">
        <w:rPr>
          <w:lang w:val="cs-CZ"/>
        </w:rPr>
        <w:t>podélný rozsah:</w:t>
      </w:r>
      <w:r w:rsidRPr="003B6E11">
        <w:rPr>
          <w:lang w:val="cs-CZ"/>
        </w:rPr>
        <w:tab/>
        <w:t xml:space="preserve">nejméně </w:t>
      </w:r>
      <m:oMath>
        <m:r>
          <w:rPr>
            <w:rFonts w:ascii="Cambria Math" w:hAnsi="Cambria Math"/>
            <w:noProof/>
            <w:lang w:val="cs-CZ"/>
          </w:rPr>
          <m:t>0,10 L</m:t>
        </m:r>
      </m:oMath>
      <w:r w:rsidRPr="003B6E11">
        <w:rPr>
          <w:lang w:val="cs-CZ"/>
        </w:rPr>
        <w:t>,</w:t>
      </w:r>
    </w:p>
    <w:p w:rsidR="00E82B25" w:rsidRPr="003B6E11" w:rsidRDefault="00E82B25" w:rsidP="00E82B25">
      <w:pPr>
        <w:pStyle w:val="ESletpar"/>
        <w:rPr>
          <w:noProof/>
          <w:lang w:val="cs-CZ"/>
        </w:rPr>
      </w:pPr>
      <w:r w:rsidRPr="003B6E11">
        <w:rPr>
          <w:lang w:val="cs-CZ"/>
        </w:rPr>
        <w:t>příčný rozsah:</w:t>
      </w:r>
      <w:r w:rsidRPr="003B6E11">
        <w:rPr>
          <w:lang w:val="cs-CZ"/>
        </w:rPr>
        <w:tab/>
        <w:t>3,00 m,</w:t>
      </w:r>
    </w:p>
    <w:p w:rsidR="00E82B25" w:rsidRPr="003B6E11" w:rsidRDefault="00E82B25" w:rsidP="00E82B25">
      <w:pPr>
        <w:pStyle w:val="ESletpar"/>
        <w:rPr>
          <w:noProof/>
          <w:lang w:val="cs-CZ"/>
        </w:rPr>
      </w:pPr>
      <w:r w:rsidRPr="003B6E11">
        <w:rPr>
          <w:lang w:val="cs-CZ"/>
        </w:rPr>
        <w:t xml:space="preserve">svislý rozsah: </w:t>
      </w:r>
      <w:r w:rsidRPr="003B6E11">
        <w:rPr>
          <w:lang w:val="cs-CZ"/>
        </w:rPr>
        <w:tab/>
        <w:t>od základny 0,39 m směrem nahoru, vyjma odpadní jímky;</w:t>
      </w:r>
    </w:p>
    <w:p w:rsidR="00E82B25" w:rsidRPr="003B6E11" w:rsidRDefault="00E82B25" w:rsidP="00E82B25">
      <w:pPr>
        <w:pStyle w:val="ESlet"/>
        <w:rPr>
          <w:noProof/>
          <w:lang w:val="cs-CZ"/>
        </w:rPr>
      </w:pPr>
      <w:r w:rsidRPr="003B6E11">
        <w:rPr>
          <w:lang w:val="cs-CZ"/>
        </w:rPr>
        <w:t>c)</w:t>
      </w:r>
      <w:r w:rsidRPr="003B6E11">
        <w:rPr>
          <w:lang w:val="cs-CZ"/>
        </w:rPr>
        <w:tab/>
        <w:t>všechny přepážky v poškozeném prostoru se považují za poškozené, což znamená, že dělení je nutno zvolit tak, aby plavidlo bylo schopno plavby po zaplavení dvou či více přilehlých oddělení v podélném směru. Pro hlavní strojovnu je nutno vzít v úvahu pouze status 1 oddělení, tj. koncové přepážky strojovny se považují za nepoškozené.</w:t>
      </w:r>
    </w:p>
    <w:p w:rsidR="00E82B25" w:rsidRPr="003B6E11" w:rsidRDefault="00E82B25" w:rsidP="00E82B25">
      <w:pPr>
        <w:pStyle w:val="ESletpar"/>
        <w:rPr>
          <w:rFonts w:cs="Arial"/>
          <w:lang w:val="cs-CZ"/>
        </w:rPr>
      </w:pPr>
      <w:r w:rsidRPr="003B6E11">
        <w:rPr>
          <w:lang w:val="cs-CZ"/>
        </w:rPr>
        <w:t>Při poškození dna se považují za zaplavená také přilehlá oddělení v příčném směru;</w:t>
      </w:r>
    </w:p>
    <w:p w:rsidR="00E82B25" w:rsidRPr="003B6E11" w:rsidRDefault="00E82B25" w:rsidP="00E82B25">
      <w:pPr>
        <w:pStyle w:val="ESlet"/>
        <w:rPr>
          <w:noProof/>
          <w:lang w:val="cs-CZ"/>
        </w:rPr>
      </w:pPr>
      <w:r w:rsidRPr="003B6E11">
        <w:rPr>
          <w:lang w:val="cs-CZ"/>
        </w:rPr>
        <w:t>d)</w:t>
      </w:r>
      <w:r w:rsidRPr="003B6E11">
        <w:rPr>
          <w:lang w:val="cs-CZ"/>
        </w:rPr>
        <w:tab/>
        <w:t>zaplavitelnost</w:t>
      </w:r>
    </w:p>
    <w:p w:rsidR="00E82B25" w:rsidRPr="003B6E11" w:rsidRDefault="00E82B25" w:rsidP="00E82B25">
      <w:pPr>
        <w:pStyle w:val="ESletpar"/>
        <w:rPr>
          <w:noProof/>
          <w:lang w:val="cs-CZ"/>
        </w:rPr>
      </w:pPr>
      <w:r w:rsidRPr="003B6E11">
        <w:rPr>
          <w:lang w:val="cs-CZ"/>
        </w:rPr>
        <w:t>Předpokládá se zaplavitelnost 95 %.</w:t>
      </w:r>
    </w:p>
    <w:p w:rsidR="00E82B25" w:rsidRPr="003B6E11" w:rsidRDefault="00E82B25" w:rsidP="00E82B25">
      <w:pPr>
        <w:pStyle w:val="ESletpar"/>
        <w:rPr>
          <w:noProof/>
          <w:lang w:val="cs-CZ"/>
        </w:rPr>
      </w:pPr>
      <w:r w:rsidRPr="003B6E11">
        <w:rPr>
          <w:lang w:val="cs-CZ"/>
        </w:rPr>
        <w:t>Pokud se výpočtem prokáže, že průměrná zaplavitelnost určitého oddělení je nižší než 95 %, lze použít vypočtenou hodnotu.</w:t>
      </w:r>
    </w:p>
    <w:p w:rsidR="00E82B25" w:rsidRPr="003B6E11" w:rsidRDefault="00E82B25" w:rsidP="00E82B25">
      <w:pPr>
        <w:pStyle w:val="ESletpar"/>
        <w:rPr>
          <w:noProof/>
          <w:lang w:val="cs-CZ"/>
        </w:rPr>
      </w:pPr>
      <w:r w:rsidRPr="003B6E11">
        <w:rPr>
          <w:lang w:val="cs-CZ"/>
        </w:rPr>
        <w:t>Použité hodnoty nesmí být nižší než:</w:t>
      </w:r>
    </w:p>
    <w:p w:rsidR="00E82B25" w:rsidRPr="003B6E11" w:rsidRDefault="00E82B25" w:rsidP="00E82B25">
      <w:pPr>
        <w:pStyle w:val="ESch"/>
        <w:rPr>
          <w:noProof/>
          <w:lang w:val="cs-CZ"/>
        </w:rPr>
      </w:pP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7"/>
        <w:gridCol w:w="1418"/>
      </w:tblGrid>
      <w:tr w:rsidR="00E82B25" w:rsidRPr="003B6E11" w:rsidTr="002D015D">
        <w:tc>
          <w:tcPr>
            <w:tcW w:w="6747" w:type="dxa"/>
            <w:shd w:val="clear" w:color="auto" w:fill="auto"/>
            <w:vAlign w:val="center"/>
          </w:tcPr>
          <w:p w:rsidR="00E82B25" w:rsidRPr="003B6E11" w:rsidRDefault="00E82B25" w:rsidP="002D015D">
            <w:pPr>
              <w:pStyle w:val="ESletpar"/>
              <w:spacing w:after="60"/>
              <w:ind w:left="0"/>
              <w:rPr>
                <w:rFonts w:eastAsia="Batang"/>
                <w:lang w:val="cs-CZ"/>
              </w:rPr>
            </w:pPr>
            <w:r w:rsidRPr="003B6E11">
              <w:rPr>
                <w:lang w:val="cs-CZ"/>
              </w:rPr>
              <w:t>strojovny a provozní prostory:</w:t>
            </w:r>
          </w:p>
        </w:tc>
        <w:tc>
          <w:tcPr>
            <w:tcW w:w="1418" w:type="dxa"/>
            <w:shd w:val="clear" w:color="auto" w:fill="auto"/>
            <w:vAlign w:val="center"/>
          </w:tcPr>
          <w:p w:rsidR="00E82B25" w:rsidRPr="003B6E11" w:rsidRDefault="00E82B25" w:rsidP="002D015D">
            <w:pPr>
              <w:pStyle w:val="ESletpar"/>
              <w:spacing w:after="60"/>
              <w:ind w:left="0"/>
              <w:jc w:val="center"/>
              <w:rPr>
                <w:rFonts w:eastAsia="Batang"/>
                <w:lang w:val="cs-CZ"/>
              </w:rPr>
            </w:pPr>
            <w:r w:rsidRPr="003B6E11">
              <w:rPr>
                <w:lang w:val="cs-CZ"/>
              </w:rPr>
              <w:t>85 %</w:t>
            </w:r>
          </w:p>
        </w:tc>
      </w:tr>
      <w:tr w:rsidR="00E82B25" w:rsidRPr="003B6E11" w:rsidTr="002D015D">
        <w:tc>
          <w:tcPr>
            <w:tcW w:w="6747" w:type="dxa"/>
            <w:shd w:val="clear" w:color="auto" w:fill="auto"/>
            <w:vAlign w:val="center"/>
          </w:tcPr>
          <w:p w:rsidR="00E82B25" w:rsidRPr="003B6E11" w:rsidRDefault="00E82B25" w:rsidP="002D015D">
            <w:pPr>
              <w:pStyle w:val="ESletpar"/>
              <w:spacing w:after="60"/>
              <w:ind w:left="0"/>
              <w:rPr>
                <w:rFonts w:eastAsia="Batang"/>
                <w:lang w:val="cs-CZ"/>
              </w:rPr>
            </w:pPr>
            <w:r w:rsidRPr="003B6E11">
              <w:rPr>
                <w:lang w:val="cs-CZ"/>
              </w:rPr>
              <w:t>podpalubní nákladové prostory:</w:t>
            </w:r>
          </w:p>
        </w:tc>
        <w:tc>
          <w:tcPr>
            <w:tcW w:w="1418" w:type="dxa"/>
            <w:shd w:val="clear" w:color="auto" w:fill="auto"/>
            <w:vAlign w:val="center"/>
          </w:tcPr>
          <w:p w:rsidR="00E82B25" w:rsidRPr="003B6E11" w:rsidRDefault="00E82B25" w:rsidP="002D015D">
            <w:pPr>
              <w:pStyle w:val="ESletpar"/>
              <w:spacing w:after="60"/>
              <w:ind w:left="0"/>
              <w:jc w:val="center"/>
              <w:rPr>
                <w:rFonts w:eastAsia="Batang"/>
                <w:lang w:val="cs-CZ"/>
              </w:rPr>
            </w:pPr>
            <w:r w:rsidRPr="003B6E11">
              <w:rPr>
                <w:lang w:val="cs-CZ"/>
              </w:rPr>
              <w:t>70 %</w:t>
            </w:r>
          </w:p>
        </w:tc>
      </w:tr>
      <w:tr w:rsidR="00E82B25" w:rsidRPr="003B6E11" w:rsidTr="002D015D">
        <w:tc>
          <w:tcPr>
            <w:tcW w:w="6747" w:type="dxa"/>
            <w:shd w:val="clear" w:color="auto" w:fill="auto"/>
            <w:vAlign w:val="center"/>
          </w:tcPr>
          <w:p w:rsidR="00E82B25" w:rsidRPr="003B6E11" w:rsidRDefault="00E82B25" w:rsidP="002D015D">
            <w:pPr>
              <w:pStyle w:val="ESletpar"/>
              <w:spacing w:after="60"/>
              <w:ind w:left="0"/>
              <w:rPr>
                <w:rFonts w:eastAsia="Batang"/>
                <w:lang w:val="cs-CZ"/>
              </w:rPr>
            </w:pPr>
            <w:r w:rsidRPr="003B6E11">
              <w:rPr>
                <w:lang w:val="cs-CZ"/>
              </w:rPr>
              <w:t>dvojitá dna, palivové nádrže, zátěžové nádrže atd. v závislosti na tom, považují-li se podle své funkce u lodi plovoucí s největším přípustným ponorem za plné nebo prázdné</w:t>
            </w:r>
          </w:p>
        </w:tc>
        <w:tc>
          <w:tcPr>
            <w:tcW w:w="1418" w:type="dxa"/>
            <w:shd w:val="clear" w:color="auto" w:fill="auto"/>
            <w:vAlign w:val="center"/>
          </w:tcPr>
          <w:p w:rsidR="00E82B25" w:rsidRPr="003B6E11" w:rsidRDefault="00E82B25" w:rsidP="002D015D">
            <w:pPr>
              <w:pStyle w:val="ESletpar"/>
              <w:spacing w:after="60"/>
              <w:ind w:left="0"/>
              <w:jc w:val="center"/>
              <w:rPr>
                <w:rFonts w:eastAsia="Batang"/>
                <w:lang w:val="cs-CZ"/>
              </w:rPr>
            </w:pPr>
            <w:r w:rsidRPr="003B6E11">
              <w:rPr>
                <w:lang w:val="cs-CZ"/>
              </w:rPr>
              <w:t>0 nebo 95 %</w:t>
            </w:r>
          </w:p>
        </w:tc>
      </w:tr>
    </w:tbl>
    <w:p w:rsidR="00E82B25" w:rsidRPr="003B6E11" w:rsidRDefault="00E82B25" w:rsidP="00E82B25">
      <w:pPr>
        <w:pStyle w:val="ESch"/>
        <w:rPr>
          <w:noProof/>
          <w:lang w:val="cs-CZ"/>
        </w:rPr>
      </w:pPr>
    </w:p>
    <w:p w:rsidR="00E82B25" w:rsidRPr="003B6E11" w:rsidRDefault="00E82B25" w:rsidP="00E82B25">
      <w:pPr>
        <w:pStyle w:val="ESlet"/>
        <w:rPr>
          <w:rFonts w:cs="Arial"/>
          <w:lang w:val="cs-CZ"/>
        </w:rPr>
      </w:pPr>
      <w:r w:rsidRPr="003B6E11">
        <w:rPr>
          <w:lang w:val="cs-CZ"/>
        </w:rPr>
        <w:t>e)</w:t>
      </w:r>
      <w:r w:rsidRPr="003B6E11">
        <w:rPr>
          <w:lang w:val="cs-CZ"/>
        </w:rPr>
        <w:tab/>
        <w:t>výpočet účinku volných hladin v mezistupních zaplavení musí být založen na hrubé povrchové ploše poškozených oddělení.</w:t>
      </w:r>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t>5.</w:t>
      </w:r>
      <w:r w:rsidRPr="003B6E11">
        <w:rPr>
          <w:lang w:val="cs-CZ"/>
        </w:rPr>
        <w:tab/>
        <w:t>Pro všechny mezistupně zaplavení podle odstavce 3 musí být splněna tato kritéria:</w:t>
      </w:r>
    </w:p>
    <w:p w:rsidR="00E82B25" w:rsidRPr="003B6E11" w:rsidRDefault="00E82B25" w:rsidP="00E82B25">
      <w:pPr>
        <w:pStyle w:val="ESlet"/>
        <w:rPr>
          <w:noProof/>
          <w:lang w:val="cs-CZ"/>
        </w:rPr>
      </w:pPr>
      <w:r w:rsidRPr="003B6E11">
        <w:rPr>
          <w:lang w:val="cs-CZ"/>
        </w:rPr>
        <w:t>a)</w:t>
      </w:r>
      <w:r w:rsidRPr="003B6E11">
        <w:rPr>
          <w:lang w:val="cs-CZ"/>
        </w:rPr>
        <w:tab/>
        <w:t xml:space="preserve">úhel náklonu </w:t>
      </w:r>
      <m:oMath>
        <m:r>
          <w:rPr>
            <w:rFonts w:ascii="Cambria Math" w:hAnsi="Cambria Math"/>
            <w:noProof/>
            <w:lang w:val="cs-CZ"/>
          </w:rPr>
          <m:t>φ</m:t>
        </m:r>
      </m:oMath>
      <w:r w:rsidRPr="003B6E11">
        <w:rPr>
          <w:lang w:val="cs-CZ"/>
        </w:rPr>
        <w:t xml:space="preserve"> v rovnovážné poloze dotyčného mezistupně zaplavení nesmí být větší než 15° (5° v případě nezajištěných kontejnerů);</w:t>
      </w:r>
    </w:p>
    <w:p w:rsidR="00E82B25" w:rsidRPr="003B6E11" w:rsidRDefault="00E82B25" w:rsidP="00E82B25">
      <w:pPr>
        <w:pStyle w:val="ESlet"/>
        <w:rPr>
          <w:rFonts w:cs="Arial"/>
          <w:lang w:val="cs-CZ"/>
        </w:rPr>
      </w:pPr>
      <w:r w:rsidRPr="003B6E11">
        <w:rPr>
          <w:lang w:val="cs-CZ"/>
        </w:rPr>
        <w:t>b)</w:t>
      </w:r>
      <w:r w:rsidRPr="003B6E11">
        <w:rPr>
          <w:lang w:val="cs-CZ"/>
        </w:rPr>
        <w:tab/>
        <w:t xml:space="preserve">nad náklonem v rovnovážné poloze dotyčného mezistupně zaplavení musí pozitivní část křivky vyrovnávacího ramena páky vykazovat hodnotu vyrovnávacího ramena páky </w:t>
      </w:r>
      <m:oMath>
        <m:r>
          <w:rPr>
            <w:rFonts w:ascii="Cambria Math" w:hAnsi="Cambria Math"/>
            <w:noProof/>
            <w:lang w:val="cs-CZ"/>
          </w:rPr>
          <m:t>GZ ≥0,02 m</m:t>
        </m:r>
      </m:oMath>
      <w:r w:rsidRPr="003B6E11">
        <w:rPr>
          <w:lang w:val="cs-CZ"/>
        </w:rPr>
        <w:t xml:space="preserve"> (0,03 m v případě nezajištěných kontejnerů), dokud nedojde k ponoření prvního nechráněného otvoru, nebo dokud se nedosáhlo úhlu náklonu </w:t>
      </w:r>
      <m:oMath>
        <m:r>
          <w:rPr>
            <w:rFonts w:ascii="Cambria Math" w:hAnsi="Cambria Math"/>
            <w:noProof/>
            <w:lang w:val="cs-CZ"/>
          </w:rPr>
          <m:t>φ</m:t>
        </m:r>
      </m:oMath>
      <w:r w:rsidRPr="003B6E11">
        <w:rPr>
          <w:lang w:val="cs-CZ"/>
        </w:rPr>
        <w:t xml:space="preserve"> (15° v případě nezajištěných kontejnerů);</w:t>
      </w:r>
    </w:p>
    <w:p w:rsidR="00E82B25" w:rsidRPr="003B6E11" w:rsidRDefault="00E82B25" w:rsidP="00E82B25">
      <w:pPr>
        <w:pStyle w:val="ESlet"/>
        <w:rPr>
          <w:noProof/>
          <w:lang w:val="cs-CZ"/>
        </w:rPr>
      </w:pPr>
      <w:r w:rsidRPr="003B6E11">
        <w:rPr>
          <w:lang w:val="cs-CZ"/>
        </w:rPr>
        <w:t>c)</w:t>
      </w:r>
      <w:r w:rsidRPr="003B6E11">
        <w:rPr>
          <w:lang w:val="cs-CZ"/>
        </w:rPr>
        <w:tab/>
        <w:t>nevodotěsné otvory nesmějí být ponořeny, dokud se nedosáhlo náklonu v rovnovážné poloze dotyčného mezistupně zaplavení.</w:t>
      </w:r>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t>6.</w:t>
      </w:r>
      <w:r w:rsidRPr="003B6E11">
        <w:rPr>
          <w:lang w:val="cs-CZ"/>
        </w:rPr>
        <w:tab/>
        <w:t>Během konečného stupně zaplavení musí být splněna tato kritéria:</w:t>
      </w:r>
    </w:p>
    <w:p w:rsidR="00E82B25" w:rsidRPr="003B6E11" w:rsidRDefault="00E82B25" w:rsidP="00E82B25">
      <w:pPr>
        <w:pStyle w:val="ESlet"/>
        <w:rPr>
          <w:noProof/>
          <w:lang w:val="cs-CZ"/>
        </w:rPr>
      </w:pPr>
      <w:r w:rsidRPr="003B6E11">
        <w:rPr>
          <w:lang w:val="cs-CZ"/>
        </w:rPr>
        <w:t>a)</w:t>
      </w:r>
      <w:r w:rsidRPr="003B6E11">
        <w:rPr>
          <w:lang w:val="cs-CZ"/>
        </w:rPr>
        <w:tab/>
        <w:t>spodní hrana nevodotěsných otvorů (např. dveře, okna, vstupní jícny) nesmí být níže než 0,10 m nad vodoryskou v narušeném stavu;</w:t>
      </w:r>
    </w:p>
    <w:p w:rsidR="00E82B25" w:rsidRPr="003B6E11" w:rsidRDefault="00E82B25" w:rsidP="00E82B25">
      <w:pPr>
        <w:pStyle w:val="ESlet"/>
        <w:rPr>
          <w:noProof/>
          <w:lang w:val="cs-CZ"/>
        </w:rPr>
      </w:pPr>
      <w:r w:rsidRPr="003B6E11">
        <w:rPr>
          <w:lang w:val="cs-CZ"/>
        </w:rPr>
        <w:t>b)</w:t>
      </w:r>
      <w:r w:rsidRPr="003B6E11">
        <w:rPr>
          <w:lang w:val="cs-CZ"/>
        </w:rPr>
        <w:tab/>
        <w:t xml:space="preserve">úhel náklonu </w:t>
      </w:r>
      <m:oMath>
        <m:r>
          <w:rPr>
            <w:rFonts w:ascii="Cambria Math" w:hAnsi="Cambria Math"/>
            <w:noProof/>
            <w:lang w:val="cs-CZ"/>
          </w:rPr>
          <m:t>φ</m:t>
        </m:r>
      </m:oMath>
      <w:r w:rsidRPr="003B6E11">
        <w:rPr>
          <w:lang w:val="cs-CZ"/>
        </w:rPr>
        <w:t xml:space="preserve"> v rovnovážné poloze nesmí být větší než 12° (5° v případě nezajištěných kontejnerů);</w:t>
      </w:r>
    </w:p>
    <w:p w:rsidR="00E82B25" w:rsidRPr="003B6E11" w:rsidRDefault="00E82B25" w:rsidP="00E82B25">
      <w:pPr>
        <w:pStyle w:val="ESlet"/>
        <w:rPr>
          <w:noProof/>
          <w:lang w:val="cs-CZ"/>
        </w:rPr>
      </w:pPr>
    </w:p>
    <w:p w:rsidR="00E82B25" w:rsidRPr="003B6E11" w:rsidRDefault="00E82B25" w:rsidP="00E82B25">
      <w:pPr>
        <w:pStyle w:val="ESlet"/>
        <w:rPr>
          <w:noProof/>
          <w:lang w:val="cs-CZ"/>
        </w:rPr>
      </w:pPr>
      <w:r w:rsidRPr="003B6E11">
        <w:rPr>
          <w:lang w:val="cs-CZ"/>
        </w:rPr>
        <w:br w:type="page"/>
      </w:r>
    </w:p>
    <w:p w:rsidR="00E82B25" w:rsidRPr="003B6E11" w:rsidRDefault="00E82B25" w:rsidP="00E82B25">
      <w:pPr>
        <w:pStyle w:val="ESlet"/>
        <w:rPr>
          <w:noProof/>
          <w:lang w:val="cs-CZ"/>
        </w:rPr>
      </w:pPr>
      <w:r w:rsidRPr="003B6E11">
        <w:rPr>
          <w:lang w:val="cs-CZ"/>
        </w:rPr>
        <w:t>c)</w:t>
      </w:r>
      <w:r w:rsidRPr="003B6E11">
        <w:rPr>
          <w:lang w:val="cs-CZ"/>
        </w:rPr>
        <w:tab/>
        <w:t xml:space="preserve">nad náklonem v rovnovážné poloze dotyčného mezistupně zaplavení musí pozitivní část křivky vyrovnávacího ramena páky vykazovat hodnotu vyrovnávacího ramena páky </w:t>
      </w:r>
      <m:oMath>
        <m:sSub>
          <m:sSubPr>
            <m:ctrlPr>
              <w:rPr>
                <w:rFonts w:ascii="Cambria Math" w:hAnsi="Cambria Math"/>
                <w:i/>
                <w:noProof/>
                <w:lang w:val="cs-CZ"/>
              </w:rPr>
            </m:ctrlPr>
          </m:sSubPr>
          <m:e>
            <m:r>
              <w:rPr>
                <w:rFonts w:ascii="Cambria Math" w:hAnsi="Cambria Math"/>
                <w:noProof/>
                <w:lang w:val="cs-CZ"/>
              </w:rPr>
              <m:t>GZ</m:t>
            </m:r>
          </m:e>
          <m:sub>
            <m:r>
              <w:rPr>
                <w:rFonts w:ascii="Cambria Math" w:hAnsi="Cambria Math"/>
                <w:noProof/>
                <w:lang w:val="cs-CZ"/>
              </w:rPr>
              <m:t>R</m:t>
            </m:r>
          </m:sub>
        </m:sSub>
        <m:r>
          <w:rPr>
            <w:rFonts w:ascii="Cambria Math" w:hAnsi="Cambria Math"/>
            <w:noProof/>
            <w:lang w:val="cs-CZ"/>
          </w:rPr>
          <m:t xml:space="preserve"> ≥0,05 m</m:t>
        </m:r>
      </m:oMath>
      <w:r w:rsidRPr="003B6E11">
        <w:rPr>
          <w:lang w:val="cs-CZ"/>
        </w:rPr>
        <w:t xml:space="preserve"> a prostor pod křivkou musí dosáhnout nejméně </w:t>
      </w:r>
      <m:oMath>
        <m:r>
          <w:rPr>
            <w:rFonts w:ascii="Cambria Math" w:hAnsi="Cambria Math"/>
            <w:noProof/>
            <w:lang w:val="cs-CZ"/>
          </w:rPr>
          <m:t>0,0065 m ∙rad</m:t>
        </m:r>
      </m:oMath>
      <w:r w:rsidRPr="003B6E11">
        <w:rPr>
          <w:lang w:val="cs-CZ"/>
        </w:rPr>
        <w:t xml:space="preserve">, dokud nedojde k ponoření prvního nechráněného otvoru, nebo dokud se nedosáhlo úhlu náklonu </w:t>
      </w:r>
      <m:oMath>
        <m:r>
          <w:rPr>
            <w:rFonts w:ascii="Cambria Math" w:hAnsi="Cambria Math"/>
            <w:noProof/>
            <w:lang w:val="cs-CZ"/>
          </w:rPr>
          <m:t>φ</m:t>
        </m:r>
      </m:oMath>
      <w:r w:rsidRPr="003B6E11">
        <w:rPr>
          <w:lang w:val="cs-CZ"/>
        </w:rPr>
        <w:t xml:space="preserve"> 27° (10° v případě nezajištěných kontejnerů);</w:t>
      </w:r>
    </w:p>
    <w:p w:rsidR="00E82B25" w:rsidRPr="003B6E11" w:rsidRDefault="00E82B25" w:rsidP="00E82B25">
      <w:pPr>
        <w:pStyle w:val="ESch"/>
        <w:rPr>
          <w:noProof/>
          <w:szCs w:val="20"/>
          <w:lang w:val="cs-CZ"/>
        </w:rPr>
      </w:pPr>
    </w:p>
    <w:p w:rsidR="00E82B25" w:rsidRPr="003B6E11" w:rsidRDefault="00E82B25" w:rsidP="00E82B25">
      <w:pPr>
        <w:pStyle w:val="ESch"/>
        <w:ind w:firstLine="0"/>
        <w:jc w:val="center"/>
        <w:rPr>
          <w:noProof/>
          <w:szCs w:val="20"/>
          <w:lang w:val="cs-CZ"/>
        </w:rPr>
      </w:pPr>
      <w:r w:rsidRPr="003B6E11">
        <w:rPr>
          <w:noProof/>
          <w:szCs w:val="20"/>
          <w:lang w:eastAsia="en-GB"/>
        </w:rPr>
        <w:drawing>
          <wp:inline distT="0" distB="0" distL="0" distR="0" wp14:anchorId="1B0A80A9" wp14:editId="7CF690AF">
            <wp:extent cx="4782312" cy="2740152"/>
            <wp:effectExtent l="0" t="0" r="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ES_Trin_courbe_28_03_6c_en.jpg"/>
                    <pic:cNvPicPr/>
                  </pic:nvPicPr>
                  <pic:blipFill>
                    <a:blip r:embed="rId26">
                      <a:extLst>
                        <a:ext uri="{28A0092B-C50C-407E-A947-70E740481C1C}">
                          <a14:useLocalDpi xmlns:a14="http://schemas.microsoft.com/office/drawing/2010/main" val="0"/>
                        </a:ext>
                      </a:extLst>
                    </a:blip>
                    <a:stretch>
                      <a:fillRect/>
                    </a:stretch>
                  </pic:blipFill>
                  <pic:spPr>
                    <a:xfrm>
                      <a:off x="0" y="0"/>
                      <a:ext cx="4782312" cy="2740152"/>
                    </a:xfrm>
                    <a:prstGeom prst="rect">
                      <a:avLst/>
                    </a:prstGeom>
                  </pic:spPr>
                </pic:pic>
              </a:graphicData>
            </a:graphic>
          </wp:inline>
        </w:drawing>
      </w:r>
    </w:p>
    <w:p w:rsidR="00E82B25" w:rsidRPr="003B6E11" w:rsidRDefault="00E82B25" w:rsidP="00E82B25">
      <w:pPr>
        <w:pStyle w:val="ESlet"/>
        <w:rPr>
          <w:noProof/>
          <w:lang w:val="cs-CZ"/>
        </w:rPr>
      </w:pPr>
    </w:p>
    <w:p w:rsidR="00E82B25" w:rsidRPr="003B6E11" w:rsidRDefault="00E82B25" w:rsidP="00E82B25">
      <w:pPr>
        <w:pStyle w:val="ESlet"/>
        <w:rPr>
          <w:noProof/>
          <w:lang w:val="cs-CZ"/>
        </w:rPr>
      </w:pPr>
      <w:r w:rsidRPr="003B6E11">
        <w:rPr>
          <w:lang w:val="cs-CZ"/>
        </w:rPr>
        <w:t>d)</w:t>
      </w:r>
      <w:r w:rsidRPr="003B6E11">
        <w:rPr>
          <w:lang w:val="cs-CZ"/>
        </w:rPr>
        <w:tab/>
        <w:t>pokud se nevodotěsné otvory ponoří před dosažením rovnovážné polohy, přístupové prostory se pro účely výpočtu stability v narušeném stavu považují za zaplavené.</w:t>
      </w:r>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t>7.</w:t>
      </w:r>
      <w:r w:rsidRPr="003B6E11">
        <w:rPr>
          <w:lang w:val="cs-CZ"/>
        </w:rPr>
        <w:tab/>
        <w:t>Existují-li otvory pro příčné zaplavení, sloužící ke snížení nesouměrného zaplavení, musí být splněny tyto podmínky:</w:t>
      </w:r>
    </w:p>
    <w:p w:rsidR="00E82B25" w:rsidRPr="003B6E11" w:rsidRDefault="00E82B25" w:rsidP="00E82B25">
      <w:pPr>
        <w:pStyle w:val="ESlet"/>
        <w:rPr>
          <w:noProof/>
          <w:lang w:val="cs-CZ"/>
        </w:rPr>
      </w:pPr>
      <w:r w:rsidRPr="003B6E11">
        <w:rPr>
          <w:lang w:val="cs-CZ"/>
        </w:rPr>
        <w:t>a)</w:t>
      </w:r>
      <w:r w:rsidRPr="003B6E11">
        <w:rPr>
          <w:lang w:val="cs-CZ"/>
        </w:rPr>
        <w:tab/>
        <w:t>k výpočtu příčného zaplavení se použije rezoluce IMO A.266 (VIII);</w:t>
      </w:r>
    </w:p>
    <w:p w:rsidR="00E82B25" w:rsidRPr="003B6E11" w:rsidRDefault="00E82B25" w:rsidP="00E82B25">
      <w:pPr>
        <w:pStyle w:val="ESlet"/>
        <w:rPr>
          <w:noProof/>
          <w:lang w:val="cs-CZ"/>
        </w:rPr>
      </w:pPr>
      <w:r w:rsidRPr="003B6E11">
        <w:rPr>
          <w:lang w:val="cs-CZ"/>
        </w:rPr>
        <w:t>b)</w:t>
      </w:r>
      <w:r w:rsidRPr="003B6E11">
        <w:rPr>
          <w:lang w:val="cs-CZ"/>
        </w:rPr>
        <w:tab/>
        <w:t>musí být samočinné;</w:t>
      </w:r>
    </w:p>
    <w:p w:rsidR="00E82B25" w:rsidRPr="003B6E11" w:rsidRDefault="00E82B25" w:rsidP="00E82B25">
      <w:pPr>
        <w:pStyle w:val="ESlet"/>
        <w:rPr>
          <w:noProof/>
          <w:lang w:val="cs-CZ"/>
        </w:rPr>
      </w:pPr>
      <w:r w:rsidRPr="003B6E11">
        <w:rPr>
          <w:lang w:val="cs-CZ"/>
        </w:rPr>
        <w:t>c)</w:t>
      </w:r>
      <w:r w:rsidRPr="003B6E11">
        <w:rPr>
          <w:lang w:val="cs-CZ"/>
        </w:rPr>
        <w:tab/>
        <w:t>nesmí být vybaveny uzavíracími zařízeními;</w:t>
      </w:r>
    </w:p>
    <w:p w:rsidR="00E82B25" w:rsidRPr="003B6E11" w:rsidRDefault="00E82B25" w:rsidP="00E82B25">
      <w:pPr>
        <w:pStyle w:val="ESlet"/>
        <w:rPr>
          <w:noProof/>
          <w:lang w:val="cs-CZ"/>
        </w:rPr>
      </w:pPr>
      <w:r w:rsidRPr="003B6E11">
        <w:rPr>
          <w:lang w:val="cs-CZ"/>
        </w:rPr>
        <w:t>d)</w:t>
      </w:r>
      <w:r w:rsidRPr="003B6E11">
        <w:rPr>
          <w:lang w:val="cs-CZ"/>
        </w:rPr>
        <w:tab/>
        <w:t>celková doba vyrovnání nesmí přesáhnout 15 minut.</w:t>
      </w:r>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t>8.</w:t>
      </w:r>
      <w:r w:rsidRPr="003B6E11">
        <w:rPr>
          <w:lang w:val="cs-CZ"/>
        </w:rPr>
        <w:tab/>
        <w:t>Lze-li otvory, jimiž by mohlo dojít k dodatečnému zaplavení nepoškozených oddělení, uzavřít vodotěsně, musí být na uzavíracích zařízeních z obou stran umístěn snadno čitelný pokyn:</w:t>
      </w:r>
    </w:p>
    <w:p w:rsidR="00E82B25" w:rsidRPr="003B6E11" w:rsidRDefault="00E82B25" w:rsidP="00E82B25">
      <w:pPr>
        <w:pStyle w:val="ESlet"/>
        <w:jc w:val="center"/>
        <w:rPr>
          <w:noProof/>
          <w:lang w:val="cs-CZ"/>
        </w:rPr>
      </w:pPr>
      <w:r w:rsidRPr="003B6E11">
        <w:rPr>
          <w:lang w:val="cs-CZ"/>
        </w:rPr>
        <w:t>„Po průchodu ihned uzavřít“.</w:t>
      </w:r>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t>9.</w:t>
      </w:r>
      <w:r w:rsidRPr="003B6E11">
        <w:rPr>
          <w:lang w:val="cs-CZ"/>
        </w:rPr>
        <w:tab/>
        <w:t>Důkaz provedený výpočtem podle odstavců 3 až 7 se považuje za předložený, byl-li z výpočtů stability v narušeném stavu v souladu s částí 9 ADN získán kladný výsledek.</w:t>
      </w:r>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t>10.</w:t>
      </w:r>
      <w:r w:rsidRPr="003B6E11">
        <w:rPr>
          <w:lang w:val="cs-CZ"/>
        </w:rPr>
        <w:tab/>
        <w:t>Je-li to nezbytné ke splnění požadavků odstavce 3, stanoví se rovina největšího přípustného ponoru znovu.</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r w:rsidRPr="003B6E11">
        <w:rPr>
          <w:lang w:val="cs-CZ"/>
        </w:rPr>
        <w:br w:type="page"/>
      </w:r>
    </w:p>
    <w:p w:rsidR="00E82B25" w:rsidRPr="003B6E11" w:rsidRDefault="00E82B25" w:rsidP="00E82B25">
      <w:pPr>
        <w:pStyle w:val="ES-Titre3"/>
        <w:rPr>
          <w:i/>
          <w:noProof/>
          <w:lang w:val="cs-CZ"/>
        </w:rPr>
      </w:pPr>
      <w:bookmarkStart w:id="500" w:name="_Toc491854247"/>
      <w:bookmarkStart w:id="501" w:name="_Toc535417153"/>
      <w:r w:rsidRPr="003B6E11">
        <w:rPr>
          <w:lang w:val="cs-CZ"/>
        </w:rPr>
        <w:t>Článek 28.04</w:t>
      </w:r>
      <w:r w:rsidRPr="003B6E11">
        <w:rPr>
          <w:lang w:val="cs-CZ"/>
        </w:rPr>
        <w:br/>
      </w:r>
      <w:r w:rsidRPr="003B6E11">
        <w:rPr>
          <w:i/>
          <w:noProof/>
          <w:lang w:val="cs-CZ"/>
        </w:rPr>
        <w:t>Dodatečné požadavky</w:t>
      </w:r>
      <w:bookmarkEnd w:id="500"/>
      <w:bookmarkEnd w:id="501"/>
    </w:p>
    <w:p w:rsidR="00E82B25" w:rsidRPr="003B6E11" w:rsidRDefault="00E82B25" w:rsidP="00E82B25">
      <w:pPr>
        <w:pStyle w:val="ESch"/>
        <w:rPr>
          <w:b/>
          <w:noProof/>
          <w:szCs w:val="20"/>
          <w:lang w:val="cs-CZ"/>
        </w:rPr>
      </w:pPr>
    </w:p>
    <w:p w:rsidR="00E82B25" w:rsidRPr="003B6E11" w:rsidRDefault="00E82B25" w:rsidP="00E82B25">
      <w:pPr>
        <w:pStyle w:val="ESch"/>
        <w:rPr>
          <w:noProof/>
          <w:szCs w:val="20"/>
          <w:lang w:val="cs-CZ"/>
        </w:rPr>
      </w:pPr>
      <w:r w:rsidRPr="003B6E11">
        <w:rPr>
          <w:lang w:val="cs-CZ"/>
        </w:rPr>
        <w:t>1.</w:t>
      </w:r>
      <w:r w:rsidRPr="003B6E11">
        <w:rPr>
          <w:lang w:val="cs-CZ"/>
        </w:rPr>
        <w:tab/>
        <w:t xml:space="preserve">Plavidla s délkou </w:t>
      </w:r>
      <m:oMath>
        <m:r>
          <w:rPr>
            <w:rFonts w:ascii="Cambria Math" w:hAnsi="Cambria Math"/>
            <w:noProof/>
            <w:szCs w:val="20"/>
            <w:lang w:val="cs-CZ"/>
          </w:rPr>
          <m:t>L</m:t>
        </m:r>
      </m:oMath>
      <w:r w:rsidRPr="003B6E11">
        <w:rPr>
          <w:lang w:val="cs-CZ"/>
        </w:rPr>
        <w:t xml:space="preserve"> přesahující 110 m musí:</w:t>
      </w:r>
    </w:p>
    <w:p w:rsidR="00E82B25" w:rsidRPr="003B6E11" w:rsidRDefault="00E82B25" w:rsidP="00E82B25">
      <w:pPr>
        <w:pStyle w:val="ESlet"/>
        <w:rPr>
          <w:noProof/>
          <w:lang w:val="cs-CZ"/>
        </w:rPr>
      </w:pPr>
      <w:r w:rsidRPr="003B6E11">
        <w:rPr>
          <w:lang w:val="cs-CZ"/>
        </w:rPr>
        <w:t>a)</w:t>
      </w:r>
      <w:r w:rsidRPr="003B6E11">
        <w:rPr>
          <w:lang w:val="cs-CZ"/>
        </w:rPr>
        <w:tab/>
        <w:t xml:space="preserve">být vybavena pohonným systémem s více vrtulemi, s nejméně dvěma nezávislými motory stejného výkonu a bočním pohonem přídě, který se ovládá z kormidelny a který je účinný i tehdy, není-li plavidlo naloženo, </w:t>
      </w:r>
    </w:p>
    <w:p w:rsidR="00E82B25" w:rsidRPr="003B6E11" w:rsidRDefault="00E82B25" w:rsidP="00E82B25">
      <w:pPr>
        <w:pStyle w:val="ESletpar"/>
        <w:rPr>
          <w:noProof/>
          <w:lang w:val="cs-CZ"/>
        </w:rPr>
      </w:pPr>
      <w:r w:rsidRPr="003B6E11">
        <w:rPr>
          <w:lang w:val="cs-CZ"/>
        </w:rPr>
        <w:t>nebo</w:t>
      </w:r>
    </w:p>
    <w:p w:rsidR="00E82B25" w:rsidRPr="003B6E11" w:rsidRDefault="00E82B25" w:rsidP="00E82B25">
      <w:pPr>
        <w:pStyle w:val="ESletpar"/>
        <w:rPr>
          <w:noProof/>
          <w:lang w:val="cs-CZ"/>
        </w:rPr>
      </w:pPr>
      <w:r w:rsidRPr="003B6E11">
        <w:rPr>
          <w:lang w:val="cs-CZ"/>
        </w:rPr>
        <w:t>mít pohonný systém s jednou vrtulí a boční pohon přídě ovládaný z kormidelny, s vlastním napájením, který je účinný i tehdy, není-li plavidlo naloženo, a který umožňuje, aby se plavidlo v případě poruchy hlavního pohonného systému pohybovalo vlastním pohonem;</w:t>
      </w:r>
    </w:p>
    <w:p w:rsidR="00E82B25" w:rsidRPr="003B6E11" w:rsidRDefault="00E82B25" w:rsidP="00E82B25">
      <w:pPr>
        <w:pStyle w:val="ESlet"/>
        <w:rPr>
          <w:noProof/>
          <w:lang w:val="cs-CZ"/>
        </w:rPr>
      </w:pPr>
      <w:r w:rsidRPr="003B6E11">
        <w:rPr>
          <w:lang w:val="cs-CZ"/>
        </w:rPr>
        <w:t>b)</w:t>
      </w:r>
      <w:r w:rsidRPr="003B6E11">
        <w:rPr>
          <w:lang w:val="cs-CZ"/>
        </w:rPr>
        <w:tab/>
        <w:t>být vybaveno systémem radarového řízení spolu s ukazatelem rychlosti otáčení podle čl. 7.06 odst. 1;</w:t>
      </w:r>
    </w:p>
    <w:p w:rsidR="00E82B25" w:rsidRPr="003B6E11" w:rsidRDefault="00E82B25" w:rsidP="00E82B25">
      <w:pPr>
        <w:pStyle w:val="ESlet"/>
        <w:rPr>
          <w:noProof/>
          <w:lang w:val="cs-CZ"/>
        </w:rPr>
      </w:pPr>
      <w:r w:rsidRPr="003B6E11">
        <w:rPr>
          <w:lang w:val="cs-CZ"/>
        </w:rPr>
        <w:t>c)</w:t>
      </w:r>
      <w:r w:rsidRPr="003B6E11">
        <w:rPr>
          <w:lang w:val="cs-CZ"/>
        </w:rPr>
        <w:tab/>
        <w:t>mít pevný drenážní čerpadlový systém podle článku 8.08;</w:t>
      </w:r>
    </w:p>
    <w:p w:rsidR="00E82B25" w:rsidRPr="003B6E11" w:rsidRDefault="00E82B25" w:rsidP="00E82B25">
      <w:pPr>
        <w:pStyle w:val="ESlet"/>
        <w:rPr>
          <w:noProof/>
          <w:lang w:val="cs-CZ"/>
        </w:rPr>
      </w:pPr>
      <w:r w:rsidRPr="003B6E11">
        <w:rPr>
          <w:lang w:val="cs-CZ"/>
        </w:rPr>
        <w:t>d)</w:t>
      </w:r>
      <w:r w:rsidRPr="003B6E11">
        <w:rPr>
          <w:lang w:val="cs-CZ"/>
        </w:rPr>
        <w:tab/>
        <w:t>splňovat požadavky čl. 31.09 odst. 1.1.</w:t>
      </w:r>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t>2.</w:t>
      </w:r>
      <w:r w:rsidRPr="003B6E11">
        <w:rPr>
          <w:lang w:val="cs-CZ"/>
        </w:rPr>
        <w:tab/>
        <w:t xml:space="preserve">Odchylně od odstavce 1 a s přihlédnutím k příslušným předpisům plavebních orgánů platným v určitých plavebních oblastech členských států, se u plavidel kromě osobních lodí o délce </w:t>
      </w:r>
      <m:oMath>
        <m:r>
          <w:rPr>
            <w:rFonts w:ascii="Cambria Math" w:hAnsi="Cambria Math"/>
            <w:noProof/>
            <w:szCs w:val="20"/>
            <w:lang w:val="cs-CZ"/>
          </w:rPr>
          <m:t>L</m:t>
        </m:r>
      </m:oMath>
      <w:r w:rsidRPr="003B6E11">
        <w:rPr>
          <w:lang w:val="cs-CZ"/>
        </w:rPr>
        <w:t xml:space="preserve"> větší než 110 m, která:</w:t>
      </w:r>
    </w:p>
    <w:p w:rsidR="00E82B25" w:rsidRPr="003B6E11" w:rsidRDefault="00E82B25" w:rsidP="00E82B25">
      <w:pPr>
        <w:pStyle w:val="ESlet"/>
        <w:rPr>
          <w:noProof/>
          <w:lang w:val="cs-CZ"/>
        </w:rPr>
      </w:pPr>
      <w:r w:rsidRPr="003B6E11">
        <w:rPr>
          <w:lang w:val="cs-CZ"/>
        </w:rPr>
        <w:t>a)</w:t>
      </w:r>
      <w:r w:rsidRPr="003B6E11">
        <w:rPr>
          <w:lang w:val="cs-CZ"/>
        </w:rPr>
        <w:tab/>
        <w:t>splňují požadavky odst. 1 písm. a) až d);</w:t>
      </w:r>
    </w:p>
    <w:p w:rsidR="00E82B25" w:rsidRPr="003B6E11" w:rsidRDefault="00E82B25" w:rsidP="00E82B25">
      <w:pPr>
        <w:pStyle w:val="ESlet"/>
        <w:rPr>
          <w:noProof/>
          <w:lang w:val="cs-CZ"/>
        </w:rPr>
      </w:pPr>
      <w:r w:rsidRPr="003B6E11">
        <w:rPr>
          <w:lang w:val="cs-CZ"/>
        </w:rPr>
        <w:t>b)</w:t>
      </w:r>
      <w:r w:rsidRPr="003B6E11">
        <w:rPr>
          <w:lang w:val="cs-CZ"/>
        </w:rPr>
        <w:tab/>
        <w:t>lze v případě havárie oddělit v jedné třetině plavidla bez použití těžkého vyprošťovacího zařízení, přičemž oddělené části plavidla se po oddělení udrží na hladině;</w:t>
      </w:r>
    </w:p>
    <w:p w:rsidR="00E82B25" w:rsidRPr="003B6E11" w:rsidRDefault="00E82B25" w:rsidP="00E82B25">
      <w:pPr>
        <w:pStyle w:val="ESlet"/>
        <w:rPr>
          <w:noProof/>
          <w:lang w:val="cs-CZ"/>
        </w:rPr>
      </w:pPr>
      <w:r w:rsidRPr="003B6E11">
        <w:rPr>
          <w:lang w:val="cs-CZ"/>
        </w:rPr>
        <w:t>c)</w:t>
      </w:r>
      <w:r w:rsidRPr="003B6E11">
        <w:rPr>
          <w:lang w:val="cs-CZ"/>
        </w:rPr>
        <w:tab/>
        <w:t>mají na palubě doklad od uznané klasifikační společnosti, který prokazuje plovatelnost, vyváženou polohu a stabilitu samostatných částí plavidla s uvedením stavu zatížení, při jehož překročení již není zajištěna plovatelnost obou částí;</w:t>
      </w:r>
    </w:p>
    <w:p w:rsidR="00E82B25" w:rsidRPr="003B6E11" w:rsidRDefault="00E82B25" w:rsidP="00E82B25">
      <w:pPr>
        <w:pStyle w:val="ESlet"/>
        <w:rPr>
          <w:rFonts w:cs="Arial"/>
          <w:lang w:val="cs-CZ"/>
        </w:rPr>
      </w:pPr>
      <w:r w:rsidRPr="003B6E11">
        <w:rPr>
          <w:lang w:val="cs-CZ"/>
        </w:rPr>
        <w:t>d)</w:t>
      </w:r>
      <w:r w:rsidRPr="003B6E11">
        <w:rPr>
          <w:lang w:val="cs-CZ"/>
        </w:rPr>
        <w:tab/>
        <w:t>jsou postavena jako plavidla s dvojitým lodním trupem v souladu s ADN, přičemž na motorové lodě se vztahují oddíly 9.1.0.91 až 9.1.0.95 a na tankové motorové lodě odstavec 9.3.2.11.7 a oddíly 9.3.2.13 až 9.3.2.15 části 9 ADN;</w:t>
      </w:r>
    </w:p>
    <w:p w:rsidR="00E82B25" w:rsidRPr="003B6E11" w:rsidRDefault="00E82B25" w:rsidP="00E82B25">
      <w:pPr>
        <w:pStyle w:val="ESlet"/>
        <w:rPr>
          <w:rFonts w:cs="Arial"/>
          <w:lang w:val="cs-CZ"/>
        </w:rPr>
      </w:pPr>
      <w:r w:rsidRPr="003B6E11">
        <w:rPr>
          <w:lang w:val="cs-CZ"/>
        </w:rPr>
        <w:t>e)</w:t>
      </w:r>
      <w:r w:rsidRPr="003B6E11">
        <w:rPr>
          <w:lang w:val="cs-CZ"/>
        </w:rPr>
        <w:tab/>
        <w:t>jsou vybavena pohonným systémem s více vrtulemi podle odst. 1 písm. a) první poloviny věty;</w:t>
      </w:r>
    </w:p>
    <w:p w:rsidR="00E82B25" w:rsidRPr="003B6E11" w:rsidRDefault="00E82B25" w:rsidP="00E82B25">
      <w:pPr>
        <w:pStyle w:val="ESchpar"/>
        <w:rPr>
          <w:noProof/>
          <w:lang w:val="cs-CZ"/>
        </w:rPr>
      </w:pPr>
    </w:p>
    <w:p w:rsidR="00E82B25" w:rsidRPr="003B6E11" w:rsidRDefault="00E82B25" w:rsidP="00E82B25">
      <w:pPr>
        <w:pStyle w:val="ESchpar"/>
        <w:rPr>
          <w:rFonts w:cs="Arial"/>
          <w:lang w:val="cs-CZ"/>
        </w:rPr>
      </w:pPr>
      <w:r w:rsidRPr="003B6E11">
        <w:rPr>
          <w:lang w:val="cs-CZ"/>
        </w:rPr>
        <w:t>v bodě 52 osvědčení plavidla vnitrozemské plavby uvede, že splňují všechny požadavky písmen a) až e).</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3.</w:t>
      </w:r>
      <w:r w:rsidRPr="003B6E11">
        <w:rPr>
          <w:lang w:val="cs-CZ"/>
        </w:rPr>
        <w:tab/>
        <w:t xml:space="preserve">Odchylně od odstavce 1 a s přihlédnutím k příslušným předpisům plavebních orgánů platným v určitých plavebních oblastech členských států, se u osobních lodí o délce </w:t>
      </w:r>
      <m:oMath>
        <m:r>
          <w:rPr>
            <w:rFonts w:ascii="Cambria Math" w:hAnsi="Cambria Math"/>
            <w:noProof/>
            <w:szCs w:val="20"/>
            <w:lang w:val="cs-CZ"/>
          </w:rPr>
          <m:t>L</m:t>
        </m:r>
      </m:oMath>
      <w:r w:rsidRPr="003B6E11">
        <w:rPr>
          <w:lang w:val="cs-CZ"/>
        </w:rPr>
        <w:t xml:space="preserve"> větší než 110 m, které:</w:t>
      </w:r>
    </w:p>
    <w:p w:rsidR="00E82B25" w:rsidRPr="003B6E11" w:rsidRDefault="00E82B25" w:rsidP="00E82B25">
      <w:pPr>
        <w:pStyle w:val="ESlet"/>
        <w:rPr>
          <w:noProof/>
          <w:lang w:val="cs-CZ"/>
        </w:rPr>
      </w:pPr>
      <w:r w:rsidRPr="003B6E11">
        <w:rPr>
          <w:lang w:val="cs-CZ"/>
        </w:rPr>
        <w:t>a)</w:t>
      </w:r>
      <w:r w:rsidRPr="003B6E11">
        <w:rPr>
          <w:lang w:val="cs-CZ"/>
        </w:rPr>
        <w:tab/>
        <w:t>splňují požadavky odst. 1 písm. a) až d);</w:t>
      </w:r>
    </w:p>
    <w:p w:rsidR="00E82B25" w:rsidRPr="003B6E11" w:rsidRDefault="00E82B25" w:rsidP="00E82B25">
      <w:pPr>
        <w:pStyle w:val="ESlet"/>
        <w:rPr>
          <w:rFonts w:cs="Arial"/>
          <w:lang w:val="cs-CZ"/>
        </w:rPr>
      </w:pPr>
      <w:r w:rsidRPr="003B6E11">
        <w:rPr>
          <w:lang w:val="cs-CZ"/>
        </w:rPr>
        <w:t>b)</w:t>
      </w:r>
      <w:r w:rsidRPr="003B6E11">
        <w:rPr>
          <w:lang w:val="cs-CZ"/>
        </w:rPr>
        <w:tab/>
        <w:t>jsou postaveny nebo přestavěny na nejvyšší třídu pod dohledem uznané klasifikační společnosti, přičemž soulad se prokáže potvrzením od této klasifikační společnosti. Zachování třídy není nutné;</w:t>
      </w:r>
    </w:p>
    <w:p w:rsidR="00E82B25" w:rsidRPr="003B6E11" w:rsidRDefault="00E82B25" w:rsidP="00E82B25">
      <w:pPr>
        <w:pStyle w:val="ESlet"/>
        <w:rPr>
          <w:noProof/>
          <w:lang w:val="cs-CZ"/>
        </w:rPr>
      </w:pPr>
      <w:r w:rsidRPr="003B6E11">
        <w:rPr>
          <w:lang w:val="cs-CZ"/>
        </w:rPr>
        <w:br w:type="page"/>
      </w:r>
    </w:p>
    <w:p w:rsidR="00E82B25" w:rsidRPr="003B6E11" w:rsidRDefault="00E82B25" w:rsidP="00E82B25">
      <w:pPr>
        <w:pStyle w:val="ESlet"/>
        <w:rPr>
          <w:noProof/>
          <w:lang w:val="cs-CZ"/>
        </w:rPr>
      </w:pPr>
      <w:r w:rsidRPr="003B6E11">
        <w:rPr>
          <w:lang w:val="cs-CZ"/>
        </w:rPr>
        <w:t>c)</w:t>
      </w:r>
      <w:r w:rsidRPr="003B6E11">
        <w:rPr>
          <w:lang w:val="cs-CZ"/>
        </w:rPr>
        <w:tab/>
        <w:t>mají dvojité dno vysoké nejméně 600 mm a takové dělení, aby se při zaplavení dvou přilehlých vodotěsných oddělení loď neponořila pod rovinu zbytkového výtlaku a zbývající bezpečnostní vzdálenost zůstala 100 mm,</w:t>
      </w:r>
    </w:p>
    <w:p w:rsidR="00E82B25" w:rsidRPr="003B6E11" w:rsidRDefault="00E82B25" w:rsidP="00E82B25">
      <w:pPr>
        <w:pStyle w:val="ESletpar"/>
        <w:rPr>
          <w:noProof/>
          <w:lang w:val="cs-CZ"/>
        </w:rPr>
      </w:pPr>
      <w:r w:rsidRPr="003B6E11">
        <w:rPr>
          <w:lang w:val="cs-CZ"/>
        </w:rPr>
        <w:t>nebo</w:t>
      </w:r>
    </w:p>
    <w:p w:rsidR="00E82B25" w:rsidRPr="003B6E11" w:rsidRDefault="00E82B25" w:rsidP="00E82B25">
      <w:pPr>
        <w:pStyle w:val="ESletpar"/>
        <w:rPr>
          <w:noProof/>
          <w:lang w:val="cs-CZ"/>
        </w:rPr>
      </w:pPr>
      <w:r w:rsidRPr="003B6E11">
        <w:rPr>
          <w:lang w:val="cs-CZ"/>
        </w:rPr>
        <w:t>mají dvojité dno vysoké nejméně 600 mm a dvojitý lodní trup se vzdáleností mezi boční stěnou plavidla a podélnou přepážkou nejméně 800 mm;</w:t>
      </w:r>
    </w:p>
    <w:p w:rsidR="00E82B25" w:rsidRPr="003B6E11" w:rsidRDefault="00E82B25" w:rsidP="00E82B25">
      <w:pPr>
        <w:pStyle w:val="ESlet"/>
        <w:rPr>
          <w:noProof/>
          <w:lang w:val="cs-CZ"/>
        </w:rPr>
      </w:pPr>
      <w:r w:rsidRPr="003B6E11">
        <w:rPr>
          <w:lang w:val="cs-CZ"/>
        </w:rPr>
        <w:t>d)</w:t>
      </w:r>
      <w:r w:rsidRPr="003B6E11">
        <w:rPr>
          <w:lang w:val="cs-CZ"/>
        </w:rPr>
        <w:tab/>
        <w:t>jsou vybaveny pohonným systémem s více vrtulemi s nejméně dvěma nezávislými motory stejného výkonu a systémem bočního pohonu přídě, který lze ovládat z kormidelny a který působí v podélném i příčném směru;</w:t>
      </w:r>
    </w:p>
    <w:p w:rsidR="00E82B25" w:rsidRPr="003B6E11" w:rsidRDefault="00E82B25" w:rsidP="00E82B25">
      <w:pPr>
        <w:pStyle w:val="ESlet"/>
        <w:rPr>
          <w:noProof/>
          <w:lang w:val="cs-CZ"/>
        </w:rPr>
      </w:pPr>
      <w:r w:rsidRPr="003B6E11">
        <w:rPr>
          <w:lang w:val="cs-CZ"/>
        </w:rPr>
        <w:t>e)</w:t>
      </w:r>
      <w:r w:rsidRPr="003B6E11">
        <w:rPr>
          <w:lang w:val="cs-CZ"/>
        </w:rPr>
        <w:tab/>
        <w:t>umožňují ovládání záďových kotev přímo z kormidelny;</w:t>
      </w:r>
    </w:p>
    <w:p w:rsidR="00E82B25" w:rsidRPr="003B6E11" w:rsidRDefault="00E82B25" w:rsidP="00E82B25">
      <w:pPr>
        <w:pStyle w:val="ESchpar"/>
        <w:rPr>
          <w:noProof/>
          <w:lang w:val="cs-CZ"/>
        </w:rPr>
      </w:pPr>
    </w:p>
    <w:p w:rsidR="00E82B25" w:rsidRPr="003B6E11" w:rsidRDefault="00E82B25" w:rsidP="00E82B25">
      <w:pPr>
        <w:pStyle w:val="ESchpar"/>
        <w:rPr>
          <w:noProof/>
          <w:lang w:val="cs-CZ"/>
        </w:rPr>
      </w:pPr>
      <w:r w:rsidRPr="003B6E11">
        <w:rPr>
          <w:lang w:val="cs-CZ"/>
        </w:rPr>
        <w:t>v bodě 52 osvědčení plavidla vnitrozemské plavby se uvede, že splňují všechny požadavky písmen a) až e).</w:t>
      </w:r>
    </w:p>
    <w:p w:rsidR="00E82B25" w:rsidRPr="003B6E11" w:rsidRDefault="00E82B25" w:rsidP="00E82B25">
      <w:pPr>
        <w:pStyle w:val="ESch"/>
        <w:rPr>
          <w:rFonts w:eastAsia="Arial" w:cs="Arial"/>
          <w:noProof/>
          <w:snapToGrid w:val="0"/>
          <w:color w:val="000000"/>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r w:rsidRPr="003B6E11">
        <w:rPr>
          <w:lang w:val="cs-CZ"/>
        </w:rPr>
        <w:br w:type="page"/>
      </w:r>
    </w:p>
    <w:p w:rsidR="00E82B25" w:rsidRPr="003B6E11" w:rsidRDefault="00E82B25" w:rsidP="00E82B25">
      <w:pPr>
        <w:pStyle w:val="ESch"/>
        <w:rPr>
          <w:rFonts w:cs="Arial"/>
          <w:szCs w:val="20"/>
          <w:lang w:val="cs-CZ"/>
        </w:rPr>
      </w:pPr>
    </w:p>
    <w:p w:rsidR="00E82B25" w:rsidRPr="003B6E11" w:rsidRDefault="00E82B25" w:rsidP="00E82B25">
      <w:pPr>
        <w:pStyle w:val="ES-Titre2"/>
        <w:rPr>
          <w:szCs w:val="24"/>
        </w:rPr>
      </w:pPr>
      <w:bookmarkStart w:id="502" w:name="_Toc491854248"/>
      <w:bookmarkStart w:id="503" w:name="_Toc535417154"/>
      <w:r w:rsidRPr="003B6E11">
        <w:t>Kapitola 29</w:t>
      </w:r>
      <w:r w:rsidRPr="003B6E11">
        <w:br/>
      </w:r>
      <w:r w:rsidRPr="003B6E11">
        <w:rPr>
          <w:noProof/>
          <w:sz w:val="22"/>
        </w:rPr>
        <w:t>Zvláštní ustanovení pro rychlé lodě</w:t>
      </w:r>
      <w:bookmarkEnd w:id="502"/>
      <w:bookmarkEnd w:id="503"/>
    </w:p>
    <w:p w:rsidR="00E82B25" w:rsidRPr="003B6E11" w:rsidRDefault="00E82B25" w:rsidP="00E82B25">
      <w:pPr>
        <w:pStyle w:val="ESgauche"/>
        <w:rPr>
          <w:lang w:val="cs-CZ"/>
        </w:rPr>
      </w:pPr>
    </w:p>
    <w:p w:rsidR="00E82B25" w:rsidRPr="003B6E11" w:rsidRDefault="00E82B25" w:rsidP="00E82B25">
      <w:pPr>
        <w:pStyle w:val="ES-Titre3"/>
        <w:rPr>
          <w:lang w:val="cs-CZ"/>
        </w:rPr>
      </w:pPr>
      <w:bookmarkStart w:id="504" w:name="_Toc491854249"/>
      <w:bookmarkStart w:id="505" w:name="_Toc535417155"/>
      <w:r w:rsidRPr="003B6E11">
        <w:rPr>
          <w:lang w:val="cs-CZ"/>
        </w:rPr>
        <w:t>Článek 29.01</w:t>
      </w:r>
      <w:r w:rsidRPr="003B6E11">
        <w:rPr>
          <w:lang w:val="cs-CZ"/>
        </w:rPr>
        <w:br/>
      </w:r>
      <w:r w:rsidRPr="003B6E11">
        <w:rPr>
          <w:i/>
          <w:noProof/>
          <w:lang w:val="cs-CZ"/>
        </w:rPr>
        <w:t>Obecně</w:t>
      </w:r>
      <w:bookmarkEnd w:id="504"/>
      <w:bookmarkEnd w:id="505"/>
    </w:p>
    <w:p w:rsidR="00E82B25" w:rsidRPr="003B6E11" w:rsidRDefault="00E82B25" w:rsidP="00E82B25">
      <w:pPr>
        <w:pStyle w:val="ESch"/>
        <w:rPr>
          <w:noProof/>
          <w:lang w:val="cs-CZ"/>
        </w:rPr>
      </w:pPr>
    </w:p>
    <w:p w:rsidR="00E82B25" w:rsidRPr="003B6E11" w:rsidRDefault="00E82B25" w:rsidP="00E82B25">
      <w:pPr>
        <w:pStyle w:val="ESch"/>
        <w:rPr>
          <w:noProof/>
          <w:lang w:val="cs-CZ"/>
        </w:rPr>
      </w:pPr>
      <w:r w:rsidRPr="003B6E11">
        <w:rPr>
          <w:lang w:val="cs-CZ"/>
        </w:rPr>
        <w:t>1.</w:t>
      </w:r>
      <w:r w:rsidRPr="003B6E11">
        <w:rPr>
          <w:lang w:val="cs-CZ"/>
        </w:rPr>
        <w:tab/>
        <w:t>Rychlé lodě nesmějí být postaveny jako kajutové osobní lodě.</w:t>
      </w:r>
    </w:p>
    <w:p w:rsidR="00E82B25" w:rsidRPr="003B6E11" w:rsidRDefault="00E82B25" w:rsidP="00E82B25">
      <w:pPr>
        <w:pStyle w:val="ESch"/>
        <w:rPr>
          <w:noProof/>
          <w:lang w:val="cs-CZ"/>
        </w:rPr>
      </w:pPr>
    </w:p>
    <w:p w:rsidR="00E82B25" w:rsidRPr="003B6E11" w:rsidRDefault="00E82B25" w:rsidP="00E82B25">
      <w:pPr>
        <w:pStyle w:val="ESch"/>
        <w:rPr>
          <w:noProof/>
          <w:lang w:val="cs-CZ"/>
        </w:rPr>
      </w:pPr>
      <w:r w:rsidRPr="003B6E11">
        <w:rPr>
          <w:lang w:val="cs-CZ"/>
        </w:rPr>
        <w:t>2.</w:t>
      </w:r>
      <w:r w:rsidRPr="003B6E11">
        <w:rPr>
          <w:lang w:val="cs-CZ"/>
        </w:rPr>
        <w:tab/>
        <w:t>Na rychlých lodích jsou zakázána tato zařízení:</w:t>
      </w:r>
    </w:p>
    <w:p w:rsidR="00E82B25" w:rsidRPr="003B6E11" w:rsidRDefault="00E82B25" w:rsidP="00E82B25">
      <w:pPr>
        <w:pStyle w:val="ESlet"/>
        <w:rPr>
          <w:noProof/>
          <w:lang w:val="cs-CZ"/>
        </w:rPr>
      </w:pPr>
      <w:r w:rsidRPr="003B6E11">
        <w:rPr>
          <w:lang w:val="cs-CZ"/>
        </w:rPr>
        <w:t>a)</w:t>
      </w:r>
      <w:r w:rsidRPr="003B6E11">
        <w:rPr>
          <w:lang w:val="cs-CZ"/>
        </w:rPr>
        <w:tab/>
        <w:t>zařízení vybavená knotovými hořáky podle článku 16.02;</w:t>
      </w:r>
    </w:p>
    <w:p w:rsidR="00E82B25" w:rsidRPr="003B6E11" w:rsidRDefault="00E82B25" w:rsidP="00E82B25">
      <w:pPr>
        <w:pStyle w:val="ESlet"/>
        <w:rPr>
          <w:noProof/>
          <w:lang w:val="cs-CZ"/>
        </w:rPr>
      </w:pPr>
      <w:r w:rsidRPr="003B6E11">
        <w:rPr>
          <w:lang w:val="cs-CZ"/>
        </w:rPr>
        <w:t>b)</w:t>
      </w:r>
      <w:r w:rsidRPr="003B6E11">
        <w:rPr>
          <w:lang w:val="cs-CZ"/>
        </w:rPr>
        <w:tab/>
        <w:t>naftová kamna s odpařovacími hořáky podle článků 16.03 a 16.04;</w:t>
      </w:r>
    </w:p>
    <w:p w:rsidR="00E82B25" w:rsidRPr="003B6E11" w:rsidRDefault="00E82B25" w:rsidP="00E82B25">
      <w:pPr>
        <w:pStyle w:val="ESlet"/>
        <w:rPr>
          <w:noProof/>
          <w:lang w:val="cs-CZ"/>
        </w:rPr>
      </w:pPr>
      <w:r w:rsidRPr="003B6E11">
        <w:rPr>
          <w:lang w:val="cs-CZ"/>
        </w:rPr>
        <w:t>c)</w:t>
      </w:r>
      <w:r w:rsidRPr="003B6E11">
        <w:rPr>
          <w:lang w:val="cs-CZ"/>
        </w:rPr>
        <w:tab/>
        <w:t>topná zařízení na tuhá paliva podle článku 16.07;</w:t>
      </w:r>
    </w:p>
    <w:p w:rsidR="00E82B25" w:rsidRPr="003B6E11" w:rsidRDefault="00E82B25" w:rsidP="00E82B25">
      <w:pPr>
        <w:pStyle w:val="ESlet"/>
        <w:rPr>
          <w:noProof/>
          <w:lang w:val="cs-CZ"/>
        </w:rPr>
      </w:pPr>
      <w:r w:rsidRPr="003B6E11">
        <w:rPr>
          <w:lang w:val="cs-CZ"/>
        </w:rPr>
        <w:t>d)</w:t>
      </w:r>
      <w:r w:rsidRPr="003B6E11">
        <w:rPr>
          <w:lang w:val="cs-CZ"/>
        </w:rPr>
        <w:tab/>
        <w:t>zařízení na zkapalněný plyn podle kapitoly 17.</w:t>
      </w:r>
    </w:p>
    <w:p w:rsidR="00E82B25" w:rsidRPr="003B6E11" w:rsidRDefault="00E82B25" w:rsidP="00E82B25">
      <w:pPr>
        <w:pStyle w:val="ESch"/>
        <w:rPr>
          <w:rFonts w:cs="Arial"/>
          <w:szCs w:val="20"/>
          <w:lang w:val="cs-CZ"/>
        </w:rPr>
      </w:pPr>
    </w:p>
    <w:p w:rsidR="00E82B25" w:rsidRPr="003B6E11" w:rsidRDefault="00E82B25" w:rsidP="00E82B25">
      <w:pPr>
        <w:pStyle w:val="ESch"/>
        <w:rPr>
          <w:noProof/>
          <w:szCs w:val="20"/>
          <w:lang w:val="cs-CZ"/>
        </w:rPr>
      </w:pPr>
      <w:r w:rsidRPr="003B6E11">
        <w:rPr>
          <w:lang w:val="cs-CZ"/>
        </w:rPr>
        <w:t>3.</w:t>
      </w:r>
      <w:r w:rsidRPr="003B6E11">
        <w:rPr>
          <w:lang w:val="cs-CZ"/>
        </w:rPr>
        <w:tab/>
        <w:t>Rychlé lodě musí být postaveny a klasifikovány pod dohledem a podle předpisů uznané klasifikační společnosti, která má zvláštní předpisy pro rychlé lodě. Třída musí být zachována.</w:t>
      </w:r>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p>
    <w:p w:rsidR="00E82B25" w:rsidRPr="003B6E11" w:rsidRDefault="00E82B25" w:rsidP="00E82B25">
      <w:pPr>
        <w:pStyle w:val="ES-Titre3"/>
        <w:rPr>
          <w:i/>
          <w:noProof/>
          <w:lang w:val="cs-CZ"/>
        </w:rPr>
      </w:pPr>
      <w:bookmarkStart w:id="506" w:name="_Toc491854250"/>
      <w:bookmarkStart w:id="507" w:name="_Toc535417156"/>
      <w:r w:rsidRPr="003B6E11">
        <w:rPr>
          <w:lang w:val="cs-CZ"/>
        </w:rPr>
        <w:t>Článek 29.02</w:t>
      </w:r>
      <w:r w:rsidRPr="003B6E11">
        <w:rPr>
          <w:lang w:val="cs-CZ"/>
        </w:rPr>
        <w:br/>
      </w:r>
      <w:r w:rsidRPr="003B6E11">
        <w:rPr>
          <w:i/>
          <w:noProof/>
          <w:lang w:val="cs-CZ"/>
        </w:rPr>
        <w:t>Použití částí II a III</w:t>
      </w:r>
      <w:bookmarkEnd w:id="506"/>
      <w:bookmarkEnd w:id="507"/>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t>1.</w:t>
      </w:r>
      <w:r w:rsidRPr="003B6E11">
        <w:rPr>
          <w:lang w:val="cs-CZ"/>
        </w:rPr>
        <w:tab/>
        <w:t>Bez ohledu na odstavec 2 se na rychlé lodě vztahují kapitoly 3 až 19 kromě těchto ustanovení:</w:t>
      </w:r>
    </w:p>
    <w:p w:rsidR="00E82B25" w:rsidRPr="003B6E11" w:rsidRDefault="00E82B25" w:rsidP="00E82B25">
      <w:pPr>
        <w:pStyle w:val="ESlet"/>
        <w:rPr>
          <w:noProof/>
          <w:lang w:val="cs-CZ"/>
        </w:rPr>
      </w:pPr>
      <w:r w:rsidRPr="003B6E11">
        <w:rPr>
          <w:lang w:val="cs-CZ"/>
        </w:rPr>
        <w:t>a)</w:t>
      </w:r>
      <w:r w:rsidRPr="003B6E11">
        <w:rPr>
          <w:lang w:val="cs-CZ"/>
        </w:rPr>
        <w:tab/>
        <w:t>čl. 3.04 odst. 6 druhý pododstavec;</w:t>
      </w:r>
    </w:p>
    <w:p w:rsidR="00E82B25" w:rsidRPr="003B6E11" w:rsidRDefault="00E82B25" w:rsidP="00E82B25">
      <w:pPr>
        <w:pStyle w:val="ESlet"/>
        <w:rPr>
          <w:noProof/>
          <w:lang w:val="cs-CZ"/>
        </w:rPr>
      </w:pPr>
      <w:r w:rsidRPr="003B6E11">
        <w:rPr>
          <w:lang w:val="cs-CZ"/>
        </w:rPr>
        <w:t>b)</w:t>
      </w:r>
      <w:r w:rsidRPr="003B6E11">
        <w:rPr>
          <w:lang w:val="cs-CZ"/>
        </w:rPr>
        <w:tab/>
        <w:t>čl. 8.08 odst. 2 druhá věta;</w:t>
      </w:r>
    </w:p>
    <w:p w:rsidR="00E82B25" w:rsidRPr="003B6E11" w:rsidRDefault="00E82B25" w:rsidP="00E82B25">
      <w:pPr>
        <w:pStyle w:val="ESlet"/>
        <w:rPr>
          <w:noProof/>
          <w:lang w:val="cs-CZ"/>
        </w:rPr>
      </w:pPr>
      <w:r w:rsidRPr="003B6E11">
        <w:rPr>
          <w:lang w:val="cs-CZ"/>
        </w:rPr>
        <w:t>c)</w:t>
      </w:r>
      <w:r w:rsidRPr="003B6E11">
        <w:rPr>
          <w:lang w:val="cs-CZ"/>
        </w:rPr>
        <w:tab/>
        <w:t>čl. 14.02 odst. 4 druhá a třetí věta;</w:t>
      </w:r>
    </w:p>
    <w:p w:rsidR="00E82B25" w:rsidRPr="003B6E11" w:rsidRDefault="00E82B25" w:rsidP="00E82B25">
      <w:pPr>
        <w:pStyle w:val="ESlet"/>
        <w:rPr>
          <w:noProof/>
          <w:lang w:val="cs-CZ"/>
        </w:rPr>
      </w:pPr>
      <w:r w:rsidRPr="003B6E11">
        <w:rPr>
          <w:lang w:val="cs-CZ"/>
        </w:rPr>
        <w:t>d)</w:t>
      </w:r>
      <w:r w:rsidRPr="003B6E11">
        <w:rPr>
          <w:lang w:val="cs-CZ"/>
        </w:rPr>
        <w:tab/>
        <w:t>čl. 15.02 odst. 4 druhá věta;</w:t>
      </w:r>
    </w:p>
    <w:p w:rsidR="00E82B25" w:rsidRPr="003B6E11" w:rsidRDefault="00E82B25" w:rsidP="00E82B25">
      <w:pPr>
        <w:pStyle w:val="ESlet"/>
        <w:rPr>
          <w:noProof/>
          <w:lang w:val="cs-CZ"/>
        </w:rPr>
      </w:pPr>
      <w:r w:rsidRPr="003B6E11">
        <w:rPr>
          <w:lang w:val="cs-CZ"/>
        </w:rPr>
        <w:t>e)</w:t>
      </w:r>
      <w:r w:rsidRPr="003B6E11">
        <w:rPr>
          <w:lang w:val="cs-CZ"/>
        </w:rPr>
        <w:tab/>
        <w:t>čl. 19.06 odst. 3 písm. a) druhá věta.</w:t>
      </w:r>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t>2.</w:t>
      </w:r>
      <w:r w:rsidRPr="003B6E11">
        <w:rPr>
          <w:lang w:val="cs-CZ"/>
        </w:rPr>
        <w:tab/>
        <w:t>Odchylně od čl. 19.02 odst. 9 a čl. 19.15 odst. 7 musí být všechny dveře ve vodotěsných přepážkách na dálkové ovládání.</w:t>
      </w:r>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t>3.</w:t>
      </w:r>
      <w:r w:rsidRPr="003B6E11">
        <w:rPr>
          <w:lang w:val="cs-CZ"/>
        </w:rPr>
        <w:tab/>
        <w:t>Odchylně od čl. 6.02 odst. 1 v případě poruchy nebo nesprávné funkce pohonné jednotky kormidelního stroje začne neprodleně fungovat druhá nezávislá pohonná jednotka kormidelního stroje nebo ruční pohon.</w:t>
      </w:r>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t>4.</w:t>
      </w:r>
      <w:r w:rsidRPr="003B6E11">
        <w:rPr>
          <w:lang w:val="cs-CZ"/>
        </w:rPr>
        <w:tab/>
        <w:t>Rychlé lodě musí kromě požadavků odstavců 1 až 3 splňovat požadavky článků 29.03 až 29.10.</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r w:rsidRPr="003B6E11">
        <w:rPr>
          <w:lang w:val="cs-CZ"/>
        </w:rPr>
        <w:br w:type="page"/>
      </w:r>
    </w:p>
    <w:p w:rsidR="00E82B25" w:rsidRPr="003B6E11" w:rsidRDefault="00E82B25" w:rsidP="00E82B25">
      <w:pPr>
        <w:pStyle w:val="ES-Titre3"/>
        <w:rPr>
          <w:i/>
          <w:noProof/>
          <w:lang w:val="cs-CZ"/>
        </w:rPr>
      </w:pPr>
      <w:bookmarkStart w:id="508" w:name="_Toc491854251"/>
      <w:bookmarkStart w:id="509" w:name="_Toc535417157"/>
      <w:r w:rsidRPr="003B6E11">
        <w:rPr>
          <w:lang w:val="cs-CZ"/>
        </w:rPr>
        <w:t>Článek 29.03</w:t>
      </w:r>
      <w:r w:rsidRPr="003B6E11">
        <w:rPr>
          <w:lang w:val="cs-CZ"/>
        </w:rPr>
        <w:br/>
      </w:r>
      <w:r w:rsidRPr="003B6E11">
        <w:rPr>
          <w:i/>
          <w:noProof/>
          <w:lang w:val="cs-CZ"/>
        </w:rPr>
        <w:t>Sedadla a bezpečnostní pásy</w:t>
      </w:r>
      <w:bookmarkEnd w:id="508"/>
      <w:bookmarkEnd w:id="509"/>
    </w:p>
    <w:p w:rsidR="00E82B25" w:rsidRPr="003B6E11" w:rsidRDefault="00E82B25" w:rsidP="00E82B25">
      <w:pPr>
        <w:pStyle w:val="ESch"/>
        <w:rPr>
          <w:noProof/>
          <w:szCs w:val="20"/>
          <w:lang w:val="cs-CZ"/>
        </w:rPr>
      </w:pPr>
    </w:p>
    <w:p w:rsidR="00E82B25" w:rsidRPr="003B6E11" w:rsidRDefault="00E82B25" w:rsidP="00E82B25">
      <w:pPr>
        <w:pStyle w:val="ESgauche"/>
        <w:rPr>
          <w:lang w:val="cs-CZ"/>
        </w:rPr>
      </w:pPr>
      <w:r w:rsidRPr="003B6E11">
        <w:rPr>
          <w:lang w:val="cs-CZ"/>
        </w:rPr>
        <w:t>K dispozici musí být sedadla pro nejvyšší přípustný počet cestujících na palubě. Sedadla musí být opatřena bezpečnostními pásy. Od bezpečnostních pásů lze upustit, pokud je k dispozici vhodná ochrana při nárazu, nebo pokud se nevyžadují podle kapitoly 4 části 6 Kodexu pro rychlá plavidla (HSC Code) 2000.</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Titre3"/>
        <w:rPr>
          <w:i/>
          <w:noProof/>
          <w:lang w:val="cs-CZ"/>
        </w:rPr>
      </w:pPr>
      <w:bookmarkStart w:id="510" w:name="_Toc491854252"/>
      <w:bookmarkStart w:id="511" w:name="_Toc535417158"/>
      <w:r w:rsidRPr="003B6E11">
        <w:rPr>
          <w:lang w:val="cs-CZ"/>
        </w:rPr>
        <w:t>Článek 29.04</w:t>
      </w:r>
      <w:r w:rsidRPr="003B6E11">
        <w:rPr>
          <w:lang w:val="cs-CZ"/>
        </w:rPr>
        <w:br/>
      </w:r>
      <w:r w:rsidRPr="003B6E11">
        <w:rPr>
          <w:i/>
          <w:noProof/>
          <w:lang w:val="cs-CZ"/>
        </w:rPr>
        <w:t>Volný bok</w:t>
      </w:r>
      <w:bookmarkEnd w:id="510"/>
      <w:bookmarkEnd w:id="511"/>
    </w:p>
    <w:p w:rsidR="00E82B25" w:rsidRPr="003B6E11" w:rsidRDefault="00E82B25" w:rsidP="00E82B25">
      <w:pPr>
        <w:pStyle w:val="ESch"/>
        <w:rPr>
          <w:noProof/>
          <w:szCs w:val="20"/>
          <w:lang w:val="cs-CZ"/>
        </w:rPr>
      </w:pPr>
    </w:p>
    <w:p w:rsidR="00E82B25" w:rsidRPr="003B6E11" w:rsidRDefault="00E82B25" w:rsidP="00E82B25">
      <w:pPr>
        <w:pStyle w:val="ESgauche"/>
        <w:rPr>
          <w:lang w:val="cs-CZ"/>
        </w:rPr>
      </w:pPr>
      <w:r w:rsidRPr="003B6E11">
        <w:rPr>
          <w:lang w:val="cs-CZ"/>
        </w:rPr>
        <w:t>Odchylně od článků 4.02 a 4.03 musí být volný bok nejméně 500 mm.</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Titre3"/>
        <w:rPr>
          <w:i/>
          <w:noProof/>
          <w:lang w:val="cs-CZ"/>
        </w:rPr>
      </w:pPr>
      <w:bookmarkStart w:id="512" w:name="_Toc491854253"/>
      <w:bookmarkStart w:id="513" w:name="_Toc535417159"/>
      <w:r w:rsidRPr="003B6E11">
        <w:rPr>
          <w:lang w:val="cs-CZ"/>
        </w:rPr>
        <w:t>Článek 29.05</w:t>
      </w:r>
      <w:r w:rsidRPr="003B6E11">
        <w:rPr>
          <w:lang w:val="cs-CZ"/>
        </w:rPr>
        <w:br/>
      </w:r>
      <w:r w:rsidRPr="003B6E11">
        <w:rPr>
          <w:i/>
          <w:noProof/>
          <w:lang w:val="cs-CZ"/>
        </w:rPr>
        <w:t>Plovatelnost, stabilita a dělení</w:t>
      </w:r>
      <w:bookmarkEnd w:id="512"/>
      <w:bookmarkEnd w:id="513"/>
    </w:p>
    <w:p w:rsidR="00E82B25" w:rsidRPr="003B6E11" w:rsidRDefault="00E82B25" w:rsidP="00E82B25">
      <w:pPr>
        <w:pStyle w:val="ESch"/>
        <w:rPr>
          <w:noProof/>
          <w:szCs w:val="20"/>
          <w:lang w:val="cs-CZ"/>
        </w:rPr>
      </w:pPr>
    </w:p>
    <w:p w:rsidR="00E82B25" w:rsidRPr="003B6E11" w:rsidRDefault="00E82B25" w:rsidP="00E82B25">
      <w:pPr>
        <w:pStyle w:val="ESgauche"/>
        <w:rPr>
          <w:lang w:val="cs-CZ"/>
        </w:rPr>
      </w:pPr>
      <w:r w:rsidRPr="003B6E11">
        <w:rPr>
          <w:lang w:val="cs-CZ"/>
        </w:rPr>
        <w:t>U rychlých lodí je nutno dostatečně prokázat:</w:t>
      </w:r>
    </w:p>
    <w:p w:rsidR="00E82B25" w:rsidRPr="003B6E11" w:rsidRDefault="00E82B25" w:rsidP="00E82B25">
      <w:pPr>
        <w:pStyle w:val="ESletgauche"/>
        <w:rPr>
          <w:noProof/>
          <w:lang w:val="cs-CZ"/>
        </w:rPr>
      </w:pPr>
      <w:r w:rsidRPr="003B6E11">
        <w:rPr>
          <w:lang w:val="cs-CZ"/>
        </w:rPr>
        <w:t>a)</w:t>
      </w:r>
      <w:r w:rsidRPr="003B6E11">
        <w:rPr>
          <w:lang w:val="cs-CZ"/>
        </w:rPr>
        <w:tab/>
        <w:t>vlastnosti týkající se plovatelnosti a stability, které zajišťují bezpečnost plavidla ve výtlačném režimu plavby, a to v neporušeném i narušeném stavu;</w:t>
      </w:r>
    </w:p>
    <w:p w:rsidR="00E82B25" w:rsidRPr="003B6E11" w:rsidRDefault="00E82B25" w:rsidP="00E82B25">
      <w:pPr>
        <w:pStyle w:val="ESletgauche"/>
        <w:rPr>
          <w:noProof/>
          <w:lang w:val="cs-CZ"/>
        </w:rPr>
      </w:pPr>
      <w:r w:rsidRPr="003B6E11">
        <w:rPr>
          <w:lang w:val="cs-CZ"/>
        </w:rPr>
        <w:t>b)</w:t>
      </w:r>
      <w:r w:rsidRPr="003B6E11">
        <w:rPr>
          <w:lang w:val="cs-CZ"/>
        </w:rPr>
        <w:tab/>
        <w:t>vlastnosti týkající se stability a stabilizační systémy, které jsou přiměřené z hlediska bezpečnosti, provozuje-li se plavidlo ve fázi dynamické plovatelnosti a v přechodné fázi;</w:t>
      </w:r>
    </w:p>
    <w:p w:rsidR="00E82B25" w:rsidRPr="003B6E11" w:rsidRDefault="00E82B25" w:rsidP="00E82B25">
      <w:pPr>
        <w:pStyle w:val="ESletgauche"/>
        <w:rPr>
          <w:noProof/>
          <w:lang w:val="cs-CZ"/>
        </w:rPr>
      </w:pPr>
      <w:r w:rsidRPr="003B6E11">
        <w:rPr>
          <w:lang w:val="cs-CZ"/>
        </w:rPr>
        <w:t>c)</w:t>
      </w:r>
      <w:r w:rsidRPr="003B6E11">
        <w:rPr>
          <w:lang w:val="cs-CZ"/>
        </w:rPr>
        <w:tab/>
        <w:t>vlastnosti týkající se stability, které jsou přiměřené z hlediska bezpečnosti, provozuje-li se plavidlo ve fázi dynamické plovatelnosti a v přechodné fázi, a jež umožňují bezpečný návrat plavidla do výtlačného režimu v případě poruchy systému.</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Titre3"/>
        <w:rPr>
          <w:i/>
          <w:noProof/>
          <w:lang w:val="cs-CZ"/>
        </w:rPr>
      </w:pPr>
      <w:bookmarkStart w:id="514" w:name="_Toc491854254"/>
      <w:bookmarkStart w:id="515" w:name="_Toc535417160"/>
      <w:r w:rsidRPr="003B6E11">
        <w:rPr>
          <w:lang w:val="cs-CZ"/>
        </w:rPr>
        <w:t>Článek 29.06</w:t>
      </w:r>
      <w:r w:rsidRPr="003B6E11">
        <w:rPr>
          <w:lang w:val="cs-CZ"/>
        </w:rPr>
        <w:br/>
      </w:r>
      <w:r w:rsidRPr="003B6E11">
        <w:rPr>
          <w:i/>
          <w:noProof/>
          <w:lang w:val="cs-CZ"/>
        </w:rPr>
        <w:t>Kormidelna</w:t>
      </w:r>
      <w:bookmarkEnd w:id="514"/>
      <w:bookmarkEnd w:id="515"/>
    </w:p>
    <w:p w:rsidR="00E82B25" w:rsidRPr="003B6E11" w:rsidRDefault="00E82B25" w:rsidP="00E82B25">
      <w:pPr>
        <w:pStyle w:val="ESch"/>
        <w:rPr>
          <w:noProof/>
          <w:szCs w:val="20"/>
          <w:lang w:val="cs-CZ"/>
        </w:rPr>
      </w:pPr>
      <w:r w:rsidRPr="003B6E11">
        <w:rPr>
          <w:lang w:val="cs-CZ"/>
        </w:rPr>
        <w:t>1.</w:t>
      </w:r>
      <w:r w:rsidRPr="003B6E11">
        <w:rPr>
          <w:lang w:val="cs-CZ"/>
        </w:rPr>
        <w:tab/>
        <w:t>Uspořádání</w:t>
      </w:r>
    </w:p>
    <w:p w:rsidR="00E82B25" w:rsidRPr="003B6E11" w:rsidRDefault="00E82B25" w:rsidP="00E82B25">
      <w:pPr>
        <w:pStyle w:val="ESlet"/>
        <w:rPr>
          <w:rFonts w:cs="Arial"/>
          <w:lang w:val="cs-CZ"/>
        </w:rPr>
      </w:pPr>
      <w:r w:rsidRPr="003B6E11">
        <w:rPr>
          <w:lang w:val="cs-CZ"/>
        </w:rPr>
        <w:t>a)</w:t>
      </w:r>
      <w:r w:rsidRPr="003B6E11">
        <w:rPr>
          <w:lang w:val="cs-CZ"/>
        </w:rPr>
        <w:tab/>
        <w:t>odchylně od čl. 7.01 odst. 1 musí být kormidelny uspořádány tak, aby kormidelník a druhý člen posádky mohli kdykoli během plavby plnit své úkoly;</w:t>
      </w:r>
    </w:p>
    <w:p w:rsidR="00E82B25" w:rsidRPr="003B6E11" w:rsidRDefault="00E82B25" w:rsidP="00E82B25">
      <w:pPr>
        <w:pStyle w:val="ESlet"/>
        <w:rPr>
          <w:noProof/>
          <w:lang w:val="cs-CZ"/>
        </w:rPr>
      </w:pPr>
      <w:r w:rsidRPr="003B6E11">
        <w:rPr>
          <w:lang w:val="cs-CZ"/>
        </w:rPr>
        <w:t>b)</w:t>
      </w:r>
      <w:r w:rsidRPr="003B6E11">
        <w:rPr>
          <w:lang w:val="cs-CZ"/>
        </w:rPr>
        <w:tab/>
        <w:t>ovládací stanoviště musí být uspořádáno tak, aby na něm mohla být umístěna pracoviště pro osoby uvedené v písmenu a). Přístroje k navigaci, manévrování, kontrole a komunikaci a jiné důležité ovládací prvky musí být dostatečně blízko u sebe, aby druhý člen posádky i vůdce plavidla mohli získávat potřebné informace a ovládat potřebné ovládací prvky a zařízení vsedě. Ve všech případech platí tyto požadavky:</w:t>
      </w:r>
    </w:p>
    <w:p w:rsidR="00E82B25" w:rsidRPr="003B6E11" w:rsidRDefault="00E82B25" w:rsidP="00E82B25">
      <w:pPr>
        <w:pStyle w:val="EStiret"/>
        <w:rPr>
          <w:lang w:val="cs-CZ"/>
        </w:rPr>
      </w:pPr>
      <w:r w:rsidRPr="003B6E11">
        <w:rPr>
          <w:lang w:val="cs-CZ"/>
        </w:rPr>
        <w:t>aa)</w:t>
      </w:r>
      <w:r w:rsidRPr="003B6E11">
        <w:rPr>
          <w:lang w:val="cs-CZ"/>
        </w:rPr>
        <w:tab/>
        <w:t>ovládací stanoviště pro kormidelníka musí být uspořádáno tak, aby umožňovalo řízení plavidla jednou osobou s pomocí radaru;</w:t>
      </w:r>
    </w:p>
    <w:p w:rsidR="00E82B25" w:rsidRPr="003B6E11" w:rsidRDefault="00E82B25" w:rsidP="00E82B25">
      <w:pPr>
        <w:pStyle w:val="EStiret"/>
        <w:rPr>
          <w:lang w:val="cs-CZ"/>
        </w:rPr>
      </w:pPr>
      <w:r w:rsidRPr="003B6E11">
        <w:rPr>
          <w:lang w:val="cs-CZ"/>
        </w:rPr>
        <w:t>bb)</w:t>
      </w:r>
      <w:r w:rsidRPr="003B6E11">
        <w:rPr>
          <w:lang w:val="cs-CZ"/>
        </w:rPr>
        <w:tab/>
        <w:t>druhý člen posádky musí mít na svém pracovišti vlastní (pomocnou) obrazovku radaru a musí být schopen zasáhnout ze svého stanoviště do přenosu informací a ovládání pohonu plavidla.</w:t>
      </w:r>
    </w:p>
    <w:p w:rsidR="00E82B25" w:rsidRPr="003B6E11" w:rsidRDefault="00E82B25" w:rsidP="00E82B25">
      <w:pPr>
        <w:pStyle w:val="ESlet"/>
        <w:rPr>
          <w:noProof/>
          <w:lang w:val="cs-CZ"/>
        </w:rPr>
      </w:pPr>
      <w:r w:rsidRPr="003B6E11">
        <w:rPr>
          <w:lang w:val="cs-CZ"/>
        </w:rPr>
        <w:t>c)</w:t>
      </w:r>
      <w:r w:rsidRPr="003B6E11">
        <w:rPr>
          <w:lang w:val="cs-CZ"/>
        </w:rPr>
        <w:tab/>
        <w:t>osoby uvedené v písmenu a) musí být schopny ovládat zařízení uvedená v písmenu b) bez zábran, a to i tehdy, jsou-li řádně nasazeny bezpečnostní pásy.</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r w:rsidRPr="003B6E11">
        <w:rPr>
          <w:lang w:val="cs-CZ"/>
        </w:rPr>
        <w:br w:type="page"/>
      </w:r>
    </w:p>
    <w:p w:rsidR="00E82B25" w:rsidRPr="003B6E11" w:rsidRDefault="00E82B25" w:rsidP="00E82B25">
      <w:pPr>
        <w:pStyle w:val="ESch"/>
        <w:rPr>
          <w:noProof/>
          <w:szCs w:val="20"/>
          <w:lang w:val="cs-CZ"/>
        </w:rPr>
      </w:pPr>
      <w:r w:rsidRPr="003B6E11">
        <w:rPr>
          <w:lang w:val="cs-CZ"/>
        </w:rPr>
        <w:t>2.</w:t>
      </w:r>
      <w:r w:rsidRPr="003B6E11">
        <w:rPr>
          <w:lang w:val="cs-CZ"/>
        </w:rPr>
        <w:tab/>
        <w:t>Neomezený výhled</w:t>
      </w:r>
    </w:p>
    <w:p w:rsidR="00E82B25" w:rsidRPr="003B6E11" w:rsidRDefault="00E82B25" w:rsidP="00E82B25">
      <w:pPr>
        <w:pStyle w:val="ESlet"/>
        <w:rPr>
          <w:noProof/>
          <w:lang w:val="cs-CZ"/>
        </w:rPr>
      </w:pPr>
      <w:r w:rsidRPr="003B6E11">
        <w:rPr>
          <w:lang w:val="cs-CZ"/>
        </w:rPr>
        <w:t>a)</w:t>
      </w:r>
      <w:r w:rsidRPr="003B6E11">
        <w:rPr>
          <w:lang w:val="cs-CZ"/>
        </w:rPr>
        <w:tab/>
        <w:t>odchylně od čl. 7.02 odst. 2 nesmí oblast omezeného výhledu sedícího kormidelníka před loď přesáhnout jednu délku lodi bez ohledu na podmínky naložení;</w:t>
      </w:r>
    </w:p>
    <w:p w:rsidR="00E82B25" w:rsidRPr="003B6E11" w:rsidRDefault="00E82B25" w:rsidP="00E82B25">
      <w:pPr>
        <w:pStyle w:val="ESlet"/>
        <w:rPr>
          <w:noProof/>
          <w:lang w:val="cs-CZ"/>
        </w:rPr>
      </w:pPr>
      <w:r w:rsidRPr="003B6E11">
        <w:rPr>
          <w:lang w:val="cs-CZ"/>
        </w:rPr>
        <w:t>b)</w:t>
      </w:r>
      <w:r w:rsidRPr="003B6E11">
        <w:rPr>
          <w:lang w:val="cs-CZ"/>
        </w:rPr>
        <w:tab/>
        <w:t>odchylně od čl. 7.02 odst. 3 nesmí celkový výsek úseků bez volného výhledu přímo vpřed po 22,5° směrem dozadu na obě strany přesáhnout 20°. Každý jednotlivý úsek bez volného výhledu nesmí překročit 5°. Přehledný úsek mezi dvěma úseky bez volného výhledu nesmí být menší než 10°.</w:t>
      </w:r>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t>3.</w:t>
      </w:r>
      <w:r w:rsidRPr="003B6E11">
        <w:rPr>
          <w:lang w:val="cs-CZ"/>
        </w:rPr>
        <w:tab/>
        <w:t>Přístroje</w:t>
      </w:r>
    </w:p>
    <w:p w:rsidR="00E82B25" w:rsidRPr="003B6E11" w:rsidRDefault="00E82B25" w:rsidP="00E82B25">
      <w:pPr>
        <w:pStyle w:val="ESchpar"/>
        <w:rPr>
          <w:noProof/>
          <w:lang w:val="cs-CZ"/>
        </w:rPr>
      </w:pPr>
    </w:p>
    <w:p w:rsidR="00E82B25" w:rsidRPr="003B6E11" w:rsidRDefault="00E82B25" w:rsidP="00E82B25">
      <w:pPr>
        <w:pStyle w:val="ESchpar"/>
        <w:rPr>
          <w:noProof/>
          <w:lang w:val="cs-CZ"/>
        </w:rPr>
      </w:pPr>
      <w:r w:rsidRPr="003B6E11">
        <w:rPr>
          <w:lang w:val="cs-CZ"/>
        </w:rPr>
        <w:t>Ovládací panely a monitorovací přístroje zařízení uvedených v článku 29.10 se musí nacházet na samostatných a zřetelně označených místech v kormidelně. Totéž platí případně pro ovládací prvky ke spouštění kolektivních záchranných prostředků na vodu.</w:t>
      </w:r>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t>4.</w:t>
      </w:r>
      <w:r w:rsidRPr="003B6E11">
        <w:rPr>
          <w:lang w:val="cs-CZ"/>
        </w:rPr>
        <w:tab/>
        <w:t>Osvětlení</w:t>
      </w:r>
    </w:p>
    <w:p w:rsidR="00E82B25" w:rsidRPr="003B6E11" w:rsidRDefault="00E82B25" w:rsidP="00E82B25">
      <w:pPr>
        <w:pStyle w:val="ESchpar"/>
        <w:rPr>
          <w:noProof/>
          <w:lang w:val="cs-CZ"/>
        </w:rPr>
      </w:pPr>
    </w:p>
    <w:p w:rsidR="00E82B25" w:rsidRPr="003B6E11" w:rsidRDefault="00E82B25" w:rsidP="00E82B25">
      <w:pPr>
        <w:pStyle w:val="ESchpar"/>
        <w:rPr>
          <w:noProof/>
          <w:lang w:val="cs-CZ"/>
        </w:rPr>
      </w:pPr>
      <w:r w:rsidRPr="003B6E11">
        <w:rPr>
          <w:lang w:val="cs-CZ"/>
        </w:rPr>
        <w:t>Pro oblasti nebo části zařízení, které musí být během provozu osvětleny, se použije červené světlo.</w:t>
      </w:r>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t>5.</w:t>
      </w:r>
      <w:r w:rsidRPr="003B6E11">
        <w:rPr>
          <w:lang w:val="cs-CZ"/>
        </w:rPr>
        <w:tab/>
        <w:t>Okna</w:t>
      </w:r>
    </w:p>
    <w:p w:rsidR="00E82B25" w:rsidRPr="003B6E11" w:rsidRDefault="00E82B25" w:rsidP="00E82B25">
      <w:pPr>
        <w:pStyle w:val="ESchpar"/>
        <w:rPr>
          <w:noProof/>
          <w:lang w:val="cs-CZ"/>
        </w:rPr>
      </w:pPr>
    </w:p>
    <w:p w:rsidR="00E82B25" w:rsidRPr="003B6E11" w:rsidRDefault="00E82B25" w:rsidP="00E82B25">
      <w:pPr>
        <w:pStyle w:val="ESchpar"/>
        <w:rPr>
          <w:noProof/>
          <w:lang w:val="cs-CZ"/>
        </w:rPr>
      </w:pPr>
      <w:r w:rsidRPr="003B6E11">
        <w:rPr>
          <w:lang w:val="cs-CZ"/>
        </w:rPr>
        <w:t>Je nutno zamezit odrazům. Musí existovat prostředky, kterými se zamezí oslnění slunečním světlem.</w:t>
      </w:r>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t>6.</w:t>
      </w:r>
      <w:r w:rsidRPr="003B6E11">
        <w:rPr>
          <w:lang w:val="cs-CZ"/>
        </w:rPr>
        <w:tab/>
        <w:t>Povrchové materiály</w:t>
      </w:r>
    </w:p>
    <w:p w:rsidR="00E82B25" w:rsidRPr="003B6E11" w:rsidRDefault="00E82B25" w:rsidP="00E82B25">
      <w:pPr>
        <w:pStyle w:val="ESchpar"/>
        <w:rPr>
          <w:noProof/>
          <w:lang w:val="cs-CZ"/>
        </w:rPr>
      </w:pPr>
    </w:p>
    <w:p w:rsidR="00E82B25" w:rsidRPr="003B6E11" w:rsidRDefault="00E82B25" w:rsidP="00E82B25">
      <w:pPr>
        <w:pStyle w:val="ESchpar"/>
        <w:rPr>
          <w:noProof/>
          <w:lang w:val="cs-CZ"/>
        </w:rPr>
      </w:pPr>
      <w:r w:rsidRPr="003B6E11">
        <w:rPr>
          <w:lang w:val="cs-CZ"/>
        </w:rPr>
        <w:t>V kormidelně nelze používat reflexní povrchové materiály.</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Titre3"/>
        <w:rPr>
          <w:rFonts w:cs="Arial"/>
          <w:i/>
          <w:lang w:val="cs-CZ"/>
        </w:rPr>
      </w:pPr>
      <w:bookmarkStart w:id="516" w:name="_Toc491854255"/>
      <w:bookmarkStart w:id="517" w:name="_Toc535417161"/>
      <w:r w:rsidRPr="003B6E11">
        <w:rPr>
          <w:lang w:val="cs-CZ"/>
        </w:rPr>
        <w:t>Článek 29.07</w:t>
      </w:r>
      <w:r w:rsidRPr="003B6E11">
        <w:rPr>
          <w:lang w:val="cs-CZ"/>
        </w:rPr>
        <w:br/>
      </w:r>
      <w:r w:rsidRPr="003B6E11">
        <w:rPr>
          <w:i/>
          <w:noProof/>
          <w:lang w:val="cs-CZ"/>
        </w:rPr>
        <w:t>Dodatečné vybavení</w:t>
      </w:r>
      <w:bookmarkEnd w:id="516"/>
      <w:bookmarkEnd w:id="517"/>
    </w:p>
    <w:p w:rsidR="00E82B25" w:rsidRPr="003B6E11" w:rsidRDefault="00E82B25" w:rsidP="00E82B25">
      <w:pPr>
        <w:pStyle w:val="ESch"/>
        <w:rPr>
          <w:rFonts w:cs="Arial"/>
          <w:szCs w:val="20"/>
          <w:lang w:val="cs-CZ"/>
        </w:rPr>
      </w:pPr>
    </w:p>
    <w:p w:rsidR="00E82B25" w:rsidRPr="003B6E11" w:rsidRDefault="00E82B25" w:rsidP="00E82B25">
      <w:pPr>
        <w:pStyle w:val="ESgauche"/>
        <w:rPr>
          <w:lang w:val="cs-CZ"/>
        </w:rPr>
      </w:pPr>
      <w:r w:rsidRPr="003B6E11">
        <w:rPr>
          <w:lang w:val="cs-CZ"/>
        </w:rPr>
        <w:t>Rychlá plavidla musí mít toto dodatečné vybavení:</w:t>
      </w:r>
    </w:p>
    <w:p w:rsidR="00E82B25" w:rsidRPr="003B6E11" w:rsidRDefault="00E82B25" w:rsidP="00E82B25">
      <w:pPr>
        <w:pStyle w:val="ESletgauche"/>
        <w:rPr>
          <w:lang w:val="cs-CZ"/>
        </w:rPr>
      </w:pPr>
      <w:r w:rsidRPr="003B6E11">
        <w:rPr>
          <w:lang w:val="cs-CZ"/>
        </w:rPr>
        <w:t>a)</w:t>
      </w:r>
      <w:r w:rsidRPr="003B6E11">
        <w:rPr>
          <w:lang w:val="cs-CZ"/>
        </w:rPr>
        <w:tab/>
        <w:t>navigační radarové zařízení a ukazatel rychlosti otáčení podle čl. 7.06 odst. 1 a</w:t>
      </w:r>
    </w:p>
    <w:p w:rsidR="00E82B25" w:rsidRPr="003B6E11" w:rsidRDefault="00E82B25" w:rsidP="00E82B25">
      <w:pPr>
        <w:pStyle w:val="ESletgauche"/>
        <w:rPr>
          <w:lang w:val="cs-CZ"/>
        </w:rPr>
      </w:pPr>
      <w:r w:rsidRPr="003B6E11">
        <w:rPr>
          <w:lang w:val="cs-CZ"/>
        </w:rPr>
        <w:t>b)</w:t>
      </w:r>
      <w:r w:rsidRPr="003B6E11">
        <w:rPr>
          <w:lang w:val="cs-CZ"/>
        </w:rPr>
        <w:tab/>
        <w:t>snadno přístupné osobní záchranné prostředky v souladu s čl. 19.09 odst. 4.</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Titre3"/>
        <w:rPr>
          <w:i/>
          <w:noProof/>
          <w:lang w:val="cs-CZ"/>
        </w:rPr>
      </w:pPr>
      <w:bookmarkStart w:id="518" w:name="_Toc491854256"/>
      <w:bookmarkStart w:id="519" w:name="_Toc535417162"/>
      <w:r w:rsidRPr="003B6E11">
        <w:rPr>
          <w:lang w:val="cs-CZ"/>
        </w:rPr>
        <w:t>Článek 29.08</w:t>
      </w:r>
      <w:r w:rsidRPr="003B6E11">
        <w:rPr>
          <w:lang w:val="cs-CZ"/>
        </w:rPr>
        <w:br/>
      </w:r>
      <w:r w:rsidRPr="003B6E11">
        <w:rPr>
          <w:i/>
          <w:noProof/>
          <w:lang w:val="cs-CZ"/>
        </w:rPr>
        <w:t>Uzavřené prostory</w:t>
      </w:r>
      <w:bookmarkEnd w:id="518"/>
      <w:bookmarkEnd w:id="519"/>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t>1.</w:t>
      </w:r>
      <w:r w:rsidRPr="003B6E11">
        <w:rPr>
          <w:lang w:val="cs-CZ"/>
        </w:rPr>
        <w:tab/>
        <w:t>Obecně</w:t>
      </w:r>
    </w:p>
    <w:p w:rsidR="00E82B25" w:rsidRPr="003B6E11" w:rsidRDefault="00E82B25" w:rsidP="00E82B25">
      <w:pPr>
        <w:pStyle w:val="ESchpar"/>
        <w:rPr>
          <w:noProof/>
          <w:lang w:val="cs-CZ"/>
        </w:rPr>
      </w:pPr>
    </w:p>
    <w:p w:rsidR="00E82B25" w:rsidRPr="003B6E11" w:rsidRDefault="00E82B25" w:rsidP="00E82B25">
      <w:pPr>
        <w:pStyle w:val="ESchpar"/>
        <w:rPr>
          <w:noProof/>
          <w:lang w:val="cs-CZ"/>
        </w:rPr>
      </w:pPr>
      <w:r w:rsidRPr="003B6E11">
        <w:rPr>
          <w:lang w:val="cs-CZ"/>
        </w:rPr>
        <w:t>Veřejně přístupné místnosti a obytné prostory a příslušné zařízení musí být navrženo tak, aby osoby, které je řádně používají, neutrpěly zranění při běžném nebo nouzovém rozjezdu či zastavení nebo během manévrování při běžné plavbě a v případě poruchy nebo nesprávného ovládání.</w:t>
      </w:r>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br w:type="page"/>
      </w:r>
    </w:p>
    <w:p w:rsidR="00E82B25" w:rsidRPr="003B6E11" w:rsidRDefault="00E82B25" w:rsidP="00E82B25">
      <w:pPr>
        <w:pStyle w:val="ESch"/>
        <w:rPr>
          <w:noProof/>
          <w:szCs w:val="20"/>
          <w:lang w:val="cs-CZ"/>
        </w:rPr>
      </w:pPr>
      <w:r w:rsidRPr="003B6E11">
        <w:rPr>
          <w:lang w:val="cs-CZ"/>
        </w:rPr>
        <w:t>2.</w:t>
      </w:r>
      <w:r w:rsidRPr="003B6E11">
        <w:rPr>
          <w:lang w:val="cs-CZ"/>
        </w:rPr>
        <w:tab/>
        <w:t>Komunikace</w:t>
      </w:r>
    </w:p>
    <w:p w:rsidR="00E82B25" w:rsidRPr="003B6E11" w:rsidRDefault="00E82B25" w:rsidP="00E82B25">
      <w:pPr>
        <w:pStyle w:val="ESlet"/>
        <w:rPr>
          <w:noProof/>
          <w:lang w:val="cs-CZ"/>
        </w:rPr>
      </w:pPr>
      <w:r w:rsidRPr="003B6E11">
        <w:rPr>
          <w:lang w:val="cs-CZ"/>
        </w:rPr>
        <w:t>a)</w:t>
      </w:r>
      <w:r w:rsidRPr="003B6E11">
        <w:rPr>
          <w:lang w:val="cs-CZ"/>
        </w:rPr>
        <w:tab/>
        <w:t>k informování cestujících o bezpečnostních opatřeních musí být všechny osobní lodě vybaveny vizuálními a akustickými zařízeními, která mohou vidět a slyšet všichni cestující na palubě;</w:t>
      </w:r>
    </w:p>
    <w:p w:rsidR="00E82B25" w:rsidRPr="003B6E11" w:rsidRDefault="00E82B25" w:rsidP="00E82B25">
      <w:pPr>
        <w:pStyle w:val="ESlet"/>
        <w:rPr>
          <w:noProof/>
          <w:lang w:val="cs-CZ"/>
        </w:rPr>
      </w:pPr>
      <w:r w:rsidRPr="003B6E11">
        <w:rPr>
          <w:lang w:val="cs-CZ"/>
        </w:rPr>
        <w:t>b)</w:t>
      </w:r>
      <w:r w:rsidRPr="003B6E11">
        <w:rPr>
          <w:lang w:val="cs-CZ"/>
        </w:rPr>
        <w:tab/>
        <w:t>zařízení popsaná v písmenu a) musí vůdci plavidla umožňovat vydávání pokynů cestujícím;</w:t>
      </w:r>
    </w:p>
    <w:p w:rsidR="00E82B25" w:rsidRPr="003B6E11" w:rsidRDefault="00E82B25" w:rsidP="00E82B25">
      <w:pPr>
        <w:pStyle w:val="ESlet"/>
        <w:rPr>
          <w:noProof/>
          <w:lang w:val="cs-CZ"/>
        </w:rPr>
      </w:pPr>
      <w:r w:rsidRPr="003B6E11">
        <w:rPr>
          <w:lang w:val="cs-CZ"/>
        </w:rPr>
        <w:t>c)</w:t>
      </w:r>
      <w:r w:rsidRPr="003B6E11">
        <w:rPr>
          <w:lang w:val="cs-CZ"/>
        </w:rPr>
        <w:tab/>
        <w:t>všichni cestující mají v blízkostí svých sedadel k dispozici pokyny pro případ nouzové situace, včetně plánu plavidla s označením všech východů, únikových tras, nouzového zařízení, záchranných prostředků a návodu k použití záchranné vesty.</w:t>
      </w:r>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p>
    <w:p w:rsidR="00E82B25" w:rsidRPr="003B6E11" w:rsidRDefault="00E82B25" w:rsidP="00E82B25">
      <w:pPr>
        <w:pStyle w:val="ES-Titre3"/>
        <w:rPr>
          <w:i/>
          <w:noProof/>
          <w:lang w:val="cs-CZ"/>
        </w:rPr>
      </w:pPr>
      <w:bookmarkStart w:id="520" w:name="_Toc491854257"/>
      <w:bookmarkStart w:id="521" w:name="_Toc535417163"/>
      <w:r w:rsidRPr="003B6E11">
        <w:rPr>
          <w:lang w:val="cs-CZ"/>
        </w:rPr>
        <w:t>Článek 29.09</w:t>
      </w:r>
      <w:r w:rsidRPr="003B6E11">
        <w:rPr>
          <w:lang w:val="cs-CZ"/>
        </w:rPr>
        <w:br/>
      </w:r>
      <w:r w:rsidRPr="003B6E11">
        <w:rPr>
          <w:i/>
          <w:noProof/>
          <w:lang w:val="cs-CZ"/>
        </w:rPr>
        <w:t>Východy a únikové cesty</w:t>
      </w:r>
      <w:bookmarkEnd w:id="520"/>
      <w:bookmarkEnd w:id="521"/>
    </w:p>
    <w:p w:rsidR="00E82B25" w:rsidRPr="003B6E11" w:rsidRDefault="00E82B25" w:rsidP="00E82B25">
      <w:pPr>
        <w:pStyle w:val="ESch"/>
        <w:rPr>
          <w:noProof/>
          <w:szCs w:val="20"/>
          <w:lang w:val="cs-CZ"/>
        </w:rPr>
      </w:pPr>
    </w:p>
    <w:p w:rsidR="00E82B25" w:rsidRPr="003B6E11" w:rsidRDefault="00E82B25" w:rsidP="00E82B25">
      <w:pPr>
        <w:pStyle w:val="ESgauche"/>
        <w:rPr>
          <w:lang w:val="cs-CZ"/>
        </w:rPr>
      </w:pPr>
      <w:r w:rsidRPr="003B6E11">
        <w:rPr>
          <w:lang w:val="cs-CZ"/>
        </w:rPr>
        <w:t>Východy a únikové cesty musí splňovat tyto požadavky:</w:t>
      </w:r>
    </w:p>
    <w:p w:rsidR="00E82B25" w:rsidRPr="003B6E11" w:rsidRDefault="00E82B25" w:rsidP="00E82B25">
      <w:pPr>
        <w:pStyle w:val="ESletgauche"/>
        <w:rPr>
          <w:noProof/>
          <w:lang w:val="cs-CZ"/>
        </w:rPr>
      </w:pPr>
      <w:r w:rsidRPr="003B6E11">
        <w:rPr>
          <w:lang w:val="cs-CZ"/>
        </w:rPr>
        <w:t>a)</w:t>
      </w:r>
      <w:r w:rsidRPr="003B6E11">
        <w:rPr>
          <w:lang w:val="cs-CZ"/>
        </w:rPr>
        <w:tab/>
        <w:t>musí být zajištěn snadný, bezpečný a rychlý přístup z ovládacího stanoviště do místností a obytných prostorů, do nichž mají přístup cestující;</w:t>
      </w:r>
    </w:p>
    <w:p w:rsidR="00E82B25" w:rsidRPr="003B6E11" w:rsidRDefault="00E82B25" w:rsidP="00E82B25">
      <w:pPr>
        <w:pStyle w:val="ESletgauche"/>
        <w:rPr>
          <w:noProof/>
          <w:lang w:val="cs-CZ"/>
        </w:rPr>
      </w:pPr>
      <w:r w:rsidRPr="003B6E11">
        <w:rPr>
          <w:lang w:val="cs-CZ"/>
        </w:rPr>
        <w:t>b)</w:t>
      </w:r>
      <w:r w:rsidRPr="003B6E11">
        <w:rPr>
          <w:lang w:val="cs-CZ"/>
        </w:rPr>
        <w:tab/>
        <w:t>únikové cesty vedoucí k nouzovým východům musí být zřetelně a trvanlivě označeny;</w:t>
      </w:r>
    </w:p>
    <w:p w:rsidR="00E82B25" w:rsidRPr="003B6E11" w:rsidRDefault="00E82B25" w:rsidP="00E82B25">
      <w:pPr>
        <w:pStyle w:val="ESletgauche"/>
        <w:rPr>
          <w:noProof/>
          <w:lang w:val="cs-CZ"/>
        </w:rPr>
      </w:pPr>
      <w:r w:rsidRPr="003B6E11">
        <w:rPr>
          <w:lang w:val="cs-CZ"/>
        </w:rPr>
        <w:t>c)</w:t>
      </w:r>
      <w:r w:rsidRPr="003B6E11">
        <w:rPr>
          <w:lang w:val="cs-CZ"/>
        </w:rPr>
        <w:tab/>
        <w:t>všechny východy musí být řádně označeny. Fungování otevíracího mechanismu musí být zřejmé zvenku i zevnitř;</w:t>
      </w:r>
    </w:p>
    <w:p w:rsidR="00E82B25" w:rsidRPr="003B6E11" w:rsidRDefault="00E82B25" w:rsidP="00E82B25">
      <w:pPr>
        <w:pStyle w:val="ESletgauche"/>
        <w:rPr>
          <w:noProof/>
          <w:lang w:val="cs-CZ"/>
        </w:rPr>
      </w:pPr>
      <w:r w:rsidRPr="003B6E11">
        <w:rPr>
          <w:lang w:val="cs-CZ"/>
        </w:rPr>
        <w:t>d)</w:t>
      </w:r>
      <w:r w:rsidRPr="003B6E11">
        <w:rPr>
          <w:lang w:val="cs-CZ"/>
        </w:rPr>
        <w:tab/>
        <w:t>únikové cesty a nouzové východy musí mít vhodný bezpečnostní naváděcí systém;</w:t>
      </w:r>
    </w:p>
    <w:p w:rsidR="00E82B25" w:rsidRPr="003B6E11" w:rsidRDefault="00E82B25" w:rsidP="00E82B25">
      <w:pPr>
        <w:pStyle w:val="ESletgauche"/>
        <w:rPr>
          <w:noProof/>
          <w:lang w:val="cs-CZ"/>
        </w:rPr>
      </w:pPr>
      <w:r w:rsidRPr="003B6E11">
        <w:rPr>
          <w:lang w:val="cs-CZ"/>
        </w:rPr>
        <w:t>e)</w:t>
      </w:r>
      <w:r w:rsidRPr="003B6E11">
        <w:rPr>
          <w:lang w:val="cs-CZ"/>
        </w:rPr>
        <w:tab/>
        <w:t>vedle východů musí být ponechán dostatečný prostor pro člena posádky.</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Titre3"/>
        <w:rPr>
          <w:i/>
          <w:noProof/>
          <w:lang w:val="cs-CZ"/>
        </w:rPr>
      </w:pPr>
      <w:bookmarkStart w:id="522" w:name="_Toc491854258"/>
      <w:bookmarkStart w:id="523" w:name="_Toc535417164"/>
      <w:r w:rsidRPr="003B6E11">
        <w:rPr>
          <w:lang w:val="cs-CZ"/>
        </w:rPr>
        <w:t>Článek 29.10</w:t>
      </w:r>
      <w:r w:rsidRPr="003B6E11">
        <w:rPr>
          <w:lang w:val="cs-CZ"/>
        </w:rPr>
        <w:br/>
      </w:r>
      <w:r w:rsidRPr="003B6E11">
        <w:rPr>
          <w:i/>
          <w:noProof/>
          <w:lang w:val="cs-CZ"/>
        </w:rPr>
        <w:t>Požární ochrana a hašení požáru</w:t>
      </w:r>
      <w:bookmarkEnd w:id="522"/>
      <w:bookmarkEnd w:id="523"/>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t>1.</w:t>
      </w:r>
      <w:r w:rsidRPr="003B6E11">
        <w:rPr>
          <w:lang w:val="cs-CZ"/>
        </w:rPr>
        <w:tab/>
        <w:t>Chodby, místnosti a obytné prostory, které jsou přístupné veřejnosti, a rovněž kuchyně a strojovny musí být napojeny na vhodný systém požárního poplachu. Požár a místo jeho výskytu se musí zobrazovat automaticky na stanovišti trvale obsazeném lodním personálem nebo členy posádky.</w:t>
      </w:r>
    </w:p>
    <w:p w:rsidR="00E82B25" w:rsidRPr="003B6E11" w:rsidRDefault="00E82B25" w:rsidP="00E82B25">
      <w:pPr>
        <w:pStyle w:val="ESch"/>
        <w:rPr>
          <w:noProof/>
          <w:szCs w:val="20"/>
          <w:lang w:val="cs-CZ"/>
        </w:rPr>
      </w:pPr>
    </w:p>
    <w:p w:rsidR="00E82B25" w:rsidRPr="003B6E11" w:rsidRDefault="00E82B25" w:rsidP="00E82B25">
      <w:pPr>
        <w:pStyle w:val="ESch"/>
        <w:rPr>
          <w:noProof/>
          <w:szCs w:val="20"/>
          <w:lang w:val="cs-CZ"/>
        </w:rPr>
      </w:pPr>
      <w:r w:rsidRPr="003B6E11">
        <w:rPr>
          <w:lang w:val="cs-CZ"/>
        </w:rPr>
        <w:t>2.</w:t>
      </w:r>
      <w:r w:rsidRPr="003B6E11">
        <w:rPr>
          <w:lang w:val="cs-CZ"/>
        </w:rPr>
        <w:tab/>
        <w:t>Strojovny musí být vybaveny pevně instalovaným hasicím systémem podle článku 13.05.</w:t>
      </w:r>
    </w:p>
    <w:p w:rsidR="00E82B25" w:rsidRPr="003B6E11" w:rsidRDefault="00E82B25" w:rsidP="00E82B25">
      <w:pPr>
        <w:pStyle w:val="ESch"/>
        <w:rPr>
          <w:noProof/>
          <w:szCs w:val="20"/>
          <w:lang w:val="cs-CZ"/>
        </w:rPr>
      </w:pPr>
    </w:p>
    <w:p w:rsidR="00E82B25" w:rsidRPr="003B6E11" w:rsidRDefault="00E82B25" w:rsidP="00E82B25">
      <w:pPr>
        <w:pStyle w:val="ESch"/>
        <w:rPr>
          <w:rFonts w:cs="Arial"/>
          <w:szCs w:val="20"/>
          <w:lang w:val="cs-CZ"/>
        </w:rPr>
      </w:pPr>
      <w:r w:rsidRPr="003B6E11">
        <w:rPr>
          <w:lang w:val="cs-CZ"/>
        </w:rPr>
        <w:t>3.</w:t>
      </w:r>
      <w:r w:rsidRPr="003B6E11">
        <w:rPr>
          <w:lang w:val="cs-CZ"/>
        </w:rPr>
        <w:tab/>
        <w:t>Místnosti a obytné prostory přístupné veřejnosti a jejich únikové cesty musí být vybaveny postřikovacím systémem s tlakovou vodou podle článku 13.04. Použitá voda se musí dát rychle odčerpat a odvést ven.</w:t>
      </w:r>
    </w:p>
    <w:p w:rsidR="00E82B25" w:rsidRPr="003B6E11" w:rsidRDefault="00E82B25" w:rsidP="00E82B25">
      <w:pPr>
        <w:pStyle w:val="ESch"/>
        <w:rPr>
          <w:rFonts w:cs="Arial"/>
          <w:szCs w:val="20"/>
          <w:lang w:val="cs-CZ"/>
        </w:rPr>
      </w:pPr>
    </w:p>
    <w:p w:rsidR="00E82B25" w:rsidRPr="003B6E11" w:rsidRDefault="00E82B25" w:rsidP="00E82B25">
      <w:pPr>
        <w:pStyle w:val="ESch"/>
        <w:rPr>
          <w:rFonts w:cs="Arial"/>
          <w:szCs w:val="20"/>
          <w:lang w:val="cs-CZ"/>
        </w:rPr>
      </w:pPr>
    </w:p>
    <w:p w:rsidR="00E82B25" w:rsidRPr="003B6E11" w:rsidRDefault="00E82B25" w:rsidP="00E82B25">
      <w:pPr>
        <w:pStyle w:val="ES-Titre2"/>
        <w:rPr>
          <w:szCs w:val="24"/>
        </w:rPr>
      </w:pPr>
      <w:bookmarkStart w:id="524" w:name="_Toc491854259"/>
      <w:bookmarkStart w:id="525" w:name="_Toc535417165"/>
      <w:r w:rsidRPr="003B6E11">
        <w:t>Kapitola 30</w:t>
      </w:r>
      <w:r w:rsidRPr="003B6E11">
        <w:br/>
        <w:t>Zvláštní ustanovení pro plavidla vybavená pohonnými nebo pomocnými systémy na palivo s bodem vzplanutí 55 °C nebo nižším</w:t>
      </w:r>
      <w:bookmarkEnd w:id="524"/>
      <w:bookmarkEnd w:id="525"/>
    </w:p>
    <w:p w:rsidR="00E82B25" w:rsidRPr="003B6E11" w:rsidRDefault="00E82B25" w:rsidP="00E82B25">
      <w:pPr>
        <w:pStyle w:val="ESgauche"/>
        <w:rPr>
          <w:lang w:val="cs-CZ"/>
        </w:rPr>
      </w:pPr>
    </w:p>
    <w:p w:rsidR="00E82B25" w:rsidRPr="003B6E11" w:rsidRDefault="00E82B25" w:rsidP="00E82B25">
      <w:pPr>
        <w:pStyle w:val="ES-Titre3"/>
        <w:rPr>
          <w:i/>
          <w:lang w:val="cs-CZ"/>
        </w:rPr>
      </w:pPr>
      <w:bookmarkStart w:id="526" w:name="_Toc491854260"/>
      <w:bookmarkStart w:id="527" w:name="_Toc535417166"/>
      <w:r w:rsidRPr="003B6E11">
        <w:rPr>
          <w:lang w:val="cs-CZ"/>
        </w:rPr>
        <w:t>Článek 30.01</w:t>
      </w:r>
      <w:r w:rsidRPr="003B6E11">
        <w:rPr>
          <w:lang w:val="cs-CZ"/>
        </w:rPr>
        <w:br/>
      </w:r>
      <w:r w:rsidRPr="003B6E11">
        <w:rPr>
          <w:i/>
          <w:lang w:val="cs-CZ"/>
        </w:rPr>
        <w:t>Obecně</w:t>
      </w:r>
      <w:bookmarkEnd w:id="526"/>
      <w:bookmarkEnd w:id="527"/>
    </w:p>
    <w:p w:rsidR="00E82B25" w:rsidRPr="003B6E11" w:rsidRDefault="00E82B25" w:rsidP="00E82B25">
      <w:pPr>
        <w:spacing w:line="240" w:lineRule="atLeast"/>
        <w:rPr>
          <w:rFonts w:cs="Arial"/>
          <w:color w:val="000000"/>
          <w:szCs w:val="20"/>
          <w:lang w:val="cs-CZ"/>
        </w:rPr>
      </w:pPr>
    </w:p>
    <w:p w:rsidR="00E82B25" w:rsidRPr="003B6E11" w:rsidRDefault="00E82B25" w:rsidP="00E82B25">
      <w:pPr>
        <w:pStyle w:val="ESch"/>
        <w:rPr>
          <w:lang w:val="cs-CZ"/>
        </w:rPr>
      </w:pPr>
      <w:r w:rsidRPr="003B6E11">
        <w:rPr>
          <w:lang w:val="cs-CZ"/>
        </w:rPr>
        <w:t>1.</w:t>
      </w:r>
      <w:r w:rsidRPr="003B6E11">
        <w:rPr>
          <w:lang w:val="cs-CZ"/>
        </w:rPr>
        <w:tab/>
        <w:t>Pro účely této kapitoly se „pohonnými a pomocnými systémy“ rozumí každý systém využívající palivo, včetně:</w:t>
      </w:r>
    </w:p>
    <w:p w:rsidR="00E82B25" w:rsidRPr="003B6E11" w:rsidRDefault="00E82B25" w:rsidP="00E82B25">
      <w:pPr>
        <w:pStyle w:val="ESlet"/>
        <w:rPr>
          <w:lang w:val="cs-CZ"/>
        </w:rPr>
      </w:pPr>
      <w:r w:rsidRPr="003B6E11">
        <w:rPr>
          <w:lang w:val="cs-CZ"/>
        </w:rPr>
        <w:t>a)</w:t>
      </w:r>
      <w:r w:rsidRPr="003B6E11">
        <w:rPr>
          <w:lang w:val="cs-CZ"/>
        </w:rPr>
        <w:tab/>
        <w:t>palivových nádrží a jejich přívodů;</w:t>
      </w:r>
    </w:p>
    <w:p w:rsidR="00E82B25" w:rsidRPr="003B6E11" w:rsidRDefault="00E82B25" w:rsidP="00E82B25">
      <w:pPr>
        <w:pStyle w:val="ESlet"/>
        <w:rPr>
          <w:lang w:val="cs-CZ"/>
        </w:rPr>
      </w:pPr>
      <w:r w:rsidRPr="003B6E11">
        <w:rPr>
          <w:lang w:val="cs-CZ"/>
        </w:rPr>
        <w:t>b)</w:t>
      </w:r>
      <w:r w:rsidRPr="003B6E11">
        <w:rPr>
          <w:lang w:val="cs-CZ"/>
        </w:rPr>
        <w:tab/>
        <w:t>systémů přípravy plynu;</w:t>
      </w:r>
    </w:p>
    <w:p w:rsidR="00E82B25" w:rsidRPr="003B6E11" w:rsidRDefault="00E82B25" w:rsidP="00E82B25">
      <w:pPr>
        <w:pStyle w:val="ESlet"/>
        <w:rPr>
          <w:lang w:val="cs-CZ"/>
        </w:rPr>
      </w:pPr>
      <w:r w:rsidRPr="003B6E11">
        <w:rPr>
          <w:lang w:val="cs-CZ"/>
        </w:rPr>
        <w:t>c)</w:t>
      </w:r>
      <w:r w:rsidRPr="003B6E11">
        <w:rPr>
          <w:lang w:val="cs-CZ"/>
        </w:rPr>
        <w:tab/>
        <w:t>potrubí a ventilů;</w:t>
      </w:r>
    </w:p>
    <w:p w:rsidR="00E82B25" w:rsidRPr="003B6E11" w:rsidRDefault="00E82B25" w:rsidP="00E82B25">
      <w:pPr>
        <w:pStyle w:val="ESlet"/>
        <w:rPr>
          <w:lang w:val="cs-CZ"/>
        </w:rPr>
      </w:pPr>
      <w:r w:rsidRPr="003B6E11">
        <w:rPr>
          <w:lang w:val="cs-CZ"/>
        </w:rPr>
        <w:t>d)</w:t>
      </w:r>
      <w:r w:rsidRPr="003B6E11">
        <w:rPr>
          <w:lang w:val="cs-CZ"/>
        </w:rPr>
        <w:tab/>
        <w:t>motorů a turbín;</w:t>
      </w:r>
    </w:p>
    <w:p w:rsidR="00E82B25" w:rsidRPr="003B6E11" w:rsidRDefault="00E82B25" w:rsidP="00E82B25">
      <w:pPr>
        <w:pStyle w:val="ESlet"/>
        <w:rPr>
          <w:lang w:val="cs-CZ"/>
        </w:rPr>
      </w:pPr>
      <w:r w:rsidRPr="003B6E11">
        <w:rPr>
          <w:lang w:val="cs-CZ"/>
        </w:rPr>
        <w:t>e)</w:t>
      </w:r>
      <w:r w:rsidRPr="003B6E11">
        <w:rPr>
          <w:lang w:val="cs-CZ"/>
        </w:rPr>
        <w:tab/>
        <w:t>řídicích, monitorovacích a bezpečnostních systémů.</w:t>
      </w:r>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t xml:space="preserve">2. </w:t>
      </w:r>
      <w:r w:rsidRPr="003B6E11">
        <w:rPr>
          <w:lang w:val="cs-CZ"/>
        </w:rPr>
        <w:tab/>
        <w:t xml:space="preserve">Odchylně od ustanovení čl. 8.01 odst. 3 a čl. 8.05 odst. 1, 6, 9, 11 a 12 a ustanovení kapitoly 9 mohou být pohonné a pomocné systémy na palivo s bodem vzplanutí 55 °C nebo nižším na plavidle instalovány za předpokladu, že jsou splněny požadavky na tato paliva stanovené v této kapitole a v příloze 8. </w:t>
      </w:r>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t>3.</w:t>
      </w:r>
      <w:r w:rsidRPr="003B6E11">
        <w:rPr>
          <w:lang w:val="cs-CZ"/>
        </w:rPr>
        <w:tab/>
        <w:t xml:space="preserve">Pohonné a pomocné systémy podle odstavce 2 musí být zkonstruovány a instalovány pod dozorem subjektu pověřeného prohlídkami. </w:t>
      </w:r>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t>4.</w:t>
      </w:r>
      <w:r w:rsidRPr="003B6E11">
        <w:rPr>
          <w:lang w:val="cs-CZ"/>
        </w:rPr>
        <w:tab/>
        <w:t xml:space="preserve">Orgán pověřený prohlídkami může v souladu s článkem 30.07 využít k plnění úkolů podle této kapitoly technickou zkušebnu. </w:t>
      </w:r>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t>5.</w:t>
      </w:r>
      <w:r w:rsidRPr="003B6E11">
        <w:rPr>
          <w:lang w:val="cs-CZ"/>
        </w:rPr>
        <w:tab/>
        <w:t>Před uvedením pohonného nebo pomocného systému do provozu podle odstavce 2 se subjektu pověřenému prohlídkami předloží tyto doklady:</w:t>
      </w:r>
    </w:p>
    <w:p w:rsidR="00E82B25" w:rsidRPr="003B6E11" w:rsidRDefault="00E82B25" w:rsidP="00E82B25">
      <w:pPr>
        <w:pStyle w:val="ESlet"/>
        <w:rPr>
          <w:lang w:val="cs-CZ"/>
        </w:rPr>
      </w:pPr>
      <w:r w:rsidRPr="003B6E11">
        <w:rPr>
          <w:lang w:val="cs-CZ"/>
        </w:rPr>
        <w:t>a)</w:t>
      </w:r>
      <w:r w:rsidRPr="003B6E11">
        <w:rPr>
          <w:lang w:val="cs-CZ"/>
        </w:rPr>
        <w:tab/>
        <w:t>posouzení rizik podle přílohy 8;</w:t>
      </w:r>
    </w:p>
    <w:p w:rsidR="00E82B25" w:rsidRPr="003B6E11" w:rsidRDefault="00E82B25" w:rsidP="00E82B25">
      <w:pPr>
        <w:pStyle w:val="ESlet"/>
        <w:rPr>
          <w:lang w:val="cs-CZ"/>
        </w:rPr>
      </w:pPr>
      <w:r w:rsidRPr="003B6E11">
        <w:rPr>
          <w:lang w:val="cs-CZ"/>
        </w:rPr>
        <w:t>b)</w:t>
      </w:r>
      <w:r w:rsidRPr="003B6E11">
        <w:rPr>
          <w:lang w:val="cs-CZ"/>
        </w:rPr>
        <w:tab/>
        <w:t>popis pohonného nebo pomocného systému;</w:t>
      </w:r>
    </w:p>
    <w:p w:rsidR="00E82B25" w:rsidRPr="003B6E11" w:rsidRDefault="00E82B25" w:rsidP="00E82B25">
      <w:pPr>
        <w:pStyle w:val="ESlet"/>
        <w:rPr>
          <w:lang w:val="cs-CZ"/>
        </w:rPr>
      </w:pPr>
      <w:r w:rsidRPr="003B6E11">
        <w:rPr>
          <w:lang w:val="cs-CZ"/>
        </w:rPr>
        <w:t>c)</w:t>
      </w:r>
      <w:r w:rsidRPr="003B6E11">
        <w:rPr>
          <w:lang w:val="cs-CZ"/>
        </w:rPr>
        <w:tab/>
        <w:t>výkresy pohonného nebo pomocného systému;</w:t>
      </w:r>
    </w:p>
    <w:p w:rsidR="00E82B25" w:rsidRPr="003B6E11" w:rsidRDefault="00E82B25" w:rsidP="00E82B25">
      <w:pPr>
        <w:pStyle w:val="ESlet"/>
        <w:rPr>
          <w:lang w:val="cs-CZ"/>
        </w:rPr>
      </w:pPr>
      <w:r w:rsidRPr="003B6E11">
        <w:rPr>
          <w:lang w:val="cs-CZ"/>
        </w:rPr>
        <w:t>d)</w:t>
      </w:r>
      <w:r w:rsidRPr="003B6E11">
        <w:rPr>
          <w:lang w:val="cs-CZ"/>
        </w:rPr>
        <w:tab/>
        <w:t>schéma tlaku a teploty v systému;</w:t>
      </w:r>
    </w:p>
    <w:p w:rsidR="00E82B25" w:rsidRPr="003B6E11" w:rsidRDefault="00E82B25" w:rsidP="00E82B25">
      <w:pPr>
        <w:pStyle w:val="ESlet"/>
        <w:rPr>
          <w:lang w:val="cs-CZ"/>
        </w:rPr>
      </w:pPr>
      <w:r w:rsidRPr="003B6E11">
        <w:rPr>
          <w:lang w:val="cs-CZ"/>
        </w:rPr>
        <w:t>e)</w:t>
      </w:r>
      <w:r w:rsidRPr="003B6E11">
        <w:rPr>
          <w:lang w:val="cs-CZ"/>
        </w:rPr>
        <w:tab/>
        <w:t>provozní příručka obsahující všechny platné postupy k praktickému používání systému;</w:t>
      </w:r>
    </w:p>
    <w:p w:rsidR="00E82B25" w:rsidRPr="003B6E11" w:rsidRDefault="00E82B25" w:rsidP="00E82B25">
      <w:pPr>
        <w:pStyle w:val="ESlet"/>
        <w:rPr>
          <w:lang w:val="cs-CZ"/>
        </w:rPr>
      </w:pPr>
      <w:r w:rsidRPr="003B6E11">
        <w:rPr>
          <w:lang w:val="cs-CZ"/>
        </w:rPr>
        <w:t>f)</w:t>
      </w:r>
      <w:r w:rsidRPr="003B6E11">
        <w:rPr>
          <w:lang w:val="cs-CZ"/>
        </w:rPr>
        <w:tab/>
        <w:t>bezpečnostní rozpis podle článku 30.03;</w:t>
      </w:r>
    </w:p>
    <w:p w:rsidR="00E82B25" w:rsidRPr="003B6E11" w:rsidRDefault="00E82B25" w:rsidP="00E82B25">
      <w:pPr>
        <w:pStyle w:val="ESlet"/>
        <w:rPr>
          <w:lang w:val="cs-CZ"/>
        </w:rPr>
      </w:pPr>
      <w:r w:rsidRPr="003B6E11">
        <w:rPr>
          <w:lang w:val="cs-CZ"/>
        </w:rPr>
        <w:t>g)</w:t>
      </w:r>
      <w:r w:rsidRPr="003B6E11">
        <w:rPr>
          <w:lang w:val="cs-CZ"/>
        </w:rPr>
        <w:tab/>
        <w:t>kopie osvědčení o inspekci podle čl. 30.02 odst. 4.</w:t>
      </w:r>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t>6.</w:t>
      </w:r>
      <w:r w:rsidRPr="003B6E11">
        <w:rPr>
          <w:lang w:val="cs-CZ"/>
        </w:rPr>
        <w:tab/>
        <w:t>Na palubě musí být kopie dokladů uvedených v odstavci 5.</w:t>
      </w:r>
    </w:p>
    <w:p w:rsidR="00E82B25" w:rsidRPr="003B6E11" w:rsidRDefault="00E82B25" w:rsidP="00E82B25">
      <w:pPr>
        <w:pStyle w:val="ESch"/>
        <w:rPr>
          <w:b/>
          <w:lang w:val="cs-CZ"/>
        </w:rPr>
      </w:pPr>
      <w:r w:rsidRPr="003B6E11">
        <w:rPr>
          <w:lang w:val="cs-CZ"/>
        </w:rPr>
        <w:br w:type="page"/>
      </w:r>
    </w:p>
    <w:p w:rsidR="00E82B25" w:rsidRPr="003B6E11" w:rsidRDefault="00E82B25" w:rsidP="00E82B25">
      <w:pPr>
        <w:pStyle w:val="ES-Titre3"/>
        <w:rPr>
          <w:i/>
          <w:lang w:val="cs-CZ"/>
        </w:rPr>
      </w:pPr>
      <w:bookmarkStart w:id="528" w:name="_Toc491854261"/>
      <w:bookmarkStart w:id="529" w:name="_Toc535417167"/>
      <w:r w:rsidRPr="003B6E11">
        <w:rPr>
          <w:lang w:val="cs-CZ"/>
        </w:rPr>
        <w:t>Článek 30.02</w:t>
      </w:r>
      <w:r w:rsidRPr="003B6E11">
        <w:rPr>
          <w:lang w:val="cs-CZ"/>
        </w:rPr>
        <w:br/>
      </w:r>
      <w:r w:rsidRPr="003B6E11">
        <w:rPr>
          <w:i/>
          <w:lang w:val="cs-CZ"/>
        </w:rPr>
        <w:t>Zkoušky</w:t>
      </w:r>
      <w:bookmarkEnd w:id="528"/>
      <w:bookmarkEnd w:id="529"/>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t>1.</w:t>
      </w:r>
      <w:r w:rsidRPr="003B6E11">
        <w:rPr>
          <w:lang w:val="cs-CZ"/>
        </w:rPr>
        <w:tab/>
        <w:t xml:space="preserve">Orgán pověřený prohlídkami zkontroluje pohonné a pomocné systémy na palivo s bodem vzplanutí 55 °C nebo nižším: </w:t>
      </w:r>
    </w:p>
    <w:p w:rsidR="00E82B25" w:rsidRPr="003B6E11" w:rsidRDefault="00E82B25" w:rsidP="00E82B25">
      <w:pPr>
        <w:pStyle w:val="ESlet"/>
        <w:rPr>
          <w:lang w:val="cs-CZ"/>
        </w:rPr>
      </w:pPr>
      <w:r w:rsidRPr="003B6E11">
        <w:rPr>
          <w:lang w:val="cs-CZ"/>
        </w:rPr>
        <w:t>a)</w:t>
      </w:r>
      <w:r w:rsidRPr="003B6E11">
        <w:rPr>
          <w:lang w:val="cs-CZ"/>
        </w:rPr>
        <w:tab/>
        <w:t>před uvedením do provozu;</w:t>
      </w:r>
    </w:p>
    <w:p w:rsidR="00E82B25" w:rsidRPr="003B6E11" w:rsidRDefault="00E82B25" w:rsidP="00E82B25">
      <w:pPr>
        <w:pStyle w:val="ESlet"/>
        <w:rPr>
          <w:lang w:val="cs-CZ"/>
        </w:rPr>
      </w:pPr>
      <w:r w:rsidRPr="003B6E11">
        <w:rPr>
          <w:lang w:val="cs-CZ"/>
        </w:rPr>
        <w:t>b)</w:t>
      </w:r>
      <w:r w:rsidRPr="003B6E11">
        <w:rPr>
          <w:lang w:val="cs-CZ"/>
        </w:rPr>
        <w:tab/>
        <w:t>po veškerých úpravách nebo opravách;</w:t>
      </w:r>
    </w:p>
    <w:p w:rsidR="00E82B25" w:rsidRPr="003B6E11" w:rsidRDefault="00E82B25" w:rsidP="00E82B25">
      <w:pPr>
        <w:pStyle w:val="ESlet"/>
        <w:rPr>
          <w:lang w:val="cs-CZ"/>
        </w:rPr>
      </w:pPr>
      <w:r w:rsidRPr="003B6E11">
        <w:rPr>
          <w:lang w:val="cs-CZ"/>
        </w:rPr>
        <w:t>c)</w:t>
      </w:r>
      <w:r w:rsidRPr="003B6E11">
        <w:rPr>
          <w:lang w:val="cs-CZ"/>
        </w:rPr>
        <w:tab/>
        <w:t>pravidelně, nejméně jednou ročně.</w:t>
      </w:r>
    </w:p>
    <w:p w:rsidR="00E82B25" w:rsidRPr="003B6E11" w:rsidRDefault="00E82B25" w:rsidP="00E82B25">
      <w:pPr>
        <w:pStyle w:val="ESchpar"/>
        <w:rPr>
          <w:lang w:val="cs-CZ"/>
        </w:rPr>
      </w:pPr>
    </w:p>
    <w:p w:rsidR="00E82B25" w:rsidRPr="003B6E11" w:rsidRDefault="00E82B25" w:rsidP="00E82B25">
      <w:pPr>
        <w:pStyle w:val="ESchpar"/>
        <w:rPr>
          <w:lang w:val="cs-CZ"/>
        </w:rPr>
      </w:pPr>
      <w:r w:rsidRPr="003B6E11">
        <w:rPr>
          <w:lang w:val="cs-CZ"/>
        </w:rPr>
        <w:t>Při tomto postupu se přihlédne k příslušným pokynům výrobců.</w:t>
      </w:r>
    </w:p>
    <w:p w:rsidR="00E82B25" w:rsidRPr="003B6E11" w:rsidRDefault="00E82B25" w:rsidP="00E82B25">
      <w:pPr>
        <w:pStyle w:val="ESchpar"/>
        <w:rPr>
          <w:lang w:val="cs-CZ"/>
        </w:rPr>
      </w:pPr>
    </w:p>
    <w:p w:rsidR="00E82B25" w:rsidRPr="003B6E11" w:rsidRDefault="00E82B25" w:rsidP="00E82B25">
      <w:pPr>
        <w:pStyle w:val="ESch"/>
        <w:rPr>
          <w:lang w:val="cs-CZ"/>
        </w:rPr>
      </w:pPr>
      <w:r w:rsidRPr="003B6E11">
        <w:rPr>
          <w:lang w:val="cs-CZ"/>
        </w:rPr>
        <w:t>2.</w:t>
      </w:r>
      <w:r w:rsidRPr="003B6E11">
        <w:rPr>
          <w:lang w:val="cs-CZ"/>
        </w:rPr>
        <w:tab/>
        <w:t>Kontroly uvedené v odst. 1 písm. a) a c) musí zahrnovat alespoň:</w:t>
      </w:r>
    </w:p>
    <w:p w:rsidR="00E82B25" w:rsidRPr="003B6E11" w:rsidRDefault="00E82B25" w:rsidP="00E82B25">
      <w:pPr>
        <w:pStyle w:val="ESlet"/>
        <w:rPr>
          <w:lang w:val="cs-CZ"/>
        </w:rPr>
      </w:pPr>
      <w:r w:rsidRPr="003B6E11">
        <w:rPr>
          <w:lang w:val="cs-CZ"/>
        </w:rPr>
        <w:t>a)</w:t>
      </w:r>
      <w:r w:rsidRPr="003B6E11">
        <w:rPr>
          <w:lang w:val="cs-CZ"/>
        </w:rPr>
        <w:tab/>
        <w:t>kontrolu souladu pohonných a pomocných systémů se schválenými výkresy a v případě následných kontrol rovněž toho, zda byly provedeny změny pohonného nebo pomocného systému;</w:t>
      </w:r>
    </w:p>
    <w:p w:rsidR="00E82B25" w:rsidRPr="003B6E11" w:rsidRDefault="00E82B25" w:rsidP="00E82B25">
      <w:pPr>
        <w:pStyle w:val="ESlet"/>
        <w:rPr>
          <w:lang w:val="cs-CZ"/>
        </w:rPr>
      </w:pPr>
      <w:r w:rsidRPr="003B6E11">
        <w:rPr>
          <w:lang w:val="cs-CZ"/>
        </w:rPr>
        <w:t>b)</w:t>
      </w:r>
      <w:r w:rsidRPr="003B6E11">
        <w:rPr>
          <w:lang w:val="cs-CZ"/>
        </w:rPr>
        <w:tab/>
        <w:t>v případě potřeby funkční zkoušku pohonných a pomocných systémů za všech provozních podmínek;</w:t>
      </w:r>
    </w:p>
    <w:p w:rsidR="00E82B25" w:rsidRPr="003B6E11" w:rsidRDefault="00E82B25" w:rsidP="00E82B25">
      <w:pPr>
        <w:pStyle w:val="ESlet"/>
        <w:rPr>
          <w:lang w:val="cs-CZ"/>
        </w:rPr>
      </w:pPr>
      <w:r w:rsidRPr="003B6E11">
        <w:rPr>
          <w:lang w:val="cs-CZ"/>
        </w:rPr>
        <w:t>c)</w:t>
      </w:r>
      <w:r w:rsidRPr="003B6E11">
        <w:rPr>
          <w:lang w:val="cs-CZ"/>
        </w:rPr>
        <w:tab/>
        <w:t>vizuální kontrolu a zkoušku těsnosti všech konstrukčních prvků systému, zejména ventilů, potrubí, hadic, pístů, čerpadel a filtrů;</w:t>
      </w:r>
    </w:p>
    <w:p w:rsidR="00E82B25" w:rsidRPr="003B6E11" w:rsidRDefault="00E82B25" w:rsidP="00E82B25">
      <w:pPr>
        <w:pStyle w:val="ESlet"/>
        <w:rPr>
          <w:lang w:val="cs-CZ"/>
        </w:rPr>
      </w:pPr>
      <w:r w:rsidRPr="003B6E11">
        <w:rPr>
          <w:lang w:val="cs-CZ"/>
        </w:rPr>
        <w:t>d)</w:t>
      </w:r>
      <w:r w:rsidRPr="003B6E11">
        <w:rPr>
          <w:lang w:val="cs-CZ"/>
        </w:rPr>
        <w:tab/>
        <w:t>vizuální kontrolu elektrických a elektronických přístrojů daného zařízení;</w:t>
      </w:r>
    </w:p>
    <w:p w:rsidR="00E82B25" w:rsidRPr="003B6E11" w:rsidRDefault="00E82B25" w:rsidP="00E82B25">
      <w:pPr>
        <w:pStyle w:val="ESlet"/>
        <w:rPr>
          <w:lang w:val="cs-CZ"/>
        </w:rPr>
      </w:pPr>
      <w:r w:rsidRPr="003B6E11">
        <w:rPr>
          <w:lang w:val="cs-CZ"/>
        </w:rPr>
        <w:t>e)</w:t>
      </w:r>
      <w:r w:rsidRPr="003B6E11">
        <w:rPr>
          <w:lang w:val="cs-CZ"/>
        </w:rPr>
        <w:tab/>
        <w:t>kontrolu řídicích, monitorovacích a bezpečnostních systémů.</w:t>
      </w:r>
    </w:p>
    <w:p w:rsidR="00E82B25" w:rsidRPr="003B6E11" w:rsidRDefault="00E82B25" w:rsidP="00E82B25">
      <w:pPr>
        <w:pStyle w:val="ESch"/>
        <w:rPr>
          <w:lang w:val="cs-CZ"/>
        </w:rPr>
      </w:pPr>
    </w:p>
    <w:p w:rsidR="00E82B25" w:rsidRPr="003B6E11" w:rsidRDefault="00E82B25" w:rsidP="00E82B25">
      <w:pPr>
        <w:pStyle w:val="ESch"/>
        <w:rPr>
          <w:spacing w:val="-2"/>
          <w:lang w:val="cs-CZ"/>
        </w:rPr>
      </w:pPr>
      <w:r w:rsidRPr="003B6E11">
        <w:rPr>
          <w:lang w:val="cs-CZ"/>
        </w:rPr>
        <w:t>3.</w:t>
      </w:r>
      <w:r w:rsidRPr="003B6E11">
        <w:rPr>
          <w:lang w:val="cs-CZ"/>
        </w:rPr>
        <w:tab/>
        <w:t>Kontroly uvedené v odst. 1 písm. b) zahrnují dotčené části odstavce 2.</w:t>
      </w:r>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t>4.</w:t>
      </w:r>
      <w:r w:rsidRPr="003B6E11">
        <w:rPr>
          <w:lang w:val="cs-CZ"/>
        </w:rPr>
        <w:tab/>
        <w:t>U každé kontroly podle odstavce 1 se vydá potvrzení o kontrole s uvedením data kontroly.</w:t>
      </w: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Titre3"/>
        <w:rPr>
          <w:i/>
          <w:lang w:val="cs-CZ"/>
        </w:rPr>
      </w:pPr>
      <w:bookmarkStart w:id="530" w:name="_Toc491854262"/>
      <w:bookmarkStart w:id="531" w:name="_Toc535417168"/>
      <w:r w:rsidRPr="003B6E11">
        <w:rPr>
          <w:lang w:val="cs-CZ"/>
        </w:rPr>
        <w:t>Článek 30.03</w:t>
      </w:r>
      <w:r w:rsidRPr="003B6E11">
        <w:rPr>
          <w:lang w:val="cs-CZ"/>
        </w:rPr>
        <w:br/>
      </w:r>
      <w:r w:rsidRPr="003B6E11">
        <w:rPr>
          <w:i/>
          <w:lang w:val="cs-CZ"/>
        </w:rPr>
        <w:t>Zajištění bezpečnosti</w:t>
      </w:r>
      <w:bookmarkEnd w:id="530"/>
      <w:bookmarkEnd w:id="531"/>
    </w:p>
    <w:p w:rsidR="00E82B25" w:rsidRPr="003B6E11" w:rsidRDefault="00E82B25" w:rsidP="00E82B25">
      <w:pPr>
        <w:pStyle w:val="ESch"/>
        <w:rPr>
          <w:lang w:val="cs-CZ"/>
        </w:rPr>
      </w:pPr>
    </w:p>
    <w:p w:rsidR="00E82B25" w:rsidRPr="003B6E11" w:rsidRDefault="00E82B25" w:rsidP="00E82B25">
      <w:pPr>
        <w:pStyle w:val="ESch"/>
        <w:rPr>
          <w:color w:val="000000"/>
          <w:lang w:val="cs-CZ"/>
        </w:rPr>
      </w:pPr>
      <w:r w:rsidRPr="003B6E11">
        <w:rPr>
          <w:color w:val="000000"/>
          <w:lang w:val="cs-CZ"/>
        </w:rPr>
        <w:t>1.</w:t>
      </w:r>
      <w:r w:rsidRPr="003B6E11">
        <w:rPr>
          <w:lang w:val="cs-CZ"/>
        </w:rPr>
        <w:tab/>
      </w:r>
      <w:r w:rsidRPr="003B6E11">
        <w:rPr>
          <w:color w:val="000000"/>
          <w:lang w:val="cs-CZ"/>
        </w:rPr>
        <w:t>Na palubě plavidla vybaveného pohonnými nebo pomocnými systémy na palivo s bodem vzplanutí 55 °C nebo nižším musí být bezpečnostní rozpis. Musí obsahovat bezpečnostní pokyny podle odstavce 2 a bezpečnostní plán plavidla podle odstavce 3.</w:t>
      </w:r>
    </w:p>
    <w:p w:rsidR="00E82B25" w:rsidRPr="003B6E11" w:rsidRDefault="00E82B25" w:rsidP="00E82B25">
      <w:pPr>
        <w:pStyle w:val="ESch"/>
        <w:rPr>
          <w:color w:val="000000"/>
          <w:lang w:val="cs-CZ"/>
        </w:rPr>
      </w:pPr>
    </w:p>
    <w:p w:rsidR="00E82B25" w:rsidRPr="003B6E11" w:rsidRDefault="00E82B25" w:rsidP="00E82B25">
      <w:pPr>
        <w:pStyle w:val="ESch"/>
        <w:rPr>
          <w:lang w:val="cs-CZ"/>
        </w:rPr>
      </w:pPr>
      <w:r w:rsidRPr="003B6E11">
        <w:rPr>
          <w:color w:val="000000"/>
          <w:lang w:val="cs-CZ"/>
        </w:rPr>
        <w:t>2.</w:t>
      </w:r>
      <w:r w:rsidRPr="003B6E11">
        <w:rPr>
          <w:lang w:val="cs-CZ"/>
        </w:rPr>
        <w:tab/>
        <w:t>V bezpečnostních pokynech musí být uvedeny alespoň tyto informace:</w:t>
      </w:r>
    </w:p>
    <w:p w:rsidR="00E82B25" w:rsidRPr="003B6E11" w:rsidRDefault="00E82B25" w:rsidP="00E82B25">
      <w:pPr>
        <w:pStyle w:val="ESlet"/>
        <w:rPr>
          <w:lang w:val="cs-CZ"/>
        </w:rPr>
      </w:pPr>
      <w:r w:rsidRPr="003B6E11">
        <w:rPr>
          <w:lang w:val="cs-CZ"/>
        </w:rPr>
        <w:t>a)</w:t>
      </w:r>
      <w:r w:rsidRPr="003B6E11">
        <w:rPr>
          <w:lang w:val="cs-CZ"/>
        </w:rPr>
        <w:tab/>
        <w:t xml:space="preserve">nouzové vypnutí systému; </w:t>
      </w:r>
    </w:p>
    <w:p w:rsidR="00E82B25" w:rsidRPr="003B6E11" w:rsidRDefault="00E82B25" w:rsidP="00E82B25">
      <w:pPr>
        <w:pStyle w:val="ESlet"/>
        <w:rPr>
          <w:lang w:val="cs-CZ"/>
        </w:rPr>
      </w:pPr>
      <w:r w:rsidRPr="003B6E11">
        <w:rPr>
          <w:lang w:val="cs-CZ"/>
        </w:rPr>
        <w:t>b)</w:t>
      </w:r>
      <w:r w:rsidRPr="003B6E11">
        <w:rPr>
          <w:lang w:val="cs-CZ"/>
        </w:rPr>
        <w:tab/>
        <w:t xml:space="preserve">opatření v případě náhodného úniku kapalného nebo plynného paliva, například při doplňování paliva; </w:t>
      </w:r>
    </w:p>
    <w:p w:rsidR="00E82B25" w:rsidRPr="003B6E11" w:rsidRDefault="00E82B25" w:rsidP="00E82B25">
      <w:pPr>
        <w:pStyle w:val="ESlet"/>
        <w:rPr>
          <w:lang w:val="cs-CZ"/>
        </w:rPr>
      </w:pPr>
      <w:r w:rsidRPr="003B6E11">
        <w:rPr>
          <w:lang w:val="cs-CZ"/>
        </w:rPr>
        <w:t>c)</w:t>
      </w:r>
      <w:r w:rsidRPr="003B6E11">
        <w:rPr>
          <w:lang w:val="cs-CZ"/>
        </w:rPr>
        <w:tab/>
        <w:t>opatření v případě požáru nebo jiných incidentů na palubě;</w:t>
      </w:r>
    </w:p>
    <w:p w:rsidR="00E82B25" w:rsidRPr="003B6E11" w:rsidRDefault="00E82B25" w:rsidP="00E82B25">
      <w:pPr>
        <w:pStyle w:val="ESlet"/>
        <w:rPr>
          <w:lang w:val="cs-CZ"/>
        </w:rPr>
      </w:pPr>
      <w:r w:rsidRPr="003B6E11">
        <w:rPr>
          <w:lang w:val="cs-CZ"/>
        </w:rPr>
        <w:t>d)</w:t>
      </w:r>
      <w:r w:rsidRPr="003B6E11">
        <w:rPr>
          <w:lang w:val="cs-CZ"/>
        </w:rPr>
        <w:tab/>
        <w:t>opatření v případě kolize;</w:t>
      </w:r>
    </w:p>
    <w:p w:rsidR="00E82B25" w:rsidRPr="003B6E11" w:rsidRDefault="00E82B25" w:rsidP="00E82B25">
      <w:pPr>
        <w:pStyle w:val="ESlet"/>
        <w:rPr>
          <w:lang w:val="cs-CZ"/>
        </w:rPr>
      </w:pPr>
      <w:r w:rsidRPr="003B6E11">
        <w:rPr>
          <w:lang w:val="cs-CZ"/>
        </w:rPr>
        <w:t>e)</w:t>
      </w:r>
      <w:r w:rsidRPr="003B6E11">
        <w:rPr>
          <w:lang w:val="cs-CZ"/>
        </w:rPr>
        <w:tab/>
        <w:t>použití bezpečnostního vybavení;</w:t>
      </w:r>
    </w:p>
    <w:p w:rsidR="00E82B25" w:rsidRPr="003B6E11" w:rsidRDefault="00E82B25" w:rsidP="00E82B25">
      <w:pPr>
        <w:pStyle w:val="ESlet"/>
        <w:rPr>
          <w:lang w:val="cs-CZ"/>
        </w:rPr>
      </w:pPr>
      <w:r w:rsidRPr="003B6E11">
        <w:rPr>
          <w:lang w:val="cs-CZ"/>
        </w:rPr>
        <w:t>f)</w:t>
      </w:r>
      <w:r w:rsidRPr="003B6E11">
        <w:rPr>
          <w:lang w:val="cs-CZ"/>
        </w:rPr>
        <w:tab/>
        <w:t>vyhlášení poplachu;</w:t>
      </w:r>
    </w:p>
    <w:p w:rsidR="00E82B25" w:rsidRPr="003B6E11" w:rsidRDefault="00E82B25" w:rsidP="00E82B25">
      <w:pPr>
        <w:pStyle w:val="ESlet"/>
        <w:rPr>
          <w:lang w:val="cs-CZ"/>
        </w:rPr>
      </w:pPr>
      <w:r w:rsidRPr="003B6E11">
        <w:rPr>
          <w:lang w:val="cs-CZ"/>
        </w:rPr>
        <w:t>g)</w:t>
      </w:r>
      <w:r w:rsidRPr="003B6E11">
        <w:rPr>
          <w:lang w:val="cs-CZ"/>
        </w:rPr>
        <w:tab/>
        <w:t>evakuační postupy.</w:t>
      </w:r>
    </w:p>
    <w:p w:rsidR="00E82B25" w:rsidRPr="003B6E11" w:rsidRDefault="00E82B25" w:rsidP="00E82B25">
      <w:pPr>
        <w:pStyle w:val="ESch"/>
        <w:rPr>
          <w:lang w:val="cs-CZ"/>
        </w:rPr>
      </w:pPr>
    </w:p>
    <w:p w:rsidR="00E82B25" w:rsidRPr="003B6E11" w:rsidRDefault="00E82B25" w:rsidP="00E82B25">
      <w:pPr>
        <w:rPr>
          <w:lang w:val="cs-CZ"/>
        </w:rPr>
      </w:pPr>
      <w:r w:rsidRPr="003B6E11">
        <w:rPr>
          <w:lang w:val="cs-CZ"/>
        </w:rPr>
        <w:br w:type="page"/>
      </w:r>
    </w:p>
    <w:p w:rsidR="00E82B25" w:rsidRPr="003B6E11" w:rsidRDefault="00E82B25" w:rsidP="00E82B25">
      <w:pPr>
        <w:pStyle w:val="ESch"/>
        <w:rPr>
          <w:lang w:val="cs-CZ"/>
        </w:rPr>
      </w:pPr>
    </w:p>
    <w:p w:rsidR="00E82B25" w:rsidRPr="003B6E11" w:rsidRDefault="00E82B25" w:rsidP="00E82B25">
      <w:pPr>
        <w:pStyle w:val="ESch"/>
        <w:rPr>
          <w:color w:val="000000"/>
          <w:lang w:val="cs-CZ"/>
        </w:rPr>
      </w:pPr>
      <w:r w:rsidRPr="003B6E11">
        <w:rPr>
          <w:color w:val="000000"/>
          <w:lang w:val="cs-CZ"/>
        </w:rPr>
        <w:t>3.</w:t>
      </w:r>
      <w:r w:rsidRPr="003B6E11">
        <w:rPr>
          <w:lang w:val="cs-CZ"/>
        </w:rPr>
        <w:tab/>
        <w:t>V bezpečnostním plánu musí být uvedeny alespoň tyto informace:</w:t>
      </w:r>
    </w:p>
    <w:p w:rsidR="00E82B25" w:rsidRPr="003B6E11" w:rsidRDefault="00E82B25" w:rsidP="00E82B25">
      <w:pPr>
        <w:pStyle w:val="ESlet"/>
        <w:rPr>
          <w:lang w:val="cs-CZ"/>
        </w:rPr>
      </w:pPr>
      <w:r w:rsidRPr="003B6E11">
        <w:rPr>
          <w:lang w:val="cs-CZ"/>
        </w:rPr>
        <w:t>a)</w:t>
      </w:r>
      <w:r w:rsidRPr="003B6E11">
        <w:rPr>
          <w:lang w:val="cs-CZ"/>
        </w:rPr>
        <w:tab/>
        <w:t>nebezpečné prostory;</w:t>
      </w:r>
    </w:p>
    <w:p w:rsidR="00E82B25" w:rsidRPr="003B6E11" w:rsidRDefault="00E82B25" w:rsidP="00E82B25">
      <w:pPr>
        <w:pStyle w:val="ESlet"/>
        <w:rPr>
          <w:lang w:val="cs-CZ"/>
        </w:rPr>
      </w:pPr>
      <w:r w:rsidRPr="003B6E11">
        <w:rPr>
          <w:lang w:val="cs-CZ"/>
        </w:rPr>
        <w:t>b)</w:t>
      </w:r>
      <w:r w:rsidRPr="003B6E11">
        <w:rPr>
          <w:lang w:val="cs-CZ"/>
        </w:rPr>
        <w:tab/>
        <w:t>únikové cesty, nouzové východy a plynotěsné místnosti;</w:t>
      </w:r>
    </w:p>
    <w:p w:rsidR="00E82B25" w:rsidRPr="003B6E11" w:rsidRDefault="00E82B25" w:rsidP="00E82B25">
      <w:pPr>
        <w:pStyle w:val="ESlet"/>
        <w:rPr>
          <w:lang w:val="cs-CZ"/>
        </w:rPr>
      </w:pPr>
      <w:r w:rsidRPr="003B6E11">
        <w:rPr>
          <w:lang w:val="cs-CZ"/>
        </w:rPr>
        <w:t>c)</w:t>
      </w:r>
      <w:r w:rsidRPr="003B6E11">
        <w:rPr>
          <w:lang w:val="cs-CZ"/>
        </w:rPr>
        <w:tab/>
        <w:t>záchranné prostředky a lodní čluny;</w:t>
      </w:r>
    </w:p>
    <w:p w:rsidR="00E82B25" w:rsidRPr="003B6E11" w:rsidRDefault="00E82B25" w:rsidP="00E82B25">
      <w:pPr>
        <w:pStyle w:val="ESlet"/>
        <w:rPr>
          <w:lang w:val="cs-CZ"/>
        </w:rPr>
      </w:pPr>
      <w:r w:rsidRPr="003B6E11">
        <w:rPr>
          <w:lang w:val="cs-CZ"/>
        </w:rPr>
        <w:t>d)</w:t>
      </w:r>
      <w:r w:rsidRPr="003B6E11">
        <w:rPr>
          <w:lang w:val="cs-CZ"/>
        </w:rPr>
        <w:tab/>
        <w:t>hasicí přístroje, hasicí systémy a postřikovací systémy;</w:t>
      </w:r>
    </w:p>
    <w:p w:rsidR="00E82B25" w:rsidRPr="003B6E11" w:rsidRDefault="00E82B25" w:rsidP="00E82B25">
      <w:pPr>
        <w:pStyle w:val="ESlet"/>
        <w:rPr>
          <w:lang w:val="cs-CZ"/>
        </w:rPr>
      </w:pPr>
      <w:r w:rsidRPr="003B6E11">
        <w:rPr>
          <w:lang w:val="cs-CZ"/>
        </w:rPr>
        <w:t>e)</w:t>
      </w:r>
      <w:r w:rsidRPr="003B6E11">
        <w:rPr>
          <w:lang w:val="cs-CZ"/>
        </w:rPr>
        <w:tab/>
        <w:t>poplašné systémy;</w:t>
      </w:r>
    </w:p>
    <w:p w:rsidR="00E82B25" w:rsidRPr="003B6E11" w:rsidRDefault="00E82B25" w:rsidP="00E82B25">
      <w:pPr>
        <w:pStyle w:val="ESlet"/>
        <w:rPr>
          <w:lang w:val="cs-CZ"/>
        </w:rPr>
      </w:pPr>
      <w:r w:rsidRPr="003B6E11">
        <w:rPr>
          <w:lang w:val="cs-CZ"/>
        </w:rPr>
        <w:t>f)</w:t>
      </w:r>
      <w:r w:rsidRPr="003B6E11">
        <w:rPr>
          <w:lang w:val="cs-CZ"/>
        </w:rPr>
        <w:tab/>
        <w:t>ovladače nouzových jističů;</w:t>
      </w:r>
    </w:p>
    <w:p w:rsidR="00E82B25" w:rsidRPr="003B6E11" w:rsidRDefault="00E82B25" w:rsidP="00E82B25">
      <w:pPr>
        <w:pStyle w:val="ESlet"/>
        <w:rPr>
          <w:lang w:val="cs-CZ"/>
        </w:rPr>
      </w:pPr>
      <w:r w:rsidRPr="003B6E11">
        <w:rPr>
          <w:lang w:val="cs-CZ"/>
        </w:rPr>
        <w:t>g)</w:t>
      </w:r>
      <w:r w:rsidRPr="003B6E11">
        <w:rPr>
          <w:lang w:val="cs-CZ"/>
        </w:rPr>
        <w:tab/>
        <w:t>požární klapky;</w:t>
      </w:r>
    </w:p>
    <w:p w:rsidR="00E82B25" w:rsidRPr="003B6E11" w:rsidRDefault="00E82B25" w:rsidP="00E82B25">
      <w:pPr>
        <w:pStyle w:val="ESlet"/>
        <w:rPr>
          <w:lang w:val="cs-CZ"/>
        </w:rPr>
      </w:pPr>
      <w:r w:rsidRPr="003B6E11">
        <w:rPr>
          <w:lang w:val="cs-CZ"/>
        </w:rPr>
        <w:t>h)</w:t>
      </w:r>
      <w:r w:rsidRPr="003B6E11">
        <w:rPr>
          <w:lang w:val="cs-CZ"/>
        </w:rPr>
        <w:tab/>
        <w:t>nouzové zdroje elektrické energie;</w:t>
      </w:r>
    </w:p>
    <w:p w:rsidR="00E82B25" w:rsidRPr="003B6E11" w:rsidRDefault="00E82B25" w:rsidP="00E82B25">
      <w:pPr>
        <w:pStyle w:val="ESlet"/>
        <w:rPr>
          <w:lang w:val="cs-CZ"/>
        </w:rPr>
      </w:pPr>
      <w:r w:rsidRPr="003B6E11">
        <w:rPr>
          <w:lang w:val="cs-CZ"/>
        </w:rPr>
        <w:t>i)</w:t>
      </w:r>
      <w:r w:rsidRPr="003B6E11">
        <w:rPr>
          <w:lang w:val="cs-CZ"/>
        </w:rPr>
        <w:tab/>
        <w:t>ovladače větrací soustavy;</w:t>
      </w:r>
    </w:p>
    <w:p w:rsidR="00E82B25" w:rsidRPr="003B6E11" w:rsidRDefault="00E82B25" w:rsidP="00E82B25">
      <w:pPr>
        <w:pStyle w:val="ESlet"/>
        <w:rPr>
          <w:lang w:val="cs-CZ"/>
        </w:rPr>
      </w:pPr>
      <w:r w:rsidRPr="003B6E11">
        <w:rPr>
          <w:lang w:val="cs-CZ"/>
        </w:rPr>
        <w:t>j)</w:t>
      </w:r>
      <w:r w:rsidRPr="003B6E11">
        <w:rPr>
          <w:lang w:val="cs-CZ"/>
        </w:rPr>
        <w:tab/>
        <w:t>ovladače přívodů paliva;</w:t>
      </w:r>
    </w:p>
    <w:p w:rsidR="00E82B25" w:rsidRPr="003B6E11" w:rsidRDefault="00E82B25" w:rsidP="00E82B25">
      <w:pPr>
        <w:pStyle w:val="ESlet"/>
        <w:rPr>
          <w:lang w:val="cs-CZ"/>
        </w:rPr>
      </w:pPr>
      <w:r w:rsidRPr="003B6E11">
        <w:rPr>
          <w:lang w:val="cs-CZ"/>
        </w:rPr>
        <w:t>k)</w:t>
      </w:r>
      <w:r w:rsidRPr="003B6E11">
        <w:rPr>
          <w:lang w:val="cs-CZ"/>
        </w:rPr>
        <w:tab/>
        <w:t>bezpečnostní vybavení.</w:t>
      </w:r>
    </w:p>
    <w:p w:rsidR="00E82B25" w:rsidRPr="003B6E11" w:rsidRDefault="00E82B25" w:rsidP="00E82B25">
      <w:pPr>
        <w:pStyle w:val="ESch"/>
        <w:rPr>
          <w:lang w:val="cs-CZ"/>
        </w:rPr>
      </w:pPr>
    </w:p>
    <w:p w:rsidR="00E82B25" w:rsidRPr="003B6E11" w:rsidRDefault="00E82B25" w:rsidP="00E82B25">
      <w:pPr>
        <w:pStyle w:val="ESch"/>
        <w:rPr>
          <w:lang w:val="cs-CZ"/>
        </w:rPr>
      </w:pPr>
      <w:r w:rsidRPr="003B6E11">
        <w:rPr>
          <w:lang w:val="cs-CZ"/>
        </w:rPr>
        <w:t>4.</w:t>
      </w:r>
      <w:r w:rsidRPr="003B6E11">
        <w:rPr>
          <w:lang w:val="cs-CZ"/>
        </w:rPr>
        <w:tab/>
        <w:t>Bezpečnostní rozpis musí být:</w:t>
      </w:r>
    </w:p>
    <w:p w:rsidR="00E82B25" w:rsidRPr="003B6E11" w:rsidRDefault="00E82B25" w:rsidP="00E82B25">
      <w:pPr>
        <w:pStyle w:val="ESlet"/>
        <w:rPr>
          <w:lang w:val="cs-CZ"/>
        </w:rPr>
      </w:pPr>
      <w:r w:rsidRPr="003B6E11">
        <w:rPr>
          <w:lang w:val="cs-CZ"/>
        </w:rPr>
        <w:t>a)</w:t>
      </w:r>
      <w:r w:rsidRPr="003B6E11">
        <w:rPr>
          <w:lang w:val="cs-CZ"/>
        </w:rPr>
        <w:tab/>
        <w:t xml:space="preserve">řádně opatřen razítkem subjektu pověřeného prohlídkami a </w:t>
      </w:r>
    </w:p>
    <w:p w:rsidR="00E82B25" w:rsidRPr="003B6E11" w:rsidRDefault="00E82B25" w:rsidP="00E82B25">
      <w:pPr>
        <w:pStyle w:val="ESlet"/>
        <w:rPr>
          <w:lang w:val="cs-CZ"/>
        </w:rPr>
      </w:pPr>
      <w:r w:rsidRPr="003B6E11">
        <w:rPr>
          <w:lang w:val="cs-CZ"/>
        </w:rPr>
        <w:t>b)</w:t>
      </w:r>
      <w:r w:rsidRPr="003B6E11">
        <w:rPr>
          <w:lang w:val="cs-CZ"/>
        </w:rPr>
        <w:tab/>
        <w:t>zřetelně vystaven na jednom nebo více vhodných místech na palubě.</w:t>
      </w: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Titre3"/>
        <w:rPr>
          <w:i/>
          <w:lang w:val="cs-CZ"/>
        </w:rPr>
      </w:pPr>
      <w:bookmarkStart w:id="532" w:name="_Toc491854263"/>
      <w:bookmarkStart w:id="533" w:name="_Toc535417169"/>
      <w:r w:rsidRPr="003B6E11">
        <w:rPr>
          <w:lang w:val="cs-CZ"/>
        </w:rPr>
        <w:t>Článek 30.04</w:t>
      </w:r>
      <w:r w:rsidRPr="003B6E11">
        <w:rPr>
          <w:lang w:val="cs-CZ"/>
        </w:rPr>
        <w:br/>
      </w:r>
      <w:r w:rsidRPr="003B6E11">
        <w:rPr>
          <w:i/>
          <w:lang w:val="cs-CZ"/>
        </w:rPr>
        <w:t>(ponechán prázdný)</w:t>
      </w:r>
      <w:bookmarkEnd w:id="532"/>
      <w:bookmarkEnd w:id="533"/>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Titre3"/>
        <w:rPr>
          <w:i/>
          <w:lang w:val="cs-CZ"/>
        </w:rPr>
      </w:pPr>
      <w:bookmarkStart w:id="534" w:name="_Toc491854264"/>
      <w:bookmarkStart w:id="535" w:name="_Toc535417170"/>
      <w:r w:rsidRPr="003B6E11">
        <w:rPr>
          <w:lang w:val="cs-CZ"/>
        </w:rPr>
        <w:t>Článek 30.05</w:t>
      </w:r>
      <w:r w:rsidRPr="003B6E11">
        <w:rPr>
          <w:lang w:val="cs-CZ"/>
        </w:rPr>
        <w:br/>
      </w:r>
      <w:r w:rsidRPr="003B6E11">
        <w:rPr>
          <w:i/>
          <w:lang w:val="cs-CZ"/>
        </w:rPr>
        <w:t>Označování</w:t>
      </w:r>
      <w:bookmarkEnd w:id="534"/>
      <w:bookmarkEnd w:id="535"/>
    </w:p>
    <w:p w:rsidR="00E82B25" w:rsidRPr="003B6E11" w:rsidRDefault="00E82B25" w:rsidP="00E82B25">
      <w:pPr>
        <w:pStyle w:val="ESgauche"/>
        <w:rPr>
          <w:lang w:val="cs-CZ"/>
        </w:rPr>
      </w:pPr>
    </w:p>
    <w:p w:rsidR="00E82B25" w:rsidRPr="003B6E11" w:rsidRDefault="00E82B25" w:rsidP="00E82B25">
      <w:pPr>
        <w:pStyle w:val="ESgauche"/>
        <w:rPr>
          <w:lang w:val="cs-CZ"/>
        </w:rPr>
      </w:pPr>
      <w:r w:rsidRPr="003B6E11">
        <w:rPr>
          <w:lang w:val="cs-CZ"/>
        </w:rPr>
        <w:t>Provozní místnosti a konstrukční prvky systému musí být vhodně označeny tak, aby bylo jasné, pro jaké palivo se používají.</w:t>
      </w:r>
    </w:p>
    <w:p w:rsidR="00E82B25" w:rsidRPr="003B6E11" w:rsidRDefault="00E82B25" w:rsidP="00E82B25">
      <w:pPr>
        <w:pStyle w:val="ESgauche"/>
        <w:rPr>
          <w:lang w:val="cs-CZ"/>
        </w:rPr>
      </w:pPr>
    </w:p>
    <w:p w:rsidR="00E82B25" w:rsidRPr="003B6E11" w:rsidRDefault="00E82B25" w:rsidP="00E82B25">
      <w:pPr>
        <w:pStyle w:val="ESgauche"/>
        <w:rPr>
          <w:lang w:val="cs-CZ"/>
        </w:rPr>
      </w:pPr>
    </w:p>
    <w:p w:rsidR="00E82B25" w:rsidRPr="003B6E11" w:rsidRDefault="00E82B25" w:rsidP="00E82B25">
      <w:pPr>
        <w:pStyle w:val="ES-Titre3"/>
        <w:rPr>
          <w:i/>
          <w:lang w:val="cs-CZ"/>
        </w:rPr>
      </w:pPr>
      <w:bookmarkStart w:id="536" w:name="_Toc491854265"/>
      <w:bookmarkStart w:id="537" w:name="_Toc535417171"/>
      <w:r w:rsidRPr="003B6E11">
        <w:rPr>
          <w:lang w:val="cs-CZ"/>
        </w:rPr>
        <w:t>Článek 30.06</w:t>
      </w:r>
      <w:r w:rsidRPr="003B6E11">
        <w:rPr>
          <w:lang w:val="cs-CZ"/>
        </w:rPr>
        <w:br/>
      </w:r>
      <w:r w:rsidRPr="003B6E11">
        <w:rPr>
          <w:i/>
          <w:lang w:val="cs-CZ"/>
        </w:rPr>
        <w:t>Nezávislý pohonný systém</w:t>
      </w:r>
      <w:bookmarkEnd w:id="536"/>
      <w:bookmarkEnd w:id="537"/>
    </w:p>
    <w:p w:rsidR="00E82B25" w:rsidRPr="003B6E11" w:rsidRDefault="00E82B25" w:rsidP="00E82B25">
      <w:pPr>
        <w:pStyle w:val="ESgauche"/>
        <w:rPr>
          <w:lang w:val="cs-CZ"/>
        </w:rPr>
      </w:pPr>
    </w:p>
    <w:p w:rsidR="00E82B25" w:rsidRPr="003B6E11" w:rsidRDefault="00E82B25" w:rsidP="00E82B25">
      <w:pPr>
        <w:pStyle w:val="ESgauche"/>
        <w:rPr>
          <w:rFonts w:eastAsia="Calibri"/>
          <w:lang w:val="cs-CZ"/>
        </w:rPr>
      </w:pPr>
      <w:r w:rsidRPr="003B6E11">
        <w:rPr>
          <w:lang w:val="cs-CZ"/>
        </w:rPr>
        <w:t xml:space="preserve">V případě automatického vypnutí pohonného systému nebo jeho částí musí být plavidlo schopno plavby kormidlovací rychlostí s vlastním pohonem. </w:t>
      </w:r>
    </w:p>
    <w:p w:rsidR="00E82B25" w:rsidRPr="003B6E11" w:rsidRDefault="00E82B25" w:rsidP="00E82B25">
      <w:pPr>
        <w:pStyle w:val="ESgauche"/>
        <w:rPr>
          <w:rFonts w:eastAsia="Calibri"/>
          <w:iCs/>
          <w:lang w:val="cs-CZ"/>
        </w:rPr>
      </w:pPr>
    </w:p>
    <w:p w:rsidR="00E82B25" w:rsidRPr="003B6E11" w:rsidRDefault="00E82B25" w:rsidP="00E82B25">
      <w:pPr>
        <w:pStyle w:val="ESgauche"/>
        <w:rPr>
          <w:rFonts w:eastAsia="Calibri"/>
          <w:iCs/>
          <w:lang w:val="cs-CZ"/>
        </w:rPr>
      </w:pPr>
    </w:p>
    <w:p w:rsidR="00E82B25" w:rsidRPr="003B6E11" w:rsidRDefault="00E82B25" w:rsidP="00E82B25">
      <w:pPr>
        <w:pStyle w:val="ES-Titre3"/>
        <w:rPr>
          <w:i/>
          <w:lang w:val="cs-CZ"/>
        </w:rPr>
      </w:pPr>
      <w:bookmarkStart w:id="538" w:name="_Toc491854266"/>
      <w:bookmarkStart w:id="539" w:name="_Toc535417172"/>
      <w:r w:rsidRPr="003B6E11">
        <w:rPr>
          <w:lang w:val="cs-CZ"/>
        </w:rPr>
        <w:t>Článek 30.07</w:t>
      </w:r>
      <w:r w:rsidRPr="003B6E11">
        <w:rPr>
          <w:lang w:val="cs-CZ"/>
        </w:rPr>
        <w:br/>
      </w:r>
      <w:r w:rsidRPr="003B6E11">
        <w:rPr>
          <w:i/>
          <w:lang w:val="cs-CZ"/>
        </w:rPr>
        <w:t>Technické zkušebny</w:t>
      </w:r>
      <w:bookmarkEnd w:id="538"/>
      <w:bookmarkEnd w:id="539"/>
    </w:p>
    <w:p w:rsidR="00E82B25" w:rsidRPr="003B6E11" w:rsidRDefault="00E82B25" w:rsidP="00E82B25">
      <w:pPr>
        <w:pStyle w:val="ESch"/>
        <w:rPr>
          <w:rFonts w:eastAsia="Calibri"/>
          <w:lang w:val="cs-CZ"/>
        </w:rPr>
      </w:pPr>
    </w:p>
    <w:p w:rsidR="00E82B25" w:rsidRPr="003B6E11" w:rsidRDefault="00E82B25" w:rsidP="00E82B25">
      <w:pPr>
        <w:pStyle w:val="ESch"/>
        <w:rPr>
          <w:rFonts w:eastAsia="Calibri"/>
          <w:lang w:val="cs-CZ"/>
        </w:rPr>
      </w:pPr>
      <w:r w:rsidRPr="003B6E11">
        <w:rPr>
          <w:lang w:val="cs-CZ"/>
        </w:rPr>
        <w:t>1.</w:t>
      </w:r>
      <w:r w:rsidRPr="003B6E11">
        <w:rPr>
          <w:lang w:val="cs-CZ"/>
        </w:rPr>
        <w:tab/>
        <w:t>Technické zkušebny musí splňovat evropskou normu EN ISO 17020: 2012.</w:t>
      </w:r>
    </w:p>
    <w:p w:rsidR="00E82B25" w:rsidRPr="003B6E11" w:rsidRDefault="00E82B25" w:rsidP="00E82B25">
      <w:pPr>
        <w:pStyle w:val="ESch"/>
        <w:rPr>
          <w:rFonts w:eastAsia="Calibri"/>
          <w:lang w:val="cs-CZ"/>
        </w:rPr>
      </w:pPr>
    </w:p>
    <w:p w:rsidR="00E82B25" w:rsidRPr="003B6E11" w:rsidRDefault="00E82B25" w:rsidP="00E82B25">
      <w:pPr>
        <w:pStyle w:val="ESch"/>
        <w:rPr>
          <w:rFonts w:eastAsia="Calibri"/>
          <w:lang w:val="cs-CZ"/>
        </w:rPr>
      </w:pPr>
      <w:r w:rsidRPr="003B6E11">
        <w:rPr>
          <w:lang w:val="cs-CZ"/>
        </w:rPr>
        <w:t>2.</w:t>
      </w:r>
      <w:r w:rsidRPr="003B6E11">
        <w:rPr>
          <w:lang w:val="cs-CZ"/>
        </w:rPr>
        <w:tab/>
        <w:t>Výrobci a distributoři pohonných nebo pomocných systémů nebo jejich částí nemohou být uznáni jako technické zkušebny.</w:t>
      </w:r>
    </w:p>
    <w:p w:rsidR="00E82B25" w:rsidRPr="003B6E11" w:rsidRDefault="00E82B25" w:rsidP="00E82B25">
      <w:pPr>
        <w:pStyle w:val="ESch"/>
        <w:rPr>
          <w:rFonts w:eastAsia="Calibri"/>
          <w:lang w:val="cs-CZ"/>
        </w:rPr>
      </w:pPr>
    </w:p>
    <w:p w:rsidR="00E82B25" w:rsidRPr="003B6E11" w:rsidRDefault="00E82B25" w:rsidP="00E82B25">
      <w:pPr>
        <w:pStyle w:val="ESch"/>
        <w:rPr>
          <w:rFonts w:eastAsia="Calibri"/>
          <w:lang w:val="cs-CZ"/>
        </w:rPr>
      </w:pPr>
      <w:r w:rsidRPr="003B6E11">
        <w:rPr>
          <w:lang w:val="cs-CZ"/>
        </w:rPr>
        <w:t>3.</w:t>
      </w:r>
      <w:r w:rsidRPr="003B6E11">
        <w:rPr>
          <w:lang w:val="cs-CZ"/>
        </w:rPr>
        <w:tab/>
        <w:t>Odbornost technické zkušebny musí splňovat příslušné požadavky přílohy 8.</w:t>
      </w:r>
    </w:p>
    <w:p w:rsidR="00E82B25" w:rsidRPr="003B6E11" w:rsidRDefault="00E82B25" w:rsidP="00E82B25">
      <w:pPr>
        <w:pStyle w:val="ESch"/>
        <w:rPr>
          <w:rFonts w:eastAsia="Calibri"/>
          <w:lang w:val="cs-CZ"/>
        </w:rPr>
      </w:pPr>
    </w:p>
    <w:p w:rsidR="00E82B25" w:rsidRPr="003B6E11" w:rsidRDefault="00E82B25" w:rsidP="00E82B25">
      <w:pPr>
        <w:pStyle w:val="ESch"/>
        <w:rPr>
          <w:rFonts w:eastAsia="Calibri"/>
          <w:lang w:val="cs-CZ"/>
        </w:rPr>
      </w:pPr>
      <w:r w:rsidRPr="003B6E11">
        <w:rPr>
          <w:lang w:val="cs-CZ"/>
        </w:rPr>
        <w:t>4.</w:t>
      </w:r>
      <w:r w:rsidRPr="003B6E11">
        <w:rPr>
          <w:lang w:val="cs-CZ"/>
        </w:rPr>
        <w:tab/>
        <w:t xml:space="preserve">Monitorování a zkoušení podle článků 30.01 a 30.02 mohou provádět různé technické zkušebny za předpokladu, že je v tomto procesu zohledněna veškerá odbornost podle odstavce 3. </w:t>
      </w:r>
    </w:p>
    <w:p w:rsidR="00E82B25" w:rsidRPr="003B6E11" w:rsidRDefault="00E82B25" w:rsidP="00E82B25">
      <w:pPr>
        <w:pStyle w:val="ESch"/>
        <w:rPr>
          <w:rFonts w:eastAsia="Calibri"/>
          <w:lang w:val="cs-CZ"/>
        </w:rPr>
      </w:pPr>
    </w:p>
    <w:p w:rsidR="00E82B25" w:rsidRPr="003B6E11" w:rsidRDefault="00E82B25" w:rsidP="00E82B25">
      <w:pPr>
        <w:rPr>
          <w:rFonts w:eastAsia="Calibri"/>
          <w:lang w:val="cs-CZ"/>
        </w:rPr>
      </w:pPr>
      <w:r w:rsidRPr="003B6E11">
        <w:rPr>
          <w:lang w:val="cs-CZ"/>
        </w:rPr>
        <w:br w:type="page"/>
      </w:r>
    </w:p>
    <w:p w:rsidR="00E82B25" w:rsidRPr="003B6E11" w:rsidRDefault="00E82B25" w:rsidP="00E82B25">
      <w:pPr>
        <w:pStyle w:val="ESch"/>
        <w:rPr>
          <w:rFonts w:eastAsia="Calibri"/>
          <w:lang w:val="cs-CZ"/>
        </w:rPr>
      </w:pPr>
    </w:p>
    <w:p w:rsidR="00E82B25" w:rsidRPr="003B6E11" w:rsidRDefault="00E82B25" w:rsidP="00E82B25">
      <w:pPr>
        <w:pStyle w:val="ESch"/>
        <w:rPr>
          <w:rFonts w:cs="Arial"/>
          <w:szCs w:val="20"/>
          <w:lang w:val="cs-CZ"/>
        </w:rPr>
      </w:pPr>
    </w:p>
    <w:p w:rsidR="00E82B25" w:rsidRPr="003B6E11" w:rsidRDefault="00E82B25" w:rsidP="00E82B25">
      <w:pPr>
        <w:pStyle w:val="ES-Titre2"/>
        <w:rPr>
          <w:szCs w:val="24"/>
        </w:rPr>
      </w:pPr>
      <w:bookmarkStart w:id="540" w:name="_Toc491854267"/>
      <w:bookmarkStart w:id="541" w:name="_Toc535417173"/>
      <w:r w:rsidRPr="003B6E11">
        <w:t>Kapitola 31</w:t>
      </w:r>
      <w:r w:rsidRPr="003B6E11">
        <w:br/>
      </w:r>
      <w:r w:rsidRPr="003B6E11">
        <w:rPr>
          <w:noProof/>
          <w:sz w:val="22"/>
        </w:rPr>
        <w:t>Zvláštní ustanovení pro lodě plavící se s minimální posádkou</w:t>
      </w:r>
      <w:bookmarkEnd w:id="540"/>
      <w:bookmarkEnd w:id="541"/>
    </w:p>
    <w:p w:rsidR="00E82B25" w:rsidRPr="003B6E11" w:rsidRDefault="00E82B25" w:rsidP="00E82B25">
      <w:pPr>
        <w:rPr>
          <w:lang w:val="cs-CZ"/>
        </w:rPr>
      </w:pPr>
    </w:p>
    <w:p w:rsidR="00E82B25" w:rsidRPr="003B6E11" w:rsidRDefault="00E82B25" w:rsidP="00E82B25">
      <w:pPr>
        <w:pStyle w:val="ES-Titre3"/>
        <w:rPr>
          <w:lang w:val="cs-CZ"/>
        </w:rPr>
      </w:pPr>
      <w:bookmarkStart w:id="542" w:name="_Toc491854268"/>
      <w:bookmarkStart w:id="543" w:name="_Toc535417174"/>
      <w:r w:rsidRPr="003B6E11">
        <w:rPr>
          <w:lang w:val="cs-CZ"/>
        </w:rPr>
        <w:t>Článek 31.01</w:t>
      </w:r>
      <w:r w:rsidRPr="003B6E11">
        <w:rPr>
          <w:lang w:val="cs-CZ"/>
        </w:rPr>
        <w:br/>
      </w:r>
      <w:r w:rsidRPr="003B6E11">
        <w:rPr>
          <w:i/>
          <w:noProof/>
          <w:lang w:val="cs-CZ"/>
        </w:rPr>
        <w:t>Vybavení lodě</w:t>
      </w:r>
      <w:bookmarkEnd w:id="542"/>
      <w:bookmarkEnd w:id="543"/>
    </w:p>
    <w:p w:rsidR="00E82B25" w:rsidRPr="003B6E11" w:rsidRDefault="00E82B25" w:rsidP="00E82B25">
      <w:pPr>
        <w:pStyle w:val="ESch"/>
        <w:rPr>
          <w:rFonts w:cs="Arial"/>
          <w:szCs w:val="20"/>
          <w:lang w:val="cs-CZ"/>
        </w:rPr>
      </w:pPr>
    </w:p>
    <w:p w:rsidR="00E82B25" w:rsidRPr="003B6E11" w:rsidRDefault="00E82B25" w:rsidP="00E82B25">
      <w:pPr>
        <w:pStyle w:val="ESgauche"/>
        <w:rPr>
          <w:szCs w:val="18"/>
          <w:lang w:val="cs-CZ"/>
        </w:rPr>
      </w:pPr>
      <w:r w:rsidRPr="003B6E11">
        <w:rPr>
          <w:lang w:val="cs-CZ"/>
        </w:rPr>
        <w:t>U motorových lodí, tlačných remorkérů, tlačných sestav a osobních lodí zapíše subjekt pověřený prohlídkami do osvědčení plavidla vnitrozemské plavby v bodě 47, zda jsou či nejsou splněna ustanovení článku 31.02 nebo 31.03.</w:t>
      </w: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Titre3"/>
        <w:rPr>
          <w:rFonts w:cs="Arial"/>
          <w:szCs w:val="18"/>
          <w:lang w:val="cs-CZ"/>
        </w:rPr>
      </w:pPr>
      <w:bookmarkStart w:id="544" w:name="_Toc491854269"/>
      <w:bookmarkStart w:id="545" w:name="_Toc535417175"/>
      <w:r w:rsidRPr="003B6E11">
        <w:rPr>
          <w:lang w:val="cs-CZ"/>
        </w:rPr>
        <w:t>Článek 31.02</w:t>
      </w:r>
      <w:r w:rsidRPr="003B6E11">
        <w:rPr>
          <w:lang w:val="cs-CZ"/>
        </w:rPr>
        <w:br/>
      </w:r>
      <w:r w:rsidRPr="003B6E11">
        <w:rPr>
          <w:i/>
          <w:noProof/>
          <w:lang w:val="cs-CZ"/>
        </w:rPr>
        <w:t>Norma S1</w:t>
      </w:r>
      <w:bookmarkEnd w:id="544"/>
      <w:bookmarkEnd w:id="545"/>
    </w:p>
    <w:p w:rsidR="00E82B25" w:rsidRPr="003B6E11" w:rsidRDefault="00E82B25" w:rsidP="00E82B25">
      <w:pPr>
        <w:pStyle w:val="ESch"/>
        <w:rPr>
          <w:noProof/>
          <w:lang w:val="cs-CZ"/>
        </w:rPr>
      </w:pPr>
    </w:p>
    <w:p w:rsidR="00E82B25" w:rsidRPr="003B6E11" w:rsidRDefault="00E82B25" w:rsidP="00E82B25">
      <w:pPr>
        <w:pStyle w:val="ESch"/>
        <w:rPr>
          <w:noProof/>
          <w:szCs w:val="18"/>
          <w:lang w:val="cs-CZ"/>
        </w:rPr>
      </w:pPr>
      <w:r w:rsidRPr="003B6E11">
        <w:rPr>
          <w:lang w:val="cs-CZ"/>
        </w:rPr>
        <w:t>1.</w:t>
      </w:r>
      <w:r w:rsidRPr="003B6E11">
        <w:rPr>
          <w:lang w:val="cs-CZ"/>
        </w:rPr>
        <w:tab/>
        <w:t>Pohonné systémy musí být uspořádány tak, aby z ovládacího stanoviště bylo možné měnit rychlost plavidla a obrátit směr tahu vrtule.</w:t>
      </w:r>
    </w:p>
    <w:p w:rsidR="00E82B25" w:rsidRPr="003B6E11" w:rsidRDefault="00E82B25" w:rsidP="00E82B25">
      <w:pPr>
        <w:pStyle w:val="ESch"/>
        <w:rPr>
          <w:noProof/>
          <w:lang w:val="cs-CZ"/>
        </w:rPr>
      </w:pPr>
    </w:p>
    <w:p w:rsidR="00E82B25" w:rsidRPr="003B6E11" w:rsidRDefault="00E82B25" w:rsidP="00E82B25">
      <w:pPr>
        <w:pStyle w:val="ESchpar"/>
        <w:rPr>
          <w:noProof/>
          <w:szCs w:val="18"/>
          <w:lang w:val="cs-CZ"/>
        </w:rPr>
      </w:pPr>
      <w:r w:rsidRPr="003B6E11">
        <w:rPr>
          <w:lang w:val="cs-CZ"/>
        </w:rPr>
        <w:t>Pomocné motory potřebné pro provoz musí být možné zapnout a vypnout z ovládacího stanoviště, pokud k tomu nedochází samočinně nebo pokud motory neběží během plavby nepřetržitě.</w:t>
      </w:r>
    </w:p>
    <w:p w:rsidR="00E82B25" w:rsidRPr="003B6E11" w:rsidRDefault="00E82B25" w:rsidP="00E82B25">
      <w:pPr>
        <w:pStyle w:val="ESch"/>
        <w:rPr>
          <w:noProof/>
          <w:lang w:val="cs-CZ"/>
        </w:rPr>
      </w:pPr>
    </w:p>
    <w:p w:rsidR="00E82B25" w:rsidRPr="003B6E11" w:rsidRDefault="00E82B25" w:rsidP="00E82B25">
      <w:pPr>
        <w:pStyle w:val="ESch"/>
        <w:rPr>
          <w:noProof/>
          <w:szCs w:val="18"/>
          <w:lang w:val="cs-CZ"/>
        </w:rPr>
      </w:pPr>
      <w:r w:rsidRPr="003B6E11">
        <w:rPr>
          <w:lang w:val="cs-CZ"/>
        </w:rPr>
        <w:t>2.</w:t>
      </w:r>
      <w:r w:rsidRPr="003B6E11">
        <w:rPr>
          <w:lang w:val="cs-CZ"/>
        </w:rPr>
        <w:tab/>
        <w:t>V kritických oblastech</w:t>
      </w:r>
    </w:p>
    <w:p w:rsidR="00E82B25" w:rsidRPr="003B6E11" w:rsidRDefault="00E82B25" w:rsidP="00E82B25">
      <w:pPr>
        <w:pStyle w:val="ESlet"/>
        <w:rPr>
          <w:noProof/>
          <w:szCs w:val="18"/>
          <w:lang w:val="cs-CZ"/>
        </w:rPr>
      </w:pPr>
      <w:r w:rsidRPr="003B6E11">
        <w:rPr>
          <w:lang w:val="cs-CZ"/>
        </w:rPr>
        <w:t>–</w:t>
      </w:r>
      <w:r w:rsidRPr="003B6E11">
        <w:rPr>
          <w:lang w:val="cs-CZ"/>
        </w:rPr>
        <w:tab/>
        <w:t>teploty chladící vody hlavních motorů,</w:t>
      </w:r>
    </w:p>
    <w:p w:rsidR="00E82B25" w:rsidRPr="003B6E11" w:rsidRDefault="00E82B25" w:rsidP="00E82B25">
      <w:pPr>
        <w:pStyle w:val="ESlet"/>
        <w:rPr>
          <w:noProof/>
          <w:szCs w:val="18"/>
          <w:lang w:val="cs-CZ"/>
        </w:rPr>
      </w:pPr>
      <w:r w:rsidRPr="003B6E11">
        <w:rPr>
          <w:lang w:val="cs-CZ"/>
        </w:rPr>
        <w:t>–</w:t>
      </w:r>
      <w:r w:rsidRPr="003B6E11">
        <w:rPr>
          <w:lang w:val="cs-CZ"/>
        </w:rPr>
        <w:tab/>
        <w:t>tlaku mazacího oleje u hlavních motorů a převodovek,</w:t>
      </w:r>
    </w:p>
    <w:p w:rsidR="00E82B25" w:rsidRPr="003B6E11" w:rsidRDefault="00E82B25" w:rsidP="00E82B25">
      <w:pPr>
        <w:pStyle w:val="ESlet"/>
        <w:rPr>
          <w:noProof/>
          <w:szCs w:val="18"/>
          <w:lang w:val="cs-CZ"/>
        </w:rPr>
      </w:pPr>
      <w:r w:rsidRPr="003B6E11">
        <w:rPr>
          <w:lang w:val="cs-CZ"/>
        </w:rPr>
        <w:t>–</w:t>
      </w:r>
      <w:r w:rsidRPr="003B6E11">
        <w:rPr>
          <w:lang w:val="cs-CZ"/>
        </w:rPr>
        <w:tab/>
        <w:t>tlaku oleje a vzduchu reverzních jednotek hlavních motorů, reverzačních převodovek nebo vrtulí,</w:t>
      </w:r>
    </w:p>
    <w:p w:rsidR="00E82B25" w:rsidRPr="003B6E11" w:rsidRDefault="00E82B25" w:rsidP="00E82B25">
      <w:pPr>
        <w:pStyle w:val="ESlet"/>
        <w:rPr>
          <w:noProof/>
          <w:szCs w:val="18"/>
          <w:lang w:val="cs-CZ"/>
        </w:rPr>
      </w:pPr>
      <w:r w:rsidRPr="003B6E11">
        <w:rPr>
          <w:lang w:val="cs-CZ"/>
        </w:rPr>
        <w:t>–</w:t>
      </w:r>
      <w:r w:rsidRPr="003B6E11">
        <w:rPr>
          <w:lang w:val="cs-CZ"/>
        </w:rPr>
        <w:tab/>
        <w:t>stavů hladiny sběrných prostor v hlavní strojovně</w:t>
      </w:r>
    </w:p>
    <w:p w:rsidR="00E82B25" w:rsidRPr="003B6E11" w:rsidRDefault="00E82B25" w:rsidP="00E82B25">
      <w:pPr>
        <w:pStyle w:val="ESchpar"/>
        <w:spacing w:before="60"/>
        <w:rPr>
          <w:noProof/>
          <w:szCs w:val="18"/>
          <w:lang w:val="cs-CZ"/>
        </w:rPr>
      </w:pPr>
      <w:r w:rsidRPr="003B6E11">
        <w:rPr>
          <w:lang w:val="cs-CZ"/>
        </w:rPr>
        <w:t>musí být zajištěno monitorování pomocí přístrojů, které v případě nesprávné funkce spustí v kormidelně akustické a vizuální signály. Akustické poplašné signály lze sloučit do jednoho akustického výstražného zařízení. Jakmile je porucha rozeznána, je možné je vypnout. Vizuální poplašné signály lze vypnout teprve po odstranění poruch, kvůli nimž byly spuštěny.</w:t>
      </w:r>
    </w:p>
    <w:p w:rsidR="00E82B25" w:rsidRPr="003B6E11" w:rsidRDefault="00E82B25" w:rsidP="00E82B25">
      <w:pPr>
        <w:pStyle w:val="ESch"/>
        <w:rPr>
          <w:noProof/>
          <w:lang w:val="cs-CZ"/>
        </w:rPr>
      </w:pPr>
    </w:p>
    <w:p w:rsidR="00E82B25" w:rsidRPr="003B6E11" w:rsidRDefault="00E82B25" w:rsidP="00E82B25">
      <w:pPr>
        <w:pStyle w:val="ESch"/>
        <w:rPr>
          <w:noProof/>
          <w:szCs w:val="18"/>
          <w:lang w:val="cs-CZ"/>
        </w:rPr>
      </w:pPr>
      <w:r w:rsidRPr="003B6E11">
        <w:rPr>
          <w:lang w:val="cs-CZ"/>
        </w:rPr>
        <w:t>3.</w:t>
      </w:r>
      <w:r w:rsidRPr="003B6E11">
        <w:rPr>
          <w:lang w:val="cs-CZ"/>
        </w:rPr>
        <w:tab/>
        <w:t>K přívodu paliva a chlazení hlavních motorů dochází samočinně.</w:t>
      </w:r>
    </w:p>
    <w:p w:rsidR="00E82B25" w:rsidRPr="003B6E11" w:rsidRDefault="00E82B25" w:rsidP="00E82B25">
      <w:pPr>
        <w:pStyle w:val="ESch"/>
        <w:rPr>
          <w:noProof/>
          <w:lang w:val="cs-CZ"/>
        </w:rPr>
      </w:pPr>
    </w:p>
    <w:p w:rsidR="00E82B25" w:rsidRPr="003B6E11" w:rsidRDefault="00E82B25" w:rsidP="00E82B25">
      <w:pPr>
        <w:pStyle w:val="ESch"/>
        <w:rPr>
          <w:noProof/>
          <w:szCs w:val="18"/>
          <w:lang w:val="cs-CZ"/>
        </w:rPr>
      </w:pPr>
      <w:r w:rsidRPr="003B6E11">
        <w:rPr>
          <w:lang w:val="cs-CZ"/>
        </w:rPr>
        <w:t>4.</w:t>
      </w:r>
      <w:r w:rsidRPr="003B6E11">
        <w:rPr>
          <w:lang w:val="cs-CZ"/>
        </w:rPr>
        <w:tab/>
        <w:t>Kormidelní zařízení musí být ovladatelné jednou osobou, a to i při největším ponoru, bez vynaložení zvláštní síly.</w:t>
      </w:r>
    </w:p>
    <w:p w:rsidR="00E82B25" w:rsidRPr="003B6E11" w:rsidRDefault="00E82B25" w:rsidP="00E82B25">
      <w:pPr>
        <w:pStyle w:val="ESch"/>
        <w:rPr>
          <w:noProof/>
          <w:lang w:val="cs-CZ"/>
        </w:rPr>
      </w:pPr>
    </w:p>
    <w:p w:rsidR="00E82B25" w:rsidRPr="003B6E11" w:rsidRDefault="00E82B25" w:rsidP="00E82B25">
      <w:pPr>
        <w:pStyle w:val="ESch"/>
        <w:rPr>
          <w:noProof/>
          <w:szCs w:val="18"/>
          <w:lang w:val="cs-CZ"/>
        </w:rPr>
      </w:pPr>
      <w:r w:rsidRPr="003B6E11">
        <w:rPr>
          <w:lang w:val="cs-CZ"/>
        </w:rPr>
        <w:t>5.</w:t>
      </w:r>
      <w:r w:rsidRPr="003B6E11">
        <w:rPr>
          <w:lang w:val="cs-CZ"/>
        </w:rPr>
        <w:tab/>
        <w:t>Z ovládacího stanoviště plavící se lodi musí být možné vydávat příslušné optické a akustické signály v souladu s příslušnými předpisy plavebních orgánů členských států.</w:t>
      </w:r>
    </w:p>
    <w:p w:rsidR="00E82B25" w:rsidRPr="003B6E11" w:rsidRDefault="00E82B25" w:rsidP="00E82B25">
      <w:pPr>
        <w:pStyle w:val="ESch"/>
        <w:rPr>
          <w:noProof/>
          <w:lang w:val="cs-CZ"/>
        </w:rPr>
      </w:pPr>
    </w:p>
    <w:p w:rsidR="00E82B25" w:rsidRPr="003B6E11" w:rsidRDefault="00E82B25" w:rsidP="00E82B25">
      <w:pPr>
        <w:pStyle w:val="ESch"/>
        <w:rPr>
          <w:noProof/>
          <w:szCs w:val="18"/>
          <w:lang w:val="cs-CZ"/>
        </w:rPr>
      </w:pPr>
      <w:r w:rsidRPr="003B6E11">
        <w:rPr>
          <w:lang w:val="cs-CZ"/>
        </w:rPr>
        <w:t>6.</w:t>
      </w:r>
      <w:r w:rsidRPr="003B6E11">
        <w:rPr>
          <w:lang w:val="cs-CZ"/>
        </w:rPr>
        <w:tab/>
        <w:t>Neexistuje-li přímé spojení mezi ovládacím stanovištěm a přídí, zádí, obytnými prostorami a strojovnami, musí být k dispozici hlasový komunikační systém. Pro komunikaci se strojovnami může mít podobu vizuálního nebo akustického signálu.</w:t>
      </w:r>
    </w:p>
    <w:p w:rsidR="00E82B25" w:rsidRPr="003B6E11" w:rsidRDefault="00E82B25" w:rsidP="00E82B25">
      <w:pPr>
        <w:pStyle w:val="ESch"/>
        <w:rPr>
          <w:noProof/>
          <w:lang w:val="cs-CZ"/>
        </w:rPr>
      </w:pPr>
    </w:p>
    <w:p w:rsidR="00E82B25" w:rsidRPr="003B6E11" w:rsidRDefault="00E82B25" w:rsidP="00E82B25">
      <w:pPr>
        <w:pStyle w:val="ESch"/>
        <w:rPr>
          <w:rFonts w:cs="Arial"/>
          <w:szCs w:val="18"/>
          <w:lang w:val="cs-CZ"/>
        </w:rPr>
      </w:pPr>
      <w:r w:rsidRPr="003B6E11">
        <w:rPr>
          <w:lang w:val="cs-CZ"/>
        </w:rPr>
        <w:t>7.</w:t>
      </w:r>
      <w:r w:rsidRPr="003B6E11">
        <w:rPr>
          <w:lang w:val="cs-CZ"/>
        </w:rPr>
        <w:tab/>
        <w:t>K ovládání klik a podobných otočných součástí zdvihacích zařízení nesmí být zapotřebí větší síla než 160 N.</w:t>
      </w:r>
    </w:p>
    <w:p w:rsidR="00E82B25" w:rsidRPr="003B6E11" w:rsidRDefault="00E82B25" w:rsidP="00E82B25">
      <w:pPr>
        <w:pStyle w:val="ESch"/>
        <w:rPr>
          <w:noProof/>
          <w:lang w:val="cs-CZ"/>
        </w:rPr>
      </w:pPr>
    </w:p>
    <w:p w:rsidR="00E82B25" w:rsidRPr="003B6E11" w:rsidRDefault="00E82B25" w:rsidP="00E82B25">
      <w:pPr>
        <w:pStyle w:val="ESch"/>
        <w:rPr>
          <w:noProof/>
          <w:lang w:val="cs-CZ"/>
        </w:rPr>
      </w:pPr>
      <w:r w:rsidRPr="003B6E11">
        <w:rPr>
          <w:lang w:val="cs-CZ"/>
        </w:rPr>
        <w:br w:type="page"/>
      </w:r>
    </w:p>
    <w:p w:rsidR="00E82B25" w:rsidRPr="003B6E11" w:rsidRDefault="00E82B25" w:rsidP="00E82B25">
      <w:pPr>
        <w:pStyle w:val="ESch"/>
        <w:rPr>
          <w:noProof/>
          <w:szCs w:val="18"/>
          <w:lang w:val="cs-CZ"/>
        </w:rPr>
      </w:pPr>
      <w:r w:rsidRPr="003B6E11">
        <w:rPr>
          <w:lang w:val="cs-CZ"/>
        </w:rPr>
        <w:t>8.</w:t>
      </w:r>
      <w:r w:rsidRPr="003B6E11">
        <w:rPr>
          <w:lang w:val="cs-CZ"/>
        </w:rPr>
        <w:tab/>
        <w:t>Vlečné navijáky zapsané v osvědčení plavidla vnitrozemské plavby musí mít strojní pohon.</w:t>
      </w:r>
    </w:p>
    <w:p w:rsidR="00E82B25" w:rsidRPr="003B6E11" w:rsidRDefault="00E82B25" w:rsidP="00E82B25">
      <w:pPr>
        <w:pStyle w:val="ESch"/>
        <w:rPr>
          <w:noProof/>
          <w:lang w:val="cs-CZ"/>
        </w:rPr>
      </w:pPr>
    </w:p>
    <w:p w:rsidR="00E82B25" w:rsidRPr="003B6E11" w:rsidRDefault="00E82B25" w:rsidP="00E82B25">
      <w:pPr>
        <w:pStyle w:val="ESch"/>
        <w:rPr>
          <w:noProof/>
          <w:szCs w:val="18"/>
          <w:lang w:val="cs-CZ"/>
        </w:rPr>
      </w:pPr>
      <w:r w:rsidRPr="003B6E11">
        <w:rPr>
          <w:lang w:val="cs-CZ"/>
        </w:rPr>
        <w:t>9.</w:t>
      </w:r>
      <w:r w:rsidRPr="003B6E11">
        <w:rPr>
          <w:lang w:val="cs-CZ"/>
        </w:rPr>
        <w:tab/>
        <w:t>Drenážní čerpadla a čerpadla k umývání podlahy musí mít strojní pohon.</w:t>
      </w:r>
    </w:p>
    <w:p w:rsidR="00E82B25" w:rsidRPr="003B6E11" w:rsidRDefault="00E82B25" w:rsidP="00E82B25">
      <w:pPr>
        <w:pStyle w:val="ESch"/>
        <w:rPr>
          <w:noProof/>
          <w:lang w:val="cs-CZ"/>
        </w:rPr>
      </w:pPr>
    </w:p>
    <w:p w:rsidR="00E82B25" w:rsidRPr="003B6E11" w:rsidRDefault="00E82B25" w:rsidP="00E82B25">
      <w:pPr>
        <w:pStyle w:val="ESch"/>
        <w:rPr>
          <w:noProof/>
          <w:szCs w:val="18"/>
          <w:lang w:val="cs-CZ"/>
        </w:rPr>
      </w:pPr>
      <w:r w:rsidRPr="003B6E11">
        <w:rPr>
          <w:lang w:val="cs-CZ"/>
        </w:rPr>
        <w:t>10.</w:t>
      </w:r>
      <w:r w:rsidRPr="003B6E11">
        <w:rPr>
          <w:lang w:val="cs-CZ"/>
        </w:rPr>
        <w:tab/>
        <w:t>Hlavní řídicí jednotky a kontrolní přístroje musí být uspořádány ergonomicky.</w:t>
      </w:r>
    </w:p>
    <w:p w:rsidR="00E82B25" w:rsidRPr="003B6E11" w:rsidRDefault="00E82B25" w:rsidP="00E82B25">
      <w:pPr>
        <w:pStyle w:val="ESch"/>
        <w:rPr>
          <w:noProof/>
          <w:lang w:val="cs-CZ"/>
        </w:rPr>
      </w:pPr>
    </w:p>
    <w:p w:rsidR="00E82B25" w:rsidRPr="003B6E11" w:rsidRDefault="00E82B25" w:rsidP="00E82B25">
      <w:pPr>
        <w:pStyle w:val="ESch"/>
        <w:rPr>
          <w:noProof/>
          <w:lang w:val="cs-CZ"/>
        </w:rPr>
      </w:pPr>
      <w:r w:rsidRPr="003B6E11">
        <w:rPr>
          <w:lang w:val="cs-CZ"/>
        </w:rPr>
        <w:t>11.</w:t>
      </w:r>
      <w:r w:rsidRPr="003B6E11">
        <w:rPr>
          <w:lang w:val="cs-CZ"/>
        </w:rPr>
        <w:tab/>
        <w:t>Zařízení podle čl. 6.01 odst. 1 lze ovládat dálkově z ovládacího stanoviště.</w:t>
      </w:r>
    </w:p>
    <w:p w:rsidR="00E82B25" w:rsidRPr="003B6E11" w:rsidRDefault="00E82B25" w:rsidP="00E82B25">
      <w:pPr>
        <w:pStyle w:val="ESch"/>
        <w:rPr>
          <w:noProof/>
          <w:lang w:val="cs-CZ"/>
        </w:rPr>
      </w:pPr>
    </w:p>
    <w:p w:rsidR="00E82B25" w:rsidRPr="003B6E11" w:rsidRDefault="00E82B25" w:rsidP="00E82B25">
      <w:pPr>
        <w:pStyle w:val="ESch"/>
        <w:rPr>
          <w:noProof/>
          <w:szCs w:val="18"/>
          <w:lang w:val="cs-CZ"/>
        </w:rPr>
      </w:pPr>
    </w:p>
    <w:p w:rsidR="00E82B25" w:rsidRPr="003B6E11" w:rsidRDefault="00E82B25" w:rsidP="00E82B25">
      <w:pPr>
        <w:pStyle w:val="ES-Titre3"/>
        <w:rPr>
          <w:rFonts w:cs="Arial"/>
          <w:szCs w:val="18"/>
          <w:lang w:val="cs-CZ"/>
        </w:rPr>
      </w:pPr>
      <w:bookmarkStart w:id="546" w:name="_Toc491854270"/>
      <w:bookmarkStart w:id="547" w:name="_Toc535417176"/>
      <w:r w:rsidRPr="003B6E11">
        <w:rPr>
          <w:lang w:val="cs-CZ"/>
        </w:rPr>
        <w:t>Článek 31.03</w:t>
      </w:r>
      <w:r w:rsidRPr="003B6E11">
        <w:rPr>
          <w:lang w:val="cs-CZ"/>
        </w:rPr>
        <w:br/>
      </w:r>
      <w:r w:rsidRPr="003B6E11">
        <w:rPr>
          <w:i/>
          <w:noProof/>
          <w:lang w:val="cs-CZ"/>
        </w:rPr>
        <w:t>Norma S2</w:t>
      </w:r>
      <w:bookmarkEnd w:id="546"/>
      <w:bookmarkEnd w:id="547"/>
    </w:p>
    <w:p w:rsidR="00E82B25" w:rsidRPr="003B6E11" w:rsidRDefault="00E82B25" w:rsidP="00E82B25">
      <w:pPr>
        <w:pStyle w:val="ESch"/>
        <w:rPr>
          <w:noProof/>
          <w:lang w:val="cs-CZ"/>
        </w:rPr>
      </w:pPr>
    </w:p>
    <w:p w:rsidR="00E82B25" w:rsidRPr="003B6E11" w:rsidRDefault="00E82B25" w:rsidP="00E82B25">
      <w:pPr>
        <w:pStyle w:val="ESch"/>
        <w:rPr>
          <w:noProof/>
          <w:lang w:val="cs-CZ"/>
        </w:rPr>
      </w:pPr>
      <w:r w:rsidRPr="003B6E11">
        <w:rPr>
          <w:lang w:val="cs-CZ"/>
        </w:rPr>
        <w:t>Norma S1 a dodatečné vybavení:</w:t>
      </w:r>
    </w:p>
    <w:p w:rsidR="00E82B25" w:rsidRPr="003B6E11" w:rsidRDefault="00E82B25" w:rsidP="00E82B25">
      <w:pPr>
        <w:pStyle w:val="ESch"/>
        <w:rPr>
          <w:noProof/>
          <w:lang w:val="cs-CZ"/>
        </w:rPr>
      </w:pPr>
    </w:p>
    <w:p w:rsidR="00E82B25" w:rsidRPr="003B6E11" w:rsidRDefault="00E82B25" w:rsidP="00E82B25">
      <w:pPr>
        <w:pStyle w:val="ESch"/>
        <w:rPr>
          <w:noProof/>
          <w:szCs w:val="18"/>
          <w:lang w:val="cs-CZ"/>
        </w:rPr>
      </w:pPr>
      <w:r w:rsidRPr="003B6E11">
        <w:rPr>
          <w:lang w:val="cs-CZ"/>
        </w:rPr>
        <w:t>1.</w:t>
      </w:r>
      <w:r w:rsidRPr="003B6E11">
        <w:rPr>
          <w:lang w:val="cs-CZ"/>
        </w:rPr>
        <w:tab/>
        <w:t>Pro motorové lodě plující samostatně:</w:t>
      </w:r>
    </w:p>
    <w:p w:rsidR="00E82B25" w:rsidRPr="003B6E11" w:rsidRDefault="00E82B25" w:rsidP="00E82B25">
      <w:pPr>
        <w:pStyle w:val="ESch"/>
        <w:rPr>
          <w:noProof/>
          <w:lang w:val="cs-CZ"/>
        </w:rPr>
      </w:pPr>
    </w:p>
    <w:p w:rsidR="00E82B25" w:rsidRPr="003B6E11" w:rsidRDefault="00E82B25" w:rsidP="00E82B25">
      <w:pPr>
        <w:pStyle w:val="ESchpar"/>
        <w:rPr>
          <w:noProof/>
          <w:szCs w:val="18"/>
          <w:lang w:val="cs-CZ"/>
        </w:rPr>
      </w:pPr>
      <w:r w:rsidRPr="003B6E11">
        <w:rPr>
          <w:lang w:val="cs-CZ"/>
        </w:rPr>
        <w:t>boční pohon přídě, který lze ovládat z ovládacího stanoviště;</w:t>
      </w:r>
    </w:p>
    <w:p w:rsidR="00E82B25" w:rsidRPr="003B6E11" w:rsidRDefault="00E82B25" w:rsidP="00E82B25">
      <w:pPr>
        <w:pStyle w:val="ESch"/>
        <w:rPr>
          <w:noProof/>
          <w:lang w:val="cs-CZ"/>
        </w:rPr>
      </w:pPr>
    </w:p>
    <w:p w:rsidR="00E82B25" w:rsidRPr="003B6E11" w:rsidRDefault="00E82B25" w:rsidP="00E82B25">
      <w:pPr>
        <w:pStyle w:val="ESch"/>
        <w:rPr>
          <w:noProof/>
          <w:szCs w:val="18"/>
          <w:lang w:val="cs-CZ"/>
        </w:rPr>
      </w:pPr>
      <w:r w:rsidRPr="003B6E11">
        <w:rPr>
          <w:lang w:val="cs-CZ"/>
        </w:rPr>
        <w:t>2.</w:t>
      </w:r>
      <w:r w:rsidRPr="003B6E11">
        <w:rPr>
          <w:lang w:val="cs-CZ"/>
        </w:rPr>
        <w:tab/>
        <w:t>Pro motorové lodě, které vedou bočně svázané sestavy:</w:t>
      </w:r>
    </w:p>
    <w:p w:rsidR="00E82B25" w:rsidRPr="003B6E11" w:rsidRDefault="00E82B25" w:rsidP="00E82B25">
      <w:pPr>
        <w:pStyle w:val="ESch"/>
        <w:rPr>
          <w:noProof/>
          <w:lang w:val="cs-CZ"/>
        </w:rPr>
      </w:pPr>
    </w:p>
    <w:p w:rsidR="00E82B25" w:rsidRPr="003B6E11" w:rsidRDefault="00E82B25" w:rsidP="00E82B25">
      <w:pPr>
        <w:pStyle w:val="ESchpar"/>
        <w:rPr>
          <w:noProof/>
          <w:szCs w:val="18"/>
          <w:lang w:val="cs-CZ"/>
        </w:rPr>
      </w:pPr>
      <w:r w:rsidRPr="003B6E11">
        <w:rPr>
          <w:lang w:val="cs-CZ"/>
        </w:rPr>
        <w:t>boční pohon přídě, který lze ovládat z ovládacího stanoviště;</w:t>
      </w:r>
    </w:p>
    <w:p w:rsidR="00E82B25" w:rsidRPr="003B6E11" w:rsidRDefault="00E82B25" w:rsidP="00E82B25">
      <w:pPr>
        <w:pStyle w:val="ESch"/>
        <w:rPr>
          <w:noProof/>
          <w:lang w:val="cs-CZ"/>
        </w:rPr>
      </w:pPr>
    </w:p>
    <w:p w:rsidR="00E82B25" w:rsidRPr="003B6E11" w:rsidRDefault="00E82B25" w:rsidP="00E82B25">
      <w:pPr>
        <w:pStyle w:val="ESch"/>
        <w:rPr>
          <w:noProof/>
          <w:szCs w:val="18"/>
          <w:lang w:val="cs-CZ"/>
        </w:rPr>
      </w:pPr>
      <w:r w:rsidRPr="003B6E11">
        <w:rPr>
          <w:lang w:val="cs-CZ"/>
        </w:rPr>
        <w:t>3.</w:t>
      </w:r>
      <w:r w:rsidRPr="003B6E11">
        <w:rPr>
          <w:lang w:val="cs-CZ"/>
        </w:rPr>
        <w:tab/>
        <w:t>Pro motorové lodě vedoucí tlačné sestavy složené z motorové lodě a plavidel vpředu:</w:t>
      </w:r>
    </w:p>
    <w:p w:rsidR="00E82B25" w:rsidRPr="003B6E11" w:rsidRDefault="00E82B25" w:rsidP="00E82B25">
      <w:pPr>
        <w:pStyle w:val="ESch"/>
        <w:rPr>
          <w:noProof/>
          <w:lang w:val="cs-CZ"/>
        </w:rPr>
      </w:pPr>
    </w:p>
    <w:p w:rsidR="00E82B25" w:rsidRPr="003B6E11" w:rsidRDefault="00E82B25" w:rsidP="00E82B25">
      <w:pPr>
        <w:pStyle w:val="ESchpar"/>
        <w:rPr>
          <w:noProof/>
          <w:szCs w:val="18"/>
          <w:lang w:val="cs-CZ"/>
        </w:rPr>
      </w:pPr>
      <w:r w:rsidRPr="003B6E11">
        <w:rPr>
          <w:lang w:val="cs-CZ"/>
        </w:rPr>
        <w:t>hydraulicky nebo elektricky ovládanými spojovacími navijáky. Toto zařízení se však nevyžaduje, je-li plavidlo v čele tlačné sestavy vybaveno bočním pohonem přídě, který lze ovládat z ovládacího stanoviště tlačné motorové lodě.</w:t>
      </w:r>
    </w:p>
    <w:p w:rsidR="00E82B25" w:rsidRPr="003B6E11" w:rsidRDefault="00E82B25" w:rsidP="00E82B25">
      <w:pPr>
        <w:pStyle w:val="ESch"/>
        <w:rPr>
          <w:noProof/>
          <w:lang w:val="cs-CZ"/>
        </w:rPr>
      </w:pPr>
    </w:p>
    <w:p w:rsidR="00E82B25" w:rsidRPr="003B6E11" w:rsidRDefault="00E82B25" w:rsidP="00E82B25">
      <w:pPr>
        <w:pStyle w:val="ESch"/>
        <w:rPr>
          <w:noProof/>
          <w:szCs w:val="18"/>
          <w:lang w:val="cs-CZ"/>
        </w:rPr>
      </w:pPr>
      <w:r w:rsidRPr="003B6E11">
        <w:rPr>
          <w:lang w:val="cs-CZ"/>
        </w:rPr>
        <w:t>4.</w:t>
      </w:r>
      <w:r w:rsidRPr="003B6E11">
        <w:rPr>
          <w:lang w:val="cs-CZ"/>
        </w:rPr>
        <w:tab/>
        <w:t>Pro tlačné remorkéry vedoucí tlačnou sestavu:</w:t>
      </w:r>
    </w:p>
    <w:p w:rsidR="00E82B25" w:rsidRPr="003B6E11" w:rsidRDefault="00E82B25" w:rsidP="00E82B25">
      <w:pPr>
        <w:pStyle w:val="ESch"/>
        <w:rPr>
          <w:noProof/>
          <w:lang w:val="cs-CZ"/>
        </w:rPr>
      </w:pPr>
    </w:p>
    <w:p w:rsidR="00E82B25" w:rsidRPr="003B6E11" w:rsidRDefault="00E82B25" w:rsidP="00E82B25">
      <w:pPr>
        <w:pStyle w:val="ESchpar"/>
        <w:rPr>
          <w:noProof/>
          <w:szCs w:val="18"/>
          <w:lang w:val="cs-CZ"/>
        </w:rPr>
      </w:pPr>
      <w:r w:rsidRPr="003B6E11">
        <w:rPr>
          <w:lang w:val="cs-CZ"/>
        </w:rPr>
        <w:t>hydraulické nebo elektrické spojovacími navijáky. Toto zařízení se však nevyžaduje, je-li plavidlo v čele tlačné sestavy vybaveno bočním pohonem přídě, který lze ovládat z ovládacího stanoviště tlačného remorkéru.</w:t>
      </w:r>
    </w:p>
    <w:p w:rsidR="00E82B25" w:rsidRPr="003B6E11" w:rsidRDefault="00E82B25" w:rsidP="00E82B25">
      <w:pPr>
        <w:pStyle w:val="ESchpar"/>
        <w:rPr>
          <w:noProof/>
          <w:lang w:val="cs-CZ"/>
        </w:rPr>
      </w:pPr>
    </w:p>
    <w:p w:rsidR="00E82B25" w:rsidRPr="003B6E11" w:rsidRDefault="00E82B25" w:rsidP="00E82B25">
      <w:pPr>
        <w:pStyle w:val="ESch"/>
        <w:rPr>
          <w:noProof/>
          <w:szCs w:val="18"/>
          <w:lang w:val="cs-CZ"/>
        </w:rPr>
      </w:pPr>
      <w:r w:rsidRPr="003B6E11">
        <w:rPr>
          <w:lang w:val="cs-CZ"/>
        </w:rPr>
        <w:t>5.</w:t>
      </w:r>
      <w:r w:rsidRPr="003B6E11">
        <w:rPr>
          <w:lang w:val="cs-CZ"/>
        </w:rPr>
        <w:tab/>
        <w:t>Pro osobní lodě:</w:t>
      </w:r>
    </w:p>
    <w:p w:rsidR="00E82B25" w:rsidRPr="003B6E11" w:rsidRDefault="00E82B25" w:rsidP="00E82B25">
      <w:pPr>
        <w:pStyle w:val="ESch"/>
        <w:rPr>
          <w:noProof/>
          <w:lang w:val="cs-CZ"/>
        </w:rPr>
      </w:pPr>
    </w:p>
    <w:p w:rsidR="00E82B25" w:rsidRPr="003B6E11" w:rsidRDefault="00E82B25" w:rsidP="00E82B25">
      <w:pPr>
        <w:pStyle w:val="ESchpar"/>
        <w:rPr>
          <w:noProof/>
          <w:lang w:val="cs-CZ"/>
        </w:rPr>
      </w:pPr>
      <w:r w:rsidRPr="003B6E11">
        <w:rPr>
          <w:lang w:val="cs-CZ"/>
        </w:rPr>
        <w:t>boční pohon přídě, který lze ovládat z ovládacího stanoviště. Toto zařízení se však nevyžaduje, pokud pohonný systém a kormidelní zařízení osobní lodě zaručuje rovnocennou manévrovatelnost.</w:t>
      </w:r>
    </w:p>
    <w:p w:rsidR="00E82B25" w:rsidRPr="003B6E11" w:rsidRDefault="00E82B25" w:rsidP="00E82B25">
      <w:pPr>
        <w:pStyle w:val="ESchpar"/>
        <w:rPr>
          <w:noProof/>
          <w:lang w:val="cs-CZ"/>
        </w:rPr>
      </w:pPr>
    </w:p>
    <w:p w:rsidR="00E82B25" w:rsidRPr="003B6E11" w:rsidRDefault="00E82B25" w:rsidP="00E82B25">
      <w:pPr>
        <w:pStyle w:val="ESchpar"/>
        <w:rPr>
          <w:noProof/>
          <w:lang w:val="cs-CZ"/>
        </w:rPr>
      </w:pPr>
    </w:p>
    <w:p w:rsidR="00E82B25" w:rsidRPr="003B6E11" w:rsidRDefault="00E82B25" w:rsidP="00E82B25">
      <w:pPr>
        <w:pStyle w:val="ESchpar"/>
        <w:rPr>
          <w:noProof/>
          <w:lang w:val="cs-CZ"/>
        </w:rPr>
      </w:pPr>
    </w:p>
    <w:p w:rsidR="00E82B25" w:rsidRPr="003B6E11" w:rsidRDefault="00E82B25" w:rsidP="00E82B25">
      <w:pPr>
        <w:pStyle w:val="ESchpar"/>
        <w:rPr>
          <w:noProof/>
          <w:lang w:val="cs-CZ"/>
        </w:rPr>
      </w:pPr>
    </w:p>
    <w:p w:rsidR="00E82B25" w:rsidRPr="003B6E11" w:rsidRDefault="00E82B25" w:rsidP="00E82B25">
      <w:pPr>
        <w:pStyle w:val="ESch"/>
        <w:rPr>
          <w:rFonts w:cs="Arial"/>
          <w:szCs w:val="20"/>
          <w:lang w:val="cs-CZ"/>
        </w:rPr>
      </w:pPr>
    </w:p>
    <w:p w:rsidR="00E82B25" w:rsidRPr="003B6E11" w:rsidRDefault="00E82B25" w:rsidP="00E82B25">
      <w:pPr>
        <w:pStyle w:val="ESch"/>
        <w:rPr>
          <w:lang w:val="cs-CZ"/>
        </w:rPr>
        <w:sectPr w:rsidR="00E82B25" w:rsidRPr="003B6E11" w:rsidSect="00AC5CC1">
          <w:headerReference w:type="first" r:id="rId27"/>
          <w:footnotePr>
            <w:numRestart w:val="eachPage"/>
          </w:footnotePr>
          <w:pgSz w:w="11906" w:h="16838" w:code="9"/>
          <w:pgMar w:top="1418" w:right="1418" w:bottom="1418" w:left="1418" w:header="709" w:footer="709" w:gutter="0"/>
          <w:cols w:space="709"/>
          <w:titlePg/>
          <w:docGrid w:linePitch="272"/>
        </w:sectPr>
      </w:pPr>
    </w:p>
    <w:p w:rsidR="00E82B25" w:rsidRPr="003B6E11" w:rsidRDefault="00E82B25" w:rsidP="00E82B25">
      <w:pPr>
        <w:pStyle w:val="ES-Titre1"/>
      </w:pPr>
      <w:bookmarkStart w:id="548" w:name="_Toc491854271"/>
      <w:bookmarkStart w:id="549" w:name="_Toc535417177"/>
      <w:r w:rsidRPr="003B6E11">
        <w:t>ČÁST IV</w:t>
      </w:r>
      <w:r w:rsidRPr="003B6E11">
        <w:br/>
        <w:t>PŘECHODNÁ USTANOVENÍ</w:t>
      </w:r>
      <w:bookmarkEnd w:id="548"/>
      <w:bookmarkEnd w:id="549"/>
    </w:p>
    <w:p w:rsidR="00E82B25" w:rsidRPr="003B6E11" w:rsidRDefault="00E82B25" w:rsidP="00E82B25">
      <w:pPr>
        <w:rPr>
          <w:lang w:val="cs-CZ"/>
        </w:rPr>
      </w:pPr>
    </w:p>
    <w:p w:rsidR="00E82B25" w:rsidRPr="003B6E11" w:rsidRDefault="00E82B25" w:rsidP="00E82B25">
      <w:pPr>
        <w:pStyle w:val="ES-Titre2"/>
        <w:pageBreakBefore w:val="0"/>
      </w:pPr>
      <w:bookmarkStart w:id="550" w:name="_Toc491854272"/>
      <w:bookmarkStart w:id="551" w:name="_Toc535417178"/>
      <w:r w:rsidRPr="003B6E11">
        <w:t>Kapitola 32</w:t>
      </w:r>
      <w:r w:rsidRPr="003B6E11">
        <w:br/>
        <w:t>Přechodná ustanovení pro plavidla provozovaná na Rýně (zóna R)</w:t>
      </w:r>
      <w:bookmarkEnd w:id="550"/>
      <w:bookmarkEnd w:id="551"/>
    </w:p>
    <w:p w:rsidR="00E82B25" w:rsidRPr="003B6E11" w:rsidRDefault="00E82B25" w:rsidP="00E82B25">
      <w:pPr>
        <w:overflowPunct w:val="0"/>
        <w:adjustRightInd w:val="0"/>
        <w:spacing w:line="240" w:lineRule="exact"/>
        <w:jc w:val="center"/>
        <w:textAlignment w:val="baseline"/>
        <w:rPr>
          <w:rFonts w:eastAsia="Calibri"/>
          <w:b/>
          <w:lang w:val="cs-CZ"/>
        </w:rPr>
      </w:pPr>
    </w:p>
    <w:p w:rsidR="00E82B25" w:rsidRPr="003B6E11" w:rsidRDefault="00E82B25" w:rsidP="00E82B25">
      <w:pPr>
        <w:pStyle w:val="ES-Titre3prchap32"/>
      </w:pPr>
      <w:bookmarkStart w:id="552" w:name="_Toc491854273"/>
      <w:bookmarkStart w:id="553" w:name="_Toc535417179"/>
      <w:r w:rsidRPr="003B6E11">
        <w:t>Článek 32.01</w:t>
      </w:r>
      <w:bookmarkEnd w:id="552"/>
      <w:bookmarkEnd w:id="553"/>
    </w:p>
    <w:p w:rsidR="00E82B25" w:rsidRPr="003B6E11" w:rsidRDefault="00E82B25" w:rsidP="00E82B25">
      <w:pPr>
        <w:pStyle w:val="ES-Titre3a"/>
        <w:rPr>
          <w:lang w:val="cs-CZ"/>
        </w:rPr>
      </w:pPr>
      <w:bookmarkStart w:id="554" w:name="_Toc421775883"/>
      <w:bookmarkStart w:id="555" w:name="_Toc491854274"/>
      <w:bookmarkStart w:id="556" w:name="_Toc535417180"/>
      <w:r w:rsidRPr="003B6E11">
        <w:rPr>
          <w:lang w:val="cs-CZ"/>
        </w:rPr>
        <w:t>Použitelnost přechodných ustanovení na plavidla, která jsou již v provozu</w:t>
      </w:r>
      <w:bookmarkEnd w:id="554"/>
      <w:bookmarkEnd w:id="555"/>
      <w:bookmarkEnd w:id="556"/>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hanging="567"/>
        <w:rPr>
          <w:lang w:val="cs-CZ"/>
        </w:rPr>
      </w:pPr>
      <w:r w:rsidRPr="003B6E11">
        <w:rPr>
          <w:lang w:val="cs-CZ"/>
        </w:rPr>
        <w:t>1.</w:t>
      </w:r>
      <w:r w:rsidRPr="003B6E11">
        <w:rPr>
          <w:lang w:val="cs-CZ"/>
        </w:rPr>
        <w:tab/>
        <w:t>Články 32.02 až 32.04 se vztahují pouze na plavidla, která mají platné osvědčení o inspekci plavby na Rýně:</w:t>
      </w:r>
    </w:p>
    <w:p w:rsidR="00E82B25" w:rsidRPr="003B6E11" w:rsidRDefault="00E82B25" w:rsidP="00E82B25">
      <w:pPr>
        <w:spacing w:before="60" w:line="240" w:lineRule="atLeast"/>
        <w:ind w:left="992"/>
        <w:rPr>
          <w:lang w:val="cs-CZ"/>
        </w:rPr>
      </w:pPr>
      <w:r w:rsidRPr="003B6E11">
        <w:rPr>
          <w:lang w:val="cs-CZ"/>
        </w:rPr>
        <w:t>a)</w:t>
      </w:r>
      <w:r w:rsidRPr="003B6E11">
        <w:rPr>
          <w:lang w:val="cs-CZ"/>
        </w:rPr>
        <w:tab/>
        <w:t xml:space="preserve">vydané poprvé podle nařízení o inspekci plavby na Rýně ve znění platném k 31. prosinci 1994, nebo </w:t>
      </w:r>
    </w:p>
    <w:p w:rsidR="00E82B25" w:rsidRPr="003B6E11" w:rsidRDefault="00E82B25" w:rsidP="00E82B25">
      <w:pPr>
        <w:spacing w:before="60" w:line="240" w:lineRule="atLeast"/>
        <w:ind w:left="992"/>
        <w:rPr>
          <w:lang w:val="cs-CZ"/>
        </w:rPr>
      </w:pPr>
      <w:r w:rsidRPr="003B6E11">
        <w:rPr>
          <w:lang w:val="cs-CZ"/>
        </w:rPr>
        <w:t>b)</w:t>
      </w:r>
      <w:r w:rsidRPr="003B6E11">
        <w:rPr>
          <w:lang w:val="cs-CZ"/>
        </w:rPr>
        <w:tab/>
        <w:t>obnovené alespoň jednou před 31. prosincem 1994, nebo</w:t>
      </w:r>
    </w:p>
    <w:p w:rsidR="00E82B25" w:rsidRPr="003B6E11" w:rsidRDefault="00E82B25" w:rsidP="00E82B25">
      <w:pPr>
        <w:spacing w:before="60" w:line="240" w:lineRule="atLeast"/>
        <w:ind w:left="992"/>
        <w:rPr>
          <w:lang w:val="cs-CZ"/>
        </w:rPr>
      </w:pPr>
      <w:r w:rsidRPr="003B6E11">
        <w:rPr>
          <w:lang w:val="cs-CZ"/>
        </w:rPr>
        <w:t>c)</w:t>
      </w:r>
      <w:r w:rsidRPr="003B6E11">
        <w:rPr>
          <w:lang w:val="cs-CZ"/>
        </w:rPr>
        <w:tab/>
        <w:t>která byla k 31. prosinci 1994 ve výstavbě nebo procházela přestavbou.</w:t>
      </w:r>
    </w:p>
    <w:p w:rsidR="00E82B25" w:rsidRPr="003B6E11" w:rsidRDefault="00E82B25" w:rsidP="00E82B25">
      <w:pPr>
        <w:spacing w:line="240" w:lineRule="atLeast"/>
        <w:ind w:left="567"/>
        <w:rPr>
          <w:lang w:val="cs-CZ"/>
        </w:rPr>
      </w:pPr>
    </w:p>
    <w:p w:rsidR="00E82B25" w:rsidRPr="003B6E11" w:rsidRDefault="00E82B25" w:rsidP="00E82B25">
      <w:pPr>
        <w:spacing w:line="240" w:lineRule="atLeast"/>
        <w:ind w:left="567" w:hanging="567"/>
        <w:rPr>
          <w:lang w:val="cs-CZ"/>
        </w:rPr>
      </w:pPr>
      <w:r w:rsidRPr="003B6E11">
        <w:rPr>
          <w:lang w:val="cs-CZ"/>
        </w:rPr>
        <w:t>2.</w:t>
      </w:r>
      <w:r w:rsidRPr="003B6E11">
        <w:rPr>
          <w:lang w:val="cs-CZ"/>
        </w:rPr>
        <w:tab/>
        <w:t>Na plavidla, která nejsou zahrnuta v odstavci 1, se vztahují ustanovení článku 32.05.</w:t>
      </w:r>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hanging="567"/>
        <w:rPr>
          <w:lang w:val="cs-CZ"/>
        </w:rPr>
      </w:pPr>
    </w:p>
    <w:p w:rsidR="00E82B25" w:rsidRPr="003B6E11" w:rsidRDefault="00E82B25" w:rsidP="00E82B25">
      <w:pPr>
        <w:pStyle w:val="ES-Titre3"/>
        <w:rPr>
          <w:lang w:val="cs-CZ"/>
        </w:rPr>
      </w:pPr>
      <w:bookmarkStart w:id="557" w:name="_Toc491854275"/>
      <w:bookmarkStart w:id="558" w:name="_Toc535417181"/>
      <w:r w:rsidRPr="003B6E11">
        <w:rPr>
          <w:lang w:val="cs-CZ"/>
        </w:rPr>
        <w:t>Článek 32.02</w:t>
      </w:r>
      <w:bookmarkEnd w:id="557"/>
      <w:bookmarkEnd w:id="558"/>
    </w:p>
    <w:p w:rsidR="00E82B25" w:rsidRPr="003B6E11" w:rsidRDefault="00E82B25" w:rsidP="00E82B25">
      <w:pPr>
        <w:pStyle w:val="ES-Titre3a"/>
        <w:rPr>
          <w:lang w:val="cs-CZ"/>
        </w:rPr>
      </w:pPr>
      <w:bookmarkStart w:id="559" w:name="_Toc421775885"/>
      <w:bookmarkStart w:id="560" w:name="_Toc491854276"/>
      <w:bookmarkStart w:id="561" w:name="_Toc535417182"/>
      <w:r w:rsidRPr="003B6E11">
        <w:rPr>
          <w:lang w:val="cs-CZ"/>
        </w:rPr>
        <w:t>Přechodná ustanovení pro plavidla, která jsou již v provozu</w:t>
      </w:r>
      <w:bookmarkEnd w:id="559"/>
      <w:bookmarkEnd w:id="560"/>
      <w:bookmarkEnd w:id="561"/>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hanging="567"/>
        <w:rPr>
          <w:b/>
          <w:lang w:val="cs-CZ"/>
        </w:rPr>
      </w:pPr>
      <w:r w:rsidRPr="003B6E11">
        <w:rPr>
          <w:lang w:val="cs-CZ"/>
        </w:rPr>
        <w:t>1.</w:t>
      </w:r>
      <w:r w:rsidRPr="003B6E11">
        <w:rPr>
          <w:lang w:val="cs-CZ"/>
        </w:rPr>
        <w:tab/>
        <w:t>Plavidla, která nejsou zcela v souladu s požadavky této normy:</w:t>
      </w:r>
    </w:p>
    <w:p w:rsidR="00E82B25" w:rsidRPr="003B6E11" w:rsidRDefault="00E82B25" w:rsidP="00E82B25">
      <w:pPr>
        <w:spacing w:before="60" w:line="240" w:lineRule="atLeast"/>
        <w:ind w:left="992"/>
        <w:rPr>
          <w:lang w:val="cs-CZ"/>
        </w:rPr>
      </w:pPr>
      <w:r w:rsidRPr="003B6E11">
        <w:rPr>
          <w:lang w:val="cs-CZ"/>
        </w:rPr>
        <w:t>a)</w:t>
      </w:r>
      <w:r w:rsidRPr="003B6E11">
        <w:rPr>
          <w:lang w:val="cs-CZ"/>
        </w:rPr>
        <w:tab/>
        <w:t>musí být upravena tak, aby vyhovovala těmto ustanovením podle přechodných ustanovení uvedených v tabulce níže a</w:t>
      </w:r>
    </w:p>
    <w:p w:rsidR="00E82B25" w:rsidRPr="003B6E11" w:rsidRDefault="00E82B25" w:rsidP="00E82B25">
      <w:pPr>
        <w:spacing w:before="60" w:line="240" w:lineRule="atLeast"/>
        <w:ind w:left="992"/>
        <w:rPr>
          <w:lang w:val="cs-CZ"/>
        </w:rPr>
      </w:pPr>
      <w:r w:rsidRPr="003B6E11">
        <w:rPr>
          <w:lang w:val="cs-CZ"/>
        </w:rPr>
        <w:t>b)</w:t>
      </w:r>
      <w:r w:rsidRPr="003B6E11">
        <w:rPr>
          <w:lang w:val="cs-CZ"/>
        </w:rPr>
        <w:tab/>
        <w:t>až do úpravy musí být v souladu s nařízeními o inspekci plavby na Rýně ve znění platném k 31. prosinci 1994.</w:t>
      </w:r>
    </w:p>
    <w:p w:rsidR="00E82B25" w:rsidRPr="003B6E11" w:rsidRDefault="00E82B25" w:rsidP="00E82B25">
      <w:pPr>
        <w:spacing w:line="240" w:lineRule="atLeast"/>
        <w:ind w:left="567" w:hanging="567"/>
        <w:rPr>
          <w:rFonts w:cs="Arial"/>
          <w:sz w:val="18"/>
          <w:szCs w:val="18"/>
          <w:lang w:val="cs-CZ"/>
        </w:rPr>
      </w:pPr>
    </w:p>
    <w:p w:rsidR="00E82B25" w:rsidRPr="003B6E11" w:rsidRDefault="00E82B25" w:rsidP="00E82B25">
      <w:pPr>
        <w:spacing w:before="60" w:line="240" w:lineRule="atLeast"/>
        <w:ind w:left="567"/>
        <w:rPr>
          <w:lang w:val="cs-CZ"/>
        </w:rPr>
      </w:pPr>
      <w:r w:rsidRPr="003B6E11">
        <w:rPr>
          <w:lang w:val="cs-CZ"/>
        </w:rPr>
        <w:t>Vystavuje-li se nové osvědčení plavidla vnitrozemské plavby plavidlu podle definice v čl. 32.01 odst. 1, předloží se osvědčení o inspekci plavby na Rýně jako doklad, osvědčení o inspekci plavby na Rýně se odejme a datum vydání osvědčení o inspekci plavby na Rýně podle nařízení o inspekci plavby na Rýně, které bylo platné k 31. prosinci 1994, se do bodu 52 nového osvědčení plavidla vnitrozemské plavby zapíše takto:</w:t>
      </w:r>
    </w:p>
    <w:p w:rsidR="00E82B25" w:rsidRPr="003B6E11" w:rsidRDefault="00E82B25" w:rsidP="00E82B25">
      <w:pPr>
        <w:spacing w:before="60" w:line="240" w:lineRule="atLeast"/>
        <w:ind w:left="567"/>
        <w:rPr>
          <w:lang w:val="cs-CZ"/>
        </w:rPr>
      </w:pPr>
      <w:r w:rsidRPr="003B6E11">
        <w:rPr>
          <w:lang w:val="cs-CZ"/>
        </w:rPr>
        <w:t>„Osvědčení o inspekci plavby na Rýně podle nařízení o inspekci plavby na Rýně ve znění platném k 31. prosinci 1994 bylo vydáno dne: ...“</w:t>
      </w:r>
    </w:p>
    <w:p w:rsidR="00E82B25" w:rsidRPr="003B6E11" w:rsidRDefault="00E82B25" w:rsidP="00E82B25">
      <w:pPr>
        <w:spacing w:line="240" w:lineRule="atLeast"/>
        <w:ind w:left="567" w:hanging="567"/>
        <w:rPr>
          <w:lang w:val="cs-CZ"/>
        </w:rPr>
      </w:pPr>
    </w:p>
    <w:p w:rsidR="00E82B25" w:rsidRPr="003B6E11" w:rsidRDefault="00E82B25" w:rsidP="00E82B25">
      <w:pPr>
        <w:rPr>
          <w:lang w:val="cs-CZ"/>
        </w:rPr>
      </w:pPr>
      <w:r w:rsidRPr="003B6E11">
        <w:rPr>
          <w:lang w:val="cs-CZ"/>
        </w:rPr>
        <w:br w:type="page"/>
      </w:r>
    </w:p>
    <w:p w:rsidR="00E82B25" w:rsidRPr="003B6E11" w:rsidRDefault="00E82B25" w:rsidP="00E82B25">
      <w:pPr>
        <w:spacing w:line="240" w:lineRule="atLeast"/>
        <w:ind w:left="567" w:hanging="567"/>
        <w:rPr>
          <w:lang w:val="cs-CZ"/>
        </w:rPr>
      </w:pPr>
      <w:r w:rsidRPr="003B6E11">
        <w:rPr>
          <w:lang w:val="cs-CZ"/>
        </w:rPr>
        <w:t>2.</w:t>
      </w:r>
      <w:r w:rsidRPr="003B6E11">
        <w:rPr>
          <w:lang w:val="cs-CZ"/>
        </w:rPr>
        <w:tab/>
        <w:t>V tabulce platí tyto definice:</w:t>
      </w:r>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rPr>
          <w:lang w:val="cs-CZ"/>
        </w:rPr>
      </w:pPr>
      <w:r w:rsidRPr="003B6E11">
        <w:rPr>
          <w:lang w:val="cs-CZ"/>
        </w:rPr>
        <w:t xml:space="preserve">„N.V.P.“: ustanovení se nevztahuje na plavidla, která jsou již v provozu, nejsou-li dotyčné části měněny nebo přestavovány, tj. ustanovení se vztahuje pouze na </w:t>
      </w:r>
      <w:r w:rsidRPr="003B6E11">
        <w:rPr>
          <w:u w:val="single"/>
          <w:lang w:val="cs-CZ"/>
        </w:rPr>
        <w:t>N</w:t>
      </w:r>
      <w:r w:rsidRPr="003B6E11">
        <w:rPr>
          <w:lang w:val="cs-CZ"/>
        </w:rPr>
        <w:t xml:space="preserve">ové lodě a na </w:t>
      </w:r>
      <w:r w:rsidRPr="003B6E11">
        <w:rPr>
          <w:u w:val="single"/>
          <w:lang w:val="cs-CZ"/>
        </w:rPr>
        <w:t>V</w:t>
      </w:r>
      <w:r w:rsidRPr="003B6E11">
        <w:rPr>
          <w:lang w:val="cs-CZ"/>
        </w:rPr>
        <w:t xml:space="preserve">ýměnu nebo </w:t>
      </w:r>
      <w:r w:rsidRPr="003B6E11">
        <w:rPr>
          <w:u w:val="single"/>
          <w:lang w:val="cs-CZ"/>
        </w:rPr>
        <w:t>P</w:t>
      </w:r>
      <w:r w:rsidRPr="003B6E11">
        <w:rPr>
          <w:lang w:val="cs-CZ"/>
        </w:rPr>
        <w:t xml:space="preserve">řestavbu dotyčných částí nebo prostor. Jsou-li stávající části nahrazovány náhradními součástmi se stejnou technologií nebo stejného typu, nepředstavuje to výměnu („V“) ve smyslu přechodných ustanovení. </w:t>
      </w:r>
    </w:p>
    <w:p w:rsidR="00E82B25" w:rsidRPr="003B6E11" w:rsidRDefault="00E82B25" w:rsidP="00E82B25">
      <w:pPr>
        <w:spacing w:line="240" w:lineRule="atLeast"/>
        <w:ind w:left="567"/>
        <w:rPr>
          <w:lang w:val="cs-CZ"/>
        </w:rPr>
      </w:pPr>
    </w:p>
    <w:p w:rsidR="00E82B25" w:rsidRPr="003B6E11" w:rsidRDefault="00E82B25" w:rsidP="00E82B25">
      <w:pPr>
        <w:tabs>
          <w:tab w:val="left" w:pos="4678"/>
        </w:tabs>
        <w:spacing w:line="240" w:lineRule="atLeast"/>
        <w:ind w:left="567"/>
        <w:rPr>
          <w:lang w:val="cs-CZ"/>
        </w:rPr>
      </w:pPr>
      <w:r w:rsidRPr="003B6E11">
        <w:rPr>
          <w:lang w:val="cs-CZ"/>
        </w:rPr>
        <w:t>„Vystavení nebo obnovení osvědčení plavidla vnitrozemské plavby“: soulad s ustanovením musí být zajištěn do doby vystavení osvědčení plavidla vnitrozemské plavby nebo jeho obnovení po vstupu ustanovení v platnost.</w:t>
      </w:r>
    </w:p>
    <w:p w:rsidR="00E82B25" w:rsidRPr="003B6E11" w:rsidRDefault="00E82B25" w:rsidP="00E82B25">
      <w:pPr>
        <w:spacing w:line="240" w:lineRule="atLeast"/>
        <w:ind w:left="567"/>
        <w:rPr>
          <w:lang w:val="cs-CZ"/>
        </w:rPr>
      </w:pPr>
    </w:p>
    <w:p w:rsidR="00E82B25" w:rsidRPr="003B6E11" w:rsidRDefault="00E82B25" w:rsidP="00E82B25">
      <w:pPr>
        <w:spacing w:line="240" w:lineRule="atLeast"/>
        <w:ind w:left="567"/>
        <w:rPr>
          <w:lang w:val="cs-CZ"/>
        </w:rPr>
      </w:pPr>
    </w:p>
    <w:p w:rsidR="00E82B25" w:rsidRPr="003B6E11" w:rsidRDefault="00E82B25" w:rsidP="00E82B25">
      <w:pPr>
        <w:spacing w:line="240" w:lineRule="atLeast"/>
        <w:ind w:left="567"/>
        <w:rPr>
          <w:lang w:val="cs-CZ"/>
        </w:rPr>
        <w:sectPr w:rsidR="00E82B25" w:rsidRPr="003B6E11" w:rsidSect="001E2331">
          <w:headerReference w:type="default" r:id="rId28"/>
          <w:footerReference w:type="default" r:id="rId29"/>
          <w:headerReference w:type="first" r:id="rId30"/>
          <w:footerReference w:type="first" r:id="rId31"/>
          <w:footnotePr>
            <w:numRestart w:val="eachPage"/>
          </w:footnotePr>
          <w:pgSz w:w="16838" w:h="11906" w:orient="landscape" w:code="9"/>
          <w:pgMar w:top="1418" w:right="1418" w:bottom="1418" w:left="1418" w:header="709" w:footer="709" w:gutter="0"/>
          <w:cols w:space="709"/>
          <w:titlePg/>
          <w:docGrid w:linePitch="272"/>
        </w:sectPr>
      </w:pPr>
    </w:p>
    <w:p w:rsidR="00E82B25" w:rsidRPr="003B6E11" w:rsidRDefault="00E82B25" w:rsidP="00E82B25">
      <w:pPr>
        <w:spacing w:line="240" w:lineRule="atLeast"/>
        <w:ind w:left="567"/>
        <w:rPr>
          <w:lang w:val="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458"/>
        <w:gridCol w:w="3296"/>
        <w:gridCol w:w="6521"/>
        <w:gridCol w:w="1276"/>
      </w:tblGrid>
      <w:tr w:rsidR="00E82B25" w:rsidRPr="003B6E11" w:rsidTr="002D015D">
        <w:trPr>
          <w:cantSplit/>
          <w:tblHeader/>
          <w:jc w:val="center"/>
        </w:trPr>
        <w:tc>
          <w:tcPr>
            <w:tcW w:w="2800" w:type="dxa"/>
            <w:gridSpan w:val="2"/>
            <w:shd w:val="clear" w:color="auto" w:fill="auto"/>
          </w:tcPr>
          <w:p w:rsidR="00E82B25" w:rsidRPr="003B6E11" w:rsidRDefault="00E82B25" w:rsidP="002D015D">
            <w:pPr>
              <w:spacing w:before="120" w:after="120" w:line="240" w:lineRule="atLeast"/>
              <w:jc w:val="center"/>
              <w:rPr>
                <w:rFonts w:cs="Arial"/>
                <w:sz w:val="18"/>
                <w:szCs w:val="18"/>
                <w:lang w:val="cs-CZ"/>
              </w:rPr>
            </w:pPr>
            <w:r w:rsidRPr="003B6E11">
              <w:rPr>
                <w:i/>
                <w:sz w:val="18"/>
                <w:lang w:val="cs-CZ"/>
              </w:rPr>
              <w:t>Článek a odstavec</w:t>
            </w:r>
          </w:p>
        </w:tc>
        <w:tc>
          <w:tcPr>
            <w:tcW w:w="3296" w:type="dxa"/>
            <w:shd w:val="clear" w:color="auto" w:fill="auto"/>
          </w:tcPr>
          <w:p w:rsidR="00E82B25" w:rsidRPr="003B6E11" w:rsidRDefault="00E82B25" w:rsidP="002D015D">
            <w:pPr>
              <w:spacing w:before="120" w:after="120" w:line="240" w:lineRule="atLeast"/>
              <w:jc w:val="center"/>
              <w:rPr>
                <w:rFonts w:cs="Arial"/>
                <w:sz w:val="18"/>
                <w:szCs w:val="18"/>
                <w:lang w:val="cs-CZ"/>
              </w:rPr>
            </w:pPr>
            <w:r w:rsidRPr="003B6E11">
              <w:rPr>
                <w:i/>
                <w:sz w:val="18"/>
                <w:lang w:val="cs-CZ"/>
              </w:rPr>
              <w:t>Obsah</w:t>
            </w:r>
          </w:p>
        </w:tc>
        <w:tc>
          <w:tcPr>
            <w:tcW w:w="7797" w:type="dxa"/>
            <w:gridSpan w:val="2"/>
            <w:shd w:val="clear" w:color="auto" w:fill="auto"/>
          </w:tcPr>
          <w:p w:rsidR="00E82B25" w:rsidRPr="003B6E11" w:rsidRDefault="00E82B25" w:rsidP="002D015D">
            <w:pPr>
              <w:spacing w:before="120" w:after="120" w:line="240" w:lineRule="atLeast"/>
              <w:jc w:val="center"/>
              <w:rPr>
                <w:rFonts w:cs="Arial"/>
                <w:sz w:val="18"/>
                <w:szCs w:val="18"/>
                <w:lang w:val="cs-CZ"/>
              </w:rPr>
            </w:pPr>
            <w:r w:rsidRPr="003B6E11">
              <w:rPr>
                <w:i/>
                <w:sz w:val="18"/>
                <w:lang w:val="cs-CZ"/>
              </w:rPr>
              <w:t>Lhůta a poznámky</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00" w:after="100" w:line="240" w:lineRule="atLeast"/>
              <w:jc w:val="center"/>
              <w:rPr>
                <w:rFonts w:cs="Arial"/>
                <w:b/>
                <w:sz w:val="18"/>
                <w:szCs w:val="18"/>
                <w:lang w:val="cs-CZ"/>
              </w:rPr>
            </w:pPr>
            <w:r w:rsidRPr="003B6E11">
              <w:rPr>
                <w:b/>
                <w:sz w:val="18"/>
                <w:lang w:val="cs-CZ"/>
              </w:rPr>
              <w:t>KAPITOLA 3</w:t>
            </w:r>
          </w:p>
        </w:tc>
        <w:tc>
          <w:tcPr>
            <w:tcW w:w="6521" w:type="dxa"/>
            <w:shd w:val="clear" w:color="auto" w:fill="auto"/>
          </w:tcPr>
          <w:p w:rsidR="00E82B25" w:rsidRPr="003B6E11" w:rsidRDefault="00E82B25" w:rsidP="002D015D">
            <w:pPr>
              <w:spacing w:before="100" w:after="100" w:line="240" w:lineRule="atLeast"/>
              <w:jc w:val="center"/>
              <w:rPr>
                <w:rFonts w:cs="Arial"/>
                <w:sz w:val="18"/>
                <w:szCs w:val="18"/>
                <w:lang w:val="cs-CZ"/>
              </w:rPr>
            </w:pPr>
          </w:p>
        </w:tc>
        <w:tc>
          <w:tcPr>
            <w:tcW w:w="1276" w:type="dxa"/>
            <w:shd w:val="clear" w:color="auto" w:fill="auto"/>
          </w:tcPr>
          <w:p w:rsidR="00E82B25" w:rsidRPr="003B6E11" w:rsidRDefault="00E82B25" w:rsidP="002D015D">
            <w:pPr>
              <w:spacing w:before="100" w:after="100" w:line="240" w:lineRule="atLeast"/>
              <w:jc w:val="center"/>
              <w:rPr>
                <w:rFonts w:cs="Arial"/>
                <w:sz w:val="18"/>
                <w:szCs w:val="18"/>
                <w:lang w:val="cs-CZ"/>
              </w:rPr>
            </w:pP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3.03</w:t>
            </w: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 písm. a)</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Umístění kolizních přepážek</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b/>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 písm. b)</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Umístění záďové přepážky</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b/>
                <w:sz w:val="18"/>
                <w:szCs w:val="18"/>
                <w:lang w:val="cs-CZ"/>
              </w:rPr>
            </w:pPr>
          </w:p>
        </w:tc>
        <w:tc>
          <w:tcPr>
            <w:tcW w:w="1458" w:type="dxa"/>
            <w:vMerge w:val="restart"/>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Obytné prostory před kolizní přepážkou</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b/>
                <w:sz w:val="18"/>
                <w:szCs w:val="18"/>
                <w:lang w:val="cs-CZ"/>
              </w:rPr>
            </w:pPr>
          </w:p>
        </w:tc>
        <w:tc>
          <w:tcPr>
            <w:tcW w:w="1458"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shd w:val="clear" w:color="auto" w:fill="auto"/>
          </w:tcPr>
          <w:p w:rsidR="00E82B25" w:rsidRPr="003B6E11" w:rsidRDefault="00E82B25" w:rsidP="002D015D">
            <w:pPr>
              <w:tabs>
                <w:tab w:val="left" w:pos="2790"/>
              </w:tabs>
              <w:spacing w:before="120" w:after="120" w:line="240" w:lineRule="atLeast"/>
              <w:rPr>
                <w:rFonts w:cs="Arial"/>
                <w:sz w:val="18"/>
                <w:szCs w:val="18"/>
                <w:lang w:val="cs-CZ"/>
              </w:rPr>
            </w:pPr>
            <w:r w:rsidRPr="003B6E11">
              <w:rPr>
                <w:sz w:val="18"/>
                <w:lang w:val="cs-CZ"/>
              </w:rPr>
              <w:t>Obytné prostory za záďovou přepážkou</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r>
      <w:tr w:rsidR="00E82B25" w:rsidRPr="003B6E11" w:rsidTr="002D015D">
        <w:trPr>
          <w:cantSplit/>
          <w:trHeight w:val="675"/>
          <w:jc w:val="center"/>
        </w:trPr>
        <w:tc>
          <w:tcPr>
            <w:tcW w:w="1342" w:type="dxa"/>
            <w:vMerge/>
            <w:shd w:val="clear" w:color="auto" w:fill="auto"/>
          </w:tcPr>
          <w:p w:rsidR="00E82B25" w:rsidRPr="003B6E11" w:rsidRDefault="00E82B25" w:rsidP="002D015D">
            <w:pPr>
              <w:spacing w:before="120" w:after="120" w:line="240" w:lineRule="atLeast"/>
              <w:rPr>
                <w:rFonts w:cs="Arial"/>
                <w:b/>
                <w:sz w:val="18"/>
                <w:szCs w:val="18"/>
                <w:lang w:val="cs-CZ"/>
              </w:rPr>
            </w:pPr>
          </w:p>
        </w:tc>
        <w:tc>
          <w:tcPr>
            <w:tcW w:w="1458"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Bezpečnostní vybavení</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b/>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Plynotěsné oddělení obytných prostor od strojoven, kotelen a podpalubních nákladových prostor</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b/>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5 druhý pododstavec</w:t>
            </w:r>
          </w:p>
        </w:tc>
        <w:tc>
          <w:tcPr>
            <w:tcW w:w="3296" w:type="dxa"/>
            <w:shd w:val="clear" w:color="auto" w:fill="auto"/>
          </w:tcPr>
          <w:p w:rsidR="00E82B25" w:rsidRPr="003B6E11" w:rsidRDefault="00E82B25" w:rsidP="002D015D">
            <w:pPr>
              <w:tabs>
                <w:tab w:val="left" w:pos="1260"/>
              </w:tabs>
              <w:spacing w:before="80" w:after="80" w:line="240" w:lineRule="atLeast"/>
              <w:rPr>
                <w:rFonts w:cs="Arial"/>
                <w:sz w:val="18"/>
                <w:szCs w:val="18"/>
                <w:lang w:val="cs-CZ"/>
              </w:rPr>
            </w:pPr>
            <w:r w:rsidRPr="003B6E11">
              <w:rPr>
                <w:sz w:val="18"/>
                <w:lang w:val="cs-CZ"/>
              </w:rPr>
              <w:t>Monitorování dveří v záďových přepážkách</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b/>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7</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Kotvy nepřečnívající příď plavidel</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1.1.2041</w:t>
            </w:r>
          </w:p>
        </w:tc>
      </w:tr>
      <w:tr w:rsidR="00E82B25" w:rsidRPr="003B6E11" w:rsidTr="002D015D">
        <w:trPr>
          <w:cantSplit/>
          <w:jc w:val="center"/>
        </w:trPr>
        <w:tc>
          <w:tcPr>
            <w:tcW w:w="1342"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3.04</w:t>
            </w: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6</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Východy strojoven</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Strojovny, které před rokem 1995 nebyly považovány za strojovny podle článku 1.01, musí být opatřeny druhým východem při 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40" w:after="140" w:line="240" w:lineRule="atLeast"/>
              <w:jc w:val="center"/>
              <w:rPr>
                <w:rFonts w:cs="Arial"/>
                <w:sz w:val="18"/>
                <w:szCs w:val="18"/>
                <w:lang w:val="cs-CZ"/>
              </w:rPr>
            </w:pPr>
            <w:r w:rsidRPr="003B6E11">
              <w:rPr>
                <w:b/>
                <w:sz w:val="18"/>
                <w:lang w:val="cs-CZ"/>
              </w:rPr>
              <w:t>KAPITOLA 5</w:t>
            </w:r>
          </w:p>
        </w:tc>
        <w:tc>
          <w:tcPr>
            <w:tcW w:w="6521" w:type="dxa"/>
            <w:shd w:val="clear" w:color="auto" w:fill="auto"/>
          </w:tcPr>
          <w:p w:rsidR="00E82B25" w:rsidRPr="003B6E11" w:rsidRDefault="00E82B25" w:rsidP="002D015D">
            <w:pPr>
              <w:spacing w:before="140" w:after="140" w:line="240" w:lineRule="atLeast"/>
              <w:jc w:val="center"/>
              <w:rPr>
                <w:rFonts w:cs="Arial"/>
                <w:b/>
                <w:sz w:val="18"/>
                <w:szCs w:val="18"/>
                <w:lang w:val="cs-CZ"/>
              </w:rPr>
            </w:pPr>
          </w:p>
        </w:tc>
        <w:tc>
          <w:tcPr>
            <w:tcW w:w="1276" w:type="dxa"/>
            <w:shd w:val="clear" w:color="auto" w:fill="auto"/>
          </w:tcPr>
          <w:p w:rsidR="00E82B25" w:rsidRPr="003B6E11" w:rsidRDefault="00E82B25" w:rsidP="002D015D">
            <w:pPr>
              <w:spacing w:before="140" w:after="140" w:line="240" w:lineRule="atLeast"/>
              <w:jc w:val="center"/>
              <w:rPr>
                <w:rFonts w:cs="Arial"/>
                <w:sz w:val="18"/>
                <w:szCs w:val="18"/>
                <w:lang w:val="cs-CZ"/>
              </w:rPr>
            </w:pPr>
          </w:p>
        </w:tc>
      </w:tr>
      <w:tr w:rsidR="00E82B25" w:rsidRPr="003B6E11" w:rsidTr="002D015D">
        <w:trPr>
          <w:cantSplit/>
          <w:trHeight w:val="832"/>
          <w:jc w:val="center"/>
        </w:trPr>
        <w:tc>
          <w:tcPr>
            <w:tcW w:w="1342"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5.06</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 první věta</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Minimální (dopředná) rychlost</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80" w:after="80" w:line="240" w:lineRule="atLeast"/>
              <w:jc w:val="center"/>
              <w:rPr>
                <w:rFonts w:cs="Arial"/>
                <w:sz w:val="18"/>
                <w:szCs w:val="18"/>
                <w:lang w:val="cs-CZ"/>
              </w:rPr>
            </w:pPr>
            <w:r w:rsidRPr="003B6E11">
              <w:rPr>
                <w:b/>
                <w:sz w:val="18"/>
                <w:lang w:val="cs-CZ"/>
              </w:rPr>
              <w:t>KAPITOLA 6</w:t>
            </w:r>
          </w:p>
        </w:tc>
        <w:tc>
          <w:tcPr>
            <w:tcW w:w="6521" w:type="dxa"/>
            <w:shd w:val="clear" w:color="auto" w:fill="auto"/>
          </w:tcPr>
          <w:p w:rsidR="00E82B25" w:rsidRPr="003B6E11" w:rsidRDefault="00E82B25" w:rsidP="002D015D">
            <w:pPr>
              <w:spacing w:before="80" w:after="80" w:line="240" w:lineRule="atLeast"/>
              <w:jc w:val="center"/>
              <w:rPr>
                <w:rFonts w:cs="Arial"/>
                <w:sz w:val="18"/>
                <w:szCs w:val="18"/>
                <w:lang w:val="cs-CZ"/>
              </w:rPr>
            </w:pP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6.01</w:t>
            </w: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40" w:after="140"/>
              <w:rPr>
                <w:rFonts w:cs="Arial"/>
                <w:sz w:val="18"/>
                <w:szCs w:val="18"/>
                <w:lang w:val="cs-CZ"/>
              </w:rPr>
            </w:pPr>
            <w:r w:rsidRPr="003B6E11">
              <w:rPr>
                <w:sz w:val="18"/>
                <w:lang w:val="cs-CZ"/>
              </w:rPr>
              <w:t>Manévrovatelnost podle kapitoly 5</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140" w:after="140"/>
              <w:rPr>
                <w:rFonts w:cs="Arial"/>
                <w:sz w:val="18"/>
                <w:szCs w:val="18"/>
                <w:lang w:val="cs-CZ"/>
              </w:rPr>
            </w:pPr>
            <w:r w:rsidRPr="003B6E11">
              <w:rPr>
                <w:sz w:val="18"/>
                <w:lang w:val="cs-CZ"/>
              </w:rPr>
              <w:t>Stálé naklánění a okolní teploty</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7</w:t>
            </w:r>
          </w:p>
        </w:tc>
        <w:tc>
          <w:tcPr>
            <w:tcW w:w="3296" w:type="dxa"/>
            <w:shd w:val="clear" w:color="auto" w:fill="auto"/>
          </w:tcPr>
          <w:p w:rsidR="00E82B25" w:rsidRPr="003B6E11" w:rsidRDefault="00E82B25" w:rsidP="002D015D">
            <w:pPr>
              <w:spacing w:before="140" w:after="140"/>
              <w:rPr>
                <w:rFonts w:cs="Arial"/>
                <w:sz w:val="18"/>
                <w:szCs w:val="18"/>
                <w:lang w:val="cs-CZ"/>
              </w:rPr>
            </w:pPr>
            <w:r w:rsidRPr="003B6E11">
              <w:rPr>
                <w:sz w:val="18"/>
                <w:lang w:val="cs-CZ"/>
              </w:rPr>
              <w:t>Zhotovení otvorů pro kormidelní pně</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6.02</w:t>
            </w:r>
          </w:p>
        </w:tc>
        <w:tc>
          <w:tcPr>
            <w:tcW w:w="1458" w:type="dxa"/>
            <w:vMerge w:val="restart"/>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20" w:after="120"/>
              <w:rPr>
                <w:rFonts w:cs="Arial"/>
                <w:sz w:val="18"/>
                <w:szCs w:val="18"/>
                <w:lang w:val="cs-CZ"/>
              </w:rPr>
            </w:pPr>
            <w:r w:rsidRPr="003B6E11">
              <w:rPr>
                <w:sz w:val="18"/>
                <w:lang w:val="cs-CZ"/>
              </w:rPr>
              <w:t xml:space="preserve">Přítomnost samostatných hydraulických nádrží </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Zdvojené řídicí ventily u hydraulických pohonných jednotek</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1.1.2020</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shd w:val="clear" w:color="auto" w:fill="auto"/>
          </w:tcPr>
          <w:p w:rsidR="00E82B25" w:rsidRPr="003B6E11" w:rsidRDefault="00E82B25" w:rsidP="002D015D">
            <w:pPr>
              <w:tabs>
                <w:tab w:val="left" w:pos="1125"/>
              </w:tabs>
              <w:spacing w:before="120" w:after="120" w:line="240" w:lineRule="atLeast"/>
              <w:rPr>
                <w:rFonts w:cs="Arial"/>
                <w:sz w:val="18"/>
                <w:szCs w:val="18"/>
                <w:lang w:val="cs-CZ"/>
              </w:rPr>
            </w:pPr>
            <w:r w:rsidRPr="003B6E11">
              <w:rPr>
                <w:sz w:val="18"/>
                <w:lang w:val="cs-CZ"/>
              </w:rPr>
              <w:t>Samostatné potrubí pro druhou pohonnou jednotku u hydraulických pohonných jednotek</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1.1.2020</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Samostatné potrubí pro druhou pohonnou jednotku u hydraulických pohonných jednotek</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Manévrovatelnost podle kapitoly 5 zajištěná druhou pohonnou jednotkou nebo ručním pohonem</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6.03</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Připojení jiných spotřebičů na hydraulickou pohonnou jednotku kormidelního stroje</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6.05</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Kolo ručního pohonu nepoháněné motorovou pohonnou jednotkou</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6.06</w:t>
            </w: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noProof/>
                <w:sz w:val="18"/>
                <w:lang w:val="cs-CZ"/>
              </w:rPr>
              <w:t>Dva nezávislé ovládací systémy</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6.07</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2 písm. a)</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sz w:val="18"/>
                <w:lang w:val="cs-CZ"/>
              </w:rPr>
              <w:t>Poplašný signál pro výši hladiny hydraulické nádrže a poplašný signál pro provozní tlak</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6.08</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Požadavky na elektrické zařízení podle článku 10.20</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20" w:after="120" w:line="240" w:lineRule="atLeast"/>
              <w:jc w:val="center"/>
              <w:rPr>
                <w:rFonts w:cs="Arial"/>
                <w:sz w:val="18"/>
                <w:szCs w:val="18"/>
                <w:lang w:val="cs-CZ"/>
              </w:rPr>
            </w:pPr>
            <w:r w:rsidRPr="003B6E11">
              <w:rPr>
                <w:b/>
                <w:sz w:val="18"/>
                <w:lang w:val="cs-CZ"/>
              </w:rPr>
              <w:t>KAPITOLA 7</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7.02</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3 druhý pododstavec</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color w:val="000000"/>
                <w:sz w:val="18"/>
                <w:lang w:val="cs-CZ"/>
              </w:rPr>
              <w:t>Neomezený výhled kormidelníka v běžném směru pohledu</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vMerge w:val="restart"/>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6</w:t>
            </w:r>
          </w:p>
        </w:tc>
        <w:tc>
          <w:tcPr>
            <w:tcW w:w="3296" w:type="dxa"/>
            <w:vMerge w:val="restart"/>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Minimální světelná propustnost</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u lodí s tónovanými skly splňujícími tyto podmínky:</w:t>
            </w:r>
          </w:p>
          <w:p w:rsidR="00E82B25" w:rsidRPr="003B6E11" w:rsidRDefault="00E82B25" w:rsidP="002D015D">
            <w:pPr>
              <w:spacing w:before="120" w:after="120" w:line="240" w:lineRule="atLeast"/>
              <w:ind w:left="262" w:hanging="262"/>
              <w:rPr>
                <w:rFonts w:cs="Arial"/>
                <w:sz w:val="18"/>
                <w:szCs w:val="18"/>
                <w:lang w:val="cs-CZ"/>
              </w:rPr>
            </w:pPr>
            <w:r w:rsidRPr="003B6E11">
              <w:rPr>
                <w:sz w:val="18"/>
                <w:lang w:val="cs-CZ"/>
              </w:rPr>
              <w:t>–</w:t>
            </w:r>
            <w:r w:rsidRPr="003B6E11">
              <w:rPr>
                <w:lang w:val="cs-CZ"/>
              </w:rPr>
              <w:tab/>
            </w:r>
            <w:r w:rsidRPr="003B6E11">
              <w:rPr>
                <w:sz w:val="18"/>
                <w:lang w:val="cs-CZ"/>
              </w:rPr>
              <w:t>okna jsou zabarvená zeleně a mají minimální světelnou propustnost 60 %,</w:t>
            </w:r>
          </w:p>
          <w:p w:rsidR="00E82B25" w:rsidRPr="003B6E11" w:rsidRDefault="00E82B25" w:rsidP="002D015D">
            <w:pPr>
              <w:spacing w:before="120" w:after="120" w:line="240" w:lineRule="atLeast"/>
              <w:ind w:left="262" w:hanging="262"/>
              <w:rPr>
                <w:rFonts w:cs="Arial"/>
                <w:sz w:val="18"/>
                <w:szCs w:val="18"/>
                <w:lang w:val="cs-CZ"/>
              </w:rPr>
            </w:pPr>
            <w:r w:rsidRPr="003B6E11">
              <w:rPr>
                <w:sz w:val="18"/>
                <w:lang w:val="cs-CZ"/>
              </w:rPr>
              <w:t>–</w:t>
            </w:r>
            <w:r w:rsidRPr="003B6E11">
              <w:rPr>
                <w:lang w:val="cs-CZ"/>
              </w:rPr>
              <w:tab/>
            </w:r>
            <w:r w:rsidRPr="003B6E11">
              <w:rPr>
                <w:sz w:val="18"/>
                <w:lang w:val="cs-CZ"/>
              </w:rPr>
              <w:t>strop v kormidelně je navržen tak, aby na oknech nedocházelo k odrazům,</w:t>
            </w:r>
          </w:p>
          <w:p w:rsidR="00E82B25" w:rsidRPr="003B6E11" w:rsidRDefault="00E82B25" w:rsidP="002D015D">
            <w:pPr>
              <w:spacing w:before="120" w:after="120" w:line="240" w:lineRule="atLeast"/>
              <w:ind w:left="262" w:hanging="262"/>
              <w:rPr>
                <w:rFonts w:cs="Arial"/>
                <w:sz w:val="18"/>
                <w:szCs w:val="18"/>
                <w:lang w:val="cs-CZ"/>
              </w:rPr>
            </w:pPr>
            <w:r w:rsidRPr="003B6E11">
              <w:rPr>
                <w:sz w:val="18"/>
                <w:lang w:val="cs-CZ"/>
              </w:rPr>
              <w:t>–</w:t>
            </w:r>
            <w:r w:rsidRPr="003B6E11">
              <w:rPr>
                <w:lang w:val="cs-CZ"/>
              </w:rPr>
              <w:tab/>
            </w:r>
            <w:r w:rsidRPr="003B6E11">
              <w:rPr>
                <w:sz w:val="18"/>
                <w:lang w:val="cs-CZ"/>
              </w:rPr>
              <w:t>světelné zdroje v kormidelně se musí dát plynule stmívat nebo vypnout,</w:t>
            </w:r>
          </w:p>
          <w:p w:rsidR="00E82B25" w:rsidRPr="003B6E11" w:rsidRDefault="00E82B25" w:rsidP="002D015D">
            <w:pPr>
              <w:spacing w:before="120" w:after="120" w:line="240" w:lineRule="atLeast"/>
              <w:ind w:left="262" w:hanging="262"/>
              <w:rPr>
                <w:rFonts w:cs="Arial"/>
                <w:sz w:val="18"/>
                <w:szCs w:val="18"/>
                <w:lang w:val="cs-CZ"/>
              </w:rPr>
            </w:pPr>
            <w:r w:rsidRPr="003B6E11">
              <w:rPr>
                <w:sz w:val="18"/>
                <w:lang w:val="cs-CZ"/>
              </w:rPr>
              <w:t>–</w:t>
            </w:r>
            <w:r w:rsidRPr="003B6E11">
              <w:rPr>
                <w:lang w:val="cs-CZ"/>
              </w:rPr>
              <w:tab/>
            </w:r>
            <w:r w:rsidRPr="003B6E11">
              <w:rPr>
                <w:sz w:val="18"/>
                <w:lang w:val="cs-CZ"/>
              </w:rPr>
              <w:t>byla přijata veškerá přiměřená opatření, aby se zamezilo jiným odrazům.</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rPr>
                <w:rFonts w:cs="Arial"/>
                <w:sz w:val="18"/>
                <w:szCs w:val="18"/>
                <w:lang w:val="cs-CZ"/>
              </w:rPr>
            </w:pPr>
            <w:r w:rsidRPr="003B6E11">
              <w:rPr>
                <w:sz w:val="18"/>
                <w:lang w:val="cs-CZ"/>
              </w:rPr>
              <w:t>odst. 6</w:t>
            </w:r>
          </w:p>
        </w:tc>
        <w:tc>
          <w:tcPr>
            <w:tcW w:w="3296" w:type="dxa"/>
            <w:shd w:val="clear" w:color="auto" w:fill="auto"/>
          </w:tcPr>
          <w:p w:rsidR="00E82B25" w:rsidRPr="003B6E11" w:rsidRDefault="00E82B25" w:rsidP="002D015D">
            <w:pPr>
              <w:spacing w:before="120" w:after="120"/>
              <w:rPr>
                <w:rFonts w:cs="Arial"/>
                <w:sz w:val="18"/>
                <w:szCs w:val="18"/>
                <w:lang w:val="cs-CZ"/>
              </w:rPr>
            </w:pPr>
            <w:r w:rsidRPr="003B6E11">
              <w:rPr>
                <w:sz w:val="18"/>
                <w:lang w:val="cs-CZ"/>
              </w:rPr>
              <w:t>Konstrukce bezpečnostního skla</w:t>
            </w:r>
          </w:p>
        </w:tc>
        <w:tc>
          <w:tcPr>
            <w:tcW w:w="6521" w:type="dxa"/>
            <w:shd w:val="clear" w:color="auto" w:fill="auto"/>
          </w:tcPr>
          <w:p w:rsidR="00E82B25" w:rsidRPr="003B6E11" w:rsidRDefault="00E82B25" w:rsidP="002D015D">
            <w:pPr>
              <w:spacing w:before="120" w:after="120"/>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7.03</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7</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Vypnutí poplašných signálů</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pokud kormidelna nebyla uspořádána k řízení plavidla jednou osobou s pomocí radaru</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8</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Automatické přepnutí na jiný zdroj napájení</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7.04</w:t>
            </w: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noProof/>
                <w:sz w:val="18"/>
                <w:lang w:val="cs-CZ"/>
              </w:rPr>
              <w:t>Ovládání každého z hlavních motorů</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noProof/>
                <w:sz w:val="18"/>
                <w:lang w:val="cs-CZ"/>
              </w:rPr>
              <w:t>Pokud kormidelna byla uspořádána k řízení plavidla jednou osobou s pomocí radaru: 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 xml:space="preserve">1.1.2035, </w:t>
            </w:r>
            <w:r w:rsidRPr="003B6E11">
              <w:rPr>
                <w:rFonts w:cs="Arial"/>
                <w:sz w:val="18"/>
                <w:szCs w:val="18"/>
                <w:lang w:val="cs-CZ"/>
              </w:rPr>
              <w:br/>
            </w:r>
            <w:r w:rsidRPr="003B6E11">
              <w:rPr>
                <w:sz w:val="18"/>
                <w:lang w:val="cs-CZ"/>
              </w:rPr>
              <w:t>lze-li změny směru dosáhnout přímo;</w:t>
            </w:r>
            <w:r w:rsidRPr="003B6E11">
              <w:rPr>
                <w:rFonts w:cs="Arial"/>
                <w:sz w:val="18"/>
                <w:szCs w:val="18"/>
                <w:lang w:val="cs-CZ"/>
              </w:rPr>
              <w:br/>
            </w:r>
            <w:r w:rsidRPr="003B6E11">
              <w:rPr>
                <w:sz w:val="18"/>
                <w:lang w:val="cs-CZ"/>
              </w:rPr>
              <w:t xml:space="preserve">1.1.2010 </w:t>
            </w:r>
            <w:r w:rsidRPr="003B6E11">
              <w:rPr>
                <w:rFonts w:cs="Arial"/>
                <w:sz w:val="18"/>
                <w:szCs w:val="18"/>
                <w:lang w:val="cs-CZ"/>
              </w:rPr>
              <w:br/>
            </w:r>
            <w:r w:rsidRPr="003B6E11">
              <w:rPr>
                <w:sz w:val="18"/>
                <w:lang w:val="cs-CZ"/>
              </w:rPr>
              <w:t>pro ostatní motory</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noProof/>
                <w:sz w:val="18"/>
                <w:lang w:val="cs-CZ"/>
              </w:rPr>
              <w:t>Zobrazení</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noProof/>
                <w:sz w:val="18"/>
                <w:lang w:val="cs-CZ"/>
              </w:rPr>
              <w:t>Pokud kormidelna byla uspořádána k řízení plavidla jednou osobou s pomocí radaru: 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9 třetí věta</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noProof/>
                <w:sz w:val="18"/>
                <w:lang w:val="cs-CZ"/>
              </w:rPr>
              <w:t>Ovládání pákou</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9 čtvrtá věta</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noProof/>
                <w:sz w:val="18"/>
                <w:lang w:val="cs-CZ"/>
              </w:rPr>
              <w:t>Jednoznačně rozpoznatelný směr síly propulze</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7.05</w:t>
            </w:r>
          </w:p>
        </w:tc>
        <w:tc>
          <w:tcPr>
            <w:tcW w:w="1458" w:type="dxa"/>
            <w:tcBorders>
              <w:bottom w:val="single" w:sz="4" w:space="0" w:color="auto"/>
            </w:tcBorders>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Navigační světla, jejich kryty, příslušenství a světelné zdroje</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Nadále lze používat navigační světla, jejich kryty, příslušenství a světelné zdroje, které splňují požadavky na barvu a intenzitu palubních světel a požadavky nutné k povolení navigačních světel pro plavbu na Rýně ke dni 30. listopadu 2009.</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vMerge w:val="restart"/>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7.06</w:t>
            </w:r>
          </w:p>
        </w:tc>
        <w:tc>
          <w:tcPr>
            <w:tcW w:w="1458" w:type="dxa"/>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Ukazatele rychlosti otáčení, které byly schváleny před 1. lednem 1990</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Ukazatele rychlosti otáčení, které byly schváleny před 1. lednem 1990 a byly instalovány před 1. lednem 2000, se mohou ponechat a používat až do obnovení osvědčení plavidla vnitrozemské plavby po 1. lednu 2015, pokud mají platné osvědčení o instalaci podle směrnice 2006/87/ES</w:t>
            </w:r>
            <w:r w:rsidRPr="003B6E11">
              <w:rPr>
                <w:rStyle w:val="FootnoteReference"/>
                <w:sz w:val="18"/>
                <w:lang w:val="cs-CZ"/>
              </w:rPr>
              <w:footnoteReference w:id="25"/>
            </w:r>
            <w:r w:rsidRPr="003B6E11">
              <w:rPr>
                <w:sz w:val="18"/>
                <w:lang w:val="cs-CZ"/>
              </w:rPr>
              <w:t xml:space="preserve"> nebo podle rezoluce CCNR 1989-II-35.</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vMerge/>
            <w:tcBorders>
              <w:top w:val="nil"/>
            </w:tcBorders>
            <w:shd w:val="clear" w:color="auto" w:fill="auto"/>
          </w:tcPr>
          <w:p w:rsidR="00E82B25" w:rsidRPr="003B6E11" w:rsidRDefault="00E82B25" w:rsidP="002D015D">
            <w:pPr>
              <w:spacing w:before="40" w:after="40" w:line="240" w:lineRule="atLeast"/>
              <w:rPr>
                <w:rFonts w:cs="Arial"/>
                <w:sz w:val="18"/>
                <w:szCs w:val="18"/>
                <w:lang w:val="cs-CZ"/>
              </w:rPr>
            </w:pPr>
          </w:p>
        </w:tc>
        <w:tc>
          <w:tcPr>
            <w:tcW w:w="1458" w:type="dxa"/>
            <w:vMerge w:val="restart"/>
            <w:tcBorders>
              <w:top w:val="nil"/>
            </w:tcBorders>
            <w:shd w:val="clear" w:color="auto" w:fill="auto"/>
          </w:tcPr>
          <w:p w:rsidR="00E82B25" w:rsidRPr="003B6E11" w:rsidRDefault="00E82B25" w:rsidP="002D015D">
            <w:pPr>
              <w:spacing w:before="40" w:after="4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40" w:after="40" w:line="240" w:lineRule="atLeast"/>
              <w:rPr>
                <w:rFonts w:cs="Arial"/>
                <w:sz w:val="18"/>
                <w:szCs w:val="18"/>
                <w:lang w:val="cs-CZ"/>
              </w:rPr>
            </w:pPr>
            <w:r w:rsidRPr="003B6E11">
              <w:rPr>
                <w:noProof/>
                <w:sz w:val="18"/>
                <w:lang w:val="cs-CZ"/>
              </w:rPr>
              <w:t>Zařízení pro radarovou navigaci a ukazatele rychlosti otáčení, které byly schváleny po 1. lednu 1990</w:t>
            </w:r>
          </w:p>
        </w:tc>
        <w:tc>
          <w:tcPr>
            <w:tcW w:w="6521" w:type="dxa"/>
            <w:shd w:val="clear" w:color="auto" w:fill="auto"/>
          </w:tcPr>
          <w:p w:rsidR="00E82B25" w:rsidRPr="003B6E11" w:rsidRDefault="00E82B25" w:rsidP="002D015D">
            <w:pPr>
              <w:spacing w:before="40" w:after="40" w:line="240" w:lineRule="atLeast"/>
              <w:rPr>
                <w:rFonts w:cs="Arial"/>
                <w:sz w:val="18"/>
                <w:szCs w:val="18"/>
                <w:lang w:val="cs-CZ"/>
              </w:rPr>
            </w:pPr>
            <w:r w:rsidRPr="003B6E11">
              <w:rPr>
                <w:sz w:val="18"/>
                <w:lang w:val="cs-CZ"/>
              </w:rPr>
              <w:t>Zařízení pro radarovou navigaci a ukazatele rychlosti otáčení, které byly schváleny dne 1. ledna 1990 nebo po tomto datu v souladu s minimálními požadavky a zkušebními podmínkami pro radarová zařízení používaná při plavbě na Rýně, jakož i minimálními požadavky a zkušebními podmínkami pro ukazatele rychlosti otáčení používané při plavbě na Rýně, mohou být i nadále instalovány a používány, mají-li platné osvědčení o instalaci podle této normy, směrnice 2006/87/ES nebo rezoluce CCNR 1989-II-35.</w:t>
            </w:r>
          </w:p>
        </w:tc>
        <w:tc>
          <w:tcPr>
            <w:tcW w:w="1276" w:type="dxa"/>
            <w:shd w:val="clear" w:color="auto" w:fill="auto"/>
          </w:tcPr>
          <w:p w:rsidR="00E82B25" w:rsidRPr="003B6E11" w:rsidRDefault="00E82B25" w:rsidP="002D015D">
            <w:pPr>
              <w:spacing w:before="40" w:after="40" w:line="240" w:lineRule="atLeast"/>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40" w:after="4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40" w:after="40" w:line="240" w:lineRule="atLeast"/>
              <w:rPr>
                <w:rFonts w:cs="Arial"/>
                <w:sz w:val="18"/>
                <w:szCs w:val="18"/>
                <w:lang w:val="cs-CZ"/>
              </w:rPr>
            </w:pPr>
          </w:p>
        </w:tc>
        <w:tc>
          <w:tcPr>
            <w:tcW w:w="3296" w:type="dxa"/>
            <w:shd w:val="clear" w:color="auto" w:fill="auto"/>
          </w:tcPr>
          <w:p w:rsidR="00E82B25" w:rsidRPr="003B6E11" w:rsidRDefault="00E82B25" w:rsidP="002D015D">
            <w:pPr>
              <w:spacing w:before="40" w:after="40" w:line="240" w:lineRule="atLeast"/>
              <w:rPr>
                <w:rFonts w:cs="Arial"/>
                <w:noProof/>
                <w:sz w:val="18"/>
                <w:szCs w:val="18"/>
                <w:lang w:val="cs-CZ"/>
              </w:rPr>
            </w:pPr>
            <w:r w:rsidRPr="003B6E11">
              <w:rPr>
                <w:noProof/>
                <w:sz w:val="18"/>
                <w:lang w:val="cs-CZ"/>
              </w:rPr>
              <w:t>Zařízení pro radarovou navigaci a ukazatele rychlosti otáčení, které byly schváleny po 31. prosinci 2006</w:t>
            </w:r>
          </w:p>
        </w:tc>
        <w:tc>
          <w:tcPr>
            <w:tcW w:w="6521" w:type="dxa"/>
            <w:shd w:val="clear" w:color="auto" w:fill="auto"/>
          </w:tcPr>
          <w:p w:rsidR="00E82B25" w:rsidRPr="003B6E11" w:rsidRDefault="00E82B25" w:rsidP="002D015D">
            <w:pPr>
              <w:spacing w:before="40" w:after="40" w:line="240" w:lineRule="atLeast"/>
              <w:rPr>
                <w:rFonts w:cs="Arial"/>
                <w:sz w:val="18"/>
                <w:szCs w:val="18"/>
                <w:lang w:val="cs-CZ"/>
              </w:rPr>
            </w:pPr>
            <w:r w:rsidRPr="003B6E11">
              <w:rPr>
                <w:sz w:val="18"/>
                <w:lang w:val="cs-CZ"/>
              </w:rPr>
              <w:t>Zařízení pro radarovou navigaci a ukazatele rychlosti otáčení, které byly schváleny dne 31. prosince 2006 nebo po tomto datu v souladu s minimálními požadavky a zkušebními podmínkami stanovenými směrnicí 2006/87/ES, mohou být i nadále instalovány a používány, mají-li platné osvědčení o instalaci podle této normy nebo podle směrnice 2006/87/ES.</w:t>
            </w:r>
          </w:p>
        </w:tc>
        <w:tc>
          <w:tcPr>
            <w:tcW w:w="1276" w:type="dxa"/>
            <w:shd w:val="clear" w:color="auto" w:fill="auto"/>
          </w:tcPr>
          <w:p w:rsidR="00E82B25" w:rsidRPr="003B6E11" w:rsidRDefault="00E82B25" w:rsidP="002D015D">
            <w:pPr>
              <w:spacing w:before="40" w:after="40" w:line="240" w:lineRule="atLeast"/>
              <w:rPr>
                <w:rFonts w:cs="Arial"/>
                <w:sz w:val="18"/>
                <w:szCs w:val="18"/>
                <w:lang w:val="cs-CZ"/>
              </w:rPr>
            </w:pPr>
          </w:p>
        </w:tc>
      </w:tr>
      <w:tr w:rsidR="00E82B25" w:rsidRPr="003B6E11" w:rsidTr="002D015D">
        <w:trPr>
          <w:cantSplit/>
          <w:jc w:val="center"/>
        </w:trPr>
        <w:tc>
          <w:tcPr>
            <w:tcW w:w="1342" w:type="dxa"/>
            <w:vMerge/>
            <w:tcBorders>
              <w:bottom w:val="nil"/>
            </w:tcBorders>
            <w:shd w:val="clear" w:color="auto" w:fill="auto"/>
          </w:tcPr>
          <w:p w:rsidR="00E82B25" w:rsidRPr="003B6E11" w:rsidRDefault="00E82B25" w:rsidP="002D015D">
            <w:pPr>
              <w:spacing w:before="40" w:after="40" w:line="240" w:lineRule="atLeast"/>
              <w:rPr>
                <w:rFonts w:cs="Arial"/>
                <w:sz w:val="18"/>
                <w:szCs w:val="18"/>
                <w:lang w:val="cs-CZ"/>
              </w:rPr>
            </w:pPr>
          </w:p>
        </w:tc>
        <w:tc>
          <w:tcPr>
            <w:tcW w:w="1458" w:type="dxa"/>
            <w:vMerge/>
            <w:tcBorders>
              <w:bottom w:val="nil"/>
            </w:tcBorders>
            <w:shd w:val="clear" w:color="auto" w:fill="auto"/>
          </w:tcPr>
          <w:p w:rsidR="00E82B25" w:rsidRPr="003B6E11" w:rsidRDefault="00E82B25" w:rsidP="002D015D">
            <w:pPr>
              <w:spacing w:before="40" w:after="40" w:line="240" w:lineRule="atLeast"/>
              <w:rPr>
                <w:rFonts w:cs="Arial"/>
                <w:sz w:val="18"/>
                <w:szCs w:val="18"/>
                <w:lang w:val="cs-CZ"/>
              </w:rPr>
            </w:pPr>
          </w:p>
        </w:tc>
        <w:tc>
          <w:tcPr>
            <w:tcW w:w="3296" w:type="dxa"/>
            <w:tcBorders>
              <w:bottom w:val="single" w:sz="4" w:space="0" w:color="auto"/>
            </w:tcBorders>
            <w:shd w:val="clear" w:color="auto" w:fill="auto"/>
          </w:tcPr>
          <w:p w:rsidR="00E82B25" w:rsidRPr="003B6E11" w:rsidRDefault="00E82B25" w:rsidP="002D015D">
            <w:pPr>
              <w:spacing w:before="40" w:after="40" w:line="240" w:lineRule="atLeast"/>
              <w:rPr>
                <w:rFonts w:cs="Arial"/>
                <w:noProof/>
                <w:sz w:val="18"/>
                <w:szCs w:val="18"/>
                <w:lang w:val="cs-CZ"/>
              </w:rPr>
            </w:pPr>
            <w:r w:rsidRPr="003B6E11">
              <w:rPr>
                <w:noProof/>
                <w:sz w:val="18"/>
                <w:lang w:val="cs-CZ"/>
              </w:rPr>
              <w:t>Zařízení pro radarovou navigaci a ukazatele rychlosti otáčení, které byly schváleny po 1. prosinci 2009</w:t>
            </w:r>
          </w:p>
        </w:tc>
        <w:tc>
          <w:tcPr>
            <w:tcW w:w="6521" w:type="dxa"/>
            <w:shd w:val="clear" w:color="auto" w:fill="auto"/>
          </w:tcPr>
          <w:p w:rsidR="00E82B25" w:rsidRPr="003B6E11" w:rsidRDefault="00E82B25" w:rsidP="002D015D">
            <w:pPr>
              <w:spacing w:before="40" w:after="40" w:line="240" w:lineRule="atLeast"/>
              <w:rPr>
                <w:rFonts w:cs="Arial"/>
                <w:sz w:val="18"/>
                <w:szCs w:val="18"/>
                <w:lang w:val="cs-CZ"/>
              </w:rPr>
            </w:pPr>
            <w:r w:rsidRPr="003B6E11">
              <w:rPr>
                <w:sz w:val="18"/>
                <w:lang w:val="cs-CZ"/>
              </w:rPr>
              <w:t>Zařízení pro radarovou navigaci a ukazatele rychlosti otáčení, které byly schváleny dne 1. prosince 2009 nebo po tomto datu v souladu s minimálními požadavky a zkušebními podmínkami stanovenými rezolucí CCNR 2008-II-11, mohou být i nadále instalovány a používány, mají-li platné osvědčení o instalaci podle této normy nebo podle rezoluce CCNR 2008-II-11.</w:t>
            </w:r>
          </w:p>
        </w:tc>
        <w:tc>
          <w:tcPr>
            <w:tcW w:w="1276" w:type="dxa"/>
            <w:shd w:val="clear" w:color="auto" w:fill="auto"/>
          </w:tcPr>
          <w:p w:rsidR="00E82B25" w:rsidRPr="003B6E11" w:rsidRDefault="00E82B25" w:rsidP="002D015D">
            <w:pPr>
              <w:spacing w:before="40" w:after="40" w:line="240" w:lineRule="atLeast"/>
              <w:rPr>
                <w:rFonts w:cs="Arial"/>
                <w:sz w:val="18"/>
                <w:szCs w:val="18"/>
                <w:lang w:val="cs-CZ"/>
              </w:rPr>
            </w:pP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tcBorders>
              <w:top w:val="nil"/>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3</w:t>
            </w:r>
          </w:p>
        </w:tc>
        <w:tc>
          <w:tcPr>
            <w:tcW w:w="3296" w:type="dxa"/>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Zařízení pro vnitrozemský AIS</w:t>
            </w:r>
          </w:p>
        </w:tc>
        <w:tc>
          <w:tcPr>
            <w:tcW w:w="6521" w:type="dxa"/>
            <w:shd w:val="clear" w:color="auto" w:fill="auto"/>
          </w:tcPr>
          <w:p w:rsidR="00E82B25" w:rsidRPr="003B6E11" w:rsidRDefault="00E82B25" w:rsidP="002D015D">
            <w:pPr>
              <w:spacing w:before="40" w:after="40" w:line="240" w:lineRule="atLeast"/>
              <w:rPr>
                <w:rFonts w:cs="Arial"/>
                <w:sz w:val="18"/>
                <w:szCs w:val="18"/>
                <w:lang w:val="cs-CZ"/>
              </w:rPr>
            </w:pPr>
            <w:r w:rsidRPr="003B6E11">
              <w:rPr>
                <w:sz w:val="18"/>
                <w:lang w:val="cs-CZ"/>
              </w:rPr>
              <w:t>Zařízení pro vnitrozemský AIS se schválením typu podle verzí 1.0 a 1.01 zkušební normy pro vnitrozemský AIS a instalovaná před 1. prosincem 2015 se mohou používat i nadále.</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tcBorders>
              <w:top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tcBorders>
              <w:top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6521" w:type="dxa"/>
            <w:shd w:val="clear" w:color="auto" w:fill="auto"/>
          </w:tcPr>
          <w:p w:rsidR="00E82B25" w:rsidRPr="003B6E11" w:rsidRDefault="00E82B25" w:rsidP="002D015D">
            <w:pPr>
              <w:spacing w:before="40" w:after="40" w:line="240" w:lineRule="atLeast"/>
              <w:rPr>
                <w:rFonts w:cs="Arial"/>
                <w:sz w:val="18"/>
                <w:szCs w:val="18"/>
                <w:lang w:val="cs-CZ"/>
              </w:rPr>
            </w:pPr>
            <w:r w:rsidRPr="003B6E11">
              <w:rPr>
                <w:sz w:val="18"/>
                <w:lang w:val="cs-CZ"/>
              </w:rPr>
              <w:t>Zařízení pro vnitrozemský AIS, kterým bylo uděleno schválení dne 19. října 2012 nebo po tomto datu, podle požadavků verze 2.0 zkušební normy pro vnitrozemský AIS přijaté rezolucí CCNR 2012-II-20 mohou být i nadále instalována a používána.</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7.09</w:t>
            </w:r>
          </w:p>
        </w:tc>
        <w:tc>
          <w:tcPr>
            <w:tcW w:w="1458" w:type="dxa"/>
            <w:tcBorders>
              <w:bottom w:val="single" w:sz="4" w:space="0" w:color="auto"/>
            </w:tcBorders>
            <w:shd w:val="clear" w:color="auto" w:fill="auto"/>
          </w:tcPr>
          <w:p w:rsidR="00E82B25" w:rsidRPr="003B6E11" w:rsidRDefault="00E82B25" w:rsidP="002D015D">
            <w:pPr>
              <w:spacing w:before="240" w:after="240" w:line="240" w:lineRule="atLeast"/>
              <w:rPr>
                <w:rFonts w:cs="Arial"/>
                <w:sz w:val="18"/>
                <w:szCs w:val="18"/>
                <w:lang w:val="cs-CZ"/>
              </w:rPr>
            </w:pPr>
          </w:p>
        </w:tc>
        <w:tc>
          <w:tcPr>
            <w:tcW w:w="3296" w:type="dxa"/>
            <w:tcBorders>
              <w:bottom w:val="single" w:sz="4" w:space="0" w:color="auto"/>
            </w:tcBorders>
            <w:shd w:val="clear" w:color="auto" w:fill="auto"/>
          </w:tcPr>
          <w:p w:rsidR="00E82B25" w:rsidRPr="003B6E11" w:rsidRDefault="00E82B25" w:rsidP="002D015D">
            <w:pPr>
              <w:spacing w:before="240" w:after="240" w:line="240" w:lineRule="atLeast"/>
              <w:rPr>
                <w:rFonts w:cs="Arial"/>
                <w:sz w:val="18"/>
                <w:szCs w:val="18"/>
                <w:lang w:val="cs-CZ"/>
              </w:rPr>
            </w:pPr>
            <w:r w:rsidRPr="003B6E11">
              <w:rPr>
                <w:noProof/>
                <w:sz w:val="18"/>
                <w:lang w:val="cs-CZ"/>
              </w:rPr>
              <w:t>Poplašný systém</w:t>
            </w:r>
          </w:p>
        </w:tc>
        <w:tc>
          <w:tcPr>
            <w:tcW w:w="6521"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7.12</w:t>
            </w:r>
          </w:p>
        </w:tc>
        <w:tc>
          <w:tcPr>
            <w:tcW w:w="1458" w:type="dxa"/>
            <w:shd w:val="clear" w:color="auto" w:fill="auto"/>
          </w:tcPr>
          <w:p w:rsidR="00E82B25" w:rsidRPr="003B6E11" w:rsidRDefault="00E82B25" w:rsidP="002D015D">
            <w:pPr>
              <w:widowControl w:val="0"/>
              <w:spacing w:before="60" w:after="60" w:line="240" w:lineRule="atLeast"/>
              <w:rPr>
                <w:rFonts w:cs="Arial"/>
                <w:sz w:val="18"/>
                <w:szCs w:val="18"/>
                <w:lang w:val="cs-CZ"/>
              </w:rPr>
            </w:pPr>
            <w:r w:rsidRPr="003B6E11">
              <w:rPr>
                <w:sz w:val="18"/>
                <w:lang w:val="cs-CZ"/>
              </w:rPr>
              <w:t xml:space="preserve">odst. 4 </w:t>
            </w:r>
            <w:r w:rsidRPr="003B6E11">
              <w:rPr>
                <w:rFonts w:cs="Arial"/>
                <w:sz w:val="18"/>
                <w:szCs w:val="18"/>
                <w:lang w:val="cs-CZ"/>
              </w:rPr>
              <w:br/>
            </w:r>
            <w:r w:rsidRPr="003B6E11">
              <w:rPr>
                <w:sz w:val="18"/>
                <w:lang w:val="cs-CZ"/>
              </w:rPr>
              <w:t>druhá věta</w:t>
            </w:r>
          </w:p>
        </w:tc>
        <w:tc>
          <w:tcPr>
            <w:tcW w:w="3296" w:type="dxa"/>
            <w:shd w:val="clear" w:color="auto" w:fill="auto"/>
          </w:tcPr>
          <w:p w:rsidR="00E82B25" w:rsidRPr="003B6E11" w:rsidRDefault="00E82B25" w:rsidP="002D015D">
            <w:pPr>
              <w:widowControl w:val="0"/>
              <w:spacing w:before="60" w:after="60" w:line="240" w:lineRule="atLeast"/>
              <w:rPr>
                <w:rFonts w:cs="Arial"/>
                <w:sz w:val="18"/>
                <w:szCs w:val="18"/>
                <w:lang w:val="cs-CZ"/>
              </w:rPr>
            </w:pPr>
            <w:r w:rsidRPr="003B6E11">
              <w:rPr>
                <w:sz w:val="18"/>
                <w:lang w:val="cs-CZ"/>
              </w:rPr>
              <w:t>Označení</w:t>
            </w:r>
          </w:p>
        </w:tc>
        <w:tc>
          <w:tcPr>
            <w:tcW w:w="6521" w:type="dxa"/>
            <w:shd w:val="clear" w:color="auto" w:fill="auto"/>
          </w:tcPr>
          <w:p w:rsidR="00E82B25" w:rsidRPr="003B6E11" w:rsidRDefault="00E82B25" w:rsidP="002D015D">
            <w:pPr>
              <w:widowControl w:val="0"/>
              <w:spacing w:before="60" w:after="6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widowControl w:val="0"/>
              <w:spacing w:before="60" w:after="60" w:line="240" w:lineRule="atLeast"/>
              <w:rPr>
                <w:rFonts w:cs="Arial"/>
                <w:sz w:val="18"/>
                <w:szCs w:val="18"/>
                <w:lang w:val="cs-CZ"/>
              </w:rPr>
            </w:pPr>
          </w:p>
        </w:tc>
      </w:tr>
      <w:tr w:rsidR="00E82B25" w:rsidRPr="003B6E11" w:rsidTr="002D015D">
        <w:trPr>
          <w:cantSplit/>
          <w:trHeight w:val="517"/>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widowControl w:val="0"/>
              <w:spacing w:before="60" w:after="60" w:line="240" w:lineRule="atLeast"/>
              <w:rPr>
                <w:rFonts w:cs="Arial"/>
                <w:sz w:val="18"/>
                <w:szCs w:val="18"/>
                <w:lang w:val="cs-CZ"/>
              </w:rPr>
            </w:pPr>
            <w:r w:rsidRPr="003B6E11">
              <w:rPr>
                <w:sz w:val="18"/>
                <w:lang w:val="cs-CZ"/>
              </w:rPr>
              <w:t>odst. 5</w:t>
            </w:r>
          </w:p>
        </w:tc>
        <w:tc>
          <w:tcPr>
            <w:tcW w:w="3296" w:type="dxa"/>
            <w:shd w:val="clear" w:color="auto" w:fill="auto"/>
          </w:tcPr>
          <w:p w:rsidR="00E82B25" w:rsidRPr="003B6E11" w:rsidRDefault="00E82B25" w:rsidP="002D015D">
            <w:pPr>
              <w:widowControl w:val="0"/>
              <w:spacing w:before="60" w:after="60" w:line="240" w:lineRule="atLeast"/>
              <w:rPr>
                <w:rFonts w:cs="Arial"/>
                <w:sz w:val="18"/>
                <w:szCs w:val="18"/>
                <w:lang w:val="cs-CZ"/>
              </w:rPr>
            </w:pPr>
            <w:r w:rsidRPr="003B6E11">
              <w:rPr>
                <w:sz w:val="18"/>
                <w:lang w:val="cs-CZ"/>
              </w:rPr>
              <w:t>Zastavování a uzamykání</w:t>
            </w:r>
          </w:p>
        </w:tc>
        <w:tc>
          <w:tcPr>
            <w:tcW w:w="6521" w:type="dxa"/>
            <w:shd w:val="clear" w:color="auto" w:fill="auto"/>
          </w:tcPr>
          <w:p w:rsidR="00E82B25" w:rsidRPr="003B6E11" w:rsidRDefault="00E82B25" w:rsidP="002D015D">
            <w:pPr>
              <w:widowControl w:val="0"/>
              <w:spacing w:before="60" w:after="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widowControl w:val="0"/>
              <w:spacing w:before="60" w:after="60" w:line="240" w:lineRule="atLeast"/>
              <w:rPr>
                <w:rFonts w:cs="Arial"/>
                <w:sz w:val="18"/>
                <w:szCs w:val="18"/>
                <w:lang w:val="cs-CZ"/>
              </w:rPr>
            </w:pPr>
            <w:r w:rsidRPr="003B6E11">
              <w:rPr>
                <w:sz w:val="18"/>
                <w:lang w:val="cs-CZ"/>
              </w:rPr>
              <w:t>1.1.2025</w:t>
            </w:r>
          </w:p>
        </w:tc>
      </w:tr>
      <w:tr w:rsidR="00E82B25" w:rsidRPr="003B6E11" w:rsidTr="002D015D">
        <w:trPr>
          <w:cantSplit/>
          <w:trHeight w:val="553"/>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widowControl w:val="0"/>
              <w:spacing w:before="60" w:after="60" w:line="240" w:lineRule="atLeast"/>
              <w:rPr>
                <w:rFonts w:cs="Arial"/>
                <w:sz w:val="18"/>
                <w:szCs w:val="18"/>
                <w:lang w:val="cs-CZ"/>
              </w:rPr>
            </w:pPr>
            <w:r w:rsidRPr="003B6E11">
              <w:rPr>
                <w:sz w:val="18"/>
                <w:lang w:val="cs-CZ"/>
              </w:rPr>
              <w:t>odst. 6</w:t>
            </w:r>
          </w:p>
        </w:tc>
        <w:tc>
          <w:tcPr>
            <w:tcW w:w="3296" w:type="dxa"/>
            <w:shd w:val="clear" w:color="auto" w:fill="auto"/>
          </w:tcPr>
          <w:p w:rsidR="00E82B25" w:rsidRPr="003B6E11" w:rsidRDefault="00E82B25" w:rsidP="002D015D">
            <w:pPr>
              <w:widowControl w:val="0"/>
              <w:spacing w:before="60" w:after="60" w:line="240" w:lineRule="atLeast"/>
              <w:rPr>
                <w:rFonts w:cs="Arial"/>
                <w:sz w:val="18"/>
                <w:szCs w:val="18"/>
                <w:lang w:val="cs-CZ"/>
              </w:rPr>
            </w:pPr>
            <w:r w:rsidRPr="003B6E11">
              <w:rPr>
                <w:sz w:val="18"/>
                <w:lang w:val="cs-CZ"/>
              </w:rPr>
              <w:t>Automatická deaktivace</w:t>
            </w:r>
          </w:p>
        </w:tc>
        <w:tc>
          <w:tcPr>
            <w:tcW w:w="6521" w:type="dxa"/>
            <w:shd w:val="clear" w:color="auto" w:fill="auto"/>
          </w:tcPr>
          <w:p w:rsidR="00E82B25" w:rsidRPr="003B6E11" w:rsidRDefault="00E82B25" w:rsidP="002D015D">
            <w:pPr>
              <w:widowControl w:val="0"/>
              <w:spacing w:before="60" w:after="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widowControl w:val="0"/>
              <w:spacing w:before="60" w:after="60" w:line="240" w:lineRule="atLeast"/>
              <w:rPr>
                <w:rFonts w:cs="Arial"/>
                <w:sz w:val="18"/>
                <w:szCs w:val="18"/>
                <w:lang w:val="cs-CZ"/>
              </w:rPr>
            </w:pPr>
            <w:r w:rsidRPr="003B6E11">
              <w:rPr>
                <w:sz w:val="18"/>
                <w:lang w:val="cs-CZ"/>
              </w:rPr>
              <w:t>1.1.2025</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widowControl w:val="0"/>
              <w:spacing w:before="60" w:after="60" w:line="240" w:lineRule="atLeast"/>
              <w:rPr>
                <w:rFonts w:cs="Arial"/>
                <w:sz w:val="18"/>
                <w:szCs w:val="18"/>
                <w:lang w:val="cs-CZ"/>
              </w:rPr>
            </w:pPr>
            <w:r w:rsidRPr="003B6E11">
              <w:rPr>
                <w:sz w:val="18"/>
                <w:lang w:val="cs-CZ"/>
              </w:rPr>
              <w:t xml:space="preserve">odst. 7 </w:t>
            </w:r>
            <w:r w:rsidRPr="003B6E11">
              <w:rPr>
                <w:rFonts w:cs="Arial"/>
                <w:sz w:val="18"/>
                <w:szCs w:val="18"/>
                <w:lang w:val="cs-CZ"/>
              </w:rPr>
              <w:br/>
            </w:r>
            <w:r w:rsidRPr="003B6E11">
              <w:rPr>
                <w:sz w:val="18"/>
                <w:lang w:val="cs-CZ"/>
              </w:rPr>
              <w:t>první a druhá věta</w:t>
            </w:r>
          </w:p>
        </w:tc>
        <w:tc>
          <w:tcPr>
            <w:tcW w:w="3296" w:type="dxa"/>
            <w:shd w:val="clear" w:color="auto" w:fill="auto"/>
          </w:tcPr>
          <w:p w:rsidR="00E82B25" w:rsidRPr="003B6E11" w:rsidRDefault="00E82B25" w:rsidP="002D015D">
            <w:pPr>
              <w:widowControl w:val="0"/>
              <w:spacing w:before="60" w:after="60" w:line="240" w:lineRule="atLeast"/>
              <w:rPr>
                <w:rFonts w:cs="Arial"/>
                <w:sz w:val="18"/>
                <w:szCs w:val="18"/>
                <w:lang w:val="cs-CZ"/>
              </w:rPr>
            </w:pPr>
            <w:r w:rsidRPr="003B6E11">
              <w:rPr>
                <w:sz w:val="18"/>
                <w:lang w:val="cs-CZ"/>
              </w:rPr>
              <w:t>Uspořádání a ochranné prvky</w:t>
            </w:r>
          </w:p>
        </w:tc>
        <w:tc>
          <w:tcPr>
            <w:tcW w:w="6521" w:type="dxa"/>
            <w:shd w:val="clear" w:color="auto" w:fill="auto"/>
          </w:tcPr>
          <w:p w:rsidR="00E82B25" w:rsidRPr="003B6E11" w:rsidRDefault="00E82B25" w:rsidP="002D015D">
            <w:pPr>
              <w:widowControl w:val="0"/>
              <w:spacing w:before="60" w:after="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widowControl w:val="0"/>
              <w:spacing w:before="60" w:after="60" w:line="240" w:lineRule="atLeast"/>
              <w:rPr>
                <w:rFonts w:cs="Arial"/>
                <w:sz w:val="18"/>
                <w:szCs w:val="18"/>
                <w:lang w:val="cs-CZ"/>
              </w:rPr>
            </w:pPr>
            <w:r w:rsidRPr="003B6E11">
              <w:rPr>
                <w:sz w:val="18"/>
                <w:lang w:val="cs-CZ"/>
              </w:rPr>
              <w:t>1.1.2025</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widowControl w:val="0"/>
              <w:spacing w:before="60" w:after="60" w:line="240" w:lineRule="atLeast"/>
              <w:rPr>
                <w:rFonts w:cs="Arial"/>
                <w:sz w:val="18"/>
                <w:szCs w:val="18"/>
                <w:lang w:val="cs-CZ"/>
              </w:rPr>
            </w:pPr>
            <w:r w:rsidRPr="003B6E11">
              <w:rPr>
                <w:sz w:val="18"/>
                <w:lang w:val="cs-CZ"/>
              </w:rPr>
              <w:t xml:space="preserve">odst. 7 </w:t>
            </w:r>
            <w:r w:rsidRPr="003B6E11">
              <w:rPr>
                <w:rFonts w:cs="Arial"/>
                <w:sz w:val="18"/>
                <w:szCs w:val="18"/>
                <w:lang w:val="cs-CZ"/>
              </w:rPr>
              <w:br/>
            </w:r>
            <w:r w:rsidRPr="003B6E11">
              <w:rPr>
                <w:sz w:val="18"/>
                <w:lang w:val="cs-CZ"/>
              </w:rPr>
              <w:t>třetí věta</w:t>
            </w:r>
          </w:p>
        </w:tc>
        <w:tc>
          <w:tcPr>
            <w:tcW w:w="3296" w:type="dxa"/>
            <w:shd w:val="clear" w:color="auto" w:fill="auto"/>
          </w:tcPr>
          <w:p w:rsidR="00E82B25" w:rsidRPr="003B6E11" w:rsidRDefault="00E82B25" w:rsidP="002D015D">
            <w:pPr>
              <w:widowControl w:val="0"/>
              <w:spacing w:before="60" w:after="60" w:line="240" w:lineRule="atLeast"/>
              <w:rPr>
                <w:rFonts w:cs="Arial"/>
                <w:sz w:val="18"/>
                <w:szCs w:val="18"/>
                <w:lang w:val="cs-CZ"/>
              </w:rPr>
            </w:pPr>
            <w:r w:rsidRPr="003B6E11">
              <w:rPr>
                <w:sz w:val="18"/>
                <w:lang w:val="cs-CZ"/>
              </w:rPr>
              <w:t>Optický signál</w:t>
            </w:r>
          </w:p>
        </w:tc>
        <w:tc>
          <w:tcPr>
            <w:tcW w:w="6521" w:type="dxa"/>
            <w:shd w:val="clear" w:color="auto" w:fill="auto"/>
          </w:tcPr>
          <w:p w:rsidR="00E82B25" w:rsidRPr="003B6E11" w:rsidRDefault="00E82B25" w:rsidP="002D015D">
            <w:pPr>
              <w:widowControl w:val="0"/>
              <w:spacing w:before="60" w:after="6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widowControl w:val="0"/>
              <w:spacing w:before="60" w:after="60" w:line="240" w:lineRule="atLeast"/>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widowControl w:val="0"/>
              <w:spacing w:before="60" w:after="60" w:line="240" w:lineRule="atLeast"/>
              <w:rPr>
                <w:rFonts w:cs="Arial"/>
                <w:sz w:val="18"/>
                <w:szCs w:val="18"/>
                <w:lang w:val="cs-CZ"/>
              </w:rPr>
            </w:pPr>
            <w:r w:rsidRPr="003B6E11">
              <w:rPr>
                <w:sz w:val="18"/>
                <w:lang w:val="cs-CZ"/>
              </w:rPr>
              <w:t>odst. 8</w:t>
            </w:r>
          </w:p>
        </w:tc>
        <w:tc>
          <w:tcPr>
            <w:tcW w:w="3296" w:type="dxa"/>
            <w:shd w:val="clear" w:color="auto" w:fill="auto"/>
          </w:tcPr>
          <w:p w:rsidR="00E82B25" w:rsidRPr="003B6E11" w:rsidRDefault="00E82B25" w:rsidP="002D015D">
            <w:pPr>
              <w:widowControl w:val="0"/>
              <w:tabs>
                <w:tab w:val="left" w:pos="1260"/>
              </w:tabs>
              <w:adjustRightInd w:val="0"/>
              <w:spacing w:before="60" w:after="60" w:line="240" w:lineRule="atLeast"/>
              <w:rPr>
                <w:rFonts w:cs="Arial"/>
                <w:sz w:val="18"/>
                <w:szCs w:val="18"/>
                <w:lang w:val="cs-CZ"/>
              </w:rPr>
            </w:pPr>
            <w:r w:rsidRPr="003B6E11">
              <w:rPr>
                <w:sz w:val="18"/>
                <w:lang w:val="cs-CZ"/>
              </w:rPr>
              <w:t>Systém nouzového spouštění</w:t>
            </w:r>
          </w:p>
        </w:tc>
        <w:tc>
          <w:tcPr>
            <w:tcW w:w="6521" w:type="dxa"/>
            <w:shd w:val="clear" w:color="auto" w:fill="auto"/>
          </w:tcPr>
          <w:p w:rsidR="00E82B25" w:rsidRPr="003B6E11" w:rsidRDefault="00E82B25" w:rsidP="002D015D">
            <w:pPr>
              <w:widowControl w:val="0"/>
              <w:spacing w:before="60" w:after="60" w:line="240" w:lineRule="atLeast"/>
              <w:rPr>
                <w:rFonts w:cs="Arial"/>
                <w:sz w:val="18"/>
                <w:szCs w:val="18"/>
                <w:lang w:val="cs-CZ"/>
              </w:rPr>
            </w:pPr>
            <w:r w:rsidRPr="003B6E11">
              <w:rPr>
                <w:sz w:val="18"/>
                <w:lang w:val="cs-CZ"/>
              </w:rPr>
              <w:t xml:space="preserve">Není-li možné hydraulické spouštění: N.V.P., nejpozději při obnovení osvědčení plavidla vnitrozemské plavby po </w:t>
            </w:r>
          </w:p>
        </w:tc>
        <w:tc>
          <w:tcPr>
            <w:tcW w:w="1276" w:type="dxa"/>
            <w:shd w:val="clear" w:color="auto" w:fill="auto"/>
          </w:tcPr>
          <w:p w:rsidR="00E82B25" w:rsidRPr="003B6E11" w:rsidRDefault="00E82B25" w:rsidP="002D015D">
            <w:pPr>
              <w:widowControl w:val="0"/>
              <w:spacing w:before="60" w:after="60" w:line="240" w:lineRule="atLeast"/>
              <w:rPr>
                <w:rFonts w:cs="Arial"/>
                <w:sz w:val="18"/>
                <w:szCs w:val="18"/>
                <w:lang w:val="cs-CZ"/>
              </w:rPr>
            </w:pPr>
            <w:r w:rsidRPr="003B6E11">
              <w:rPr>
                <w:sz w:val="18"/>
                <w:lang w:val="cs-CZ"/>
              </w:rPr>
              <w:t>1.1.2040</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vMerge w:val="restart"/>
            <w:shd w:val="clear" w:color="auto" w:fill="auto"/>
          </w:tcPr>
          <w:p w:rsidR="00E82B25" w:rsidRPr="003B6E11" w:rsidDel="00F12D85" w:rsidRDefault="00E82B25" w:rsidP="002D015D">
            <w:pPr>
              <w:widowControl w:val="0"/>
              <w:spacing w:before="60" w:after="60" w:line="240" w:lineRule="atLeast"/>
              <w:rPr>
                <w:rFonts w:cs="Arial"/>
                <w:sz w:val="18"/>
                <w:szCs w:val="18"/>
                <w:lang w:val="cs-CZ"/>
              </w:rPr>
            </w:pPr>
            <w:r w:rsidRPr="003B6E11">
              <w:rPr>
                <w:sz w:val="18"/>
                <w:lang w:val="cs-CZ"/>
              </w:rPr>
              <w:t>odst. 12 písm. c)</w:t>
            </w:r>
          </w:p>
        </w:tc>
        <w:tc>
          <w:tcPr>
            <w:tcW w:w="3296" w:type="dxa"/>
            <w:vMerge w:val="restart"/>
            <w:shd w:val="clear" w:color="auto" w:fill="auto"/>
          </w:tcPr>
          <w:p w:rsidR="00E82B25" w:rsidRPr="003B6E11" w:rsidRDefault="00E82B25" w:rsidP="002D015D">
            <w:pPr>
              <w:widowControl w:val="0"/>
              <w:tabs>
                <w:tab w:val="left" w:pos="1260"/>
              </w:tabs>
              <w:adjustRightInd w:val="0"/>
              <w:spacing w:before="60" w:after="60" w:line="240" w:lineRule="atLeast"/>
              <w:rPr>
                <w:rFonts w:cs="Arial"/>
                <w:sz w:val="18"/>
                <w:szCs w:val="18"/>
                <w:lang w:val="cs-CZ"/>
              </w:rPr>
            </w:pPr>
            <w:r w:rsidRPr="003B6E11">
              <w:rPr>
                <w:sz w:val="18"/>
                <w:lang w:val="cs-CZ"/>
              </w:rPr>
              <w:t>Zkoušky</w:t>
            </w:r>
          </w:p>
        </w:tc>
        <w:tc>
          <w:tcPr>
            <w:tcW w:w="6521" w:type="dxa"/>
            <w:shd w:val="clear" w:color="auto" w:fill="auto"/>
          </w:tcPr>
          <w:p w:rsidR="00E82B25" w:rsidRPr="003B6E11" w:rsidRDefault="00E82B25" w:rsidP="002D015D">
            <w:pPr>
              <w:widowControl w:val="0"/>
              <w:spacing w:before="60" w:after="60" w:line="240" w:lineRule="atLeast"/>
              <w:rPr>
                <w:rFonts w:cs="Arial"/>
                <w:sz w:val="18"/>
                <w:szCs w:val="18"/>
                <w:lang w:val="cs-CZ"/>
              </w:rPr>
            </w:pPr>
            <w:r w:rsidRPr="003B6E11">
              <w:rPr>
                <w:sz w:val="18"/>
                <w:lang w:val="cs-CZ"/>
              </w:rPr>
              <w:t>N.V.P., nejpozději při obnovení osvědčení plavidla vnitrozemské plavby</w:t>
            </w:r>
          </w:p>
        </w:tc>
        <w:tc>
          <w:tcPr>
            <w:tcW w:w="1276" w:type="dxa"/>
            <w:vMerge w:val="restart"/>
            <w:shd w:val="clear" w:color="auto" w:fill="auto"/>
          </w:tcPr>
          <w:p w:rsidR="00E82B25" w:rsidRPr="003B6E11" w:rsidRDefault="00E82B25" w:rsidP="002D015D">
            <w:pPr>
              <w:widowControl w:val="0"/>
              <w:spacing w:before="60" w:after="60" w:line="240" w:lineRule="atLeast"/>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6521" w:type="dxa"/>
            <w:shd w:val="clear" w:color="auto" w:fill="auto"/>
          </w:tcPr>
          <w:p w:rsidR="00E82B25" w:rsidRPr="003B6E11" w:rsidRDefault="00E82B25" w:rsidP="002D015D">
            <w:pPr>
              <w:widowControl w:val="0"/>
              <w:spacing w:before="60" w:after="60" w:line="240" w:lineRule="atLeast"/>
              <w:rPr>
                <w:rFonts w:cs="Arial"/>
                <w:sz w:val="18"/>
                <w:szCs w:val="18"/>
                <w:lang w:val="cs-CZ"/>
              </w:rPr>
            </w:pPr>
            <w:r w:rsidRPr="003B6E11">
              <w:rPr>
                <w:sz w:val="18"/>
                <w:lang w:val="cs-CZ"/>
              </w:rPr>
              <w:t>Nelze-li poskytnout matematický důkaz, může subjekt pověřený prohlídkami uznat za rovnocenný jiný vhodný důkaz.</w:t>
            </w:r>
          </w:p>
        </w:tc>
        <w:tc>
          <w:tcPr>
            <w:tcW w:w="1276" w:type="dxa"/>
            <w:vMerge/>
            <w:shd w:val="clear" w:color="auto" w:fill="auto"/>
          </w:tcPr>
          <w:p w:rsidR="00E82B25" w:rsidRPr="003B6E11" w:rsidRDefault="00E82B25" w:rsidP="002D015D">
            <w:pPr>
              <w:widowControl w:val="0"/>
              <w:spacing w:before="60" w:after="60" w:line="240" w:lineRule="atLeast"/>
              <w:rPr>
                <w:rFonts w:cs="Arial"/>
                <w:sz w:val="18"/>
                <w:szCs w:val="18"/>
                <w:highlight w:val="lightGray"/>
                <w:lang w:val="cs-CZ"/>
              </w:rPr>
            </w:pP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b/>
                <w:sz w:val="18"/>
                <w:lang w:val="cs-CZ"/>
              </w:rPr>
              <w:t>KAPITOLA 8</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8.01</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Pouze spalovací motory fungující na palivo s bodem vzplanutím vyšším než 55 °C</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8.02</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Zabezpečení motorů před náhodným spuštěním</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1.1.2010</w:t>
            </w:r>
          </w:p>
        </w:tc>
      </w:tr>
      <w:tr w:rsidR="00E82B25" w:rsidRPr="003B6E11" w:rsidTr="002D015D">
        <w:trPr>
          <w:cantSplit/>
          <w:trHeight w:val="203"/>
          <w:jc w:val="center"/>
        </w:trPr>
        <w:tc>
          <w:tcPr>
            <w:tcW w:w="1342" w:type="dxa"/>
            <w:tcBorders>
              <w:top w:val="nil"/>
              <w:bottom w:val="single" w:sz="4" w:space="0" w:color="auto"/>
            </w:tcBorders>
            <w:shd w:val="clear" w:color="auto" w:fill="auto"/>
          </w:tcPr>
          <w:p w:rsidR="00E82B25" w:rsidRPr="003B6E11" w:rsidRDefault="00E82B25" w:rsidP="002D015D">
            <w:pPr>
              <w:spacing w:before="240" w:after="240" w:line="240" w:lineRule="atLeast"/>
              <w:rPr>
                <w:rFonts w:cs="Arial"/>
                <w:sz w:val="18"/>
                <w:szCs w:val="18"/>
                <w:lang w:val="cs-CZ"/>
              </w:rPr>
            </w:pPr>
          </w:p>
        </w:tc>
        <w:tc>
          <w:tcPr>
            <w:tcW w:w="1458" w:type="dxa"/>
            <w:tcBorders>
              <w:bottom w:val="single" w:sz="4" w:space="0" w:color="auto"/>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4</w:t>
            </w:r>
          </w:p>
        </w:tc>
        <w:tc>
          <w:tcPr>
            <w:tcW w:w="3296" w:type="dxa"/>
            <w:tcBorders>
              <w:bottom w:val="single" w:sz="4" w:space="0" w:color="auto"/>
            </w:tcBorders>
            <w:shd w:val="clear" w:color="auto" w:fill="auto"/>
          </w:tcPr>
          <w:p w:rsidR="00E82B25" w:rsidRPr="003B6E11" w:rsidRDefault="00E82B25" w:rsidP="002D015D">
            <w:pPr>
              <w:spacing w:before="120" w:after="120" w:line="240" w:lineRule="atLeast"/>
              <w:rPr>
                <w:rFonts w:cs="Arial"/>
                <w:noProof/>
                <w:sz w:val="18"/>
                <w:szCs w:val="18"/>
                <w:lang w:val="cs-CZ"/>
              </w:rPr>
            </w:pPr>
            <w:r w:rsidRPr="003B6E11">
              <w:rPr>
                <w:noProof/>
                <w:sz w:val="18"/>
                <w:lang w:val="cs-CZ"/>
              </w:rPr>
              <w:t>Zakrytí potrubí</w:t>
            </w:r>
          </w:p>
        </w:tc>
        <w:tc>
          <w:tcPr>
            <w:tcW w:w="6521" w:type="dxa"/>
            <w:tcBorders>
              <w:bottom w:val="single" w:sz="4" w:space="0" w:color="auto"/>
            </w:tcBorders>
            <w:shd w:val="clear" w:color="auto" w:fill="auto"/>
          </w:tcPr>
          <w:p w:rsidR="00E82B25" w:rsidRPr="003B6E11" w:rsidRDefault="00E82B25" w:rsidP="002D015D">
            <w:pPr>
              <w:spacing w:before="120" w:after="120" w:line="240" w:lineRule="atLeast"/>
              <w:rPr>
                <w:rFonts w:cs="Arial"/>
                <w:noProof/>
                <w:sz w:val="18"/>
                <w:szCs w:val="18"/>
                <w:lang w:val="cs-CZ"/>
              </w:rPr>
            </w:pPr>
            <w:r w:rsidRPr="003B6E11">
              <w:rPr>
                <w:noProof/>
                <w:sz w:val="18"/>
                <w:lang w:val="cs-CZ"/>
              </w:rPr>
              <w:t>N.V.P., nejpozději při obnovení osvědčení plavidla vnitrozemské plavby po</w:t>
            </w:r>
          </w:p>
        </w:tc>
        <w:tc>
          <w:tcPr>
            <w:tcW w:w="1276" w:type="dxa"/>
            <w:tcBorders>
              <w:bottom w:val="single" w:sz="4" w:space="0" w:color="auto"/>
            </w:tcBorders>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1.1.2025</w:t>
            </w:r>
          </w:p>
        </w:tc>
      </w:tr>
      <w:tr w:rsidR="00E82B25" w:rsidRPr="003B6E11" w:rsidTr="002D015D">
        <w:trPr>
          <w:cantSplit/>
          <w:jc w:val="center"/>
        </w:trPr>
        <w:tc>
          <w:tcPr>
            <w:tcW w:w="1342" w:type="dxa"/>
            <w:tcBorders>
              <w:top w:val="single" w:sz="4" w:space="0" w:color="auto"/>
              <w:bottom w:val="nil"/>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8.03</w:t>
            </w:r>
          </w:p>
        </w:tc>
        <w:tc>
          <w:tcPr>
            <w:tcW w:w="1458" w:type="dxa"/>
            <w:tcBorders>
              <w:top w:val="single" w:sz="4" w:space="0" w:color="auto"/>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2</w:t>
            </w:r>
          </w:p>
        </w:tc>
        <w:tc>
          <w:tcPr>
            <w:tcW w:w="3296" w:type="dxa"/>
            <w:tcBorders>
              <w:top w:val="single" w:sz="4" w:space="0" w:color="auto"/>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Monitorovací zařízení</w:t>
            </w:r>
          </w:p>
        </w:tc>
        <w:tc>
          <w:tcPr>
            <w:tcW w:w="6521" w:type="dxa"/>
            <w:tcBorders>
              <w:top w:val="single" w:sz="4" w:space="0" w:color="auto"/>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tcBorders>
              <w:top w:val="single" w:sz="4" w:space="0" w:color="auto"/>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Automatická ochrana proti zvýšení otáček – zobrazení a vypnutí</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1.1.2010</w:t>
            </w:r>
          </w:p>
        </w:tc>
      </w:tr>
      <w:tr w:rsidR="00E82B25" w:rsidRPr="003B6E11" w:rsidTr="002D015D">
        <w:trPr>
          <w:cantSplit/>
          <w:trHeight w:val="387"/>
          <w:jc w:val="center"/>
        </w:trPr>
        <w:tc>
          <w:tcPr>
            <w:tcW w:w="1342" w:type="dxa"/>
            <w:tcBorders>
              <w:top w:val="nil"/>
              <w:bottom w:val="single" w:sz="4" w:space="0" w:color="auto"/>
            </w:tcBorders>
            <w:shd w:val="clear" w:color="auto" w:fill="auto"/>
          </w:tcPr>
          <w:p w:rsidR="00E82B25" w:rsidRPr="003B6E11" w:rsidRDefault="00E82B25" w:rsidP="002D015D">
            <w:pPr>
              <w:spacing w:before="240" w:after="24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5</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Konstrukce pouzdra hřídele</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1.1.2015</w:t>
            </w:r>
          </w:p>
        </w:tc>
      </w:tr>
      <w:tr w:rsidR="00E82B25" w:rsidRPr="003B6E11" w:rsidTr="002D015D">
        <w:trPr>
          <w:cantSplit/>
          <w:trHeight w:val="355"/>
          <w:jc w:val="center"/>
        </w:trPr>
        <w:tc>
          <w:tcPr>
            <w:tcW w:w="1342" w:type="dxa"/>
            <w:tcBorders>
              <w:bottom w:val="nil"/>
            </w:tcBorders>
            <w:shd w:val="clear" w:color="auto" w:fill="auto"/>
          </w:tcPr>
          <w:p w:rsidR="00E82B25" w:rsidRPr="003B6E11" w:rsidRDefault="00E82B25" w:rsidP="002D015D">
            <w:pPr>
              <w:spacing w:before="120" w:after="240" w:line="240" w:lineRule="atLeast"/>
              <w:rPr>
                <w:rFonts w:cs="Arial"/>
                <w:sz w:val="18"/>
                <w:szCs w:val="18"/>
                <w:lang w:val="cs-CZ"/>
              </w:rPr>
            </w:pPr>
            <w:r w:rsidRPr="003B6E11">
              <w:rPr>
                <w:sz w:val="18"/>
                <w:lang w:val="cs-CZ"/>
              </w:rPr>
              <w:t>8.05</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Ocelové nádrže na kapalná paliva</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vMerge w:val="restart"/>
            <w:tcBorders>
              <w:top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vMerge w:val="restart"/>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tabs>
                <w:tab w:val="left" w:pos="1170"/>
              </w:tabs>
              <w:spacing w:before="120" w:after="120" w:line="240" w:lineRule="atLeast"/>
              <w:rPr>
                <w:rFonts w:cs="Arial"/>
                <w:sz w:val="18"/>
                <w:szCs w:val="18"/>
                <w:lang w:val="cs-CZ"/>
              </w:rPr>
            </w:pPr>
            <w:r w:rsidRPr="003B6E11">
              <w:rPr>
                <w:noProof/>
                <w:sz w:val="18"/>
                <w:lang w:val="cs-CZ"/>
              </w:rPr>
              <w:t>Žádné palivové nádrže před kolizní přepážkou</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1.1.2010</w:t>
            </w:r>
          </w:p>
        </w:tc>
      </w:tr>
      <w:tr w:rsidR="00E82B25" w:rsidRPr="003B6E11" w:rsidTr="002D015D">
        <w:trPr>
          <w:cantSplit/>
          <w:trHeight w:val="585"/>
          <w:jc w:val="center"/>
        </w:trPr>
        <w:tc>
          <w:tcPr>
            <w:tcW w:w="1342" w:type="dxa"/>
            <w:vMerge/>
            <w:tcBorders>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vMerge/>
            <w:tcBorders>
              <w:bottom w:val="single" w:sz="4" w:space="0" w:color="auto"/>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tcBorders>
              <w:bottom w:val="single" w:sz="4" w:space="0" w:color="auto"/>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Žádné palivové nádrže za záďovou přepážkou</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vMerge w:val="restart"/>
            <w:tcBorders>
              <w:top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vMerge w:val="restart"/>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4</w:t>
            </w:r>
          </w:p>
        </w:tc>
        <w:tc>
          <w:tcPr>
            <w:tcW w:w="3296" w:type="dxa"/>
            <w:vMerge w:val="restart"/>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Žádné palivové nádrže a armatury umístěné přímo nad motory nebo výfukovým potrubím</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vMerge/>
            <w:tcBorders>
              <w:bottom w:val="nil"/>
            </w:tcBorders>
            <w:shd w:val="clear" w:color="auto" w:fill="auto"/>
          </w:tcPr>
          <w:p w:rsidR="00E82B25" w:rsidRPr="003B6E11" w:rsidRDefault="00E82B25" w:rsidP="002D015D">
            <w:pPr>
              <w:spacing w:before="240" w:after="24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Do té doby musí bezpečné odvádění paliva zajistit vhodné zařízení.</w:t>
            </w:r>
          </w:p>
        </w:tc>
        <w:tc>
          <w:tcPr>
            <w:tcW w:w="1276" w:type="dxa"/>
            <w:shd w:val="clear" w:color="auto" w:fill="auto"/>
          </w:tcPr>
          <w:p w:rsidR="00E82B25" w:rsidRPr="003B6E11" w:rsidRDefault="00E82B25" w:rsidP="002D015D">
            <w:pPr>
              <w:spacing w:before="240" w:after="240" w:line="240" w:lineRule="atLeast"/>
              <w:rPr>
                <w:rFonts w:cs="Arial"/>
                <w:sz w:val="18"/>
                <w:szCs w:val="18"/>
                <w:lang w:val="cs-CZ"/>
              </w:rPr>
            </w:pP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240" w:after="24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6 třetí až pátá věta</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Instalace a rozměry odvětrávacího potrubí a spojovacího potrubí</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240" w:line="240" w:lineRule="atLeast"/>
              <w:rPr>
                <w:rFonts w:cs="Arial"/>
                <w:sz w:val="18"/>
                <w:szCs w:val="18"/>
                <w:lang w:val="cs-CZ"/>
              </w:rPr>
            </w:pPr>
            <w:r w:rsidRPr="003B6E11">
              <w:rPr>
                <w:sz w:val="18"/>
                <w:lang w:val="cs-CZ"/>
              </w:rPr>
              <w:t>1.1.2020</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24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7 první věta</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Rychlouzavírací ventil nádrže, který lze obsluhovat z paluby, i když jsou dotyčné prostory uzavřeny</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6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240" w:after="24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9 druhá věta</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Měřicí zařízení čitelná až po nejvyšší hladinu plnění nádrže</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24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24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13</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Kontrola výše hladiny nejen u hlavních motorů, ale také u motorů potřebných pro bezpečný provoz plavidla</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6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shd w:val="clear" w:color="auto" w:fill="auto"/>
          </w:tcPr>
          <w:p w:rsidR="00E82B25" w:rsidRPr="003B6E11" w:rsidRDefault="00E82B25" w:rsidP="002D015D">
            <w:pPr>
              <w:spacing w:before="120" w:after="160" w:line="240" w:lineRule="atLeast"/>
              <w:rPr>
                <w:rFonts w:cs="Arial"/>
                <w:sz w:val="18"/>
                <w:szCs w:val="18"/>
                <w:lang w:val="cs-CZ"/>
              </w:rPr>
            </w:pPr>
            <w:r w:rsidRPr="003B6E11">
              <w:rPr>
                <w:sz w:val="18"/>
                <w:lang w:val="cs-CZ"/>
              </w:rPr>
              <w:t>8.06</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Nádrže na mazací olej, potrubí a příslušenství</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6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80" w:after="100" w:line="240" w:lineRule="atLeast"/>
              <w:rPr>
                <w:rFonts w:cs="Arial"/>
                <w:sz w:val="18"/>
                <w:szCs w:val="18"/>
                <w:lang w:val="cs-CZ"/>
              </w:rPr>
            </w:pPr>
            <w:r w:rsidRPr="003B6E11">
              <w:rPr>
                <w:sz w:val="18"/>
                <w:lang w:val="cs-CZ"/>
              </w:rPr>
              <w:t>8.07</w:t>
            </w:r>
          </w:p>
        </w:tc>
        <w:tc>
          <w:tcPr>
            <w:tcW w:w="1458" w:type="dxa"/>
            <w:shd w:val="clear" w:color="auto" w:fill="auto"/>
          </w:tcPr>
          <w:p w:rsidR="00E82B25" w:rsidRPr="003B6E11" w:rsidRDefault="00E82B25" w:rsidP="002D015D">
            <w:pPr>
              <w:spacing w:before="80" w:after="100" w:line="240" w:lineRule="atLeast"/>
              <w:rPr>
                <w:rFonts w:cs="Arial"/>
                <w:sz w:val="18"/>
                <w:szCs w:val="18"/>
                <w:lang w:val="cs-CZ"/>
              </w:rPr>
            </w:pPr>
          </w:p>
        </w:tc>
        <w:tc>
          <w:tcPr>
            <w:tcW w:w="3296" w:type="dxa"/>
            <w:shd w:val="clear" w:color="auto" w:fill="auto"/>
          </w:tcPr>
          <w:p w:rsidR="00E82B25" w:rsidRPr="003B6E11" w:rsidRDefault="00E82B25" w:rsidP="002D015D">
            <w:pPr>
              <w:spacing w:before="80" w:after="100" w:line="240" w:lineRule="atLeast"/>
              <w:rPr>
                <w:rFonts w:cs="Arial"/>
                <w:sz w:val="18"/>
                <w:szCs w:val="18"/>
                <w:lang w:val="cs-CZ"/>
              </w:rPr>
            </w:pPr>
            <w:r w:rsidRPr="003B6E11">
              <w:rPr>
                <w:noProof/>
                <w:sz w:val="18"/>
                <w:lang w:val="cs-CZ"/>
              </w:rPr>
              <w:t>Nádrže na oleje používané v soustavách pro přenos sil a v ovládacích, pohonných a topných soustavách, potrubí a příslušenství</w:t>
            </w:r>
          </w:p>
        </w:tc>
        <w:tc>
          <w:tcPr>
            <w:tcW w:w="6521" w:type="dxa"/>
            <w:shd w:val="clear" w:color="auto" w:fill="auto"/>
          </w:tcPr>
          <w:p w:rsidR="00E82B25" w:rsidRPr="003B6E11" w:rsidRDefault="00E82B25" w:rsidP="002D015D">
            <w:pPr>
              <w:spacing w:before="8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100" w:line="240" w:lineRule="atLeast"/>
              <w:rPr>
                <w:rFonts w:cs="Arial"/>
                <w:sz w:val="18"/>
                <w:szCs w:val="18"/>
                <w:lang w:val="cs-CZ"/>
              </w:rPr>
            </w:pPr>
            <w:r w:rsidRPr="003B6E11">
              <w:rPr>
                <w:sz w:val="18"/>
                <w:lang w:val="cs-CZ"/>
              </w:rPr>
              <w:t>1.1.2045</w:t>
            </w:r>
          </w:p>
        </w:tc>
      </w:tr>
      <w:tr w:rsidR="00E82B25" w:rsidRPr="003B6E11" w:rsidTr="002D015D">
        <w:trPr>
          <w:cantSplit/>
          <w:trHeight w:val="1431"/>
          <w:jc w:val="center"/>
        </w:trPr>
        <w:tc>
          <w:tcPr>
            <w:tcW w:w="1342" w:type="dxa"/>
            <w:tcBorders>
              <w:bottom w:val="nil"/>
            </w:tcBorders>
            <w:shd w:val="clear" w:color="auto" w:fill="auto"/>
          </w:tcPr>
          <w:p w:rsidR="00E82B25" w:rsidRPr="003B6E11" w:rsidRDefault="00E82B25" w:rsidP="002D015D">
            <w:pPr>
              <w:spacing w:before="80" w:after="100" w:line="240" w:lineRule="atLeast"/>
              <w:rPr>
                <w:rFonts w:cs="Arial"/>
                <w:sz w:val="18"/>
                <w:szCs w:val="18"/>
                <w:lang w:val="cs-CZ"/>
              </w:rPr>
            </w:pPr>
            <w:r w:rsidRPr="003B6E11">
              <w:rPr>
                <w:sz w:val="18"/>
                <w:lang w:val="cs-CZ"/>
              </w:rPr>
              <w:t>8.08</w:t>
            </w:r>
          </w:p>
        </w:tc>
        <w:tc>
          <w:tcPr>
            <w:tcW w:w="1458" w:type="dxa"/>
            <w:shd w:val="clear" w:color="auto" w:fill="auto"/>
          </w:tcPr>
          <w:p w:rsidR="00E82B25" w:rsidRPr="003B6E11" w:rsidRDefault="00E82B25" w:rsidP="002D015D">
            <w:pPr>
              <w:spacing w:before="80" w:after="100" w:line="240" w:lineRule="atLeast"/>
              <w:rPr>
                <w:rFonts w:cs="Arial"/>
                <w:sz w:val="18"/>
                <w:szCs w:val="18"/>
                <w:lang w:val="cs-CZ"/>
              </w:rPr>
            </w:pPr>
            <w:r w:rsidRPr="003B6E11">
              <w:rPr>
                <w:sz w:val="18"/>
                <w:lang w:val="cs-CZ"/>
              </w:rPr>
              <w:t>odst. 8</w:t>
            </w:r>
          </w:p>
        </w:tc>
        <w:tc>
          <w:tcPr>
            <w:tcW w:w="3296" w:type="dxa"/>
            <w:shd w:val="clear" w:color="auto" w:fill="auto"/>
          </w:tcPr>
          <w:p w:rsidR="00E82B25" w:rsidRPr="003B6E11" w:rsidRDefault="00E82B25" w:rsidP="002D015D">
            <w:pPr>
              <w:spacing w:before="80" w:after="100" w:line="240" w:lineRule="atLeast"/>
              <w:rPr>
                <w:rFonts w:cs="Arial"/>
                <w:sz w:val="18"/>
                <w:szCs w:val="18"/>
                <w:lang w:val="cs-CZ"/>
              </w:rPr>
            </w:pPr>
            <w:r w:rsidRPr="003B6E11">
              <w:rPr>
                <w:noProof/>
                <w:sz w:val="18"/>
                <w:lang w:val="cs-CZ"/>
              </w:rPr>
              <w:t>Jednoduché uzavírací zařízení nedostatečné pro připojení prostor vybavených jako zátěžové na drenážní čerpadla pro podpalubní nákladové prostory schopné pojmout zátěž</w:t>
            </w:r>
          </w:p>
        </w:tc>
        <w:tc>
          <w:tcPr>
            <w:tcW w:w="6521" w:type="dxa"/>
            <w:shd w:val="clear" w:color="auto" w:fill="auto"/>
          </w:tcPr>
          <w:p w:rsidR="00E82B25" w:rsidRPr="003B6E11" w:rsidRDefault="00E82B25" w:rsidP="002D015D">
            <w:pPr>
              <w:spacing w:before="8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10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8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100" w:line="240" w:lineRule="atLeast"/>
              <w:rPr>
                <w:rFonts w:cs="Arial"/>
                <w:sz w:val="18"/>
                <w:szCs w:val="18"/>
                <w:lang w:val="cs-CZ"/>
              </w:rPr>
            </w:pPr>
            <w:r w:rsidRPr="003B6E11">
              <w:rPr>
                <w:sz w:val="18"/>
                <w:lang w:val="cs-CZ"/>
              </w:rPr>
              <w:t>odst. 9</w:t>
            </w:r>
          </w:p>
        </w:tc>
        <w:tc>
          <w:tcPr>
            <w:tcW w:w="3296" w:type="dxa"/>
            <w:shd w:val="clear" w:color="auto" w:fill="auto"/>
          </w:tcPr>
          <w:p w:rsidR="00E82B25" w:rsidRPr="003B6E11" w:rsidRDefault="00E82B25" w:rsidP="002D015D">
            <w:pPr>
              <w:spacing w:before="80" w:after="100" w:line="240" w:lineRule="atLeast"/>
              <w:rPr>
                <w:rFonts w:cs="Arial"/>
                <w:sz w:val="18"/>
                <w:szCs w:val="18"/>
                <w:lang w:val="cs-CZ"/>
              </w:rPr>
            </w:pPr>
            <w:r w:rsidRPr="003B6E11">
              <w:rPr>
                <w:noProof/>
                <w:sz w:val="18"/>
                <w:lang w:val="cs-CZ"/>
              </w:rPr>
              <w:t>Měřicí zařízení pro sběrné prostory podpalubních nákladových prostorů</w:t>
            </w:r>
          </w:p>
        </w:tc>
        <w:tc>
          <w:tcPr>
            <w:tcW w:w="6521" w:type="dxa"/>
            <w:shd w:val="clear" w:color="auto" w:fill="auto"/>
          </w:tcPr>
          <w:p w:rsidR="00E82B25" w:rsidRPr="003B6E11" w:rsidRDefault="00E82B25" w:rsidP="002D015D">
            <w:pPr>
              <w:spacing w:before="8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10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shd w:val="clear" w:color="auto" w:fill="auto"/>
          </w:tcPr>
          <w:p w:rsidR="00E82B25" w:rsidRPr="003B6E11" w:rsidRDefault="00E82B25" w:rsidP="002D015D">
            <w:pPr>
              <w:spacing w:before="80" w:after="100" w:line="240" w:lineRule="atLeast"/>
              <w:rPr>
                <w:rFonts w:cs="Arial"/>
                <w:sz w:val="18"/>
                <w:szCs w:val="18"/>
                <w:lang w:val="cs-CZ"/>
              </w:rPr>
            </w:pPr>
            <w:r w:rsidRPr="003B6E11">
              <w:rPr>
                <w:sz w:val="18"/>
                <w:lang w:val="cs-CZ"/>
              </w:rPr>
              <w:t>8.09</w:t>
            </w:r>
          </w:p>
        </w:tc>
        <w:tc>
          <w:tcPr>
            <w:tcW w:w="1458" w:type="dxa"/>
            <w:shd w:val="clear" w:color="auto" w:fill="auto"/>
          </w:tcPr>
          <w:p w:rsidR="00E82B25" w:rsidRPr="003B6E11" w:rsidRDefault="00E82B25" w:rsidP="002D015D">
            <w:pPr>
              <w:spacing w:before="80" w:after="10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80" w:after="100" w:line="240" w:lineRule="atLeast"/>
              <w:rPr>
                <w:rFonts w:cs="Arial"/>
                <w:sz w:val="18"/>
                <w:szCs w:val="18"/>
                <w:lang w:val="cs-CZ"/>
              </w:rPr>
            </w:pPr>
            <w:r w:rsidRPr="003B6E11">
              <w:rPr>
                <w:noProof/>
                <w:sz w:val="18"/>
                <w:lang w:val="cs-CZ"/>
              </w:rPr>
              <w:t>Zařízení k shromažďování vody znečištěné ropnými látkami a použitého oleje</w:t>
            </w:r>
          </w:p>
        </w:tc>
        <w:tc>
          <w:tcPr>
            <w:tcW w:w="6521" w:type="dxa"/>
            <w:shd w:val="clear" w:color="auto" w:fill="auto"/>
          </w:tcPr>
          <w:p w:rsidR="00E82B25" w:rsidRPr="003B6E11" w:rsidRDefault="00E82B25" w:rsidP="002D015D">
            <w:pPr>
              <w:spacing w:before="8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10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shd w:val="clear" w:color="auto" w:fill="auto"/>
          </w:tcPr>
          <w:p w:rsidR="00E82B25" w:rsidRPr="003B6E11" w:rsidRDefault="00E82B25" w:rsidP="002D015D">
            <w:pPr>
              <w:spacing w:before="80" w:after="100" w:line="240" w:lineRule="atLeast"/>
              <w:rPr>
                <w:rFonts w:cs="Arial"/>
                <w:sz w:val="18"/>
                <w:szCs w:val="18"/>
                <w:lang w:val="cs-CZ"/>
              </w:rPr>
            </w:pPr>
            <w:r w:rsidRPr="003B6E11">
              <w:rPr>
                <w:sz w:val="18"/>
                <w:lang w:val="cs-CZ"/>
              </w:rPr>
              <w:t>8.10</w:t>
            </w:r>
          </w:p>
        </w:tc>
        <w:tc>
          <w:tcPr>
            <w:tcW w:w="1458" w:type="dxa"/>
            <w:shd w:val="clear" w:color="auto" w:fill="auto"/>
          </w:tcPr>
          <w:p w:rsidR="00E82B25" w:rsidRPr="003B6E11" w:rsidRDefault="00E82B25" w:rsidP="002D015D">
            <w:pPr>
              <w:spacing w:before="80" w:after="100" w:line="240" w:lineRule="atLeast"/>
              <w:rPr>
                <w:rFonts w:cs="Arial"/>
                <w:sz w:val="18"/>
                <w:szCs w:val="18"/>
                <w:lang w:val="cs-CZ"/>
              </w:rPr>
            </w:pPr>
            <w:r w:rsidRPr="003B6E11">
              <w:rPr>
                <w:sz w:val="18"/>
                <w:lang w:val="cs-CZ"/>
              </w:rPr>
              <w:t>odst. 3</w:t>
            </w:r>
            <w:r w:rsidRPr="003B6E11">
              <w:rPr>
                <w:color w:val="000000"/>
                <w:sz w:val="18"/>
                <w:vertAlign w:val="superscript"/>
                <w:lang w:val="cs-CZ"/>
              </w:rPr>
              <w:footnoteReference w:id="26"/>
            </w:r>
          </w:p>
        </w:tc>
        <w:tc>
          <w:tcPr>
            <w:tcW w:w="3296" w:type="dxa"/>
            <w:shd w:val="clear" w:color="auto" w:fill="auto"/>
          </w:tcPr>
          <w:p w:rsidR="00E82B25" w:rsidRPr="003B6E11" w:rsidRDefault="00E82B25" w:rsidP="002D015D">
            <w:pPr>
              <w:spacing w:before="80" w:after="100" w:line="240" w:lineRule="atLeast"/>
              <w:rPr>
                <w:rFonts w:cs="Arial"/>
                <w:sz w:val="18"/>
                <w:szCs w:val="18"/>
                <w:lang w:val="cs-CZ"/>
              </w:rPr>
            </w:pPr>
            <w:r w:rsidRPr="003B6E11">
              <w:rPr>
                <w:noProof/>
                <w:sz w:val="18"/>
                <w:lang w:val="cs-CZ"/>
              </w:rPr>
              <w:t>Mezní hodnota emisí 65 dB(A) pro nepohybující se plavidla</w:t>
            </w:r>
          </w:p>
        </w:tc>
        <w:tc>
          <w:tcPr>
            <w:tcW w:w="6521" w:type="dxa"/>
            <w:shd w:val="clear" w:color="auto" w:fill="auto"/>
          </w:tcPr>
          <w:p w:rsidR="00E82B25" w:rsidRPr="003B6E11" w:rsidRDefault="00E82B25" w:rsidP="002D015D">
            <w:pPr>
              <w:spacing w:before="8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tcBorders>
              <w:bottom w:val="single" w:sz="4" w:space="0" w:color="auto"/>
            </w:tcBorders>
            <w:shd w:val="clear" w:color="auto" w:fill="auto"/>
          </w:tcPr>
          <w:p w:rsidR="00E82B25" w:rsidRPr="003B6E11" w:rsidRDefault="00E82B25" w:rsidP="002D015D">
            <w:pPr>
              <w:spacing w:before="80" w:after="100" w:line="240" w:lineRule="atLeast"/>
              <w:rPr>
                <w:rFonts w:cs="Arial"/>
                <w:sz w:val="18"/>
                <w:szCs w:val="18"/>
                <w:lang w:val="cs-CZ"/>
              </w:rPr>
            </w:pPr>
            <w:r w:rsidRPr="003B6E11">
              <w:rPr>
                <w:sz w:val="18"/>
                <w:lang w:val="cs-CZ"/>
              </w:rPr>
              <w:t>1.1.2020</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80" w:after="100" w:line="240" w:lineRule="atLeast"/>
              <w:jc w:val="center"/>
              <w:rPr>
                <w:rFonts w:cs="Arial"/>
                <w:sz w:val="18"/>
                <w:szCs w:val="18"/>
                <w:lang w:val="cs-CZ"/>
              </w:rPr>
            </w:pPr>
            <w:r w:rsidRPr="003B6E11">
              <w:rPr>
                <w:b/>
                <w:sz w:val="18"/>
                <w:lang w:val="cs-CZ"/>
              </w:rPr>
              <w:t>KAPITOLA 9</w:t>
            </w:r>
          </w:p>
        </w:tc>
        <w:tc>
          <w:tcPr>
            <w:tcW w:w="6521" w:type="dxa"/>
            <w:tcBorders>
              <w:bottom w:val="single" w:sz="4" w:space="0" w:color="auto"/>
            </w:tcBorders>
            <w:shd w:val="clear" w:color="auto" w:fill="auto"/>
          </w:tcPr>
          <w:p w:rsidR="00E82B25" w:rsidRPr="003B6E11" w:rsidRDefault="00E82B25" w:rsidP="002D015D">
            <w:pPr>
              <w:spacing w:before="80" w:after="100" w:line="240" w:lineRule="atLeast"/>
              <w:rPr>
                <w:rFonts w:cs="Arial"/>
                <w:sz w:val="18"/>
                <w:szCs w:val="18"/>
                <w:lang w:val="cs-CZ"/>
              </w:rPr>
            </w:pPr>
            <w:r w:rsidRPr="003B6E11">
              <w:rPr>
                <w:sz w:val="18"/>
                <w:lang w:val="cs-CZ"/>
              </w:rPr>
              <w:t>Na motory, které jsou již na palubě instalovány a nemají schválení typu, se použije pouze článek 9.02.</w:t>
            </w:r>
          </w:p>
        </w:tc>
        <w:tc>
          <w:tcPr>
            <w:tcW w:w="1276" w:type="dxa"/>
            <w:tcBorders>
              <w:bottom w:val="nil"/>
            </w:tcBorders>
            <w:shd w:val="clear" w:color="auto" w:fill="auto"/>
          </w:tcPr>
          <w:p w:rsidR="00E82B25" w:rsidRPr="003B6E11" w:rsidRDefault="00E82B25" w:rsidP="002D015D">
            <w:pPr>
              <w:spacing w:before="80" w:after="100" w:line="240" w:lineRule="atLeast"/>
              <w:rPr>
                <w:rFonts w:cs="Arial"/>
                <w:sz w:val="18"/>
                <w:szCs w:val="18"/>
                <w:lang w:val="cs-CZ"/>
              </w:rPr>
            </w:pP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80" w:after="100" w:line="240" w:lineRule="atLeast"/>
              <w:rPr>
                <w:rFonts w:eastAsia="Calibri" w:cs="Arial"/>
                <w:sz w:val="18"/>
                <w:szCs w:val="18"/>
                <w:lang w:val="cs-CZ"/>
              </w:rPr>
            </w:pPr>
            <w:r w:rsidRPr="003B6E11">
              <w:rPr>
                <w:sz w:val="18"/>
                <w:lang w:val="cs-CZ"/>
              </w:rPr>
              <w:t>9.01</w:t>
            </w:r>
          </w:p>
        </w:tc>
        <w:tc>
          <w:tcPr>
            <w:tcW w:w="1458" w:type="dxa"/>
            <w:tcBorders>
              <w:bottom w:val="single" w:sz="4" w:space="0" w:color="auto"/>
            </w:tcBorders>
            <w:shd w:val="clear" w:color="auto" w:fill="auto"/>
          </w:tcPr>
          <w:p w:rsidR="00E82B25" w:rsidRPr="003B6E11" w:rsidRDefault="00E82B25" w:rsidP="002D015D">
            <w:pPr>
              <w:spacing w:before="80" w:after="100" w:line="240" w:lineRule="atLeast"/>
              <w:rPr>
                <w:sz w:val="18"/>
                <w:szCs w:val="18"/>
                <w:lang w:val="cs-CZ"/>
              </w:rPr>
            </w:pPr>
            <w:r w:rsidRPr="003B6E11">
              <w:rPr>
                <w:sz w:val="18"/>
                <w:lang w:val="cs-CZ"/>
              </w:rPr>
              <w:t>odst. 1 až 4</w:t>
            </w:r>
          </w:p>
        </w:tc>
        <w:tc>
          <w:tcPr>
            <w:tcW w:w="3296" w:type="dxa"/>
            <w:shd w:val="clear" w:color="auto" w:fill="auto"/>
          </w:tcPr>
          <w:p w:rsidR="00E82B25" w:rsidRPr="003B6E11" w:rsidRDefault="00E82B25" w:rsidP="002D015D">
            <w:pPr>
              <w:spacing w:before="80" w:after="100" w:line="240" w:lineRule="atLeast"/>
              <w:rPr>
                <w:rFonts w:eastAsia="Calibri" w:cs="Arial"/>
                <w:sz w:val="18"/>
                <w:szCs w:val="18"/>
                <w:lang w:val="cs-CZ"/>
              </w:rPr>
            </w:pPr>
            <w:r w:rsidRPr="003B6E11">
              <w:rPr>
                <w:sz w:val="18"/>
                <w:lang w:val="cs-CZ"/>
              </w:rPr>
              <w:t>Obecná ustanovení</w:t>
            </w:r>
          </w:p>
        </w:tc>
        <w:tc>
          <w:tcPr>
            <w:tcW w:w="6521" w:type="dxa"/>
            <w:vMerge w:val="restart"/>
            <w:tcBorders>
              <w:right w:val="single" w:sz="4" w:space="0" w:color="auto"/>
            </w:tcBorders>
            <w:shd w:val="clear" w:color="auto" w:fill="auto"/>
            <w:vAlign w:val="center"/>
          </w:tcPr>
          <w:p w:rsidR="00E82B25" w:rsidRPr="003B6E11" w:rsidRDefault="00E82B25" w:rsidP="002D015D">
            <w:pPr>
              <w:spacing w:before="80" w:after="100" w:line="240" w:lineRule="atLeast"/>
              <w:ind w:left="404" w:hanging="404"/>
              <w:rPr>
                <w:rFonts w:cs="Arial"/>
                <w:sz w:val="18"/>
                <w:szCs w:val="18"/>
                <w:lang w:val="cs-CZ"/>
              </w:rPr>
            </w:pPr>
            <w:r w:rsidRPr="003B6E11">
              <w:rPr>
                <w:sz w:val="18"/>
                <w:lang w:val="cs-CZ"/>
              </w:rPr>
              <w:t>U motorů, které splňují ustanovení o schválení typu a montáži platné ke dni instalace: N.V.</w:t>
            </w:r>
          </w:p>
        </w:tc>
        <w:tc>
          <w:tcPr>
            <w:tcW w:w="1276" w:type="dxa"/>
            <w:tcBorders>
              <w:top w:val="nil"/>
              <w:left w:val="single" w:sz="4" w:space="0" w:color="auto"/>
              <w:bottom w:val="nil"/>
            </w:tcBorders>
            <w:shd w:val="clear" w:color="auto" w:fill="auto"/>
          </w:tcPr>
          <w:p w:rsidR="00E82B25" w:rsidRPr="003B6E11" w:rsidRDefault="00E82B25" w:rsidP="002D015D">
            <w:pPr>
              <w:spacing w:before="80" w:after="100" w:line="240" w:lineRule="atLeast"/>
              <w:rPr>
                <w:rFonts w:cs="Arial"/>
                <w:sz w:val="18"/>
                <w:szCs w:val="18"/>
                <w:lang w:val="cs-CZ"/>
              </w:rPr>
            </w:pPr>
          </w:p>
        </w:tc>
      </w:tr>
      <w:tr w:rsidR="00E82B25" w:rsidRPr="003B6E11" w:rsidTr="002D015D">
        <w:trPr>
          <w:cantSplit/>
          <w:jc w:val="center"/>
        </w:trPr>
        <w:tc>
          <w:tcPr>
            <w:tcW w:w="1342" w:type="dxa"/>
            <w:tcBorders>
              <w:top w:val="single" w:sz="4" w:space="0" w:color="auto"/>
              <w:bottom w:val="single" w:sz="4" w:space="0" w:color="auto"/>
            </w:tcBorders>
            <w:shd w:val="clear" w:color="auto" w:fill="auto"/>
          </w:tcPr>
          <w:p w:rsidR="00E82B25" w:rsidRPr="003B6E11" w:rsidRDefault="00E82B25" w:rsidP="002D015D">
            <w:pPr>
              <w:spacing w:before="80" w:after="100" w:line="240" w:lineRule="atLeast"/>
              <w:rPr>
                <w:sz w:val="18"/>
                <w:szCs w:val="18"/>
                <w:lang w:val="cs-CZ"/>
              </w:rPr>
            </w:pPr>
            <w:r w:rsidRPr="003B6E11">
              <w:rPr>
                <w:sz w:val="18"/>
                <w:lang w:val="cs-CZ"/>
              </w:rPr>
              <w:t>9.06</w:t>
            </w:r>
          </w:p>
        </w:tc>
        <w:tc>
          <w:tcPr>
            <w:tcW w:w="1458" w:type="dxa"/>
            <w:tcBorders>
              <w:top w:val="single" w:sz="4" w:space="0" w:color="auto"/>
              <w:bottom w:val="single" w:sz="4" w:space="0" w:color="auto"/>
            </w:tcBorders>
            <w:shd w:val="clear" w:color="auto" w:fill="auto"/>
          </w:tcPr>
          <w:p w:rsidR="00E82B25" w:rsidRPr="003B6E11" w:rsidRDefault="00E82B25" w:rsidP="002D015D">
            <w:pPr>
              <w:spacing w:before="80" w:after="100" w:line="240" w:lineRule="atLeast"/>
              <w:rPr>
                <w:sz w:val="18"/>
                <w:szCs w:val="18"/>
                <w:lang w:val="cs-CZ"/>
              </w:rPr>
            </w:pPr>
          </w:p>
        </w:tc>
        <w:tc>
          <w:tcPr>
            <w:tcW w:w="3296" w:type="dxa"/>
            <w:shd w:val="clear" w:color="auto" w:fill="auto"/>
          </w:tcPr>
          <w:p w:rsidR="00E82B25" w:rsidRPr="003B6E11" w:rsidRDefault="00E82B25" w:rsidP="002D015D">
            <w:pPr>
              <w:spacing w:before="80" w:after="100" w:line="240" w:lineRule="atLeast"/>
              <w:rPr>
                <w:sz w:val="18"/>
                <w:szCs w:val="18"/>
                <w:lang w:val="cs-CZ"/>
              </w:rPr>
            </w:pPr>
            <w:r w:rsidRPr="003B6E11">
              <w:rPr>
                <w:sz w:val="18"/>
                <w:lang w:val="cs-CZ"/>
              </w:rPr>
              <w:t>Montážní zkoušky</w:t>
            </w:r>
          </w:p>
        </w:tc>
        <w:tc>
          <w:tcPr>
            <w:tcW w:w="6521" w:type="dxa"/>
            <w:vMerge/>
            <w:tcBorders>
              <w:right w:val="single" w:sz="4" w:space="0" w:color="auto"/>
            </w:tcBorders>
            <w:shd w:val="clear" w:color="auto" w:fill="auto"/>
          </w:tcPr>
          <w:p w:rsidR="00E82B25" w:rsidRPr="003B6E11" w:rsidRDefault="00E82B25" w:rsidP="002D015D">
            <w:pPr>
              <w:spacing w:before="80" w:after="100" w:line="240" w:lineRule="atLeast"/>
              <w:rPr>
                <w:rFonts w:cs="Arial"/>
                <w:sz w:val="18"/>
                <w:szCs w:val="18"/>
                <w:lang w:val="cs-CZ"/>
              </w:rPr>
            </w:pPr>
          </w:p>
        </w:tc>
        <w:tc>
          <w:tcPr>
            <w:tcW w:w="1276" w:type="dxa"/>
            <w:tcBorders>
              <w:top w:val="nil"/>
              <w:left w:val="single" w:sz="4" w:space="0" w:color="auto"/>
            </w:tcBorders>
            <w:shd w:val="clear" w:color="auto" w:fill="auto"/>
          </w:tcPr>
          <w:p w:rsidR="00E82B25" w:rsidRPr="003B6E11" w:rsidRDefault="00E82B25" w:rsidP="002D015D">
            <w:pPr>
              <w:spacing w:before="80" w:after="100" w:line="240" w:lineRule="atLeast"/>
              <w:rPr>
                <w:rFonts w:cs="Arial"/>
                <w:sz w:val="18"/>
                <w:szCs w:val="18"/>
                <w:lang w:val="cs-CZ"/>
              </w:rPr>
            </w:pP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80" w:after="100" w:line="240" w:lineRule="atLeast"/>
              <w:jc w:val="center"/>
              <w:rPr>
                <w:rFonts w:cs="Arial"/>
                <w:b/>
                <w:sz w:val="18"/>
                <w:szCs w:val="18"/>
                <w:lang w:val="cs-CZ"/>
              </w:rPr>
            </w:pPr>
            <w:r w:rsidRPr="003B6E11">
              <w:rPr>
                <w:b/>
                <w:sz w:val="18"/>
                <w:lang w:val="cs-CZ"/>
              </w:rPr>
              <w:t>KAPITOLA 10</w:t>
            </w:r>
          </w:p>
        </w:tc>
        <w:tc>
          <w:tcPr>
            <w:tcW w:w="6521" w:type="dxa"/>
            <w:shd w:val="clear" w:color="auto" w:fill="auto"/>
          </w:tcPr>
          <w:p w:rsidR="00E82B25" w:rsidRPr="003B6E11" w:rsidRDefault="00E82B25" w:rsidP="002D015D">
            <w:pPr>
              <w:spacing w:before="80" w:after="100" w:line="240" w:lineRule="atLeast"/>
              <w:jc w:val="center"/>
              <w:rPr>
                <w:rFonts w:cs="Arial"/>
                <w:sz w:val="18"/>
                <w:szCs w:val="18"/>
                <w:lang w:val="cs-CZ"/>
              </w:rPr>
            </w:pPr>
          </w:p>
        </w:tc>
        <w:tc>
          <w:tcPr>
            <w:tcW w:w="1276" w:type="dxa"/>
            <w:shd w:val="clear" w:color="auto" w:fill="auto"/>
          </w:tcPr>
          <w:p w:rsidR="00E82B25" w:rsidRPr="003B6E11" w:rsidRDefault="00E82B25" w:rsidP="002D015D">
            <w:pPr>
              <w:spacing w:before="80" w:after="100" w:line="240" w:lineRule="atLeast"/>
              <w:rPr>
                <w:rFonts w:cs="Arial"/>
                <w:sz w:val="18"/>
                <w:szCs w:val="18"/>
                <w:lang w:val="cs-CZ"/>
              </w:rPr>
            </w:pP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80" w:after="100" w:line="240" w:lineRule="atLeast"/>
              <w:rPr>
                <w:rFonts w:cs="Arial"/>
                <w:sz w:val="18"/>
                <w:szCs w:val="18"/>
                <w:lang w:val="cs-CZ"/>
              </w:rPr>
            </w:pPr>
            <w:r w:rsidRPr="003B6E11">
              <w:rPr>
                <w:sz w:val="18"/>
                <w:lang w:val="cs-CZ"/>
              </w:rPr>
              <w:t>10.01</w:t>
            </w:r>
          </w:p>
        </w:tc>
        <w:tc>
          <w:tcPr>
            <w:tcW w:w="1458" w:type="dxa"/>
            <w:shd w:val="clear" w:color="auto" w:fill="auto"/>
          </w:tcPr>
          <w:p w:rsidR="00E82B25" w:rsidRPr="003B6E11" w:rsidRDefault="00E82B25" w:rsidP="002D015D">
            <w:pPr>
              <w:spacing w:before="80" w:after="100" w:line="240" w:lineRule="atLeast"/>
              <w:rPr>
                <w:rFonts w:cs="Arial"/>
                <w:sz w:val="18"/>
                <w:szCs w:val="18"/>
                <w:lang w:val="cs-CZ"/>
              </w:rPr>
            </w:pPr>
            <w:r w:rsidRPr="003B6E11">
              <w:rPr>
                <w:sz w:val="18"/>
                <w:lang w:val="cs-CZ"/>
              </w:rPr>
              <w:t>odst. 1 druhá věta</w:t>
            </w:r>
          </w:p>
        </w:tc>
        <w:tc>
          <w:tcPr>
            <w:tcW w:w="3296" w:type="dxa"/>
            <w:shd w:val="clear" w:color="auto" w:fill="auto"/>
          </w:tcPr>
          <w:p w:rsidR="00E82B25" w:rsidRPr="003B6E11" w:rsidRDefault="00E82B25" w:rsidP="002D015D">
            <w:pPr>
              <w:spacing w:before="80" w:after="100" w:line="240" w:lineRule="atLeast"/>
              <w:rPr>
                <w:rFonts w:cs="Arial"/>
                <w:noProof/>
                <w:sz w:val="18"/>
                <w:szCs w:val="18"/>
                <w:lang w:val="cs-CZ"/>
              </w:rPr>
            </w:pPr>
            <w:r w:rsidRPr="003B6E11">
              <w:rPr>
                <w:noProof/>
                <w:sz w:val="18"/>
                <w:lang w:val="cs-CZ"/>
              </w:rPr>
              <w:t>Subjektu pověřenému prohlídkami musí být předloženy potřebné dokumenty</w:t>
            </w:r>
          </w:p>
        </w:tc>
        <w:tc>
          <w:tcPr>
            <w:tcW w:w="6521" w:type="dxa"/>
            <w:shd w:val="clear" w:color="auto" w:fill="auto"/>
          </w:tcPr>
          <w:p w:rsidR="00E82B25" w:rsidRPr="003B6E11" w:rsidRDefault="00E82B25" w:rsidP="002D015D">
            <w:pPr>
              <w:spacing w:before="80" w:after="10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80" w:after="100" w:line="240" w:lineRule="atLeast"/>
              <w:jc w:val="center"/>
              <w:rPr>
                <w:rFonts w:cs="Arial"/>
                <w:sz w:val="18"/>
                <w:szCs w:val="18"/>
                <w:lang w:val="cs-CZ"/>
              </w:rPr>
            </w:pPr>
            <w:r w:rsidRPr="003B6E11">
              <w:rPr>
                <w:sz w:val="18"/>
                <w:lang w:val="cs-CZ"/>
              </w:rPr>
              <w:t>1.1.2035</w:t>
            </w:r>
          </w:p>
        </w:tc>
      </w:tr>
      <w:tr w:rsidR="00E82B25" w:rsidRPr="003B6E11" w:rsidTr="002D015D">
        <w:trPr>
          <w:cantSplit/>
          <w:jc w:val="center"/>
        </w:trPr>
        <w:tc>
          <w:tcPr>
            <w:tcW w:w="1342" w:type="dxa"/>
            <w:vMerge w:val="restart"/>
            <w:tcBorders>
              <w:top w:val="nil"/>
            </w:tcBorders>
            <w:shd w:val="clear" w:color="auto" w:fill="auto"/>
          </w:tcPr>
          <w:p w:rsidR="00E82B25" w:rsidRPr="003B6E11" w:rsidRDefault="00E82B25" w:rsidP="002D015D">
            <w:pPr>
              <w:spacing w:before="12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odst. 2 písm. b)</w:t>
            </w:r>
          </w:p>
        </w:tc>
        <w:tc>
          <w:tcPr>
            <w:tcW w:w="3296" w:type="dxa"/>
            <w:shd w:val="clear" w:color="auto" w:fill="auto"/>
          </w:tcPr>
          <w:p w:rsidR="00E82B25" w:rsidRPr="003B6E11" w:rsidRDefault="00E82B25" w:rsidP="002D015D">
            <w:pPr>
              <w:spacing w:before="120" w:after="100" w:line="240" w:lineRule="atLeast"/>
              <w:rPr>
                <w:rFonts w:cs="Arial"/>
                <w:noProof/>
                <w:sz w:val="18"/>
                <w:szCs w:val="18"/>
                <w:lang w:val="cs-CZ"/>
              </w:rPr>
            </w:pPr>
            <w:r w:rsidRPr="003B6E11">
              <w:rPr>
                <w:noProof/>
                <w:sz w:val="18"/>
                <w:lang w:val="cs-CZ"/>
              </w:rPr>
              <w:t>Na palubě musí být plány hlavních, nouzových a distribučních rozvaděčů</w:t>
            </w:r>
          </w:p>
        </w:tc>
        <w:tc>
          <w:tcPr>
            <w:tcW w:w="6521"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20" w:after="100" w:line="240" w:lineRule="atLeast"/>
              <w:jc w:val="center"/>
              <w:rPr>
                <w:rFonts w:cs="Arial"/>
                <w:sz w:val="18"/>
                <w:szCs w:val="18"/>
                <w:lang w:val="cs-CZ"/>
              </w:rPr>
            </w:pPr>
            <w:r w:rsidRPr="003B6E11">
              <w:rPr>
                <w:sz w:val="18"/>
                <w:lang w:val="cs-CZ"/>
              </w:rPr>
              <w:t>1.1.2010</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odst. 2 písm. e)</w:t>
            </w:r>
          </w:p>
        </w:tc>
        <w:tc>
          <w:tcPr>
            <w:tcW w:w="3296" w:type="dxa"/>
            <w:shd w:val="clear" w:color="auto" w:fill="auto"/>
          </w:tcPr>
          <w:p w:rsidR="00E82B25" w:rsidRPr="003B6E11" w:rsidRDefault="00E82B25" w:rsidP="002D015D">
            <w:pPr>
              <w:spacing w:before="120" w:after="100" w:line="240" w:lineRule="atLeast"/>
              <w:rPr>
                <w:rFonts w:cs="Arial"/>
                <w:noProof/>
                <w:sz w:val="18"/>
                <w:szCs w:val="18"/>
                <w:lang w:val="cs-CZ"/>
              </w:rPr>
            </w:pPr>
            <w:r w:rsidRPr="003B6E11">
              <w:rPr>
                <w:noProof/>
                <w:sz w:val="18"/>
                <w:lang w:val="cs-CZ"/>
              </w:rPr>
              <w:t>Plány rozvaděčů a dokumentace k elektrickému pohonnému motoru</w:t>
            </w:r>
          </w:p>
        </w:tc>
        <w:tc>
          <w:tcPr>
            <w:tcW w:w="6521"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20" w:after="10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odst. 2 písm. f)</w:t>
            </w:r>
          </w:p>
        </w:tc>
        <w:tc>
          <w:tcPr>
            <w:tcW w:w="3296" w:type="dxa"/>
            <w:shd w:val="clear" w:color="auto" w:fill="auto"/>
          </w:tcPr>
          <w:p w:rsidR="00E82B25" w:rsidRPr="003B6E11" w:rsidRDefault="00E82B25" w:rsidP="002D015D">
            <w:pPr>
              <w:spacing w:before="120" w:after="100" w:line="240" w:lineRule="atLeast"/>
              <w:rPr>
                <w:rFonts w:cs="Arial"/>
                <w:noProof/>
                <w:sz w:val="18"/>
                <w:szCs w:val="18"/>
                <w:lang w:val="cs-CZ"/>
              </w:rPr>
            </w:pPr>
            <w:r w:rsidRPr="003B6E11">
              <w:rPr>
                <w:noProof/>
                <w:sz w:val="18"/>
                <w:lang w:val="cs-CZ"/>
              </w:rPr>
              <w:t>Plány pro elektronické systémy</w:t>
            </w:r>
          </w:p>
        </w:tc>
        <w:tc>
          <w:tcPr>
            <w:tcW w:w="6521"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20" w:after="10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odst. 2 písm. g)</w:t>
            </w:r>
          </w:p>
        </w:tc>
        <w:tc>
          <w:tcPr>
            <w:tcW w:w="3296" w:type="dxa"/>
            <w:shd w:val="clear" w:color="auto" w:fill="auto"/>
          </w:tcPr>
          <w:p w:rsidR="00E82B25" w:rsidRPr="003B6E11" w:rsidRDefault="00E82B25" w:rsidP="002D015D">
            <w:pPr>
              <w:spacing w:before="120" w:after="100" w:line="240" w:lineRule="atLeast"/>
              <w:rPr>
                <w:rFonts w:cs="Arial"/>
                <w:noProof/>
                <w:sz w:val="18"/>
                <w:szCs w:val="18"/>
                <w:lang w:val="cs-CZ"/>
              </w:rPr>
            </w:pPr>
            <w:r w:rsidRPr="003B6E11">
              <w:rPr>
                <w:noProof/>
                <w:sz w:val="18"/>
                <w:lang w:val="cs-CZ"/>
              </w:rPr>
              <w:t>Plány řídicích obvodů</w:t>
            </w:r>
          </w:p>
        </w:tc>
        <w:tc>
          <w:tcPr>
            <w:tcW w:w="6521"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20" w:after="10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120" w:after="100" w:line="240" w:lineRule="atLeast"/>
              <w:rPr>
                <w:rFonts w:cs="Arial"/>
                <w:noProof/>
                <w:sz w:val="18"/>
                <w:szCs w:val="18"/>
                <w:lang w:val="cs-CZ"/>
              </w:rPr>
            </w:pPr>
            <w:r w:rsidRPr="003B6E11">
              <w:rPr>
                <w:noProof/>
                <w:sz w:val="18"/>
                <w:lang w:val="cs-CZ"/>
              </w:rPr>
              <w:t>Okolní teplota uvnitř a na palubě</w:t>
            </w:r>
          </w:p>
        </w:tc>
        <w:tc>
          <w:tcPr>
            <w:tcW w:w="6521"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20" w:after="100" w:line="240" w:lineRule="atLeast"/>
              <w:jc w:val="center"/>
              <w:rPr>
                <w:rFonts w:cs="Arial"/>
                <w:sz w:val="18"/>
                <w:szCs w:val="18"/>
                <w:lang w:val="cs-CZ"/>
              </w:rPr>
            </w:pPr>
            <w:r w:rsidRPr="003B6E11">
              <w:rPr>
                <w:sz w:val="18"/>
                <w:lang w:val="cs-CZ"/>
              </w:rPr>
              <w:t>1.1.2010</w:t>
            </w:r>
          </w:p>
        </w:tc>
      </w:tr>
      <w:tr w:rsidR="00E82B25" w:rsidRPr="003B6E11" w:rsidTr="002D015D">
        <w:trPr>
          <w:cantSplit/>
          <w:jc w:val="center"/>
        </w:trPr>
        <w:tc>
          <w:tcPr>
            <w:tcW w:w="1342"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10.02</w:t>
            </w:r>
          </w:p>
        </w:tc>
        <w:tc>
          <w:tcPr>
            <w:tcW w:w="1458" w:type="dxa"/>
            <w:shd w:val="clear" w:color="auto" w:fill="auto"/>
          </w:tcPr>
          <w:p w:rsidR="00E82B25" w:rsidRPr="003B6E11" w:rsidRDefault="00E82B25" w:rsidP="002D015D">
            <w:pPr>
              <w:spacing w:before="120" w:after="100" w:line="240" w:lineRule="atLeast"/>
              <w:rPr>
                <w:rFonts w:cs="Arial"/>
                <w:sz w:val="18"/>
                <w:szCs w:val="18"/>
                <w:lang w:val="cs-CZ"/>
              </w:rPr>
            </w:pPr>
          </w:p>
        </w:tc>
        <w:tc>
          <w:tcPr>
            <w:tcW w:w="3296" w:type="dxa"/>
            <w:shd w:val="clear" w:color="auto" w:fill="auto"/>
          </w:tcPr>
          <w:p w:rsidR="00E82B25" w:rsidRPr="003B6E11" w:rsidRDefault="00E82B25" w:rsidP="002D015D">
            <w:pPr>
              <w:spacing w:before="120" w:after="100" w:line="240" w:lineRule="atLeast"/>
              <w:rPr>
                <w:rFonts w:cs="Arial"/>
                <w:noProof/>
                <w:sz w:val="18"/>
                <w:szCs w:val="18"/>
                <w:lang w:val="cs-CZ"/>
              </w:rPr>
            </w:pPr>
            <w:r w:rsidRPr="003B6E11">
              <w:rPr>
                <w:noProof/>
                <w:sz w:val="18"/>
                <w:lang w:val="cs-CZ"/>
              </w:rPr>
              <w:t>Systémy elektrického napájení</w:t>
            </w:r>
          </w:p>
        </w:tc>
        <w:tc>
          <w:tcPr>
            <w:tcW w:w="6521"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20" w:after="100" w:line="240" w:lineRule="atLeast"/>
              <w:jc w:val="center"/>
              <w:rPr>
                <w:rFonts w:cs="Arial"/>
                <w:sz w:val="18"/>
                <w:szCs w:val="18"/>
                <w:lang w:val="cs-CZ"/>
              </w:rPr>
            </w:pPr>
            <w:r w:rsidRPr="003B6E11">
              <w:rPr>
                <w:sz w:val="18"/>
                <w:lang w:val="cs-CZ"/>
              </w:rPr>
              <w:t>1.1.2010</w:t>
            </w:r>
          </w:p>
        </w:tc>
      </w:tr>
      <w:tr w:rsidR="00E82B25" w:rsidRPr="003B6E11" w:rsidTr="002D015D">
        <w:trPr>
          <w:cantSplit/>
          <w:jc w:val="center"/>
        </w:trPr>
        <w:tc>
          <w:tcPr>
            <w:tcW w:w="1342"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10.03</w:t>
            </w:r>
          </w:p>
        </w:tc>
        <w:tc>
          <w:tcPr>
            <w:tcW w:w="1458" w:type="dxa"/>
            <w:shd w:val="clear" w:color="auto" w:fill="auto"/>
          </w:tcPr>
          <w:p w:rsidR="00E82B25" w:rsidRPr="003B6E11" w:rsidRDefault="00E82B25" w:rsidP="002D015D">
            <w:pPr>
              <w:spacing w:before="120" w:after="100" w:line="240" w:lineRule="atLeast"/>
              <w:rPr>
                <w:rFonts w:cs="Arial"/>
                <w:sz w:val="18"/>
                <w:szCs w:val="18"/>
                <w:lang w:val="cs-CZ"/>
              </w:rPr>
            </w:pPr>
          </w:p>
        </w:tc>
        <w:tc>
          <w:tcPr>
            <w:tcW w:w="3296" w:type="dxa"/>
            <w:shd w:val="clear" w:color="auto" w:fill="auto"/>
          </w:tcPr>
          <w:p w:rsidR="00E82B25" w:rsidRPr="003B6E11" w:rsidRDefault="00E82B25" w:rsidP="002D015D">
            <w:pPr>
              <w:spacing w:before="120" w:after="100" w:line="240" w:lineRule="atLeast"/>
              <w:rPr>
                <w:rFonts w:cs="Arial"/>
                <w:noProof/>
                <w:sz w:val="18"/>
                <w:szCs w:val="18"/>
                <w:lang w:val="cs-CZ"/>
              </w:rPr>
            </w:pPr>
            <w:r w:rsidRPr="003B6E11">
              <w:rPr>
                <w:noProof/>
                <w:sz w:val="18"/>
                <w:lang w:val="cs-CZ"/>
              </w:rPr>
              <w:t>Typ ochrany podle místa instalace</w:t>
            </w:r>
          </w:p>
        </w:tc>
        <w:tc>
          <w:tcPr>
            <w:tcW w:w="6521"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20" w:after="100" w:line="240" w:lineRule="atLeast"/>
              <w:jc w:val="center"/>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10.04</w:t>
            </w:r>
          </w:p>
        </w:tc>
        <w:tc>
          <w:tcPr>
            <w:tcW w:w="1458" w:type="dxa"/>
            <w:shd w:val="clear" w:color="auto" w:fill="auto"/>
          </w:tcPr>
          <w:p w:rsidR="00E82B25" w:rsidRPr="003B6E11" w:rsidRDefault="00E82B25" w:rsidP="002D015D">
            <w:pPr>
              <w:spacing w:before="120" w:after="100" w:line="240" w:lineRule="atLeast"/>
              <w:rPr>
                <w:rFonts w:cs="Arial"/>
                <w:sz w:val="18"/>
                <w:szCs w:val="18"/>
                <w:lang w:val="cs-CZ"/>
              </w:rPr>
            </w:pPr>
          </w:p>
        </w:tc>
        <w:tc>
          <w:tcPr>
            <w:tcW w:w="3296" w:type="dxa"/>
            <w:shd w:val="clear" w:color="auto" w:fill="auto"/>
          </w:tcPr>
          <w:p w:rsidR="00E82B25" w:rsidRPr="003B6E11" w:rsidRDefault="00E82B25" w:rsidP="002D015D">
            <w:pPr>
              <w:spacing w:before="120" w:after="100" w:line="240" w:lineRule="atLeast"/>
              <w:rPr>
                <w:rFonts w:cs="Arial"/>
                <w:noProof/>
                <w:sz w:val="18"/>
                <w:szCs w:val="18"/>
                <w:lang w:val="cs-CZ"/>
              </w:rPr>
            </w:pPr>
            <w:r w:rsidRPr="003B6E11">
              <w:rPr>
                <w:noProof/>
                <w:sz w:val="18"/>
                <w:lang w:val="cs-CZ"/>
              </w:rPr>
              <w:t>Ochrana před výbuchem</w:t>
            </w:r>
          </w:p>
        </w:tc>
        <w:tc>
          <w:tcPr>
            <w:tcW w:w="6521"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20" w:after="100" w:line="240" w:lineRule="atLeast"/>
              <w:jc w:val="center"/>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10.05</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Průřez uzemňovacích vodičů</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sz w:val="18"/>
                <w:lang w:val="cs-CZ"/>
              </w:rPr>
              <w:t>1.1.2015</w:t>
            </w:r>
          </w:p>
        </w:tc>
      </w:tr>
      <w:tr w:rsidR="00E82B25" w:rsidRPr="003B6E11" w:rsidTr="002D015D">
        <w:trPr>
          <w:cantSplit/>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10.06 </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 tabulka</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Třífázový střídavý proud</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10.08</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60" w:after="60" w:line="240" w:lineRule="atLeast"/>
              <w:ind w:left="15" w:hanging="15"/>
              <w:rPr>
                <w:rFonts w:cs="Arial"/>
                <w:sz w:val="18"/>
                <w:szCs w:val="18"/>
                <w:lang w:val="cs-CZ"/>
              </w:rPr>
            </w:pPr>
            <w:r w:rsidRPr="003B6E11">
              <w:rPr>
                <w:sz w:val="18"/>
                <w:lang w:val="cs-CZ"/>
              </w:rPr>
              <w:t>Soulad s evropskými normami EN 15869-1, EN 15869</w:t>
            </w:r>
            <w:r w:rsidRPr="003B6E11">
              <w:rPr>
                <w:lang w:val="cs-CZ"/>
              </w:rPr>
              <w:softHyphen/>
            </w:r>
            <w:r w:rsidRPr="003B6E11">
              <w:rPr>
                <w:sz w:val="18"/>
                <w:lang w:val="cs-CZ"/>
              </w:rPr>
              <w:t>3 a EN 16840</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10.10 </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Montáž transformátorů</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adjustRightInd w:val="0"/>
              <w:spacing w:before="60" w:after="60" w:line="240" w:lineRule="atLeast"/>
              <w:rPr>
                <w:rFonts w:cs="Arial"/>
                <w:sz w:val="18"/>
                <w:szCs w:val="18"/>
                <w:lang w:val="cs-CZ"/>
              </w:rPr>
            </w:pPr>
            <w:r w:rsidRPr="003B6E11">
              <w:rPr>
                <w:sz w:val="18"/>
                <w:lang w:val="cs-CZ"/>
              </w:rPr>
              <w:t>Oddělené primární a sekundární vinutí transformátorů</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adjustRightInd w:val="0"/>
              <w:spacing w:before="160" w:after="160" w:line="240" w:lineRule="atLeast"/>
              <w:rPr>
                <w:rFonts w:cs="Arial"/>
                <w:sz w:val="18"/>
                <w:szCs w:val="18"/>
                <w:lang w:val="cs-CZ"/>
              </w:rPr>
            </w:pPr>
            <w:r w:rsidRPr="003B6E11">
              <w:rPr>
                <w:sz w:val="18"/>
                <w:lang w:val="cs-CZ"/>
              </w:rPr>
              <w:t>Odbočky u sekundárního vinutí transformátorů</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60" w:after="160" w:line="240" w:lineRule="atLeast"/>
              <w:jc w:val="center"/>
              <w:rPr>
                <w:rFonts w:cs="Arial"/>
                <w:sz w:val="18"/>
                <w:szCs w:val="18"/>
                <w:lang w:val="cs-CZ"/>
              </w:rPr>
            </w:pPr>
          </w:p>
        </w:tc>
      </w:tr>
      <w:tr w:rsidR="00E82B25" w:rsidRPr="003B6E11" w:rsidTr="002D015D">
        <w:trPr>
          <w:cantSplit/>
          <w:jc w:val="center"/>
        </w:trPr>
        <w:tc>
          <w:tcPr>
            <w:tcW w:w="1342" w:type="dxa"/>
            <w:vMerge/>
            <w:tcBorders>
              <w:bottom w:val="single" w:sz="4" w:space="0" w:color="auto"/>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5</w:t>
            </w:r>
          </w:p>
        </w:tc>
        <w:tc>
          <w:tcPr>
            <w:tcW w:w="3296" w:type="dxa"/>
            <w:shd w:val="clear" w:color="auto" w:fill="auto"/>
          </w:tcPr>
          <w:p w:rsidR="00E82B25" w:rsidRPr="003B6E11" w:rsidRDefault="00E82B25" w:rsidP="002D015D">
            <w:pPr>
              <w:adjustRightInd w:val="0"/>
              <w:spacing w:before="160" w:after="160" w:line="240" w:lineRule="atLeast"/>
              <w:rPr>
                <w:rFonts w:cs="Arial"/>
                <w:sz w:val="18"/>
                <w:szCs w:val="18"/>
                <w:lang w:val="cs-CZ"/>
              </w:rPr>
            </w:pPr>
            <w:r w:rsidRPr="003B6E11">
              <w:rPr>
                <w:sz w:val="18"/>
                <w:lang w:val="cs-CZ"/>
              </w:rPr>
              <w:t>Tabulka s uvedením výrobce motorů, generátorů a transformátorů a jejich výkonu</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60" w:after="160" w:line="240" w:lineRule="atLeast"/>
              <w:jc w:val="center"/>
              <w:rPr>
                <w:rFonts w:cs="Arial"/>
                <w:sz w:val="18"/>
                <w:szCs w:val="18"/>
                <w:lang w:val="cs-CZ"/>
              </w:rPr>
            </w:pPr>
          </w:p>
        </w:tc>
      </w:tr>
      <w:tr w:rsidR="00E82B25" w:rsidRPr="003B6E11" w:rsidTr="002D015D">
        <w:trPr>
          <w:cantSplit/>
          <w:jc w:val="center"/>
        </w:trPr>
        <w:tc>
          <w:tcPr>
            <w:tcW w:w="1342" w:type="dxa"/>
            <w:vMerge w:val="restart"/>
            <w:tcBorders>
              <w:top w:val="single" w:sz="4" w:space="0" w:color="auto"/>
              <w:left w:val="single" w:sz="6" w:space="0" w:color="auto"/>
              <w:bottom w:val="single" w:sz="6" w:space="0" w:color="auto"/>
              <w:right w:val="single" w:sz="6" w:space="0" w:color="auto"/>
            </w:tcBorders>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 xml:space="preserve">10.11 </w:t>
            </w:r>
          </w:p>
        </w:tc>
        <w:tc>
          <w:tcPr>
            <w:tcW w:w="1458" w:type="dxa"/>
            <w:tcBorders>
              <w:left w:val="single" w:sz="6" w:space="0" w:color="auto"/>
            </w:tcBorders>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adjustRightInd w:val="0"/>
              <w:spacing w:before="160" w:after="160" w:line="240" w:lineRule="atLeast"/>
              <w:rPr>
                <w:rFonts w:cs="Arial"/>
                <w:sz w:val="18"/>
                <w:szCs w:val="18"/>
                <w:lang w:val="cs-CZ"/>
              </w:rPr>
            </w:pPr>
            <w:r w:rsidRPr="003B6E11">
              <w:rPr>
                <w:sz w:val="18"/>
                <w:lang w:val="cs-CZ"/>
              </w:rPr>
              <w:t>Větrání obslužných místností a skříněk na volnou palubu</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60" w:after="160" w:line="240" w:lineRule="atLeast"/>
              <w:jc w:val="center"/>
              <w:rPr>
                <w:rFonts w:cs="Arial"/>
                <w:sz w:val="18"/>
                <w:szCs w:val="18"/>
                <w:lang w:val="cs-CZ"/>
              </w:rPr>
            </w:pPr>
          </w:p>
        </w:tc>
      </w:tr>
      <w:tr w:rsidR="00E82B25" w:rsidRPr="003B6E11" w:rsidTr="002D015D">
        <w:trPr>
          <w:cantSplit/>
          <w:jc w:val="center"/>
        </w:trPr>
        <w:tc>
          <w:tcPr>
            <w:tcW w:w="1342" w:type="dxa"/>
            <w:vMerge/>
            <w:tcBorders>
              <w:left w:val="single" w:sz="6" w:space="0" w:color="auto"/>
              <w:bottom w:val="single" w:sz="6" w:space="0" w:color="auto"/>
              <w:right w:val="single" w:sz="6" w:space="0" w:color="auto"/>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tcBorders>
              <w:left w:val="single" w:sz="6" w:space="0" w:color="auto"/>
            </w:tcBorders>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7</w:t>
            </w:r>
          </w:p>
        </w:tc>
        <w:tc>
          <w:tcPr>
            <w:tcW w:w="3296" w:type="dxa"/>
            <w:shd w:val="clear" w:color="auto" w:fill="auto"/>
          </w:tcPr>
          <w:p w:rsidR="00E82B25" w:rsidRPr="003B6E11" w:rsidRDefault="00E82B25" w:rsidP="002D015D">
            <w:pPr>
              <w:adjustRightInd w:val="0"/>
              <w:spacing w:before="160" w:after="160" w:line="240" w:lineRule="atLeast"/>
              <w:rPr>
                <w:rFonts w:cs="Arial"/>
                <w:sz w:val="18"/>
                <w:szCs w:val="18"/>
                <w:lang w:val="cs-CZ"/>
              </w:rPr>
            </w:pPr>
            <w:r w:rsidRPr="003B6E11">
              <w:rPr>
                <w:sz w:val="18"/>
                <w:lang w:val="cs-CZ"/>
              </w:rPr>
              <w:t>Větrání uzavřených místností, skříněk nebo beden, v nichž jsou instalovány akumulátory</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spacing w:before="160" w:after="160" w:line="240" w:lineRule="atLeast"/>
              <w:jc w:val="center"/>
              <w:rPr>
                <w:rFonts w:cs="Arial"/>
                <w:sz w:val="18"/>
                <w:szCs w:val="18"/>
                <w:lang w:val="cs-CZ"/>
              </w:rPr>
            </w:pPr>
          </w:p>
        </w:tc>
      </w:tr>
      <w:tr w:rsidR="00E82B25" w:rsidRPr="003B6E11" w:rsidTr="002D015D">
        <w:trPr>
          <w:cantSplit/>
          <w:jc w:val="center"/>
        </w:trPr>
        <w:tc>
          <w:tcPr>
            <w:tcW w:w="1342" w:type="dxa"/>
            <w:vMerge/>
            <w:tcBorders>
              <w:left w:val="single" w:sz="6" w:space="0" w:color="auto"/>
              <w:bottom w:val="single" w:sz="6" w:space="0" w:color="auto"/>
              <w:right w:val="single" w:sz="6" w:space="0" w:color="auto"/>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tcBorders>
              <w:left w:val="single" w:sz="6" w:space="0" w:color="auto"/>
            </w:tcBorders>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12</w:t>
            </w:r>
          </w:p>
        </w:tc>
        <w:tc>
          <w:tcPr>
            <w:tcW w:w="3296" w:type="dxa"/>
            <w:shd w:val="clear" w:color="auto" w:fill="auto"/>
          </w:tcPr>
          <w:p w:rsidR="00E82B25" w:rsidRPr="003B6E11" w:rsidRDefault="00E82B25" w:rsidP="002D015D">
            <w:pPr>
              <w:adjustRightInd w:val="0"/>
              <w:spacing w:before="160" w:after="160" w:line="240" w:lineRule="atLeast"/>
              <w:rPr>
                <w:rFonts w:cs="Arial"/>
                <w:sz w:val="18"/>
                <w:szCs w:val="18"/>
                <w:lang w:val="cs-CZ"/>
              </w:rPr>
            </w:pPr>
            <w:r w:rsidRPr="003B6E11">
              <w:rPr>
                <w:sz w:val="18"/>
                <w:lang w:val="cs-CZ"/>
              </w:rPr>
              <w:t>Měření nabíjecích zařízení</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60" w:after="160" w:line="240" w:lineRule="atLeast"/>
              <w:jc w:val="center"/>
              <w:rPr>
                <w:rFonts w:cs="Arial"/>
                <w:sz w:val="18"/>
                <w:szCs w:val="18"/>
                <w:lang w:val="cs-CZ"/>
              </w:rPr>
            </w:pPr>
          </w:p>
        </w:tc>
      </w:tr>
      <w:tr w:rsidR="00E82B25" w:rsidRPr="003B6E11" w:rsidTr="002D015D">
        <w:trPr>
          <w:cantSplit/>
          <w:jc w:val="center"/>
        </w:trPr>
        <w:tc>
          <w:tcPr>
            <w:tcW w:w="1342" w:type="dxa"/>
            <w:vMerge/>
            <w:tcBorders>
              <w:left w:val="single" w:sz="6" w:space="0" w:color="auto"/>
              <w:bottom w:val="single" w:sz="6" w:space="0" w:color="auto"/>
              <w:right w:val="single" w:sz="6" w:space="0" w:color="auto"/>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tcBorders>
              <w:left w:val="single" w:sz="6" w:space="0" w:color="auto"/>
            </w:tcBorders>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13</w:t>
            </w:r>
          </w:p>
        </w:tc>
        <w:tc>
          <w:tcPr>
            <w:tcW w:w="3296" w:type="dxa"/>
            <w:shd w:val="clear" w:color="auto" w:fill="auto"/>
          </w:tcPr>
          <w:p w:rsidR="00E82B25" w:rsidRPr="003B6E11" w:rsidRDefault="00E82B25" w:rsidP="002D015D">
            <w:pPr>
              <w:adjustRightInd w:val="0"/>
              <w:spacing w:before="160" w:after="160" w:line="240" w:lineRule="atLeast"/>
              <w:rPr>
                <w:rFonts w:cs="Arial"/>
                <w:sz w:val="18"/>
                <w:szCs w:val="18"/>
                <w:lang w:val="cs-CZ"/>
              </w:rPr>
            </w:pPr>
            <w:r w:rsidRPr="003B6E11">
              <w:rPr>
                <w:sz w:val="18"/>
                <w:lang w:val="cs-CZ"/>
              </w:rPr>
              <w:t>Automatické nabíječky</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60" w:after="160" w:line="240" w:lineRule="atLeast"/>
              <w:jc w:val="center"/>
              <w:rPr>
                <w:rFonts w:cs="Arial"/>
                <w:sz w:val="18"/>
                <w:szCs w:val="18"/>
                <w:lang w:val="cs-CZ"/>
              </w:rPr>
            </w:pPr>
          </w:p>
        </w:tc>
      </w:tr>
      <w:tr w:rsidR="00E82B25" w:rsidRPr="003B6E11" w:rsidTr="002D015D">
        <w:trPr>
          <w:cantSplit/>
          <w:jc w:val="center"/>
        </w:trPr>
        <w:tc>
          <w:tcPr>
            <w:tcW w:w="1342" w:type="dxa"/>
            <w:vMerge/>
            <w:tcBorders>
              <w:left w:val="single" w:sz="6" w:space="0" w:color="auto"/>
              <w:bottom w:val="single" w:sz="6" w:space="0" w:color="auto"/>
              <w:right w:val="single" w:sz="6" w:space="0" w:color="auto"/>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tcBorders>
              <w:left w:val="single" w:sz="6" w:space="0" w:color="auto"/>
            </w:tcBorders>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14</w:t>
            </w:r>
          </w:p>
        </w:tc>
        <w:tc>
          <w:tcPr>
            <w:tcW w:w="3296" w:type="dxa"/>
            <w:shd w:val="clear" w:color="auto" w:fill="auto"/>
          </w:tcPr>
          <w:p w:rsidR="00E82B25" w:rsidRPr="003B6E11" w:rsidRDefault="00E82B25" w:rsidP="002D015D">
            <w:pPr>
              <w:adjustRightInd w:val="0"/>
              <w:spacing w:before="160" w:after="160" w:line="240" w:lineRule="atLeast"/>
              <w:rPr>
                <w:rFonts w:cs="Arial"/>
                <w:sz w:val="18"/>
                <w:szCs w:val="18"/>
                <w:lang w:val="cs-CZ"/>
              </w:rPr>
            </w:pPr>
            <w:r w:rsidRPr="003B6E11">
              <w:rPr>
                <w:sz w:val="18"/>
                <w:lang w:val="cs-CZ"/>
              </w:rPr>
              <w:t>Nejvyšší nabíjecí napětí</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60" w:after="160" w:line="240" w:lineRule="atLeast"/>
              <w:jc w:val="center"/>
              <w:rPr>
                <w:rFonts w:cs="Arial"/>
                <w:sz w:val="18"/>
                <w:szCs w:val="18"/>
                <w:lang w:val="cs-CZ"/>
              </w:rPr>
            </w:pPr>
          </w:p>
        </w:tc>
      </w:tr>
      <w:tr w:rsidR="00E82B25" w:rsidRPr="003B6E11" w:rsidTr="002D015D">
        <w:trPr>
          <w:cantSplit/>
          <w:jc w:val="center"/>
        </w:trPr>
        <w:tc>
          <w:tcPr>
            <w:tcW w:w="1342" w:type="dxa"/>
            <w:vMerge/>
            <w:tcBorders>
              <w:left w:val="single" w:sz="6" w:space="0" w:color="auto"/>
              <w:bottom w:val="single" w:sz="6" w:space="0" w:color="auto"/>
              <w:right w:val="single" w:sz="6" w:space="0" w:color="auto"/>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tcBorders>
              <w:left w:val="single" w:sz="6" w:space="0" w:color="auto"/>
            </w:tcBorders>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15</w:t>
            </w:r>
          </w:p>
        </w:tc>
        <w:tc>
          <w:tcPr>
            <w:tcW w:w="3296" w:type="dxa"/>
            <w:shd w:val="clear" w:color="auto" w:fill="auto"/>
          </w:tcPr>
          <w:p w:rsidR="00E82B25" w:rsidRPr="003B6E11" w:rsidRDefault="00E82B25" w:rsidP="002D015D">
            <w:pPr>
              <w:adjustRightInd w:val="0"/>
              <w:spacing w:before="160" w:after="160" w:line="240" w:lineRule="atLeast"/>
              <w:rPr>
                <w:rFonts w:cs="Arial"/>
                <w:sz w:val="18"/>
                <w:szCs w:val="18"/>
                <w:lang w:val="cs-CZ"/>
              </w:rPr>
            </w:pPr>
            <w:r w:rsidRPr="003B6E11">
              <w:rPr>
                <w:sz w:val="18"/>
                <w:lang w:val="cs-CZ"/>
              </w:rPr>
              <w:t>Normy EN 62619 a EN 62620 pro lithium-iontové akumulátory</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60" w:after="160" w:line="240" w:lineRule="atLeast"/>
              <w:jc w:val="center"/>
              <w:rPr>
                <w:rFonts w:cs="Arial"/>
                <w:sz w:val="18"/>
                <w:szCs w:val="18"/>
                <w:lang w:val="cs-CZ"/>
              </w:rPr>
            </w:pPr>
          </w:p>
        </w:tc>
      </w:tr>
      <w:tr w:rsidR="00E82B25" w:rsidRPr="003B6E11" w:rsidTr="002D015D">
        <w:trPr>
          <w:cantSplit/>
          <w:jc w:val="center"/>
        </w:trPr>
        <w:tc>
          <w:tcPr>
            <w:tcW w:w="1342" w:type="dxa"/>
            <w:vMerge/>
            <w:tcBorders>
              <w:left w:val="single" w:sz="6" w:space="0" w:color="auto"/>
              <w:bottom w:val="single" w:sz="6" w:space="0" w:color="auto"/>
              <w:right w:val="single" w:sz="6" w:space="0" w:color="auto"/>
            </w:tcBorders>
            <w:shd w:val="clear" w:color="auto" w:fill="auto"/>
            <w:vAlign w:val="center"/>
          </w:tcPr>
          <w:p w:rsidR="00E82B25" w:rsidRPr="003B6E11" w:rsidRDefault="00E82B25" w:rsidP="002D015D">
            <w:pPr>
              <w:spacing w:before="160" w:after="160" w:line="240" w:lineRule="atLeast"/>
              <w:rPr>
                <w:rFonts w:cs="Arial"/>
                <w:sz w:val="18"/>
                <w:szCs w:val="18"/>
                <w:lang w:val="cs-CZ"/>
              </w:rPr>
            </w:pPr>
          </w:p>
        </w:tc>
        <w:tc>
          <w:tcPr>
            <w:tcW w:w="1458" w:type="dxa"/>
            <w:tcBorders>
              <w:left w:val="single" w:sz="6" w:space="0" w:color="auto"/>
            </w:tcBorders>
            <w:shd w:val="clear" w:color="auto" w:fill="auto"/>
            <w:vAlign w:val="center"/>
          </w:tcPr>
          <w:p w:rsidR="00E82B25" w:rsidRPr="003B6E11" w:rsidRDefault="00E82B25" w:rsidP="002D015D">
            <w:pPr>
              <w:spacing w:before="160" w:after="160" w:line="240" w:lineRule="atLeast"/>
              <w:rPr>
                <w:rFonts w:cs="Arial"/>
                <w:sz w:val="18"/>
                <w:szCs w:val="18"/>
                <w:lang w:val="cs-CZ"/>
              </w:rPr>
            </w:pPr>
            <w:r w:rsidRPr="003B6E11">
              <w:rPr>
                <w:sz w:val="18"/>
                <w:lang w:val="cs-CZ"/>
              </w:rPr>
              <w:t>odst. 16</w:t>
            </w:r>
          </w:p>
        </w:tc>
        <w:tc>
          <w:tcPr>
            <w:tcW w:w="3296" w:type="dxa"/>
            <w:shd w:val="clear" w:color="auto" w:fill="auto"/>
          </w:tcPr>
          <w:p w:rsidR="00E82B25" w:rsidRPr="003B6E11" w:rsidRDefault="00E82B25" w:rsidP="002D015D">
            <w:pPr>
              <w:adjustRightInd w:val="0"/>
              <w:spacing w:before="160" w:after="160" w:line="240" w:lineRule="atLeast"/>
              <w:rPr>
                <w:rFonts w:cs="Arial"/>
                <w:sz w:val="18"/>
                <w:szCs w:val="18"/>
                <w:lang w:val="cs-CZ"/>
              </w:rPr>
            </w:pPr>
            <w:r w:rsidRPr="003B6E11">
              <w:rPr>
                <w:sz w:val="18"/>
                <w:lang w:val="cs-CZ"/>
              </w:rPr>
              <w:t>Systém řízení akumulátoru</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60" w:after="160" w:line="240" w:lineRule="atLeast"/>
              <w:jc w:val="center"/>
              <w:rPr>
                <w:rFonts w:cs="Arial"/>
                <w:sz w:val="18"/>
                <w:szCs w:val="18"/>
                <w:lang w:val="cs-CZ"/>
              </w:rPr>
            </w:pPr>
          </w:p>
        </w:tc>
      </w:tr>
      <w:tr w:rsidR="00E82B25" w:rsidRPr="003B6E11" w:rsidTr="002D015D">
        <w:trPr>
          <w:cantSplit/>
          <w:jc w:val="center"/>
        </w:trPr>
        <w:tc>
          <w:tcPr>
            <w:tcW w:w="1342" w:type="dxa"/>
            <w:vMerge w:val="restart"/>
            <w:tcBorders>
              <w:top w:val="single" w:sz="6" w:space="0" w:color="auto"/>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10.12 </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2 písm. d)</w:t>
            </w:r>
          </w:p>
        </w:tc>
        <w:tc>
          <w:tcPr>
            <w:tcW w:w="3296" w:type="dxa"/>
            <w:shd w:val="clear" w:color="auto" w:fill="auto"/>
          </w:tcPr>
          <w:p w:rsidR="00E82B25" w:rsidRPr="003B6E11" w:rsidRDefault="00E82B25" w:rsidP="002D015D">
            <w:pPr>
              <w:adjustRightInd w:val="0"/>
              <w:spacing w:before="60" w:after="60" w:line="240" w:lineRule="atLeast"/>
              <w:rPr>
                <w:rFonts w:cs="Arial"/>
                <w:sz w:val="18"/>
                <w:szCs w:val="18"/>
                <w:lang w:val="cs-CZ"/>
              </w:rPr>
            </w:pPr>
            <w:r w:rsidRPr="003B6E11">
              <w:rPr>
                <w:sz w:val="18"/>
                <w:lang w:val="cs-CZ"/>
              </w:rPr>
              <w:t>Přímé napájení spotřebičů potřebných k pohonu a ovládání plavidla</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sz w:val="18"/>
                <w:lang w:val="cs-CZ"/>
              </w:rPr>
              <w:t>1.1.2015</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3 písm. b)</w:t>
            </w:r>
          </w:p>
        </w:tc>
        <w:tc>
          <w:tcPr>
            <w:tcW w:w="3296" w:type="dxa"/>
            <w:shd w:val="clear" w:color="auto" w:fill="auto"/>
          </w:tcPr>
          <w:p w:rsidR="00E82B25" w:rsidRPr="003B6E11" w:rsidRDefault="00E82B25" w:rsidP="002D015D">
            <w:pPr>
              <w:adjustRightInd w:val="0"/>
              <w:spacing w:before="60" w:after="60" w:line="240" w:lineRule="atLeast"/>
              <w:rPr>
                <w:rFonts w:cs="Arial"/>
                <w:sz w:val="18"/>
                <w:szCs w:val="18"/>
                <w:lang w:val="cs-CZ"/>
              </w:rPr>
            </w:pPr>
            <w:r w:rsidRPr="003B6E11">
              <w:rPr>
                <w:sz w:val="18"/>
                <w:lang w:val="cs-CZ"/>
              </w:rPr>
              <w:t>Zařízení pro monitorování izolace</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sz w:val="18"/>
                <w:lang w:val="cs-CZ"/>
              </w:rPr>
              <w:t>1.1.2010</w:t>
            </w: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10.13</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shd w:val="clear" w:color="auto" w:fill="auto"/>
          </w:tcPr>
          <w:p w:rsidR="00E82B25" w:rsidRPr="003B6E11" w:rsidRDefault="00E82B25" w:rsidP="002D015D">
            <w:pPr>
              <w:adjustRightInd w:val="0"/>
              <w:spacing w:before="60" w:after="60" w:line="240" w:lineRule="atLeast"/>
              <w:rPr>
                <w:rFonts w:cs="Arial"/>
                <w:sz w:val="18"/>
                <w:szCs w:val="18"/>
                <w:lang w:val="cs-CZ"/>
              </w:rPr>
            </w:pPr>
            <w:r w:rsidRPr="003B6E11">
              <w:rPr>
                <w:sz w:val="18"/>
                <w:lang w:val="cs-CZ"/>
              </w:rPr>
              <w:t>Nouzové jističe</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sz w:val="18"/>
                <w:lang w:val="cs-CZ"/>
              </w:rPr>
              <w:t>1.1.2010</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10.14 </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3 druhá věta</w:t>
            </w:r>
          </w:p>
        </w:tc>
        <w:tc>
          <w:tcPr>
            <w:tcW w:w="3296" w:type="dxa"/>
            <w:shd w:val="clear" w:color="auto" w:fill="auto"/>
          </w:tcPr>
          <w:p w:rsidR="00E82B25" w:rsidRPr="003B6E11" w:rsidRDefault="00E82B25" w:rsidP="002D015D">
            <w:pPr>
              <w:adjustRightInd w:val="0"/>
              <w:spacing w:before="60" w:after="60" w:line="240" w:lineRule="atLeast"/>
              <w:rPr>
                <w:rFonts w:cs="Arial"/>
                <w:sz w:val="18"/>
                <w:szCs w:val="18"/>
                <w:lang w:val="cs-CZ"/>
              </w:rPr>
            </w:pPr>
            <w:r w:rsidRPr="003B6E11">
              <w:rPr>
                <w:sz w:val="18"/>
                <w:lang w:val="cs-CZ"/>
              </w:rPr>
              <w:t>Zákaz jednopólových spínačů v umývárnách, koupelnách a jiných vlhkých místnostech</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sz w:val="18"/>
                <w:lang w:val="cs-CZ"/>
              </w:rPr>
              <w:t>1.1.2010</w:t>
            </w: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10.15</w:t>
            </w: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adjustRightInd w:val="0"/>
              <w:spacing w:before="80" w:after="80" w:line="240" w:lineRule="atLeast"/>
              <w:rPr>
                <w:rFonts w:cs="Arial"/>
                <w:sz w:val="18"/>
                <w:szCs w:val="18"/>
                <w:lang w:val="cs-CZ"/>
              </w:rPr>
            </w:pPr>
            <w:r w:rsidRPr="003B6E11">
              <w:rPr>
                <w:sz w:val="18"/>
                <w:lang w:val="cs-CZ"/>
              </w:rPr>
              <w:t>Minimální průřez 1,5 mm</w:t>
            </w:r>
            <w:r w:rsidRPr="003B6E11">
              <w:rPr>
                <w:sz w:val="18"/>
                <w:vertAlign w:val="superscript"/>
                <w:lang w:val="cs-CZ"/>
              </w:rPr>
              <w:t>2</w:t>
            </w:r>
            <w:r w:rsidRPr="003B6E11">
              <w:rPr>
                <w:sz w:val="18"/>
                <w:lang w:val="cs-CZ"/>
              </w:rPr>
              <w:t xml:space="preserve"> na vodič</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10</w:t>
            </w:r>
          </w:p>
        </w:tc>
        <w:tc>
          <w:tcPr>
            <w:tcW w:w="3296" w:type="dxa"/>
            <w:shd w:val="clear" w:color="auto" w:fill="auto"/>
          </w:tcPr>
          <w:p w:rsidR="00E82B25" w:rsidRPr="003B6E11" w:rsidRDefault="00E82B25" w:rsidP="002D015D">
            <w:pPr>
              <w:adjustRightInd w:val="0"/>
              <w:spacing w:before="80" w:after="80" w:line="240" w:lineRule="atLeast"/>
              <w:rPr>
                <w:rFonts w:cs="Arial"/>
                <w:sz w:val="18"/>
                <w:szCs w:val="18"/>
                <w:lang w:val="cs-CZ"/>
              </w:rPr>
            </w:pPr>
            <w:r w:rsidRPr="003B6E11">
              <w:rPr>
                <w:sz w:val="18"/>
                <w:lang w:val="cs-CZ"/>
              </w:rPr>
              <w:t>Kabely připojené k výškově nastavitelným kormidelnám</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 xml:space="preserve">N.V.P., nejpozději při obnovení osvědčení plavidla vnitrozemské plavby. </w:t>
            </w: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11</w:t>
            </w:r>
          </w:p>
        </w:tc>
        <w:tc>
          <w:tcPr>
            <w:tcW w:w="3296" w:type="dxa"/>
            <w:shd w:val="clear" w:color="auto" w:fill="auto"/>
          </w:tcPr>
          <w:p w:rsidR="00E82B25" w:rsidRPr="003B6E11" w:rsidRDefault="00E82B25" w:rsidP="002D015D">
            <w:pPr>
              <w:adjustRightInd w:val="0"/>
              <w:spacing w:before="80" w:after="80" w:line="240" w:lineRule="atLeast"/>
              <w:rPr>
                <w:rFonts w:cs="Arial"/>
                <w:sz w:val="18"/>
                <w:szCs w:val="18"/>
                <w:lang w:val="cs-CZ"/>
              </w:rPr>
            </w:pPr>
            <w:r w:rsidRPr="003B6E11">
              <w:rPr>
                <w:sz w:val="18"/>
                <w:lang w:val="cs-CZ"/>
              </w:rPr>
              <w:t>Kabelové průchodky</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12</w:t>
            </w:r>
          </w:p>
        </w:tc>
        <w:tc>
          <w:tcPr>
            <w:tcW w:w="3296" w:type="dxa"/>
            <w:shd w:val="clear" w:color="auto" w:fill="auto"/>
          </w:tcPr>
          <w:p w:rsidR="00E82B25" w:rsidRPr="003B6E11" w:rsidRDefault="00E82B25" w:rsidP="002D015D">
            <w:pPr>
              <w:adjustRightInd w:val="0"/>
              <w:spacing w:before="80" w:after="80" w:line="240" w:lineRule="atLeast"/>
              <w:rPr>
                <w:rFonts w:cs="Arial"/>
                <w:sz w:val="18"/>
                <w:szCs w:val="18"/>
                <w:lang w:val="cs-CZ"/>
              </w:rPr>
            </w:pPr>
            <w:r w:rsidRPr="003B6E11">
              <w:rPr>
                <w:sz w:val="18"/>
                <w:lang w:val="cs-CZ"/>
              </w:rPr>
              <w:t>Kabely z nouzového zdroje elektrické energie do elektrických spotřebičů</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13</w:t>
            </w:r>
          </w:p>
        </w:tc>
        <w:tc>
          <w:tcPr>
            <w:tcW w:w="3296" w:type="dxa"/>
            <w:shd w:val="clear" w:color="auto" w:fill="auto"/>
          </w:tcPr>
          <w:p w:rsidR="00E82B25" w:rsidRPr="003B6E11" w:rsidRDefault="00E82B25" w:rsidP="002D015D">
            <w:pPr>
              <w:adjustRightInd w:val="0"/>
              <w:spacing w:before="80" w:after="80" w:line="240" w:lineRule="atLeast"/>
              <w:rPr>
                <w:rFonts w:cs="Arial"/>
                <w:sz w:val="18"/>
                <w:szCs w:val="18"/>
                <w:lang w:val="cs-CZ"/>
              </w:rPr>
            </w:pPr>
            <w:r w:rsidRPr="003B6E11">
              <w:rPr>
                <w:sz w:val="18"/>
                <w:lang w:val="cs-CZ"/>
              </w:rPr>
              <w:t>Kabely v prostorech s vysokými teplotami</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14</w:t>
            </w:r>
          </w:p>
        </w:tc>
        <w:tc>
          <w:tcPr>
            <w:tcW w:w="3296" w:type="dxa"/>
            <w:shd w:val="clear" w:color="auto" w:fill="auto"/>
          </w:tcPr>
          <w:p w:rsidR="00E82B25" w:rsidRPr="003B6E11" w:rsidRDefault="00E82B25" w:rsidP="002D015D">
            <w:pPr>
              <w:adjustRightInd w:val="0"/>
              <w:spacing w:before="80" w:after="80" w:line="240" w:lineRule="atLeast"/>
              <w:rPr>
                <w:rFonts w:cs="Arial"/>
                <w:sz w:val="18"/>
                <w:szCs w:val="18"/>
                <w:lang w:val="cs-CZ"/>
              </w:rPr>
            </w:pPr>
            <w:r w:rsidRPr="003B6E11">
              <w:rPr>
                <w:sz w:val="18"/>
                <w:lang w:val="cs-CZ"/>
              </w:rPr>
              <w:t>Montáž hlavních a nouzových napájecích kabelů</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 xml:space="preserve">10.16 </w:t>
            </w: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3 druhá věta</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Druhý obvod</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r w:rsidRPr="003B6E11">
              <w:rPr>
                <w:sz w:val="18"/>
                <w:lang w:val="cs-CZ"/>
              </w:rPr>
              <w:t>1.1.2015</w:t>
            </w: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10.18 </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adjustRightInd w:val="0"/>
              <w:spacing w:before="60" w:after="60" w:line="240" w:lineRule="atLeast"/>
              <w:rPr>
                <w:rFonts w:cs="Arial"/>
                <w:sz w:val="18"/>
                <w:szCs w:val="18"/>
                <w:lang w:val="cs-CZ"/>
              </w:rPr>
            </w:pPr>
            <w:r w:rsidRPr="003B6E11">
              <w:rPr>
                <w:sz w:val="18"/>
                <w:lang w:val="cs-CZ"/>
              </w:rPr>
              <w:t>Zařízení pro odpojení od sítě</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adjustRightInd w:val="0"/>
              <w:spacing w:before="60" w:after="60" w:line="240" w:lineRule="atLeast"/>
              <w:rPr>
                <w:rFonts w:cs="Arial"/>
                <w:sz w:val="18"/>
                <w:szCs w:val="18"/>
                <w:lang w:val="cs-CZ"/>
              </w:rPr>
            </w:pPr>
            <w:r w:rsidRPr="003B6E11">
              <w:rPr>
                <w:sz w:val="18"/>
                <w:lang w:val="cs-CZ"/>
              </w:rPr>
              <w:t>Přístupnost</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adjustRightInd w:val="0"/>
              <w:spacing w:before="60" w:after="60" w:line="240" w:lineRule="atLeast"/>
              <w:rPr>
                <w:rFonts w:cs="Arial"/>
                <w:sz w:val="18"/>
                <w:szCs w:val="18"/>
                <w:lang w:val="cs-CZ"/>
              </w:rPr>
            </w:pPr>
            <w:r w:rsidRPr="003B6E11">
              <w:rPr>
                <w:sz w:val="18"/>
                <w:lang w:val="cs-CZ"/>
              </w:rPr>
              <w:t>Galvanické oddělení řídicích a silových obvodů</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adjustRightInd w:val="0"/>
              <w:spacing w:before="60" w:after="60" w:line="240" w:lineRule="atLeast"/>
              <w:rPr>
                <w:rFonts w:cs="Arial"/>
                <w:sz w:val="18"/>
                <w:szCs w:val="18"/>
                <w:lang w:val="cs-CZ"/>
              </w:rPr>
            </w:pPr>
            <w:r w:rsidRPr="003B6E11">
              <w:rPr>
                <w:sz w:val="18"/>
                <w:lang w:val="cs-CZ"/>
              </w:rPr>
              <w:t>Provoz při kolísání napětí a kmitočtu</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5</w:t>
            </w:r>
          </w:p>
        </w:tc>
        <w:tc>
          <w:tcPr>
            <w:tcW w:w="3296" w:type="dxa"/>
            <w:shd w:val="clear" w:color="auto" w:fill="auto"/>
          </w:tcPr>
          <w:p w:rsidR="00E82B25" w:rsidRPr="003B6E11" w:rsidRDefault="00E82B25" w:rsidP="002D015D">
            <w:pPr>
              <w:adjustRightInd w:val="0"/>
              <w:spacing w:before="60" w:after="60" w:line="240" w:lineRule="atLeast"/>
              <w:rPr>
                <w:rFonts w:cs="Arial"/>
                <w:sz w:val="18"/>
                <w:szCs w:val="18"/>
                <w:lang w:val="cs-CZ"/>
              </w:rPr>
            </w:pPr>
            <w:r w:rsidRPr="003B6E11">
              <w:rPr>
                <w:sz w:val="18"/>
                <w:lang w:val="cs-CZ"/>
              </w:rPr>
              <w:t>Pokles náboje při odpojení od sítě</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6</w:t>
            </w:r>
          </w:p>
        </w:tc>
        <w:tc>
          <w:tcPr>
            <w:tcW w:w="3296" w:type="dxa"/>
            <w:shd w:val="clear" w:color="auto" w:fill="auto"/>
          </w:tcPr>
          <w:p w:rsidR="00E82B25" w:rsidRPr="003B6E11" w:rsidRDefault="00E82B25" w:rsidP="002D015D">
            <w:pPr>
              <w:adjustRightInd w:val="0"/>
              <w:spacing w:before="60" w:after="60" w:line="240" w:lineRule="atLeast"/>
              <w:rPr>
                <w:rFonts w:cs="Arial"/>
                <w:sz w:val="18"/>
                <w:szCs w:val="18"/>
                <w:lang w:val="cs-CZ"/>
              </w:rPr>
            </w:pPr>
            <w:r w:rsidRPr="003B6E11">
              <w:rPr>
                <w:sz w:val="18"/>
                <w:lang w:val="cs-CZ"/>
              </w:rPr>
              <w:t>Odezva při chybné funkci externích řídicích signálů</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7</w:t>
            </w:r>
          </w:p>
        </w:tc>
        <w:tc>
          <w:tcPr>
            <w:tcW w:w="3296" w:type="dxa"/>
            <w:shd w:val="clear" w:color="auto" w:fill="auto"/>
          </w:tcPr>
          <w:p w:rsidR="00E82B25" w:rsidRPr="003B6E11" w:rsidRDefault="00E82B25" w:rsidP="002D015D">
            <w:pPr>
              <w:adjustRightInd w:val="0"/>
              <w:spacing w:before="100" w:after="100" w:line="240" w:lineRule="atLeast"/>
              <w:rPr>
                <w:rFonts w:cs="Arial"/>
                <w:sz w:val="18"/>
                <w:szCs w:val="18"/>
                <w:lang w:val="cs-CZ"/>
              </w:rPr>
            </w:pPr>
            <w:r w:rsidRPr="003B6E11">
              <w:rPr>
                <w:sz w:val="18"/>
                <w:lang w:val="cs-CZ"/>
              </w:rPr>
              <w:t>Odezva při selhání řídicích napětí</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8</w:t>
            </w:r>
          </w:p>
        </w:tc>
        <w:tc>
          <w:tcPr>
            <w:tcW w:w="3296" w:type="dxa"/>
            <w:shd w:val="clear" w:color="auto" w:fill="auto"/>
          </w:tcPr>
          <w:p w:rsidR="00E82B25" w:rsidRPr="003B6E11" w:rsidRDefault="00E82B25" w:rsidP="002D015D">
            <w:pPr>
              <w:adjustRightInd w:val="0"/>
              <w:spacing w:before="100" w:after="100" w:line="240" w:lineRule="atLeast"/>
              <w:rPr>
                <w:rFonts w:cs="Arial"/>
                <w:sz w:val="18"/>
                <w:szCs w:val="18"/>
                <w:lang w:val="cs-CZ"/>
              </w:rPr>
            </w:pPr>
            <w:r w:rsidRPr="003B6E11">
              <w:rPr>
                <w:sz w:val="18"/>
                <w:lang w:val="cs-CZ"/>
              </w:rPr>
              <w:t>Odhalování chyb a prevence neodhalených chyb</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9</w:t>
            </w:r>
          </w:p>
        </w:tc>
        <w:tc>
          <w:tcPr>
            <w:tcW w:w="3296" w:type="dxa"/>
            <w:shd w:val="clear" w:color="auto" w:fill="auto"/>
          </w:tcPr>
          <w:p w:rsidR="00E82B25" w:rsidRPr="003B6E11" w:rsidRDefault="00E82B25" w:rsidP="002D015D">
            <w:pPr>
              <w:adjustRightInd w:val="0"/>
              <w:spacing w:before="100" w:after="100" w:line="240" w:lineRule="atLeast"/>
              <w:rPr>
                <w:rFonts w:cs="Arial"/>
                <w:sz w:val="18"/>
                <w:szCs w:val="18"/>
                <w:lang w:val="cs-CZ"/>
              </w:rPr>
            </w:pPr>
            <w:r w:rsidRPr="003B6E11">
              <w:rPr>
                <w:sz w:val="18"/>
                <w:lang w:val="cs-CZ"/>
              </w:rPr>
              <w:t>Monitorování</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10</w:t>
            </w:r>
          </w:p>
        </w:tc>
        <w:tc>
          <w:tcPr>
            <w:tcW w:w="3296" w:type="dxa"/>
            <w:shd w:val="clear" w:color="auto" w:fill="auto"/>
          </w:tcPr>
          <w:p w:rsidR="00E82B25" w:rsidRPr="003B6E11" w:rsidRDefault="00E82B25" w:rsidP="002D015D">
            <w:pPr>
              <w:adjustRightInd w:val="0"/>
              <w:spacing w:before="100" w:after="100" w:line="240" w:lineRule="atLeast"/>
              <w:rPr>
                <w:rFonts w:cs="Arial"/>
                <w:sz w:val="18"/>
                <w:szCs w:val="18"/>
                <w:lang w:val="cs-CZ"/>
              </w:rPr>
            </w:pPr>
            <w:r w:rsidRPr="003B6E11">
              <w:rPr>
                <w:sz w:val="18"/>
                <w:lang w:val="cs-CZ"/>
              </w:rPr>
              <w:t>Přezkoušení typu</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jc w:val="center"/>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10.19</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shd w:val="clear" w:color="auto" w:fill="auto"/>
          </w:tcPr>
          <w:p w:rsidR="00E82B25" w:rsidRPr="003B6E11" w:rsidRDefault="00E82B25" w:rsidP="002D015D">
            <w:pPr>
              <w:adjustRightInd w:val="0"/>
              <w:spacing w:before="60" w:after="60" w:line="240" w:lineRule="atLeast"/>
              <w:rPr>
                <w:rFonts w:cs="Arial"/>
                <w:sz w:val="18"/>
                <w:szCs w:val="18"/>
                <w:lang w:val="cs-CZ"/>
              </w:rPr>
            </w:pPr>
            <w:r w:rsidRPr="003B6E11">
              <w:rPr>
                <w:sz w:val="18"/>
                <w:lang w:val="cs-CZ"/>
              </w:rPr>
              <w:t xml:space="preserve">Výstražné a bezpečnostní systémy pro mechanická zařízení </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sz w:val="18"/>
                <w:lang w:val="cs-CZ"/>
              </w:rPr>
              <w:t>1.1.2015</w:t>
            </w:r>
          </w:p>
        </w:tc>
      </w:tr>
      <w:tr w:rsidR="00E82B25" w:rsidRPr="003B6E11" w:rsidTr="002D015D">
        <w:trPr>
          <w:cantSplit/>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10.20</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shd w:val="clear" w:color="auto" w:fill="auto"/>
          </w:tcPr>
          <w:p w:rsidR="00E82B25" w:rsidRPr="003B6E11" w:rsidRDefault="00E82B25" w:rsidP="002D015D">
            <w:pPr>
              <w:adjustRightInd w:val="0"/>
              <w:spacing w:before="60" w:after="60" w:line="240" w:lineRule="atLeast"/>
              <w:rPr>
                <w:rFonts w:cs="Arial"/>
                <w:sz w:val="18"/>
                <w:szCs w:val="18"/>
                <w:lang w:val="cs-CZ"/>
              </w:rPr>
            </w:pPr>
            <w:r w:rsidRPr="003B6E11">
              <w:rPr>
                <w:sz w:val="18"/>
                <w:lang w:val="cs-CZ"/>
              </w:rPr>
              <w:t>Zkušební podmínky pro elektronická zařízení</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sz w:val="18"/>
                <w:lang w:val="cs-CZ"/>
              </w:rPr>
              <w:t>1.1.2035</w:t>
            </w:r>
          </w:p>
        </w:tc>
      </w:tr>
      <w:tr w:rsidR="00E82B25" w:rsidRPr="003B6E11" w:rsidTr="002D015D">
        <w:trPr>
          <w:cantSplit/>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10.21</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shd w:val="clear" w:color="auto" w:fill="auto"/>
          </w:tcPr>
          <w:p w:rsidR="00E82B25" w:rsidRPr="003B6E11" w:rsidRDefault="00E82B25" w:rsidP="002D015D">
            <w:pPr>
              <w:adjustRightInd w:val="0"/>
              <w:spacing w:before="60" w:after="60" w:line="240" w:lineRule="atLeast"/>
              <w:rPr>
                <w:rFonts w:cs="Arial"/>
                <w:sz w:val="18"/>
                <w:szCs w:val="18"/>
                <w:lang w:val="cs-CZ"/>
              </w:rPr>
            </w:pPr>
            <w:r w:rsidRPr="003B6E11">
              <w:rPr>
                <w:sz w:val="18"/>
                <w:lang w:val="cs-CZ"/>
              </w:rPr>
              <w:t>Elektromagnetická kompatibilita</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sz w:val="18"/>
                <w:lang w:val="cs-CZ"/>
              </w:rPr>
              <w:t>1.1.2035</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b/>
                <w:sz w:val="18"/>
                <w:lang w:val="cs-CZ"/>
              </w:rPr>
              <w:t>KAPITOLA 13</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13.01</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Kotevní zařízení</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13.02</w:t>
            </w:r>
          </w:p>
        </w:tc>
        <w:tc>
          <w:tcPr>
            <w:tcW w:w="1458" w:type="dxa"/>
            <w:tcBorders>
              <w:bottom w:val="single" w:sz="4" w:space="0" w:color="auto"/>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2 písm. b)</w:t>
            </w:r>
          </w:p>
        </w:tc>
        <w:tc>
          <w:tcPr>
            <w:tcW w:w="3296" w:type="dxa"/>
            <w:tcBorders>
              <w:bottom w:val="single" w:sz="4" w:space="0" w:color="auto"/>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Nádrže vyrobené z oceli nebo jiného odolného nehořlavého materiálu o objemu nejméně 10 litrů</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13.03</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Evropská norma</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Vhodnost pro požáry třídy A, B a C</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Vztah mezi obsahem CO</w:t>
            </w:r>
            <w:r w:rsidRPr="003B6E11">
              <w:rPr>
                <w:noProof/>
                <w:sz w:val="18"/>
                <w:vertAlign w:val="subscript"/>
                <w:lang w:val="cs-CZ"/>
              </w:rPr>
              <w:t>2</w:t>
            </w:r>
            <w:r w:rsidRPr="003B6E11">
              <w:rPr>
                <w:noProof/>
                <w:sz w:val="18"/>
                <w:lang w:val="cs-CZ"/>
              </w:rPr>
              <w:t xml:space="preserve"> a velikostí prostoru</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13.04</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Zabudované hasicí systémy v obytných prostorech, kormidelnách a místnostech pro cestující</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13.05</w:t>
            </w: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noProof/>
                <w:sz w:val="18"/>
                <w:lang w:val="cs-CZ"/>
              </w:rPr>
              <w:t>Zabudované hasicí systémy ve strojovnách, kotelnách a strojovnách čerpadel</w:t>
            </w:r>
          </w:p>
        </w:tc>
        <w:tc>
          <w:tcPr>
            <w:tcW w:w="6521" w:type="dxa"/>
            <w:shd w:val="clear" w:color="auto" w:fill="auto"/>
          </w:tcPr>
          <w:p w:rsidR="00E82B25" w:rsidRPr="003B6E11" w:rsidRDefault="00E82B25" w:rsidP="002D015D">
            <w:pPr>
              <w:shd w:val="clear" w:color="auto" w:fill="FFFFFF"/>
              <w:tabs>
                <w:tab w:val="left" w:pos="263"/>
              </w:tabs>
              <w:spacing w:before="160" w:after="160" w:line="240" w:lineRule="atLeast"/>
              <w:ind w:left="263" w:hanging="263"/>
              <w:rPr>
                <w:rFonts w:cs="Arial"/>
                <w:sz w:val="18"/>
                <w:szCs w:val="18"/>
                <w:lang w:val="cs-CZ"/>
              </w:rPr>
            </w:pPr>
            <w:r w:rsidRPr="003B6E11">
              <w:rPr>
                <w:sz w:val="18"/>
                <w:lang w:val="cs-CZ"/>
              </w:rPr>
              <w:t>a)</w:t>
            </w:r>
            <w:r w:rsidRPr="003B6E11">
              <w:rPr>
                <w:lang w:val="cs-CZ"/>
              </w:rPr>
              <w:tab/>
            </w:r>
            <w:r w:rsidRPr="003B6E11">
              <w:rPr>
                <w:sz w:val="18"/>
                <w:lang w:val="cs-CZ"/>
              </w:rPr>
              <w:t>zabudované hasicí systémy na bázi CO</w:t>
            </w:r>
            <w:r w:rsidRPr="003B6E11">
              <w:rPr>
                <w:sz w:val="18"/>
                <w:vertAlign w:val="subscript"/>
                <w:lang w:val="cs-CZ"/>
              </w:rPr>
              <w:t>2</w:t>
            </w:r>
            <w:r w:rsidRPr="003B6E11">
              <w:rPr>
                <w:sz w:val="18"/>
                <w:lang w:val="cs-CZ"/>
              </w:rPr>
              <w:t xml:space="preserve"> namontované před 1. říjnem 1980 lze používat až do obnovení osvědčení plavidla vnitrozemské plavby po 1. lednu 2035, pokud splňují požadavky čl. 7.03 odst. 5 nařízení o inspekci plavby na Rýně ve znění platném k 1. dubnu 1976 (Protokol CCNR 1975-I-23);</w:t>
            </w:r>
          </w:p>
          <w:p w:rsidR="00E82B25" w:rsidRPr="003B6E11" w:rsidRDefault="00E82B25" w:rsidP="002D015D">
            <w:pPr>
              <w:pStyle w:val="BodyTextIndent"/>
              <w:shd w:val="clear" w:color="auto" w:fill="FFFFFF"/>
              <w:tabs>
                <w:tab w:val="left" w:pos="263"/>
              </w:tabs>
              <w:spacing w:before="160" w:after="160" w:line="240" w:lineRule="atLeast"/>
              <w:ind w:left="263" w:hanging="263"/>
              <w:rPr>
                <w:rFonts w:cs="Arial"/>
                <w:sz w:val="18"/>
                <w:szCs w:val="18"/>
                <w:lang w:val="cs-CZ"/>
              </w:rPr>
            </w:pPr>
            <w:r w:rsidRPr="003B6E11">
              <w:rPr>
                <w:sz w:val="18"/>
                <w:lang w:val="cs-CZ"/>
              </w:rPr>
              <w:t>b)</w:t>
            </w:r>
            <w:r w:rsidRPr="003B6E11">
              <w:rPr>
                <w:lang w:val="cs-CZ"/>
              </w:rPr>
              <w:tab/>
            </w:r>
            <w:r w:rsidRPr="003B6E11">
              <w:rPr>
                <w:sz w:val="18"/>
                <w:lang w:val="cs-CZ"/>
              </w:rPr>
              <w:t>zabudované hasicí systémy na bázi CO</w:t>
            </w:r>
            <w:r w:rsidRPr="003B6E11">
              <w:rPr>
                <w:sz w:val="18"/>
                <w:vertAlign w:val="subscript"/>
                <w:lang w:val="cs-CZ"/>
              </w:rPr>
              <w:t>2</w:t>
            </w:r>
            <w:r w:rsidRPr="003B6E11">
              <w:rPr>
                <w:sz w:val="18"/>
                <w:lang w:val="cs-CZ"/>
              </w:rPr>
              <w:t xml:space="preserve"> namontované mezi 1. dubnem 1992 a 31. prosincem 1994 lze používat až do obnovení osvědčení plavidla vnitrozemské plavby po 1. lednu 2035, pokud splňují požadavky čl. 7.03 odst. 5 nařízení o inspekci plavby na Rýně ve znění platném k 31. prosinci 1994;</w:t>
            </w:r>
          </w:p>
          <w:p w:rsidR="00E82B25" w:rsidRPr="003B6E11" w:rsidRDefault="00E82B25" w:rsidP="002D015D">
            <w:pPr>
              <w:pStyle w:val="FootnoteText"/>
              <w:tabs>
                <w:tab w:val="left" w:pos="263"/>
              </w:tabs>
              <w:spacing w:before="160" w:after="160" w:line="240" w:lineRule="atLeast"/>
              <w:ind w:left="263" w:hanging="263"/>
              <w:rPr>
                <w:rFonts w:cs="Arial"/>
                <w:sz w:val="18"/>
                <w:szCs w:val="18"/>
                <w:lang w:val="cs-CZ"/>
              </w:rPr>
            </w:pPr>
            <w:r w:rsidRPr="003B6E11">
              <w:rPr>
                <w:sz w:val="18"/>
                <w:lang w:val="cs-CZ"/>
              </w:rPr>
              <w:t>c)</w:t>
            </w:r>
            <w:r w:rsidRPr="003B6E11">
              <w:rPr>
                <w:lang w:val="cs-CZ"/>
              </w:rPr>
              <w:tab/>
            </w:r>
            <w:r w:rsidRPr="003B6E11">
              <w:rPr>
                <w:sz w:val="18"/>
                <w:lang w:val="cs-CZ"/>
              </w:rPr>
              <w:t>doporučení Ústřední komise pro plavbu na Rýně vydaná mezi 1. dubnem 1992 a 31. prosincem 1994 s ohledem na čl. 7.03 odst. 5 nařízení o inspekci plavby na Rýně ve znění platném ke dni 31. prosince 1994 jsou platná až do obnovení osvědčení plavidla vnitrozemské plavby po 1. lednu 2035;</w:t>
            </w:r>
          </w:p>
          <w:p w:rsidR="00E82B25" w:rsidRPr="003B6E11" w:rsidRDefault="00E82B25" w:rsidP="002D015D">
            <w:pPr>
              <w:pStyle w:val="FootnoteText"/>
              <w:shd w:val="clear" w:color="auto" w:fill="FFFFFF"/>
              <w:tabs>
                <w:tab w:val="left" w:pos="263"/>
              </w:tabs>
              <w:spacing w:before="160" w:after="160" w:line="240" w:lineRule="atLeast"/>
              <w:ind w:left="263" w:hanging="263"/>
              <w:rPr>
                <w:rFonts w:cs="Arial"/>
                <w:sz w:val="18"/>
                <w:szCs w:val="18"/>
                <w:lang w:val="cs-CZ"/>
              </w:rPr>
            </w:pPr>
            <w:r w:rsidRPr="003B6E11">
              <w:rPr>
                <w:sz w:val="18"/>
                <w:lang w:val="cs-CZ"/>
              </w:rPr>
              <w:t>d)</w:t>
            </w:r>
            <w:r w:rsidRPr="003B6E11">
              <w:rPr>
                <w:lang w:val="cs-CZ"/>
              </w:rPr>
              <w:tab/>
            </w:r>
            <w:r w:rsidRPr="003B6E11">
              <w:rPr>
                <w:sz w:val="18"/>
                <w:lang w:val="cs-CZ"/>
              </w:rPr>
              <w:t>ustanovení čl. 13.05 odst. 2 písm. a) se použije až do obnovení osvědčení plavidla vnitrozemské plavby po 1. lednu 2035 pouze tehdy, byla-li tato zařízení namontovaná na lodích, jejichž kýl byl položen po 1. říjnu 1992.</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13.07</w:t>
            </w:r>
            <w:r w:rsidRPr="003B6E11">
              <w:rPr>
                <w:color w:val="000000"/>
                <w:sz w:val="18"/>
                <w:vertAlign w:val="superscript"/>
                <w:lang w:val="cs-CZ"/>
              </w:rPr>
              <w:footnoteReference w:id="27"/>
            </w:r>
          </w:p>
        </w:tc>
        <w:tc>
          <w:tcPr>
            <w:tcW w:w="1458" w:type="dxa"/>
            <w:tcBorders>
              <w:bottom w:val="single" w:sz="4" w:space="0" w:color="auto"/>
            </w:tcBorders>
            <w:shd w:val="clear" w:color="auto" w:fill="auto"/>
          </w:tcPr>
          <w:p w:rsidR="00E82B25" w:rsidRPr="003B6E11" w:rsidRDefault="00E82B25" w:rsidP="002D015D">
            <w:pPr>
              <w:spacing w:before="240" w:after="240" w:line="240" w:lineRule="atLeast"/>
              <w:rPr>
                <w:rFonts w:cs="Arial"/>
                <w:sz w:val="18"/>
                <w:szCs w:val="18"/>
                <w:lang w:val="cs-CZ"/>
              </w:rPr>
            </w:pPr>
          </w:p>
        </w:tc>
        <w:tc>
          <w:tcPr>
            <w:tcW w:w="3296" w:type="dxa"/>
            <w:tcBorders>
              <w:bottom w:val="single" w:sz="4" w:space="0" w:color="auto"/>
            </w:tcBorders>
            <w:shd w:val="clear" w:color="auto" w:fill="auto"/>
          </w:tcPr>
          <w:p w:rsidR="00E82B25" w:rsidRPr="003B6E11" w:rsidRDefault="00E82B25" w:rsidP="002D015D">
            <w:pPr>
              <w:spacing w:before="240" w:after="240" w:line="240" w:lineRule="atLeast"/>
              <w:rPr>
                <w:rFonts w:cs="Arial"/>
                <w:sz w:val="18"/>
                <w:szCs w:val="18"/>
                <w:lang w:val="cs-CZ"/>
              </w:rPr>
            </w:pPr>
            <w:r w:rsidRPr="003B6E11">
              <w:rPr>
                <w:noProof/>
                <w:sz w:val="18"/>
                <w:lang w:val="cs-CZ"/>
              </w:rPr>
              <w:t>Použití evropské normy na lodní člun</w:t>
            </w:r>
          </w:p>
        </w:tc>
        <w:tc>
          <w:tcPr>
            <w:tcW w:w="6521"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1.1.2020</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13.08</w:t>
            </w:r>
          </w:p>
        </w:tc>
        <w:tc>
          <w:tcPr>
            <w:tcW w:w="1458" w:type="dxa"/>
            <w:vMerge w:val="restart"/>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odst. 2</w:t>
            </w:r>
          </w:p>
        </w:tc>
        <w:tc>
          <w:tcPr>
            <w:tcW w:w="3296" w:type="dxa"/>
            <w:vMerge w:val="restart"/>
            <w:shd w:val="clear" w:color="auto" w:fill="auto"/>
          </w:tcPr>
          <w:p w:rsidR="00E82B25" w:rsidRPr="003B6E11" w:rsidRDefault="00E82B25" w:rsidP="002D015D">
            <w:pPr>
              <w:spacing w:before="240" w:after="240" w:line="240" w:lineRule="atLeast"/>
              <w:rPr>
                <w:rFonts w:cs="Arial"/>
                <w:sz w:val="18"/>
                <w:szCs w:val="18"/>
                <w:lang w:val="cs-CZ"/>
              </w:rPr>
            </w:pPr>
            <w:r w:rsidRPr="003B6E11">
              <w:rPr>
                <w:noProof/>
                <w:sz w:val="18"/>
                <w:lang w:val="cs-CZ"/>
              </w:rPr>
              <w:t>Nafukovací záchranné vesty</w:t>
            </w:r>
          </w:p>
        </w:tc>
        <w:tc>
          <w:tcPr>
            <w:tcW w:w="6521"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240" w:after="24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240" w:after="240" w:line="240" w:lineRule="atLeast"/>
              <w:rPr>
                <w:rFonts w:cs="Arial"/>
                <w:sz w:val="18"/>
                <w:szCs w:val="18"/>
                <w:lang w:val="cs-CZ"/>
              </w:rPr>
            </w:pPr>
          </w:p>
        </w:tc>
        <w:tc>
          <w:tcPr>
            <w:tcW w:w="3296" w:type="dxa"/>
            <w:vMerge/>
            <w:shd w:val="clear" w:color="auto" w:fill="auto"/>
          </w:tcPr>
          <w:p w:rsidR="00E82B25" w:rsidRPr="003B6E11" w:rsidRDefault="00E82B25" w:rsidP="002D015D">
            <w:pPr>
              <w:spacing w:before="240" w:after="240" w:line="240" w:lineRule="atLeast"/>
              <w:rPr>
                <w:rFonts w:cs="Arial"/>
                <w:sz w:val="18"/>
                <w:szCs w:val="18"/>
                <w:lang w:val="cs-CZ"/>
              </w:rPr>
            </w:pPr>
          </w:p>
        </w:tc>
        <w:tc>
          <w:tcPr>
            <w:tcW w:w="6521"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 xml:space="preserve">Záchranné vesty, které byly na plavidle ke dni 30. 9 2003, lze používat do obnovení osvědčení plavidla vnitrozemské plavby po </w:t>
            </w:r>
          </w:p>
        </w:tc>
        <w:tc>
          <w:tcPr>
            <w:tcW w:w="1276"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1.1.2010</w:t>
            </w:r>
          </w:p>
        </w:tc>
      </w:tr>
      <w:tr w:rsidR="00E82B25" w:rsidRPr="003B6E11" w:rsidTr="002D015D">
        <w:trPr>
          <w:cantSplit/>
          <w:trHeight w:val="64"/>
          <w:jc w:val="center"/>
        </w:trPr>
        <w:tc>
          <w:tcPr>
            <w:tcW w:w="6096" w:type="dxa"/>
            <w:gridSpan w:val="3"/>
            <w:shd w:val="clear" w:color="auto" w:fill="auto"/>
          </w:tcPr>
          <w:p w:rsidR="00E82B25" w:rsidRPr="003B6E11" w:rsidRDefault="00E82B25" w:rsidP="002D015D">
            <w:pPr>
              <w:spacing w:before="100" w:after="100" w:line="240" w:lineRule="atLeast"/>
              <w:jc w:val="center"/>
              <w:rPr>
                <w:rFonts w:cs="Arial"/>
                <w:sz w:val="18"/>
                <w:szCs w:val="18"/>
                <w:lang w:val="cs-CZ"/>
              </w:rPr>
            </w:pPr>
            <w:r w:rsidRPr="003B6E11">
              <w:rPr>
                <w:b/>
                <w:sz w:val="18"/>
                <w:lang w:val="cs-CZ"/>
              </w:rPr>
              <w:t>KAPITOLA 14</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14.02</w:t>
            </w:r>
          </w:p>
        </w:tc>
        <w:tc>
          <w:tcPr>
            <w:tcW w:w="1458" w:type="dxa"/>
            <w:tcBorders>
              <w:bottom w:val="nil"/>
            </w:tcBorders>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Zařízení na vnějších okrajích palub, bočních palub a jiných pracovišť</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r w:rsidRPr="003B6E11">
              <w:rPr>
                <w:rStyle w:val="FootnoteReference"/>
                <w:sz w:val="18"/>
                <w:lang w:val="cs-CZ"/>
              </w:rPr>
              <w:footnoteReference w:id="28"/>
            </w:r>
            <w:r w:rsidRPr="003B6E11">
              <w:rPr>
                <w:lang w:val="cs-CZ"/>
              </w:rPr>
              <w:t>.</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14.04</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Světlá šířka boční paluby</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 xml:space="preserve">U lodí s </w:t>
            </w:r>
            <m:oMath>
              <m:r>
                <w:rPr>
                  <w:rFonts w:ascii="Cambria Math" w:hAnsi="Cambria Math" w:cs="Arial"/>
                  <w:sz w:val="18"/>
                  <w:szCs w:val="18"/>
                  <w:lang w:val="cs-CZ"/>
                </w:rPr>
                <m:t>B &gt; 7,30 m</m:t>
              </m:r>
            </m:oMath>
            <w:r w:rsidRPr="003B6E11">
              <w:rPr>
                <w:sz w:val="18"/>
                <w:lang w:val="cs-CZ"/>
              </w:rPr>
              <w:t>, 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1.1.2035</w:t>
            </w:r>
            <w:r w:rsidRPr="003B6E11">
              <w:rPr>
                <w:sz w:val="18"/>
                <w:vertAlign w:val="superscript"/>
                <w:lang w:val="cs-CZ"/>
              </w:rPr>
              <w:footnoteReference w:id="29"/>
            </w:r>
          </w:p>
        </w:tc>
      </w:tr>
      <w:tr w:rsidR="00E82B25" w:rsidRPr="003B6E11" w:rsidTr="002D015D">
        <w:trPr>
          <w:cantSplit/>
          <w:jc w:val="center"/>
        </w:trPr>
        <w:tc>
          <w:tcPr>
            <w:tcW w:w="1342" w:type="dxa"/>
            <w:tcBorders>
              <w:top w:val="nil"/>
              <w:bottom w:val="single" w:sz="4" w:space="0" w:color="auto"/>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Zábradlí na bočních palubách</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14.05</w:t>
            </w: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noProof/>
                <w:sz w:val="18"/>
                <w:lang w:val="cs-CZ"/>
              </w:rPr>
              <w:t>Přístup na pracoviště</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noProof/>
                <w:sz w:val="18"/>
                <w:lang w:val="cs-CZ"/>
              </w:rPr>
              <w:t>Schody na pracovištích, která jsou trvale obsazena</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14.06</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Východy a nouzové východy</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14.07</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1 druhá věta</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Žebříky, stupadla a podobná zařízení</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14.10</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Kryty jícnů</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14.11</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Navijáky</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14.12</w:t>
            </w:r>
          </w:p>
        </w:tc>
        <w:tc>
          <w:tcPr>
            <w:tcW w:w="1458" w:type="dxa"/>
            <w:shd w:val="clear" w:color="auto" w:fill="auto"/>
          </w:tcPr>
          <w:p w:rsidR="00E82B25" w:rsidRPr="003B6E11" w:rsidRDefault="00E82B25" w:rsidP="002D015D">
            <w:pPr>
              <w:spacing w:before="80" w:after="80" w:line="240" w:lineRule="atLeast"/>
              <w:rPr>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80" w:after="80" w:line="240" w:lineRule="atLeast"/>
              <w:rPr>
                <w:sz w:val="18"/>
                <w:szCs w:val="18"/>
                <w:lang w:val="cs-CZ"/>
              </w:rPr>
            </w:pPr>
            <w:r w:rsidRPr="003B6E11">
              <w:rPr>
                <w:sz w:val="18"/>
                <w:lang w:val="cs-CZ"/>
              </w:rPr>
              <w:t>Štítek výrobce</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1.1.2020</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tabs>
                <w:tab w:val="left" w:pos="360"/>
              </w:tabs>
              <w:spacing w:before="80" w:after="80" w:line="240" w:lineRule="atLeast"/>
              <w:rPr>
                <w:rFonts w:cs="Arial"/>
                <w:sz w:val="18"/>
                <w:szCs w:val="18"/>
                <w:lang w:val="cs-CZ"/>
              </w:rPr>
            </w:pPr>
            <w:r w:rsidRPr="003B6E11">
              <w:rPr>
                <w:sz w:val="18"/>
                <w:lang w:val="cs-CZ"/>
              </w:rPr>
              <w:t>odst. 4 první věta</w:t>
            </w:r>
          </w:p>
        </w:tc>
        <w:tc>
          <w:tcPr>
            <w:tcW w:w="3296" w:type="dxa"/>
            <w:shd w:val="clear" w:color="auto" w:fill="auto"/>
          </w:tcPr>
          <w:p w:rsidR="00E82B25" w:rsidRPr="003B6E11" w:rsidRDefault="00E82B25" w:rsidP="002D015D">
            <w:pPr>
              <w:spacing w:before="80" w:after="80" w:line="240" w:lineRule="atLeast"/>
              <w:rPr>
                <w:sz w:val="18"/>
                <w:szCs w:val="18"/>
                <w:lang w:val="cs-CZ"/>
              </w:rPr>
            </w:pPr>
            <w:r w:rsidRPr="003B6E11">
              <w:rPr>
                <w:sz w:val="18"/>
                <w:lang w:val="cs-CZ"/>
              </w:rPr>
              <w:t>Bezpečnostní zařízení</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 xml:space="preserve">N.V.P., nejpozději po prvním obnovení osvědčení plavidla vnitrozemské plavby po </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1.1.2020</w:t>
            </w:r>
          </w:p>
        </w:tc>
      </w:tr>
      <w:tr w:rsidR="00E82B25" w:rsidRPr="003B6E11" w:rsidTr="002D015D">
        <w:trPr>
          <w:cantSplit/>
          <w:trHeight w:val="252"/>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vMerge w:val="restart"/>
            <w:shd w:val="clear" w:color="auto" w:fill="auto"/>
          </w:tcPr>
          <w:p w:rsidR="00E82B25" w:rsidRPr="003B6E11" w:rsidRDefault="00E82B25" w:rsidP="002D015D">
            <w:pPr>
              <w:tabs>
                <w:tab w:val="left" w:pos="0"/>
              </w:tabs>
              <w:spacing w:before="80" w:after="80" w:line="240" w:lineRule="atLeast"/>
              <w:ind w:right="-231"/>
              <w:rPr>
                <w:rFonts w:cs="Arial"/>
                <w:sz w:val="18"/>
                <w:szCs w:val="18"/>
                <w:lang w:val="cs-CZ"/>
              </w:rPr>
            </w:pPr>
            <w:r w:rsidRPr="003B6E11">
              <w:rPr>
                <w:sz w:val="18"/>
                <w:lang w:val="cs-CZ"/>
              </w:rPr>
              <w:t>odst. 4 druhá věta</w:t>
            </w:r>
          </w:p>
        </w:tc>
        <w:tc>
          <w:tcPr>
            <w:tcW w:w="3296" w:type="dxa"/>
            <w:vMerge w:val="restart"/>
            <w:shd w:val="clear" w:color="auto" w:fill="auto"/>
          </w:tcPr>
          <w:p w:rsidR="00E82B25" w:rsidRPr="003B6E11" w:rsidRDefault="00E82B25" w:rsidP="002D015D">
            <w:pPr>
              <w:spacing w:before="80" w:after="80" w:line="240" w:lineRule="atLeast"/>
              <w:rPr>
                <w:sz w:val="18"/>
                <w:szCs w:val="18"/>
                <w:lang w:val="cs-CZ"/>
              </w:rPr>
            </w:pPr>
            <w:r w:rsidRPr="003B6E11">
              <w:rPr>
                <w:sz w:val="18"/>
                <w:lang w:val="cs-CZ"/>
              </w:rPr>
              <w:t>Bezpečnostní vzdálenost</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vMerge w:val="restart"/>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1.1.2020</w:t>
            </w:r>
          </w:p>
        </w:tc>
      </w:tr>
      <w:tr w:rsidR="00E82B25" w:rsidRPr="003B6E11" w:rsidTr="002D015D">
        <w:trPr>
          <w:cantSplit/>
          <w:trHeight w:val="251"/>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vMerge/>
            <w:shd w:val="clear" w:color="auto" w:fill="auto"/>
          </w:tcPr>
          <w:p w:rsidR="00E82B25" w:rsidRPr="003B6E11" w:rsidRDefault="00E82B25" w:rsidP="002D015D">
            <w:pPr>
              <w:tabs>
                <w:tab w:val="left" w:pos="0"/>
              </w:tabs>
              <w:spacing w:before="80" w:after="80" w:line="240" w:lineRule="atLeast"/>
              <w:ind w:right="-231"/>
              <w:rPr>
                <w:rFonts w:cs="Arial"/>
                <w:sz w:val="18"/>
                <w:szCs w:val="18"/>
                <w:lang w:val="cs-CZ"/>
              </w:rPr>
            </w:pPr>
          </w:p>
        </w:tc>
        <w:tc>
          <w:tcPr>
            <w:tcW w:w="3296" w:type="dxa"/>
            <w:vMerge/>
            <w:shd w:val="clear" w:color="auto" w:fill="auto"/>
          </w:tcPr>
          <w:p w:rsidR="00E82B25" w:rsidRPr="003B6E11" w:rsidRDefault="00E82B25" w:rsidP="002D015D">
            <w:pPr>
              <w:spacing w:before="80" w:after="80" w:line="240" w:lineRule="atLeast"/>
              <w:rPr>
                <w:sz w:val="18"/>
                <w:szCs w:val="18"/>
                <w:lang w:val="cs-CZ"/>
              </w:rPr>
            </w:pP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Pokud by toto ustanovení nebylo v praxi proveditelné ani po tomto datu, musí být místa na pracovištích a průchodech, kde je bezpečnostní vzdálenost menší než 0,50 m, jasně označena.</w:t>
            </w:r>
          </w:p>
        </w:tc>
        <w:tc>
          <w:tcPr>
            <w:tcW w:w="1276" w:type="dxa"/>
            <w:vMerge/>
            <w:shd w:val="clear" w:color="auto" w:fill="auto"/>
          </w:tcPr>
          <w:p w:rsidR="00E82B25" w:rsidRPr="003B6E11" w:rsidRDefault="00E82B25" w:rsidP="002D015D">
            <w:pPr>
              <w:spacing w:before="80" w:after="80" w:line="240" w:lineRule="atLeast"/>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tabs>
                <w:tab w:val="left" w:pos="180"/>
              </w:tabs>
              <w:spacing w:before="80" w:after="80" w:line="240" w:lineRule="atLeast"/>
              <w:rPr>
                <w:rFonts w:cs="Arial"/>
                <w:sz w:val="18"/>
                <w:szCs w:val="18"/>
                <w:lang w:val="cs-CZ"/>
              </w:rPr>
            </w:pPr>
            <w:r w:rsidRPr="003B6E11">
              <w:rPr>
                <w:sz w:val="18"/>
                <w:lang w:val="cs-CZ"/>
              </w:rPr>
              <w:t>odst. 5</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Bezpečný provoz</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po prvním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1.1.2020</w:t>
            </w:r>
          </w:p>
        </w:tc>
      </w:tr>
      <w:tr w:rsidR="00E82B25" w:rsidRPr="003B6E11" w:rsidTr="002D015D">
        <w:trPr>
          <w:cantSplit/>
          <w:trHeight w:val="197"/>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vMerge w:val="restart"/>
            <w:shd w:val="clear" w:color="auto" w:fill="auto"/>
          </w:tcPr>
          <w:p w:rsidR="00E82B25" w:rsidRPr="003B6E11" w:rsidRDefault="00E82B25" w:rsidP="002D015D">
            <w:pPr>
              <w:tabs>
                <w:tab w:val="left" w:pos="720"/>
              </w:tabs>
              <w:spacing w:before="80" w:after="80" w:line="240" w:lineRule="atLeast"/>
              <w:rPr>
                <w:rFonts w:cs="Arial"/>
                <w:sz w:val="18"/>
                <w:szCs w:val="18"/>
                <w:lang w:val="cs-CZ"/>
              </w:rPr>
            </w:pPr>
            <w:r w:rsidRPr="003B6E11">
              <w:rPr>
                <w:sz w:val="18"/>
                <w:lang w:val="cs-CZ"/>
              </w:rPr>
              <w:t>odst. 9</w:t>
            </w:r>
          </w:p>
        </w:tc>
        <w:tc>
          <w:tcPr>
            <w:tcW w:w="3296" w:type="dxa"/>
            <w:vMerge w:val="restart"/>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Návod k obsluze</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po prvním obnovení osvědčení plavidla vnitrozemské plavby po</w:t>
            </w:r>
          </w:p>
        </w:tc>
        <w:tc>
          <w:tcPr>
            <w:tcW w:w="1276" w:type="dxa"/>
            <w:vMerge w:val="restart"/>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1.1.2020</w:t>
            </w:r>
          </w:p>
        </w:tc>
      </w:tr>
      <w:tr w:rsidR="00E82B25" w:rsidRPr="003B6E11" w:rsidTr="002D015D">
        <w:trPr>
          <w:cantSplit/>
          <w:trHeight w:val="197"/>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vMerge/>
            <w:shd w:val="clear" w:color="auto" w:fill="auto"/>
          </w:tcPr>
          <w:p w:rsidR="00E82B25" w:rsidRPr="003B6E11" w:rsidRDefault="00E82B25" w:rsidP="002D015D">
            <w:pPr>
              <w:tabs>
                <w:tab w:val="left" w:pos="720"/>
              </w:tabs>
              <w:spacing w:before="80" w:after="80" w:line="240" w:lineRule="atLeast"/>
              <w:rPr>
                <w:rFonts w:cs="Arial"/>
                <w:sz w:val="18"/>
                <w:szCs w:val="18"/>
                <w:highlight w:val="lightGray"/>
                <w:lang w:val="cs-CZ"/>
              </w:rPr>
            </w:pPr>
          </w:p>
        </w:tc>
        <w:tc>
          <w:tcPr>
            <w:tcW w:w="3296" w:type="dxa"/>
            <w:vMerge/>
            <w:shd w:val="clear" w:color="auto" w:fill="auto"/>
          </w:tcPr>
          <w:p w:rsidR="00E82B25" w:rsidRPr="003B6E11" w:rsidRDefault="00E82B25" w:rsidP="002D015D">
            <w:pPr>
              <w:spacing w:before="80" w:after="80" w:line="240" w:lineRule="atLeast"/>
              <w:rPr>
                <w:rFonts w:cs="Arial"/>
                <w:sz w:val="18"/>
                <w:szCs w:val="18"/>
                <w:highlight w:val="lightGray"/>
                <w:lang w:val="cs-CZ"/>
              </w:rPr>
            </w:pP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Pokud po tomto datu již nelze od výrobce získat návod k obsluze, vyhotoví jej odborník. Při první zkoušce podle čl. 14.12 odst. 6 písm. c) návod k obsluze schválí odborník provádějící zkoušku.</w:t>
            </w:r>
          </w:p>
        </w:tc>
        <w:tc>
          <w:tcPr>
            <w:tcW w:w="1276" w:type="dxa"/>
            <w:vMerge/>
            <w:shd w:val="clear" w:color="auto" w:fill="auto"/>
          </w:tcPr>
          <w:p w:rsidR="00E82B25" w:rsidRPr="003B6E11" w:rsidRDefault="00E82B25" w:rsidP="002D015D">
            <w:pPr>
              <w:spacing w:before="80" w:after="80" w:line="240" w:lineRule="atLeast"/>
              <w:rPr>
                <w:rFonts w:cs="Arial"/>
                <w:sz w:val="18"/>
                <w:szCs w:val="18"/>
                <w:lang w:val="cs-CZ"/>
              </w:rPr>
            </w:pP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00" w:after="100" w:line="240" w:lineRule="atLeast"/>
              <w:jc w:val="center"/>
              <w:rPr>
                <w:rFonts w:cs="Arial"/>
                <w:sz w:val="18"/>
                <w:szCs w:val="18"/>
                <w:lang w:val="cs-CZ"/>
              </w:rPr>
            </w:pPr>
            <w:r w:rsidRPr="003B6E11">
              <w:rPr>
                <w:b/>
                <w:sz w:val="18"/>
                <w:lang w:val="cs-CZ"/>
              </w:rPr>
              <w:t>KAPITOLA 15</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15.01</w:t>
            </w: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noProof/>
                <w:sz w:val="18"/>
                <w:lang w:val="cs-CZ"/>
              </w:rPr>
              <w:t>Obytné prostory pro osoby, které se obvykle nacházejí na plavidle</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15.02</w:t>
            </w: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noProof/>
                <w:sz w:val="18"/>
                <w:lang w:val="cs-CZ"/>
              </w:rPr>
              <w:t>Umístění podlah</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Společenské místnosti a spací kajuty</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6</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noProof/>
                <w:sz w:val="18"/>
                <w:lang w:val="cs-CZ"/>
              </w:rPr>
              <w:t>Světlá výška v obytných prostorech</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8</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noProof/>
                <w:sz w:val="18"/>
                <w:lang w:val="cs-CZ"/>
              </w:rPr>
              <w:t>Volná podlahová plocha společenských místností</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9</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noProof/>
                <w:sz w:val="18"/>
                <w:lang w:val="cs-CZ"/>
              </w:rPr>
              <w:t>Krychlový obsah místností</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10</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noProof/>
                <w:sz w:val="18"/>
                <w:lang w:val="cs-CZ"/>
              </w:rPr>
              <w:t>Objem vzduchu na osobu</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11</w:t>
            </w:r>
          </w:p>
        </w:tc>
        <w:tc>
          <w:tcPr>
            <w:tcW w:w="3296" w:type="dxa"/>
            <w:shd w:val="clear" w:color="auto" w:fill="auto"/>
          </w:tcPr>
          <w:p w:rsidR="00E82B25" w:rsidRPr="003B6E11" w:rsidRDefault="00E82B25" w:rsidP="002D015D">
            <w:pPr>
              <w:spacing w:before="160" w:after="160" w:line="240" w:lineRule="atLeast"/>
              <w:rPr>
                <w:rFonts w:cs="Arial"/>
                <w:noProof/>
                <w:sz w:val="18"/>
                <w:szCs w:val="18"/>
                <w:lang w:val="cs-CZ"/>
              </w:rPr>
            </w:pPr>
            <w:r w:rsidRPr="003B6E11">
              <w:rPr>
                <w:noProof/>
                <w:sz w:val="18"/>
                <w:lang w:val="cs-CZ"/>
              </w:rPr>
              <w:t>Velikost dveří</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12 písm. a) a b)</w:t>
            </w:r>
          </w:p>
        </w:tc>
        <w:tc>
          <w:tcPr>
            <w:tcW w:w="3296" w:type="dxa"/>
            <w:shd w:val="clear" w:color="auto" w:fill="auto"/>
          </w:tcPr>
          <w:p w:rsidR="00E82B25" w:rsidRPr="003B6E11" w:rsidRDefault="00E82B25" w:rsidP="002D015D">
            <w:pPr>
              <w:spacing w:before="160" w:after="160" w:line="240" w:lineRule="atLeast"/>
              <w:rPr>
                <w:rFonts w:cs="Arial"/>
                <w:noProof/>
                <w:sz w:val="18"/>
                <w:szCs w:val="18"/>
                <w:lang w:val="cs-CZ"/>
              </w:rPr>
            </w:pPr>
            <w:r w:rsidRPr="003B6E11">
              <w:rPr>
                <w:noProof/>
                <w:sz w:val="18"/>
                <w:lang w:val="cs-CZ"/>
              </w:rPr>
              <w:t>Umístění schodišť</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13</w:t>
            </w:r>
          </w:p>
        </w:tc>
        <w:tc>
          <w:tcPr>
            <w:tcW w:w="3296" w:type="dxa"/>
            <w:shd w:val="clear" w:color="auto" w:fill="auto"/>
          </w:tcPr>
          <w:p w:rsidR="00E82B25" w:rsidRPr="003B6E11" w:rsidRDefault="00E82B25" w:rsidP="002D015D">
            <w:pPr>
              <w:spacing w:before="160" w:after="160" w:line="240" w:lineRule="atLeast"/>
              <w:rPr>
                <w:rFonts w:cs="Arial"/>
                <w:noProof/>
                <w:sz w:val="18"/>
                <w:szCs w:val="18"/>
                <w:lang w:val="cs-CZ"/>
              </w:rPr>
            </w:pPr>
            <w:r w:rsidRPr="003B6E11">
              <w:rPr>
                <w:noProof/>
                <w:sz w:val="18"/>
                <w:lang w:val="cs-CZ"/>
              </w:rPr>
              <w:t>Potrubí vedoucí nebezpečné plyny nebo kapaliny</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15.03</w:t>
            </w: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p>
        </w:tc>
        <w:tc>
          <w:tcPr>
            <w:tcW w:w="3296" w:type="dxa"/>
            <w:shd w:val="clear" w:color="auto" w:fill="auto"/>
          </w:tcPr>
          <w:p w:rsidR="00E82B25" w:rsidRPr="003B6E11" w:rsidRDefault="00E82B25" w:rsidP="002D015D">
            <w:pPr>
              <w:spacing w:before="160" w:after="160" w:line="240" w:lineRule="atLeast"/>
              <w:rPr>
                <w:rFonts w:cs="Arial"/>
                <w:noProof/>
                <w:sz w:val="18"/>
                <w:szCs w:val="18"/>
                <w:lang w:val="cs-CZ"/>
              </w:rPr>
            </w:pPr>
            <w:r w:rsidRPr="003B6E11">
              <w:rPr>
                <w:noProof/>
                <w:sz w:val="18"/>
                <w:lang w:val="cs-CZ"/>
              </w:rPr>
              <w:t>Sociální zařízení</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15.04</w:t>
            </w: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p>
        </w:tc>
        <w:tc>
          <w:tcPr>
            <w:tcW w:w="3296" w:type="dxa"/>
            <w:shd w:val="clear" w:color="auto" w:fill="auto"/>
          </w:tcPr>
          <w:p w:rsidR="00E82B25" w:rsidRPr="003B6E11" w:rsidRDefault="00E82B25" w:rsidP="002D015D">
            <w:pPr>
              <w:spacing w:before="160" w:after="160" w:line="240" w:lineRule="atLeast"/>
              <w:rPr>
                <w:rFonts w:cs="Arial"/>
                <w:noProof/>
                <w:sz w:val="18"/>
                <w:szCs w:val="18"/>
                <w:lang w:val="cs-CZ"/>
              </w:rPr>
            </w:pPr>
            <w:r w:rsidRPr="003B6E11">
              <w:rPr>
                <w:noProof/>
                <w:sz w:val="18"/>
                <w:lang w:val="cs-CZ"/>
              </w:rPr>
              <w:t>Kuchyně</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15.06</w:t>
            </w: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p>
        </w:tc>
        <w:tc>
          <w:tcPr>
            <w:tcW w:w="3296" w:type="dxa"/>
            <w:shd w:val="clear" w:color="auto" w:fill="auto"/>
          </w:tcPr>
          <w:p w:rsidR="00E82B25" w:rsidRPr="003B6E11" w:rsidRDefault="00E82B25" w:rsidP="002D015D">
            <w:pPr>
              <w:spacing w:before="160" w:after="160" w:line="240" w:lineRule="atLeast"/>
              <w:rPr>
                <w:rFonts w:cs="Arial"/>
                <w:color w:val="000000"/>
                <w:sz w:val="18"/>
                <w:szCs w:val="18"/>
                <w:lang w:val="cs-CZ"/>
              </w:rPr>
            </w:pPr>
            <w:r w:rsidRPr="003B6E11">
              <w:rPr>
                <w:noProof/>
                <w:sz w:val="18"/>
                <w:lang w:val="cs-CZ"/>
              </w:rPr>
              <w:t>Topení a větrání</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15.07</w:t>
            </w: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 druhá věta</w:t>
            </w:r>
          </w:p>
        </w:tc>
        <w:tc>
          <w:tcPr>
            <w:tcW w:w="3296" w:type="dxa"/>
            <w:shd w:val="clear" w:color="auto" w:fill="auto"/>
          </w:tcPr>
          <w:p w:rsidR="00E82B25" w:rsidRPr="003B6E11" w:rsidRDefault="00E82B25" w:rsidP="002D015D">
            <w:pPr>
              <w:spacing w:before="160" w:after="160" w:line="240" w:lineRule="atLeast"/>
              <w:rPr>
                <w:rFonts w:cs="Arial"/>
                <w:color w:val="000000"/>
                <w:sz w:val="18"/>
                <w:szCs w:val="18"/>
                <w:lang w:val="cs-CZ"/>
              </w:rPr>
            </w:pPr>
            <w:r w:rsidRPr="003B6E11">
              <w:rPr>
                <w:noProof/>
                <w:sz w:val="18"/>
                <w:lang w:val="cs-CZ"/>
              </w:rPr>
              <w:t>Ostatní zařízení v obytných prostorech</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1.1.2035</w:t>
            </w:r>
          </w:p>
        </w:tc>
      </w:tr>
      <w:tr w:rsidR="00E82B25" w:rsidRPr="003B6E11" w:rsidTr="002D015D">
        <w:trPr>
          <w:cantSplit/>
          <w:trHeight w:val="70"/>
          <w:jc w:val="center"/>
        </w:trPr>
        <w:tc>
          <w:tcPr>
            <w:tcW w:w="6096" w:type="dxa"/>
            <w:gridSpan w:val="3"/>
            <w:shd w:val="clear" w:color="auto" w:fill="auto"/>
          </w:tcPr>
          <w:p w:rsidR="00E82B25" w:rsidRPr="003B6E11" w:rsidRDefault="00E82B25" w:rsidP="002D015D">
            <w:pPr>
              <w:spacing w:before="60" w:after="60" w:line="240" w:lineRule="atLeast"/>
              <w:jc w:val="center"/>
              <w:rPr>
                <w:rFonts w:cs="Arial"/>
                <w:b/>
                <w:sz w:val="18"/>
                <w:szCs w:val="18"/>
                <w:lang w:val="cs-CZ"/>
              </w:rPr>
            </w:pPr>
            <w:r w:rsidRPr="003B6E11">
              <w:rPr>
                <w:b/>
                <w:sz w:val="18"/>
                <w:lang w:val="cs-CZ"/>
              </w:rPr>
              <w:t>KAPITOLA 18</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18.01</w:t>
            </w:r>
          </w:p>
        </w:tc>
        <w:tc>
          <w:tcPr>
            <w:tcW w:w="1458" w:type="dxa"/>
            <w:vMerge w:val="restart"/>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2, tabulky 1 a 2 a odst. 5</w:t>
            </w:r>
          </w:p>
        </w:tc>
        <w:tc>
          <w:tcPr>
            <w:tcW w:w="3296" w:type="dxa"/>
            <w:vMerge w:val="restart"/>
            <w:shd w:val="clear" w:color="auto" w:fill="auto"/>
          </w:tcPr>
          <w:p w:rsidR="00E82B25" w:rsidRPr="003B6E11" w:rsidRDefault="00E82B25" w:rsidP="002D015D">
            <w:pPr>
              <w:adjustRightInd w:val="0"/>
              <w:spacing w:before="80" w:after="80" w:line="240" w:lineRule="atLeast"/>
              <w:rPr>
                <w:rFonts w:cs="Arial"/>
                <w:sz w:val="18"/>
                <w:szCs w:val="18"/>
                <w:lang w:val="cs-CZ"/>
              </w:rPr>
            </w:pPr>
            <w:r w:rsidRPr="003B6E11">
              <w:rPr>
                <w:noProof/>
                <w:sz w:val="18"/>
                <w:lang w:val="cs-CZ"/>
              </w:rPr>
              <w:t>Mezní/kontrolní hodnoty a schválení typu</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pokud</w:t>
            </w:r>
          </w:p>
          <w:p w:rsidR="00E82B25" w:rsidRPr="003B6E11" w:rsidRDefault="00E82B25" w:rsidP="002D015D">
            <w:pPr>
              <w:spacing w:before="80" w:after="80" w:line="240" w:lineRule="atLeast"/>
              <w:ind w:left="317" w:hanging="317"/>
              <w:rPr>
                <w:rFonts w:cs="Arial"/>
                <w:sz w:val="18"/>
                <w:szCs w:val="18"/>
                <w:lang w:val="cs-CZ"/>
              </w:rPr>
            </w:pPr>
            <w:r w:rsidRPr="003B6E11">
              <w:rPr>
                <w:sz w:val="18"/>
                <w:lang w:val="cs-CZ"/>
              </w:rPr>
              <w:t>a)</w:t>
            </w:r>
            <w:r w:rsidRPr="003B6E11">
              <w:rPr>
                <w:lang w:val="cs-CZ"/>
              </w:rPr>
              <w:tab/>
            </w:r>
            <w:r w:rsidRPr="003B6E11">
              <w:rPr>
                <w:sz w:val="18"/>
                <w:lang w:val="cs-CZ"/>
              </w:rPr>
              <w:t>mezní a kontrolní hodnoty více než dvojnásobně nepřesahují hodnoty podle kroku II;</w:t>
            </w:r>
          </w:p>
          <w:p w:rsidR="00E82B25" w:rsidRPr="003B6E11" w:rsidRDefault="00E82B25" w:rsidP="002D015D">
            <w:pPr>
              <w:spacing w:before="80" w:after="80" w:line="240" w:lineRule="atLeast"/>
              <w:ind w:left="317" w:hanging="317"/>
              <w:rPr>
                <w:rFonts w:cs="Arial"/>
                <w:sz w:val="18"/>
                <w:szCs w:val="18"/>
                <w:lang w:val="cs-CZ"/>
              </w:rPr>
            </w:pPr>
            <w:r w:rsidRPr="003B6E11">
              <w:rPr>
                <w:sz w:val="18"/>
                <w:lang w:val="cs-CZ"/>
              </w:rPr>
              <w:t>b)</w:t>
            </w:r>
            <w:r w:rsidRPr="003B6E11">
              <w:rPr>
                <w:lang w:val="cs-CZ"/>
              </w:rPr>
              <w:tab/>
            </w:r>
            <w:r w:rsidRPr="003B6E11">
              <w:rPr>
                <w:sz w:val="18"/>
                <w:lang w:val="cs-CZ"/>
              </w:rPr>
              <w:t>k palubní čistírně odpadních vod vydal výrobce nebo odborník osvědčení, které potvrzuje, že kapacitně odpovídá obvyklému zatížení na palubě plavidla a</w:t>
            </w:r>
          </w:p>
          <w:p w:rsidR="00E82B25" w:rsidRPr="003B6E11" w:rsidRDefault="00E82B25" w:rsidP="002D015D">
            <w:pPr>
              <w:adjustRightInd w:val="0"/>
              <w:spacing w:before="80" w:after="80" w:line="240" w:lineRule="atLeast"/>
              <w:ind w:left="317" w:hanging="317"/>
              <w:rPr>
                <w:rFonts w:cs="Arial"/>
                <w:sz w:val="18"/>
                <w:szCs w:val="18"/>
                <w:lang w:val="cs-CZ"/>
              </w:rPr>
            </w:pPr>
            <w:r w:rsidRPr="003B6E11">
              <w:rPr>
                <w:sz w:val="18"/>
                <w:lang w:val="cs-CZ"/>
              </w:rPr>
              <w:t>c)</w:t>
            </w:r>
            <w:r w:rsidRPr="003B6E11">
              <w:rPr>
                <w:lang w:val="cs-CZ"/>
              </w:rPr>
              <w:tab/>
            </w:r>
            <w:r w:rsidRPr="003B6E11">
              <w:rPr>
                <w:noProof/>
                <w:sz w:val="18"/>
                <w:lang w:val="cs-CZ"/>
              </w:rPr>
              <w:t>byl zaveden systém nakládání s odpadním kalem, který je vhodný vzhledem k podmínkám provozování čistírny odpadních vod na palubě osobní lodi.</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3296" w:type="dxa"/>
            <w:vMerge/>
            <w:shd w:val="clear" w:color="auto" w:fill="auto"/>
          </w:tcPr>
          <w:p w:rsidR="00E82B25" w:rsidRPr="003B6E11" w:rsidRDefault="00E82B25" w:rsidP="002D015D">
            <w:pPr>
              <w:tabs>
                <w:tab w:val="left" w:pos="1080"/>
              </w:tabs>
              <w:spacing w:before="80" w:after="80" w:line="240" w:lineRule="atLeast"/>
              <w:rPr>
                <w:rFonts w:cs="Arial"/>
                <w:noProof/>
                <w:sz w:val="18"/>
                <w:szCs w:val="18"/>
                <w:lang w:val="cs-CZ"/>
              </w:rPr>
            </w:pP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Palubní čistírny odpadních vod, které obdržely schválení podle požadavků rezoluce CCNR 2010-II-27 (krok II) dne 1. prosince 2011 nebo po tomto datu, mohou být i nadále instalovány a používány.</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3296" w:type="dxa"/>
            <w:vMerge/>
            <w:shd w:val="clear" w:color="auto" w:fill="auto"/>
          </w:tcPr>
          <w:p w:rsidR="00E82B25" w:rsidRPr="003B6E11" w:rsidRDefault="00E82B25" w:rsidP="002D015D">
            <w:pPr>
              <w:tabs>
                <w:tab w:val="left" w:pos="1080"/>
              </w:tabs>
              <w:spacing w:before="80" w:after="80" w:line="240" w:lineRule="atLeast"/>
              <w:rPr>
                <w:rFonts w:cs="Arial"/>
                <w:noProof/>
                <w:sz w:val="18"/>
                <w:szCs w:val="18"/>
                <w:lang w:val="cs-CZ"/>
              </w:rPr>
            </w:pP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Palubní čistírny odpadních vod, které obdržely schválení podle požadavků směrnice 2012/49/EU (krok II) dne 10. ledna 2013 nebo po tomto datu, mohou být i nadále instalovány a používány.</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p>
        </w:tc>
      </w:tr>
      <w:tr w:rsidR="00E82B25" w:rsidRPr="003B6E11" w:rsidTr="002D015D">
        <w:trPr>
          <w:cantSplit/>
          <w:jc w:val="center"/>
        </w:trPr>
        <w:tc>
          <w:tcPr>
            <w:tcW w:w="6096" w:type="dxa"/>
            <w:gridSpan w:val="3"/>
            <w:shd w:val="clear" w:color="auto" w:fill="auto"/>
          </w:tcPr>
          <w:p w:rsidR="00E82B25" w:rsidRPr="003B6E11" w:rsidRDefault="00E82B25" w:rsidP="002D015D">
            <w:pPr>
              <w:tabs>
                <w:tab w:val="left" w:pos="1080"/>
              </w:tabs>
              <w:spacing w:before="80" w:after="80" w:line="240" w:lineRule="atLeast"/>
              <w:jc w:val="center"/>
              <w:rPr>
                <w:rFonts w:cs="Arial"/>
                <w:sz w:val="18"/>
                <w:szCs w:val="18"/>
                <w:lang w:val="cs-CZ"/>
              </w:rPr>
            </w:pPr>
            <w:r w:rsidRPr="003B6E11">
              <w:rPr>
                <w:b/>
                <w:sz w:val="18"/>
                <w:lang w:val="cs-CZ"/>
              </w:rPr>
              <w:t>KAPITOLA 19</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p>
        </w:tc>
      </w:tr>
      <w:tr w:rsidR="00E82B25" w:rsidRPr="003B6E11" w:rsidTr="002D015D">
        <w:trPr>
          <w:cantSplit/>
          <w:trHeight w:val="1050"/>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19.01</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2 d)</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Zákaz topných zařízení na tuhá paliva podle článku 16.07</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Toto ustanovení se nevztahuje na plavidla s motory na tuhá paliva (parní motory).</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vMerge w:val="restart"/>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2 písm. e)</w:t>
            </w:r>
          </w:p>
        </w:tc>
        <w:tc>
          <w:tcPr>
            <w:tcW w:w="3296" w:type="dxa"/>
            <w:vMerge w:val="restart"/>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Zákaz zařízení na zkapalněný plyn podle kapitoly 17</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vMerge/>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Přechodné ustanovení se použije pouze v případě, že poplašné systémy jsou umístěny podle čl. 19.15 odst. 8.</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p>
        </w:tc>
      </w:tr>
      <w:tr w:rsidR="00E82B25" w:rsidRPr="003B6E11" w:rsidTr="002D015D">
        <w:trPr>
          <w:cantSplit/>
          <w:jc w:val="center"/>
        </w:trPr>
        <w:tc>
          <w:tcPr>
            <w:tcW w:w="1342" w:type="dxa"/>
            <w:tcBorders>
              <w:top w:val="nil"/>
              <w:bottom w:val="single" w:sz="4" w:space="0" w:color="auto"/>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5 a 6</w:t>
            </w:r>
          </w:p>
        </w:tc>
        <w:tc>
          <w:tcPr>
            <w:tcW w:w="3296" w:type="dxa"/>
            <w:shd w:val="clear" w:color="auto" w:fill="auto"/>
          </w:tcPr>
          <w:p w:rsidR="00E82B25" w:rsidRPr="003B6E11" w:rsidRDefault="00E82B25" w:rsidP="002D015D">
            <w:pPr>
              <w:tabs>
                <w:tab w:val="right" w:pos="3856"/>
                <w:tab w:val="center" w:pos="4536"/>
                <w:tab w:val="left" w:pos="6521"/>
                <w:tab w:val="right" w:pos="9072"/>
              </w:tabs>
              <w:spacing w:before="120" w:after="120" w:line="240" w:lineRule="atLeast"/>
              <w:rPr>
                <w:rFonts w:cs="Arial"/>
                <w:sz w:val="18"/>
                <w:szCs w:val="18"/>
                <w:lang w:val="cs-CZ"/>
              </w:rPr>
            </w:pPr>
            <w:r w:rsidRPr="003B6E11">
              <w:rPr>
                <w:color w:val="000000"/>
                <w:sz w:val="18"/>
                <w:lang w:val="cs-CZ"/>
              </w:rPr>
              <w:t xml:space="preserve">Omezený výhled před přídí lodi na 2 délky lodi kratší než 250 m </w:t>
            </w:r>
            <w:r w:rsidRPr="003B6E11">
              <w:rPr>
                <w:rFonts w:cs="Arial"/>
                <w:color w:val="000000"/>
                <w:sz w:val="18"/>
                <w:szCs w:val="18"/>
                <w:lang w:val="cs-CZ"/>
              </w:rPr>
              <w:br/>
            </w:r>
            <w:r w:rsidRPr="003B6E11">
              <w:rPr>
                <w:sz w:val="18"/>
                <w:lang w:val="cs-CZ"/>
              </w:rPr>
              <w:t>Dostatečný výhled vzad</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19.02</w:t>
            </w:r>
          </w:p>
        </w:tc>
        <w:tc>
          <w:tcPr>
            <w:tcW w:w="1458" w:type="dxa"/>
            <w:tcBorders>
              <w:bottom w:val="single" w:sz="4" w:space="0" w:color="auto"/>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2</w:t>
            </w:r>
          </w:p>
        </w:tc>
        <w:tc>
          <w:tcPr>
            <w:tcW w:w="3296" w:type="dxa"/>
            <w:tcBorders>
              <w:bottom w:val="single" w:sz="4" w:space="0" w:color="auto"/>
            </w:tcBorders>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Počet a umístění přepážek</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vMerge w:val="restart"/>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3</w:t>
            </w:r>
          </w:p>
        </w:tc>
        <w:tc>
          <w:tcPr>
            <w:tcW w:w="3296" w:type="dxa"/>
            <w:vMerge w:val="restart"/>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sz w:val="18"/>
                <w:lang w:val="cs-CZ"/>
              </w:rPr>
              <w:t>Umístění záďové přepážky</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vMerge/>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Tento požadavek se nevztahuje na osobní lodě, které splňují základní požadavky na status 2 oddělení stanovené v čl. 19.03 odst. 9 nebo požadavky článku 19.07, a dosahují tak rovnocenné úrovně bezpečnosti a manévrovatelnosti.</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5, druhá věta</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Rovina zbytkového výtlaku, neexistuje-li přepážková paluba</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V případě osobních lodí, jejichž kýl byl položen před 1. 1. 1996, N.V.P., nejpozději při obnově osvědčení plavidla vnitrozemské plavby po</w:t>
            </w:r>
          </w:p>
        </w:tc>
        <w:tc>
          <w:tcPr>
            <w:tcW w:w="1276" w:type="dxa"/>
            <w:shd w:val="clear" w:color="auto" w:fill="auto"/>
          </w:tcPr>
          <w:p w:rsidR="00E82B25" w:rsidRPr="003B6E11" w:rsidRDefault="00E82B25" w:rsidP="002D015D">
            <w:pPr>
              <w:spacing w:before="120" w:after="120" w:line="240" w:lineRule="atLeast"/>
              <w:jc w:val="center"/>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10 písm. c)</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Doba zavírání</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jc w:val="center"/>
              <w:rPr>
                <w:rFonts w:cs="Arial"/>
                <w:sz w:val="18"/>
                <w:szCs w:val="18"/>
                <w:lang w:val="cs-CZ"/>
              </w:rPr>
            </w:pPr>
            <w:r w:rsidRPr="003B6E11">
              <w:rPr>
                <w:sz w:val="18"/>
                <w:lang w:val="cs-CZ"/>
              </w:rPr>
              <w:t>1.1.2015</w:t>
            </w:r>
          </w:p>
        </w:tc>
      </w:tr>
      <w:tr w:rsidR="00E82B25" w:rsidRPr="003B6E11" w:rsidTr="002D015D">
        <w:trPr>
          <w:cantSplit/>
          <w:jc w:val="center"/>
        </w:trPr>
        <w:tc>
          <w:tcPr>
            <w:tcW w:w="1342" w:type="dxa"/>
            <w:tcBorders>
              <w:top w:val="nil"/>
              <w:bottom w:val="single" w:sz="4" w:space="0" w:color="auto"/>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15</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Minimální výška dvojitého dna nebo šířka dvojitého boku</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jc w:val="center"/>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19.03</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 až 6</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Stabilita v neporušeném stavu</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N.V.P., a při zvýšení největšího přípustného počtu cestujících,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jc w:val="center"/>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tcBorders>
              <w:bottom w:val="single" w:sz="4" w:space="0" w:color="auto"/>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7 a 8</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Stabilita v narušeném stavu</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jc w:val="center"/>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tcBorders>
              <w:bottom w:val="nil"/>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9</w:t>
            </w:r>
          </w:p>
        </w:tc>
        <w:tc>
          <w:tcPr>
            <w:tcW w:w="3296" w:type="dxa"/>
            <w:tcBorders>
              <w:bottom w:val="single" w:sz="4" w:space="0" w:color="auto"/>
            </w:tcBorders>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sz w:val="18"/>
                <w:lang w:val="cs-CZ"/>
              </w:rPr>
              <w:t>Stabilita v narušeném stavu</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jc w:val="center"/>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vMerge w:val="restart"/>
            <w:tcBorders>
              <w:top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vMerge w:val="restart"/>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sz w:val="18"/>
                <w:lang w:val="cs-CZ"/>
              </w:rPr>
              <w:t>Svislý rozsah poškození dna plavidla</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jc w:val="center"/>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vMerge/>
            <w:tcBorders>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vMerge/>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N.V.P. se použije u plavidel s vodotěsně uzavřenými palubami ve vzdálenosti alespoň 0,50 m, ale méně než 0,60 m ode dna, která získala osvědčení plavidla vnitrozemské plavby poprvé před 31. 12. 2005</w:t>
            </w:r>
          </w:p>
        </w:tc>
        <w:tc>
          <w:tcPr>
            <w:tcW w:w="1276" w:type="dxa"/>
            <w:shd w:val="clear" w:color="auto" w:fill="auto"/>
          </w:tcPr>
          <w:p w:rsidR="00E82B25" w:rsidRPr="003B6E11" w:rsidRDefault="00E82B25" w:rsidP="002D015D">
            <w:pPr>
              <w:spacing w:before="120" w:after="120" w:line="240" w:lineRule="atLeast"/>
              <w:jc w:val="center"/>
              <w:rPr>
                <w:rFonts w:cs="Arial"/>
                <w:sz w:val="18"/>
                <w:szCs w:val="18"/>
                <w:lang w:val="cs-CZ"/>
              </w:rPr>
            </w:pP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tcBorders>
              <w:top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sz w:val="18"/>
                <w:lang w:val="cs-CZ"/>
              </w:rPr>
              <w:t>Status 2 oddělení</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20" w:after="120" w:line="240" w:lineRule="atLeast"/>
              <w:jc w:val="center"/>
              <w:rPr>
                <w:rFonts w:cs="Arial"/>
                <w:sz w:val="18"/>
                <w:szCs w:val="18"/>
                <w:lang w:val="cs-CZ"/>
              </w:rPr>
            </w:pPr>
          </w:p>
        </w:tc>
      </w:tr>
      <w:tr w:rsidR="00E82B25" w:rsidRPr="003B6E11" w:rsidTr="002D015D">
        <w:trPr>
          <w:cantSplit/>
          <w:jc w:val="center"/>
        </w:trPr>
        <w:tc>
          <w:tcPr>
            <w:tcW w:w="1342" w:type="dxa"/>
            <w:tcBorders>
              <w:top w:val="nil"/>
              <w:bottom w:val="single" w:sz="4" w:space="0" w:color="auto"/>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10 až 13</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sz w:val="18"/>
                <w:lang w:val="cs-CZ"/>
              </w:rPr>
              <w:t>Stabilita v narušeném stavu</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jc w:val="center"/>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19.05</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2 písm. a)</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Počet cestujících, pro něž byla prokázána existence evakuačního prostoru podle čl. 19.06 odst. 8</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 xml:space="preserve">     1.1.2045</w:t>
            </w:r>
          </w:p>
        </w:tc>
      </w:tr>
      <w:tr w:rsidR="00E82B25" w:rsidRPr="003B6E11" w:rsidTr="002D015D">
        <w:trPr>
          <w:cantSplit/>
          <w:jc w:val="center"/>
        </w:trPr>
        <w:tc>
          <w:tcPr>
            <w:tcW w:w="1342" w:type="dxa"/>
            <w:tcBorders>
              <w:top w:val="nil"/>
              <w:bottom w:val="single" w:sz="4" w:space="0" w:color="auto"/>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2 písm. b)</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Počet cestujících, který byl vzat v úvahu při výpočtu stability podle článku 19.03</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19.06</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 první věta</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sz w:val="18"/>
                <w:lang w:val="cs-CZ"/>
              </w:rPr>
              <w:t>Prostory pro cestující na všech palubách za kolizní přepážkou a, nacházejí-li se pod přepážkovou palubou, před záďovou přepážkou</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3 písm. c) první věta</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Světlá výška východů</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3, odst. 2 druhá věta</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Světlá šířka dveří kajut pro cestující a jiných malých místností</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3 písm. f) první věta</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Velikost nouzových východů</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3 písm. g)</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Východy místností určených pro osoby s omezenou schopností pohybu a orientace</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4 písm. d)</w:t>
            </w:r>
          </w:p>
        </w:tc>
        <w:tc>
          <w:tcPr>
            <w:tcW w:w="3296" w:type="dxa"/>
            <w:shd w:val="clear" w:color="auto" w:fill="auto"/>
          </w:tcPr>
          <w:p w:rsidR="00E82B25" w:rsidRPr="003B6E11" w:rsidRDefault="00E82B25" w:rsidP="002D015D">
            <w:pPr>
              <w:tabs>
                <w:tab w:val="left" w:pos="930"/>
              </w:tabs>
              <w:spacing w:before="120" w:after="120" w:line="240" w:lineRule="atLeast"/>
              <w:rPr>
                <w:rFonts w:cs="Arial"/>
                <w:sz w:val="18"/>
                <w:szCs w:val="18"/>
                <w:lang w:val="cs-CZ"/>
              </w:rPr>
            </w:pPr>
            <w:r w:rsidRPr="003B6E11">
              <w:rPr>
                <w:noProof/>
                <w:sz w:val="18"/>
                <w:lang w:val="cs-CZ"/>
              </w:rPr>
              <w:t>Dveře určené pro osoby s omezenou schopností pohybu a orientace</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5</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Požadavky na spojovací chodby</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6 písm. b)</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Únikové cesty do evakuačních prostor</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6 písm. c)</w:t>
            </w:r>
            <w:r w:rsidRPr="003B6E11">
              <w:rPr>
                <w:color w:val="000000"/>
                <w:sz w:val="18"/>
                <w:vertAlign w:val="superscript"/>
                <w:lang w:val="cs-CZ"/>
              </w:rPr>
              <w:footnoteReference w:id="30"/>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sz w:val="18"/>
                <w:lang w:val="cs-CZ"/>
              </w:rPr>
              <w:t>Žádné únikové cesty přes kuchyně</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1.1.2020</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6 písm. d)</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Žádné příčle, žebříky apod. namontované v únikových cestách</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20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200" w:after="160" w:line="240" w:lineRule="atLeast"/>
              <w:rPr>
                <w:rFonts w:cs="Arial"/>
                <w:sz w:val="18"/>
                <w:szCs w:val="18"/>
                <w:lang w:val="cs-CZ"/>
              </w:rPr>
            </w:pPr>
            <w:r w:rsidRPr="003B6E11">
              <w:rPr>
                <w:sz w:val="18"/>
                <w:lang w:val="cs-CZ"/>
              </w:rPr>
              <w:t>odst. 7</w:t>
            </w:r>
          </w:p>
        </w:tc>
        <w:tc>
          <w:tcPr>
            <w:tcW w:w="3296" w:type="dxa"/>
            <w:shd w:val="clear" w:color="auto" w:fill="auto"/>
          </w:tcPr>
          <w:p w:rsidR="00E82B25" w:rsidRPr="003B6E11" w:rsidRDefault="00E82B25" w:rsidP="002D015D">
            <w:pPr>
              <w:tabs>
                <w:tab w:val="left" w:pos="1080"/>
              </w:tabs>
              <w:spacing w:before="200" w:after="160" w:line="240" w:lineRule="atLeast"/>
              <w:rPr>
                <w:rFonts w:cs="Arial"/>
                <w:sz w:val="18"/>
                <w:szCs w:val="18"/>
                <w:lang w:val="cs-CZ"/>
              </w:rPr>
            </w:pPr>
            <w:r w:rsidRPr="003B6E11">
              <w:rPr>
                <w:noProof/>
                <w:sz w:val="18"/>
                <w:lang w:val="cs-CZ"/>
              </w:rPr>
              <w:t>Vhodný bezpečnostní naváděcí systém</w:t>
            </w:r>
          </w:p>
        </w:tc>
        <w:tc>
          <w:tcPr>
            <w:tcW w:w="6521" w:type="dxa"/>
            <w:shd w:val="clear" w:color="auto" w:fill="auto"/>
          </w:tcPr>
          <w:p w:rsidR="00E82B25" w:rsidRPr="003B6E11" w:rsidRDefault="00E82B25" w:rsidP="002D015D">
            <w:pPr>
              <w:spacing w:before="20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00" w:after="16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20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200" w:after="160" w:line="240" w:lineRule="atLeast"/>
              <w:rPr>
                <w:rFonts w:cs="Arial"/>
                <w:sz w:val="18"/>
                <w:szCs w:val="18"/>
                <w:lang w:val="cs-CZ"/>
              </w:rPr>
            </w:pPr>
            <w:r w:rsidRPr="003B6E11">
              <w:rPr>
                <w:sz w:val="18"/>
                <w:lang w:val="cs-CZ"/>
              </w:rPr>
              <w:t>odst. 8</w:t>
            </w:r>
          </w:p>
        </w:tc>
        <w:tc>
          <w:tcPr>
            <w:tcW w:w="3296" w:type="dxa"/>
            <w:shd w:val="clear" w:color="auto" w:fill="auto"/>
          </w:tcPr>
          <w:p w:rsidR="00E82B25" w:rsidRPr="003B6E11" w:rsidRDefault="00E82B25" w:rsidP="002D015D">
            <w:pPr>
              <w:tabs>
                <w:tab w:val="left" w:pos="1080"/>
              </w:tabs>
              <w:spacing w:before="200" w:after="160" w:line="240" w:lineRule="atLeast"/>
              <w:rPr>
                <w:rFonts w:cs="Arial"/>
                <w:sz w:val="18"/>
                <w:szCs w:val="18"/>
                <w:lang w:val="cs-CZ"/>
              </w:rPr>
            </w:pPr>
            <w:r w:rsidRPr="003B6E11">
              <w:rPr>
                <w:noProof/>
                <w:sz w:val="18"/>
                <w:lang w:val="cs-CZ"/>
              </w:rPr>
              <w:t>Požadavky na shromažďovací prostory</w:t>
            </w:r>
          </w:p>
        </w:tc>
        <w:tc>
          <w:tcPr>
            <w:tcW w:w="6521" w:type="dxa"/>
            <w:shd w:val="clear" w:color="auto" w:fill="auto"/>
          </w:tcPr>
          <w:p w:rsidR="00E82B25" w:rsidRPr="003B6E11" w:rsidRDefault="00E82B25" w:rsidP="002D015D">
            <w:pPr>
              <w:spacing w:before="20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00" w:after="16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20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200" w:after="160" w:line="240" w:lineRule="atLeast"/>
              <w:rPr>
                <w:rFonts w:cs="Arial"/>
                <w:sz w:val="18"/>
                <w:szCs w:val="18"/>
                <w:lang w:val="cs-CZ"/>
              </w:rPr>
            </w:pPr>
            <w:r w:rsidRPr="003B6E11">
              <w:rPr>
                <w:sz w:val="18"/>
                <w:lang w:val="cs-CZ"/>
              </w:rPr>
              <w:t>odst. 9</w:t>
            </w:r>
          </w:p>
        </w:tc>
        <w:tc>
          <w:tcPr>
            <w:tcW w:w="3296" w:type="dxa"/>
            <w:shd w:val="clear" w:color="auto" w:fill="auto"/>
          </w:tcPr>
          <w:p w:rsidR="00E82B25" w:rsidRPr="003B6E11" w:rsidRDefault="00E82B25" w:rsidP="002D015D">
            <w:pPr>
              <w:tabs>
                <w:tab w:val="left" w:pos="1080"/>
              </w:tabs>
              <w:spacing w:before="200" w:after="160" w:line="240" w:lineRule="atLeast"/>
              <w:rPr>
                <w:rFonts w:cs="Arial"/>
                <w:sz w:val="18"/>
                <w:szCs w:val="18"/>
                <w:lang w:val="cs-CZ"/>
              </w:rPr>
            </w:pPr>
            <w:r w:rsidRPr="003B6E11">
              <w:rPr>
                <w:noProof/>
                <w:sz w:val="18"/>
                <w:lang w:val="cs-CZ"/>
              </w:rPr>
              <w:t>Požadavky na schodiště a schodišťová odpočívadla v prostorech pro cestující</w:t>
            </w:r>
          </w:p>
        </w:tc>
        <w:tc>
          <w:tcPr>
            <w:tcW w:w="6521" w:type="dxa"/>
            <w:shd w:val="clear" w:color="auto" w:fill="auto"/>
          </w:tcPr>
          <w:p w:rsidR="00E82B25" w:rsidRPr="003B6E11" w:rsidRDefault="00E82B25" w:rsidP="002D015D">
            <w:pPr>
              <w:spacing w:before="20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00" w:after="16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20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200" w:after="160" w:line="240" w:lineRule="atLeast"/>
              <w:rPr>
                <w:rFonts w:cs="Arial"/>
                <w:sz w:val="18"/>
                <w:szCs w:val="18"/>
                <w:lang w:val="cs-CZ"/>
              </w:rPr>
            </w:pPr>
            <w:r w:rsidRPr="003B6E11">
              <w:rPr>
                <w:sz w:val="18"/>
                <w:lang w:val="cs-CZ"/>
              </w:rPr>
              <w:t>odst. 10 písm. a) první věta</w:t>
            </w:r>
          </w:p>
        </w:tc>
        <w:tc>
          <w:tcPr>
            <w:tcW w:w="3296" w:type="dxa"/>
            <w:shd w:val="clear" w:color="auto" w:fill="auto"/>
          </w:tcPr>
          <w:p w:rsidR="00E82B25" w:rsidRPr="003B6E11" w:rsidRDefault="00E82B25" w:rsidP="002D015D">
            <w:pPr>
              <w:adjustRightInd w:val="0"/>
              <w:spacing w:before="200" w:after="160" w:line="240" w:lineRule="atLeast"/>
              <w:rPr>
                <w:rFonts w:eastAsia="Calibri" w:cs="Arial"/>
                <w:color w:val="000000"/>
                <w:lang w:val="cs-CZ"/>
              </w:rPr>
            </w:pPr>
            <w:r w:rsidRPr="003B6E11">
              <w:rPr>
                <w:sz w:val="18"/>
                <w:lang w:val="cs-CZ"/>
              </w:rPr>
              <w:t>Zábradlí podle evropské normy</w:t>
            </w:r>
          </w:p>
        </w:tc>
        <w:tc>
          <w:tcPr>
            <w:tcW w:w="6521" w:type="dxa"/>
            <w:shd w:val="clear" w:color="auto" w:fill="auto"/>
          </w:tcPr>
          <w:p w:rsidR="00E82B25" w:rsidRPr="003B6E11" w:rsidRDefault="00E82B25" w:rsidP="002D015D">
            <w:pPr>
              <w:adjustRightInd w:val="0"/>
              <w:spacing w:before="200" w:after="160" w:line="240" w:lineRule="atLeast"/>
              <w:rPr>
                <w:rFonts w:eastAsia="Calibri" w:cs="Arial"/>
                <w:color w:val="000000"/>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00" w:after="16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20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200" w:after="160" w:line="240" w:lineRule="atLeast"/>
              <w:rPr>
                <w:rFonts w:cs="Arial"/>
                <w:sz w:val="18"/>
                <w:szCs w:val="18"/>
                <w:lang w:val="cs-CZ"/>
              </w:rPr>
            </w:pPr>
            <w:r w:rsidRPr="003B6E11">
              <w:rPr>
                <w:sz w:val="18"/>
                <w:lang w:val="cs-CZ"/>
              </w:rPr>
              <w:t>odst. 10 písm. a) druhá věta</w:t>
            </w:r>
          </w:p>
        </w:tc>
        <w:tc>
          <w:tcPr>
            <w:tcW w:w="3296" w:type="dxa"/>
            <w:shd w:val="clear" w:color="auto" w:fill="auto"/>
          </w:tcPr>
          <w:p w:rsidR="00E82B25" w:rsidRPr="003B6E11" w:rsidRDefault="00E82B25" w:rsidP="002D015D">
            <w:pPr>
              <w:tabs>
                <w:tab w:val="left" w:pos="1080"/>
              </w:tabs>
              <w:spacing w:before="200" w:after="160" w:line="240" w:lineRule="atLeast"/>
              <w:rPr>
                <w:rFonts w:cs="Arial"/>
                <w:sz w:val="18"/>
                <w:szCs w:val="18"/>
                <w:lang w:val="cs-CZ"/>
              </w:rPr>
            </w:pPr>
            <w:r w:rsidRPr="003B6E11">
              <w:rPr>
                <w:sz w:val="18"/>
                <w:lang w:val="cs-CZ"/>
              </w:rPr>
              <w:t>Výška štítnic a zábradlí na palubách určených pro osoby s omezenou schopností pohybu a orientace</w:t>
            </w:r>
          </w:p>
        </w:tc>
        <w:tc>
          <w:tcPr>
            <w:tcW w:w="6521" w:type="dxa"/>
            <w:shd w:val="clear" w:color="auto" w:fill="auto"/>
          </w:tcPr>
          <w:p w:rsidR="00E82B25" w:rsidRPr="003B6E11" w:rsidRDefault="00E82B25" w:rsidP="002D015D">
            <w:pPr>
              <w:spacing w:before="20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00" w:after="16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10 písm. b) druhá věta</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Světlá šířka otvorů používaných obvykle pro naloďování nebo vyloďování osob s omezenou schopností pohybu a orientace</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13</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Průchody a stěny v průchodech určených pro osoby s omezenou schopností pohybu a orientace</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tcBorders>
              <w:bottom w:val="single" w:sz="4" w:space="0" w:color="auto"/>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14 první věta</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Skleněné dveře a stěny v průchodech a okenní tabule</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tcBorders>
              <w:bottom w:val="nil"/>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15</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sz w:val="18"/>
                <w:lang w:val="cs-CZ"/>
              </w:rPr>
              <w:t>Požadavky na nástavby skládající se zcela nebo zčásti z panoramatických tabulí.</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17 druhá věta</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Požadavky na záchody určené pro osoby s omezenou schopností pohybu a orientace</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18</w:t>
            </w:r>
          </w:p>
        </w:tc>
        <w:tc>
          <w:tcPr>
            <w:tcW w:w="3296" w:type="dxa"/>
            <w:shd w:val="clear" w:color="auto" w:fill="auto"/>
          </w:tcPr>
          <w:p w:rsidR="00E82B25" w:rsidRPr="003B6E11" w:rsidRDefault="00E82B25" w:rsidP="002D015D">
            <w:pPr>
              <w:tabs>
                <w:tab w:val="left" w:pos="1080"/>
              </w:tabs>
              <w:spacing w:before="140" w:after="140" w:line="240" w:lineRule="atLeast"/>
              <w:rPr>
                <w:rFonts w:cs="Arial"/>
                <w:sz w:val="18"/>
                <w:szCs w:val="18"/>
                <w:lang w:val="cs-CZ"/>
              </w:rPr>
            </w:pPr>
            <w:r w:rsidRPr="003B6E11">
              <w:rPr>
                <w:noProof/>
                <w:sz w:val="18"/>
                <w:lang w:val="cs-CZ"/>
              </w:rPr>
              <w:t>Větrací soustava v kajutách bez otevíracího okna</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19</w:t>
            </w:r>
          </w:p>
        </w:tc>
        <w:tc>
          <w:tcPr>
            <w:tcW w:w="3296" w:type="dxa"/>
            <w:shd w:val="clear" w:color="auto" w:fill="auto"/>
          </w:tcPr>
          <w:p w:rsidR="00E82B25" w:rsidRPr="003B6E11" w:rsidRDefault="00E82B25" w:rsidP="002D015D">
            <w:pPr>
              <w:tabs>
                <w:tab w:val="left" w:pos="1080"/>
              </w:tabs>
              <w:spacing w:before="140" w:after="140" w:line="240" w:lineRule="atLeast"/>
              <w:rPr>
                <w:rFonts w:cs="Arial"/>
                <w:sz w:val="18"/>
                <w:szCs w:val="18"/>
                <w:lang w:val="cs-CZ"/>
              </w:rPr>
            </w:pPr>
            <w:r w:rsidRPr="003B6E11">
              <w:rPr>
                <w:noProof/>
                <w:sz w:val="18"/>
                <w:lang w:val="cs-CZ"/>
              </w:rPr>
              <w:t>Požadavky článku 19.06 na místnosti, v nichž jsou ubytováni členové posádky nebo lodní personál</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19.07</w:t>
            </w:r>
            <w:r w:rsidRPr="003B6E11">
              <w:rPr>
                <w:color w:val="000000"/>
                <w:sz w:val="18"/>
                <w:vertAlign w:val="superscript"/>
                <w:lang w:val="cs-CZ"/>
              </w:rPr>
              <w:footnoteReference w:id="31"/>
            </w:r>
          </w:p>
        </w:tc>
        <w:tc>
          <w:tcPr>
            <w:tcW w:w="1458" w:type="dxa"/>
            <w:shd w:val="clear" w:color="auto" w:fill="auto"/>
          </w:tcPr>
          <w:p w:rsidR="00E82B25" w:rsidRPr="003B6E11" w:rsidRDefault="00E82B25" w:rsidP="002D015D">
            <w:pPr>
              <w:spacing w:before="200" w:line="240" w:lineRule="atLeast"/>
              <w:rPr>
                <w:rFonts w:cs="Arial"/>
                <w:sz w:val="18"/>
                <w:szCs w:val="18"/>
                <w:lang w:val="cs-CZ"/>
              </w:rPr>
            </w:pPr>
          </w:p>
        </w:tc>
        <w:tc>
          <w:tcPr>
            <w:tcW w:w="3296" w:type="dxa"/>
            <w:shd w:val="clear" w:color="auto" w:fill="auto"/>
          </w:tcPr>
          <w:p w:rsidR="00E82B25" w:rsidRPr="003B6E11" w:rsidRDefault="00E82B25" w:rsidP="002D015D">
            <w:pPr>
              <w:tabs>
                <w:tab w:val="left" w:pos="1080"/>
              </w:tabs>
              <w:spacing w:before="200" w:line="240" w:lineRule="atLeast"/>
              <w:rPr>
                <w:rFonts w:cs="Arial"/>
                <w:sz w:val="18"/>
                <w:szCs w:val="18"/>
                <w:lang w:val="cs-CZ"/>
              </w:rPr>
            </w:pPr>
            <w:r w:rsidRPr="003B6E11">
              <w:rPr>
                <w:sz w:val="18"/>
                <w:lang w:val="cs-CZ"/>
              </w:rPr>
              <w:t>Samostatná strojovna</w:t>
            </w:r>
          </w:p>
        </w:tc>
        <w:tc>
          <w:tcPr>
            <w:tcW w:w="6521"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1.1.2020</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19.08</w:t>
            </w: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3 písm. a)</w:t>
            </w:r>
            <w:r w:rsidRPr="003B6E11">
              <w:rPr>
                <w:color w:val="000000"/>
                <w:sz w:val="18"/>
                <w:vertAlign w:val="superscript"/>
                <w:lang w:val="cs-CZ"/>
              </w:rPr>
              <w:footnoteReference w:id="32"/>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Požadavky na poplašný systém, jímž mohou cestující, členové posádky a lodní personál upozornit velení lodi a posádku</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U výletních osobních lodí se uplatňuje požadavek N.V.P., nejpozději při obnově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1.1.2020</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6</w:t>
            </w:r>
          </w:p>
        </w:tc>
        <w:tc>
          <w:tcPr>
            <w:tcW w:w="3296" w:type="dxa"/>
            <w:shd w:val="clear" w:color="auto" w:fill="auto"/>
          </w:tcPr>
          <w:p w:rsidR="00E82B25" w:rsidRPr="003B6E11" w:rsidRDefault="00E82B25" w:rsidP="002D015D">
            <w:pPr>
              <w:tabs>
                <w:tab w:val="left" w:pos="1080"/>
              </w:tabs>
              <w:spacing w:before="140" w:after="140" w:line="240" w:lineRule="atLeast"/>
              <w:rPr>
                <w:rFonts w:cs="Arial"/>
                <w:sz w:val="18"/>
                <w:szCs w:val="18"/>
                <w:lang w:val="cs-CZ"/>
              </w:rPr>
            </w:pPr>
            <w:r w:rsidRPr="003B6E11">
              <w:rPr>
                <w:noProof/>
                <w:sz w:val="18"/>
                <w:lang w:val="cs-CZ"/>
              </w:rPr>
              <w:t>Pevný drenážní systém</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19.10</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Ustanovení čl. 10.16 odst. 3 se vztahuje rovněž na průchody a společenské místnosti pro cestující</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Přiměřené nouzové osvětlení</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Nouzový generátor elektrické energie</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 xml:space="preserve">U výletních osobních lodí s </w:t>
            </w:r>
            <m:oMath>
              <m:sSub>
                <m:sSubPr>
                  <m:ctrlPr>
                    <w:rPr>
                      <w:rFonts w:ascii="Cambria Math" w:hAnsi="Cambria Math" w:cs="Arial"/>
                      <w:i/>
                      <w:noProof/>
                      <w:sz w:val="18"/>
                      <w:szCs w:val="18"/>
                      <w:lang w:val="cs-CZ"/>
                    </w:rPr>
                  </m:ctrlPr>
                </m:sSubPr>
                <m:e>
                  <m:r>
                    <w:rPr>
                      <w:rFonts w:ascii="Cambria Math" w:hAnsi="Cambria Math" w:cs="Arial"/>
                      <w:noProof/>
                      <w:sz w:val="18"/>
                      <w:szCs w:val="18"/>
                      <w:lang w:val="cs-CZ"/>
                    </w:rPr>
                    <m:t>L</m:t>
                  </m:r>
                </m:e>
                <m:sub>
                  <m:r>
                    <w:rPr>
                      <w:rFonts w:ascii="Cambria Math" w:hAnsi="Cambria Math" w:cs="Arial"/>
                      <w:noProof/>
                      <w:sz w:val="18"/>
                      <w:szCs w:val="18"/>
                      <w:lang w:val="cs-CZ"/>
                    </w:rPr>
                    <m:t>WL</m:t>
                  </m:r>
                </m:sub>
              </m:sSub>
            </m:oMath>
            <w:r w:rsidRPr="003B6E11">
              <w:rPr>
                <w:noProof/>
                <w:sz w:val="18"/>
                <w:lang w:val="cs-CZ"/>
              </w:rPr>
              <w:t xml:space="preserve"> 25 m nebo méně se ustanovení použije při N.V.P., nejpozději při obnově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4 písm. f)</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Nouzové napájení světlometů podle čl. 13.02 odst. 2 písm. i)</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4 písm. i)</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Nouzové napájení výtahů a zdvihacích zařízení podle čl. 19.06 odst. 9 druhé věty</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6 první věta</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Dělicí stěny podle čl. 19.11 odst. 2</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6 druhá a třetí věta</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Uložení kabelů</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tcBorders>
              <w:top w:val="nil"/>
              <w:bottom w:val="single" w:sz="4" w:space="0" w:color="auto"/>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6 čtvrtá věta</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Nouzový generátor elektrické energie nad rovinou zbytkového výtlaku</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1.1.2015</w:t>
            </w:r>
          </w:p>
        </w:tc>
      </w:tr>
      <w:tr w:rsidR="00E82B25" w:rsidRPr="003B6E11" w:rsidTr="002D015D">
        <w:trPr>
          <w:cantSplit/>
          <w:trHeight w:val="347"/>
          <w:jc w:val="center"/>
        </w:trPr>
        <w:tc>
          <w:tcPr>
            <w:tcW w:w="1342" w:type="dxa"/>
            <w:vMerge w:val="restart"/>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19.11</w:t>
            </w:r>
          </w:p>
        </w:tc>
        <w:tc>
          <w:tcPr>
            <w:tcW w:w="1458" w:type="dxa"/>
            <w:vMerge w:val="restart"/>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1</w:t>
            </w:r>
          </w:p>
        </w:tc>
        <w:tc>
          <w:tcPr>
            <w:tcW w:w="3296" w:type="dxa"/>
            <w:vMerge w:val="restart"/>
            <w:shd w:val="clear" w:color="auto" w:fill="auto"/>
          </w:tcPr>
          <w:p w:rsidR="00E82B25" w:rsidRPr="003B6E11" w:rsidRDefault="00E82B25" w:rsidP="002D015D">
            <w:pPr>
              <w:tabs>
                <w:tab w:val="left" w:pos="1080"/>
              </w:tabs>
              <w:spacing w:before="80" w:after="80" w:line="240" w:lineRule="atLeast"/>
              <w:rPr>
                <w:rFonts w:cs="Arial"/>
                <w:sz w:val="18"/>
                <w:szCs w:val="18"/>
                <w:lang w:val="cs-CZ"/>
              </w:rPr>
            </w:pPr>
            <w:r w:rsidRPr="003B6E11">
              <w:rPr>
                <w:noProof/>
                <w:sz w:val="18"/>
                <w:lang w:val="cs-CZ"/>
              </w:rPr>
              <w:t>Vhodnost materiálů a konstrukčních prvků z hlediska požární ochrany</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vMerge w:val="restart"/>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1.1.2045</w:t>
            </w:r>
          </w:p>
        </w:tc>
      </w:tr>
      <w:tr w:rsidR="00E82B25" w:rsidRPr="003B6E11" w:rsidTr="002D015D">
        <w:trPr>
          <w:cantSplit/>
          <w:trHeight w:val="346"/>
          <w:jc w:val="center"/>
        </w:trPr>
        <w:tc>
          <w:tcPr>
            <w:tcW w:w="1342" w:type="dxa"/>
            <w:vMerge/>
            <w:tcBorders>
              <w:bottom w:val="nil"/>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3296" w:type="dxa"/>
            <w:vMerge/>
            <w:shd w:val="clear" w:color="auto" w:fill="auto"/>
          </w:tcPr>
          <w:p w:rsidR="00E82B25" w:rsidRPr="003B6E11" w:rsidRDefault="00E82B25" w:rsidP="002D015D">
            <w:pPr>
              <w:tabs>
                <w:tab w:val="left" w:pos="1080"/>
              </w:tabs>
              <w:spacing w:before="80" w:after="80" w:line="240" w:lineRule="atLeast"/>
              <w:rPr>
                <w:rFonts w:cs="Arial"/>
                <w:noProof/>
                <w:sz w:val="18"/>
                <w:szCs w:val="18"/>
                <w:lang w:val="cs-CZ"/>
              </w:rPr>
            </w:pP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Pro materiály a konstrukční prvky schválené podle Mezinárodního předpisu pro použití postupů požárních zkoušek (předpis FTP) přijatého rezolucí MSC.61 (67)</w:t>
            </w:r>
            <w:r w:rsidRPr="003B6E11">
              <w:rPr>
                <w:rStyle w:val="FootnoteReference"/>
                <w:sz w:val="18"/>
                <w:lang w:val="cs-CZ"/>
              </w:rPr>
              <w:footnoteReference w:id="33"/>
            </w:r>
            <w:r w:rsidRPr="003B6E11">
              <w:rPr>
                <w:sz w:val="18"/>
                <w:lang w:val="cs-CZ"/>
              </w:rPr>
              <w:t>: N.V.P.</w:t>
            </w:r>
          </w:p>
        </w:tc>
        <w:tc>
          <w:tcPr>
            <w:tcW w:w="1276" w:type="dxa"/>
            <w:vMerge/>
            <w:shd w:val="clear" w:color="auto" w:fill="auto"/>
          </w:tcPr>
          <w:p w:rsidR="00E82B25" w:rsidRPr="003B6E11" w:rsidRDefault="00E82B25" w:rsidP="002D015D">
            <w:pPr>
              <w:spacing w:before="80" w:after="80" w:line="240" w:lineRule="atLeast"/>
              <w:rPr>
                <w:rFonts w:cs="Arial"/>
                <w:sz w:val="18"/>
                <w:szCs w:val="18"/>
                <w:lang w:val="cs-CZ"/>
              </w:rPr>
            </w:pP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tabs>
                <w:tab w:val="left" w:pos="1080"/>
              </w:tabs>
              <w:spacing w:before="80" w:after="80" w:line="240" w:lineRule="atLeast"/>
              <w:rPr>
                <w:rFonts w:cs="Arial"/>
                <w:sz w:val="18"/>
                <w:szCs w:val="18"/>
                <w:lang w:val="cs-CZ"/>
              </w:rPr>
            </w:pPr>
            <w:r w:rsidRPr="003B6E11">
              <w:rPr>
                <w:noProof/>
                <w:sz w:val="18"/>
                <w:lang w:val="cs-CZ"/>
              </w:rPr>
              <w:t>Provedení dělicích stěn</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tabs>
                <w:tab w:val="left" w:pos="1080"/>
              </w:tabs>
              <w:spacing w:before="80" w:after="80" w:line="240" w:lineRule="atLeast"/>
              <w:rPr>
                <w:rFonts w:cs="Arial"/>
                <w:sz w:val="18"/>
                <w:szCs w:val="18"/>
                <w:lang w:val="cs-CZ"/>
              </w:rPr>
            </w:pPr>
            <w:r w:rsidRPr="003B6E11">
              <w:rPr>
                <w:noProof/>
                <w:sz w:val="18"/>
                <w:lang w:val="cs-CZ"/>
              </w:rPr>
              <w:t>Barvy, laky a jiné výrobky k ošetření povrchů a palubní krytiny v místnostech kromě strojoven a skladovacích prostor musí zpomalovat hoření</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tabs>
                <w:tab w:val="left" w:pos="1080"/>
              </w:tabs>
              <w:spacing w:before="80" w:after="80" w:line="240" w:lineRule="atLeast"/>
              <w:rPr>
                <w:rFonts w:cs="Arial"/>
                <w:sz w:val="18"/>
                <w:szCs w:val="18"/>
                <w:lang w:val="cs-CZ"/>
              </w:rPr>
            </w:pPr>
            <w:r w:rsidRPr="003B6E11">
              <w:rPr>
                <w:noProof/>
                <w:sz w:val="18"/>
                <w:lang w:val="cs-CZ"/>
              </w:rPr>
              <w:t>Stropy a obložení stěn ve společenských prostorech zhotoveny z nehořlavých materiálů</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5</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Nábytek a vybavení v shromažďovacích prostorech vyrobeny z nehořlavých materiálů</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6</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Zkoušky podle kodexu</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7</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Izolační materiály ve společenských prostorech</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9</w:t>
            </w:r>
          </w:p>
        </w:tc>
        <w:tc>
          <w:tcPr>
            <w:tcW w:w="3296" w:type="dxa"/>
            <w:shd w:val="clear" w:color="auto" w:fill="auto"/>
          </w:tcPr>
          <w:p w:rsidR="00E82B25" w:rsidRPr="003B6E11" w:rsidRDefault="00E82B25" w:rsidP="002D015D">
            <w:pPr>
              <w:tabs>
                <w:tab w:val="left" w:pos="1080"/>
              </w:tabs>
              <w:spacing w:before="140" w:after="140" w:line="240" w:lineRule="atLeast"/>
              <w:rPr>
                <w:rFonts w:cs="Arial"/>
                <w:sz w:val="18"/>
                <w:szCs w:val="18"/>
                <w:lang w:val="cs-CZ"/>
              </w:rPr>
            </w:pPr>
            <w:r w:rsidRPr="003B6E11">
              <w:rPr>
                <w:noProof/>
                <w:sz w:val="18"/>
                <w:lang w:val="cs-CZ"/>
              </w:rPr>
              <w:t>Požadavky na dveře v dělicích stěnách</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11</w:t>
            </w:r>
          </w:p>
        </w:tc>
        <w:tc>
          <w:tcPr>
            <w:tcW w:w="3296" w:type="dxa"/>
            <w:shd w:val="clear" w:color="auto" w:fill="auto"/>
          </w:tcPr>
          <w:p w:rsidR="00E82B25" w:rsidRPr="003B6E11" w:rsidRDefault="00E82B25" w:rsidP="002D015D">
            <w:pPr>
              <w:tabs>
                <w:tab w:val="left" w:pos="1080"/>
              </w:tabs>
              <w:spacing w:before="140" w:after="140" w:line="240" w:lineRule="atLeast"/>
              <w:rPr>
                <w:rFonts w:cs="Arial"/>
                <w:sz w:val="18"/>
                <w:szCs w:val="18"/>
                <w:lang w:val="cs-CZ"/>
              </w:rPr>
            </w:pPr>
            <w:r w:rsidRPr="003B6E11">
              <w:rPr>
                <w:sz w:val="18"/>
                <w:lang w:val="cs-CZ"/>
              </w:rPr>
              <w:t>Dělicí stěny</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12</w:t>
            </w:r>
          </w:p>
        </w:tc>
        <w:tc>
          <w:tcPr>
            <w:tcW w:w="3296" w:type="dxa"/>
            <w:shd w:val="clear" w:color="auto" w:fill="auto"/>
          </w:tcPr>
          <w:p w:rsidR="00E82B25" w:rsidRPr="003B6E11" w:rsidRDefault="00E82B25" w:rsidP="002D015D">
            <w:pPr>
              <w:tabs>
                <w:tab w:val="left" w:pos="1080"/>
              </w:tabs>
              <w:spacing w:before="140" w:after="140" w:line="240" w:lineRule="atLeast"/>
              <w:rPr>
                <w:rFonts w:cs="Arial"/>
                <w:sz w:val="18"/>
                <w:szCs w:val="18"/>
                <w:lang w:val="cs-CZ"/>
              </w:rPr>
            </w:pPr>
            <w:r w:rsidRPr="003B6E11">
              <w:rPr>
                <w:noProof/>
                <w:sz w:val="18"/>
                <w:lang w:val="cs-CZ"/>
              </w:rPr>
              <w:t>Clony zamezující přívodu vzduchu</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13</w:t>
            </w:r>
          </w:p>
        </w:tc>
        <w:tc>
          <w:tcPr>
            <w:tcW w:w="3296" w:type="dxa"/>
            <w:shd w:val="clear" w:color="auto" w:fill="auto"/>
          </w:tcPr>
          <w:p w:rsidR="00E82B25" w:rsidRPr="003B6E11" w:rsidRDefault="00E82B25" w:rsidP="002D015D">
            <w:pPr>
              <w:tabs>
                <w:tab w:val="left" w:pos="1080"/>
              </w:tabs>
              <w:spacing w:before="140" w:after="140" w:line="240" w:lineRule="atLeast"/>
              <w:rPr>
                <w:rFonts w:cs="Arial"/>
                <w:sz w:val="18"/>
                <w:szCs w:val="18"/>
                <w:lang w:val="cs-CZ"/>
              </w:rPr>
            </w:pPr>
            <w:r w:rsidRPr="003B6E11">
              <w:rPr>
                <w:noProof/>
                <w:sz w:val="18"/>
                <w:lang w:val="cs-CZ"/>
              </w:rPr>
              <w:t>Schody zhotovené z oceli nebo jiného rovnocenně nehořlavého materiálu</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14</w:t>
            </w:r>
          </w:p>
        </w:tc>
        <w:tc>
          <w:tcPr>
            <w:tcW w:w="3296" w:type="dxa"/>
            <w:shd w:val="clear" w:color="auto" w:fill="auto"/>
          </w:tcPr>
          <w:p w:rsidR="00E82B25" w:rsidRPr="003B6E11" w:rsidRDefault="00E82B25" w:rsidP="002D015D">
            <w:pPr>
              <w:tabs>
                <w:tab w:val="left" w:pos="1080"/>
              </w:tabs>
              <w:spacing w:before="140" w:after="140" w:line="240" w:lineRule="atLeast"/>
              <w:rPr>
                <w:rFonts w:cs="Arial"/>
                <w:sz w:val="18"/>
                <w:szCs w:val="18"/>
                <w:lang w:val="cs-CZ"/>
              </w:rPr>
            </w:pPr>
            <w:r w:rsidRPr="003B6E11">
              <w:rPr>
                <w:sz w:val="18"/>
                <w:lang w:val="cs-CZ"/>
              </w:rPr>
              <w:t>Vnitřní schody na všech úrovních uzavřené stěnami podle odstavce 2.</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15</w:t>
            </w:r>
          </w:p>
        </w:tc>
        <w:tc>
          <w:tcPr>
            <w:tcW w:w="3296" w:type="dxa"/>
            <w:shd w:val="clear" w:color="auto" w:fill="auto"/>
          </w:tcPr>
          <w:p w:rsidR="00E82B25" w:rsidRPr="003B6E11" w:rsidRDefault="00E82B25" w:rsidP="002D015D">
            <w:pPr>
              <w:tabs>
                <w:tab w:val="left" w:pos="1080"/>
              </w:tabs>
              <w:spacing w:before="140" w:after="140" w:line="240" w:lineRule="atLeast"/>
              <w:rPr>
                <w:rFonts w:cs="Arial"/>
                <w:sz w:val="18"/>
                <w:szCs w:val="18"/>
                <w:lang w:val="cs-CZ"/>
              </w:rPr>
            </w:pPr>
            <w:r w:rsidRPr="003B6E11">
              <w:rPr>
                <w:noProof/>
                <w:sz w:val="18"/>
                <w:lang w:val="cs-CZ"/>
              </w:rPr>
              <w:t>Větrací soustavy a soustavy přívodu vzduchu</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16</w:t>
            </w:r>
          </w:p>
        </w:tc>
        <w:tc>
          <w:tcPr>
            <w:tcW w:w="3296" w:type="dxa"/>
            <w:shd w:val="clear" w:color="auto" w:fill="auto"/>
          </w:tcPr>
          <w:p w:rsidR="00E82B25" w:rsidRPr="003B6E11" w:rsidRDefault="00E82B25" w:rsidP="002D015D">
            <w:pPr>
              <w:tabs>
                <w:tab w:val="left" w:pos="1080"/>
              </w:tabs>
              <w:spacing w:before="140" w:after="140" w:line="240" w:lineRule="atLeast"/>
              <w:rPr>
                <w:rFonts w:cs="Arial"/>
                <w:sz w:val="18"/>
                <w:szCs w:val="18"/>
                <w:lang w:val="cs-CZ"/>
              </w:rPr>
            </w:pPr>
            <w:r w:rsidRPr="003B6E11">
              <w:rPr>
                <w:noProof/>
                <w:sz w:val="18"/>
                <w:lang w:val="cs-CZ"/>
              </w:rPr>
              <w:t>Větrací soustavy v kuchyních a sporáky s odsávači par</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17</w:t>
            </w:r>
          </w:p>
        </w:tc>
        <w:tc>
          <w:tcPr>
            <w:tcW w:w="3296" w:type="dxa"/>
            <w:shd w:val="clear" w:color="auto" w:fill="auto"/>
          </w:tcPr>
          <w:p w:rsidR="00E82B25" w:rsidRPr="003B6E11" w:rsidRDefault="00E82B25" w:rsidP="002D015D">
            <w:pPr>
              <w:tabs>
                <w:tab w:val="left" w:pos="1080"/>
              </w:tabs>
              <w:spacing w:before="140" w:after="140" w:line="240" w:lineRule="atLeast"/>
              <w:rPr>
                <w:rFonts w:cs="Arial"/>
                <w:sz w:val="18"/>
                <w:szCs w:val="18"/>
                <w:lang w:val="cs-CZ"/>
              </w:rPr>
            </w:pPr>
            <w:r w:rsidRPr="003B6E11">
              <w:rPr>
                <w:noProof/>
                <w:sz w:val="18"/>
                <w:lang w:val="cs-CZ"/>
              </w:rPr>
              <w:t>Ovládací stanoviště, schodišťové šachty, shromažďovací prostory a systémy odvádění kouře</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19.12</w:t>
            </w: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8 písm. d)</w:t>
            </w:r>
          </w:p>
        </w:tc>
        <w:tc>
          <w:tcPr>
            <w:tcW w:w="3296" w:type="dxa"/>
            <w:shd w:val="clear" w:color="auto" w:fill="auto"/>
          </w:tcPr>
          <w:p w:rsidR="00E82B25" w:rsidRPr="003B6E11" w:rsidRDefault="00E82B25" w:rsidP="002D015D">
            <w:pPr>
              <w:tabs>
                <w:tab w:val="left" w:pos="1080"/>
              </w:tabs>
              <w:spacing w:before="140" w:after="140" w:line="240" w:lineRule="atLeast"/>
              <w:rPr>
                <w:rFonts w:cs="Arial"/>
                <w:sz w:val="18"/>
                <w:szCs w:val="18"/>
                <w:lang w:val="cs-CZ"/>
              </w:rPr>
            </w:pPr>
            <w:r w:rsidRPr="003B6E11">
              <w:rPr>
                <w:sz w:val="18"/>
                <w:lang w:val="cs-CZ"/>
              </w:rPr>
              <w:t>Instalace požárních čerpadel</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Obě čerpadla: 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9</w:t>
            </w:r>
          </w:p>
        </w:tc>
        <w:tc>
          <w:tcPr>
            <w:tcW w:w="3296" w:type="dxa"/>
            <w:shd w:val="clear" w:color="auto" w:fill="auto"/>
          </w:tcPr>
          <w:p w:rsidR="00E82B25" w:rsidRPr="003B6E11" w:rsidRDefault="00E82B25" w:rsidP="002D015D">
            <w:pPr>
              <w:tabs>
                <w:tab w:val="left" w:pos="1080"/>
              </w:tabs>
              <w:spacing w:before="140" w:after="140" w:line="240" w:lineRule="atLeast"/>
              <w:rPr>
                <w:rFonts w:cs="Arial"/>
                <w:sz w:val="18"/>
                <w:szCs w:val="18"/>
                <w:lang w:val="cs-CZ"/>
              </w:rPr>
            </w:pPr>
            <w:r w:rsidRPr="003B6E11">
              <w:rPr>
                <w:noProof/>
                <w:sz w:val="18"/>
                <w:lang w:val="cs-CZ"/>
              </w:rPr>
              <w:t>Požární soustava ve strojovnách</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19.14</w:t>
            </w: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tabs>
                <w:tab w:val="left" w:pos="1080"/>
              </w:tabs>
              <w:spacing w:before="160" w:after="160" w:line="240" w:lineRule="atLeast"/>
              <w:rPr>
                <w:rFonts w:cs="Arial"/>
                <w:sz w:val="18"/>
                <w:szCs w:val="18"/>
                <w:lang w:val="cs-CZ"/>
              </w:rPr>
            </w:pPr>
            <w:r w:rsidRPr="003B6E11">
              <w:rPr>
                <w:noProof/>
                <w:sz w:val="18"/>
                <w:lang w:val="cs-CZ"/>
              </w:rPr>
              <w:t>Sběrné nádrže na odpadní vody a zařízení na odstraňování odpadních vod</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noProof/>
                <w:sz w:val="18"/>
                <w:lang w:val="cs-CZ"/>
              </w:rPr>
              <w:t>U kajutových osobních lodí s nejvýše 50 lůžky a u výletních osobních lodí: 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top w:val="nil"/>
              <w:bottom w:val="single" w:sz="4" w:space="0" w:color="auto"/>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Požadavky na sběrné nádrže na odpadní vody</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U kajutových osobních lodí s nejvýše 50 lůžky a u výletních osobních lodí s nejvýše 50 cestujícími: 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19.15</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Stabilita v narušeném stavu</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6096" w:type="dxa"/>
            <w:gridSpan w:val="3"/>
            <w:shd w:val="clear" w:color="auto" w:fill="auto"/>
          </w:tcPr>
          <w:p w:rsidR="00E82B25" w:rsidRPr="003B6E11" w:rsidRDefault="00E82B25" w:rsidP="002D015D">
            <w:pPr>
              <w:tabs>
                <w:tab w:val="left" w:pos="1080"/>
              </w:tabs>
              <w:spacing w:before="60" w:after="60" w:line="240" w:lineRule="atLeast"/>
              <w:jc w:val="center"/>
              <w:rPr>
                <w:rFonts w:cs="Arial"/>
                <w:sz w:val="18"/>
                <w:szCs w:val="18"/>
                <w:lang w:val="cs-CZ"/>
              </w:rPr>
            </w:pPr>
            <w:r w:rsidRPr="003B6E11">
              <w:rPr>
                <w:b/>
                <w:sz w:val="18"/>
                <w:lang w:val="cs-CZ"/>
              </w:rPr>
              <w:t>KAPITOLA 21</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trHeight w:val="1156"/>
          <w:jc w:val="center"/>
        </w:trPr>
        <w:tc>
          <w:tcPr>
            <w:tcW w:w="1342" w:type="dxa"/>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21.01</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Speciální navijáky nebo rovnocenná spojovací zařízení určená k tlačení</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Pro plavidla s osvědčením před 1.1.1995 pro tlačení bez správného zabezpečovacího zařízení: 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3 poslední věta</w:t>
            </w: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Požadavky na pohonné jednotky</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6096" w:type="dxa"/>
            <w:gridSpan w:val="3"/>
            <w:shd w:val="clear" w:color="auto" w:fill="auto"/>
          </w:tcPr>
          <w:p w:rsidR="00E82B25" w:rsidRPr="003B6E11" w:rsidRDefault="00E82B25" w:rsidP="002D015D">
            <w:pPr>
              <w:tabs>
                <w:tab w:val="left" w:pos="1080"/>
              </w:tabs>
              <w:spacing w:before="60" w:after="60" w:line="240" w:lineRule="atLeast"/>
              <w:jc w:val="center"/>
              <w:rPr>
                <w:rFonts w:cs="Arial"/>
                <w:sz w:val="18"/>
                <w:szCs w:val="18"/>
                <w:lang w:val="cs-CZ"/>
              </w:rPr>
            </w:pPr>
            <w:r w:rsidRPr="003B6E11">
              <w:rPr>
                <w:b/>
                <w:sz w:val="18"/>
                <w:lang w:val="cs-CZ"/>
              </w:rPr>
              <w:t>KAPITOLA 22</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22.02</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Dodatečné požadavky</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Platí stejná přechodná ustanovení jako ustanovení uvedená v příslušném článku.</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6096" w:type="dxa"/>
            <w:gridSpan w:val="3"/>
            <w:shd w:val="clear" w:color="auto" w:fill="auto"/>
          </w:tcPr>
          <w:p w:rsidR="00E82B25" w:rsidRPr="003B6E11" w:rsidRDefault="00E82B25" w:rsidP="002D015D">
            <w:pPr>
              <w:tabs>
                <w:tab w:val="left" w:pos="1080"/>
              </w:tabs>
              <w:spacing w:before="60" w:after="60" w:line="240" w:lineRule="atLeast"/>
              <w:jc w:val="center"/>
              <w:rPr>
                <w:rFonts w:cs="Arial"/>
                <w:sz w:val="18"/>
                <w:szCs w:val="18"/>
                <w:lang w:val="cs-CZ"/>
              </w:rPr>
            </w:pPr>
            <w:r w:rsidRPr="003B6E11">
              <w:rPr>
                <w:b/>
                <w:sz w:val="18"/>
                <w:lang w:val="cs-CZ"/>
              </w:rPr>
              <w:t>KAPITOLA 25</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25.01</w:t>
            </w:r>
          </w:p>
        </w:tc>
        <w:tc>
          <w:tcPr>
            <w:tcW w:w="1458" w:type="dxa"/>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sz w:val="18"/>
                <w:lang w:val="cs-CZ"/>
              </w:rPr>
              <w:t>Použití čl. 7.01 odst. 2, čl. 8.05 odst. 13 a článku 8.10</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U námořních lodí, jež nejsou určeny k přepravě látek uvedených v ADN a jejichž kýl byl položen před 1.10.1987: 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tcBorders>
              <w:top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sz w:val="18"/>
                <w:lang w:val="cs-CZ"/>
              </w:rPr>
              <w:t>Použití čl. 8.09 odst. 2</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1.1.2010</w:t>
            </w:r>
          </w:p>
        </w:tc>
      </w:tr>
      <w:tr w:rsidR="00E82B25" w:rsidRPr="003B6E11" w:rsidTr="002D015D">
        <w:trPr>
          <w:cantSplit/>
          <w:jc w:val="center"/>
        </w:trPr>
        <w:tc>
          <w:tcPr>
            <w:tcW w:w="6096" w:type="dxa"/>
            <w:gridSpan w:val="3"/>
            <w:shd w:val="clear" w:color="auto" w:fill="auto"/>
          </w:tcPr>
          <w:p w:rsidR="00E82B25" w:rsidRPr="003B6E11" w:rsidRDefault="00E82B25" w:rsidP="002D015D">
            <w:pPr>
              <w:tabs>
                <w:tab w:val="left" w:pos="1080"/>
              </w:tabs>
              <w:spacing w:before="60" w:after="60" w:line="240" w:lineRule="atLeast"/>
              <w:jc w:val="center"/>
              <w:rPr>
                <w:rFonts w:cs="Arial"/>
                <w:sz w:val="18"/>
                <w:szCs w:val="18"/>
                <w:lang w:val="cs-CZ"/>
              </w:rPr>
            </w:pPr>
            <w:r w:rsidRPr="003B6E11">
              <w:rPr>
                <w:b/>
                <w:sz w:val="18"/>
                <w:lang w:val="cs-CZ"/>
              </w:rPr>
              <w:t>KAPITOLA 26</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26.01</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U rekreačních plavidel postavených před rokem 1.1.1995: 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1.1.2035</w:t>
            </w:r>
          </w:p>
        </w:tc>
      </w:tr>
    </w:tbl>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hanging="567"/>
        <w:rPr>
          <w:lang w:val="cs-CZ"/>
        </w:rPr>
        <w:sectPr w:rsidR="00E82B25" w:rsidRPr="003B6E11" w:rsidSect="001E2331">
          <w:headerReference w:type="default" r:id="rId32"/>
          <w:headerReference w:type="first" r:id="rId33"/>
          <w:footnotePr>
            <w:numRestart w:val="eachPage"/>
          </w:footnotePr>
          <w:pgSz w:w="16838" w:h="11906" w:orient="landscape" w:code="9"/>
          <w:pgMar w:top="1418" w:right="1418" w:bottom="1418" w:left="1418" w:header="709" w:footer="709" w:gutter="0"/>
          <w:cols w:space="709"/>
          <w:titlePg/>
          <w:docGrid w:linePitch="272"/>
        </w:sectPr>
      </w:pPr>
    </w:p>
    <w:p w:rsidR="00E82B25" w:rsidRPr="003B6E11" w:rsidRDefault="00E82B25" w:rsidP="00E82B25">
      <w:pPr>
        <w:spacing w:line="240" w:lineRule="atLeast"/>
        <w:ind w:left="567" w:hanging="567"/>
        <w:rPr>
          <w:lang w:val="cs-CZ"/>
        </w:rPr>
      </w:pPr>
    </w:p>
    <w:p w:rsidR="00E82B25" w:rsidRPr="003B6E11" w:rsidRDefault="00E82B25" w:rsidP="00E82B25">
      <w:pPr>
        <w:pStyle w:val="ES-Titre3"/>
        <w:rPr>
          <w:lang w:val="cs-CZ"/>
        </w:rPr>
      </w:pPr>
      <w:bookmarkStart w:id="562" w:name="_Toc491854277"/>
      <w:bookmarkStart w:id="563" w:name="_Toc535417183"/>
      <w:r w:rsidRPr="003B6E11">
        <w:rPr>
          <w:lang w:val="cs-CZ"/>
        </w:rPr>
        <w:t>Článek 32.03</w:t>
      </w:r>
      <w:bookmarkEnd w:id="562"/>
      <w:bookmarkEnd w:id="563"/>
    </w:p>
    <w:p w:rsidR="00E82B25" w:rsidRPr="003B6E11" w:rsidRDefault="00E82B25" w:rsidP="00E82B25">
      <w:pPr>
        <w:pStyle w:val="ES-Titre3a"/>
        <w:rPr>
          <w:lang w:val="cs-CZ"/>
        </w:rPr>
      </w:pPr>
      <w:bookmarkStart w:id="564" w:name="_Toc421775887"/>
      <w:bookmarkStart w:id="565" w:name="_Toc491854278"/>
      <w:bookmarkStart w:id="566" w:name="_Toc535417184"/>
      <w:r w:rsidRPr="003B6E11">
        <w:rPr>
          <w:lang w:val="cs-CZ"/>
        </w:rPr>
        <w:t>Dodatečná přechodná ustanovení pro plavidla, jejichž kýl byl položen ke dni 1. dubna 1976 nebo dříve</w:t>
      </w:r>
      <w:bookmarkEnd w:id="564"/>
      <w:bookmarkEnd w:id="565"/>
      <w:bookmarkEnd w:id="566"/>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hanging="567"/>
        <w:rPr>
          <w:lang w:val="cs-CZ"/>
        </w:rPr>
      </w:pPr>
      <w:r w:rsidRPr="003B6E11">
        <w:rPr>
          <w:lang w:val="cs-CZ"/>
        </w:rPr>
        <w:t>1.</w:t>
      </w:r>
      <w:r w:rsidRPr="003B6E11">
        <w:rPr>
          <w:lang w:val="cs-CZ"/>
        </w:rPr>
        <w:tab/>
        <w:t>Na plavidla, jejichž kýl byl položen ke dni 1. dubna 1976 nebo dříve, se kromě přechodných ustanovení článku 32.02 vztahují rovněž níže uvedená ustanovení.</w:t>
      </w:r>
    </w:p>
    <w:p w:rsidR="00E82B25" w:rsidRPr="003B6E11" w:rsidRDefault="00E82B25" w:rsidP="00E82B25">
      <w:pPr>
        <w:spacing w:line="240" w:lineRule="atLeast"/>
        <w:ind w:left="567" w:hanging="567"/>
        <w:rPr>
          <w:rFonts w:cs="Arial"/>
          <w:sz w:val="18"/>
          <w:szCs w:val="18"/>
          <w:lang w:val="cs-CZ"/>
        </w:rPr>
      </w:pPr>
    </w:p>
    <w:p w:rsidR="00E82B25" w:rsidRPr="003B6E11" w:rsidRDefault="00E82B25" w:rsidP="00E82B25">
      <w:pPr>
        <w:spacing w:line="240" w:lineRule="atLeast"/>
        <w:ind w:left="567" w:hanging="567"/>
        <w:rPr>
          <w:lang w:val="cs-CZ"/>
        </w:rPr>
      </w:pPr>
      <w:r w:rsidRPr="003B6E11">
        <w:rPr>
          <w:lang w:val="cs-CZ"/>
        </w:rPr>
        <w:t>2.</w:t>
      </w:r>
      <w:r w:rsidRPr="003B6E11">
        <w:rPr>
          <w:lang w:val="cs-CZ"/>
        </w:rPr>
        <w:tab/>
        <w:t>V tabulce platí tyto definice:</w:t>
      </w:r>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rPr>
          <w:lang w:val="cs-CZ"/>
        </w:rPr>
      </w:pPr>
      <w:r w:rsidRPr="003B6E11">
        <w:rPr>
          <w:lang w:val="cs-CZ"/>
        </w:rPr>
        <w:t xml:space="preserve">„V.P.“: Ustanovení se nevztahuje na plavidla, která jsou již v provozu, nejsou-li dotyčné části měněny nebo přestavovány, tj. ustanovení se vztahuje pouze na </w:t>
      </w:r>
      <w:r w:rsidRPr="003B6E11">
        <w:rPr>
          <w:u w:val="single"/>
          <w:lang w:val="cs-CZ"/>
        </w:rPr>
        <w:t>V</w:t>
      </w:r>
      <w:r w:rsidRPr="003B6E11">
        <w:rPr>
          <w:lang w:val="cs-CZ"/>
        </w:rPr>
        <w:t xml:space="preserve">ýměnu nebo </w:t>
      </w:r>
      <w:r w:rsidRPr="003B6E11">
        <w:rPr>
          <w:u w:val="single"/>
          <w:lang w:val="cs-CZ"/>
        </w:rPr>
        <w:t>P</w:t>
      </w:r>
      <w:r w:rsidRPr="003B6E11">
        <w:rPr>
          <w:lang w:val="cs-CZ"/>
        </w:rPr>
        <w:t xml:space="preserve">řestavbu dotyčných částí nebo prostor. Jsou-li stávající části nahrazovány náhradními součástmi se stejnou technologií nebo stejného typu, nepředstavuje to výměnu („V“) ve smyslu přechodných ustanovení. </w:t>
      </w:r>
    </w:p>
    <w:p w:rsidR="00E82B25" w:rsidRPr="003B6E11" w:rsidRDefault="00E82B25" w:rsidP="00E82B25">
      <w:pPr>
        <w:spacing w:line="240" w:lineRule="atLeast"/>
        <w:ind w:left="567"/>
        <w:rPr>
          <w:lang w:val="cs-CZ"/>
        </w:rPr>
      </w:pPr>
    </w:p>
    <w:p w:rsidR="00E82B25" w:rsidRPr="003B6E11" w:rsidRDefault="00E82B25" w:rsidP="00E82B25">
      <w:pPr>
        <w:tabs>
          <w:tab w:val="left" w:pos="4678"/>
        </w:tabs>
        <w:spacing w:line="240" w:lineRule="atLeast"/>
        <w:ind w:left="567"/>
        <w:rPr>
          <w:lang w:val="cs-CZ"/>
        </w:rPr>
      </w:pPr>
      <w:r w:rsidRPr="003B6E11">
        <w:rPr>
          <w:lang w:val="cs-CZ"/>
        </w:rPr>
        <w:t>„Vystavení nebo obnovení osvědčení plavidla vnitrozemské plavby“: Soulad s ustanovením musí být zajištěn do doby vystavení osvědčení plavidla vnitrozemské plavby nebo jeho obnovení po vstupu ustanovení v platnost.</w:t>
      </w:r>
    </w:p>
    <w:p w:rsidR="00E82B25" w:rsidRPr="003B6E11" w:rsidRDefault="00E82B25" w:rsidP="00E82B25">
      <w:pPr>
        <w:rPr>
          <w:lang w:val="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458"/>
        <w:gridCol w:w="3296"/>
        <w:gridCol w:w="6521"/>
        <w:gridCol w:w="1276"/>
      </w:tblGrid>
      <w:tr w:rsidR="00E82B25" w:rsidRPr="003B6E11" w:rsidTr="002D015D">
        <w:trPr>
          <w:cantSplit/>
          <w:tblHeader/>
          <w:jc w:val="center"/>
        </w:trPr>
        <w:tc>
          <w:tcPr>
            <w:tcW w:w="2800" w:type="dxa"/>
            <w:gridSpan w:val="2"/>
            <w:tcBorders>
              <w:bottom w:val="single" w:sz="4" w:space="0" w:color="auto"/>
            </w:tcBorders>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i/>
                <w:sz w:val="18"/>
                <w:lang w:val="cs-CZ"/>
              </w:rPr>
              <w:t>Článek a odstavec</w:t>
            </w:r>
          </w:p>
        </w:tc>
        <w:tc>
          <w:tcPr>
            <w:tcW w:w="3296" w:type="dxa"/>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i/>
                <w:sz w:val="18"/>
                <w:lang w:val="cs-CZ"/>
              </w:rPr>
              <w:t>Obsah</w:t>
            </w:r>
          </w:p>
        </w:tc>
        <w:tc>
          <w:tcPr>
            <w:tcW w:w="7797" w:type="dxa"/>
            <w:gridSpan w:val="2"/>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i/>
                <w:sz w:val="18"/>
                <w:lang w:val="cs-CZ"/>
              </w:rPr>
              <w:t>Lhůta a poznámky</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20" w:after="120" w:line="240" w:lineRule="atLeast"/>
              <w:jc w:val="center"/>
              <w:rPr>
                <w:rFonts w:cs="Arial"/>
                <w:b/>
                <w:sz w:val="18"/>
                <w:szCs w:val="18"/>
                <w:lang w:val="cs-CZ"/>
              </w:rPr>
            </w:pPr>
            <w:r w:rsidRPr="003B6E11">
              <w:rPr>
                <w:b/>
                <w:sz w:val="18"/>
                <w:lang w:val="cs-CZ"/>
              </w:rPr>
              <w:t>KAPITOLA 3</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3.04</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Společné plochy nádrží a obytných prostor a prostor pro cestující</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1.1.2035</w:t>
            </w: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7</w:t>
            </w:r>
            <w:r w:rsidRPr="003B6E11">
              <w:rPr>
                <w:color w:val="000000"/>
                <w:sz w:val="18"/>
                <w:vertAlign w:val="superscript"/>
                <w:lang w:val="cs-CZ"/>
              </w:rPr>
              <w:footnoteReference w:id="34"/>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Nejvyšší přípustná hladina akustického tlaku</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Obnova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1.1.2020</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20" w:after="120" w:line="240" w:lineRule="atLeast"/>
              <w:jc w:val="center"/>
              <w:rPr>
                <w:rFonts w:cs="Arial"/>
                <w:sz w:val="18"/>
                <w:szCs w:val="18"/>
                <w:lang w:val="cs-CZ"/>
              </w:rPr>
            </w:pPr>
            <w:r w:rsidRPr="003B6E11">
              <w:rPr>
                <w:b/>
                <w:sz w:val="18"/>
                <w:lang w:val="cs-CZ"/>
              </w:rPr>
              <w:t>KAPITOLA 4</w:t>
            </w:r>
          </w:p>
        </w:tc>
        <w:tc>
          <w:tcPr>
            <w:tcW w:w="6521" w:type="dxa"/>
            <w:shd w:val="clear" w:color="auto" w:fill="auto"/>
          </w:tcPr>
          <w:p w:rsidR="00E82B25" w:rsidRPr="003B6E11" w:rsidRDefault="00E82B25" w:rsidP="002D015D">
            <w:pPr>
              <w:spacing w:before="120" w:after="120" w:line="240" w:lineRule="atLeast"/>
              <w:rPr>
                <w:rFonts w:cs="Arial"/>
                <w:b/>
                <w:sz w:val="18"/>
                <w:szCs w:val="18"/>
                <w:lang w:val="cs-CZ"/>
              </w:rPr>
            </w:pP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4.01</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Bezpečnostní vzdálenost</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Obnova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4.02</w:t>
            </w:r>
          </w:p>
        </w:tc>
        <w:tc>
          <w:tcPr>
            <w:tcW w:w="1458" w:type="dxa"/>
            <w:shd w:val="clear" w:color="auto" w:fill="auto"/>
          </w:tcPr>
          <w:p w:rsidR="00E82B25" w:rsidRPr="003B6E11" w:rsidRDefault="00E82B25" w:rsidP="002D015D">
            <w:pPr>
              <w:spacing w:before="120" w:after="120" w:line="240" w:lineRule="atLeast"/>
              <w:jc w:val="center"/>
              <w:rPr>
                <w:rFonts w:cs="Arial"/>
                <w:sz w:val="18"/>
                <w:szCs w:val="18"/>
                <w:lang w:val="cs-CZ"/>
              </w:rPr>
            </w:pP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Volný bok</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Obnova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4.03</w:t>
            </w:r>
          </w:p>
        </w:tc>
        <w:tc>
          <w:tcPr>
            <w:tcW w:w="1458" w:type="dxa"/>
            <w:shd w:val="clear" w:color="auto" w:fill="auto"/>
          </w:tcPr>
          <w:p w:rsidR="00E82B25" w:rsidRPr="003B6E11" w:rsidRDefault="00E82B25" w:rsidP="002D015D">
            <w:pPr>
              <w:spacing w:before="120" w:after="120" w:line="240" w:lineRule="atLeast"/>
              <w:jc w:val="center"/>
              <w:rPr>
                <w:rFonts w:cs="Arial"/>
                <w:sz w:val="18"/>
                <w:szCs w:val="18"/>
                <w:lang w:val="cs-CZ"/>
              </w:rPr>
            </w:pP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Minimální volný bok</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Obnova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00" w:after="100" w:line="240" w:lineRule="atLeast"/>
              <w:jc w:val="center"/>
              <w:rPr>
                <w:rFonts w:cs="Arial"/>
                <w:sz w:val="18"/>
                <w:szCs w:val="18"/>
                <w:lang w:val="cs-CZ"/>
              </w:rPr>
            </w:pPr>
            <w:r w:rsidRPr="003B6E11">
              <w:rPr>
                <w:b/>
                <w:sz w:val="18"/>
                <w:lang w:val="cs-CZ"/>
              </w:rPr>
              <w:t>KAPITOLA 7</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7.01</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2</w:t>
            </w:r>
            <w:r w:rsidRPr="003B6E11">
              <w:rPr>
                <w:color w:val="000000"/>
                <w:sz w:val="18"/>
                <w:vertAlign w:val="superscript"/>
                <w:lang w:val="cs-CZ"/>
              </w:rPr>
              <w:footnoteReference w:id="35"/>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Akustický tlak vytvářený lodí</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1.1.2020</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00" w:after="100" w:line="240" w:lineRule="atLeast"/>
              <w:jc w:val="center"/>
              <w:rPr>
                <w:rFonts w:cs="Arial"/>
                <w:sz w:val="18"/>
                <w:szCs w:val="18"/>
                <w:lang w:val="cs-CZ"/>
              </w:rPr>
            </w:pPr>
            <w:r w:rsidRPr="003B6E11">
              <w:rPr>
                <w:b/>
                <w:sz w:val="18"/>
                <w:lang w:val="cs-CZ"/>
              </w:rPr>
              <w:t>KAPITOLA 8</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8.08</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3 a 4</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Minimální výkon drenážních čerpadel a vnitřní průměr drenážního potrubí</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8.10</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2</w:t>
            </w:r>
            <w:r w:rsidRPr="003B6E11">
              <w:rPr>
                <w:color w:val="000000"/>
                <w:sz w:val="18"/>
                <w:vertAlign w:val="superscript"/>
                <w:lang w:val="cs-CZ"/>
              </w:rPr>
              <w:footnoteReference w:id="36"/>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Hluk vydávaný lodí během plavby</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1.1.2020</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00" w:after="100" w:line="240" w:lineRule="atLeast"/>
              <w:jc w:val="center"/>
              <w:rPr>
                <w:rFonts w:cs="Arial"/>
                <w:sz w:val="18"/>
                <w:szCs w:val="18"/>
                <w:lang w:val="cs-CZ"/>
              </w:rPr>
            </w:pPr>
            <w:r w:rsidRPr="003B6E11">
              <w:rPr>
                <w:b/>
                <w:sz w:val="18"/>
                <w:lang w:val="cs-CZ"/>
              </w:rPr>
              <w:t>KAPITOLA 10</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10.01</w:t>
            </w:r>
            <w:r w:rsidRPr="003B6E11">
              <w:rPr>
                <w:color w:val="000000"/>
                <w:sz w:val="18"/>
                <w:vertAlign w:val="superscript"/>
                <w:lang w:val="cs-CZ"/>
              </w:rPr>
              <w:footnoteReference w:id="37"/>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 xml:space="preserve">odst. 1 </w:t>
            </w:r>
            <w:r w:rsidRPr="003B6E11">
              <w:rPr>
                <w:rFonts w:cs="Arial"/>
                <w:sz w:val="18"/>
                <w:szCs w:val="18"/>
                <w:lang w:val="cs-CZ"/>
              </w:rPr>
              <w:br/>
            </w:r>
            <w:r w:rsidRPr="003B6E11">
              <w:rPr>
                <w:sz w:val="18"/>
                <w:lang w:val="cs-CZ"/>
              </w:rPr>
              <w:t xml:space="preserve">první věta, </w:t>
            </w:r>
            <w:r w:rsidRPr="003B6E11">
              <w:rPr>
                <w:rFonts w:cs="Arial"/>
                <w:sz w:val="18"/>
                <w:szCs w:val="18"/>
                <w:lang w:val="cs-CZ"/>
              </w:rPr>
              <w:br/>
            </w:r>
            <w:r w:rsidRPr="003B6E11">
              <w:rPr>
                <w:sz w:val="18"/>
                <w:lang w:val="cs-CZ"/>
              </w:rPr>
              <w:t>odst. 2 až 4</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Požadavky na elektrická zařízení</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1.1.2020</w:t>
            </w: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10.03</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Ochrana před dotekem, vniknutím pevných těles a průsakem vody</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10.06</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Nejvyšší přípustná napětí</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10.10</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Generátory, motory a transformátory</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10.11</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Umístění akumulátorů</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10.12</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Spínací a ovládací zařízení</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10.14</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Montážní příslušenství</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10.15</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Kabely</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10.17</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Navigační světla</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1.1.2015</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b/>
                <w:sz w:val="18"/>
                <w:lang w:val="cs-CZ"/>
              </w:rPr>
              <w:t>KAPITOLA 15</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15.02</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5</w:t>
            </w:r>
            <w:r w:rsidRPr="003B6E11">
              <w:rPr>
                <w:color w:val="000000"/>
                <w:sz w:val="18"/>
                <w:vertAlign w:val="superscript"/>
                <w:lang w:val="cs-CZ"/>
              </w:rPr>
              <w:footnoteReference w:id="38"/>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Hluk a vibrace v obytných prostorech</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1.1.2020</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b/>
                <w:sz w:val="18"/>
                <w:lang w:val="cs-CZ"/>
              </w:rPr>
              <w:t>KAPITOLA 19</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19.02</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Umístění kolizní a záďové přepážky</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5, odst. 6 první věta, odst. 7 až 11 a 13</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Rovina zbytkového výtlaku, neexistuje-li přepážková paluba</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16</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Vodotěsná okna</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19.04</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Bezpečnostní vzdálenost, volný bok, ponoření</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19.05</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Počet cestujících</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1.1.2045</w:t>
            </w:r>
          </w:p>
        </w:tc>
      </w:tr>
      <w:tr w:rsidR="00E82B25" w:rsidRPr="003B6E11" w:rsidTr="002D015D">
        <w:trPr>
          <w:cantSplit/>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19.10</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4, 6, 7, 8 a 11</w:t>
            </w: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Nouzový generátor elektrické energie</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1.1.2045</w:t>
            </w:r>
          </w:p>
        </w:tc>
      </w:tr>
    </w:tbl>
    <w:p w:rsidR="00E82B25" w:rsidRPr="003B6E11" w:rsidRDefault="00E82B25" w:rsidP="00E82B25">
      <w:pPr>
        <w:spacing w:line="240" w:lineRule="atLeast"/>
        <w:ind w:left="567" w:hanging="567"/>
        <w:rPr>
          <w:lang w:val="cs-CZ"/>
        </w:rPr>
      </w:pPr>
    </w:p>
    <w:p w:rsidR="00E82B25" w:rsidRPr="003B6E11" w:rsidRDefault="00E82B25" w:rsidP="00E82B25">
      <w:pPr>
        <w:rPr>
          <w:lang w:val="cs-CZ"/>
        </w:rPr>
      </w:pPr>
      <w:r w:rsidRPr="003B6E11">
        <w:rPr>
          <w:lang w:val="cs-CZ"/>
        </w:rPr>
        <w:br w:type="page"/>
      </w:r>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hanging="567"/>
        <w:rPr>
          <w:lang w:val="cs-CZ"/>
        </w:rPr>
      </w:pPr>
      <w:r w:rsidRPr="003B6E11">
        <w:rPr>
          <w:lang w:val="cs-CZ"/>
        </w:rPr>
        <w:t>3.</w:t>
      </w:r>
      <w:r w:rsidRPr="003B6E11">
        <w:rPr>
          <w:lang w:val="cs-CZ"/>
        </w:rPr>
        <w:tab/>
        <w:t>Ustanovení čl. 19.11 odst. 3 první věty a odstavce 6 se vztahuje na výletní osobní lodě, jejichž kýl byl položen ke dni 1. dubna 1976 nebo dříve, do prvního obnovení osvědčení plavidla vnitrozemské plavby po 1. 1. 2045 s tím, že pouze barvy, laky, nátěry a jiné materiály použité na povrchových plochách obrácených k únikovým cestám a jiné materiály k ošetření povrchů obkladů musí být ohnivzdorné a nesmí vznikat kouř nebo toxické výpary v nebezpečném rozsahu.</w:t>
      </w:r>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hanging="567"/>
        <w:rPr>
          <w:noProof/>
          <w:lang w:val="cs-CZ"/>
        </w:rPr>
      </w:pPr>
      <w:r w:rsidRPr="003B6E11">
        <w:rPr>
          <w:lang w:val="cs-CZ"/>
        </w:rPr>
        <w:t>4.</w:t>
      </w:r>
      <w:r w:rsidRPr="003B6E11">
        <w:rPr>
          <w:lang w:val="cs-CZ"/>
        </w:rPr>
        <w:tab/>
        <w:t>Ustanovení čl. 19.11 odst. 12 se vztahuje na výletní osobní lodě, jejichž kýl byl položen ke dni 1. dubna 1976 nebo dříve, do obnovení osvědčení plavidla vnitrozemské plavby po 1. 1. 2045 s tím, že postačuje, pokud místo schodů v podobě ocelové nosné konstrukce jsou schody sloužící jako únikové cesty navrženy tak, aby v případě požáru byly použitelné po přibližně stejnou dobu jako schody v podobě ocelové nosné konstrukce.</w:t>
      </w:r>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hanging="567"/>
        <w:rPr>
          <w:lang w:val="cs-CZ"/>
        </w:rPr>
      </w:pPr>
    </w:p>
    <w:p w:rsidR="00E82B25" w:rsidRPr="003B6E11" w:rsidRDefault="00E82B25" w:rsidP="00E82B25">
      <w:pPr>
        <w:pStyle w:val="ES-Titre3"/>
        <w:rPr>
          <w:lang w:val="cs-CZ"/>
        </w:rPr>
      </w:pPr>
      <w:bookmarkStart w:id="567" w:name="_Toc491854279"/>
      <w:bookmarkStart w:id="568" w:name="_Toc535417185"/>
      <w:r w:rsidRPr="003B6E11">
        <w:rPr>
          <w:lang w:val="cs-CZ"/>
        </w:rPr>
        <w:t>Článek 32.04</w:t>
      </w:r>
      <w:bookmarkEnd w:id="567"/>
      <w:bookmarkEnd w:id="568"/>
    </w:p>
    <w:p w:rsidR="00E82B25" w:rsidRPr="003B6E11" w:rsidRDefault="00E82B25" w:rsidP="00E82B25">
      <w:pPr>
        <w:pStyle w:val="ES-Titre3a"/>
        <w:rPr>
          <w:lang w:val="cs-CZ"/>
        </w:rPr>
      </w:pPr>
      <w:bookmarkStart w:id="569" w:name="_Toc421775889"/>
      <w:bookmarkStart w:id="570" w:name="_Toc491854280"/>
      <w:bookmarkStart w:id="571" w:name="_Toc535417186"/>
      <w:r w:rsidRPr="003B6E11">
        <w:rPr>
          <w:lang w:val="cs-CZ"/>
        </w:rPr>
        <w:t xml:space="preserve">Další </w:t>
      </w:r>
      <w:bookmarkEnd w:id="569"/>
      <w:r w:rsidRPr="003B6E11">
        <w:rPr>
          <w:lang w:val="cs-CZ"/>
        </w:rPr>
        <w:t>přechodná ustanovení</w:t>
      </w:r>
      <w:bookmarkEnd w:id="570"/>
      <w:bookmarkEnd w:id="571"/>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rPr>
          <w:lang w:val="cs-CZ"/>
        </w:rPr>
      </w:pPr>
      <w:r w:rsidRPr="003B6E11">
        <w:rPr>
          <w:lang w:val="cs-CZ"/>
        </w:rPr>
        <w:t>1.</w:t>
      </w:r>
      <w:r w:rsidRPr="003B6E11">
        <w:rPr>
          <w:lang w:val="cs-CZ"/>
        </w:rPr>
        <w:tab/>
        <w:t>Ustanovení tohoto článku se použijí navíc k přechodným ustanovením článků 32.02 a 32.03.</w:t>
      </w:r>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hanging="567"/>
        <w:rPr>
          <w:lang w:val="cs-CZ"/>
        </w:rPr>
      </w:pPr>
      <w:r w:rsidRPr="003B6E11">
        <w:rPr>
          <w:lang w:val="cs-CZ"/>
        </w:rPr>
        <w:t>2.</w:t>
      </w:r>
      <w:r w:rsidRPr="003B6E11">
        <w:rPr>
          <w:lang w:val="cs-CZ"/>
        </w:rPr>
        <w:tab/>
        <w:t>U plavidel, jejichž minimální volný bok byl stanoven podle článku 4.04 nařízení o inspekci plavby na Rýně ve znění platném ke dni 31. března 1983, může subjekt pověřený prohlídkami na žádost vlastníka stanovit volný bok podle článku 4.03 nařízení o inspekci plavby na Rýně ve znění platném ke dni 1. ledna 1995.</w:t>
      </w:r>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hanging="567"/>
        <w:rPr>
          <w:lang w:val="cs-CZ"/>
        </w:rPr>
      </w:pPr>
      <w:r w:rsidRPr="003B6E11">
        <w:rPr>
          <w:lang w:val="cs-CZ"/>
        </w:rPr>
        <w:t>3.</w:t>
      </w:r>
      <w:r w:rsidRPr="003B6E11">
        <w:rPr>
          <w:lang w:val="cs-CZ"/>
        </w:rPr>
        <w:tab/>
        <w:t>Plavidla, jejichž kýl byl položen před 1. červencem 1983, nemusí splňovat kapitolu 10 této normy, musí však splňovat alespoň kapitolu 6 nařízení o inspekci plavby na Rýně ve znění platném ke dni 31. března 1983.</w:t>
      </w:r>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hanging="567"/>
        <w:rPr>
          <w:lang w:val="cs-CZ"/>
        </w:rPr>
      </w:pPr>
      <w:r w:rsidRPr="003B6E11">
        <w:rPr>
          <w:lang w:val="cs-CZ"/>
        </w:rPr>
        <w:t>4.</w:t>
      </w:r>
      <w:r w:rsidRPr="003B6E11">
        <w:rPr>
          <w:lang w:val="cs-CZ"/>
        </w:rPr>
        <w:tab/>
        <w:t>Ustanovení čl. 19.06 odst. 3 písm. a) až e) a čl. 19.12 odst. 3 písm. a) ohledně ustanovení o délce hadice se vztahují pouze na osobní lodě, jejichž kýl byl položen po 30. září 1984, a na přestavby dotyčných prostor nejpozději při obnovení osvědčení o inspekci plavby na Rýně po 1. lednu 2045.</w:t>
      </w:r>
    </w:p>
    <w:p w:rsidR="00E82B25" w:rsidRPr="003B6E11" w:rsidRDefault="00E82B25" w:rsidP="00E82B25">
      <w:pPr>
        <w:spacing w:line="240" w:lineRule="atLeast"/>
        <w:ind w:left="567" w:hanging="567"/>
        <w:rPr>
          <w:lang w:val="cs-CZ"/>
        </w:rPr>
      </w:pPr>
    </w:p>
    <w:p w:rsidR="00E82B25" w:rsidRPr="003B6E11" w:rsidRDefault="00E82B25" w:rsidP="00E82B25">
      <w:pPr>
        <w:rPr>
          <w:lang w:val="cs-CZ"/>
        </w:rPr>
      </w:pPr>
      <w:r w:rsidRPr="003B6E11">
        <w:rPr>
          <w:lang w:val="cs-CZ"/>
        </w:rPr>
        <w:br w:type="page"/>
      </w:r>
    </w:p>
    <w:p w:rsidR="00E82B25" w:rsidRPr="003B6E11" w:rsidRDefault="00E82B25" w:rsidP="00E82B25">
      <w:pPr>
        <w:spacing w:line="240" w:lineRule="atLeast"/>
        <w:ind w:left="567" w:hanging="567"/>
        <w:rPr>
          <w:lang w:val="cs-CZ"/>
        </w:rPr>
      </w:pPr>
      <w:r w:rsidRPr="003B6E11">
        <w:rPr>
          <w:lang w:val="cs-CZ"/>
        </w:rPr>
        <w:t>5.</w:t>
      </w:r>
      <w:r w:rsidRPr="003B6E11">
        <w:rPr>
          <w:lang w:val="cs-CZ"/>
        </w:rPr>
        <w:tab/>
        <w:t>U konstrukčních požadavků, pokud toto ustanovení odkazuje:</w:t>
      </w:r>
    </w:p>
    <w:p w:rsidR="00E82B25" w:rsidRPr="003B6E11" w:rsidRDefault="00E82B25" w:rsidP="00E82B25">
      <w:pPr>
        <w:spacing w:before="60" w:line="240" w:lineRule="atLeast"/>
        <w:ind w:left="993" w:hanging="426"/>
        <w:rPr>
          <w:rFonts w:eastAsia="Batang"/>
          <w:szCs w:val="20"/>
          <w:lang w:val="cs-CZ"/>
        </w:rPr>
      </w:pPr>
      <w:r w:rsidRPr="003B6E11">
        <w:rPr>
          <w:lang w:val="cs-CZ"/>
        </w:rPr>
        <w:t>a)</w:t>
      </w:r>
      <w:r w:rsidRPr="003B6E11">
        <w:rPr>
          <w:lang w:val="cs-CZ"/>
        </w:rPr>
        <w:tab/>
        <w:t>v souvislosti s volně stojícími položkami zařízení, na evropskou nebo mezinárodní normu, mohou být takové položky zařízení po každém novém zveřejnění nebo revizi takové normy používány i nadále po dobu dalších 20 let od nového zveřejnění nebo revize této normy;</w:t>
      </w:r>
    </w:p>
    <w:p w:rsidR="00E82B25" w:rsidRPr="003B6E11" w:rsidRDefault="00E82B25" w:rsidP="00E82B25">
      <w:pPr>
        <w:adjustRightInd w:val="0"/>
        <w:spacing w:before="60" w:line="240" w:lineRule="atLeast"/>
        <w:ind w:left="993" w:hanging="426"/>
        <w:rPr>
          <w:rFonts w:eastAsia="Batang"/>
          <w:szCs w:val="20"/>
          <w:lang w:val="cs-CZ"/>
        </w:rPr>
      </w:pPr>
      <w:r w:rsidRPr="003B6E11">
        <w:rPr>
          <w:lang w:val="cs-CZ"/>
        </w:rPr>
        <w:t>b)</w:t>
      </w:r>
      <w:r w:rsidRPr="003B6E11">
        <w:rPr>
          <w:lang w:val="cs-CZ"/>
        </w:rPr>
        <w:tab/>
        <w:t>v souvislosti s pevně namontovanými částmi zařízení, na evropskou nebo mezinárodní normu, mohou se tyto části zařízení nadále používat, dokud nebudou vyměněny, nebo dokud nebudou dotčené oblasti přestavěny.</w:t>
      </w:r>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hanging="567"/>
        <w:rPr>
          <w:lang w:val="cs-CZ"/>
        </w:rPr>
      </w:pPr>
      <w:r w:rsidRPr="003B6E11">
        <w:rPr>
          <w:lang w:val="cs-CZ"/>
        </w:rPr>
        <w:t>6.</w:t>
      </w:r>
      <w:r w:rsidRPr="003B6E11">
        <w:rPr>
          <w:lang w:val="cs-CZ"/>
        </w:rPr>
        <w:tab/>
        <w:t>Rychlá plavidla, která měla ke dni 31. března 2003 platné osvědčení o inspekci plavby na Rýně, musí k 1. lednu 2023 splňovat ustanovení čl. 29.01 odst. 3, 29.02, 29.04, 29.05, 29.06 odst. 2, 29.10 odst. 2 a 3.</w:t>
      </w:r>
    </w:p>
    <w:p w:rsidR="00E82B25" w:rsidRPr="003B6E11" w:rsidRDefault="00E82B25" w:rsidP="00E82B25">
      <w:pPr>
        <w:rPr>
          <w:lang w:val="cs-CZ"/>
        </w:rPr>
      </w:pPr>
    </w:p>
    <w:p w:rsidR="00E82B25" w:rsidRPr="003B6E11" w:rsidRDefault="00E82B25" w:rsidP="00E82B25">
      <w:pPr>
        <w:rPr>
          <w:lang w:val="cs-CZ"/>
        </w:rPr>
      </w:pPr>
    </w:p>
    <w:p w:rsidR="00E82B25" w:rsidRPr="003B6E11" w:rsidRDefault="00E82B25" w:rsidP="00E82B25">
      <w:pPr>
        <w:pStyle w:val="ES-Titre3"/>
        <w:rPr>
          <w:lang w:val="cs-CZ"/>
        </w:rPr>
      </w:pPr>
      <w:bookmarkStart w:id="572" w:name="_Toc491854281"/>
      <w:bookmarkStart w:id="573" w:name="_Toc535417187"/>
      <w:r w:rsidRPr="003B6E11">
        <w:rPr>
          <w:lang w:val="cs-CZ"/>
        </w:rPr>
        <w:t>Článek 32.05</w:t>
      </w:r>
      <w:bookmarkEnd w:id="572"/>
      <w:bookmarkEnd w:id="573"/>
    </w:p>
    <w:p w:rsidR="00E82B25" w:rsidRPr="003B6E11" w:rsidRDefault="00E82B25" w:rsidP="00E82B25">
      <w:pPr>
        <w:pStyle w:val="ES-Titre3a"/>
        <w:rPr>
          <w:lang w:val="cs-CZ"/>
        </w:rPr>
      </w:pPr>
      <w:bookmarkStart w:id="574" w:name="_Toc421775891"/>
      <w:bookmarkStart w:id="575" w:name="_Toc491854282"/>
      <w:bookmarkStart w:id="576" w:name="_Toc535417188"/>
      <w:r w:rsidRPr="003B6E11">
        <w:rPr>
          <w:lang w:val="cs-CZ"/>
        </w:rPr>
        <w:t>Přechodná ustanovení pro plavidla, na něž se nevztahuje článek 32.01</w:t>
      </w:r>
      <w:bookmarkEnd w:id="574"/>
      <w:bookmarkEnd w:id="575"/>
      <w:bookmarkEnd w:id="576"/>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hanging="567"/>
        <w:rPr>
          <w:color w:val="000000" w:themeColor="text1"/>
          <w:lang w:val="cs-CZ"/>
        </w:rPr>
      </w:pPr>
      <w:r w:rsidRPr="003B6E11">
        <w:rPr>
          <w:color w:val="000000" w:themeColor="text1"/>
          <w:lang w:val="cs-CZ"/>
        </w:rPr>
        <w:t>1.</w:t>
      </w:r>
      <w:r w:rsidRPr="003B6E11">
        <w:rPr>
          <w:lang w:val="cs-CZ"/>
        </w:rPr>
        <w:tab/>
      </w:r>
      <w:r w:rsidRPr="003B6E11">
        <w:rPr>
          <w:color w:val="000000" w:themeColor="text1"/>
          <w:lang w:val="cs-CZ"/>
        </w:rPr>
        <w:t>Použijí se tato ustanovení:</w:t>
      </w:r>
    </w:p>
    <w:p w:rsidR="00E82B25" w:rsidRPr="003B6E11" w:rsidRDefault="00E82B25" w:rsidP="00E82B25">
      <w:pPr>
        <w:spacing w:before="60" w:line="240" w:lineRule="atLeast"/>
        <w:ind w:left="992"/>
        <w:rPr>
          <w:lang w:val="cs-CZ"/>
        </w:rPr>
      </w:pPr>
      <w:r w:rsidRPr="003B6E11">
        <w:rPr>
          <w:lang w:val="cs-CZ"/>
        </w:rPr>
        <w:t xml:space="preserve">a) </w:t>
      </w:r>
      <w:r w:rsidRPr="003B6E11">
        <w:rPr>
          <w:lang w:val="cs-CZ"/>
        </w:rPr>
        <w:tab/>
        <w:t>pro plavidla, jimž bylo vystaveno osvědčení o inspekci plavby na Rýně podle nařízení o inspekci plavby na Rýně poprvé počínaje 1. lednem 1995, pokud se ke dni 31. prosince 1994 nenacházela ve výstavbě nebo neprocházela přestavbou;</w:t>
      </w:r>
    </w:p>
    <w:p w:rsidR="00E82B25" w:rsidRPr="003B6E11" w:rsidRDefault="00E82B25" w:rsidP="00E82B25">
      <w:pPr>
        <w:spacing w:before="60" w:line="240" w:lineRule="atLeast"/>
        <w:ind w:left="992"/>
        <w:rPr>
          <w:lang w:val="cs-CZ"/>
        </w:rPr>
      </w:pPr>
      <w:r w:rsidRPr="003B6E11">
        <w:rPr>
          <w:lang w:val="cs-CZ"/>
        </w:rPr>
        <w:t>b)</w:t>
      </w:r>
      <w:r w:rsidRPr="003B6E11">
        <w:rPr>
          <w:lang w:val="cs-CZ"/>
        </w:rPr>
        <w:tab/>
        <w:t>pro plavidla, která obdržela jiné povolení k přepravě mezi 1. lednem 1995 a 30. prosincem 2008;</w:t>
      </w:r>
    </w:p>
    <w:p w:rsidR="00E82B25" w:rsidRPr="003B6E11" w:rsidRDefault="00E82B25" w:rsidP="00E82B25">
      <w:pPr>
        <w:spacing w:before="60" w:line="240" w:lineRule="atLeast"/>
        <w:ind w:left="992"/>
        <w:rPr>
          <w:lang w:val="cs-CZ"/>
        </w:rPr>
      </w:pPr>
      <w:r w:rsidRPr="003B6E11">
        <w:rPr>
          <w:lang w:val="cs-CZ"/>
        </w:rPr>
        <w:t>c)</w:t>
      </w:r>
      <w:r w:rsidRPr="003B6E11">
        <w:rPr>
          <w:lang w:val="cs-CZ"/>
        </w:rPr>
        <w:tab/>
        <w:t>pro plavidla, jimž bylo osvědčení Společenství platné pro zónu R v souladu se směrnicí 2006/87/ES vydáno poprvé mezi 30. prosincem 2008 a 6. říjnem 2018;</w:t>
      </w:r>
    </w:p>
    <w:p w:rsidR="00E82B25" w:rsidRPr="003B6E11" w:rsidRDefault="00E82B25" w:rsidP="00E82B25">
      <w:pPr>
        <w:spacing w:before="60" w:line="240" w:lineRule="atLeast"/>
        <w:ind w:left="992"/>
        <w:rPr>
          <w:lang w:val="cs-CZ"/>
        </w:rPr>
      </w:pPr>
      <w:r w:rsidRPr="003B6E11">
        <w:rPr>
          <w:lang w:val="cs-CZ"/>
        </w:rPr>
        <w:t>d)</w:t>
      </w:r>
      <w:r w:rsidRPr="003B6E11">
        <w:rPr>
          <w:lang w:val="cs-CZ"/>
        </w:rPr>
        <w:tab/>
        <w:t>pro plavidla, jimž bylo osvědčení Unie platné pro zónu R v souladu se směrnicí (EU) 2016/1629 vydáno poprvé počínaje 7. říjnem 2018.</w:t>
      </w:r>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hanging="567"/>
        <w:rPr>
          <w:color w:val="000000" w:themeColor="text1"/>
          <w:lang w:val="cs-CZ"/>
        </w:rPr>
      </w:pPr>
      <w:r w:rsidRPr="003B6E11">
        <w:rPr>
          <w:color w:val="000000" w:themeColor="text1"/>
          <w:lang w:val="cs-CZ"/>
        </w:rPr>
        <w:t>2.</w:t>
      </w:r>
      <w:r w:rsidRPr="003B6E11">
        <w:rPr>
          <w:lang w:val="cs-CZ"/>
        </w:rPr>
        <w:tab/>
      </w:r>
      <w:r w:rsidRPr="003B6E11">
        <w:rPr>
          <w:color w:val="000000" w:themeColor="text1"/>
          <w:lang w:val="cs-CZ"/>
        </w:rPr>
        <w:t xml:space="preserve">Musí být prokázáno, že tato plavidla jsou v souladu: </w:t>
      </w:r>
    </w:p>
    <w:p w:rsidR="00E82B25" w:rsidRPr="003B6E11" w:rsidRDefault="00E82B25" w:rsidP="00E82B25">
      <w:pPr>
        <w:spacing w:before="60" w:line="240" w:lineRule="atLeast"/>
        <w:ind w:left="992"/>
        <w:rPr>
          <w:lang w:val="cs-CZ"/>
        </w:rPr>
      </w:pPr>
      <w:r w:rsidRPr="003B6E11">
        <w:rPr>
          <w:lang w:val="cs-CZ"/>
        </w:rPr>
        <w:t>a)</w:t>
      </w:r>
      <w:r w:rsidRPr="003B6E11">
        <w:rPr>
          <w:lang w:val="cs-CZ"/>
        </w:rPr>
        <w:tab/>
        <w:t>s nařízeními o inspekci plavby na Rýně ve znění platném ke dni, kdy bylo vystaveno osvědčení o inspekci plavby na Rýně nebo jiné povolení k přepravě, nebo</w:t>
      </w:r>
    </w:p>
    <w:p w:rsidR="00E82B25" w:rsidRPr="003B6E11" w:rsidRDefault="00E82B25" w:rsidP="00E82B25">
      <w:pPr>
        <w:spacing w:before="60" w:line="240" w:lineRule="atLeast"/>
        <w:ind w:left="992"/>
        <w:rPr>
          <w:lang w:val="cs-CZ"/>
        </w:rPr>
      </w:pPr>
      <w:r w:rsidRPr="003B6E11">
        <w:rPr>
          <w:lang w:val="cs-CZ"/>
        </w:rPr>
        <w:t>b)</w:t>
      </w:r>
      <w:r w:rsidRPr="003B6E11">
        <w:rPr>
          <w:lang w:val="cs-CZ"/>
        </w:rPr>
        <w:tab/>
        <w:t>s ustanoveními směrnice 2006/87/ES platnými pro zónu R ve znění platném ke dni, k němuž bylo vystaveno osvědčení Společenství, nebo</w:t>
      </w:r>
    </w:p>
    <w:p w:rsidR="00E82B25" w:rsidRPr="003B6E11" w:rsidRDefault="00E82B25" w:rsidP="00E82B25">
      <w:pPr>
        <w:spacing w:before="60" w:line="240" w:lineRule="atLeast"/>
        <w:ind w:left="992"/>
        <w:rPr>
          <w:lang w:val="cs-CZ"/>
        </w:rPr>
      </w:pPr>
      <w:r w:rsidRPr="003B6E11">
        <w:rPr>
          <w:lang w:val="cs-CZ"/>
        </w:rPr>
        <w:t>c)</w:t>
      </w:r>
      <w:r w:rsidRPr="003B6E11">
        <w:rPr>
          <w:lang w:val="cs-CZ"/>
        </w:rPr>
        <w:tab/>
        <w:t>s ustanoveními směrnice (EU) 2006/1629 platnými pro zónu R ve znění platném ke dni, k němuž bylo vystaveno osvědčení Unie.</w:t>
      </w:r>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hanging="567"/>
        <w:rPr>
          <w:color w:val="000000" w:themeColor="text1"/>
          <w:lang w:val="cs-CZ"/>
        </w:rPr>
      </w:pPr>
      <w:r w:rsidRPr="003B6E11">
        <w:rPr>
          <w:color w:val="000000" w:themeColor="text1"/>
          <w:lang w:val="cs-CZ"/>
        </w:rPr>
        <w:t xml:space="preserve">3. </w:t>
      </w:r>
      <w:r w:rsidRPr="003B6E11">
        <w:rPr>
          <w:lang w:val="cs-CZ"/>
        </w:rPr>
        <w:tab/>
      </w:r>
      <w:r w:rsidRPr="003B6E11">
        <w:rPr>
          <w:color w:val="000000" w:themeColor="text1"/>
          <w:lang w:val="cs-CZ"/>
        </w:rPr>
        <w:t>Plavidla musí být upravena tak, aby v souladu s přechodnými ustanoveními uvedenými v následující tabulce vyhovovala této normě.</w:t>
      </w:r>
    </w:p>
    <w:p w:rsidR="00E82B25" w:rsidRPr="003B6E11" w:rsidRDefault="00E82B25" w:rsidP="00E82B25">
      <w:pPr>
        <w:spacing w:line="240" w:lineRule="atLeast"/>
        <w:ind w:left="567" w:hanging="567"/>
        <w:rPr>
          <w:color w:val="000000" w:themeColor="text1"/>
          <w:lang w:val="cs-CZ"/>
        </w:rPr>
      </w:pPr>
    </w:p>
    <w:p w:rsidR="00E82B25" w:rsidRPr="003B6E11" w:rsidRDefault="00E82B25" w:rsidP="00E82B25">
      <w:pPr>
        <w:spacing w:line="240" w:lineRule="atLeast"/>
        <w:ind w:left="567" w:hanging="567"/>
        <w:rPr>
          <w:color w:val="000000" w:themeColor="text1"/>
          <w:szCs w:val="20"/>
          <w:lang w:val="cs-CZ"/>
        </w:rPr>
      </w:pPr>
      <w:r w:rsidRPr="003B6E11">
        <w:rPr>
          <w:color w:val="000000" w:themeColor="text1"/>
          <w:lang w:val="cs-CZ"/>
        </w:rPr>
        <w:t>4.</w:t>
      </w:r>
      <w:r w:rsidRPr="003B6E11">
        <w:rPr>
          <w:lang w:val="cs-CZ"/>
        </w:rPr>
        <w:tab/>
      </w:r>
      <w:r w:rsidRPr="003B6E11">
        <w:rPr>
          <w:color w:val="000000" w:themeColor="text1"/>
          <w:lang w:val="cs-CZ"/>
        </w:rPr>
        <w:t>Ustanovení čl. 32.04 odst. 4 a 5 se použijí obdobně.</w:t>
      </w:r>
    </w:p>
    <w:p w:rsidR="00E82B25" w:rsidRPr="003B6E11" w:rsidRDefault="00E82B25" w:rsidP="00E82B25">
      <w:pPr>
        <w:spacing w:line="240" w:lineRule="atLeast"/>
        <w:ind w:left="567" w:hanging="567"/>
        <w:rPr>
          <w:lang w:val="cs-CZ"/>
        </w:rPr>
      </w:pPr>
    </w:p>
    <w:p w:rsidR="00E82B25" w:rsidRPr="003B6E11" w:rsidRDefault="00E82B25" w:rsidP="00E82B25">
      <w:pPr>
        <w:rPr>
          <w:lang w:val="cs-CZ"/>
        </w:rPr>
      </w:pPr>
      <w:r w:rsidRPr="003B6E11">
        <w:rPr>
          <w:lang w:val="cs-CZ"/>
        </w:rPr>
        <w:br w:type="page"/>
      </w:r>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hanging="567"/>
        <w:rPr>
          <w:lang w:val="cs-CZ"/>
        </w:rPr>
      </w:pPr>
      <w:r w:rsidRPr="003B6E11">
        <w:rPr>
          <w:lang w:val="cs-CZ"/>
        </w:rPr>
        <w:t>5.</w:t>
      </w:r>
      <w:r w:rsidRPr="003B6E11">
        <w:rPr>
          <w:lang w:val="cs-CZ"/>
        </w:rPr>
        <w:tab/>
        <w:t>V tabulce platí tyto definice:</w:t>
      </w:r>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rPr>
          <w:lang w:val="cs-CZ"/>
        </w:rPr>
      </w:pPr>
      <w:r w:rsidRPr="003B6E11">
        <w:rPr>
          <w:lang w:val="cs-CZ"/>
        </w:rPr>
        <w:t xml:space="preserve">„N.V.P.“: Ustanovení se nevztahuje na plavidla, která jsou již v provozu, nejsou-li dotyčné části měněny nebo přestavovány, tj. ustanovení se vztahuje pouze na </w:t>
      </w:r>
      <w:r w:rsidRPr="003B6E11">
        <w:rPr>
          <w:u w:val="single"/>
          <w:lang w:val="cs-CZ"/>
        </w:rPr>
        <w:t>N</w:t>
      </w:r>
      <w:r w:rsidRPr="003B6E11">
        <w:rPr>
          <w:lang w:val="cs-CZ"/>
        </w:rPr>
        <w:t xml:space="preserve">ové lodě a na </w:t>
      </w:r>
      <w:r w:rsidRPr="003B6E11">
        <w:rPr>
          <w:u w:val="single"/>
          <w:lang w:val="cs-CZ"/>
        </w:rPr>
        <w:t>V</w:t>
      </w:r>
      <w:r w:rsidRPr="003B6E11">
        <w:rPr>
          <w:lang w:val="cs-CZ"/>
        </w:rPr>
        <w:t xml:space="preserve">ýměnu nebo </w:t>
      </w:r>
      <w:r w:rsidRPr="003B6E11">
        <w:rPr>
          <w:u w:val="single"/>
          <w:lang w:val="cs-CZ"/>
        </w:rPr>
        <w:t>P</w:t>
      </w:r>
      <w:r w:rsidRPr="003B6E11">
        <w:rPr>
          <w:lang w:val="cs-CZ"/>
        </w:rPr>
        <w:t xml:space="preserve">řestavbu dotyčných částí nebo prostor. Jsou-li stávající části nahrazovány náhradními součástmi se stejnou technologií nebo stejného typu, nepředstavuje to výměnu („V“) ve smyslu přechodných ustanovení. </w:t>
      </w:r>
    </w:p>
    <w:p w:rsidR="00E82B25" w:rsidRPr="003B6E11" w:rsidRDefault="00E82B25" w:rsidP="00E82B25">
      <w:pPr>
        <w:spacing w:line="240" w:lineRule="atLeast"/>
        <w:ind w:left="567"/>
        <w:rPr>
          <w:lang w:val="cs-CZ"/>
        </w:rPr>
      </w:pPr>
    </w:p>
    <w:p w:rsidR="00E82B25" w:rsidRPr="003B6E11" w:rsidRDefault="00E82B25" w:rsidP="00E82B25">
      <w:pPr>
        <w:tabs>
          <w:tab w:val="left" w:pos="4678"/>
        </w:tabs>
        <w:spacing w:line="240" w:lineRule="atLeast"/>
        <w:ind w:left="567"/>
        <w:rPr>
          <w:lang w:val="cs-CZ"/>
        </w:rPr>
      </w:pPr>
      <w:r w:rsidRPr="003B6E11">
        <w:rPr>
          <w:lang w:val="cs-CZ"/>
        </w:rPr>
        <w:t>„Vystavení nebo obnovení osvědčení plavidla vnitrozemské plavby“: Soulad s ustanovením musí být zajištěn do doby vystavení osvědčení plavidla vnitrozemské plavby nebo jeho obnovení po vstupu ustanovení v platnost.</w:t>
      </w:r>
    </w:p>
    <w:p w:rsidR="00E82B25" w:rsidRPr="003B6E11" w:rsidRDefault="00E82B25" w:rsidP="00E82B25">
      <w:pPr>
        <w:rPr>
          <w:lang w:val="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458"/>
        <w:gridCol w:w="3296"/>
        <w:gridCol w:w="5387"/>
        <w:gridCol w:w="1276"/>
        <w:gridCol w:w="1276"/>
      </w:tblGrid>
      <w:tr w:rsidR="00E82B25" w:rsidRPr="003B6E11" w:rsidTr="002D015D">
        <w:trPr>
          <w:cantSplit/>
          <w:tblHeader/>
          <w:jc w:val="center"/>
        </w:trPr>
        <w:tc>
          <w:tcPr>
            <w:tcW w:w="2800" w:type="dxa"/>
            <w:gridSpan w:val="2"/>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i/>
                <w:sz w:val="18"/>
                <w:lang w:val="cs-CZ"/>
              </w:rPr>
              <w:t>Článek a odstavec</w:t>
            </w:r>
          </w:p>
        </w:tc>
        <w:tc>
          <w:tcPr>
            <w:tcW w:w="3296" w:type="dxa"/>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i/>
                <w:sz w:val="18"/>
                <w:lang w:val="cs-CZ"/>
              </w:rPr>
              <w:t>Obsah</w:t>
            </w:r>
          </w:p>
        </w:tc>
        <w:tc>
          <w:tcPr>
            <w:tcW w:w="6663" w:type="dxa"/>
            <w:gridSpan w:val="2"/>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i/>
                <w:sz w:val="18"/>
                <w:lang w:val="cs-CZ"/>
              </w:rPr>
              <w:t>Lhůta a poznámky</w:t>
            </w:r>
          </w:p>
        </w:tc>
        <w:tc>
          <w:tcPr>
            <w:tcW w:w="1276" w:type="dxa"/>
          </w:tcPr>
          <w:p w:rsidR="00E82B25" w:rsidRPr="003B6E11" w:rsidRDefault="00E82B25" w:rsidP="002D015D">
            <w:pPr>
              <w:spacing w:before="60" w:after="60" w:line="240" w:lineRule="atLeast"/>
              <w:jc w:val="center"/>
              <w:rPr>
                <w:rFonts w:cs="Arial"/>
                <w:sz w:val="18"/>
                <w:szCs w:val="18"/>
                <w:lang w:val="cs-CZ"/>
              </w:rPr>
            </w:pPr>
            <w:r w:rsidRPr="003B6E11">
              <w:rPr>
                <w:i/>
                <w:sz w:val="18"/>
                <w:lang w:val="cs-CZ"/>
              </w:rPr>
              <w:t>Datum vstupu v platnost</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20" w:after="100" w:line="240" w:lineRule="atLeast"/>
              <w:jc w:val="center"/>
              <w:rPr>
                <w:rFonts w:cs="Arial"/>
                <w:b/>
                <w:sz w:val="18"/>
                <w:szCs w:val="18"/>
                <w:lang w:val="cs-CZ"/>
              </w:rPr>
            </w:pPr>
            <w:r w:rsidRPr="003B6E11">
              <w:rPr>
                <w:b/>
                <w:sz w:val="18"/>
                <w:lang w:val="cs-CZ"/>
              </w:rPr>
              <w:t>KAPITOLA 3</w:t>
            </w:r>
          </w:p>
        </w:tc>
        <w:tc>
          <w:tcPr>
            <w:tcW w:w="5387" w:type="dxa"/>
            <w:shd w:val="clear" w:color="auto" w:fill="auto"/>
          </w:tcPr>
          <w:p w:rsidR="00E82B25" w:rsidRPr="003B6E11" w:rsidRDefault="00E82B25" w:rsidP="002D015D">
            <w:pPr>
              <w:spacing w:before="120" w:after="100" w:line="240" w:lineRule="atLeast"/>
              <w:rPr>
                <w:rFonts w:cs="Arial"/>
                <w:sz w:val="18"/>
                <w:szCs w:val="18"/>
                <w:lang w:val="cs-CZ"/>
              </w:rPr>
            </w:pPr>
          </w:p>
        </w:tc>
        <w:tc>
          <w:tcPr>
            <w:tcW w:w="1276" w:type="dxa"/>
            <w:shd w:val="clear" w:color="auto" w:fill="auto"/>
          </w:tcPr>
          <w:p w:rsidR="00E82B25" w:rsidRPr="003B6E11" w:rsidRDefault="00E82B25" w:rsidP="002D015D">
            <w:pPr>
              <w:spacing w:before="120" w:after="100" w:line="240" w:lineRule="atLeast"/>
              <w:rPr>
                <w:rFonts w:cs="Arial"/>
                <w:sz w:val="18"/>
                <w:szCs w:val="18"/>
                <w:lang w:val="cs-CZ"/>
              </w:rPr>
            </w:pPr>
          </w:p>
        </w:tc>
        <w:tc>
          <w:tcPr>
            <w:tcW w:w="1276" w:type="dxa"/>
          </w:tcPr>
          <w:p w:rsidR="00E82B25" w:rsidRPr="003B6E11" w:rsidRDefault="00E82B25" w:rsidP="002D015D">
            <w:pPr>
              <w:spacing w:before="120" w:after="100" w:line="240" w:lineRule="atLeast"/>
              <w:rPr>
                <w:rFonts w:cs="Arial"/>
                <w:sz w:val="18"/>
                <w:szCs w:val="18"/>
                <w:lang w:val="cs-CZ"/>
              </w:rPr>
            </w:pP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3.03</w:t>
            </w:r>
          </w:p>
        </w:tc>
        <w:tc>
          <w:tcPr>
            <w:tcW w:w="1458"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odst. 1 písm. b)</w:t>
            </w:r>
          </w:p>
        </w:tc>
        <w:tc>
          <w:tcPr>
            <w:tcW w:w="3296"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Umístění záďové přepážky</w:t>
            </w:r>
          </w:p>
        </w:tc>
        <w:tc>
          <w:tcPr>
            <w:tcW w:w="5387"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1.1.2035</w:t>
            </w:r>
          </w:p>
        </w:tc>
        <w:tc>
          <w:tcPr>
            <w:tcW w:w="1276" w:type="dxa"/>
          </w:tcPr>
          <w:p w:rsidR="00E82B25" w:rsidRPr="003B6E11" w:rsidRDefault="00E82B25" w:rsidP="002D015D">
            <w:pPr>
              <w:spacing w:before="120" w:after="100" w:line="240" w:lineRule="atLeast"/>
              <w:rPr>
                <w:rFonts w:cs="Arial"/>
                <w:sz w:val="18"/>
                <w:szCs w:val="18"/>
                <w:lang w:val="cs-CZ"/>
              </w:rPr>
            </w:pPr>
            <w:r w:rsidRPr="003B6E11">
              <w:rPr>
                <w:sz w:val="18"/>
                <w:lang w:val="cs-CZ"/>
              </w:rPr>
              <w:t>7.10.2018</w:t>
            </w:r>
          </w:p>
        </w:tc>
      </w:tr>
      <w:tr w:rsidR="00E82B25" w:rsidRPr="003B6E11" w:rsidTr="002D015D">
        <w:trPr>
          <w:cantSplit/>
          <w:trHeight w:val="788"/>
          <w:jc w:val="center"/>
        </w:trPr>
        <w:tc>
          <w:tcPr>
            <w:tcW w:w="1342" w:type="dxa"/>
            <w:vMerge/>
            <w:shd w:val="clear" w:color="auto" w:fill="auto"/>
          </w:tcPr>
          <w:p w:rsidR="00E82B25" w:rsidRPr="003B6E11" w:rsidRDefault="00E82B25" w:rsidP="002D015D">
            <w:pPr>
              <w:spacing w:before="120" w:after="100" w:line="240" w:lineRule="atLeast"/>
              <w:jc w:val="center"/>
              <w:rPr>
                <w:rFonts w:cs="Arial"/>
                <w:b/>
                <w:sz w:val="18"/>
                <w:szCs w:val="18"/>
                <w:lang w:val="cs-CZ"/>
              </w:rPr>
            </w:pPr>
          </w:p>
        </w:tc>
        <w:tc>
          <w:tcPr>
            <w:tcW w:w="1458"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tabs>
                <w:tab w:val="left" w:pos="2790"/>
              </w:tabs>
              <w:spacing w:before="120" w:after="100" w:line="240" w:lineRule="atLeast"/>
              <w:rPr>
                <w:rFonts w:cs="Arial"/>
                <w:sz w:val="18"/>
                <w:szCs w:val="18"/>
                <w:lang w:val="cs-CZ"/>
              </w:rPr>
            </w:pPr>
            <w:r w:rsidRPr="003B6E11">
              <w:rPr>
                <w:sz w:val="18"/>
                <w:lang w:val="cs-CZ"/>
              </w:rPr>
              <w:t>Obytné prostory za záďovou přepážkou</w:t>
            </w:r>
          </w:p>
        </w:tc>
        <w:tc>
          <w:tcPr>
            <w:tcW w:w="5387"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20" w:after="100" w:line="240" w:lineRule="atLeast"/>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00" w:line="240" w:lineRule="atLeast"/>
              <w:jc w:val="center"/>
              <w:rPr>
                <w:rFonts w:cs="Arial"/>
                <w:b/>
                <w:sz w:val="18"/>
                <w:szCs w:val="18"/>
                <w:lang w:val="cs-CZ"/>
              </w:rPr>
            </w:pPr>
          </w:p>
        </w:tc>
        <w:tc>
          <w:tcPr>
            <w:tcW w:w="1458"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odst. 7</w:t>
            </w:r>
          </w:p>
        </w:tc>
        <w:tc>
          <w:tcPr>
            <w:tcW w:w="3296"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Kotvy nepřečnívající příď plavidel</w:t>
            </w:r>
          </w:p>
        </w:tc>
        <w:tc>
          <w:tcPr>
            <w:tcW w:w="5387"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 xml:space="preserve">Ustanovení vstoupí v platnost od 1.1.2001: N.V.P., nejpozději při obnovení osvědčení plavidla vnitrozemské plavby po </w:t>
            </w:r>
          </w:p>
        </w:tc>
        <w:tc>
          <w:tcPr>
            <w:tcW w:w="1276"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1.1.2041</w:t>
            </w:r>
          </w:p>
        </w:tc>
        <w:tc>
          <w:tcPr>
            <w:tcW w:w="1276" w:type="dxa"/>
          </w:tcPr>
          <w:p w:rsidR="00E82B25" w:rsidRPr="003B6E11" w:rsidRDefault="00E82B25" w:rsidP="002D015D">
            <w:pPr>
              <w:spacing w:before="120" w:after="100" w:line="240" w:lineRule="atLeast"/>
              <w:rPr>
                <w:rFonts w:cs="Arial"/>
                <w:sz w:val="18"/>
                <w:szCs w:val="18"/>
                <w:lang w:val="cs-CZ"/>
              </w:rPr>
            </w:pPr>
            <w:r w:rsidRPr="003B6E11">
              <w:rPr>
                <w:sz w:val="18"/>
                <w:lang w:val="cs-CZ"/>
              </w:rPr>
              <w:t>7.10.2018</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20" w:after="100" w:line="240" w:lineRule="atLeast"/>
              <w:jc w:val="center"/>
              <w:rPr>
                <w:rFonts w:cs="Arial"/>
                <w:sz w:val="18"/>
                <w:szCs w:val="18"/>
                <w:lang w:val="cs-CZ"/>
              </w:rPr>
            </w:pPr>
            <w:r w:rsidRPr="003B6E11">
              <w:rPr>
                <w:b/>
                <w:sz w:val="18"/>
                <w:lang w:val="cs-CZ"/>
              </w:rPr>
              <w:t>KAPITOLA 6</w:t>
            </w:r>
          </w:p>
        </w:tc>
        <w:tc>
          <w:tcPr>
            <w:tcW w:w="5387" w:type="dxa"/>
            <w:shd w:val="clear" w:color="auto" w:fill="auto"/>
          </w:tcPr>
          <w:p w:rsidR="00E82B25" w:rsidRPr="003B6E11" w:rsidRDefault="00E82B25" w:rsidP="002D015D">
            <w:pPr>
              <w:spacing w:before="120" w:after="100" w:line="240" w:lineRule="atLeast"/>
              <w:rPr>
                <w:rFonts w:cs="Arial"/>
                <w:sz w:val="18"/>
                <w:szCs w:val="18"/>
                <w:lang w:val="cs-CZ"/>
              </w:rPr>
            </w:pPr>
          </w:p>
        </w:tc>
        <w:tc>
          <w:tcPr>
            <w:tcW w:w="1276" w:type="dxa"/>
            <w:shd w:val="clear" w:color="auto" w:fill="auto"/>
          </w:tcPr>
          <w:p w:rsidR="00E82B25" w:rsidRPr="003B6E11" w:rsidRDefault="00E82B25" w:rsidP="002D015D">
            <w:pPr>
              <w:spacing w:before="120" w:after="100" w:line="240" w:lineRule="atLeast"/>
              <w:rPr>
                <w:rFonts w:cs="Arial"/>
                <w:sz w:val="18"/>
                <w:szCs w:val="18"/>
                <w:lang w:val="cs-CZ"/>
              </w:rPr>
            </w:pPr>
          </w:p>
        </w:tc>
        <w:tc>
          <w:tcPr>
            <w:tcW w:w="1276" w:type="dxa"/>
          </w:tcPr>
          <w:p w:rsidR="00E82B25" w:rsidRPr="003B6E11" w:rsidRDefault="00E82B25" w:rsidP="002D015D">
            <w:pPr>
              <w:spacing w:before="120" w:after="100" w:line="240" w:lineRule="atLeast"/>
              <w:rPr>
                <w:rFonts w:cs="Arial"/>
                <w:sz w:val="18"/>
                <w:szCs w:val="18"/>
                <w:lang w:val="cs-CZ"/>
              </w:rPr>
            </w:pPr>
          </w:p>
        </w:tc>
      </w:tr>
      <w:tr w:rsidR="00E82B25" w:rsidRPr="003B6E11" w:rsidTr="002D015D">
        <w:trPr>
          <w:cantSplit/>
          <w:trHeight w:val="800"/>
          <w:jc w:val="center"/>
        </w:trPr>
        <w:tc>
          <w:tcPr>
            <w:tcW w:w="1342" w:type="dxa"/>
            <w:vMerge w:val="restart"/>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6.02</w:t>
            </w:r>
          </w:p>
        </w:tc>
        <w:tc>
          <w:tcPr>
            <w:tcW w:w="1458" w:type="dxa"/>
            <w:vMerge w:val="restart"/>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Zdvojené řídicí ventily u hydraulických pohonných jednotek</w:t>
            </w:r>
          </w:p>
        </w:tc>
        <w:tc>
          <w:tcPr>
            <w:tcW w:w="5387"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1.1.2020</w:t>
            </w:r>
          </w:p>
        </w:tc>
        <w:tc>
          <w:tcPr>
            <w:tcW w:w="1276" w:type="dxa"/>
          </w:tcPr>
          <w:p w:rsidR="00E82B25" w:rsidRPr="003B6E11" w:rsidRDefault="00E82B25" w:rsidP="002D015D">
            <w:pPr>
              <w:spacing w:before="120" w:after="100" w:line="240" w:lineRule="atLeast"/>
              <w:rPr>
                <w:rFonts w:cs="Arial"/>
                <w:sz w:val="18"/>
                <w:szCs w:val="18"/>
                <w:lang w:val="cs-CZ"/>
              </w:rPr>
            </w:pPr>
            <w:r w:rsidRPr="003B6E11">
              <w:rPr>
                <w:sz w:val="18"/>
                <w:lang w:val="cs-CZ"/>
              </w:rPr>
              <w:t>1.4.2007</w:t>
            </w:r>
          </w:p>
        </w:tc>
      </w:tr>
      <w:tr w:rsidR="00E82B25" w:rsidRPr="003B6E11" w:rsidTr="002D015D">
        <w:trPr>
          <w:cantSplit/>
          <w:trHeight w:val="1208"/>
          <w:jc w:val="center"/>
        </w:trPr>
        <w:tc>
          <w:tcPr>
            <w:tcW w:w="1342" w:type="dxa"/>
            <w:vMerge/>
            <w:shd w:val="clear" w:color="auto" w:fill="auto"/>
          </w:tcPr>
          <w:p w:rsidR="00E82B25" w:rsidRPr="003B6E11" w:rsidRDefault="00E82B25" w:rsidP="002D015D">
            <w:pPr>
              <w:spacing w:before="120" w:after="10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120" w:after="100" w:line="240" w:lineRule="atLeast"/>
              <w:rPr>
                <w:rFonts w:cs="Arial"/>
                <w:sz w:val="18"/>
                <w:szCs w:val="18"/>
                <w:lang w:val="cs-CZ"/>
              </w:rPr>
            </w:pPr>
          </w:p>
        </w:tc>
        <w:tc>
          <w:tcPr>
            <w:tcW w:w="3296" w:type="dxa"/>
            <w:shd w:val="clear" w:color="auto" w:fill="auto"/>
          </w:tcPr>
          <w:p w:rsidR="00E82B25" w:rsidRPr="003B6E11" w:rsidRDefault="00E82B25" w:rsidP="002D015D">
            <w:pPr>
              <w:tabs>
                <w:tab w:val="left" w:pos="1125"/>
              </w:tabs>
              <w:spacing w:before="120" w:after="100" w:line="240" w:lineRule="atLeast"/>
              <w:rPr>
                <w:rFonts w:cs="Arial"/>
                <w:sz w:val="18"/>
                <w:szCs w:val="18"/>
                <w:lang w:val="cs-CZ"/>
              </w:rPr>
            </w:pPr>
            <w:r w:rsidRPr="003B6E11">
              <w:rPr>
                <w:sz w:val="18"/>
                <w:lang w:val="cs-CZ"/>
              </w:rPr>
              <w:t>Samostatné potrubí pro druhou pohonnou jednotku u hydraulických pohonných jednotek</w:t>
            </w:r>
          </w:p>
        </w:tc>
        <w:tc>
          <w:tcPr>
            <w:tcW w:w="5387"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1.1.2020</w:t>
            </w:r>
          </w:p>
        </w:tc>
        <w:tc>
          <w:tcPr>
            <w:tcW w:w="1276" w:type="dxa"/>
          </w:tcPr>
          <w:p w:rsidR="00E82B25" w:rsidRPr="003B6E11" w:rsidRDefault="00E82B25" w:rsidP="002D015D">
            <w:pPr>
              <w:spacing w:before="120" w:after="100" w:line="240" w:lineRule="atLeast"/>
              <w:rPr>
                <w:rFonts w:cs="Arial"/>
                <w:sz w:val="18"/>
                <w:szCs w:val="18"/>
                <w:lang w:val="cs-CZ"/>
              </w:rPr>
            </w:pPr>
            <w:r w:rsidRPr="003B6E11">
              <w:rPr>
                <w:sz w:val="18"/>
                <w:lang w:val="cs-CZ"/>
              </w:rPr>
              <w:t>1.4.2007</w:t>
            </w:r>
          </w:p>
        </w:tc>
      </w:tr>
      <w:tr w:rsidR="00E82B25" w:rsidRPr="003B6E11" w:rsidTr="002D015D">
        <w:trPr>
          <w:cantSplit/>
          <w:jc w:val="center"/>
        </w:trPr>
        <w:tc>
          <w:tcPr>
            <w:tcW w:w="1342"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6.07</w:t>
            </w:r>
          </w:p>
        </w:tc>
        <w:tc>
          <w:tcPr>
            <w:tcW w:w="1458"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odst. 2 písm. a)</w:t>
            </w:r>
          </w:p>
        </w:tc>
        <w:tc>
          <w:tcPr>
            <w:tcW w:w="3296" w:type="dxa"/>
            <w:shd w:val="clear" w:color="auto" w:fill="auto"/>
          </w:tcPr>
          <w:p w:rsidR="00E82B25" w:rsidRPr="003B6E11" w:rsidRDefault="00E82B25" w:rsidP="002D015D">
            <w:pPr>
              <w:tabs>
                <w:tab w:val="left" w:pos="1080"/>
              </w:tabs>
              <w:spacing w:before="120" w:after="100" w:line="240" w:lineRule="atLeast"/>
              <w:rPr>
                <w:rFonts w:cs="Arial"/>
                <w:sz w:val="18"/>
                <w:szCs w:val="18"/>
                <w:lang w:val="cs-CZ"/>
              </w:rPr>
            </w:pPr>
            <w:r w:rsidRPr="003B6E11">
              <w:rPr>
                <w:noProof/>
                <w:sz w:val="18"/>
                <w:lang w:val="cs-CZ"/>
              </w:rPr>
              <w:t>Poplašný signál pro výši hladiny hydraulické nádrže a poplašný signál pro provozní tlak</w:t>
            </w:r>
          </w:p>
        </w:tc>
        <w:tc>
          <w:tcPr>
            <w:tcW w:w="5387"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20" w:after="100" w:line="240" w:lineRule="atLeast"/>
              <w:rPr>
                <w:rFonts w:cs="Arial"/>
                <w:sz w:val="18"/>
                <w:szCs w:val="18"/>
                <w:lang w:val="cs-CZ"/>
              </w:rPr>
            </w:pPr>
            <w:r w:rsidRPr="003B6E11">
              <w:rPr>
                <w:sz w:val="18"/>
                <w:lang w:val="cs-CZ"/>
              </w:rPr>
              <w:t>1.1.2010</w:t>
            </w:r>
          </w:p>
        </w:tc>
        <w:tc>
          <w:tcPr>
            <w:tcW w:w="1276" w:type="dxa"/>
          </w:tcPr>
          <w:p w:rsidR="00E82B25" w:rsidRPr="003B6E11" w:rsidRDefault="00E82B25" w:rsidP="002D015D">
            <w:pPr>
              <w:spacing w:before="120" w:after="100" w:line="240" w:lineRule="atLeast"/>
              <w:rPr>
                <w:rFonts w:cs="Arial"/>
                <w:sz w:val="18"/>
                <w:szCs w:val="18"/>
                <w:lang w:val="cs-CZ"/>
              </w:rPr>
            </w:pPr>
            <w:r w:rsidRPr="003B6E11">
              <w:rPr>
                <w:sz w:val="18"/>
                <w:lang w:val="cs-CZ"/>
              </w:rPr>
              <w:t>1.4.2007</w:t>
            </w:r>
          </w:p>
        </w:tc>
      </w:tr>
      <w:tr w:rsidR="00E82B25" w:rsidRPr="003B6E11" w:rsidTr="002D015D">
        <w:trPr>
          <w:cantSplit/>
          <w:trHeight w:val="499"/>
          <w:jc w:val="center"/>
        </w:trPr>
        <w:tc>
          <w:tcPr>
            <w:tcW w:w="6096" w:type="dxa"/>
            <w:gridSpan w:val="3"/>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b/>
                <w:sz w:val="18"/>
                <w:lang w:val="cs-CZ"/>
              </w:rPr>
              <w:t>KAPITOLA 7</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7.02</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6</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Konstrukce bezpečnostního skla</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val="restart"/>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7.04</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Zobrazení</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Pokud kormidelna byla uspořádána k řízení plavidla jednou osobou s pomocí radaru: 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1.1.2010</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1.4.2007</w:t>
            </w:r>
          </w:p>
        </w:tc>
      </w:tr>
      <w:tr w:rsidR="00E82B25" w:rsidRPr="003B6E11" w:rsidTr="002D015D">
        <w:trPr>
          <w:cantSplit/>
          <w:jc w:val="center"/>
        </w:trPr>
        <w:tc>
          <w:tcPr>
            <w:tcW w:w="1342" w:type="dxa"/>
            <w:vMerge/>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9 třetí věta</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Ovládání pákou</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1.1.2010</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1.4.2007</w:t>
            </w:r>
          </w:p>
        </w:tc>
      </w:tr>
      <w:tr w:rsidR="00E82B25" w:rsidRPr="003B6E11" w:rsidTr="002D015D">
        <w:trPr>
          <w:cantSplit/>
          <w:jc w:val="center"/>
        </w:trPr>
        <w:tc>
          <w:tcPr>
            <w:tcW w:w="1342" w:type="dxa"/>
            <w:vMerge/>
            <w:tcBorders>
              <w:bottom w:val="single" w:sz="4" w:space="0" w:color="auto"/>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9 čtvrtá věta</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Jednoznačně rozpoznatelný směr síly propulze</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1.1.2010</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1.4.2007</w:t>
            </w:r>
          </w:p>
        </w:tc>
      </w:tr>
      <w:tr w:rsidR="00E82B25" w:rsidRPr="003B6E11" w:rsidTr="002D015D">
        <w:trPr>
          <w:cantSplit/>
          <w:jc w:val="center"/>
        </w:trPr>
        <w:tc>
          <w:tcPr>
            <w:tcW w:w="1342" w:type="dxa"/>
            <w:tcBorders>
              <w:top w:val="single" w:sz="4" w:space="0" w:color="auto"/>
              <w:bottom w:val="single" w:sz="4" w:space="0" w:color="auto"/>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7.05</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Navigační světla, jejich kryty, příslušenství a světelné zdroje</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Nadále lze používat navigační světla, jejich kryty, příslušenství a světelné zdroje, které splňují požadavky na barvu a intenzitu palubních světel a požadavky nutné k povolení navigačních světel pro plavbu na Rýně ke dni 30. listopadu 2009.</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tcPr>
          <w:p w:rsidR="00E82B25" w:rsidRPr="003B6E11" w:rsidRDefault="00E82B25" w:rsidP="002D015D">
            <w:pPr>
              <w:spacing w:before="60" w:after="60" w:line="240" w:lineRule="atLeast"/>
              <w:rPr>
                <w:rFonts w:cs="Arial"/>
                <w:color w:val="FF0000"/>
                <w:sz w:val="18"/>
                <w:szCs w:val="18"/>
                <w:lang w:val="cs-CZ"/>
              </w:rPr>
            </w:pPr>
            <w:r w:rsidRPr="003B6E11">
              <w:rPr>
                <w:sz w:val="18"/>
                <w:lang w:val="cs-CZ"/>
              </w:rPr>
              <w:t>1.12.2009</w:t>
            </w:r>
          </w:p>
        </w:tc>
      </w:tr>
      <w:tr w:rsidR="00E82B25" w:rsidRPr="003B6E11" w:rsidTr="002D015D">
        <w:trPr>
          <w:cantSplit/>
          <w:jc w:val="center"/>
        </w:trPr>
        <w:tc>
          <w:tcPr>
            <w:tcW w:w="1342" w:type="dxa"/>
            <w:tcBorders>
              <w:top w:val="single" w:sz="4" w:space="0" w:color="auto"/>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7.06</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Ukazatele rychlosti otáčení, které byly schváleny před 1.1.1990</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Ukazatele rychlosti otáčení, které byly schváleny před 1.1.1990 a byly instalovány před 1.1.2000, se mohou ponechat a používat až do obnovení osvědčení plavidla vnitrozemské plavby po 1.1.2015, pokud mají platné osvědčení o instalaci podle směrnice 2006/87/ES</w:t>
            </w:r>
            <w:r w:rsidRPr="003B6E11">
              <w:rPr>
                <w:sz w:val="18"/>
                <w:lang w:val="cs-CZ"/>
              </w:rPr>
              <w:footnoteReference w:id="39"/>
            </w:r>
            <w:r w:rsidRPr="003B6E11">
              <w:rPr>
                <w:sz w:val="18"/>
                <w:lang w:val="cs-CZ"/>
              </w:rPr>
              <w:t xml:space="preserve"> nebo podle rezoluce CCNR 1989-II-35.</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1.12.2009</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vMerge w:val="restart"/>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Zařízení pro radarovou navigaci a ukazatele rychlosti otáčení, které byly schváleny po 1.1.1990</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Zařízení pro radarovou navigaci a ukazatele rychlosti otáčení, které byly schváleny dne 1.1.1990 nebo po tomto datu v souladu s minimálními požadavky a zkušebními podmínkami pro radarová zařízení používaná při plavbě na Rýně, jakož i minimálními požadavky a zkušebními podmínkami pro ukazatele rychlosti otáčení používané při plavbě na Rýně, mohou být i nadále instalovány a používány, mají-li platné osvědčení o instalaci podle této normy, směrnice 2006/87/ES nebo rezoluce CCNR 1989-II-35</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p>
        </w:tc>
        <w:tc>
          <w:tcPr>
            <w:tcW w:w="1276" w:type="dxa"/>
          </w:tcPr>
          <w:p w:rsidR="00E82B25" w:rsidRPr="003B6E11" w:rsidRDefault="00E82B25" w:rsidP="002D015D">
            <w:pPr>
              <w:spacing w:before="120" w:after="120" w:line="240" w:lineRule="atLeast"/>
              <w:rPr>
                <w:rFonts w:cs="Arial"/>
                <w:sz w:val="18"/>
                <w:szCs w:val="18"/>
                <w:lang w:val="cs-CZ"/>
              </w:rPr>
            </w:pPr>
            <w:r w:rsidRPr="003B6E11">
              <w:rPr>
                <w:sz w:val="18"/>
                <w:lang w:val="cs-CZ"/>
              </w:rPr>
              <w:t>1.12.2009</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Zařízení pro radarovou navigaci a ukazatele rychlosti otáčení, které byly schváleny po 31.12.2006</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Zařízení pro radarovou navigaci a ukazatele rychlosti otáčení, které byly schváleny dne 31. 12. 2006 nebo po tomto datu v souladu s minimálními požadavky a zkušebními podmínkami stanovenými směrnicí 2006/87/ES, mohou být i nadále instalovány a používány, mají-li platné osvědčení o instalaci podle této normy nebo podle směrnice 2006/87/ES.</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p>
        </w:tc>
        <w:tc>
          <w:tcPr>
            <w:tcW w:w="1276" w:type="dxa"/>
          </w:tcPr>
          <w:p w:rsidR="00E82B25" w:rsidRPr="003B6E11" w:rsidRDefault="00E82B25" w:rsidP="002D015D">
            <w:pPr>
              <w:spacing w:before="120" w:after="120" w:line="240" w:lineRule="atLeast"/>
              <w:rPr>
                <w:rFonts w:cs="Arial"/>
                <w:sz w:val="18"/>
                <w:szCs w:val="18"/>
                <w:lang w:val="cs-CZ"/>
              </w:rPr>
            </w:pPr>
            <w:r w:rsidRPr="003B6E11">
              <w:rPr>
                <w:sz w:val="18"/>
                <w:lang w:val="cs-CZ"/>
              </w:rPr>
              <w:t>7.10.2018</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vMerge/>
            <w:tcBorders>
              <w:bottom w:val="single" w:sz="4" w:space="0" w:color="auto"/>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tcBorders>
              <w:bottom w:val="single" w:sz="4" w:space="0" w:color="auto"/>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Zařízení pro radarovou navigaci a ukazatele rychlosti otáčení, které byly schváleny po 1.12.2009</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Zařízení pro radarovou navigaci a ukazatele rychlosti otáčení, které byly schváleny dne 1. 12. 2009 nebo po tomto datu v souladu s minimálními požadavky a zkušebními podmínkami stanovenými rezolucí CCNR 2008-II-11, mohou být i nadále instalovány a používány, mají-li platné osvědčení o instalaci podle této normy nebo podle rezoluce CCNR 2008-II-11.</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p>
        </w:tc>
        <w:tc>
          <w:tcPr>
            <w:tcW w:w="1276" w:type="dxa"/>
          </w:tcPr>
          <w:p w:rsidR="00E82B25" w:rsidRPr="003B6E11" w:rsidRDefault="00E82B25" w:rsidP="002D015D">
            <w:pPr>
              <w:spacing w:before="120" w:after="120" w:line="240" w:lineRule="atLeast"/>
              <w:rPr>
                <w:rFonts w:cs="Arial"/>
                <w:sz w:val="18"/>
                <w:szCs w:val="18"/>
                <w:lang w:val="cs-CZ"/>
              </w:rPr>
            </w:pPr>
            <w:r w:rsidRPr="003B6E11">
              <w:rPr>
                <w:sz w:val="18"/>
                <w:lang w:val="cs-CZ"/>
              </w:rPr>
              <w:t>7.10.2018</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tcBorders>
              <w:bottom w:val="nil"/>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3</w:t>
            </w:r>
          </w:p>
        </w:tc>
        <w:tc>
          <w:tcPr>
            <w:tcW w:w="3296" w:type="dxa"/>
            <w:tcBorders>
              <w:bottom w:val="nil"/>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Zařízení pro vnitrozemský AIS</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Zařízení pro vnitrozemský AIS se schválením typu podle verzí 1.0 a 1.01 zkušební normy pro vnitrozemský AIS a instalovaná před 1. 12. 2015 se mohou používat i nadále.</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p>
        </w:tc>
        <w:tc>
          <w:tcPr>
            <w:tcW w:w="1276" w:type="dxa"/>
          </w:tcPr>
          <w:p w:rsidR="00E82B25" w:rsidRPr="003B6E11" w:rsidRDefault="00E82B25" w:rsidP="002D015D">
            <w:pPr>
              <w:spacing w:before="120" w:after="120" w:line="240" w:lineRule="atLeast"/>
              <w:rPr>
                <w:rFonts w:cs="Arial"/>
                <w:sz w:val="18"/>
                <w:szCs w:val="18"/>
                <w:lang w:val="cs-CZ"/>
              </w:rPr>
            </w:pPr>
            <w:r w:rsidRPr="003B6E11">
              <w:rPr>
                <w:sz w:val="18"/>
                <w:lang w:val="cs-CZ"/>
              </w:rPr>
              <w:t>1.12.2013</w:t>
            </w: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tcBorders>
              <w:top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tcBorders>
              <w:top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Zařízení pro vnitrozemský AIS, kterým bylo uděleno schválení dne 19. 10. 2012 nebo po tomto datu, podle požadavků verze 2.0 zkušební normy pro vnitrozemský AIS přijaté rezolucí CCNR 2012-II-20 mohou být i nadále instalována a používána.</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p>
        </w:tc>
        <w:tc>
          <w:tcPr>
            <w:tcW w:w="1276" w:type="dxa"/>
          </w:tcPr>
          <w:p w:rsidR="00E82B25" w:rsidRPr="003B6E11" w:rsidRDefault="00E82B25" w:rsidP="002D015D">
            <w:pPr>
              <w:spacing w:before="120" w:after="120" w:line="240" w:lineRule="atLeast"/>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val="restart"/>
            <w:tcBorders>
              <w:top w:val="nil"/>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7.12</w:t>
            </w:r>
          </w:p>
        </w:tc>
        <w:tc>
          <w:tcPr>
            <w:tcW w:w="1458" w:type="dxa"/>
            <w:shd w:val="clear" w:color="auto" w:fill="auto"/>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 xml:space="preserve">odst. 4 </w:t>
            </w:r>
            <w:r w:rsidRPr="003B6E11">
              <w:rPr>
                <w:rFonts w:cs="Arial"/>
                <w:sz w:val="18"/>
                <w:szCs w:val="18"/>
                <w:lang w:val="cs-CZ"/>
              </w:rPr>
              <w:br/>
            </w:r>
            <w:r w:rsidRPr="003B6E11">
              <w:rPr>
                <w:sz w:val="18"/>
                <w:lang w:val="cs-CZ"/>
              </w:rPr>
              <w:t>druhá věta</w:t>
            </w:r>
          </w:p>
        </w:tc>
        <w:tc>
          <w:tcPr>
            <w:tcW w:w="3296" w:type="dxa"/>
            <w:shd w:val="clear" w:color="auto" w:fill="auto"/>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Označení</w:t>
            </w:r>
          </w:p>
        </w:tc>
        <w:tc>
          <w:tcPr>
            <w:tcW w:w="5387" w:type="dxa"/>
            <w:shd w:val="clear" w:color="auto" w:fill="auto"/>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widowControl w:val="0"/>
              <w:spacing w:before="120" w:after="120" w:line="240" w:lineRule="atLeast"/>
              <w:rPr>
                <w:rFonts w:cs="Arial"/>
                <w:sz w:val="18"/>
                <w:szCs w:val="18"/>
                <w:lang w:val="cs-CZ"/>
              </w:rPr>
            </w:pPr>
          </w:p>
        </w:tc>
        <w:tc>
          <w:tcPr>
            <w:tcW w:w="1276" w:type="dxa"/>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1.1.2018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odst. 5</w:t>
            </w:r>
          </w:p>
        </w:tc>
        <w:tc>
          <w:tcPr>
            <w:tcW w:w="3296" w:type="dxa"/>
            <w:shd w:val="clear" w:color="auto" w:fill="auto"/>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Zastavování a uzamykání</w:t>
            </w:r>
          </w:p>
        </w:tc>
        <w:tc>
          <w:tcPr>
            <w:tcW w:w="5387" w:type="dxa"/>
            <w:shd w:val="clear" w:color="auto" w:fill="auto"/>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1.1.2025</w:t>
            </w:r>
          </w:p>
        </w:tc>
        <w:tc>
          <w:tcPr>
            <w:tcW w:w="1276" w:type="dxa"/>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1.1.2018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odst. 6</w:t>
            </w:r>
          </w:p>
        </w:tc>
        <w:tc>
          <w:tcPr>
            <w:tcW w:w="3296" w:type="dxa"/>
            <w:shd w:val="clear" w:color="auto" w:fill="auto"/>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Automatická deaktivace</w:t>
            </w:r>
          </w:p>
        </w:tc>
        <w:tc>
          <w:tcPr>
            <w:tcW w:w="5387" w:type="dxa"/>
            <w:shd w:val="clear" w:color="auto" w:fill="auto"/>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1.1.2025</w:t>
            </w:r>
          </w:p>
        </w:tc>
        <w:tc>
          <w:tcPr>
            <w:tcW w:w="1276" w:type="dxa"/>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1.1.2018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widowControl w:val="0"/>
              <w:spacing w:before="120" w:after="120" w:line="240" w:lineRule="atLeast"/>
              <w:ind w:left="-15" w:firstLine="15"/>
              <w:rPr>
                <w:rFonts w:cs="Arial"/>
                <w:sz w:val="18"/>
                <w:szCs w:val="18"/>
                <w:lang w:val="cs-CZ"/>
              </w:rPr>
            </w:pPr>
            <w:r w:rsidRPr="003B6E11">
              <w:rPr>
                <w:sz w:val="18"/>
                <w:lang w:val="cs-CZ"/>
              </w:rPr>
              <w:t xml:space="preserve">odst. 7 </w:t>
            </w:r>
            <w:r w:rsidRPr="003B6E11">
              <w:rPr>
                <w:rFonts w:cs="Arial"/>
                <w:sz w:val="18"/>
                <w:szCs w:val="18"/>
                <w:lang w:val="cs-CZ"/>
              </w:rPr>
              <w:br/>
            </w:r>
            <w:r w:rsidRPr="003B6E11">
              <w:rPr>
                <w:sz w:val="18"/>
                <w:lang w:val="cs-CZ"/>
              </w:rPr>
              <w:t>první a druhá věta</w:t>
            </w:r>
          </w:p>
        </w:tc>
        <w:tc>
          <w:tcPr>
            <w:tcW w:w="3296" w:type="dxa"/>
            <w:shd w:val="clear" w:color="auto" w:fill="auto"/>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Uspořádání a ochranné prvky</w:t>
            </w:r>
          </w:p>
        </w:tc>
        <w:tc>
          <w:tcPr>
            <w:tcW w:w="5387" w:type="dxa"/>
            <w:shd w:val="clear" w:color="auto" w:fill="auto"/>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1.1.2025</w:t>
            </w:r>
          </w:p>
        </w:tc>
        <w:tc>
          <w:tcPr>
            <w:tcW w:w="1276" w:type="dxa"/>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1.1.2018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widowControl w:val="0"/>
              <w:spacing w:before="120" w:after="120" w:line="240" w:lineRule="atLeast"/>
              <w:ind w:left="-15" w:firstLine="15"/>
              <w:rPr>
                <w:rFonts w:cs="Arial"/>
                <w:sz w:val="18"/>
                <w:szCs w:val="18"/>
                <w:lang w:val="cs-CZ"/>
              </w:rPr>
            </w:pPr>
            <w:r w:rsidRPr="003B6E11">
              <w:rPr>
                <w:sz w:val="18"/>
                <w:lang w:val="cs-CZ"/>
              </w:rPr>
              <w:t xml:space="preserve">odst. 7 </w:t>
            </w:r>
            <w:r w:rsidRPr="003B6E11">
              <w:rPr>
                <w:rFonts w:cs="Arial"/>
                <w:sz w:val="18"/>
                <w:szCs w:val="18"/>
                <w:lang w:val="cs-CZ"/>
              </w:rPr>
              <w:br/>
            </w:r>
            <w:r w:rsidRPr="003B6E11">
              <w:rPr>
                <w:sz w:val="18"/>
                <w:lang w:val="cs-CZ"/>
              </w:rPr>
              <w:t>třetí věta</w:t>
            </w:r>
          </w:p>
        </w:tc>
        <w:tc>
          <w:tcPr>
            <w:tcW w:w="3296" w:type="dxa"/>
            <w:shd w:val="clear" w:color="auto" w:fill="auto"/>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Optický signál</w:t>
            </w:r>
          </w:p>
        </w:tc>
        <w:tc>
          <w:tcPr>
            <w:tcW w:w="5387" w:type="dxa"/>
            <w:shd w:val="clear" w:color="auto" w:fill="auto"/>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widowControl w:val="0"/>
              <w:spacing w:before="120" w:after="120" w:line="240" w:lineRule="atLeast"/>
              <w:rPr>
                <w:rFonts w:cs="Arial"/>
                <w:sz w:val="18"/>
                <w:szCs w:val="18"/>
                <w:lang w:val="cs-CZ"/>
              </w:rPr>
            </w:pPr>
          </w:p>
        </w:tc>
        <w:tc>
          <w:tcPr>
            <w:tcW w:w="1276" w:type="dxa"/>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1.1.2018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odst. 8</w:t>
            </w:r>
          </w:p>
        </w:tc>
        <w:tc>
          <w:tcPr>
            <w:tcW w:w="3296" w:type="dxa"/>
            <w:shd w:val="clear" w:color="auto" w:fill="auto"/>
          </w:tcPr>
          <w:p w:rsidR="00E82B25" w:rsidRPr="003B6E11" w:rsidRDefault="00E82B25" w:rsidP="002D015D">
            <w:pPr>
              <w:widowControl w:val="0"/>
              <w:tabs>
                <w:tab w:val="left" w:pos="1260"/>
              </w:tabs>
              <w:adjustRightInd w:val="0"/>
              <w:spacing w:before="120" w:after="120" w:line="240" w:lineRule="atLeast"/>
              <w:rPr>
                <w:rFonts w:cs="Arial"/>
                <w:sz w:val="18"/>
                <w:szCs w:val="18"/>
                <w:lang w:val="cs-CZ"/>
              </w:rPr>
            </w:pPr>
            <w:r w:rsidRPr="003B6E11">
              <w:rPr>
                <w:sz w:val="18"/>
                <w:lang w:val="cs-CZ"/>
              </w:rPr>
              <w:t>Systém nouzového spouštění</w:t>
            </w:r>
          </w:p>
        </w:tc>
        <w:tc>
          <w:tcPr>
            <w:tcW w:w="5387" w:type="dxa"/>
            <w:shd w:val="clear" w:color="auto" w:fill="auto"/>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Není-li možné hydraulické spouštění: N.V.P., nejpozději při obnovení osvědčení plavidla vnitrozemské plavby po</w:t>
            </w:r>
          </w:p>
        </w:tc>
        <w:tc>
          <w:tcPr>
            <w:tcW w:w="1276" w:type="dxa"/>
            <w:shd w:val="clear" w:color="auto" w:fill="auto"/>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1.1.2040</w:t>
            </w:r>
          </w:p>
        </w:tc>
        <w:tc>
          <w:tcPr>
            <w:tcW w:w="1276" w:type="dxa"/>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1.1.2018</w:t>
            </w:r>
          </w:p>
        </w:tc>
      </w:tr>
      <w:tr w:rsidR="00E82B25" w:rsidRPr="003B6E11" w:rsidTr="002D015D">
        <w:trPr>
          <w:cantSplit/>
          <w:trHeight w:val="163"/>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vMerge w:val="restart"/>
            <w:shd w:val="clear" w:color="auto" w:fill="auto"/>
          </w:tcPr>
          <w:p w:rsidR="00E82B25" w:rsidRPr="003B6E11" w:rsidDel="00F12D85" w:rsidRDefault="00E82B25" w:rsidP="002D015D">
            <w:pPr>
              <w:widowControl w:val="0"/>
              <w:spacing w:before="120" w:after="120" w:line="240" w:lineRule="atLeast"/>
              <w:rPr>
                <w:rFonts w:cs="Arial"/>
                <w:sz w:val="18"/>
                <w:szCs w:val="18"/>
                <w:lang w:val="cs-CZ"/>
              </w:rPr>
            </w:pPr>
            <w:r w:rsidRPr="003B6E11">
              <w:rPr>
                <w:sz w:val="18"/>
                <w:lang w:val="cs-CZ"/>
              </w:rPr>
              <w:t>odst. 12 písm. c)</w:t>
            </w:r>
          </w:p>
        </w:tc>
        <w:tc>
          <w:tcPr>
            <w:tcW w:w="3296" w:type="dxa"/>
            <w:vMerge w:val="restart"/>
            <w:shd w:val="clear" w:color="auto" w:fill="auto"/>
          </w:tcPr>
          <w:p w:rsidR="00E82B25" w:rsidRPr="003B6E11" w:rsidRDefault="00E82B25" w:rsidP="002D015D">
            <w:pPr>
              <w:widowControl w:val="0"/>
              <w:tabs>
                <w:tab w:val="left" w:pos="1260"/>
              </w:tabs>
              <w:adjustRightInd w:val="0"/>
              <w:spacing w:before="120" w:after="120" w:line="240" w:lineRule="atLeast"/>
              <w:rPr>
                <w:rFonts w:cs="Arial"/>
                <w:sz w:val="18"/>
                <w:szCs w:val="18"/>
                <w:lang w:val="cs-CZ"/>
              </w:rPr>
            </w:pPr>
            <w:r w:rsidRPr="003B6E11">
              <w:rPr>
                <w:sz w:val="18"/>
                <w:lang w:val="cs-CZ"/>
              </w:rPr>
              <w:t>Zkoušky</w:t>
            </w:r>
          </w:p>
        </w:tc>
        <w:tc>
          <w:tcPr>
            <w:tcW w:w="5387" w:type="dxa"/>
            <w:shd w:val="clear" w:color="auto" w:fill="auto"/>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N.V.P., nejpozději při obnovení osvědčení plavidla vnitrozemské plavby</w:t>
            </w:r>
          </w:p>
        </w:tc>
        <w:tc>
          <w:tcPr>
            <w:tcW w:w="1276" w:type="dxa"/>
            <w:vMerge w:val="restart"/>
            <w:shd w:val="clear" w:color="auto" w:fill="auto"/>
          </w:tcPr>
          <w:p w:rsidR="00E82B25" w:rsidRPr="003B6E11" w:rsidRDefault="00E82B25" w:rsidP="002D015D">
            <w:pPr>
              <w:widowControl w:val="0"/>
              <w:spacing w:before="120" w:after="120" w:line="240" w:lineRule="atLeast"/>
              <w:rPr>
                <w:rFonts w:cs="Arial"/>
                <w:sz w:val="18"/>
                <w:szCs w:val="18"/>
                <w:lang w:val="cs-CZ"/>
              </w:rPr>
            </w:pPr>
          </w:p>
        </w:tc>
        <w:tc>
          <w:tcPr>
            <w:tcW w:w="1276" w:type="dxa"/>
            <w:vMerge w:val="restart"/>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1.1.2018</w:t>
            </w:r>
          </w:p>
        </w:tc>
      </w:tr>
      <w:tr w:rsidR="00E82B25" w:rsidRPr="003B6E11" w:rsidTr="002D015D">
        <w:trPr>
          <w:cantSplit/>
          <w:trHeight w:val="163"/>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vMerge/>
            <w:shd w:val="clear" w:color="auto" w:fill="auto"/>
          </w:tcPr>
          <w:p w:rsidR="00E82B25" w:rsidRPr="003B6E11" w:rsidRDefault="00E82B25" w:rsidP="002D015D">
            <w:pPr>
              <w:widowControl w:val="0"/>
              <w:spacing w:before="120" w:after="120" w:line="240" w:lineRule="atLeast"/>
              <w:rPr>
                <w:rFonts w:cs="Arial"/>
                <w:sz w:val="18"/>
                <w:szCs w:val="18"/>
                <w:highlight w:val="lightGray"/>
                <w:lang w:val="cs-CZ"/>
              </w:rPr>
            </w:pPr>
          </w:p>
        </w:tc>
        <w:tc>
          <w:tcPr>
            <w:tcW w:w="3296" w:type="dxa"/>
            <w:vMerge/>
            <w:shd w:val="clear" w:color="auto" w:fill="auto"/>
          </w:tcPr>
          <w:p w:rsidR="00E82B25" w:rsidRPr="003B6E11" w:rsidRDefault="00E82B25" w:rsidP="002D015D">
            <w:pPr>
              <w:widowControl w:val="0"/>
              <w:tabs>
                <w:tab w:val="left" w:pos="1260"/>
              </w:tabs>
              <w:adjustRightInd w:val="0"/>
              <w:spacing w:before="120" w:after="120" w:line="240" w:lineRule="atLeast"/>
              <w:rPr>
                <w:rFonts w:cs="Arial"/>
                <w:sz w:val="18"/>
                <w:szCs w:val="18"/>
                <w:highlight w:val="lightGray"/>
                <w:lang w:val="cs-CZ"/>
              </w:rPr>
            </w:pPr>
          </w:p>
        </w:tc>
        <w:tc>
          <w:tcPr>
            <w:tcW w:w="5387" w:type="dxa"/>
            <w:shd w:val="clear" w:color="auto" w:fill="auto"/>
          </w:tcPr>
          <w:p w:rsidR="00E82B25" w:rsidRPr="003B6E11" w:rsidRDefault="00E82B25" w:rsidP="002D015D">
            <w:pPr>
              <w:widowControl w:val="0"/>
              <w:spacing w:before="120" w:after="120" w:line="240" w:lineRule="atLeast"/>
              <w:rPr>
                <w:rFonts w:cs="Arial"/>
                <w:sz w:val="18"/>
                <w:szCs w:val="18"/>
                <w:lang w:val="cs-CZ"/>
              </w:rPr>
            </w:pPr>
            <w:r w:rsidRPr="003B6E11">
              <w:rPr>
                <w:sz w:val="18"/>
                <w:lang w:val="cs-CZ"/>
              </w:rPr>
              <w:t>Nelze-li poskytnout matematický důkaz, může subjekt pověřený prohlídkami uznat za rovnocenný jiný vhodný důkaz.</w:t>
            </w:r>
          </w:p>
        </w:tc>
        <w:tc>
          <w:tcPr>
            <w:tcW w:w="1276" w:type="dxa"/>
            <w:vMerge/>
            <w:shd w:val="clear" w:color="auto" w:fill="auto"/>
          </w:tcPr>
          <w:p w:rsidR="00E82B25" w:rsidRPr="003B6E11" w:rsidRDefault="00E82B25" w:rsidP="002D015D">
            <w:pPr>
              <w:widowControl w:val="0"/>
              <w:spacing w:before="120" w:after="120" w:line="240" w:lineRule="atLeast"/>
              <w:rPr>
                <w:rFonts w:cs="Arial"/>
                <w:sz w:val="18"/>
                <w:szCs w:val="18"/>
                <w:highlight w:val="lightGray"/>
                <w:lang w:val="cs-CZ"/>
              </w:rPr>
            </w:pPr>
          </w:p>
        </w:tc>
        <w:tc>
          <w:tcPr>
            <w:tcW w:w="1276" w:type="dxa"/>
            <w:vMerge/>
          </w:tcPr>
          <w:p w:rsidR="00E82B25" w:rsidRPr="003B6E11" w:rsidRDefault="00E82B25" w:rsidP="002D015D">
            <w:pPr>
              <w:widowControl w:val="0"/>
              <w:spacing w:before="120" w:after="120" w:line="240" w:lineRule="atLeast"/>
              <w:rPr>
                <w:rFonts w:cs="Arial"/>
                <w:sz w:val="18"/>
                <w:szCs w:val="18"/>
                <w:highlight w:val="lightGray"/>
                <w:lang w:val="cs-CZ"/>
              </w:rPr>
            </w:pP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20" w:after="120" w:line="240" w:lineRule="atLeast"/>
              <w:jc w:val="center"/>
              <w:rPr>
                <w:rFonts w:cs="Arial"/>
                <w:sz w:val="18"/>
                <w:szCs w:val="18"/>
                <w:lang w:val="cs-CZ"/>
              </w:rPr>
            </w:pPr>
            <w:r w:rsidRPr="003B6E11">
              <w:rPr>
                <w:b/>
                <w:sz w:val="18"/>
                <w:lang w:val="cs-CZ"/>
              </w:rPr>
              <w:t>KAPITOLA 8</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p>
        </w:tc>
        <w:tc>
          <w:tcPr>
            <w:tcW w:w="1276" w:type="dxa"/>
          </w:tcPr>
          <w:p w:rsidR="00E82B25" w:rsidRPr="003B6E11" w:rsidRDefault="00E82B25" w:rsidP="002D015D">
            <w:pPr>
              <w:spacing w:before="120" w:after="120" w:line="240" w:lineRule="atLeast"/>
              <w:rPr>
                <w:rFonts w:cs="Arial"/>
                <w:sz w:val="18"/>
                <w:szCs w:val="18"/>
                <w:lang w:val="cs-CZ"/>
              </w:rPr>
            </w:pP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8.02</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Zakrytí potrubí</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1.1.2025</w:t>
            </w:r>
          </w:p>
        </w:tc>
        <w:tc>
          <w:tcPr>
            <w:tcW w:w="1276" w:type="dxa"/>
          </w:tcPr>
          <w:p w:rsidR="00E82B25" w:rsidRPr="003B6E11" w:rsidRDefault="00E82B25" w:rsidP="002D015D">
            <w:pPr>
              <w:spacing w:before="120" w:after="120" w:line="240" w:lineRule="atLeast"/>
              <w:rPr>
                <w:rFonts w:cs="Arial"/>
                <w:sz w:val="18"/>
                <w:szCs w:val="18"/>
                <w:lang w:val="cs-CZ"/>
              </w:rPr>
            </w:pPr>
            <w:r w:rsidRPr="003B6E11">
              <w:rPr>
                <w:sz w:val="18"/>
                <w:lang w:val="cs-CZ"/>
              </w:rPr>
              <w:t>1.4.2007</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5</w:t>
            </w:r>
          </w:p>
        </w:tc>
        <w:tc>
          <w:tcPr>
            <w:tcW w:w="3296" w:type="dxa"/>
            <w:shd w:val="clear" w:color="auto" w:fill="auto"/>
          </w:tcPr>
          <w:p w:rsidR="00E82B25" w:rsidRPr="003B6E11" w:rsidRDefault="00E82B25" w:rsidP="002D015D">
            <w:pPr>
              <w:spacing w:before="120" w:after="120" w:line="240" w:lineRule="atLeast"/>
              <w:rPr>
                <w:rFonts w:cs="Arial"/>
                <w:noProof/>
                <w:sz w:val="18"/>
                <w:szCs w:val="18"/>
                <w:lang w:val="cs-CZ"/>
              </w:rPr>
            </w:pPr>
            <w:r w:rsidRPr="003B6E11">
              <w:rPr>
                <w:noProof/>
                <w:sz w:val="18"/>
                <w:lang w:val="cs-CZ"/>
              </w:rPr>
              <w:t>Opláštěná potrubní soustava</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1.1.2025</w:t>
            </w:r>
          </w:p>
        </w:tc>
        <w:tc>
          <w:tcPr>
            <w:tcW w:w="1276" w:type="dxa"/>
          </w:tcPr>
          <w:p w:rsidR="00E82B25" w:rsidRPr="003B6E11" w:rsidRDefault="00E82B25" w:rsidP="002D015D">
            <w:pPr>
              <w:spacing w:before="120" w:after="120" w:line="240" w:lineRule="atLeast"/>
              <w:rPr>
                <w:rFonts w:cs="Arial"/>
                <w:sz w:val="18"/>
                <w:szCs w:val="18"/>
                <w:lang w:val="cs-CZ"/>
              </w:rPr>
            </w:pPr>
            <w:r w:rsidRPr="003B6E11">
              <w:rPr>
                <w:sz w:val="18"/>
                <w:lang w:val="cs-CZ"/>
              </w:rPr>
              <w:t>1.4.2007</w:t>
            </w: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8.03</w:t>
            </w:r>
          </w:p>
        </w:tc>
        <w:tc>
          <w:tcPr>
            <w:tcW w:w="1458"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noProof/>
                <w:sz w:val="18"/>
                <w:lang w:val="cs-CZ"/>
              </w:rPr>
              <w:t>Monitorovací zařízení</w:t>
            </w:r>
          </w:p>
        </w:tc>
        <w:tc>
          <w:tcPr>
            <w:tcW w:w="5387"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1.1.2010</w:t>
            </w:r>
          </w:p>
        </w:tc>
        <w:tc>
          <w:tcPr>
            <w:tcW w:w="1276" w:type="dxa"/>
          </w:tcPr>
          <w:p w:rsidR="00E82B25" w:rsidRPr="003B6E11" w:rsidRDefault="00E82B25" w:rsidP="002D015D">
            <w:pPr>
              <w:spacing w:before="240" w:after="240" w:line="240" w:lineRule="atLeast"/>
              <w:rPr>
                <w:rFonts w:cs="Arial"/>
                <w:sz w:val="18"/>
                <w:szCs w:val="18"/>
                <w:lang w:val="cs-CZ"/>
              </w:rPr>
            </w:pPr>
            <w:r w:rsidRPr="003B6E11">
              <w:rPr>
                <w:sz w:val="18"/>
                <w:lang w:val="cs-CZ"/>
              </w:rPr>
              <w:t>1.4.2004</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8.05</w:t>
            </w:r>
          </w:p>
        </w:tc>
        <w:tc>
          <w:tcPr>
            <w:tcW w:w="1458"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Žádné palivové nádrže za záďovou přepážkou</w:t>
            </w:r>
          </w:p>
        </w:tc>
        <w:tc>
          <w:tcPr>
            <w:tcW w:w="5387"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1.1.2035</w:t>
            </w:r>
          </w:p>
        </w:tc>
        <w:tc>
          <w:tcPr>
            <w:tcW w:w="1276" w:type="dxa"/>
          </w:tcPr>
          <w:p w:rsidR="00E82B25" w:rsidRPr="003B6E11" w:rsidRDefault="00E82B25" w:rsidP="002D015D">
            <w:pPr>
              <w:spacing w:before="240" w:after="240" w:line="240" w:lineRule="atLeast"/>
              <w:rPr>
                <w:rFonts w:cs="Arial"/>
                <w:sz w:val="18"/>
                <w:szCs w:val="18"/>
                <w:lang w:val="cs-CZ"/>
              </w:rPr>
            </w:pPr>
            <w:r w:rsidRPr="003B6E11">
              <w:rPr>
                <w:sz w:val="18"/>
                <w:lang w:val="cs-CZ"/>
              </w:rPr>
              <w:t>7.10.2018</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240" w:after="240" w:line="240" w:lineRule="atLeast"/>
              <w:rPr>
                <w:rFonts w:cs="Arial"/>
                <w:sz w:val="18"/>
                <w:szCs w:val="18"/>
                <w:lang w:val="cs-CZ"/>
              </w:rPr>
            </w:pPr>
          </w:p>
        </w:tc>
        <w:tc>
          <w:tcPr>
            <w:tcW w:w="1458"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odst. 7 první věta</w:t>
            </w:r>
          </w:p>
        </w:tc>
        <w:tc>
          <w:tcPr>
            <w:tcW w:w="3296"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Rychlouzavírací ventil nádrže, který lze obsluhovat z paluby, i když jsou dotyčné prostory uzavřeny</w:t>
            </w:r>
          </w:p>
        </w:tc>
        <w:tc>
          <w:tcPr>
            <w:tcW w:w="5387"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1.1.2015</w:t>
            </w:r>
          </w:p>
        </w:tc>
        <w:tc>
          <w:tcPr>
            <w:tcW w:w="1276" w:type="dxa"/>
          </w:tcPr>
          <w:p w:rsidR="00E82B25" w:rsidRPr="003B6E11" w:rsidRDefault="00E82B25" w:rsidP="002D015D">
            <w:pPr>
              <w:spacing w:before="240" w:after="240" w:line="240" w:lineRule="atLeast"/>
              <w:rPr>
                <w:rFonts w:cs="Arial"/>
                <w:sz w:val="18"/>
                <w:szCs w:val="18"/>
                <w:lang w:val="cs-CZ"/>
              </w:rPr>
            </w:pPr>
            <w:r w:rsidRPr="003B6E11">
              <w:rPr>
                <w:sz w:val="18"/>
                <w:lang w:val="cs-CZ"/>
              </w:rPr>
              <w:t>1.4.2008</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240" w:after="240" w:line="240" w:lineRule="atLeast"/>
              <w:rPr>
                <w:rFonts w:cs="Arial"/>
                <w:sz w:val="18"/>
                <w:szCs w:val="18"/>
                <w:lang w:val="cs-CZ"/>
              </w:rPr>
            </w:pPr>
          </w:p>
        </w:tc>
        <w:tc>
          <w:tcPr>
            <w:tcW w:w="1458"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odst. 9 druhá věta</w:t>
            </w:r>
          </w:p>
        </w:tc>
        <w:tc>
          <w:tcPr>
            <w:tcW w:w="3296"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noProof/>
                <w:sz w:val="18"/>
                <w:lang w:val="cs-CZ"/>
              </w:rPr>
              <w:t>Měřicí zařízení čitelná až po nejvyšší hladinu plnění nádrže</w:t>
            </w:r>
          </w:p>
        </w:tc>
        <w:tc>
          <w:tcPr>
            <w:tcW w:w="5387"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1.1.2010</w:t>
            </w:r>
          </w:p>
        </w:tc>
        <w:tc>
          <w:tcPr>
            <w:tcW w:w="1276" w:type="dxa"/>
          </w:tcPr>
          <w:p w:rsidR="00E82B25" w:rsidRPr="003B6E11" w:rsidRDefault="00E82B25" w:rsidP="002D015D">
            <w:pPr>
              <w:spacing w:before="240" w:after="240" w:line="240" w:lineRule="atLeast"/>
              <w:rPr>
                <w:rFonts w:cs="Arial"/>
                <w:sz w:val="18"/>
                <w:szCs w:val="18"/>
                <w:lang w:val="cs-CZ"/>
              </w:rPr>
            </w:pPr>
            <w:r w:rsidRPr="003B6E11">
              <w:rPr>
                <w:sz w:val="18"/>
                <w:lang w:val="cs-CZ"/>
              </w:rPr>
              <w:t>1.4.1999</w:t>
            </w: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240" w:after="240" w:line="240" w:lineRule="atLeast"/>
              <w:rPr>
                <w:rFonts w:cs="Arial"/>
                <w:sz w:val="18"/>
                <w:szCs w:val="18"/>
                <w:lang w:val="cs-CZ"/>
              </w:rPr>
            </w:pPr>
          </w:p>
        </w:tc>
        <w:tc>
          <w:tcPr>
            <w:tcW w:w="1458"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odst. 13</w:t>
            </w:r>
          </w:p>
        </w:tc>
        <w:tc>
          <w:tcPr>
            <w:tcW w:w="3296"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noProof/>
                <w:sz w:val="18"/>
                <w:lang w:val="cs-CZ"/>
              </w:rPr>
              <w:t>Kontrola výše hladiny nejen u hlavních motorů, ale také u motorů potřebných pro bezpečný provoz plavidla</w:t>
            </w:r>
          </w:p>
        </w:tc>
        <w:tc>
          <w:tcPr>
            <w:tcW w:w="5387"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1.1.2015</w:t>
            </w:r>
          </w:p>
        </w:tc>
        <w:tc>
          <w:tcPr>
            <w:tcW w:w="1276" w:type="dxa"/>
          </w:tcPr>
          <w:p w:rsidR="00E82B25" w:rsidRPr="003B6E11" w:rsidRDefault="00E82B25" w:rsidP="002D015D">
            <w:pPr>
              <w:spacing w:before="240" w:after="240" w:line="240" w:lineRule="atLeast"/>
              <w:rPr>
                <w:rFonts w:cs="Arial"/>
                <w:sz w:val="18"/>
                <w:szCs w:val="18"/>
                <w:lang w:val="cs-CZ"/>
              </w:rPr>
            </w:pPr>
            <w:r w:rsidRPr="003B6E11">
              <w:rPr>
                <w:sz w:val="18"/>
                <w:lang w:val="cs-CZ"/>
              </w:rPr>
              <w:t>1.4.1999</w:t>
            </w:r>
          </w:p>
        </w:tc>
      </w:tr>
      <w:tr w:rsidR="00E82B25" w:rsidRPr="003B6E11" w:rsidTr="002D015D">
        <w:trPr>
          <w:cantSplit/>
          <w:jc w:val="center"/>
        </w:trPr>
        <w:tc>
          <w:tcPr>
            <w:tcW w:w="1342"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8.06</w:t>
            </w:r>
          </w:p>
        </w:tc>
        <w:tc>
          <w:tcPr>
            <w:tcW w:w="1458" w:type="dxa"/>
            <w:shd w:val="clear" w:color="auto" w:fill="auto"/>
          </w:tcPr>
          <w:p w:rsidR="00E82B25" w:rsidRPr="003B6E11" w:rsidRDefault="00E82B25" w:rsidP="002D015D">
            <w:pPr>
              <w:spacing w:before="240" w:after="240" w:line="240" w:lineRule="atLeast"/>
              <w:rPr>
                <w:rFonts w:cs="Arial"/>
                <w:sz w:val="18"/>
                <w:szCs w:val="18"/>
                <w:lang w:val="cs-CZ"/>
              </w:rPr>
            </w:pPr>
          </w:p>
        </w:tc>
        <w:tc>
          <w:tcPr>
            <w:tcW w:w="3296"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noProof/>
                <w:sz w:val="18"/>
                <w:lang w:val="cs-CZ"/>
              </w:rPr>
              <w:t>Nádrže na mazací olej, potrubí a příslušenství</w:t>
            </w:r>
          </w:p>
        </w:tc>
        <w:tc>
          <w:tcPr>
            <w:tcW w:w="5387"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240" w:after="240" w:line="240" w:lineRule="atLeast"/>
              <w:rPr>
                <w:rFonts w:cs="Arial"/>
                <w:sz w:val="18"/>
                <w:szCs w:val="18"/>
                <w:lang w:val="cs-CZ"/>
              </w:rPr>
            </w:pPr>
            <w:r w:rsidRPr="003B6E11">
              <w:rPr>
                <w:sz w:val="18"/>
                <w:lang w:val="cs-CZ"/>
              </w:rPr>
              <w:t>1.4.2007</w:t>
            </w:r>
          </w:p>
        </w:tc>
      </w:tr>
      <w:tr w:rsidR="00E82B25" w:rsidRPr="003B6E11" w:rsidTr="002D015D">
        <w:trPr>
          <w:cantSplit/>
          <w:jc w:val="center"/>
        </w:trPr>
        <w:tc>
          <w:tcPr>
            <w:tcW w:w="1342"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8.07</w:t>
            </w:r>
          </w:p>
        </w:tc>
        <w:tc>
          <w:tcPr>
            <w:tcW w:w="1458" w:type="dxa"/>
            <w:shd w:val="clear" w:color="auto" w:fill="auto"/>
          </w:tcPr>
          <w:p w:rsidR="00E82B25" w:rsidRPr="003B6E11" w:rsidRDefault="00E82B25" w:rsidP="002D015D">
            <w:pPr>
              <w:spacing w:before="240" w:after="240" w:line="240" w:lineRule="atLeast"/>
              <w:rPr>
                <w:rFonts w:cs="Arial"/>
                <w:sz w:val="18"/>
                <w:szCs w:val="18"/>
                <w:lang w:val="cs-CZ"/>
              </w:rPr>
            </w:pPr>
          </w:p>
        </w:tc>
        <w:tc>
          <w:tcPr>
            <w:tcW w:w="3296"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noProof/>
                <w:sz w:val="18"/>
                <w:lang w:val="cs-CZ"/>
              </w:rPr>
              <w:t>Nádrže na oleje používané v soustavách pro přenos sil a v ovládacích, pohonných a topných soustavách, potrubí a příslušenství</w:t>
            </w:r>
          </w:p>
        </w:tc>
        <w:tc>
          <w:tcPr>
            <w:tcW w:w="5387"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1.1.2045</w:t>
            </w:r>
          </w:p>
        </w:tc>
        <w:tc>
          <w:tcPr>
            <w:tcW w:w="1276" w:type="dxa"/>
            <w:tcBorders>
              <w:bottom w:val="single" w:sz="4" w:space="0" w:color="auto"/>
            </w:tcBorders>
          </w:tcPr>
          <w:p w:rsidR="00E82B25" w:rsidRPr="003B6E11" w:rsidRDefault="00E82B25" w:rsidP="002D015D">
            <w:pPr>
              <w:spacing w:before="240" w:after="240" w:line="240" w:lineRule="atLeast"/>
              <w:rPr>
                <w:rFonts w:cs="Arial"/>
                <w:sz w:val="18"/>
                <w:szCs w:val="18"/>
                <w:lang w:val="cs-CZ"/>
              </w:rPr>
            </w:pPr>
            <w:r w:rsidRPr="003B6E11">
              <w:rPr>
                <w:sz w:val="18"/>
                <w:lang w:val="cs-CZ"/>
              </w:rPr>
              <w:t>1.4.2007</w:t>
            </w:r>
          </w:p>
        </w:tc>
      </w:tr>
      <w:tr w:rsidR="00E82B25" w:rsidRPr="003B6E11" w:rsidTr="002D015D">
        <w:trPr>
          <w:cantSplit/>
          <w:jc w:val="center"/>
        </w:trPr>
        <w:tc>
          <w:tcPr>
            <w:tcW w:w="6096" w:type="dxa"/>
            <w:gridSpan w:val="3"/>
            <w:tcBorders>
              <w:bottom w:val="single" w:sz="4" w:space="0" w:color="auto"/>
            </w:tcBorders>
            <w:shd w:val="clear" w:color="auto" w:fill="auto"/>
          </w:tcPr>
          <w:p w:rsidR="00E82B25" w:rsidRPr="003B6E11" w:rsidRDefault="00E82B25" w:rsidP="002D015D">
            <w:pPr>
              <w:spacing w:before="80" w:after="80" w:line="240" w:lineRule="atLeast"/>
              <w:jc w:val="center"/>
              <w:rPr>
                <w:rFonts w:cs="Arial"/>
                <w:sz w:val="18"/>
                <w:szCs w:val="18"/>
                <w:lang w:val="cs-CZ"/>
              </w:rPr>
            </w:pPr>
            <w:r w:rsidRPr="003B6E11">
              <w:rPr>
                <w:b/>
                <w:sz w:val="18"/>
                <w:lang w:val="cs-CZ"/>
              </w:rPr>
              <w:t>KAPITOLA 9</w:t>
            </w:r>
          </w:p>
        </w:tc>
        <w:tc>
          <w:tcPr>
            <w:tcW w:w="5387" w:type="dxa"/>
            <w:tcBorders>
              <w:bottom w:val="single" w:sz="4" w:space="0" w:color="auto"/>
            </w:tcBorders>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Na motory, které jsou již na palubě instalovány a nemají schválení typu, se použije pouze článek 9.02.</w:t>
            </w:r>
          </w:p>
        </w:tc>
        <w:tc>
          <w:tcPr>
            <w:tcW w:w="1276" w:type="dxa"/>
            <w:tcBorders>
              <w:bottom w:val="single" w:sz="4" w:space="0" w:color="auto"/>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276" w:type="dxa"/>
            <w:tcBorders>
              <w:bottom w:val="nil"/>
            </w:tcBorders>
          </w:tcPr>
          <w:p w:rsidR="00E82B25" w:rsidRPr="003B6E11" w:rsidRDefault="00E82B25" w:rsidP="002D015D">
            <w:pPr>
              <w:spacing w:before="80" w:after="80" w:line="240" w:lineRule="atLeast"/>
              <w:rPr>
                <w:rFonts w:cs="Arial"/>
                <w:sz w:val="18"/>
                <w:szCs w:val="18"/>
                <w:lang w:val="cs-CZ"/>
              </w:rPr>
            </w:pPr>
            <w:r w:rsidRPr="003B6E11">
              <w:rPr>
                <w:sz w:val="18"/>
                <w:lang w:val="cs-CZ"/>
              </w:rPr>
              <w:t>7.10.2018</w:t>
            </w: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80" w:after="80" w:line="240" w:lineRule="atLeast"/>
              <w:rPr>
                <w:rFonts w:eastAsia="Calibri" w:cs="Arial"/>
                <w:sz w:val="18"/>
                <w:szCs w:val="18"/>
                <w:lang w:val="cs-CZ"/>
              </w:rPr>
            </w:pPr>
            <w:r w:rsidRPr="003B6E11">
              <w:rPr>
                <w:sz w:val="18"/>
                <w:lang w:val="cs-CZ"/>
              </w:rPr>
              <w:t>9.01</w:t>
            </w:r>
          </w:p>
        </w:tc>
        <w:tc>
          <w:tcPr>
            <w:tcW w:w="1458" w:type="dxa"/>
            <w:tcBorders>
              <w:bottom w:val="single" w:sz="4" w:space="0" w:color="auto"/>
            </w:tcBorders>
            <w:shd w:val="clear" w:color="auto" w:fill="auto"/>
          </w:tcPr>
          <w:p w:rsidR="00E82B25" w:rsidRPr="003B6E11" w:rsidRDefault="00E82B25" w:rsidP="002D015D">
            <w:pPr>
              <w:spacing w:before="80" w:after="80" w:line="240" w:lineRule="atLeast"/>
              <w:rPr>
                <w:rFonts w:eastAsia="Calibri" w:cs="Arial"/>
                <w:sz w:val="18"/>
                <w:szCs w:val="18"/>
                <w:lang w:val="cs-CZ"/>
              </w:rPr>
            </w:pPr>
            <w:r w:rsidRPr="003B6E11">
              <w:rPr>
                <w:sz w:val="18"/>
                <w:lang w:val="cs-CZ"/>
              </w:rPr>
              <w:t>odst. 1 až 4</w:t>
            </w:r>
          </w:p>
        </w:tc>
        <w:tc>
          <w:tcPr>
            <w:tcW w:w="3296" w:type="dxa"/>
            <w:tcBorders>
              <w:bottom w:val="single" w:sz="4" w:space="0" w:color="auto"/>
            </w:tcBorders>
            <w:shd w:val="clear" w:color="auto" w:fill="auto"/>
          </w:tcPr>
          <w:p w:rsidR="00E82B25" w:rsidRPr="003B6E11" w:rsidRDefault="00E82B25" w:rsidP="002D015D">
            <w:pPr>
              <w:spacing w:before="80" w:after="80" w:line="240" w:lineRule="atLeast"/>
              <w:rPr>
                <w:rFonts w:eastAsia="Calibri" w:cs="Arial"/>
                <w:sz w:val="18"/>
                <w:szCs w:val="18"/>
                <w:lang w:val="cs-CZ"/>
              </w:rPr>
            </w:pPr>
            <w:r w:rsidRPr="003B6E11">
              <w:rPr>
                <w:sz w:val="18"/>
                <w:lang w:val="cs-CZ"/>
              </w:rPr>
              <w:t>Obecná ustanovení</w:t>
            </w:r>
          </w:p>
        </w:tc>
        <w:tc>
          <w:tcPr>
            <w:tcW w:w="5387" w:type="dxa"/>
            <w:vMerge w:val="restart"/>
            <w:tcBorders>
              <w:right w:val="single" w:sz="4" w:space="0" w:color="auto"/>
            </w:tcBorders>
            <w:shd w:val="clear" w:color="auto" w:fill="auto"/>
            <w:vAlign w:val="center"/>
          </w:tcPr>
          <w:p w:rsidR="00E82B25" w:rsidRPr="003B6E11" w:rsidRDefault="00E82B25" w:rsidP="002D015D">
            <w:pPr>
              <w:spacing w:before="80" w:after="80" w:line="240" w:lineRule="atLeast"/>
              <w:rPr>
                <w:rFonts w:cs="Arial"/>
                <w:sz w:val="18"/>
                <w:szCs w:val="18"/>
                <w:lang w:val="cs-CZ"/>
              </w:rPr>
            </w:pPr>
            <w:r w:rsidRPr="003B6E11">
              <w:rPr>
                <w:sz w:val="18"/>
                <w:lang w:val="cs-CZ"/>
              </w:rPr>
              <w:t>U motorů, které splňují ustanovení o typu a montáži platné ke dni instalace: N.V.</w:t>
            </w:r>
          </w:p>
        </w:tc>
        <w:tc>
          <w:tcPr>
            <w:tcW w:w="1276" w:type="dxa"/>
            <w:tcBorders>
              <w:left w:val="single" w:sz="4" w:space="0" w:color="auto"/>
              <w:bottom w:val="nil"/>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276" w:type="dxa"/>
            <w:tcBorders>
              <w:top w:val="nil"/>
              <w:bottom w:val="nil"/>
            </w:tcBorders>
          </w:tcPr>
          <w:p w:rsidR="00E82B25" w:rsidRPr="003B6E11" w:rsidRDefault="00E82B25" w:rsidP="002D015D">
            <w:pPr>
              <w:spacing w:before="80" w:after="80" w:line="240" w:lineRule="atLeast"/>
              <w:rPr>
                <w:rFonts w:cs="Arial"/>
                <w:sz w:val="18"/>
                <w:szCs w:val="18"/>
                <w:lang w:val="cs-CZ"/>
              </w:rPr>
            </w:pPr>
          </w:p>
        </w:tc>
      </w:tr>
      <w:tr w:rsidR="00E82B25" w:rsidRPr="003B6E11" w:rsidTr="002D015D">
        <w:trPr>
          <w:cantSplit/>
          <w:jc w:val="center"/>
        </w:trPr>
        <w:tc>
          <w:tcPr>
            <w:tcW w:w="1342" w:type="dxa"/>
            <w:tcBorders>
              <w:top w:val="single" w:sz="4" w:space="0" w:color="auto"/>
              <w:bottom w:val="single" w:sz="4" w:space="0" w:color="auto"/>
              <w:right w:val="single" w:sz="4" w:space="0" w:color="auto"/>
            </w:tcBorders>
            <w:shd w:val="clear" w:color="auto" w:fill="auto"/>
          </w:tcPr>
          <w:p w:rsidR="00E82B25" w:rsidRPr="003B6E11" w:rsidRDefault="00E82B25" w:rsidP="002D015D">
            <w:pPr>
              <w:spacing w:before="80" w:after="80" w:line="240" w:lineRule="atLeast"/>
              <w:rPr>
                <w:sz w:val="18"/>
                <w:szCs w:val="18"/>
                <w:lang w:val="cs-CZ"/>
              </w:rPr>
            </w:pPr>
            <w:r w:rsidRPr="003B6E11">
              <w:rPr>
                <w:sz w:val="18"/>
                <w:lang w:val="cs-CZ"/>
              </w:rPr>
              <w:t>9.06</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E82B25" w:rsidRPr="003B6E11" w:rsidRDefault="00E82B25" w:rsidP="002D015D">
            <w:pPr>
              <w:spacing w:before="80" w:after="80" w:line="240" w:lineRule="atLeast"/>
              <w:rPr>
                <w:sz w:val="18"/>
                <w:szCs w:val="18"/>
                <w:lang w:val="cs-CZ"/>
              </w:rPr>
            </w:pPr>
          </w:p>
        </w:tc>
        <w:tc>
          <w:tcPr>
            <w:tcW w:w="3296" w:type="dxa"/>
            <w:tcBorders>
              <w:top w:val="single" w:sz="4" w:space="0" w:color="auto"/>
              <w:left w:val="single" w:sz="4" w:space="0" w:color="auto"/>
              <w:bottom w:val="single" w:sz="4" w:space="0" w:color="auto"/>
            </w:tcBorders>
            <w:shd w:val="clear" w:color="auto" w:fill="auto"/>
          </w:tcPr>
          <w:p w:rsidR="00E82B25" w:rsidRPr="003B6E11" w:rsidRDefault="00E82B25" w:rsidP="002D015D">
            <w:pPr>
              <w:spacing w:before="80" w:after="80" w:line="240" w:lineRule="atLeast"/>
              <w:rPr>
                <w:sz w:val="18"/>
                <w:szCs w:val="18"/>
                <w:lang w:val="cs-CZ"/>
              </w:rPr>
            </w:pPr>
            <w:r w:rsidRPr="003B6E11">
              <w:rPr>
                <w:sz w:val="18"/>
                <w:lang w:val="cs-CZ"/>
              </w:rPr>
              <w:t>Montážní zkoušky</w:t>
            </w:r>
          </w:p>
        </w:tc>
        <w:tc>
          <w:tcPr>
            <w:tcW w:w="5387" w:type="dxa"/>
            <w:vMerge/>
            <w:tcBorders>
              <w:right w:val="single" w:sz="4" w:space="0" w:color="auto"/>
            </w:tcBorders>
            <w:shd w:val="clear" w:color="auto" w:fill="auto"/>
          </w:tcPr>
          <w:p w:rsidR="00E82B25" w:rsidRPr="003B6E11" w:rsidRDefault="00E82B25" w:rsidP="002D015D">
            <w:pPr>
              <w:pStyle w:val="tbl-norm"/>
              <w:spacing w:before="80" w:beforeAutospacing="0" w:after="80" w:afterAutospacing="0" w:line="240" w:lineRule="atLeast"/>
              <w:jc w:val="both"/>
              <w:rPr>
                <w:rFonts w:cs="Arial"/>
                <w:sz w:val="18"/>
                <w:szCs w:val="18"/>
                <w:lang w:val="cs-CZ"/>
              </w:rPr>
            </w:pPr>
          </w:p>
        </w:tc>
        <w:tc>
          <w:tcPr>
            <w:tcW w:w="1276" w:type="dxa"/>
            <w:tcBorders>
              <w:top w:val="nil"/>
              <w:left w:val="single" w:sz="4" w:space="0" w:color="auto"/>
              <w:right w:val="single" w:sz="4" w:space="0" w:color="auto"/>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276" w:type="dxa"/>
            <w:tcBorders>
              <w:top w:val="nil"/>
              <w:left w:val="single" w:sz="4" w:space="0" w:color="auto"/>
            </w:tcBorders>
          </w:tcPr>
          <w:p w:rsidR="00E82B25" w:rsidRPr="003B6E11" w:rsidRDefault="00E82B25" w:rsidP="002D015D">
            <w:pPr>
              <w:spacing w:before="80" w:after="80" w:line="240" w:lineRule="atLeast"/>
              <w:rPr>
                <w:rFonts w:cs="Arial"/>
                <w:sz w:val="18"/>
                <w:szCs w:val="18"/>
                <w:lang w:val="cs-CZ"/>
              </w:rPr>
            </w:pPr>
          </w:p>
        </w:tc>
      </w:tr>
      <w:tr w:rsidR="00E82B25" w:rsidRPr="003B6E11" w:rsidTr="002D015D">
        <w:trPr>
          <w:cantSplit/>
          <w:jc w:val="center"/>
        </w:trPr>
        <w:tc>
          <w:tcPr>
            <w:tcW w:w="6096" w:type="dxa"/>
            <w:gridSpan w:val="3"/>
            <w:tcBorders>
              <w:top w:val="single" w:sz="4" w:space="0" w:color="auto"/>
            </w:tcBorders>
            <w:shd w:val="clear" w:color="auto" w:fill="auto"/>
          </w:tcPr>
          <w:p w:rsidR="00E82B25" w:rsidRPr="003B6E11" w:rsidRDefault="00E82B25" w:rsidP="002D015D">
            <w:pPr>
              <w:spacing w:before="80" w:after="80" w:line="240" w:lineRule="atLeast"/>
              <w:jc w:val="center"/>
              <w:rPr>
                <w:rFonts w:cs="Arial"/>
                <w:b/>
                <w:sz w:val="18"/>
                <w:szCs w:val="18"/>
                <w:lang w:val="cs-CZ"/>
              </w:rPr>
            </w:pPr>
            <w:r w:rsidRPr="003B6E11">
              <w:rPr>
                <w:b/>
                <w:sz w:val="18"/>
                <w:lang w:val="cs-CZ"/>
              </w:rPr>
              <w:t>KAPITOLA 10</w:t>
            </w:r>
          </w:p>
        </w:tc>
        <w:tc>
          <w:tcPr>
            <w:tcW w:w="5387" w:type="dxa"/>
            <w:shd w:val="clear" w:color="auto" w:fill="auto"/>
          </w:tcPr>
          <w:p w:rsidR="00E82B25" w:rsidRPr="003B6E11" w:rsidRDefault="00E82B25" w:rsidP="002D015D">
            <w:pPr>
              <w:spacing w:before="80" w:after="80" w:line="240" w:lineRule="atLeast"/>
              <w:jc w:val="center"/>
              <w:rPr>
                <w:rFonts w:cs="Arial"/>
                <w:sz w:val="18"/>
                <w:szCs w:val="18"/>
                <w:lang w:val="cs-CZ"/>
              </w:rPr>
            </w:pP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p>
        </w:tc>
        <w:tc>
          <w:tcPr>
            <w:tcW w:w="1276" w:type="dxa"/>
          </w:tcPr>
          <w:p w:rsidR="00E82B25" w:rsidRPr="003B6E11" w:rsidRDefault="00E82B25" w:rsidP="002D015D">
            <w:pPr>
              <w:spacing w:before="80" w:after="80" w:line="240" w:lineRule="atLeast"/>
              <w:jc w:val="center"/>
              <w:rPr>
                <w:rFonts w:cs="Arial"/>
                <w:sz w:val="18"/>
                <w:szCs w:val="18"/>
                <w:lang w:val="cs-CZ"/>
              </w:rPr>
            </w:pP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10.01</w:t>
            </w: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2 písm. e)</w:t>
            </w:r>
          </w:p>
        </w:tc>
        <w:tc>
          <w:tcPr>
            <w:tcW w:w="3296" w:type="dxa"/>
            <w:shd w:val="clear" w:color="auto" w:fill="auto"/>
          </w:tcPr>
          <w:p w:rsidR="00E82B25" w:rsidRPr="003B6E11" w:rsidRDefault="00E82B25" w:rsidP="002D015D">
            <w:pPr>
              <w:spacing w:before="80" w:after="80" w:line="240" w:lineRule="atLeast"/>
              <w:rPr>
                <w:rFonts w:cs="Arial"/>
                <w:noProof/>
                <w:sz w:val="18"/>
                <w:szCs w:val="18"/>
                <w:lang w:val="cs-CZ"/>
              </w:rPr>
            </w:pPr>
            <w:r w:rsidRPr="003B6E11">
              <w:rPr>
                <w:noProof/>
                <w:sz w:val="18"/>
                <w:lang w:val="cs-CZ"/>
              </w:rPr>
              <w:t>Plány rozvaděčů a dokumentace k elektrickému pohonnému motoru</w:t>
            </w:r>
          </w:p>
        </w:tc>
        <w:tc>
          <w:tcPr>
            <w:tcW w:w="5387"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p>
        </w:tc>
        <w:tc>
          <w:tcPr>
            <w:tcW w:w="1276" w:type="dxa"/>
          </w:tcPr>
          <w:p w:rsidR="00E82B25" w:rsidRPr="003B6E11" w:rsidRDefault="00E82B25" w:rsidP="002D015D">
            <w:pPr>
              <w:spacing w:before="80" w:after="8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2 písm. f)</w:t>
            </w:r>
          </w:p>
        </w:tc>
        <w:tc>
          <w:tcPr>
            <w:tcW w:w="3296" w:type="dxa"/>
            <w:shd w:val="clear" w:color="auto" w:fill="auto"/>
          </w:tcPr>
          <w:p w:rsidR="00E82B25" w:rsidRPr="003B6E11" w:rsidRDefault="00E82B25" w:rsidP="002D015D">
            <w:pPr>
              <w:spacing w:before="80" w:after="80" w:line="240" w:lineRule="atLeast"/>
              <w:rPr>
                <w:rFonts w:cs="Arial"/>
                <w:noProof/>
                <w:sz w:val="18"/>
                <w:szCs w:val="18"/>
                <w:lang w:val="cs-CZ"/>
              </w:rPr>
            </w:pPr>
            <w:r w:rsidRPr="003B6E11">
              <w:rPr>
                <w:noProof/>
                <w:sz w:val="18"/>
                <w:lang w:val="cs-CZ"/>
              </w:rPr>
              <w:t>Plány pro elektronické systémy</w:t>
            </w:r>
          </w:p>
        </w:tc>
        <w:tc>
          <w:tcPr>
            <w:tcW w:w="5387"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p>
        </w:tc>
        <w:tc>
          <w:tcPr>
            <w:tcW w:w="1276" w:type="dxa"/>
          </w:tcPr>
          <w:p w:rsidR="00E82B25" w:rsidRPr="003B6E11" w:rsidRDefault="00E82B25" w:rsidP="002D015D">
            <w:pPr>
              <w:spacing w:before="80" w:after="8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2 písm. g)</w:t>
            </w:r>
          </w:p>
        </w:tc>
        <w:tc>
          <w:tcPr>
            <w:tcW w:w="3296" w:type="dxa"/>
            <w:shd w:val="clear" w:color="auto" w:fill="auto"/>
          </w:tcPr>
          <w:p w:rsidR="00E82B25" w:rsidRPr="003B6E11" w:rsidRDefault="00E82B25" w:rsidP="002D015D">
            <w:pPr>
              <w:spacing w:before="80" w:after="80" w:line="240" w:lineRule="atLeast"/>
              <w:rPr>
                <w:rFonts w:cs="Arial"/>
                <w:noProof/>
                <w:sz w:val="18"/>
                <w:szCs w:val="18"/>
                <w:lang w:val="cs-CZ"/>
              </w:rPr>
            </w:pPr>
            <w:r w:rsidRPr="003B6E11">
              <w:rPr>
                <w:noProof/>
                <w:sz w:val="18"/>
                <w:lang w:val="cs-CZ"/>
              </w:rPr>
              <w:t>Plány řídicích obvodů</w:t>
            </w:r>
          </w:p>
        </w:tc>
        <w:tc>
          <w:tcPr>
            <w:tcW w:w="5387"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p>
        </w:tc>
        <w:tc>
          <w:tcPr>
            <w:tcW w:w="1276" w:type="dxa"/>
          </w:tcPr>
          <w:p w:rsidR="00E82B25" w:rsidRPr="003B6E11" w:rsidRDefault="00E82B25" w:rsidP="002D015D">
            <w:pPr>
              <w:spacing w:before="80" w:after="8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10.03</w:t>
            </w: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p>
        </w:tc>
        <w:tc>
          <w:tcPr>
            <w:tcW w:w="3296" w:type="dxa"/>
            <w:shd w:val="clear" w:color="auto" w:fill="auto"/>
          </w:tcPr>
          <w:p w:rsidR="00E82B25" w:rsidRPr="003B6E11" w:rsidRDefault="00E82B25" w:rsidP="002D015D">
            <w:pPr>
              <w:spacing w:before="80" w:after="80" w:line="240" w:lineRule="atLeast"/>
              <w:rPr>
                <w:rFonts w:cs="Arial"/>
                <w:noProof/>
                <w:sz w:val="18"/>
                <w:szCs w:val="18"/>
                <w:lang w:val="cs-CZ"/>
              </w:rPr>
            </w:pPr>
            <w:r w:rsidRPr="003B6E11">
              <w:rPr>
                <w:noProof/>
                <w:sz w:val="18"/>
                <w:lang w:val="cs-CZ"/>
              </w:rPr>
              <w:t>Typ ochrany podle místa instalace</w:t>
            </w:r>
          </w:p>
        </w:tc>
        <w:tc>
          <w:tcPr>
            <w:tcW w:w="5387"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p>
        </w:tc>
        <w:tc>
          <w:tcPr>
            <w:tcW w:w="1276" w:type="dxa"/>
          </w:tcPr>
          <w:p w:rsidR="00E82B25" w:rsidRPr="003B6E11" w:rsidRDefault="00E82B25" w:rsidP="002D015D">
            <w:pPr>
              <w:spacing w:before="80" w:after="8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10.04</w:t>
            </w: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p>
        </w:tc>
        <w:tc>
          <w:tcPr>
            <w:tcW w:w="3296" w:type="dxa"/>
            <w:shd w:val="clear" w:color="auto" w:fill="auto"/>
          </w:tcPr>
          <w:p w:rsidR="00E82B25" w:rsidRPr="003B6E11" w:rsidRDefault="00E82B25" w:rsidP="002D015D">
            <w:pPr>
              <w:spacing w:before="80" w:after="80" w:line="240" w:lineRule="atLeast"/>
              <w:rPr>
                <w:rFonts w:cs="Arial"/>
                <w:noProof/>
                <w:sz w:val="18"/>
                <w:szCs w:val="18"/>
                <w:lang w:val="cs-CZ"/>
              </w:rPr>
            </w:pPr>
            <w:r w:rsidRPr="003B6E11">
              <w:rPr>
                <w:noProof/>
                <w:sz w:val="18"/>
                <w:lang w:val="cs-CZ"/>
              </w:rPr>
              <w:t>Ochrana před výbuchem</w:t>
            </w:r>
          </w:p>
        </w:tc>
        <w:tc>
          <w:tcPr>
            <w:tcW w:w="5387"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p>
        </w:tc>
        <w:tc>
          <w:tcPr>
            <w:tcW w:w="1276" w:type="dxa"/>
          </w:tcPr>
          <w:p w:rsidR="00E82B25" w:rsidRPr="003B6E11" w:rsidRDefault="00E82B25" w:rsidP="002D015D">
            <w:pPr>
              <w:spacing w:before="80" w:after="8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10.05</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spacing w:before="100" w:after="100" w:line="240" w:lineRule="atLeast"/>
              <w:rPr>
                <w:rFonts w:cs="Arial"/>
                <w:noProof/>
                <w:sz w:val="18"/>
                <w:szCs w:val="18"/>
                <w:lang w:val="cs-CZ"/>
              </w:rPr>
            </w:pPr>
            <w:r w:rsidRPr="003B6E11">
              <w:rPr>
                <w:noProof/>
                <w:sz w:val="18"/>
                <w:lang w:val="cs-CZ"/>
              </w:rPr>
              <w:t>Průřez uzemňovacích vodičů</w:t>
            </w:r>
          </w:p>
        </w:tc>
        <w:tc>
          <w:tcPr>
            <w:tcW w:w="5387"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jc w:val="center"/>
              <w:rPr>
                <w:rFonts w:cs="Arial"/>
                <w:sz w:val="18"/>
                <w:szCs w:val="18"/>
                <w:lang w:val="cs-CZ"/>
              </w:rPr>
            </w:pPr>
          </w:p>
        </w:tc>
        <w:tc>
          <w:tcPr>
            <w:tcW w:w="1276" w:type="dxa"/>
          </w:tcPr>
          <w:p w:rsidR="00E82B25" w:rsidRPr="003B6E11" w:rsidRDefault="00E82B25" w:rsidP="002D015D">
            <w:pPr>
              <w:spacing w:before="100" w:after="10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 xml:space="preserve">10.06 </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1, tabulka</w:t>
            </w:r>
          </w:p>
        </w:tc>
        <w:tc>
          <w:tcPr>
            <w:tcW w:w="3296" w:type="dxa"/>
            <w:shd w:val="clear" w:color="auto" w:fill="auto"/>
          </w:tcPr>
          <w:p w:rsidR="00E82B25" w:rsidRPr="003B6E11" w:rsidRDefault="00E82B25" w:rsidP="002D015D">
            <w:pPr>
              <w:spacing w:before="100" w:after="100" w:line="240" w:lineRule="atLeast"/>
              <w:rPr>
                <w:rFonts w:cs="Arial"/>
                <w:noProof/>
                <w:sz w:val="18"/>
                <w:szCs w:val="18"/>
                <w:lang w:val="cs-CZ"/>
              </w:rPr>
            </w:pPr>
            <w:r w:rsidRPr="003B6E11">
              <w:rPr>
                <w:noProof/>
                <w:sz w:val="18"/>
                <w:lang w:val="cs-CZ"/>
              </w:rPr>
              <w:t>Třífázový střídavý proud</w:t>
            </w:r>
          </w:p>
        </w:tc>
        <w:tc>
          <w:tcPr>
            <w:tcW w:w="5387"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jc w:val="center"/>
              <w:rPr>
                <w:rFonts w:cs="Arial"/>
                <w:sz w:val="18"/>
                <w:szCs w:val="18"/>
                <w:lang w:val="cs-CZ"/>
              </w:rPr>
            </w:pPr>
          </w:p>
        </w:tc>
        <w:tc>
          <w:tcPr>
            <w:tcW w:w="1276" w:type="dxa"/>
          </w:tcPr>
          <w:p w:rsidR="00E82B25" w:rsidRPr="003B6E11" w:rsidRDefault="00E82B25" w:rsidP="002D015D">
            <w:pPr>
              <w:spacing w:before="100" w:after="10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10.08</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00" w:after="100" w:line="240" w:lineRule="atLeast"/>
              <w:rPr>
                <w:rFonts w:cs="Arial"/>
                <w:noProof/>
                <w:sz w:val="18"/>
                <w:szCs w:val="18"/>
                <w:lang w:val="cs-CZ"/>
              </w:rPr>
            </w:pPr>
            <w:r w:rsidRPr="003B6E11">
              <w:rPr>
                <w:noProof/>
                <w:sz w:val="18"/>
                <w:lang w:val="cs-CZ"/>
              </w:rPr>
              <w:t>Soulad s evropskými normami EN 15869-1, EN 15869</w:t>
            </w:r>
            <w:r w:rsidRPr="003B6E11">
              <w:rPr>
                <w:lang w:val="cs-CZ"/>
              </w:rPr>
              <w:softHyphen/>
            </w:r>
            <w:r w:rsidRPr="003B6E11">
              <w:rPr>
                <w:noProof/>
                <w:sz w:val="18"/>
                <w:lang w:val="cs-CZ"/>
              </w:rPr>
              <w:t>3 a EN 16840</w:t>
            </w:r>
          </w:p>
        </w:tc>
        <w:tc>
          <w:tcPr>
            <w:tcW w:w="5387"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jc w:val="center"/>
              <w:rPr>
                <w:rFonts w:cs="Arial"/>
                <w:sz w:val="18"/>
                <w:szCs w:val="18"/>
                <w:lang w:val="cs-CZ"/>
              </w:rPr>
            </w:pPr>
          </w:p>
        </w:tc>
        <w:tc>
          <w:tcPr>
            <w:tcW w:w="1276" w:type="dxa"/>
          </w:tcPr>
          <w:p w:rsidR="00E82B25" w:rsidRPr="003B6E11" w:rsidRDefault="00E82B25" w:rsidP="002D015D">
            <w:pPr>
              <w:spacing w:before="100" w:after="10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 xml:space="preserve">10.10 </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Montáž transformátorů</w:t>
            </w:r>
          </w:p>
        </w:tc>
        <w:tc>
          <w:tcPr>
            <w:tcW w:w="5387"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jc w:val="center"/>
              <w:rPr>
                <w:rFonts w:cs="Arial"/>
                <w:sz w:val="18"/>
                <w:szCs w:val="18"/>
                <w:lang w:val="cs-CZ"/>
              </w:rPr>
            </w:pPr>
          </w:p>
        </w:tc>
        <w:tc>
          <w:tcPr>
            <w:tcW w:w="1276" w:type="dxa"/>
          </w:tcPr>
          <w:p w:rsidR="00E82B25" w:rsidRPr="003B6E11" w:rsidRDefault="00E82B25" w:rsidP="002D015D">
            <w:pPr>
              <w:spacing w:before="100" w:after="10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100" w:after="100" w:line="240" w:lineRule="atLeast"/>
              <w:rPr>
                <w:rFonts w:cs="Arial"/>
                <w:noProof/>
                <w:sz w:val="18"/>
                <w:szCs w:val="18"/>
                <w:lang w:val="cs-CZ"/>
              </w:rPr>
            </w:pPr>
            <w:r w:rsidRPr="003B6E11">
              <w:rPr>
                <w:sz w:val="18"/>
                <w:lang w:val="cs-CZ"/>
              </w:rPr>
              <w:t>Oddělené primární a sekundární vinutí transformátorů</w:t>
            </w:r>
          </w:p>
        </w:tc>
        <w:tc>
          <w:tcPr>
            <w:tcW w:w="5387"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jc w:val="center"/>
              <w:rPr>
                <w:rFonts w:cs="Arial"/>
                <w:sz w:val="18"/>
                <w:szCs w:val="18"/>
                <w:lang w:val="cs-CZ"/>
              </w:rPr>
            </w:pPr>
          </w:p>
        </w:tc>
        <w:tc>
          <w:tcPr>
            <w:tcW w:w="1276" w:type="dxa"/>
          </w:tcPr>
          <w:p w:rsidR="00E82B25" w:rsidRPr="003B6E11" w:rsidRDefault="00E82B25" w:rsidP="002D015D">
            <w:pPr>
              <w:spacing w:before="100" w:after="10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spacing w:before="100" w:after="100" w:line="240" w:lineRule="atLeast"/>
              <w:rPr>
                <w:rFonts w:cs="Arial"/>
                <w:noProof/>
                <w:sz w:val="18"/>
                <w:szCs w:val="18"/>
                <w:lang w:val="cs-CZ"/>
              </w:rPr>
            </w:pPr>
            <w:r w:rsidRPr="003B6E11">
              <w:rPr>
                <w:sz w:val="18"/>
                <w:lang w:val="cs-CZ"/>
              </w:rPr>
              <w:t>Odbočky u sekundárního vinutí transformátorů</w:t>
            </w:r>
          </w:p>
        </w:tc>
        <w:tc>
          <w:tcPr>
            <w:tcW w:w="5387"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jc w:val="center"/>
              <w:rPr>
                <w:rFonts w:cs="Arial"/>
                <w:sz w:val="18"/>
                <w:szCs w:val="18"/>
                <w:lang w:val="cs-CZ"/>
              </w:rPr>
            </w:pPr>
          </w:p>
        </w:tc>
        <w:tc>
          <w:tcPr>
            <w:tcW w:w="1276" w:type="dxa"/>
          </w:tcPr>
          <w:p w:rsidR="00E82B25" w:rsidRPr="003B6E11" w:rsidRDefault="00E82B25" w:rsidP="002D015D">
            <w:pPr>
              <w:spacing w:before="100" w:after="10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tcBorders>
              <w:bottom w:val="nil"/>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5</w:t>
            </w:r>
          </w:p>
        </w:tc>
        <w:tc>
          <w:tcPr>
            <w:tcW w:w="3296" w:type="dxa"/>
            <w:shd w:val="clear" w:color="auto" w:fill="auto"/>
          </w:tcPr>
          <w:p w:rsidR="00E82B25" w:rsidRPr="003B6E11" w:rsidRDefault="00E82B25" w:rsidP="002D015D">
            <w:pPr>
              <w:spacing w:before="100" w:after="100" w:line="240" w:lineRule="atLeast"/>
              <w:rPr>
                <w:rFonts w:cs="Arial"/>
                <w:noProof/>
                <w:sz w:val="18"/>
                <w:szCs w:val="18"/>
                <w:lang w:val="cs-CZ"/>
              </w:rPr>
            </w:pPr>
            <w:r w:rsidRPr="003B6E11">
              <w:rPr>
                <w:sz w:val="18"/>
                <w:lang w:val="cs-CZ"/>
              </w:rPr>
              <w:t xml:space="preserve"> Tabulka s uvedením výrobce motorů, generátorů a transformátorů a jejich výkonu</w:t>
            </w:r>
          </w:p>
        </w:tc>
        <w:tc>
          <w:tcPr>
            <w:tcW w:w="5387"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jc w:val="center"/>
              <w:rPr>
                <w:rFonts w:cs="Arial"/>
                <w:sz w:val="18"/>
                <w:szCs w:val="18"/>
                <w:lang w:val="cs-CZ"/>
              </w:rPr>
            </w:pPr>
          </w:p>
        </w:tc>
        <w:tc>
          <w:tcPr>
            <w:tcW w:w="1276" w:type="dxa"/>
          </w:tcPr>
          <w:p w:rsidR="00E82B25" w:rsidRPr="003B6E11" w:rsidRDefault="00E82B25" w:rsidP="002D015D">
            <w:pPr>
              <w:spacing w:before="100" w:after="10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 xml:space="preserve">10.11 </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Větrání obslužných místností a skříněk na volnou palubu</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20" w:after="120" w:line="240" w:lineRule="atLeast"/>
              <w:jc w:val="center"/>
              <w:rPr>
                <w:rFonts w:cs="Arial"/>
                <w:sz w:val="18"/>
                <w:szCs w:val="18"/>
                <w:lang w:val="cs-CZ"/>
              </w:rPr>
            </w:pPr>
          </w:p>
        </w:tc>
        <w:tc>
          <w:tcPr>
            <w:tcW w:w="1276" w:type="dxa"/>
          </w:tcPr>
          <w:p w:rsidR="00E82B25" w:rsidRPr="003B6E11" w:rsidRDefault="00E82B25" w:rsidP="002D015D">
            <w:pPr>
              <w:spacing w:before="120" w:after="12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12</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Měření nabíjecích zařízení</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20" w:after="120" w:line="240" w:lineRule="atLeast"/>
              <w:jc w:val="center"/>
              <w:rPr>
                <w:rFonts w:cs="Arial"/>
                <w:sz w:val="18"/>
                <w:szCs w:val="18"/>
                <w:lang w:val="cs-CZ"/>
              </w:rPr>
            </w:pPr>
          </w:p>
        </w:tc>
        <w:tc>
          <w:tcPr>
            <w:tcW w:w="1276" w:type="dxa"/>
          </w:tcPr>
          <w:p w:rsidR="00E82B25" w:rsidRPr="003B6E11" w:rsidRDefault="00E82B25" w:rsidP="002D015D">
            <w:pPr>
              <w:spacing w:before="120" w:after="12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13</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Automatické nabíječky</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20" w:after="120" w:line="240" w:lineRule="atLeast"/>
              <w:jc w:val="center"/>
              <w:rPr>
                <w:rFonts w:cs="Arial"/>
                <w:sz w:val="18"/>
                <w:szCs w:val="18"/>
                <w:lang w:val="cs-CZ"/>
              </w:rPr>
            </w:pPr>
          </w:p>
        </w:tc>
        <w:tc>
          <w:tcPr>
            <w:tcW w:w="1276" w:type="dxa"/>
          </w:tcPr>
          <w:p w:rsidR="00E82B25" w:rsidRPr="003B6E11" w:rsidRDefault="00E82B25" w:rsidP="002D015D">
            <w:pPr>
              <w:spacing w:before="120" w:after="12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14</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Nejvyšší nabíjecí napětí</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20" w:after="120" w:line="240" w:lineRule="atLeast"/>
              <w:jc w:val="center"/>
              <w:rPr>
                <w:rFonts w:cs="Arial"/>
                <w:sz w:val="18"/>
                <w:szCs w:val="18"/>
                <w:lang w:val="cs-CZ"/>
              </w:rPr>
            </w:pPr>
          </w:p>
        </w:tc>
        <w:tc>
          <w:tcPr>
            <w:tcW w:w="1276" w:type="dxa"/>
          </w:tcPr>
          <w:p w:rsidR="00E82B25" w:rsidRPr="003B6E11" w:rsidRDefault="00E82B25" w:rsidP="002D015D">
            <w:pPr>
              <w:spacing w:before="120" w:after="12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15</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Normy EN 62619 a EN 62620 pro lithium-iontové akumulátory</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20" w:after="120" w:line="240" w:lineRule="atLeast"/>
              <w:jc w:val="center"/>
              <w:rPr>
                <w:rFonts w:cs="Arial"/>
                <w:sz w:val="18"/>
                <w:szCs w:val="18"/>
                <w:lang w:val="cs-CZ"/>
              </w:rPr>
            </w:pPr>
          </w:p>
        </w:tc>
        <w:tc>
          <w:tcPr>
            <w:tcW w:w="1276" w:type="dxa"/>
          </w:tcPr>
          <w:p w:rsidR="00E82B25" w:rsidRPr="003B6E11" w:rsidRDefault="00E82B25" w:rsidP="002D015D">
            <w:pPr>
              <w:spacing w:before="120" w:after="12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tcBorders>
              <w:bottom w:val="single" w:sz="4" w:space="0" w:color="auto"/>
            </w:tcBorders>
            <w:shd w:val="clear" w:color="auto" w:fill="auto"/>
            <w:vAlign w:val="center"/>
          </w:tcPr>
          <w:p w:rsidR="00E82B25" w:rsidRPr="003B6E11" w:rsidRDefault="00E82B25" w:rsidP="002D015D">
            <w:pPr>
              <w:spacing w:before="120" w:after="120" w:line="240" w:lineRule="atLeast"/>
              <w:rPr>
                <w:rFonts w:cs="Arial"/>
                <w:sz w:val="18"/>
                <w:szCs w:val="18"/>
                <w:lang w:val="cs-CZ"/>
              </w:rPr>
            </w:pPr>
          </w:p>
        </w:tc>
        <w:tc>
          <w:tcPr>
            <w:tcW w:w="1458" w:type="dxa"/>
            <w:tcBorders>
              <w:bottom w:val="single" w:sz="4" w:space="0" w:color="auto"/>
            </w:tcBorders>
            <w:shd w:val="clear" w:color="auto" w:fill="auto"/>
            <w:vAlign w:val="center"/>
          </w:tcPr>
          <w:p w:rsidR="00E82B25" w:rsidRPr="003B6E11" w:rsidRDefault="00E82B25" w:rsidP="002D015D">
            <w:pPr>
              <w:spacing w:before="120" w:after="120" w:line="240" w:lineRule="atLeast"/>
              <w:rPr>
                <w:rFonts w:cs="Arial"/>
                <w:sz w:val="18"/>
                <w:szCs w:val="18"/>
                <w:lang w:val="cs-CZ"/>
              </w:rPr>
            </w:pPr>
            <w:r w:rsidRPr="003B6E11">
              <w:rPr>
                <w:sz w:val="18"/>
                <w:lang w:val="cs-CZ"/>
              </w:rPr>
              <w:t>odst. 16</w:t>
            </w:r>
          </w:p>
        </w:tc>
        <w:tc>
          <w:tcPr>
            <w:tcW w:w="3296" w:type="dxa"/>
            <w:tcBorders>
              <w:bottom w:val="single" w:sz="4" w:space="0" w:color="auto"/>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Systém řízení akumulátoru</w:t>
            </w:r>
          </w:p>
        </w:tc>
        <w:tc>
          <w:tcPr>
            <w:tcW w:w="5387" w:type="dxa"/>
            <w:tcBorders>
              <w:bottom w:val="single" w:sz="4" w:space="0" w:color="auto"/>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w:t>
            </w:r>
          </w:p>
        </w:tc>
        <w:tc>
          <w:tcPr>
            <w:tcW w:w="1276" w:type="dxa"/>
            <w:tcBorders>
              <w:bottom w:val="single" w:sz="4" w:space="0" w:color="auto"/>
            </w:tcBorders>
            <w:shd w:val="clear" w:color="auto" w:fill="auto"/>
          </w:tcPr>
          <w:p w:rsidR="00E82B25" w:rsidRPr="003B6E11" w:rsidRDefault="00E82B25" w:rsidP="002D015D">
            <w:pPr>
              <w:spacing w:before="120" w:after="120" w:line="240" w:lineRule="atLeast"/>
              <w:jc w:val="center"/>
              <w:rPr>
                <w:rFonts w:cs="Arial"/>
                <w:sz w:val="18"/>
                <w:szCs w:val="18"/>
                <w:lang w:val="cs-CZ"/>
              </w:rPr>
            </w:pPr>
          </w:p>
        </w:tc>
        <w:tc>
          <w:tcPr>
            <w:tcW w:w="1276" w:type="dxa"/>
            <w:tcBorders>
              <w:bottom w:val="single" w:sz="4" w:space="0" w:color="auto"/>
            </w:tcBorders>
          </w:tcPr>
          <w:p w:rsidR="00E82B25" w:rsidRPr="003B6E11" w:rsidRDefault="00E82B25" w:rsidP="002D015D">
            <w:pPr>
              <w:spacing w:before="120" w:after="12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10.15</w:t>
            </w: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11</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Kabelové průchodky</w:t>
            </w:r>
          </w:p>
        </w:tc>
        <w:tc>
          <w:tcPr>
            <w:tcW w:w="5387"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p>
        </w:tc>
        <w:tc>
          <w:tcPr>
            <w:tcW w:w="1276" w:type="dxa"/>
          </w:tcPr>
          <w:p w:rsidR="00E82B25" w:rsidRPr="003B6E11" w:rsidRDefault="00E82B25" w:rsidP="002D015D">
            <w:pPr>
              <w:spacing w:before="80" w:after="8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12</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Kabely z nouzového zdroje elektrické energie do elektrických spotřebičů</w:t>
            </w:r>
          </w:p>
        </w:tc>
        <w:tc>
          <w:tcPr>
            <w:tcW w:w="5387"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p>
        </w:tc>
        <w:tc>
          <w:tcPr>
            <w:tcW w:w="1276" w:type="dxa"/>
          </w:tcPr>
          <w:p w:rsidR="00E82B25" w:rsidRPr="003B6E11" w:rsidRDefault="00E82B25" w:rsidP="002D015D">
            <w:pPr>
              <w:spacing w:before="80" w:after="8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13</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Kabely v prostorech s vysokými teplotami</w:t>
            </w:r>
          </w:p>
        </w:tc>
        <w:tc>
          <w:tcPr>
            <w:tcW w:w="5387"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p>
        </w:tc>
        <w:tc>
          <w:tcPr>
            <w:tcW w:w="1276" w:type="dxa"/>
          </w:tcPr>
          <w:p w:rsidR="00E82B25" w:rsidRPr="003B6E11" w:rsidRDefault="00E82B25" w:rsidP="002D015D">
            <w:pPr>
              <w:spacing w:before="80" w:after="8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tcBorders>
              <w:bottom w:val="nil"/>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14</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Montáž hlavních a nouzových napájecích kabelů</w:t>
            </w:r>
          </w:p>
        </w:tc>
        <w:tc>
          <w:tcPr>
            <w:tcW w:w="5387"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p>
        </w:tc>
        <w:tc>
          <w:tcPr>
            <w:tcW w:w="1276" w:type="dxa"/>
          </w:tcPr>
          <w:p w:rsidR="00E82B25" w:rsidRPr="003B6E11" w:rsidRDefault="00E82B25" w:rsidP="002D015D">
            <w:pPr>
              <w:spacing w:before="80" w:after="8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 xml:space="preserve">10.18 </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Zařízení pro odpojení od sítě</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20" w:after="120" w:line="240" w:lineRule="atLeast"/>
              <w:jc w:val="center"/>
              <w:rPr>
                <w:rFonts w:cs="Arial"/>
                <w:sz w:val="18"/>
                <w:szCs w:val="18"/>
                <w:lang w:val="cs-CZ"/>
              </w:rPr>
            </w:pPr>
          </w:p>
        </w:tc>
        <w:tc>
          <w:tcPr>
            <w:tcW w:w="1276" w:type="dxa"/>
          </w:tcPr>
          <w:p w:rsidR="00E82B25" w:rsidRPr="003B6E11" w:rsidRDefault="00E82B25" w:rsidP="002D015D">
            <w:pPr>
              <w:spacing w:before="120" w:after="12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Přístupnost</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c>
          <w:tcPr>
            <w:tcW w:w="1276" w:type="dxa"/>
          </w:tcPr>
          <w:p w:rsidR="00E82B25" w:rsidRPr="003B6E11" w:rsidRDefault="00E82B25" w:rsidP="002D015D">
            <w:pPr>
              <w:spacing w:before="60" w:after="6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Galvanické oddělení řídicích a silových obvodů</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c>
          <w:tcPr>
            <w:tcW w:w="1276" w:type="dxa"/>
          </w:tcPr>
          <w:p w:rsidR="00E82B25" w:rsidRPr="003B6E11" w:rsidRDefault="00E82B25" w:rsidP="002D015D">
            <w:pPr>
              <w:spacing w:before="60" w:after="6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Provoz při kolísání napětí a kmitočtu</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c>
          <w:tcPr>
            <w:tcW w:w="1276" w:type="dxa"/>
          </w:tcPr>
          <w:p w:rsidR="00E82B25" w:rsidRPr="003B6E11" w:rsidRDefault="00E82B25" w:rsidP="002D015D">
            <w:pPr>
              <w:spacing w:before="60" w:after="6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5</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Pokles náboje při odpojení od sítě</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c>
          <w:tcPr>
            <w:tcW w:w="1276" w:type="dxa"/>
          </w:tcPr>
          <w:p w:rsidR="00E82B25" w:rsidRPr="003B6E11" w:rsidRDefault="00E82B25" w:rsidP="002D015D">
            <w:pPr>
              <w:spacing w:before="60" w:after="6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6</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Odezva při chybné funkci externích řídicích signálů</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c>
          <w:tcPr>
            <w:tcW w:w="1276" w:type="dxa"/>
          </w:tcPr>
          <w:p w:rsidR="00E82B25" w:rsidRPr="003B6E11" w:rsidRDefault="00E82B25" w:rsidP="002D015D">
            <w:pPr>
              <w:spacing w:before="60" w:after="6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7</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Odezva při selhání řídicích napětí</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c>
          <w:tcPr>
            <w:tcW w:w="1276" w:type="dxa"/>
          </w:tcPr>
          <w:p w:rsidR="00E82B25" w:rsidRPr="003B6E11" w:rsidRDefault="00E82B25" w:rsidP="002D015D">
            <w:pPr>
              <w:spacing w:before="60" w:after="6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8</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Odhalování chyb a prevence neodhalených chyb</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c>
          <w:tcPr>
            <w:tcW w:w="1276" w:type="dxa"/>
          </w:tcPr>
          <w:p w:rsidR="00E82B25" w:rsidRPr="003B6E11" w:rsidRDefault="00E82B25" w:rsidP="002D015D">
            <w:pPr>
              <w:spacing w:before="60" w:after="6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9</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Monitorování</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c>
          <w:tcPr>
            <w:tcW w:w="1276" w:type="dxa"/>
          </w:tcPr>
          <w:p w:rsidR="00E82B25" w:rsidRPr="003B6E11" w:rsidRDefault="00E82B25" w:rsidP="002D015D">
            <w:pPr>
              <w:spacing w:before="60" w:after="6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10</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Přezkoušení typu</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c>
          <w:tcPr>
            <w:tcW w:w="1276" w:type="dxa"/>
          </w:tcPr>
          <w:p w:rsidR="00E82B25" w:rsidRPr="003B6E11" w:rsidRDefault="00E82B25" w:rsidP="002D015D">
            <w:pPr>
              <w:spacing w:before="60" w:after="60" w:line="240" w:lineRule="atLeast"/>
              <w:jc w:val="center"/>
              <w:rPr>
                <w:rFonts w:cs="Arial"/>
                <w:sz w:val="18"/>
                <w:szCs w:val="18"/>
                <w:lang w:val="cs-CZ"/>
              </w:rPr>
            </w:pPr>
            <w:r w:rsidRPr="003B6E11">
              <w:rPr>
                <w:sz w:val="18"/>
                <w:lang w:val="cs-CZ"/>
              </w:rPr>
              <w:t>7.10.2018</w:t>
            </w:r>
          </w:p>
        </w:tc>
      </w:tr>
      <w:tr w:rsidR="00E82B25" w:rsidRPr="003B6E11" w:rsidTr="002D015D">
        <w:trPr>
          <w:cantSplit/>
          <w:jc w:val="center"/>
        </w:trPr>
        <w:tc>
          <w:tcPr>
            <w:tcW w:w="6096" w:type="dxa"/>
            <w:gridSpan w:val="3"/>
            <w:tcBorders>
              <w:bottom w:val="nil"/>
            </w:tcBorders>
            <w:shd w:val="clear" w:color="auto" w:fill="auto"/>
          </w:tcPr>
          <w:p w:rsidR="00E82B25" w:rsidRPr="003B6E11" w:rsidRDefault="00E82B25" w:rsidP="002D015D">
            <w:pPr>
              <w:spacing w:before="120" w:after="120" w:line="240" w:lineRule="atLeast"/>
              <w:jc w:val="center"/>
              <w:rPr>
                <w:rFonts w:cs="Arial"/>
                <w:noProof/>
                <w:sz w:val="18"/>
                <w:szCs w:val="18"/>
                <w:lang w:val="cs-CZ"/>
              </w:rPr>
            </w:pPr>
            <w:r w:rsidRPr="003B6E11">
              <w:rPr>
                <w:b/>
                <w:sz w:val="18"/>
                <w:lang w:val="cs-CZ"/>
              </w:rPr>
              <w:t>KAPITOLA 13</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p>
        </w:tc>
        <w:tc>
          <w:tcPr>
            <w:tcW w:w="1276" w:type="dxa"/>
          </w:tcPr>
          <w:p w:rsidR="00E82B25" w:rsidRPr="003B6E11" w:rsidRDefault="00E82B25" w:rsidP="002D015D">
            <w:pPr>
              <w:spacing w:before="120" w:after="120" w:line="240" w:lineRule="atLeast"/>
              <w:rPr>
                <w:rFonts w:cs="Arial"/>
                <w:sz w:val="18"/>
                <w:szCs w:val="18"/>
                <w:lang w:val="cs-CZ"/>
              </w:rPr>
            </w:pP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13.02</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2 písm. b)</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Nádrže vyrobené z oceli nebo jiného odolného nehořlavého materiálu o objemu nejméně 10 litrů</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1.12.2011</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13.03</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Evropská norma</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1.1.2010</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1.4.2002</w:t>
            </w:r>
          </w:p>
        </w:tc>
      </w:tr>
      <w:tr w:rsidR="00E82B25" w:rsidRPr="003B6E11" w:rsidTr="002D015D">
        <w:trPr>
          <w:cantSplit/>
          <w:jc w:val="center"/>
        </w:trPr>
        <w:tc>
          <w:tcPr>
            <w:tcW w:w="1342" w:type="dxa"/>
            <w:tcBorders>
              <w:top w:val="nil"/>
              <w:bottom w:val="single" w:sz="4" w:space="0" w:color="auto"/>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Vhodnost pro požáry třídy A, B a C</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1.1.2007</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1.4.2002</w:t>
            </w:r>
          </w:p>
        </w:tc>
      </w:tr>
      <w:tr w:rsidR="00E82B25" w:rsidRPr="003B6E11" w:rsidTr="002D015D">
        <w:trPr>
          <w:cantSplit/>
          <w:jc w:val="center"/>
        </w:trPr>
        <w:tc>
          <w:tcPr>
            <w:tcW w:w="1342" w:type="dxa"/>
            <w:tcBorders>
              <w:top w:val="single" w:sz="4" w:space="0" w:color="auto"/>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13.04</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Zabudované hasicí systémy v obytných prostorech, kormidelnách a místnostech pro cestující</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1.1.2035</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1.4.2002</w:t>
            </w:r>
          </w:p>
        </w:tc>
      </w:tr>
      <w:tr w:rsidR="00E82B25" w:rsidRPr="003B6E11" w:rsidTr="002D015D">
        <w:trPr>
          <w:cantSplit/>
          <w:jc w:val="center"/>
        </w:trPr>
        <w:tc>
          <w:tcPr>
            <w:tcW w:w="1342"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13.05</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Pevně instalované protipožární systémy ve strojovnách, kotelnách a strojovnách čerpadel</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vertAlign w:val="superscript"/>
                <w:lang w:val="cs-CZ"/>
              </w:rPr>
              <w:footnoteReference w:id="40"/>
            </w: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p>
        </w:tc>
        <w:tc>
          <w:tcPr>
            <w:tcW w:w="1276" w:type="dxa"/>
          </w:tcPr>
          <w:p w:rsidR="00E82B25" w:rsidRPr="003B6E11" w:rsidRDefault="00E82B25" w:rsidP="002D015D">
            <w:pPr>
              <w:spacing w:before="120" w:after="120" w:line="240" w:lineRule="atLeast"/>
              <w:rPr>
                <w:rFonts w:cs="Arial"/>
                <w:sz w:val="18"/>
                <w:szCs w:val="18"/>
                <w:vertAlign w:val="superscript"/>
                <w:lang w:val="cs-CZ"/>
              </w:rPr>
            </w:pPr>
            <w:r w:rsidRPr="003B6E11">
              <w:rPr>
                <w:sz w:val="18"/>
                <w:lang w:val="cs-CZ"/>
              </w:rPr>
              <w:t>1.4.2002</w:t>
            </w: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13.07</w:t>
            </w:r>
            <w:r w:rsidRPr="003B6E11">
              <w:rPr>
                <w:color w:val="000000"/>
                <w:sz w:val="18"/>
                <w:vertAlign w:val="superscript"/>
                <w:lang w:val="cs-CZ"/>
              </w:rPr>
              <w:footnoteReference w:id="41"/>
            </w:r>
          </w:p>
        </w:tc>
        <w:tc>
          <w:tcPr>
            <w:tcW w:w="1458" w:type="dxa"/>
            <w:tcBorders>
              <w:bottom w:val="single" w:sz="4" w:space="0" w:color="auto"/>
            </w:tcBorders>
            <w:shd w:val="clear" w:color="auto" w:fill="auto"/>
          </w:tcPr>
          <w:p w:rsidR="00E82B25" w:rsidRPr="003B6E11" w:rsidRDefault="00E82B25" w:rsidP="002D015D">
            <w:pPr>
              <w:spacing w:before="200" w:line="240" w:lineRule="atLeast"/>
              <w:rPr>
                <w:rFonts w:cs="Arial"/>
                <w:sz w:val="18"/>
                <w:szCs w:val="18"/>
                <w:lang w:val="cs-CZ"/>
              </w:rPr>
            </w:pPr>
          </w:p>
        </w:tc>
        <w:tc>
          <w:tcPr>
            <w:tcW w:w="3296" w:type="dxa"/>
            <w:tcBorders>
              <w:bottom w:val="single" w:sz="4" w:space="0" w:color="auto"/>
            </w:tcBorders>
            <w:shd w:val="clear" w:color="auto" w:fill="auto"/>
          </w:tcPr>
          <w:p w:rsidR="00E82B25" w:rsidRPr="003B6E11" w:rsidRDefault="00E82B25" w:rsidP="002D015D">
            <w:pPr>
              <w:spacing w:before="200" w:line="240" w:lineRule="atLeast"/>
              <w:rPr>
                <w:rFonts w:cs="Arial"/>
                <w:sz w:val="18"/>
                <w:szCs w:val="18"/>
                <w:lang w:val="cs-CZ"/>
              </w:rPr>
            </w:pPr>
            <w:r w:rsidRPr="003B6E11">
              <w:rPr>
                <w:noProof/>
                <w:sz w:val="18"/>
                <w:lang w:val="cs-CZ"/>
              </w:rPr>
              <w:t>Použití evropské normy na lodní člun</w:t>
            </w:r>
          </w:p>
        </w:tc>
        <w:tc>
          <w:tcPr>
            <w:tcW w:w="5387"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1.1.2020</w:t>
            </w:r>
          </w:p>
        </w:tc>
        <w:tc>
          <w:tcPr>
            <w:tcW w:w="1276" w:type="dxa"/>
          </w:tcPr>
          <w:p w:rsidR="00E82B25" w:rsidRPr="003B6E11" w:rsidRDefault="00E82B25" w:rsidP="002D015D">
            <w:pPr>
              <w:spacing w:before="200" w:line="240" w:lineRule="atLeast"/>
              <w:rPr>
                <w:rFonts w:cs="Arial"/>
                <w:sz w:val="18"/>
                <w:szCs w:val="18"/>
                <w:lang w:val="cs-CZ"/>
              </w:rPr>
            </w:pPr>
            <w:r w:rsidRPr="003B6E11">
              <w:rPr>
                <w:sz w:val="18"/>
                <w:lang w:val="cs-CZ"/>
              </w:rPr>
              <w:t>1.10.2003</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13.08</w:t>
            </w:r>
          </w:p>
        </w:tc>
        <w:tc>
          <w:tcPr>
            <w:tcW w:w="1458" w:type="dxa"/>
            <w:tcBorders>
              <w:bottom w:val="nil"/>
            </w:tcBorders>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odst. 2</w:t>
            </w:r>
          </w:p>
        </w:tc>
        <w:tc>
          <w:tcPr>
            <w:tcW w:w="3296" w:type="dxa"/>
            <w:tcBorders>
              <w:bottom w:val="nil"/>
            </w:tcBorders>
            <w:shd w:val="clear" w:color="auto" w:fill="auto"/>
          </w:tcPr>
          <w:p w:rsidR="00E82B25" w:rsidRPr="003B6E11" w:rsidRDefault="00E82B25" w:rsidP="002D015D">
            <w:pPr>
              <w:spacing w:before="200" w:line="240" w:lineRule="atLeast"/>
              <w:rPr>
                <w:rFonts w:cs="Arial"/>
                <w:sz w:val="18"/>
                <w:szCs w:val="18"/>
                <w:lang w:val="cs-CZ"/>
              </w:rPr>
            </w:pPr>
            <w:r w:rsidRPr="003B6E11">
              <w:rPr>
                <w:noProof/>
                <w:sz w:val="18"/>
                <w:lang w:val="cs-CZ"/>
              </w:rPr>
              <w:t>Nafukovací záchranné vesty</w:t>
            </w:r>
          </w:p>
        </w:tc>
        <w:tc>
          <w:tcPr>
            <w:tcW w:w="5387"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1.1.2010</w:t>
            </w:r>
          </w:p>
        </w:tc>
        <w:tc>
          <w:tcPr>
            <w:tcW w:w="1276" w:type="dxa"/>
          </w:tcPr>
          <w:p w:rsidR="00E82B25" w:rsidRPr="003B6E11" w:rsidRDefault="00E82B25" w:rsidP="002D015D">
            <w:pPr>
              <w:spacing w:before="200" w:line="240" w:lineRule="atLeast"/>
              <w:rPr>
                <w:rFonts w:cs="Arial"/>
                <w:sz w:val="18"/>
                <w:szCs w:val="18"/>
                <w:lang w:val="cs-CZ"/>
              </w:rPr>
            </w:pPr>
            <w:r w:rsidRPr="003B6E11">
              <w:rPr>
                <w:sz w:val="18"/>
                <w:lang w:val="cs-CZ"/>
              </w:rPr>
              <w:t>1.10.2003</w:t>
            </w: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200" w:line="240" w:lineRule="atLeast"/>
              <w:rPr>
                <w:rFonts w:cs="Arial"/>
                <w:sz w:val="18"/>
                <w:szCs w:val="18"/>
                <w:lang w:val="cs-CZ"/>
              </w:rPr>
            </w:pPr>
          </w:p>
        </w:tc>
        <w:tc>
          <w:tcPr>
            <w:tcW w:w="1458" w:type="dxa"/>
            <w:tcBorders>
              <w:top w:val="nil"/>
            </w:tcBorders>
            <w:shd w:val="clear" w:color="auto" w:fill="auto"/>
          </w:tcPr>
          <w:p w:rsidR="00E82B25" w:rsidRPr="003B6E11" w:rsidRDefault="00E82B25" w:rsidP="002D015D">
            <w:pPr>
              <w:spacing w:before="200" w:line="240" w:lineRule="atLeast"/>
              <w:rPr>
                <w:rFonts w:cs="Arial"/>
                <w:sz w:val="18"/>
                <w:szCs w:val="18"/>
                <w:lang w:val="cs-CZ"/>
              </w:rPr>
            </w:pPr>
          </w:p>
        </w:tc>
        <w:tc>
          <w:tcPr>
            <w:tcW w:w="3296" w:type="dxa"/>
            <w:tcBorders>
              <w:top w:val="nil"/>
            </w:tcBorders>
            <w:shd w:val="clear" w:color="auto" w:fill="auto"/>
          </w:tcPr>
          <w:p w:rsidR="00E82B25" w:rsidRPr="003B6E11" w:rsidRDefault="00E82B25" w:rsidP="002D015D">
            <w:pPr>
              <w:spacing w:before="200" w:line="240" w:lineRule="atLeast"/>
              <w:rPr>
                <w:rFonts w:cs="Arial"/>
                <w:sz w:val="18"/>
                <w:szCs w:val="18"/>
                <w:lang w:val="cs-CZ"/>
              </w:rPr>
            </w:pPr>
          </w:p>
        </w:tc>
        <w:tc>
          <w:tcPr>
            <w:tcW w:w="5387"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Záchranné vesty, které byly na plavidle ke dni 30.9.2003, lze používat do obnovení osvědčení plavidla vnitrozemské plavby po</w:t>
            </w:r>
          </w:p>
        </w:tc>
        <w:tc>
          <w:tcPr>
            <w:tcW w:w="1276"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1.1.2010</w:t>
            </w:r>
          </w:p>
        </w:tc>
        <w:tc>
          <w:tcPr>
            <w:tcW w:w="1276" w:type="dxa"/>
          </w:tcPr>
          <w:p w:rsidR="00E82B25" w:rsidRPr="003B6E11" w:rsidRDefault="00E82B25" w:rsidP="002D015D">
            <w:pPr>
              <w:spacing w:before="200" w:line="240" w:lineRule="atLeast"/>
              <w:rPr>
                <w:rFonts w:cs="Arial"/>
                <w:sz w:val="18"/>
                <w:szCs w:val="18"/>
                <w:lang w:val="cs-CZ"/>
              </w:rPr>
            </w:pPr>
            <w:r w:rsidRPr="003B6E11">
              <w:rPr>
                <w:sz w:val="18"/>
                <w:lang w:val="cs-CZ"/>
              </w:rPr>
              <w:t>1.10.2003</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200" w:line="240" w:lineRule="atLeast"/>
              <w:jc w:val="center"/>
              <w:rPr>
                <w:rFonts w:cs="Arial"/>
                <w:sz w:val="18"/>
                <w:szCs w:val="18"/>
                <w:lang w:val="cs-CZ"/>
              </w:rPr>
            </w:pPr>
            <w:r w:rsidRPr="003B6E11">
              <w:rPr>
                <w:b/>
                <w:sz w:val="18"/>
                <w:lang w:val="cs-CZ"/>
              </w:rPr>
              <w:t>KAPITOLA 14</w:t>
            </w:r>
          </w:p>
        </w:tc>
        <w:tc>
          <w:tcPr>
            <w:tcW w:w="5387" w:type="dxa"/>
            <w:shd w:val="clear" w:color="auto" w:fill="auto"/>
          </w:tcPr>
          <w:p w:rsidR="00E82B25" w:rsidRPr="003B6E11" w:rsidRDefault="00E82B25" w:rsidP="002D015D">
            <w:pPr>
              <w:spacing w:before="200" w:line="240" w:lineRule="atLeast"/>
              <w:rPr>
                <w:rFonts w:cs="Arial"/>
                <w:sz w:val="18"/>
                <w:szCs w:val="18"/>
                <w:lang w:val="cs-CZ"/>
              </w:rPr>
            </w:pPr>
          </w:p>
        </w:tc>
        <w:tc>
          <w:tcPr>
            <w:tcW w:w="1276" w:type="dxa"/>
            <w:shd w:val="clear" w:color="auto" w:fill="auto"/>
          </w:tcPr>
          <w:p w:rsidR="00E82B25" w:rsidRPr="003B6E11" w:rsidRDefault="00E82B25" w:rsidP="002D015D">
            <w:pPr>
              <w:spacing w:before="200" w:line="240" w:lineRule="atLeast"/>
              <w:rPr>
                <w:rFonts w:cs="Arial"/>
                <w:sz w:val="18"/>
                <w:szCs w:val="18"/>
                <w:lang w:val="cs-CZ"/>
              </w:rPr>
            </w:pPr>
          </w:p>
        </w:tc>
        <w:tc>
          <w:tcPr>
            <w:tcW w:w="1276" w:type="dxa"/>
          </w:tcPr>
          <w:p w:rsidR="00E82B25" w:rsidRPr="003B6E11" w:rsidRDefault="00E82B25" w:rsidP="002D015D">
            <w:pPr>
              <w:spacing w:before="200" w:line="240" w:lineRule="atLeast"/>
              <w:rPr>
                <w:rFonts w:cs="Arial"/>
                <w:sz w:val="18"/>
                <w:szCs w:val="18"/>
                <w:lang w:val="cs-CZ"/>
              </w:rPr>
            </w:pP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14.02</w:t>
            </w:r>
          </w:p>
        </w:tc>
        <w:tc>
          <w:tcPr>
            <w:tcW w:w="1458" w:type="dxa"/>
            <w:tcBorders>
              <w:bottom w:val="nil"/>
            </w:tcBorders>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noProof/>
                <w:sz w:val="18"/>
                <w:lang w:val="cs-CZ"/>
              </w:rPr>
              <w:t>Zařízení na vnějších okrajích palub, bočních palub a jiných pracovišť</w:t>
            </w:r>
          </w:p>
        </w:tc>
        <w:tc>
          <w:tcPr>
            <w:tcW w:w="5387" w:type="dxa"/>
            <w:shd w:val="clear" w:color="auto" w:fill="auto"/>
          </w:tcPr>
          <w:p w:rsidR="00E82B25" w:rsidRPr="003B6E11" w:rsidRDefault="00E82B25" w:rsidP="002D015D">
            <w:pPr>
              <w:spacing w:before="240" w:after="24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240" w:after="240" w:line="240" w:lineRule="atLeast"/>
              <w:rPr>
                <w:rFonts w:cs="Arial"/>
                <w:sz w:val="18"/>
                <w:szCs w:val="18"/>
                <w:lang w:val="cs-CZ"/>
              </w:rPr>
            </w:pPr>
          </w:p>
        </w:tc>
        <w:tc>
          <w:tcPr>
            <w:tcW w:w="1276" w:type="dxa"/>
          </w:tcPr>
          <w:p w:rsidR="00E82B25" w:rsidRPr="003B6E11" w:rsidRDefault="00E82B25" w:rsidP="002D015D">
            <w:pPr>
              <w:spacing w:before="240" w:after="240" w:line="240" w:lineRule="atLeast"/>
              <w:rPr>
                <w:rFonts w:cs="Arial"/>
                <w:sz w:val="18"/>
                <w:szCs w:val="18"/>
                <w:lang w:val="cs-CZ"/>
              </w:rPr>
            </w:pPr>
            <w:r w:rsidRPr="003B6E11">
              <w:rPr>
                <w:sz w:val="18"/>
                <w:lang w:val="cs-CZ"/>
              </w:rPr>
              <w:t>7.10.2018</w:t>
            </w:r>
          </w:p>
        </w:tc>
      </w:tr>
      <w:tr w:rsidR="00E82B25" w:rsidRPr="003B6E11" w:rsidTr="002D015D">
        <w:trPr>
          <w:cantSplit/>
          <w:jc w:val="center"/>
        </w:trPr>
        <w:tc>
          <w:tcPr>
            <w:tcW w:w="1342"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14.04</w:t>
            </w:r>
          </w:p>
        </w:tc>
        <w:tc>
          <w:tcPr>
            <w:tcW w:w="1458"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200" w:line="240" w:lineRule="atLeast"/>
              <w:rPr>
                <w:rFonts w:cs="Arial"/>
                <w:sz w:val="18"/>
                <w:szCs w:val="18"/>
                <w:lang w:val="cs-CZ"/>
              </w:rPr>
            </w:pPr>
            <w:r w:rsidRPr="003B6E11">
              <w:rPr>
                <w:noProof/>
                <w:sz w:val="18"/>
                <w:lang w:val="cs-CZ"/>
              </w:rPr>
              <w:t>Zábradlí na bočních palubách</w:t>
            </w:r>
          </w:p>
        </w:tc>
        <w:tc>
          <w:tcPr>
            <w:tcW w:w="5387"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200" w:line="240" w:lineRule="atLeast"/>
              <w:rPr>
                <w:rFonts w:cs="Arial"/>
                <w:sz w:val="18"/>
                <w:szCs w:val="18"/>
                <w:lang w:val="cs-CZ"/>
              </w:rPr>
            </w:pPr>
          </w:p>
        </w:tc>
        <w:tc>
          <w:tcPr>
            <w:tcW w:w="1276" w:type="dxa"/>
          </w:tcPr>
          <w:p w:rsidR="00E82B25" w:rsidRPr="003B6E11" w:rsidRDefault="00E82B25" w:rsidP="002D015D">
            <w:pPr>
              <w:spacing w:before="200" w:line="240" w:lineRule="atLeast"/>
              <w:rPr>
                <w:rFonts w:cs="Arial"/>
                <w:sz w:val="18"/>
                <w:szCs w:val="18"/>
                <w:lang w:val="cs-CZ"/>
              </w:rPr>
            </w:pPr>
            <w:r w:rsidRPr="003B6E11">
              <w:rPr>
                <w:sz w:val="18"/>
                <w:lang w:val="cs-CZ"/>
              </w:rPr>
              <w:t>7.10.2018</w:t>
            </w:r>
          </w:p>
        </w:tc>
      </w:tr>
      <w:tr w:rsidR="00E82B25" w:rsidRPr="003B6E11" w:rsidTr="002D015D">
        <w:trPr>
          <w:cantSplit/>
          <w:jc w:val="center"/>
        </w:trPr>
        <w:tc>
          <w:tcPr>
            <w:tcW w:w="1342"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14.12</w:t>
            </w:r>
          </w:p>
        </w:tc>
        <w:tc>
          <w:tcPr>
            <w:tcW w:w="1458"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odst. 2, 4, 5 a 9</w:t>
            </w:r>
            <w:r w:rsidRPr="003B6E11">
              <w:rPr>
                <w:snapToGrid w:val="0"/>
                <w:color w:val="000000"/>
                <w:sz w:val="18"/>
                <w:vertAlign w:val="superscript"/>
                <w:lang w:val="cs-CZ"/>
              </w:rPr>
              <w:t xml:space="preserve"> </w:t>
            </w:r>
          </w:p>
        </w:tc>
        <w:tc>
          <w:tcPr>
            <w:tcW w:w="3296" w:type="dxa"/>
            <w:shd w:val="clear" w:color="auto" w:fill="auto"/>
          </w:tcPr>
          <w:p w:rsidR="00E82B25" w:rsidRPr="003B6E11" w:rsidRDefault="00E82B25" w:rsidP="002D015D">
            <w:pPr>
              <w:spacing w:before="200" w:line="240" w:lineRule="atLeast"/>
              <w:rPr>
                <w:rFonts w:cs="Arial"/>
                <w:sz w:val="18"/>
                <w:szCs w:val="18"/>
                <w:lang w:val="cs-CZ"/>
              </w:rPr>
            </w:pPr>
            <w:r w:rsidRPr="003B6E11">
              <w:rPr>
                <w:noProof/>
                <w:sz w:val="18"/>
                <w:lang w:val="cs-CZ"/>
              </w:rPr>
              <w:t>Štítek výrobce, ochranná zařízení, lodní dokumentace</w:t>
            </w:r>
          </w:p>
        </w:tc>
        <w:tc>
          <w:tcPr>
            <w:tcW w:w="5387"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1.1.2020</w:t>
            </w:r>
          </w:p>
        </w:tc>
        <w:tc>
          <w:tcPr>
            <w:tcW w:w="1276" w:type="dxa"/>
          </w:tcPr>
          <w:p w:rsidR="00E82B25" w:rsidRPr="003B6E11" w:rsidRDefault="00E82B25" w:rsidP="002D015D">
            <w:pPr>
              <w:spacing w:before="200" w:line="240" w:lineRule="atLeast"/>
              <w:rPr>
                <w:rFonts w:cs="Arial"/>
                <w:sz w:val="18"/>
                <w:szCs w:val="18"/>
                <w:lang w:val="cs-CZ"/>
              </w:rPr>
            </w:pPr>
            <w:r w:rsidRPr="003B6E11">
              <w:rPr>
                <w:sz w:val="18"/>
                <w:lang w:val="cs-CZ"/>
              </w:rPr>
              <w:t>1.12.2011</w:t>
            </w:r>
          </w:p>
        </w:tc>
      </w:tr>
      <w:tr w:rsidR="00E82B25" w:rsidRPr="003B6E11" w:rsidTr="002D015D">
        <w:trPr>
          <w:cantSplit/>
          <w:trHeight w:val="70"/>
          <w:jc w:val="center"/>
        </w:trPr>
        <w:tc>
          <w:tcPr>
            <w:tcW w:w="6096" w:type="dxa"/>
            <w:gridSpan w:val="3"/>
            <w:shd w:val="clear" w:color="auto" w:fill="auto"/>
          </w:tcPr>
          <w:p w:rsidR="00E82B25" w:rsidRPr="003B6E11" w:rsidRDefault="00E82B25" w:rsidP="002D015D">
            <w:pPr>
              <w:spacing w:before="60" w:after="60" w:line="240" w:lineRule="atLeast"/>
              <w:jc w:val="center"/>
              <w:rPr>
                <w:rFonts w:cs="Arial"/>
                <w:b/>
                <w:sz w:val="18"/>
                <w:szCs w:val="18"/>
                <w:lang w:val="cs-CZ"/>
              </w:rPr>
            </w:pPr>
            <w:r w:rsidRPr="003B6E11">
              <w:rPr>
                <w:b/>
                <w:sz w:val="18"/>
                <w:lang w:val="cs-CZ"/>
              </w:rPr>
              <w:t>KAPITOLA 18</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18.01</w:t>
            </w:r>
          </w:p>
        </w:tc>
        <w:tc>
          <w:tcPr>
            <w:tcW w:w="1458" w:type="dxa"/>
            <w:vMerge w:val="restart"/>
            <w:shd w:val="clear" w:color="auto" w:fill="auto"/>
          </w:tcPr>
          <w:p w:rsidR="00E82B25" w:rsidRPr="003B6E11" w:rsidRDefault="00E82B25" w:rsidP="002D015D">
            <w:pPr>
              <w:adjustRightInd w:val="0"/>
              <w:spacing w:before="60" w:after="60" w:line="240" w:lineRule="atLeast"/>
              <w:ind w:right="-108"/>
              <w:rPr>
                <w:rFonts w:cs="Arial"/>
                <w:sz w:val="18"/>
                <w:szCs w:val="18"/>
                <w:lang w:val="cs-CZ"/>
              </w:rPr>
            </w:pPr>
            <w:r w:rsidRPr="003B6E11">
              <w:rPr>
                <w:sz w:val="18"/>
                <w:lang w:val="cs-CZ"/>
              </w:rPr>
              <w:t>odst. 2, tabulky 1 a 2 a odst. 5</w:t>
            </w:r>
          </w:p>
        </w:tc>
        <w:tc>
          <w:tcPr>
            <w:tcW w:w="3296" w:type="dxa"/>
            <w:vMerge w:val="restart"/>
            <w:shd w:val="clear" w:color="auto" w:fill="auto"/>
          </w:tcPr>
          <w:p w:rsidR="00E82B25" w:rsidRPr="003B6E11" w:rsidRDefault="00E82B25" w:rsidP="002D015D">
            <w:pPr>
              <w:adjustRightInd w:val="0"/>
              <w:spacing w:before="60" w:after="60" w:line="240" w:lineRule="atLeast"/>
              <w:rPr>
                <w:rFonts w:cs="Arial"/>
                <w:sz w:val="18"/>
                <w:szCs w:val="18"/>
                <w:lang w:val="cs-CZ"/>
              </w:rPr>
            </w:pPr>
            <w:r w:rsidRPr="003B6E11">
              <w:rPr>
                <w:noProof/>
                <w:sz w:val="18"/>
                <w:lang w:val="cs-CZ"/>
              </w:rPr>
              <w:t>Mezní/kontrolní hodnoty a schválení typu</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pokud</w:t>
            </w:r>
          </w:p>
          <w:p w:rsidR="00E82B25" w:rsidRPr="003B6E11" w:rsidRDefault="00E82B25" w:rsidP="002D015D">
            <w:pPr>
              <w:spacing w:before="60" w:after="60" w:line="240" w:lineRule="atLeast"/>
              <w:ind w:left="317" w:hanging="317"/>
              <w:rPr>
                <w:rFonts w:cs="Arial"/>
                <w:sz w:val="18"/>
                <w:szCs w:val="18"/>
                <w:lang w:val="cs-CZ"/>
              </w:rPr>
            </w:pPr>
            <w:r w:rsidRPr="003B6E11">
              <w:rPr>
                <w:sz w:val="18"/>
                <w:lang w:val="cs-CZ"/>
              </w:rPr>
              <w:t>a)</w:t>
            </w:r>
            <w:r w:rsidRPr="003B6E11">
              <w:rPr>
                <w:lang w:val="cs-CZ"/>
              </w:rPr>
              <w:tab/>
            </w:r>
            <w:r w:rsidRPr="003B6E11">
              <w:rPr>
                <w:sz w:val="18"/>
                <w:lang w:val="cs-CZ"/>
              </w:rPr>
              <w:t>mezní a kontrolní hodnoty více než dvojnásobně nepřesahují hodnoty podle kroku II;</w:t>
            </w:r>
          </w:p>
          <w:p w:rsidR="00E82B25" w:rsidRPr="003B6E11" w:rsidRDefault="00E82B25" w:rsidP="002D015D">
            <w:pPr>
              <w:spacing w:before="60" w:after="60" w:line="240" w:lineRule="atLeast"/>
              <w:ind w:left="317" w:hanging="317"/>
              <w:rPr>
                <w:rFonts w:cs="Arial"/>
                <w:sz w:val="18"/>
                <w:szCs w:val="18"/>
                <w:lang w:val="cs-CZ"/>
              </w:rPr>
            </w:pPr>
            <w:r w:rsidRPr="003B6E11">
              <w:rPr>
                <w:sz w:val="18"/>
                <w:lang w:val="cs-CZ"/>
              </w:rPr>
              <w:t>b)</w:t>
            </w:r>
            <w:r w:rsidRPr="003B6E11">
              <w:rPr>
                <w:lang w:val="cs-CZ"/>
              </w:rPr>
              <w:tab/>
            </w:r>
            <w:r w:rsidRPr="003B6E11">
              <w:rPr>
                <w:sz w:val="18"/>
                <w:lang w:val="cs-CZ"/>
              </w:rPr>
              <w:t>k palubní čistírně odpadních vod vydal výrobce nebo odborník osvědčení, které potvrzuje, že kapacitně odpovídá obvyklému zatížení na palubě plavidla a</w:t>
            </w:r>
          </w:p>
          <w:p w:rsidR="00E82B25" w:rsidRPr="003B6E11" w:rsidRDefault="00E82B25" w:rsidP="002D015D">
            <w:pPr>
              <w:adjustRightInd w:val="0"/>
              <w:spacing w:before="60" w:after="60" w:line="240" w:lineRule="atLeast"/>
              <w:ind w:left="318" w:hanging="318"/>
              <w:rPr>
                <w:rFonts w:cs="Arial"/>
                <w:sz w:val="18"/>
                <w:szCs w:val="18"/>
                <w:lang w:val="cs-CZ"/>
              </w:rPr>
            </w:pPr>
            <w:r w:rsidRPr="003B6E11">
              <w:rPr>
                <w:sz w:val="18"/>
                <w:lang w:val="cs-CZ"/>
              </w:rPr>
              <w:t>c)</w:t>
            </w:r>
            <w:r w:rsidRPr="003B6E11">
              <w:rPr>
                <w:lang w:val="cs-CZ"/>
              </w:rPr>
              <w:tab/>
            </w:r>
            <w:r w:rsidRPr="003B6E11">
              <w:rPr>
                <w:noProof/>
                <w:sz w:val="18"/>
                <w:lang w:val="cs-CZ"/>
              </w:rPr>
              <w:t>byl zaveden systém nakládání s odpadním kalem, který je vhodný vzhledem k podmínkám provozování čistírny odpadních vod na palubě osobní lodi.</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1.12.2011</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vMerge/>
            <w:shd w:val="clear" w:color="auto" w:fill="auto"/>
          </w:tcPr>
          <w:p w:rsidR="00E82B25" w:rsidRPr="003B6E11" w:rsidRDefault="00E82B25" w:rsidP="002D015D">
            <w:pPr>
              <w:tabs>
                <w:tab w:val="left" w:pos="1080"/>
              </w:tabs>
              <w:spacing w:before="60" w:after="60" w:line="240" w:lineRule="atLeast"/>
              <w:rPr>
                <w:rFonts w:cs="Arial"/>
                <w:noProof/>
                <w:sz w:val="18"/>
                <w:szCs w:val="18"/>
                <w:lang w:val="cs-CZ"/>
              </w:rPr>
            </w:pP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Palubní čistírny odpadních vod, které obdržely schválení podle požadavků rezoluce CCNR 2010-II-27 (krok II) dne 1. prosince 2011 nebo po tomto datu, mohou být i nadále instalovány a používány.</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7.10.2018</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vMerge/>
            <w:shd w:val="clear" w:color="auto" w:fill="auto"/>
          </w:tcPr>
          <w:p w:rsidR="00E82B25" w:rsidRPr="003B6E11" w:rsidRDefault="00E82B25" w:rsidP="002D015D">
            <w:pPr>
              <w:tabs>
                <w:tab w:val="left" w:pos="1080"/>
              </w:tabs>
              <w:spacing w:before="60" w:after="60" w:line="240" w:lineRule="atLeast"/>
              <w:rPr>
                <w:rFonts w:cs="Arial"/>
                <w:noProof/>
                <w:sz w:val="18"/>
                <w:szCs w:val="18"/>
                <w:lang w:val="cs-CZ"/>
              </w:rPr>
            </w:pP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Palubní čistírny odpadních vod, které obdržely schválení podle požadavků směrnice 2012/49/EU (krok II) dne 10. ledna 2013 nebo po tomto datu, mohou být i nadále instalovány a používány.</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7.10.2018</w:t>
            </w:r>
          </w:p>
        </w:tc>
      </w:tr>
      <w:tr w:rsidR="00E82B25" w:rsidRPr="003B6E11" w:rsidTr="002D015D">
        <w:trPr>
          <w:cantSplit/>
          <w:jc w:val="center"/>
        </w:trPr>
        <w:tc>
          <w:tcPr>
            <w:tcW w:w="6096" w:type="dxa"/>
            <w:gridSpan w:val="3"/>
            <w:shd w:val="clear" w:color="auto" w:fill="auto"/>
          </w:tcPr>
          <w:p w:rsidR="00E82B25" w:rsidRPr="003B6E11" w:rsidRDefault="00E82B25" w:rsidP="002D015D">
            <w:pPr>
              <w:tabs>
                <w:tab w:val="left" w:pos="1080"/>
              </w:tabs>
              <w:spacing w:before="60" w:after="60" w:line="240" w:lineRule="atLeast"/>
              <w:jc w:val="center"/>
              <w:rPr>
                <w:rFonts w:cs="Arial"/>
                <w:sz w:val="18"/>
                <w:szCs w:val="18"/>
                <w:lang w:val="cs-CZ"/>
              </w:rPr>
            </w:pPr>
            <w:r w:rsidRPr="003B6E11">
              <w:rPr>
                <w:b/>
                <w:sz w:val="18"/>
                <w:lang w:val="cs-CZ"/>
              </w:rPr>
              <w:t>KAPITOLA 19</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19.01</w:t>
            </w:r>
          </w:p>
        </w:tc>
        <w:tc>
          <w:tcPr>
            <w:tcW w:w="1458" w:type="dxa"/>
            <w:vMerge w:val="restart"/>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2 písm. e)</w:t>
            </w:r>
          </w:p>
        </w:tc>
        <w:tc>
          <w:tcPr>
            <w:tcW w:w="3296" w:type="dxa"/>
            <w:vMerge w:val="restart"/>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Zákaz zařízení na zkapalněný plyn podle kapitoly 17</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vMerge/>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Přechodné ustanovení se použije pouze v případě, že poplašné systémy jsou umístěny podle čl. 19.15 odst. 8.</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single" w:sz="4" w:space="0" w:color="auto"/>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5 a 6</w:t>
            </w:r>
          </w:p>
        </w:tc>
        <w:tc>
          <w:tcPr>
            <w:tcW w:w="3296" w:type="dxa"/>
            <w:shd w:val="clear" w:color="auto" w:fill="auto"/>
          </w:tcPr>
          <w:p w:rsidR="00E82B25" w:rsidRPr="003B6E11" w:rsidRDefault="00E82B25" w:rsidP="002D015D">
            <w:pPr>
              <w:tabs>
                <w:tab w:val="right" w:pos="3856"/>
                <w:tab w:val="center" w:pos="4536"/>
                <w:tab w:val="left" w:pos="6521"/>
                <w:tab w:val="right" w:pos="9072"/>
              </w:tabs>
              <w:spacing w:before="60" w:after="60" w:line="240" w:lineRule="atLeast"/>
              <w:rPr>
                <w:rFonts w:cs="Arial"/>
                <w:sz w:val="18"/>
                <w:szCs w:val="18"/>
                <w:lang w:val="cs-CZ"/>
              </w:rPr>
            </w:pPr>
            <w:r w:rsidRPr="003B6E11">
              <w:rPr>
                <w:color w:val="000000"/>
                <w:sz w:val="18"/>
                <w:lang w:val="cs-CZ"/>
              </w:rPr>
              <w:t xml:space="preserve">Omezený výhled před přídí lodi na 2 délky lodi kratší než 250 m </w:t>
            </w:r>
            <w:r w:rsidRPr="003B6E11">
              <w:rPr>
                <w:rFonts w:cs="Arial"/>
                <w:color w:val="000000"/>
                <w:sz w:val="18"/>
                <w:szCs w:val="18"/>
                <w:lang w:val="cs-CZ"/>
              </w:rPr>
              <w:br/>
            </w:r>
            <w:r w:rsidRPr="003B6E11">
              <w:rPr>
                <w:sz w:val="18"/>
                <w:lang w:val="cs-CZ"/>
              </w:rPr>
              <w:t>Dostatečný výhled vzad</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7.10.2018</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19.02</w:t>
            </w:r>
          </w:p>
        </w:tc>
        <w:tc>
          <w:tcPr>
            <w:tcW w:w="1458" w:type="dxa"/>
            <w:tcBorders>
              <w:bottom w:val="single" w:sz="4" w:space="0" w:color="auto"/>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2</w:t>
            </w:r>
          </w:p>
        </w:tc>
        <w:tc>
          <w:tcPr>
            <w:tcW w:w="3296" w:type="dxa"/>
            <w:tcBorders>
              <w:bottom w:val="single" w:sz="4" w:space="0" w:color="auto"/>
            </w:tcBorders>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Počet a umístění přepážek</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3</w:t>
            </w:r>
          </w:p>
        </w:tc>
        <w:tc>
          <w:tcPr>
            <w:tcW w:w="3296" w:type="dxa"/>
            <w:tcBorders>
              <w:bottom w:val="nil"/>
            </w:tcBorders>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sz w:val="18"/>
                <w:lang w:val="cs-CZ"/>
              </w:rPr>
              <w:t>Umístění záďové přepážky</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1.1.2035</w:t>
            </w:r>
          </w:p>
        </w:tc>
        <w:tc>
          <w:tcPr>
            <w:tcW w:w="1276" w:type="dxa"/>
          </w:tcPr>
          <w:p w:rsidR="00E82B25" w:rsidRPr="003B6E11" w:rsidRDefault="00E82B25" w:rsidP="002D015D">
            <w:pPr>
              <w:spacing w:before="60" w:after="60" w:line="240" w:lineRule="atLeast"/>
              <w:rPr>
                <w:rFonts w:cs="Arial"/>
                <w:sz w:val="18"/>
                <w:szCs w:val="18"/>
                <w:highlight w:val="green"/>
                <w:lang w:val="cs-CZ"/>
              </w:rPr>
            </w:pPr>
            <w:r w:rsidRPr="003B6E11">
              <w:rPr>
                <w:sz w:val="18"/>
                <w:lang w:val="cs-CZ"/>
              </w:rPr>
              <w:t>7.10.2018</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tcBorders>
              <w:top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tcBorders>
              <w:top w:val="nil"/>
            </w:tcBorders>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Tento požadavek se nevztahuje na osobní lodě, které splňují základní požadavky na status 2 oddělení stanovené v čl. 19.03 odst. 9 nebo požadavky článku 19.07, a dosahují tak rovnocenné úrovně bezpečnosti a manévrovatelnosti.</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tcPr>
          <w:p w:rsidR="00E82B25" w:rsidRPr="003B6E11" w:rsidRDefault="00E82B25" w:rsidP="002D015D">
            <w:pPr>
              <w:spacing w:before="60" w:after="60" w:line="240" w:lineRule="atLeast"/>
              <w:rPr>
                <w:rFonts w:cs="Arial"/>
                <w:sz w:val="18"/>
                <w:szCs w:val="18"/>
                <w:highlight w:val="green"/>
                <w:lang w:val="cs-CZ"/>
              </w:rPr>
            </w:pPr>
            <w:r w:rsidRPr="003B6E11">
              <w:rPr>
                <w:sz w:val="18"/>
                <w:lang w:val="cs-CZ"/>
              </w:rPr>
              <w:t>7.10.2018</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5 druhá věta</w:t>
            </w: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Rovina zbytkového výtlaku, neexistuje-li přepážková paluba</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V případě osobních lodí, jejichž kýl byl položen před 1. 1. 1996, N.V.P., nejpozději při obnově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single" w:sz="4" w:space="0" w:color="auto"/>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15</w:t>
            </w: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Minimální výška dvojitého dna nebo šířka dvojitého boku</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19.03</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 až 6</w:t>
            </w: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Stabilita v neporušeném stavu</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N.V.P., a při zvýšení největšího přípustného počtu cestujících,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tcBorders>
              <w:bottom w:val="single" w:sz="4" w:space="0" w:color="auto"/>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7 a 8</w:t>
            </w: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Stabilita v narušeném stavu</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9</w:t>
            </w:r>
          </w:p>
        </w:tc>
        <w:tc>
          <w:tcPr>
            <w:tcW w:w="3296" w:type="dxa"/>
            <w:tcBorders>
              <w:bottom w:val="single" w:sz="4" w:space="0" w:color="auto"/>
            </w:tcBorders>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sz w:val="18"/>
                <w:lang w:val="cs-CZ"/>
              </w:rPr>
              <w:t>Stabilita v narušeném stavu</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vMerge w:val="restart"/>
            <w:tcBorders>
              <w:top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vMerge w:val="restart"/>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sz w:val="18"/>
                <w:lang w:val="cs-CZ"/>
              </w:rPr>
              <w:t>Svislý rozsah poškození dna plavidla</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vMerge/>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vMerge/>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N.V.P. se použije u plavidel s vodotěsně uzavřenými palubami ve vzdálenosti alespoň 0,50 m, ale méně než 0,60 m ode dna, která získala osvědčení plavidla vnitrozemské plavby poprvé před 31. 12. 2005</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1.12.2011</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tcBorders>
              <w:top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sz w:val="18"/>
                <w:lang w:val="cs-CZ"/>
              </w:rPr>
              <w:t>Status 2 oddělení</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single" w:sz="4" w:space="0" w:color="auto"/>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10 až 13</w:t>
            </w:r>
          </w:p>
        </w:tc>
        <w:tc>
          <w:tcPr>
            <w:tcW w:w="3296" w:type="dxa"/>
            <w:shd w:val="clear" w:color="auto" w:fill="auto"/>
          </w:tcPr>
          <w:p w:rsidR="00E82B25" w:rsidRPr="003B6E11" w:rsidRDefault="00E82B25" w:rsidP="002D015D">
            <w:pPr>
              <w:tabs>
                <w:tab w:val="left" w:pos="1080"/>
              </w:tabs>
              <w:spacing w:before="100" w:after="100" w:line="240" w:lineRule="atLeast"/>
              <w:rPr>
                <w:rFonts w:cs="Arial"/>
                <w:sz w:val="18"/>
                <w:szCs w:val="18"/>
                <w:lang w:val="cs-CZ"/>
              </w:rPr>
            </w:pPr>
            <w:r w:rsidRPr="003B6E11">
              <w:rPr>
                <w:sz w:val="18"/>
                <w:lang w:val="cs-CZ"/>
              </w:rPr>
              <w:t>Stabilita v narušeném stavu</w:t>
            </w:r>
          </w:p>
        </w:tc>
        <w:tc>
          <w:tcPr>
            <w:tcW w:w="5387"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00" w:after="10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19.05</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2 písm. a)</w:t>
            </w:r>
          </w:p>
        </w:tc>
        <w:tc>
          <w:tcPr>
            <w:tcW w:w="3296" w:type="dxa"/>
            <w:shd w:val="clear" w:color="auto" w:fill="auto"/>
          </w:tcPr>
          <w:p w:rsidR="00E82B25" w:rsidRPr="003B6E11" w:rsidRDefault="00E82B25" w:rsidP="002D015D">
            <w:pPr>
              <w:tabs>
                <w:tab w:val="left" w:pos="1080"/>
              </w:tabs>
              <w:spacing w:before="100" w:after="100" w:line="240" w:lineRule="atLeast"/>
              <w:rPr>
                <w:rFonts w:cs="Arial"/>
                <w:sz w:val="18"/>
                <w:szCs w:val="18"/>
                <w:lang w:val="cs-CZ"/>
              </w:rPr>
            </w:pPr>
            <w:r w:rsidRPr="003B6E11">
              <w:rPr>
                <w:noProof/>
                <w:sz w:val="18"/>
                <w:lang w:val="cs-CZ"/>
              </w:rPr>
              <w:t>Počet cestujících, pro něž byla prokázána existence evakuačního prostoru podle čl. 19.06 odst. 8</w:t>
            </w:r>
          </w:p>
        </w:tc>
        <w:tc>
          <w:tcPr>
            <w:tcW w:w="5387"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00" w:after="10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single" w:sz="4" w:space="0" w:color="auto"/>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2 písm. b)</w:t>
            </w:r>
          </w:p>
        </w:tc>
        <w:tc>
          <w:tcPr>
            <w:tcW w:w="3296" w:type="dxa"/>
            <w:shd w:val="clear" w:color="auto" w:fill="auto"/>
          </w:tcPr>
          <w:p w:rsidR="00E82B25" w:rsidRPr="003B6E11" w:rsidRDefault="00E82B25" w:rsidP="002D015D">
            <w:pPr>
              <w:tabs>
                <w:tab w:val="left" w:pos="1080"/>
              </w:tabs>
              <w:spacing w:before="100" w:after="100" w:line="240" w:lineRule="atLeast"/>
              <w:rPr>
                <w:rFonts w:cs="Arial"/>
                <w:sz w:val="18"/>
                <w:szCs w:val="18"/>
                <w:lang w:val="cs-CZ"/>
              </w:rPr>
            </w:pPr>
            <w:r w:rsidRPr="003B6E11">
              <w:rPr>
                <w:noProof/>
                <w:sz w:val="18"/>
                <w:lang w:val="cs-CZ"/>
              </w:rPr>
              <w:t>Počet cestujících, který byl vzat v úvahu při výpočtu stability podle článku 19.03</w:t>
            </w:r>
          </w:p>
        </w:tc>
        <w:tc>
          <w:tcPr>
            <w:tcW w:w="5387"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00" w:after="10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19.06</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1 první věta</w:t>
            </w:r>
          </w:p>
        </w:tc>
        <w:tc>
          <w:tcPr>
            <w:tcW w:w="3296" w:type="dxa"/>
            <w:shd w:val="clear" w:color="auto" w:fill="auto"/>
          </w:tcPr>
          <w:p w:rsidR="00E82B25" w:rsidRPr="003B6E11" w:rsidRDefault="00E82B25" w:rsidP="002D015D">
            <w:pPr>
              <w:tabs>
                <w:tab w:val="left" w:pos="1080"/>
              </w:tabs>
              <w:spacing w:before="100" w:after="100" w:line="240" w:lineRule="atLeast"/>
              <w:rPr>
                <w:rFonts w:cs="Arial"/>
                <w:sz w:val="18"/>
                <w:szCs w:val="18"/>
                <w:lang w:val="cs-CZ"/>
              </w:rPr>
            </w:pPr>
            <w:r w:rsidRPr="003B6E11">
              <w:rPr>
                <w:sz w:val="18"/>
                <w:lang w:val="cs-CZ"/>
              </w:rPr>
              <w:t>Místnosti pro cestující, nacházejí-li se pod přepážkovou palubou, před záďovou přepážkou</w:t>
            </w:r>
          </w:p>
        </w:tc>
        <w:tc>
          <w:tcPr>
            <w:tcW w:w="5387"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00" w:after="100" w:line="240" w:lineRule="atLeast"/>
              <w:rPr>
                <w:rFonts w:cs="Arial"/>
                <w:sz w:val="18"/>
                <w:szCs w:val="18"/>
                <w:highlight w:val="green"/>
                <w:lang w:val="cs-CZ"/>
              </w:rPr>
            </w:pPr>
            <w:r w:rsidRPr="003B6E11">
              <w:rPr>
                <w:sz w:val="18"/>
                <w:lang w:val="cs-CZ"/>
              </w:rPr>
              <w:t>7.10.2018</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1 druhá věta</w:t>
            </w:r>
          </w:p>
        </w:tc>
        <w:tc>
          <w:tcPr>
            <w:tcW w:w="3296" w:type="dxa"/>
            <w:shd w:val="clear" w:color="auto" w:fill="auto"/>
          </w:tcPr>
          <w:p w:rsidR="00E82B25" w:rsidRPr="003B6E11" w:rsidRDefault="00E82B25" w:rsidP="002D015D">
            <w:pPr>
              <w:tabs>
                <w:tab w:val="left" w:pos="1080"/>
              </w:tabs>
              <w:spacing w:before="100" w:after="100" w:line="240" w:lineRule="atLeast"/>
              <w:rPr>
                <w:rFonts w:cs="Arial"/>
                <w:sz w:val="18"/>
                <w:szCs w:val="18"/>
                <w:lang w:val="cs-CZ"/>
              </w:rPr>
            </w:pPr>
            <w:r w:rsidRPr="003B6E11">
              <w:rPr>
                <w:noProof/>
                <w:sz w:val="18"/>
                <w:lang w:val="cs-CZ"/>
              </w:rPr>
              <w:t>Obestavění</w:t>
            </w:r>
          </w:p>
        </w:tc>
        <w:tc>
          <w:tcPr>
            <w:tcW w:w="5387"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1276" w:type="dxa"/>
          </w:tcPr>
          <w:p w:rsidR="00E82B25" w:rsidRPr="003B6E11" w:rsidRDefault="00E82B25" w:rsidP="002D015D">
            <w:pPr>
              <w:spacing w:before="100" w:after="100" w:line="240" w:lineRule="atLeast"/>
              <w:rPr>
                <w:rFonts w:cs="Arial"/>
                <w:sz w:val="18"/>
                <w:szCs w:val="18"/>
                <w:lang w:val="cs-CZ"/>
              </w:rPr>
            </w:pPr>
            <w:r w:rsidRPr="003B6E11">
              <w:rPr>
                <w:sz w:val="18"/>
                <w:lang w:val="cs-CZ"/>
              </w:rPr>
              <w:t>1.12.2011</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3 písm. c) první věta</w:t>
            </w:r>
          </w:p>
        </w:tc>
        <w:tc>
          <w:tcPr>
            <w:tcW w:w="3296" w:type="dxa"/>
            <w:shd w:val="clear" w:color="auto" w:fill="auto"/>
          </w:tcPr>
          <w:p w:rsidR="00E82B25" w:rsidRPr="003B6E11" w:rsidRDefault="00E82B25" w:rsidP="002D015D">
            <w:pPr>
              <w:tabs>
                <w:tab w:val="left" w:pos="1080"/>
              </w:tabs>
              <w:spacing w:before="100" w:after="100" w:line="240" w:lineRule="atLeast"/>
              <w:rPr>
                <w:rFonts w:cs="Arial"/>
                <w:sz w:val="18"/>
                <w:szCs w:val="18"/>
                <w:lang w:val="cs-CZ"/>
              </w:rPr>
            </w:pPr>
            <w:r w:rsidRPr="003B6E11">
              <w:rPr>
                <w:noProof/>
                <w:sz w:val="18"/>
                <w:lang w:val="cs-CZ"/>
              </w:rPr>
              <w:t>Světlá výška východů</w:t>
            </w:r>
          </w:p>
        </w:tc>
        <w:tc>
          <w:tcPr>
            <w:tcW w:w="5387"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00" w:after="10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3 písm. c) druhá věta</w:t>
            </w:r>
          </w:p>
        </w:tc>
        <w:tc>
          <w:tcPr>
            <w:tcW w:w="3296" w:type="dxa"/>
            <w:shd w:val="clear" w:color="auto" w:fill="auto"/>
          </w:tcPr>
          <w:p w:rsidR="00E82B25" w:rsidRPr="003B6E11" w:rsidRDefault="00E82B25" w:rsidP="002D015D">
            <w:pPr>
              <w:tabs>
                <w:tab w:val="left" w:pos="1080"/>
              </w:tabs>
              <w:spacing w:before="100" w:after="100" w:line="240" w:lineRule="atLeast"/>
              <w:rPr>
                <w:rFonts w:cs="Arial"/>
                <w:sz w:val="18"/>
                <w:szCs w:val="18"/>
                <w:lang w:val="cs-CZ"/>
              </w:rPr>
            </w:pPr>
            <w:r w:rsidRPr="003B6E11">
              <w:rPr>
                <w:noProof/>
                <w:sz w:val="18"/>
                <w:lang w:val="cs-CZ"/>
              </w:rPr>
              <w:t>Světlá šířka dveří kajut pro cestující a jiných malých místností</w:t>
            </w:r>
          </w:p>
        </w:tc>
        <w:tc>
          <w:tcPr>
            <w:tcW w:w="5387"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00" w:after="10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3 písm. f) první věta</w:t>
            </w:r>
          </w:p>
        </w:tc>
        <w:tc>
          <w:tcPr>
            <w:tcW w:w="3296" w:type="dxa"/>
            <w:shd w:val="clear" w:color="auto" w:fill="auto"/>
          </w:tcPr>
          <w:p w:rsidR="00E82B25" w:rsidRPr="003B6E11" w:rsidRDefault="00E82B25" w:rsidP="002D015D">
            <w:pPr>
              <w:tabs>
                <w:tab w:val="left" w:pos="1080"/>
              </w:tabs>
              <w:spacing w:before="100" w:after="100" w:line="240" w:lineRule="atLeast"/>
              <w:rPr>
                <w:rFonts w:cs="Arial"/>
                <w:sz w:val="18"/>
                <w:szCs w:val="18"/>
                <w:lang w:val="cs-CZ"/>
              </w:rPr>
            </w:pPr>
            <w:r w:rsidRPr="003B6E11">
              <w:rPr>
                <w:noProof/>
                <w:sz w:val="18"/>
                <w:lang w:val="cs-CZ"/>
              </w:rPr>
              <w:t>Velikost nouzových východů</w:t>
            </w:r>
          </w:p>
        </w:tc>
        <w:tc>
          <w:tcPr>
            <w:tcW w:w="5387"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00" w:after="10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3 písm. g)</w:t>
            </w:r>
          </w:p>
        </w:tc>
        <w:tc>
          <w:tcPr>
            <w:tcW w:w="3296" w:type="dxa"/>
            <w:shd w:val="clear" w:color="auto" w:fill="auto"/>
          </w:tcPr>
          <w:p w:rsidR="00E82B25" w:rsidRPr="003B6E11" w:rsidRDefault="00E82B25" w:rsidP="002D015D">
            <w:pPr>
              <w:tabs>
                <w:tab w:val="left" w:pos="1080"/>
              </w:tabs>
              <w:spacing w:before="100" w:after="100" w:line="240" w:lineRule="atLeast"/>
              <w:rPr>
                <w:rFonts w:cs="Arial"/>
                <w:sz w:val="18"/>
                <w:szCs w:val="18"/>
                <w:lang w:val="cs-CZ"/>
              </w:rPr>
            </w:pPr>
            <w:r w:rsidRPr="003B6E11">
              <w:rPr>
                <w:noProof/>
                <w:sz w:val="18"/>
                <w:lang w:val="cs-CZ"/>
              </w:rPr>
              <w:t>Východy místností určených pro osoby s omezenou schopností pohybu a orientace</w:t>
            </w:r>
          </w:p>
        </w:tc>
        <w:tc>
          <w:tcPr>
            <w:tcW w:w="5387"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00" w:after="10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4 písm. d)</w:t>
            </w:r>
          </w:p>
        </w:tc>
        <w:tc>
          <w:tcPr>
            <w:tcW w:w="3296" w:type="dxa"/>
            <w:shd w:val="clear" w:color="auto" w:fill="auto"/>
          </w:tcPr>
          <w:p w:rsidR="00E82B25" w:rsidRPr="003B6E11" w:rsidRDefault="00E82B25" w:rsidP="002D015D">
            <w:pPr>
              <w:tabs>
                <w:tab w:val="left" w:pos="930"/>
              </w:tabs>
              <w:spacing w:before="100" w:after="100" w:line="240" w:lineRule="atLeast"/>
              <w:rPr>
                <w:rFonts w:cs="Arial"/>
                <w:sz w:val="18"/>
                <w:szCs w:val="18"/>
                <w:lang w:val="cs-CZ"/>
              </w:rPr>
            </w:pPr>
            <w:r w:rsidRPr="003B6E11">
              <w:rPr>
                <w:noProof/>
                <w:sz w:val="18"/>
                <w:lang w:val="cs-CZ"/>
              </w:rPr>
              <w:t>Dveře určené pro osoby s omezenou schopností pohybu a orientace</w:t>
            </w:r>
          </w:p>
        </w:tc>
        <w:tc>
          <w:tcPr>
            <w:tcW w:w="5387"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00" w:after="10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5</w:t>
            </w: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Požadavky na spojovací chodby</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6 písm. b)</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Únikové cesty do evakuačních prostor</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20" w:after="12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6 písm. c)</w:t>
            </w:r>
            <w:r w:rsidRPr="003B6E11">
              <w:rPr>
                <w:color w:val="000000"/>
                <w:sz w:val="18"/>
                <w:vertAlign w:val="superscript"/>
                <w:lang w:val="cs-CZ"/>
              </w:rPr>
              <w:footnoteReference w:id="42"/>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sz w:val="18"/>
                <w:lang w:val="cs-CZ"/>
              </w:rPr>
              <w:t>Žádné únikové cesty přes kuchyně</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1.1.2020</w:t>
            </w:r>
          </w:p>
        </w:tc>
        <w:tc>
          <w:tcPr>
            <w:tcW w:w="1276" w:type="dxa"/>
          </w:tcPr>
          <w:p w:rsidR="00E82B25" w:rsidRPr="003B6E11" w:rsidRDefault="00E82B25" w:rsidP="002D015D">
            <w:pPr>
              <w:spacing w:before="120" w:after="12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6 písm. d)</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Žádné příčle, žebříky apod. namontované v únikových cestách</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20" w:after="12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7</w:t>
            </w:r>
          </w:p>
        </w:tc>
        <w:tc>
          <w:tcPr>
            <w:tcW w:w="3296" w:type="dxa"/>
            <w:shd w:val="clear" w:color="auto" w:fill="auto"/>
          </w:tcPr>
          <w:p w:rsidR="00E82B25" w:rsidRPr="003B6E11" w:rsidRDefault="00E82B25" w:rsidP="002D015D">
            <w:pPr>
              <w:tabs>
                <w:tab w:val="left" w:pos="1080"/>
              </w:tabs>
              <w:spacing w:before="100" w:after="100" w:line="240" w:lineRule="atLeast"/>
              <w:rPr>
                <w:rFonts w:cs="Arial"/>
                <w:sz w:val="18"/>
                <w:szCs w:val="18"/>
                <w:lang w:val="cs-CZ"/>
              </w:rPr>
            </w:pPr>
            <w:r w:rsidRPr="003B6E11">
              <w:rPr>
                <w:noProof/>
                <w:sz w:val="18"/>
                <w:lang w:val="cs-CZ"/>
              </w:rPr>
              <w:t>Vhodný bezpečnostní naváděcí systém</w:t>
            </w:r>
          </w:p>
        </w:tc>
        <w:tc>
          <w:tcPr>
            <w:tcW w:w="5387"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1.1.2015</w:t>
            </w:r>
          </w:p>
        </w:tc>
        <w:tc>
          <w:tcPr>
            <w:tcW w:w="1276" w:type="dxa"/>
          </w:tcPr>
          <w:p w:rsidR="00E82B25" w:rsidRPr="003B6E11" w:rsidRDefault="00E82B25" w:rsidP="002D015D">
            <w:pPr>
              <w:spacing w:before="100" w:after="10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8</w:t>
            </w:r>
          </w:p>
        </w:tc>
        <w:tc>
          <w:tcPr>
            <w:tcW w:w="3296" w:type="dxa"/>
            <w:shd w:val="clear" w:color="auto" w:fill="auto"/>
          </w:tcPr>
          <w:p w:rsidR="00E82B25" w:rsidRPr="003B6E11" w:rsidRDefault="00E82B25" w:rsidP="002D015D">
            <w:pPr>
              <w:tabs>
                <w:tab w:val="left" w:pos="1080"/>
              </w:tabs>
              <w:spacing w:before="100" w:after="100" w:line="240" w:lineRule="atLeast"/>
              <w:rPr>
                <w:rFonts w:cs="Arial"/>
                <w:sz w:val="18"/>
                <w:szCs w:val="18"/>
                <w:lang w:val="cs-CZ"/>
              </w:rPr>
            </w:pPr>
            <w:r w:rsidRPr="003B6E11">
              <w:rPr>
                <w:noProof/>
                <w:sz w:val="18"/>
                <w:lang w:val="cs-CZ"/>
              </w:rPr>
              <w:t>Požadavky na shromažďovací prostory</w:t>
            </w:r>
          </w:p>
        </w:tc>
        <w:tc>
          <w:tcPr>
            <w:tcW w:w="5387"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00" w:after="10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9 písm. a), b), c), e) a poslední věta</w:t>
            </w:r>
          </w:p>
        </w:tc>
        <w:tc>
          <w:tcPr>
            <w:tcW w:w="3296" w:type="dxa"/>
            <w:shd w:val="clear" w:color="auto" w:fill="auto"/>
          </w:tcPr>
          <w:p w:rsidR="00E82B25" w:rsidRPr="003B6E11" w:rsidRDefault="00E82B25" w:rsidP="002D015D">
            <w:pPr>
              <w:tabs>
                <w:tab w:val="left" w:pos="1080"/>
              </w:tabs>
              <w:spacing w:before="100" w:after="100" w:line="240" w:lineRule="atLeast"/>
              <w:rPr>
                <w:rFonts w:cs="Arial"/>
                <w:sz w:val="18"/>
                <w:szCs w:val="18"/>
                <w:lang w:val="cs-CZ"/>
              </w:rPr>
            </w:pPr>
            <w:r w:rsidRPr="003B6E11">
              <w:rPr>
                <w:noProof/>
                <w:sz w:val="18"/>
                <w:lang w:val="cs-CZ"/>
              </w:rPr>
              <w:t>Požadavky na schodiště a schodišťová odpočívadla v prostorech pro cestující</w:t>
            </w:r>
          </w:p>
        </w:tc>
        <w:tc>
          <w:tcPr>
            <w:tcW w:w="5387"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00" w:after="10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 xml:space="preserve">odst. 10 písm. a) </w:t>
            </w:r>
            <w:r w:rsidRPr="003B6E11">
              <w:rPr>
                <w:rFonts w:cs="Arial"/>
                <w:sz w:val="18"/>
                <w:szCs w:val="18"/>
                <w:lang w:val="cs-CZ"/>
              </w:rPr>
              <w:br/>
            </w:r>
            <w:r w:rsidRPr="003B6E11">
              <w:rPr>
                <w:sz w:val="18"/>
                <w:lang w:val="cs-CZ"/>
              </w:rPr>
              <w:t>první věta</w:t>
            </w:r>
          </w:p>
        </w:tc>
        <w:tc>
          <w:tcPr>
            <w:tcW w:w="3296" w:type="dxa"/>
            <w:shd w:val="clear" w:color="auto" w:fill="auto"/>
          </w:tcPr>
          <w:p w:rsidR="00E82B25" w:rsidRPr="003B6E11" w:rsidRDefault="00E82B25" w:rsidP="002D015D">
            <w:pPr>
              <w:tabs>
                <w:tab w:val="left" w:pos="1080"/>
              </w:tabs>
              <w:spacing w:before="100" w:after="100" w:line="240" w:lineRule="atLeast"/>
              <w:rPr>
                <w:rFonts w:cs="Arial"/>
                <w:sz w:val="18"/>
                <w:szCs w:val="18"/>
                <w:lang w:val="cs-CZ"/>
              </w:rPr>
            </w:pPr>
            <w:r w:rsidRPr="003B6E11">
              <w:rPr>
                <w:noProof/>
                <w:sz w:val="18"/>
                <w:lang w:val="cs-CZ"/>
              </w:rPr>
              <w:t>Zábradlí podle evropské normy EN 711: 1995</w:t>
            </w:r>
          </w:p>
        </w:tc>
        <w:tc>
          <w:tcPr>
            <w:tcW w:w="5387"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00" w:after="10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10 písm. a) druhá věta</w:t>
            </w:r>
          </w:p>
        </w:tc>
        <w:tc>
          <w:tcPr>
            <w:tcW w:w="3296" w:type="dxa"/>
            <w:shd w:val="clear" w:color="auto" w:fill="auto"/>
          </w:tcPr>
          <w:p w:rsidR="00E82B25" w:rsidRPr="003B6E11" w:rsidRDefault="00E82B25" w:rsidP="002D015D">
            <w:pPr>
              <w:tabs>
                <w:tab w:val="left" w:pos="1080"/>
              </w:tabs>
              <w:spacing w:before="100" w:after="100" w:line="240" w:lineRule="atLeast"/>
              <w:rPr>
                <w:rFonts w:cs="Arial"/>
                <w:sz w:val="18"/>
                <w:szCs w:val="18"/>
                <w:lang w:val="cs-CZ"/>
              </w:rPr>
            </w:pPr>
            <w:r w:rsidRPr="003B6E11">
              <w:rPr>
                <w:sz w:val="18"/>
                <w:lang w:val="cs-CZ"/>
              </w:rPr>
              <w:t>Výška štítnic a zábradlí na palubách určených pro osoby s omezenou schopností pohybu a orientace</w:t>
            </w:r>
          </w:p>
        </w:tc>
        <w:tc>
          <w:tcPr>
            <w:tcW w:w="5387"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00" w:after="10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10 písm. b) druhá věta</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Světlá šířka otvorů používaných obvykle pro naloďování nebo vyloďování osob s omezenou schopností pohybu a orientace</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20" w:after="12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13</w:t>
            </w:r>
          </w:p>
        </w:tc>
        <w:tc>
          <w:tcPr>
            <w:tcW w:w="3296" w:type="dxa"/>
            <w:shd w:val="clear" w:color="auto" w:fill="auto"/>
          </w:tcPr>
          <w:p w:rsidR="00E82B25" w:rsidRPr="003B6E11" w:rsidRDefault="00E82B25" w:rsidP="002D015D">
            <w:pPr>
              <w:tabs>
                <w:tab w:val="left" w:pos="1080"/>
              </w:tabs>
              <w:spacing w:before="160" w:after="160" w:line="240" w:lineRule="atLeast"/>
              <w:rPr>
                <w:rFonts w:cs="Arial"/>
                <w:sz w:val="18"/>
                <w:szCs w:val="18"/>
                <w:lang w:val="cs-CZ"/>
              </w:rPr>
            </w:pPr>
            <w:r w:rsidRPr="003B6E11">
              <w:rPr>
                <w:noProof/>
                <w:sz w:val="18"/>
                <w:lang w:val="cs-CZ"/>
              </w:rPr>
              <w:t>Průchody a stěny v průchodech určených pro osoby s omezenou schopností pohybu a orientace</w:t>
            </w:r>
          </w:p>
        </w:tc>
        <w:tc>
          <w:tcPr>
            <w:tcW w:w="5387"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60" w:after="1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14 první věta</w:t>
            </w:r>
          </w:p>
        </w:tc>
        <w:tc>
          <w:tcPr>
            <w:tcW w:w="3296" w:type="dxa"/>
            <w:shd w:val="clear" w:color="auto" w:fill="auto"/>
          </w:tcPr>
          <w:p w:rsidR="00E82B25" w:rsidRPr="003B6E11" w:rsidRDefault="00E82B25" w:rsidP="002D015D">
            <w:pPr>
              <w:tabs>
                <w:tab w:val="left" w:pos="1080"/>
              </w:tabs>
              <w:spacing w:before="160" w:after="160" w:line="240" w:lineRule="atLeast"/>
              <w:rPr>
                <w:rFonts w:cs="Arial"/>
                <w:sz w:val="18"/>
                <w:szCs w:val="18"/>
                <w:lang w:val="cs-CZ"/>
              </w:rPr>
            </w:pPr>
            <w:r w:rsidRPr="003B6E11">
              <w:rPr>
                <w:noProof/>
                <w:sz w:val="18"/>
                <w:lang w:val="cs-CZ"/>
              </w:rPr>
              <w:t>Skleněné dveře a stěny v průchodech a okenní tabule</w:t>
            </w:r>
          </w:p>
        </w:tc>
        <w:tc>
          <w:tcPr>
            <w:tcW w:w="5387"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60" w:after="1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15</w:t>
            </w:r>
          </w:p>
        </w:tc>
        <w:tc>
          <w:tcPr>
            <w:tcW w:w="3296" w:type="dxa"/>
            <w:shd w:val="clear" w:color="auto" w:fill="auto"/>
          </w:tcPr>
          <w:p w:rsidR="00E82B25" w:rsidRPr="003B6E11" w:rsidRDefault="00E82B25" w:rsidP="002D015D">
            <w:pPr>
              <w:tabs>
                <w:tab w:val="left" w:pos="1080"/>
              </w:tabs>
              <w:spacing w:before="160" w:after="160" w:line="240" w:lineRule="atLeast"/>
              <w:rPr>
                <w:rFonts w:cs="Arial"/>
                <w:sz w:val="18"/>
                <w:szCs w:val="18"/>
                <w:lang w:val="cs-CZ"/>
              </w:rPr>
            </w:pPr>
            <w:r w:rsidRPr="003B6E11">
              <w:rPr>
                <w:sz w:val="18"/>
                <w:lang w:val="cs-CZ"/>
              </w:rPr>
              <w:t>Požadavky na nástavby skládající se zcela nebo zčásti z panoramatických tabulí.</w:t>
            </w:r>
          </w:p>
        </w:tc>
        <w:tc>
          <w:tcPr>
            <w:tcW w:w="5387"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60" w:after="1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17 druhá věta</w:t>
            </w:r>
          </w:p>
        </w:tc>
        <w:tc>
          <w:tcPr>
            <w:tcW w:w="3296" w:type="dxa"/>
            <w:shd w:val="clear" w:color="auto" w:fill="auto"/>
          </w:tcPr>
          <w:p w:rsidR="00E82B25" w:rsidRPr="003B6E11" w:rsidRDefault="00E82B25" w:rsidP="002D015D">
            <w:pPr>
              <w:tabs>
                <w:tab w:val="left" w:pos="1080"/>
              </w:tabs>
              <w:spacing w:before="160" w:after="160" w:line="240" w:lineRule="atLeast"/>
              <w:rPr>
                <w:rFonts w:cs="Arial"/>
                <w:sz w:val="18"/>
                <w:szCs w:val="18"/>
                <w:lang w:val="cs-CZ"/>
              </w:rPr>
            </w:pPr>
            <w:r w:rsidRPr="003B6E11">
              <w:rPr>
                <w:noProof/>
                <w:sz w:val="18"/>
                <w:lang w:val="cs-CZ"/>
              </w:rPr>
              <w:t>Požadavky na záchody určené pro osoby s omezenou schopností pohybu a orientace</w:t>
            </w:r>
          </w:p>
        </w:tc>
        <w:tc>
          <w:tcPr>
            <w:tcW w:w="5387"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60" w:after="1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18</w:t>
            </w:r>
          </w:p>
        </w:tc>
        <w:tc>
          <w:tcPr>
            <w:tcW w:w="3296" w:type="dxa"/>
            <w:shd w:val="clear" w:color="auto" w:fill="auto"/>
          </w:tcPr>
          <w:p w:rsidR="00E82B25" w:rsidRPr="003B6E11" w:rsidRDefault="00E82B25" w:rsidP="002D015D">
            <w:pPr>
              <w:tabs>
                <w:tab w:val="left" w:pos="1080"/>
              </w:tabs>
              <w:spacing w:before="160" w:after="160" w:line="240" w:lineRule="atLeast"/>
              <w:rPr>
                <w:rFonts w:cs="Arial"/>
                <w:sz w:val="18"/>
                <w:szCs w:val="18"/>
                <w:lang w:val="cs-CZ"/>
              </w:rPr>
            </w:pPr>
            <w:r w:rsidRPr="003B6E11">
              <w:rPr>
                <w:noProof/>
                <w:sz w:val="18"/>
                <w:lang w:val="cs-CZ"/>
              </w:rPr>
              <w:t>Větrací soustava v kajutách bez otevíracího okna</w:t>
            </w:r>
          </w:p>
        </w:tc>
        <w:tc>
          <w:tcPr>
            <w:tcW w:w="5387"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60" w:after="1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19.07</w:t>
            </w:r>
            <w:r w:rsidRPr="003B6E11">
              <w:rPr>
                <w:color w:val="000000"/>
                <w:sz w:val="18"/>
                <w:vertAlign w:val="superscript"/>
                <w:lang w:val="cs-CZ"/>
              </w:rPr>
              <w:footnoteReference w:id="43"/>
            </w: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p>
        </w:tc>
        <w:tc>
          <w:tcPr>
            <w:tcW w:w="3296" w:type="dxa"/>
            <w:shd w:val="clear" w:color="auto" w:fill="auto"/>
          </w:tcPr>
          <w:p w:rsidR="00E82B25" w:rsidRPr="003B6E11" w:rsidRDefault="00E82B25" w:rsidP="002D015D">
            <w:pPr>
              <w:tabs>
                <w:tab w:val="left" w:pos="1080"/>
              </w:tabs>
              <w:spacing w:before="160" w:after="160" w:line="240" w:lineRule="atLeast"/>
              <w:rPr>
                <w:rFonts w:cs="Arial"/>
                <w:sz w:val="18"/>
                <w:szCs w:val="18"/>
                <w:lang w:val="cs-CZ"/>
              </w:rPr>
            </w:pPr>
            <w:r w:rsidRPr="003B6E11">
              <w:rPr>
                <w:sz w:val="18"/>
                <w:lang w:val="cs-CZ"/>
              </w:rPr>
              <w:t>Samostatná strojovna</w:t>
            </w:r>
          </w:p>
        </w:tc>
        <w:tc>
          <w:tcPr>
            <w:tcW w:w="5387"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1.1.2020</w:t>
            </w:r>
          </w:p>
        </w:tc>
        <w:tc>
          <w:tcPr>
            <w:tcW w:w="1276" w:type="dxa"/>
          </w:tcPr>
          <w:p w:rsidR="00E82B25" w:rsidRPr="003B6E11" w:rsidRDefault="00E82B25" w:rsidP="002D015D">
            <w:pPr>
              <w:spacing w:before="160" w:after="1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19.08</w:t>
            </w: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3 písm. a)</w:t>
            </w:r>
            <w:r w:rsidRPr="003B6E11">
              <w:rPr>
                <w:color w:val="000000"/>
                <w:sz w:val="18"/>
                <w:vertAlign w:val="superscript"/>
                <w:lang w:val="cs-CZ"/>
              </w:rPr>
              <w:footnoteReference w:id="44"/>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Požadavky na poplašný systém, jímž mohou cestující, členové posádky a lodní personál upozornit velení lodi a posádku</w:t>
            </w:r>
          </w:p>
        </w:tc>
        <w:tc>
          <w:tcPr>
            <w:tcW w:w="5387"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U výletních osobních lodí se uplatňuje požadavek N.V.P., nejpozději při obnově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1.1.2020</w:t>
            </w:r>
          </w:p>
        </w:tc>
        <w:tc>
          <w:tcPr>
            <w:tcW w:w="1276" w:type="dxa"/>
          </w:tcPr>
          <w:p w:rsidR="00E82B25" w:rsidRPr="003B6E11" w:rsidRDefault="00E82B25" w:rsidP="002D015D">
            <w:pPr>
              <w:spacing w:before="160" w:after="1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6</w:t>
            </w: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Pevný drenážní systém</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1.1.2015</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19.10</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Ustanovení čl. 10.16 odst. 3 se vztahuje rovněž na průchody a společenské místnosti pro cestující</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1.1.2015</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Přiměřené nouzové osvětlení</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1.1.2015</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Nouzový generátor elektrické energie</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 xml:space="preserve">U výletních osobních lodí s </w:t>
            </w:r>
            <m:oMath>
              <m:sSub>
                <m:sSubPr>
                  <m:ctrlPr>
                    <w:rPr>
                      <w:rFonts w:ascii="Cambria Math" w:hAnsi="Cambria Math" w:cs="Arial"/>
                      <w:i/>
                      <w:noProof/>
                      <w:sz w:val="18"/>
                      <w:szCs w:val="18"/>
                      <w:lang w:val="cs-CZ"/>
                    </w:rPr>
                  </m:ctrlPr>
                </m:sSubPr>
                <m:e>
                  <m:r>
                    <w:rPr>
                      <w:rFonts w:ascii="Cambria Math" w:hAnsi="Cambria Math" w:cs="Arial"/>
                      <w:noProof/>
                      <w:sz w:val="18"/>
                      <w:szCs w:val="18"/>
                      <w:lang w:val="cs-CZ"/>
                    </w:rPr>
                    <m:t>L</m:t>
                  </m:r>
                </m:e>
                <m:sub>
                  <m:r>
                    <w:rPr>
                      <w:rFonts w:ascii="Cambria Math" w:hAnsi="Cambria Math" w:cs="Arial"/>
                      <w:noProof/>
                      <w:sz w:val="18"/>
                      <w:szCs w:val="18"/>
                      <w:lang w:val="cs-CZ"/>
                    </w:rPr>
                    <m:t>WL</m:t>
                  </m:r>
                </m:sub>
              </m:sSub>
            </m:oMath>
            <w:r w:rsidRPr="003B6E11">
              <w:rPr>
                <w:noProof/>
                <w:sz w:val="18"/>
                <w:lang w:val="cs-CZ"/>
              </w:rPr>
              <w:t xml:space="preserve"> 25 m nebo méně se ustanovení použije při N.V.P., nejpozději při obnově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1.1.2015</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4 písm. f)</w:t>
            </w:r>
          </w:p>
        </w:tc>
        <w:tc>
          <w:tcPr>
            <w:tcW w:w="3296" w:type="dxa"/>
            <w:shd w:val="clear" w:color="auto" w:fill="auto"/>
          </w:tcPr>
          <w:p w:rsidR="00E82B25" w:rsidRPr="003B6E11" w:rsidRDefault="00E82B25" w:rsidP="002D015D">
            <w:pPr>
              <w:tabs>
                <w:tab w:val="left" w:pos="1080"/>
              </w:tabs>
              <w:spacing w:before="80" w:after="80" w:line="240" w:lineRule="atLeast"/>
              <w:rPr>
                <w:rFonts w:cs="Arial"/>
                <w:sz w:val="18"/>
                <w:szCs w:val="18"/>
                <w:lang w:val="cs-CZ"/>
              </w:rPr>
            </w:pPr>
            <w:r w:rsidRPr="003B6E11">
              <w:rPr>
                <w:noProof/>
                <w:sz w:val="18"/>
                <w:lang w:val="cs-CZ"/>
              </w:rPr>
              <w:t>Nouzové napájení světlometů podle čl. 13.02 odst. 2 písm. i)</w:t>
            </w:r>
          </w:p>
        </w:tc>
        <w:tc>
          <w:tcPr>
            <w:tcW w:w="5387"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1.1.2015</w:t>
            </w:r>
          </w:p>
        </w:tc>
        <w:tc>
          <w:tcPr>
            <w:tcW w:w="1276" w:type="dxa"/>
          </w:tcPr>
          <w:p w:rsidR="00E82B25" w:rsidRPr="003B6E11" w:rsidRDefault="00E82B25" w:rsidP="002D015D">
            <w:pPr>
              <w:spacing w:before="80" w:after="8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4 písm. i)</w:t>
            </w:r>
          </w:p>
        </w:tc>
        <w:tc>
          <w:tcPr>
            <w:tcW w:w="3296" w:type="dxa"/>
            <w:shd w:val="clear" w:color="auto" w:fill="auto"/>
          </w:tcPr>
          <w:p w:rsidR="00E82B25" w:rsidRPr="003B6E11" w:rsidRDefault="00E82B25" w:rsidP="002D015D">
            <w:pPr>
              <w:tabs>
                <w:tab w:val="left" w:pos="1080"/>
              </w:tabs>
              <w:spacing w:before="80" w:after="80" w:line="240" w:lineRule="atLeast"/>
              <w:rPr>
                <w:rFonts w:cs="Arial"/>
                <w:sz w:val="18"/>
                <w:szCs w:val="18"/>
                <w:lang w:val="cs-CZ"/>
              </w:rPr>
            </w:pPr>
            <w:r w:rsidRPr="003B6E11">
              <w:rPr>
                <w:noProof/>
                <w:sz w:val="18"/>
                <w:lang w:val="cs-CZ"/>
              </w:rPr>
              <w:t>Nouzové napájení výtahů a zdvihacích zařízení podle čl. 19.06 odst. 9 druhé věty</w:t>
            </w:r>
          </w:p>
        </w:tc>
        <w:tc>
          <w:tcPr>
            <w:tcW w:w="5387"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1.1.2015</w:t>
            </w:r>
          </w:p>
        </w:tc>
        <w:tc>
          <w:tcPr>
            <w:tcW w:w="1276" w:type="dxa"/>
          </w:tcPr>
          <w:p w:rsidR="00E82B25" w:rsidRPr="003B6E11" w:rsidRDefault="00E82B25" w:rsidP="002D015D">
            <w:pPr>
              <w:spacing w:before="80" w:after="8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6 první věta</w:t>
            </w:r>
          </w:p>
        </w:tc>
        <w:tc>
          <w:tcPr>
            <w:tcW w:w="3296" w:type="dxa"/>
            <w:shd w:val="clear" w:color="auto" w:fill="auto"/>
          </w:tcPr>
          <w:p w:rsidR="00E82B25" w:rsidRPr="003B6E11" w:rsidRDefault="00E82B25" w:rsidP="002D015D">
            <w:pPr>
              <w:tabs>
                <w:tab w:val="left" w:pos="1080"/>
              </w:tabs>
              <w:spacing w:before="80" w:after="80" w:line="240" w:lineRule="atLeast"/>
              <w:rPr>
                <w:rFonts w:cs="Arial"/>
                <w:sz w:val="18"/>
                <w:szCs w:val="18"/>
                <w:lang w:val="cs-CZ"/>
              </w:rPr>
            </w:pPr>
            <w:r w:rsidRPr="003B6E11">
              <w:rPr>
                <w:noProof/>
                <w:sz w:val="18"/>
                <w:lang w:val="cs-CZ"/>
              </w:rPr>
              <w:t>Dělicí stěny podle čl. 19.11 odst. 2</w:t>
            </w:r>
          </w:p>
        </w:tc>
        <w:tc>
          <w:tcPr>
            <w:tcW w:w="5387"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1.1.2015</w:t>
            </w:r>
          </w:p>
        </w:tc>
        <w:tc>
          <w:tcPr>
            <w:tcW w:w="1276" w:type="dxa"/>
          </w:tcPr>
          <w:p w:rsidR="00E82B25" w:rsidRPr="003B6E11" w:rsidRDefault="00E82B25" w:rsidP="002D015D">
            <w:pPr>
              <w:spacing w:before="80" w:after="8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6 druhá a třetí věta</w:t>
            </w:r>
          </w:p>
        </w:tc>
        <w:tc>
          <w:tcPr>
            <w:tcW w:w="3296" w:type="dxa"/>
            <w:shd w:val="clear" w:color="auto" w:fill="auto"/>
          </w:tcPr>
          <w:p w:rsidR="00E82B25" w:rsidRPr="003B6E11" w:rsidRDefault="00E82B25" w:rsidP="002D015D">
            <w:pPr>
              <w:tabs>
                <w:tab w:val="left" w:pos="1080"/>
              </w:tabs>
              <w:spacing w:before="80" w:after="80" w:line="240" w:lineRule="atLeast"/>
              <w:rPr>
                <w:rFonts w:cs="Arial"/>
                <w:sz w:val="18"/>
                <w:szCs w:val="18"/>
                <w:lang w:val="cs-CZ"/>
              </w:rPr>
            </w:pPr>
            <w:r w:rsidRPr="003B6E11">
              <w:rPr>
                <w:noProof/>
                <w:sz w:val="18"/>
                <w:lang w:val="cs-CZ"/>
              </w:rPr>
              <w:t>Uložení kabelů</w:t>
            </w:r>
          </w:p>
        </w:tc>
        <w:tc>
          <w:tcPr>
            <w:tcW w:w="5387"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1.1.2015</w:t>
            </w:r>
          </w:p>
        </w:tc>
        <w:tc>
          <w:tcPr>
            <w:tcW w:w="1276" w:type="dxa"/>
          </w:tcPr>
          <w:p w:rsidR="00E82B25" w:rsidRPr="003B6E11" w:rsidRDefault="00E82B25" w:rsidP="002D015D">
            <w:pPr>
              <w:spacing w:before="80" w:after="8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single" w:sz="4" w:space="0" w:color="auto"/>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6 čtvrtá věta</w:t>
            </w: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Nouzový generátor elektrické energie nad rovinou zbytkového výtlaku</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1.1.2015</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1.1.2006</w:t>
            </w:r>
          </w:p>
        </w:tc>
      </w:tr>
      <w:tr w:rsidR="00E82B25" w:rsidRPr="003B6E11" w:rsidTr="002D015D">
        <w:trPr>
          <w:cantSplit/>
          <w:trHeight w:val="347"/>
          <w:jc w:val="center"/>
        </w:trPr>
        <w:tc>
          <w:tcPr>
            <w:tcW w:w="1342" w:type="dxa"/>
            <w:vMerge w:val="restart"/>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19.11</w:t>
            </w:r>
          </w:p>
        </w:tc>
        <w:tc>
          <w:tcPr>
            <w:tcW w:w="1458" w:type="dxa"/>
            <w:vMerge w:val="restart"/>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w:t>
            </w:r>
          </w:p>
        </w:tc>
        <w:tc>
          <w:tcPr>
            <w:tcW w:w="3296" w:type="dxa"/>
            <w:vMerge w:val="restart"/>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Vhodnost materiálů a konstrukčních prvků z hlediska požární ochrany</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1.1.2006</w:t>
            </w:r>
          </w:p>
        </w:tc>
      </w:tr>
      <w:tr w:rsidR="00E82B25" w:rsidRPr="003B6E11" w:rsidTr="002D015D">
        <w:trPr>
          <w:cantSplit/>
          <w:trHeight w:val="346"/>
          <w:jc w:val="center"/>
        </w:trPr>
        <w:tc>
          <w:tcPr>
            <w:tcW w:w="1342" w:type="dxa"/>
            <w:vMerge/>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vMerge/>
            <w:shd w:val="clear" w:color="auto" w:fill="auto"/>
          </w:tcPr>
          <w:p w:rsidR="00E82B25" w:rsidRPr="003B6E11" w:rsidRDefault="00E82B25" w:rsidP="002D015D">
            <w:pPr>
              <w:tabs>
                <w:tab w:val="left" w:pos="1080"/>
              </w:tabs>
              <w:spacing w:before="60" w:after="60" w:line="240" w:lineRule="atLeast"/>
              <w:rPr>
                <w:rFonts w:cs="Arial"/>
                <w:noProof/>
                <w:sz w:val="18"/>
                <w:szCs w:val="18"/>
                <w:lang w:val="cs-CZ"/>
              </w:rPr>
            </w:pP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Pro materiály a konstrukční prvky schválené podle Mezinárodního předpisu pro použití postupů požárních zkoušek (předpis FTP) přijatého rezolucí MSC.61 (67)</w:t>
            </w:r>
            <w:r w:rsidRPr="003B6E11">
              <w:rPr>
                <w:rStyle w:val="FootnoteReference"/>
                <w:sz w:val="18"/>
                <w:lang w:val="cs-CZ"/>
              </w:rPr>
              <w:footnoteReference w:id="45"/>
            </w:r>
            <w:r w:rsidRPr="003B6E11">
              <w:rPr>
                <w:sz w:val="18"/>
                <w:lang w:val="cs-CZ"/>
              </w:rPr>
              <w:t>: N.V.P.</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7.10.2018</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Provedení dělicích stěn</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20" w:after="12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Barvy, laky a jiné výrobky k ošetření povrchů a palubní krytiny v místnostech kromě strojoven a skladovacích prostor musí zpomalovat hoření</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1.1.2015</w:t>
            </w:r>
          </w:p>
        </w:tc>
        <w:tc>
          <w:tcPr>
            <w:tcW w:w="1276" w:type="dxa"/>
          </w:tcPr>
          <w:p w:rsidR="00E82B25" w:rsidRPr="003B6E11" w:rsidRDefault="00E82B25" w:rsidP="002D015D">
            <w:pPr>
              <w:spacing w:before="120" w:after="12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Stropy a obložení stěn ve společenských prostorech zhotoveny z nehořlavých materiálů</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20" w:after="12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5</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Nábytek a vybavení v shromažďovacích prostorech vyrobeny z nehořlavých materiálů</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20" w:after="12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6</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Zkoušky podle kodexu</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20" w:after="12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7</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Izolační materiály ve společenských prostorech</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20" w:after="12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9 písm. a), b), písm. c) druhá věta a písm. d)</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Požadavky na dveře v dělicích stěnách</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20" w:after="12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11</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sz w:val="18"/>
                <w:lang w:val="cs-CZ"/>
              </w:rPr>
              <w:t>Dělicí stěny</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20" w:after="12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13</w:t>
            </w:r>
          </w:p>
        </w:tc>
        <w:tc>
          <w:tcPr>
            <w:tcW w:w="3296" w:type="dxa"/>
            <w:shd w:val="clear" w:color="auto" w:fill="auto"/>
          </w:tcPr>
          <w:p w:rsidR="00E82B25" w:rsidRPr="003B6E11" w:rsidRDefault="00E82B25" w:rsidP="002D015D">
            <w:pPr>
              <w:tabs>
                <w:tab w:val="left" w:pos="1080"/>
              </w:tabs>
              <w:spacing w:before="120" w:after="120" w:line="240" w:lineRule="atLeast"/>
              <w:rPr>
                <w:rFonts w:cs="Arial"/>
                <w:sz w:val="18"/>
                <w:szCs w:val="18"/>
                <w:lang w:val="cs-CZ"/>
              </w:rPr>
            </w:pPr>
            <w:r w:rsidRPr="003B6E11">
              <w:rPr>
                <w:noProof/>
                <w:sz w:val="18"/>
                <w:lang w:val="cs-CZ"/>
              </w:rPr>
              <w:t>Schody zhotovené z oceli nebo jiného rovnocenně nehořlavého materiálu</w:t>
            </w:r>
          </w:p>
        </w:tc>
        <w:tc>
          <w:tcPr>
            <w:tcW w:w="5387"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20" w:after="12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4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odst. 14</w:t>
            </w:r>
          </w:p>
        </w:tc>
        <w:tc>
          <w:tcPr>
            <w:tcW w:w="3296" w:type="dxa"/>
            <w:shd w:val="clear" w:color="auto" w:fill="auto"/>
          </w:tcPr>
          <w:p w:rsidR="00E82B25" w:rsidRPr="003B6E11" w:rsidRDefault="00E82B25" w:rsidP="002D015D">
            <w:pPr>
              <w:tabs>
                <w:tab w:val="left" w:pos="1080"/>
              </w:tabs>
              <w:spacing w:before="140" w:after="160" w:line="240" w:lineRule="atLeast"/>
              <w:rPr>
                <w:rFonts w:cs="Arial"/>
                <w:sz w:val="18"/>
                <w:szCs w:val="18"/>
                <w:lang w:val="cs-CZ"/>
              </w:rPr>
            </w:pPr>
            <w:r w:rsidRPr="003B6E11">
              <w:rPr>
                <w:sz w:val="18"/>
                <w:lang w:val="cs-CZ"/>
              </w:rPr>
              <w:t>Vnitřní schody na všech úrovních uzavřené stěnami podle odstavce 2.</w:t>
            </w:r>
          </w:p>
        </w:tc>
        <w:tc>
          <w:tcPr>
            <w:tcW w:w="5387" w:type="dxa"/>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40" w:after="1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4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odst. 15</w:t>
            </w:r>
          </w:p>
        </w:tc>
        <w:tc>
          <w:tcPr>
            <w:tcW w:w="3296" w:type="dxa"/>
            <w:shd w:val="clear" w:color="auto" w:fill="auto"/>
          </w:tcPr>
          <w:p w:rsidR="00E82B25" w:rsidRPr="003B6E11" w:rsidRDefault="00E82B25" w:rsidP="002D015D">
            <w:pPr>
              <w:tabs>
                <w:tab w:val="left" w:pos="1080"/>
              </w:tabs>
              <w:spacing w:before="140" w:after="160" w:line="240" w:lineRule="atLeast"/>
              <w:rPr>
                <w:rFonts w:cs="Arial"/>
                <w:sz w:val="18"/>
                <w:szCs w:val="18"/>
                <w:lang w:val="cs-CZ"/>
              </w:rPr>
            </w:pPr>
            <w:r w:rsidRPr="003B6E11">
              <w:rPr>
                <w:noProof/>
                <w:sz w:val="18"/>
                <w:lang w:val="cs-CZ"/>
              </w:rPr>
              <w:t>Větrací soustavy a soustavy přívodu vzduchu</w:t>
            </w:r>
          </w:p>
        </w:tc>
        <w:tc>
          <w:tcPr>
            <w:tcW w:w="5387" w:type="dxa"/>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40" w:after="1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4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odst. 16</w:t>
            </w:r>
          </w:p>
        </w:tc>
        <w:tc>
          <w:tcPr>
            <w:tcW w:w="3296" w:type="dxa"/>
            <w:shd w:val="clear" w:color="auto" w:fill="auto"/>
          </w:tcPr>
          <w:p w:rsidR="00E82B25" w:rsidRPr="003B6E11" w:rsidRDefault="00E82B25" w:rsidP="002D015D">
            <w:pPr>
              <w:tabs>
                <w:tab w:val="left" w:pos="1080"/>
              </w:tabs>
              <w:spacing w:before="140" w:after="160" w:line="240" w:lineRule="atLeast"/>
              <w:rPr>
                <w:rFonts w:cs="Arial"/>
                <w:sz w:val="18"/>
                <w:szCs w:val="18"/>
                <w:lang w:val="cs-CZ"/>
              </w:rPr>
            </w:pPr>
            <w:r w:rsidRPr="003B6E11">
              <w:rPr>
                <w:noProof/>
                <w:sz w:val="18"/>
                <w:lang w:val="cs-CZ"/>
              </w:rPr>
              <w:t>Větrací soustavy v kuchyních a sporáky s odsávači par</w:t>
            </w:r>
          </w:p>
        </w:tc>
        <w:tc>
          <w:tcPr>
            <w:tcW w:w="5387" w:type="dxa"/>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40" w:after="1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single" w:sz="4" w:space="0" w:color="auto"/>
            </w:tcBorders>
            <w:shd w:val="clear" w:color="auto" w:fill="auto"/>
          </w:tcPr>
          <w:p w:rsidR="00E82B25" w:rsidRPr="003B6E11" w:rsidRDefault="00E82B25" w:rsidP="002D015D">
            <w:pPr>
              <w:spacing w:before="14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odst. 17</w:t>
            </w:r>
          </w:p>
        </w:tc>
        <w:tc>
          <w:tcPr>
            <w:tcW w:w="3296" w:type="dxa"/>
            <w:shd w:val="clear" w:color="auto" w:fill="auto"/>
          </w:tcPr>
          <w:p w:rsidR="00E82B25" w:rsidRPr="003B6E11" w:rsidRDefault="00E82B25" w:rsidP="002D015D">
            <w:pPr>
              <w:tabs>
                <w:tab w:val="left" w:pos="1080"/>
              </w:tabs>
              <w:spacing w:before="140" w:after="160" w:line="240" w:lineRule="atLeast"/>
              <w:rPr>
                <w:rFonts w:cs="Arial"/>
                <w:sz w:val="18"/>
                <w:szCs w:val="18"/>
                <w:lang w:val="cs-CZ"/>
              </w:rPr>
            </w:pPr>
            <w:r w:rsidRPr="003B6E11">
              <w:rPr>
                <w:noProof/>
                <w:sz w:val="18"/>
                <w:lang w:val="cs-CZ"/>
              </w:rPr>
              <w:t>Ovládací stanoviště, schodišťové šachty, shromažďovací prostory a systémy odvádění kouře</w:t>
            </w:r>
          </w:p>
        </w:tc>
        <w:tc>
          <w:tcPr>
            <w:tcW w:w="5387" w:type="dxa"/>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40" w:after="1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single" w:sz="4" w:space="0" w:color="auto"/>
              <w:bottom w:val="nil"/>
            </w:tcBorders>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19.12</w:t>
            </w:r>
          </w:p>
        </w:tc>
        <w:tc>
          <w:tcPr>
            <w:tcW w:w="1458" w:type="dxa"/>
            <w:tcBorders>
              <w:bottom w:val="single" w:sz="4" w:space="0" w:color="auto"/>
            </w:tcBorders>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odst. 8 písm. d)</w:t>
            </w:r>
          </w:p>
        </w:tc>
        <w:tc>
          <w:tcPr>
            <w:tcW w:w="3296" w:type="dxa"/>
            <w:tcBorders>
              <w:bottom w:val="single" w:sz="4" w:space="0" w:color="auto"/>
            </w:tcBorders>
            <w:shd w:val="clear" w:color="auto" w:fill="auto"/>
          </w:tcPr>
          <w:p w:rsidR="00E82B25" w:rsidRPr="003B6E11" w:rsidRDefault="00E82B25" w:rsidP="002D015D">
            <w:pPr>
              <w:tabs>
                <w:tab w:val="left" w:pos="1080"/>
              </w:tabs>
              <w:spacing w:before="140" w:after="160" w:line="240" w:lineRule="atLeast"/>
              <w:rPr>
                <w:rFonts w:cs="Arial"/>
                <w:sz w:val="18"/>
                <w:szCs w:val="18"/>
                <w:lang w:val="cs-CZ"/>
              </w:rPr>
            </w:pPr>
            <w:r w:rsidRPr="003B6E11">
              <w:rPr>
                <w:sz w:val="18"/>
                <w:lang w:val="cs-CZ"/>
              </w:rPr>
              <w:t>Instalace požárních čerpadel</w:t>
            </w:r>
          </w:p>
        </w:tc>
        <w:tc>
          <w:tcPr>
            <w:tcW w:w="5387" w:type="dxa"/>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1.1.2020</w:t>
            </w:r>
          </w:p>
        </w:tc>
        <w:tc>
          <w:tcPr>
            <w:tcW w:w="1276" w:type="dxa"/>
          </w:tcPr>
          <w:p w:rsidR="00E82B25" w:rsidRPr="003B6E11" w:rsidRDefault="00E82B25" w:rsidP="002D015D">
            <w:pPr>
              <w:spacing w:before="140" w:after="160" w:line="240" w:lineRule="atLeast"/>
              <w:rPr>
                <w:rFonts w:cs="Arial"/>
                <w:sz w:val="18"/>
                <w:szCs w:val="18"/>
                <w:lang w:val="cs-CZ"/>
              </w:rPr>
            </w:pPr>
            <w:r w:rsidRPr="003B6E11">
              <w:rPr>
                <w:sz w:val="18"/>
                <w:lang w:val="cs-CZ"/>
              </w:rPr>
              <w:t>7.10.2018</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40" w:after="160" w:line="240" w:lineRule="atLeast"/>
              <w:rPr>
                <w:rFonts w:cs="Arial"/>
                <w:sz w:val="18"/>
                <w:szCs w:val="18"/>
                <w:lang w:val="cs-CZ"/>
              </w:rPr>
            </w:pPr>
          </w:p>
        </w:tc>
        <w:tc>
          <w:tcPr>
            <w:tcW w:w="1458" w:type="dxa"/>
            <w:vMerge w:val="restart"/>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odst. 9</w:t>
            </w:r>
          </w:p>
        </w:tc>
        <w:tc>
          <w:tcPr>
            <w:tcW w:w="3296" w:type="dxa"/>
            <w:vMerge w:val="restart"/>
            <w:shd w:val="clear" w:color="auto" w:fill="auto"/>
          </w:tcPr>
          <w:p w:rsidR="00E82B25" w:rsidRPr="003B6E11" w:rsidRDefault="00E82B25" w:rsidP="002D015D">
            <w:pPr>
              <w:tabs>
                <w:tab w:val="left" w:pos="1080"/>
              </w:tabs>
              <w:spacing w:before="140" w:after="160" w:line="240" w:lineRule="atLeast"/>
              <w:rPr>
                <w:rFonts w:cs="Arial"/>
                <w:sz w:val="18"/>
                <w:szCs w:val="18"/>
                <w:lang w:val="cs-CZ"/>
              </w:rPr>
            </w:pPr>
            <w:r w:rsidRPr="003B6E11">
              <w:rPr>
                <w:noProof/>
                <w:sz w:val="18"/>
                <w:lang w:val="cs-CZ"/>
              </w:rPr>
              <w:t>Požární soustava ve strojovnách</w:t>
            </w:r>
          </w:p>
        </w:tc>
        <w:tc>
          <w:tcPr>
            <w:tcW w:w="5387" w:type="dxa"/>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vMerge w:val="restart"/>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1.1.2015</w:t>
            </w:r>
          </w:p>
        </w:tc>
        <w:tc>
          <w:tcPr>
            <w:tcW w:w="1276" w:type="dxa"/>
            <w:vMerge w:val="restart"/>
          </w:tcPr>
          <w:p w:rsidR="00E82B25" w:rsidRPr="003B6E11" w:rsidRDefault="00E82B25" w:rsidP="002D015D">
            <w:pPr>
              <w:spacing w:before="140" w:after="1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140" w:after="16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140" w:after="160" w:line="240" w:lineRule="atLeast"/>
              <w:rPr>
                <w:rFonts w:cs="Arial"/>
                <w:sz w:val="18"/>
                <w:szCs w:val="18"/>
                <w:lang w:val="cs-CZ"/>
              </w:rPr>
            </w:pPr>
          </w:p>
        </w:tc>
        <w:tc>
          <w:tcPr>
            <w:tcW w:w="3296" w:type="dxa"/>
            <w:vMerge/>
            <w:shd w:val="clear" w:color="auto" w:fill="auto"/>
          </w:tcPr>
          <w:p w:rsidR="00E82B25" w:rsidRPr="003B6E11" w:rsidRDefault="00E82B25" w:rsidP="002D015D">
            <w:pPr>
              <w:tabs>
                <w:tab w:val="left" w:pos="1080"/>
              </w:tabs>
              <w:spacing w:before="140" w:after="160" w:line="240" w:lineRule="atLeast"/>
              <w:rPr>
                <w:rFonts w:cs="Arial"/>
                <w:sz w:val="18"/>
                <w:szCs w:val="18"/>
                <w:lang w:val="cs-CZ"/>
              </w:rPr>
            </w:pPr>
          </w:p>
        </w:tc>
        <w:tc>
          <w:tcPr>
            <w:tcW w:w="5387" w:type="dxa"/>
            <w:shd w:val="clear" w:color="auto" w:fill="auto"/>
          </w:tcPr>
          <w:p w:rsidR="00E82B25" w:rsidRPr="003B6E11" w:rsidRDefault="00E82B25" w:rsidP="002D015D">
            <w:pPr>
              <w:spacing w:before="140" w:after="160" w:line="240" w:lineRule="atLeast"/>
              <w:rPr>
                <w:rFonts w:cs="Arial"/>
                <w:sz w:val="18"/>
                <w:szCs w:val="18"/>
                <w:lang w:val="cs-CZ"/>
              </w:rPr>
            </w:pPr>
            <w:r w:rsidRPr="003B6E11">
              <w:rPr>
                <w:noProof/>
                <w:sz w:val="18"/>
                <w:lang w:val="cs-CZ"/>
              </w:rPr>
              <w:t>Přechodné ustanovení neplatí pro osobní lodě, jejichž kýl byl položen po 31.12.1995, jejichž trup je ze dřeva, hliníku nebo plastu a jejichž strojovny nejsou zhotoveny z materiálu podle čl. 3.04 odst. 3 a 4.</w:t>
            </w:r>
          </w:p>
        </w:tc>
        <w:tc>
          <w:tcPr>
            <w:tcW w:w="1276" w:type="dxa"/>
            <w:vMerge/>
            <w:shd w:val="clear" w:color="auto" w:fill="auto"/>
          </w:tcPr>
          <w:p w:rsidR="00E82B25" w:rsidRPr="003B6E11" w:rsidRDefault="00E82B25" w:rsidP="002D015D">
            <w:pPr>
              <w:spacing w:before="140" w:after="160" w:line="240" w:lineRule="atLeast"/>
              <w:rPr>
                <w:rFonts w:cs="Arial"/>
                <w:sz w:val="18"/>
                <w:szCs w:val="18"/>
                <w:lang w:val="cs-CZ"/>
              </w:rPr>
            </w:pPr>
          </w:p>
        </w:tc>
        <w:tc>
          <w:tcPr>
            <w:tcW w:w="1276" w:type="dxa"/>
            <w:vMerge/>
          </w:tcPr>
          <w:p w:rsidR="00E82B25" w:rsidRPr="003B6E11" w:rsidRDefault="00E82B25" w:rsidP="002D015D">
            <w:pPr>
              <w:spacing w:before="140" w:after="160" w:line="240" w:lineRule="atLeast"/>
              <w:rPr>
                <w:rFonts w:cs="Arial"/>
                <w:sz w:val="18"/>
                <w:szCs w:val="18"/>
                <w:lang w:val="cs-CZ"/>
              </w:rPr>
            </w:pP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19.14</w:t>
            </w:r>
          </w:p>
        </w:tc>
        <w:tc>
          <w:tcPr>
            <w:tcW w:w="1458" w:type="dxa"/>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tabs>
                <w:tab w:val="left" w:pos="1080"/>
              </w:tabs>
              <w:spacing w:before="140" w:after="160" w:line="240" w:lineRule="atLeast"/>
              <w:rPr>
                <w:rFonts w:cs="Arial"/>
                <w:sz w:val="18"/>
                <w:szCs w:val="18"/>
                <w:lang w:val="cs-CZ"/>
              </w:rPr>
            </w:pPr>
            <w:r w:rsidRPr="003B6E11">
              <w:rPr>
                <w:noProof/>
                <w:sz w:val="18"/>
                <w:lang w:val="cs-CZ"/>
              </w:rPr>
              <w:t>Sběrné nádrže na odpadní vody a zařízení na odstraňování odpadních vod</w:t>
            </w:r>
          </w:p>
        </w:tc>
        <w:tc>
          <w:tcPr>
            <w:tcW w:w="5387" w:type="dxa"/>
            <w:shd w:val="clear" w:color="auto" w:fill="auto"/>
          </w:tcPr>
          <w:p w:rsidR="00E82B25" w:rsidRPr="003B6E11" w:rsidRDefault="00E82B25" w:rsidP="002D015D">
            <w:pPr>
              <w:spacing w:before="140" w:after="160" w:line="240" w:lineRule="atLeast"/>
              <w:rPr>
                <w:rFonts w:cs="Arial"/>
                <w:sz w:val="18"/>
                <w:szCs w:val="18"/>
                <w:lang w:val="cs-CZ"/>
              </w:rPr>
            </w:pPr>
            <w:r w:rsidRPr="003B6E11">
              <w:rPr>
                <w:noProof/>
                <w:sz w:val="18"/>
                <w:lang w:val="cs-CZ"/>
              </w:rPr>
              <w:t>U kajutových osobních lodí s nejvýše 50 lůžky a u výletních osobních lodí: N.V.P., nejpozději při obnovení osvědčení plavidla vnitrozemské plavby po</w:t>
            </w:r>
          </w:p>
        </w:tc>
        <w:tc>
          <w:tcPr>
            <w:tcW w:w="1276" w:type="dxa"/>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40" w:after="1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top w:val="nil"/>
              <w:bottom w:val="single" w:sz="4" w:space="0" w:color="auto"/>
            </w:tcBorders>
            <w:shd w:val="clear" w:color="auto" w:fill="auto"/>
          </w:tcPr>
          <w:p w:rsidR="00E82B25" w:rsidRPr="003B6E11" w:rsidRDefault="00E82B25" w:rsidP="002D015D">
            <w:pPr>
              <w:spacing w:before="14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tabs>
                <w:tab w:val="left" w:pos="1080"/>
              </w:tabs>
              <w:spacing w:before="140" w:after="160" w:line="240" w:lineRule="atLeast"/>
              <w:rPr>
                <w:rFonts w:cs="Arial"/>
                <w:sz w:val="18"/>
                <w:szCs w:val="18"/>
                <w:lang w:val="cs-CZ"/>
              </w:rPr>
            </w:pPr>
            <w:r w:rsidRPr="003B6E11">
              <w:rPr>
                <w:noProof/>
                <w:sz w:val="18"/>
                <w:lang w:val="cs-CZ"/>
              </w:rPr>
              <w:t>Požadavky na sběrné nádrže na odpadní vody</w:t>
            </w:r>
          </w:p>
        </w:tc>
        <w:tc>
          <w:tcPr>
            <w:tcW w:w="5387" w:type="dxa"/>
            <w:shd w:val="clear" w:color="auto" w:fill="auto"/>
          </w:tcPr>
          <w:p w:rsidR="00E82B25" w:rsidRPr="003B6E11" w:rsidRDefault="00E82B25" w:rsidP="002D015D">
            <w:pPr>
              <w:spacing w:before="140" w:after="160" w:line="240" w:lineRule="atLeast"/>
              <w:rPr>
                <w:rFonts w:cs="Arial"/>
                <w:sz w:val="18"/>
                <w:szCs w:val="18"/>
                <w:lang w:val="cs-CZ"/>
              </w:rPr>
            </w:pPr>
            <w:r w:rsidRPr="003B6E11">
              <w:rPr>
                <w:noProof/>
                <w:sz w:val="18"/>
                <w:lang w:val="cs-CZ"/>
              </w:rPr>
              <w:t>U kajutových osobních lodí s nejvýše 50 lůžky a u výletních osobních lodí s nejvýše 50 cestujícími: N.V.P., nejpozději při obnovení osvědčení plavidla vnitrozemské plavby po</w:t>
            </w:r>
          </w:p>
        </w:tc>
        <w:tc>
          <w:tcPr>
            <w:tcW w:w="1276" w:type="dxa"/>
            <w:shd w:val="clear" w:color="auto" w:fill="auto"/>
          </w:tcPr>
          <w:p w:rsidR="00E82B25" w:rsidRPr="003B6E11" w:rsidRDefault="00E82B25" w:rsidP="002D015D">
            <w:pPr>
              <w:spacing w:before="140" w:after="16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140" w:after="1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19.15</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Stabilita v narušeném stavu</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1.1.2045</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1.1.2006</w:t>
            </w:r>
          </w:p>
        </w:tc>
      </w:tr>
      <w:tr w:rsidR="00E82B25" w:rsidRPr="003B6E11" w:rsidTr="002D015D">
        <w:trPr>
          <w:cantSplit/>
          <w:jc w:val="center"/>
        </w:trPr>
        <w:tc>
          <w:tcPr>
            <w:tcW w:w="6096" w:type="dxa"/>
            <w:gridSpan w:val="3"/>
            <w:shd w:val="clear" w:color="auto" w:fill="auto"/>
          </w:tcPr>
          <w:p w:rsidR="00E82B25" w:rsidRPr="003B6E11" w:rsidRDefault="00E82B25" w:rsidP="002D015D">
            <w:pPr>
              <w:tabs>
                <w:tab w:val="left" w:pos="1080"/>
              </w:tabs>
              <w:spacing w:before="60" w:after="60" w:line="240" w:lineRule="atLeast"/>
              <w:jc w:val="center"/>
              <w:rPr>
                <w:rFonts w:cs="Arial"/>
                <w:sz w:val="18"/>
                <w:szCs w:val="18"/>
                <w:lang w:val="cs-CZ"/>
              </w:rPr>
            </w:pPr>
            <w:r w:rsidRPr="003B6E11">
              <w:rPr>
                <w:b/>
                <w:sz w:val="18"/>
                <w:lang w:val="cs-CZ"/>
              </w:rPr>
              <w:t>KAPITOLA 29</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29.02</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Do provozu se uvede druhá nezávislá pohonná jednotka kormidelního stroje nebo ruční pohon</w:t>
            </w:r>
          </w:p>
        </w:tc>
        <w:tc>
          <w:tcPr>
            <w:tcW w:w="5387"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1.1.2025</w:t>
            </w:r>
          </w:p>
        </w:tc>
        <w:tc>
          <w:tcPr>
            <w:tcW w:w="1276" w:type="dxa"/>
          </w:tcPr>
          <w:p w:rsidR="00E82B25" w:rsidRPr="003B6E11" w:rsidRDefault="00E82B25" w:rsidP="002D015D">
            <w:pPr>
              <w:spacing w:before="60" w:after="60" w:line="240" w:lineRule="atLeast"/>
              <w:rPr>
                <w:rFonts w:cs="Arial"/>
                <w:sz w:val="18"/>
                <w:szCs w:val="18"/>
                <w:lang w:val="cs-CZ"/>
              </w:rPr>
            </w:pPr>
            <w:r w:rsidRPr="003B6E11">
              <w:rPr>
                <w:sz w:val="18"/>
                <w:lang w:val="cs-CZ"/>
              </w:rPr>
              <w:t>1.4.2005</w:t>
            </w:r>
          </w:p>
        </w:tc>
      </w:tr>
    </w:tbl>
    <w:p w:rsidR="00E82B25" w:rsidRPr="003B6E11" w:rsidRDefault="00E82B25" w:rsidP="00E82B25">
      <w:pPr>
        <w:spacing w:line="240" w:lineRule="atLeast"/>
        <w:ind w:left="567" w:hanging="567"/>
        <w:rPr>
          <w:rFonts w:cs="Arial"/>
          <w:sz w:val="18"/>
          <w:szCs w:val="18"/>
          <w:lang w:val="cs-CZ"/>
        </w:rPr>
      </w:pPr>
    </w:p>
    <w:p w:rsidR="00E82B25" w:rsidRPr="003B6E11" w:rsidRDefault="00E82B25" w:rsidP="00E82B25">
      <w:pPr>
        <w:rPr>
          <w:lang w:val="cs-CZ"/>
        </w:rPr>
      </w:pPr>
    </w:p>
    <w:p w:rsidR="00E82B25" w:rsidRPr="003B6E11" w:rsidRDefault="00E82B25" w:rsidP="00E82B25">
      <w:pPr>
        <w:rPr>
          <w:lang w:val="cs-CZ"/>
        </w:rPr>
      </w:pPr>
      <w:r w:rsidRPr="003B6E11">
        <w:rPr>
          <w:lang w:val="cs-CZ"/>
        </w:rPr>
        <w:br w:type="page"/>
      </w:r>
    </w:p>
    <w:p w:rsidR="00E82B25" w:rsidRPr="003B6E11" w:rsidRDefault="00E82B25" w:rsidP="00E82B25">
      <w:pPr>
        <w:rPr>
          <w:lang w:val="cs-CZ"/>
        </w:rPr>
      </w:pPr>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hanging="567"/>
        <w:rPr>
          <w:lang w:val="cs-CZ"/>
        </w:rPr>
        <w:sectPr w:rsidR="00E82B25" w:rsidRPr="003B6E11" w:rsidSect="001E2331">
          <w:footnotePr>
            <w:numRestart w:val="eachPage"/>
          </w:footnotePr>
          <w:pgSz w:w="16838" w:h="11906" w:orient="landscape" w:code="9"/>
          <w:pgMar w:top="1418" w:right="1418" w:bottom="1418" w:left="1418" w:header="709" w:footer="709" w:gutter="0"/>
          <w:cols w:space="709"/>
          <w:titlePg/>
          <w:docGrid w:linePitch="272"/>
        </w:sectPr>
      </w:pPr>
    </w:p>
    <w:p w:rsidR="00E82B25" w:rsidRPr="003B6E11" w:rsidRDefault="00E82B25" w:rsidP="00E82B25">
      <w:pPr>
        <w:ind w:left="567" w:hanging="567"/>
        <w:rPr>
          <w:sz w:val="12"/>
          <w:lang w:val="cs-CZ"/>
        </w:rPr>
      </w:pPr>
    </w:p>
    <w:p w:rsidR="00E82B25" w:rsidRPr="003B6E11" w:rsidRDefault="00E82B25" w:rsidP="00E82B25">
      <w:pPr>
        <w:pStyle w:val="ES-Titre2"/>
        <w:pageBreakBefore w:val="0"/>
      </w:pPr>
      <w:bookmarkStart w:id="577" w:name="_Toc491854283"/>
      <w:bookmarkStart w:id="578" w:name="_Toc535417189"/>
      <w:r w:rsidRPr="003B6E11">
        <w:t>Kapitola 33</w:t>
      </w:r>
      <w:r w:rsidRPr="003B6E11">
        <w:br/>
        <w:t>Přechodná ustanovení pro plavidla provozovaná výhradně na vodních cestách mimo Rýn (Zóna R)</w:t>
      </w:r>
      <w:bookmarkEnd w:id="577"/>
      <w:bookmarkEnd w:id="578"/>
    </w:p>
    <w:p w:rsidR="00E82B25" w:rsidRPr="003B6E11" w:rsidRDefault="00E82B25" w:rsidP="00E82B25">
      <w:pPr>
        <w:overflowPunct w:val="0"/>
        <w:adjustRightInd w:val="0"/>
        <w:spacing w:line="240" w:lineRule="exact"/>
        <w:jc w:val="center"/>
        <w:textAlignment w:val="baseline"/>
        <w:rPr>
          <w:rFonts w:eastAsia="Calibri"/>
          <w:b/>
          <w:lang w:val="cs-CZ"/>
        </w:rPr>
      </w:pPr>
    </w:p>
    <w:p w:rsidR="00E82B25" w:rsidRPr="003B6E11" w:rsidRDefault="00E82B25" w:rsidP="00E82B25">
      <w:pPr>
        <w:pStyle w:val="ES-Titre3prchap32"/>
      </w:pPr>
      <w:bookmarkStart w:id="579" w:name="_Toc491854284"/>
      <w:bookmarkStart w:id="580" w:name="_Toc535417190"/>
      <w:r w:rsidRPr="003B6E11">
        <w:t>Článek 33.01</w:t>
      </w:r>
      <w:bookmarkEnd w:id="579"/>
      <w:bookmarkEnd w:id="580"/>
    </w:p>
    <w:p w:rsidR="00E82B25" w:rsidRPr="003B6E11" w:rsidRDefault="00E82B25" w:rsidP="00E82B25">
      <w:pPr>
        <w:pStyle w:val="ES-Titre3a"/>
        <w:rPr>
          <w:noProof/>
          <w:lang w:val="cs-CZ"/>
        </w:rPr>
      </w:pPr>
      <w:bookmarkStart w:id="581" w:name="_Toc421775895"/>
      <w:bookmarkStart w:id="582" w:name="_Toc491854285"/>
      <w:bookmarkStart w:id="583" w:name="_Toc535417191"/>
      <w:r w:rsidRPr="003B6E11">
        <w:rPr>
          <w:lang w:val="cs-CZ"/>
        </w:rPr>
        <w:t>Použitelnost přechodných ustanovení na plavidla, která jsou již v provozu</w:t>
      </w:r>
      <w:bookmarkEnd w:id="581"/>
      <w:bookmarkEnd w:id="582"/>
      <w:bookmarkEnd w:id="583"/>
    </w:p>
    <w:p w:rsidR="00E82B25" w:rsidRPr="003B6E11" w:rsidRDefault="00E82B25" w:rsidP="00E82B25">
      <w:pPr>
        <w:spacing w:line="240" w:lineRule="atLeast"/>
        <w:ind w:left="567" w:hanging="567"/>
        <w:rPr>
          <w:noProof/>
          <w:lang w:val="cs-CZ"/>
        </w:rPr>
      </w:pPr>
    </w:p>
    <w:p w:rsidR="00E82B25" w:rsidRPr="003B6E11" w:rsidRDefault="00E82B25" w:rsidP="00E82B25">
      <w:pPr>
        <w:spacing w:line="240" w:lineRule="atLeast"/>
        <w:ind w:left="567" w:hanging="567"/>
        <w:rPr>
          <w:noProof/>
          <w:lang w:val="cs-CZ"/>
        </w:rPr>
      </w:pPr>
      <w:r w:rsidRPr="003B6E11">
        <w:rPr>
          <w:lang w:val="cs-CZ"/>
        </w:rPr>
        <w:t>1.</w:t>
      </w:r>
      <w:r w:rsidRPr="003B6E11">
        <w:rPr>
          <w:lang w:val="cs-CZ"/>
        </w:rPr>
        <w:tab/>
        <w:t>Ustanovení článků 33.02 až 33.03 se vztahují na plavidla provozovaná výhradně na vodních cestách mimo Rýn (zóna R):</w:t>
      </w:r>
    </w:p>
    <w:p w:rsidR="00E82B25" w:rsidRPr="003B6E11" w:rsidRDefault="00E82B25" w:rsidP="00E82B25">
      <w:pPr>
        <w:spacing w:before="60" w:line="240" w:lineRule="atLeast"/>
        <w:ind w:left="992"/>
        <w:rPr>
          <w:noProof/>
          <w:lang w:val="cs-CZ"/>
        </w:rPr>
      </w:pPr>
      <w:r w:rsidRPr="003B6E11">
        <w:rPr>
          <w:lang w:val="cs-CZ"/>
        </w:rPr>
        <w:t>a)</w:t>
      </w:r>
      <w:r w:rsidRPr="003B6E11">
        <w:rPr>
          <w:lang w:val="cs-CZ"/>
        </w:rPr>
        <w:tab/>
        <w:t>jimž bylo osvědčení Společenství vystaveno poprvé před 30. prosincem 2008;</w:t>
      </w:r>
    </w:p>
    <w:p w:rsidR="00E82B25" w:rsidRPr="003B6E11" w:rsidRDefault="00E82B25" w:rsidP="00E82B25">
      <w:pPr>
        <w:spacing w:before="60" w:line="240" w:lineRule="atLeast"/>
        <w:ind w:left="992"/>
        <w:rPr>
          <w:noProof/>
          <w:lang w:val="cs-CZ"/>
        </w:rPr>
      </w:pPr>
      <w:r w:rsidRPr="003B6E11">
        <w:rPr>
          <w:lang w:val="cs-CZ"/>
        </w:rPr>
        <w:t>b)</w:t>
      </w:r>
      <w:r w:rsidRPr="003B6E11">
        <w:rPr>
          <w:lang w:val="cs-CZ"/>
        </w:rPr>
        <w:tab/>
        <w:t>jimž bylo vystaveno jiné povolení k přepravě před 30. prosincem 2008.</w:t>
      </w:r>
    </w:p>
    <w:p w:rsidR="00E82B25" w:rsidRPr="003B6E11" w:rsidRDefault="00E82B25" w:rsidP="00E82B25">
      <w:pPr>
        <w:spacing w:line="240" w:lineRule="atLeast"/>
        <w:ind w:left="567" w:hanging="567"/>
        <w:rPr>
          <w:noProof/>
          <w:lang w:val="cs-CZ"/>
        </w:rPr>
      </w:pPr>
    </w:p>
    <w:p w:rsidR="00E82B25" w:rsidRPr="003B6E11" w:rsidRDefault="00E82B25" w:rsidP="00E82B25">
      <w:pPr>
        <w:spacing w:line="240" w:lineRule="atLeast"/>
        <w:ind w:left="567" w:hanging="567"/>
        <w:rPr>
          <w:noProof/>
          <w:lang w:val="cs-CZ"/>
        </w:rPr>
      </w:pPr>
      <w:r w:rsidRPr="003B6E11">
        <w:rPr>
          <w:lang w:val="cs-CZ"/>
        </w:rPr>
        <w:t>2.</w:t>
      </w:r>
      <w:r w:rsidRPr="003B6E11">
        <w:rPr>
          <w:lang w:val="cs-CZ"/>
        </w:rPr>
        <w:tab/>
        <w:t>Je nutno prokázat, že tato plavidla splňují technické požadavky kapitol 1 až 12 přílohy II směrnice 82/714/EHS ke dni, k němuž bylo vystaveno lodní osvědčení nebo jiné povolení k přepravě.</w:t>
      </w:r>
    </w:p>
    <w:p w:rsidR="00E82B25" w:rsidRPr="003B6E11" w:rsidRDefault="00E82B25" w:rsidP="00E82B25">
      <w:pPr>
        <w:spacing w:line="240" w:lineRule="atLeast"/>
        <w:ind w:left="567" w:hanging="567"/>
        <w:rPr>
          <w:noProof/>
          <w:lang w:val="cs-CZ"/>
        </w:rPr>
      </w:pPr>
    </w:p>
    <w:p w:rsidR="00E82B25" w:rsidRPr="003B6E11" w:rsidRDefault="00E82B25" w:rsidP="00E82B25">
      <w:pPr>
        <w:spacing w:line="240" w:lineRule="atLeast"/>
        <w:ind w:left="567" w:hanging="567"/>
        <w:rPr>
          <w:noProof/>
          <w:lang w:val="cs-CZ"/>
        </w:rPr>
      </w:pPr>
      <w:r w:rsidRPr="003B6E11">
        <w:rPr>
          <w:lang w:val="cs-CZ"/>
        </w:rPr>
        <w:t>3.</w:t>
      </w:r>
      <w:r w:rsidRPr="003B6E11">
        <w:rPr>
          <w:lang w:val="cs-CZ"/>
        </w:rPr>
        <w:tab/>
        <w:t>Osvědčení Společenství, jež byla vystavena před 30. prosincem 2008, jsou platná až do dne uplynutí platnosti daného osvědčení.</w:t>
      </w:r>
    </w:p>
    <w:p w:rsidR="00E82B25" w:rsidRPr="003B6E11" w:rsidRDefault="00E82B25" w:rsidP="00E82B25">
      <w:pPr>
        <w:rPr>
          <w:lang w:val="cs-CZ"/>
        </w:rPr>
      </w:pPr>
    </w:p>
    <w:p w:rsidR="00E82B25" w:rsidRPr="003B6E11" w:rsidRDefault="00E82B25" w:rsidP="00E82B25">
      <w:pPr>
        <w:rPr>
          <w:lang w:val="cs-CZ"/>
        </w:rPr>
      </w:pPr>
    </w:p>
    <w:p w:rsidR="00E82B25" w:rsidRPr="003B6E11" w:rsidRDefault="00E82B25" w:rsidP="00E82B25">
      <w:pPr>
        <w:pStyle w:val="ES-Titre3"/>
        <w:rPr>
          <w:noProof/>
          <w:lang w:val="cs-CZ"/>
        </w:rPr>
      </w:pPr>
      <w:bookmarkStart w:id="584" w:name="_Toc491854286"/>
      <w:bookmarkStart w:id="585" w:name="_Toc535417192"/>
      <w:r w:rsidRPr="003B6E11">
        <w:rPr>
          <w:lang w:val="cs-CZ"/>
        </w:rPr>
        <w:t>Článek 33.02</w:t>
      </w:r>
      <w:bookmarkEnd w:id="584"/>
      <w:bookmarkEnd w:id="585"/>
    </w:p>
    <w:p w:rsidR="00E82B25" w:rsidRPr="003B6E11" w:rsidRDefault="00E82B25" w:rsidP="00E82B25">
      <w:pPr>
        <w:pStyle w:val="ES-Titre3a"/>
        <w:rPr>
          <w:noProof/>
          <w:lang w:val="cs-CZ"/>
        </w:rPr>
      </w:pPr>
      <w:bookmarkStart w:id="586" w:name="_Toc421775897"/>
      <w:bookmarkStart w:id="587" w:name="_Toc491854287"/>
      <w:bookmarkStart w:id="588" w:name="_Toc535417193"/>
      <w:r w:rsidRPr="003B6E11">
        <w:rPr>
          <w:lang w:val="cs-CZ"/>
        </w:rPr>
        <w:t>Přechodná ustanovení pro plavidla, která jsou již v provozu</w:t>
      </w:r>
      <w:bookmarkEnd w:id="586"/>
      <w:bookmarkEnd w:id="587"/>
      <w:bookmarkEnd w:id="588"/>
    </w:p>
    <w:p w:rsidR="00E82B25" w:rsidRPr="003B6E11" w:rsidRDefault="00E82B25" w:rsidP="00E82B25">
      <w:pPr>
        <w:rPr>
          <w:lang w:val="cs-CZ"/>
        </w:rPr>
      </w:pPr>
    </w:p>
    <w:p w:rsidR="00E82B25" w:rsidRPr="003B6E11" w:rsidRDefault="00E82B25" w:rsidP="00E82B25">
      <w:pPr>
        <w:spacing w:line="240" w:lineRule="atLeast"/>
        <w:ind w:left="567" w:hanging="567"/>
        <w:rPr>
          <w:b/>
          <w:lang w:val="cs-CZ"/>
        </w:rPr>
      </w:pPr>
      <w:r w:rsidRPr="003B6E11">
        <w:rPr>
          <w:lang w:val="cs-CZ"/>
        </w:rPr>
        <w:t>1.</w:t>
      </w:r>
      <w:r w:rsidRPr="003B6E11">
        <w:rPr>
          <w:lang w:val="cs-CZ"/>
        </w:rPr>
        <w:tab/>
        <w:t>Plavidla, která nejsou zcela v souladu s požadavky této normy:</w:t>
      </w:r>
    </w:p>
    <w:p w:rsidR="00E82B25" w:rsidRPr="003B6E11" w:rsidRDefault="00E82B25" w:rsidP="00E82B25">
      <w:pPr>
        <w:spacing w:before="60" w:line="240" w:lineRule="atLeast"/>
        <w:ind w:left="992"/>
        <w:rPr>
          <w:lang w:val="cs-CZ"/>
        </w:rPr>
      </w:pPr>
      <w:r w:rsidRPr="003B6E11">
        <w:rPr>
          <w:lang w:val="cs-CZ"/>
        </w:rPr>
        <w:t>a)</w:t>
      </w:r>
      <w:r w:rsidRPr="003B6E11">
        <w:rPr>
          <w:lang w:val="cs-CZ"/>
        </w:rPr>
        <w:tab/>
        <w:t>musí být upravena tak, aby vyhovovala těmto ustanovením podle přechodných ustanovení uvedených v tabulce níže a</w:t>
      </w:r>
    </w:p>
    <w:p w:rsidR="00E82B25" w:rsidRPr="003B6E11" w:rsidRDefault="00E82B25" w:rsidP="00E82B25">
      <w:pPr>
        <w:spacing w:before="60" w:line="240" w:lineRule="atLeast"/>
        <w:ind w:left="992"/>
        <w:rPr>
          <w:lang w:val="cs-CZ"/>
        </w:rPr>
      </w:pPr>
      <w:r w:rsidRPr="003B6E11">
        <w:rPr>
          <w:lang w:val="cs-CZ"/>
        </w:rPr>
        <w:t>b)</w:t>
      </w:r>
      <w:r w:rsidRPr="003B6E11">
        <w:rPr>
          <w:lang w:val="cs-CZ"/>
        </w:rPr>
        <w:tab/>
        <w:t>před provedením úpravy musí splňovat požadavky stanovené v kapitolách 1 až 12 přílohy II směrnice 82/714/EHS.</w:t>
      </w:r>
    </w:p>
    <w:p w:rsidR="00E82B25" w:rsidRPr="003B6E11" w:rsidRDefault="00E82B25" w:rsidP="00E82B25">
      <w:pPr>
        <w:spacing w:line="240" w:lineRule="atLeast"/>
        <w:ind w:left="567" w:hanging="567"/>
        <w:rPr>
          <w:rFonts w:cs="Arial"/>
          <w:sz w:val="18"/>
          <w:szCs w:val="18"/>
          <w:lang w:val="cs-CZ"/>
        </w:rPr>
      </w:pPr>
    </w:p>
    <w:p w:rsidR="00E82B25" w:rsidRPr="003B6E11" w:rsidRDefault="00E82B25" w:rsidP="00E82B25">
      <w:pPr>
        <w:spacing w:line="240" w:lineRule="atLeast"/>
        <w:ind w:left="567"/>
        <w:rPr>
          <w:noProof/>
          <w:lang w:val="cs-CZ"/>
        </w:rPr>
      </w:pPr>
      <w:r w:rsidRPr="003B6E11">
        <w:rPr>
          <w:lang w:val="cs-CZ"/>
        </w:rPr>
        <w:t>Při vydání nového osvědčení plavidla vnitrozemské plavby ve smyslu definice v čl. 33.01 odst. 1 se osvědčení Společenství nebo jiné povolení k přepravě předloží jako doklad, osvědčení Společenství nebo jiné povolení k přepravě se odejme a datum vydání osvědčení Společenství nebo jiného povolení k přepravě se uvede v bodě 52 nového osvědčení plavidla vnitrozemské plavby takto:</w:t>
      </w:r>
    </w:p>
    <w:p w:rsidR="00E82B25" w:rsidRPr="003B6E11" w:rsidRDefault="00E82B25" w:rsidP="00E82B25">
      <w:pPr>
        <w:spacing w:before="60" w:line="240" w:lineRule="atLeast"/>
        <w:ind w:left="567"/>
        <w:jc w:val="center"/>
        <w:rPr>
          <w:noProof/>
          <w:lang w:val="cs-CZ"/>
        </w:rPr>
      </w:pPr>
      <w:r w:rsidRPr="003B6E11">
        <w:rPr>
          <w:lang w:val="cs-CZ"/>
        </w:rPr>
        <w:t>„Osvědčení Společenství podle směrnice 82/714/EHS vydáno ...“</w:t>
      </w:r>
    </w:p>
    <w:p w:rsidR="00E82B25" w:rsidRPr="003B6E11" w:rsidRDefault="00E82B25" w:rsidP="00E82B25">
      <w:pPr>
        <w:spacing w:line="240" w:lineRule="atLeast"/>
        <w:ind w:left="567"/>
        <w:jc w:val="center"/>
        <w:rPr>
          <w:noProof/>
          <w:lang w:val="cs-CZ"/>
        </w:rPr>
      </w:pPr>
      <w:r w:rsidRPr="003B6E11">
        <w:rPr>
          <w:lang w:val="cs-CZ"/>
        </w:rPr>
        <w:t>/</w:t>
      </w:r>
    </w:p>
    <w:p w:rsidR="00E82B25" w:rsidRPr="003B6E11" w:rsidRDefault="00E82B25" w:rsidP="00E82B25">
      <w:pPr>
        <w:spacing w:line="240" w:lineRule="atLeast"/>
        <w:ind w:left="567"/>
        <w:jc w:val="center"/>
        <w:rPr>
          <w:noProof/>
          <w:lang w:val="cs-CZ"/>
        </w:rPr>
      </w:pPr>
      <w:r w:rsidRPr="003B6E11">
        <w:rPr>
          <w:lang w:val="cs-CZ"/>
        </w:rPr>
        <w:t>„Povolení k přepravě podle ... vydáno dne: …“</w:t>
      </w:r>
    </w:p>
    <w:p w:rsidR="00E82B25" w:rsidRPr="003B6E11" w:rsidRDefault="00E82B25" w:rsidP="00E82B25">
      <w:pPr>
        <w:spacing w:line="240" w:lineRule="atLeast"/>
        <w:ind w:left="567" w:hanging="567"/>
        <w:rPr>
          <w:rFonts w:cs="Arial"/>
          <w:sz w:val="18"/>
          <w:szCs w:val="18"/>
          <w:lang w:val="cs-CZ"/>
        </w:rPr>
      </w:pPr>
    </w:p>
    <w:p w:rsidR="00E82B25" w:rsidRPr="003B6E11" w:rsidRDefault="00E82B25" w:rsidP="00E82B25">
      <w:pPr>
        <w:rPr>
          <w:rFonts w:cs="Arial"/>
          <w:sz w:val="18"/>
          <w:szCs w:val="18"/>
          <w:lang w:val="cs-CZ"/>
        </w:rPr>
      </w:pPr>
      <w:r w:rsidRPr="003B6E11">
        <w:rPr>
          <w:lang w:val="cs-CZ"/>
        </w:rPr>
        <w:br w:type="page"/>
      </w:r>
    </w:p>
    <w:p w:rsidR="00E82B25" w:rsidRPr="003B6E11" w:rsidRDefault="00E82B25" w:rsidP="00E82B25">
      <w:pPr>
        <w:spacing w:line="240" w:lineRule="atLeast"/>
        <w:ind w:left="567" w:hanging="567"/>
        <w:rPr>
          <w:rFonts w:cs="Arial"/>
          <w:sz w:val="18"/>
          <w:szCs w:val="18"/>
          <w:lang w:val="cs-CZ"/>
        </w:rPr>
      </w:pPr>
    </w:p>
    <w:p w:rsidR="00E82B25" w:rsidRPr="003B6E11" w:rsidRDefault="00E82B25" w:rsidP="00E82B25">
      <w:pPr>
        <w:spacing w:line="240" w:lineRule="atLeast"/>
        <w:ind w:left="567" w:hanging="567"/>
        <w:rPr>
          <w:lang w:val="cs-CZ"/>
        </w:rPr>
      </w:pPr>
      <w:r w:rsidRPr="003B6E11">
        <w:rPr>
          <w:lang w:val="cs-CZ"/>
        </w:rPr>
        <w:t>2.</w:t>
      </w:r>
      <w:r w:rsidRPr="003B6E11">
        <w:rPr>
          <w:lang w:val="cs-CZ"/>
        </w:rPr>
        <w:tab/>
        <w:t>V tabulce platí tyto definice:</w:t>
      </w:r>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rPr>
          <w:lang w:val="cs-CZ"/>
        </w:rPr>
      </w:pPr>
      <w:r w:rsidRPr="003B6E11">
        <w:rPr>
          <w:lang w:val="cs-CZ"/>
        </w:rPr>
        <w:t xml:space="preserve">„N.V.P.“: Ustanovení se nevztahuje na plavidla, která jsou již v provozu, nejsou-li dotyčné části měněny nebo přestavovány, tj. ustanovení se vztahuje pouze na </w:t>
      </w:r>
      <w:r w:rsidRPr="003B6E11">
        <w:rPr>
          <w:u w:val="single"/>
          <w:lang w:val="cs-CZ"/>
        </w:rPr>
        <w:t>N</w:t>
      </w:r>
      <w:r w:rsidRPr="003B6E11">
        <w:rPr>
          <w:lang w:val="cs-CZ"/>
        </w:rPr>
        <w:t xml:space="preserve">ové lodě a na </w:t>
      </w:r>
      <w:r w:rsidRPr="003B6E11">
        <w:rPr>
          <w:u w:val="single"/>
          <w:lang w:val="cs-CZ"/>
        </w:rPr>
        <w:t>V</w:t>
      </w:r>
      <w:r w:rsidRPr="003B6E11">
        <w:rPr>
          <w:lang w:val="cs-CZ"/>
        </w:rPr>
        <w:t xml:space="preserve">ýměnu nebo </w:t>
      </w:r>
      <w:r w:rsidRPr="003B6E11">
        <w:rPr>
          <w:u w:val="single"/>
          <w:lang w:val="cs-CZ"/>
        </w:rPr>
        <w:t>P</w:t>
      </w:r>
      <w:r w:rsidRPr="003B6E11">
        <w:rPr>
          <w:lang w:val="cs-CZ"/>
        </w:rPr>
        <w:t xml:space="preserve">řestavbu dotyčných částí nebo prostor. Jsou-li stávající části nahrazovány náhradními součástmi se stejnou technologií nebo stejného typu, nepředstavuje to výměnu („V“) ve smyslu přechodných ustanovení. </w:t>
      </w:r>
    </w:p>
    <w:p w:rsidR="00E82B25" w:rsidRPr="003B6E11" w:rsidRDefault="00E82B25" w:rsidP="00E82B25">
      <w:pPr>
        <w:spacing w:line="240" w:lineRule="atLeast"/>
        <w:ind w:left="567"/>
        <w:rPr>
          <w:lang w:val="cs-CZ"/>
        </w:rPr>
      </w:pPr>
    </w:p>
    <w:p w:rsidR="00E82B25" w:rsidRPr="003B6E11" w:rsidRDefault="00E82B25" w:rsidP="00E82B25">
      <w:pPr>
        <w:tabs>
          <w:tab w:val="left" w:pos="4678"/>
        </w:tabs>
        <w:spacing w:line="240" w:lineRule="atLeast"/>
        <w:ind w:left="567"/>
        <w:rPr>
          <w:lang w:val="cs-CZ"/>
        </w:rPr>
      </w:pPr>
      <w:r w:rsidRPr="003B6E11">
        <w:rPr>
          <w:lang w:val="cs-CZ"/>
        </w:rPr>
        <w:t>„Vystavení nebo obnovení osvědčení plavidla vnitrozemské plavby“: Soulad s ustanovením musí být zajištěn do doby vystavení osvědčení plavidla vnitrozemské plavby nebo jeho obnovení po vstupu ustanovení v platnost.</w:t>
      </w:r>
    </w:p>
    <w:p w:rsidR="00E82B25" w:rsidRPr="003B6E11" w:rsidRDefault="00E82B25" w:rsidP="00E82B25">
      <w:pPr>
        <w:spacing w:line="240" w:lineRule="atLeast"/>
        <w:ind w:left="567" w:hanging="567"/>
        <w:rPr>
          <w:rFonts w:cs="Arial"/>
          <w:sz w:val="18"/>
          <w:szCs w:val="18"/>
          <w:lang w:val="cs-CZ"/>
        </w:rPr>
      </w:pPr>
    </w:p>
    <w:p w:rsidR="00E82B25" w:rsidRPr="003B6E11" w:rsidRDefault="00E82B25" w:rsidP="00E82B25">
      <w:pPr>
        <w:spacing w:line="240" w:lineRule="atLeast"/>
        <w:ind w:left="567" w:hanging="567"/>
        <w:rPr>
          <w:rFonts w:cs="Arial"/>
          <w:sz w:val="18"/>
          <w:szCs w:val="18"/>
          <w:lang w:val="cs-CZ"/>
        </w:rPr>
      </w:pPr>
    </w:p>
    <w:p w:rsidR="00E82B25" w:rsidRPr="003B6E11" w:rsidRDefault="00E82B25" w:rsidP="00E82B25">
      <w:pPr>
        <w:spacing w:line="240" w:lineRule="atLeast"/>
        <w:ind w:left="567"/>
        <w:rPr>
          <w:b/>
          <w:lang w:val="cs-CZ"/>
        </w:rPr>
      </w:pPr>
    </w:p>
    <w:p w:rsidR="00E82B25" w:rsidRPr="003B6E11" w:rsidRDefault="00E82B25" w:rsidP="00E82B25">
      <w:pPr>
        <w:spacing w:line="240" w:lineRule="atLeast"/>
        <w:ind w:left="567"/>
        <w:rPr>
          <w:lang w:val="cs-CZ"/>
        </w:rPr>
        <w:sectPr w:rsidR="00E82B25" w:rsidRPr="003B6E11" w:rsidSect="001E2331">
          <w:headerReference w:type="default" r:id="rId34"/>
          <w:headerReference w:type="first" r:id="rId35"/>
          <w:footnotePr>
            <w:numRestart w:val="eachPage"/>
          </w:footnotePr>
          <w:pgSz w:w="16838" w:h="11906" w:orient="landscape" w:code="9"/>
          <w:pgMar w:top="1418" w:right="1418" w:bottom="1418" w:left="1418" w:header="709" w:footer="709" w:gutter="0"/>
          <w:cols w:space="709"/>
          <w:titlePg/>
          <w:docGrid w:linePitch="272"/>
        </w:sectPr>
      </w:pPr>
    </w:p>
    <w:p w:rsidR="00E82B25" w:rsidRPr="003B6E11" w:rsidRDefault="00E82B25" w:rsidP="00E82B25">
      <w:pPr>
        <w:rPr>
          <w:lang w:val="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458"/>
        <w:gridCol w:w="3296"/>
        <w:gridCol w:w="6521"/>
        <w:gridCol w:w="1276"/>
      </w:tblGrid>
      <w:tr w:rsidR="00E82B25" w:rsidRPr="003B6E11" w:rsidTr="002D015D">
        <w:trPr>
          <w:cantSplit/>
          <w:tblHeader/>
          <w:jc w:val="center"/>
        </w:trPr>
        <w:tc>
          <w:tcPr>
            <w:tcW w:w="2800" w:type="dxa"/>
            <w:gridSpan w:val="2"/>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i/>
                <w:sz w:val="18"/>
                <w:lang w:val="cs-CZ"/>
              </w:rPr>
              <w:t>Článek a odstavec</w:t>
            </w:r>
          </w:p>
        </w:tc>
        <w:tc>
          <w:tcPr>
            <w:tcW w:w="3296" w:type="dxa"/>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i/>
                <w:sz w:val="18"/>
                <w:lang w:val="cs-CZ"/>
              </w:rPr>
              <w:t>Obsah</w:t>
            </w:r>
          </w:p>
        </w:tc>
        <w:tc>
          <w:tcPr>
            <w:tcW w:w="7797" w:type="dxa"/>
            <w:gridSpan w:val="2"/>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i/>
                <w:sz w:val="18"/>
                <w:lang w:val="cs-CZ"/>
              </w:rPr>
              <w:t>Lhůta a poznámky</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60" w:after="160" w:line="240" w:lineRule="atLeast"/>
              <w:jc w:val="center"/>
              <w:rPr>
                <w:rFonts w:cs="Arial"/>
                <w:b/>
                <w:sz w:val="18"/>
                <w:szCs w:val="18"/>
                <w:lang w:val="cs-CZ"/>
              </w:rPr>
            </w:pPr>
            <w:r w:rsidRPr="003B6E11">
              <w:rPr>
                <w:b/>
                <w:sz w:val="18"/>
                <w:lang w:val="cs-CZ"/>
              </w:rPr>
              <w:t>KAPITOLA 3</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3.03</w:t>
            </w: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 písm. a)</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Umístění kolizních přepážek</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 písm. b)</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Umístění záďové přepážky</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vMerge w:val="restart"/>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Obytné prostory před kolizní přepážkou</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160" w:after="160" w:line="240" w:lineRule="atLeast"/>
              <w:rPr>
                <w:rFonts w:cs="Arial"/>
                <w:sz w:val="18"/>
                <w:szCs w:val="18"/>
                <w:lang w:val="cs-CZ"/>
              </w:rPr>
            </w:pPr>
          </w:p>
        </w:tc>
        <w:tc>
          <w:tcPr>
            <w:tcW w:w="3296" w:type="dxa"/>
            <w:shd w:val="clear" w:color="auto" w:fill="auto"/>
          </w:tcPr>
          <w:p w:rsidR="00E82B25" w:rsidRPr="003B6E11" w:rsidRDefault="00E82B25" w:rsidP="002D015D">
            <w:pPr>
              <w:tabs>
                <w:tab w:val="left" w:pos="2790"/>
              </w:tabs>
              <w:spacing w:before="160" w:after="160" w:line="240" w:lineRule="atLeast"/>
              <w:rPr>
                <w:rFonts w:cs="Arial"/>
                <w:sz w:val="18"/>
                <w:szCs w:val="18"/>
                <w:lang w:val="cs-CZ"/>
              </w:rPr>
            </w:pPr>
            <w:r w:rsidRPr="003B6E11">
              <w:rPr>
                <w:sz w:val="18"/>
                <w:lang w:val="cs-CZ"/>
              </w:rPr>
              <w:t>Obytné prostory za záďovou přepážkou</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30.12.2059</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160" w:after="160" w:line="240" w:lineRule="atLeast"/>
              <w:rPr>
                <w:rFonts w:cs="Arial"/>
                <w:sz w:val="18"/>
                <w:szCs w:val="18"/>
                <w:lang w:val="cs-CZ"/>
              </w:rPr>
            </w:pP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Bezpečnostní vybavení</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30.12.2029</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Plynotěsné oddělení obytných prostor od strojoven, kotelen a podpalubních nákladových prostor</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5 druhý pododstavec</w:t>
            </w:r>
          </w:p>
        </w:tc>
        <w:tc>
          <w:tcPr>
            <w:tcW w:w="3296" w:type="dxa"/>
            <w:shd w:val="clear" w:color="auto" w:fill="auto"/>
          </w:tcPr>
          <w:p w:rsidR="00E82B25" w:rsidRPr="003B6E11" w:rsidRDefault="00E82B25" w:rsidP="002D015D">
            <w:pPr>
              <w:tabs>
                <w:tab w:val="left" w:pos="1260"/>
              </w:tabs>
              <w:spacing w:before="160" w:after="160" w:line="240" w:lineRule="atLeast"/>
              <w:rPr>
                <w:rFonts w:cs="Arial"/>
                <w:sz w:val="18"/>
                <w:szCs w:val="18"/>
                <w:lang w:val="cs-CZ"/>
              </w:rPr>
            </w:pPr>
            <w:r w:rsidRPr="003B6E11">
              <w:rPr>
                <w:sz w:val="18"/>
                <w:lang w:val="cs-CZ"/>
              </w:rPr>
              <w:t>Monitorování dveří v záďových přepážkách</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7</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Kotvy nepřečnívající příď plavidel</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3.04</w:t>
            </w: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3 druhá věta</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noProof/>
                <w:sz w:val="18"/>
                <w:lang w:val="cs-CZ"/>
              </w:rPr>
              <w:t>Izolace ve strojovnách</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60" w:after="160" w:line="240" w:lineRule="atLeast"/>
              <w:jc w:val="center"/>
              <w:rPr>
                <w:rFonts w:cs="Arial"/>
                <w:b/>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3 třetí a čtvrtá věta</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noProof/>
                <w:sz w:val="18"/>
                <w:lang w:val="cs-CZ"/>
              </w:rPr>
              <w:t>Otvory a uzavírací zařízení</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40" w:after="140" w:line="240" w:lineRule="atLeast"/>
              <w:jc w:val="center"/>
              <w:rPr>
                <w:rFonts w:cs="Arial"/>
                <w:b/>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6</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Východy strojoven</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40" w:after="140" w:line="240" w:lineRule="atLeast"/>
              <w:jc w:val="center"/>
              <w:rPr>
                <w:rFonts w:cs="Arial"/>
                <w:sz w:val="18"/>
                <w:szCs w:val="18"/>
                <w:lang w:val="cs-CZ"/>
              </w:rPr>
            </w:pPr>
            <w:r w:rsidRPr="003B6E11">
              <w:rPr>
                <w:b/>
                <w:sz w:val="18"/>
                <w:lang w:val="cs-CZ"/>
              </w:rPr>
              <w:t>KAPITOLA 4</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4.04</w:t>
            </w: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noProof/>
                <w:sz w:val="18"/>
                <w:lang w:val="cs-CZ"/>
              </w:rPr>
              <w:t>Nákladové značky</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40" w:after="140" w:line="240" w:lineRule="atLeast"/>
              <w:jc w:val="center"/>
              <w:rPr>
                <w:rFonts w:cs="Arial"/>
                <w:sz w:val="18"/>
                <w:szCs w:val="18"/>
                <w:lang w:val="cs-CZ"/>
              </w:rPr>
            </w:pPr>
            <w:r w:rsidRPr="003B6E11">
              <w:rPr>
                <w:b/>
                <w:sz w:val="18"/>
                <w:lang w:val="cs-CZ"/>
              </w:rPr>
              <w:t>KAPITOLA 5</w:t>
            </w:r>
          </w:p>
        </w:tc>
        <w:tc>
          <w:tcPr>
            <w:tcW w:w="6521" w:type="dxa"/>
            <w:shd w:val="clear" w:color="auto" w:fill="auto"/>
          </w:tcPr>
          <w:p w:rsidR="00E82B25" w:rsidRPr="003B6E11" w:rsidRDefault="00E82B25" w:rsidP="002D015D">
            <w:pPr>
              <w:spacing w:before="140" w:after="140" w:line="240" w:lineRule="atLeast"/>
              <w:rPr>
                <w:rFonts w:cs="Arial"/>
                <w:b/>
                <w:sz w:val="18"/>
                <w:szCs w:val="18"/>
                <w:lang w:val="cs-CZ"/>
              </w:rPr>
            </w:pP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5.06</w:t>
            </w: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1 první věta</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noProof/>
                <w:sz w:val="18"/>
                <w:lang w:val="cs-CZ"/>
              </w:rPr>
              <w:t>Minimální (dopředná) rychlost</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40" w:after="140" w:line="240" w:lineRule="atLeast"/>
              <w:jc w:val="center"/>
              <w:rPr>
                <w:rFonts w:cs="Arial"/>
                <w:sz w:val="18"/>
                <w:szCs w:val="18"/>
                <w:lang w:val="cs-CZ"/>
              </w:rPr>
            </w:pPr>
            <w:r w:rsidRPr="003B6E11">
              <w:rPr>
                <w:b/>
                <w:sz w:val="18"/>
                <w:lang w:val="cs-CZ"/>
              </w:rPr>
              <w:t>KAPITOLA 6</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6.01</w:t>
            </w: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Manévrovatelnost podle kapitoly 5</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Stálé naklánění a okolní teploty</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7</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Zhotovení otvorů pro kormidelní pně</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30.12.2029</w:t>
            </w: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6.02</w:t>
            </w:r>
          </w:p>
        </w:tc>
        <w:tc>
          <w:tcPr>
            <w:tcW w:w="1458" w:type="dxa"/>
            <w:vMerge w:val="restart"/>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 xml:space="preserve">Přítomnost samostatných hydraulických nádrží </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1.1.2026</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140" w:after="140" w:line="240" w:lineRule="atLeast"/>
              <w:rPr>
                <w:rFonts w:cs="Arial"/>
                <w:sz w:val="18"/>
                <w:szCs w:val="18"/>
                <w:lang w:val="cs-CZ"/>
              </w:rPr>
            </w:pP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Zdvojené řídicí ventily u hydraulických pohonných jednotek</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1.1.2026</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140" w:after="140" w:line="240" w:lineRule="atLeast"/>
              <w:rPr>
                <w:rFonts w:cs="Arial"/>
                <w:sz w:val="18"/>
                <w:szCs w:val="18"/>
                <w:lang w:val="cs-CZ"/>
              </w:rPr>
            </w:pPr>
          </w:p>
        </w:tc>
        <w:tc>
          <w:tcPr>
            <w:tcW w:w="3296" w:type="dxa"/>
            <w:shd w:val="clear" w:color="auto" w:fill="auto"/>
          </w:tcPr>
          <w:p w:rsidR="00E82B25" w:rsidRPr="003B6E11" w:rsidRDefault="00E82B25" w:rsidP="002D015D">
            <w:pPr>
              <w:tabs>
                <w:tab w:val="left" w:pos="1125"/>
              </w:tabs>
              <w:spacing w:before="140" w:after="140" w:line="240" w:lineRule="atLeast"/>
              <w:rPr>
                <w:rFonts w:cs="Arial"/>
                <w:sz w:val="18"/>
                <w:szCs w:val="18"/>
                <w:lang w:val="cs-CZ"/>
              </w:rPr>
            </w:pPr>
            <w:r w:rsidRPr="003B6E11">
              <w:rPr>
                <w:sz w:val="18"/>
                <w:lang w:val="cs-CZ"/>
              </w:rPr>
              <w:t>Samostatné potrubí pro druhou pohonnou jednotku u hydraulických pohonných jednotek</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1.1.2026</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Samostatné potrubí pro druhou pohonnou jednotku u hydraulických pohonných jednotek</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1.1.2026</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Manévrovatelnost podle kapitoly 5 zajištěná druhou pohonnou jednotkou nebo ručním pohonem</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6.03</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Připojení jiných spotřebičů na hydraulickou pohonnou jednotku kormidelního stroje</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1.1.2026</w:t>
            </w:r>
          </w:p>
        </w:tc>
      </w:tr>
      <w:tr w:rsidR="00E82B25" w:rsidRPr="003B6E11" w:rsidTr="002D015D">
        <w:trPr>
          <w:cantSplit/>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6.05</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Kolo ručního pohonu nepoháněné motorovou pohonnou jednotkou</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6.06</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Dva nezávislé ovládací systémy</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30.12.2029</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6.07</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2 písm. a)</w:t>
            </w: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sz w:val="18"/>
                <w:lang w:val="cs-CZ"/>
              </w:rPr>
              <w:t>Poplašný signál pro výši hladiny hydraulické nádrže a poplašný signál pro provozní tlak</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1.1.2026</w:t>
            </w: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2 písm. e)</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Kontrola vyrovnávacích systémů</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6.08</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Požadavky na elektrické zařízení podle článku 10.20</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30.12.2029</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00" w:after="100" w:line="240" w:lineRule="atLeast"/>
              <w:jc w:val="center"/>
              <w:rPr>
                <w:rFonts w:cs="Arial"/>
                <w:sz w:val="18"/>
                <w:szCs w:val="18"/>
                <w:lang w:val="cs-CZ"/>
              </w:rPr>
            </w:pPr>
            <w:r w:rsidRPr="003B6E11">
              <w:rPr>
                <w:b/>
                <w:sz w:val="18"/>
                <w:lang w:val="cs-CZ"/>
              </w:rPr>
              <w:t>KAPITOLA 7</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7.02</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2 až 6</w:t>
            </w:r>
          </w:p>
        </w:tc>
        <w:tc>
          <w:tcPr>
            <w:tcW w:w="3296" w:type="dxa"/>
            <w:shd w:val="clear" w:color="auto" w:fill="auto"/>
          </w:tcPr>
          <w:p w:rsidR="00E82B25" w:rsidRPr="003B6E11" w:rsidRDefault="00E82B25" w:rsidP="002D015D">
            <w:pPr>
              <w:tabs>
                <w:tab w:val="right" w:pos="3856"/>
                <w:tab w:val="center" w:pos="4536"/>
                <w:tab w:val="left" w:pos="6521"/>
                <w:tab w:val="right" w:pos="9072"/>
              </w:tabs>
              <w:spacing w:before="60" w:after="60" w:line="240" w:lineRule="atLeast"/>
              <w:rPr>
                <w:rFonts w:cs="Arial"/>
                <w:sz w:val="18"/>
                <w:szCs w:val="18"/>
                <w:lang w:val="cs-CZ"/>
              </w:rPr>
            </w:pPr>
            <w:r w:rsidRPr="003B6E11">
              <w:rPr>
                <w:color w:val="000000"/>
                <w:sz w:val="18"/>
                <w:lang w:val="cs-CZ"/>
              </w:rPr>
              <w:t>Neomezený výhled z kormidelny kromě těchto bodů:</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1.1.2049</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00" w:after="100" w:line="240" w:lineRule="atLeast"/>
              <w:jc w:val="center"/>
              <w:rPr>
                <w:rFonts w:cs="Arial"/>
                <w:b/>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3 druhý pododstavec</w:t>
            </w:r>
          </w:p>
        </w:tc>
        <w:tc>
          <w:tcPr>
            <w:tcW w:w="3296" w:type="dxa"/>
            <w:shd w:val="clear" w:color="auto" w:fill="auto"/>
          </w:tcPr>
          <w:p w:rsidR="00E82B25" w:rsidRPr="003B6E11" w:rsidRDefault="00E82B25" w:rsidP="002D015D">
            <w:pPr>
              <w:tabs>
                <w:tab w:val="right" w:pos="3856"/>
                <w:tab w:val="center" w:pos="4536"/>
                <w:tab w:val="left" w:pos="6521"/>
                <w:tab w:val="right" w:pos="9072"/>
              </w:tabs>
              <w:spacing w:before="100" w:after="100" w:line="240" w:lineRule="atLeast"/>
              <w:rPr>
                <w:rFonts w:cs="Arial"/>
                <w:sz w:val="18"/>
                <w:szCs w:val="18"/>
                <w:lang w:val="cs-CZ"/>
              </w:rPr>
            </w:pPr>
            <w:r w:rsidRPr="003B6E11">
              <w:rPr>
                <w:color w:val="000000"/>
                <w:sz w:val="18"/>
                <w:lang w:val="cs-CZ"/>
              </w:rPr>
              <w:t>Neomezený výhled kormidelníka ve směru pohledu</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30.12.2029</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vMerge w:val="restart"/>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6</w:t>
            </w:r>
          </w:p>
        </w:tc>
        <w:tc>
          <w:tcPr>
            <w:tcW w:w="3296" w:type="dxa"/>
            <w:vMerge w:val="restart"/>
            <w:shd w:val="clear" w:color="auto" w:fill="auto"/>
          </w:tcPr>
          <w:p w:rsidR="00E82B25" w:rsidRPr="003B6E11" w:rsidRDefault="00E82B25" w:rsidP="002D015D">
            <w:pPr>
              <w:tabs>
                <w:tab w:val="right" w:pos="3856"/>
                <w:tab w:val="center" w:pos="4536"/>
                <w:tab w:val="left" w:pos="6521"/>
                <w:tab w:val="right" w:pos="9072"/>
              </w:tabs>
              <w:spacing w:before="100" w:after="100" w:line="240" w:lineRule="atLeast"/>
              <w:rPr>
                <w:rFonts w:cs="Arial"/>
                <w:color w:val="000000"/>
                <w:sz w:val="18"/>
                <w:szCs w:val="18"/>
                <w:lang w:val="cs-CZ"/>
              </w:rPr>
            </w:pPr>
            <w:r w:rsidRPr="003B6E11">
              <w:rPr>
                <w:color w:val="000000"/>
                <w:sz w:val="18"/>
                <w:lang w:val="cs-CZ"/>
              </w:rPr>
              <w:t>Minimální světelná propustnost skel</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1.1.2024</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6521" w:type="dxa"/>
            <w:shd w:val="clear" w:color="auto" w:fill="auto"/>
          </w:tcPr>
          <w:p w:rsidR="00E82B25" w:rsidRPr="003B6E11" w:rsidRDefault="00E82B25" w:rsidP="002D015D">
            <w:pPr>
              <w:tabs>
                <w:tab w:val="left" w:pos="57"/>
                <w:tab w:val="left" w:pos="907"/>
              </w:tabs>
              <w:overflowPunct w:val="0"/>
              <w:adjustRightInd w:val="0"/>
              <w:spacing w:before="120" w:after="120" w:line="240" w:lineRule="atLeast"/>
              <w:ind w:right="57"/>
              <w:textAlignment w:val="baseline"/>
              <w:rPr>
                <w:rFonts w:cs="Arial"/>
                <w:sz w:val="18"/>
                <w:szCs w:val="18"/>
                <w:lang w:val="cs-CZ"/>
              </w:rPr>
            </w:pPr>
            <w:r w:rsidRPr="003B6E11">
              <w:rPr>
                <w:sz w:val="18"/>
                <w:lang w:val="cs-CZ"/>
              </w:rPr>
              <w:t>N.V.P., u lodí s tónovanými skly splňujícími tyto podmínky:</w:t>
            </w:r>
          </w:p>
          <w:p w:rsidR="00E82B25" w:rsidRPr="003B6E11" w:rsidRDefault="00E82B25" w:rsidP="002D015D">
            <w:pPr>
              <w:spacing w:before="120" w:after="120" w:line="240" w:lineRule="atLeast"/>
              <w:ind w:left="317" w:hanging="317"/>
              <w:rPr>
                <w:rFonts w:cs="Arial"/>
                <w:sz w:val="18"/>
                <w:szCs w:val="18"/>
                <w:lang w:val="cs-CZ"/>
              </w:rPr>
            </w:pPr>
            <w:r w:rsidRPr="003B6E11">
              <w:rPr>
                <w:sz w:val="18"/>
                <w:lang w:val="cs-CZ"/>
              </w:rPr>
              <w:t>–</w:t>
            </w:r>
            <w:r w:rsidRPr="003B6E11">
              <w:rPr>
                <w:lang w:val="cs-CZ"/>
              </w:rPr>
              <w:tab/>
            </w:r>
            <w:r w:rsidRPr="003B6E11">
              <w:rPr>
                <w:sz w:val="18"/>
                <w:lang w:val="cs-CZ"/>
              </w:rPr>
              <w:t>okna jsou zabarvená zeleně a mají minimální světelnou propustnost 60 %,</w:t>
            </w:r>
          </w:p>
          <w:p w:rsidR="00E82B25" w:rsidRPr="003B6E11" w:rsidRDefault="00E82B25" w:rsidP="002D015D">
            <w:pPr>
              <w:spacing w:before="120" w:after="120" w:line="240" w:lineRule="atLeast"/>
              <w:ind w:left="317" w:hanging="317"/>
              <w:rPr>
                <w:rFonts w:cs="Arial"/>
                <w:sz w:val="18"/>
                <w:szCs w:val="18"/>
                <w:lang w:val="cs-CZ"/>
              </w:rPr>
            </w:pPr>
            <w:r w:rsidRPr="003B6E11">
              <w:rPr>
                <w:sz w:val="18"/>
                <w:lang w:val="cs-CZ"/>
              </w:rPr>
              <w:t>–</w:t>
            </w:r>
            <w:r w:rsidRPr="003B6E11">
              <w:rPr>
                <w:lang w:val="cs-CZ"/>
              </w:rPr>
              <w:tab/>
            </w:r>
            <w:r w:rsidRPr="003B6E11">
              <w:rPr>
                <w:sz w:val="18"/>
                <w:lang w:val="cs-CZ"/>
              </w:rPr>
              <w:t>strop v kormidelně je navržen tak, aby na oknech nedocházelo k odrazům,</w:t>
            </w:r>
          </w:p>
          <w:p w:rsidR="00E82B25" w:rsidRPr="003B6E11" w:rsidRDefault="00E82B25" w:rsidP="002D015D">
            <w:pPr>
              <w:spacing w:before="120" w:after="120" w:line="240" w:lineRule="atLeast"/>
              <w:ind w:left="317" w:hanging="317"/>
              <w:rPr>
                <w:rFonts w:cs="Arial"/>
                <w:sz w:val="18"/>
                <w:szCs w:val="18"/>
                <w:lang w:val="cs-CZ"/>
              </w:rPr>
            </w:pPr>
            <w:r w:rsidRPr="003B6E11">
              <w:rPr>
                <w:sz w:val="18"/>
                <w:lang w:val="cs-CZ"/>
              </w:rPr>
              <w:t>–</w:t>
            </w:r>
            <w:r w:rsidRPr="003B6E11">
              <w:rPr>
                <w:lang w:val="cs-CZ"/>
              </w:rPr>
              <w:tab/>
            </w:r>
            <w:r w:rsidRPr="003B6E11">
              <w:rPr>
                <w:sz w:val="18"/>
                <w:lang w:val="cs-CZ"/>
              </w:rPr>
              <w:t>světelné zdroje v kormidelně se musí dát plynule stmívat nebo vypnout,</w:t>
            </w:r>
          </w:p>
          <w:p w:rsidR="00E82B25" w:rsidRPr="003B6E11" w:rsidRDefault="00E82B25" w:rsidP="002D015D">
            <w:pPr>
              <w:spacing w:before="120" w:after="120" w:line="240" w:lineRule="atLeast"/>
              <w:ind w:left="317" w:hanging="317"/>
              <w:rPr>
                <w:rFonts w:cs="Arial"/>
                <w:sz w:val="18"/>
                <w:szCs w:val="18"/>
                <w:lang w:val="cs-CZ"/>
              </w:rPr>
            </w:pPr>
            <w:r w:rsidRPr="003B6E11">
              <w:rPr>
                <w:sz w:val="18"/>
                <w:lang w:val="cs-CZ"/>
              </w:rPr>
              <w:t>–</w:t>
            </w:r>
            <w:r w:rsidRPr="003B6E11">
              <w:rPr>
                <w:lang w:val="cs-CZ"/>
              </w:rPr>
              <w:tab/>
            </w:r>
            <w:r w:rsidRPr="003B6E11">
              <w:rPr>
                <w:sz w:val="18"/>
                <w:lang w:val="cs-CZ"/>
              </w:rPr>
              <w:t>byla přijata veškerá přiměřená opatření, aby se zamezilo jiným odrazům.</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6</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Konstrukce bezpečnostního skla</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7.03</w:t>
            </w: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7</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Vypnutí poplašných signálů</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8</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Automatické přepnutí na jiný zdroj napájení</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7.04</w:t>
            </w: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Ovládání hlavních motorů a kormidelních zařízení</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noProof/>
                <w:sz w:val="18"/>
                <w:lang w:val="cs-CZ"/>
              </w:rPr>
              <w:t>Ovládání každého z hlavních motorů</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noProof/>
                <w:sz w:val="18"/>
                <w:lang w:val="cs-CZ"/>
              </w:rPr>
              <w:t>Pokud kormidelna byla uspořádána k řízení plavidla jednou osobou s pomocí radaru: 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30.12.2049,</w:t>
            </w:r>
          </w:p>
          <w:p w:rsidR="00E82B25" w:rsidRPr="003B6E11" w:rsidRDefault="00E82B25" w:rsidP="002D015D">
            <w:pPr>
              <w:spacing w:before="80" w:after="80" w:line="240" w:lineRule="atLeast"/>
              <w:rPr>
                <w:rFonts w:cs="Arial"/>
                <w:sz w:val="18"/>
                <w:szCs w:val="18"/>
                <w:lang w:val="cs-CZ"/>
              </w:rPr>
            </w:pPr>
            <w:r w:rsidRPr="003B6E11">
              <w:rPr>
                <w:sz w:val="18"/>
                <w:lang w:val="cs-CZ"/>
              </w:rPr>
              <w:t>lze-li změny směru dosáhnout přímo;</w:t>
            </w:r>
          </w:p>
          <w:p w:rsidR="00E82B25" w:rsidRPr="003B6E11" w:rsidRDefault="00E82B25" w:rsidP="002D015D">
            <w:pPr>
              <w:spacing w:before="80" w:after="80" w:line="240" w:lineRule="atLeast"/>
              <w:rPr>
                <w:rFonts w:cs="Arial"/>
                <w:sz w:val="18"/>
                <w:szCs w:val="18"/>
                <w:lang w:val="cs-CZ"/>
              </w:rPr>
            </w:pPr>
            <w:r w:rsidRPr="003B6E11">
              <w:rPr>
                <w:sz w:val="18"/>
                <w:lang w:val="cs-CZ"/>
              </w:rPr>
              <w:t xml:space="preserve">30.12.2024 </w:t>
            </w:r>
          </w:p>
          <w:p w:rsidR="00E82B25" w:rsidRPr="003B6E11" w:rsidRDefault="00E82B25" w:rsidP="002D015D">
            <w:pPr>
              <w:spacing w:before="80" w:after="80" w:line="240" w:lineRule="atLeast"/>
              <w:rPr>
                <w:rFonts w:cs="Arial"/>
                <w:sz w:val="18"/>
                <w:szCs w:val="18"/>
                <w:lang w:val="cs-CZ"/>
              </w:rPr>
            </w:pPr>
            <w:r w:rsidRPr="003B6E11">
              <w:rPr>
                <w:sz w:val="18"/>
                <w:lang w:val="cs-CZ"/>
              </w:rPr>
              <w:t>pro ostatní motory.</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Zobrazení</w:t>
            </w:r>
          </w:p>
        </w:tc>
        <w:tc>
          <w:tcPr>
            <w:tcW w:w="6521" w:type="dxa"/>
            <w:shd w:val="clear" w:color="auto" w:fill="auto"/>
          </w:tcPr>
          <w:p w:rsidR="00E82B25" w:rsidRPr="003B6E11" w:rsidRDefault="00E82B25" w:rsidP="002D015D">
            <w:pPr>
              <w:spacing w:before="120" w:after="120" w:line="240" w:lineRule="atLeast"/>
              <w:rPr>
                <w:rFonts w:cs="Arial"/>
                <w:noProof/>
                <w:sz w:val="18"/>
                <w:szCs w:val="18"/>
                <w:lang w:val="cs-CZ"/>
              </w:rPr>
            </w:pPr>
            <w:r w:rsidRPr="003B6E11">
              <w:rPr>
                <w:noProof/>
                <w:sz w:val="18"/>
                <w:lang w:val="cs-CZ"/>
              </w:rPr>
              <w:t>Pokud kormidelna byla uspořádána k řízení plavidla jednou osobou s pomocí radaru: 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9 třetí věta</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Ovládání pákou</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9 čtvrtá věta</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Jednoznačně rozpoznatelný směr síly propulze</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7.05</w:t>
            </w:r>
          </w:p>
        </w:tc>
        <w:tc>
          <w:tcPr>
            <w:tcW w:w="1458" w:type="dxa"/>
            <w:tcBorders>
              <w:bottom w:val="single" w:sz="4" w:space="0" w:color="auto"/>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w:t>
            </w:r>
          </w:p>
        </w:tc>
        <w:tc>
          <w:tcPr>
            <w:tcW w:w="3296" w:type="dxa"/>
            <w:tcBorders>
              <w:bottom w:val="single" w:sz="4" w:space="0" w:color="auto"/>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Navigační světla, jejich kryty, příslušenství a světelné zdroje</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Navigační světla, jejich kryty, příslušenství a světelné zdroje, jež splňují </w:t>
            </w:r>
          </w:p>
          <w:p w:rsidR="00E82B25" w:rsidRPr="003B6E11" w:rsidRDefault="00E82B25" w:rsidP="002D015D">
            <w:pPr>
              <w:spacing w:before="60" w:after="60" w:line="240" w:lineRule="atLeast"/>
              <w:ind w:left="317" w:hanging="317"/>
              <w:rPr>
                <w:rFonts w:cs="Arial"/>
                <w:sz w:val="18"/>
                <w:szCs w:val="18"/>
                <w:lang w:val="cs-CZ"/>
              </w:rPr>
            </w:pPr>
            <w:r w:rsidRPr="003B6E11">
              <w:rPr>
                <w:sz w:val="18"/>
                <w:lang w:val="cs-CZ"/>
              </w:rPr>
              <w:t>–</w:t>
            </w:r>
            <w:r w:rsidRPr="003B6E11">
              <w:rPr>
                <w:lang w:val="cs-CZ"/>
              </w:rPr>
              <w:tab/>
            </w:r>
            <w:r w:rsidRPr="003B6E11">
              <w:rPr>
                <w:sz w:val="18"/>
                <w:lang w:val="cs-CZ"/>
              </w:rPr>
              <w:t>nadále lze použít požadavky na barvu a intenzitu palubních světel a požadavky nutné k povolení navigačních světel pro plavbu na Rýně ke dni 30. listopadu 2009,</w:t>
            </w:r>
          </w:p>
          <w:p w:rsidR="00E82B25" w:rsidRPr="003B6E11" w:rsidRDefault="00E82B25" w:rsidP="002D015D">
            <w:pPr>
              <w:spacing w:before="60" w:after="60" w:line="240" w:lineRule="atLeast"/>
              <w:ind w:left="317" w:hanging="317"/>
              <w:rPr>
                <w:rFonts w:cs="Arial"/>
                <w:sz w:val="18"/>
                <w:szCs w:val="18"/>
                <w:lang w:val="cs-CZ"/>
              </w:rPr>
            </w:pPr>
            <w:r w:rsidRPr="003B6E11">
              <w:rPr>
                <w:sz w:val="18"/>
                <w:lang w:val="cs-CZ"/>
              </w:rPr>
              <w:t>–</w:t>
            </w:r>
            <w:r w:rsidRPr="003B6E11">
              <w:rPr>
                <w:lang w:val="cs-CZ"/>
              </w:rPr>
              <w:tab/>
            </w:r>
            <w:r w:rsidRPr="003B6E11">
              <w:rPr>
                <w:sz w:val="18"/>
                <w:lang w:val="cs-CZ"/>
              </w:rPr>
              <w:t>nadále lze použít příslušné požadavky členského státu ke dni 30. listopadu 2009.</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7.06</w:t>
            </w:r>
          </w:p>
        </w:tc>
        <w:tc>
          <w:tcPr>
            <w:tcW w:w="1458" w:type="dxa"/>
            <w:vMerge w:val="restart"/>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w:t>
            </w:r>
          </w:p>
        </w:tc>
        <w:tc>
          <w:tcPr>
            <w:tcW w:w="3296" w:type="dxa"/>
            <w:vMerge w:val="restart"/>
            <w:shd w:val="clear" w:color="auto" w:fill="auto"/>
          </w:tcPr>
          <w:p w:rsidR="00E82B25" w:rsidRPr="003B6E11" w:rsidRDefault="00E82B25" w:rsidP="002D015D">
            <w:pPr>
              <w:adjustRightInd w:val="0"/>
              <w:spacing w:before="60" w:after="60" w:line="240" w:lineRule="atLeast"/>
              <w:rPr>
                <w:rFonts w:cs="Arial"/>
                <w:sz w:val="18"/>
                <w:szCs w:val="18"/>
                <w:lang w:val="cs-CZ"/>
              </w:rPr>
            </w:pPr>
            <w:r w:rsidRPr="003B6E11">
              <w:rPr>
                <w:noProof/>
                <w:sz w:val="18"/>
                <w:lang w:val="cs-CZ"/>
              </w:rPr>
              <w:t>Zařízení pro radarovou navigaci a ukazatele rychlosti otáčení, které byly schváleny před 31. prosincem 2012</w:t>
            </w:r>
          </w:p>
        </w:tc>
        <w:tc>
          <w:tcPr>
            <w:tcW w:w="6521" w:type="dxa"/>
            <w:shd w:val="clear" w:color="auto" w:fill="auto"/>
          </w:tcPr>
          <w:p w:rsidR="00E82B25" w:rsidRPr="003B6E11" w:rsidRDefault="00E82B25" w:rsidP="002D015D">
            <w:pPr>
              <w:adjustRightInd w:val="0"/>
              <w:spacing w:before="60" w:after="60" w:line="240" w:lineRule="atLeast"/>
              <w:rPr>
                <w:rFonts w:cs="Arial"/>
                <w:sz w:val="18"/>
                <w:szCs w:val="18"/>
                <w:lang w:val="cs-CZ"/>
              </w:rPr>
            </w:pPr>
            <w:r w:rsidRPr="003B6E11">
              <w:rPr>
                <w:noProof/>
                <w:sz w:val="18"/>
                <w:lang w:val="cs-CZ"/>
              </w:rPr>
              <w:t>Zařízení pro radarovou navigaci a ukazatele rychlosti otáčení, které byly schváleny a nainstalovány podle předpisů členského státu před 31. prosincem 2012 se mohou ponechat a používat až do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31.12.2018</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Tyto systémy musí být uvedeny v bodě 52 osvědčení plavidla vnitrozemské plavby.</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Zařízení pro radarovou navigaci a ukazatele rychlosti otáčení, které byly schváleny po 1.1.1990</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Zařízení pro radarovou navigaci a ukazatele rychlosti otáčení, které byly schváleny dne 1.1.1990 nebo po tomto datu v souladu s minimálními požadavky a zkušebními podmínkami pro radarová zařízení používaná při plavbě na Rýně a minimálními požadavky a zkušebními podmínkami pro ukazatele rychlosti otáčení používané při plavbě na Rýně, mohou být i nadále instalovány a používány, mají-li platné osvědčení o instalaci podle této normy, směrnice 2006/87/ES nebo rezoluce CCNR 1989-II-35.</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shd w:val="clear" w:color="auto" w:fill="auto"/>
          </w:tcPr>
          <w:p w:rsidR="00E82B25" w:rsidRPr="003B6E11" w:rsidRDefault="00E82B25" w:rsidP="002D015D">
            <w:pPr>
              <w:spacing w:before="60" w:after="60" w:line="240" w:lineRule="atLeast"/>
              <w:rPr>
                <w:rFonts w:cs="Arial"/>
                <w:noProof/>
                <w:sz w:val="18"/>
                <w:szCs w:val="18"/>
                <w:lang w:val="cs-CZ"/>
              </w:rPr>
            </w:pPr>
            <w:r w:rsidRPr="003B6E11">
              <w:rPr>
                <w:noProof/>
                <w:sz w:val="18"/>
                <w:lang w:val="cs-CZ"/>
              </w:rPr>
              <w:t>Zařízení pro radarovou navigaci a ukazatele rychlosti otáčení, které byly schváleny po 31.12.2006</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Zařízení pro radarovou navigaci a ukazatele rychlosti otáčení, které byly schváleny dne 31. 12. 2006 nebo po tomto datu v souladu s minimálními požadavky a zkušebními podmínkami stanovenými směrnicí 2006/87/ES, mohou být i nadále instalovány a používány, mají-li platné osvědčení o instalaci podle této normy nebo podle směrnice 2006/87/ES.</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vMerge/>
            <w:tcBorders>
              <w:bottom w:val="single" w:sz="4" w:space="0" w:color="auto"/>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3296" w:type="dxa"/>
            <w:tcBorders>
              <w:bottom w:val="single" w:sz="4" w:space="0" w:color="auto"/>
            </w:tcBorders>
            <w:shd w:val="clear" w:color="auto" w:fill="auto"/>
          </w:tcPr>
          <w:p w:rsidR="00E82B25" w:rsidRPr="003B6E11" w:rsidRDefault="00E82B25" w:rsidP="002D015D">
            <w:pPr>
              <w:spacing w:before="80" w:after="80" w:line="240" w:lineRule="atLeast"/>
              <w:rPr>
                <w:rFonts w:cs="Arial"/>
                <w:noProof/>
                <w:sz w:val="18"/>
                <w:szCs w:val="18"/>
                <w:lang w:val="cs-CZ"/>
              </w:rPr>
            </w:pPr>
            <w:r w:rsidRPr="003B6E11">
              <w:rPr>
                <w:noProof/>
                <w:sz w:val="18"/>
                <w:lang w:val="cs-CZ"/>
              </w:rPr>
              <w:t>Zařízení pro radarovou navigaci a ukazatele rychlosti otáčení, které byly schváleny po 1.12.2009</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Zařízení pro radarovou navigaci a ukazatele rychlosti otáčení, které byly schváleny dne 1. 12. 2009 nebo po tomto datu v souladu s minimálními požadavky a zkušebními podmínkami stanovenými rezolucí CCNR 2008-II-11, mohou být i nadále instalovány a používány, mají-li platné osvědčení o instalaci podle této normy nebo podle rezoluce CCNR 2008-II-11.</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tcBorders>
              <w:bottom w:val="nil"/>
            </w:tcBorders>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3</w:t>
            </w:r>
          </w:p>
        </w:tc>
        <w:tc>
          <w:tcPr>
            <w:tcW w:w="3296" w:type="dxa"/>
            <w:tcBorders>
              <w:bottom w:val="nil"/>
            </w:tcBorders>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Zařízení pro vnitrozemský AIS</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tcBorders>
              <w:top w:val="nil"/>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3296" w:type="dxa"/>
            <w:tcBorders>
              <w:top w:val="nil"/>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Zařízení pro vnitrozemský AIS, kterým bylo uděleno schválení dne 19. 10. 2012 nebo po tomto datu, podle požadavků verze 2.0 zkušební normy pro vnitrozemský AIS přijaté rezolucí CCNR 2012-II-20 mohou být i nadále instalována a používána.</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7.10.2018</w:t>
            </w:r>
          </w:p>
        </w:tc>
      </w:tr>
      <w:tr w:rsidR="00E82B25" w:rsidRPr="003B6E11" w:rsidTr="002D015D">
        <w:trPr>
          <w:cantSplit/>
          <w:trHeight w:val="884"/>
          <w:jc w:val="center"/>
        </w:trPr>
        <w:tc>
          <w:tcPr>
            <w:tcW w:w="1342" w:type="dxa"/>
            <w:tcBorders>
              <w:bottom w:val="single" w:sz="4" w:space="0" w:color="auto"/>
            </w:tcBorders>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7.09</w:t>
            </w:r>
          </w:p>
        </w:tc>
        <w:tc>
          <w:tcPr>
            <w:tcW w:w="1458" w:type="dxa"/>
            <w:tcBorders>
              <w:bottom w:val="single" w:sz="4" w:space="0" w:color="auto"/>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3296" w:type="dxa"/>
            <w:tcBorders>
              <w:bottom w:val="single" w:sz="4" w:space="0" w:color="auto"/>
            </w:tcBorders>
            <w:shd w:val="clear" w:color="auto" w:fill="auto"/>
          </w:tcPr>
          <w:p w:rsidR="00E82B25" w:rsidRPr="003B6E11" w:rsidRDefault="00E82B25" w:rsidP="002D015D">
            <w:pPr>
              <w:spacing w:before="80" w:after="80" w:line="240" w:lineRule="atLeast"/>
              <w:rPr>
                <w:rFonts w:cs="Arial"/>
                <w:sz w:val="18"/>
                <w:szCs w:val="18"/>
                <w:lang w:val="cs-CZ"/>
              </w:rPr>
            </w:pPr>
            <w:r w:rsidRPr="003B6E11">
              <w:rPr>
                <w:noProof/>
                <w:sz w:val="18"/>
                <w:lang w:val="cs-CZ"/>
              </w:rPr>
              <w:t>Poplašný systém</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7.12</w:t>
            </w:r>
          </w:p>
        </w:tc>
        <w:tc>
          <w:tcPr>
            <w:tcW w:w="1458" w:type="dxa"/>
            <w:shd w:val="clear" w:color="auto" w:fill="auto"/>
          </w:tcPr>
          <w:p w:rsidR="00E82B25" w:rsidRPr="003B6E11" w:rsidRDefault="00E82B25" w:rsidP="002D015D">
            <w:pPr>
              <w:widowControl w:val="0"/>
              <w:spacing w:before="80" w:after="80" w:line="240" w:lineRule="atLeast"/>
              <w:rPr>
                <w:rFonts w:cs="Arial"/>
                <w:sz w:val="18"/>
                <w:szCs w:val="18"/>
                <w:lang w:val="cs-CZ"/>
              </w:rPr>
            </w:pPr>
            <w:r w:rsidRPr="003B6E11">
              <w:rPr>
                <w:sz w:val="18"/>
                <w:lang w:val="cs-CZ"/>
              </w:rPr>
              <w:t xml:space="preserve">odst. 4 </w:t>
            </w:r>
            <w:r w:rsidRPr="003B6E11">
              <w:rPr>
                <w:rFonts w:cs="Arial"/>
                <w:sz w:val="18"/>
                <w:szCs w:val="18"/>
                <w:lang w:val="cs-CZ"/>
              </w:rPr>
              <w:br/>
            </w:r>
            <w:r w:rsidRPr="003B6E11">
              <w:rPr>
                <w:sz w:val="18"/>
                <w:lang w:val="cs-CZ"/>
              </w:rPr>
              <w:t>druhá věta</w:t>
            </w:r>
          </w:p>
        </w:tc>
        <w:tc>
          <w:tcPr>
            <w:tcW w:w="3296" w:type="dxa"/>
            <w:shd w:val="clear" w:color="auto" w:fill="auto"/>
          </w:tcPr>
          <w:p w:rsidR="00E82B25" w:rsidRPr="003B6E11" w:rsidRDefault="00E82B25" w:rsidP="002D015D">
            <w:pPr>
              <w:widowControl w:val="0"/>
              <w:spacing w:before="80" w:after="80" w:line="240" w:lineRule="atLeast"/>
              <w:rPr>
                <w:rFonts w:cs="Arial"/>
                <w:sz w:val="18"/>
                <w:szCs w:val="18"/>
                <w:lang w:val="cs-CZ"/>
              </w:rPr>
            </w:pPr>
            <w:r w:rsidRPr="003B6E11">
              <w:rPr>
                <w:sz w:val="18"/>
                <w:lang w:val="cs-CZ"/>
              </w:rPr>
              <w:t>Označení</w:t>
            </w:r>
          </w:p>
        </w:tc>
        <w:tc>
          <w:tcPr>
            <w:tcW w:w="6521" w:type="dxa"/>
            <w:shd w:val="clear" w:color="auto" w:fill="auto"/>
          </w:tcPr>
          <w:p w:rsidR="00E82B25" w:rsidRPr="003B6E11" w:rsidRDefault="00E82B25" w:rsidP="002D015D">
            <w:pPr>
              <w:widowControl w:val="0"/>
              <w:spacing w:before="80" w:after="8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widowControl w:val="0"/>
              <w:spacing w:before="80" w:after="80" w:line="240" w:lineRule="atLeast"/>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widowControl w:val="0"/>
              <w:spacing w:before="80" w:after="80" w:line="240" w:lineRule="atLeast"/>
              <w:rPr>
                <w:rFonts w:cs="Arial"/>
                <w:sz w:val="18"/>
                <w:szCs w:val="18"/>
                <w:lang w:val="cs-CZ"/>
              </w:rPr>
            </w:pPr>
            <w:r w:rsidRPr="003B6E11">
              <w:rPr>
                <w:sz w:val="18"/>
                <w:lang w:val="cs-CZ"/>
              </w:rPr>
              <w:t>odst. 5</w:t>
            </w:r>
          </w:p>
        </w:tc>
        <w:tc>
          <w:tcPr>
            <w:tcW w:w="3296" w:type="dxa"/>
            <w:shd w:val="clear" w:color="auto" w:fill="auto"/>
          </w:tcPr>
          <w:p w:rsidR="00E82B25" w:rsidRPr="003B6E11" w:rsidRDefault="00E82B25" w:rsidP="002D015D">
            <w:pPr>
              <w:widowControl w:val="0"/>
              <w:spacing w:before="80" w:after="80" w:line="240" w:lineRule="atLeast"/>
              <w:rPr>
                <w:rFonts w:cs="Arial"/>
                <w:sz w:val="18"/>
                <w:szCs w:val="18"/>
                <w:lang w:val="cs-CZ"/>
              </w:rPr>
            </w:pPr>
            <w:r w:rsidRPr="003B6E11">
              <w:rPr>
                <w:sz w:val="18"/>
                <w:lang w:val="cs-CZ"/>
              </w:rPr>
              <w:t>Zastavování a uzamykání</w:t>
            </w:r>
          </w:p>
        </w:tc>
        <w:tc>
          <w:tcPr>
            <w:tcW w:w="6521" w:type="dxa"/>
            <w:shd w:val="clear" w:color="auto" w:fill="auto"/>
          </w:tcPr>
          <w:p w:rsidR="00E82B25" w:rsidRPr="003B6E11" w:rsidRDefault="00E82B25" w:rsidP="002D015D">
            <w:pPr>
              <w:widowControl w:val="0"/>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widowControl w:val="0"/>
              <w:spacing w:before="80" w:after="80" w:line="240" w:lineRule="atLeast"/>
              <w:rPr>
                <w:rFonts w:cs="Arial"/>
                <w:sz w:val="18"/>
                <w:szCs w:val="18"/>
                <w:lang w:val="cs-CZ"/>
              </w:rPr>
            </w:pPr>
            <w:r w:rsidRPr="003B6E11">
              <w:rPr>
                <w:sz w:val="18"/>
                <w:lang w:val="cs-CZ"/>
              </w:rPr>
              <w:t>1.1.2025</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widowControl w:val="0"/>
              <w:spacing w:before="80" w:after="80" w:line="240" w:lineRule="atLeast"/>
              <w:rPr>
                <w:rFonts w:cs="Arial"/>
                <w:sz w:val="18"/>
                <w:szCs w:val="18"/>
                <w:lang w:val="cs-CZ"/>
              </w:rPr>
            </w:pPr>
            <w:r w:rsidRPr="003B6E11">
              <w:rPr>
                <w:sz w:val="18"/>
                <w:lang w:val="cs-CZ"/>
              </w:rPr>
              <w:t>odst. 6</w:t>
            </w:r>
          </w:p>
        </w:tc>
        <w:tc>
          <w:tcPr>
            <w:tcW w:w="3296" w:type="dxa"/>
            <w:shd w:val="clear" w:color="auto" w:fill="auto"/>
          </w:tcPr>
          <w:p w:rsidR="00E82B25" w:rsidRPr="003B6E11" w:rsidRDefault="00E82B25" w:rsidP="002D015D">
            <w:pPr>
              <w:widowControl w:val="0"/>
              <w:spacing w:before="80" w:after="80" w:line="240" w:lineRule="atLeast"/>
              <w:rPr>
                <w:rFonts w:cs="Arial"/>
                <w:sz w:val="18"/>
                <w:szCs w:val="18"/>
                <w:lang w:val="cs-CZ"/>
              </w:rPr>
            </w:pPr>
            <w:r w:rsidRPr="003B6E11">
              <w:rPr>
                <w:sz w:val="18"/>
                <w:lang w:val="cs-CZ"/>
              </w:rPr>
              <w:t>Automatická deaktivace</w:t>
            </w:r>
          </w:p>
        </w:tc>
        <w:tc>
          <w:tcPr>
            <w:tcW w:w="6521" w:type="dxa"/>
            <w:shd w:val="clear" w:color="auto" w:fill="auto"/>
          </w:tcPr>
          <w:p w:rsidR="00E82B25" w:rsidRPr="003B6E11" w:rsidRDefault="00E82B25" w:rsidP="002D015D">
            <w:pPr>
              <w:widowControl w:val="0"/>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widowControl w:val="0"/>
              <w:spacing w:before="80" w:after="80" w:line="240" w:lineRule="atLeast"/>
              <w:rPr>
                <w:rFonts w:cs="Arial"/>
                <w:sz w:val="18"/>
                <w:szCs w:val="18"/>
                <w:lang w:val="cs-CZ"/>
              </w:rPr>
            </w:pPr>
            <w:r w:rsidRPr="003B6E11">
              <w:rPr>
                <w:sz w:val="18"/>
                <w:lang w:val="cs-CZ"/>
              </w:rPr>
              <w:t>1.1.2025</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widowControl w:val="0"/>
              <w:spacing w:before="80" w:after="80" w:line="240" w:lineRule="atLeast"/>
              <w:rPr>
                <w:rFonts w:cs="Arial"/>
                <w:sz w:val="18"/>
                <w:szCs w:val="18"/>
                <w:lang w:val="cs-CZ"/>
              </w:rPr>
            </w:pPr>
            <w:r w:rsidRPr="003B6E11">
              <w:rPr>
                <w:sz w:val="18"/>
                <w:lang w:val="cs-CZ"/>
              </w:rPr>
              <w:t xml:space="preserve">odst. 7 </w:t>
            </w:r>
            <w:r w:rsidRPr="003B6E11">
              <w:rPr>
                <w:rFonts w:cs="Arial"/>
                <w:sz w:val="18"/>
                <w:szCs w:val="18"/>
                <w:lang w:val="cs-CZ"/>
              </w:rPr>
              <w:br/>
            </w:r>
            <w:r w:rsidRPr="003B6E11">
              <w:rPr>
                <w:sz w:val="18"/>
                <w:lang w:val="cs-CZ"/>
              </w:rPr>
              <w:t>první a druhá věta</w:t>
            </w:r>
          </w:p>
        </w:tc>
        <w:tc>
          <w:tcPr>
            <w:tcW w:w="3296" w:type="dxa"/>
            <w:shd w:val="clear" w:color="auto" w:fill="auto"/>
          </w:tcPr>
          <w:p w:rsidR="00E82B25" w:rsidRPr="003B6E11" w:rsidRDefault="00E82B25" w:rsidP="002D015D">
            <w:pPr>
              <w:widowControl w:val="0"/>
              <w:spacing w:before="80" w:after="80" w:line="240" w:lineRule="atLeast"/>
              <w:rPr>
                <w:rFonts w:cs="Arial"/>
                <w:sz w:val="18"/>
                <w:szCs w:val="18"/>
                <w:lang w:val="cs-CZ"/>
              </w:rPr>
            </w:pPr>
            <w:r w:rsidRPr="003B6E11">
              <w:rPr>
                <w:sz w:val="18"/>
                <w:lang w:val="cs-CZ"/>
              </w:rPr>
              <w:t>Uspořádání a ochranné prvky</w:t>
            </w:r>
          </w:p>
        </w:tc>
        <w:tc>
          <w:tcPr>
            <w:tcW w:w="6521" w:type="dxa"/>
            <w:shd w:val="clear" w:color="auto" w:fill="auto"/>
          </w:tcPr>
          <w:p w:rsidR="00E82B25" w:rsidRPr="003B6E11" w:rsidRDefault="00E82B25" w:rsidP="002D015D">
            <w:pPr>
              <w:widowControl w:val="0"/>
              <w:spacing w:before="80" w:after="8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widowControl w:val="0"/>
              <w:spacing w:before="80" w:after="80" w:line="240" w:lineRule="atLeast"/>
              <w:rPr>
                <w:rFonts w:cs="Arial"/>
                <w:sz w:val="18"/>
                <w:szCs w:val="18"/>
                <w:lang w:val="cs-CZ"/>
              </w:rPr>
            </w:pPr>
            <w:r w:rsidRPr="003B6E11">
              <w:rPr>
                <w:sz w:val="18"/>
                <w:lang w:val="cs-CZ"/>
              </w:rPr>
              <w:t>1.1.2025</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widowControl w:val="0"/>
              <w:spacing w:before="80" w:after="80" w:line="240" w:lineRule="atLeast"/>
              <w:rPr>
                <w:rFonts w:cs="Arial"/>
                <w:sz w:val="18"/>
                <w:szCs w:val="18"/>
                <w:lang w:val="cs-CZ"/>
              </w:rPr>
            </w:pPr>
            <w:r w:rsidRPr="003B6E11">
              <w:rPr>
                <w:sz w:val="18"/>
                <w:lang w:val="cs-CZ"/>
              </w:rPr>
              <w:t xml:space="preserve">odst. 7 </w:t>
            </w:r>
            <w:r w:rsidRPr="003B6E11">
              <w:rPr>
                <w:rFonts w:cs="Arial"/>
                <w:sz w:val="18"/>
                <w:szCs w:val="18"/>
                <w:lang w:val="cs-CZ"/>
              </w:rPr>
              <w:br/>
            </w:r>
            <w:r w:rsidRPr="003B6E11">
              <w:rPr>
                <w:sz w:val="18"/>
                <w:lang w:val="cs-CZ"/>
              </w:rPr>
              <w:t>třetí věta</w:t>
            </w:r>
          </w:p>
        </w:tc>
        <w:tc>
          <w:tcPr>
            <w:tcW w:w="3296" w:type="dxa"/>
            <w:shd w:val="clear" w:color="auto" w:fill="auto"/>
          </w:tcPr>
          <w:p w:rsidR="00E82B25" w:rsidRPr="003B6E11" w:rsidRDefault="00E82B25" w:rsidP="002D015D">
            <w:pPr>
              <w:widowControl w:val="0"/>
              <w:spacing w:before="80" w:after="80" w:line="240" w:lineRule="atLeast"/>
              <w:rPr>
                <w:rFonts w:cs="Arial"/>
                <w:sz w:val="18"/>
                <w:szCs w:val="18"/>
                <w:lang w:val="cs-CZ"/>
              </w:rPr>
            </w:pPr>
            <w:r w:rsidRPr="003B6E11">
              <w:rPr>
                <w:sz w:val="18"/>
                <w:lang w:val="cs-CZ"/>
              </w:rPr>
              <w:t>Optický signál</w:t>
            </w:r>
          </w:p>
        </w:tc>
        <w:tc>
          <w:tcPr>
            <w:tcW w:w="6521" w:type="dxa"/>
            <w:shd w:val="clear" w:color="auto" w:fill="auto"/>
          </w:tcPr>
          <w:p w:rsidR="00E82B25" w:rsidRPr="003B6E11" w:rsidRDefault="00E82B25" w:rsidP="002D015D">
            <w:pPr>
              <w:widowControl w:val="0"/>
              <w:spacing w:before="80" w:after="8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widowControl w:val="0"/>
              <w:spacing w:before="80" w:after="80" w:line="240" w:lineRule="atLeast"/>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widowControl w:val="0"/>
              <w:spacing w:before="80" w:after="80" w:line="240" w:lineRule="atLeast"/>
              <w:rPr>
                <w:rFonts w:cs="Arial"/>
                <w:sz w:val="18"/>
                <w:szCs w:val="18"/>
                <w:lang w:val="cs-CZ"/>
              </w:rPr>
            </w:pPr>
            <w:r w:rsidRPr="003B6E11">
              <w:rPr>
                <w:sz w:val="18"/>
                <w:lang w:val="cs-CZ"/>
              </w:rPr>
              <w:t>odst. 8</w:t>
            </w:r>
          </w:p>
        </w:tc>
        <w:tc>
          <w:tcPr>
            <w:tcW w:w="3296" w:type="dxa"/>
            <w:shd w:val="clear" w:color="auto" w:fill="auto"/>
          </w:tcPr>
          <w:p w:rsidR="00E82B25" w:rsidRPr="003B6E11" w:rsidRDefault="00E82B25" w:rsidP="002D015D">
            <w:pPr>
              <w:widowControl w:val="0"/>
              <w:tabs>
                <w:tab w:val="left" w:pos="1260"/>
              </w:tabs>
              <w:adjustRightInd w:val="0"/>
              <w:spacing w:before="80" w:after="80" w:line="240" w:lineRule="atLeast"/>
              <w:rPr>
                <w:rFonts w:cs="Arial"/>
                <w:sz w:val="18"/>
                <w:szCs w:val="18"/>
                <w:lang w:val="cs-CZ"/>
              </w:rPr>
            </w:pPr>
            <w:r w:rsidRPr="003B6E11">
              <w:rPr>
                <w:sz w:val="18"/>
                <w:lang w:val="cs-CZ"/>
              </w:rPr>
              <w:t>Systém nouzového spouštění</w:t>
            </w:r>
          </w:p>
        </w:tc>
        <w:tc>
          <w:tcPr>
            <w:tcW w:w="6521" w:type="dxa"/>
            <w:shd w:val="clear" w:color="auto" w:fill="auto"/>
          </w:tcPr>
          <w:p w:rsidR="00E82B25" w:rsidRPr="003B6E11" w:rsidRDefault="00E82B25" w:rsidP="002D015D">
            <w:pPr>
              <w:widowControl w:val="0"/>
              <w:spacing w:before="80" w:after="80" w:line="240" w:lineRule="atLeast"/>
              <w:rPr>
                <w:rFonts w:cs="Arial"/>
                <w:sz w:val="18"/>
                <w:szCs w:val="18"/>
                <w:lang w:val="cs-CZ"/>
              </w:rPr>
            </w:pPr>
            <w:r w:rsidRPr="003B6E11">
              <w:rPr>
                <w:sz w:val="18"/>
                <w:lang w:val="cs-CZ"/>
              </w:rPr>
              <w:t xml:space="preserve">Není-li možné hydraulické spouštění: N.V.P., nejpozději při obnovení osvědčení plavidla vnitrozemské plavby po </w:t>
            </w:r>
          </w:p>
        </w:tc>
        <w:tc>
          <w:tcPr>
            <w:tcW w:w="1276" w:type="dxa"/>
            <w:shd w:val="clear" w:color="auto" w:fill="auto"/>
          </w:tcPr>
          <w:p w:rsidR="00E82B25" w:rsidRPr="003B6E11" w:rsidRDefault="00E82B25" w:rsidP="002D015D">
            <w:pPr>
              <w:widowControl w:val="0"/>
              <w:spacing w:before="80" w:after="80" w:line="240" w:lineRule="atLeast"/>
              <w:rPr>
                <w:rFonts w:cs="Arial"/>
                <w:sz w:val="18"/>
                <w:szCs w:val="18"/>
                <w:lang w:val="cs-CZ"/>
              </w:rPr>
            </w:pPr>
            <w:r w:rsidRPr="003B6E11">
              <w:rPr>
                <w:sz w:val="18"/>
                <w:lang w:val="cs-CZ"/>
              </w:rPr>
              <w:t>1.1.2040</w:t>
            </w:r>
          </w:p>
        </w:tc>
      </w:tr>
      <w:tr w:rsidR="00E82B25" w:rsidRPr="003B6E11" w:rsidTr="002D015D">
        <w:trPr>
          <w:cantSplit/>
          <w:trHeight w:val="184"/>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vMerge w:val="restart"/>
            <w:shd w:val="clear" w:color="auto" w:fill="auto"/>
          </w:tcPr>
          <w:p w:rsidR="00E82B25" w:rsidRPr="003B6E11" w:rsidDel="00F12D85" w:rsidRDefault="00E82B25" w:rsidP="002D015D">
            <w:pPr>
              <w:widowControl w:val="0"/>
              <w:spacing w:before="80" w:after="80" w:line="240" w:lineRule="atLeast"/>
              <w:rPr>
                <w:rFonts w:cs="Arial"/>
                <w:sz w:val="18"/>
                <w:szCs w:val="18"/>
                <w:lang w:val="cs-CZ"/>
              </w:rPr>
            </w:pPr>
            <w:r w:rsidRPr="003B6E11">
              <w:rPr>
                <w:sz w:val="18"/>
                <w:lang w:val="cs-CZ"/>
              </w:rPr>
              <w:t>odst. 12 písm. c)</w:t>
            </w:r>
          </w:p>
        </w:tc>
        <w:tc>
          <w:tcPr>
            <w:tcW w:w="3296" w:type="dxa"/>
            <w:vMerge w:val="restart"/>
            <w:shd w:val="clear" w:color="auto" w:fill="auto"/>
          </w:tcPr>
          <w:p w:rsidR="00E82B25" w:rsidRPr="003B6E11" w:rsidRDefault="00E82B25" w:rsidP="002D015D">
            <w:pPr>
              <w:widowControl w:val="0"/>
              <w:tabs>
                <w:tab w:val="left" w:pos="1260"/>
              </w:tabs>
              <w:adjustRightInd w:val="0"/>
              <w:spacing w:before="80" w:after="80" w:line="240" w:lineRule="atLeast"/>
              <w:rPr>
                <w:rFonts w:cs="Arial"/>
                <w:sz w:val="18"/>
                <w:szCs w:val="18"/>
                <w:lang w:val="cs-CZ"/>
              </w:rPr>
            </w:pPr>
            <w:r w:rsidRPr="003B6E11">
              <w:rPr>
                <w:sz w:val="18"/>
                <w:lang w:val="cs-CZ"/>
              </w:rPr>
              <w:t>Zkoušky</w:t>
            </w:r>
          </w:p>
        </w:tc>
        <w:tc>
          <w:tcPr>
            <w:tcW w:w="6521" w:type="dxa"/>
            <w:shd w:val="clear" w:color="auto" w:fill="auto"/>
          </w:tcPr>
          <w:p w:rsidR="00E82B25" w:rsidRPr="003B6E11" w:rsidRDefault="00E82B25" w:rsidP="002D015D">
            <w:pPr>
              <w:widowControl w:val="0"/>
              <w:spacing w:before="80" w:after="80" w:line="240" w:lineRule="atLeast"/>
              <w:rPr>
                <w:rFonts w:cs="Arial"/>
                <w:sz w:val="18"/>
                <w:szCs w:val="18"/>
                <w:lang w:val="cs-CZ"/>
              </w:rPr>
            </w:pPr>
            <w:r w:rsidRPr="003B6E11">
              <w:rPr>
                <w:sz w:val="18"/>
                <w:lang w:val="cs-CZ"/>
              </w:rPr>
              <w:t>N.V.P., nejpozději při obnovení osvědčení plavidla vnitrozemské plavby</w:t>
            </w:r>
          </w:p>
        </w:tc>
        <w:tc>
          <w:tcPr>
            <w:tcW w:w="1276" w:type="dxa"/>
            <w:vMerge w:val="restart"/>
            <w:shd w:val="clear" w:color="auto" w:fill="auto"/>
          </w:tcPr>
          <w:p w:rsidR="00E82B25" w:rsidRPr="003B6E11" w:rsidRDefault="00E82B25" w:rsidP="002D015D">
            <w:pPr>
              <w:widowControl w:val="0"/>
              <w:spacing w:before="80" w:after="80" w:line="240" w:lineRule="atLeast"/>
              <w:rPr>
                <w:rFonts w:cs="Arial"/>
                <w:sz w:val="18"/>
                <w:szCs w:val="18"/>
                <w:highlight w:val="lightGray"/>
                <w:lang w:val="cs-CZ"/>
              </w:rPr>
            </w:pPr>
          </w:p>
        </w:tc>
      </w:tr>
      <w:tr w:rsidR="00E82B25" w:rsidRPr="003B6E11" w:rsidTr="002D015D">
        <w:trPr>
          <w:cantSplit/>
          <w:trHeight w:val="183"/>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vMerge/>
            <w:shd w:val="clear" w:color="auto" w:fill="auto"/>
          </w:tcPr>
          <w:p w:rsidR="00E82B25" w:rsidRPr="003B6E11" w:rsidRDefault="00E82B25" w:rsidP="002D015D">
            <w:pPr>
              <w:widowControl w:val="0"/>
              <w:spacing w:before="80" w:after="80" w:line="240" w:lineRule="atLeast"/>
              <w:rPr>
                <w:rFonts w:cs="Arial"/>
                <w:sz w:val="18"/>
                <w:szCs w:val="18"/>
                <w:lang w:val="cs-CZ"/>
              </w:rPr>
            </w:pPr>
          </w:p>
        </w:tc>
        <w:tc>
          <w:tcPr>
            <w:tcW w:w="3296" w:type="dxa"/>
            <w:vMerge/>
            <w:shd w:val="clear" w:color="auto" w:fill="auto"/>
          </w:tcPr>
          <w:p w:rsidR="00E82B25" w:rsidRPr="003B6E11" w:rsidRDefault="00E82B25" w:rsidP="002D015D">
            <w:pPr>
              <w:widowControl w:val="0"/>
              <w:tabs>
                <w:tab w:val="left" w:pos="1260"/>
              </w:tabs>
              <w:adjustRightInd w:val="0"/>
              <w:spacing w:before="80" w:after="80" w:line="240" w:lineRule="atLeast"/>
              <w:rPr>
                <w:rFonts w:cs="Arial"/>
                <w:sz w:val="18"/>
                <w:szCs w:val="18"/>
                <w:lang w:val="cs-CZ"/>
              </w:rPr>
            </w:pPr>
          </w:p>
        </w:tc>
        <w:tc>
          <w:tcPr>
            <w:tcW w:w="6521" w:type="dxa"/>
            <w:shd w:val="clear" w:color="auto" w:fill="auto"/>
          </w:tcPr>
          <w:p w:rsidR="00E82B25" w:rsidRPr="003B6E11" w:rsidRDefault="00E82B25" w:rsidP="002D015D">
            <w:pPr>
              <w:widowControl w:val="0"/>
              <w:spacing w:before="80" w:after="80" w:line="240" w:lineRule="atLeast"/>
              <w:rPr>
                <w:rFonts w:cs="Arial"/>
                <w:sz w:val="18"/>
                <w:szCs w:val="18"/>
                <w:lang w:val="cs-CZ"/>
              </w:rPr>
            </w:pPr>
            <w:r w:rsidRPr="003B6E11">
              <w:rPr>
                <w:sz w:val="18"/>
                <w:lang w:val="cs-CZ"/>
              </w:rPr>
              <w:t>Nelze-li poskytnout matematický důkaz, může subjekt pověřený prohlídkami uznat za rovnocenný jiný vhodný důkaz.</w:t>
            </w:r>
          </w:p>
        </w:tc>
        <w:tc>
          <w:tcPr>
            <w:tcW w:w="1276" w:type="dxa"/>
            <w:vMerge/>
            <w:shd w:val="clear" w:color="auto" w:fill="auto"/>
          </w:tcPr>
          <w:p w:rsidR="00E82B25" w:rsidRPr="003B6E11" w:rsidRDefault="00E82B25" w:rsidP="002D015D">
            <w:pPr>
              <w:spacing w:before="80" w:after="80" w:line="240" w:lineRule="atLeast"/>
              <w:rPr>
                <w:rFonts w:cs="Arial"/>
                <w:sz w:val="18"/>
                <w:szCs w:val="18"/>
                <w:lang w:val="cs-CZ"/>
              </w:rPr>
            </w:pP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40" w:after="140" w:line="240" w:lineRule="atLeast"/>
              <w:jc w:val="center"/>
              <w:rPr>
                <w:rFonts w:cs="Arial"/>
                <w:sz w:val="18"/>
                <w:szCs w:val="18"/>
                <w:lang w:val="cs-CZ"/>
              </w:rPr>
            </w:pPr>
            <w:r w:rsidRPr="003B6E11">
              <w:rPr>
                <w:b/>
                <w:sz w:val="18"/>
                <w:lang w:val="cs-CZ"/>
              </w:rPr>
              <w:t>KAPITOLA 8</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8.01</w:t>
            </w: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noProof/>
                <w:sz w:val="18"/>
                <w:lang w:val="cs-CZ"/>
              </w:rPr>
              <w:t>Pouze spalovací motory fungující na palivo s bodem vzplanutím vyšším než 55 °C</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30.12.2029</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8.02</w:t>
            </w: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noProof/>
                <w:sz w:val="18"/>
                <w:lang w:val="cs-CZ"/>
              </w:rPr>
              <w:t>Zabezpečení motorů před náhodným spuštěním</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noProof/>
                <w:sz w:val="18"/>
                <w:lang w:val="cs-CZ"/>
              </w:rPr>
              <w:t>Zakrytí potrubí</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5</w:t>
            </w:r>
          </w:p>
        </w:tc>
        <w:tc>
          <w:tcPr>
            <w:tcW w:w="3296" w:type="dxa"/>
            <w:shd w:val="clear" w:color="auto" w:fill="auto"/>
          </w:tcPr>
          <w:p w:rsidR="00E82B25" w:rsidRPr="003B6E11" w:rsidRDefault="00E82B25" w:rsidP="002D015D">
            <w:pPr>
              <w:spacing w:before="140" w:after="140" w:line="240" w:lineRule="atLeast"/>
              <w:rPr>
                <w:rFonts w:cs="Arial"/>
                <w:noProof/>
                <w:sz w:val="18"/>
                <w:szCs w:val="18"/>
                <w:lang w:val="cs-CZ"/>
              </w:rPr>
            </w:pPr>
            <w:r w:rsidRPr="003B6E11">
              <w:rPr>
                <w:noProof/>
                <w:sz w:val="18"/>
                <w:lang w:val="cs-CZ"/>
              </w:rPr>
              <w:t>Opláštěná potrubní soustava</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tcBorders>
              <w:top w:val="nil"/>
              <w:bottom w:val="single" w:sz="4" w:space="0" w:color="auto"/>
            </w:tcBorders>
            <w:shd w:val="clear" w:color="auto" w:fill="auto"/>
          </w:tcPr>
          <w:p w:rsidR="00E82B25" w:rsidRPr="003B6E11" w:rsidRDefault="00E82B25" w:rsidP="002D015D">
            <w:pPr>
              <w:spacing w:before="140" w:after="140" w:line="240" w:lineRule="atLeast"/>
              <w:rPr>
                <w:rFonts w:cs="Arial"/>
                <w:strike/>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6</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Izolace částí motoru</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8.03</w:t>
            </w: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noProof/>
                <w:sz w:val="18"/>
                <w:lang w:val="cs-CZ"/>
              </w:rPr>
              <w:t>Monitorovací zařízení</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noProof/>
                <w:sz w:val="18"/>
                <w:lang w:val="cs-CZ"/>
              </w:rPr>
              <w:t xml:space="preserve">Automatická ochrana proti zvýšení otáček - zobrazení a vypnutí </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tcBorders>
              <w:top w:val="nil"/>
              <w:bottom w:val="single" w:sz="4" w:space="0" w:color="auto"/>
            </w:tcBorders>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5</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noProof/>
                <w:sz w:val="18"/>
                <w:lang w:val="cs-CZ"/>
              </w:rPr>
              <w:t>Konstrukce pouzdra hřídele</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30.12.2029</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8.05</w:t>
            </w: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noProof/>
                <w:sz w:val="18"/>
                <w:lang w:val="cs-CZ"/>
              </w:rPr>
              <w:t>Ocelové nádrže na kapalná paliva</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30.12.2029</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tcBorders>
              <w:bottom w:val="single" w:sz="4" w:space="0" w:color="auto"/>
            </w:tcBorders>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noProof/>
                <w:sz w:val="18"/>
                <w:lang w:val="cs-CZ"/>
              </w:rPr>
              <w:t>Automatické zavírání ventilů nádrží</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tcBorders>
              <w:bottom w:val="nil"/>
            </w:tcBorders>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tabs>
                <w:tab w:val="left" w:pos="1170"/>
              </w:tabs>
              <w:spacing w:before="140" w:after="140" w:line="240" w:lineRule="atLeast"/>
              <w:rPr>
                <w:rFonts w:cs="Arial"/>
                <w:sz w:val="18"/>
                <w:szCs w:val="18"/>
                <w:lang w:val="cs-CZ"/>
              </w:rPr>
            </w:pPr>
            <w:r w:rsidRPr="003B6E11">
              <w:rPr>
                <w:noProof/>
                <w:sz w:val="18"/>
                <w:lang w:val="cs-CZ"/>
              </w:rPr>
              <w:t>Žádné palivové nádrže před kolizní přepážkou</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tcBorders>
              <w:top w:val="nil"/>
              <w:bottom w:val="single" w:sz="4" w:space="0" w:color="auto"/>
            </w:tcBorders>
            <w:shd w:val="clear" w:color="auto" w:fill="auto"/>
          </w:tcPr>
          <w:p w:rsidR="00E82B25" w:rsidRPr="003B6E11" w:rsidRDefault="00E82B25" w:rsidP="002D015D">
            <w:pPr>
              <w:spacing w:before="140" w:after="140" w:line="240" w:lineRule="atLeast"/>
              <w:rPr>
                <w:rFonts w:cs="Arial"/>
                <w:sz w:val="18"/>
                <w:szCs w:val="18"/>
                <w:lang w:val="cs-CZ"/>
              </w:rPr>
            </w:pP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Žádné palivové nádrže za záďovou přepážkou</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vMerge w:val="restart"/>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4</w:t>
            </w:r>
          </w:p>
        </w:tc>
        <w:tc>
          <w:tcPr>
            <w:tcW w:w="3296" w:type="dxa"/>
            <w:vMerge w:val="restart"/>
            <w:shd w:val="clear" w:color="auto" w:fill="auto"/>
          </w:tcPr>
          <w:p w:rsidR="00E82B25" w:rsidRPr="003B6E11" w:rsidRDefault="00E82B25" w:rsidP="002D015D">
            <w:pPr>
              <w:spacing w:before="160" w:after="160" w:line="240" w:lineRule="atLeast"/>
              <w:rPr>
                <w:rFonts w:cs="Arial"/>
                <w:sz w:val="18"/>
                <w:szCs w:val="18"/>
                <w:lang w:val="cs-CZ"/>
              </w:rPr>
            </w:pPr>
            <w:r w:rsidRPr="003B6E11">
              <w:rPr>
                <w:noProof/>
                <w:sz w:val="18"/>
                <w:lang w:val="cs-CZ"/>
              </w:rPr>
              <w:t>Žádné palivové nádrže a armatury umístěné přímo nad motory nebo výfukovým potrubím</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160" w:after="160" w:line="240" w:lineRule="atLeast"/>
              <w:rPr>
                <w:rFonts w:cs="Arial"/>
                <w:sz w:val="18"/>
                <w:szCs w:val="18"/>
                <w:lang w:val="cs-CZ"/>
              </w:rPr>
            </w:pPr>
          </w:p>
        </w:tc>
        <w:tc>
          <w:tcPr>
            <w:tcW w:w="3296" w:type="dxa"/>
            <w:vMerge/>
            <w:shd w:val="clear" w:color="auto" w:fill="auto"/>
          </w:tcPr>
          <w:p w:rsidR="00E82B25" w:rsidRPr="003B6E11" w:rsidRDefault="00E82B25" w:rsidP="002D015D">
            <w:pPr>
              <w:spacing w:before="160" w:after="160" w:line="240" w:lineRule="atLeast"/>
              <w:rPr>
                <w:rFonts w:cs="Arial"/>
                <w:sz w:val="18"/>
                <w:szCs w:val="18"/>
                <w:lang w:val="cs-CZ"/>
              </w:rPr>
            </w:pP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noProof/>
                <w:sz w:val="18"/>
                <w:lang w:val="cs-CZ"/>
              </w:rPr>
              <w:t>Do té doby musí bezpečné odvádění paliva zajistit vhodné zařízení.</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6 třetí až pátá věta</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noProof/>
                <w:sz w:val="18"/>
                <w:lang w:val="cs-CZ"/>
              </w:rPr>
              <w:t>Instalace a rozměry odvětrávacího potrubí a spojovacího potrubí</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7 první věta</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Rychlouzavírací ventil nádrže, který lze obsluhovat z paluby, i když jsou dotyčné prostory uzavřeny</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1.1.2029</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9 druhá věta</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noProof/>
                <w:sz w:val="18"/>
                <w:lang w:val="cs-CZ"/>
              </w:rPr>
              <w:t>Měřicí zařízení čitelná až po nejvyšší hladinu plnění nádrže</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30.12.2029</w:t>
            </w: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13</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noProof/>
                <w:sz w:val="18"/>
                <w:lang w:val="cs-CZ"/>
              </w:rPr>
              <w:t>Kontrola výše hladiny nejen u hlavních motorů, ale také u motorů potřebných pro bezpečný provoz plavidla</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30.12.2029</w:t>
            </w:r>
          </w:p>
        </w:tc>
      </w:tr>
      <w:tr w:rsidR="00E82B25" w:rsidRPr="003B6E11" w:rsidTr="002D015D">
        <w:trPr>
          <w:cantSplit/>
          <w:jc w:val="center"/>
        </w:trPr>
        <w:tc>
          <w:tcPr>
            <w:tcW w:w="1342"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8.06</w:t>
            </w: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noProof/>
                <w:sz w:val="18"/>
                <w:lang w:val="cs-CZ"/>
              </w:rPr>
              <w:t>Nádrže na mazací olej, potrubí a příslušenství</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8.07</w:t>
            </w: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noProof/>
                <w:sz w:val="18"/>
                <w:lang w:val="cs-CZ"/>
              </w:rPr>
              <w:t>Nádrže na oleje používané v soustavách pro přenos sil a v ovládacích, pohonných a topných soustavách, potrubí a příslušenství</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8.08</w:t>
            </w: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8</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noProof/>
                <w:sz w:val="18"/>
                <w:lang w:val="cs-CZ"/>
              </w:rPr>
              <w:t>Jednoduché uzavírací zařízení nedostatečné pro připojení prostor vybavených jako zátěžové na drenážní čerpadla pro podpalubní nákladové prostory schopné pojmout zátěž</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9</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noProof/>
                <w:sz w:val="18"/>
                <w:lang w:val="cs-CZ"/>
              </w:rPr>
              <w:t>Měřicí zařízení pro sběrné prostory podpalubních nákladových prostorů</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8.09</w:t>
            </w: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noProof/>
                <w:sz w:val="18"/>
                <w:lang w:val="cs-CZ"/>
              </w:rPr>
              <w:t>Zařízení k shromažďování vody znečištěné ropnými látkami a použitého oleje</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8.10</w:t>
            </w:r>
          </w:p>
        </w:tc>
        <w:tc>
          <w:tcPr>
            <w:tcW w:w="1458" w:type="dxa"/>
            <w:tcBorders>
              <w:bottom w:val="single" w:sz="4" w:space="0" w:color="auto"/>
            </w:tcBorders>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3</w:t>
            </w:r>
          </w:p>
        </w:tc>
        <w:tc>
          <w:tcPr>
            <w:tcW w:w="3296" w:type="dxa"/>
            <w:tcBorders>
              <w:bottom w:val="single" w:sz="4" w:space="0" w:color="auto"/>
            </w:tcBorders>
            <w:shd w:val="clear" w:color="auto" w:fill="auto"/>
          </w:tcPr>
          <w:p w:rsidR="00E82B25" w:rsidRPr="003B6E11" w:rsidRDefault="00E82B25" w:rsidP="002D015D">
            <w:pPr>
              <w:spacing w:before="80" w:after="80" w:line="240" w:lineRule="atLeast"/>
              <w:rPr>
                <w:rFonts w:cs="Arial"/>
                <w:sz w:val="18"/>
                <w:szCs w:val="18"/>
                <w:lang w:val="cs-CZ"/>
              </w:rPr>
            </w:pPr>
            <w:r w:rsidRPr="003B6E11">
              <w:rPr>
                <w:noProof/>
                <w:sz w:val="18"/>
                <w:lang w:val="cs-CZ"/>
              </w:rPr>
              <w:t>Mezní hodnota emisí 65 dB(A) pro nepohybující se plavidla</w:t>
            </w:r>
          </w:p>
        </w:tc>
        <w:tc>
          <w:tcPr>
            <w:tcW w:w="6521" w:type="dxa"/>
            <w:tcBorders>
              <w:bottom w:val="single" w:sz="4" w:space="0" w:color="auto"/>
            </w:tcBorders>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tcBorders>
              <w:bottom w:val="single" w:sz="4" w:space="0" w:color="auto"/>
            </w:tcBorders>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30.12.2029</w:t>
            </w:r>
          </w:p>
        </w:tc>
      </w:tr>
      <w:tr w:rsidR="00E82B25" w:rsidRPr="003B6E11" w:rsidTr="002D015D">
        <w:trPr>
          <w:cantSplit/>
          <w:jc w:val="center"/>
        </w:trPr>
        <w:tc>
          <w:tcPr>
            <w:tcW w:w="6096" w:type="dxa"/>
            <w:gridSpan w:val="3"/>
            <w:tcBorders>
              <w:top w:val="single" w:sz="4" w:space="0" w:color="auto"/>
            </w:tcBorders>
            <w:shd w:val="clear" w:color="auto" w:fill="auto"/>
          </w:tcPr>
          <w:p w:rsidR="00E82B25" w:rsidRPr="003B6E11" w:rsidRDefault="00E82B25" w:rsidP="002D015D">
            <w:pPr>
              <w:spacing w:before="80" w:after="80" w:line="240" w:lineRule="atLeast"/>
              <w:jc w:val="center"/>
              <w:rPr>
                <w:rFonts w:cs="Arial"/>
                <w:b/>
                <w:sz w:val="18"/>
                <w:szCs w:val="18"/>
                <w:lang w:val="cs-CZ"/>
              </w:rPr>
            </w:pPr>
            <w:r w:rsidRPr="003B6E11">
              <w:rPr>
                <w:b/>
                <w:sz w:val="18"/>
                <w:lang w:val="cs-CZ"/>
              </w:rPr>
              <w:t>KAPITOLA 9</w:t>
            </w:r>
          </w:p>
        </w:tc>
        <w:tc>
          <w:tcPr>
            <w:tcW w:w="6521" w:type="dxa"/>
            <w:tcBorders>
              <w:top w:val="single" w:sz="4" w:space="0" w:color="auto"/>
            </w:tcBorders>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Na motory, které jsou již na palubě instalovány a nemají schválení typu, se použije pouze článek 9.02.</w:t>
            </w:r>
          </w:p>
        </w:tc>
        <w:tc>
          <w:tcPr>
            <w:tcW w:w="1276" w:type="dxa"/>
            <w:tcBorders>
              <w:top w:val="single" w:sz="4" w:space="0" w:color="auto"/>
              <w:bottom w:val="nil"/>
            </w:tcBorders>
            <w:shd w:val="clear" w:color="auto" w:fill="auto"/>
          </w:tcPr>
          <w:p w:rsidR="00E82B25" w:rsidRPr="003B6E11" w:rsidRDefault="00E82B25" w:rsidP="002D015D">
            <w:pPr>
              <w:spacing w:before="80" w:after="8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80" w:after="80" w:line="240" w:lineRule="atLeast"/>
              <w:rPr>
                <w:rFonts w:eastAsia="Calibri" w:cs="Arial"/>
                <w:sz w:val="18"/>
                <w:szCs w:val="18"/>
                <w:lang w:val="cs-CZ"/>
              </w:rPr>
            </w:pPr>
            <w:r w:rsidRPr="003B6E11">
              <w:rPr>
                <w:sz w:val="18"/>
                <w:lang w:val="cs-CZ"/>
              </w:rPr>
              <w:t>9.01</w:t>
            </w:r>
          </w:p>
        </w:tc>
        <w:tc>
          <w:tcPr>
            <w:tcW w:w="1458" w:type="dxa"/>
            <w:shd w:val="clear" w:color="auto" w:fill="auto"/>
          </w:tcPr>
          <w:p w:rsidR="00E82B25" w:rsidRPr="003B6E11" w:rsidRDefault="00E82B25" w:rsidP="002D015D">
            <w:pPr>
              <w:spacing w:before="80" w:after="80" w:line="240" w:lineRule="atLeast"/>
              <w:rPr>
                <w:sz w:val="18"/>
                <w:szCs w:val="18"/>
                <w:lang w:val="cs-CZ"/>
              </w:rPr>
            </w:pPr>
            <w:r w:rsidRPr="003B6E11">
              <w:rPr>
                <w:sz w:val="18"/>
                <w:lang w:val="cs-CZ"/>
              </w:rPr>
              <w:t>odst. 1 až 4</w:t>
            </w:r>
          </w:p>
        </w:tc>
        <w:tc>
          <w:tcPr>
            <w:tcW w:w="3296" w:type="dxa"/>
            <w:shd w:val="clear" w:color="auto" w:fill="auto"/>
          </w:tcPr>
          <w:p w:rsidR="00E82B25" w:rsidRPr="003B6E11" w:rsidRDefault="00E82B25" w:rsidP="002D015D">
            <w:pPr>
              <w:spacing w:before="80" w:after="80" w:line="240" w:lineRule="atLeast"/>
              <w:rPr>
                <w:rFonts w:eastAsia="Calibri" w:cs="Arial"/>
                <w:sz w:val="18"/>
                <w:szCs w:val="18"/>
                <w:lang w:val="cs-CZ"/>
              </w:rPr>
            </w:pPr>
            <w:r w:rsidRPr="003B6E11">
              <w:rPr>
                <w:sz w:val="18"/>
                <w:lang w:val="cs-CZ"/>
              </w:rPr>
              <w:t>Obecná ustanovení</w:t>
            </w:r>
          </w:p>
        </w:tc>
        <w:tc>
          <w:tcPr>
            <w:tcW w:w="6521" w:type="dxa"/>
            <w:vMerge w:val="restart"/>
            <w:shd w:val="clear" w:color="auto" w:fill="auto"/>
            <w:vAlign w:val="center"/>
          </w:tcPr>
          <w:p w:rsidR="00E82B25" w:rsidRPr="003B6E11" w:rsidRDefault="00E82B25" w:rsidP="002D015D">
            <w:pPr>
              <w:spacing w:before="80" w:after="80" w:line="240" w:lineRule="atLeast"/>
              <w:rPr>
                <w:rFonts w:cs="Arial"/>
                <w:sz w:val="18"/>
                <w:szCs w:val="18"/>
                <w:lang w:val="cs-CZ"/>
              </w:rPr>
            </w:pPr>
            <w:r w:rsidRPr="003B6E11">
              <w:rPr>
                <w:sz w:val="18"/>
                <w:lang w:val="cs-CZ"/>
              </w:rPr>
              <w:t>U motorů, které splňují ustanovení o schválení typu a montáži platné ke dni instalace: N.V.</w:t>
            </w:r>
          </w:p>
        </w:tc>
        <w:tc>
          <w:tcPr>
            <w:tcW w:w="1276" w:type="dxa"/>
            <w:tcBorders>
              <w:top w:val="nil"/>
              <w:bottom w:val="nil"/>
            </w:tcBorders>
            <w:shd w:val="clear" w:color="auto" w:fill="auto"/>
          </w:tcPr>
          <w:p w:rsidR="00E82B25" w:rsidRPr="003B6E11" w:rsidRDefault="00E82B25" w:rsidP="002D015D">
            <w:pPr>
              <w:spacing w:before="80" w:after="8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80" w:after="80" w:line="240" w:lineRule="atLeast"/>
              <w:rPr>
                <w:sz w:val="18"/>
                <w:szCs w:val="18"/>
                <w:lang w:val="cs-CZ"/>
              </w:rPr>
            </w:pPr>
            <w:r w:rsidRPr="003B6E11">
              <w:rPr>
                <w:sz w:val="18"/>
                <w:lang w:val="cs-CZ"/>
              </w:rPr>
              <w:t>9.06</w:t>
            </w:r>
          </w:p>
        </w:tc>
        <w:tc>
          <w:tcPr>
            <w:tcW w:w="1458" w:type="dxa"/>
            <w:shd w:val="clear" w:color="auto" w:fill="auto"/>
          </w:tcPr>
          <w:p w:rsidR="00E82B25" w:rsidRPr="003B6E11" w:rsidRDefault="00E82B25" w:rsidP="002D015D">
            <w:pPr>
              <w:spacing w:before="80" w:after="80" w:line="240" w:lineRule="atLeast"/>
              <w:rPr>
                <w:sz w:val="18"/>
                <w:szCs w:val="18"/>
                <w:lang w:val="cs-CZ"/>
              </w:rPr>
            </w:pPr>
          </w:p>
        </w:tc>
        <w:tc>
          <w:tcPr>
            <w:tcW w:w="3296" w:type="dxa"/>
            <w:shd w:val="clear" w:color="auto" w:fill="auto"/>
          </w:tcPr>
          <w:p w:rsidR="00E82B25" w:rsidRPr="003B6E11" w:rsidRDefault="00E82B25" w:rsidP="002D015D">
            <w:pPr>
              <w:spacing w:before="80" w:after="80" w:line="240" w:lineRule="atLeast"/>
              <w:rPr>
                <w:sz w:val="18"/>
                <w:szCs w:val="18"/>
                <w:lang w:val="cs-CZ"/>
              </w:rPr>
            </w:pPr>
            <w:r w:rsidRPr="003B6E11">
              <w:rPr>
                <w:sz w:val="18"/>
                <w:lang w:val="cs-CZ"/>
              </w:rPr>
              <w:t>Montážní zkoušky</w:t>
            </w:r>
          </w:p>
        </w:tc>
        <w:tc>
          <w:tcPr>
            <w:tcW w:w="6521"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276" w:type="dxa"/>
            <w:tcBorders>
              <w:top w:val="nil"/>
            </w:tcBorders>
            <w:shd w:val="clear" w:color="auto" w:fill="auto"/>
          </w:tcPr>
          <w:p w:rsidR="00E82B25" w:rsidRPr="003B6E11" w:rsidRDefault="00E82B25" w:rsidP="002D015D">
            <w:pPr>
              <w:spacing w:before="80" w:after="80" w:line="240" w:lineRule="atLeast"/>
              <w:rPr>
                <w:rFonts w:cs="Arial"/>
                <w:sz w:val="18"/>
                <w:szCs w:val="18"/>
                <w:lang w:val="cs-CZ"/>
              </w:rPr>
            </w:pPr>
          </w:p>
        </w:tc>
      </w:tr>
      <w:tr w:rsidR="00E82B25" w:rsidRPr="003B6E11" w:rsidTr="002D015D">
        <w:trPr>
          <w:cantSplit/>
          <w:jc w:val="center"/>
        </w:trPr>
        <w:tc>
          <w:tcPr>
            <w:tcW w:w="6096" w:type="dxa"/>
            <w:gridSpan w:val="3"/>
            <w:tcBorders>
              <w:top w:val="single" w:sz="4" w:space="0" w:color="auto"/>
            </w:tcBorders>
            <w:shd w:val="clear" w:color="auto" w:fill="auto"/>
          </w:tcPr>
          <w:p w:rsidR="00E82B25" w:rsidRPr="003B6E11" w:rsidRDefault="00E82B25" w:rsidP="002D015D">
            <w:pPr>
              <w:spacing w:before="80" w:after="80" w:line="240" w:lineRule="atLeast"/>
              <w:jc w:val="center"/>
              <w:rPr>
                <w:rFonts w:cs="Arial"/>
                <w:b/>
                <w:sz w:val="18"/>
                <w:szCs w:val="18"/>
                <w:lang w:val="cs-CZ"/>
              </w:rPr>
            </w:pPr>
            <w:r w:rsidRPr="003B6E11">
              <w:rPr>
                <w:b/>
                <w:sz w:val="18"/>
                <w:lang w:val="cs-CZ"/>
              </w:rPr>
              <w:t>KAPITOLA 10</w:t>
            </w:r>
          </w:p>
        </w:tc>
        <w:tc>
          <w:tcPr>
            <w:tcW w:w="6521" w:type="dxa"/>
            <w:tcBorders>
              <w:top w:val="single" w:sz="4" w:space="0" w:color="auto"/>
            </w:tcBorders>
            <w:shd w:val="clear" w:color="auto" w:fill="auto"/>
          </w:tcPr>
          <w:p w:rsidR="00E82B25" w:rsidRPr="003B6E11" w:rsidRDefault="00E82B25" w:rsidP="002D015D">
            <w:pPr>
              <w:spacing w:before="80" w:after="80" w:line="240" w:lineRule="atLeast"/>
              <w:jc w:val="center"/>
              <w:rPr>
                <w:rFonts w:cs="Arial"/>
                <w:sz w:val="18"/>
                <w:szCs w:val="18"/>
                <w:lang w:val="cs-CZ"/>
              </w:rPr>
            </w:pPr>
          </w:p>
        </w:tc>
        <w:tc>
          <w:tcPr>
            <w:tcW w:w="1276" w:type="dxa"/>
            <w:tcBorders>
              <w:top w:val="single" w:sz="4" w:space="0" w:color="auto"/>
            </w:tcBorders>
            <w:shd w:val="clear" w:color="auto" w:fill="auto"/>
          </w:tcPr>
          <w:p w:rsidR="00E82B25" w:rsidRPr="003B6E11" w:rsidRDefault="00E82B25" w:rsidP="002D015D">
            <w:pPr>
              <w:spacing w:before="80" w:after="80" w:line="240" w:lineRule="atLeast"/>
              <w:rPr>
                <w:rFonts w:cs="Arial"/>
                <w:sz w:val="18"/>
                <w:szCs w:val="18"/>
                <w:lang w:val="cs-CZ"/>
              </w:rPr>
            </w:pP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10.01</w:t>
            </w: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1 druhá věta</w:t>
            </w:r>
          </w:p>
        </w:tc>
        <w:tc>
          <w:tcPr>
            <w:tcW w:w="3296" w:type="dxa"/>
            <w:shd w:val="clear" w:color="auto" w:fill="auto"/>
          </w:tcPr>
          <w:p w:rsidR="00E82B25" w:rsidRPr="003B6E11" w:rsidRDefault="00E82B25" w:rsidP="002D015D">
            <w:pPr>
              <w:spacing w:before="80" w:after="80" w:line="240" w:lineRule="atLeast"/>
              <w:rPr>
                <w:rFonts w:cs="Arial"/>
                <w:noProof/>
                <w:sz w:val="18"/>
                <w:szCs w:val="18"/>
                <w:lang w:val="cs-CZ"/>
              </w:rPr>
            </w:pPr>
            <w:r w:rsidRPr="003B6E11">
              <w:rPr>
                <w:noProof/>
                <w:sz w:val="18"/>
                <w:lang w:val="cs-CZ"/>
              </w:rPr>
              <w:t>Subjektu pověřenému prohlídkami musí být předloženy potřebné dokumenty</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r w:rsidRPr="003B6E11">
              <w:rPr>
                <w:sz w:val="18"/>
                <w:lang w:val="cs-CZ"/>
              </w:rPr>
              <w:t>1.1.2035</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2 písm. b)</w:t>
            </w:r>
          </w:p>
        </w:tc>
        <w:tc>
          <w:tcPr>
            <w:tcW w:w="3296" w:type="dxa"/>
            <w:shd w:val="clear" w:color="auto" w:fill="auto"/>
          </w:tcPr>
          <w:p w:rsidR="00E82B25" w:rsidRPr="003B6E11" w:rsidRDefault="00E82B25" w:rsidP="002D015D">
            <w:pPr>
              <w:spacing w:before="80" w:after="80" w:line="240" w:lineRule="atLeast"/>
              <w:rPr>
                <w:rFonts w:cs="Arial"/>
                <w:noProof/>
                <w:sz w:val="18"/>
                <w:szCs w:val="18"/>
                <w:lang w:val="cs-CZ"/>
              </w:rPr>
            </w:pPr>
            <w:r w:rsidRPr="003B6E11">
              <w:rPr>
                <w:noProof/>
                <w:sz w:val="18"/>
                <w:lang w:val="cs-CZ"/>
              </w:rPr>
              <w:t>Na palubě musí být plány hlavních, nouzových a distribučních rozvaděčů</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r w:rsidRPr="003B6E11">
              <w:rPr>
                <w:sz w:val="18"/>
                <w:lang w:val="cs-CZ"/>
              </w:rPr>
              <w:t>1.1.2010</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2 písm. e)</w:t>
            </w:r>
          </w:p>
        </w:tc>
        <w:tc>
          <w:tcPr>
            <w:tcW w:w="3296" w:type="dxa"/>
            <w:shd w:val="clear" w:color="auto" w:fill="auto"/>
          </w:tcPr>
          <w:p w:rsidR="00E82B25" w:rsidRPr="003B6E11" w:rsidRDefault="00E82B25" w:rsidP="002D015D">
            <w:pPr>
              <w:spacing w:before="80" w:after="80" w:line="240" w:lineRule="atLeast"/>
              <w:rPr>
                <w:rFonts w:cs="Arial"/>
                <w:noProof/>
                <w:sz w:val="18"/>
                <w:szCs w:val="18"/>
                <w:lang w:val="cs-CZ"/>
              </w:rPr>
            </w:pPr>
            <w:r w:rsidRPr="003B6E11">
              <w:rPr>
                <w:noProof/>
                <w:sz w:val="18"/>
                <w:lang w:val="cs-CZ"/>
              </w:rPr>
              <w:t>Plány rozvaděčů a dokumentace k elektrickému pohonnému motoru</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p>
        </w:tc>
      </w:tr>
      <w:tr w:rsidR="00E82B25" w:rsidRPr="003B6E11" w:rsidTr="002D015D">
        <w:trPr>
          <w:cantSplit/>
          <w:jc w:val="center"/>
        </w:trPr>
        <w:tc>
          <w:tcPr>
            <w:tcW w:w="1342" w:type="dxa"/>
            <w:vMerge/>
            <w:tcBorders>
              <w:bottom w:val="nil"/>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2 písm. f)</w:t>
            </w:r>
          </w:p>
        </w:tc>
        <w:tc>
          <w:tcPr>
            <w:tcW w:w="3296" w:type="dxa"/>
            <w:shd w:val="clear" w:color="auto" w:fill="auto"/>
          </w:tcPr>
          <w:p w:rsidR="00E82B25" w:rsidRPr="003B6E11" w:rsidRDefault="00E82B25" w:rsidP="002D015D">
            <w:pPr>
              <w:spacing w:before="80" w:after="80" w:line="240" w:lineRule="atLeast"/>
              <w:rPr>
                <w:rFonts w:cs="Arial"/>
                <w:noProof/>
                <w:sz w:val="18"/>
                <w:szCs w:val="18"/>
                <w:lang w:val="cs-CZ"/>
              </w:rPr>
            </w:pPr>
            <w:r w:rsidRPr="003B6E11">
              <w:rPr>
                <w:noProof/>
                <w:sz w:val="18"/>
                <w:lang w:val="cs-CZ"/>
              </w:rPr>
              <w:t>Plány pro elektronické systémy</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2 písm. g)</w:t>
            </w:r>
          </w:p>
        </w:tc>
        <w:tc>
          <w:tcPr>
            <w:tcW w:w="3296" w:type="dxa"/>
            <w:shd w:val="clear" w:color="auto" w:fill="auto"/>
          </w:tcPr>
          <w:p w:rsidR="00E82B25" w:rsidRPr="003B6E11" w:rsidRDefault="00E82B25" w:rsidP="002D015D">
            <w:pPr>
              <w:spacing w:before="80" w:after="80" w:line="240" w:lineRule="atLeast"/>
              <w:rPr>
                <w:rFonts w:cs="Arial"/>
                <w:noProof/>
                <w:sz w:val="18"/>
                <w:szCs w:val="18"/>
                <w:lang w:val="cs-CZ"/>
              </w:rPr>
            </w:pPr>
            <w:r w:rsidRPr="003B6E11">
              <w:rPr>
                <w:noProof/>
                <w:sz w:val="18"/>
                <w:lang w:val="cs-CZ"/>
              </w:rPr>
              <w:t>Plány řídicích obvodů</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80" w:after="80" w:line="240" w:lineRule="atLeast"/>
              <w:rPr>
                <w:rFonts w:cs="Arial"/>
                <w:noProof/>
                <w:sz w:val="18"/>
                <w:szCs w:val="18"/>
                <w:lang w:val="cs-CZ"/>
              </w:rPr>
            </w:pPr>
            <w:r w:rsidRPr="003B6E11">
              <w:rPr>
                <w:noProof/>
                <w:sz w:val="18"/>
                <w:lang w:val="cs-CZ"/>
              </w:rPr>
              <w:t>Okolní teplota uvnitř a na palubě</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r w:rsidRPr="003B6E11">
              <w:rPr>
                <w:sz w:val="18"/>
                <w:lang w:val="cs-CZ"/>
              </w:rPr>
              <w:t>1.1.2010</w:t>
            </w:r>
          </w:p>
        </w:tc>
      </w:tr>
      <w:tr w:rsidR="00E82B25" w:rsidRPr="003B6E11" w:rsidTr="002D015D">
        <w:trPr>
          <w:cantSplit/>
          <w:jc w:val="center"/>
        </w:trPr>
        <w:tc>
          <w:tcPr>
            <w:tcW w:w="1342"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10.02</w:t>
            </w: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Systémy elektrického napájení</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80" w:after="80" w:line="240" w:lineRule="atLeast"/>
              <w:jc w:val="center"/>
              <w:rPr>
                <w:rFonts w:cs="Arial"/>
                <w:sz w:val="18"/>
                <w:szCs w:val="18"/>
                <w:lang w:val="cs-CZ"/>
              </w:rPr>
            </w:pPr>
            <w:r w:rsidRPr="003B6E11">
              <w:rPr>
                <w:sz w:val="18"/>
                <w:lang w:val="cs-CZ"/>
              </w:rPr>
              <w:t>1.1.2010</w:t>
            </w:r>
          </w:p>
        </w:tc>
      </w:tr>
      <w:tr w:rsidR="00E82B25" w:rsidRPr="003B6E11" w:rsidTr="002D015D">
        <w:trPr>
          <w:cantSplit/>
          <w:jc w:val="center"/>
        </w:trPr>
        <w:tc>
          <w:tcPr>
            <w:tcW w:w="1342"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10.03</w:t>
            </w: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Typ ochrany podle místa instalace</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40" w:after="140" w:line="240" w:lineRule="atLeast"/>
              <w:jc w:val="center"/>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10.04</w:t>
            </w: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Ochrana před výbuchem</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40" w:after="140" w:line="240" w:lineRule="atLeast"/>
              <w:jc w:val="center"/>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10.05</w:t>
            </w: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Průřez uzemňovacích vodičů</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40" w:after="140" w:line="240" w:lineRule="atLeast"/>
              <w:jc w:val="center"/>
              <w:rPr>
                <w:rFonts w:cs="Arial"/>
                <w:sz w:val="18"/>
                <w:szCs w:val="18"/>
                <w:lang w:val="cs-CZ"/>
              </w:rPr>
            </w:pPr>
            <w:r w:rsidRPr="003B6E11">
              <w:rPr>
                <w:sz w:val="18"/>
                <w:lang w:val="cs-CZ"/>
              </w:rPr>
              <w:t>1.1.2015</w:t>
            </w: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 xml:space="preserve">10.06 </w:t>
            </w: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1, tabulka</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Třífázový střídavý proud</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40" w:after="140" w:line="240" w:lineRule="atLeast"/>
              <w:jc w:val="center"/>
              <w:rPr>
                <w:rFonts w:cs="Arial"/>
                <w:sz w:val="18"/>
                <w:szCs w:val="18"/>
                <w:lang w:val="cs-CZ"/>
              </w:rPr>
            </w:pP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10.08</w:t>
            </w: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Soulad s evropskými normami EN 15869-1, EN 15869</w:t>
            </w:r>
            <w:r w:rsidRPr="003B6E11">
              <w:rPr>
                <w:lang w:val="cs-CZ"/>
              </w:rPr>
              <w:softHyphen/>
            </w:r>
            <w:r w:rsidRPr="003B6E11">
              <w:rPr>
                <w:sz w:val="18"/>
                <w:lang w:val="cs-CZ"/>
              </w:rPr>
              <w:t>3 a EN 16840</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40" w:after="140" w:line="240" w:lineRule="atLeast"/>
              <w:jc w:val="center"/>
              <w:rPr>
                <w:rFonts w:cs="Arial"/>
                <w:sz w:val="18"/>
                <w:szCs w:val="18"/>
                <w:lang w:val="cs-CZ"/>
              </w:rPr>
            </w:pP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 xml:space="preserve">10.10 </w:t>
            </w: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Montáž transformátorů</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40" w:after="14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Oddělené primární a sekundární vinutí transformátorů</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40" w:after="14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Odbočky u sekundárního vinutí transformátorů</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40" w:after="140" w:line="240" w:lineRule="atLeast"/>
              <w:jc w:val="center"/>
              <w:rPr>
                <w:rFonts w:cs="Arial"/>
                <w:sz w:val="18"/>
                <w:szCs w:val="18"/>
                <w:lang w:val="cs-CZ"/>
              </w:rPr>
            </w:pPr>
          </w:p>
        </w:tc>
      </w:tr>
      <w:tr w:rsidR="00E82B25" w:rsidRPr="003B6E11" w:rsidTr="002D015D">
        <w:trPr>
          <w:cantSplit/>
          <w:jc w:val="center"/>
        </w:trPr>
        <w:tc>
          <w:tcPr>
            <w:tcW w:w="1342" w:type="dxa"/>
            <w:vMerge/>
            <w:tcBorders>
              <w:bottom w:val="single" w:sz="4" w:space="0" w:color="auto"/>
            </w:tcBorders>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5</w:t>
            </w:r>
          </w:p>
        </w:tc>
        <w:tc>
          <w:tcPr>
            <w:tcW w:w="329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 xml:space="preserve"> Tabulka s uvedením výrobce motorů, generátorů a transformátorů a jejich výkonu</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40" w:after="140" w:line="240" w:lineRule="atLeast"/>
              <w:jc w:val="center"/>
              <w:rPr>
                <w:rFonts w:cs="Arial"/>
                <w:sz w:val="18"/>
                <w:szCs w:val="18"/>
                <w:lang w:val="cs-CZ"/>
              </w:rPr>
            </w:pP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10.11 </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Větrání obslužných místností a skříněk na volnou palubu</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7</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Větrání uzavřených místností, skříněk nebo beden, v nichž jsou instalovány akumulátory</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12</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Měření nabíjecích zařízení</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13</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Automatické nabíječky</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14</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Nejvyšší nabíjecí napětí</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15</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Normy EN 62619 a EN 62620 pro lithium-iontové akumulátory</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jc w:val="center"/>
              <w:rPr>
                <w:rFonts w:cs="Arial"/>
                <w:sz w:val="18"/>
                <w:szCs w:val="18"/>
                <w:lang w:val="cs-CZ"/>
              </w:rPr>
            </w:pPr>
          </w:p>
        </w:tc>
      </w:tr>
      <w:tr w:rsidR="00E82B25" w:rsidRPr="003B6E11" w:rsidTr="002D015D">
        <w:trPr>
          <w:cantSplit/>
          <w:jc w:val="center"/>
        </w:trPr>
        <w:tc>
          <w:tcPr>
            <w:tcW w:w="1342" w:type="dxa"/>
            <w:vMerge/>
            <w:tcBorders>
              <w:bottom w:val="single" w:sz="4" w:space="0" w:color="auto"/>
            </w:tcBorders>
            <w:shd w:val="clear" w:color="auto" w:fill="auto"/>
            <w:vAlign w:val="center"/>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vAlign w:val="center"/>
          </w:tcPr>
          <w:p w:rsidR="00E82B25" w:rsidRPr="003B6E11" w:rsidRDefault="00E82B25" w:rsidP="002D015D">
            <w:pPr>
              <w:spacing w:before="160" w:after="160" w:line="240" w:lineRule="atLeast"/>
              <w:rPr>
                <w:rFonts w:cs="Arial"/>
                <w:sz w:val="18"/>
                <w:szCs w:val="18"/>
                <w:lang w:val="cs-CZ"/>
              </w:rPr>
            </w:pPr>
            <w:r w:rsidRPr="003B6E11">
              <w:rPr>
                <w:sz w:val="18"/>
                <w:lang w:val="cs-CZ"/>
              </w:rPr>
              <w:t>odst. 16</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Systém řízení akumulátoru</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60" w:after="160" w:line="240" w:lineRule="atLeast"/>
              <w:jc w:val="center"/>
              <w:rPr>
                <w:rFonts w:cs="Arial"/>
                <w:sz w:val="18"/>
                <w:szCs w:val="18"/>
                <w:lang w:val="cs-CZ"/>
              </w:rPr>
            </w:pP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10.12</w:t>
            </w: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2 písm. d)</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Přímé napájení spotřebičů potřebných k pohonu a ovládání plavidla</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60" w:after="160" w:line="240" w:lineRule="atLeast"/>
              <w:jc w:val="center"/>
              <w:rPr>
                <w:rFonts w:cs="Arial"/>
                <w:sz w:val="18"/>
                <w:szCs w:val="18"/>
                <w:lang w:val="cs-CZ"/>
              </w:rPr>
            </w:pPr>
            <w:r w:rsidRPr="003B6E11">
              <w:rPr>
                <w:sz w:val="18"/>
                <w:lang w:val="cs-CZ"/>
              </w:rPr>
              <w:t>1.1.2015</w:t>
            </w:r>
          </w:p>
        </w:tc>
      </w:tr>
      <w:tr w:rsidR="00E82B25" w:rsidRPr="003B6E11" w:rsidTr="002D015D">
        <w:trPr>
          <w:cantSplit/>
          <w:jc w:val="center"/>
        </w:trPr>
        <w:tc>
          <w:tcPr>
            <w:tcW w:w="1342" w:type="dxa"/>
            <w:vMerge/>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3 písm. b)</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Zařízení pro monitorování izolace</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60" w:after="160" w:line="240" w:lineRule="atLeast"/>
              <w:jc w:val="center"/>
              <w:rPr>
                <w:rFonts w:cs="Arial"/>
                <w:sz w:val="18"/>
                <w:szCs w:val="18"/>
                <w:lang w:val="cs-CZ"/>
              </w:rPr>
            </w:pPr>
            <w:r w:rsidRPr="003B6E11">
              <w:rPr>
                <w:sz w:val="18"/>
                <w:lang w:val="cs-CZ"/>
              </w:rPr>
              <w:t>1.1.2010</w:t>
            </w: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10.13</w:t>
            </w: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Nouzové jističe</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60" w:after="160" w:line="240" w:lineRule="atLeast"/>
              <w:jc w:val="center"/>
              <w:rPr>
                <w:rFonts w:cs="Arial"/>
                <w:sz w:val="18"/>
                <w:szCs w:val="18"/>
                <w:lang w:val="cs-CZ"/>
              </w:rPr>
            </w:pPr>
            <w:r w:rsidRPr="003B6E11">
              <w:rPr>
                <w:sz w:val="18"/>
                <w:lang w:val="cs-CZ"/>
              </w:rPr>
              <w:t>1.1.2010</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 xml:space="preserve">10.14 </w:t>
            </w: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3 druhá věta</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Zákaz jednopólových spínačů v umývárnách, koupelnách a jiných vlhkých místnostech</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60" w:after="160" w:line="240" w:lineRule="atLeast"/>
              <w:jc w:val="center"/>
              <w:rPr>
                <w:rFonts w:cs="Arial"/>
                <w:sz w:val="18"/>
                <w:szCs w:val="18"/>
                <w:lang w:val="cs-CZ"/>
              </w:rPr>
            </w:pPr>
            <w:r w:rsidRPr="003B6E11">
              <w:rPr>
                <w:sz w:val="18"/>
                <w:lang w:val="cs-CZ"/>
              </w:rPr>
              <w:t>1.1.2010</w:t>
            </w: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 xml:space="preserve">10.15 </w:t>
            </w: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Minimální průřez 1,5 mm</w:t>
            </w:r>
            <w:r w:rsidRPr="003B6E11">
              <w:rPr>
                <w:sz w:val="18"/>
                <w:vertAlign w:val="superscript"/>
                <w:lang w:val="cs-CZ"/>
              </w:rPr>
              <w:t>2</w:t>
            </w:r>
            <w:r w:rsidRPr="003B6E11">
              <w:rPr>
                <w:sz w:val="18"/>
                <w:lang w:val="cs-CZ"/>
              </w:rPr>
              <w:t xml:space="preserve"> na vodič</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spacing w:before="160" w:after="16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10</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Kabely připojené k výškově nastavitelným kormidelnám</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 xml:space="preserve">N.V.P., nejpozději při obnovení osvědčení plavidla vnitrozemské plavby </w:t>
            </w:r>
          </w:p>
        </w:tc>
        <w:tc>
          <w:tcPr>
            <w:tcW w:w="1276" w:type="dxa"/>
            <w:shd w:val="clear" w:color="auto" w:fill="auto"/>
          </w:tcPr>
          <w:p w:rsidR="00E82B25" w:rsidRPr="003B6E11" w:rsidRDefault="00E82B25" w:rsidP="002D015D">
            <w:pPr>
              <w:spacing w:before="160" w:after="16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11</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Kabelové průchodky</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60" w:after="16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12</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Kabely z nouzového zdroje elektrické energie do elektrických spotřebičů</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60" w:after="16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13</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Kabely v prostorech s vysokými teplotami</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60" w:after="16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60" w:after="160" w:line="240" w:lineRule="atLeast"/>
              <w:rPr>
                <w:rFonts w:cs="Arial"/>
                <w:sz w:val="18"/>
                <w:szCs w:val="18"/>
                <w:lang w:val="cs-CZ"/>
              </w:rPr>
            </w:pPr>
          </w:p>
        </w:tc>
        <w:tc>
          <w:tcPr>
            <w:tcW w:w="1458"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odst. 14</w:t>
            </w:r>
          </w:p>
        </w:tc>
        <w:tc>
          <w:tcPr>
            <w:tcW w:w="3296"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Montáž hlavních a nouzových napájecích kabelů</w:t>
            </w:r>
          </w:p>
        </w:tc>
        <w:tc>
          <w:tcPr>
            <w:tcW w:w="6521" w:type="dxa"/>
            <w:shd w:val="clear" w:color="auto" w:fill="auto"/>
          </w:tcPr>
          <w:p w:rsidR="00E82B25" w:rsidRPr="003B6E11" w:rsidRDefault="00E82B25" w:rsidP="002D015D">
            <w:pPr>
              <w:spacing w:before="160" w:after="1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60" w:after="160" w:line="240" w:lineRule="atLeast"/>
              <w:jc w:val="center"/>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 xml:space="preserve">10.16 </w:t>
            </w:r>
          </w:p>
        </w:tc>
        <w:tc>
          <w:tcPr>
            <w:tcW w:w="1458"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odst. 3 druhá věta</w:t>
            </w:r>
          </w:p>
        </w:tc>
        <w:tc>
          <w:tcPr>
            <w:tcW w:w="3296"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Druhý obvod</w:t>
            </w:r>
          </w:p>
        </w:tc>
        <w:tc>
          <w:tcPr>
            <w:tcW w:w="6521"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00" w:after="80" w:line="240" w:lineRule="atLeast"/>
              <w:jc w:val="center"/>
              <w:rPr>
                <w:rFonts w:cs="Arial"/>
                <w:sz w:val="18"/>
                <w:szCs w:val="18"/>
                <w:lang w:val="cs-CZ"/>
              </w:rPr>
            </w:pPr>
            <w:r w:rsidRPr="003B6E11">
              <w:rPr>
                <w:sz w:val="18"/>
                <w:lang w:val="cs-CZ"/>
              </w:rPr>
              <w:t>1.1.2015</w:t>
            </w: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 xml:space="preserve">10.18 </w:t>
            </w:r>
          </w:p>
        </w:tc>
        <w:tc>
          <w:tcPr>
            <w:tcW w:w="1458"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Zařízení pro odpojení od sítě</w:t>
            </w:r>
          </w:p>
        </w:tc>
        <w:tc>
          <w:tcPr>
            <w:tcW w:w="6521"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8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0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Přístupnost</w:t>
            </w:r>
          </w:p>
        </w:tc>
        <w:tc>
          <w:tcPr>
            <w:tcW w:w="6521"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8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0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Galvanické oddělení řídicích a silových obvodů</w:t>
            </w:r>
          </w:p>
        </w:tc>
        <w:tc>
          <w:tcPr>
            <w:tcW w:w="6521"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8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0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Provoz při kolísání napětí a kmitočtu</w:t>
            </w:r>
          </w:p>
        </w:tc>
        <w:tc>
          <w:tcPr>
            <w:tcW w:w="6521"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8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0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odst. 5</w:t>
            </w:r>
          </w:p>
        </w:tc>
        <w:tc>
          <w:tcPr>
            <w:tcW w:w="3296"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Pokles náboje při odpojení od sítě</w:t>
            </w:r>
          </w:p>
        </w:tc>
        <w:tc>
          <w:tcPr>
            <w:tcW w:w="6521"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8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0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odst. 6</w:t>
            </w:r>
          </w:p>
        </w:tc>
        <w:tc>
          <w:tcPr>
            <w:tcW w:w="3296"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Odezva při chybné funkci externích řídicích signálů</w:t>
            </w:r>
          </w:p>
        </w:tc>
        <w:tc>
          <w:tcPr>
            <w:tcW w:w="6521"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8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0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odst. 7</w:t>
            </w:r>
          </w:p>
        </w:tc>
        <w:tc>
          <w:tcPr>
            <w:tcW w:w="3296"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Odezva při selhání řídicích napětí</w:t>
            </w:r>
          </w:p>
        </w:tc>
        <w:tc>
          <w:tcPr>
            <w:tcW w:w="6521"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8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0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odst. 8</w:t>
            </w:r>
          </w:p>
        </w:tc>
        <w:tc>
          <w:tcPr>
            <w:tcW w:w="3296"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Odhalování chyb a prevence neodhalených chyb</w:t>
            </w:r>
          </w:p>
        </w:tc>
        <w:tc>
          <w:tcPr>
            <w:tcW w:w="6521"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8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0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odst. 9</w:t>
            </w:r>
          </w:p>
        </w:tc>
        <w:tc>
          <w:tcPr>
            <w:tcW w:w="3296"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Monitorování</w:t>
            </w:r>
          </w:p>
        </w:tc>
        <w:tc>
          <w:tcPr>
            <w:tcW w:w="6521" w:type="dxa"/>
            <w:shd w:val="clear" w:color="auto" w:fill="auto"/>
          </w:tcPr>
          <w:p w:rsidR="00E82B25" w:rsidRPr="003B6E11" w:rsidRDefault="00E82B25" w:rsidP="002D015D">
            <w:pPr>
              <w:spacing w:before="10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80" w:line="240" w:lineRule="atLeast"/>
              <w:jc w:val="center"/>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14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40" w:after="120" w:line="240" w:lineRule="atLeast"/>
              <w:rPr>
                <w:rFonts w:cs="Arial"/>
                <w:sz w:val="18"/>
                <w:szCs w:val="18"/>
                <w:lang w:val="cs-CZ"/>
              </w:rPr>
            </w:pPr>
            <w:r w:rsidRPr="003B6E11">
              <w:rPr>
                <w:sz w:val="18"/>
                <w:lang w:val="cs-CZ"/>
              </w:rPr>
              <w:t>odst. 10</w:t>
            </w:r>
          </w:p>
        </w:tc>
        <w:tc>
          <w:tcPr>
            <w:tcW w:w="3296" w:type="dxa"/>
            <w:shd w:val="clear" w:color="auto" w:fill="auto"/>
          </w:tcPr>
          <w:p w:rsidR="00E82B25" w:rsidRPr="003B6E11" w:rsidRDefault="00E82B25" w:rsidP="002D015D">
            <w:pPr>
              <w:spacing w:before="140" w:after="120" w:line="240" w:lineRule="atLeast"/>
              <w:rPr>
                <w:rFonts w:cs="Arial"/>
                <w:sz w:val="18"/>
                <w:szCs w:val="18"/>
                <w:lang w:val="cs-CZ"/>
              </w:rPr>
            </w:pPr>
            <w:r w:rsidRPr="003B6E11">
              <w:rPr>
                <w:sz w:val="18"/>
                <w:lang w:val="cs-CZ"/>
              </w:rPr>
              <w:t>Přezkoušení typu</w:t>
            </w:r>
          </w:p>
        </w:tc>
        <w:tc>
          <w:tcPr>
            <w:tcW w:w="6521" w:type="dxa"/>
            <w:shd w:val="clear" w:color="auto" w:fill="auto"/>
          </w:tcPr>
          <w:p w:rsidR="00E82B25" w:rsidRPr="003B6E11" w:rsidRDefault="00E82B25" w:rsidP="002D015D">
            <w:pPr>
              <w:spacing w:before="140" w:after="12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40" w:after="120" w:line="240" w:lineRule="atLeast"/>
              <w:jc w:val="center"/>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10.19</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 xml:space="preserve">Výstražné a bezpečnostní systémy pro mechanická zařízení </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00" w:after="100" w:line="240" w:lineRule="atLeast"/>
              <w:jc w:val="center"/>
              <w:rPr>
                <w:rFonts w:cs="Arial"/>
                <w:sz w:val="18"/>
                <w:szCs w:val="18"/>
                <w:lang w:val="cs-CZ"/>
              </w:rPr>
            </w:pPr>
            <w:r w:rsidRPr="003B6E11">
              <w:rPr>
                <w:sz w:val="18"/>
                <w:lang w:val="cs-CZ"/>
              </w:rPr>
              <w:t>1.1.2015</w:t>
            </w: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10.20</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Zkušební podmínky pro elektronická zařízení</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 xml:space="preserve">N.V.P., nejpozději při obnovení osvědčení plavidla vnitrozemské plavby po </w:t>
            </w:r>
          </w:p>
        </w:tc>
        <w:tc>
          <w:tcPr>
            <w:tcW w:w="1276" w:type="dxa"/>
            <w:shd w:val="clear" w:color="auto" w:fill="auto"/>
          </w:tcPr>
          <w:p w:rsidR="00E82B25" w:rsidRPr="003B6E11" w:rsidRDefault="00E82B25" w:rsidP="002D015D">
            <w:pPr>
              <w:spacing w:before="100" w:after="100" w:line="240" w:lineRule="atLeast"/>
              <w:jc w:val="center"/>
              <w:rPr>
                <w:rFonts w:cs="Arial"/>
                <w:sz w:val="18"/>
                <w:szCs w:val="18"/>
                <w:lang w:val="cs-CZ"/>
              </w:rPr>
            </w:pPr>
            <w:r w:rsidRPr="003B6E11">
              <w:rPr>
                <w:sz w:val="18"/>
                <w:lang w:val="cs-CZ"/>
              </w:rPr>
              <w:t>1.1.2035</w:t>
            </w: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10.21</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Elektromagnetická kompatibilita</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jc w:val="center"/>
              <w:rPr>
                <w:rFonts w:cs="Arial"/>
                <w:sz w:val="18"/>
                <w:szCs w:val="18"/>
                <w:lang w:val="cs-CZ"/>
              </w:rPr>
            </w:pPr>
            <w:r w:rsidRPr="003B6E11">
              <w:rPr>
                <w:sz w:val="18"/>
                <w:lang w:val="cs-CZ"/>
              </w:rPr>
              <w:t>1.1.2035</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00" w:after="100" w:line="240" w:lineRule="atLeast"/>
              <w:jc w:val="center"/>
              <w:rPr>
                <w:rFonts w:cs="Arial"/>
                <w:sz w:val="18"/>
                <w:szCs w:val="18"/>
                <w:lang w:val="cs-CZ"/>
              </w:rPr>
            </w:pPr>
            <w:r w:rsidRPr="003B6E11">
              <w:rPr>
                <w:b/>
                <w:sz w:val="18"/>
                <w:lang w:val="cs-CZ"/>
              </w:rPr>
              <w:t>KAPITOLA 13</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13.01</w:t>
            </w:r>
          </w:p>
        </w:tc>
        <w:tc>
          <w:tcPr>
            <w:tcW w:w="1458" w:type="dxa"/>
            <w:tcBorders>
              <w:bottom w:val="single" w:sz="4" w:space="0" w:color="auto"/>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3296" w:type="dxa"/>
            <w:tcBorders>
              <w:bottom w:val="single" w:sz="4" w:space="0" w:color="auto"/>
            </w:tcBorders>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Kotevní zařízení</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13.02</w:t>
            </w:r>
          </w:p>
        </w:tc>
        <w:tc>
          <w:tcPr>
            <w:tcW w:w="1458" w:type="dxa"/>
            <w:vMerge w:val="restart"/>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3 písm. a)</w:t>
            </w:r>
          </w:p>
        </w:tc>
        <w:tc>
          <w:tcPr>
            <w:tcW w:w="3296" w:type="dxa"/>
            <w:vMerge w:val="restart"/>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Osvědčení pro uvazovací a jiná lana</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První lano, které se na plavidlu vyměňuje: N.V.P., nejpozději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tcBorders>
              <w:top w:val="nil"/>
              <w:bottom w:val="single" w:sz="4" w:space="0" w:color="auto"/>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100" w:after="100" w:line="240" w:lineRule="atLeast"/>
              <w:rPr>
                <w:rFonts w:cs="Arial"/>
                <w:sz w:val="18"/>
                <w:szCs w:val="18"/>
                <w:lang w:val="cs-CZ"/>
              </w:rPr>
            </w:pPr>
          </w:p>
        </w:tc>
        <w:tc>
          <w:tcPr>
            <w:tcW w:w="3296" w:type="dxa"/>
            <w:vMerge/>
            <w:shd w:val="clear" w:color="auto" w:fill="auto"/>
          </w:tcPr>
          <w:p w:rsidR="00E82B25" w:rsidRPr="003B6E11" w:rsidRDefault="00E82B25" w:rsidP="002D015D">
            <w:pPr>
              <w:spacing w:before="100" w:after="100" w:line="240" w:lineRule="atLeast"/>
              <w:rPr>
                <w:rFonts w:cs="Arial"/>
                <w:sz w:val="18"/>
                <w:szCs w:val="18"/>
                <w:lang w:val="cs-CZ"/>
              </w:rPr>
            </w:pP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Druhé a třetí lano, které se na plavidlu vyměňuje: N.V.P., nejpozději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30.12.2029</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13.03</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Evropská norma</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Vhodnost pro požáry třídy A, B a C</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Vztah mezi obsahem CO</w:t>
            </w:r>
            <w:r w:rsidRPr="003B6E11">
              <w:rPr>
                <w:noProof/>
                <w:sz w:val="18"/>
                <w:vertAlign w:val="subscript"/>
                <w:lang w:val="cs-CZ"/>
              </w:rPr>
              <w:t>2</w:t>
            </w:r>
            <w:r w:rsidRPr="003B6E11">
              <w:rPr>
                <w:noProof/>
                <w:sz w:val="18"/>
                <w:lang w:val="cs-CZ"/>
              </w:rPr>
              <w:t xml:space="preserve"> a velikostí prostoru</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13.04</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Zabudované hasicí systémy v obytných prostorech, kormidelnách a místnostech pro cestující</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13.05</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Zabudované hasicí systémy ve strojovnách, kotelnách a strojovnách čerpadel</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Hasicí systémy na bázi CO</w:t>
            </w:r>
            <w:r w:rsidRPr="003B6E11">
              <w:rPr>
                <w:noProof/>
                <w:sz w:val="18"/>
                <w:vertAlign w:val="subscript"/>
                <w:lang w:val="cs-CZ"/>
              </w:rPr>
              <w:t>2</w:t>
            </w:r>
            <w:r w:rsidRPr="003B6E11">
              <w:rPr>
                <w:noProof/>
                <w:sz w:val="18"/>
                <w:lang w:val="cs-CZ"/>
              </w:rPr>
              <w:t xml:space="preserve"> napevno namontované před 1. říjnem 1985, pokud splňují požadavky článku 16.03 této normy, lze používat až do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13.07</w:t>
            </w:r>
          </w:p>
        </w:tc>
        <w:tc>
          <w:tcPr>
            <w:tcW w:w="1458" w:type="dxa"/>
            <w:tcBorders>
              <w:bottom w:val="single" w:sz="4" w:space="0" w:color="auto"/>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3296" w:type="dxa"/>
            <w:tcBorders>
              <w:bottom w:val="single" w:sz="4" w:space="0" w:color="auto"/>
            </w:tcBorders>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Použití evropské normy na lodní člun</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30.12.2029</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13.08</w:t>
            </w:r>
          </w:p>
        </w:tc>
        <w:tc>
          <w:tcPr>
            <w:tcW w:w="1458" w:type="dxa"/>
            <w:vMerge w:val="restart"/>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odst. 2</w:t>
            </w:r>
          </w:p>
        </w:tc>
        <w:tc>
          <w:tcPr>
            <w:tcW w:w="3296" w:type="dxa"/>
            <w:vMerge w:val="restart"/>
            <w:shd w:val="clear" w:color="auto" w:fill="auto"/>
          </w:tcPr>
          <w:p w:rsidR="00E82B25" w:rsidRPr="003B6E11" w:rsidRDefault="00E82B25" w:rsidP="002D015D">
            <w:pPr>
              <w:spacing w:before="140" w:after="140" w:line="240" w:lineRule="atLeast"/>
              <w:rPr>
                <w:rFonts w:cs="Arial"/>
                <w:sz w:val="18"/>
                <w:szCs w:val="18"/>
                <w:lang w:val="cs-CZ"/>
              </w:rPr>
            </w:pPr>
            <w:r w:rsidRPr="003B6E11">
              <w:rPr>
                <w:noProof/>
                <w:sz w:val="18"/>
                <w:lang w:val="cs-CZ"/>
              </w:rPr>
              <w:t>Nafukovací záchranné vesty</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140" w:after="14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140" w:after="140" w:line="240" w:lineRule="atLeast"/>
              <w:rPr>
                <w:rFonts w:cs="Arial"/>
                <w:sz w:val="18"/>
                <w:szCs w:val="18"/>
                <w:lang w:val="cs-CZ"/>
              </w:rPr>
            </w:pPr>
          </w:p>
        </w:tc>
        <w:tc>
          <w:tcPr>
            <w:tcW w:w="3296" w:type="dxa"/>
            <w:vMerge/>
            <w:shd w:val="clear" w:color="auto" w:fill="auto"/>
          </w:tcPr>
          <w:p w:rsidR="00E82B25" w:rsidRPr="003B6E11" w:rsidRDefault="00E82B25" w:rsidP="002D015D">
            <w:pPr>
              <w:spacing w:before="140" w:after="140" w:line="240" w:lineRule="atLeast"/>
              <w:rPr>
                <w:rFonts w:cs="Arial"/>
                <w:sz w:val="18"/>
                <w:szCs w:val="18"/>
                <w:lang w:val="cs-CZ"/>
              </w:rPr>
            </w:pP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Záchranné vesty, které byly na plavidle ke dni 29.12.2008, lze používat do obnovení osvědčení plavidla vnitrozemské plavby po</w:t>
            </w: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40" w:after="140" w:line="240" w:lineRule="atLeast"/>
              <w:jc w:val="center"/>
              <w:rPr>
                <w:rFonts w:cs="Arial"/>
                <w:sz w:val="18"/>
                <w:szCs w:val="18"/>
                <w:lang w:val="cs-CZ"/>
              </w:rPr>
            </w:pPr>
            <w:r w:rsidRPr="003B6E11">
              <w:rPr>
                <w:b/>
                <w:sz w:val="18"/>
                <w:lang w:val="cs-CZ"/>
              </w:rPr>
              <w:t>KAPITOLA 14</w:t>
            </w:r>
          </w:p>
        </w:tc>
        <w:tc>
          <w:tcPr>
            <w:tcW w:w="6521" w:type="dxa"/>
            <w:shd w:val="clear" w:color="auto" w:fill="auto"/>
          </w:tcPr>
          <w:p w:rsidR="00E82B25" w:rsidRPr="003B6E11" w:rsidRDefault="00E82B25" w:rsidP="002D015D">
            <w:pPr>
              <w:spacing w:before="140" w:after="140" w:line="240" w:lineRule="atLeast"/>
              <w:rPr>
                <w:rFonts w:cs="Arial"/>
                <w:sz w:val="18"/>
                <w:szCs w:val="18"/>
                <w:lang w:val="cs-CZ"/>
              </w:rPr>
            </w:pPr>
          </w:p>
        </w:tc>
        <w:tc>
          <w:tcPr>
            <w:tcW w:w="1276" w:type="dxa"/>
            <w:shd w:val="clear" w:color="auto" w:fill="auto"/>
          </w:tcPr>
          <w:p w:rsidR="00E82B25" w:rsidRPr="003B6E11" w:rsidRDefault="00E82B25" w:rsidP="002D015D">
            <w:pPr>
              <w:spacing w:before="140" w:after="140" w:line="240" w:lineRule="atLeast"/>
              <w:rPr>
                <w:rFonts w:cs="Arial"/>
                <w:sz w:val="18"/>
                <w:szCs w:val="18"/>
                <w:lang w:val="cs-CZ"/>
              </w:rPr>
            </w:pP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14.02</w:t>
            </w: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noProof/>
                <w:sz w:val="18"/>
                <w:lang w:val="cs-CZ"/>
              </w:rPr>
              <w:t>Zařízení na vnějších okrajích palub, bočních palub a jiných pracovišť</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w:t>
            </w:r>
            <w:r w:rsidRPr="003B6E11">
              <w:rPr>
                <w:rStyle w:val="FootnoteReference"/>
                <w:sz w:val="18"/>
                <w:lang w:val="cs-CZ"/>
              </w:rPr>
              <w:t xml:space="preserve"> </w:t>
            </w:r>
            <w:r w:rsidRPr="003B6E11">
              <w:rPr>
                <w:rStyle w:val="FootnoteReference"/>
                <w:sz w:val="18"/>
                <w:lang w:val="cs-CZ"/>
              </w:rPr>
              <w:footnoteReference w:id="46"/>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14.04</w:t>
            </w: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noProof/>
                <w:sz w:val="18"/>
                <w:lang w:val="cs-CZ"/>
              </w:rPr>
              <w:t>Světlá šířka boční paluby</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 xml:space="preserve">U lodí s </w:t>
            </w:r>
            <m:oMath>
              <m:r>
                <w:rPr>
                  <w:rFonts w:ascii="Cambria Math" w:hAnsi="Cambria Math" w:cs="Arial"/>
                  <w:sz w:val="18"/>
                  <w:szCs w:val="18"/>
                  <w:lang w:val="cs-CZ"/>
                </w:rPr>
                <m:t>B &gt; 7,30 m</m:t>
              </m:r>
            </m:oMath>
            <w:r w:rsidRPr="003B6E11">
              <w:rPr>
                <w:sz w:val="18"/>
                <w:lang w:val="cs-CZ"/>
              </w:rPr>
              <w:t xml:space="preserve"> 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1.1.2035</w:t>
            </w:r>
            <w:r w:rsidRPr="003B6E11">
              <w:rPr>
                <w:sz w:val="18"/>
                <w:vertAlign w:val="superscript"/>
                <w:lang w:val="cs-CZ"/>
              </w:rPr>
              <w:footnoteReference w:id="47"/>
            </w:r>
          </w:p>
        </w:tc>
      </w:tr>
      <w:tr w:rsidR="00E82B25" w:rsidRPr="003B6E11" w:rsidTr="002D015D">
        <w:trPr>
          <w:cantSplit/>
          <w:jc w:val="center"/>
        </w:trPr>
        <w:tc>
          <w:tcPr>
            <w:tcW w:w="1342" w:type="dxa"/>
            <w:tcBorders>
              <w:top w:val="nil"/>
              <w:bottom w:val="single" w:sz="4" w:space="0" w:color="auto"/>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noProof/>
                <w:sz w:val="18"/>
                <w:lang w:val="cs-CZ"/>
              </w:rPr>
              <w:t>Zábradlí na bočních palubách</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14.05</w:t>
            </w: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noProof/>
                <w:sz w:val="18"/>
                <w:lang w:val="cs-CZ"/>
              </w:rPr>
              <w:t>Přístup na pracoviště</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2 a 3</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noProof/>
                <w:sz w:val="18"/>
                <w:lang w:val="cs-CZ"/>
              </w:rPr>
              <w:t>Dveře, vchody, východy a průchody s rozdílem ve výšce podlah více než 0,50 m</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80" w:after="80" w:line="240" w:lineRule="atLeast"/>
              <w:rPr>
                <w:rFonts w:cs="Arial"/>
                <w:sz w:val="18"/>
                <w:szCs w:val="18"/>
                <w:lang w:val="cs-CZ"/>
              </w:rPr>
            </w:pP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noProof/>
                <w:sz w:val="18"/>
                <w:lang w:val="cs-CZ"/>
              </w:rPr>
              <w:t>Schody na pracovištích, která jsou trvale obsazena</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14.06</w:t>
            </w:r>
          </w:p>
        </w:tc>
        <w:tc>
          <w:tcPr>
            <w:tcW w:w="1458"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noProof/>
                <w:sz w:val="18"/>
                <w:lang w:val="cs-CZ"/>
              </w:rPr>
              <w:t>Východy a nouzové východy</w:t>
            </w:r>
          </w:p>
        </w:tc>
        <w:tc>
          <w:tcPr>
            <w:tcW w:w="6521"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80" w:after="8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14.07</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 druhá věta</w:t>
            </w:r>
          </w:p>
        </w:tc>
        <w:tc>
          <w:tcPr>
            <w:tcW w:w="3296" w:type="dxa"/>
            <w:vMerge w:val="restart"/>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Žebříky, stupadla a podobná zařízení</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2 a 3</w:t>
            </w:r>
          </w:p>
        </w:tc>
        <w:tc>
          <w:tcPr>
            <w:tcW w:w="3296" w:type="dxa"/>
            <w:vMerge/>
            <w:shd w:val="clear" w:color="auto" w:fill="auto"/>
          </w:tcPr>
          <w:p w:rsidR="00E82B25" w:rsidRPr="003B6E11" w:rsidRDefault="00E82B25" w:rsidP="002D015D">
            <w:pPr>
              <w:spacing w:before="120" w:after="120" w:line="240" w:lineRule="atLeast"/>
              <w:rPr>
                <w:rFonts w:cs="Arial"/>
                <w:sz w:val="18"/>
                <w:szCs w:val="18"/>
                <w:lang w:val="cs-CZ"/>
              </w:rPr>
            </w:pP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14.10</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Kryty jícnů</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14.11</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Navijáky</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30.12.2024</w:t>
            </w:r>
          </w:p>
        </w:tc>
      </w:tr>
      <w:tr w:rsidR="00E82B25" w:rsidRPr="003B6E11" w:rsidTr="002D015D">
        <w:trPr>
          <w:cantSplit/>
          <w:jc w:val="center"/>
        </w:trPr>
        <w:tc>
          <w:tcPr>
            <w:tcW w:w="1342"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14.12</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2 až 6 a 8 až 10</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Jeřáby: Štítek výrobce, nejvyšší přípustná zatížení, ochranná zařízení, důkaz provedený výpočtem, odborná prohlídka, lodní dokumentace</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30.12.2029</w:t>
            </w:r>
          </w:p>
        </w:tc>
      </w:tr>
      <w:tr w:rsidR="00E82B25" w:rsidRPr="003B6E11" w:rsidTr="002D015D">
        <w:trPr>
          <w:cantSplit/>
          <w:jc w:val="center"/>
        </w:trPr>
        <w:tc>
          <w:tcPr>
            <w:tcW w:w="1342"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14.13</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Skladování hořlavých kapalin</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20" w:after="120" w:line="240" w:lineRule="atLeast"/>
              <w:jc w:val="center"/>
              <w:rPr>
                <w:rFonts w:cs="Arial"/>
                <w:sz w:val="18"/>
                <w:szCs w:val="18"/>
                <w:lang w:val="cs-CZ"/>
              </w:rPr>
            </w:pPr>
            <w:r w:rsidRPr="003B6E11">
              <w:rPr>
                <w:b/>
                <w:sz w:val="18"/>
                <w:lang w:val="cs-CZ"/>
              </w:rPr>
              <w:t>KAPITOLA 15</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p>
        </w:tc>
      </w:tr>
      <w:tr w:rsidR="00E82B25" w:rsidRPr="003B6E11" w:rsidTr="002D015D">
        <w:trPr>
          <w:cantSplit/>
          <w:jc w:val="center"/>
        </w:trPr>
        <w:tc>
          <w:tcPr>
            <w:tcW w:w="1342" w:type="dxa"/>
            <w:tcBorders>
              <w:bottom w:val="single" w:sz="4" w:space="0" w:color="auto"/>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15.01</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Obytné prostory pro osoby, které se obvykle nacházejí na plavidle</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15.02</w:t>
            </w: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Umístění podlah</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4</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Společenské místnosti a spací kajuty</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20" w:after="120" w:line="240" w:lineRule="atLeast"/>
              <w:rPr>
                <w:rFonts w:cs="Arial"/>
                <w:sz w:val="18"/>
                <w:szCs w:val="18"/>
                <w:lang w:val="cs-CZ"/>
              </w:rPr>
            </w:pPr>
          </w:p>
        </w:tc>
        <w:tc>
          <w:tcPr>
            <w:tcW w:w="1458"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odst. 5</w:t>
            </w:r>
          </w:p>
        </w:tc>
        <w:tc>
          <w:tcPr>
            <w:tcW w:w="329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noProof/>
                <w:sz w:val="18"/>
                <w:lang w:val="cs-CZ"/>
              </w:rPr>
              <w:t>Hluk a vibrace v obytných prostorech</w:t>
            </w:r>
          </w:p>
        </w:tc>
        <w:tc>
          <w:tcPr>
            <w:tcW w:w="6521"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20" w:after="120" w:line="240" w:lineRule="atLeast"/>
              <w:rPr>
                <w:rFonts w:cs="Arial"/>
                <w:sz w:val="18"/>
                <w:szCs w:val="18"/>
                <w:lang w:val="cs-CZ"/>
              </w:rPr>
            </w:pPr>
            <w:r w:rsidRPr="003B6E11">
              <w:rPr>
                <w:sz w:val="18"/>
                <w:lang w:val="cs-CZ"/>
              </w:rPr>
              <w:t>30.12.2029</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200" w:line="240" w:lineRule="atLeast"/>
              <w:rPr>
                <w:rFonts w:cs="Arial"/>
                <w:sz w:val="18"/>
                <w:szCs w:val="18"/>
                <w:lang w:val="cs-CZ"/>
              </w:rPr>
            </w:pPr>
          </w:p>
        </w:tc>
        <w:tc>
          <w:tcPr>
            <w:tcW w:w="1458"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odst. 6</w:t>
            </w:r>
          </w:p>
        </w:tc>
        <w:tc>
          <w:tcPr>
            <w:tcW w:w="3296" w:type="dxa"/>
            <w:shd w:val="clear" w:color="auto" w:fill="auto"/>
          </w:tcPr>
          <w:p w:rsidR="00E82B25" w:rsidRPr="003B6E11" w:rsidRDefault="00E82B25" w:rsidP="002D015D">
            <w:pPr>
              <w:spacing w:before="200" w:line="240" w:lineRule="atLeast"/>
              <w:rPr>
                <w:rFonts w:cs="Arial"/>
                <w:sz w:val="18"/>
                <w:szCs w:val="18"/>
                <w:lang w:val="cs-CZ"/>
              </w:rPr>
            </w:pPr>
            <w:r w:rsidRPr="003B6E11">
              <w:rPr>
                <w:noProof/>
                <w:sz w:val="18"/>
                <w:lang w:val="cs-CZ"/>
              </w:rPr>
              <w:t>Světlá výška v obytných prostorech</w:t>
            </w:r>
          </w:p>
        </w:tc>
        <w:tc>
          <w:tcPr>
            <w:tcW w:w="6521"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200" w:line="240" w:lineRule="atLeast"/>
              <w:rPr>
                <w:rFonts w:cs="Arial"/>
                <w:sz w:val="18"/>
                <w:szCs w:val="18"/>
                <w:lang w:val="cs-CZ"/>
              </w:rPr>
            </w:pPr>
          </w:p>
        </w:tc>
        <w:tc>
          <w:tcPr>
            <w:tcW w:w="1458"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odst. 8</w:t>
            </w:r>
          </w:p>
        </w:tc>
        <w:tc>
          <w:tcPr>
            <w:tcW w:w="3296" w:type="dxa"/>
            <w:shd w:val="clear" w:color="auto" w:fill="auto"/>
          </w:tcPr>
          <w:p w:rsidR="00E82B25" w:rsidRPr="003B6E11" w:rsidRDefault="00E82B25" w:rsidP="002D015D">
            <w:pPr>
              <w:spacing w:before="200" w:line="240" w:lineRule="atLeast"/>
              <w:rPr>
                <w:rFonts w:cs="Arial"/>
                <w:sz w:val="18"/>
                <w:szCs w:val="18"/>
                <w:lang w:val="cs-CZ"/>
              </w:rPr>
            </w:pPr>
            <w:r w:rsidRPr="003B6E11">
              <w:rPr>
                <w:noProof/>
                <w:sz w:val="18"/>
                <w:lang w:val="cs-CZ"/>
              </w:rPr>
              <w:t>Volná podlahová plocha společenských místností</w:t>
            </w:r>
          </w:p>
        </w:tc>
        <w:tc>
          <w:tcPr>
            <w:tcW w:w="6521"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200" w:line="240" w:lineRule="atLeast"/>
              <w:rPr>
                <w:rFonts w:cs="Arial"/>
                <w:sz w:val="18"/>
                <w:szCs w:val="18"/>
                <w:lang w:val="cs-CZ"/>
              </w:rPr>
            </w:pPr>
          </w:p>
        </w:tc>
        <w:tc>
          <w:tcPr>
            <w:tcW w:w="1458"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odst. 9</w:t>
            </w:r>
          </w:p>
        </w:tc>
        <w:tc>
          <w:tcPr>
            <w:tcW w:w="3296" w:type="dxa"/>
            <w:shd w:val="clear" w:color="auto" w:fill="auto"/>
          </w:tcPr>
          <w:p w:rsidR="00E82B25" w:rsidRPr="003B6E11" w:rsidRDefault="00E82B25" w:rsidP="002D015D">
            <w:pPr>
              <w:spacing w:before="200" w:line="240" w:lineRule="atLeast"/>
              <w:rPr>
                <w:rFonts w:cs="Arial"/>
                <w:sz w:val="18"/>
                <w:szCs w:val="18"/>
                <w:lang w:val="cs-CZ"/>
              </w:rPr>
            </w:pPr>
            <w:r w:rsidRPr="003B6E11">
              <w:rPr>
                <w:noProof/>
                <w:sz w:val="18"/>
                <w:lang w:val="cs-CZ"/>
              </w:rPr>
              <w:t>Krychlový obsah místností</w:t>
            </w:r>
          </w:p>
        </w:tc>
        <w:tc>
          <w:tcPr>
            <w:tcW w:w="6521"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0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280" w:after="280" w:line="240" w:lineRule="atLeast"/>
              <w:rPr>
                <w:rFonts w:cs="Arial"/>
                <w:sz w:val="18"/>
                <w:szCs w:val="18"/>
                <w:lang w:val="cs-CZ"/>
              </w:rPr>
            </w:pPr>
          </w:p>
        </w:tc>
        <w:tc>
          <w:tcPr>
            <w:tcW w:w="1458" w:type="dxa"/>
            <w:shd w:val="clear" w:color="auto" w:fill="auto"/>
          </w:tcPr>
          <w:p w:rsidR="00E82B25" w:rsidRPr="003B6E11" w:rsidRDefault="00E82B25" w:rsidP="002D015D">
            <w:pPr>
              <w:spacing w:before="280" w:after="280" w:line="240" w:lineRule="atLeast"/>
              <w:rPr>
                <w:rFonts w:cs="Arial"/>
                <w:sz w:val="18"/>
                <w:szCs w:val="18"/>
                <w:lang w:val="cs-CZ"/>
              </w:rPr>
            </w:pPr>
            <w:r w:rsidRPr="003B6E11">
              <w:rPr>
                <w:sz w:val="18"/>
                <w:lang w:val="cs-CZ"/>
              </w:rPr>
              <w:t>odst. 10</w:t>
            </w:r>
          </w:p>
        </w:tc>
        <w:tc>
          <w:tcPr>
            <w:tcW w:w="3296" w:type="dxa"/>
            <w:shd w:val="clear" w:color="auto" w:fill="auto"/>
          </w:tcPr>
          <w:p w:rsidR="00E82B25" w:rsidRPr="003B6E11" w:rsidRDefault="00E82B25" w:rsidP="002D015D">
            <w:pPr>
              <w:spacing w:before="280" w:after="280" w:line="240" w:lineRule="atLeast"/>
              <w:rPr>
                <w:rFonts w:cs="Arial"/>
                <w:sz w:val="18"/>
                <w:szCs w:val="18"/>
                <w:lang w:val="cs-CZ"/>
              </w:rPr>
            </w:pPr>
            <w:r w:rsidRPr="003B6E11">
              <w:rPr>
                <w:noProof/>
                <w:sz w:val="18"/>
                <w:lang w:val="cs-CZ"/>
              </w:rPr>
              <w:t>Objem vzduchu na osobu</w:t>
            </w:r>
          </w:p>
        </w:tc>
        <w:tc>
          <w:tcPr>
            <w:tcW w:w="6521" w:type="dxa"/>
            <w:shd w:val="clear" w:color="auto" w:fill="auto"/>
          </w:tcPr>
          <w:p w:rsidR="00E82B25" w:rsidRPr="003B6E11" w:rsidRDefault="00E82B25" w:rsidP="002D015D">
            <w:pPr>
              <w:spacing w:before="280" w:after="28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280" w:after="28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320" w:after="320" w:line="240" w:lineRule="atLeast"/>
              <w:rPr>
                <w:rFonts w:cs="Arial"/>
                <w:sz w:val="18"/>
                <w:szCs w:val="18"/>
                <w:lang w:val="cs-CZ"/>
              </w:rPr>
            </w:pPr>
          </w:p>
        </w:tc>
        <w:tc>
          <w:tcPr>
            <w:tcW w:w="1458" w:type="dxa"/>
            <w:shd w:val="clear" w:color="auto" w:fill="auto"/>
          </w:tcPr>
          <w:p w:rsidR="00E82B25" w:rsidRPr="003B6E11" w:rsidRDefault="00E82B25" w:rsidP="002D015D">
            <w:pPr>
              <w:spacing w:before="320" w:after="320" w:line="240" w:lineRule="atLeast"/>
              <w:rPr>
                <w:rFonts w:cs="Arial"/>
                <w:sz w:val="18"/>
                <w:szCs w:val="18"/>
                <w:lang w:val="cs-CZ"/>
              </w:rPr>
            </w:pPr>
            <w:r w:rsidRPr="003B6E11">
              <w:rPr>
                <w:sz w:val="18"/>
                <w:lang w:val="cs-CZ"/>
              </w:rPr>
              <w:t>odst. 11</w:t>
            </w:r>
          </w:p>
        </w:tc>
        <w:tc>
          <w:tcPr>
            <w:tcW w:w="3296" w:type="dxa"/>
            <w:shd w:val="clear" w:color="auto" w:fill="auto"/>
          </w:tcPr>
          <w:p w:rsidR="00E82B25" w:rsidRPr="003B6E11" w:rsidRDefault="00E82B25" w:rsidP="002D015D">
            <w:pPr>
              <w:spacing w:before="320" w:after="320" w:line="240" w:lineRule="atLeast"/>
              <w:rPr>
                <w:rFonts w:cs="Arial"/>
                <w:noProof/>
                <w:sz w:val="18"/>
                <w:szCs w:val="18"/>
                <w:lang w:val="cs-CZ"/>
              </w:rPr>
            </w:pPr>
            <w:r w:rsidRPr="003B6E11">
              <w:rPr>
                <w:noProof/>
                <w:sz w:val="18"/>
                <w:lang w:val="cs-CZ"/>
              </w:rPr>
              <w:t>Velikost dveří</w:t>
            </w:r>
          </w:p>
        </w:tc>
        <w:tc>
          <w:tcPr>
            <w:tcW w:w="6521" w:type="dxa"/>
            <w:shd w:val="clear" w:color="auto" w:fill="auto"/>
          </w:tcPr>
          <w:p w:rsidR="00E82B25" w:rsidRPr="003B6E11" w:rsidRDefault="00E82B25" w:rsidP="002D015D">
            <w:pPr>
              <w:spacing w:before="320" w:after="3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320" w:after="32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320" w:after="320" w:line="240" w:lineRule="atLeast"/>
              <w:rPr>
                <w:rFonts w:cs="Arial"/>
                <w:sz w:val="18"/>
                <w:szCs w:val="18"/>
                <w:lang w:val="cs-CZ"/>
              </w:rPr>
            </w:pPr>
          </w:p>
        </w:tc>
        <w:tc>
          <w:tcPr>
            <w:tcW w:w="1458" w:type="dxa"/>
            <w:shd w:val="clear" w:color="auto" w:fill="auto"/>
          </w:tcPr>
          <w:p w:rsidR="00E82B25" w:rsidRPr="003B6E11" w:rsidRDefault="00E82B25" w:rsidP="002D015D">
            <w:pPr>
              <w:spacing w:before="320" w:after="320" w:line="240" w:lineRule="atLeast"/>
              <w:rPr>
                <w:rFonts w:cs="Arial"/>
                <w:sz w:val="18"/>
                <w:szCs w:val="18"/>
                <w:lang w:val="cs-CZ"/>
              </w:rPr>
            </w:pPr>
            <w:r w:rsidRPr="003B6E11">
              <w:rPr>
                <w:sz w:val="18"/>
                <w:lang w:val="cs-CZ"/>
              </w:rPr>
              <w:t>odst. 12 písm. a) a b)</w:t>
            </w:r>
          </w:p>
        </w:tc>
        <w:tc>
          <w:tcPr>
            <w:tcW w:w="3296" w:type="dxa"/>
            <w:shd w:val="clear" w:color="auto" w:fill="auto"/>
          </w:tcPr>
          <w:p w:rsidR="00E82B25" w:rsidRPr="003B6E11" w:rsidRDefault="00E82B25" w:rsidP="002D015D">
            <w:pPr>
              <w:tabs>
                <w:tab w:val="left" w:pos="1080"/>
              </w:tabs>
              <w:spacing w:before="320" w:after="320" w:line="240" w:lineRule="atLeast"/>
              <w:rPr>
                <w:rFonts w:cs="Arial"/>
                <w:sz w:val="18"/>
                <w:szCs w:val="18"/>
                <w:lang w:val="cs-CZ"/>
              </w:rPr>
            </w:pPr>
            <w:r w:rsidRPr="003B6E11">
              <w:rPr>
                <w:noProof/>
                <w:sz w:val="18"/>
                <w:lang w:val="cs-CZ"/>
              </w:rPr>
              <w:t>Umístění schodišť</w:t>
            </w:r>
          </w:p>
        </w:tc>
        <w:tc>
          <w:tcPr>
            <w:tcW w:w="6521" w:type="dxa"/>
            <w:shd w:val="clear" w:color="auto" w:fill="auto"/>
          </w:tcPr>
          <w:p w:rsidR="00E82B25" w:rsidRPr="003B6E11" w:rsidRDefault="00E82B25" w:rsidP="002D015D">
            <w:pPr>
              <w:spacing w:before="320" w:after="3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320" w:after="32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320" w:after="320" w:line="240" w:lineRule="atLeast"/>
              <w:rPr>
                <w:rFonts w:cs="Arial"/>
                <w:sz w:val="18"/>
                <w:szCs w:val="18"/>
                <w:lang w:val="cs-CZ"/>
              </w:rPr>
            </w:pPr>
          </w:p>
        </w:tc>
        <w:tc>
          <w:tcPr>
            <w:tcW w:w="1458" w:type="dxa"/>
            <w:shd w:val="clear" w:color="auto" w:fill="auto"/>
          </w:tcPr>
          <w:p w:rsidR="00E82B25" w:rsidRPr="003B6E11" w:rsidRDefault="00E82B25" w:rsidP="002D015D">
            <w:pPr>
              <w:spacing w:before="320" w:after="320" w:line="240" w:lineRule="atLeast"/>
              <w:rPr>
                <w:rFonts w:cs="Arial"/>
                <w:sz w:val="18"/>
                <w:szCs w:val="18"/>
                <w:lang w:val="cs-CZ"/>
              </w:rPr>
            </w:pPr>
            <w:r w:rsidRPr="003B6E11">
              <w:rPr>
                <w:sz w:val="18"/>
                <w:lang w:val="cs-CZ"/>
              </w:rPr>
              <w:t>odst. 13</w:t>
            </w:r>
          </w:p>
        </w:tc>
        <w:tc>
          <w:tcPr>
            <w:tcW w:w="3296" w:type="dxa"/>
            <w:shd w:val="clear" w:color="auto" w:fill="auto"/>
          </w:tcPr>
          <w:p w:rsidR="00E82B25" w:rsidRPr="003B6E11" w:rsidRDefault="00E82B25" w:rsidP="002D015D">
            <w:pPr>
              <w:spacing w:before="320" w:after="320" w:line="240" w:lineRule="atLeast"/>
              <w:rPr>
                <w:rFonts w:cs="Arial"/>
                <w:noProof/>
                <w:sz w:val="18"/>
                <w:szCs w:val="18"/>
                <w:lang w:val="cs-CZ"/>
              </w:rPr>
            </w:pPr>
            <w:r w:rsidRPr="003B6E11">
              <w:rPr>
                <w:noProof/>
                <w:sz w:val="18"/>
                <w:lang w:val="cs-CZ"/>
              </w:rPr>
              <w:t>Potrubí vedoucí nebezpečné plyny nebo kapaliny</w:t>
            </w:r>
          </w:p>
        </w:tc>
        <w:tc>
          <w:tcPr>
            <w:tcW w:w="6521" w:type="dxa"/>
            <w:shd w:val="clear" w:color="auto" w:fill="auto"/>
          </w:tcPr>
          <w:p w:rsidR="00E82B25" w:rsidRPr="003B6E11" w:rsidRDefault="00E82B25" w:rsidP="002D015D">
            <w:pPr>
              <w:spacing w:before="320" w:after="3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320" w:after="32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shd w:val="clear" w:color="auto" w:fill="auto"/>
          </w:tcPr>
          <w:p w:rsidR="00E82B25" w:rsidRPr="003B6E11" w:rsidRDefault="00E82B25" w:rsidP="002D015D">
            <w:pPr>
              <w:spacing w:before="320" w:after="320" w:line="240" w:lineRule="atLeast"/>
              <w:rPr>
                <w:rFonts w:cs="Arial"/>
                <w:sz w:val="18"/>
                <w:szCs w:val="18"/>
                <w:lang w:val="cs-CZ"/>
              </w:rPr>
            </w:pPr>
            <w:r w:rsidRPr="003B6E11">
              <w:rPr>
                <w:sz w:val="18"/>
                <w:lang w:val="cs-CZ"/>
              </w:rPr>
              <w:t>15.03</w:t>
            </w:r>
          </w:p>
        </w:tc>
        <w:tc>
          <w:tcPr>
            <w:tcW w:w="1458" w:type="dxa"/>
            <w:shd w:val="clear" w:color="auto" w:fill="auto"/>
          </w:tcPr>
          <w:p w:rsidR="00E82B25" w:rsidRPr="003B6E11" w:rsidRDefault="00E82B25" w:rsidP="002D015D">
            <w:pPr>
              <w:spacing w:before="320" w:after="320" w:line="240" w:lineRule="atLeast"/>
              <w:rPr>
                <w:rFonts w:cs="Arial"/>
                <w:sz w:val="18"/>
                <w:szCs w:val="18"/>
                <w:lang w:val="cs-CZ"/>
              </w:rPr>
            </w:pPr>
          </w:p>
        </w:tc>
        <w:tc>
          <w:tcPr>
            <w:tcW w:w="3296" w:type="dxa"/>
            <w:shd w:val="clear" w:color="auto" w:fill="auto"/>
          </w:tcPr>
          <w:p w:rsidR="00E82B25" w:rsidRPr="003B6E11" w:rsidRDefault="00E82B25" w:rsidP="002D015D">
            <w:pPr>
              <w:spacing w:before="320" w:after="320" w:line="240" w:lineRule="atLeast"/>
              <w:rPr>
                <w:rFonts w:cs="Arial"/>
                <w:noProof/>
                <w:sz w:val="18"/>
                <w:szCs w:val="18"/>
                <w:lang w:val="cs-CZ"/>
              </w:rPr>
            </w:pPr>
            <w:r w:rsidRPr="003B6E11">
              <w:rPr>
                <w:noProof/>
                <w:sz w:val="18"/>
                <w:lang w:val="cs-CZ"/>
              </w:rPr>
              <w:t>Sociální zařízení</w:t>
            </w:r>
          </w:p>
        </w:tc>
        <w:tc>
          <w:tcPr>
            <w:tcW w:w="6521" w:type="dxa"/>
            <w:shd w:val="clear" w:color="auto" w:fill="auto"/>
          </w:tcPr>
          <w:p w:rsidR="00E82B25" w:rsidRPr="003B6E11" w:rsidRDefault="00E82B25" w:rsidP="002D015D">
            <w:pPr>
              <w:spacing w:before="320" w:after="3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320" w:after="32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shd w:val="clear" w:color="auto" w:fill="auto"/>
          </w:tcPr>
          <w:p w:rsidR="00E82B25" w:rsidRPr="003B6E11" w:rsidRDefault="00E82B25" w:rsidP="002D015D">
            <w:pPr>
              <w:spacing w:before="320" w:after="320" w:line="240" w:lineRule="atLeast"/>
              <w:rPr>
                <w:rFonts w:cs="Arial"/>
                <w:sz w:val="18"/>
                <w:szCs w:val="18"/>
                <w:lang w:val="cs-CZ"/>
              </w:rPr>
            </w:pPr>
            <w:r w:rsidRPr="003B6E11">
              <w:rPr>
                <w:sz w:val="18"/>
                <w:lang w:val="cs-CZ"/>
              </w:rPr>
              <w:t>15.04</w:t>
            </w:r>
          </w:p>
        </w:tc>
        <w:tc>
          <w:tcPr>
            <w:tcW w:w="1458" w:type="dxa"/>
            <w:shd w:val="clear" w:color="auto" w:fill="auto"/>
          </w:tcPr>
          <w:p w:rsidR="00E82B25" w:rsidRPr="003B6E11" w:rsidRDefault="00E82B25" w:rsidP="002D015D">
            <w:pPr>
              <w:spacing w:before="320" w:after="320" w:line="240" w:lineRule="atLeast"/>
              <w:rPr>
                <w:rFonts w:cs="Arial"/>
                <w:sz w:val="18"/>
                <w:szCs w:val="18"/>
                <w:lang w:val="cs-CZ"/>
              </w:rPr>
            </w:pPr>
          </w:p>
        </w:tc>
        <w:tc>
          <w:tcPr>
            <w:tcW w:w="3296" w:type="dxa"/>
            <w:shd w:val="clear" w:color="auto" w:fill="auto"/>
          </w:tcPr>
          <w:p w:rsidR="00E82B25" w:rsidRPr="003B6E11" w:rsidRDefault="00E82B25" w:rsidP="002D015D">
            <w:pPr>
              <w:spacing w:before="320" w:after="320" w:line="240" w:lineRule="atLeast"/>
              <w:rPr>
                <w:rFonts w:cs="Arial"/>
                <w:noProof/>
                <w:sz w:val="18"/>
                <w:szCs w:val="18"/>
                <w:lang w:val="cs-CZ"/>
              </w:rPr>
            </w:pPr>
            <w:r w:rsidRPr="003B6E11">
              <w:rPr>
                <w:noProof/>
                <w:sz w:val="18"/>
                <w:lang w:val="cs-CZ"/>
              </w:rPr>
              <w:t>Kuchyně</w:t>
            </w:r>
          </w:p>
        </w:tc>
        <w:tc>
          <w:tcPr>
            <w:tcW w:w="6521" w:type="dxa"/>
            <w:shd w:val="clear" w:color="auto" w:fill="auto"/>
          </w:tcPr>
          <w:p w:rsidR="00E82B25" w:rsidRPr="003B6E11" w:rsidRDefault="00E82B25" w:rsidP="002D015D">
            <w:pPr>
              <w:spacing w:before="320" w:after="32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320" w:after="32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shd w:val="clear" w:color="auto" w:fill="auto"/>
          </w:tcPr>
          <w:p w:rsidR="00E82B25" w:rsidRPr="003B6E11" w:rsidRDefault="00E82B25" w:rsidP="002D015D">
            <w:pPr>
              <w:spacing w:before="320" w:after="320" w:line="240" w:lineRule="atLeast"/>
              <w:rPr>
                <w:rFonts w:cs="Arial"/>
                <w:sz w:val="18"/>
                <w:szCs w:val="18"/>
                <w:lang w:val="cs-CZ"/>
              </w:rPr>
            </w:pPr>
            <w:r w:rsidRPr="003B6E11">
              <w:rPr>
                <w:sz w:val="18"/>
                <w:lang w:val="cs-CZ"/>
              </w:rPr>
              <w:t>15.05</w:t>
            </w:r>
          </w:p>
        </w:tc>
        <w:tc>
          <w:tcPr>
            <w:tcW w:w="1458" w:type="dxa"/>
            <w:shd w:val="clear" w:color="auto" w:fill="auto"/>
          </w:tcPr>
          <w:p w:rsidR="00E82B25" w:rsidRPr="003B6E11" w:rsidRDefault="00E82B25" w:rsidP="002D015D">
            <w:pPr>
              <w:spacing w:before="320" w:after="320" w:line="240" w:lineRule="atLeast"/>
              <w:rPr>
                <w:rFonts w:cs="Arial"/>
                <w:sz w:val="18"/>
                <w:szCs w:val="18"/>
                <w:lang w:val="cs-CZ"/>
              </w:rPr>
            </w:pPr>
          </w:p>
        </w:tc>
        <w:tc>
          <w:tcPr>
            <w:tcW w:w="3296" w:type="dxa"/>
            <w:shd w:val="clear" w:color="auto" w:fill="auto"/>
          </w:tcPr>
          <w:p w:rsidR="00E82B25" w:rsidRPr="003B6E11" w:rsidRDefault="00E82B25" w:rsidP="002D015D">
            <w:pPr>
              <w:spacing w:before="320" w:after="320" w:line="240" w:lineRule="atLeast"/>
              <w:rPr>
                <w:rFonts w:cs="Arial"/>
                <w:color w:val="000000"/>
                <w:sz w:val="18"/>
                <w:szCs w:val="18"/>
                <w:lang w:val="cs-CZ"/>
              </w:rPr>
            </w:pPr>
            <w:r w:rsidRPr="003B6E11">
              <w:rPr>
                <w:color w:val="000000"/>
                <w:sz w:val="18"/>
                <w:lang w:val="cs-CZ"/>
              </w:rPr>
              <w:t>Pitná voda</w:t>
            </w:r>
          </w:p>
        </w:tc>
        <w:tc>
          <w:tcPr>
            <w:tcW w:w="6521" w:type="dxa"/>
            <w:shd w:val="clear" w:color="auto" w:fill="auto"/>
          </w:tcPr>
          <w:p w:rsidR="00E82B25" w:rsidRPr="003B6E11" w:rsidRDefault="00E82B25" w:rsidP="002D015D">
            <w:pPr>
              <w:spacing w:before="320" w:after="32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spacing w:before="320" w:after="32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300" w:after="300" w:line="240" w:lineRule="atLeast"/>
              <w:rPr>
                <w:rFonts w:cs="Arial"/>
                <w:sz w:val="18"/>
                <w:szCs w:val="18"/>
                <w:lang w:val="cs-CZ"/>
              </w:rPr>
            </w:pPr>
            <w:r w:rsidRPr="003B6E11">
              <w:rPr>
                <w:sz w:val="18"/>
                <w:lang w:val="cs-CZ"/>
              </w:rPr>
              <w:t>15.06</w:t>
            </w:r>
          </w:p>
        </w:tc>
        <w:tc>
          <w:tcPr>
            <w:tcW w:w="1458" w:type="dxa"/>
            <w:shd w:val="clear" w:color="auto" w:fill="auto"/>
          </w:tcPr>
          <w:p w:rsidR="00E82B25" w:rsidRPr="003B6E11" w:rsidRDefault="00E82B25" w:rsidP="002D015D">
            <w:pPr>
              <w:spacing w:before="300" w:after="300" w:line="240" w:lineRule="atLeast"/>
              <w:rPr>
                <w:rFonts w:cs="Arial"/>
                <w:sz w:val="18"/>
                <w:szCs w:val="18"/>
                <w:lang w:val="cs-CZ"/>
              </w:rPr>
            </w:pPr>
          </w:p>
        </w:tc>
        <w:tc>
          <w:tcPr>
            <w:tcW w:w="3296" w:type="dxa"/>
            <w:shd w:val="clear" w:color="auto" w:fill="auto"/>
          </w:tcPr>
          <w:p w:rsidR="00E82B25" w:rsidRPr="003B6E11" w:rsidRDefault="00E82B25" w:rsidP="002D015D">
            <w:pPr>
              <w:spacing w:before="300" w:after="300" w:line="240" w:lineRule="atLeast"/>
              <w:rPr>
                <w:rFonts w:cs="Arial"/>
                <w:color w:val="000000"/>
                <w:sz w:val="18"/>
                <w:szCs w:val="18"/>
                <w:lang w:val="cs-CZ"/>
              </w:rPr>
            </w:pPr>
            <w:r w:rsidRPr="003B6E11">
              <w:rPr>
                <w:noProof/>
                <w:sz w:val="18"/>
                <w:lang w:val="cs-CZ"/>
              </w:rPr>
              <w:t>Topení a větrání</w:t>
            </w:r>
          </w:p>
        </w:tc>
        <w:tc>
          <w:tcPr>
            <w:tcW w:w="6521" w:type="dxa"/>
            <w:shd w:val="clear" w:color="auto" w:fill="auto"/>
          </w:tcPr>
          <w:p w:rsidR="00E82B25" w:rsidRPr="003B6E11" w:rsidRDefault="00E82B25" w:rsidP="002D015D">
            <w:pPr>
              <w:spacing w:before="300" w:after="3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300" w:after="30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1342" w:type="dxa"/>
            <w:shd w:val="clear" w:color="auto" w:fill="auto"/>
          </w:tcPr>
          <w:p w:rsidR="00E82B25" w:rsidRPr="003B6E11" w:rsidRDefault="00E82B25" w:rsidP="002D015D">
            <w:pPr>
              <w:spacing w:before="300" w:after="300" w:line="240" w:lineRule="atLeast"/>
              <w:rPr>
                <w:rFonts w:cs="Arial"/>
                <w:sz w:val="18"/>
                <w:szCs w:val="18"/>
                <w:lang w:val="cs-CZ"/>
              </w:rPr>
            </w:pPr>
            <w:r w:rsidRPr="003B6E11">
              <w:rPr>
                <w:sz w:val="18"/>
                <w:lang w:val="cs-CZ"/>
              </w:rPr>
              <w:t>15.07</w:t>
            </w:r>
          </w:p>
        </w:tc>
        <w:tc>
          <w:tcPr>
            <w:tcW w:w="1458" w:type="dxa"/>
            <w:shd w:val="clear" w:color="auto" w:fill="auto"/>
          </w:tcPr>
          <w:p w:rsidR="00E82B25" w:rsidRPr="003B6E11" w:rsidRDefault="00E82B25" w:rsidP="002D015D">
            <w:pPr>
              <w:spacing w:before="300" w:after="300" w:line="240" w:lineRule="atLeast"/>
              <w:rPr>
                <w:rFonts w:cs="Arial"/>
                <w:sz w:val="18"/>
                <w:szCs w:val="18"/>
                <w:lang w:val="cs-CZ"/>
              </w:rPr>
            </w:pPr>
            <w:r w:rsidRPr="003B6E11">
              <w:rPr>
                <w:sz w:val="18"/>
                <w:lang w:val="cs-CZ"/>
              </w:rPr>
              <w:t>odst. 1 druhá věta</w:t>
            </w:r>
          </w:p>
        </w:tc>
        <w:tc>
          <w:tcPr>
            <w:tcW w:w="3296" w:type="dxa"/>
            <w:shd w:val="clear" w:color="auto" w:fill="auto"/>
          </w:tcPr>
          <w:p w:rsidR="00E82B25" w:rsidRPr="003B6E11" w:rsidRDefault="00E82B25" w:rsidP="002D015D">
            <w:pPr>
              <w:spacing w:before="300" w:after="300" w:line="240" w:lineRule="atLeast"/>
              <w:rPr>
                <w:rFonts w:cs="Arial"/>
                <w:color w:val="000000"/>
                <w:sz w:val="18"/>
                <w:szCs w:val="18"/>
                <w:lang w:val="cs-CZ"/>
              </w:rPr>
            </w:pPr>
            <w:r w:rsidRPr="003B6E11">
              <w:rPr>
                <w:noProof/>
                <w:sz w:val="18"/>
                <w:lang w:val="cs-CZ"/>
              </w:rPr>
              <w:t>Ostatní zařízení v obytných prostorech</w:t>
            </w:r>
          </w:p>
        </w:tc>
        <w:tc>
          <w:tcPr>
            <w:tcW w:w="6521" w:type="dxa"/>
            <w:shd w:val="clear" w:color="auto" w:fill="auto"/>
          </w:tcPr>
          <w:p w:rsidR="00E82B25" w:rsidRPr="003B6E11" w:rsidRDefault="00E82B25" w:rsidP="002D015D">
            <w:pPr>
              <w:spacing w:before="300" w:after="3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300" w:after="300" w:line="240" w:lineRule="atLeast"/>
              <w:rPr>
                <w:rFonts w:cs="Arial"/>
                <w:sz w:val="18"/>
                <w:szCs w:val="18"/>
                <w:lang w:val="cs-CZ"/>
              </w:rPr>
            </w:pPr>
            <w:r w:rsidRPr="003B6E11">
              <w:rPr>
                <w:sz w:val="18"/>
                <w:lang w:val="cs-CZ"/>
              </w:rPr>
              <w:t>30.12.2049</w:t>
            </w:r>
          </w:p>
        </w:tc>
      </w:tr>
      <w:tr w:rsidR="00E82B25" w:rsidRPr="003B6E11" w:rsidTr="002D015D">
        <w:trPr>
          <w:cantSplit/>
          <w:trHeight w:val="70"/>
          <w:jc w:val="center"/>
        </w:trPr>
        <w:tc>
          <w:tcPr>
            <w:tcW w:w="6096" w:type="dxa"/>
            <w:gridSpan w:val="3"/>
            <w:shd w:val="clear" w:color="auto" w:fill="auto"/>
          </w:tcPr>
          <w:p w:rsidR="00E82B25" w:rsidRPr="003B6E11" w:rsidRDefault="00E82B25" w:rsidP="002D015D">
            <w:pPr>
              <w:spacing w:before="60" w:after="60" w:line="240" w:lineRule="atLeast"/>
              <w:jc w:val="center"/>
              <w:rPr>
                <w:rFonts w:cs="Arial"/>
                <w:b/>
                <w:sz w:val="18"/>
                <w:szCs w:val="18"/>
                <w:lang w:val="cs-CZ"/>
              </w:rPr>
            </w:pPr>
            <w:r w:rsidRPr="003B6E11">
              <w:rPr>
                <w:b/>
                <w:sz w:val="18"/>
                <w:lang w:val="cs-CZ"/>
              </w:rPr>
              <w:t>KAPITOLA 18</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vMerge w:val="restart"/>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18.01</w:t>
            </w:r>
          </w:p>
        </w:tc>
        <w:tc>
          <w:tcPr>
            <w:tcW w:w="1458" w:type="dxa"/>
            <w:vMerge w:val="restart"/>
            <w:shd w:val="clear" w:color="auto" w:fill="auto"/>
          </w:tcPr>
          <w:p w:rsidR="00E82B25" w:rsidRPr="003B6E11" w:rsidRDefault="00E82B25" w:rsidP="002D015D">
            <w:pPr>
              <w:adjustRightInd w:val="0"/>
              <w:spacing w:before="60" w:after="60" w:line="240" w:lineRule="atLeast"/>
              <w:ind w:right="-108"/>
              <w:rPr>
                <w:rFonts w:cs="Arial"/>
                <w:sz w:val="18"/>
                <w:szCs w:val="18"/>
                <w:lang w:val="cs-CZ"/>
              </w:rPr>
            </w:pPr>
            <w:r w:rsidRPr="003B6E11">
              <w:rPr>
                <w:sz w:val="18"/>
                <w:lang w:val="cs-CZ"/>
              </w:rPr>
              <w:t>odst. 2, tabulky 1 a 2 a odst. 5</w:t>
            </w:r>
          </w:p>
        </w:tc>
        <w:tc>
          <w:tcPr>
            <w:tcW w:w="3296" w:type="dxa"/>
            <w:tcBorders>
              <w:bottom w:val="nil"/>
            </w:tcBorders>
            <w:shd w:val="clear" w:color="auto" w:fill="auto"/>
          </w:tcPr>
          <w:p w:rsidR="00E82B25" w:rsidRPr="003B6E11" w:rsidRDefault="00E82B25" w:rsidP="002D015D">
            <w:pPr>
              <w:adjustRightInd w:val="0"/>
              <w:spacing w:before="60" w:after="60" w:line="240" w:lineRule="atLeast"/>
              <w:rPr>
                <w:rFonts w:cs="Arial"/>
                <w:sz w:val="18"/>
                <w:szCs w:val="18"/>
                <w:lang w:val="cs-CZ"/>
              </w:rPr>
            </w:pPr>
            <w:r w:rsidRPr="003B6E11">
              <w:rPr>
                <w:noProof/>
                <w:sz w:val="18"/>
                <w:lang w:val="cs-CZ"/>
              </w:rPr>
              <w:t>Mezní/kontrolní hodnoty a schválení typu</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pokud</w:t>
            </w:r>
          </w:p>
          <w:p w:rsidR="00E82B25" w:rsidRPr="003B6E11" w:rsidRDefault="00E82B25" w:rsidP="002D015D">
            <w:pPr>
              <w:spacing w:before="60" w:after="60" w:line="240" w:lineRule="atLeast"/>
              <w:ind w:left="317" w:hanging="317"/>
              <w:rPr>
                <w:rFonts w:cs="Arial"/>
                <w:sz w:val="18"/>
                <w:szCs w:val="18"/>
                <w:lang w:val="cs-CZ"/>
              </w:rPr>
            </w:pPr>
            <w:r w:rsidRPr="003B6E11">
              <w:rPr>
                <w:sz w:val="18"/>
                <w:lang w:val="cs-CZ"/>
              </w:rPr>
              <w:t>a)</w:t>
            </w:r>
            <w:r w:rsidRPr="003B6E11">
              <w:rPr>
                <w:lang w:val="cs-CZ"/>
              </w:rPr>
              <w:tab/>
            </w:r>
            <w:r w:rsidRPr="003B6E11">
              <w:rPr>
                <w:sz w:val="18"/>
                <w:lang w:val="cs-CZ"/>
              </w:rPr>
              <w:t>mezní a kontrolní hodnoty více než dvojnásobně nepřesahují hodnoty podle kroku II;</w:t>
            </w:r>
          </w:p>
          <w:p w:rsidR="00E82B25" w:rsidRPr="003B6E11" w:rsidRDefault="00E82B25" w:rsidP="002D015D">
            <w:pPr>
              <w:spacing w:before="60" w:after="60" w:line="240" w:lineRule="atLeast"/>
              <w:ind w:left="317" w:hanging="317"/>
              <w:rPr>
                <w:rFonts w:cs="Arial"/>
                <w:sz w:val="18"/>
                <w:szCs w:val="18"/>
                <w:lang w:val="cs-CZ"/>
              </w:rPr>
            </w:pPr>
            <w:r w:rsidRPr="003B6E11">
              <w:rPr>
                <w:sz w:val="18"/>
                <w:lang w:val="cs-CZ"/>
              </w:rPr>
              <w:t>b)</w:t>
            </w:r>
            <w:r w:rsidRPr="003B6E11">
              <w:rPr>
                <w:lang w:val="cs-CZ"/>
              </w:rPr>
              <w:tab/>
            </w:r>
            <w:r w:rsidRPr="003B6E11">
              <w:rPr>
                <w:sz w:val="18"/>
                <w:lang w:val="cs-CZ"/>
              </w:rPr>
              <w:t>k palubní čistírně odpadních vod vydal výrobce nebo odborník osvědčení, které potvrzuje, že kapacitně odpovídá obvyklému zatížení na palubě plavidla a</w:t>
            </w:r>
          </w:p>
          <w:p w:rsidR="00E82B25" w:rsidRPr="003B6E11" w:rsidRDefault="00E82B25" w:rsidP="002D015D">
            <w:pPr>
              <w:tabs>
                <w:tab w:val="left" w:pos="317"/>
              </w:tabs>
              <w:adjustRightInd w:val="0"/>
              <w:spacing w:before="60" w:after="60" w:line="240" w:lineRule="atLeast"/>
              <w:ind w:left="317" w:hanging="317"/>
              <w:rPr>
                <w:rFonts w:cs="Arial"/>
                <w:sz w:val="18"/>
                <w:szCs w:val="18"/>
                <w:lang w:val="cs-CZ"/>
              </w:rPr>
            </w:pPr>
            <w:r w:rsidRPr="003B6E11">
              <w:rPr>
                <w:sz w:val="18"/>
                <w:lang w:val="cs-CZ"/>
              </w:rPr>
              <w:t>c)</w:t>
            </w:r>
            <w:r w:rsidRPr="003B6E11">
              <w:rPr>
                <w:lang w:val="cs-CZ"/>
              </w:rPr>
              <w:tab/>
            </w:r>
            <w:r w:rsidRPr="003B6E11">
              <w:rPr>
                <w:noProof/>
                <w:sz w:val="18"/>
                <w:lang w:val="cs-CZ"/>
              </w:rPr>
              <w:t>byl zaveden systém nakládání s odpadním kalem, který je vhodný vzhledem k podmínkám provozování čistírny odpadních vod na palubě osobní lodi.</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tcBorders>
              <w:top w:val="nil"/>
              <w:bottom w:val="nil"/>
            </w:tcBorders>
            <w:shd w:val="clear" w:color="auto" w:fill="auto"/>
          </w:tcPr>
          <w:p w:rsidR="00E82B25" w:rsidRPr="003B6E11" w:rsidRDefault="00E82B25" w:rsidP="002D015D">
            <w:pPr>
              <w:tabs>
                <w:tab w:val="left" w:pos="1080"/>
              </w:tabs>
              <w:spacing w:before="60" w:after="60" w:line="240" w:lineRule="atLeast"/>
              <w:rPr>
                <w:rFonts w:cs="Arial"/>
                <w:noProof/>
                <w:sz w:val="18"/>
                <w:szCs w:val="18"/>
                <w:lang w:val="cs-CZ"/>
              </w:rPr>
            </w:pP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Palubní čistírny odpadních vod, které obdržely schválení podle požadavků rezoluce CCNR 2010-II-27 (krok II) dne 1. prosince 2011 nebo po tomto datu, mohou být i nadále instalovány a používány.</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vMerge/>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tcBorders>
              <w:top w:val="nil"/>
            </w:tcBorders>
            <w:shd w:val="clear" w:color="auto" w:fill="auto"/>
          </w:tcPr>
          <w:p w:rsidR="00E82B25" w:rsidRPr="003B6E11" w:rsidRDefault="00E82B25" w:rsidP="002D015D">
            <w:pPr>
              <w:tabs>
                <w:tab w:val="left" w:pos="1080"/>
              </w:tabs>
              <w:spacing w:before="60" w:after="60" w:line="240" w:lineRule="atLeast"/>
              <w:rPr>
                <w:rFonts w:cs="Arial"/>
                <w:noProof/>
                <w:sz w:val="18"/>
                <w:szCs w:val="18"/>
                <w:lang w:val="cs-CZ"/>
              </w:rPr>
            </w:pP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Palubní čistírny odpadních vod, které obdržely schválení podle požadavků směrnice 2012/49/EU (krok II) dne 10. ledna 2013 nebo po tomto datu, mohou být i nadále instalovány a používány.</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6096" w:type="dxa"/>
            <w:gridSpan w:val="3"/>
            <w:shd w:val="clear" w:color="auto" w:fill="auto"/>
          </w:tcPr>
          <w:p w:rsidR="00E82B25" w:rsidRPr="003B6E11" w:rsidRDefault="00E82B25" w:rsidP="002D015D">
            <w:pPr>
              <w:tabs>
                <w:tab w:val="left" w:pos="1080"/>
              </w:tabs>
              <w:spacing w:before="60" w:after="60" w:line="240" w:lineRule="atLeast"/>
              <w:jc w:val="center"/>
              <w:rPr>
                <w:rFonts w:cs="Arial"/>
                <w:sz w:val="18"/>
                <w:szCs w:val="18"/>
                <w:lang w:val="cs-CZ"/>
              </w:rPr>
            </w:pPr>
            <w:r w:rsidRPr="003B6E11">
              <w:rPr>
                <w:b/>
                <w:sz w:val="18"/>
                <w:lang w:val="cs-CZ"/>
              </w:rPr>
              <w:t>KAPITOLA 19</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trHeight w:val="1133"/>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sz w:val="18"/>
                <w:lang w:val="cs-CZ"/>
              </w:rPr>
              <w:t>Osobní lodě</w:t>
            </w:r>
          </w:p>
        </w:tc>
        <w:tc>
          <w:tcPr>
            <w:tcW w:w="6521" w:type="dxa"/>
            <w:shd w:val="clear" w:color="auto" w:fill="auto"/>
          </w:tcPr>
          <w:p w:rsidR="00E82B25" w:rsidRPr="003B6E11" w:rsidRDefault="00E82B25" w:rsidP="002D015D">
            <w:pPr>
              <w:adjustRightInd w:val="0"/>
              <w:spacing w:before="60" w:after="60" w:line="240" w:lineRule="atLeast"/>
              <w:rPr>
                <w:rFonts w:cs="Arial"/>
                <w:sz w:val="18"/>
                <w:szCs w:val="18"/>
                <w:lang w:val="cs-CZ"/>
              </w:rPr>
            </w:pPr>
            <w:r w:rsidRPr="003B6E11">
              <w:rPr>
                <w:sz w:val="18"/>
                <w:lang w:val="cs-CZ"/>
              </w:rPr>
              <w:t>Viz ustanovení obsažená v předpisech pro lodě, na něž se nevztahuje směrnice 82/714/EHS: „Žádné zjevné nebezpečí“</w:t>
            </w:r>
            <w:r w:rsidRPr="003B6E11">
              <w:rPr>
                <w:sz w:val="18"/>
                <w:lang w:val="cs-CZ"/>
              </w:rPr>
              <w:br/>
              <w:t>Platí pro veškerá ustanovení kapitoly 19 kromě níže uvedených.</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19.01</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5 a 6</w:t>
            </w:r>
          </w:p>
        </w:tc>
        <w:tc>
          <w:tcPr>
            <w:tcW w:w="3296" w:type="dxa"/>
            <w:shd w:val="clear" w:color="auto" w:fill="auto"/>
          </w:tcPr>
          <w:p w:rsidR="00E82B25" w:rsidRPr="003B6E11" w:rsidRDefault="00E82B25" w:rsidP="002D015D">
            <w:pPr>
              <w:tabs>
                <w:tab w:val="right" w:pos="3856"/>
                <w:tab w:val="center" w:pos="4536"/>
                <w:tab w:val="left" w:pos="6521"/>
                <w:tab w:val="right" w:pos="9072"/>
              </w:tabs>
              <w:spacing w:before="60" w:after="60" w:line="240" w:lineRule="atLeast"/>
              <w:rPr>
                <w:rFonts w:cs="Arial"/>
                <w:sz w:val="18"/>
                <w:szCs w:val="18"/>
                <w:lang w:val="cs-CZ"/>
              </w:rPr>
            </w:pPr>
            <w:r w:rsidRPr="003B6E11">
              <w:rPr>
                <w:color w:val="000000"/>
                <w:sz w:val="18"/>
                <w:lang w:val="cs-CZ"/>
              </w:rPr>
              <w:t xml:space="preserve">Omezený výhled před přídí lodi na 2 délky lodi kratší než 250 m </w:t>
            </w:r>
            <w:r w:rsidRPr="003B6E11">
              <w:rPr>
                <w:rFonts w:cs="Arial"/>
                <w:color w:val="000000"/>
                <w:sz w:val="18"/>
                <w:szCs w:val="18"/>
                <w:lang w:val="cs-CZ"/>
              </w:rPr>
              <w:br/>
            </w:r>
            <w:r w:rsidRPr="003B6E11">
              <w:rPr>
                <w:sz w:val="18"/>
                <w:lang w:val="cs-CZ"/>
              </w:rPr>
              <w:t>Dostatečný výhled vzad</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1.1.2049</w:t>
            </w:r>
          </w:p>
        </w:tc>
      </w:tr>
      <w:tr w:rsidR="00E82B25" w:rsidRPr="003B6E11" w:rsidTr="002D015D">
        <w:trPr>
          <w:cantSplit/>
          <w:trHeight w:val="1061"/>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19.11</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tabs>
                <w:tab w:val="left" w:pos="1080"/>
              </w:tabs>
              <w:spacing w:before="60" w:after="60" w:line="240" w:lineRule="atLeast"/>
              <w:ind w:left="15" w:hanging="15"/>
              <w:rPr>
                <w:rFonts w:cs="Arial"/>
                <w:noProof/>
                <w:sz w:val="18"/>
                <w:szCs w:val="18"/>
                <w:lang w:val="cs-CZ"/>
              </w:rPr>
            </w:pPr>
            <w:r w:rsidRPr="003B6E11">
              <w:rPr>
                <w:noProof/>
                <w:sz w:val="18"/>
                <w:lang w:val="cs-CZ"/>
              </w:rPr>
              <w:t>Vhodnost materiálů a konstrukčních prvků z hlediska požární ochrany</w:t>
            </w:r>
          </w:p>
        </w:tc>
        <w:tc>
          <w:tcPr>
            <w:tcW w:w="6521" w:type="dxa"/>
            <w:shd w:val="clear" w:color="auto" w:fill="auto"/>
          </w:tcPr>
          <w:p w:rsidR="00E82B25" w:rsidRPr="003B6E11" w:rsidRDefault="00E82B25" w:rsidP="002D015D">
            <w:pPr>
              <w:spacing w:before="60" w:after="60" w:line="240" w:lineRule="atLeast"/>
              <w:ind w:left="15" w:hanging="15"/>
              <w:rPr>
                <w:rFonts w:cs="Arial"/>
                <w:sz w:val="18"/>
                <w:szCs w:val="18"/>
                <w:lang w:val="cs-CZ"/>
              </w:rPr>
            </w:pPr>
            <w:r w:rsidRPr="003B6E11">
              <w:rPr>
                <w:sz w:val="18"/>
                <w:lang w:val="cs-CZ"/>
              </w:rPr>
              <w:t>Pro materiály a konstrukční prvky schválené podle Mezinárodního předpisu pro použití postupů požárních zkoušek (předpis FTP) přijatého rezolucí MSC.61 (67)</w:t>
            </w:r>
            <w:r w:rsidRPr="003B6E11">
              <w:rPr>
                <w:rStyle w:val="FootnoteReference"/>
                <w:sz w:val="18"/>
                <w:lang w:val="cs-CZ"/>
              </w:rPr>
              <w:footnoteReference w:id="48"/>
            </w:r>
            <w:r w:rsidRPr="003B6E11">
              <w:rPr>
                <w:sz w:val="18"/>
                <w:lang w:val="cs-CZ"/>
              </w:rPr>
              <w:t>: N.V.P.</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6096" w:type="dxa"/>
            <w:gridSpan w:val="3"/>
            <w:shd w:val="clear" w:color="auto" w:fill="auto"/>
          </w:tcPr>
          <w:p w:rsidR="00E82B25" w:rsidRPr="003B6E11" w:rsidRDefault="00E82B25" w:rsidP="002D015D">
            <w:pPr>
              <w:tabs>
                <w:tab w:val="left" w:pos="1080"/>
              </w:tabs>
              <w:spacing w:before="60" w:after="60" w:line="240" w:lineRule="atLeast"/>
              <w:jc w:val="center"/>
              <w:rPr>
                <w:rFonts w:cs="Arial"/>
                <w:sz w:val="18"/>
                <w:szCs w:val="18"/>
                <w:lang w:val="cs-CZ"/>
              </w:rPr>
            </w:pPr>
            <w:r w:rsidRPr="003B6E11">
              <w:rPr>
                <w:b/>
                <w:sz w:val="18"/>
                <w:lang w:val="cs-CZ"/>
              </w:rPr>
              <w:t>KAPITOLA 20</w:t>
            </w:r>
          </w:p>
        </w:tc>
        <w:tc>
          <w:tcPr>
            <w:tcW w:w="6521" w:type="dxa"/>
            <w:shd w:val="clear" w:color="auto" w:fill="auto"/>
          </w:tcPr>
          <w:p w:rsidR="00E82B25" w:rsidRPr="003B6E11" w:rsidRDefault="00E82B25" w:rsidP="002D015D">
            <w:pPr>
              <w:adjustRightInd w:val="0"/>
              <w:spacing w:before="60" w:after="60" w:line="240" w:lineRule="atLeast"/>
              <w:jc w:val="center"/>
              <w:rPr>
                <w:rFonts w:cs="Arial"/>
                <w:sz w:val="18"/>
                <w:szCs w:val="18"/>
                <w:lang w:val="cs-CZ"/>
              </w:rPr>
            </w:pP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trHeight w:val="896"/>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sz w:val="18"/>
                <w:lang w:val="cs-CZ"/>
              </w:rPr>
              <w:t>Osobní plachetní lodě</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Viz ustanovení obsažená v předpisech pro lodě, na něž se nevztahuje směrnice 82/714/EHS: „Žádné zjevné nebezpečí“.</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6096" w:type="dxa"/>
            <w:gridSpan w:val="3"/>
            <w:shd w:val="clear" w:color="auto" w:fill="auto"/>
          </w:tcPr>
          <w:p w:rsidR="00E82B25" w:rsidRPr="003B6E11" w:rsidRDefault="00E82B25" w:rsidP="002D015D">
            <w:pPr>
              <w:tabs>
                <w:tab w:val="left" w:pos="1080"/>
              </w:tabs>
              <w:spacing w:before="60" w:after="60" w:line="240" w:lineRule="atLeast"/>
              <w:jc w:val="center"/>
              <w:rPr>
                <w:rFonts w:cs="Arial"/>
                <w:sz w:val="18"/>
                <w:szCs w:val="18"/>
                <w:lang w:val="cs-CZ"/>
              </w:rPr>
            </w:pPr>
            <w:r w:rsidRPr="003B6E11">
              <w:rPr>
                <w:b/>
                <w:sz w:val="18"/>
                <w:lang w:val="cs-CZ"/>
              </w:rPr>
              <w:t>KAPITOLA 21</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trHeight w:val="1262"/>
          <w:jc w:val="center"/>
        </w:trPr>
        <w:tc>
          <w:tcPr>
            <w:tcW w:w="1342" w:type="dxa"/>
            <w:tcBorders>
              <w:bottom w:val="nil"/>
            </w:tcBorders>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21.01</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Speciální navijáky nebo rovnocenná spojovací zařízení určená k tlačení</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30.12.2049</w:t>
            </w:r>
          </w:p>
        </w:tc>
      </w:tr>
      <w:tr w:rsidR="00E82B25" w:rsidRPr="003B6E11" w:rsidTr="002D015D">
        <w:trPr>
          <w:cantSplit/>
          <w:trHeight w:val="854"/>
          <w:jc w:val="center"/>
        </w:trPr>
        <w:tc>
          <w:tcPr>
            <w:tcW w:w="1342" w:type="dxa"/>
            <w:tcBorders>
              <w:top w:val="nil"/>
            </w:tcBorders>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3 poslední věta</w:t>
            </w: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noProof/>
                <w:sz w:val="18"/>
                <w:lang w:val="cs-CZ"/>
              </w:rPr>
              <w:t>Požadavky na pohonné jednotky</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30.12.2049</w:t>
            </w:r>
          </w:p>
        </w:tc>
      </w:tr>
      <w:tr w:rsidR="00E82B25" w:rsidRPr="003B6E11" w:rsidTr="002D015D">
        <w:trPr>
          <w:cantSplit/>
          <w:jc w:val="center"/>
        </w:trPr>
        <w:tc>
          <w:tcPr>
            <w:tcW w:w="6096" w:type="dxa"/>
            <w:gridSpan w:val="3"/>
            <w:shd w:val="clear" w:color="auto" w:fill="auto"/>
          </w:tcPr>
          <w:p w:rsidR="00E82B25" w:rsidRPr="003B6E11" w:rsidRDefault="00E82B25" w:rsidP="002D015D">
            <w:pPr>
              <w:tabs>
                <w:tab w:val="left" w:pos="1080"/>
              </w:tabs>
              <w:spacing w:before="60" w:after="60" w:line="240" w:lineRule="atLeast"/>
              <w:jc w:val="center"/>
              <w:rPr>
                <w:rFonts w:cs="Arial"/>
                <w:sz w:val="18"/>
                <w:szCs w:val="18"/>
                <w:lang w:val="cs-CZ"/>
              </w:rPr>
            </w:pPr>
            <w:r w:rsidRPr="003B6E11">
              <w:rPr>
                <w:b/>
                <w:sz w:val="18"/>
                <w:lang w:val="cs-CZ"/>
              </w:rPr>
              <w:t>KAPITOLA 22</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sz w:val="18"/>
                <w:lang w:val="cs-CZ"/>
              </w:rPr>
              <w:t>Plovoucí stroje</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Viz ustanovení obsažená v předpisech pro lodě, na něž se nevztahuje směrnice 82/714/EHS: „Žádné zjevné nebezpečí“.</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6096" w:type="dxa"/>
            <w:gridSpan w:val="3"/>
            <w:shd w:val="clear" w:color="auto" w:fill="auto"/>
          </w:tcPr>
          <w:p w:rsidR="00E82B25" w:rsidRPr="003B6E11" w:rsidRDefault="00E82B25" w:rsidP="002D015D">
            <w:pPr>
              <w:tabs>
                <w:tab w:val="left" w:pos="1080"/>
              </w:tabs>
              <w:spacing w:before="60" w:after="60" w:line="240" w:lineRule="atLeast"/>
              <w:jc w:val="center"/>
              <w:rPr>
                <w:rFonts w:cs="Arial"/>
                <w:sz w:val="18"/>
                <w:szCs w:val="18"/>
                <w:lang w:val="cs-CZ"/>
              </w:rPr>
            </w:pPr>
            <w:r w:rsidRPr="003B6E11">
              <w:rPr>
                <w:b/>
                <w:sz w:val="18"/>
                <w:lang w:val="cs-CZ"/>
              </w:rPr>
              <w:t>KAPITOLA 26</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sz w:val="18"/>
                <w:lang w:val="cs-CZ"/>
              </w:rPr>
              <w:t>Rekreační plavidla</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Viz ustanovení obsažená v předpisech pro lodě, na něž se nevztahuje směrnice 82/714/EHS: „Žádné zjevné nebezpečí“.</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6096" w:type="dxa"/>
            <w:gridSpan w:val="3"/>
            <w:shd w:val="clear" w:color="auto" w:fill="auto"/>
          </w:tcPr>
          <w:p w:rsidR="00E82B25" w:rsidRPr="003B6E11" w:rsidRDefault="00E82B25" w:rsidP="002D015D">
            <w:pPr>
              <w:tabs>
                <w:tab w:val="left" w:pos="1080"/>
              </w:tabs>
              <w:spacing w:before="60" w:after="60" w:line="240" w:lineRule="atLeast"/>
              <w:jc w:val="center"/>
              <w:rPr>
                <w:rFonts w:cs="Arial"/>
                <w:sz w:val="18"/>
                <w:szCs w:val="18"/>
                <w:lang w:val="cs-CZ"/>
              </w:rPr>
            </w:pPr>
            <w:r w:rsidRPr="003B6E11">
              <w:rPr>
                <w:b/>
                <w:sz w:val="18"/>
                <w:lang w:val="cs-CZ"/>
              </w:rPr>
              <w:t>KAPITOLA 29</w:t>
            </w:r>
          </w:p>
        </w:tc>
        <w:tc>
          <w:tcPr>
            <w:tcW w:w="6521" w:type="dxa"/>
            <w:shd w:val="clear" w:color="auto" w:fill="auto"/>
          </w:tcPr>
          <w:p w:rsidR="00E82B25" w:rsidRPr="003B6E11" w:rsidRDefault="00E82B25" w:rsidP="002D015D">
            <w:pPr>
              <w:adjustRightInd w:val="0"/>
              <w:spacing w:before="60" w:after="60" w:line="240" w:lineRule="atLeast"/>
              <w:jc w:val="center"/>
              <w:rPr>
                <w:rFonts w:cs="Arial"/>
                <w:sz w:val="18"/>
                <w:szCs w:val="18"/>
                <w:lang w:val="cs-CZ"/>
              </w:rPr>
            </w:pP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 xml:space="preserve">29.02 </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tabs>
                <w:tab w:val="left" w:pos="1080"/>
              </w:tabs>
              <w:spacing w:before="60" w:after="60" w:line="240" w:lineRule="atLeast"/>
              <w:rPr>
                <w:rFonts w:cs="Arial"/>
                <w:sz w:val="18"/>
                <w:szCs w:val="18"/>
                <w:lang w:val="cs-CZ"/>
              </w:rPr>
            </w:pPr>
            <w:r w:rsidRPr="003B6E11">
              <w:rPr>
                <w:sz w:val="18"/>
                <w:lang w:val="cs-CZ"/>
              </w:rPr>
              <w:t>Do provozu se uvede druhá nezávislá pohonná jednotka kormidelního stroje nebo ruční pohon</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30.12.2029</w:t>
            </w:r>
          </w:p>
        </w:tc>
      </w:tr>
    </w:tbl>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hanging="567"/>
        <w:rPr>
          <w:lang w:val="cs-CZ"/>
        </w:rPr>
      </w:pPr>
    </w:p>
    <w:p w:rsidR="00E82B25" w:rsidRPr="003B6E11" w:rsidRDefault="00E82B25" w:rsidP="00E82B25">
      <w:pPr>
        <w:rPr>
          <w:rFonts w:eastAsia="Calibri"/>
          <w:b/>
          <w:lang w:val="cs-CZ"/>
        </w:rPr>
      </w:pPr>
      <w:r w:rsidRPr="003B6E11">
        <w:rPr>
          <w:lang w:val="cs-CZ"/>
        </w:rPr>
        <w:br w:type="page"/>
      </w:r>
    </w:p>
    <w:p w:rsidR="00E82B25" w:rsidRPr="003B6E11" w:rsidRDefault="00E82B25" w:rsidP="00E82B25">
      <w:pPr>
        <w:pStyle w:val="ES-Titre3"/>
        <w:rPr>
          <w:lang w:val="cs-CZ"/>
        </w:rPr>
      </w:pPr>
      <w:bookmarkStart w:id="589" w:name="_Toc491854288"/>
      <w:bookmarkStart w:id="590" w:name="_Toc535417194"/>
      <w:r w:rsidRPr="003B6E11">
        <w:rPr>
          <w:lang w:val="cs-CZ"/>
        </w:rPr>
        <w:t>Článek 33.03</w:t>
      </w:r>
      <w:bookmarkEnd w:id="589"/>
      <w:bookmarkEnd w:id="590"/>
    </w:p>
    <w:p w:rsidR="00E82B25" w:rsidRPr="003B6E11" w:rsidRDefault="00E82B25" w:rsidP="00E82B25">
      <w:pPr>
        <w:pStyle w:val="ES-Titre3a"/>
        <w:rPr>
          <w:lang w:val="cs-CZ"/>
        </w:rPr>
      </w:pPr>
      <w:bookmarkStart w:id="591" w:name="_Toc421775899"/>
      <w:bookmarkStart w:id="592" w:name="_Toc491854289"/>
      <w:bookmarkStart w:id="593" w:name="_Toc535417195"/>
      <w:r w:rsidRPr="003B6E11">
        <w:rPr>
          <w:lang w:val="cs-CZ"/>
        </w:rPr>
        <w:t>Dodatečná přechodná ustanovení pro plavidla, jejichž kýl byl položen před 1. lednem 1985</w:t>
      </w:r>
      <w:bookmarkEnd w:id="591"/>
      <w:bookmarkEnd w:id="592"/>
      <w:bookmarkEnd w:id="593"/>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hanging="567"/>
        <w:rPr>
          <w:lang w:val="cs-CZ"/>
        </w:rPr>
      </w:pPr>
      <w:r w:rsidRPr="003B6E11">
        <w:rPr>
          <w:lang w:val="cs-CZ"/>
        </w:rPr>
        <w:t xml:space="preserve">1. </w:t>
      </w:r>
      <w:r w:rsidRPr="003B6E11">
        <w:rPr>
          <w:lang w:val="cs-CZ"/>
        </w:rPr>
        <w:tab/>
        <w:t>Kromě přechodných ustanovení článku 33.02 lze na plavidla, jejichž kýl byl položen před 1. lednem 1985, uplatňovat následující ustanovení, pokud je řádně zajištěna bezpečnost plavidla a posádky.</w:t>
      </w:r>
    </w:p>
    <w:p w:rsidR="00E82B25" w:rsidRPr="003B6E11" w:rsidRDefault="00E82B25" w:rsidP="00E82B25">
      <w:pPr>
        <w:spacing w:line="240" w:lineRule="atLeast"/>
        <w:ind w:left="567" w:hanging="567"/>
        <w:rPr>
          <w:highlight w:val="yellow"/>
          <w:lang w:val="cs-CZ"/>
        </w:rPr>
      </w:pPr>
    </w:p>
    <w:p w:rsidR="00E82B25" w:rsidRPr="003B6E11" w:rsidRDefault="00E82B25" w:rsidP="00E82B25">
      <w:pPr>
        <w:spacing w:line="240" w:lineRule="atLeast"/>
        <w:ind w:left="567" w:hanging="567"/>
        <w:rPr>
          <w:lang w:val="cs-CZ"/>
        </w:rPr>
      </w:pPr>
      <w:r w:rsidRPr="003B6E11">
        <w:rPr>
          <w:lang w:val="cs-CZ"/>
        </w:rPr>
        <w:t>2.</w:t>
      </w:r>
      <w:r w:rsidRPr="003B6E11">
        <w:rPr>
          <w:lang w:val="cs-CZ"/>
        </w:rPr>
        <w:tab/>
        <w:t>V tabulce platí tyto definice:</w:t>
      </w:r>
    </w:p>
    <w:p w:rsidR="00E82B25" w:rsidRPr="003B6E11" w:rsidRDefault="00E82B25" w:rsidP="00E82B25">
      <w:pPr>
        <w:spacing w:line="240" w:lineRule="atLeast"/>
        <w:ind w:left="567" w:hanging="567"/>
        <w:rPr>
          <w:lang w:val="cs-CZ"/>
        </w:rPr>
      </w:pPr>
    </w:p>
    <w:p w:rsidR="00E82B25" w:rsidRPr="003B6E11" w:rsidRDefault="00E82B25" w:rsidP="00E82B25">
      <w:pPr>
        <w:spacing w:line="240" w:lineRule="atLeast"/>
        <w:ind w:left="567"/>
        <w:rPr>
          <w:lang w:val="cs-CZ"/>
        </w:rPr>
      </w:pPr>
      <w:r w:rsidRPr="003B6E11">
        <w:rPr>
          <w:lang w:val="cs-CZ"/>
        </w:rPr>
        <w:t xml:space="preserve">„N.V.P.“: Ustanovení se nevztahuje na plavidla, která jsou již v provozu, nejsou-li dotyčné části měněny nebo přestavovány, tj. ustanovení se vztahuje pouze na </w:t>
      </w:r>
      <w:r w:rsidRPr="003B6E11">
        <w:rPr>
          <w:u w:val="single"/>
          <w:lang w:val="cs-CZ"/>
        </w:rPr>
        <w:t>N</w:t>
      </w:r>
      <w:r w:rsidRPr="003B6E11">
        <w:rPr>
          <w:lang w:val="cs-CZ"/>
        </w:rPr>
        <w:t xml:space="preserve">ové lodě a na </w:t>
      </w:r>
      <w:r w:rsidRPr="003B6E11">
        <w:rPr>
          <w:u w:val="single"/>
          <w:lang w:val="cs-CZ"/>
        </w:rPr>
        <w:t>V</w:t>
      </w:r>
      <w:r w:rsidRPr="003B6E11">
        <w:rPr>
          <w:lang w:val="cs-CZ"/>
        </w:rPr>
        <w:t xml:space="preserve">ýměnu nebo </w:t>
      </w:r>
      <w:r w:rsidRPr="003B6E11">
        <w:rPr>
          <w:u w:val="single"/>
          <w:lang w:val="cs-CZ"/>
        </w:rPr>
        <w:t>P</w:t>
      </w:r>
      <w:r w:rsidRPr="003B6E11">
        <w:rPr>
          <w:lang w:val="cs-CZ"/>
        </w:rPr>
        <w:t xml:space="preserve">řestavbu dotyčných částí nebo prostor. Jsou-li stávající části nahrazovány náhradními součástmi se stejnou technologií nebo stejného typu, nepředstavuje to výměnu („V“) ve smyslu přechodných ustanovení. </w:t>
      </w:r>
    </w:p>
    <w:p w:rsidR="00E82B25" w:rsidRPr="003B6E11" w:rsidRDefault="00E82B25" w:rsidP="00E82B25">
      <w:pPr>
        <w:spacing w:line="240" w:lineRule="atLeast"/>
        <w:ind w:left="567"/>
        <w:rPr>
          <w:lang w:val="cs-CZ"/>
        </w:rPr>
      </w:pPr>
    </w:p>
    <w:p w:rsidR="00E82B25" w:rsidRPr="003B6E11" w:rsidRDefault="00E82B25" w:rsidP="00E82B25">
      <w:pPr>
        <w:tabs>
          <w:tab w:val="left" w:pos="4678"/>
        </w:tabs>
        <w:spacing w:line="240" w:lineRule="atLeast"/>
        <w:ind w:left="567"/>
        <w:rPr>
          <w:lang w:val="cs-CZ"/>
        </w:rPr>
      </w:pPr>
      <w:r w:rsidRPr="003B6E11">
        <w:rPr>
          <w:lang w:val="cs-CZ"/>
        </w:rPr>
        <w:t>„Vystavení nebo obnovení osvědčení plavidla vnitrozemské plavby“: Soulad s ustanovením musí být zajištěn do doby vystavení osvědčení plavidla vnitrozemské plavby nebo jeho obnovení po vstupu ustanovení v platnost.</w:t>
      </w:r>
    </w:p>
    <w:p w:rsidR="00E82B25" w:rsidRPr="003B6E11" w:rsidRDefault="00E82B25" w:rsidP="00E82B25">
      <w:pPr>
        <w:spacing w:line="240" w:lineRule="atLeast"/>
        <w:ind w:left="567"/>
        <w:rPr>
          <w:lang w:val="cs-CZ"/>
        </w:rPr>
      </w:pPr>
    </w:p>
    <w:p w:rsidR="00E82B25" w:rsidRPr="003B6E11" w:rsidRDefault="00E82B25" w:rsidP="00E82B25">
      <w:pPr>
        <w:rPr>
          <w:lang w:val="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458"/>
        <w:gridCol w:w="3296"/>
        <w:gridCol w:w="6521"/>
        <w:gridCol w:w="1276"/>
      </w:tblGrid>
      <w:tr w:rsidR="00E82B25" w:rsidRPr="003B6E11" w:rsidTr="002D015D">
        <w:trPr>
          <w:cantSplit/>
          <w:tblHeader/>
          <w:jc w:val="center"/>
        </w:trPr>
        <w:tc>
          <w:tcPr>
            <w:tcW w:w="2800" w:type="dxa"/>
            <w:gridSpan w:val="2"/>
            <w:tcBorders>
              <w:bottom w:val="nil"/>
            </w:tcBorders>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i/>
                <w:sz w:val="18"/>
                <w:lang w:val="cs-CZ"/>
              </w:rPr>
              <w:t>Článek a odstavec</w:t>
            </w:r>
          </w:p>
        </w:tc>
        <w:tc>
          <w:tcPr>
            <w:tcW w:w="3296" w:type="dxa"/>
            <w:shd w:val="clear" w:color="auto" w:fill="auto"/>
          </w:tcPr>
          <w:p w:rsidR="00E82B25" w:rsidRPr="003B6E11" w:rsidRDefault="00E82B25" w:rsidP="002D015D">
            <w:pPr>
              <w:spacing w:before="60" w:after="60" w:line="240" w:lineRule="atLeast"/>
              <w:jc w:val="center"/>
              <w:rPr>
                <w:rFonts w:cs="Arial"/>
                <w:noProof/>
                <w:sz w:val="18"/>
                <w:szCs w:val="18"/>
                <w:lang w:val="cs-CZ"/>
              </w:rPr>
            </w:pPr>
            <w:r w:rsidRPr="003B6E11">
              <w:rPr>
                <w:i/>
                <w:sz w:val="18"/>
                <w:lang w:val="cs-CZ"/>
              </w:rPr>
              <w:t>Obsah</w:t>
            </w:r>
          </w:p>
        </w:tc>
        <w:tc>
          <w:tcPr>
            <w:tcW w:w="7797" w:type="dxa"/>
            <w:gridSpan w:val="2"/>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i/>
                <w:sz w:val="18"/>
                <w:lang w:val="cs-CZ"/>
              </w:rPr>
              <w:t>Lhůta a poznámky</w:t>
            </w: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00" w:after="100" w:line="240" w:lineRule="atLeast"/>
              <w:jc w:val="center"/>
              <w:rPr>
                <w:rFonts w:cs="Arial"/>
                <w:b/>
                <w:sz w:val="18"/>
                <w:szCs w:val="18"/>
                <w:lang w:val="cs-CZ"/>
              </w:rPr>
            </w:pPr>
            <w:r w:rsidRPr="003B6E11">
              <w:rPr>
                <w:b/>
                <w:sz w:val="18"/>
                <w:lang w:val="cs-CZ"/>
              </w:rPr>
              <w:t>KAPITOLA 3</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3.03</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 xml:space="preserve">odst. 1 </w:t>
            </w:r>
          </w:p>
        </w:tc>
        <w:tc>
          <w:tcPr>
            <w:tcW w:w="3296" w:type="dxa"/>
            <w:shd w:val="clear" w:color="auto" w:fill="auto"/>
          </w:tcPr>
          <w:p w:rsidR="00E82B25" w:rsidRPr="003B6E11" w:rsidRDefault="00E82B25" w:rsidP="002D015D">
            <w:pPr>
              <w:spacing w:before="100" w:after="100" w:line="240" w:lineRule="atLeast"/>
              <w:rPr>
                <w:rFonts w:cs="Arial"/>
                <w:noProof/>
                <w:sz w:val="18"/>
                <w:szCs w:val="18"/>
                <w:lang w:val="cs-CZ"/>
              </w:rPr>
            </w:pPr>
            <w:r w:rsidRPr="003B6E11">
              <w:rPr>
                <w:noProof/>
                <w:sz w:val="18"/>
                <w:lang w:val="cs-CZ"/>
              </w:rPr>
              <w:t>Vodotěsné kolizní přepážky</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tcBorders>
              <w:top w:val="nil"/>
              <w:bottom w:val="nil"/>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00" w:after="100" w:line="240" w:lineRule="atLeast"/>
              <w:rPr>
                <w:rFonts w:cs="Arial"/>
                <w:noProof/>
                <w:sz w:val="18"/>
                <w:szCs w:val="18"/>
                <w:lang w:val="cs-CZ"/>
              </w:rPr>
            </w:pPr>
            <w:r w:rsidRPr="003B6E11">
              <w:rPr>
                <w:noProof/>
                <w:sz w:val="18"/>
                <w:lang w:val="cs-CZ"/>
              </w:rPr>
              <w:t>Obytné prostory, bezpečnostní vybavení</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tcBorders>
              <w:top w:val="nil"/>
              <w:bottom w:val="single" w:sz="4" w:space="0" w:color="auto"/>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5</w:t>
            </w:r>
          </w:p>
        </w:tc>
        <w:tc>
          <w:tcPr>
            <w:tcW w:w="3296" w:type="dxa"/>
            <w:shd w:val="clear" w:color="auto" w:fill="auto"/>
          </w:tcPr>
          <w:p w:rsidR="00E82B25" w:rsidRPr="003B6E11" w:rsidRDefault="00E82B25" w:rsidP="002D015D">
            <w:pPr>
              <w:spacing w:before="100" w:after="100" w:line="240" w:lineRule="atLeast"/>
              <w:rPr>
                <w:rFonts w:cs="Arial"/>
                <w:noProof/>
                <w:sz w:val="18"/>
                <w:szCs w:val="18"/>
                <w:lang w:val="cs-CZ"/>
              </w:rPr>
            </w:pPr>
            <w:r w:rsidRPr="003B6E11">
              <w:rPr>
                <w:noProof/>
                <w:sz w:val="18"/>
                <w:lang w:val="cs-CZ"/>
              </w:rPr>
              <w:t>Otvory ve vodotěsných přepážkách</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tcBorders>
              <w:bottom w:val="nil"/>
            </w:tcBorders>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3.04</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Společné plochy nádrží a obytných prostor a prostor pro cestující</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tcBorders>
              <w:top w:val="nil"/>
            </w:tcBorders>
            <w:shd w:val="clear" w:color="auto" w:fill="auto"/>
          </w:tcPr>
          <w:p w:rsidR="00E82B25" w:rsidRPr="003B6E11" w:rsidRDefault="00E82B25" w:rsidP="002D015D">
            <w:pPr>
              <w:spacing w:before="100" w:after="100" w:line="240" w:lineRule="atLeast"/>
              <w:rPr>
                <w:rFonts w:cs="Arial"/>
                <w:sz w:val="18"/>
                <w:szCs w:val="18"/>
                <w:lang w:val="cs-CZ"/>
              </w:rPr>
            </w:pP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7</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Nejvyšší přípustná hladina akustického tlaku ve strojovnách</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00" w:after="100" w:line="240" w:lineRule="atLeast"/>
              <w:jc w:val="center"/>
              <w:rPr>
                <w:rFonts w:cs="Arial"/>
                <w:sz w:val="18"/>
                <w:szCs w:val="18"/>
                <w:lang w:val="cs-CZ"/>
              </w:rPr>
            </w:pPr>
            <w:r w:rsidRPr="003B6E11">
              <w:rPr>
                <w:b/>
                <w:sz w:val="18"/>
                <w:lang w:val="cs-CZ"/>
              </w:rPr>
              <w:t>KAPITOLA 4</w:t>
            </w:r>
          </w:p>
        </w:tc>
        <w:tc>
          <w:tcPr>
            <w:tcW w:w="6521" w:type="dxa"/>
            <w:shd w:val="clear" w:color="auto" w:fill="auto"/>
          </w:tcPr>
          <w:p w:rsidR="00E82B25" w:rsidRPr="003B6E11" w:rsidRDefault="00E82B25" w:rsidP="002D015D">
            <w:pPr>
              <w:spacing w:before="100" w:after="100" w:line="240" w:lineRule="atLeast"/>
              <w:rPr>
                <w:rFonts w:cs="Arial"/>
                <w:b/>
                <w:sz w:val="18"/>
                <w:szCs w:val="18"/>
                <w:lang w:val="cs-CZ"/>
              </w:rPr>
            </w:pP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4.01</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Bezpečnostní vzdálenost</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 po</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30.12.2019</w:t>
            </w: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4.02</w:t>
            </w:r>
          </w:p>
        </w:tc>
        <w:tc>
          <w:tcPr>
            <w:tcW w:w="1458" w:type="dxa"/>
            <w:shd w:val="clear" w:color="auto" w:fill="auto"/>
          </w:tcPr>
          <w:p w:rsidR="00E82B25" w:rsidRPr="003B6E11" w:rsidRDefault="00E82B25" w:rsidP="002D015D">
            <w:pPr>
              <w:spacing w:before="100" w:after="100" w:line="240" w:lineRule="atLeast"/>
              <w:jc w:val="center"/>
              <w:rPr>
                <w:rFonts w:cs="Arial"/>
                <w:sz w:val="18"/>
                <w:szCs w:val="18"/>
                <w:lang w:val="cs-CZ"/>
              </w:rPr>
            </w:pP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Volný bok</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00" w:after="100" w:line="240" w:lineRule="atLeast"/>
              <w:jc w:val="center"/>
              <w:rPr>
                <w:rFonts w:cs="Arial"/>
                <w:sz w:val="18"/>
                <w:szCs w:val="18"/>
                <w:lang w:val="cs-CZ"/>
              </w:rPr>
            </w:pPr>
            <w:r w:rsidRPr="003B6E11">
              <w:rPr>
                <w:b/>
                <w:sz w:val="18"/>
                <w:lang w:val="cs-CZ"/>
              </w:rPr>
              <w:t>KAPITOLA 6</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6.01</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Požadavky na kormidelní zařízení</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00" w:after="100" w:line="240" w:lineRule="atLeast"/>
              <w:jc w:val="center"/>
              <w:rPr>
                <w:rFonts w:cs="Arial"/>
                <w:sz w:val="18"/>
                <w:szCs w:val="18"/>
                <w:lang w:val="cs-CZ"/>
              </w:rPr>
            </w:pPr>
            <w:r w:rsidRPr="003B6E11">
              <w:rPr>
                <w:b/>
                <w:sz w:val="18"/>
                <w:lang w:val="cs-CZ"/>
              </w:rPr>
              <w:t>KAPITOLA 7</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7.01</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Akustický tlak vytvářený lodí</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7.05</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Kontrola navigačních světel</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Obnovení osvědčení plavidla vnitrozemské plavby</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7.12</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Spouštěcí kormidelny</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00" w:after="100" w:line="240" w:lineRule="atLeast"/>
              <w:jc w:val="center"/>
              <w:rPr>
                <w:rFonts w:cs="Arial"/>
                <w:sz w:val="18"/>
                <w:szCs w:val="18"/>
                <w:lang w:val="cs-CZ"/>
              </w:rPr>
            </w:pPr>
            <w:r w:rsidRPr="003B6E11">
              <w:rPr>
                <w:b/>
                <w:sz w:val="18"/>
                <w:lang w:val="cs-CZ"/>
              </w:rPr>
              <w:t>KAPITOLA 8</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8.01</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Zákaz některých kapalných paliv</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8.04</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Výfukový systém motoru</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 nejpozději při obnovení osvědčení plavidla vnitrozemské plavby</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8.05</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13</w:t>
            </w:r>
          </w:p>
        </w:tc>
        <w:tc>
          <w:tcPr>
            <w:tcW w:w="3296" w:type="dxa"/>
            <w:shd w:val="clear" w:color="auto" w:fill="auto"/>
          </w:tcPr>
          <w:p w:rsidR="00E82B25" w:rsidRPr="003B6E11" w:rsidRDefault="00E82B25" w:rsidP="002D015D">
            <w:pPr>
              <w:spacing w:before="100" w:after="100" w:line="240" w:lineRule="atLeast"/>
              <w:ind w:left="15" w:hanging="15"/>
              <w:rPr>
                <w:rFonts w:cs="Arial"/>
                <w:sz w:val="18"/>
                <w:szCs w:val="18"/>
                <w:lang w:val="cs-CZ"/>
              </w:rPr>
            </w:pPr>
            <w:r w:rsidRPr="003B6E11">
              <w:rPr>
                <w:noProof/>
                <w:sz w:val="18"/>
                <w:lang w:val="cs-CZ"/>
              </w:rPr>
              <w:t>Kontrola výše hladiny nejen u hlavních motorů, ale také u motorů potřebných pro bezpečný provoz plavidla</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8.08</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Vybavení drenážními čerpadly</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8.08</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3 a 4</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Průměr a minimální výkon drenážních čerpadel</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8.08</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5</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Samonasávací drenážní čerpadla</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8.08</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6</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Vybavení sacími koši</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8.08</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7</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Automaticky uzavíratelná armatura</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8.10</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Hluk vydávaný lodí během plavby</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00" w:after="100" w:line="240" w:lineRule="atLeast"/>
              <w:jc w:val="center"/>
              <w:rPr>
                <w:rFonts w:cs="Arial"/>
                <w:sz w:val="18"/>
                <w:szCs w:val="18"/>
                <w:lang w:val="cs-CZ"/>
              </w:rPr>
            </w:pPr>
            <w:r w:rsidRPr="003B6E11">
              <w:rPr>
                <w:b/>
                <w:sz w:val="18"/>
                <w:lang w:val="cs-CZ"/>
              </w:rPr>
              <w:t>KAPITOLA 10</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10.01</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Dokumentace elektrických zařízení</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10.01</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Konstrukce elektrických zařízení</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10.06</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Nejvyšší přípustná napětí</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10.10</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Generátory, motory a transformátory</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10.11</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Umístění akumulátorů</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 xml:space="preserve">10.12 </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Spínače, ochranná zařízení</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 xml:space="preserve">10.14 </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Současné přepínání</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10.15</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Kabely</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 xml:space="preserve">10.16 </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Osvětlení strojoven</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10.17</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Rozvaděče pro navigační světla</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10.17</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Napájení navigačních světel</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100" w:after="100" w:line="240" w:lineRule="atLeast"/>
              <w:jc w:val="center"/>
              <w:rPr>
                <w:rFonts w:cs="Arial"/>
                <w:sz w:val="18"/>
                <w:szCs w:val="18"/>
                <w:lang w:val="cs-CZ"/>
              </w:rPr>
            </w:pPr>
            <w:r w:rsidRPr="003B6E11">
              <w:rPr>
                <w:b/>
                <w:sz w:val="18"/>
                <w:lang w:val="cs-CZ"/>
              </w:rPr>
              <w:t>KAPITOLA 13</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13.01</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9</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Kotevní navijáky u kotev o hmotnosti větší než 50 kg</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13.07</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Použití evropské normy na lodní člun</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13.08</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1</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Použití normy na záchranné kruhy</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13.08</w:t>
            </w:r>
          </w:p>
        </w:tc>
        <w:tc>
          <w:tcPr>
            <w:tcW w:w="1458"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noProof/>
                <w:sz w:val="18"/>
                <w:lang w:val="cs-CZ"/>
              </w:rPr>
              <w:t>Použití normy na záchranné vesty</w:t>
            </w:r>
          </w:p>
        </w:tc>
        <w:tc>
          <w:tcPr>
            <w:tcW w:w="6521" w:type="dxa"/>
            <w:shd w:val="clear" w:color="auto" w:fill="auto"/>
          </w:tcPr>
          <w:p w:rsidR="00E82B25" w:rsidRPr="003B6E11" w:rsidRDefault="00E82B25" w:rsidP="002D015D">
            <w:pPr>
              <w:spacing w:before="100" w:after="10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100" w:after="100" w:line="240" w:lineRule="atLeast"/>
              <w:rPr>
                <w:rFonts w:cs="Arial"/>
                <w:sz w:val="18"/>
                <w:szCs w:val="18"/>
                <w:lang w:val="cs-CZ"/>
              </w:rPr>
            </w:pP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b/>
                <w:sz w:val="18"/>
                <w:lang w:val="cs-CZ"/>
              </w:rPr>
              <w:t>KAPITOLA 14</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14.11</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2</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Bezpečnost navijáků</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6096" w:type="dxa"/>
            <w:gridSpan w:val="3"/>
            <w:shd w:val="clear" w:color="auto" w:fill="auto"/>
          </w:tcPr>
          <w:p w:rsidR="00E82B25" w:rsidRPr="003B6E11" w:rsidRDefault="00E82B25" w:rsidP="002D015D">
            <w:pPr>
              <w:spacing w:before="60" w:after="60" w:line="240" w:lineRule="atLeast"/>
              <w:jc w:val="center"/>
              <w:rPr>
                <w:rFonts w:cs="Arial"/>
                <w:sz w:val="18"/>
                <w:szCs w:val="18"/>
                <w:lang w:val="cs-CZ"/>
              </w:rPr>
            </w:pPr>
            <w:r w:rsidRPr="003B6E11">
              <w:rPr>
                <w:b/>
                <w:sz w:val="18"/>
                <w:lang w:val="cs-CZ"/>
              </w:rPr>
              <w:t>KAPITOLA 15</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r w:rsidR="00E82B25" w:rsidRPr="003B6E11" w:rsidTr="002D015D">
        <w:trPr>
          <w:cantSplit/>
          <w:jc w:val="center"/>
        </w:trPr>
        <w:tc>
          <w:tcPr>
            <w:tcW w:w="1342"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15.02</w:t>
            </w:r>
          </w:p>
        </w:tc>
        <w:tc>
          <w:tcPr>
            <w:tcW w:w="1458"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odst. 3</w:t>
            </w:r>
          </w:p>
        </w:tc>
        <w:tc>
          <w:tcPr>
            <w:tcW w:w="3296"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noProof/>
                <w:sz w:val="18"/>
                <w:lang w:val="cs-CZ"/>
              </w:rPr>
              <w:t>Potrubí vedoucí nebezpečné plyny nebo kapaliny</w:t>
            </w:r>
          </w:p>
        </w:tc>
        <w:tc>
          <w:tcPr>
            <w:tcW w:w="6521" w:type="dxa"/>
            <w:shd w:val="clear" w:color="auto" w:fill="auto"/>
          </w:tcPr>
          <w:p w:rsidR="00E82B25" w:rsidRPr="003B6E11" w:rsidRDefault="00E82B25" w:rsidP="002D015D">
            <w:pPr>
              <w:spacing w:before="60" w:after="60" w:line="240" w:lineRule="atLeast"/>
              <w:rPr>
                <w:rFonts w:cs="Arial"/>
                <w:sz w:val="18"/>
                <w:szCs w:val="18"/>
                <w:lang w:val="cs-CZ"/>
              </w:rPr>
            </w:pPr>
            <w:r w:rsidRPr="003B6E11">
              <w:rPr>
                <w:sz w:val="18"/>
                <w:lang w:val="cs-CZ"/>
              </w:rPr>
              <w:t>N.V.P.</w:t>
            </w:r>
          </w:p>
        </w:tc>
        <w:tc>
          <w:tcPr>
            <w:tcW w:w="1276" w:type="dxa"/>
            <w:shd w:val="clear" w:color="auto" w:fill="auto"/>
          </w:tcPr>
          <w:p w:rsidR="00E82B25" w:rsidRPr="003B6E11" w:rsidRDefault="00E82B25" w:rsidP="002D015D">
            <w:pPr>
              <w:spacing w:before="60" w:after="60" w:line="240" w:lineRule="atLeast"/>
              <w:rPr>
                <w:rFonts w:cs="Arial"/>
                <w:sz w:val="18"/>
                <w:szCs w:val="18"/>
                <w:lang w:val="cs-CZ"/>
              </w:rPr>
            </w:pPr>
          </w:p>
        </w:tc>
      </w:tr>
    </w:tbl>
    <w:p w:rsidR="00E82B25" w:rsidRPr="003B6E11" w:rsidRDefault="00E82B25" w:rsidP="00E82B25">
      <w:pPr>
        <w:spacing w:line="240" w:lineRule="atLeast"/>
        <w:rPr>
          <w:noProof/>
          <w:lang w:val="cs-CZ"/>
        </w:rPr>
      </w:pPr>
    </w:p>
    <w:p w:rsidR="00E82B25" w:rsidRPr="003B6E11" w:rsidRDefault="00E82B25" w:rsidP="00E82B25">
      <w:pPr>
        <w:spacing w:line="240" w:lineRule="atLeast"/>
        <w:ind w:left="567" w:hanging="567"/>
        <w:rPr>
          <w:lang w:val="cs-CZ"/>
        </w:rPr>
      </w:pPr>
    </w:p>
    <w:p w:rsidR="00E82B25" w:rsidRPr="003B6E11" w:rsidRDefault="00E82B25" w:rsidP="00E82B25">
      <w:pPr>
        <w:rPr>
          <w:noProof/>
          <w:lang w:val="cs-CZ"/>
        </w:rPr>
      </w:pPr>
    </w:p>
    <w:p w:rsidR="00E82B25" w:rsidRPr="003B6E11" w:rsidRDefault="00E82B25" w:rsidP="00E82B25">
      <w:pPr>
        <w:rPr>
          <w:noProof/>
          <w:lang w:val="cs-CZ"/>
        </w:rPr>
      </w:pPr>
    </w:p>
    <w:p w:rsidR="00E82B25" w:rsidRPr="003B6E11" w:rsidRDefault="00E82B25" w:rsidP="00E82B25">
      <w:pPr>
        <w:rPr>
          <w:noProof/>
          <w:lang w:val="cs-CZ"/>
        </w:rPr>
      </w:pP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ch"/>
        <w:rPr>
          <w:lang w:val="cs-CZ"/>
        </w:rPr>
      </w:pPr>
    </w:p>
    <w:p w:rsidR="00E82B25" w:rsidRPr="003B6E11" w:rsidRDefault="00E82B25" w:rsidP="00E82B25">
      <w:pPr>
        <w:pStyle w:val="ESch"/>
        <w:rPr>
          <w:lang w:val="cs-CZ"/>
        </w:rPr>
        <w:sectPr w:rsidR="00E82B25" w:rsidRPr="003B6E11" w:rsidSect="001E2331">
          <w:headerReference w:type="first" r:id="rId36"/>
          <w:footerReference w:type="first" r:id="rId37"/>
          <w:footnotePr>
            <w:numRestart w:val="eachPage"/>
          </w:footnotePr>
          <w:pgSz w:w="16838" w:h="11906" w:orient="landscape" w:code="9"/>
          <w:pgMar w:top="1418" w:right="1418" w:bottom="1418" w:left="1418" w:header="709" w:footer="709" w:gutter="0"/>
          <w:cols w:space="709"/>
          <w:titlePg/>
          <w:docGrid w:linePitch="272"/>
        </w:sectPr>
      </w:pPr>
    </w:p>
    <w:p w:rsidR="003B6E11" w:rsidRPr="003B6E11" w:rsidRDefault="003B6E11" w:rsidP="003B6E11">
      <w:pPr>
        <w:pStyle w:val="ES-Titre3a"/>
        <w:rPr>
          <w:lang w:val="cs-CZ"/>
        </w:rPr>
      </w:pPr>
    </w:p>
    <w:p w:rsidR="003B6E11" w:rsidRPr="003B6E11" w:rsidRDefault="003B6E11" w:rsidP="003B6E11">
      <w:pPr>
        <w:pStyle w:val="ES-Titre3a"/>
        <w:rPr>
          <w:lang w:val="cs-CZ"/>
        </w:rPr>
      </w:pPr>
    </w:p>
    <w:p w:rsidR="003B6E11" w:rsidRPr="003B6E11" w:rsidRDefault="003B6E11" w:rsidP="003B6E11">
      <w:pPr>
        <w:pStyle w:val="ES-Titre3a"/>
        <w:rPr>
          <w:lang w:val="cs-CZ"/>
        </w:rPr>
      </w:pPr>
    </w:p>
    <w:p w:rsidR="003B6E11" w:rsidRPr="003B6E11" w:rsidRDefault="003B6E11" w:rsidP="003B6E11">
      <w:pPr>
        <w:pStyle w:val="ES-Titre3a"/>
        <w:rPr>
          <w:lang w:val="cs-CZ"/>
        </w:rPr>
      </w:pPr>
    </w:p>
    <w:p w:rsidR="003B6E11" w:rsidRPr="003B6E11" w:rsidRDefault="003B6E11" w:rsidP="003B6E11">
      <w:pPr>
        <w:pStyle w:val="ES-Titre3a"/>
        <w:rPr>
          <w:lang w:val="cs-CZ"/>
        </w:rPr>
      </w:pPr>
    </w:p>
    <w:p w:rsidR="003B6E11" w:rsidRPr="003B6E11" w:rsidRDefault="003B6E11" w:rsidP="003B6E11">
      <w:pPr>
        <w:pStyle w:val="ES-Titre3a"/>
        <w:rPr>
          <w:lang w:val="cs-CZ"/>
        </w:rPr>
      </w:pPr>
    </w:p>
    <w:p w:rsidR="003B6E11" w:rsidRPr="003B6E11" w:rsidRDefault="003B6E11" w:rsidP="003B6E11">
      <w:pPr>
        <w:pStyle w:val="ES-Titre3a"/>
        <w:rPr>
          <w:lang w:val="cs-CZ"/>
        </w:rPr>
      </w:pPr>
    </w:p>
    <w:p w:rsidR="003B6E11" w:rsidRPr="003B6E11" w:rsidRDefault="003B6E11" w:rsidP="003B6E11">
      <w:pPr>
        <w:pStyle w:val="ES-Titre3a"/>
        <w:rPr>
          <w:lang w:val="cs-CZ"/>
        </w:rPr>
      </w:pPr>
    </w:p>
    <w:p w:rsidR="003B6E11" w:rsidRPr="003B6E11" w:rsidRDefault="003B6E11" w:rsidP="003B6E11">
      <w:pPr>
        <w:pStyle w:val="ES-Titre3a"/>
        <w:rPr>
          <w:lang w:val="cs-CZ"/>
        </w:rPr>
      </w:pPr>
    </w:p>
    <w:p w:rsidR="003B6E11" w:rsidRPr="003B6E11" w:rsidRDefault="003B6E11" w:rsidP="003B6E11">
      <w:pPr>
        <w:pStyle w:val="ES-Titre3a"/>
        <w:rPr>
          <w:lang w:val="cs-CZ"/>
        </w:rPr>
      </w:pPr>
    </w:p>
    <w:p w:rsidR="003B6E11" w:rsidRPr="003B6E11" w:rsidRDefault="003B6E11" w:rsidP="003B6E11">
      <w:pPr>
        <w:pStyle w:val="ES-Titre3a"/>
        <w:rPr>
          <w:lang w:val="cs-CZ"/>
        </w:rPr>
      </w:pPr>
    </w:p>
    <w:p w:rsidR="003B6E11" w:rsidRPr="003B6E11" w:rsidRDefault="003B6E11" w:rsidP="003B6E11">
      <w:pPr>
        <w:pStyle w:val="ES-Titre3a"/>
        <w:rPr>
          <w:lang w:val="cs-CZ"/>
        </w:rPr>
      </w:pPr>
    </w:p>
    <w:p w:rsidR="003B6E11" w:rsidRPr="003B6E11" w:rsidRDefault="003B6E11" w:rsidP="003B6E11">
      <w:pPr>
        <w:pStyle w:val="ES-Titre3a"/>
        <w:rPr>
          <w:lang w:val="cs-CZ"/>
        </w:rPr>
      </w:pPr>
    </w:p>
    <w:p w:rsidR="003B6E11" w:rsidRPr="003B6E11" w:rsidRDefault="003B6E11" w:rsidP="003B6E11">
      <w:pPr>
        <w:pStyle w:val="ES-Titre3a"/>
        <w:rPr>
          <w:lang w:val="cs-CZ"/>
        </w:rPr>
      </w:pPr>
    </w:p>
    <w:p w:rsidR="003B6E11" w:rsidRPr="003B6E11" w:rsidRDefault="003B6E11" w:rsidP="003B6E11">
      <w:pPr>
        <w:pStyle w:val="ES-Titre3a"/>
        <w:rPr>
          <w:lang w:val="cs-CZ"/>
        </w:rPr>
      </w:pPr>
    </w:p>
    <w:p w:rsidR="003B6E11" w:rsidRPr="003B6E11" w:rsidRDefault="003B6E11" w:rsidP="003B6E11">
      <w:pPr>
        <w:pStyle w:val="ES-Titre3a"/>
        <w:rPr>
          <w:lang w:val="cs-CZ"/>
        </w:rPr>
      </w:pPr>
    </w:p>
    <w:p w:rsidR="003B6E11" w:rsidRPr="003B6E11" w:rsidRDefault="003B6E11" w:rsidP="003B6E11">
      <w:pPr>
        <w:pStyle w:val="ES-Titre3a"/>
        <w:rPr>
          <w:lang w:val="cs-CZ"/>
        </w:rPr>
      </w:pPr>
    </w:p>
    <w:p w:rsidR="003B6E11" w:rsidRPr="003B6E11" w:rsidRDefault="003B6E11" w:rsidP="003B6E11">
      <w:pPr>
        <w:pStyle w:val="ES-Titre3a"/>
        <w:rPr>
          <w:lang w:val="cs-CZ"/>
        </w:rPr>
      </w:pPr>
    </w:p>
    <w:p w:rsidR="003B6E11" w:rsidRPr="003B6E11" w:rsidRDefault="003B6E11" w:rsidP="003B6E11">
      <w:pPr>
        <w:pStyle w:val="ES-Titre3a"/>
        <w:rPr>
          <w:lang w:val="cs-CZ"/>
        </w:rPr>
      </w:pPr>
    </w:p>
    <w:p w:rsidR="003B6E11" w:rsidRPr="003B6E11" w:rsidRDefault="003B6E11" w:rsidP="003B6E11">
      <w:pPr>
        <w:pStyle w:val="ES-Titre3a"/>
        <w:rPr>
          <w:lang w:val="cs-CZ"/>
        </w:rPr>
      </w:pPr>
    </w:p>
    <w:p w:rsidR="003B6E11" w:rsidRPr="003B6E11" w:rsidRDefault="003B6E11" w:rsidP="003B6E11">
      <w:pPr>
        <w:pStyle w:val="ES-Titre3a"/>
        <w:rPr>
          <w:lang w:val="cs-CZ"/>
        </w:rPr>
      </w:pPr>
    </w:p>
    <w:p w:rsidR="003B6E11" w:rsidRPr="003B6E11" w:rsidRDefault="003B6E11" w:rsidP="003B6E11">
      <w:pPr>
        <w:pStyle w:val="ES-Titre3a"/>
        <w:rPr>
          <w:lang w:val="cs-CZ"/>
        </w:rPr>
      </w:pPr>
    </w:p>
    <w:p w:rsidR="003B6E11" w:rsidRPr="003B6E11" w:rsidRDefault="003B6E11" w:rsidP="003B6E11">
      <w:pPr>
        <w:pStyle w:val="Es-Titreannexes"/>
        <w:rPr>
          <w:lang w:val="cs-CZ"/>
        </w:rPr>
      </w:pPr>
      <w:bookmarkStart w:id="594" w:name="_Toc491854290"/>
      <w:bookmarkStart w:id="595" w:name="_Toc535417196"/>
      <w:r w:rsidRPr="003B6E11">
        <w:rPr>
          <w:lang w:val="cs-CZ"/>
        </w:rPr>
        <w:t>Přílohy evropské normy</w:t>
      </w:r>
      <w:bookmarkEnd w:id="594"/>
      <w:bookmarkEnd w:id="595"/>
    </w:p>
    <w:p w:rsidR="003B6E11" w:rsidRPr="003B6E11" w:rsidRDefault="003B6E11" w:rsidP="003B6E11">
      <w:pPr>
        <w:pStyle w:val="ES-Titre3a"/>
        <w:rPr>
          <w:lang w:val="cs-CZ"/>
        </w:rPr>
      </w:pPr>
    </w:p>
    <w:p w:rsidR="003B6E11" w:rsidRPr="003B6E11" w:rsidRDefault="003B6E11" w:rsidP="003B6E11">
      <w:pPr>
        <w:pStyle w:val="ESch"/>
        <w:rPr>
          <w:lang w:val="cs-CZ"/>
        </w:rPr>
      </w:pPr>
    </w:p>
    <w:p w:rsidR="003B6E11" w:rsidRPr="003B6E11" w:rsidRDefault="003B6E11" w:rsidP="003B6E11">
      <w:pPr>
        <w:pStyle w:val="ESch"/>
        <w:rPr>
          <w:lang w:val="cs-CZ"/>
        </w:rPr>
      </w:pPr>
    </w:p>
    <w:p w:rsidR="003B6E11" w:rsidRPr="003B6E11" w:rsidRDefault="003B6E11" w:rsidP="003B6E11">
      <w:pPr>
        <w:pStyle w:val="ESch"/>
        <w:rPr>
          <w:lang w:val="cs-CZ"/>
        </w:rPr>
      </w:pPr>
    </w:p>
    <w:p w:rsidR="003B6E11" w:rsidRPr="003B6E11" w:rsidRDefault="003B6E11" w:rsidP="003B6E11">
      <w:pPr>
        <w:pStyle w:val="ESch"/>
        <w:rPr>
          <w:lang w:val="cs-CZ"/>
        </w:rPr>
      </w:pPr>
      <w:r w:rsidRPr="003B6E11">
        <w:rPr>
          <w:lang w:val="cs-CZ"/>
        </w:rPr>
        <w:br w:type="page"/>
      </w:r>
    </w:p>
    <w:p w:rsidR="003B6E11" w:rsidRPr="003B6E11" w:rsidRDefault="003B6E11" w:rsidP="003B6E11">
      <w:pPr>
        <w:pStyle w:val="ESch"/>
        <w:rPr>
          <w:lang w:val="cs-CZ"/>
        </w:rPr>
      </w:pPr>
    </w:p>
    <w:p w:rsidR="003B6E11" w:rsidRPr="003B6E11" w:rsidRDefault="003B6E11" w:rsidP="003B6E11">
      <w:pPr>
        <w:pStyle w:val="ESch"/>
        <w:rPr>
          <w:lang w:val="cs-CZ"/>
        </w:rPr>
      </w:pPr>
    </w:p>
    <w:p w:rsidR="003B6E11" w:rsidRPr="003B6E11" w:rsidRDefault="003B6E11" w:rsidP="003B6E11">
      <w:pPr>
        <w:pStyle w:val="ESch"/>
        <w:rPr>
          <w:lang w:val="cs-CZ"/>
        </w:rPr>
      </w:pPr>
    </w:p>
    <w:p w:rsidR="003B6E11" w:rsidRPr="003B6E11" w:rsidRDefault="003B6E11" w:rsidP="003B6E11">
      <w:pPr>
        <w:pStyle w:val="ESch"/>
        <w:rPr>
          <w:lang w:val="cs-CZ"/>
        </w:rPr>
        <w:sectPr w:rsidR="003B6E11" w:rsidRPr="003B6E11" w:rsidSect="00AC5CC1">
          <w:headerReference w:type="default" r:id="rId38"/>
          <w:footerReference w:type="default" r:id="rId39"/>
          <w:headerReference w:type="first" r:id="rId40"/>
          <w:footerReference w:type="first" r:id="rId41"/>
          <w:footnotePr>
            <w:numRestart w:val="eachPage"/>
          </w:footnotePr>
          <w:pgSz w:w="11906" w:h="16838" w:code="9"/>
          <w:pgMar w:top="1418" w:right="1418" w:bottom="1418" w:left="1418" w:header="709" w:footer="709" w:gutter="0"/>
          <w:cols w:space="709"/>
          <w:titlePg/>
          <w:docGrid w:linePitch="272"/>
        </w:sectPr>
      </w:pPr>
    </w:p>
    <w:p w:rsidR="003B6E11" w:rsidRPr="003B6E11" w:rsidRDefault="003B6E11" w:rsidP="003B6E11">
      <w:pPr>
        <w:pStyle w:val="ES-Titre1"/>
      </w:pPr>
      <w:bookmarkStart w:id="596" w:name="_Toc395775413"/>
      <w:bookmarkStart w:id="597" w:name="_Toc491854291"/>
      <w:bookmarkStart w:id="598" w:name="_Toc535417197"/>
      <w:r w:rsidRPr="003B6E11">
        <w:t>ČÁST I</w:t>
      </w:r>
      <w:r w:rsidRPr="003B6E11">
        <w:br/>
      </w:r>
      <w:bookmarkEnd w:id="596"/>
      <w:r w:rsidRPr="003B6E11">
        <w:t>IDENTIFIKACE PLAVIDLA A REJSTŘÍK PLAVIDEL</w:t>
      </w:r>
      <w:bookmarkEnd w:id="597"/>
      <w:bookmarkEnd w:id="598"/>
    </w:p>
    <w:p w:rsidR="003B6E11" w:rsidRPr="003B6E11" w:rsidRDefault="003B6E11" w:rsidP="003B6E11">
      <w:pPr>
        <w:overflowPunct w:val="0"/>
        <w:adjustRightInd w:val="0"/>
        <w:spacing w:line="240" w:lineRule="atLeast"/>
        <w:jc w:val="center"/>
        <w:textAlignment w:val="baseline"/>
        <w:rPr>
          <w:rFonts w:eastAsia="Calibri"/>
          <w:b/>
          <w:i/>
          <w:caps/>
          <w:sz w:val="24"/>
          <w:lang w:val="cs-CZ"/>
        </w:rPr>
      </w:pPr>
    </w:p>
    <w:p w:rsidR="003B6E11" w:rsidRPr="003B6E11" w:rsidRDefault="003B6E11" w:rsidP="003B6E11">
      <w:pPr>
        <w:pStyle w:val="ES-Titre2"/>
        <w:pageBreakBefore w:val="0"/>
      </w:pPr>
      <w:bookmarkStart w:id="599" w:name="_Toc395775414"/>
      <w:bookmarkStart w:id="600" w:name="_Toc491854292"/>
      <w:bookmarkStart w:id="601" w:name="_Toc535417198"/>
      <w:r w:rsidRPr="003B6E11">
        <w:t>Příloha 1</w:t>
      </w:r>
      <w:r w:rsidRPr="003B6E11">
        <w:br/>
      </w:r>
      <w:bookmarkEnd w:id="599"/>
      <w:r w:rsidRPr="003B6E11">
        <w:t>Vzor jednotného evropského identifikačního čísla plavidla (ENI)</w:t>
      </w:r>
      <w:bookmarkEnd w:id="600"/>
      <w:bookmarkEnd w:id="601"/>
    </w:p>
    <w:p w:rsidR="003B6E11" w:rsidRPr="003B6E11" w:rsidRDefault="003B6E11" w:rsidP="003B6E11">
      <w:pPr>
        <w:overflowPunct w:val="0"/>
        <w:adjustRightInd w:val="0"/>
        <w:spacing w:line="240" w:lineRule="atLeast"/>
        <w:jc w:val="center"/>
        <w:textAlignment w:val="baseline"/>
        <w:rPr>
          <w:rFonts w:eastAsia="Calibri"/>
          <w:lang w:val="cs-CZ"/>
        </w:rPr>
      </w:pPr>
    </w:p>
    <w:p w:rsidR="003B6E11" w:rsidRPr="003B6E11" w:rsidRDefault="003B6E11" w:rsidP="003B6E11">
      <w:pPr>
        <w:overflowPunct w:val="0"/>
        <w:adjustRightInd w:val="0"/>
        <w:spacing w:line="240" w:lineRule="atLeast"/>
        <w:jc w:val="center"/>
        <w:textAlignment w:val="baseline"/>
        <w:rPr>
          <w:rFonts w:eastAsia="Calibri"/>
          <w:lang w:val="cs-CZ"/>
        </w:rPr>
      </w:pPr>
    </w:p>
    <w:p w:rsidR="003B6E11" w:rsidRPr="003B6E11" w:rsidRDefault="003B6E11" w:rsidP="003B6E11">
      <w:pPr>
        <w:overflowPunct w:val="0"/>
        <w:adjustRightInd w:val="0"/>
        <w:textAlignment w:val="baseline"/>
        <w:rPr>
          <w:rFonts w:cs="Arial"/>
          <w:szCs w:val="20"/>
          <w:lang w:val="cs-CZ"/>
        </w:rPr>
      </w:pPr>
    </w:p>
    <w:tbl>
      <w:tblPr>
        <w:tblW w:w="0" w:type="auto"/>
        <w:tblInd w:w="1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789"/>
        <w:gridCol w:w="789"/>
        <w:gridCol w:w="564"/>
        <w:gridCol w:w="564"/>
        <w:gridCol w:w="564"/>
        <w:gridCol w:w="564"/>
        <w:gridCol w:w="564"/>
      </w:tblGrid>
      <w:tr w:rsidR="003B6E11" w:rsidRPr="003B6E11" w:rsidTr="002D015D">
        <w:trPr>
          <w:cantSplit/>
        </w:trPr>
        <w:tc>
          <w:tcPr>
            <w:tcW w:w="790"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adjustRightInd w:val="0"/>
              <w:spacing w:before="40" w:after="40"/>
              <w:jc w:val="center"/>
              <w:rPr>
                <w:rFonts w:cs="Arial"/>
                <w:snapToGrid w:val="0"/>
                <w:sz w:val="18"/>
                <w:szCs w:val="20"/>
                <w:lang w:val="cs-CZ"/>
              </w:rPr>
            </w:pPr>
            <w:r w:rsidRPr="003B6E11">
              <w:rPr>
                <w:noProof/>
                <w:snapToGrid w:val="0"/>
                <w:sz w:val="18"/>
                <w:lang w:val="cs-CZ"/>
              </w:rPr>
              <w:t>A</w:t>
            </w:r>
          </w:p>
        </w:tc>
        <w:tc>
          <w:tcPr>
            <w:tcW w:w="78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overflowPunct w:val="0"/>
              <w:adjustRightInd w:val="0"/>
              <w:spacing w:before="40" w:after="40"/>
              <w:jc w:val="center"/>
              <w:textAlignment w:val="baseline"/>
              <w:rPr>
                <w:rFonts w:cs="Arial"/>
                <w:sz w:val="18"/>
                <w:szCs w:val="20"/>
                <w:lang w:val="cs-CZ"/>
              </w:rPr>
            </w:pPr>
            <w:r w:rsidRPr="003B6E11">
              <w:rPr>
                <w:noProof/>
                <w:sz w:val="18"/>
                <w:lang w:val="cs-CZ"/>
              </w:rPr>
              <w:t>A</w:t>
            </w:r>
          </w:p>
        </w:tc>
        <w:tc>
          <w:tcPr>
            <w:tcW w:w="78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overflowPunct w:val="0"/>
              <w:adjustRightInd w:val="0"/>
              <w:spacing w:before="40" w:after="40"/>
              <w:jc w:val="center"/>
              <w:textAlignment w:val="baseline"/>
              <w:rPr>
                <w:rFonts w:cs="Arial"/>
                <w:sz w:val="18"/>
                <w:szCs w:val="20"/>
                <w:lang w:val="cs-CZ"/>
              </w:rPr>
            </w:pPr>
            <w:r w:rsidRPr="003B6E11">
              <w:rPr>
                <w:noProof/>
                <w:sz w:val="18"/>
                <w:lang w:val="cs-CZ"/>
              </w:rPr>
              <w:t>A</w:t>
            </w:r>
          </w:p>
        </w:tc>
        <w:tc>
          <w:tcPr>
            <w:tcW w:w="564"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overflowPunct w:val="0"/>
              <w:adjustRightInd w:val="0"/>
              <w:spacing w:before="40" w:after="40"/>
              <w:jc w:val="center"/>
              <w:textAlignment w:val="baseline"/>
              <w:rPr>
                <w:rFonts w:cs="Arial"/>
                <w:sz w:val="18"/>
                <w:szCs w:val="20"/>
                <w:lang w:val="cs-CZ"/>
              </w:rPr>
            </w:pPr>
            <w:r w:rsidRPr="003B6E11">
              <w:rPr>
                <w:noProof/>
                <w:sz w:val="18"/>
                <w:lang w:val="cs-CZ"/>
              </w:rPr>
              <w:t>x</w:t>
            </w:r>
          </w:p>
        </w:tc>
        <w:tc>
          <w:tcPr>
            <w:tcW w:w="564"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overflowPunct w:val="0"/>
              <w:adjustRightInd w:val="0"/>
              <w:spacing w:before="40" w:after="40"/>
              <w:jc w:val="center"/>
              <w:textAlignment w:val="baseline"/>
              <w:rPr>
                <w:rFonts w:cs="Arial"/>
                <w:sz w:val="18"/>
                <w:szCs w:val="20"/>
                <w:lang w:val="cs-CZ"/>
              </w:rPr>
            </w:pPr>
            <w:r w:rsidRPr="003B6E11">
              <w:rPr>
                <w:noProof/>
                <w:sz w:val="18"/>
                <w:lang w:val="cs-CZ"/>
              </w:rPr>
              <w:t>x</w:t>
            </w:r>
          </w:p>
        </w:tc>
        <w:tc>
          <w:tcPr>
            <w:tcW w:w="564"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overflowPunct w:val="0"/>
              <w:adjustRightInd w:val="0"/>
              <w:spacing w:before="40" w:after="40"/>
              <w:jc w:val="center"/>
              <w:textAlignment w:val="baseline"/>
              <w:rPr>
                <w:rFonts w:cs="Arial"/>
                <w:sz w:val="18"/>
                <w:szCs w:val="20"/>
                <w:lang w:val="cs-CZ"/>
              </w:rPr>
            </w:pPr>
            <w:r w:rsidRPr="003B6E11">
              <w:rPr>
                <w:noProof/>
                <w:sz w:val="18"/>
                <w:lang w:val="cs-CZ"/>
              </w:rPr>
              <w:t>x</w:t>
            </w:r>
          </w:p>
        </w:tc>
        <w:tc>
          <w:tcPr>
            <w:tcW w:w="564"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overflowPunct w:val="0"/>
              <w:adjustRightInd w:val="0"/>
              <w:spacing w:before="40" w:after="40"/>
              <w:jc w:val="center"/>
              <w:textAlignment w:val="baseline"/>
              <w:rPr>
                <w:rFonts w:cs="Arial"/>
                <w:sz w:val="18"/>
                <w:szCs w:val="20"/>
                <w:lang w:val="cs-CZ"/>
              </w:rPr>
            </w:pPr>
            <w:r w:rsidRPr="003B6E11">
              <w:rPr>
                <w:noProof/>
                <w:sz w:val="18"/>
                <w:lang w:val="cs-CZ"/>
              </w:rPr>
              <w:t>x</w:t>
            </w:r>
          </w:p>
        </w:tc>
        <w:tc>
          <w:tcPr>
            <w:tcW w:w="564"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overflowPunct w:val="0"/>
              <w:adjustRightInd w:val="0"/>
              <w:spacing w:before="40" w:after="40"/>
              <w:jc w:val="center"/>
              <w:textAlignment w:val="baseline"/>
              <w:rPr>
                <w:rFonts w:cs="Arial"/>
                <w:sz w:val="18"/>
                <w:szCs w:val="20"/>
                <w:lang w:val="cs-CZ"/>
              </w:rPr>
            </w:pPr>
            <w:r w:rsidRPr="003B6E11">
              <w:rPr>
                <w:noProof/>
                <w:sz w:val="18"/>
                <w:lang w:val="cs-CZ"/>
              </w:rPr>
              <w:t>x</w:t>
            </w:r>
          </w:p>
        </w:tc>
      </w:tr>
      <w:tr w:rsidR="003B6E11" w:rsidRPr="003B6E11" w:rsidTr="002D015D">
        <w:trPr>
          <w:cantSplit/>
        </w:trPr>
        <w:tc>
          <w:tcPr>
            <w:tcW w:w="2368" w:type="dxa"/>
            <w:gridSpan w:val="3"/>
            <w:tcBorders>
              <w:top w:val="single" w:sz="4" w:space="0" w:color="auto"/>
              <w:left w:val="single" w:sz="4" w:space="0" w:color="auto"/>
              <w:bottom w:val="single" w:sz="4" w:space="0" w:color="auto"/>
              <w:right w:val="single" w:sz="4" w:space="0" w:color="auto"/>
            </w:tcBorders>
          </w:tcPr>
          <w:p w:rsidR="003B6E11" w:rsidRPr="003B6E11" w:rsidRDefault="003B6E11" w:rsidP="002D015D">
            <w:pPr>
              <w:overflowPunct w:val="0"/>
              <w:adjustRightInd w:val="0"/>
              <w:spacing w:before="40" w:after="40"/>
              <w:textAlignment w:val="baseline"/>
              <w:rPr>
                <w:rFonts w:cs="Arial"/>
                <w:sz w:val="18"/>
                <w:szCs w:val="20"/>
                <w:lang w:val="cs-CZ"/>
              </w:rPr>
            </w:pPr>
            <w:r w:rsidRPr="003B6E11">
              <w:rPr>
                <w:noProof/>
                <w:sz w:val="18"/>
                <w:lang w:val="cs-CZ"/>
              </w:rPr>
              <w:t>Kód příslušného orgánu, který přiděluje jednotné evropské identifikační číslo plavidla</w:t>
            </w:r>
          </w:p>
        </w:tc>
        <w:tc>
          <w:tcPr>
            <w:tcW w:w="2820" w:type="dxa"/>
            <w:gridSpan w:val="5"/>
            <w:tcBorders>
              <w:top w:val="single" w:sz="4" w:space="0" w:color="auto"/>
              <w:left w:val="single" w:sz="4" w:space="0" w:color="auto"/>
              <w:bottom w:val="single" w:sz="4" w:space="0" w:color="auto"/>
              <w:right w:val="single" w:sz="4" w:space="0" w:color="auto"/>
            </w:tcBorders>
            <w:vAlign w:val="center"/>
          </w:tcPr>
          <w:p w:rsidR="003B6E11" w:rsidRPr="003B6E11" w:rsidRDefault="003B6E11" w:rsidP="002D015D">
            <w:pPr>
              <w:overflowPunct w:val="0"/>
              <w:adjustRightInd w:val="0"/>
              <w:spacing w:before="40" w:after="40"/>
              <w:jc w:val="center"/>
              <w:textAlignment w:val="baseline"/>
              <w:rPr>
                <w:rFonts w:cs="Arial"/>
                <w:sz w:val="18"/>
                <w:szCs w:val="20"/>
                <w:lang w:val="cs-CZ"/>
              </w:rPr>
            </w:pPr>
            <w:r w:rsidRPr="003B6E11">
              <w:rPr>
                <w:noProof/>
                <w:sz w:val="18"/>
                <w:lang w:val="cs-CZ"/>
              </w:rPr>
              <w:t xml:space="preserve">Pořadové číslo </w:t>
            </w:r>
          </w:p>
        </w:tc>
      </w:tr>
    </w:tbl>
    <w:p w:rsidR="003B6E11" w:rsidRPr="003B6E11" w:rsidRDefault="003B6E11" w:rsidP="003B6E11">
      <w:pPr>
        <w:overflowPunct w:val="0"/>
        <w:adjustRightInd w:val="0"/>
        <w:spacing w:before="40" w:after="40"/>
        <w:textAlignment w:val="baseline"/>
        <w:rPr>
          <w:rFonts w:cs="Arial"/>
          <w:sz w:val="18"/>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r w:rsidRPr="003B6E11">
        <w:rPr>
          <w:lang w:val="cs-CZ"/>
        </w:rPr>
        <w:t>V tomto vzoru představuje „AAA“ trojmístný číselný kód, který určuje příslušný orgán přidělující jednotné evropské identifikační číslo plavidla podle následujících číselných rozsahů:</w:t>
      </w: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001 – 019</w:t>
      </w:r>
      <w:r w:rsidRPr="003B6E11">
        <w:rPr>
          <w:lang w:val="cs-CZ"/>
        </w:rPr>
        <w:tab/>
        <w:t>Francie</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020 – 039</w:t>
      </w:r>
      <w:r w:rsidRPr="003B6E11">
        <w:rPr>
          <w:lang w:val="cs-CZ"/>
        </w:rPr>
        <w:tab/>
        <w:t>Nizozemsko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040 – 059</w:t>
      </w:r>
      <w:r w:rsidRPr="003B6E11">
        <w:rPr>
          <w:lang w:val="cs-CZ"/>
        </w:rPr>
        <w:tab/>
        <w:t>Německo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060 – 069</w:t>
      </w:r>
      <w:r w:rsidRPr="003B6E11">
        <w:rPr>
          <w:lang w:val="cs-CZ"/>
        </w:rPr>
        <w:tab/>
        <w:t>Belgie</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070 – 079</w:t>
      </w:r>
      <w:r w:rsidRPr="003B6E11">
        <w:rPr>
          <w:lang w:val="cs-CZ"/>
        </w:rPr>
        <w:tab/>
        <w:t>Švýcarsko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080 – 099</w:t>
      </w:r>
      <w:r w:rsidRPr="003B6E11">
        <w:rPr>
          <w:lang w:val="cs-CZ"/>
        </w:rPr>
        <w:tab/>
        <w:t xml:space="preserve">rezervováno pro plavidla ze zemí, které nejsou stranami Mannheimské úmluvy a jimž bylo vydáno osvědčení pro plavbu na Rýně před 1. dubnem 2007 </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100 – 119</w:t>
      </w:r>
      <w:r w:rsidRPr="003B6E11">
        <w:rPr>
          <w:lang w:val="cs-CZ"/>
        </w:rPr>
        <w:tab/>
        <w:t>Norsko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120 – 139</w:t>
      </w:r>
      <w:r w:rsidRPr="003B6E11">
        <w:rPr>
          <w:lang w:val="cs-CZ"/>
        </w:rPr>
        <w:tab/>
        <w:t>Dánsko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140 – 159</w:t>
      </w:r>
      <w:r w:rsidRPr="003B6E11">
        <w:rPr>
          <w:lang w:val="cs-CZ"/>
        </w:rPr>
        <w:tab/>
        <w:t>Spojené království</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160 – 169</w:t>
      </w:r>
      <w:r w:rsidRPr="003B6E11">
        <w:rPr>
          <w:lang w:val="cs-CZ"/>
        </w:rPr>
        <w:tab/>
        <w:t>Island</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170 – 179</w:t>
      </w:r>
      <w:r w:rsidRPr="003B6E11">
        <w:rPr>
          <w:lang w:val="cs-CZ"/>
        </w:rPr>
        <w:tab/>
        <w:t>Irsko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180 – 189</w:t>
      </w:r>
      <w:r w:rsidRPr="003B6E11">
        <w:rPr>
          <w:lang w:val="cs-CZ"/>
        </w:rPr>
        <w:tab/>
        <w:t>Portugalsko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190 – 199</w:t>
      </w:r>
      <w:r w:rsidRPr="003B6E11">
        <w:rPr>
          <w:lang w:val="cs-CZ"/>
        </w:rPr>
        <w:tab/>
        <w:t>rezervováno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200 – 219</w:t>
      </w:r>
      <w:r w:rsidRPr="003B6E11">
        <w:rPr>
          <w:lang w:val="cs-CZ"/>
        </w:rPr>
        <w:tab/>
        <w:t>Lucembursko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220 – 239</w:t>
      </w:r>
      <w:r w:rsidRPr="003B6E11">
        <w:rPr>
          <w:lang w:val="cs-CZ"/>
        </w:rPr>
        <w:tab/>
        <w:t>Finsko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240 – 259</w:t>
      </w:r>
      <w:r w:rsidRPr="003B6E11">
        <w:rPr>
          <w:lang w:val="cs-CZ"/>
        </w:rPr>
        <w:tab/>
        <w:t>Polsko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260 – 269</w:t>
      </w:r>
      <w:r w:rsidRPr="003B6E11">
        <w:rPr>
          <w:lang w:val="cs-CZ"/>
        </w:rPr>
        <w:tab/>
        <w:t>Estonsko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270 – 279</w:t>
      </w:r>
      <w:r w:rsidRPr="003B6E11">
        <w:rPr>
          <w:lang w:val="cs-CZ"/>
        </w:rPr>
        <w:tab/>
        <w:t>Litva</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280 – 289</w:t>
      </w:r>
      <w:r w:rsidRPr="003B6E11">
        <w:rPr>
          <w:lang w:val="cs-CZ"/>
        </w:rPr>
        <w:tab/>
        <w:t>Lotyšsko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290 – 299</w:t>
      </w:r>
      <w:r w:rsidRPr="003B6E11">
        <w:rPr>
          <w:lang w:val="cs-CZ"/>
        </w:rPr>
        <w:tab/>
        <w:t>rezervováno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300 – 309</w:t>
      </w:r>
      <w:r w:rsidRPr="003B6E11">
        <w:rPr>
          <w:lang w:val="cs-CZ"/>
        </w:rPr>
        <w:tab/>
        <w:t>Rakousko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310 – 319</w:t>
      </w:r>
      <w:r w:rsidRPr="003B6E11">
        <w:rPr>
          <w:lang w:val="cs-CZ"/>
        </w:rPr>
        <w:tab/>
        <w:t>Lichtenštejnsko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320 – 329</w:t>
      </w:r>
      <w:r w:rsidRPr="003B6E11">
        <w:rPr>
          <w:lang w:val="cs-CZ"/>
        </w:rPr>
        <w:tab/>
        <w:t>Česká republika</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330 – 339</w:t>
      </w:r>
      <w:r w:rsidRPr="003B6E11">
        <w:rPr>
          <w:lang w:val="cs-CZ"/>
        </w:rPr>
        <w:tab/>
        <w:t>Slovensko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340 – 349</w:t>
      </w:r>
      <w:r w:rsidRPr="003B6E11">
        <w:rPr>
          <w:lang w:val="cs-CZ"/>
        </w:rPr>
        <w:tab/>
        <w:t>rezervováno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350 – 359</w:t>
      </w:r>
      <w:r w:rsidRPr="003B6E11">
        <w:rPr>
          <w:lang w:val="cs-CZ"/>
        </w:rPr>
        <w:tab/>
        <w:t>Chorvatsko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360 – 369</w:t>
      </w:r>
      <w:r w:rsidRPr="003B6E11">
        <w:rPr>
          <w:lang w:val="cs-CZ"/>
        </w:rPr>
        <w:tab/>
        <w:t>Srbsko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noProof/>
          <w:snapToGrid w:val="0"/>
          <w:szCs w:val="20"/>
          <w:lang w:val="cs-CZ"/>
        </w:rPr>
      </w:pPr>
      <w:r w:rsidRPr="003B6E11">
        <w:rPr>
          <w:lang w:val="cs-CZ"/>
        </w:rPr>
        <w:t>370 – 379</w:t>
      </w:r>
      <w:r w:rsidRPr="003B6E11">
        <w:rPr>
          <w:lang w:val="cs-CZ"/>
        </w:rPr>
        <w:tab/>
        <w:t>Bosna a Hercegovina</w:t>
      </w:r>
    </w:p>
    <w:p w:rsidR="003B6E11" w:rsidRPr="003B6E11" w:rsidRDefault="003B6E11" w:rsidP="003B6E11">
      <w:pPr>
        <w:tabs>
          <w:tab w:val="left" w:pos="1134"/>
        </w:tabs>
        <w:overflowPunct w:val="0"/>
        <w:adjustRightInd w:val="0"/>
        <w:ind w:left="1134" w:hanging="1134"/>
        <w:textAlignment w:val="baseline"/>
        <w:rPr>
          <w:rFonts w:cs="Arial"/>
          <w:snapToGrid w:val="0"/>
          <w:szCs w:val="20"/>
          <w:lang w:val="cs-CZ"/>
        </w:rPr>
      </w:pPr>
    </w:p>
    <w:p w:rsidR="003B6E11" w:rsidRPr="003B6E11" w:rsidRDefault="003B6E11" w:rsidP="003B6E11">
      <w:pPr>
        <w:tabs>
          <w:tab w:val="left" w:pos="1134"/>
        </w:tabs>
        <w:overflowPunct w:val="0"/>
        <w:adjustRightInd w:val="0"/>
        <w:ind w:left="1134" w:hanging="1134"/>
        <w:textAlignment w:val="baseline"/>
        <w:rPr>
          <w:rFonts w:cs="Arial"/>
          <w:snapToGrid w:val="0"/>
          <w:szCs w:val="20"/>
          <w:lang w:val="cs-CZ"/>
        </w:rPr>
      </w:pPr>
      <w:r w:rsidRPr="003B6E11">
        <w:rPr>
          <w:lang w:val="cs-CZ"/>
        </w:rPr>
        <w:br w:type="page"/>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380 – 399</w:t>
      </w:r>
      <w:r w:rsidRPr="003B6E11">
        <w:rPr>
          <w:lang w:val="cs-CZ"/>
        </w:rPr>
        <w:tab/>
        <w:t>Maďarsko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400 – 419</w:t>
      </w:r>
      <w:r w:rsidRPr="003B6E11">
        <w:rPr>
          <w:lang w:val="cs-CZ"/>
        </w:rPr>
        <w:tab/>
        <w:t>Ruská federace</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420 – 439</w:t>
      </w:r>
      <w:r w:rsidRPr="003B6E11">
        <w:rPr>
          <w:lang w:val="cs-CZ"/>
        </w:rPr>
        <w:tab/>
        <w:t>Ukrajina</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440 – 449</w:t>
      </w:r>
      <w:r w:rsidRPr="003B6E11">
        <w:rPr>
          <w:lang w:val="cs-CZ"/>
        </w:rPr>
        <w:tab/>
        <w:t>Bělorusko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450 – 459</w:t>
      </w:r>
      <w:r w:rsidRPr="003B6E11">
        <w:rPr>
          <w:lang w:val="cs-CZ"/>
        </w:rPr>
        <w:tab/>
        <w:t>Moldavská republika</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460 – 469</w:t>
      </w:r>
      <w:r w:rsidRPr="003B6E11">
        <w:rPr>
          <w:lang w:val="cs-CZ"/>
        </w:rPr>
        <w:tab/>
        <w:t>Rumunsko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470 – 479</w:t>
      </w:r>
      <w:r w:rsidRPr="003B6E11">
        <w:rPr>
          <w:lang w:val="cs-CZ"/>
        </w:rPr>
        <w:tab/>
        <w:t>Bulharsko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480 – 489</w:t>
      </w:r>
      <w:r w:rsidRPr="003B6E11">
        <w:rPr>
          <w:lang w:val="cs-CZ"/>
        </w:rPr>
        <w:tab/>
        <w:t>Gruzie</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490 – 499</w:t>
      </w:r>
      <w:r w:rsidRPr="003B6E11">
        <w:rPr>
          <w:lang w:val="cs-CZ"/>
        </w:rPr>
        <w:tab/>
        <w:t>rezervováno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500 – 519</w:t>
      </w:r>
      <w:r w:rsidRPr="003B6E11">
        <w:rPr>
          <w:lang w:val="cs-CZ"/>
        </w:rPr>
        <w:tab/>
        <w:t>Turecko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520 – 539</w:t>
      </w:r>
      <w:r w:rsidRPr="003B6E11">
        <w:rPr>
          <w:lang w:val="cs-CZ"/>
        </w:rPr>
        <w:tab/>
        <w:t xml:space="preserve">Řecko </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540 – 549</w:t>
      </w:r>
      <w:r w:rsidRPr="003B6E11">
        <w:rPr>
          <w:lang w:val="cs-CZ"/>
        </w:rPr>
        <w:tab/>
        <w:t>Kypr</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550 – 559</w:t>
      </w:r>
      <w:r w:rsidRPr="003B6E11">
        <w:rPr>
          <w:lang w:val="cs-CZ"/>
        </w:rPr>
        <w:tab/>
        <w:t xml:space="preserve">Albánie </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560 – 569</w:t>
      </w:r>
      <w:r w:rsidRPr="003B6E11">
        <w:rPr>
          <w:lang w:val="cs-CZ"/>
        </w:rPr>
        <w:tab/>
        <w:t xml:space="preserve">Bývalá jugoslávská republika Makedonie </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570 – 579</w:t>
      </w:r>
      <w:r w:rsidRPr="003B6E11">
        <w:rPr>
          <w:lang w:val="cs-CZ"/>
        </w:rPr>
        <w:tab/>
        <w:t>Slovinsko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580 – 589</w:t>
      </w:r>
      <w:r w:rsidRPr="003B6E11">
        <w:rPr>
          <w:lang w:val="cs-CZ"/>
        </w:rPr>
        <w:tab/>
        <w:t>Černá Hora</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590 – 599</w:t>
      </w:r>
      <w:r w:rsidRPr="003B6E11">
        <w:rPr>
          <w:lang w:val="cs-CZ"/>
        </w:rPr>
        <w:tab/>
        <w:t>rezervováno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600 – 619</w:t>
      </w:r>
      <w:r w:rsidRPr="003B6E11">
        <w:rPr>
          <w:lang w:val="cs-CZ"/>
        </w:rPr>
        <w:tab/>
        <w:t>Itálie</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620 – 639</w:t>
      </w:r>
      <w:r w:rsidRPr="003B6E11">
        <w:rPr>
          <w:lang w:val="cs-CZ"/>
        </w:rPr>
        <w:tab/>
        <w:t>Španělsko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640 – 649</w:t>
      </w:r>
      <w:r w:rsidRPr="003B6E11">
        <w:rPr>
          <w:lang w:val="cs-CZ"/>
        </w:rPr>
        <w:tab/>
        <w:t>Andorra</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650 – 659</w:t>
      </w:r>
      <w:r w:rsidRPr="003B6E11">
        <w:rPr>
          <w:lang w:val="cs-CZ"/>
        </w:rPr>
        <w:tab/>
        <w:t>Malta</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660 – 669</w:t>
      </w:r>
      <w:r w:rsidRPr="003B6E11">
        <w:rPr>
          <w:lang w:val="cs-CZ"/>
        </w:rPr>
        <w:tab/>
        <w:t>Monako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670 – 679</w:t>
      </w:r>
      <w:r w:rsidRPr="003B6E11">
        <w:rPr>
          <w:lang w:val="cs-CZ"/>
        </w:rPr>
        <w:tab/>
        <w:t>San Marino</w:t>
      </w:r>
    </w:p>
    <w:p w:rsidR="003B6E11" w:rsidRPr="003B6E11" w:rsidRDefault="003B6E11" w:rsidP="003B6E11">
      <w:pPr>
        <w:tabs>
          <w:tab w:val="left" w:pos="1418"/>
        </w:tabs>
        <w:overflowPunct w:val="0"/>
        <w:adjustRightInd w:val="0"/>
        <w:spacing w:line="240" w:lineRule="atLeast"/>
        <w:ind w:left="1418" w:hanging="1418"/>
        <w:textAlignment w:val="baseline"/>
        <w:rPr>
          <w:rFonts w:cs="Arial"/>
          <w:noProof/>
          <w:snapToGrid w:val="0"/>
          <w:szCs w:val="20"/>
          <w:lang w:val="cs-CZ"/>
        </w:rPr>
      </w:pPr>
      <w:r w:rsidRPr="003B6E11">
        <w:rPr>
          <w:lang w:val="cs-CZ"/>
        </w:rPr>
        <w:t>680 – 699</w:t>
      </w:r>
      <w:r w:rsidRPr="003B6E11">
        <w:rPr>
          <w:lang w:val="cs-CZ"/>
        </w:rPr>
        <w:tab/>
        <w:t>rezervováno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700 – 719</w:t>
      </w:r>
      <w:r w:rsidRPr="003B6E11">
        <w:rPr>
          <w:lang w:val="cs-CZ"/>
        </w:rPr>
        <w:tab/>
        <w:t>Švédsko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720 – 739</w:t>
      </w:r>
      <w:r w:rsidRPr="003B6E11">
        <w:rPr>
          <w:lang w:val="cs-CZ"/>
        </w:rPr>
        <w:tab/>
        <w:t>Kanada</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740 – 759</w:t>
      </w:r>
      <w:r w:rsidRPr="003B6E11">
        <w:rPr>
          <w:lang w:val="cs-CZ"/>
        </w:rPr>
        <w:tab/>
        <w:t>Spojené státy americké</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760 – 769</w:t>
      </w:r>
      <w:r w:rsidRPr="003B6E11">
        <w:rPr>
          <w:lang w:val="cs-CZ"/>
        </w:rPr>
        <w:tab/>
        <w:t>Izrael</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770 – 799</w:t>
      </w:r>
      <w:r w:rsidRPr="003B6E11">
        <w:rPr>
          <w:lang w:val="cs-CZ"/>
        </w:rPr>
        <w:tab/>
        <w:t>rezervováno</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800 – 809</w:t>
      </w:r>
      <w:r w:rsidRPr="003B6E11">
        <w:rPr>
          <w:lang w:val="cs-CZ"/>
        </w:rPr>
        <w:tab/>
        <w:t>Ázerbájdžán</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810 – 819</w:t>
      </w:r>
      <w:r w:rsidRPr="003B6E11">
        <w:rPr>
          <w:lang w:val="cs-CZ"/>
        </w:rPr>
        <w:tab/>
        <w:t>Kazachstán</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820 – 829</w:t>
      </w:r>
      <w:r w:rsidRPr="003B6E11">
        <w:rPr>
          <w:lang w:val="cs-CZ"/>
        </w:rPr>
        <w:tab/>
        <w:t>Kyrgyzstán</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830 – 839</w:t>
      </w:r>
      <w:r w:rsidRPr="003B6E11">
        <w:rPr>
          <w:lang w:val="cs-CZ"/>
        </w:rPr>
        <w:tab/>
        <w:t>Tádžikistán</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840 – 849</w:t>
      </w:r>
      <w:r w:rsidRPr="003B6E11">
        <w:rPr>
          <w:lang w:val="cs-CZ"/>
        </w:rPr>
        <w:tab/>
        <w:t>Turkmenistán</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850 – 859</w:t>
      </w:r>
      <w:r w:rsidRPr="003B6E11">
        <w:rPr>
          <w:lang w:val="cs-CZ"/>
        </w:rPr>
        <w:tab/>
        <w:t>Uzbekistán</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860 – 869</w:t>
      </w:r>
      <w:r w:rsidRPr="003B6E11">
        <w:rPr>
          <w:lang w:val="cs-CZ"/>
        </w:rPr>
        <w:tab/>
        <w:t>Írán</w:t>
      </w:r>
    </w:p>
    <w:p w:rsidR="003B6E11" w:rsidRPr="003B6E11" w:rsidRDefault="003B6E11" w:rsidP="003B6E11">
      <w:pPr>
        <w:tabs>
          <w:tab w:val="left" w:pos="1418"/>
        </w:tabs>
        <w:overflowPunct w:val="0"/>
        <w:adjustRightInd w:val="0"/>
        <w:spacing w:line="240" w:lineRule="atLeast"/>
        <w:ind w:left="1418" w:hanging="1418"/>
        <w:textAlignment w:val="baseline"/>
        <w:rPr>
          <w:rFonts w:cs="Arial"/>
          <w:snapToGrid w:val="0"/>
          <w:szCs w:val="20"/>
          <w:lang w:val="cs-CZ"/>
        </w:rPr>
      </w:pPr>
      <w:r w:rsidRPr="003B6E11">
        <w:rPr>
          <w:lang w:val="cs-CZ"/>
        </w:rPr>
        <w:t>870 – 999</w:t>
      </w:r>
      <w:r w:rsidRPr="003B6E11">
        <w:rPr>
          <w:lang w:val="cs-CZ"/>
        </w:rPr>
        <w:tab/>
        <w:t>rezervováno</w:t>
      </w: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rPr>
          <w:noProof/>
          <w:lang w:val="cs-CZ"/>
        </w:rPr>
      </w:pPr>
      <w:r w:rsidRPr="003B6E11">
        <w:rPr>
          <w:lang w:val="cs-CZ"/>
        </w:rPr>
        <w:t>„xxxxx“ představuje pětimístné pořadové číslo, které určuje příslušný orgán.</w:t>
      </w: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spacing w:line="240" w:lineRule="atLeast"/>
        <w:ind w:left="567" w:hanging="567"/>
        <w:rPr>
          <w:rFonts w:cs="Arial"/>
          <w:szCs w:val="20"/>
          <w:lang w:val="cs-CZ"/>
        </w:rPr>
      </w:pPr>
    </w:p>
    <w:p w:rsidR="003B6E11" w:rsidRPr="003B6E11" w:rsidRDefault="003B6E11" w:rsidP="003B6E11">
      <w:pPr>
        <w:spacing w:line="240" w:lineRule="atLeast"/>
        <w:ind w:left="567" w:hanging="567"/>
        <w:rPr>
          <w:rFonts w:cs="Arial"/>
          <w:szCs w:val="20"/>
          <w:lang w:val="cs-CZ"/>
        </w:rPr>
      </w:pPr>
    </w:p>
    <w:p w:rsidR="003B6E11" w:rsidRPr="003B6E11" w:rsidRDefault="003B6E11" w:rsidP="003B6E11">
      <w:pPr>
        <w:spacing w:line="240" w:lineRule="atLeast"/>
        <w:ind w:left="567" w:hanging="567"/>
        <w:rPr>
          <w:rFonts w:cs="Arial"/>
          <w:szCs w:val="20"/>
          <w:lang w:val="cs-CZ"/>
        </w:rPr>
      </w:pPr>
    </w:p>
    <w:p w:rsidR="003B6E11" w:rsidRPr="003B6E11" w:rsidRDefault="003B6E11" w:rsidP="003B6E11">
      <w:pPr>
        <w:spacing w:line="240" w:lineRule="atLeast"/>
        <w:rPr>
          <w:rFonts w:cs="Arial"/>
          <w:szCs w:val="20"/>
          <w:lang w:val="cs-CZ"/>
        </w:rPr>
      </w:pPr>
    </w:p>
    <w:p w:rsidR="003B6E11" w:rsidRPr="003B6E11" w:rsidRDefault="003B6E11" w:rsidP="003B6E11">
      <w:pPr>
        <w:spacing w:line="240" w:lineRule="atLeast"/>
        <w:rPr>
          <w:lang w:val="cs-CZ"/>
        </w:rPr>
      </w:pPr>
      <w:r w:rsidRPr="003B6E11">
        <w:rPr>
          <w:lang w:val="cs-CZ"/>
        </w:rPr>
        <w:br w:type="page"/>
      </w:r>
    </w:p>
    <w:p w:rsidR="003B6E11" w:rsidRPr="003B6E11" w:rsidRDefault="003B6E11" w:rsidP="003B6E11">
      <w:pPr>
        <w:pStyle w:val="ES-Titre2"/>
        <w:pageBreakBefore w:val="0"/>
      </w:pPr>
      <w:bookmarkStart w:id="602" w:name="_Toc491854293"/>
      <w:bookmarkStart w:id="603" w:name="_Toc535417199"/>
      <w:r w:rsidRPr="003B6E11">
        <w:t>Příloha 2</w:t>
      </w:r>
      <w:r w:rsidRPr="003B6E11">
        <w:br/>
        <w:t>Údaje pro identifikaci plavidla</w:t>
      </w:r>
      <w:bookmarkEnd w:id="602"/>
      <w:bookmarkEnd w:id="603"/>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spacing w:line="240" w:lineRule="atLeast"/>
        <w:rPr>
          <w:rFonts w:cs="Arial"/>
          <w:noProof/>
          <w:szCs w:val="20"/>
          <w:lang w:val="cs-CZ"/>
        </w:rPr>
      </w:pPr>
    </w:p>
    <w:p w:rsidR="003B6E11" w:rsidRPr="003B6E11" w:rsidRDefault="003B6E11" w:rsidP="003B6E11">
      <w:pPr>
        <w:spacing w:line="240" w:lineRule="atLeast"/>
        <w:rPr>
          <w:rFonts w:cs="Arial"/>
          <w:color w:val="000000"/>
          <w:lang w:val="cs-CZ"/>
        </w:rPr>
      </w:pPr>
      <w:r w:rsidRPr="003B6E11">
        <w:rPr>
          <w:color w:val="000000"/>
          <w:lang w:val="cs-CZ"/>
        </w:rPr>
        <w:t>A.</w:t>
      </w:r>
      <w:r w:rsidRPr="003B6E11">
        <w:rPr>
          <w:lang w:val="cs-CZ"/>
        </w:rPr>
        <w:tab/>
      </w:r>
      <w:r w:rsidRPr="003B6E11">
        <w:rPr>
          <w:color w:val="000000"/>
          <w:lang w:val="cs-CZ"/>
        </w:rPr>
        <w:t>Všechna plavidla:</w:t>
      </w:r>
    </w:p>
    <w:p w:rsidR="003B6E11" w:rsidRPr="003B6E11" w:rsidRDefault="003B6E11" w:rsidP="003B6E11">
      <w:pPr>
        <w:spacing w:before="60" w:line="240" w:lineRule="atLeast"/>
        <w:ind w:left="992" w:hanging="567"/>
        <w:rPr>
          <w:rFonts w:cs="Arial"/>
          <w:noProof/>
          <w:szCs w:val="20"/>
          <w:lang w:val="cs-CZ"/>
        </w:rPr>
      </w:pPr>
      <w:r w:rsidRPr="003B6E11">
        <w:rPr>
          <w:lang w:val="cs-CZ"/>
        </w:rPr>
        <w:t>1.</w:t>
      </w:r>
      <w:r w:rsidRPr="003B6E11">
        <w:rPr>
          <w:lang w:val="cs-CZ"/>
        </w:rPr>
        <w:tab/>
        <w:t>Jednotné evropské identifikační číslo plavidla (příloha 3 oddíl I bod 3 vzoru a oddíl VI pátý sloupec)</w:t>
      </w:r>
    </w:p>
    <w:p w:rsidR="003B6E11" w:rsidRPr="003B6E11" w:rsidRDefault="003B6E11" w:rsidP="003B6E11">
      <w:pPr>
        <w:spacing w:before="60" w:line="240" w:lineRule="atLeast"/>
        <w:ind w:left="992" w:hanging="567"/>
        <w:rPr>
          <w:rFonts w:cs="Arial"/>
          <w:noProof/>
          <w:szCs w:val="20"/>
          <w:lang w:val="cs-CZ"/>
        </w:rPr>
      </w:pPr>
      <w:r w:rsidRPr="003B6E11">
        <w:rPr>
          <w:lang w:val="cs-CZ"/>
        </w:rPr>
        <w:t>2.</w:t>
      </w:r>
      <w:r w:rsidRPr="003B6E11">
        <w:rPr>
          <w:lang w:val="cs-CZ"/>
        </w:rPr>
        <w:tab/>
        <w:t>Jméno plavidla/lodi (příloha 3 oddíl I bod 1 vzoru a oddíl VI čtvrtý sloupec)</w:t>
      </w:r>
    </w:p>
    <w:p w:rsidR="003B6E11" w:rsidRPr="003B6E11" w:rsidRDefault="003B6E11" w:rsidP="003B6E11">
      <w:pPr>
        <w:spacing w:before="60" w:line="240" w:lineRule="atLeast"/>
        <w:ind w:left="992" w:hanging="567"/>
        <w:rPr>
          <w:rFonts w:cs="Arial"/>
          <w:noProof/>
          <w:szCs w:val="20"/>
          <w:lang w:val="cs-CZ"/>
        </w:rPr>
      </w:pPr>
      <w:r w:rsidRPr="003B6E11">
        <w:rPr>
          <w:lang w:val="cs-CZ"/>
        </w:rPr>
        <w:t>3.</w:t>
      </w:r>
      <w:r w:rsidRPr="003B6E11">
        <w:rPr>
          <w:lang w:val="cs-CZ"/>
        </w:rPr>
        <w:tab/>
        <w:t>Druh plavidla podle definice čl. 1.01 odst. 1.1 až 1.28 (příloha 3 oddíl I bod 2 vzoru)</w:t>
      </w:r>
    </w:p>
    <w:p w:rsidR="003B6E11" w:rsidRPr="003B6E11" w:rsidRDefault="003B6E11" w:rsidP="003B6E11">
      <w:pPr>
        <w:spacing w:before="60" w:line="240" w:lineRule="atLeast"/>
        <w:ind w:left="992" w:hanging="567"/>
        <w:rPr>
          <w:rFonts w:cs="Arial"/>
          <w:noProof/>
          <w:szCs w:val="20"/>
          <w:lang w:val="cs-CZ"/>
        </w:rPr>
      </w:pPr>
      <w:r w:rsidRPr="003B6E11">
        <w:rPr>
          <w:lang w:val="cs-CZ"/>
        </w:rPr>
        <w:t>4.</w:t>
      </w:r>
      <w:r w:rsidRPr="003B6E11">
        <w:rPr>
          <w:lang w:val="cs-CZ"/>
        </w:rPr>
        <w:tab/>
        <w:t>Největší délka podle definice čl. 1.01 odst. 4.17 (příloha 3 oddíl I bod 17a)</w:t>
      </w:r>
    </w:p>
    <w:p w:rsidR="003B6E11" w:rsidRPr="003B6E11" w:rsidRDefault="003B6E11" w:rsidP="003B6E11">
      <w:pPr>
        <w:spacing w:before="60" w:line="240" w:lineRule="atLeast"/>
        <w:ind w:left="992" w:hanging="567"/>
        <w:rPr>
          <w:rFonts w:cs="Arial"/>
          <w:noProof/>
          <w:szCs w:val="20"/>
          <w:lang w:val="cs-CZ"/>
        </w:rPr>
      </w:pPr>
      <w:r w:rsidRPr="003B6E11">
        <w:rPr>
          <w:lang w:val="cs-CZ"/>
        </w:rPr>
        <w:t>5.</w:t>
      </w:r>
      <w:r w:rsidRPr="003B6E11">
        <w:rPr>
          <w:lang w:val="cs-CZ"/>
        </w:rPr>
        <w:tab/>
        <w:t>Největší šířka podle definice čl. 1.01 odst. 4.20 (příloha 3 oddíl I bod 18a)</w:t>
      </w:r>
    </w:p>
    <w:p w:rsidR="003B6E11" w:rsidRPr="003B6E11" w:rsidRDefault="003B6E11" w:rsidP="003B6E11">
      <w:pPr>
        <w:spacing w:before="60" w:line="240" w:lineRule="atLeast"/>
        <w:ind w:left="992" w:hanging="567"/>
        <w:rPr>
          <w:rFonts w:cs="Arial"/>
          <w:noProof/>
          <w:szCs w:val="20"/>
          <w:lang w:val="cs-CZ"/>
        </w:rPr>
      </w:pPr>
      <w:r w:rsidRPr="003B6E11">
        <w:rPr>
          <w:lang w:val="cs-CZ"/>
        </w:rPr>
        <w:t>6.</w:t>
      </w:r>
      <w:r w:rsidRPr="003B6E11">
        <w:rPr>
          <w:lang w:val="cs-CZ"/>
        </w:rPr>
        <w:tab/>
        <w:t>Ponor podle definice čl. 1.01 odst. 4.23 (příloha 3 oddíl I bod 19a)</w:t>
      </w:r>
    </w:p>
    <w:p w:rsidR="003B6E11" w:rsidRPr="003B6E11" w:rsidRDefault="003B6E11" w:rsidP="003B6E11">
      <w:pPr>
        <w:spacing w:before="60" w:line="240" w:lineRule="atLeast"/>
        <w:ind w:left="992" w:hanging="567"/>
        <w:rPr>
          <w:rFonts w:cs="Arial"/>
          <w:noProof/>
          <w:szCs w:val="20"/>
          <w:lang w:val="cs-CZ"/>
        </w:rPr>
      </w:pPr>
      <w:r w:rsidRPr="003B6E11">
        <w:rPr>
          <w:lang w:val="cs-CZ"/>
        </w:rPr>
        <w:t>7.</w:t>
      </w:r>
      <w:r w:rsidRPr="003B6E11">
        <w:rPr>
          <w:lang w:val="cs-CZ"/>
        </w:rPr>
        <w:tab/>
        <w:t>Zdroj údajů (= osvědčení plavidla vnitrozemské plavby)</w:t>
      </w:r>
    </w:p>
    <w:p w:rsidR="003B6E11" w:rsidRPr="003B6E11" w:rsidRDefault="003B6E11" w:rsidP="003B6E11">
      <w:pPr>
        <w:spacing w:before="60" w:line="240" w:lineRule="atLeast"/>
        <w:ind w:left="992" w:hanging="567"/>
        <w:rPr>
          <w:rFonts w:cs="Arial"/>
          <w:noProof/>
          <w:szCs w:val="20"/>
          <w:lang w:val="cs-CZ"/>
        </w:rPr>
      </w:pPr>
      <w:r w:rsidRPr="003B6E11">
        <w:rPr>
          <w:lang w:val="cs-CZ"/>
        </w:rPr>
        <w:t>8.</w:t>
      </w:r>
      <w:r w:rsidRPr="003B6E11">
        <w:rPr>
          <w:lang w:val="cs-CZ"/>
        </w:rPr>
        <w:tab/>
        <w:t>Nosnost (příloha 3 oddíl I bod 21 a oddíl VI 13. sloupec) u nákladních lodí</w:t>
      </w:r>
    </w:p>
    <w:p w:rsidR="003B6E11" w:rsidRPr="003B6E11" w:rsidRDefault="003B6E11" w:rsidP="003B6E11">
      <w:pPr>
        <w:spacing w:before="60" w:line="240" w:lineRule="atLeast"/>
        <w:ind w:left="992" w:hanging="567"/>
        <w:rPr>
          <w:rFonts w:cs="Arial"/>
          <w:noProof/>
          <w:szCs w:val="20"/>
          <w:lang w:val="cs-CZ"/>
        </w:rPr>
      </w:pPr>
      <w:r w:rsidRPr="003B6E11">
        <w:rPr>
          <w:lang w:val="cs-CZ"/>
        </w:rPr>
        <w:t>9.</w:t>
      </w:r>
      <w:r w:rsidRPr="003B6E11">
        <w:rPr>
          <w:lang w:val="cs-CZ"/>
        </w:rPr>
        <w:tab/>
        <w:t>Výtlak podle definice čl. 1.01 odst. 4.7 (příloha 3 oddíl I bod 21 a oddíl VI 13. sloupec) u lodí jiných než nákladních</w:t>
      </w:r>
    </w:p>
    <w:p w:rsidR="003B6E11" w:rsidRPr="003B6E11" w:rsidRDefault="003B6E11" w:rsidP="003B6E11">
      <w:pPr>
        <w:spacing w:before="60" w:line="240" w:lineRule="atLeast"/>
        <w:ind w:left="992" w:hanging="567"/>
        <w:rPr>
          <w:rFonts w:cs="Arial"/>
          <w:noProof/>
          <w:szCs w:val="20"/>
          <w:lang w:val="cs-CZ"/>
        </w:rPr>
      </w:pPr>
      <w:r w:rsidRPr="003B6E11">
        <w:rPr>
          <w:lang w:val="cs-CZ"/>
        </w:rPr>
        <w:t>10.</w:t>
      </w:r>
      <w:r w:rsidRPr="003B6E11">
        <w:rPr>
          <w:lang w:val="cs-CZ"/>
        </w:rPr>
        <w:tab/>
        <w:t>Provozovatel (vlastník nebo jeho zástupce)</w:t>
      </w:r>
    </w:p>
    <w:p w:rsidR="003B6E11" w:rsidRPr="003B6E11" w:rsidRDefault="003B6E11" w:rsidP="003B6E11">
      <w:pPr>
        <w:spacing w:before="60" w:line="240" w:lineRule="atLeast"/>
        <w:ind w:left="992" w:hanging="567"/>
        <w:rPr>
          <w:rFonts w:cs="Arial"/>
          <w:noProof/>
          <w:szCs w:val="20"/>
          <w:lang w:val="cs-CZ"/>
        </w:rPr>
      </w:pPr>
      <w:r w:rsidRPr="003B6E11">
        <w:rPr>
          <w:lang w:val="cs-CZ"/>
        </w:rPr>
        <w:t>11.</w:t>
      </w:r>
      <w:r w:rsidRPr="003B6E11">
        <w:rPr>
          <w:lang w:val="cs-CZ"/>
        </w:rPr>
        <w:tab/>
        <w:t>Subjekt pověřený prohlídkami / vydávající orgán (příloha 3 oddíly I a VI)</w:t>
      </w:r>
    </w:p>
    <w:p w:rsidR="003B6E11" w:rsidRPr="003B6E11" w:rsidRDefault="003B6E11" w:rsidP="003B6E11">
      <w:pPr>
        <w:spacing w:before="60" w:line="240" w:lineRule="atLeast"/>
        <w:ind w:left="992" w:hanging="567"/>
        <w:rPr>
          <w:rFonts w:cs="Arial"/>
          <w:noProof/>
          <w:szCs w:val="20"/>
          <w:lang w:val="cs-CZ"/>
        </w:rPr>
      </w:pPr>
      <w:r w:rsidRPr="003B6E11">
        <w:rPr>
          <w:lang w:val="cs-CZ"/>
        </w:rPr>
        <w:t>12.</w:t>
      </w:r>
      <w:r w:rsidRPr="003B6E11">
        <w:rPr>
          <w:lang w:val="cs-CZ"/>
        </w:rPr>
        <w:tab/>
        <w:t>Číslo osvědčení plavidla vnitrozemské plavby (příloha 3 oddíl I a oddíl VI první sloupec)</w:t>
      </w:r>
    </w:p>
    <w:p w:rsidR="003B6E11" w:rsidRPr="003B6E11" w:rsidRDefault="003B6E11" w:rsidP="003B6E11">
      <w:pPr>
        <w:spacing w:before="60" w:line="240" w:lineRule="atLeast"/>
        <w:ind w:left="992" w:hanging="567"/>
        <w:rPr>
          <w:rFonts w:cs="Arial"/>
          <w:noProof/>
          <w:szCs w:val="20"/>
          <w:lang w:val="cs-CZ"/>
        </w:rPr>
      </w:pPr>
      <w:r w:rsidRPr="003B6E11">
        <w:rPr>
          <w:lang w:val="cs-CZ"/>
        </w:rPr>
        <w:t>13.</w:t>
      </w:r>
      <w:r w:rsidRPr="003B6E11">
        <w:rPr>
          <w:lang w:val="cs-CZ"/>
        </w:rPr>
        <w:tab/>
        <w:t>Datum konce platnosti (příloha 3 oddíl I bod 11 vzoru a oddíl VI 17. sloupec)</w:t>
      </w:r>
    </w:p>
    <w:p w:rsidR="003B6E11" w:rsidRPr="003B6E11" w:rsidRDefault="003B6E11" w:rsidP="003B6E11">
      <w:pPr>
        <w:spacing w:before="60" w:line="240" w:lineRule="atLeast"/>
        <w:ind w:left="992" w:hanging="567"/>
        <w:rPr>
          <w:rFonts w:cs="Arial"/>
          <w:noProof/>
          <w:szCs w:val="20"/>
          <w:lang w:val="cs-CZ"/>
        </w:rPr>
      </w:pPr>
      <w:r w:rsidRPr="003B6E11">
        <w:rPr>
          <w:lang w:val="cs-CZ"/>
        </w:rPr>
        <w:t>14.</w:t>
      </w:r>
      <w:r w:rsidRPr="003B6E11">
        <w:rPr>
          <w:lang w:val="cs-CZ"/>
        </w:rPr>
        <w:tab/>
        <w:t>Autor datového souboru.</w:t>
      </w:r>
    </w:p>
    <w:p w:rsidR="003B6E11" w:rsidRPr="003B6E11" w:rsidRDefault="003B6E11" w:rsidP="003B6E11">
      <w:pPr>
        <w:spacing w:line="240" w:lineRule="atLeast"/>
        <w:rPr>
          <w:rFonts w:cs="Arial"/>
          <w:noProof/>
          <w:szCs w:val="20"/>
          <w:lang w:val="cs-CZ"/>
        </w:rPr>
      </w:pPr>
    </w:p>
    <w:p w:rsidR="003B6E11" w:rsidRPr="003B6E11" w:rsidRDefault="003B6E11" w:rsidP="003B6E11">
      <w:pPr>
        <w:spacing w:line="240" w:lineRule="atLeast"/>
        <w:rPr>
          <w:rFonts w:cs="Arial"/>
          <w:color w:val="000000"/>
          <w:lang w:val="cs-CZ"/>
        </w:rPr>
      </w:pPr>
      <w:r w:rsidRPr="003B6E11">
        <w:rPr>
          <w:color w:val="000000"/>
          <w:lang w:val="cs-CZ"/>
        </w:rPr>
        <w:t>B.</w:t>
      </w:r>
      <w:r w:rsidRPr="003B6E11">
        <w:rPr>
          <w:lang w:val="cs-CZ"/>
        </w:rPr>
        <w:tab/>
      </w:r>
      <w:r w:rsidRPr="003B6E11">
        <w:rPr>
          <w:color w:val="000000"/>
          <w:lang w:val="cs-CZ"/>
        </w:rPr>
        <w:t>Další případné údaje:</w:t>
      </w:r>
    </w:p>
    <w:p w:rsidR="003B6E11" w:rsidRPr="003B6E11" w:rsidRDefault="003B6E11" w:rsidP="003B6E11">
      <w:pPr>
        <w:spacing w:before="60" w:line="240" w:lineRule="atLeast"/>
        <w:ind w:left="992" w:hanging="567"/>
        <w:rPr>
          <w:rFonts w:cs="Arial"/>
          <w:noProof/>
          <w:szCs w:val="20"/>
          <w:lang w:val="cs-CZ"/>
        </w:rPr>
      </w:pPr>
      <w:r w:rsidRPr="003B6E11">
        <w:rPr>
          <w:lang w:val="cs-CZ"/>
        </w:rPr>
        <w:t>1.</w:t>
      </w:r>
      <w:r w:rsidRPr="003B6E11">
        <w:rPr>
          <w:lang w:val="cs-CZ"/>
        </w:rPr>
        <w:tab/>
        <w:t>Vnitrostátní číslo</w:t>
      </w:r>
    </w:p>
    <w:p w:rsidR="003B6E11" w:rsidRPr="003B6E11" w:rsidRDefault="003B6E11" w:rsidP="003B6E11">
      <w:pPr>
        <w:spacing w:before="60" w:line="240" w:lineRule="atLeast"/>
        <w:ind w:left="992" w:hanging="567"/>
        <w:rPr>
          <w:rFonts w:cs="Arial"/>
          <w:noProof/>
          <w:szCs w:val="20"/>
          <w:lang w:val="cs-CZ"/>
        </w:rPr>
      </w:pPr>
      <w:r w:rsidRPr="003B6E11">
        <w:rPr>
          <w:lang w:val="cs-CZ"/>
        </w:rPr>
        <w:t>2.</w:t>
      </w:r>
      <w:r w:rsidRPr="003B6E11">
        <w:rPr>
          <w:lang w:val="cs-CZ"/>
        </w:rPr>
        <w:tab/>
        <w:t>Druh plavidla podle technických specifikací elektronických hlášení lodí ve vnitrozemské plavbě</w:t>
      </w:r>
    </w:p>
    <w:p w:rsidR="003B6E11" w:rsidRPr="003B6E11" w:rsidRDefault="003B6E11" w:rsidP="003B6E11">
      <w:pPr>
        <w:spacing w:before="60" w:line="240" w:lineRule="atLeast"/>
        <w:ind w:left="992" w:hanging="567"/>
        <w:rPr>
          <w:rFonts w:cs="Arial"/>
          <w:noProof/>
          <w:szCs w:val="20"/>
          <w:lang w:val="cs-CZ"/>
        </w:rPr>
      </w:pPr>
      <w:r w:rsidRPr="003B6E11">
        <w:rPr>
          <w:lang w:val="cs-CZ"/>
        </w:rPr>
        <w:t>3.</w:t>
      </w:r>
      <w:r w:rsidRPr="003B6E11">
        <w:rPr>
          <w:lang w:val="cs-CZ"/>
        </w:rPr>
        <w:tab/>
        <w:t>Jednoduchý nebo dvojitý lodní trup podle ADN/ADNR</w:t>
      </w:r>
    </w:p>
    <w:p w:rsidR="003B6E11" w:rsidRPr="003B6E11" w:rsidRDefault="003B6E11" w:rsidP="003B6E11">
      <w:pPr>
        <w:spacing w:before="60" w:line="240" w:lineRule="atLeast"/>
        <w:ind w:left="992" w:hanging="567"/>
        <w:rPr>
          <w:rFonts w:cs="Arial"/>
          <w:noProof/>
          <w:szCs w:val="20"/>
          <w:lang w:val="cs-CZ"/>
        </w:rPr>
      </w:pPr>
      <w:r w:rsidRPr="003B6E11">
        <w:rPr>
          <w:lang w:val="cs-CZ"/>
        </w:rPr>
        <w:t>4.</w:t>
      </w:r>
      <w:r w:rsidRPr="003B6E11">
        <w:rPr>
          <w:lang w:val="cs-CZ"/>
        </w:rPr>
        <w:tab/>
        <w:t>Výška podle definice čl. 1.01 odst. 4.22</w:t>
      </w:r>
    </w:p>
    <w:p w:rsidR="003B6E11" w:rsidRPr="003B6E11" w:rsidRDefault="003B6E11" w:rsidP="003B6E11">
      <w:pPr>
        <w:spacing w:before="60" w:line="240" w:lineRule="atLeast"/>
        <w:ind w:left="992" w:hanging="567"/>
        <w:rPr>
          <w:rFonts w:cs="Arial"/>
          <w:noProof/>
          <w:szCs w:val="20"/>
          <w:lang w:val="cs-CZ"/>
        </w:rPr>
      </w:pPr>
      <w:r w:rsidRPr="003B6E11">
        <w:rPr>
          <w:lang w:val="cs-CZ"/>
        </w:rPr>
        <w:t>5.</w:t>
      </w:r>
      <w:r w:rsidRPr="003B6E11">
        <w:rPr>
          <w:lang w:val="cs-CZ"/>
        </w:rPr>
        <w:tab/>
        <w:t>Hrubá tonáž (u námořních lodí)</w:t>
      </w:r>
    </w:p>
    <w:p w:rsidR="003B6E11" w:rsidRPr="003B6E11" w:rsidRDefault="003B6E11" w:rsidP="003B6E11">
      <w:pPr>
        <w:spacing w:before="60" w:line="240" w:lineRule="atLeast"/>
        <w:ind w:left="992" w:hanging="567"/>
        <w:rPr>
          <w:rFonts w:cs="Arial"/>
          <w:noProof/>
          <w:szCs w:val="20"/>
          <w:lang w:val="cs-CZ"/>
        </w:rPr>
      </w:pPr>
      <w:r w:rsidRPr="003B6E11">
        <w:rPr>
          <w:lang w:val="cs-CZ"/>
        </w:rPr>
        <w:t>6.</w:t>
      </w:r>
      <w:r w:rsidRPr="003B6E11">
        <w:rPr>
          <w:lang w:val="cs-CZ"/>
        </w:rPr>
        <w:tab/>
        <w:t>Číslo plavidla podle IMO (u námořních lodí)</w:t>
      </w:r>
    </w:p>
    <w:p w:rsidR="003B6E11" w:rsidRPr="003B6E11" w:rsidRDefault="003B6E11" w:rsidP="003B6E11">
      <w:pPr>
        <w:spacing w:before="60" w:line="240" w:lineRule="atLeast"/>
        <w:ind w:left="992" w:hanging="567"/>
        <w:rPr>
          <w:rFonts w:cs="Arial"/>
          <w:noProof/>
          <w:szCs w:val="20"/>
          <w:lang w:val="cs-CZ"/>
        </w:rPr>
      </w:pPr>
      <w:r w:rsidRPr="003B6E11">
        <w:rPr>
          <w:lang w:val="cs-CZ"/>
        </w:rPr>
        <w:t>7.</w:t>
      </w:r>
      <w:r w:rsidRPr="003B6E11">
        <w:rPr>
          <w:lang w:val="cs-CZ"/>
        </w:rPr>
        <w:tab/>
        <w:t>Volací značka (u námořních lodí)</w:t>
      </w:r>
    </w:p>
    <w:p w:rsidR="003B6E11" w:rsidRPr="003B6E11" w:rsidRDefault="003B6E11" w:rsidP="003B6E11">
      <w:pPr>
        <w:spacing w:before="60" w:line="240" w:lineRule="atLeast"/>
        <w:ind w:left="992" w:hanging="567"/>
        <w:rPr>
          <w:rFonts w:cs="Arial"/>
          <w:noProof/>
          <w:szCs w:val="20"/>
          <w:lang w:val="cs-CZ"/>
        </w:rPr>
      </w:pPr>
      <w:r w:rsidRPr="003B6E11">
        <w:rPr>
          <w:lang w:val="cs-CZ"/>
        </w:rPr>
        <w:t>8.</w:t>
      </w:r>
      <w:r w:rsidRPr="003B6E11">
        <w:rPr>
          <w:lang w:val="cs-CZ"/>
        </w:rPr>
        <w:tab/>
        <w:t>Číslo MMSI</w:t>
      </w:r>
    </w:p>
    <w:p w:rsidR="003B6E11" w:rsidRPr="003B6E11" w:rsidRDefault="003B6E11" w:rsidP="003B6E11">
      <w:pPr>
        <w:spacing w:before="60" w:line="240" w:lineRule="atLeast"/>
        <w:ind w:left="992" w:hanging="567"/>
        <w:rPr>
          <w:rFonts w:cs="Arial"/>
          <w:noProof/>
          <w:szCs w:val="20"/>
          <w:lang w:val="cs-CZ"/>
        </w:rPr>
      </w:pPr>
      <w:r w:rsidRPr="003B6E11">
        <w:rPr>
          <w:lang w:val="cs-CZ"/>
        </w:rPr>
        <w:t>9.</w:t>
      </w:r>
      <w:r w:rsidRPr="003B6E11">
        <w:rPr>
          <w:lang w:val="cs-CZ"/>
        </w:rPr>
        <w:tab/>
        <w:t>Kód ATIS</w:t>
      </w:r>
    </w:p>
    <w:p w:rsidR="003B6E11" w:rsidRPr="003B6E11" w:rsidRDefault="003B6E11" w:rsidP="003B6E11">
      <w:pPr>
        <w:spacing w:before="60" w:line="240" w:lineRule="atLeast"/>
        <w:ind w:left="992" w:hanging="567"/>
        <w:rPr>
          <w:rFonts w:cs="Arial"/>
          <w:noProof/>
          <w:szCs w:val="20"/>
          <w:lang w:val="cs-CZ"/>
        </w:rPr>
      </w:pPr>
      <w:r w:rsidRPr="003B6E11">
        <w:rPr>
          <w:lang w:val="cs-CZ"/>
        </w:rPr>
        <w:t>10.</w:t>
      </w:r>
      <w:r w:rsidRPr="003B6E11">
        <w:rPr>
          <w:lang w:val="cs-CZ"/>
        </w:rPr>
        <w:tab/>
        <w:t>Druh, číslo, vydávající orgán a datum konce platnosti jiných osvědčení.</w:t>
      </w:r>
    </w:p>
    <w:p w:rsidR="003B6E11" w:rsidRPr="003B6E11" w:rsidRDefault="003B6E11" w:rsidP="003B6E11">
      <w:pPr>
        <w:spacing w:before="60" w:line="240" w:lineRule="atLeast"/>
        <w:ind w:left="992" w:hanging="567"/>
        <w:rPr>
          <w:rFonts w:cs="Arial"/>
          <w:noProof/>
          <w:szCs w:val="20"/>
          <w:lang w:val="cs-CZ"/>
        </w:rPr>
      </w:pPr>
    </w:p>
    <w:p w:rsidR="003B6E11" w:rsidRPr="003B6E11" w:rsidRDefault="003B6E11" w:rsidP="003B6E11">
      <w:pPr>
        <w:spacing w:before="60" w:line="240" w:lineRule="atLeast"/>
        <w:ind w:left="992" w:hanging="567"/>
        <w:rPr>
          <w:rFonts w:cs="Arial"/>
          <w:noProof/>
          <w:szCs w:val="20"/>
          <w:lang w:val="cs-CZ"/>
        </w:rPr>
      </w:pPr>
    </w:p>
    <w:p w:rsidR="003B6E11" w:rsidRPr="003B6E11" w:rsidRDefault="003B6E11" w:rsidP="003B6E11">
      <w:pPr>
        <w:spacing w:line="240" w:lineRule="atLeast"/>
        <w:rPr>
          <w:rFonts w:cs="Arial"/>
          <w:noProof/>
          <w:szCs w:val="20"/>
          <w:lang w:val="cs-CZ"/>
        </w:rPr>
      </w:pPr>
      <w:r w:rsidRPr="003B6E11">
        <w:rPr>
          <w:lang w:val="cs-CZ"/>
        </w:rPr>
        <w:br w:type="page"/>
      </w:r>
    </w:p>
    <w:p w:rsidR="003B6E11" w:rsidRPr="003B6E11" w:rsidRDefault="003B6E11" w:rsidP="003B6E11">
      <w:pPr>
        <w:spacing w:line="240" w:lineRule="atLeast"/>
        <w:rPr>
          <w:rFonts w:cs="Arial"/>
          <w:noProof/>
          <w:szCs w:val="20"/>
          <w:lang w:val="cs-CZ"/>
        </w:rPr>
      </w:pPr>
    </w:p>
    <w:p w:rsidR="003B6E11" w:rsidRPr="003B6E11" w:rsidRDefault="003B6E11" w:rsidP="003B6E11">
      <w:pPr>
        <w:spacing w:line="240" w:lineRule="atLeast"/>
        <w:rPr>
          <w:rFonts w:cs="Arial"/>
          <w:noProof/>
          <w:szCs w:val="20"/>
          <w:lang w:val="cs-CZ"/>
        </w:rPr>
      </w:pPr>
    </w:p>
    <w:p w:rsidR="003B6E11" w:rsidRPr="003B6E11" w:rsidRDefault="003B6E11" w:rsidP="003B6E11">
      <w:pPr>
        <w:spacing w:line="240" w:lineRule="atLeast"/>
        <w:rPr>
          <w:rFonts w:cs="Arial"/>
          <w:noProof/>
          <w:szCs w:val="20"/>
          <w:lang w:val="cs-CZ"/>
        </w:rPr>
      </w:pPr>
    </w:p>
    <w:p w:rsidR="003B6E11" w:rsidRPr="003B6E11" w:rsidRDefault="003B6E11" w:rsidP="003B6E11">
      <w:pPr>
        <w:tabs>
          <w:tab w:val="center" w:pos="8647"/>
        </w:tabs>
        <w:rPr>
          <w:rFonts w:cs="Arial"/>
          <w:szCs w:val="20"/>
          <w:lang w:val="cs-CZ"/>
        </w:rPr>
        <w:sectPr w:rsidR="003B6E11" w:rsidRPr="003B6E11" w:rsidSect="0042206B">
          <w:headerReference w:type="default" r:id="rId42"/>
          <w:footerReference w:type="default" r:id="rId43"/>
          <w:headerReference w:type="first" r:id="rId44"/>
          <w:footnotePr>
            <w:numRestart w:val="eachPage"/>
          </w:footnotePr>
          <w:pgSz w:w="11907" w:h="16840"/>
          <w:pgMar w:top="1418" w:right="1418" w:bottom="1418" w:left="1418" w:header="720" w:footer="720" w:gutter="0"/>
          <w:cols w:space="720"/>
          <w:docGrid w:linePitch="272"/>
        </w:sectPr>
      </w:pPr>
    </w:p>
    <w:p w:rsidR="003B6E11" w:rsidRPr="003B6E11" w:rsidRDefault="003B6E11" w:rsidP="003B6E11">
      <w:pPr>
        <w:tabs>
          <w:tab w:val="center" w:pos="8647"/>
        </w:tabs>
        <w:rPr>
          <w:rFonts w:cs="Arial"/>
          <w:szCs w:val="20"/>
          <w:lang w:val="cs-CZ"/>
        </w:rPr>
      </w:pPr>
    </w:p>
    <w:p w:rsidR="003B6E11" w:rsidRPr="003B6E11" w:rsidRDefault="003B6E11" w:rsidP="003B6E11">
      <w:pPr>
        <w:pStyle w:val="ES-Titre2"/>
        <w:pageBreakBefore w:val="0"/>
      </w:pPr>
      <w:bookmarkStart w:id="604" w:name="_Toc491854294"/>
      <w:bookmarkStart w:id="605" w:name="_Toc535417200"/>
      <w:r w:rsidRPr="003B6E11">
        <w:t>Příloha 3</w:t>
      </w:r>
      <w:r w:rsidRPr="003B6E11">
        <w:br/>
        <w:t>Vzory osvědčení plavidla vnitrozemské plavby a vzor rejstříku osvědčení plavidla vnitrozemské plavby</w:t>
      </w:r>
      <w:bookmarkEnd w:id="604"/>
      <w:bookmarkEnd w:id="605"/>
    </w:p>
    <w:p w:rsidR="003B6E11" w:rsidRPr="003B6E11" w:rsidRDefault="003B6E11" w:rsidP="003B6E11">
      <w:pPr>
        <w:pStyle w:val="ESgauche"/>
        <w:rPr>
          <w:lang w:val="cs-CZ"/>
        </w:rPr>
      </w:pPr>
    </w:p>
    <w:p w:rsidR="003B6E11" w:rsidRPr="003B6E11" w:rsidRDefault="003B6E11" w:rsidP="003B6E11">
      <w:pPr>
        <w:pStyle w:val="ES-Titre3"/>
        <w:rPr>
          <w:noProof/>
          <w:lang w:val="cs-CZ"/>
        </w:rPr>
      </w:pPr>
      <w:bookmarkStart w:id="606" w:name="_Toc491854295"/>
      <w:bookmarkStart w:id="607" w:name="_Toc535417201"/>
      <w:r w:rsidRPr="003B6E11">
        <w:rPr>
          <w:lang w:val="cs-CZ"/>
        </w:rPr>
        <w:t>Oddíl I</w:t>
      </w:r>
      <w:bookmarkEnd w:id="606"/>
      <w:bookmarkEnd w:id="607"/>
    </w:p>
    <w:p w:rsidR="003B6E11" w:rsidRPr="003B6E11" w:rsidRDefault="003B6E11" w:rsidP="003B6E11">
      <w:pPr>
        <w:pStyle w:val="ES-Titre3a"/>
        <w:rPr>
          <w:lang w:val="cs-CZ"/>
        </w:rPr>
      </w:pPr>
      <w:bookmarkStart w:id="608" w:name="_Toc491854296"/>
      <w:bookmarkStart w:id="609" w:name="_Toc535417202"/>
      <w:r w:rsidRPr="003B6E11">
        <w:rPr>
          <w:lang w:val="cs-CZ"/>
        </w:rPr>
        <w:t>Vzor osvědčení plavidla vnitrozemské plavby</w:t>
      </w:r>
      <w:bookmarkEnd w:id="608"/>
      <w:bookmarkEnd w:id="609"/>
    </w:p>
    <w:p w:rsidR="003B6E11" w:rsidRPr="003B6E11" w:rsidRDefault="003B6E11" w:rsidP="003B6E11">
      <w:pPr>
        <w:tabs>
          <w:tab w:val="left" w:pos="284"/>
          <w:tab w:val="left" w:leader="dot" w:pos="9356"/>
        </w:tabs>
        <w:overflowPunct w:val="0"/>
        <w:adjustRightInd w:val="0"/>
        <w:textAlignment w:val="baseline"/>
        <w:rPr>
          <w:rFonts w:cs="Arial"/>
          <w:szCs w:val="20"/>
          <w:lang w:val="cs-CZ"/>
        </w:rPr>
      </w:pPr>
    </w:p>
    <w:p w:rsidR="003B6E11" w:rsidRPr="003B6E11" w:rsidRDefault="003B6E11" w:rsidP="003B6E11">
      <w:pPr>
        <w:tabs>
          <w:tab w:val="left" w:pos="284"/>
          <w:tab w:val="left" w:leader="dot" w:pos="9356"/>
        </w:tabs>
        <w:overflowPunct w:val="0"/>
        <w:adjustRightInd w:val="0"/>
        <w:textAlignment w:val="baseline"/>
        <w:rPr>
          <w:rFonts w:cs="Arial"/>
          <w:szCs w:val="20"/>
          <w:lang w:val="cs-CZ"/>
        </w:rPr>
      </w:pPr>
    </w:p>
    <w:p w:rsidR="003B6E11" w:rsidRPr="003B6E11" w:rsidRDefault="003B6E11" w:rsidP="003B6E11">
      <w:pPr>
        <w:tabs>
          <w:tab w:val="left" w:pos="284"/>
          <w:tab w:val="left" w:leader="dot" w:pos="9356"/>
        </w:tabs>
        <w:overflowPunct w:val="0"/>
        <w:adjustRightInd w:val="0"/>
        <w:jc w:val="center"/>
        <w:textAlignment w:val="baseline"/>
        <w:rPr>
          <w:rFonts w:cs="Arial"/>
          <w:b/>
          <w:lang w:val="cs-CZ"/>
        </w:rPr>
      </w:pPr>
      <w:r w:rsidRPr="003B6E11">
        <w:rPr>
          <w:b/>
          <w:lang w:val="cs-CZ"/>
        </w:rPr>
        <w:t>Název státu / pečeť</w:t>
      </w:r>
    </w:p>
    <w:p w:rsidR="003B6E11" w:rsidRPr="003B6E11" w:rsidRDefault="003B6E11" w:rsidP="003B6E11">
      <w:pPr>
        <w:tabs>
          <w:tab w:val="left" w:pos="284"/>
          <w:tab w:val="left" w:leader="dot" w:pos="9356"/>
        </w:tabs>
        <w:overflowPunct w:val="0"/>
        <w:adjustRightInd w:val="0"/>
        <w:jc w:val="center"/>
        <w:textAlignment w:val="baseline"/>
        <w:rPr>
          <w:rFonts w:cs="Arial"/>
          <w:b/>
          <w:lang w:val="cs-CZ"/>
        </w:rPr>
      </w:pPr>
    </w:p>
    <w:p w:rsidR="003B6E11" w:rsidRPr="003B6E11" w:rsidRDefault="003B6E11" w:rsidP="003B6E11">
      <w:pPr>
        <w:tabs>
          <w:tab w:val="left" w:pos="284"/>
          <w:tab w:val="left" w:leader="dot" w:pos="9356"/>
        </w:tabs>
        <w:overflowPunct w:val="0"/>
        <w:adjustRightInd w:val="0"/>
        <w:jc w:val="center"/>
        <w:textAlignment w:val="baseline"/>
        <w:rPr>
          <w:rFonts w:cs="Arial"/>
          <w:b/>
          <w:lang w:val="cs-CZ"/>
        </w:rPr>
      </w:pPr>
    </w:p>
    <w:p w:rsidR="003B6E11" w:rsidRPr="003B6E11" w:rsidRDefault="003B6E11" w:rsidP="003B6E11">
      <w:pPr>
        <w:tabs>
          <w:tab w:val="left" w:pos="284"/>
          <w:tab w:val="left" w:leader="dot" w:pos="9356"/>
        </w:tabs>
        <w:overflowPunct w:val="0"/>
        <w:adjustRightInd w:val="0"/>
        <w:jc w:val="center"/>
        <w:textAlignment w:val="baseline"/>
        <w:rPr>
          <w:rFonts w:cs="Arial"/>
          <w:b/>
          <w:lang w:val="cs-CZ"/>
        </w:rPr>
      </w:pPr>
      <w:r w:rsidRPr="003B6E11">
        <w:rPr>
          <w:b/>
          <w:lang w:val="cs-CZ"/>
        </w:rPr>
        <w:t>OSVĚDČENÍ PLAVIDLA VNITROZEMSKÉ PLAVBY</w:t>
      </w:r>
    </w:p>
    <w:p w:rsidR="003B6E11" w:rsidRPr="003B6E11" w:rsidRDefault="003B6E11" w:rsidP="003B6E11">
      <w:pPr>
        <w:tabs>
          <w:tab w:val="left" w:pos="284"/>
          <w:tab w:val="left" w:leader="dot" w:pos="9356"/>
        </w:tabs>
        <w:overflowPunct w:val="0"/>
        <w:adjustRightInd w:val="0"/>
        <w:jc w:val="center"/>
        <w:textAlignment w:val="baseline"/>
        <w:rPr>
          <w:rFonts w:cs="Arial"/>
          <w:b/>
          <w:lang w:val="cs-CZ"/>
        </w:rPr>
      </w:pPr>
    </w:p>
    <w:p w:rsidR="003B6E11" w:rsidRPr="003B6E11" w:rsidRDefault="003B6E11" w:rsidP="003B6E11">
      <w:pPr>
        <w:tabs>
          <w:tab w:val="left" w:pos="284"/>
          <w:tab w:val="left" w:leader="dot" w:pos="9356"/>
        </w:tabs>
        <w:overflowPunct w:val="0"/>
        <w:adjustRightInd w:val="0"/>
        <w:jc w:val="center"/>
        <w:textAlignment w:val="baseline"/>
        <w:rPr>
          <w:rFonts w:cs="Arial"/>
          <w:b/>
          <w:lang w:val="cs-CZ"/>
        </w:rPr>
      </w:pPr>
    </w:p>
    <w:p w:rsidR="003B6E11" w:rsidRPr="003B6E11" w:rsidRDefault="003B6E11" w:rsidP="003B6E11">
      <w:pPr>
        <w:tabs>
          <w:tab w:val="left" w:pos="284"/>
          <w:tab w:val="left" w:leader="dot" w:pos="1701"/>
          <w:tab w:val="left" w:leader="dot" w:pos="9356"/>
        </w:tabs>
        <w:overflowPunct w:val="0"/>
        <w:adjustRightInd w:val="0"/>
        <w:jc w:val="center"/>
        <w:textAlignment w:val="baseline"/>
        <w:rPr>
          <w:rFonts w:cs="Arial"/>
          <w:b/>
          <w:lang w:val="cs-CZ"/>
        </w:rPr>
      </w:pPr>
      <w:r w:rsidRPr="003B6E11">
        <w:rPr>
          <w:b/>
          <w:lang w:val="cs-CZ"/>
        </w:rPr>
        <w:t xml:space="preserve">Č. </w:t>
      </w:r>
      <w:r w:rsidRPr="003B6E11">
        <w:rPr>
          <w:rFonts w:cs="Arial"/>
          <w:b/>
          <w:lang w:val="cs-CZ"/>
        </w:rPr>
        <w:tab/>
      </w:r>
      <w:r w:rsidRPr="003B6E11">
        <w:rPr>
          <w:lang w:val="cs-CZ"/>
        </w:rPr>
        <w:tab/>
      </w:r>
    </w:p>
    <w:p w:rsidR="003B6E11" w:rsidRPr="003B6E11" w:rsidRDefault="003B6E11" w:rsidP="003B6E11">
      <w:pPr>
        <w:tabs>
          <w:tab w:val="left" w:pos="284"/>
          <w:tab w:val="left" w:leader="dot" w:pos="2268"/>
          <w:tab w:val="left" w:leader="dot" w:pos="9356"/>
        </w:tabs>
        <w:overflowPunct w:val="0"/>
        <w:adjustRightInd w:val="0"/>
        <w:textAlignment w:val="baseline"/>
        <w:rPr>
          <w:rFonts w:cs="Arial"/>
          <w:szCs w:val="20"/>
          <w:lang w:val="cs-CZ"/>
        </w:rPr>
      </w:pPr>
    </w:p>
    <w:p w:rsidR="003B6E11" w:rsidRPr="003B6E11" w:rsidRDefault="003B6E11" w:rsidP="003B6E11">
      <w:pPr>
        <w:tabs>
          <w:tab w:val="left" w:pos="284"/>
          <w:tab w:val="left" w:leader="dot" w:pos="2268"/>
          <w:tab w:val="left" w:leader="dot" w:pos="9356"/>
        </w:tabs>
        <w:overflowPunct w:val="0"/>
        <w:adjustRightInd w:val="0"/>
        <w:textAlignment w:val="baseline"/>
        <w:rPr>
          <w:rFonts w:cs="Arial"/>
          <w:szCs w:val="20"/>
          <w:lang w:val="cs-CZ"/>
        </w:rPr>
      </w:pPr>
    </w:p>
    <w:p w:rsidR="003B6E11" w:rsidRPr="003B6E11" w:rsidRDefault="003B6E11" w:rsidP="003B6E11">
      <w:pPr>
        <w:tabs>
          <w:tab w:val="left" w:pos="284"/>
          <w:tab w:val="left" w:leader="dot" w:pos="2268"/>
          <w:tab w:val="left" w:leader="dot" w:pos="9356"/>
        </w:tabs>
        <w:overflowPunct w:val="0"/>
        <w:adjustRightInd w:val="0"/>
        <w:textAlignment w:val="baseline"/>
        <w:rPr>
          <w:rFonts w:cs="Arial"/>
          <w:szCs w:val="20"/>
          <w:lang w:val="cs-CZ"/>
        </w:rPr>
      </w:pPr>
    </w:p>
    <w:p w:rsidR="003B6E11" w:rsidRPr="003B6E11" w:rsidRDefault="003B6E11" w:rsidP="003B6E11">
      <w:pPr>
        <w:tabs>
          <w:tab w:val="left" w:pos="397"/>
          <w:tab w:val="left" w:leader="dot" w:pos="9356"/>
        </w:tabs>
        <w:overflowPunct w:val="0"/>
        <w:adjustRightInd w:val="0"/>
        <w:textAlignment w:val="baseline"/>
        <w:rPr>
          <w:rFonts w:cs="Arial"/>
          <w:szCs w:val="20"/>
          <w:lang w:val="cs-CZ"/>
        </w:rPr>
      </w:pPr>
      <w:r w:rsidRPr="003B6E11">
        <w:rPr>
          <w:lang w:val="cs-CZ"/>
        </w:rPr>
        <w:tab/>
        <w:t>Místo, datum</w:t>
      </w:r>
    </w:p>
    <w:p w:rsidR="003B6E11" w:rsidRPr="003B6E11" w:rsidRDefault="003B6E11" w:rsidP="003B6E11">
      <w:pPr>
        <w:tabs>
          <w:tab w:val="left" w:pos="113"/>
          <w:tab w:val="left" w:pos="397"/>
          <w:tab w:val="left" w:leader="dot" w:pos="9356"/>
        </w:tabs>
        <w:overflowPunct w:val="0"/>
        <w:adjustRightInd w:val="0"/>
        <w:textAlignment w:val="baseline"/>
        <w:rPr>
          <w:rFonts w:cs="Arial"/>
          <w:szCs w:val="20"/>
          <w:lang w:val="cs-CZ"/>
        </w:rPr>
      </w:pPr>
    </w:p>
    <w:p w:rsidR="003B6E11" w:rsidRPr="003B6E11" w:rsidRDefault="003B6E11" w:rsidP="003B6E11">
      <w:pPr>
        <w:tabs>
          <w:tab w:val="left" w:pos="397"/>
          <w:tab w:val="left" w:leader="dot" w:pos="4536"/>
          <w:tab w:val="left" w:leader="dot" w:pos="9356"/>
        </w:tabs>
        <w:overflowPunct w:val="0"/>
        <w:adjustRightInd w:val="0"/>
        <w:textAlignment w:val="baseline"/>
        <w:rPr>
          <w:rFonts w:cs="Arial"/>
          <w:szCs w:val="20"/>
          <w:lang w:val="cs-CZ"/>
        </w:rPr>
      </w:pPr>
      <w:r w:rsidRPr="003B6E11">
        <w:rPr>
          <w:lang w:val="cs-CZ"/>
        </w:rPr>
        <w:tab/>
      </w:r>
      <w:r w:rsidRPr="003B6E11">
        <w:rPr>
          <w:lang w:val="cs-CZ"/>
        </w:rPr>
        <w:tab/>
      </w:r>
    </w:p>
    <w:p w:rsidR="003B6E11" w:rsidRPr="003B6E11" w:rsidRDefault="003B6E11" w:rsidP="003B6E11">
      <w:pPr>
        <w:tabs>
          <w:tab w:val="left" w:pos="113"/>
          <w:tab w:val="left" w:pos="397"/>
          <w:tab w:val="left" w:leader="dot" w:pos="3969"/>
          <w:tab w:val="left" w:leader="dot" w:pos="9356"/>
        </w:tabs>
        <w:overflowPunct w:val="0"/>
        <w:adjustRightInd w:val="0"/>
        <w:textAlignment w:val="baseline"/>
        <w:rPr>
          <w:rFonts w:cs="Arial"/>
          <w:szCs w:val="20"/>
          <w:lang w:val="cs-CZ"/>
        </w:rPr>
      </w:pPr>
    </w:p>
    <w:p w:rsidR="003B6E11" w:rsidRPr="003B6E11" w:rsidRDefault="003B6E11" w:rsidP="003B6E11">
      <w:pPr>
        <w:tabs>
          <w:tab w:val="center" w:pos="7088"/>
          <w:tab w:val="left" w:leader="dot" w:pos="9356"/>
        </w:tabs>
        <w:overflowPunct w:val="0"/>
        <w:adjustRightInd w:val="0"/>
        <w:textAlignment w:val="baseline"/>
        <w:rPr>
          <w:rFonts w:cs="Arial"/>
          <w:szCs w:val="20"/>
          <w:lang w:val="cs-CZ"/>
        </w:rPr>
      </w:pPr>
      <w:r w:rsidRPr="003B6E11">
        <w:rPr>
          <w:lang w:val="cs-CZ"/>
        </w:rPr>
        <w:tab/>
        <w:t>Subjekt pověřený prohlídkami</w:t>
      </w:r>
    </w:p>
    <w:p w:rsidR="003B6E11" w:rsidRPr="003B6E11" w:rsidRDefault="003B6E11" w:rsidP="003B6E11">
      <w:pPr>
        <w:tabs>
          <w:tab w:val="left" w:pos="113"/>
          <w:tab w:val="left" w:pos="397"/>
          <w:tab w:val="left" w:pos="5103"/>
          <w:tab w:val="left" w:leader="dot" w:pos="9356"/>
        </w:tabs>
        <w:overflowPunct w:val="0"/>
        <w:adjustRightInd w:val="0"/>
        <w:textAlignment w:val="baseline"/>
        <w:rPr>
          <w:rFonts w:cs="Arial"/>
          <w:szCs w:val="20"/>
          <w:lang w:val="cs-CZ"/>
        </w:rPr>
      </w:pPr>
    </w:p>
    <w:p w:rsidR="003B6E11" w:rsidRPr="003B6E11" w:rsidRDefault="003B6E11" w:rsidP="003B6E11">
      <w:pPr>
        <w:tabs>
          <w:tab w:val="left" w:pos="5103"/>
          <w:tab w:val="left" w:leader="dot" w:pos="9072"/>
        </w:tabs>
        <w:overflowPunct w:val="0"/>
        <w:adjustRightInd w:val="0"/>
        <w:textAlignment w:val="baseline"/>
        <w:rPr>
          <w:rFonts w:cs="Arial"/>
          <w:szCs w:val="20"/>
          <w:lang w:val="cs-CZ"/>
        </w:rPr>
      </w:pPr>
      <w:r w:rsidRPr="003B6E11">
        <w:rPr>
          <w:lang w:val="cs-CZ"/>
        </w:rPr>
        <w:tab/>
      </w:r>
      <w:r w:rsidRPr="003B6E11">
        <w:rPr>
          <w:lang w:val="cs-CZ"/>
        </w:rPr>
        <w:tab/>
      </w:r>
    </w:p>
    <w:p w:rsidR="003B6E11" w:rsidRPr="003B6E11" w:rsidRDefault="003B6E11" w:rsidP="003B6E11">
      <w:pPr>
        <w:tabs>
          <w:tab w:val="center" w:pos="1985"/>
          <w:tab w:val="left" w:pos="5103"/>
          <w:tab w:val="left" w:leader="dot" w:pos="9356"/>
        </w:tabs>
        <w:overflowPunct w:val="0"/>
        <w:adjustRightInd w:val="0"/>
        <w:textAlignment w:val="baseline"/>
        <w:rPr>
          <w:rFonts w:cs="Arial"/>
          <w:szCs w:val="20"/>
          <w:lang w:val="cs-CZ"/>
        </w:rPr>
      </w:pPr>
      <w:r w:rsidRPr="003B6E11">
        <w:rPr>
          <w:lang w:val="cs-CZ"/>
        </w:rPr>
        <w:tab/>
        <w:t>Razítko</w:t>
      </w:r>
    </w:p>
    <w:p w:rsidR="003B6E11" w:rsidRPr="003B6E11" w:rsidRDefault="003B6E11" w:rsidP="003B6E11">
      <w:pPr>
        <w:tabs>
          <w:tab w:val="left" w:pos="113"/>
          <w:tab w:val="left" w:pos="397"/>
          <w:tab w:val="left" w:pos="5103"/>
          <w:tab w:val="left" w:leader="dot" w:pos="9356"/>
        </w:tabs>
        <w:overflowPunct w:val="0"/>
        <w:adjustRightInd w:val="0"/>
        <w:textAlignment w:val="baseline"/>
        <w:rPr>
          <w:rFonts w:cs="Arial"/>
          <w:szCs w:val="20"/>
          <w:lang w:val="cs-CZ"/>
        </w:rPr>
      </w:pPr>
    </w:p>
    <w:p w:rsidR="003B6E11" w:rsidRPr="003B6E11" w:rsidRDefault="003B6E11" w:rsidP="003B6E11">
      <w:pPr>
        <w:tabs>
          <w:tab w:val="left" w:pos="113"/>
          <w:tab w:val="left" w:pos="397"/>
          <w:tab w:val="left" w:pos="5103"/>
          <w:tab w:val="left" w:leader="dot" w:pos="9356"/>
        </w:tabs>
        <w:overflowPunct w:val="0"/>
        <w:adjustRightInd w:val="0"/>
        <w:textAlignment w:val="baseline"/>
        <w:rPr>
          <w:rFonts w:cs="Arial"/>
          <w:szCs w:val="20"/>
          <w:lang w:val="cs-CZ"/>
        </w:rPr>
      </w:pPr>
    </w:p>
    <w:p w:rsidR="003B6E11" w:rsidRPr="003B6E11" w:rsidRDefault="003B6E11" w:rsidP="003B6E11">
      <w:pPr>
        <w:tabs>
          <w:tab w:val="left" w:pos="113"/>
          <w:tab w:val="left" w:pos="397"/>
          <w:tab w:val="left" w:pos="5103"/>
          <w:tab w:val="left" w:leader="dot" w:pos="9356"/>
        </w:tabs>
        <w:overflowPunct w:val="0"/>
        <w:adjustRightInd w:val="0"/>
        <w:textAlignment w:val="baseline"/>
        <w:rPr>
          <w:rFonts w:cs="Arial"/>
          <w:szCs w:val="20"/>
          <w:lang w:val="cs-CZ"/>
        </w:rPr>
      </w:pPr>
    </w:p>
    <w:p w:rsidR="003B6E11" w:rsidRPr="003B6E11" w:rsidRDefault="003B6E11" w:rsidP="003B6E11">
      <w:pPr>
        <w:tabs>
          <w:tab w:val="left" w:pos="113"/>
          <w:tab w:val="left" w:pos="397"/>
          <w:tab w:val="left" w:pos="5103"/>
          <w:tab w:val="left" w:leader="dot" w:pos="9356"/>
        </w:tabs>
        <w:overflowPunct w:val="0"/>
        <w:adjustRightInd w:val="0"/>
        <w:textAlignment w:val="baseline"/>
        <w:rPr>
          <w:rFonts w:cs="Arial"/>
          <w:szCs w:val="20"/>
          <w:lang w:val="cs-CZ"/>
        </w:rPr>
      </w:pPr>
    </w:p>
    <w:p w:rsidR="003B6E11" w:rsidRPr="003B6E11" w:rsidRDefault="003B6E11" w:rsidP="003B6E11">
      <w:pPr>
        <w:tabs>
          <w:tab w:val="left" w:pos="5103"/>
          <w:tab w:val="left" w:leader="dot" w:pos="9072"/>
        </w:tabs>
        <w:overflowPunct w:val="0"/>
        <w:adjustRightInd w:val="0"/>
        <w:textAlignment w:val="baseline"/>
        <w:rPr>
          <w:rFonts w:cs="Arial"/>
          <w:szCs w:val="20"/>
          <w:lang w:val="cs-CZ"/>
        </w:rPr>
      </w:pPr>
      <w:r w:rsidRPr="003B6E11">
        <w:rPr>
          <w:lang w:val="cs-CZ"/>
        </w:rPr>
        <w:tab/>
      </w:r>
      <w:r w:rsidRPr="003B6E11">
        <w:rPr>
          <w:lang w:val="cs-CZ"/>
        </w:rPr>
        <w:tab/>
      </w:r>
    </w:p>
    <w:p w:rsidR="003B6E11" w:rsidRPr="003B6E11" w:rsidRDefault="003B6E11" w:rsidP="003B6E11">
      <w:pPr>
        <w:tabs>
          <w:tab w:val="center" w:pos="7088"/>
          <w:tab w:val="left" w:leader="dot" w:pos="9356"/>
        </w:tabs>
        <w:overflowPunct w:val="0"/>
        <w:adjustRightInd w:val="0"/>
        <w:textAlignment w:val="baseline"/>
        <w:rPr>
          <w:rFonts w:cs="Arial"/>
          <w:szCs w:val="20"/>
          <w:lang w:val="cs-CZ"/>
        </w:rPr>
      </w:pPr>
      <w:r w:rsidRPr="003B6E11">
        <w:rPr>
          <w:lang w:val="cs-CZ"/>
        </w:rPr>
        <w:tab/>
      </w:r>
      <w:r w:rsidRPr="003B6E11">
        <w:rPr>
          <w:sz w:val="16"/>
          <w:lang w:val="cs-CZ"/>
        </w:rPr>
        <w:t>(podpis)</w:t>
      </w:r>
    </w:p>
    <w:p w:rsidR="003B6E11" w:rsidRPr="003B6E11" w:rsidRDefault="003B6E11" w:rsidP="003B6E11">
      <w:pPr>
        <w:tabs>
          <w:tab w:val="left" w:pos="284"/>
          <w:tab w:val="left" w:leader="dot" w:pos="2268"/>
          <w:tab w:val="left" w:leader="dot" w:pos="9356"/>
        </w:tabs>
        <w:overflowPunct w:val="0"/>
        <w:adjustRightInd w:val="0"/>
        <w:textAlignment w:val="baseline"/>
        <w:rPr>
          <w:rFonts w:cs="Arial"/>
          <w:b/>
          <w:szCs w:val="20"/>
          <w:lang w:val="cs-CZ"/>
        </w:rPr>
      </w:pPr>
    </w:p>
    <w:p w:rsidR="003B6E11" w:rsidRPr="003B6E11" w:rsidRDefault="003B6E11" w:rsidP="003B6E11">
      <w:pPr>
        <w:tabs>
          <w:tab w:val="left" w:pos="284"/>
          <w:tab w:val="left" w:leader="dot" w:pos="2268"/>
          <w:tab w:val="left" w:leader="dot" w:pos="9356"/>
        </w:tabs>
        <w:overflowPunct w:val="0"/>
        <w:adjustRightInd w:val="0"/>
        <w:textAlignment w:val="baseline"/>
        <w:rPr>
          <w:rFonts w:cs="Arial"/>
          <w:b/>
          <w:szCs w:val="20"/>
          <w:lang w:val="cs-CZ"/>
        </w:rPr>
      </w:pPr>
    </w:p>
    <w:p w:rsidR="003B6E11" w:rsidRPr="003B6E11" w:rsidRDefault="003B6E11" w:rsidP="003B6E11">
      <w:pPr>
        <w:tabs>
          <w:tab w:val="left" w:pos="284"/>
          <w:tab w:val="left" w:leader="dot" w:pos="2268"/>
          <w:tab w:val="left" w:leader="dot" w:pos="9356"/>
        </w:tabs>
        <w:overflowPunct w:val="0"/>
        <w:adjustRightInd w:val="0"/>
        <w:textAlignment w:val="baseline"/>
        <w:rPr>
          <w:rFonts w:cs="Arial"/>
          <w:b/>
          <w:szCs w:val="20"/>
          <w:lang w:val="cs-CZ"/>
        </w:rPr>
      </w:pPr>
    </w:p>
    <w:p w:rsidR="003B6E11" w:rsidRPr="003B6E11" w:rsidRDefault="003B6E11" w:rsidP="003B6E11">
      <w:pPr>
        <w:tabs>
          <w:tab w:val="left" w:pos="284"/>
          <w:tab w:val="left" w:leader="dot" w:pos="2268"/>
          <w:tab w:val="left" w:leader="dot" w:pos="9356"/>
        </w:tabs>
        <w:overflowPunct w:val="0"/>
        <w:adjustRightInd w:val="0"/>
        <w:textAlignment w:val="baseline"/>
        <w:rPr>
          <w:rFonts w:cs="Arial"/>
          <w:b/>
          <w:szCs w:val="20"/>
          <w:lang w:val="cs-CZ"/>
        </w:rPr>
      </w:pPr>
    </w:p>
    <w:p w:rsidR="003B6E11" w:rsidRPr="003B6E11" w:rsidRDefault="003B6E11" w:rsidP="003B6E11">
      <w:pPr>
        <w:tabs>
          <w:tab w:val="left" w:pos="284"/>
          <w:tab w:val="left" w:leader="dot" w:pos="2268"/>
          <w:tab w:val="left" w:leader="dot" w:pos="9356"/>
        </w:tabs>
        <w:overflowPunct w:val="0"/>
        <w:adjustRightInd w:val="0"/>
        <w:textAlignment w:val="baseline"/>
        <w:rPr>
          <w:rFonts w:cs="Arial"/>
          <w:b/>
          <w:szCs w:val="20"/>
          <w:lang w:val="cs-CZ"/>
        </w:rPr>
      </w:pPr>
    </w:p>
    <w:p w:rsidR="003B6E11" w:rsidRPr="003B6E11" w:rsidRDefault="003B6E11" w:rsidP="003B6E11">
      <w:pPr>
        <w:tabs>
          <w:tab w:val="left" w:pos="284"/>
          <w:tab w:val="left" w:leader="dot" w:pos="2268"/>
          <w:tab w:val="left" w:leader="dot" w:pos="9356"/>
        </w:tabs>
        <w:overflowPunct w:val="0"/>
        <w:adjustRightInd w:val="0"/>
        <w:textAlignment w:val="baseline"/>
        <w:rPr>
          <w:rFonts w:cs="Arial"/>
          <w:szCs w:val="20"/>
          <w:lang w:val="cs-CZ"/>
        </w:rPr>
      </w:pPr>
      <w:r w:rsidRPr="003B6E11">
        <w:rPr>
          <w:lang w:val="cs-CZ"/>
        </w:rPr>
        <w:t>Poznámky:</w:t>
      </w:r>
    </w:p>
    <w:p w:rsidR="003B6E11" w:rsidRPr="003B6E11" w:rsidRDefault="003B6E11" w:rsidP="003B6E11">
      <w:pPr>
        <w:tabs>
          <w:tab w:val="left" w:pos="284"/>
          <w:tab w:val="left" w:leader="dot" w:pos="2268"/>
          <w:tab w:val="left" w:leader="dot" w:pos="9356"/>
        </w:tabs>
        <w:overflowPunct w:val="0"/>
        <w:adjustRightInd w:val="0"/>
        <w:textAlignment w:val="baseline"/>
        <w:rPr>
          <w:rFonts w:cs="Arial"/>
          <w:szCs w:val="20"/>
          <w:lang w:val="cs-CZ"/>
        </w:rPr>
      </w:pPr>
    </w:p>
    <w:p w:rsidR="003B6E11" w:rsidRPr="003B6E11" w:rsidRDefault="003B6E11" w:rsidP="003B6E11">
      <w:pPr>
        <w:tabs>
          <w:tab w:val="left" w:leader="dot" w:pos="2268"/>
          <w:tab w:val="left" w:leader="dot" w:pos="9356"/>
        </w:tabs>
        <w:overflowPunct w:val="0"/>
        <w:adjustRightInd w:val="0"/>
        <w:textAlignment w:val="baseline"/>
        <w:rPr>
          <w:rFonts w:cs="Arial"/>
          <w:szCs w:val="20"/>
          <w:lang w:val="cs-CZ"/>
        </w:rPr>
      </w:pPr>
      <w:r w:rsidRPr="003B6E11">
        <w:rPr>
          <w:lang w:val="cs-CZ"/>
        </w:rPr>
        <w:t>Na základě tohoto osvědčení plavidla vnitrozemské plavby lze plavidlo používat k plavbě pouze tehdy, nachází-li se ve stavu popsaném v osvědčení.</w:t>
      </w:r>
    </w:p>
    <w:p w:rsidR="003B6E11" w:rsidRPr="003B6E11" w:rsidRDefault="003B6E11" w:rsidP="003B6E11">
      <w:pPr>
        <w:tabs>
          <w:tab w:val="left" w:leader="dot" w:pos="2268"/>
          <w:tab w:val="left" w:leader="dot" w:pos="9356"/>
        </w:tabs>
        <w:overflowPunct w:val="0"/>
        <w:adjustRightInd w:val="0"/>
        <w:textAlignment w:val="baseline"/>
        <w:rPr>
          <w:rFonts w:cs="Arial"/>
          <w:szCs w:val="20"/>
          <w:lang w:val="cs-CZ"/>
        </w:rPr>
      </w:pPr>
    </w:p>
    <w:p w:rsidR="003B6E11" w:rsidRPr="003B6E11" w:rsidRDefault="003B6E11" w:rsidP="003B6E11">
      <w:pPr>
        <w:tabs>
          <w:tab w:val="left" w:leader="dot" w:pos="2268"/>
          <w:tab w:val="left" w:leader="dot" w:pos="9356"/>
        </w:tabs>
        <w:overflowPunct w:val="0"/>
        <w:adjustRightInd w:val="0"/>
        <w:textAlignment w:val="baseline"/>
        <w:rPr>
          <w:rFonts w:cs="Arial"/>
          <w:szCs w:val="20"/>
          <w:lang w:val="cs-CZ"/>
        </w:rPr>
      </w:pPr>
      <w:r w:rsidRPr="003B6E11">
        <w:rPr>
          <w:lang w:val="cs-CZ"/>
        </w:rPr>
        <w:t>V případě podstatných úprav nebo oprav musí plavidlo před novou plavbou podstoupit zvláštní prohlídku.</w:t>
      </w:r>
    </w:p>
    <w:p w:rsidR="003B6E11" w:rsidRPr="003B6E11" w:rsidRDefault="003B6E11" w:rsidP="003B6E11">
      <w:pPr>
        <w:tabs>
          <w:tab w:val="left" w:leader="dot" w:pos="2268"/>
          <w:tab w:val="left" w:leader="dot" w:pos="9356"/>
        </w:tabs>
        <w:overflowPunct w:val="0"/>
        <w:adjustRightInd w:val="0"/>
        <w:textAlignment w:val="baseline"/>
        <w:rPr>
          <w:rFonts w:cs="Arial"/>
          <w:szCs w:val="20"/>
          <w:lang w:val="cs-CZ"/>
        </w:rPr>
      </w:pPr>
    </w:p>
    <w:p w:rsidR="003B6E11" w:rsidRPr="003B6E11" w:rsidRDefault="003B6E11" w:rsidP="003B6E11">
      <w:pPr>
        <w:tabs>
          <w:tab w:val="left" w:leader="dot" w:pos="2268"/>
          <w:tab w:val="left" w:leader="dot" w:pos="9356"/>
        </w:tabs>
        <w:overflowPunct w:val="0"/>
        <w:adjustRightInd w:val="0"/>
        <w:textAlignment w:val="baseline"/>
        <w:rPr>
          <w:rFonts w:cs="Arial"/>
          <w:b/>
          <w:szCs w:val="20"/>
          <w:lang w:val="cs-CZ"/>
        </w:rPr>
      </w:pPr>
      <w:r w:rsidRPr="003B6E11">
        <w:rPr>
          <w:lang w:val="cs-CZ"/>
        </w:rPr>
        <w:t>Vlastník plavidla nebo jeho zástupce oznámí subjektu pověřenému prohlídkami jakékoli změny jména plavidla, změny jeho vlastníka, případné nové cejchování a změny registrace nebo domovského přístavu, a osvědčení plavidla vnitrozemské plavby předloží subjektu pověřenému prohlídkami, aby do něho změny zapsal.</w:t>
      </w:r>
    </w:p>
    <w:p w:rsidR="003B6E11" w:rsidRPr="003B6E11" w:rsidRDefault="003B6E11" w:rsidP="003B6E11">
      <w:pPr>
        <w:tabs>
          <w:tab w:val="left" w:leader="dot" w:pos="2835"/>
          <w:tab w:val="left" w:leader="dot" w:pos="5103"/>
        </w:tabs>
        <w:overflowPunct w:val="0"/>
        <w:adjustRightInd w:val="0"/>
        <w:textAlignment w:val="baseline"/>
        <w:rPr>
          <w:rFonts w:cs="Arial"/>
          <w:szCs w:val="20"/>
          <w:lang w:val="cs-CZ"/>
        </w:rPr>
      </w:pPr>
      <w:r w:rsidRPr="003B6E11">
        <w:rPr>
          <w:lang w:val="cs-CZ"/>
        </w:rPr>
        <w:br w:type="page"/>
        <w:t xml:space="preserve">Osvědčení plavidla vnitrozemské plavby č. </w:t>
      </w:r>
      <w:r w:rsidRPr="003B6E11">
        <w:rPr>
          <w:lang w:val="cs-CZ"/>
        </w:rPr>
        <w:tab/>
        <w:t xml:space="preserve"> vydané subjektem pověřeným prohlídkami </w:t>
      </w:r>
      <w:r w:rsidRPr="003B6E11">
        <w:rPr>
          <w:lang w:val="cs-CZ"/>
        </w:rPr>
        <w:tab/>
      </w:r>
      <w:r w:rsidRPr="003B6E11">
        <w:rPr>
          <w:lang w:val="cs-CZ"/>
        </w:rPr>
        <w:tab/>
      </w:r>
    </w:p>
    <w:tbl>
      <w:tblPr>
        <w:tblW w:w="0" w:type="auto"/>
        <w:jc w:val="center"/>
        <w:tblLayout w:type="fixed"/>
        <w:tblCellMar>
          <w:left w:w="0" w:type="dxa"/>
          <w:right w:w="0" w:type="dxa"/>
        </w:tblCellMar>
        <w:tblLook w:val="0000" w:firstRow="0" w:lastRow="0" w:firstColumn="0" w:lastColumn="0" w:noHBand="0" w:noVBand="0"/>
      </w:tblPr>
      <w:tblGrid>
        <w:gridCol w:w="284"/>
        <w:gridCol w:w="2665"/>
        <w:gridCol w:w="113"/>
        <w:gridCol w:w="1531"/>
        <w:gridCol w:w="1531"/>
        <w:gridCol w:w="3062"/>
      </w:tblGrid>
      <w:tr w:rsidR="003B6E11" w:rsidRPr="003B6E11" w:rsidTr="002D015D">
        <w:trPr>
          <w:cantSplit/>
          <w:jc w:val="center"/>
        </w:trPr>
        <w:tc>
          <w:tcPr>
            <w:tcW w:w="284" w:type="dxa"/>
            <w:tcBorders>
              <w:top w:val="single" w:sz="6" w:space="0" w:color="auto"/>
              <w:left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r w:rsidRPr="003B6E11">
              <w:rPr>
                <w:lang w:val="cs-CZ"/>
              </w:rPr>
              <w:tab/>
            </w:r>
            <w:r w:rsidRPr="003B6E11">
              <w:rPr>
                <w:sz w:val="18"/>
                <w:lang w:val="cs-CZ"/>
              </w:rPr>
              <w:t>1.</w:t>
            </w:r>
          </w:p>
        </w:tc>
        <w:tc>
          <w:tcPr>
            <w:tcW w:w="2778" w:type="dxa"/>
            <w:gridSpan w:val="2"/>
            <w:tcBorders>
              <w:top w:val="single" w:sz="6" w:space="0" w:color="auto"/>
              <w:bottom w:val="single" w:sz="6" w:space="0" w:color="auto"/>
              <w:right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r w:rsidRPr="003B6E11">
              <w:rPr>
                <w:sz w:val="18"/>
                <w:lang w:val="cs-CZ"/>
              </w:rPr>
              <w:t>Jméno plavidla</w:t>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p>
        </w:tc>
        <w:tc>
          <w:tcPr>
            <w:tcW w:w="3062" w:type="dxa"/>
            <w:gridSpan w:val="2"/>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pos="227"/>
              </w:tabs>
              <w:overflowPunct w:val="0"/>
              <w:adjustRightInd w:val="0"/>
              <w:textAlignment w:val="baseline"/>
              <w:rPr>
                <w:rFonts w:cs="Arial"/>
                <w:sz w:val="18"/>
                <w:szCs w:val="20"/>
                <w:lang w:val="cs-CZ"/>
              </w:rPr>
            </w:pPr>
            <w:r w:rsidRPr="003B6E11">
              <w:rPr>
                <w:lang w:val="cs-CZ"/>
              </w:rPr>
              <w:tab/>
            </w:r>
            <w:r w:rsidRPr="003B6E11">
              <w:rPr>
                <w:sz w:val="18"/>
                <w:lang w:val="cs-CZ"/>
              </w:rPr>
              <w:t>2.</w:t>
            </w:r>
            <w:r w:rsidRPr="003B6E11">
              <w:rPr>
                <w:lang w:val="cs-CZ"/>
              </w:rPr>
              <w:tab/>
            </w:r>
            <w:r w:rsidRPr="003B6E11">
              <w:rPr>
                <w:sz w:val="18"/>
                <w:lang w:val="cs-CZ"/>
              </w:rPr>
              <w:t>Druh plavidla</w:t>
            </w:r>
          </w:p>
        </w:tc>
        <w:tc>
          <w:tcPr>
            <w:tcW w:w="3062" w:type="dxa"/>
            <w:tcBorders>
              <w:top w:val="single" w:sz="6" w:space="0" w:color="auto"/>
              <w:bottom w:val="single" w:sz="6" w:space="0" w:color="auto"/>
              <w:right w:val="single" w:sz="6" w:space="0" w:color="auto"/>
            </w:tcBorders>
          </w:tcPr>
          <w:p w:rsidR="003B6E11" w:rsidRPr="003B6E11" w:rsidRDefault="003B6E11" w:rsidP="002D015D">
            <w:pPr>
              <w:tabs>
                <w:tab w:val="left" w:pos="57"/>
                <w:tab w:val="left" w:pos="284"/>
              </w:tabs>
              <w:overflowPunct w:val="0"/>
              <w:adjustRightInd w:val="0"/>
              <w:ind w:left="284" w:hanging="284"/>
              <w:textAlignment w:val="baseline"/>
              <w:rPr>
                <w:rFonts w:cs="Arial"/>
                <w:sz w:val="18"/>
                <w:szCs w:val="20"/>
                <w:lang w:val="cs-CZ"/>
              </w:rPr>
            </w:pPr>
            <w:r w:rsidRPr="003B6E11">
              <w:rPr>
                <w:lang w:val="cs-CZ"/>
              </w:rPr>
              <w:tab/>
            </w:r>
            <w:r w:rsidRPr="003B6E11">
              <w:rPr>
                <w:sz w:val="18"/>
                <w:lang w:val="cs-CZ"/>
              </w:rPr>
              <w:t>3.</w:t>
            </w:r>
            <w:r w:rsidRPr="003B6E11">
              <w:rPr>
                <w:lang w:val="cs-CZ"/>
              </w:rPr>
              <w:tab/>
            </w:r>
            <w:r w:rsidRPr="003B6E11">
              <w:rPr>
                <w:noProof/>
                <w:sz w:val="18"/>
                <w:lang w:val="cs-CZ"/>
              </w:rPr>
              <w:t>Jednotné evropské identifikační číslo plavidla</w:t>
            </w: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textAlignment w:val="baseline"/>
              <w:rPr>
                <w:rFonts w:cs="Arial"/>
                <w:sz w:val="18"/>
                <w:szCs w:val="20"/>
                <w:lang w:val="cs-CZ"/>
              </w:rPr>
            </w:pPr>
            <w:r w:rsidRPr="003B6E11">
              <w:rPr>
                <w:lang w:val="cs-CZ"/>
              </w:rPr>
              <w:tab/>
            </w:r>
            <w:r w:rsidRPr="003B6E11">
              <w:rPr>
                <w:sz w:val="18"/>
                <w:lang w:val="cs-CZ"/>
              </w:rPr>
              <w:t>4.</w:t>
            </w:r>
          </w:p>
        </w:tc>
        <w:tc>
          <w:tcPr>
            <w:tcW w:w="8902" w:type="dxa"/>
            <w:gridSpan w:val="5"/>
            <w:tcBorders>
              <w:top w:val="single" w:sz="6" w:space="0" w:color="auto"/>
              <w:bottom w:val="single" w:sz="6" w:space="0" w:color="auto"/>
              <w:right w:val="single" w:sz="6" w:space="0" w:color="auto"/>
            </w:tcBorders>
          </w:tcPr>
          <w:p w:rsidR="003B6E11" w:rsidRPr="003B6E11" w:rsidRDefault="003B6E11" w:rsidP="002D015D">
            <w:pPr>
              <w:tabs>
                <w:tab w:val="left" w:pos="57"/>
                <w:tab w:val="left" w:pos="227"/>
              </w:tabs>
              <w:overflowPunct w:val="0"/>
              <w:adjustRightInd w:val="0"/>
              <w:textAlignment w:val="baseline"/>
              <w:rPr>
                <w:rFonts w:cs="Arial"/>
                <w:sz w:val="18"/>
                <w:szCs w:val="20"/>
                <w:lang w:val="cs-CZ"/>
              </w:rPr>
            </w:pPr>
            <w:r w:rsidRPr="003B6E11">
              <w:rPr>
                <w:sz w:val="18"/>
                <w:lang w:val="cs-CZ"/>
              </w:rPr>
              <w:t>Jméno a adresa vlastníka</w:t>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r w:rsidRPr="003B6E11">
              <w:rPr>
                <w:lang w:val="cs-CZ"/>
              </w:rPr>
              <w:tab/>
            </w:r>
            <w:r w:rsidRPr="003B6E11">
              <w:rPr>
                <w:sz w:val="18"/>
                <w:lang w:val="cs-CZ"/>
              </w:rPr>
              <w:t>5.</w:t>
            </w:r>
          </w:p>
        </w:tc>
        <w:tc>
          <w:tcPr>
            <w:tcW w:w="4309" w:type="dxa"/>
            <w:gridSpan w:val="3"/>
            <w:tcBorders>
              <w:right w:val="single" w:sz="6" w:space="0" w:color="auto"/>
            </w:tcBorders>
          </w:tcPr>
          <w:p w:rsidR="003B6E11" w:rsidRPr="003B6E11" w:rsidRDefault="003B6E11" w:rsidP="002D015D">
            <w:pPr>
              <w:tabs>
                <w:tab w:val="left" w:pos="57"/>
                <w:tab w:val="left" w:pos="227"/>
              </w:tabs>
              <w:overflowPunct w:val="0"/>
              <w:adjustRightInd w:val="0"/>
              <w:textAlignment w:val="baseline"/>
              <w:rPr>
                <w:rFonts w:cs="Arial"/>
                <w:sz w:val="18"/>
                <w:szCs w:val="20"/>
                <w:lang w:val="cs-CZ"/>
              </w:rPr>
            </w:pPr>
            <w:r w:rsidRPr="003B6E11">
              <w:rPr>
                <w:sz w:val="18"/>
                <w:lang w:val="cs-CZ"/>
              </w:rPr>
              <w:t>Místo registrace a rejstříkové číslo</w:t>
            </w:r>
            <w:r w:rsidRPr="003B6E11">
              <w:rPr>
                <w:rFonts w:cs="Arial"/>
                <w:sz w:val="18"/>
                <w:szCs w:val="20"/>
                <w:lang w:val="cs-CZ"/>
              </w:rPr>
              <w:br/>
            </w:r>
            <w:r w:rsidRPr="003B6E11">
              <w:rPr>
                <w:rFonts w:cs="Arial"/>
                <w:sz w:val="18"/>
                <w:szCs w:val="20"/>
                <w:lang w:val="cs-CZ"/>
              </w:rPr>
              <w:br/>
            </w:r>
          </w:p>
        </w:tc>
        <w:tc>
          <w:tcPr>
            <w:tcW w:w="4593" w:type="dxa"/>
            <w:gridSpan w:val="2"/>
            <w:tcBorders>
              <w:top w:val="single" w:sz="6" w:space="0" w:color="auto"/>
              <w:bottom w:val="single" w:sz="6" w:space="0" w:color="auto"/>
              <w:right w:val="single" w:sz="6" w:space="0" w:color="auto"/>
            </w:tcBorders>
          </w:tcPr>
          <w:p w:rsidR="003B6E11" w:rsidRPr="003B6E11" w:rsidRDefault="003B6E11" w:rsidP="002D015D">
            <w:pPr>
              <w:tabs>
                <w:tab w:val="left" w:pos="57"/>
                <w:tab w:val="left" w:pos="227"/>
              </w:tabs>
              <w:overflowPunct w:val="0"/>
              <w:adjustRightInd w:val="0"/>
              <w:textAlignment w:val="baseline"/>
              <w:rPr>
                <w:rFonts w:cs="Arial"/>
                <w:sz w:val="18"/>
                <w:szCs w:val="20"/>
                <w:lang w:val="cs-CZ"/>
              </w:rPr>
            </w:pPr>
            <w:r w:rsidRPr="003B6E11">
              <w:rPr>
                <w:lang w:val="cs-CZ"/>
              </w:rPr>
              <w:tab/>
            </w:r>
            <w:r w:rsidRPr="003B6E11">
              <w:rPr>
                <w:sz w:val="18"/>
                <w:lang w:val="cs-CZ"/>
              </w:rPr>
              <w:t>6.</w:t>
            </w:r>
            <w:r w:rsidRPr="003B6E11">
              <w:rPr>
                <w:lang w:val="cs-CZ"/>
              </w:rPr>
              <w:tab/>
            </w:r>
            <w:r w:rsidRPr="003B6E11">
              <w:rPr>
                <w:sz w:val="18"/>
                <w:lang w:val="cs-CZ"/>
              </w:rPr>
              <w:t>Domovský přístav</w:t>
            </w: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r w:rsidRPr="003B6E11">
              <w:rPr>
                <w:lang w:val="cs-CZ"/>
              </w:rPr>
              <w:tab/>
            </w:r>
            <w:r w:rsidRPr="003B6E11">
              <w:rPr>
                <w:sz w:val="18"/>
                <w:lang w:val="cs-CZ"/>
              </w:rPr>
              <w:t>7.</w:t>
            </w:r>
          </w:p>
        </w:tc>
        <w:tc>
          <w:tcPr>
            <w:tcW w:w="2665" w:type="dxa"/>
            <w:tcBorders>
              <w:top w:val="single" w:sz="6" w:space="0" w:color="auto"/>
              <w:bottom w:val="single" w:sz="6" w:space="0" w:color="auto"/>
              <w:right w:val="single" w:sz="6" w:space="0" w:color="auto"/>
            </w:tcBorders>
          </w:tcPr>
          <w:p w:rsidR="003B6E11" w:rsidRPr="003B6E11" w:rsidRDefault="003B6E11" w:rsidP="002D015D">
            <w:pPr>
              <w:tabs>
                <w:tab w:val="left" w:pos="57"/>
                <w:tab w:val="left" w:pos="227"/>
              </w:tabs>
              <w:overflowPunct w:val="0"/>
              <w:adjustRightInd w:val="0"/>
              <w:textAlignment w:val="baseline"/>
              <w:rPr>
                <w:rFonts w:cs="Arial"/>
                <w:sz w:val="18"/>
                <w:szCs w:val="20"/>
                <w:lang w:val="cs-CZ"/>
              </w:rPr>
            </w:pPr>
            <w:r w:rsidRPr="003B6E11">
              <w:rPr>
                <w:sz w:val="18"/>
                <w:lang w:val="cs-CZ"/>
              </w:rPr>
              <w:t>Rok stavby</w:t>
            </w:r>
            <w:r w:rsidRPr="003B6E11">
              <w:rPr>
                <w:rFonts w:cs="Arial"/>
                <w:sz w:val="18"/>
                <w:szCs w:val="20"/>
                <w:lang w:val="cs-CZ"/>
              </w:rPr>
              <w:br/>
            </w:r>
            <w:r w:rsidRPr="003B6E11">
              <w:rPr>
                <w:rFonts w:cs="Arial"/>
                <w:sz w:val="18"/>
                <w:szCs w:val="20"/>
                <w:lang w:val="cs-CZ"/>
              </w:rPr>
              <w:br/>
            </w:r>
          </w:p>
        </w:tc>
        <w:tc>
          <w:tcPr>
            <w:tcW w:w="6237" w:type="dxa"/>
            <w:gridSpan w:val="4"/>
            <w:tcBorders>
              <w:top w:val="single" w:sz="6" w:space="0" w:color="auto"/>
              <w:bottom w:val="single" w:sz="6" w:space="0" w:color="auto"/>
              <w:right w:val="single" w:sz="6" w:space="0" w:color="auto"/>
            </w:tcBorders>
          </w:tcPr>
          <w:p w:rsidR="003B6E11" w:rsidRPr="003B6E11" w:rsidRDefault="003B6E11" w:rsidP="002D015D">
            <w:pPr>
              <w:tabs>
                <w:tab w:val="left" w:pos="57"/>
                <w:tab w:val="left" w:pos="227"/>
              </w:tabs>
              <w:overflowPunct w:val="0"/>
              <w:adjustRightInd w:val="0"/>
              <w:textAlignment w:val="baseline"/>
              <w:rPr>
                <w:rFonts w:cs="Arial"/>
                <w:sz w:val="18"/>
                <w:szCs w:val="20"/>
                <w:lang w:val="cs-CZ"/>
              </w:rPr>
            </w:pPr>
            <w:r w:rsidRPr="003B6E11">
              <w:rPr>
                <w:lang w:val="cs-CZ"/>
              </w:rPr>
              <w:tab/>
            </w:r>
            <w:r w:rsidRPr="003B6E11">
              <w:rPr>
                <w:sz w:val="18"/>
                <w:lang w:val="cs-CZ"/>
              </w:rPr>
              <w:t>8.</w:t>
            </w:r>
            <w:r w:rsidRPr="003B6E11">
              <w:rPr>
                <w:lang w:val="cs-CZ"/>
              </w:rPr>
              <w:tab/>
            </w:r>
            <w:r w:rsidRPr="003B6E11">
              <w:rPr>
                <w:sz w:val="18"/>
                <w:lang w:val="cs-CZ"/>
              </w:rPr>
              <w:t>Název a místo loděnice</w:t>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s>
              <w:overflowPunct w:val="0"/>
              <w:adjustRightInd w:val="0"/>
              <w:spacing w:before="160"/>
              <w:textAlignment w:val="baseline"/>
              <w:rPr>
                <w:rFonts w:cs="Arial"/>
                <w:sz w:val="18"/>
                <w:szCs w:val="20"/>
                <w:lang w:val="cs-CZ"/>
              </w:rPr>
            </w:pPr>
            <w:r w:rsidRPr="003B6E11">
              <w:rPr>
                <w:lang w:val="cs-CZ"/>
              </w:rPr>
              <w:tab/>
            </w:r>
            <w:r w:rsidRPr="003B6E11">
              <w:rPr>
                <w:sz w:val="18"/>
                <w:lang w:val="cs-CZ"/>
              </w:rPr>
              <w:t>9.</w:t>
            </w:r>
          </w:p>
        </w:tc>
        <w:tc>
          <w:tcPr>
            <w:tcW w:w="8902" w:type="dxa"/>
            <w:gridSpan w:val="5"/>
            <w:tcBorders>
              <w:bottom w:val="single" w:sz="6" w:space="0" w:color="auto"/>
              <w:right w:val="single" w:sz="6" w:space="0" w:color="auto"/>
            </w:tcBorders>
          </w:tcPr>
          <w:p w:rsidR="003B6E11" w:rsidRPr="003B6E11" w:rsidRDefault="003B6E11" w:rsidP="002D015D">
            <w:pPr>
              <w:tabs>
                <w:tab w:val="left" w:pos="57"/>
                <w:tab w:val="left" w:leader="dot" w:pos="2835"/>
                <w:tab w:val="left" w:leader="dot" w:pos="6295"/>
                <w:tab w:val="left" w:leader="dot" w:pos="8138"/>
                <w:tab w:val="left" w:leader="dot" w:pos="8705"/>
              </w:tabs>
              <w:overflowPunct w:val="0"/>
              <w:adjustRightInd w:val="0"/>
              <w:spacing w:before="160"/>
              <w:textAlignment w:val="baseline"/>
              <w:rPr>
                <w:rFonts w:cs="Arial"/>
                <w:sz w:val="18"/>
                <w:szCs w:val="20"/>
                <w:lang w:val="cs-CZ"/>
              </w:rPr>
            </w:pPr>
            <w:r w:rsidRPr="003B6E11">
              <w:rPr>
                <w:sz w:val="18"/>
                <w:lang w:val="cs-CZ"/>
              </w:rPr>
              <w:t>Toto osvědčení nahrazuje osvědčení plavidla vnitrozemské plavby č.</w:t>
            </w:r>
            <w:r w:rsidRPr="003B6E11">
              <w:rPr>
                <w:lang w:val="cs-CZ"/>
              </w:rPr>
              <w:tab/>
            </w:r>
            <w:r w:rsidRPr="003B6E11">
              <w:rPr>
                <w:sz w:val="18"/>
                <w:lang w:val="cs-CZ"/>
              </w:rPr>
              <w:t xml:space="preserve"> vydané dne </w:t>
            </w:r>
            <w:r w:rsidRPr="003B6E11">
              <w:rPr>
                <w:lang w:val="cs-CZ"/>
              </w:rPr>
              <w:tab/>
            </w:r>
            <w:r w:rsidRPr="003B6E11">
              <w:rPr>
                <w:sz w:val="18"/>
                <w:lang w:val="cs-CZ"/>
              </w:rPr>
              <w:t xml:space="preserve"> ... </w:t>
            </w:r>
            <w:r w:rsidRPr="003B6E11">
              <w:rPr>
                <w:lang w:val="cs-CZ"/>
              </w:rPr>
              <w:tab/>
            </w:r>
            <w:r w:rsidRPr="003B6E11">
              <w:rPr>
                <w:sz w:val="18"/>
                <w:lang w:val="cs-CZ"/>
              </w:rPr>
              <w:t xml:space="preserve"> </w:t>
            </w:r>
            <w:r w:rsidRPr="003B6E11">
              <w:rPr>
                <w:lang w:val="cs-CZ"/>
              </w:rPr>
              <w:tab/>
            </w:r>
            <w:r w:rsidRPr="003B6E11">
              <w:rPr>
                <w:lang w:val="cs-CZ"/>
              </w:rPr>
              <w:tab/>
            </w:r>
            <w:r w:rsidRPr="003B6E11">
              <w:rPr>
                <w:sz w:val="18"/>
                <w:lang w:val="cs-CZ"/>
              </w:rPr>
              <w:t>(název subjektu pověřeného prohlídkami)</w:t>
            </w:r>
          </w:p>
        </w:tc>
      </w:tr>
      <w:tr w:rsidR="003B6E11" w:rsidRPr="003B6E11" w:rsidTr="002D015D">
        <w:trPr>
          <w:cantSplit/>
          <w:jc w:val="center"/>
        </w:trPr>
        <w:tc>
          <w:tcPr>
            <w:tcW w:w="284" w:type="dxa"/>
            <w:tcBorders>
              <w:top w:val="single" w:sz="6" w:space="0" w:color="auto"/>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r w:rsidRPr="003B6E11">
              <w:rPr>
                <w:sz w:val="18"/>
                <w:lang w:val="cs-CZ"/>
              </w:rPr>
              <w:t>10.</w:t>
            </w:r>
          </w:p>
        </w:tc>
        <w:tc>
          <w:tcPr>
            <w:tcW w:w="8902" w:type="dxa"/>
            <w:gridSpan w:val="5"/>
            <w:tcBorders>
              <w:right w:val="single" w:sz="6" w:space="0" w:color="auto"/>
            </w:tcBorders>
          </w:tcPr>
          <w:p w:rsidR="003B6E11" w:rsidRPr="003B6E11" w:rsidRDefault="003B6E11" w:rsidP="002D015D">
            <w:pPr>
              <w:tabs>
                <w:tab w:val="left" w:pos="57"/>
                <w:tab w:val="left" w:leader="dot" w:pos="3402"/>
                <w:tab w:val="left" w:leader="dot" w:pos="8505"/>
              </w:tabs>
              <w:overflowPunct w:val="0"/>
              <w:adjustRightInd w:val="0"/>
              <w:spacing w:before="120"/>
              <w:textAlignment w:val="baseline"/>
              <w:rPr>
                <w:rFonts w:cs="Arial"/>
                <w:sz w:val="18"/>
                <w:szCs w:val="20"/>
                <w:lang w:val="cs-CZ"/>
              </w:rPr>
            </w:pPr>
            <w:r w:rsidRPr="003B6E11">
              <w:rPr>
                <w:sz w:val="18"/>
                <w:lang w:val="cs-CZ"/>
              </w:rPr>
              <w:t>Výše uvedené plavidlo</w:t>
            </w:r>
            <w:r w:rsidRPr="003B6E11">
              <w:rPr>
                <w:rFonts w:cs="Arial"/>
                <w:sz w:val="18"/>
                <w:szCs w:val="20"/>
                <w:lang w:val="cs-CZ"/>
              </w:rPr>
              <w:br/>
            </w:r>
            <w:r w:rsidRPr="003B6E11">
              <w:rPr>
                <w:rFonts w:cs="Arial"/>
                <w:sz w:val="18"/>
                <w:szCs w:val="20"/>
                <w:lang w:val="cs-CZ"/>
              </w:rPr>
              <w:br/>
            </w:r>
            <w:r w:rsidRPr="003B6E11">
              <w:rPr>
                <w:sz w:val="18"/>
                <w:lang w:val="cs-CZ"/>
              </w:rPr>
              <w:t xml:space="preserve">v návaznosti na prohlídku provedenou dne </w:t>
            </w:r>
            <w:r w:rsidRPr="003B6E11">
              <w:rPr>
                <w:position w:val="6"/>
                <w:sz w:val="16"/>
                <w:lang w:val="cs-CZ"/>
              </w:rPr>
              <w:t>*)</w:t>
            </w:r>
            <w:r w:rsidRPr="003B6E11">
              <w:rPr>
                <w:sz w:val="18"/>
                <w:lang w:val="cs-CZ"/>
              </w:rPr>
              <w:t xml:space="preserve"> </w:t>
            </w:r>
            <w:r w:rsidRPr="003B6E11">
              <w:rPr>
                <w:lang w:val="cs-CZ"/>
              </w:rPr>
              <w:tab/>
            </w:r>
          </w:p>
          <w:p w:rsidR="003B6E11" w:rsidRPr="003B6E11" w:rsidRDefault="003B6E11" w:rsidP="002D015D">
            <w:pPr>
              <w:tabs>
                <w:tab w:val="left" w:pos="57"/>
                <w:tab w:val="left" w:leader="dot" w:pos="4536"/>
                <w:tab w:val="left" w:leader="dot" w:pos="8505"/>
              </w:tabs>
              <w:overflowPunct w:val="0"/>
              <w:adjustRightInd w:val="0"/>
              <w:textAlignment w:val="baseline"/>
              <w:rPr>
                <w:rFonts w:cs="Arial"/>
                <w:sz w:val="18"/>
                <w:szCs w:val="20"/>
                <w:lang w:val="cs-CZ"/>
              </w:rPr>
            </w:pPr>
            <w:r w:rsidRPr="003B6E11">
              <w:rPr>
                <w:rFonts w:cs="Arial"/>
                <w:sz w:val="18"/>
                <w:szCs w:val="20"/>
                <w:lang w:val="cs-CZ"/>
              </w:rPr>
              <w:br/>
            </w:r>
            <w:r w:rsidRPr="003B6E11">
              <w:rPr>
                <w:sz w:val="18"/>
                <w:lang w:val="cs-CZ"/>
              </w:rPr>
              <w:t>na základě předložení osvědčení vystaveného dne</w:t>
            </w:r>
            <w:r w:rsidRPr="003B6E11">
              <w:rPr>
                <w:position w:val="6"/>
                <w:sz w:val="16"/>
                <w:lang w:val="cs-CZ"/>
              </w:rPr>
              <w:t xml:space="preserve"> *)</w:t>
            </w:r>
            <w:r w:rsidRPr="003B6E11">
              <w:rPr>
                <w:sz w:val="18"/>
                <w:lang w:val="cs-CZ"/>
              </w:rPr>
              <w:t xml:space="preserve"> </w:t>
            </w:r>
            <w:r w:rsidRPr="003B6E11">
              <w:rPr>
                <w:lang w:val="cs-CZ"/>
              </w:rPr>
              <w:tab/>
            </w:r>
          </w:p>
          <w:p w:rsidR="003B6E11" w:rsidRPr="003B6E11" w:rsidRDefault="003B6E11" w:rsidP="002D015D">
            <w:pPr>
              <w:tabs>
                <w:tab w:val="left" w:pos="57"/>
                <w:tab w:val="left" w:leader="dot" w:pos="6237"/>
                <w:tab w:val="left" w:leader="dot" w:pos="8505"/>
              </w:tabs>
              <w:overflowPunct w:val="0"/>
              <w:adjustRightInd w:val="0"/>
              <w:textAlignment w:val="baseline"/>
              <w:rPr>
                <w:rFonts w:cs="Arial"/>
                <w:sz w:val="18"/>
                <w:szCs w:val="20"/>
                <w:lang w:val="cs-CZ"/>
              </w:rPr>
            </w:pPr>
            <w:r w:rsidRPr="003B6E11">
              <w:rPr>
                <w:rFonts w:cs="Arial"/>
                <w:sz w:val="18"/>
                <w:szCs w:val="20"/>
                <w:lang w:val="cs-CZ"/>
              </w:rPr>
              <w:br/>
            </w:r>
            <w:r w:rsidRPr="003B6E11">
              <w:rPr>
                <w:sz w:val="18"/>
                <w:lang w:val="cs-CZ"/>
              </w:rPr>
              <w:t>je uznanou klasifikační společností</w:t>
            </w: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8902" w:type="dxa"/>
            <w:gridSpan w:val="5"/>
            <w:tcBorders>
              <w:right w:val="single" w:sz="6" w:space="0" w:color="auto"/>
            </w:tcBorders>
          </w:tcPr>
          <w:p w:rsidR="003B6E11" w:rsidRPr="003B6E11" w:rsidRDefault="003B6E11" w:rsidP="002D015D">
            <w:pPr>
              <w:tabs>
                <w:tab w:val="left" w:pos="57"/>
                <w:tab w:val="left" w:leader="dot" w:pos="3969"/>
                <w:tab w:val="left" w:pos="4253"/>
                <w:tab w:val="left" w:leader="dot" w:pos="8505"/>
              </w:tabs>
              <w:overflowPunct w:val="0"/>
              <w:adjustRightInd w:val="0"/>
              <w:spacing w:before="120" w:after="120"/>
              <w:textAlignment w:val="baseline"/>
              <w:rPr>
                <w:rFonts w:cs="Arial"/>
                <w:sz w:val="18"/>
                <w:szCs w:val="20"/>
                <w:lang w:val="cs-CZ"/>
              </w:rPr>
            </w:pPr>
            <w:r w:rsidRPr="003B6E11">
              <w:rPr>
                <w:sz w:val="18"/>
                <w:lang w:val="cs-CZ"/>
              </w:rPr>
              <w:t>uznáno jako způsobilé k provozu</w:t>
            </w:r>
          </w:p>
          <w:p w:rsidR="003B6E11" w:rsidRPr="003B6E11" w:rsidRDefault="003B6E11" w:rsidP="002D015D">
            <w:pPr>
              <w:tabs>
                <w:tab w:val="left" w:pos="340"/>
                <w:tab w:val="left" w:leader="dot" w:pos="3969"/>
                <w:tab w:val="left" w:pos="4253"/>
                <w:tab w:val="left" w:leader="dot" w:pos="8505"/>
              </w:tabs>
              <w:overflowPunct w:val="0"/>
              <w:adjustRightInd w:val="0"/>
              <w:textAlignment w:val="baseline"/>
              <w:rPr>
                <w:noProof/>
                <w:position w:val="6"/>
                <w:sz w:val="16"/>
                <w:lang w:val="cs-CZ"/>
              </w:rPr>
            </w:pPr>
            <w:r w:rsidRPr="003B6E11">
              <w:rPr>
                <w:noProof/>
                <w:sz w:val="18"/>
                <w:lang w:val="cs-CZ"/>
              </w:rPr>
              <w:t>–</w:t>
            </w:r>
            <w:r w:rsidRPr="003B6E11">
              <w:rPr>
                <w:lang w:val="cs-CZ"/>
              </w:rPr>
              <w:tab/>
            </w:r>
            <w:r w:rsidRPr="003B6E11">
              <w:rPr>
                <w:noProof/>
                <w:sz w:val="18"/>
                <w:lang w:val="cs-CZ"/>
              </w:rPr>
              <w:t xml:space="preserve">na Rýně </w:t>
            </w:r>
            <w:r w:rsidRPr="003B6E11">
              <w:rPr>
                <w:noProof/>
                <w:position w:val="6"/>
                <w:sz w:val="16"/>
                <w:lang w:val="cs-CZ"/>
              </w:rPr>
              <w:t>*)</w:t>
            </w:r>
          </w:p>
          <w:p w:rsidR="003B6E11" w:rsidRPr="003B6E11" w:rsidRDefault="003B6E11" w:rsidP="002D015D">
            <w:pPr>
              <w:tabs>
                <w:tab w:val="left" w:pos="57"/>
                <w:tab w:val="left" w:leader="dot" w:pos="3969"/>
                <w:tab w:val="left" w:pos="4253"/>
                <w:tab w:val="left" w:leader="dot" w:pos="8505"/>
              </w:tabs>
              <w:overflowPunct w:val="0"/>
              <w:adjustRightInd w:val="0"/>
              <w:textAlignment w:val="baseline"/>
              <w:rPr>
                <w:rFonts w:cs="Arial"/>
                <w:position w:val="6"/>
                <w:sz w:val="16"/>
                <w:szCs w:val="20"/>
                <w:lang w:val="cs-CZ"/>
              </w:rPr>
            </w:pPr>
            <w:r w:rsidRPr="003B6E11">
              <w:rPr>
                <w:sz w:val="18"/>
                <w:lang w:val="cs-CZ"/>
              </w:rPr>
              <w:t xml:space="preserve">mezi </w:t>
            </w:r>
            <w:r w:rsidRPr="003B6E11">
              <w:rPr>
                <w:lang w:val="cs-CZ"/>
              </w:rPr>
              <w:tab/>
            </w:r>
            <w:r w:rsidRPr="003B6E11">
              <w:rPr>
                <w:sz w:val="18"/>
                <w:lang w:val="cs-CZ"/>
              </w:rPr>
              <w:t xml:space="preserve"> a</w:t>
            </w:r>
            <w:r w:rsidRPr="003B6E11">
              <w:rPr>
                <w:lang w:val="cs-CZ"/>
              </w:rPr>
              <w:tab/>
            </w:r>
            <w:r w:rsidRPr="003B6E11">
              <w:rPr>
                <w:lang w:val="cs-CZ"/>
              </w:rPr>
              <w:tab/>
            </w:r>
            <w:r w:rsidRPr="003B6E11">
              <w:rPr>
                <w:position w:val="6"/>
                <w:sz w:val="16"/>
                <w:lang w:val="cs-CZ"/>
              </w:rPr>
              <w:t>*)</w:t>
            </w:r>
          </w:p>
          <w:p w:rsidR="003B6E11" w:rsidRPr="003B6E11" w:rsidRDefault="003B6E11" w:rsidP="002D015D">
            <w:pPr>
              <w:tabs>
                <w:tab w:val="left" w:pos="57"/>
                <w:tab w:val="left" w:leader="dot" w:pos="3969"/>
                <w:tab w:val="left" w:pos="4253"/>
                <w:tab w:val="left" w:leader="dot" w:pos="8505"/>
              </w:tabs>
              <w:overflowPunct w:val="0"/>
              <w:adjustRightInd w:val="0"/>
              <w:textAlignment w:val="baseline"/>
              <w:rPr>
                <w:rFonts w:cs="Arial"/>
                <w:sz w:val="18"/>
                <w:szCs w:val="20"/>
                <w:lang w:val="cs-CZ"/>
              </w:rPr>
            </w:pPr>
          </w:p>
          <w:p w:rsidR="003B6E11" w:rsidRPr="003B6E11" w:rsidRDefault="003B6E11" w:rsidP="002D015D">
            <w:pPr>
              <w:tabs>
                <w:tab w:val="left" w:pos="340"/>
                <w:tab w:val="left" w:leader="dot" w:pos="8703"/>
              </w:tabs>
              <w:overflowPunct w:val="0"/>
              <w:adjustRightInd w:val="0"/>
              <w:textAlignment w:val="baseline"/>
              <w:rPr>
                <w:noProof/>
                <w:position w:val="6"/>
                <w:sz w:val="16"/>
                <w:lang w:val="cs-CZ"/>
              </w:rPr>
            </w:pPr>
            <w:r w:rsidRPr="003B6E11">
              <w:rPr>
                <w:noProof/>
                <w:sz w:val="18"/>
                <w:lang w:val="cs-CZ"/>
              </w:rPr>
              <w:t>–</w:t>
            </w:r>
            <w:r w:rsidRPr="003B6E11">
              <w:rPr>
                <w:lang w:val="cs-CZ"/>
              </w:rPr>
              <w:tab/>
            </w:r>
            <w:r w:rsidRPr="003B6E11">
              <w:rPr>
                <w:noProof/>
                <w:sz w:val="18"/>
                <w:lang w:val="cs-CZ"/>
              </w:rPr>
              <w:t xml:space="preserve">na vodních cestách EU v zóně (zónách) </w:t>
            </w:r>
            <w:r w:rsidRPr="003B6E11">
              <w:rPr>
                <w:noProof/>
                <w:position w:val="6"/>
                <w:sz w:val="16"/>
                <w:lang w:val="cs-CZ"/>
              </w:rPr>
              <w:t xml:space="preserve">*) </w:t>
            </w:r>
            <w:r w:rsidRPr="003B6E11">
              <w:rPr>
                <w:lang w:val="cs-CZ"/>
              </w:rPr>
              <w:tab/>
            </w:r>
          </w:p>
          <w:p w:rsidR="003B6E11" w:rsidRPr="003B6E11" w:rsidRDefault="003B6E11" w:rsidP="002D015D">
            <w:pPr>
              <w:tabs>
                <w:tab w:val="left" w:leader="dot" w:pos="8703"/>
              </w:tabs>
              <w:overflowPunct w:val="0"/>
              <w:adjustRightInd w:val="0"/>
              <w:textAlignment w:val="baseline"/>
              <w:rPr>
                <w:noProof/>
                <w:sz w:val="18"/>
                <w:szCs w:val="20"/>
                <w:lang w:val="cs-CZ"/>
              </w:rPr>
            </w:pPr>
            <w:r w:rsidRPr="003B6E11">
              <w:rPr>
                <w:lang w:val="cs-CZ"/>
              </w:rPr>
              <w:tab/>
            </w:r>
          </w:p>
          <w:p w:rsidR="003B6E11" w:rsidRPr="003B6E11" w:rsidRDefault="003B6E11" w:rsidP="002D015D">
            <w:pPr>
              <w:tabs>
                <w:tab w:val="left" w:leader="dot" w:pos="8703"/>
              </w:tabs>
              <w:overflowPunct w:val="0"/>
              <w:adjustRightInd w:val="0"/>
              <w:ind w:left="341" w:hanging="341"/>
              <w:textAlignment w:val="baseline"/>
              <w:rPr>
                <w:noProof/>
                <w:sz w:val="18"/>
                <w:lang w:val="cs-CZ"/>
              </w:rPr>
            </w:pPr>
          </w:p>
          <w:p w:rsidR="003B6E11" w:rsidRPr="003B6E11" w:rsidRDefault="003B6E11" w:rsidP="002D015D">
            <w:pPr>
              <w:tabs>
                <w:tab w:val="left" w:leader="dot" w:pos="8703"/>
              </w:tabs>
              <w:overflowPunct w:val="0"/>
              <w:adjustRightInd w:val="0"/>
              <w:ind w:left="341" w:hanging="341"/>
              <w:textAlignment w:val="baseline"/>
              <w:rPr>
                <w:noProof/>
                <w:sz w:val="18"/>
                <w:lang w:val="cs-CZ"/>
              </w:rPr>
            </w:pPr>
            <w:r w:rsidRPr="003B6E11">
              <w:rPr>
                <w:noProof/>
                <w:sz w:val="18"/>
                <w:lang w:val="cs-CZ"/>
              </w:rPr>
              <w:t>–</w:t>
            </w:r>
            <w:r w:rsidRPr="003B6E11">
              <w:rPr>
                <w:lang w:val="cs-CZ"/>
              </w:rPr>
              <w:tab/>
            </w:r>
            <w:r w:rsidRPr="003B6E11">
              <w:rPr>
                <w:noProof/>
                <w:sz w:val="18"/>
                <w:lang w:val="cs-CZ"/>
              </w:rPr>
              <w:t xml:space="preserve">na vodních cestách v zóně (zónách) </w:t>
            </w:r>
            <w:r w:rsidRPr="003B6E11">
              <w:rPr>
                <w:noProof/>
                <w:position w:val="6"/>
                <w:sz w:val="16"/>
                <w:lang w:val="cs-CZ"/>
              </w:rPr>
              <w:t xml:space="preserve">*) </w:t>
            </w:r>
            <w:r w:rsidRPr="003B6E11">
              <w:rPr>
                <w:lang w:val="cs-CZ"/>
              </w:rPr>
              <w:tab/>
            </w:r>
          </w:p>
          <w:p w:rsidR="003B6E11" w:rsidRPr="003B6E11" w:rsidRDefault="003B6E11" w:rsidP="002D015D">
            <w:pPr>
              <w:tabs>
                <w:tab w:val="left" w:leader="dot" w:pos="8703"/>
              </w:tabs>
              <w:overflowPunct w:val="0"/>
              <w:adjustRightInd w:val="0"/>
              <w:textAlignment w:val="baseline"/>
              <w:rPr>
                <w:noProof/>
                <w:sz w:val="18"/>
                <w:lang w:val="cs-CZ"/>
              </w:rPr>
            </w:pPr>
            <w:r w:rsidRPr="003B6E11">
              <w:rPr>
                <w:noProof/>
                <w:sz w:val="18"/>
                <w:lang w:val="cs-CZ"/>
              </w:rPr>
              <w:t>.................................................................................................................................................................................</w:t>
            </w:r>
            <w:r w:rsidRPr="003B6E11">
              <w:rPr>
                <w:noProof/>
                <w:sz w:val="18"/>
                <w:lang w:val="cs-CZ"/>
              </w:rPr>
              <w:br/>
              <w:t xml:space="preserve">v/ve/na [názvy států </w:t>
            </w:r>
            <w:r w:rsidRPr="003B6E11">
              <w:rPr>
                <w:noProof/>
                <w:position w:val="6"/>
                <w:sz w:val="16"/>
                <w:lang w:val="cs-CZ"/>
              </w:rPr>
              <w:t>(*)</w:t>
            </w:r>
            <w:r w:rsidRPr="003B6E11">
              <w:rPr>
                <w:noProof/>
                <w:sz w:val="18"/>
                <w:lang w:val="cs-CZ"/>
              </w:rPr>
              <w:t>]</w:t>
            </w:r>
            <w:r w:rsidRPr="003B6E11">
              <w:rPr>
                <w:lang w:val="cs-CZ"/>
              </w:rPr>
              <w:tab/>
            </w:r>
            <w:r w:rsidRPr="003B6E11">
              <w:rPr>
                <w:noProof/>
                <w:sz w:val="18"/>
                <w:lang w:val="cs-CZ"/>
              </w:rPr>
              <w:br/>
            </w:r>
            <w:r w:rsidRPr="003B6E11">
              <w:rPr>
                <w:lang w:val="cs-CZ"/>
              </w:rPr>
              <w:tab/>
            </w:r>
            <w:r w:rsidRPr="003B6E11">
              <w:rPr>
                <w:noProof/>
                <w:sz w:val="18"/>
                <w:szCs w:val="20"/>
                <w:lang w:val="cs-CZ"/>
              </w:rPr>
              <w:br/>
            </w:r>
            <w:r w:rsidRPr="003B6E11">
              <w:rPr>
                <w:noProof/>
                <w:sz w:val="18"/>
                <w:lang w:val="cs-CZ"/>
              </w:rPr>
              <w:t xml:space="preserve">kromě: </w:t>
            </w:r>
            <w:r w:rsidRPr="003B6E11">
              <w:rPr>
                <w:lang w:val="cs-CZ"/>
              </w:rPr>
              <w:tab/>
            </w:r>
            <w:r w:rsidRPr="003B6E11">
              <w:rPr>
                <w:noProof/>
                <w:sz w:val="18"/>
                <w:szCs w:val="20"/>
                <w:lang w:val="cs-CZ"/>
              </w:rPr>
              <w:br/>
            </w:r>
            <w:r w:rsidRPr="003B6E11">
              <w:rPr>
                <w:lang w:val="cs-CZ"/>
              </w:rPr>
              <w:tab/>
            </w:r>
            <w:r w:rsidRPr="003B6E11">
              <w:rPr>
                <w:noProof/>
                <w:sz w:val="18"/>
                <w:szCs w:val="20"/>
                <w:lang w:val="cs-CZ"/>
              </w:rPr>
              <w:br/>
            </w:r>
            <w:r w:rsidRPr="003B6E11">
              <w:rPr>
                <w:lang w:val="cs-CZ"/>
              </w:rPr>
              <w:tab/>
            </w:r>
          </w:p>
          <w:p w:rsidR="003B6E11" w:rsidRPr="003B6E11" w:rsidRDefault="003B6E11" w:rsidP="002D015D">
            <w:pPr>
              <w:tabs>
                <w:tab w:val="left" w:pos="340"/>
                <w:tab w:val="left" w:leader="dot" w:pos="8703"/>
              </w:tabs>
              <w:overflowPunct w:val="0"/>
              <w:adjustRightInd w:val="0"/>
              <w:textAlignment w:val="baseline"/>
              <w:rPr>
                <w:noProof/>
                <w:sz w:val="18"/>
                <w:lang w:val="cs-CZ"/>
              </w:rPr>
            </w:pPr>
            <w:r w:rsidRPr="003B6E11">
              <w:rPr>
                <w:noProof/>
                <w:sz w:val="18"/>
                <w:lang w:val="cs-CZ"/>
              </w:rPr>
              <w:t>–</w:t>
            </w:r>
            <w:r w:rsidRPr="003B6E11">
              <w:rPr>
                <w:lang w:val="cs-CZ"/>
              </w:rPr>
              <w:tab/>
            </w:r>
            <w:r w:rsidRPr="003B6E11">
              <w:rPr>
                <w:noProof/>
                <w:sz w:val="18"/>
                <w:lang w:val="cs-CZ"/>
              </w:rPr>
              <w:t>na těchto vodních cestách v/ve/na [název státu]</w:t>
            </w:r>
            <w:r w:rsidRPr="003B6E11">
              <w:rPr>
                <w:noProof/>
                <w:position w:val="6"/>
                <w:sz w:val="16"/>
                <w:lang w:val="cs-CZ"/>
              </w:rPr>
              <w:t>*)</w:t>
            </w:r>
            <w:r w:rsidRPr="003B6E11">
              <w:rPr>
                <w:noProof/>
                <w:sz w:val="18"/>
                <w:lang w:val="cs-CZ"/>
              </w:rPr>
              <w:t xml:space="preserve">] </w:t>
            </w:r>
            <w:r w:rsidRPr="003B6E11">
              <w:rPr>
                <w:lang w:val="cs-CZ"/>
              </w:rPr>
              <w:tab/>
            </w:r>
          </w:p>
          <w:p w:rsidR="003B6E11" w:rsidRPr="003B6E11" w:rsidRDefault="003B6E11" w:rsidP="002D015D">
            <w:pPr>
              <w:tabs>
                <w:tab w:val="left" w:leader="dot" w:pos="8703"/>
              </w:tabs>
              <w:overflowPunct w:val="0"/>
              <w:adjustRightInd w:val="0"/>
              <w:textAlignment w:val="baseline"/>
              <w:rPr>
                <w:rFonts w:cs="Arial"/>
                <w:sz w:val="18"/>
                <w:szCs w:val="20"/>
                <w:lang w:val="cs-CZ"/>
              </w:rPr>
            </w:pPr>
            <w:r w:rsidRPr="003B6E11">
              <w:rPr>
                <w:lang w:val="cs-CZ"/>
              </w:rPr>
              <w:tab/>
            </w:r>
            <w:r w:rsidRPr="003B6E11">
              <w:rPr>
                <w:noProof/>
                <w:sz w:val="18"/>
                <w:szCs w:val="20"/>
                <w:lang w:val="cs-CZ"/>
              </w:rPr>
              <w:br/>
            </w:r>
            <w:r w:rsidRPr="003B6E11">
              <w:rPr>
                <w:lang w:val="cs-CZ"/>
              </w:rPr>
              <w:tab/>
            </w:r>
            <w:r w:rsidRPr="003B6E11">
              <w:rPr>
                <w:rFonts w:cs="Arial"/>
                <w:sz w:val="18"/>
                <w:szCs w:val="20"/>
                <w:lang w:val="cs-CZ"/>
              </w:rPr>
              <w:br/>
            </w:r>
            <w:r w:rsidRPr="003B6E11">
              <w:rPr>
                <w:lang w:val="cs-CZ"/>
              </w:rPr>
              <w:tab/>
            </w:r>
          </w:p>
        </w:tc>
      </w:tr>
      <w:tr w:rsidR="003B6E11" w:rsidRPr="003B6E11" w:rsidTr="002D015D">
        <w:trPr>
          <w:cantSplit/>
          <w:jc w:val="center"/>
        </w:trPr>
        <w:tc>
          <w:tcPr>
            <w:tcW w:w="284" w:type="dxa"/>
            <w:tcBorders>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8902" w:type="dxa"/>
            <w:gridSpan w:val="5"/>
            <w:tcBorders>
              <w:bottom w:val="single" w:sz="6" w:space="0" w:color="auto"/>
              <w:right w:val="single" w:sz="6" w:space="0" w:color="auto"/>
            </w:tcBorders>
          </w:tcPr>
          <w:p w:rsidR="003B6E11" w:rsidRPr="003B6E11" w:rsidRDefault="003B6E11" w:rsidP="002D015D">
            <w:pPr>
              <w:tabs>
                <w:tab w:val="left" w:pos="57"/>
                <w:tab w:val="left" w:pos="340"/>
                <w:tab w:val="left" w:leader="dot" w:pos="8505"/>
              </w:tabs>
              <w:overflowPunct w:val="0"/>
              <w:adjustRightInd w:val="0"/>
              <w:spacing w:before="120"/>
              <w:textAlignment w:val="baseline"/>
              <w:rPr>
                <w:rFonts w:cs="Arial"/>
                <w:sz w:val="18"/>
                <w:szCs w:val="20"/>
                <w:lang w:val="cs-CZ"/>
              </w:rPr>
            </w:pPr>
            <w:r w:rsidRPr="003B6E11">
              <w:rPr>
                <w:sz w:val="18"/>
                <w:lang w:val="cs-CZ"/>
              </w:rPr>
              <w:t>při největším přípustném ponoru a s níže uvedeným vybavením a posádkou.</w:t>
            </w: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s>
              <w:overflowPunct w:val="0"/>
              <w:adjustRightInd w:val="0"/>
              <w:spacing w:before="160"/>
              <w:textAlignment w:val="baseline"/>
              <w:rPr>
                <w:rFonts w:cs="Arial"/>
                <w:sz w:val="18"/>
                <w:szCs w:val="20"/>
                <w:lang w:val="cs-CZ"/>
              </w:rPr>
            </w:pPr>
            <w:r w:rsidRPr="003B6E11">
              <w:rPr>
                <w:sz w:val="18"/>
                <w:lang w:val="cs-CZ"/>
              </w:rPr>
              <w:t>11.</w:t>
            </w:r>
          </w:p>
        </w:tc>
        <w:tc>
          <w:tcPr>
            <w:tcW w:w="8902" w:type="dxa"/>
            <w:gridSpan w:val="5"/>
            <w:tcBorders>
              <w:top w:val="single" w:sz="6" w:space="0" w:color="auto"/>
              <w:bottom w:val="single" w:sz="6" w:space="0" w:color="auto"/>
              <w:right w:val="single" w:sz="6" w:space="0" w:color="auto"/>
            </w:tcBorders>
          </w:tcPr>
          <w:p w:rsidR="003B6E11" w:rsidRPr="003B6E11" w:rsidRDefault="003B6E11" w:rsidP="002D015D">
            <w:pPr>
              <w:tabs>
                <w:tab w:val="left" w:pos="57"/>
                <w:tab w:val="left" w:leader="dot" w:pos="4536"/>
                <w:tab w:val="left" w:leader="dot" w:pos="6437"/>
              </w:tabs>
              <w:overflowPunct w:val="0"/>
              <w:adjustRightInd w:val="0"/>
              <w:spacing w:before="160"/>
              <w:textAlignment w:val="baseline"/>
              <w:rPr>
                <w:rFonts w:cs="Arial"/>
                <w:sz w:val="18"/>
                <w:szCs w:val="20"/>
                <w:lang w:val="cs-CZ"/>
              </w:rPr>
            </w:pPr>
            <w:r w:rsidRPr="003B6E11">
              <w:rPr>
                <w:sz w:val="18"/>
                <w:lang w:val="cs-CZ"/>
              </w:rPr>
              <w:t xml:space="preserve">Toto osvědčení plavidla vnitrozemské plavby platí do </w:t>
            </w:r>
            <w:r w:rsidRPr="003B6E11">
              <w:rPr>
                <w:lang w:val="cs-CZ"/>
              </w:rPr>
              <w:tab/>
            </w:r>
            <w:r w:rsidRPr="003B6E11">
              <w:rPr>
                <w:rFonts w:cs="Arial"/>
                <w:sz w:val="18"/>
                <w:szCs w:val="20"/>
                <w:lang w:val="cs-CZ"/>
              </w:rPr>
              <w:br/>
            </w:r>
          </w:p>
        </w:tc>
      </w:tr>
      <w:tr w:rsidR="003B6E11" w:rsidRPr="003B6E11" w:rsidTr="002D015D">
        <w:trPr>
          <w:cantSplit/>
          <w:jc w:val="center"/>
        </w:trPr>
        <w:tc>
          <w:tcPr>
            <w:tcW w:w="284" w:type="dxa"/>
            <w:tcBorders>
              <w:left w:val="single" w:sz="6" w:space="0" w:color="auto"/>
              <w:bottom w:val="single" w:sz="6" w:space="0" w:color="auto"/>
            </w:tcBorders>
          </w:tcPr>
          <w:p w:rsidR="003B6E11" w:rsidRPr="003B6E11" w:rsidRDefault="003B6E11" w:rsidP="002D015D">
            <w:pPr>
              <w:tabs>
                <w:tab w:val="left" w:pos="57"/>
              </w:tabs>
              <w:overflowPunct w:val="0"/>
              <w:adjustRightInd w:val="0"/>
              <w:spacing w:before="80"/>
              <w:textAlignment w:val="baseline"/>
              <w:rPr>
                <w:rFonts w:cs="Arial"/>
                <w:sz w:val="18"/>
                <w:szCs w:val="20"/>
                <w:lang w:val="cs-CZ"/>
              </w:rPr>
            </w:pPr>
            <w:r w:rsidRPr="003B6E11">
              <w:rPr>
                <w:lang w:val="cs-CZ"/>
              </w:rPr>
              <w:tab/>
            </w:r>
            <w:r w:rsidRPr="003B6E11">
              <w:rPr>
                <w:sz w:val="18"/>
                <w:lang w:val="cs-CZ"/>
              </w:rPr>
              <w:t>*)</w:t>
            </w:r>
            <w:r w:rsidRPr="003B6E11">
              <w:rPr>
                <w:rFonts w:cs="Arial"/>
                <w:sz w:val="18"/>
                <w:szCs w:val="20"/>
                <w:lang w:val="cs-CZ"/>
              </w:rPr>
              <w:br/>
            </w:r>
            <w:r w:rsidRPr="003B6E11">
              <w:rPr>
                <w:rFonts w:cs="Arial"/>
                <w:sz w:val="18"/>
                <w:szCs w:val="20"/>
                <w:lang w:val="cs-CZ"/>
              </w:rPr>
              <w:br/>
            </w:r>
          </w:p>
          <w:p w:rsidR="003B6E11" w:rsidRPr="003B6E11" w:rsidRDefault="003B6E11" w:rsidP="002D015D">
            <w:pPr>
              <w:tabs>
                <w:tab w:val="left" w:pos="57"/>
              </w:tabs>
              <w:overflowPunct w:val="0"/>
              <w:adjustRightInd w:val="0"/>
              <w:spacing w:before="80"/>
              <w:textAlignment w:val="baseline"/>
              <w:rPr>
                <w:rFonts w:cs="Arial"/>
                <w:sz w:val="18"/>
                <w:szCs w:val="20"/>
                <w:lang w:val="cs-CZ"/>
              </w:rPr>
            </w:pPr>
          </w:p>
          <w:p w:rsidR="003B6E11" w:rsidRPr="003B6E11" w:rsidRDefault="003B6E11" w:rsidP="002D015D">
            <w:pPr>
              <w:tabs>
                <w:tab w:val="left" w:pos="57"/>
              </w:tabs>
              <w:overflowPunct w:val="0"/>
              <w:adjustRightInd w:val="0"/>
              <w:spacing w:before="160"/>
              <w:textAlignment w:val="baseline"/>
              <w:rPr>
                <w:rFonts w:cs="Arial"/>
                <w:sz w:val="18"/>
                <w:szCs w:val="20"/>
                <w:lang w:val="cs-CZ"/>
              </w:rPr>
            </w:pPr>
            <w:r w:rsidRPr="003B6E11">
              <w:rPr>
                <w:lang w:val="cs-CZ"/>
              </w:rPr>
              <w:tab/>
            </w:r>
            <w:r w:rsidRPr="003B6E11">
              <w:rPr>
                <w:sz w:val="18"/>
                <w:lang w:val="cs-CZ"/>
              </w:rPr>
              <w:t>*)</w:t>
            </w:r>
          </w:p>
        </w:tc>
        <w:tc>
          <w:tcPr>
            <w:tcW w:w="8902" w:type="dxa"/>
            <w:gridSpan w:val="5"/>
            <w:tcBorders>
              <w:bottom w:val="single" w:sz="6" w:space="0" w:color="auto"/>
              <w:right w:val="single" w:sz="6" w:space="0" w:color="auto"/>
            </w:tcBorders>
          </w:tcPr>
          <w:p w:rsidR="003B6E11" w:rsidRPr="003B6E11" w:rsidRDefault="003B6E11" w:rsidP="002D015D">
            <w:pPr>
              <w:tabs>
                <w:tab w:val="left" w:pos="57"/>
                <w:tab w:val="left" w:leader="dot" w:pos="3686"/>
              </w:tabs>
              <w:overflowPunct w:val="0"/>
              <w:adjustRightInd w:val="0"/>
              <w:spacing w:before="80" w:after="80"/>
              <w:ind w:left="57" w:right="57"/>
              <w:textAlignment w:val="baseline"/>
              <w:rPr>
                <w:rFonts w:cs="Arial"/>
                <w:sz w:val="18"/>
                <w:szCs w:val="20"/>
                <w:lang w:val="cs-CZ"/>
              </w:rPr>
            </w:pPr>
            <w:r w:rsidRPr="003B6E11">
              <w:rPr>
                <w:noProof/>
                <w:sz w:val="18"/>
                <w:lang w:val="cs-CZ"/>
              </w:rPr>
              <w:t>Změna bodu (bodů): ....................</w:t>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noProof/>
                <w:sz w:val="18"/>
                <w:lang w:val="cs-CZ"/>
              </w:rPr>
              <w:t>Nový text:</w:t>
            </w:r>
            <w:r w:rsidRPr="003B6E11">
              <w:rPr>
                <w:lang w:val="cs-CZ"/>
              </w:rPr>
              <w:tab/>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lang w:val="cs-CZ"/>
              </w:rPr>
              <w:tab/>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lang w:val="cs-CZ"/>
              </w:rPr>
              <w:tab/>
            </w:r>
          </w:p>
          <w:p w:rsidR="003B6E11" w:rsidRPr="003B6E11" w:rsidRDefault="003B6E11" w:rsidP="002D015D">
            <w:pPr>
              <w:tabs>
                <w:tab w:val="left" w:leader="dot" w:pos="4536"/>
                <w:tab w:val="center" w:pos="6862"/>
              </w:tabs>
              <w:overflowPunct w:val="0"/>
              <w:adjustRightInd w:val="0"/>
              <w:spacing w:after="80"/>
              <w:ind w:left="57" w:right="57"/>
              <w:textAlignment w:val="baseline"/>
              <w:rPr>
                <w:rFonts w:cs="Arial"/>
                <w:sz w:val="18"/>
                <w:szCs w:val="20"/>
                <w:lang w:val="cs-CZ"/>
              </w:rPr>
            </w:pPr>
            <w:r w:rsidRPr="003B6E11">
              <w:rPr>
                <w:sz w:val="18"/>
                <w:lang w:val="cs-CZ"/>
              </w:rPr>
              <w:t>Tato stránka byla nahrazena.</w:t>
            </w:r>
          </w:p>
          <w:p w:rsidR="003B6E11" w:rsidRPr="003B6E11" w:rsidRDefault="003B6E11" w:rsidP="002D015D">
            <w:pPr>
              <w:tabs>
                <w:tab w:val="left" w:leader="dot" w:pos="4536"/>
                <w:tab w:val="center" w:pos="6862"/>
              </w:tabs>
              <w:overflowPunct w:val="0"/>
              <w:adjustRightInd w:val="0"/>
              <w:spacing w:after="80"/>
              <w:ind w:left="57" w:right="57"/>
              <w:textAlignment w:val="baseline"/>
              <w:rPr>
                <w:rFonts w:cs="Arial"/>
                <w:sz w:val="18"/>
                <w:szCs w:val="20"/>
                <w:lang w:val="cs-CZ"/>
              </w:rPr>
            </w:pPr>
            <w:r w:rsidRPr="003B6E11">
              <w:rPr>
                <w:sz w:val="18"/>
                <w:lang w:val="cs-CZ"/>
              </w:rPr>
              <w:t xml:space="preserve">Místo, datum </w:t>
            </w:r>
            <w:r w:rsidRPr="003B6E11">
              <w:rPr>
                <w:lang w:val="cs-CZ"/>
              </w:rPr>
              <w:tab/>
            </w:r>
            <w:r w:rsidRPr="003B6E11">
              <w:rPr>
                <w:lang w:val="cs-CZ"/>
              </w:rPr>
              <w:tab/>
            </w:r>
            <w:r w:rsidRPr="003B6E11">
              <w:rPr>
                <w:sz w:val="18"/>
                <w:lang w:val="cs-CZ"/>
              </w:rPr>
              <w:t>Subjekt pověřený prohlídkami</w:t>
            </w:r>
          </w:p>
          <w:p w:rsidR="003B6E11" w:rsidRPr="003B6E11" w:rsidRDefault="003B6E11" w:rsidP="002D015D">
            <w:pPr>
              <w:tabs>
                <w:tab w:val="left" w:pos="5103"/>
                <w:tab w:val="left" w:leader="dot" w:pos="8505"/>
              </w:tabs>
              <w:overflowPunct w:val="0"/>
              <w:adjustRightInd w:val="0"/>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1701"/>
              </w:tabs>
              <w:overflowPunct w:val="0"/>
              <w:adjustRightInd w:val="0"/>
              <w:spacing w:after="80"/>
              <w:textAlignment w:val="baseline"/>
              <w:rPr>
                <w:rFonts w:cs="Arial"/>
                <w:sz w:val="18"/>
                <w:szCs w:val="20"/>
                <w:lang w:val="cs-CZ"/>
              </w:rPr>
            </w:pPr>
            <w:r w:rsidRPr="003B6E11">
              <w:rPr>
                <w:lang w:val="cs-CZ"/>
              </w:rPr>
              <w:tab/>
            </w:r>
            <w:r w:rsidRPr="003B6E11">
              <w:rPr>
                <w:sz w:val="18"/>
                <w:lang w:val="cs-CZ"/>
              </w:rPr>
              <w:t>Razítko</w:t>
            </w:r>
          </w:p>
          <w:p w:rsidR="003B6E11" w:rsidRPr="003B6E11" w:rsidRDefault="003B6E11" w:rsidP="002D015D">
            <w:pPr>
              <w:tabs>
                <w:tab w:val="left" w:pos="5103"/>
                <w:tab w:val="left" w:leader="dot" w:pos="8505"/>
              </w:tabs>
              <w:overflowPunct w:val="0"/>
              <w:adjustRightInd w:val="0"/>
              <w:textAlignment w:val="baseline"/>
              <w:rPr>
                <w:rFonts w:cs="Arial"/>
                <w:szCs w:val="20"/>
                <w:lang w:val="cs-CZ"/>
              </w:rPr>
            </w:pPr>
            <w:r w:rsidRPr="003B6E11">
              <w:rPr>
                <w:lang w:val="cs-CZ"/>
              </w:rPr>
              <w:tab/>
            </w:r>
            <w:r w:rsidRPr="003B6E11">
              <w:rPr>
                <w:lang w:val="cs-CZ"/>
              </w:rPr>
              <w:tab/>
            </w:r>
          </w:p>
          <w:p w:rsidR="003B6E11" w:rsidRPr="003B6E11" w:rsidRDefault="003B6E11" w:rsidP="002D015D">
            <w:pPr>
              <w:tabs>
                <w:tab w:val="center" w:pos="6862"/>
              </w:tabs>
              <w:overflowPunct w:val="0"/>
              <w:adjustRightInd w:val="0"/>
              <w:textAlignment w:val="baseline"/>
              <w:rPr>
                <w:rFonts w:cs="Arial"/>
                <w:sz w:val="16"/>
                <w:szCs w:val="20"/>
                <w:lang w:val="cs-CZ"/>
              </w:rPr>
            </w:pPr>
            <w:r w:rsidRPr="003B6E11">
              <w:rPr>
                <w:lang w:val="cs-CZ"/>
              </w:rPr>
              <w:tab/>
            </w:r>
            <w:r w:rsidRPr="003B6E11">
              <w:rPr>
                <w:sz w:val="16"/>
                <w:lang w:val="cs-CZ"/>
              </w:rPr>
              <w:t>(podpis)</w:t>
            </w:r>
          </w:p>
          <w:p w:rsidR="003B6E11" w:rsidRPr="003B6E11" w:rsidRDefault="003B6E11" w:rsidP="002D015D">
            <w:pPr>
              <w:tabs>
                <w:tab w:val="left" w:pos="113"/>
                <w:tab w:val="left" w:pos="397"/>
                <w:tab w:val="left" w:pos="6237"/>
                <w:tab w:val="left" w:leader="dot" w:pos="9356"/>
              </w:tabs>
              <w:overflowPunct w:val="0"/>
              <w:adjustRightInd w:val="0"/>
              <w:textAlignment w:val="baseline"/>
              <w:rPr>
                <w:rFonts w:cs="Arial"/>
                <w:sz w:val="16"/>
                <w:szCs w:val="20"/>
                <w:lang w:val="cs-CZ"/>
              </w:rPr>
            </w:pPr>
            <w:r w:rsidRPr="003B6E11">
              <w:rPr>
                <w:sz w:val="18"/>
                <w:lang w:val="cs-CZ"/>
              </w:rPr>
              <w:t>_______________________</w:t>
            </w:r>
          </w:p>
          <w:p w:rsidR="003B6E11" w:rsidRPr="003B6E11" w:rsidRDefault="003B6E11" w:rsidP="002D015D">
            <w:pPr>
              <w:tabs>
                <w:tab w:val="left" w:pos="284"/>
              </w:tabs>
              <w:overflowPunct w:val="0"/>
              <w:adjustRightInd w:val="0"/>
              <w:spacing w:after="40"/>
              <w:ind w:left="57"/>
              <w:textAlignment w:val="baseline"/>
              <w:rPr>
                <w:rFonts w:cs="Arial"/>
                <w:sz w:val="18"/>
                <w:szCs w:val="20"/>
                <w:lang w:val="cs-CZ"/>
              </w:rPr>
            </w:pPr>
            <w:r w:rsidRPr="003B6E11">
              <w:rPr>
                <w:position w:val="4"/>
                <w:sz w:val="16"/>
                <w:lang w:val="cs-CZ"/>
              </w:rPr>
              <w:t>*)</w:t>
            </w:r>
            <w:r w:rsidRPr="003B6E11">
              <w:rPr>
                <w:lang w:val="cs-CZ"/>
              </w:rPr>
              <w:tab/>
            </w:r>
            <w:r w:rsidRPr="003B6E11">
              <w:rPr>
                <w:sz w:val="16"/>
                <w:lang w:val="cs-CZ"/>
              </w:rPr>
              <w:t>Nehodící se škrtněte.</w:t>
            </w:r>
          </w:p>
        </w:tc>
      </w:tr>
    </w:tbl>
    <w:p w:rsidR="003B6E11" w:rsidRPr="003B6E11" w:rsidRDefault="003B6E11" w:rsidP="003B6E11">
      <w:pPr>
        <w:tabs>
          <w:tab w:val="left" w:leader="dot" w:pos="2835"/>
          <w:tab w:val="left" w:leader="dot" w:pos="5103"/>
        </w:tabs>
        <w:overflowPunct w:val="0"/>
        <w:adjustRightInd w:val="0"/>
        <w:textAlignment w:val="baseline"/>
        <w:rPr>
          <w:rFonts w:cs="Arial"/>
          <w:szCs w:val="20"/>
          <w:lang w:val="cs-CZ"/>
        </w:rPr>
      </w:pPr>
      <w:r w:rsidRPr="003B6E11">
        <w:rPr>
          <w:lang w:val="cs-CZ"/>
        </w:rPr>
        <w:br w:type="page"/>
        <w:t xml:space="preserve">Osvědčení plavidla vnitrozemské plavby č. </w:t>
      </w:r>
      <w:r w:rsidRPr="003B6E11">
        <w:rPr>
          <w:lang w:val="cs-CZ"/>
        </w:rPr>
        <w:tab/>
        <w:t xml:space="preserve"> vydané subjektem pověřeným prohlídkami </w:t>
      </w:r>
      <w:r w:rsidRPr="003B6E11">
        <w:rPr>
          <w:lang w:val="cs-CZ"/>
        </w:rPr>
        <w:tab/>
      </w:r>
    </w:p>
    <w:tbl>
      <w:tblPr>
        <w:tblW w:w="9186" w:type="dxa"/>
        <w:jc w:val="center"/>
        <w:tblLayout w:type="fixed"/>
        <w:tblCellMar>
          <w:left w:w="0" w:type="dxa"/>
          <w:right w:w="0" w:type="dxa"/>
        </w:tblCellMar>
        <w:tblLook w:val="0000" w:firstRow="0" w:lastRow="0" w:firstColumn="0" w:lastColumn="0" w:noHBand="0" w:noVBand="0"/>
      </w:tblPr>
      <w:tblGrid>
        <w:gridCol w:w="284"/>
        <w:gridCol w:w="8902"/>
      </w:tblGrid>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r w:rsidRPr="003B6E11">
              <w:rPr>
                <w:sz w:val="18"/>
                <w:lang w:val="cs-CZ"/>
              </w:rPr>
              <w:t>12.</w:t>
            </w:r>
          </w:p>
        </w:tc>
        <w:tc>
          <w:tcPr>
            <w:tcW w:w="8902" w:type="dxa"/>
            <w:tcBorders>
              <w:top w:val="single" w:sz="6" w:space="0" w:color="auto"/>
              <w:bottom w:val="single" w:sz="6" w:space="0" w:color="auto"/>
              <w:right w:val="single" w:sz="6" w:space="0" w:color="auto"/>
            </w:tcBorders>
          </w:tcPr>
          <w:p w:rsidR="003B6E11" w:rsidRPr="003B6E11" w:rsidRDefault="003B6E11" w:rsidP="002D015D">
            <w:pPr>
              <w:tabs>
                <w:tab w:val="left" w:pos="57"/>
                <w:tab w:val="left" w:pos="340"/>
                <w:tab w:val="left" w:leader="dot" w:pos="8505"/>
              </w:tabs>
              <w:overflowPunct w:val="0"/>
              <w:adjustRightInd w:val="0"/>
              <w:spacing w:before="120"/>
              <w:ind w:left="57" w:hanging="57"/>
              <w:textAlignment w:val="baseline"/>
              <w:rPr>
                <w:rFonts w:cs="Arial"/>
                <w:sz w:val="18"/>
                <w:szCs w:val="20"/>
                <w:lang w:val="cs-CZ"/>
              </w:rPr>
            </w:pPr>
            <w:r w:rsidRPr="003B6E11">
              <w:rPr>
                <w:lang w:val="cs-CZ"/>
              </w:rPr>
              <w:tab/>
            </w:r>
            <w:r w:rsidRPr="003B6E11">
              <w:rPr>
                <w:noProof/>
                <w:sz w:val="18"/>
                <w:lang w:val="cs-CZ"/>
              </w:rPr>
              <w:t>Číslo osvědčení plavidla vnitrozemské plavby</w:t>
            </w:r>
            <w:r w:rsidRPr="003B6E11">
              <w:rPr>
                <w:lang w:val="cs-CZ"/>
              </w:rPr>
              <w:t xml:space="preserve"> </w:t>
            </w:r>
            <w:r w:rsidRPr="003B6E11">
              <w:rPr>
                <w:noProof/>
                <w:sz w:val="18"/>
                <w:lang w:val="cs-CZ"/>
              </w:rPr>
              <w:t>(1), jednotné evropské identifikační číslo plavidla (2), rejstříkové číslo (3) a číslo cejchovního průkazu (4) jsou i s odpovídajícími značkami (stupnicemi) vyvěšeny na těchto místech na plavidle:</w:t>
            </w:r>
            <w:r w:rsidRPr="003B6E11">
              <w:rPr>
                <w:rFonts w:cs="Arial"/>
                <w:noProof/>
                <w:sz w:val="18"/>
                <w:szCs w:val="18"/>
                <w:lang w:val="cs-CZ"/>
              </w:rPr>
              <w:br/>
            </w:r>
            <w:r w:rsidRPr="003B6E11">
              <w:rPr>
                <w:rFonts w:cs="Arial"/>
                <w:noProof/>
                <w:sz w:val="18"/>
                <w:szCs w:val="18"/>
                <w:lang w:val="cs-CZ"/>
              </w:rPr>
              <w:br/>
            </w:r>
            <w:r w:rsidRPr="003B6E11">
              <w:rPr>
                <w:noProof/>
                <w:sz w:val="18"/>
                <w:lang w:val="cs-CZ"/>
              </w:rPr>
              <w:t>1</w:t>
            </w:r>
            <w:r w:rsidRPr="003B6E11">
              <w:rPr>
                <w:lang w:val="cs-CZ"/>
              </w:rPr>
              <w:tab/>
            </w:r>
            <w:r w:rsidRPr="003B6E11">
              <w:rPr>
                <w:lang w:val="cs-CZ"/>
              </w:rPr>
              <w:tab/>
            </w:r>
            <w:r w:rsidRPr="003B6E11">
              <w:rPr>
                <w:rFonts w:cs="Arial"/>
                <w:sz w:val="18"/>
                <w:szCs w:val="20"/>
                <w:lang w:val="cs-CZ"/>
              </w:rPr>
              <w:br/>
            </w:r>
            <w:r w:rsidRPr="003B6E11">
              <w:rPr>
                <w:rFonts w:cs="Arial"/>
                <w:sz w:val="18"/>
                <w:szCs w:val="20"/>
                <w:lang w:val="cs-CZ"/>
              </w:rPr>
              <w:br/>
            </w:r>
            <w:r w:rsidRPr="003B6E11">
              <w:rPr>
                <w:sz w:val="18"/>
                <w:lang w:val="cs-CZ"/>
              </w:rPr>
              <w:t>2</w:t>
            </w:r>
            <w:r w:rsidRPr="003B6E11">
              <w:rPr>
                <w:lang w:val="cs-CZ"/>
              </w:rPr>
              <w:tab/>
            </w:r>
            <w:r w:rsidRPr="003B6E11">
              <w:rPr>
                <w:lang w:val="cs-CZ"/>
              </w:rPr>
              <w:tab/>
            </w:r>
            <w:r w:rsidRPr="003B6E11">
              <w:rPr>
                <w:rFonts w:cs="Arial"/>
                <w:sz w:val="18"/>
                <w:szCs w:val="20"/>
                <w:lang w:val="cs-CZ"/>
              </w:rPr>
              <w:br/>
            </w:r>
            <w:r w:rsidRPr="003B6E11">
              <w:rPr>
                <w:rFonts w:cs="Arial"/>
                <w:sz w:val="18"/>
                <w:szCs w:val="20"/>
                <w:lang w:val="cs-CZ"/>
              </w:rPr>
              <w:br/>
            </w:r>
            <w:r w:rsidRPr="003B6E11">
              <w:rPr>
                <w:sz w:val="18"/>
                <w:lang w:val="cs-CZ"/>
              </w:rPr>
              <w:t>3</w:t>
            </w:r>
            <w:r w:rsidRPr="003B6E11">
              <w:rPr>
                <w:lang w:val="cs-CZ"/>
              </w:rPr>
              <w:tab/>
            </w:r>
            <w:r w:rsidRPr="003B6E11">
              <w:rPr>
                <w:lang w:val="cs-CZ"/>
              </w:rPr>
              <w:tab/>
            </w:r>
            <w:r w:rsidRPr="003B6E11">
              <w:rPr>
                <w:rFonts w:cs="Arial"/>
                <w:sz w:val="18"/>
                <w:szCs w:val="20"/>
                <w:lang w:val="cs-CZ"/>
              </w:rPr>
              <w:br/>
            </w:r>
            <w:r w:rsidRPr="003B6E11">
              <w:rPr>
                <w:rFonts w:cs="Arial"/>
                <w:sz w:val="18"/>
                <w:szCs w:val="20"/>
                <w:lang w:val="cs-CZ"/>
              </w:rPr>
              <w:br/>
            </w:r>
            <w:r w:rsidRPr="003B6E11">
              <w:rPr>
                <w:sz w:val="18"/>
                <w:lang w:val="cs-CZ"/>
              </w:rPr>
              <w:t>4</w:t>
            </w:r>
            <w:r w:rsidRPr="003B6E11">
              <w:rPr>
                <w:lang w:val="cs-CZ"/>
              </w:rPr>
              <w:tab/>
            </w:r>
            <w:r w:rsidRPr="003B6E11">
              <w:rPr>
                <w:lang w:val="cs-CZ"/>
              </w:rPr>
              <w:tab/>
            </w:r>
            <w:r w:rsidRPr="003B6E11">
              <w:rPr>
                <w:rFonts w:cs="Arial"/>
                <w:sz w:val="18"/>
                <w:szCs w:val="20"/>
                <w:lang w:val="cs-CZ"/>
              </w:rPr>
              <w:br/>
            </w: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r w:rsidRPr="003B6E11">
              <w:rPr>
                <w:sz w:val="18"/>
                <w:lang w:val="cs-CZ"/>
              </w:rPr>
              <w:t>13.</w:t>
            </w:r>
          </w:p>
        </w:tc>
        <w:tc>
          <w:tcPr>
            <w:tcW w:w="8902" w:type="dxa"/>
            <w:tcBorders>
              <w:top w:val="single" w:sz="6" w:space="0" w:color="auto"/>
              <w:bottom w:val="single" w:sz="6" w:space="0" w:color="auto"/>
              <w:right w:val="single" w:sz="6" w:space="0" w:color="auto"/>
            </w:tcBorders>
          </w:tcPr>
          <w:p w:rsidR="003B6E11" w:rsidRPr="003B6E11" w:rsidRDefault="003B6E11" w:rsidP="002D015D">
            <w:pPr>
              <w:tabs>
                <w:tab w:val="left" w:pos="57"/>
                <w:tab w:val="left" w:pos="340"/>
                <w:tab w:val="left" w:pos="567"/>
                <w:tab w:val="left" w:pos="4536"/>
                <w:tab w:val="left" w:pos="4820"/>
              </w:tabs>
              <w:overflowPunct w:val="0"/>
              <w:adjustRightInd w:val="0"/>
              <w:spacing w:before="120" w:after="120"/>
              <w:textAlignment w:val="baseline"/>
              <w:rPr>
                <w:rFonts w:cs="Arial"/>
                <w:sz w:val="18"/>
                <w:szCs w:val="20"/>
                <w:lang w:val="cs-CZ"/>
              </w:rPr>
            </w:pPr>
            <w:r w:rsidRPr="003B6E11">
              <w:rPr>
                <w:lang w:val="cs-CZ"/>
              </w:rPr>
              <w:tab/>
            </w:r>
            <w:r w:rsidRPr="003B6E11">
              <w:rPr>
                <w:sz w:val="18"/>
                <w:lang w:val="cs-CZ"/>
              </w:rPr>
              <w:t>Největší přípustný ponor je označen na obou stranách plavidla</w:t>
            </w:r>
          </w:p>
          <w:p w:rsidR="003B6E11" w:rsidRPr="003B6E11" w:rsidRDefault="003B6E11" w:rsidP="002D015D">
            <w:pPr>
              <w:tabs>
                <w:tab w:val="left" w:pos="57"/>
                <w:tab w:val="left" w:pos="340"/>
                <w:tab w:val="left" w:pos="567"/>
                <w:tab w:val="left" w:pos="4536"/>
                <w:tab w:val="left" w:pos="4820"/>
              </w:tabs>
              <w:overflowPunct w:val="0"/>
              <w:adjustRightInd w:val="0"/>
              <w:spacing w:after="120"/>
              <w:textAlignment w:val="baseline"/>
              <w:rPr>
                <w:rFonts w:cs="Arial"/>
                <w:sz w:val="18"/>
                <w:szCs w:val="20"/>
                <w:lang w:val="cs-CZ"/>
              </w:rPr>
            </w:pPr>
            <w:r w:rsidRPr="003B6E11">
              <w:rPr>
                <w:sz w:val="18"/>
                <w:lang w:val="cs-CZ"/>
              </w:rPr>
              <w:t>–</w:t>
            </w:r>
            <w:r w:rsidRPr="003B6E11">
              <w:rPr>
                <w:lang w:val="cs-CZ"/>
              </w:rPr>
              <w:tab/>
            </w:r>
            <w:r w:rsidRPr="003B6E11">
              <w:rPr>
                <w:sz w:val="18"/>
                <w:lang w:val="cs-CZ"/>
              </w:rPr>
              <w:t>dvěma - ......................................... – nákladovými značkami</w:t>
            </w:r>
            <w:r w:rsidRPr="003B6E11">
              <w:rPr>
                <w:position w:val="6"/>
                <w:sz w:val="16"/>
                <w:lang w:val="cs-CZ"/>
              </w:rPr>
              <w:t>*)</w:t>
            </w:r>
            <w:r w:rsidRPr="003B6E11">
              <w:rPr>
                <w:sz w:val="18"/>
                <w:lang w:val="cs-CZ"/>
              </w:rPr>
              <w:t>.</w:t>
            </w:r>
          </w:p>
          <w:p w:rsidR="003B6E11" w:rsidRPr="003B6E11" w:rsidRDefault="003B6E11" w:rsidP="002D015D">
            <w:pPr>
              <w:tabs>
                <w:tab w:val="left" w:pos="57"/>
                <w:tab w:val="left" w:pos="340"/>
                <w:tab w:val="left" w:pos="567"/>
                <w:tab w:val="left" w:pos="4536"/>
                <w:tab w:val="left" w:pos="4820"/>
              </w:tabs>
              <w:overflowPunct w:val="0"/>
              <w:adjustRightInd w:val="0"/>
              <w:textAlignment w:val="baseline"/>
              <w:rPr>
                <w:rFonts w:cs="Arial"/>
                <w:sz w:val="18"/>
                <w:szCs w:val="20"/>
                <w:lang w:val="cs-CZ"/>
              </w:rPr>
            </w:pPr>
            <w:r w:rsidRPr="003B6E11">
              <w:rPr>
                <w:sz w:val="18"/>
                <w:lang w:val="cs-CZ"/>
              </w:rPr>
              <w:t>–</w:t>
            </w:r>
            <w:r w:rsidRPr="003B6E11">
              <w:rPr>
                <w:lang w:val="cs-CZ"/>
              </w:rPr>
              <w:tab/>
            </w:r>
            <w:r w:rsidRPr="003B6E11">
              <w:rPr>
                <w:sz w:val="18"/>
                <w:lang w:val="cs-CZ"/>
              </w:rPr>
              <w:t xml:space="preserve">horními cejchovacími destičkami </w:t>
            </w:r>
            <w:r w:rsidRPr="003B6E11">
              <w:rPr>
                <w:position w:val="6"/>
                <w:sz w:val="16"/>
                <w:lang w:val="cs-CZ"/>
              </w:rPr>
              <w:t>*)</w:t>
            </w:r>
            <w:r w:rsidRPr="003B6E11">
              <w:rPr>
                <w:sz w:val="18"/>
                <w:lang w:val="cs-CZ"/>
              </w:rPr>
              <w:t>.</w:t>
            </w:r>
          </w:p>
          <w:p w:rsidR="003B6E11" w:rsidRPr="003B6E11" w:rsidRDefault="003B6E11" w:rsidP="002D015D">
            <w:pPr>
              <w:tabs>
                <w:tab w:val="left" w:pos="57"/>
                <w:tab w:val="left" w:pos="340"/>
                <w:tab w:val="left" w:pos="567"/>
                <w:tab w:val="left" w:pos="4536"/>
                <w:tab w:val="left" w:pos="4820"/>
              </w:tabs>
              <w:overflowPunct w:val="0"/>
              <w:adjustRightInd w:val="0"/>
              <w:textAlignment w:val="baseline"/>
              <w:rPr>
                <w:rFonts w:cs="Arial"/>
                <w:sz w:val="18"/>
                <w:szCs w:val="20"/>
                <w:lang w:val="cs-CZ"/>
              </w:rPr>
            </w:pPr>
          </w:p>
          <w:p w:rsidR="003B6E11" w:rsidRPr="003B6E11" w:rsidRDefault="003B6E11" w:rsidP="002D015D">
            <w:pPr>
              <w:tabs>
                <w:tab w:val="left" w:pos="57"/>
                <w:tab w:val="left" w:pos="340"/>
                <w:tab w:val="left" w:pos="567"/>
                <w:tab w:val="left" w:pos="4536"/>
                <w:tab w:val="left" w:pos="4820"/>
              </w:tabs>
              <w:overflowPunct w:val="0"/>
              <w:adjustRightInd w:val="0"/>
              <w:textAlignment w:val="baseline"/>
              <w:rPr>
                <w:rFonts w:cs="Arial"/>
                <w:sz w:val="18"/>
                <w:szCs w:val="20"/>
                <w:lang w:val="cs-CZ"/>
              </w:rPr>
            </w:pPr>
            <w:r w:rsidRPr="003B6E11">
              <w:rPr>
                <w:sz w:val="18"/>
                <w:lang w:val="cs-CZ"/>
              </w:rPr>
              <w:t xml:space="preserve">Jsou použity dvě ponorové stupnice </w:t>
            </w:r>
            <w:r w:rsidRPr="003B6E11">
              <w:rPr>
                <w:position w:val="6"/>
                <w:sz w:val="16"/>
                <w:lang w:val="cs-CZ"/>
              </w:rPr>
              <w:t>*)</w:t>
            </w:r>
            <w:r w:rsidRPr="003B6E11">
              <w:rPr>
                <w:sz w:val="18"/>
                <w:lang w:val="cs-CZ"/>
              </w:rPr>
              <w:t>.</w:t>
            </w:r>
            <w:r w:rsidRPr="003B6E11">
              <w:rPr>
                <w:rFonts w:cs="Arial"/>
                <w:sz w:val="18"/>
                <w:szCs w:val="20"/>
                <w:lang w:val="cs-CZ"/>
              </w:rPr>
              <w:br/>
            </w:r>
            <w:r w:rsidRPr="003B6E11">
              <w:rPr>
                <w:sz w:val="18"/>
                <w:lang w:val="cs-CZ"/>
              </w:rPr>
              <w:t xml:space="preserve">Zadní cejchovací stupnice slouží jako ponorová stupnice: za tímto účelem byla doplněna číslicemi označujícími ponor </w:t>
            </w:r>
            <w:r w:rsidRPr="003B6E11">
              <w:rPr>
                <w:position w:val="6"/>
                <w:sz w:val="16"/>
                <w:lang w:val="cs-CZ"/>
              </w:rPr>
              <w:t>*)</w:t>
            </w:r>
            <w:r w:rsidRPr="003B6E11">
              <w:rPr>
                <w:sz w:val="18"/>
                <w:lang w:val="cs-CZ"/>
              </w:rPr>
              <w:t>.</w:t>
            </w:r>
            <w:r w:rsidRPr="003B6E11">
              <w:rPr>
                <w:rFonts w:cs="Arial"/>
                <w:sz w:val="18"/>
                <w:szCs w:val="20"/>
                <w:lang w:val="cs-CZ"/>
              </w:rPr>
              <w:br/>
            </w: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r w:rsidRPr="003B6E11">
              <w:rPr>
                <w:sz w:val="18"/>
                <w:lang w:val="cs-CZ"/>
              </w:rPr>
              <w:t>14.</w:t>
            </w:r>
          </w:p>
        </w:tc>
        <w:tc>
          <w:tcPr>
            <w:tcW w:w="8902" w:type="dxa"/>
            <w:tcBorders>
              <w:top w:val="single" w:sz="6" w:space="0" w:color="auto"/>
              <w:bottom w:val="single" w:sz="6" w:space="0" w:color="auto"/>
              <w:right w:val="single" w:sz="6" w:space="0" w:color="auto"/>
            </w:tcBorders>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 xml:space="preserve">Aniž jsou dotčena omezení </w:t>
            </w:r>
            <w:r w:rsidRPr="003B6E11">
              <w:rPr>
                <w:position w:val="6"/>
                <w:sz w:val="14"/>
                <w:lang w:val="cs-CZ"/>
              </w:rPr>
              <w:t>*)</w:t>
            </w:r>
            <w:r w:rsidRPr="003B6E11">
              <w:rPr>
                <w:sz w:val="18"/>
                <w:lang w:val="cs-CZ"/>
              </w:rPr>
              <w:t xml:space="preserve"> uvedená v bodech 15 a 52, plavidlo je způsobilé</w:t>
            </w:r>
          </w:p>
          <w:p w:rsidR="003B6E11" w:rsidRPr="003B6E11" w:rsidRDefault="003B6E11" w:rsidP="002D015D">
            <w:pPr>
              <w:tabs>
                <w:tab w:val="left" w:pos="57"/>
                <w:tab w:val="left" w:pos="340"/>
                <w:tab w:val="left" w:pos="567"/>
                <w:tab w:val="left" w:pos="4536"/>
                <w:tab w:val="left" w:pos="4820"/>
              </w:tabs>
              <w:overflowPunct w:val="0"/>
              <w:adjustRightInd w:val="0"/>
              <w:textAlignment w:val="baseline"/>
              <w:rPr>
                <w:rFonts w:cs="Arial"/>
                <w:sz w:val="18"/>
                <w:szCs w:val="20"/>
                <w:lang w:val="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3232"/>
              <w:gridCol w:w="284"/>
              <w:gridCol w:w="624"/>
              <w:gridCol w:w="3515"/>
            </w:tblGrid>
            <w:tr w:rsidR="003B6E11" w:rsidRPr="003B6E11" w:rsidTr="002D015D">
              <w:trPr>
                <w:jc w:val="center"/>
              </w:trPr>
              <w:tc>
                <w:tcPr>
                  <w:tcW w:w="624"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1.</w:t>
                  </w:r>
                </w:p>
              </w:tc>
              <w:tc>
                <w:tcPr>
                  <w:tcW w:w="3232" w:type="dxa"/>
                  <w:tcBorders>
                    <w:right w:val="nil"/>
                  </w:tcBorders>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tlačit</w:t>
                  </w:r>
                  <w:r w:rsidRPr="003B6E11">
                    <w:rPr>
                      <w:position w:val="6"/>
                      <w:sz w:val="16"/>
                      <w:lang w:val="cs-CZ"/>
                    </w:rPr>
                    <w:t xml:space="preserve"> *)</w:t>
                  </w:r>
                </w:p>
              </w:tc>
              <w:tc>
                <w:tcPr>
                  <w:tcW w:w="284" w:type="dxa"/>
                  <w:tcBorders>
                    <w:left w:val="nil"/>
                  </w:tcBorders>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p>
              </w:tc>
              <w:tc>
                <w:tcPr>
                  <w:tcW w:w="624"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4.</w:t>
                  </w:r>
                </w:p>
              </w:tc>
              <w:tc>
                <w:tcPr>
                  <w:tcW w:w="3515"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být vedeno v bočně svázané sestavě</w:t>
                  </w:r>
                  <w:r w:rsidRPr="003B6E11">
                    <w:rPr>
                      <w:position w:val="6"/>
                      <w:sz w:val="16"/>
                      <w:lang w:val="cs-CZ"/>
                    </w:rPr>
                    <w:t xml:space="preserve"> *)</w:t>
                  </w:r>
                </w:p>
              </w:tc>
            </w:tr>
            <w:tr w:rsidR="003B6E11" w:rsidRPr="003B6E11" w:rsidTr="002D015D">
              <w:trPr>
                <w:jc w:val="center"/>
              </w:trPr>
              <w:tc>
                <w:tcPr>
                  <w:tcW w:w="624"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1.1</w:t>
                  </w:r>
                </w:p>
              </w:tc>
              <w:tc>
                <w:tcPr>
                  <w:tcW w:w="3232" w:type="dxa"/>
                  <w:tcBorders>
                    <w:right w:val="nil"/>
                  </w:tcBorders>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v pevné sestavě</w:t>
                  </w:r>
                  <w:r w:rsidRPr="003B6E11">
                    <w:rPr>
                      <w:position w:val="6"/>
                      <w:sz w:val="16"/>
                      <w:lang w:val="cs-CZ"/>
                    </w:rPr>
                    <w:t xml:space="preserve"> *)</w:t>
                  </w:r>
                </w:p>
              </w:tc>
              <w:tc>
                <w:tcPr>
                  <w:tcW w:w="284" w:type="dxa"/>
                  <w:tcBorders>
                    <w:left w:val="nil"/>
                  </w:tcBorders>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p>
              </w:tc>
              <w:tc>
                <w:tcPr>
                  <w:tcW w:w="624"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5.</w:t>
                  </w:r>
                </w:p>
              </w:tc>
              <w:tc>
                <w:tcPr>
                  <w:tcW w:w="3515"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vléci</w:t>
                  </w:r>
                  <w:r w:rsidRPr="003B6E11">
                    <w:rPr>
                      <w:position w:val="6"/>
                      <w:sz w:val="16"/>
                      <w:lang w:val="cs-CZ"/>
                    </w:rPr>
                    <w:t xml:space="preserve"> *)</w:t>
                  </w:r>
                </w:p>
              </w:tc>
            </w:tr>
            <w:tr w:rsidR="003B6E11" w:rsidRPr="003B6E11" w:rsidTr="002D015D">
              <w:trPr>
                <w:jc w:val="center"/>
              </w:trPr>
              <w:tc>
                <w:tcPr>
                  <w:tcW w:w="624"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1.2</w:t>
                  </w:r>
                </w:p>
              </w:tc>
              <w:tc>
                <w:tcPr>
                  <w:tcW w:w="3232" w:type="dxa"/>
                  <w:tcBorders>
                    <w:right w:val="nil"/>
                  </w:tcBorders>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s řízeným kloubovým spojením</w:t>
                  </w:r>
                  <w:r w:rsidRPr="003B6E11">
                    <w:rPr>
                      <w:position w:val="6"/>
                      <w:sz w:val="16"/>
                      <w:lang w:val="cs-CZ"/>
                    </w:rPr>
                    <w:t xml:space="preserve"> *)</w:t>
                  </w:r>
                </w:p>
              </w:tc>
              <w:tc>
                <w:tcPr>
                  <w:tcW w:w="284" w:type="dxa"/>
                  <w:tcBorders>
                    <w:left w:val="nil"/>
                  </w:tcBorders>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p>
              </w:tc>
              <w:tc>
                <w:tcPr>
                  <w:tcW w:w="624"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5.1</w:t>
                  </w:r>
                </w:p>
              </w:tc>
              <w:tc>
                <w:tcPr>
                  <w:tcW w:w="3515"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 xml:space="preserve">plavidla bez vlastního pohonu </w:t>
                  </w:r>
                  <w:r w:rsidRPr="003B6E11">
                    <w:rPr>
                      <w:position w:val="6"/>
                      <w:sz w:val="16"/>
                      <w:lang w:val="cs-CZ"/>
                    </w:rPr>
                    <w:t>*)</w:t>
                  </w:r>
                </w:p>
              </w:tc>
            </w:tr>
            <w:tr w:rsidR="003B6E11" w:rsidRPr="003B6E11" w:rsidTr="002D015D">
              <w:trPr>
                <w:jc w:val="center"/>
              </w:trPr>
              <w:tc>
                <w:tcPr>
                  <w:tcW w:w="624"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2.</w:t>
                  </w:r>
                </w:p>
              </w:tc>
              <w:tc>
                <w:tcPr>
                  <w:tcW w:w="3232" w:type="dxa"/>
                  <w:tcBorders>
                    <w:right w:val="nil"/>
                  </w:tcBorders>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být tlačeno</w:t>
                  </w:r>
                  <w:r w:rsidRPr="003B6E11">
                    <w:rPr>
                      <w:position w:val="6"/>
                      <w:sz w:val="16"/>
                      <w:lang w:val="cs-CZ"/>
                    </w:rPr>
                    <w:t xml:space="preserve"> *)</w:t>
                  </w:r>
                </w:p>
              </w:tc>
              <w:tc>
                <w:tcPr>
                  <w:tcW w:w="284" w:type="dxa"/>
                  <w:tcBorders>
                    <w:left w:val="nil"/>
                  </w:tcBorders>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p>
              </w:tc>
              <w:tc>
                <w:tcPr>
                  <w:tcW w:w="624"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5.2</w:t>
                  </w:r>
                </w:p>
              </w:tc>
              <w:tc>
                <w:tcPr>
                  <w:tcW w:w="3515"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 xml:space="preserve">motorová plavidla </w:t>
                  </w:r>
                  <w:r w:rsidRPr="003B6E11">
                    <w:rPr>
                      <w:position w:val="6"/>
                      <w:sz w:val="16"/>
                      <w:lang w:val="cs-CZ"/>
                    </w:rPr>
                    <w:t>*)</w:t>
                  </w:r>
                </w:p>
              </w:tc>
            </w:tr>
            <w:tr w:rsidR="003B6E11" w:rsidRPr="003B6E11" w:rsidTr="002D015D">
              <w:trPr>
                <w:jc w:val="center"/>
              </w:trPr>
              <w:tc>
                <w:tcPr>
                  <w:tcW w:w="624"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2.1</w:t>
                  </w:r>
                </w:p>
              </w:tc>
              <w:tc>
                <w:tcPr>
                  <w:tcW w:w="3232" w:type="dxa"/>
                  <w:tcBorders>
                    <w:right w:val="nil"/>
                  </w:tcBorders>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v pevné sestavě</w:t>
                  </w:r>
                  <w:r w:rsidRPr="003B6E11">
                    <w:rPr>
                      <w:position w:val="6"/>
                      <w:sz w:val="16"/>
                      <w:lang w:val="cs-CZ"/>
                    </w:rPr>
                    <w:t xml:space="preserve"> *)</w:t>
                  </w:r>
                </w:p>
              </w:tc>
              <w:tc>
                <w:tcPr>
                  <w:tcW w:w="284" w:type="dxa"/>
                  <w:tcBorders>
                    <w:left w:val="nil"/>
                  </w:tcBorders>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p>
              </w:tc>
              <w:tc>
                <w:tcPr>
                  <w:tcW w:w="624"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5.3</w:t>
                  </w:r>
                </w:p>
              </w:tc>
              <w:tc>
                <w:tcPr>
                  <w:tcW w:w="3515"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pouze proti proudu</w:t>
                  </w:r>
                  <w:r w:rsidRPr="003B6E11">
                    <w:rPr>
                      <w:position w:val="6"/>
                      <w:sz w:val="16"/>
                      <w:lang w:val="cs-CZ"/>
                    </w:rPr>
                    <w:t xml:space="preserve"> *)</w:t>
                  </w:r>
                </w:p>
              </w:tc>
            </w:tr>
            <w:tr w:rsidR="003B6E11" w:rsidRPr="003B6E11" w:rsidTr="002D015D">
              <w:trPr>
                <w:jc w:val="center"/>
              </w:trPr>
              <w:tc>
                <w:tcPr>
                  <w:tcW w:w="624"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2.2</w:t>
                  </w:r>
                </w:p>
              </w:tc>
              <w:tc>
                <w:tcPr>
                  <w:tcW w:w="3232" w:type="dxa"/>
                  <w:tcBorders>
                    <w:right w:val="nil"/>
                  </w:tcBorders>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v čele pevné sestavy</w:t>
                  </w:r>
                  <w:r w:rsidRPr="003B6E11">
                    <w:rPr>
                      <w:position w:val="6"/>
                      <w:sz w:val="16"/>
                      <w:lang w:val="cs-CZ"/>
                    </w:rPr>
                    <w:t xml:space="preserve"> *)</w:t>
                  </w:r>
                </w:p>
              </w:tc>
              <w:tc>
                <w:tcPr>
                  <w:tcW w:w="284" w:type="dxa"/>
                  <w:tcBorders>
                    <w:left w:val="nil"/>
                  </w:tcBorders>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p>
              </w:tc>
              <w:tc>
                <w:tcPr>
                  <w:tcW w:w="624"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6.</w:t>
                  </w:r>
                </w:p>
              </w:tc>
              <w:tc>
                <w:tcPr>
                  <w:tcW w:w="3515"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být vlečeno</w:t>
                  </w:r>
                  <w:r w:rsidRPr="003B6E11">
                    <w:rPr>
                      <w:position w:val="6"/>
                      <w:sz w:val="16"/>
                      <w:lang w:val="cs-CZ"/>
                    </w:rPr>
                    <w:t xml:space="preserve"> *)</w:t>
                  </w:r>
                </w:p>
              </w:tc>
            </w:tr>
            <w:tr w:rsidR="003B6E11" w:rsidRPr="003B6E11" w:rsidTr="002D015D">
              <w:trPr>
                <w:jc w:val="center"/>
              </w:trPr>
              <w:tc>
                <w:tcPr>
                  <w:tcW w:w="624"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2.3</w:t>
                  </w:r>
                </w:p>
              </w:tc>
              <w:tc>
                <w:tcPr>
                  <w:tcW w:w="3232" w:type="dxa"/>
                  <w:tcBorders>
                    <w:right w:val="nil"/>
                  </w:tcBorders>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s řízeným kloubovým spojením</w:t>
                  </w:r>
                  <w:r w:rsidRPr="003B6E11">
                    <w:rPr>
                      <w:position w:val="6"/>
                      <w:sz w:val="16"/>
                      <w:lang w:val="cs-CZ"/>
                    </w:rPr>
                    <w:t xml:space="preserve"> *)</w:t>
                  </w:r>
                </w:p>
              </w:tc>
              <w:tc>
                <w:tcPr>
                  <w:tcW w:w="284" w:type="dxa"/>
                  <w:tcBorders>
                    <w:left w:val="nil"/>
                  </w:tcBorders>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p>
              </w:tc>
              <w:tc>
                <w:tcPr>
                  <w:tcW w:w="624"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6.1</w:t>
                  </w:r>
                </w:p>
              </w:tc>
              <w:tc>
                <w:tcPr>
                  <w:tcW w:w="3515"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 xml:space="preserve">jako motorové plavidlo </w:t>
                  </w:r>
                  <w:r w:rsidRPr="003B6E11">
                    <w:rPr>
                      <w:position w:val="6"/>
                      <w:sz w:val="16"/>
                      <w:lang w:val="cs-CZ"/>
                    </w:rPr>
                    <w:t>*)</w:t>
                  </w:r>
                </w:p>
              </w:tc>
            </w:tr>
            <w:tr w:rsidR="003B6E11" w:rsidRPr="003B6E11" w:rsidTr="002D015D">
              <w:trPr>
                <w:jc w:val="center"/>
              </w:trPr>
              <w:tc>
                <w:tcPr>
                  <w:tcW w:w="624"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3.</w:t>
                  </w:r>
                </w:p>
              </w:tc>
              <w:tc>
                <w:tcPr>
                  <w:tcW w:w="3232" w:type="dxa"/>
                  <w:tcBorders>
                    <w:right w:val="nil"/>
                  </w:tcBorders>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vést bočně svázanou sestavu</w:t>
                  </w:r>
                  <w:r w:rsidRPr="003B6E11">
                    <w:rPr>
                      <w:position w:val="6"/>
                      <w:sz w:val="16"/>
                      <w:lang w:val="cs-CZ"/>
                    </w:rPr>
                    <w:t xml:space="preserve"> *)</w:t>
                  </w:r>
                </w:p>
              </w:tc>
              <w:tc>
                <w:tcPr>
                  <w:tcW w:w="284" w:type="dxa"/>
                  <w:tcBorders>
                    <w:left w:val="nil"/>
                  </w:tcBorders>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p>
              </w:tc>
              <w:tc>
                <w:tcPr>
                  <w:tcW w:w="624"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6.2</w:t>
                  </w:r>
                </w:p>
              </w:tc>
              <w:tc>
                <w:tcPr>
                  <w:tcW w:w="3515" w:type="dxa"/>
                  <w:shd w:val="clear" w:color="auto" w:fill="auto"/>
                </w:tcPr>
                <w:p w:rsidR="003B6E11" w:rsidRPr="003B6E11" w:rsidRDefault="003B6E11" w:rsidP="002D015D">
                  <w:pPr>
                    <w:tabs>
                      <w:tab w:val="left" w:pos="57"/>
                      <w:tab w:val="left" w:pos="340"/>
                      <w:tab w:val="left" w:pos="567"/>
                      <w:tab w:val="left" w:pos="4536"/>
                      <w:tab w:val="left" w:pos="4820"/>
                    </w:tabs>
                    <w:overflowPunct w:val="0"/>
                    <w:adjustRightInd w:val="0"/>
                    <w:spacing w:before="120"/>
                    <w:textAlignment w:val="baseline"/>
                    <w:rPr>
                      <w:rFonts w:cs="Arial"/>
                      <w:sz w:val="18"/>
                      <w:szCs w:val="20"/>
                      <w:lang w:val="cs-CZ"/>
                    </w:rPr>
                  </w:pPr>
                  <w:r w:rsidRPr="003B6E11">
                    <w:rPr>
                      <w:sz w:val="18"/>
                      <w:lang w:val="cs-CZ"/>
                    </w:rPr>
                    <w:t xml:space="preserve">jako plavidlo bez vlastního pohonu </w:t>
                  </w:r>
                  <w:r w:rsidRPr="003B6E11">
                    <w:rPr>
                      <w:position w:val="6"/>
                      <w:sz w:val="16"/>
                      <w:lang w:val="cs-CZ"/>
                    </w:rPr>
                    <w:t>*)</w:t>
                  </w:r>
                </w:p>
              </w:tc>
            </w:tr>
          </w:tbl>
          <w:p w:rsidR="003B6E11" w:rsidRPr="003B6E11" w:rsidRDefault="003B6E11" w:rsidP="002D015D">
            <w:pPr>
              <w:tabs>
                <w:tab w:val="left" w:pos="57"/>
                <w:tab w:val="left" w:pos="340"/>
                <w:tab w:val="left" w:pos="567"/>
                <w:tab w:val="left" w:pos="4536"/>
                <w:tab w:val="left" w:pos="4820"/>
              </w:tabs>
              <w:overflowPunct w:val="0"/>
              <w:adjustRightInd w:val="0"/>
              <w:textAlignment w:val="baseline"/>
              <w:rPr>
                <w:rFonts w:cs="Arial"/>
                <w:sz w:val="18"/>
                <w:szCs w:val="20"/>
                <w:lang w:val="cs-CZ"/>
              </w:rPr>
            </w:pPr>
          </w:p>
          <w:p w:rsidR="003B6E11" w:rsidRPr="003B6E11" w:rsidRDefault="003B6E11" w:rsidP="002D015D">
            <w:pPr>
              <w:tabs>
                <w:tab w:val="left" w:pos="57"/>
                <w:tab w:val="left" w:pos="340"/>
                <w:tab w:val="left" w:pos="567"/>
                <w:tab w:val="left" w:pos="4536"/>
                <w:tab w:val="left" w:pos="4820"/>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bottom w:val="single" w:sz="6" w:space="0" w:color="auto"/>
            </w:tcBorders>
          </w:tcPr>
          <w:p w:rsidR="003B6E11" w:rsidRPr="003B6E11" w:rsidRDefault="003B6E11" w:rsidP="002D015D">
            <w:pPr>
              <w:tabs>
                <w:tab w:val="left" w:pos="57"/>
              </w:tabs>
              <w:overflowPunct w:val="0"/>
              <w:adjustRightInd w:val="0"/>
              <w:spacing w:before="80"/>
              <w:textAlignment w:val="baseline"/>
              <w:rPr>
                <w:rFonts w:cs="Arial"/>
                <w:sz w:val="18"/>
                <w:szCs w:val="20"/>
                <w:lang w:val="cs-CZ"/>
              </w:rPr>
            </w:pPr>
            <w:r w:rsidRPr="003B6E11">
              <w:rPr>
                <w:lang w:val="cs-CZ"/>
              </w:rPr>
              <w:tab/>
            </w:r>
            <w:r w:rsidRPr="003B6E11">
              <w:rPr>
                <w:sz w:val="18"/>
                <w:lang w:val="cs-CZ"/>
              </w:rPr>
              <w:t>*)</w:t>
            </w:r>
            <w:r w:rsidRPr="003B6E11">
              <w:rPr>
                <w:rFonts w:cs="Arial"/>
                <w:sz w:val="18"/>
                <w:szCs w:val="20"/>
                <w:lang w:val="cs-CZ"/>
              </w:rPr>
              <w:br/>
            </w:r>
            <w:r w:rsidRPr="003B6E11">
              <w:rPr>
                <w:rFonts w:cs="Arial"/>
                <w:sz w:val="18"/>
                <w:szCs w:val="20"/>
                <w:lang w:val="cs-CZ"/>
              </w:rPr>
              <w:br/>
            </w:r>
          </w:p>
          <w:p w:rsidR="003B6E11" w:rsidRPr="003B6E11" w:rsidRDefault="003B6E11" w:rsidP="002D015D">
            <w:pPr>
              <w:tabs>
                <w:tab w:val="left" w:pos="57"/>
              </w:tabs>
              <w:overflowPunct w:val="0"/>
              <w:adjustRightInd w:val="0"/>
              <w:spacing w:before="80"/>
              <w:textAlignment w:val="baseline"/>
              <w:rPr>
                <w:rFonts w:cs="Arial"/>
                <w:sz w:val="18"/>
                <w:szCs w:val="20"/>
                <w:lang w:val="cs-CZ"/>
              </w:rPr>
            </w:pPr>
          </w:p>
          <w:p w:rsidR="003B6E11" w:rsidRPr="003B6E11" w:rsidRDefault="003B6E11" w:rsidP="002D015D">
            <w:pPr>
              <w:tabs>
                <w:tab w:val="left" w:pos="57"/>
              </w:tabs>
              <w:overflowPunct w:val="0"/>
              <w:adjustRightInd w:val="0"/>
              <w:spacing w:before="160"/>
              <w:textAlignment w:val="baseline"/>
              <w:rPr>
                <w:rFonts w:cs="Arial"/>
                <w:sz w:val="18"/>
                <w:szCs w:val="20"/>
                <w:lang w:val="cs-CZ"/>
              </w:rPr>
            </w:pPr>
            <w:r w:rsidRPr="003B6E11">
              <w:rPr>
                <w:lang w:val="cs-CZ"/>
              </w:rPr>
              <w:tab/>
            </w:r>
            <w:r w:rsidRPr="003B6E11">
              <w:rPr>
                <w:sz w:val="18"/>
                <w:lang w:val="cs-CZ"/>
              </w:rPr>
              <w:t>*)</w:t>
            </w:r>
          </w:p>
        </w:tc>
        <w:tc>
          <w:tcPr>
            <w:tcW w:w="8902" w:type="dxa"/>
            <w:tcBorders>
              <w:bottom w:val="single" w:sz="6" w:space="0" w:color="auto"/>
              <w:right w:val="single" w:sz="6" w:space="0" w:color="auto"/>
            </w:tcBorders>
          </w:tcPr>
          <w:p w:rsidR="003B6E11" w:rsidRPr="003B6E11" w:rsidRDefault="003B6E11" w:rsidP="002D015D">
            <w:pPr>
              <w:tabs>
                <w:tab w:val="left" w:pos="57"/>
                <w:tab w:val="left" w:leader="dot" w:pos="3686"/>
              </w:tabs>
              <w:overflowPunct w:val="0"/>
              <w:adjustRightInd w:val="0"/>
              <w:spacing w:before="80" w:after="80"/>
              <w:ind w:left="57" w:right="57"/>
              <w:textAlignment w:val="baseline"/>
              <w:rPr>
                <w:rFonts w:cs="Arial"/>
                <w:sz w:val="18"/>
                <w:szCs w:val="20"/>
                <w:lang w:val="cs-CZ"/>
              </w:rPr>
            </w:pPr>
            <w:r w:rsidRPr="003B6E11">
              <w:rPr>
                <w:noProof/>
                <w:sz w:val="18"/>
                <w:lang w:val="cs-CZ"/>
              </w:rPr>
              <w:t>Změna bodu (bodů): ....................</w:t>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noProof/>
                <w:sz w:val="18"/>
                <w:lang w:val="cs-CZ"/>
              </w:rPr>
              <w:t>Nový text:</w:t>
            </w:r>
            <w:r w:rsidRPr="003B6E11">
              <w:rPr>
                <w:lang w:val="cs-CZ"/>
              </w:rPr>
              <w:tab/>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lang w:val="cs-CZ"/>
              </w:rPr>
              <w:tab/>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lang w:val="cs-CZ"/>
              </w:rPr>
              <w:tab/>
            </w:r>
          </w:p>
          <w:p w:rsidR="003B6E11" w:rsidRPr="003B6E11" w:rsidRDefault="003B6E11" w:rsidP="002D015D">
            <w:pPr>
              <w:tabs>
                <w:tab w:val="left" w:leader="dot" w:pos="4536"/>
                <w:tab w:val="center" w:pos="6862"/>
              </w:tabs>
              <w:overflowPunct w:val="0"/>
              <w:adjustRightInd w:val="0"/>
              <w:spacing w:after="80"/>
              <w:ind w:left="57" w:right="57"/>
              <w:textAlignment w:val="baseline"/>
              <w:rPr>
                <w:rFonts w:cs="Arial"/>
                <w:sz w:val="18"/>
                <w:szCs w:val="20"/>
                <w:lang w:val="cs-CZ"/>
              </w:rPr>
            </w:pPr>
            <w:r w:rsidRPr="003B6E11">
              <w:rPr>
                <w:sz w:val="18"/>
                <w:lang w:val="cs-CZ"/>
              </w:rPr>
              <w:t>Tato stránka byla nahrazena.</w:t>
            </w:r>
          </w:p>
          <w:p w:rsidR="003B6E11" w:rsidRPr="003B6E11" w:rsidRDefault="003B6E11" w:rsidP="002D015D">
            <w:pPr>
              <w:tabs>
                <w:tab w:val="left" w:leader="dot" w:pos="4536"/>
                <w:tab w:val="center" w:pos="6862"/>
              </w:tabs>
              <w:overflowPunct w:val="0"/>
              <w:adjustRightInd w:val="0"/>
              <w:spacing w:after="80"/>
              <w:ind w:left="57" w:right="57"/>
              <w:textAlignment w:val="baseline"/>
              <w:rPr>
                <w:rFonts w:cs="Arial"/>
                <w:sz w:val="18"/>
                <w:szCs w:val="20"/>
                <w:lang w:val="cs-CZ"/>
              </w:rPr>
            </w:pPr>
            <w:r w:rsidRPr="003B6E11">
              <w:rPr>
                <w:sz w:val="18"/>
                <w:lang w:val="cs-CZ"/>
              </w:rPr>
              <w:t xml:space="preserve">Místo, datum </w:t>
            </w:r>
            <w:r w:rsidRPr="003B6E11">
              <w:rPr>
                <w:lang w:val="cs-CZ"/>
              </w:rPr>
              <w:tab/>
            </w:r>
            <w:r w:rsidRPr="003B6E11">
              <w:rPr>
                <w:lang w:val="cs-CZ"/>
              </w:rPr>
              <w:tab/>
            </w:r>
            <w:r w:rsidRPr="003B6E11">
              <w:rPr>
                <w:sz w:val="18"/>
                <w:lang w:val="cs-CZ"/>
              </w:rPr>
              <w:t>Subjekt pověřený prohlídkami</w:t>
            </w:r>
          </w:p>
          <w:p w:rsidR="003B6E11" w:rsidRPr="003B6E11" w:rsidRDefault="003B6E11" w:rsidP="002D015D">
            <w:pPr>
              <w:tabs>
                <w:tab w:val="left" w:pos="5103"/>
                <w:tab w:val="left" w:leader="dot" w:pos="8505"/>
              </w:tabs>
              <w:overflowPunct w:val="0"/>
              <w:adjustRightInd w:val="0"/>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1701"/>
              </w:tabs>
              <w:overflowPunct w:val="0"/>
              <w:adjustRightInd w:val="0"/>
              <w:spacing w:after="80"/>
              <w:textAlignment w:val="baseline"/>
              <w:rPr>
                <w:rFonts w:cs="Arial"/>
                <w:sz w:val="18"/>
                <w:szCs w:val="20"/>
                <w:lang w:val="cs-CZ"/>
              </w:rPr>
            </w:pPr>
            <w:r w:rsidRPr="003B6E11">
              <w:rPr>
                <w:lang w:val="cs-CZ"/>
              </w:rPr>
              <w:tab/>
            </w:r>
            <w:r w:rsidRPr="003B6E11">
              <w:rPr>
                <w:sz w:val="18"/>
                <w:lang w:val="cs-CZ"/>
              </w:rPr>
              <w:t>Razítko</w:t>
            </w:r>
          </w:p>
          <w:p w:rsidR="003B6E11" w:rsidRPr="003B6E11" w:rsidRDefault="003B6E11" w:rsidP="002D015D">
            <w:pPr>
              <w:tabs>
                <w:tab w:val="left" w:pos="5103"/>
                <w:tab w:val="left" w:leader="dot" w:pos="8505"/>
              </w:tabs>
              <w:overflowPunct w:val="0"/>
              <w:adjustRightInd w:val="0"/>
              <w:textAlignment w:val="baseline"/>
              <w:rPr>
                <w:rFonts w:cs="Arial"/>
                <w:szCs w:val="20"/>
                <w:lang w:val="cs-CZ"/>
              </w:rPr>
            </w:pPr>
            <w:r w:rsidRPr="003B6E11">
              <w:rPr>
                <w:lang w:val="cs-CZ"/>
              </w:rPr>
              <w:tab/>
            </w:r>
            <w:r w:rsidRPr="003B6E11">
              <w:rPr>
                <w:lang w:val="cs-CZ"/>
              </w:rPr>
              <w:tab/>
            </w:r>
          </w:p>
          <w:p w:rsidR="003B6E11" w:rsidRPr="003B6E11" w:rsidRDefault="003B6E11" w:rsidP="002D015D">
            <w:pPr>
              <w:tabs>
                <w:tab w:val="center" w:pos="6862"/>
              </w:tabs>
              <w:overflowPunct w:val="0"/>
              <w:adjustRightInd w:val="0"/>
              <w:textAlignment w:val="baseline"/>
              <w:rPr>
                <w:rFonts w:cs="Arial"/>
                <w:sz w:val="16"/>
                <w:szCs w:val="20"/>
                <w:lang w:val="cs-CZ"/>
              </w:rPr>
            </w:pPr>
            <w:r w:rsidRPr="003B6E11">
              <w:rPr>
                <w:lang w:val="cs-CZ"/>
              </w:rPr>
              <w:tab/>
            </w:r>
            <w:r w:rsidRPr="003B6E11">
              <w:rPr>
                <w:sz w:val="16"/>
                <w:lang w:val="cs-CZ"/>
              </w:rPr>
              <w:t>(podpis)</w:t>
            </w:r>
          </w:p>
          <w:p w:rsidR="003B6E11" w:rsidRPr="003B6E11" w:rsidRDefault="003B6E11" w:rsidP="002D015D">
            <w:pPr>
              <w:tabs>
                <w:tab w:val="left" w:pos="113"/>
                <w:tab w:val="left" w:pos="397"/>
                <w:tab w:val="left" w:pos="6237"/>
                <w:tab w:val="left" w:leader="dot" w:pos="9356"/>
              </w:tabs>
              <w:overflowPunct w:val="0"/>
              <w:adjustRightInd w:val="0"/>
              <w:textAlignment w:val="baseline"/>
              <w:rPr>
                <w:rFonts w:cs="Arial"/>
                <w:sz w:val="16"/>
                <w:szCs w:val="20"/>
                <w:lang w:val="cs-CZ"/>
              </w:rPr>
            </w:pPr>
            <w:r w:rsidRPr="003B6E11">
              <w:rPr>
                <w:sz w:val="18"/>
                <w:lang w:val="cs-CZ"/>
              </w:rPr>
              <w:t>_______________________</w:t>
            </w:r>
          </w:p>
          <w:p w:rsidR="003B6E11" w:rsidRPr="003B6E11" w:rsidRDefault="003B6E11" w:rsidP="002D015D">
            <w:pPr>
              <w:tabs>
                <w:tab w:val="left" w:pos="284"/>
              </w:tabs>
              <w:overflowPunct w:val="0"/>
              <w:adjustRightInd w:val="0"/>
              <w:spacing w:after="40"/>
              <w:ind w:left="57"/>
              <w:textAlignment w:val="baseline"/>
              <w:rPr>
                <w:rFonts w:cs="Arial"/>
                <w:sz w:val="18"/>
                <w:szCs w:val="20"/>
                <w:lang w:val="cs-CZ"/>
              </w:rPr>
            </w:pPr>
            <w:r w:rsidRPr="003B6E11">
              <w:rPr>
                <w:position w:val="4"/>
                <w:sz w:val="16"/>
                <w:lang w:val="cs-CZ"/>
              </w:rPr>
              <w:t>*)</w:t>
            </w:r>
            <w:r w:rsidRPr="003B6E11">
              <w:rPr>
                <w:lang w:val="cs-CZ"/>
              </w:rPr>
              <w:tab/>
            </w:r>
            <w:r w:rsidRPr="003B6E11">
              <w:rPr>
                <w:sz w:val="16"/>
                <w:lang w:val="cs-CZ"/>
              </w:rPr>
              <w:t>Nehodící se škrtněte.</w:t>
            </w:r>
          </w:p>
        </w:tc>
      </w:tr>
    </w:tbl>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tabs>
          <w:tab w:val="left" w:leader="dot" w:pos="2835"/>
          <w:tab w:val="left" w:leader="dot" w:pos="5103"/>
        </w:tabs>
        <w:overflowPunct w:val="0"/>
        <w:adjustRightInd w:val="0"/>
        <w:textAlignment w:val="baseline"/>
        <w:rPr>
          <w:rFonts w:cs="Arial"/>
          <w:szCs w:val="20"/>
          <w:lang w:val="cs-CZ"/>
        </w:rPr>
      </w:pPr>
      <w:r w:rsidRPr="003B6E11">
        <w:rPr>
          <w:lang w:val="cs-CZ"/>
        </w:rPr>
        <w:br w:type="page"/>
        <w:t xml:space="preserve">Osvědčení plavidla vnitrozemské plavby č. </w:t>
      </w:r>
      <w:r w:rsidRPr="003B6E11">
        <w:rPr>
          <w:lang w:val="cs-CZ"/>
        </w:rPr>
        <w:tab/>
        <w:t xml:space="preserve"> vydané subjektem pověřeným prohlídkami </w:t>
      </w:r>
      <w:r w:rsidRPr="003B6E11">
        <w:rPr>
          <w:lang w:val="cs-CZ"/>
        </w:rPr>
        <w:tab/>
      </w:r>
    </w:p>
    <w:tbl>
      <w:tblPr>
        <w:tblW w:w="9188" w:type="dxa"/>
        <w:jc w:val="center"/>
        <w:tblLayout w:type="fixed"/>
        <w:tblCellMar>
          <w:left w:w="0" w:type="dxa"/>
          <w:right w:w="0" w:type="dxa"/>
        </w:tblCellMar>
        <w:tblLook w:val="0000" w:firstRow="0" w:lastRow="0" w:firstColumn="0" w:lastColumn="0" w:noHBand="0" w:noVBand="0"/>
      </w:tblPr>
      <w:tblGrid>
        <w:gridCol w:w="284"/>
        <w:gridCol w:w="567"/>
        <w:gridCol w:w="794"/>
        <w:gridCol w:w="794"/>
        <w:gridCol w:w="794"/>
        <w:gridCol w:w="794"/>
        <w:gridCol w:w="794"/>
        <w:gridCol w:w="794"/>
        <w:gridCol w:w="851"/>
        <w:gridCol w:w="851"/>
        <w:gridCol w:w="1701"/>
        <w:gridCol w:w="170"/>
      </w:tblGrid>
      <w:tr w:rsidR="003B6E11" w:rsidRPr="003B6E11" w:rsidTr="002D015D">
        <w:trPr>
          <w:cantSplit/>
          <w:jc w:val="center"/>
        </w:trPr>
        <w:tc>
          <w:tcPr>
            <w:tcW w:w="284" w:type="dxa"/>
            <w:tcBorders>
              <w:top w:val="single" w:sz="6" w:space="0" w:color="auto"/>
              <w:left w:val="single" w:sz="6" w:space="0" w:color="auto"/>
            </w:tcBorders>
          </w:tcPr>
          <w:p w:rsidR="003B6E11" w:rsidRPr="003B6E11" w:rsidRDefault="003B6E11" w:rsidP="002D015D">
            <w:pPr>
              <w:tabs>
                <w:tab w:val="left" w:pos="57"/>
                <w:tab w:val="left" w:pos="227"/>
              </w:tabs>
              <w:overflowPunct w:val="0"/>
              <w:adjustRightInd w:val="0"/>
              <w:spacing w:before="80"/>
              <w:textAlignment w:val="baseline"/>
              <w:rPr>
                <w:rFonts w:cs="Arial"/>
                <w:sz w:val="18"/>
                <w:szCs w:val="20"/>
                <w:lang w:val="cs-CZ"/>
              </w:rPr>
            </w:pPr>
            <w:r w:rsidRPr="003B6E11">
              <w:rPr>
                <w:sz w:val="18"/>
                <w:lang w:val="cs-CZ"/>
              </w:rPr>
              <w:t>15.</w:t>
            </w:r>
          </w:p>
        </w:tc>
        <w:tc>
          <w:tcPr>
            <w:tcW w:w="8904" w:type="dxa"/>
            <w:gridSpan w:val="11"/>
            <w:tcBorders>
              <w:top w:val="single" w:sz="6" w:space="0" w:color="auto"/>
              <w:right w:val="single" w:sz="6" w:space="0" w:color="auto"/>
            </w:tcBorders>
          </w:tcPr>
          <w:p w:rsidR="003B6E11" w:rsidRPr="003B6E11" w:rsidRDefault="003B6E11" w:rsidP="002D015D">
            <w:pPr>
              <w:tabs>
                <w:tab w:val="left" w:pos="57"/>
                <w:tab w:val="left" w:pos="340"/>
                <w:tab w:val="left" w:leader="dot" w:pos="8505"/>
              </w:tabs>
              <w:overflowPunct w:val="0"/>
              <w:adjustRightInd w:val="0"/>
              <w:spacing w:before="80"/>
              <w:ind w:left="57" w:right="113" w:hanging="57"/>
              <w:textAlignment w:val="baseline"/>
              <w:rPr>
                <w:rFonts w:cs="Arial"/>
                <w:sz w:val="18"/>
                <w:szCs w:val="20"/>
                <w:lang w:val="cs-CZ"/>
              </w:rPr>
            </w:pPr>
            <w:r w:rsidRPr="003B6E11">
              <w:rPr>
                <w:lang w:val="cs-CZ"/>
              </w:rPr>
              <w:tab/>
              <w:t>Povolené tvary sestav</w:t>
            </w:r>
            <w:r w:rsidRPr="003B6E11">
              <w:rPr>
                <w:lang w:val="cs-CZ"/>
              </w:rPr>
              <w:br/>
              <w:t>1.</w:t>
            </w:r>
            <w:r w:rsidRPr="003B6E11">
              <w:rPr>
                <w:lang w:val="cs-CZ"/>
              </w:rPr>
              <w:tab/>
              <w:t>Plavidlo je schváleno k vedení sestav těchto tvarů:</w:t>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113"/>
                <w:tab w:val="left" w:pos="567"/>
                <w:tab w:val="left" w:pos="851"/>
                <w:tab w:val="left" w:pos="1247"/>
              </w:tabs>
              <w:overflowPunct w:val="0"/>
              <w:adjustRightInd w:val="0"/>
              <w:spacing w:line="180" w:lineRule="exact"/>
              <w:textAlignment w:val="baseline"/>
              <w:rPr>
                <w:rFonts w:cs="Arial"/>
                <w:sz w:val="18"/>
                <w:szCs w:val="20"/>
                <w:lang w:val="cs-CZ"/>
              </w:rPr>
            </w:pPr>
          </w:p>
        </w:tc>
        <w:tc>
          <w:tcPr>
            <w:tcW w:w="567" w:type="dxa"/>
            <w:tcBorders>
              <w:top w:val="single" w:sz="6" w:space="0" w:color="auto"/>
              <w:left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spacing w:line="180" w:lineRule="exact"/>
              <w:jc w:val="center"/>
              <w:textAlignment w:val="baseline"/>
              <w:rPr>
                <w:rFonts w:cs="Arial"/>
                <w:sz w:val="18"/>
                <w:szCs w:val="20"/>
                <w:lang w:val="cs-CZ"/>
              </w:rPr>
            </w:pPr>
            <w:r w:rsidRPr="003B6E11">
              <w:rPr>
                <w:sz w:val="16"/>
                <w:lang w:val="cs-CZ"/>
              </w:rPr>
              <w:t>Tvar sestavy</w:t>
            </w:r>
          </w:p>
        </w:tc>
        <w:tc>
          <w:tcPr>
            <w:tcW w:w="8167" w:type="dxa"/>
            <w:gridSpan w:val="9"/>
            <w:tcBorders>
              <w:top w:val="single" w:sz="6" w:space="0" w:color="auto"/>
              <w:left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spacing w:line="180" w:lineRule="exact"/>
              <w:jc w:val="center"/>
              <w:textAlignment w:val="baseline"/>
              <w:rPr>
                <w:rFonts w:cs="Arial"/>
                <w:sz w:val="18"/>
                <w:szCs w:val="20"/>
                <w:lang w:val="cs-CZ"/>
              </w:rPr>
            </w:pPr>
            <w:r w:rsidRPr="003B6E11">
              <w:rPr>
                <w:sz w:val="18"/>
                <w:lang w:val="cs-CZ"/>
              </w:rPr>
              <w:t>Omezení vyplývající z kapitol 5 a 21</w:t>
            </w:r>
          </w:p>
        </w:tc>
        <w:tc>
          <w:tcPr>
            <w:tcW w:w="170" w:type="dxa"/>
            <w:tcBorders>
              <w:left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spacing w:line="180" w:lineRule="exact"/>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113"/>
                <w:tab w:val="left" w:pos="567"/>
                <w:tab w:val="left" w:pos="851"/>
                <w:tab w:val="left" w:pos="1247"/>
              </w:tabs>
              <w:overflowPunct w:val="0"/>
              <w:adjustRightInd w:val="0"/>
              <w:spacing w:line="180" w:lineRule="exact"/>
              <w:textAlignment w:val="baseline"/>
              <w:rPr>
                <w:rFonts w:cs="Arial"/>
                <w:sz w:val="18"/>
                <w:szCs w:val="20"/>
                <w:lang w:val="cs-CZ"/>
              </w:rPr>
            </w:pPr>
          </w:p>
        </w:tc>
        <w:tc>
          <w:tcPr>
            <w:tcW w:w="567" w:type="dxa"/>
            <w:tcBorders>
              <w:left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spacing w:line="180" w:lineRule="exact"/>
              <w:textAlignment w:val="baseline"/>
              <w:rPr>
                <w:rFonts w:cs="Arial"/>
                <w:sz w:val="18"/>
                <w:szCs w:val="20"/>
                <w:lang w:val="cs-CZ"/>
              </w:rPr>
            </w:pPr>
          </w:p>
        </w:tc>
        <w:tc>
          <w:tcPr>
            <w:tcW w:w="1588" w:type="dxa"/>
            <w:gridSpan w:val="2"/>
            <w:tcBorders>
              <w:top w:val="single" w:sz="6" w:space="0" w:color="auto"/>
              <w:left w:val="single" w:sz="6" w:space="0" w:color="auto"/>
            </w:tcBorders>
          </w:tcPr>
          <w:p w:rsidR="003B6E11" w:rsidRPr="003B6E11" w:rsidRDefault="003B6E11" w:rsidP="002D015D">
            <w:pPr>
              <w:tabs>
                <w:tab w:val="left" w:pos="113"/>
                <w:tab w:val="left" w:pos="567"/>
                <w:tab w:val="left" w:pos="851"/>
                <w:tab w:val="left" w:pos="1247"/>
              </w:tabs>
              <w:overflowPunct w:val="0"/>
              <w:adjustRightInd w:val="0"/>
              <w:spacing w:line="180" w:lineRule="exact"/>
              <w:jc w:val="center"/>
              <w:textAlignment w:val="baseline"/>
              <w:rPr>
                <w:rFonts w:cs="Arial"/>
                <w:sz w:val="18"/>
                <w:szCs w:val="20"/>
                <w:lang w:val="cs-CZ"/>
              </w:rPr>
            </w:pPr>
            <w:r w:rsidRPr="003B6E11">
              <w:rPr>
                <w:sz w:val="18"/>
                <w:lang w:val="cs-CZ"/>
              </w:rPr>
              <w:t>Max. rozměry</w:t>
            </w:r>
          </w:p>
        </w:tc>
        <w:tc>
          <w:tcPr>
            <w:tcW w:w="3176" w:type="dxa"/>
            <w:gridSpan w:val="4"/>
            <w:tcBorders>
              <w:top w:val="single" w:sz="6" w:space="0" w:color="auto"/>
              <w:left w:val="single" w:sz="12" w:space="0" w:color="auto"/>
              <w:right w:val="single" w:sz="12" w:space="0" w:color="auto"/>
            </w:tcBorders>
          </w:tcPr>
          <w:p w:rsidR="003B6E11" w:rsidRPr="003B6E11" w:rsidRDefault="003B6E11" w:rsidP="002D015D">
            <w:pPr>
              <w:tabs>
                <w:tab w:val="left" w:pos="113"/>
                <w:tab w:val="left" w:pos="567"/>
                <w:tab w:val="left" w:pos="851"/>
                <w:tab w:val="left" w:pos="1247"/>
              </w:tabs>
              <w:overflowPunct w:val="0"/>
              <w:adjustRightInd w:val="0"/>
              <w:spacing w:line="180" w:lineRule="exact"/>
              <w:jc w:val="center"/>
              <w:textAlignment w:val="baseline"/>
              <w:rPr>
                <w:rFonts w:cs="Arial"/>
                <w:sz w:val="18"/>
                <w:szCs w:val="20"/>
                <w:lang w:val="cs-CZ"/>
              </w:rPr>
            </w:pPr>
            <w:r w:rsidRPr="003B6E11">
              <w:rPr>
                <w:sz w:val="18"/>
                <w:lang w:val="cs-CZ"/>
              </w:rPr>
              <w:t>Směr plavby a stav naložení</w:t>
            </w:r>
          </w:p>
        </w:tc>
        <w:tc>
          <w:tcPr>
            <w:tcW w:w="1702" w:type="dxa"/>
            <w:gridSpan w:val="2"/>
            <w:tcBorders>
              <w:top w:val="single" w:sz="6" w:space="0" w:color="auto"/>
              <w:left w:val="single" w:sz="12" w:space="0" w:color="auto"/>
              <w:right w:val="single" w:sz="12" w:space="0" w:color="auto"/>
            </w:tcBorders>
          </w:tcPr>
          <w:p w:rsidR="003B6E11" w:rsidRPr="003B6E11" w:rsidRDefault="003B6E11" w:rsidP="002D015D">
            <w:pPr>
              <w:rPr>
                <w:lang w:val="cs-CZ"/>
              </w:rPr>
            </w:pPr>
            <w:r w:rsidRPr="003B6E11">
              <w:rPr>
                <w:lang w:val="cs-CZ"/>
              </w:rPr>
              <w:t>Max. smočená</w:t>
            </w:r>
          </w:p>
        </w:tc>
        <w:tc>
          <w:tcPr>
            <w:tcW w:w="1701" w:type="dxa"/>
            <w:tcBorders>
              <w:top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spacing w:line="180" w:lineRule="exact"/>
              <w:jc w:val="center"/>
              <w:textAlignment w:val="baseline"/>
              <w:rPr>
                <w:rFonts w:cs="Arial"/>
                <w:sz w:val="18"/>
                <w:szCs w:val="20"/>
                <w:lang w:val="cs-CZ"/>
              </w:rPr>
            </w:pPr>
          </w:p>
        </w:tc>
        <w:tc>
          <w:tcPr>
            <w:tcW w:w="170" w:type="dxa"/>
            <w:tcBorders>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spacing w:line="180" w:lineRule="exact"/>
              <w:jc w:val="center"/>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113"/>
                <w:tab w:val="left" w:pos="567"/>
                <w:tab w:val="left" w:pos="851"/>
                <w:tab w:val="left" w:pos="1247"/>
              </w:tabs>
              <w:overflowPunct w:val="0"/>
              <w:adjustRightInd w:val="0"/>
              <w:spacing w:line="180" w:lineRule="exact"/>
              <w:textAlignment w:val="baseline"/>
              <w:rPr>
                <w:rFonts w:cs="Arial"/>
                <w:sz w:val="18"/>
                <w:szCs w:val="20"/>
                <w:lang w:val="cs-CZ"/>
              </w:rPr>
            </w:pPr>
          </w:p>
        </w:tc>
        <w:tc>
          <w:tcPr>
            <w:tcW w:w="567" w:type="dxa"/>
            <w:tcBorders>
              <w:left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spacing w:line="180" w:lineRule="exact"/>
              <w:jc w:val="center"/>
              <w:textAlignment w:val="baseline"/>
              <w:rPr>
                <w:rFonts w:cs="Arial"/>
                <w:sz w:val="16"/>
                <w:szCs w:val="20"/>
                <w:lang w:val="cs-CZ"/>
              </w:rPr>
            </w:pPr>
          </w:p>
        </w:tc>
        <w:tc>
          <w:tcPr>
            <w:tcW w:w="1588" w:type="dxa"/>
            <w:gridSpan w:val="2"/>
            <w:tcBorders>
              <w:left w:val="single" w:sz="6" w:space="0" w:color="auto"/>
            </w:tcBorders>
          </w:tcPr>
          <w:p w:rsidR="003B6E11" w:rsidRPr="003B6E11" w:rsidRDefault="003B6E11" w:rsidP="002D015D">
            <w:pPr>
              <w:tabs>
                <w:tab w:val="left" w:pos="113"/>
                <w:tab w:val="left" w:pos="567"/>
                <w:tab w:val="left" w:pos="851"/>
                <w:tab w:val="left" w:pos="1247"/>
              </w:tabs>
              <w:overflowPunct w:val="0"/>
              <w:adjustRightInd w:val="0"/>
              <w:spacing w:line="180" w:lineRule="exact"/>
              <w:jc w:val="center"/>
              <w:textAlignment w:val="baseline"/>
              <w:rPr>
                <w:rFonts w:cs="Arial"/>
                <w:sz w:val="18"/>
                <w:szCs w:val="20"/>
                <w:lang w:val="cs-CZ"/>
              </w:rPr>
            </w:pPr>
            <w:r w:rsidRPr="003B6E11">
              <w:rPr>
                <w:sz w:val="18"/>
                <w:lang w:val="cs-CZ"/>
              </w:rPr>
              <w:t>m</w:t>
            </w:r>
          </w:p>
        </w:tc>
        <w:tc>
          <w:tcPr>
            <w:tcW w:w="1588" w:type="dxa"/>
            <w:gridSpan w:val="2"/>
            <w:tcBorders>
              <w:left w:val="single" w:sz="12" w:space="0" w:color="auto"/>
              <w:right w:val="single" w:sz="12" w:space="0" w:color="auto"/>
            </w:tcBorders>
          </w:tcPr>
          <w:p w:rsidR="003B6E11" w:rsidRPr="003B6E11" w:rsidRDefault="003B6E11" w:rsidP="002D015D">
            <w:pPr>
              <w:tabs>
                <w:tab w:val="left" w:pos="113"/>
                <w:tab w:val="left" w:pos="567"/>
                <w:tab w:val="left" w:pos="851"/>
                <w:tab w:val="left" w:pos="1247"/>
              </w:tabs>
              <w:overflowPunct w:val="0"/>
              <w:adjustRightInd w:val="0"/>
              <w:spacing w:line="180" w:lineRule="exact"/>
              <w:jc w:val="center"/>
              <w:textAlignment w:val="baseline"/>
              <w:rPr>
                <w:rFonts w:cs="Arial"/>
                <w:sz w:val="18"/>
                <w:szCs w:val="20"/>
                <w:lang w:val="cs-CZ"/>
              </w:rPr>
            </w:pPr>
            <w:r w:rsidRPr="003B6E11">
              <w:rPr>
                <w:sz w:val="18"/>
                <w:lang w:val="cs-CZ"/>
              </w:rPr>
              <w:t>PROTI PROUDU</w:t>
            </w:r>
          </w:p>
        </w:tc>
        <w:tc>
          <w:tcPr>
            <w:tcW w:w="1588" w:type="dxa"/>
            <w:gridSpan w:val="2"/>
            <w:tcBorders>
              <w:left w:val="single" w:sz="12" w:space="0" w:color="auto"/>
              <w:right w:val="single" w:sz="12" w:space="0" w:color="auto"/>
            </w:tcBorders>
          </w:tcPr>
          <w:p w:rsidR="003B6E11" w:rsidRPr="003B6E11" w:rsidRDefault="003B6E11" w:rsidP="002D015D">
            <w:pPr>
              <w:rPr>
                <w:lang w:val="cs-CZ"/>
              </w:rPr>
            </w:pPr>
            <w:r w:rsidRPr="003B6E11">
              <w:rPr>
                <w:lang w:val="cs-CZ"/>
              </w:rPr>
              <w:t>plocha v m²</w:t>
            </w:r>
          </w:p>
        </w:tc>
        <w:tc>
          <w:tcPr>
            <w:tcW w:w="1702" w:type="dxa"/>
            <w:gridSpan w:val="2"/>
            <w:tcBorders>
              <w:right w:val="single" w:sz="12" w:space="0" w:color="auto"/>
            </w:tcBorders>
          </w:tcPr>
          <w:p w:rsidR="003B6E11" w:rsidRPr="003B6E11" w:rsidRDefault="003B6E11" w:rsidP="002D015D">
            <w:pPr>
              <w:tabs>
                <w:tab w:val="left" w:pos="113"/>
                <w:tab w:val="left" w:pos="567"/>
                <w:tab w:val="left" w:pos="851"/>
                <w:tab w:val="left" w:pos="1247"/>
              </w:tabs>
              <w:overflowPunct w:val="0"/>
              <w:adjustRightInd w:val="0"/>
              <w:spacing w:line="180" w:lineRule="exact"/>
              <w:jc w:val="center"/>
              <w:textAlignment w:val="baseline"/>
              <w:rPr>
                <w:rFonts w:cs="Arial"/>
                <w:sz w:val="18"/>
                <w:szCs w:val="20"/>
                <w:lang w:val="cs-CZ"/>
              </w:rPr>
            </w:pPr>
            <w:r w:rsidRPr="003B6E11">
              <w:rPr>
                <w:sz w:val="18"/>
                <w:lang w:val="cs-CZ"/>
              </w:rPr>
              <w:t>max. v m</w:t>
            </w:r>
            <w:r w:rsidRPr="003B6E11">
              <w:rPr>
                <w:position w:val="6"/>
                <w:sz w:val="12"/>
                <w:lang w:val="cs-CZ"/>
              </w:rPr>
              <w:t>2</w:t>
            </w:r>
          </w:p>
        </w:tc>
        <w:tc>
          <w:tcPr>
            <w:tcW w:w="1701" w:type="dxa"/>
            <w:tcBorders>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spacing w:line="180" w:lineRule="exact"/>
              <w:jc w:val="center"/>
              <w:textAlignment w:val="baseline"/>
              <w:rPr>
                <w:rFonts w:cs="Arial"/>
                <w:sz w:val="18"/>
                <w:szCs w:val="20"/>
                <w:lang w:val="cs-CZ"/>
              </w:rPr>
            </w:pPr>
            <w:r w:rsidRPr="003B6E11">
              <w:rPr>
                <w:sz w:val="18"/>
                <w:lang w:val="cs-CZ"/>
              </w:rPr>
              <w:t>Poznámky</w:t>
            </w:r>
          </w:p>
        </w:tc>
        <w:tc>
          <w:tcPr>
            <w:tcW w:w="170" w:type="dxa"/>
            <w:tcBorders>
              <w:left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spacing w:line="180" w:lineRule="exact"/>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113"/>
                <w:tab w:val="left" w:pos="567"/>
                <w:tab w:val="left" w:pos="851"/>
                <w:tab w:val="left" w:pos="1247"/>
              </w:tabs>
              <w:overflowPunct w:val="0"/>
              <w:adjustRightInd w:val="0"/>
              <w:spacing w:line="180" w:lineRule="exact"/>
              <w:textAlignment w:val="baseline"/>
              <w:rPr>
                <w:rFonts w:cs="Arial"/>
                <w:sz w:val="18"/>
                <w:szCs w:val="20"/>
                <w:lang w:val="cs-CZ"/>
              </w:rPr>
            </w:pPr>
          </w:p>
        </w:tc>
        <w:tc>
          <w:tcPr>
            <w:tcW w:w="567" w:type="dxa"/>
            <w:tcBorders>
              <w:left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spacing w:line="180" w:lineRule="exact"/>
              <w:jc w:val="center"/>
              <w:textAlignment w:val="baseline"/>
              <w:rPr>
                <w:rFonts w:cs="Arial"/>
                <w:sz w:val="16"/>
                <w:szCs w:val="20"/>
                <w:lang w:val="cs-CZ"/>
              </w:rPr>
            </w:pPr>
            <w:r w:rsidRPr="003B6E11">
              <w:rPr>
                <w:sz w:val="16"/>
                <w:lang w:val="cs-CZ"/>
              </w:rPr>
              <w:t>Č.</w:t>
            </w:r>
          </w:p>
        </w:tc>
        <w:tc>
          <w:tcPr>
            <w:tcW w:w="794" w:type="dxa"/>
            <w:tcBorders>
              <w:left w:val="single" w:sz="6" w:space="0" w:color="auto"/>
              <w:bottom w:val="single" w:sz="6" w:space="0" w:color="auto"/>
              <w:right w:val="single" w:sz="6" w:space="0" w:color="auto"/>
            </w:tcBorders>
          </w:tcPr>
          <w:p w:rsidR="003B6E11" w:rsidRPr="003B6E11" w:rsidRDefault="003B6E11" w:rsidP="002D015D">
            <w:pPr>
              <w:rPr>
                <w:lang w:val="cs-CZ"/>
              </w:rPr>
            </w:pPr>
            <w:r w:rsidRPr="003B6E11">
              <w:rPr>
                <w:lang w:val="cs-CZ"/>
              </w:rPr>
              <w:t>délka</w:t>
            </w:r>
          </w:p>
        </w:tc>
        <w:tc>
          <w:tcPr>
            <w:tcW w:w="794" w:type="dxa"/>
            <w:tcBorders>
              <w:left w:val="single" w:sz="6" w:space="0" w:color="auto"/>
              <w:bottom w:val="single" w:sz="6" w:space="0" w:color="auto"/>
            </w:tcBorders>
          </w:tcPr>
          <w:p w:rsidR="003B6E11" w:rsidRPr="003B6E11" w:rsidRDefault="003B6E11" w:rsidP="002D015D">
            <w:pPr>
              <w:rPr>
                <w:lang w:val="cs-CZ"/>
              </w:rPr>
            </w:pPr>
            <w:r w:rsidRPr="003B6E11">
              <w:rPr>
                <w:lang w:val="cs-CZ"/>
              </w:rPr>
              <w:t>šířka</w:t>
            </w:r>
          </w:p>
        </w:tc>
        <w:tc>
          <w:tcPr>
            <w:tcW w:w="794" w:type="dxa"/>
            <w:tcBorders>
              <w:left w:val="single" w:sz="12" w:space="0" w:color="auto"/>
              <w:bottom w:val="single" w:sz="6" w:space="0" w:color="auto"/>
              <w:right w:val="single" w:sz="6" w:space="0" w:color="auto"/>
            </w:tcBorders>
          </w:tcPr>
          <w:p w:rsidR="003B6E11" w:rsidRPr="003B6E11" w:rsidRDefault="003B6E11" w:rsidP="002D015D">
            <w:pPr>
              <w:rPr>
                <w:lang w:val="cs-CZ"/>
              </w:rPr>
            </w:pPr>
            <w:r w:rsidRPr="003B6E11">
              <w:rPr>
                <w:lang w:val="cs-CZ"/>
              </w:rPr>
              <w:t>naložená t</w:t>
            </w:r>
          </w:p>
        </w:tc>
        <w:tc>
          <w:tcPr>
            <w:tcW w:w="794" w:type="dxa"/>
            <w:tcBorders>
              <w:left w:val="single" w:sz="6" w:space="0" w:color="auto"/>
              <w:bottom w:val="single" w:sz="6" w:space="0" w:color="auto"/>
              <w:right w:val="single" w:sz="12" w:space="0" w:color="auto"/>
            </w:tcBorders>
          </w:tcPr>
          <w:p w:rsidR="003B6E11" w:rsidRPr="003B6E11" w:rsidRDefault="003B6E11" w:rsidP="002D015D">
            <w:pPr>
              <w:rPr>
                <w:lang w:val="cs-CZ"/>
              </w:rPr>
            </w:pPr>
            <w:r w:rsidRPr="003B6E11">
              <w:rPr>
                <w:lang w:val="cs-CZ"/>
              </w:rPr>
              <w:t>prázdná</w:t>
            </w:r>
          </w:p>
        </w:tc>
        <w:tc>
          <w:tcPr>
            <w:tcW w:w="794" w:type="dxa"/>
            <w:tcBorders>
              <w:bottom w:val="single" w:sz="6" w:space="0" w:color="auto"/>
              <w:right w:val="single" w:sz="6" w:space="0" w:color="auto"/>
            </w:tcBorders>
          </w:tcPr>
          <w:p w:rsidR="003B6E11" w:rsidRPr="003B6E11" w:rsidRDefault="003B6E11" w:rsidP="002D015D">
            <w:pPr>
              <w:rPr>
                <w:lang w:val="cs-CZ"/>
              </w:rPr>
            </w:pPr>
            <w:r w:rsidRPr="003B6E11">
              <w:rPr>
                <w:lang w:val="cs-CZ"/>
              </w:rPr>
              <w:t>naložená t</w:t>
            </w:r>
          </w:p>
        </w:tc>
        <w:tc>
          <w:tcPr>
            <w:tcW w:w="794" w:type="dxa"/>
            <w:tcBorders>
              <w:left w:val="single" w:sz="6" w:space="0" w:color="auto"/>
              <w:bottom w:val="single" w:sz="6" w:space="0" w:color="auto"/>
            </w:tcBorders>
          </w:tcPr>
          <w:p w:rsidR="003B6E11" w:rsidRPr="003B6E11" w:rsidRDefault="003B6E11" w:rsidP="002D015D">
            <w:pPr>
              <w:rPr>
                <w:lang w:val="cs-CZ"/>
              </w:rPr>
            </w:pPr>
            <w:r w:rsidRPr="003B6E11">
              <w:rPr>
                <w:lang w:val="cs-CZ"/>
              </w:rPr>
              <w:t>prázdná</w:t>
            </w:r>
          </w:p>
        </w:tc>
        <w:tc>
          <w:tcPr>
            <w:tcW w:w="851" w:type="dxa"/>
            <w:tcBorders>
              <w:left w:val="single" w:sz="12" w:space="0" w:color="auto"/>
              <w:bottom w:val="single" w:sz="6" w:space="0" w:color="auto"/>
              <w:right w:val="single" w:sz="6" w:space="0" w:color="auto"/>
            </w:tcBorders>
          </w:tcPr>
          <w:p w:rsidR="003B6E11" w:rsidRPr="003B6E11" w:rsidRDefault="003B6E11" w:rsidP="002D015D">
            <w:pPr>
              <w:rPr>
                <w:lang w:val="cs-CZ"/>
              </w:rPr>
            </w:pPr>
            <w:r w:rsidRPr="003B6E11">
              <w:rPr>
                <w:lang w:val="cs-CZ"/>
              </w:rPr>
              <w:t>proti proudu</w:t>
            </w:r>
          </w:p>
        </w:tc>
        <w:tc>
          <w:tcPr>
            <w:tcW w:w="851" w:type="dxa"/>
            <w:tcBorders>
              <w:left w:val="single" w:sz="6" w:space="0" w:color="auto"/>
              <w:bottom w:val="single" w:sz="6" w:space="0" w:color="auto"/>
              <w:right w:val="single" w:sz="12" w:space="0" w:color="auto"/>
            </w:tcBorders>
          </w:tcPr>
          <w:p w:rsidR="003B6E11" w:rsidRPr="003B6E11" w:rsidRDefault="003B6E11" w:rsidP="002D015D">
            <w:pPr>
              <w:rPr>
                <w:lang w:val="cs-CZ"/>
              </w:rPr>
            </w:pPr>
            <w:r w:rsidRPr="003B6E11">
              <w:rPr>
                <w:lang w:val="cs-CZ"/>
              </w:rPr>
              <w:t>po proudu</w:t>
            </w:r>
          </w:p>
        </w:tc>
        <w:tc>
          <w:tcPr>
            <w:tcW w:w="1701" w:type="dxa"/>
            <w:tcBorders>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spacing w:line="180" w:lineRule="exact"/>
              <w:jc w:val="center"/>
              <w:textAlignment w:val="baseline"/>
              <w:rPr>
                <w:rFonts w:cs="Arial"/>
                <w:sz w:val="18"/>
                <w:szCs w:val="20"/>
                <w:lang w:val="cs-CZ"/>
              </w:rPr>
            </w:pPr>
          </w:p>
        </w:tc>
        <w:tc>
          <w:tcPr>
            <w:tcW w:w="170" w:type="dxa"/>
            <w:tcBorders>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spacing w:line="180" w:lineRule="exact"/>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8"/>
                <w:szCs w:val="20"/>
                <w:lang w:val="cs-CZ"/>
              </w:rPr>
            </w:pPr>
          </w:p>
        </w:tc>
        <w:tc>
          <w:tcPr>
            <w:tcW w:w="567"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6"/>
                <w:szCs w:val="20"/>
                <w:lang w:val="cs-CZ"/>
              </w:rPr>
            </w:pPr>
          </w:p>
        </w:tc>
        <w:tc>
          <w:tcPr>
            <w:tcW w:w="794"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12"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right w:val="single" w:sz="12"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851" w:type="dxa"/>
            <w:tcBorders>
              <w:top w:val="single" w:sz="6" w:space="0" w:color="auto"/>
              <w:left w:val="single" w:sz="12"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851" w:type="dxa"/>
            <w:tcBorders>
              <w:top w:val="single" w:sz="6" w:space="0" w:color="auto"/>
              <w:left w:val="single" w:sz="6" w:space="0" w:color="auto"/>
              <w:bottom w:val="single" w:sz="6" w:space="0" w:color="auto"/>
              <w:right w:val="single" w:sz="12"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1701" w:type="dxa"/>
            <w:tcBorders>
              <w:top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170" w:type="dxa"/>
            <w:tcBorders>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8"/>
                <w:szCs w:val="20"/>
                <w:lang w:val="cs-CZ"/>
              </w:rPr>
            </w:pPr>
          </w:p>
        </w:tc>
        <w:tc>
          <w:tcPr>
            <w:tcW w:w="567"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6"/>
                <w:szCs w:val="20"/>
                <w:lang w:val="cs-CZ"/>
              </w:rPr>
            </w:pPr>
          </w:p>
        </w:tc>
        <w:tc>
          <w:tcPr>
            <w:tcW w:w="794"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12"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right w:val="single" w:sz="12"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851" w:type="dxa"/>
            <w:tcBorders>
              <w:top w:val="single" w:sz="6" w:space="0" w:color="auto"/>
              <w:left w:val="single" w:sz="12"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851" w:type="dxa"/>
            <w:tcBorders>
              <w:top w:val="single" w:sz="6" w:space="0" w:color="auto"/>
              <w:left w:val="single" w:sz="6" w:space="0" w:color="auto"/>
              <w:bottom w:val="single" w:sz="6" w:space="0" w:color="auto"/>
              <w:right w:val="single" w:sz="12"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1701" w:type="dxa"/>
            <w:tcBorders>
              <w:top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170" w:type="dxa"/>
            <w:tcBorders>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8"/>
                <w:szCs w:val="20"/>
                <w:lang w:val="cs-CZ"/>
              </w:rPr>
            </w:pPr>
          </w:p>
        </w:tc>
        <w:tc>
          <w:tcPr>
            <w:tcW w:w="567"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6"/>
                <w:szCs w:val="20"/>
                <w:lang w:val="cs-CZ"/>
              </w:rPr>
            </w:pPr>
          </w:p>
        </w:tc>
        <w:tc>
          <w:tcPr>
            <w:tcW w:w="794"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12"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right w:val="single" w:sz="12"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851" w:type="dxa"/>
            <w:tcBorders>
              <w:top w:val="single" w:sz="6" w:space="0" w:color="auto"/>
              <w:left w:val="single" w:sz="12"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851" w:type="dxa"/>
            <w:tcBorders>
              <w:top w:val="single" w:sz="6" w:space="0" w:color="auto"/>
              <w:left w:val="single" w:sz="6" w:space="0" w:color="auto"/>
              <w:bottom w:val="single" w:sz="6" w:space="0" w:color="auto"/>
              <w:right w:val="single" w:sz="12"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1701" w:type="dxa"/>
            <w:tcBorders>
              <w:top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170" w:type="dxa"/>
            <w:tcBorders>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8"/>
                <w:szCs w:val="20"/>
                <w:lang w:val="cs-CZ"/>
              </w:rPr>
            </w:pPr>
          </w:p>
        </w:tc>
        <w:tc>
          <w:tcPr>
            <w:tcW w:w="567"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6"/>
                <w:szCs w:val="20"/>
                <w:lang w:val="cs-CZ"/>
              </w:rPr>
            </w:pPr>
          </w:p>
        </w:tc>
        <w:tc>
          <w:tcPr>
            <w:tcW w:w="794"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12"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right w:val="single" w:sz="12"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851" w:type="dxa"/>
            <w:tcBorders>
              <w:top w:val="single" w:sz="6" w:space="0" w:color="auto"/>
              <w:left w:val="single" w:sz="12"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851" w:type="dxa"/>
            <w:tcBorders>
              <w:top w:val="single" w:sz="6" w:space="0" w:color="auto"/>
              <w:left w:val="single" w:sz="6" w:space="0" w:color="auto"/>
              <w:bottom w:val="single" w:sz="6" w:space="0" w:color="auto"/>
              <w:right w:val="single" w:sz="12"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1701" w:type="dxa"/>
            <w:tcBorders>
              <w:top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170" w:type="dxa"/>
            <w:tcBorders>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8"/>
                <w:szCs w:val="20"/>
                <w:lang w:val="cs-CZ"/>
              </w:rPr>
            </w:pPr>
          </w:p>
        </w:tc>
        <w:tc>
          <w:tcPr>
            <w:tcW w:w="567"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6"/>
                <w:szCs w:val="20"/>
                <w:lang w:val="cs-CZ"/>
              </w:rPr>
            </w:pPr>
          </w:p>
        </w:tc>
        <w:tc>
          <w:tcPr>
            <w:tcW w:w="794"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12"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right w:val="single" w:sz="12"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851" w:type="dxa"/>
            <w:tcBorders>
              <w:top w:val="single" w:sz="6" w:space="0" w:color="auto"/>
              <w:left w:val="single" w:sz="12"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851" w:type="dxa"/>
            <w:tcBorders>
              <w:top w:val="single" w:sz="6" w:space="0" w:color="auto"/>
              <w:left w:val="single" w:sz="6" w:space="0" w:color="auto"/>
              <w:bottom w:val="single" w:sz="6" w:space="0" w:color="auto"/>
              <w:right w:val="single" w:sz="12"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1701" w:type="dxa"/>
            <w:tcBorders>
              <w:top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170" w:type="dxa"/>
            <w:tcBorders>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8"/>
                <w:szCs w:val="20"/>
                <w:lang w:val="cs-CZ"/>
              </w:rPr>
            </w:pPr>
          </w:p>
        </w:tc>
        <w:tc>
          <w:tcPr>
            <w:tcW w:w="567"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6"/>
                <w:szCs w:val="20"/>
                <w:lang w:val="cs-CZ"/>
              </w:rPr>
            </w:pPr>
          </w:p>
        </w:tc>
        <w:tc>
          <w:tcPr>
            <w:tcW w:w="794"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12"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right w:val="single" w:sz="12"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851" w:type="dxa"/>
            <w:tcBorders>
              <w:top w:val="single" w:sz="6" w:space="0" w:color="auto"/>
              <w:left w:val="single" w:sz="12"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851" w:type="dxa"/>
            <w:tcBorders>
              <w:top w:val="single" w:sz="6" w:space="0" w:color="auto"/>
              <w:left w:val="single" w:sz="6" w:space="0" w:color="auto"/>
              <w:bottom w:val="single" w:sz="6" w:space="0" w:color="auto"/>
              <w:right w:val="single" w:sz="12"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1701" w:type="dxa"/>
            <w:tcBorders>
              <w:top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170" w:type="dxa"/>
            <w:tcBorders>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8"/>
                <w:szCs w:val="20"/>
                <w:lang w:val="cs-CZ"/>
              </w:rPr>
            </w:pPr>
          </w:p>
        </w:tc>
        <w:tc>
          <w:tcPr>
            <w:tcW w:w="567"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6"/>
                <w:szCs w:val="20"/>
                <w:lang w:val="cs-CZ"/>
              </w:rPr>
            </w:pPr>
          </w:p>
        </w:tc>
        <w:tc>
          <w:tcPr>
            <w:tcW w:w="794"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12"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right w:val="single" w:sz="12"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851" w:type="dxa"/>
            <w:tcBorders>
              <w:top w:val="single" w:sz="6" w:space="0" w:color="auto"/>
              <w:left w:val="single" w:sz="12"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851" w:type="dxa"/>
            <w:tcBorders>
              <w:top w:val="single" w:sz="6" w:space="0" w:color="auto"/>
              <w:left w:val="single" w:sz="6" w:space="0" w:color="auto"/>
              <w:bottom w:val="single" w:sz="6" w:space="0" w:color="auto"/>
              <w:right w:val="single" w:sz="12"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1701" w:type="dxa"/>
            <w:tcBorders>
              <w:top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170" w:type="dxa"/>
            <w:tcBorders>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8"/>
                <w:szCs w:val="20"/>
                <w:lang w:val="cs-CZ"/>
              </w:rPr>
            </w:pPr>
          </w:p>
        </w:tc>
        <w:tc>
          <w:tcPr>
            <w:tcW w:w="567"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6"/>
                <w:szCs w:val="20"/>
                <w:lang w:val="cs-CZ"/>
              </w:rPr>
            </w:pPr>
          </w:p>
        </w:tc>
        <w:tc>
          <w:tcPr>
            <w:tcW w:w="794"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12"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right w:val="single" w:sz="12"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851" w:type="dxa"/>
            <w:tcBorders>
              <w:top w:val="single" w:sz="6" w:space="0" w:color="auto"/>
              <w:left w:val="single" w:sz="12"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851" w:type="dxa"/>
            <w:tcBorders>
              <w:top w:val="single" w:sz="6" w:space="0" w:color="auto"/>
              <w:left w:val="single" w:sz="6" w:space="0" w:color="auto"/>
              <w:bottom w:val="single" w:sz="6" w:space="0" w:color="auto"/>
              <w:right w:val="single" w:sz="12"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1701" w:type="dxa"/>
            <w:tcBorders>
              <w:top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170" w:type="dxa"/>
            <w:tcBorders>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8"/>
                <w:szCs w:val="20"/>
                <w:lang w:val="cs-CZ"/>
              </w:rPr>
            </w:pPr>
          </w:p>
        </w:tc>
        <w:tc>
          <w:tcPr>
            <w:tcW w:w="567" w:type="dxa"/>
            <w:tcBorders>
              <w:top w:val="single" w:sz="6" w:space="0" w:color="auto"/>
              <w:left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6"/>
                <w:szCs w:val="20"/>
                <w:lang w:val="cs-CZ"/>
              </w:rPr>
            </w:pPr>
          </w:p>
        </w:tc>
        <w:tc>
          <w:tcPr>
            <w:tcW w:w="794" w:type="dxa"/>
            <w:tcBorders>
              <w:top w:val="single" w:sz="6" w:space="0" w:color="auto"/>
              <w:left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12"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right w:val="single" w:sz="12"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851" w:type="dxa"/>
            <w:tcBorders>
              <w:top w:val="single" w:sz="6" w:space="0" w:color="auto"/>
              <w:left w:val="single" w:sz="12"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851" w:type="dxa"/>
            <w:tcBorders>
              <w:top w:val="single" w:sz="6" w:space="0" w:color="auto"/>
              <w:left w:val="single" w:sz="6" w:space="0" w:color="auto"/>
              <w:right w:val="single" w:sz="12"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1701" w:type="dxa"/>
            <w:tcBorders>
              <w:top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170" w:type="dxa"/>
            <w:tcBorders>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8"/>
                <w:szCs w:val="20"/>
                <w:lang w:val="cs-CZ"/>
              </w:rPr>
            </w:pPr>
          </w:p>
        </w:tc>
        <w:tc>
          <w:tcPr>
            <w:tcW w:w="567"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6"/>
                <w:szCs w:val="20"/>
                <w:lang w:val="cs-CZ"/>
              </w:rPr>
            </w:pPr>
          </w:p>
        </w:tc>
        <w:tc>
          <w:tcPr>
            <w:tcW w:w="794"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12"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right w:val="single" w:sz="12"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794" w:type="dxa"/>
            <w:tcBorders>
              <w:top w:val="single" w:sz="6" w:space="0" w:color="auto"/>
              <w:left w:val="single" w:sz="6" w:space="0" w:color="auto"/>
              <w:bottom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851" w:type="dxa"/>
            <w:tcBorders>
              <w:top w:val="single" w:sz="6" w:space="0" w:color="auto"/>
              <w:left w:val="single" w:sz="12"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851" w:type="dxa"/>
            <w:tcBorders>
              <w:top w:val="single" w:sz="6" w:space="0" w:color="auto"/>
              <w:left w:val="single" w:sz="6" w:space="0" w:color="auto"/>
              <w:bottom w:val="single" w:sz="6" w:space="0" w:color="auto"/>
              <w:right w:val="single" w:sz="12"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1701" w:type="dxa"/>
            <w:tcBorders>
              <w:top w:val="single" w:sz="6" w:space="0" w:color="auto"/>
              <w:bottom w:val="single" w:sz="6" w:space="0" w:color="auto"/>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jc w:val="center"/>
              <w:textAlignment w:val="baseline"/>
              <w:rPr>
                <w:rFonts w:cs="Arial"/>
                <w:sz w:val="18"/>
                <w:szCs w:val="20"/>
                <w:lang w:val="cs-CZ"/>
              </w:rPr>
            </w:pPr>
          </w:p>
        </w:tc>
        <w:tc>
          <w:tcPr>
            <w:tcW w:w="170" w:type="dxa"/>
            <w:tcBorders>
              <w:right w:val="single" w:sz="6" w:space="0" w:color="auto"/>
            </w:tcBorders>
          </w:tcPr>
          <w:p w:rsidR="003B6E11" w:rsidRPr="003B6E11" w:rsidRDefault="003B6E11" w:rsidP="002D015D">
            <w:pPr>
              <w:tabs>
                <w:tab w:val="left" w:pos="113"/>
                <w:tab w:val="left" w:pos="567"/>
                <w:tab w:val="left" w:pos="851"/>
                <w:tab w:val="left" w:pos="1247"/>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8904" w:type="dxa"/>
            <w:gridSpan w:val="11"/>
            <w:tcBorders>
              <w:right w:val="single" w:sz="6" w:space="0" w:color="auto"/>
            </w:tcBorders>
          </w:tcPr>
          <w:p w:rsidR="003B6E11" w:rsidRPr="003B6E11" w:rsidRDefault="003B6E11" w:rsidP="002D015D">
            <w:pPr>
              <w:tabs>
                <w:tab w:val="left" w:pos="57"/>
                <w:tab w:val="left" w:pos="340"/>
                <w:tab w:val="left" w:leader="dot" w:pos="8505"/>
              </w:tabs>
              <w:overflowPunct w:val="0"/>
              <w:adjustRightInd w:val="0"/>
              <w:ind w:left="57" w:right="113" w:hanging="57"/>
              <w:textAlignment w:val="baseline"/>
              <w:rPr>
                <w:rFonts w:cs="Arial"/>
                <w:sz w:val="8"/>
                <w:szCs w:val="20"/>
                <w:lang w:val="cs-CZ"/>
              </w:rPr>
            </w:pPr>
          </w:p>
          <w:p w:rsidR="003B6E11" w:rsidRPr="003B6E11" w:rsidRDefault="003B6E11" w:rsidP="002D015D">
            <w:pPr>
              <w:tabs>
                <w:tab w:val="left" w:pos="57"/>
                <w:tab w:val="left" w:pos="340"/>
                <w:tab w:val="left" w:leader="dot" w:pos="8505"/>
              </w:tabs>
              <w:overflowPunct w:val="0"/>
              <w:adjustRightInd w:val="0"/>
              <w:spacing w:before="120"/>
              <w:ind w:left="57" w:right="113" w:hanging="57"/>
              <w:textAlignment w:val="baseline"/>
              <w:rPr>
                <w:rFonts w:cs="Arial"/>
                <w:sz w:val="18"/>
                <w:szCs w:val="20"/>
                <w:lang w:val="cs-CZ"/>
              </w:rPr>
            </w:pPr>
            <w:r w:rsidRPr="003B6E11">
              <w:rPr>
                <w:lang w:val="cs-CZ"/>
              </w:rPr>
              <w:tab/>
            </w:r>
            <w:r w:rsidRPr="003B6E11">
              <w:rPr>
                <w:noProof/>
                <w:szCs w:val="20"/>
                <w:lang w:eastAsia="en-GB"/>
              </w:rPr>
              <w:drawing>
                <wp:inline distT="0" distB="0" distL="0" distR="0" wp14:anchorId="1A1979BF" wp14:editId="5E6044B7">
                  <wp:extent cx="5133975" cy="3162300"/>
                  <wp:effectExtent l="0" t="0" r="952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33975" cy="3162300"/>
                          </a:xfrm>
                          <a:prstGeom prst="rect">
                            <a:avLst/>
                          </a:prstGeom>
                          <a:noFill/>
                          <a:ln>
                            <a:noFill/>
                          </a:ln>
                        </pic:spPr>
                      </pic:pic>
                    </a:graphicData>
                  </a:graphic>
                </wp:inline>
              </w:drawing>
            </w:r>
          </w:p>
          <w:p w:rsidR="003B6E11" w:rsidRPr="003B6E11" w:rsidRDefault="003B6E11" w:rsidP="002D015D">
            <w:pPr>
              <w:tabs>
                <w:tab w:val="left" w:pos="57"/>
                <w:tab w:val="left" w:pos="340"/>
                <w:tab w:val="left" w:leader="dot" w:pos="8505"/>
              </w:tabs>
              <w:overflowPunct w:val="0"/>
              <w:adjustRightInd w:val="0"/>
              <w:ind w:left="57" w:right="113" w:hanging="57"/>
              <w:textAlignment w:val="baseline"/>
              <w:rPr>
                <w:rFonts w:cs="Arial"/>
                <w:sz w:val="6"/>
                <w:szCs w:val="20"/>
                <w:lang w:val="cs-CZ"/>
              </w:rPr>
            </w:pPr>
          </w:p>
          <w:p w:rsidR="003B6E11" w:rsidRPr="003B6E11" w:rsidRDefault="003B6E11" w:rsidP="002D015D">
            <w:pPr>
              <w:pBdr>
                <w:left w:val="single" w:sz="6" w:space="1" w:color="auto"/>
                <w:right w:val="single" w:sz="6" w:space="1" w:color="auto"/>
              </w:pBdr>
              <w:tabs>
                <w:tab w:val="left" w:pos="341"/>
              </w:tabs>
              <w:overflowPunct w:val="0"/>
              <w:adjustRightInd w:val="0"/>
              <w:textAlignment w:val="baseline"/>
              <w:rPr>
                <w:rFonts w:cs="Arial"/>
                <w:szCs w:val="20"/>
                <w:lang w:val="cs-CZ"/>
              </w:rPr>
            </w:pPr>
            <w:r w:rsidRPr="003B6E11">
              <w:rPr>
                <w:lang w:val="cs-CZ"/>
              </w:rPr>
              <w:t>2.</w:t>
            </w:r>
            <w:r w:rsidRPr="003B6E11">
              <w:rPr>
                <w:lang w:val="cs-CZ"/>
              </w:rPr>
              <w:tab/>
              <w:t xml:space="preserve">Spojení: </w:t>
            </w:r>
          </w:p>
          <w:p w:rsidR="003B6E11" w:rsidRPr="003B6E11" w:rsidRDefault="003B6E11" w:rsidP="002D015D">
            <w:pPr>
              <w:pBdr>
                <w:right w:val="single" w:sz="6" w:space="1" w:color="auto"/>
              </w:pBdr>
              <w:tabs>
                <w:tab w:val="left" w:pos="341"/>
                <w:tab w:val="left" w:leader="dot" w:pos="3969"/>
                <w:tab w:val="left" w:pos="4168"/>
                <w:tab w:val="left" w:leader="dot" w:pos="8505"/>
              </w:tabs>
              <w:overflowPunct w:val="0"/>
              <w:adjustRightInd w:val="0"/>
              <w:ind w:left="341"/>
              <w:textAlignment w:val="baseline"/>
              <w:rPr>
                <w:rFonts w:cs="Arial"/>
                <w:szCs w:val="20"/>
                <w:lang w:val="cs-CZ"/>
              </w:rPr>
            </w:pPr>
            <w:r w:rsidRPr="003B6E11">
              <w:rPr>
                <w:lang w:val="cs-CZ"/>
              </w:rPr>
              <w:t xml:space="preserve">Druh spojení: </w:t>
            </w:r>
            <w:r w:rsidRPr="003B6E11">
              <w:rPr>
                <w:lang w:val="cs-CZ"/>
              </w:rPr>
              <w:tab/>
            </w:r>
            <w:r w:rsidRPr="003B6E11">
              <w:rPr>
                <w:lang w:val="cs-CZ"/>
              </w:rPr>
              <w:tab/>
              <w:t xml:space="preserve">Počet spojení na jedné straně: </w:t>
            </w:r>
            <w:r w:rsidRPr="003B6E11">
              <w:rPr>
                <w:lang w:val="cs-CZ"/>
              </w:rPr>
              <w:tab/>
            </w:r>
          </w:p>
          <w:p w:rsidR="003B6E11" w:rsidRPr="003B6E11" w:rsidRDefault="003B6E11" w:rsidP="002D015D">
            <w:pPr>
              <w:pBdr>
                <w:right w:val="single" w:sz="6" w:space="1" w:color="auto"/>
              </w:pBdr>
              <w:tabs>
                <w:tab w:val="left" w:pos="397"/>
                <w:tab w:val="left" w:leader="dot" w:pos="3969"/>
                <w:tab w:val="left" w:pos="4168"/>
                <w:tab w:val="left" w:leader="dot" w:pos="8505"/>
              </w:tabs>
              <w:overflowPunct w:val="0"/>
              <w:adjustRightInd w:val="0"/>
              <w:ind w:left="341"/>
              <w:textAlignment w:val="baseline"/>
              <w:rPr>
                <w:rFonts w:cs="Arial"/>
                <w:szCs w:val="20"/>
                <w:lang w:val="cs-CZ"/>
              </w:rPr>
            </w:pPr>
            <w:r w:rsidRPr="003B6E11">
              <w:rPr>
                <w:lang w:val="cs-CZ"/>
              </w:rPr>
              <w:t xml:space="preserve">Počet spojovacích lan: </w:t>
            </w:r>
            <w:r w:rsidRPr="003B6E11">
              <w:rPr>
                <w:lang w:val="cs-CZ"/>
              </w:rPr>
              <w:tab/>
            </w:r>
            <w:r w:rsidRPr="003B6E11">
              <w:rPr>
                <w:lang w:val="cs-CZ"/>
              </w:rPr>
              <w:tab/>
              <w:t>Délka každého spojovacího lana:</w:t>
            </w:r>
            <w:r w:rsidRPr="003B6E11">
              <w:rPr>
                <w:lang w:val="cs-CZ"/>
              </w:rPr>
              <w:tab/>
            </w:r>
          </w:p>
          <w:p w:rsidR="003B6E11" w:rsidRPr="003B6E11" w:rsidRDefault="003B6E11" w:rsidP="002D015D">
            <w:pPr>
              <w:pBdr>
                <w:right w:val="single" w:sz="6" w:space="1" w:color="auto"/>
              </w:pBdr>
              <w:tabs>
                <w:tab w:val="left" w:pos="397"/>
                <w:tab w:val="left" w:leader="dot" w:pos="3969"/>
                <w:tab w:val="left" w:leader="dot" w:pos="5670"/>
                <w:tab w:val="left" w:leader="dot" w:pos="8505"/>
              </w:tabs>
              <w:overflowPunct w:val="0"/>
              <w:adjustRightInd w:val="0"/>
              <w:ind w:left="341"/>
              <w:textAlignment w:val="baseline"/>
              <w:rPr>
                <w:rFonts w:cs="Arial"/>
                <w:szCs w:val="20"/>
                <w:lang w:val="cs-CZ"/>
              </w:rPr>
            </w:pPr>
            <w:r w:rsidRPr="003B6E11">
              <w:rPr>
                <w:lang w:val="cs-CZ"/>
              </w:rPr>
              <w:t xml:space="preserve">Pevnost jednoho podélného spojení: </w:t>
            </w:r>
            <w:r w:rsidRPr="003B6E11">
              <w:rPr>
                <w:lang w:val="cs-CZ"/>
              </w:rPr>
              <w:tab/>
              <w:t xml:space="preserve"> kN</w:t>
            </w:r>
          </w:p>
          <w:p w:rsidR="003B6E11" w:rsidRPr="003B6E11" w:rsidRDefault="003B6E11" w:rsidP="002D015D">
            <w:pPr>
              <w:pBdr>
                <w:right w:val="single" w:sz="6" w:space="1" w:color="auto"/>
              </w:pBdr>
              <w:tabs>
                <w:tab w:val="left" w:pos="397"/>
                <w:tab w:val="left" w:leader="dot" w:pos="5670"/>
                <w:tab w:val="left" w:leader="dot" w:pos="8789"/>
              </w:tabs>
              <w:overflowPunct w:val="0"/>
              <w:adjustRightInd w:val="0"/>
              <w:ind w:left="341"/>
              <w:textAlignment w:val="baseline"/>
              <w:rPr>
                <w:rFonts w:cs="Arial"/>
                <w:szCs w:val="20"/>
                <w:lang w:val="cs-CZ"/>
              </w:rPr>
            </w:pPr>
            <w:r w:rsidRPr="003B6E11">
              <w:rPr>
                <w:lang w:val="cs-CZ"/>
              </w:rPr>
              <w:t>Pevnost jednoho spojovacího lana:</w:t>
            </w:r>
            <w:r w:rsidRPr="003B6E11">
              <w:rPr>
                <w:lang w:val="cs-CZ"/>
              </w:rPr>
              <w:tab/>
              <w:t xml:space="preserve"> kN</w:t>
            </w:r>
          </w:p>
          <w:p w:rsidR="003B6E11" w:rsidRPr="003B6E11" w:rsidRDefault="003B6E11" w:rsidP="002D015D">
            <w:pPr>
              <w:pBdr>
                <w:right w:val="single" w:sz="6" w:space="1" w:color="auto"/>
              </w:pBdr>
              <w:tabs>
                <w:tab w:val="left" w:pos="397"/>
                <w:tab w:val="left" w:leader="dot" w:pos="5670"/>
                <w:tab w:val="left" w:leader="dot" w:pos="8789"/>
              </w:tabs>
              <w:overflowPunct w:val="0"/>
              <w:adjustRightInd w:val="0"/>
              <w:ind w:left="341"/>
              <w:textAlignment w:val="baseline"/>
              <w:rPr>
                <w:rFonts w:cs="Arial"/>
                <w:sz w:val="18"/>
                <w:szCs w:val="20"/>
                <w:lang w:val="cs-CZ"/>
              </w:rPr>
            </w:pPr>
            <w:r w:rsidRPr="003B6E11">
              <w:rPr>
                <w:lang w:val="cs-CZ"/>
              </w:rPr>
              <w:t xml:space="preserve">Počet ovinutí lana: </w:t>
            </w:r>
            <w:r w:rsidRPr="003B6E11">
              <w:rPr>
                <w:lang w:val="cs-CZ"/>
              </w:rPr>
              <w:tab/>
              <w:t xml:space="preserve"> </w:t>
            </w: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s>
              <w:overflowPunct w:val="0"/>
              <w:adjustRightInd w:val="0"/>
              <w:spacing w:before="80"/>
              <w:textAlignment w:val="baseline"/>
              <w:rPr>
                <w:rFonts w:cs="Arial"/>
                <w:sz w:val="18"/>
                <w:szCs w:val="20"/>
                <w:lang w:val="cs-CZ"/>
              </w:rPr>
            </w:pPr>
            <w:r w:rsidRPr="003B6E11">
              <w:rPr>
                <w:lang w:val="cs-CZ"/>
              </w:rPr>
              <w:tab/>
            </w:r>
            <w:r w:rsidRPr="003B6E11">
              <w:rPr>
                <w:sz w:val="18"/>
                <w:lang w:val="cs-CZ"/>
              </w:rPr>
              <w:t>*)</w:t>
            </w:r>
            <w:r w:rsidRPr="003B6E11">
              <w:rPr>
                <w:rFonts w:cs="Arial"/>
                <w:sz w:val="18"/>
                <w:szCs w:val="20"/>
                <w:lang w:val="cs-CZ"/>
              </w:rPr>
              <w:br/>
            </w:r>
            <w:r w:rsidRPr="003B6E11">
              <w:rPr>
                <w:rFonts w:cs="Arial"/>
                <w:sz w:val="18"/>
                <w:szCs w:val="20"/>
                <w:lang w:val="cs-CZ"/>
              </w:rPr>
              <w:br/>
            </w:r>
          </w:p>
          <w:p w:rsidR="003B6E11" w:rsidRPr="003B6E11" w:rsidRDefault="003B6E11" w:rsidP="002D015D">
            <w:pPr>
              <w:tabs>
                <w:tab w:val="left" w:pos="57"/>
              </w:tabs>
              <w:overflowPunct w:val="0"/>
              <w:adjustRightInd w:val="0"/>
              <w:spacing w:before="80"/>
              <w:textAlignment w:val="baseline"/>
              <w:rPr>
                <w:rFonts w:cs="Arial"/>
                <w:sz w:val="18"/>
                <w:szCs w:val="20"/>
                <w:lang w:val="cs-CZ"/>
              </w:rPr>
            </w:pPr>
          </w:p>
          <w:p w:rsidR="003B6E11" w:rsidRPr="003B6E11" w:rsidRDefault="003B6E11" w:rsidP="002D015D">
            <w:pPr>
              <w:tabs>
                <w:tab w:val="left" w:pos="57"/>
              </w:tabs>
              <w:overflowPunct w:val="0"/>
              <w:adjustRightInd w:val="0"/>
              <w:spacing w:before="160"/>
              <w:textAlignment w:val="baseline"/>
              <w:rPr>
                <w:rFonts w:cs="Arial"/>
                <w:sz w:val="18"/>
                <w:szCs w:val="20"/>
                <w:lang w:val="cs-CZ"/>
              </w:rPr>
            </w:pPr>
            <w:r w:rsidRPr="003B6E11">
              <w:rPr>
                <w:lang w:val="cs-CZ"/>
              </w:rPr>
              <w:tab/>
            </w:r>
            <w:r w:rsidRPr="003B6E11">
              <w:rPr>
                <w:sz w:val="18"/>
                <w:lang w:val="cs-CZ"/>
              </w:rPr>
              <w:t>*)</w:t>
            </w:r>
          </w:p>
        </w:tc>
        <w:tc>
          <w:tcPr>
            <w:tcW w:w="8904" w:type="dxa"/>
            <w:gridSpan w:val="11"/>
            <w:tcBorders>
              <w:top w:val="single" w:sz="6" w:space="0" w:color="auto"/>
              <w:bottom w:val="single" w:sz="6" w:space="0" w:color="auto"/>
              <w:right w:val="single" w:sz="6" w:space="0" w:color="auto"/>
            </w:tcBorders>
          </w:tcPr>
          <w:p w:rsidR="003B6E11" w:rsidRPr="003B6E11" w:rsidRDefault="003B6E11" w:rsidP="002D015D">
            <w:pPr>
              <w:tabs>
                <w:tab w:val="left" w:pos="57"/>
                <w:tab w:val="left" w:leader="dot" w:pos="3686"/>
              </w:tabs>
              <w:overflowPunct w:val="0"/>
              <w:adjustRightInd w:val="0"/>
              <w:spacing w:before="80" w:after="80"/>
              <w:ind w:left="57" w:right="57"/>
              <w:textAlignment w:val="baseline"/>
              <w:rPr>
                <w:rFonts w:cs="Arial"/>
                <w:sz w:val="18"/>
                <w:szCs w:val="20"/>
                <w:lang w:val="cs-CZ"/>
              </w:rPr>
            </w:pPr>
            <w:r w:rsidRPr="003B6E11">
              <w:rPr>
                <w:noProof/>
                <w:sz w:val="18"/>
                <w:lang w:val="cs-CZ"/>
              </w:rPr>
              <w:t>Změna bodu (bodů): ....................</w:t>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noProof/>
                <w:sz w:val="18"/>
                <w:lang w:val="cs-CZ"/>
              </w:rPr>
              <w:t>Nový text:</w:t>
            </w:r>
            <w:r w:rsidRPr="003B6E11">
              <w:rPr>
                <w:lang w:val="cs-CZ"/>
              </w:rPr>
              <w:tab/>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lang w:val="cs-CZ"/>
              </w:rPr>
              <w:tab/>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lang w:val="cs-CZ"/>
              </w:rPr>
              <w:tab/>
            </w:r>
          </w:p>
          <w:p w:rsidR="003B6E11" w:rsidRPr="003B6E11" w:rsidRDefault="003B6E11" w:rsidP="002D015D">
            <w:pPr>
              <w:tabs>
                <w:tab w:val="left" w:leader="dot" w:pos="4536"/>
                <w:tab w:val="center" w:pos="6862"/>
              </w:tabs>
              <w:overflowPunct w:val="0"/>
              <w:adjustRightInd w:val="0"/>
              <w:spacing w:after="80"/>
              <w:ind w:left="57" w:right="57"/>
              <w:textAlignment w:val="baseline"/>
              <w:rPr>
                <w:rFonts w:cs="Arial"/>
                <w:sz w:val="18"/>
                <w:szCs w:val="20"/>
                <w:lang w:val="cs-CZ"/>
              </w:rPr>
            </w:pPr>
            <w:r w:rsidRPr="003B6E11">
              <w:rPr>
                <w:sz w:val="18"/>
                <w:lang w:val="cs-CZ"/>
              </w:rPr>
              <w:t>Tato stránka byla nahrazena.</w:t>
            </w:r>
          </w:p>
          <w:p w:rsidR="003B6E11" w:rsidRPr="003B6E11" w:rsidRDefault="003B6E11" w:rsidP="002D015D">
            <w:pPr>
              <w:tabs>
                <w:tab w:val="left" w:leader="dot" w:pos="4536"/>
                <w:tab w:val="center" w:pos="6862"/>
              </w:tabs>
              <w:overflowPunct w:val="0"/>
              <w:adjustRightInd w:val="0"/>
              <w:spacing w:after="80"/>
              <w:ind w:left="57" w:right="57"/>
              <w:textAlignment w:val="baseline"/>
              <w:rPr>
                <w:rFonts w:cs="Arial"/>
                <w:sz w:val="18"/>
                <w:szCs w:val="20"/>
                <w:lang w:val="cs-CZ"/>
              </w:rPr>
            </w:pPr>
            <w:r w:rsidRPr="003B6E11">
              <w:rPr>
                <w:sz w:val="18"/>
                <w:lang w:val="cs-CZ"/>
              </w:rPr>
              <w:t xml:space="preserve">Místo, datum </w:t>
            </w:r>
            <w:r w:rsidRPr="003B6E11">
              <w:rPr>
                <w:lang w:val="cs-CZ"/>
              </w:rPr>
              <w:tab/>
            </w:r>
            <w:r w:rsidRPr="003B6E11">
              <w:rPr>
                <w:lang w:val="cs-CZ"/>
              </w:rPr>
              <w:tab/>
            </w:r>
            <w:r w:rsidRPr="003B6E11">
              <w:rPr>
                <w:sz w:val="18"/>
                <w:lang w:val="cs-CZ"/>
              </w:rPr>
              <w:t>Subjekt pověřený prohlídkami</w:t>
            </w:r>
          </w:p>
          <w:p w:rsidR="003B6E11" w:rsidRPr="003B6E11" w:rsidRDefault="003B6E11" w:rsidP="002D015D">
            <w:pPr>
              <w:tabs>
                <w:tab w:val="left" w:pos="5103"/>
                <w:tab w:val="left" w:leader="dot" w:pos="8505"/>
              </w:tabs>
              <w:overflowPunct w:val="0"/>
              <w:adjustRightInd w:val="0"/>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1701"/>
              </w:tabs>
              <w:overflowPunct w:val="0"/>
              <w:adjustRightInd w:val="0"/>
              <w:spacing w:after="80"/>
              <w:textAlignment w:val="baseline"/>
              <w:rPr>
                <w:rFonts w:cs="Arial"/>
                <w:sz w:val="18"/>
                <w:szCs w:val="20"/>
                <w:lang w:val="cs-CZ"/>
              </w:rPr>
            </w:pPr>
            <w:r w:rsidRPr="003B6E11">
              <w:rPr>
                <w:lang w:val="cs-CZ"/>
              </w:rPr>
              <w:tab/>
            </w:r>
            <w:r w:rsidRPr="003B6E11">
              <w:rPr>
                <w:sz w:val="18"/>
                <w:lang w:val="cs-CZ"/>
              </w:rPr>
              <w:t>Razítko</w:t>
            </w:r>
          </w:p>
          <w:p w:rsidR="003B6E11" w:rsidRPr="003B6E11" w:rsidRDefault="003B6E11" w:rsidP="002D015D">
            <w:pPr>
              <w:tabs>
                <w:tab w:val="left" w:pos="5103"/>
                <w:tab w:val="left" w:leader="dot" w:pos="8505"/>
              </w:tabs>
              <w:overflowPunct w:val="0"/>
              <w:adjustRightInd w:val="0"/>
              <w:textAlignment w:val="baseline"/>
              <w:rPr>
                <w:rFonts w:cs="Arial"/>
                <w:szCs w:val="20"/>
                <w:lang w:val="cs-CZ"/>
              </w:rPr>
            </w:pPr>
            <w:r w:rsidRPr="003B6E11">
              <w:rPr>
                <w:lang w:val="cs-CZ"/>
              </w:rPr>
              <w:tab/>
            </w:r>
            <w:r w:rsidRPr="003B6E11">
              <w:rPr>
                <w:lang w:val="cs-CZ"/>
              </w:rPr>
              <w:tab/>
            </w:r>
          </w:p>
          <w:p w:rsidR="003B6E11" w:rsidRPr="003B6E11" w:rsidRDefault="003B6E11" w:rsidP="002D015D">
            <w:pPr>
              <w:tabs>
                <w:tab w:val="center" w:pos="6862"/>
              </w:tabs>
              <w:overflowPunct w:val="0"/>
              <w:adjustRightInd w:val="0"/>
              <w:textAlignment w:val="baseline"/>
              <w:rPr>
                <w:rFonts w:cs="Arial"/>
                <w:sz w:val="16"/>
                <w:szCs w:val="20"/>
                <w:lang w:val="cs-CZ"/>
              </w:rPr>
            </w:pPr>
            <w:r w:rsidRPr="003B6E11">
              <w:rPr>
                <w:lang w:val="cs-CZ"/>
              </w:rPr>
              <w:tab/>
            </w:r>
            <w:r w:rsidRPr="003B6E11">
              <w:rPr>
                <w:sz w:val="16"/>
                <w:lang w:val="cs-CZ"/>
              </w:rPr>
              <w:t>(podpis)</w:t>
            </w:r>
          </w:p>
          <w:p w:rsidR="003B6E11" w:rsidRPr="003B6E11" w:rsidRDefault="003B6E11" w:rsidP="002D015D">
            <w:pPr>
              <w:tabs>
                <w:tab w:val="left" w:pos="113"/>
                <w:tab w:val="left" w:pos="397"/>
                <w:tab w:val="left" w:pos="6237"/>
                <w:tab w:val="left" w:leader="dot" w:pos="9356"/>
              </w:tabs>
              <w:overflowPunct w:val="0"/>
              <w:adjustRightInd w:val="0"/>
              <w:textAlignment w:val="baseline"/>
              <w:rPr>
                <w:rFonts w:cs="Arial"/>
                <w:sz w:val="16"/>
                <w:szCs w:val="20"/>
                <w:lang w:val="cs-CZ"/>
              </w:rPr>
            </w:pPr>
            <w:r w:rsidRPr="003B6E11">
              <w:rPr>
                <w:sz w:val="18"/>
                <w:lang w:val="cs-CZ"/>
              </w:rPr>
              <w:t>_______________________</w:t>
            </w:r>
          </w:p>
          <w:p w:rsidR="003B6E11" w:rsidRPr="003B6E11" w:rsidRDefault="003B6E11" w:rsidP="002D015D">
            <w:pPr>
              <w:tabs>
                <w:tab w:val="left" w:pos="284"/>
              </w:tabs>
              <w:overflowPunct w:val="0"/>
              <w:adjustRightInd w:val="0"/>
              <w:spacing w:after="40"/>
              <w:ind w:left="57"/>
              <w:textAlignment w:val="baseline"/>
              <w:rPr>
                <w:rFonts w:cs="Arial"/>
                <w:sz w:val="18"/>
                <w:szCs w:val="20"/>
                <w:lang w:val="cs-CZ"/>
              </w:rPr>
            </w:pPr>
            <w:r w:rsidRPr="003B6E11">
              <w:rPr>
                <w:position w:val="4"/>
                <w:sz w:val="16"/>
                <w:lang w:val="cs-CZ"/>
              </w:rPr>
              <w:t>*)</w:t>
            </w:r>
            <w:r w:rsidRPr="003B6E11">
              <w:rPr>
                <w:lang w:val="cs-CZ"/>
              </w:rPr>
              <w:tab/>
            </w:r>
            <w:r w:rsidRPr="003B6E11">
              <w:rPr>
                <w:sz w:val="16"/>
                <w:lang w:val="cs-CZ"/>
              </w:rPr>
              <w:t>Nehodící se škrtněte.</w:t>
            </w:r>
          </w:p>
        </w:tc>
      </w:tr>
    </w:tbl>
    <w:p w:rsidR="003B6E11" w:rsidRPr="003B6E11" w:rsidRDefault="003B6E11" w:rsidP="003B6E11">
      <w:pPr>
        <w:tabs>
          <w:tab w:val="left" w:leader="dot" w:pos="2835"/>
          <w:tab w:val="left" w:leader="dot" w:pos="5103"/>
        </w:tabs>
        <w:overflowPunct w:val="0"/>
        <w:adjustRightInd w:val="0"/>
        <w:textAlignment w:val="baseline"/>
        <w:rPr>
          <w:rFonts w:cs="Arial"/>
          <w:szCs w:val="20"/>
          <w:lang w:val="cs-CZ"/>
        </w:rPr>
      </w:pPr>
      <w:r w:rsidRPr="003B6E11">
        <w:rPr>
          <w:lang w:val="cs-CZ"/>
        </w:rPr>
        <w:br w:type="page"/>
        <w:t xml:space="preserve">Osvědčení plavidla vnitrozemské plavby č. </w:t>
      </w:r>
      <w:r w:rsidRPr="003B6E11">
        <w:rPr>
          <w:lang w:val="cs-CZ"/>
        </w:rPr>
        <w:tab/>
        <w:t xml:space="preserve"> vydané subjektem pověřeným prohlídkami </w:t>
      </w:r>
      <w:r w:rsidRPr="003B6E11">
        <w:rPr>
          <w:lang w:val="cs-CZ"/>
        </w:rPr>
        <w:tab/>
      </w:r>
    </w:p>
    <w:tbl>
      <w:tblPr>
        <w:tblW w:w="9189" w:type="dxa"/>
        <w:jc w:val="center"/>
        <w:tblLayout w:type="fixed"/>
        <w:tblCellMar>
          <w:left w:w="0" w:type="dxa"/>
          <w:right w:w="0" w:type="dxa"/>
        </w:tblCellMar>
        <w:tblLook w:val="0000" w:firstRow="0" w:lastRow="0" w:firstColumn="0" w:lastColumn="0" w:noHBand="0" w:noVBand="0"/>
      </w:tblPr>
      <w:tblGrid>
        <w:gridCol w:w="284"/>
        <w:gridCol w:w="2014"/>
        <w:gridCol w:w="764"/>
        <w:gridCol w:w="1533"/>
        <w:gridCol w:w="1529"/>
        <w:gridCol w:w="768"/>
        <w:gridCol w:w="2297"/>
      </w:tblGrid>
      <w:tr w:rsidR="003B6E11" w:rsidRPr="003B6E11" w:rsidTr="002D015D">
        <w:trPr>
          <w:cantSplit/>
          <w:jc w:val="center"/>
        </w:trPr>
        <w:tc>
          <w:tcPr>
            <w:tcW w:w="284" w:type="dxa"/>
            <w:tcBorders>
              <w:top w:val="single" w:sz="6" w:space="0" w:color="auto"/>
              <w:left w:val="single" w:sz="6" w:space="0" w:color="auto"/>
            </w:tcBorders>
          </w:tcPr>
          <w:p w:rsidR="003B6E11" w:rsidRPr="003B6E11" w:rsidRDefault="003B6E11" w:rsidP="002D015D">
            <w:pPr>
              <w:tabs>
                <w:tab w:val="left" w:pos="57"/>
                <w:tab w:val="left" w:pos="227"/>
              </w:tabs>
              <w:overflowPunct w:val="0"/>
              <w:adjustRightInd w:val="0"/>
              <w:spacing w:before="80"/>
              <w:textAlignment w:val="baseline"/>
              <w:rPr>
                <w:rFonts w:cs="Arial"/>
                <w:sz w:val="18"/>
                <w:szCs w:val="20"/>
                <w:lang w:val="cs-CZ"/>
              </w:rPr>
            </w:pPr>
            <w:r w:rsidRPr="003B6E11">
              <w:rPr>
                <w:sz w:val="18"/>
                <w:lang w:val="cs-CZ"/>
              </w:rPr>
              <w:t>16.</w:t>
            </w:r>
          </w:p>
        </w:tc>
        <w:tc>
          <w:tcPr>
            <w:tcW w:w="8905" w:type="dxa"/>
            <w:gridSpan w:val="6"/>
            <w:tcBorders>
              <w:top w:val="single" w:sz="6" w:space="0" w:color="auto"/>
              <w:right w:val="single" w:sz="6" w:space="0" w:color="auto"/>
            </w:tcBorders>
          </w:tcPr>
          <w:p w:rsidR="003B6E11" w:rsidRPr="003B6E11" w:rsidRDefault="003B6E11" w:rsidP="002D015D">
            <w:pPr>
              <w:tabs>
                <w:tab w:val="left" w:pos="57"/>
                <w:tab w:val="left" w:pos="340"/>
                <w:tab w:val="left" w:leader="dot" w:pos="2835"/>
                <w:tab w:val="left" w:leader="dot" w:pos="6804"/>
                <w:tab w:val="left" w:leader="dot" w:pos="8505"/>
              </w:tabs>
              <w:overflowPunct w:val="0"/>
              <w:adjustRightInd w:val="0"/>
              <w:spacing w:before="80"/>
              <w:textAlignment w:val="baseline"/>
              <w:rPr>
                <w:rFonts w:cs="Arial"/>
                <w:sz w:val="18"/>
                <w:szCs w:val="20"/>
                <w:lang w:val="cs-CZ"/>
              </w:rPr>
            </w:pPr>
            <w:r w:rsidRPr="003B6E11">
              <w:rPr>
                <w:lang w:val="cs-CZ"/>
              </w:rPr>
              <w:tab/>
            </w:r>
            <w:r w:rsidRPr="003B6E11">
              <w:rPr>
                <w:sz w:val="18"/>
                <w:lang w:val="cs-CZ"/>
              </w:rPr>
              <w:t>Cejchovní průkaz č.</w:t>
            </w:r>
            <w:r w:rsidRPr="003B6E11">
              <w:rPr>
                <w:lang w:val="cs-CZ"/>
              </w:rPr>
              <w:t xml:space="preserve"> </w:t>
            </w:r>
            <w:r w:rsidRPr="003B6E11">
              <w:rPr>
                <w:lang w:val="cs-CZ"/>
              </w:rPr>
              <w:tab/>
              <w:t xml:space="preserve"> vydaný cejchovním orgánem </w:t>
            </w:r>
            <w:r w:rsidRPr="003B6E11">
              <w:rPr>
                <w:lang w:val="cs-CZ"/>
              </w:rPr>
              <w:tab/>
              <w:t xml:space="preserve"> dne </w:t>
            </w:r>
            <w:r w:rsidRPr="003B6E11">
              <w:rPr>
                <w:lang w:val="cs-CZ"/>
              </w:rPr>
              <w:tab/>
            </w:r>
            <w:r w:rsidRPr="003B6E11">
              <w:rPr>
                <w:rFonts w:cs="Arial"/>
                <w:sz w:val="18"/>
                <w:szCs w:val="20"/>
                <w:lang w:val="cs-CZ"/>
              </w:rPr>
              <w:br/>
            </w:r>
            <w:r w:rsidRPr="003B6E11">
              <w:rPr>
                <w:lang w:val="cs-CZ"/>
              </w:rPr>
              <w:tab/>
            </w: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s>
              <w:overflowPunct w:val="0"/>
              <w:adjustRightInd w:val="0"/>
              <w:spacing w:before="40"/>
              <w:textAlignment w:val="baseline"/>
              <w:rPr>
                <w:rFonts w:cs="Arial"/>
                <w:sz w:val="14"/>
                <w:szCs w:val="20"/>
                <w:lang w:val="cs-CZ"/>
              </w:rPr>
            </w:pPr>
            <w:r w:rsidRPr="003B6E11">
              <w:rPr>
                <w:sz w:val="14"/>
                <w:lang w:val="cs-CZ"/>
              </w:rPr>
              <w:t>17a.</w:t>
            </w:r>
          </w:p>
          <w:p w:rsidR="003B6E11" w:rsidRPr="003B6E11" w:rsidRDefault="003B6E11" w:rsidP="002D015D">
            <w:pPr>
              <w:tabs>
                <w:tab w:val="left" w:pos="57"/>
              </w:tabs>
              <w:overflowPunct w:val="0"/>
              <w:adjustRightInd w:val="0"/>
              <w:spacing w:before="40"/>
              <w:textAlignment w:val="baseline"/>
              <w:rPr>
                <w:rFonts w:cs="Arial"/>
                <w:sz w:val="18"/>
                <w:szCs w:val="20"/>
                <w:lang w:val="cs-CZ"/>
              </w:rPr>
            </w:pPr>
            <w:r w:rsidRPr="003B6E11">
              <w:rPr>
                <w:sz w:val="14"/>
                <w:lang w:val="cs-CZ"/>
              </w:rPr>
              <w:t>17</w:t>
            </w:r>
            <w:r w:rsidRPr="003B6E11">
              <w:rPr>
                <w:sz w:val="12"/>
                <w:lang w:val="cs-CZ"/>
              </w:rPr>
              <w:t>b.</w:t>
            </w:r>
          </w:p>
        </w:tc>
        <w:tc>
          <w:tcPr>
            <w:tcW w:w="2014" w:type="dxa"/>
            <w:tcBorders>
              <w:top w:val="single" w:sz="6" w:space="0" w:color="auto"/>
              <w:bottom w:val="single" w:sz="6" w:space="0" w:color="auto"/>
            </w:tcBorders>
          </w:tcPr>
          <w:p w:rsidR="003B6E11" w:rsidRPr="003B6E11" w:rsidRDefault="003B6E11" w:rsidP="002D015D">
            <w:pPr>
              <w:tabs>
                <w:tab w:val="left" w:pos="57"/>
                <w:tab w:val="left" w:pos="1758"/>
              </w:tabs>
              <w:overflowPunct w:val="0"/>
              <w:adjustRightInd w:val="0"/>
              <w:textAlignment w:val="baseline"/>
              <w:rPr>
                <w:rFonts w:cs="Arial"/>
                <w:sz w:val="18"/>
                <w:szCs w:val="20"/>
                <w:lang w:val="cs-CZ"/>
              </w:rPr>
            </w:pPr>
            <w:r w:rsidRPr="003B6E11">
              <w:rPr>
                <w:lang w:val="cs-CZ"/>
              </w:rPr>
              <w:tab/>
            </w:r>
            <w:r w:rsidRPr="003B6E11">
              <w:rPr>
                <w:sz w:val="18"/>
                <w:lang w:val="cs-CZ"/>
              </w:rPr>
              <w:t>Největší délka</w:t>
            </w:r>
            <w:r w:rsidRPr="003B6E11">
              <w:rPr>
                <w:lang w:val="cs-CZ"/>
              </w:rPr>
              <w:tab/>
            </w:r>
            <w:r w:rsidRPr="003B6E11">
              <w:rPr>
                <w:sz w:val="18"/>
                <w:lang w:val="cs-CZ"/>
              </w:rPr>
              <w:t>m</w:t>
            </w:r>
            <w:r w:rsidRPr="003B6E11">
              <w:rPr>
                <w:rFonts w:cs="Arial"/>
                <w:sz w:val="18"/>
                <w:szCs w:val="20"/>
                <w:lang w:val="cs-CZ"/>
              </w:rPr>
              <w:br/>
            </w:r>
            <w:r w:rsidRPr="003B6E11">
              <w:rPr>
                <w:lang w:val="cs-CZ"/>
              </w:rPr>
              <w:tab/>
            </w:r>
            <w:r w:rsidRPr="003B6E11">
              <w:rPr>
                <w:sz w:val="18"/>
                <w:lang w:val="cs-CZ"/>
              </w:rPr>
              <w:t>Délka L</w:t>
            </w:r>
            <w:r w:rsidRPr="003B6E11">
              <w:rPr>
                <w:lang w:val="cs-CZ"/>
              </w:rPr>
              <w:tab/>
            </w:r>
            <w:r w:rsidRPr="003B6E11">
              <w:rPr>
                <w:sz w:val="18"/>
                <w:lang w:val="cs-CZ"/>
              </w:rPr>
              <w:t>m</w:t>
            </w:r>
            <w:r w:rsidRPr="003B6E11">
              <w:rPr>
                <w:rFonts w:cs="Arial"/>
                <w:sz w:val="18"/>
                <w:szCs w:val="20"/>
                <w:lang w:val="cs-CZ"/>
              </w:rPr>
              <w:br/>
            </w:r>
          </w:p>
        </w:tc>
        <w:tc>
          <w:tcPr>
            <w:tcW w:w="2297" w:type="dxa"/>
            <w:gridSpan w:val="2"/>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pos="454"/>
                <w:tab w:val="left" w:pos="1758"/>
              </w:tabs>
              <w:overflowPunct w:val="0"/>
              <w:adjustRightInd w:val="0"/>
              <w:textAlignment w:val="baseline"/>
              <w:rPr>
                <w:rFonts w:cs="Arial"/>
                <w:sz w:val="18"/>
                <w:szCs w:val="20"/>
                <w:lang w:val="cs-CZ"/>
              </w:rPr>
            </w:pPr>
            <w:r w:rsidRPr="003B6E11">
              <w:rPr>
                <w:lang w:val="cs-CZ"/>
              </w:rPr>
              <w:tab/>
            </w:r>
            <w:r w:rsidRPr="003B6E11">
              <w:rPr>
                <w:sz w:val="16"/>
                <w:lang w:val="cs-CZ"/>
              </w:rPr>
              <w:t>18a.</w:t>
            </w:r>
            <w:r w:rsidRPr="003B6E11">
              <w:rPr>
                <w:lang w:val="cs-CZ"/>
              </w:rPr>
              <w:tab/>
            </w:r>
            <w:r w:rsidRPr="003B6E11">
              <w:rPr>
                <w:sz w:val="18"/>
                <w:lang w:val="cs-CZ"/>
              </w:rPr>
              <w:t>Největší šířka</w:t>
            </w:r>
            <w:r w:rsidRPr="003B6E11">
              <w:rPr>
                <w:lang w:val="cs-CZ"/>
              </w:rPr>
              <w:tab/>
            </w:r>
            <w:r w:rsidRPr="003B6E11">
              <w:rPr>
                <w:sz w:val="18"/>
                <w:lang w:val="cs-CZ"/>
              </w:rPr>
              <w:t>m</w:t>
            </w:r>
            <w:r w:rsidRPr="003B6E11">
              <w:rPr>
                <w:rFonts w:cs="Arial"/>
                <w:position w:val="6"/>
                <w:sz w:val="16"/>
                <w:szCs w:val="20"/>
                <w:lang w:val="cs-CZ"/>
              </w:rPr>
              <w:br/>
            </w:r>
            <w:r w:rsidRPr="003B6E11">
              <w:rPr>
                <w:lang w:val="cs-CZ"/>
              </w:rPr>
              <w:tab/>
            </w:r>
            <w:r w:rsidRPr="003B6E11">
              <w:rPr>
                <w:sz w:val="16"/>
                <w:lang w:val="cs-CZ"/>
              </w:rPr>
              <w:t>18b.</w:t>
            </w:r>
            <w:r w:rsidRPr="003B6E11">
              <w:rPr>
                <w:lang w:val="cs-CZ"/>
              </w:rPr>
              <w:tab/>
            </w:r>
            <w:r w:rsidRPr="003B6E11">
              <w:rPr>
                <w:noProof/>
                <w:sz w:val="18"/>
                <w:lang w:val="cs-CZ"/>
              </w:rPr>
              <w:t>Šířka B</w:t>
            </w:r>
            <w:r w:rsidRPr="003B6E11">
              <w:rPr>
                <w:lang w:val="cs-CZ"/>
              </w:rPr>
              <w:tab/>
            </w:r>
            <w:r w:rsidRPr="003B6E11">
              <w:rPr>
                <w:sz w:val="18"/>
                <w:lang w:val="cs-CZ"/>
              </w:rPr>
              <w:t>m</w:t>
            </w:r>
            <w:r w:rsidRPr="003B6E11">
              <w:rPr>
                <w:rFonts w:cs="Arial"/>
                <w:sz w:val="16"/>
                <w:szCs w:val="20"/>
                <w:lang w:val="cs-CZ"/>
              </w:rPr>
              <w:br/>
            </w:r>
          </w:p>
        </w:tc>
        <w:tc>
          <w:tcPr>
            <w:tcW w:w="2297" w:type="dxa"/>
            <w:gridSpan w:val="2"/>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pos="340"/>
                <w:tab w:val="left" w:pos="1985"/>
              </w:tabs>
              <w:overflowPunct w:val="0"/>
              <w:adjustRightInd w:val="0"/>
              <w:textAlignment w:val="baseline"/>
              <w:rPr>
                <w:rFonts w:cs="Arial"/>
                <w:sz w:val="18"/>
                <w:szCs w:val="20"/>
                <w:lang w:val="cs-CZ"/>
              </w:rPr>
            </w:pPr>
            <w:r w:rsidRPr="003B6E11">
              <w:rPr>
                <w:lang w:val="cs-CZ"/>
              </w:rPr>
              <w:tab/>
            </w:r>
            <w:r w:rsidRPr="003B6E11">
              <w:rPr>
                <w:sz w:val="16"/>
                <w:lang w:val="cs-CZ"/>
              </w:rPr>
              <w:t>19a.</w:t>
            </w:r>
            <w:r w:rsidRPr="003B6E11">
              <w:rPr>
                <w:lang w:val="cs-CZ"/>
              </w:rPr>
              <w:t xml:space="preserve"> </w:t>
            </w:r>
            <w:r w:rsidRPr="003B6E11">
              <w:rPr>
                <w:sz w:val="18"/>
                <w:lang w:val="cs-CZ"/>
              </w:rPr>
              <w:t>Celkový ponor</w:t>
            </w:r>
            <w:r w:rsidRPr="003B6E11">
              <w:rPr>
                <w:lang w:val="cs-CZ"/>
              </w:rPr>
              <w:tab/>
            </w:r>
            <w:r w:rsidRPr="003B6E11">
              <w:rPr>
                <w:sz w:val="18"/>
                <w:lang w:val="cs-CZ"/>
              </w:rPr>
              <w:t>m</w:t>
            </w:r>
          </w:p>
          <w:p w:rsidR="003B6E11" w:rsidRPr="003B6E11" w:rsidRDefault="003B6E11" w:rsidP="002D015D">
            <w:pPr>
              <w:tabs>
                <w:tab w:val="left" w:pos="57"/>
                <w:tab w:val="left" w:pos="340"/>
                <w:tab w:val="left" w:pos="1985"/>
              </w:tabs>
              <w:overflowPunct w:val="0"/>
              <w:adjustRightInd w:val="0"/>
              <w:textAlignment w:val="baseline"/>
              <w:rPr>
                <w:rFonts w:cs="Arial"/>
                <w:sz w:val="18"/>
                <w:szCs w:val="20"/>
                <w:lang w:val="cs-CZ"/>
              </w:rPr>
            </w:pPr>
            <w:r w:rsidRPr="003B6E11">
              <w:rPr>
                <w:sz w:val="16"/>
                <w:lang w:val="cs-CZ"/>
              </w:rPr>
              <w:t>19b.</w:t>
            </w:r>
            <w:r w:rsidRPr="003B6E11">
              <w:rPr>
                <w:lang w:val="cs-CZ"/>
              </w:rPr>
              <w:tab/>
            </w:r>
            <w:r w:rsidRPr="003B6E11">
              <w:rPr>
                <w:sz w:val="18"/>
                <w:lang w:val="cs-CZ"/>
              </w:rPr>
              <w:t>Ponor T</w:t>
            </w:r>
            <w:r w:rsidRPr="003B6E11">
              <w:rPr>
                <w:lang w:val="cs-CZ"/>
              </w:rPr>
              <w:tab/>
            </w:r>
            <w:r w:rsidRPr="003B6E11">
              <w:rPr>
                <w:sz w:val="18"/>
                <w:lang w:val="cs-CZ"/>
              </w:rPr>
              <w:t>m</w:t>
            </w:r>
          </w:p>
        </w:tc>
        <w:tc>
          <w:tcPr>
            <w:tcW w:w="2297" w:type="dxa"/>
            <w:tcBorders>
              <w:top w:val="single" w:sz="6" w:space="0" w:color="auto"/>
              <w:bottom w:val="single" w:sz="6" w:space="0" w:color="auto"/>
              <w:right w:val="single" w:sz="6" w:space="0" w:color="auto"/>
            </w:tcBorders>
          </w:tcPr>
          <w:p w:rsidR="003B6E11" w:rsidRPr="003B6E11" w:rsidRDefault="003B6E11" w:rsidP="002D015D">
            <w:pPr>
              <w:tabs>
                <w:tab w:val="left" w:pos="57"/>
                <w:tab w:val="left" w:pos="340"/>
                <w:tab w:val="left" w:pos="1758"/>
              </w:tabs>
              <w:overflowPunct w:val="0"/>
              <w:adjustRightInd w:val="0"/>
              <w:textAlignment w:val="baseline"/>
              <w:rPr>
                <w:rFonts w:cs="Arial"/>
                <w:sz w:val="18"/>
                <w:szCs w:val="20"/>
                <w:lang w:val="cs-CZ"/>
              </w:rPr>
            </w:pPr>
            <w:r w:rsidRPr="003B6E11">
              <w:rPr>
                <w:lang w:val="cs-CZ"/>
              </w:rPr>
              <w:tab/>
            </w:r>
            <w:r w:rsidRPr="003B6E11">
              <w:rPr>
                <w:sz w:val="18"/>
                <w:lang w:val="cs-CZ"/>
              </w:rPr>
              <w:t>20.</w:t>
            </w:r>
            <w:r w:rsidRPr="003B6E11">
              <w:rPr>
                <w:lang w:val="cs-CZ"/>
              </w:rPr>
              <w:tab/>
            </w:r>
            <w:r w:rsidRPr="003B6E11">
              <w:rPr>
                <w:sz w:val="18"/>
                <w:lang w:val="cs-CZ"/>
              </w:rPr>
              <w:t>Volný bok</w:t>
            </w:r>
            <w:r w:rsidRPr="003B6E11">
              <w:rPr>
                <w:lang w:val="cs-CZ"/>
              </w:rPr>
              <w:tab/>
            </w:r>
            <w:r w:rsidRPr="003B6E11">
              <w:rPr>
                <w:sz w:val="18"/>
                <w:lang w:val="cs-CZ"/>
              </w:rPr>
              <w:t>cm</w:t>
            </w:r>
            <w:r w:rsidRPr="003B6E11">
              <w:rPr>
                <w:rFonts w:cs="Arial"/>
                <w:sz w:val="18"/>
                <w:szCs w:val="20"/>
                <w:lang w:val="cs-CZ"/>
              </w:rPr>
              <w:br/>
            </w:r>
            <w:r w:rsidRPr="003B6E11">
              <w:rPr>
                <w:rFonts w:cs="Arial"/>
                <w:sz w:val="18"/>
                <w:szCs w:val="20"/>
                <w:lang w:val="cs-CZ"/>
              </w:rPr>
              <w:br/>
            </w:r>
            <w:r w:rsidRPr="003B6E11">
              <w:rPr>
                <w:lang w:val="cs-CZ"/>
              </w:rPr>
              <w:tab/>
            </w:r>
          </w:p>
        </w:tc>
      </w:tr>
      <w:tr w:rsidR="003B6E11" w:rsidRPr="003B6E11" w:rsidTr="002D015D">
        <w:trPr>
          <w:cantSplit/>
          <w:jc w:val="center"/>
        </w:trPr>
        <w:tc>
          <w:tcPr>
            <w:tcW w:w="284" w:type="dxa"/>
            <w:tcBorders>
              <w:left w:val="single" w:sz="6" w:space="0" w:color="auto"/>
              <w:bottom w:val="single" w:sz="6" w:space="0" w:color="auto"/>
            </w:tcBorders>
          </w:tcPr>
          <w:p w:rsidR="003B6E11" w:rsidRPr="003B6E11" w:rsidRDefault="003B6E11" w:rsidP="002D015D">
            <w:pPr>
              <w:tabs>
                <w:tab w:val="left" w:pos="57"/>
                <w:tab w:val="left" w:pos="227"/>
              </w:tabs>
              <w:overflowPunct w:val="0"/>
              <w:adjustRightInd w:val="0"/>
              <w:textAlignment w:val="baseline"/>
              <w:rPr>
                <w:rFonts w:cs="Arial"/>
                <w:sz w:val="18"/>
                <w:szCs w:val="20"/>
                <w:lang w:val="cs-CZ"/>
              </w:rPr>
            </w:pPr>
            <w:r w:rsidRPr="003B6E11">
              <w:rPr>
                <w:sz w:val="18"/>
                <w:lang w:val="cs-CZ"/>
              </w:rPr>
              <w:t>21.</w:t>
            </w:r>
          </w:p>
        </w:tc>
        <w:tc>
          <w:tcPr>
            <w:tcW w:w="2778" w:type="dxa"/>
            <w:gridSpan w:val="2"/>
            <w:tcBorders>
              <w:bottom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 xml:space="preserve">Nosnost/výtlak </w:t>
            </w:r>
            <w:r w:rsidRPr="003B6E11">
              <w:rPr>
                <w:position w:val="6"/>
                <w:sz w:val="16"/>
                <w:lang w:val="cs-CZ"/>
              </w:rPr>
              <w:t>*)</w:t>
            </w:r>
            <w:r w:rsidRPr="003B6E11">
              <w:rPr>
                <w:sz w:val="18"/>
                <w:lang w:val="cs-CZ"/>
              </w:rPr>
              <w:t xml:space="preserve"> </w:t>
            </w:r>
            <w:r w:rsidRPr="003B6E11">
              <w:rPr>
                <w:rFonts w:cs="Arial"/>
                <w:sz w:val="18"/>
                <w:szCs w:val="20"/>
                <w:lang w:val="cs-CZ"/>
              </w:rPr>
              <w:br/>
            </w:r>
            <w:r w:rsidRPr="003B6E11">
              <w:rPr>
                <w:rFonts w:cs="Arial"/>
                <w:sz w:val="18"/>
                <w:szCs w:val="20"/>
                <w:lang w:val="cs-CZ"/>
              </w:rPr>
              <w:br/>
            </w:r>
            <w:r w:rsidRPr="003B6E11">
              <w:rPr>
                <w:lang w:val="cs-CZ"/>
              </w:rPr>
              <w:tab/>
            </w:r>
            <w:r w:rsidRPr="003B6E11">
              <w:rPr>
                <w:lang w:val="cs-CZ"/>
              </w:rPr>
              <w:tab/>
            </w:r>
            <w:r w:rsidRPr="003B6E11">
              <w:rPr>
                <w:lang w:val="cs-CZ"/>
              </w:rPr>
              <w:tab/>
            </w:r>
            <w:r w:rsidRPr="003B6E11">
              <w:rPr>
                <w:lang w:val="cs-CZ"/>
              </w:rPr>
              <w:tab/>
            </w:r>
            <w:r w:rsidRPr="003B6E11">
              <w:rPr>
                <w:lang w:val="cs-CZ"/>
              </w:rPr>
              <w:tab/>
            </w:r>
            <w:r w:rsidRPr="003B6E11">
              <w:rPr>
                <w:sz w:val="18"/>
                <w:lang w:val="cs-CZ"/>
              </w:rPr>
              <w:t>t/m</w:t>
            </w:r>
            <w:r w:rsidRPr="003B6E11">
              <w:rPr>
                <w:position w:val="6"/>
                <w:sz w:val="14"/>
                <w:lang w:val="cs-CZ"/>
              </w:rPr>
              <w:t>3*)</w:t>
            </w:r>
          </w:p>
        </w:tc>
        <w:tc>
          <w:tcPr>
            <w:tcW w:w="3062" w:type="dxa"/>
            <w:gridSpan w:val="2"/>
            <w:tcBorders>
              <w:left w:val="single" w:sz="6" w:space="0" w:color="auto"/>
              <w:bottom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22.</w:t>
            </w:r>
            <w:r w:rsidRPr="003B6E11">
              <w:rPr>
                <w:lang w:val="cs-CZ"/>
              </w:rPr>
              <w:tab/>
            </w:r>
            <w:r w:rsidRPr="003B6E11">
              <w:rPr>
                <w:sz w:val="18"/>
                <w:lang w:val="cs-CZ"/>
              </w:rPr>
              <w:t>Počet cestujících:</w:t>
            </w:r>
          </w:p>
        </w:tc>
        <w:tc>
          <w:tcPr>
            <w:tcW w:w="3065" w:type="dxa"/>
            <w:gridSpan w:val="2"/>
            <w:tcBorders>
              <w:left w:val="single" w:sz="6" w:space="0" w:color="auto"/>
              <w:bottom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23.</w:t>
            </w:r>
            <w:r w:rsidRPr="003B6E11">
              <w:rPr>
                <w:lang w:val="cs-CZ"/>
              </w:rPr>
              <w:tab/>
            </w:r>
            <w:r w:rsidRPr="003B6E11">
              <w:rPr>
                <w:sz w:val="18"/>
                <w:lang w:val="cs-CZ"/>
              </w:rPr>
              <w:t>Počet lůžek pro cestující:</w:t>
            </w:r>
            <w:r w:rsidRPr="003B6E11">
              <w:rPr>
                <w:rFonts w:cs="Arial"/>
                <w:sz w:val="18"/>
                <w:szCs w:val="20"/>
                <w:lang w:val="cs-CZ"/>
              </w:rPr>
              <w:br/>
            </w:r>
          </w:p>
        </w:tc>
      </w:tr>
      <w:tr w:rsidR="003B6E11" w:rsidRPr="003B6E11" w:rsidTr="002D015D">
        <w:trPr>
          <w:cantSplit/>
          <w:jc w:val="center"/>
        </w:trPr>
        <w:tc>
          <w:tcPr>
            <w:tcW w:w="284" w:type="dxa"/>
            <w:tcBorders>
              <w:left w:val="single" w:sz="6" w:space="0" w:color="auto"/>
              <w:bottom w:val="single" w:sz="6" w:space="0" w:color="auto"/>
            </w:tcBorders>
          </w:tcPr>
          <w:p w:rsidR="003B6E11" w:rsidRPr="003B6E11" w:rsidRDefault="003B6E11" w:rsidP="002D015D">
            <w:pPr>
              <w:tabs>
                <w:tab w:val="left" w:pos="57"/>
                <w:tab w:val="left" w:pos="227"/>
              </w:tabs>
              <w:overflowPunct w:val="0"/>
              <w:adjustRightInd w:val="0"/>
              <w:textAlignment w:val="baseline"/>
              <w:rPr>
                <w:rFonts w:cs="Arial"/>
                <w:sz w:val="18"/>
                <w:szCs w:val="20"/>
                <w:lang w:val="cs-CZ"/>
              </w:rPr>
            </w:pPr>
            <w:r w:rsidRPr="003B6E11">
              <w:rPr>
                <w:sz w:val="18"/>
                <w:lang w:val="cs-CZ"/>
              </w:rPr>
              <w:t>24.</w:t>
            </w:r>
          </w:p>
        </w:tc>
        <w:tc>
          <w:tcPr>
            <w:tcW w:w="2778" w:type="dxa"/>
            <w:gridSpan w:val="2"/>
            <w:tcBorders>
              <w:bottom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sz w:val="18"/>
                <w:lang w:val="cs-CZ"/>
              </w:rPr>
              <w:t>Počet vodotěsných příčných přepážek</w:t>
            </w:r>
            <w:r w:rsidRPr="003B6E11">
              <w:rPr>
                <w:rFonts w:cs="Arial"/>
                <w:sz w:val="18"/>
                <w:szCs w:val="20"/>
                <w:lang w:val="cs-CZ"/>
              </w:rPr>
              <w:br/>
            </w:r>
            <w:r w:rsidRPr="003B6E11">
              <w:rPr>
                <w:rFonts w:cs="Arial"/>
                <w:sz w:val="18"/>
                <w:szCs w:val="20"/>
                <w:lang w:val="cs-CZ"/>
              </w:rPr>
              <w:br/>
            </w:r>
            <w:r w:rsidRPr="003B6E11">
              <w:rPr>
                <w:lang w:val="cs-CZ"/>
              </w:rPr>
              <w:tab/>
            </w:r>
          </w:p>
        </w:tc>
        <w:tc>
          <w:tcPr>
            <w:tcW w:w="3062" w:type="dxa"/>
            <w:gridSpan w:val="2"/>
            <w:tcBorders>
              <w:left w:val="single" w:sz="6" w:space="0" w:color="auto"/>
              <w:bottom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25.</w:t>
            </w:r>
            <w:r w:rsidRPr="003B6E11">
              <w:rPr>
                <w:lang w:val="cs-CZ"/>
              </w:rPr>
              <w:tab/>
            </w:r>
            <w:r w:rsidRPr="003B6E11">
              <w:rPr>
                <w:sz w:val="18"/>
                <w:lang w:val="cs-CZ"/>
              </w:rPr>
              <w:t>Počet podpalubních nákladových prostorů</w:t>
            </w:r>
          </w:p>
        </w:tc>
        <w:tc>
          <w:tcPr>
            <w:tcW w:w="3065" w:type="dxa"/>
            <w:gridSpan w:val="2"/>
            <w:tcBorders>
              <w:left w:val="single" w:sz="6" w:space="0" w:color="auto"/>
              <w:bottom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26.</w:t>
            </w:r>
            <w:r w:rsidRPr="003B6E11">
              <w:rPr>
                <w:lang w:val="cs-CZ"/>
              </w:rPr>
              <w:tab/>
            </w:r>
            <w:r w:rsidRPr="003B6E11">
              <w:rPr>
                <w:sz w:val="18"/>
                <w:lang w:val="cs-CZ"/>
              </w:rPr>
              <w:t>Druh krytů jícnů</w:t>
            </w:r>
            <w:r w:rsidRPr="003B6E11">
              <w:rPr>
                <w:rFonts w:cs="Arial"/>
                <w:sz w:val="18"/>
                <w:szCs w:val="20"/>
                <w:lang w:val="cs-CZ"/>
              </w:rPr>
              <w:br/>
            </w:r>
          </w:p>
        </w:tc>
      </w:tr>
      <w:tr w:rsidR="003B6E11" w:rsidRPr="003B6E11" w:rsidTr="002D015D">
        <w:trPr>
          <w:cantSplit/>
          <w:jc w:val="center"/>
        </w:trPr>
        <w:tc>
          <w:tcPr>
            <w:tcW w:w="284" w:type="dxa"/>
            <w:tcBorders>
              <w:left w:val="single" w:sz="6" w:space="0" w:color="auto"/>
              <w:bottom w:val="single" w:sz="6" w:space="0" w:color="auto"/>
            </w:tcBorders>
          </w:tcPr>
          <w:p w:rsidR="003B6E11" w:rsidRPr="003B6E11" w:rsidRDefault="003B6E11" w:rsidP="002D015D">
            <w:pPr>
              <w:tabs>
                <w:tab w:val="left" w:pos="57"/>
                <w:tab w:val="left" w:pos="227"/>
              </w:tabs>
              <w:overflowPunct w:val="0"/>
              <w:adjustRightInd w:val="0"/>
              <w:textAlignment w:val="baseline"/>
              <w:rPr>
                <w:rFonts w:cs="Arial"/>
                <w:sz w:val="18"/>
                <w:szCs w:val="20"/>
                <w:lang w:val="cs-CZ"/>
              </w:rPr>
            </w:pPr>
            <w:r w:rsidRPr="003B6E11">
              <w:rPr>
                <w:sz w:val="18"/>
                <w:lang w:val="cs-CZ"/>
              </w:rPr>
              <w:t>27.</w:t>
            </w:r>
          </w:p>
        </w:tc>
        <w:tc>
          <w:tcPr>
            <w:tcW w:w="2778" w:type="dxa"/>
            <w:gridSpan w:val="2"/>
            <w:tcBorders>
              <w:bottom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Počet hlavních pohonných motorů</w:t>
            </w:r>
            <w:r w:rsidRPr="003B6E11">
              <w:rPr>
                <w:rFonts w:cs="Arial"/>
                <w:sz w:val="18"/>
                <w:szCs w:val="20"/>
                <w:lang w:val="cs-CZ"/>
              </w:rPr>
              <w:br/>
            </w:r>
          </w:p>
        </w:tc>
        <w:tc>
          <w:tcPr>
            <w:tcW w:w="3062" w:type="dxa"/>
            <w:gridSpan w:val="2"/>
            <w:tcBorders>
              <w:left w:val="single" w:sz="6" w:space="0" w:color="auto"/>
              <w:bottom w:val="single" w:sz="6" w:space="0" w:color="auto"/>
              <w:right w:val="single" w:sz="6" w:space="0" w:color="auto"/>
            </w:tcBorders>
          </w:tcPr>
          <w:p w:rsidR="003B6E11" w:rsidRPr="003B6E11" w:rsidRDefault="003B6E11" w:rsidP="002D015D">
            <w:pPr>
              <w:tabs>
                <w:tab w:val="left" w:pos="57"/>
                <w:tab w:val="left" w:pos="340"/>
                <w:tab w:val="left" w:pos="2242"/>
              </w:tabs>
              <w:overflowPunct w:val="0"/>
              <w:adjustRightInd w:val="0"/>
              <w:textAlignment w:val="baseline"/>
              <w:rPr>
                <w:rFonts w:cs="Arial"/>
                <w:sz w:val="18"/>
                <w:szCs w:val="20"/>
                <w:lang w:val="cs-CZ"/>
              </w:rPr>
            </w:pPr>
            <w:r w:rsidRPr="003B6E11">
              <w:rPr>
                <w:lang w:val="cs-CZ"/>
              </w:rPr>
              <w:tab/>
            </w:r>
            <w:r w:rsidRPr="003B6E11">
              <w:rPr>
                <w:sz w:val="18"/>
                <w:lang w:val="cs-CZ"/>
              </w:rPr>
              <w:t>28.</w:t>
            </w:r>
            <w:r w:rsidRPr="003B6E11">
              <w:rPr>
                <w:lang w:val="cs-CZ"/>
              </w:rPr>
              <w:t xml:space="preserve"> </w:t>
            </w:r>
            <w:r w:rsidRPr="003B6E11">
              <w:rPr>
                <w:sz w:val="18"/>
                <w:lang w:val="cs-CZ"/>
              </w:rPr>
              <w:t>Celkový výkon hlavního pohonného zařízení</w:t>
            </w:r>
            <w:r w:rsidRPr="003B6E11">
              <w:rPr>
                <w:rFonts w:cs="Arial"/>
                <w:sz w:val="18"/>
                <w:szCs w:val="20"/>
                <w:lang w:val="cs-CZ"/>
              </w:rPr>
              <w:br/>
            </w:r>
            <w:r w:rsidRPr="003B6E11">
              <w:rPr>
                <w:rFonts w:cs="Arial"/>
                <w:sz w:val="18"/>
                <w:szCs w:val="20"/>
                <w:lang w:val="cs-CZ"/>
              </w:rPr>
              <w:br/>
            </w:r>
            <w:r w:rsidRPr="003B6E11">
              <w:rPr>
                <w:lang w:val="cs-CZ"/>
              </w:rPr>
              <w:tab/>
            </w:r>
            <w:r w:rsidRPr="003B6E11">
              <w:rPr>
                <w:lang w:val="cs-CZ"/>
              </w:rPr>
              <w:tab/>
            </w:r>
            <w:r w:rsidRPr="003B6E11">
              <w:rPr>
                <w:lang w:val="cs-CZ"/>
              </w:rPr>
              <w:tab/>
            </w:r>
            <w:r w:rsidRPr="003B6E11">
              <w:rPr>
                <w:sz w:val="18"/>
                <w:lang w:val="cs-CZ"/>
              </w:rPr>
              <w:t xml:space="preserve">kW </w:t>
            </w:r>
          </w:p>
        </w:tc>
        <w:tc>
          <w:tcPr>
            <w:tcW w:w="3065" w:type="dxa"/>
            <w:gridSpan w:val="2"/>
            <w:tcBorders>
              <w:bottom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29.</w:t>
            </w:r>
            <w:r w:rsidRPr="003B6E11">
              <w:rPr>
                <w:lang w:val="cs-CZ"/>
              </w:rPr>
              <w:tab/>
            </w:r>
            <w:r w:rsidRPr="003B6E11">
              <w:rPr>
                <w:sz w:val="18"/>
                <w:lang w:val="cs-CZ"/>
              </w:rPr>
              <w:t>Počet hlavních lodních vrtulí</w:t>
            </w:r>
            <w:r w:rsidRPr="003B6E11">
              <w:rPr>
                <w:rFonts w:cs="Arial"/>
                <w:sz w:val="18"/>
                <w:szCs w:val="20"/>
                <w:lang w:val="cs-CZ"/>
              </w:rPr>
              <w:br/>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r w:rsidRPr="003B6E11">
              <w:rPr>
                <w:sz w:val="18"/>
                <w:lang w:val="cs-CZ"/>
              </w:rPr>
              <w:t>30.</w:t>
            </w:r>
          </w:p>
        </w:tc>
        <w:tc>
          <w:tcPr>
            <w:tcW w:w="2014" w:type="dxa"/>
          </w:tcPr>
          <w:p w:rsidR="003B6E11" w:rsidRPr="003B6E11" w:rsidRDefault="003B6E11" w:rsidP="002D015D">
            <w:pPr>
              <w:tabs>
                <w:tab w:val="left" w:pos="57"/>
              </w:tabs>
              <w:overflowPunct w:val="0"/>
              <w:adjustRightInd w:val="0"/>
              <w:textAlignment w:val="baseline"/>
              <w:rPr>
                <w:rFonts w:cs="Arial"/>
                <w:sz w:val="18"/>
                <w:szCs w:val="20"/>
                <w:lang w:val="cs-CZ"/>
              </w:rPr>
            </w:pPr>
            <w:r w:rsidRPr="003B6E11">
              <w:rPr>
                <w:lang w:val="cs-CZ"/>
              </w:rPr>
              <w:tab/>
            </w:r>
            <w:r w:rsidRPr="003B6E11">
              <w:rPr>
                <w:sz w:val="18"/>
                <w:lang w:val="cs-CZ"/>
              </w:rPr>
              <w:t>Počet kotevních vrátků na přídi</w:t>
            </w:r>
            <w:r w:rsidRPr="003B6E11">
              <w:rPr>
                <w:rFonts w:cs="Arial"/>
                <w:sz w:val="18"/>
                <w:szCs w:val="20"/>
                <w:lang w:val="cs-CZ"/>
              </w:rPr>
              <w:br/>
            </w:r>
            <w:r w:rsidRPr="003B6E11">
              <w:rPr>
                <w:lang w:val="cs-CZ"/>
              </w:rPr>
              <w:tab/>
            </w:r>
          </w:p>
        </w:tc>
        <w:tc>
          <w:tcPr>
            <w:tcW w:w="2297" w:type="dxa"/>
            <w:gridSpan w:val="2"/>
            <w:tcBorders>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z toho ……… se strojním pohonem</w:t>
            </w:r>
          </w:p>
        </w:tc>
        <w:tc>
          <w:tcPr>
            <w:tcW w:w="2297" w:type="dxa"/>
            <w:gridSpan w:val="2"/>
          </w:tcPr>
          <w:p w:rsidR="003B6E11" w:rsidRPr="003B6E11" w:rsidRDefault="003B6E11" w:rsidP="002D015D">
            <w:pPr>
              <w:tabs>
                <w:tab w:val="left" w:pos="340"/>
              </w:tabs>
              <w:overflowPunct w:val="0"/>
              <w:adjustRightInd w:val="0"/>
              <w:ind w:left="284" w:hanging="284"/>
              <w:textAlignment w:val="baseline"/>
              <w:rPr>
                <w:rFonts w:cs="Arial"/>
                <w:sz w:val="18"/>
                <w:szCs w:val="20"/>
                <w:lang w:val="cs-CZ"/>
              </w:rPr>
            </w:pPr>
            <w:r w:rsidRPr="003B6E11">
              <w:rPr>
                <w:sz w:val="18"/>
                <w:lang w:val="cs-CZ"/>
              </w:rPr>
              <w:t>31.</w:t>
            </w:r>
            <w:r w:rsidRPr="003B6E11">
              <w:rPr>
                <w:lang w:val="cs-CZ"/>
              </w:rPr>
              <w:tab/>
            </w:r>
            <w:r w:rsidRPr="003B6E11">
              <w:rPr>
                <w:sz w:val="18"/>
                <w:lang w:val="cs-CZ"/>
              </w:rPr>
              <w:t>Počet kotevních vrátků na zádi</w:t>
            </w:r>
          </w:p>
        </w:tc>
        <w:tc>
          <w:tcPr>
            <w:tcW w:w="2297" w:type="dxa"/>
            <w:tcBorders>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z toho ……… se strojním pohonem</w:t>
            </w:r>
          </w:p>
        </w:tc>
      </w:tr>
      <w:tr w:rsidR="003B6E11" w:rsidRPr="003B6E11" w:rsidTr="002D015D">
        <w:trPr>
          <w:cantSplit/>
          <w:jc w:val="center"/>
        </w:trPr>
        <w:tc>
          <w:tcPr>
            <w:tcW w:w="284" w:type="dxa"/>
            <w:tcBorders>
              <w:left w:val="single" w:sz="6" w:space="0" w:color="auto"/>
              <w:bottom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p>
        </w:tc>
        <w:tc>
          <w:tcPr>
            <w:tcW w:w="2014" w:type="dxa"/>
            <w:tcBorders>
              <w:bottom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r w:rsidRPr="003B6E11">
              <w:rPr>
                <w:rFonts w:cs="Arial"/>
                <w:sz w:val="18"/>
                <w:szCs w:val="20"/>
                <w:lang w:val="cs-CZ"/>
              </w:rPr>
              <w:br/>
            </w:r>
          </w:p>
        </w:tc>
        <w:tc>
          <w:tcPr>
            <w:tcW w:w="2297" w:type="dxa"/>
            <w:gridSpan w:val="2"/>
            <w:tcBorders>
              <w:left w:val="single" w:sz="6" w:space="0" w:color="auto"/>
              <w:bottom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rFonts w:cs="Arial"/>
                <w:sz w:val="18"/>
                <w:szCs w:val="20"/>
                <w:lang w:val="cs-CZ"/>
              </w:rPr>
              <w:br/>
            </w:r>
          </w:p>
        </w:tc>
        <w:tc>
          <w:tcPr>
            <w:tcW w:w="2297" w:type="dxa"/>
            <w:gridSpan w:val="2"/>
            <w:tcBorders>
              <w:bottom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p>
        </w:tc>
        <w:tc>
          <w:tcPr>
            <w:tcW w:w="2297" w:type="dxa"/>
            <w:tcBorders>
              <w:bottom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textAlignment w:val="baseline"/>
              <w:rPr>
                <w:rFonts w:cs="Arial"/>
                <w:sz w:val="18"/>
                <w:szCs w:val="20"/>
                <w:lang w:val="cs-CZ"/>
              </w:rPr>
            </w:pPr>
            <w:r w:rsidRPr="003B6E11">
              <w:rPr>
                <w:sz w:val="18"/>
                <w:lang w:val="cs-CZ"/>
              </w:rPr>
              <w:t>32.</w:t>
            </w:r>
          </w:p>
        </w:tc>
        <w:tc>
          <w:tcPr>
            <w:tcW w:w="2778" w:type="dxa"/>
            <w:gridSpan w:val="2"/>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Počet vlečných háků</w:t>
            </w:r>
            <w:r w:rsidRPr="003B6E11">
              <w:rPr>
                <w:rFonts w:cs="Arial"/>
                <w:sz w:val="18"/>
                <w:szCs w:val="20"/>
                <w:lang w:val="cs-CZ"/>
              </w:rPr>
              <w:br/>
            </w:r>
          </w:p>
        </w:tc>
        <w:tc>
          <w:tcPr>
            <w:tcW w:w="3062" w:type="dxa"/>
            <w:gridSpan w:val="2"/>
            <w:tcBorders>
              <w:lef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33.</w:t>
            </w:r>
            <w:r w:rsidRPr="003B6E11">
              <w:rPr>
                <w:lang w:val="cs-CZ"/>
              </w:rPr>
              <w:tab/>
            </w:r>
            <w:r w:rsidRPr="003B6E11">
              <w:rPr>
                <w:sz w:val="18"/>
                <w:lang w:val="cs-CZ"/>
              </w:rPr>
              <w:t>Počet vlečných navijáků</w:t>
            </w:r>
          </w:p>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sz w:val="18"/>
                <w:lang w:val="cs-CZ"/>
              </w:rPr>
              <w:t>z toho</w:t>
            </w:r>
          </w:p>
        </w:tc>
        <w:tc>
          <w:tcPr>
            <w:tcW w:w="3065" w:type="dxa"/>
            <w:gridSpan w:val="2"/>
            <w:tcBorders>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sz w:val="18"/>
                <w:lang w:val="cs-CZ"/>
              </w:rPr>
              <w:t xml:space="preserve"> z toho ...................................... </w:t>
            </w:r>
          </w:p>
        </w:tc>
      </w:tr>
      <w:tr w:rsidR="003B6E11" w:rsidRPr="003B6E11" w:rsidTr="002D015D">
        <w:trPr>
          <w:cantSplit/>
          <w:jc w:val="center"/>
        </w:trPr>
        <w:tc>
          <w:tcPr>
            <w:tcW w:w="284" w:type="dxa"/>
            <w:tcBorders>
              <w:left w:val="single" w:sz="6" w:space="0" w:color="auto"/>
              <w:bottom w:val="single" w:sz="6" w:space="0" w:color="auto"/>
            </w:tcBorders>
          </w:tcPr>
          <w:p w:rsidR="003B6E11" w:rsidRPr="003B6E11" w:rsidRDefault="003B6E11" w:rsidP="002D015D">
            <w:pPr>
              <w:tabs>
                <w:tab w:val="left" w:pos="57"/>
                <w:tab w:val="left" w:pos="227"/>
              </w:tabs>
              <w:overflowPunct w:val="0"/>
              <w:adjustRightInd w:val="0"/>
              <w:textAlignment w:val="baseline"/>
              <w:rPr>
                <w:rFonts w:cs="Arial"/>
                <w:sz w:val="18"/>
                <w:szCs w:val="20"/>
                <w:lang w:val="cs-CZ"/>
              </w:rPr>
            </w:pPr>
          </w:p>
        </w:tc>
        <w:tc>
          <w:tcPr>
            <w:tcW w:w="2778" w:type="dxa"/>
            <w:gridSpan w:val="2"/>
            <w:tcBorders>
              <w:bottom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rFonts w:cs="Arial"/>
                <w:sz w:val="18"/>
                <w:szCs w:val="20"/>
                <w:lang w:val="cs-CZ"/>
              </w:rPr>
              <w:br/>
            </w:r>
          </w:p>
        </w:tc>
        <w:tc>
          <w:tcPr>
            <w:tcW w:w="3062" w:type="dxa"/>
            <w:gridSpan w:val="2"/>
            <w:tcBorders>
              <w:left w:val="single" w:sz="6" w:space="0" w:color="auto"/>
              <w:bottom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rFonts w:cs="Arial"/>
                <w:sz w:val="18"/>
                <w:szCs w:val="20"/>
                <w:lang w:val="cs-CZ"/>
              </w:rPr>
              <w:br/>
            </w:r>
          </w:p>
        </w:tc>
        <w:tc>
          <w:tcPr>
            <w:tcW w:w="3065" w:type="dxa"/>
            <w:gridSpan w:val="2"/>
            <w:tcBorders>
              <w:bottom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r w:rsidRPr="003B6E11">
              <w:rPr>
                <w:sz w:val="18"/>
                <w:lang w:val="cs-CZ"/>
              </w:rPr>
              <w:t>34.</w:t>
            </w:r>
          </w:p>
        </w:tc>
        <w:tc>
          <w:tcPr>
            <w:tcW w:w="2014" w:type="dxa"/>
          </w:tcPr>
          <w:p w:rsidR="003B6E11" w:rsidRPr="003B6E11" w:rsidRDefault="003B6E11" w:rsidP="002D015D">
            <w:pPr>
              <w:tabs>
                <w:tab w:val="left" w:pos="57"/>
              </w:tabs>
              <w:overflowPunct w:val="0"/>
              <w:adjustRightInd w:val="0"/>
              <w:textAlignment w:val="baseline"/>
              <w:rPr>
                <w:rFonts w:cs="Arial"/>
                <w:sz w:val="18"/>
                <w:szCs w:val="20"/>
                <w:lang w:val="cs-CZ"/>
              </w:rPr>
            </w:pPr>
            <w:r w:rsidRPr="003B6E11">
              <w:rPr>
                <w:lang w:val="cs-CZ"/>
              </w:rPr>
              <w:tab/>
            </w:r>
            <w:r w:rsidRPr="003B6E11">
              <w:rPr>
                <w:sz w:val="18"/>
                <w:lang w:val="cs-CZ"/>
              </w:rPr>
              <w:t>Kormidelní stroj</w:t>
            </w:r>
          </w:p>
        </w:tc>
        <w:tc>
          <w:tcPr>
            <w:tcW w:w="2297" w:type="dxa"/>
            <w:gridSpan w:val="2"/>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p>
        </w:tc>
        <w:tc>
          <w:tcPr>
            <w:tcW w:w="2297" w:type="dxa"/>
            <w:gridSpan w:val="2"/>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p>
        </w:tc>
        <w:tc>
          <w:tcPr>
            <w:tcW w:w="2297" w:type="dxa"/>
            <w:tcBorders>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p>
        </w:tc>
        <w:tc>
          <w:tcPr>
            <w:tcW w:w="2014" w:type="dxa"/>
            <w:tcBorders>
              <w:bottom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r w:rsidRPr="003B6E11">
              <w:rPr>
                <w:lang w:val="cs-CZ"/>
              </w:rPr>
              <w:tab/>
            </w:r>
            <w:r w:rsidRPr="003B6E11">
              <w:rPr>
                <w:sz w:val="18"/>
                <w:lang w:val="cs-CZ"/>
              </w:rPr>
              <w:t>Počet kormidelních ploutví na hlavním kormidle</w:t>
            </w:r>
            <w:r w:rsidRPr="003B6E11">
              <w:rPr>
                <w:rFonts w:cs="Arial"/>
                <w:sz w:val="18"/>
                <w:szCs w:val="20"/>
                <w:lang w:val="cs-CZ"/>
              </w:rPr>
              <w:br/>
            </w:r>
            <w:r w:rsidRPr="003B6E11">
              <w:rPr>
                <w:rFonts w:cs="Arial"/>
                <w:sz w:val="18"/>
                <w:szCs w:val="20"/>
                <w:lang w:val="cs-CZ"/>
              </w:rPr>
              <w:br/>
            </w:r>
          </w:p>
        </w:tc>
        <w:tc>
          <w:tcPr>
            <w:tcW w:w="2297" w:type="dxa"/>
            <w:gridSpan w:val="2"/>
            <w:tcBorders>
              <w:left w:val="single" w:sz="6" w:space="0" w:color="auto"/>
              <w:bottom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Pohon hlavního kormidla</w:t>
            </w:r>
            <w:r w:rsidRPr="003B6E11">
              <w:rPr>
                <w:rFonts w:cs="Arial"/>
                <w:sz w:val="18"/>
                <w:szCs w:val="20"/>
                <w:lang w:val="cs-CZ"/>
              </w:rPr>
              <w:br/>
            </w:r>
            <w:r w:rsidRPr="003B6E11">
              <w:rPr>
                <w:rFonts w:cs="Arial"/>
                <w:sz w:val="18"/>
                <w:szCs w:val="20"/>
                <w:lang w:val="cs-CZ"/>
              </w:rPr>
              <w:br/>
            </w:r>
          </w:p>
        </w:tc>
        <w:tc>
          <w:tcPr>
            <w:tcW w:w="2297" w:type="dxa"/>
            <w:gridSpan w:val="2"/>
            <w:tcBorders>
              <w:left w:val="single" w:sz="6" w:space="0" w:color="auto"/>
              <w:bottom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w:t>
            </w:r>
            <w:r w:rsidRPr="003B6E11">
              <w:rPr>
                <w:lang w:val="cs-CZ"/>
              </w:rPr>
              <w:tab/>
            </w:r>
            <w:r w:rsidRPr="003B6E11">
              <w:rPr>
                <w:sz w:val="18"/>
                <w:lang w:val="cs-CZ"/>
              </w:rPr>
              <w:t xml:space="preserve">ruční </w:t>
            </w:r>
            <w:r w:rsidRPr="003B6E11">
              <w:rPr>
                <w:position w:val="6"/>
                <w:sz w:val="16"/>
                <w:lang w:val="cs-CZ"/>
              </w:rPr>
              <w:t xml:space="preserve">*) </w:t>
            </w:r>
            <w:r w:rsidRPr="003B6E11">
              <w:rPr>
                <w:rFonts w:cs="Arial"/>
                <w:sz w:val="18"/>
                <w:szCs w:val="20"/>
                <w:lang w:val="cs-CZ"/>
              </w:rPr>
              <w:br/>
            </w:r>
            <w:r w:rsidRPr="003B6E11">
              <w:rPr>
                <w:lang w:val="cs-CZ"/>
              </w:rPr>
              <w:tab/>
            </w:r>
            <w:r w:rsidRPr="003B6E11">
              <w:rPr>
                <w:sz w:val="18"/>
                <w:lang w:val="cs-CZ"/>
              </w:rPr>
              <w:t>–</w:t>
            </w:r>
            <w:r w:rsidRPr="003B6E11">
              <w:rPr>
                <w:lang w:val="cs-CZ"/>
              </w:rPr>
              <w:tab/>
            </w:r>
            <w:r w:rsidRPr="003B6E11">
              <w:rPr>
                <w:sz w:val="18"/>
                <w:lang w:val="cs-CZ"/>
              </w:rPr>
              <w:t xml:space="preserve">elektrický </w:t>
            </w:r>
            <w:r w:rsidRPr="003B6E11">
              <w:rPr>
                <w:position w:val="6"/>
                <w:sz w:val="16"/>
                <w:lang w:val="cs-CZ"/>
              </w:rPr>
              <w:t xml:space="preserve">*) </w:t>
            </w:r>
            <w:r w:rsidRPr="003B6E11">
              <w:rPr>
                <w:rFonts w:cs="Arial"/>
                <w:sz w:val="18"/>
                <w:szCs w:val="20"/>
                <w:lang w:val="cs-CZ"/>
              </w:rPr>
              <w:br/>
            </w:r>
          </w:p>
        </w:tc>
        <w:tc>
          <w:tcPr>
            <w:tcW w:w="2297" w:type="dxa"/>
            <w:tcBorders>
              <w:left w:val="single" w:sz="6" w:space="0" w:color="auto"/>
              <w:bottom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w:t>
            </w:r>
            <w:r w:rsidRPr="003B6E11">
              <w:rPr>
                <w:lang w:val="cs-CZ"/>
              </w:rPr>
              <w:tab/>
            </w:r>
            <w:r w:rsidRPr="003B6E11">
              <w:rPr>
                <w:sz w:val="18"/>
                <w:lang w:val="cs-CZ"/>
              </w:rPr>
              <w:t xml:space="preserve">elektrický/hydraulický </w:t>
            </w:r>
            <w:r w:rsidRPr="003B6E11">
              <w:rPr>
                <w:position w:val="6"/>
                <w:sz w:val="16"/>
                <w:lang w:val="cs-CZ"/>
              </w:rPr>
              <w:t>*)</w:t>
            </w:r>
            <w:r w:rsidRPr="003B6E11">
              <w:rPr>
                <w:rFonts w:cs="Arial"/>
                <w:sz w:val="18"/>
                <w:szCs w:val="20"/>
                <w:lang w:val="cs-CZ"/>
              </w:rPr>
              <w:br/>
            </w:r>
            <w:r w:rsidRPr="003B6E11">
              <w:rPr>
                <w:lang w:val="cs-CZ"/>
              </w:rPr>
              <w:tab/>
            </w:r>
            <w:r w:rsidRPr="003B6E11">
              <w:rPr>
                <w:sz w:val="18"/>
                <w:lang w:val="cs-CZ"/>
              </w:rPr>
              <w:t>–</w:t>
            </w:r>
            <w:r w:rsidRPr="003B6E11">
              <w:rPr>
                <w:lang w:val="cs-CZ"/>
              </w:rPr>
              <w:tab/>
            </w:r>
            <w:r w:rsidRPr="003B6E11">
              <w:rPr>
                <w:sz w:val="18"/>
                <w:lang w:val="cs-CZ"/>
              </w:rPr>
              <w:t xml:space="preserve">hydraulický </w:t>
            </w:r>
            <w:r w:rsidRPr="003B6E11">
              <w:rPr>
                <w:position w:val="6"/>
                <w:sz w:val="16"/>
                <w:lang w:val="cs-CZ"/>
              </w:rPr>
              <w:t>*)</w:t>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textAlignment w:val="baseline"/>
              <w:rPr>
                <w:rFonts w:cs="Arial"/>
                <w:sz w:val="18"/>
                <w:szCs w:val="20"/>
                <w:lang w:val="cs-CZ"/>
              </w:rPr>
            </w:pPr>
          </w:p>
        </w:tc>
        <w:tc>
          <w:tcPr>
            <w:tcW w:w="8905" w:type="dxa"/>
            <w:gridSpan w:val="6"/>
            <w:tcBorders>
              <w:top w:val="single" w:sz="6" w:space="0" w:color="auto"/>
              <w:bottom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Jiná zařízení: ano/ne</w:t>
            </w:r>
            <w:r w:rsidRPr="003B6E11">
              <w:rPr>
                <w:position w:val="6"/>
                <w:sz w:val="16"/>
                <w:lang w:val="cs-CZ"/>
              </w:rPr>
              <w:t>*)</w:t>
            </w:r>
            <w:r w:rsidRPr="003B6E11">
              <w:rPr>
                <w:sz w:val="18"/>
                <w:lang w:val="cs-CZ"/>
              </w:rPr>
              <w:t xml:space="preserve"> Druh:</w:t>
            </w:r>
            <w:r w:rsidRPr="003B6E11">
              <w:rPr>
                <w:rFonts w:cs="Arial"/>
                <w:sz w:val="18"/>
                <w:szCs w:val="20"/>
                <w:lang w:val="cs-CZ"/>
              </w:rPr>
              <w:br/>
            </w:r>
            <w:r w:rsidRPr="003B6E11">
              <w:rPr>
                <w:rFonts w:cs="Arial"/>
                <w:sz w:val="18"/>
                <w:szCs w:val="20"/>
                <w:lang w:val="cs-CZ"/>
              </w:rPr>
              <w:br/>
            </w:r>
            <w:r w:rsidRPr="003B6E11">
              <w:rPr>
                <w:sz w:val="18"/>
                <w:lang w:val="cs-CZ"/>
              </w:rPr>
              <w:t xml:space="preserve"> </w:t>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p>
        </w:tc>
        <w:tc>
          <w:tcPr>
            <w:tcW w:w="2014" w:type="dxa"/>
          </w:tcPr>
          <w:p w:rsidR="003B6E11" w:rsidRPr="003B6E11" w:rsidRDefault="003B6E11" w:rsidP="002D015D">
            <w:pPr>
              <w:tabs>
                <w:tab w:val="left" w:pos="57"/>
              </w:tabs>
              <w:overflowPunct w:val="0"/>
              <w:adjustRightInd w:val="0"/>
              <w:textAlignment w:val="baseline"/>
              <w:rPr>
                <w:rFonts w:cs="Arial"/>
                <w:sz w:val="18"/>
                <w:szCs w:val="20"/>
                <w:lang w:val="cs-CZ"/>
              </w:rPr>
            </w:pPr>
            <w:r w:rsidRPr="003B6E11">
              <w:rPr>
                <w:lang w:val="cs-CZ"/>
              </w:rPr>
              <w:tab/>
            </w:r>
            <w:r w:rsidRPr="003B6E11">
              <w:rPr>
                <w:sz w:val="18"/>
                <w:lang w:val="cs-CZ"/>
              </w:rPr>
              <w:t>Kormidlo chodu zpět:</w:t>
            </w:r>
          </w:p>
          <w:p w:rsidR="003B6E11" w:rsidRPr="003B6E11" w:rsidRDefault="003B6E11" w:rsidP="002D015D">
            <w:pPr>
              <w:tabs>
                <w:tab w:val="left" w:pos="57"/>
              </w:tabs>
              <w:overflowPunct w:val="0"/>
              <w:adjustRightInd w:val="0"/>
              <w:textAlignment w:val="baseline"/>
              <w:rPr>
                <w:rFonts w:cs="Arial"/>
                <w:sz w:val="18"/>
                <w:szCs w:val="20"/>
                <w:lang w:val="cs-CZ"/>
              </w:rPr>
            </w:pPr>
            <w:r w:rsidRPr="003B6E11">
              <w:rPr>
                <w:lang w:val="cs-CZ"/>
              </w:rPr>
              <w:tab/>
            </w:r>
            <w:r w:rsidRPr="003B6E11">
              <w:rPr>
                <w:sz w:val="18"/>
                <w:lang w:val="cs-CZ"/>
              </w:rPr>
              <w:t xml:space="preserve">ano/ne </w:t>
            </w:r>
            <w:r w:rsidRPr="003B6E11">
              <w:rPr>
                <w:position w:val="6"/>
                <w:sz w:val="16"/>
                <w:lang w:val="cs-CZ"/>
              </w:rPr>
              <w:t>*)</w:t>
            </w:r>
          </w:p>
        </w:tc>
        <w:tc>
          <w:tcPr>
            <w:tcW w:w="2297" w:type="dxa"/>
            <w:gridSpan w:val="2"/>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Pohon kormidla chodu zpět:</w:t>
            </w:r>
          </w:p>
        </w:tc>
        <w:tc>
          <w:tcPr>
            <w:tcW w:w="2297" w:type="dxa"/>
            <w:gridSpan w:val="2"/>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p>
        </w:tc>
        <w:tc>
          <w:tcPr>
            <w:tcW w:w="2297" w:type="dxa"/>
            <w:tcBorders>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p>
        </w:tc>
        <w:tc>
          <w:tcPr>
            <w:tcW w:w="2014" w:type="dxa"/>
            <w:tcBorders>
              <w:bottom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r w:rsidRPr="003B6E11">
              <w:rPr>
                <w:rFonts w:cs="Arial"/>
                <w:sz w:val="18"/>
                <w:szCs w:val="20"/>
                <w:lang w:val="cs-CZ"/>
              </w:rPr>
              <w:br/>
            </w:r>
          </w:p>
        </w:tc>
        <w:tc>
          <w:tcPr>
            <w:tcW w:w="2297" w:type="dxa"/>
            <w:gridSpan w:val="2"/>
            <w:tcBorders>
              <w:left w:val="single" w:sz="6" w:space="0" w:color="auto"/>
              <w:bottom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rFonts w:cs="Arial"/>
                <w:sz w:val="18"/>
                <w:szCs w:val="20"/>
                <w:lang w:val="cs-CZ"/>
              </w:rPr>
              <w:br/>
            </w:r>
            <w:r w:rsidRPr="003B6E11">
              <w:rPr>
                <w:rFonts w:cs="Arial"/>
                <w:sz w:val="18"/>
                <w:szCs w:val="20"/>
                <w:lang w:val="cs-CZ"/>
              </w:rPr>
              <w:br/>
            </w:r>
          </w:p>
        </w:tc>
        <w:tc>
          <w:tcPr>
            <w:tcW w:w="2297" w:type="dxa"/>
            <w:gridSpan w:val="2"/>
            <w:tcBorders>
              <w:left w:val="single" w:sz="6" w:space="0" w:color="auto"/>
              <w:bottom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w:t>
            </w:r>
            <w:r w:rsidRPr="003B6E11">
              <w:rPr>
                <w:lang w:val="cs-CZ"/>
              </w:rPr>
              <w:tab/>
            </w:r>
            <w:r w:rsidRPr="003B6E11">
              <w:rPr>
                <w:sz w:val="18"/>
                <w:lang w:val="cs-CZ"/>
              </w:rPr>
              <w:t xml:space="preserve">ruční </w:t>
            </w:r>
            <w:r w:rsidRPr="003B6E11">
              <w:rPr>
                <w:position w:val="6"/>
                <w:sz w:val="16"/>
                <w:lang w:val="cs-CZ"/>
              </w:rPr>
              <w:t>*)</w:t>
            </w:r>
            <w:r w:rsidRPr="003B6E11">
              <w:rPr>
                <w:rFonts w:cs="Arial"/>
                <w:sz w:val="18"/>
                <w:szCs w:val="20"/>
                <w:lang w:val="cs-CZ"/>
              </w:rPr>
              <w:br/>
            </w:r>
            <w:r w:rsidRPr="003B6E11">
              <w:rPr>
                <w:lang w:val="cs-CZ"/>
              </w:rPr>
              <w:tab/>
            </w:r>
            <w:r w:rsidRPr="003B6E11">
              <w:rPr>
                <w:sz w:val="18"/>
                <w:lang w:val="cs-CZ"/>
              </w:rPr>
              <w:t>–</w:t>
            </w:r>
            <w:r w:rsidRPr="003B6E11">
              <w:rPr>
                <w:lang w:val="cs-CZ"/>
              </w:rPr>
              <w:tab/>
            </w:r>
            <w:r w:rsidRPr="003B6E11">
              <w:rPr>
                <w:sz w:val="18"/>
                <w:lang w:val="cs-CZ"/>
              </w:rPr>
              <w:t xml:space="preserve">elektrický </w:t>
            </w:r>
            <w:r w:rsidRPr="003B6E11">
              <w:rPr>
                <w:position w:val="6"/>
                <w:sz w:val="16"/>
                <w:lang w:val="cs-CZ"/>
              </w:rPr>
              <w:t xml:space="preserve">*) </w:t>
            </w:r>
            <w:r w:rsidRPr="003B6E11">
              <w:rPr>
                <w:rFonts w:cs="Arial"/>
                <w:sz w:val="18"/>
                <w:szCs w:val="20"/>
                <w:lang w:val="cs-CZ"/>
              </w:rPr>
              <w:br/>
            </w:r>
          </w:p>
        </w:tc>
        <w:tc>
          <w:tcPr>
            <w:tcW w:w="2297" w:type="dxa"/>
            <w:tcBorders>
              <w:left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w:t>
            </w:r>
            <w:r w:rsidRPr="003B6E11">
              <w:rPr>
                <w:lang w:val="cs-CZ"/>
              </w:rPr>
              <w:tab/>
            </w:r>
            <w:r w:rsidRPr="003B6E11">
              <w:rPr>
                <w:sz w:val="18"/>
                <w:lang w:val="cs-CZ"/>
              </w:rPr>
              <w:t xml:space="preserve">elektrický/hydraulický </w:t>
            </w:r>
            <w:r w:rsidRPr="003B6E11">
              <w:rPr>
                <w:position w:val="6"/>
                <w:sz w:val="16"/>
                <w:lang w:val="cs-CZ"/>
              </w:rPr>
              <w:t>*)</w:t>
            </w:r>
            <w:r w:rsidRPr="003B6E11">
              <w:rPr>
                <w:rFonts w:cs="Arial"/>
                <w:sz w:val="18"/>
                <w:szCs w:val="20"/>
                <w:lang w:val="cs-CZ"/>
              </w:rPr>
              <w:br/>
            </w:r>
            <w:r w:rsidRPr="003B6E11">
              <w:rPr>
                <w:lang w:val="cs-CZ"/>
              </w:rPr>
              <w:tab/>
            </w:r>
            <w:r w:rsidRPr="003B6E11">
              <w:rPr>
                <w:sz w:val="18"/>
                <w:lang w:val="cs-CZ"/>
              </w:rPr>
              <w:t>–</w:t>
            </w:r>
            <w:r w:rsidRPr="003B6E11">
              <w:rPr>
                <w:lang w:val="cs-CZ"/>
              </w:rPr>
              <w:tab/>
            </w:r>
            <w:r w:rsidRPr="003B6E11">
              <w:rPr>
                <w:sz w:val="18"/>
                <w:lang w:val="cs-CZ"/>
              </w:rPr>
              <w:t xml:space="preserve">hydraulický </w:t>
            </w:r>
            <w:r w:rsidRPr="003B6E11">
              <w:rPr>
                <w:position w:val="6"/>
                <w:sz w:val="16"/>
                <w:lang w:val="cs-CZ"/>
              </w:rPr>
              <w:t xml:space="preserve">*) </w:t>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p>
        </w:tc>
        <w:tc>
          <w:tcPr>
            <w:tcW w:w="2014" w:type="dxa"/>
          </w:tcPr>
          <w:p w:rsidR="003B6E11" w:rsidRPr="003B6E11" w:rsidRDefault="003B6E11" w:rsidP="002D015D">
            <w:pPr>
              <w:tabs>
                <w:tab w:val="left" w:pos="57"/>
              </w:tabs>
              <w:overflowPunct w:val="0"/>
              <w:adjustRightInd w:val="0"/>
              <w:textAlignment w:val="baseline"/>
              <w:rPr>
                <w:rFonts w:cs="Arial"/>
                <w:sz w:val="18"/>
                <w:szCs w:val="20"/>
                <w:lang w:val="cs-CZ"/>
              </w:rPr>
            </w:pPr>
            <w:r w:rsidRPr="003B6E11">
              <w:rPr>
                <w:lang w:val="cs-CZ"/>
              </w:rPr>
              <w:tab/>
            </w:r>
            <w:r w:rsidRPr="003B6E11">
              <w:rPr>
                <w:sz w:val="18"/>
                <w:lang w:val="cs-CZ"/>
              </w:rPr>
              <w:t>Příďové kormidlovací zařízení</w:t>
            </w:r>
          </w:p>
        </w:tc>
        <w:tc>
          <w:tcPr>
            <w:tcW w:w="2297" w:type="dxa"/>
            <w:gridSpan w:val="2"/>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w:t>
            </w:r>
            <w:r w:rsidRPr="003B6E11">
              <w:rPr>
                <w:lang w:val="cs-CZ"/>
              </w:rPr>
              <w:tab/>
            </w:r>
            <w:r w:rsidRPr="003B6E11">
              <w:rPr>
                <w:sz w:val="18"/>
                <w:lang w:val="cs-CZ"/>
              </w:rPr>
              <w:t xml:space="preserve">příďové kormidlo </w:t>
            </w:r>
            <w:r w:rsidRPr="003B6E11">
              <w:rPr>
                <w:position w:val="6"/>
                <w:sz w:val="16"/>
                <w:lang w:val="cs-CZ"/>
              </w:rPr>
              <w:t>*)</w:t>
            </w:r>
            <w:r w:rsidRPr="003B6E11">
              <w:rPr>
                <w:sz w:val="18"/>
                <w:lang w:val="cs-CZ"/>
              </w:rPr>
              <w:t xml:space="preserve"> </w:t>
            </w:r>
          </w:p>
        </w:tc>
        <w:tc>
          <w:tcPr>
            <w:tcW w:w="2297" w:type="dxa"/>
            <w:gridSpan w:val="2"/>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w:t>
            </w:r>
            <w:r w:rsidRPr="003B6E11">
              <w:rPr>
                <w:lang w:val="cs-CZ"/>
              </w:rPr>
              <w:tab/>
            </w:r>
            <w:r w:rsidRPr="003B6E11">
              <w:rPr>
                <w:sz w:val="18"/>
                <w:lang w:val="cs-CZ"/>
              </w:rPr>
              <w:t>dálkové ovládání</w:t>
            </w:r>
          </w:p>
        </w:tc>
        <w:tc>
          <w:tcPr>
            <w:tcW w:w="2297" w:type="dxa"/>
            <w:tcBorders>
              <w:top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dálková aktivace</w:t>
            </w:r>
          </w:p>
        </w:tc>
      </w:tr>
      <w:tr w:rsidR="003B6E11" w:rsidRPr="003B6E11" w:rsidTr="002D015D">
        <w:trPr>
          <w:cantSplit/>
          <w:jc w:val="center"/>
        </w:trPr>
        <w:tc>
          <w:tcPr>
            <w:tcW w:w="284" w:type="dxa"/>
            <w:tcBorders>
              <w:left w:val="single" w:sz="6" w:space="0" w:color="auto"/>
              <w:bottom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p>
        </w:tc>
        <w:tc>
          <w:tcPr>
            <w:tcW w:w="2014" w:type="dxa"/>
            <w:tcBorders>
              <w:bottom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r w:rsidRPr="003B6E11">
              <w:rPr>
                <w:lang w:val="cs-CZ"/>
              </w:rPr>
              <w:tab/>
            </w:r>
            <w:r w:rsidRPr="003B6E11">
              <w:rPr>
                <w:sz w:val="18"/>
                <w:lang w:val="cs-CZ"/>
              </w:rPr>
              <w:t>ano/ne</w:t>
            </w:r>
            <w:r w:rsidRPr="003B6E11">
              <w:rPr>
                <w:position w:val="6"/>
                <w:sz w:val="16"/>
                <w:lang w:val="cs-CZ"/>
              </w:rPr>
              <w:t>*)</w:t>
            </w:r>
            <w:r w:rsidRPr="003B6E11">
              <w:rPr>
                <w:rFonts w:cs="Arial"/>
                <w:sz w:val="18"/>
                <w:szCs w:val="20"/>
                <w:lang w:val="cs-CZ"/>
              </w:rPr>
              <w:br/>
            </w:r>
          </w:p>
        </w:tc>
        <w:tc>
          <w:tcPr>
            <w:tcW w:w="2297" w:type="dxa"/>
            <w:gridSpan w:val="2"/>
            <w:tcBorders>
              <w:left w:val="single" w:sz="6" w:space="0" w:color="auto"/>
              <w:bottom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w:t>
            </w:r>
            <w:r w:rsidRPr="003B6E11">
              <w:rPr>
                <w:lang w:val="cs-CZ"/>
              </w:rPr>
              <w:tab/>
            </w:r>
            <w:r w:rsidRPr="003B6E11">
              <w:rPr>
                <w:sz w:val="18"/>
                <w:lang w:val="cs-CZ"/>
              </w:rPr>
              <w:t>příďový dokormidlovací šroub</w:t>
            </w:r>
            <w:r w:rsidRPr="003B6E11">
              <w:rPr>
                <w:position w:val="6"/>
                <w:sz w:val="16"/>
                <w:lang w:val="cs-CZ"/>
              </w:rPr>
              <w:t>*)</w:t>
            </w:r>
            <w:r w:rsidRPr="003B6E11">
              <w:rPr>
                <w:sz w:val="18"/>
                <w:lang w:val="cs-CZ"/>
              </w:rPr>
              <w:t xml:space="preserve"> </w:t>
            </w:r>
            <w:r w:rsidRPr="003B6E11">
              <w:rPr>
                <w:rFonts w:cs="Arial"/>
                <w:sz w:val="18"/>
                <w:szCs w:val="20"/>
                <w:lang w:val="cs-CZ"/>
              </w:rPr>
              <w:br/>
            </w:r>
            <w:r w:rsidRPr="003B6E11">
              <w:rPr>
                <w:lang w:val="cs-CZ"/>
              </w:rPr>
              <w:tab/>
            </w:r>
            <w:r w:rsidRPr="003B6E11">
              <w:rPr>
                <w:sz w:val="18"/>
                <w:lang w:val="cs-CZ"/>
              </w:rPr>
              <w:t>–</w:t>
            </w:r>
            <w:r w:rsidRPr="003B6E11">
              <w:rPr>
                <w:lang w:val="cs-CZ"/>
              </w:rPr>
              <w:tab/>
            </w:r>
            <w:r w:rsidRPr="003B6E11">
              <w:rPr>
                <w:sz w:val="18"/>
                <w:lang w:val="cs-CZ"/>
              </w:rPr>
              <w:t>jiné zařízení</w:t>
            </w:r>
            <w:r w:rsidRPr="003B6E11">
              <w:rPr>
                <w:position w:val="6"/>
                <w:sz w:val="16"/>
                <w:lang w:val="cs-CZ"/>
              </w:rPr>
              <w:t>*)</w:t>
            </w:r>
          </w:p>
        </w:tc>
        <w:tc>
          <w:tcPr>
            <w:tcW w:w="2297" w:type="dxa"/>
            <w:gridSpan w:val="2"/>
            <w:tcBorders>
              <w:left w:val="single" w:sz="6" w:space="0" w:color="auto"/>
              <w:bottom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lang w:val="cs-CZ"/>
              </w:rPr>
              <w:tab/>
            </w:r>
            <w:r w:rsidRPr="003B6E11">
              <w:rPr>
                <w:sz w:val="18"/>
                <w:lang w:val="cs-CZ"/>
              </w:rPr>
              <w:t>ano/ne</w:t>
            </w:r>
            <w:r w:rsidRPr="003B6E11">
              <w:rPr>
                <w:position w:val="6"/>
                <w:sz w:val="16"/>
                <w:lang w:val="cs-CZ"/>
              </w:rPr>
              <w:t>*)</w:t>
            </w:r>
            <w:r w:rsidRPr="003B6E11">
              <w:rPr>
                <w:rFonts w:cs="Arial"/>
                <w:sz w:val="18"/>
                <w:szCs w:val="20"/>
                <w:lang w:val="cs-CZ"/>
              </w:rPr>
              <w:br/>
            </w:r>
          </w:p>
        </w:tc>
        <w:tc>
          <w:tcPr>
            <w:tcW w:w="2297" w:type="dxa"/>
            <w:tcBorders>
              <w:left w:val="single" w:sz="6" w:space="0" w:color="auto"/>
              <w:bottom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ano/ne</w:t>
            </w:r>
            <w:r w:rsidRPr="003B6E11">
              <w:rPr>
                <w:position w:val="6"/>
                <w:sz w:val="16"/>
                <w:lang w:val="cs-CZ"/>
              </w:rPr>
              <w:t>*)</w:t>
            </w: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80"/>
              <w:textAlignment w:val="baseline"/>
              <w:rPr>
                <w:rFonts w:cs="Arial"/>
                <w:sz w:val="18"/>
                <w:szCs w:val="20"/>
                <w:lang w:val="cs-CZ"/>
              </w:rPr>
            </w:pPr>
            <w:r w:rsidRPr="003B6E11">
              <w:rPr>
                <w:sz w:val="18"/>
                <w:lang w:val="cs-CZ"/>
              </w:rPr>
              <w:t>35.</w:t>
            </w:r>
          </w:p>
        </w:tc>
        <w:tc>
          <w:tcPr>
            <w:tcW w:w="8905" w:type="dxa"/>
            <w:gridSpan w:val="6"/>
            <w:tcBorders>
              <w:top w:val="single" w:sz="6" w:space="0" w:color="auto"/>
              <w:bottom w:val="single" w:sz="6" w:space="0" w:color="auto"/>
              <w:right w:val="single" w:sz="6" w:space="0" w:color="auto"/>
            </w:tcBorders>
          </w:tcPr>
          <w:p w:rsidR="003B6E11" w:rsidRPr="003B6E11" w:rsidRDefault="003B6E11" w:rsidP="002D015D">
            <w:pPr>
              <w:tabs>
                <w:tab w:val="left" w:pos="57"/>
                <w:tab w:val="left" w:pos="340"/>
                <w:tab w:val="left" w:pos="2752"/>
                <w:tab w:val="left" w:pos="4820"/>
                <w:tab w:val="left" w:pos="7088"/>
                <w:tab w:val="left" w:leader="dot" w:pos="8505"/>
              </w:tabs>
              <w:overflowPunct w:val="0"/>
              <w:adjustRightInd w:val="0"/>
              <w:spacing w:before="80"/>
              <w:ind w:left="57" w:hanging="57"/>
              <w:textAlignment w:val="baseline"/>
              <w:rPr>
                <w:rFonts w:cs="Arial"/>
                <w:sz w:val="18"/>
                <w:szCs w:val="20"/>
                <w:lang w:val="cs-CZ"/>
              </w:rPr>
            </w:pPr>
            <w:r w:rsidRPr="003B6E11">
              <w:rPr>
                <w:lang w:val="cs-CZ"/>
              </w:rPr>
              <w:tab/>
            </w:r>
            <w:r w:rsidRPr="003B6E11">
              <w:rPr>
                <w:sz w:val="18"/>
                <w:lang w:val="cs-CZ"/>
              </w:rPr>
              <w:t>Odvodňovací a drenážní systém</w:t>
            </w:r>
          </w:p>
          <w:p w:rsidR="003B6E11" w:rsidRPr="003B6E11" w:rsidRDefault="003B6E11" w:rsidP="002D015D">
            <w:pPr>
              <w:tabs>
                <w:tab w:val="left" w:pos="2552"/>
                <w:tab w:val="left" w:leader="dot" w:pos="3602"/>
                <w:tab w:val="left" w:pos="4820"/>
                <w:tab w:val="left" w:leader="dot" w:pos="6012"/>
                <w:tab w:val="left" w:pos="7088"/>
                <w:tab w:val="left" w:leader="dot" w:pos="8505"/>
              </w:tabs>
              <w:overflowPunct w:val="0"/>
              <w:adjustRightInd w:val="0"/>
              <w:spacing w:before="40" w:after="40"/>
              <w:ind w:left="57" w:hanging="57"/>
              <w:textAlignment w:val="baseline"/>
              <w:rPr>
                <w:rFonts w:cs="Arial"/>
                <w:sz w:val="18"/>
                <w:szCs w:val="20"/>
                <w:lang w:val="cs-CZ"/>
              </w:rPr>
            </w:pPr>
            <w:r w:rsidRPr="003B6E11">
              <w:rPr>
                <w:lang w:val="cs-CZ"/>
              </w:rPr>
              <w:tab/>
            </w:r>
            <w:r w:rsidRPr="003B6E11">
              <w:rPr>
                <w:sz w:val="18"/>
                <w:lang w:val="cs-CZ"/>
              </w:rPr>
              <w:t>Počet drenážních čerpadel</w:t>
            </w:r>
            <w:r w:rsidRPr="003B6E11">
              <w:rPr>
                <w:lang w:val="cs-CZ"/>
              </w:rPr>
              <w:tab/>
            </w:r>
            <w:r w:rsidRPr="003B6E11">
              <w:rPr>
                <w:lang w:val="cs-CZ"/>
              </w:rPr>
              <w:tab/>
            </w:r>
            <w:r w:rsidRPr="003B6E11">
              <w:rPr>
                <w:sz w:val="18"/>
                <w:lang w:val="cs-CZ"/>
              </w:rPr>
              <w:t>, z toho s motorovým pohonem</w:t>
            </w:r>
            <w:r w:rsidRPr="003B6E11">
              <w:rPr>
                <w:lang w:val="cs-CZ"/>
              </w:rPr>
              <w:tab/>
            </w:r>
            <w:r w:rsidRPr="003B6E11">
              <w:rPr>
                <w:rFonts w:cs="Arial"/>
                <w:sz w:val="18"/>
                <w:szCs w:val="20"/>
                <w:lang w:val="cs-CZ"/>
              </w:rPr>
              <w:br/>
            </w:r>
            <w:r w:rsidRPr="003B6E11">
              <w:rPr>
                <w:sz w:val="18"/>
                <w:lang w:val="cs-CZ"/>
              </w:rPr>
              <w:t>Minimální čerpací výkon</w:t>
            </w:r>
            <w:r w:rsidRPr="003B6E11">
              <w:rPr>
                <w:lang w:val="cs-CZ"/>
              </w:rPr>
              <w:tab/>
            </w:r>
            <w:r w:rsidRPr="003B6E11">
              <w:rPr>
                <w:sz w:val="18"/>
                <w:lang w:val="cs-CZ"/>
              </w:rPr>
              <w:t>první drenážní čerpadlo</w:t>
            </w:r>
            <w:r w:rsidRPr="003B6E11">
              <w:rPr>
                <w:lang w:val="cs-CZ"/>
              </w:rPr>
              <w:tab/>
            </w:r>
            <w:r w:rsidRPr="003B6E11">
              <w:rPr>
                <w:sz w:val="18"/>
                <w:lang w:val="cs-CZ"/>
              </w:rPr>
              <w:t xml:space="preserve"> l/min</w:t>
            </w:r>
            <w:r w:rsidRPr="003B6E11">
              <w:rPr>
                <w:rFonts w:cs="Arial"/>
                <w:sz w:val="18"/>
                <w:szCs w:val="20"/>
                <w:lang w:val="cs-CZ"/>
              </w:rPr>
              <w:br/>
            </w:r>
            <w:r w:rsidRPr="003B6E11">
              <w:rPr>
                <w:lang w:val="cs-CZ"/>
              </w:rPr>
              <w:tab/>
            </w:r>
            <w:r w:rsidRPr="003B6E11">
              <w:rPr>
                <w:sz w:val="18"/>
                <w:lang w:val="cs-CZ"/>
              </w:rPr>
              <w:t>druhé drenážní čerpadlo</w:t>
            </w:r>
            <w:r w:rsidRPr="003B6E11">
              <w:rPr>
                <w:lang w:val="cs-CZ"/>
              </w:rPr>
              <w:tab/>
            </w:r>
            <w:r w:rsidRPr="003B6E11">
              <w:rPr>
                <w:sz w:val="18"/>
                <w:lang w:val="cs-CZ"/>
              </w:rPr>
              <w:t xml:space="preserve"> l/min</w:t>
            </w:r>
          </w:p>
        </w:tc>
      </w:tr>
      <w:tr w:rsidR="003B6E11" w:rsidRPr="003B6E11" w:rsidTr="002D015D">
        <w:trPr>
          <w:cantSplit/>
          <w:jc w:val="center"/>
        </w:trPr>
        <w:tc>
          <w:tcPr>
            <w:tcW w:w="284" w:type="dxa"/>
            <w:tcBorders>
              <w:left w:val="single" w:sz="6" w:space="0" w:color="auto"/>
              <w:bottom w:val="single" w:sz="6" w:space="0" w:color="auto"/>
            </w:tcBorders>
          </w:tcPr>
          <w:p w:rsidR="003B6E11" w:rsidRPr="003B6E11" w:rsidRDefault="003B6E11" w:rsidP="002D015D">
            <w:pPr>
              <w:tabs>
                <w:tab w:val="left" w:pos="57"/>
              </w:tabs>
              <w:overflowPunct w:val="0"/>
              <w:adjustRightInd w:val="0"/>
              <w:spacing w:before="80"/>
              <w:textAlignment w:val="baseline"/>
              <w:rPr>
                <w:rFonts w:cs="Arial"/>
                <w:sz w:val="18"/>
                <w:szCs w:val="20"/>
                <w:lang w:val="cs-CZ"/>
              </w:rPr>
            </w:pPr>
            <w:r w:rsidRPr="003B6E11">
              <w:rPr>
                <w:lang w:val="cs-CZ"/>
              </w:rPr>
              <w:tab/>
            </w:r>
            <w:r w:rsidRPr="003B6E11">
              <w:rPr>
                <w:sz w:val="18"/>
                <w:lang w:val="cs-CZ"/>
              </w:rPr>
              <w:t>*)</w:t>
            </w:r>
            <w:r w:rsidRPr="003B6E11">
              <w:rPr>
                <w:rFonts w:cs="Arial"/>
                <w:sz w:val="18"/>
                <w:szCs w:val="20"/>
                <w:lang w:val="cs-CZ"/>
              </w:rPr>
              <w:br/>
            </w:r>
            <w:r w:rsidRPr="003B6E11">
              <w:rPr>
                <w:rFonts w:cs="Arial"/>
                <w:sz w:val="18"/>
                <w:szCs w:val="20"/>
                <w:lang w:val="cs-CZ"/>
              </w:rPr>
              <w:br/>
            </w:r>
          </w:p>
          <w:p w:rsidR="003B6E11" w:rsidRPr="003B6E11" w:rsidRDefault="003B6E11" w:rsidP="002D015D">
            <w:pPr>
              <w:tabs>
                <w:tab w:val="left" w:pos="57"/>
              </w:tabs>
              <w:overflowPunct w:val="0"/>
              <w:adjustRightInd w:val="0"/>
              <w:spacing w:before="80"/>
              <w:textAlignment w:val="baseline"/>
              <w:rPr>
                <w:rFonts w:cs="Arial"/>
                <w:sz w:val="18"/>
                <w:szCs w:val="20"/>
                <w:lang w:val="cs-CZ"/>
              </w:rPr>
            </w:pPr>
          </w:p>
          <w:p w:rsidR="003B6E11" w:rsidRPr="003B6E11" w:rsidRDefault="003B6E11" w:rsidP="002D015D">
            <w:pPr>
              <w:tabs>
                <w:tab w:val="left" w:pos="57"/>
              </w:tabs>
              <w:overflowPunct w:val="0"/>
              <w:adjustRightInd w:val="0"/>
              <w:spacing w:before="160"/>
              <w:textAlignment w:val="baseline"/>
              <w:rPr>
                <w:rFonts w:cs="Arial"/>
                <w:sz w:val="18"/>
                <w:szCs w:val="20"/>
                <w:lang w:val="cs-CZ"/>
              </w:rPr>
            </w:pPr>
            <w:r w:rsidRPr="003B6E11">
              <w:rPr>
                <w:lang w:val="cs-CZ"/>
              </w:rPr>
              <w:tab/>
            </w:r>
            <w:r w:rsidRPr="003B6E11">
              <w:rPr>
                <w:sz w:val="18"/>
                <w:lang w:val="cs-CZ"/>
              </w:rPr>
              <w:t>*)</w:t>
            </w:r>
          </w:p>
        </w:tc>
        <w:tc>
          <w:tcPr>
            <w:tcW w:w="8905" w:type="dxa"/>
            <w:gridSpan w:val="6"/>
            <w:tcBorders>
              <w:bottom w:val="single" w:sz="6" w:space="0" w:color="auto"/>
              <w:right w:val="single" w:sz="6" w:space="0" w:color="auto"/>
            </w:tcBorders>
          </w:tcPr>
          <w:p w:rsidR="003B6E11" w:rsidRPr="003B6E11" w:rsidRDefault="003B6E11" w:rsidP="002D015D">
            <w:pPr>
              <w:tabs>
                <w:tab w:val="left" w:pos="57"/>
                <w:tab w:val="left" w:leader="dot" w:pos="3686"/>
              </w:tabs>
              <w:overflowPunct w:val="0"/>
              <w:adjustRightInd w:val="0"/>
              <w:spacing w:before="80" w:after="80"/>
              <w:ind w:left="57" w:right="57"/>
              <w:textAlignment w:val="baseline"/>
              <w:rPr>
                <w:rFonts w:cs="Arial"/>
                <w:sz w:val="18"/>
                <w:szCs w:val="20"/>
                <w:lang w:val="cs-CZ"/>
              </w:rPr>
            </w:pPr>
            <w:r w:rsidRPr="003B6E11">
              <w:rPr>
                <w:noProof/>
                <w:sz w:val="18"/>
                <w:lang w:val="cs-CZ"/>
              </w:rPr>
              <w:t>Změna bodu (bodů): ....................</w:t>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noProof/>
                <w:sz w:val="18"/>
                <w:lang w:val="cs-CZ"/>
              </w:rPr>
              <w:t xml:space="preserve">Nový text: </w:t>
            </w:r>
            <w:r w:rsidRPr="003B6E11">
              <w:rPr>
                <w:lang w:val="cs-CZ"/>
              </w:rPr>
              <w:tab/>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lang w:val="cs-CZ"/>
              </w:rPr>
              <w:tab/>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lang w:val="cs-CZ"/>
              </w:rPr>
              <w:tab/>
            </w:r>
          </w:p>
          <w:p w:rsidR="003B6E11" w:rsidRPr="003B6E11" w:rsidRDefault="003B6E11" w:rsidP="002D015D">
            <w:pPr>
              <w:tabs>
                <w:tab w:val="left" w:leader="dot" w:pos="4536"/>
                <w:tab w:val="center" w:pos="6862"/>
              </w:tabs>
              <w:overflowPunct w:val="0"/>
              <w:adjustRightInd w:val="0"/>
              <w:spacing w:after="80"/>
              <w:ind w:left="57" w:right="57"/>
              <w:textAlignment w:val="baseline"/>
              <w:rPr>
                <w:rFonts w:cs="Arial"/>
                <w:sz w:val="18"/>
                <w:szCs w:val="20"/>
                <w:lang w:val="cs-CZ"/>
              </w:rPr>
            </w:pPr>
            <w:r w:rsidRPr="003B6E11">
              <w:rPr>
                <w:sz w:val="18"/>
                <w:lang w:val="cs-CZ"/>
              </w:rPr>
              <w:t>Tato stránka byla nahrazena.</w:t>
            </w:r>
          </w:p>
          <w:p w:rsidR="003B6E11" w:rsidRPr="003B6E11" w:rsidRDefault="003B6E11" w:rsidP="002D015D">
            <w:pPr>
              <w:tabs>
                <w:tab w:val="left" w:leader="dot" w:pos="4536"/>
                <w:tab w:val="center" w:pos="6862"/>
              </w:tabs>
              <w:overflowPunct w:val="0"/>
              <w:adjustRightInd w:val="0"/>
              <w:spacing w:after="80"/>
              <w:ind w:left="57" w:right="57"/>
              <w:textAlignment w:val="baseline"/>
              <w:rPr>
                <w:rFonts w:cs="Arial"/>
                <w:sz w:val="18"/>
                <w:szCs w:val="20"/>
                <w:lang w:val="cs-CZ"/>
              </w:rPr>
            </w:pPr>
            <w:r w:rsidRPr="003B6E11">
              <w:rPr>
                <w:sz w:val="18"/>
                <w:lang w:val="cs-CZ"/>
              </w:rPr>
              <w:t xml:space="preserve">Místo, datum </w:t>
            </w:r>
            <w:r w:rsidRPr="003B6E11">
              <w:rPr>
                <w:lang w:val="cs-CZ"/>
              </w:rPr>
              <w:tab/>
            </w:r>
            <w:r w:rsidRPr="003B6E11">
              <w:rPr>
                <w:lang w:val="cs-CZ"/>
              </w:rPr>
              <w:tab/>
            </w:r>
            <w:r w:rsidRPr="003B6E11">
              <w:rPr>
                <w:sz w:val="18"/>
                <w:lang w:val="cs-CZ"/>
              </w:rPr>
              <w:t>Subjekt pověřený prohlídkami</w:t>
            </w:r>
          </w:p>
          <w:p w:rsidR="003B6E11" w:rsidRPr="003B6E11" w:rsidRDefault="003B6E11" w:rsidP="002D015D">
            <w:pPr>
              <w:tabs>
                <w:tab w:val="left" w:pos="5103"/>
                <w:tab w:val="left" w:leader="dot" w:pos="8505"/>
              </w:tabs>
              <w:overflowPunct w:val="0"/>
              <w:adjustRightInd w:val="0"/>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1701"/>
              </w:tabs>
              <w:overflowPunct w:val="0"/>
              <w:adjustRightInd w:val="0"/>
              <w:spacing w:after="80"/>
              <w:textAlignment w:val="baseline"/>
              <w:rPr>
                <w:rFonts w:cs="Arial"/>
                <w:sz w:val="18"/>
                <w:szCs w:val="20"/>
                <w:lang w:val="cs-CZ"/>
              </w:rPr>
            </w:pPr>
            <w:r w:rsidRPr="003B6E11">
              <w:rPr>
                <w:lang w:val="cs-CZ"/>
              </w:rPr>
              <w:tab/>
            </w:r>
            <w:r w:rsidRPr="003B6E11">
              <w:rPr>
                <w:sz w:val="18"/>
                <w:lang w:val="cs-CZ"/>
              </w:rPr>
              <w:t>Razítko</w:t>
            </w:r>
          </w:p>
          <w:p w:rsidR="003B6E11" w:rsidRPr="003B6E11" w:rsidRDefault="003B6E11" w:rsidP="002D015D">
            <w:pPr>
              <w:tabs>
                <w:tab w:val="left" w:pos="5103"/>
                <w:tab w:val="left" w:leader="dot" w:pos="8505"/>
              </w:tabs>
              <w:overflowPunct w:val="0"/>
              <w:adjustRightInd w:val="0"/>
              <w:textAlignment w:val="baseline"/>
              <w:rPr>
                <w:rFonts w:cs="Arial"/>
                <w:szCs w:val="20"/>
                <w:lang w:val="cs-CZ"/>
              </w:rPr>
            </w:pPr>
            <w:r w:rsidRPr="003B6E11">
              <w:rPr>
                <w:lang w:val="cs-CZ"/>
              </w:rPr>
              <w:tab/>
            </w:r>
            <w:r w:rsidRPr="003B6E11">
              <w:rPr>
                <w:lang w:val="cs-CZ"/>
              </w:rPr>
              <w:tab/>
            </w:r>
          </w:p>
          <w:p w:rsidR="003B6E11" w:rsidRPr="003B6E11" w:rsidRDefault="003B6E11" w:rsidP="002D015D">
            <w:pPr>
              <w:tabs>
                <w:tab w:val="center" w:pos="6862"/>
              </w:tabs>
              <w:overflowPunct w:val="0"/>
              <w:adjustRightInd w:val="0"/>
              <w:textAlignment w:val="baseline"/>
              <w:rPr>
                <w:rFonts w:cs="Arial"/>
                <w:sz w:val="16"/>
                <w:szCs w:val="20"/>
                <w:lang w:val="cs-CZ"/>
              </w:rPr>
            </w:pPr>
            <w:r w:rsidRPr="003B6E11">
              <w:rPr>
                <w:lang w:val="cs-CZ"/>
              </w:rPr>
              <w:tab/>
            </w:r>
            <w:r w:rsidRPr="003B6E11">
              <w:rPr>
                <w:sz w:val="16"/>
                <w:lang w:val="cs-CZ"/>
              </w:rPr>
              <w:t>(podpis)</w:t>
            </w:r>
          </w:p>
          <w:p w:rsidR="003B6E11" w:rsidRPr="003B6E11" w:rsidRDefault="003B6E11" w:rsidP="002D015D">
            <w:pPr>
              <w:tabs>
                <w:tab w:val="left" w:pos="113"/>
                <w:tab w:val="left" w:pos="397"/>
                <w:tab w:val="left" w:pos="6237"/>
                <w:tab w:val="left" w:leader="dot" w:pos="9356"/>
              </w:tabs>
              <w:overflowPunct w:val="0"/>
              <w:adjustRightInd w:val="0"/>
              <w:textAlignment w:val="baseline"/>
              <w:rPr>
                <w:rFonts w:cs="Arial"/>
                <w:sz w:val="16"/>
                <w:szCs w:val="20"/>
                <w:lang w:val="cs-CZ"/>
              </w:rPr>
            </w:pPr>
            <w:r w:rsidRPr="003B6E11">
              <w:rPr>
                <w:sz w:val="18"/>
                <w:lang w:val="cs-CZ"/>
              </w:rPr>
              <w:t>_______________________</w:t>
            </w:r>
          </w:p>
          <w:p w:rsidR="003B6E11" w:rsidRPr="003B6E11" w:rsidRDefault="003B6E11" w:rsidP="002D015D">
            <w:pPr>
              <w:tabs>
                <w:tab w:val="left" w:pos="284"/>
              </w:tabs>
              <w:overflowPunct w:val="0"/>
              <w:adjustRightInd w:val="0"/>
              <w:spacing w:after="40"/>
              <w:ind w:left="57"/>
              <w:textAlignment w:val="baseline"/>
              <w:rPr>
                <w:rFonts w:cs="Arial"/>
                <w:sz w:val="18"/>
                <w:szCs w:val="20"/>
                <w:lang w:val="cs-CZ"/>
              </w:rPr>
            </w:pPr>
            <w:r w:rsidRPr="003B6E11">
              <w:rPr>
                <w:position w:val="4"/>
                <w:sz w:val="16"/>
                <w:lang w:val="cs-CZ"/>
              </w:rPr>
              <w:t>*)</w:t>
            </w:r>
            <w:r w:rsidRPr="003B6E11">
              <w:rPr>
                <w:lang w:val="cs-CZ"/>
              </w:rPr>
              <w:tab/>
            </w:r>
            <w:r w:rsidRPr="003B6E11">
              <w:rPr>
                <w:sz w:val="16"/>
                <w:lang w:val="cs-CZ"/>
              </w:rPr>
              <w:t>Nehodící se škrtněte.</w:t>
            </w:r>
          </w:p>
        </w:tc>
      </w:tr>
    </w:tbl>
    <w:p w:rsidR="003B6E11" w:rsidRPr="003B6E11" w:rsidRDefault="003B6E11" w:rsidP="003B6E11">
      <w:pPr>
        <w:tabs>
          <w:tab w:val="left" w:leader="dot" w:pos="2835"/>
          <w:tab w:val="left" w:leader="dot" w:pos="5103"/>
        </w:tabs>
        <w:overflowPunct w:val="0"/>
        <w:adjustRightInd w:val="0"/>
        <w:textAlignment w:val="baseline"/>
        <w:rPr>
          <w:rFonts w:cs="Arial"/>
          <w:szCs w:val="20"/>
          <w:lang w:val="cs-CZ"/>
        </w:rPr>
      </w:pPr>
      <w:r w:rsidRPr="003B6E11">
        <w:rPr>
          <w:lang w:val="cs-CZ"/>
        </w:rPr>
        <w:br w:type="page"/>
        <w:t xml:space="preserve">Osvědčení plavidla vnitrozemské plavby č. </w:t>
      </w:r>
      <w:r w:rsidRPr="003B6E11">
        <w:rPr>
          <w:lang w:val="cs-CZ"/>
        </w:rPr>
        <w:tab/>
        <w:t xml:space="preserve"> vydané subjektem pověřeným prohlídkami </w:t>
      </w:r>
      <w:r w:rsidRPr="003B6E11">
        <w:rPr>
          <w:lang w:val="cs-CZ"/>
        </w:rPr>
        <w:tab/>
      </w:r>
    </w:p>
    <w:tbl>
      <w:tblPr>
        <w:tblW w:w="9189" w:type="dxa"/>
        <w:jc w:val="center"/>
        <w:tblLayout w:type="fixed"/>
        <w:tblCellMar>
          <w:left w:w="0" w:type="dxa"/>
          <w:right w:w="0" w:type="dxa"/>
        </w:tblCellMar>
        <w:tblLook w:val="0000" w:firstRow="0" w:lastRow="0" w:firstColumn="0" w:lastColumn="0" w:noHBand="0" w:noVBand="0"/>
      </w:tblPr>
      <w:tblGrid>
        <w:gridCol w:w="284"/>
        <w:gridCol w:w="2014"/>
        <w:gridCol w:w="2297"/>
        <w:gridCol w:w="2297"/>
        <w:gridCol w:w="26"/>
        <w:gridCol w:w="2271"/>
      </w:tblGrid>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r w:rsidRPr="003B6E11">
              <w:rPr>
                <w:sz w:val="18"/>
                <w:lang w:val="cs-CZ"/>
              </w:rPr>
              <w:t>36.</w:t>
            </w:r>
          </w:p>
        </w:tc>
        <w:tc>
          <w:tcPr>
            <w:tcW w:w="8905" w:type="dxa"/>
            <w:gridSpan w:val="5"/>
            <w:tcBorders>
              <w:top w:val="single" w:sz="6" w:space="0" w:color="auto"/>
              <w:bottom w:val="single" w:sz="6" w:space="0" w:color="auto"/>
              <w:right w:val="single" w:sz="6" w:space="0" w:color="auto"/>
            </w:tcBorders>
          </w:tcPr>
          <w:p w:rsidR="003B6E11" w:rsidRPr="003B6E11" w:rsidRDefault="003B6E11" w:rsidP="002D015D">
            <w:pPr>
              <w:tabs>
                <w:tab w:val="left" w:pos="57"/>
                <w:tab w:val="left" w:pos="340"/>
                <w:tab w:val="left" w:leader="dot" w:pos="5103"/>
                <w:tab w:val="left" w:leader="dot" w:pos="8505"/>
              </w:tabs>
              <w:overflowPunct w:val="0"/>
              <w:adjustRightInd w:val="0"/>
              <w:spacing w:before="120"/>
              <w:ind w:left="57"/>
              <w:textAlignment w:val="baseline"/>
              <w:rPr>
                <w:rFonts w:cs="Arial"/>
                <w:sz w:val="18"/>
                <w:szCs w:val="20"/>
                <w:lang w:val="cs-CZ"/>
              </w:rPr>
            </w:pPr>
            <w:r w:rsidRPr="003B6E11">
              <w:rPr>
                <w:noProof/>
                <w:sz w:val="18"/>
                <w:lang w:val="cs-CZ"/>
              </w:rPr>
              <w:t>Počet a umístění uzávěrů uvedených v čl. 8.08 odst. 10 a 11</w:t>
            </w:r>
            <w:r w:rsidRPr="003B6E11">
              <w:rPr>
                <w:rFonts w:cs="Arial"/>
                <w:noProof/>
                <w:sz w:val="18"/>
                <w:szCs w:val="18"/>
                <w:lang w:val="cs-CZ"/>
              </w:rPr>
              <w:br/>
            </w:r>
            <w:r w:rsidRPr="003B6E11">
              <w:rPr>
                <w:rFonts w:cs="Arial"/>
                <w:noProof/>
                <w:sz w:val="18"/>
                <w:szCs w:val="18"/>
                <w:lang w:val="cs-CZ"/>
              </w:rPr>
              <w:br/>
            </w:r>
            <w:r w:rsidRPr="003B6E11">
              <w:rPr>
                <w:rFonts w:cs="Arial"/>
                <w:noProof/>
                <w:sz w:val="18"/>
                <w:szCs w:val="18"/>
                <w:lang w:val="cs-CZ"/>
              </w:rPr>
              <w:br/>
            </w:r>
            <w:r w:rsidRPr="003B6E11">
              <w:rPr>
                <w:rFonts w:cs="Arial"/>
                <w:noProof/>
                <w:sz w:val="18"/>
                <w:szCs w:val="18"/>
                <w:lang w:val="cs-CZ"/>
              </w:rPr>
              <w:br/>
            </w:r>
            <w:r w:rsidRPr="003B6E11">
              <w:rPr>
                <w:rFonts w:cs="Arial"/>
                <w:noProof/>
                <w:sz w:val="18"/>
                <w:szCs w:val="18"/>
                <w:lang w:val="cs-CZ"/>
              </w:rPr>
              <w:br/>
            </w:r>
            <w:r w:rsidRPr="003B6E11">
              <w:rPr>
                <w:rFonts w:cs="Arial"/>
                <w:noProof/>
                <w:sz w:val="18"/>
                <w:szCs w:val="18"/>
                <w:lang w:val="cs-CZ"/>
              </w:rPr>
              <w:br/>
            </w:r>
            <w:r w:rsidRPr="003B6E11">
              <w:rPr>
                <w:rFonts w:cs="Arial"/>
                <w:noProof/>
                <w:sz w:val="18"/>
                <w:szCs w:val="18"/>
                <w:lang w:val="cs-CZ"/>
              </w:rPr>
              <w:br/>
            </w:r>
            <w:r w:rsidRPr="003B6E11">
              <w:rPr>
                <w:rFonts w:cs="Arial"/>
                <w:noProof/>
                <w:sz w:val="18"/>
                <w:szCs w:val="18"/>
                <w:lang w:val="cs-CZ"/>
              </w:rPr>
              <w:br/>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r w:rsidRPr="003B6E11">
              <w:rPr>
                <w:sz w:val="18"/>
                <w:lang w:val="cs-CZ"/>
              </w:rPr>
              <w:t>37.</w:t>
            </w:r>
          </w:p>
        </w:tc>
        <w:tc>
          <w:tcPr>
            <w:tcW w:w="2014" w:type="dxa"/>
          </w:tcPr>
          <w:p w:rsidR="003B6E11" w:rsidRPr="003B6E11" w:rsidRDefault="003B6E11" w:rsidP="002D015D">
            <w:pPr>
              <w:tabs>
                <w:tab w:val="left" w:pos="57"/>
              </w:tabs>
              <w:overflowPunct w:val="0"/>
              <w:adjustRightInd w:val="0"/>
              <w:ind w:left="57"/>
              <w:textAlignment w:val="baseline"/>
              <w:rPr>
                <w:rFonts w:cs="Arial"/>
                <w:sz w:val="18"/>
                <w:szCs w:val="20"/>
                <w:lang w:val="cs-CZ"/>
              </w:rPr>
            </w:pPr>
            <w:r w:rsidRPr="003B6E11">
              <w:rPr>
                <w:sz w:val="18"/>
                <w:lang w:val="cs-CZ"/>
              </w:rPr>
              <w:t>Kotvy</w:t>
            </w:r>
          </w:p>
        </w:tc>
        <w:tc>
          <w:tcPr>
            <w:tcW w:w="2297" w:type="dxa"/>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p>
        </w:tc>
        <w:tc>
          <w:tcPr>
            <w:tcW w:w="2297" w:type="dxa"/>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p>
        </w:tc>
        <w:tc>
          <w:tcPr>
            <w:tcW w:w="2297" w:type="dxa"/>
            <w:gridSpan w:val="2"/>
            <w:tcBorders>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p>
        </w:tc>
        <w:tc>
          <w:tcPr>
            <w:tcW w:w="2014" w:type="dxa"/>
          </w:tcPr>
          <w:p w:rsidR="003B6E11" w:rsidRPr="003B6E11" w:rsidRDefault="003B6E11" w:rsidP="002D015D">
            <w:pPr>
              <w:widowControl w:val="0"/>
              <w:tabs>
                <w:tab w:val="left" w:pos="57"/>
              </w:tabs>
              <w:spacing w:before="80" w:after="80"/>
              <w:rPr>
                <w:noProof/>
                <w:sz w:val="18"/>
                <w:szCs w:val="20"/>
                <w:lang w:val="cs-CZ"/>
              </w:rPr>
            </w:pPr>
            <w:r w:rsidRPr="003B6E11">
              <w:rPr>
                <w:lang w:val="cs-CZ"/>
              </w:rPr>
              <w:tab/>
            </w:r>
            <w:r w:rsidRPr="003B6E11">
              <w:rPr>
                <w:noProof/>
                <w:sz w:val="18"/>
                <w:lang w:val="cs-CZ"/>
              </w:rPr>
              <w:t>Počet kotev na přídi</w:t>
            </w:r>
          </w:p>
        </w:tc>
        <w:tc>
          <w:tcPr>
            <w:tcW w:w="2297" w:type="dxa"/>
            <w:tcBorders>
              <w:left w:val="single" w:sz="6" w:space="0" w:color="auto"/>
              <w:right w:val="single" w:sz="6" w:space="0" w:color="auto"/>
            </w:tcBorders>
          </w:tcPr>
          <w:p w:rsidR="003B6E11" w:rsidRPr="003B6E11" w:rsidRDefault="003B6E11" w:rsidP="002D015D">
            <w:pPr>
              <w:widowControl w:val="0"/>
              <w:tabs>
                <w:tab w:val="left" w:pos="57"/>
                <w:tab w:val="left" w:pos="340"/>
              </w:tabs>
              <w:spacing w:before="80" w:after="80"/>
              <w:rPr>
                <w:noProof/>
                <w:sz w:val="18"/>
                <w:szCs w:val="20"/>
                <w:lang w:val="cs-CZ"/>
              </w:rPr>
            </w:pPr>
            <w:r w:rsidRPr="003B6E11">
              <w:rPr>
                <w:lang w:val="cs-CZ"/>
              </w:rPr>
              <w:tab/>
            </w:r>
            <w:r w:rsidRPr="003B6E11">
              <w:rPr>
                <w:noProof/>
                <w:sz w:val="18"/>
                <w:lang w:val="cs-CZ"/>
              </w:rPr>
              <w:t>Celková hmotnost kotev na přídi</w:t>
            </w:r>
          </w:p>
        </w:tc>
        <w:tc>
          <w:tcPr>
            <w:tcW w:w="2297" w:type="dxa"/>
            <w:tcBorders>
              <w:left w:val="single" w:sz="6" w:space="0" w:color="auto"/>
              <w:right w:val="single" w:sz="6" w:space="0" w:color="auto"/>
            </w:tcBorders>
          </w:tcPr>
          <w:p w:rsidR="003B6E11" w:rsidRPr="003B6E11" w:rsidRDefault="003B6E11" w:rsidP="002D015D">
            <w:pPr>
              <w:widowControl w:val="0"/>
              <w:tabs>
                <w:tab w:val="left" w:pos="57"/>
                <w:tab w:val="left" w:pos="340"/>
              </w:tabs>
              <w:spacing w:before="80" w:after="80"/>
              <w:rPr>
                <w:noProof/>
                <w:sz w:val="18"/>
                <w:szCs w:val="20"/>
                <w:lang w:val="cs-CZ"/>
              </w:rPr>
            </w:pPr>
            <w:r w:rsidRPr="003B6E11">
              <w:rPr>
                <w:lang w:val="cs-CZ"/>
              </w:rPr>
              <w:tab/>
            </w:r>
            <w:r w:rsidRPr="003B6E11">
              <w:rPr>
                <w:noProof/>
                <w:sz w:val="18"/>
                <w:lang w:val="cs-CZ"/>
              </w:rPr>
              <w:t>Počet kotev na zádi</w:t>
            </w:r>
          </w:p>
        </w:tc>
        <w:tc>
          <w:tcPr>
            <w:tcW w:w="2297" w:type="dxa"/>
            <w:gridSpan w:val="2"/>
            <w:tcBorders>
              <w:left w:val="single" w:sz="6" w:space="0" w:color="auto"/>
              <w:right w:val="single" w:sz="6" w:space="0" w:color="auto"/>
            </w:tcBorders>
          </w:tcPr>
          <w:p w:rsidR="003B6E11" w:rsidRPr="003B6E11" w:rsidRDefault="003B6E11" w:rsidP="002D015D">
            <w:pPr>
              <w:widowControl w:val="0"/>
              <w:tabs>
                <w:tab w:val="left" w:pos="57"/>
                <w:tab w:val="left" w:pos="340"/>
              </w:tabs>
              <w:spacing w:before="80" w:after="80"/>
              <w:rPr>
                <w:noProof/>
                <w:sz w:val="18"/>
                <w:szCs w:val="20"/>
                <w:lang w:val="cs-CZ"/>
              </w:rPr>
            </w:pPr>
            <w:r w:rsidRPr="003B6E11">
              <w:rPr>
                <w:lang w:val="cs-CZ"/>
              </w:rPr>
              <w:tab/>
            </w:r>
            <w:r w:rsidRPr="003B6E11">
              <w:rPr>
                <w:noProof/>
                <w:sz w:val="18"/>
                <w:lang w:val="cs-CZ"/>
              </w:rPr>
              <w:t>Celková hmotnost kotev na zádi</w:t>
            </w:r>
          </w:p>
        </w:tc>
      </w:tr>
      <w:tr w:rsidR="003B6E11" w:rsidRPr="003B6E11" w:rsidTr="002D015D">
        <w:trPr>
          <w:cantSplit/>
          <w:jc w:val="center"/>
        </w:trPr>
        <w:tc>
          <w:tcPr>
            <w:tcW w:w="284" w:type="dxa"/>
            <w:tcBorders>
              <w:left w:val="single" w:sz="6" w:space="0" w:color="auto"/>
              <w:bottom w:val="single" w:sz="6" w:space="0" w:color="auto"/>
            </w:tcBorders>
          </w:tcPr>
          <w:p w:rsidR="003B6E11" w:rsidRPr="003B6E11" w:rsidRDefault="003B6E11" w:rsidP="002D015D">
            <w:pPr>
              <w:tabs>
                <w:tab w:val="left" w:pos="57"/>
              </w:tabs>
              <w:overflowPunct w:val="0"/>
              <w:adjustRightInd w:val="0"/>
              <w:spacing w:after="120"/>
              <w:textAlignment w:val="baseline"/>
              <w:rPr>
                <w:rFonts w:cs="Arial"/>
                <w:sz w:val="18"/>
                <w:szCs w:val="20"/>
                <w:lang w:val="cs-CZ"/>
              </w:rPr>
            </w:pPr>
          </w:p>
        </w:tc>
        <w:tc>
          <w:tcPr>
            <w:tcW w:w="2014" w:type="dxa"/>
            <w:tcBorders>
              <w:bottom w:val="single" w:sz="6" w:space="0" w:color="auto"/>
            </w:tcBorders>
          </w:tcPr>
          <w:p w:rsidR="003B6E11" w:rsidRPr="003B6E11" w:rsidRDefault="003B6E11" w:rsidP="002D015D">
            <w:pPr>
              <w:tabs>
                <w:tab w:val="left" w:pos="57"/>
                <w:tab w:val="left" w:leader="dot" w:pos="1701"/>
              </w:tabs>
              <w:overflowPunct w:val="0"/>
              <w:adjustRightInd w:val="0"/>
              <w:spacing w:after="120"/>
              <w:textAlignment w:val="baseline"/>
              <w:rPr>
                <w:rFonts w:cs="Arial"/>
                <w:sz w:val="18"/>
                <w:szCs w:val="20"/>
                <w:lang w:val="cs-CZ"/>
              </w:rPr>
            </w:pPr>
            <w:r w:rsidRPr="003B6E11">
              <w:rPr>
                <w:lang w:val="cs-CZ"/>
              </w:rPr>
              <w:tab/>
            </w:r>
            <w:r w:rsidRPr="003B6E11">
              <w:rPr>
                <w:lang w:val="cs-CZ"/>
              </w:rPr>
              <w:tab/>
            </w:r>
          </w:p>
        </w:tc>
        <w:tc>
          <w:tcPr>
            <w:tcW w:w="2297" w:type="dxa"/>
            <w:tcBorders>
              <w:bottom w:val="single" w:sz="6" w:space="0" w:color="auto"/>
            </w:tcBorders>
          </w:tcPr>
          <w:p w:rsidR="003B6E11" w:rsidRPr="003B6E11" w:rsidRDefault="003B6E11" w:rsidP="002D015D">
            <w:pPr>
              <w:tabs>
                <w:tab w:val="left" w:pos="57"/>
                <w:tab w:val="left" w:leader="dot" w:pos="1814"/>
              </w:tabs>
              <w:overflowPunct w:val="0"/>
              <w:adjustRightInd w:val="0"/>
              <w:spacing w:after="120"/>
              <w:textAlignment w:val="baseline"/>
              <w:rPr>
                <w:rFonts w:cs="Arial"/>
                <w:sz w:val="18"/>
                <w:szCs w:val="20"/>
                <w:lang w:val="cs-CZ"/>
              </w:rPr>
            </w:pPr>
            <w:r w:rsidRPr="003B6E11">
              <w:rPr>
                <w:lang w:val="cs-CZ"/>
              </w:rPr>
              <w:tab/>
            </w:r>
            <w:r w:rsidRPr="003B6E11">
              <w:rPr>
                <w:lang w:val="cs-CZ"/>
              </w:rPr>
              <w:tab/>
            </w:r>
            <w:r w:rsidRPr="003B6E11">
              <w:rPr>
                <w:sz w:val="18"/>
                <w:lang w:val="cs-CZ"/>
              </w:rPr>
              <w:t xml:space="preserve"> kg </w:t>
            </w:r>
          </w:p>
        </w:tc>
        <w:tc>
          <w:tcPr>
            <w:tcW w:w="2297" w:type="dxa"/>
            <w:tcBorders>
              <w:left w:val="single" w:sz="6" w:space="0" w:color="auto"/>
              <w:bottom w:val="single" w:sz="6" w:space="0" w:color="auto"/>
            </w:tcBorders>
          </w:tcPr>
          <w:p w:rsidR="003B6E11" w:rsidRPr="003B6E11" w:rsidRDefault="003B6E11" w:rsidP="002D015D">
            <w:pPr>
              <w:tabs>
                <w:tab w:val="left" w:pos="57"/>
                <w:tab w:val="left" w:leader="dot" w:pos="1814"/>
              </w:tabs>
              <w:overflowPunct w:val="0"/>
              <w:adjustRightInd w:val="0"/>
              <w:spacing w:after="120"/>
              <w:textAlignment w:val="baseline"/>
              <w:rPr>
                <w:rFonts w:cs="Arial"/>
                <w:sz w:val="18"/>
                <w:szCs w:val="20"/>
                <w:lang w:val="cs-CZ"/>
              </w:rPr>
            </w:pPr>
            <w:r w:rsidRPr="003B6E11">
              <w:rPr>
                <w:lang w:val="cs-CZ"/>
              </w:rPr>
              <w:tab/>
            </w:r>
            <w:r w:rsidRPr="003B6E11">
              <w:rPr>
                <w:lang w:val="cs-CZ"/>
              </w:rPr>
              <w:tab/>
            </w:r>
          </w:p>
        </w:tc>
        <w:tc>
          <w:tcPr>
            <w:tcW w:w="2297" w:type="dxa"/>
            <w:gridSpan w:val="2"/>
            <w:tcBorders>
              <w:bottom w:val="single" w:sz="6" w:space="0" w:color="auto"/>
              <w:right w:val="single" w:sz="6" w:space="0" w:color="auto"/>
            </w:tcBorders>
          </w:tcPr>
          <w:p w:rsidR="003B6E11" w:rsidRPr="003B6E11" w:rsidRDefault="003B6E11" w:rsidP="002D015D">
            <w:pPr>
              <w:tabs>
                <w:tab w:val="left" w:pos="57"/>
                <w:tab w:val="left" w:leader="dot" w:pos="1814"/>
              </w:tabs>
              <w:overflowPunct w:val="0"/>
              <w:adjustRightInd w:val="0"/>
              <w:spacing w:after="120"/>
              <w:textAlignment w:val="baseline"/>
              <w:rPr>
                <w:rFonts w:cs="Arial"/>
                <w:sz w:val="18"/>
                <w:szCs w:val="20"/>
                <w:lang w:val="cs-CZ"/>
              </w:rPr>
            </w:pPr>
            <w:r w:rsidRPr="003B6E11">
              <w:rPr>
                <w:lang w:val="cs-CZ"/>
              </w:rPr>
              <w:tab/>
            </w:r>
            <w:r w:rsidRPr="003B6E11">
              <w:rPr>
                <w:lang w:val="cs-CZ"/>
              </w:rPr>
              <w:tab/>
            </w:r>
            <w:r w:rsidRPr="003B6E11">
              <w:rPr>
                <w:sz w:val="18"/>
                <w:lang w:val="cs-CZ"/>
              </w:rPr>
              <w:t xml:space="preserve"> kg</w:t>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r w:rsidRPr="003B6E11">
              <w:rPr>
                <w:sz w:val="18"/>
                <w:lang w:val="cs-CZ"/>
              </w:rPr>
              <w:t>38.</w:t>
            </w:r>
          </w:p>
        </w:tc>
        <w:tc>
          <w:tcPr>
            <w:tcW w:w="2014" w:type="dxa"/>
          </w:tcPr>
          <w:p w:rsidR="003B6E11" w:rsidRPr="003B6E11" w:rsidRDefault="003B6E11" w:rsidP="002D015D">
            <w:pPr>
              <w:tabs>
                <w:tab w:val="left" w:pos="57"/>
              </w:tabs>
              <w:overflowPunct w:val="0"/>
              <w:adjustRightInd w:val="0"/>
              <w:ind w:left="57"/>
              <w:textAlignment w:val="baseline"/>
              <w:rPr>
                <w:rFonts w:cs="Arial"/>
                <w:sz w:val="18"/>
                <w:szCs w:val="20"/>
                <w:lang w:val="cs-CZ"/>
              </w:rPr>
            </w:pPr>
            <w:r w:rsidRPr="003B6E11">
              <w:rPr>
                <w:sz w:val="18"/>
                <w:lang w:val="cs-CZ"/>
              </w:rPr>
              <w:t>Kotevní řetězy</w:t>
            </w:r>
          </w:p>
        </w:tc>
        <w:tc>
          <w:tcPr>
            <w:tcW w:w="2297" w:type="dxa"/>
          </w:tcPr>
          <w:p w:rsidR="003B6E11" w:rsidRPr="003B6E11" w:rsidRDefault="003B6E11" w:rsidP="002D015D">
            <w:pPr>
              <w:tabs>
                <w:tab w:val="left" w:pos="57"/>
                <w:tab w:val="left" w:pos="340"/>
              </w:tabs>
              <w:overflowPunct w:val="0"/>
              <w:adjustRightInd w:val="0"/>
              <w:ind w:left="57"/>
              <w:textAlignment w:val="baseline"/>
              <w:rPr>
                <w:rFonts w:cs="Arial"/>
                <w:sz w:val="18"/>
                <w:szCs w:val="20"/>
                <w:lang w:val="cs-CZ"/>
              </w:rPr>
            </w:pPr>
          </w:p>
        </w:tc>
        <w:tc>
          <w:tcPr>
            <w:tcW w:w="2297" w:type="dxa"/>
          </w:tcPr>
          <w:p w:rsidR="003B6E11" w:rsidRPr="003B6E11" w:rsidRDefault="003B6E11" w:rsidP="002D015D">
            <w:pPr>
              <w:tabs>
                <w:tab w:val="left" w:pos="57"/>
                <w:tab w:val="left" w:pos="340"/>
              </w:tabs>
              <w:overflowPunct w:val="0"/>
              <w:adjustRightInd w:val="0"/>
              <w:ind w:left="57"/>
              <w:textAlignment w:val="baseline"/>
              <w:rPr>
                <w:rFonts w:cs="Arial"/>
                <w:sz w:val="18"/>
                <w:szCs w:val="20"/>
                <w:lang w:val="cs-CZ"/>
              </w:rPr>
            </w:pPr>
          </w:p>
        </w:tc>
        <w:tc>
          <w:tcPr>
            <w:tcW w:w="2297" w:type="dxa"/>
            <w:gridSpan w:val="2"/>
            <w:tcBorders>
              <w:top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p>
        </w:tc>
        <w:tc>
          <w:tcPr>
            <w:tcW w:w="2014" w:type="dxa"/>
          </w:tcPr>
          <w:p w:rsidR="003B6E11" w:rsidRPr="003B6E11" w:rsidRDefault="003B6E11" w:rsidP="002D015D">
            <w:pPr>
              <w:tabs>
                <w:tab w:val="left" w:pos="57"/>
              </w:tabs>
              <w:overflowPunct w:val="0"/>
              <w:adjustRightInd w:val="0"/>
              <w:ind w:left="57"/>
              <w:textAlignment w:val="baseline"/>
              <w:rPr>
                <w:rFonts w:cs="Arial"/>
                <w:sz w:val="18"/>
                <w:szCs w:val="20"/>
                <w:lang w:val="cs-CZ"/>
              </w:rPr>
            </w:pPr>
            <w:r w:rsidRPr="003B6E11">
              <w:rPr>
                <w:sz w:val="18"/>
                <w:lang w:val="cs-CZ"/>
              </w:rPr>
              <w:t>Počet kotevních řetězů na přídi</w:t>
            </w:r>
            <w:r w:rsidRPr="003B6E11">
              <w:rPr>
                <w:rFonts w:cs="Arial"/>
                <w:sz w:val="18"/>
                <w:szCs w:val="20"/>
                <w:lang w:val="cs-CZ"/>
              </w:rPr>
              <w:br/>
            </w:r>
          </w:p>
        </w:tc>
        <w:tc>
          <w:tcPr>
            <w:tcW w:w="2297" w:type="dxa"/>
            <w:tcBorders>
              <w:left w:val="single" w:sz="6" w:space="0" w:color="auto"/>
              <w:right w:val="single" w:sz="6" w:space="0" w:color="auto"/>
            </w:tcBorders>
          </w:tcPr>
          <w:p w:rsidR="003B6E11" w:rsidRPr="003B6E11" w:rsidRDefault="003B6E11" w:rsidP="002D015D">
            <w:pPr>
              <w:tabs>
                <w:tab w:val="left" w:pos="57"/>
                <w:tab w:val="left" w:pos="340"/>
              </w:tabs>
              <w:overflowPunct w:val="0"/>
              <w:adjustRightInd w:val="0"/>
              <w:ind w:left="57"/>
              <w:textAlignment w:val="baseline"/>
              <w:rPr>
                <w:rFonts w:cs="Arial"/>
                <w:sz w:val="18"/>
                <w:szCs w:val="20"/>
                <w:lang w:val="cs-CZ"/>
              </w:rPr>
            </w:pPr>
            <w:r w:rsidRPr="003B6E11">
              <w:rPr>
                <w:sz w:val="18"/>
                <w:lang w:val="cs-CZ"/>
              </w:rPr>
              <w:t>Délka každého řetězu</w:t>
            </w:r>
            <w:r w:rsidRPr="003B6E11">
              <w:rPr>
                <w:rFonts w:cs="Arial"/>
                <w:sz w:val="18"/>
                <w:szCs w:val="20"/>
                <w:lang w:val="cs-CZ"/>
              </w:rPr>
              <w:br/>
            </w:r>
            <w:r w:rsidRPr="003B6E11">
              <w:rPr>
                <w:sz w:val="18"/>
                <w:lang w:val="cs-CZ"/>
              </w:rPr>
              <w:t xml:space="preserve"> </w:t>
            </w:r>
          </w:p>
        </w:tc>
        <w:tc>
          <w:tcPr>
            <w:tcW w:w="2297" w:type="dxa"/>
            <w:tcBorders>
              <w:left w:val="single" w:sz="6" w:space="0" w:color="auto"/>
            </w:tcBorders>
          </w:tcPr>
          <w:p w:rsidR="003B6E11" w:rsidRPr="003B6E11" w:rsidRDefault="003B6E11" w:rsidP="002D015D">
            <w:pPr>
              <w:tabs>
                <w:tab w:val="left" w:pos="57"/>
                <w:tab w:val="left" w:pos="340"/>
              </w:tabs>
              <w:overflowPunct w:val="0"/>
              <w:adjustRightInd w:val="0"/>
              <w:ind w:left="57"/>
              <w:textAlignment w:val="baseline"/>
              <w:rPr>
                <w:rFonts w:cs="Arial"/>
                <w:sz w:val="18"/>
                <w:szCs w:val="20"/>
                <w:lang w:val="cs-CZ"/>
              </w:rPr>
            </w:pPr>
            <w:r w:rsidRPr="003B6E11">
              <w:rPr>
                <w:sz w:val="18"/>
                <w:lang w:val="cs-CZ"/>
              </w:rPr>
              <w:t>Mezní zatížení každého řetězu</w:t>
            </w:r>
          </w:p>
        </w:tc>
        <w:tc>
          <w:tcPr>
            <w:tcW w:w="2297" w:type="dxa"/>
            <w:gridSpan w:val="2"/>
            <w:tcBorders>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s>
              <w:overflowPunct w:val="0"/>
              <w:adjustRightInd w:val="0"/>
              <w:spacing w:after="120"/>
              <w:textAlignment w:val="baseline"/>
              <w:rPr>
                <w:rFonts w:cs="Arial"/>
                <w:sz w:val="18"/>
                <w:szCs w:val="20"/>
                <w:lang w:val="cs-CZ"/>
              </w:rPr>
            </w:pPr>
          </w:p>
        </w:tc>
        <w:tc>
          <w:tcPr>
            <w:tcW w:w="2014" w:type="dxa"/>
            <w:tcBorders>
              <w:right w:val="single" w:sz="6" w:space="0" w:color="auto"/>
            </w:tcBorders>
          </w:tcPr>
          <w:p w:rsidR="003B6E11" w:rsidRPr="003B6E11" w:rsidRDefault="003B6E11" w:rsidP="002D015D">
            <w:pPr>
              <w:tabs>
                <w:tab w:val="left" w:pos="57"/>
                <w:tab w:val="left" w:leader="dot" w:pos="1701"/>
              </w:tabs>
              <w:overflowPunct w:val="0"/>
              <w:adjustRightInd w:val="0"/>
              <w:spacing w:after="120"/>
              <w:textAlignment w:val="baseline"/>
              <w:rPr>
                <w:rFonts w:cs="Arial"/>
                <w:sz w:val="18"/>
                <w:szCs w:val="20"/>
                <w:lang w:val="cs-CZ"/>
              </w:rPr>
            </w:pPr>
            <w:r w:rsidRPr="003B6E11">
              <w:rPr>
                <w:lang w:val="cs-CZ"/>
              </w:rPr>
              <w:tab/>
            </w:r>
            <w:r w:rsidRPr="003B6E11">
              <w:rPr>
                <w:lang w:val="cs-CZ"/>
              </w:rPr>
              <w:tab/>
            </w:r>
          </w:p>
        </w:tc>
        <w:tc>
          <w:tcPr>
            <w:tcW w:w="2297" w:type="dxa"/>
          </w:tcPr>
          <w:p w:rsidR="003B6E11" w:rsidRPr="003B6E11" w:rsidRDefault="003B6E11" w:rsidP="002D015D">
            <w:pPr>
              <w:tabs>
                <w:tab w:val="left" w:pos="57"/>
                <w:tab w:val="left" w:leader="dot" w:pos="1814"/>
              </w:tabs>
              <w:overflowPunct w:val="0"/>
              <w:adjustRightInd w:val="0"/>
              <w:spacing w:after="120"/>
              <w:textAlignment w:val="baseline"/>
              <w:rPr>
                <w:rFonts w:cs="Arial"/>
                <w:sz w:val="18"/>
                <w:szCs w:val="20"/>
                <w:lang w:val="cs-CZ"/>
              </w:rPr>
            </w:pPr>
            <w:r w:rsidRPr="003B6E11">
              <w:rPr>
                <w:lang w:val="cs-CZ"/>
              </w:rPr>
              <w:tab/>
            </w:r>
            <w:r w:rsidRPr="003B6E11">
              <w:rPr>
                <w:lang w:val="cs-CZ"/>
              </w:rPr>
              <w:tab/>
            </w:r>
            <w:r w:rsidRPr="003B6E11">
              <w:rPr>
                <w:sz w:val="18"/>
                <w:lang w:val="cs-CZ"/>
              </w:rPr>
              <w:t xml:space="preserve"> m</w:t>
            </w:r>
          </w:p>
        </w:tc>
        <w:tc>
          <w:tcPr>
            <w:tcW w:w="2297" w:type="dxa"/>
            <w:tcBorders>
              <w:left w:val="single" w:sz="6" w:space="0" w:color="auto"/>
            </w:tcBorders>
          </w:tcPr>
          <w:p w:rsidR="003B6E11" w:rsidRPr="003B6E11" w:rsidRDefault="003B6E11" w:rsidP="002D015D">
            <w:pPr>
              <w:tabs>
                <w:tab w:val="left" w:pos="57"/>
                <w:tab w:val="left" w:leader="dot" w:pos="1814"/>
              </w:tabs>
              <w:overflowPunct w:val="0"/>
              <w:adjustRightInd w:val="0"/>
              <w:spacing w:after="120"/>
              <w:textAlignment w:val="baseline"/>
              <w:rPr>
                <w:rFonts w:cs="Arial"/>
                <w:sz w:val="18"/>
                <w:szCs w:val="20"/>
                <w:lang w:val="cs-CZ"/>
              </w:rPr>
            </w:pPr>
            <w:r w:rsidRPr="003B6E11">
              <w:rPr>
                <w:lang w:val="cs-CZ"/>
              </w:rPr>
              <w:tab/>
            </w:r>
            <w:r w:rsidRPr="003B6E11">
              <w:rPr>
                <w:lang w:val="cs-CZ"/>
              </w:rPr>
              <w:tab/>
            </w:r>
            <w:r w:rsidRPr="003B6E11">
              <w:rPr>
                <w:sz w:val="18"/>
                <w:lang w:val="cs-CZ"/>
              </w:rPr>
              <w:t xml:space="preserve"> kN</w:t>
            </w:r>
          </w:p>
        </w:tc>
        <w:tc>
          <w:tcPr>
            <w:tcW w:w="2297" w:type="dxa"/>
            <w:gridSpan w:val="2"/>
            <w:tcBorders>
              <w:right w:val="single" w:sz="6" w:space="0" w:color="auto"/>
            </w:tcBorders>
          </w:tcPr>
          <w:p w:rsidR="003B6E11" w:rsidRPr="003B6E11" w:rsidRDefault="003B6E11" w:rsidP="002D015D">
            <w:pPr>
              <w:tabs>
                <w:tab w:val="left" w:pos="57"/>
                <w:tab w:val="left" w:leader="dot" w:pos="1814"/>
              </w:tabs>
              <w:overflowPunct w:val="0"/>
              <w:adjustRightInd w:val="0"/>
              <w:spacing w:after="12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p>
        </w:tc>
        <w:tc>
          <w:tcPr>
            <w:tcW w:w="2014" w:type="dxa"/>
          </w:tcPr>
          <w:p w:rsidR="003B6E11" w:rsidRPr="003B6E11" w:rsidRDefault="003B6E11" w:rsidP="002D015D">
            <w:pPr>
              <w:tabs>
                <w:tab w:val="left" w:pos="57"/>
              </w:tabs>
              <w:overflowPunct w:val="0"/>
              <w:adjustRightInd w:val="0"/>
              <w:textAlignment w:val="baseline"/>
              <w:rPr>
                <w:rFonts w:cs="Arial"/>
                <w:sz w:val="18"/>
                <w:szCs w:val="20"/>
                <w:lang w:val="cs-CZ"/>
              </w:rPr>
            </w:pPr>
            <w:r w:rsidRPr="003B6E11">
              <w:rPr>
                <w:lang w:val="cs-CZ"/>
              </w:rPr>
              <w:tab/>
            </w:r>
            <w:r w:rsidRPr="003B6E11">
              <w:rPr>
                <w:sz w:val="18"/>
                <w:lang w:val="cs-CZ"/>
              </w:rPr>
              <w:t>Počet kotevních řetězů na zádi</w:t>
            </w:r>
            <w:r w:rsidRPr="003B6E11">
              <w:rPr>
                <w:rFonts w:cs="Arial"/>
                <w:sz w:val="18"/>
                <w:szCs w:val="20"/>
                <w:lang w:val="cs-CZ"/>
              </w:rPr>
              <w:br/>
            </w:r>
          </w:p>
        </w:tc>
        <w:tc>
          <w:tcPr>
            <w:tcW w:w="2297" w:type="dxa"/>
            <w:tcBorders>
              <w:left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r w:rsidRPr="003B6E11">
              <w:rPr>
                <w:lang w:val="cs-CZ"/>
              </w:rPr>
              <w:tab/>
            </w:r>
            <w:r w:rsidRPr="003B6E11">
              <w:rPr>
                <w:sz w:val="18"/>
                <w:lang w:val="cs-CZ"/>
              </w:rPr>
              <w:t>Délka každého řetězu</w:t>
            </w:r>
            <w:r w:rsidRPr="003B6E11">
              <w:rPr>
                <w:rFonts w:cs="Arial"/>
                <w:sz w:val="18"/>
                <w:szCs w:val="20"/>
                <w:lang w:val="cs-CZ"/>
              </w:rPr>
              <w:br/>
            </w:r>
            <w:r w:rsidRPr="003B6E11">
              <w:rPr>
                <w:sz w:val="18"/>
                <w:lang w:val="cs-CZ"/>
              </w:rPr>
              <w:t xml:space="preserve"> </w:t>
            </w:r>
          </w:p>
        </w:tc>
        <w:tc>
          <w:tcPr>
            <w:tcW w:w="2297" w:type="dxa"/>
            <w:tcBorders>
              <w:left w:val="single" w:sz="6" w:space="0" w:color="auto"/>
            </w:tcBorders>
          </w:tcPr>
          <w:p w:rsidR="003B6E11" w:rsidRPr="003B6E11" w:rsidRDefault="003B6E11" w:rsidP="002D015D">
            <w:pPr>
              <w:tabs>
                <w:tab w:val="left" w:pos="57"/>
                <w:tab w:val="left" w:pos="340"/>
              </w:tabs>
              <w:overflowPunct w:val="0"/>
              <w:adjustRightInd w:val="0"/>
              <w:ind w:left="57"/>
              <w:textAlignment w:val="baseline"/>
              <w:rPr>
                <w:rFonts w:cs="Arial"/>
                <w:sz w:val="18"/>
                <w:szCs w:val="20"/>
                <w:lang w:val="cs-CZ"/>
              </w:rPr>
            </w:pPr>
            <w:r w:rsidRPr="003B6E11">
              <w:rPr>
                <w:sz w:val="18"/>
                <w:lang w:val="cs-CZ"/>
              </w:rPr>
              <w:t>Mezní zatížení každého řetězu</w:t>
            </w:r>
          </w:p>
        </w:tc>
        <w:tc>
          <w:tcPr>
            <w:tcW w:w="2297" w:type="dxa"/>
            <w:gridSpan w:val="2"/>
            <w:tcBorders>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bottom w:val="single" w:sz="6" w:space="0" w:color="auto"/>
            </w:tcBorders>
          </w:tcPr>
          <w:p w:rsidR="003B6E11" w:rsidRPr="003B6E11" w:rsidRDefault="003B6E11" w:rsidP="002D015D">
            <w:pPr>
              <w:tabs>
                <w:tab w:val="left" w:pos="57"/>
              </w:tabs>
              <w:overflowPunct w:val="0"/>
              <w:adjustRightInd w:val="0"/>
              <w:spacing w:after="120"/>
              <w:textAlignment w:val="baseline"/>
              <w:rPr>
                <w:rFonts w:cs="Arial"/>
                <w:sz w:val="18"/>
                <w:szCs w:val="20"/>
                <w:lang w:val="cs-CZ"/>
              </w:rPr>
            </w:pPr>
          </w:p>
        </w:tc>
        <w:tc>
          <w:tcPr>
            <w:tcW w:w="2014" w:type="dxa"/>
            <w:tcBorders>
              <w:bottom w:val="single" w:sz="6" w:space="0" w:color="auto"/>
              <w:right w:val="single" w:sz="6" w:space="0" w:color="auto"/>
            </w:tcBorders>
          </w:tcPr>
          <w:p w:rsidR="003B6E11" w:rsidRPr="003B6E11" w:rsidRDefault="003B6E11" w:rsidP="002D015D">
            <w:pPr>
              <w:tabs>
                <w:tab w:val="left" w:pos="57"/>
                <w:tab w:val="left" w:leader="dot" w:pos="1701"/>
              </w:tabs>
              <w:overflowPunct w:val="0"/>
              <w:adjustRightInd w:val="0"/>
              <w:spacing w:after="120"/>
              <w:textAlignment w:val="baseline"/>
              <w:rPr>
                <w:rFonts w:cs="Arial"/>
                <w:sz w:val="18"/>
                <w:szCs w:val="20"/>
                <w:lang w:val="cs-CZ"/>
              </w:rPr>
            </w:pPr>
            <w:r w:rsidRPr="003B6E11">
              <w:rPr>
                <w:lang w:val="cs-CZ"/>
              </w:rPr>
              <w:tab/>
            </w:r>
            <w:r w:rsidRPr="003B6E11">
              <w:rPr>
                <w:lang w:val="cs-CZ"/>
              </w:rPr>
              <w:tab/>
            </w:r>
          </w:p>
        </w:tc>
        <w:tc>
          <w:tcPr>
            <w:tcW w:w="2297" w:type="dxa"/>
            <w:tcBorders>
              <w:bottom w:val="single" w:sz="6" w:space="0" w:color="auto"/>
            </w:tcBorders>
          </w:tcPr>
          <w:p w:rsidR="003B6E11" w:rsidRPr="003B6E11" w:rsidRDefault="003B6E11" w:rsidP="002D015D">
            <w:pPr>
              <w:tabs>
                <w:tab w:val="left" w:pos="57"/>
                <w:tab w:val="left" w:leader="dot" w:pos="1814"/>
              </w:tabs>
              <w:overflowPunct w:val="0"/>
              <w:adjustRightInd w:val="0"/>
              <w:spacing w:after="120"/>
              <w:textAlignment w:val="baseline"/>
              <w:rPr>
                <w:rFonts w:cs="Arial"/>
                <w:sz w:val="18"/>
                <w:szCs w:val="20"/>
                <w:lang w:val="cs-CZ"/>
              </w:rPr>
            </w:pPr>
            <w:r w:rsidRPr="003B6E11">
              <w:rPr>
                <w:lang w:val="cs-CZ"/>
              </w:rPr>
              <w:tab/>
            </w:r>
            <w:r w:rsidRPr="003B6E11">
              <w:rPr>
                <w:lang w:val="cs-CZ"/>
              </w:rPr>
              <w:tab/>
            </w:r>
            <w:r w:rsidRPr="003B6E11">
              <w:rPr>
                <w:sz w:val="18"/>
                <w:lang w:val="cs-CZ"/>
              </w:rPr>
              <w:t xml:space="preserve"> m</w:t>
            </w:r>
          </w:p>
        </w:tc>
        <w:tc>
          <w:tcPr>
            <w:tcW w:w="2297" w:type="dxa"/>
            <w:tcBorders>
              <w:left w:val="single" w:sz="6" w:space="0" w:color="auto"/>
              <w:bottom w:val="single" w:sz="6" w:space="0" w:color="auto"/>
            </w:tcBorders>
          </w:tcPr>
          <w:p w:rsidR="003B6E11" w:rsidRPr="003B6E11" w:rsidRDefault="003B6E11" w:rsidP="002D015D">
            <w:pPr>
              <w:tabs>
                <w:tab w:val="left" w:pos="57"/>
                <w:tab w:val="left" w:leader="dot" w:pos="1814"/>
              </w:tabs>
              <w:overflowPunct w:val="0"/>
              <w:adjustRightInd w:val="0"/>
              <w:spacing w:after="120"/>
              <w:textAlignment w:val="baseline"/>
              <w:rPr>
                <w:rFonts w:cs="Arial"/>
                <w:sz w:val="18"/>
                <w:szCs w:val="20"/>
                <w:lang w:val="cs-CZ"/>
              </w:rPr>
            </w:pPr>
            <w:r w:rsidRPr="003B6E11">
              <w:rPr>
                <w:lang w:val="cs-CZ"/>
              </w:rPr>
              <w:tab/>
            </w:r>
            <w:r w:rsidRPr="003B6E11">
              <w:rPr>
                <w:lang w:val="cs-CZ"/>
              </w:rPr>
              <w:tab/>
            </w:r>
            <w:r w:rsidRPr="003B6E11">
              <w:rPr>
                <w:sz w:val="18"/>
                <w:lang w:val="cs-CZ"/>
              </w:rPr>
              <w:t xml:space="preserve"> kN</w:t>
            </w:r>
          </w:p>
        </w:tc>
        <w:tc>
          <w:tcPr>
            <w:tcW w:w="2297" w:type="dxa"/>
            <w:gridSpan w:val="2"/>
            <w:tcBorders>
              <w:bottom w:val="single" w:sz="6" w:space="0" w:color="auto"/>
              <w:right w:val="single" w:sz="6" w:space="0" w:color="auto"/>
            </w:tcBorders>
          </w:tcPr>
          <w:p w:rsidR="003B6E11" w:rsidRPr="003B6E11" w:rsidRDefault="003B6E11" w:rsidP="002D015D">
            <w:pPr>
              <w:tabs>
                <w:tab w:val="left" w:pos="57"/>
                <w:tab w:val="left" w:leader="dot" w:pos="1814"/>
              </w:tabs>
              <w:overflowPunct w:val="0"/>
              <w:adjustRightInd w:val="0"/>
              <w:spacing w:after="12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r w:rsidRPr="003B6E11">
              <w:rPr>
                <w:sz w:val="18"/>
                <w:lang w:val="cs-CZ"/>
              </w:rPr>
              <w:t>39.</w:t>
            </w:r>
          </w:p>
        </w:tc>
        <w:tc>
          <w:tcPr>
            <w:tcW w:w="2014" w:type="dxa"/>
          </w:tcPr>
          <w:p w:rsidR="003B6E11" w:rsidRPr="003B6E11" w:rsidRDefault="003B6E11" w:rsidP="002D015D">
            <w:pPr>
              <w:tabs>
                <w:tab w:val="left" w:pos="57"/>
              </w:tabs>
              <w:overflowPunct w:val="0"/>
              <w:adjustRightInd w:val="0"/>
              <w:textAlignment w:val="baseline"/>
              <w:rPr>
                <w:rFonts w:cs="Arial"/>
                <w:sz w:val="18"/>
                <w:szCs w:val="20"/>
                <w:lang w:val="cs-CZ"/>
              </w:rPr>
            </w:pPr>
            <w:r w:rsidRPr="003B6E11">
              <w:rPr>
                <w:lang w:val="cs-CZ"/>
              </w:rPr>
              <w:tab/>
            </w:r>
            <w:r w:rsidRPr="003B6E11">
              <w:rPr>
                <w:sz w:val="18"/>
                <w:lang w:val="cs-CZ"/>
              </w:rPr>
              <w:t>Uvazovací lana</w:t>
            </w:r>
          </w:p>
        </w:tc>
        <w:tc>
          <w:tcPr>
            <w:tcW w:w="2297" w:type="dxa"/>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p>
        </w:tc>
        <w:tc>
          <w:tcPr>
            <w:tcW w:w="2297" w:type="dxa"/>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p>
        </w:tc>
        <w:tc>
          <w:tcPr>
            <w:tcW w:w="2297" w:type="dxa"/>
            <w:gridSpan w:val="2"/>
            <w:tcBorders>
              <w:top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p>
        </w:tc>
        <w:tc>
          <w:tcPr>
            <w:tcW w:w="6634" w:type="dxa"/>
            <w:gridSpan w:val="4"/>
          </w:tcPr>
          <w:p w:rsidR="003B6E11" w:rsidRPr="003B6E11" w:rsidRDefault="003B6E11" w:rsidP="002D015D">
            <w:pPr>
              <w:tabs>
                <w:tab w:val="left" w:pos="57"/>
                <w:tab w:val="left" w:leader="dot" w:pos="3005"/>
                <w:tab w:val="left" w:leader="dot" w:pos="6237"/>
              </w:tabs>
              <w:overflowPunct w:val="0"/>
              <w:adjustRightInd w:val="0"/>
              <w:textAlignment w:val="baseline"/>
              <w:rPr>
                <w:rFonts w:cs="Arial"/>
                <w:sz w:val="18"/>
                <w:szCs w:val="20"/>
                <w:lang w:val="cs-CZ"/>
              </w:rPr>
            </w:pPr>
            <w:r w:rsidRPr="003B6E11">
              <w:rPr>
                <w:lang w:val="cs-CZ"/>
              </w:rPr>
              <w:tab/>
            </w:r>
            <w:r w:rsidRPr="003B6E11">
              <w:rPr>
                <w:sz w:val="18"/>
                <w:lang w:val="cs-CZ"/>
              </w:rPr>
              <w:t xml:space="preserve">1. lano o délce </w:t>
            </w:r>
            <w:r w:rsidRPr="003B6E11">
              <w:rPr>
                <w:lang w:val="cs-CZ"/>
              </w:rPr>
              <w:tab/>
            </w:r>
            <w:r w:rsidRPr="003B6E11">
              <w:rPr>
                <w:sz w:val="18"/>
                <w:lang w:val="cs-CZ"/>
              </w:rPr>
              <w:t xml:space="preserve"> m a s mezním zatížením</w:t>
            </w:r>
            <w:r w:rsidRPr="003B6E11">
              <w:rPr>
                <w:lang w:val="cs-CZ"/>
              </w:rPr>
              <w:tab/>
            </w:r>
            <w:r w:rsidRPr="003B6E11">
              <w:rPr>
                <w:sz w:val="18"/>
                <w:lang w:val="cs-CZ"/>
              </w:rPr>
              <w:t xml:space="preserve"> kN</w:t>
            </w:r>
            <w:r w:rsidRPr="003B6E11">
              <w:rPr>
                <w:rFonts w:cs="Arial"/>
                <w:sz w:val="18"/>
                <w:szCs w:val="20"/>
                <w:lang w:val="cs-CZ"/>
              </w:rPr>
              <w:br/>
            </w:r>
          </w:p>
        </w:tc>
        <w:tc>
          <w:tcPr>
            <w:tcW w:w="2271" w:type="dxa"/>
            <w:tcBorders>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p>
        </w:tc>
        <w:tc>
          <w:tcPr>
            <w:tcW w:w="6634" w:type="dxa"/>
            <w:gridSpan w:val="4"/>
          </w:tcPr>
          <w:p w:rsidR="003B6E11" w:rsidRPr="003B6E11" w:rsidRDefault="003B6E11" w:rsidP="002D015D">
            <w:pPr>
              <w:tabs>
                <w:tab w:val="left" w:pos="57"/>
                <w:tab w:val="left" w:leader="dot" w:pos="3005"/>
                <w:tab w:val="left" w:leader="dot" w:pos="6237"/>
              </w:tabs>
              <w:overflowPunct w:val="0"/>
              <w:adjustRightInd w:val="0"/>
              <w:textAlignment w:val="baseline"/>
              <w:rPr>
                <w:rFonts w:cs="Arial"/>
                <w:sz w:val="18"/>
                <w:szCs w:val="20"/>
                <w:lang w:val="cs-CZ"/>
              </w:rPr>
            </w:pPr>
            <w:r w:rsidRPr="003B6E11">
              <w:rPr>
                <w:lang w:val="cs-CZ"/>
              </w:rPr>
              <w:tab/>
            </w:r>
            <w:r w:rsidRPr="003B6E11">
              <w:rPr>
                <w:sz w:val="18"/>
                <w:lang w:val="cs-CZ"/>
              </w:rPr>
              <w:t xml:space="preserve">2. lano o délce </w:t>
            </w:r>
            <w:r w:rsidRPr="003B6E11">
              <w:rPr>
                <w:lang w:val="cs-CZ"/>
              </w:rPr>
              <w:tab/>
            </w:r>
            <w:r w:rsidRPr="003B6E11">
              <w:rPr>
                <w:sz w:val="18"/>
                <w:lang w:val="cs-CZ"/>
              </w:rPr>
              <w:t xml:space="preserve"> m a s mezním zatížením</w:t>
            </w:r>
            <w:r w:rsidRPr="003B6E11">
              <w:rPr>
                <w:lang w:val="cs-CZ"/>
              </w:rPr>
              <w:tab/>
            </w:r>
            <w:r w:rsidRPr="003B6E11">
              <w:rPr>
                <w:sz w:val="18"/>
                <w:lang w:val="cs-CZ"/>
              </w:rPr>
              <w:t xml:space="preserve"> kN</w:t>
            </w:r>
            <w:r w:rsidRPr="003B6E11">
              <w:rPr>
                <w:rFonts w:cs="Arial"/>
                <w:sz w:val="18"/>
                <w:szCs w:val="20"/>
                <w:lang w:val="cs-CZ"/>
              </w:rPr>
              <w:br/>
            </w:r>
          </w:p>
        </w:tc>
        <w:tc>
          <w:tcPr>
            <w:tcW w:w="2271" w:type="dxa"/>
            <w:tcBorders>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p>
        </w:tc>
        <w:tc>
          <w:tcPr>
            <w:tcW w:w="6634" w:type="dxa"/>
            <w:gridSpan w:val="4"/>
          </w:tcPr>
          <w:p w:rsidR="003B6E11" w:rsidRPr="003B6E11" w:rsidRDefault="003B6E11" w:rsidP="002D015D">
            <w:pPr>
              <w:tabs>
                <w:tab w:val="left" w:pos="57"/>
                <w:tab w:val="left" w:leader="dot" w:pos="3005"/>
                <w:tab w:val="left" w:leader="dot" w:pos="6237"/>
              </w:tabs>
              <w:overflowPunct w:val="0"/>
              <w:adjustRightInd w:val="0"/>
              <w:textAlignment w:val="baseline"/>
              <w:rPr>
                <w:rFonts w:cs="Arial"/>
                <w:sz w:val="18"/>
                <w:szCs w:val="20"/>
                <w:lang w:val="cs-CZ"/>
              </w:rPr>
            </w:pPr>
            <w:r w:rsidRPr="003B6E11">
              <w:rPr>
                <w:lang w:val="cs-CZ"/>
              </w:rPr>
              <w:tab/>
            </w:r>
            <w:r w:rsidRPr="003B6E11">
              <w:rPr>
                <w:sz w:val="18"/>
                <w:lang w:val="cs-CZ"/>
              </w:rPr>
              <w:t xml:space="preserve">3. lano o délce </w:t>
            </w:r>
            <w:r w:rsidRPr="003B6E11">
              <w:rPr>
                <w:lang w:val="cs-CZ"/>
              </w:rPr>
              <w:tab/>
            </w:r>
            <w:r w:rsidRPr="003B6E11">
              <w:rPr>
                <w:sz w:val="18"/>
                <w:lang w:val="cs-CZ"/>
              </w:rPr>
              <w:t xml:space="preserve"> m a s mezním zatížením</w:t>
            </w:r>
            <w:r w:rsidRPr="003B6E11">
              <w:rPr>
                <w:lang w:val="cs-CZ"/>
              </w:rPr>
              <w:tab/>
            </w:r>
            <w:r w:rsidRPr="003B6E11">
              <w:rPr>
                <w:sz w:val="18"/>
                <w:lang w:val="cs-CZ"/>
              </w:rPr>
              <w:t xml:space="preserve"> kN</w:t>
            </w:r>
            <w:r w:rsidRPr="003B6E11">
              <w:rPr>
                <w:rFonts w:cs="Arial"/>
                <w:sz w:val="18"/>
                <w:szCs w:val="20"/>
                <w:lang w:val="cs-CZ"/>
              </w:rPr>
              <w:br/>
            </w:r>
          </w:p>
        </w:tc>
        <w:tc>
          <w:tcPr>
            <w:tcW w:w="2271" w:type="dxa"/>
            <w:tcBorders>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top w:val="single" w:sz="6" w:space="0" w:color="auto"/>
              <w:left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r w:rsidRPr="003B6E11">
              <w:rPr>
                <w:sz w:val="18"/>
                <w:lang w:val="cs-CZ"/>
              </w:rPr>
              <w:t>40.</w:t>
            </w:r>
          </w:p>
        </w:tc>
        <w:tc>
          <w:tcPr>
            <w:tcW w:w="6634" w:type="dxa"/>
            <w:gridSpan w:val="4"/>
            <w:tcBorders>
              <w:top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r w:rsidRPr="003B6E11">
              <w:rPr>
                <w:lang w:val="cs-CZ"/>
              </w:rPr>
              <w:tab/>
            </w:r>
            <w:r w:rsidRPr="003B6E11">
              <w:rPr>
                <w:noProof/>
                <w:sz w:val="18"/>
                <w:lang w:val="cs-CZ"/>
              </w:rPr>
              <w:t>Vlečná lana</w:t>
            </w:r>
          </w:p>
        </w:tc>
        <w:tc>
          <w:tcPr>
            <w:tcW w:w="2271" w:type="dxa"/>
            <w:tcBorders>
              <w:top w:val="single" w:sz="6" w:space="0" w:color="auto"/>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s>
              <w:overflowPunct w:val="0"/>
              <w:adjustRightInd w:val="0"/>
              <w:textAlignment w:val="baseline"/>
              <w:rPr>
                <w:rFonts w:cs="Arial"/>
                <w:sz w:val="18"/>
                <w:szCs w:val="20"/>
                <w:lang w:val="cs-CZ"/>
              </w:rPr>
            </w:pPr>
          </w:p>
        </w:tc>
        <w:tc>
          <w:tcPr>
            <w:tcW w:w="6634" w:type="dxa"/>
            <w:gridSpan w:val="4"/>
          </w:tcPr>
          <w:p w:rsidR="003B6E11" w:rsidRPr="003B6E11" w:rsidRDefault="003B6E11" w:rsidP="002D015D">
            <w:pPr>
              <w:tabs>
                <w:tab w:val="left" w:pos="57"/>
                <w:tab w:val="left" w:leader="dot" w:pos="567"/>
                <w:tab w:val="left" w:leader="dot" w:pos="851"/>
                <w:tab w:val="left" w:leader="dot" w:pos="3005"/>
                <w:tab w:val="left" w:leader="dot" w:pos="6237"/>
              </w:tabs>
              <w:overflowPunct w:val="0"/>
              <w:adjustRightInd w:val="0"/>
              <w:textAlignment w:val="baseline"/>
              <w:rPr>
                <w:rFonts w:cs="Arial"/>
                <w:sz w:val="18"/>
                <w:szCs w:val="20"/>
                <w:lang w:val="cs-CZ"/>
              </w:rPr>
            </w:pPr>
            <w:r w:rsidRPr="003B6E11">
              <w:rPr>
                <w:lang w:val="cs-CZ"/>
              </w:rPr>
              <w:tab/>
            </w:r>
            <w:r w:rsidRPr="003B6E11">
              <w:rPr>
                <w:lang w:val="cs-CZ"/>
              </w:rPr>
              <w:tab/>
            </w:r>
            <w:r w:rsidRPr="003B6E11">
              <w:rPr>
                <w:sz w:val="18"/>
                <w:lang w:val="cs-CZ"/>
              </w:rPr>
              <w:t xml:space="preserve"> o délce </w:t>
            </w:r>
            <w:r w:rsidRPr="003B6E11">
              <w:rPr>
                <w:lang w:val="cs-CZ"/>
              </w:rPr>
              <w:tab/>
            </w:r>
            <w:r w:rsidRPr="003B6E11">
              <w:rPr>
                <w:sz w:val="18"/>
                <w:lang w:val="cs-CZ"/>
              </w:rPr>
              <w:t xml:space="preserve"> m a s mezním zatížením </w:t>
            </w:r>
            <w:r w:rsidRPr="003B6E11">
              <w:rPr>
                <w:lang w:val="cs-CZ"/>
              </w:rPr>
              <w:tab/>
            </w:r>
            <w:r w:rsidRPr="003B6E11">
              <w:rPr>
                <w:sz w:val="18"/>
                <w:lang w:val="cs-CZ"/>
              </w:rPr>
              <w:t xml:space="preserve"> kN</w:t>
            </w:r>
            <w:r w:rsidRPr="003B6E11">
              <w:rPr>
                <w:rFonts w:cs="Arial"/>
                <w:sz w:val="18"/>
                <w:szCs w:val="20"/>
                <w:lang w:val="cs-CZ"/>
              </w:rPr>
              <w:br/>
            </w:r>
          </w:p>
        </w:tc>
        <w:tc>
          <w:tcPr>
            <w:tcW w:w="2271" w:type="dxa"/>
            <w:tcBorders>
              <w:right w:val="single" w:sz="6" w:space="0" w:color="auto"/>
            </w:tcBorders>
          </w:tcPr>
          <w:p w:rsidR="003B6E11" w:rsidRPr="003B6E11" w:rsidRDefault="003B6E11" w:rsidP="002D015D">
            <w:pPr>
              <w:tabs>
                <w:tab w:val="left" w:pos="57"/>
                <w:tab w:val="left" w:pos="340"/>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s>
              <w:overflowPunct w:val="0"/>
              <w:adjustRightInd w:val="0"/>
              <w:spacing w:after="120"/>
              <w:textAlignment w:val="baseline"/>
              <w:rPr>
                <w:rFonts w:cs="Arial"/>
                <w:sz w:val="18"/>
                <w:szCs w:val="20"/>
                <w:lang w:val="cs-CZ"/>
              </w:rPr>
            </w:pPr>
          </w:p>
        </w:tc>
        <w:tc>
          <w:tcPr>
            <w:tcW w:w="6634" w:type="dxa"/>
            <w:gridSpan w:val="4"/>
          </w:tcPr>
          <w:p w:rsidR="003B6E11" w:rsidRPr="003B6E11" w:rsidRDefault="003B6E11" w:rsidP="002D015D">
            <w:pPr>
              <w:tabs>
                <w:tab w:val="left" w:pos="57"/>
                <w:tab w:val="left" w:leader="dot" w:pos="567"/>
                <w:tab w:val="left" w:leader="dot" w:pos="851"/>
                <w:tab w:val="left" w:leader="dot" w:pos="1701"/>
                <w:tab w:val="left" w:leader="dot" w:pos="3005"/>
                <w:tab w:val="left" w:leader="dot" w:pos="6237"/>
              </w:tabs>
              <w:overflowPunct w:val="0"/>
              <w:adjustRightInd w:val="0"/>
              <w:spacing w:after="120"/>
              <w:textAlignment w:val="baseline"/>
              <w:rPr>
                <w:rFonts w:cs="Arial"/>
                <w:sz w:val="18"/>
                <w:szCs w:val="20"/>
                <w:lang w:val="cs-CZ"/>
              </w:rPr>
            </w:pPr>
            <w:r w:rsidRPr="003B6E11">
              <w:rPr>
                <w:lang w:val="cs-CZ"/>
              </w:rPr>
              <w:tab/>
            </w:r>
            <w:r w:rsidRPr="003B6E11">
              <w:rPr>
                <w:lang w:val="cs-CZ"/>
              </w:rPr>
              <w:tab/>
            </w:r>
            <w:r w:rsidRPr="003B6E11">
              <w:rPr>
                <w:sz w:val="18"/>
                <w:lang w:val="cs-CZ"/>
              </w:rPr>
              <w:t xml:space="preserve"> o délce </w:t>
            </w:r>
            <w:r w:rsidRPr="003B6E11">
              <w:rPr>
                <w:lang w:val="cs-CZ"/>
              </w:rPr>
              <w:tab/>
            </w:r>
            <w:r w:rsidRPr="003B6E11">
              <w:rPr>
                <w:sz w:val="18"/>
                <w:lang w:val="cs-CZ"/>
              </w:rPr>
              <w:t xml:space="preserve"> m a s mezním zatížením </w:t>
            </w:r>
            <w:r w:rsidRPr="003B6E11">
              <w:rPr>
                <w:lang w:val="cs-CZ"/>
              </w:rPr>
              <w:tab/>
            </w:r>
            <w:r w:rsidRPr="003B6E11">
              <w:rPr>
                <w:sz w:val="18"/>
                <w:lang w:val="cs-CZ"/>
              </w:rPr>
              <w:t xml:space="preserve"> kN</w:t>
            </w:r>
          </w:p>
        </w:tc>
        <w:tc>
          <w:tcPr>
            <w:tcW w:w="2271" w:type="dxa"/>
            <w:tcBorders>
              <w:right w:val="single" w:sz="6" w:space="0" w:color="auto"/>
            </w:tcBorders>
          </w:tcPr>
          <w:p w:rsidR="003B6E11" w:rsidRPr="003B6E11" w:rsidRDefault="003B6E11" w:rsidP="002D015D">
            <w:pPr>
              <w:tabs>
                <w:tab w:val="left" w:pos="57"/>
                <w:tab w:val="left" w:leader="dot" w:pos="1814"/>
              </w:tabs>
              <w:overflowPunct w:val="0"/>
              <w:adjustRightInd w:val="0"/>
              <w:spacing w:after="120"/>
              <w:textAlignment w:val="baseline"/>
              <w:rPr>
                <w:rFonts w:cs="Arial"/>
                <w:sz w:val="18"/>
                <w:szCs w:val="20"/>
                <w:lang w:val="cs-CZ"/>
              </w:rPr>
            </w:pP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r w:rsidRPr="003B6E11">
              <w:rPr>
                <w:sz w:val="18"/>
                <w:lang w:val="cs-CZ"/>
              </w:rPr>
              <w:t>41.</w:t>
            </w:r>
          </w:p>
        </w:tc>
        <w:tc>
          <w:tcPr>
            <w:tcW w:w="8905" w:type="dxa"/>
            <w:gridSpan w:val="5"/>
            <w:tcBorders>
              <w:top w:val="single" w:sz="6" w:space="0" w:color="auto"/>
              <w:bottom w:val="single" w:sz="6" w:space="0" w:color="auto"/>
              <w:right w:val="single" w:sz="6" w:space="0" w:color="auto"/>
            </w:tcBorders>
          </w:tcPr>
          <w:p w:rsidR="003B6E11" w:rsidRPr="003B6E11" w:rsidRDefault="003B6E11" w:rsidP="002D015D">
            <w:pPr>
              <w:tabs>
                <w:tab w:val="left" w:pos="57"/>
                <w:tab w:val="left" w:pos="340"/>
                <w:tab w:val="left" w:leader="dot" w:pos="5103"/>
                <w:tab w:val="left" w:leader="dot" w:pos="8505"/>
              </w:tabs>
              <w:overflowPunct w:val="0"/>
              <w:adjustRightInd w:val="0"/>
              <w:spacing w:before="120"/>
              <w:ind w:left="57" w:right="57" w:hanging="57"/>
              <w:textAlignment w:val="baseline"/>
              <w:rPr>
                <w:rFonts w:cs="Arial"/>
                <w:sz w:val="18"/>
                <w:szCs w:val="20"/>
                <w:lang w:val="cs-CZ"/>
              </w:rPr>
            </w:pPr>
            <w:r w:rsidRPr="003B6E11">
              <w:rPr>
                <w:lang w:val="cs-CZ"/>
              </w:rPr>
              <w:tab/>
            </w:r>
            <w:r w:rsidRPr="003B6E11">
              <w:rPr>
                <w:noProof/>
                <w:sz w:val="18"/>
                <w:lang w:val="cs-CZ"/>
              </w:rPr>
              <w:t>Vizuální a zvukové signály</w:t>
            </w:r>
            <w:r w:rsidRPr="003B6E11">
              <w:rPr>
                <w:noProof/>
                <w:sz w:val="18"/>
                <w:szCs w:val="20"/>
                <w:lang w:val="cs-CZ"/>
              </w:rPr>
              <w:br/>
            </w:r>
            <w:r w:rsidRPr="003B6E11">
              <w:rPr>
                <w:noProof/>
                <w:sz w:val="18"/>
                <w:lang w:val="cs-CZ"/>
              </w:rPr>
              <w:t>Na palubě se nacházejí světla, vlajky, balóny, plováky a zvuková výstražná zařízení pro signalizaci a vydávání vizuálních a zvukových signálů předepsaných [policejními předpisy pro plavbu na Rýně / plavebními předpisy členských států] a rovněž nezávislá nouzová kotevní světla předepsaná [policejními předpisy pro plavbu na Rýně / plavebními předpisy členských států].</w:t>
            </w:r>
            <w:r w:rsidRPr="003B6E11">
              <w:rPr>
                <w:noProof/>
                <w:sz w:val="18"/>
                <w:szCs w:val="20"/>
                <w:lang w:val="cs-CZ"/>
              </w:rPr>
              <w:br/>
            </w:r>
            <w:r w:rsidRPr="003B6E11">
              <w:rPr>
                <w:noProof/>
                <w:sz w:val="18"/>
                <w:szCs w:val="20"/>
                <w:lang w:val="cs-CZ"/>
              </w:rPr>
              <w:br/>
            </w:r>
          </w:p>
        </w:tc>
      </w:tr>
      <w:tr w:rsidR="003B6E11" w:rsidRPr="003B6E11" w:rsidTr="002D015D">
        <w:trPr>
          <w:cantSplit/>
          <w:jc w:val="center"/>
        </w:trPr>
        <w:tc>
          <w:tcPr>
            <w:tcW w:w="284" w:type="dxa"/>
            <w:tcBorders>
              <w:left w:val="single" w:sz="6" w:space="0" w:color="auto"/>
              <w:bottom w:val="single" w:sz="6" w:space="0" w:color="auto"/>
            </w:tcBorders>
          </w:tcPr>
          <w:p w:rsidR="003B6E11" w:rsidRPr="003B6E11" w:rsidRDefault="003B6E11" w:rsidP="002D015D">
            <w:pPr>
              <w:tabs>
                <w:tab w:val="left" w:pos="57"/>
              </w:tabs>
              <w:overflowPunct w:val="0"/>
              <w:adjustRightInd w:val="0"/>
              <w:spacing w:before="80"/>
              <w:textAlignment w:val="baseline"/>
              <w:rPr>
                <w:rFonts w:cs="Arial"/>
                <w:sz w:val="18"/>
                <w:szCs w:val="20"/>
                <w:lang w:val="cs-CZ"/>
              </w:rPr>
            </w:pPr>
            <w:r w:rsidRPr="003B6E11">
              <w:rPr>
                <w:lang w:val="cs-CZ"/>
              </w:rPr>
              <w:tab/>
            </w:r>
            <w:r w:rsidRPr="003B6E11">
              <w:rPr>
                <w:sz w:val="18"/>
                <w:lang w:val="cs-CZ"/>
              </w:rPr>
              <w:t>*)</w:t>
            </w:r>
            <w:r w:rsidRPr="003B6E11">
              <w:rPr>
                <w:rFonts w:cs="Arial"/>
                <w:sz w:val="18"/>
                <w:szCs w:val="20"/>
                <w:lang w:val="cs-CZ"/>
              </w:rPr>
              <w:br/>
            </w:r>
            <w:r w:rsidRPr="003B6E11">
              <w:rPr>
                <w:rFonts w:cs="Arial"/>
                <w:sz w:val="18"/>
                <w:szCs w:val="20"/>
                <w:lang w:val="cs-CZ"/>
              </w:rPr>
              <w:br/>
            </w:r>
          </w:p>
          <w:p w:rsidR="003B6E11" w:rsidRPr="003B6E11" w:rsidRDefault="003B6E11" w:rsidP="002D015D">
            <w:pPr>
              <w:tabs>
                <w:tab w:val="left" w:pos="57"/>
              </w:tabs>
              <w:overflowPunct w:val="0"/>
              <w:adjustRightInd w:val="0"/>
              <w:spacing w:before="80"/>
              <w:textAlignment w:val="baseline"/>
              <w:rPr>
                <w:rFonts w:cs="Arial"/>
                <w:sz w:val="18"/>
                <w:szCs w:val="20"/>
                <w:lang w:val="cs-CZ"/>
              </w:rPr>
            </w:pPr>
          </w:p>
          <w:p w:rsidR="003B6E11" w:rsidRPr="003B6E11" w:rsidRDefault="003B6E11" w:rsidP="002D015D">
            <w:pPr>
              <w:tabs>
                <w:tab w:val="left" w:pos="57"/>
              </w:tabs>
              <w:overflowPunct w:val="0"/>
              <w:adjustRightInd w:val="0"/>
              <w:spacing w:before="160"/>
              <w:textAlignment w:val="baseline"/>
              <w:rPr>
                <w:rFonts w:cs="Arial"/>
                <w:sz w:val="18"/>
                <w:szCs w:val="20"/>
                <w:lang w:val="cs-CZ"/>
              </w:rPr>
            </w:pPr>
            <w:r w:rsidRPr="003B6E11">
              <w:rPr>
                <w:lang w:val="cs-CZ"/>
              </w:rPr>
              <w:tab/>
            </w:r>
            <w:r w:rsidRPr="003B6E11">
              <w:rPr>
                <w:sz w:val="18"/>
                <w:lang w:val="cs-CZ"/>
              </w:rPr>
              <w:t>*)</w:t>
            </w:r>
          </w:p>
        </w:tc>
        <w:tc>
          <w:tcPr>
            <w:tcW w:w="8905" w:type="dxa"/>
            <w:gridSpan w:val="5"/>
            <w:tcBorders>
              <w:bottom w:val="single" w:sz="6" w:space="0" w:color="auto"/>
              <w:right w:val="single" w:sz="6" w:space="0" w:color="auto"/>
            </w:tcBorders>
          </w:tcPr>
          <w:p w:rsidR="003B6E11" w:rsidRPr="003B6E11" w:rsidRDefault="003B6E11" w:rsidP="002D015D">
            <w:pPr>
              <w:tabs>
                <w:tab w:val="left" w:pos="57"/>
                <w:tab w:val="left" w:leader="dot" w:pos="3686"/>
              </w:tabs>
              <w:overflowPunct w:val="0"/>
              <w:adjustRightInd w:val="0"/>
              <w:spacing w:before="80" w:after="80"/>
              <w:ind w:left="57" w:right="57"/>
              <w:textAlignment w:val="baseline"/>
              <w:rPr>
                <w:rFonts w:cs="Arial"/>
                <w:sz w:val="18"/>
                <w:szCs w:val="20"/>
                <w:lang w:val="cs-CZ"/>
              </w:rPr>
            </w:pPr>
            <w:r w:rsidRPr="003B6E11">
              <w:rPr>
                <w:noProof/>
                <w:sz w:val="18"/>
                <w:lang w:val="cs-CZ"/>
              </w:rPr>
              <w:t>Změna bodu (bodů): ....................</w:t>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noProof/>
                <w:sz w:val="18"/>
                <w:lang w:val="cs-CZ"/>
              </w:rPr>
              <w:t>Nový text:</w:t>
            </w:r>
            <w:r w:rsidRPr="003B6E11">
              <w:rPr>
                <w:lang w:val="cs-CZ"/>
              </w:rPr>
              <w:tab/>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lang w:val="cs-CZ"/>
              </w:rPr>
              <w:tab/>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lang w:val="cs-CZ"/>
              </w:rPr>
              <w:tab/>
            </w:r>
          </w:p>
          <w:p w:rsidR="003B6E11" w:rsidRPr="003B6E11" w:rsidRDefault="003B6E11" w:rsidP="002D015D">
            <w:pPr>
              <w:tabs>
                <w:tab w:val="left" w:leader="dot" w:pos="4536"/>
                <w:tab w:val="center" w:pos="6862"/>
              </w:tabs>
              <w:overflowPunct w:val="0"/>
              <w:adjustRightInd w:val="0"/>
              <w:spacing w:after="80"/>
              <w:ind w:left="57" w:right="57"/>
              <w:textAlignment w:val="baseline"/>
              <w:rPr>
                <w:rFonts w:cs="Arial"/>
                <w:sz w:val="18"/>
                <w:szCs w:val="20"/>
                <w:lang w:val="cs-CZ"/>
              </w:rPr>
            </w:pPr>
            <w:r w:rsidRPr="003B6E11">
              <w:rPr>
                <w:sz w:val="18"/>
                <w:lang w:val="cs-CZ"/>
              </w:rPr>
              <w:t>Tato stránka byla nahrazena.</w:t>
            </w:r>
          </w:p>
          <w:p w:rsidR="003B6E11" w:rsidRPr="003B6E11" w:rsidRDefault="003B6E11" w:rsidP="002D015D">
            <w:pPr>
              <w:tabs>
                <w:tab w:val="left" w:leader="dot" w:pos="4536"/>
                <w:tab w:val="center" w:pos="6862"/>
              </w:tabs>
              <w:overflowPunct w:val="0"/>
              <w:adjustRightInd w:val="0"/>
              <w:spacing w:after="80"/>
              <w:ind w:left="57" w:right="57"/>
              <w:textAlignment w:val="baseline"/>
              <w:rPr>
                <w:rFonts w:cs="Arial"/>
                <w:sz w:val="18"/>
                <w:szCs w:val="20"/>
                <w:lang w:val="cs-CZ"/>
              </w:rPr>
            </w:pPr>
            <w:r w:rsidRPr="003B6E11">
              <w:rPr>
                <w:sz w:val="18"/>
                <w:lang w:val="cs-CZ"/>
              </w:rPr>
              <w:t xml:space="preserve">Místo, datum </w:t>
            </w:r>
            <w:r w:rsidRPr="003B6E11">
              <w:rPr>
                <w:lang w:val="cs-CZ"/>
              </w:rPr>
              <w:tab/>
            </w:r>
            <w:r w:rsidRPr="003B6E11">
              <w:rPr>
                <w:lang w:val="cs-CZ"/>
              </w:rPr>
              <w:tab/>
            </w:r>
            <w:r w:rsidRPr="003B6E11">
              <w:rPr>
                <w:sz w:val="18"/>
                <w:lang w:val="cs-CZ"/>
              </w:rPr>
              <w:t>Subjekt pověřený prohlídkami</w:t>
            </w:r>
          </w:p>
          <w:p w:rsidR="003B6E11" w:rsidRPr="003B6E11" w:rsidRDefault="003B6E11" w:rsidP="002D015D">
            <w:pPr>
              <w:tabs>
                <w:tab w:val="left" w:pos="5103"/>
                <w:tab w:val="left" w:leader="dot" w:pos="8505"/>
              </w:tabs>
              <w:overflowPunct w:val="0"/>
              <w:adjustRightInd w:val="0"/>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1701"/>
              </w:tabs>
              <w:overflowPunct w:val="0"/>
              <w:adjustRightInd w:val="0"/>
              <w:spacing w:after="80"/>
              <w:textAlignment w:val="baseline"/>
              <w:rPr>
                <w:rFonts w:cs="Arial"/>
                <w:sz w:val="18"/>
                <w:szCs w:val="20"/>
                <w:lang w:val="cs-CZ"/>
              </w:rPr>
            </w:pPr>
            <w:r w:rsidRPr="003B6E11">
              <w:rPr>
                <w:lang w:val="cs-CZ"/>
              </w:rPr>
              <w:tab/>
            </w:r>
            <w:r w:rsidRPr="003B6E11">
              <w:rPr>
                <w:sz w:val="18"/>
                <w:lang w:val="cs-CZ"/>
              </w:rPr>
              <w:t>Razítko</w:t>
            </w:r>
          </w:p>
          <w:p w:rsidR="003B6E11" w:rsidRPr="003B6E11" w:rsidRDefault="003B6E11" w:rsidP="002D015D">
            <w:pPr>
              <w:tabs>
                <w:tab w:val="left" w:pos="5103"/>
                <w:tab w:val="left" w:leader="dot" w:pos="8505"/>
              </w:tabs>
              <w:overflowPunct w:val="0"/>
              <w:adjustRightInd w:val="0"/>
              <w:textAlignment w:val="baseline"/>
              <w:rPr>
                <w:rFonts w:cs="Arial"/>
                <w:szCs w:val="20"/>
                <w:lang w:val="cs-CZ"/>
              </w:rPr>
            </w:pPr>
            <w:r w:rsidRPr="003B6E11">
              <w:rPr>
                <w:lang w:val="cs-CZ"/>
              </w:rPr>
              <w:tab/>
            </w:r>
            <w:r w:rsidRPr="003B6E11">
              <w:rPr>
                <w:lang w:val="cs-CZ"/>
              </w:rPr>
              <w:tab/>
            </w:r>
          </w:p>
          <w:p w:rsidR="003B6E11" w:rsidRPr="003B6E11" w:rsidRDefault="003B6E11" w:rsidP="002D015D">
            <w:pPr>
              <w:tabs>
                <w:tab w:val="center" w:pos="6862"/>
              </w:tabs>
              <w:overflowPunct w:val="0"/>
              <w:adjustRightInd w:val="0"/>
              <w:textAlignment w:val="baseline"/>
              <w:rPr>
                <w:rFonts w:cs="Arial"/>
                <w:sz w:val="16"/>
                <w:szCs w:val="20"/>
                <w:lang w:val="cs-CZ"/>
              </w:rPr>
            </w:pPr>
            <w:r w:rsidRPr="003B6E11">
              <w:rPr>
                <w:lang w:val="cs-CZ"/>
              </w:rPr>
              <w:tab/>
            </w:r>
            <w:r w:rsidRPr="003B6E11">
              <w:rPr>
                <w:sz w:val="16"/>
                <w:lang w:val="cs-CZ"/>
              </w:rPr>
              <w:t>(podpis)</w:t>
            </w:r>
          </w:p>
          <w:p w:rsidR="003B6E11" w:rsidRPr="003B6E11" w:rsidRDefault="003B6E11" w:rsidP="002D015D">
            <w:pPr>
              <w:tabs>
                <w:tab w:val="left" w:pos="113"/>
                <w:tab w:val="left" w:pos="397"/>
                <w:tab w:val="left" w:pos="6237"/>
                <w:tab w:val="left" w:leader="dot" w:pos="9356"/>
              </w:tabs>
              <w:overflowPunct w:val="0"/>
              <w:adjustRightInd w:val="0"/>
              <w:textAlignment w:val="baseline"/>
              <w:rPr>
                <w:rFonts w:cs="Arial"/>
                <w:sz w:val="16"/>
                <w:szCs w:val="20"/>
                <w:lang w:val="cs-CZ"/>
              </w:rPr>
            </w:pPr>
            <w:r w:rsidRPr="003B6E11">
              <w:rPr>
                <w:sz w:val="18"/>
                <w:lang w:val="cs-CZ"/>
              </w:rPr>
              <w:t>_______________________</w:t>
            </w:r>
          </w:p>
          <w:p w:rsidR="003B6E11" w:rsidRPr="003B6E11" w:rsidRDefault="003B6E11" w:rsidP="002D015D">
            <w:pPr>
              <w:tabs>
                <w:tab w:val="left" w:pos="284"/>
              </w:tabs>
              <w:overflowPunct w:val="0"/>
              <w:adjustRightInd w:val="0"/>
              <w:spacing w:after="40"/>
              <w:ind w:left="57"/>
              <w:textAlignment w:val="baseline"/>
              <w:rPr>
                <w:rFonts w:cs="Arial"/>
                <w:sz w:val="18"/>
                <w:szCs w:val="20"/>
                <w:lang w:val="cs-CZ"/>
              </w:rPr>
            </w:pPr>
            <w:r w:rsidRPr="003B6E11">
              <w:rPr>
                <w:position w:val="4"/>
                <w:sz w:val="16"/>
                <w:lang w:val="cs-CZ"/>
              </w:rPr>
              <w:t>*)</w:t>
            </w:r>
            <w:r w:rsidRPr="003B6E11">
              <w:rPr>
                <w:lang w:val="cs-CZ"/>
              </w:rPr>
              <w:tab/>
            </w:r>
            <w:r w:rsidRPr="003B6E11">
              <w:rPr>
                <w:sz w:val="16"/>
                <w:lang w:val="cs-CZ"/>
              </w:rPr>
              <w:t>Nehodící se škrtněte.</w:t>
            </w:r>
          </w:p>
        </w:tc>
      </w:tr>
    </w:tbl>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tabs>
          <w:tab w:val="left" w:leader="dot" w:pos="2835"/>
          <w:tab w:val="left" w:leader="dot" w:pos="5103"/>
        </w:tabs>
        <w:overflowPunct w:val="0"/>
        <w:adjustRightInd w:val="0"/>
        <w:textAlignment w:val="baseline"/>
        <w:rPr>
          <w:rFonts w:cs="Arial"/>
          <w:szCs w:val="20"/>
          <w:lang w:val="cs-CZ"/>
        </w:rPr>
      </w:pPr>
      <w:r w:rsidRPr="003B6E11">
        <w:rPr>
          <w:lang w:val="cs-CZ"/>
        </w:rPr>
        <w:br w:type="page"/>
        <w:t xml:space="preserve">Osvědčení plavidla vnitrozemské plavby č. </w:t>
      </w:r>
      <w:r w:rsidRPr="003B6E11">
        <w:rPr>
          <w:lang w:val="cs-CZ"/>
        </w:rPr>
        <w:tab/>
        <w:t xml:space="preserve"> vydané subjektem pověřeným prohlídkami</w:t>
      </w:r>
    </w:p>
    <w:tbl>
      <w:tblPr>
        <w:tblW w:w="9186" w:type="dxa"/>
        <w:jc w:val="center"/>
        <w:tblLayout w:type="fixed"/>
        <w:tblCellMar>
          <w:left w:w="0" w:type="dxa"/>
          <w:right w:w="0" w:type="dxa"/>
        </w:tblCellMar>
        <w:tblLook w:val="0000" w:firstRow="0" w:lastRow="0" w:firstColumn="0" w:lastColumn="0" w:noHBand="0" w:noVBand="0"/>
      </w:tblPr>
      <w:tblGrid>
        <w:gridCol w:w="284"/>
        <w:gridCol w:w="4451"/>
        <w:gridCol w:w="4445"/>
        <w:gridCol w:w="6"/>
      </w:tblGrid>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20"/>
              <w:textAlignment w:val="baseline"/>
              <w:rPr>
                <w:rFonts w:cs="Arial"/>
                <w:sz w:val="18"/>
                <w:szCs w:val="20"/>
                <w:lang w:val="cs-CZ"/>
              </w:rPr>
            </w:pPr>
            <w:r w:rsidRPr="003B6E11">
              <w:rPr>
                <w:sz w:val="18"/>
                <w:lang w:val="cs-CZ"/>
              </w:rPr>
              <w:t>42.</w:t>
            </w:r>
          </w:p>
        </w:tc>
        <w:tc>
          <w:tcPr>
            <w:tcW w:w="4451" w:type="dxa"/>
            <w:tcBorders>
              <w:top w:val="single" w:sz="6" w:space="0" w:color="auto"/>
              <w:bottom w:val="single" w:sz="6" w:space="0" w:color="auto"/>
            </w:tcBorders>
          </w:tcPr>
          <w:p w:rsidR="003B6E11" w:rsidRPr="003B6E11" w:rsidRDefault="003B6E11" w:rsidP="002D015D">
            <w:pPr>
              <w:overflowPunct w:val="0"/>
              <w:adjustRightInd w:val="0"/>
              <w:spacing w:before="20" w:after="20"/>
              <w:ind w:left="57"/>
              <w:textAlignment w:val="baseline"/>
              <w:rPr>
                <w:rFonts w:cs="Arial"/>
                <w:sz w:val="18"/>
                <w:szCs w:val="20"/>
                <w:lang w:val="cs-CZ"/>
              </w:rPr>
            </w:pPr>
            <w:r w:rsidRPr="003B6E11">
              <w:rPr>
                <w:noProof/>
                <w:sz w:val="18"/>
                <w:lang w:val="cs-CZ"/>
              </w:rPr>
              <w:t>Jiné vybavení</w:t>
            </w:r>
          </w:p>
          <w:p w:rsidR="003B6E11" w:rsidRPr="003B6E11" w:rsidRDefault="003B6E11" w:rsidP="002D015D">
            <w:pPr>
              <w:overflowPunct w:val="0"/>
              <w:adjustRightInd w:val="0"/>
              <w:spacing w:before="20" w:after="20"/>
              <w:ind w:left="57"/>
              <w:textAlignment w:val="baseline"/>
              <w:rPr>
                <w:rFonts w:cs="Arial"/>
                <w:sz w:val="18"/>
                <w:szCs w:val="20"/>
                <w:lang w:val="cs-CZ"/>
              </w:rPr>
            </w:pPr>
            <w:r w:rsidRPr="003B6E11">
              <w:rPr>
                <w:noProof/>
                <w:sz w:val="18"/>
                <w:lang w:val="cs-CZ"/>
              </w:rPr>
              <w:t>Vrhací lano</w:t>
            </w:r>
          </w:p>
          <w:p w:rsidR="003B6E11" w:rsidRPr="003B6E11" w:rsidRDefault="003B6E11" w:rsidP="002D015D">
            <w:pPr>
              <w:tabs>
                <w:tab w:val="left" w:pos="1010"/>
              </w:tabs>
              <w:overflowPunct w:val="0"/>
              <w:adjustRightInd w:val="0"/>
              <w:spacing w:before="20" w:after="20"/>
              <w:ind w:left="57"/>
              <w:textAlignment w:val="baseline"/>
              <w:rPr>
                <w:rFonts w:cs="Arial"/>
                <w:sz w:val="18"/>
                <w:szCs w:val="20"/>
                <w:lang w:val="cs-CZ"/>
              </w:rPr>
            </w:pPr>
            <w:r w:rsidRPr="003B6E11">
              <w:rPr>
                <w:noProof/>
                <w:sz w:val="18"/>
                <w:lang w:val="cs-CZ"/>
              </w:rPr>
              <w:t>Lodní lávka</w:t>
            </w:r>
            <w:r w:rsidRPr="003B6E11">
              <w:rPr>
                <w:lang w:val="cs-CZ"/>
              </w:rPr>
              <w:tab/>
            </w:r>
            <w:r w:rsidRPr="003B6E11">
              <w:rPr>
                <w:noProof/>
                <w:sz w:val="18"/>
                <w:lang w:val="cs-CZ"/>
              </w:rPr>
              <w:t>podle čl. 13.02 odst. 3 písm. d) *) /</w:t>
            </w:r>
          </w:p>
          <w:p w:rsidR="003B6E11" w:rsidRPr="003B6E11" w:rsidRDefault="003B6E11" w:rsidP="002D015D">
            <w:pPr>
              <w:tabs>
                <w:tab w:val="left" w:pos="1010"/>
              </w:tabs>
              <w:overflowPunct w:val="0"/>
              <w:adjustRightInd w:val="0"/>
              <w:spacing w:before="20" w:after="20"/>
              <w:ind w:left="57"/>
              <w:textAlignment w:val="baseline"/>
              <w:rPr>
                <w:rFonts w:cs="Arial"/>
                <w:sz w:val="18"/>
                <w:szCs w:val="20"/>
                <w:lang w:val="cs-CZ"/>
              </w:rPr>
            </w:pPr>
            <w:r w:rsidRPr="003B6E11">
              <w:rPr>
                <w:lang w:val="cs-CZ"/>
              </w:rPr>
              <w:tab/>
            </w:r>
            <w:r w:rsidRPr="003B6E11">
              <w:rPr>
                <w:noProof/>
                <w:sz w:val="18"/>
                <w:lang w:val="cs-CZ"/>
              </w:rPr>
              <w:t xml:space="preserve">podle čl. 19.06 odst. 12 *) </w:t>
            </w:r>
          </w:p>
          <w:p w:rsidR="003B6E11" w:rsidRPr="003B6E11" w:rsidRDefault="003B6E11" w:rsidP="002D015D">
            <w:pPr>
              <w:tabs>
                <w:tab w:val="left" w:pos="1010"/>
              </w:tabs>
              <w:overflowPunct w:val="0"/>
              <w:adjustRightInd w:val="0"/>
              <w:spacing w:before="20" w:after="20"/>
              <w:ind w:left="57"/>
              <w:textAlignment w:val="baseline"/>
              <w:rPr>
                <w:rFonts w:cs="Arial"/>
                <w:noProof/>
                <w:sz w:val="18"/>
                <w:szCs w:val="20"/>
                <w:lang w:val="cs-CZ"/>
              </w:rPr>
            </w:pPr>
            <w:r w:rsidRPr="003B6E11">
              <w:rPr>
                <w:lang w:val="cs-CZ"/>
              </w:rPr>
              <w:tab/>
            </w:r>
            <w:r w:rsidRPr="003B6E11">
              <w:rPr>
                <w:noProof/>
                <w:sz w:val="18"/>
                <w:lang w:val="cs-CZ"/>
              </w:rPr>
              <w:t xml:space="preserve">Délka ..... m </w:t>
            </w:r>
          </w:p>
          <w:p w:rsidR="003B6E11" w:rsidRPr="003B6E11" w:rsidRDefault="003B6E11" w:rsidP="002D015D">
            <w:pPr>
              <w:tabs>
                <w:tab w:val="left" w:pos="970"/>
              </w:tabs>
              <w:overflowPunct w:val="0"/>
              <w:adjustRightInd w:val="0"/>
              <w:spacing w:before="20" w:after="20"/>
              <w:ind w:left="57"/>
              <w:textAlignment w:val="baseline"/>
              <w:rPr>
                <w:rFonts w:cs="Arial"/>
                <w:sz w:val="18"/>
                <w:szCs w:val="20"/>
                <w:lang w:val="cs-CZ"/>
              </w:rPr>
            </w:pPr>
            <w:r w:rsidRPr="003B6E11">
              <w:rPr>
                <w:noProof/>
                <w:sz w:val="18"/>
                <w:lang w:val="cs-CZ"/>
              </w:rPr>
              <w:t>Hák</w:t>
            </w:r>
          </w:p>
          <w:p w:rsidR="003B6E11" w:rsidRPr="003B6E11" w:rsidRDefault="003B6E11" w:rsidP="002D015D">
            <w:pPr>
              <w:overflowPunct w:val="0"/>
              <w:adjustRightInd w:val="0"/>
              <w:spacing w:before="20" w:after="20"/>
              <w:ind w:left="57"/>
              <w:textAlignment w:val="baseline"/>
              <w:rPr>
                <w:rFonts w:cs="Arial"/>
                <w:sz w:val="18"/>
                <w:szCs w:val="20"/>
                <w:lang w:val="cs-CZ"/>
              </w:rPr>
            </w:pPr>
            <w:r w:rsidRPr="003B6E11">
              <w:rPr>
                <w:noProof/>
                <w:sz w:val="18"/>
                <w:lang w:val="cs-CZ"/>
              </w:rPr>
              <w:t>Počet lékárniček .....</w:t>
            </w:r>
          </w:p>
          <w:p w:rsidR="003B6E11" w:rsidRPr="003B6E11" w:rsidRDefault="003B6E11" w:rsidP="002D015D">
            <w:pPr>
              <w:overflowPunct w:val="0"/>
              <w:adjustRightInd w:val="0"/>
              <w:spacing w:before="20" w:after="20"/>
              <w:ind w:left="57"/>
              <w:textAlignment w:val="baseline"/>
              <w:rPr>
                <w:rFonts w:cs="Arial"/>
                <w:sz w:val="18"/>
                <w:szCs w:val="20"/>
                <w:lang w:val="cs-CZ"/>
              </w:rPr>
            </w:pPr>
            <w:r w:rsidRPr="003B6E11">
              <w:rPr>
                <w:noProof/>
                <w:sz w:val="18"/>
                <w:lang w:val="cs-CZ"/>
              </w:rPr>
              <w:t>Dalekohled</w:t>
            </w:r>
          </w:p>
          <w:p w:rsidR="003B6E11" w:rsidRPr="003B6E11" w:rsidRDefault="003B6E11" w:rsidP="002D015D">
            <w:pPr>
              <w:overflowPunct w:val="0"/>
              <w:adjustRightInd w:val="0"/>
              <w:spacing w:before="20" w:after="20"/>
              <w:ind w:left="57"/>
              <w:textAlignment w:val="baseline"/>
              <w:rPr>
                <w:rFonts w:cs="Arial"/>
                <w:sz w:val="18"/>
                <w:szCs w:val="20"/>
                <w:lang w:val="cs-CZ"/>
              </w:rPr>
            </w:pPr>
            <w:r w:rsidRPr="003B6E11">
              <w:rPr>
                <w:noProof/>
                <w:sz w:val="18"/>
                <w:lang w:val="cs-CZ"/>
              </w:rPr>
              <w:t>Instrukce k záchraně osob přes palubu</w:t>
            </w:r>
          </w:p>
          <w:p w:rsidR="003B6E11" w:rsidRPr="003B6E11" w:rsidRDefault="003B6E11" w:rsidP="002D015D">
            <w:pPr>
              <w:overflowPunct w:val="0"/>
              <w:adjustRightInd w:val="0"/>
              <w:spacing w:before="20" w:after="20"/>
              <w:ind w:left="57"/>
              <w:textAlignment w:val="baseline"/>
              <w:rPr>
                <w:rFonts w:cs="Arial"/>
                <w:noProof/>
                <w:sz w:val="18"/>
                <w:szCs w:val="20"/>
                <w:lang w:val="cs-CZ"/>
              </w:rPr>
            </w:pPr>
            <w:r w:rsidRPr="003B6E11">
              <w:rPr>
                <w:noProof/>
                <w:sz w:val="18"/>
                <w:lang w:val="cs-CZ"/>
              </w:rPr>
              <w:t xml:space="preserve">Světlomet, který lze ovládat </w:t>
            </w:r>
          </w:p>
          <w:p w:rsidR="003B6E11" w:rsidRPr="003B6E11" w:rsidRDefault="003B6E11" w:rsidP="002D015D">
            <w:pPr>
              <w:overflowPunct w:val="0"/>
              <w:adjustRightInd w:val="0"/>
              <w:spacing w:before="20" w:after="20"/>
              <w:ind w:left="57"/>
              <w:textAlignment w:val="baseline"/>
              <w:rPr>
                <w:rFonts w:cs="Arial"/>
                <w:noProof/>
                <w:sz w:val="18"/>
                <w:szCs w:val="20"/>
                <w:lang w:val="cs-CZ"/>
              </w:rPr>
            </w:pPr>
            <w:r w:rsidRPr="003B6E11">
              <w:rPr>
                <w:noProof/>
                <w:sz w:val="18"/>
                <w:lang w:val="cs-CZ"/>
              </w:rPr>
              <w:t>z kormidelny</w:t>
            </w:r>
          </w:p>
          <w:p w:rsidR="003B6E11" w:rsidRPr="003B6E11" w:rsidRDefault="003B6E11" w:rsidP="002D015D">
            <w:pPr>
              <w:overflowPunct w:val="0"/>
              <w:adjustRightInd w:val="0"/>
              <w:spacing w:before="20" w:after="20"/>
              <w:ind w:left="57"/>
              <w:textAlignment w:val="baseline"/>
              <w:rPr>
                <w:rFonts w:cs="Arial"/>
                <w:sz w:val="18"/>
                <w:szCs w:val="20"/>
                <w:lang w:val="cs-CZ"/>
              </w:rPr>
            </w:pPr>
            <w:r w:rsidRPr="003B6E11">
              <w:rPr>
                <w:noProof/>
                <w:sz w:val="18"/>
                <w:lang w:val="cs-CZ"/>
              </w:rPr>
              <w:t>Ohnivzdorné nádoby .....</w:t>
            </w:r>
          </w:p>
          <w:p w:rsidR="003B6E11" w:rsidRPr="003B6E11" w:rsidRDefault="003B6E11" w:rsidP="002D015D">
            <w:pPr>
              <w:tabs>
                <w:tab w:val="left" w:pos="57"/>
                <w:tab w:val="left" w:pos="340"/>
                <w:tab w:val="left" w:pos="3402"/>
                <w:tab w:val="left" w:pos="3969"/>
                <w:tab w:val="left" w:pos="4820"/>
                <w:tab w:val="left" w:pos="4990"/>
                <w:tab w:val="left" w:pos="5160"/>
              </w:tabs>
              <w:overflowPunct w:val="0"/>
              <w:adjustRightInd w:val="0"/>
              <w:spacing w:before="20" w:after="20"/>
              <w:ind w:left="57"/>
              <w:textAlignment w:val="baseline"/>
              <w:rPr>
                <w:rFonts w:cs="Arial"/>
                <w:sz w:val="18"/>
                <w:szCs w:val="20"/>
                <w:lang w:val="cs-CZ"/>
              </w:rPr>
            </w:pPr>
            <w:r w:rsidRPr="003B6E11">
              <w:rPr>
                <w:noProof/>
                <w:sz w:val="18"/>
                <w:lang w:val="cs-CZ"/>
              </w:rPr>
              <w:t xml:space="preserve">Naloďovací mimoboční schody / žebřík </w:t>
            </w:r>
            <w:r w:rsidRPr="003B6E11">
              <w:rPr>
                <w:noProof/>
                <w:position w:val="6"/>
                <w:sz w:val="14"/>
                <w:lang w:val="cs-CZ"/>
              </w:rPr>
              <w:t>*)</w:t>
            </w:r>
          </w:p>
        </w:tc>
        <w:tc>
          <w:tcPr>
            <w:tcW w:w="4451" w:type="dxa"/>
            <w:gridSpan w:val="2"/>
            <w:tcBorders>
              <w:top w:val="single" w:sz="6" w:space="0" w:color="auto"/>
              <w:bottom w:val="single" w:sz="6" w:space="0" w:color="auto"/>
              <w:right w:val="single" w:sz="6" w:space="0" w:color="auto"/>
            </w:tcBorders>
          </w:tcPr>
          <w:p w:rsidR="003B6E11" w:rsidRPr="003B6E11" w:rsidRDefault="003B6E11" w:rsidP="002D015D">
            <w:pPr>
              <w:tabs>
                <w:tab w:val="left" w:pos="1844"/>
              </w:tabs>
              <w:overflowPunct w:val="0"/>
              <w:adjustRightInd w:val="0"/>
              <w:spacing w:before="20" w:after="20"/>
              <w:ind w:left="1844" w:hanging="1844"/>
              <w:textAlignment w:val="baseline"/>
              <w:rPr>
                <w:rFonts w:cs="Arial"/>
                <w:sz w:val="18"/>
                <w:szCs w:val="20"/>
                <w:lang w:val="cs-CZ"/>
              </w:rPr>
            </w:pPr>
            <w:r w:rsidRPr="003B6E11">
              <w:rPr>
                <w:noProof/>
                <w:sz w:val="18"/>
                <w:lang w:val="cs-CZ"/>
              </w:rPr>
              <w:t>Hlasový komunikační</w:t>
            </w:r>
            <w:r w:rsidRPr="003B6E11">
              <w:rPr>
                <w:lang w:val="cs-CZ"/>
              </w:rPr>
              <w:tab/>
            </w:r>
            <w:r w:rsidRPr="003B6E11">
              <w:rPr>
                <w:sz w:val="18"/>
                <w:lang w:val="cs-CZ"/>
              </w:rPr>
              <w:t>obousměrná střídavá komunikace *)</w:t>
            </w:r>
          </w:p>
          <w:p w:rsidR="003B6E11" w:rsidRPr="003B6E11" w:rsidRDefault="003B6E11" w:rsidP="002D015D">
            <w:pPr>
              <w:tabs>
                <w:tab w:val="left" w:pos="1844"/>
              </w:tabs>
              <w:overflowPunct w:val="0"/>
              <w:adjustRightInd w:val="0"/>
              <w:spacing w:before="20" w:after="20"/>
              <w:ind w:left="1844" w:hanging="1844"/>
              <w:textAlignment w:val="baseline"/>
              <w:rPr>
                <w:rFonts w:cs="Arial"/>
                <w:sz w:val="18"/>
                <w:szCs w:val="20"/>
                <w:lang w:val="cs-CZ"/>
              </w:rPr>
            </w:pPr>
            <w:r w:rsidRPr="003B6E11">
              <w:rPr>
                <w:noProof/>
                <w:sz w:val="18"/>
                <w:lang w:val="cs-CZ"/>
              </w:rPr>
              <w:t>systém</w:t>
            </w:r>
            <w:r w:rsidRPr="003B6E11">
              <w:rPr>
                <w:lang w:val="cs-CZ"/>
              </w:rPr>
              <w:tab/>
            </w:r>
            <w:r w:rsidRPr="003B6E11">
              <w:rPr>
                <w:noProof/>
                <w:sz w:val="18"/>
                <w:lang w:val="cs-CZ"/>
              </w:rPr>
              <w:t>obousměrná simultánní komunikace / telefon *)</w:t>
            </w:r>
          </w:p>
          <w:p w:rsidR="003B6E11" w:rsidRPr="003B6E11" w:rsidRDefault="003B6E11" w:rsidP="002D015D">
            <w:pPr>
              <w:tabs>
                <w:tab w:val="left" w:pos="1844"/>
                <w:tab w:val="left" w:pos="1910"/>
              </w:tabs>
              <w:overflowPunct w:val="0"/>
              <w:adjustRightInd w:val="0"/>
              <w:spacing w:before="20" w:after="20"/>
              <w:ind w:left="1844" w:hanging="1844"/>
              <w:textAlignment w:val="baseline"/>
              <w:rPr>
                <w:rFonts w:cs="Arial"/>
                <w:sz w:val="18"/>
                <w:szCs w:val="20"/>
                <w:lang w:val="cs-CZ"/>
              </w:rPr>
            </w:pPr>
            <w:r w:rsidRPr="003B6E11">
              <w:rPr>
                <w:lang w:val="cs-CZ"/>
              </w:rPr>
              <w:tab/>
            </w:r>
            <w:r w:rsidRPr="003B6E11">
              <w:rPr>
                <w:noProof/>
                <w:sz w:val="18"/>
                <w:lang w:val="cs-CZ"/>
              </w:rPr>
              <w:t xml:space="preserve">interní radiotelefonní spojení *) </w:t>
            </w:r>
          </w:p>
          <w:p w:rsidR="003B6E11" w:rsidRPr="003B6E11" w:rsidRDefault="003B6E11" w:rsidP="002D015D">
            <w:pPr>
              <w:tabs>
                <w:tab w:val="left" w:pos="1844"/>
                <w:tab w:val="left" w:pos="1910"/>
              </w:tabs>
              <w:overflowPunct w:val="0"/>
              <w:adjustRightInd w:val="0"/>
              <w:spacing w:before="20" w:after="20"/>
              <w:ind w:left="1844" w:hanging="1844"/>
              <w:textAlignment w:val="baseline"/>
              <w:rPr>
                <w:rFonts w:cs="Arial"/>
                <w:sz w:val="18"/>
                <w:szCs w:val="20"/>
                <w:lang w:val="cs-CZ"/>
              </w:rPr>
            </w:pPr>
          </w:p>
          <w:p w:rsidR="003B6E11" w:rsidRPr="003B6E11" w:rsidRDefault="003B6E11" w:rsidP="002D015D">
            <w:pPr>
              <w:tabs>
                <w:tab w:val="left" w:pos="1702"/>
              </w:tabs>
              <w:overflowPunct w:val="0"/>
              <w:adjustRightInd w:val="0"/>
              <w:spacing w:before="20" w:after="20"/>
              <w:ind w:left="1702" w:hanging="1702"/>
              <w:textAlignment w:val="baseline"/>
              <w:rPr>
                <w:rFonts w:cs="Arial"/>
                <w:sz w:val="18"/>
                <w:szCs w:val="20"/>
                <w:lang w:val="cs-CZ"/>
              </w:rPr>
            </w:pPr>
            <w:r w:rsidRPr="003B6E11">
              <w:rPr>
                <w:noProof/>
                <w:sz w:val="18"/>
                <w:lang w:val="cs-CZ"/>
              </w:rPr>
              <w:t>Radiotelefonní</w:t>
            </w:r>
            <w:r w:rsidRPr="003B6E11">
              <w:rPr>
                <w:lang w:val="cs-CZ"/>
              </w:rPr>
              <w:tab/>
            </w:r>
            <w:r w:rsidRPr="003B6E11">
              <w:rPr>
                <w:noProof/>
                <w:sz w:val="18"/>
                <w:lang w:val="cs-CZ"/>
              </w:rPr>
              <w:t>spojení mezi plavidly</w:t>
            </w:r>
          </w:p>
          <w:p w:rsidR="003B6E11" w:rsidRPr="003B6E11" w:rsidRDefault="003B6E11" w:rsidP="002D015D">
            <w:pPr>
              <w:tabs>
                <w:tab w:val="left" w:pos="1702"/>
              </w:tabs>
              <w:overflowPunct w:val="0"/>
              <w:adjustRightInd w:val="0"/>
              <w:spacing w:before="20" w:after="20"/>
              <w:ind w:left="1702" w:hanging="1702"/>
              <w:textAlignment w:val="baseline"/>
              <w:rPr>
                <w:rFonts w:cs="Arial"/>
                <w:sz w:val="18"/>
                <w:szCs w:val="20"/>
                <w:lang w:val="cs-CZ"/>
              </w:rPr>
            </w:pPr>
            <w:r w:rsidRPr="003B6E11">
              <w:rPr>
                <w:sz w:val="18"/>
                <w:lang w:val="cs-CZ"/>
              </w:rPr>
              <w:t>systémy</w:t>
            </w:r>
            <w:r w:rsidRPr="003B6E11">
              <w:rPr>
                <w:lang w:val="cs-CZ"/>
              </w:rPr>
              <w:tab/>
            </w:r>
            <w:r w:rsidRPr="003B6E11">
              <w:rPr>
                <w:noProof/>
                <w:sz w:val="18"/>
                <w:lang w:val="cs-CZ"/>
              </w:rPr>
              <w:t>plavební informační služba</w:t>
            </w:r>
          </w:p>
          <w:p w:rsidR="003B6E11" w:rsidRPr="003B6E11" w:rsidRDefault="003B6E11" w:rsidP="002D015D">
            <w:pPr>
              <w:tabs>
                <w:tab w:val="left" w:pos="1702"/>
              </w:tabs>
              <w:overflowPunct w:val="0"/>
              <w:adjustRightInd w:val="0"/>
              <w:spacing w:before="20" w:after="20"/>
              <w:ind w:left="1702" w:hanging="1702"/>
              <w:textAlignment w:val="baseline"/>
              <w:rPr>
                <w:rFonts w:cs="Arial"/>
                <w:sz w:val="18"/>
                <w:szCs w:val="20"/>
                <w:lang w:val="cs-CZ"/>
              </w:rPr>
            </w:pPr>
            <w:r w:rsidRPr="003B6E11">
              <w:rPr>
                <w:lang w:val="cs-CZ"/>
              </w:rPr>
              <w:tab/>
            </w:r>
            <w:r w:rsidRPr="003B6E11">
              <w:rPr>
                <w:noProof/>
                <w:sz w:val="18"/>
                <w:lang w:val="cs-CZ"/>
              </w:rPr>
              <w:t>spojení mezi plavidlem a přístavní správou</w:t>
            </w:r>
          </w:p>
          <w:p w:rsidR="003B6E11" w:rsidRPr="003B6E11" w:rsidRDefault="003B6E11" w:rsidP="002D015D">
            <w:pPr>
              <w:tabs>
                <w:tab w:val="left" w:pos="1702"/>
              </w:tabs>
              <w:overflowPunct w:val="0"/>
              <w:adjustRightInd w:val="0"/>
              <w:spacing w:before="20" w:after="20"/>
              <w:ind w:left="1702" w:hanging="1702"/>
              <w:textAlignment w:val="baseline"/>
              <w:rPr>
                <w:rFonts w:cs="Arial"/>
                <w:sz w:val="18"/>
                <w:szCs w:val="20"/>
                <w:lang w:val="cs-CZ"/>
              </w:rPr>
            </w:pPr>
          </w:p>
          <w:p w:rsidR="003B6E11" w:rsidRPr="003B6E11" w:rsidRDefault="003B6E11" w:rsidP="002D015D">
            <w:pPr>
              <w:tabs>
                <w:tab w:val="left" w:pos="1702"/>
              </w:tabs>
              <w:overflowPunct w:val="0"/>
              <w:adjustRightInd w:val="0"/>
              <w:spacing w:before="20" w:after="20"/>
              <w:ind w:left="1702" w:hanging="1702"/>
              <w:textAlignment w:val="baseline"/>
              <w:rPr>
                <w:rFonts w:cs="Arial"/>
                <w:sz w:val="18"/>
                <w:szCs w:val="20"/>
                <w:lang w:val="cs-CZ"/>
              </w:rPr>
            </w:pPr>
            <w:r w:rsidRPr="003B6E11">
              <w:rPr>
                <w:noProof/>
                <w:sz w:val="18"/>
                <w:lang w:val="cs-CZ"/>
              </w:rPr>
              <w:t>Jeřáby</w:t>
            </w:r>
            <w:r w:rsidRPr="003B6E11">
              <w:rPr>
                <w:lang w:val="cs-CZ"/>
              </w:rPr>
              <w:tab/>
            </w:r>
            <w:r w:rsidRPr="003B6E11">
              <w:rPr>
                <w:sz w:val="18"/>
                <w:lang w:val="cs-CZ"/>
              </w:rPr>
              <w:t>podle čl. 14.12 odst. 9 *)</w:t>
            </w:r>
          </w:p>
          <w:p w:rsidR="003B6E11" w:rsidRPr="003B6E11" w:rsidRDefault="003B6E11" w:rsidP="002D015D">
            <w:pPr>
              <w:tabs>
                <w:tab w:val="left" w:pos="1702"/>
              </w:tabs>
              <w:overflowPunct w:val="0"/>
              <w:adjustRightInd w:val="0"/>
              <w:spacing w:before="20" w:after="20"/>
              <w:ind w:left="1702" w:hanging="1702"/>
              <w:textAlignment w:val="baseline"/>
              <w:rPr>
                <w:rFonts w:cs="Arial"/>
                <w:sz w:val="18"/>
                <w:szCs w:val="20"/>
                <w:lang w:val="cs-CZ"/>
              </w:rPr>
            </w:pPr>
            <w:r w:rsidRPr="003B6E11">
              <w:rPr>
                <w:lang w:val="cs-CZ"/>
              </w:rPr>
              <w:tab/>
            </w:r>
            <w:r w:rsidRPr="003B6E11">
              <w:rPr>
                <w:noProof/>
                <w:sz w:val="18"/>
                <w:lang w:val="cs-CZ"/>
              </w:rPr>
              <w:t>jiné jeřáby s užitečným zatížením nejvýše 2 000 kg *)</w:t>
            </w:r>
          </w:p>
        </w:tc>
      </w:tr>
      <w:tr w:rsidR="003B6E11" w:rsidRPr="003B6E11" w:rsidTr="002D015D">
        <w:trPr>
          <w:gridAfter w:val="1"/>
          <w:wAfter w:w="6" w:type="dxa"/>
          <w:cantSplit/>
          <w:jc w:val="center"/>
        </w:trPr>
        <w:tc>
          <w:tcPr>
            <w:tcW w:w="284" w:type="dxa"/>
            <w:tcBorders>
              <w:top w:val="single" w:sz="6" w:space="0" w:color="auto"/>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vertAlign w:val="superscript"/>
                <w:lang w:val="cs-CZ"/>
              </w:rPr>
            </w:pPr>
            <w:r w:rsidRPr="003B6E11">
              <w:rPr>
                <w:sz w:val="18"/>
                <w:lang w:val="cs-CZ"/>
              </w:rPr>
              <w:t>43.</w:t>
            </w:r>
          </w:p>
        </w:tc>
        <w:tc>
          <w:tcPr>
            <w:tcW w:w="8896" w:type="dxa"/>
            <w:gridSpan w:val="2"/>
            <w:tcBorders>
              <w:top w:val="single" w:sz="6" w:space="0" w:color="auto"/>
              <w:right w:val="single" w:sz="6" w:space="0" w:color="auto"/>
            </w:tcBorders>
          </w:tcPr>
          <w:p w:rsidR="003B6E11" w:rsidRPr="003B6E11" w:rsidRDefault="003B6E11" w:rsidP="002D015D">
            <w:pPr>
              <w:overflowPunct w:val="0"/>
              <w:adjustRightInd w:val="0"/>
              <w:spacing w:before="120"/>
              <w:ind w:left="57"/>
              <w:textAlignment w:val="baseline"/>
              <w:rPr>
                <w:rFonts w:cs="Arial"/>
                <w:sz w:val="18"/>
                <w:szCs w:val="20"/>
                <w:lang w:val="cs-CZ"/>
              </w:rPr>
            </w:pPr>
            <w:r w:rsidRPr="003B6E11">
              <w:rPr>
                <w:noProof/>
                <w:sz w:val="18"/>
                <w:lang w:val="cs-CZ"/>
              </w:rPr>
              <w:t>Protipožární zařízení</w:t>
            </w:r>
          </w:p>
          <w:p w:rsidR="003B6E11" w:rsidRPr="003B6E11" w:rsidRDefault="003B6E11" w:rsidP="002D015D">
            <w:pPr>
              <w:overflowPunct w:val="0"/>
              <w:adjustRightInd w:val="0"/>
              <w:ind w:left="57"/>
              <w:textAlignment w:val="baseline"/>
              <w:rPr>
                <w:rFonts w:cs="Arial"/>
                <w:sz w:val="18"/>
                <w:szCs w:val="20"/>
                <w:lang w:val="cs-CZ"/>
              </w:rPr>
            </w:pPr>
            <w:r w:rsidRPr="003B6E11">
              <w:rPr>
                <w:noProof/>
                <w:sz w:val="18"/>
                <w:lang w:val="cs-CZ"/>
              </w:rPr>
              <w:t>Počet přenosných hasicích přístrojů ....., požárních čerpadel ....., hydrantů .....</w:t>
            </w:r>
          </w:p>
          <w:p w:rsidR="003B6E11" w:rsidRPr="003B6E11" w:rsidRDefault="003B6E11" w:rsidP="002D015D">
            <w:pPr>
              <w:tabs>
                <w:tab w:val="left" w:pos="5690"/>
              </w:tabs>
              <w:overflowPunct w:val="0"/>
              <w:adjustRightInd w:val="0"/>
              <w:ind w:left="57"/>
              <w:textAlignment w:val="baseline"/>
              <w:rPr>
                <w:rFonts w:cs="Arial"/>
                <w:noProof/>
                <w:sz w:val="18"/>
                <w:szCs w:val="20"/>
                <w:lang w:val="cs-CZ"/>
              </w:rPr>
            </w:pPr>
            <w:r w:rsidRPr="003B6E11">
              <w:rPr>
                <w:noProof/>
                <w:sz w:val="18"/>
                <w:lang w:val="cs-CZ"/>
              </w:rPr>
              <w:t xml:space="preserve">Pevně instalované protipožární systémy v obytných prostorách apod. </w:t>
            </w:r>
            <w:r w:rsidRPr="003B6E11">
              <w:rPr>
                <w:lang w:val="cs-CZ"/>
              </w:rPr>
              <w:tab/>
            </w:r>
            <w:r w:rsidRPr="003B6E11">
              <w:rPr>
                <w:noProof/>
                <w:sz w:val="18"/>
                <w:lang w:val="cs-CZ"/>
              </w:rPr>
              <w:t>ne / počet ..... *)</w:t>
            </w:r>
          </w:p>
          <w:p w:rsidR="003B6E11" w:rsidRPr="003B6E11" w:rsidRDefault="003B6E11" w:rsidP="002D015D">
            <w:pPr>
              <w:tabs>
                <w:tab w:val="left" w:pos="5690"/>
              </w:tabs>
              <w:overflowPunct w:val="0"/>
              <w:adjustRightInd w:val="0"/>
              <w:ind w:left="57"/>
              <w:textAlignment w:val="baseline"/>
              <w:rPr>
                <w:rFonts w:cs="Arial"/>
                <w:sz w:val="18"/>
                <w:szCs w:val="20"/>
                <w:lang w:val="cs-CZ"/>
              </w:rPr>
            </w:pPr>
            <w:r w:rsidRPr="003B6E11">
              <w:rPr>
                <w:noProof/>
                <w:sz w:val="18"/>
                <w:lang w:val="cs-CZ"/>
              </w:rPr>
              <w:t>Pevně instalované protipožární systémy ve strojovnách apod.</w:t>
            </w:r>
            <w:r w:rsidRPr="003B6E11">
              <w:rPr>
                <w:lang w:val="cs-CZ"/>
              </w:rPr>
              <w:tab/>
            </w:r>
            <w:r w:rsidRPr="003B6E11">
              <w:rPr>
                <w:noProof/>
                <w:sz w:val="18"/>
                <w:lang w:val="cs-CZ"/>
              </w:rPr>
              <w:t>ne / počet ..... *)</w:t>
            </w:r>
          </w:p>
          <w:p w:rsidR="003B6E11" w:rsidRPr="003B6E11" w:rsidRDefault="003B6E11" w:rsidP="002D015D">
            <w:pPr>
              <w:tabs>
                <w:tab w:val="left" w:pos="57"/>
                <w:tab w:val="left" w:pos="3289"/>
                <w:tab w:val="left" w:pos="3686"/>
                <w:tab w:val="left" w:pos="5724"/>
              </w:tabs>
              <w:overflowPunct w:val="0"/>
              <w:adjustRightInd w:val="0"/>
              <w:spacing w:after="60"/>
              <w:ind w:left="57"/>
              <w:textAlignment w:val="baseline"/>
              <w:rPr>
                <w:rFonts w:cs="Arial"/>
                <w:sz w:val="18"/>
                <w:szCs w:val="20"/>
                <w:lang w:val="cs-CZ"/>
              </w:rPr>
            </w:pPr>
            <w:r w:rsidRPr="003B6E11">
              <w:rPr>
                <w:noProof/>
                <w:sz w:val="18"/>
                <w:lang w:val="cs-CZ"/>
              </w:rPr>
              <w:t>Drenážní čerpadlo se strojním pohonem nahrazuje požární čerpadlo</w:t>
            </w:r>
            <w:r w:rsidRPr="003B6E11">
              <w:rPr>
                <w:lang w:val="cs-CZ"/>
              </w:rPr>
              <w:tab/>
            </w:r>
            <w:r w:rsidRPr="003B6E11">
              <w:rPr>
                <w:noProof/>
                <w:sz w:val="18"/>
                <w:lang w:val="cs-CZ"/>
              </w:rPr>
              <w:t>ano / ne</w:t>
            </w:r>
            <w:r w:rsidRPr="003B6E11">
              <w:rPr>
                <w:noProof/>
                <w:sz w:val="18"/>
                <w:vertAlign w:val="superscript"/>
                <w:lang w:val="cs-CZ"/>
              </w:rPr>
              <w:t>*)</w:t>
            </w:r>
          </w:p>
        </w:tc>
      </w:tr>
      <w:tr w:rsidR="003B6E11" w:rsidRPr="003B6E11" w:rsidTr="002D015D">
        <w:trPr>
          <w:cantSplit/>
          <w:jc w:val="center"/>
        </w:trPr>
        <w:tc>
          <w:tcPr>
            <w:tcW w:w="284" w:type="dxa"/>
            <w:tcBorders>
              <w:top w:val="single" w:sz="6" w:space="0" w:color="auto"/>
              <w:left w:val="single" w:sz="6" w:space="0" w:color="auto"/>
            </w:tcBorders>
          </w:tcPr>
          <w:p w:rsidR="003B6E11" w:rsidRPr="003B6E11" w:rsidRDefault="003B6E11" w:rsidP="002D015D">
            <w:pPr>
              <w:tabs>
                <w:tab w:val="left" w:pos="57"/>
                <w:tab w:val="left" w:pos="227"/>
              </w:tabs>
              <w:overflowPunct w:val="0"/>
              <w:adjustRightInd w:val="0"/>
              <w:spacing w:before="60"/>
              <w:textAlignment w:val="baseline"/>
              <w:rPr>
                <w:rFonts w:cs="Arial"/>
                <w:sz w:val="18"/>
                <w:szCs w:val="20"/>
                <w:vertAlign w:val="superscript"/>
                <w:lang w:val="cs-CZ"/>
              </w:rPr>
            </w:pPr>
            <w:r w:rsidRPr="003B6E11">
              <w:rPr>
                <w:sz w:val="18"/>
                <w:lang w:val="cs-CZ"/>
              </w:rPr>
              <w:t>44.</w:t>
            </w:r>
          </w:p>
        </w:tc>
        <w:tc>
          <w:tcPr>
            <w:tcW w:w="8902" w:type="dxa"/>
            <w:gridSpan w:val="3"/>
            <w:tcBorders>
              <w:top w:val="single" w:sz="6" w:space="0" w:color="auto"/>
              <w:right w:val="single" w:sz="6" w:space="0" w:color="auto"/>
            </w:tcBorders>
          </w:tcPr>
          <w:p w:rsidR="003B6E11" w:rsidRPr="003B6E11" w:rsidRDefault="003B6E11" w:rsidP="002D015D">
            <w:pPr>
              <w:overflowPunct w:val="0"/>
              <w:adjustRightInd w:val="0"/>
              <w:spacing w:before="60"/>
              <w:ind w:left="57" w:right="57"/>
              <w:textAlignment w:val="baseline"/>
              <w:rPr>
                <w:rFonts w:cs="Arial"/>
                <w:noProof/>
                <w:sz w:val="18"/>
                <w:szCs w:val="20"/>
                <w:lang w:val="cs-CZ"/>
              </w:rPr>
            </w:pPr>
            <w:r w:rsidRPr="003B6E11">
              <w:rPr>
                <w:noProof/>
                <w:sz w:val="18"/>
                <w:lang w:val="cs-CZ"/>
              </w:rPr>
              <w:t>Záchranné prostředky</w:t>
            </w:r>
          </w:p>
          <w:p w:rsidR="003B6E11" w:rsidRPr="003B6E11" w:rsidRDefault="003B6E11" w:rsidP="002D015D">
            <w:pPr>
              <w:overflowPunct w:val="0"/>
              <w:adjustRightInd w:val="0"/>
              <w:spacing w:before="60"/>
              <w:ind w:left="57" w:right="57"/>
              <w:textAlignment w:val="baseline"/>
              <w:rPr>
                <w:rFonts w:cs="Arial"/>
                <w:sz w:val="18"/>
                <w:szCs w:val="20"/>
                <w:lang w:val="cs-CZ"/>
              </w:rPr>
            </w:pPr>
            <w:r w:rsidRPr="003B6E11">
              <w:rPr>
                <w:noProof/>
                <w:sz w:val="18"/>
                <w:lang w:val="cs-CZ"/>
              </w:rPr>
              <w:t>Počet záchranných kruhů ....., z toho se světlem ....., s lanem..... *)</w:t>
            </w:r>
          </w:p>
          <w:p w:rsidR="003B6E11" w:rsidRPr="003B6E11" w:rsidRDefault="003B6E11" w:rsidP="002D015D">
            <w:pPr>
              <w:overflowPunct w:val="0"/>
              <w:adjustRightInd w:val="0"/>
              <w:spacing w:before="60"/>
              <w:ind w:left="57" w:right="57"/>
              <w:textAlignment w:val="baseline"/>
              <w:rPr>
                <w:rFonts w:cs="Arial"/>
                <w:sz w:val="18"/>
                <w:szCs w:val="20"/>
                <w:lang w:val="cs-CZ"/>
              </w:rPr>
            </w:pPr>
            <w:r w:rsidRPr="003B6E11">
              <w:rPr>
                <w:sz w:val="18"/>
                <w:lang w:val="cs-CZ"/>
              </w:rPr>
              <w:t>Jedna záchranná vesta na jednu osobu obvykle na palubě / podle čl. 13.08 odst. 2</w:t>
            </w:r>
            <w:r w:rsidRPr="003B6E11">
              <w:rPr>
                <w:position w:val="6"/>
                <w:sz w:val="16"/>
                <w:lang w:val="cs-CZ"/>
              </w:rPr>
              <w:t>*)</w:t>
            </w:r>
          </w:p>
          <w:p w:rsidR="003B6E11" w:rsidRPr="003B6E11" w:rsidRDefault="003B6E11" w:rsidP="002D015D">
            <w:pPr>
              <w:overflowPunct w:val="0"/>
              <w:adjustRightInd w:val="0"/>
              <w:spacing w:before="60"/>
              <w:ind w:left="57" w:right="57"/>
              <w:textAlignment w:val="baseline"/>
              <w:rPr>
                <w:rFonts w:cs="Arial"/>
                <w:sz w:val="18"/>
                <w:szCs w:val="20"/>
                <w:lang w:val="cs-CZ"/>
              </w:rPr>
            </w:pPr>
            <w:r w:rsidRPr="003B6E11">
              <w:rPr>
                <w:sz w:val="18"/>
                <w:lang w:val="cs-CZ"/>
              </w:rPr>
              <w:t>Lodní člun se sadou vesel, jedním uvazovacím lanem a vylévačkou / podle evropské normy</w:t>
            </w:r>
            <w:r w:rsidRPr="003B6E11">
              <w:rPr>
                <w:position w:val="6"/>
                <w:sz w:val="16"/>
                <w:lang w:val="cs-CZ"/>
              </w:rPr>
              <w:t>*)</w:t>
            </w:r>
          </w:p>
          <w:p w:rsidR="003B6E11" w:rsidRPr="003B6E11" w:rsidRDefault="003B6E11" w:rsidP="002D015D">
            <w:pPr>
              <w:overflowPunct w:val="0"/>
              <w:adjustRightInd w:val="0"/>
              <w:spacing w:before="60"/>
              <w:ind w:left="57" w:right="57"/>
              <w:textAlignment w:val="baseline"/>
              <w:rPr>
                <w:rFonts w:cs="Arial"/>
                <w:sz w:val="18"/>
                <w:szCs w:val="20"/>
                <w:lang w:val="cs-CZ"/>
              </w:rPr>
            </w:pPr>
            <w:r w:rsidRPr="003B6E11">
              <w:rPr>
                <w:sz w:val="18"/>
                <w:lang w:val="cs-CZ"/>
              </w:rPr>
              <w:t>Plošina nebo zařízení podle čl. 19.15 odst. 4 nebo 5</w:t>
            </w:r>
            <w:r w:rsidRPr="003B6E11">
              <w:rPr>
                <w:position w:val="6"/>
                <w:sz w:val="16"/>
                <w:lang w:val="cs-CZ"/>
              </w:rPr>
              <w:t>*)</w:t>
            </w:r>
          </w:p>
          <w:p w:rsidR="003B6E11" w:rsidRPr="003B6E11" w:rsidRDefault="003B6E11" w:rsidP="002D015D">
            <w:pPr>
              <w:tabs>
                <w:tab w:val="left" w:leader="dot" w:pos="8505"/>
              </w:tabs>
              <w:overflowPunct w:val="0"/>
              <w:adjustRightInd w:val="0"/>
              <w:spacing w:before="60"/>
              <w:ind w:left="57" w:right="57"/>
              <w:textAlignment w:val="baseline"/>
              <w:rPr>
                <w:rFonts w:cs="Arial"/>
                <w:sz w:val="18"/>
                <w:szCs w:val="20"/>
                <w:lang w:val="cs-CZ"/>
              </w:rPr>
            </w:pPr>
            <w:r w:rsidRPr="003B6E11">
              <w:rPr>
                <w:sz w:val="18"/>
                <w:lang w:val="cs-CZ"/>
              </w:rPr>
              <w:t xml:space="preserve">Počet, druh a místo instalace vybavení umožňující bezpečný přesun osob na mělčinu, na břeh nebo na jiné plavidlo podle čl. 19.09 odst. 3 </w:t>
            </w:r>
            <w:r w:rsidRPr="003B6E11">
              <w:rPr>
                <w:lang w:val="cs-CZ"/>
              </w:rPr>
              <w:tab/>
            </w:r>
          </w:p>
          <w:p w:rsidR="003B6E11" w:rsidRPr="003B6E11" w:rsidRDefault="003B6E11" w:rsidP="002D015D">
            <w:pPr>
              <w:tabs>
                <w:tab w:val="left" w:leader="dot" w:pos="8505"/>
              </w:tabs>
              <w:overflowPunct w:val="0"/>
              <w:adjustRightInd w:val="0"/>
              <w:spacing w:before="60"/>
              <w:ind w:left="57" w:righ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60"/>
              <w:ind w:left="57" w:right="57"/>
              <w:textAlignment w:val="baseline"/>
              <w:rPr>
                <w:rFonts w:cs="Arial"/>
                <w:sz w:val="18"/>
                <w:szCs w:val="20"/>
                <w:lang w:val="cs-CZ"/>
              </w:rPr>
            </w:pPr>
            <w:r w:rsidRPr="003B6E11">
              <w:rPr>
                <w:lang w:val="cs-CZ"/>
              </w:rPr>
              <w:tab/>
            </w:r>
          </w:p>
          <w:p w:rsidR="003B6E11" w:rsidRPr="003B6E11" w:rsidRDefault="003B6E11" w:rsidP="002D015D">
            <w:pPr>
              <w:overflowPunct w:val="0"/>
              <w:adjustRightInd w:val="0"/>
              <w:spacing w:before="60"/>
              <w:ind w:left="57" w:right="57"/>
              <w:textAlignment w:val="baseline"/>
              <w:rPr>
                <w:rFonts w:cs="Arial"/>
                <w:noProof/>
                <w:sz w:val="18"/>
                <w:szCs w:val="20"/>
                <w:lang w:val="cs-CZ"/>
              </w:rPr>
            </w:pPr>
            <w:r w:rsidRPr="003B6E11">
              <w:rPr>
                <w:sz w:val="18"/>
                <w:lang w:val="cs-CZ"/>
              </w:rPr>
              <w:t>Počet osobních záchranných prostředků pro palubní personál ....., z toho podle čl. 13.08 odst. 2</w:t>
            </w:r>
            <w:r w:rsidRPr="003B6E11">
              <w:rPr>
                <w:position w:val="6"/>
                <w:sz w:val="16"/>
                <w:lang w:val="cs-CZ"/>
              </w:rPr>
              <w:t xml:space="preserve"> *)</w:t>
            </w:r>
          </w:p>
          <w:p w:rsidR="003B6E11" w:rsidRPr="003B6E11" w:rsidRDefault="003B6E11" w:rsidP="002D015D">
            <w:pPr>
              <w:overflowPunct w:val="0"/>
              <w:adjustRightInd w:val="0"/>
              <w:spacing w:before="60"/>
              <w:ind w:left="57" w:right="57"/>
              <w:textAlignment w:val="baseline"/>
              <w:rPr>
                <w:rFonts w:cs="Arial"/>
                <w:sz w:val="18"/>
                <w:szCs w:val="20"/>
                <w:lang w:val="cs-CZ"/>
              </w:rPr>
            </w:pPr>
            <w:r w:rsidRPr="003B6E11">
              <w:rPr>
                <w:noProof/>
                <w:sz w:val="18"/>
                <w:lang w:val="cs-CZ"/>
              </w:rPr>
              <w:t>Počet osobních záchranných prostředků pro cestující ..... *)</w:t>
            </w:r>
          </w:p>
          <w:p w:rsidR="003B6E11" w:rsidRPr="003B6E11" w:rsidRDefault="003B6E11" w:rsidP="002D015D">
            <w:pPr>
              <w:overflowPunct w:val="0"/>
              <w:adjustRightInd w:val="0"/>
              <w:spacing w:before="60"/>
              <w:ind w:left="57" w:right="57"/>
              <w:textAlignment w:val="baseline"/>
              <w:rPr>
                <w:rFonts w:cs="Arial"/>
                <w:sz w:val="18"/>
                <w:szCs w:val="18"/>
                <w:lang w:val="cs-CZ"/>
              </w:rPr>
            </w:pPr>
            <w:r w:rsidRPr="003B6E11">
              <w:rPr>
                <w:sz w:val="18"/>
                <w:lang w:val="cs-CZ"/>
              </w:rPr>
              <w:t>Kolektivní záchranné prostředky odpovídající z hlediska počtu osob ..... osobním záchranným prostředkům</w:t>
            </w:r>
          </w:p>
          <w:p w:rsidR="003B6E11" w:rsidRPr="003B6E11" w:rsidRDefault="003B6E11" w:rsidP="002D015D">
            <w:pPr>
              <w:tabs>
                <w:tab w:val="left" w:leader="dot" w:pos="8505"/>
              </w:tabs>
              <w:overflowPunct w:val="0"/>
              <w:adjustRightInd w:val="0"/>
              <w:spacing w:before="60"/>
              <w:ind w:left="57" w:right="57"/>
              <w:textAlignment w:val="baseline"/>
              <w:rPr>
                <w:lang w:val="cs-CZ"/>
              </w:rPr>
            </w:pPr>
            <w:r w:rsidRPr="003B6E11">
              <w:rPr>
                <w:sz w:val="18"/>
                <w:lang w:val="cs-CZ"/>
              </w:rPr>
              <w:t>Dva dýchací přístroje, dvě sady vybavení, počet ..... respiračních kukel*)</w:t>
            </w:r>
            <w:r w:rsidRPr="003B6E11">
              <w:rPr>
                <w:lang w:val="cs-CZ"/>
              </w:rPr>
              <w:t xml:space="preserve"> </w:t>
            </w:r>
          </w:p>
          <w:p w:rsidR="003B6E11" w:rsidRPr="003B6E11" w:rsidRDefault="003B6E11" w:rsidP="002D015D">
            <w:pPr>
              <w:tabs>
                <w:tab w:val="left" w:leader="dot" w:pos="8505"/>
              </w:tabs>
              <w:overflowPunct w:val="0"/>
              <w:adjustRightInd w:val="0"/>
              <w:spacing w:before="60"/>
              <w:ind w:left="57" w:right="57"/>
              <w:textAlignment w:val="baseline"/>
              <w:rPr>
                <w:rFonts w:cs="Arial"/>
                <w:sz w:val="18"/>
                <w:szCs w:val="18"/>
                <w:lang w:val="cs-CZ"/>
              </w:rPr>
            </w:pPr>
            <w:r w:rsidRPr="003B6E11">
              <w:rPr>
                <w:sz w:val="18"/>
                <w:lang w:val="cs-CZ"/>
              </w:rPr>
              <w:t>Bezpečnostní rozpis a bezpečnostní plán vyvěšeny (kde):</w:t>
            </w:r>
            <w:r w:rsidRPr="003B6E11">
              <w:rPr>
                <w:lang w:val="cs-CZ"/>
              </w:rPr>
              <w:tab/>
            </w:r>
          </w:p>
          <w:p w:rsidR="003B6E11" w:rsidRPr="003B6E11" w:rsidRDefault="003B6E11" w:rsidP="002D015D">
            <w:pPr>
              <w:tabs>
                <w:tab w:val="left" w:leader="dot" w:pos="8505"/>
              </w:tabs>
              <w:overflowPunct w:val="0"/>
              <w:adjustRightInd w:val="0"/>
              <w:spacing w:before="60"/>
              <w:ind w:left="57" w:righ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60"/>
              <w:ind w:left="57" w:right="57"/>
              <w:textAlignment w:val="baseline"/>
              <w:rPr>
                <w:rFonts w:cs="Arial"/>
                <w:sz w:val="18"/>
                <w:szCs w:val="20"/>
                <w:lang w:val="cs-CZ"/>
              </w:rPr>
            </w:pPr>
            <w:r w:rsidRPr="003B6E11">
              <w:rPr>
                <w:lang w:val="cs-CZ"/>
              </w:rPr>
              <w:tab/>
            </w:r>
          </w:p>
          <w:p w:rsidR="003B6E11" w:rsidRPr="003B6E11" w:rsidRDefault="003B6E11" w:rsidP="002D015D">
            <w:pPr>
              <w:tabs>
                <w:tab w:val="left" w:pos="57"/>
                <w:tab w:val="left" w:pos="5103"/>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r w:rsidRPr="003B6E11">
              <w:rPr>
                <w:sz w:val="18"/>
                <w:lang w:val="cs-CZ"/>
              </w:rPr>
              <w:t>45.</w:t>
            </w:r>
          </w:p>
        </w:tc>
        <w:tc>
          <w:tcPr>
            <w:tcW w:w="8902" w:type="dxa"/>
            <w:gridSpan w:val="3"/>
            <w:tcBorders>
              <w:top w:val="single" w:sz="6" w:space="0" w:color="auto"/>
              <w:bottom w:val="single" w:sz="6" w:space="0" w:color="auto"/>
              <w:right w:val="single" w:sz="6" w:space="0" w:color="auto"/>
            </w:tcBorders>
          </w:tcPr>
          <w:p w:rsidR="003B6E11" w:rsidRPr="003B6E11" w:rsidRDefault="003B6E11" w:rsidP="002D015D">
            <w:pPr>
              <w:tabs>
                <w:tab w:val="left" w:pos="57"/>
                <w:tab w:val="left" w:leader="dot" w:pos="8505"/>
              </w:tabs>
              <w:overflowPunct w:val="0"/>
              <w:adjustRightInd w:val="0"/>
              <w:spacing w:before="120"/>
              <w:ind w:left="57" w:right="57"/>
              <w:textAlignment w:val="baseline"/>
              <w:rPr>
                <w:rFonts w:cs="Arial"/>
                <w:sz w:val="18"/>
                <w:szCs w:val="20"/>
                <w:lang w:val="cs-CZ"/>
              </w:rPr>
            </w:pPr>
            <w:r w:rsidRPr="003B6E11">
              <w:rPr>
                <w:sz w:val="18"/>
                <w:lang w:val="cs-CZ"/>
              </w:rPr>
              <w:t>Zvláštní uspořádání kormidelny k vedení plavidla pomocí radaru jednou osobou:</w:t>
            </w:r>
          </w:p>
          <w:p w:rsidR="003B6E11" w:rsidRPr="003B6E11" w:rsidRDefault="003B6E11" w:rsidP="002D015D">
            <w:pPr>
              <w:tabs>
                <w:tab w:val="left" w:pos="57"/>
                <w:tab w:val="left" w:leader="dot" w:pos="8505"/>
              </w:tabs>
              <w:overflowPunct w:val="0"/>
              <w:adjustRightInd w:val="0"/>
              <w:spacing w:before="120"/>
              <w:ind w:left="57" w:right="57"/>
              <w:textAlignment w:val="baseline"/>
              <w:rPr>
                <w:rFonts w:cs="Arial"/>
                <w:sz w:val="18"/>
                <w:szCs w:val="20"/>
                <w:lang w:val="cs-CZ"/>
              </w:rPr>
            </w:pPr>
            <w:r w:rsidRPr="003B6E11">
              <w:rPr>
                <w:sz w:val="18"/>
                <w:lang w:val="cs-CZ"/>
              </w:rPr>
              <w:t>Loď má kormidelnu uspořádanou k vedení plavidla pomocí radaru jednou osobou</w:t>
            </w:r>
            <w:r w:rsidRPr="003B6E11">
              <w:rPr>
                <w:position w:val="6"/>
                <w:sz w:val="16"/>
                <w:lang w:val="cs-CZ"/>
              </w:rPr>
              <w:t>*)</w:t>
            </w:r>
            <w:r w:rsidRPr="003B6E11">
              <w:rPr>
                <w:sz w:val="18"/>
                <w:lang w:val="cs-CZ"/>
              </w:rPr>
              <w:t>.</w:t>
            </w:r>
          </w:p>
          <w:p w:rsidR="003B6E11" w:rsidRPr="003B6E11" w:rsidRDefault="003B6E11" w:rsidP="002D015D">
            <w:pPr>
              <w:tabs>
                <w:tab w:val="left" w:pos="57"/>
                <w:tab w:val="left" w:pos="5103"/>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bottom w:val="single" w:sz="6" w:space="0" w:color="auto"/>
            </w:tcBorders>
          </w:tcPr>
          <w:p w:rsidR="003B6E11" w:rsidRPr="003B6E11" w:rsidRDefault="003B6E11" w:rsidP="002D015D">
            <w:pPr>
              <w:tabs>
                <w:tab w:val="left" w:pos="57"/>
              </w:tabs>
              <w:overflowPunct w:val="0"/>
              <w:adjustRightInd w:val="0"/>
              <w:spacing w:before="80"/>
              <w:textAlignment w:val="baseline"/>
              <w:rPr>
                <w:rFonts w:cs="Arial"/>
                <w:sz w:val="18"/>
                <w:szCs w:val="20"/>
                <w:lang w:val="cs-CZ"/>
              </w:rPr>
            </w:pPr>
            <w:r w:rsidRPr="003B6E11">
              <w:rPr>
                <w:lang w:val="cs-CZ"/>
              </w:rPr>
              <w:tab/>
            </w:r>
            <w:r w:rsidRPr="003B6E11">
              <w:rPr>
                <w:sz w:val="18"/>
                <w:lang w:val="cs-CZ"/>
              </w:rPr>
              <w:t>*)</w:t>
            </w:r>
            <w:r w:rsidRPr="003B6E11">
              <w:rPr>
                <w:rFonts w:cs="Arial"/>
                <w:sz w:val="18"/>
                <w:szCs w:val="20"/>
                <w:lang w:val="cs-CZ"/>
              </w:rPr>
              <w:br/>
            </w:r>
            <w:r w:rsidRPr="003B6E11">
              <w:rPr>
                <w:rFonts w:cs="Arial"/>
                <w:sz w:val="18"/>
                <w:szCs w:val="20"/>
                <w:lang w:val="cs-CZ"/>
              </w:rPr>
              <w:br/>
            </w:r>
          </w:p>
          <w:p w:rsidR="003B6E11" w:rsidRPr="003B6E11" w:rsidRDefault="003B6E11" w:rsidP="002D015D">
            <w:pPr>
              <w:tabs>
                <w:tab w:val="left" w:pos="57"/>
              </w:tabs>
              <w:overflowPunct w:val="0"/>
              <w:adjustRightInd w:val="0"/>
              <w:spacing w:before="80"/>
              <w:textAlignment w:val="baseline"/>
              <w:rPr>
                <w:rFonts w:cs="Arial"/>
                <w:sz w:val="18"/>
                <w:szCs w:val="20"/>
                <w:lang w:val="cs-CZ"/>
              </w:rPr>
            </w:pPr>
          </w:p>
          <w:p w:rsidR="003B6E11" w:rsidRPr="003B6E11" w:rsidRDefault="003B6E11" w:rsidP="002D015D">
            <w:pPr>
              <w:tabs>
                <w:tab w:val="left" w:pos="57"/>
              </w:tabs>
              <w:overflowPunct w:val="0"/>
              <w:adjustRightInd w:val="0"/>
              <w:spacing w:before="160"/>
              <w:textAlignment w:val="baseline"/>
              <w:rPr>
                <w:rFonts w:cs="Arial"/>
                <w:sz w:val="18"/>
                <w:szCs w:val="20"/>
                <w:lang w:val="cs-CZ"/>
              </w:rPr>
            </w:pPr>
            <w:r w:rsidRPr="003B6E11">
              <w:rPr>
                <w:lang w:val="cs-CZ"/>
              </w:rPr>
              <w:tab/>
            </w:r>
            <w:r w:rsidRPr="003B6E11">
              <w:rPr>
                <w:sz w:val="18"/>
                <w:lang w:val="cs-CZ"/>
              </w:rPr>
              <w:t>*)</w:t>
            </w:r>
          </w:p>
        </w:tc>
        <w:tc>
          <w:tcPr>
            <w:tcW w:w="8902" w:type="dxa"/>
            <w:gridSpan w:val="3"/>
            <w:tcBorders>
              <w:bottom w:val="single" w:sz="6" w:space="0" w:color="auto"/>
              <w:right w:val="single" w:sz="6" w:space="0" w:color="auto"/>
            </w:tcBorders>
          </w:tcPr>
          <w:p w:rsidR="003B6E11" w:rsidRPr="003B6E11" w:rsidRDefault="003B6E11" w:rsidP="002D015D">
            <w:pPr>
              <w:tabs>
                <w:tab w:val="left" w:pos="57"/>
                <w:tab w:val="left" w:leader="dot" w:pos="3686"/>
              </w:tabs>
              <w:overflowPunct w:val="0"/>
              <w:adjustRightInd w:val="0"/>
              <w:spacing w:before="80" w:after="80"/>
              <w:ind w:left="57" w:right="57"/>
              <w:textAlignment w:val="baseline"/>
              <w:rPr>
                <w:rFonts w:cs="Arial"/>
                <w:sz w:val="18"/>
                <w:szCs w:val="20"/>
                <w:lang w:val="cs-CZ"/>
              </w:rPr>
            </w:pPr>
            <w:r w:rsidRPr="003B6E11">
              <w:rPr>
                <w:noProof/>
                <w:sz w:val="18"/>
                <w:lang w:val="cs-CZ"/>
              </w:rPr>
              <w:t>Změna bodu (bodů): ....................</w:t>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noProof/>
                <w:sz w:val="18"/>
                <w:lang w:val="cs-CZ"/>
              </w:rPr>
              <w:t>Nový text:</w:t>
            </w:r>
            <w:r w:rsidRPr="003B6E11">
              <w:rPr>
                <w:lang w:val="cs-CZ"/>
              </w:rPr>
              <w:tab/>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lang w:val="cs-CZ"/>
              </w:rPr>
              <w:tab/>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lang w:val="cs-CZ"/>
              </w:rPr>
              <w:tab/>
            </w:r>
          </w:p>
          <w:p w:rsidR="003B6E11" w:rsidRPr="003B6E11" w:rsidRDefault="003B6E11" w:rsidP="002D015D">
            <w:pPr>
              <w:tabs>
                <w:tab w:val="left" w:leader="dot" w:pos="4536"/>
                <w:tab w:val="center" w:pos="6862"/>
              </w:tabs>
              <w:overflowPunct w:val="0"/>
              <w:adjustRightInd w:val="0"/>
              <w:spacing w:after="80"/>
              <w:ind w:left="57" w:right="57"/>
              <w:textAlignment w:val="baseline"/>
              <w:rPr>
                <w:rFonts w:cs="Arial"/>
                <w:sz w:val="18"/>
                <w:szCs w:val="20"/>
                <w:lang w:val="cs-CZ"/>
              </w:rPr>
            </w:pPr>
            <w:r w:rsidRPr="003B6E11">
              <w:rPr>
                <w:sz w:val="18"/>
                <w:lang w:val="cs-CZ"/>
              </w:rPr>
              <w:t>Tato stránka byla nahrazena.</w:t>
            </w:r>
          </w:p>
          <w:p w:rsidR="003B6E11" w:rsidRPr="003B6E11" w:rsidRDefault="003B6E11" w:rsidP="002D015D">
            <w:pPr>
              <w:tabs>
                <w:tab w:val="left" w:leader="dot" w:pos="4536"/>
                <w:tab w:val="center" w:pos="6862"/>
              </w:tabs>
              <w:overflowPunct w:val="0"/>
              <w:adjustRightInd w:val="0"/>
              <w:spacing w:after="80"/>
              <w:ind w:left="57" w:right="57"/>
              <w:textAlignment w:val="baseline"/>
              <w:rPr>
                <w:rFonts w:cs="Arial"/>
                <w:sz w:val="18"/>
                <w:szCs w:val="20"/>
                <w:lang w:val="cs-CZ"/>
              </w:rPr>
            </w:pPr>
            <w:r w:rsidRPr="003B6E11">
              <w:rPr>
                <w:sz w:val="18"/>
                <w:lang w:val="cs-CZ"/>
              </w:rPr>
              <w:t xml:space="preserve">Místo, datum </w:t>
            </w:r>
            <w:r w:rsidRPr="003B6E11">
              <w:rPr>
                <w:lang w:val="cs-CZ"/>
              </w:rPr>
              <w:tab/>
            </w:r>
            <w:r w:rsidRPr="003B6E11">
              <w:rPr>
                <w:lang w:val="cs-CZ"/>
              </w:rPr>
              <w:tab/>
            </w:r>
            <w:r w:rsidRPr="003B6E11">
              <w:rPr>
                <w:sz w:val="18"/>
                <w:lang w:val="cs-CZ"/>
              </w:rPr>
              <w:t>Subjekt pověřený prohlídkami</w:t>
            </w:r>
          </w:p>
          <w:p w:rsidR="003B6E11" w:rsidRPr="003B6E11" w:rsidRDefault="003B6E11" w:rsidP="002D015D">
            <w:pPr>
              <w:tabs>
                <w:tab w:val="left" w:pos="5103"/>
                <w:tab w:val="left" w:leader="dot" w:pos="8505"/>
              </w:tabs>
              <w:overflowPunct w:val="0"/>
              <w:adjustRightInd w:val="0"/>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1701"/>
              </w:tabs>
              <w:overflowPunct w:val="0"/>
              <w:adjustRightInd w:val="0"/>
              <w:spacing w:after="80"/>
              <w:textAlignment w:val="baseline"/>
              <w:rPr>
                <w:rFonts w:cs="Arial"/>
                <w:sz w:val="18"/>
                <w:szCs w:val="20"/>
                <w:lang w:val="cs-CZ"/>
              </w:rPr>
            </w:pPr>
            <w:r w:rsidRPr="003B6E11">
              <w:rPr>
                <w:lang w:val="cs-CZ"/>
              </w:rPr>
              <w:tab/>
            </w:r>
            <w:r w:rsidRPr="003B6E11">
              <w:rPr>
                <w:sz w:val="18"/>
                <w:lang w:val="cs-CZ"/>
              </w:rPr>
              <w:t>Razítko</w:t>
            </w:r>
          </w:p>
          <w:p w:rsidR="003B6E11" w:rsidRPr="003B6E11" w:rsidRDefault="003B6E11" w:rsidP="002D015D">
            <w:pPr>
              <w:tabs>
                <w:tab w:val="left" w:pos="5103"/>
                <w:tab w:val="left" w:leader="dot" w:pos="8505"/>
              </w:tabs>
              <w:overflowPunct w:val="0"/>
              <w:adjustRightInd w:val="0"/>
              <w:textAlignment w:val="baseline"/>
              <w:rPr>
                <w:rFonts w:cs="Arial"/>
                <w:szCs w:val="20"/>
                <w:lang w:val="cs-CZ"/>
              </w:rPr>
            </w:pPr>
            <w:r w:rsidRPr="003B6E11">
              <w:rPr>
                <w:lang w:val="cs-CZ"/>
              </w:rPr>
              <w:tab/>
            </w:r>
            <w:r w:rsidRPr="003B6E11">
              <w:rPr>
                <w:lang w:val="cs-CZ"/>
              </w:rPr>
              <w:tab/>
            </w:r>
          </w:p>
          <w:p w:rsidR="003B6E11" w:rsidRPr="003B6E11" w:rsidRDefault="003B6E11" w:rsidP="002D015D">
            <w:pPr>
              <w:tabs>
                <w:tab w:val="center" w:pos="6862"/>
              </w:tabs>
              <w:overflowPunct w:val="0"/>
              <w:adjustRightInd w:val="0"/>
              <w:textAlignment w:val="baseline"/>
              <w:rPr>
                <w:rFonts w:cs="Arial"/>
                <w:sz w:val="16"/>
                <w:szCs w:val="20"/>
                <w:lang w:val="cs-CZ"/>
              </w:rPr>
            </w:pPr>
            <w:r w:rsidRPr="003B6E11">
              <w:rPr>
                <w:lang w:val="cs-CZ"/>
              </w:rPr>
              <w:tab/>
            </w:r>
            <w:r w:rsidRPr="003B6E11">
              <w:rPr>
                <w:sz w:val="16"/>
                <w:lang w:val="cs-CZ"/>
              </w:rPr>
              <w:t>(podpis)</w:t>
            </w:r>
          </w:p>
          <w:p w:rsidR="003B6E11" w:rsidRPr="003B6E11" w:rsidRDefault="003B6E11" w:rsidP="002D015D">
            <w:pPr>
              <w:tabs>
                <w:tab w:val="left" w:pos="113"/>
                <w:tab w:val="left" w:pos="397"/>
                <w:tab w:val="left" w:pos="6237"/>
                <w:tab w:val="left" w:leader="dot" w:pos="9356"/>
              </w:tabs>
              <w:overflowPunct w:val="0"/>
              <w:adjustRightInd w:val="0"/>
              <w:textAlignment w:val="baseline"/>
              <w:rPr>
                <w:rFonts w:cs="Arial"/>
                <w:sz w:val="16"/>
                <w:szCs w:val="20"/>
                <w:lang w:val="cs-CZ"/>
              </w:rPr>
            </w:pPr>
            <w:r w:rsidRPr="003B6E11">
              <w:rPr>
                <w:sz w:val="18"/>
                <w:lang w:val="cs-CZ"/>
              </w:rPr>
              <w:t>_______________________</w:t>
            </w:r>
          </w:p>
          <w:p w:rsidR="003B6E11" w:rsidRPr="003B6E11" w:rsidRDefault="003B6E11" w:rsidP="002D015D">
            <w:pPr>
              <w:tabs>
                <w:tab w:val="left" w:pos="284"/>
              </w:tabs>
              <w:overflowPunct w:val="0"/>
              <w:adjustRightInd w:val="0"/>
              <w:spacing w:after="40"/>
              <w:ind w:left="57"/>
              <w:textAlignment w:val="baseline"/>
              <w:rPr>
                <w:rFonts w:cs="Arial"/>
                <w:sz w:val="18"/>
                <w:szCs w:val="20"/>
                <w:lang w:val="cs-CZ"/>
              </w:rPr>
            </w:pPr>
            <w:r w:rsidRPr="003B6E11">
              <w:rPr>
                <w:position w:val="4"/>
                <w:sz w:val="16"/>
                <w:lang w:val="cs-CZ"/>
              </w:rPr>
              <w:t>*)</w:t>
            </w:r>
            <w:r w:rsidRPr="003B6E11">
              <w:rPr>
                <w:lang w:val="cs-CZ"/>
              </w:rPr>
              <w:tab/>
            </w:r>
            <w:r w:rsidRPr="003B6E11">
              <w:rPr>
                <w:sz w:val="16"/>
                <w:lang w:val="cs-CZ"/>
              </w:rPr>
              <w:t>Nehodící se škrtněte.</w:t>
            </w:r>
          </w:p>
        </w:tc>
      </w:tr>
    </w:tbl>
    <w:p w:rsidR="003B6E11" w:rsidRPr="003B6E11" w:rsidRDefault="003B6E11" w:rsidP="003B6E11">
      <w:pPr>
        <w:tabs>
          <w:tab w:val="left" w:leader="dot" w:pos="2835"/>
          <w:tab w:val="left" w:leader="dot" w:pos="5103"/>
        </w:tabs>
        <w:overflowPunct w:val="0"/>
        <w:adjustRightInd w:val="0"/>
        <w:textAlignment w:val="baseline"/>
        <w:rPr>
          <w:rFonts w:cs="Arial"/>
          <w:szCs w:val="20"/>
          <w:lang w:val="cs-CZ"/>
        </w:rPr>
      </w:pPr>
      <w:r w:rsidRPr="003B6E11">
        <w:rPr>
          <w:lang w:val="cs-CZ"/>
        </w:rPr>
        <w:br w:type="page"/>
        <w:t xml:space="preserve">Osvědčení plavidla vnitrozemské plavby č. </w:t>
      </w:r>
      <w:r w:rsidRPr="003B6E11">
        <w:rPr>
          <w:lang w:val="cs-CZ"/>
        </w:rPr>
        <w:tab/>
        <w:t xml:space="preserve"> vydané subjektem pověřeným prohlídkami </w:t>
      </w:r>
      <w:r w:rsidRPr="003B6E11">
        <w:rPr>
          <w:lang w:val="cs-CZ"/>
        </w:rPr>
        <w:tab/>
      </w:r>
    </w:p>
    <w:tbl>
      <w:tblPr>
        <w:tblW w:w="9188" w:type="dxa"/>
        <w:jc w:val="center"/>
        <w:tblLayout w:type="fixed"/>
        <w:tblCellMar>
          <w:left w:w="0" w:type="dxa"/>
          <w:right w:w="0" w:type="dxa"/>
        </w:tblCellMar>
        <w:tblLook w:val="0000" w:firstRow="0" w:lastRow="0" w:firstColumn="0" w:lastColumn="0" w:noHBand="0" w:noVBand="0"/>
      </w:tblPr>
      <w:tblGrid>
        <w:gridCol w:w="284"/>
        <w:gridCol w:w="4253"/>
        <w:gridCol w:w="1418"/>
        <w:gridCol w:w="1418"/>
        <w:gridCol w:w="1418"/>
        <w:gridCol w:w="397"/>
      </w:tblGrid>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r w:rsidRPr="003B6E11">
              <w:rPr>
                <w:sz w:val="18"/>
                <w:lang w:val="cs-CZ"/>
              </w:rPr>
              <w:t>46.</w:t>
            </w:r>
          </w:p>
        </w:tc>
        <w:tc>
          <w:tcPr>
            <w:tcW w:w="8904" w:type="dxa"/>
            <w:gridSpan w:val="5"/>
            <w:tcBorders>
              <w:top w:val="single" w:sz="6" w:space="0" w:color="auto"/>
              <w:bottom w:val="single" w:sz="6" w:space="0" w:color="auto"/>
              <w:right w:val="single" w:sz="6" w:space="0" w:color="auto"/>
            </w:tcBorders>
          </w:tcPr>
          <w:p w:rsidR="003B6E11" w:rsidRPr="003B6E11" w:rsidRDefault="003B6E11" w:rsidP="002D015D">
            <w:pPr>
              <w:tabs>
                <w:tab w:val="left" w:pos="5103"/>
              </w:tabs>
              <w:overflowPunct w:val="0"/>
              <w:adjustRightInd w:val="0"/>
              <w:spacing w:before="120"/>
              <w:ind w:left="57"/>
              <w:textAlignment w:val="baseline"/>
              <w:rPr>
                <w:rFonts w:cs="Arial"/>
                <w:sz w:val="18"/>
                <w:szCs w:val="20"/>
                <w:lang w:val="cs-CZ"/>
              </w:rPr>
            </w:pPr>
            <w:r w:rsidRPr="003B6E11">
              <w:rPr>
                <w:sz w:val="18"/>
                <w:lang w:val="cs-CZ"/>
              </w:rPr>
              <w:t>Provozní režimy splňující [A1</w:t>
            </w:r>
            <w:r w:rsidRPr="003B6E11">
              <w:rPr>
                <w:sz w:val="16"/>
                <w:vertAlign w:val="superscript"/>
                <w:lang w:val="cs-CZ"/>
              </w:rPr>
              <w:t>*)</w:t>
            </w:r>
            <w:r w:rsidRPr="003B6E11">
              <w:rPr>
                <w:sz w:val="18"/>
                <w:lang w:val="cs-CZ"/>
              </w:rPr>
              <w:t>, A2</w:t>
            </w:r>
            <w:r w:rsidRPr="003B6E11">
              <w:rPr>
                <w:sz w:val="16"/>
                <w:vertAlign w:val="superscript"/>
                <w:lang w:val="cs-CZ"/>
              </w:rPr>
              <w:t>*)</w:t>
            </w:r>
            <w:r w:rsidRPr="003B6E11">
              <w:rPr>
                <w:sz w:val="18"/>
                <w:lang w:val="cs-CZ"/>
              </w:rPr>
              <w:t>, B</w:t>
            </w:r>
            <w:r w:rsidRPr="003B6E11">
              <w:rPr>
                <w:sz w:val="16"/>
                <w:vertAlign w:val="superscript"/>
                <w:lang w:val="cs-CZ"/>
              </w:rPr>
              <w:t>*)</w:t>
            </w:r>
            <w:r w:rsidRPr="003B6E11">
              <w:rPr>
                <w:sz w:val="18"/>
                <w:lang w:val="cs-CZ"/>
              </w:rPr>
              <w:t>. / požadavky vnitrostátních nebo mezinárodních právních předpisů týkajících se posádky]</w:t>
            </w:r>
          </w:p>
          <w:p w:rsidR="003B6E11" w:rsidRPr="003B6E11" w:rsidRDefault="003B6E11" w:rsidP="002D015D">
            <w:pPr>
              <w:tabs>
                <w:tab w:val="left" w:pos="57"/>
                <w:tab w:val="left" w:pos="5103"/>
              </w:tabs>
              <w:overflowPunct w:val="0"/>
              <w:adjustRightInd w:val="0"/>
              <w:spacing w:after="120"/>
              <w:textAlignment w:val="baseline"/>
              <w:rPr>
                <w:rFonts w:cs="Arial"/>
                <w:sz w:val="18"/>
                <w:szCs w:val="20"/>
                <w:lang w:val="cs-CZ"/>
              </w:rPr>
            </w:pPr>
          </w:p>
        </w:tc>
      </w:tr>
      <w:tr w:rsidR="003B6E11" w:rsidRPr="003B6E11" w:rsidTr="002D015D">
        <w:trPr>
          <w:cantSplit/>
          <w:jc w:val="center"/>
        </w:trPr>
        <w:tc>
          <w:tcPr>
            <w:tcW w:w="284" w:type="dxa"/>
            <w:tcBorders>
              <w:top w:val="single" w:sz="6" w:space="0" w:color="auto"/>
              <w:left w:val="single" w:sz="6" w:space="0" w:color="auto"/>
            </w:tcBorders>
          </w:tcPr>
          <w:p w:rsidR="003B6E11" w:rsidRPr="003B6E11" w:rsidRDefault="003B6E11" w:rsidP="002D015D">
            <w:pPr>
              <w:tabs>
                <w:tab w:val="left" w:pos="57"/>
                <w:tab w:val="left" w:pos="227"/>
              </w:tabs>
              <w:overflowPunct w:val="0"/>
              <w:adjustRightInd w:val="0"/>
              <w:textAlignment w:val="baseline"/>
              <w:rPr>
                <w:rFonts w:cs="Arial"/>
                <w:sz w:val="18"/>
                <w:szCs w:val="20"/>
                <w:lang w:val="cs-CZ"/>
              </w:rPr>
            </w:pPr>
            <w:r w:rsidRPr="003B6E11">
              <w:rPr>
                <w:sz w:val="18"/>
                <w:lang w:val="cs-CZ"/>
              </w:rPr>
              <w:t>47.</w:t>
            </w:r>
          </w:p>
        </w:tc>
        <w:tc>
          <w:tcPr>
            <w:tcW w:w="8904" w:type="dxa"/>
            <w:gridSpan w:val="5"/>
            <w:tcBorders>
              <w:top w:val="single" w:sz="6" w:space="0" w:color="auto"/>
              <w:right w:val="single" w:sz="6" w:space="0" w:color="auto"/>
            </w:tcBorders>
          </w:tcPr>
          <w:p w:rsidR="003B6E11" w:rsidRPr="003B6E11" w:rsidRDefault="003B6E11" w:rsidP="002D015D">
            <w:pPr>
              <w:tabs>
                <w:tab w:val="left" w:pos="5103"/>
              </w:tabs>
              <w:overflowPunct w:val="0"/>
              <w:adjustRightInd w:val="0"/>
              <w:ind w:left="57"/>
              <w:textAlignment w:val="baseline"/>
              <w:rPr>
                <w:rFonts w:cs="Arial"/>
                <w:sz w:val="18"/>
                <w:szCs w:val="20"/>
                <w:lang w:val="cs-CZ"/>
              </w:rPr>
            </w:pPr>
            <w:r w:rsidRPr="003B6E11">
              <w:rPr>
                <w:noProof/>
                <w:sz w:val="18"/>
                <w:lang w:val="cs-CZ"/>
              </w:rPr>
              <w:t>Výstroj plavidla podle článku 31.01</w:t>
            </w:r>
            <w:r w:rsidRPr="003B6E11">
              <w:rPr>
                <w:noProof/>
                <w:sz w:val="18"/>
                <w:szCs w:val="20"/>
                <w:lang w:val="cs-CZ"/>
              </w:rPr>
              <w:br/>
            </w:r>
            <w:r w:rsidRPr="003B6E11">
              <w:rPr>
                <w:noProof/>
                <w:sz w:val="18"/>
                <w:lang w:val="cs-CZ"/>
              </w:rPr>
              <w:t>Plavidlo splňuje</w:t>
            </w:r>
            <w:r w:rsidRPr="003B6E11">
              <w:rPr>
                <w:position w:val="6"/>
                <w:sz w:val="16"/>
                <w:lang w:val="cs-CZ"/>
              </w:rPr>
              <w:t xml:space="preserve"> *)</w:t>
            </w:r>
            <w:r w:rsidRPr="003B6E11">
              <w:rPr>
                <w:sz w:val="18"/>
                <w:lang w:val="cs-CZ"/>
              </w:rPr>
              <w:t xml:space="preserve"> / nesplňuje </w:t>
            </w:r>
            <w:r w:rsidRPr="003B6E11">
              <w:rPr>
                <w:position w:val="6"/>
                <w:sz w:val="16"/>
                <w:lang w:val="cs-CZ"/>
              </w:rPr>
              <w:t>*)</w:t>
            </w:r>
            <w:r w:rsidRPr="003B6E11">
              <w:rPr>
                <w:sz w:val="18"/>
                <w:lang w:val="cs-CZ"/>
              </w:rPr>
              <w:t xml:space="preserve"> požadavky článku 31.02 (standard S1)</w:t>
            </w:r>
            <w:r w:rsidRPr="003B6E11">
              <w:rPr>
                <w:position w:val="6"/>
                <w:sz w:val="16"/>
                <w:lang w:val="cs-CZ"/>
              </w:rPr>
              <w:t>*)</w:t>
            </w:r>
            <w:r w:rsidRPr="003B6E11">
              <w:rPr>
                <w:sz w:val="18"/>
                <w:lang w:val="cs-CZ"/>
              </w:rPr>
              <w:t xml:space="preserve"> / článku 31.03 (standard S2)</w:t>
            </w:r>
            <w:r w:rsidRPr="003B6E11">
              <w:rPr>
                <w:position w:val="6"/>
                <w:sz w:val="16"/>
                <w:lang w:val="cs-CZ"/>
              </w:rPr>
              <w:t>*)</w:t>
            </w:r>
            <w:r w:rsidRPr="003B6E11">
              <w:rPr>
                <w:sz w:val="18"/>
                <w:lang w:val="cs-CZ"/>
              </w:rPr>
              <w:t>.</w:t>
            </w:r>
            <w:r w:rsidRPr="003B6E11">
              <w:rPr>
                <w:rFonts w:cs="Arial"/>
                <w:sz w:val="18"/>
                <w:szCs w:val="18"/>
                <w:lang w:val="cs-CZ"/>
              </w:rPr>
              <w:br/>
            </w:r>
            <w:r w:rsidRPr="003B6E11">
              <w:rPr>
                <w:sz w:val="18"/>
                <w:lang w:val="cs-CZ"/>
              </w:rPr>
              <w:t>[V souladu s článkem 3.18 Předpisů pro posádky lodí plujících na Rýně / V souladu s vnitrostátními nebo mezinárodními požadavky], musí být minimální posádka navýšena následovně</w:t>
            </w:r>
            <w:r w:rsidRPr="003B6E11">
              <w:rPr>
                <w:position w:val="6"/>
                <w:sz w:val="16"/>
                <w:lang w:val="cs-CZ"/>
              </w:rPr>
              <w:t>*)</w:t>
            </w:r>
            <w:r w:rsidRPr="003B6E11">
              <w:rPr>
                <w:sz w:val="18"/>
                <w:lang w:val="cs-CZ"/>
              </w:rPr>
              <w:t xml:space="preserve"> / nemusí být navýšena:</w:t>
            </w:r>
            <w:r w:rsidRPr="003B6E11">
              <w:rPr>
                <w:position w:val="6"/>
                <w:sz w:val="16"/>
                <w:lang w:val="cs-CZ"/>
              </w:rPr>
              <w:t>*)</w:t>
            </w:r>
            <w:r w:rsidRPr="003B6E11">
              <w:rPr>
                <w:sz w:val="18"/>
                <w:lang w:val="cs-CZ"/>
              </w:rPr>
              <w:t>:</w:t>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4253" w:type="dxa"/>
            <w:tcBorders>
              <w:top w:val="single" w:sz="6" w:space="0" w:color="auto"/>
              <w:left w:val="single" w:sz="6" w:space="0" w:color="auto"/>
              <w:right w:val="single" w:sz="6" w:space="0" w:color="auto"/>
            </w:tcBorders>
          </w:tcPr>
          <w:p w:rsidR="003B6E11" w:rsidRPr="003B6E11" w:rsidRDefault="003B6E11" w:rsidP="002D015D">
            <w:pPr>
              <w:tabs>
                <w:tab w:val="left" w:pos="57"/>
                <w:tab w:val="left" w:leader="dot" w:pos="8505"/>
              </w:tabs>
              <w:overflowPunct w:val="0"/>
              <w:adjustRightInd w:val="0"/>
              <w:spacing w:before="20" w:after="20"/>
              <w:ind w:left="57" w:hanging="57"/>
              <w:textAlignment w:val="baseline"/>
              <w:rPr>
                <w:rFonts w:cs="Arial"/>
                <w:sz w:val="18"/>
                <w:szCs w:val="20"/>
                <w:lang w:val="cs-CZ"/>
              </w:rPr>
            </w:pPr>
          </w:p>
        </w:tc>
        <w:tc>
          <w:tcPr>
            <w:tcW w:w="4254" w:type="dxa"/>
            <w:gridSpan w:val="3"/>
            <w:tcBorders>
              <w:top w:val="single" w:sz="6" w:space="0" w:color="auto"/>
              <w:left w:val="single" w:sz="6" w:space="0" w:color="auto"/>
              <w:right w:val="single" w:sz="6" w:space="0" w:color="auto"/>
            </w:tcBorders>
          </w:tcPr>
          <w:p w:rsidR="003B6E11" w:rsidRPr="003B6E11" w:rsidRDefault="003B6E11" w:rsidP="002D015D">
            <w:pPr>
              <w:tabs>
                <w:tab w:val="center" w:pos="2042"/>
              </w:tabs>
              <w:overflowPunct w:val="0"/>
              <w:adjustRightInd w:val="0"/>
              <w:spacing w:before="20" w:after="20"/>
              <w:jc w:val="center"/>
              <w:textAlignment w:val="baseline"/>
              <w:rPr>
                <w:rFonts w:cs="Arial"/>
                <w:sz w:val="18"/>
                <w:szCs w:val="20"/>
                <w:lang w:val="cs-CZ"/>
              </w:rPr>
            </w:pPr>
            <w:r w:rsidRPr="003B6E11">
              <w:rPr>
                <w:sz w:val="18"/>
                <w:lang w:val="cs-CZ"/>
              </w:rPr>
              <w:t>Provozní režimy</w:t>
            </w:r>
            <w:r w:rsidRPr="003B6E11">
              <w:rPr>
                <w:sz w:val="18"/>
                <w:vertAlign w:val="superscript"/>
                <w:lang w:val="cs-CZ"/>
              </w:rPr>
              <w:footnoteReference w:id="49"/>
            </w:r>
          </w:p>
        </w:tc>
        <w:tc>
          <w:tcPr>
            <w:tcW w:w="397" w:type="dxa"/>
            <w:tcBorders>
              <w:right w:val="single" w:sz="6" w:space="0" w:color="auto"/>
            </w:tcBorders>
          </w:tcPr>
          <w:p w:rsidR="003B6E11" w:rsidRPr="003B6E11" w:rsidRDefault="003B6E11" w:rsidP="002D015D">
            <w:pPr>
              <w:tabs>
                <w:tab w:val="left" w:pos="57"/>
                <w:tab w:val="left" w:leader="dot" w:pos="8505"/>
              </w:tabs>
              <w:overflowPunct w:val="0"/>
              <w:adjustRightInd w:val="0"/>
              <w:spacing w:before="20" w:after="20"/>
              <w:ind w:left="57" w:hanging="57"/>
              <w:textAlignment w:val="baseline"/>
              <w:rPr>
                <w:rFonts w:cs="Arial"/>
                <w:sz w:val="18"/>
                <w:szCs w:val="20"/>
                <w:lang w:val="cs-CZ"/>
              </w:rPr>
            </w:pPr>
            <w:r w:rsidRPr="003B6E11">
              <w:rPr>
                <w:lang w:val="cs-CZ"/>
              </w:rPr>
              <w:tab/>
            </w:r>
          </w:p>
          <w:p w:rsidR="003B6E11" w:rsidRPr="003B6E11" w:rsidRDefault="003B6E11" w:rsidP="002D015D">
            <w:pPr>
              <w:tabs>
                <w:tab w:val="left" w:pos="57"/>
                <w:tab w:val="left" w:pos="5103"/>
              </w:tabs>
              <w:overflowPunct w:val="0"/>
              <w:adjustRightInd w:val="0"/>
              <w:spacing w:before="20" w:after="2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4253" w:type="dxa"/>
            <w:tcBorders>
              <w:top w:val="single" w:sz="6" w:space="0" w:color="auto"/>
              <w:left w:val="single" w:sz="6" w:space="0" w:color="auto"/>
              <w:right w:val="single" w:sz="6" w:space="0" w:color="auto"/>
            </w:tcBorders>
          </w:tcPr>
          <w:p w:rsidR="003B6E11" w:rsidRPr="003B6E11" w:rsidRDefault="003B6E11" w:rsidP="002D015D">
            <w:pPr>
              <w:tabs>
                <w:tab w:val="left" w:pos="57"/>
                <w:tab w:val="left" w:leader="dot" w:pos="3969"/>
                <w:tab w:val="left" w:leader="dot" w:pos="8505"/>
              </w:tabs>
              <w:overflowPunct w:val="0"/>
              <w:adjustRightInd w:val="0"/>
              <w:spacing w:before="20" w:after="20"/>
              <w:ind w:left="57" w:hanging="57"/>
              <w:textAlignment w:val="baseline"/>
              <w:rPr>
                <w:rFonts w:cs="Arial"/>
                <w:sz w:val="18"/>
                <w:szCs w:val="20"/>
                <w:lang w:val="cs-CZ"/>
              </w:rPr>
            </w:pPr>
          </w:p>
        </w:tc>
        <w:tc>
          <w:tcPr>
            <w:tcW w:w="1418" w:type="dxa"/>
            <w:tcBorders>
              <w:top w:val="single" w:sz="6" w:space="0" w:color="auto"/>
              <w:bottom w:val="single" w:sz="6" w:space="0" w:color="auto"/>
              <w:right w:val="single" w:sz="6" w:space="0" w:color="auto"/>
            </w:tcBorders>
          </w:tcPr>
          <w:p w:rsidR="003B6E11" w:rsidRPr="003B6E11" w:rsidRDefault="003B6E11" w:rsidP="002D015D">
            <w:pPr>
              <w:tabs>
                <w:tab w:val="center" w:pos="624"/>
              </w:tabs>
              <w:overflowPunct w:val="0"/>
              <w:adjustRightInd w:val="0"/>
              <w:spacing w:before="20" w:after="20"/>
              <w:textAlignment w:val="baseline"/>
              <w:rPr>
                <w:rFonts w:cs="Arial"/>
                <w:sz w:val="18"/>
                <w:szCs w:val="20"/>
                <w:lang w:val="cs-CZ"/>
              </w:rPr>
            </w:pPr>
            <w:r w:rsidRPr="003B6E11">
              <w:rPr>
                <w:lang w:val="cs-CZ"/>
              </w:rPr>
              <w:tab/>
            </w:r>
          </w:p>
        </w:tc>
        <w:tc>
          <w:tcPr>
            <w:tcW w:w="141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center" w:pos="624"/>
              </w:tabs>
              <w:overflowPunct w:val="0"/>
              <w:adjustRightInd w:val="0"/>
              <w:spacing w:before="20" w:after="20"/>
              <w:textAlignment w:val="baseline"/>
              <w:rPr>
                <w:rFonts w:cs="Arial"/>
                <w:sz w:val="18"/>
                <w:szCs w:val="20"/>
                <w:lang w:val="cs-CZ"/>
              </w:rPr>
            </w:pPr>
            <w:r w:rsidRPr="003B6E11">
              <w:rPr>
                <w:lang w:val="cs-CZ"/>
              </w:rPr>
              <w:tab/>
            </w:r>
          </w:p>
        </w:tc>
        <w:tc>
          <w:tcPr>
            <w:tcW w:w="141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center" w:pos="624"/>
              </w:tabs>
              <w:overflowPunct w:val="0"/>
              <w:adjustRightInd w:val="0"/>
              <w:spacing w:before="20" w:after="20"/>
              <w:textAlignment w:val="baseline"/>
              <w:rPr>
                <w:rFonts w:cs="Arial"/>
                <w:sz w:val="18"/>
                <w:szCs w:val="20"/>
                <w:lang w:val="cs-CZ"/>
              </w:rPr>
            </w:pPr>
            <w:r w:rsidRPr="003B6E11">
              <w:rPr>
                <w:lang w:val="cs-CZ"/>
              </w:rPr>
              <w:tab/>
            </w: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spacing w:before="20" w:after="2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4253" w:type="dxa"/>
            <w:tcBorders>
              <w:left w:val="single" w:sz="6" w:space="0" w:color="auto"/>
              <w:right w:val="single" w:sz="6" w:space="0" w:color="auto"/>
            </w:tcBorders>
          </w:tcPr>
          <w:p w:rsidR="003B6E11" w:rsidRPr="003B6E11" w:rsidRDefault="003B6E11" w:rsidP="002D015D">
            <w:pPr>
              <w:tabs>
                <w:tab w:val="left" w:leader="dot" w:pos="3969"/>
                <w:tab w:val="left" w:leader="dot" w:pos="8505"/>
              </w:tabs>
              <w:overflowPunct w:val="0"/>
              <w:adjustRightInd w:val="0"/>
              <w:spacing w:before="20" w:after="20"/>
              <w:ind w:left="57"/>
              <w:textAlignment w:val="baseline"/>
              <w:rPr>
                <w:rFonts w:cs="Arial"/>
                <w:sz w:val="18"/>
                <w:szCs w:val="20"/>
                <w:lang w:val="cs-CZ"/>
              </w:rPr>
            </w:pPr>
          </w:p>
        </w:tc>
        <w:tc>
          <w:tcPr>
            <w:tcW w:w="1418" w:type="dxa"/>
            <w:tcBorders>
              <w:right w:val="single" w:sz="6" w:space="0" w:color="auto"/>
            </w:tcBorders>
          </w:tcPr>
          <w:p w:rsidR="003B6E11" w:rsidRPr="003B6E11" w:rsidRDefault="003B6E11" w:rsidP="002D015D">
            <w:pPr>
              <w:tabs>
                <w:tab w:val="left" w:leader="dot" w:pos="1134"/>
                <w:tab w:val="left" w:leader="dot" w:pos="8505"/>
              </w:tabs>
              <w:overflowPunct w:val="0"/>
              <w:adjustRightInd w:val="0"/>
              <w:spacing w:before="20" w:after="20"/>
              <w:textAlignment w:val="baseline"/>
              <w:rPr>
                <w:rFonts w:cs="Arial"/>
                <w:sz w:val="18"/>
                <w:szCs w:val="20"/>
                <w:lang w:val="cs-CZ"/>
              </w:rPr>
            </w:pPr>
            <w:r w:rsidRPr="003B6E11">
              <w:rPr>
                <w:lang w:val="cs-CZ"/>
              </w:rPr>
              <w:tab/>
            </w:r>
          </w:p>
        </w:tc>
        <w:tc>
          <w:tcPr>
            <w:tcW w:w="1418" w:type="dxa"/>
            <w:tcBorders>
              <w:left w:val="single" w:sz="6" w:space="0" w:color="auto"/>
              <w:right w:val="single" w:sz="6" w:space="0" w:color="auto"/>
            </w:tcBorders>
          </w:tcPr>
          <w:p w:rsidR="003B6E11" w:rsidRPr="003B6E11" w:rsidRDefault="003B6E11" w:rsidP="002D015D">
            <w:pPr>
              <w:tabs>
                <w:tab w:val="left" w:leader="dot" w:pos="1134"/>
                <w:tab w:val="left" w:leader="dot" w:pos="8505"/>
              </w:tabs>
              <w:overflowPunct w:val="0"/>
              <w:adjustRightInd w:val="0"/>
              <w:spacing w:before="20" w:after="20"/>
              <w:textAlignment w:val="baseline"/>
              <w:rPr>
                <w:rFonts w:cs="Arial"/>
                <w:sz w:val="18"/>
                <w:szCs w:val="20"/>
                <w:lang w:val="cs-CZ"/>
              </w:rPr>
            </w:pPr>
            <w:r w:rsidRPr="003B6E11">
              <w:rPr>
                <w:lang w:val="cs-CZ"/>
              </w:rPr>
              <w:tab/>
            </w:r>
          </w:p>
        </w:tc>
        <w:tc>
          <w:tcPr>
            <w:tcW w:w="1418" w:type="dxa"/>
            <w:tcBorders>
              <w:left w:val="single" w:sz="6" w:space="0" w:color="auto"/>
              <w:right w:val="single" w:sz="6" w:space="0" w:color="auto"/>
            </w:tcBorders>
          </w:tcPr>
          <w:p w:rsidR="003B6E11" w:rsidRPr="003B6E11" w:rsidRDefault="003B6E11" w:rsidP="002D015D">
            <w:pPr>
              <w:tabs>
                <w:tab w:val="left" w:leader="dot" w:pos="1134"/>
                <w:tab w:val="left" w:leader="dot" w:pos="8505"/>
              </w:tabs>
              <w:overflowPunct w:val="0"/>
              <w:adjustRightInd w:val="0"/>
              <w:spacing w:before="20" w:after="20"/>
              <w:textAlignment w:val="baseline"/>
              <w:rPr>
                <w:rFonts w:cs="Arial"/>
                <w:sz w:val="18"/>
                <w:szCs w:val="20"/>
                <w:lang w:val="cs-CZ"/>
              </w:rPr>
            </w:pPr>
            <w:r w:rsidRPr="003B6E11">
              <w:rPr>
                <w:lang w:val="cs-CZ"/>
              </w:rPr>
              <w:tab/>
            </w: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spacing w:before="20" w:after="2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4253" w:type="dxa"/>
            <w:tcBorders>
              <w:left w:val="single" w:sz="6" w:space="0" w:color="auto"/>
              <w:bottom w:val="single" w:sz="6" w:space="0" w:color="auto"/>
              <w:right w:val="single" w:sz="6" w:space="0" w:color="auto"/>
            </w:tcBorders>
          </w:tcPr>
          <w:p w:rsidR="003B6E11" w:rsidRPr="003B6E11" w:rsidRDefault="003B6E11" w:rsidP="002D015D">
            <w:pPr>
              <w:tabs>
                <w:tab w:val="left" w:leader="dot" w:pos="3969"/>
                <w:tab w:val="left" w:leader="dot" w:pos="8505"/>
              </w:tabs>
              <w:overflowPunct w:val="0"/>
              <w:adjustRightInd w:val="0"/>
              <w:spacing w:before="20" w:after="20"/>
              <w:ind w:left="57"/>
              <w:textAlignment w:val="baseline"/>
              <w:rPr>
                <w:rFonts w:cs="Arial"/>
                <w:sz w:val="18"/>
                <w:szCs w:val="20"/>
                <w:lang w:val="cs-CZ"/>
              </w:rPr>
            </w:pPr>
          </w:p>
        </w:tc>
        <w:tc>
          <w:tcPr>
            <w:tcW w:w="1418" w:type="dxa"/>
            <w:tcBorders>
              <w:bottom w:val="single" w:sz="6" w:space="0" w:color="auto"/>
              <w:right w:val="single" w:sz="6" w:space="0" w:color="auto"/>
            </w:tcBorders>
          </w:tcPr>
          <w:p w:rsidR="003B6E11" w:rsidRPr="003B6E11" w:rsidRDefault="003B6E11" w:rsidP="002D015D">
            <w:pPr>
              <w:tabs>
                <w:tab w:val="left" w:leader="dot" w:pos="1134"/>
                <w:tab w:val="left" w:leader="dot" w:pos="8505"/>
              </w:tabs>
              <w:overflowPunct w:val="0"/>
              <w:adjustRightInd w:val="0"/>
              <w:spacing w:before="20" w:after="20"/>
              <w:textAlignment w:val="baseline"/>
              <w:rPr>
                <w:rFonts w:cs="Arial"/>
                <w:sz w:val="18"/>
                <w:szCs w:val="20"/>
                <w:lang w:val="cs-CZ"/>
              </w:rPr>
            </w:pPr>
            <w:r w:rsidRPr="003B6E11">
              <w:rPr>
                <w:lang w:val="cs-CZ"/>
              </w:rPr>
              <w:tab/>
            </w:r>
          </w:p>
        </w:tc>
        <w:tc>
          <w:tcPr>
            <w:tcW w:w="1418" w:type="dxa"/>
            <w:tcBorders>
              <w:left w:val="single" w:sz="6" w:space="0" w:color="auto"/>
              <w:bottom w:val="single" w:sz="6" w:space="0" w:color="auto"/>
              <w:right w:val="single" w:sz="6" w:space="0" w:color="auto"/>
            </w:tcBorders>
          </w:tcPr>
          <w:p w:rsidR="003B6E11" w:rsidRPr="003B6E11" w:rsidRDefault="003B6E11" w:rsidP="002D015D">
            <w:pPr>
              <w:tabs>
                <w:tab w:val="left" w:leader="dot" w:pos="1134"/>
                <w:tab w:val="left" w:leader="dot" w:pos="8505"/>
              </w:tabs>
              <w:overflowPunct w:val="0"/>
              <w:adjustRightInd w:val="0"/>
              <w:spacing w:before="20" w:after="20"/>
              <w:textAlignment w:val="baseline"/>
              <w:rPr>
                <w:rFonts w:cs="Arial"/>
                <w:sz w:val="18"/>
                <w:szCs w:val="20"/>
                <w:lang w:val="cs-CZ"/>
              </w:rPr>
            </w:pPr>
            <w:r w:rsidRPr="003B6E11">
              <w:rPr>
                <w:lang w:val="cs-CZ"/>
              </w:rPr>
              <w:tab/>
            </w:r>
          </w:p>
        </w:tc>
        <w:tc>
          <w:tcPr>
            <w:tcW w:w="1418" w:type="dxa"/>
            <w:tcBorders>
              <w:left w:val="single" w:sz="6" w:space="0" w:color="auto"/>
              <w:bottom w:val="single" w:sz="6" w:space="0" w:color="auto"/>
              <w:right w:val="single" w:sz="6" w:space="0" w:color="auto"/>
            </w:tcBorders>
          </w:tcPr>
          <w:p w:rsidR="003B6E11" w:rsidRPr="003B6E11" w:rsidRDefault="003B6E11" w:rsidP="002D015D">
            <w:pPr>
              <w:tabs>
                <w:tab w:val="left" w:leader="dot" w:pos="1134"/>
                <w:tab w:val="left" w:leader="dot" w:pos="8505"/>
              </w:tabs>
              <w:overflowPunct w:val="0"/>
              <w:adjustRightInd w:val="0"/>
              <w:spacing w:before="20" w:after="20"/>
              <w:textAlignment w:val="baseline"/>
              <w:rPr>
                <w:rFonts w:cs="Arial"/>
                <w:sz w:val="18"/>
                <w:szCs w:val="20"/>
                <w:lang w:val="cs-CZ"/>
              </w:rPr>
            </w:pPr>
            <w:r w:rsidRPr="003B6E11">
              <w:rPr>
                <w:lang w:val="cs-CZ"/>
              </w:rPr>
              <w:tab/>
            </w: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spacing w:before="20" w:after="2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8904" w:type="dxa"/>
            <w:gridSpan w:val="5"/>
            <w:tcBorders>
              <w:right w:val="single" w:sz="6" w:space="0" w:color="auto"/>
            </w:tcBorders>
          </w:tcPr>
          <w:p w:rsidR="003B6E11" w:rsidRPr="003B6E11" w:rsidRDefault="003B6E11" w:rsidP="002D015D">
            <w:pPr>
              <w:tabs>
                <w:tab w:val="left" w:leader="dot" w:pos="8505"/>
              </w:tabs>
              <w:overflowPunct w:val="0"/>
              <w:adjustRightInd w:val="0"/>
              <w:spacing w:before="80"/>
              <w:ind w:left="57"/>
              <w:textAlignment w:val="baseline"/>
              <w:rPr>
                <w:noProof/>
                <w:sz w:val="18"/>
                <w:szCs w:val="20"/>
                <w:lang w:val="cs-CZ"/>
              </w:rPr>
            </w:pPr>
            <w:r w:rsidRPr="003B6E11">
              <w:rPr>
                <w:noProof/>
                <w:sz w:val="18"/>
                <w:lang w:val="cs-CZ"/>
              </w:rPr>
              <w:t>Poznámky a zvláštní podmínky:</w:t>
            </w:r>
          </w:p>
          <w:p w:rsidR="003B6E11" w:rsidRPr="003B6E11" w:rsidRDefault="003B6E11" w:rsidP="002D015D">
            <w:pPr>
              <w:tabs>
                <w:tab w:val="left" w:leader="dot" w:pos="8505"/>
              </w:tabs>
              <w:overflowPunct w:val="0"/>
              <w:adjustRightInd w:val="0"/>
              <w:spacing w:before="8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8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80"/>
              <w:ind w:left="57"/>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top w:val="single" w:sz="6" w:space="0" w:color="auto"/>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r w:rsidRPr="003B6E11">
              <w:rPr>
                <w:sz w:val="18"/>
                <w:lang w:val="cs-CZ"/>
              </w:rPr>
              <w:t>48.</w:t>
            </w:r>
          </w:p>
        </w:tc>
        <w:tc>
          <w:tcPr>
            <w:tcW w:w="8904" w:type="dxa"/>
            <w:gridSpan w:val="5"/>
            <w:tcBorders>
              <w:top w:val="single" w:sz="6" w:space="0" w:color="auto"/>
              <w:right w:val="single" w:sz="6" w:space="0" w:color="auto"/>
            </w:tcBorders>
          </w:tcPr>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sz w:val="18"/>
                <w:lang w:val="cs-CZ"/>
              </w:rPr>
              <w:t>Minimální posádka [v souladu s článkem 3.19 Předpisů pro posádky lodí plujících na Rýně / v souladu s vnitrostátními nebo mezinárodními požadavky]</w:t>
            </w:r>
            <w:r w:rsidRPr="003B6E11">
              <w:rPr>
                <w:sz w:val="18"/>
                <w:vertAlign w:val="superscript"/>
                <w:lang w:val="cs-CZ"/>
              </w:rPr>
              <w:footnoteReference w:id="50"/>
            </w:r>
          </w:p>
          <w:p w:rsidR="003B6E11" w:rsidRPr="003B6E11" w:rsidRDefault="003B6E11" w:rsidP="002D015D">
            <w:pPr>
              <w:tabs>
                <w:tab w:val="left" w:pos="57"/>
                <w:tab w:val="left" w:pos="5103"/>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4253" w:type="dxa"/>
            <w:tcBorders>
              <w:top w:val="single" w:sz="6" w:space="0" w:color="auto"/>
              <w:left w:val="single" w:sz="6" w:space="0" w:color="auto"/>
              <w:right w:val="single" w:sz="6" w:space="0" w:color="auto"/>
            </w:tcBorders>
          </w:tcPr>
          <w:p w:rsidR="003B6E11" w:rsidRPr="003B6E11" w:rsidRDefault="003B6E11" w:rsidP="002D015D">
            <w:pPr>
              <w:tabs>
                <w:tab w:val="left" w:pos="57"/>
                <w:tab w:val="left" w:leader="dot" w:pos="8505"/>
              </w:tabs>
              <w:overflowPunct w:val="0"/>
              <w:adjustRightInd w:val="0"/>
              <w:spacing w:before="20" w:after="20"/>
              <w:ind w:left="57" w:hanging="57"/>
              <w:textAlignment w:val="baseline"/>
              <w:rPr>
                <w:rFonts w:cs="Arial"/>
                <w:sz w:val="18"/>
                <w:szCs w:val="20"/>
                <w:lang w:val="cs-CZ"/>
              </w:rPr>
            </w:pPr>
          </w:p>
        </w:tc>
        <w:tc>
          <w:tcPr>
            <w:tcW w:w="4254" w:type="dxa"/>
            <w:gridSpan w:val="3"/>
            <w:tcBorders>
              <w:top w:val="single" w:sz="6" w:space="0" w:color="auto"/>
              <w:left w:val="single" w:sz="6" w:space="0" w:color="auto"/>
              <w:right w:val="single" w:sz="6" w:space="0" w:color="auto"/>
            </w:tcBorders>
          </w:tcPr>
          <w:p w:rsidR="003B6E11" w:rsidRPr="003B6E11" w:rsidRDefault="003B6E11" w:rsidP="002D015D">
            <w:pPr>
              <w:tabs>
                <w:tab w:val="center" w:pos="2041"/>
              </w:tabs>
              <w:overflowPunct w:val="0"/>
              <w:adjustRightInd w:val="0"/>
              <w:spacing w:before="20" w:after="20"/>
              <w:jc w:val="center"/>
              <w:textAlignment w:val="baseline"/>
              <w:rPr>
                <w:rFonts w:cs="Arial"/>
                <w:sz w:val="18"/>
                <w:szCs w:val="20"/>
                <w:lang w:val="cs-CZ"/>
              </w:rPr>
            </w:pPr>
            <w:r w:rsidRPr="003B6E11">
              <w:rPr>
                <w:sz w:val="18"/>
                <w:lang w:val="cs-CZ"/>
              </w:rPr>
              <w:t>Provozní režimy</w:t>
            </w:r>
          </w:p>
        </w:tc>
        <w:tc>
          <w:tcPr>
            <w:tcW w:w="397" w:type="dxa"/>
            <w:tcBorders>
              <w:right w:val="single" w:sz="6" w:space="0" w:color="auto"/>
            </w:tcBorders>
          </w:tcPr>
          <w:p w:rsidR="003B6E11" w:rsidRPr="003B6E11" w:rsidRDefault="003B6E11" w:rsidP="002D015D">
            <w:pPr>
              <w:tabs>
                <w:tab w:val="left" w:pos="57"/>
                <w:tab w:val="left" w:leader="dot" w:pos="8505"/>
              </w:tabs>
              <w:overflowPunct w:val="0"/>
              <w:adjustRightInd w:val="0"/>
              <w:spacing w:before="20" w:after="20"/>
              <w:ind w:left="57" w:hanging="57"/>
              <w:textAlignment w:val="baseline"/>
              <w:rPr>
                <w:rFonts w:cs="Arial"/>
                <w:sz w:val="18"/>
                <w:szCs w:val="20"/>
                <w:lang w:val="cs-CZ"/>
              </w:rPr>
            </w:pPr>
          </w:p>
          <w:p w:rsidR="003B6E11" w:rsidRPr="003B6E11" w:rsidRDefault="003B6E11" w:rsidP="002D015D">
            <w:pPr>
              <w:tabs>
                <w:tab w:val="left" w:pos="57"/>
                <w:tab w:val="left" w:pos="5103"/>
              </w:tabs>
              <w:overflowPunct w:val="0"/>
              <w:adjustRightInd w:val="0"/>
              <w:spacing w:before="20" w:after="2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80"/>
              <w:textAlignment w:val="baseline"/>
              <w:rPr>
                <w:rFonts w:cs="Arial"/>
                <w:sz w:val="18"/>
                <w:szCs w:val="20"/>
                <w:lang w:val="cs-CZ"/>
              </w:rPr>
            </w:pPr>
          </w:p>
        </w:tc>
        <w:tc>
          <w:tcPr>
            <w:tcW w:w="4253" w:type="dxa"/>
            <w:tcBorders>
              <w:top w:val="single" w:sz="6" w:space="0" w:color="auto"/>
              <w:left w:val="single" w:sz="6" w:space="0" w:color="auto"/>
              <w:right w:val="single" w:sz="6" w:space="0" w:color="auto"/>
            </w:tcBorders>
          </w:tcPr>
          <w:p w:rsidR="003B6E11" w:rsidRPr="003B6E11" w:rsidRDefault="003B6E11" w:rsidP="002D015D">
            <w:pPr>
              <w:tabs>
                <w:tab w:val="left" w:pos="57"/>
                <w:tab w:val="left" w:leader="dot" w:pos="3969"/>
                <w:tab w:val="left" w:leader="dot" w:pos="8505"/>
              </w:tabs>
              <w:overflowPunct w:val="0"/>
              <w:adjustRightInd w:val="0"/>
              <w:spacing w:before="20" w:after="20"/>
              <w:ind w:left="57" w:hanging="57"/>
              <w:textAlignment w:val="baseline"/>
              <w:rPr>
                <w:rFonts w:cs="Arial"/>
                <w:sz w:val="18"/>
                <w:szCs w:val="20"/>
                <w:lang w:val="cs-CZ"/>
              </w:rPr>
            </w:pPr>
          </w:p>
        </w:tc>
        <w:tc>
          <w:tcPr>
            <w:tcW w:w="1418" w:type="dxa"/>
            <w:tcBorders>
              <w:top w:val="single" w:sz="6" w:space="0" w:color="auto"/>
              <w:bottom w:val="single" w:sz="6" w:space="0" w:color="auto"/>
              <w:right w:val="single" w:sz="6" w:space="0" w:color="auto"/>
            </w:tcBorders>
          </w:tcPr>
          <w:p w:rsidR="003B6E11" w:rsidRPr="003B6E11" w:rsidRDefault="003B6E11" w:rsidP="002D015D">
            <w:pPr>
              <w:tabs>
                <w:tab w:val="center" w:pos="624"/>
              </w:tabs>
              <w:overflowPunct w:val="0"/>
              <w:adjustRightInd w:val="0"/>
              <w:spacing w:before="20" w:after="20"/>
              <w:textAlignment w:val="baseline"/>
              <w:rPr>
                <w:rFonts w:cs="Arial"/>
                <w:sz w:val="18"/>
                <w:szCs w:val="20"/>
                <w:lang w:val="cs-CZ"/>
              </w:rPr>
            </w:pPr>
          </w:p>
        </w:tc>
        <w:tc>
          <w:tcPr>
            <w:tcW w:w="141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center" w:pos="624"/>
              </w:tabs>
              <w:overflowPunct w:val="0"/>
              <w:adjustRightInd w:val="0"/>
              <w:spacing w:before="20" w:after="20"/>
              <w:textAlignment w:val="baseline"/>
              <w:rPr>
                <w:rFonts w:cs="Arial"/>
                <w:sz w:val="18"/>
                <w:szCs w:val="20"/>
                <w:lang w:val="cs-CZ"/>
              </w:rPr>
            </w:pPr>
          </w:p>
        </w:tc>
        <w:tc>
          <w:tcPr>
            <w:tcW w:w="141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center" w:pos="624"/>
              </w:tabs>
              <w:overflowPunct w:val="0"/>
              <w:adjustRightInd w:val="0"/>
              <w:spacing w:before="20" w:after="20"/>
              <w:textAlignment w:val="baseline"/>
              <w:rPr>
                <w:rFonts w:cs="Arial"/>
                <w:sz w:val="18"/>
                <w:szCs w:val="20"/>
                <w:lang w:val="cs-CZ"/>
              </w:rPr>
            </w:pP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spacing w:before="20" w:after="2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80"/>
              <w:textAlignment w:val="baseline"/>
              <w:rPr>
                <w:rFonts w:cs="Arial"/>
                <w:sz w:val="18"/>
                <w:szCs w:val="20"/>
                <w:lang w:val="cs-CZ"/>
              </w:rPr>
            </w:pPr>
          </w:p>
        </w:tc>
        <w:tc>
          <w:tcPr>
            <w:tcW w:w="4253" w:type="dxa"/>
            <w:tcBorders>
              <w:left w:val="single" w:sz="6" w:space="0" w:color="auto"/>
              <w:right w:val="single" w:sz="6" w:space="0" w:color="auto"/>
            </w:tcBorders>
          </w:tcPr>
          <w:p w:rsidR="003B6E11" w:rsidRPr="003B6E11" w:rsidRDefault="003B6E11" w:rsidP="002D015D">
            <w:pPr>
              <w:tabs>
                <w:tab w:val="left" w:leader="dot" w:pos="3969"/>
                <w:tab w:val="left" w:leader="dot" w:pos="8505"/>
              </w:tabs>
              <w:overflowPunct w:val="0"/>
              <w:adjustRightInd w:val="0"/>
              <w:spacing w:before="20" w:after="20"/>
              <w:ind w:left="57"/>
              <w:textAlignment w:val="baseline"/>
              <w:rPr>
                <w:rFonts w:cs="Arial"/>
                <w:sz w:val="18"/>
                <w:szCs w:val="20"/>
                <w:lang w:val="cs-CZ"/>
              </w:rPr>
            </w:pPr>
          </w:p>
        </w:tc>
        <w:tc>
          <w:tcPr>
            <w:tcW w:w="1418" w:type="dxa"/>
            <w:tcBorders>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1418" w:type="dxa"/>
            <w:tcBorders>
              <w:left w:val="single" w:sz="6" w:space="0" w:color="auto"/>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1418" w:type="dxa"/>
            <w:tcBorders>
              <w:left w:val="single" w:sz="6" w:space="0" w:color="auto"/>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spacing w:before="20" w:after="2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80"/>
              <w:textAlignment w:val="baseline"/>
              <w:rPr>
                <w:rFonts w:cs="Arial"/>
                <w:sz w:val="18"/>
                <w:szCs w:val="20"/>
                <w:lang w:val="cs-CZ"/>
              </w:rPr>
            </w:pPr>
          </w:p>
        </w:tc>
        <w:tc>
          <w:tcPr>
            <w:tcW w:w="4253" w:type="dxa"/>
            <w:tcBorders>
              <w:left w:val="single" w:sz="6" w:space="0" w:color="auto"/>
              <w:right w:val="single" w:sz="6" w:space="0" w:color="auto"/>
            </w:tcBorders>
          </w:tcPr>
          <w:p w:rsidR="003B6E11" w:rsidRPr="003B6E11" w:rsidRDefault="003B6E11" w:rsidP="002D015D">
            <w:pPr>
              <w:tabs>
                <w:tab w:val="left" w:leader="dot" w:pos="3969"/>
                <w:tab w:val="left" w:leader="dot" w:pos="8505"/>
              </w:tabs>
              <w:overflowPunct w:val="0"/>
              <w:adjustRightInd w:val="0"/>
              <w:spacing w:before="20" w:after="20"/>
              <w:ind w:left="57"/>
              <w:textAlignment w:val="baseline"/>
              <w:rPr>
                <w:rFonts w:cs="Arial"/>
                <w:sz w:val="18"/>
                <w:szCs w:val="20"/>
                <w:lang w:val="cs-CZ"/>
              </w:rPr>
            </w:pPr>
          </w:p>
        </w:tc>
        <w:tc>
          <w:tcPr>
            <w:tcW w:w="1418" w:type="dxa"/>
            <w:tcBorders>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1418" w:type="dxa"/>
            <w:tcBorders>
              <w:left w:val="single" w:sz="6" w:space="0" w:color="auto"/>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1418" w:type="dxa"/>
            <w:tcBorders>
              <w:left w:val="single" w:sz="6" w:space="0" w:color="auto"/>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spacing w:before="20" w:after="2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80"/>
              <w:textAlignment w:val="baseline"/>
              <w:rPr>
                <w:rFonts w:cs="Arial"/>
                <w:sz w:val="18"/>
                <w:szCs w:val="20"/>
                <w:lang w:val="cs-CZ"/>
              </w:rPr>
            </w:pPr>
          </w:p>
        </w:tc>
        <w:tc>
          <w:tcPr>
            <w:tcW w:w="4253" w:type="dxa"/>
            <w:tcBorders>
              <w:left w:val="single" w:sz="6" w:space="0" w:color="auto"/>
              <w:right w:val="single" w:sz="6" w:space="0" w:color="auto"/>
            </w:tcBorders>
          </w:tcPr>
          <w:p w:rsidR="003B6E11" w:rsidRPr="003B6E11" w:rsidRDefault="003B6E11" w:rsidP="002D015D">
            <w:pPr>
              <w:tabs>
                <w:tab w:val="left" w:leader="dot" w:pos="3969"/>
                <w:tab w:val="left" w:leader="dot" w:pos="8505"/>
              </w:tabs>
              <w:overflowPunct w:val="0"/>
              <w:adjustRightInd w:val="0"/>
              <w:spacing w:before="20" w:after="20"/>
              <w:ind w:left="57"/>
              <w:textAlignment w:val="baseline"/>
              <w:rPr>
                <w:rFonts w:cs="Arial"/>
                <w:sz w:val="18"/>
                <w:szCs w:val="20"/>
                <w:lang w:val="cs-CZ"/>
              </w:rPr>
            </w:pPr>
          </w:p>
        </w:tc>
        <w:tc>
          <w:tcPr>
            <w:tcW w:w="1418" w:type="dxa"/>
            <w:tcBorders>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1418" w:type="dxa"/>
            <w:tcBorders>
              <w:left w:val="single" w:sz="6" w:space="0" w:color="auto"/>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1418" w:type="dxa"/>
            <w:tcBorders>
              <w:left w:val="single" w:sz="6" w:space="0" w:color="auto"/>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spacing w:before="20" w:after="2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80"/>
              <w:textAlignment w:val="baseline"/>
              <w:rPr>
                <w:rFonts w:cs="Arial"/>
                <w:sz w:val="18"/>
                <w:szCs w:val="20"/>
                <w:lang w:val="cs-CZ"/>
              </w:rPr>
            </w:pPr>
          </w:p>
        </w:tc>
        <w:tc>
          <w:tcPr>
            <w:tcW w:w="4253" w:type="dxa"/>
            <w:tcBorders>
              <w:left w:val="single" w:sz="6" w:space="0" w:color="auto"/>
              <w:right w:val="single" w:sz="6" w:space="0" w:color="auto"/>
            </w:tcBorders>
          </w:tcPr>
          <w:p w:rsidR="003B6E11" w:rsidRPr="003B6E11" w:rsidRDefault="003B6E11" w:rsidP="002D015D">
            <w:pPr>
              <w:tabs>
                <w:tab w:val="left" w:leader="dot" w:pos="3969"/>
                <w:tab w:val="left" w:leader="dot" w:pos="8505"/>
              </w:tabs>
              <w:overflowPunct w:val="0"/>
              <w:adjustRightInd w:val="0"/>
              <w:spacing w:before="20" w:after="20"/>
              <w:ind w:left="57"/>
              <w:textAlignment w:val="baseline"/>
              <w:rPr>
                <w:rFonts w:cs="Arial"/>
                <w:sz w:val="18"/>
                <w:szCs w:val="20"/>
                <w:lang w:val="cs-CZ"/>
              </w:rPr>
            </w:pPr>
          </w:p>
        </w:tc>
        <w:tc>
          <w:tcPr>
            <w:tcW w:w="1418" w:type="dxa"/>
            <w:tcBorders>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1418" w:type="dxa"/>
            <w:tcBorders>
              <w:left w:val="single" w:sz="6" w:space="0" w:color="auto"/>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1418" w:type="dxa"/>
            <w:tcBorders>
              <w:left w:val="single" w:sz="6" w:space="0" w:color="auto"/>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spacing w:before="20" w:after="2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80"/>
              <w:textAlignment w:val="baseline"/>
              <w:rPr>
                <w:rFonts w:cs="Arial"/>
                <w:sz w:val="18"/>
                <w:szCs w:val="20"/>
                <w:lang w:val="cs-CZ"/>
              </w:rPr>
            </w:pPr>
          </w:p>
        </w:tc>
        <w:tc>
          <w:tcPr>
            <w:tcW w:w="4253" w:type="dxa"/>
            <w:tcBorders>
              <w:left w:val="single" w:sz="6" w:space="0" w:color="auto"/>
              <w:right w:val="single" w:sz="6" w:space="0" w:color="auto"/>
            </w:tcBorders>
          </w:tcPr>
          <w:p w:rsidR="003B6E11" w:rsidRPr="003B6E11" w:rsidRDefault="003B6E11" w:rsidP="002D015D">
            <w:pPr>
              <w:tabs>
                <w:tab w:val="left" w:leader="dot" w:pos="3969"/>
                <w:tab w:val="left" w:leader="dot" w:pos="8505"/>
              </w:tabs>
              <w:overflowPunct w:val="0"/>
              <w:adjustRightInd w:val="0"/>
              <w:spacing w:before="20" w:after="20"/>
              <w:ind w:left="57"/>
              <w:textAlignment w:val="baseline"/>
              <w:rPr>
                <w:rFonts w:cs="Arial"/>
                <w:sz w:val="18"/>
                <w:szCs w:val="20"/>
                <w:lang w:val="cs-CZ"/>
              </w:rPr>
            </w:pPr>
          </w:p>
        </w:tc>
        <w:tc>
          <w:tcPr>
            <w:tcW w:w="1418" w:type="dxa"/>
            <w:tcBorders>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1418" w:type="dxa"/>
            <w:tcBorders>
              <w:left w:val="single" w:sz="6" w:space="0" w:color="auto"/>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1418" w:type="dxa"/>
            <w:tcBorders>
              <w:left w:val="single" w:sz="6" w:space="0" w:color="auto"/>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spacing w:before="20" w:after="2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80"/>
              <w:textAlignment w:val="baseline"/>
              <w:rPr>
                <w:rFonts w:cs="Arial"/>
                <w:sz w:val="18"/>
                <w:szCs w:val="20"/>
                <w:lang w:val="cs-CZ"/>
              </w:rPr>
            </w:pPr>
          </w:p>
        </w:tc>
        <w:tc>
          <w:tcPr>
            <w:tcW w:w="4253" w:type="dxa"/>
            <w:tcBorders>
              <w:left w:val="single" w:sz="6" w:space="0" w:color="auto"/>
              <w:right w:val="single" w:sz="6" w:space="0" w:color="auto"/>
            </w:tcBorders>
          </w:tcPr>
          <w:p w:rsidR="003B6E11" w:rsidRPr="003B6E11" w:rsidRDefault="003B6E11" w:rsidP="002D015D">
            <w:pPr>
              <w:tabs>
                <w:tab w:val="left" w:leader="dot" w:pos="3969"/>
                <w:tab w:val="left" w:leader="dot" w:pos="8505"/>
              </w:tabs>
              <w:overflowPunct w:val="0"/>
              <w:adjustRightInd w:val="0"/>
              <w:spacing w:before="20" w:after="20"/>
              <w:ind w:left="57"/>
              <w:textAlignment w:val="baseline"/>
              <w:rPr>
                <w:rFonts w:cs="Arial"/>
                <w:sz w:val="18"/>
                <w:szCs w:val="20"/>
                <w:lang w:val="cs-CZ"/>
              </w:rPr>
            </w:pPr>
          </w:p>
        </w:tc>
        <w:tc>
          <w:tcPr>
            <w:tcW w:w="1418" w:type="dxa"/>
            <w:tcBorders>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1418" w:type="dxa"/>
            <w:tcBorders>
              <w:left w:val="single" w:sz="6" w:space="0" w:color="auto"/>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1418" w:type="dxa"/>
            <w:tcBorders>
              <w:left w:val="single" w:sz="6" w:space="0" w:color="auto"/>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spacing w:before="20" w:after="2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80"/>
              <w:textAlignment w:val="baseline"/>
              <w:rPr>
                <w:rFonts w:cs="Arial"/>
                <w:sz w:val="18"/>
                <w:szCs w:val="20"/>
                <w:lang w:val="cs-CZ"/>
              </w:rPr>
            </w:pPr>
          </w:p>
        </w:tc>
        <w:tc>
          <w:tcPr>
            <w:tcW w:w="4253" w:type="dxa"/>
            <w:tcBorders>
              <w:left w:val="single" w:sz="6" w:space="0" w:color="auto"/>
              <w:right w:val="single" w:sz="6" w:space="0" w:color="auto"/>
            </w:tcBorders>
          </w:tcPr>
          <w:p w:rsidR="003B6E11" w:rsidRPr="003B6E11" w:rsidRDefault="003B6E11" w:rsidP="002D015D">
            <w:pPr>
              <w:tabs>
                <w:tab w:val="left" w:leader="dot" w:pos="3969"/>
                <w:tab w:val="left" w:leader="dot" w:pos="8505"/>
              </w:tabs>
              <w:overflowPunct w:val="0"/>
              <w:adjustRightInd w:val="0"/>
              <w:spacing w:before="20" w:after="20"/>
              <w:ind w:left="57"/>
              <w:textAlignment w:val="baseline"/>
              <w:rPr>
                <w:rFonts w:cs="Arial"/>
                <w:sz w:val="18"/>
                <w:szCs w:val="20"/>
                <w:lang w:val="cs-CZ"/>
              </w:rPr>
            </w:pPr>
          </w:p>
        </w:tc>
        <w:tc>
          <w:tcPr>
            <w:tcW w:w="1418" w:type="dxa"/>
            <w:tcBorders>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1418" w:type="dxa"/>
            <w:tcBorders>
              <w:left w:val="single" w:sz="6" w:space="0" w:color="auto"/>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1418" w:type="dxa"/>
            <w:tcBorders>
              <w:left w:val="single" w:sz="6" w:space="0" w:color="auto"/>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spacing w:before="20" w:after="2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80"/>
              <w:textAlignment w:val="baseline"/>
              <w:rPr>
                <w:rFonts w:cs="Arial"/>
                <w:sz w:val="18"/>
                <w:szCs w:val="20"/>
                <w:lang w:val="cs-CZ"/>
              </w:rPr>
            </w:pPr>
          </w:p>
        </w:tc>
        <w:tc>
          <w:tcPr>
            <w:tcW w:w="4253" w:type="dxa"/>
            <w:tcBorders>
              <w:left w:val="single" w:sz="6" w:space="0" w:color="auto"/>
              <w:bottom w:val="single" w:sz="6" w:space="0" w:color="auto"/>
              <w:right w:val="single" w:sz="6" w:space="0" w:color="auto"/>
            </w:tcBorders>
          </w:tcPr>
          <w:p w:rsidR="003B6E11" w:rsidRPr="003B6E11" w:rsidRDefault="003B6E11" w:rsidP="002D015D">
            <w:pPr>
              <w:tabs>
                <w:tab w:val="left" w:leader="dot" w:pos="3969"/>
                <w:tab w:val="left" w:leader="dot" w:pos="8505"/>
              </w:tabs>
              <w:overflowPunct w:val="0"/>
              <w:adjustRightInd w:val="0"/>
              <w:spacing w:before="20" w:after="20"/>
              <w:ind w:left="57"/>
              <w:textAlignment w:val="baseline"/>
              <w:rPr>
                <w:rFonts w:cs="Arial"/>
                <w:sz w:val="18"/>
                <w:szCs w:val="20"/>
                <w:lang w:val="cs-CZ"/>
              </w:rPr>
            </w:pPr>
          </w:p>
        </w:tc>
        <w:tc>
          <w:tcPr>
            <w:tcW w:w="1418" w:type="dxa"/>
            <w:tcBorders>
              <w:bottom w:val="single" w:sz="6" w:space="0" w:color="auto"/>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1418" w:type="dxa"/>
            <w:tcBorders>
              <w:left w:val="single" w:sz="6" w:space="0" w:color="auto"/>
              <w:bottom w:val="single" w:sz="6" w:space="0" w:color="auto"/>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1418" w:type="dxa"/>
            <w:tcBorders>
              <w:left w:val="single" w:sz="6" w:space="0" w:color="auto"/>
              <w:bottom w:val="single" w:sz="6" w:space="0" w:color="auto"/>
              <w:right w:val="single" w:sz="6" w:space="0" w:color="auto"/>
            </w:tcBorders>
          </w:tcPr>
          <w:p w:rsidR="003B6E11" w:rsidRPr="003B6E11" w:rsidRDefault="003B6E11" w:rsidP="002D015D">
            <w:pPr>
              <w:tabs>
                <w:tab w:val="left" w:leader="dot" w:pos="1134"/>
              </w:tabs>
              <w:overflowPunct w:val="0"/>
              <w:adjustRightInd w:val="0"/>
              <w:spacing w:before="20" w:after="20"/>
              <w:textAlignment w:val="baseline"/>
              <w:rPr>
                <w:rFonts w:cs="Arial"/>
                <w:sz w:val="18"/>
                <w:szCs w:val="20"/>
                <w:lang w:val="cs-CZ"/>
              </w:rPr>
            </w:pPr>
            <w:r w:rsidRPr="003B6E11">
              <w:rPr>
                <w:lang w:val="cs-CZ"/>
              </w:rPr>
              <w:tab/>
            </w: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spacing w:before="20" w:after="2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80"/>
              <w:textAlignment w:val="baseline"/>
              <w:rPr>
                <w:rFonts w:cs="Arial"/>
                <w:sz w:val="18"/>
                <w:szCs w:val="20"/>
                <w:lang w:val="cs-CZ"/>
              </w:rPr>
            </w:pPr>
          </w:p>
        </w:tc>
        <w:tc>
          <w:tcPr>
            <w:tcW w:w="8904" w:type="dxa"/>
            <w:gridSpan w:val="5"/>
            <w:tcBorders>
              <w:bottom w:val="single" w:sz="6" w:space="0" w:color="auto"/>
              <w:right w:val="single" w:sz="6" w:space="0" w:color="auto"/>
            </w:tcBorders>
          </w:tcPr>
          <w:p w:rsidR="003B6E11" w:rsidRPr="003B6E11" w:rsidRDefault="003B6E11" w:rsidP="002D015D">
            <w:pPr>
              <w:widowControl w:val="0"/>
              <w:tabs>
                <w:tab w:val="left" w:pos="57"/>
                <w:tab w:val="left" w:leader="dot" w:pos="8505"/>
              </w:tabs>
              <w:spacing w:before="40" w:after="40"/>
              <w:ind w:left="57" w:hanging="57"/>
              <w:rPr>
                <w:rFonts w:cs="Arial"/>
                <w:sz w:val="18"/>
                <w:szCs w:val="20"/>
                <w:lang w:val="cs-CZ"/>
              </w:rPr>
            </w:pPr>
            <w:r w:rsidRPr="003B6E11">
              <w:rPr>
                <w:lang w:val="cs-CZ"/>
              </w:rPr>
              <w:tab/>
            </w:r>
            <w:r w:rsidRPr="003B6E11">
              <w:rPr>
                <w:noProof/>
                <w:sz w:val="18"/>
                <w:lang w:val="cs-CZ"/>
              </w:rPr>
              <w:t>Poznámky a zvláštní podmínky:</w:t>
            </w:r>
          </w:p>
          <w:p w:rsidR="003B6E11" w:rsidRPr="003B6E11" w:rsidRDefault="003B6E11" w:rsidP="002D015D">
            <w:pPr>
              <w:tabs>
                <w:tab w:val="left" w:leader="dot" w:pos="8505"/>
              </w:tabs>
              <w:overflowPunct w:val="0"/>
              <w:adjustRightInd w:val="0"/>
              <w:spacing w:before="8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8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8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80" w:after="40"/>
              <w:ind w:left="57"/>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bottom w:val="single" w:sz="6" w:space="0" w:color="auto"/>
            </w:tcBorders>
          </w:tcPr>
          <w:p w:rsidR="003B6E11" w:rsidRPr="003B6E11" w:rsidRDefault="003B6E11" w:rsidP="002D015D">
            <w:pPr>
              <w:tabs>
                <w:tab w:val="left" w:pos="57"/>
              </w:tabs>
              <w:overflowPunct w:val="0"/>
              <w:adjustRightInd w:val="0"/>
              <w:spacing w:before="80"/>
              <w:textAlignment w:val="baseline"/>
              <w:rPr>
                <w:rFonts w:cs="Arial"/>
                <w:sz w:val="18"/>
                <w:szCs w:val="20"/>
                <w:lang w:val="cs-CZ"/>
              </w:rPr>
            </w:pPr>
            <w:r w:rsidRPr="003B6E11">
              <w:rPr>
                <w:lang w:val="cs-CZ"/>
              </w:rPr>
              <w:tab/>
            </w:r>
            <w:r w:rsidRPr="003B6E11">
              <w:rPr>
                <w:sz w:val="18"/>
                <w:lang w:val="cs-CZ"/>
              </w:rPr>
              <w:t>*)</w:t>
            </w:r>
            <w:r w:rsidRPr="003B6E11">
              <w:rPr>
                <w:rFonts w:cs="Arial"/>
                <w:sz w:val="18"/>
                <w:szCs w:val="20"/>
                <w:lang w:val="cs-CZ"/>
              </w:rPr>
              <w:br/>
            </w:r>
            <w:r w:rsidRPr="003B6E11">
              <w:rPr>
                <w:rFonts w:cs="Arial"/>
                <w:sz w:val="18"/>
                <w:szCs w:val="20"/>
                <w:lang w:val="cs-CZ"/>
              </w:rPr>
              <w:br/>
            </w:r>
          </w:p>
          <w:p w:rsidR="003B6E11" w:rsidRPr="003B6E11" w:rsidRDefault="003B6E11" w:rsidP="002D015D">
            <w:pPr>
              <w:tabs>
                <w:tab w:val="left" w:pos="57"/>
              </w:tabs>
              <w:overflowPunct w:val="0"/>
              <w:adjustRightInd w:val="0"/>
              <w:spacing w:before="80"/>
              <w:textAlignment w:val="baseline"/>
              <w:rPr>
                <w:rFonts w:cs="Arial"/>
                <w:sz w:val="18"/>
                <w:szCs w:val="20"/>
                <w:lang w:val="cs-CZ"/>
              </w:rPr>
            </w:pPr>
          </w:p>
          <w:p w:rsidR="003B6E11" w:rsidRPr="003B6E11" w:rsidRDefault="003B6E11" w:rsidP="002D015D">
            <w:pPr>
              <w:tabs>
                <w:tab w:val="left" w:pos="57"/>
              </w:tabs>
              <w:overflowPunct w:val="0"/>
              <w:adjustRightInd w:val="0"/>
              <w:spacing w:before="160"/>
              <w:textAlignment w:val="baseline"/>
              <w:rPr>
                <w:rFonts w:cs="Arial"/>
                <w:sz w:val="18"/>
                <w:szCs w:val="20"/>
                <w:lang w:val="cs-CZ"/>
              </w:rPr>
            </w:pPr>
            <w:r w:rsidRPr="003B6E11">
              <w:rPr>
                <w:lang w:val="cs-CZ"/>
              </w:rPr>
              <w:tab/>
            </w:r>
            <w:r w:rsidRPr="003B6E11">
              <w:rPr>
                <w:sz w:val="18"/>
                <w:lang w:val="cs-CZ"/>
              </w:rPr>
              <w:t>*)</w:t>
            </w:r>
          </w:p>
        </w:tc>
        <w:tc>
          <w:tcPr>
            <w:tcW w:w="8904" w:type="dxa"/>
            <w:gridSpan w:val="5"/>
            <w:tcBorders>
              <w:bottom w:val="single" w:sz="6" w:space="0" w:color="auto"/>
              <w:right w:val="single" w:sz="6" w:space="0" w:color="auto"/>
            </w:tcBorders>
          </w:tcPr>
          <w:p w:rsidR="003B6E11" w:rsidRPr="003B6E11" w:rsidRDefault="003B6E11" w:rsidP="002D015D">
            <w:pPr>
              <w:tabs>
                <w:tab w:val="left" w:pos="57"/>
                <w:tab w:val="left" w:leader="dot" w:pos="3686"/>
              </w:tabs>
              <w:overflowPunct w:val="0"/>
              <w:adjustRightInd w:val="0"/>
              <w:spacing w:before="80" w:after="80"/>
              <w:ind w:left="57" w:right="57"/>
              <w:textAlignment w:val="baseline"/>
              <w:rPr>
                <w:rFonts w:cs="Arial"/>
                <w:sz w:val="18"/>
                <w:szCs w:val="20"/>
                <w:lang w:val="cs-CZ"/>
              </w:rPr>
            </w:pPr>
            <w:r w:rsidRPr="003B6E11">
              <w:rPr>
                <w:noProof/>
                <w:sz w:val="18"/>
                <w:lang w:val="cs-CZ"/>
              </w:rPr>
              <w:t>Změna bodu (bodů): ....................</w:t>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noProof/>
                <w:sz w:val="18"/>
                <w:lang w:val="cs-CZ"/>
              </w:rPr>
              <w:t>Nový text:</w:t>
            </w:r>
            <w:r w:rsidRPr="003B6E11">
              <w:rPr>
                <w:lang w:val="cs-CZ"/>
              </w:rPr>
              <w:tab/>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lang w:val="cs-CZ"/>
              </w:rPr>
              <w:tab/>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lang w:val="cs-CZ"/>
              </w:rPr>
              <w:tab/>
            </w:r>
          </w:p>
          <w:p w:rsidR="003B6E11" w:rsidRPr="003B6E11" w:rsidRDefault="003B6E11" w:rsidP="002D015D">
            <w:pPr>
              <w:tabs>
                <w:tab w:val="left" w:leader="dot" w:pos="4536"/>
                <w:tab w:val="center" w:pos="6862"/>
              </w:tabs>
              <w:overflowPunct w:val="0"/>
              <w:adjustRightInd w:val="0"/>
              <w:spacing w:after="80"/>
              <w:ind w:left="57" w:right="57"/>
              <w:textAlignment w:val="baseline"/>
              <w:rPr>
                <w:rFonts w:cs="Arial"/>
                <w:sz w:val="18"/>
                <w:szCs w:val="20"/>
                <w:lang w:val="cs-CZ"/>
              </w:rPr>
            </w:pPr>
            <w:r w:rsidRPr="003B6E11">
              <w:rPr>
                <w:sz w:val="18"/>
                <w:lang w:val="cs-CZ"/>
              </w:rPr>
              <w:t>Tato stránka byla nahrazena.</w:t>
            </w:r>
          </w:p>
          <w:p w:rsidR="003B6E11" w:rsidRPr="003B6E11" w:rsidRDefault="003B6E11" w:rsidP="002D015D">
            <w:pPr>
              <w:tabs>
                <w:tab w:val="left" w:leader="dot" w:pos="4536"/>
                <w:tab w:val="center" w:pos="6862"/>
              </w:tabs>
              <w:overflowPunct w:val="0"/>
              <w:adjustRightInd w:val="0"/>
              <w:spacing w:after="80"/>
              <w:ind w:left="57" w:right="57"/>
              <w:textAlignment w:val="baseline"/>
              <w:rPr>
                <w:rFonts w:cs="Arial"/>
                <w:sz w:val="18"/>
                <w:szCs w:val="20"/>
                <w:lang w:val="cs-CZ"/>
              </w:rPr>
            </w:pPr>
            <w:r w:rsidRPr="003B6E11">
              <w:rPr>
                <w:sz w:val="18"/>
                <w:lang w:val="cs-CZ"/>
              </w:rPr>
              <w:t xml:space="preserve">Místo, datum </w:t>
            </w:r>
            <w:r w:rsidRPr="003B6E11">
              <w:rPr>
                <w:lang w:val="cs-CZ"/>
              </w:rPr>
              <w:tab/>
            </w:r>
            <w:r w:rsidRPr="003B6E11">
              <w:rPr>
                <w:lang w:val="cs-CZ"/>
              </w:rPr>
              <w:tab/>
            </w:r>
            <w:r w:rsidRPr="003B6E11">
              <w:rPr>
                <w:sz w:val="18"/>
                <w:lang w:val="cs-CZ"/>
              </w:rPr>
              <w:t>Subjekt pověřený prohlídkami</w:t>
            </w:r>
          </w:p>
          <w:p w:rsidR="003B6E11" w:rsidRPr="003B6E11" w:rsidRDefault="003B6E11" w:rsidP="002D015D">
            <w:pPr>
              <w:tabs>
                <w:tab w:val="left" w:pos="5103"/>
                <w:tab w:val="left" w:leader="dot" w:pos="8505"/>
              </w:tabs>
              <w:overflowPunct w:val="0"/>
              <w:adjustRightInd w:val="0"/>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1701"/>
              </w:tabs>
              <w:overflowPunct w:val="0"/>
              <w:adjustRightInd w:val="0"/>
              <w:spacing w:after="80"/>
              <w:textAlignment w:val="baseline"/>
              <w:rPr>
                <w:rFonts w:cs="Arial"/>
                <w:sz w:val="18"/>
                <w:szCs w:val="20"/>
                <w:lang w:val="cs-CZ"/>
              </w:rPr>
            </w:pPr>
            <w:r w:rsidRPr="003B6E11">
              <w:rPr>
                <w:lang w:val="cs-CZ"/>
              </w:rPr>
              <w:tab/>
            </w:r>
            <w:r w:rsidRPr="003B6E11">
              <w:rPr>
                <w:sz w:val="18"/>
                <w:lang w:val="cs-CZ"/>
              </w:rPr>
              <w:t>Razítko</w:t>
            </w:r>
          </w:p>
          <w:p w:rsidR="003B6E11" w:rsidRPr="003B6E11" w:rsidRDefault="003B6E11" w:rsidP="002D015D">
            <w:pPr>
              <w:tabs>
                <w:tab w:val="left" w:pos="5103"/>
                <w:tab w:val="left" w:leader="dot" w:pos="8505"/>
              </w:tabs>
              <w:overflowPunct w:val="0"/>
              <w:adjustRightInd w:val="0"/>
              <w:textAlignment w:val="baseline"/>
              <w:rPr>
                <w:rFonts w:cs="Arial"/>
                <w:szCs w:val="20"/>
                <w:lang w:val="cs-CZ"/>
              </w:rPr>
            </w:pPr>
            <w:r w:rsidRPr="003B6E11">
              <w:rPr>
                <w:lang w:val="cs-CZ"/>
              </w:rPr>
              <w:tab/>
            </w:r>
            <w:r w:rsidRPr="003B6E11">
              <w:rPr>
                <w:lang w:val="cs-CZ"/>
              </w:rPr>
              <w:tab/>
            </w:r>
          </w:p>
          <w:p w:rsidR="003B6E11" w:rsidRPr="003B6E11" w:rsidRDefault="003B6E11" w:rsidP="002D015D">
            <w:pPr>
              <w:tabs>
                <w:tab w:val="center" w:pos="6862"/>
              </w:tabs>
              <w:overflowPunct w:val="0"/>
              <w:adjustRightInd w:val="0"/>
              <w:textAlignment w:val="baseline"/>
              <w:rPr>
                <w:rFonts w:cs="Arial"/>
                <w:sz w:val="16"/>
                <w:szCs w:val="20"/>
                <w:lang w:val="cs-CZ"/>
              </w:rPr>
            </w:pPr>
            <w:r w:rsidRPr="003B6E11">
              <w:rPr>
                <w:lang w:val="cs-CZ"/>
              </w:rPr>
              <w:tab/>
            </w:r>
            <w:r w:rsidRPr="003B6E11">
              <w:rPr>
                <w:sz w:val="16"/>
                <w:lang w:val="cs-CZ"/>
              </w:rPr>
              <w:t>(podpis)</w:t>
            </w:r>
          </w:p>
          <w:p w:rsidR="003B6E11" w:rsidRPr="003B6E11" w:rsidRDefault="003B6E11" w:rsidP="002D015D">
            <w:pPr>
              <w:tabs>
                <w:tab w:val="left" w:pos="113"/>
                <w:tab w:val="left" w:pos="397"/>
                <w:tab w:val="left" w:pos="6237"/>
                <w:tab w:val="left" w:leader="dot" w:pos="9356"/>
              </w:tabs>
              <w:overflowPunct w:val="0"/>
              <w:adjustRightInd w:val="0"/>
              <w:textAlignment w:val="baseline"/>
              <w:rPr>
                <w:rFonts w:cs="Arial"/>
                <w:sz w:val="16"/>
                <w:szCs w:val="20"/>
                <w:lang w:val="cs-CZ"/>
              </w:rPr>
            </w:pPr>
            <w:r w:rsidRPr="003B6E11">
              <w:rPr>
                <w:sz w:val="18"/>
                <w:lang w:val="cs-CZ"/>
              </w:rPr>
              <w:t>_______________________</w:t>
            </w:r>
          </w:p>
          <w:p w:rsidR="003B6E11" w:rsidRPr="003B6E11" w:rsidRDefault="003B6E11" w:rsidP="002D015D">
            <w:pPr>
              <w:tabs>
                <w:tab w:val="left" w:pos="284"/>
              </w:tabs>
              <w:overflowPunct w:val="0"/>
              <w:adjustRightInd w:val="0"/>
              <w:spacing w:after="40"/>
              <w:ind w:left="57"/>
              <w:textAlignment w:val="baseline"/>
              <w:rPr>
                <w:rFonts w:cs="Arial"/>
                <w:sz w:val="18"/>
                <w:szCs w:val="20"/>
                <w:lang w:val="cs-CZ"/>
              </w:rPr>
            </w:pPr>
            <w:r w:rsidRPr="003B6E11">
              <w:rPr>
                <w:position w:val="4"/>
                <w:sz w:val="16"/>
                <w:lang w:val="cs-CZ"/>
              </w:rPr>
              <w:t>*)</w:t>
            </w:r>
            <w:r w:rsidRPr="003B6E11">
              <w:rPr>
                <w:lang w:val="cs-CZ"/>
              </w:rPr>
              <w:tab/>
            </w:r>
            <w:r w:rsidRPr="003B6E11">
              <w:rPr>
                <w:sz w:val="16"/>
                <w:lang w:val="cs-CZ"/>
              </w:rPr>
              <w:t>Nehodící se škrtněte.</w:t>
            </w:r>
          </w:p>
        </w:tc>
      </w:tr>
    </w:tbl>
    <w:p w:rsidR="003B6E11" w:rsidRPr="003B6E11" w:rsidRDefault="003B6E11" w:rsidP="003B6E11">
      <w:pPr>
        <w:tabs>
          <w:tab w:val="left" w:leader="dot" w:pos="2835"/>
          <w:tab w:val="left" w:leader="dot" w:pos="5103"/>
        </w:tabs>
        <w:overflowPunct w:val="0"/>
        <w:adjustRightInd w:val="0"/>
        <w:textAlignment w:val="baseline"/>
        <w:rPr>
          <w:rFonts w:cs="Arial"/>
          <w:szCs w:val="20"/>
          <w:lang w:val="cs-CZ"/>
        </w:rPr>
      </w:pPr>
      <w:r w:rsidRPr="003B6E11">
        <w:rPr>
          <w:lang w:val="cs-CZ"/>
        </w:rPr>
        <w:br w:type="page"/>
        <w:t xml:space="preserve">Osvědčení plavidla vnitrozemské plavby č. </w:t>
      </w:r>
      <w:r w:rsidRPr="003B6E11">
        <w:rPr>
          <w:lang w:val="cs-CZ"/>
        </w:rPr>
        <w:tab/>
        <w:t xml:space="preserve"> vydané subjektem pověřeným prohlídkami </w:t>
      </w:r>
      <w:r w:rsidRPr="003B6E11">
        <w:rPr>
          <w:lang w:val="cs-CZ"/>
        </w:rPr>
        <w:tab/>
      </w:r>
    </w:p>
    <w:tbl>
      <w:tblPr>
        <w:tblW w:w="9186" w:type="dxa"/>
        <w:jc w:val="center"/>
        <w:tblLayout w:type="fixed"/>
        <w:tblCellMar>
          <w:left w:w="0" w:type="dxa"/>
          <w:right w:w="0" w:type="dxa"/>
        </w:tblCellMar>
        <w:tblLook w:val="0000" w:firstRow="0" w:lastRow="0" w:firstColumn="0" w:lastColumn="0" w:noHBand="0" w:noVBand="0"/>
      </w:tblPr>
      <w:tblGrid>
        <w:gridCol w:w="284"/>
        <w:gridCol w:w="8902"/>
      </w:tblGrid>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60"/>
              <w:textAlignment w:val="baseline"/>
              <w:rPr>
                <w:rFonts w:cs="Arial"/>
                <w:sz w:val="18"/>
                <w:szCs w:val="20"/>
                <w:lang w:val="cs-CZ"/>
              </w:rPr>
            </w:pPr>
            <w:r w:rsidRPr="003B6E11">
              <w:rPr>
                <w:sz w:val="18"/>
                <w:lang w:val="cs-CZ"/>
              </w:rPr>
              <w:t>49.</w:t>
            </w:r>
          </w:p>
        </w:tc>
        <w:tc>
          <w:tcPr>
            <w:tcW w:w="8902" w:type="dxa"/>
            <w:tcBorders>
              <w:top w:val="single" w:sz="6" w:space="0" w:color="auto"/>
              <w:bottom w:val="single" w:sz="6" w:space="0" w:color="auto"/>
              <w:right w:val="single" w:sz="6" w:space="0" w:color="auto"/>
            </w:tcBorders>
          </w:tcPr>
          <w:p w:rsidR="003B6E11" w:rsidRPr="003B6E11" w:rsidRDefault="003B6E11" w:rsidP="002D015D">
            <w:pPr>
              <w:tabs>
                <w:tab w:val="left" w:pos="4310"/>
                <w:tab w:val="left" w:leader="dot" w:pos="8505"/>
              </w:tabs>
              <w:overflowPunct w:val="0"/>
              <w:adjustRightInd w:val="0"/>
              <w:spacing w:before="60"/>
              <w:ind w:left="57"/>
              <w:textAlignment w:val="baseline"/>
              <w:rPr>
                <w:rFonts w:cs="Arial"/>
                <w:b/>
                <w:position w:val="6"/>
                <w:sz w:val="16"/>
                <w:szCs w:val="20"/>
                <w:lang w:val="cs-CZ"/>
              </w:rPr>
            </w:pPr>
            <w:r w:rsidRPr="003B6E11">
              <w:rPr>
                <w:b/>
                <w:sz w:val="18"/>
                <w:lang w:val="cs-CZ"/>
              </w:rPr>
              <w:t>Prodloužení / potvrzení</w:t>
            </w:r>
            <w:r w:rsidRPr="003B6E11">
              <w:rPr>
                <w:b/>
                <w:position w:val="6"/>
                <w:sz w:val="16"/>
                <w:lang w:val="cs-CZ"/>
              </w:rPr>
              <w:t>*)</w:t>
            </w:r>
            <w:r w:rsidRPr="003B6E11">
              <w:rPr>
                <w:b/>
                <w:sz w:val="18"/>
                <w:lang w:val="cs-CZ"/>
              </w:rPr>
              <w:t xml:space="preserve"> platnosti osvědčení plavidla vnitrozemské plavby</w:t>
            </w:r>
            <w:r w:rsidRPr="003B6E11">
              <w:rPr>
                <w:b/>
                <w:position w:val="6"/>
                <w:sz w:val="16"/>
                <w:lang w:val="cs-CZ"/>
              </w:rPr>
              <w:t>*)</w:t>
            </w:r>
            <w:r w:rsidRPr="003B6E11">
              <w:rPr>
                <w:b/>
                <w:sz w:val="18"/>
                <w:lang w:val="cs-CZ"/>
              </w:rPr>
              <w:t xml:space="preserve"> Pravidelná / zvláštní </w:t>
            </w:r>
            <w:r w:rsidRPr="003B6E11">
              <w:rPr>
                <w:b/>
                <w:position w:val="6"/>
                <w:sz w:val="16"/>
                <w:lang w:val="cs-CZ"/>
              </w:rPr>
              <w:t xml:space="preserve">*) </w:t>
            </w:r>
            <w:r w:rsidRPr="003B6E11">
              <w:rPr>
                <w:b/>
                <w:sz w:val="18"/>
                <w:lang w:val="cs-CZ"/>
              </w:rPr>
              <w:t>prohlídka</w:t>
            </w:r>
          </w:p>
          <w:p w:rsidR="003B6E11" w:rsidRPr="003B6E11" w:rsidRDefault="003B6E11" w:rsidP="002D015D">
            <w:pPr>
              <w:tabs>
                <w:tab w:val="left" w:leader="dot" w:pos="5103"/>
                <w:tab w:val="left" w:leader="dot" w:pos="8505"/>
              </w:tabs>
              <w:overflowPunct w:val="0"/>
              <w:adjustRightInd w:val="0"/>
              <w:ind w:left="57"/>
              <w:textAlignment w:val="baseline"/>
              <w:rPr>
                <w:rFonts w:cs="Arial"/>
                <w:sz w:val="18"/>
                <w:szCs w:val="20"/>
                <w:lang w:val="cs-CZ"/>
              </w:rPr>
            </w:pPr>
            <w:r w:rsidRPr="003B6E11">
              <w:rPr>
                <w:sz w:val="18"/>
                <w:lang w:val="cs-CZ"/>
              </w:rPr>
              <w:t>Subjekt pověřený prohlídkami plavidlo prohlédl dne</w:t>
            </w:r>
            <w:r w:rsidRPr="003B6E11">
              <w:rPr>
                <w:lang w:val="cs-CZ"/>
              </w:rPr>
              <w:tab/>
            </w:r>
            <w:r w:rsidRPr="003B6E11">
              <w:rPr>
                <w:position w:val="6"/>
                <w:sz w:val="16"/>
                <w:lang w:val="cs-CZ"/>
              </w:rPr>
              <w:t>*)</w:t>
            </w:r>
            <w:r w:rsidRPr="003B6E11">
              <w:rPr>
                <w:sz w:val="18"/>
                <w:lang w:val="cs-CZ"/>
              </w:rPr>
              <w:t>.</w:t>
            </w:r>
          </w:p>
          <w:p w:rsidR="003B6E11" w:rsidRPr="003B6E11" w:rsidRDefault="003B6E11" w:rsidP="002D015D">
            <w:pPr>
              <w:tabs>
                <w:tab w:val="left" w:leader="dot" w:pos="3686"/>
                <w:tab w:val="left" w:leader="dot" w:pos="8505"/>
              </w:tabs>
              <w:overflowPunct w:val="0"/>
              <w:adjustRightInd w:val="0"/>
              <w:spacing w:before="20" w:after="20"/>
              <w:ind w:left="57"/>
              <w:textAlignment w:val="baseline"/>
              <w:rPr>
                <w:rFonts w:cs="Arial"/>
                <w:sz w:val="18"/>
                <w:szCs w:val="20"/>
                <w:lang w:val="cs-CZ"/>
              </w:rPr>
            </w:pPr>
            <w:r w:rsidRPr="003B6E11">
              <w:rPr>
                <w:sz w:val="18"/>
                <w:lang w:val="cs-CZ"/>
              </w:rPr>
              <w:t>Osvědčení ze dne</w:t>
            </w:r>
            <w:r w:rsidRPr="003B6E11">
              <w:rPr>
                <w:lang w:val="cs-CZ"/>
              </w:rPr>
              <w:tab/>
            </w:r>
            <w:r w:rsidRPr="003B6E11">
              <w:rPr>
                <w:sz w:val="18"/>
                <w:lang w:val="cs-CZ"/>
              </w:rPr>
              <w:t xml:space="preserve"> vydané</w:t>
            </w:r>
            <w:r w:rsidRPr="003B6E11">
              <w:rPr>
                <w:lang w:val="cs-CZ"/>
              </w:rPr>
              <w:t xml:space="preserve"> uznanou </w:t>
            </w:r>
            <w:r w:rsidRPr="003B6E11">
              <w:rPr>
                <w:noProof/>
                <w:sz w:val="18"/>
                <w:lang w:val="cs-CZ"/>
              </w:rPr>
              <w:t xml:space="preserve">klasifikační společností </w:t>
            </w:r>
            <w:r w:rsidRPr="003B6E11">
              <w:rPr>
                <w:lang w:val="cs-CZ"/>
              </w:rPr>
              <w:tab/>
            </w:r>
          </w:p>
          <w:p w:rsidR="003B6E11" w:rsidRPr="003B6E11" w:rsidRDefault="003B6E11" w:rsidP="002D015D">
            <w:pPr>
              <w:tabs>
                <w:tab w:val="left" w:leader="dot" w:pos="8505"/>
              </w:tabs>
              <w:overflowPunct w:val="0"/>
              <w:adjustRightInd w:val="0"/>
              <w:ind w:left="57"/>
              <w:textAlignment w:val="baseline"/>
              <w:rPr>
                <w:rFonts w:cs="Arial"/>
                <w:sz w:val="18"/>
                <w:szCs w:val="20"/>
                <w:lang w:val="cs-CZ"/>
              </w:rPr>
            </w:pPr>
            <w:r w:rsidRPr="003B6E11">
              <w:rPr>
                <w:lang w:val="cs-CZ"/>
              </w:rPr>
              <w:tab/>
            </w:r>
          </w:p>
          <w:p w:rsidR="003B6E11" w:rsidRPr="003B6E11" w:rsidRDefault="003B6E11" w:rsidP="002D015D">
            <w:pPr>
              <w:overflowPunct w:val="0"/>
              <w:adjustRightInd w:val="0"/>
              <w:spacing w:after="20"/>
              <w:ind w:left="57"/>
              <w:textAlignment w:val="baseline"/>
              <w:rPr>
                <w:rFonts w:cs="Arial"/>
                <w:sz w:val="18"/>
                <w:szCs w:val="20"/>
                <w:lang w:val="cs-CZ"/>
              </w:rPr>
            </w:pPr>
            <w:r w:rsidRPr="003B6E11">
              <w:rPr>
                <w:noProof/>
                <w:sz w:val="18"/>
                <w:lang w:val="cs-CZ"/>
              </w:rPr>
              <w:t>bylo předloženo subjektu pověřenému prohlídkami</w:t>
            </w:r>
            <w:r w:rsidRPr="003B6E11">
              <w:rPr>
                <w:position w:val="6"/>
                <w:sz w:val="16"/>
                <w:lang w:val="cs-CZ"/>
              </w:rPr>
              <w:t>*)</w:t>
            </w:r>
            <w:r w:rsidRPr="003B6E11">
              <w:rPr>
                <w:sz w:val="18"/>
                <w:lang w:val="cs-CZ"/>
              </w:rPr>
              <w:t>.</w:t>
            </w:r>
          </w:p>
          <w:p w:rsidR="003B6E11" w:rsidRPr="003B6E11" w:rsidRDefault="003B6E11" w:rsidP="002D015D">
            <w:pPr>
              <w:overflowPunct w:val="0"/>
              <w:adjustRightInd w:val="0"/>
              <w:spacing w:after="20"/>
              <w:ind w:left="57"/>
              <w:textAlignment w:val="baseline"/>
              <w:rPr>
                <w:rFonts w:cs="Arial"/>
                <w:sz w:val="18"/>
                <w:szCs w:val="20"/>
                <w:lang w:val="cs-CZ"/>
              </w:rPr>
            </w:pPr>
            <w:r w:rsidRPr="003B6E11">
              <w:rPr>
                <w:noProof/>
                <w:sz w:val="18"/>
                <w:lang w:val="cs-CZ"/>
              </w:rPr>
              <w:t>Důvod prohlídky/osvědčení</w:t>
            </w:r>
            <w:r w:rsidRPr="003B6E11">
              <w:rPr>
                <w:position w:val="6"/>
                <w:sz w:val="16"/>
                <w:lang w:val="cs-CZ"/>
              </w:rPr>
              <w:t>*)</w:t>
            </w:r>
            <w:r w:rsidRPr="003B6E11">
              <w:rPr>
                <w:sz w:val="18"/>
                <w:lang w:val="cs-CZ"/>
              </w:rPr>
              <w:t>:</w:t>
            </w:r>
          </w:p>
          <w:p w:rsidR="003B6E11" w:rsidRPr="003B6E11" w:rsidRDefault="003B6E11" w:rsidP="002D015D">
            <w:pPr>
              <w:tabs>
                <w:tab w:val="left" w:leader="dot" w:pos="8505"/>
              </w:tabs>
              <w:overflowPunct w:val="0"/>
              <w:adjustRightInd w:val="0"/>
              <w:spacing w:after="80"/>
              <w:ind w:left="57"/>
              <w:textAlignment w:val="baseline"/>
              <w:rPr>
                <w:rFonts w:cs="Arial"/>
                <w:position w:val="6"/>
                <w:sz w:val="16"/>
                <w:szCs w:val="20"/>
                <w:lang w:val="cs-CZ"/>
              </w:rPr>
            </w:pPr>
            <w:r w:rsidRPr="003B6E11">
              <w:rPr>
                <w:lang w:val="cs-CZ"/>
              </w:rPr>
              <w:tab/>
            </w:r>
          </w:p>
          <w:p w:rsidR="003B6E11" w:rsidRPr="003B6E11" w:rsidRDefault="003B6E11" w:rsidP="002D015D">
            <w:pPr>
              <w:tabs>
                <w:tab w:val="left" w:leader="dot" w:pos="8505"/>
              </w:tabs>
              <w:overflowPunct w:val="0"/>
              <w:adjustRightInd w:val="0"/>
              <w:ind w:left="57"/>
              <w:textAlignment w:val="baseline"/>
              <w:rPr>
                <w:rFonts w:cs="Arial"/>
                <w:position w:val="6"/>
                <w:sz w:val="16"/>
                <w:szCs w:val="20"/>
                <w:lang w:val="cs-CZ"/>
              </w:rPr>
            </w:pPr>
            <w:r w:rsidRPr="003B6E11">
              <w:rPr>
                <w:lang w:val="cs-CZ"/>
              </w:rPr>
              <w:tab/>
            </w:r>
          </w:p>
          <w:p w:rsidR="003B6E11" w:rsidRPr="003B6E11" w:rsidRDefault="003B6E11" w:rsidP="002D015D">
            <w:pPr>
              <w:tabs>
                <w:tab w:val="left" w:leader="dot" w:pos="8505"/>
              </w:tabs>
              <w:overflowPunct w:val="0"/>
              <w:adjustRightInd w:val="0"/>
              <w:ind w:left="57"/>
              <w:textAlignment w:val="baseline"/>
              <w:rPr>
                <w:rFonts w:cs="Arial"/>
                <w:position w:val="6"/>
                <w:sz w:val="16"/>
                <w:szCs w:val="20"/>
                <w:lang w:val="cs-CZ"/>
              </w:rPr>
            </w:pPr>
            <w:r w:rsidRPr="003B6E11">
              <w:rPr>
                <w:sz w:val="18"/>
                <w:lang w:val="cs-CZ"/>
              </w:rPr>
              <w:t>S ohledem na výsledek prohlídky / osvědčení *) se doba platnosti osvědčení zachovává / prodlužuje</w:t>
            </w:r>
            <w:r w:rsidRPr="003B6E11">
              <w:rPr>
                <w:position w:val="6"/>
                <w:sz w:val="16"/>
                <w:lang w:val="cs-CZ"/>
              </w:rPr>
              <w:t xml:space="preserve"> *)</w:t>
            </w:r>
          </w:p>
          <w:p w:rsidR="003B6E11" w:rsidRPr="003B6E11" w:rsidRDefault="003B6E11" w:rsidP="002D015D">
            <w:pPr>
              <w:tabs>
                <w:tab w:val="left" w:leader="dot" w:pos="2268"/>
                <w:tab w:val="left" w:leader="dot" w:pos="3402"/>
                <w:tab w:val="left" w:leader="dot" w:pos="8505"/>
              </w:tabs>
              <w:overflowPunct w:val="0"/>
              <w:adjustRightInd w:val="0"/>
              <w:ind w:left="57"/>
              <w:textAlignment w:val="baseline"/>
              <w:rPr>
                <w:rFonts w:cs="Arial"/>
                <w:sz w:val="18"/>
                <w:szCs w:val="20"/>
                <w:lang w:val="cs-CZ"/>
              </w:rPr>
            </w:pPr>
            <w:r w:rsidRPr="003B6E11">
              <w:rPr>
                <w:sz w:val="18"/>
                <w:lang w:val="cs-CZ"/>
              </w:rPr>
              <w:t xml:space="preserve">do </w:t>
            </w:r>
            <w:r w:rsidRPr="003B6E11">
              <w:rPr>
                <w:lang w:val="cs-CZ"/>
              </w:rPr>
              <w:tab/>
            </w:r>
            <w:r w:rsidRPr="003B6E11">
              <w:rPr>
                <w:sz w:val="18"/>
                <w:lang w:val="cs-CZ"/>
              </w:rPr>
              <w:t xml:space="preserve"> .</w:t>
            </w:r>
          </w:p>
          <w:p w:rsidR="003B6E11" w:rsidRPr="003B6E11" w:rsidRDefault="003B6E11" w:rsidP="002D015D">
            <w:pPr>
              <w:tabs>
                <w:tab w:val="left" w:pos="57"/>
                <w:tab w:val="left" w:leader="dot" w:pos="3969"/>
                <w:tab w:val="left" w:leader="dot" w:pos="6237"/>
                <w:tab w:val="left" w:leader="dot" w:pos="8505"/>
              </w:tabs>
              <w:overflowPunct w:val="0"/>
              <w:adjustRightInd w:val="0"/>
              <w:spacing w:before="40"/>
              <w:ind w:left="57"/>
              <w:textAlignment w:val="baseline"/>
              <w:rPr>
                <w:rFonts w:cs="Arial"/>
                <w:sz w:val="18"/>
                <w:szCs w:val="20"/>
                <w:lang w:val="cs-CZ"/>
              </w:rPr>
            </w:pPr>
            <w:r w:rsidRPr="003B6E11">
              <w:rPr>
                <w:lang w:val="cs-CZ"/>
              </w:rPr>
              <w:tab/>
            </w:r>
            <w:r w:rsidRPr="003B6E11">
              <w:rPr>
                <w:sz w:val="18"/>
                <w:lang w:val="cs-CZ"/>
              </w:rPr>
              <w:t xml:space="preserve">, </w:t>
            </w:r>
            <w:r w:rsidRPr="003B6E11">
              <w:rPr>
                <w:lang w:val="cs-CZ"/>
              </w:rPr>
              <w:tab/>
            </w:r>
          </w:p>
          <w:p w:rsidR="003B6E11" w:rsidRPr="003B6E11" w:rsidRDefault="003B6E11" w:rsidP="002D015D">
            <w:pPr>
              <w:tabs>
                <w:tab w:val="center" w:pos="2041"/>
                <w:tab w:val="center" w:pos="5216"/>
              </w:tabs>
              <w:overflowPunct w:val="0"/>
              <w:adjustRightInd w:val="0"/>
              <w:textAlignment w:val="baseline"/>
              <w:rPr>
                <w:rFonts w:cs="Arial"/>
                <w:sz w:val="18"/>
                <w:szCs w:val="20"/>
                <w:lang w:val="cs-CZ"/>
              </w:rPr>
            </w:pPr>
            <w:r w:rsidRPr="003B6E11">
              <w:rPr>
                <w:lang w:val="cs-CZ"/>
              </w:rPr>
              <w:tab/>
            </w:r>
            <w:r w:rsidRPr="003B6E11">
              <w:rPr>
                <w:sz w:val="16"/>
                <w:lang w:val="cs-CZ"/>
              </w:rPr>
              <w:t>(místo)</w:t>
            </w:r>
            <w:r w:rsidRPr="003B6E11">
              <w:rPr>
                <w:lang w:val="cs-CZ"/>
              </w:rPr>
              <w:tab/>
            </w:r>
            <w:r w:rsidRPr="003B6E11">
              <w:rPr>
                <w:sz w:val="16"/>
                <w:lang w:val="cs-CZ"/>
              </w:rPr>
              <w:t>(datum)</w:t>
            </w:r>
          </w:p>
          <w:p w:rsidR="003B6E11" w:rsidRPr="003B6E11" w:rsidRDefault="003B6E11" w:rsidP="002D015D">
            <w:pPr>
              <w:tabs>
                <w:tab w:val="left" w:pos="4820"/>
                <w:tab w:val="left" w:leader="dot" w:pos="8505"/>
              </w:tabs>
              <w:overflowPunct w:val="0"/>
              <w:adjustRightInd w:val="0"/>
              <w:spacing w:before="120"/>
              <w:ind w:left="57"/>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1985"/>
                <w:tab w:val="center" w:pos="6662"/>
              </w:tabs>
              <w:overflowPunct w:val="0"/>
              <w:adjustRightInd w:val="0"/>
              <w:textAlignment w:val="baseline"/>
              <w:rPr>
                <w:rFonts w:cs="Arial"/>
                <w:sz w:val="18"/>
                <w:szCs w:val="20"/>
                <w:lang w:val="cs-CZ"/>
              </w:rPr>
            </w:pPr>
            <w:r w:rsidRPr="003B6E11">
              <w:rPr>
                <w:lang w:val="cs-CZ"/>
              </w:rPr>
              <w:tab/>
            </w:r>
            <w:r w:rsidRPr="003B6E11">
              <w:rPr>
                <w:sz w:val="16"/>
                <w:lang w:val="cs-CZ"/>
              </w:rPr>
              <w:t>Razítko</w:t>
            </w:r>
            <w:r w:rsidRPr="003B6E11">
              <w:rPr>
                <w:lang w:val="cs-CZ"/>
              </w:rPr>
              <w:tab/>
            </w:r>
            <w:r w:rsidRPr="003B6E11">
              <w:rPr>
                <w:sz w:val="16"/>
                <w:lang w:val="cs-CZ"/>
              </w:rPr>
              <w:t>Subjekt pověřený prohlídkami</w:t>
            </w:r>
          </w:p>
          <w:p w:rsidR="003B6E11" w:rsidRPr="003B6E11" w:rsidRDefault="003B6E11" w:rsidP="002D015D">
            <w:pPr>
              <w:tabs>
                <w:tab w:val="left" w:pos="4820"/>
                <w:tab w:val="left" w:leader="dot" w:pos="8505"/>
              </w:tabs>
              <w:overflowPunct w:val="0"/>
              <w:adjustRightInd w:val="0"/>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6662"/>
              </w:tabs>
              <w:overflowPunct w:val="0"/>
              <w:adjustRightInd w:val="0"/>
              <w:ind w:left="57"/>
              <w:textAlignment w:val="baseline"/>
              <w:rPr>
                <w:rFonts w:cs="Arial"/>
                <w:sz w:val="16"/>
                <w:szCs w:val="20"/>
                <w:lang w:val="cs-CZ"/>
              </w:rPr>
            </w:pPr>
            <w:r w:rsidRPr="003B6E11">
              <w:rPr>
                <w:sz w:val="18"/>
                <w:lang w:val="cs-CZ"/>
              </w:rPr>
              <w:t>______________________</w:t>
            </w:r>
            <w:r w:rsidRPr="003B6E11">
              <w:rPr>
                <w:lang w:val="cs-CZ"/>
              </w:rPr>
              <w:tab/>
            </w:r>
            <w:r w:rsidRPr="003B6E11">
              <w:rPr>
                <w:sz w:val="16"/>
                <w:lang w:val="cs-CZ"/>
              </w:rPr>
              <w:t>(podpis)</w:t>
            </w:r>
          </w:p>
          <w:p w:rsidR="003B6E11" w:rsidRPr="003B6E11" w:rsidRDefault="003B6E11" w:rsidP="002D015D">
            <w:pPr>
              <w:tabs>
                <w:tab w:val="left" w:pos="57"/>
                <w:tab w:val="left" w:pos="227"/>
                <w:tab w:val="left" w:pos="5670"/>
                <w:tab w:val="left" w:leader="dot" w:pos="8505"/>
              </w:tabs>
              <w:overflowPunct w:val="0"/>
              <w:adjustRightInd w:val="0"/>
              <w:spacing w:after="40"/>
              <w:ind w:left="57" w:hanging="57"/>
              <w:textAlignment w:val="baseline"/>
              <w:rPr>
                <w:rFonts w:cs="Arial"/>
                <w:sz w:val="18"/>
                <w:szCs w:val="20"/>
                <w:lang w:val="cs-CZ"/>
              </w:rPr>
            </w:pPr>
            <w:r w:rsidRPr="003B6E11">
              <w:rPr>
                <w:position w:val="4"/>
                <w:sz w:val="16"/>
                <w:vertAlign w:val="superscript"/>
                <w:lang w:val="cs-CZ"/>
              </w:rPr>
              <w:t>*)</w:t>
            </w:r>
            <w:r w:rsidRPr="003B6E11">
              <w:rPr>
                <w:lang w:val="cs-CZ"/>
              </w:rPr>
              <w:tab/>
            </w:r>
            <w:r w:rsidRPr="003B6E11">
              <w:rPr>
                <w:sz w:val="16"/>
                <w:lang w:val="cs-CZ"/>
              </w:rPr>
              <w:t>Nehodící se škrtněte.</w:t>
            </w: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60"/>
              <w:textAlignment w:val="baseline"/>
              <w:rPr>
                <w:rFonts w:cs="Arial"/>
                <w:sz w:val="18"/>
                <w:szCs w:val="20"/>
                <w:lang w:val="cs-CZ"/>
              </w:rPr>
            </w:pPr>
            <w:r w:rsidRPr="003B6E11">
              <w:rPr>
                <w:sz w:val="18"/>
                <w:lang w:val="cs-CZ"/>
              </w:rPr>
              <w:t>49.</w:t>
            </w:r>
          </w:p>
        </w:tc>
        <w:tc>
          <w:tcPr>
            <w:tcW w:w="8902" w:type="dxa"/>
            <w:tcBorders>
              <w:top w:val="single" w:sz="6" w:space="0" w:color="auto"/>
              <w:bottom w:val="single" w:sz="6" w:space="0" w:color="auto"/>
              <w:right w:val="single" w:sz="6" w:space="0" w:color="auto"/>
            </w:tcBorders>
          </w:tcPr>
          <w:p w:rsidR="003B6E11" w:rsidRPr="003B6E11" w:rsidRDefault="003B6E11" w:rsidP="002D015D">
            <w:pPr>
              <w:tabs>
                <w:tab w:val="left" w:pos="4310"/>
                <w:tab w:val="left" w:leader="dot" w:pos="8505"/>
              </w:tabs>
              <w:overflowPunct w:val="0"/>
              <w:adjustRightInd w:val="0"/>
              <w:spacing w:before="60"/>
              <w:ind w:left="57"/>
              <w:textAlignment w:val="baseline"/>
              <w:rPr>
                <w:rFonts w:cs="Arial"/>
                <w:b/>
                <w:position w:val="6"/>
                <w:sz w:val="16"/>
                <w:szCs w:val="20"/>
                <w:lang w:val="cs-CZ"/>
              </w:rPr>
            </w:pPr>
            <w:r w:rsidRPr="003B6E11">
              <w:rPr>
                <w:b/>
                <w:sz w:val="18"/>
                <w:lang w:val="cs-CZ"/>
              </w:rPr>
              <w:t>Prodloužení/potvrzení</w:t>
            </w:r>
            <w:r w:rsidRPr="003B6E11">
              <w:rPr>
                <w:b/>
                <w:position w:val="6"/>
                <w:sz w:val="16"/>
                <w:lang w:val="cs-CZ"/>
              </w:rPr>
              <w:t>*)</w:t>
            </w:r>
            <w:r w:rsidRPr="003B6E11">
              <w:rPr>
                <w:b/>
                <w:sz w:val="18"/>
                <w:lang w:val="cs-CZ"/>
              </w:rPr>
              <w:t xml:space="preserve"> platnosti osvědčení plavidla vnitrozemské plavby</w:t>
            </w:r>
            <w:r w:rsidRPr="003B6E11">
              <w:rPr>
                <w:b/>
                <w:position w:val="6"/>
                <w:sz w:val="16"/>
                <w:lang w:val="cs-CZ"/>
              </w:rPr>
              <w:t>*)</w:t>
            </w:r>
            <w:r w:rsidRPr="003B6E11">
              <w:rPr>
                <w:b/>
                <w:sz w:val="18"/>
                <w:lang w:val="cs-CZ"/>
              </w:rPr>
              <w:t xml:space="preserve"> Pravidelná / zvláštní </w:t>
            </w:r>
            <w:r w:rsidRPr="003B6E11">
              <w:rPr>
                <w:b/>
                <w:position w:val="6"/>
                <w:sz w:val="16"/>
                <w:lang w:val="cs-CZ"/>
              </w:rPr>
              <w:t xml:space="preserve">*) </w:t>
            </w:r>
            <w:r w:rsidRPr="003B6E11">
              <w:rPr>
                <w:b/>
                <w:sz w:val="18"/>
                <w:lang w:val="cs-CZ"/>
              </w:rPr>
              <w:t>prohlídka</w:t>
            </w:r>
          </w:p>
          <w:p w:rsidR="003B6E11" w:rsidRPr="003B6E11" w:rsidRDefault="003B6E11" w:rsidP="002D015D">
            <w:pPr>
              <w:tabs>
                <w:tab w:val="left" w:leader="dot" w:pos="5103"/>
                <w:tab w:val="left" w:leader="dot" w:pos="8505"/>
              </w:tabs>
              <w:overflowPunct w:val="0"/>
              <w:adjustRightInd w:val="0"/>
              <w:spacing w:before="20"/>
              <w:ind w:left="57"/>
              <w:textAlignment w:val="baseline"/>
              <w:rPr>
                <w:rFonts w:cs="Arial"/>
                <w:sz w:val="18"/>
                <w:szCs w:val="20"/>
                <w:lang w:val="cs-CZ"/>
              </w:rPr>
            </w:pPr>
            <w:r w:rsidRPr="003B6E11">
              <w:rPr>
                <w:sz w:val="18"/>
                <w:lang w:val="cs-CZ"/>
              </w:rPr>
              <w:t>Subjekt pověřený prohlídkami plavidlo prohlédl dne</w:t>
            </w:r>
            <w:r w:rsidRPr="003B6E11">
              <w:rPr>
                <w:lang w:val="cs-CZ"/>
              </w:rPr>
              <w:tab/>
            </w:r>
            <w:r w:rsidRPr="003B6E11">
              <w:rPr>
                <w:position w:val="6"/>
                <w:sz w:val="16"/>
                <w:lang w:val="cs-CZ"/>
              </w:rPr>
              <w:t>*)</w:t>
            </w:r>
            <w:r w:rsidRPr="003B6E11">
              <w:rPr>
                <w:sz w:val="18"/>
                <w:lang w:val="cs-CZ"/>
              </w:rPr>
              <w:t>.</w:t>
            </w:r>
          </w:p>
          <w:p w:rsidR="003B6E11" w:rsidRPr="003B6E11" w:rsidRDefault="003B6E11" w:rsidP="002D015D">
            <w:pPr>
              <w:tabs>
                <w:tab w:val="left" w:leader="dot" w:pos="3686"/>
                <w:tab w:val="left" w:leader="dot" w:pos="8505"/>
              </w:tabs>
              <w:overflowPunct w:val="0"/>
              <w:adjustRightInd w:val="0"/>
              <w:spacing w:before="20" w:after="20"/>
              <w:ind w:left="57"/>
              <w:textAlignment w:val="baseline"/>
              <w:rPr>
                <w:rFonts w:cs="Arial"/>
                <w:sz w:val="18"/>
                <w:szCs w:val="20"/>
                <w:lang w:val="cs-CZ"/>
              </w:rPr>
            </w:pPr>
            <w:r w:rsidRPr="003B6E11">
              <w:rPr>
                <w:sz w:val="18"/>
                <w:lang w:val="cs-CZ"/>
              </w:rPr>
              <w:t>Osvědčení ze dne</w:t>
            </w:r>
            <w:r w:rsidRPr="003B6E11">
              <w:rPr>
                <w:lang w:val="cs-CZ"/>
              </w:rPr>
              <w:tab/>
            </w:r>
            <w:r w:rsidRPr="003B6E11">
              <w:rPr>
                <w:noProof/>
                <w:sz w:val="18"/>
                <w:lang w:val="cs-CZ"/>
              </w:rPr>
              <w:t>vydané</w:t>
            </w:r>
            <w:r w:rsidRPr="003B6E11">
              <w:rPr>
                <w:lang w:val="cs-CZ"/>
              </w:rPr>
              <w:t xml:space="preserve"> uznanou </w:t>
            </w:r>
            <w:r w:rsidRPr="003B6E11">
              <w:rPr>
                <w:noProof/>
                <w:sz w:val="18"/>
                <w:lang w:val="cs-CZ"/>
              </w:rPr>
              <w:t>klasifikační společností</w:t>
            </w:r>
            <w:r w:rsidRPr="003B6E11">
              <w:rPr>
                <w:lang w:val="cs-CZ"/>
              </w:rPr>
              <w:tab/>
            </w:r>
          </w:p>
          <w:p w:rsidR="003B6E11" w:rsidRPr="003B6E11" w:rsidRDefault="003B6E11" w:rsidP="002D015D">
            <w:pPr>
              <w:tabs>
                <w:tab w:val="left" w:leader="dot" w:pos="8505"/>
              </w:tabs>
              <w:overflowPunct w:val="0"/>
              <w:adjustRightInd w:val="0"/>
              <w:ind w:left="57"/>
              <w:textAlignment w:val="baseline"/>
              <w:rPr>
                <w:rFonts w:cs="Arial"/>
                <w:sz w:val="18"/>
                <w:szCs w:val="20"/>
                <w:lang w:val="cs-CZ"/>
              </w:rPr>
            </w:pPr>
            <w:r w:rsidRPr="003B6E11">
              <w:rPr>
                <w:lang w:val="cs-CZ"/>
              </w:rPr>
              <w:tab/>
            </w:r>
          </w:p>
          <w:p w:rsidR="003B6E11" w:rsidRPr="003B6E11" w:rsidRDefault="003B6E11" w:rsidP="002D015D">
            <w:pPr>
              <w:overflowPunct w:val="0"/>
              <w:adjustRightInd w:val="0"/>
              <w:spacing w:after="20"/>
              <w:ind w:left="57"/>
              <w:textAlignment w:val="baseline"/>
              <w:rPr>
                <w:rFonts w:cs="Arial"/>
                <w:sz w:val="18"/>
                <w:szCs w:val="20"/>
                <w:lang w:val="cs-CZ"/>
              </w:rPr>
            </w:pPr>
            <w:r w:rsidRPr="003B6E11">
              <w:rPr>
                <w:noProof/>
                <w:sz w:val="18"/>
                <w:lang w:val="cs-CZ"/>
              </w:rPr>
              <w:t>bylo předloženo subjektu pověřenému prohlídkami</w:t>
            </w:r>
            <w:r w:rsidRPr="003B6E11">
              <w:rPr>
                <w:position w:val="6"/>
                <w:sz w:val="16"/>
                <w:lang w:val="cs-CZ"/>
              </w:rPr>
              <w:t>*)</w:t>
            </w:r>
            <w:r w:rsidRPr="003B6E11">
              <w:rPr>
                <w:sz w:val="18"/>
                <w:lang w:val="cs-CZ"/>
              </w:rPr>
              <w:t>.</w:t>
            </w:r>
          </w:p>
          <w:p w:rsidR="003B6E11" w:rsidRPr="003B6E11" w:rsidRDefault="003B6E11" w:rsidP="002D015D">
            <w:pPr>
              <w:overflowPunct w:val="0"/>
              <w:adjustRightInd w:val="0"/>
              <w:spacing w:after="20"/>
              <w:ind w:left="57"/>
              <w:textAlignment w:val="baseline"/>
              <w:rPr>
                <w:rFonts w:cs="Arial"/>
                <w:sz w:val="18"/>
                <w:szCs w:val="20"/>
                <w:lang w:val="cs-CZ"/>
              </w:rPr>
            </w:pPr>
            <w:r w:rsidRPr="003B6E11">
              <w:rPr>
                <w:noProof/>
                <w:sz w:val="18"/>
                <w:lang w:val="cs-CZ"/>
              </w:rPr>
              <w:t>Důvod prohlídky/osvědčení</w:t>
            </w:r>
            <w:r w:rsidRPr="003B6E11">
              <w:rPr>
                <w:position w:val="6"/>
                <w:sz w:val="16"/>
                <w:lang w:val="cs-CZ"/>
              </w:rPr>
              <w:t>*)</w:t>
            </w:r>
            <w:r w:rsidRPr="003B6E11">
              <w:rPr>
                <w:sz w:val="18"/>
                <w:lang w:val="cs-CZ"/>
              </w:rPr>
              <w:t>:</w:t>
            </w:r>
          </w:p>
          <w:p w:rsidR="003B6E11" w:rsidRPr="003B6E11" w:rsidRDefault="003B6E11" w:rsidP="002D015D">
            <w:pPr>
              <w:tabs>
                <w:tab w:val="left" w:leader="dot" w:pos="8505"/>
              </w:tabs>
              <w:overflowPunct w:val="0"/>
              <w:adjustRightInd w:val="0"/>
              <w:spacing w:after="80"/>
              <w:ind w:left="57"/>
              <w:textAlignment w:val="baseline"/>
              <w:rPr>
                <w:rFonts w:cs="Arial"/>
                <w:position w:val="6"/>
                <w:sz w:val="16"/>
                <w:szCs w:val="20"/>
                <w:lang w:val="cs-CZ"/>
              </w:rPr>
            </w:pPr>
            <w:r w:rsidRPr="003B6E11">
              <w:rPr>
                <w:lang w:val="cs-CZ"/>
              </w:rPr>
              <w:tab/>
            </w:r>
          </w:p>
          <w:p w:rsidR="003B6E11" w:rsidRPr="003B6E11" w:rsidRDefault="003B6E11" w:rsidP="002D015D">
            <w:pPr>
              <w:tabs>
                <w:tab w:val="left" w:leader="dot" w:pos="8505"/>
              </w:tabs>
              <w:overflowPunct w:val="0"/>
              <w:adjustRightInd w:val="0"/>
              <w:ind w:left="57"/>
              <w:textAlignment w:val="baseline"/>
              <w:rPr>
                <w:rFonts w:cs="Arial"/>
                <w:position w:val="6"/>
                <w:sz w:val="16"/>
                <w:szCs w:val="20"/>
                <w:lang w:val="cs-CZ"/>
              </w:rPr>
            </w:pPr>
            <w:r w:rsidRPr="003B6E11">
              <w:rPr>
                <w:lang w:val="cs-CZ"/>
              </w:rPr>
              <w:tab/>
            </w:r>
          </w:p>
          <w:p w:rsidR="003B6E11" w:rsidRPr="003B6E11" w:rsidRDefault="003B6E11" w:rsidP="002D015D">
            <w:pPr>
              <w:tabs>
                <w:tab w:val="left" w:leader="dot" w:pos="8505"/>
              </w:tabs>
              <w:overflowPunct w:val="0"/>
              <w:adjustRightInd w:val="0"/>
              <w:ind w:left="57"/>
              <w:textAlignment w:val="baseline"/>
              <w:rPr>
                <w:rFonts w:cs="Arial"/>
                <w:position w:val="6"/>
                <w:sz w:val="16"/>
                <w:szCs w:val="20"/>
                <w:lang w:val="cs-CZ"/>
              </w:rPr>
            </w:pPr>
            <w:r w:rsidRPr="003B6E11">
              <w:rPr>
                <w:sz w:val="18"/>
                <w:lang w:val="cs-CZ"/>
              </w:rPr>
              <w:t>S ohledem na výsledek prohlídky / osvědčení *) se doba platnosti osvědčení zachovává / prodlužuje</w:t>
            </w:r>
            <w:r w:rsidRPr="003B6E11">
              <w:rPr>
                <w:position w:val="6"/>
                <w:sz w:val="16"/>
                <w:lang w:val="cs-CZ"/>
              </w:rPr>
              <w:t xml:space="preserve"> *)</w:t>
            </w:r>
          </w:p>
          <w:p w:rsidR="003B6E11" w:rsidRPr="003B6E11" w:rsidRDefault="003B6E11" w:rsidP="002D015D">
            <w:pPr>
              <w:tabs>
                <w:tab w:val="left" w:leader="dot" w:pos="2268"/>
                <w:tab w:val="left" w:leader="dot" w:pos="3402"/>
                <w:tab w:val="left" w:leader="dot" w:pos="8505"/>
              </w:tabs>
              <w:overflowPunct w:val="0"/>
              <w:adjustRightInd w:val="0"/>
              <w:ind w:left="57"/>
              <w:textAlignment w:val="baseline"/>
              <w:rPr>
                <w:rFonts w:cs="Arial"/>
                <w:sz w:val="18"/>
                <w:szCs w:val="20"/>
                <w:lang w:val="cs-CZ"/>
              </w:rPr>
            </w:pPr>
            <w:r w:rsidRPr="003B6E11">
              <w:rPr>
                <w:sz w:val="18"/>
                <w:lang w:val="cs-CZ"/>
              </w:rPr>
              <w:t xml:space="preserve">do </w:t>
            </w:r>
            <w:r w:rsidRPr="003B6E11">
              <w:rPr>
                <w:lang w:val="cs-CZ"/>
              </w:rPr>
              <w:tab/>
            </w:r>
            <w:r w:rsidRPr="003B6E11">
              <w:rPr>
                <w:sz w:val="18"/>
                <w:lang w:val="cs-CZ"/>
              </w:rPr>
              <w:t xml:space="preserve"> .</w:t>
            </w:r>
          </w:p>
          <w:p w:rsidR="003B6E11" w:rsidRPr="003B6E11" w:rsidRDefault="003B6E11" w:rsidP="002D015D">
            <w:pPr>
              <w:tabs>
                <w:tab w:val="left" w:pos="57"/>
                <w:tab w:val="left" w:leader="dot" w:pos="3969"/>
                <w:tab w:val="left" w:leader="dot" w:pos="6237"/>
                <w:tab w:val="left" w:leader="dot" w:pos="8505"/>
              </w:tabs>
              <w:overflowPunct w:val="0"/>
              <w:adjustRightInd w:val="0"/>
              <w:spacing w:before="40"/>
              <w:ind w:left="57"/>
              <w:textAlignment w:val="baseline"/>
              <w:rPr>
                <w:rFonts w:cs="Arial"/>
                <w:sz w:val="18"/>
                <w:szCs w:val="20"/>
                <w:lang w:val="cs-CZ"/>
              </w:rPr>
            </w:pPr>
            <w:r w:rsidRPr="003B6E11">
              <w:rPr>
                <w:lang w:val="cs-CZ"/>
              </w:rPr>
              <w:tab/>
            </w:r>
            <w:r w:rsidRPr="003B6E11">
              <w:rPr>
                <w:sz w:val="18"/>
                <w:lang w:val="cs-CZ"/>
              </w:rPr>
              <w:t xml:space="preserve">, </w:t>
            </w:r>
            <w:r w:rsidRPr="003B6E11">
              <w:rPr>
                <w:lang w:val="cs-CZ"/>
              </w:rPr>
              <w:tab/>
            </w:r>
          </w:p>
          <w:p w:rsidR="003B6E11" w:rsidRPr="003B6E11" w:rsidRDefault="003B6E11" w:rsidP="002D015D">
            <w:pPr>
              <w:tabs>
                <w:tab w:val="center" w:pos="2041"/>
                <w:tab w:val="center" w:pos="5216"/>
              </w:tabs>
              <w:overflowPunct w:val="0"/>
              <w:adjustRightInd w:val="0"/>
              <w:textAlignment w:val="baseline"/>
              <w:rPr>
                <w:rFonts w:cs="Arial"/>
                <w:sz w:val="18"/>
                <w:szCs w:val="20"/>
                <w:lang w:val="cs-CZ"/>
              </w:rPr>
            </w:pPr>
            <w:r w:rsidRPr="003B6E11">
              <w:rPr>
                <w:lang w:val="cs-CZ"/>
              </w:rPr>
              <w:tab/>
            </w:r>
            <w:r w:rsidRPr="003B6E11">
              <w:rPr>
                <w:sz w:val="16"/>
                <w:lang w:val="cs-CZ"/>
              </w:rPr>
              <w:t>(místo)</w:t>
            </w:r>
            <w:r w:rsidRPr="003B6E11">
              <w:rPr>
                <w:lang w:val="cs-CZ"/>
              </w:rPr>
              <w:tab/>
            </w:r>
            <w:r w:rsidRPr="003B6E11">
              <w:rPr>
                <w:sz w:val="16"/>
                <w:lang w:val="cs-CZ"/>
              </w:rPr>
              <w:t>(datum)</w:t>
            </w:r>
          </w:p>
          <w:p w:rsidR="003B6E11" w:rsidRPr="003B6E11" w:rsidRDefault="003B6E11" w:rsidP="002D015D">
            <w:pPr>
              <w:tabs>
                <w:tab w:val="left" w:pos="4820"/>
                <w:tab w:val="left" w:leader="dot" w:pos="8505"/>
              </w:tabs>
              <w:overflowPunct w:val="0"/>
              <w:adjustRightInd w:val="0"/>
              <w:spacing w:before="120"/>
              <w:ind w:left="57"/>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1985"/>
                <w:tab w:val="center" w:pos="6662"/>
              </w:tabs>
              <w:overflowPunct w:val="0"/>
              <w:adjustRightInd w:val="0"/>
              <w:textAlignment w:val="baseline"/>
              <w:rPr>
                <w:rFonts w:cs="Arial"/>
                <w:sz w:val="18"/>
                <w:szCs w:val="20"/>
                <w:lang w:val="cs-CZ"/>
              </w:rPr>
            </w:pPr>
            <w:r w:rsidRPr="003B6E11">
              <w:rPr>
                <w:lang w:val="cs-CZ"/>
              </w:rPr>
              <w:tab/>
            </w:r>
            <w:r w:rsidRPr="003B6E11">
              <w:rPr>
                <w:sz w:val="16"/>
                <w:lang w:val="cs-CZ"/>
              </w:rPr>
              <w:t>Razítko</w:t>
            </w:r>
            <w:r w:rsidRPr="003B6E11">
              <w:rPr>
                <w:lang w:val="cs-CZ"/>
              </w:rPr>
              <w:tab/>
            </w:r>
            <w:r w:rsidRPr="003B6E11">
              <w:rPr>
                <w:sz w:val="16"/>
                <w:lang w:val="cs-CZ"/>
              </w:rPr>
              <w:t>Subjekt pověřený prohlídkami</w:t>
            </w:r>
          </w:p>
          <w:p w:rsidR="003B6E11" w:rsidRPr="003B6E11" w:rsidRDefault="003B6E11" w:rsidP="002D015D">
            <w:pPr>
              <w:tabs>
                <w:tab w:val="left" w:pos="4820"/>
                <w:tab w:val="left" w:leader="dot" w:pos="8505"/>
              </w:tabs>
              <w:overflowPunct w:val="0"/>
              <w:adjustRightInd w:val="0"/>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6662"/>
              </w:tabs>
              <w:overflowPunct w:val="0"/>
              <w:adjustRightInd w:val="0"/>
              <w:ind w:left="57"/>
              <w:textAlignment w:val="baseline"/>
              <w:rPr>
                <w:rFonts w:cs="Arial"/>
                <w:sz w:val="16"/>
                <w:szCs w:val="20"/>
                <w:lang w:val="cs-CZ"/>
              </w:rPr>
            </w:pPr>
            <w:r w:rsidRPr="003B6E11">
              <w:rPr>
                <w:sz w:val="18"/>
                <w:lang w:val="cs-CZ"/>
              </w:rPr>
              <w:t>______________________</w:t>
            </w:r>
            <w:r w:rsidRPr="003B6E11">
              <w:rPr>
                <w:lang w:val="cs-CZ"/>
              </w:rPr>
              <w:tab/>
            </w:r>
            <w:r w:rsidRPr="003B6E11">
              <w:rPr>
                <w:sz w:val="16"/>
                <w:lang w:val="cs-CZ"/>
              </w:rPr>
              <w:t>(podpis)</w:t>
            </w:r>
          </w:p>
          <w:p w:rsidR="003B6E11" w:rsidRPr="003B6E11" w:rsidRDefault="003B6E11" w:rsidP="002D015D">
            <w:pPr>
              <w:tabs>
                <w:tab w:val="left" w:pos="57"/>
                <w:tab w:val="left" w:pos="227"/>
                <w:tab w:val="left" w:pos="5670"/>
                <w:tab w:val="left" w:leader="dot" w:pos="8505"/>
              </w:tabs>
              <w:overflowPunct w:val="0"/>
              <w:adjustRightInd w:val="0"/>
              <w:spacing w:after="40"/>
              <w:ind w:left="57" w:hanging="57"/>
              <w:textAlignment w:val="baseline"/>
              <w:rPr>
                <w:rFonts w:cs="Arial"/>
                <w:sz w:val="18"/>
                <w:szCs w:val="20"/>
                <w:lang w:val="cs-CZ"/>
              </w:rPr>
            </w:pPr>
            <w:r w:rsidRPr="003B6E11">
              <w:rPr>
                <w:position w:val="4"/>
                <w:sz w:val="16"/>
                <w:vertAlign w:val="superscript"/>
                <w:lang w:val="cs-CZ"/>
              </w:rPr>
              <w:t>*)</w:t>
            </w:r>
            <w:r w:rsidRPr="003B6E11">
              <w:rPr>
                <w:lang w:val="cs-CZ"/>
              </w:rPr>
              <w:tab/>
            </w:r>
            <w:r w:rsidRPr="003B6E11">
              <w:rPr>
                <w:sz w:val="16"/>
                <w:lang w:val="cs-CZ"/>
              </w:rPr>
              <w:t>Nehodící se škrtněte.</w:t>
            </w:r>
          </w:p>
        </w:tc>
      </w:tr>
      <w:tr w:rsidR="003B6E11" w:rsidRPr="003B6E11" w:rsidTr="002D015D">
        <w:trPr>
          <w:cantSplit/>
          <w:jc w:val="center"/>
        </w:trPr>
        <w:tc>
          <w:tcPr>
            <w:tcW w:w="284" w:type="dxa"/>
            <w:tcBorders>
              <w:top w:val="single" w:sz="6" w:space="0" w:color="auto"/>
              <w:left w:val="single" w:sz="6" w:space="0" w:color="auto"/>
              <w:bottom w:val="single" w:sz="4" w:space="0" w:color="auto"/>
            </w:tcBorders>
          </w:tcPr>
          <w:p w:rsidR="003B6E11" w:rsidRPr="003B6E11" w:rsidRDefault="003B6E11" w:rsidP="002D015D">
            <w:pPr>
              <w:tabs>
                <w:tab w:val="left" w:pos="57"/>
                <w:tab w:val="left" w:pos="227"/>
              </w:tabs>
              <w:overflowPunct w:val="0"/>
              <w:adjustRightInd w:val="0"/>
              <w:spacing w:before="60"/>
              <w:textAlignment w:val="baseline"/>
              <w:rPr>
                <w:rFonts w:cs="Arial"/>
                <w:sz w:val="18"/>
                <w:szCs w:val="20"/>
                <w:lang w:val="cs-CZ"/>
              </w:rPr>
            </w:pPr>
            <w:r w:rsidRPr="003B6E11">
              <w:rPr>
                <w:sz w:val="18"/>
                <w:lang w:val="cs-CZ"/>
              </w:rPr>
              <w:t>49.</w:t>
            </w:r>
          </w:p>
        </w:tc>
        <w:tc>
          <w:tcPr>
            <w:tcW w:w="8902" w:type="dxa"/>
            <w:tcBorders>
              <w:top w:val="single" w:sz="6" w:space="0" w:color="auto"/>
              <w:bottom w:val="single" w:sz="4" w:space="0" w:color="auto"/>
              <w:right w:val="single" w:sz="6" w:space="0" w:color="auto"/>
            </w:tcBorders>
          </w:tcPr>
          <w:p w:rsidR="003B6E11" w:rsidRPr="003B6E11" w:rsidRDefault="003B6E11" w:rsidP="002D015D">
            <w:pPr>
              <w:tabs>
                <w:tab w:val="left" w:pos="4310"/>
                <w:tab w:val="left" w:leader="dot" w:pos="8505"/>
              </w:tabs>
              <w:overflowPunct w:val="0"/>
              <w:adjustRightInd w:val="0"/>
              <w:spacing w:before="60"/>
              <w:ind w:left="57"/>
              <w:textAlignment w:val="baseline"/>
              <w:rPr>
                <w:rFonts w:cs="Arial"/>
                <w:b/>
                <w:position w:val="6"/>
                <w:sz w:val="16"/>
                <w:szCs w:val="20"/>
                <w:lang w:val="cs-CZ"/>
              </w:rPr>
            </w:pPr>
            <w:r w:rsidRPr="003B6E11">
              <w:rPr>
                <w:b/>
                <w:sz w:val="18"/>
                <w:lang w:val="cs-CZ"/>
              </w:rPr>
              <w:t>Prodloužení / potvrzení</w:t>
            </w:r>
            <w:r w:rsidRPr="003B6E11">
              <w:rPr>
                <w:b/>
                <w:position w:val="6"/>
                <w:sz w:val="16"/>
                <w:lang w:val="cs-CZ"/>
              </w:rPr>
              <w:t>*)</w:t>
            </w:r>
            <w:r w:rsidRPr="003B6E11">
              <w:rPr>
                <w:b/>
                <w:sz w:val="18"/>
                <w:lang w:val="cs-CZ"/>
              </w:rPr>
              <w:t xml:space="preserve"> platnosti osvědčení plavidla vnitrozemské plavby</w:t>
            </w:r>
            <w:r w:rsidRPr="003B6E11">
              <w:rPr>
                <w:b/>
                <w:position w:val="6"/>
                <w:sz w:val="16"/>
                <w:lang w:val="cs-CZ"/>
              </w:rPr>
              <w:t>*)</w:t>
            </w:r>
            <w:r w:rsidRPr="003B6E11">
              <w:rPr>
                <w:b/>
                <w:sz w:val="18"/>
                <w:lang w:val="cs-CZ"/>
              </w:rPr>
              <w:t xml:space="preserve"> Pravidelná / zvláštní </w:t>
            </w:r>
            <w:r w:rsidRPr="003B6E11">
              <w:rPr>
                <w:b/>
                <w:position w:val="6"/>
                <w:sz w:val="16"/>
                <w:lang w:val="cs-CZ"/>
              </w:rPr>
              <w:t xml:space="preserve">*) </w:t>
            </w:r>
            <w:r w:rsidRPr="003B6E11">
              <w:rPr>
                <w:b/>
                <w:sz w:val="18"/>
                <w:lang w:val="cs-CZ"/>
              </w:rPr>
              <w:t>prohlídka</w:t>
            </w:r>
          </w:p>
          <w:p w:rsidR="003B6E11" w:rsidRPr="003B6E11" w:rsidRDefault="003B6E11" w:rsidP="002D015D">
            <w:pPr>
              <w:tabs>
                <w:tab w:val="left" w:leader="dot" w:pos="5103"/>
                <w:tab w:val="left" w:leader="dot" w:pos="8505"/>
              </w:tabs>
              <w:overflowPunct w:val="0"/>
              <w:adjustRightInd w:val="0"/>
              <w:spacing w:before="20" w:after="20"/>
              <w:ind w:left="57"/>
              <w:textAlignment w:val="baseline"/>
              <w:rPr>
                <w:rFonts w:cs="Arial"/>
                <w:sz w:val="18"/>
                <w:szCs w:val="20"/>
                <w:lang w:val="cs-CZ"/>
              </w:rPr>
            </w:pPr>
            <w:r w:rsidRPr="003B6E11">
              <w:rPr>
                <w:sz w:val="18"/>
                <w:lang w:val="cs-CZ"/>
              </w:rPr>
              <w:t>Subjekt pověřený prohlídkami plavidlo prohlédl dne</w:t>
            </w:r>
            <w:r w:rsidRPr="003B6E11">
              <w:rPr>
                <w:lang w:val="cs-CZ"/>
              </w:rPr>
              <w:tab/>
            </w:r>
            <w:r w:rsidRPr="003B6E11">
              <w:rPr>
                <w:position w:val="6"/>
                <w:sz w:val="16"/>
                <w:lang w:val="cs-CZ"/>
              </w:rPr>
              <w:t>*)</w:t>
            </w:r>
            <w:r w:rsidRPr="003B6E11">
              <w:rPr>
                <w:sz w:val="18"/>
                <w:lang w:val="cs-CZ"/>
              </w:rPr>
              <w:t>.</w:t>
            </w:r>
          </w:p>
          <w:p w:rsidR="003B6E11" w:rsidRPr="003B6E11" w:rsidRDefault="003B6E11" w:rsidP="002D015D">
            <w:pPr>
              <w:tabs>
                <w:tab w:val="left" w:leader="dot" w:pos="3686"/>
                <w:tab w:val="left" w:leader="dot" w:pos="8505"/>
              </w:tabs>
              <w:overflowPunct w:val="0"/>
              <w:adjustRightInd w:val="0"/>
              <w:spacing w:before="20" w:after="20"/>
              <w:ind w:left="57"/>
              <w:textAlignment w:val="baseline"/>
              <w:rPr>
                <w:rFonts w:cs="Arial"/>
                <w:sz w:val="18"/>
                <w:szCs w:val="20"/>
                <w:lang w:val="cs-CZ"/>
              </w:rPr>
            </w:pPr>
            <w:r w:rsidRPr="003B6E11">
              <w:rPr>
                <w:sz w:val="18"/>
                <w:lang w:val="cs-CZ"/>
              </w:rPr>
              <w:t>Osvědčení ze dne</w:t>
            </w:r>
            <w:r w:rsidRPr="003B6E11">
              <w:rPr>
                <w:lang w:val="cs-CZ"/>
              </w:rPr>
              <w:tab/>
            </w:r>
            <w:r w:rsidRPr="003B6E11">
              <w:rPr>
                <w:noProof/>
                <w:sz w:val="18"/>
                <w:lang w:val="cs-CZ"/>
              </w:rPr>
              <w:t>vydané</w:t>
            </w:r>
            <w:r w:rsidRPr="003B6E11">
              <w:rPr>
                <w:lang w:val="cs-CZ"/>
              </w:rPr>
              <w:t xml:space="preserve"> uznanou </w:t>
            </w:r>
            <w:r w:rsidRPr="003B6E11">
              <w:rPr>
                <w:noProof/>
                <w:sz w:val="18"/>
                <w:lang w:val="cs-CZ"/>
              </w:rPr>
              <w:t>klasifikační společností</w:t>
            </w:r>
            <w:r w:rsidRPr="003B6E11">
              <w:rPr>
                <w:lang w:val="cs-CZ"/>
              </w:rPr>
              <w:tab/>
            </w:r>
          </w:p>
          <w:p w:rsidR="003B6E11" w:rsidRPr="003B6E11" w:rsidRDefault="003B6E11" w:rsidP="002D015D">
            <w:pPr>
              <w:tabs>
                <w:tab w:val="left" w:leader="dot" w:pos="8505"/>
              </w:tabs>
              <w:overflowPunct w:val="0"/>
              <w:adjustRightInd w:val="0"/>
              <w:ind w:left="57"/>
              <w:textAlignment w:val="baseline"/>
              <w:rPr>
                <w:rFonts w:cs="Arial"/>
                <w:sz w:val="18"/>
                <w:szCs w:val="20"/>
                <w:lang w:val="cs-CZ"/>
              </w:rPr>
            </w:pPr>
            <w:r w:rsidRPr="003B6E11">
              <w:rPr>
                <w:lang w:val="cs-CZ"/>
              </w:rPr>
              <w:tab/>
            </w:r>
          </w:p>
          <w:p w:rsidR="003B6E11" w:rsidRPr="003B6E11" w:rsidRDefault="003B6E11" w:rsidP="002D015D">
            <w:pPr>
              <w:overflowPunct w:val="0"/>
              <w:adjustRightInd w:val="0"/>
              <w:spacing w:after="20"/>
              <w:ind w:left="57"/>
              <w:textAlignment w:val="baseline"/>
              <w:rPr>
                <w:rFonts w:cs="Arial"/>
                <w:sz w:val="18"/>
                <w:szCs w:val="20"/>
                <w:lang w:val="cs-CZ"/>
              </w:rPr>
            </w:pPr>
            <w:r w:rsidRPr="003B6E11">
              <w:rPr>
                <w:noProof/>
                <w:sz w:val="18"/>
                <w:lang w:val="cs-CZ"/>
              </w:rPr>
              <w:t>bylo předloženo subjektu pověřenému prohlídkami</w:t>
            </w:r>
            <w:r w:rsidRPr="003B6E11">
              <w:rPr>
                <w:position w:val="6"/>
                <w:sz w:val="16"/>
                <w:lang w:val="cs-CZ"/>
              </w:rPr>
              <w:t>*)</w:t>
            </w:r>
            <w:r w:rsidRPr="003B6E11">
              <w:rPr>
                <w:sz w:val="18"/>
                <w:lang w:val="cs-CZ"/>
              </w:rPr>
              <w:t>.</w:t>
            </w:r>
          </w:p>
          <w:p w:rsidR="003B6E11" w:rsidRPr="003B6E11" w:rsidRDefault="003B6E11" w:rsidP="002D015D">
            <w:pPr>
              <w:overflowPunct w:val="0"/>
              <w:adjustRightInd w:val="0"/>
              <w:spacing w:after="20"/>
              <w:ind w:left="57"/>
              <w:textAlignment w:val="baseline"/>
              <w:rPr>
                <w:rFonts w:cs="Arial"/>
                <w:sz w:val="18"/>
                <w:szCs w:val="20"/>
                <w:lang w:val="cs-CZ"/>
              </w:rPr>
            </w:pPr>
            <w:r w:rsidRPr="003B6E11">
              <w:rPr>
                <w:noProof/>
                <w:sz w:val="18"/>
                <w:lang w:val="cs-CZ"/>
              </w:rPr>
              <w:t>Důvod prohlídky/osvědčení</w:t>
            </w:r>
            <w:r w:rsidRPr="003B6E11">
              <w:rPr>
                <w:position w:val="6"/>
                <w:sz w:val="16"/>
                <w:lang w:val="cs-CZ"/>
              </w:rPr>
              <w:t>*)</w:t>
            </w:r>
            <w:r w:rsidRPr="003B6E11">
              <w:rPr>
                <w:sz w:val="18"/>
                <w:lang w:val="cs-CZ"/>
              </w:rPr>
              <w:t>:</w:t>
            </w:r>
          </w:p>
          <w:p w:rsidR="003B6E11" w:rsidRPr="003B6E11" w:rsidRDefault="003B6E11" w:rsidP="002D015D">
            <w:pPr>
              <w:tabs>
                <w:tab w:val="left" w:leader="dot" w:pos="8505"/>
              </w:tabs>
              <w:overflowPunct w:val="0"/>
              <w:adjustRightInd w:val="0"/>
              <w:spacing w:after="80"/>
              <w:ind w:left="57"/>
              <w:textAlignment w:val="baseline"/>
              <w:rPr>
                <w:rFonts w:cs="Arial"/>
                <w:position w:val="6"/>
                <w:sz w:val="16"/>
                <w:szCs w:val="20"/>
                <w:lang w:val="cs-CZ"/>
              </w:rPr>
            </w:pPr>
            <w:r w:rsidRPr="003B6E11">
              <w:rPr>
                <w:lang w:val="cs-CZ"/>
              </w:rPr>
              <w:tab/>
            </w:r>
          </w:p>
          <w:p w:rsidR="003B6E11" w:rsidRPr="003B6E11" w:rsidRDefault="003B6E11" w:rsidP="002D015D">
            <w:pPr>
              <w:tabs>
                <w:tab w:val="left" w:leader="dot" w:pos="8505"/>
              </w:tabs>
              <w:overflowPunct w:val="0"/>
              <w:adjustRightInd w:val="0"/>
              <w:ind w:left="57"/>
              <w:textAlignment w:val="baseline"/>
              <w:rPr>
                <w:rFonts w:cs="Arial"/>
                <w:position w:val="6"/>
                <w:sz w:val="16"/>
                <w:szCs w:val="20"/>
                <w:lang w:val="cs-CZ"/>
              </w:rPr>
            </w:pPr>
            <w:r w:rsidRPr="003B6E11">
              <w:rPr>
                <w:lang w:val="cs-CZ"/>
              </w:rPr>
              <w:tab/>
            </w:r>
          </w:p>
          <w:p w:rsidR="003B6E11" w:rsidRPr="003B6E11" w:rsidRDefault="003B6E11" w:rsidP="002D015D">
            <w:pPr>
              <w:tabs>
                <w:tab w:val="left" w:leader="dot" w:pos="8505"/>
              </w:tabs>
              <w:overflowPunct w:val="0"/>
              <w:adjustRightInd w:val="0"/>
              <w:ind w:left="57"/>
              <w:textAlignment w:val="baseline"/>
              <w:rPr>
                <w:rFonts w:cs="Arial"/>
                <w:position w:val="6"/>
                <w:sz w:val="16"/>
                <w:szCs w:val="20"/>
                <w:lang w:val="cs-CZ"/>
              </w:rPr>
            </w:pPr>
            <w:r w:rsidRPr="003B6E11">
              <w:rPr>
                <w:sz w:val="18"/>
                <w:lang w:val="cs-CZ"/>
              </w:rPr>
              <w:t>S ohledem na výsledek prohlídky / osvědčení *) se doba platnosti osvědčení zachovává / prodlužuje</w:t>
            </w:r>
            <w:r w:rsidRPr="003B6E11">
              <w:rPr>
                <w:position w:val="6"/>
                <w:sz w:val="16"/>
                <w:lang w:val="cs-CZ"/>
              </w:rPr>
              <w:t xml:space="preserve"> *)</w:t>
            </w:r>
          </w:p>
          <w:p w:rsidR="003B6E11" w:rsidRPr="003B6E11" w:rsidRDefault="003B6E11" w:rsidP="002D015D">
            <w:pPr>
              <w:tabs>
                <w:tab w:val="left" w:leader="dot" w:pos="2268"/>
                <w:tab w:val="left" w:leader="dot" w:pos="3402"/>
                <w:tab w:val="left" w:leader="dot" w:pos="8505"/>
              </w:tabs>
              <w:overflowPunct w:val="0"/>
              <w:adjustRightInd w:val="0"/>
              <w:ind w:left="57"/>
              <w:textAlignment w:val="baseline"/>
              <w:rPr>
                <w:rFonts w:cs="Arial"/>
                <w:sz w:val="18"/>
                <w:szCs w:val="20"/>
                <w:lang w:val="cs-CZ"/>
              </w:rPr>
            </w:pPr>
            <w:r w:rsidRPr="003B6E11">
              <w:rPr>
                <w:sz w:val="18"/>
                <w:lang w:val="cs-CZ"/>
              </w:rPr>
              <w:t xml:space="preserve">do </w:t>
            </w:r>
            <w:r w:rsidRPr="003B6E11">
              <w:rPr>
                <w:lang w:val="cs-CZ"/>
              </w:rPr>
              <w:tab/>
            </w:r>
            <w:r w:rsidRPr="003B6E11">
              <w:rPr>
                <w:sz w:val="18"/>
                <w:lang w:val="cs-CZ"/>
              </w:rPr>
              <w:t xml:space="preserve"> .</w:t>
            </w:r>
          </w:p>
          <w:p w:rsidR="003B6E11" w:rsidRPr="003B6E11" w:rsidRDefault="003B6E11" w:rsidP="002D015D">
            <w:pPr>
              <w:tabs>
                <w:tab w:val="left" w:pos="57"/>
                <w:tab w:val="left" w:leader="dot" w:pos="3969"/>
                <w:tab w:val="left" w:leader="dot" w:pos="6237"/>
                <w:tab w:val="left" w:leader="dot" w:pos="8505"/>
              </w:tabs>
              <w:overflowPunct w:val="0"/>
              <w:adjustRightInd w:val="0"/>
              <w:spacing w:before="40"/>
              <w:ind w:left="57"/>
              <w:textAlignment w:val="baseline"/>
              <w:rPr>
                <w:rFonts w:cs="Arial"/>
                <w:sz w:val="18"/>
                <w:szCs w:val="20"/>
                <w:lang w:val="cs-CZ"/>
              </w:rPr>
            </w:pPr>
            <w:r w:rsidRPr="003B6E11">
              <w:rPr>
                <w:lang w:val="cs-CZ"/>
              </w:rPr>
              <w:tab/>
            </w:r>
            <w:r w:rsidRPr="003B6E11">
              <w:rPr>
                <w:sz w:val="18"/>
                <w:lang w:val="cs-CZ"/>
              </w:rPr>
              <w:t xml:space="preserve">, </w:t>
            </w:r>
            <w:r w:rsidRPr="003B6E11">
              <w:rPr>
                <w:lang w:val="cs-CZ"/>
              </w:rPr>
              <w:tab/>
            </w:r>
          </w:p>
          <w:p w:rsidR="003B6E11" w:rsidRPr="003B6E11" w:rsidRDefault="003B6E11" w:rsidP="002D015D">
            <w:pPr>
              <w:tabs>
                <w:tab w:val="center" w:pos="2041"/>
                <w:tab w:val="center" w:pos="5216"/>
              </w:tabs>
              <w:overflowPunct w:val="0"/>
              <w:adjustRightInd w:val="0"/>
              <w:textAlignment w:val="baseline"/>
              <w:rPr>
                <w:rFonts w:cs="Arial"/>
                <w:sz w:val="18"/>
                <w:szCs w:val="20"/>
                <w:lang w:val="cs-CZ"/>
              </w:rPr>
            </w:pPr>
            <w:r w:rsidRPr="003B6E11">
              <w:rPr>
                <w:lang w:val="cs-CZ"/>
              </w:rPr>
              <w:tab/>
            </w:r>
            <w:r w:rsidRPr="003B6E11">
              <w:rPr>
                <w:sz w:val="16"/>
                <w:lang w:val="cs-CZ"/>
              </w:rPr>
              <w:t>(místo)</w:t>
            </w:r>
            <w:r w:rsidRPr="003B6E11">
              <w:rPr>
                <w:lang w:val="cs-CZ"/>
              </w:rPr>
              <w:tab/>
            </w:r>
            <w:r w:rsidRPr="003B6E11">
              <w:rPr>
                <w:sz w:val="16"/>
                <w:lang w:val="cs-CZ"/>
              </w:rPr>
              <w:t>(datum)</w:t>
            </w:r>
          </w:p>
          <w:p w:rsidR="003B6E11" w:rsidRPr="003B6E11" w:rsidRDefault="003B6E11" w:rsidP="002D015D">
            <w:pPr>
              <w:tabs>
                <w:tab w:val="left" w:pos="4820"/>
                <w:tab w:val="left" w:leader="dot" w:pos="8505"/>
              </w:tabs>
              <w:overflowPunct w:val="0"/>
              <w:adjustRightInd w:val="0"/>
              <w:spacing w:before="120"/>
              <w:ind w:left="57"/>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1985"/>
                <w:tab w:val="center" w:pos="6662"/>
              </w:tabs>
              <w:overflowPunct w:val="0"/>
              <w:adjustRightInd w:val="0"/>
              <w:textAlignment w:val="baseline"/>
              <w:rPr>
                <w:rFonts w:cs="Arial"/>
                <w:sz w:val="18"/>
                <w:szCs w:val="20"/>
                <w:lang w:val="cs-CZ"/>
              </w:rPr>
            </w:pPr>
            <w:r w:rsidRPr="003B6E11">
              <w:rPr>
                <w:lang w:val="cs-CZ"/>
              </w:rPr>
              <w:tab/>
            </w:r>
            <w:r w:rsidRPr="003B6E11">
              <w:rPr>
                <w:sz w:val="16"/>
                <w:lang w:val="cs-CZ"/>
              </w:rPr>
              <w:t>Razítko</w:t>
            </w:r>
            <w:r w:rsidRPr="003B6E11">
              <w:rPr>
                <w:lang w:val="cs-CZ"/>
              </w:rPr>
              <w:tab/>
            </w:r>
            <w:r w:rsidRPr="003B6E11">
              <w:rPr>
                <w:sz w:val="16"/>
                <w:lang w:val="cs-CZ"/>
              </w:rPr>
              <w:t>Subjekt pověřený prohlídkami</w:t>
            </w:r>
          </w:p>
          <w:p w:rsidR="003B6E11" w:rsidRPr="003B6E11" w:rsidRDefault="003B6E11" w:rsidP="002D015D">
            <w:pPr>
              <w:tabs>
                <w:tab w:val="left" w:pos="4820"/>
                <w:tab w:val="left" w:leader="dot" w:pos="8505"/>
              </w:tabs>
              <w:overflowPunct w:val="0"/>
              <w:adjustRightInd w:val="0"/>
              <w:spacing w:before="120"/>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6662"/>
              </w:tabs>
              <w:overflowPunct w:val="0"/>
              <w:adjustRightInd w:val="0"/>
              <w:ind w:left="57"/>
              <w:textAlignment w:val="baseline"/>
              <w:rPr>
                <w:rFonts w:cs="Arial"/>
                <w:sz w:val="16"/>
                <w:szCs w:val="20"/>
                <w:lang w:val="cs-CZ"/>
              </w:rPr>
            </w:pPr>
            <w:r w:rsidRPr="003B6E11">
              <w:rPr>
                <w:sz w:val="18"/>
                <w:lang w:val="cs-CZ"/>
              </w:rPr>
              <w:t>______________________</w:t>
            </w:r>
            <w:r w:rsidRPr="003B6E11">
              <w:rPr>
                <w:lang w:val="cs-CZ"/>
              </w:rPr>
              <w:tab/>
            </w:r>
            <w:r w:rsidRPr="003B6E11">
              <w:rPr>
                <w:sz w:val="16"/>
                <w:lang w:val="cs-CZ"/>
              </w:rPr>
              <w:t>(podpis)</w:t>
            </w:r>
          </w:p>
          <w:p w:rsidR="003B6E11" w:rsidRPr="003B6E11" w:rsidRDefault="003B6E11" w:rsidP="002D015D">
            <w:pPr>
              <w:tabs>
                <w:tab w:val="left" w:pos="57"/>
                <w:tab w:val="left" w:pos="227"/>
                <w:tab w:val="left" w:pos="5670"/>
                <w:tab w:val="left" w:leader="dot" w:pos="8505"/>
              </w:tabs>
              <w:overflowPunct w:val="0"/>
              <w:adjustRightInd w:val="0"/>
              <w:spacing w:after="40"/>
              <w:ind w:left="57" w:hanging="57"/>
              <w:textAlignment w:val="baseline"/>
              <w:rPr>
                <w:rFonts w:cs="Arial"/>
                <w:sz w:val="18"/>
                <w:szCs w:val="20"/>
                <w:lang w:val="cs-CZ"/>
              </w:rPr>
            </w:pPr>
            <w:r w:rsidRPr="003B6E11">
              <w:rPr>
                <w:position w:val="4"/>
                <w:sz w:val="16"/>
                <w:vertAlign w:val="superscript"/>
                <w:lang w:val="cs-CZ"/>
              </w:rPr>
              <w:t>*)</w:t>
            </w:r>
            <w:r w:rsidRPr="003B6E11">
              <w:rPr>
                <w:lang w:val="cs-CZ"/>
              </w:rPr>
              <w:tab/>
            </w:r>
            <w:r w:rsidRPr="003B6E11">
              <w:rPr>
                <w:sz w:val="16"/>
                <w:lang w:val="cs-CZ"/>
              </w:rPr>
              <w:t>Nehodící se škrtněte.</w:t>
            </w:r>
          </w:p>
        </w:tc>
      </w:tr>
      <w:tr w:rsidR="003B6E11" w:rsidRPr="003B6E11" w:rsidTr="002D015D">
        <w:trPr>
          <w:cantSplit/>
          <w:jc w:val="center"/>
        </w:trPr>
        <w:tc>
          <w:tcPr>
            <w:tcW w:w="284" w:type="dxa"/>
            <w:tcBorders>
              <w:top w:val="single" w:sz="4" w:space="0" w:color="auto"/>
              <w:bottom w:val="single" w:sz="4"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8902" w:type="dxa"/>
            <w:tcBorders>
              <w:top w:val="single" w:sz="4" w:space="0" w:color="auto"/>
              <w:bottom w:val="single" w:sz="4" w:space="0" w:color="auto"/>
            </w:tcBorders>
          </w:tcPr>
          <w:p w:rsidR="003B6E11" w:rsidRPr="003B6E11" w:rsidRDefault="003B6E11" w:rsidP="002D015D">
            <w:pPr>
              <w:tabs>
                <w:tab w:val="left" w:pos="4310"/>
                <w:tab w:val="left" w:leader="dot" w:pos="8505"/>
              </w:tabs>
              <w:overflowPunct w:val="0"/>
              <w:adjustRightInd w:val="0"/>
              <w:spacing w:before="60"/>
              <w:ind w:left="57"/>
              <w:textAlignment w:val="baseline"/>
              <w:rPr>
                <w:rFonts w:cs="Arial"/>
                <w:b/>
                <w:sz w:val="18"/>
                <w:szCs w:val="20"/>
                <w:lang w:val="cs-CZ"/>
              </w:rPr>
            </w:pPr>
            <w:r w:rsidRPr="003B6E11">
              <w:rPr>
                <w:lang w:val="cs-CZ"/>
              </w:rPr>
              <w:t xml:space="preserve">Osvědčení plavidla vnitrozemské plavby č. </w:t>
            </w:r>
            <w:r w:rsidRPr="003B6E11">
              <w:rPr>
                <w:lang w:val="cs-CZ"/>
              </w:rPr>
              <w:tab/>
              <w:t xml:space="preserve"> vydané subjektem pověřeným prohlídkami </w:t>
            </w:r>
            <w:r w:rsidRPr="003B6E11">
              <w:rPr>
                <w:lang w:val="cs-CZ"/>
              </w:rPr>
              <w:tab/>
            </w:r>
          </w:p>
        </w:tc>
      </w:tr>
      <w:tr w:rsidR="003B6E11" w:rsidRPr="003B6E11" w:rsidTr="002D015D">
        <w:trPr>
          <w:cantSplit/>
          <w:jc w:val="center"/>
        </w:trPr>
        <w:tc>
          <w:tcPr>
            <w:tcW w:w="284" w:type="dxa"/>
            <w:tcBorders>
              <w:top w:val="single" w:sz="4" w:space="0" w:color="auto"/>
              <w:left w:val="single" w:sz="4" w:space="0" w:color="auto"/>
              <w:bottom w:val="single" w:sz="4" w:space="0" w:color="auto"/>
            </w:tcBorders>
          </w:tcPr>
          <w:p w:rsidR="003B6E11" w:rsidRPr="003B6E11" w:rsidRDefault="003B6E11" w:rsidP="002D015D">
            <w:pPr>
              <w:tabs>
                <w:tab w:val="left" w:pos="57"/>
                <w:tab w:val="left" w:pos="227"/>
              </w:tabs>
              <w:overflowPunct w:val="0"/>
              <w:adjustRightInd w:val="0"/>
              <w:spacing w:before="60"/>
              <w:textAlignment w:val="baseline"/>
              <w:rPr>
                <w:rFonts w:cs="Arial"/>
                <w:sz w:val="18"/>
                <w:szCs w:val="20"/>
                <w:lang w:val="cs-CZ"/>
              </w:rPr>
            </w:pPr>
            <w:r w:rsidRPr="003B6E11">
              <w:rPr>
                <w:sz w:val="18"/>
                <w:lang w:val="cs-CZ"/>
              </w:rPr>
              <w:t>49.</w:t>
            </w:r>
          </w:p>
        </w:tc>
        <w:tc>
          <w:tcPr>
            <w:tcW w:w="8902" w:type="dxa"/>
            <w:tcBorders>
              <w:top w:val="single" w:sz="4" w:space="0" w:color="auto"/>
              <w:bottom w:val="single" w:sz="4" w:space="0" w:color="auto"/>
              <w:right w:val="single" w:sz="4" w:space="0" w:color="auto"/>
            </w:tcBorders>
          </w:tcPr>
          <w:p w:rsidR="003B6E11" w:rsidRPr="003B6E11" w:rsidRDefault="003B6E11" w:rsidP="002D015D">
            <w:pPr>
              <w:tabs>
                <w:tab w:val="left" w:pos="4310"/>
                <w:tab w:val="left" w:leader="dot" w:pos="8505"/>
              </w:tabs>
              <w:overflowPunct w:val="0"/>
              <w:adjustRightInd w:val="0"/>
              <w:spacing w:before="60"/>
              <w:ind w:left="57"/>
              <w:textAlignment w:val="baseline"/>
              <w:rPr>
                <w:rFonts w:cs="Arial"/>
                <w:b/>
                <w:position w:val="6"/>
                <w:sz w:val="16"/>
                <w:szCs w:val="20"/>
                <w:lang w:val="cs-CZ"/>
              </w:rPr>
            </w:pPr>
            <w:r w:rsidRPr="003B6E11">
              <w:rPr>
                <w:b/>
                <w:sz w:val="18"/>
                <w:lang w:val="cs-CZ"/>
              </w:rPr>
              <w:t>Prodloužení / potvrzení</w:t>
            </w:r>
            <w:r w:rsidRPr="003B6E11">
              <w:rPr>
                <w:b/>
                <w:position w:val="6"/>
                <w:sz w:val="16"/>
                <w:lang w:val="cs-CZ"/>
              </w:rPr>
              <w:t>*)</w:t>
            </w:r>
            <w:r w:rsidRPr="003B6E11">
              <w:rPr>
                <w:b/>
                <w:sz w:val="18"/>
                <w:lang w:val="cs-CZ"/>
              </w:rPr>
              <w:t xml:space="preserve"> platnosti osvědčení plavidla vnitrozemské plavby</w:t>
            </w:r>
            <w:r w:rsidRPr="003B6E11">
              <w:rPr>
                <w:b/>
                <w:position w:val="6"/>
                <w:sz w:val="16"/>
                <w:lang w:val="cs-CZ"/>
              </w:rPr>
              <w:t>*)</w:t>
            </w:r>
            <w:r w:rsidRPr="003B6E11">
              <w:rPr>
                <w:b/>
                <w:sz w:val="18"/>
                <w:lang w:val="cs-CZ"/>
              </w:rPr>
              <w:t xml:space="preserve"> Pravidelná / zvláštní </w:t>
            </w:r>
            <w:r w:rsidRPr="003B6E11">
              <w:rPr>
                <w:b/>
                <w:position w:val="6"/>
                <w:sz w:val="16"/>
                <w:lang w:val="cs-CZ"/>
              </w:rPr>
              <w:t xml:space="preserve">*) </w:t>
            </w:r>
            <w:r w:rsidRPr="003B6E11">
              <w:rPr>
                <w:b/>
                <w:sz w:val="18"/>
                <w:lang w:val="cs-CZ"/>
              </w:rPr>
              <w:t>prohlídka</w:t>
            </w:r>
          </w:p>
          <w:p w:rsidR="003B6E11" w:rsidRPr="003B6E11" w:rsidRDefault="003B6E11" w:rsidP="002D015D">
            <w:pPr>
              <w:tabs>
                <w:tab w:val="left" w:leader="dot" w:pos="5103"/>
                <w:tab w:val="left" w:leader="dot" w:pos="8505"/>
              </w:tabs>
              <w:overflowPunct w:val="0"/>
              <w:adjustRightInd w:val="0"/>
              <w:spacing w:before="20"/>
              <w:ind w:left="57"/>
              <w:textAlignment w:val="baseline"/>
              <w:rPr>
                <w:rFonts w:cs="Arial"/>
                <w:sz w:val="18"/>
                <w:szCs w:val="20"/>
                <w:lang w:val="cs-CZ"/>
              </w:rPr>
            </w:pPr>
            <w:r w:rsidRPr="003B6E11">
              <w:rPr>
                <w:sz w:val="18"/>
                <w:lang w:val="cs-CZ"/>
              </w:rPr>
              <w:t>Subjekt pověřený prohlídkami plavidlo prohlédl dne</w:t>
            </w:r>
            <w:r w:rsidRPr="003B6E11">
              <w:rPr>
                <w:lang w:val="cs-CZ"/>
              </w:rPr>
              <w:tab/>
            </w:r>
            <w:r w:rsidRPr="003B6E11">
              <w:rPr>
                <w:position w:val="6"/>
                <w:sz w:val="16"/>
                <w:lang w:val="cs-CZ"/>
              </w:rPr>
              <w:t>*)</w:t>
            </w:r>
            <w:r w:rsidRPr="003B6E11">
              <w:rPr>
                <w:sz w:val="18"/>
                <w:lang w:val="cs-CZ"/>
              </w:rPr>
              <w:t>.</w:t>
            </w:r>
          </w:p>
          <w:p w:rsidR="003B6E11" w:rsidRPr="003B6E11" w:rsidRDefault="003B6E11" w:rsidP="002D015D">
            <w:pPr>
              <w:tabs>
                <w:tab w:val="left" w:leader="dot" w:pos="3686"/>
                <w:tab w:val="left" w:leader="dot" w:pos="8505"/>
              </w:tabs>
              <w:overflowPunct w:val="0"/>
              <w:adjustRightInd w:val="0"/>
              <w:spacing w:after="20"/>
              <w:ind w:left="57"/>
              <w:textAlignment w:val="baseline"/>
              <w:rPr>
                <w:rFonts w:cs="Arial"/>
                <w:sz w:val="18"/>
                <w:szCs w:val="20"/>
                <w:lang w:val="cs-CZ"/>
              </w:rPr>
            </w:pPr>
            <w:r w:rsidRPr="003B6E11">
              <w:rPr>
                <w:sz w:val="18"/>
                <w:lang w:val="cs-CZ"/>
              </w:rPr>
              <w:t>Osvědčení ze dne</w:t>
            </w:r>
            <w:r w:rsidRPr="003B6E11">
              <w:rPr>
                <w:lang w:val="cs-CZ"/>
              </w:rPr>
              <w:tab/>
            </w:r>
            <w:r w:rsidRPr="003B6E11">
              <w:rPr>
                <w:noProof/>
                <w:sz w:val="18"/>
                <w:lang w:val="cs-CZ"/>
              </w:rPr>
              <w:t>vydané uznanou klasifikační společností</w:t>
            </w:r>
            <w:r w:rsidRPr="003B6E11">
              <w:rPr>
                <w:lang w:val="cs-CZ"/>
              </w:rPr>
              <w:tab/>
            </w:r>
          </w:p>
          <w:p w:rsidR="003B6E11" w:rsidRPr="003B6E11" w:rsidRDefault="003B6E11" w:rsidP="002D015D">
            <w:pPr>
              <w:tabs>
                <w:tab w:val="left" w:leader="dot" w:pos="8505"/>
              </w:tabs>
              <w:overflowPunct w:val="0"/>
              <w:adjustRightInd w:val="0"/>
              <w:ind w:left="57"/>
              <w:textAlignment w:val="baseline"/>
              <w:rPr>
                <w:rFonts w:cs="Arial"/>
                <w:sz w:val="18"/>
                <w:szCs w:val="20"/>
                <w:lang w:val="cs-CZ"/>
              </w:rPr>
            </w:pPr>
            <w:r w:rsidRPr="003B6E11">
              <w:rPr>
                <w:lang w:val="cs-CZ"/>
              </w:rPr>
              <w:tab/>
            </w:r>
          </w:p>
          <w:p w:rsidR="003B6E11" w:rsidRPr="003B6E11" w:rsidRDefault="003B6E11" w:rsidP="002D015D">
            <w:pPr>
              <w:overflowPunct w:val="0"/>
              <w:adjustRightInd w:val="0"/>
              <w:spacing w:after="20"/>
              <w:ind w:left="57"/>
              <w:textAlignment w:val="baseline"/>
              <w:rPr>
                <w:rFonts w:cs="Arial"/>
                <w:sz w:val="18"/>
                <w:szCs w:val="20"/>
                <w:lang w:val="cs-CZ"/>
              </w:rPr>
            </w:pPr>
            <w:r w:rsidRPr="003B6E11">
              <w:rPr>
                <w:noProof/>
                <w:sz w:val="18"/>
                <w:lang w:val="cs-CZ"/>
              </w:rPr>
              <w:t>bylo předloženo subjektu pověřenému prohlídkami</w:t>
            </w:r>
            <w:r w:rsidRPr="003B6E11">
              <w:rPr>
                <w:position w:val="6"/>
                <w:sz w:val="16"/>
                <w:lang w:val="cs-CZ"/>
              </w:rPr>
              <w:t>*)</w:t>
            </w:r>
            <w:r w:rsidRPr="003B6E11">
              <w:rPr>
                <w:sz w:val="18"/>
                <w:lang w:val="cs-CZ"/>
              </w:rPr>
              <w:t>.</w:t>
            </w:r>
          </w:p>
          <w:p w:rsidR="003B6E11" w:rsidRPr="003B6E11" w:rsidRDefault="003B6E11" w:rsidP="002D015D">
            <w:pPr>
              <w:overflowPunct w:val="0"/>
              <w:adjustRightInd w:val="0"/>
              <w:spacing w:after="20"/>
              <w:ind w:left="57"/>
              <w:textAlignment w:val="baseline"/>
              <w:rPr>
                <w:rFonts w:cs="Arial"/>
                <w:sz w:val="18"/>
                <w:szCs w:val="20"/>
                <w:lang w:val="cs-CZ"/>
              </w:rPr>
            </w:pPr>
            <w:r w:rsidRPr="003B6E11">
              <w:rPr>
                <w:noProof/>
                <w:sz w:val="18"/>
                <w:lang w:val="cs-CZ"/>
              </w:rPr>
              <w:t>Důvod prohlídky/osvědčení</w:t>
            </w:r>
            <w:r w:rsidRPr="003B6E11">
              <w:rPr>
                <w:position w:val="6"/>
                <w:sz w:val="16"/>
                <w:lang w:val="cs-CZ"/>
              </w:rPr>
              <w:t>*)</w:t>
            </w:r>
            <w:r w:rsidRPr="003B6E11">
              <w:rPr>
                <w:sz w:val="18"/>
                <w:lang w:val="cs-CZ"/>
              </w:rPr>
              <w:t>:</w:t>
            </w:r>
          </w:p>
          <w:p w:rsidR="003B6E11" w:rsidRPr="003B6E11" w:rsidRDefault="003B6E11" w:rsidP="002D015D">
            <w:pPr>
              <w:tabs>
                <w:tab w:val="left" w:leader="dot" w:pos="8505"/>
              </w:tabs>
              <w:overflowPunct w:val="0"/>
              <w:adjustRightInd w:val="0"/>
              <w:spacing w:after="80"/>
              <w:ind w:left="57"/>
              <w:textAlignment w:val="baseline"/>
              <w:rPr>
                <w:rFonts w:cs="Arial"/>
                <w:position w:val="6"/>
                <w:sz w:val="16"/>
                <w:szCs w:val="20"/>
                <w:lang w:val="cs-CZ"/>
              </w:rPr>
            </w:pPr>
            <w:r w:rsidRPr="003B6E11">
              <w:rPr>
                <w:lang w:val="cs-CZ"/>
              </w:rPr>
              <w:tab/>
            </w:r>
          </w:p>
          <w:p w:rsidR="003B6E11" w:rsidRPr="003B6E11" w:rsidRDefault="003B6E11" w:rsidP="002D015D">
            <w:pPr>
              <w:tabs>
                <w:tab w:val="left" w:leader="dot" w:pos="8505"/>
              </w:tabs>
              <w:overflowPunct w:val="0"/>
              <w:adjustRightInd w:val="0"/>
              <w:ind w:left="57"/>
              <w:textAlignment w:val="baseline"/>
              <w:rPr>
                <w:rFonts w:cs="Arial"/>
                <w:position w:val="6"/>
                <w:sz w:val="16"/>
                <w:szCs w:val="20"/>
                <w:lang w:val="cs-CZ"/>
              </w:rPr>
            </w:pPr>
            <w:r w:rsidRPr="003B6E11">
              <w:rPr>
                <w:lang w:val="cs-CZ"/>
              </w:rPr>
              <w:tab/>
            </w:r>
          </w:p>
          <w:p w:rsidR="003B6E11" w:rsidRPr="003B6E11" w:rsidRDefault="003B6E11" w:rsidP="002D015D">
            <w:pPr>
              <w:tabs>
                <w:tab w:val="left" w:leader="dot" w:pos="8505"/>
              </w:tabs>
              <w:overflowPunct w:val="0"/>
              <w:adjustRightInd w:val="0"/>
              <w:ind w:left="57"/>
              <w:textAlignment w:val="baseline"/>
              <w:rPr>
                <w:rFonts w:cs="Arial"/>
                <w:position w:val="6"/>
                <w:sz w:val="16"/>
                <w:szCs w:val="20"/>
                <w:lang w:val="cs-CZ"/>
              </w:rPr>
            </w:pPr>
            <w:r w:rsidRPr="003B6E11">
              <w:rPr>
                <w:sz w:val="18"/>
                <w:lang w:val="cs-CZ"/>
              </w:rPr>
              <w:t>S ohledem na výsledek prohlídky / osvědčení *) se doba platnosti osvědčení zachovává / prodlužuje</w:t>
            </w:r>
            <w:r w:rsidRPr="003B6E11">
              <w:rPr>
                <w:position w:val="6"/>
                <w:sz w:val="16"/>
                <w:lang w:val="cs-CZ"/>
              </w:rPr>
              <w:t xml:space="preserve"> *)</w:t>
            </w:r>
          </w:p>
          <w:p w:rsidR="003B6E11" w:rsidRPr="003B6E11" w:rsidRDefault="003B6E11" w:rsidP="002D015D">
            <w:pPr>
              <w:tabs>
                <w:tab w:val="left" w:leader="dot" w:pos="2268"/>
                <w:tab w:val="left" w:leader="dot" w:pos="3402"/>
                <w:tab w:val="left" w:leader="dot" w:pos="8505"/>
              </w:tabs>
              <w:overflowPunct w:val="0"/>
              <w:adjustRightInd w:val="0"/>
              <w:ind w:left="57"/>
              <w:textAlignment w:val="baseline"/>
              <w:rPr>
                <w:rFonts w:cs="Arial"/>
                <w:sz w:val="18"/>
                <w:szCs w:val="20"/>
                <w:lang w:val="cs-CZ"/>
              </w:rPr>
            </w:pPr>
            <w:r w:rsidRPr="003B6E11">
              <w:rPr>
                <w:sz w:val="18"/>
                <w:lang w:val="cs-CZ"/>
              </w:rPr>
              <w:t xml:space="preserve">do </w:t>
            </w:r>
            <w:r w:rsidRPr="003B6E11">
              <w:rPr>
                <w:lang w:val="cs-CZ"/>
              </w:rPr>
              <w:tab/>
            </w:r>
            <w:r w:rsidRPr="003B6E11">
              <w:rPr>
                <w:sz w:val="18"/>
                <w:lang w:val="cs-CZ"/>
              </w:rPr>
              <w:t xml:space="preserve"> .</w:t>
            </w:r>
          </w:p>
          <w:p w:rsidR="003B6E11" w:rsidRPr="003B6E11" w:rsidRDefault="003B6E11" w:rsidP="002D015D">
            <w:pPr>
              <w:tabs>
                <w:tab w:val="left" w:pos="57"/>
                <w:tab w:val="left" w:leader="dot" w:pos="3969"/>
                <w:tab w:val="left" w:leader="dot" w:pos="6237"/>
                <w:tab w:val="left" w:leader="dot" w:pos="8505"/>
              </w:tabs>
              <w:overflowPunct w:val="0"/>
              <w:adjustRightInd w:val="0"/>
              <w:spacing w:before="80"/>
              <w:ind w:left="57"/>
              <w:textAlignment w:val="baseline"/>
              <w:rPr>
                <w:rFonts w:cs="Arial"/>
                <w:sz w:val="18"/>
                <w:szCs w:val="20"/>
                <w:lang w:val="cs-CZ"/>
              </w:rPr>
            </w:pPr>
            <w:r w:rsidRPr="003B6E11">
              <w:rPr>
                <w:lang w:val="cs-CZ"/>
              </w:rPr>
              <w:tab/>
            </w:r>
            <w:r w:rsidRPr="003B6E11">
              <w:rPr>
                <w:sz w:val="18"/>
                <w:lang w:val="cs-CZ"/>
              </w:rPr>
              <w:t xml:space="preserve">, </w:t>
            </w:r>
            <w:r w:rsidRPr="003B6E11">
              <w:rPr>
                <w:lang w:val="cs-CZ"/>
              </w:rPr>
              <w:tab/>
            </w:r>
          </w:p>
          <w:p w:rsidR="003B6E11" w:rsidRPr="003B6E11" w:rsidRDefault="003B6E11" w:rsidP="002D015D">
            <w:pPr>
              <w:tabs>
                <w:tab w:val="center" w:pos="2041"/>
                <w:tab w:val="center" w:pos="5216"/>
              </w:tabs>
              <w:overflowPunct w:val="0"/>
              <w:adjustRightInd w:val="0"/>
              <w:textAlignment w:val="baseline"/>
              <w:rPr>
                <w:rFonts w:cs="Arial"/>
                <w:sz w:val="18"/>
                <w:szCs w:val="20"/>
                <w:lang w:val="cs-CZ"/>
              </w:rPr>
            </w:pPr>
            <w:r w:rsidRPr="003B6E11">
              <w:rPr>
                <w:lang w:val="cs-CZ"/>
              </w:rPr>
              <w:tab/>
            </w:r>
            <w:r w:rsidRPr="003B6E11">
              <w:rPr>
                <w:sz w:val="16"/>
                <w:lang w:val="cs-CZ"/>
              </w:rPr>
              <w:t>(místo)</w:t>
            </w:r>
            <w:r w:rsidRPr="003B6E11">
              <w:rPr>
                <w:lang w:val="cs-CZ"/>
              </w:rPr>
              <w:tab/>
            </w:r>
            <w:r w:rsidRPr="003B6E11">
              <w:rPr>
                <w:sz w:val="16"/>
                <w:lang w:val="cs-CZ"/>
              </w:rPr>
              <w:t>(datum)</w:t>
            </w:r>
          </w:p>
          <w:p w:rsidR="003B6E11" w:rsidRPr="003B6E11" w:rsidRDefault="003B6E11" w:rsidP="002D015D">
            <w:pPr>
              <w:tabs>
                <w:tab w:val="left" w:pos="4820"/>
                <w:tab w:val="left" w:leader="dot" w:pos="8505"/>
              </w:tabs>
              <w:overflowPunct w:val="0"/>
              <w:adjustRightInd w:val="0"/>
              <w:spacing w:before="120"/>
              <w:ind w:left="57"/>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1985"/>
                <w:tab w:val="center" w:pos="6662"/>
              </w:tabs>
              <w:overflowPunct w:val="0"/>
              <w:adjustRightInd w:val="0"/>
              <w:textAlignment w:val="baseline"/>
              <w:rPr>
                <w:rFonts w:cs="Arial"/>
                <w:sz w:val="18"/>
                <w:szCs w:val="20"/>
                <w:lang w:val="cs-CZ"/>
              </w:rPr>
            </w:pPr>
            <w:r w:rsidRPr="003B6E11">
              <w:rPr>
                <w:lang w:val="cs-CZ"/>
              </w:rPr>
              <w:tab/>
            </w:r>
            <w:r w:rsidRPr="003B6E11">
              <w:rPr>
                <w:sz w:val="16"/>
                <w:lang w:val="cs-CZ"/>
              </w:rPr>
              <w:t>Razítko</w:t>
            </w:r>
            <w:r w:rsidRPr="003B6E11">
              <w:rPr>
                <w:lang w:val="cs-CZ"/>
              </w:rPr>
              <w:tab/>
            </w:r>
            <w:r w:rsidRPr="003B6E11">
              <w:rPr>
                <w:sz w:val="16"/>
                <w:lang w:val="cs-CZ"/>
              </w:rPr>
              <w:t>Subjekt pověřený prohlídkami</w:t>
            </w:r>
          </w:p>
          <w:p w:rsidR="003B6E11" w:rsidRPr="003B6E11" w:rsidRDefault="003B6E11" w:rsidP="002D015D">
            <w:pPr>
              <w:tabs>
                <w:tab w:val="left" w:pos="4820"/>
                <w:tab w:val="left" w:leader="dot" w:pos="8505"/>
              </w:tabs>
              <w:overflowPunct w:val="0"/>
              <w:adjustRightInd w:val="0"/>
              <w:spacing w:before="120"/>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6662"/>
              </w:tabs>
              <w:overflowPunct w:val="0"/>
              <w:adjustRightInd w:val="0"/>
              <w:ind w:left="57"/>
              <w:textAlignment w:val="baseline"/>
              <w:rPr>
                <w:rFonts w:cs="Arial"/>
                <w:sz w:val="16"/>
                <w:szCs w:val="20"/>
                <w:lang w:val="cs-CZ"/>
              </w:rPr>
            </w:pPr>
            <w:r w:rsidRPr="003B6E11">
              <w:rPr>
                <w:sz w:val="18"/>
                <w:lang w:val="cs-CZ"/>
              </w:rPr>
              <w:t>______________________</w:t>
            </w:r>
            <w:r w:rsidRPr="003B6E11">
              <w:rPr>
                <w:lang w:val="cs-CZ"/>
              </w:rPr>
              <w:tab/>
            </w:r>
            <w:r w:rsidRPr="003B6E11">
              <w:rPr>
                <w:sz w:val="16"/>
                <w:lang w:val="cs-CZ"/>
              </w:rPr>
              <w:t>(podpis)</w:t>
            </w:r>
          </w:p>
          <w:p w:rsidR="003B6E11" w:rsidRPr="003B6E11" w:rsidRDefault="003B6E11" w:rsidP="002D015D">
            <w:pPr>
              <w:tabs>
                <w:tab w:val="left" w:pos="227"/>
              </w:tabs>
              <w:overflowPunct w:val="0"/>
              <w:adjustRightInd w:val="0"/>
              <w:spacing w:after="40"/>
              <w:ind w:left="57"/>
              <w:textAlignment w:val="baseline"/>
              <w:rPr>
                <w:rFonts w:cs="Arial"/>
                <w:sz w:val="18"/>
                <w:szCs w:val="20"/>
                <w:lang w:val="cs-CZ"/>
              </w:rPr>
            </w:pPr>
            <w:r w:rsidRPr="003B6E11">
              <w:rPr>
                <w:position w:val="4"/>
                <w:sz w:val="16"/>
                <w:vertAlign w:val="superscript"/>
                <w:lang w:val="cs-CZ"/>
              </w:rPr>
              <w:t>*)</w:t>
            </w:r>
            <w:r w:rsidRPr="003B6E11">
              <w:rPr>
                <w:lang w:val="cs-CZ"/>
              </w:rPr>
              <w:tab/>
            </w:r>
            <w:r w:rsidRPr="003B6E11">
              <w:rPr>
                <w:sz w:val="16"/>
                <w:lang w:val="cs-CZ"/>
              </w:rPr>
              <w:t>Nehodící se škrtněte.</w:t>
            </w:r>
          </w:p>
        </w:tc>
      </w:tr>
      <w:tr w:rsidR="003B6E11" w:rsidRPr="003B6E11" w:rsidTr="002D015D">
        <w:trPr>
          <w:cantSplit/>
          <w:jc w:val="center"/>
        </w:trPr>
        <w:tc>
          <w:tcPr>
            <w:tcW w:w="284" w:type="dxa"/>
            <w:tcBorders>
              <w:top w:val="single" w:sz="4"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60"/>
              <w:textAlignment w:val="baseline"/>
              <w:rPr>
                <w:rFonts w:cs="Arial"/>
                <w:sz w:val="18"/>
                <w:szCs w:val="20"/>
                <w:lang w:val="cs-CZ"/>
              </w:rPr>
            </w:pPr>
            <w:r w:rsidRPr="003B6E11">
              <w:rPr>
                <w:sz w:val="18"/>
                <w:lang w:val="cs-CZ"/>
              </w:rPr>
              <w:t>49.</w:t>
            </w:r>
          </w:p>
        </w:tc>
        <w:tc>
          <w:tcPr>
            <w:tcW w:w="8902" w:type="dxa"/>
            <w:tcBorders>
              <w:top w:val="single" w:sz="4" w:space="0" w:color="auto"/>
              <w:bottom w:val="single" w:sz="6" w:space="0" w:color="auto"/>
              <w:right w:val="single" w:sz="6" w:space="0" w:color="auto"/>
            </w:tcBorders>
          </w:tcPr>
          <w:p w:rsidR="003B6E11" w:rsidRPr="003B6E11" w:rsidRDefault="003B6E11" w:rsidP="002D015D">
            <w:pPr>
              <w:tabs>
                <w:tab w:val="left" w:pos="4452"/>
                <w:tab w:val="left" w:leader="dot" w:pos="8505"/>
              </w:tabs>
              <w:overflowPunct w:val="0"/>
              <w:adjustRightInd w:val="0"/>
              <w:spacing w:before="60"/>
              <w:ind w:left="57"/>
              <w:textAlignment w:val="baseline"/>
              <w:rPr>
                <w:rFonts w:cs="Arial"/>
                <w:b/>
                <w:position w:val="6"/>
                <w:sz w:val="16"/>
                <w:szCs w:val="20"/>
                <w:lang w:val="cs-CZ"/>
              </w:rPr>
            </w:pPr>
            <w:r w:rsidRPr="003B6E11">
              <w:rPr>
                <w:b/>
                <w:sz w:val="18"/>
                <w:lang w:val="cs-CZ"/>
              </w:rPr>
              <w:t>Prodloužení / potvrzení</w:t>
            </w:r>
            <w:r w:rsidRPr="003B6E11">
              <w:rPr>
                <w:b/>
                <w:position w:val="6"/>
                <w:sz w:val="16"/>
                <w:lang w:val="cs-CZ"/>
              </w:rPr>
              <w:t>*)</w:t>
            </w:r>
            <w:r w:rsidRPr="003B6E11">
              <w:rPr>
                <w:b/>
                <w:sz w:val="18"/>
                <w:lang w:val="cs-CZ"/>
              </w:rPr>
              <w:t xml:space="preserve"> platnosti osvědčení plavidla vnitrozemské plavby</w:t>
            </w:r>
            <w:r w:rsidRPr="003B6E11">
              <w:rPr>
                <w:b/>
                <w:position w:val="6"/>
                <w:sz w:val="16"/>
                <w:lang w:val="cs-CZ"/>
              </w:rPr>
              <w:t>*)</w:t>
            </w:r>
            <w:r w:rsidRPr="003B6E11">
              <w:rPr>
                <w:b/>
                <w:sz w:val="18"/>
                <w:lang w:val="cs-CZ"/>
              </w:rPr>
              <w:t xml:space="preserve"> Pravidelná / zvláštní </w:t>
            </w:r>
            <w:r w:rsidRPr="003B6E11">
              <w:rPr>
                <w:b/>
                <w:position w:val="6"/>
                <w:sz w:val="16"/>
                <w:lang w:val="cs-CZ"/>
              </w:rPr>
              <w:t xml:space="preserve">*) </w:t>
            </w:r>
            <w:r w:rsidRPr="003B6E11">
              <w:rPr>
                <w:b/>
                <w:sz w:val="18"/>
                <w:lang w:val="cs-CZ"/>
              </w:rPr>
              <w:t>prohlídka</w:t>
            </w:r>
          </w:p>
          <w:p w:rsidR="003B6E11" w:rsidRPr="003B6E11" w:rsidRDefault="003B6E11" w:rsidP="002D015D">
            <w:pPr>
              <w:tabs>
                <w:tab w:val="left" w:leader="dot" w:pos="5103"/>
                <w:tab w:val="left" w:leader="dot" w:pos="8505"/>
              </w:tabs>
              <w:overflowPunct w:val="0"/>
              <w:adjustRightInd w:val="0"/>
              <w:spacing w:before="20"/>
              <w:ind w:left="57"/>
              <w:textAlignment w:val="baseline"/>
              <w:rPr>
                <w:rFonts w:cs="Arial"/>
                <w:sz w:val="18"/>
                <w:szCs w:val="20"/>
                <w:lang w:val="cs-CZ"/>
              </w:rPr>
            </w:pPr>
            <w:r w:rsidRPr="003B6E11">
              <w:rPr>
                <w:sz w:val="18"/>
                <w:lang w:val="cs-CZ"/>
              </w:rPr>
              <w:t>Subjekt pověřený prohlídkami plavidlo prohlédl dne</w:t>
            </w:r>
            <w:r w:rsidRPr="003B6E11">
              <w:rPr>
                <w:lang w:val="cs-CZ"/>
              </w:rPr>
              <w:tab/>
            </w:r>
            <w:r w:rsidRPr="003B6E11">
              <w:rPr>
                <w:position w:val="6"/>
                <w:sz w:val="16"/>
                <w:lang w:val="cs-CZ"/>
              </w:rPr>
              <w:t>*)</w:t>
            </w:r>
            <w:r w:rsidRPr="003B6E11">
              <w:rPr>
                <w:sz w:val="18"/>
                <w:lang w:val="cs-CZ"/>
              </w:rPr>
              <w:t>.</w:t>
            </w:r>
          </w:p>
          <w:p w:rsidR="003B6E11" w:rsidRPr="003B6E11" w:rsidRDefault="003B6E11" w:rsidP="002D015D">
            <w:pPr>
              <w:tabs>
                <w:tab w:val="left" w:leader="dot" w:pos="3686"/>
                <w:tab w:val="left" w:leader="dot" w:pos="8505"/>
              </w:tabs>
              <w:overflowPunct w:val="0"/>
              <w:adjustRightInd w:val="0"/>
              <w:spacing w:after="20"/>
              <w:ind w:left="57"/>
              <w:textAlignment w:val="baseline"/>
              <w:rPr>
                <w:rFonts w:cs="Arial"/>
                <w:sz w:val="18"/>
                <w:szCs w:val="20"/>
                <w:lang w:val="cs-CZ"/>
              </w:rPr>
            </w:pPr>
            <w:r w:rsidRPr="003B6E11">
              <w:rPr>
                <w:sz w:val="18"/>
                <w:lang w:val="cs-CZ"/>
              </w:rPr>
              <w:t>Osvědčení ze dne</w:t>
            </w:r>
            <w:r w:rsidRPr="003B6E11">
              <w:rPr>
                <w:lang w:val="cs-CZ"/>
              </w:rPr>
              <w:tab/>
            </w:r>
            <w:r w:rsidRPr="003B6E11">
              <w:rPr>
                <w:noProof/>
                <w:sz w:val="18"/>
                <w:lang w:val="cs-CZ"/>
              </w:rPr>
              <w:t>vydané uznanou klasifikační společností</w:t>
            </w:r>
            <w:r w:rsidRPr="003B6E11">
              <w:rPr>
                <w:lang w:val="cs-CZ"/>
              </w:rPr>
              <w:tab/>
            </w:r>
          </w:p>
          <w:p w:rsidR="003B6E11" w:rsidRPr="003B6E11" w:rsidRDefault="003B6E11" w:rsidP="002D015D">
            <w:pPr>
              <w:tabs>
                <w:tab w:val="left" w:leader="dot" w:pos="8505"/>
              </w:tabs>
              <w:overflowPunct w:val="0"/>
              <w:adjustRightInd w:val="0"/>
              <w:ind w:left="57"/>
              <w:textAlignment w:val="baseline"/>
              <w:rPr>
                <w:rFonts w:cs="Arial"/>
                <w:sz w:val="18"/>
                <w:szCs w:val="20"/>
                <w:lang w:val="cs-CZ"/>
              </w:rPr>
            </w:pPr>
            <w:r w:rsidRPr="003B6E11">
              <w:rPr>
                <w:lang w:val="cs-CZ"/>
              </w:rPr>
              <w:tab/>
            </w:r>
          </w:p>
          <w:p w:rsidR="003B6E11" w:rsidRPr="003B6E11" w:rsidRDefault="003B6E11" w:rsidP="002D015D">
            <w:pPr>
              <w:overflowPunct w:val="0"/>
              <w:adjustRightInd w:val="0"/>
              <w:spacing w:after="20"/>
              <w:ind w:left="57"/>
              <w:textAlignment w:val="baseline"/>
              <w:rPr>
                <w:rFonts w:cs="Arial"/>
                <w:sz w:val="18"/>
                <w:szCs w:val="20"/>
                <w:lang w:val="cs-CZ"/>
              </w:rPr>
            </w:pPr>
            <w:r w:rsidRPr="003B6E11">
              <w:rPr>
                <w:noProof/>
                <w:sz w:val="18"/>
                <w:lang w:val="cs-CZ"/>
              </w:rPr>
              <w:t>bylo předloženo subjektu pověřenému prohlídkami</w:t>
            </w:r>
            <w:r w:rsidRPr="003B6E11">
              <w:rPr>
                <w:position w:val="6"/>
                <w:sz w:val="16"/>
                <w:lang w:val="cs-CZ"/>
              </w:rPr>
              <w:t>*)</w:t>
            </w:r>
            <w:r w:rsidRPr="003B6E11">
              <w:rPr>
                <w:sz w:val="18"/>
                <w:lang w:val="cs-CZ"/>
              </w:rPr>
              <w:t>.</w:t>
            </w:r>
          </w:p>
          <w:p w:rsidR="003B6E11" w:rsidRPr="003B6E11" w:rsidRDefault="003B6E11" w:rsidP="002D015D">
            <w:pPr>
              <w:overflowPunct w:val="0"/>
              <w:adjustRightInd w:val="0"/>
              <w:spacing w:after="20"/>
              <w:ind w:left="57"/>
              <w:textAlignment w:val="baseline"/>
              <w:rPr>
                <w:rFonts w:cs="Arial"/>
                <w:sz w:val="18"/>
                <w:szCs w:val="20"/>
                <w:lang w:val="cs-CZ"/>
              </w:rPr>
            </w:pPr>
            <w:r w:rsidRPr="003B6E11">
              <w:rPr>
                <w:noProof/>
                <w:sz w:val="18"/>
                <w:lang w:val="cs-CZ"/>
              </w:rPr>
              <w:t>Důvod prohlídky/osvědčení</w:t>
            </w:r>
            <w:r w:rsidRPr="003B6E11">
              <w:rPr>
                <w:position w:val="6"/>
                <w:sz w:val="16"/>
                <w:lang w:val="cs-CZ"/>
              </w:rPr>
              <w:t>*)</w:t>
            </w:r>
            <w:r w:rsidRPr="003B6E11">
              <w:rPr>
                <w:sz w:val="18"/>
                <w:lang w:val="cs-CZ"/>
              </w:rPr>
              <w:t>:</w:t>
            </w:r>
          </w:p>
          <w:p w:rsidR="003B6E11" w:rsidRPr="003B6E11" w:rsidRDefault="003B6E11" w:rsidP="002D015D">
            <w:pPr>
              <w:tabs>
                <w:tab w:val="left" w:leader="dot" w:pos="8505"/>
              </w:tabs>
              <w:overflowPunct w:val="0"/>
              <w:adjustRightInd w:val="0"/>
              <w:spacing w:after="80"/>
              <w:ind w:left="57"/>
              <w:textAlignment w:val="baseline"/>
              <w:rPr>
                <w:rFonts w:cs="Arial"/>
                <w:position w:val="6"/>
                <w:sz w:val="16"/>
                <w:szCs w:val="20"/>
                <w:lang w:val="cs-CZ"/>
              </w:rPr>
            </w:pPr>
            <w:r w:rsidRPr="003B6E11">
              <w:rPr>
                <w:lang w:val="cs-CZ"/>
              </w:rPr>
              <w:tab/>
            </w:r>
          </w:p>
          <w:p w:rsidR="003B6E11" w:rsidRPr="003B6E11" w:rsidRDefault="003B6E11" w:rsidP="002D015D">
            <w:pPr>
              <w:tabs>
                <w:tab w:val="left" w:leader="dot" w:pos="8505"/>
              </w:tabs>
              <w:overflowPunct w:val="0"/>
              <w:adjustRightInd w:val="0"/>
              <w:ind w:left="57"/>
              <w:textAlignment w:val="baseline"/>
              <w:rPr>
                <w:rFonts w:cs="Arial"/>
                <w:position w:val="6"/>
                <w:sz w:val="16"/>
                <w:szCs w:val="20"/>
                <w:lang w:val="cs-CZ"/>
              </w:rPr>
            </w:pPr>
            <w:r w:rsidRPr="003B6E11">
              <w:rPr>
                <w:lang w:val="cs-CZ"/>
              </w:rPr>
              <w:tab/>
            </w:r>
          </w:p>
          <w:p w:rsidR="003B6E11" w:rsidRPr="003B6E11" w:rsidRDefault="003B6E11" w:rsidP="002D015D">
            <w:pPr>
              <w:tabs>
                <w:tab w:val="left" w:leader="dot" w:pos="8505"/>
              </w:tabs>
              <w:overflowPunct w:val="0"/>
              <w:adjustRightInd w:val="0"/>
              <w:ind w:left="57"/>
              <w:textAlignment w:val="baseline"/>
              <w:rPr>
                <w:rFonts w:cs="Arial"/>
                <w:position w:val="6"/>
                <w:sz w:val="16"/>
                <w:szCs w:val="20"/>
                <w:lang w:val="cs-CZ"/>
              </w:rPr>
            </w:pPr>
            <w:r w:rsidRPr="003B6E11">
              <w:rPr>
                <w:sz w:val="18"/>
                <w:lang w:val="cs-CZ"/>
              </w:rPr>
              <w:t>S ohledem na výsledek prohlídky / osvědčení *) se doba platnosti osvědčení zachovává / prodlužuje</w:t>
            </w:r>
            <w:r w:rsidRPr="003B6E11">
              <w:rPr>
                <w:position w:val="6"/>
                <w:sz w:val="16"/>
                <w:lang w:val="cs-CZ"/>
              </w:rPr>
              <w:t xml:space="preserve"> *)</w:t>
            </w:r>
          </w:p>
          <w:p w:rsidR="003B6E11" w:rsidRPr="003B6E11" w:rsidRDefault="003B6E11" w:rsidP="002D015D">
            <w:pPr>
              <w:tabs>
                <w:tab w:val="left" w:leader="dot" w:pos="2268"/>
                <w:tab w:val="left" w:leader="dot" w:pos="3402"/>
                <w:tab w:val="left" w:leader="dot" w:pos="8505"/>
              </w:tabs>
              <w:overflowPunct w:val="0"/>
              <w:adjustRightInd w:val="0"/>
              <w:ind w:left="57"/>
              <w:textAlignment w:val="baseline"/>
              <w:rPr>
                <w:rFonts w:cs="Arial"/>
                <w:sz w:val="18"/>
                <w:szCs w:val="20"/>
                <w:lang w:val="cs-CZ"/>
              </w:rPr>
            </w:pPr>
            <w:r w:rsidRPr="003B6E11">
              <w:rPr>
                <w:sz w:val="18"/>
                <w:lang w:val="cs-CZ"/>
              </w:rPr>
              <w:t xml:space="preserve">do </w:t>
            </w:r>
            <w:r w:rsidRPr="003B6E11">
              <w:rPr>
                <w:lang w:val="cs-CZ"/>
              </w:rPr>
              <w:tab/>
            </w:r>
            <w:r w:rsidRPr="003B6E11">
              <w:rPr>
                <w:sz w:val="18"/>
                <w:lang w:val="cs-CZ"/>
              </w:rPr>
              <w:t xml:space="preserve"> .</w:t>
            </w:r>
          </w:p>
          <w:p w:rsidR="003B6E11" w:rsidRPr="003B6E11" w:rsidRDefault="003B6E11" w:rsidP="002D015D">
            <w:pPr>
              <w:tabs>
                <w:tab w:val="left" w:pos="57"/>
                <w:tab w:val="left" w:leader="dot" w:pos="3969"/>
                <w:tab w:val="left" w:leader="dot" w:pos="6237"/>
                <w:tab w:val="left" w:leader="dot" w:pos="8505"/>
              </w:tabs>
              <w:overflowPunct w:val="0"/>
              <w:adjustRightInd w:val="0"/>
              <w:spacing w:before="20"/>
              <w:ind w:left="57"/>
              <w:textAlignment w:val="baseline"/>
              <w:rPr>
                <w:rFonts w:cs="Arial"/>
                <w:sz w:val="18"/>
                <w:szCs w:val="20"/>
                <w:lang w:val="cs-CZ"/>
              </w:rPr>
            </w:pPr>
            <w:r w:rsidRPr="003B6E11">
              <w:rPr>
                <w:lang w:val="cs-CZ"/>
              </w:rPr>
              <w:tab/>
            </w:r>
            <w:r w:rsidRPr="003B6E11">
              <w:rPr>
                <w:sz w:val="18"/>
                <w:lang w:val="cs-CZ"/>
              </w:rPr>
              <w:t xml:space="preserve">, </w:t>
            </w:r>
            <w:r w:rsidRPr="003B6E11">
              <w:rPr>
                <w:lang w:val="cs-CZ"/>
              </w:rPr>
              <w:tab/>
            </w:r>
          </w:p>
          <w:p w:rsidR="003B6E11" w:rsidRPr="003B6E11" w:rsidRDefault="003B6E11" w:rsidP="002D015D">
            <w:pPr>
              <w:tabs>
                <w:tab w:val="center" w:pos="2041"/>
                <w:tab w:val="center" w:pos="5216"/>
              </w:tabs>
              <w:overflowPunct w:val="0"/>
              <w:adjustRightInd w:val="0"/>
              <w:textAlignment w:val="baseline"/>
              <w:rPr>
                <w:rFonts w:cs="Arial"/>
                <w:sz w:val="18"/>
                <w:szCs w:val="20"/>
                <w:lang w:val="cs-CZ"/>
              </w:rPr>
            </w:pPr>
            <w:r w:rsidRPr="003B6E11">
              <w:rPr>
                <w:lang w:val="cs-CZ"/>
              </w:rPr>
              <w:tab/>
            </w:r>
            <w:r w:rsidRPr="003B6E11">
              <w:rPr>
                <w:sz w:val="16"/>
                <w:lang w:val="cs-CZ"/>
              </w:rPr>
              <w:t>(místo)</w:t>
            </w:r>
            <w:r w:rsidRPr="003B6E11">
              <w:rPr>
                <w:lang w:val="cs-CZ"/>
              </w:rPr>
              <w:tab/>
            </w:r>
            <w:r w:rsidRPr="003B6E11">
              <w:rPr>
                <w:sz w:val="16"/>
                <w:lang w:val="cs-CZ"/>
              </w:rPr>
              <w:t>(datum)</w:t>
            </w:r>
          </w:p>
          <w:p w:rsidR="003B6E11" w:rsidRPr="003B6E11" w:rsidRDefault="003B6E11" w:rsidP="002D015D">
            <w:pPr>
              <w:tabs>
                <w:tab w:val="left" w:pos="4820"/>
                <w:tab w:val="left" w:leader="dot" w:pos="8505"/>
              </w:tabs>
              <w:overflowPunct w:val="0"/>
              <w:adjustRightInd w:val="0"/>
              <w:spacing w:before="120"/>
              <w:ind w:left="57"/>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1985"/>
                <w:tab w:val="center" w:pos="6662"/>
              </w:tabs>
              <w:overflowPunct w:val="0"/>
              <w:adjustRightInd w:val="0"/>
              <w:textAlignment w:val="baseline"/>
              <w:rPr>
                <w:rFonts w:cs="Arial"/>
                <w:sz w:val="18"/>
                <w:szCs w:val="20"/>
                <w:lang w:val="cs-CZ"/>
              </w:rPr>
            </w:pPr>
            <w:r w:rsidRPr="003B6E11">
              <w:rPr>
                <w:lang w:val="cs-CZ"/>
              </w:rPr>
              <w:tab/>
            </w:r>
            <w:r w:rsidRPr="003B6E11">
              <w:rPr>
                <w:sz w:val="16"/>
                <w:lang w:val="cs-CZ"/>
              </w:rPr>
              <w:t>Razítko</w:t>
            </w:r>
            <w:r w:rsidRPr="003B6E11">
              <w:rPr>
                <w:lang w:val="cs-CZ"/>
              </w:rPr>
              <w:tab/>
            </w:r>
            <w:r w:rsidRPr="003B6E11">
              <w:rPr>
                <w:sz w:val="16"/>
                <w:lang w:val="cs-CZ"/>
              </w:rPr>
              <w:t>Subjekt pověřený prohlídkami</w:t>
            </w:r>
          </w:p>
          <w:p w:rsidR="003B6E11" w:rsidRPr="003B6E11" w:rsidRDefault="003B6E11" w:rsidP="002D015D">
            <w:pPr>
              <w:tabs>
                <w:tab w:val="left" w:pos="4820"/>
                <w:tab w:val="left" w:leader="dot" w:pos="8505"/>
              </w:tabs>
              <w:overflowPunct w:val="0"/>
              <w:adjustRightInd w:val="0"/>
              <w:spacing w:before="120"/>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6662"/>
              </w:tabs>
              <w:overflowPunct w:val="0"/>
              <w:adjustRightInd w:val="0"/>
              <w:ind w:left="57"/>
              <w:textAlignment w:val="baseline"/>
              <w:rPr>
                <w:rFonts w:cs="Arial"/>
                <w:sz w:val="16"/>
                <w:szCs w:val="20"/>
                <w:lang w:val="cs-CZ"/>
              </w:rPr>
            </w:pPr>
            <w:r w:rsidRPr="003B6E11">
              <w:rPr>
                <w:sz w:val="18"/>
                <w:lang w:val="cs-CZ"/>
              </w:rPr>
              <w:t>______________________</w:t>
            </w:r>
            <w:r w:rsidRPr="003B6E11">
              <w:rPr>
                <w:lang w:val="cs-CZ"/>
              </w:rPr>
              <w:tab/>
            </w:r>
            <w:r w:rsidRPr="003B6E11">
              <w:rPr>
                <w:sz w:val="16"/>
                <w:lang w:val="cs-CZ"/>
              </w:rPr>
              <w:t>(podpis)</w:t>
            </w:r>
          </w:p>
          <w:p w:rsidR="003B6E11" w:rsidRPr="003B6E11" w:rsidRDefault="003B6E11" w:rsidP="002D015D">
            <w:pPr>
              <w:tabs>
                <w:tab w:val="left" w:pos="57"/>
                <w:tab w:val="left" w:pos="227"/>
                <w:tab w:val="left" w:pos="5670"/>
                <w:tab w:val="left" w:leader="dot" w:pos="8505"/>
              </w:tabs>
              <w:overflowPunct w:val="0"/>
              <w:adjustRightInd w:val="0"/>
              <w:spacing w:after="40"/>
              <w:ind w:left="57" w:hanging="57"/>
              <w:textAlignment w:val="baseline"/>
              <w:rPr>
                <w:rFonts w:cs="Arial"/>
                <w:sz w:val="18"/>
                <w:szCs w:val="20"/>
                <w:lang w:val="cs-CZ"/>
              </w:rPr>
            </w:pPr>
            <w:r w:rsidRPr="003B6E11">
              <w:rPr>
                <w:position w:val="4"/>
                <w:sz w:val="16"/>
                <w:vertAlign w:val="superscript"/>
                <w:lang w:val="cs-CZ"/>
              </w:rPr>
              <w:t>*)</w:t>
            </w:r>
            <w:r w:rsidRPr="003B6E11">
              <w:rPr>
                <w:lang w:val="cs-CZ"/>
              </w:rPr>
              <w:tab/>
            </w:r>
            <w:r w:rsidRPr="003B6E11">
              <w:rPr>
                <w:sz w:val="16"/>
                <w:lang w:val="cs-CZ"/>
              </w:rPr>
              <w:t>Nehodící se škrtněte.</w:t>
            </w: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60"/>
              <w:textAlignment w:val="baseline"/>
              <w:rPr>
                <w:rFonts w:cs="Arial"/>
                <w:sz w:val="18"/>
                <w:szCs w:val="20"/>
                <w:lang w:val="cs-CZ"/>
              </w:rPr>
            </w:pPr>
            <w:r w:rsidRPr="003B6E11">
              <w:rPr>
                <w:sz w:val="18"/>
                <w:lang w:val="cs-CZ"/>
              </w:rPr>
              <w:t>49.</w:t>
            </w:r>
          </w:p>
        </w:tc>
        <w:tc>
          <w:tcPr>
            <w:tcW w:w="8902" w:type="dxa"/>
            <w:tcBorders>
              <w:top w:val="single" w:sz="6" w:space="0" w:color="auto"/>
              <w:bottom w:val="single" w:sz="6" w:space="0" w:color="auto"/>
              <w:right w:val="single" w:sz="6" w:space="0" w:color="auto"/>
            </w:tcBorders>
          </w:tcPr>
          <w:p w:rsidR="003B6E11" w:rsidRPr="003B6E11" w:rsidRDefault="003B6E11" w:rsidP="002D015D">
            <w:pPr>
              <w:tabs>
                <w:tab w:val="left" w:pos="4310"/>
                <w:tab w:val="left" w:leader="dot" w:pos="8505"/>
              </w:tabs>
              <w:overflowPunct w:val="0"/>
              <w:adjustRightInd w:val="0"/>
              <w:spacing w:before="60"/>
              <w:ind w:left="57"/>
              <w:textAlignment w:val="baseline"/>
              <w:rPr>
                <w:rFonts w:cs="Arial"/>
                <w:b/>
                <w:position w:val="6"/>
                <w:sz w:val="16"/>
                <w:szCs w:val="20"/>
                <w:lang w:val="cs-CZ"/>
              </w:rPr>
            </w:pPr>
            <w:r w:rsidRPr="003B6E11">
              <w:rPr>
                <w:b/>
                <w:sz w:val="18"/>
                <w:lang w:val="cs-CZ"/>
              </w:rPr>
              <w:t>Prodloužení / potvrzení</w:t>
            </w:r>
            <w:r w:rsidRPr="003B6E11">
              <w:rPr>
                <w:b/>
                <w:position w:val="6"/>
                <w:sz w:val="16"/>
                <w:lang w:val="cs-CZ"/>
              </w:rPr>
              <w:t>*)</w:t>
            </w:r>
            <w:r w:rsidRPr="003B6E11">
              <w:rPr>
                <w:b/>
                <w:sz w:val="18"/>
                <w:lang w:val="cs-CZ"/>
              </w:rPr>
              <w:t xml:space="preserve"> platnosti osvědčení plavidla vnitrozemské plavby</w:t>
            </w:r>
            <w:r w:rsidRPr="003B6E11">
              <w:rPr>
                <w:b/>
                <w:position w:val="6"/>
                <w:sz w:val="16"/>
                <w:lang w:val="cs-CZ"/>
              </w:rPr>
              <w:t>*)</w:t>
            </w:r>
            <w:r w:rsidRPr="003B6E11">
              <w:rPr>
                <w:b/>
                <w:sz w:val="18"/>
                <w:lang w:val="cs-CZ"/>
              </w:rPr>
              <w:t xml:space="preserve"> Pravidelná / zvláštní </w:t>
            </w:r>
            <w:r w:rsidRPr="003B6E11">
              <w:rPr>
                <w:b/>
                <w:position w:val="6"/>
                <w:sz w:val="16"/>
                <w:lang w:val="cs-CZ"/>
              </w:rPr>
              <w:t xml:space="preserve">*) </w:t>
            </w:r>
            <w:r w:rsidRPr="003B6E11">
              <w:rPr>
                <w:b/>
                <w:sz w:val="18"/>
                <w:lang w:val="cs-CZ"/>
              </w:rPr>
              <w:t>prohlídka</w:t>
            </w:r>
          </w:p>
          <w:p w:rsidR="003B6E11" w:rsidRPr="003B6E11" w:rsidRDefault="003B6E11" w:rsidP="002D015D">
            <w:pPr>
              <w:tabs>
                <w:tab w:val="left" w:leader="dot" w:pos="5103"/>
                <w:tab w:val="left" w:leader="dot" w:pos="8505"/>
              </w:tabs>
              <w:overflowPunct w:val="0"/>
              <w:adjustRightInd w:val="0"/>
              <w:spacing w:before="20"/>
              <w:ind w:left="57"/>
              <w:textAlignment w:val="baseline"/>
              <w:rPr>
                <w:rFonts w:cs="Arial"/>
                <w:sz w:val="18"/>
                <w:szCs w:val="20"/>
                <w:lang w:val="cs-CZ"/>
              </w:rPr>
            </w:pPr>
            <w:r w:rsidRPr="003B6E11">
              <w:rPr>
                <w:sz w:val="18"/>
                <w:lang w:val="cs-CZ"/>
              </w:rPr>
              <w:t>Subjekt pověřený prohlídkami plavidlo prohlédl dne</w:t>
            </w:r>
            <w:r w:rsidRPr="003B6E11">
              <w:rPr>
                <w:lang w:val="cs-CZ"/>
              </w:rPr>
              <w:tab/>
            </w:r>
            <w:r w:rsidRPr="003B6E11">
              <w:rPr>
                <w:position w:val="6"/>
                <w:sz w:val="16"/>
                <w:lang w:val="cs-CZ"/>
              </w:rPr>
              <w:t>*)</w:t>
            </w:r>
            <w:r w:rsidRPr="003B6E11">
              <w:rPr>
                <w:sz w:val="18"/>
                <w:lang w:val="cs-CZ"/>
              </w:rPr>
              <w:t>.</w:t>
            </w:r>
          </w:p>
          <w:p w:rsidR="003B6E11" w:rsidRPr="003B6E11" w:rsidRDefault="003B6E11" w:rsidP="002D015D">
            <w:pPr>
              <w:tabs>
                <w:tab w:val="left" w:leader="dot" w:pos="3686"/>
                <w:tab w:val="left" w:leader="dot" w:pos="8505"/>
              </w:tabs>
              <w:overflowPunct w:val="0"/>
              <w:adjustRightInd w:val="0"/>
              <w:spacing w:after="20"/>
              <w:ind w:left="57"/>
              <w:textAlignment w:val="baseline"/>
              <w:rPr>
                <w:rFonts w:cs="Arial"/>
                <w:sz w:val="18"/>
                <w:szCs w:val="20"/>
                <w:lang w:val="cs-CZ"/>
              </w:rPr>
            </w:pPr>
            <w:r w:rsidRPr="003B6E11">
              <w:rPr>
                <w:sz w:val="18"/>
                <w:lang w:val="cs-CZ"/>
              </w:rPr>
              <w:t>Osvědčení ze dne</w:t>
            </w:r>
            <w:r w:rsidRPr="003B6E11">
              <w:rPr>
                <w:lang w:val="cs-CZ"/>
              </w:rPr>
              <w:tab/>
            </w:r>
            <w:r w:rsidRPr="003B6E11">
              <w:rPr>
                <w:noProof/>
                <w:sz w:val="18"/>
                <w:lang w:val="cs-CZ"/>
              </w:rPr>
              <w:t>vydané</w:t>
            </w:r>
            <w:r w:rsidRPr="003B6E11">
              <w:rPr>
                <w:lang w:val="cs-CZ"/>
              </w:rPr>
              <w:t xml:space="preserve"> uznanou </w:t>
            </w:r>
            <w:r w:rsidRPr="003B6E11">
              <w:rPr>
                <w:noProof/>
                <w:sz w:val="18"/>
                <w:lang w:val="cs-CZ"/>
              </w:rPr>
              <w:t>klasifikační společností</w:t>
            </w:r>
            <w:r w:rsidRPr="003B6E11">
              <w:rPr>
                <w:lang w:val="cs-CZ"/>
              </w:rPr>
              <w:tab/>
            </w:r>
          </w:p>
          <w:p w:rsidR="003B6E11" w:rsidRPr="003B6E11" w:rsidRDefault="003B6E11" w:rsidP="002D015D">
            <w:pPr>
              <w:tabs>
                <w:tab w:val="left" w:leader="dot" w:pos="8505"/>
              </w:tabs>
              <w:overflowPunct w:val="0"/>
              <w:adjustRightInd w:val="0"/>
              <w:ind w:left="57"/>
              <w:textAlignment w:val="baseline"/>
              <w:rPr>
                <w:rFonts w:cs="Arial"/>
                <w:sz w:val="18"/>
                <w:szCs w:val="20"/>
                <w:lang w:val="cs-CZ"/>
              </w:rPr>
            </w:pPr>
            <w:r w:rsidRPr="003B6E11">
              <w:rPr>
                <w:lang w:val="cs-CZ"/>
              </w:rPr>
              <w:tab/>
            </w:r>
          </w:p>
          <w:p w:rsidR="003B6E11" w:rsidRPr="003B6E11" w:rsidRDefault="003B6E11" w:rsidP="002D015D">
            <w:pPr>
              <w:overflowPunct w:val="0"/>
              <w:adjustRightInd w:val="0"/>
              <w:spacing w:after="20"/>
              <w:ind w:left="57"/>
              <w:textAlignment w:val="baseline"/>
              <w:rPr>
                <w:rFonts w:cs="Arial"/>
                <w:sz w:val="18"/>
                <w:szCs w:val="20"/>
                <w:lang w:val="cs-CZ"/>
              </w:rPr>
            </w:pPr>
            <w:r w:rsidRPr="003B6E11">
              <w:rPr>
                <w:noProof/>
                <w:sz w:val="18"/>
                <w:lang w:val="cs-CZ"/>
              </w:rPr>
              <w:t>bylo předloženo subjektu pověřenému prohlídkami</w:t>
            </w:r>
            <w:r w:rsidRPr="003B6E11">
              <w:rPr>
                <w:position w:val="6"/>
                <w:sz w:val="16"/>
                <w:lang w:val="cs-CZ"/>
              </w:rPr>
              <w:t>*)</w:t>
            </w:r>
            <w:r w:rsidRPr="003B6E11">
              <w:rPr>
                <w:sz w:val="18"/>
                <w:lang w:val="cs-CZ"/>
              </w:rPr>
              <w:t>.</w:t>
            </w:r>
          </w:p>
          <w:p w:rsidR="003B6E11" w:rsidRPr="003B6E11" w:rsidRDefault="003B6E11" w:rsidP="002D015D">
            <w:pPr>
              <w:overflowPunct w:val="0"/>
              <w:adjustRightInd w:val="0"/>
              <w:spacing w:after="20"/>
              <w:ind w:left="57"/>
              <w:textAlignment w:val="baseline"/>
              <w:rPr>
                <w:rFonts w:cs="Arial"/>
                <w:sz w:val="18"/>
                <w:szCs w:val="20"/>
                <w:lang w:val="cs-CZ"/>
              </w:rPr>
            </w:pPr>
            <w:r w:rsidRPr="003B6E11">
              <w:rPr>
                <w:noProof/>
                <w:sz w:val="18"/>
                <w:lang w:val="cs-CZ"/>
              </w:rPr>
              <w:t>Důvod prohlídky/osvědčení</w:t>
            </w:r>
            <w:r w:rsidRPr="003B6E11">
              <w:rPr>
                <w:position w:val="6"/>
                <w:sz w:val="16"/>
                <w:lang w:val="cs-CZ"/>
              </w:rPr>
              <w:t>*)</w:t>
            </w:r>
            <w:r w:rsidRPr="003B6E11">
              <w:rPr>
                <w:sz w:val="18"/>
                <w:lang w:val="cs-CZ"/>
              </w:rPr>
              <w:t>:</w:t>
            </w:r>
          </w:p>
          <w:p w:rsidR="003B6E11" w:rsidRPr="003B6E11" w:rsidRDefault="003B6E11" w:rsidP="002D015D">
            <w:pPr>
              <w:tabs>
                <w:tab w:val="left" w:leader="dot" w:pos="8505"/>
              </w:tabs>
              <w:overflowPunct w:val="0"/>
              <w:adjustRightInd w:val="0"/>
              <w:spacing w:after="80"/>
              <w:ind w:left="57"/>
              <w:textAlignment w:val="baseline"/>
              <w:rPr>
                <w:rFonts w:cs="Arial"/>
                <w:position w:val="6"/>
                <w:sz w:val="16"/>
                <w:szCs w:val="20"/>
                <w:lang w:val="cs-CZ"/>
              </w:rPr>
            </w:pPr>
            <w:r w:rsidRPr="003B6E11">
              <w:rPr>
                <w:lang w:val="cs-CZ"/>
              </w:rPr>
              <w:tab/>
            </w:r>
          </w:p>
          <w:p w:rsidR="003B6E11" w:rsidRPr="003B6E11" w:rsidRDefault="003B6E11" w:rsidP="002D015D">
            <w:pPr>
              <w:tabs>
                <w:tab w:val="left" w:leader="dot" w:pos="8505"/>
              </w:tabs>
              <w:overflowPunct w:val="0"/>
              <w:adjustRightInd w:val="0"/>
              <w:ind w:left="57"/>
              <w:textAlignment w:val="baseline"/>
              <w:rPr>
                <w:rFonts w:cs="Arial"/>
                <w:position w:val="6"/>
                <w:sz w:val="16"/>
                <w:szCs w:val="20"/>
                <w:lang w:val="cs-CZ"/>
              </w:rPr>
            </w:pPr>
            <w:r w:rsidRPr="003B6E11">
              <w:rPr>
                <w:lang w:val="cs-CZ"/>
              </w:rPr>
              <w:tab/>
            </w:r>
          </w:p>
          <w:p w:rsidR="003B6E11" w:rsidRPr="003B6E11" w:rsidRDefault="003B6E11" w:rsidP="002D015D">
            <w:pPr>
              <w:tabs>
                <w:tab w:val="left" w:leader="dot" w:pos="8505"/>
              </w:tabs>
              <w:overflowPunct w:val="0"/>
              <w:adjustRightInd w:val="0"/>
              <w:ind w:left="57"/>
              <w:textAlignment w:val="baseline"/>
              <w:rPr>
                <w:rFonts w:cs="Arial"/>
                <w:position w:val="6"/>
                <w:sz w:val="16"/>
                <w:szCs w:val="20"/>
                <w:lang w:val="cs-CZ"/>
              </w:rPr>
            </w:pPr>
            <w:r w:rsidRPr="003B6E11">
              <w:rPr>
                <w:sz w:val="18"/>
                <w:lang w:val="cs-CZ"/>
              </w:rPr>
              <w:t>S ohledem na výsledek prohlídky / osvědčení *) se doba platnosti osvědčení zachovává / prodlužuje</w:t>
            </w:r>
            <w:r w:rsidRPr="003B6E11">
              <w:rPr>
                <w:position w:val="6"/>
                <w:sz w:val="16"/>
                <w:lang w:val="cs-CZ"/>
              </w:rPr>
              <w:t xml:space="preserve"> *)</w:t>
            </w:r>
          </w:p>
          <w:p w:rsidR="003B6E11" w:rsidRPr="003B6E11" w:rsidRDefault="003B6E11" w:rsidP="002D015D">
            <w:pPr>
              <w:tabs>
                <w:tab w:val="left" w:leader="dot" w:pos="2268"/>
                <w:tab w:val="left" w:leader="dot" w:pos="3402"/>
                <w:tab w:val="left" w:leader="dot" w:pos="8505"/>
              </w:tabs>
              <w:overflowPunct w:val="0"/>
              <w:adjustRightInd w:val="0"/>
              <w:ind w:left="57"/>
              <w:textAlignment w:val="baseline"/>
              <w:rPr>
                <w:rFonts w:cs="Arial"/>
                <w:sz w:val="18"/>
                <w:szCs w:val="20"/>
                <w:lang w:val="cs-CZ"/>
              </w:rPr>
            </w:pPr>
            <w:r w:rsidRPr="003B6E11">
              <w:rPr>
                <w:sz w:val="18"/>
                <w:lang w:val="cs-CZ"/>
              </w:rPr>
              <w:t xml:space="preserve">do </w:t>
            </w:r>
            <w:r w:rsidRPr="003B6E11">
              <w:rPr>
                <w:lang w:val="cs-CZ"/>
              </w:rPr>
              <w:tab/>
            </w:r>
            <w:r w:rsidRPr="003B6E11">
              <w:rPr>
                <w:sz w:val="18"/>
                <w:lang w:val="cs-CZ"/>
              </w:rPr>
              <w:t xml:space="preserve"> .</w:t>
            </w:r>
          </w:p>
          <w:p w:rsidR="003B6E11" w:rsidRPr="003B6E11" w:rsidRDefault="003B6E11" w:rsidP="002D015D">
            <w:pPr>
              <w:tabs>
                <w:tab w:val="left" w:pos="57"/>
                <w:tab w:val="left" w:leader="dot" w:pos="3969"/>
                <w:tab w:val="left" w:leader="dot" w:pos="6237"/>
                <w:tab w:val="left" w:leader="dot" w:pos="8505"/>
              </w:tabs>
              <w:overflowPunct w:val="0"/>
              <w:adjustRightInd w:val="0"/>
              <w:spacing w:before="20"/>
              <w:ind w:left="57"/>
              <w:textAlignment w:val="baseline"/>
              <w:rPr>
                <w:rFonts w:cs="Arial"/>
                <w:sz w:val="18"/>
                <w:szCs w:val="20"/>
                <w:lang w:val="cs-CZ"/>
              </w:rPr>
            </w:pPr>
            <w:r w:rsidRPr="003B6E11">
              <w:rPr>
                <w:lang w:val="cs-CZ"/>
              </w:rPr>
              <w:tab/>
            </w:r>
            <w:r w:rsidRPr="003B6E11">
              <w:rPr>
                <w:sz w:val="18"/>
                <w:lang w:val="cs-CZ"/>
              </w:rPr>
              <w:t xml:space="preserve">, </w:t>
            </w:r>
            <w:r w:rsidRPr="003B6E11">
              <w:rPr>
                <w:lang w:val="cs-CZ"/>
              </w:rPr>
              <w:tab/>
            </w:r>
          </w:p>
          <w:p w:rsidR="003B6E11" w:rsidRPr="003B6E11" w:rsidRDefault="003B6E11" w:rsidP="002D015D">
            <w:pPr>
              <w:tabs>
                <w:tab w:val="center" w:pos="2041"/>
                <w:tab w:val="center" w:pos="5216"/>
              </w:tabs>
              <w:overflowPunct w:val="0"/>
              <w:adjustRightInd w:val="0"/>
              <w:textAlignment w:val="baseline"/>
              <w:rPr>
                <w:rFonts w:cs="Arial"/>
                <w:sz w:val="18"/>
                <w:szCs w:val="20"/>
                <w:lang w:val="cs-CZ"/>
              </w:rPr>
            </w:pPr>
            <w:r w:rsidRPr="003B6E11">
              <w:rPr>
                <w:lang w:val="cs-CZ"/>
              </w:rPr>
              <w:tab/>
            </w:r>
            <w:r w:rsidRPr="003B6E11">
              <w:rPr>
                <w:sz w:val="16"/>
                <w:lang w:val="cs-CZ"/>
              </w:rPr>
              <w:t>(místo)</w:t>
            </w:r>
            <w:r w:rsidRPr="003B6E11">
              <w:rPr>
                <w:lang w:val="cs-CZ"/>
              </w:rPr>
              <w:tab/>
            </w:r>
            <w:r w:rsidRPr="003B6E11">
              <w:rPr>
                <w:sz w:val="16"/>
                <w:lang w:val="cs-CZ"/>
              </w:rPr>
              <w:t>(datum)</w:t>
            </w:r>
          </w:p>
          <w:p w:rsidR="003B6E11" w:rsidRPr="003B6E11" w:rsidRDefault="003B6E11" w:rsidP="002D015D">
            <w:pPr>
              <w:tabs>
                <w:tab w:val="left" w:pos="4820"/>
                <w:tab w:val="left" w:leader="dot" w:pos="8505"/>
              </w:tabs>
              <w:overflowPunct w:val="0"/>
              <w:adjustRightInd w:val="0"/>
              <w:spacing w:before="120"/>
              <w:ind w:left="57"/>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1985"/>
                <w:tab w:val="center" w:pos="6662"/>
              </w:tabs>
              <w:overflowPunct w:val="0"/>
              <w:adjustRightInd w:val="0"/>
              <w:textAlignment w:val="baseline"/>
              <w:rPr>
                <w:rFonts w:cs="Arial"/>
                <w:sz w:val="18"/>
                <w:szCs w:val="20"/>
                <w:lang w:val="cs-CZ"/>
              </w:rPr>
            </w:pPr>
            <w:r w:rsidRPr="003B6E11">
              <w:rPr>
                <w:lang w:val="cs-CZ"/>
              </w:rPr>
              <w:tab/>
            </w:r>
            <w:r w:rsidRPr="003B6E11">
              <w:rPr>
                <w:sz w:val="16"/>
                <w:lang w:val="cs-CZ"/>
              </w:rPr>
              <w:t>Razítko</w:t>
            </w:r>
            <w:r w:rsidRPr="003B6E11">
              <w:rPr>
                <w:lang w:val="cs-CZ"/>
              </w:rPr>
              <w:tab/>
            </w:r>
            <w:r w:rsidRPr="003B6E11">
              <w:rPr>
                <w:sz w:val="16"/>
                <w:lang w:val="cs-CZ"/>
              </w:rPr>
              <w:t>Subjekt pověřený prohlídkami</w:t>
            </w:r>
          </w:p>
          <w:p w:rsidR="003B6E11" w:rsidRPr="003B6E11" w:rsidRDefault="003B6E11" w:rsidP="002D015D">
            <w:pPr>
              <w:tabs>
                <w:tab w:val="left" w:pos="4820"/>
                <w:tab w:val="left" w:leader="dot" w:pos="8505"/>
              </w:tabs>
              <w:overflowPunct w:val="0"/>
              <w:adjustRightInd w:val="0"/>
              <w:spacing w:before="120"/>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6662"/>
              </w:tabs>
              <w:overflowPunct w:val="0"/>
              <w:adjustRightInd w:val="0"/>
              <w:ind w:left="57"/>
              <w:textAlignment w:val="baseline"/>
              <w:rPr>
                <w:rFonts w:cs="Arial"/>
                <w:sz w:val="16"/>
                <w:szCs w:val="20"/>
                <w:lang w:val="cs-CZ"/>
              </w:rPr>
            </w:pPr>
            <w:r w:rsidRPr="003B6E11">
              <w:rPr>
                <w:sz w:val="18"/>
                <w:lang w:val="cs-CZ"/>
              </w:rPr>
              <w:t>______________________</w:t>
            </w:r>
            <w:r w:rsidRPr="003B6E11">
              <w:rPr>
                <w:lang w:val="cs-CZ"/>
              </w:rPr>
              <w:tab/>
            </w:r>
            <w:r w:rsidRPr="003B6E11">
              <w:rPr>
                <w:sz w:val="16"/>
                <w:lang w:val="cs-CZ"/>
              </w:rPr>
              <w:t>(podpis)</w:t>
            </w:r>
          </w:p>
          <w:p w:rsidR="003B6E11" w:rsidRPr="003B6E11" w:rsidRDefault="003B6E11" w:rsidP="002D015D">
            <w:pPr>
              <w:tabs>
                <w:tab w:val="left" w:pos="57"/>
                <w:tab w:val="left" w:pos="227"/>
                <w:tab w:val="left" w:pos="5670"/>
                <w:tab w:val="left" w:leader="dot" w:pos="8505"/>
              </w:tabs>
              <w:overflowPunct w:val="0"/>
              <w:adjustRightInd w:val="0"/>
              <w:spacing w:after="40"/>
              <w:ind w:left="57" w:hanging="57"/>
              <w:textAlignment w:val="baseline"/>
              <w:rPr>
                <w:rFonts w:cs="Arial"/>
                <w:sz w:val="18"/>
                <w:szCs w:val="20"/>
                <w:lang w:val="cs-CZ"/>
              </w:rPr>
            </w:pPr>
            <w:r w:rsidRPr="003B6E11">
              <w:rPr>
                <w:position w:val="4"/>
                <w:sz w:val="16"/>
                <w:vertAlign w:val="superscript"/>
                <w:lang w:val="cs-CZ"/>
              </w:rPr>
              <w:t>*)</w:t>
            </w:r>
            <w:r w:rsidRPr="003B6E11">
              <w:rPr>
                <w:lang w:val="cs-CZ"/>
              </w:rPr>
              <w:tab/>
            </w:r>
            <w:r w:rsidRPr="003B6E11">
              <w:rPr>
                <w:sz w:val="16"/>
                <w:lang w:val="cs-CZ"/>
              </w:rPr>
              <w:t>Nehodící se škrtněte.</w:t>
            </w:r>
          </w:p>
        </w:tc>
      </w:tr>
    </w:tbl>
    <w:p w:rsidR="003B6E11" w:rsidRPr="003B6E11" w:rsidRDefault="003B6E11" w:rsidP="003B6E11">
      <w:pPr>
        <w:tabs>
          <w:tab w:val="left" w:leader="dot" w:pos="2835"/>
          <w:tab w:val="left" w:leader="dot" w:pos="7371"/>
        </w:tabs>
        <w:overflowPunct w:val="0"/>
        <w:adjustRightInd w:val="0"/>
        <w:jc w:val="center"/>
        <w:textAlignment w:val="baseline"/>
        <w:rPr>
          <w:rFonts w:cs="Arial"/>
          <w:szCs w:val="20"/>
          <w:lang w:val="cs-CZ"/>
        </w:rPr>
        <w:sectPr w:rsidR="003B6E11" w:rsidRPr="003B6E11" w:rsidSect="00A50F11">
          <w:headerReference w:type="default" r:id="rId46"/>
          <w:footerReference w:type="default" r:id="rId47"/>
          <w:footnotePr>
            <w:numRestart w:val="eachPage"/>
          </w:footnotePr>
          <w:pgSz w:w="11907" w:h="16840"/>
          <w:pgMar w:top="1191" w:right="1418" w:bottom="1077" w:left="1418" w:header="720" w:footer="720" w:gutter="0"/>
          <w:cols w:space="720"/>
        </w:sectPr>
      </w:pPr>
    </w:p>
    <w:p w:rsidR="003B6E11" w:rsidRPr="003B6E11" w:rsidRDefault="003B6E11" w:rsidP="003B6E11">
      <w:pPr>
        <w:tabs>
          <w:tab w:val="left" w:leader="dot" w:pos="2835"/>
          <w:tab w:val="left" w:leader="dot" w:pos="5103"/>
        </w:tabs>
        <w:overflowPunct w:val="0"/>
        <w:adjustRightInd w:val="0"/>
        <w:textAlignment w:val="baseline"/>
        <w:rPr>
          <w:rFonts w:cs="Arial"/>
          <w:szCs w:val="20"/>
          <w:lang w:val="cs-CZ"/>
        </w:rPr>
      </w:pPr>
      <w:r w:rsidRPr="003B6E11">
        <w:rPr>
          <w:lang w:val="cs-CZ"/>
        </w:rPr>
        <w:t xml:space="preserve">Osvědčení plavidla vnitrozemské plavby č. </w:t>
      </w:r>
      <w:r w:rsidRPr="003B6E11">
        <w:rPr>
          <w:lang w:val="cs-CZ"/>
        </w:rPr>
        <w:tab/>
        <w:t xml:space="preserve"> vydané subjektem pověřeným prohlídkami </w:t>
      </w:r>
      <w:r w:rsidRPr="003B6E11">
        <w:rPr>
          <w:lang w:val="cs-CZ"/>
        </w:rPr>
        <w:tab/>
      </w:r>
    </w:p>
    <w:tbl>
      <w:tblPr>
        <w:tblW w:w="9187" w:type="dxa"/>
        <w:jc w:val="center"/>
        <w:tblLayout w:type="fixed"/>
        <w:tblCellMar>
          <w:left w:w="0" w:type="dxa"/>
          <w:right w:w="0" w:type="dxa"/>
        </w:tblCellMar>
        <w:tblLook w:val="0000" w:firstRow="0" w:lastRow="0" w:firstColumn="0" w:lastColumn="0" w:noHBand="0" w:noVBand="0"/>
      </w:tblPr>
      <w:tblGrid>
        <w:gridCol w:w="284"/>
        <w:gridCol w:w="1418"/>
        <w:gridCol w:w="1191"/>
        <w:gridCol w:w="1247"/>
        <w:gridCol w:w="1758"/>
        <w:gridCol w:w="1134"/>
        <w:gridCol w:w="1758"/>
        <w:gridCol w:w="397"/>
      </w:tblGrid>
      <w:tr w:rsidR="003B6E11" w:rsidRPr="003B6E11" w:rsidTr="002D015D">
        <w:trPr>
          <w:cantSplit/>
          <w:jc w:val="center"/>
        </w:trPr>
        <w:tc>
          <w:tcPr>
            <w:tcW w:w="284" w:type="dxa"/>
            <w:tcBorders>
              <w:top w:val="single" w:sz="6" w:space="0" w:color="auto"/>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r w:rsidRPr="003B6E11">
              <w:rPr>
                <w:sz w:val="18"/>
                <w:lang w:val="cs-CZ"/>
              </w:rPr>
              <w:t>50.</w:t>
            </w:r>
          </w:p>
        </w:tc>
        <w:tc>
          <w:tcPr>
            <w:tcW w:w="8903" w:type="dxa"/>
            <w:gridSpan w:val="7"/>
            <w:tcBorders>
              <w:top w:val="single" w:sz="6" w:space="0" w:color="auto"/>
              <w:right w:val="single" w:sz="6" w:space="0" w:color="auto"/>
            </w:tcBorders>
          </w:tcPr>
          <w:p w:rsidR="003B6E11" w:rsidRPr="003B6E11" w:rsidRDefault="003B6E11" w:rsidP="002D015D">
            <w:pPr>
              <w:tabs>
                <w:tab w:val="left" w:pos="57"/>
                <w:tab w:val="left" w:leader="dot" w:pos="8505"/>
              </w:tabs>
              <w:overflowPunct w:val="0"/>
              <w:adjustRightInd w:val="0"/>
              <w:spacing w:before="120"/>
              <w:textAlignment w:val="baseline"/>
              <w:rPr>
                <w:rFonts w:cs="Arial"/>
                <w:b/>
                <w:sz w:val="18"/>
                <w:szCs w:val="20"/>
                <w:lang w:val="cs-CZ"/>
              </w:rPr>
            </w:pPr>
            <w:r w:rsidRPr="003B6E11">
              <w:rPr>
                <w:b/>
                <w:sz w:val="18"/>
                <w:lang w:val="cs-CZ"/>
              </w:rPr>
              <w:t>Potvrzení o prohlídce zařízení na zkapalněný plyn</w:t>
            </w:r>
          </w:p>
          <w:p w:rsidR="003B6E11" w:rsidRPr="003B6E11" w:rsidRDefault="003B6E11" w:rsidP="002D015D">
            <w:pPr>
              <w:tabs>
                <w:tab w:val="left" w:pos="57"/>
                <w:tab w:val="left" w:leader="dot" w:pos="8505"/>
              </w:tabs>
              <w:overflowPunct w:val="0"/>
              <w:adjustRightInd w:val="0"/>
              <w:spacing w:before="120"/>
              <w:textAlignment w:val="baseline"/>
              <w:rPr>
                <w:rFonts w:cs="Arial"/>
                <w:sz w:val="18"/>
                <w:szCs w:val="20"/>
                <w:lang w:val="cs-CZ"/>
              </w:rPr>
            </w:pPr>
            <w:r w:rsidRPr="003B6E11">
              <w:rPr>
                <w:sz w:val="18"/>
                <w:lang w:val="cs-CZ"/>
              </w:rPr>
              <w:t>Zařízení na zkapalněný plyn na palubě plavidla byla prohlédnuta odborníkem</w:t>
            </w:r>
            <w:r w:rsidRPr="003B6E11">
              <w:rPr>
                <w:position w:val="6"/>
                <w:sz w:val="16"/>
                <w:lang w:val="cs-CZ"/>
              </w:rPr>
              <w:t xml:space="preserve"> *)</w:t>
            </w:r>
            <w:r w:rsidRPr="003B6E11">
              <w:rPr>
                <w:sz w:val="18"/>
                <w:lang w:val="cs-CZ"/>
              </w:rPr>
              <w:t xml:space="preserve"> </w:t>
            </w:r>
            <w:r w:rsidRPr="003B6E11">
              <w:rPr>
                <w:lang w:val="cs-CZ"/>
              </w:rPr>
              <w:tab/>
            </w:r>
          </w:p>
          <w:p w:rsidR="003B6E11" w:rsidRPr="003B6E11" w:rsidRDefault="003B6E11" w:rsidP="002D015D">
            <w:pPr>
              <w:tabs>
                <w:tab w:val="left" w:leader="dot" w:pos="8505"/>
              </w:tabs>
              <w:overflowPunct w:val="0"/>
              <w:adjustRightInd w:val="0"/>
              <w:spacing w:before="120"/>
              <w:textAlignment w:val="baseline"/>
              <w:rPr>
                <w:rFonts w:cs="Arial"/>
                <w:sz w:val="18"/>
                <w:szCs w:val="20"/>
                <w:lang w:val="cs-CZ"/>
              </w:rPr>
            </w:pPr>
            <w:r w:rsidRPr="003B6E11">
              <w:rPr>
                <w:lang w:val="cs-CZ"/>
              </w:rPr>
              <w:tab/>
            </w:r>
          </w:p>
          <w:p w:rsidR="003B6E11" w:rsidRPr="003B6E11" w:rsidRDefault="003B6E11" w:rsidP="002D015D">
            <w:pPr>
              <w:tabs>
                <w:tab w:val="left" w:pos="57"/>
                <w:tab w:val="left" w:leader="dot" w:pos="5103"/>
                <w:tab w:val="left" w:leader="dot" w:pos="5670"/>
                <w:tab w:val="left" w:leader="dot" w:pos="8505"/>
              </w:tabs>
              <w:overflowPunct w:val="0"/>
              <w:adjustRightInd w:val="0"/>
              <w:spacing w:before="120"/>
              <w:textAlignment w:val="baseline"/>
              <w:rPr>
                <w:rFonts w:cs="Arial"/>
                <w:sz w:val="18"/>
                <w:szCs w:val="20"/>
                <w:lang w:val="cs-CZ"/>
              </w:rPr>
            </w:pPr>
            <w:r w:rsidRPr="003B6E11">
              <w:rPr>
                <w:sz w:val="18"/>
                <w:lang w:val="cs-CZ"/>
              </w:rPr>
              <w:t>a podle jím vystaveného potvrzení o prohlídce ze dne</w:t>
            </w:r>
            <w:r w:rsidRPr="003B6E11">
              <w:rPr>
                <w:lang w:val="cs-CZ"/>
              </w:rPr>
              <w:tab/>
            </w:r>
            <w:r w:rsidRPr="003B6E11">
              <w:rPr>
                <w:position w:val="6"/>
                <w:sz w:val="16"/>
                <w:lang w:val="cs-CZ"/>
              </w:rPr>
              <w:t xml:space="preserve">*) </w:t>
            </w:r>
            <w:r w:rsidRPr="003B6E11">
              <w:rPr>
                <w:sz w:val="18"/>
                <w:lang w:val="cs-CZ"/>
              </w:rPr>
              <w:t>splňují níže uvedené podmínky.</w:t>
            </w:r>
          </w:p>
          <w:p w:rsidR="003B6E11" w:rsidRPr="003B6E11" w:rsidRDefault="003B6E11" w:rsidP="002D015D">
            <w:pPr>
              <w:tabs>
                <w:tab w:val="left" w:pos="57"/>
                <w:tab w:val="left" w:leader="dot" w:pos="5103"/>
                <w:tab w:val="left" w:leader="dot" w:pos="5670"/>
                <w:tab w:val="left" w:leader="dot" w:pos="8505"/>
              </w:tabs>
              <w:overflowPunct w:val="0"/>
              <w:adjustRightInd w:val="0"/>
              <w:spacing w:before="120" w:after="40"/>
              <w:textAlignment w:val="baseline"/>
              <w:rPr>
                <w:rFonts w:cs="Arial"/>
                <w:sz w:val="18"/>
                <w:szCs w:val="20"/>
                <w:lang w:val="cs-CZ"/>
              </w:rPr>
            </w:pPr>
            <w:r w:rsidRPr="003B6E11">
              <w:rPr>
                <w:sz w:val="18"/>
                <w:lang w:val="cs-CZ"/>
              </w:rPr>
              <w:t xml:space="preserve">Zařízení na zkapalněný plyn zahrnují tyto plynové spotřebiče: </w:t>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1418" w:type="dxa"/>
            <w:tcBorders>
              <w:top w:val="single" w:sz="6" w:space="0" w:color="auto"/>
              <w:left w:val="single" w:sz="6" w:space="0" w:color="auto"/>
              <w:right w:val="single" w:sz="6" w:space="0" w:color="auto"/>
            </w:tcBorders>
            <w:vAlign w:val="center"/>
          </w:tcPr>
          <w:p w:rsidR="003B6E11" w:rsidRPr="003B6E11" w:rsidRDefault="003B6E11" w:rsidP="002D015D">
            <w:pPr>
              <w:jc w:val="center"/>
              <w:rPr>
                <w:sz w:val="18"/>
                <w:lang w:val="cs-CZ"/>
              </w:rPr>
            </w:pPr>
            <w:r w:rsidRPr="003B6E11">
              <w:rPr>
                <w:sz w:val="18"/>
                <w:lang w:val="cs-CZ"/>
              </w:rPr>
              <w:t>Zařízení</w:t>
            </w:r>
          </w:p>
        </w:tc>
        <w:tc>
          <w:tcPr>
            <w:tcW w:w="1191" w:type="dxa"/>
            <w:tcBorders>
              <w:top w:val="single" w:sz="6" w:space="0" w:color="auto"/>
              <w:left w:val="single" w:sz="6" w:space="0" w:color="auto"/>
              <w:right w:val="single" w:sz="6" w:space="0" w:color="auto"/>
            </w:tcBorders>
            <w:vAlign w:val="center"/>
          </w:tcPr>
          <w:p w:rsidR="003B6E11" w:rsidRPr="003B6E11" w:rsidRDefault="003B6E11" w:rsidP="002D015D">
            <w:pPr>
              <w:jc w:val="center"/>
              <w:rPr>
                <w:sz w:val="18"/>
                <w:lang w:val="cs-CZ"/>
              </w:rPr>
            </w:pPr>
            <w:r w:rsidRPr="003B6E11">
              <w:rPr>
                <w:sz w:val="18"/>
                <w:lang w:val="cs-CZ"/>
              </w:rPr>
              <w:t>Výrobní číslo</w:t>
            </w:r>
          </w:p>
        </w:tc>
        <w:tc>
          <w:tcPr>
            <w:tcW w:w="1247" w:type="dxa"/>
            <w:tcBorders>
              <w:top w:val="single" w:sz="6" w:space="0" w:color="auto"/>
              <w:left w:val="single" w:sz="6" w:space="0" w:color="auto"/>
              <w:right w:val="single" w:sz="6" w:space="0" w:color="auto"/>
            </w:tcBorders>
            <w:vAlign w:val="center"/>
          </w:tcPr>
          <w:p w:rsidR="003B6E11" w:rsidRPr="003B6E11" w:rsidRDefault="003B6E11" w:rsidP="002D015D">
            <w:pPr>
              <w:jc w:val="center"/>
              <w:rPr>
                <w:sz w:val="18"/>
                <w:lang w:val="cs-CZ"/>
              </w:rPr>
            </w:pPr>
            <w:r w:rsidRPr="003B6E11">
              <w:rPr>
                <w:sz w:val="18"/>
                <w:lang w:val="cs-CZ"/>
              </w:rPr>
              <w:t>Provedení</w:t>
            </w:r>
          </w:p>
        </w:tc>
        <w:tc>
          <w:tcPr>
            <w:tcW w:w="1758" w:type="dxa"/>
            <w:tcBorders>
              <w:top w:val="single" w:sz="6" w:space="0" w:color="auto"/>
              <w:left w:val="single" w:sz="6" w:space="0" w:color="auto"/>
              <w:right w:val="single" w:sz="6" w:space="0" w:color="auto"/>
            </w:tcBorders>
            <w:vAlign w:val="center"/>
          </w:tcPr>
          <w:p w:rsidR="003B6E11" w:rsidRPr="003B6E11" w:rsidRDefault="003B6E11" w:rsidP="002D015D">
            <w:pPr>
              <w:jc w:val="center"/>
              <w:rPr>
                <w:sz w:val="18"/>
                <w:lang w:val="cs-CZ"/>
              </w:rPr>
            </w:pPr>
            <w:r w:rsidRPr="003B6E11">
              <w:rPr>
                <w:sz w:val="18"/>
                <w:lang w:val="cs-CZ"/>
              </w:rPr>
              <w:t>Značka</w:t>
            </w:r>
          </w:p>
        </w:tc>
        <w:tc>
          <w:tcPr>
            <w:tcW w:w="1134" w:type="dxa"/>
            <w:tcBorders>
              <w:top w:val="single" w:sz="6" w:space="0" w:color="auto"/>
              <w:left w:val="single" w:sz="6" w:space="0" w:color="auto"/>
              <w:right w:val="single" w:sz="6" w:space="0" w:color="auto"/>
            </w:tcBorders>
            <w:vAlign w:val="center"/>
          </w:tcPr>
          <w:p w:rsidR="003B6E11" w:rsidRPr="003B6E11" w:rsidRDefault="003B6E11" w:rsidP="002D015D">
            <w:pPr>
              <w:jc w:val="center"/>
              <w:rPr>
                <w:sz w:val="18"/>
                <w:lang w:val="cs-CZ"/>
              </w:rPr>
            </w:pPr>
            <w:r w:rsidRPr="003B6E11">
              <w:rPr>
                <w:sz w:val="18"/>
                <w:lang w:val="cs-CZ"/>
              </w:rPr>
              <w:t>Typ</w:t>
            </w:r>
          </w:p>
        </w:tc>
        <w:tc>
          <w:tcPr>
            <w:tcW w:w="1758" w:type="dxa"/>
            <w:tcBorders>
              <w:top w:val="single" w:sz="6" w:space="0" w:color="auto"/>
              <w:left w:val="single" w:sz="6" w:space="0" w:color="auto"/>
              <w:right w:val="single" w:sz="6" w:space="0" w:color="auto"/>
            </w:tcBorders>
            <w:vAlign w:val="center"/>
          </w:tcPr>
          <w:p w:rsidR="003B6E11" w:rsidRPr="003B6E11" w:rsidRDefault="003B6E11" w:rsidP="002D015D">
            <w:pPr>
              <w:jc w:val="center"/>
              <w:rPr>
                <w:sz w:val="18"/>
                <w:lang w:val="cs-CZ"/>
              </w:rPr>
            </w:pPr>
            <w:r w:rsidRPr="003B6E11">
              <w:rPr>
                <w:sz w:val="18"/>
                <w:lang w:val="cs-CZ"/>
              </w:rPr>
              <w:t>Umístění</w:t>
            </w: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141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3969"/>
                <w:tab w:val="left" w:leader="dot" w:pos="8505"/>
              </w:tabs>
              <w:overflowPunct w:val="0"/>
              <w:adjustRightInd w:val="0"/>
              <w:ind w:left="57" w:hanging="57"/>
              <w:textAlignment w:val="baseline"/>
              <w:rPr>
                <w:rFonts w:cs="Arial"/>
                <w:sz w:val="18"/>
                <w:szCs w:val="20"/>
                <w:lang w:val="cs-CZ"/>
              </w:rPr>
            </w:pPr>
          </w:p>
        </w:tc>
        <w:tc>
          <w:tcPr>
            <w:tcW w:w="1191" w:type="dxa"/>
            <w:tcBorders>
              <w:top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1247"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1134"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141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3969"/>
                <w:tab w:val="left" w:leader="dot" w:pos="8505"/>
              </w:tabs>
              <w:overflowPunct w:val="0"/>
              <w:adjustRightInd w:val="0"/>
              <w:spacing w:before="120"/>
              <w:ind w:left="57" w:hanging="57"/>
              <w:textAlignment w:val="baseline"/>
              <w:rPr>
                <w:rFonts w:cs="Arial"/>
                <w:sz w:val="18"/>
                <w:szCs w:val="20"/>
                <w:lang w:val="cs-CZ"/>
              </w:rPr>
            </w:pPr>
          </w:p>
        </w:tc>
        <w:tc>
          <w:tcPr>
            <w:tcW w:w="1191" w:type="dxa"/>
            <w:tcBorders>
              <w:top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247"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134"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spacing w:before="12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141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3969"/>
                <w:tab w:val="left" w:leader="dot" w:pos="8505"/>
              </w:tabs>
              <w:overflowPunct w:val="0"/>
              <w:adjustRightInd w:val="0"/>
              <w:ind w:left="57" w:hanging="57"/>
              <w:textAlignment w:val="baseline"/>
              <w:rPr>
                <w:rFonts w:cs="Arial"/>
                <w:sz w:val="18"/>
                <w:szCs w:val="20"/>
                <w:lang w:val="cs-CZ"/>
              </w:rPr>
            </w:pPr>
          </w:p>
        </w:tc>
        <w:tc>
          <w:tcPr>
            <w:tcW w:w="1191" w:type="dxa"/>
            <w:tcBorders>
              <w:top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1247"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1134"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141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3969"/>
                <w:tab w:val="left" w:leader="dot" w:pos="8505"/>
              </w:tabs>
              <w:overflowPunct w:val="0"/>
              <w:adjustRightInd w:val="0"/>
              <w:spacing w:before="120"/>
              <w:ind w:left="57" w:hanging="57"/>
              <w:textAlignment w:val="baseline"/>
              <w:rPr>
                <w:rFonts w:cs="Arial"/>
                <w:sz w:val="18"/>
                <w:szCs w:val="20"/>
                <w:lang w:val="cs-CZ"/>
              </w:rPr>
            </w:pPr>
          </w:p>
        </w:tc>
        <w:tc>
          <w:tcPr>
            <w:tcW w:w="1191" w:type="dxa"/>
            <w:tcBorders>
              <w:top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247"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134"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spacing w:before="12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141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3969"/>
                <w:tab w:val="left" w:leader="dot" w:pos="8505"/>
              </w:tabs>
              <w:overflowPunct w:val="0"/>
              <w:adjustRightInd w:val="0"/>
              <w:ind w:left="57" w:hanging="57"/>
              <w:textAlignment w:val="baseline"/>
              <w:rPr>
                <w:rFonts w:cs="Arial"/>
                <w:sz w:val="18"/>
                <w:szCs w:val="20"/>
                <w:lang w:val="cs-CZ"/>
              </w:rPr>
            </w:pPr>
          </w:p>
        </w:tc>
        <w:tc>
          <w:tcPr>
            <w:tcW w:w="1191" w:type="dxa"/>
            <w:tcBorders>
              <w:top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1247"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1134"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141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3969"/>
                <w:tab w:val="left" w:leader="dot" w:pos="8505"/>
              </w:tabs>
              <w:overflowPunct w:val="0"/>
              <w:adjustRightInd w:val="0"/>
              <w:spacing w:before="120"/>
              <w:ind w:left="57" w:hanging="57"/>
              <w:textAlignment w:val="baseline"/>
              <w:rPr>
                <w:rFonts w:cs="Arial"/>
                <w:sz w:val="18"/>
                <w:szCs w:val="20"/>
                <w:lang w:val="cs-CZ"/>
              </w:rPr>
            </w:pPr>
          </w:p>
        </w:tc>
        <w:tc>
          <w:tcPr>
            <w:tcW w:w="1191" w:type="dxa"/>
            <w:tcBorders>
              <w:top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247"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134"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spacing w:before="12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141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3969"/>
                <w:tab w:val="left" w:leader="dot" w:pos="8505"/>
              </w:tabs>
              <w:overflowPunct w:val="0"/>
              <w:adjustRightInd w:val="0"/>
              <w:ind w:left="57" w:hanging="57"/>
              <w:textAlignment w:val="baseline"/>
              <w:rPr>
                <w:rFonts w:cs="Arial"/>
                <w:sz w:val="18"/>
                <w:szCs w:val="20"/>
                <w:lang w:val="cs-CZ"/>
              </w:rPr>
            </w:pPr>
          </w:p>
        </w:tc>
        <w:tc>
          <w:tcPr>
            <w:tcW w:w="1191" w:type="dxa"/>
            <w:tcBorders>
              <w:top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1247"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1134"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141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3969"/>
                <w:tab w:val="left" w:leader="dot" w:pos="8505"/>
              </w:tabs>
              <w:overflowPunct w:val="0"/>
              <w:adjustRightInd w:val="0"/>
              <w:spacing w:before="120"/>
              <w:ind w:left="57" w:hanging="57"/>
              <w:textAlignment w:val="baseline"/>
              <w:rPr>
                <w:rFonts w:cs="Arial"/>
                <w:sz w:val="18"/>
                <w:szCs w:val="20"/>
                <w:lang w:val="cs-CZ"/>
              </w:rPr>
            </w:pPr>
          </w:p>
        </w:tc>
        <w:tc>
          <w:tcPr>
            <w:tcW w:w="1191" w:type="dxa"/>
            <w:tcBorders>
              <w:top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247"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134"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spacing w:before="12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141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3969"/>
                <w:tab w:val="left" w:leader="dot" w:pos="8505"/>
              </w:tabs>
              <w:overflowPunct w:val="0"/>
              <w:adjustRightInd w:val="0"/>
              <w:ind w:left="57" w:hanging="57"/>
              <w:textAlignment w:val="baseline"/>
              <w:rPr>
                <w:rFonts w:cs="Arial"/>
                <w:sz w:val="18"/>
                <w:szCs w:val="20"/>
                <w:lang w:val="cs-CZ"/>
              </w:rPr>
            </w:pPr>
          </w:p>
        </w:tc>
        <w:tc>
          <w:tcPr>
            <w:tcW w:w="1191" w:type="dxa"/>
            <w:tcBorders>
              <w:top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1247"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1134"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ind w:left="57" w:hanging="57"/>
              <w:textAlignment w:val="baseline"/>
              <w:rPr>
                <w:rFonts w:cs="Arial"/>
                <w:sz w:val="18"/>
                <w:szCs w:val="20"/>
                <w:lang w:val="cs-CZ"/>
              </w:rPr>
            </w:pP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141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3969"/>
                <w:tab w:val="left" w:leader="dot" w:pos="8505"/>
              </w:tabs>
              <w:overflowPunct w:val="0"/>
              <w:adjustRightInd w:val="0"/>
              <w:spacing w:before="120"/>
              <w:ind w:left="57" w:hanging="57"/>
              <w:textAlignment w:val="baseline"/>
              <w:rPr>
                <w:rFonts w:cs="Arial"/>
                <w:sz w:val="18"/>
                <w:szCs w:val="20"/>
                <w:lang w:val="cs-CZ"/>
              </w:rPr>
            </w:pPr>
          </w:p>
        </w:tc>
        <w:tc>
          <w:tcPr>
            <w:tcW w:w="1191" w:type="dxa"/>
            <w:tcBorders>
              <w:top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247"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134"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spacing w:before="12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141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3969"/>
                <w:tab w:val="left" w:leader="dot" w:pos="8505"/>
              </w:tabs>
              <w:overflowPunct w:val="0"/>
              <w:adjustRightInd w:val="0"/>
              <w:spacing w:before="120"/>
              <w:ind w:left="57" w:hanging="57"/>
              <w:textAlignment w:val="baseline"/>
              <w:rPr>
                <w:rFonts w:cs="Arial"/>
                <w:sz w:val="18"/>
                <w:szCs w:val="20"/>
                <w:lang w:val="cs-CZ"/>
              </w:rPr>
            </w:pPr>
          </w:p>
        </w:tc>
        <w:tc>
          <w:tcPr>
            <w:tcW w:w="1191" w:type="dxa"/>
            <w:tcBorders>
              <w:top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247"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134"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spacing w:before="12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8903" w:type="dxa"/>
            <w:gridSpan w:val="7"/>
            <w:tcBorders>
              <w:bottom w:val="single" w:sz="6" w:space="0" w:color="auto"/>
              <w:right w:val="single" w:sz="6" w:space="0" w:color="auto"/>
            </w:tcBorders>
          </w:tcPr>
          <w:p w:rsidR="003B6E11" w:rsidRPr="003B6E11" w:rsidRDefault="003B6E11" w:rsidP="002D015D">
            <w:pPr>
              <w:tabs>
                <w:tab w:val="left" w:pos="57"/>
                <w:tab w:val="left" w:leader="dot" w:pos="8505"/>
              </w:tabs>
              <w:overflowPunct w:val="0"/>
              <w:adjustRightInd w:val="0"/>
              <w:textAlignment w:val="baseline"/>
              <w:rPr>
                <w:rFonts w:cs="Arial"/>
                <w:sz w:val="18"/>
                <w:szCs w:val="20"/>
                <w:lang w:val="cs-CZ"/>
              </w:rPr>
            </w:pPr>
          </w:p>
          <w:p w:rsidR="003B6E11" w:rsidRPr="003B6E11" w:rsidRDefault="003B6E11" w:rsidP="002D015D">
            <w:pPr>
              <w:tabs>
                <w:tab w:val="left" w:pos="57"/>
                <w:tab w:val="left" w:leader="dot" w:pos="8505"/>
              </w:tabs>
              <w:overflowPunct w:val="0"/>
              <w:adjustRightInd w:val="0"/>
              <w:textAlignment w:val="baseline"/>
              <w:rPr>
                <w:rFonts w:cs="Arial"/>
                <w:sz w:val="18"/>
                <w:szCs w:val="20"/>
                <w:lang w:val="cs-CZ"/>
              </w:rPr>
            </w:pPr>
            <w:r w:rsidRPr="003B6E11">
              <w:rPr>
                <w:sz w:val="18"/>
                <w:lang w:val="cs-CZ"/>
              </w:rPr>
              <w:t>Toto potvrzení platí do</w:t>
            </w:r>
            <w:r w:rsidRPr="003B6E11">
              <w:rPr>
                <w:lang w:val="cs-CZ"/>
              </w:rPr>
              <w:tab/>
            </w:r>
          </w:p>
          <w:p w:rsidR="003B6E11" w:rsidRPr="003B6E11" w:rsidRDefault="003B6E11" w:rsidP="002D015D">
            <w:pPr>
              <w:tabs>
                <w:tab w:val="left" w:pos="57"/>
                <w:tab w:val="left" w:leader="dot" w:pos="3969"/>
                <w:tab w:val="left" w:leader="dot" w:pos="6237"/>
                <w:tab w:val="left" w:leader="dot" w:pos="8505"/>
              </w:tabs>
              <w:overflowPunct w:val="0"/>
              <w:adjustRightInd w:val="0"/>
              <w:spacing w:before="120"/>
              <w:ind w:left="57" w:hanging="57"/>
              <w:textAlignment w:val="baseline"/>
              <w:rPr>
                <w:rFonts w:cs="Arial"/>
                <w:sz w:val="18"/>
                <w:szCs w:val="20"/>
                <w:lang w:val="cs-CZ"/>
              </w:rPr>
            </w:pPr>
          </w:p>
          <w:p w:rsidR="003B6E11" w:rsidRPr="003B6E11" w:rsidRDefault="003B6E11" w:rsidP="002D015D">
            <w:pPr>
              <w:tabs>
                <w:tab w:val="left" w:leader="dot" w:pos="3969"/>
                <w:tab w:val="left" w:leader="dot" w:pos="6237"/>
                <w:tab w:val="left" w:leader="dot" w:pos="8505"/>
              </w:tabs>
              <w:overflowPunct w:val="0"/>
              <w:adjustRightInd w:val="0"/>
              <w:spacing w:before="120"/>
              <w:textAlignment w:val="baseline"/>
              <w:rPr>
                <w:rFonts w:cs="Arial"/>
                <w:sz w:val="18"/>
                <w:szCs w:val="20"/>
                <w:lang w:val="cs-CZ"/>
              </w:rPr>
            </w:pPr>
            <w:r w:rsidRPr="003B6E11">
              <w:rPr>
                <w:lang w:val="cs-CZ"/>
              </w:rPr>
              <w:tab/>
            </w:r>
            <w:r w:rsidRPr="003B6E11">
              <w:rPr>
                <w:sz w:val="18"/>
                <w:lang w:val="cs-CZ"/>
              </w:rPr>
              <w:t xml:space="preserve">, </w:t>
            </w:r>
            <w:r w:rsidRPr="003B6E11">
              <w:rPr>
                <w:lang w:val="cs-CZ"/>
              </w:rPr>
              <w:tab/>
            </w:r>
          </w:p>
          <w:p w:rsidR="003B6E11" w:rsidRPr="003B6E11" w:rsidRDefault="003B6E11" w:rsidP="002D015D">
            <w:pPr>
              <w:tabs>
                <w:tab w:val="left" w:pos="57"/>
                <w:tab w:val="center" w:pos="5302"/>
                <w:tab w:val="left" w:leader="dot" w:pos="6237"/>
                <w:tab w:val="left" w:leader="dot" w:pos="8505"/>
              </w:tabs>
              <w:overflowPunct w:val="0"/>
              <w:adjustRightInd w:val="0"/>
              <w:textAlignment w:val="baseline"/>
              <w:rPr>
                <w:rFonts w:cs="Arial"/>
                <w:sz w:val="18"/>
                <w:szCs w:val="20"/>
                <w:lang w:val="cs-CZ"/>
              </w:rPr>
            </w:pPr>
            <w:r w:rsidRPr="003B6E11">
              <w:rPr>
                <w:sz w:val="16"/>
                <w:lang w:val="cs-CZ"/>
              </w:rPr>
              <w:t>(místo)</w:t>
            </w:r>
            <w:r w:rsidRPr="003B6E11">
              <w:rPr>
                <w:lang w:val="cs-CZ"/>
              </w:rPr>
              <w:tab/>
            </w:r>
            <w:r w:rsidRPr="003B6E11">
              <w:rPr>
                <w:sz w:val="16"/>
                <w:lang w:val="cs-CZ"/>
              </w:rPr>
              <w:t>(datum)</w:t>
            </w:r>
          </w:p>
          <w:p w:rsidR="003B6E11" w:rsidRPr="003B6E11" w:rsidRDefault="003B6E11" w:rsidP="002D015D">
            <w:pPr>
              <w:tabs>
                <w:tab w:val="left" w:pos="57"/>
                <w:tab w:val="left" w:leader="dot" w:pos="8505"/>
              </w:tabs>
              <w:overflowPunct w:val="0"/>
              <w:adjustRightInd w:val="0"/>
              <w:ind w:left="57" w:hanging="57"/>
              <w:textAlignment w:val="baseline"/>
              <w:rPr>
                <w:rFonts w:cs="Arial"/>
                <w:sz w:val="18"/>
                <w:szCs w:val="20"/>
                <w:lang w:val="cs-CZ"/>
              </w:rPr>
            </w:pPr>
          </w:p>
          <w:p w:rsidR="003B6E11" w:rsidRPr="003B6E11" w:rsidRDefault="003B6E11" w:rsidP="002D015D">
            <w:pPr>
              <w:tabs>
                <w:tab w:val="left" w:pos="3402"/>
                <w:tab w:val="left" w:leader="dot" w:pos="8505"/>
              </w:tabs>
              <w:overflowPunct w:val="0"/>
              <w:adjustRightInd w:val="0"/>
              <w:spacing w:before="120"/>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5869"/>
                <w:tab w:val="left" w:leader="dot" w:pos="8505"/>
              </w:tabs>
              <w:overflowPunct w:val="0"/>
              <w:adjustRightInd w:val="0"/>
              <w:textAlignment w:val="baseline"/>
              <w:rPr>
                <w:rFonts w:cs="Arial"/>
                <w:sz w:val="18"/>
                <w:szCs w:val="20"/>
                <w:lang w:val="cs-CZ"/>
              </w:rPr>
            </w:pPr>
            <w:r w:rsidRPr="003B6E11">
              <w:rPr>
                <w:lang w:val="cs-CZ"/>
              </w:rPr>
              <w:tab/>
            </w:r>
            <w:r w:rsidRPr="003B6E11">
              <w:rPr>
                <w:sz w:val="16"/>
                <w:lang w:val="cs-CZ"/>
              </w:rPr>
              <w:t>Subjekt pověřený prohlídkami</w:t>
            </w:r>
          </w:p>
          <w:p w:rsidR="003B6E11" w:rsidRPr="003B6E11" w:rsidRDefault="003B6E11" w:rsidP="002D015D">
            <w:pPr>
              <w:tabs>
                <w:tab w:val="left" w:pos="57"/>
                <w:tab w:val="left" w:pos="3402"/>
                <w:tab w:val="left" w:leader="dot" w:pos="8505"/>
              </w:tabs>
              <w:overflowPunct w:val="0"/>
              <w:adjustRightInd w:val="0"/>
              <w:spacing w:before="120"/>
              <w:ind w:left="57" w:hanging="57"/>
              <w:textAlignment w:val="baseline"/>
              <w:rPr>
                <w:rFonts w:cs="Arial"/>
                <w:sz w:val="18"/>
                <w:szCs w:val="20"/>
                <w:lang w:val="cs-CZ"/>
              </w:rPr>
            </w:pPr>
          </w:p>
          <w:p w:rsidR="003B6E11" w:rsidRPr="003B6E11" w:rsidRDefault="003B6E11" w:rsidP="002D015D">
            <w:pPr>
              <w:tabs>
                <w:tab w:val="left" w:pos="57"/>
                <w:tab w:val="center" w:pos="2326"/>
                <w:tab w:val="left" w:pos="3402"/>
                <w:tab w:val="left" w:leader="dot" w:pos="8505"/>
              </w:tabs>
              <w:overflowPunct w:val="0"/>
              <w:adjustRightInd w:val="0"/>
              <w:spacing w:before="120"/>
              <w:ind w:left="57" w:hanging="57"/>
              <w:textAlignment w:val="baseline"/>
              <w:rPr>
                <w:rFonts w:cs="Arial"/>
                <w:sz w:val="16"/>
                <w:szCs w:val="16"/>
                <w:lang w:val="cs-CZ"/>
              </w:rPr>
            </w:pPr>
            <w:r w:rsidRPr="003B6E11">
              <w:rPr>
                <w:lang w:val="cs-CZ"/>
              </w:rPr>
              <w:tab/>
            </w:r>
            <w:r w:rsidRPr="003B6E11">
              <w:rPr>
                <w:lang w:val="cs-CZ"/>
              </w:rPr>
              <w:tab/>
            </w:r>
            <w:r w:rsidRPr="003B6E11">
              <w:rPr>
                <w:sz w:val="16"/>
                <w:lang w:val="cs-CZ"/>
              </w:rPr>
              <w:t>Razítko</w:t>
            </w:r>
            <w:r w:rsidRPr="003B6E11">
              <w:rPr>
                <w:lang w:val="cs-CZ"/>
              </w:rPr>
              <w:tab/>
            </w:r>
            <w:r w:rsidRPr="003B6E11">
              <w:rPr>
                <w:lang w:val="cs-CZ"/>
              </w:rPr>
              <w:tab/>
            </w:r>
          </w:p>
          <w:p w:rsidR="003B6E11" w:rsidRPr="003B6E11" w:rsidRDefault="003B6E11" w:rsidP="002D015D">
            <w:pPr>
              <w:tabs>
                <w:tab w:val="left" w:pos="57"/>
                <w:tab w:val="left" w:pos="5670"/>
                <w:tab w:val="left" w:leader="dot" w:pos="8505"/>
              </w:tabs>
              <w:overflowPunct w:val="0"/>
              <w:adjustRightInd w:val="0"/>
              <w:ind w:left="57" w:hanging="57"/>
              <w:textAlignment w:val="baseline"/>
              <w:rPr>
                <w:rFonts w:cs="Arial"/>
                <w:sz w:val="18"/>
                <w:szCs w:val="20"/>
                <w:lang w:val="cs-CZ"/>
              </w:rPr>
            </w:pPr>
            <w:r w:rsidRPr="003B6E11">
              <w:rPr>
                <w:lang w:val="cs-CZ"/>
              </w:rPr>
              <w:tab/>
            </w:r>
            <w:r w:rsidRPr="003B6E11">
              <w:rPr>
                <w:lang w:val="cs-CZ"/>
              </w:rPr>
              <w:tab/>
            </w:r>
            <w:r w:rsidRPr="003B6E11">
              <w:rPr>
                <w:sz w:val="16"/>
                <w:lang w:val="cs-CZ"/>
              </w:rPr>
              <w:t>(podpis)</w:t>
            </w:r>
          </w:p>
          <w:p w:rsidR="003B6E11" w:rsidRPr="003B6E11" w:rsidRDefault="003B6E11" w:rsidP="002D015D">
            <w:pPr>
              <w:tabs>
                <w:tab w:val="left" w:pos="57"/>
                <w:tab w:val="left" w:pos="5103"/>
              </w:tabs>
              <w:overflowPunct w:val="0"/>
              <w:adjustRightInd w:val="0"/>
              <w:textAlignment w:val="baseline"/>
              <w:rPr>
                <w:rFonts w:cs="Arial"/>
                <w:sz w:val="18"/>
                <w:szCs w:val="20"/>
                <w:lang w:val="cs-CZ"/>
              </w:rPr>
            </w:pPr>
          </w:p>
          <w:p w:rsidR="003B6E11" w:rsidRPr="003B6E11" w:rsidRDefault="003B6E11" w:rsidP="002D015D">
            <w:pPr>
              <w:tabs>
                <w:tab w:val="left" w:pos="57"/>
                <w:tab w:val="left" w:pos="5103"/>
              </w:tabs>
              <w:overflowPunct w:val="0"/>
              <w:adjustRightInd w:val="0"/>
              <w:spacing w:after="12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bottom w:val="single" w:sz="6" w:space="0" w:color="auto"/>
            </w:tcBorders>
          </w:tcPr>
          <w:p w:rsidR="003B6E11" w:rsidRPr="003B6E11" w:rsidRDefault="003B6E11" w:rsidP="002D015D">
            <w:pPr>
              <w:tabs>
                <w:tab w:val="left" w:pos="57"/>
              </w:tabs>
              <w:overflowPunct w:val="0"/>
              <w:adjustRightInd w:val="0"/>
              <w:spacing w:before="80"/>
              <w:textAlignment w:val="baseline"/>
              <w:rPr>
                <w:rFonts w:cs="Arial"/>
                <w:sz w:val="18"/>
                <w:szCs w:val="20"/>
                <w:lang w:val="cs-CZ"/>
              </w:rPr>
            </w:pPr>
            <w:r w:rsidRPr="003B6E11">
              <w:rPr>
                <w:lang w:val="cs-CZ"/>
              </w:rPr>
              <w:tab/>
            </w:r>
            <w:r w:rsidRPr="003B6E11">
              <w:rPr>
                <w:sz w:val="18"/>
                <w:lang w:val="cs-CZ"/>
              </w:rPr>
              <w:t>*)</w:t>
            </w:r>
            <w:r w:rsidRPr="003B6E11">
              <w:rPr>
                <w:rFonts w:cs="Arial"/>
                <w:sz w:val="18"/>
                <w:szCs w:val="20"/>
                <w:lang w:val="cs-CZ"/>
              </w:rPr>
              <w:br/>
            </w:r>
            <w:r w:rsidRPr="003B6E11">
              <w:rPr>
                <w:rFonts w:cs="Arial"/>
                <w:sz w:val="18"/>
                <w:szCs w:val="20"/>
                <w:lang w:val="cs-CZ"/>
              </w:rPr>
              <w:br/>
            </w:r>
          </w:p>
          <w:p w:rsidR="003B6E11" w:rsidRPr="003B6E11" w:rsidRDefault="003B6E11" w:rsidP="002D015D">
            <w:pPr>
              <w:tabs>
                <w:tab w:val="left" w:pos="57"/>
              </w:tabs>
              <w:overflowPunct w:val="0"/>
              <w:adjustRightInd w:val="0"/>
              <w:spacing w:before="80"/>
              <w:textAlignment w:val="baseline"/>
              <w:rPr>
                <w:rFonts w:cs="Arial"/>
                <w:sz w:val="18"/>
                <w:szCs w:val="20"/>
                <w:lang w:val="cs-CZ"/>
              </w:rPr>
            </w:pPr>
          </w:p>
          <w:p w:rsidR="003B6E11" w:rsidRPr="003B6E11" w:rsidRDefault="003B6E11" w:rsidP="002D015D">
            <w:pPr>
              <w:tabs>
                <w:tab w:val="left" w:pos="57"/>
              </w:tabs>
              <w:overflowPunct w:val="0"/>
              <w:adjustRightInd w:val="0"/>
              <w:spacing w:before="160"/>
              <w:textAlignment w:val="baseline"/>
              <w:rPr>
                <w:rFonts w:cs="Arial"/>
                <w:sz w:val="18"/>
                <w:szCs w:val="20"/>
                <w:lang w:val="cs-CZ"/>
              </w:rPr>
            </w:pPr>
            <w:r w:rsidRPr="003B6E11">
              <w:rPr>
                <w:lang w:val="cs-CZ"/>
              </w:rPr>
              <w:tab/>
            </w:r>
            <w:r w:rsidRPr="003B6E11">
              <w:rPr>
                <w:sz w:val="18"/>
                <w:lang w:val="cs-CZ"/>
              </w:rPr>
              <w:t>*)</w:t>
            </w:r>
          </w:p>
        </w:tc>
        <w:tc>
          <w:tcPr>
            <w:tcW w:w="8903" w:type="dxa"/>
            <w:gridSpan w:val="7"/>
            <w:tcBorders>
              <w:bottom w:val="single" w:sz="6" w:space="0" w:color="auto"/>
              <w:right w:val="single" w:sz="6" w:space="0" w:color="auto"/>
            </w:tcBorders>
          </w:tcPr>
          <w:p w:rsidR="003B6E11" w:rsidRPr="003B6E11" w:rsidRDefault="003B6E11" w:rsidP="002D015D">
            <w:pPr>
              <w:tabs>
                <w:tab w:val="left" w:pos="57"/>
                <w:tab w:val="left" w:leader="dot" w:pos="3686"/>
              </w:tabs>
              <w:overflowPunct w:val="0"/>
              <w:adjustRightInd w:val="0"/>
              <w:spacing w:before="80" w:after="80"/>
              <w:ind w:left="57" w:right="57"/>
              <w:textAlignment w:val="baseline"/>
              <w:rPr>
                <w:rFonts w:cs="Arial"/>
                <w:sz w:val="18"/>
                <w:szCs w:val="20"/>
                <w:lang w:val="cs-CZ"/>
              </w:rPr>
            </w:pPr>
            <w:r w:rsidRPr="003B6E11">
              <w:rPr>
                <w:noProof/>
                <w:sz w:val="18"/>
                <w:lang w:val="cs-CZ"/>
              </w:rPr>
              <w:t>Změna bodu (bodů): ....................</w:t>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noProof/>
                <w:sz w:val="18"/>
                <w:lang w:val="cs-CZ"/>
              </w:rPr>
              <w:t>Nový text:</w:t>
            </w:r>
            <w:r w:rsidRPr="003B6E11">
              <w:rPr>
                <w:lang w:val="cs-CZ"/>
              </w:rPr>
              <w:tab/>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lang w:val="cs-CZ"/>
              </w:rPr>
              <w:tab/>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lang w:val="cs-CZ"/>
              </w:rPr>
              <w:tab/>
            </w:r>
          </w:p>
          <w:p w:rsidR="003B6E11" w:rsidRPr="003B6E11" w:rsidRDefault="003B6E11" w:rsidP="002D015D">
            <w:pPr>
              <w:tabs>
                <w:tab w:val="left" w:leader="dot" w:pos="4536"/>
                <w:tab w:val="center" w:pos="6862"/>
              </w:tabs>
              <w:overflowPunct w:val="0"/>
              <w:adjustRightInd w:val="0"/>
              <w:spacing w:after="80"/>
              <w:ind w:left="57" w:right="57"/>
              <w:textAlignment w:val="baseline"/>
              <w:rPr>
                <w:rFonts w:cs="Arial"/>
                <w:sz w:val="18"/>
                <w:szCs w:val="20"/>
                <w:lang w:val="cs-CZ"/>
              </w:rPr>
            </w:pPr>
            <w:r w:rsidRPr="003B6E11">
              <w:rPr>
                <w:sz w:val="18"/>
                <w:lang w:val="cs-CZ"/>
              </w:rPr>
              <w:t>Tato stránka byla nahrazena.</w:t>
            </w:r>
          </w:p>
          <w:p w:rsidR="003B6E11" w:rsidRPr="003B6E11" w:rsidRDefault="003B6E11" w:rsidP="002D015D">
            <w:pPr>
              <w:tabs>
                <w:tab w:val="left" w:leader="dot" w:pos="4536"/>
                <w:tab w:val="center" w:pos="6862"/>
              </w:tabs>
              <w:overflowPunct w:val="0"/>
              <w:adjustRightInd w:val="0"/>
              <w:spacing w:after="80"/>
              <w:ind w:left="57" w:right="57"/>
              <w:textAlignment w:val="baseline"/>
              <w:rPr>
                <w:rFonts w:cs="Arial"/>
                <w:sz w:val="18"/>
                <w:szCs w:val="20"/>
                <w:lang w:val="cs-CZ"/>
              </w:rPr>
            </w:pPr>
            <w:r w:rsidRPr="003B6E11">
              <w:rPr>
                <w:sz w:val="18"/>
                <w:lang w:val="cs-CZ"/>
              </w:rPr>
              <w:t xml:space="preserve">Místo, datum </w:t>
            </w:r>
            <w:r w:rsidRPr="003B6E11">
              <w:rPr>
                <w:lang w:val="cs-CZ"/>
              </w:rPr>
              <w:tab/>
            </w:r>
            <w:r w:rsidRPr="003B6E11">
              <w:rPr>
                <w:lang w:val="cs-CZ"/>
              </w:rPr>
              <w:tab/>
            </w:r>
            <w:r w:rsidRPr="003B6E11">
              <w:rPr>
                <w:sz w:val="18"/>
                <w:lang w:val="cs-CZ"/>
              </w:rPr>
              <w:t>Subjekt pověřený prohlídkami</w:t>
            </w:r>
          </w:p>
          <w:p w:rsidR="003B6E11" w:rsidRPr="003B6E11" w:rsidRDefault="003B6E11" w:rsidP="002D015D">
            <w:pPr>
              <w:tabs>
                <w:tab w:val="left" w:pos="5103"/>
                <w:tab w:val="left" w:leader="dot" w:pos="8505"/>
              </w:tabs>
              <w:overflowPunct w:val="0"/>
              <w:adjustRightInd w:val="0"/>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1701"/>
              </w:tabs>
              <w:overflowPunct w:val="0"/>
              <w:adjustRightInd w:val="0"/>
              <w:spacing w:after="80"/>
              <w:textAlignment w:val="baseline"/>
              <w:rPr>
                <w:rFonts w:cs="Arial"/>
                <w:sz w:val="18"/>
                <w:szCs w:val="20"/>
                <w:lang w:val="cs-CZ"/>
              </w:rPr>
            </w:pPr>
            <w:r w:rsidRPr="003B6E11">
              <w:rPr>
                <w:lang w:val="cs-CZ"/>
              </w:rPr>
              <w:tab/>
            </w:r>
            <w:r w:rsidRPr="003B6E11">
              <w:rPr>
                <w:sz w:val="18"/>
                <w:lang w:val="cs-CZ"/>
              </w:rPr>
              <w:t>Razítko</w:t>
            </w:r>
          </w:p>
          <w:p w:rsidR="003B6E11" w:rsidRPr="003B6E11" w:rsidRDefault="003B6E11" w:rsidP="002D015D">
            <w:pPr>
              <w:tabs>
                <w:tab w:val="left" w:pos="5103"/>
                <w:tab w:val="left" w:leader="dot" w:pos="8505"/>
              </w:tabs>
              <w:overflowPunct w:val="0"/>
              <w:adjustRightInd w:val="0"/>
              <w:textAlignment w:val="baseline"/>
              <w:rPr>
                <w:rFonts w:cs="Arial"/>
                <w:szCs w:val="20"/>
                <w:lang w:val="cs-CZ"/>
              </w:rPr>
            </w:pPr>
            <w:r w:rsidRPr="003B6E11">
              <w:rPr>
                <w:lang w:val="cs-CZ"/>
              </w:rPr>
              <w:tab/>
            </w:r>
            <w:r w:rsidRPr="003B6E11">
              <w:rPr>
                <w:lang w:val="cs-CZ"/>
              </w:rPr>
              <w:tab/>
            </w:r>
          </w:p>
          <w:p w:rsidR="003B6E11" w:rsidRPr="003B6E11" w:rsidRDefault="003B6E11" w:rsidP="002D015D">
            <w:pPr>
              <w:tabs>
                <w:tab w:val="center" w:pos="6862"/>
              </w:tabs>
              <w:overflowPunct w:val="0"/>
              <w:adjustRightInd w:val="0"/>
              <w:textAlignment w:val="baseline"/>
              <w:rPr>
                <w:rFonts w:cs="Arial"/>
                <w:sz w:val="16"/>
                <w:szCs w:val="20"/>
                <w:lang w:val="cs-CZ"/>
              </w:rPr>
            </w:pPr>
            <w:r w:rsidRPr="003B6E11">
              <w:rPr>
                <w:lang w:val="cs-CZ"/>
              </w:rPr>
              <w:tab/>
            </w:r>
            <w:r w:rsidRPr="003B6E11">
              <w:rPr>
                <w:sz w:val="16"/>
                <w:lang w:val="cs-CZ"/>
              </w:rPr>
              <w:t>(podpis)</w:t>
            </w:r>
          </w:p>
          <w:p w:rsidR="003B6E11" w:rsidRPr="003B6E11" w:rsidRDefault="003B6E11" w:rsidP="002D015D">
            <w:pPr>
              <w:tabs>
                <w:tab w:val="left" w:pos="113"/>
                <w:tab w:val="left" w:pos="397"/>
                <w:tab w:val="left" w:pos="6237"/>
                <w:tab w:val="left" w:leader="dot" w:pos="9356"/>
              </w:tabs>
              <w:overflowPunct w:val="0"/>
              <w:adjustRightInd w:val="0"/>
              <w:textAlignment w:val="baseline"/>
              <w:rPr>
                <w:rFonts w:cs="Arial"/>
                <w:sz w:val="16"/>
                <w:szCs w:val="20"/>
                <w:lang w:val="cs-CZ"/>
              </w:rPr>
            </w:pPr>
            <w:r w:rsidRPr="003B6E11">
              <w:rPr>
                <w:sz w:val="18"/>
                <w:lang w:val="cs-CZ"/>
              </w:rPr>
              <w:t>_______________________</w:t>
            </w:r>
          </w:p>
          <w:p w:rsidR="003B6E11" w:rsidRPr="003B6E11" w:rsidRDefault="003B6E11" w:rsidP="002D015D">
            <w:pPr>
              <w:tabs>
                <w:tab w:val="left" w:pos="284"/>
              </w:tabs>
              <w:overflowPunct w:val="0"/>
              <w:adjustRightInd w:val="0"/>
              <w:spacing w:after="40"/>
              <w:ind w:left="57"/>
              <w:textAlignment w:val="baseline"/>
              <w:rPr>
                <w:rFonts w:cs="Arial"/>
                <w:sz w:val="18"/>
                <w:szCs w:val="20"/>
                <w:lang w:val="cs-CZ"/>
              </w:rPr>
            </w:pPr>
            <w:r w:rsidRPr="003B6E11">
              <w:rPr>
                <w:position w:val="4"/>
                <w:sz w:val="16"/>
                <w:lang w:val="cs-CZ"/>
              </w:rPr>
              <w:t>*)</w:t>
            </w:r>
            <w:r w:rsidRPr="003B6E11">
              <w:rPr>
                <w:lang w:val="cs-CZ"/>
              </w:rPr>
              <w:tab/>
            </w:r>
            <w:r w:rsidRPr="003B6E11">
              <w:rPr>
                <w:sz w:val="16"/>
                <w:lang w:val="cs-CZ"/>
              </w:rPr>
              <w:t>Nehodící se škrtněte.</w:t>
            </w:r>
          </w:p>
        </w:tc>
      </w:tr>
    </w:tbl>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tabs>
          <w:tab w:val="left" w:leader="dot" w:pos="2835"/>
          <w:tab w:val="left" w:leader="dot" w:pos="5103"/>
        </w:tabs>
        <w:overflowPunct w:val="0"/>
        <w:adjustRightInd w:val="0"/>
        <w:textAlignment w:val="baseline"/>
        <w:rPr>
          <w:rFonts w:cs="Arial"/>
          <w:szCs w:val="20"/>
          <w:lang w:val="cs-CZ"/>
        </w:rPr>
      </w:pPr>
      <w:r w:rsidRPr="003B6E11">
        <w:rPr>
          <w:lang w:val="cs-CZ"/>
        </w:rPr>
        <w:br w:type="page"/>
        <w:t xml:space="preserve">Osvědčení plavidla vnitrozemské plavby č. </w:t>
      </w:r>
      <w:r w:rsidRPr="003B6E11">
        <w:rPr>
          <w:lang w:val="cs-CZ"/>
        </w:rPr>
        <w:tab/>
        <w:t xml:space="preserve"> vydané subjektem pověřeným prohlídkami </w:t>
      </w:r>
      <w:r w:rsidRPr="003B6E11">
        <w:rPr>
          <w:lang w:val="cs-CZ"/>
        </w:rPr>
        <w:tab/>
      </w:r>
    </w:p>
    <w:tbl>
      <w:tblPr>
        <w:tblW w:w="0" w:type="auto"/>
        <w:jc w:val="center"/>
        <w:tblLayout w:type="fixed"/>
        <w:tblCellMar>
          <w:left w:w="0" w:type="dxa"/>
          <w:right w:w="0" w:type="dxa"/>
        </w:tblCellMar>
        <w:tblLook w:val="0000" w:firstRow="0" w:lastRow="0" w:firstColumn="0" w:lastColumn="0" w:noHBand="0" w:noVBand="0"/>
      </w:tblPr>
      <w:tblGrid>
        <w:gridCol w:w="284"/>
        <w:gridCol w:w="8902"/>
      </w:tblGrid>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r w:rsidRPr="003B6E11">
              <w:rPr>
                <w:sz w:val="18"/>
                <w:lang w:val="cs-CZ"/>
              </w:rPr>
              <w:t>51.</w:t>
            </w:r>
          </w:p>
        </w:tc>
        <w:tc>
          <w:tcPr>
            <w:tcW w:w="8902" w:type="dxa"/>
            <w:tcBorders>
              <w:top w:val="single" w:sz="6" w:space="0" w:color="auto"/>
              <w:bottom w:val="single" w:sz="6" w:space="0" w:color="auto"/>
              <w:right w:val="single" w:sz="6" w:space="0" w:color="auto"/>
            </w:tcBorders>
          </w:tcPr>
          <w:p w:rsidR="003B6E11" w:rsidRPr="003B6E11" w:rsidRDefault="003B6E11" w:rsidP="002D015D">
            <w:pPr>
              <w:tabs>
                <w:tab w:val="left" w:leader="dot" w:pos="8505"/>
              </w:tabs>
              <w:overflowPunct w:val="0"/>
              <w:adjustRightInd w:val="0"/>
              <w:spacing w:before="120"/>
              <w:ind w:left="114" w:hanging="57"/>
              <w:textAlignment w:val="baseline"/>
              <w:rPr>
                <w:rFonts w:cs="Arial"/>
                <w:b/>
                <w:position w:val="6"/>
                <w:sz w:val="16"/>
                <w:szCs w:val="20"/>
                <w:lang w:val="cs-CZ"/>
              </w:rPr>
            </w:pPr>
            <w:r w:rsidRPr="003B6E11">
              <w:rPr>
                <w:b/>
                <w:noProof/>
                <w:sz w:val="18"/>
                <w:lang w:val="cs-CZ"/>
              </w:rPr>
              <w:t>Prodloužení platnosti potvrzení o prohlídce zařízení na zkapalněný plyn</w:t>
            </w:r>
          </w:p>
          <w:p w:rsidR="003B6E11" w:rsidRPr="003B6E11" w:rsidRDefault="003B6E11" w:rsidP="002D015D">
            <w:pPr>
              <w:tabs>
                <w:tab w:val="left" w:leader="dot" w:pos="4453"/>
                <w:tab w:val="left" w:leader="dot" w:pos="8505"/>
              </w:tabs>
              <w:overflowPunct w:val="0"/>
              <w:adjustRightInd w:val="0"/>
              <w:spacing w:after="120"/>
              <w:ind w:left="114" w:hanging="57"/>
              <w:textAlignment w:val="baseline"/>
              <w:rPr>
                <w:rFonts w:cs="Arial"/>
                <w:noProof/>
                <w:sz w:val="18"/>
                <w:szCs w:val="20"/>
                <w:lang w:val="cs-CZ"/>
              </w:rPr>
            </w:pPr>
            <w:r w:rsidRPr="003B6E11">
              <w:rPr>
                <w:noProof/>
                <w:sz w:val="18"/>
                <w:lang w:val="cs-CZ"/>
              </w:rPr>
              <w:t>Platnost potvrzení o prohlídce zařízení na zkapalněný plyn</w:t>
            </w:r>
          </w:p>
          <w:p w:rsidR="003B6E11" w:rsidRPr="003B6E11" w:rsidRDefault="003B6E11" w:rsidP="002D015D">
            <w:pPr>
              <w:tabs>
                <w:tab w:val="left" w:leader="dot" w:pos="4453"/>
                <w:tab w:val="left" w:leader="dot" w:pos="8505"/>
              </w:tabs>
              <w:overflowPunct w:val="0"/>
              <w:adjustRightInd w:val="0"/>
              <w:spacing w:after="120"/>
              <w:ind w:left="114" w:hanging="57"/>
              <w:textAlignment w:val="baseline"/>
              <w:rPr>
                <w:rFonts w:cs="Arial"/>
                <w:sz w:val="18"/>
                <w:szCs w:val="20"/>
                <w:lang w:val="cs-CZ"/>
              </w:rPr>
            </w:pPr>
            <w:r w:rsidRPr="003B6E11">
              <w:rPr>
                <w:noProof/>
                <w:sz w:val="18"/>
                <w:lang w:val="cs-CZ"/>
              </w:rPr>
              <w:t>ze dne</w:t>
            </w:r>
            <w:r w:rsidRPr="003B6E11">
              <w:rPr>
                <w:lang w:val="cs-CZ"/>
              </w:rPr>
              <w:tab/>
            </w:r>
            <w:r w:rsidRPr="003B6E11">
              <w:rPr>
                <w:sz w:val="18"/>
                <w:lang w:val="cs-CZ"/>
              </w:rPr>
              <w:t xml:space="preserve"> platné do</w:t>
            </w:r>
            <w:r w:rsidRPr="003B6E11">
              <w:rPr>
                <w:lang w:val="cs-CZ"/>
              </w:rPr>
              <w:tab/>
            </w:r>
            <w:r w:rsidRPr="003B6E11">
              <w:rPr>
                <w:sz w:val="18"/>
                <w:lang w:val="cs-CZ"/>
              </w:rPr>
              <w:t xml:space="preserve"> </w:t>
            </w:r>
          </w:p>
          <w:p w:rsidR="003B6E11" w:rsidRPr="003B6E11" w:rsidRDefault="003B6E11" w:rsidP="002D015D">
            <w:pPr>
              <w:tabs>
                <w:tab w:val="left" w:pos="227"/>
                <w:tab w:val="left" w:leader="dot" w:pos="8505"/>
              </w:tabs>
              <w:overflowPunct w:val="0"/>
              <w:adjustRightInd w:val="0"/>
              <w:spacing w:after="120"/>
              <w:ind w:left="114" w:hanging="57"/>
              <w:textAlignment w:val="baseline"/>
              <w:rPr>
                <w:rFonts w:cs="Arial"/>
                <w:sz w:val="18"/>
                <w:szCs w:val="20"/>
                <w:lang w:val="cs-CZ"/>
              </w:rPr>
            </w:pPr>
            <w:r w:rsidRPr="003B6E11">
              <w:rPr>
                <w:noProof/>
                <w:sz w:val="18"/>
                <w:lang w:val="cs-CZ"/>
              </w:rPr>
              <w:t>se prodlužuje</w:t>
            </w:r>
          </w:p>
          <w:p w:rsidR="003B6E11" w:rsidRPr="003B6E11" w:rsidRDefault="003B6E11" w:rsidP="002D015D">
            <w:pPr>
              <w:tabs>
                <w:tab w:val="left" w:pos="227"/>
                <w:tab w:val="left" w:leader="dot" w:pos="8505"/>
              </w:tabs>
              <w:overflowPunct w:val="0"/>
              <w:adjustRightInd w:val="0"/>
              <w:spacing w:after="100"/>
              <w:ind w:left="114" w:hanging="57"/>
              <w:textAlignment w:val="baseline"/>
              <w:rPr>
                <w:rFonts w:cs="Arial"/>
                <w:sz w:val="18"/>
                <w:szCs w:val="20"/>
                <w:lang w:val="cs-CZ"/>
              </w:rPr>
            </w:pPr>
            <w:r w:rsidRPr="003B6E11">
              <w:rPr>
                <w:sz w:val="18"/>
                <w:lang w:val="cs-CZ"/>
              </w:rPr>
              <w:t>–</w:t>
            </w:r>
            <w:r w:rsidRPr="003B6E11">
              <w:rPr>
                <w:lang w:val="cs-CZ"/>
              </w:rPr>
              <w:tab/>
            </w:r>
            <w:r w:rsidRPr="003B6E11">
              <w:rPr>
                <w:noProof/>
                <w:sz w:val="18"/>
                <w:lang w:val="cs-CZ"/>
              </w:rPr>
              <w:t>po pravidelné prohlídce odborníkem</w:t>
            </w:r>
            <w:r w:rsidRPr="003B6E11">
              <w:rPr>
                <w:lang w:val="cs-CZ"/>
              </w:rPr>
              <w:tab/>
            </w:r>
          </w:p>
          <w:p w:rsidR="003B6E11" w:rsidRPr="003B6E11" w:rsidRDefault="003B6E11" w:rsidP="002D015D">
            <w:pPr>
              <w:tabs>
                <w:tab w:val="left" w:pos="227"/>
                <w:tab w:val="left" w:leader="dot" w:pos="4734"/>
                <w:tab w:val="left" w:pos="4876"/>
                <w:tab w:val="left" w:leader="dot" w:pos="6861"/>
              </w:tabs>
              <w:overflowPunct w:val="0"/>
              <w:adjustRightInd w:val="0"/>
              <w:spacing w:after="120"/>
              <w:ind w:left="114" w:hanging="57"/>
              <w:textAlignment w:val="baseline"/>
              <w:rPr>
                <w:rFonts w:cs="Arial"/>
                <w:sz w:val="18"/>
                <w:szCs w:val="20"/>
                <w:lang w:val="cs-CZ"/>
              </w:rPr>
            </w:pPr>
            <w:r w:rsidRPr="003B6E11">
              <w:rPr>
                <w:sz w:val="18"/>
                <w:lang w:val="cs-CZ"/>
              </w:rPr>
              <w:t>–</w:t>
            </w:r>
            <w:r w:rsidRPr="003B6E11">
              <w:rPr>
                <w:lang w:val="cs-CZ"/>
              </w:rPr>
              <w:tab/>
            </w:r>
            <w:r w:rsidRPr="003B6E11">
              <w:rPr>
                <w:noProof/>
                <w:sz w:val="18"/>
                <w:lang w:val="cs-CZ"/>
              </w:rPr>
              <w:t>po předložení potvrzení o prohlídce ze dne</w:t>
            </w:r>
            <w:r w:rsidRPr="003B6E11">
              <w:rPr>
                <w:lang w:val="cs-CZ"/>
              </w:rPr>
              <w:tab/>
            </w:r>
            <w:r w:rsidRPr="003B6E11">
              <w:rPr>
                <w:sz w:val="18"/>
                <w:lang w:val="cs-CZ"/>
              </w:rPr>
              <w:t xml:space="preserve"> </w:t>
            </w:r>
            <w:r w:rsidRPr="003B6E11">
              <w:rPr>
                <w:lang w:val="cs-CZ"/>
              </w:rPr>
              <w:tab/>
            </w:r>
          </w:p>
          <w:p w:rsidR="003B6E11" w:rsidRPr="003B6E11" w:rsidRDefault="003B6E11" w:rsidP="002D015D">
            <w:pPr>
              <w:tabs>
                <w:tab w:val="left" w:pos="57"/>
                <w:tab w:val="left" w:pos="227"/>
                <w:tab w:val="left" w:leader="dot" w:pos="5103"/>
                <w:tab w:val="left" w:leader="dot" w:pos="8505"/>
              </w:tabs>
              <w:overflowPunct w:val="0"/>
              <w:adjustRightInd w:val="0"/>
              <w:spacing w:after="120"/>
              <w:ind w:left="114" w:hanging="57"/>
              <w:textAlignment w:val="baseline"/>
              <w:rPr>
                <w:rFonts w:cs="Arial"/>
                <w:sz w:val="18"/>
                <w:szCs w:val="20"/>
                <w:lang w:val="cs-CZ"/>
              </w:rPr>
            </w:pPr>
            <w:r w:rsidRPr="003B6E11">
              <w:rPr>
                <w:noProof/>
                <w:sz w:val="18"/>
                <w:lang w:val="cs-CZ"/>
              </w:rPr>
              <w:t xml:space="preserve">do </w:t>
            </w:r>
            <w:r w:rsidRPr="003B6E11">
              <w:rPr>
                <w:lang w:val="cs-CZ"/>
              </w:rPr>
              <w:tab/>
            </w:r>
          </w:p>
          <w:p w:rsidR="003B6E11" w:rsidRPr="003B6E11" w:rsidRDefault="003B6E11" w:rsidP="002D015D">
            <w:pPr>
              <w:tabs>
                <w:tab w:val="left" w:pos="57"/>
                <w:tab w:val="left" w:leader="dot" w:pos="8505"/>
              </w:tabs>
              <w:overflowPunct w:val="0"/>
              <w:adjustRightInd w:val="0"/>
              <w:ind w:left="57" w:hanging="57"/>
              <w:textAlignment w:val="baseline"/>
              <w:rPr>
                <w:rFonts w:cs="Arial"/>
                <w:sz w:val="18"/>
                <w:szCs w:val="20"/>
                <w:lang w:val="cs-CZ"/>
              </w:rPr>
            </w:pPr>
          </w:p>
          <w:p w:rsidR="003B6E11" w:rsidRPr="003B6E11" w:rsidRDefault="003B6E11" w:rsidP="002D015D">
            <w:pPr>
              <w:tabs>
                <w:tab w:val="left" w:leader="dot" w:pos="3969"/>
                <w:tab w:val="left" w:leader="dot" w:pos="6237"/>
                <w:tab w:val="left" w:leader="dot" w:pos="8505"/>
              </w:tabs>
              <w:overflowPunct w:val="0"/>
              <w:adjustRightInd w:val="0"/>
              <w:spacing w:before="40"/>
              <w:ind w:left="114" w:hanging="57"/>
              <w:textAlignment w:val="baseline"/>
              <w:rPr>
                <w:rFonts w:cs="Arial"/>
                <w:sz w:val="18"/>
                <w:szCs w:val="20"/>
                <w:lang w:val="cs-CZ"/>
              </w:rPr>
            </w:pPr>
            <w:r w:rsidRPr="003B6E11">
              <w:rPr>
                <w:lang w:val="cs-CZ"/>
              </w:rPr>
              <w:tab/>
            </w:r>
            <w:r w:rsidRPr="003B6E11">
              <w:rPr>
                <w:lang w:val="cs-CZ"/>
              </w:rPr>
              <w:tab/>
            </w:r>
            <w:r w:rsidRPr="003B6E11">
              <w:rPr>
                <w:noProof/>
                <w:sz w:val="18"/>
                <w:lang w:val="cs-CZ"/>
              </w:rPr>
              <w:t xml:space="preserve">, </w:t>
            </w:r>
            <w:r w:rsidRPr="003B6E11">
              <w:rPr>
                <w:lang w:val="cs-CZ"/>
              </w:rPr>
              <w:tab/>
            </w:r>
          </w:p>
          <w:p w:rsidR="003B6E11" w:rsidRPr="003B6E11" w:rsidRDefault="003B6E11" w:rsidP="002D015D">
            <w:pPr>
              <w:tabs>
                <w:tab w:val="center" w:pos="2041"/>
                <w:tab w:val="center" w:pos="5216"/>
              </w:tabs>
              <w:overflowPunct w:val="0"/>
              <w:adjustRightInd w:val="0"/>
              <w:textAlignment w:val="baseline"/>
              <w:rPr>
                <w:rFonts w:cs="Arial"/>
                <w:sz w:val="18"/>
                <w:szCs w:val="20"/>
                <w:lang w:val="cs-CZ"/>
              </w:rPr>
            </w:pPr>
            <w:r w:rsidRPr="003B6E11">
              <w:rPr>
                <w:lang w:val="cs-CZ"/>
              </w:rPr>
              <w:tab/>
            </w:r>
            <w:r w:rsidRPr="003B6E11">
              <w:rPr>
                <w:noProof/>
                <w:sz w:val="16"/>
                <w:lang w:val="cs-CZ"/>
              </w:rPr>
              <w:t>(místo)</w:t>
            </w:r>
            <w:r w:rsidRPr="003B6E11">
              <w:rPr>
                <w:lang w:val="cs-CZ"/>
              </w:rPr>
              <w:tab/>
            </w:r>
            <w:r w:rsidRPr="003B6E11">
              <w:rPr>
                <w:noProof/>
                <w:sz w:val="16"/>
                <w:lang w:val="cs-CZ"/>
              </w:rPr>
              <w:t>(datum)</w:t>
            </w:r>
          </w:p>
          <w:p w:rsidR="003B6E11" w:rsidRPr="003B6E11" w:rsidRDefault="003B6E11" w:rsidP="002D015D">
            <w:pPr>
              <w:tabs>
                <w:tab w:val="left" w:pos="4820"/>
                <w:tab w:val="left" w:leader="dot" w:pos="8505"/>
              </w:tabs>
              <w:overflowPunct w:val="0"/>
              <w:adjustRightInd w:val="0"/>
              <w:spacing w:before="120"/>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6719"/>
              </w:tabs>
              <w:overflowPunct w:val="0"/>
              <w:adjustRightInd w:val="0"/>
              <w:textAlignment w:val="baseline"/>
              <w:rPr>
                <w:rFonts w:cs="Arial"/>
                <w:sz w:val="18"/>
                <w:szCs w:val="20"/>
                <w:lang w:val="cs-CZ"/>
              </w:rPr>
            </w:pPr>
            <w:r w:rsidRPr="003B6E11">
              <w:rPr>
                <w:lang w:val="cs-CZ"/>
              </w:rPr>
              <w:tab/>
            </w:r>
            <w:r w:rsidRPr="003B6E11">
              <w:rPr>
                <w:noProof/>
                <w:sz w:val="16"/>
                <w:lang w:val="cs-CZ"/>
              </w:rPr>
              <w:t>Subjekt pověřený prohlídkami</w:t>
            </w:r>
          </w:p>
          <w:p w:rsidR="003B6E11" w:rsidRPr="003B6E11" w:rsidRDefault="003B6E11" w:rsidP="002D015D">
            <w:pPr>
              <w:tabs>
                <w:tab w:val="center" w:pos="1985"/>
              </w:tabs>
              <w:overflowPunct w:val="0"/>
              <w:adjustRightInd w:val="0"/>
              <w:spacing w:before="120"/>
              <w:textAlignment w:val="baseline"/>
              <w:rPr>
                <w:rFonts w:cs="Arial"/>
                <w:sz w:val="18"/>
                <w:szCs w:val="20"/>
                <w:lang w:val="cs-CZ"/>
              </w:rPr>
            </w:pPr>
            <w:r w:rsidRPr="003B6E11">
              <w:rPr>
                <w:lang w:val="cs-CZ"/>
              </w:rPr>
              <w:tab/>
            </w:r>
            <w:r w:rsidRPr="003B6E11">
              <w:rPr>
                <w:noProof/>
                <w:sz w:val="16"/>
                <w:lang w:val="cs-CZ"/>
              </w:rPr>
              <w:t>Razítko</w:t>
            </w:r>
          </w:p>
          <w:p w:rsidR="003B6E11" w:rsidRPr="003B6E11" w:rsidRDefault="003B6E11" w:rsidP="002D015D">
            <w:pPr>
              <w:tabs>
                <w:tab w:val="left" w:pos="4820"/>
                <w:tab w:val="left" w:leader="dot" w:pos="8505"/>
              </w:tabs>
              <w:overflowPunct w:val="0"/>
              <w:adjustRightInd w:val="0"/>
              <w:spacing w:before="120"/>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6719"/>
              </w:tabs>
              <w:overflowPunct w:val="0"/>
              <w:adjustRightInd w:val="0"/>
              <w:textAlignment w:val="baseline"/>
              <w:rPr>
                <w:rFonts w:cs="Arial"/>
                <w:sz w:val="18"/>
                <w:szCs w:val="20"/>
                <w:lang w:val="cs-CZ"/>
              </w:rPr>
            </w:pPr>
            <w:r w:rsidRPr="003B6E11">
              <w:rPr>
                <w:lang w:val="cs-CZ"/>
              </w:rPr>
              <w:tab/>
            </w:r>
            <w:r w:rsidRPr="003B6E11">
              <w:rPr>
                <w:noProof/>
                <w:sz w:val="16"/>
                <w:lang w:val="cs-CZ"/>
              </w:rPr>
              <w:t>(podpis)</w:t>
            </w:r>
          </w:p>
          <w:p w:rsidR="003B6E11" w:rsidRPr="003B6E11" w:rsidRDefault="003B6E11" w:rsidP="002D015D">
            <w:pPr>
              <w:tabs>
                <w:tab w:val="left" w:pos="57"/>
                <w:tab w:val="left" w:pos="5670"/>
                <w:tab w:val="left" w:leader="dot" w:pos="8505"/>
              </w:tabs>
              <w:overflowPunct w:val="0"/>
              <w:adjustRightInd w:val="0"/>
              <w:ind w:left="57" w:hanging="57"/>
              <w:textAlignment w:val="baseline"/>
              <w:rPr>
                <w:rFonts w:cs="Arial"/>
                <w:sz w:val="18"/>
                <w:szCs w:val="20"/>
                <w:lang w:val="cs-CZ"/>
              </w:rPr>
            </w:pP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r w:rsidRPr="003B6E11">
              <w:rPr>
                <w:sz w:val="18"/>
                <w:lang w:val="cs-CZ"/>
              </w:rPr>
              <w:t>51.</w:t>
            </w:r>
          </w:p>
        </w:tc>
        <w:tc>
          <w:tcPr>
            <w:tcW w:w="8902" w:type="dxa"/>
            <w:tcBorders>
              <w:top w:val="single" w:sz="6" w:space="0" w:color="auto"/>
              <w:bottom w:val="single" w:sz="6" w:space="0" w:color="auto"/>
              <w:right w:val="single" w:sz="6" w:space="0" w:color="auto"/>
            </w:tcBorders>
          </w:tcPr>
          <w:p w:rsidR="003B6E11" w:rsidRPr="003B6E11" w:rsidRDefault="003B6E11" w:rsidP="002D015D">
            <w:pPr>
              <w:tabs>
                <w:tab w:val="left" w:leader="dot" w:pos="8505"/>
              </w:tabs>
              <w:overflowPunct w:val="0"/>
              <w:adjustRightInd w:val="0"/>
              <w:spacing w:before="120"/>
              <w:ind w:left="114" w:hanging="57"/>
              <w:textAlignment w:val="baseline"/>
              <w:rPr>
                <w:rFonts w:cs="Arial"/>
                <w:b/>
                <w:position w:val="6"/>
                <w:sz w:val="16"/>
                <w:szCs w:val="20"/>
                <w:lang w:val="cs-CZ"/>
              </w:rPr>
            </w:pPr>
            <w:r w:rsidRPr="003B6E11">
              <w:rPr>
                <w:b/>
                <w:noProof/>
                <w:sz w:val="18"/>
                <w:lang w:val="cs-CZ"/>
              </w:rPr>
              <w:t>Prodloužení platnosti potvrzení o prohlídce zařízení na zkapalněný plyn</w:t>
            </w:r>
          </w:p>
          <w:p w:rsidR="003B6E11" w:rsidRPr="003B6E11" w:rsidRDefault="003B6E11" w:rsidP="002D015D">
            <w:pPr>
              <w:tabs>
                <w:tab w:val="left" w:leader="dot" w:pos="4453"/>
                <w:tab w:val="left" w:leader="dot" w:pos="8505"/>
              </w:tabs>
              <w:overflowPunct w:val="0"/>
              <w:adjustRightInd w:val="0"/>
              <w:spacing w:after="120"/>
              <w:ind w:left="114" w:hanging="57"/>
              <w:textAlignment w:val="baseline"/>
              <w:rPr>
                <w:rFonts w:cs="Arial"/>
                <w:noProof/>
                <w:sz w:val="18"/>
                <w:szCs w:val="20"/>
                <w:lang w:val="cs-CZ"/>
              </w:rPr>
            </w:pPr>
            <w:r w:rsidRPr="003B6E11">
              <w:rPr>
                <w:noProof/>
                <w:sz w:val="18"/>
                <w:lang w:val="cs-CZ"/>
              </w:rPr>
              <w:t>Platnost potvrzení o prohlídce zařízení na zkapalněný plyn</w:t>
            </w:r>
          </w:p>
          <w:p w:rsidR="003B6E11" w:rsidRPr="003B6E11" w:rsidRDefault="003B6E11" w:rsidP="002D015D">
            <w:pPr>
              <w:tabs>
                <w:tab w:val="left" w:leader="dot" w:pos="4453"/>
                <w:tab w:val="left" w:leader="dot" w:pos="8505"/>
              </w:tabs>
              <w:overflowPunct w:val="0"/>
              <w:adjustRightInd w:val="0"/>
              <w:spacing w:after="120"/>
              <w:ind w:left="114" w:hanging="57"/>
              <w:textAlignment w:val="baseline"/>
              <w:rPr>
                <w:rFonts w:cs="Arial"/>
                <w:sz w:val="18"/>
                <w:szCs w:val="20"/>
                <w:lang w:val="cs-CZ"/>
              </w:rPr>
            </w:pPr>
            <w:r w:rsidRPr="003B6E11">
              <w:rPr>
                <w:noProof/>
                <w:sz w:val="18"/>
                <w:lang w:val="cs-CZ"/>
              </w:rPr>
              <w:t>ze dne</w:t>
            </w:r>
            <w:r w:rsidRPr="003B6E11">
              <w:rPr>
                <w:lang w:val="cs-CZ"/>
              </w:rPr>
              <w:tab/>
            </w:r>
            <w:r w:rsidRPr="003B6E11">
              <w:rPr>
                <w:sz w:val="18"/>
                <w:lang w:val="cs-CZ"/>
              </w:rPr>
              <w:t xml:space="preserve"> platné do</w:t>
            </w:r>
            <w:r w:rsidRPr="003B6E11">
              <w:rPr>
                <w:lang w:val="cs-CZ"/>
              </w:rPr>
              <w:tab/>
            </w:r>
            <w:r w:rsidRPr="003B6E11">
              <w:rPr>
                <w:sz w:val="18"/>
                <w:lang w:val="cs-CZ"/>
              </w:rPr>
              <w:t xml:space="preserve"> </w:t>
            </w:r>
          </w:p>
          <w:p w:rsidR="003B6E11" w:rsidRPr="003B6E11" w:rsidRDefault="003B6E11" w:rsidP="002D015D">
            <w:pPr>
              <w:tabs>
                <w:tab w:val="left" w:pos="227"/>
                <w:tab w:val="left" w:leader="dot" w:pos="8505"/>
              </w:tabs>
              <w:overflowPunct w:val="0"/>
              <w:adjustRightInd w:val="0"/>
              <w:spacing w:after="120"/>
              <w:ind w:left="114" w:hanging="57"/>
              <w:textAlignment w:val="baseline"/>
              <w:rPr>
                <w:rFonts w:cs="Arial"/>
                <w:sz w:val="18"/>
                <w:szCs w:val="20"/>
                <w:lang w:val="cs-CZ"/>
              </w:rPr>
            </w:pPr>
            <w:r w:rsidRPr="003B6E11">
              <w:rPr>
                <w:noProof/>
                <w:sz w:val="18"/>
                <w:lang w:val="cs-CZ"/>
              </w:rPr>
              <w:t>se prodlužuje</w:t>
            </w:r>
          </w:p>
          <w:p w:rsidR="003B6E11" w:rsidRPr="003B6E11" w:rsidRDefault="003B6E11" w:rsidP="002D015D">
            <w:pPr>
              <w:tabs>
                <w:tab w:val="left" w:pos="227"/>
                <w:tab w:val="left" w:leader="dot" w:pos="8505"/>
              </w:tabs>
              <w:overflowPunct w:val="0"/>
              <w:adjustRightInd w:val="0"/>
              <w:spacing w:after="100"/>
              <w:ind w:left="114" w:hanging="57"/>
              <w:textAlignment w:val="baseline"/>
              <w:rPr>
                <w:rFonts w:cs="Arial"/>
                <w:sz w:val="18"/>
                <w:szCs w:val="20"/>
                <w:lang w:val="cs-CZ"/>
              </w:rPr>
            </w:pPr>
            <w:r w:rsidRPr="003B6E11">
              <w:rPr>
                <w:sz w:val="18"/>
                <w:lang w:val="cs-CZ"/>
              </w:rPr>
              <w:t>–</w:t>
            </w:r>
            <w:r w:rsidRPr="003B6E11">
              <w:rPr>
                <w:lang w:val="cs-CZ"/>
              </w:rPr>
              <w:tab/>
            </w:r>
            <w:r w:rsidRPr="003B6E11">
              <w:rPr>
                <w:noProof/>
                <w:sz w:val="18"/>
                <w:lang w:val="cs-CZ"/>
              </w:rPr>
              <w:t>po pravidelné prohlídce odborníkem</w:t>
            </w:r>
            <w:r w:rsidRPr="003B6E11">
              <w:rPr>
                <w:lang w:val="cs-CZ"/>
              </w:rPr>
              <w:tab/>
            </w:r>
          </w:p>
          <w:p w:rsidR="003B6E11" w:rsidRPr="003B6E11" w:rsidRDefault="003B6E11" w:rsidP="002D015D">
            <w:pPr>
              <w:tabs>
                <w:tab w:val="left" w:pos="227"/>
                <w:tab w:val="left" w:leader="dot" w:pos="4734"/>
                <w:tab w:val="left" w:pos="4876"/>
                <w:tab w:val="left" w:leader="dot" w:pos="6861"/>
              </w:tabs>
              <w:overflowPunct w:val="0"/>
              <w:adjustRightInd w:val="0"/>
              <w:spacing w:after="120"/>
              <w:ind w:left="114" w:hanging="57"/>
              <w:textAlignment w:val="baseline"/>
              <w:rPr>
                <w:rFonts w:cs="Arial"/>
                <w:sz w:val="18"/>
                <w:szCs w:val="20"/>
                <w:lang w:val="cs-CZ"/>
              </w:rPr>
            </w:pPr>
            <w:r w:rsidRPr="003B6E11">
              <w:rPr>
                <w:sz w:val="18"/>
                <w:lang w:val="cs-CZ"/>
              </w:rPr>
              <w:t>–</w:t>
            </w:r>
            <w:r w:rsidRPr="003B6E11">
              <w:rPr>
                <w:lang w:val="cs-CZ"/>
              </w:rPr>
              <w:tab/>
            </w:r>
            <w:r w:rsidRPr="003B6E11">
              <w:rPr>
                <w:noProof/>
                <w:sz w:val="18"/>
                <w:lang w:val="cs-CZ"/>
              </w:rPr>
              <w:t>po předložení potvrzení o prohlídce ze dne</w:t>
            </w:r>
            <w:r w:rsidRPr="003B6E11">
              <w:rPr>
                <w:lang w:val="cs-CZ"/>
              </w:rPr>
              <w:tab/>
            </w:r>
            <w:r w:rsidRPr="003B6E11">
              <w:rPr>
                <w:sz w:val="18"/>
                <w:lang w:val="cs-CZ"/>
              </w:rPr>
              <w:t xml:space="preserve"> </w:t>
            </w:r>
            <w:r w:rsidRPr="003B6E11">
              <w:rPr>
                <w:lang w:val="cs-CZ"/>
              </w:rPr>
              <w:tab/>
            </w:r>
          </w:p>
          <w:p w:rsidR="003B6E11" w:rsidRPr="003B6E11" w:rsidRDefault="003B6E11" w:rsidP="002D015D">
            <w:pPr>
              <w:tabs>
                <w:tab w:val="left" w:pos="57"/>
                <w:tab w:val="left" w:pos="227"/>
                <w:tab w:val="left" w:leader="dot" w:pos="5103"/>
                <w:tab w:val="left" w:leader="dot" w:pos="8505"/>
              </w:tabs>
              <w:overflowPunct w:val="0"/>
              <w:adjustRightInd w:val="0"/>
              <w:spacing w:after="120"/>
              <w:ind w:left="114" w:hanging="57"/>
              <w:textAlignment w:val="baseline"/>
              <w:rPr>
                <w:rFonts w:cs="Arial"/>
                <w:sz w:val="18"/>
                <w:szCs w:val="20"/>
                <w:lang w:val="cs-CZ"/>
              </w:rPr>
            </w:pPr>
            <w:r w:rsidRPr="003B6E11">
              <w:rPr>
                <w:noProof/>
                <w:sz w:val="18"/>
                <w:lang w:val="cs-CZ"/>
              </w:rPr>
              <w:t xml:space="preserve">do </w:t>
            </w:r>
            <w:r w:rsidRPr="003B6E11">
              <w:rPr>
                <w:lang w:val="cs-CZ"/>
              </w:rPr>
              <w:tab/>
            </w:r>
          </w:p>
          <w:p w:rsidR="003B6E11" w:rsidRPr="003B6E11" w:rsidRDefault="003B6E11" w:rsidP="002D015D">
            <w:pPr>
              <w:tabs>
                <w:tab w:val="left" w:pos="57"/>
                <w:tab w:val="left" w:leader="dot" w:pos="8505"/>
              </w:tabs>
              <w:overflowPunct w:val="0"/>
              <w:adjustRightInd w:val="0"/>
              <w:ind w:left="57" w:hanging="57"/>
              <w:textAlignment w:val="baseline"/>
              <w:rPr>
                <w:rFonts w:cs="Arial"/>
                <w:sz w:val="18"/>
                <w:szCs w:val="20"/>
                <w:lang w:val="cs-CZ"/>
              </w:rPr>
            </w:pPr>
          </w:p>
          <w:p w:rsidR="003B6E11" w:rsidRPr="003B6E11" w:rsidRDefault="003B6E11" w:rsidP="002D015D">
            <w:pPr>
              <w:tabs>
                <w:tab w:val="left" w:leader="dot" w:pos="3969"/>
                <w:tab w:val="left" w:leader="dot" w:pos="6237"/>
                <w:tab w:val="left" w:leader="dot" w:pos="8505"/>
              </w:tabs>
              <w:overflowPunct w:val="0"/>
              <w:adjustRightInd w:val="0"/>
              <w:spacing w:before="40"/>
              <w:ind w:left="114" w:hanging="57"/>
              <w:textAlignment w:val="baseline"/>
              <w:rPr>
                <w:rFonts w:cs="Arial"/>
                <w:sz w:val="18"/>
                <w:szCs w:val="20"/>
                <w:lang w:val="cs-CZ"/>
              </w:rPr>
            </w:pPr>
            <w:r w:rsidRPr="003B6E11">
              <w:rPr>
                <w:lang w:val="cs-CZ"/>
              </w:rPr>
              <w:tab/>
            </w:r>
            <w:r w:rsidRPr="003B6E11">
              <w:rPr>
                <w:lang w:val="cs-CZ"/>
              </w:rPr>
              <w:tab/>
            </w:r>
            <w:r w:rsidRPr="003B6E11">
              <w:rPr>
                <w:noProof/>
                <w:sz w:val="18"/>
                <w:lang w:val="cs-CZ"/>
              </w:rPr>
              <w:t xml:space="preserve">, </w:t>
            </w:r>
            <w:r w:rsidRPr="003B6E11">
              <w:rPr>
                <w:lang w:val="cs-CZ"/>
              </w:rPr>
              <w:tab/>
            </w:r>
          </w:p>
          <w:p w:rsidR="003B6E11" w:rsidRPr="003B6E11" w:rsidRDefault="003B6E11" w:rsidP="002D015D">
            <w:pPr>
              <w:tabs>
                <w:tab w:val="center" w:pos="2041"/>
                <w:tab w:val="center" w:pos="5216"/>
              </w:tabs>
              <w:overflowPunct w:val="0"/>
              <w:adjustRightInd w:val="0"/>
              <w:textAlignment w:val="baseline"/>
              <w:rPr>
                <w:rFonts w:cs="Arial"/>
                <w:sz w:val="18"/>
                <w:szCs w:val="20"/>
                <w:lang w:val="cs-CZ"/>
              </w:rPr>
            </w:pPr>
            <w:r w:rsidRPr="003B6E11">
              <w:rPr>
                <w:lang w:val="cs-CZ"/>
              </w:rPr>
              <w:tab/>
            </w:r>
            <w:r w:rsidRPr="003B6E11">
              <w:rPr>
                <w:noProof/>
                <w:sz w:val="16"/>
                <w:lang w:val="cs-CZ"/>
              </w:rPr>
              <w:t>(místo)</w:t>
            </w:r>
            <w:r w:rsidRPr="003B6E11">
              <w:rPr>
                <w:lang w:val="cs-CZ"/>
              </w:rPr>
              <w:tab/>
            </w:r>
            <w:r w:rsidRPr="003B6E11">
              <w:rPr>
                <w:noProof/>
                <w:sz w:val="16"/>
                <w:lang w:val="cs-CZ"/>
              </w:rPr>
              <w:t>(datum)</w:t>
            </w:r>
          </w:p>
          <w:p w:rsidR="003B6E11" w:rsidRPr="003B6E11" w:rsidRDefault="003B6E11" w:rsidP="002D015D">
            <w:pPr>
              <w:tabs>
                <w:tab w:val="left" w:pos="4820"/>
                <w:tab w:val="left" w:leader="dot" w:pos="8505"/>
              </w:tabs>
              <w:overflowPunct w:val="0"/>
              <w:adjustRightInd w:val="0"/>
              <w:spacing w:before="120"/>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6719"/>
              </w:tabs>
              <w:overflowPunct w:val="0"/>
              <w:adjustRightInd w:val="0"/>
              <w:textAlignment w:val="baseline"/>
              <w:rPr>
                <w:rFonts w:cs="Arial"/>
                <w:sz w:val="18"/>
                <w:szCs w:val="20"/>
                <w:lang w:val="cs-CZ"/>
              </w:rPr>
            </w:pPr>
            <w:r w:rsidRPr="003B6E11">
              <w:rPr>
                <w:lang w:val="cs-CZ"/>
              </w:rPr>
              <w:tab/>
            </w:r>
            <w:r w:rsidRPr="003B6E11">
              <w:rPr>
                <w:noProof/>
                <w:sz w:val="16"/>
                <w:lang w:val="cs-CZ"/>
              </w:rPr>
              <w:t>Subjekt pověřený prohlídkami</w:t>
            </w:r>
          </w:p>
          <w:p w:rsidR="003B6E11" w:rsidRPr="003B6E11" w:rsidRDefault="003B6E11" w:rsidP="002D015D">
            <w:pPr>
              <w:tabs>
                <w:tab w:val="center" w:pos="1985"/>
              </w:tabs>
              <w:overflowPunct w:val="0"/>
              <w:adjustRightInd w:val="0"/>
              <w:spacing w:before="120"/>
              <w:textAlignment w:val="baseline"/>
              <w:rPr>
                <w:rFonts w:cs="Arial"/>
                <w:sz w:val="18"/>
                <w:szCs w:val="20"/>
                <w:lang w:val="cs-CZ"/>
              </w:rPr>
            </w:pPr>
            <w:r w:rsidRPr="003B6E11">
              <w:rPr>
                <w:lang w:val="cs-CZ"/>
              </w:rPr>
              <w:tab/>
            </w:r>
            <w:r w:rsidRPr="003B6E11">
              <w:rPr>
                <w:noProof/>
                <w:sz w:val="16"/>
                <w:lang w:val="cs-CZ"/>
              </w:rPr>
              <w:t>Razítko</w:t>
            </w:r>
          </w:p>
          <w:p w:rsidR="003B6E11" w:rsidRPr="003B6E11" w:rsidRDefault="003B6E11" w:rsidP="002D015D">
            <w:pPr>
              <w:tabs>
                <w:tab w:val="left" w:pos="4820"/>
                <w:tab w:val="left" w:leader="dot" w:pos="8505"/>
              </w:tabs>
              <w:overflowPunct w:val="0"/>
              <w:adjustRightInd w:val="0"/>
              <w:spacing w:before="120"/>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6719"/>
              </w:tabs>
              <w:overflowPunct w:val="0"/>
              <w:adjustRightInd w:val="0"/>
              <w:textAlignment w:val="baseline"/>
              <w:rPr>
                <w:rFonts w:cs="Arial"/>
                <w:sz w:val="18"/>
                <w:szCs w:val="20"/>
                <w:lang w:val="cs-CZ"/>
              </w:rPr>
            </w:pPr>
            <w:r w:rsidRPr="003B6E11">
              <w:rPr>
                <w:lang w:val="cs-CZ"/>
              </w:rPr>
              <w:tab/>
            </w:r>
            <w:r w:rsidRPr="003B6E11">
              <w:rPr>
                <w:noProof/>
                <w:sz w:val="16"/>
                <w:lang w:val="cs-CZ"/>
              </w:rPr>
              <w:t>(podpis)</w:t>
            </w:r>
          </w:p>
          <w:p w:rsidR="003B6E11" w:rsidRPr="003B6E11" w:rsidRDefault="003B6E11" w:rsidP="002D015D">
            <w:pPr>
              <w:tabs>
                <w:tab w:val="center" w:pos="6719"/>
              </w:tabs>
              <w:overflowPunct w:val="0"/>
              <w:adjustRightInd w:val="0"/>
              <w:textAlignment w:val="baseline"/>
              <w:rPr>
                <w:rFonts w:cs="Arial"/>
                <w:sz w:val="18"/>
                <w:szCs w:val="20"/>
                <w:lang w:val="cs-CZ"/>
              </w:rPr>
            </w:pPr>
          </w:p>
          <w:p w:rsidR="003B6E11" w:rsidRPr="003B6E11" w:rsidRDefault="003B6E11" w:rsidP="002D015D">
            <w:pPr>
              <w:tabs>
                <w:tab w:val="left" w:pos="57"/>
                <w:tab w:val="left" w:pos="5670"/>
                <w:tab w:val="left" w:leader="dot" w:pos="8505"/>
              </w:tabs>
              <w:overflowPunct w:val="0"/>
              <w:adjustRightInd w:val="0"/>
              <w:ind w:left="57" w:hanging="57"/>
              <w:textAlignment w:val="baseline"/>
              <w:rPr>
                <w:rFonts w:cs="Arial"/>
                <w:sz w:val="18"/>
                <w:szCs w:val="20"/>
                <w:lang w:val="cs-CZ"/>
              </w:rPr>
            </w:pP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r w:rsidRPr="003B6E11">
              <w:rPr>
                <w:sz w:val="18"/>
                <w:lang w:val="cs-CZ"/>
              </w:rPr>
              <w:t>51.</w:t>
            </w:r>
          </w:p>
        </w:tc>
        <w:tc>
          <w:tcPr>
            <w:tcW w:w="8902" w:type="dxa"/>
            <w:tcBorders>
              <w:top w:val="single" w:sz="6" w:space="0" w:color="auto"/>
              <w:bottom w:val="single" w:sz="6" w:space="0" w:color="auto"/>
              <w:right w:val="single" w:sz="6" w:space="0" w:color="auto"/>
            </w:tcBorders>
          </w:tcPr>
          <w:p w:rsidR="003B6E11" w:rsidRPr="003B6E11" w:rsidRDefault="003B6E11" w:rsidP="002D015D">
            <w:pPr>
              <w:tabs>
                <w:tab w:val="left" w:leader="dot" w:pos="8505"/>
              </w:tabs>
              <w:overflowPunct w:val="0"/>
              <w:adjustRightInd w:val="0"/>
              <w:spacing w:before="120"/>
              <w:ind w:left="114" w:hanging="57"/>
              <w:textAlignment w:val="baseline"/>
              <w:rPr>
                <w:rFonts w:cs="Arial"/>
                <w:b/>
                <w:position w:val="6"/>
                <w:sz w:val="16"/>
                <w:szCs w:val="20"/>
                <w:lang w:val="cs-CZ"/>
              </w:rPr>
            </w:pPr>
            <w:r w:rsidRPr="003B6E11">
              <w:rPr>
                <w:b/>
                <w:noProof/>
                <w:sz w:val="18"/>
                <w:lang w:val="cs-CZ"/>
              </w:rPr>
              <w:t>Prodloužení platnosti potvrzení o prohlídce zařízení na zkapalněný plyn</w:t>
            </w:r>
          </w:p>
          <w:p w:rsidR="003B6E11" w:rsidRPr="003B6E11" w:rsidRDefault="003B6E11" w:rsidP="002D015D">
            <w:pPr>
              <w:tabs>
                <w:tab w:val="left" w:leader="dot" w:pos="4453"/>
                <w:tab w:val="left" w:leader="dot" w:pos="8505"/>
              </w:tabs>
              <w:overflowPunct w:val="0"/>
              <w:adjustRightInd w:val="0"/>
              <w:spacing w:after="120"/>
              <w:ind w:left="114" w:hanging="57"/>
              <w:textAlignment w:val="baseline"/>
              <w:rPr>
                <w:rFonts w:cs="Arial"/>
                <w:noProof/>
                <w:sz w:val="18"/>
                <w:szCs w:val="20"/>
                <w:lang w:val="cs-CZ"/>
              </w:rPr>
            </w:pPr>
            <w:r w:rsidRPr="003B6E11">
              <w:rPr>
                <w:noProof/>
                <w:sz w:val="18"/>
                <w:lang w:val="cs-CZ"/>
              </w:rPr>
              <w:t>Platnost potvrzení o prohlídce zařízení na zkapalněný plyn</w:t>
            </w:r>
          </w:p>
          <w:p w:rsidR="003B6E11" w:rsidRPr="003B6E11" w:rsidRDefault="003B6E11" w:rsidP="002D015D">
            <w:pPr>
              <w:tabs>
                <w:tab w:val="left" w:leader="dot" w:pos="4453"/>
                <w:tab w:val="left" w:leader="dot" w:pos="8505"/>
              </w:tabs>
              <w:overflowPunct w:val="0"/>
              <w:adjustRightInd w:val="0"/>
              <w:spacing w:after="120"/>
              <w:ind w:left="114" w:hanging="57"/>
              <w:textAlignment w:val="baseline"/>
              <w:rPr>
                <w:rFonts w:cs="Arial"/>
                <w:sz w:val="18"/>
                <w:szCs w:val="20"/>
                <w:lang w:val="cs-CZ"/>
              </w:rPr>
            </w:pPr>
            <w:r w:rsidRPr="003B6E11">
              <w:rPr>
                <w:noProof/>
                <w:sz w:val="18"/>
                <w:lang w:val="cs-CZ"/>
              </w:rPr>
              <w:t>ze dne</w:t>
            </w:r>
            <w:r w:rsidRPr="003B6E11">
              <w:rPr>
                <w:lang w:val="cs-CZ"/>
              </w:rPr>
              <w:tab/>
            </w:r>
            <w:r w:rsidRPr="003B6E11">
              <w:rPr>
                <w:sz w:val="18"/>
                <w:lang w:val="cs-CZ"/>
              </w:rPr>
              <w:t xml:space="preserve"> platné do</w:t>
            </w:r>
            <w:r w:rsidRPr="003B6E11">
              <w:rPr>
                <w:lang w:val="cs-CZ"/>
              </w:rPr>
              <w:tab/>
            </w:r>
            <w:r w:rsidRPr="003B6E11">
              <w:rPr>
                <w:sz w:val="18"/>
                <w:lang w:val="cs-CZ"/>
              </w:rPr>
              <w:t xml:space="preserve"> </w:t>
            </w:r>
          </w:p>
          <w:p w:rsidR="003B6E11" w:rsidRPr="003B6E11" w:rsidRDefault="003B6E11" w:rsidP="002D015D">
            <w:pPr>
              <w:tabs>
                <w:tab w:val="left" w:pos="227"/>
                <w:tab w:val="left" w:leader="dot" w:pos="8505"/>
              </w:tabs>
              <w:overflowPunct w:val="0"/>
              <w:adjustRightInd w:val="0"/>
              <w:spacing w:after="120"/>
              <w:ind w:left="114" w:hanging="57"/>
              <w:textAlignment w:val="baseline"/>
              <w:rPr>
                <w:rFonts w:cs="Arial"/>
                <w:sz w:val="18"/>
                <w:szCs w:val="20"/>
                <w:lang w:val="cs-CZ"/>
              </w:rPr>
            </w:pPr>
            <w:r w:rsidRPr="003B6E11">
              <w:rPr>
                <w:noProof/>
                <w:sz w:val="18"/>
                <w:lang w:val="cs-CZ"/>
              </w:rPr>
              <w:t>se prodlužuje</w:t>
            </w:r>
          </w:p>
          <w:p w:rsidR="003B6E11" w:rsidRPr="003B6E11" w:rsidRDefault="003B6E11" w:rsidP="002D015D">
            <w:pPr>
              <w:tabs>
                <w:tab w:val="left" w:pos="227"/>
                <w:tab w:val="left" w:leader="dot" w:pos="8505"/>
              </w:tabs>
              <w:overflowPunct w:val="0"/>
              <w:adjustRightInd w:val="0"/>
              <w:spacing w:after="100"/>
              <w:ind w:left="114" w:hanging="57"/>
              <w:textAlignment w:val="baseline"/>
              <w:rPr>
                <w:rFonts w:cs="Arial"/>
                <w:sz w:val="18"/>
                <w:szCs w:val="20"/>
                <w:lang w:val="cs-CZ"/>
              </w:rPr>
            </w:pPr>
            <w:r w:rsidRPr="003B6E11">
              <w:rPr>
                <w:sz w:val="18"/>
                <w:lang w:val="cs-CZ"/>
              </w:rPr>
              <w:t>–</w:t>
            </w:r>
            <w:r w:rsidRPr="003B6E11">
              <w:rPr>
                <w:lang w:val="cs-CZ"/>
              </w:rPr>
              <w:tab/>
            </w:r>
            <w:r w:rsidRPr="003B6E11">
              <w:rPr>
                <w:noProof/>
                <w:sz w:val="18"/>
                <w:lang w:val="cs-CZ"/>
              </w:rPr>
              <w:t>po pravidelné prohlídce odborníkem</w:t>
            </w:r>
            <w:r w:rsidRPr="003B6E11">
              <w:rPr>
                <w:lang w:val="cs-CZ"/>
              </w:rPr>
              <w:tab/>
            </w:r>
          </w:p>
          <w:p w:rsidR="003B6E11" w:rsidRPr="003B6E11" w:rsidRDefault="003B6E11" w:rsidP="002D015D">
            <w:pPr>
              <w:tabs>
                <w:tab w:val="left" w:pos="227"/>
                <w:tab w:val="left" w:leader="dot" w:pos="4734"/>
                <w:tab w:val="left" w:pos="4876"/>
                <w:tab w:val="left" w:leader="dot" w:pos="6861"/>
              </w:tabs>
              <w:overflowPunct w:val="0"/>
              <w:adjustRightInd w:val="0"/>
              <w:spacing w:after="120"/>
              <w:ind w:left="114" w:hanging="57"/>
              <w:textAlignment w:val="baseline"/>
              <w:rPr>
                <w:rFonts w:cs="Arial"/>
                <w:sz w:val="18"/>
                <w:szCs w:val="20"/>
                <w:lang w:val="cs-CZ"/>
              </w:rPr>
            </w:pPr>
            <w:r w:rsidRPr="003B6E11">
              <w:rPr>
                <w:sz w:val="18"/>
                <w:lang w:val="cs-CZ"/>
              </w:rPr>
              <w:t>–</w:t>
            </w:r>
            <w:r w:rsidRPr="003B6E11">
              <w:rPr>
                <w:lang w:val="cs-CZ"/>
              </w:rPr>
              <w:tab/>
            </w:r>
            <w:r w:rsidRPr="003B6E11">
              <w:rPr>
                <w:noProof/>
                <w:sz w:val="18"/>
                <w:lang w:val="cs-CZ"/>
              </w:rPr>
              <w:t>po předložení potvrzení o prohlídce ze dne</w:t>
            </w:r>
            <w:r w:rsidRPr="003B6E11">
              <w:rPr>
                <w:lang w:val="cs-CZ"/>
              </w:rPr>
              <w:tab/>
            </w:r>
            <w:r w:rsidRPr="003B6E11">
              <w:rPr>
                <w:sz w:val="18"/>
                <w:lang w:val="cs-CZ"/>
              </w:rPr>
              <w:t xml:space="preserve"> </w:t>
            </w:r>
            <w:r w:rsidRPr="003B6E11">
              <w:rPr>
                <w:lang w:val="cs-CZ"/>
              </w:rPr>
              <w:tab/>
            </w:r>
          </w:p>
          <w:p w:rsidR="003B6E11" w:rsidRPr="003B6E11" w:rsidRDefault="003B6E11" w:rsidP="002D015D">
            <w:pPr>
              <w:tabs>
                <w:tab w:val="left" w:pos="57"/>
                <w:tab w:val="left" w:pos="227"/>
                <w:tab w:val="left" w:leader="dot" w:pos="5103"/>
                <w:tab w:val="left" w:leader="dot" w:pos="8505"/>
              </w:tabs>
              <w:overflowPunct w:val="0"/>
              <w:adjustRightInd w:val="0"/>
              <w:spacing w:after="120"/>
              <w:ind w:left="114" w:hanging="57"/>
              <w:textAlignment w:val="baseline"/>
              <w:rPr>
                <w:rFonts w:cs="Arial"/>
                <w:sz w:val="18"/>
                <w:szCs w:val="20"/>
                <w:lang w:val="cs-CZ"/>
              </w:rPr>
            </w:pPr>
            <w:r w:rsidRPr="003B6E11">
              <w:rPr>
                <w:noProof/>
                <w:sz w:val="18"/>
                <w:lang w:val="cs-CZ"/>
              </w:rPr>
              <w:t xml:space="preserve">do </w:t>
            </w:r>
            <w:r w:rsidRPr="003B6E11">
              <w:rPr>
                <w:lang w:val="cs-CZ"/>
              </w:rPr>
              <w:tab/>
            </w:r>
          </w:p>
          <w:p w:rsidR="003B6E11" w:rsidRPr="003B6E11" w:rsidRDefault="003B6E11" w:rsidP="002D015D">
            <w:pPr>
              <w:tabs>
                <w:tab w:val="left" w:pos="57"/>
                <w:tab w:val="left" w:leader="dot" w:pos="8505"/>
              </w:tabs>
              <w:overflowPunct w:val="0"/>
              <w:adjustRightInd w:val="0"/>
              <w:ind w:left="57" w:hanging="57"/>
              <w:textAlignment w:val="baseline"/>
              <w:rPr>
                <w:rFonts w:cs="Arial"/>
                <w:sz w:val="18"/>
                <w:szCs w:val="20"/>
                <w:lang w:val="cs-CZ"/>
              </w:rPr>
            </w:pPr>
          </w:p>
          <w:p w:rsidR="003B6E11" w:rsidRPr="003B6E11" w:rsidRDefault="003B6E11" w:rsidP="002D015D">
            <w:pPr>
              <w:tabs>
                <w:tab w:val="left" w:leader="dot" w:pos="3969"/>
                <w:tab w:val="left" w:leader="dot" w:pos="6237"/>
                <w:tab w:val="left" w:leader="dot" w:pos="8505"/>
              </w:tabs>
              <w:overflowPunct w:val="0"/>
              <w:adjustRightInd w:val="0"/>
              <w:spacing w:before="40"/>
              <w:ind w:left="114" w:hanging="57"/>
              <w:textAlignment w:val="baseline"/>
              <w:rPr>
                <w:rFonts w:cs="Arial"/>
                <w:sz w:val="18"/>
                <w:szCs w:val="20"/>
                <w:lang w:val="cs-CZ"/>
              </w:rPr>
            </w:pPr>
            <w:r w:rsidRPr="003B6E11">
              <w:rPr>
                <w:lang w:val="cs-CZ"/>
              </w:rPr>
              <w:tab/>
            </w:r>
            <w:r w:rsidRPr="003B6E11">
              <w:rPr>
                <w:lang w:val="cs-CZ"/>
              </w:rPr>
              <w:tab/>
            </w:r>
            <w:r w:rsidRPr="003B6E11">
              <w:rPr>
                <w:noProof/>
                <w:sz w:val="18"/>
                <w:lang w:val="cs-CZ"/>
              </w:rPr>
              <w:t xml:space="preserve">, </w:t>
            </w:r>
            <w:r w:rsidRPr="003B6E11">
              <w:rPr>
                <w:lang w:val="cs-CZ"/>
              </w:rPr>
              <w:tab/>
            </w:r>
          </w:p>
          <w:p w:rsidR="003B6E11" w:rsidRPr="003B6E11" w:rsidRDefault="003B6E11" w:rsidP="002D015D">
            <w:pPr>
              <w:tabs>
                <w:tab w:val="center" w:pos="2041"/>
                <w:tab w:val="center" w:pos="5216"/>
              </w:tabs>
              <w:overflowPunct w:val="0"/>
              <w:adjustRightInd w:val="0"/>
              <w:textAlignment w:val="baseline"/>
              <w:rPr>
                <w:rFonts w:cs="Arial"/>
                <w:sz w:val="18"/>
                <w:szCs w:val="20"/>
                <w:lang w:val="cs-CZ"/>
              </w:rPr>
            </w:pPr>
            <w:r w:rsidRPr="003B6E11">
              <w:rPr>
                <w:lang w:val="cs-CZ"/>
              </w:rPr>
              <w:tab/>
            </w:r>
            <w:r w:rsidRPr="003B6E11">
              <w:rPr>
                <w:noProof/>
                <w:sz w:val="16"/>
                <w:lang w:val="cs-CZ"/>
              </w:rPr>
              <w:t>(místo)</w:t>
            </w:r>
            <w:r w:rsidRPr="003B6E11">
              <w:rPr>
                <w:lang w:val="cs-CZ"/>
              </w:rPr>
              <w:tab/>
            </w:r>
            <w:r w:rsidRPr="003B6E11">
              <w:rPr>
                <w:noProof/>
                <w:sz w:val="16"/>
                <w:lang w:val="cs-CZ"/>
              </w:rPr>
              <w:t>(datum)</w:t>
            </w:r>
          </w:p>
          <w:p w:rsidR="003B6E11" w:rsidRPr="003B6E11" w:rsidRDefault="003B6E11" w:rsidP="002D015D">
            <w:pPr>
              <w:tabs>
                <w:tab w:val="left" w:pos="4820"/>
                <w:tab w:val="left" w:leader="dot" w:pos="8505"/>
              </w:tabs>
              <w:overflowPunct w:val="0"/>
              <w:adjustRightInd w:val="0"/>
              <w:spacing w:before="120"/>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6719"/>
              </w:tabs>
              <w:overflowPunct w:val="0"/>
              <w:adjustRightInd w:val="0"/>
              <w:textAlignment w:val="baseline"/>
              <w:rPr>
                <w:rFonts w:cs="Arial"/>
                <w:sz w:val="18"/>
                <w:szCs w:val="20"/>
                <w:lang w:val="cs-CZ"/>
              </w:rPr>
            </w:pPr>
            <w:r w:rsidRPr="003B6E11">
              <w:rPr>
                <w:lang w:val="cs-CZ"/>
              </w:rPr>
              <w:tab/>
            </w:r>
            <w:r w:rsidRPr="003B6E11">
              <w:rPr>
                <w:noProof/>
                <w:sz w:val="16"/>
                <w:lang w:val="cs-CZ"/>
              </w:rPr>
              <w:t>Subjekt pověřený prohlídkami</w:t>
            </w:r>
          </w:p>
          <w:p w:rsidR="003B6E11" w:rsidRPr="003B6E11" w:rsidRDefault="003B6E11" w:rsidP="002D015D">
            <w:pPr>
              <w:tabs>
                <w:tab w:val="center" w:pos="1985"/>
              </w:tabs>
              <w:overflowPunct w:val="0"/>
              <w:adjustRightInd w:val="0"/>
              <w:spacing w:before="120"/>
              <w:textAlignment w:val="baseline"/>
              <w:rPr>
                <w:rFonts w:cs="Arial"/>
                <w:sz w:val="18"/>
                <w:szCs w:val="20"/>
                <w:lang w:val="cs-CZ"/>
              </w:rPr>
            </w:pPr>
            <w:r w:rsidRPr="003B6E11">
              <w:rPr>
                <w:lang w:val="cs-CZ"/>
              </w:rPr>
              <w:tab/>
            </w:r>
            <w:r w:rsidRPr="003B6E11">
              <w:rPr>
                <w:noProof/>
                <w:sz w:val="16"/>
                <w:lang w:val="cs-CZ"/>
              </w:rPr>
              <w:t>Razítko</w:t>
            </w:r>
          </w:p>
          <w:p w:rsidR="003B6E11" w:rsidRPr="003B6E11" w:rsidRDefault="003B6E11" w:rsidP="002D015D">
            <w:pPr>
              <w:tabs>
                <w:tab w:val="left" w:pos="4820"/>
                <w:tab w:val="left" w:leader="dot" w:pos="8505"/>
              </w:tabs>
              <w:overflowPunct w:val="0"/>
              <w:adjustRightInd w:val="0"/>
              <w:spacing w:before="120"/>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6719"/>
              </w:tabs>
              <w:overflowPunct w:val="0"/>
              <w:adjustRightInd w:val="0"/>
              <w:textAlignment w:val="baseline"/>
              <w:rPr>
                <w:rFonts w:cs="Arial"/>
                <w:sz w:val="18"/>
                <w:szCs w:val="20"/>
                <w:lang w:val="cs-CZ"/>
              </w:rPr>
            </w:pPr>
            <w:r w:rsidRPr="003B6E11">
              <w:rPr>
                <w:lang w:val="cs-CZ"/>
              </w:rPr>
              <w:tab/>
            </w:r>
            <w:r w:rsidRPr="003B6E11">
              <w:rPr>
                <w:noProof/>
                <w:sz w:val="16"/>
                <w:lang w:val="cs-CZ"/>
              </w:rPr>
              <w:t>(podpis)</w:t>
            </w:r>
          </w:p>
          <w:p w:rsidR="003B6E11" w:rsidRPr="003B6E11" w:rsidRDefault="003B6E11" w:rsidP="002D015D">
            <w:pPr>
              <w:tabs>
                <w:tab w:val="left" w:pos="57"/>
                <w:tab w:val="left" w:pos="5103"/>
              </w:tabs>
              <w:overflowPunct w:val="0"/>
              <w:adjustRightInd w:val="0"/>
              <w:spacing w:after="120"/>
              <w:textAlignment w:val="baseline"/>
              <w:rPr>
                <w:rFonts w:cs="Arial"/>
                <w:sz w:val="18"/>
                <w:szCs w:val="20"/>
                <w:lang w:val="cs-CZ"/>
              </w:rPr>
            </w:pPr>
          </w:p>
        </w:tc>
      </w:tr>
    </w:tbl>
    <w:p w:rsidR="003B6E11" w:rsidRPr="003B6E11" w:rsidRDefault="003B6E11" w:rsidP="003B6E11">
      <w:pPr>
        <w:overflowPunct w:val="0"/>
        <w:adjustRightInd w:val="0"/>
        <w:textAlignment w:val="baseline"/>
        <w:rPr>
          <w:rFonts w:cs="Arial"/>
          <w:sz w:val="16"/>
          <w:szCs w:val="20"/>
          <w:lang w:val="cs-CZ"/>
        </w:rPr>
        <w:sectPr w:rsidR="003B6E11" w:rsidRPr="003B6E11" w:rsidSect="009C13A9">
          <w:footnotePr>
            <w:numRestart w:val="eachPage"/>
          </w:footnotePr>
          <w:pgSz w:w="11907" w:h="16840"/>
          <w:pgMar w:top="851" w:right="1418" w:bottom="851" w:left="1418" w:header="720" w:footer="720" w:gutter="0"/>
          <w:cols w:space="720"/>
        </w:sectPr>
      </w:pPr>
    </w:p>
    <w:p w:rsidR="003B6E11" w:rsidRPr="003B6E11" w:rsidRDefault="003B6E11" w:rsidP="003B6E11">
      <w:pPr>
        <w:tabs>
          <w:tab w:val="left" w:leader="dot" w:pos="2835"/>
          <w:tab w:val="left" w:leader="dot" w:pos="5103"/>
        </w:tabs>
        <w:overflowPunct w:val="0"/>
        <w:adjustRightInd w:val="0"/>
        <w:textAlignment w:val="baseline"/>
        <w:rPr>
          <w:rFonts w:cs="Arial"/>
          <w:szCs w:val="20"/>
          <w:lang w:val="cs-CZ"/>
        </w:rPr>
      </w:pPr>
      <w:r w:rsidRPr="003B6E11">
        <w:rPr>
          <w:lang w:val="cs-CZ"/>
        </w:rPr>
        <w:br w:type="page"/>
        <w:t xml:space="preserve">Osvědčení plavidla vnitrozemské plavby č. </w:t>
      </w:r>
      <w:r w:rsidRPr="003B6E11">
        <w:rPr>
          <w:lang w:val="cs-CZ"/>
        </w:rPr>
        <w:tab/>
        <w:t xml:space="preserve"> vydané subjektem pověřeným prohlídkami </w:t>
      </w:r>
      <w:r w:rsidRPr="003B6E11">
        <w:rPr>
          <w:lang w:val="cs-CZ"/>
        </w:rPr>
        <w:tab/>
      </w:r>
    </w:p>
    <w:tbl>
      <w:tblPr>
        <w:tblW w:w="9186" w:type="dxa"/>
        <w:jc w:val="center"/>
        <w:tblLayout w:type="fixed"/>
        <w:tblCellMar>
          <w:left w:w="0" w:type="dxa"/>
          <w:right w:w="0" w:type="dxa"/>
        </w:tblCellMar>
        <w:tblLook w:val="0000" w:firstRow="0" w:lastRow="0" w:firstColumn="0" w:lastColumn="0" w:noHBand="0" w:noVBand="0"/>
      </w:tblPr>
      <w:tblGrid>
        <w:gridCol w:w="284"/>
        <w:gridCol w:w="8902"/>
      </w:tblGrid>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r w:rsidRPr="003B6E11">
              <w:rPr>
                <w:sz w:val="18"/>
                <w:lang w:val="cs-CZ"/>
              </w:rPr>
              <w:t>52.</w:t>
            </w:r>
          </w:p>
        </w:tc>
        <w:tc>
          <w:tcPr>
            <w:tcW w:w="8902" w:type="dxa"/>
            <w:tcBorders>
              <w:top w:val="single" w:sz="6" w:space="0" w:color="auto"/>
              <w:bottom w:val="single" w:sz="6" w:space="0" w:color="auto"/>
              <w:right w:val="single" w:sz="6" w:space="0" w:color="auto"/>
            </w:tcBorders>
          </w:tcPr>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Příloha osvědčení plavidla vnitrozemské plavby č.</w:t>
            </w:r>
            <w:r w:rsidRPr="003B6E11">
              <w:rPr>
                <w:sz w:val="18"/>
                <w:lang w:val="cs-CZ"/>
              </w:rPr>
              <w:t xml:space="preserve"> </w:t>
            </w:r>
            <w:r w:rsidRPr="003B6E11">
              <w:rPr>
                <w:lang w:val="cs-CZ"/>
              </w:rPr>
              <w:tab/>
            </w:r>
          </w:p>
          <w:p w:rsidR="003B6E11" w:rsidRPr="003B6E11" w:rsidRDefault="003B6E11" w:rsidP="002D015D">
            <w:pPr>
              <w:tabs>
                <w:tab w:val="left" w:leader="dot" w:pos="8505"/>
              </w:tabs>
              <w:overflowPunct w:val="0"/>
              <w:adjustRightInd w:val="0"/>
              <w:spacing w:before="8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0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ind w:left="57"/>
              <w:textAlignment w:val="baseline"/>
              <w:rPr>
                <w:rFonts w:cs="Arial"/>
                <w:sz w:val="18"/>
                <w:szCs w:val="20"/>
                <w:lang w:val="cs-CZ"/>
              </w:rPr>
            </w:pPr>
            <w:r w:rsidRPr="003B6E11">
              <w:rPr>
                <w:lang w:val="cs-CZ"/>
              </w:rPr>
              <w:tab/>
            </w:r>
          </w:p>
          <w:p w:rsidR="003B6E11" w:rsidRPr="003B6E11" w:rsidRDefault="003B6E11" w:rsidP="002D015D">
            <w:pPr>
              <w:tabs>
                <w:tab w:val="left" w:leader="dot" w:pos="8505"/>
              </w:tabs>
              <w:overflowPunct w:val="0"/>
              <w:adjustRightInd w:val="0"/>
              <w:spacing w:before="120" w:after="40"/>
              <w:ind w:left="57"/>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bottom w:val="single" w:sz="6" w:space="0" w:color="auto"/>
            </w:tcBorders>
          </w:tcPr>
          <w:p w:rsidR="003B6E11" w:rsidRPr="003B6E11" w:rsidRDefault="003B6E11" w:rsidP="002D015D">
            <w:pPr>
              <w:tabs>
                <w:tab w:val="left" w:pos="57"/>
              </w:tabs>
              <w:overflowPunct w:val="0"/>
              <w:adjustRightInd w:val="0"/>
              <w:spacing w:before="80"/>
              <w:textAlignment w:val="baseline"/>
              <w:rPr>
                <w:rFonts w:cs="Arial"/>
                <w:sz w:val="18"/>
                <w:szCs w:val="20"/>
                <w:lang w:val="cs-CZ"/>
              </w:rPr>
            </w:pPr>
            <w:r w:rsidRPr="003B6E11">
              <w:rPr>
                <w:lang w:val="cs-CZ"/>
              </w:rPr>
              <w:tab/>
            </w:r>
            <w:r w:rsidRPr="003B6E11">
              <w:rPr>
                <w:sz w:val="18"/>
                <w:lang w:val="cs-CZ"/>
              </w:rPr>
              <w:t>*)</w:t>
            </w:r>
            <w:r w:rsidRPr="003B6E11">
              <w:rPr>
                <w:rFonts w:cs="Arial"/>
                <w:sz w:val="18"/>
                <w:szCs w:val="20"/>
                <w:lang w:val="cs-CZ"/>
              </w:rPr>
              <w:br/>
            </w:r>
            <w:r w:rsidRPr="003B6E11">
              <w:rPr>
                <w:rFonts w:cs="Arial"/>
                <w:sz w:val="18"/>
                <w:szCs w:val="20"/>
                <w:lang w:val="cs-CZ"/>
              </w:rPr>
              <w:br/>
            </w:r>
          </w:p>
          <w:p w:rsidR="003B6E11" w:rsidRPr="003B6E11" w:rsidRDefault="003B6E11" w:rsidP="002D015D">
            <w:pPr>
              <w:tabs>
                <w:tab w:val="left" w:pos="57"/>
              </w:tabs>
              <w:overflowPunct w:val="0"/>
              <w:adjustRightInd w:val="0"/>
              <w:spacing w:before="80"/>
              <w:textAlignment w:val="baseline"/>
              <w:rPr>
                <w:rFonts w:cs="Arial"/>
                <w:sz w:val="18"/>
                <w:szCs w:val="20"/>
                <w:lang w:val="cs-CZ"/>
              </w:rPr>
            </w:pPr>
          </w:p>
          <w:p w:rsidR="003B6E11" w:rsidRPr="003B6E11" w:rsidRDefault="003B6E11" w:rsidP="002D015D">
            <w:pPr>
              <w:tabs>
                <w:tab w:val="left" w:pos="57"/>
              </w:tabs>
              <w:overflowPunct w:val="0"/>
              <w:adjustRightInd w:val="0"/>
              <w:spacing w:before="160"/>
              <w:textAlignment w:val="baseline"/>
              <w:rPr>
                <w:rFonts w:cs="Arial"/>
                <w:sz w:val="18"/>
                <w:szCs w:val="20"/>
                <w:lang w:val="cs-CZ"/>
              </w:rPr>
            </w:pPr>
            <w:r w:rsidRPr="003B6E11">
              <w:rPr>
                <w:lang w:val="cs-CZ"/>
              </w:rPr>
              <w:tab/>
            </w:r>
            <w:r w:rsidRPr="003B6E11">
              <w:rPr>
                <w:sz w:val="18"/>
                <w:lang w:val="cs-CZ"/>
              </w:rPr>
              <w:t>*)</w:t>
            </w:r>
          </w:p>
        </w:tc>
        <w:tc>
          <w:tcPr>
            <w:tcW w:w="8902" w:type="dxa"/>
            <w:tcBorders>
              <w:bottom w:val="single" w:sz="6" w:space="0" w:color="auto"/>
              <w:right w:val="single" w:sz="6" w:space="0" w:color="auto"/>
            </w:tcBorders>
          </w:tcPr>
          <w:p w:rsidR="003B6E11" w:rsidRPr="003B6E11" w:rsidRDefault="003B6E11" w:rsidP="002D015D">
            <w:pPr>
              <w:tabs>
                <w:tab w:val="left" w:pos="57"/>
                <w:tab w:val="left" w:leader="dot" w:pos="3686"/>
              </w:tabs>
              <w:overflowPunct w:val="0"/>
              <w:adjustRightInd w:val="0"/>
              <w:spacing w:before="80" w:after="80"/>
              <w:ind w:left="57" w:right="57"/>
              <w:textAlignment w:val="baseline"/>
              <w:rPr>
                <w:rFonts w:cs="Arial"/>
                <w:sz w:val="18"/>
                <w:szCs w:val="20"/>
                <w:lang w:val="cs-CZ"/>
              </w:rPr>
            </w:pPr>
            <w:r w:rsidRPr="003B6E11">
              <w:rPr>
                <w:noProof/>
                <w:sz w:val="18"/>
                <w:lang w:val="cs-CZ"/>
              </w:rPr>
              <w:t>Změna bodu (bodů): ....................</w:t>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noProof/>
                <w:sz w:val="18"/>
                <w:lang w:val="cs-CZ"/>
              </w:rPr>
              <w:t>Nový text:</w:t>
            </w:r>
            <w:r w:rsidRPr="003B6E11">
              <w:rPr>
                <w:lang w:val="cs-CZ"/>
              </w:rPr>
              <w:tab/>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lang w:val="cs-CZ"/>
              </w:rPr>
              <w:tab/>
            </w:r>
          </w:p>
          <w:p w:rsidR="003B6E11" w:rsidRPr="003B6E11" w:rsidRDefault="003B6E11" w:rsidP="002D015D">
            <w:pPr>
              <w:tabs>
                <w:tab w:val="left" w:pos="57"/>
                <w:tab w:val="left" w:leader="dot" w:pos="8505"/>
              </w:tabs>
              <w:overflowPunct w:val="0"/>
              <w:adjustRightInd w:val="0"/>
              <w:spacing w:after="60"/>
              <w:ind w:left="57" w:right="57"/>
              <w:textAlignment w:val="baseline"/>
              <w:rPr>
                <w:rFonts w:cs="Arial"/>
                <w:sz w:val="18"/>
                <w:szCs w:val="20"/>
                <w:lang w:val="cs-CZ"/>
              </w:rPr>
            </w:pPr>
            <w:r w:rsidRPr="003B6E11">
              <w:rPr>
                <w:lang w:val="cs-CZ"/>
              </w:rPr>
              <w:tab/>
            </w:r>
          </w:p>
          <w:p w:rsidR="003B6E11" w:rsidRPr="003B6E11" w:rsidRDefault="003B6E11" w:rsidP="002D015D">
            <w:pPr>
              <w:tabs>
                <w:tab w:val="left" w:leader="dot" w:pos="4536"/>
                <w:tab w:val="center" w:pos="6862"/>
              </w:tabs>
              <w:overflowPunct w:val="0"/>
              <w:adjustRightInd w:val="0"/>
              <w:spacing w:after="80"/>
              <w:ind w:left="57" w:right="57"/>
              <w:textAlignment w:val="baseline"/>
              <w:rPr>
                <w:rFonts w:cs="Arial"/>
                <w:sz w:val="18"/>
                <w:szCs w:val="20"/>
                <w:lang w:val="cs-CZ"/>
              </w:rPr>
            </w:pPr>
            <w:r w:rsidRPr="003B6E11">
              <w:rPr>
                <w:sz w:val="18"/>
                <w:lang w:val="cs-CZ"/>
              </w:rPr>
              <w:t>Tato stránka byla nahrazena.</w:t>
            </w:r>
          </w:p>
          <w:p w:rsidR="003B6E11" w:rsidRPr="003B6E11" w:rsidRDefault="003B6E11" w:rsidP="002D015D">
            <w:pPr>
              <w:tabs>
                <w:tab w:val="left" w:leader="dot" w:pos="4536"/>
                <w:tab w:val="center" w:pos="6862"/>
              </w:tabs>
              <w:overflowPunct w:val="0"/>
              <w:adjustRightInd w:val="0"/>
              <w:spacing w:after="80"/>
              <w:ind w:left="57" w:right="57"/>
              <w:textAlignment w:val="baseline"/>
              <w:rPr>
                <w:rFonts w:cs="Arial"/>
                <w:sz w:val="18"/>
                <w:szCs w:val="20"/>
                <w:lang w:val="cs-CZ"/>
              </w:rPr>
            </w:pPr>
            <w:r w:rsidRPr="003B6E11">
              <w:rPr>
                <w:sz w:val="18"/>
                <w:lang w:val="cs-CZ"/>
              </w:rPr>
              <w:t xml:space="preserve">Místo, datum </w:t>
            </w:r>
            <w:r w:rsidRPr="003B6E11">
              <w:rPr>
                <w:lang w:val="cs-CZ"/>
              </w:rPr>
              <w:tab/>
            </w:r>
            <w:r w:rsidRPr="003B6E11">
              <w:rPr>
                <w:lang w:val="cs-CZ"/>
              </w:rPr>
              <w:tab/>
            </w:r>
            <w:r w:rsidRPr="003B6E11">
              <w:rPr>
                <w:sz w:val="18"/>
                <w:lang w:val="cs-CZ"/>
              </w:rPr>
              <w:t>Subjekt pověřený prohlídkami</w:t>
            </w:r>
          </w:p>
          <w:p w:rsidR="003B6E11" w:rsidRPr="003B6E11" w:rsidRDefault="003B6E11" w:rsidP="002D015D">
            <w:pPr>
              <w:tabs>
                <w:tab w:val="left" w:pos="5103"/>
                <w:tab w:val="left" w:leader="dot" w:pos="8505"/>
              </w:tabs>
              <w:overflowPunct w:val="0"/>
              <w:adjustRightInd w:val="0"/>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1701"/>
              </w:tabs>
              <w:overflowPunct w:val="0"/>
              <w:adjustRightInd w:val="0"/>
              <w:spacing w:after="80"/>
              <w:textAlignment w:val="baseline"/>
              <w:rPr>
                <w:rFonts w:cs="Arial"/>
                <w:sz w:val="18"/>
                <w:szCs w:val="20"/>
                <w:lang w:val="cs-CZ"/>
              </w:rPr>
            </w:pPr>
            <w:r w:rsidRPr="003B6E11">
              <w:rPr>
                <w:lang w:val="cs-CZ"/>
              </w:rPr>
              <w:tab/>
            </w:r>
            <w:r w:rsidRPr="003B6E11">
              <w:rPr>
                <w:sz w:val="18"/>
                <w:lang w:val="cs-CZ"/>
              </w:rPr>
              <w:t>Razítko</w:t>
            </w:r>
          </w:p>
          <w:p w:rsidR="003B6E11" w:rsidRPr="003B6E11" w:rsidRDefault="003B6E11" w:rsidP="002D015D">
            <w:pPr>
              <w:tabs>
                <w:tab w:val="left" w:pos="5103"/>
                <w:tab w:val="left" w:leader="dot" w:pos="8505"/>
              </w:tabs>
              <w:overflowPunct w:val="0"/>
              <w:adjustRightInd w:val="0"/>
              <w:textAlignment w:val="baseline"/>
              <w:rPr>
                <w:rFonts w:cs="Arial"/>
                <w:szCs w:val="20"/>
                <w:lang w:val="cs-CZ"/>
              </w:rPr>
            </w:pPr>
            <w:r w:rsidRPr="003B6E11">
              <w:rPr>
                <w:lang w:val="cs-CZ"/>
              </w:rPr>
              <w:tab/>
            </w:r>
            <w:r w:rsidRPr="003B6E11">
              <w:rPr>
                <w:lang w:val="cs-CZ"/>
              </w:rPr>
              <w:tab/>
            </w:r>
          </w:p>
          <w:p w:rsidR="003B6E11" w:rsidRPr="003B6E11" w:rsidRDefault="003B6E11" w:rsidP="002D015D">
            <w:pPr>
              <w:tabs>
                <w:tab w:val="center" w:pos="6862"/>
              </w:tabs>
              <w:overflowPunct w:val="0"/>
              <w:adjustRightInd w:val="0"/>
              <w:textAlignment w:val="baseline"/>
              <w:rPr>
                <w:rFonts w:cs="Arial"/>
                <w:sz w:val="16"/>
                <w:szCs w:val="20"/>
                <w:lang w:val="cs-CZ"/>
              </w:rPr>
            </w:pPr>
            <w:r w:rsidRPr="003B6E11">
              <w:rPr>
                <w:lang w:val="cs-CZ"/>
              </w:rPr>
              <w:tab/>
            </w:r>
            <w:r w:rsidRPr="003B6E11">
              <w:rPr>
                <w:sz w:val="16"/>
                <w:lang w:val="cs-CZ"/>
              </w:rPr>
              <w:t>(podpis)</w:t>
            </w:r>
          </w:p>
          <w:p w:rsidR="003B6E11" w:rsidRPr="003B6E11" w:rsidRDefault="003B6E11" w:rsidP="002D015D">
            <w:pPr>
              <w:tabs>
                <w:tab w:val="left" w:pos="113"/>
                <w:tab w:val="left" w:pos="397"/>
                <w:tab w:val="left" w:pos="6237"/>
                <w:tab w:val="left" w:leader="dot" w:pos="9356"/>
              </w:tabs>
              <w:overflowPunct w:val="0"/>
              <w:adjustRightInd w:val="0"/>
              <w:textAlignment w:val="baseline"/>
              <w:rPr>
                <w:rFonts w:cs="Arial"/>
                <w:sz w:val="16"/>
                <w:szCs w:val="20"/>
                <w:lang w:val="cs-CZ"/>
              </w:rPr>
            </w:pPr>
            <w:r w:rsidRPr="003B6E11">
              <w:rPr>
                <w:sz w:val="18"/>
                <w:lang w:val="cs-CZ"/>
              </w:rPr>
              <w:t>_______________________</w:t>
            </w:r>
          </w:p>
          <w:p w:rsidR="003B6E11" w:rsidRPr="003B6E11" w:rsidRDefault="003B6E11" w:rsidP="002D015D">
            <w:pPr>
              <w:tabs>
                <w:tab w:val="left" w:pos="284"/>
              </w:tabs>
              <w:overflowPunct w:val="0"/>
              <w:adjustRightInd w:val="0"/>
              <w:spacing w:after="40"/>
              <w:ind w:left="57"/>
              <w:textAlignment w:val="baseline"/>
              <w:rPr>
                <w:rFonts w:cs="Arial"/>
                <w:sz w:val="18"/>
                <w:szCs w:val="20"/>
                <w:lang w:val="cs-CZ"/>
              </w:rPr>
            </w:pPr>
            <w:r w:rsidRPr="003B6E11">
              <w:rPr>
                <w:position w:val="4"/>
                <w:sz w:val="16"/>
                <w:lang w:val="cs-CZ"/>
              </w:rPr>
              <w:t>*)</w:t>
            </w:r>
            <w:r w:rsidRPr="003B6E11">
              <w:rPr>
                <w:lang w:val="cs-CZ"/>
              </w:rPr>
              <w:tab/>
            </w:r>
            <w:r w:rsidRPr="003B6E11">
              <w:rPr>
                <w:sz w:val="16"/>
                <w:lang w:val="cs-CZ"/>
              </w:rPr>
              <w:t>Nehodící se škrtněte.</w:t>
            </w: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r w:rsidRPr="003B6E11">
              <w:rPr>
                <w:sz w:val="18"/>
                <w:lang w:val="cs-CZ"/>
              </w:rPr>
              <w:t xml:space="preserve"> </w:t>
            </w:r>
          </w:p>
        </w:tc>
        <w:tc>
          <w:tcPr>
            <w:tcW w:w="8902" w:type="dxa"/>
            <w:tcBorders>
              <w:top w:val="single" w:sz="6" w:space="0" w:color="auto"/>
              <w:bottom w:val="single" w:sz="6" w:space="0" w:color="auto"/>
              <w:right w:val="single" w:sz="6" w:space="0" w:color="auto"/>
            </w:tcBorders>
          </w:tcPr>
          <w:p w:rsidR="003B6E11" w:rsidRPr="003B6E11" w:rsidRDefault="003B6E11" w:rsidP="002D015D">
            <w:pPr>
              <w:tabs>
                <w:tab w:val="left" w:pos="57"/>
                <w:tab w:val="left" w:pos="6295"/>
                <w:tab w:val="left" w:leader="dot" w:pos="8505"/>
              </w:tabs>
              <w:overflowPunct w:val="0"/>
              <w:adjustRightInd w:val="0"/>
              <w:spacing w:before="120" w:after="40"/>
              <w:textAlignment w:val="baseline"/>
              <w:rPr>
                <w:rFonts w:cs="Arial"/>
                <w:sz w:val="18"/>
                <w:szCs w:val="20"/>
                <w:lang w:val="cs-CZ"/>
              </w:rPr>
            </w:pPr>
            <w:r w:rsidRPr="003B6E11">
              <w:rPr>
                <w:lang w:val="cs-CZ"/>
              </w:rPr>
              <w:tab/>
            </w:r>
            <w:r w:rsidRPr="003B6E11">
              <w:rPr>
                <w:lang w:val="cs-CZ"/>
              </w:rPr>
              <w:tab/>
            </w:r>
            <w:r w:rsidRPr="003B6E11">
              <w:rPr>
                <w:sz w:val="18"/>
                <w:lang w:val="cs-CZ"/>
              </w:rPr>
              <w:t>Pokračování na straně</w:t>
            </w:r>
            <w:r w:rsidRPr="003B6E11">
              <w:rPr>
                <w:position w:val="4"/>
                <w:sz w:val="16"/>
                <w:vertAlign w:val="superscript"/>
                <w:lang w:val="cs-CZ"/>
              </w:rPr>
              <w:t>*)</w:t>
            </w:r>
            <w:r w:rsidRPr="003B6E11">
              <w:rPr>
                <w:lang w:val="cs-CZ"/>
              </w:rPr>
              <w:tab/>
            </w:r>
            <w:r w:rsidRPr="003B6E11">
              <w:rPr>
                <w:rFonts w:cs="Arial"/>
                <w:position w:val="4"/>
                <w:sz w:val="16"/>
                <w:szCs w:val="20"/>
                <w:lang w:val="cs-CZ"/>
              </w:rPr>
              <w:br/>
            </w:r>
            <w:r w:rsidRPr="003B6E11">
              <w:rPr>
                <w:lang w:val="cs-CZ"/>
              </w:rPr>
              <w:tab/>
            </w:r>
            <w:r w:rsidRPr="003B6E11">
              <w:rPr>
                <w:lang w:val="cs-CZ"/>
              </w:rPr>
              <w:tab/>
            </w:r>
            <w:r w:rsidRPr="003B6E11">
              <w:rPr>
                <w:position w:val="4"/>
                <w:sz w:val="18"/>
                <w:lang w:val="cs-CZ"/>
              </w:rPr>
              <w:t>Konec osvědčení</w:t>
            </w:r>
            <w:r w:rsidRPr="003B6E11">
              <w:rPr>
                <w:position w:val="4"/>
                <w:sz w:val="16"/>
                <w:vertAlign w:val="superscript"/>
                <w:lang w:val="cs-CZ"/>
              </w:rPr>
              <w:t>*)</w:t>
            </w:r>
          </w:p>
        </w:tc>
      </w:tr>
    </w:tbl>
    <w:p w:rsidR="003B6E11" w:rsidRPr="003B6E11" w:rsidRDefault="003B6E11" w:rsidP="003B6E11">
      <w:pPr>
        <w:overflowPunct w:val="0"/>
        <w:adjustRightInd w:val="0"/>
        <w:textAlignment w:val="baseline"/>
        <w:rPr>
          <w:rFonts w:cs="Arial"/>
          <w:sz w:val="16"/>
          <w:szCs w:val="16"/>
          <w:lang w:val="cs-CZ"/>
        </w:rPr>
      </w:pPr>
    </w:p>
    <w:p w:rsidR="003B6E11" w:rsidRPr="003B6E11" w:rsidRDefault="003B6E11" w:rsidP="003B6E11">
      <w:pPr>
        <w:overflowPunct w:val="0"/>
        <w:adjustRightInd w:val="0"/>
        <w:textAlignment w:val="baseline"/>
        <w:rPr>
          <w:rFonts w:cs="Arial"/>
          <w:sz w:val="16"/>
          <w:szCs w:val="16"/>
          <w:lang w:val="cs-CZ"/>
        </w:rPr>
      </w:pPr>
      <w:r w:rsidRPr="003B6E11">
        <w:rPr>
          <w:lang w:val="cs-CZ"/>
        </w:rPr>
        <w:br w:type="page"/>
      </w:r>
    </w:p>
    <w:p w:rsidR="003B6E11" w:rsidRPr="003B6E11" w:rsidRDefault="003B6E11" w:rsidP="003B6E11">
      <w:pPr>
        <w:overflowPunct w:val="0"/>
        <w:adjustRightInd w:val="0"/>
        <w:textAlignment w:val="baseline"/>
        <w:rPr>
          <w:rFonts w:cs="Arial"/>
          <w:sz w:val="16"/>
          <w:szCs w:val="16"/>
          <w:lang w:val="cs-CZ"/>
        </w:rPr>
      </w:pPr>
    </w:p>
    <w:p w:rsidR="003B6E11" w:rsidRPr="003B6E11" w:rsidRDefault="003B6E11" w:rsidP="003B6E11">
      <w:pPr>
        <w:overflowPunct w:val="0"/>
        <w:adjustRightInd w:val="0"/>
        <w:textAlignment w:val="baseline"/>
        <w:rPr>
          <w:rFonts w:cs="Arial"/>
          <w:sz w:val="16"/>
          <w:szCs w:val="16"/>
          <w:lang w:val="cs-CZ"/>
        </w:rPr>
      </w:pPr>
    </w:p>
    <w:p w:rsidR="003B6E11" w:rsidRPr="003B6E11" w:rsidRDefault="003B6E11" w:rsidP="003B6E11">
      <w:pPr>
        <w:overflowPunct w:val="0"/>
        <w:adjustRightInd w:val="0"/>
        <w:textAlignment w:val="baseline"/>
        <w:rPr>
          <w:rFonts w:cs="Arial"/>
          <w:sz w:val="16"/>
          <w:szCs w:val="16"/>
          <w:lang w:val="cs-CZ"/>
        </w:rPr>
      </w:pPr>
    </w:p>
    <w:p w:rsidR="003B6E11" w:rsidRPr="003B6E11" w:rsidRDefault="003B6E11" w:rsidP="003B6E11">
      <w:pPr>
        <w:pStyle w:val="ESgauche"/>
        <w:rPr>
          <w:lang w:val="cs-CZ"/>
        </w:rPr>
      </w:pPr>
      <w:r w:rsidRPr="003B6E11">
        <w:rPr>
          <w:lang w:val="cs-CZ"/>
        </w:rPr>
        <w:br w:type="page"/>
      </w:r>
    </w:p>
    <w:p w:rsidR="003B6E11" w:rsidRPr="003B6E11" w:rsidRDefault="003B6E11" w:rsidP="003B6E11">
      <w:pPr>
        <w:pStyle w:val="ES-Titre3"/>
        <w:rPr>
          <w:noProof/>
          <w:lang w:val="cs-CZ"/>
        </w:rPr>
      </w:pPr>
      <w:bookmarkStart w:id="610" w:name="_Toc491854297"/>
      <w:bookmarkStart w:id="611" w:name="_Toc535417203"/>
      <w:r w:rsidRPr="003B6E11">
        <w:rPr>
          <w:lang w:val="cs-CZ"/>
        </w:rPr>
        <w:t>Oddíl II</w:t>
      </w:r>
      <w:bookmarkEnd w:id="610"/>
      <w:bookmarkEnd w:id="611"/>
    </w:p>
    <w:p w:rsidR="003B6E11" w:rsidRPr="003B6E11" w:rsidRDefault="003B6E11" w:rsidP="003B6E11">
      <w:pPr>
        <w:pStyle w:val="ES-Titre3a"/>
        <w:rPr>
          <w:noProof/>
          <w:lang w:val="cs-CZ"/>
        </w:rPr>
      </w:pPr>
      <w:bookmarkStart w:id="612" w:name="_Toc491854298"/>
      <w:bookmarkStart w:id="613" w:name="_Toc535417204"/>
      <w:r w:rsidRPr="003B6E11">
        <w:rPr>
          <w:lang w:val="cs-CZ"/>
        </w:rPr>
        <w:t>Vzor dočasného osvědčení plavidla vnitrozemské plavby</w:t>
      </w:r>
      <w:bookmarkEnd w:id="612"/>
      <w:bookmarkEnd w:id="613"/>
    </w:p>
    <w:p w:rsidR="003B6E11" w:rsidRPr="003B6E11" w:rsidRDefault="003B6E11" w:rsidP="003B6E11">
      <w:pPr>
        <w:tabs>
          <w:tab w:val="center" w:pos="8080"/>
        </w:tabs>
        <w:overflowPunct w:val="0"/>
        <w:adjustRightInd w:val="0"/>
        <w:textAlignment w:val="baseline"/>
        <w:rPr>
          <w:rFonts w:cs="Arial"/>
          <w:szCs w:val="20"/>
          <w:lang w:val="cs-CZ"/>
        </w:rPr>
      </w:pPr>
    </w:p>
    <w:p w:rsidR="003B6E11" w:rsidRPr="003B6E11" w:rsidRDefault="003B6E11" w:rsidP="003B6E11">
      <w:pPr>
        <w:tabs>
          <w:tab w:val="left" w:pos="284"/>
          <w:tab w:val="left" w:leader="dot" w:pos="9356"/>
        </w:tabs>
        <w:overflowPunct w:val="0"/>
        <w:adjustRightInd w:val="0"/>
        <w:jc w:val="center"/>
        <w:textAlignment w:val="baseline"/>
        <w:rPr>
          <w:rFonts w:cs="Arial"/>
          <w:b/>
          <w:lang w:val="cs-CZ"/>
        </w:rPr>
      </w:pPr>
      <w:r w:rsidRPr="003B6E11">
        <w:rPr>
          <w:b/>
          <w:lang w:val="cs-CZ"/>
        </w:rPr>
        <w:t>Název státu / pečeť</w:t>
      </w:r>
    </w:p>
    <w:p w:rsidR="003B6E11" w:rsidRPr="003B6E11" w:rsidRDefault="003B6E11" w:rsidP="003B6E11">
      <w:pPr>
        <w:tabs>
          <w:tab w:val="center" w:pos="8080"/>
        </w:tabs>
        <w:overflowPunct w:val="0"/>
        <w:adjustRightInd w:val="0"/>
        <w:textAlignment w:val="baseline"/>
        <w:rPr>
          <w:rFonts w:cs="Arial"/>
          <w:szCs w:val="20"/>
          <w:lang w:val="cs-CZ"/>
        </w:rPr>
      </w:pPr>
    </w:p>
    <w:p w:rsidR="003B6E11" w:rsidRPr="003B6E11" w:rsidRDefault="003B6E11" w:rsidP="003B6E11">
      <w:pPr>
        <w:tabs>
          <w:tab w:val="left" w:pos="284"/>
          <w:tab w:val="left" w:leader="dot" w:pos="9356"/>
        </w:tabs>
        <w:overflowPunct w:val="0"/>
        <w:adjustRightInd w:val="0"/>
        <w:jc w:val="center"/>
        <w:textAlignment w:val="baseline"/>
        <w:rPr>
          <w:rFonts w:cs="Arial"/>
          <w:b/>
          <w:lang w:val="cs-CZ"/>
        </w:rPr>
      </w:pPr>
      <w:r w:rsidRPr="003B6E11">
        <w:rPr>
          <w:b/>
          <w:lang w:val="cs-CZ"/>
        </w:rPr>
        <w:t>Dočasné osvědčení plavidla vnitrozemské plavby</w:t>
      </w:r>
    </w:p>
    <w:p w:rsidR="003B6E11" w:rsidRPr="003B6E11" w:rsidRDefault="003B6E11" w:rsidP="003B6E11">
      <w:pPr>
        <w:overflowPunct w:val="0"/>
        <w:adjustRightInd w:val="0"/>
        <w:jc w:val="center"/>
        <w:textAlignment w:val="baseline"/>
        <w:rPr>
          <w:rFonts w:cs="Arial"/>
          <w:lang w:val="cs-CZ"/>
        </w:rPr>
      </w:pPr>
    </w:p>
    <w:p w:rsidR="003B6E11" w:rsidRPr="003B6E11" w:rsidRDefault="003B6E11" w:rsidP="003B6E11">
      <w:pPr>
        <w:overflowPunct w:val="0"/>
        <w:adjustRightInd w:val="0"/>
        <w:jc w:val="center"/>
        <w:textAlignment w:val="baseline"/>
        <w:rPr>
          <w:rFonts w:cs="Arial"/>
          <w:lang w:val="cs-CZ"/>
        </w:rPr>
      </w:pPr>
      <w:r w:rsidRPr="003B6E11">
        <w:rPr>
          <w:b/>
          <w:lang w:val="cs-CZ"/>
        </w:rPr>
        <w:t>č. …..............</w:t>
      </w:r>
    </w:p>
    <w:tbl>
      <w:tblPr>
        <w:tblW w:w="9188" w:type="dxa"/>
        <w:jc w:val="center"/>
        <w:tblLayout w:type="fixed"/>
        <w:tblCellMar>
          <w:left w:w="0" w:type="dxa"/>
          <w:right w:w="0" w:type="dxa"/>
        </w:tblCellMar>
        <w:tblLook w:val="0000" w:firstRow="0" w:lastRow="0" w:firstColumn="0" w:lastColumn="0" w:noHBand="0" w:noVBand="0"/>
      </w:tblPr>
      <w:tblGrid>
        <w:gridCol w:w="284"/>
        <w:gridCol w:w="2778"/>
        <w:gridCol w:w="1475"/>
        <w:gridCol w:w="1418"/>
        <w:gridCol w:w="169"/>
        <w:gridCol w:w="1249"/>
        <w:gridCol w:w="1418"/>
        <w:gridCol w:w="397"/>
      </w:tblGrid>
      <w:tr w:rsidR="003B6E11" w:rsidRPr="003B6E11" w:rsidTr="002D015D">
        <w:trPr>
          <w:cantSplit/>
          <w:jc w:val="center"/>
        </w:trPr>
        <w:tc>
          <w:tcPr>
            <w:tcW w:w="284" w:type="dxa"/>
            <w:tcBorders>
              <w:top w:val="single" w:sz="6" w:space="0" w:color="auto"/>
              <w:left w:val="single" w:sz="6" w:space="0" w:color="auto"/>
            </w:tcBorders>
          </w:tcPr>
          <w:p w:rsidR="003B6E11" w:rsidRPr="003B6E11" w:rsidRDefault="003B6E11" w:rsidP="002D015D">
            <w:pPr>
              <w:tabs>
                <w:tab w:val="left" w:pos="57"/>
              </w:tabs>
              <w:overflowPunct w:val="0"/>
              <w:adjustRightInd w:val="0"/>
              <w:spacing w:before="40"/>
              <w:textAlignment w:val="baseline"/>
              <w:rPr>
                <w:rFonts w:cs="Arial"/>
                <w:sz w:val="18"/>
                <w:szCs w:val="20"/>
                <w:lang w:val="cs-CZ"/>
              </w:rPr>
            </w:pPr>
            <w:r w:rsidRPr="003B6E11">
              <w:rPr>
                <w:lang w:val="cs-CZ"/>
              </w:rPr>
              <w:tab/>
            </w:r>
            <w:r w:rsidRPr="003B6E11">
              <w:rPr>
                <w:sz w:val="18"/>
                <w:lang w:val="cs-CZ"/>
              </w:rPr>
              <w:t>1.</w:t>
            </w:r>
          </w:p>
        </w:tc>
        <w:tc>
          <w:tcPr>
            <w:tcW w:w="2778" w:type="dxa"/>
            <w:tcBorders>
              <w:top w:val="single" w:sz="6" w:space="0" w:color="auto"/>
              <w:bottom w:val="single" w:sz="6" w:space="0" w:color="auto"/>
              <w:right w:val="single" w:sz="6" w:space="0" w:color="auto"/>
            </w:tcBorders>
          </w:tcPr>
          <w:p w:rsidR="003B6E11" w:rsidRPr="003B6E11" w:rsidRDefault="003B6E11" w:rsidP="002D015D">
            <w:pPr>
              <w:tabs>
                <w:tab w:val="left" w:pos="57"/>
              </w:tabs>
              <w:overflowPunct w:val="0"/>
              <w:adjustRightInd w:val="0"/>
              <w:spacing w:before="40"/>
              <w:textAlignment w:val="baseline"/>
              <w:rPr>
                <w:rFonts w:cs="Arial"/>
                <w:sz w:val="18"/>
                <w:szCs w:val="20"/>
                <w:lang w:val="cs-CZ"/>
              </w:rPr>
            </w:pPr>
            <w:r w:rsidRPr="003B6E11">
              <w:rPr>
                <w:sz w:val="18"/>
                <w:lang w:val="cs-CZ"/>
              </w:rPr>
              <w:t>Jméno plavidla</w:t>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p>
        </w:tc>
        <w:tc>
          <w:tcPr>
            <w:tcW w:w="3062" w:type="dxa"/>
            <w:gridSpan w:val="3"/>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57"/>
                <w:tab w:val="left" w:pos="227"/>
              </w:tabs>
              <w:overflowPunct w:val="0"/>
              <w:adjustRightInd w:val="0"/>
              <w:spacing w:before="40"/>
              <w:textAlignment w:val="baseline"/>
              <w:rPr>
                <w:rFonts w:cs="Arial"/>
                <w:sz w:val="18"/>
                <w:szCs w:val="20"/>
                <w:lang w:val="cs-CZ"/>
              </w:rPr>
            </w:pPr>
            <w:r w:rsidRPr="003B6E11">
              <w:rPr>
                <w:lang w:val="cs-CZ"/>
              </w:rPr>
              <w:tab/>
            </w:r>
            <w:r w:rsidRPr="003B6E11">
              <w:rPr>
                <w:sz w:val="18"/>
                <w:lang w:val="cs-CZ"/>
              </w:rPr>
              <w:t>2.</w:t>
            </w:r>
            <w:r w:rsidRPr="003B6E11">
              <w:rPr>
                <w:lang w:val="cs-CZ"/>
              </w:rPr>
              <w:tab/>
            </w:r>
            <w:r w:rsidRPr="003B6E11">
              <w:rPr>
                <w:sz w:val="18"/>
                <w:lang w:val="cs-CZ"/>
              </w:rPr>
              <w:t>Druh plavidla</w:t>
            </w:r>
          </w:p>
        </w:tc>
        <w:tc>
          <w:tcPr>
            <w:tcW w:w="3064" w:type="dxa"/>
            <w:gridSpan w:val="3"/>
            <w:tcBorders>
              <w:top w:val="single" w:sz="6" w:space="0" w:color="auto"/>
              <w:bottom w:val="single" w:sz="6" w:space="0" w:color="auto"/>
              <w:right w:val="single" w:sz="6" w:space="0" w:color="auto"/>
            </w:tcBorders>
          </w:tcPr>
          <w:p w:rsidR="003B6E11" w:rsidRPr="003B6E11" w:rsidRDefault="003B6E11" w:rsidP="002D015D">
            <w:pPr>
              <w:tabs>
                <w:tab w:val="left" w:pos="57"/>
                <w:tab w:val="left" w:pos="284"/>
              </w:tabs>
              <w:overflowPunct w:val="0"/>
              <w:adjustRightInd w:val="0"/>
              <w:spacing w:before="40"/>
              <w:ind w:left="284" w:hanging="284"/>
              <w:textAlignment w:val="baseline"/>
              <w:rPr>
                <w:rFonts w:cs="Arial"/>
                <w:sz w:val="18"/>
                <w:szCs w:val="20"/>
                <w:lang w:val="cs-CZ"/>
              </w:rPr>
            </w:pPr>
            <w:r w:rsidRPr="003B6E11">
              <w:rPr>
                <w:lang w:val="cs-CZ"/>
              </w:rPr>
              <w:tab/>
            </w:r>
            <w:r w:rsidRPr="003B6E11">
              <w:rPr>
                <w:sz w:val="18"/>
                <w:lang w:val="cs-CZ"/>
              </w:rPr>
              <w:t>3.</w:t>
            </w:r>
            <w:r w:rsidRPr="003B6E11">
              <w:rPr>
                <w:lang w:val="cs-CZ"/>
              </w:rPr>
              <w:tab/>
            </w:r>
            <w:r w:rsidRPr="003B6E11">
              <w:rPr>
                <w:noProof/>
                <w:sz w:val="18"/>
                <w:lang w:val="cs-CZ"/>
              </w:rPr>
              <w:t>Jednotné evropské identifikační číslo plavidla</w:t>
            </w: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40"/>
              <w:textAlignment w:val="baseline"/>
              <w:rPr>
                <w:rFonts w:cs="Arial"/>
                <w:sz w:val="18"/>
                <w:szCs w:val="20"/>
                <w:lang w:val="cs-CZ"/>
              </w:rPr>
            </w:pPr>
            <w:r w:rsidRPr="003B6E11">
              <w:rPr>
                <w:lang w:val="cs-CZ"/>
              </w:rPr>
              <w:tab/>
            </w:r>
            <w:r w:rsidRPr="003B6E11">
              <w:rPr>
                <w:sz w:val="18"/>
                <w:lang w:val="cs-CZ"/>
              </w:rPr>
              <w:t>4.</w:t>
            </w:r>
          </w:p>
        </w:tc>
        <w:tc>
          <w:tcPr>
            <w:tcW w:w="8904" w:type="dxa"/>
            <w:gridSpan w:val="7"/>
            <w:tcBorders>
              <w:top w:val="single" w:sz="6" w:space="0" w:color="auto"/>
              <w:bottom w:val="single" w:sz="6" w:space="0" w:color="auto"/>
              <w:right w:val="single" w:sz="6" w:space="0" w:color="auto"/>
            </w:tcBorders>
          </w:tcPr>
          <w:p w:rsidR="003B6E11" w:rsidRPr="003B6E11" w:rsidRDefault="003B6E11" w:rsidP="002D015D">
            <w:pPr>
              <w:tabs>
                <w:tab w:val="left" w:pos="57"/>
                <w:tab w:val="left" w:pos="227"/>
              </w:tabs>
              <w:overflowPunct w:val="0"/>
              <w:adjustRightInd w:val="0"/>
              <w:spacing w:before="40"/>
              <w:ind w:left="57"/>
              <w:textAlignment w:val="baseline"/>
              <w:rPr>
                <w:rFonts w:cs="Arial"/>
                <w:sz w:val="18"/>
                <w:szCs w:val="20"/>
                <w:lang w:val="cs-CZ"/>
              </w:rPr>
            </w:pPr>
            <w:r w:rsidRPr="003B6E11">
              <w:rPr>
                <w:sz w:val="18"/>
                <w:lang w:val="cs-CZ"/>
              </w:rPr>
              <w:t>Jméno a adresa vlastníka</w:t>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s>
              <w:overflowPunct w:val="0"/>
              <w:adjustRightInd w:val="0"/>
              <w:spacing w:before="40"/>
              <w:textAlignment w:val="baseline"/>
              <w:rPr>
                <w:rFonts w:cs="Arial"/>
                <w:sz w:val="18"/>
                <w:szCs w:val="20"/>
                <w:lang w:val="cs-CZ"/>
              </w:rPr>
            </w:pPr>
            <w:r w:rsidRPr="003B6E11">
              <w:rPr>
                <w:lang w:val="cs-CZ"/>
              </w:rPr>
              <w:tab/>
            </w:r>
            <w:r w:rsidRPr="003B6E11">
              <w:rPr>
                <w:sz w:val="18"/>
                <w:lang w:val="cs-CZ"/>
              </w:rPr>
              <w:t>5.</w:t>
            </w:r>
          </w:p>
        </w:tc>
        <w:tc>
          <w:tcPr>
            <w:tcW w:w="8904" w:type="dxa"/>
            <w:gridSpan w:val="7"/>
            <w:tcBorders>
              <w:top w:val="single" w:sz="6" w:space="0" w:color="auto"/>
              <w:bottom w:val="single" w:sz="6" w:space="0" w:color="auto"/>
              <w:right w:val="single" w:sz="6" w:space="0" w:color="auto"/>
            </w:tcBorders>
          </w:tcPr>
          <w:p w:rsidR="003B6E11" w:rsidRPr="003B6E11" w:rsidRDefault="003B6E11" w:rsidP="002D015D">
            <w:pPr>
              <w:tabs>
                <w:tab w:val="left" w:pos="57"/>
                <w:tab w:val="left" w:pos="227"/>
                <w:tab w:val="left" w:leader="dot" w:pos="2835"/>
                <w:tab w:val="left" w:pos="3686"/>
                <w:tab w:val="left" w:leader="dot" w:pos="5670"/>
                <w:tab w:val="left" w:leader="dot" w:pos="8505"/>
              </w:tabs>
              <w:overflowPunct w:val="0"/>
              <w:adjustRightInd w:val="0"/>
              <w:spacing w:before="40"/>
              <w:ind w:left="57"/>
              <w:textAlignment w:val="baseline"/>
              <w:rPr>
                <w:rFonts w:cs="Arial"/>
                <w:sz w:val="18"/>
                <w:szCs w:val="20"/>
                <w:lang w:val="cs-CZ"/>
              </w:rPr>
            </w:pPr>
            <w:r w:rsidRPr="003B6E11">
              <w:rPr>
                <w:sz w:val="18"/>
                <w:lang w:val="cs-CZ"/>
              </w:rPr>
              <w:t xml:space="preserve">Délka </w:t>
            </w:r>
            <m:oMath>
              <m:r>
                <w:rPr>
                  <w:rFonts w:ascii="Cambria Math" w:hAnsi="Cambria Math" w:cs="Arial"/>
                  <w:sz w:val="18"/>
                  <w:szCs w:val="20"/>
                  <w:lang w:val="cs-CZ"/>
                </w:rPr>
                <m:t>L</m:t>
              </m:r>
            </m:oMath>
            <w:r w:rsidRPr="003B6E11">
              <w:rPr>
                <w:sz w:val="18"/>
                <w:lang w:val="cs-CZ"/>
              </w:rPr>
              <w:t xml:space="preserve">/ </w:t>
            </w:r>
            <m:oMath>
              <m:sSub>
                <m:sSubPr>
                  <m:ctrlPr>
                    <w:rPr>
                      <w:rFonts w:ascii="Cambria Math" w:hAnsi="Cambria Math" w:cs="Arial"/>
                      <w:i/>
                      <w:noProof/>
                      <w:sz w:val="18"/>
                      <w:szCs w:val="18"/>
                      <w:lang w:val="cs-CZ"/>
                    </w:rPr>
                  </m:ctrlPr>
                </m:sSubPr>
                <m:e>
                  <m:r>
                    <w:rPr>
                      <w:rFonts w:ascii="Cambria Math" w:hAnsi="Cambria Math" w:cs="Arial"/>
                      <w:noProof/>
                      <w:sz w:val="18"/>
                      <w:szCs w:val="18"/>
                      <w:lang w:val="cs-CZ"/>
                    </w:rPr>
                    <m:t>L</m:t>
                  </m:r>
                </m:e>
                <m:sub>
                  <m:r>
                    <w:rPr>
                      <w:rFonts w:ascii="Cambria Math" w:hAnsi="Cambria Math" w:cs="Arial"/>
                      <w:noProof/>
                      <w:sz w:val="18"/>
                      <w:szCs w:val="18"/>
                      <w:lang w:val="cs-CZ"/>
                    </w:rPr>
                    <m:t>WL</m:t>
                  </m:r>
                </m:sub>
              </m:sSub>
            </m:oMath>
            <w:r w:rsidRPr="003B6E11">
              <w:rPr>
                <w:sz w:val="16"/>
                <w:vertAlign w:val="superscript"/>
                <w:lang w:val="cs-CZ"/>
              </w:rPr>
              <w:t>*)</w:t>
            </w:r>
            <w:r w:rsidRPr="003B6E11">
              <w:rPr>
                <w:lang w:val="cs-CZ"/>
              </w:rPr>
              <w:tab/>
            </w:r>
            <w:r w:rsidRPr="003B6E11">
              <w:rPr>
                <w:sz w:val="16"/>
                <w:vertAlign w:val="superscript"/>
                <w:lang w:val="cs-CZ"/>
              </w:rPr>
              <w:t xml:space="preserve"> </w:t>
            </w:r>
            <w:r w:rsidRPr="003B6E11">
              <w:rPr>
                <w:sz w:val="18"/>
                <w:lang w:val="cs-CZ"/>
              </w:rPr>
              <w:t>Počet cestujících</w:t>
            </w:r>
            <w:r w:rsidRPr="003B6E11">
              <w:rPr>
                <w:lang w:val="cs-CZ"/>
              </w:rPr>
              <w:tab/>
            </w:r>
          </w:p>
          <w:p w:rsidR="003B6E11" w:rsidRPr="003B6E11" w:rsidRDefault="003B6E11" w:rsidP="002D015D">
            <w:pPr>
              <w:tabs>
                <w:tab w:val="left" w:pos="57"/>
                <w:tab w:val="left" w:pos="227"/>
                <w:tab w:val="left" w:leader="dot" w:pos="2835"/>
                <w:tab w:val="left" w:pos="3686"/>
                <w:tab w:val="left" w:leader="dot" w:pos="5670"/>
                <w:tab w:val="left" w:leader="dot" w:pos="8505"/>
              </w:tabs>
              <w:overflowPunct w:val="0"/>
              <w:adjustRightInd w:val="0"/>
              <w:spacing w:before="40" w:after="80"/>
              <w:ind w:left="57"/>
              <w:textAlignment w:val="baseline"/>
              <w:rPr>
                <w:rFonts w:cs="Arial"/>
                <w:sz w:val="18"/>
                <w:szCs w:val="20"/>
                <w:lang w:val="cs-CZ"/>
              </w:rPr>
            </w:pPr>
            <w:r w:rsidRPr="003B6E11">
              <w:rPr>
                <w:sz w:val="18"/>
                <w:lang w:val="cs-CZ"/>
              </w:rPr>
              <w:t>Počet lůžek</w:t>
            </w:r>
            <w:r w:rsidRPr="003B6E11">
              <w:rPr>
                <w:sz w:val="16"/>
                <w:vertAlign w:val="superscript"/>
                <w:lang w:val="cs-CZ"/>
              </w:rPr>
              <w:t>*)</w:t>
            </w:r>
            <w:r w:rsidRPr="003B6E11">
              <w:rPr>
                <w:sz w:val="18"/>
                <w:lang w:val="cs-CZ"/>
              </w:rPr>
              <w:t xml:space="preserve"> </w:t>
            </w:r>
            <w:r w:rsidRPr="003B6E11">
              <w:rPr>
                <w:lang w:val="cs-CZ"/>
              </w:rPr>
              <w:tab/>
            </w: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40"/>
              <w:textAlignment w:val="baseline"/>
              <w:rPr>
                <w:rFonts w:cs="Arial"/>
                <w:sz w:val="18"/>
                <w:szCs w:val="20"/>
                <w:lang w:val="cs-CZ"/>
              </w:rPr>
            </w:pPr>
            <w:r w:rsidRPr="003B6E11">
              <w:rPr>
                <w:lang w:val="cs-CZ"/>
              </w:rPr>
              <w:tab/>
            </w:r>
            <w:r w:rsidRPr="003B6E11">
              <w:rPr>
                <w:sz w:val="18"/>
                <w:lang w:val="cs-CZ"/>
              </w:rPr>
              <w:t>6.</w:t>
            </w:r>
          </w:p>
        </w:tc>
        <w:tc>
          <w:tcPr>
            <w:tcW w:w="8904" w:type="dxa"/>
            <w:gridSpan w:val="7"/>
            <w:tcBorders>
              <w:top w:val="single" w:sz="6" w:space="0" w:color="auto"/>
              <w:bottom w:val="single" w:sz="6" w:space="0" w:color="auto"/>
              <w:right w:val="single" w:sz="6" w:space="0" w:color="auto"/>
            </w:tcBorders>
          </w:tcPr>
          <w:p w:rsidR="003B6E11" w:rsidRPr="003B6E11" w:rsidRDefault="003B6E11" w:rsidP="002D015D">
            <w:pPr>
              <w:tabs>
                <w:tab w:val="left" w:pos="57"/>
                <w:tab w:val="left" w:pos="227"/>
                <w:tab w:val="left" w:leader="dot" w:pos="8505"/>
              </w:tabs>
              <w:overflowPunct w:val="0"/>
              <w:adjustRightInd w:val="0"/>
              <w:spacing w:before="40"/>
              <w:ind w:left="57"/>
              <w:textAlignment w:val="baseline"/>
              <w:rPr>
                <w:rFonts w:cs="Arial"/>
                <w:sz w:val="18"/>
                <w:szCs w:val="20"/>
                <w:lang w:val="cs-CZ"/>
              </w:rPr>
            </w:pPr>
            <w:r w:rsidRPr="003B6E11">
              <w:rPr>
                <w:sz w:val="18"/>
                <w:lang w:val="cs-CZ"/>
              </w:rPr>
              <w:t xml:space="preserve">Posádka: </w:t>
            </w:r>
            <w:r w:rsidRPr="003B6E11">
              <w:rPr>
                <w:lang w:val="cs-CZ"/>
              </w:rPr>
              <w:tab/>
            </w:r>
            <w:r w:rsidRPr="003B6E11">
              <w:rPr>
                <w:rFonts w:cs="Arial"/>
                <w:sz w:val="18"/>
                <w:szCs w:val="20"/>
                <w:lang w:val="cs-CZ"/>
              </w:rPr>
              <w:br/>
            </w: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r w:rsidRPr="003B6E11">
              <w:rPr>
                <w:sz w:val="18"/>
                <w:lang w:val="cs-CZ"/>
              </w:rPr>
              <w:t>6.1</w:t>
            </w:r>
          </w:p>
        </w:tc>
        <w:tc>
          <w:tcPr>
            <w:tcW w:w="8904" w:type="dxa"/>
            <w:gridSpan w:val="7"/>
            <w:tcBorders>
              <w:top w:val="single" w:sz="6" w:space="0" w:color="auto"/>
              <w:bottom w:val="single" w:sz="6" w:space="0" w:color="auto"/>
              <w:right w:val="single" w:sz="6" w:space="0" w:color="auto"/>
            </w:tcBorders>
          </w:tcPr>
          <w:p w:rsidR="003B6E11" w:rsidRPr="003B6E11" w:rsidRDefault="003B6E11" w:rsidP="002D015D">
            <w:pPr>
              <w:ind w:left="57" w:right="57"/>
              <w:rPr>
                <w:sz w:val="18"/>
                <w:lang w:val="cs-CZ"/>
              </w:rPr>
            </w:pPr>
          </w:p>
          <w:p w:rsidR="003B6E11" w:rsidRPr="003B6E11" w:rsidRDefault="003B6E11" w:rsidP="002D015D">
            <w:pPr>
              <w:ind w:left="57" w:right="57"/>
              <w:rPr>
                <w:rFonts w:cs="Arial"/>
                <w:sz w:val="18"/>
                <w:szCs w:val="18"/>
                <w:lang w:val="cs-CZ"/>
              </w:rPr>
            </w:pPr>
            <w:r w:rsidRPr="003B6E11">
              <w:rPr>
                <w:sz w:val="18"/>
                <w:lang w:val="cs-CZ"/>
              </w:rPr>
              <w:t>[Plavidlo se schvaluje pro provoz v režimu A1</w:t>
            </w:r>
            <w:r w:rsidRPr="003B6E11">
              <w:rPr>
                <w:sz w:val="16"/>
                <w:vertAlign w:val="superscript"/>
                <w:lang w:val="cs-CZ"/>
              </w:rPr>
              <w:t>*)</w:t>
            </w:r>
            <w:r w:rsidRPr="003B6E11">
              <w:rPr>
                <w:sz w:val="18"/>
                <w:lang w:val="cs-CZ"/>
              </w:rPr>
              <w:t>, A2</w:t>
            </w:r>
            <w:r w:rsidRPr="003B6E11">
              <w:rPr>
                <w:sz w:val="16"/>
                <w:vertAlign w:val="superscript"/>
                <w:lang w:val="cs-CZ"/>
              </w:rPr>
              <w:t>*)</w:t>
            </w:r>
            <w:r w:rsidRPr="003B6E11">
              <w:rPr>
                <w:sz w:val="18"/>
                <w:lang w:val="cs-CZ"/>
              </w:rPr>
              <w:t>, B</w:t>
            </w:r>
            <w:r w:rsidRPr="003B6E11">
              <w:rPr>
                <w:sz w:val="16"/>
                <w:vertAlign w:val="superscript"/>
                <w:lang w:val="cs-CZ"/>
              </w:rPr>
              <w:t>*)</w:t>
            </w:r>
            <w:r w:rsidRPr="003B6E11">
              <w:rPr>
                <w:sz w:val="18"/>
                <w:lang w:val="cs-CZ"/>
              </w:rPr>
              <w:t xml:space="preserve"> / Bod odkazuje na provozní režimy v souladu s vnitrostátními a mezinárodními požadavky.]</w:t>
            </w: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r w:rsidRPr="003B6E11">
              <w:rPr>
                <w:sz w:val="18"/>
                <w:lang w:val="cs-CZ"/>
              </w:rPr>
              <w:t>6.2</w:t>
            </w:r>
          </w:p>
        </w:tc>
        <w:tc>
          <w:tcPr>
            <w:tcW w:w="8904" w:type="dxa"/>
            <w:gridSpan w:val="7"/>
            <w:tcBorders>
              <w:top w:val="single" w:sz="6" w:space="0" w:color="auto"/>
              <w:bottom w:val="single" w:sz="6" w:space="0" w:color="auto"/>
              <w:right w:val="single" w:sz="6" w:space="0" w:color="auto"/>
            </w:tcBorders>
          </w:tcPr>
          <w:p w:rsidR="003B6E11" w:rsidRPr="003B6E11" w:rsidRDefault="003B6E11" w:rsidP="002D015D">
            <w:pPr>
              <w:ind w:left="57" w:right="57"/>
              <w:rPr>
                <w:rFonts w:cs="Arial"/>
                <w:sz w:val="18"/>
                <w:szCs w:val="18"/>
                <w:lang w:val="cs-CZ"/>
              </w:rPr>
            </w:pPr>
            <w:r w:rsidRPr="003B6E11">
              <w:rPr>
                <w:noProof/>
                <w:sz w:val="18"/>
                <w:lang w:val="cs-CZ"/>
              </w:rPr>
              <w:t>Výstroj plavidla podle článku 31.01</w:t>
            </w:r>
            <w:r w:rsidRPr="003B6E11">
              <w:rPr>
                <w:noProof/>
                <w:sz w:val="18"/>
                <w:szCs w:val="20"/>
                <w:lang w:val="cs-CZ"/>
              </w:rPr>
              <w:br/>
            </w:r>
            <w:r w:rsidRPr="003B6E11">
              <w:rPr>
                <w:noProof/>
                <w:sz w:val="18"/>
                <w:lang w:val="cs-CZ"/>
              </w:rPr>
              <w:t>Plavidlo splňuje</w:t>
            </w:r>
            <w:r w:rsidRPr="003B6E11">
              <w:rPr>
                <w:position w:val="6"/>
                <w:sz w:val="16"/>
                <w:lang w:val="cs-CZ"/>
              </w:rPr>
              <w:t xml:space="preserve"> *)</w:t>
            </w:r>
            <w:r w:rsidRPr="003B6E11">
              <w:rPr>
                <w:sz w:val="18"/>
                <w:lang w:val="cs-CZ"/>
              </w:rPr>
              <w:t xml:space="preserve"> / nesplňuje </w:t>
            </w:r>
            <w:r w:rsidRPr="003B6E11">
              <w:rPr>
                <w:position w:val="6"/>
                <w:sz w:val="16"/>
                <w:lang w:val="cs-CZ"/>
              </w:rPr>
              <w:t>*)</w:t>
            </w:r>
            <w:r w:rsidRPr="003B6E11">
              <w:rPr>
                <w:sz w:val="18"/>
                <w:lang w:val="cs-CZ"/>
              </w:rPr>
              <w:t xml:space="preserve"> požadavky článku 31.02 (standard S1)</w:t>
            </w:r>
            <w:r w:rsidRPr="003B6E11">
              <w:rPr>
                <w:position w:val="6"/>
                <w:sz w:val="16"/>
                <w:lang w:val="cs-CZ"/>
              </w:rPr>
              <w:t>*)</w:t>
            </w:r>
            <w:r w:rsidRPr="003B6E11">
              <w:rPr>
                <w:sz w:val="18"/>
                <w:lang w:val="cs-CZ"/>
              </w:rPr>
              <w:t xml:space="preserve"> / článku 31.03 (standard S2)</w:t>
            </w:r>
            <w:r w:rsidRPr="003B6E11">
              <w:rPr>
                <w:position w:val="6"/>
                <w:sz w:val="16"/>
                <w:lang w:val="cs-CZ"/>
              </w:rPr>
              <w:t>*)</w:t>
            </w:r>
            <w:r w:rsidRPr="003B6E11">
              <w:rPr>
                <w:sz w:val="18"/>
                <w:lang w:val="cs-CZ"/>
              </w:rPr>
              <w:t>.</w:t>
            </w:r>
            <w:r w:rsidRPr="003B6E11">
              <w:rPr>
                <w:rFonts w:cs="Arial"/>
                <w:sz w:val="18"/>
                <w:szCs w:val="18"/>
                <w:lang w:val="cs-CZ"/>
              </w:rPr>
              <w:br/>
            </w:r>
            <w:r w:rsidRPr="003B6E11">
              <w:rPr>
                <w:sz w:val="18"/>
                <w:lang w:val="cs-CZ"/>
              </w:rPr>
              <w:t>[V souladu s článkem 3.18 Předpisů pro posádky lodí plujících na Rýně / V souladu s vnitrostátními nebo mezinárodními požadavky], musí být minimální posádka navýšena následovně</w:t>
            </w:r>
            <w:r w:rsidRPr="003B6E11">
              <w:rPr>
                <w:position w:val="6"/>
                <w:sz w:val="16"/>
                <w:lang w:val="cs-CZ"/>
              </w:rPr>
              <w:t>*)</w:t>
            </w:r>
            <w:r w:rsidRPr="003B6E11">
              <w:rPr>
                <w:sz w:val="18"/>
                <w:lang w:val="cs-CZ"/>
              </w:rPr>
              <w:t xml:space="preserve"> / nemusí být navýšena:</w:t>
            </w:r>
            <w:r w:rsidRPr="003B6E11">
              <w:rPr>
                <w:position w:val="6"/>
                <w:sz w:val="16"/>
                <w:lang w:val="cs-CZ"/>
              </w:rPr>
              <w:t>*)</w:t>
            </w:r>
            <w:r w:rsidRPr="003B6E11">
              <w:rPr>
                <w:sz w:val="18"/>
                <w:lang w:val="cs-CZ"/>
              </w:rPr>
              <w:t>:</w:t>
            </w:r>
            <w:r w:rsidRPr="003B6E11">
              <w:rPr>
                <w:sz w:val="18"/>
                <w:vertAlign w:val="superscript"/>
                <w:lang w:val="cs-CZ"/>
              </w:rPr>
              <w:footnoteReference w:id="51"/>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4253" w:type="dxa"/>
            <w:gridSpan w:val="2"/>
            <w:tcBorders>
              <w:top w:val="single" w:sz="6" w:space="0" w:color="auto"/>
              <w:bottom w:val="single" w:sz="4" w:space="0" w:color="auto"/>
            </w:tcBorders>
          </w:tcPr>
          <w:p w:rsidR="003B6E11" w:rsidRPr="003B6E11" w:rsidRDefault="003B6E11" w:rsidP="002D015D">
            <w:pPr>
              <w:tabs>
                <w:tab w:val="left" w:pos="57"/>
                <w:tab w:val="left" w:leader="dot" w:pos="8505"/>
              </w:tabs>
              <w:overflowPunct w:val="0"/>
              <w:adjustRightInd w:val="0"/>
              <w:spacing w:before="120"/>
              <w:ind w:left="57" w:hanging="57"/>
              <w:textAlignment w:val="baseline"/>
              <w:rPr>
                <w:rFonts w:cs="Arial"/>
                <w:sz w:val="18"/>
                <w:szCs w:val="20"/>
                <w:lang w:val="cs-CZ"/>
              </w:rPr>
            </w:pPr>
          </w:p>
        </w:tc>
        <w:tc>
          <w:tcPr>
            <w:tcW w:w="4254" w:type="dxa"/>
            <w:gridSpan w:val="4"/>
            <w:tcBorders>
              <w:top w:val="single" w:sz="6" w:space="0" w:color="auto"/>
              <w:bottom w:val="single" w:sz="4" w:space="0" w:color="auto"/>
            </w:tcBorders>
          </w:tcPr>
          <w:p w:rsidR="003B6E11" w:rsidRPr="003B6E11" w:rsidRDefault="003B6E11" w:rsidP="002D015D">
            <w:pPr>
              <w:tabs>
                <w:tab w:val="left" w:pos="1134"/>
              </w:tabs>
              <w:overflowPunct w:val="0"/>
              <w:adjustRightInd w:val="0"/>
              <w:spacing w:before="120"/>
              <w:ind w:left="57" w:hanging="57"/>
              <w:textAlignment w:val="baseline"/>
              <w:rPr>
                <w:rFonts w:cs="Arial"/>
                <w:sz w:val="18"/>
                <w:szCs w:val="20"/>
                <w:lang w:val="cs-CZ"/>
              </w:rPr>
            </w:pPr>
          </w:p>
        </w:tc>
        <w:tc>
          <w:tcPr>
            <w:tcW w:w="397" w:type="dxa"/>
            <w:tcBorders>
              <w:left w:val="nil"/>
              <w:right w:val="single" w:sz="6" w:space="0" w:color="auto"/>
            </w:tcBorders>
          </w:tcPr>
          <w:p w:rsidR="003B6E11" w:rsidRPr="003B6E11" w:rsidRDefault="003B6E11" w:rsidP="002D015D">
            <w:pPr>
              <w:tabs>
                <w:tab w:val="left" w:pos="57"/>
                <w:tab w:val="left" w:pos="5103"/>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4253" w:type="dxa"/>
            <w:gridSpan w:val="2"/>
            <w:tcBorders>
              <w:top w:val="single" w:sz="4" w:space="0" w:color="auto"/>
              <w:left w:val="single" w:sz="6" w:space="0" w:color="auto"/>
              <w:right w:val="single" w:sz="6" w:space="0" w:color="auto"/>
            </w:tcBorders>
          </w:tcPr>
          <w:p w:rsidR="003B6E11" w:rsidRPr="003B6E11" w:rsidRDefault="003B6E11" w:rsidP="002D015D">
            <w:pPr>
              <w:tabs>
                <w:tab w:val="left" w:pos="57"/>
                <w:tab w:val="left" w:leader="dot" w:pos="8505"/>
              </w:tabs>
              <w:overflowPunct w:val="0"/>
              <w:adjustRightInd w:val="0"/>
              <w:spacing w:before="120"/>
              <w:ind w:left="57" w:hanging="57"/>
              <w:textAlignment w:val="baseline"/>
              <w:rPr>
                <w:rFonts w:cs="Arial"/>
                <w:sz w:val="18"/>
                <w:szCs w:val="20"/>
                <w:lang w:val="cs-CZ"/>
              </w:rPr>
            </w:pPr>
          </w:p>
        </w:tc>
        <w:tc>
          <w:tcPr>
            <w:tcW w:w="4254" w:type="dxa"/>
            <w:gridSpan w:val="4"/>
            <w:tcBorders>
              <w:top w:val="single" w:sz="4" w:space="0" w:color="auto"/>
              <w:left w:val="single" w:sz="6" w:space="0" w:color="auto"/>
              <w:right w:val="single" w:sz="6" w:space="0" w:color="auto"/>
            </w:tcBorders>
          </w:tcPr>
          <w:p w:rsidR="003B6E11" w:rsidRPr="003B6E11" w:rsidRDefault="003B6E11" w:rsidP="002D015D">
            <w:pPr>
              <w:tabs>
                <w:tab w:val="left" w:pos="1134"/>
              </w:tabs>
              <w:overflowPunct w:val="0"/>
              <w:adjustRightInd w:val="0"/>
              <w:spacing w:before="120"/>
              <w:ind w:left="57" w:hanging="57"/>
              <w:textAlignment w:val="baseline"/>
              <w:rPr>
                <w:rFonts w:cs="Arial"/>
                <w:sz w:val="18"/>
                <w:szCs w:val="20"/>
                <w:lang w:val="cs-CZ"/>
              </w:rPr>
            </w:pPr>
            <w:r w:rsidRPr="003B6E11">
              <w:rPr>
                <w:lang w:val="cs-CZ"/>
              </w:rPr>
              <w:tab/>
            </w:r>
            <w:r w:rsidRPr="003B6E11">
              <w:rPr>
                <w:lang w:val="cs-CZ"/>
              </w:rPr>
              <w:tab/>
            </w:r>
            <w:r w:rsidRPr="003B6E11">
              <w:rPr>
                <w:sz w:val="18"/>
                <w:lang w:val="cs-CZ"/>
              </w:rPr>
              <w:t>Provozní režimy</w:t>
            </w: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textAlignment w:val="baseline"/>
              <w:rPr>
                <w:rFonts w:cs="Arial"/>
                <w:sz w:val="18"/>
                <w:szCs w:val="20"/>
                <w:lang w:val="cs-CZ"/>
              </w:rPr>
            </w:pP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40" w:after="40"/>
              <w:textAlignment w:val="baseline"/>
              <w:rPr>
                <w:rFonts w:cs="Arial"/>
                <w:sz w:val="18"/>
                <w:szCs w:val="20"/>
                <w:lang w:val="cs-CZ"/>
              </w:rPr>
            </w:pPr>
          </w:p>
        </w:tc>
        <w:tc>
          <w:tcPr>
            <w:tcW w:w="4253" w:type="dxa"/>
            <w:gridSpan w:val="2"/>
            <w:tcBorders>
              <w:top w:val="single" w:sz="6" w:space="0" w:color="auto"/>
              <w:left w:val="single" w:sz="6" w:space="0" w:color="auto"/>
              <w:right w:val="single" w:sz="6" w:space="0" w:color="auto"/>
            </w:tcBorders>
          </w:tcPr>
          <w:p w:rsidR="003B6E11" w:rsidRPr="003B6E11" w:rsidRDefault="003B6E11" w:rsidP="002D015D">
            <w:pPr>
              <w:tabs>
                <w:tab w:val="left" w:pos="57"/>
                <w:tab w:val="left" w:leader="dot" w:pos="3969"/>
                <w:tab w:val="left" w:leader="dot" w:pos="8505"/>
              </w:tabs>
              <w:overflowPunct w:val="0"/>
              <w:adjustRightInd w:val="0"/>
              <w:spacing w:before="40" w:after="40"/>
              <w:ind w:left="57" w:hanging="57"/>
              <w:textAlignment w:val="baseline"/>
              <w:rPr>
                <w:rFonts w:cs="Arial"/>
                <w:sz w:val="18"/>
                <w:szCs w:val="20"/>
                <w:lang w:val="cs-CZ"/>
              </w:rPr>
            </w:pPr>
          </w:p>
        </w:tc>
        <w:tc>
          <w:tcPr>
            <w:tcW w:w="1418" w:type="dxa"/>
            <w:tcBorders>
              <w:top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spacing w:before="40" w:after="40"/>
              <w:ind w:left="57" w:hanging="57"/>
              <w:textAlignment w:val="baseline"/>
              <w:rPr>
                <w:rFonts w:cs="Arial"/>
                <w:sz w:val="18"/>
                <w:szCs w:val="20"/>
                <w:lang w:val="cs-CZ"/>
              </w:rPr>
            </w:pPr>
          </w:p>
        </w:tc>
        <w:tc>
          <w:tcPr>
            <w:tcW w:w="1418" w:type="dxa"/>
            <w:gridSpan w:val="2"/>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spacing w:before="40" w:after="40"/>
              <w:ind w:left="57" w:hanging="57"/>
              <w:textAlignment w:val="baseline"/>
              <w:rPr>
                <w:rFonts w:cs="Arial"/>
                <w:sz w:val="18"/>
                <w:szCs w:val="20"/>
                <w:lang w:val="cs-CZ"/>
              </w:rPr>
            </w:pPr>
          </w:p>
        </w:tc>
        <w:tc>
          <w:tcPr>
            <w:tcW w:w="141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454"/>
              </w:tabs>
              <w:overflowPunct w:val="0"/>
              <w:adjustRightInd w:val="0"/>
              <w:spacing w:before="40" w:after="40"/>
              <w:ind w:left="57" w:hanging="57"/>
              <w:textAlignment w:val="baseline"/>
              <w:rPr>
                <w:rFonts w:cs="Arial"/>
                <w:sz w:val="18"/>
                <w:szCs w:val="20"/>
                <w:lang w:val="cs-CZ"/>
              </w:rPr>
            </w:pP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spacing w:before="40" w:after="4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4253" w:type="dxa"/>
            <w:gridSpan w:val="2"/>
            <w:tcBorders>
              <w:left w:val="single" w:sz="6" w:space="0" w:color="auto"/>
              <w:right w:val="single" w:sz="6" w:space="0" w:color="auto"/>
            </w:tcBorders>
          </w:tcPr>
          <w:p w:rsidR="003B6E11" w:rsidRPr="003B6E11" w:rsidRDefault="003B6E11" w:rsidP="002D015D">
            <w:pPr>
              <w:tabs>
                <w:tab w:val="left" w:pos="57"/>
                <w:tab w:val="left" w:leader="dot" w:pos="3969"/>
                <w:tab w:val="left" w:leader="dot" w:pos="8505"/>
              </w:tabs>
              <w:overflowPunct w:val="0"/>
              <w:adjustRightInd w:val="0"/>
              <w:spacing w:before="120"/>
              <w:ind w:left="114" w:hanging="57"/>
              <w:textAlignment w:val="baseline"/>
              <w:rPr>
                <w:rFonts w:cs="Arial"/>
                <w:sz w:val="18"/>
                <w:szCs w:val="20"/>
                <w:lang w:val="cs-CZ"/>
              </w:rPr>
            </w:pPr>
          </w:p>
        </w:tc>
        <w:tc>
          <w:tcPr>
            <w:tcW w:w="1418" w:type="dxa"/>
            <w:tcBorders>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r w:rsidRPr="003B6E11">
              <w:rPr>
                <w:lang w:val="cs-CZ"/>
              </w:rPr>
              <w:tab/>
            </w:r>
            <w:r w:rsidRPr="003B6E11">
              <w:rPr>
                <w:lang w:val="cs-CZ"/>
              </w:rPr>
              <w:tab/>
            </w:r>
          </w:p>
        </w:tc>
        <w:tc>
          <w:tcPr>
            <w:tcW w:w="1418" w:type="dxa"/>
            <w:gridSpan w:val="2"/>
            <w:tcBorders>
              <w:left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r w:rsidRPr="003B6E11">
              <w:rPr>
                <w:lang w:val="cs-CZ"/>
              </w:rPr>
              <w:tab/>
            </w:r>
            <w:r w:rsidRPr="003B6E11">
              <w:rPr>
                <w:lang w:val="cs-CZ"/>
              </w:rPr>
              <w:tab/>
            </w:r>
          </w:p>
        </w:tc>
        <w:tc>
          <w:tcPr>
            <w:tcW w:w="1418" w:type="dxa"/>
            <w:tcBorders>
              <w:left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r w:rsidRPr="003B6E11">
              <w:rPr>
                <w:lang w:val="cs-CZ"/>
              </w:rPr>
              <w:tab/>
            </w:r>
            <w:r w:rsidRPr="003B6E11">
              <w:rPr>
                <w:lang w:val="cs-CZ"/>
              </w:rPr>
              <w:tab/>
            </w: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spacing w:before="12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p>
        </w:tc>
        <w:tc>
          <w:tcPr>
            <w:tcW w:w="4253" w:type="dxa"/>
            <w:gridSpan w:val="2"/>
            <w:tcBorders>
              <w:left w:val="single" w:sz="6" w:space="0" w:color="auto"/>
              <w:bottom w:val="single" w:sz="6" w:space="0" w:color="auto"/>
              <w:right w:val="single" w:sz="6" w:space="0" w:color="auto"/>
            </w:tcBorders>
          </w:tcPr>
          <w:p w:rsidR="003B6E11" w:rsidRPr="003B6E11" w:rsidRDefault="003B6E11" w:rsidP="002D015D">
            <w:pPr>
              <w:tabs>
                <w:tab w:val="left" w:pos="57"/>
                <w:tab w:val="left" w:leader="dot" w:pos="3969"/>
                <w:tab w:val="left" w:leader="dot" w:pos="8505"/>
              </w:tabs>
              <w:overflowPunct w:val="0"/>
              <w:adjustRightInd w:val="0"/>
              <w:spacing w:before="120"/>
              <w:ind w:left="114" w:hanging="57"/>
              <w:textAlignment w:val="baseline"/>
              <w:rPr>
                <w:rFonts w:cs="Arial"/>
                <w:sz w:val="18"/>
                <w:szCs w:val="20"/>
                <w:lang w:val="cs-CZ"/>
              </w:rPr>
            </w:pPr>
          </w:p>
        </w:tc>
        <w:tc>
          <w:tcPr>
            <w:tcW w:w="1418" w:type="dxa"/>
            <w:tcBorders>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r w:rsidRPr="003B6E11">
              <w:rPr>
                <w:lang w:val="cs-CZ"/>
              </w:rPr>
              <w:tab/>
            </w:r>
            <w:r w:rsidRPr="003B6E11">
              <w:rPr>
                <w:lang w:val="cs-CZ"/>
              </w:rPr>
              <w:tab/>
            </w:r>
          </w:p>
        </w:tc>
        <w:tc>
          <w:tcPr>
            <w:tcW w:w="1418" w:type="dxa"/>
            <w:gridSpan w:val="2"/>
            <w:tcBorders>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r w:rsidRPr="003B6E11">
              <w:rPr>
                <w:lang w:val="cs-CZ"/>
              </w:rPr>
              <w:tab/>
            </w:r>
            <w:r w:rsidRPr="003B6E11">
              <w:rPr>
                <w:lang w:val="cs-CZ"/>
              </w:rPr>
              <w:tab/>
            </w:r>
          </w:p>
        </w:tc>
        <w:tc>
          <w:tcPr>
            <w:tcW w:w="1418" w:type="dxa"/>
            <w:tcBorders>
              <w:left w:val="single" w:sz="6" w:space="0" w:color="auto"/>
              <w:bottom w:val="single" w:sz="6" w:space="0" w:color="auto"/>
              <w:right w:val="single" w:sz="6" w:space="0" w:color="auto"/>
            </w:tcBorders>
          </w:tcPr>
          <w:p w:rsidR="003B6E11" w:rsidRPr="003B6E11" w:rsidRDefault="003B6E11" w:rsidP="002D015D">
            <w:pPr>
              <w:tabs>
                <w:tab w:val="left" w:pos="57"/>
                <w:tab w:val="left" w:leader="dot" w:pos="1134"/>
                <w:tab w:val="left" w:leader="dot" w:pos="8505"/>
              </w:tabs>
              <w:overflowPunct w:val="0"/>
              <w:adjustRightInd w:val="0"/>
              <w:spacing w:before="120"/>
              <w:ind w:left="57" w:hanging="57"/>
              <w:textAlignment w:val="baseline"/>
              <w:rPr>
                <w:rFonts w:cs="Arial"/>
                <w:sz w:val="18"/>
                <w:szCs w:val="20"/>
                <w:lang w:val="cs-CZ"/>
              </w:rPr>
            </w:pPr>
            <w:r w:rsidRPr="003B6E11">
              <w:rPr>
                <w:lang w:val="cs-CZ"/>
              </w:rPr>
              <w:tab/>
            </w:r>
            <w:r w:rsidRPr="003B6E11">
              <w:rPr>
                <w:lang w:val="cs-CZ"/>
              </w:rPr>
              <w:tab/>
            </w:r>
          </w:p>
        </w:tc>
        <w:tc>
          <w:tcPr>
            <w:tcW w:w="397" w:type="dxa"/>
            <w:tcBorders>
              <w:right w:val="single" w:sz="6" w:space="0" w:color="auto"/>
            </w:tcBorders>
          </w:tcPr>
          <w:p w:rsidR="003B6E11" w:rsidRPr="003B6E11" w:rsidRDefault="003B6E11" w:rsidP="002D015D">
            <w:pPr>
              <w:tabs>
                <w:tab w:val="left" w:pos="57"/>
                <w:tab w:val="left" w:pos="5103"/>
              </w:tabs>
              <w:overflowPunct w:val="0"/>
              <w:adjustRightInd w:val="0"/>
              <w:spacing w:before="120"/>
              <w:textAlignment w:val="baseline"/>
              <w:rPr>
                <w:rFonts w:cs="Arial"/>
                <w:sz w:val="18"/>
                <w:szCs w:val="20"/>
                <w:lang w:val="cs-CZ"/>
              </w:rPr>
            </w:pPr>
            <w:r w:rsidRPr="003B6E11">
              <w:rPr>
                <w:lang w:val="cs-CZ"/>
              </w:rPr>
              <w:tab/>
            </w:r>
          </w:p>
        </w:tc>
      </w:tr>
      <w:tr w:rsidR="003B6E11" w:rsidRPr="003B6E11" w:rsidTr="002D015D">
        <w:trPr>
          <w:cantSplit/>
          <w:jc w:val="center"/>
        </w:trPr>
        <w:tc>
          <w:tcPr>
            <w:tcW w:w="284" w:type="dxa"/>
            <w:tcBorders>
              <w:left w:val="single" w:sz="6" w:space="0" w:color="auto"/>
            </w:tcBorders>
          </w:tcPr>
          <w:p w:rsidR="003B6E11" w:rsidRPr="003B6E11" w:rsidRDefault="003B6E11" w:rsidP="002D015D">
            <w:pPr>
              <w:tabs>
                <w:tab w:val="left" w:pos="57"/>
                <w:tab w:val="left" w:pos="227"/>
              </w:tabs>
              <w:overflowPunct w:val="0"/>
              <w:adjustRightInd w:val="0"/>
              <w:spacing w:before="40"/>
              <w:textAlignment w:val="baseline"/>
              <w:rPr>
                <w:rFonts w:cs="Arial"/>
                <w:sz w:val="18"/>
                <w:szCs w:val="20"/>
                <w:lang w:val="cs-CZ"/>
              </w:rPr>
            </w:pPr>
          </w:p>
        </w:tc>
        <w:tc>
          <w:tcPr>
            <w:tcW w:w="8904" w:type="dxa"/>
            <w:gridSpan w:val="7"/>
            <w:tcBorders>
              <w:right w:val="single" w:sz="6" w:space="0" w:color="auto"/>
            </w:tcBorders>
          </w:tcPr>
          <w:p w:rsidR="003B6E11" w:rsidRPr="003B6E11" w:rsidRDefault="003B6E11" w:rsidP="002D015D">
            <w:pPr>
              <w:tabs>
                <w:tab w:val="left" w:leader="dot" w:pos="8505"/>
              </w:tabs>
              <w:overflowPunct w:val="0"/>
              <w:adjustRightInd w:val="0"/>
              <w:spacing w:before="80"/>
              <w:ind w:left="57"/>
              <w:textAlignment w:val="baseline"/>
              <w:rPr>
                <w:rFonts w:cs="Arial"/>
                <w:sz w:val="18"/>
                <w:szCs w:val="20"/>
                <w:lang w:val="cs-CZ"/>
              </w:rPr>
            </w:pPr>
            <w:r w:rsidRPr="003B6E11">
              <w:rPr>
                <w:noProof/>
                <w:sz w:val="18"/>
                <w:lang w:val="cs-CZ"/>
              </w:rPr>
              <w:t>Poznámky a zvláštní podmínky:</w:t>
            </w:r>
            <w:r w:rsidRPr="003B6E11">
              <w:rPr>
                <w:noProof/>
                <w:sz w:val="18"/>
                <w:szCs w:val="20"/>
                <w:lang w:val="cs-CZ"/>
              </w:rPr>
              <w:br/>
            </w:r>
            <w:r w:rsidRPr="003B6E11">
              <w:rPr>
                <w:lang w:val="cs-CZ"/>
              </w:rPr>
              <w:tab/>
            </w:r>
            <w:r w:rsidRPr="003B6E11">
              <w:rPr>
                <w:rFonts w:cs="Arial"/>
                <w:sz w:val="18"/>
                <w:szCs w:val="20"/>
                <w:lang w:val="cs-CZ"/>
              </w:rPr>
              <w:br/>
            </w:r>
            <w:r w:rsidRPr="003B6E11">
              <w:rPr>
                <w:lang w:val="cs-CZ"/>
              </w:rPr>
              <w:tab/>
            </w:r>
          </w:p>
        </w:tc>
      </w:tr>
      <w:tr w:rsidR="003B6E11" w:rsidRPr="003B6E11" w:rsidTr="002D015D">
        <w:trPr>
          <w:cantSplit/>
          <w:jc w:val="center"/>
        </w:trPr>
        <w:tc>
          <w:tcPr>
            <w:tcW w:w="284" w:type="dxa"/>
            <w:tcBorders>
              <w:top w:val="single" w:sz="6" w:space="0" w:color="auto"/>
              <w:left w:val="single" w:sz="6" w:space="0" w:color="auto"/>
            </w:tcBorders>
          </w:tcPr>
          <w:p w:rsidR="003B6E11" w:rsidRPr="003B6E11" w:rsidRDefault="003B6E11" w:rsidP="002D015D">
            <w:pPr>
              <w:tabs>
                <w:tab w:val="left" w:pos="57"/>
                <w:tab w:val="left" w:pos="227"/>
              </w:tabs>
              <w:overflowPunct w:val="0"/>
              <w:adjustRightInd w:val="0"/>
              <w:spacing w:before="120"/>
              <w:textAlignment w:val="baseline"/>
              <w:rPr>
                <w:rFonts w:cs="Arial"/>
                <w:sz w:val="18"/>
                <w:szCs w:val="20"/>
                <w:lang w:val="cs-CZ"/>
              </w:rPr>
            </w:pPr>
            <w:r w:rsidRPr="003B6E11">
              <w:rPr>
                <w:sz w:val="18"/>
                <w:lang w:val="cs-CZ"/>
              </w:rPr>
              <w:t>6.3</w:t>
            </w:r>
          </w:p>
        </w:tc>
        <w:tc>
          <w:tcPr>
            <w:tcW w:w="8904" w:type="dxa"/>
            <w:gridSpan w:val="7"/>
            <w:tcBorders>
              <w:top w:val="single" w:sz="6" w:space="0" w:color="auto"/>
              <w:right w:val="single" w:sz="6" w:space="0" w:color="auto"/>
            </w:tcBorders>
          </w:tcPr>
          <w:p w:rsidR="003B6E11" w:rsidRPr="003B6E11" w:rsidRDefault="003B6E11" w:rsidP="002D015D">
            <w:pPr>
              <w:tabs>
                <w:tab w:val="left" w:pos="57"/>
                <w:tab w:val="left" w:leader="dot" w:pos="8505"/>
              </w:tabs>
              <w:overflowPunct w:val="0"/>
              <w:adjustRightInd w:val="0"/>
              <w:spacing w:before="120" w:after="120"/>
              <w:ind w:left="57"/>
              <w:textAlignment w:val="baseline"/>
              <w:rPr>
                <w:rFonts w:cs="Arial"/>
                <w:sz w:val="18"/>
                <w:szCs w:val="20"/>
                <w:lang w:val="cs-CZ"/>
              </w:rPr>
            </w:pPr>
            <w:r w:rsidRPr="003B6E11">
              <w:rPr>
                <w:sz w:val="18"/>
                <w:lang w:val="cs-CZ"/>
              </w:rPr>
              <w:t xml:space="preserve">Minimální posádka [v souladu s článkem 3.19 Předpisů pro posádky lodí plujících na Rýně / v souladu s vnitrostátními nebo mezinárodními požadavky] </w:t>
            </w:r>
            <w:r w:rsidRPr="003B6E11">
              <w:rPr>
                <w:lang w:val="cs-CZ"/>
              </w:rPr>
              <w:tab/>
            </w:r>
            <w:r w:rsidRPr="003B6E11">
              <w:rPr>
                <w:rFonts w:cs="Arial"/>
                <w:sz w:val="18"/>
                <w:szCs w:val="20"/>
                <w:lang w:val="cs-CZ"/>
              </w:rPr>
              <w:br/>
            </w:r>
            <w:r w:rsidRPr="003B6E11">
              <w:rPr>
                <w:lang w:val="cs-CZ"/>
              </w:rPr>
              <w:tab/>
            </w: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80"/>
              <w:textAlignment w:val="baseline"/>
              <w:rPr>
                <w:rFonts w:cs="Arial"/>
                <w:sz w:val="18"/>
                <w:szCs w:val="20"/>
                <w:lang w:val="cs-CZ"/>
              </w:rPr>
            </w:pPr>
            <w:r w:rsidRPr="003B6E11">
              <w:rPr>
                <w:sz w:val="18"/>
                <w:lang w:val="cs-CZ"/>
              </w:rPr>
              <w:t xml:space="preserve"> 7.</w:t>
            </w:r>
          </w:p>
        </w:tc>
        <w:tc>
          <w:tcPr>
            <w:tcW w:w="8904" w:type="dxa"/>
            <w:gridSpan w:val="7"/>
            <w:tcBorders>
              <w:top w:val="single" w:sz="6" w:space="0" w:color="auto"/>
              <w:bottom w:val="single" w:sz="6" w:space="0" w:color="auto"/>
              <w:right w:val="single" w:sz="6" w:space="0" w:color="auto"/>
            </w:tcBorders>
          </w:tcPr>
          <w:p w:rsidR="003B6E11" w:rsidRPr="003B6E11" w:rsidRDefault="003B6E11" w:rsidP="002D015D">
            <w:pPr>
              <w:tabs>
                <w:tab w:val="left" w:pos="57"/>
                <w:tab w:val="left" w:leader="dot" w:pos="4536"/>
                <w:tab w:val="left" w:pos="5103"/>
              </w:tabs>
              <w:overflowPunct w:val="0"/>
              <w:adjustRightInd w:val="0"/>
              <w:spacing w:before="80" w:after="120"/>
              <w:ind w:left="57"/>
              <w:textAlignment w:val="baseline"/>
              <w:rPr>
                <w:rFonts w:cs="Arial"/>
                <w:sz w:val="18"/>
                <w:szCs w:val="20"/>
                <w:lang w:val="cs-CZ"/>
              </w:rPr>
            </w:pPr>
            <w:r w:rsidRPr="003B6E11">
              <w:rPr>
                <w:noProof/>
                <w:sz w:val="18"/>
                <w:lang w:val="cs-CZ"/>
              </w:rPr>
              <w:t>Zařízení na zkapalněný plyn</w:t>
            </w:r>
            <w:r w:rsidRPr="003B6E11">
              <w:rPr>
                <w:noProof/>
                <w:sz w:val="18"/>
                <w:szCs w:val="20"/>
                <w:lang w:val="cs-CZ"/>
              </w:rPr>
              <w:br/>
            </w:r>
            <w:r w:rsidRPr="003B6E11">
              <w:rPr>
                <w:noProof/>
                <w:sz w:val="18"/>
                <w:lang w:val="cs-CZ"/>
              </w:rPr>
              <w:t>Potvrzení o prohlídce platí do</w:t>
            </w:r>
            <w:r w:rsidRPr="003B6E11">
              <w:rPr>
                <w:lang w:val="cs-CZ"/>
              </w:rPr>
              <w:tab/>
            </w: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40"/>
              <w:textAlignment w:val="baseline"/>
              <w:rPr>
                <w:rFonts w:cs="Arial"/>
                <w:sz w:val="18"/>
                <w:szCs w:val="20"/>
                <w:lang w:val="cs-CZ"/>
              </w:rPr>
            </w:pPr>
            <w:r w:rsidRPr="003B6E11">
              <w:rPr>
                <w:sz w:val="18"/>
                <w:lang w:val="cs-CZ"/>
              </w:rPr>
              <w:t xml:space="preserve"> 8.</w:t>
            </w:r>
          </w:p>
        </w:tc>
        <w:tc>
          <w:tcPr>
            <w:tcW w:w="8904" w:type="dxa"/>
            <w:gridSpan w:val="7"/>
            <w:tcBorders>
              <w:top w:val="single" w:sz="6" w:space="0" w:color="auto"/>
              <w:bottom w:val="single" w:sz="6" w:space="0" w:color="auto"/>
              <w:right w:val="single" w:sz="6" w:space="0" w:color="auto"/>
            </w:tcBorders>
          </w:tcPr>
          <w:p w:rsidR="003B6E11" w:rsidRPr="003B6E11" w:rsidRDefault="003B6E11" w:rsidP="002D015D">
            <w:pPr>
              <w:tabs>
                <w:tab w:val="left" w:pos="57"/>
                <w:tab w:val="left" w:pos="5103"/>
              </w:tabs>
              <w:overflowPunct w:val="0"/>
              <w:adjustRightInd w:val="0"/>
              <w:spacing w:before="40" w:after="120"/>
              <w:ind w:left="57"/>
              <w:textAlignment w:val="baseline"/>
              <w:rPr>
                <w:rFonts w:cs="Arial"/>
                <w:sz w:val="18"/>
                <w:szCs w:val="20"/>
                <w:lang w:val="cs-CZ"/>
              </w:rPr>
            </w:pPr>
            <w:r w:rsidRPr="003B6E11">
              <w:rPr>
                <w:sz w:val="18"/>
                <w:lang w:val="cs-CZ"/>
              </w:rPr>
              <w:t>Zvláštní podmínky</w:t>
            </w:r>
            <w:r w:rsidRPr="003B6E11">
              <w:rPr>
                <w:rFonts w:cs="Arial"/>
                <w:sz w:val="18"/>
                <w:szCs w:val="20"/>
                <w:lang w:val="cs-CZ"/>
              </w:rPr>
              <w:br/>
            </w: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80"/>
              <w:textAlignment w:val="baseline"/>
              <w:rPr>
                <w:rFonts w:cs="Arial"/>
                <w:sz w:val="18"/>
                <w:szCs w:val="20"/>
                <w:lang w:val="cs-CZ"/>
              </w:rPr>
            </w:pPr>
            <w:r w:rsidRPr="003B6E11">
              <w:rPr>
                <w:sz w:val="18"/>
                <w:lang w:val="cs-CZ"/>
              </w:rPr>
              <w:t xml:space="preserve"> [9.</w:t>
            </w:r>
          </w:p>
        </w:tc>
        <w:tc>
          <w:tcPr>
            <w:tcW w:w="8904" w:type="dxa"/>
            <w:gridSpan w:val="7"/>
            <w:tcBorders>
              <w:top w:val="single" w:sz="6" w:space="0" w:color="auto"/>
              <w:bottom w:val="single" w:sz="6" w:space="0" w:color="auto"/>
              <w:right w:val="single" w:sz="6" w:space="0" w:color="auto"/>
            </w:tcBorders>
          </w:tcPr>
          <w:p w:rsidR="003B6E11" w:rsidRPr="003B6E11" w:rsidRDefault="003B6E11" w:rsidP="002D015D">
            <w:pPr>
              <w:tabs>
                <w:tab w:val="left" w:pos="57"/>
                <w:tab w:val="left" w:pos="5103"/>
              </w:tabs>
              <w:overflowPunct w:val="0"/>
              <w:adjustRightInd w:val="0"/>
              <w:spacing w:before="80" w:after="120"/>
              <w:ind w:left="57"/>
              <w:textAlignment w:val="baseline"/>
              <w:rPr>
                <w:rFonts w:cs="Arial"/>
                <w:sz w:val="18"/>
                <w:szCs w:val="20"/>
                <w:lang w:val="cs-CZ"/>
              </w:rPr>
            </w:pPr>
            <w:r w:rsidRPr="003B6E11">
              <w:rPr>
                <w:sz w:val="18"/>
                <w:lang w:val="cs-CZ"/>
              </w:rPr>
              <w:t>Přeprava nebezpečných věcí viz dočasné osvědčení o schválení</w:t>
            </w:r>
            <w:r w:rsidRPr="003B6E11">
              <w:rPr>
                <w:sz w:val="16"/>
                <w:vertAlign w:val="superscript"/>
                <w:lang w:val="cs-CZ"/>
              </w:rPr>
              <w:t xml:space="preserve"> *)</w:t>
            </w:r>
            <w:r w:rsidRPr="003B6E11">
              <w:rPr>
                <w:sz w:val="18"/>
                <w:lang w:val="cs-CZ"/>
              </w:rPr>
              <w:t>]</w:t>
            </w: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80"/>
              <w:textAlignment w:val="baseline"/>
              <w:rPr>
                <w:rFonts w:cs="Arial"/>
                <w:sz w:val="18"/>
                <w:szCs w:val="20"/>
                <w:lang w:val="cs-CZ"/>
              </w:rPr>
            </w:pPr>
            <w:r w:rsidRPr="003B6E11">
              <w:rPr>
                <w:sz w:val="18"/>
                <w:lang w:val="cs-CZ"/>
              </w:rPr>
              <w:t>10.</w:t>
            </w:r>
          </w:p>
        </w:tc>
        <w:tc>
          <w:tcPr>
            <w:tcW w:w="8904" w:type="dxa"/>
            <w:gridSpan w:val="7"/>
            <w:tcBorders>
              <w:top w:val="single" w:sz="6" w:space="0" w:color="auto"/>
              <w:bottom w:val="single" w:sz="6" w:space="0" w:color="auto"/>
              <w:right w:val="single" w:sz="6" w:space="0" w:color="auto"/>
            </w:tcBorders>
          </w:tcPr>
          <w:p w:rsidR="003B6E11" w:rsidRPr="003B6E11" w:rsidRDefault="003B6E11" w:rsidP="002D015D">
            <w:pPr>
              <w:tabs>
                <w:tab w:val="left" w:pos="57"/>
                <w:tab w:val="left" w:leader="dot" w:pos="2835"/>
                <w:tab w:val="left" w:pos="6296"/>
                <w:tab w:val="left" w:leader="dot" w:pos="8564"/>
              </w:tabs>
              <w:overflowPunct w:val="0"/>
              <w:adjustRightInd w:val="0"/>
              <w:spacing w:before="80" w:after="20"/>
              <w:ind w:left="57"/>
              <w:textAlignment w:val="baseline"/>
              <w:rPr>
                <w:rFonts w:cs="Arial"/>
                <w:sz w:val="16"/>
                <w:szCs w:val="20"/>
                <w:lang w:val="cs-CZ"/>
              </w:rPr>
            </w:pPr>
            <w:r w:rsidRPr="003B6E11">
              <w:rPr>
                <w:sz w:val="18"/>
                <w:lang w:val="cs-CZ"/>
              </w:rPr>
              <w:t>Platnost</w:t>
            </w:r>
            <w:r w:rsidRPr="003B6E11">
              <w:rPr>
                <w:rFonts w:cs="Arial"/>
                <w:sz w:val="18"/>
                <w:szCs w:val="20"/>
                <w:lang w:val="cs-CZ"/>
              </w:rPr>
              <w:br/>
            </w:r>
            <w:r w:rsidRPr="003B6E11">
              <w:rPr>
                <w:sz w:val="18"/>
                <w:lang w:val="cs-CZ"/>
              </w:rPr>
              <w:t>Dočasné osvědčení plavidla vnitrozemské plavby platí do ………………………………………………………</w:t>
            </w:r>
            <w:r w:rsidRPr="003B6E11">
              <w:rPr>
                <w:rFonts w:cs="Arial"/>
                <w:sz w:val="18"/>
                <w:szCs w:val="20"/>
                <w:lang w:val="cs-CZ"/>
              </w:rPr>
              <w:br/>
            </w:r>
            <w:r w:rsidRPr="003B6E11">
              <w:rPr>
                <w:sz w:val="18"/>
                <w:lang w:val="cs-CZ"/>
              </w:rPr>
              <w:t>pro plavbu</w:t>
            </w:r>
            <w:r w:rsidRPr="003B6E11">
              <w:rPr>
                <w:sz w:val="16"/>
                <w:vertAlign w:val="superscript"/>
                <w:lang w:val="cs-CZ"/>
              </w:rPr>
              <w:t>*)</w:t>
            </w:r>
            <w:r w:rsidRPr="003B6E11">
              <w:rPr>
                <w:sz w:val="18"/>
                <w:lang w:val="cs-CZ"/>
              </w:rPr>
              <w:t xml:space="preserve"> / pro jednu plavbu</w:t>
            </w:r>
            <w:r w:rsidRPr="003B6E11">
              <w:rPr>
                <w:sz w:val="16"/>
                <w:vertAlign w:val="superscript"/>
                <w:lang w:val="cs-CZ"/>
              </w:rPr>
              <w:t>*)</w:t>
            </w:r>
            <w:r w:rsidRPr="003B6E11">
              <w:rPr>
                <w:lang w:val="cs-CZ"/>
              </w:rPr>
              <w:tab/>
            </w:r>
            <w:r w:rsidRPr="003B6E11">
              <w:rPr>
                <w:sz w:val="18"/>
                <w:lang w:val="cs-CZ"/>
              </w:rPr>
              <w:t xml:space="preserve"> </w:t>
            </w:r>
            <w:r w:rsidRPr="003B6E11">
              <w:rPr>
                <w:sz w:val="16"/>
                <w:lang w:val="cs-CZ"/>
              </w:rPr>
              <w:t>(datum)</w:t>
            </w:r>
          </w:p>
          <w:p w:rsidR="003B6E11" w:rsidRPr="003B6E11" w:rsidRDefault="003B6E11" w:rsidP="002D015D">
            <w:pPr>
              <w:tabs>
                <w:tab w:val="left" w:pos="342"/>
                <w:tab w:val="left" w:leader="dot" w:pos="3969"/>
                <w:tab w:val="left" w:pos="4253"/>
                <w:tab w:val="left" w:leader="dot" w:pos="8505"/>
              </w:tabs>
              <w:overflowPunct w:val="0"/>
              <w:adjustRightInd w:val="0"/>
              <w:textAlignment w:val="baseline"/>
              <w:rPr>
                <w:noProof/>
                <w:position w:val="6"/>
                <w:sz w:val="16"/>
                <w:lang w:val="cs-CZ"/>
              </w:rPr>
            </w:pPr>
            <w:r w:rsidRPr="003B6E11">
              <w:rPr>
                <w:noProof/>
                <w:sz w:val="18"/>
                <w:lang w:val="cs-CZ"/>
              </w:rPr>
              <w:t>–</w:t>
            </w:r>
            <w:r w:rsidRPr="003B6E11">
              <w:rPr>
                <w:lang w:val="cs-CZ"/>
              </w:rPr>
              <w:tab/>
            </w:r>
            <w:r w:rsidRPr="003B6E11">
              <w:rPr>
                <w:noProof/>
                <w:sz w:val="18"/>
                <w:lang w:val="cs-CZ"/>
              </w:rPr>
              <w:t xml:space="preserve">na Rýně </w:t>
            </w:r>
            <w:r w:rsidRPr="003B6E11">
              <w:rPr>
                <w:noProof/>
                <w:position w:val="6"/>
                <w:sz w:val="16"/>
                <w:lang w:val="cs-CZ"/>
              </w:rPr>
              <w:t>*)</w:t>
            </w:r>
          </w:p>
          <w:p w:rsidR="003B6E11" w:rsidRPr="003B6E11" w:rsidRDefault="003B6E11" w:rsidP="002D015D">
            <w:pPr>
              <w:tabs>
                <w:tab w:val="left" w:pos="57"/>
                <w:tab w:val="left" w:leader="dot" w:pos="3969"/>
                <w:tab w:val="left" w:pos="4253"/>
                <w:tab w:val="left" w:leader="dot" w:pos="8505"/>
              </w:tabs>
              <w:overflowPunct w:val="0"/>
              <w:adjustRightInd w:val="0"/>
              <w:textAlignment w:val="baseline"/>
              <w:rPr>
                <w:rFonts w:cs="Arial"/>
                <w:position w:val="6"/>
                <w:sz w:val="16"/>
                <w:szCs w:val="20"/>
                <w:lang w:val="cs-CZ"/>
              </w:rPr>
            </w:pPr>
            <w:r w:rsidRPr="003B6E11">
              <w:rPr>
                <w:sz w:val="18"/>
                <w:lang w:val="cs-CZ"/>
              </w:rPr>
              <w:t xml:space="preserve">mezi </w:t>
            </w:r>
            <w:r w:rsidRPr="003B6E11">
              <w:rPr>
                <w:lang w:val="cs-CZ"/>
              </w:rPr>
              <w:tab/>
            </w:r>
            <w:r w:rsidRPr="003B6E11">
              <w:rPr>
                <w:lang w:val="cs-CZ"/>
              </w:rPr>
              <w:tab/>
            </w:r>
            <w:r w:rsidRPr="003B6E11">
              <w:rPr>
                <w:lang w:val="cs-CZ"/>
              </w:rPr>
              <w:tab/>
            </w:r>
            <w:r w:rsidRPr="003B6E11">
              <w:rPr>
                <w:position w:val="6"/>
                <w:sz w:val="16"/>
                <w:lang w:val="cs-CZ"/>
              </w:rPr>
              <w:t>*)</w:t>
            </w:r>
          </w:p>
          <w:p w:rsidR="003B6E11" w:rsidRPr="003B6E11" w:rsidRDefault="003B6E11" w:rsidP="002D015D">
            <w:pPr>
              <w:tabs>
                <w:tab w:val="left" w:pos="57"/>
                <w:tab w:val="left" w:leader="dot" w:pos="3969"/>
                <w:tab w:val="left" w:pos="4253"/>
                <w:tab w:val="left" w:leader="dot" w:pos="8505"/>
              </w:tabs>
              <w:overflowPunct w:val="0"/>
              <w:adjustRightInd w:val="0"/>
              <w:textAlignment w:val="baseline"/>
              <w:rPr>
                <w:rFonts w:cs="Arial"/>
                <w:sz w:val="18"/>
                <w:szCs w:val="20"/>
                <w:lang w:val="cs-CZ"/>
              </w:rPr>
            </w:pPr>
          </w:p>
          <w:p w:rsidR="003B6E11" w:rsidRPr="003B6E11" w:rsidRDefault="003B6E11" w:rsidP="002D015D">
            <w:pPr>
              <w:tabs>
                <w:tab w:val="left" w:pos="340"/>
                <w:tab w:val="left" w:leader="dot" w:pos="8564"/>
                <w:tab w:val="left" w:leader="dot" w:pos="8789"/>
              </w:tabs>
              <w:overflowPunct w:val="0"/>
              <w:adjustRightInd w:val="0"/>
              <w:textAlignment w:val="baseline"/>
              <w:rPr>
                <w:noProof/>
                <w:position w:val="6"/>
                <w:sz w:val="16"/>
                <w:lang w:val="cs-CZ"/>
              </w:rPr>
            </w:pPr>
            <w:r w:rsidRPr="003B6E11">
              <w:rPr>
                <w:noProof/>
                <w:sz w:val="18"/>
                <w:lang w:val="cs-CZ"/>
              </w:rPr>
              <w:t>–</w:t>
            </w:r>
            <w:r w:rsidRPr="003B6E11">
              <w:rPr>
                <w:lang w:val="cs-CZ"/>
              </w:rPr>
              <w:tab/>
            </w:r>
            <w:r w:rsidRPr="003B6E11">
              <w:rPr>
                <w:noProof/>
                <w:sz w:val="18"/>
                <w:lang w:val="cs-CZ"/>
              </w:rPr>
              <w:t xml:space="preserve">na vodních cestách EU v zóně (zónách) </w:t>
            </w:r>
            <w:r w:rsidRPr="003B6E11">
              <w:rPr>
                <w:noProof/>
                <w:position w:val="6"/>
                <w:sz w:val="16"/>
                <w:lang w:val="cs-CZ"/>
              </w:rPr>
              <w:t xml:space="preserve">*) </w:t>
            </w:r>
            <w:r w:rsidRPr="003B6E11">
              <w:rPr>
                <w:lang w:val="cs-CZ"/>
              </w:rPr>
              <w:tab/>
            </w:r>
          </w:p>
          <w:p w:rsidR="003B6E11" w:rsidRPr="003B6E11" w:rsidRDefault="003B6E11" w:rsidP="002D015D">
            <w:pPr>
              <w:tabs>
                <w:tab w:val="left" w:leader="dot" w:pos="8564"/>
                <w:tab w:val="left" w:leader="dot" w:pos="8789"/>
              </w:tabs>
              <w:overflowPunct w:val="0"/>
              <w:adjustRightInd w:val="0"/>
              <w:ind w:left="342" w:hanging="342"/>
              <w:textAlignment w:val="baseline"/>
              <w:rPr>
                <w:noProof/>
                <w:sz w:val="18"/>
                <w:szCs w:val="20"/>
                <w:lang w:val="cs-CZ"/>
              </w:rPr>
            </w:pPr>
            <w:r w:rsidRPr="003B6E11">
              <w:rPr>
                <w:lang w:val="cs-CZ"/>
              </w:rPr>
              <w:tab/>
            </w:r>
            <w:r w:rsidRPr="003B6E11">
              <w:rPr>
                <w:lang w:val="cs-CZ"/>
              </w:rPr>
              <w:tab/>
            </w:r>
          </w:p>
          <w:p w:rsidR="003B6E11" w:rsidRPr="003B6E11" w:rsidRDefault="003B6E11" w:rsidP="002D015D">
            <w:pPr>
              <w:tabs>
                <w:tab w:val="left" w:leader="dot" w:pos="8564"/>
                <w:tab w:val="left" w:leader="dot" w:pos="8789"/>
              </w:tabs>
              <w:overflowPunct w:val="0"/>
              <w:adjustRightInd w:val="0"/>
              <w:ind w:left="342" w:hanging="342"/>
              <w:textAlignment w:val="baseline"/>
              <w:rPr>
                <w:noProof/>
                <w:sz w:val="18"/>
                <w:lang w:val="cs-CZ"/>
              </w:rPr>
            </w:pPr>
          </w:p>
          <w:p w:rsidR="003B6E11" w:rsidRPr="003B6E11" w:rsidRDefault="003B6E11" w:rsidP="002D015D">
            <w:pPr>
              <w:tabs>
                <w:tab w:val="left" w:leader="dot" w:pos="8564"/>
                <w:tab w:val="left" w:leader="dot" w:pos="8789"/>
              </w:tabs>
              <w:overflowPunct w:val="0"/>
              <w:adjustRightInd w:val="0"/>
              <w:ind w:left="342" w:hanging="342"/>
              <w:textAlignment w:val="baseline"/>
              <w:rPr>
                <w:noProof/>
                <w:sz w:val="18"/>
                <w:lang w:val="cs-CZ"/>
              </w:rPr>
            </w:pPr>
            <w:r w:rsidRPr="003B6E11">
              <w:rPr>
                <w:noProof/>
                <w:sz w:val="18"/>
                <w:lang w:val="cs-CZ"/>
              </w:rPr>
              <w:t>–</w:t>
            </w:r>
            <w:r w:rsidRPr="003B6E11">
              <w:rPr>
                <w:lang w:val="cs-CZ"/>
              </w:rPr>
              <w:tab/>
            </w:r>
            <w:r w:rsidRPr="003B6E11">
              <w:rPr>
                <w:noProof/>
                <w:sz w:val="18"/>
                <w:lang w:val="cs-CZ"/>
              </w:rPr>
              <w:t xml:space="preserve">na vodních cestách v zóně (zónách) </w:t>
            </w:r>
            <w:r w:rsidRPr="003B6E11">
              <w:rPr>
                <w:noProof/>
                <w:position w:val="6"/>
                <w:sz w:val="16"/>
                <w:lang w:val="cs-CZ"/>
              </w:rPr>
              <w:t xml:space="preserve">*) </w:t>
            </w:r>
            <w:r w:rsidRPr="003B6E11">
              <w:rPr>
                <w:lang w:val="cs-CZ"/>
              </w:rPr>
              <w:tab/>
            </w:r>
          </w:p>
          <w:p w:rsidR="003B6E11" w:rsidRPr="003B6E11" w:rsidRDefault="003B6E11" w:rsidP="002D015D">
            <w:pPr>
              <w:tabs>
                <w:tab w:val="right" w:pos="342"/>
                <w:tab w:val="left" w:leader="dot" w:pos="8564"/>
              </w:tabs>
              <w:overflowPunct w:val="0"/>
              <w:adjustRightInd w:val="0"/>
              <w:textAlignment w:val="baseline"/>
              <w:rPr>
                <w:noProof/>
                <w:sz w:val="18"/>
                <w:lang w:val="cs-CZ"/>
              </w:rPr>
            </w:pPr>
            <w:r w:rsidRPr="003B6E11">
              <w:rPr>
                <w:lang w:val="cs-CZ"/>
              </w:rPr>
              <w:tab/>
            </w:r>
            <w:r w:rsidRPr="003B6E11">
              <w:rPr>
                <w:noProof/>
                <w:sz w:val="18"/>
                <w:lang w:val="cs-CZ"/>
              </w:rPr>
              <w:t>.</w:t>
            </w:r>
            <w:r w:rsidRPr="003B6E11">
              <w:rPr>
                <w:lang w:val="cs-CZ"/>
              </w:rPr>
              <w:tab/>
            </w:r>
          </w:p>
          <w:p w:rsidR="003B6E11" w:rsidRPr="003B6E11" w:rsidRDefault="003B6E11" w:rsidP="002D015D">
            <w:pPr>
              <w:tabs>
                <w:tab w:val="left" w:leader="dot" w:pos="8564"/>
                <w:tab w:val="left" w:leader="dot" w:pos="8789"/>
              </w:tabs>
              <w:overflowPunct w:val="0"/>
              <w:adjustRightInd w:val="0"/>
              <w:spacing w:before="120"/>
              <w:textAlignment w:val="baseline"/>
              <w:rPr>
                <w:noProof/>
                <w:sz w:val="18"/>
                <w:lang w:val="cs-CZ"/>
              </w:rPr>
            </w:pPr>
            <w:r w:rsidRPr="003B6E11">
              <w:rPr>
                <w:noProof/>
                <w:sz w:val="18"/>
                <w:lang w:val="cs-CZ"/>
              </w:rPr>
              <w:t xml:space="preserve">v/ve/na [názvy států </w:t>
            </w:r>
            <w:r w:rsidRPr="003B6E11">
              <w:rPr>
                <w:noProof/>
                <w:position w:val="6"/>
                <w:sz w:val="16"/>
                <w:lang w:val="cs-CZ"/>
              </w:rPr>
              <w:t>(*)</w:t>
            </w:r>
            <w:r w:rsidRPr="003B6E11">
              <w:rPr>
                <w:noProof/>
                <w:sz w:val="18"/>
                <w:lang w:val="cs-CZ"/>
              </w:rPr>
              <w:t xml:space="preserve">] </w:t>
            </w:r>
          </w:p>
          <w:p w:rsidR="003B6E11" w:rsidRPr="003B6E11" w:rsidRDefault="003B6E11" w:rsidP="002D015D">
            <w:pPr>
              <w:tabs>
                <w:tab w:val="left" w:leader="dot" w:pos="8564"/>
                <w:tab w:val="left" w:leader="dot" w:pos="8789"/>
              </w:tabs>
              <w:overflowPunct w:val="0"/>
              <w:adjustRightInd w:val="0"/>
              <w:textAlignment w:val="baseline"/>
              <w:rPr>
                <w:noProof/>
                <w:sz w:val="18"/>
                <w:lang w:val="cs-CZ"/>
              </w:rPr>
            </w:pPr>
            <w:r w:rsidRPr="003B6E11">
              <w:rPr>
                <w:lang w:val="cs-CZ"/>
              </w:rPr>
              <w:tab/>
            </w:r>
            <w:r w:rsidRPr="003B6E11">
              <w:rPr>
                <w:noProof/>
                <w:sz w:val="18"/>
                <w:lang w:val="cs-CZ"/>
              </w:rPr>
              <w:br/>
            </w:r>
            <w:r w:rsidRPr="003B6E11">
              <w:rPr>
                <w:lang w:val="cs-CZ"/>
              </w:rPr>
              <w:tab/>
            </w:r>
            <w:r w:rsidRPr="003B6E11">
              <w:rPr>
                <w:noProof/>
                <w:sz w:val="18"/>
                <w:szCs w:val="20"/>
                <w:lang w:val="cs-CZ"/>
              </w:rPr>
              <w:br/>
            </w:r>
            <w:r w:rsidRPr="003B6E11">
              <w:rPr>
                <w:noProof/>
                <w:sz w:val="18"/>
                <w:lang w:val="cs-CZ"/>
              </w:rPr>
              <w:t xml:space="preserve">kromě: </w:t>
            </w:r>
            <w:r w:rsidRPr="003B6E11">
              <w:rPr>
                <w:lang w:val="cs-CZ"/>
              </w:rPr>
              <w:tab/>
            </w:r>
            <w:r w:rsidRPr="003B6E11">
              <w:rPr>
                <w:noProof/>
                <w:sz w:val="18"/>
                <w:szCs w:val="20"/>
                <w:lang w:val="cs-CZ"/>
              </w:rPr>
              <w:br/>
            </w:r>
            <w:r w:rsidRPr="003B6E11">
              <w:rPr>
                <w:lang w:val="cs-CZ"/>
              </w:rPr>
              <w:tab/>
            </w:r>
          </w:p>
          <w:p w:rsidR="003B6E11" w:rsidRPr="003B6E11" w:rsidRDefault="003B6E11" w:rsidP="002D015D">
            <w:pPr>
              <w:tabs>
                <w:tab w:val="left" w:leader="dot" w:pos="8564"/>
                <w:tab w:val="left" w:leader="dot" w:pos="8789"/>
              </w:tabs>
              <w:overflowPunct w:val="0"/>
              <w:adjustRightInd w:val="0"/>
              <w:textAlignment w:val="baseline"/>
              <w:rPr>
                <w:noProof/>
                <w:sz w:val="18"/>
                <w:lang w:val="cs-CZ"/>
              </w:rPr>
            </w:pPr>
            <w:r w:rsidRPr="003B6E11">
              <w:rPr>
                <w:lang w:val="cs-CZ"/>
              </w:rPr>
              <w:tab/>
            </w:r>
          </w:p>
          <w:p w:rsidR="003B6E11" w:rsidRPr="003B6E11" w:rsidRDefault="003B6E11" w:rsidP="002D015D">
            <w:pPr>
              <w:tabs>
                <w:tab w:val="left" w:pos="57"/>
                <w:tab w:val="left" w:pos="345"/>
                <w:tab w:val="left" w:leader="dot" w:pos="8505"/>
              </w:tabs>
              <w:overflowPunct w:val="0"/>
              <w:adjustRightInd w:val="0"/>
              <w:spacing w:before="120" w:after="120"/>
              <w:textAlignment w:val="baseline"/>
              <w:rPr>
                <w:noProof/>
                <w:sz w:val="18"/>
                <w:lang w:val="cs-CZ"/>
              </w:rPr>
            </w:pPr>
            <w:r w:rsidRPr="003B6E11">
              <w:rPr>
                <w:noProof/>
                <w:sz w:val="18"/>
                <w:lang w:val="cs-CZ"/>
              </w:rPr>
              <w:t>–</w:t>
            </w:r>
            <w:r w:rsidRPr="003B6E11">
              <w:rPr>
                <w:lang w:val="cs-CZ"/>
              </w:rPr>
              <w:tab/>
            </w:r>
            <w:r w:rsidRPr="003B6E11">
              <w:rPr>
                <w:noProof/>
                <w:sz w:val="18"/>
                <w:lang w:val="cs-CZ"/>
              </w:rPr>
              <w:t>na těchto vodních cestách v/ve/na [název státu]</w:t>
            </w:r>
            <w:r w:rsidRPr="003B6E11">
              <w:rPr>
                <w:noProof/>
                <w:position w:val="6"/>
                <w:sz w:val="16"/>
                <w:lang w:val="cs-CZ"/>
              </w:rPr>
              <w:t>*)</w:t>
            </w:r>
            <w:r w:rsidRPr="003B6E11">
              <w:rPr>
                <w:noProof/>
                <w:sz w:val="18"/>
                <w:lang w:val="cs-CZ"/>
              </w:rPr>
              <w:t>]</w:t>
            </w:r>
            <w:r w:rsidRPr="003B6E11">
              <w:rPr>
                <w:lang w:val="cs-CZ"/>
              </w:rPr>
              <w:tab/>
            </w:r>
          </w:p>
          <w:p w:rsidR="003B6E11" w:rsidRPr="003B6E11" w:rsidRDefault="003B6E11" w:rsidP="002D015D">
            <w:pPr>
              <w:tabs>
                <w:tab w:val="left" w:leader="dot" w:pos="8505"/>
              </w:tabs>
              <w:overflowPunct w:val="0"/>
              <w:adjustRightInd w:val="0"/>
              <w:spacing w:after="120"/>
              <w:ind w:left="342"/>
              <w:textAlignment w:val="baseline"/>
              <w:rPr>
                <w:rFonts w:cs="Arial"/>
                <w:sz w:val="18"/>
                <w:szCs w:val="20"/>
                <w:lang w:val="cs-CZ"/>
              </w:rPr>
            </w:pPr>
            <w:r w:rsidRPr="003B6E11">
              <w:rPr>
                <w:lang w:val="cs-CZ"/>
              </w:rPr>
              <w:tab/>
            </w:r>
            <w:r w:rsidRPr="003B6E11">
              <w:rPr>
                <w:noProof/>
                <w:sz w:val="18"/>
                <w:szCs w:val="20"/>
                <w:lang w:val="cs-CZ"/>
              </w:rPr>
              <w:br/>
            </w:r>
            <w:r w:rsidRPr="003B6E11">
              <w:rPr>
                <w:lang w:val="cs-CZ"/>
              </w:rPr>
              <w:tab/>
            </w:r>
            <w:r w:rsidRPr="003B6E11">
              <w:rPr>
                <w:noProof/>
                <w:sz w:val="18"/>
                <w:szCs w:val="20"/>
                <w:lang w:val="cs-CZ"/>
              </w:rPr>
              <w:br/>
            </w:r>
            <w:r w:rsidRPr="003B6E11">
              <w:rPr>
                <w:lang w:val="cs-CZ"/>
              </w:rPr>
              <w:tab/>
            </w:r>
          </w:p>
        </w:tc>
      </w:tr>
      <w:tr w:rsidR="003B6E11" w:rsidRPr="003B6E11" w:rsidTr="002D015D">
        <w:trPr>
          <w:cantSplit/>
          <w:jc w:val="center"/>
        </w:trPr>
        <w:tc>
          <w:tcPr>
            <w:tcW w:w="284" w:type="dxa"/>
            <w:tcBorders>
              <w:top w:val="single" w:sz="6" w:space="0" w:color="auto"/>
              <w:left w:val="single" w:sz="6" w:space="0" w:color="auto"/>
              <w:bottom w:val="single" w:sz="6" w:space="0" w:color="auto"/>
            </w:tcBorders>
          </w:tcPr>
          <w:p w:rsidR="003B6E11" w:rsidRPr="003B6E11" w:rsidRDefault="003B6E11" w:rsidP="002D015D">
            <w:pPr>
              <w:tabs>
                <w:tab w:val="left" w:pos="57"/>
                <w:tab w:val="left" w:pos="227"/>
              </w:tabs>
              <w:overflowPunct w:val="0"/>
              <w:adjustRightInd w:val="0"/>
              <w:spacing w:before="100"/>
              <w:textAlignment w:val="baseline"/>
              <w:rPr>
                <w:rFonts w:cs="Arial"/>
                <w:sz w:val="18"/>
                <w:szCs w:val="20"/>
                <w:lang w:val="cs-CZ"/>
              </w:rPr>
            </w:pPr>
            <w:r w:rsidRPr="003B6E11">
              <w:rPr>
                <w:sz w:val="18"/>
                <w:lang w:val="cs-CZ"/>
              </w:rPr>
              <w:t>11.</w:t>
            </w:r>
          </w:p>
        </w:tc>
        <w:tc>
          <w:tcPr>
            <w:tcW w:w="8904" w:type="dxa"/>
            <w:gridSpan w:val="7"/>
            <w:tcBorders>
              <w:top w:val="single" w:sz="6" w:space="0" w:color="auto"/>
              <w:bottom w:val="single" w:sz="6" w:space="0" w:color="auto"/>
              <w:right w:val="single" w:sz="6" w:space="0" w:color="auto"/>
            </w:tcBorders>
          </w:tcPr>
          <w:p w:rsidR="003B6E11" w:rsidRPr="003B6E11" w:rsidRDefault="003B6E11" w:rsidP="002D015D">
            <w:pPr>
              <w:tabs>
                <w:tab w:val="left" w:leader="dot" w:pos="4536"/>
                <w:tab w:val="center" w:pos="6862"/>
              </w:tabs>
              <w:overflowPunct w:val="0"/>
              <w:adjustRightInd w:val="0"/>
              <w:spacing w:before="100" w:after="80"/>
              <w:ind w:left="57" w:right="57"/>
              <w:textAlignment w:val="baseline"/>
              <w:rPr>
                <w:rFonts w:cs="Arial"/>
                <w:sz w:val="18"/>
                <w:szCs w:val="20"/>
                <w:lang w:val="cs-CZ"/>
              </w:rPr>
            </w:pPr>
            <w:r w:rsidRPr="003B6E11">
              <w:rPr>
                <w:sz w:val="18"/>
                <w:lang w:val="cs-CZ"/>
              </w:rPr>
              <w:t xml:space="preserve">Místo, datum </w:t>
            </w:r>
            <w:r w:rsidRPr="003B6E11">
              <w:rPr>
                <w:lang w:val="cs-CZ"/>
              </w:rPr>
              <w:tab/>
            </w:r>
            <w:r w:rsidRPr="003B6E11">
              <w:rPr>
                <w:lang w:val="cs-CZ"/>
              </w:rPr>
              <w:tab/>
            </w:r>
            <w:r w:rsidRPr="003B6E11">
              <w:rPr>
                <w:sz w:val="18"/>
                <w:lang w:val="cs-CZ"/>
              </w:rPr>
              <w:t>Subjekt pověřený prohlídkami</w:t>
            </w:r>
          </w:p>
          <w:p w:rsidR="003B6E11" w:rsidRPr="003B6E11" w:rsidRDefault="003B6E11" w:rsidP="002D015D">
            <w:pPr>
              <w:tabs>
                <w:tab w:val="left" w:pos="5103"/>
                <w:tab w:val="left" w:leader="dot" w:pos="8505"/>
              </w:tabs>
              <w:overflowPunct w:val="0"/>
              <w:adjustRightInd w:val="0"/>
              <w:textAlignment w:val="baseline"/>
              <w:rPr>
                <w:rFonts w:cs="Arial"/>
                <w:sz w:val="18"/>
                <w:szCs w:val="20"/>
                <w:lang w:val="cs-CZ"/>
              </w:rPr>
            </w:pPr>
            <w:r w:rsidRPr="003B6E11">
              <w:rPr>
                <w:lang w:val="cs-CZ"/>
              </w:rPr>
              <w:tab/>
            </w:r>
            <w:r w:rsidRPr="003B6E11">
              <w:rPr>
                <w:lang w:val="cs-CZ"/>
              </w:rPr>
              <w:tab/>
            </w:r>
          </w:p>
          <w:p w:rsidR="003B6E11" w:rsidRPr="003B6E11" w:rsidRDefault="003B6E11" w:rsidP="002D015D">
            <w:pPr>
              <w:tabs>
                <w:tab w:val="center" w:pos="1701"/>
              </w:tabs>
              <w:overflowPunct w:val="0"/>
              <w:adjustRightInd w:val="0"/>
              <w:spacing w:after="80"/>
              <w:textAlignment w:val="baseline"/>
              <w:rPr>
                <w:rFonts w:cs="Arial"/>
                <w:sz w:val="18"/>
                <w:szCs w:val="20"/>
                <w:lang w:val="cs-CZ"/>
              </w:rPr>
            </w:pPr>
            <w:r w:rsidRPr="003B6E11">
              <w:rPr>
                <w:lang w:val="cs-CZ"/>
              </w:rPr>
              <w:tab/>
            </w:r>
            <w:r w:rsidRPr="003B6E11">
              <w:rPr>
                <w:sz w:val="18"/>
                <w:lang w:val="cs-CZ"/>
              </w:rPr>
              <w:t>Razítko</w:t>
            </w:r>
          </w:p>
          <w:p w:rsidR="003B6E11" w:rsidRPr="003B6E11" w:rsidRDefault="003B6E11" w:rsidP="002D015D">
            <w:pPr>
              <w:tabs>
                <w:tab w:val="left" w:pos="5103"/>
                <w:tab w:val="left" w:leader="dot" w:pos="8505"/>
              </w:tabs>
              <w:overflowPunct w:val="0"/>
              <w:adjustRightInd w:val="0"/>
              <w:textAlignment w:val="baseline"/>
              <w:rPr>
                <w:rFonts w:cs="Arial"/>
                <w:szCs w:val="20"/>
                <w:lang w:val="cs-CZ"/>
              </w:rPr>
            </w:pPr>
            <w:r w:rsidRPr="003B6E11">
              <w:rPr>
                <w:lang w:val="cs-CZ"/>
              </w:rPr>
              <w:tab/>
            </w:r>
            <w:r w:rsidRPr="003B6E11">
              <w:rPr>
                <w:lang w:val="cs-CZ"/>
              </w:rPr>
              <w:tab/>
            </w:r>
          </w:p>
          <w:p w:rsidR="003B6E11" w:rsidRPr="003B6E11" w:rsidRDefault="003B6E11" w:rsidP="002D015D">
            <w:pPr>
              <w:tabs>
                <w:tab w:val="center" w:pos="6862"/>
              </w:tabs>
              <w:overflowPunct w:val="0"/>
              <w:adjustRightInd w:val="0"/>
              <w:textAlignment w:val="baseline"/>
              <w:rPr>
                <w:rFonts w:cs="Arial"/>
                <w:sz w:val="16"/>
                <w:szCs w:val="20"/>
                <w:lang w:val="cs-CZ"/>
              </w:rPr>
            </w:pPr>
            <w:r w:rsidRPr="003B6E11">
              <w:rPr>
                <w:lang w:val="cs-CZ"/>
              </w:rPr>
              <w:tab/>
            </w:r>
            <w:r w:rsidRPr="003B6E11">
              <w:rPr>
                <w:sz w:val="16"/>
                <w:lang w:val="cs-CZ"/>
              </w:rPr>
              <w:t>(podpis)</w:t>
            </w:r>
          </w:p>
          <w:p w:rsidR="003B6E11" w:rsidRPr="003B6E11" w:rsidRDefault="003B6E11" w:rsidP="002D015D">
            <w:pPr>
              <w:tabs>
                <w:tab w:val="left" w:pos="113"/>
                <w:tab w:val="left" w:pos="397"/>
                <w:tab w:val="left" w:pos="6237"/>
                <w:tab w:val="left" w:leader="dot" w:pos="9356"/>
              </w:tabs>
              <w:overflowPunct w:val="0"/>
              <w:adjustRightInd w:val="0"/>
              <w:textAlignment w:val="baseline"/>
              <w:rPr>
                <w:rFonts w:cs="Arial"/>
                <w:sz w:val="16"/>
                <w:szCs w:val="20"/>
                <w:lang w:val="cs-CZ"/>
              </w:rPr>
            </w:pPr>
            <w:r w:rsidRPr="003B6E11">
              <w:rPr>
                <w:sz w:val="18"/>
                <w:lang w:val="cs-CZ"/>
              </w:rPr>
              <w:t>_______________________</w:t>
            </w:r>
          </w:p>
          <w:p w:rsidR="003B6E11" w:rsidRPr="003B6E11" w:rsidRDefault="003B6E11" w:rsidP="002D015D">
            <w:pPr>
              <w:tabs>
                <w:tab w:val="left" w:pos="284"/>
              </w:tabs>
              <w:overflowPunct w:val="0"/>
              <w:adjustRightInd w:val="0"/>
              <w:spacing w:before="80"/>
              <w:textAlignment w:val="baseline"/>
              <w:rPr>
                <w:rFonts w:cs="Arial"/>
                <w:sz w:val="18"/>
                <w:szCs w:val="20"/>
                <w:lang w:val="cs-CZ"/>
              </w:rPr>
            </w:pPr>
            <w:r w:rsidRPr="003B6E11">
              <w:rPr>
                <w:position w:val="4"/>
                <w:sz w:val="16"/>
                <w:lang w:val="cs-CZ"/>
              </w:rPr>
              <w:t>*)</w:t>
            </w:r>
            <w:r w:rsidRPr="003B6E11">
              <w:rPr>
                <w:lang w:val="cs-CZ"/>
              </w:rPr>
              <w:tab/>
            </w:r>
            <w:r w:rsidRPr="003B6E11">
              <w:rPr>
                <w:sz w:val="16"/>
                <w:lang w:val="cs-CZ"/>
              </w:rPr>
              <w:t>Nehodící se škrtněte.</w:t>
            </w:r>
          </w:p>
        </w:tc>
      </w:tr>
    </w:tbl>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spacing w:line="240" w:lineRule="atLeast"/>
        <w:ind w:left="567" w:hanging="567"/>
        <w:rPr>
          <w:noProof/>
          <w:lang w:val="cs-CZ"/>
        </w:rPr>
      </w:pPr>
      <w:r w:rsidRPr="003B6E11">
        <w:rPr>
          <w:lang w:val="cs-CZ"/>
        </w:rPr>
        <w:br w:type="page"/>
      </w:r>
    </w:p>
    <w:p w:rsidR="003B6E11" w:rsidRPr="003B6E11" w:rsidRDefault="003B6E11" w:rsidP="003B6E11">
      <w:pPr>
        <w:pStyle w:val="ES-Titre3"/>
        <w:rPr>
          <w:noProof/>
          <w:lang w:val="cs-CZ"/>
        </w:rPr>
      </w:pPr>
      <w:bookmarkStart w:id="614" w:name="_Toc491854299"/>
      <w:bookmarkStart w:id="615" w:name="_Toc535417205"/>
      <w:r w:rsidRPr="003B6E11">
        <w:rPr>
          <w:lang w:val="cs-CZ"/>
        </w:rPr>
        <w:t>Oddíl III</w:t>
      </w:r>
      <w:bookmarkEnd w:id="614"/>
      <w:bookmarkEnd w:id="615"/>
    </w:p>
    <w:p w:rsidR="003B6E11" w:rsidRPr="003B6E11" w:rsidRDefault="003B6E11" w:rsidP="003B6E11">
      <w:pPr>
        <w:pStyle w:val="ES-Titre3a"/>
        <w:rPr>
          <w:noProof/>
          <w:lang w:val="cs-CZ"/>
        </w:rPr>
      </w:pPr>
      <w:bookmarkStart w:id="616" w:name="_Toc491854300"/>
      <w:bookmarkStart w:id="617" w:name="_Toc535417206"/>
      <w:r w:rsidRPr="003B6E11">
        <w:rPr>
          <w:lang w:val="cs-CZ"/>
        </w:rPr>
        <w:t>Vzor dodatečného osvědčení Unie pro plavidlo vnitrozemské plavby</w:t>
      </w:r>
      <w:bookmarkEnd w:id="616"/>
      <w:bookmarkEnd w:id="617"/>
    </w:p>
    <w:p w:rsidR="003B6E11" w:rsidRPr="003B6E11" w:rsidRDefault="003B6E11" w:rsidP="003B6E11">
      <w:pPr>
        <w:widowControl w:val="0"/>
        <w:spacing w:line="240" w:lineRule="atLeast"/>
        <w:jc w:val="center"/>
        <w:rPr>
          <w:noProof/>
          <w:szCs w:val="20"/>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3B6E11" w:rsidRPr="003B6E11" w:rsidTr="002D015D">
        <w:tc>
          <w:tcPr>
            <w:tcW w:w="9286" w:type="dxa"/>
            <w:vAlign w:val="center"/>
          </w:tcPr>
          <w:p w:rsidR="003B6E11" w:rsidRPr="003B6E11" w:rsidRDefault="003B6E11" w:rsidP="002D015D">
            <w:pPr>
              <w:widowControl w:val="0"/>
              <w:tabs>
                <w:tab w:val="left" w:leader="dot" w:pos="7655"/>
              </w:tabs>
              <w:spacing w:before="80" w:after="80" w:line="240" w:lineRule="atLeast"/>
              <w:rPr>
                <w:noProof/>
                <w:szCs w:val="20"/>
                <w:lang w:val="cs-CZ"/>
              </w:rPr>
            </w:pPr>
            <w:r w:rsidRPr="003B6E11">
              <w:rPr>
                <w:lang w:val="cs-CZ"/>
              </w:rPr>
              <w:t xml:space="preserve">Příloha osvědčení plavidla vnitrozemské plavby č. </w:t>
            </w:r>
            <w:r w:rsidRPr="003B6E11">
              <w:rPr>
                <w:lang w:val="cs-CZ"/>
              </w:rPr>
              <w:tab/>
            </w:r>
          </w:p>
        </w:tc>
      </w:tr>
      <w:tr w:rsidR="003B6E11" w:rsidRPr="003B6E11" w:rsidTr="002D015D">
        <w:tc>
          <w:tcPr>
            <w:tcW w:w="9286" w:type="dxa"/>
          </w:tcPr>
          <w:p w:rsidR="003B6E11" w:rsidRPr="003B6E11" w:rsidRDefault="003B6E11" w:rsidP="002D015D">
            <w:pPr>
              <w:widowControl w:val="0"/>
              <w:spacing w:before="120" w:line="240" w:lineRule="atLeast"/>
              <w:jc w:val="center"/>
              <w:rPr>
                <w:b/>
                <w:noProof/>
                <w:szCs w:val="20"/>
                <w:lang w:val="cs-CZ"/>
              </w:rPr>
            </w:pPr>
            <w:r w:rsidRPr="003B6E11">
              <w:rPr>
                <w:b/>
                <w:noProof/>
                <w:lang w:val="cs-CZ"/>
              </w:rPr>
              <w:t>Dodatečné osvědčení Unie pro plavidla vnitrozemské plavby</w:t>
            </w:r>
          </w:p>
          <w:p w:rsidR="003B6E11" w:rsidRPr="003B6E11" w:rsidRDefault="003B6E11" w:rsidP="002D015D">
            <w:pPr>
              <w:widowControl w:val="0"/>
              <w:spacing w:line="240" w:lineRule="atLeast"/>
              <w:jc w:val="center"/>
              <w:rPr>
                <w:noProof/>
                <w:szCs w:val="20"/>
                <w:lang w:val="cs-CZ"/>
              </w:rPr>
            </w:pPr>
          </w:p>
          <w:p w:rsidR="003B6E11" w:rsidRPr="003B6E11" w:rsidRDefault="003B6E11" w:rsidP="002D015D">
            <w:pPr>
              <w:widowControl w:val="0"/>
              <w:spacing w:line="240" w:lineRule="atLeast"/>
              <w:jc w:val="center"/>
              <w:rPr>
                <w:noProof/>
                <w:szCs w:val="20"/>
                <w:lang w:val="cs-CZ"/>
              </w:rPr>
            </w:pPr>
          </w:p>
          <w:p w:rsidR="003B6E11" w:rsidRPr="003B6E11" w:rsidRDefault="003B6E11" w:rsidP="002D015D">
            <w:pPr>
              <w:widowControl w:val="0"/>
              <w:spacing w:line="240" w:lineRule="atLeast"/>
              <w:jc w:val="center"/>
              <w:rPr>
                <w:b/>
                <w:noProof/>
                <w:szCs w:val="20"/>
                <w:lang w:val="cs-CZ"/>
              </w:rPr>
            </w:pPr>
            <w:r w:rsidRPr="003B6E11">
              <w:rPr>
                <w:b/>
                <w:noProof/>
                <w:lang w:val="cs-CZ"/>
              </w:rPr>
              <w:t>Název státu / pečeť</w:t>
            </w:r>
          </w:p>
          <w:p w:rsidR="003B6E11" w:rsidRPr="003B6E11" w:rsidRDefault="003B6E11" w:rsidP="002D015D">
            <w:pPr>
              <w:widowControl w:val="0"/>
              <w:spacing w:line="240" w:lineRule="atLeast"/>
              <w:jc w:val="center"/>
              <w:rPr>
                <w:noProof/>
                <w:szCs w:val="20"/>
                <w:lang w:val="cs-CZ"/>
              </w:rPr>
            </w:pPr>
          </w:p>
          <w:p w:rsidR="003B6E11" w:rsidRPr="003B6E11" w:rsidRDefault="003B6E11" w:rsidP="002D015D">
            <w:pPr>
              <w:widowControl w:val="0"/>
              <w:spacing w:line="240" w:lineRule="atLeast"/>
              <w:jc w:val="center"/>
              <w:rPr>
                <w:noProof/>
                <w:szCs w:val="20"/>
                <w:lang w:val="cs-CZ"/>
              </w:rPr>
            </w:pPr>
          </w:p>
          <w:p w:rsidR="003B6E11" w:rsidRPr="003B6E11" w:rsidRDefault="003B6E11" w:rsidP="002D015D">
            <w:pPr>
              <w:widowControl w:val="0"/>
              <w:spacing w:line="240" w:lineRule="atLeast"/>
              <w:jc w:val="center"/>
              <w:rPr>
                <w:noProof/>
                <w:szCs w:val="20"/>
                <w:lang w:val="cs-CZ"/>
              </w:rPr>
            </w:pPr>
            <w:r w:rsidRPr="003B6E11">
              <w:rPr>
                <w:lang w:val="cs-CZ"/>
              </w:rPr>
              <w:t>Název a adresa příslušného orgánu vystavujícího dodatečné osvědčení</w:t>
            </w:r>
          </w:p>
          <w:p w:rsidR="003B6E11" w:rsidRPr="003B6E11" w:rsidRDefault="003B6E11" w:rsidP="002D015D">
            <w:pPr>
              <w:widowControl w:val="0"/>
              <w:spacing w:line="240" w:lineRule="atLeast"/>
              <w:jc w:val="center"/>
              <w:rPr>
                <w:noProof/>
                <w:lang w:val="cs-CZ"/>
              </w:rPr>
            </w:pPr>
          </w:p>
          <w:p w:rsidR="003B6E11" w:rsidRPr="003B6E11" w:rsidRDefault="003B6E11" w:rsidP="002D015D">
            <w:pPr>
              <w:widowControl w:val="0"/>
              <w:tabs>
                <w:tab w:val="left" w:pos="851"/>
                <w:tab w:val="right" w:leader="dot" w:pos="8931"/>
              </w:tabs>
              <w:spacing w:line="360" w:lineRule="auto"/>
              <w:rPr>
                <w:noProof/>
                <w:szCs w:val="20"/>
                <w:lang w:val="cs-CZ"/>
              </w:rPr>
            </w:pPr>
            <w:r w:rsidRPr="003B6E11">
              <w:rPr>
                <w:lang w:val="cs-CZ"/>
              </w:rPr>
              <w:t>1.</w:t>
            </w:r>
            <w:r w:rsidRPr="003B6E11">
              <w:rPr>
                <w:lang w:val="cs-CZ"/>
              </w:rPr>
              <w:tab/>
              <w:t xml:space="preserve">Jméno plavidla </w:t>
            </w:r>
            <w:r w:rsidRPr="003B6E11">
              <w:rPr>
                <w:lang w:val="cs-CZ"/>
              </w:rPr>
              <w:tab/>
            </w:r>
          </w:p>
          <w:p w:rsidR="003B6E11" w:rsidRPr="003B6E11" w:rsidRDefault="003B6E11" w:rsidP="002D015D">
            <w:pPr>
              <w:widowControl w:val="0"/>
              <w:tabs>
                <w:tab w:val="left" w:pos="851"/>
                <w:tab w:val="right" w:leader="dot" w:pos="8931"/>
              </w:tabs>
              <w:spacing w:line="360" w:lineRule="auto"/>
              <w:rPr>
                <w:noProof/>
                <w:lang w:val="cs-CZ"/>
              </w:rPr>
            </w:pPr>
            <w:r w:rsidRPr="003B6E11">
              <w:rPr>
                <w:lang w:val="cs-CZ"/>
              </w:rPr>
              <w:t>2.</w:t>
            </w:r>
            <w:r w:rsidRPr="003B6E11">
              <w:rPr>
                <w:lang w:val="cs-CZ"/>
              </w:rPr>
              <w:tab/>
              <w:t xml:space="preserve">Jednotné evropské identifikační číslo plavidla: </w:t>
            </w:r>
            <w:r w:rsidRPr="003B6E11">
              <w:rPr>
                <w:lang w:val="cs-CZ"/>
              </w:rPr>
              <w:tab/>
            </w:r>
          </w:p>
          <w:p w:rsidR="003B6E11" w:rsidRPr="003B6E11" w:rsidRDefault="003B6E11" w:rsidP="002D015D">
            <w:pPr>
              <w:widowControl w:val="0"/>
              <w:tabs>
                <w:tab w:val="left" w:pos="851"/>
                <w:tab w:val="right" w:leader="dot" w:pos="8931"/>
              </w:tabs>
              <w:spacing w:line="360" w:lineRule="auto"/>
              <w:rPr>
                <w:noProof/>
                <w:lang w:val="cs-CZ"/>
              </w:rPr>
            </w:pPr>
            <w:r w:rsidRPr="003B6E11">
              <w:rPr>
                <w:lang w:val="cs-CZ"/>
              </w:rPr>
              <w:t>3.</w:t>
            </w:r>
            <w:r w:rsidRPr="003B6E11">
              <w:rPr>
                <w:lang w:val="cs-CZ"/>
              </w:rPr>
              <w:tab/>
              <w:t xml:space="preserve">Místo registrace a rejstříkové číslo: </w:t>
            </w:r>
            <w:r w:rsidRPr="003B6E11">
              <w:rPr>
                <w:lang w:val="cs-CZ"/>
              </w:rPr>
              <w:tab/>
            </w:r>
          </w:p>
          <w:p w:rsidR="003B6E11" w:rsidRPr="003B6E11" w:rsidRDefault="003B6E11" w:rsidP="002D015D">
            <w:pPr>
              <w:widowControl w:val="0"/>
              <w:tabs>
                <w:tab w:val="left" w:pos="851"/>
                <w:tab w:val="right" w:leader="dot" w:pos="8931"/>
              </w:tabs>
              <w:spacing w:line="360" w:lineRule="auto"/>
              <w:rPr>
                <w:noProof/>
                <w:szCs w:val="20"/>
                <w:lang w:val="cs-CZ"/>
              </w:rPr>
            </w:pPr>
            <w:r w:rsidRPr="003B6E11">
              <w:rPr>
                <w:lang w:val="cs-CZ"/>
              </w:rPr>
              <w:t>4.</w:t>
            </w:r>
            <w:r w:rsidRPr="003B6E11">
              <w:rPr>
                <w:lang w:val="cs-CZ"/>
              </w:rPr>
              <w:tab/>
              <w:t xml:space="preserve">Země registrace a/nebo domovský přístav: </w:t>
            </w:r>
            <w:r w:rsidRPr="003B6E11">
              <w:rPr>
                <w:noProof/>
                <w:vertAlign w:val="superscript"/>
                <w:lang w:val="cs-CZ"/>
              </w:rPr>
              <w:t xml:space="preserve">1) </w:t>
            </w:r>
            <w:r w:rsidRPr="003B6E11">
              <w:rPr>
                <w:lang w:val="cs-CZ"/>
              </w:rPr>
              <w:tab/>
            </w:r>
          </w:p>
          <w:p w:rsidR="003B6E11" w:rsidRPr="003B6E11" w:rsidRDefault="003B6E11" w:rsidP="002D015D">
            <w:pPr>
              <w:widowControl w:val="0"/>
              <w:tabs>
                <w:tab w:val="left" w:pos="851"/>
                <w:tab w:val="right" w:leader="dot" w:pos="7230"/>
              </w:tabs>
              <w:spacing w:line="360" w:lineRule="auto"/>
              <w:rPr>
                <w:noProof/>
                <w:szCs w:val="20"/>
                <w:lang w:val="cs-CZ"/>
              </w:rPr>
            </w:pPr>
            <w:r w:rsidRPr="003B6E11">
              <w:rPr>
                <w:lang w:val="cs-CZ"/>
              </w:rPr>
              <w:t>5.</w:t>
            </w:r>
            <w:r w:rsidRPr="003B6E11">
              <w:rPr>
                <w:lang w:val="cs-CZ"/>
              </w:rPr>
              <w:tab/>
              <w:t xml:space="preserve">S ohledem na osvědčení plavidla vnitrozemské plavby č. </w:t>
            </w:r>
            <w:r w:rsidRPr="003B6E11">
              <w:rPr>
                <w:lang w:val="cs-CZ"/>
              </w:rPr>
              <w:tab/>
            </w:r>
          </w:p>
          <w:p w:rsidR="003B6E11" w:rsidRPr="003B6E11" w:rsidRDefault="003B6E11" w:rsidP="002D015D">
            <w:pPr>
              <w:widowControl w:val="0"/>
              <w:tabs>
                <w:tab w:val="left" w:pos="851"/>
                <w:tab w:val="right" w:leader="dot" w:pos="8931"/>
              </w:tabs>
              <w:spacing w:line="360" w:lineRule="auto"/>
              <w:ind w:firstLine="1"/>
              <w:rPr>
                <w:noProof/>
                <w:szCs w:val="20"/>
                <w:lang w:val="cs-CZ"/>
              </w:rPr>
            </w:pPr>
            <w:r w:rsidRPr="003B6E11">
              <w:rPr>
                <w:lang w:val="cs-CZ"/>
              </w:rPr>
              <w:t xml:space="preserve">ze dne …………….………………….. platného do </w:t>
            </w:r>
            <w:r w:rsidRPr="003B6E11">
              <w:rPr>
                <w:lang w:val="cs-CZ"/>
              </w:rPr>
              <w:tab/>
            </w:r>
          </w:p>
          <w:p w:rsidR="003B6E11" w:rsidRPr="003B6E11" w:rsidRDefault="003B6E11" w:rsidP="002D015D">
            <w:pPr>
              <w:widowControl w:val="0"/>
              <w:tabs>
                <w:tab w:val="left" w:pos="851"/>
                <w:tab w:val="right" w:leader="dot" w:pos="8931"/>
              </w:tabs>
              <w:spacing w:line="360" w:lineRule="auto"/>
              <w:rPr>
                <w:noProof/>
                <w:szCs w:val="20"/>
                <w:lang w:val="cs-CZ"/>
              </w:rPr>
            </w:pPr>
            <w:r w:rsidRPr="003B6E11">
              <w:rPr>
                <w:lang w:val="cs-CZ"/>
              </w:rPr>
              <w:t>6.</w:t>
            </w:r>
            <w:r w:rsidRPr="003B6E11">
              <w:rPr>
                <w:lang w:val="cs-CZ"/>
              </w:rPr>
              <w:tab/>
              <w:t xml:space="preserve">S ohledem na výsledek prohlídky </w:t>
            </w:r>
            <w:r w:rsidRPr="003B6E11">
              <w:rPr>
                <w:lang w:val="cs-CZ"/>
              </w:rPr>
              <w:tab/>
            </w:r>
          </w:p>
          <w:p w:rsidR="003B6E11" w:rsidRPr="003B6E11" w:rsidRDefault="003B6E11" w:rsidP="002D015D">
            <w:pPr>
              <w:widowControl w:val="0"/>
              <w:tabs>
                <w:tab w:val="left" w:leader="dot" w:pos="3686"/>
                <w:tab w:val="left" w:pos="3969"/>
                <w:tab w:val="right" w:leader="dot" w:pos="8931"/>
              </w:tabs>
              <w:spacing w:line="360" w:lineRule="auto"/>
              <w:rPr>
                <w:noProof/>
                <w:szCs w:val="20"/>
                <w:lang w:val="cs-CZ"/>
              </w:rPr>
            </w:pPr>
            <w:r w:rsidRPr="003B6E11">
              <w:rPr>
                <w:lang w:val="cs-CZ"/>
              </w:rPr>
              <w:tab/>
            </w:r>
            <w:r w:rsidRPr="003B6E11">
              <w:rPr>
                <w:lang w:val="cs-CZ"/>
              </w:rPr>
              <w:tab/>
              <w:t xml:space="preserve">ze dne </w:t>
            </w:r>
            <w:r w:rsidRPr="003B6E11">
              <w:rPr>
                <w:lang w:val="cs-CZ"/>
              </w:rPr>
              <w:tab/>
            </w:r>
          </w:p>
          <w:p w:rsidR="003B6E11" w:rsidRPr="003B6E11" w:rsidRDefault="003B6E11" w:rsidP="002D015D">
            <w:pPr>
              <w:widowControl w:val="0"/>
              <w:tabs>
                <w:tab w:val="left" w:pos="851"/>
                <w:tab w:val="right" w:leader="dot" w:pos="8789"/>
              </w:tabs>
              <w:spacing w:line="360" w:lineRule="auto"/>
              <w:rPr>
                <w:noProof/>
                <w:szCs w:val="20"/>
                <w:lang w:val="cs-CZ"/>
              </w:rPr>
            </w:pPr>
            <w:r w:rsidRPr="003B6E11">
              <w:rPr>
                <w:lang w:val="cs-CZ"/>
              </w:rPr>
              <w:t>7.</w:t>
            </w:r>
            <w:r w:rsidRPr="003B6E11">
              <w:rPr>
                <w:lang w:val="cs-CZ"/>
              </w:rPr>
              <w:tab/>
              <w:t>Výše uvedené plavidlo se považuje za způsobilé k provozu na vodních cestách EU v zóně (zónách)</w:t>
            </w:r>
          </w:p>
          <w:p w:rsidR="003B6E11" w:rsidRPr="003B6E11" w:rsidRDefault="003B6E11" w:rsidP="002D015D">
            <w:pPr>
              <w:widowControl w:val="0"/>
              <w:tabs>
                <w:tab w:val="left" w:pos="426"/>
                <w:tab w:val="right" w:leader="dot" w:pos="8931"/>
              </w:tabs>
              <w:spacing w:line="360" w:lineRule="auto"/>
              <w:ind w:firstLine="1"/>
              <w:rPr>
                <w:noProof/>
                <w:lang w:val="cs-CZ"/>
              </w:rPr>
            </w:pPr>
            <w:r w:rsidRPr="003B6E11">
              <w:rPr>
                <w:lang w:val="cs-CZ"/>
              </w:rPr>
              <w:tab/>
            </w:r>
          </w:p>
          <w:p w:rsidR="003B6E11" w:rsidRPr="003B6E11" w:rsidRDefault="003B6E11" w:rsidP="002D015D">
            <w:pPr>
              <w:widowControl w:val="0"/>
              <w:tabs>
                <w:tab w:val="left" w:pos="426"/>
                <w:tab w:val="right" w:leader="dot" w:pos="8931"/>
              </w:tabs>
              <w:spacing w:line="360" w:lineRule="auto"/>
              <w:rPr>
                <w:noProof/>
                <w:szCs w:val="20"/>
                <w:lang w:val="cs-CZ"/>
              </w:rPr>
            </w:pPr>
            <w:r w:rsidRPr="003B6E11">
              <w:rPr>
                <w:lang w:val="cs-CZ"/>
              </w:rPr>
              <w:t>8.</w:t>
            </w:r>
            <w:r w:rsidRPr="003B6E11">
              <w:rPr>
                <w:lang w:val="cs-CZ"/>
              </w:rPr>
              <w:tab/>
              <w:t xml:space="preserve">Platnost tohoto dodatečného osvědčení končí dne </w:t>
            </w:r>
            <w:r w:rsidRPr="003B6E11">
              <w:rPr>
                <w:lang w:val="cs-CZ"/>
              </w:rPr>
              <w:tab/>
            </w:r>
          </w:p>
          <w:p w:rsidR="003B6E11" w:rsidRPr="003B6E11" w:rsidRDefault="003B6E11" w:rsidP="002D015D">
            <w:pPr>
              <w:widowControl w:val="0"/>
              <w:tabs>
                <w:tab w:val="left" w:pos="851"/>
                <w:tab w:val="left" w:leader="dot" w:pos="3969"/>
                <w:tab w:val="right" w:leader="dot" w:pos="8931"/>
              </w:tabs>
              <w:spacing w:line="360" w:lineRule="auto"/>
              <w:rPr>
                <w:noProof/>
                <w:szCs w:val="20"/>
                <w:lang w:val="cs-CZ"/>
              </w:rPr>
            </w:pPr>
            <w:r w:rsidRPr="003B6E11">
              <w:rPr>
                <w:lang w:val="cs-CZ"/>
              </w:rPr>
              <w:t>9.</w:t>
            </w:r>
            <w:r w:rsidRPr="003B6E11">
              <w:rPr>
                <w:lang w:val="cs-CZ"/>
              </w:rPr>
              <w:tab/>
              <w:t xml:space="preserve">Vydáno v </w:t>
            </w:r>
            <w:r w:rsidRPr="003B6E11">
              <w:rPr>
                <w:lang w:val="cs-CZ"/>
              </w:rPr>
              <w:tab/>
              <w:t xml:space="preserve">, dne </w:t>
            </w:r>
            <w:r w:rsidRPr="003B6E11">
              <w:rPr>
                <w:lang w:val="cs-CZ"/>
              </w:rPr>
              <w:tab/>
            </w:r>
          </w:p>
          <w:p w:rsidR="003B6E11" w:rsidRPr="003B6E11" w:rsidRDefault="003B6E11" w:rsidP="002D015D">
            <w:pPr>
              <w:widowControl w:val="0"/>
              <w:tabs>
                <w:tab w:val="left" w:pos="5954"/>
                <w:tab w:val="left" w:leader="dot" w:pos="8789"/>
              </w:tabs>
              <w:spacing w:line="360" w:lineRule="auto"/>
              <w:rPr>
                <w:lang w:val="cs-CZ"/>
              </w:rPr>
            </w:pPr>
            <w:r w:rsidRPr="003B6E11">
              <w:rPr>
                <w:lang w:val="cs-CZ"/>
              </w:rPr>
              <w:t>10.</w:t>
            </w:r>
          </w:p>
          <w:p w:rsidR="003B6E11" w:rsidRPr="003B6E11" w:rsidRDefault="003B6E11" w:rsidP="002D015D">
            <w:pPr>
              <w:widowControl w:val="0"/>
              <w:tabs>
                <w:tab w:val="center" w:pos="6804"/>
                <w:tab w:val="left" w:leader="dot" w:pos="8789"/>
              </w:tabs>
              <w:spacing w:line="360" w:lineRule="auto"/>
              <w:rPr>
                <w:noProof/>
                <w:szCs w:val="20"/>
                <w:lang w:val="cs-CZ"/>
              </w:rPr>
            </w:pPr>
            <w:r w:rsidRPr="003B6E11">
              <w:rPr>
                <w:lang w:val="cs-CZ"/>
              </w:rPr>
              <w:tab/>
              <w:t>…………………………………….</w:t>
            </w:r>
          </w:p>
          <w:p w:rsidR="003B6E11" w:rsidRPr="003B6E11" w:rsidRDefault="003B6E11" w:rsidP="002D015D">
            <w:pPr>
              <w:widowControl w:val="0"/>
              <w:tabs>
                <w:tab w:val="center" w:pos="6804"/>
                <w:tab w:val="left" w:leader="dot" w:pos="8789"/>
              </w:tabs>
              <w:spacing w:after="240" w:line="360" w:lineRule="auto"/>
              <w:rPr>
                <w:noProof/>
                <w:lang w:val="cs-CZ"/>
              </w:rPr>
            </w:pPr>
            <w:r w:rsidRPr="003B6E11">
              <w:rPr>
                <w:lang w:val="cs-CZ"/>
              </w:rPr>
              <w:tab/>
              <w:t>(subjekt pověřený prohlídkami)</w:t>
            </w:r>
          </w:p>
          <w:p w:rsidR="003B6E11" w:rsidRPr="003B6E11" w:rsidRDefault="003B6E11" w:rsidP="002D015D">
            <w:pPr>
              <w:widowControl w:val="0"/>
              <w:tabs>
                <w:tab w:val="center" w:pos="6804"/>
                <w:tab w:val="left" w:leader="dot" w:pos="8789"/>
              </w:tabs>
              <w:spacing w:line="240" w:lineRule="atLeast"/>
              <w:ind w:left="1134"/>
              <w:rPr>
                <w:noProof/>
                <w:szCs w:val="20"/>
                <w:lang w:val="cs-CZ"/>
              </w:rPr>
            </w:pPr>
            <w:r w:rsidRPr="003B6E11">
              <w:rPr>
                <w:lang w:val="cs-CZ"/>
              </w:rPr>
              <w:t>Razítko</w:t>
            </w:r>
          </w:p>
          <w:p w:rsidR="003B6E11" w:rsidRPr="003B6E11" w:rsidRDefault="003B6E11" w:rsidP="002D015D">
            <w:pPr>
              <w:widowControl w:val="0"/>
              <w:tabs>
                <w:tab w:val="center" w:pos="6804"/>
                <w:tab w:val="left" w:leader="dot" w:pos="8789"/>
              </w:tabs>
              <w:spacing w:line="360" w:lineRule="auto"/>
              <w:rPr>
                <w:noProof/>
                <w:szCs w:val="20"/>
                <w:lang w:val="cs-CZ"/>
              </w:rPr>
            </w:pPr>
            <w:r w:rsidRPr="003B6E11">
              <w:rPr>
                <w:lang w:val="cs-CZ"/>
              </w:rPr>
              <w:tab/>
              <w:t>…………………………………….</w:t>
            </w:r>
          </w:p>
          <w:p w:rsidR="003B6E11" w:rsidRPr="003B6E11" w:rsidRDefault="003B6E11" w:rsidP="002D015D">
            <w:pPr>
              <w:widowControl w:val="0"/>
              <w:tabs>
                <w:tab w:val="center" w:pos="6804"/>
                <w:tab w:val="left" w:leader="dot" w:pos="8789"/>
              </w:tabs>
              <w:spacing w:after="240" w:line="360" w:lineRule="auto"/>
              <w:rPr>
                <w:noProof/>
                <w:sz w:val="16"/>
                <w:szCs w:val="20"/>
                <w:lang w:val="cs-CZ"/>
              </w:rPr>
            </w:pPr>
            <w:r w:rsidRPr="003B6E11">
              <w:rPr>
                <w:lang w:val="cs-CZ"/>
              </w:rPr>
              <w:tab/>
              <w:t>(podpis)</w:t>
            </w:r>
          </w:p>
          <w:p w:rsidR="003B6E11" w:rsidRPr="003B6E11" w:rsidRDefault="003B6E11" w:rsidP="002D015D">
            <w:pPr>
              <w:widowControl w:val="0"/>
              <w:tabs>
                <w:tab w:val="left" w:pos="6946"/>
                <w:tab w:val="left" w:leader="dot" w:pos="8789"/>
              </w:tabs>
              <w:spacing w:line="360" w:lineRule="auto"/>
              <w:rPr>
                <w:noProof/>
                <w:sz w:val="16"/>
                <w:szCs w:val="20"/>
                <w:vertAlign w:val="superscript"/>
                <w:lang w:val="cs-CZ"/>
              </w:rPr>
            </w:pPr>
          </w:p>
          <w:p w:rsidR="003B6E11" w:rsidRPr="003B6E11" w:rsidRDefault="003B6E11" w:rsidP="002D015D">
            <w:pPr>
              <w:widowControl w:val="0"/>
              <w:tabs>
                <w:tab w:val="left" w:pos="6946"/>
                <w:tab w:val="left" w:leader="dot" w:pos="8789"/>
              </w:tabs>
              <w:spacing w:line="360" w:lineRule="auto"/>
              <w:rPr>
                <w:noProof/>
                <w:sz w:val="16"/>
                <w:szCs w:val="20"/>
                <w:vertAlign w:val="superscript"/>
                <w:lang w:val="cs-CZ"/>
              </w:rPr>
            </w:pPr>
            <w:r w:rsidRPr="003B6E11">
              <w:rPr>
                <w:noProof/>
                <w:sz w:val="16"/>
                <w:vertAlign w:val="superscript"/>
                <w:lang w:val="cs-CZ"/>
              </w:rPr>
              <w:t>_________________</w:t>
            </w:r>
          </w:p>
          <w:p w:rsidR="003B6E11" w:rsidRPr="003B6E11" w:rsidRDefault="003B6E11" w:rsidP="002D015D">
            <w:pPr>
              <w:widowControl w:val="0"/>
              <w:tabs>
                <w:tab w:val="left" w:pos="6946"/>
                <w:tab w:val="left" w:leader="dot" w:pos="8789"/>
              </w:tabs>
              <w:spacing w:line="360" w:lineRule="auto"/>
              <w:rPr>
                <w:b/>
                <w:noProof/>
                <w:szCs w:val="20"/>
                <w:lang w:val="cs-CZ"/>
              </w:rPr>
            </w:pPr>
            <w:r w:rsidRPr="003B6E11">
              <w:rPr>
                <w:noProof/>
                <w:sz w:val="16"/>
                <w:vertAlign w:val="superscript"/>
                <w:lang w:val="cs-CZ"/>
              </w:rPr>
              <w:t>(1)</w:t>
            </w:r>
            <w:r w:rsidRPr="003B6E11">
              <w:rPr>
                <w:noProof/>
                <w:sz w:val="16"/>
                <w:lang w:val="cs-CZ"/>
              </w:rPr>
              <w:t xml:space="preserve"> Nehodící se škrtněte.</w:t>
            </w:r>
          </w:p>
        </w:tc>
      </w:tr>
    </w:tbl>
    <w:p w:rsidR="003B6E11" w:rsidRPr="003B6E11" w:rsidRDefault="003B6E11" w:rsidP="003B6E11">
      <w:pPr>
        <w:widowControl w:val="0"/>
        <w:spacing w:line="360" w:lineRule="auto"/>
        <w:rPr>
          <w:noProof/>
          <w:szCs w:val="20"/>
          <w:lang w:val="cs-CZ"/>
        </w:rPr>
      </w:pPr>
    </w:p>
    <w:p w:rsidR="003B6E11" w:rsidRPr="003B6E11" w:rsidRDefault="003B6E11" w:rsidP="003B6E11">
      <w:pPr>
        <w:widowControl w:val="0"/>
        <w:rPr>
          <w:noProof/>
          <w:szCs w:val="20"/>
          <w:lang w:val="cs-CZ"/>
        </w:rPr>
      </w:pPr>
      <w:r w:rsidRPr="003B6E11">
        <w:rPr>
          <w:lang w:val="cs-CZ"/>
        </w:rPr>
        <w:br w:type="page"/>
      </w:r>
    </w:p>
    <w:tbl>
      <w:tblPr>
        <w:tblW w:w="9322"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3B6E11" w:rsidRPr="003B6E11" w:rsidTr="002D015D">
        <w:tc>
          <w:tcPr>
            <w:tcW w:w="9322" w:type="dxa"/>
            <w:tcBorders>
              <w:left w:val="single" w:sz="4" w:space="0" w:color="auto"/>
              <w:bottom w:val="nil"/>
            </w:tcBorders>
          </w:tcPr>
          <w:p w:rsidR="003B6E11" w:rsidRPr="003B6E11" w:rsidRDefault="003B6E11" w:rsidP="002D015D">
            <w:pPr>
              <w:widowControl w:val="0"/>
              <w:spacing w:before="60" w:after="60" w:line="240" w:lineRule="atLeast"/>
              <w:rPr>
                <w:noProof/>
                <w:szCs w:val="20"/>
                <w:lang w:val="cs-CZ"/>
              </w:rPr>
            </w:pPr>
            <w:r w:rsidRPr="003B6E11">
              <w:rPr>
                <w:lang w:val="cs-CZ"/>
              </w:rPr>
              <w:br w:type="page"/>
              <w:t>Příloha osvědčení plavidla vnitrozemské plavby č.</w:t>
            </w:r>
          </w:p>
        </w:tc>
      </w:tr>
      <w:tr w:rsidR="003B6E11" w:rsidRPr="003B6E11" w:rsidTr="002D015D">
        <w:trPr>
          <w:cantSplit/>
        </w:trPr>
        <w:tc>
          <w:tcPr>
            <w:tcW w:w="9322" w:type="dxa"/>
            <w:tcBorders>
              <w:left w:val="single" w:sz="4" w:space="0" w:color="auto"/>
              <w:bottom w:val="nil"/>
            </w:tcBorders>
          </w:tcPr>
          <w:p w:rsidR="003B6E11" w:rsidRPr="003B6E11" w:rsidRDefault="003B6E11" w:rsidP="002D015D">
            <w:pPr>
              <w:widowControl w:val="0"/>
              <w:tabs>
                <w:tab w:val="left" w:leader="dot" w:pos="2835"/>
                <w:tab w:val="left" w:leader="dot" w:pos="7371"/>
              </w:tabs>
              <w:spacing w:line="360" w:lineRule="auto"/>
              <w:ind w:left="284"/>
              <w:rPr>
                <w:noProof/>
                <w:sz w:val="18"/>
                <w:szCs w:val="20"/>
                <w:lang w:val="cs-CZ"/>
              </w:rPr>
            </w:pPr>
          </w:p>
        </w:tc>
      </w:tr>
      <w:tr w:rsidR="003B6E11" w:rsidRPr="003B6E11" w:rsidTr="002D015D">
        <w:tc>
          <w:tcPr>
            <w:tcW w:w="9322" w:type="dxa"/>
            <w:tcBorders>
              <w:top w:val="nil"/>
              <w:left w:val="single" w:sz="4" w:space="0" w:color="auto"/>
              <w:bottom w:val="nil"/>
            </w:tcBorders>
          </w:tcPr>
          <w:p w:rsidR="003B6E11" w:rsidRPr="003B6E11" w:rsidRDefault="003B6E11" w:rsidP="002D015D">
            <w:pPr>
              <w:tabs>
                <w:tab w:val="left" w:pos="57"/>
                <w:tab w:val="left" w:pos="345"/>
                <w:tab w:val="left" w:leader="dot" w:pos="8505"/>
              </w:tabs>
              <w:overflowPunct w:val="0"/>
              <w:adjustRightInd w:val="0"/>
              <w:spacing w:line="240" w:lineRule="atLeast"/>
              <w:textAlignment w:val="baseline"/>
              <w:rPr>
                <w:rFonts w:eastAsia="Calibri" w:cs="Arial"/>
                <w:sz w:val="18"/>
                <w:szCs w:val="20"/>
                <w:lang w:val="cs-CZ"/>
              </w:rPr>
            </w:pPr>
            <w:r w:rsidRPr="003B6E11">
              <w:rPr>
                <w:sz w:val="18"/>
                <w:lang w:val="cs-CZ"/>
              </w:rPr>
              <w:t>11.</w:t>
            </w:r>
          </w:p>
        </w:tc>
      </w:tr>
      <w:tr w:rsidR="003B6E11" w:rsidRPr="003B6E11" w:rsidTr="002D015D">
        <w:tc>
          <w:tcPr>
            <w:tcW w:w="9322" w:type="dxa"/>
            <w:tcBorders>
              <w:top w:val="nil"/>
              <w:left w:val="single" w:sz="4" w:space="0" w:color="auto"/>
              <w:bottom w:val="nil"/>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2041"/>
              <w:gridCol w:w="1021"/>
              <w:gridCol w:w="1021"/>
              <w:gridCol w:w="1021"/>
              <w:gridCol w:w="1021"/>
              <w:gridCol w:w="1021"/>
              <w:gridCol w:w="236"/>
            </w:tblGrid>
            <w:tr w:rsidR="003B6E11" w:rsidRPr="003B6E11" w:rsidTr="002D015D">
              <w:trPr>
                <w:jc w:val="center"/>
              </w:trPr>
              <w:tc>
                <w:tcPr>
                  <w:tcW w:w="1077" w:type="dxa"/>
                  <w:tcBorders>
                    <w:top w:val="nil"/>
                    <w:left w:val="nil"/>
                    <w:bottom w:val="nil"/>
                    <w:right w:val="nil"/>
                  </w:tcBorders>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textAlignment w:val="baseline"/>
                    <w:rPr>
                      <w:rFonts w:eastAsia="Calibri" w:cs="Arial"/>
                      <w:sz w:val="18"/>
                      <w:szCs w:val="20"/>
                      <w:lang w:val="cs-CZ"/>
                    </w:rPr>
                  </w:pPr>
                </w:p>
              </w:tc>
              <w:tc>
                <w:tcPr>
                  <w:tcW w:w="2041" w:type="dxa"/>
                  <w:tcBorders>
                    <w:top w:val="nil"/>
                    <w:left w:val="nil"/>
                    <w:bottom w:val="nil"/>
                  </w:tcBorders>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textAlignment w:val="baseline"/>
                    <w:rPr>
                      <w:rFonts w:eastAsia="Calibri" w:cs="Arial"/>
                      <w:sz w:val="18"/>
                      <w:szCs w:val="20"/>
                      <w:lang w:val="cs-CZ"/>
                    </w:rPr>
                  </w:pPr>
                </w:p>
              </w:tc>
              <w:tc>
                <w:tcPr>
                  <w:tcW w:w="5105" w:type="dxa"/>
                  <w:gridSpan w:val="5"/>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jc w:val="center"/>
                    <w:textAlignment w:val="baseline"/>
                    <w:rPr>
                      <w:rFonts w:eastAsia="Calibri" w:cs="Arial"/>
                      <w:sz w:val="18"/>
                      <w:szCs w:val="20"/>
                      <w:lang w:val="cs-CZ"/>
                    </w:rPr>
                  </w:pPr>
                  <w:r w:rsidRPr="003B6E11">
                    <w:rPr>
                      <w:noProof/>
                      <w:sz w:val="18"/>
                      <w:lang w:val="cs-CZ"/>
                    </w:rPr>
                    <w:t xml:space="preserve">Zóna nebo vodní cesty </w:t>
                  </w:r>
                  <w:r w:rsidRPr="003B6E11">
                    <w:rPr>
                      <w:sz w:val="18"/>
                      <w:vertAlign w:val="superscript"/>
                      <w:lang w:val="cs-CZ"/>
                    </w:rPr>
                    <w:t>(1)</w:t>
                  </w:r>
                </w:p>
              </w:tc>
              <w:tc>
                <w:tcPr>
                  <w:tcW w:w="170" w:type="dxa"/>
                  <w:tcBorders>
                    <w:top w:val="nil"/>
                    <w:bottom w:val="nil"/>
                    <w:right w:val="nil"/>
                  </w:tcBorders>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textAlignment w:val="baseline"/>
                    <w:rPr>
                      <w:rFonts w:eastAsia="Calibri" w:cs="Arial"/>
                      <w:szCs w:val="20"/>
                      <w:lang w:val="cs-CZ"/>
                    </w:rPr>
                  </w:pPr>
                </w:p>
              </w:tc>
            </w:tr>
            <w:tr w:rsidR="003B6E11" w:rsidRPr="003B6E11" w:rsidTr="002D015D">
              <w:trPr>
                <w:jc w:val="center"/>
              </w:trPr>
              <w:tc>
                <w:tcPr>
                  <w:tcW w:w="1077" w:type="dxa"/>
                  <w:tcBorders>
                    <w:top w:val="nil"/>
                    <w:left w:val="nil"/>
                    <w:bottom w:val="single" w:sz="4" w:space="0" w:color="auto"/>
                    <w:right w:val="nil"/>
                  </w:tcBorders>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textAlignment w:val="baseline"/>
                    <w:rPr>
                      <w:rFonts w:eastAsia="Calibri" w:cs="Arial"/>
                      <w:sz w:val="18"/>
                      <w:szCs w:val="20"/>
                      <w:lang w:val="cs-CZ"/>
                    </w:rPr>
                  </w:pPr>
                </w:p>
              </w:tc>
              <w:tc>
                <w:tcPr>
                  <w:tcW w:w="2041" w:type="dxa"/>
                  <w:tcBorders>
                    <w:top w:val="nil"/>
                    <w:left w:val="nil"/>
                    <w:bottom w:val="single" w:sz="4" w:space="0" w:color="auto"/>
                  </w:tcBorders>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textAlignment w:val="baseline"/>
                    <w:rPr>
                      <w:rFonts w:eastAsia="Calibri" w:cs="Arial"/>
                      <w:sz w:val="18"/>
                      <w:szCs w:val="20"/>
                      <w:lang w:val="cs-CZ"/>
                    </w:rPr>
                  </w:pPr>
                </w:p>
              </w:tc>
              <w:tc>
                <w:tcPr>
                  <w:tcW w:w="1021" w:type="dxa"/>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jc w:val="center"/>
                    <w:textAlignment w:val="baseline"/>
                    <w:rPr>
                      <w:rFonts w:eastAsia="Calibri" w:cs="Arial"/>
                      <w:sz w:val="18"/>
                      <w:szCs w:val="20"/>
                      <w:lang w:val="cs-CZ"/>
                    </w:rPr>
                  </w:pPr>
                  <w:r w:rsidRPr="003B6E11">
                    <w:rPr>
                      <w:sz w:val="18"/>
                      <w:lang w:val="cs-CZ"/>
                    </w:rPr>
                    <w:t>4</w:t>
                  </w:r>
                </w:p>
              </w:tc>
              <w:tc>
                <w:tcPr>
                  <w:tcW w:w="1021" w:type="dxa"/>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jc w:val="center"/>
                    <w:textAlignment w:val="baseline"/>
                    <w:rPr>
                      <w:rFonts w:eastAsia="Calibri" w:cs="Arial"/>
                      <w:sz w:val="18"/>
                      <w:szCs w:val="20"/>
                      <w:lang w:val="cs-CZ"/>
                    </w:rPr>
                  </w:pPr>
                  <w:r w:rsidRPr="003B6E11">
                    <w:rPr>
                      <w:sz w:val="18"/>
                      <w:lang w:val="cs-CZ"/>
                    </w:rPr>
                    <w:t>3</w:t>
                  </w:r>
                </w:p>
              </w:tc>
              <w:tc>
                <w:tcPr>
                  <w:tcW w:w="1021" w:type="dxa"/>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jc w:val="center"/>
                    <w:textAlignment w:val="baseline"/>
                    <w:rPr>
                      <w:rFonts w:eastAsia="Calibri" w:cs="Arial"/>
                      <w:sz w:val="18"/>
                      <w:szCs w:val="20"/>
                      <w:lang w:val="cs-CZ"/>
                    </w:rPr>
                  </w:pPr>
                  <w:r w:rsidRPr="003B6E11">
                    <w:rPr>
                      <w:sz w:val="18"/>
                      <w:lang w:val="cs-CZ"/>
                    </w:rPr>
                    <w:t>2</w:t>
                  </w:r>
                </w:p>
              </w:tc>
              <w:tc>
                <w:tcPr>
                  <w:tcW w:w="1021" w:type="dxa"/>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jc w:val="center"/>
                    <w:textAlignment w:val="baseline"/>
                    <w:rPr>
                      <w:rFonts w:eastAsia="Calibri" w:cs="Arial"/>
                      <w:sz w:val="18"/>
                      <w:szCs w:val="20"/>
                      <w:lang w:val="cs-CZ"/>
                    </w:rPr>
                  </w:pPr>
                  <w:r w:rsidRPr="003B6E11">
                    <w:rPr>
                      <w:sz w:val="18"/>
                      <w:lang w:val="cs-CZ"/>
                    </w:rPr>
                    <w:t>1</w:t>
                  </w:r>
                </w:p>
              </w:tc>
              <w:tc>
                <w:tcPr>
                  <w:tcW w:w="1021" w:type="dxa"/>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textAlignment w:val="baseline"/>
                    <w:rPr>
                      <w:rFonts w:eastAsia="Calibri" w:cs="Arial"/>
                      <w:sz w:val="18"/>
                      <w:szCs w:val="20"/>
                      <w:lang w:val="cs-CZ"/>
                    </w:rPr>
                  </w:pPr>
                </w:p>
              </w:tc>
              <w:tc>
                <w:tcPr>
                  <w:tcW w:w="170" w:type="dxa"/>
                  <w:tcBorders>
                    <w:top w:val="nil"/>
                    <w:bottom w:val="nil"/>
                    <w:right w:val="nil"/>
                  </w:tcBorders>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textAlignment w:val="baseline"/>
                    <w:rPr>
                      <w:rFonts w:eastAsia="Calibri" w:cs="Arial"/>
                      <w:szCs w:val="20"/>
                      <w:lang w:val="cs-CZ"/>
                    </w:rPr>
                  </w:pPr>
                </w:p>
              </w:tc>
            </w:tr>
            <w:tr w:rsidR="003B6E11" w:rsidRPr="003B6E11" w:rsidTr="002D015D">
              <w:trPr>
                <w:jc w:val="center"/>
              </w:trPr>
              <w:tc>
                <w:tcPr>
                  <w:tcW w:w="1077" w:type="dxa"/>
                  <w:tcBorders>
                    <w:top w:val="single" w:sz="4" w:space="0" w:color="auto"/>
                    <w:bottom w:val="nil"/>
                  </w:tcBorders>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textAlignment w:val="baseline"/>
                    <w:rPr>
                      <w:rFonts w:eastAsia="Calibri" w:cs="Arial"/>
                      <w:sz w:val="18"/>
                      <w:szCs w:val="20"/>
                      <w:lang w:val="cs-CZ"/>
                    </w:rPr>
                  </w:pPr>
                  <w:r w:rsidRPr="003B6E11">
                    <w:rPr>
                      <w:noProof/>
                      <w:sz w:val="18"/>
                      <w:lang w:val="cs-CZ"/>
                    </w:rPr>
                    <w:t>Volný bok (cm)</w:t>
                  </w:r>
                </w:p>
              </w:tc>
              <w:tc>
                <w:tcPr>
                  <w:tcW w:w="2041" w:type="dxa"/>
                  <w:tcBorders>
                    <w:top w:val="single" w:sz="4" w:space="0" w:color="auto"/>
                  </w:tcBorders>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textAlignment w:val="baseline"/>
                    <w:rPr>
                      <w:rFonts w:eastAsia="Calibri" w:cs="Arial"/>
                      <w:sz w:val="18"/>
                      <w:szCs w:val="20"/>
                      <w:lang w:val="cs-CZ"/>
                    </w:rPr>
                  </w:pPr>
                  <w:r w:rsidRPr="003B6E11">
                    <w:rPr>
                      <w:noProof/>
                      <w:sz w:val="18"/>
                      <w:lang w:val="cs-CZ"/>
                    </w:rPr>
                    <w:t>s uzavřeným nákladovým prostorem</w:t>
                  </w:r>
                </w:p>
              </w:tc>
              <w:tc>
                <w:tcPr>
                  <w:tcW w:w="1021" w:type="dxa"/>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textAlignment w:val="baseline"/>
                    <w:rPr>
                      <w:rFonts w:eastAsia="Calibri" w:cs="Arial"/>
                      <w:sz w:val="18"/>
                      <w:szCs w:val="20"/>
                      <w:lang w:val="cs-CZ"/>
                    </w:rPr>
                  </w:pPr>
                </w:p>
              </w:tc>
              <w:tc>
                <w:tcPr>
                  <w:tcW w:w="1021" w:type="dxa"/>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textAlignment w:val="baseline"/>
                    <w:rPr>
                      <w:rFonts w:eastAsia="Calibri" w:cs="Arial"/>
                      <w:sz w:val="18"/>
                      <w:szCs w:val="20"/>
                      <w:lang w:val="cs-CZ"/>
                    </w:rPr>
                  </w:pPr>
                </w:p>
              </w:tc>
              <w:tc>
                <w:tcPr>
                  <w:tcW w:w="1021" w:type="dxa"/>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textAlignment w:val="baseline"/>
                    <w:rPr>
                      <w:rFonts w:eastAsia="Calibri" w:cs="Arial"/>
                      <w:sz w:val="18"/>
                      <w:szCs w:val="20"/>
                      <w:lang w:val="cs-CZ"/>
                    </w:rPr>
                  </w:pPr>
                </w:p>
              </w:tc>
              <w:tc>
                <w:tcPr>
                  <w:tcW w:w="1021" w:type="dxa"/>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textAlignment w:val="baseline"/>
                    <w:rPr>
                      <w:rFonts w:eastAsia="Calibri" w:cs="Arial"/>
                      <w:sz w:val="18"/>
                      <w:szCs w:val="20"/>
                      <w:lang w:val="cs-CZ"/>
                    </w:rPr>
                  </w:pPr>
                </w:p>
              </w:tc>
              <w:tc>
                <w:tcPr>
                  <w:tcW w:w="1021" w:type="dxa"/>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textAlignment w:val="baseline"/>
                    <w:rPr>
                      <w:rFonts w:eastAsia="Calibri" w:cs="Arial"/>
                      <w:sz w:val="18"/>
                      <w:szCs w:val="20"/>
                      <w:lang w:val="cs-CZ"/>
                    </w:rPr>
                  </w:pPr>
                </w:p>
              </w:tc>
              <w:tc>
                <w:tcPr>
                  <w:tcW w:w="170" w:type="dxa"/>
                  <w:tcBorders>
                    <w:top w:val="nil"/>
                    <w:bottom w:val="nil"/>
                    <w:right w:val="nil"/>
                  </w:tcBorders>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textAlignment w:val="baseline"/>
                    <w:rPr>
                      <w:rFonts w:eastAsia="Calibri" w:cs="Arial"/>
                      <w:szCs w:val="20"/>
                      <w:lang w:val="cs-CZ"/>
                    </w:rPr>
                  </w:pPr>
                </w:p>
              </w:tc>
            </w:tr>
            <w:tr w:rsidR="003B6E11" w:rsidRPr="003B6E11" w:rsidTr="002D015D">
              <w:trPr>
                <w:jc w:val="center"/>
              </w:trPr>
              <w:tc>
                <w:tcPr>
                  <w:tcW w:w="1077" w:type="dxa"/>
                  <w:tcBorders>
                    <w:top w:val="nil"/>
                  </w:tcBorders>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textAlignment w:val="baseline"/>
                    <w:rPr>
                      <w:rFonts w:eastAsia="Calibri" w:cs="Arial"/>
                      <w:sz w:val="18"/>
                      <w:szCs w:val="20"/>
                      <w:lang w:val="cs-CZ"/>
                    </w:rPr>
                  </w:pPr>
                </w:p>
              </w:tc>
              <w:tc>
                <w:tcPr>
                  <w:tcW w:w="2041" w:type="dxa"/>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textAlignment w:val="baseline"/>
                    <w:rPr>
                      <w:rFonts w:eastAsia="Calibri" w:cs="Arial"/>
                      <w:sz w:val="18"/>
                      <w:szCs w:val="20"/>
                      <w:lang w:val="cs-CZ"/>
                    </w:rPr>
                  </w:pPr>
                  <w:r w:rsidRPr="003B6E11">
                    <w:rPr>
                      <w:noProof/>
                      <w:sz w:val="18"/>
                      <w:lang w:val="cs-CZ"/>
                    </w:rPr>
                    <w:t>s otevřeným nákladovým prostorem</w:t>
                  </w:r>
                </w:p>
              </w:tc>
              <w:tc>
                <w:tcPr>
                  <w:tcW w:w="1021" w:type="dxa"/>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textAlignment w:val="baseline"/>
                    <w:rPr>
                      <w:rFonts w:eastAsia="Calibri" w:cs="Arial"/>
                      <w:sz w:val="18"/>
                      <w:szCs w:val="20"/>
                      <w:lang w:val="cs-CZ"/>
                    </w:rPr>
                  </w:pPr>
                </w:p>
              </w:tc>
              <w:tc>
                <w:tcPr>
                  <w:tcW w:w="1021" w:type="dxa"/>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textAlignment w:val="baseline"/>
                    <w:rPr>
                      <w:rFonts w:eastAsia="Calibri" w:cs="Arial"/>
                      <w:sz w:val="18"/>
                      <w:szCs w:val="20"/>
                      <w:lang w:val="cs-CZ"/>
                    </w:rPr>
                  </w:pPr>
                </w:p>
              </w:tc>
              <w:tc>
                <w:tcPr>
                  <w:tcW w:w="1021" w:type="dxa"/>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textAlignment w:val="baseline"/>
                    <w:rPr>
                      <w:rFonts w:eastAsia="Calibri" w:cs="Arial"/>
                      <w:sz w:val="18"/>
                      <w:szCs w:val="20"/>
                      <w:lang w:val="cs-CZ"/>
                    </w:rPr>
                  </w:pPr>
                </w:p>
              </w:tc>
              <w:tc>
                <w:tcPr>
                  <w:tcW w:w="1021" w:type="dxa"/>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textAlignment w:val="baseline"/>
                    <w:rPr>
                      <w:rFonts w:eastAsia="Calibri" w:cs="Arial"/>
                      <w:sz w:val="18"/>
                      <w:szCs w:val="20"/>
                      <w:lang w:val="cs-CZ"/>
                    </w:rPr>
                  </w:pPr>
                </w:p>
              </w:tc>
              <w:tc>
                <w:tcPr>
                  <w:tcW w:w="1021" w:type="dxa"/>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textAlignment w:val="baseline"/>
                    <w:rPr>
                      <w:rFonts w:eastAsia="Calibri" w:cs="Arial"/>
                      <w:sz w:val="18"/>
                      <w:szCs w:val="20"/>
                      <w:lang w:val="cs-CZ"/>
                    </w:rPr>
                  </w:pPr>
                </w:p>
              </w:tc>
              <w:tc>
                <w:tcPr>
                  <w:tcW w:w="170" w:type="dxa"/>
                  <w:tcBorders>
                    <w:top w:val="nil"/>
                    <w:bottom w:val="nil"/>
                    <w:right w:val="nil"/>
                  </w:tcBorders>
                  <w:shd w:val="clear" w:color="auto" w:fill="auto"/>
                </w:tcPr>
                <w:p w:rsidR="003B6E11" w:rsidRPr="003B6E11" w:rsidRDefault="003B6E11" w:rsidP="002D015D">
                  <w:pPr>
                    <w:tabs>
                      <w:tab w:val="left" w:pos="57"/>
                      <w:tab w:val="left" w:pos="345"/>
                      <w:tab w:val="left" w:leader="dot" w:pos="8505"/>
                    </w:tabs>
                    <w:overflowPunct w:val="0"/>
                    <w:adjustRightInd w:val="0"/>
                    <w:spacing w:before="60" w:after="60" w:line="240" w:lineRule="atLeast"/>
                    <w:textAlignment w:val="baseline"/>
                    <w:rPr>
                      <w:rFonts w:eastAsia="Calibri" w:cs="Arial"/>
                      <w:szCs w:val="20"/>
                      <w:lang w:val="cs-CZ"/>
                    </w:rPr>
                  </w:pPr>
                </w:p>
              </w:tc>
            </w:tr>
          </w:tbl>
          <w:p w:rsidR="003B6E11" w:rsidRPr="003B6E11" w:rsidRDefault="003B6E11" w:rsidP="002D015D">
            <w:pPr>
              <w:widowControl w:val="0"/>
              <w:tabs>
                <w:tab w:val="left" w:pos="426"/>
                <w:tab w:val="right" w:pos="8789"/>
              </w:tabs>
              <w:spacing w:before="240" w:line="360" w:lineRule="auto"/>
              <w:ind w:left="426" w:hanging="426"/>
              <w:rPr>
                <w:noProof/>
                <w:lang w:val="cs-CZ"/>
              </w:rPr>
            </w:pPr>
          </w:p>
        </w:tc>
      </w:tr>
      <w:tr w:rsidR="003B6E11" w:rsidRPr="003B6E11" w:rsidTr="002D015D">
        <w:tc>
          <w:tcPr>
            <w:tcW w:w="9322" w:type="dxa"/>
            <w:tcBorders>
              <w:top w:val="nil"/>
              <w:left w:val="single" w:sz="4" w:space="0" w:color="auto"/>
              <w:bottom w:val="single" w:sz="4" w:space="0" w:color="auto"/>
            </w:tcBorders>
          </w:tcPr>
          <w:p w:rsidR="003B6E11" w:rsidRPr="003B6E11" w:rsidRDefault="003B6E11" w:rsidP="002D015D">
            <w:pPr>
              <w:widowControl w:val="0"/>
              <w:tabs>
                <w:tab w:val="left" w:pos="426"/>
                <w:tab w:val="right" w:pos="8789"/>
              </w:tabs>
              <w:spacing w:before="240" w:line="360" w:lineRule="auto"/>
              <w:ind w:left="426" w:hanging="426"/>
              <w:rPr>
                <w:noProof/>
                <w:szCs w:val="20"/>
                <w:lang w:val="cs-CZ"/>
              </w:rPr>
            </w:pPr>
            <w:r w:rsidRPr="003B6E11">
              <w:rPr>
                <w:lang w:val="cs-CZ"/>
              </w:rPr>
              <w:t>12.</w:t>
            </w:r>
            <w:r w:rsidRPr="003B6E11">
              <w:rPr>
                <w:lang w:val="cs-CZ"/>
              </w:rPr>
              <w:tab/>
              <w:t>Odchylka od osvědčení plavidla vnitrozemské plavby č. ……………………….</w:t>
            </w:r>
          </w:p>
          <w:p w:rsidR="003B6E11" w:rsidRPr="003B6E11" w:rsidRDefault="003B6E11" w:rsidP="002D015D">
            <w:pPr>
              <w:widowControl w:val="0"/>
              <w:tabs>
                <w:tab w:val="right" w:leader="dot" w:pos="8789"/>
              </w:tabs>
              <w:spacing w:line="360" w:lineRule="auto"/>
              <w:ind w:left="426"/>
              <w:rPr>
                <w:noProof/>
                <w:lang w:val="cs-CZ"/>
              </w:rPr>
            </w:pPr>
            <w:r w:rsidRPr="003B6E11">
              <w:rPr>
                <w:lang w:val="cs-CZ"/>
              </w:rPr>
              <w:tab/>
            </w:r>
          </w:p>
          <w:p w:rsidR="003B6E11" w:rsidRPr="003B6E11" w:rsidRDefault="003B6E11" w:rsidP="002D015D">
            <w:pPr>
              <w:widowControl w:val="0"/>
              <w:tabs>
                <w:tab w:val="right" w:leader="dot" w:pos="8789"/>
              </w:tabs>
              <w:spacing w:line="360" w:lineRule="auto"/>
              <w:ind w:left="426"/>
              <w:rPr>
                <w:noProof/>
                <w:lang w:val="cs-CZ"/>
              </w:rPr>
            </w:pPr>
            <w:r w:rsidRPr="003B6E11">
              <w:rPr>
                <w:lang w:val="cs-CZ"/>
              </w:rPr>
              <w:tab/>
            </w:r>
          </w:p>
          <w:p w:rsidR="003B6E11" w:rsidRPr="003B6E11" w:rsidRDefault="003B6E11" w:rsidP="002D015D">
            <w:pPr>
              <w:widowControl w:val="0"/>
              <w:tabs>
                <w:tab w:val="right" w:leader="dot" w:pos="8789"/>
              </w:tabs>
              <w:spacing w:line="360" w:lineRule="auto"/>
              <w:ind w:left="426"/>
              <w:rPr>
                <w:noProof/>
                <w:lang w:val="cs-CZ"/>
              </w:rPr>
            </w:pPr>
            <w:r w:rsidRPr="003B6E11">
              <w:rPr>
                <w:lang w:val="cs-CZ"/>
              </w:rPr>
              <w:tab/>
            </w:r>
          </w:p>
          <w:p w:rsidR="003B6E11" w:rsidRPr="003B6E11" w:rsidRDefault="003B6E11" w:rsidP="002D015D">
            <w:pPr>
              <w:widowControl w:val="0"/>
              <w:tabs>
                <w:tab w:val="right" w:leader="dot" w:pos="8789"/>
              </w:tabs>
              <w:spacing w:line="360" w:lineRule="auto"/>
              <w:ind w:left="426"/>
              <w:rPr>
                <w:noProof/>
                <w:lang w:val="cs-CZ"/>
              </w:rPr>
            </w:pPr>
            <w:r w:rsidRPr="003B6E11">
              <w:rPr>
                <w:lang w:val="cs-CZ"/>
              </w:rPr>
              <w:tab/>
            </w:r>
          </w:p>
          <w:p w:rsidR="003B6E11" w:rsidRPr="003B6E11" w:rsidRDefault="003B6E11" w:rsidP="002D015D">
            <w:pPr>
              <w:widowControl w:val="0"/>
              <w:tabs>
                <w:tab w:val="right" w:leader="dot" w:pos="8789"/>
              </w:tabs>
              <w:spacing w:line="360" w:lineRule="auto"/>
              <w:ind w:left="426"/>
              <w:rPr>
                <w:noProof/>
                <w:lang w:val="cs-CZ"/>
              </w:rPr>
            </w:pPr>
            <w:r w:rsidRPr="003B6E11">
              <w:rPr>
                <w:lang w:val="cs-CZ"/>
              </w:rPr>
              <w:tab/>
            </w:r>
          </w:p>
          <w:p w:rsidR="003B6E11" w:rsidRPr="003B6E11" w:rsidRDefault="003B6E11" w:rsidP="002D015D">
            <w:pPr>
              <w:widowControl w:val="0"/>
              <w:tabs>
                <w:tab w:val="right" w:leader="dot" w:pos="8789"/>
              </w:tabs>
              <w:spacing w:line="360" w:lineRule="auto"/>
              <w:ind w:left="426"/>
              <w:rPr>
                <w:noProof/>
                <w:lang w:val="cs-CZ"/>
              </w:rPr>
            </w:pPr>
            <w:r w:rsidRPr="003B6E11">
              <w:rPr>
                <w:lang w:val="cs-CZ"/>
              </w:rPr>
              <w:tab/>
            </w:r>
          </w:p>
          <w:p w:rsidR="003B6E11" w:rsidRPr="003B6E11" w:rsidRDefault="003B6E11" w:rsidP="002D015D">
            <w:pPr>
              <w:widowControl w:val="0"/>
              <w:tabs>
                <w:tab w:val="right" w:pos="8789"/>
              </w:tabs>
              <w:spacing w:line="360" w:lineRule="auto"/>
              <w:ind w:left="426" w:hanging="426"/>
              <w:rPr>
                <w:noProof/>
                <w:szCs w:val="20"/>
                <w:lang w:val="cs-CZ"/>
              </w:rPr>
            </w:pPr>
            <w:r w:rsidRPr="003B6E11">
              <w:rPr>
                <w:lang w:val="cs-CZ"/>
              </w:rPr>
              <w:t>13.</w:t>
            </w:r>
            <w:r w:rsidRPr="003B6E11">
              <w:rPr>
                <w:lang w:val="cs-CZ"/>
              </w:rPr>
              <w:tab/>
              <w:t>Údaje o počtu členů posádky v osvědčení plavidla vnitrozemské plavby se nepoužijí.</w:t>
            </w:r>
          </w:p>
          <w:p w:rsidR="003B6E11" w:rsidRPr="003B6E11" w:rsidRDefault="003B6E11" w:rsidP="002D015D">
            <w:pPr>
              <w:widowControl w:val="0"/>
              <w:tabs>
                <w:tab w:val="right" w:leader="dot" w:pos="6804"/>
              </w:tabs>
              <w:spacing w:line="360" w:lineRule="auto"/>
              <w:rPr>
                <w:noProof/>
                <w:szCs w:val="20"/>
                <w:lang w:val="cs-CZ"/>
              </w:rPr>
            </w:pPr>
            <w:r w:rsidRPr="003B6E11">
              <w:rPr>
                <w:lang w:val="cs-CZ"/>
              </w:rPr>
              <w:t>14.</w:t>
            </w:r>
            <w:r w:rsidRPr="003B6E11">
              <w:rPr>
                <w:lang w:val="cs-CZ"/>
              </w:rPr>
              <w:tab/>
              <w:t>S ohledem na osvědčení plavidla vnitrozemské plavby č.</w:t>
            </w:r>
            <w:r w:rsidRPr="003B6E11">
              <w:rPr>
                <w:lang w:val="cs-CZ"/>
              </w:rPr>
              <w:tab/>
            </w:r>
          </w:p>
          <w:p w:rsidR="003B6E11" w:rsidRPr="003B6E11" w:rsidRDefault="003B6E11" w:rsidP="002D015D">
            <w:pPr>
              <w:widowControl w:val="0"/>
              <w:tabs>
                <w:tab w:val="left" w:pos="709"/>
                <w:tab w:val="left" w:leader="dot" w:pos="3686"/>
                <w:tab w:val="right" w:leader="dot" w:pos="8789"/>
              </w:tabs>
              <w:spacing w:line="360" w:lineRule="auto"/>
              <w:ind w:left="426"/>
              <w:rPr>
                <w:noProof/>
                <w:szCs w:val="20"/>
                <w:lang w:val="cs-CZ"/>
              </w:rPr>
            </w:pPr>
            <w:r w:rsidRPr="003B6E11">
              <w:rPr>
                <w:lang w:val="cs-CZ"/>
              </w:rPr>
              <w:t xml:space="preserve">ze dne </w:t>
            </w:r>
            <w:r w:rsidRPr="003B6E11">
              <w:rPr>
                <w:lang w:val="cs-CZ"/>
              </w:rPr>
              <w:tab/>
              <w:t xml:space="preserve"> platné do </w:t>
            </w:r>
            <w:r w:rsidRPr="003B6E11">
              <w:rPr>
                <w:lang w:val="cs-CZ"/>
              </w:rPr>
              <w:tab/>
            </w:r>
          </w:p>
          <w:p w:rsidR="003B6E11" w:rsidRPr="003B6E11" w:rsidRDefault="003B6E11" w:rsidP="002D015D">
            <w:pPr>
              <w:widowControl w:val="0"/>
              <w:tabs>
                <w:tab w:val="left" w:pos="709"/>
                <w:tab w:val="right" w:leader="dot" w:pos="8789"/>
              </w:tabs>
              <w:spacing w:line="360" w:lineRule="auto"/>
              <w:ind w:left="426"/>
              <w:rPr>
                <w:noProof/>
                <w:lang w:val="cs-CZ"/>
              </w:rPr>
            </w:pPr>
            <w:r w:rsidRPr="003B6E11">
              <w:rPr>
                <w:lang w:val="cs-CZ"/>
              </w:rPr>
              <w:t xml:space="preserve">S ohledem na výsledek prohlídky </w:t>
            </w:r>
            <w:r w:rsidRPr="003B6E11">
              <w:rPr>
                <w:lang w:val="cs-CZ"/>
              </w:rPr>
              <w:tab/>
              <w:t>,</w:t>
            </w:r>
          </w:p>
          <w:p w:rsidR="003B6E11" w:rsidRPr="003B6E11" w:rsidRDefault="003B6E11" w:rsidP="002D015D">
            <w:pPr>
              <w:widowControl w:val="0"/>
              <w:tabs>
                <w:tab w:val="left" w:pos="709"/>
                <w:tab w:val="right" w:leader="dot" w:pos="8789"/>
              </w:tabs>
              <w:spacing w:line="360" w:lineRule="auto"/>
              <w:ind w:left="426"/>
              <w:rPr>
                <w:noProof/>
                <w:szCs w:val="20"/>
                <w:lang w:val="cs-CZ"/>
              </w:rPr>
            </w:pPr>
            <w:r w:rsidRPr="003B6E11">
              <w:rPr>
                <w:lang w:val="cs-CZ"/>
              </w:rPr>
              <w:t>dne ………………………….,</w:t>
            </w:r>
          </w:p>
          <w:p w:rsidR="003B6E11" w:rsidRPr="003B6E11" w:rsidRDefault="003B6E11" w:rsidP="002D015D">
            <w:pPr>
              <w:widowControl w:val="0"/>
              <w:tabs>
                <w:tab w:val="right" w:leader="dot" w:pos="8789"/>
              </w:tabs>
              <w:spacing w:line="360" w:lineRule="auto"/>
              <w:ind w:left="426"/>
              <w:rPr>
                <w:noProof/>
                <w:lang w:val="cs-CZ"/>
              </w:rPr>
            </w:pPr>
            <w:r w:rsidRPr="003B6E11">
              <w:rPr>
                <w:lang w:val="cs-CZ"/>
              </w:rPr>
              <w:t>se platnost tohoto dodatečného osvědčení prodlužuje / obnovuje</w:t>
            </w:r>
            <w:r w:rsidRPr="003B6E11">
              <w:rPr>
                <w:noProof/>
                <w:vertAlign w:val="superscript"/>
                <w:lang w:val="cs-CZ"/>
              </w:rPr>
              <w:t>(1)</w:t>
            </w:r>
            <w:r w:rsidRPr="003B6E11">
              <w:rPr>
                <w:lang w:val="cs-CZ"/>
              </w:rPr>
              <w:t xml:space="preserve"> do </w:t>
            </w:r>
            <w:r w:rsidRPr="003B6E11">
              <w:rPr>
                <w:lang w:val="cs-CZ"/>
              </w:rPr>
              <w:tab/>
            </w:r>
          </w:p>
          <w:p w:rsidR="003B6E11" w:rsidRPr="003B6E11" w:rsidRDefault="003B6E11" w:rsidP="002D015D">
            <w:pPr>
              <w:widowControl w:val="0"/>
              <w:tabs>
                <w:tab w:val="right" w:leader="dot" w:pos="8789"/>
              </w:tabs>
              <w:spacing w:line="360" w:lineRule="auto"/>
              <w:ind w:left="284"/>
              <w:rPr>
                <w:lang w:val="cs-CZ"/>
              </w:rPr>
            </w:pPr>
            <w:r w:rsidRPr="003B6E11">
              <w:rPr>
                <w:lang w:val="cs-CZ"/>
              </w:rPr>
              <w:tab/>
            </w:r>
          </w:p>
          <w:p w:rsidR="003B6E11" w:rsidRPr="003B6E11" w:rsidRDefault="003B6E11" w:rsidP="002D015D">
            <w:pPr>
              <w:widowControl w:val="0"/>
              <w:tabs>
                <w:tab w:val="right" w:leader="dot" w:pos="8789"/>
              </w:tabs>
              <w:spacing w:line="360" w:lineRule="auto"/>
              <w:ind w:left="284"/>
              <w:rPr>
                <w:lang w:val="cs-CZ"/>
              </w:rPr>
            </w:pPr>
          </w:p>
          <w:p w:rsidR="003B6E11" w:rsidRPr="003B6E11" w:rsidRDefault="003B6E11" w:rsidP="002D015D">
            <w:pPr>
              <w:widowControl w:val="0"/>
              <w:tabs>
                <w:tab w:val="left" w:pos="5954"/>
                <w:tab w:val="left" w:leader="dot" w:pos="8789"/>
              </w:tabs>
              <w:spacing w:line="240" w:lineRule="atLeast"/>
              <w:rPr>
                <w:noProof/>
                <w:lang w:val="cs-CZ"/>
              </w:rPr>
            </w:pPr>
            <w:r w:rsidRPr="003B6E11">
              <w:rPr>
                <w:lang w:val="cs-CZ"/>
              </w:rPr>
              <w:tab/>
            </w:r>
            <w:r w:rsidRPr="003B6E11">
              <w:rPr>
                <w:lang w:val="cs-CZ"/>
              </w:rPr>
              <w:tab/>
              <w:t>,</w:t>
            </w:r>
          </w:p>
          <w:p w:rsidR="003B6E11" w:rsidRPr="003B6E11" w:rsidRDefault="003B6E11" w:rsidP="002D015D">
            <w:pPr>
              <w:widowControl w:val="0"/>
              <w:tabs>
                <w:tab w:val="left" w:pos="6804"/>
                <w:tab w:val="left" w:leader="dot" w:pos="8789"/>
              </w:tabs>
              <w:spacing w:after="240" w:line="360" w:lineRule="auto"/>
              <w:rPr>
                <w:noProof/>
                <w:lang w:val="cs-CZ"/>
              </w:rPr>
            </w:pPr>
            <w:r w:rsidRPr="003B6E11">
              <w:rPr>
                <w:lang w:val="cs-CZ"/>
              </w:rPr>
              <w:tab/>
              <w:t>(místo) (datum)</w:t>
            </w:r>
          </w:p>
          <w:p w:rsidR="003B6E11" w:rsidRPr="003B6E11" w:rsidRDefault="003B6E11" w:rsidP="002D015D">
            <w:pPr>
              <w:widowControl w:val="0"/>
              <w:tabs>
                <w:tab w:val="left" w:pos="5954"/>
                <w:tab w:val="left" w:leader="dot" w:pos="8789"/>
              </w:tabs>
              <w:spacing w:line="240" w:lineRule="atLeast"/>
              <w:rPr>
                <w:noProof/>
                <w:szCs w:val="20"/>
                <w:lang w:val="cs-CZ"/>
              </w:rPr>
            </w:pPr>
            <w:r w:rsidRPr="003B6E11">
              <w:rPr>
                <w:lang w:val="cs-CZ"/>
              </w:rPr>
              <w:tab/>
              <w:t>…………………………………….</w:t>
            </w:r>
          </w:p>
          <w:p w:rsidR="003B6E11" w:rsidRPr="003B6E11" w:rsidRDefault="003B6E11" w:rsidP="002D015D">
            <w:pPr>
              <w:widowControl w:val="0"/>
              <w:tabs>
                <w:tab w:val="left" w:pos="6521"/>
                <w:tab w:val="left" w:leader="dot" w:pos="8789"/>
              </w:tabs>
              <w:spacing w:after="240" w:line="360" w:lineRule="auto"/>
              <w:rPr>
                <w:noProof/>
                <w:lang w:val="cs-CZ"/>
              </w:rPr>
            </w:pPr>
            <w:r w:rsidRPr="003B6E11">
              <w:rPr>
                <w:lang w:val="cs-CZ"/>
              </w:rPr>
              <w:tab/>
              <w:t>(subjekt pověřený prohlídkami)</w:t>
            </w:r>
          </w:p>
          <w:p w:rsidR="003B6E11" w:rsidRPr="003B6E11" w:rsidRDefault="003B6E11" w:rsidP="002D015D">
            <w:pPr>
              <w:widowControl w:val="0"/>
              <w:tabs>
                <w:tab w:val="center" w:pos="6804"/>
                <w:tab w:val="left" w:leader="dot" w:pos="8789"/>
              </w:tabs>
              <w:spacing w:line="240" w:lineRule="atLeast"/>
              <w:ind w:left="1134"/>
              <w:rPr>
                <w:noProof/>
                <w:szCs w:val="20"/>
                <w:lang w:val="cs-CZ"/>
              </w:rPr>
            </w:pPr>
            <w:r w:rsidRPr="003B6E11">
              <w:rPr>
                <w:lang w:val="cs-CZ"/>
              </w:rPr>
              <w:t>Razítko</w:t>
            </w:r>
          </w:p>
          <w:p w:rsidR="003B6E11" w:rsidRPr="003B6E11" w:rsidRDefault="003B6E11" w:rsidP="002D015D">
            <w:pPr>
              <w:widowControl w:val="0"/>
              <w:tabs>
                <w:tab w:val="left" w:pos="5954"/>
                <w:tab w:val="left" w:leader="dot" w:pos="8789"/>
              </w:tabs>
              <w:spacing w:line="240" w:lineRule="atLeast"/>
              <w:rPr>
                <w:noProof/>
                <w:szCs w:val="20"/>
                <w:lang w:val="cs-CZ"/>
              </w:rPr>
            </w:pPr>
            <w:r w:rsidRPr="003B6E11">
              <w:rPr>
                <w:lang w:val="cs-CZ"/>
              </w:rPr>
              <w:tab/>
              <w:t>…………………………………….</w:t>
            </w:r>
          </w:p>
          <w:p w:rsidR="003B6E11" w:rsidRPr="003B6E11" w:rsidRDefault="003B6E11" w:rsidP="002D015D">
            <w:pPr>
              <w:widowControl w:val="0"/>
              <w:tabs>
                <w:tab w:val="left" w:pos="7088"/>
                <w:tab w:val="left" w:leader="dot" w:pos="8789"/>
              </w:tabs>
              <w:spacing w:after="240" w:line="360" w:lineRule="auto"/>
              <w:rPr>
                <w:noProof/>
                <w:sz w:val="16"/>
                <w:szCs w:val="20"/>
                <w:lang w:val="cs-CZ"/>
              </w:rPr>
            </w:pPr>
            <w:r w:rsidRPr="003B6E11">
              <w:rPr>
                <w:lang w:val="cs-CZ"/>
              </w:rPr>
              <w:tab/>
              <w:t>(podpis)</w:t>
            </w:r>
          </w:p>
          <w:p w:rsidR="003B6E11" w:rsidRPr="003B6E11" w:rsidRDefault="003B6E11" w:rsidP="002D015D">
            <w:pPr>
              <w:widowControl w:val="0"/>
              <w:tabs>
                <w:tab w:val="left" w:pos="6946"/>
                <w:tab w:val="left" w:leader="dot" w:pos="8789"/>
              </w:tabs>
              <w:spacing w:before="960" w:line="240" w:lineRule="atLeast"/>
              <w:ind w:left="284" w:hanging="284"/>
              <w:rPr>
                <w:noProof/>
                <w:sz w:val="16"/>
                <w:szCs w:val="20"/>
                <w:vertAlign w:val="superscript"/>
                <w:lang w:val="cs-CZ"/>
              </w:rPr>
            </w:pPr>
            <w:r w:rsidRPr="003B6E11">
              <w:rPr>
                <w:noProof/>
                <w:sz w:val="16"/>
                <w:vertAlign w:val="superscript"/>
                <w:lang w:val="cs-CZ"/>
              </w:rPr>
              <w:t>_________________</w:t>
            </w:r>
          </w:p>
          <w:p w:rsidR="003B6E11" w:rsidRPr="003B6E11" w:rsidRDefault="003B6E11" w:rsidP="002D015D">
            <w:pPr>
              <w:widowControl w:val="0"/>
              <w:tabs>
                <w:tab w:val="right" w:pos="8789"/>
              </w:tabs>
              <w:spacing w:line="360" w:lineRule="auto"/>
              <w:ind w:left="284" w:hanging="284"/>
              <w:rPr>
                <w:noProof/>
                <w:szCs w:val="20"/>
                <w:lang w:val="cs-CZ"/>
              </w:rPr>
            </w:pPr>
            <w:r w:rsidRPr="003B6E11">
              <w:rPr>
                <w:noProof/>
                <w:sz w:val="16"/>
                <w:vertAlign w:val="superscript"/>
                <w:lang w:val="cs-CZ"/>
              </w:rPr>
              <w:t>(1)</w:t>
            </w:r>
            <w:r w:rsidRPr="003B6E11">
              <w:rPr>
                <w:noProof/>
                <w:sz w:val="16"/>
                <w:lang w:val="cs-CZ"/>
              </w:rPr>
              <w:t xml:space="preserve"> Nehodící se škrtněte.</w:t>
            </w:r>
          </w:p>
        </w:tc>
      </w:tr>
    </w:tbl>
    <w:p w:rsidR="003B6E11" w:rsidRPr="003B6E11" w:rsidRDefault="003B6E11" w:rsidP="003B6E11">
      <w:pPr>
        <w:pStyle w:val="ES-Titre3"/>
        <w:rPr>
          <w:noProof/>
          <w:lang w:val="cs-CZ"/>
        </w:rPr>
      </w:pPr>
      <w:r w:rsidRPr="003B6E11">
        <w:rPr>
          <w:lang w:val="cs-CZ"/>
        </w:rPr>
        <w:br w:type="page"/>
      </w:r>
      <w:bookmarkStart w:id="618" w:name="_Toc491854301"/>
      <w:bookmarkStart w:id="619" w:name="_Toc535417207"/>
      <w:r w:rsidRPr="003B6E11">
        <w:rPr>
          <w:lang w:val="cs-CZ"/>
        </w:rPr>
        <w:t>Oddíl IV</w:t>
      </w:r>
      <w:bookmarkEnd w:id="618"/>
      <w:bookmarkEnd w:id="619"/>
    </w:p>
    <w:p w:rsidR="003B6E11" w:rsidRPr="003B6E11" w:rsidRDefault="003B6E11" w:rsidP="003B6E11">
      <w:pPr>
        <w:pStyle w:val="ES-Titre3a"/>
        <w:rPr>
          <w:noProof/>
          <w:lang w:val="cs-CZ"/>
        </w:rPr>
      </w:pPr>
      <w:bookmarkStart w:id="620" w:name="_Toc491854302"/>
      <w:bookmarkStart w:id="621" w:name="_Toc535417208"/>
      <w:r w:rsidRPr="003B6E11">
        <w:rPr>
          <w:lang w:val="cs-CZ"/>
        </w:rPr>
        <w:t>Vzor osvědčení námořní lodě provozované na Rýně</w:t>
      </w:r>
      <w:bookmarkEnd w:id="620"/>
      <w:bookmarkEnd w:id="621"/>
    </w:p>
    <w:p w:rsidR="003B6E11" w:rsidRPr="003B6E11" w:rsidRDefault="003B6E11" w:rsidP="003B6E11">
      <w:pPr>
        <w:pStyle w:val="ESch"/>
        <w:rPr>
          <w:lang w:val="cs-CZ"/>
        </w:rPr>
      </w:pPr>
    </w:p>
    <w:p w:rsidR="003B6E11" w:rsidRPr="003B6E11" w:rsidRDefault="003B6E11" w:rsidP="003B6E11">
      <w:pPr>
        <w:tabs>
          <w:tab w:val="left" w:pos="284"/>
          <w:tab w:val="left" w:leader="dot" w:pos="9356"/>
        </w:tabs>
        <w:overflowPunct w:val="0"/>
        <w:adjustRightInd w:val="0"/>
        <w:jc w:val="center"/>
        <w:textAlignment w:val="baseline"/>
        <w:rPr>
          <w:rFonts w:cs="Arial"/>
          <w:b/>
          <w:lang w:val="cs-CZ"/>
        </w:rPr>
      </w:pPr>
      <w:r w:rsidRPr="003B6E11">
        <w:rPr>
          <w:b/>
          <w:lang w:val="cs-CZ"/>
        </w:rPr>
        <w:t>Název státu / pečeť</w:t>
      </w:r>
    </w:p>
    <w:p w:rsidR="003B6E11" w:rsidRPr="003B6E11" w:rsidRDefault="003B6E11" w:rsidP="003B6E11">
      <w:pPr>
        <w:pStyle w:val="ESch"/>
        <w:rPr>
          <w:lang w:val="cs-CZ"/>
        </w:rPr>
      </w:pPr>
    </w:p>
    <w:p w:rsidR="003B6E11" w:rsidRPr="003B6E11" w:rsidRDefault="003B6E11" w:rsidP="003B6E11">
      <w:pPr>
        <w:overflowPunct w:val="0"/>
        <w:adjustRightInd w:val="0"/>
        <w:jc w:val="center"/>
        <w:textAlignment w:val="baseline"/>
        <w:rPr>
          <w:rFonts w:cs="Arial"/>
          <w:b/>
          <w:lang w:val="cs-CZ"/>
        </w:rPr>
      </w:pPr>
      <w:r w:rsidRPr="003B6E11">
        <w:rPr>
          <w:b/>
          <w:lang w:val="cs-CZ"/>
        </w:rPr>
        <w:t>Osvědčení námořní lodě provozované na Rýně</w:t>
      </w:r>
    </w:p>
    <w:p w:rsidR="003B6E11" w:rsidRPr="003B6E11" w:rsidRDefault="003B6E11" w:rsidP="003B6E11">
      <w:pPr>
        <w:overflowPunct w:val="0"/>
        <w:adjustRightInd w:val="0"/>
        <w:jc w:val="center"/>
        <w:textAlignment w:val="baseline"/>
        <w:rPr>
          <w:rFonts w:cs="Arial"/>
          <w:b/>
          <w:lang w:val="cs-CZ"/>
        </w:rPr>
      </w:pPr>
      <w:r w:rsidRPr="003B6E11">
        <w:rPr>
          <w:b/>
          <w:lang w:val="cs-CZ"/>
        </w:rPr>
        <w:t>č. …..............</w:t>
      </w:r>
    </w:p>
    <w:p w:rsidR="003B6E11" w:rsidRPr="003B6E11" w:rsidRDefault="003B6E11" w:rsidP="003B6E11">
      <w:pPr>
        <w:tabs>
          <w:tab w:val="left" w:pos="284"/>
          <w:tab w:val="left" w:leader="dot" w:pos="9072"/>
        </w:tabs>
        <w:ind w:left="284" w:hanging="284"/>
        <w:rPr>
          <w:lang w:val="cs-CZ"/>
        </w:rPr>
      </w:pPr>
    </w:p>
    <w:p w:rsidR="003B6E11" w:rsidRPr="003B6E11" w:rsidRDefault="003B6E11" w:rsidP="003B6E11">
      <w:pPr>
        <w:tabs>
          <w:tab w:val="left" w:leader="dot" w:pos="5954"/>
          <w:tab w:val="left" w:leader="dot" w:pos="9072"/>
        </w:tabs>
        <w:rPr>
          <w:lang w:val="cs-CZ"/>
        </w:rPr>
      </w:pPr>
      <w:r w:rsidRPr="003B6E11">
        <w:rPr>
          <w:lang w:val="cs-CZ"/>
        </w:rPr>
        <w:t xml:space="preserve">Subjekt pověřeným prohlídkami </w:t>
      </w:r>
      <w:r w:rsidRPr="003B6E11">
        <w:rPr>
          <w:lang w:val="cs-CZ"/>
        </w:rPr>
        <w:tab/>
        <w:t xml:space="preserve"> osvědčuje, že námořní loď </w:t>
      </w:r>
    </w:p>
    <w:p w:rsidR="003B6E11" w:rsidRPr="003B6E11" w:rsidRDefault="003B6E11" w:rsidP="003B6E11">
      <w:pPr>
        <w:pStyle w:val="ESch"/>
        <w:rPr>
          <w:lang w:val="cs-CZ"/>
        </w:rPr>
      </w:pPr>
    </w:p>
    <w:p w:rsidR="003B6E11" w:rsidRPr="003B6E11" w:rsidRDefault="003B6E11" w:rsidP="003B6E11">
      <w:pPr>
        <w:tabs>
          <w:tab w:val="left" w:pos="284"/>
          <w:tab w:val="left" w:leader="dot" w:pos="9072"/>
        </w:tabs>
        <w:spacing w:after="120"/>
        <w:ind w:left="284" w:hanging="284"/>
        <w:rPr>
          <w:lang w:val="cs-CZ"/>
        </w:rPr>
      </w:pPr>
      <w:r w:rsidRPr="003B6E11">
        <w:rPr>
          <w:lang w:val="cs-CZ"/>
        </w:rPr>
        <w:t xml:space="preserve">Jméno: </w:t>
      </w:r>
      <w:r w:rsidRPr="003B6E11">
        <w:rPr>
          <w:lang w:val="cs-CZ"/>
        </w:rPr>
        <w:tab/>
      </w:r>
    </w:p>
    <w:p w:rsidR="003B6E11" w:rsidRPr="003B6E11" w:rsidRDefault="003B6E11" w:rsidP="003B6E11">
      <w:pPr>
        <w:tabs>
          <w:tab w:val="left" w:pos="284"/>
          <w:tab w:val="left" w:leader="dot" w:pos="9072"/>
        </w:tabs>
        <w:spacing w:after="120"/>
        <w:ind w:left="284" w:hanging="284"/>
        <w:rPr>
          <w:lang w:val="cs-CZ"/>
        </w:rPr>
      </w:pPr>
      <w:r w:rsidRPr="003B6E11">
        <w:rPr>
          <w:lang w:val="cs-CZ"/>
        </w:rPr>
        <w:t xml:space="preserve">Registrační číslo či písmena lodi: </w:t>
      </w:r>
      <w:r w:rsidRPr="003B6E11">
        <w:rPr>
          <w:lang w:val="cs-CZ"/>
        </w:rPr>
        <w:tab/>
      </w:r>
    </w:p>
    <w:p w:rsidR="003B6E11" w:rsidRPr="003B6E11" w:rsidRDefault="003B6E11" w:rsidP="003B6E11">
      <w:pPr>
        <w:tabs>
          <w:tab w:val="left" w:pos="284"/>
          <w:tab w:val="left" w:leader="dot" w:pos="9072"/>
        </w:tabs>
        <w:spacing w:after="120"/>
        <w:ind w:left="284" w:hanging="284"/>
        <w:rPr>
          <w:lang w:val="cs-CZ"/>
        </w:rPr>
      </w:pPr>
      <w:r w:rsidRPr="003B6E11">
        <w:rPr>
          <w:lang w:val="cs-CZ"/>
        </w:rPr>
        <w:t xml:space="preserve">Místo registrace: </w:t>
      </w:r>
      <w:r w:rsidRPr="003B6E11">
        <w:rPr>
          <w:lang w:val="cs-CZ"/>
        </w:rPr>
        <w:tab/>
      </w:r>
    </w:p>
    <w:p w:rsidR="003B6E11" w:rsidRPr="003B6E11" w:rsidRDefault="003B6E11" w:rsidP="003B6E11">
      <w:pPr>
        <w:tabs>
          <w:tab w:val="left" w:pos="284"/>
          <w:tab w:val="left" w:leader="dot" w:pos="9072"/>
        </w:tabs>
        <w:spacing w:after="120"/>
        <w:ind w:left="284" w:hanging="284"/>
        <w:rPr>
          <w:lang w:val="cs-CZ"/>
        </w:rPr>
      </w:pPr>
      <w:r w:rsidRPr="003B6E11">
        <w:rPr>
          <w:lang w:val="cs-CZ"/>
        </w:rPr>
        <w:t xml:space="preserve">Rok stavby: </w:t>
      </w:r>
      <w:r w:rsidRPr="003B6E11">
        <w:rPr>
          <w:lang w:val="cs-CZ"/>
        </w:rPr>
        <w:tab/>
      </w:r>
    </w:p>
    <w:p w:rsidR="003B6E11" w:rsidRPr="003B6E11" w:rsidRDefault="003B6E11" w:rsidP="003B6E11">
      <w:pPr>
        <w:tabs>
          <w:tab w:val="left" w:pos="284"/>
          <w:tab w:val="left" w:leader="dot" w:pos="9072"/>
        </w:tabs>
        <w:spacing w:after="120"/>
        <w:ind w:left="284" w:hanging="284"/>
        <w:rPr>
          <w:lang w:val="cs-CZ"/>
        </w:rPr>
      </w:pPr>
      <w:r w:rsidRPr="003B6E11">
        <w:rPr>
          <w:lang w:val="cs-CZ"/>
        </w:rPr>
        <w:t xml:space="preserve">Délka lodi: </w:t>
      </w:r>
      <w:r w:rsidRPr="003B6E11">
        <w:rPr>
          <w:lang w:val="cs-CZ"/>
        </w:rPr>
        <w:tab/>
      </w:r>
    </w:p>
    <w:p w:rsidR="003B6E11" w:rsidRPr="003B6E11" w:rsidRDefault="003B6E11" w:rsidP="003B6E11">
      <w:pPr>
        <w:tabs>
          <w:tab w:val="left" w:leader="dot" w:pos="4536"/>
          <w:tab w:val="left" w:leader="dot" w:pos="9072"/>
        </w:tabs>
        <w:spacing w:before="80" w:after="80" w:line="240" w:lineRule="atLeast"/>
        <w:ind w:right="-1"/>
        <w:rPr>
          <w:lang w:val="cs-CZ"/>
        </w:rPr>
      </w:pPr>
      <w:r w:rsidRPr="003B6E11">
        <w:rPr>
          <w:lang w:val="cs-CZ"/>
        </w:rPr>
        <w:t xml:space="preserve">Po provedení prohlídky se loď jménem </w:t>
      </w:r>
      <w:r w:rsidRPr="003B6E11">
        <w:rPr>
          <w:lang w:val="cs-CZ"/>
        </w:rPr>
        <w:tab/>
        <w:t xml:space="preserve"> uznává způsobilou pro plavbu na Rýně a plavba na Rýně jí je povolena při splnění níže uvedených zvláštních podmínek.</w:t>
      </w:r>
    </w:p>
    <w:p w:rsidR="003B6E11" w:rsidRPr="003B6E11" w:rsidRDefault="003B6E11" w:rsidP="003B6E11">
      <w:pPr>
        <w:tabs>
          <w:tab w:val="left" w:leader="dot" w:pos="9072"/>
        </w:tabs>
        <w:spacing w:line="240" w:lineRule="atLeast"/>
        <w:rPr>
          <w:lang w:val="cs-CZ"/>
        </w:rPr>
      </w:pPr>
      <w:r w:rsidRPr="003B6E11">
        <w:rPr>
          <w:lang w:val="cs-CZ"/>
        </w:rPr>
        <w:t xml:space="preserve">Zvláštní podmínky: </w:t>
      </w:r>
      <w:r w:rsidRPr="003B6E11">
        <w:rPr>
          <w:lang w:val="cs-CZ"/>
        </w:rPr>
        <w:tab/>
      </w:r>
    </w:p>
    <w:p w:rsidR="003B6E11" w:rsidRPr="003B6E11" w:rsidRDefault="003B6E11" w:rsidP="003B6E11">
      <w:pPr>
        <w:tabs>
          <w:tab w:val="left" w:leader="dot" w:pos="9072"/>
        </w:tabs>
        <w:spacing w:line="240" w:lineRule="atLeast"/>
        <w:rPr>
          <w:lang w:val="cs-CZ"/>
        </w:rPr>
      </w:pPr>
      <w:r w:rsidRPr="003B6E11">
        <w:rPr>
          <w:lang w:val="cs-CZ"/>
        </w:rPr>
        <w:tab/>
      </w:r>
    </w:p>
    <w:p w:rsidR="003B6E11" w:rsidRPr="003B6E11" w:rsidRDefault="003B6E11" w:rsidP="003B6E11">
      <w:pPr>
        <w:tabs>
          <w:tab w:val="left" w:leader="dot" w:pos="9072"/>
        </w:tabs>
        <w:spacing w:line="240" w:lineRule="atLeast"/>
        <w:rPr>
          <w:lang w:val="cs-CZ"/>
        </w:rPr>
      </w:pPr>
      <w:r w:rsidRPr="003B6E11">
        <w:rPr>
          <w:lang w:val="cs-CZ"/>
        </w:rPr>
        <w:tab/>
      </w:r>
    </w:p>
    <w:p w:rsidR="003B6E11" w:rsidRPr="003B6E11" w:rsidRDefault="003B6E11" w:rsidP="003B6E11">
      <w:pPr>
        <w:tabs>
          <w:tab w:val="left" w:leader="dot" w:pos="9072"/>
        </w:tabs>
        <w:spacing w:line="240" w:lineRule="atLeast"/>
        <w:rPr>
          <w:lang w:val="cs-CZ"/>
        </w:rPr>
      </w:pPr>
      <w:r w:rsidRPr="003B6E11">
        <w:rPr>
          <w:lang w:val="cs-CZ"/>
        </w:rPr>
        <w:tab/>
      </w:r>
    </w:p>
    <w:p w:rsidR="003B6E11" w:rsidRPr="003B6E11" w:rsidRDefault="003B6E11" w:rsidP="003B6E11">
      <w:pPr>
        <w:pStyle w:val="ESch"/>
        <w:rPr>
          <w:lang w:val="cs-CZ"/>
        </w:rPr>
      </w:pPr>
    </w:p>
    <w:p w:rsidR="003B6E11" w:rsidRPr="003B6E11" w:rsidRDefault="003B6E11" w:rsidP="003B6E11">
      <w:pPr>
        <w:tabs>
          <w:tab w:val="left" w:leader="dot" w:pos="9072"/>
        </w:tabs>
        <w:spacing w:before="60" w:after="40" w:line="240" w:lineRule="atLeast"/>
        <w:ind w:right="-1"/>
        <w:rPr>
          <w:lang w:val="cs-CZ"/>
        </w:rPr>
      </w:pPr>
      <w:r w:rsidRPr="003B6E11">
        <w:rPr>
          <w:lang w:val="cs-CZ"/>
        </w:rPr>
        <w:t xml:space="preserve">Toto osvědčení je platné pod podmínkou, že loď má platná osvědčení pro námořní nebo pobřežní plavbu, a platí do </w:t>
      </w:r>
      <w:r w:rsidRPr="003B6E11">
        <w:rPr>
          <w:lang w:val="cs-CZ"/>
        </w:rPr>
        <w:tab/>
      </w:r>
    </w:p>
    <w:p w:rsidR="003B6E11" w:rsidRPr="003B6E11" w:rsidRDefault="003B6E11" w:rsidP="003B6E11">
      <w:pPr>
        <w:tabs>
          <w:tab w:val="left" w:pos="284"/>
          <w:tab w:val="left" w:leader="dot" w:pos="9072"/>
        </w:tabs>
        <w:ind w:left="284" w:hanging="284"/>
        <w:rPr>
          <w:lang w:val="cs-CZ"/>
        </w:rPr>
      </w:pPr>
    </w:p>
    <w:p w:rsidR="003B6E11" w:rsidRPr="003B6E11" w:rsidRDefault="003B6E11" w:rsidP="003B6E11">
      <w:pPr>
        <w:tabs>
          <w:tab w:val="left" w:pos="2835"/>
          <w:tab w:val="left" w:leader="dot" w:pos="5670"/>
          <w:tab w:val="left" w:leader="dot" w:pos="9072"/>
        </w:tabs>
        <w:ind w:left="284" w:hanging="284"/>
        <w:rPr>
          <w:lang w:val="cs-CZ"/>
        </w:rPr>
      </w:pPr>
      <w:r w:rsidRPr="003B6E11">
        <w:rPr>
          <w:lang w:val="cs-CZ"/>
        </w:rPr>
        <w:tab/>
      </w:r>
      <w:r w:rsidRPr="003B6E11">
        <w:rPr>
          <w:lang w:val="cs-CZ"/>
        </w:rPr>
        <w:tab/>
      </w:r>
      <w:r w:rsidRPr="003B6E11">
        <w:rPr>
          <w:lang w:val="cs-CZ"/>
        </w:rPr>
        <w:tab/>
        <w:t xml:space="preserve">, </w:t>
      </w:r>
      <w:r w:rsidRPr="003B6E11">
        <w:rPr>
          <w:lang w:val="cs-CZ"/>
        </w:rPr>
        <w:tab/>
      </w:r>
    </w:p>
    <w:p w:rsidR="003B6E11" w:rsidRPr="003B6E11" w:rsidRDefault="003B6E11" w:rsidP="003B6E11">
      <w:pPr>
        <w:tabs>
          <w:tab w:val="center" w:pos="4253"/>
          <w:tab w:val="center" w:pos="7513"/>
          <w:tab w:val="left" w:leader="dot" w:pos="9072"/>
        </w:tabs>
        <w:ind w:left="284" w:hanging="284"/>
        <w:rPr>
          <w:lang w:val="cs-CZ"/>
        </w:rPr>
      </w:pPr>
      <w:r w:rsidRPr="003B6E11">
        <w:rPr>
          <w:lang w:val="cs-CZ"/>
        </w:rPr>
        <w:tab/>
      </w:r>
      <w:r w:rsidRPr="003B6E11">
        <w:rPr>
          <w:lang w:val="cs-CZ"/>
        </w:rPr>
        <w:tab/>
        <w:t xml:space="preserve">(místo) </w:t>
      </w:r>
      <w:r w:rsidRPr="003B6E11">
        <w:rPr>
          <w:lang w:val="cs-CZ"/>
        </w:rPr>
        <w:tab/>
        <w:t>(datum)</w:t>
      </w:r>
    </w:p>
    <w:p w:rsidR="003B6E11" w:rsidRPr="003B6E11" w:rsidRDefault="003B6E11" w:rsidP="003B6E11">
      <w:pPr>
        <w:pStyle w:val="ESch"/>
        <w:rPr>
          <w:lang w:val="cs-CZ"/>
        </w:rPr>
      </w:pPr>
    </w:p>
    <w:p w:rsidR="003B6E11" w:rsidRPr="003B6E11" w:rsidRDefault="003B6E11" w:rsidP="003B6E11">
      <w:pPr>
        <w:tabs>
          <w:tab w:val="left" w:pos="5103"/>
          <w:tab w:val="left" w:leader="dot" w:pos="9072"/>
        </w:tabs>
        <w:ind w:left="284" w:hanging="284"/>
        <w:rPr>
          <w:lang w:val="cs-CZ"/>
        </w:rPr>
      </w:pPr>
      <w:r w:rsidRPr="003B6E11">
        <w:rPr>
          <w:lang w:val="cs-CZ"/>
        </w:rPr>
        <w:tab/>
      </w:r>
      <w:r w:rsidRPr="003B6E11">
        <w:rPr>
          <w:lang w:val="cs-CZ"/>
        </w:rPr>
        <w:tab/>
      </w:r>
      <w:r w:rsidRPr="003B6E11">
        <w:rPr>
          <w:lang w:val="cs-CZ"/>
        </w:rPr>
        <w:tab/>
      </w:r>
    </w:p>
    <w:p w:rsidR="003B6E11" w:rsidRPr="003B6E11" w:rsidRDefault="003B6E11" w:rsidP="003B6E11">
      <w:pPr>
        <w:tabs>
          <w:tab w:val="center" w:pos="7088"/>
          <w:tab w:val="left" w:leader="dot" w:pos="9072"/>
        </w:tabs>
        <w:ind w:left="1560"/>
        <w:rPr>
          <w:lang w:val="cs-CZ"/>
        </w:rPr>
      </w:pPr>
      <w:r w:rsidRPr="003B6E11">
        <w:rPr>
          <w:lang w:val="cs-CZ"/>
        </w:rPr>
        <w:t>Razítko</w:t>
      </w:r>
      <w:r w:rsidRPr="003B6E11">
        <w:rPr>
          <w:lang w:val="cs-CZ"/>
        </w:rPr>
        <w:tab/>
        <w:t>(subjekt pověřený prohlídkami)</w:t>
      </w:r>
    </w:p>
    <w:p w:rsidR="003B6E11" w:rsidRPr="003B6E11" w:rsidRDefault="003B6E11" w:rsidP="003B6E11">
      <w:pPr>
        <w:tabs>
          <w:tab w:val="left" w:pos="5103"/>
          <w:tab w:val="left" w:leader="dot" w:pos="9072"/>
        </w:tabs>
        <w:ind w:left="284" w:hanging="284"/>
        <w:rPr>
          <w:lang w:val="cs-CZ"/>
        </w:rPr>
      </w:pPr>
      <w:r w:rsidRPr="003B6E11">
        <w:rPr>
          <w:lang w:val="cs-CZ"/>
        </w:rPr>
        <w:tab/>
      </w:r>
      <w:r w:rsidRPr="003B6E11">
        <w:rPr>
          <w:lang w:val="cs-CZ"/>
        </w:rPr>
        <w:tab/>
      </w:r>
      <w:r w:rsidRPr="003B6E11">
        <w:rPr>
          <w:lang w:val="cs-CZ"/>
        </w:rPr>
        <w:tab/>
      </w:r>
    </w:p>
    <w:p w:rsidR="003B6E11" w:rsidRPr="003B6E11" w:rsidRDefault="003B6E11" w:rsidP="003B6E11">
      <w:pPr>
        <w:tabs>
          <w:tab w:val="center" w:pos="7088"/>
          <w:tab w:val="left" w:leader="dot" w:pos="9072"/>
        </w:tabs>
        <w:ind w:left="284" w:hanging="284"/>
        <w:rPr>
          <w:lang w:val="cs-CZ"/>
        </w:rPr>
      </w:pPr>
      <w:r w:rsidRPr="003B6E11">
        <w:rPr>
          <w:lang w:val="cs-CZ"/>
        </w:rPr>
        <w:tab/>
      </w:r>
      <w:r w:rsidRPr="003B6E11">
        <w:rPr>
          <w:lang w:val="cs-CZ"/>
        </w:rPr>
        <w:tab/>
        <w:t>(podpis)</w:t>
      </w:r>
    </w:p>
    <w:p w:rsidR="003B6E11" w:rsidRPr="003B6E11" w:rsidRDefault="003B6E11" w:rsidP="003B6E11">
      <w:pPr>
        <w:tabs>
          <w:tab w:val="left" w:pos="2579"/>
        </w:tabs>
        <w:rPr>
          <w:lang w:val="cs-CZ"/>
        </w:rPr>
      </w:pPr>
      <w:r w:rsidRPr="003B6E11">
        <w:rPr>
          <w:lang w:val="cs-CZ"/>
        </w:rPr>
        <w:br w:type="page"/>
      </w:r>
    </w:p>
    <w:p w:rsidR="003B6E11" w:rsidRPr="003B6E11" w:rsidRDefault="003B6E11" w:rsidP="003B6E11">
      <w:pPr>
        <w:tabs>
          <w:tab w:val="left" w:pos="2579"/>
        </w:tabs>
        <w:rPr>
          <w:lang w:val="cs-CZ"/>
        </w:rPr>
      </w:pPr>
    </w:p>
    <w:p w:rsidR="003B6E11" w:rsidRPr="003B6E11" w:rsidRDefault="003B6E11" w:rsidP="003B6E11">
      <w:pPr>
        <w:tabs>
          <w:tab w:val="left" w:pos="2579"/>
        </w:tabs>
        <w:rPr>
          <w:lang w:val="cs-CZ"/>
        </w:rPr>
      </w:pPr>
    </w:p>
    <w:p w:rsidR="003B6E11" w:rsidRPr="003B6E11" w:rsidRDefault="003B6E11" w:rsidP="003B6E11">
      <w:pPr>
        <w:tabs>
          <w:tab w:val="left" w:pos="2579"/>
        </w:tabs>
        <w:rPr>
          <w:lang w:val="cs-CZ"/>
        </w:rPr>
      </w:pPr>
      <w:r w:rsidRPr="003B6E11">
        <w:rPr>
          <w:lang w:val="cs-CZ"/>
        </w:rPr>
        <w:br w:type="page"/>
      </w:r>
    </w:p>
    <w:p w:rsidR="003B6E11" w:rsidRPr="003B6E11" w:rsidRDefault="003B6E11" w:rsidP="003B6E11">
      <w:pPr>
        <w:pStyle w:val="ES-Titre3"/>
        <w:rPr>
          <w:noProof/>
          <w:lang w:val="cs-CZ"/>
        </w:rPr>
      </w:pPr>
      <w:bookmarkStart w:id="622" w:name="_Toc491854303"/>
      <w:bookmarkStart w:id="623" w:name="_Toc535417209"/>
      <w:r w:rsidRPr="003B6E11">
        <w:rPr>
          <w:lang w:val="cs-CZ"/>
        </w:rPr>
        <w:t>Oddíl V</w:t>
      </w:r>
      <w:bookmarkEnd w:id="622"/>
      <w:bookmarkEnd w:id="623"/>
    </w:p>
    <w:p w:rsidR="003B6E11" w:rsidRPr="003B6E11" w:rsidRDefault="003B6E11" w:rsidP="003B6E11">
      <w:pPr>
        <w:pStyle w:val="ES-Titre3a"/>
        <w:rPr>
          <w:rFonts w:cs="Arial"/>
          <w:color w:val="000000"/>
          <w:lang w:val="cs-CZ"/>
        </w:rPr>
      </w:pPr>
      <w:bookmarkStart w:id="624" w:name="_Toc491854304"/>
      <w:bookmarkStart w:id="625" w:name="_Toc535417210"/>
      <w:r w:rsidRPr="003B6E11">
        <w:rPr>
          <w:lang w:val="cs-CZ"/>
        </w:rPr>
        <w:t>Vzor přílohy „Tradiční plavidlo“ k osvědčení plavidla vnitrozemské plavby podle kapitoly 24</w:t>
      </w:r>
      <w:bookmarkEnd w:id="624"/>
      <w:bookmarkEnd w:id="625"/>
    </w:p>
    <w:p w:rsidR="003B6E11" w:rsidRPr="003B6E11" w:rsidRDefault="003B6E11" w:rsidP="003B6E11">
      <w:pPr>
        <w:tabs>
          <w:tab w:val="center" w:pos="8222"/>
        </w:tabs>
        <w:rPr>
          <w:lang w:val="cs-CZ"/>
        </w:rPr>
      </w:pP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3"/>
        <w:gridCol w:w="4592"/>
      </w:tblGrid>
      <w:tr w:rsidR="003B6E11" w:rsidRPr="003B6E11" w:rsidTr="002D015D">
        <w:tc>
          <w:tcPr>
            <w:tcW w:w="10188" w:type="dxa"/>
            <w:gridSpan w:val="2"/>
            <w:tcBorders>
              <w:bottom w:val="nil"/>
            </w:tcBorders>
          </w:tcPr>
          <w:p w:rsidR="003B6E11" w:rsidRPr="003B6E11" w:rsidRDefault="003B6E11" w:rsidP="002D015D">
            <w:pPr>
              <w:spacing w:before="60" w:after="60" w:line="240" w:lineRule="atLeast"/>
              <w:jc w:val="center"/>
              <w:rPr>
                <w:rFonts w:cs="Arial"/>
                <w:b/>
                <w:color w:val="000000"/>
                <w:lang w:val="cs-CZ"/>
              </w:rPr>
            </w:pPr>
            <w:r w:rsidRPr="003B6E11">
              <w:rPr>
                <w:b/>
                <w:color w:val="000000"/>
                <w:lang w:val="cs-CZ"/>
              </w:rPr>
              <w:t>Příloha „Tradiční plavidlo“</w:t>
            </w:r>
          </w:p>
          <w:p w:rsidR="003B6E11" w:rsidRPr="003B6E11" w:rsidRDefault="003B6E11" w:rsidP="002D015D">
            <w:pPr>
              <w:spacing w:before="60" w:after="60" w:line="240" w:lineRule="atLeast"/>
              <w:jc w:val="center"/>
              <w:rPr>
                <w:rFonts w:cs="Arial"/>
                <w:color w:val="000000"/>
                <w:lang w:val="cs-CZ"/>
              </w:rPr>
            </w:pPr>
          </w:p>
        </w:tc>
      </w:tr>
      <w:tr w:rsidR="003B6E11" w:rsidRPr="003B6E11" w:rsidTr="002D015D">
        <w:tc>
          <w:tcPr>
            <w:tcW w:w="10188" w:type="dxa"/>
            <w:gridSpan w:val="2"/>
            <w:tcBorders>
              <w:top w:val="nil"/>
              <w:bottom w:val="nil"/>
            </w:tcBorders>
          </w:tcPr>
          <w:p w:rsidR="003B6E11" w:rsidRPr="003B6E11" w:rsidRDefault="003B6E11" w:rsidP="002D015D">
            <w:pPr>
              <w:spacing w:before="60" w:after="60" w:line="240" w:lineRule="atLeast"/>
              <w:jc w:val="center"/>
              <w:rPr>
                <w:rFonts w:cs="Arial"/>
                <w:b/>
                <w:color w:val="000000"/>
                <w:lang w:val="cs-CZ"/>
              </w:rPr>
            </w:pPr>
            <w:r w:rsidRPr="003B6E11">
              <w:rPr>
                <w:b/>
                <w:lang w:val="cs-CZ"/>
              </w:rPr>
              <w:t>Název státu / pečeť</w:t>
            </w:r>
          </w:p>
          <w:p w:rsidR="003B6E11" w:rsidRPr="003B6E11" w:rsidRDefault="003B6E11" w:rsidP="002D015D">
            <w:pPr>
              <w:spacing w:before="60" w:after="60" w:line="240" w:lineRule="atLeast"/>
              <w:jc w:val="center"/>
              <w:rPr>
                <w:rFonts w:cs="Arial"/>
                <w:b/>
                <w:color w:val="000000"/>
                <w:lang w:val="cs-CZ"/>
              </w:rPr>
            </w:pPr>
          </w:p>
        </w:tc>
      </w:tr>
      <w:tr w:rsidR="003B6E11" w:rsidRPr="003B6E11" w:rsidTr="002D015D">
        <w:tc>
          <w:tcPr>
            <w:tcW w:w="10188" w:type="dxa"/>
            <w:gridSpan w:val="2"/>
            <w:tcBorders>
              <w:top w:val="nil"/>
            </w:tcBorders>
          </w:tcPr>
          <w:p w:rsidR="003B6E11" w:rsidRPr="003B6E11" w:rsidRDefault="003B6E11" w:rsidP="002D015D">
            <w:pPr>
              <w:spacing w:before="60" w:after="60" w:line="240" w:lineRule="atLeast"/>
              <w:jc w:val="center"/>
              <w:rPr>
                <w:rFonts w:cs="Arial"/>
                <w:color w:val="000000"/>
                <w:lang w:val="cs-CZ"/>
              </w:rPr>
            </w:pPr>
            <w:r w:rsidRPr="003B6E11">
              <w:rPr>
                <w:b/>
                <w:color w:val="000000"/>
                <w:lang w:val="cs-CZ"/>
              </w:rPr>
              <w:t>Příloha osvědčení plavidla vnitrozemské plavby č.</w:t>
            </w:r>
            <w:r w:rsidRPr="003B6E11">
              <w:rPr>
                <w:color w:val="000000"/>
                <w:lang w:val="cs-CZ"/>
              </w:rPr>
              <w:t xml:space="preserve"> …………….</w:t>
            </w:r>
          </w:p>
          <w:p w:rsidR="003B6E11" w:rsidRPr="003B6E11" w:rsidRDefault="003B6E11" w:rsidP="002D015D">
            <w:pPr>
              <w:spacing w:before="60" w:after="60" w:line="240" w:lineRule="atLeast"/>
              <w:jc w:val="center"/>
              <w:rPr>
                <w:rFonts w:cs="Arial"/>
                <w:color w:val="000000"/>
                <w:lang w:val="cs-CZ"/>
              </w:rPr>
            </w:pPr>
          </w:p>
        </w:tc>
      </w:tr>
      <w:tr w:rsidR="003B6E11" w:rsidRPr="003B6E11" w:rsidTr="002D015D">
        <w:tc>
          <w:tcPr>
            <w:tcW w:w="5094" w:type="dxa"/>
          </w:tcPr>
          <w:p w:rsidR="003B6E11" w:rsidRPr="003B6E11" w:rsidRDefault="003B6E11" w:rsidP="002D015D">
            <w:pPr>
              <w:tabs>
                <w:tab w:val="left" w:pos="284"/>
                <w:tab w:val="left" w:leader="dot" w:pos="4253"/>
              </w:tabs>
              <w:spacing w:before="80" w:line="360" w:lineRule="auto"/>
              <w:rPr>
                <w:rFonts w:cs="Arial"/>
                <w:color w:val="000000"/>
                <w:lang w:val="cs-CZ"/>
              </w:rPr>
            </w:pPr>
            <w:r w:rsidRPr="003B6E11">
              <w:rPr>
                <w:color w:val="000000"/>
                <w:sz w:val="18"/>
                <w:lang w:val="cs-CZ"/>
              </w:rPr>
              <w:t>1.</w:t>
            </w:r>
            <w:r w:rsidRPr="003B6E11">
              <w:rPr>
                <w:lang w:val="cs-CZ"/>
              </w:rPr>
              <w:tab/>
            </w:r>
            <w:r w:rsidRPr="003B6E11">
              <w:rPr>
                <w:color w:val="000000"/>
                <w:sz w:val="18"/>
                <w:lang w:val="cs-CZ"/>
              </w:rPr>
              <w:t>Jméno tradičního plavidla:</w:t>
            </w:r>
            <w:r w:rsidRPr="003B6E11">
              <w:rPr>
                <w:color w:val="000000"/>
                <w:sz w:val="18"/>
                <w:lang w:val="cs-CZ"/>
              </w:rPr>
              <w:br/>
            </w:r>
            <w:r w:rsidRPr="003B6E11">
              <w:rPr>
                <w:lang w:val="cs-CZ"/>
              </w:rPr>
              <w:tab/>
            </w:r>
            <w:r w:rsidRPr="003B6E11">
              <w:rPr>
                <w:lang w:val="cs-CZ"/>
              </w:rPr>
              <w:tab/>
            </w:r>
          </w:p>
        </w:tc>
        <w:tc>
          <w:tcPr>
            <w:tcW w:w="5094" w:type="dxa"/>
          </w:tcPr>
          <w:p w:rsidR="003B6E11" w:rsidRPr="003B6E11" w:rsidRDefault="003B6E11" w:rsidP="002D015D">
            <w:pPr>
              <w:tabs>
                <w:tab w:val="left" w:pos="227"/>
                <w:tab w:val="left" w:leader="dot" w:pos="4196"/>
              </w:tabs>
              <w:spacing w:before="80"/>
              <w:ind w:left="227" w:hanging="227"/>
              <w:rPr>
                <w:rFonts w:cs="Arial"/>
                <w:color w:val="000000"/>
                <w:sz w:val="18"/>
                <w:lang w:val="cs-CZ"/>
              </w:rPr>
            </w:pPr>
            <w:r w:rsidRPr="003B6E11">
              <w:rPr>
                <w:sz w:val="18"/>
                <w:lang w:val="cs-CZ"/>
              </w:rPr>
              <w:t>2.</w:t>
            </w:r>
            <w:r w:rsidRPr="003B6E11">
              <w:rPr>
                <w:lang w:val="cs-CZ"/>
              </w:rPr>
              <w:tab/>
            </w:r>
            <w:r w:rsidRPr="003B6E11">
              <w:rPr>
                <w:sz w:val="18"/>
                <w:lang w:val="cs-CZ"/>
              </w:rPr>
              <w:t>Jednotné evropské identifikační číslo plavidla</w:t>
            </w:r>
          </w:p>
          <w:p w:rsidR="003B6E11" w:rsidRPr="003B6E11" w:rsidRDefault="003B6E11" w:rsidP="002D015D">
            <w:pPr>
              <w:tabs>
                <w:tab w:val="left" w:pos="227"/>
                <w:tab w:val="left" w:leader="dot" w:pos="4196"/>
              </w:tabs>
              <w:spacing w:before="80" w:line="360" w:lineRule="auto"/>
              <w:ind w:left="227" w:hanging="227"/>
              <w:rPr>
                <w:rFonts w:cs="Arial"/>
                <w:color w:val="000000"/>
                <w:lang w:val="cs-CZ"/>
              </w:rPr>
            </w:pPr>
            <w:r w:rsidRPr="003B6E11">
              <w:rPr>
                <w:lang w:val="cs-CZ"/>
              </w:rPr>
              <w:tab/>
            </w:r>
            <w:r w:rsidRPr="003B6E11">
              <w:rPr>
                <w:lang w:val="cs-CZ"/>
              </w:rPr>
              <w:tab/>
            </w:r>
          </w:p>
        </w:tc>
      </w:tr>
      <w:tr w:rsidR="003B6E11" w:rsidRPr="003B6E11" w:rsidTr="002D015D">
        <w:tc>
          <w:tcPr>
            <w:tcW w:w="5094" w:type="dxa"/>
          </w:tcPr>
          <w:p w:rsidR="003B6E11" w:rsidRPr="003B6E11" w:rsidRDefault="003B6E11" w:rsidP="002D015D">
            <w:pPr>
              <w:tabs>
                <w:tab w:val="left" w:pos="284"/>
                <w:tab w:val="left" w:leader="dot" w:pos="4253"/>
              </w:tabs>
              <w:spacing w:before="80" w:line="360" w:lineRule="auto"/>
              <w:rPr>
                <w:rFonts w:cs="Arial"/>
                <w:color w:val="000000"/>
                <w:sz w:val="18"/>
                <w:lang w:val="cs-CZ"/>
              </w:rPr>
            </w:pPr>
            <w:r w:rsidRPr="003B6E11">
              <w:rPr>
                <w:color w:val="000000"/>
                <w:sz w:val="18"/>
                <w:lang w:val="cs-CZ"/>
              </w:rPr>
              <w:t>3.</w:t>
            </w:r>
            <w:r w:rsidRPr="003B6E11">
              <w:rPr>
                <w:lang w:val="cs-CZ"/>
              </w:rPr>
              <w:tab/>
            </w:r>
            <w:r w:rsidRPr="003B6E11">
              <w:rPr>
                <w:color w:val="000000"/>
                <w:sz w:val="18"/>
                <w:lang w:val="cs-CZ"/>
              </w:rPr>
              <w:t>Druh plavidla před uznáním</w:t>
            </w:r>
            <w:r w:rsidRPr="003B6E11">
              <w:rPr>
                <w:color w:val="000000"/>
                <w:sz w:val="18"/>
                <w:lang w:val="cs-CZ"/>
              </w:rPr>
              <w:br/>
            </w:r>
            <w:r w:rsidRPr="003B6E11">
              <w:rPr>
                <w:lang w:val="cs-CZ"/>
              </w:rPr>
              <w:tab/>
            </w:r>
            <w:r w:rsidRPr="003B6E11">
              <w:rPr>
                <w:lang w:val="cs-CZ"/>
              </w:rPr>
              <w:tab/>
            </w:r>
          </w:p>
        </w:tc>
        <w:tc>
          <w:tcPr>
            <w:tcW w:w="5094" w:type="dxa"/>
          </w:tcPr>
          <w:p w:rsidR="003B6E11" w:rsidRPr="003B6E11" w:rsidRDefault="003B6E11" w:rsidP="002D015D">
            <w:pPr>
              <w:tabs>
                <w:tab w:val="left" w:pos="293"/>
                <w:tab w:val="left" w:leader="dot" w:pos="4196"/>
              </w:tabs>
              <w:spacing w:before="80" w:line="360" w:lineRule="auto"/>
              <w:rPr>
                <w:rFonts w:cs="Arial"/>
                <w:color w:val="000000"/>
                <w:sz w:val="18"/>
                <w:lang w:val="cs-CZ"/>
              </w:rPr>
            </w:pPr>
            <w:r w:rsidRPr="003B6E11">
              <w:rPr>
                <w:color w:val="000000"/>
                <w:sz w:val="18"/>
                <w:lang w:val="cs-CZ"/>
              </w:rPr>
              <w:t>4.</w:t>
            </w:r>
            <w:r w:rsidRPr="003B6E11">
              <w:rPr>
                <w:lang w:val="cs-CZ"/>
              </w:rPr>
              <w:tab/>
            </w:r>
            <w:r w:rsidRPr="003B6E11">
              <w:rPr>
                <w:color w:val="000000"/>
                <w:sz w:val="18"/>
                <w:lang w:val="cs-CZ"/>
              </w:rPr>
              <w:t>Historické období</w:t>
            </w:r>
            <w:r w:rsidRPr="003B6E11">
              <w:rPr>
                <w:color w:val="000000"/>
                <w:sz w:val="18"/>
                <w:lang w:val="cs-CZ"/>
              </w:rPr>
              <w:br/>
            </w:r>
            <w:r w:rsidRPr="003B6E11">
              <w:rPr>
                <w:lang w:val="cs-CZ"/>
              </w:rPr>
              <w:tab/>
            </w:r>
            <w:r w:rsidRPr="003B6E11">
              <w:rPr>
                <w:lang w:val="cs-CZ"/>
              </w:rPr>
              <w:tab/>
            </w:r>
          </w:p>
        </w:tc>
      </w:tr>
      <w:tr w:rsidR="003B6E11" w:rsidRPr="003B6E11" w:rsidTr="002D015D">
        <w:tc>
          <w:tcPr>
            <w:tcW w:w="10188" w:type="dxa"/>
            <w:gridSpan w:val="2"/>
          </w:tcPr>
          <w:p w:rsidR="003B6E11" w:rsidRPr="003B6E11" w:rsidRDefault="003B6E11" w:rsidP="002D015D">
            <w:pPr>
              <w:tabs>
                <w:tab w:val="left" w:pos="284"/>
              </w:tabs>
              <w:spacing w:before="120" w:line="360" w:lineRule="auto"/>
              <w:ind w:left="284" w:hanging="284"/>
              <w:rPr>
                <w:rFonts w:cs="Arial"/>
                <w:color w:val="000000"/>
                <w:sz w:val="18"/>
                <w:lang w:val="cs-CZ"/>
              </w:rPr>
            </w:pPr>
            <w:r w:rsidRPr="003B6E11">
              <w:rPr>
                <w:color w:val="000000"/>
                <w:sz w:val="18"/>
                <w:lang w:val="cs-CZ"/>
              </w:rPr>
              <w:t>5.</w:t>
            </w:r>
            <w:r w:rsidRPr="003B6E11">
              <w:rPr>
                <w:lang w:val="cs-CZ"/>
              </w:rPr>
              <w:tab/>
            </w:r>
            <w:r w:rsidRPr="003B6E11">
              <w:rPr>
                <w:color w:val="000000"/>
                <w:sz w:val="18"/>
                <w:lang w:val="cs-CZ"/>
              </w:rPr>
              <w:t xml:space="preserve">Shodnost výše popsaného tradičního plavidla byla zjištěna na základě </w:t>
            </w:r>
          </w:p>
          <w:p w:rsidR="003B6E11" w:rsidRPr="003B6E11" w:rsidRDefault="003B6E11" w:rsidP="002D015D">
            <w:pPr>
              <w:tabs>
                <w:tab w:val="left" w:pos="284"/>
                <w:tab w:val="left" w:leader="dot" w:pos="4820"/>
              </w:tabs>
              <w:spacing w:before="120" w:line="360" w:lineRule="auto"/>
              <w:ind w:left="284"/>
              <w:rPr>
                <w:rFonts w:cs="Arial"/>
                <w:color w:val="000000"/>
                <w:sz w:val="18"/>
                <w:lang w:val="cs-CZ"/>
              </w:rPr>
            </w:pPr>
            <w:r w:rsidRPr="003B6E11">
              <w:rPr>
                <w:color w:val="000000"/>
                <w:sz w:val="18"/>
                <w:lang w:val="cs-CZ"/>
              </w:rPr>
              <w:t xml:space="preserve">prohlídky </w:t>
            </w:r>
            <w:r w:rsidRPr="003B6E11">
              <w:rPr>
                <w:lang w:val="cs-CZ"/>
              </w:rPr>
              <w:tab/>
            </w:r>
            <w:r w:rsidRPr="003B6E11">
              <w:rPr>
                <w:color w:val="000000"/>
                <w:sz w:val="18"/>
                <w:lang w:val="cs-CZ"/>
              </w:rPr>
              <w:t>,</w:t>
            </w:r>
          </w:p>
          <w:p w:rsidR="003B6E11" w:rsidRPr="003B6E11" w:rsidRDefault="003B6E11" w:rsidP="002D015D">
            <w:pPr>
              <w:tabs>
                <w:tab w:val="left" w:pos="720"/>
              </w:tabs>
              <w:spacing w:line="360" w:lineRule="auto"/>
              <w:ind w:left="284"/>
              <w:rPr>
                <w:rFonts w:cs="Arial"/>
                <w:color w:val="000000"/>
                <w:lang w:val="cs-CZ"/>
              </w:rPr>
            </w:pPr>
            <w:r w:rsidRPr="003B6E11">
              <w:rPr>
                <w:color w:val="000000"/>
                <w:sz w:val="18"/>
                <w:lang w:val="cs-CZ"/>
              </w:rPr>
              <w:t>a odborné zprávy úřadu pro ochranu kulturního dědictví / odborníka na tradiční plavidla</w:t>
            </w:r>
            <w:r w:rsidRPr="003B6E11">
              <w:rPr>
                <w:color w:val="000000"/>
                <w:vertAlign w:val="superscript"/>
                <w:lang w:val="cs-CZ"/>
              </w:rPr>
              <w:t>*)</w:t>
            </w:r>
          </w:p>
          <w:p w:rsidR="003B6E11" w:rsidRPr="003B6E11" w:rsidRDefault="003B6E11" w:rsidP="002D015D">
            <w:pPr>
              <w:tabs>
                <w:tab w:val="left" w:pos="284"/>
                <w:tab w:val="left" w:leader="dot" w:pos="5812"/>
                <w:tab w:val="left" w:leader="dot" w:pos="8789"/>
              </w:tabs>
              <w:spacing w:line="360" w:lineRule="auto"/>
              <w:ind w:left="284"/>
              <w:rPr>
                <w:rFonts w:cs="Arial"/>
                <w:color w:val="000000"/>
                <w:sz w:val="18"/>
                <w:lang w:val="cs-CZ"/>
              </w:rPr>
            </w:pPr>
            <w:r w:rsidRPr="003B6E11">
              <w:rPr>
                <w:lang w:val="cs-CZ"/>
              </w:rPr>
              <w:tab/>
            </w:r>
            <w:r w:rsidRPr="003B6E11">
              <w:rPr>
                <w:color w:val="000000"/>
                <w:sz w:val="18"/>
                <w:lang w:val="cs-CZ"/>
              </w:rPr>
              <w:t xml:space="preserve"> ze dne </w:t>
            </w:r>
            <w:r w:rsidRPr="003B6E11">
              <w:rPr>
                <w:lang w:val="cs-CZ"/>
              </w:rPr>
              <w:tab/>
            </w:r>
          </w:p>
          <w:p w:rsidR="003B6E11" w:rsidRPr="003B6E11" w:rsidRDefault="003B6E11" w:rsidP="002D015D">
            <w:pPr>
              <w:spacing w:line="360" w:lineRule="auto"/>
              <w:ind w:left="284"/>
              <w:rPr>
                <w:rFonts w:cs="Arial"/>
                <w:color w:val="000000"/>
                <w:lang w:val="cs-CZ"/>
              </w:rPr>
            </w:pPr>
            <w:r w:rsidRPr="003B6E11">
              <w:rPr>
                <w:color w:val="000000"/>
                <w:sz w:val="18"/>
                <w:lang w:val="cs-CZ"/>
              </w:rPr>
              <w:t xml:space="preserve">přičemž </w:t>
            </w:r>
          </w:p>
          <w:p w:rsidR="003B6E11" w:rsidRPr="003B6E11" w:rsidRDefault="003B6E11" w:rsidP="002D015D">
            <w:pPr>
              <w:spacing w:line="360" w:lineRule="auto"/>
              <w:ind w:left="709"/>
              <w:rPr>
                <w:rFonts w:cs="Arial"/>
                <w:color w:val="000000"/>
                <w:lang w:val="cs-CZ"/>
              </w:rPr>
            </w:pPr>
            <w:r w:rsidRPr="003B6E11">
              <w:rPr>
                <w:color w:val="000000"/>
                <w:sz w:val="18"/>
                <w:lang w:val="cs-CZ"/>
              </w:rPr>
              <w:t>–</w:t>
            </w:r>
            <w:r w:rsidRPr="003B6E11">
              <w:rPr>
                <w:lang w:val="cs-CZ"/>
              </w:rPr>
              <w:tab/>
            </w:r>
            <w:r w:rsidRPr="003B6E11">
              <w:rPr>
                <w:color w:val="000000"/>
                <w:sz w:val="18"/>
                <w:lang w:val="cs-CZ"/>
              </w:rPr>
              <w:t>odchylky uvedené v bodě 6 a</w:t>
            </w:r>
          </w:p>
          <w:p w:rsidR="003B6E11" w:rsidRPr="003B6E11" w:rsidRDefault="003B6E11" w:rsidP="002D015D">
            <w:pPr>
              <w:spacing w:line="360" w:lineRule="auto"/>
              <w:ind w:left="709"/>
              <w:rPr>
                <w:rFonts w:cs="Arial"/>
                <w:color w:val="000000"/>
                <w:lang w:val="cs-CZ"/>
              </w:rPr>
            </w:pPr>
            <w:r w:rsidRPr="003B6E11">
              <w:rPr>
                <w:color w:val="000000"/>
                <w:sz w:val="18"/>
                <w:lang w:val="cs-CZ"/>
              </w:rPr>
              <w:t>–</w:t>
            </w:r>
            <w:r w:rsidRPr="003B6E11">
              <w:rPr>
                <w:lang w:val="cs-CZ"/>
              </w:rPr>
              <w:tab/>
            </w:r>
            <w:r w:rsidRPr="003B6E11">
              <w:rPr>
                <w:color w:val="000000"/>
                <w:sz w:val="18"/>
                <w:lang w:val="cs-CZ"/>
              </w:rPr>
              <w:t>další požadavky uvedené v bodě 7</w:t>
            </w:r>
          </w:p>
          <w:p w:rsidR="003B6E11" w:rsidRPr="003B6E11" w:rsidRDefault="003B6E11" w:rsidP="002D015D">
            <w:pPr>
              <w:spacing w:line="360" w:lineRule="auto"/>
              <w:ind w:left="284"/>
              <w:rPr>
                <w:rFonts w:cs="Arial"/>
                <w:color w:val="000000"/>
                <w:lang w:val="cs-CZ"/>
              </w:rPr>
            </w:pPr>
            <w:r w:rsidRPr="003B6E11">
              <w:rPr>
                <w:color w:val="000000"/>
                <w:sz w:val="18"/>
                <w:lang w:val="cs-CZ"/>
              </w:rPr>
              <w:t>se považují za odůvodněné.</w:t>
            </w:r>
          </w:p>
        </w:tc>
      </w:tr>
      <w:tr w:rsidR="003B6E11" w:rsidRPr="003B6E11" w:rsidTr="002D015D">
        <w:tc>
          <w:tcPr>
            <w:tcW w:w="10188" w:type="dxa"/>
            <w:gridSpan w:val="2"/>
          </w:tcPr>
          <w:p w:rsidR="003B6E11" w:rsidRPr="003B6E11" w:rsidRDefault="003B6E11" w:rsidP="002D015D">
            <w:pPr>
              <w:rPr>
                <w:rFonts w:cs="Arial"/>
                <w:color w:val="000000"/>
                <w:lang w:val="cs-CZ"/>
              </w:rPr>
            </w:pPr>
          </w:p>
          <w:p w:rsidR="003B6E11" w:rsidRPr="003B6E11" w:rsidRDefault="003B6E11" w:rsidP="002D015D">
            <w:pPr>
              <w:tabs>
                <w:tab w:val="left" w:leader="dot" w:pos="3969"/>
                <w:tab w:val="left" w:leader="dot" w:pos="6237"/>
                <w:tab w:val="left" w:leader="dot" w:pos="8789"/>
              </w:tabs>
              <w:ind w:left="284"/>
              <w:rPr>
                <w:rFonts w:cs="Arial"/>
                <w:color w:val="000000"/>
                <w:lang w:val="cs-CZ"/>
              </w:rPr>
            </w:pPr>
            <w:r w:rsidRPr="003B6E11">
              <w:rPr>
                <w:lang w:val="cs-CZ"/>
              </w:rPr>
              <w:tab/>
            </w:r>
            <w:r w:rsidRPr="003B6E11">
              <w:rPr>
                <w:color w:val="000000"/>
                <w:lang w:val="cs-CZ"/>
              </w:rPr>
              <w:t xml:space="preserve">, </w:t>
            </w:r>
            <w:r w:rsidRPr="003B6E11">
              <w:rPr>
                <w:lang w:val="cs-CZ"/>
              </w:rPr>
              <w:tab/>
            </w:r>
          </w:p>
          <w:p w:rsidR="003B6E11" w:rsidRPr="003B6E11" w:rsidRDefault="003B6E11" w:rsidP="002D015D">
            <w:pPr>
              <w:tabs>
                <w:tab w:val="center" w:pos="2127"/>
                <w:tab w:val="center" w:pos="5103"/>
                <w:tab w:val="center" w:pos="8080"/>
              </w:tabs>
              <w:ind w:firstLine="1"/>
              <w:rPr>
                <w:rFonts w:cs="Arial"/>
                <w:color w:val="000000"/>
                <w:lang w:val="cs-CZ"/>
              </w:rPr>
            </w:pPr>
            <w:r w:rsidRPr="003B6E11">
              <w:rPr>
                <w:lang w:val="cs-CZ"/>
              </w:rPr>
              <w:tab/>
            </w:r>
            <w:r w:rsidRPr="003B6E11">
              <w:rPr>
                <w:color w:val="000000"/>
                <w:sz w:val="16"/>
                <w:lang w:val="cs-CZ"/>
              </w:rPr>
              <w:t>(místo)</w:t>
            </w:r>
            <w:r w:rsidRPr="003B6E11">
              <w:rPr>
                <w:lang w:val="cs-CZ"/>
              </w:rPr>
              <w:tab/>
            </w:r>
            <w:r w:rsidRPr="003B6E11">
              <w:rPr>
                <w:color w:val="000000"/>
                <w:sz w:val="16"/>
                <w:lang w:val="cs-CZ"/>
              </w:rPr>
              <w:t>(datum)</w:t>
            </w:r>
          </w:p>
          <w:p w:rsidR="003B6E11" w:rsidRPr="003B6E11" w:rsidRDefault="003B6E11" w:rsidP="002D015D">
            <w:pPr>
              <w:rPr>
                <w:rFonts w:cs="Arial"/>
                <w:color w:val="000000"/>
                <w:lang w:val="cs-CZ"/>
              </w:rPr>
            </w:pPr>
          </w:p>
          <w:p w:rsidR="003B6E11" w:rsidRPr="003B6E11" w:rsidRDefault="003B6E11" w:rsidP="002D015D">
            <w:pPr>
              <w:tabs>
                <w:tab w:val="left" w:pos="4820"/>
                <w:tab w:val="left" w:leader="dot" w:pos="8789"/>
              </w:tabs>
              <w:ind w:firstLine="1"/>
              <w:rPr>
                <w:rFonts w:cs="Arial"/>
                <w:color w:val="000000"/>
                <w:lang w:val="cs-CZ"/>
              </w:rPr>
            </w:pPr>
            <w:r w:rsidRPr="003B6E11">
              <w:rPr>
                <w:lang w:val="cs-CZ"/>
              </w:rPr>
              <w:tab/>
            </w:r>
            <w:r w:rsidRPr="003B6E11">
              <w:rPr>
                <w:lang w:val="cs-CZ"/>
              </w:rPr>
              <w:tab/>
            </w:r>
          </w:p>
          <w:p w:rsidR="003B6E11" w:rsidRPr="003B6E11" w:rsidRDefault="003B6E11" w:rsidP="002D015D">
            <w:pPr>
              <w:tabs>
                <w:tab w:val="center" w:pos="6804"/>
              </w:tabs>
              <w:ind w:firstLine="1"/>
              <w:rPr>
                <w:rFonts w:cs="Arial"/>
                <w:color w:val="000000"/>
                <w:lang w:val="cs-CZ"/>
              </w:rPr>
            </w:pPr>
            <w:r w:rsidRPr="003B6E11">
              <w:rPr>
                <w:lang w:val="cs-CZ"/>
              </w:rPr>
              <w:tab/>
            </w:r>
            <w:r w:rsidRPr="003B6E11">
              <w:rPr>
                <w:color w:val="000000"/>
                <w:sz w:val="16"/>
                <w:lang w:val="cs-CZ"/>
              </w:rPr>
              <w:t>Subjekt pověřený prohlídkami</w:t>
            </w:r>
          </w:p>
          <w:p w:rsidR="003B6E11" w:rsidRPr="003B6E11" w:rsidRDefault="003B6E11" w:rsidP="002D015D">
            <w:pPr>
              <w:tabs>
                <w:tab w:val="center" w:pos="1985"/>
              </w:tabs>
              <w:spacing w:before="120" w:line="240" w:lineRule="atLeast"/>
              <w:ind w:firstLine="1"/>
              <w:rPr>
                <w:rFonts w:cs="Arial"/>
                <w:color w:val="000000"/>
                <w:sz w:val="18"/>
                <w:szCs w:val="18"/>
                <w:lang w:val="cs-CZ"/>
              </w:rPr>
            </w:pPr>
            <w:r w:rsidRPr="003B6E11">
              <w:rPr>
                <w:lang w:val="cs-CZ"/>
              </w:rPr>
              <w:tab/>
            </w:r>
            <w:r w:rsidRPr="003B6E11">
              <w:rPr>
                <w:color w:val="000000"/>
                <w:sz w:val="18"/>
                <w:lang w:val="cs-CZ"/>
              </w:rPr>
              <w:t>Razítko</w:t>
            </w:r>
          </w:p>
          <w:p w:rsidR="003B6E11" w:rsidRPr="003B6E11" w:rsidRDefault="003B6E11" w:rsidP="002D015D">
            <w:pPr>
              <w:tabs>
                <w:tab w:val="left" w:pos="4820"/>
                <w:tab w:val="left" w:leader="dot" w:pos="8789"/>
              </w:tabs>
              <w:spacing w:before="120" w:line="240" w:lineRule="atLeast"/>
              <w:ind w:firstLine="1"/>
              <w:rPr>
                <w:rFonts w:cs="Arial"/>
                <w:color w:val="000000"/>
                <w:lang w:val="cs-CZ"/>
              </w:rPr>
            </w:pPr>
            <w:r w:rsidRPr="003B6E11">
              <w:rPr>
                <w:lang w:val="cs-CZ"/>
              </w:rPr>
              <w:tab/>
            </w:r>
            <w:r w:rsidRPr="003B6E11">
              <w:rPr>
                <w:lang w:val="cs-CZ"/>
              </w:rPr>
              <w:tab/>
            </w:r>
          </w:p>
          <w:p w:rsidR="003B6E11" w:rsidRPr="003B6E11" w:rsidRDefault="003B6E11" w:rsidP="002D015D">
            <w:pPr>
              <w:tabs>
                <w:tab w:val="center" w:pos="6804"/>
              </w:tabs>
              <w:ind w:firstLine="1"/>
              <w:rPr>
                <w:rFonts w:cs="Arial"/>
                <w:color w:val="000000"/>
                <w:sz w:val="16"/>
                <w:lang w:val="cs-CZ"/>
              </w:rPr>
            </w:pPr>
            <w:r w:rsidRPr="003B6E11">
              <w:rPr>
                <w:lang w:val="cs-CZ"/>
              </w:rPr>
              <w:tab/>
            </w:r>
            <w:r w:rsidRPr="003B6E11">
              <w:rPr>
                <w:color w:val="000000"/>
                <w:sz w:val="16"/>
                <w:lang w:val="cs-CZ"/>
              </w:rPr>
              <w:t>(podpis)</w:t>
            </w:r>
          </w:p>
          <w:p w:rsidR="003B6E11" w:rsidRPr="003B6E11" w:rsidRDefault="003B6E11" w:rsidP="002D015D">
            <w:pPr>
              <w:ind w:firstLine="1"/>
              <w:rPr>
                <w:rFonts w:cs="Arial"/>
                <w:color w:val="000000"/>
                <w:lang w:val="cs-CZ"/>
              </w:rPr>
            </w:pPr>
          </w:p>
          <w:p w:rsidR="003B6E11" w:rsidRPr="003B6E11" w:rsidRDefault="003B6E11" w:rsidP="002D015D">
            <w:pPr>
              <w:ind w:firstLine="1"/>
              <w:rPr>
                <w:rFonts w:cs="Arial"/>
                <w:color w:val="000000"/>
                <w:lang w:val="cs-CZ"/>
              </w:rPr>
            </w:pPr>
          </w:p>
          <w:p w:rsidR="003B6E11" w:rsidRPr="003B6E11" w:rsidRDefault="003B6E11" w:rsidP="002D015D">
            <w:pPr>
              <w:tabs>
                <w:tab w:val="left" w:leader="dot" w:pos="8789"/>
              </w:tabs>
              <w:ind w:left="3261"/>
              <w:rPr>
                <w:rFonts w:cs="Arial"/>
                <w:color w:val="000000"/>
                <w:sz w:val="16"/>
                <w:lang w:val="cs-CZ"/>
              </w:rPr>
            </w:pPr>
            <w:r w:rsidRPr="003B6E11">
              <w:rPr>
                <w:lang w:val="cs-CZ"/>
              </w:rPr>
              <w:tab/>
            </w:r>
          </w:p>
          <w:p w:rsidR="003B6E11" w:rsidRPr="003B6E11" w:rsidRDefault="003B6E11" w:rsidP="002D015D">
            <w:pPr>
              <w:ind w:left="4111"/>
              <w:rPr>
                <w:rFonts w:cs="Arial"/>
                <w:color w:val="000000"/>
                <w:sz w:val="16"/>
                <w:lang w:val="cs-CZ"/>
              </w:rPr>
            </w:pPr>
            <w:r w:rsidRPr="003B6E11">
              <w:rPr>
                <w:color w:val="000000"/>
                <w:sz w:val="16"/>
                <w:lang w:val="cs-CZ"/>
              </w:rPr>
              <w:t>Jméno/adresa odborníka na tradiční plavidla</w:t>
            </w:r>
          </w:p>
          <w:p w:rsidR="003B6E11" w:rsidRPr="003B6E11" w:rsidRDefault="003B6E11" w:rsidP="002D015D">
            <w:pPr>
              <w:ind w:firstLine="1"/>
              <w:rPr>
                <w:rFonts w:cs="Arial"/>
                <w:color w:val="000000"/>
                <w:lang w:val="cs-CZ"/>
              </w:rPr>
            </w:pPr>
          </w:p>
          <w:p w:rsidR="003B6E11" w:rsidRPr="003B6E11" w:rsidRDefault="003B6E11" w:rsidP="002D015D">
            <w:pPr>
              <w:rPr>
                <w:rFonts w:cs="Arial"/>
                <w:color w:val="000000"/>
                <w:sz w:val="12"/>
                <w:lang w:val="cs-CZ"/>
              </w:rPr>
            </w:pPr>
            <w:r w:rsidRPr="003B6E11">
              <w:rPr>
                <w:color w:val="000000"/>
                <w:sz w:val="12"/>
                <w:lang w:val="cs-CZ"/>
              </w:rPr>
              <w:t>___________________________________</w:t>
            </w:r>
          </w:p>
          <w:p w:rsidR="003B6E11" w:rsidRPr="003B6E11" w:rsidRDefault="003B6E11" w:rsidP="002D015D">
            <w:pPr>
              <w:spacing w:before="40" w:after="40" w:line="240" w:lineRule="atLeast"/>
              <w:ind w:left="284" w:hanging="284"/>
              <w:rPr>
                <w:rFonts w:cs="Arial"/>
                <w:color w:val="000000"/>
                <w:sz w:val="16"/>
                <w:szCs w:val="16"/>
                <w:lang w:val="cs-CZ"/>
              </w:rPr>
            </w:pPr>
            <w:r w:rsidRPr="003B6E11">
              <w:rPr>
                <w:sz w:val="16"/>
                <w:lang w:val="cs-CZ"/>
              </w:rPr>
              <w:t>*)</w:t>
            </w:r>
            <w:r w:rsidRPr="003B6E11">
              <w:rPr>
                <w:lang w:val="cs-CZ"/>
              </w:rPr>
              <w:tab/>
            </w:r>
            <w:r w:rsidRPr="003B6E11">
              <w:rPr>
                <w:color w:val="000000"/>
                <w:sz w:val="16"/>
                <w:lang w:val="cs-CZ"/>
              </w:rPr>
              <w:t xml:space="preserve">Nehodící se škrtněte. </w:t>
            </w:r>
          </w:p>
        </w:tc>
      </w:tr>
    </w:tbl>
    <w:p w:rsidR="003B6E11" w:rsidRPr="003B6E11" w:rsidRDefault="003B6E11" w:rsidP="003B6E11">
      <w:pPr>
        <w:tabs>
          <w:tab w:val="center" w:pos="8222"/>
        </w:tabs>
        <w:rPr>
          <w:lang w:val="cs-CZ"/>
        </w:rPr>
      </w:pPr>
    </w:p>
    <w:p w:rsidR="003B6E11" w:rsidRPr="003B6E11" w:rsidRDefault="003B6E11" w:rsidP="003B6E11">
      <w:pPr>
        <w:tabs>
          <w:tab w:val="center" w:pos="8222"/>
        </w:tabs>
        <w:rPr>
          <w:lang w:val="cs-CZ"/>
        </w:rPr>
      </w:pPr>
    </w:p>
    <w:p w:rsidR="003B6E11" w:rsidRPr="003B6E11" w:rsidRDefault="003B6E11" w:rsidP="003B6E11">
      <w:pPr>
        <w:tabs>
          <w:tab w:val="center" w:pos="8222"/>
        </w:tabs>
        <w:rPr>
          <w:lang w:val="cs-CZ"/>
        </w:rPr>
      </w:pPr>
      <w:r w:rsidRPr="003B6E11">
        <w:rPr>
          <w:lang w:val="cs-CZ"/>
        </w:rPr>
        <w:br w:type="page"/>
      </w:r>
    </w:p>
    <w:p w:rsidR="003B6E11" w:rsidRPr="003B6E11" w:rsidRDefault="003B6E11" w:rsidP="003B6E11">
      <w:pPr>
        <w:tabs>
          <w:tab w:val="center" w:pos="8222"/>
        </w:tabs>
        <w:rPr>
          <w:lang w:val="cs-CZ"/>
        </w:rPr>
      </w:pPr>
    </w:p>
    <w:p w:rsidR="003B6E11" w:rsidRPr="003B6E11" w:rsidRDefault="003B6E11" w:rsidP="003B6E11">
      <w:pPr>
        <w:tabs>
          <w:tab w:val="left" w:leader="dot" w:pos="8364"/>
        </w:tabs>
        <w:spacing w:line="240" w:lineRule="atLeast"/>
        <w:jc w:val="center"/>
        <w:rPr>
          <w:b/>
          <w:color w:val="000000"/>
          <w:sz w:val="18"/>
          <w:szCs w:val="18"/>
          <w:lang w:val="cs-CZ"/>
        </w:rPr>
      </w:pPr>
      <w:r w:rsidRPr="003B6E11">
        <w:rPr>
          <w:b/>
          <w:color w:val="000000"/>
          <w:lang w:val="cs-CZ"/>
        </w:rPr>
        <w:t xml:space="preserve">Příloha osvědčení plavidla vnitrozemské plavby č. </w:t>
      </w:r>
      <w:r w:rsidRPr="003B6E11">
        <w:rPr>
          <w:lang w:val="cs-CZ"/>
        </w:rPr>
        <w:tab/>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3"/>
        <w:gridCol w:w="4592"/>
      </w:tblGrid>
      <w:tr w:rsidR="003B6E11" w:rsidRPr="003B6E11" w:rsidTr="002D015D">
        <w:tc>
          <w:tcPr>
            <w:tcW w:w="5063" w:type="dxa"/>
            <w:tcBorders>
              <w:bottom w:val="nil"/>
            </w:tcBorders>
          </w:tcPr>
          <w:p w:rsidR="003B6E11" w:rsidRPr="003B6E11" w:rsidRDefault="003B6E11" w:rsidP="002D015D">
            <w:pPr>
              <w:spacing w:before="80" w:after="60" w:line="240" w:lineRule="atLeast"/>
              <w:ind w:left="284" w:hanging="284"/>
              <w:rPr>
                <w:rFonts w:cs="Arial"/>
                <w:color w:val="000000"/>
                <w:sz w:val="18"/>
                <w:szCs w:val="18"/>
                <w:lang w:val="cs-CZ"/>
              </w:rPr>
            </w:pPr>
            <w:r w:rsidRPr="003B6E11">
              <w:rPr>
                <w:color w:val="000000"/>
                <w:sz w:val="18"/>
                <w:lang w:val="cs-CZ"/>
              </w:rPr>
              <w:t>6.</w:t>
            </w:r>
            <w:r w:rsidRPr="003B6E11">
              <w:rPr>
                <w:lang w:val="cs-CZ"/>
              </w:rPr>
              <w:tab/>
            </w:r>
            <w:r w:rsidRPr="003B6E11">
              <w:rPr>
                <w:color w:val="000000"/>
                <w:sz w:val="18"/>
                <w:lang w:val="cs-CZ"/>
              </w:rPr>
              <w:t>Seznam odchylek v technickém stavu od stavu příslušného standardu pro dané historické období v době uznání za tradiční plavidlo:</w:t>
            </w:r>
          </w:p>
        </w:tc>
        <w:tc>
          <w:tcPr>
            <w:tcW w:w="5063" w:type="dxa"/>
            <w:tcBorders>
              <w:bottom w:val="nil"/>
            </w:tcBorders>
          </w:tcPr>
          <w:p w:rsidR="003B6E11" w:rsidRPr="003B6E11" w:rsidRDefault="003B6E11" w:rsidP="002D015D">
            <w:pPr>
              <w:spacing w:before="80" w:after="60" w:line="240" w:lineRule="atLeast"/>
              <w:ind w:left="284" w:hanging="284"/>
              <w:rPr>
                <w:rFonts w:cs="Arial"/>
                <w:color w:val="000000"/>
                <w:sz w:val="18"/>
                <w:szCs w:val="18"/>
                <w:lang w:val="cs-CZ"/>
              </w:rPr>
            </w:pPr>
            <w:r w:rsidRPr="003B6E11">
              <w:rPr>
                <w:color w:val="000000"/>
                <w:sz w:val="18"/>
                <w:lang w:val="cs-CZ"/>
              </w:rPr>
              <w:t>7.</w:t>
            </w:r>
            <w:r w:rsidRPr="003B6E11">
              <w:rPr>
                <w:lang w:val="cs-CZ"/>
              </w:rPr>
              <w:tab/>
            </w:r>
            <w:r w:rsidRPr="003B6E11">
              <w:rPr>
                <w:color w:val="000000"/>
                <w:sz w:val="18"/>
                <w:lang w:val="cs-CZ"/>
              </w:rPr>
              <w:t>Další požadavky plynoucí z bodu 6:</w:t>
            </w:r>
          </w:p>
        </w:tc>
      </w:tr>
      <w:tr w:rsidR="003B6E11" w:rsidRPr="003B6E11" w:rsidTr="002D015D">
        <w:tc>
          <w:tcPr>
            <w:tcW w:w="5063" w:type="dxa"/>
            <w:tcBorders>
              <w:top w:val="nil"/>
            </w:tcBorders>
          </w:tcPr>
          <w:p w:rsidR="003B6E11" w:rsidRPr="003B6E11" w:rsidRDefault="003B6E11" w:rsidP="002D015D">
            <w:pPr>
              <w:tabs>
                <w:tab w:val="left" w:leader="dot" w:pos="4253"/>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253"/>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253"/>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253"/>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253"/>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253"/>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253"/>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253"/>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253"/>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253"/>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253"/>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253"/>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253"/>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253"/>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253"/>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253"/>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253"/>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253"/>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253"/>
              </w:tabs>
              <w:spacing w:line="360" w:lineRule="auto"/>
              <w:ind w:left="284"/>
              <w:rPr>
                <w:rFonts w:cs="Arial"/>
                <w:color w:val="000000"/>
                <w:sz w:val="18"/>
                <w:szCs w:val="18"/>
                <w:lang w:val="cs-CZ"/>
              </w:rPr>
            </w:pPr>
            <w:r w:rsidRPr="003B6E11">
              <w:rPr>
                <w:lang w:val="cs-CZ"/>
              </w:rPr>
              <w:tab/>
            </w:r>
            <w:r w:rsidRPr="003B6E11">
              <w:rPr>
                <w:lang w:val="cs-CZ"/>
              </w:rPr>
              <w:tab/>
            </w:r>
          </w:p>
        </w:tc>
        <w:tc>
          <w:tcPr>
            <w:tcW w:w="5063" w:type="dxa"/>
            <w:tcBorders>
              <w:top w:val="nil"/>
            </w:tcBorders>
          </w:tcPr>
          <w:p w:rsidR="003B6E11" w:rsidRPr="003B6E11" w:rsidRDefault="003B6E11" w:rsidP="002D015D">
            <w:pPr>
              <w:tabs>
                <w:tab w:val="left" w:leader="dot" w:pos="4196"/>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196"/>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196"/>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196"/>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196"/>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196"/>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196"/>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196"/>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196"/>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196"/>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196"/>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196"/>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196"/>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196"/>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196"/>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196"/>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196"/>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196"/>
              </w:tabs>
              <w:spacing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4196"/>
              </w:tabs>
              <w:spacing w:line="360" w:lineRule="auto"/>
              <w:ind w:left="284"/>
              <w:rPr>
                <w:rFonts w:cs="Arial"/>
                <w:color w:val="000000"/>
                <w:sz w:val="18"/>
                <w:szCs w:val="18"/>
                <w:lang w:val="cs-CZ"/>
              </w:rPr>
            </w:pPr>
            <w:r w:rsidRPr="003B6E11">
              <w:rPr>
                <w:lang w:val="cs-CZ"/>
              </w:rPr>
              <w:tab/>
            </w:r>
            <w:r w:rsidRPr="003B6E11">
              <w:rPr>
                <w:lang w:val="cs-CZ"/>
              </w:rPr>
              <w:tab/>
            </w:r>
          </w:p>
        </w:tc>
      </w:tr>
      <w:tr w:rsidR="003B6E11" w:rsidRPr="003B6E11" w:rsidTr="002D015D">
        <w:tc>
          <w:tcPr>
            <w:tcW w:w="10126" w:type="dxa"/>
            <w:gridSpan w:val="2"/>
          </w:tcPr>
          <w:p w:rsidR="003B6E11" w:rsidRPr="003B6E11" w:rsidRDefault="003B6E11" w:rsidP="002D015D">
            <w:pPr>
              <w:spacing w:before="80"/>
              <w:ind w:left="284" w:hanging="284"/>
              <w:rPr>
                <w:rFonts w:cs="Arial"/>
                <w:sz w:val="18"/>
                <w:szCs w:val="18"/>
                <w:lang w:val="cs-CZ"/>
              </w:rPr>
            </w:pPr>
            <w:r w:rsidRPr="003B6E11">
              <w:rPr>
                <w:sz w:val="18"/>
                <w:lang w:val="cs-CZ"/>
              </w:rPr>
              <w:t>8.</w:t>
            </w:r>
            <w:r w:rsidRPr="003B6E11">
              <w:rPr>
                <w:lang w:val="cs-CZ"/>
              </w:rPr>
              <w:tab/>
            </w:r>
            <w:r w:rsidRPr="003B6E11">
              <w:rPr>
                <w:sz w:val="18"/>
                <w:lang w:val="cs-CZ"/>
              </w:rPr>
              <w:t>Další podmínky:</w:t>
            </w:r>
          </w:p>
          <w:p w:rsidR="003B6E11" w:rsidRPr="003B6E11" w:rsidRDefault="003B6E11" w:rsidP="002D015D">
            <w:pPr>
              <w:tabs>
                <w:tab w:val="left" w:leader="dot" w:pos="8789"/>
              </w:tabs>
              <w:spacing w:before="40"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8789"/>
              </w:tabs>
              <w:spacing w:before="40" w:line="360" w:lineRule="auto"/>
              <w:ind w:left="284"/>
              <w:rPr>
                <w:rFonts w:cs="Arial"/>
                <w:color w:val="000000"/>
                <w:sz w:val="18"/>
                <w:szCs w:val="18"/>
                <w:lang w:val="cs-CZ"/>
              </w:rPr>
            </w:pPr>
            <w:r w:rsidRPr="003B6E11">
              <w:rPr>
                <w:lang w:val="cs-CZ"/>
              </w:rPr>
              <w:tab/>
            </w:r>
            <w:r w:rsidRPr="003B6E11">
              <w:rPr>
                <w:lang w:val="cs-CZ"/>
              </w:rPr>
              <w:tab/>
            </w:r>
          </w:p>
        </w:tc>
      </w:tr>
      <w:tr w:rsidR="003B6E11" w:rsidRPr="003B6E11" w:rsidTr="002D015D">
        <w:tc>
          <w:tcPr>
            <w:tcW w:w="10126" w:type="dxa"/>
            <w:gridSpan w:val="2"/>
          </w:tcPr>
          <w:p w:rsidR="003B6E11" w:rsidRPr="003B6E11" w:rsidRDefault="003B6E11" w:rsidP="002D015D">
            <w:pPr>
              <w:spacing w:before="80"/>
              <w:ind w:left="284" w:hanging="284"/>
              <w:rPr>
                <w:rFonts w:cs="Arial"/>
                <w:sz w:val="18"/>
                <w:szCs w:val="18"/>
                <w:lang w:val="cs-CZ"/>
              </w:rPr>
            </w:pPr>
            <w:r w:rsidRPr="003B6E11">
              <w:rPr>
                <w:sz w:val="18"/>
                <w:lang w:val="cs-CZ"/>
              </w:rPr>
              <w:t>9.</w:t>
            </w:r>
            <w:r w:rsidRPr="003B6E11">
              <w:rPr>
                <w:lang w:val="cs-CZ"/>
              </w:rPr>
              <w:tab/>
            </w:r>
            <w:r w:rsidRPr="003B6E11">
              <w:rPr>
                <w:sz w:val="18"/>
                <w:lang w:val="cs-CZ"/>
              </w:rPr>
              <w:t>Poznámky:</w:t>
            </w:r>
          </w:p>
          <w:p w:rsidR="003B6E11" w:rsidRPr="003B6E11" w:rsidRDefault="003B6E11" w:rsidP="002D015D">
            <w:pPr>
              <w:tabs>
                <w:tab w:val="left" w:leader="dot" w:pos="8789"/>
              </w:tabs>
              <w:spacing w:before="40" w:line="360" w:lineRule="auto"/>
              <w:ind w:left="284"/>
              <w:rPr>
                <w:rFonts w:cs="Arial"/>
                <w:color w:val="000000"/>
                <w:sz w:val="18"/>
                <w:szCs w:val="18"/>
                <w:lang w:val="cs-CZ"/>
              </w:rPr>
            </w:pPr>
            <w:r w:rsidRPr="003B6E11">
              <w:rPr>
                <w:lang w:val="cs-CZ"/>
              </w:rPr>
              <w:tab/>
            </w:r>
            <w:r w:rsidRPr="003B6E11">
              <w:rPr>
                <w:lang w:val="cs-CZ"/>
              </w:rPr>
              <w:tab/>
            </w:r>
          </w:p>
          <w:p w:rsidR="003B6E11" w:rsidRPr="003B6E11" w:rsidRDefault="003B6E11" w:rsidP="002D015D">
            <w:pPr>
              <w:tabs>
                <w:tab w:val="left" w:leader="dot" w:pos="8789"/>
              </w:tabs>
              <w:spacing w:before="40" w:line="360" w:lineRule="auto"/>
              <w:ind w:left="284"/>
              <w:rPr>
                <w:rFonts w:cs="Arial"/>
                <w:color w:val="000000"/>
                <w:sz w:val="18"/>
                <w:szCs w:val="18"/>
                <w:lang w:val="cs-CZ"/>
              </w:rPr>
            </w:pPr>
            <w:r w:rsidRPr="003B6E11">
              <w:rPr>
                <w:lang w:val="cs-CZ"/>
              </w:rPr>
              <w:tab/>
            </w:r>
            <w:r w:rsidRPr="003B6E11">
              <w:rPr>
                <w:lang w:val="cs-CZ"/>
              </w:rPr>
              <w:tab/>
            </w:r>
          </w:p>
        </w:tc>
      </w:tr>
      <w:tr w:rsidR="003B6E11" w:rsidRPr="003B6E11" w:rsidTr="002D015D">
        <w:tc>
          <w:tcPr>
            <w:tcW w:w="10126" w:type="dxa"/>
            <w:gridSpan w:val="2"/>
          </w:tcPr>
          <w:p w:rsidR="003B6E11" w:rsidRPr="003B6E11" w:rsidRDefault="003B6E11" w:rsidP="002D015D">
            <w:pPr>
              <w:spacing w:before="80"/>
              <w:rPr>
                <w:rFonts w:cs="Arial"/>
                <w:color w:val="000000"/>
                <w:sz w:val="18"/>
                <w:szCs w:val="18"/>
                <w:lang w:val="cs-CZ"/>
              </w:rPr>
            </w:pPr>
            <w:r w:rsidRPr="003B6E11">
              <w:rPr>
                <w:sz w:val="18"/>
                <w:lang w:val="cs-CZ"/>
              </w:rPr>
              <w:t>Tato stránka byla vydána / nahrazena (*)</w:t>
            </w:r>
          </w:p>
          <w:p w:rsidR="003B6E11" w:rsidRPr="003B6E11" w:rsidRDefault="003B6E11" w:rsidP="002D015D">
            <w:pPr>
              <w:rPr>
                <w:rFonts w:cs="Arial"/>
                <w:color w:val="000000"/>
                <w:sz w:val="18"/>
                <w:szCs w:val="18"/>
                <w:lang w:val="cs-CZ"/>
              </w:rPr>
            </w:pPr>
          </w:p>
          <w:p w:rsidR="003B6E11" w:rsidRPr="003B6E11" w:rsidRDefault="003B6E11" w:rsidP="002D015D">
            <w:pPr>
              <w:tabs>
                <w:tab w:val="left" w:leader="dot" w:pos="4536"/>
                <w:tab w:val="center" w:pos="7088"/>
              </w:tabs>
              <w:spacing w:after="80" w:line="240" w:lineRule="atLeast"/>
              <w:rPr>
                <w:color w:val="000000"/>
                <w:sz w:val="18"/>
                <w:szCs w:val="18"/>
                <w:lang w:val="cs-CZ"/>
              </w:rPr>
            </w:pPr>
            <w:r w:rsidRPr="003B6E11">
              <w:rPr>
                <w:color w:val="000000"/>
                <w:sz w:val="18"/>
                <w:lang w:val="cs-CZ"/>
              </w:rPr>
              <w:t xml:space="preserve">Místo, datum </w:t>
            </w:r>
            <w:r w:rsidRPr="003B6E11">
              <w:rPr>
                <w:lang w:val="cs-CZ"/>
              </w:rPr>
              <w:tab/>
            </w:r>
            <w:r w:rsidRPr="003B6E11">
              <w:rPr>
                <w:lang w:val="cs-CZ"/>
              </w:rPr>
              <w:tab/>
            </w:r>
            <w:r w:rsidRPr="003B6E11">
              <w:rPr>
                <w:color w:val="000000"/>
                <w:sz w:val="18"/>
                <w:lang w:val="cs-CZ"/>
              </w:rPr>
              <w:t>Subjekt pověřený prohlídkami</w:t>
            </w:r>
          </w:p>
          <w:p w:rsidR="003B6E11" w:rsidRPr="003B6E11" w:rsidRDefault="003B6E11" w:rsidP="002D015D">
            <w:pPr>
              <w:tabs>
                <w:tab w:val="left" w:pos="5387"/>
                <w:tab w:val="left" w:leader="dot" w:pos="8789"/>
              </w:tabs>
              <w:rPr>
                <w:rFonts w:cs="Arial"/>
                <w:color w:val="000000"/>
                <w:sz w:val="18"/>
                <w:szCs w:val="18"/>
                <w:lang w:val="cs-CZ"/>
              </w:rPr>
            </w:pPr>
            <w:r w:rsidRPr="003B6E11">
              <w:rPr>
                <w:lang w:val="cs-CZ"/>
              </w:rPr>
              <w:tab/>
            </w:r>
            <w:r w:rsidRPr="003B6E11">
              <w:rPr>
                <w:lang w:val="cs-CZ"/>
              </w:rPr>
              <w:tab/>
            </w:r>
          </w:p>
          <w:p w:rsidR="003B6E11" w:rsidRPr="003B6E11" w:rsidRDefault="003B6E11" w:rsidP="002D015D">
            <w:pPr>
              <w:rPr>
                <w:rFonts w:cs="Arial"/>
                <w:color w:val="000000"/>
                <w:sz w:val="18"/>
                <w:szCs w:val="18"/>
                <w:lang w:val="cs-CZ"/>
              </w:rPr>
            </w:pPr>
          </w:p>
          <w:p w:rsidR="003B6E11" w:rsidRPr="003B6E11" w:rsidRDefault="003B6E11" w:rsidP="002D015D">
            <w:pPr>
              <w:tabs>
                <w:tab w:val="center" w:pos="1985"/>
              </w:tabs>
              <w:rPr>
                <w:rFonts w:cs="Arial"/>
                <w:color w:val="000000"/>
                <w:sz w:val="18"/>
                <w:szCs w:val="18"/>
                <w:lang w:val="cs-CZ"/>
              </w:rPr>
            </w:pPr>
            <w:r w:rsidRPr="003B6E11">
              <w:rPr>
                <w:lang w:val="cs-CZ"/>
              </w:rPr>
              <w:tab/>
            </w:r>
            <w:r w:rsidRPr="003B6E11">
              <w:rPr>
                <w:color w:val="000000"/>
                <w:sz w:val="18"/>
                <w:lang w:val="cs-CZ"/>
              </w:rPr>
              <w:t>Razítko</w:t>
            </w:r>
          </w:p>
          <w:p w:rsidR="003B6E11" w:rsidRPr="003B6E11" w:rsidRDefault="003B6E11" w:rsidP="002D015D">
            <w:pPr>
              <w:tabs>
                <w:tab w:val="left" w:leader="dot" w:pos="8789"/>
              </w:tabs>
              <w:ind w:left="5387"/>
              <w:rPr>
                <w:rFonts w:cs="Arial"/>
                <w:color w:val="000000"/>
                <w:lang w:val="cs-CZ"/>
              </w:rPr>
            </w:pPr>
            <w:r w:rsidRPr="003B6E11">
              <w:rPr>
                <w:lang w:val="cs-CZ"/>
              </w:rPr>
              <w:tab/>
            </w:r>
            <w:r w:rsidRPr="003B6E11">
              <w:rPr>
                <w:lang w:val="cs-CZ"/>
              </w:rPr>
              <w:tab/>
            </w:r>
          </w:p>
          <w:p w:rsidR="003B6E11" w:rsidRPr="003B6E11" w:rsidRDefault="003B6E11" w:rsidP="002D015D">
            <w:pPr>
              <w:tabs>
                <w:tab w:val="center" w:pos="7088"/>
              </w:tabs>
              <w:rPr>
                <w:rFonts w:cs="Arial"/>
                <w:color w:val="000000"/>
                <w:sz w:val="16"/>
                <w:lang w:val="cs-CZ"/>
              </w:rPr>
            </w:pPr>
            <w:r w:rsidRPr="003B6E11">
              <w:rPr>
                <w:lang w:val="cs-CZ"/>
              </w:rPr>
              <w:tab/>
            </w:r>
            <w:r w:rsidRPr="003B6E11">
              <w:rPr>
                <w:lang w:val="cs-CZ"/>
              </w:rPr>
              <w:tab/>
            </w:r>
            <w:r w:rsidRPr="003B6E11">
              <w:rPr>
                <w:color w:val="000000"/>
                <w:sz w:val="16"/>
                <w:lang w:val="cs-CZ"/>
              </w:rPr>
              <w:t xml:space="preserve"> (podpis)</w:t>
            </w:r>
          </w:p>
          <w:p w:rsidR="003B6E11" w:rsidRPr="003B6E11" w:rsidRDefault="003B6E11" w:rsidP="002D015D">
            <w:pPr>
              <w:rPr>
                <w:rFonts w:cs="Arial"/>
                <w:color w:val="000000"/>
                <w:lang w:val="cs-CZ"/>
              </w:rPr>
            </w:pPr>
          </w:p>
          <w:p w:rsidR="003B6E11" w:rsidRPr="003B6E11" w:rsidRDefault="003B6E11" w:rsidP="002D015D">
            <w:pPr>
              <w:rPr>
                <w:rFonts w:cs="Arial"/>
                <w:color w:val="000000"/>
                <w:sz w:val="12"/>
                <w:lang w:val="cs-CZ"/>
              </w:rPr>
            </w:pPr>
            <w:r w:rsidRPr="003B6E11">
              <w:rPr>
                <w:color w:val="000000"/>
                <w:sz w:val="12"/>
                <w:lang w:val="cs-CZ"/>
              </w:rPr>
              <w:t>___________________________________</w:t>
            </w:r>
          </w:p>
          <w:p w:rsidR="003B6E11" w:rsidRPr="003B6E11" w:rsidRDefault="003B6E11" w:rsidP="002D015D">
            <w:pPr>
              <w:spacing w:before="40" w:after="40" w:line="240" w:lineRule="atLeast"/>
              <w:ind w:left="284" w:hanging="284"/>
              <w:rPr>
                <w:rFonts w:cs="Arial"/>
                <w:color w:val="000000"/>
                <w:sz w:val="18"/>
                <w:szCs w:val="18"/>
                <w:lang w:val="cs-CZ"/>
              </w:rPr>
            </w:pPr>
            <w:r w:rsidRPr="003B6E11">
              <w:rPr>
                <w:sz w:val="16"/>
                <w:lang w:val="cs-CZ"/>
              </w:rPr>
              <w:t>*)</w:t>
            </w:r>
            <w:r w:rsidRPr="003B6E11">
              <w:rPr>
                <w:lang w:val="cs-CZ"/>
              </w:rPr>
              <w:tab/>
            </w:r>
            <w:r w:rsidRPr="003B6E11">
              <w:rPr>
                <w:color w:val="000000"/>
                <w:sz w:val="16"/>
                <w:lang w:val="cs-CZ"/>
              </w:rPr>
              <w:t>Nehodící se škrtněte.</w:t>
            </w:r>
          </w:p>
        </w:tc>
      </w:tr>
      <w:tr w:rsidR="003B6E11" w:rsidRPr="003B6E11" w:rsidTr="002D015D">
        <w:tc>
          <w:tcPr>
            <w:tcW w:w="10126" w:type="dxa"/>
            <w:gridSpan w:val="2"/>
          </w:tcPr>
          <w:p w:rsidR="003B6E11" w:rsidRPr="003B6E11" w:rsidRDefault="003B6E11" w:rsidP="002D015D">
            <w:pPr>
              <w:tabs>
                <w:tab w:val="left" w:pos="5670"/>
                <w:tab w:val="left" w:leader="dot" w:pos="8789"/>
              </w:tabs>
              <w:spacing w:before="120" w:after="40"/>
              <w:ind w:left="5670"/>
              <w:rPr>
                <w:rFonts w:cs="Arial"/>
                <w:color w:val="000000"/>
                <w:sz w:val="18"/>
                <w:szCs w:val="18"/>
                <w:lang w:val="cs-CZ"/>
              </w:rPr>
            </w:pPr>
            <w:r w:rsidRPr="003B6E11">
              <w:rPr>
                <w:color w:val="000000"/>
                <w:sz w:val="18"/>
                <w:lang w:val="cs-CZ"/>
              </w:rPr>
              <w:t>Pokračování na straně</w:t>
            </w:r>
            <w:r w:rsidRPr="003B6E11">
              <w:rPr>
                <w:sz w:val="16"/>
                <w:lang w:val="cs-CZ"/>
              </w:rPr>
              <w:t xml:space="preserve">*) </w:t>
            </w:r>
            <w:r w:rsidRPr="003B6E11">
              <w:rPr>
                <w:lang w:val="cs-CZ"/>
              </w:rPr>
              <w:tab/>
            </w:r>
            <w:r w:rsidRPr="003B6E11">
              <w:rPr>
                <w:color w:val="000000"/>
                <w:sz w:val="18"/>
                <w:szCs w:val="18"/>
                <w:lang w:val="cs-CZ"/>
              </w:rPr>
              <w:br/>
            </w:r>
            <w:r w:rsidRPr="003B6E11">
              <w:rPr>
                <w:color w:val="000000"/>
                <w:sz w:val="18"/>
                <w:lang w:val="cs-CZ"/>
              </w:rPr>
              <w:t>Konec přílohy „Tradiční plavidlo“</w:t>
            </w:r>
            <w:r w:rsidRPr="003B6E11">
              <w:rPr>
                <w:sz w:val="16"/>
                <w:lang w:val="cs-CZ"/>
              </w:rPr>
              <w:t>*)</w:t>
            </w:r>
          </w:p>
        </w:tc>
      </w:tr>
    </w:tbl>
    <w:p w:rsidR="003B6E11" w:rsidRPr="003B6E11" w:rsidRDefault="003B6E11" w:rsidP="003B6E11">
      <w:pPr>
        <w:jc w:val="right"/>
        <w:outlineLvl w:val="0"/>
        <w:rPr>
          <w:lang w:val="cs-CZ"/>
        </w:rPr>
      </w:pPr>
      <w:r w:rsidRPr="003B6E11">
        <w:rPr>
          <w:lang w:val="cs-CZ"/>
        </w:rPr>
        <w:t> “</w:t>
      </w:r>
    </w:p>
    <w:p w:rsidR="003B6E11" w:rsidRPr="003B6E11" w:rsidRDefault="003B6E11" w:rsidP="003B6E11">
      <w:pPr>
        <w:spacing w:line="240" w:lineRule="atLeast"/>
        <w:ind w:left="851"/>
        <w:rPr>
          <w:rFonts w:cs="Arial"/>
          <w:bCs/>
          <w:i/>
          <w:lang w:val="cs-CZ"/>
        </w:rPr>
      </w:pPr>
    </w:p>
    <w:p w:rsidR="003B6E11" w:rsidRPr="003B6E11" w:rsidRDefault="003B6E11" w:rsidP="003B6E11">
      <w:pPr>
        <w:rPr>
          <w:rFonts w:cs="Arial"/>
          <w:szCs w:val="20"/>
          <w:lang w:val="cs-CZ"/>
        </w:rPr>
      </w:pPr>
      <w:r w:rsidRPr="003B6E11">
        <w:rPr>
          <w:lang w:val="cs-CZ"/>
        </w:rPr>
        <w:br w:type="page"/>
      </w:r>
    </w:p>
    <w:p w:rsidR="003B6E11" w:rsidRPr="003B6E11" w:rsidRDefault="003B6E11" w:rsidP="003B6E11">
      <w:pPr>
        <w:pStyle w:val="ESch"/>
        <w:rPr>
          <w:noProof/>
          <w:lang w:val="cs-CZ"/>
        </w:rPr>
      </w:pPr>
    </w:p>
    <w:p w:rsidR="003B6E11" w:rsidRPr="003B6E11" w:rsidRDefault="003B6E11" w:rsidP="003B6E11">
      <w:pPr>
        <w:pStyle w:val="ES-Titre3"/>
        <w:rPr>
          <w:noProof/>
          <w:lang w:val="cs-CZ"/>
        </w:rPr>
      </w:pPr>
      <w:bookmarkStart w:id="626" w:name="_Toc491854305"/>
      <w:bookmarkStart w:id="627" w:name="_Toc535417211"/>
      <w:r w:rsidRPr="003B6E11">
        <w:rPr>
          <w:lang w:val="cs-CZ"/>
        </w:rPr>
        <w:t>Oddíl VI</w:t>
      </w:r>
      <w:bookmarkEnd w:id="626"/>
      <w:bookmarkEnd w:id="627"/>
    </w:p>
    <w:p w:rsidR="003B6E11" w:rsidRPr="003B6E11" w:rsidRDefault="003B6E11" w:rsidP="003B6E11">
      <w:pPr>
        <w:pStyle w:val="ES-Titre3a"/>
        <w:rPr>
          <w:lang w:val="cs-CZ"/>
        </w:rPr>
      </w:pPr>
      <w:bookmarkStart w:id="628" w:name="_Toc491854306"/>
      <w:bookmarkStart w:id="629" w:name="_Toc535417212"/>
      <w:r w:rsidRPr="003B6E11">
        <w:rPr>
          <w:lang w:val="cs-CZ"/>
        </w:rPr>
        <w:t>Vzor rejstříku osvědčení plavidla vnitrozemské plavby</w:t>
      </w:r>
      <w:bookmarkEnd w:id="628"/>
      <w:bookmarkEnd w:id="629"/>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jc w:val="center"/>
        <w:textAlignment w:val="baseline"/>
        <w:rPr>
          <w:rFonts w:cs="Arial"/>
          <w:szCs w:val="20"/>
          <w:lang w:val="cs-CZ"/>
        </w:rPr>
      </w:pPr>
      <w:r w:rsidRPr="003B6E11">
        <w:rPr>
          <w:b/>
          <w:sz w:val="24"/>
          <w:lang w:val="cs-CZ"/>
        </w:rPr>
        <w:t>Rejstřík osvědčení plavidla vnitrozemské plavby</w:t>
      </w: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tabs>
          <w:tab w:val="left" w:leader="dot" w:pos="5670"/>
        </w:tabs>
        <w:overflowPunct w:val="0"/>
        <w:adjustRightInd w:val="0"/>
        <w:jc w:val="center"/>
        <w:textAlignment w:val="baseline"/>
        <w:rPr>
          <w:rFonts w:cs="Arial"/>
          <w:szCs w:val="20"/>
          <w:lang w:val="cs-CZ"/>
        </w:rPr>
      </w:pPr>
      <w:r w:rsidRPr="003B6E11">
        <w:rPr>
          <w:lang w:val="cs-CZ"/>
        </w:rPr>
        <w:t>Příslušný orgán / subjekt pověřený prohlídkami</w:t>
      </w:r>
      <w:r w:rsidRPr="003B6E11">
        <w:rPr>
          <w:lang w:val="cs-CZ"/>
        </w:rPr>
        <w:tab/>
      </w:r>
    </w:p>
    <w:p w:rsidR="003B6E11" w:rsidRPr="003B6E11" w:rsidRDefault="003B6E11" w:rsidP="003B6E11">
      <w:pPr>
        <w:tabs>
          <w:tab w:val="left" w:leader="dot" w:pos="5670"/>
        </w:tabs>
        <w:overflowPunct w:val="0"/>
        <w:adjustRightInd w:val="0"/>
        <w:jc w:val="center"/>
        <w:textAlignment w:val="baseline"/>
        <w:rPr>
          <w:rFonts w:cs="Arial"/>
          <w:szCs w:val="20"/>
          <w:lang w:val="cs-CZ"/>
        </w:rPr>
      </w:pPr>
    </w:p>
    <w:p w:rsidR="003B6E11" w:rsidRPr="003B6E11" w:rsidRDefault="003B6E11" w:rsidP="003B6E11">
      <w:pPr>
        <w:tabs>
          <w:tab w:val="left" w:leader="dot" w:pos="5670"/>
        </w:tabs>
        <w:overflowPunct w:val="0"/>
        <w:adjustRightInd w:val="0"/>
        <w:jc w:val="center"/>
        <w:textAlignment w:val="baseline"/>
        <w:rPr>
          <w:rFonts w:cs="Arial"/>
          <w:szCs w:val="20"/>
          <w:lang w:val="cs-CZ"/>
        </w:rPr>
      </w:pPr>
    </w:p>
    <w:p w:rsidR="003B6E11" w:rsidRPr="003B6E11" w:rsidRDefault="003B6E11" w:rsidP="003B6E11">
      <w:pPr>
        <w:tabs>
          <w:tab w:val="left" w:leader="dot" w:pos="5670"/>
        </w:tabs>
        <w:overflowPunct w:val="0"/>
        <w:adjustRightInd w:val="0"/>
        <w:jc w:val="center"/>
        <w:textAlignment w:val="baseline"/>
        <w:rPr>
          <w:rFonts w:cs="Arial"/>
          <w:szCs w:val="20"/>
          <w:lang w:val="cs-CZ"/>
        </w:rPr>
      </w:pPr>
    </w:p>
    <w:p w:rsidR="003B6E11" w:rsidRPr="003B6E11" w:rsidRDefault="003B6E11" w:rsidP="003B6E11">
      <w:pPr>
        <w:tabs>
          <w:tab w:val="left" w:leader="dot" w:pos="5670"/>
        </w:tabs>
        <w:overflowPunct w:val="0"/>
        <w:adjustRightInd w:val="0"/>
        <w:jc w:val="center"/>
        <w:textAlignment w:val="baseline"/>
        <w:rPr>
          <w:rFonts w:cs="Arial"/>
          <w:szCs w:val="20"/>
          <w:lang w:val="cs-CZ"/>
        </w:rPr>
      </w:pPr>
      <w:r w:rsidRPr="003B6E11">
        <w:rPr>
          <w:lang w:val="cs-CZ"/>
        </w:rPr>
        <w:t>Rejstříky osvědčení</w:t>
      </w:r>
    </w:p>
    <w:p w:rsidR="003B6E11" w:rsidRPr="003B6E11" w:rsidRDefault="003B6E11" w:rsidP="003B6E11">
      <w:pPr>
        <w:tabs>
          <w:tab w:val="left" w:leader="dot" w:pos="5670"/>
        </w:tabs>
        <w:overflowPunct w:val="0"/>
        <w:adjustRightInd w:val="0"/>
        <w:jc w:val="center"/>
        <w:textAlignment w:val="baseline"/>
        <w:rPr>
          <w:rFonts w:cs="Arial"/>
          <w:szCs w:val="20"/>
          <w:lang w:val="cs-CZ"/>
        </w:rPr>
      </w:pPr>
    </w:p>
    <w:p w:rsidR="003B6E11" w:rsidRPr="003B6E11" w:rsidRDefault="003B6E11" w:rsidP="003B6E11">
      <w:pPr>
        <w:tabs>
          <w:tab w:val="left" w:leader="dot" w:pos="5670"/>
        </w:tabs>
        <w:overflowPunct w:val="0"/>
        <w:adjustRightInd w:val="0"/>
        <w:jc w:val="center"/>
        <w:textAlignment w:val="baseline"/>
        <w:rPr>
          <w:rFonts w:cs="Arial"/>
          <w:szCs w:val="20"/>
          <w:lang w:val="cs-CZ"/>
        </w:rPr>
      </w:pPr>
    </w:p>
    <w:p w:rsidR="003B6E11" w:rsidRPr="003B6E11" w:rsidRDefault="003B6E11" w:rsidP="003B6E11">
      <w:pPr>
        <w:tabs>
          <w:tab w:val="left" w:leader="dot" w:pos="5670"/>
        </w:tabs>
        <w:overflowPunct w:val="0"/>
        <w:adjustRightInd w:val="0"/>
        <w:jc w:val="center"/>
        <w:textAlignment w:val="baseline"/>
        <w:rPr>
          <w:rFonts w:cs="Arial"/>
          <w:szCs w:val="20"/>
          <w:lang w:val="cs-CZ"/>
        </w:rPr>
      </w:pPr>
    </w:p>
    <w:p w:rsidR="003B6E11" w:rsidRPr="003B6E11" w:rsidRDefault="003B6E11" w:rsidP="003B6E11">
      <w:pPr>
        <w:tabs>
          <w:tab w:val="left" w:leader="dot" w:pos="1701"/>
        </w:tabs>
        <w:overflowPunct w:val="0"/>
        <w:adjustRightInd w:val="0"/>
        <w:jc w:val="center"/>
        <w:textAlignment w:val="baseline"/>
        <w:rPr>
          <w:rFonts w:cs="Arial"/>
          <w:szCs w:val="20"/>
          <w:lang w:val="cs-CZ"/>
        </w:rPr>
      </w:pPr>
      <w:r w:rsidRPr="003B6E11">
        <w:rPr>
          <w:lang w:val="cs-CZ"/>
        </w:rPr>
        <w:t xml:space="preserve">Rok </w:t>
      </w:r>
      <w:r w:rsidRPr="003B6E11">
        <w:rPr>
          <w:lang w:val="cs-CZ"/>
        </w:rPr>
        <w:tab/>
      </w:r>
    </w:p>
    <w:p w:rsidR="003B6E11" w:rsidRPr="003B6E11" w:rsidRDefault="003B6E11" w:rsidP="003B6E11">
      <w:pPr>
        <w:overflowPunct w:val="0"/>
        <w:adjustRightInd w:val="0"/>
        <w:spacing w:line="240" w:lineRule="atLeast"/>
        <w:jc w:val="center"/>
        <w:textAlignment w:val="baseline"/>
        <w:rPr>
          <w:rFonts w:eastAsia="Calibri"/>
          <w:b/>
          <w:i/>
          <w:caps/>
          <w:sz w:val="24"/>
          <w:lang w:val="cs-CZ"/>
        </w:rPr>
      </w:pPr>
    </w:p>
    <w:p w:rsidR="003B6E11" w:rsidRPr="003B6E11" w:rsidRDefault="003B6E11" w:rsidP="003B6E11">
      <w:pPr>
        <w:tabs>
          <w:tab w:val="center" w:pos="8647"/>
        </w:tabs>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tabs>
          <w:tab w:val="left" w:leader="dot" w:pos="1701"/>
        </w:tabs>
        <w:overflowPunct w:val="0"/>
        <w:adjustRightInd w:val="0"/>
        <w:textAlignment w:val="baseline"/>
        <w:rPr>
          <w:rFonts w:cs="Arial"/>
          <w:b/>
          <w:szCs w:val="20"/>
          <w:lang w:val="cs-CZ"/>
        </w:rPr>
      </w:pPr>
    </w:p>
    <w:p w:rsidR="003B6E11" w:rsidRPr="003B6E11" w:rsidRDefault="003B6E11" w:rsidP="003B6E11">
      <w:pPr>
        <w:tabs>
          <w:tab w:val="left" w:leader="dot" w:pos="1701"/>
        </w:tabs>
        <w:overflowPunct w:val="0"/>
        <w:adjustRightInd w:val="0"/>
        <w:textAlignment w:val="baseline"/>
        <w:rPr>
          <w:rFonts w:cs="Arial"/>
          <w:b/>
          <w:szCs w:val="20"/>
          <w:lang w:val="cs-CZ"/>
        </w:rPr>
      </w:pPr>
    </w:p>
    <w:p w:rsidR="003B6E11" w:rsidRPr="003B6E11" w:rsidRDefault="003B6E11" w:rsidP="003B6E11">
      <w:pPr>
        <w:rPr>
          <w:rFonts w:cs="Arial"/>
          <w:b/>
          <w:szCs w:val="20"/>
          <w:lang w:val="cs-CZ"/>
        </w:rPr>
      </w:pPr>
    </w:p>
    <w:p w:rsidR="003B6E11" w:rsidRPr="003B6E11" w:rsidRDefault="003B6E11" w:rsidP="003B6E11">
      <w:pPr>
        <w:tabs>
          <w:tab w:val="left" w:pos="3930"/>
        </w:tabs>
        <w:rPr>
          <w:rFonts w:cs="Arial"/>
          <w:b/>
          <w:szCs w:val="20"/>
          <w:lang w:val="cs-CZ"/>
        </w:rPr>
      </w:pPr>
    </w:p>
    <w:p w:rsidR="003B6E11" w:rsidRPr="003B6E11" w:rsidRDefault="003B6E11" w:rsidP="003B6E11">
      <w:pPr>
        <w:rPr>
          <w:rFonts w:cs="Arial"/>
          <w:b/>
          <w:szCs w:val="20"/>
          <w:lang w:val="cs-CZ"/>
        </w:rPr>
      </w:pPr>
    </w:p>
    <w:p w:rsidR="003B6E11" w:rsidRPr="003B6E11" w:rsidRDefault="003B6E11" w:rsidP="003B6E11">
      <w:pPr>
        <w:rPr>
          <w:rFonts w:cs="Arial"/>
          <w:b/>
          <w:szCs w:val="20"/>
          <w:lang w:val="cs-CZ"/>
        </w:rPr>
        <w:sectPr w:rsidR="003B6E11" w:rsidRPr="003B6E11" w:rsidSect="0042206B">
          <w:headerReference w:type="default" r:id="rId48"/>
          <w:footerReference w:type="default" r:id="rId49"/>
          <w:footnotePr>
            <w:numRestart w:val="eachPage"/>
          </w:footnotePr>
          <w:type w:val="continuous"/>
          <w:pgSz w:w="11907" w:h="16840"/>
          <w:pgMar w:top="1418" w:right="1418" w:bottom="1418" w:left="1418" w:header="720" w:footer="720" w:gutter="0"/>
          <w:cols w:space="720"/>
          <w:docGrid w:linePitch="272"/>
        </w:sectPr>
      </w:pPr>
    </w:p>
    <w:p w:rsidR="003B6E11" w:rsidRPr="003B6E11" w:rsidRDefault="003B6E11" w:rsidP="003B6E11">
      <w:pPr>
        <w:tabs>
          <w:tab w:val="left" w:leader="dot" w:pos="1701"/>
        </w:tabs>
        <w:overflowPunct w:val="0"/>
        <w:adjustRightInd w:val="0"/>
        <w:spacing w:before="60" w:after="60"/>
        <w:jc w:val="center"/>
        <w:textAlignment w:val="baseline"/>
        <w:rPr>
          <w:rFonts w:cs="Arial"/>
          <w:szCs w:val="20"/>
          <w:lang w:val="cs-CZ"/>
        </w:rPr>
      </w:pPr>
      <w:r w:rsidRPr="003B6E11">
        <w:rPr>
          <w:lang w:val="cs-CZ"/>
        </w:rPr>
        <w:t>(levá strana)</w:t>
      </w:r>
    </w:p>
    <w:tbl>
      <w:tblPr>
        <w:tblW w:w="1417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31"/>
        <w:gridCol w:w="831"/>
        <w:gridCol w:w="833"/>
        <w:gridCol w:w="1985"/>
        <w:gridCol w:w="1985"/>
        <w:gridCol w:w="1474"/>
        <w:gridCol w:w="2212"/>
        <w:gridCol w:w="1190"/>
        <w:gridCol w:w="1193"/>
        <w:gridCol w:w="1644"/>
      </w:tblGrid>
      <w:tr w:rsidR="003B6E11" w:rsidRPr="003B6E11" w:rsidTr="002D015D">
        <w:tc>
          <w:tcPr>
            <w:tcW w:w="2495" w:type="dxa"/>
            <w:gridSpan w:val="3"/>
            <w:vAlign w:val="center"/>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sz w:val="18"/>
                <w:lang w:val="cs-CZ"/>
              </w:rPr>
              <w:t>Osvědčení plavidla vnitrozemské plavby</w:t>
            </w:r>
          </w:p>
        </w:tc>
        <w:tc>
          <w:tcPr>
            <w:tcW w:w="1985" w:type="dxa"/>
            <w:tcBorders>
              <w:bottom w:val="nil"/>
            </w:tcBorders>
            <w:vAlign w:val="center"/>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noProof/>
                <w:sz w:val="18"/>
                <w:lang w:val="cs-CZ"/>
              </w:rPr>
              <w:t>Jméno plavidla</w:t>
            </w:r>
          </w:p>
        </w:tc>
        <w:tc>
          <w:tcPr>
            <w:tcW w:w="1985" w:type="dxa"/>
            <w:tcBorders>
              <w:bottom w:val="nil"/>
            </w:tcBorders>
            <w:vAlign w:val="center"/>
          </w:tcPr>
          <w:p w:rsidR="003B6E11" w:rsidRPr="003B6E11" w:rsidRDefault="003B6E11" w:rsidP="002D015D">
            <w:pPr>
              <w:tabs>
                <w:tab w:val="left" w:leader="dot" w:pos="1701"/>
              </w:tabs>
              <w:overflowPunct w:val="0"/>
              <w:adjustRightInd w:val="0"/>
              <w:spacing w:before="40"/>
              <w:jc w:val="center"/>
              <w:textAlignment w:val="baseline"/>
              <w:rPr>
                <w:rFonts w:cs="Arial"/>
                <w:sz w:val="18"/>
                <w:szCs w:val="18"/>
                <w:lang w:val="cs-CZ"/>
              </w:rPr>
            </w:pPr>
            <w:r w:rsidRPr="003B6E11">
              <w:rPr>
                <w:noProof/>
                <w:sz w:val="18"/>
                <w:lang w:val="cs-CZ"/>
              </w:rPr>
              <w:t xml:space="preserve">Jednotné evropské identifikační číslo plavidla </w:t>
            </w:r>
          </w:p>
        </w:tc>
        <w:tc>
          <w:tcPr>
            <w:tcW w:w="3686" w:type="dxa"/>
            <w:gridSpan w:val="2"/>
            <w:vAlign w:val="center"/>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sz w:val="18"/>
                <w:lang w:val="cs-CZ"/>
              </w:rPr>
              <w:t>Vlastník</w:t>
            </w:r>
          </w:p>
        </w:tc>
        <w:tc>
          <w:tcPr>
            <w:tcW w:w="2383" w:type="dxa"/>
            <w:gridSpan w:val="2"/>
            <w:vAlign w:val="center"/>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sz w:val="18"/>
                <w:lang w:val="cs-CZ"/>
              </w:rPr>
              <w:t>Plavební rejstřík</w:t>
            </w:r>
          </w:p>
        </w:tc>
        <w:tc>
          <w:tcPr>
            <w:tcW w:w="1644" w:type="dxa"/>
            <w:tcBorders>
              <w:bottom w:val="nil"/>
            </w:tcBorders>
            <w:vAlign w:val="center"/>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sz w:val="18"/>
                <w:lang w:val="cs-CZ"/>
              </w:rPr>
              <w:t>Druh plavidla</w:t>
            </w:r>
          </w:p>
        </w:tc>
      </w:tr>
      <w:tr w:rsidR="003B6E11" w:rsidRPr="003B6E11" w:rsidTr="002D015D">
        <w:tc>
          <w:tcPr>
            <w:tcW w:w="831" w:type="dxa"/>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sz w:val="18"/>
                <w:lang w:val="cs-CZ"/>
              </w:rPr>
              <w:t>Č.</w:t>
            </w:r>
          </w:p>
        </w:tc>
        <w:tc>
          <w:tcPr>
            <w:tcW w:w="831" w:type="dxa"/>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sz w:val="18"/>
                <w:lang w:val="cs-CZ"/>
              </w:rPr>
              <w:t>Den</w:t>
            </w:r>
          </w:p>
        </w:tc>
        <w:tc>
          <w:tcPr>
            <w:tcW w:w="833" w:type="dxa"/>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sz w:val="18"/>
                <w:lang w:val="cs-CZ"/>
              </w:rPr>
              <w:t>Měsíc</w:t>
            </w:r>
          </w:p>
        </w:tc>
        <w:tc>
          <w:tcPr>
            <w:tcW w:w="1985" w:type="dxa"/>
            <w:tcBorders>
              <w:top w:val="nil"/>
            </w:tcBorders>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p>
        </w:tc>
        <w:tc>
          <w:tcPr>
            <w:tcW w:w="1985" w:type="dxa"/>
            <w:tcBorders>
              <w:top w:val="nil"/>
            </w:tcBorders>
          </w:tcPr>
          <w:p w:rsidR="003B6E11" w:rsidRPr="003B6E11" w:rsidRDefault="003B6E11" w:rsidP="002D015D">
            <w:pPr>
              <w:tabs>
                <w:tab w:val="left" w:leader="dot" w:pos="1701"/>
              </w:tabs>
              <w:overflowPunct w:val="0"/>
              <w:adjustRightInd w:val="0"/>
              <w:spacing w:after="40"/>
              <w:jc w:val="center"/>
              <w:textAlignment w:val="baseline"/>
              <w:rPr>
                <w:rFonts w:cs="Arial"/>
                <w:sz w:val="18"/>
                <w:szCs w:val="20"/>
                <w:lang w:val="cs-CZ"/>
              </w:rPr>
            </w:pPr>
            <w:r w:rsidRPr="003B6E11">
              <w:rPr>
                <w:noProof/>
                <w:sz w:val="18"/>
                <w:lang w:val="cs-CZ"/>
              </w:rPr>
              <w:t>Číslo</w:t>
            </w:r>
          </w:p>
        </w:tc>
        <w:tc>
          <w:tcPr>
            <w:tcW w:w="1474" w:type="dxa"/>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sz w:val="18"/>
                <w:lang w:val="cs-CZ"/>
              </w:rPr>
              <w:t>Jméno</w:t>
            </w:r>
          </w:p>
        </w:tc>
        <w:tc>
          <w:tcPr>
            <w:tcW w:w="2212" w:type="dxa"/>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sz w:val="18"/>
                <w:lang w:val="cs-CZ"/>
              </w:rPr>
              <w:t>Adresa</w:t>
            </w:r>
          </w:p>
        </w:tc>
        <w:tc>
          <w:tcPr>
            <w:tcW w:w="1190" w:type="dxa"/>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sz w:val="18"/>
                <w:lang w:val="cs-CZ"/>
              </w:rPr>
              <w:t>Místo</w:t>
            </w:r>
          </w:p>
        </w:tc>
        <w:tc>
          <w:tcPr>
            <w:tcW w:w="1193" w:type="dxa"/>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sz w:val="18"/>
                <w:lang w:val="cs-CZ"/>
              </w:rPr>
              <w:t>Č.</w:t>
            </w:r>
          </w:p>
        </w:tc>
        <w:tc>
          <w:tcPr>
            <w:tcW w:w="1644" w:type="dxa"/>
            <w:tcBorders>
              <w:top w:val="nil"/>
            </w:tcBorders>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p>
        </w:tc>
      </w:tr>
      <w:tr w:rsidR="003B6E11" w:rsidRPr="003B6E11" w:rsidTr="002D015D">
        <w:tc>
          <w:tcPr>
            <w:tcW w:w="831" w:type="dxa"/>
          </w:tcPr>
          <w:p w:rsidR="003B6E11" w:rsidRPr="003B6E11" w:rsidRDefault="003B6E11" w:rsidP="002D015D">
            <w:pPr>
              <w:tabs>
                <w:tab w:val="left" w:leader="dot" w:pos="1701"/>
              </w:tabs>
              <w:overflowPunct w:val="0"/>
              <w:adjustRightInd w:val="0"/>
              <w:jc w:val="center"/>
              <w:textAlignment w:val="baseline"/>
              <w:rPr>
                <w:rFonts w:cs="Arial"/>
                <w:sz w:val="18"/>
                <w:szCs w:val="20"/>
                <w:lang w:val="cs-CZ"/>
              </w:rPr>
            </w:pP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p>
        </w:tc>
        <w:tc>
          <w:tcPr>
            <w:tcW w:w="831" w:type="dxa"/>
          </w:tcPr>
          <w:p w:rsidR="003B6E11" w:rsidRPr="003B6E11" w:rsidRDefault="003B6E11" w:rsidP="002D015D">
            <w:pPr>
              <w:tabs>
                <w:tab w:val="left" w:leader="dot" w:pos="1701"/>
              </w:tabs>
              <w:overflowPunct w:val="0"/>
              <w:adjustRightInd w:val="0"/>
              <w:jc w:val="center"/>
              <w:textAlignment w:val="baseline"/>
              <w:rPr>
                <w:rFonts w:cs="Arial"/>
                <w:sz w:val="18"/>
                <w:szCs w:val="20"/>
                <w:lang w:val="cs-CZ"/>
              </w:rPr>
            </w:pPr>
          </w:p>
        </w:tc>
        <w:tc>
          <w:tcPr>
            <w:tcW w:w="833" w:type="dxa"/>
          </w:tcPr>
          <w:p w:rsidR="003B6E11" w:rsidRPr="003B6E11" w:rsidRDefault="003B6E11" w:rsidP="002D015D">
            <w:pPr>
              <w:tabs>
                <w:tab w:val="left" w:leader="dot" w:pos="1701"/>
              </w:tabs>
              <w:overflowPunct w:val="0"/>
              <w:adjustRightInd w:val="0"/>
              <w:jc w:val="center"/>
              <w:textAlignment w:val="baseline"/>
              <w:rPr>
                <w:rFonts w:cs="Arial"/>
                <w:sz w:val="18"/>
                <w:szCs w:val="20"/>
                <w:lang w:val="cs-CZ"/>
              </w:rPr>
            </w:pPr>
          </w:p>
        </w:tc>
        <w:tc>
          <w:tcPr>
            <w:tcW w:w="1985" w:type="dxa"/>
          </w:tcPr>
          <w:p w:rsidR="003B6E11" w:rsidRPr="003B6E11" w:rsidRDefault="003B6E11" w:rsidP="002D015D">
            <w:pPr>
              <w:tabs>
                <w:tab w:val="left" w:leader="dot" w:pos="1701"/>
              </w:tabs>
              <w:overflowPunct w:val="0"/>
              <w:adjustRightInd w:val="0"/>
              <w:jc w:val="center"/>
              <w:textAlignment w:val="baseline"/>
              <w:rPr>
                <w:rFonts w:cs="Arial"/>
                <w:sz w:val="18"/>
                <w:szCs w:val="20"/>
                <w:lang w:val="cs-CZ"/>
              </w:rPr>
            </w:pPr>
          </w:p>
        </w:tc>
        <w:tc>
          <w:tcPr>
            <w:tcW w:w="1985" w:type="dxa"/>
          </w:tcPr>
          <w:p w:rsidR="003B6E11" w:rsidRPr="003B6E11" w:rsidRDefault="003B6E11" w:rsidP="002D015D">
            <w:pPr>
              <w:tabs>
                <w:tab w:val="left" w:leader="dot" w:pos="1701"/>
              </w:tabs>
              <w:overflowPunct w:val="0"/>
              <w:adjustRightInd w:val="0"/>
              <w:jc w:val="center"/>
              <w:textAlignment w:val="baseline"/>
              <w:rPr>
                <w:rFonts w:cs="Arial"/>
                <w:sz w:val="18"/>
                <w:szCs w:val="20"/>
                <w:lang w:val="cs-CZ"/>
              </w:rPr>
            </w:pPr>
          </w:p>
        </w:tc>
        <w:tc>
          <w:tcPr>
            <w:tcW w:w="1474" w:type="dxa"/>
          </w:tcPr>
          <w:p w:rsidR="003B6E11" w:rsidRPr="003B6E11" w:rsidRDefault="003B6E11" w:rsidP="002D015D">
            <w:pPr>
              <w:tabs>
                <w:tab w:val="left" w:leader="dot" w:pos="1701"/>
              </w:tabs>
              <w:overflowPunct w:val="0"/>
              <w:adjustRightInd w:val="0"/>
              <w:jc w:val="center"/>
              <w:textAlignment w:val="baseline"/>
              <w:rPr>
                <w:rFonts w:cs="Arial"/>
                <w:sz w:val="18"/>
                <w:szCs w:val="20"/>
                <w:lang w:val="cs-CZ"/>
              </w:rPr>
            </w:pPr>
          </w:p>
        </w:tc>
        <w:tc>
          <w:tcPr>
            <w:tcW w:w="2212" w:type="dxa"/>
          </w:tcPr>
          <w:p w:rsidR="003B6E11" w:rsidRPr="003B6E11" w:rsidRDefault="003B6E11" w:rsidP="002D015D">
            <w:pPr>
              <w:tabs>
                <w:tab w:val="left" w:leader="dot" w:pos="1701"/>
              </w:tabs>
              <w:overflowPunct w:val="0"/>
              <w:adjustRightInd w:val="0"/>
              <w:jc w:val="center"/>
              <w:textAlignment w:val="baseline"/>
              <w:rPr>
                <w:rFonts w:cs="Arial"/>
                <w:sz w:val="18"/>
                <w:szCs w:val="20"/>
                <w:lang w:val="cs-CZ"/>
              </w:rPr>
            </w:pPr>
          </w:p>
        </w:tc>
        <w:tc>
          <w:tcPr>
            <w:tcW w:w="1190" w:type="dxa"/>
          </w:tcPr>
          <w:p w:rsidR="003B6E11" w:rsidRPr="003B6E11" w:rsidRDefault="003B6E11" w:rsidP="002D015D">
            <w:pPr>
              <w:tabs>
                <w:tab w:val="left" w:leader="dot" w:pos="1701"/>
              </w:tabs>
              <w:overflowPunct w:val="0"/>
              <w:adjustRightInd w:val="0"/>
              <w:jc w:val="center"/>
              <w:textAlignment w:val="baseline"/>
              <w:rPr>
                <w:rFonts w:cs="Arial"/>
                <w:sz w:val="18"/>
                <w:szCs w:val="20"/>
                <w:lang w:val="cs-CZ"/>
              </w:rPr>
            </w:pPr>
          </w:p>
        </w:tc>
        <w:tc>
          <w:tcPr>
            <w:tcW w:w="1193" w:type="dxa"/>
          </w:tcPr>
          <w:p w:rsidR="003B6E11" w:rsidRPr="003B6E11" w:rsidRDefault="003B6E11" w:rsidP="002D015D">
            <w:pPr>
              <w:tabs>
                <w:tab w:val="left" w:leader="dot" w:pos="1701"/>
              </w:tabs>
              <w:overflowPunct w:val="0"/>
              <w:adjustRightInd w:val="0"/>
              <w:jc w:val="center"/>
              <w:textAlignment w:val="baseline"/>
              <w:rPr>
                <w:rFonts w:cs="Arial"/>
                <w:sz w:val="18"/>
                <w:szCs w:val="20"/>
                <w:lang w:val="cs-CZ"/>
              </w:rPr>
            </w:pPr>
          </w:p>
        </w:tc>
        <w:tc>
          <w:tcPr>
            <w:tcW w:w="1644" w:type="dxa"/>
          </w:tcPr>
          <w:p w:rsidR="003B6E11" w:rsidRPr="003B6E11" w:rsidRDefault="003B6E11" w:rsidP="002D015D">
            <w:pPr>
              <w:tabs>
                <w:tab w:val="left" w:leader="dot" w:pos="1701"/>
              </w:tabs>
              <w:overflowPunct w:val="0"/>
              <w:adjustRightInd w:val="0"/>
              <w:jc w:val="center"/>
              <w:textAlignment w:val="baseline"/>
              <w:rPr>
                <w:rFonts w:cs="Arial"/>
                <w:sz w:val="18"/>
                <w:szCs w:val="20"/>
                <w:lang w:val="cs-CZ"/>
              </w:rPr>
            </w:pPr>
          </w:p>
        </w:tc>
      </w:tr>
    </w:tbl>
    <w:p w:rsidR="003B6E11" w:rsidRPr="003B6E11" w:rsidRDefault="003B6E11" w:rsidP="003B6E11">
      <w:pPr>
        <w:tabs>
          <w:tab w:val="left" w:leader="dot" w:pos="1701"/>
        </w:tabs>
        <w:overflowPunct w:val="0"/>
        <w:adjustRightInd w:val="0"/>
        <w:textAlignment w:val="baseline"/>
        <w:rPr>
          <w:rFonts w:cs="Arial"/>
          <w:szCs w:val="20"/>
          <w:lang w:val="cs-CZ"/>
        </w:rPr>
      </w:pPr>
    </w:p>
    <w:p w:rsidR="003B6E11" w:rsidRPr="003B6E11" w:rsidRDefault="003B6E11" w:rsidP="003B6E11">
      <w:pPr>
        <w:tabs>
          <w:tab w:val="left" w:leader="dot" w:pos="1701"/>
        </w:tabs>
        <w:overflowPunct w:val="0"/>
        <w:adjustRightInd w:val="0"/>
        <w:jc w:val="center"/>
        <w:textAlignment w:val="baseline"/>
        <w:rPr>
          <w:rFonts w:cs="Arial"/>
          <w:szCs w:val="20"/>
          <w:lang w:val="cs-CZ"/>
        </w:rPr>
      </w:pPr>
      <w:r w:rsidRPr="003B6E11">
        <w:rPr>
          <w:lang w:val="cs-CZ"/>
        </w:rPr>
        <w:br w:type="page"/>
        <w:t>(pravá strana)</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90"/>
        <w:gridCol w:w="1190"/>
        <w:gridCol w:w="1192"/>
        <w:gridCol w:w="1757"/>
        <w:gridCol w:w="1758"/>
        <w:gridCol w:w="2948"/>
        <w:gridCol w:w="2325"/>
        <w:gridCol w:w="1758"/>
      </w:tblGrid>
      <w:tr w:rsidR="003B6E11" w:rsidRPr="003B6E11" w:rsidTr="002D015D">
        <w:tc>
          <w:tcPr>
            <w:tcW w:w="3572" w:type="dxa"/>
            <w:gridSpan w:val="3"/>
            <w:vAlign w:val="center"/>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sz w:val="18"/>
                <w:lang w:val="cs-CZ"/>
              </w:rPr>
              <w:t>Nosnost podle cejchovního průkazu nebo výtlak *)</w:t>
            </w:r>
          </w:p>
        </w:tc>
        <w:tc>
          <w:tcPr>
            <w:tcW w:w="3515" w:type="dxa"/>
            <w:gridSpan w:val="2"/>
            <w:vAlign w:val="center"/>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sz w:val="18"/>
                <w:lang w:val="cs-CZ"/>
              </w:rPr>
              <w:t>Zóny, případně</w:t>
            </w:r>
            <w:r w:rsidRPr="003B6E11">
              <w:rPr>
                <w:rFonts w:cs="Arial"/>
                <w:sz w:val="18"/>
                <w:szCs w:val="20"/>
                <w:lang w:val="cs-CZ"/>
              </w:rPr>
              <w:br/>
            </w:r>
            <w:r w:rsidRPr="003B6E11">
              <w:rPr>
                <w:sz w:val="18"/>
                <w:lang w:val="cs-CZ"/>
              </w:rPr>
              <w:t>úseky vnitrozemských vodní cest</w:t>
            </w:r>
          </w:p>
        </w:tc>
        <w:tc>
          <w:tcPr>
            <w:tcW w:w="2948" w:type="dxa"/>
            <w:tcBorders>
              <w:bottom w:val="nil"/>
            </w:tcBorders>
            <w:vAlign w:val="center"/>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sz w:val="18"/>
                <w:lang w:val="cs-CZ"/>
              </w:rPr>
              <w:t xml:space="preserve">Poznámky o pravidelných nebo zvláštních prohlídkách, odejmutí nebo zrušení </w:t>
            </w:r>
          </w:p>
        </w:tc>
        <w:tc>
          <w:tcPr>
            <w:tcW w:w="2325" w:type="dxa"/>
            <w:tcBorders>
              <w:bottom w:val="nil"/>
            </w:tcBorders>
            <w:vAlign w:val="center"/>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rFonts w:cs="Arial"/>
                <w:sz w:val="18"/>
                <w:szCs w:val="20"/>
                <w:lang w:val="cs-CZ"/>
              </w:rPr>
              <w:br/>
            </w:r>
            <w:r w:rsidRPr="003B6E11">
              <w:rPr>
                <w:sz w:val="18"/>
                <w:lang w:val="cs-CZ"/>
              </w:rPr>
              <w:t xml:space="preserve">Osvědčení </w:t>
            </w:r>
          </w:p>
        </w:tc>
        <w:tc>
          <w:tcPr>
            <w:tcW w:w="1758" w:type="dxa"/>
            <w:tcBorders>
              <w:bottom w:val="nil"/>
            </w:tcBorders>
            <w:vAlign w:val="center"/>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rFonts w:cs="Arial"/>
                <w:sz w:val="18"/>
                <w:szCs w:val="20"/>
                <w:lang w:val="cs-CZ"/>
              </w:rPr>
              <w:br/>
            </w:r>
            <w:r w:rsidRPr="003B6E11">
              <w:rPr>
                <w:sz w:val="18"/>
                <w:lang w:val="cs-CZ"/>
              </w:rPr>
              <w:t xml:space="preserve">Jiné poznámky </w:t>
            </w:r>
          </w:p>
        </w:tc>
      </w:tr>
      <w:tr w:rsidR="003B6E11" w:rsidRPr="003B6E11" w:rsidTr="002D015D">
        <w:tc>
          <w:tcPr>
            <w:tcW w:w="1190" w:type="dxa"/>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sz w:val="18"/>
                <w:lang w:val="cs-CZ"/>
              </w:rPr>
              <w:t>Datum osvědčení</w:t>
            </w:r>
          </w:p>
        </w:tc>
        <w:tc>
          <w:tcPr>
            <w:tcW w:w="1190" w:type="dxa"/>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sz w:val="18"/>
                <w:lang w:val="cs-CZ"/>
              </w:rPr>
              <w:t>Cejchovní</w:t>
            </w:r>
            <w:r w:rsidRPr="003B6E11">
              <w:rPr>
                <w:rFonts w:cs="Arial"/>
                <w:sz w:val="18"/>
                <w:szCs w:val="20"/>
                <w:lang w:val="cs-CZ"/>
              </w:rPr>
              <w:br/>
            </w:r>
            <w:r w:rsidRPr="003B6E11">
              <w:rPr>
                <w:sz w:val="18"/>
                <w:lang w:val="cs-CZ"/>
              </w:rPr>
              <w:t>značka</w:t>
            </w:r>
          </w:p>
        </w:tc>
        <w:tc>
          <w:tcPr>
            <w:tcW w:w="1192" w:type="dxa"/>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sz w:val="18"/>
                <w:lang w:val="cs-CZ"/>
              </w:rPr>
              <w:t>t nebo</w:t>
            </w:r>
            <w:r w:rsidRPr="003B6E11">
              <w:rPr>
                <w:rFonts w:cs="Arial"/>
                <w:sz w:val="18"/>
                <w:szCs w:val="20"/>
                <w:lang w:val="cs-CZ"/>
              </w:rPr>
              <w:br/>
            </w:r>
            <w:r w:rsidRPr="003B6E11">
              <w:rPr>
                <w:sz w:val="18"/>
                <w:lang w:val="cs-CZ"/>
              </w:rPr>
              <w:t>m</w:t>
            </w:r>
            <w:r w:rsidRPr="003B6E11">
              <w:rPr>
                <w:position w:val="4"/>
                <w:sz w:val="16"/>
                <w:vertAlign w:val="superscript"/>
                <w:lang w:val="cs-CZ"/>
              </w:rPr>
              <w:t>3</w:t>
            </w:r>
          </w:p>
        </w:tc>
        <w:tc>
          <w:tcPr>
            <w:tcW w:w="1757" w:type="dxa"/>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sz w:val="18"/>
                <w:lang w:val="cs-CZ"/>
              </w:rPr>
              <w:t>mezi</w:t>
            </w:r>
          </w:p>
        </w:tc>
        <w:tc>
          <w:tcPr>
            <w:tcW w:w="1758" w:type="dxa"/>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sz w:val="18"/>
                <w:lang w:val="cs-CZ"/>
              </w:rPr>
              <w:t>a</w:t>
            </w:r>
          </w:p>
        </w:tc>
        <w:tc>
          <w:tcPr>
            <w:tcW w:w="2948" w:type="dxa"/>
            <w:tcBorders>
              <w:top w:val="nil"/>
            </w:tcBorders>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sz w:val="18"/>
                <w:lang w:val="cs-CZ"/>
              </w:rPr>
              <w:t>osvědčení</w:t>
            </w:r>
          </w:p>
        </w:tc>
        <w:tc>
          <w:tcPr>
            <w:tcW w:w="2325" w:type="dxa"/>
            <w:tcBorders>
              <w:top w:val="nil"/>
            </w:tcBorders>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r w:rsidRPr="003B6E11">
              <w:rPr>
                <w:sz w:val="18"/>
                <w:lang w:val="cs-CZ"/>
              </w:rPr>
              <w:t>platné do</w:t>
            </w:r>
          </w:p>
        </w:tc>
        <w:tc>
          <w:tcPr>
            <w:tcW w:w="1758" w:type="dxa"/>
            <w:tcBorders>
              <w:top w:val="nil"/>
            </w:tcBorders>
          </w:tcPr>
          <w:p w:rsidR="003B6E11" w:rsidRPr="003B6E11" w:rsidRDefault="003B6E11" w:rsidP="002D015D">
            <w:pPr>
              <w:tabs>
                <w:tab w:val="left" w:leader="dot" w:pos="1701"/>
              </w:tabs>
              <w:overflowPunct w:val="0"/>
              <w:adjustRightInd w:val="0"/>
              <w:spacing w:before="40" w:after="40"/>
              <w:jc w:val="center"/>
              <w:textAlignment w:val="baseline"/>
              <w:rPr>
                <w:rFonts w:cs="Arial"/>
                <w:sz w:val="18"/>
                <w:szCs w:val="20"/>
                <w:lang w:val="cs-CZ"/>
              </w:rPr>
            </w:pPr>
          </w:p>
        </w:tc>
      </w:tr>
      <w:tr w:rsidR="003B6E11" w:rsidRPr="003B6E11" w:rsidTr="002D015D">
        <w:tc>
          <w:tcPr>
            <w:tcW w:w="1190" w:type="dxa"/>
          </w:tcPr>
          <w:p w:rsidR="003B6E11" w:rsidRPr="003B6E11" w:rsidRDefault="003B6E11" w:rsidP="002D015D">
            <w:pPr>
              <w:tabs>
                <w:tab w:val="left" w:leader="dot" w:pos="1701"/>
              </w:tabs>
              <w:overflowPunct w:val="0"/>
              <w:adjustRightInd w:val="0"/>
              <w:jc w:val="center"/>
              <w:textAlignment w:val="baseline"/>
              <w:rPr>
                <w:rFonts w:cs="Arial"/>
                <w:sz w:val="18"/>
                <w:szCs w:val="20"/>
                <w:lang w:val="cs-CZ"/>
              </w:rPr>
            </w:pP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r w:rsidRPr="003B6E11">
              <w:rPr>
                <w:rFonts w:cs="Arial"/>
                <w:sz w:val="18"/>
                <w:szCs w:val="20"/>
                <w:lang w:val="cs-CZ"/>
              </w:rPr>
              <w:br/>
            </w:r>
          </w:p>
        </w:tc>
        <w:tc>
          <w:tcPr>
            <w:tcW w:w="1190" w:type="dxa"/>
          </w:tcPr>
          <w:p w:rsidR="003B6E11" w:rsidRPr="003B6E11" w:rsidRDefault="003B6E11" w:rsidP="002D015D">
            <w:pPr>
              <w:tabs>
                <w:tab w:val="left" w:leader="dot" w:pos="1701"/>
              </w:tabs>
              <w:overflowPunct w:val="0"/>
              <w:adjustRightInd w:val="0"/>
              <w:jc w:val="center"/>
              <w:textAlignment w:val="baseline"/>
              <w:rPr>
                <w:rFonts w:cs="Arial"/>
                <w:sz w:val="18"/>
                <w:szCs w:val="20"/>
                <w:lang w:val="cs-CZ"/>
              </w:rPr>
            </w:pPr>
          </w:p>
        </w:tc>
        <w:tc>
          <w:tcPr>
            <w:tcW w:w="1192" w:type="dxa"/>
          </w:tcPr>
          <w:p w:rsidR="003B6E11" w:rsidRPr="003B6E11" w:rsidRDefault="003B6E11" w:rsidP="002D015D">
            <w:pPr>
              <w:tabs>
                <w:tab w:val="left" w:leader="dot" w:pos="1701"/>
              </w:tabs>
              <w:overflowPunct w:val="0"/>
              <w:adjustRightInd w:val="0"/>
              <w:jc w:val="center"/>
              <w:textAlignment w:val="baseline"/>
              <w:rPr>
                <w:rFonts w:cs="Arial"/>
                <w:sz w:val="18"/>
                <w:szCs w:val="20"/>
                <w:lang w:val="cs-CZ"/>
              </w:rPr>
            </w:pPr>
          </w:p>
        </w:tc>
        <w:tc>
          <w:tcPr>
            <w:tcW w:w="1757" w:type="dxa"/>
          </w:tcPr>
          <w:p w:rsidR="003B6E11" w:rsidRPr="003B6E11" w:rsidRDefault="003B6E11" w:rsidP="002D015D">
            <w:pPr>
              <w:tabs>
                <w:tab w:val="left" w:leader="dot" w:pos="1701"/>
              </w:tabs>
              <w:overflowPunct w:val="0"/>
              <w:adjustRightInd w:val="0"/>
              <w:spacing w:before="120"/>
              <w:jc w:val="center"/>
              <w:textAlignment w:val="baseline"/>
              <w:rPr>
                <w:rFonts w:cs="Arial"/>
                <w:sz w:val="18"/>
                <w:szCs w:val="20"/>
                <w:lang w:val="cs-CZ"/>
              </w:rPr>
            </w:pPr>
          </w:p>
        </w:tc>
        <w:tc>
          <w:tcPr>
            <w:tcW w:w="1758" w:type="dxa"/>
          </w:tcPr>
          <w:p w:rsidR="003B6E11" w:rsidRPr="003B6E11" w:rsidRDefault="003B6E11" w:rsidP="002D015D">
            <w:pPr>
              <w:tabs>
                <w:tab w:val="left" w:leader="dot" w:pos="1701"/>
              </w:tabs>
              <w:overflowPunct w:val="0"/>
              <w:adjustRightInd w:val="0"/>
              <w:spacing w:before="120"/>
              <w:jc w:val="center"/>
              <w:textAlignment w:val="baseline"/>
              <w:rPr>
                <w:rFonts w:cs="Arial"/>
                <w:sz w:val="18"/>
                <w:szCs w:val="20"/>
                <w:lang w:val="cs-CZ"/>
              </w:rPr>
            </w:pPr>
          </w:p>
        </w:tc>
        <w:tc>
          <w:tcPr>
            <w:tcW w:w="2948" w:type="dxa"/>
          </w:tcPr>
          <w:p w:rsidR="003B6E11" w:rsidRPr="003B6E11" w:rsidRDefault="003B6E11" w:rsidP="002D015D">
            <w:pPr>
              <w:tabs>
                <w:tab w:val="left" w:leader="dot" w:pos="1701"/>
              </w:tabs>
              <w:overflowPunct w:val="0"/>
              <w:adjustRightInd w:val="0"/>
              <w:jc w:val="center"/>
              <w:textAlignment w:val="baseline"/>
              <w:rPr>
                <w:rFonts w:cs="Arial"/>
                <w:sz w:val="18"/>
                <w:szCs w:val="20"/>
                <w:lang w:val="cs-CZ"/>
              </w:rPr>
            </w:pPr>
          </w:p>
        </w:tc>
        <w:tc>
          <w:tcPr>
            <w:tcW w:w="2325" w:type="dxa"/>
          </w:tcPr>
          <w:p w:rsidR="003B6E11" w:rsidRPr="003B6E11" w:rsidRDefault="003B6E11" w:rsidP="002D015D">
            <w:pPr>
              <w:tabs>
                <w:tab w:val="left" w:leader="dot" w:pos="1701"/>
              </w:tabs>
              <w:overflowPunct w:val="0"/>
              <w:adjustRightInd w:val="0"/>
              <w:jc w:val="center"/>
              <w:textAlignment w:val="baseline"/>
              <w:rPr>
                <w:rFonts w:cs="Arial"/>
                <w:sz w:val="18"/>
                <w:szCs w:val="20"/>
                <w:lang w:val="cs-CZ"/>
              </w:rPr>
            </w:pPr>
          </w:p>
        </w:tc>
        <w:tc>
          <w:tcPr>
            <w:tcW w:w="1758" w:type="dxa"/>
          </w:tcPr>
          <w:p w:rsidR="003B6E11" w:rsidRPr="003B6E11" w:rsidRDefault="003B6E11" w:rsidP="002D015D">
            <w:pPr>
              <w:tabs>
                <w:tab w:val="left" w:leader="dot" w:pos="1701"/>
              </w:tabs>
              <w:overflowPunct w:val="0"/>
              <w:adjustRightInd w:val="0"/>
              <w:jc w:val="center"/>
              <w:textAlignment w:val="baseline"/>
              <w:rPr>
                <w:rFonts w:cs="Arial"/>
                <w:sz w:val="18"/>
                <w:szCs w:val="20"/>
                <w:lang w:val="cs-CZ"/>
              </w:rPr>
            </w:pPr>
          </w:p>
        </w:tc>
      </w:tr>
    </w:tbl>
    <w:p w:rsidR="003B6E11" w:rsidRPr="003B6E11" w:rsidRDefault="003B6E11" w:rsidP="003B6E11">
      <w:pPr>
        <w:tabs>
          <w:tab w:val="left" w:pos="284"/>
          <w:tab w:val="left" w:leader="dot" w:pos="1701"/>
        </w:tabs>
        <w:overflowPunct w:val="0"/>
        <w:adjustRightInd w:val="0"/>
        <w:spacing w:before="60"/>
        <w:textAlignment w:val="baseline"/>
        <w:rPr>
          <w:rFonts w:cs="Arial"/>
          <w:sz w:val="16"/>
          <w:szCs w:val="20"/>
          <w:lang w:val="cs-CZ"/>
        </w:rPr>
      </w:pPr>
      <w:r w:rsidRPr="003B6E11">
        <w:rPr>
          <w:sz w:val="18"/>
          <w:lang w:val="cs-CZ"/>
        </w:rPr>
        <w:t>*)</w:t>
      </w:r>
      <w:r w:rsidRPr="003B6E11">
        <w:rPr>
          <w:lang w:val="cs-CZ"/>
        </w:rPr>
        <w:tab/>
      </w:r>
      <w:r w:rsidRPr="003B6E11">
        <w:rPr>
          <w:sz w:val="16"/>
          <w:lang w:val="cs-CZ"/>
        </w:rPr>
        <w:t>Není-li cejchovní průkaz k dispozici, odhad nosnosti nebo výtlaku.</w:t>
      </w:r>
    </w:p>
    <w:p w:rsidR="003B6E11" w:rsidRPr="003B6E11" w:rsidRDefault="003B6E11" w:rsidP="003B6E11">
      <w:pPr>
        <w:rPr>
          <w:rFonts w:cs="Arial"/>
          <w:sz w:val="18"/>
          <w:szCs w:val="20"/>
          <w:lang w:val="cs-CZ"/>
        </w:rPr>
      </w:pPr>
      <w:r w:rsidRPr="003B6E11">
        <w:rPr>
          <w:lang w:val="cs-CZ"/>
        </w:rPr>
        <w:br w:type="page"/>
      </w:r>
    </w:p>
    <w:p w:rsidR="003B6E11" w:rsidRPr="003B6E11" w:rsidRDefault="003B6E11" w:rsidP="003B6E11">
      <w:pPr>
        <w:tabs>
          <w:tab w:val="left" w:pos="284"/>
          <w:tab w:val="left" w:leader="dot" w:pos="1701"/>
        </w:tabs>
        <w:overflowPunct w:val="0"/>
        <w:adjustRightInd w:val="0"/>
        <w:textAlignment w:val="baseline"/>
        <w:rPr>
          <w:rFonts w:cs="Arial"/>
          <w:sz w:val="18"/>
          <w:szCs w:val="20"/>
          <w:lang w:val="cs-CZ"/>
        </w:rPr>
      </w:pPr>
    </w:p>
    <w:p w:rsidR="003B6E11" w:rsidRPr="003B6E11" w:rsidRDefault="003B6E11" w:rsidP="003B6E11">
      <w:pPr>
        <w:tabs>
          <w:tab w:val="left" w:pos="284"/>
          <w:tab w:val="left" w:leader="dot" w:pos="1701"/>
        </w:tabs>
        <w:overflowPunct w:val="0"/>
        <w:adjustRightInd w:val="0"/>
        <w:textAlignment w:val="baseline"/>
        <w:rPr>
          <w:rFonts w:cs="Arial"/>
          <w:sz w:val="18"/>
          <w:szCs w:val="20"/>
          <w:lang w:val="cs-CZ"/>
        </w:rPr>
      </w:pPr>
    </w:p>
    <w:p w:rsidR="003B6E11" w:rsidRPr="003B6E11" w:rsidRDefault="003B6E11" w:rsidP="003B6E11">
      <w:pPr>
        <w:tabs>
          <w:tab w:val="left" w:pos="284"/>
          <w:tab w:val="left" w:leader="dot" w:pos="1701"/>
        </w:tabs>
        <w:overflowPunct w:val="0"/>
        <w:adjustRightInd w:val="0"/>
        <w:textAlignment w:val="baseline"/>
        <w:rPr>
          <w:rFonts w:cs="Arial"/>
          <w:sz w:val="18"/>
          <w:szCs w:val="20"/>
          <w:lang w:val="cs-CZ"/>
        </w:rPr>
      </w:pPr>
    </w:p>
    <w:p w:rsidR="003B6E11" w:rsidRPr="003B6E11" w:rsidRDefault="003B6E11" w:rsidP="003B6E11">
      <w:pPr>
        <w:tabs>
          <w:tab w:val="left" w:pos="284"/>
          <w:tab w:val="left" w:leader="dot" w:pos="1701"/>
        </w:tabs>
        <w:overflowPunct w:val="0"/>
        <w:adjustRightInd w:val="0"/>
        <w:textAlignment w:val="baseline"/>
        <w:rPr>
          <w:lang w:val="cs-CZ"/>
        </w:rPr>
      </w:pPr>
    </w:p>
    <w:p w:rsidR="003B6E11" w:rsidRPr="003B6E11" w:rsidRDefault="003B6E11" w:rsidP="003B6E11">
      <w:pPr>
        <w:tabs>
          <w:tab w:val="center" w:pos="8222"/>
        </w:tabs>
        <w:rPr>
          <w:lang w:val="cs-CZ"/>
        </w:rPr>
      </w:pPr>
    </w:p>
    <w:p w:rsidR="003B6E11" w:rsidRPr="003B6E11" w:rsidRDefault="003B6E11" w:rsidP="003B6E11">
      <w:pPr>
        <w:tabs>
          <w:tab w:val="center" w:pos="7088"/>
          <w:tab w:val="left" w:leader="dot" w:pos="9072"/>
        </w:tabs>
        <w:ind w:left="284" w:hanging="284"/>
        <w:rPr>
          <w:sz w:val="18"/>
          <w:lang w:val="cs-CZ"/>
        </w:rPr>
      </w:pPr>
    </w:p>
    <w:p w:rsidR="003B6E11" w:rsidRPr="003B6E11" w:rsidRDefault="003B6E11" w:rsidP="003B6E11">
      <w:pPr>
        <w:tabs>
          <w:tab w:val="center" w:pos="7088"/>
          <w:tab w:val="left" w:leader="dot" w:pos="9072"/>
        </w:tabs>
        <w:ind w:left="284" w:hanging="284"/>
        <w:rPr>
          <w:sz w:val="18"/>
          <w:lang w:val="cs-CZ"/>
        </w:rPr>
        <w:sectPr w:rsidR="003B6E11" w:rsidRPr="003B6E11" w:rsidSect="00FB55E9">
          <w:headerReference w:type="default" r:id="rId50"/>
          <w:footerReference w:type="default" r:id="rId51"/>
          <w:footerReference w:type="first" r:id="rId52"/>
          <w:footnotePr>
            <w:numRestart w:val="eachPage"/>
          </w:footnotePr>
          <w:pgSz w:w="16840" w:h="11907" w:orient="landscape" w:code="9"/>
          <w:pgMar w:top="1418" w:right="1418" w:bottom="1418" w:left="1418" w:header="680" w:footer="680" w:gutter="0"/>
          <w:cols w:space="720"/>
          <w:docGrid w:linePitch="326"/>
        </w:sectPr>
      </w:pPr>
    </w:p>
    <w:p w:rsidR="003B6E11" w:rsidRPr="003B6E11" w:rsidRDefault="003B6E11" w:rsidP="003B6E11">
      <w:pPr>
        <w:pStyle w:val="ES-Titre1"/>
      </w:pPr>
      <w:bookmarkStart w:id="630" w:name="_Toc491854307"/>
      <w:bookmarkStart w:id="631" w:name="_Toc535417213"/>
      <w:r w:rsidRPr="003B6E11">
        <w:t>ČÁST II</w:t>
      </w:r>
      <w:r w:rsidRPr="003B6E11">
        <w:br/>
        <w:t>DALŠÍ POŽADAVKY NA ZVLÁŠTNÍ VYBABENÍ NA PALUBĚ</w:t>
      </w:r>
      <w:bookmarkEnd w:id="630"/>
      <w:bookmarkEnd w:id="631"/>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pStyle w:val="ES-Titre2"/>
        <w:pageBreakBefore w:val="0"/>
      </w:pPr>
      <w:bookmarkStart w:id="632" w:name="_Toc491854308"/>
      <w:bookmarkStart w:id="633" w:name="_Toc535417214"/>
      <w:r w:rsidRPr="003B6E11">
        <w:t>Příloha 4</w:t>
      </w:r>
      <w:r w:rsidRPr="003B6E11">
        <w:br/>
        <w:t>Bezpečnostní značky</w:t>
      </w:r>
      <w:bookmarkEnd w:id="632"/>
      <w:bookmarkEnd w:id="633"/>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31"/>
        <w:gridCol w:w="2551"/>
        <w:gridCol w:w="3328"/>
      </w:tblGrid>
      <w:tr w:rsidR="003B6E11" w:rsidRPr="003B6E11" w:rsidTr="002D015D">
        <w:tc>
          <w:tcPr>
            <w:tcW w:w="3331" w:type="dxa"/>
            <w:vAlign w:val="center"/>
          </w:tcPr>
          <w:p w:rsidR="003B6E11" w:rsidRPr="003B6E11" w:rsidRDefault="003B6E11" w:rsidP="002D015D">
            <w:pPr>
              <w:tabs>
                <w:tab w:val="left" w:pos="454"/>
                <w:tab w:val="left" w:pos="907"/>
                <w:tab w:val="left" w:pos="1361"/>
                <w:tab w:val="left" w:pos="1814"/>
              </w:tabs>
              <w:overflowPunct w:val="0"/>
              <w:adjustRightInd w:val="0"/>
              <w:spacing w:before="240" w:line="240" w:lineRule="exact"/>
              <w:textAlignment w:val="baseline"/>
              <w:rPr>
                <w:rFonts w:cs="Arial"/>
                <w:noProof/>
                <w:szCs w:val="20"/>
                <w:lang w:val="cs-CZ"/>
              </w:rPr>
            </w:pPr>
            <w:r w:rsidRPr="003B6E11">
              <w:rPr>
                <w:lang w:val="cs-CZ"/>
              </w:rPr>
              <w:t>Obrázek 1</w:t>
            </w:r>
          </w:p>
          <w:p w:rsidR="003B6E11" w:rsidRPr="003B6E11" w:rsidRDefault="003B6E11" w:rsidP="002D015D">
            <w:pPr>
              <w:overflowPunct w:val="0"/>
              <w:adjustRightInd w:val="0"/>
              <w:textAlignment w:val="baseline"/>
              <w:rPr>
                <w:rFonts w:cs="Arial"/>
                <w:szCs w:val="20"/>
                <w:lang w:val="cs-CZ"/>
              </w:rPr>
            </w:pPr>
            <w:r w:rsidRPr="003B6E11">
              <w:rPr>
                <w:lang w:val="cs-CZ"/>
              </w:rPr>
              <w:t>Nepovolaným vstup zakázán</w:t>
            </w:r>
          </w:p>
        </w:tc>
        <w:tc>
          <w:tcPr>
            <w:tcW w:w="2551" w:type="dxa"/>
          </w:tcPr>
          <w:p w:rsidR="003B6E11" w:rsidRPr="003B6E11" w:rsidRDefault="003B6E11" w:rsidP="002D015D">
            <w:pPr>
              <w:overflowPunct w:val="0"/>
              <w:adjustRightInd w:val="0"/>
              <w:textAlignment w:val="baseline"/>
              <w:rPr>
                <w:rFonts w:cs="Arial"/>
                <w:sz w:val="18"/>
                <w:szCs w:val="20"/>
                <w:lang w:val="cs-CZ"/>
              </w:rPr>
            </w:pPr>
          </w:p>
          <w:p w:rsidR="003B6E11" w:rsidRPr="003B6E11" w:rsidRDefault="003B6E11" w:rsidP="002D015D">
            <w:pPr>
              <w:overflowPunct w:val="0"/>
              <w:adjustRightInd w:val="0"/>
              <w:jc w:val="center"/>
              <w:textAlignment w:val="baseline"/>
              <w:rPr>
                <w:rFonts w:cs="Arial"/>
                <w:sz w:val="18"/>
                <w:szCs w:val="20"/>
                <w:lang w:val="cs-CZ"/>
              </w:rPr>
            </w:pPr>
            <w:r w:rsidRPr="003B6E11">
              <w:rPr>
                <w:rFonts w:cs="Arial"/>
                <w:b/>
                <w:noProof/>
                <w:szCs w:val="20"/>
                <w:lang w:eastAsia="en-GB"/>
              </w:rPr>
              <w:drawing>
                <wp:inline distT="0" distB="0" distL="0" distR="0" wp14:anchorId="2E390064" wp14:editId="5BD0C2FC">
                  <wp:extent cx="1282700" cy="1282700"/>
                  <wp:effectExtent l="0" t="0" r="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p w:rsidR="003B6E11" w:rsidRPr="003B6E11" w:rsidRDefault="003B6E11" w:rsidP="002D015D">
            <w:pPr>
              <w:overflowPunct w:val="0"/>
              <w:adjustRightInd w:val="0"/>
              <w:textAlignment w:val="baseline"/>
              <w:rPr>
                <w:rFonts w:cs="Arial"/>
                <w:sz w:val="18"/>
                <w:szCs w:val="20"/>
                <w:lang w:val="cs-CZ"/>
              </w:rPr>
            </w:pPr>
          </w:p>
        </w:tc>
        <w:tc>
          <w:tcPr>
            <w:tcW w:w="3328" w:type="dxa"/>
            <w:vAlign w:val="center"/>
          </w:tcPr>
          <w:p w:rsidR="003B6E11" w:rsidRPr="003B6E11" w:rsidRDefault="003B6E11" w:rsidP="002D015D">
            <w:pPr>
              <w:overflowPunct w:val="0"/>
              <w:adjustRightInd w:val="0"/>
              <w:textAlignment w:val="baseline"/>
              <w:rPr>
                <w:rFonts w:cs="Arial"/>
                <w:szCs w:val="20"/>
                <w:lang w:val="cs-CZ"/>
              </w:rPr>
            </w:pPr>
            <w:r w:rsidRPr="003B6E11">
              <w:rPr>
                <w:lang w:val="cs-CZ"/>
              </w:rPr>
              <w:t>Barva: červená/bílá/černá</w:t>
            </w:r>
          </w:p>
        </w:tc>
      </w:tr>
      <w:tr w:rsidR="003B6E11" w:rsidRPr="003B6E11" w:rsidTr="002D015D">
        <w:tc>
          <w:tcPr>
            <w:tcW w:w="3331" w:type="dxa"/>
            <w:vAlign w:val="center"/>
          </w:tcPr>
          <w:p w:rsidR="003B6E11" w:rsidRPr="003B6E11" w:rsidRDefault="003B6E11" w:rsidP="002D015D">
            <w:pPr>
              <w:overflowPunct w:val="0"/>
              <w:adjustRightInd w:val="0"/>
              <w:textAlignment w:val="baseline"/>
              <w:rPr>
                <w:rFonts w:cs="Arial"/>
                <w:szCs w:val="20"/>
                <w:lang w:val="cs-CZ"/>
              </w:rPr>
            </w:pPr>
            <w:r w:rsidRPr="003B6E11">
              <w:rPr>
                <w:lang w:val="cs-CZ"/>
              </w:rPr>
              <w:t>Obrázek 2</w:t>
            </w:r>
          </w:p>
          <w:p w:rsidR="003B6E11" w:rsidRPr="003B6E11" w:rsidRDefault="003B6E11" w:rsidP="002D015D">
            <w:pPr>
              <w:overflowPunct w:val="0"/>
              <w:adjustRightInd w:val="0"/>
              <w:textAlignment w:val="baseline"/>
              <w:rPr>
                <w:rFonts w:cs="Arial"/>
                <w:szCs w:val="20"/>
                <w:lang w:val="cs-CZ"/>
              </w:rPr>
            </w:pPr>
            <w:r w:rsidRPr="003B6E11">
              <w:rPr>
                <w:lang w:val="cs-CZ"/>
              </w:rPr>
              <w:t>Zákaz ohně, otevřeného plamene a kouření</w:t>
            </w:r>
          </w:p>
        </w:tc>
        <w:tc>
          <w:tcPr>
            <w:tcW w:w="2551" w:type="dxa"/>
          </w:tcPr>
          <w:p w:rsidR="003B6E11" w:rsidRPr="003B6E11" w:rsidRDefault="003B6E11" w:rsidP="002D015D">
            <w:pPr>
              <w:overflowPunct w:val="0"/>
              <w:adjustRightInd w:val="0"/>
              <w:textAlignment w:val="baseline"/>
              <w:rPr>
                <w:rFonts w:cs="Arial"/>
                <w:sz w:val="18"/>
                <w:szCs w:val="20"/>
                <w:lang w:val="cs-CZ"/>
              </w:rPr>
            </w:pPr>
          </w:p>
          <w:p w:rsidR="003B6E11" w:rsidRPr="003B6E11" w:rsidRDefault="003B6E11" w:rsidP="002D015D">
            <w:pPr>
              <w:overflowPunct w:val="0"/>
              <w:adjustRightInd w:val="0"/>
              <w:jc w:val="center"/>
              <w:textAlignment w:val="baseline"/>
              <w:rPr>
                <w:rFonts w:cs="Arial"/>
                <w:sz w:val="18"/>
                <w:szCs w:val="20"/>
                <w:lang w:val="cs-CZ"/>
              </w:rPr>
            </w:pPr>
            <w:r w:rsidRPr="003B6E11">
              <w:rPr>
                <w:rFonts w:cs="Arial"/>
                <w:noProof/>
                <w:szCs w:val="20"/>
                <w:lang w:eastAsia="en-GB"/>
              </w:rPr>
              <w:drawing>
                <wp:inline distT="0" distB="0" distL="0" distR="0" wp14:anchorId="72D52266" wp14:editId="75958F9F">
                  <wp:extent cx="1282700" cy="12827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p w:rsidR="003B6E11" w:rsidRPr="003B6E11" w:rsidRDefault="003B6E11" w:rsidP="002D015D">
            <w:pPr>
              <w:overflowPunct w:val="0"/>
              <w:adjustRightInd w:val="0"/>
              <w:textAlignment w:val="baseline"/>
              <w:rPr>
                <w:rFonts w:cs="Arial"/>
                <w:sz w:val="18"/>
                <w:szCs w:val="20"/>
                <w:lang w:val="cs-CZ"/>
              </w:rPr>
            </w:pPr>
          </w:p>
        </w:tc>
        <w:tc>
          <w:tcPr>
            <w:tcW w:w="3328" w:type="dxa"/>
            <w:vAlign w:val="center"/>
          </w:tcPr>
          <w:p w:rsidR="003B6E11" w:rsidRPr="003B6E11" w:rsidRDefault="003B6E11" w:rsidP="002D015D">
            <w:pPr>
              <w:overflowPunct w:val="0"/>
              <w:adjustRightInd w:val="0"/>
              <w:textAlignment w:val="baseline"/>
              <w:rPr>
                <w:rFonts w:cs="Arial"/>
                <w:szCs w:val="20"/>
                <w:lang w:val="cs-CZ"/>
              </w:rPr>
            </w:pPr>
            <w:r w:rsidRPr="003B6E11">
              <w:rPr>
                <w:lang w:val="cs-CZ"/>
              </w:rPr>
              <w:t>Barva: červená/bílá/černá</w:t>
            </w:r>
          </w:p>
        </w:tc>
      </w:tr>
      <w:tr w:rsidR="003B6E11" w:rsidRPr="003B6E11" w:rsidTr="002D015D">
        <w:tc>
          <w:tcPr>
            <w:tcW w:w="3331" w:type="dxa"/>
            <w:vAlign w:val="center"/>
          </w:tcPr>
          <w:p w:rsidR="003B6E11" w:rsidRPr="003B6E11" w:rsidRDefault="003B6E11" w:rsidP="002D015D">
            <w:pPr>
              <w:tabs>
                <w:tab w:val="left" w:pos="454"/>
                <w:tab w:val="left" w:pos="907"/>
                <w:tab w:val="left" w:pos="1361"/>
                <w:tab w:val="left" w:pos="1814"/>
              </w:tabs>
              <w:overflowPunct w:val="0"/>
              <w:adjustRightInd w:val="0"/>
              <w:spacing w:before="240" w:line="240" w:lineRule="exact"/>
              <w:textAlignment w:val="baseline"/>
              <w:rPr>
                <w:rFonts w:cs="Arial"/>
                <w:noProof/>
                <w:szCs w:val="20"/>
                <w:lang w:val="cs-CZ"/>
              </w:rPr>
            </w:pPr>
            <w:r w:rsidRPr="003B6E11">
              <w:rPr>
                <w:lang w:val="cs-CZ"/>
              </w:rPr>
              <w:t>Obrázek 3</w:t>
            </w:r>
          </w:p>
          <w:p w:rsidR="003B6E11" w:rsidRPr="003B6E11" w:rsidRDefault="003B6E11" w:rsidP="002D015D">
            <w:pPr>
              <w:overflowPunct w:val="0"/>
              <w:adjustRightInd w:val="0"/>
              <w:textAlignment w:val="baseline"/>
              <w:rPr>
                <w:rFonts w:cs="Arial"/>
                <w:szCs w:val="20"/>
                <w:lang w:val="cs-CZ"/>
              </w:rPr>
            </w:pPr>
            <w:r w:rsidRPr="003B6E11">
              <w:rPr>
                <w:lang w:val="cs-CZ"/>
              </w:rPr>
              <w:t>Hasicí přístroj</w:t>
            </w:r>
          </w:p>
        </w:tc>
        <w:tc>
          <w:tcPr>
            <w:tcW w:w="2551" w:type="dxa"/>
          </w:tcPr>
          <w:p w:rsidR="003B6E11" w:rsidRPr="003B6E11" w:rsidRDefault="003B6E11" w:rsidP="002D015D">
            <w:pPr>
              <w:overflowPunct w:val="0"/>
              <w:adjustRightInd w:val="0"/>
              <w:textAlignment w:val="baseline"/>
              <w:rPr>
                <w:rFonts w:cs="Arial"/>
                <w:sz w:val="18"/>
                <w:szCs w:val="20"/>
                <w:lang w:val="cs-CZ"/>
              </w:rPr>
            </w:pPr>
          </w:p>
          <w:p w:rsidR="003B6E11" w:rsidRPr="003B6E11" w:rsidRDefault="003B6E11" w:rsidP="002D015D">
            <w:pPr>
              <w:overflowPunct w:val="0"/>
              <w:adjustRightInd w:val="0"/>
              <w:jc w:val="center"/>
              <w:textAlignment w:val="baseline"/>
              <w:rPr>
                <w:rFonts w:cs="Arial"/>
                <w:sz w:val="18"/>
                <w:szCs w:val="20"/>
                <w:lang w:val="cs-CZ"/>
              </w:rPr>
            </w:pPr>
            <w:r w:rsidRPr="003B6E11">
              <w:rPr>
                <w:rFonts w:cs="Arial"/>
                <w:noProof/>
                <w:szCs w:val="20"/>
                <w:lang w:eastAsia="en-GB"/>
              </w:rPr>
              <w:drawing>
                <wp:inline distT="0" distB="0" distL="0" distR="0" wp14:anchorId="05B3CE9C" wp14:editId="5E09F649">
                  <wp:extent cx="1282700" cy="1282700"/>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p w:rsidR="003B6E11" w:rsidRPr="003B6E11" w:rsidRDefault="003B6E11" w:rsidP="002D015D">
            <w:pPr>
              <w:overflowPunct w:val="0"/>
              <w:adjustRightInd w:val="0"/>
              <w:textAlignment w:val="baseline"/>
              <w:rPr>
                <w:rFonts w:cs="Arial"/>
                <w:sz w:val="18"/>
                <w:szCs w:val="20"/>
                <w:lang w:val="cs-CZ"/>
              </w:rPr>
            </w:pPr>
          </w:p>
        </w:tc>
        <w:tc>
          <w:tcPr>
            <w:tcW w:w="3328" w:type="dxa"/>
            <w:vAlign w:val="center"/>
          </w:tcPr>
          <w:p w:rsidR="003B6E11" w:rsidRPr="003B6E11" w:rsidRDefault="003B6E11" w:rsidP="002D015D">
            <w:pPr>
              <w:overflowPunct w:val="0"/>
              <w:adjustRightInd w:val="0"/>
              <w:textAlignment w:val="baseline"/>
              <w:rPr>
                <w:rFonts w:cs="Arial"/>
                <w:szCs w:val="20"/>
                <w:lang w:val="cs-CZ"/>
              </w:rPr>
            </w:pPr>
            <w:r w:rsidRPr="003B6E11">
              <w:rPr>
                <w:lang w:val="cs-CZ"/>
              </w:rPr>
              <w:t>Barva: červená/bílá</w:t>
            </w:r>
          </w:p>
        </w:tc>
      </w:tr>
      <w:tr w:rsidR="003B6E11" w:rsidRPr="003B6E11" w:rsidTr="002D015D">
        <w:tc>
          <w:tcPr>
            <w:tcW w:w="3331" w:type="dxa"/>
            <w:vAlign w:val="center"/>
          </w:tcPr>
          <w:p w:rsidR="003B6E11" w:rsidRPr="003B6E11" w:rsidRDefault="003B6E11" w:rsidP="002D015D">
            <w:pPr>
              <w:tabs>
                <w:tab w:val="left" w:pos="454"/>
                <w:tab w:val="left" w:pos="907"/>
                <w:tab w:val="left" w:pos="1361"/>
                <w:tab w:val="left" w:pos="1814"/>
              </w:tabs>
              <w:overflowPunct w:val="0"/>
              <w:adjustRightInd w:val="0"/>
              <w:spacing w:before="240" w:line="240" w:lineRule="exact"/>
              <w:textAlignment w:val="baseline"/>
              <w:rPr>
                <w:rFonts w:cs="Arial"/>
                <w:noProof/>
                <w:szCs w:val="20"/>
                <w:lang w:val="cs-CZ"/>
              </w:rPr>
            </w:pPr>
            <w:r w:rsidRPr="003B6E11">
              <w:rPr>
                <w:lang w:val="cs-CZ"/>
              </w:rPr>
              <w:t>Obrázek 4</w:t>
            </w:r>
          </w:p>
          <w:p w:rsidR="003B6E11" w:rsidRPr="003B6E11" w:rsidRDefault="003B6E11" w:rsidP="002D015D">
            <w:pPr>
              <w:overflowPunct w:val="0"/>
              <w:adjustRightInd w:val="0"/>
              <w:textAlignment w:val="baseline"/>
              <w:rPr>
                <w:rFonts w:cs="Arial"/>
                <w:szCs w:val="20"/>
                <w:lang w:val="cs-CZ"/>
              </w:rPr>
            </w:pPr>
            <w:r w:rsidRPr="003B6E11">
              <w:rPr>
                <w:lang w:val="cs-CZ"/>
              </w:rPr>
              <w:t>Obecné upozornění na nebezpečí</w:t>
            </w:r>
          </w:p>
        </w:tc>
        <w:tc>
          <w:tcPr>
            <w:tcW w:w="2551" w:type="dxa"/>
          </w:tcPr>
          <w:p w:rsidR="003B6E11" w:rsidRPr="003B6E11" w:rsidRDefault="003B6E11" w:rsidP="002D015D">
            <w:pPr>
              <w:overflowPunct w:val="0"/>
              <w:adjustRightInd w:val="0"/>
              <w:textAlignment w:val="baseline"/>
              <w:rPr>
                <w:rFonts w:cs="Arial"/>
                <w:sz w:val="18"/>
                <w:szCs w:val="20"/>
                <w:lang w:val="cs-CZ"/>
              </w:rPr>
            </w:pPr>
          </w:p>
          <w:p w:rsidR="003B6E11" w:rsidRPr="003B6E11" w:rsidRDefault="003B6E11" w:rsidP="002D015D">
            <w:pPr>
              <w:overflowPunct w:val="0"/>
              <w:adjustRightInd w:val="0"/>
              <w:jc w:val="center"/>
              <w:textAlignment w:val="baseline"/>
              <w:rPr>
                <w:rFonts w:cs="Arial"/>
                <w:sz w:val="18"/>
                <w:szCs w:val="20"/>
                <w:lang w:val="cs-CZ"/>
              </w:rPr>
            </w:pPr>
            <w:r w:rsidRPr="003B6E11">
              <w:rPr>
                <w:rFonts w:cs="Arial"/>
                <w:noProof/>
                <w:szCs w:val="20"/>
                <w:lang w:eastAsia="en-GB"/>
              </w:rPr>
              <w:drawing>
                <wp:inline distT="0" distB="0" distL="0" distR="0" wp14:anchorId="3F3A3087" wp14:editId="36647500">
                  <wp:extent cx="1460500" cy="128270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0500" cy="1282700"/>
                          </a:xfrm>
                          <a:prstGeom prst="rect">
                            <a:avLst/>
                          </a:prstGeom>
                          <a:noFill/>
                          <a:ln>
                            <a:noFill/>
                          </a:ln>
                        </pic:spPr>
                      </pic:pic>
                    </a:graphicData>
                  </a:graphic>
                </wp:inline>
              </w:drawing>
            </w:r>
          </w:p>
          <w:p w:rsidR="003B6E11" w:rsidRPr="003B6E11" w:rsidRDefault="003B6E11" w:rsidP="002D015D">
            <w:pPr>
              <w:overflowPunct w:val="0"/>
              <w:adjustRightInd w:val="0"/>
              <w:textAlignment w:val="baseline"/>
              <w:rPr>
                <w:rFonts w:cs="Arial"/>
                <w:sz w:val="18"/>
                <w:szCs w:val="20"/>
                <w:lang w:val="cs-CZ"/>
              </w:rPr>
            </w:pPr>
          </w:p>
        </w:tc>
        <w:tc>
          <w:tcPr>
            <w:tcW w:w="3328" w:type="dxa"/>
            <w:vAlign w:val="center"/>
          </w:tcPr>
          <w:p w:rsidR="003B6E11" w:rsidRPr="003B6E11" w:rsidRDefault="003B6E11" w:rsidP="002D015D">
            <w:pPr>
              <w:overflowPunct w:val="0"/>
              <w:adjustRightInd w:val="0"/>
              <w:textAlignment w:val="baseline"/>
              <w:rPr>
                <w:rFonts w:cs="Arial"/>
                <w:szCs w:val="20"/>
                <w:lang w:val="cs-CZ"/>
              </w:rPr>
            </w:pPr>
            <w:r w:rsidRPr="003B6E11">
              <w:rPr>
                <w:lang w:val="cs-CZ"/>
              </w:rPr>
              <w:t>Barva: černá/žlutá</w:t>
            </w:r>
          </w:p>
        </w:tc>
      </w:tr>
    </w:tbl>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r w:rsidRPr="003B6E11">
        <w:rPr>
          <w:lang w:val="cs-CZ"/>
        </w:rP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31"/>
        <w:gridCol w:w="2551"/>
        <w:gridCol w:w="3328"/>
      </w:tblGrid>
      <w:tr w:rsidR="003B6E11" w:rsidRPr="003B6E11" w:rsidTr="002D015D">
        <w:tc>
          <w:tcPr>
            <w:tcW w:w="3331" w:type="dxa"/>
            <w:vAlign w:val="center"/>
          </w:tcPr>
          <w:p w:rsidR="003B6E11" w:rsidRPr="003B6E11" w:rsidRDefault="003B6E11" w:rsidP="002D015D">
            <w:pPr>
              <w:tabs>
                <w:tab w:val="left" w:pos="454"/>
                <w:tab w:val="left" w:pos="907"/>
                <w:tab w:val="left" w:pos="1361"/>
                <w:tab w:val="left" w:pos="1814"/>
              </w:tabs>
              <w:overflowPunct w:val="0"/>
              <w:adjustRightInd w:val="0"/>
              <w:spacing w:before="240" w:line="240" w:lineRule="exact"/>
              <w:textAlignment w:val="baseline"/>
              <w:rPr>
                <w:rFonts w:cs="Arial"/>
                <w:noProof/>
                <w:szCs w:val="20"/>
                <w:lang w:val="cs-CZ"/>
              </w:rPr>
            </w:pPr>
            <w:r w:rsidRPr="003B6E11">
              <w:rPr>
                <w:lang w:val="cs-CZ"/>
              </w:rPr>
              <w:t>Obrázek 5</w:t>
            </w:r>
          </w:p>
          <w:p w:rsidR="003B6E11" w:rsidRPr="003B6E11" w:rsidRDefault="003B6E11" w:rsidP="002D015D">
            <w:pPr>
              <w:overflowPunct w:val="0"/>
              <w:adjustRightInd w:val="0"/>
              <w:textAlignment w:val="baseline"/>
              <w:rPr>
                <w:rFonts w:cs="Arial"/>
                <w:szCs w:val="20"/>
                <w:lang w:val="cs-CZ"/>
              </w:rPr>
            </w:pPr>
            <w:r w:rsidRPr="003B6E11">
              <w:rPr>
                <w:lang w:val="cs-CZ"/>
              </w:rPr>
              <w:t>Požární hadice</w:t>
            </w:r>
          </w:p>
        </w:tc>
        <w:tc>
          <w:tcPr>
            <w:tcW w:w="2551" w:type="dxa"/>
          </w:tcPr>
          <w:p w:rsidR="003B6E11" w:rsidRPr="003B6E11" w:rsidRDefault="003B6E11" w:rsidP="002D015D">
            <w:pPr>
              <w:overflowPunct w:val="0"/>
              <w:adjustRightInd w:val="0"/>
              <w:textAlignment w:val="baseline"/>
              <w:rPr>
                <w:rFonts w:cs="Arial"/>
                <w:sz w:val="18"/>
                <w:szCs w:val="20"/>
                <w:lang w:val="cs-CZ"/>
              </w:rPr>
            </w:pPr>
          </w:p>
          <w:p w:rsidR="003B6E11" w:rsidRPr="003B6E11" w:rsidRDefault="003B6E11" w:rsidP="002D015D">
            <w:pPr>
              <w:overflowPunct w:val="0"/>
              <w:adjustRightInd w:val="0"/>
              <w:jc w:val="center"/>
              <w:textAlignment w:val="baseline"/>
              <w:rPr>
                <w:rFonts w:cs="Arial"/>
                <w:sz w:val="18"/>
                <w:szCs w:val="20"/>
                <w:lang w:val="cs-CZ"/>
              </w:rPr>
            </w:pPr>
            <w:r w:rsidRPr="003B6E11">
              <w:rPr>
                <w:rFonts w:cs="Arial"/>
                <w:noProof/>
                <w:szCs w:val="20"/>
                <w:lang w:eastAsia="en-GB"/>
              </w:rPr>
              <w:drawing>
                <wp:inline distT="0" distB="0" distL="0" distR="0" wp14:anchorId="46E93F31" wp14:editId="7D2A0B7F">
                  <wp:extent cx="1282700" cy="12827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p w:rsidR="003B6E11" w:rsidRPr="003B6E11" w:rsidRDefault="003B6E11" w:rsidP="002D015D">
            <w:pPr>
              <w:overflowPunct w:val="0"/>
              <w:adjustRightInd w:val="0"/>
              <w:textAlignment w:val="baseline"/>
              <w:rPr>
                <w:rFonts w:cs="Arial"/>
                <w:sz w:val="18"/>
                <w:szCs w:val="20"/>
                <w:lang w:val="cs-CZ"/>
              </w:rPr>
            </w:pPr>
          </w:p>
        </w:tc>
        <w:tc>
          <w:tcPr>
            <w:tcW w:w="3328" w:type="dxa"/>
            <w:vAlign w:val="center"/>
          </w:tcPr>
          <w:p w:rsidR="003B6E11" w:rsidRPr="003B6E11" w:rsidRDefault="003B6E11" w:rsidP="002D015D">
            <w:pPr>
              <w:overflowPunct w:val="0"/>
              <w:adjustRightInd w:val="0"/>
              <w:textAlignment w:val="baseline"/>
              <w:rPr>
                <w:rFonts w:cs="Arial"/>
                <w:szCs w:val="20"/>
                <w:lang w:val="cs-CZ"/>
              </w:rPr>
            </w:pPr>
            <w:r w:rsidRPr="003B6E11">
              <w:rPr>
                <w:lang w:val="cs-CZ"/>
              </w:rPr>
              <w:t>Barva: červená/bílá</w:t>
            </w:r>
          </w:p>
        </w:tc>
      </w:tr>
      <w:tr w:rsidR="003B6E11" w:rsidRPr="003B6E11" w:rsidTr="002D015D">
        <w:tc>
          <w:tcPr>
            <w:tcW w:w="3331" w:type="dxa"/>
            <w:vAlign w:val="center"/>
          </w:tcPr>
          <w:p w:rsidR="003B6E11" w:rsidRPr="003B6E11" w:rsidRDefault="003B6E11" w:rsidP="002D015D">
            <w:pPr>
              <w:tabs>
                <w:tab w:val="left" w:pos="454"/>
                <w:tab w:val="left" w:pos="907"/>
                <w:tab w:val="left" w:pos="1361"/>
                <w:tab w:val="left" w:pos="1814"/>
              </w:tabs>
              <w:overflowPunct w:val="0"/>
              <w:adjustRightInd w:val="0"/>
              <w:spacing w:before="240" w:line="240" w:lineRule="exact"/>
              <w:textAlignment w:val="baseline"/>
              <w:rPr>
                <w:rFonts w:cs="Arial"/>
                <w:noProof/>
                <w:szCs w:val="20"/>
                <w:lang w:val="cs-CZ"/>
              </w:rPr>
            </w:pPr>
            <w:r w:rsidRPr="003B6E11">
              <w:rPr>
                <w:lang w:val="cs-CZ"/>
              </w:rPr>
              <w:t>Obrázek 6</w:t>
            </w:r>
          </w:p>
          <w:p w:rsidR="003B6E11" w:rsidRPr="003B6E11" w:rsidRDefault="003B6E11" w:rsidP="002D015D">
            <w:pPr>
              <w:overflowPunct w:val="0"/>
              <w:adjustRightInd w:val="0"/>
              <w:textAlignment w:val="baseline"/>
              <w:rPr>
                <w:rFonts w:cs="Arial"/>
                <w:szCs w:val="20"/>
                <w:lang w:val="cs-CZ"/>
              </w:rPr>
            </w:pPr>
            <w:r w:rsidRPr="003B6E11">
              <w:rPr>
                <w:lang w:val="cs-CZ"/>
              </w:rPr>
              <w:t>Protipožární zařízení</w:t>
            </w:r>
          </w:p>
        </w:tc>
        <w:tc>
          <w:tcPr>
            <w:tcW w:w="2551" w:type="dxa"/>
          </w:tcPr>
          <w:p w:rsidR="003B6E11" w:rsidRPr="003B6E11" w:rsidRDefault="003B6E11" w:rsidP="002D015D">
            <w:pPr>
              <w:overflowPunct w:val="0"/>
              <w:adjustRightInd w:val="0"/>
              <w:textAlignment w:val="baseline"/>
              <w:rPr>
                <w:rFonts w:cs="Arial"/>
                <w:sz w:val="18"/>
                <w:szCs w:val="20"/>
                <w:lang w:val="cs-CZ"/>
              </w:rPr>
            </w:pPr>
          </w:p>
          <w:p w:rsidR="003B6E11" w:rsidRPr="003B6E11" w:rsidRDefault="003B6E11" w:rsidP="002D015D">
            <w:pPr>
              <w:overflowPunct w:val="0"/>
              <w:adjustRightInd w:val="0"/>
              <w:jc w:val="center"/>
              <w:textAlignment w:val="baseline"/>
              <w:rPr>
                <w:rFonts w:cs="Arial"/>
                <w:sz w:val="18"/>
                <w:szCs w:val="20"/>
                <w:lang w:val="cs-CZ"/>
              </w:rPr>
            </w:pPr>
            <w:r w:rsidRPr="003B6E11">
              <w:rPr>
                <w:rFonts w:cs="Arial"/>
                <w:noProof/>
                <w:szCs w:val="20"/>
                <w:lang w:eastAsia="en-GB"/>
              </w:rPr>
              <w:drawing>
                <wp:inline distT="0" distB="0" distL="0" distR="0" wp14:anchorId="5107F907" wp14:editId="39E95EFB">
                  <wp:extent cx="1282700" cy="12827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p w:rsidR="003B6E11" w:rsidRPr="003B6E11" w:rsidRDefault="003B6E11" w:rsidP="002D015D">
            <w:pPr>
              <w:overflowPunct w:val="0"/>
              <w:adjustRightInd w:val="0"/>
              <w:textAlignment w:val="baseline"/>
              <w:rPr>
                <w:rFonts w:cs="Arial"/>
                <w:sz w:val="18"/>
                <w:szCs w:val="20"/>
                <w:lang w:val="cs-CZ"/>
              </w:rPr>
            </w:pPr>
          </w:p>
        </w:tc>
        <w:tc>
          <w:tcPr>
            <w:tcW w:w="3328" w:type="dxa"/>
            <w:vAlign w:val="center"/>
          </w:tcPr>
          <w:p w:rsidR="003B6E11" w:rsidRPr="003B6E11" w:rsidRDefault="003B6E11" w:rsidP="002D015D">
            <w:pPr>
              <w:overflowPunct w:val="0"/>
              <w:adjustRightInd w:val="0"/>
              <w:textAlignment w:val="baseline"/>
              <w:rPr>
                <w:rFonts w:cs="Arial"/>
                <w:szCs w:val="20"/>
                <w:lang w:val="cs-CZ"/>
              </w:rPr>
            </w:pPr>
            <w:r w:rsidRPr="003B6E11">
              <w:rPr>
                <w:lang w:val="cs-CZ"/>
              </w:rPr>
              <w:t>Barva: červená/bílá</w:t>
            </w:r>
          </w:p>
        </w:tc>
      </w:tr>
      <w:tr w:rsidR="003B6E11" w:rsidRPr="003B6E11" w:rsidTr="002D015D">
        <w:tc>
          <w:tcPr>
            <w:tcW w:w="3331" w:type="dxa"/>
            <w:vAlign w:val="center"/>
          </w:tcPr>
          <w:p w:rsidR="003B6E11" w:rsidRPr="003B6E11" w:rsidRDefault="003B6E11" w:rsidP="002D015D">
            <w:pPr>
              <w:tabs>
                <w:tab w:val="left" w:pos="454"/>
                <w:tab w:val="left" w:pos="907"/>
                <w:tab w:val="left" w:pos="1361"/>
                <w:tab w:val="left" w:pos="1814"/>
              </w:tabs>
              <w:overflowPunct w:val="0"/>
              <w:adjustRightInd w:val="0"/>
              <w:spacing w:before="240" w:line="240" w:lineRule="exact"/>
              <w:textAlignment w:val="baseline"/>
              <w:rPr>
                <w:rFonts w:cs="Arial"/>
                <w:noProof/>
                <w:szCs w:val="20"/>
                <w:lang w:val="cs-CZ"/>
              </w:rPr>
            </w:pPr>
            <w:r w:rsidRPr="003B6E11">
              <w:rPr>
                <w:lang w:val="cs-CZ"/>
              </w:rPr>
              <w:t>Obrázek 7</w:t>
            </w:r>
          </w:p>
          <w:p w:rsidR="003B6E11" w:rsidRPr="003B6E11" w:rsidRDefault="003B6E11" w:rsidP="002D015D">
            <w:pPr>
              <w:overflowPunct w:val="0"/>
              <w:adjustRightInd w:val="0"/>
              <w:textAlignment w:val="baseline"/>
              <w:rPr>
                <w:rFonts w:cs="Arial"/>
                <w:szCs w:val="20"/>
                <w:lang w:val="cs-CZ"/>
              </w:rPr>
            </w:pPr>
            <w:r w:rsidRPr="003B6E11">
              <w:rPr>
                <w:lang w:val="cs-CZ"/>
              </w:rPr>
              <w:t>Použijte ochranné protihlukové prostředky</w:t>
            </w:r>
          </w:p>
        </w:tc>
        <w:tc>
          <w:tcPr>
            <w:tcW w:w="2551" w:type="dxa"/>
          </w:tcPr>
          <w:p w:rsidR="003B6E11" w:rsidRPr="003B6E11" w:rsidRDefault="003B6E11" w:rsidP="002D015D">
            <w:pPr>
              <w:overflowPunct w:val="0"/>
              <w:adjustRightInd w:val="0"/>
              <w:textAlignment w:val="baseline"/>
              <w:rPr>
                <w:rFonts w:cs="Arial"/>
                <w:sz w:val="18"/>
                <w:szCs w:val="20"/>
                <w:lang w:val="cs-CZ"/>
              </w:rPr>
            </w:pPr>
          </w:p>
          <w:p w:rsidR="003B6E11" w:rsidRPr="003B6E11" w:rsidRDefault="003B6E11" w:rsidP="002D015D">
            <w:pPr>
              <w:overflowPunct w:val="0"/>
              <w:adjustRightInd w:val="0"/>
              <w:jc w:val="center"/>
              <w:textAlignment w:val="baseline"/>
              <w:rPr>
                <w:rFonts w:cs="Arial"/>
                <w:sz w:val="18"/>
                <w:szCs w:val="20"/>
                <w:lang w:val="cs-CZ"/>
              </w:rPr>
            </w:pPr>
            <w:r w:rsidRPr="003B6E11">
              <w:rPr>
                <w:rFonts w:cs="Arial"/>
                <w:noProof/>
                <w:szCs w:val="20"/>
                <w:lang w:eastAsia="en-GB"/>
              </w:rPr>
              <w:drawing>
                <wp:inline distT="0" distB="0" distL="0" distR="0" wp14:anchorId="48ED8A11" wp14:editId="5BD68192">
                  <wp:extent cx="1282700" cy="12827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inline>
              </w:drawing>
            </w:r>
          </w:p>
          <w:p w:rsidR="003B6E11" w:rsidRPr="003B6E11" w:rsidRDefault="003B6E11" w:rsidP="002D015D">
            <w:pPr>
              <w:overflowPunct w:val="0"/>
              <w:adjustRightInd w:val="0"/>
              <w:textAlignment w:val="baseline"/>
              <w:rPr>
                <w:rFonts w:cs="Arial"/>
                <w:sz w:val="18"/>
                <w:szCs w:val="20"/>
                <w:lang w:val="cs-CZ"/>
              </w:rPr>
            </w:pPr>
          </w:p>
        </w:tc>
        <w:tc>
          <w:tcPr>
            <w:tcW w:w="3328" w:type="dxa"/>
            <w:vAlign w:val="center"/>
          </w:tcPr>
          <w:p w:rsidR="003B6E11" w:rsidRPr="003B6E11" w:rsidRDefault="003B6E11" w:rsidP="002D015D">
            <w:pPr>
              <w:overflowPunct w:val="0"/>
              <w:adjustRightInd w:val="0"/>
              <w:textAlignment w:val="baseline"/>
              <w:rPr>
                <w:rFonts w:cs="Arial"/>
                <w:szCs w:val="20"/>
                <w:lang w:val="cs-CZ"/>
              </w:rPr>
            </w:pPr>
            <w:r w:rsidRPr="003B6E11">
              <w:rPr>
                <w:lang w:val="cs-CZ"/>
              </w:rPr>
              <w:t>Barva: modrá/bílá</w:t>
            </w:r>
          </w:p>
        </w:tc>
      </w:tr>
      <w:tr w:rsidR="003B6E11" w:rsidRPr="003B6E11" w:rsidTr="002D015D">
        <w:tc>
          <w:tcPr>
            <w:tcW w:w="3331" w:type="dxa"/>
            <w:tcBorders>
              <w:bottom w:val="single" w:sz="6" w:space="0" w:color="auto"/>
            </w:tcBorders>
            <w:vAlign w:val="center"/>
          </w:tcPr>
          <w:p w:rsidR="003B6E11" w:rsidRPr="003B6E11" w:rsidRDefault="003B6E11" w:rsidP="002D015D">
            <w:pPr>
              <w:tabs>
                <w:tab w:val="left" w:pos="454"/>
                <w:tab w:val="left" w:pos="907"/>
                <w:tab w:val="left" w:pos="1361"/>
                <w:tab w:val="left" w:pos="1814"/>
              </w:tabs>
              <w:overflowPunct w:val="0"/>
              <w:adjustRightInd w:val="0"/>
              <w:spacing w:before="240" w:line="240" w:lineRule="exact"/>
              <w:textAlignment w:val="baseline"/>
              <w:rPr>
                <w:rFonts w:cs="Arial"/>
                <w:noProof/>
                <w:szCs w:val="20"/>
                <w:lang w:val="cs-CZ"/>
              </w:rPr>
            </w:pPr>
            <w:r w:rsidRPr="003B6E11">
              <w:rPr>
                <w:lang w:val="cs-CZ"/>
              </w:rPr>
              <w:t>Obrázek 8</w:t>
            </w:r>
          </w:p>
          <w:p w:rsidR="003B6E11" w:rsidRPr="003B6E11" w:rsidRDefault="003B6E11" w:rsidP="002D015D">
            <w:pPr>
              <w:overflowPunct w:val="0"/>
              <w:adjustRightInd w:val="0"/>
              <w:textAlignment w:val="baseline"/>
              <w:rPr>
                <w:rFonts w:cs="Arial"/>
                <w:szCs w:val="20"/>
                <w:lang w:val="cs-CZ"/>
              </w:rPr>
            </w:pPr>
            <w:r w:rsidRPr="003B6E11">
              <w:rPr>
                <w:lang w:val="cs-CZ"/>
              </w:rPr>
              <w:t>Lékárnička</w:t>
            </w:r>
          </w:p>
        </w:tc>
        <w:tc>
          <w:tcPr>
            <w:tcW w:w="2551" w:type="dxa"/>
            <w:tcBorders>
              <w:bottom w:val="single" w:sz="6" w:space="0" w:color="auto"/>
            </w:tcBorders>
          </w:tcPr>
          <w:p w:rsidR="003B6E11" w:rsidRPr="003B6E11" w:rsidRDefault="003B6E11" w:rsidP="002D015D">
            <w:pPr>
              <w:overflowPunct w:val="0"/>
              <w:adjustRightInd w:val="0"/>
              <w:spacing w:line="240" w:lineRule="atLeast"/>
              <w:textAlignment w:val="baseline"/>
              <w:rPr>
                <w:rFonts w:cs="Arial"/>
                <w:sz w:val="18"/>
                <w:szCs w:val="20"/>
                <w:lang w:val="cs-CZ"/>
              </w:rPr>
            </w:pPr>
            <w:r w:rsidRPr="003B6E11">
              <w:rPr>
                <w:rFonts w:cs="Arial"/>
                <w:noProof/>
                <w:sz w:val="18"/>
                <w:szCs w:val="20"/>
                <w:lang w:eastAsia="en-GB"/>
              </w:rPr>
              <w:drawing>
                <wp:inline distT="0" distB="0" distL="0" distR="0" wp14:anchorId="4F359E3F" wp14:editId="5704B96B">
                  <wp:extent cx="1438275" cy="1438275"/>
                  <wp:effectExtent l="0" t="0" r="9525" b="9525"/>
                  <wp:docPr id="70" name="Image 70" descr="Verbandska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erbandskaste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c>
        <w:tc>
          <w:tcPr>
            <w:tcW w:w="3328" w:type="dxa"/>
            <w:tcBorders>
              <w:bottom w:val="single" w:sz="6" w:space="0" w:color="auto"/>
            </w:tcBorders>
            <w:vAlign w:val="center"/>
          </w:tcPr>
          <w:p w:rsidR="003B6E11" w:rsidRPr="003B6E11" w:rsidRDefault="003B6E11" w:rsidP="002D015D">
            <w:pPr>
              <w:overflowPunct w:val="0"/>
              <w:adjustRightInd w:val="0"/>
              <w:textAlignment w:val="baseline"/>
              <w:rPr>
                <w:rFonts w:cs="Arial"/>
                <w:szCs w:val="20"/>
                <w:lang w:val="cs-CZ"/>
              </w:rPr>
            </w:pPr>
            <w:r w:rsidRPr="003B6E11">
              <w:rPr>
                <w:lang w:val="cs-CZ"/>
              </w:rPr>
              <w:t>Barva: zelená/bílá</w:t>
            </w:r>
          </w:p>
        </w:tc>
      </w:tr>
      <w:tr w:rsidR="003B6E11" w:rsidRPr="003B6E11" w:rsidTr="002D015D">
        <w:tc>
          <w:tcPr>
            <w:tcW w:w="3331" w:type="dxa"/>
            <w:tcBorders>
              <w:bottom w:val="single" w:sz="4" w:space="0" w:color="auto"/>
            </w:tcBorders>
            <w:vAlign w:val="center"/>
          </w:tcPr>
          <w:p w:rsidR="003B6E11" w:rsidRPr="003B6E11" w:rsidRDefault="003B6E11" w:rsidP="002D015D">
            <w:pPr>
              <w:rPr>
                <w:rFonts w:cs="Arial"/>
                <w:noProof/>
                <w:szCs w:val="20"/>
                <w:lang w:val="cs-CZ"/>
              </w:rPr>
            </w:pPr>
            <w:r w:rsidRPr="003B6E11">
              <w:rPr>
                <w:lang w:val="cs-CZ"/>
              </w:rPr>
              <w:t>Obrázek 9</w:t>
            </w:r>
          </w:p>
          <w:p w:rsidR="003B6E11" w:rsidRPr="003B6E11" w:rsidRDefault="003B6E11" w:rsidP="002D015D">
            <w:pPr>
              <w:overflowPunct w:val="0"/>
              <w:adjustRightInd w:val="0"/>
              <w:textAlignment w:val="baseline"/>
              <w:rPr>
                <w:rFonts w:cs="Arial"/>
                <w:szCs w:val="20"/>
                <w:lang w:val="cs-CZ"/>
              </w:rPr>
            </w:pPr>
            <w:r w:rsidRPr="003B6E11">
              <w:rPr>
                <w:lang w:val="cs-CZ"/>
              </w:rPr>
              <w:t>Rychlouzavírací ventil na nádrži </w:t>
            </w:r>
          </w:p>
        </w:tc>
        <w:tc>
          <w:tcPr>
            <w:tcW w:w="2551" w:type="dxa"/>
            <w:tcBorders>
              <w:bottom w:val="single" w:sz="4" w:space="0" w:color="auto"/>
            </w:tcBorders>
          </w:tcPr>
          <w:p w:rsidR="003B6E11" w:rsidRPr="003B6E11" w:rsidRDefault="003B6E11" w:rsidP="002D015D">
            <w:pPr>
              <w:overflowPunct w:val="0"/>
              <w:adjustRightInd w:val="0"/>
              <w:spacing w:line="240" w:lineRule="atLeast"/>
              <w:textAlignment w:val="baseline"/>
              <w:rPr>
                <w:rFonts w:cs="Arial"/>
                <w:sz w:val="18"/>
                <w:szCs w:val="20"/>
                <w:lang w:val="cs-CZ"/>
              </w:rPr>
            </w:pPr>
            <w:r w:rsidRPr="003B6E11">
              <w:rPr>
                <w:rFonts w:cs="Arial"/>
                <w:noProof/>
                <w:sz w:val="18"/>
                <w:szCs w:val="20"/>
                <w:lang w:eastAsia="en-GB"/>
              </w:rPr>
              <w:drawing>
                <wp:anchor distT="0" distB="0" distL="0" distR="0" simplePos="0" relativeHeight="251659264" behindDoc="0" locked="0" layoutInCell="1" allowOverlap="1" wp14:anchorId="6B4A123D" wp14:editId="13AA9C3C">
                  <wp:simplePos x="0" y="0"/>
                  <wp:positionH relativeFrom="column">
                    <wp:posOffset>34290</wp:posOffset>
                  </wp:positionH>
                  <wp:positionV relativeFrom="paragraph">
                    <wp:posOffset>-1162050</wp:posOffset>
                  </wp:positionV>
                  <wp:extent cx="1463040" cy="1167765"/>
                  <wp:effectExtent l="0" t="0" r="3810" b="0"/>
                  <wp:wrapTopAndBottom/>
                  <wp:docPr id="28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63040" cy="1167765"/>
                          </a:xfrm>
                          <a:prstGeom prst="rect">
                            <a:avLst/>
                          </a:prstGeom>
                          <a:solidFill>
                            <a:srgbClr val="FFFFFF"/>
                          </a:solidFill>
                          <a:ln>
                            <a:noFill/>
                          </a:ln>
                        </pic:spPr>
                      </pic:pic>
                    </a:graphicData>
                  </a:graphic>
                </wp:anchor>
              </w:drawing>
            </w:r>
          </w:p>
        </w:tc>
        <w:tc>
          <w:tcPr>
            <w:tcW w:w="3328" w:type="dxa"/>
            <w:tcBorders>
              <w:bottom w:val="single" w:sz="4" w:space="0" w:color="auto"/>
            </w:tcBorders>
            <w:vAlign w:val="center"/>
          </w:tcPr>
          <w:p w:rsidR="003B6E11" w:rsidRPr="003B6E11" w:rsidRDefault="003B6E11" w:rsidP="002D015D">
            <w:pPr>
              <w:overflowPunct w:val="0"/>
              <w:adjustRightInd w:val="0"/>
              <w:textAlignment w:val="baseline"/>
              <w:rPr>
                <w:rFonts w:cs="Arial"/>
                <w:szCs w:val="20"/>
                <w:lang w:val="cs-CZ"/>
              </w:rPr>
            </w:pPr>
            <w:r w:rsidRPr="003B6E11">
              <w:rPr>
                <w:lang w:val="cs-CZ"/>
              </w:rPr>
              <w:t>Barva: hnědá/bílá</w:t>
            </w:r>
          </w:p>
        </w:tc>
      </w:tr>
    </w:tbl>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cs="Arial"/>
          <w:szCs w:val="20"/>
          <w:lang w:val="cs-CZ"/>
        </w:rPr>
      </w:pPr>
      <w:r w:rsidRPr="003B6E11">
        <w:rPr>
          <w:lang w:val="cs-CZ"/>
        </w:rP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31"/>
        <w:gridCol w:w="2551"/>
        <w:gridCol w:w="3328"/>
      </w:tblGrid>
      <w:tr w:rsidR="003B6E11" w:rsidRPr="003B6E11" w:rsidTr="002D015D">
        <w:trPr>
          <w:trHeight w:val="2552"/>
        </w:trPr>
        <w:tc>
          <w:tcPr>
            <w:tcW w:w="3331" w:type="dxa"/>
            <w:tcBorders>
              <w:top w:val="single" w:sz="6" w:space="0" w:color="auto"/>
              <w:left w:val="single" w:sz="6" w:space="0" w:color="auto"/>
              <w:bottom w:val="single" w:sz="6" w:space="0" w:color="auto"/>
              <w:right w:val="single" w:sz="6" w:space="0" w:color="auto"/>
            </w:tcBorders>
            <w:vAlign w:val="center"/>
          </w:tcPr>
          <w:p w:rsidR="003B6E11" w:rsidRPr="003B6E11" w:rsidRDefault="003B6E11" w:rsidP="002D015D">
            <w:pPr>
              <w:rPr>
                <w:rFonts w:cs="Arial"/>
                <w:noProof/>
                <w:szCs w:val="20"/>
                <w:lang w:val="cs-CZ"/>
              </w:rPr>
            </w:pPr>
            <w:r w:rsidRPr="003B6E11">
              <w:rPr>
                <w:lang w:val="cs-CZ"/>
              </w:rPr>
              <w:t>Obrázek 10</w:t>
            </w:r>
          </w:p>
          <w:p w:rsidR="003B6E11" w:rsidRPr="003B6E11" w:rsidRDefault="003B6E11" w:rsidP="002D015D">
            <w:pPr>
              <w:overflowPunct w:val="0"/>
              <w:adjustRightInd w:val="0"/>
              <w:textAlignment w:val="baseline"/>
              <w:rPr>
                <w:rFonts w:cs="Arial"/>
                <w:szCs w:val="20"/>
                <w:lang w:val="cs-CZ"/>
              </w:rPr>
            </w:pPr>
            <w:r w:rsidRPr="003B6E11">
              <w:rPr>
                <w:lang w:val="cs-CZ"/>
              </w:rPr>
              <w:t>Oblečte si záchrannou vestu</w:t>
            </w:r>
          </w:p>
        </w:tc>
        <w:tc>
          <w:tcPr>
            <w:tcW w:w="2551"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overflowPunct w:val="0"/>
              <w:adjustRightInd w:val="0"/>
              <w:spacing w:line="240" w:lineRule="atLeast"/>
              <w:textAlignment w:val="baseline"/>
              <w:rPr>
                <w:rFonts w:cs="Arial"/>
                <w:noProof/>
                <w:sz w:val="18"/>
                <w:szCs w:val="20"/>
                <w:lang w:val="cs-CZ"/>
              </w:rPr>
            </w:pPr>
            <w:r w:rsidRPr="003B6E11">
              <w:rPr>
                <w:rFonts w:cs="Arial"/>
                <w:noProof/>
                <w:sz w:val="18"/>
                <w:szCs w:val="20"/>
                <w:lang w:eastAsia="en-GB"/>
              </w:rPr>
              <w:drawing>
                <wp:anchor distT="0" distB="0" distL="114300" distR="114300" simplePos="0" relativeHeight="251660288" behindDoc="0" locked="0" layoutInCell="1" allowOverlap="1" wp14:anchorId="133856D5" wp14:editId="7367E339">
                  <wp:simplePos x="0" y="0"/>
                  <wp:positionH relativeFrom="column">
                    <wp:posOffset>-3810</wp:posOffset>
                  </wp:positionH>
                  <wp:positionV relativeFrom="paragraph">
                    <wp:posOffset>51435</wp:posOffset>
                  </wp:positionV>
                  <wp:extent cx="1530985" cy="1530985"/>
                  <wp:effectExtent l="0" t="0" r="0" b="0"/>
                  <wp:wrapNone/>
                  <wp:docPr id="28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30985" cy="1530985"/>
                          </a:xfrm>
                          <a:prstGeom prst="rect">
                            <a:avLst/>
                          </a:prstGeom>
                          <a:noFill/>
                          <a:ln>
                            <a:noFill/>
                          </a:ln>
                        </pic:spPr>
                      </pic:pic>
                    </a:graphicData>
                  </a:graphic>
                </wp:anchor>
              </w:drawing>
            </w:r>
          </w:p>
        </w:tc>
        <w:tc>
          <w:tcPr>
            <w:tcW w:w="3328" w:type="dxa"/>
            <w:tcBorders>
              <w:top w:val="single" w:sz="6" w:space="0" w:color="auto"/>
              <w:left w:val="single" w:sz="6" w:space="0" w:color="auto"/>
              <w:bottom w:val="single" w:sz="6" w:space="0" w:color="auto"/>
              <w:right w:val="single" w:sz="6" w:space="0" w:color="auto"/>
            </w:tcBorders>
            <w:vAlign w:val="center"/>
          </w:tcPr>
          <w:p w:rsidR="003B6E11" w:rsidRPr="003B6E11" w:rsidRDefault="003B6E11" w:rsidP="002D015D">
            <w:pPr>
              <w:rPr>
                <w:rFonts w:cs="Arial"/>
                <w:szCs w:val="20"/>
                <w:lang w:val="cs-CZ"/>
              </w:rPr>
            </w:pPr>
            <w:r w:rsidRPr="003B6E11">
              <w:rPr>
                <w:lang w:val="cs-CZ"/>
              </w:rPr>
              <w:t>Barva: modrá/bílá</w:t>
            </w:r>
          </w:p>
        </w:tc>
      </w:tr>
      <w:tr w:rsidR="003B6E11" w:rsidRPr="003B6E11" w:rsidTr="002D015D">
        <w:trPr>
          <w:trHeight w:val="2552"/>
        </w:trPr>
        <w:tc>
          <w:tcPr>
            <w:tcW w:w="3331" w:type="dxa"/>
            <w:tcBorders>
              <w:top w:val="single" w:sz="6" w:space="0" w:color="auto"/>
              <w:left w:val="single" w:sz="6" w:space="0" w:color="auto"/>
              <w:bottom w:val="single" w:sz="6" w:space="0" w:color="auto"/>
              <w:right w:val="single" w:sz="6" w:space="0" w:color="auto"/>
            </w:tcBorders>
            <w:vAlign w:val="center"/>
          </w:tcPr>
          <w:p w:rsidR="003B6E11" w:rsidRPr="003B6E11" w:rsidRDefault="003B6E11" w:rsidP="002D015D">
            <w:pPr>
              <w:tabs>
                <w:tab w:val="left" w:pos="454"/>
                <w:tab w:val="left" w:pos="907"/>
                <w:tab w:val="left" w:pos="1361"/>
                <w:tab w:val="left" w:pos="1814"/>
              </w:tabs>
              <w:overflowPunct w:val="0"/>
              <w:adjustRightInd w:val="0"/>
              <w:spacing w:before="240" w:line="240" w:lineRule="exact"/>
              <w:textAlignment w:val="baseline"/>
              <w:rPr>
                <w:noProof/>
                <w:szCs w:val="20"/>
                <w:lang w:val="cs-CZ"/>
              </w:rPr>
            </w:pPr>
            <w:r w:rsidRPr="003B6E11">
              <w:rPr>
                <w:lang w:val="cs-CZ"/>
              </w:rPr>
              <w:t>Obrázek 11</w:t>
            </w:r>
          </w:p>
          <w:p w:rsidR="003B6E11" w:rsidRPr="003B6E11" w:rsidRDefault="003B6E11" w:rsidP="002D015D">
            <w:pPr>
              <w:overflowPunct w:val="0"/>
              <w:adjustRightInd w:val="0"/>
              <w:textAlignment w:val="baseline"/>
              <w:rPr>
                <w:szCs w:val="20"/>
                <w:lang w:val="cs-CZ"/>
              </w:rPr>
            </w:pPr>
            <w:r w:rsidRPr="003B6E11">
              <w:rPr>
                <w:lang w:val="cs-CZ"/>
              </w:rPr>
              <w:t>Pozor, zkapalněný zemní plyn</w:t>
            </w:r>
          </w:p>
        </w:tc>
        <w:tc>
          <w:tcPr>
            <w:tcW w:w="2551"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overflowPunct w:val="0"/>
              <w:adjustRightInd w:val="0"/>
              <w:jc w:val="center"/>
              <w:textAlignment w:val="baseline"/>
              <w:rPr>
                <w:szCs w:val="20"/>
                <w:lang w:val="cs-CZ"/>
              </w:rPr>
            </w:pPr>
            <w:r w:rsidRPr="003B6E11">
              <w:rPr>
                <w:noProof/>
                <w:szCs w:val="20"/>
                <w:lang w:eastAsia="en-GB"/>
              </w:rPr>
              <w:drawing>
                <wp:inline distT="0" distB="0" distL="0" distR="0" wp14:anchorId="7384E43C" wp14:editId="4C34CC9B">
                  <wp:extent cx="1585240" cy="1457325"/>
                  <wp:effectExtent l="0" t="0" r="0" b="0"/>
                  <wp:docPr id="4" name="Image 4" descr="panneau L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neau L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93290" cy="1464725"/>
                          </a:xfrm>
                          <a:prstGeom prst="rect">
                            <a:avLst/>
                          </a:prstGeom>
                          <a:noFill/>
                          <a:ln>
                            <a:noFill/>
                          </a:ln>
                        </pic:spPr>
                      </pic:pic>
                    </a:graphicData>
                  </a:graphic>
                </wp:inline>
              </w:drawing>
            </w:r>
          </w:p>
        </w:tc>
        <w:tc>
          <w:tcPr>
            <w:tcW w:w="3328" w:type="dxa"/>
            <w:tcBorders>
              <w:top w:val="single" w:sz="6" w:space="0" w:color="auto"/>
              <w:left w:val="single" w:sz="6" w:space="0" w:color="auto"/>
              <w:bottom w:val="single" w:sz="6" w:space="0" w:color="auto"/>
              <w:right w:val="single" w:sz="6" w:space="0" w:color="auto"/>
            </w:tcBorders>
            <w:vAlign w:val="center"/>
          </w:tcPr>
          <w:p w:rsidR="003B6E11" w:rsidRPr="003B6E11" w:rsidRDefault="003B6E11" w:rsidP="002D015D">
            <w:pPr>
              <w:overflowPunct w:val="0"/>
              <w:adjustRightInd w:val="0"/>
              <w:textAlignment w:val="baseline"/>
              <w:rPr>
                <w:szCs w:val="20"/>
                <w:lang w:val="cs-CZ"/>
              </w:rPr>
            </w:pPr>
            <w:r w:rsidRPr="003B6E11">
              <w:rPr>
                <w:lang w:val="cs-CZ"/>
              </w:rPr>
              <w:t>Barva: černá/žlutá</w:t>
            </w:r>
          </w:p>
        </w:tc>
      </w:tr>
    </w:tbl>
    <w:p w:rsidR="003B6E11" w:rsidRPr="003B6E11" w:rsidRDefault="003B6E11" w:rsidP="003B6E11">
      <w:pPr>
        <w:tabs>
          <w:tab w:val="left" w:pos="6237"/>
        </w:tabs>
        <w:overflowPunct w:val="0"/>
        <w:adjustRightInd w:val="0"/>
        <w:textAlignment w:val="baseline"/>
        <w:rPr>
          <w:rFonts w:cs="Arial"/>
          <w:sz w:val="18"/>
          <w:szCs w:val="20"/>
          <w:lang w:val="cs-CZ"/>
        </w:rPr>
      </w:pPr>
    </w:p>
    <w:p w:rsidR="003B6E11" w:rsidRPr="003B6E11" w:rsidRDefault="003B6E11" w:rsidP="003B6E11">
      <w:pPr>
        <w:tabs>
          <w:tab w:val="left" w:pos="284"/>
          <w:tab w:val="left" w:leader="dot" w:pos="3402"/>
          <w:tab w:val="left" w:pos="4536"/>
          <w:tab w:val="left" w:leader="dot" w:pos="8505"/>
        </w:tabs>
        <w:overflowPunct w:val="0"/>
        <w:adjustRightInd w:val="0"/>
        <w:textAlignment w:val="baseline"/>
        <w:rPr>
          <w:rFonts w:cs="Arial"/>
          <w:szCs w:val="20"/>
          <w:lang w:val="cs-CZ"/>
        </w:rPr>
      </w:pPr>
      <w:r w:rsidRPr="003B6E11">
        <w:rPr>
          <w:lang w:val="cs-CZ"/>
        </w:rPr>
        <w:t>Skutečně použité symboly se mohou mírně lišit od grafických znázornění v této příloze nebo být podrobnější, pokud se nezmění jejich význam a rozdíly a pokud tyto změny nepovedou k jejich nesrozumitelnosti.</w:t>
      </w:r>
    </w:p>
    <w:p w:rsidR="003B6E11" w:rsidRPr="003B6E11" w:rsidRDefault="003B6E11" w:rsidP="003B6E11">
      <w:pPr>
        <w:tabs>
          <w:tab w:val="left" w:pos="284"/>
          <w:tab w:val="left" w:leader="dot" w:pos="3402"/>
          <w:tab w:val="left" w:pos="4536"/>
          <w:tab w:val="left" w:leader="dot" w:pos="8505"/>
        </w:tabs>
        <w:overflowPunct w:val="0"/>
        <w:adjustRightInd w:val="0"/>
        <w:textAlignment w:val="baseline"/>
        <w:rPr>
          <w:rFonts w:cs="Arial"/>
          <w:szCs w:val="20"/>
          <w:lang w:val="cs-CZ"/>
        </w:rPr>
      </w:pPr>
    </w:p>
    <w:p w:rsidR="003B6E11" w:rsidRPr="003B6E11" w:rsidRDefault="003B6E11" w:rsidP="003B6E11">
      <w:pPr>
        <w:tabs>
          <w:tab w:val="left" w:pos="284"/>
          <w:tab w:val="left" w:leader="dot" w:pos="3402"/>
          <w:tab w:val="left" w:pos="4536"/>
          <w:tab w:val="left" w:leader="dot" w:pos="8505"/>
        </w:tabs>
        <w:overflowPunct w:val="0"/>
        <w:adjustRightInd w:val="0"/>
        <w:textAlignment w:val="baseline"/>
        <w:rPr>
          <w:rFonts w:cs="Arial"/>
          <w:szCs w:val="20"/>
          <w:lang w:val="cs-CZ"/>
        </w:rPr>
      </w:pPr>
      <w:r w:rsidRPr="003B6E11">
        <w:rPr>
          <w:lang w:val="cs-CZ"/>
        </w:rPr>
        <w:br w:type="page"/>
      </w:r>
    </w:p>
    <w:p w:rsidR="003B6E11" w:rsidRPr="003B6E11" w:rsidRDefault="003B6E11" w:rsidP="003B6E11">
      <w:pPr>
        <w:tabs>
          <w:tab w:val="left" w:pos="284"/>
          <w:tab w:val="left" w:leader="dot" w:pos="3402"/>
          <w:tab w:val="left" w:pos="4536"/>
          <w:tab w:val="left" w:leader="dot" w:pos="8505"/>
        </w:tabs>
        <w:overflowPunct w:val="0"/>
        <w:adjustRightInd w:val="0"/>
        <w:textAlignment w:val="baseline"/>
        <w:rPr>
          <w:rFonts w:cs="Arial"/>
          <w:szCs w:val="20"/>
          <w:lang w:val="cs-CZ"/>
        </w:rPr>
      </w:pPr>
    </w:p>
    <w:p w:rsidR="003B6E11" w:rsidRPr="003B6E11" w:rsidRDefault="003B6E11" w:rsidP="003B6E11">
      <w:pPr>
        <w:tabs>
          <w:tab w:val="left" w:pos="284"/>
          <w:tab w:val="left" w:leader="dot" w:pos="3402"/>
          <w:tab w:val="left" w:pos="4536"/>
          <w:tab w:val="left" w:leader="dot" w:pos="8505"/>
        </w:tabs>
        <w:overflowPunct w:val="0"/>
        <w:adjustRightInd w:val="0"/>
        <w:textAlignment w:val="baseline"/>
        <w:rPr>
          <w:rFonts w:cs="Arial"/>
          <w:szCs w:val="20"/>
          <w:lang w:val="cs-CZ"/>
        </w:rPr>
      </w:pPr>
    </w:p>
    <w:p w:rsidR="003B6E11" w:rsidRPr="003B6E11" w:rsidRDefault="003B6E11" w:rsidP="003B6E11">
      <w:pPr>
        <w:tabs>
          <w:tab w:val="left" w:pos="284"/>
          <w:tab w:val="left" w:leader="dot" w:pos="3402"/>
          <w:tab w:val="left" w:pos="4536"/>
          <w:tab w:val="left" w:leader="dot" w:pos="8505"/>
        </w:tabs>
        <w:overflowPunct w:val="0"/>
        <w:adjustRightInd w:val="0"/>
        <w:textAlignment w:val="baseline"/>
        <w:rPr>
          <w:rFonts w:cs="Arial"/>
          <w:szCs w:val="20"/>
          <w:lang w:val="cs-CZ"/>
        </w:rPr>
      </w:pPr>
    </w:p>
    <w:p w:rsidR="003B6E11" w:rsidRPr="003B6E11" w:rsidRDefault="003B6E11" w:rsidP="003B6E11">
      <w:pPr>
        <w:overflowPunct w:val="0"/>
        <w:adjustRightInd w:val="0"/>
        <w:textAlignment w:val="baseline"/>
        <w:rPr>
          <w:rFonts w:ascii="Times New Roman" w:hAnsi="Times New Roman"/>
          <w:szCs w:val="20"/>
          <w:lang w:val="cs-CZ"/>
        </w:rPr>
      </w:pPr>
      <w:r w:rsidRPr="003B6E11">
        <w:rPr>
          <w:lang w:val="cs-CZ"/>
        </w:rPr>
        <w:br w:type="page"/>
      </w:r>
    </w:p>
    <w:p w:rsidR="003B6E11" w:rsidRPr="003B6E11" w:rsidRDefault="003B6E11" w:rsidP="003B6E11">
      <w:pPr>
        <w:pStyle w:val="ES-Titre2"/>
        <w:pageBreakBefore w:val="0"/>
      </w:pPr>
      <w:bookmarkStart w:id="634" w:name="_Toc491854309"/>
      <w:bookmarkStart w:id="635" w:name="_Toc535417215"/>
      <w:r w:rsidRPr="003B6E11">
        <w:t>Příloha 5</w:t>
      </w:r>
      <w:r w:rsidRPr="003B6E11">
        <w:br/>
        <w:t>Navigační a informační zařízení</w:t>
      </w:r>
      <w:bookmarkEnd w:id="634"/>
      <w:bookmarkEnd w:id="635"/>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overflowPunct w:val="0"/>
        <w:adjustRightInd w:val="0"/>
        <w:spacing w:line="240" w:lineRule="atLeast"/>
        <w:jc w:val="center"/>
        <w:textAlignment w:val="baseline"/>
        <w:rPr>
          <w:rFonts w:cs="Arial"/>
          <w:bCs/>
          <w:lang w:val="cs-CZ"/>
        </w:rPr>
      </w:pPr>
    </w:p>
    <w:p w:rsidR="003B6E11" w:rsidRPr="003B6E11" w:rsidRDefault="003B6E11" w:rsidP="003B6E11">
      <w:pPr>
        <w:overflowPunct w:val="0"/>
        <w:adjustRightInd w:val="0"/>
        <w:spacing w:line="240" w:lineRule="atLeast"/>
        <w:jc w:val="center"/>
        <w:textAlignment w:val="baseline"/>
        <w:rPr>
          <w:rFonts w:cs="Arial"/>
          <w:b/>
          <w:bCs/>
          <w:lang w:val="cs-CZ"/>
        </w:rPr>
      </w:pPr>
      <w:r w:rsidRPr="003B6E11">
        <w:rPr>
          <w:b/>
          <w:noProof/>
          <w:lang w:val="cs-CZ"/>
        </w:rPr>
        <w:t>Obsah</w:t>
      </w:r>
    </w:p>
    <w:p w:rsidR="003B6E11" w:rsidRPr="003B6E11" w:rsidRDefault="003B6E11" w:rsidP="003B6E11">
      <w:pPr>
        <w:overflowPunct w:val="0"/>
        <w:adjustRightInd w:val="0"/>
        <w:spacing w:line="240" w:lineRule="atLeast"/>
        <w:jc w:val="center"/>
        <w:textAlignment w:val="baseline"/>
        <w:rPr>
          <w:rFonts w:cs="Arial"/>
          <w:lang w:val="cs-CZ"/>
        </w:rPr>
      </w:pPr>
    </w:p>
    <w:p w:rsidR="003B6E11" w:rsidRPr="003B6E11" w:rsidRDefault="003B6E11" w:rsidP="003B6E11">
      <w:pPr>
        <w:overflowPunct w:val="0"/>
        <w:adjustRightInd w:val="0"/>
        <w:spacing w:line="240" w:lineRule="atLeast"/>
        <w:ind w:left="1134" w:hanging="1134"/>
        <w:textAlignment w:val="baseline"/>
        <w:rPr>
          <w:rFonts w:cs="Arial"/>
          <w:b/>
          <w:bCs/>
          <w:noProof/>
          <w:szCs w:val="20"/>
          <w:lang w:val="cs-CZ"/>
        </w:rPr>
      </w:pPr>
      <w:r w:rsidRPr="003B6E11">
        <w:rPr>
          <w:b/>
          <w:noProof/>
          <w:lang w:val="cs-CZ"/>
        </w:rPr>
        <w:t>Definice</w:t>
      </w:r>
    </w:p>
    <w:p w:rsidR="003B6E11" w:rsidRPr="003B6E11" w:rsidRDefault="003B6E11" w:rsidP="003B6E11">
      <w:pPr>
        <w:overflowPunct w:val="0"/>
        <w:adjustRightInd w:val="0"/>
        <w:spacing w:line="240" w:lineRule="atLeast"/>
        <w:ind w:left="1134" w:hanging="1134"/>
        <w:textAlignment w:val="baseline"/>
        <w:rPr>
          <w:rFonts w:cs="Arial"/>
          <w:b/>
          <w:bCs/>
          <w:noProof/>
          <w:szCs w:val="20"/>
          <w:lang w:val="cs-CZ"/>
        </w:rPr>
      </w:pPr>
    </w:p>
    <w:p w:rsidR="003B6E11" w:rsidRPr="003B6E11" w:rsidRDefault="003B6E11" w:rsidP="003B6E11">
      <w:pPr>
        <w:overflowPunct w:val="0"/>
        <w:adjustRightInd w:val="0"/>
        <w:spacing w:line="240" w:lineRule="atLeast"/>
        <w:ind w:left="1134" w:hanging="1134"/>
        <w:textAlignment w:val="baseline"/>
        <w:rPr>
          <w:rFonts w:cs="Arial"/>
          <w:noProof/>
          <w:szCs w:val="20"/>
          <w:lang w:val="cs-CZ"/>
        </w:rPr>
      </w:pPr>
      <w:r w:rsidRPr="003B6E11">
        <w:rPr>
          <w:b/>
          <w:noProof/>
          <w:lang w:val="cs-CZ"/>
        </w:rPr>
        <w:t>Oddíl I</w:t>
      </w:r>
      <w:r w:rsidRPr="003B6E11">
        <w:rPr>
          <w:lang w:val="cs-CZ"/>
        </w:rPr>
        <w:tab/>
        <w:t>Minimální požadavky a zkušební podmínky pro navigační radarová zařízení ve vnitrozemské vodní dopravě</w:t>
      </w:r>
    </w:p>
    <w:p w:rsidR="003B6E11" w:rsidRPr="003B6E11" w:rsidRDefault="003B6E11" w:rsidP="003B6E11">
      <w:pPr>
        <w:overflowPunct w:val="0"/>
        <w:adjustRightInd w:val="0"/>
        <w:spacing w:line="240" w:lineRule="atLeast"/>
        <w:ind w:left="2410" w:hanging="1276"/>
        <w:textAlignment w:val="baseline"/>
        <w:rPr>
          <w:rFonts w:cs="Arial"/>
          <w:szCs w:val="20"/>
          <w:lang w:val="cs-CZ"/>
        </w:rPr>
      </w:pPr>
      <w:r w:rsidRPr="003B6E11">
        <w:rPr>
          <w:lang w:val="cs-CZ"/>
        </w:rPr>
        <w:t>Dodatek:</w:t>
      </w:r>
      <w:r w:rsidRPr="003B6E11">
        <w:rPr>
          <w:lang w:val="cs-CZ"/>
        </w:rPr>
        <w:tab/>
        <w:t>Vnitrozemský ECDIS, samostatné zařízení připojené k radaru</w:t>
      </w:r>
    </w:p>
    <w:p w:rsidR="003B6E11" w:rsidRPr="003B6E11" w:rsidRDefault="003B6E11" w:rsidP="003B6E11">
      <w:pPr>
        <w:overflowPunct w:val="0"/>
        <w:adjustRightInd w:val="0"/>
        <w:spacing w:line="240" w:lineRule="atLeast"/>
        <w:ind w:left="1134" w:hanging="1134"/>
        <w:textAlignment w:val="baseline"/>
        <w:rPr>
          <w:rFonts w:cs="Arial"/>
          <w:szCs w:val="20"/>
          <w:lang w:val="cs-CZ"/>
        </w:rPr>
      </w:pPr>
    </w:p>
    <w:p w:rsidR="003B6E11" w:rsidRPr="003B6E11" w:rsidRDefault="003B6E11" w:rsidP="003B6E11">
      <w:pPr>
        <w:overflowPunct w:val="0"/>
        <w:adjustRightInd w:val="0"/>
        <w:spacing w:line="240" w:lineRule="atLeast"/>
        <w:ind w:left="1134" w:hanging="1134"/>
        <w:textAlignment w:val="baseline"/>
        <w:rPr>
          <w:rFonts w:cs="Arial"/>
          <w:szCs w:val="20"/>
          <w:lang w:val="cs-CZ"/>
        </w:rPr>
      </w:pPr>
      <w:r w:rsidRPr="003B6E11">
        <w:rPr>
          <w:b/>
          <w:noProof/>
          <w:lang w:val="cs-CZ"/>
        </w:rPr>
        <w:t>Oddíl II</w:t>
      </w:r>
      <w:r w:rsidRPr="003B6E11">
        <w:rPr>
          <w:lang w:val="cs-CZ"/>
        </w:rPr>
        <w:tab/>
        <w:t>Minimální požadavky a zkušební podmínky pro ukazatele rychlosti otáčení ve vnitrozemské vodní dopravě</w:t>
      </w:r>
    </w:p>
    <w:p w:rsidR="003B6E11" w:rsidRPr="003B6E11" w:rsidRDefault="003B6E11" w:rsidP="003B6E11">
      <w:pPr>
        <w:overflowPunct w:val="0"/>
        <w:adjustRightInd w:val="0"/>
        <w:spacing w:line="240" w:lineRule="atLeast"/>
        <w:ind w:left="2410" w:hanging="1276"/>
        <w:textAlignment w:val="baseline"/>
        <w:rPr>
          <w:rFonts w:cs="Arial"/>
          <w:szCs w:val="20"/>
          <w:lang w:val="cs-CZ"/>
        </w:rPr>
      </w:pPr>
      <w:r w:rsidRPr="003B6E11">
        <w:rPr>
          <w:lang w:val="cs-CZ"/>
        </w:rPr>
        <w:t>Kapitola 1</w:t>
      </w:r>
      <w:r w:rsidRPr="003B6E11">
        <w:rPr>
          <w:lang w:val="cs-CZ"/>
        </w:rPr>
        <w:tab/>
        <w:t>Obecně</w:t>
      </w:r>
    </w:p>
    <w:p w:rsidR="003B6E11" w:rsidRPr="003B6E11" w:rsidRDefault="003B6E11" w:rsidP="003B6E11">
      <w:pPr>
        <w:tabs>
          <w:tab w:val="left" w:pos="2410"/>
        </w:tabs>
        <w:overflowPunct w:val="0"/>
        <w:adjustRightInd w:val="0"/>
        <w:spacing w:before="60" w:line="240" w:lineRule="atLeast"/>
        <w:ind w:left="2410" w:hanging="1276"/>
        <w:textAlignment w:val="baseline"/>
        <w:rPr>
          <w:rFonts w:cs="Arial"/>
          <w:szCs w:val="20"/>
          <w:lang w:val="cs-CZ"/>
        </w:rPr>
      </w:pPr>
      <w:r w:rsidRPr="003B6E11">
        <w:rPr>
          <w:lang w:val="cs-CZ"/>
        </w:rPr>
        <w:t xml:space="preserve">Kapitola 2 </w:t>
      </w:r>
      <w:r w:rsidRPr="003B6E11">
        <w:rPr>
          <w:lang w:val="cs-CZ"/>
        </w:rPr>
        <w:tab/>
        <w:t>Obecné minimální požadavky na ukazatele rychlosti otáčení</w:t>
      </w:r>
    </w:p>
    <w:p w:rsidR="003B6E11" w:rsidRPr="003B6E11" w:rsidRDefault="003B6E11" w:rsidP="003B6E11">
      <w:pPr>
        <w:tabs>
          <w:tab w:val="left" w:pos="2410"/>
        </w:tabs>
        <w:overflowPunct w:val="0"/>
        <w:adjustRightInd w:val="0"/>
        <w:spacing w:before="60" w:line="240" w:lineRule="atLeast"/>
        <w:ind w:left="2410" w:hanging="1276"/>
        <w:textAlignment w:val="baseline"/>
        <w:rPr>
          <w:rFonts w:cs="Arial"/>
          <w:szCs w:val="20"/>
          <w:lang w:val="cs-CZ"/>
        </w:rPr>
      </w:pPr>
      <w:r w:rsidRPr="003B6E11">
        <w:rPr>
          <w:lang w:val="cs-CZ"/>
        </w:rPr>
        <w:t xml:space="preserve">Kapitola 3 </w:t>
      </w:r>
      <w:r w:rsidRPr="003B6E11">
        <w:rPr>
          <w:lang w:val="cs-CZ"/>
        </w:rPr>
        <w:tab/>
        <w:t>Minimální provozní požadavky na ukazatele rychlosti otáčení</w:t>
      </w:r>
    </w:p>
    <w:p w:rsidR="003B6E11" w:rsidRPr="003B6E11" w:rsidRDefault="003B6E11" w:rsidP="003B6E11">
      <w:pPr>
        <w:tabs>
          <w:tab w:val="left" w:pos="2410"/>
        </w:tabs>
        <w:overflowPunct w:val="0"/>
        <w:adjustRightInd w:val="0"/>
        <w:spacing w:before="60" w:line="240" w:lineRule="atLeast"/>
        <w:ind w:left="2410" w:hanging="1276"/>
        <w:textAlignment w:val="baseline"/>
        <w:rPr>
          <w:rFonts w:cs="Arial"/>
          <w:szCs w:val="20"/>
          <w:lang w:val="cs-CZ"/>
        </w:rPr>
      </w:pPr>
      <w:r w:rsidRPr="003B6E11">
        <w:rPr>
          <w:lang w:val="cs-CZ"/>
        </w:rPr>
        <w:t xml:space="preserve">Kapitola 4 </w:t>
      </w:r>
      <w:r w:rsidRPr="003B6E11">
        <w:rPr>
          <w:lang w:val="cs-CZ"/>
        </w:rPr>
        <w:tab/>
        <w:t>Minimální technické požadavky na ukazatele rychlosti otáčení</w:t>
      </w:r>
    </w:p>
    <w:p w:rsidR="003B6E11" w:rsidRPr="003B6E11" w:rsidRDefault="003B6E11" w:rsidP="003B6E11">
      <w:pPr>
        <w:tabs>
          <w:tab w:val="left" w:pos="2410"/>
        </w:tabs>
        <w:overflowPunct w:val="0"/>
        <w:adjustRightInd w:val="0"/>
        <w:spacing w:before="60" w:line="240" w:lineRule="atLeast"/>
        <w:ind w:left="2410" w:hanging="1276"/>
        <w:textAlignment w:val="baseline"/>
        <w:rPr>
          <w:rFonts w:cs="Arial"/>
          <w:szCs w:val="20"/>
          <w:lang w:val="cs-CZ"/>
        </w:rPr>
      </w:pPr>
      <w:r w:rsidRPr="003B6E11">
        <w:rPr>
          <w:lang w:val="cs-CZ"/>
        </w:rPr>
        <w:t xml:space="preserve">Kapitola 5 </w:t>
      </w:r>
      <w:r w:rsidRPr="003B6E11">
        <w:rPr>
          <w:lang w:val="cs-CZ"/>
        </w:rPr>
        <w:tab/>
        <w:t>Podmínky a postupy zkoušek ukazatelů rychlosti otáčení</w:t>
      </w:r>
    </w:p>
    <w:p w:rsidR="003B6E11" w:rsidRPr="003B6E11" w:rsidRDefault="003B6E11" w:rsidP="003B6E11">
      <w:pPr>
        <w:tabs>
          <w:tab w:val="left" w:pos="1418"/>
          <w:tab w:val="left" w:pos="3544"/>
        </w:tabs>
        <w:overflowPunct w:val="0"/>
        <w:adjustRightInd w:val="0"/>
        <w:spacing w:before="60" w:line="240" w:lineRule="atLeast"/>
        <w:ind w:left="3544" w:hanging="1134"/>
        <w:textAlignment w:val="baseline"/>
        <w:rPr>
          <w:rFonts w:cs="Arial"/>
          <w:noProof/>
          <w:szCs w:val="20"/>
          <w:lang w:val="cs-CZ"/>
        </w:rPr>
      </w:pPr>
      <w:r w:rsidRPr="003B6E11">
        <w:rPr>
          <w:lang w:val="cs-CZ"/>
        </w:rPr>
        <w:t>Dodatek:</w:t>
      </w:r>
      <w:r w:rsidRPr="003B6E11">
        <w:rPr>
          <w:lang w:val="cs-CZ"/>
        </w:rPr>
        <w:tab/>
        <w:t>Maximální tolerance chyb v údajích ukazatelů rychlosti otáčení</w:t>
      </w:r>
    </w:p>
    <w:p w:rsidR="003B6E11" w:rsidRPr="003B6E11" w:rsidRDefault="003B6E11" w:rsidP="003B6E11">
      <w:pPr>
        <w:overflowPunct w:val="0"/>
        <w:adjustRightInd w:val="0"/>
        <w:spacing w:line="240" w:lineRule="atLeast"/>
        <w:ind w:left="1134" w:hanging="1134"/>
        <w:textAlignment w:val="baseline"/>
        <w:rPr>
          <w:rFonts w:cs="Arial"/>
          <w:szCs w:val="20"/>
          <w:lang w:val="cs-CZ"/>
        </w:rPr>
      </w:pPr>
    </w:p>
    <w:p w:rsidR="003B6E11" w:rsidRPr="003B6E11" w:rsidRDefault="003B6E11" w:rsidP="003B6E11">
      <w:pPr>
        <w:overflowPunct w:val="0"/>
        <w:adjustRightInd w:val="0"/>
        <w:spacing w:line="240" w:lineRule="atLeast"/>
        <w:ind w:left="1134" w:hanging="1134"/>
        <w:textAlignment w:val="baseline"/>
        <w:rPr>
          <w:rFonts w:cs="Arial"/>
          <w:szCs w:val="20"/>
          <w:lang w:val="cs-CZ"/>
        </w:rPr>
      </w:pPr>
      <w:r w:rsidRPr="003B6E11">
        <w:rPr>
          <w:b/>
          <w:noProof/>
          <w:lang w:val="cs-CZ"/>
        </w:rPr>
        <w:t>Oddíl III</w:t>
      </w:r>
      <w:r w:rsidRPr="003B6E11">
        <w:rPr>
          <w:lang w:val="cs-CZ"/>
        </w:rPr>
        <w:tab/>
        <w:t>Požadavky na zkoušky montáže a výkonnosti navigačních radarových zařízení a ukazatelů rychlosti otáčení ve vnitrozemské vodní dopravě</w:t>
      </w:r>
    </w:p>
    <w:p w:rsidR="003B6E11" w:rsidRPr="003B6E11" w:rsidRDefault="003B6E11" w:rsidP="003B6E11">
      <w:pPr>
        <w:overflowPunct w:val="0"/>
        <w:adjustRightInd w:val="0"/>
        <w:spacing w:line="240" w:lineRule="atLeast"/>
        <w:ind w:left="1134" w:hanging="1134"/>
        <w:textAlignment w:val="baseline"/>
        <w:rPr>
          <w:rFonts w:cs="Arial"/>
          <w:szCs w:val="20"/>
          <w:lang w:val="cs-CZ"/>
        </w:rPr>
      </w:pPr>
    </w:p>
    <w:p w:rsidR="003B6E11" w:rsidRPr="003B6E11" w:rsidRDefault="003B6E11" w:rsidP="003B6E11">
      <w:pPr>
        <w:overflowPunct w:val="0"/>
        <w:adjustRightInd w:val="0"/>
        <w:spacing w:line="240" w:lineRule="atLeast"/>
        <w:ind w:left="1134" w:hanging="1134"/>
        <w:textAlignment w:val="baseline"/>
        <w:rPr>
          <w:rFonts w:cs="Arial"/>
          <w:noProof/>
          <w:szCs w:val="20"/>
          <w:lang w:val="cs-CZ"/>
        </w:rPr>
      </w:pPr>
      <w:r w:rsidRPr="003B6E11">
        <w:rPr>
          <w:b/>
          <w:noProof/>
          <w:lang w:val="cs-CZ"/>
        </w:rPr>
        <w:t>Oddíl IV</w:t>
      </w:r>
      <w:r w:rsidRPr="003B6E11">
        <w:rPr>
          <w:lang w:val="cs-CZ"/>
        </w:rPr>
        <w:tab/>
        <w:t>Minimální požadavky, požadavky na zkoušky montáže a výkonnosti zařízení pro vnitrozemský AIS ve vnitrozemské vodní dopravě</w:t>
      </w:r>
    </w:p>
    <w:p w:rsidR="003B6E11" w:rsidRPr="003B6E11" w:rsidRDefault="003B6E11" w:rsidP="003B6E11">
      <w:pPr>
        <w:overflowPunct w:val="0"/>
        <w:adjustRightInd w:val="0"/>
        <w:spacing w:line="240" w:lineRule="atLeast"/>
        <w:ind w:left="1134" w:hanging="1134"/>
        <w:textAlignment w:val="baseline"/>
        <w:rPr>
          <w:rFonts w:cs="Arial"/>
          <w:noProof/>
          <w:szCs w:val="20"/>
          <w:lang w:val="cs-CZ"/>
        </w:rPr>
      </w:pPr>
    </w:p>
    <w:p w:rsidR="003B6E11" w:rsidRPr="003B6E11" w:rsidRDefault="003B6E11" w:rsidP="003B6E11">
      <w:pPr>
        <w:tabs>
          <w:tab w:val="left" w:pos="284"/>
        </w:tabs>
        <w:overflowPunct w:val="0"/>
        <w:adjustRightInd w:val="0"/>
        <w:ind w:left="1134" w:hanging="1134"/>
        <w:textAlignment w:val="baseline"/>
        <w:rPr>
          <w:rFonts w:cs="Arial"/>
          <w:noProof/>
          <w:szCs w:val="20"/>
          <w:lang w:val="cs-CZ"/>
        </w:rPr>
      </w:pPr>
      <w:r w:rsidRPr="003B6E11">
        <w:rPr>
          <w:b/>
          <w:noProof/>
          <w:color w:val="000000"/>
          <w:lang w:val="cs-CZ"/>
        </w:rPr>
        <w:t>Oddíl V</w:t>
      </w:r>
      <w:r w:rsidRPr="003B6E11">
        <w:rPr>
          <w:lang w:val="cs-CZ"/>
        </w:rPr>
        <w:tab/>
        <w:t>Minimální požadavky, požadavky na zkoušky montáže a výkonnosti tachografů ve vnitrozemské vodní dopravě</w:t>
      </w:r>
    </w:p>
    <w:p w:rsidR="003B6E11" w:rsidRPr="003B6E11" w:rsidRDefault="003B6E11" w:rsidP="003B6E11">
      <w:pPr>
        <w:tabs>
          <w:tab w:val="left" w:pos="284"/>
          <w:tab w:val="left" w:leader="dot" w:pos="9072"/>
        </w:tabs>
        <w:overflowPunct w:val="0"/>
        <w:adjustRightInd w:val="0"/>
        <w:ind w:left="1134" w:hanging="1134"/>
        <w:textAlignment w:val="baseline"/>
        <w:rPr>
          <w:rFonts w:cs="Arial"/>
          <w:szCs w:val="20"/>
          <w:lang w:val="cs-CZ"/>
        </w:rPr>
      </w:pPr>
    </w:p>
    <w:p w:rsidR="003B6E11" w:rsidRPr="003B6E11" w:rsidRDefault="003B6E11" w:rsidP="003B6E11">
      <w:pPr>
        <w:overflowPunct w:val="0"/>
        <w:adjustRightInd w:val="0"/>
        <w:spacing w:line="240" w:lineRule="atLeast"/>
        <w:ind w:left="1134" w:hanging="1134"/>
        <w:textAlignment w:val="baseline"/>
        <w:rPr>
          <w:rFonts w:cs="Arial"/>
          <w:noProof/>
          <w:szCs w:val="20"/>
          <w:lang w:val="cs-CZ"/>
        </w:rPr>
      </w:pPr>
      <w:r w:rsidRPr="003B6E11">
        <w:rPr>
          <w:b/>
          <w:noProof/>
          <w:lang w:val="cs-CZ"/>
        </w:rPr>
        <w:t>Oddíl VI</w:t>
      </w:r>
      <w:r w:rsidRPr="003B6E11">
        <w:rPr>
          <w:lang w:val="cs-CZ"/>
        </w:rPr>
        <w:tab/>
        <w:t>Osvědčení o montáži a výkonnosti navigačních radarových zařízení, ukazatelů rychlosti otáčení, zařízení pro vnitrozemský AIS a tachografů ve vnitrozemské vodní dopravě</w:t>
      </w:r>
    </w:p>
    <w:p w:rsidR="003B6E11" w:rsidRPr="003B6E11" w:rsidRDefault="003B6E11" w:rsidP="003B6E11">
      <w:pPr>
        <w:overflowPunct w:val="0"/>
        <w:adjustRightInd w:val="0"/>
        <w:spacing w:line="240" w:lineRule="atLeast"/>
        <w:ind w:left="1134" w:hanging="1134"/>
        <w:textAlignment w:val="baseline"/>
        <w:rPr>
          <w:rFonts w:cs="Arial"/>
          <w:szCs w:val="20"/>
          <w:lang w:val="cs-CZ"/>
        </w:rPr>
      </w:pPr>
    </w:p>
    <w:p w:rsidR="003B6E11" w:rsidRPr="003B6E11" w:rsidRDefault="003B6E11" w:rsidP="003B6E11">
      <w:pPr>
        <w:overflowPunct w:val="0"/>
        <w:adjustRightInd w:val="0"/>
        <w:spacing w:line="240" w:lineRule="atLeast"/>
        <w:ind w:left="1134" w:hanging="1134"/>
        <w:textAlignment w:val="baseline"/>
        <w:rPr>
          <w:rFonts w:cs="Arial"/>
          <w:szCs w:val="20"/>
          <w:lang w:val="cs-CZ"/>
        </w:rPr>
      </w:pPr>
    </w:p>
    <w:p w:rsidR="003B6E11" w:rsidRPr="003B6E11" w:rsidRDefault="003B6E11" w:rsidP="003B6E11">
      <w:pPr>
        <w:overflowPunct w:val="0"/>
        <w:adjustRightInd w:val="0"/>
        <w:spacing w:line="240" w:lineRule="atLeast"/>
        <w:ind w:left="1134" w:hanging="1134"/>
        <w:textAlignment w:val="baseline"/>
        <w:rPr>
          <w:rFonts w:cs="Arial"/>
          <w:szCs w:val="20"/>
          <w:lang w:val="cs-CZ"/>
        </w:rPr>
      </w:pPr>
    </w:p>
    <w:p w:rsidR="003B6E11" w:rsidRPr="003B6E11" w:rsidRDefault="003B6E11" w:rsidP="003B6E11">
      <w:pPr>
        <w:overflowPunct w:val="0"/>
        <w:adjustRightInd w:val="0"/>
        <w:spacing w:line="240" w:lineRule="exact"/>
        <w:jc w:val="center"/>
        <w:textAlignment w:val="baseline"/>
        <w:rPr>
          <w:rFonts w:eastAsia="Calibri"/>
          <w:b/>
          <w:noProof/>
          <w:lang w:val="cs-CZ"/>
        </w:rPr>
      </w:pPr>
      <w:r w:rsidRPr="003B6E11">
        <w:rPr>
          <w:b/>
          <w:noProof/>
          <w:lang w:val="cs-CZ"/>
        </w:rPr>
        <w:t>Definice</w:t>
      </w:r>
    </w:p>
    <w:p w:rsidR="003B6E11" w:rsidRPr="003B6E11" w:rsidRDefault="003B6E11" w:rsidP="003B6E11">
      <w:pPr>
        <w:overflowPunct w:val="0"/>
        <w:adjustRightInd w:val="0"/>
        <w:spacing w:line="240" w:lineRule="atLeast"/>
        <w:ind w:left="1134" w:hanging="1134"/>
        <w:textAlignment w:val="baseline"/>
        <w:rPr>
          <w:rFonts w:cs="Arial"/>
          <w:szCs w:val="20"/>
          <w:lang w:val="cs-CZ"/>
        </w:rPr>
      </w:pPr>
    </w:p>
    <w:p w:rsidR="003B6E11" w:rsidRPr="003B6E11" w:rsidRDefault="003B6E11" w:rsidP="003B6E11">
      <w:pPr>
        <w:spacing w:line="240" w:lineRule="atLeast"/>
        <w:rPr>
          <w:rFonts w:cs="Arial"/>
          <w:color w:val="000000"/>
          <w:lang w:val="cs-CZ"/>
        </w:rPr>
      </w:pPr>
      <w:r w:rsidRPr="003B6E11">
        <w:rPr>
          <w:color w:val="000000"/>
          <w:lang w:val="cs-CZ"/>
        </w:rPr>
        <w:t>1.</w:t>
      </w:r>
      <w:r w:rsidRPr="003B6E11">
        <w:rPr>
          <w:lang w:val="cs-CZ"/>
        </w:rPr>
        <w:tab/>
      </w:r>
      <w:r w:rsidRPr="003B6E11">
        <w:rPr>
          <w:color w:val="000000"/>
          <w:lang w:val="cs-CZ"/>
        </w:rPr>
        <w:t>„Zkouškou typu“ se rozumí zkušební postup uvedený v oddíle I článku 4 nebo oddíle II článku 1.03, který technická zkušebna používá k ověření souladu s požadavky podle této přílohy. Zkouška typu tvoří nedílnou součást schválení typu.</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2.</w:t>
      </w:r>
      <w:r w:rsidRPr="003B6E11">
        <w:rPr>
          <w:lang w:val="cs-CZ"/>
        </w:rPr>
        <w:tab/>
      </w:r>
      <w:r w:rsidRPr="003B6E11">
        <w:rPr>
          <w:color w:val="000000"/>
          <w:lang w:val="cs-CZ"/>
        </w:rPr>
        <w:t>„Schválením typu“ se rozumí správní postup, kterým členský stát potvrdí, že zařízení splňuje požadavky uvedené v této příloze.</w:t>
      </w:r>
    </w:p>
    <w:p w:rsidR="003B6E11" w:rsidRPr="003B6E11" w:rsidRDefault="003B6E11" w:rsidP="003B6E11">
      <w:pPr>
        <w:spacing w:line="240" w:lineRule="atLeast"/>
        <w:rPr>
          <w:rFonts w:cs="Arial"/>
          <w:strike/>
          <w:noProof/>
          <w:color w:val="000000"/>
          <w:lang w:val="cs-CZ"/>
        </w:rPr>
      </w:pPr>
    </w:p>
    <w:p w:rsidR="003B6E11" w:rsidRPr="003B6E11" w:rsidRDefault="003B6E11" w:rsidP="003B6E11">
      <w:pPr>
        <w:spacing w:line="240" w:lineRule="atLeast"/>
        <w:rPr>
          <w:rFonts w:cs="Arial"/>
          <w:noProof/>
          <w:color w:val="000000"/>
          <w:lang w:val="cs-CZ"/>
        </w:rPr>
      </w:pPr>
      <w:r w:rsidRPr="003B6E11">
        <w:rPr>
          <w:lang w:val="cs-CZ"/>
        </w:rPr>
        <w:br w:type="page"/>
      </w:r>
    </w:p>
    <w:p w:rsidR="003B6E11" w:rsidRPr="003B6E11" w:rsidRDefault="003B6E11" w:rsidP="003B6E11">
      <w:pPr>
        <w:spacing w:line="240" w:lineRule="atLeast"/>
        <w:rPr>
          <w:rFonts w:cs="Arial"/>
          <w:noProof/>
          <w:color w:val="000000"/>
          <w:lang w:val="cs-CZ"/>
        </w:rPr>
      </w:pPr>
      <w:r w:rsidRPr="003B6E11">
        <w:rPr>
          <w:noProof/>
          <w:color w:val="000000"/>
          <w:lang w:val="cs-CZ"/>
        </w:rPr>
        <w:t>3.</w:t>
      </w:r>
      <w:r w:rsidRPr="003B6E11">
        <w:rPr>
          <w:lang w:val="cs-CZ"/>
        </w:rPr>
        <w:tab/>
      </w:r>
      <w:r w:rsidRPr="003B6E11">
        <w:rPr>
          <w:noProof/>
          <w:color w:val="000000"/>
          <w:lang w:val="cs-CZ"/>
        </w:rPr>
        <w:t>„Osvědčením o zkoušce“ se rozumí dokument, ve kterém jsou uvedeny výsledky zkoušky typu.</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4.</w:t>
      </w:r>
      <w:r w:rsidRPr="003B6E11">
        <w:rPr>
          <w:lang w:val="cs-CZ"/>
        </w:rPr>
        <w:tab/>
      </w:r>
      <w:r w:rsidRPr="003B6E11">
        <w:rPr>
          <w:noProof/>
          <w:color w:val="000000"/>
          <w:lang w:val="cs-CZ"/>
        </w:rPr>
        <w:t>„Žadatelem“ nebo „výrobcem“ se rozumí právnická či fyzická osoba, pod jejímž jménem, obchodní značkou nebo jinou formou identifikace je zařízení předložené ke zkoušce vyráběno nebo uváděno na trh a která odpovídá za všechny záležitosti týkající se zkoušky typu a schválení typu prováděných technickou zkušebnou a schvalovacím orgánem.</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5.</w:t>
      </w:r>
      <w:r w:rsidRPr="003B6E11">
        <w:rPr>
          <w:lang w:val="cs-CZ"/>
        </w:rPr>
        <w:tab/>
      </w:r>
      <w:r w:rsidRPr="003B6E11">
        <w:rPr>
          <w:noProof/>
          <w:color w:val="000000"/>
          <w:lang w:val="cs-CZ"/>
        </w:rPr>
        <w:t>„Technickou zkušebnou“ se rozumí instituce, orgán nebo organizace provádějící zkoušku typu.</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6.</w:t>
      </w:r>
      <w:r w:rsidRPr="003B6E11">
        <w:rPr>
          <w:lang w:val="cs-CZ"/>
        </w:rPr>
        <w:tab/>
      </w:r>
      <w:r w:rsidRPr="003B6E11">
        <w:rPr>
          <w:noProof/>
          <w:color w:val="000000"/>
          <w:lang w:val="cs-CZ"/>
        </w:rPr>
        <w:t>„Prohlášením výrobce“ se rozumí prohlášení, kterým výrobce potvrzuje, že zařízení splňuje minimální požadavky a že je v každém ohledu totožné s typem, který byl předložen ke zkoušení.</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7.</w:t>
      </w:r>
      <w:r w:rsidRPr="003B6E11">
        <w:rPr>
          <w:lang w:val="cs-CZ"/>
        </w:rPr>
        <w:tab/>
      </w:r>
      <w:r w:rsidRPr="003B6E11">
        <w:rPr>
          <w:noProof/>
          <w:color w:val="000000"/>
          <w:lang w:val="cs-CZ"/>
        </w:rPr>
        <w:t>„Prohlášením o shodě podle směrnice 2014/53/EU</w:t>
      </w:r>
      <w:r w:rsidRPr="003B6E11">
        <w:rPr>
          <w:noProof/>
          <w:vertAlign w:val="superscript"/>
          <w:lang w:val="cs-CZ"/>
        </w:rPr>
        <w:footnoteReference w:id="52"/>
      </w:r>
      <w:r w:rsidRPr="003B6E11">
        <w:rPr>
          <w:noProof/>
          <w:color w:val="000000"/>
          <w:lang w:val="cs-CZ"/>
        </w:rPr>
        <w:t>“ se rozumí prohlášení podle přílohy II bodu 4 směrnice 2014/53/EU, kterým výrobce potvrzuje, že dotčené výrobky splňují příslušné požadavky směrnice.</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color w:val="000000"/>
          <w:szCs w:val="20"/>
          <w:lang w:val="cs-CZ"/>
        </w:rPr>
      </w:pPr>
    </w:p>
    <w:p w:rsidR="003B6E11" w:rsidRPr="003B6E11" w:rsidRDefault="003B6E11" w:rsidP="003B6E11">
      <w:pPr>
        <w:overflowPunct w:val="0"/>
        <w:adjustRightInd w:val="0"/>
        <w:spacing w:line="240" w:lineRule="atLeast"/>
        <w:ind w:left="1134" w:hanging="1134"/>
        <w:textAlignment w:val="baseline"/>
        <w:rPr>
          <w:rFonts w:cs="Arial"/>
          <w:szCs w:val="20"/>
          <w:lang w:val="cs-CZ"/>
        </w:rPr>
      </w:pPr>
    </w:p>
    <w:p w:rsidR="003B6E11" w:rsidRPr="003B6E11" w:rsidRDefault="003B6E11" w:rsidP="003B6E11">
      <w:pPr>
        <w:overflowPunct w:val="0"/>
        <w:adjustRightInd w:val="0"/>
        <w:spacing w:line="240" w:lineRule="atLeast"/>
        <w:ind w:left="1134" w:hanging="1134"/>
        <w:textAlignment w:val="baseline"/>
        <w:rPr>
          <w:rFonts w:cs="Arial"/>
          <w:szCs w:val="20"/>
          <w:lang w:val="cs-CZ"/>
        </w:rPr>
      </w:pPr>
    </w:p>
    <w:p w:rsidR="003B6E11" w:rsidRPr="003B6E11" w:rsidRDefault="003B6E11" w:rsidP="003B6E11">
      <w:pPr>
        <w:overflowPunct w:val="0"/>
        <w:adjustRightInd w:val="0"/>
        <w:spacing w:line="240" w:lineRule="atLeast"/>
        <w:jc w:val="center"/>
        <w:textAlignment w:val="baseline"/>
        <w:rPr>
          <w:rFonts w:cs="Arial"/>
          <w:szCs w:val="20"/>
          <w:lang w:val="cs-CZ"/>
        </w:rPr>
        <w:sectPr w:rsidR="003B6E11" w:rsidRPr="003B6E11" w:rsidSect="00FB55E9">
          <w:headerReference w:type="default" r:id="rId64"/>
          <w:footerReference w:type="default" r:id="rId65"/>
          <w:footnotePr>
            <w:numRestart w:val="eachPage"/>
          </w:footnotePr>
          <w:pgSz w:w="11907" w:h="16840" w:code="9"/>
          <w:pgMar w:top="1361" w:right="1418" w:bottom="1361" w:left="1418" w:header="680" w:footer="680" w:gutter="0"/>
          <w:cols w:space="720"/>
          <w:docGrid w:linePitch="326"/>
        </w:sectPr>
      </w:pPr>
    </w:p>
    <w:p w:rsidR="003B6E11" w:rsidRPr="003B6E11" w:rsidRDefault="003B6E11" w:rsidP="003B6E11">
      <w:pPr>
        <w:overflowPunct w:val="0"/>
        <w:adjustRightInd w:val="0"/>
        <w:spacing w:line="240" w:lineRule="atLeast"/>
        <w:jc w:val="center"/>
        <w:textAlignment w:val="baseline"/>
        <w:rPr>
          <w:rFonts w:cs="Arial"/>
          <w:szCs w:val="20"/>
          <w:lang w:val="cs-CZ"/>
        </w:rPr>
      </w:pPr>
    </w:p>
    <w:p w:rsidR="003B6E11" w:rsidRPr="003B6E11" w:rsidRDefault="003B6E11" w:rsidP="003B6E11">
      <w:pPr>
        <w:pStyle w:val="ES-Titre3"/>
        <w:rPr>
          <w:noProof/>
          <w:lang w:val="cs-CZ"/>
        </w:rPr>
      </w:pPr>
      <w:bookmarkStart w:id="636" w:name="_Toc491854310"/>
      <w:bookmarkStart w:id="637" w:name="_Toc535417216"/>
      <w:r w:rsidRPr="003B6E11">
        <w:rPr>
          <w:lang w:val="cs-CZ"/>
        </w:rPr>
        <w:t>Oddíl I</w:t>
      </w:r>
      <w:bookmarkEnd w:id="636"/>
      <w:bookmarkEnd w:id="637"/>
    </w:p>
    <w:p w:rsidR="003B6E11" w:rsidRPr="003B6E11" w:rsidRDefault="003B6E11" w:rsidP="003B6E11">
      <w:pPr>
        <w:pStyle w:val="ES-Titre3a"/>
        <w:rPr>
          <w:rFonts w:cs="Arial"/>
          <w:bCs/>
          <w:szCs w:val="20"/>
          <w:lang w:val="cs-CZ"/>
        </w:rPr>
      </w:pPr>
      <w:bookmarkStart w:id="638" w:name="_Toc491854311"/>
      <w:bookmarkStart w:id="639" w:name="_Toc535417217"/>
      <w:r w:rsidRPr="003B6E11">
        <w:rPr>
          <w:lang w:val="cs-CZ"/>
        </w:rPr>
        <w:t>Minimální požadavky a zkušební podmínky pro navigační radarová zařízení ve vnitrozemské vodní dopravě</w:t>
      </w:r>
      <w:bookmarkEnd w:id="638"/>
      <w:bookmarkEnd w:id="639"/>
    </w:p>
    <w:p w:rsidR="003B6E11" w:rsidRPr="003B6E11" w:rsidRDefault="003B6E11" w:rsidP="003B6E11">
      <w:pPr>
        <w:tabs>
          <w:tab w:val="right" w:pos="9072"/>
        </w:tabs>
        <w:overflowPunct w:val="0"/>
        <w:adjustRightInd w:val="0"/>
        <w:spacing w:line="240" w:lineRule="atLeast"/>
        <w:textAlignment w:val="baseline"/>
        <w:rPr>
          <w:rFonts w:cs="Arial"/>
          <w:szCs w:val="20"/>
          <w:lang w:val="cs-CZ"/>
        </w:rPr>
      </w:pPr>
    </w:p>
    <w:p w:rsidR="003B6E11" w:rsidRPr="003B6E11" w:rsidRDefault="003B6E11" w:rsidP="003B6E11">
      <w:pPr>
        <w:spacing w:line="240" w:lineRule="atLeast"/>
        <w:jc w:val="center"/>
        <w:rPr>
          <w:rFonts w:cs="Arial"/>
          <w:i/>
          <w:noProof/>
          <w:lang w:val="cs-CZ"/>
        </w:rPr>
      </w:pPr>
      <w:r w:rsidRPr="003B6E11">
        <w:rPr>
          <w:b/>
          <w:noProof/>
          <w:lang w:val="cs-CZ"/>
        </w:rPr>
        <w:t>Článek 1</w:t>
      </w:r>
      <w:r w:rsidRPr="003B6E11">
        <w:rPr>
          <w:rFonts w:cs="Arial"/>
          <w:b/>
          <w:noProof/>
          <w:lang w:val="cs-CZ"/>
        </w:rPr>
        <w:br/>
      </w:r>
      <w:r w:rsidRPr="003B6E11">
        <w:rPr>
          <w:i/>
          <w:noProof/>
          <w:lang w:val="cs-CZ"/>
        </w:rPr>
        <w:t>Oblast působnosti</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noProof/>
          <w:lang w:val="cs-CZ"/>
        </w:rPr>
      </w:pPr>
      <w:r w:rsidRPr="003B6E11">
        <w:rPr>
          <w:lang w:val="cs-CZ"/>
        </w:rPr>
        <w:t xml:space="preserve">Tato ustanovení stanoví minimální požadavky na navigační radarová zařízení používaná ve vnitrozemské vodní dopravě a podmínky pro zkoušení shody s těmito minimálními požadavky. </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spacing w:line="240" w:lineRule="atLeast"/>
        <w:jc w:val="center"/>
        <w:rPr>
          <w:rFonts w:cs="Arial"/>
          <w:i/>
          <w:noProof/>
          <w:lang w:val="cs-CZ"/>
        </w:rPr>
      </w:pPr>
      <w:r w:rsidRPr="003B6E11">
        <w:rPr>
          <w:b/>
          <w:noProof/>
          <w:lang w:val="cs-CZ"/>
        </w:rPr>
        <w:t>Článek 2</w:t>
      </w:r>
      <w:r w:rsidRPr="003B6E11">
        <w:rPr>
          <w:rFonts w:cs="Arial"/>
          <w:b/>
          <w:noProof/>
          <w:lang w:val="cs-CZ"/>
        </w:rPr>
        <w:br/>
      </w:r>
      <w:r w:rsidRPr="003B6E11">
        <w:rPr>
          <w:i/>
          <w:noProof/>
          <w:lang w:val="cs-CZ"/>
        </w:rPr>
        <w:t>Účel navigačního radarového zařízení</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noProof/>
          <w:lang w:val="cs-CZ"/>
        </w:rPr>
      </w:pPr>
      <w:r w:rsidRPr="003B6E11">
        <w:rPr>
          <w:lang w:val="cs-CZ"/>
        </w:rPr>
        <w:t>Radarové navigační zařízení usnadňuje navigaci plavidla tím, že poskytuje snadno čitelný radarový snímek o poloze lodi vůči bójím, břehům a navigačním objektům, a tím, že umožňuje spolehlivě a včas rozpoznat jiná plavidla a překážky vyčnívající nad hladinu vody.</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spacing w:line="240" w:lineRule="atLeast"/>
        <w:jc w:val="center"/>
        <w:rPr>
          <w:rFonts w:cs="Arial"/>
          <w:i/>
          <w:noProof/>
          <w:lang w:val="cs-CZ"/>
        </w:rPr>
      </w:pPr>
      <w:r w:rsidRPr="003B6E11">
        <w:rPr>
          <w:b/>
          <w:noProof/>
          <w:lang w:val="cs-CZ"/>
        </w:rPr>
        <w:t>Článek 3</w:t>
      </w:r>
      <w:r w:rsidRPr="003B6E11">
        <w:rPr>
          <w:rFonts w:cs="Arial"/>
          <w:b/>
          <w:noProof/>
          <w:lang w:val="cs-CZ"/>
        </w:rPr>
        <w:br/>
      </w:r>
      <w:r w:rsidRPr="003B6E11">
        <w:rPr>
          <w:i/>
          <w:noProof/>
          <w:lang w:val="cs-CZ"/>
        </w:rPr>
        <w:t>Minimální požadavky</w:t>
      </w:r>
    </w:p>
    <w:p w:rsidR="003B6E11" w:rsidRPr="003B6E11" w:rsidRDefault="003B6E11" w:rsidP="003B6E11">
      <w:pPr>
        <w:spacing w:line="240" w:lineRule="atLeast"/>
        <w:jc w:val="center"/>
        <w:rPr>
          <w:rFonts w:cs="Arial"/>
          <w:noProof/>
          <w:lang w:val="cs-CZ"/>
        </w:rPr>
      </w:pPr>
    </w:p>
    <w:p w:rsidR="003B6E11" w:rsidRPr="003B6E11" w:rsidRDefault="003B6E11" w:rsidP="003B6E11">
      <w:pPr>
        <w:spacing w:line="240" w:lineRule="atLeast"/>
        <w:ind w:left="426" w:hanging="426"/>
        <w:rPr>
          <w:rFonts w:eastAsia="Batang" w:cs="Arial"/>
          <w:noProof/>
          <w:color w:val="000000"/>
          <w:lang w:val="cs-CZ"/>
        </w:rPr>
      </w:pPr>
      <w:r w:rsidRPr="003B6E11">
        <w:rPr>
          <w:color w:val="000000"/>
          <w:lang w:val="cs-CZ"/>
        </w:rPr>
        <w:t>1.</w:t>
      </w:r>
      <w:r w:rsidRPr="003B6E11">
        <w:rPr>
          <w:lang w:val="cs-CZ"/>
        </w:rPr>
        <w:tab/>
        <w:t>Navigační radarová zařízení musí splňovat požadavky směrnice 2014/53/EU.</w:t>
      </w:r>
    </w:p>
    <w:p w:rsidR="003B6E11" w:rsidRPr="003B6E11" w:rsidRDefault="003B6E11" w:rsidP="003B6E11">
      <w:pPr>
        <w:spacing w:line="240" w:lineRule="atLeast"/>
        <w:ind w:left="426" w:hanging="426"/>
        <w:rPr>
          <w:rFonts w:eastAsia="Batang" w:cs="Arial"/>
          <w:noProof/>
          <w:color w:val="000000"/>
          <w:lang w:val="cs-CZ"/>
        </w:rPr>
      </w:pPr>
    </w:p>
    <w:p w:rsidR="003B6E11" w:rsidRPr="003B6E11" w:rsidRDefault="003B6E11" w:rsidP="003B6E11">
      <w:pPr>
        <w:spacing w:line="240" w:lineRule="atLeast"/>
        <w:ind w:left="426" w:hanging="426"/>
        <w:rPr>
          <w:rFonts w:cs="Arial"/>
          <w:noProof/>
          <w:color w:val="000000"/>
          <w:lang w:val="cs-CZ"/>
        </w:rPr>
      </w:pPr>
      <w:r w:rsidRPr="003B6E11">
        <w:rPr>
          <w:color w:val="000000"/>
          <w:lang w:val="cs-CZ"/>
        </w:rPr>
        <w:t>2.</w:t>
      </w:r>
      <w:r w:rsidRPr="003B6E11">
        <w:rPr>
          <w:lang w:val="cs-CZ"/>
        </w:rPr>
        <w:tab/>
      </w:r>
      <w:r w:rsidRPr="003B6E11">
        <w:rPr>
          <w:color w:val="000000"/>
          <w:lang w:val="cs-CZ"/>
        </w:rPr>
        <w:t>Navigační radarová zařízení musí rovněž splňovat požadavky evropské normy EN 302 194-1:2006 Elektromagnetická kompatibilita a rádiové spektrum (ERM) – Navigační radary používané na vnitrostátních vodních cestách – Část 1: Technické vlastnosti a metody měření.</w:t>
      </w:r>
    </w:p>
    <w:p w:rsidR="003B6E11" w:rsidRPr="003B6E11" w:rsidRDefault="003B6E11" w:rsidP="003B6E11">
      <w:pPr>
        <w:spacing w:line="240" w:lineRule="atLeast"/>
        <w:ind w:left="426" w:hanging="426"/>
        <w:rPr>
          <w:rFonts w:cs="Arial"/>
          <w:noProof/>
          <w:color w:val="000000"/>
          <w:lang w:val="cs-CZ"/>
        </w:rPr>
      </w:pPr>
    </w:p>
    <w:p w:rsidR="003B6E11" w:rsidRPr="003B6E11" w:rsidRDefault="003B6E11" w:rsidP="003B6E11">
      <w:pPr>
        <w:spacing w:line="240" w:lineRule="atLeast"/>
        <w:ind w:left="426" w:hanging="426"/>
        <w:rPr>
          <w:rFonts w:cs="Arial"/>
          <w:color w:val="000000"/>
          <w:lang w:val="cs-CZ"/>
        </w:rPr>
      </w:pPr>
      <w:r w:rsidRPr="003B6E11">
        <w:rPr>
          <w:color w:val="000000"/>
          <w:lang w:val="cs-CZ"/>
        </w:rPr>
        <w:t>3.</w:t>
      </w:r>
      <w:r w:rsidRPr="003B6E11">
        <w:rPr>
          <w:lang w:val="cs-CZ"/>
        </w:rPr>
        <w:tab/>
      </w:r>
      <w:r w:rsidRPr="003B6E11">
        <w:rPr>
          <w:color w:val="000000"/>
          <w:lang w:val="cs-CZ"/>
        </w:rPr>
        <w:t>Odstavec 2 se nepoužije na hardware zařízení vnitrozemského ECDIS provozovaného v navigačním režimu v systémové konfiguraci 2 nebo 3 podle standardu vnitrozemského ECDIS, oddíl 1 bod 5.2 ve spojení s oddílem 4 bodem 2.2.2 nebo 2.2.3, je-li předloženo osvědčení výrobce o shodě. Toto osvědčení o shodě musí potvrzovat, že hardware:</w:t>
      </w:r>
    </w:p>
    <w:p w:rsidR="003B6E11" w:rsidRPr="003B6E11" w:rsidRDefault="003B6E11" w:rsidP="003B6E11">
      <w:pPr>
        <w:tabs>
          <w:tab w:val="left" w:pos="0"/>
        </w:tabs>
        <w:overflowPunct w:val="0"/>
        <w:adjustRightInd w:val="0"/>
        <w:spacing w:before="60" w:line="240" w:lineRule="atLeast"/>
        <w:ind w:left="850"/>
        <w:textAlignment w:val="baseline"/>
        <w:rPr>
          <w:rFonts w:cs="Arial"/>
          <w:szCs w:val="20"/>
          <w:lang w:val="cs-CZ"/>
        </w:rPr>
      </w:pPr>
      <w:r w:rsidRPr="003B6E11">
        <w:rPr>
          <w:color w:val="000000"/>
          <w:lang w:val="cs-CZ"/>
        </w:rPr>
        <w:t>a)</w:t>
      </w:r>
      <w:r w:rsidRPr="003B6E11">
        <w:rPr>
          <w:lang w:val="cs-CZ"/>
        </w:rPr>
        <w:tab/>
      </w:r>
      <w:r w:rsidRPr="003B6E11">
        <w:rPr>
          <w:color w:val="000000"/>
          <w:lang w:val="cs-CZ"/>
        </w:rPr>
        <w:t>je navržen a vyroben tak, aby odolal typickým zátěžím a povětrnostním podmínkám na palubě lodi bez ztráty kvality či spolehlivosti, a</w:t>
      </w:r>
    </w:p>
    <w:p w:rsidR="003B6E11" w:rsidRPr="003B6E11" w:rsidRDefault="003B6E11" w:rsidP="003B6E11">
      <w:pPr>
        <w:tabs>
          <w:tab w:val="left" w:pos="0"/>
        </w:tabs>
        <w:overflowPunct w:val="0"/>
        <w:adjustRightInd w:val="0"/>
        <w:spacing w:before="60" w:line="240" w:lineRule="atLeast"/>
        <w:ind w:left="850"/>
        <w:textAlignment w:val="baseline"/>
        <w:rPr>
          <w:rFonts w:cs="Arial"/>
          <w:color w:val="000000"/>
          <w:szCs w:val="20"/>
          <w:lang w:val="cs-CZ"/>
        </w:rPr>
      </w:pPr>
      <w:r w:rsidRPr="003B6E11">
        <w:rPr>
          <w:lang w:val="cs-CZ"/>
        </w:rPr>
        <w:t>b)</w:t>
      </w:r>
      <w:r w:rsidRPr="003B6E11">
        <w:rPr>
          <w:lang w:val="cs-CZ"/>
        </w:rPr>
        <w:tab/>
      </w:r>
      <w:r w:rsidRPr="003B6E11">
        <w:rPr>
          <w:color w:val="000000"/>
          <w:lang w:val="cs-CZ"/>
        </w:rPr>
        <w:t>nenarušuje provoz jiných palubních komunikačních a navigačních zařízení.</w:t>
      </w:r>
    </w:p>
    <w:p w:rsidR="003B6E11" w:rsidRPr="003B6E11" w:rsidRDefault="003B6E11" w:rsidP="003B6E11">
      <w:pPr>
        <w:tabs>
          <w:tab w:val="left" w:pos="495"/>
        </w:tabs>
        <w:overflowPunct w:val="0"/>
        <w:adjustRightInd w:val="0"/>
        <w:spacing w:line="240" w:lineRule="atLeast"/>
        <w:ind w:left="426" w:hanging="426"/>
        <w:textAlignment w:val="baseline"/>
        <w:rPr>
          <w:rFonts w:cs="Arial"/>
          <w:b/>
          <w:bCs/>
          <w:noProof/>
          <w:szCs w:val="20"/>
          <w:lang w:val="cs-CZ"/>
        </w:rPr>
      </w:pPr>
    </w:p>
    <w:p w:rsidR="003B6E11" w:rsidRPr="003B6E11" w:rsidRDefault="003B6E11" w:rsidP="003B6E11">
      <w:pPr>
        <w:spacing w:line="240" w:lineRule="atLeast"/>
        <w:ind w:left="426"/>
        <w:rPr>
          <w:rFonts w:cs="Arial"/>
          <w:color w:val="000000"/>
          <w:lang w:val="cs-CZ"/>
        </w:rPr>
      </w:pPr>
      <w:r w:rsidRPr="003B6E11">
        <w:rPr>
          <w:color w:val="000000"/>
          <w:lang w:val="cs-CZ"/>
        </w:rPr>
        <w:t>První věta se nevztahuje na zobrazovací jednotky provozované v navigačním režimu v systémové konfiguraci 3 ani na hardwarové součásti používané k poskytování radarových informací z procesoru radaru pro zobrazení na obrazovce zařízení vnitrozemského ECDIS.</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p>
    <w:p w:rsidR="003B6E11" w:rsidRPr="003B6E11" w:rsidRDefault="003B6E11" w:rsidP="003B6E11">
      <w:pPr>
        <w:rPr>
          <w:rFonts w:cs="Arial"/>
          <w:b/>
          <w:noProof/>
          <w:lang w:val="cs-CZ"/>
        </w:rPr>
      </w:pPr>
      <w:r w:rsidRPr="003B6E11">
        <w:rPr>
          <w:lang w:val="cs-CZ"/>
        </w:rPr>
        <w:br w:type="page"/>
      </w:r>
    </w:p>
    <w:p w:rsidR="003B6E11" w:rsidRPr="003B6E11" w:rsidRDefault="003B6E11" w:rsidP="003B6E11">
      <w:pPr>
        <w:spacing w:line="240" w:lineRule="atLeast"/>
        <w:jc w:val="center"/>
        <w:rPr>
          <w:rFonts w:cs="Arial"/>
          <w:b/>
          <w:noProof/>
          <w:lang w:val="cs-CZ"/>
        </w:rPr>
      </w:pPr>
    </w:p>
    <w:p w:rsidR="003B6E11" w:rsidRPr="003B6E11" w:rsidRDefault="003B6E11" w:rsidP="003B6E11">
      <w:pPr>
        <w:spacing w:line="240" w:lineRule="atLeast"/>
        <w:jc w:val="center"/>
        <w:rPr>
          <w:rFonts w:cs="Arial"/>
          <w:i/>
          <w:noProof/>
          <w:lang w:val="cs-CZ"/>
        </w:rPr>
      </w:pPr>
      <w:r w:rsidRPr="003B6E11">
        <w:rPr>
          <w:b/>
          <w:noProof/>
          <w:lang w:val="cs-CZ"/>
        </w:rPr>
        <w:t>Článek 4</w:t>
      </w:r>
      <w:r w:rsidRPr="003B6E11">
        <w:rPr>
          <w:rFonts w:cs="Arial"/>
          <w:b/>
          <w:noProof/>
          <w:lang w:val="cs-CZ"/>
        </w:rPr>
        <w:br/>
      </w:r>
      <w:r w:rsidRPr="003B6E11">
        <w:rPr>
          <w:i/>
          <w:noProof/>
          <w:lang w:val="cs-CZ"/>
        </w:rPr>
        <w:t>Zkoušky typu</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noProof/>
          <w:lang w:val="cs-CZ"/>
        </w:rPr>
      </w:pPr>
      <w:r w:rsidRPr="003B6E11">
        <w:rPr>
          <w:lang w:val="cs-CZ"/>
        </w:rPr>
        <w:t>Soulad s minimálními požadavky uvedenými v čl. 3 odst. 2 je stanoven pomocí zkoušky typu.</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noProof/>
          <w:lang w:val="cs-CZ"/>
        </w:rPr>
      </w:pPr>
      <w:r w:rsidRPr="003B6E11">
        <w:rPr>
          <w:lang w:val="cs-CZ"/>
        </w:rPr>
        <w:t>Pokud zařízení projde zkouškou typu, vydá technická zkušebna osvědčení o zkoušce. Pokud zařízení nesplňuje minimální požadavky, je žadatel písemně vyrozuměn o důvodech zamítnutí.</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spacing w:line="240" w:lineRule="atLeast"/>
        <w:jc w:val="center"/>
        <w:rPr>
          <w:rFonts w:cs="Arial"/>
          <w:i/>
          <w:noProof/>
          <w:lang w:val="cs-CZ"/>
        </w:rPr>
      </w:pPr>
      <w:r w:rsidRPr="003B6E11">
        <w:rPr>
          <w:b/>
          <w:noProof/>
          <w:lang w:val="cs-CZ"/>
        </w:rPr>
        <w:t>Článek 5</w:t>
      </w:r>
      <w:r w:rsidRPr="003B6E11">
        <w:rPr>
          <w:rFonts w:cs="Arial"/>
          <w:b/>
          <w:noProof/>
          <w:lang w:val="cs-CZ"/>
        </w:rPr>
        <w:br/>
      </w:r>
      <w:r w:rsidRPr="003B6E11">
        <w:rPr>
          <w:i/>
          <w:noProof/>
          <w:lang w:val="cs-CZ"/>
        </w:rPr>
        <w:t>Žádost o zkoušku typu</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1.</w:t>
      </w:r>
      <w:r w:rsidRPr="003B6E11">
        <w:rPr>
          <w:lang w:val="cs-CZ"/>
        </w:rPr>
        <w:tab/>
      </w:r>
      <w:r w:rsidRPr="003B6E11">
        <w:rPr>
          <w:noProof/>
          <w:color w:val="000000"/>
          <w:lang w:val="cs-CZ"/>
        </w:rPr>
        <w:t>Žádost o zkoušku typu radarového navigačního zařízení se předkládá technické zkušebně.</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2.</w:t>
      </w:r>
      <w:r w:rsidRPr="003B6E11">
        <w:rPr>
          <w:lang w:val="cs-CZ"/>
        </w:rPr>
        <w:tab/>
      </w:r>
      <w:r w:rsidRPr="003B6E11">
        <w:rPr>
          <w:noProof/>
          <w:color w:val="000000"/>
          <w:lang w:val="cs-CZ"/>
        </w:rPr>
        <w:t>K žádosti se přikládají tyto doklady:</w:t>
      </w:r>
    </w:p>
    <w:p w:rsidR="003B6E11" w:rsidRPr="003B6E11" w:rsidRDefault="003B6E11" w:rsidP="003B6E11">
      <w:pPr>
        <w:spacing w:before="60" w:line="240" w:lineRule="atLeast"/>
        <w:ind w:left="851"/>
        <w:rPr>
          <w:rFonts w:cs="Arial"/>
          <w:noProof/>
          <w:lang w:val="cs-CZ"/>
        </w:rPr>
      </w:pPr>
      <w:r w:rsidRPr="003B6E11">
        <w:rPr>
          <w:lang w:val="cs-CZ"/>
        </w:rPr>
        <w:t>a)</w:t>
      </w:r>
      <w:r w:rsidRPr="003B6E11">
        <w:rPr>
          <w:lang w:val="cs-CZ"/>
        </w:rPr>
        <w:tab/>
        <w:t>dva podrobné technické popisy;</w:t>
      </w:r>
    </w:p>
    <w:p w:rsidR="003B6E11" w:rsidRPr="003B6E11" w:rsidRDefault="003B6E11" w:rsidP="003B6E11">
      <w:pPr>
        <w:spacing w:before="60" w:line="240" w:lineRule="atLeast"/>
        <w:ind w:left="851"/>
        <w:rPr>
          <w:rFonts w:cs="Arial"/>
          <w:noProof/>
          <w:lang w:val="cs-CZ"/>
        </w:rPr>
      </w:pPr>
      <w:r w:rsidRPr="003B6E11">
        <w:rPr>
          <w:lang w:val="cs-CZ"/>
        </w:rPr>
        <w:t>b)</w:t>
      </w:r>
      <w:r w:rsidRPr="003B6E11">
        <w:rPr>
          <w:lang w:val="cs-CZ"/>
        </w:rPr>
        <w:tab/>
        <w:t>dvě úplné sady dokumentace pro montáž a servis;</w:t>
      </w:r>
    </w:p>
    <w:p w:rsidR="003B6E11" w:rsidRPr="003B6E11" w:rsidRDefault="003B6E11" w:rsidP="003B6E11">
      <w:pPr>
        <w:spacing w:before="60" w:line="240" w:lineRule="atLeast"/>
        <w:ind w:left="851"/>
        <w:rPr>
          <w:rFonts w:cs="Arial"/>
          <w:noProof/>
          <w:lang w:val="cs-CZ"/>
        </w:rPr>
      </w:pPr>
      <w:r w:rsidRPr="003B6E11">
        <w:rPr>
          <w:lang w:val="cs-CZ"/>
        </w:rPr>
        <w:t>c)</w:t>
      </w:r>
      <w:r w:rsidRPr="003B6E11">
        <w:rPr>
          <w:lang w:val="cs-CZ"/>
        </w:rPr>
        <w:tab/>
        <w:t xml:space="preserve">dvě podrobné příručky pro obsluhu; </w:t>
      </w:r>
    </w:p>
    <w:p w:rsidR="003B6E11" w:rsidRPr="003B6E11" w:rsidRDefault="003B6E11" w:rsidP="003B6E11">
      <w:pPr>
        <w:spacing w:before="60" w:line="240" w:lineRule="atLeast"/>
        <w:ind w:left="851"/>
        <w:rPr>
          <w:rFonts w:cs="Arial"/>
          <w:noProof/>
          <w:lang w:val="cs-CZ"/>
        </w:rPr>
      </w:pPr>
      <w:r w:rsidRPr="003B6E11">
        <w:rPr>
          <w:lang w:val="cs-CZ"/>
        </w:rPr>
        <w:t>d)</w:t>
      </w:r>
      <w:r w:rsidRPr="003B6E11">
        <w:rPr>
          <w:lang w:val="cs-CZ"/>
        </w:rPr>
        <w:tab/>
        <w:t>dvě stručné příručky pro obsluhu a</w:t>
      </w:r>
    </w:p>
    <w:p w:rsidR="003B6E11" w:rsidRPr="003B6E11" w:rsidRDefault="003B6E11" w:rsidP="003B6E11">
      <w:pPr>
        <w:spacing w:before="60" w:line="240" w:lineRule="atLeast"/>
        <w:ind w:left="851"/>
        <w:rPr>
          <w:rFonts w:cs="Arial"/>
          <w:noProof/>
          <w:lang w:val="cs-CZ"/>
        </w:rPr>
      </w:pPr>
      <w:r w:rsidRPr="003B6E11">
        <w:rPr>
          <w:lang w:val="cs-CZ"/>
        </w:rPr>
        <w:t>e)</w:t>
      </w:r>
      <w:r w:rsidRPr="003B6E11">
        <w:rPr>
          <w:lang w:val="cs-CZ"/>
        </w:rPr>
        <w:tab/>
        <w:t>případně doklad o dříve provedených zkouškách.</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3.</w:t>
      </w:r>
      <w:r w:rsidRPr="003B6E11">
        <w:rPr>
          <w:lang w:val="cs-CZ"/>
        </w:rPr>
        <w:tab/>
      </w:r>
      <w:r w:rsidRPr="003B6E11">
        <w:rPr>
          <w:noProof/>
          <w:color w:val="000000"/>
          <w:lang w:val="cs-CZ"/>
        </w:rPr>
        <w:t>Pokud si žadatel nechce souběžně se schválením typu nechat vystavit prohlášení o shodě podle směrnice 2014/53/EU, musí být společně s žádostí o zkoušku typu předloženo osvědčení o shodě.</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jc w:val="center"/>
        <w:rPr>
          <w:rFonts w:cs="Arial"/>
          <w:b/>
          <w:noProof/>
          <w:lang w:val="cs-CZ"/>
        </w:rPr>
      </w:pPr>
    </w:p>
    <w:p w:rsidR="003B6E11" w:rsidRPr="003B6E11" w:rsidRDefault="003B6E11" w:rsidP="003B6E11">
      <w:pPr>
        <w:spacing w:line="240" w:lineRule="atLeast"/>
        <w:jc w:val="center"/>
        <w:rPr>
          <w:rFonts w:cs="Arial"/>
          <w:i/>
          <w:noProof/>
          <w:lang w:val="cs-CZ"/>
        </w:rPr>
      </w:pPr>
      <w:r w:rsidRPr="003B6E11">
        <w:rPr>
          <w:b/>
          <w:noProof/>
          <w:lang w:val="cs-CZ"/>
        </w:rPr>
        <w:t>Článek 6</w:t>
      </w:r>
      <w:r w:rsidRPr="003B6E11">
        <w:rPr>
          <w:rFonts w:cs="Arial"/>
          <w:b/>
          <w:noProof/>
          <w:lang w:val="cs-CZ"/>
        </w:rPr>
        <w:br/>
      </w:r>
      <w:r w:rsidRPr="003B6E11">
        <w:rPr>
          <w:i/>
          <w:noProof/>
          <w:lang w:val="cs-CZ"/>
        </w:rPr>
        <w:t>Schválení typu</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1.</w:t>
      </w:r>
      <w:r w:rsidRPr="003B6E11">
        <w:rPr>
          <w:lang w:val="cs-CZ"/>
        </w:rPr>
        <w:tab/>
      </w:r>
      <w:r w:rsidRPr="003B6E11">
        <w:rPr>
          <w:noProof/>
          <w:color w:val="000000"/>
          <w:lang w:val="cs-CZ"/>
        </w:rPr>
        <w:t xml:space="preserve">Schválení typu uděluje příslušný orgán na základě osvědčení o zkoušce. </w:t>
      </w:r>
    </w:p>
    <w:p w:rsidR="003B6E11" w:rsidRPr="003B6E11" w:rsidRDefault="003B6E11" w:rsidP="003B6E11">
      <w:pPr>
        <w:ind w:left="851"/>
        <w:rPr>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2.</w:t>
      </w:r>
      <w:r w:rsidRPr="003B6E11">
        <w:rPr>
          <w:lang w:val="cs-CZ"/>
        </w:rPr>
        <w:tab/>
      </w:r>
      <w:r w:rsidRPr="003B6E11">
        <w:rPr>
          <w:noProof/>
          <w:color w:val="000000"/>
          <w:lang w:val="cs-CZ"/>
        </w:rPr>
        <w:t>Příslušný orgán nebo technická zkušebna určená příslušným orgánem je oprávněna kdykoli vybrat z výrobní série zařízení k prohlídce.</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t>Pokud tato prohlídka odhalí na zařízení závady, může být schválení typu odňato.</w:t>
      </w:r>
    </w:p>
    <w:p w:rsidR="003B6E11" w:rsidRPr="003B6E11" w:rsidRDefault="003B6E11" w:rsidP="003B6E11">
      <w:pPr>
        <w:ind w:left="850"/>
        <w:rPr>
          <w:noProof/>
          <w:lang w:val="cs-CZ"/>
        </w:rPr>
      </w:pPr>
    </w:p>
    <w:p w:rsidR="003B6E11" w:rsidRPr="003B6E11" w:rsidRDefault="003B6E11" w:rsidP="003B6E11">
      <w:pPr>
        <w:spacing w:line="240" w:lineRule="atLeast"/>
        <w:ind w:left="426"/>
        <w:rPr>
          <w:noProof/>
          <w:lang w:val="cs-CZ"/>
        </w:rPr>
      </w:pPr>
      <w:r w:rsidRPr="003B6E11">
        <w:rPr>
          <w:lang w:val="cs-CZ"/>
        </w:rPr>
        <w:t>Schválení typu odejme orgán, který je vydal.</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jc w:val="center"/>
        <w:rPr>
          <w:rFonts w:cs="Arial"/>
          <w:i/>
          <w:noProof/>
          <w:lang w:val="cs-CZ"/>
        </w:rPr>
      </w:pPr>
      <w:r w:rsidRPr="003B6E11">
        <w:rPr>
          <w:b/>
          <w:noProof/>
          <w:lang w:val="cs-CZ"/>
        </w:rPr>
        <w:t>Článek 7</w:t>
      </w:r>
      <w:r w:rsidRPr="003B6E11">
        <w:rPr>
          <w:rFonts w:cs="Arial"/>
          <w:b/>
          <w:noProof/>
          <w:lang w:val="cs-CZ"/>
        </w:rPr>
        <w:br/>
      </w:r>
      <w:r w:rsidRPr="003B6E11">
        <w:rPr>
          <w:i/>
          <w:noProof/>
          <w:lang w:val="cs-CZ"/>
        </w:rPr>
        <w:t>Označení zařízení a číslo schválení typu</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1.</w:t>
      </w:r>
      <w:r w:rsidRPr="003B6E11">
        <w:rPr>
          <w:lang w:val="cs-CZ"/>
        </w:rPr>
        <w:tab/>
      </w:r>
      <w:r w:rsidRPr="003B6E11">
        <w:rPr>
          <w:noProof/>
          <w:color w:val="000000"/>
          <w:lang w:val="cs-CZ"/>
        </w:rPr>
        <w:t>Každá součást zařízení musí být neodstranitelným způsobem označena jménem výrobce, obchodním označením zařízení, typem zařízení a sériovým číslem.</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2.</w:t>
      </w:r>
      <w:r w:rsidRPr="003B6E11">
        <w:rPr>
          <w:lang w:val="cs-CZ"/>
        </w:rPr>
        <w:tab/>
      </w:r>
      <w:r w:rsidRPr="003B6E11">
        <w:rPr>
          <w:noProof/>
          <w:color w:val="000000"/>
          <w:lang w:val="cs-CZ"/>
        </w:rPr>
        <w:t>Číslo schválení typu přidělené příslušným orgánem se neodstranitelným způsobem připevní na zobrazovací jednotku tak, aby zůstalo zřetelně viditelné i po montáži zařízení.</w:t>
      </w:r>
    </w:p>
    <w:p w:rsidR="003B6E11" w:rsidRPr="003B6E11" w:rsidRDefault="003B6E11" w:rsidP="003B6E11">
      <w:pPr>
        <w:spacing w:line="240" w:lineRule="atLeast"/>
        <w:ind w:left="426"/>
        <w:rPr>
          <w:noProof/>
          <w:lang w:val="cs-CZ"/>
        </w:rPr>
      </w:pPr>
    </w:p>
    <w:p w:rsidR="003B6E11" w:rsidRPr="003B6E11" w:rsidRDefault="003B6E11" w:rsidP="003B6E11">
      <w:pPr>
        <w:rPr>
          <w:noProof/>
          <w:lang w:val="cs-CZ"/>
        </w:rPr>
      </w:pPr>
      <w:r w:rsidRPr="003B6E11">
        <w:rPr>
          <w:lang w:val="cs-CZ"/>
        </w:rPr>
        <w:br w:type="page"/>
      </w:r>
    </w:p>
    <w:p w:rsidR="003B6E11" w:rsidRPr="003B6E11" w:rsidRDefault="003B6E11" w:rsidP="003B6E11">
      <w:pPr>
        <w:spacing w:line="240" w:lineRule="atLeast"/>
        <w:ind w:left="426"/>
        <w:rPr>
          <w:lang w:val="cs-CZ"/>
        </w:rPr>
      </w:pPr>
      <w:r w:rsidRPr="003B6E11">
        <w:rPr>
          <w:lang w:val="cs-CZ"/>
        </w:rPr>
        <w:t>Složení čísla schválení typu: R-NN-NNN nebo e-NN-NNN</w:t>
      </w:r>
    </w:p>
    <w:p w:rsidR="003B6E11" w:rsidRPr="003B6E11" w:rsidRDefault="003B6E11" w:rsidP="003B6E11">
      <w:pPr>
        <w:tabs>
          <w:tab w:val="left" w:pos="993"/>
        </w:tabs>
        <w:spacing w:before="60" w:line="240" w:lineRule="atLeast"/>
        <w:ind w:left="1418" w:hanging="993"/>
        <w:rPr>
          <w:rFonts w:cs="Arial"/>
          <w:noProof/>
          <w:szCs w:val="20"/>
          <w:lang w:val="cs-CZ"/>
        </w:rPr>
      </w:pPr>
      <w:r w:rsidRPr="003B6E11">
        <w:rPr>
          <w:lang w:val="cs-CZ"/>
        </w:rPr>
        <w:t>R</w:t>
      </w:r>
      <w:r w:rsidRPr="003B6E11">
        <w:rPr>
          <w:lang w:val="cs-CZ"/>
        </w:rPr>
        <w:tab/>
        <w:t>=</w:t>
      </w:r>
      <w:r w:rsidRPr="003B6E11">
        <w:rPr>
          <w:lang w:val="cs-CZ"/>
        </w:rPr>
        <w:tab/>
        <w:t>Rýn</w:t>
      </w:r>
    </w:p>
    <w:p w:rsidR="003B6E11" w:rsidRPr="003B6E11" w:rsidRDefault="003B6E11" w:rsidP="003B6E11">
      <w:pPr>
        <w:tabs>
          <w:tab w:val="left" w:pos="993"/>
        </w:tabs>
        <w:spacing w:before="60" w:line="240" w:lineRule="atLeast"/>
        <w:ind w:left="1418" w:hanging="993"/>
        <w:rPr>
          <w:noProof/>
          <w:lang w:val="cs-CZ"/>
        </w:rPr>
      </w:pPr>
      <w:r w:rsidRPr="003B6E11">
        <w:rPr>
          <w:lang w:val="cs-CZ"/>
        </w:rPr>
        <w:t>e</w:t>
      </w:r>
      <w:r w:rsidRPr="003B6E11">
        <w:rPr>
          <w:lang w:val="cs-CZ"/>
        </w:rPr>
        <w:tab/>
        <w:t>=</w:t>
      </w:r>
      <w:r w:rsidRPr="003B6E11">
        <w:rPr>
          <w:lang w:val="cs-CZ"/>
        </w:rPr>
        <w:tab/>
        <w:t>Evropská unie</w:t>
      </w:r>
    </w:p>
    <w:p w:rsidR="003B6E11" w:rsidRPr="003B6E11" w:rsidRDefault="003B6E11" w:rsidP="003B6E11">
      <w:pPr>
        <w:tabs>
          <w:tab w:val="left" w:pos="993"/>
        </w:tabs>
        <w:spacing w:before="60" w:line="240" w:lineRule="atLeast"/>
        <w:ind w:left="1418" w:hanging="993"/>
        <w:rPr>
          <w:noProof/>
          <w:lang w:val="cs-CZ"/>
        </w:rPr>
      </w:pPr>
      <w:r w:rsidRPr="003B6E11">
        <w:rPr>
          <w:lang w:val="cs-CZ"/>
        </w:rPr>
        <w:t>NN</w:t>
      </w:r>
      <w:r w:rsidRPr="003B6E11">
        <w:rPr>
          <w:lang w:val="cs-CZ"/>
        </w:rPr>
        <w:tab/>
        <w:t>=</w:t>
      </w:r>
      <w:r w:rsidRPr="003B6E11">
        <w:rPr>
          <w:lang w:val="cs-CZ"/>
        </w:rPr>
        <w:tab/>
        <w:t>kód země, která schválení udělila, přičemž:</w:t>
      </w:r>
    </w:p>
    <w:p w:rsidR="003B6E11" w:rsidRPr="003B6E11" w:rsidRDefault="003B6E11" w:rsidP="003B6E11">
      <w:pPr>
        <w:spacing w:line="240" w:lineRule="atLeast"/>
        <w:ind w:left="426"/>
        <w:rPr>
          <w:noProof/>
          <w:lang w:val="cs-CZ"/>
        </w:rPr>
      </w:pPr>
    </w:p>
    <w:tbl>
      <w:tblPr>
        <w:tblW w:w="7587" w:type="dxa"/>
        <w:jc w:val="center"/>
        <w:tblLayout w:type="fixed"/>
        <w:tblLook w:val="0000" w:firstRow="0" w:lastRow="0" w:firstColumn="0" w:lastColumn="0" w:noHBand="0" w:noVBand="0"/>
      </w:tblPr>
      <w:tblGrid>
        <w:gridCol w:w="720"/>
        <w:gridCol w:w="360"/>
        <w:gridCol w:w="3162"/>
        <w:gridCol w:w="724"/>
        <w:gridCol w:w="416"/>
        <w:gridCol w:w="2205"/>
      </w:tblGrid>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01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Německo</w:t>
            </w:r>
          </w:p>
        </w:tc>
        <w:tc>
          <w:tcPr>
            <w:tcW w:w="724" w:type="dxa"/>
          </w:tcPr>
          <w:p w:rsidR="003B6E11" w:rsidRPr="003B6E11" w:rsidRDefault="003B6E11" w:rsidP="002D015D">
            <w:pPr>
              <w:spacing w:before="40" w:after="40" w:line="240" w:lineRule="atLeast"/>
              <w:rPr>
                <w:noProof/>
                <w:szCs w:val="20"/>
                <w:lang w:val="cs-CZ"/>
              </w:rPr>
            </w:pPr>
            <w:r w:rsidRPr="003B6E11">
              <w:rPr>
                <w:lang w:val="cs-CZ"/>
              </w:rPr>
              <w:t>19</w:t>
            </w:r>
          </w:p>
        </w:tc>
        <w:tc>
          <w:tcPr>
            <w:tcW w:w="416" w:type="dxa"/>
          </w:tcPr>
          <w:p w:rsidR="003B6E11" w:rsidRPr="003B6E11" w:rsidRDefault="003B6E11" w:rsidP="002D015D">
            <w:pPr>
              <w:spacing w:before="40" w:after="40" w:line="240" w:lineRule="atLeast"/>
              <w:rPr>
                <w:noProof/>
                <w:szCs w:val="20"/>
                <w:lang w:val="cs-CZ"/>
              </w:rPr>
            </w:pPr>
            <w:r w:rsidRPr="003B6E11">
              <w:rPr>
                <w:lang w:val="cs-CZ"/>
              </w:rPr>
              <w:t>=</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Rumunsko</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02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 xml:space="preserve">Francie </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20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 xml:space="preserve">Polsko </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03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Itálie</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21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 xml:space="preserve">Portugalsko </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04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 xml:space="preserve">Nizozemsko </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23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Řecko</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05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Švédsko</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24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Irsko</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06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 xml:space="preserve">Belgie </w:t>
            </w:r>
          </w:p>
        </w:tc>
        <w:tc>
          <w:tcPr>
            <w:tcW w:w="724" w:type="dxa"/>
            <w:vAlign w:val="center"/>
          </w:tcPr>
          <w:p w:rsidR="003B6E11" w:rsidRPr="003B6E11" w:rsidRDefault="003B6E11" w:rsidP="002D015D">
            <w:pPr>
              <w:spacing w:before="40" w:after="40" w:line="240" w:lineRule="atLeast"/>
              <w:rPr>
                <w:noProof/>
                <w:szCs w:val="20"/>
                <w:lang w:val="cs-CZ"/>
              </w:rPr>
            </w:pPr>
            <w:r w:rsidRPr="003B6E11">
              <w:rPr>
                <w:color w:val="000000"/>
                <w:lang w:val="cs-CZ"/>
              </w:rPr>
              <w:t>25</w:t>
            </w:r>
          </w:p>
        </w:tc>
        <w:tc>
          <w:tcPr>
            <w:tcW w:w="416" w:type="dxa"/>
            <w:vAlign w:val="center"/>
          </w:tcPr>
          <w:p w:rsidR="003B6E11" w:rsidRPr="003B6E11" w:rsidRDefault="003B6E11" w:rsidP="002D015D">
            <w:pPr>
              <w:spacing w:before="40" w:after="40" w:line="240" w:lineRule="atLeast"/>
              <w:rPr>
                <w:noProof/>
                <w:szCs w:val="20"/>
                <w:lang w:val="cs-CZ"/>
              </w:rPr>
            </w:pPr>
            <w:r w:rsidRPr="003B6E11">
              <w:rPr>
                <w:color w:val="000000"/>
                <w:lang w:val="cs-CZ"/>
              </w:rPr>
              <w:t>=</w:t>
            </w:r>
          </w:p>
        </w:tc>
        <w:tc>
          <w:tcPr>
            <w:tcW w:w="2205" w:type="dxa"/>
            <w:vAlign w:val="center"/>
          </w:tcPr>
          <w:p w:rsidR="003B6E11" w:rsidRPr="003B6E11" w:rsidRDefault="003B6E11" w:rsidP="002D015D">
            <w:pPr>
              <w:spacing w:before="40" w:after="40" w:line="240" w:lineRule="atLeast"/>
              <w:rPr>
                <w:noProof/>
                <w:szCs w:val="20"/>
                <w:lang w:val="cs-CZ"/>
              </w:rPr>
            </w:pPr>
            <w:r w:rsidRPr="003B6E11">
              <w:rPr>
                <w:lang w:val="cs-CZ"/>
              </w:rPr>
              <w:t>Chorvatsko</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07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Maďarsko</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26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Slovinsko</w:t>
            </w:r>
          </w:p>
        </w:tc>
      </w:tr>
      <w:tr w:rsidR="003B6E11" w:rsidRPr="003B6E11" w:rsidTr="002D015D">
        <w:trPr>
          <w:jc w:val="center"/>
        </w:trPr>
        <w:tc>
          <w:tcPr>
            <w:tcW w:w="720" w:type="dxa"/>
          </w:tcPr>
          <w:p w:rsidR="003B6E11" w:rsidRPr="003B6E11" w:rsidRDefault="003B6E11" w:rsidP="002D015D">
            <w:pPr>
              <w:spacing w:before="40" w:after="160" w:line="240" w:lineRule="atLeast"/>
              <w:rPr>
                <w:noProof/>
                <w:szCs w:val="20"/>
                <w:lang w:val="cs-CZ"/>
              </w:rPr>
            </w:pPr>
            <w:r w:rsidRPr="003B6E11">
              <w:rPr>
                <w:lang w:val="cs-CZ"/>
              </w:rPr>
              <w:t xml:space="preserve">08 </w:t>
            </w:r>
          </w:p>
        </w:tc>
        <w:tc>
          <w:tcPr>
            <w:tcW w:w="360" w:type="dxa"/>
          </w:tcPr>
          <w:p w:rsidR="003B6E11" w:rsidRPr="003B6E11" w:rsidRDefault="003B6E11" w:rsidP="002D015D">
            <w:pPr>
              <w:spacing w:before="40" w:after="16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160" w:line="240" w:lineRule="atLeast"/>
              <w:rPr>
                <w:noProof/>
                <w:szCs w:val="20"/>
                <w:lang w:val="cs-CZ"/>
              </w:rPr>
            </w:pPr>
            <w:r w:rsidRPr="003B6E11">
              <w:rPr>
                <w:lang w:val="cs-CZ"/>
              </w:rPr>
              <w:t>Česká republika</w:t>
            </w:r>
          </w:p>
        </w:tc>
        <w:tc>
          <w:tcPr>
            <w:tcW w:w="724" w:type="dxa"/>
          </w:tcPr>
          <w:p w:rsidR="003B6E11" w:rsidRPr="003B6E11" w:rsidRDefault="003B6E11" w:rsidP="002D015D">
            <w:pPr>
              <w:spacing w:before="40" w:after="160" w:line="240" w:lineRule="atLeast"/>
              <w:rPr>
                <w:noProof/>
                <w:szCs w:val="20"/>
                <w:lang w:val="cs-CZ"/>
              </w:rPr>
            </w:pPr>
            <w:r w:rsidRPr="003B6E11">
              <w:rPr>
                <w:lang w:val="cs-CZ"/>
              </w:rPr>
              <w:t xml:space="preserve">27 </w:t>
            </w:r>
          </w:p>
        </w:tc>
        <w:tc>
          <w:tcPr>
            <w:tcW w:w="416" w:type="dxa"/>
          </w:tcPr>
          <w:p w:rsidR="003B6E11" w:rsidRPr="003B6E11" w:rsidRDefault="003B6E11" w:rsidP="002D015D">
            <w:pPr>
              <w:spacing w:before="40" w:after="16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160" w:line="240" w:lineRule="atLeast"/>
              <w:rPr>
                <w:noProof/>
                <w:szCs w:val="20"/>
                <w:lang w:val="cs-CZ"/>
              </w:rPr>
            </w:pPr>
            <w:r w:rsidRPr="003B6E11">
              <w:rPr>
                <w:lang w:val="cs-CZ"/>
              </w:rPr>
              <w:t>Slovensko</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09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 xml:space="preserve">Španělsko </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29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Estonsko</w:t>
            </w:r>
          </w:p>
        </w:tc>
      </w:tr>
    </w:tbl>
    <w:p w:rsidR="003B6E11" w:rsidRPr="003B6E11" w:rsidRDefault="003B6E11" w:rsidP="003B6E11">
      <w:pPr>
        <w:rPr>
          <w:lang w:val="cs-CZ"/>
        </w:rPr>
      </w:pPr>
    </w:p>
    <w:tbl>
      <w:tblPr>
        <w:tblW w:w="7587" w:type="dxa"/>
        <w:jc w:val="center"/>
        <w:tblLayout w:type="fixed"/>
        <w:tblLook w:val="0000" w:firstRow="0" w:lastRow="0" w:firstColumn="0" w:lastColumn="0" w:noHBand="0" w:noVBand="0"/>
      </w:tblPr>
      <w:tblGrid>
        <w:gridCol w:w="720"/>
        <w:gridCol w:w="360"/>
        <w:gridCol w:w="3162"/>
        <w:gridCol w:w="724"/>
        <w:gridCol w:w="416"/>
        <w:gridCol w:w="2205"/>
      </w:tblGrid>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11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Spojené království</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32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Lotyšsko</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12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Rakousko</w:t>
            </w:r>
          </w:p>
        </w:tc>
        <w:tc>
          <w:tcPr>
            <w:tcW w:w="724" w:type="dxa"/>
          </w:tcPr>
          <w:p w:rsidR="003B6E11" w:rsidRPr="003B6E11" w:rsidRDefault="003B6E11" w:rsidP="002D015D">
            <w:pPr>
              <w:spacing w:before="40" w:after="40" w:line="240" w:lineRule="atLeast"/>
              <w:rPr>
                <w:noProof/>
                <w:szCs w:val="20"/>
                <w:lang w:val="cs-CZ"/>
              </w:rPr>
            </w:pPr>
            <w:r w:rsidRPr="003B6E11">
              <w:rPr>
                <w:lang w:val="cs-CZ"/>
              </w:rPr>
              <w:t>34</w:t>
            </w:r>
          </w:p>
        </w:tc>
        <w:tc>
          <w:tcPr>
            <w:tcW w:w="416" w:type="dxa"/>
          </w:tcPr>
          <w:p w:rsidR="003B6E11" w:rsidRPr="003B6E11" w:rsidRDefault="003B6E11" w:rsidP="002D015D">
            <w:pPr>
              <w:spacing w:before="40" w:after="40" w:line="240" w:lineRule="atLeast"/>
              <w:rPr>
                <w:noProof/>
                <w:szCs w:val="20"/>
                <w:lang w:val="cs-CZ"/>
              </w:rPr>
            </w:pPr>
            <w:r w:rsidRPr="003B6E11">
              <w:rPr>
                <w:lang w:val="cs-CZ"/>
              </w:rPr>
              <w:t>=</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Bulharsko</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13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 xml:space="preserve">Lucembursko </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36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Litva</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14</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Švýcarsko</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49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Kypr</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17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Finsko</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50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Malta</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18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 xml:space="preserve">Dánsko </w:t>
            </w:r>
          </w:p>
        </w:tc>
        <w:tc>
          <w:tcPr>
            <w:tcW w:w="724" w:type="dxa"/>
          </w:tcPr>
          <w:p w:rsidR="003B6E11" w:rsidRPr="003B6E11" w:rsidRDefault="003B6E11" w:rsidP="002D015D">
            <w:pPr>
              <w:spacing w:before="40" w:after="40" w:line="240" w:lineRule="atLeast"/>
              <w:rPr>
                <w:noProof/>
                <w:szCs w:val="20"/>
                <w:lang w:val="cs-CZ"/>
              </w:rPr>
            </w:pPr>
          </w:p>
        </w:tc>
        <w:tc>
          <w:tcPr>
            <w:tcW w:w="416" w:type="dxa"/>
          </w:tcPr>
          <w:p w:rsidR="003B6E11" w:rsidRPr="003B6E11" w:rsidRDefault="003B6E11" w:rsidP="002D015D">
            <w:pPr>
              <w:spacing w:before="40" w:after="40" w:line="240" w:lineRule="atLeast"/>
              <w:rPr>
                <w:noProof/>
                <w:szCs w:val="20"/>
                <w:lang w:val="cs-CZ"/>
              </w:rPr>
            </w:pPr>
          </w:p>
        </w:tc>
        <w:tc>
          <w:tcPr>
            <w:tcW w:w="2205" w:type="dxa"/>
          </w:tcPr>
          <w:p w:rsidR="003B6E11" w:rsidRPr="003B6E11" w:rsidRDefault="003B6E11" w:rsidP="002D015D">
            <w:pPr>
              <w:spacing w:before="40" w:after="40" w:line="240" w:lineRule="atLeast"/>
              <w:rPr>
                <w:noProof/>
                <w:szCs w:val="20"/>
                <w:lang w:val="cs-CZ"/>
              </w:rPr>
            </w:pPr>
          </w:p>
        </w:tc>
      </w:tr>
    </w:tbl>
    <w:p w:rsidR="003B6E11" w:rsidRPr="003B6E11" w:rsidRDefault="003B6E11" w:rsidP="003B6E11">
      <w:pPr>
        <w:tabs>
          <w:tab w:val="left" w:pos="993"/>
        </w:tabs>
        <w:spacing w:line="240" w:lineRule="atLeast"/>
        <w:ind w:left="1418" w:hanging="992"/>
        <w:rPr>
          <w:noProof/>
          <w:lang w:val="cs-CZ"/>
        </w:rPr>
      </w:pPr>
    </w:p>
    <w:p w:rsidR="003B6E11" w:rsidRPr="003B6E11" w:rsidRDefault="003B6E11" w:rsidP="003B6E11">
      <w:pPr>
        <w:tabs>
          <w:tab w:val="left" w:pos="993"/>
        </w:tabs>
        <w:spacing w:line="240" w:lineRule="atLeast"/>
        <w:ind w:left="1418" w:hanging="992"/>
        <w:rPr>
          <w:noProof/>
          <w:lang w:val="cs-CZ"/>
        </w:rPr>
      </w:pPr>
      <w:r w:rsidRPr="003B6E11">
        <w:rPr>
          <w:lang w:val="cs-CZ"/>
        </w:rPr>
        <w:t>NNN</w:t>
      </w:r>
      <w:r w:rsidRPr="003B6E11">
        <w:rPr>
          <w:lang w:val="cs-CZ"/>
        </w:rPr>
        <w:tab/>
        <w:t>=</w:t>
      </w:r>
      <w:r w:rsidRPr="003B6E11">
        <w:rPr>
          <w:lang w:val="cs-CZ"/>
        </w:rPr>
        <w:tab/>
        <w:t>třímístné číslo, které určí příslušný orgán.</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3.</w:t>
      </w:r>
      <w:r w:rsidRPr="003B6E11">
        <w:rPr>
          <w:lang w:val="cs-CZ"/>
        </w:rPr>
        <w:tab/>
      </w:r>
      <w:r w:rsidRPr="003B6E11">
        <w:rPr>
          <w:noProof/>
          <w:color w:val="000000"/>
          <w:lang w:val="cs-CZ"/>
        </w:rPr>
        <w:t xml:space="preserve">Číslo schválení typu se používá pouze ve spojení s příslušným schválením typu. </w:t>
      </w:r>
    </w:p>
    <w:p w:rsidR="003B6E11" w:rsidRPr="003B6E11" w:rsidRDefault="003B6E11" w:rsidP="003B6E11">
      <w:pPr>
        <w:spacing w:line="240" w:lineRule="atLeast"/>
        <w:ind w:left="426"/>
        <w:rPr>
          <w:noProof/>
          <w:lang w:val="cs-CZ"/>
        </w:rPr>
      </w:pPr>
      <w:r w:rsidRPr="003B6E11">
        <w:rPr>
          <w:lang w:val="cs-CZ"/>
        </w:rPr>
        <w:t>Za zhotovení a připevnění čísla schválení typu odpovídá žadatel.</w:t>
      </w:r>
    </w:p>
    <w:p w:rsidR="003B6E11" w:rsidRPr="003B6E11" w:rsidRDefault="003B6E11" w:rsidP="003B6E11">
      <w:pPr>
        <w:tabs>
          <w:tab w:val="left" w:leader="dot" w:pos="9072"/>
        </w:tabs>
        <w:spacing w:line="240" w:lineRule="atLeast"/>
        <w:rPr>
          <w:rFonts w:cs="Arial"/>
          <w:lang w:val="cs-CZ"/>
        </w:rPr>
      </w:pPr>
    </w:p>
    <w:p w:rsidR="003B6E11" w:rsidRPr="003B6E11" w:rsidRDefault="003B6E11" w:rsidP="003B6E11">
      <w:pPr>
        <w:tabs>
          <w:tab w:val="left" w:leader="dot" w:pos="9072"/>
        </w:tabs>
        <w:spacing w:line="240" w:lineRule="atLeast"/>
        <w:rPr>
          <w:rFonts w:cs="Arial"/>
          <w:lang w:val="cs-CZ"/>
        </w:rPr>
      </w:pPr>
    </w:p>
    <w:p w:rsidR="003B6E11" w:rsidRPr="003B6E11" w:rsidRDefault="003B6E11" w:rsidP="003B6E11">
      <w:pPr>
        <w:spacing w:line="240" w:lineRule="atLeast"/>
        <w:jc w:val="center"/>
        <w:rPr>
          <w:rFonts w:cs="Arial"/>
          <w:i/>
          <w:noProof/>
          <w:lang w:val="cs-CZ"/>
        </w:rPr>
      </w:pPr>
      <w:r w:rsidRPr="003B6E11">
        <w:rPr>
          <w:b/>
          <w:noProof/>
          <w:lang w:val="cs-CZ"/>
        </w:rPr>
        <w:t>Článek 8</w:t>
      </w:r>
      <w:r w:rsidRPr="003B6E11">
        <w:rPr>
          <w:rFonts w:cs="Arial"/>
          <w:b/>
          <w:noProof/>
          <w:lang w:val="cs-CZ"/>
        </w:rPr>
        <w:br/>
      </w:r>
      <w:r w:rsidRPr="003B6E11">
        <w:rPr>
          <w:i/>
          <w:noProof/>
          <w:lang w:val="cs-CZ"/>
        </w:rPr>
        <w:t>Prohlášení výrobce</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noProof/>
          <w:lang w:val="cs-CZ"/>
        </w:rPr>
      </w:pPr>
      <w:r w:rsidRPr="003B6E11">
        <w:rPr>
          <w:lang w:val="cs-CZ"/>
        </w:rPr>
        <w:t>Ke každému zařízení musí být přiloženo prohlášení výrobce.</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jc w:val="center"/>
        <w:rPr>
          <w:rFonts w:cs="Arial"/>
          <w:i/>
          <w:noProof/>
          <w:lang w:val="cs-CZ"/>
        </w:rPr>
      </w:pPr>
      <w:r w:rsidRPr="003B6E11">
        <w:rPr>
          <w:b/>
          <w:noProof/>
          <w:lang w:val="cs-CZ"/>
        </w:rPr>
        <w:t>Článek 9</w:t>
      </w:r>
      <w:r w:rsidRPr="003B6E11">
        <w:rPr>
          <w:rFonts w:cs="Arial"/>
          <w:b/>
          <w:noProof/>
          <w:lang w:val="cs-CZ"/>
        </w:rPr>
        <w:br/>
      </w:r>
      <w:r w:rsidRPr="003B6E11">
        <w:rPr>
          <w:i/>
          <w:noProof/>
          <w:lang w:val="cs-CZ"/>
        </w:rPr>
        <w:t>Úpravy schváleného typu zařízení</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1.</w:t>
      </w:r>
      <w:r w:rsidRPr="003B6E11">
        <w:rPr>
          <w:lang w:val="cs-CZ"/>
        </w:rPr>
        <w:tab/>
      </w:r>
      <w:r w:rsidRPr="003B6E11">
        <w:rPr>
          <w:noProof/>
          <w:color w:val="000000"/>
          <w:lang w:val="cs-CZ"/>
        </w:rPr>
        <w:t xml:space="preserve">Jakákoli úprava již schváleného zařízení vede ke zrušení uděleného schválení typu. </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t>V případě plánovaných úprav se podrobné informace o těchto úpravách poskytnou v písemné podobě příslušné technické zkušebně.</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2.</w:t>
      </w:r>
      <w:r w:rsidRPr="003B6E11">
        <w:rPr>
          <w:lang w:val="cs-CZ"/>
        </w:rPr>
        <w:tab/>
      </w:r>
      <w:r w:rsidRPr="003B6E11">
        <w:rPr>
          <w:noProof/>
          <w:color w:val="000000"/>
          <w:lang w:val="cs-CZ"/>
        </w:rPr>
        <w:t>Příslušný orgán po konzultaci s technickou zkušebnou rozhodne, zda schválení typu nadále platí, nebo zda je nutná prohlídka nebo nová zkouška typu.</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t>Je-li provedena nová zkouška typu, přidělí se nové číslo schválení typu.</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br w:type="page"/>
      </w:r>
    </w:p>
    <w:p w:rsidR="003B6E11" w:rsidRPr="003B6E11" w:rsidRDefault="003B6E11" w:rsidP="003B6E11">
      <w:pPr>
        <w:spacing w:line="240" w:lineRule="atLeast"/>
        <w:ind w:left="426"/>
        <w:rPr>
          <w:noProof/>
          <w:lang w:val="cs-CZ"/>
        </w:rPr>
      </w:pPr>
    </w:p>
    <w:p w:rsidR="003B6E11" w:rsidRPr="003B6E11" w:rsidRDefault="003B6E11" w:rsidP="003B6E11">
      <w:pPr>
        <w:overflowPunct w:val="0"/>
        <w:adjustRightInd w:val="0"/>
        <w:spacing w:line="240" w:lineRule="atLeast"/>
        <w:jc w:val="center"/>
        <w:textAlignment w:val="baseline"/>
        <w:rPr>
          <w:rFonts w:cs="Arial"/>
          <w:b/>
          <w:bCs/>
          <w:noProof/>
          <w:lang w:val="cs-CZ"/>
        </w:rPr>
      </w:pPr>
      <w:r w:rsidRPr="003B6E11">
        <w:rPr>
          <w:b/>
          <w:noProof/>
          <w:lang w:val="cs-CZ"/>
        </w:rPr>
        <w:t>Dodatek</w:t>
      </w:r>
    </w:p>
    <w:p w:rsidR="003B6E11" w:rsidRPr="003B6E11" w:rsidRDefault="003B6E11" w:rsidP="003B6E11">
      <w:pPr>
        <w:tabs>
          <w:tab w:val="left" w:pos="0"/>
        </w:tabs>
        <w:suppressAutoHyphens/>
        <w:spacing w:line="240" w:lineRule="atLeast"/>
        <w:ind w:left="1276" w:hanging="992"/>
        <w:jc w:val="center"/>
        <w:rPr>
          <w:b/>
          <w:szCs w:val="20"/>
          <w:lang w:val="cs-CZ"/>
        </w:rPr>
      </w:pPr>
      <w:r w:rsidRPr="003B6E11">
        <w:rPr>
          <w:b/>
          <w:lang w:val="cs-CZ"/>
        </w:rPr>
        <w:t>Obrázek 1:</w:t>
      </w:r>
      <w:r w:rsidRPr="003B6E11">
        <w:rPr>
          <w:lang w:val="cs-CZ"/>
        </w:rPr>
        <w:tab/>
      </w:r>
      <w:r w:rsidRPr="003B6E11">
        <w:rPr>
          <w:b/>
          <w:lang w:val="cs-CZ"/>
        </w:rPr>
        <w:t>Vnitrozemský ECDIS, samostatné zařízení připojené k radaru (systémová konfigurace 2)</w:t>
      </w:r>
    </w:p>
    <w:p w:rsidR="003B6E11" w:rsidRPr="003B6E11" w:rsidRDefault="003B6E11" w:rsidP="003B6E11">
      <w:pPr>
        <w:tabs>
          <w:tab w:val="left" w:pos="0"/>
        </w:tabs>
        <w:suppressAutoHyphens/>
        <w:spacing w:line="240" w:lineRule="atLeast"/>
        <w:ind w:left="993" w:hanging="709"/>
        <w:rPr>
          <w:b/>
          <w:i/>
          <w:sz w:val="18"/>
          <w:lang w:val="cs-CZ"/>
        </w:rPr>
      </w:pPr>
    </w:p>
    <w:p w:rsidR="003B6E11" w:rsidRPr="003B6E11" w:rsidRDefault="003B6E11" w:rsidP="003B6E11">
      <w:pPr>
        <w:tabs>
          <w:tab w:val="left" w:pos="0"/>
        </w:tabs>
        <w:suppressAutoHyphens/>
        <w:spacing w:line="240" w:lineRule="atLeast"/>
        <w:ind w:left="993" w:hanging="709"/>
        <w:rPr>
          <w:b/>
          <w:i/>
          <w:sz w:val="18"/>
          <w:lang w:val="cs-CZ"/>
        </w:rPr>
      </w:pPr>
      <w:r w:rsidRPr="003B6E11">
        <w:rPr>
          <w:noProof/>
          <w:lang w:eastAsia="en-GB"/>
        </w:rPr>
        <mc:AlternateContent>
          <mc:Choice Requires="wps">
            <w:drawing>
              <wp:anchor distT="0" distB="0" distL="114300" distR="114300" simplePos="0" relativeHeight="251680768" behindDoc="0" locked="0" layoutInCell="1" allowOverlap="1" wp14:anchorId="209A250F" wp14:editId="548C869E">
                <wp:simplePos x="0" y="0"/>
                <wp:positionH relativeFrom="column">
                  <wp:posOffset>252095</wp:posOffset>
                </wp:positionH>
                <wp:positionV relativeFrom="paragraph">
                  <wp:posOffset>130175</wp:posOffset>
                </wp:positionV>
                <wp:extent cx="2333625" cy="3438525"/>
                <wp:effectExtent l="0" t="0" r="28575" b="2857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438525"/>
                        </a:xfrm>
                        <a:prstGeom prst="rect">
                          <a:avLst/>
                        </a:prstGeom>
                        <a:noFill/>
                        <a:ln w="25400">
                          <a:solidFill>
                            <a:srgbClr val="F79646"/>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9.85pt;margin-top:10.25pt;width:183.75pt;height:27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" filled="f" strokecolor="#f79646" strokeweight="2pt">
                <v:stroke dashstyle="dash"/>
              </v:rect>
            </w:pict>
          </mc:Fallback>
        </mc:AlternateContent>
      </w:r>
      <w:r w:rsidRPr="003B6E11">
        <w:rPr>
          <w:b/>
          <w:i/>
          <w:noProof/>
          <w:sz w:val="18"/>
          <w:lang w:eastAsia="en-GB"/>
        </w:rPr>
        <w:drawing>
          <wp:inline distT="0" distB="0" distL="0" distR="0" wp14:anchorId="2E1530E5" wp14:editId="7E017E54">
            <wp:extent cx="5362575" cy="3913309"/>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67317" cy="3916769"/>
                    </a:xfrm>
                    <a:prstGeom prst="rect">
                      <a:avLst/>
                    </a:prstGeom>
                    <a:noFill/>
                  </pic:spPr>
                </pic:pic>
              </a:graphicData>
            </a:graphic>
          </wp:inline>
        </w:drawing>
      </w:r>
    </w:p>
    <w:p w:rsidR="003B6E11" w:rsidRPr="003B6E11" w:rsidRDefault="003B6E11" w:rsidP="003B6E11">
      <w:pPr>
        <w:tabs>
          <w:tab w:val="left" w:pos="0"/>
        </w:tabs>
        <w:suppressAutoHyphens/>
        <w:spacing w:line="240" w:lineRule="atLeast"/>
        <w:ind w:left="1276" w:hanging="992"/>
        <w:rPr>
          <w:b/>
          <w:szCs w:val="20"/>
          <w:lang w:val="cs-CZ"/>
        </w:rPr>
      </w:pPr>
      <w:r w:rsidRPr="003B6E11">
        <w:rPr>
          <w:b/>
          <w:lang w:val="cs-CZ"/>
        </w:rPr>
        <w:t>Obrázek 2:</w:t>
      </w:r>
      <w:r w:rsidRPr="003B6E11">
        <w:rPr>
          <w:lang w:val="cs-CZ"/>
        </w:rPr>
        <w:tab/>
      </w:r>
      <w:r w:rsidRPr="003B6E11">
        <w:rPr>
          <w:b/>
          <w:lang w:val="cs-CZ"/>
        </w:rPr>
        <w:t>Vnitrozemský ECDIS, samostatné zařízení připojené k radaru (systémová konfigurace 3)</w:t>
      </w:r>
    </w:p>
    <w:p w:rsidR="003B6E11" w:rsidRPr="003B6E11" w:rsidRDefault="003B6E11" w:rsidP="003B6E11">
      <w:pPr>
        <w:tabs>
          <w:tab w:val="left" w:pos="0"/>
        </w:tabs>
        <w:suppressAutoHyphens/>
        <w:spacing w:line="240" w:lineRule="atLeast"/>
        <w:ind w:left="1276" w:hanging="992"/>
        <w:rPr>
          <w:b/>
          <w:i/>
          <w:sz w:val="18"/>
          <w:lang w:val="cs-CZ"/>
        </w:rPr>
      </w:pPr>
    </w:p>
    <w:p w:rsidR="003B6E11" w:rsidRPr="003B6E11" w:rsidRDefault="003B6E11" w:rsidP="003B6E11">
      <w:pPr>
        <w:tabs>
          <w:tab w:val="left" w:pos="0"/>
        </w:tabs>
        <w:suppressAutoHyphens/>
        <w:spacing w:line="240" w:lineRule="atLeast"/>
        <w:ind w:left="993" w:hanging="709"/>
        <w:rPr>
          <w:rFonts w:cs="Arial"/>
          <w:b/>
          <w:i/>
          <w:sz w:val="18"/>
          <w:szCs w:val="18"/>
          <w:lang w:val="cs-CZ"/>
        </w:rPr>
      </w:pPr>
      <w:r w:rsidRPr="003B6E11">
        <w:rPr>
          <w:noProof/>
          <w:lang w:eastAsia="en-GB"/>
        </w:rPr>
        <mc:AlternateContent>
          <mc:Choice Requires="wps">
            <w:drawing>
              <wp:anchor distT="0" distB="0" distL="114300" distR="114300" simplePos="0" relativeHeight="251681792" behindDoc="0" locked="0" layoutInCell="1" allowOverlap="1" wp14:anchorId="1A58651D" wp14:editId="4C2BC21B">
                <wp:simplePos x="0" y="0"/>
                <wp:positionH relativeFrom="column">
                  <wp:posOffset>213995</wp:posOffset>
                </wp:positionH>
                <wp:positionV relativeFrom="paragraph">
                  <wp:posOffset>84455</wp:posOffset>
                </wp:positionV>
                <wp:extent cx="2133600" cy="2867025"/>
                <wp:effectExtent l="0" t="0" r="19050" b="28575"/>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2867025"/>
                        </a:xfrm>
                        <a:custGeom>
                          <a:avLst/>
                          <a:gdLst>
                            <a:gd name="T0" fmla="*/ 0 w 2019300"/>
                            <a:gd name="T1" fmla="*/ 1466850 h 2867025"/>
                            <a:gd name="T2" fmla="*/ 0 w 2019300"/>
                            <a:gd name="T3" fmla="*/ 0 h 2867025"/>
                            <a:gd name="T4" fmla="*/ 781050 w 2019300"/>
                            <a:gd name="T5" fmla="*/ 0 h 2867025"/>
                            <a:gd name="T6" fmla="*/ 771525 w 2019300"/>
                            <a:gd name="T7" fmla="*/ 1457325 h 2867025"/>
                            <a:gd name="T8" fmla="*/ 2019300 w 2019300"/>
                            <a:gd name="T9" fmla="*/ 1466850 h 2867025"/>
                            <a:gd name="T10" fmla="*/ 2019300 w 2019300"/>
                            <a:gd name="T11" fmla="*/ 2867025 h 2867025"/>
                            <a:gd name="T12" fmla="*/ 0 w 2019300"/>
                            <a:gd name="T13" fmla="*/ 2867025 h 2867025"/>
                            <a:gd name="T14" fmla="*/ 0 w 2019300"/>
                            <a:gd name="T15" fmla="*/ 1466850 h 286702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19300" h="2867025">
                              <a:moveTo>
                                <a:pt x="0" y="1466850"/>
                              </a:moveTo>
                              <a:lnTo>
                                <a:pt x="0" y="0"/>
                              </a:lnTo>
                              <a:lnTo>
                                <a:pt x="781050" y="0"/>
                              </a:lnTo>
                              <a:lnTo>
                                <a:pt x="771525" y="1457325"/>
                              </a:lnTo>
                              <a:lnTo>
                                <a:pt x="2019300" y="1466850"/>
                              </a:lnTo>
                              <a:lnTo>
                                <a:pt x="2019300" y="2867025"/>
                              </a:lnTo>
                              <a:lnTo>
                                <a:pt x="0" y="2867025"/>
                              </a:lnTo>
                              <a:lnTo>
                                <a:pt x="0" y="1466850"/>
                              </a:lnTo>
                              <a:close/>
                            </a:path>
                          </a:pathLst>
                        </a:custGeom>
                        <a:noFill/>
                        <a:ln w="25400">
                          <a:solidFill>
                            <a:srgbClr val="F7964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ectangle 5" o:spid="_x0000_s1026" style="position:absolute;margin-left:16.85pt;margin-top:6.65pt;width:168pt;height:22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30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" path="m,1466850l,,781050,r-9525,1457325l2019300,1466850r,1400175l,2867025,,1466850xe" filled="f" strokecolor="#f79646" strokeweight="2pt">
                <v:stroke dashstyle="dash"/>
                <v:path arrowok="t" o:connecttype="custom" o:connectlocs="0,1466850;0,0;825260,0;815196,1457325;2133600,1466850;2133600,2867025;0,2867025;0,1466850" o:connectangles="0,0,0,0,0,0,0,0"/>
              </v:shape>
            </w:pict>
          </mc:Fallback>
        </mc:AlternateContent>
      </w:r>
      <w:r w:rsidRPr="003B6E11">
        <w:rPr>
          <w:rFonts w:cs="Arial"/>
          <w:b/>
          <w:i/>
          <w:noProof/>
          <w:sz w:val="18"/>
          <w:szCs w:val="18"/>
          <w:lang w:eastAsia="en-GB"/>
        </w:rPr>
        <w:drawing>
          <wp:inline distT="0" distB="0" distL="0" distR="0" wp14:anchorId="45C264F8" wp14:editId="4DA84BCB">
            <wp:extent cx="5362575" cy="3005907"/>
            <wp:effectExtent l="0" t="0" r="0" b="4445"/>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62939" cy="3006111"/>
                    </a:xfrm>
                    <a:prstGeom prst="rect">
                      <a:avLst/>
                    </a:prstGeom>
                    <a:noFill/>
                  </pic:spPr>
                </pic:pic>
              </a:graphicData>
            </a:graphic>
          </wp:inline>
        </w:drawing>
      </w:r>
    </w:p>
    <w:p w:rsidR="003B6E11" w:rsidRPr="003B6E11" w:rsidRDefault="003B6E11" w:rsidP="003B6E11">
      <w:pPr>
        <w:adjustRightInd w:val="0"/>
        <w:spacing w:line="240" w:lineRule="atLeast"/>
        <w:jc w:val="center"/>
        <w:rPr>
          <w:rFonts w:ascii="Times New Roman" w:hAnsi="Times New Roman"/>
          <w:sz w:val="24"/>
          <w:lang w:val="cs-CZ"/>
        </w:rPr>
      </w:pPr>
      <w:r w:rsidRPr="003B6E11">
        <w:rPr>
          <w:noProof/>
          <w:lang w:eastAsia="en-GB"/>
        </w:rPr>
        <mc:AlternateContent>
          <mc:Choice Requires="wps">
            <w:drawing>
              <wp:anchor distT="0" distB="0" distL="114300" distR="114300" simplePos="0" relativeHeight="251679744" behindDoc="0" locked="0" layoutInCell="1" allowOverlap="1" wp14:anchorId="4C709272" wp14:editId="15AF083E">
                <wp:simplePos x="0" y="0"/>
                <wp:positionH relativeFrom="column">
                  <wp:posOffset>194723</wp:posOffset>
                </wp:positionH>
                <wp:positionV relativeFrom="paragraph">
                  <wp:posOffset>128963</wp:posOffset>
                </wp:positionV>
                <wp:extent cx="2154866" cy="520995"/>
                <wp:effectExtent l="0" t="0" r="17145" b="12700"/>
                <wp:wrapNone/>
                <wp:docPr id="29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66" cy="520995"/>
                        </a:xfrm>
                        <a:prstGeom prst="rect">
                          <a:avLst/>
                        </a:prstGeom>
                        <a:noFill/>
                        <a:ln w="25400">
                          <a:solidFill>
                            <a:srgbClr val="F79646"/>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2D015D" w:rsidRPr="00CC14C6" w:rsidRDefault="002D015D" w:rsidP="003B6E11">
                            <w:pPr>
                              <w:rPr>
                                <w:szCs w:val="20"/>
                              </w:rPr>
                            </w:pPr>
                            <w:r>
                              <w:rPr>
                                <w:sz w:val="16"/>
                              </w:rPr>
                              <w:t>hardware zařízení</w:t>
                            </w:r>
                            <w:r>
                              <w:t xml:space="preserve"> </w:t>
                            </w:r>
                            <w:r w:rsidRPr="00DC4A56">
                              <w:t>pro vnitrozemský AIS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left:0;text-align:left;margin-left:15.35pt;margin-top:10.15pt;width:169.65pt;height: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" filled="f" strokecolor="#f79646" strokeweight="2pt">
                <v:stroke dashstyle="dash"/>
                <v:textbox>
                  <w:txbxContent>
                    <w:p w:rsidR="002D015D" w:rsidRPr="00CC14C6" w:rsidRDefault="002D015D" w:rsidP="003B6E11">
                      <w:pPr>
                        <w:rPr>
                          <w:szCs w:val="20"/>
                        </w:rPr>
                      </w:pPr>
                      <w:r>
                        <w:rPr>
                          <w:sz w:val="16"/>
                        </w:rPr>
                        <w:t>hardware zařízení</w:t>
                      </w:r>
                      <w:r>
                        <w:t xml:space="preserve"> </w:t>
                      </w:r>
                      <w:r w:rsidRPr="00DC4A56">
                        <w:t>pro vnitrozemský AIS</w:t>
                      </w:r>
                    </w:p>
                  </w:txbxContent>
                </v:textbox>
              </v:rect>
            </w:pict>
          </mc:Fallback>
        </mc:AlternateContent>
      </w:r>
    </w:p>
    <w:p w:rsidR="003B6E11" w:rsidRPr="003B6E11" w:rsidRDefault="003B6E11" w:rsidP="003B6E11">
      <w:pPr>
        <w:tabs>
          <w:tab w:val="left" w:pos="1985"/>
        </w:tabs>
        <w:suppressAutoHyphens/>
        <w:spacing w:line="240" w:lineRule="atLeast"/>
        <w:ind w:left="1985" w:hanging="1276"/>
        <w:rPr>
          <w:rFonts w:ascii="Times New Roman" w:hAnsi="Times New Roman"/>
          <w:sz w:val="24"/>
          <w:lang w:val="cs-CZ"/>
        </w:rPr>
      </w:pPr>
    </w:p>
    <w:p w:rsidR="003B6E11" w:rsidRPr="003B6E11" w:rsidRDefault="003B6E11" w:rsidP="003B6E11">
      <w:pPr>
        <w:spacing w:line="240" w:lineRule="atLeast"/>
        <w:ind w:left="851"/>
        <w:rPr>
          <w:rFonts w:cs="Arial"/>
          <w:bCs/>
          <w:i/>
          <w:lang w:val="cs-CZ"/>
        </w:rPr>
      </w:pPr>
    </w:p>
    <w:p w:rsidR="003B6E11" w:rsidRPr="003B6E11" w:rsidRDefault="003B6E11" w:rsidP="003B6E11">
      <w:pPr>
        <w:rPr>
          <w:rFonts w:cs="Arial"/>
          <w:b/>
          <w:bCs/>
          <w:szCs w:val="20"/>
          <w:lang w:val="cs-CZ"/>
        </w:rPr>
      </w:pPr>
      <w:r w:rsidRPr="003B6E11">
        <w:rPr>
          <w:lang w:val="cs-CZ"/>
        </w:rPr>
        <w:br w:type="page"/>
      </w:r>
    </w:p>
    <w:p w:rsidR="003B6E11" w:rsidRPr="003B6E11" w:rsidRDefault="003B6E11" w:rsidP="003B6E11">
      <w:pPr>
        <w:tabs>
          <w:tab w:val="right" w:pos="9072"/>
        </w:tabs>
        <w:overflowPunct w:val="0"/>
        <w:adjustRightInd w:val="0"/>
        <w:spacing w:line="240" w:lineRule="atLeast"/>
        <w:textAlignment w:val="baseline"/>
        <w:rPr>
          <w:rFonts w:cs="Arial"/>
          <w:b/>
          <w:bCs/>
          <w:szCs w:val="20"/>
          <w:lang w:val="cs-CZ"/>
        </w:rPr>
      </w:pPr>
    </w:p>
    <w:p w:rsidR="003B6E11" w:rsidRPr="003B6E11" w:rsidRDefault="003B6E11" w:rsidP="003B6E11">
      <w:pPr>
        <w:pStyle w:val="ES-Titre3"/>
        <w:rPr>
          <w:noProof/>
          <w:lang w:val="cs-CZ"/>
        </w:rPr>
      </w:pPr>
      <w:bookmarkStart w:id="640" w:name="_Toc491854312"/>
      <w:bookmarkStart w:id="641" w:name="_Toc535417218"/>
      <w:r w:rsidRPr="003B6E11">
        <w:rPr>
          <w:lang w:val="cs-CZ"/>
        </w:rPr>
        <w:t>Oddíl II</w:t>
      </w:r>
      <w:bookmarkEnd w:id="640"/>
      <w:bookmarkEnd w:id="641"/>
      <w:r w:rsidRPr="003B6E11">
        <w:rPr>
          <w:lang w:val="cs-CZ"/>
        </w:rPr>
        <w:t xml:space="preserve"> </w:t>
      </w:r>
    </w:p>
    <w:p w:rsidR="003B6E11" w:rsidRPr="003B6E11" w:rsidRDefault="003B6E11" w:rsidP="003B6E11">
      <w:pPr>
        <w:pStyle w:val="ES-Titre3a"/>
        <w:rPr>
          <w:rFonts w:cs="Arial"/>
          <w:szCs w:val="20"/>
          <w:lang w:val="cs-CZ"/>
        </w:rPr>
      </w:pPr>
      <w:bookmarkStart w:id="642" w:name="_Toc491854313"/>
      <w:bookmarkStart w:id="643" w:name="_Toc535417219"/>
      <w:r w:rsidRPr="003B6E11">
        <w:rPr>
          <w:lang w:val="cs-CZ"/>
        </w:rPr>
        <w:t>Minimální požadavky a zkušební podmínky pro ukazatele rychlosti otáčení ve vnitrozemské vodní dopravě</w:t>
      </w:r>
      <w:bookmarkEnd w:id="642"/>
      <w:bookmarkEnd w:id="643"/>
    </w:p>
    <w:p w:rsidR="003B6E11" w:rsidRPr="003B6E11" w:rsidRDefault="003B6E11" w:rsidP="003B6E11">
      <w:pPr>
        <w:tabs>
          <w:tab w:val="right" w:pos="9072"/>
        </w:tabs>
        <w:overflowPunct w:val="0"/>
        <w:adjustRightInd w:val="0"/>
        <w:spacing w:line="240" w:lineRule="atLeast"/>
        <w:textAlignment w:val="baseline"/>
        <w:rPr>
          <w:rFonts w:cs="Arial"/>
          <w:szCs w:val="20"/>
          <w:lang w:val="cs-CZ"/>
        </w:rPr>
      </w:pPr>
    </w:p>
    <w:p w:rsidR="003B6E11" w:rsidRPr="003B6E11" w:rsidRDefault="003B6E11" w:rsidP="003B6E11">
      <w:pPr>
        <w:spacing w:line="240" w:lineRule="atLeast"/>
        <w:jc w:val="center"/>
        <w:rPr>
          <w:rFonts w:cs="Arial"/>
          <w:b/>
          <w:noProof/>
          <w:lang w:val="cs-CZ"/>
        </w:rPr>
      </w:pPr>
      <w:r w:rsidRPr="003B6E11">
        <w:rPr>
          <w:b/>
          <w:noProof/>
          <w:lang w:val="cs-CZ"/>
        </w:rPr>
        <w:t>Kapitola 1</w:t>
      </w:r>
    </w:p>
    <w:p w:rsidR="003B6E11" w:rsidRPr="003B6E11" w:rsidRDefault="003B6E11" w:rsidP="003B6E11">
      <w:pPr>
        <w:spacing w:line="240" w:lineRule="atLeast"/>
        <w:jc w:val="center"/>
        <w:rPr>
          <w:rFonts w:cs="Arial"/>
          <w:b/>
          <w:caps/>
          <w:noProof/>
          <w:lang w:val="cs-CZ"/>
        </w:rPr>
      </w:pPr>
      <w:r w:rsidRPr="003B6E11">
        <w:rPr>
          <w:b/>
          <w:noProof/>
          <w:lang w:val="cs-CZ"/>
        </w:rPr>
        <w:t>Obecně</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szCs w:val="20"/>
          <w:lang w:val="cs-CZ"/>
        </w:rPr>
      </w:pPr>
    </w:p>
    <w:p w:rsidR="003B6E11" w:rsidRPr="003B6E11" w:rsidRDefault="003B6E11" w:rsidP="003B6E11">
      <w:pPr>
        <w:spacing w:line="240" w:lineRule="atLeast"/>
        <w:jc w:val="center"/>
        <w:rPr>
          <w:rFonts w:cs="Arial"/>
          <w:b/>
          <w:noProof/>
          <w:lang w:val="cs-CZ"/>
        </w:rPr>
      </w:pPr>
      <w:r w:rsidRPr="003B6E11">
        <w:rPr>
          <w:b/>
          <w:noProof/>
          <w:lang w:val="cs-CZ"/>
        </w:rPr>
        <w:t>Článek 1.01</w:t>
      </w:r>
    </w:p>
    <w:p w:rsidR="003B6E11" w:rsidRPr="003B6E11" w:rsidRDefault="003B6E11" w:rsidP="003B6E11">
      <w:pPr>
        <w:spacing w:line="240" w:lineRule="atLeast"/>
        <w:jc w:val="center"/>
        <w:rPr>
          <w:rFonts w:cs="Arial"/>
          <w:i/>
          <w:noProof/>
          <w:lang w:val="cs-CZ"/>
        </w:rPr>
      </w:pPr>
      <w:r w:rsidRPr="003B6E11">
        <w:rPr>
          <w:i/>
          <w:noProof/>
          <w:lang w:val="cs-CZ"/>
        </w:rPr>
        <w:t>Oblast působnosti</w:t>
      </w: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p>
    <w:p w:rsidR="003B6E11" w:rsidRPr="003B6E11" w:rsidRDefault="003B6E11" w:rsidP="003B6E11">
      <w:pPr>
        <w:tabs>
          <w:tab w:val="left" w:leader="dot" w:pos="9072"/>
        </w:tabs>
        <w:spacing w:line="240" w:lineRule="atLeast"/>
        <w:rPr>
          <w:rFonts w:cs="Arial"/>
          <w:szCs w:val="20"/>
          <w:lang w:val="cs-CZ"/>
        </w:rPr>
      </w:pPr>
      <w:r w:rsidRPr="003B6E11">
        <w:rPr>
          <w:lang w:val="cs-CZ"/>
        </w:rPr>
        <w:t>Tato ustanovení stanoví minimální požadavky na ukazatele rychlosti otáčení používané ve vnitrozemské vodní dopravě a podmínky pro zkoušení shody s těmito minimálními požadavky.</w:t>
      </w:r>
    </w:p>
    <w:p w:rsidR="003B6E11" w:rsidRPr="003B6E11" w:rsidRDefault="003B6E11" w:rsidP="003B6E11">
      <w:pPr>
        <w:tabs>
          <w:tab w:val="left" w:leader="dot" w:pos="9072"/>
        </w:tabs>
        <w:spacing w:line="240" w:lineRule="atLeast"/>
        <w:rPr>
          <w:rFonts w:cs="Arial"/>
          <w:szCs w:val="20"/>
          <w:lang w:val="cs-CZ"/>
        </w:rPr>
      </w:pPr>
    </w:p>
    <w:p w:rsidR="003B6E11" w:rsidRPr="003B6E11" w:rsidRDefault="003B6E11" w:rsidP="003B6E11">
      <w:pPr>
        <w:tabs>
          <w:tab w:val="left" w:leader="dot" w:pos="9072"/>
        </w:tabs>
        <w:spacing w:line="240" w:lineRule="atLeast"/>
        <w:rPr>
          <w:rFonts w:cs="Arial"/>
          <w:szCs w:val="20"/>
          <w:lang w:val="cs-CZ"/>
        </w:rPr>
      </w:pPr>
    </w:p>
    <w:p w:rsidR="003B6E11" w:rsidRPr="003B6E11" w:rsidRDefault="003B6E11" w:rsidP="003B6E11">
      <w:pPr>
        <w:spacing w:line="240" w:lineRule="atLeast"/>
        <w:jc w:val="center"/>
        <w:rPr>
          <w:rFonts w:cs="Arial"/>
          <w:b/>
          <w:noProof/>
          <w:lang w:val="cs-CZ"/>
        </w:rPr>
      </w:pPr>
      <w:r w:rsidRPr="003B6E11">
        <w:rPr>
          <w:b/>
          <w:noProof/>
          <w:lang w:val="cs-CZ"/>
        </w:rPr>
        <w:t>Článek 1.02</w:t>
      </w:r>
    </w:p>
    <w:p w:rsidR="003B6E11" w:rsidRPr="003B6E11" w:rsidRDefault="003B6E11" w:rsidP="003B6E11">
      <w:pPr>
        <w:overflowPunct w:val="0"/>
        <w:adjustRightInd w:val="0"/>
        <w:jc w:val="center"/>
        <w:textAlignment w:val="baseline"/>
        <w:rPr>
          <w:rFonts w:cs="Arial"/>
          <w:szCs w:val="20"/>
          <w:lang w:val="cs-CZ"/>
        </w:rPr>
      </w:pPr>
      <w:r w:rsidRPr="003B6E11">
        <w:rPr>
          <w:i/>
          <w:noProof/>
          <w:lang w:val="cs-CZ"/>
        </w:rPr>
        <w:t>Účel ukazatelů rychlosti otáčení</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szCs w:val="20"/>
          <w:lang w:val="cs-CZ"/>
        </w:rPr>
      </w:pPr>
      <w:r w:rsidRPr="003B6E11">
        <w:rPr>
          <w:lang w:val="cs-CZ"/>
        </w:rPr>
        <w:t>Ukazatel rychlosti otáčení usnadňuje radarovou navigaci a měří a udává rychlost otáčení lodi doleva či doprava.</w:t>
      </w:r>
    </w:p>
    <w:p w:rsidR="003B6E11" w:rsidRPr="003B6E11" w:rsidRDefault="003B6E11" w:rsidP="003B6E11">
      <w:pPr>
        <w:tabs>
          <w:tab w:val="left" w:leader="dot" w:pos="9072"/>
        </w:tabs>
        <w:spacing w:line="240" w:lineRule="atLeast"/>
        <w:rPr>
          <w:rFonts w:cs="Arial"/>
          <w:szCs w:val="20"/>
          <w:lang w:val="cs-CZ"/>
        </w:rPr>
      </w:pPr>
    </w:p>
    <w:p w:rsidR="003B6E11" w:rsidRPr="003B6E11" w:rsidRDefault="003B6E11" w:rsidP="003B6E11">
      <w:pPr>
        <w:tabs>
          <w:tab w:val="left" w:leader="dot" w:pos="9072"/>
        </w:tabs>
        <w:spacing w:line="240" w:lineRule="atLeast"/>
        <w:rPr>
          <w:rFonts w:cs="Arial"/>
          <w:szCs w:val="20"/>
          <w:lang w:val="cs-CZ"/>
        </w:rPr>
      </w:pPr>
    </w:p>
    <w:p w:rsidR="003B6E11" w:rsidRPr="003B6E11" w:rsidRDefault="003B6E11" w:rsidP="003B6E11">
      <w:pPr>
        <w:spacing w:line="240" w:lineRule="atLeast"/>
        <w:jc w:val="center"/>
        <w:rPr>
          <w:rFonts w:cs="Arial"/>
          <w:b/>
          <w:noProof/>
          <w:lang w:val="cs-CZ"/>
        </w:rPr>
      </w:pPr>
      <w:r w:rsidRPr="003B6E11">
        <w:rPr>
          <w:b/>
          <w:noProof/>
          <w:lang w:val="cs-CZ"/>
        </w:rPr>
        <w:t>Článek 1.03</w:t>
      </w:r>
    </w:p>
    <w:p w:rsidR="003B6E11" w:rsidRPr="003B6E11" w:rsidRDefault="003B6E11" w:rsidP="003B6E11">
      <w:pPr>
        <w:spacing w:line="240" w:lineRule="atLeast"/>
        <w:jc w:val="center"/>
        <w:rPr>
          <w:rFonts w:cs="Arial"/>
          <w:noProof/>
          <w:lang w:val="cs-CZ"/>
        </w:rPr>
      </w:pPr>
      <w:r w:rsidRPr="003B6E11">
        <w:rPr>
          <w:i/>
          <w:noProof/>
          <w:lang w:val="cs-CZ"/>
        </w:rPr>
        <w:t>Zkouška typu</w:t>
      </w: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1.</w:t>
      </w:r>
      <w:r w:rsidRPr="003B6E11">
        <w:rPr>
          <w:lang w:val="cs-CZ"/>
        </w:rPr>
        <w:tab/>
      </w:r>
      <w:r w:rsidRPr="003B6E11">
        <w:rPr>
          <w:noProof/>
          <w:color w:val="000000"/>
          <w:lang w:val="cs-CZ"/>
        </w:rPr>
        <w:t>Soulad s minimálními požadavky na ukazatele rychlosti otáčení podle kapitol 2 až 4 se prokazuje zkouškou typu.</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szCs w:val="20"/>
          <w:lang w:val="cs-CZ"/>
        </w:rPr>
      </w:pPr>
      <w:r w:rsidRPr="003B6E11">
        <w:rPr>
          <w:noProof/>
          <w:color w:val="000000"/>
          <w:lang w:val="cs-CZ"/>
        </w:rPr>
        <w:t>2.</w:t>
      </w:r>
      <w:r w:rsidRPr="003B6E11">
        <w:rPr>
          <w:lang w:val="cs-CZ"/>
        </w:rPr>
        <w:tab/>
      </w:r>
      <w:r w:rsidRPr="003B6E11">
        <w:rPr>
          <w:noProof/>
          <w:color w:val="000000"/>
          <w:lang w:val="cs-CZ"/>
        </w:rPr>
        <w:t>Pokud zařízení projde zkouškou typu, vydá technická zkušebna osvědčení o zkoušce. Pokud zařízení nesplňuje minimální požadavky, je žadatel písemně vyrozuměn o důvodech zamítnutí.</w:t>
      </w:r>
    </w:p>
    <w:p w:rsidR="003B6E11" w:rsidRPr="003B6E11" w:rsidRDefault="003B6E11" w:rsidP="003B6E11">
      <w:pPr>
        <w:spacing w:line="240" w:lineRule="atLeast"/>
        <w:ind w:left="567" w:hanging="567"/>
        <w:rPr>
          <w:rFonts w:cs="Arial"/>
          <w:szCs w:val="20"/>
          <w:lang w:val="cs-CZ"/>
        </w:rPr>
      </w:pP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p>
    <w:p w:rsidR="003B6E11" w:rsidRPr="003B6E11" w:rsidRDefault="003B6E11" w:rsidP="003B6E11">
      <w:pPr>
        <w:spacing w:line="240" w:lineRule="atLeast"/>
        <w:jc w:val="center"/>
        <w:rPr>
          <w:rFonts w:cs="Arial"/>
          <w:b/>
          <w:noProof/>
          <w:lang w:val="cs-CZ"/>
        </w:rPr>
      </w:pPr>
      <w:r w:rsidRPr="003B6E11">
        <w:rPr>
          <w:b/>
          <w:noProof/>
          <w:lang w:val="cs-CZ"/>
        </w:rPr>
        <w:t>Článek 1.04</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i/>
          <w:iCs/>
          <w:noProof/>
          <w:lang w:val="cs-CZ"/>
        </w:rPr>
      </w:pPr>
      <w:r w:rsidRPr="003B6E11">
        <w:rPr>
          <w:i/>
          <w:noProof/>
          <w:lang w:val="cs-CZ"/>
        </w:rPr>
        <w:t>Žádost o zkoušku typu</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szCs w:val="2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1.</w:t>
      </w:r>
      <w:r w:rsidRPr="003B6E11">
        <w:rPr>
          <w:lang w:val="cs-CZ"/>
        </w:rPr>
        <w:tab/>
      </w:r>
      <w:r w:rsidRPr="003B6E11">
        <w:rPr>
          <w:noProof/>
          <w:color w:val="000000"/>
          <w:lang w:val="cs-CZ"/>
        </w:rPr>
        <w:t>Žádost o zkoušku typu ukazatele rychlosti otáčení se předkládá technické zkušebně.</w:t>
      </w:r>
    </w:p>
    <w:p w:rsidR="003B6E11" w:rsidRPr="003B6E11" w:rsidRDefault="003B6E11" w:rsidP="003B6E11">
      <w:pPr>
        <w:spacing w:line="240" w:lineRule="atLeast"/>
        <w:rPr>
          <w:rFonts w:cs="Arial"/>
          <w:color w:val="000000"/>
          <w:szCs w:val="20"/>
          <w:lang w:val="cs-CZ"/>
        </w:rPr>
      </w:pPr>
    </w:p>
    <w:p w:rsidR="003B6E11" w:rsidRPr="003B6E11" w:rsidRDefault="003B6E11" w:rsidP="003B6E11">
      <w:pPr>
        <w:spacing w:line="240" w:lineRule="atLeast"/>
        <w:rPr>
          <w:rFonts w:cs="Arial"/>
          <w:color w:val="000000"/>
          <w:lang w:val="cs-CZ"/>
        </w:rPr>
      </w:pPr>
      <w:r w:rsidRPr="003B6E11">
        <w:rPr>
          <w:color w:val="000000"/>
          <w:lang w:val="cs-CZ"/>
        </w:rPr>
        <w:t>2.</w:t>
      </w:r>
      <w:r w:rsidRPr="003B6E11">
        <w:rPr>
          <w:lang w:val="cs-CZ"/>
        </w:rPr>
        <w:tab/>
      </w:r>
      <w:r w:rsidRPr="003B6E11">
        <w:rPr>
          <w:noProof/>
          <w:color w:val="000000"/>
          <w:lang w:val="cs-CZ"/>
        </w:rPr>
        <w:t>K žádosti se přikládají tyto doklady:</w:t>
      </w:r>
    </w:p>
    <w:p w:rsidR="003B6E11" w:rsidRPr="003B6E11" w:rsidRDefault="003B6E11" w:rsidP="003B6E11">
      <w:pPr>
        <w:spacing w:before="60" w:line="240" w:lineRule="atLeast"/>
        <w:ind w:left="851"/>
        <w:rPr>
          <w:rFonts w:cs="Arial"/>
          <w:noProof/>
          <w:lang w:val="cs-CZ"/>
        </w:rPr>
      </w:pPr>
      <w:r w:rsidRPr="003B6E11">
        <w:rPr>
          <w:lang w:val="cs-CZ"/>
        </w:rPr>
        <w:t>a)</w:t>
      </w:r>
      <w:r w:rsidRPr="003B6E11">
        <w:rPr>
          <w:lang w:val="cs-CZ"/>
        </w:rPr>
        <w:tab/>
        <w:t>dva podrobné technické popisy;</w:t>
      </w:r>
    </w:p>
    <w:p w:rsidR="003B6E11" w:rsidRPr="003B6E11" w:rsidRDefault="003B6E11" w:rsidP="003B6E11">
      <w:pPr>
        <w:spacing w:before="60" w:line="240" w:lineRule="atLeast"/>
        <w:ind w:left="851"/>
        <w:rPr>
          <w:rFonts w:cs="Arial"/>
          <w:noProof/>
          <w:lang w:val="cs-CZ"/>
        </w:rPr>
      </w:pPr>
      <w:r w:rsidRPr="003B6E11">
        <w:rPr>
          <w:lang w:val="cs-CZ"/>
        </w:rPr>
        <w:t>b)</w:t>
      </w:r>
      <w:r w:rsidRPr="003B6E11">
        <w:rPr>
          <w:lang w:val="cs-CZ"/>
        </w:rPr>
        <w:tab/>
        <w:t>dvě úplné sady dokumentace pro montáž a servis;</w:t>
      </w:r>
    </w:p>
    <w:p w:rsidR="003B6E11" w:rsidRPr="003B6E11" w:rsidRDefault="003B6E11" w:rsidP="003B6E11">
      <w:pPr>
        <w:spacing w:before="60" w:line="240" w:lineRule="atLeast"/>
        <w:ind w:left="851"/>
        <w:rPr>
          <w:rFonts w:cs="Arial"/>
          <w:noProof/>
          <w:lang w:val="cs-CZ"/>
        </w:rPr>
      </w:pPr>
      <w:r w:rsidRPr="003B6E11">
        <w:rPr>
          <w:lang w:val="cs-CZ"/>
        </w:rPr>
        <w:t>c)</w:t>
      </w:r>
      <w:r w:rsidRPr="003B6E11">
        <w:rPr>
          <w:lang w:val="cs-CZ"/>
        </w:rPr>
        <w:tab/>
        <w:t>dva návody k obsluze.</w:t>
      </w: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spacing w:line="240" w:lineRule="atLeast"/>
        <w:rPr>
          <w:rFonts w:cs="Arial"/>
          <w:color w:val="000000"/>
          <w:lang w:val="cs-CZ"/>
        </w:rPr>
      </w:pPr>
      <w:r w:rsidRPr="003B6E11">
        <w:rPr>
          <w:color w:val="000000"/>
          <w:lang w:val="cs-CZ"/>
        </w:rPr>
        <w:t>3.</w:t>
      </w:r>
      <w:r w:rsidRPr="003B6E11">
        <w:rPr>
          <w:lang w:val="cs-CZ"/>
        </w:rPr>
        <w:tab/>
      </w:r>
      <w:r w:rsidRPr="003B6E11">
        <w:rPr>
          <w:color w:val="000000"/>
          <w:lang w:val="cs-CZ"/>
        </w:rPr>
        <w:t>Prostřednictvím zkoušek žadatel zjistí nebo nechá zjistit, zda zařízení splňuje minimální požadavky těchto ustanovení.</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ind w:left="426"/>
        <w:rPr>
          <w:lang w:val="cs-CZ"/>
        </w:rPr>
      </w:pPr>
      <w:r w:rsidRPr="003B6E11">
        <w:rPr>
          <w:lang w:val="cs-CZ"/>
        </w:rPr>
        <w:t>Výsledky zkoušek a protokoly o měření se připojí k žádosti.</w:t>
      </w:r>
    </w:p>
    <w:p w:rsidR="003B6E11" w:rsidRPr="003B6E11" w:rsidRDefault="003B6E11" w:rsidP="003B6E11">
      <w:pPr>
        <w:spacing w:line="240" w:lineRule="atLeast"/>
        <w:ind w:left="426"/>
        <w:rPr>
          <w:lang w:val="cs-CZ"/>
        </w:rPr>
      </w:pPr>
    </w:p>
    <w:p w:rsidR="003B6E11" w:rsidRPr="003B6E11" w:rsidRDefault="003B6E11" w:rsidP="003B6E11">
      <w:pPr>
        <w:spacing w:line="240" w:lineRule="atLeast"/>
        <w:ind w:left="426"/>
        <w:rPr>
          <w:szCs w:val="20"/>
          <w:lang w:val="cs-CZ"/>
        </w:rPr>
      </w:pPr>
      <w:r w:rsidRPr="003B6E11">
        <w:rPr>
          <w:lang w:val="cs-CZ"/>
        </w:rPr>
        <w:t>Tyto dokumenty a informace získané během zkoušky uchovává příslušný orgán.</w:t>
      </w:r>
    </w:p>
    <w:p w:rsidR="003B6E11" w:rsidRPr="003B6E11" w:rsidRDefault="003B6E11" w:rsidP="003B6E11">
      <w:pPr>
        <w:tabs>
          <w:tab w:val="left" w:pos="425"/>
        </w:tabs>
        <w:overflowPunct w:val="0"/>
        <w:adjustRightInd w:val="0"/>
        <w:spacing w:line="240" w:lineRule="atLeast"/>
        <w:textAlignment w:val="baseline"/>
        <w:rPr>
          <w:rFonts w:cs="Arial"/>
          <w:szCs w:val="20"/>
          <w:lang w:val="cs-CZ"/>
        </w:rPr>
      </w:pPr>
      <w:r w:rsidRPr="003B6E11">
        <w:rPr>
          <w:lang w:val="cs-CZ"/>
        </w:rPr>
        <w:br w:type="page"/>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b/>
          <w:bCs/>
          <w:szCs w:val="20"/>
          <w:lang w:val="cs-CZ"/>
        </w:rPr>
      </w:pPr>
      <w:r w:rsidRPr="003B6E11">
        <w:rPr>
          <w:b/>
          <w:noProof/>
          <w:lang w:val="cs-CZ"/>
        </w:rPr>
        <w:t>Článek 1.05</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szCs w:val="20"/>
          <w:lang w:val="cs-CZ"/>
        </w:rPr>
      </w:pPr>
      <w:r w:rsidRPr="003B6E11">
        <w:rPr>
          <w:i/>
          <w:noProof/>
          <w:lang w:val="cs-CZ"/>
        </w:rPr>
        <w:t>Schválení typu</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szCs w:val="20"/>
          <w:lang w:val="cs-CZ"/>
        </w:rPr>
      </w:pPr>
    </w:p>
    <w:p w:rsidR="003B6E11" w:rsidRPr="003B6E11" w:rsidRDefault="003B6E11" w:rsidP="003B6E11">
      <w:pPr>
        <w:spacing w:line="240" w:lineRule="atLeast"/>
        <w:rPr>
          <w:rFonts w:cs="Arial"/>
          <w:color w:val="000000"/>
          <w:lang w:val="cs-CZ"/>
        </w:rPr>
      </w:pPr>
      <w:r w:rsidRPr="003B6E11">
        <w:rPr>
          <w:color w:val="000000"/>
          <w:lang w:val="cs-CZ"/>
        </w:rPr>
        <w:t>1.</w:t>
      </w:r>
      <w:r w:rsidRPr="003B6E11">
        <w:rPr>
          <w:lang w:val="cs-CZ"/>
        </w:rPr>
        <w:tab/>
      </w:r>
      <w:r w:rsidRPr="003B6E11">
        <w:rPr>
          <w:color w:val="000000"/>
          <w:lang w:val="cs-CZ"/>
        </w:rPr>
        <w:t>Schválení typu uděluje příslušný orgán na základě osvědčení o zkoušce.</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rPr>
          <w:rFonts w:cs="Arial"/>
          <w:noProof/>
          <w:color w:val="000000"/>
          <w:lang w:val="cs-CZ"/>
        </w:rPr>
      </w:pPr>
      <w:r w:rsidRPr="003B6E11">
        <w:rPr>
          <w:color w:val="000000"/>
          <w:lang w:val="cs-CZ"/>
        </w:rPr>
        <w:t>2.</w:t>
      </w:r>
      <w:r w:rsidRPr="003B6E11">
        <w:rPr>
          <w:lang w:val="cs-CZ"/>
        </w:rPr>
        <w:tab/>
      </w:r>
      <w:r w:rsidRPr="003B6E11">
        <w:rPr>
          <w:noProof/>
          <w:color w:val="000000"/>
          <w:lang w:val="cs-CZ"/>
        </w:rPr>
        <w:t>Příslušný orgán nebo technická zkušebna určená příslušným orgánem je oprávněna kdykoli vybrat z výrobní série zařízení k prohlídce.</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ind w:left="426"/>
        <w:rPr>
          <w:noProof/>
          <w:lang w:val="cs-CZ"/>
        </w:rPr>
      </w:pPr>
      <w:r w:rsidRPr="003B6E11">
        <w:rPr>
          <w:lang w:val="cs-CZ"/>
        </w:rPr>
        <w:t>Pokud tato prohlídka odhalí na zařízení závady, může být schválení typu odňato.</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szCs w:val="20"/>
          <w:lang w:val="cs-CZ"/>
        </w:rPr>
      </w:pPr>
      <w:r w:rsidRPr="003B6E11">
        <w:rPr>
          <w:lang w:val="cs-CZ"/>
        </w:rPr>
        <w:t>Schválení typu odejme orgán, který je vydal.</w:t>
      </w:r>
    </w:p>
    <w:p w:rsidR="003B6E11" w:rsidRPr="003B6E11" w:rsidRDefault="003B6E11" w:rsidP="003B6E11">
      <w:pPr>
        <w:tabs>
          <w:tab w:val="left" w:leader="dot" w:pos="9072"/>
        </w:tabs>
        <w:spacing w:line="240" w:lineRule="atLeast"/>
        <w:rPr>
          <w:rFonts w:cs="Arial"/>
          <w:lang w:val="cs-CZ"/>
        </w:rPr>
      </w:pPr>
    </w:p>
    <w:p w:rsidR="003B6E11" w:rsidRPr="003B6E11" w:rsidRDefault="003B6E11" w:rsidP="003B6E11">
      <w:pPr>
        <w:tabs>
          <w:tab w:val="left" w:leader="dot" w:pos="9072"/>
        </w:tabs>
        <w:spacing w:line="240" w:lineRule="atLeast"/>
        <w:rPr>
          <w:rFonts w:cs="Arial"/>
          <w:lang w:val="cs-CZ"/>
        </w:rPr>
      </w:pP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b/>
          <w:bCs/>
          <w:szCs w:val="20"/>
          <w:lang w:val="cs-CZ"/>
        </w:rPr>
      </w:pPr>
      <w:r w:rsidRPr="003B6E11">
        <w:rPr>
          <w:b/>
          <w:noProof/>
          <w:lang w:val="cs-CZ"/>
        </w:rPr>
        <w:t>Článek 1.06</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i/>
          <w:iCs/>
          <w:noProof/>
          <w:szCs w:val="20"/>
          <w:lang w:val="cs-CZ"/>
        </w:rPr>
      </w:pPr>
      <w:r w:rsidRPr="003B6E11">
        <w:rPr>
          <w:i/>
          <w:noProof/>
          <w:lang w:val="cs-CZ"/>
        </w:rPr>
        <w:t>Označení zařízení a číslo schválení typu</w:t>
      </w:r>
    </w:p>
    <w:p w:rsidR="003B6E11" w:rsidRPr="003B6E11" w:rsidRDefault="003B6E11" w:rsidP="003B6E11">
      <w:pPr>
        <w:tabs>
          <w:tab w:val="left" w:leader="dot" w:pos="9072"/>
        </w:tabs>
        <w:spacing w:line="240" w:lineRule="atLeast"/>
        <w:rPr>
          <w:rFonts w:cs="Arial"/>
          <w:lang w:val="cs-CZ"/>
        </w:rPr>
      </w:pPr>
    </w:p>
    <w:p w:rsidR="003B6E11" w:rsidRPr="003B6E11" w:rsidRDefault="003B6E11" w:rsidP="003B6E11">
      <w:pPr>
        <w:spacing w:line="240" w:lineRule="atLeast"/>
        <w:rPr>
          <w:rFonts w:cs="Arial"/>
          <w:color w:val="000000"/>
          <w:lang w:val="cs-CZ"/>
        </w:rPr>
      </w:pPr>
      <w:r w:rsidRPr="003B6E11">
        <w:rPr>
          <w:color w:val="000000"/>
          <w:lang w:val="cs-CZ"/>
        </w:rPr>
        <w:t>1.</w:t>
      </w:r>
      <w:r w:rsidRPr="003B6E11">
        <w:rPr>
          <w:lang w:val="cs-CZ"/>
        </w:rPr>
        <w:tab/>
      </w:r>
      <w:r w:rsidRPr="003B6E11">
        <w:rPr>
          <w:noProof/>
          <w:color w:val="000000"/>
          <w:lang w:val="cs-CZ"/>
        </w:rPr>
        <w:t xml:space="preserve">Každá součást zařízení musí být neodstranitelným způsobem označena jménem výrobce, </w:t>
      </w:r>
      <w:r w:rsidRPr="003B6E11">
        <w:rPr>
          <w:lang w:val="cs-CZ"/>
        </w:rPr>
        <w:tab/>
      </w:r>
      <w:r w:rsidRPr="003B6E11">
        <w:rPr>
          <w:noProof/>
          <w:color w:val="000000"/>
          <w:lang w:val="cs-CZ"/>
        </w:rPr>
        <w:t xml:space="preserve">obchodním označením zařízení, </w:t>
      </w:r>
      <w:r w:rsidRPr="003B6E11">
        <w:rPr>
          <w:lang w:val="cs-CZ"/>
        </w:rPr>
        <w:tab/>
      </w:r>
      <w:r w:rsidRPr="003B6E11">
        <w:rPr>
          <w:noProof/>
          <w:color w:val="000000"/>
          <w:lang w:val="cs-CZ"/>
        </w:rPr>
        <w:t>typem zařízení a sériovým číslem.</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noProof/>
          <w:color w:val="000000"/>
          <w:lang w:val="cs-CZ"/>
        </w:rPr>
      </w:pPr>
      <w:r w:rsidRPr="003B6E11">
        <w:rPr>
          <w:color w:val="000000"/>
          <w:lang w:val="cs-CZ"/>
        </w:rPr>
        <w:t>2.</w:t>
      </w:r>
      <w:r w:rsidRPr="003B6E11">
        <w:rPr>
          <w:lang w:val="cs-CZ"/>
        </w:rPr>
        <w:tab/>
      </w:r>
      <w:r w:rsidRPr="003B6E11">
        <w:rPr>
          <w:noProof/>
          <w:color w:val="000000"/>
          <w:lang w:val="cs-CZ"/>
        </w:rPr>
        <w:t>Číslo schválení typu přidělené příslušným orgánem se neodstranitelným způsobem připevní na ovládací jednotku tak, aby zůstalo zřetelně viditelné i po montáži zařízení.</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ind w:left="426"/>
        <w:rPr>
          <w:lang w:val="cs-CZ"/>
        </w:rPr>
      </w:pPr>
      <w:r w:rsidRPr="003B6E11">
        <w:rPr>
          <w:lang w:val="cs-CZ"/>
        </w:rPr>
        <w:t>Složení čísla schválení typu: R-NN-NNN nebo e-NN-NNN</w:t>
      </w:r>
    </w:p>
    <w:p w:rsidR="003B6E11" w:rsidRPr="003B6E11" w:rsidRDefault="003B6E11" w:rsidP="003B6E11">
      <w:pPr>
        <w:tabs>
          <w:tab w:val="left" w:pos="425"/>
          <w:tab w:val="left" w:pos="993"/>
          <w:tab w:val="left" w:pos="1418"/>
        </w:tabs>
        <w:overflowPunct w:val="0"/>
        <w:adjustRightInd w:val="0"/>
        <w:spacing w:before="60" w:line="240" w:lineRule="atLeast"/>
        <w:ind w:left="992" w:hanging="567"/>
        <w:textAlignment w:val="baseline"/>
        <w:rPr>
          <w:rFonts w:cs="Arial"/>
          <w:noProof/>
          <w:szCs w:val="20"/>
          <w:lang w:val="cs-CZ"/>
        </w:rPr>
      </w:pPr>
      <w:r w:rsidRPr="003B6E11">
        <w:rPr>
          <w:lang w:val="cs-CZ"/>
        </w:rPr>
        <w:t>R</w:t>
      </w:r>
      <w:r w:rsidRPr="003B6E11">
        <w:rPr>
          <w:lang w:val="cs-CZ"/>
        </w:rPr>
        <w:tab/>
        <w:t>=</w:t>
      </w:r>
      <w:r w:rsidRPr="003B6E11">
        <w:rPr>
          <w:lang w:val="cs-CZ"/>
        </w:rPr>
        <w:tab/>
        <w:t>Rýn</w:t>
      </w:r>
    </w:p>
    <w:p w:rsidR="003B6E11" w:rsidRPr="003B6E11" w:rsidRDefault="003B6E11" w:rsidP="003B6E11">
      <w:pPr>
        <w:tabs>
          <w:tab w:val="left" w:pos="993"/>
          <w:tab w:val="left" w:pos="1418"/>
        </w:tabs>
        <w:ind w:left="992" w:hanging="567"/>
        <w:rPr>
          <w:noProof/>
          <w:lang w:val="cs-CZ"/>
        </w:rPr>
      </w:pPr>
      <w:r w:rsidRPr="003B6E11">
        <w:rPr>
          <w:lang w:val="cs-CZ"/>
        </w:rPr>
        <w:t>e</w:t>
      </w:r>
      <w:r w:rsidRPr="003B6E11">
        <w:rPr>
          <w:lang w:val="cs-CZ"/>
        </w:rPr>
        <w:tab/>
        <w:t>=</w:t>
      </w:r>
      <w:r w:rsidRPr="003B6E11">
        <w:rPr>
          <w:lang w:val="cs-CZ"/>
        </w:rPr>
        <w:tab/>
        <w:t>Evropská unie</w:t>
      </w:r>
    </w:p>
    <w:p w:rsidR="003B6E11" w:rsidRPr="003B6E11" w:rsidRDefault="003B6E11" w:rsidP="003B6E11">
      <w:pPr>
        <w:tabs>
          <w:tab w:val="left" w:pos="993"/>
          <w:tab w:val="left" w:pos="1418"/>
        </w:tabs>
        <w:ind w:left="992" w:hanging="567"/>
        <w:rPr>
          <w:noProof/>
          <w:lang w:val="cs-CZ"/>
        </w:rPr>
      </w:pPr>
      <w:r w:rsidRPr="003B6E11">
        <w:rPr>
          <w:lang w:val="cs-CZ"/>
        </w:rPr>
        <w:t>NN</w:t>
      </w:r>
      <w:r w:rsidRPr="003B6E11">
        <w:rPr>
          <w:lang w:val="cs-CZ"/>
        </w:rPr>
        <w:tab/>
        <w:t>=</w:t>
      </w:r>
      <w:r w:rsidRPr="003B6E11">
        <w:rPr>
          <w:lang w:val="cs-CZ"/>
        </w:rPr>
        <w:tab/>
        <w:t>kód země, která schválení udělila, přičemž:</w:t>
      </w:r>
    </w:p>
    <w:p w:rsidR="003B6E11" w:rsidRPr="003B6E11" w:rsidRDefault="003B6E11" w:rsidP="003B6E11">
      <w:pPr>
        <w:ind w:left="850"/>
        <w:rPr>
          <w:noProof/>
          <w:lang w:val="cs-CZ"/>
        </w:rPr>
      </w:pPr>
    </w:p>
    <w:tbl>
      <w:tblPr>
        <w:tblW w:w="7587" w:type="dxa"/>
        <w:jc w:val="center"/>
        <w:tblLayout w:type="fixed"/>
        <w:tblLook w:val="0000" w:firstRow="0" w:lastRow="0" w:firstColumn="0" w:lastColumn="0" w:noHBand="0" w:noVBand="0"/>
      </w:tblPr>
      <w:tblGrid>
        <w:gridCol w:w="720"/>
        <w:gridCol w:w="360"/>
        <w:gridCol w:w="3162"/>
        <w:gridCol w:w="724"/>
        <w:gridCol w:w="416"/>
        <w:gridCol w:w="2205"/>
      </w:tblGrid>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01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Německo</w:t>
            </w:r>
          </w:p>
        </w:tc>
        <w:tc>
          <w:tcPr>
            <w:tcW w:w="724" w:type="dxa"/>
          </w:tcPr>
          <w:p w:rsidR="003B6E11" w:rsidRPr="003B6E11" w:rsidRDefault="003B6E11" w:rsidP="002D015D">
            <w:pPr>
              <w:spacing w:before="40" w:after="40" w:line="240" w:lineRule="atLeast"/>
              <w:rPr>
                <w:noProof/>
                <w:szCs w:val="20"/>
                <w:lang w:val="cs-CZ"/>
              </w:rPr>
            </w:pPr>
            <w:r w:rsidRPr="003B6E11">
              <w:rPr>
                <w:lang w:val="cs-CZ"/>
              </w:rPr>
              <w:t>19</w:t>
            </w:r>
          </w:p>
        </w:tc>
        <w:tc>
          <w:tcPr>
            <w:tcW w:w="416" w:type="dxa"/>
          </w:tcPr>
          <w:p w:rsidR="003B6E11" w:rsidRPr="003B6E11" w:rsidRDefault="003B6E11" w:rsidP="002D015D">
            <w:pPr>
              <w:spacing w:before="40" w:after="40" w:line="240" w:lineRule="atLeast"/>
              <w:rPr>
                <w:noProof/>
                <w:szCs w:val="20"/>
                <w:lang w:val="cs-CZ"/>
              </w:rPr>
            </w:pPr>
            <w:r w:rsidRPr="003B6E11">
              <w:rPr>
                <w:lang w:val="cs-CZ"/>
              </w:rPr>
              <w:t>=</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Rumunsko</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02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 xml:space="preserve">Francie </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20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 xml:space="preserve">Polsko </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03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Itálie</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21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 xml:space="preserve">Portugalsko </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04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 xml:space="preserve">Nizozemsko </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23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Řecko</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05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Švédsko</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24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Irsko</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06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 xml:space="preserve">Belgie </w:t>
            </w:r>
          </w:p>
        </w:tc>
        <w:tc>
          <w:tcPr>
            <w:tcW w:w="724" w:type="dxa"/>
            <w:vAlign w:val="center"/>
          </w:tcPr>
          <w:p w:rsidR="003B6E11" w:rsidRPr="003B6E11" w:rsidRDefault="003B6E11" w:rsidP="002D015D">
            <w:pPr>
              <w:spacing w:before="40" w:after="40" w:line="240" w:lineRule="atLeast"/>
              <w:rPr>
                <w:noProof/>
                <w:szCs w:val="20"/>
                <w:lang w:val="cs-CZ"/>
              </w:rPr>
            </w:pPr>
            <w:r w:rsidRPr="003B6E11">
              <w:rPr>
                <w:color w:val="000000"/>
                <w:lang w:val="cs-CZ"/>
              </w:rPr>
              <w:t>25</w:t>
            </w:r>
          </w:p>
        </w:tc>
        <w:tc>
          <w:tcPr>
            <w:tcW w:w="416" w:type="dxa"/>
            <w:vAlign w:val="center"/>
          </w:tcPr>
          <w:p w:rsidR="003B6E11" w:rsidRPr="003B6E11" w:rsidRDefault="003B6E11" w:rsidP="002D015D">
            <w:pPr>
              <w:spacing w:before="40" w:after="40" w:line="240" w:lineRule="atLeast"/>
              <w:rPr>
                <w:noProof/>
                <w:szCs w:val="20"/>
                <w:lang w:val="cs-CZ"/>
              </w:rPr>
            </w:pPr>
            <w:r w:rsidRPr="003B6E11">
              <w:rPr>
                <w:color w:val="000000"/>
                <w:lang w:val="cs-CZ"/>
              </w:rPr>
              <w:t>=</w:t>
            </w:r>
          </w:p>
        </w:tc>
        <w:tc>
          <w:tcPr>
            <w:tcW w:w="2205" w:type="dxa"/>
            <w:vAlign w:val="center"/>
          </w:tcPr>
          <w:p w:rsidR="003B6E11" w:rsidRPr="003B6E11" w:rsidRDefault="003B6E11" w:rsidP="002D015D">
            <w:pPr>
              <w:spacing w:before="40" w:after="40" w:line="240" w:lineRule="atLeast"/>
              <w:rPr>
                <w:noProof/>
                <w:szCs w:val="20"/>
                <w:lang w:val="cs-CZ"/>
              </w:rPr>
            </w:pPr>
            <w:r w:rsidRPr="003B6E11">
              <w:rPr>
                <w:lang w:val="cs-CZ"/>
              </w:rPr>
              <w:t>Chorvatsko</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07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Maďarsko</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26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Slovinsko</w:t>
            </w:r>
          </w:p>
        </w:tc>
      </w:tr>
      <w:tr w:rsidR="003B6E11" w:rsidRPr="003B6E11" w:rsidTr="002D015D">
        <w:trPr>
          <w:jc w:val="center"/>
        </w:trPr>
        <w:tc>
          <w:tcPr>
            <w:tcW w:w="720" w:type="dxa"/>
          </w:tcPr>
          <w:p w:rsidR="003B6E11" w:rsidRPr="003B6E11" w:rsidRDefault="003B6E11" w:rsidP="002D015D">
            <w:pPr>
              <w:spacing w:before="40" w:after="160" w:line="240" w:lineRule="atLeast"/>
              <w:rPr>
                <w:noProof/>
                <w:szCs w:val="20"/>
                <w:lang w:val="cs-CZ"/>
              </w:rPr>
            </w:pPr>
            <w:r w:rsidRPr="003B6E11">
              <w:rPr>
                <w:lang w:val="cs-CZ"/>
              </w:rPr>
              <w:t xml:space="preserve">08 </w:t>
            </w:r>
          </w:p>
        </w:tc>
        <w:tc>
          <w:tcPr>
            <w:tcW w:w="360" w:type="dxa"/>
          </w:tcPr>
          <w:p w:rsidR="003B6E11" w:rsidRPr="003B6E11" w:rsidRDefault="003B6E11" w:rsidP="002D015D">
            <w:pPr>
              <w:spacing w:before="40" w:after="16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160" w:line="240" w:lineRule="atLeast"/>
              <w:rPr>
                <w:noProof/>
                <w:szCs w:val="20"/>
                <w:lang w:val="cs-CZ"/>
              </w:rPr>
            </w:pPr>
            <w:r w:rsidRPr="003B6E11">
              <w:rPr>
                <w:lang w:val="cs-CZ"/>
              </w:rPr>
              <w:t>Česká republika</w:t>
            </w:r>
          </w:p>
        </w:tc>
        <w:tc>
          <w:tcPr>
            <w:tcW w:w="724" w:type="dxa"/>
          </w:tcPr>
          <w:p w:rsidR="003B6E11" w:rsidRPr="003B6E11" w:rsidRDefault="003B6E11" w:rsidP="002D015D">
            <w:pPr>
              <w:spacing w:before="40" w:after="160" w:line="240" w:lineRule="atLeast"/>
              <w:rPr>
                <w:noProof/>
                <w:szCs w:val="20"/>
                <w:lang w:val="cs-CZ"/>
              </w:rPr>
            </w:pPr>
            <w:r w:rsidRPr="003B6E11">
              <w:rPr>
                <w:lang w:val="cs-CZ"/>
              </w:rPr>
              <w:t xml:space="preserve">27 </w:t>
            </w:r>
          </w:p>
        </w:tc>
        <w:tc>
          <w:tcPr>
            <w:tcW w:w="416" w:type="dxa"/>
          </w:tcPr>
          <w:p w:rsidR="003B6E11" w:rsidRPr="003B6E11" w:rsidRDefault="003B6E11" w:rsidP="002D015D">
            <w:pPr>
              <w:spacing w:before="40" w:after="16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160" w:line="240" w:lineRule="atLeast"/>
              <w:rPr>
                <w:noProof/>
                <w:szCs w:val="20"/>
                <w:lang w:val="cs-CZ"/>
              </w:rPr>
            </w:pPr>
            <w:r w:rsidRPr="003B6E11">
              <w:rPr>
                <w:lang w:val="cs-CZ"/>
              </w:rPr>
              <w:t>Slovensko</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09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 xml:space="preserve">Španělsko </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29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Estonsko</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11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Spojené království</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32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Lotyšsko</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12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Rakousko</w:t>
            </w:r>
          </w:p>
        </w:tc>
        <w:tc>
          <w:tcPr>
            <w:tcW w:w="724" w:type="dxa"/>
          </w:tcPr>
          <w:p w:rsidR="003B6E11" w:rsidRPr="003B6E11" w:rsidRDefault="003B6E11" w:rsidP="002D015D">
            <w:pPr>
              <w:spacing w:before="40" w:after="40" w:line="240" w:lineRule="atLeast"/>
              <w:rPr>
                <w:noProof/>
                <w:szCs w:val="20"/>
                <w:lang w:val="cs-CZ"/>
              </w:rPr>
            </w:pPr>
            <w:r w:rsidRPr="003B6E11">
              <w:rPr>
                <w:lang w:val="cs-CZ"/>
              </w:rPr>
              <w:t>34</w:t>
            </w:r>
          </w:p>
        </w:tc>
        <w:tc>
          <w:tcPr>
            <w:tcW w:w="416" w:type="dxa"/>
          </w:tcPr>
          <w:p w:rsidR="003B6E11" w:rsidRPr="003B6E11" w:rsidRDefault="003B6E11" w:rsidP="002D015D">
            <w:pPr>
              <w:spacing w:before="40" w:after="40" w:line="240" w:lineRule="atLeast"/>
              <w:rPr>
                <w:noProof/>
                <w:szCs w:val="20"/>
                <w:lang w:val="cs-CZ"/>
              </w:rPr>
            </w:pPr>
            <w:r w:rsidRPr="003B6E11">
              <w:rPr>
                <w:lang w:val="cs-CZ"/>
              </w:rPr>
              <w:t>=</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Bulharsko</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13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 xml:space="preserve">Lucembursko </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36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Litva</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14</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Švýcarsko</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49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Kypr</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17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Finsko</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50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Malta</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18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 xml:space="preserve">Dánsko </w:t>
            </w:r>
          </w:p>
        </w:tc>
        <w:tc>
          <w:tcPr>
            <w:tcW w:w="724" w:type="dxa"/>
          </w:tcPr>
          <w:p w:rsidR="003B6E11" w:rsidRPr="003B6E11" w:rsidRDefault="003B6E11" w:rsidP="002D015D">
            <w:pPr>
              <w:spacing w:before="40" w:after="40" w:line="240" w:lineRule="atLeast"/>
              <w:rPr>
                <w:noProof/>
                <w:szCs w:val="20"/>
                <w:lang w:val="cs-CZ"/>
              </w:rPr>
            </w:pPr>
          </w:p>
        </w:tc>
        <w:tc>
          <w:tcPr>
            <w:tcW w:w="416" w:type="dxa"/>
          </w:tcPr>
          <w:p w:rsidR="003B6E11" w:rsidRPr="003B6E11" w:rsidRDefault="003B6E11" w:rsidP="002D015D">
            <w:pPr>
              <w:spacing w:before="40" w:after="40" w:line="240" w:lineRule="atLeast"/>
              <w:rPr>
                <w:noProof/>
                <w:szCs w:val="20"/>
                <w:lang w:val="cs-CZ"/>
              </w:rPr>
            </w:pPr>
          </w:p>
        </w:tc>
        <w:tc>
          <w:tcPr>
            <w:tcW w:w="2205" w:type="dxa"/>
          </w:tcPr>
          <w:p w:rsidR="003B6E11" w:rsidRPr="003B6E11" w:rsidRDefault="003B6E11" w:rsidP="002D015D">
            <w:pPr>
              <w:spacing w:before="40" w:after="40" w:line="240" w:lineRule="atLeast"/>
              <w:rPr>
                <w:noProof/>
                <w:szCs w:val="20"/>
                <w:lang w:val="cs-CZ"/>
              </w:rPr>
            </w:pPr>
          </w:p>
        </w:tc>
      </w:tr>
    </w:tbl>
    <w:p w:rsidR="003B6E11" w:rsidRPr="003B6E11" w:rsidRDefault="003B6E11" w:rsidP="003B6E11">
      <w:pPr>
        <w:tabs>
          <w:tab w:val="left" w:pos="993"/>
        </w:tabs>
        <w:spacing w:line="240" w:lineRule="atLeast"/>
        <w:ind w:left="1418" w:hanging="992"/>
        <w:rPr>
          <w:noProof/>
          <w:lang w:val="cs-CZ"/>
        </w:rPr>
      </w:pPr>
    </w:p>
    <w:p w:rsidR="003B6E11" w:rsidRPr="003B6E11" w:rsidRDefault="003B6E11" w:rsidP="003B6E11">
      <w:pPr>
        <w:tabs>
          <w:tab w:val="left" w:pos="993"/>
        </w:tabs>
        <w:spacing w:line="240" w:lineRule="atLeast"/>
        <w:ind w:left="1418" w:hanging="992"/>
        <w:rPr>
          <w:noProof/>
          <w:lang w:val="cs-CZ"/>
        </w:rPr>
      </w:pPr>
      <w:r w:rsidRPr="003B6E11">
        <w:rPr>
          <w:lang w:val="cs-CZ"/>
        </w:rPr>
        <w:t>NNN</w:t>
      </w:r>
      <w:r w:rsidRPr="003B6E11">
        <w:rPr>
          <w:lang w:val="cs-CZ"/>
        </w:rPr>
        <w:tab/>
        <w:t>=</w:t>
      </w:r>
      <w:r w:rsidRPr="003B6E11">
        <w:rPr>
          <w:lang w:val="cs-CZ"/>
        </w:rPr>
        <w:tab/>
        <w:t>třímístné číslo, které určí příslušný orgán.</w:t>
      </w:r>
    </w:p>
    <w:p w:rsidR="003B6E11" w:rsidRPr="003B6E11" w:rsidRDefault="003B6E11" w:rsidP="003B6E11">
      <w:pPr>
        <w:tabs>
          <w:tab w:val="left" w:pos="288"/>
          <w:tab w:val="left" w:pos="432"/>
        </w:tabs>
        <w:overflowPunct w:val="0"/>
        <w:adjustRightInd w:val="0"/>
        <w:textAlignment w:val="baseline"/>
        <w:rPr>
          <w:rFonts w:cs="Arial"/>
          <w:szCs w:val="20"/>
          <w:lang w:val="cs-CZ"/>
        </w:rPr>
      </w:pPr>
    </w:p>
    <w:p w:rsidR="003B6E11" w:rsidRPr="003B6E11" w:rsidRDefault="003B6E11" w:rsidP="003B6E11">
      <w:pPr>
        <w:pStyle w:val="Esannch"/>
        <w:rPr>
          <w:noProof/>
        </w:rPr>
      </w:pPr>
      <w:r w:rsidRPr="003B6E11">
        <w:t>3.</w:t>
      </w:r>
      <w:r w:rsidRPr="003B6E11">
        <w:tab/>
        <w:t xml:space="preserve">Číslo schválení typu se používá pouze ve spojení s příslušným schválením typu. </w:t>
      </w:r>
    </w:p>
    <w:p w:rsidR="003B6E11" w:rsidRPr="003B6E11" w:rsidRDefault="003B6E11" w:rsidP="003B6E11">
      <w:pPr>
        <w:spacing w:line="240" w:lineRule="atLeast"/>
        <w:ind w:left="426"/>
        <w:rPr>
          <w:noProof/>
          <w:lang w:val="cs-CZ"/>
        </w:rPr>
      </w:pPr>
      <w:r w:rsidRPr="003B6E11">
        <w:rPr>
          <w:lang w:val="cs-CZ"/>
        </w:rPr>
        <w:t>Za zhotovení a připevnění čísla schválení typu odpovídá žadatel.</w:t>
      </w:r>
    </w:p>
    <w:p w:rsidR="003B6E11" w:rsidRPr="003B6E11" w:rsidRDefault="003B6E11" w:rsidP="003B6E11">
      <w:pPr>
        <w:tabs>
          <w:tab w:val="left" w:pos="288"/>
          <w:tab w:val="left" w:pos="432"/>
        </w:tabs>
        <w:overflowPunct w:val="0"/>
        <w:adjustRightInd w:val="0"/>
        <w:textAlignment w:val="baseline"/>
        <w:rPr>
          <w:rFonts w:cs="Arial"/>
          <w:szCs w:val="20"/>
          <w:lang w:val="cs-CZ"/>
        </w:rPr>
      </w:pPr>
    </w:p>
    <w:p w:rsidR="003B6E11" w:rsidRPr="003B6E11" w:rsidRDefault="003B6E11" w:rsidP="003B6E11">
      <w:pPr>
        <w:rPr>
          <w:rFonts w:cs="Arial"/>
          <w:szCs w:val="20"/>
          <w:lang w:val="cs-CZ"/>
        </w:rPr>
      </w:pPr>
      <w:r w:rsidRPr="003B6E11">
        <w:rPr>
          <w:lang w:val="cs-CZ"/>
        </w:rPr>
        <w:br w:type="page"/>
      </w:r>
    </w:p>
    <w:p w:rsidR="003B6E11" w:rsidRPr="003B6E11" w:rsidRDefault="003B6E11" w:rsidP="003B6E11">
      <w:pPr>
        <w:tabs>
          <w:tab w:val="left" w:pos="288"/>
          <w:tab w:val="left" w:pos="432"/>
        </w:tabs>
        <w:overflowPunct w:val="0"/>
        <w:adjustRightInd w:val="0"/>
        <w:textAlignment w:val="baseline"/>
        <w:rPr>
          <w:rFonts w:cs="Arial"/>
          <w:szCs w:val="20"/>
          <w:lang w:val="cs-CZ"/>
        </w:rPr>
      </w:pP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b/>
          <w:bCs/>
          <w:szCs w:val="20"/>
          <w:lang w:val="cs-CZ"/>
        </w:rPr>
      </w:pPr>
      <w:r w:rsidRPr="003B6E11">
        <w:rPr>
          <w:b/>
          <w:noProof/>
          <w:lang w:val="cs-CZ"/>
        </w:rPr>
        <w:t>Článek 1.07</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szCs w:val="20"/>
          <w:lang w:val="cs-CZ"/>
        </w:rPr>
      </w:pPr>
      <w:r w:rsidRPr="003B6E11">
        <w:rPr>
          <w:i/>
          <w:noProof/>
          <w:lang w:val="cs-CZ"/>
        </w:rPr>
        <w:t>Prohlášení výrobce</w:t>
      </w:r>
    </w:p>
    <w:p w:rsidR="003B6E11" w:rsidRPr="003B6E11" w:rsidRDefault="003B6E11" w:rsidP="003B6E11">
      <w:pPr>
        <w:tabs>
          <w:tab w:val="left" w:pos="288"/>
          <w:tab w:val="left" w:pos="432"/>
        </w:tabs>
        <w:overflowPunct w:val="0"/>
        <w:adjustRightInd w:val="0"/>
        <w:textAlignment w:val="baseline"/>
        <w:rPr>
          <w:rFonts w:cs="Arial"/>
          <w:szCs w:val="20"/>
          <w:lang w:val="cs-CZ"/>
        </w:rPr>
      </w:pPr>
    </w:p>
    <w:p w:rsidR="003B6E11" w:rsidRPr="003B6E11" w:rsidRDefault="003B6E11" w:rsidP="003B6E11">
      <w:pPr>
        <w:tabs>
          <w:tab w:val="left" w:leader="dot" w:pos="9072"/>
        </w:tabs>
        <w:spacing w:line="240" w:lineRule="atLeast"/>
        <w:rPr>
          <w:rFonts w:cs="Arial"/>
          <w:szCs w:val="20"/>
          <w:lang w:val="cs-CZ"/>
        </w:rPr>
      </w:pPr>
      <w:r w:rsidRPr="003B6E11">
        <w:rPr>
          <w:lang w:val="cs-CZ"/>
        </w:rPr>
        <w:t>Ke každému zařízení musí být přiloženo prohlášení výrobce.</w:t>
      </w:r>
    </w:p>
    <w:p w:rsidR="003B6E11" w:rsidRPr="003B6E11" w:rsidRDefault="003B6E11" w:rsidP="003B6E11">
      <w:pPr>
        <w:tabs>
          <w:tab w:val="left" w:leader="dot" w:pos="9072"/>
        </w:tabs>
        <w:spacing w:line="240" w:lineRule="atLeast"/>
        <w:rPr>
          <w:rFonts w:cs="Arial"/>
          <w:lang w:val="cs-CZ"/>
        </w:rPr>
      </w:pPr>
    </w:p>
    <w:p w:rsidR="003B6E11" w:rsidRPr="003B6E11" w:rsidRDefault="003B6E11" w:rsidP="003B6E11">
      <w:pPr>
        <w:tabs>
          <w:tab w:val="left" w:leader="dot" w:pos="9072"/>
        </w:tabs>
        <w:spacing w:line="240" w:lineRule="atLeast"/>
        <w:rPr>
          <w:rFonts w:cs="Arial"/>
          <w:lang w:val="cs-CZ"/>
        </w:rPr>
      </w:pP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b/>
          <w:bCs/>
          <w:szCs w:val="20"/>
          <w:lang w:val="cs-CZ"/>
        </w:rPr>
      </w:pPr>
      <w:r w:rsidRPr="003B6E11">
        <w:rPr>
          <w:b/>
          <w:noProof/>
          <w:lang w:val="cs-CZ"/>
        </w:rPr>
        <w:t>Článek 1.08</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i/>
          <w:iCs/>
          <w:noProof/>
          <w:szCs w:val="20"/>
          <w:lang w:val="cs-CZ"/>
        </w:rPr>
      </w:pPr>
      <w:r w:rsidRPr="003B6E11">
        <w:rPr>
          <w:i/>
          <w:noProof/>
          <w:lang w:val="cs-CZ"/>
        </w:rPr>
        <w:t>Úpravy schváleného typu zařízení</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szCs w:val="20"/>
          <w:lang w:val="cs-CZ"/>
        </w:rPr>
      </w:pPr>
    </w:p>
    <w:p w:rsidR="003B6E11" w:rsidRPr="003B6E11" w:rsidRDefault="003B6E11" w:rsidP="003B6E11">
      <w:pPr>
        <w:spacing w:line="240" w:lineRule="atLeast"/>
        <w:rPr>
          <w:rFonts w:cs="Arial"/>
          <w:color w:val="000000"/>
          <w:lang w:val="cs-CZ"/>
        </w:rPr>
      </w:pPr>
      <w:r w:rsidRPr="003B6E11">
        <w:rPr>
          <w:color w:val="000000"/>
          <w:lang w:val="cs-CZ"/>
        </w:rPr>
        <w:t>1.</w:t>
      </w:r>
      <w:r w:rsidRPr="003B6E11">
        <w:rPr>
          <w:lang w:val="cs-CZ"/>
        </w:rPr>
        <w:tab/>
      </w:r>
      <w:r w:rsidRPr="003B6E11">
        <w:rPr>
          <w:color w:val="000000"/>
          <w:lang w:val="cs-CZ"/>
        </w:rPr>
        <w:t>Jakákoli úprava již schváleného zařízení vede ke zrušení uděleného schválení typu.</w:t>
      </w:r>
    </w:p>
    <w:p w:rsidR="003B6E11" w:rsidRPr="003B6E11" w:rsidRDefault="003B6E11" w:rsidP="003B6E11">
      <w:pPr>
        <w:spacing w:line="240" w:lineRule="atLeast"/>
        <w:ind w:left="426"/>
        <w:rPr>
          <w:lang w:val="cs-CZ"/>
        </w:rPr>
      </w:pPr>
    </w:p>
    <w:p w:rsidR="003B6E11" w:rsidRPr="003B6E11" w:rsidRDefault="003B6E11" w:rsidP="003B6E11">
      <w:pPr>
        <w:spacing w:line="240" w:lineRule="atLeast"/>
        <w:ind w:left="426"/>
        <w:rPr>
          <w:lang w:val="cs-CZ"/>
        </w:rPr>
      </w:pPr>
      <w:r w:rsidRPr="003B6E11">
        <w:rPr>
          <w:lang w:val="cs-CZ"/>
        </w:rPr>
        <w:t>V případě plánovaných úprav se podrobné informace o těchto úpravách poskytnou v písemné podobě příslušné technické zkušebně.</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2.</w:t>
      </w:r>
      <w:r w:rsidRPr="003B6E11">
        <w:rPr>
          <w:lang w:val="cs-CZ"/>
        </w:rPr>
        <w:tab/>
      </w:r>
      <w:r w:rsidRPr="003B6E11">
        <w:rPr>
          <w:color w:val="000000"/>
          <w:lang w:val="cs-CZ"/>
        </w:rPr>
        <w:t>Příslušný orgán po konzultaci s technickou zkušebnou rozhodne, zda schválení typu nadále platí, nebo zda je nutná prohlídka nebo nová zkouška typu.</w:t>
      </w:r>
    </w:p>
    <w:p w:rsidR="003B6E11" w:rsidRPr="003B6E11" w:rsidRDefault="003B6E11" w:rsidP="003B6E11">
      <w:pPr>
        <w:spacing w:line="240" w:lineRule="atLeast"/>
        <w:ind w:left="426"/>
        <w:rPr>
          <w:lang w:val="cs-CZ"/>
        </w:rPr>
      </w:pPr>
    </w:p>
    <w:p w:rsidR="003B6E11" w:rsidRPr="003B6E11" w:rsidRDefault="003B6E11" w:rsidP="003B6E11">
      <w:pPr>
        <w:spacing w:line="240" w:lineRule="atLeast"/>
        <w:ind w:left="426"/>
        <w:rPr>
          <w:szCs w:val="20"/>
          <w:lang w:val="cs-CZ"/>
        </w:rPr>
      </w:pPr>
      <w:r w:rsidRPr="003B6E11">
        <w:rPr>
          <w:lang w:val="cs-CZ"/>
        </w:rPr>
        <w:t>Je-li provedena nová zkouška typu, přidělí se nové číslo schválení typu.</w:t>
      </w: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p>
    <w:p w:rsidR="003B6E11" w:rsidRPr="003B6E11" w:rsidRDefault="003B6E11" w:rsidP="003B6E11">
      <w:pPr>
        <w:overflowPunct w:val="0"/>
        <w:adjustRightInd w:val="0"/>
        <w:jc w:val="center"/>
        <w:textAlignment w:val="baseline"/>
        <w:rPr>
          <w:rFonts w:cs="Arial"/>
          <w:b/>
          <w:bCs/>
          <w:szCs w:val="20"/>
          <w:lang w:val="cs-CZ"/>
        </w:rPr>
      </w:pPr>
      <w:r w:rsidRPr="003B6E11">
        <w:rPr>
          <w:b/>
          <w:noProof/>
          <w:lang w:val="cs-CZ"/>
        </w:rPr>
        <w:t>Kapitola 2</w:t>
      </w:r>
    </w:p>
    <w:p w:rsidR="003B6E11" w:rsidRPr="003B6E11" w:rsidRDefault="003B6E11" w:rsidP="003B6E11">
      <w:pPr>
        <w:overflowPunct w:val="0"/>
        <w:adjustRightInd w:val="0"/>
        <w:jc w:val="center"/>
        <w:textAlignment w:val="baseline"/>
        <w:rPr>
          <w:rFonts w:cs="Arial"/>
          <w:b/>
          <w:bCs/>
          <w:caps/>
          <w:szCs w:val="20"/>
          <w:lang w:val="cs-CZ"/>
        </w:rPr>
      </w:pPr>
      <w:r w:rsidRPr="003B6E11">
        <w:rPr>
          <w:b/>
          <w:noProof/>
          <w:lang w:val="cs-CZ"/>
        </w:rPr>
        <w:t>Obecné minimální požadavky na ukazatele rychlosti otáčení</w:t>
      </w:r>
    </w:p>
    <w:p w:rsidR="003B6E11" w:rsidRPr="003B6E11" w:rsidRDefault="003B6E11" w:rsidP="003B6E11">
      <w:pPr>
        <w:overflowPunct w:val="0"/>
        <w:adjustRightInd w:val="0"/>
        <w:jc w:val="center"/>
        <w:textAlignment w:val="baseline"/>
        <w:rPr>
          <w:rFonts w:cs="Arial"/>
          <w:szCs w:val="20"/>
          <w:lang w:val="cs-CZ"/>
        </w:rPr>
      </w:pPr>
    </w:p>
    <w:p w:rsidR="003B6E11" w:rsidRPr="003B6E11" w:rsidRDefault="003B6E11" w:rsidP="003B6E11">
      <w:pPr>
        <w:overflowPunct w:val="0"/>
        <w:adjustRightInd w:val="0"/>
        <w:jc w:val="center"/>
        <w:textAlignment w:val="baseline"/>
        <w:rPr>
          <w:rFonts w:cs="Arial"/>
          <w:b/>
          <w:bCs/>
          <w:szCs w:val="20"/>
          <w:lang w:val="cs-CZ"/>
        </w:rPr>
      </w:pPr>
      <w:r w:rsidRPr="003B6E11">
        <w:rPr>
          <w:b/>
          <w:noProof/>
          <w:lang w:val="cs-CZ"/>
        </w:rPr>
        <w:t>Článek 2.01</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i/>
          <w:iCs/>
          <w:noProof/>
          <w:szCs w:val="20"/>
          <w:lang w:val="cs-CZ"/>
        </w:rPr>
      </w:pPr>
      <w:r w:rsidRPr="003B6E11">
        <w:rPr>
          <w:i/>
          <w:noProof/>
          <w:lang w:val="cs-CZ"/>
        </w:rPr>
        <w:t>Konstrukce, provedení</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szCs w:val="20"/>
          <w:lang w:val="cs-CZ"/>
        </w:rPr>
      </w:pPr>
    </w:p>
    <w:p w:rsidR="003B6E11" w:rsidRPr="003B6E11" w:rsidRDefault="003B6E11" w:rsidP="003B6E11">
      <w:pPr>
        <w:spacing w:line="240" w:lineRule="atLeast"/>
        <w:rPr>
          <w:rFonts w:cs="Arial"/>
          <w:snapToGrid w:val="0"/>
          <w:color w:val="000000"/>
          <w:lang w:val="cs-CZ"/>
        </w:rPr>
      </w:pPr>
      <w:r w:rsidRPr="003B6E11">
        <w:rPr>
          <w:snapToGrid w:val="0"/>
          <w:color w:val="000000"/>
          <w:lang w:val="cs-CZ"/>
        </w:rPr>
        <w:t>1.</w:t>
      </w:r>
      <w:r w:rsidRPr="003B6E11">
        <w:rPr>
          <w:lang w:val="cs-CZ"/>
        </w:rPr>
        <w:tab/>
      </w:r>
      <w:r w:rsidRPr="003B6E11">
        <w:rPr>
          <w:noProof/>
          <w:snapToGrid w:val="0"/>
          <w:color w:val="000000"/>
          <w:lang w:val="cs-CZ"/>
        </w:rPr>
        <w:t>Ukazatele rychlosti otáčení musí být vhodné pro provoz na palubě plavidel vnitrozemské plavby.</w:t>
      </w:r>
    </w:p>
    <w:p w:rsidR="003B6E11" w:rsidRPr="003B6E11" w:rsidRDefault="003B6E11" w:rsidP="003B6E11">
      <w:pPr>
        <w:spacing w:line="240" w:lineRule="atLeast"/>
        <w:rPr>
          <w:rFonts w:cs="Arial"/>
          <w:snapToGrid w:val="0"/>
          <w:color w:val="000000"/>
          <w:lang w:val="cs-CZ"/>
        </w:rPr>
      </w:pPr>
    </w:p>
    <w:p w:rsidR="003B6E11" w:rsidRPr="003B6E11" w:rsidRDefault="003B6E11" w:rsidP="003B6E11">
      <w:pPr>
        <w:spacing w:line="240" w:lineRule="atLeast"/>
        <w:rPr>
          <w:rFonts w:cs="Arial"/>
          <w:snapToGrid w:val="0"/>
          <w:color w:val="000000"/>
          <w:lang w:val="cs-CZ"/>
        </w:rPr>
      </w:pPr>
      <w:r w:rsidRPr="003B6E11">
        <w:rPr>
          <w:snapToGrid w:val="0"/>
          <w:color w:val="000000"/>
          <w:lang w:val="cs-CZ"/>
        </w:rPr>
        <w:t>2.</w:t>
      </w:r>
      <w:r w:rsidRPr="003B6E11">
        <w:rPr>
          <w:lang w:val="cs-CZ"/>
        </w:rPr>
        <w:tab/>
      </w:r>
      <w:r w:rsidRPr="003B6E11">
        <w:rPr>
          <w:noProof/>
          <w:snapToGrid w:val="0"/>
          <w:color w:val="000000"/>
          <w:lang w:val="cs-CZ"/>
        </w:rPr>
        <w:t>Konstrukce a provedení zařízení musí z mechanického i elektrického hlediska odpovídat současným osvědčeným postupům v oblasti inženýrství.</w:t>
      </w:r>
    </w:p>
    <w:p w:rsidR="003B6E11" w:rsidRPr="003B6E11" w:rsidRDefault="003B6E11" w:rsidP="003B6E11">
      <w:pPr>
        <w:tabs>
          <w:tab w:val="left" w:leader="dot" w:pos="9072"/>
        </w:tabs>
        <w:spacing w:line="240" w:lineRule="atLeast"/>
        <w:rPr>
          <w:rFonts w:cs="Arial"/>
          <w:snapToGrid w:val="0"/>
          <w:lang w:val="cs-CZ"/>
        </w:rPr>
      </w:pPr>
    </w:p>
    <w:p w:rsidR="003B6E11" w:rsidRPr="003B6E11" w:rsidRDefault="003B6E11" w:rsidP="003B6E11">
      <w:pPr>
        <w:spacing w:line="240" w:lineRule="atLeast"/>
        <w:rPr>
          <w:rFonts w:cs="Arial"/>
          <w:snapToGrid w:val="0"/>
          <w:color w:val="000000"/>
          <w:lang w:val="cs-CZ"/>
        </w:rPr>
      </w:pPr>
      <w:r w:rsidRPr="003B6E11">
        <w:rPr>
          <w:snapToGrid w:val="0"/>
          <w:color w:val="000000"/>
          <w:lang w:val="cs-CZ"/>
        </w:rPr>
        <w:t>3.</w:t>
      </w:r>
      <w:r w:rsidRPr="003B6E11">
        <w:rPr>
          <w:lang w:val="cs-CZ"/>
        </w:rPr>
        <w:tab/>
      </w:r>
      <w:r w:rsidRPr="003B6E11">
        <w:rPr>
          <w:noProof/>
          <w:color w:val="000000"/>
          <w:lang w:val="cs-CZ"/>
        </w:rPr>
        <w:t>Není-li v této normě stanoveno jinak, platí pro napájení, bezpečnost, vzájemné rušení palubních přístrojů, bezpečnou vzdálenost kompasu, odolnost vůči povětrnostním vlivům, mechanickou pevnost, vlivy na životní prostředí, emise hluku a označení zařízení požadavky a zkušební metody uvedené v evropské normě EN 60945 : 2002.</w:t>
      </w:r>
    </w:p>
    <w:p w:rsidR="003B6E11" w:rsidRPr="003B6E11" w:rsidRDefault="003B6E11" w:rsidP="003B6E11">
      <w:pPr>
        <w:spacing w:line="240" w:lineRule="atLeast"/>
        <w:ind w:left="426"/>
        <w:rPr>
          <w:noProof/>
          <w:snapToGrid w:val="0"/>
          <w:lang w:val="cs-CZ"/>
        </w:rPr>
      </w:pPr>
    </w:p>
    <w:p w:rsidR="003B6E11" w:rsidRPr="003B6E11" w:rsidRDefault="003B6E11" w:rsidP="003B6E11">
      <w:pPr>
        <w:spacing w:line="240" w:lineRule="atLeast"/>
        <w:ind w:left="426"/>
        <w:rPr>
          <w:snapToGrid w:val="0"/>
          <w:lang w:val="cs-CZ"/>
        </w:rPr>
      </w:pPr>
      <w:r w:rsidRPr="003B6E11">
        <w:rPr>
          <w:lang w:val="cs-CZ"/>
        </w:rPr>
        <w:t>Zařízení musí splňovat všechny požadavky této přílohy při okolní teplotě v rozpětí od 0 °C do +40 °C.</w:t>
      </w: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r w:rsidRPr="003B6E11">
        <w:rPr>
          <w:lang w:val="cs-CZ"/>
        </w:rPr>
        <w:br w:type="page"/>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b/>
          <w:bCs/>
          <w:szCs w:val="20"/>
          <w:lang w:val="cs-CZ"/>
        </w:rPr>
      </w:pPr>
      <w:r w:rsidRPr="003B6E11">
        <w:rPr>
          <w:b/>
          <w:noProof/>
          <w:lang w:val="cs-CZ"/>
        </w:rPr>
        <w:t>Článek 2.02</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szCs w:val="20"/>
          <w:lang w:val="cs-CZ"/>
        </w:rPr>
      </w:pPr>
      <w:r w:rsidRPr="003B6E11">
        <w:rPr>
          <w:i/>
          <w:noProof/>
          <w:lang w:val="cs-CZ"/>
        </w:rPr>
        <w:t>Nežádoucí vyzařování a elektromagnetická kompatibilita</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1.</w:t>
      </w:r>
      <w:r w:rsidRPr="003B6E11">
        <w:rPr>
          <w:lang w:val="cs-CZ"/>
        </w:rPr>
        <w:tab/>
      </w:r>
      <w:r w:rsidRPr="003B6E11">
        <w:rPr>
          <w:noProof/>
          <w:color w:val="000000"/>
          <w:w w:val="103"/>
          <w:lang w:val="cs-CZ"/>
        </w:rPr>
        <w:t>Obecné požadavky</w:t>
      </w:r>
    </w:p>
    <w:p w:rsidR="003B6E11" w:rsidRPr="003B6E11" w:rsidRDefault="003B6E11" w:rsidP="003B6E11">
      <w:pPr>
        <w:spacing w:line="240" w:lineRule="atLeast"/>
        <w:rPr>
          <w:rFonts w:cs="Arial"/>
          <w:color w:val="000000"/>
          <w:szCs w:val="20"/>
          <w:lang w:val="cs-CZ"/>
        </w:rPr>
      </w:pPr>
    </w:p>
    <w:p w:rsidR="003B6E11" w:rsidRPr="003B6E11" w:rsidRDefault="003B6E11" w:rsidP="003B6E11">
      <w:pPr>
        <w:spacing w:line="240" w:lineRule="atLeast"/>
        <w:rPr>
          <w:szCs w:val="20"/>
          <w:lang w:val="cs-CZ"/>
        </w:rPr>
      </w:pPr>
      <w:r w:rsidRPr="003B6E11">
        <w:rPr>
          <w:lang w:val="cs-CZ"/>
        </w:rPr>
        <w:t>Ukazatele rychlosti otáčení musí splňovat požadavky směrnice 2014/30/EU</w:t>
      </w:r>
      <w:r w:rsidRPr="003B6E11">
        <w:rPr>
          <w:noProof/>
          <w:vertAlign w:val="superscript"/>
          <w:lang w:val="cs-CZ"/>
        </w:rPr>
        <w:footnoteReference w:id="53"/>
      </w:r>
      <w:r w:rsidRPr="003B6E11">
        <w:rPr>
          <w:lang w:val="cs-CZ"/>
        </w:rPr>
        <w:t>.</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2.</w:t>
      </w:r>
      <w:r w:rsidRPr="003B6E11">
        <w:rPr>
          <w:lang w:val="cs-CZ"/>
        </w:rPr>
        <w:tab/>
      </w:r>
      <w:r w:rsidRPr="003B6E11">
        <w:rPr>
          <w:noProof/>
          <w:color w:val="000000"/>
          <w:lang w:val="cs-CZ"/>
        </w:rPr>
        <w:t>Nežádoucí vyzařování</w:t>
      </w:r>
    </w:p>
    <w:p w:rsidR="003B6E11" w:rsidRPr="003B6E11" w:rsidRDefault="003B6E11" w:rsidP="003B6E11">
      <w:pPr>
        <w:spacing w:line="240" w:lineRule="atLeast"/>
        <w:rPr>
          <w:rFonts w:cs="Arial"/>
          <w:color w:val="000000"/>
          <w:szCs w:val="20"/>
          <w:lang w:val="cs-CZ"/>
        </w:rPr>
      </w:pPr>
    </w:p>
    <w:p w:rsidR="003B6E11" w:rsidRPr="003B6E11" w:rsidRDefault="003B6E11" w:rsidP="003B6E11">
      <w:pPr>
        <w:spacing w:line="240" w:lineRule="atLeast"/>
        <w:ind w:left="426"/>
        <w:rPr>
          <w:lang w:val="cs-CZ"/>
        </w:rPr>
      </w:pPr>
      <w:r w:rsidRPr="003B6E11">
        <w:rPr>
          <w:lang w:val="cs-CZ"/>
        </w:rPr>
        <w:t>V kmitočtových rozsazích 156–165 MHz, 450–470 MHz a 1,53–1 544 GHz nesmí intenzita pole přesáhnout hodnotu 15 μV/m. Tyto intenzity pole platí pro zkušební vzdálenost 3 metry od zkoušeného přístroje.</w:t>
      </w:r>
    </w:p>
    <w:p w:rsidR="003B6E11" w:rsidRPr="003B6E11" w:rsidRDefault="003B6E11" w:rsidP="003B6E11">
      <w:pPr>
        <w:tabs>
          <w:tab w:val="left" w:pos="425"/>
        </w:tabs>
        <w:overflowPunct w:val="0"/>
        <w:adjustRightInd w:val="0"/>
        <w:spacing w:line="240" w:lineRule="atLeast"/>
        <w:textAlignment w:val="baseline"/>
        <w:rPr>
          <w:rFonts w:cs="Arial"/>
          <w:szCs w:val="20"/>
          <w:lang w:val="cs-CZ"/>
        </w:rPr>
      </w:pP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b/>
          <w:bCs/>
          <w:szCs w:val="20"/>
          <w:lang w:val="cs-CZ"/>
        </w:rPr>
      </w:pPr>
      <w:r w:rsidRPr="003B6E11">
        <w:rPr>
          <w:b/>
          <w:noProof/>
          <w:lang w:val="cs-CZ"/>
        </w:rPr>
        <w:t>Článek 2.03</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szCs w:val="20"/>
          <w:lang w:val="cs-CZ"/>
        </w:rPr>
      </w:pPr>
      <w:r w:rsidRPr="003B6E11">
        <w:rPr>
          <w:i/>
          <w:noProof/>
          <w:lang w:val="cs-CZ"/>
        </w:rPr>
        <w:t>Obsluha</w:t>
      </w: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p>
    <w:p w:rsidR="003B6E11" w:rsidRPr="003B6E11" w:rsidRDefault="003B6E11" w:rsidP="003B6E11">
      <w:pPr>
        <w:spacing w:line="240" w:lineRule="atLeast"/>
        <w:rPr>
          <w:rFonts w:cs="Arial"/>
          <w:noProof/>
          <w:color w:val="000000"/>
          <w:lang w:val="cs-CZ"/>
        </w:rPr>
      </w:pPr>
      <w:r w:rsidRPr="003B6E11">
        <w:rPr>
          <w:color w:val="000000"/>
          <w:lang w:val="cs-CZ"/>
        </w:rPr>
        <w:t>1.</w:t>
      </w:r>
      <w:r w:rsidRPr="003B6E11">
        <w:rPr>
          <w:lang w:val="cs-CZ"/>
        </w:rPr>
        <w:tab/>
      </w:r>
      <w:r w:rsidRPr="003B6E11">
        <w:rPr>
          <w:color w:val="000000"/>
          <w:lang w:val="cs-CZ"/>
        </w:rPr>
        <w:t>Zařízení nesmí mít více ovládacích jednotek, než je nezbytné pro jeho správnou obsluhu.</w:t>
      </w:r>
    </w:p>
    <w:p w:rsidR="003B6E11" w:rsidRPr="003B6E11" w:rsidRDefault="003B6E11" w:rsidP="003B6E11">
      <w:pPr>
        <w:tabs>
          <w:tab w:val="left" w:pos="425"/>
        </w:tabs>
        <w:overflowPunct w:val="0"/>
        <w:adjustRightInd w:val="0"/>
        <w:spacing w:line="240" w:lineRule="atLeast"/>
        <w:textAlignment w:val="baseline"/>
        <w:rPr>
          <w:rFonts w:cs="Arial"/>
          <w:szCs w:val="20"/>
          <w:lang w:val="cs-CZ"/>
        </w:rPr>
      </w:pPr>
    </w:p>
    <w:p w:rsidR="003B6E11" w:rsidRPr="003B6E11" w:rsidRDefault="003B6E11" w:rsidP="003B6E11">
      <w:pPr>
        <w:spacing w:line="240" w:lineRule="atLeast"/>
        <w:ind w:left="426"/>
        <w:rPr>
          <w:lang w:val="cs-CZ"/>
        </w:rPr>
      </w:pPr>
      <w:r w:rsidRPr="003B6E11">
        <w:rPr>
          <w:lang w:val="cs-CZ"/>
        </w:rPr>
        <w:t xml:space="preserve">Provedení, označení a ovládání ovládacích jednotek musí umožňovat jejich jednoduchou, jednoznačnou a rychlou obsluhu. </w:t>
      </w:r>
    </w:p>
    <w:p w:rsidR="003B6E11" w:rsidRPr="003B6E11" w:rsidRDefault="003B6E11" w:rsidP="003B6E11">
      <w:pPr>
        <w:spacing w:line="240" w:lineRule="atLeast"/>
        <w:ind w:left="426"/>
        <w:rPr>
          <w:lang w:val="cs-CZ"/>
        </w:rPr>
      </w:pPr>
    </w:p>
    <w:p w:rsidR="003B6E11" w:rsidRPr="003B6E11" w:rsidRDefault="003B6E11" w:rsidP="003B6E11">
      <w:pPr>
        <w:spacing w:line="240" w:lineRule="atLeast"/>
        <w:ind w:left="426"/>
        <w:rPr>
          <w:lang w:val="cs-CZ"/>
        </w:rPr>
      </w:pPr>
      <w:r w:rsidRPr="003B6E11">
        <w:rPr>
          <w:lang w:val="cs-CZ"/>
        </w:rPr>
        <w:t>Jejich uspořádání musí být takové, aby při obsluze pokud možno nedocházelo k chybám.</w:t>
      </w:r>
    </w:p>
    <w:p w:rsidR="003B6E11" w:rsidRPr="003B6E11" w:rsidRDefault="003B6E11" w:rsidP="003B6E11">
      <w:pPr>
        <w:spacing w:line="240" w:lineRule="atLeast"/>
        <w:ind w:left="426"/>
        <w:rPr>
          <w:lang w:val="cs-CZ"/>
        </w:rPr>
      </w:pPr>
    </w:p>
    <w:p w:rsidR="003B6E11" w:rsidRPr="003B6E11" w:rsidRDefault="003B6E11" w:rsidP="003B6E11">
      <w:pPr>
        <w:spacing w:line="240" w:lineRule="atLeast"/>
        <w:ind w:left="426"/>
        <w:rPr>
          <w:noProof/>
          <w:lang w:val="cs-CZ"/>
        </w:rPr>
      </w:pPr>
      <w:r w:rsidRPr="003B6E11">
        <w:rPr>
          <w:lang w:val="cs-CZ"/>
        </w:rPr>
        <w:t>Ovládací jednotky, které nejsou nezbytné pro běžný provoz, nesmějí být bezprostředně dostupné.</w:t>
      </w:r>
    </w:p>
    <w:p w:rsidR="003B6E11" w:rsidRPr="003B6E11" w:rsidRDefault="003B6E11" w:rsidP="003B6E11">
      <w:pPr>
        <w:tabs>
          <w:tab w:val="left" w:pos="425"/>
        </w:tabs>
        <w:overflowPunct w:val="0"/>
        <w:adjustRightInd w:val="0"/>
        <w:spacing w:line="240" w:lineRule="atLeast"/>
        <w:textAlignment w:val="baseline"/>
        <w:rPr>
          <w:rFonts w:cs="Arial"/>
          <w:szCs w:val="20"/>
          <w:lang w:val="cs-CZ"/>
        </w:rPr>
      </w:pPr>
    </w:p>
    <w:p w:rsidR="003B6E11" w:rsidRPr="003B6E11" w:rsidRDefault="003B6E11" w:rsidP="003B6E11">
      <w:pPr>
        <w:spacing w:line="240" w:lineRule="atLeast"/>
        <w:rPr>
          <w:rFonts w:cs="Arial"/>
          <w:noProof/>
          <w:color w:val="000000"/>
          <w:lang w:val="cs-CZ"/>
        </w:rPr>
      </w:pPr>
      <w:r w:rsidRPr="003B6E11">
        <w:rPr>
          <w:color w:val="000000"/>
          <w:lang w:val="cs-CZ"/>
        </w:rPr>
        <w:t xml:space="preserve">2. </w:t>
      </w:r>
      <w:r w:rsidRPr="003B6E11">
        <w:rPr>
          <w:lang w:val="cs-CZ"/>
        </w:rPr>
        <w:tab/>
      </w:r>
      <w:r w:rsidRPr="003B6E11">
        <w:rPr>
          <w:rFonts w:ascii="ArialMT" w:hAnsi="ArialMT"/>
          <w:lang w:val="cs-CZ"/>
        </w:rPr>
        <w:t>Všechny ovládací prvky a ukazatele musí být opatřeny symboly a/nebo označeními v angličtině. Symboly musí splňovat požadavky evropské normy EN 60417: 2002 (Grafické symboly pro použití na elektrických zařízeních).</w:t>
      </w:r>
    </w:p>
    <w:p w:rsidR="003B6E11" w:rsidRPr="003B6E11" w:rsidRDefault="003B6E11" w:rsidP="003B6E11">
      <w:pPr>
        <w:tabs>
          <w:tab w:val="left" w:pos="425"/>
        </w:tabs>
        <w:overflowPunct w:val="0"/>
        <w:adjustRightInd w:val="0"/>
        <w:spacing w:line="240" w:lineRule="atLeast"/>
        <w:textAlignment w:val="baseline"/>
        <w:rPr>
          <w:rFonts w:cs="Arial"/>
          <w:szCs w:val="20"/>
          <w:lang w:val="cs-CZ"/>
        </w:rPr>
      </w:pPr>
    </w:p>
    <w:p w:rsidR="003B6E11" w:rsidRPr="003B6E11" w:rsidRDefault="003B6E11" w:rsidP="003B6E11">
      <w:pPr>
        <w:spacing w:line="240" w:lineRule="atLeast"/>
        <w:ind w:left="426"/>
        <w:rPr>
          <w:lang w:val="cs-CZ"/>
        </w:rPr>
      </w:pPr>
      <w:r w:rsidRPr="003B6E11">
        <w:rPr>
          <w:lang w:val="cs-CZ"/>
        </w:rPr>
        <w:t>Všechny číslice a písmena musí mít velikost nejméně 4 mm. Pokud lze prokázat, že z technických důvodů nelze dodržet velikost číslic a písmen 4 mm, a pokud jsou pro účely obsluhy přijatelné menší číslice a písmena, je povoleno zmenšení na 3 mm.</w:t>
      </w:r>
    </w:p>
    <w:p w:rsidR="003B6E11" w:rsidRPr="003B6E11" w:rsidRDefault="003B6E11" w:rsidP="003B6E11">
      <w:pPr>
        <w:tabs>
          <w:tab w:val="left" w:pos="425"/>
        </w:tabs>
        <w:overflowPunct w:val="0"/>
        <w:adjustRightInd w:val="0"/>
        <w:spacing w:line="240" w:lineRule="atLeast"/>
        <w:textAlignment w:val="baseline"/>
        <w:rPr>
          <w:rFonts w:cs="Arial"/>
          <w:szCs w:val="20"/>
          <w:lang w:val="cs-CZ"/>
        </w:rPr>
      </w:pPr>
    </w:p>
    <w:p w:rsidR="003B6E11" w:rsidRPr="003B6E11" w:rsidRDefault="003B6E11" w:rsidP="003B6E11">
      <w:pPr>
        <w:spacing w:line="240" w:lineRule="atLeast"/>
        <w:rPr>
          <w:rFonts w:cs="Arial"/>
          <w:color w:val="000000"/>
          <w:lang w:val="cs-CZ"/>
        </w:rPr>
      </w:pPr>
      <w:r w:rsidRPr="003B6E11">
        <w:rPr>
          <w:color w:val="000000"/>
          <w:lang w:val="cs-CZ"/>
        </w:rPr>
        <w:t>3.</w:t>
      </w:r>
      <w:r w:rsidRPr="003B6E11">
        <w:rPr>
          <w:lang w:val="cs-CZ"/>
        </w:rPr>
        <w:tab/>
      </w:r>
      <w:r w:rsidRPr="003B6E11">
        <w:rPr>
          <w:noProof/>
          <w:color w:val="000000"/>
          <w:lang w:val="cs-CZ"/>
        </w:rPr>
        <w:t>Zařízení musí být navrženo tak, aby chyby obsluhy nemohly způsobit jeho poruchu.</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4.</w:t>
      </w:r>
      <w:r w:rsidRPr="003B6E11">
        <w:rPr>
          <w:lang w:val="cs-CZ"/>
        </w:rPr>
        <w:tab/>
      </w:r>
      <w:r w:rsidRPr="003B6E11">
        <w:rPr>
          <w:noProof/>
          <w:color w:val="000000"/>
          <w:lang w:val="cs-CZ"/>
        </w:rPr>
        <w:t>Jakékoli funkce, které překračují minimální požadavky, např. možnosti připojení na jiné přístroje, musí být takové, aby zařízení za všech podmínek splňovalo minimální požadavky.</w:t>
      </w:r>
    </w:p>
    <w:p w:rsidR="003B6E11" w:rsidRPr="003B6E11" w:rsidRDefault="003B6E11" w:rsidP="003B6E11">
      <w:pPr>
        <w:tabs>
          <w:tab w:val="right" w:pos="9072"/>
        </w:tabs>
        <w:overflowPunct w:val="0"/>
        <w:adjustRightInd w:val="0"/>
        <w:spacing w:line="240" w:lineRule="atLeast"/>
        <w:textAlignment w:val="baseline"/>
        <w:rPr>
          <w:rFonts w:cs="Arial"/>
          <w:szCs w:val="20"/>
          <w:lang w:val="cs-CZ"/>
        </w:rPr>
      </w:pPr>
    </w:p>
    <w:p w:rsidR="003B6E11" w:rsidRPr="003B6E11" w:rsidRDefault="003B6E11" w:rsidP="003B6E11">
      <w:pPr>
        <w:tabs>
          <w:tab w:val="right" w:pos="9072"/>
        </w:tabs>
        <w:overflowPunct w:val="0"/>
        <w:adjustRightInd w:val="0"/>
        <w:spacing w:line="240" w:lineRule="atLeast"/>
        <w:textAlignment w:val="baseline"/>
        <w:rPr>
          <w:rFonts w:cs="Arial"/>
          <w:szCs w:val="20"/>
          <w:lang w:val="cs-CZ"/>
        </w:rPr>
      </w:pP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b/>
          <w:bCs/>
          <w:szCs w:val="20"/>
          <w:lang w:val="cs-CZ"/>
        </w:rPr>
      </w:pPr>
      <w:r w:rsidRPr="003B6E11">
        <w:rPr>
          <w:b/>
          <w:noProof/>
          <w:lang w:val="cs-CZ"/>
        </w:rPr>
        <w:t>Článek 2.04</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szCs w:val="20"/>
          <w:lang w:val="cs-CZ"/>
        </w:rPr>
      </w:pPr>
      <w:r w:rsidRPr="003B6E11">
        <w:rPr>
          <w:i/>
          <w:noProof/>
          <w:lang w:val="cs-CZ"/>
        </w:rPr>
        <w:t>Příručka pro obsluhu</w:t>
      </w:r>
    </w:p>
    <w:p w:rsidR="003B6E11" w:rsidRPr="003B6E11" w:rsidRDefault="003B6E11" w:rsidP="003B6E11">
      <w:pPr>
        <w:tabs>
          <w:tab w:val="left" w:leader="dot" w:pos="9072"/>
        </w:tabs>
        <w:spacing w:line="240" w:lineRule="atLeast"/>
        <w:rPr>
          <w:rFonts w:cs="Arial"/>
          <w:lang w:val="cs-CZ"/>
        </w:rPr>
      </w:pPr>
    </w:p>
    <w:p w:rsidR="003B6E11" w:rsidRPr="003B6E11" w:rsidRDefault="003B6E11" w:rsidP="003B6E11">
      <w:pPr>
        <w:tabs>
          <w:tab w:val="left" w:leader="dot" w:pos="9072"/>
        </w:tabs>
        <w:spacing w:line="240" w:lineRule="atLeast"/>
        <w:rPr>
          <w:rFonts w:cs="Arial"/>
          <w:lang w:val="cs-CZ"/>
        </w:rPr>
      </w:pPr>
      <w:r w:rsidRPr="003B6E11">
        <w:rPr>
          <w:lang w:val="cs-CZ"/>
        </w:rPr>
        <w:t>S každým přístrojem musí být dodána podrobná příručka pro obsluhu. Musí být k dispozici v angličtině, francouzštině, němčině a nizozemštině a obsahovat nejméně tyto informace o:</w:t>
      </w:r>
    </w:p>
    <w:p w:rsidR="003B6E11" w:rsidRPr="003B6E11" w:rsidRDefault="003B6E11" w:rsidP="003B6E11">
      <w:pPr>
        <w:spacing w:before="60" w:line="240" w:lineRule="atLeast"/>
        <w:rPr>
          <w:rFonts w:cs="Arial"/>
          <w:noProof/>
          <w:lang w:val="cs-CZ"/>
        </w:rPr>
      </w:pPr>
      <w:r w:rsidRPr="003B6E11">
        <w:rPr>
          <w:lang w:val="cs-CZ"/>
        </w:rPr>
        <w:t>a)</w:t>
      </w:r>
      <w:r w:rsidRPr="003B6E11">
        <w:rPr>
          <w:lang w:val="cs-CZ"/>
        </w:rPr>
        <w:tab/>
        <w:t>zapnutí a obsluze;</w:t>
      </w:r>
    </w:p>
    <w:p w:rsidR="003B6E11" w:rsidRPr="003B6E11" w:rsidRDefault="003B6E11" w:rsidP="003B6E11">
      <w:pPr>
        <w:spacing w:before="60" w:line="240" w:lineRule="atLeast"/>
        <w:rPr>
          <w:rFonts w:cs="Arial"/>
          <w:noProof/>
          <w:lang w:val="cs-CZ"/>
        </w:rPr>
      </w:pPr>
      <w:r w:rsidRPr="003B6E11">
        <w:rPr>
          <w:lang w:val="cs-CZ"/>
        </w:rPr>
        <w:t>b)</w:t>
      </w:r>
      <w:r w:rsidRPr="003B6E11">
        <w:rPr>
          <w:lang w:val="cs-CZ"/>
        </w:rPr>
        <w:tab/>
        <w:t>údržbě a servisu;</w:t>
      </w:r>
    </w:p>
    <w:p w:rsidR="003B6E11" w:rsidRPr="003B6E11" w:rsidRDefault="003B6E11" w:rsidP="003B6E11">
      <w:pPr>
        <w:spacing w:before="60" w:line="240" w:lineRule="atLeast"/>
        <w:rPr>
          <w:rFonts w:cs="Arial"/>
          <w:noProof/>
          <w:szCs w:val="20"/>
          <w:lang w:val="cs-CZ"/>
        </w:rPr>
      </w:pPr>
      <w:r w:rsidRPr="003B6E11">
        <w:rPr>
          <w:lang w:val="cs-CZ"/>
        </w:rPr>
        <w:t>c)</w:t>
      </w:r>
      <w:r w:rsidRPr="003B6E11">
        <w:rPr>
          <w:lang w:val="cs-CZ"/>
        </w:rPr>
        <w:tab/>
        <w:t>všeobecných bezpečnostních pokynech.</w:t>
      </w: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r w:rsidRPr="003B6E11">
        <w:rPr>
          <w:lang w:val="cs-CZ"/>
        </w:rPr>
        <w:br w:type="page"/>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b/>
          <w:bCs/>
          <w:szCs w:val="20"/>
          <w:lang w:val="cs-CZ"/>
        </w:rPr>
      </w:pPr>
      <w:r w:rsidRPr="003B6E11">
        <w:rPr>
          <w:b/>
          <w:noProof/>
          <w:lang w:val="cs-CZ"/>
        </w:rPr>
        <w:t>Článek 2.05</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szCs w:val="20"/>
          <w:lang w:val="cs-CZ"/>
        </w:rPr>
      </w:pPr>
      <w:r w:rsidRPr="003B6E11">
        <w:rPr>
          <w:i/>
          <w:noProof/>
          <w:lang w:val="cs-CZ"/>
        </w:rPr>
        <w:t>Montáž čidla</w:t>
      </w:r>
    </w:p>
    <w:p w:rsidR="003B6E11" w:rsidRPr="003B6E11" w:rsidRDefault="003B6E11" w:rsidP="003B6E11">
      <w:pPr>
        <w:tabs>
          <w:tab w:val="left" w:pos="425"/>
        </w:tabs>
        <w:overflowPunct w:val="0"/>
        <w:adjustRightInd w:val="0"/>
        <w:spacing w:line="240" w:lineRule="atLeast"/>
        <w:textAlignment w:val="baseline"/>
        <w:rPr>
          <w:rFonts w:eastAsia="Batang" w:cs="Arial"/>
          <w:lang w:val="cs-CZ"/>
        </w:rPr>
      </w:pPr>
    </w:p>
    <w:p w:rsidR="003B6E11" w:rsidRPr="003B6E11" w:rsidRDefault="003B6E11" w:rsidP="003B6E11">
      <w:pPr>
        <w:tabs>
          <w:tab w:val="left" w:leader="dot" w:pos="9072"/>
        </w:tabs>
        <w:spacing w:line="240" w:lineRule="atLeast"/>
        <w:rPr>
          <w:rFonts w:cs="Arial"/>
          <w:szCs w:val="20"/>
          <w:lang w:val="cs-CZ"/>
        </w:rPr>
      </w:pPr>
      <w:r w:rsidRPr="003B6E11">
        <w:rPr>
          <w:lang w:val="cs-CZ"/>
        </w:rPr>
        <w:t>Na čidle ukazatele rychlosti otáčení musí být vyznačen směr namontování vůči rovině kýlu. Aby byla zajištěna co největší necitlivost vůči jiným běžným pohybům lodi, musí být dodány pokyny k montáži.</w:t>
      </w:r>
    </w:p>
    <w:p w:rsidR="003B6E11" w:rsidRPr="003B6E11" w:rsidRDefault="003B6E11" w:rsidP="003B6E11">
      <w:pPr>
        <w:tabs>
          <w:tab w:val="left" w:pos="425"/>
        </w:tabs>
        <w:overflowPunct w:val="0"/>
        <w:adjustRightInd w:val="0"/>
        <w:spacing w:line="240" w:lineRule="atLeast"/>
        <w:textAlignment w:val="baseline"/>
        <w:rPr>
          <w:rFonts w:cs="Arial"/>
          <w:szCs w:val="20"/>
          <w:lang w:val="cs-CZ"/>
        </w:rPr>
      </w:pPr>
    </w:p>
    <w:p w:rsidR="003B6E11" w:rsidRPr="003B6E11" w:rsidRDefault="003B6E11" w:rsidP="003B6E11">
      <w:pPr>
        <w:tabs>
          <w:tab w:val="left" w:pos="425"/>
        </w:tabs>
        <w:overflowPunct w:val="0"/>
        <w:adjustRightInd w:val="0"/>
        <w:spacing w:line="240" w:lineRule="atLeast"/>
        <w:textAlignment w:val="baseline"/>
        <w:rPr>
          <w:rFonts w:cs="Arial"/>
          <w:szCs w:val="20"/>
          <w:lang w:val="cs-CZ"/>
        </w:rPr>
      </w:pPr>
    </w:p>
    <w:p w:rsidR="003B6E11" w:rsidRPr="003B6E11" w:rsidRDefault="003B6E11" w:rsidP="003B6E11">
      <w:pPr>
        <w:overflowPunct w:val="0"/>
        <w:adjustRightInd w:val="0"/>
        <w:spacing w:line="240" w:lineRule="atLeast"/>
        <w:jc w:val="center"/>
        <w:textAlignment w:val="baseline"/>
        <w:rPr>
          <w:rFonts w:cs="Arial"/>
          <w:b/>
          <w:bCs/>
          <w:szCs w:val="20"/>
          <w:lang w:val="cs-CZ"/>
        </w:rPr>
      </w:pPr>
      <w:r w:rsidRPr="003B6E11">
        <w:rPr>
          <w:b/>
          <w:noProof/>
          <w:lang w:val="cs-CZ"/>
        </w:rPr>
        <w:t>Kapitola 3</w:t>
      </w:r>
    </w:p>
    <w:p w:rsidR="003B6E11" w:rsidRPr="003B6E11" w:rsidRDefault="003B6E11" w:rsidP="003B6E11">
      <w:pPr>
        <w:overflowPunct w:val="0"/>
        <w:adjustRightInd w:val="0"/>
        <w:jc w:val="center"/>
        <w:textAlignment w:val="baseline"/>
        <w:rPr>
          <w:rFonts w:cs="Arial"/>
          <w:b/>
          <w:bCs/>
          <w:noProof/>
          <w:szCs w:val="20"/>
          <w:lang w:val="cs-CZ"/>
        </w:rPr>
      </w:pPr>
      <w:r w:rsidRPr="003B6E11">
        <w:rPr>
          <w:b/>
          <w:noProof/>
          <w:lang w:val="cs-CZ"/>
        </w:rPr>
        <w:t>Minimální provozní požadavky na ukazatele rychlosti otáčení</w:t>
      </w:r>
    </w:p>
    <w:p w:rsidR="003B6E11" w:rsidRPr="003B6E11" w:rsidRDefault="003B6E11" w:rsidP="003B6E11">
      <w:pPr>
        <w:overflowPunct w:val="0"/>
        <w:adjustRightInd w:val="0"/>
        <w:jc w:val="center"/>
        <w:textAlignment w:val="baseline"/>
        <w:rPr>
          <w:rFonts w:cs="Arial"/>
          <w:szCs w:val="20"/>
          <w:lang w:val="cs-CZ"/>
        </w:rPr>
      </w:pPr>
    </w:p>
    <w:p w:rsidR="003B6E11" w:rsidRPr="003B6E11" w:rsidRDefault="003B6E11" w:rsidP="003B6E11">
      <w:pPr>
        <w:overflowPunct w:val="0"/>
        <w:adjustRightInd w:val="0"/>
        <w:jc w:val="center"/>
        <w:textAlignment w:val="baseline"/>
        <w:rPr>
          <w:rFonts w:cs="Arial"/>
          <w:b/>
          <w:bCs/>
          <w:szCs w:val="20"/>
          <w:lang w:val="cs-CZ"/>
        </w:rPr>
      </w:pPr>
      <w:r w:rsidRPr="003B6E11">
        <w:rPr>
          <w:b/>
          <w:noProof/>
          <w:lang w:val="cs-CZ"/>
        </w:rPr>
        <w:t>Článek 3.01</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i/>
          <w:iCs/>
          <w:noProof/>
          <w:szCs w:val="20"/>
          <w:lang w:val="cs-CZ"/>
        </w:rPr>
      </w:pPr>
      <w:r w:rsidRPr="003B6E11">
        <w:rPr>
          <w:i/>
          <w:noProof/>
          <w:lang w:val="cs-CZ"/>
        </w:rPr>
        <w:t>Provozní připravenost ukazatele rychlosti otáčení</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szCs w:val="20"/>
          <w:lang w:val="cs-CZ"/>
        </w:rPr>
      </w:pPr>
    </w:p>
    <w:p w:rsidR="003B6E11" w:rsidRPr="003B6E11" w:rsidRDefault="003B6E11" w:rsidP="003B6E11">
      <w:pPr>
        <w:spacing w:line="240" w:lineRule="atLeast"/>
        <w:rPr>
          <w:rFonts w:cs="Arial"/>
          <w:color w:val="000000"/>
          <w:lang w:val="cs-CZ"/>
        </w:rPr>
      </w:pPr>
      <w:r w:rsidRPr="003B6E11">
        <w:rPr>
          <w:color w:val="000000"/>
          <w:lang w:val="cs-CZ"/>
        </w:rPr>
        <w:t>1.</w:t>
      </w:r>
      <w:r w:rsidRPr="003B6E11">
        <w:rPr>
          <w:lang w:val="cs-CZ"/>
        </w:rPr>
        <w:tab/>
      </w:r>
      <w:r w:rsidRPr="003B6E11">
        <w:rPr>
          <w:noProof/>
          <w:color w:val="000000"/>
          <w:lang w:val="cs-CZ"/>
        </w:rPr>
        <w:t>Ukazatel rychlosti otáčení musí být plně funkční do 4 minut od studeného startu a musí pracovat v požadovaných tolerancích přesnosti.</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2.</w:t>
      </w:r>
      <w:r w:rsidRPr="003B6E11">
        <w:rPr>
          <w:lang w:val="cs-CZ"/>
        </w:rPr>
        <w:tab/>
      </w:r>
      <w:r w:rsidRPr="003B6E11">
        <w:rPr>
          <w:noProof/>
          <w:color w:val="000000"/>
          <w:lang w:val="cs-CZ"/>
        </w:rPr>
        <w:t>Na zapnutí ukazatele musí upozornit výstražný signál. Musí být možné současně sledovat i obsluhovat ukazatel rychlosti otáčení.</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3.</w:t>
      </w:r>
      <w:r w:rsidRPr="003B6E11">
        <w:rPr>
          <w:lang w:val="cs-CZ"/>
        </w:rPr>
        <w:tab/>
      </w:r>
      <w:r w:rsidRPr="003B6E11">
        <w:rPr>
          <w:noProof/>
          <w:color w:val="000000"/>
          <w:lang w:val="cs-CZ"/>
        </w:rPr>
        <w:t>Bezdrátové dálkové ovládání není povoleno.</w:t>
      </w: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b/>
          <w:bCs/>
          <w:szCs w:val="20"/>
          <w:lang w:val="cs-CZ"/>
        </w:rPr>
      </w:pPr>
      <w:r w:rsidRPr="003B6E11">
        <w:rPr>
          <w:b/>
          <w:noProof/>
          <w:lang w:val="cs-CZ"/>
        </w:rPr>
        <w:t>Článek 3.02</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i/>
          <w:iCs/>
          <w:noProof/>
          <w:szCs w:val="20"/>
          <w:lang w:val="cs-CZ"/>
        </w:rPr>
      </w:pPr>
      <w:r w:rsidRPr="003B6E11">
        <w:rPr>
          <w:i/>
          <w:noProof/>
          <w:lang w:val="cs-CZ"/>
        </w:rPr>
        <w:t>Zobrazení rychlosti otáčení</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1.</w:t>
      </w:r>
      <w:r w:rsidRPr="003B6E11">
        <w:rPr>
          <w:lang w:val="cs-CZ"/>
        </w:rPr>
        <w:tab/>
      </w:r>
      <w:r w:rsidRPr="003B6E11">
        <w:rPr>
          <w:noProof/>
          <w:color w:val="000000"/>
          <w:lang w:val="cs-CZ"/>
        </w:rPr>
        <w:t>Rychlost otáčení se udává na lineárně dělené stupnici s nulovým bodem uprostřed. Odečítat směr a rozsah rychlosti otáčení musí být možné s potřebnou přesností. Jiné ukazatele než jehlové ukazatele a sloupcové grafy nejsou povoleny.</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2.</w:t>
      </w:r>
      <w:r w:rsidRPr="003B6E11">
        <w:rPr>
          <w:lang w:val="cs-CZ"/>
        </w:rPr>
        <w:tab/>
      </w:r>
      <w:r w:rsidRPr="003B6E11">
        <w:rPr>
          <w:noProof/>
          <w:color w:val="000000"/>
          <w:lang w:val="cs-CZ"/>
        </w:rPr>
        <w:t>Stupnice ukazatele musí být nejméně 20 cm dlouhá a může být kruhová nebo přímková.</w:t>
      </w:r>
    </w:p>
    <w:p w:rsidR="003B6E11" w:rsidRPr="003B6E11" w:rsidRDefault="003B6E11" w:rsidP="003B6E11">
      <w:pPr>
        <w:tabs>
          <w:tab w:val="left" w:pos="425"/>
        </w:tabs>
        <w:overflowPunct w:val="0"/>
        <w:adjustRightInd w:val="0"/>
        <w:spacing w:line="240" w:lineRule="atLeast"/>
        <w:textAlignment w:val="baseline"/>
        <w:rPr>
          <w:rFonts w:cs="Arial"/>
          <w:szCs w:val="20"/>
          <w:lang w:val="cs-CZ"/>
        </w:rPr>
      </w:pPr>
    </w:p>
    <w:p w:rsidR="003B6E11" w:rsidRPr="003B6E11" w:rsidRDefault="003B6E11" w:rsidP="003B6E11">
      <w:pPr>
        <w:tabs>
          <w:tab w:val="left" w:pos="425"/>
        </w:tabs>
        <w:overflowPunct w:val="0"/>
        <w:adjustRightInd w:val="0"/>
        <w:spacing w:line="240" w:lineRule="atLeast"/>
        <w:textAlignment w:val="baseline"/>
        <w:rPr>
          <w:noProof/>
          <w:lang w:val="cs-CZ"/>
        </w:rPr>
      </w:pPr>
      <w:r w:rsidRPr="003B6E11">
        <w:rPr>
          <w:lang w:val="cs-CZ"/>
        </w:rPr>
        <w:tab/>
        <w:t>Přímkové stupnice mohou být uspořádány pouze vodorovně.</w:t>
      </w:r>
    </w:p>
    <w:p w:rsidR="003B6E11" w:rsidRPr="003B6E11" w:rsidRDefault="003B6E11" w:rsidP="003B6E11">
      <w:pPr>
        <w:tabs>
          <w:tab w:val="left" w:pos="425"/>
        </w:tabs>
        <w:overflowPunct w:val="0"/>
        <w:adjustRightInd w:val="0"/>
        <w:spacing w:line="240" w:lineRule="atLeast"/>
        <w:textAlignment w:val="baseline"/>
        <w:rPr>
          <w:rFonts w:cs="Arial"/>
          <w:szCs w:val="2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3.</w:t>
      </w:r>
      <w:r w:rsidRPr="003B6E11">
        <w:rPr>
          <w:lang w:val="cs-CZ"/>
        </w:rPr>
        <w:tab/>
      </w:r>
      <w:r w:rsidRPr="003B6E11">
        <w:rPr>
          <w:noProof/>
          <w:color w:val="000000"/>
          <w:lang w:val="cs-CZ"/>
        </w:rPr>
        <w:t>Pouze digitální ukazatele nejsou povoleny.</w:t>
      </w: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b/>
          <w:bCs/>
          <w:szCs w:val="20"/>
          <w:lang w:val="cs-CZ"/>
        </w:rPr>
      </w:pPr>
      <w:r w:rsidRPr="003B6E11">
        <w:rPr>
          <w:b/>
          <w:noProof/>
          <w:lang w:val="cs-CZ"/>
        </w:rPr>
        <w:t>Článek 3.03</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i/>
          <w:iCs/>
          <w:noProof/>
          <w:szCs w:val="20"/>
          <w:lang w:val="cs-CZ"/>
        </w:rPr>
      </w:pPr>
      <w:r w:rsidRPr="003B6E11">
        <w:rPr>
          <w:i/>
          <w:noProof/>
          <w:lang w:val="cs-CZ"/>
        </w:rPr>
        <w:t>Měřicí rozsahy</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szCs w:val="20"/>
          <w:lang w:val="cs-CZ"/>
        </w:rPr>
      </w:pPr>
    </w:p>
    <w:p w:rsidR="003B6E11" w:rsidRPr="003B6E11" w:rsidRDefault="003B6E11" w:rsidP="003B6E11">
      <w:pPr>
        <w:tabs>
          <w:tab w:val="left" w:leader="dot" w:pos="9072"/>
        </w:tabs>
        <w:spacing w:line="240" w:lineRule="atLeast"/>
        <w:rPr>
          <w:rFonts w:cs="Arial"/>
          <w:lang w:val="cs-CZ"/>
        </w:rPr>
      </w:pPr>
      <w:r w:rsidRPr="003B6E11">
        <w:rPr>
          <w:lang w:val="cs-CZ"/>
        </w:rPr>
        <w:t>Ukazatele rychlosti otáčení mohou být vybaveny jedním nebo několika měřicími rozsahy. Doporučují se tyto měřicí rozsahy:</w:t>
      </w:r>
    </w:p>
    <w:p w:rsidR="003B6E11" w:rsidRPr="003B6E11" w:rsidRDefault="003B6E11" w:rsidP="003B6E11">
      <w:pPr>
        <w:tabs>
          <w:tab w:val="left" w:pos="-340"/>
          <w:tab w:val="decimal" w:pos="709"/>
          <w:tab w:val="left" w:pos="851"/>
        </w:tabs>
        <w:overflowPunct w:val="0"/>
        <w:adjustRightInd w:val="0"/>
        <w:textAlignment w:val="baseline"/>
        <w:rPr>
          <w:rFonts w:cs="Arial"/>
          <w:szCs w:val="20"/>
          <w:lang w:val="cs-CZ"/>
        </w:rPr>
      </w:pPr>
      <w:r w:rsidRPr="003B6E11">
        <w:rPr>
          <w:lang w:val="cs-CZ"/>
        </w:rPr>
        <w:tab/>
        <w:t>30°/min,</w:t>
      </w:r>
    </w:p>
    <w:p w:rsidR="003B6E11" w:rsidRPr="003B6E11" w:rsidRDefault="003B6E11" w:rsidP="003B6E11">
      <w:pPr>
        <w:tabs>
          <w:tab w:val="left" w:pos="-340"/>
          <w:tab w:val="decimal" w:pos="709"/>
          <w:tab w:val="left" w:pos="851"/>
        </w:tabs>
        <w:overflowPunct w:val="0"/>
        <w:adjustRightInd w:val="0"/>
        <w:textAlignment w:val="baseline"/>
        <w:rPr>
          <w:rFonts w:cs="Arial"/>
          <w:szCs w:val="20"/>
          <w:lang w:val="cs-CZ"/>
        </w:rPr>
      </w:pPr>
      <w:r w:rsidRPr="003B6E11">
        <w:rPr>
          <w:lang w:val="cs-CZ"/>
        </w:rPr>
        <w:tab/>
        <w:t>60°/min,</w:t>
      </w:r>
    </w:p>
    <w:p w:rsidR="003B6E11" w:rsidRPr="003B6E11" w:rsidRDefault="003B6E11" w:rsidP="003B6E11">
      <w:pPr>
        <w:tabs>
          <w:tab w:val="left" w:pos="-340"/>
          <w:tab w:val="decimal" w:pos="709"/>
          <w:tab w:val="left" w:pos="851"/>
        </w:tabs>
        <w:overflowPunct w:val="0"/>
        <w:adjustRightInd w:val="0"/>
        <w:textAlignment w:val="baseline"/>
        <w:rPr>
          <w:rFonts w:cs="Arial"/>
          <w:szCs w:val="20"/>
          <w:lang w:val="cs-CZ"/>
        </w:rPr>
      </w:pPr>
      <w:r w:rsidRPr="003B6E11">
        <w:rPr>
          <w:lang w:val="cs-CZ"/>
        </w:rPr>
        <w:tab/>
        <w:t>90°/min,</w:t>
      </w:r>
    </w:p>
    <w:p w:rsidR="003B6E11" w:rsidRPr="003B6E11" w:rsidRDefault="003B6E11" w:rsidP="003B6E11">
      <w:pPr>
        <w:tabs>
          <w:tab w:val="left" w:pos="-340"/>
          <w:tab w:val="decimal" w:pos="709"/>
          <w:tab w:val="left" w:pos="851"/>
        </w:tabs>
        <w:overflowPunct w:val="0"/>
        <w:adjustRightInd w:val="0"/>
        <w:textAlignment w:val="baseline"/>
        <w:rPr>
          <w:rFonts w:cs="Arial"/>
          <w:szCs w:val="20"/>
          <w:lang w:val="cs-CZ"/>
        </w:rPr>
      </w:pPr>
      <w:r w:rsidRPr="003B6E11">
        <w:rPr>
          <w:lang w:val="cs-CZ"/>
        </w:rPr>
        <w:tab/>
        <w:t>180°/min,</w:t>
      </w:r>
    </w:p>
    <w:p w:rsidR="003B6E11" w:rsidRPr="003B6E11" w:rsidRDefault="003B6E11" w:rsidP="003B6E11">
      <w:pPr>
        <w:tabs>
          <w:tab w:val="left" w:pos="-340"/>
          <w:tab w:val="decimal" w:pos="709"/>
          <w:tab w:val="left" w:pos="851"/>
        </w:tabs>
        <w:overflowPunct w:val="0"/>
        <w:adjustRightInd w:val="0"/>
        <w:textAlignment w:val="baseline"/>
        <w:rPr>
          <w:rFonts w:cs="Arial"/>
          <w:szCs w:val="20"/>
          <w:lang w:val="cs-CZ"/>
        </w:rPr>
      </w:pPr>
      <w:r w:rsidRPr="003B6E11">
        <w:rPr>
          <w:lang w:val="cs-CZ"/>
        </w:rPr>
        <w:tab/>
        <w:t>300°/min.</w:t>
      </w:r>
    </w:p>
    <w:p w:rsidR="003B6E11" w:rsidRPr="003B6E11" w:rsidRDefault="003B6E11" w:rsidP="003B6E11">
      <w:pPr>
        <w:tabs>
          <w:tab w:val="right" w:pos="9072"/>
        </w:tabs>
        <w:overflowPunct w:val="0"/>
        <w:adjustRightInd w:val="0"/>
        <w:spacing w:line="240" w:lineRule="atLeast"/>
        <w:textAlignment w:val="baseline"/>
        <w:rPr>
          <w:rFonts w:cs="Arial"/>
          <w:szCs w:val="20"/>
          <w:lang w:val="cs-CZ"/>
        </w:rPr>
      </w:pPr>
    </w:p>
    <w:p w:rsidR="003B6E11" w:rsidRPr="003B6E11" w:rsidRDefault="003B6E11" w:rsidP="003B6E11">
      <w:pPr>
        <w:tabs>
          <w:tab w:val="right" w:pos="9072"/>
        </w:tabs>
        <w:overflowPunct w:val="0"/>
        <w:adjustRightInd w:val="0"/>
        <w:spacing w:line="240" w:lineRule="atLeast"/>
        <w:textAlignment w:val="baseline"/>
        <w:rPr>
          <w:rFonts w:cs="Arial"/>
          <w:szCs w:val="20"/>
          <w:lang w:val="cs-CZ"/>
        </w:rPr>
      </w:pPr>
      <w:r w:rsidRPr="003B6E11">
        <w:rPr>
          <w:lang w:val="cs-CZ"/>
        </w:rPr>
        <w:br w:type="page"/>
      </w:r>
    </w:p>
    <w:p w:rsidR="003B6E11" w:rsidRPr="003B6E11" w:rsidRDefault="003B6E11" w:rsidP="003B6E11">
      <w:pPr>
        <w:overflowPunct w:val="0"/>
        <w:adjustRightInd w:val="0"/>
        <w:jc w:val="center"/>
        <w:textAlignment w:val="baseline"/>
        <w:rPr>
          <w:rFonts w:cs="Arial"/>
          <w:b/>
          <w:bCs/>
          <w:szCs w:val="20"/>
          <w:lang w:val="cs-CZ"/>
        </w:rPr>
      </w:pPr>
      <w:r w:rsidRPr="003B6E11">
        <w:rPr>
          <w:b/>
          <w:noProof/>
          <w:lang w:val="cs-CZ"/>
        </w:rPr>
        <w:t>Článek 3.04</w:t>
      </w:r>
    </w:p>
    <w:p w:rsidR="003B6E11" w:rsidRPr="003B6E11" w:rsidRDefault="003B6E11" w:rsidP="003B6E11">
      <w:pPr>
        <w:tabs>
          <w:tab w:val="left" w:leader="dot" w:pos="9072"/>
        </w:tabs>
        <w:spacing w:line="240" w:lineRule="atLeast"/>
        <w:jc w:val="center"/>
        <w:rPr>
          <w:rFonts w:cs="Arial"/>
          <w:i/>
          <w:iCs/>
          <w:noProof/>
          <w:szCs w:val="20"/>
          <w:lang w:val="cs-CZ"/>
        </w:rPr>
      </w:pPr>
      <w:r w:rsidRPr="003B6E11">
        <w:rPr>
          <w:i/>
          <w:noProof/>
          <w:lang w:val="cs-CZ"/>
        </w:rPr>
        <w:t>Přesnost udané rychlosti otáčení</w:t>
      </w:r>
    </w:p>
    <w:p w:rsidR="003B6E11" w:rsidRPr="003B6E11" w:rsidRDefault="003B6E11" w:rsidP="003B6E11">
      <w:pPr>
        <w:tabs>
          <w:tab w:val="left" w:leader="dot" w:pos="9072"/>
        </w:tabs>
        <w:spacing w:line="240" w:lineRule="atLeast"/>
        <w:jc w:val="center"/>
        <w:rPr>
          <w:rFonts w:cs="Arial"/>
          <w:lang w:val="cs-CZ"/>
        </w:rPr>
      </w:pPr>
    </w:p>
    <w:p w:rsidR="003B6E11" w:rsidRPr="003B6E11" w:rsidRDefault="003B6E11" w:rsidP="003B6E11">
      <w:pPr>
        <w:tabs>
          <w:tab w:val="left" w:leader="dot" w:pos="9072"/>
        </w:tabs>
        <w:spacing w:line="240" w:lineRule="atLeast"/>
        <w:rPr>
          <w:rFonts w:cs="Arial"/>
          <w:lang w:val="cs-CZ"/>
        </w:rPr>
      </w:pPr>
      <w:r w:rsidRPr="003B6E11">
        <w:rPr>
          <w:lang w:val="cs-CZ"/>
        </w:rPr>
        <w:t>Udaná rychlost otáčení se nesmí lišit o více než 2 % od měřitelné maximální hodnoty nebo o více než 10 % od skutečné hodnoty podle toho, která hodnota je větší (viz dodatek).</w:t>
      </w:r>
    </w:p>
    <w:p w:rsidR="003B6E11" w:rsidRPr="003B6E11" w:rsidRDefault="003B6E11" w:rsidP="003B6E11">
      <w:pPr>
        <w:tabs>
          <w:tab w:val="left" w:leader="dot" w:pos="9072"/>
        </w:tabs>
        <w:spacing w:line="240" w:lineRule="atLeast"/>
        <w:rPr>
          <w:rFonts w:cs="Arial"/>
          <w:lang w:val="cs-CZ"/>
        </w:rPr>
      </w:pPr>
    </w:p>
    <w:p w:rsidR="003B6E11" w:rsidRPr="003B6E11" w:rsidRDefault="003B6E11" w:rsidP="003B6E11">
      <w:pPr>
        <w:tabs>
          <w:tab w:val="left" w:leader="dot" w:pos="9072"/>
        </w:tabs>
        <w:spacing w:line="240" w:lineRule="atLeast"/>
        <w:rPr>
          <w:rFonts w:cs="Arial"/>
          <w:lang w:val="cs-CZ"/>
        </w:rPr>
      </w:pP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b/>
          <w:bCs/>
          <w:szCs w:val="20"/>
          <w:lang w:val="cs-CZ"/>
        </w:rPr>
      </w:pPr>
      <w:r w:rsidRPr="003B6E11">
        <w:rPr>
          <w:b/>
          <w:noProof/>
          <w:lang w:val="cs-CZ"/>
        </w:rPr>
        <w:t>Článek 3.05</w:t>
      </w:r>
    </w:p>
    <w:p w:rsidR="003B6E11" w:rsidRPr="003B6E11" w:rsidRDefault="003B6E11" w:rsidP="003B6E11">
      <w:pPr>
        <w:tabs>
          <w:tab w:val="left" w:leader="dot" w:pos="9072"/>
        </w:tabs>
        <w:spacing w:line="240" w:lineRule="atLeast"/>
        <w:jc w:val="center"/>
        <w:rPr>
          <w:rFonts w:cs="Arial"/>
          <w:lang w:val="cs-CZ"/>
        </w:rPr>
      </w:pPr>
      <w:r w:rsidRPr="003B6E11">
        <w:rPr>
          <w:i/>
          <w:noProof/>
          <w:lang w:val="cs-CZ"/>
        </w:rPr>
        <w:t>Citlivost</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lang w:val="cs-CZ"/>
        </w:rPr>
      </w:pPr>
      <w:r w:rsidRPr="003B6E11">
        <w:rPr>
          <w:lang w:val="cs-CZ"/>
        </w:rPr>
        <w:t>Práh rozlišitelnosti musí být menší nebo roven změně úhlové rychlosti rovnající se 1 % udávané hodnoty.</w:t>
      </w:r>
    </w:p>
    <w:p w:rsidR="003B6E11" w:rsidRPr="003B6E11" w:rsidRDefault="003B6E11" w:rsidP="003B6E11">
      <w:pPr>
        <w:tabs>
          <w:tab w:val="left" w:leader="dot" w:pos="9072"/>
        </w:tabs>
        <w:spacing w:line="240" w:lineRule="atLeast"/>
        <w:rPr>
          <w:rFonts w:cs="Arial"/>
          <w:lang w:val="cs-CZ"/>
        </w:rPr>
      </w:pPr>
    </w:p>
    <w:p w:rsidR="003B6E11" w:rsidRPr="003B6E11" w:rsidRDefault="003B6E11" w:rsidP="003B6E11">
      <w:pPr>
        <w:tabs>
          <w:tab w:val="left" w:leader="dot" w:pos="9072"/>
        </w:tabs>
        <w:spacing w:line="240" w:lineRule="atLeast"/>
        <w:rPr>
          <w:rFonts w:cs="Arial"/>
          <w:lang w:val="cs-CZ"/>
        </w:rPr>
      </w:pP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b/>
          <w:bCs/>
          <w:szCs w:val="20"/>
          <w:lang w:val="cs-CZ"/>
        </w:rPr>
      </w:pPr>
      <w:r w:rsidRPr="003B6E11">
        <w:rPr>
          <w:b/>
          <w:noProof/>
          <w:lang w:val="cs-CZ"/>
        </w:rPr>
        <w:t>Článek 3.06</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szCs w:val="20"/>
          <w:lang w:val="cs-CZ"/>
        </w:rPr>
      </w:pPr>
      <w:r w:rsidRPr="003B6E11">
        <w:rPr>
          <w:i/>
          <w:noProof/>
          <w:lang w:val="cs-CZ"/>
        </w:rPr>
        <w:t>Kontrola funkčnosti</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1.</w:t>
      </w:r>
      <w:r w:rsidRPr="003B6E11">
        <w:rPr>
          <w:lang w:val="cs-CZ"/>
        </w:rPr>
        <w:tab/>
      </w:r>
      <w:r w:rsidRPr="003B6E11">
        <w:rPr>
          <w:noProof/>
          <w:color w:val="000000"/>
          <w:lang w:val="cs-CZ"/>
        </w:rPr>
        <w:t>Nepracuje-li ukazatel rychlosti otáčení v požadovaných mezích přesnosti, musí to být signalizováno.</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2.</w:t>
      </w:r>
      <w:r w:rsidRPr="003B6E11">
        <w:rPr>
          <w:lang w:val="cs-CZ"/>
        </w:rPr>
        <w:tab/>
      </w:r>
      <w:r w:rsidRPr="003B6E11">
        <w:rPr>
          <w:noProof/>
          <w:color w:val="000000"/>
          <w:lang w:val="cs-CZ"/>
        </w:rPr>
        <w:t>Používá-li se gyroskop, musí být kritický pokles rychlosti otáčení gyroskopu signalizováno ukazatelem. Kritickým poklesem rychlosti otáčení gyroskopu se rozumí pokles, který snižuje přesnost o 10 %.</w:t>
      </w: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b/>
          <w:bCs/>
          <w:szCs w:val="20"/>
          <w:lang w:val="cs-CZ"/>
        </w:rPr>
      </w:pPr>
      <w:r w:rsidRPr="003B6E11">
        <w:rPr>
          <w:b/>
          <w:noProof/>
          <w:lang w:val="cs-CZ"/>
        </w:rPr>
        <w:t>Článek 3.07</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i/>
          <w:iCs/>
          <w:noProof/>
          <w:szCs w:val="20"/>
          <w:lang w:val="cs-CZ"/>
        </w:rPr>
      </w:pPr>
      <w:r w:rsidRPr="003B6E11">
        <w:rPr>
          <w:i/>
          <w:noProof/>
          <w:lang w:val="cs-CZ"/>
        </w:rPr>
        <w:t>Necitlivost vůči běžným pohybům plavidla</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1.</w:t>
      </w:r>
      <w:r w:rsidRPr="003B6E11">
        <w:rPr>
          <w:lang w:val="cs-CZ"/>
        </w:rPr>
        <w:tab/>
      </w:r>
      <w:r w:rsidRPr="003B6E11">
        <w:rPr>
          <w:color w:val="000000"/>
          <w:lang w:val="cs-CZ"/>
        </w:rPr>
        <w:t>Kolébání lodi do 10° při rychlosti otáčení do 4°/s nesmí způsobit chyby měření přesahující stanovené tolerance.</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2.</w:t>
      </w:r>
      <w:r w:rsidRPr="003B6E11">
        <w:rPr>
          <w:lang w:val="cs-CZ"/>
        </w:rPr>
        <w:tab/>
      </w:r>
      <w:r w:rsidRPr="003B6E11">
        <w:rPr>
          <w:noProof/>
          <w:color w:val="000000"/>
          <w:lang w:val="cs-CZ"/>
        </w:rPr>
        <w:t>Nárazy, například takové, ke kterým může docházet během stání lodi, nesmí způsobit chyby měření přesahující stanovené tolerance.</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p>
    <w:p w:rsidR="003B6E11" w:rsidRPr="003B6E11" w:rsidRDefault="003B6E11" w:rsidP="003B6E11">
      <w:pPr>
        <w:overflowPunct w:val="0"/>
        <w:adjustRightInd w:val="0"/>
        <w:jc w:val="center"/>
        <w:textAlignment w:val="baseline"/>
        <w:rPr>
          <w:rFonts w:cs="Arial"/>
          <w:b/>
          <w:bCs/>
          <w:szCs w:val="20"/>
          <w:lang w:val="cs-CZ"/>
        </w:rPr>
      </w:pPr>
      <w:r w:rsidRPr="003B6E11">
        <w:rPr>
          <w:b/>
          <w:noProof/>
          <w:lang w:val="cs-CZ"/>
        </w:rPr>
        <w:t>Článek 3.08</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szCs w:val="20"/>
          <w:lang w:val="cs-CZ"/>
        </w:rPr>
      </w:pPr>
      <w:r w:rsidRPr="003B6E11">
        <w:rPr>
          <w:i/>
          <w:noProof/>
          <w:lang w:val="cs-CZ"/>
        </w:rPr>
        <w:t>Necitlivost vůči magnetickým polím</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szCs w:val="20"/>
          <w:lang w:val="cs-CZ"/>
        </w:rPr>
      </w:pPr>
      <w:r w:rsidRPr="003B6E11">
        <w:rPr>
          <w:lang w:val="cs-CZ"/>
        </w:rPr>
        <w:t>Ukazatel rychlosti otáčení nesmí být citlivý na magnetická pole, která se obvykle vyskytují na palubě lodi.</w:t>
      </w: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p>
    <w:p w:rsidR="003B6E11" w:rsidRPr="003B6E11" w:rsidRDefault="003B6E11" w:rsidP="003B6E11">
      <w:pPr>
        <w:overflowPunct w:val="0"/>
        <w:adjustRightInd w:val="0"/>
        <w:jc w:val="center"/>
        <w:textAlignment w:val="baseline"/>
        <w:rPr>
          <w:rFonts w:cs="Arial"/>
          <w:b/>
          <w:bCs/>
          <w:szCs w:val="20"/>
          <w:lang w:val="cs-CZ"/>
        </w:rPr>
      </w:pPr>
      <w:r w:rsidRPr="003B6E11">
        <w:rPr>
          <w:b/>
          <w:noProof/>
          <w:lang w:val="cs-CZ"/>
        </w:rPr>
        <w:t>Článek 3.09</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i/>
          <w:iCs/>
          <w:noProof/>
          <w:szCs w:val="20"/>
          <w:lang w:val="cs-CZ"/>
        </w:rPr>
      </w:pPr>
      <w:r w:rsidRPr="003B6E11">
        <w:rPr>
          <w:i/>
          <w:noProof/>
          <w:lang w:val="cs-CZ"/>
        </w:rPr>
        <w:t>Pomocné ukazatele</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szCs w:val="20"/>
          <w:lang w:val="cs-CZ"/>
        </w:rPr>
      </w:pPr>
    </w:p>
    <w:p w:rsidR="003B6E11" w:rsidRPr="003B6E11" w:rsidRDefault="003B6E11" w:rsidP="003B6E11">
      <w:pPr>
        <w:tabs>
          <w:tab w:val="left" w:leader="dot" w:pos="9072"/>
        </w:tabs>
        <w:spacing w:line="240" w:lineRule="atLeast"/>
        <w:rPr>
          <w:rFonts w:cs="Arial"/>
          <w:noProof/>
          <w:lang w:val="cs-CZ"/>
        </w:rPr>
      </w:pPr>
      <w:r w:rsidRPr="003B6E11">
        <w:rPr>
          <w:lang w:val="cs-CZ"/>
        </w:rPr>
        <w:t>Pomocné ukazatele musí splňovat všechny požadavky použitelné pro ukazatele rychlosti otáčení.</w:t>
      </w:r>
    </w:p>
    <w:p w:rsidR="003B6E11" w:rsidRPr="003B6E11" w:rsidRDefault="003B6E11" w:rsidP="003B6E11">
      <w:pPr>
        <w:tabs>
          <w:tab w:val="left" w:leader="dot" w:pos="9072"/>
        </w:tabs>
        <w:spacing w:line="240" w:lineRule="atLeast"/>
        <w:rPr>
          <w:rFonts w:cs="Arial"/>
          <w:lang w:val="cs-CZ"/>
        </w:rPr>
      </w:pPr>
    </w:p>
    <w:p w:rsidR="003B6E11" w:rsidRPr="003B6E11" w:rsidRDefault="003B6E11" w:rsidP="003B6E11">
      <w:pPr>
        <w:tabs>
          <w:tab w:val="right" w:pos="9072"/>
        </w:tabs>
        <w:overflowPunct w:val="0"/>
        <w:adjustRightInd w:val="0"/>
        <w:spacing w:line="240" w:lineRule="atLeast"/>
        <w:textAlignment w:val="baseline"/>
        <w:rPr>
          <w:rFonts w:cs="Arial"/>
          <w:szCs w:val="20"/>
          <w:lang w:val="cs-CZ"/>
        </w:rPr>
      </w:pPr>
      <w:r w:rsidRPr="003B6E11">
        <w:rPr>
          <w:lang w:val="cs-CZ"/>
        </w:rPr>
        <w:br w:type="page"/>
      </w:r>
    </w:p>
    <w:p w:rsidR="003B6E11" w:rsidRPr="003B6E11" w:rsidRDefault="003B6E11" w:rsidP="003B6E11">
      <w:pPr>
        <w:tabs>
          <w:tab w:val="left" w:pos="284"/>
          <w:tab w:val="left" w:pos="454"/>
          <w:tab w:val="left" w:pos="680"/>
          <w:tab w:val="left" w:pos="1021"/>
        </w:tabs>
        <w:overflowPunct w:val="0"/>
        <w:adjustRightInd w:val="0"/>
        <w:spacing w:line="240" w:lineRule="atLeast"/>
        <w:jc w:val="center"/>
        <w:textAlignment w:val="baseline"/>
        <w:rPr>
          <w:rFonts w:cs="Arial"/>
          <w:b/>
          <w:bCs/>
          <w:szCs w:val="20"/>
          <w:lang w:val="cs-CZ"/>
        </w:rPr>
      </w:pPr>
      <w:r w:rsidRPr="003B6E11">
        <w:rPr>
          <w:b/>
          <w:noProof/>
          <w:lang w:val="cs-CZ"/>
        </w:rPr>
        <w:t>Kapitola 4</w:t>
      </w:r>
    </w:p>
    <w:p w:rsidR="003B6E11" w:rsidRPr="003B6E11" w:rsidRDefault="003B6E11" w:rsidP="003B6E11">
      <w:pPr>
        <w:tabs>
          <w:tab w:val="left" w:pos="284"/>
          <w:tab w:val="left" w:pos="454"/>
          <w:tab w:val="left" w:pos="680"/>
          <w:tab w:val="left" w:pos="1021"/>
        </w:tabs>
        <w:overflowPunct w:val="0"/>
        <w:adjustRightInd w:val="0"/>
        <w:spacing w:line="240" w:lineRule="atLeast"/>
        <w:jc w:val="center"/>
        <w:textAlignment w:val="baseline"/>
        <w:rPr>
          <w:rFonts w:cs="Arial"/>
          <w:szCs w:val="20"/>
          <w:lang w:val="cs-CZ"/>
        </w:rPr>
      </w:pPr>
      <w:r w:rsidRPr="003B6E11">
        <w:rPr>
          <w:b/>
          <w:noProof/>
          <w:lang w:val="cs-CZ"/>
        </w:rPr>
        <w:t>Minimální technické požadavky na ukazatele rychlosti otáčení</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b/>
          <w:bCs/>
          <w:noProof/>
          <w:szCs w:val="20"/>
          <w:lang w:val="cs-CZ"/>
        </w:rPr>
      </w:pP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b/>
          <w:bCs/>
          <w:szCs w:val="20"/>
          <w:lang w:val="cs-CZ"/>
        </w:rPr>
      </w:pPr>
      <w:r w:rsidRPr="003B6E11">
        <w:rPr>
          <w:b/>
          <w:noProof/>
          <w:lang w:val="cs-CZ"/>
        </w:rPr>
        <w:t>Článek 4.01</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i/>
          <w:iCs/>
          <w:noProof/>
          <w:szCs w:val="20"/>
          <w:lang w:val="cs-CZ"/>
        </w:rPr>
      </w:pPr>
      <w:r w:rsidRPr="003B6E11">
        <w:rPr>
          <w:i/>
          <w:noProof/>
          <w:lang w:val="cs-CZ"/>
        </w:rPr>
        <w:t>Obsluha</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szCs w:val="20"/>
          <w:lang w:val="cs-CZ"/>
        </w:rPr>
      </w:pPr>
    </w:p>
    <w:p w:rsidR="003B6E11" w:rsidRPr="003B6E11" w:rsidRDefault="003B6E11" w:rsidP="003B6E11">
      <w:pPr>
        <w:rPr>
          <w:noProof/>
          <w:lang w:val="cs-CZ"/>
        </w:rPr>
      </w:pPr>
      <w:r w:rsidRPr="003B6E11">
        <w:rPr>
          <w:lang w:val="cs-CZ"/>
        </w:rPr>
        <w:t>1.</w:t>
      </w:r>
      <w:r w:rsidRPr="003B6E11">
        <w:rPr>
          <w:lang w:val="cs-CZ"/>
        </w:rPr>
        <w:tab/>
        <w:t>Všechny ovládací prvky musí být uspořádány tak, aby při zacházení s nimi nebyla zakryta žádná informace a aby radarová navigace byla možná bez omezení.</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2.</w:t>
      </w:r>
      <w:r w:rsidRPr="003B6E11">
        <w:rPr>
          <w:lang w:val="cs-CZ"/>
        </w:rPr>
        <w:tab/>
      </w:r>
      <w:r w:rsidRPr="003B6E11">
        <w:rPr>
          <w:noProof/>
          <w:color w:val="000000"/>
          <w:lang w:val="cs-CZ"/>
        </w:rPr>
        <w:t>Všechny ovládací jednotky a ukazatele musí být opatřeny zdrojem osvětlení, které neoslňuje, které je vhodné pro všechny světelné podmínky a které lze samostatným ovladačem ztlumit až na nulu.</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3.</w:t>
      </w:r>
      <w:r w:rsidRPr="003B6E11">
        <w:rPr>
          <w:lang w:val="cs-CZ"/>
        </w:rPr>
        <w:tab/>
      </w:r>
      <w:r w:rsidRPr="003B6E11">
        <w:rPr>
          <w:noProof/>
          <w:color w:val="000000"/>
          <w:lang w:val="cs-CZ"/>
        </w:rPr>
        <w:t>Uspořádání ovládacích jednotek musí být takové, aby pohyb jimi doprava nebo nahoru měl pozitivní účinek na danou proměnnou a pohyb jimi doleva nebo dolů negativní účinek na danou proměnnou.</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4.</w:t>
      </w:r>
      <w:r w:rsidRPr="003B6E11">
        <w:rPr>
          <w:lang w:val="cs-CZ"/>
        </w:rPr>
        <w:tab/>
      </w:r>
      <w:r w:rsidRPr="003B6E11">
        <w:rPr>
          <w:noProof/>
          <w:color w:val="000000"/>
          <w:lang w:val="cs-CZ"/>
        </w:rPr>
        <w:t>Jsou-li použita tlačítka, musí být možné je nahmatat a ovládat hmatem. Musí mít rovněž zřetelně rozpoznatelné sepnutí/rozepnutí kontaktu. Pokud mají tlačítka více funkcí, musí být zřejmé, která hierarchická úroveň je aktivní.</w:t>
      </w: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p>
    <w:p w:rsidR="003B6E11" w:rsidRPr="003B6E11" w:rsidRDefault="003B6E11" w:rsidP="003B6E11">
      <w:pPr>
        <w:overflowPunct w:val="0"/>
        <w:adjustRightInd w:val="0"/>
        <w:jc w:val="center"/>
        <w:textAlignment w:val="baseline"/>
        <w:rPr>
          <w:rFonts w:cs="Arial"/>
          <w:b/>
          <w:bCs/>
          <w:szCs w:val="20"/>
          <w:lang w:val="cs-CZ"/>
        </w:rPr>
      </w:pPr>
      <w:r w:rsidRPr="003B6E11">
        <w:rPr>
          <w:b/>
          <w:noProof/>
          <w:lang w:val="cs-CZ"/>
        </w:rPr>
        <w:t>Článek 4.02</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szCs w:val="20"/>
          <w:lang w:val="cs-CZ"/>
        </w:rPr>
      </w:pPr>
      <w:r w:rsidRPr="003B6E11">
        <w:rPr>
          <w:i/>
          <w:noProof/>
          <w:lang w:val="cs-CZ"/>
        </w:rPr>
        <w:t>Tlumicí zařízení</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1.</w:t>
      </w:r>
      <w:r w:rsidRPr="003B6E11">
        <w:rPr>
          <w:lang w:val="cs-CZ"/>
        </w:rPr>
        <w:tab/>
      </w:r>
      <w:r w:rsidRPr="003B6E11">
        <w:rPr>
          <w:noProof/>
          <w:color w:val="000000"/>
          <w:lang w:val="cs-CZ"/>
        </w:rPr>
        <w:t>Senzorový systém musí být kriticky tlumený. Konstanta tlumení (63 % časové hodnoty) nesmí přesáhnout 0,4 sekundy.</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noProof/>
          <w:color w:val="000000"/>
          <w:lang w:val="cs-CZ"/>
        </w:rPr>
      </w:pPr>
      <w:r w:rsidRPr="003B6E11">
        <w:rPr>
          <w:color w:val="000000"/>
          <w:lang w:val="cs-CZ"/>
        </w:rPr>
        <w:t>2.</w:t>
      </w:r>
      <w:r w:rsidRPr="003B6E11">
        <w:rPr>
          <w:lang w:val="cs-CZ"/>
        </w:rPr>
        <w:tab/>
      </w:r>
      <w:r w:rsidRPr="003B6E11">
        <w:rPr>
          <w:noProof/>
          <w:color w:val="000000"/>
          <w:lang w:val="cs-CZ"/>
        </w:rPr>
        <w:t>Ukazatel musí být kriticky tlumený.</w:t>
      </w:r>
    </w:p>
    <w:p w:rsidR="003B6E11" w:rsidRPr="003B6E11" w:rsidRDefault="003B6E11" w:rsidP="003B6E11">
      <w:pPr>
        <w:spacing w:line="240" w:lineRule="atLeast"/>
        <w:ind w:left="426"/>
        <w:rPr>
          <w:noProof/>
          <w:lang w:val="cs-CZ"/>
        </w:rPr>
      </w:pPr>
      <w:r w:rsidRPr="003B6E11">
        <w:rPr>
          <w:lang w:val="cs-CZ"/>
        </w:rPr>
        <w:t>Ovládací jednotky ke zvýšení tlumení jsou přípustné.</w:t>
      </w:r>
    </w:p>
    <w:p w:rsidR="003B6E11" w:rsidRPr="003B6E11" w:rsidRDefault="003B6E11" w:rsidP="003B6E11">
      <w:pPr>
        <w:spacing w:line="240" w:lineRule="atLeast"/>
        <w:ind w:left="426"/>
        <w:rPr>
          <w:lang w:val="cs-CZ"/>
        </w:rPr>
      </w:pPr>
      <w:r w:rsidRPr="003B6E11">
        <w:rPr>
          <w:lang w:val="cs-CZ"/>
        </w:rPr>
        <w:t>Konstanta tlumení nesmí za žádných okolností překročit 5 sekund.</w:t>
      </w:r>
    </w:p>
    <w:p w:rsidR="003B6E11" w:rsidRPr="003B6E11" w:rsidRDefault="003B6E11" w:rsidP="003B6E11">
      <w:pPr>
        <w:tabs>
          <w:tab w:val="left" w:pos="425"/>
        </w:tabs>
        <w:overflowPunct w:val="0"/>
        <w:adjustRightInd w:val="0"/>
        <w:spacing w:line="240" w:lineRule="atLeast"/>
        <w:textAlignment w:val="baseline"/>
        <w:rPr>
          <w:rFonts w:cs="Arial"/>
          <w:szCs w:val="20"/>
          <w:lang w:val="cs-CZ"/>
        </w:rPr>
      </w:pPr>
    </w:p>
    <w:p w:rsidR="003B6E11" w:rsidRPr="003B6E11" w:rsidRDefault="003B6E11" w:rsidP="003B6E11">
      <w:pPr>
        <w:tabs>
          <w:tab w:val="right" w:pos="9072"/>
        </w:tabs>
        <w:overflowPunct w:val="0"/>
        <w:adjustRightInd w:val="0"/>
        <w:spacing w:line="240" w:lineRule="atLeast"/>
        <w:textAlignment w:val="baseline"/>
        <w:rPr>
          <w:rFonts w:cs="Arial"/>
          <w:szCs w:val="20"/>
          <w:lang w:val="cs-CZ"/>
        </w:rPr>
      </w:pPr>
    </w:p>
    <w:p w:rsidR="003B6E11" w:rsidRPr="003B6E11" w:rsidRDefault="003B6E11" w:rsidP="003B6E11">
      <w:pPr>
        <w:overflowPunct w:val="0"/>
        <w:adjustRightInd w:val="0"/>
        <w:jc w:val="center"/>
        <w:textAlignment w:val="baseline"/>
        <w:rPr>
          <w:rFonts w:cs="Arial"/>
          <w:b/>
          <w:bCs/>
          <w:szCs w:val="20"/>
          <w:lang w:val="cs-CZ"/>
        </w:rPr>
      </w:pPr>
      <w:r w:rsidRPr="003B6E11">
        <w:rPr>
          <w:b/>
          <w:noProof/>
          <w:lang w:val="cs-CZ"/>
        </w:rPr>
        <w:t>Článek 4.03</w:t>
      </w:r>
    </w:p>
    <w:p w:rsidR="003B6E11" w:rsidRPr="003B6E11" w:rsidRDefault="003B6E11" w:rsidP="003B6E11">
      <w:pPr>
        <w:tabs>
          <w:tab w:val="left" w:pos="284"/>
          <w:tab w:val="left" w:pos="454"/>
          <w:tab w:val="left" w:pos="680"/>
          <w:tab w:val="left" w:pos="1021"/>
        </w:tabs>
        <w:overflowPunct w:val="0"/>
        <w:adjustRightInd w:val="0"/>
        <w:jc w:val="center"/>
        <w:textAlignment w:val="baseline"/>
        <w:rPr>
          <w:i/>
          <w:noProof/>
          <w:lang w:val="cs-CZ"/>
        </w:rPr>
      </w:pPr>
      <w:r w:rsidRPr="003B6E11">
        <w:rPr>
          <w:i/>
          <w:noProof/>
          <w:lang w:val="cs-CZ"/>
        </w:rPr>
        <w:t>Připojení dalších přístrojů</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szCs w:val="20"/>
          <w:lang w:val="cs-CZ"/>
        </w:rPr>
      </w:pPr>
    </w:p>
    <w:p w:rsidR="003B6E11" w:rsidRPr="003B6E11" w:rsidRDefault="003B6E11" w:rsidP="003B6E11">
      <w:pPr>
        <w:spacing w:line="240" w:lineRule="atLeast"/>
        <w:rPr>
          <w:rFonts w:cs="Arial"/>
          <w:noProof/>
          <w:color w:val="000000"/>
          <w:lang w:val="cs-CZ"/>
        </w:rPr>
      </w:pPr>
      <w:r w:rsidRPr="003B6E11">
        <w:rPr>
          <w:color w:val="000000"/>
          <w:lang w:val="cs-CZ"/>
        </w:rPr>
        <w:t xml:space="preserve">1. </w:t>
      </w:r>
      <w:r w:rsidRPr="003B6E11">
        <w:rPr>
          <w:lang w:val="cs-CZ"/>
        </w:rPr>
        <w:tab/>
      </w:r>
      <w:r w:rsidRPr="003B6E11">
        <w:rPr>
          <w:noProof/>
          <w:color w:val="000000"/>
          <w:lang w:val="cs-CZ"/>
        </w:rPr>
        <w:t>Lze-li ukazatel rychlosti otáčení připojit na pomocné ukazatele nebo podobné zařízení, musí signál rychlosti otáčení zůstat použitelný jako analogový elektrický signál. Ukazatel rychlosti otáčení může mít navíc i digitální rozhraní podle odstavce 2.</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ind w:left="426"/>
        <w:rPr>
          <w:lang w:val="cs-CZ"/>
        </w:rPr>
      </w:pPr>
      <w:r w:rsidRPr="003B6E11">
        <w:rPr>
          <w:lang w:val="cs-CZ"/>
        </w:rPr>
        <w:t>Signál rychlosti otáčení musí být galvanicky oddělen od země, být ekvivalentní analogovému napětí 20 mV/°/min ± 5 % a mít maximální vnitřní odpor 100 </w:t>
      </w:r>
      <w:r w:rsidRPr="003B6E11">
        <w:rPr>
          <w:rFonts w:eastAsia="TimesNewRoman"/>
          <w:szCs w:val="20"/>
          <w:lang w:val="cs-CZ"/>
        </w:rPr>
        <w:sym w:font="Symbol" w:char="F057"/>
      </w:r>
      <w:r w:rsidRPr="003B6E11">
        <w:rPr>
          <w:lang w:val="cs-CZ"/>
        </w:rPr>
        <w:t>.</w:t>
      </w:r>
    </w:p>
    <w:p w:rsidR="003B6E11" w:rsidRPr="003B6E11" w:rsidRDefault="003B6E11" w:rsidP="003B6E11">
      <w:pPr>
        <w:spacing w:line="240" w:lineRule="atLeast"/>
        <w:ind w:left="426"/>
        <w:rPr>
          <w:lang w:val="cs-CZ"/>
        </w:rPr>
      </w:pPr>
    </w:p>
    <w:p w:rsidR="003B6E11" w:rsidRPr="003B6E11" w:rsidRDefault="003B6E11" w:rsidP="003B6E11">
      <w:pPr>
        <w:spacing w:line="240" w:lineRule="atLeast"/>
        <w:ind w:left="426"/>
        <w:rPr>
          <w:noProof/>
          <w:lang w:val="cs-CZ"/>
        </w:rPr>
      </w:pPr>
      <w:r w:rsidRPr="003B6E11">
        <w:rPr>
          <w:lang w:val="cs-CZ"/>
        </w:rPr>
        <w:t>Polarita musí být kladná, zatáčí-li plavidlo napravo, a záporná, zatáčí-li plavidlo nalevo.</w:t>
      </w:r>
    </w:p>
    <w:p w:rsidR="003B6E11" w:rsidRPr="003B6E11" w:rsidRDefault="003B6E11" w:rsidP="003B6E11">
      <w:pPr>
        <w:tabs>
          <w:tab w:val="left" w:pos="425"/>
        </w:tabs>
        <w:overflowPunct w:val="0"/>
        <w:adjustRightInd w:val="0"/>
        <w:spacing w:line="240" w:lineRule="atLeast"/>
        <w:ind w:firstLine="1"/>
        <w:textAlignment w:val="baseline"/>
        <w:rPr>
          <w:rFonts w:cs="Arial"/>
          <w:szCs w:val="20"/>
          <w:lang w:val="cs-CZ"/>
        </w:rPr>
      </w:pPr>
      <w:r w:rsidRPr="003B6E11">
        <w:rPr>
          <w:lang w:val="cs-CZ"/>
        </w:rPr>
        <w:br w:type="page"/>
      </w:r>
    </w:p>
    <w:p w:rsidR="003B6E11" w:rsidRPr="003B6E11" w:rsidRDefault="003B6E11" w:rsidP="003B6E11">
      <w:pPr>
        <w:spacing w:line="240" w:lineRule="atLeast"/>
        <w:ind w:left="426"/>
        <w:rPr>
          <w:noProof/>
          <w:lang w:val="cs-CZ"/>
        </w:rPr>
      </w:pPr>
      <w:r w:rsidRPr="003B6E11">
        <w:rPr>
          <w:lang w:val="cs-CZ"/>
        </w:rPr>
        <w:t>Práh rozlišitelnosti nesmí překročit 0,3°/min.</w:t>
      </w:r>
    </w:p>
    <w:p w:rsidR="003B6E11" w:rsidRPr="003B6E11" w:rsidRDefault="003B6E11" w:rsidP="003B6E11">
      <w:pPr>
        <w:spacing w:line="240" w:lineRule="atLeast"/>
        <w:ind w:left="426"/>
        <w:rPr>
          <w:lang w:val="cs-CZ"/>
        </w:rPr>
      </w:pPr>
    </w:p>
    <w:p w:rsidR="003B6E11" w:rsidRPr="003B6E11" w:rsidRDefault="003B6E11" w:rsidP="003B6E11">
      <w:pPr>
        <w:spacing w:line="240" w:lineRule="atLeast"/>
        <w:ind w:left="426"/>
        <w:rPr>
          <w:lang w:val="cs-CZ"/>
        </w:rPr>
      </w:pPr>
      <w:r w:rsidRPr="003B6E11">
        <w:rPr>
          <w:lang w:val="cs-CZ"/>
        </w:rPr>
        <w:t>Chyba nulového bodu nesmí překročit 1°/min při teplotách od 0 °C do 40 °C.</w:t>
      </w:r>
    </w:p>
    <w:p w:rsidR="003B6E11" w:rsidRPr="003B6E11" w:rsidRDefault="003B6E11" w:rsidP="003B6E11">
      <w:pPr>
        <w:spacing w:line="240" w:lineRule="atLeast"/>
        <w:ind w:left="426"/>
        <w:rPr>
          <w:lang w:val="cs-CZ"/>
        </w:rPr>
      </w:pPr>
    </w:p>
    <w:p w:rsidR="003B6E11" w:rsidRPr="003B6E11" w:rsidRDefault="003B6E11" w:rsidP="003B6E11">
      <w:pPr>
        <w:spacing w:line="240" w:lineRule="atLeast"/>
        <w:ind w:left="426"/>
        <w:rPr>
          <w:noProof/>
          <w:lang w:val="cs-CZ"/>
        </w:rPr>
      </w:pPr>
      <w:r w:rsidRPr="003B6E11">
        <w:rPr>
          <w:lang w:val="cs-CZ"/>
        </w:rPr>
        <w:t>Je-li ukazatel zapnutý a čidlo není vystaveno účinkům pohybu, nesmí nežádoucí napětí výstupního signálu překročit 10 mV, měřeno dolnopropustným filtrem s propustným pásmem 10 Hz.</w:t>
      </w:r>
    </w:p>
    <w:p w:rsidR="003B6E11" w:rsidRPr="003B6E11" w:rsidRDefault="003B6E11" w:rsidP="003B6E11">
      <w:pPr>
        <w:spacing w:line="240" w:lineRule="atLeast"/>
        <w:ind w:left="426"/>
        <w:rPr>
          <w:lang w:val="cs-CZ"/>
        </w:rPr>
      </w:pPr>
    </w:p>
    <w:p w:rsidR="003B6E11" w:rsidRPr="003B6E11" w:rsidRDefault="003B6E11" w:rsidP="003B6E11">
      <w:pPr>
        <w:spacing w:line="240" w:lineRule="atLeast"/>
        <w:ind w:left="426"/>
        <w:rPr>
          <w:noProof/>
          <w:lang w:val="cs-CZ"/>
        </w:rPr>
      </w:pPr>
      <w:r w:rsidRPr="003B6E11">
        <w:rPr>
          <w:lang w:val="cs-CZ"/>
        </w:rPr>
        <w:t>Signál rychlosti otáčení musí být přijímán bez dodatečného tlumení mimo mezní hodnoty uvedené v čl. 4.02 odst. 1.</w:t>
      </w:r>
    </w:p>
    <w:p w:rsidR="003B6E11" w:rsidRPr="003B6E11" w:rsidRDefault="003B6E11" w:rsidP="003B6E11">
      <w:pPr>
        <w:tabs>
          <w:tab w:val="left" w:pos="425"/>
        </w:tabs>
        <w:overflowPunct w:val="0"/>
        <w:adjustRightInd w:val="0"/>
        <w:spacing w:line="240" w:lineRule="atLeast"/>
        <w:textAlignment w:val="baseline"/>
        <w:rPr>
          <w:rFonts w:cs="Arial"/>
          <w:noProof/>
          <w:szCs w:val="20"/>
          <w:lang w:val="cs-CZ"/>
        </w:rPr>
      </w:pPr>
    </w:p>
    <w:p w:rsidR="003B6E11" w:rsidRPr="003B6E11" w:rsidRDefault="003B6E11" w:rsidP="003B6E11">
      <w:pPr>
        <w:spacing w:line="240" w:lineRule="atLeast"/>
        <w:rPr>
          <w:rFonts w:cs="Arial"/>
          <w:color w:val="000000"/>
          <w:lang w:val="cs-CZ"/>
        </w:rPr>
      </w:pPr>
      <w:r w:rsidRPr="003B6E11">
        <w:rPr>
          <w:color w:val="000000"/>
          <w:lang w:val="cs-CZ"/>
        </w:rPr>
        <w:t>2.</w:t>
      </w:r>
      <w:r w:rsidRPr="003B6E11">
        <w:rPr>
          <w:lang w:val="cs-CZ"/>
        </w:rPr>
        <w:tab/>
      </w:r>
      <w:r w:rsidRPr="003B6E11">
        <w:rPr>
          <w:color w:val="000000"/>
          <w:lang w:val="cs-CZ"/>
        </w:rPr>
        <w:t>Digitální rozhraní musí být navrženo v souladu s evropskými normami EN 61162-1: 2011, EN 61162-2: 1998 a EN 61162-3: 2014.</w:t>
      </w:r>
    </w:p>
    <w:p w:rsidR="003B6E11" w:rsidRPr="003B6E11" w:rsidRDefault="003B6E11" w:rsidP="003B6E11">
      <w:pPr>
        <w:spacing w:line="240" w:lineRule="atLeast"/>
        <w:rPr>
          <w:rFonts w:cs="Arial"/>
          <w:color w:val="000000"/>
          <w:szCs w:val="20"/>
          <w:lang w:val="cs-CZ"/>
        </w:rPr>
      </w:pPr>
    </w:p>
    <w:p w:rsidR="003B6E11" w:rsidRPr="003B6E11" w:rsidRDefault="003B6E11" w:rsidP="003B6E11">
      <w:pPr>
        <w:spacing w:line="240" w:lineRule="atLeast"/>
        <w:rPr>
          <w:rFonts w:cs="Arial"/>
          <w:noProof/>
          <w:color w:val="000000"/>
          <w:lang w:val="cs-CZ"/>
        </w:rPr>
      </w:pPr>
      <w:r w:rsidRPr="003B6E11">
        <w:rPr>
          <w:color w:val="000000"/>
          <w:lang w:val="cs-CZ"/>
        </w:rPr>
        <w:t>3.</w:t>
      </w:r>
      <w:r w:rsidRPr="003B6E11">
        <w:rPr>
          <w:lang w:val="cs-CZ"/>
        </w:rPr>
        <w:tab/>
      </w:r>
      <w:r w:rsidRPr="003B6E11">
        <w:rPr>
          <w:noProof/>
          <w:color w:val="000000"/>
          <w:lang w:val="cs-CZ"/>
        </w:rPr>
        <w:t>Musí existovat spínač vnějšího alarmu. Spínač musí být galvanicky oddělen od ukazatele.</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t>Vnější alarm se spouští uzavřením kontaktu:</w:t>
      </w:r>
    </w:p>
    <w:p w:rsidR="003B6E11" w:rsidRPr="003B6E11" w:rsidRDefault="003B6E11" w:rsidP="003B6E11">
      <w:pPr>
        <w:spacing w:before="60" w:line="240" w:lineRule="atLeast"/>
        <w:ind w:left="851"/>
        <w:rPr>
          <w:rFonts w:cs="Arial"/>
          <w:noProof/>
          <w:lang w:val="cs-CZ"/>
        </w:rPr>
      </w:pPr>
      <w:r w:rsidRPr="003B6E11">
        <w:rPr>
          <w:lang w:val="cs-CZ"/>
        </w:rPr>
        <w:t>a)</w:t>
      </w:r>
      <w:r w:rsidRPr="003B6E11">
        <w:rPr>
          <w:lang w:val="cs-CZ"/>
        </w:rPr>
        <w:tab/>
        <w:t>je-li ukazatel rychlosti otáčení odpojen, nebo</w:t>
      </w:r>
    </w:p>
    <w:p w:rsidR="003B6E11" w:rsidRPr="003B6E11" w:rsidRDefault="003B6E11" w:rsidP="003B6E11">
      <w:pPr>
        <w:spacing w:before="60" w:line="240" w:lineRule="atLeast"/>
        <w:ind w:left="851"/>
        <w:rPr>
          <w:rFonts w:cs="Arial"/>
          <w:noProof/>
          <w:lang w:val="cs-CZ"/>
        </w:rPr>
      </w:pPr>
      <w:r w:rsidRPr="003B6E11">
        <w:rPr>
          <w:lang w:val="cs-CZ"/>
        </w:rPr>
        <w:t>b)</w:t>
      </w:r>
      <w:r w:rsidRPr="003B6E11">
        <w:rPr>
          <w:lang w:val="cs-CZ"/>
        </w:rPr>
        <w:tab/>
        <w:t>nefunguje-li ukazatel rychlosti otáčení, nebo</w:t>
      </w:r>
    </w:p>
    <w:p w:rsidR="003B6E11" w:rsidRPr="003B6E11" w:rsidRDefault="003B6E11" w:rsidP="003B6E11">
      <w:pPr>
        <w:spacing w:before="60" w:line="240" w:lineRule="atLeast"/>
        <w:ind w:left="851"/>
        <w:rPr>
          <w:rFonts w:cs="Arial"/>
          <w:noProof/>
          <w:lang w:val="cs-CZ"/>
        </w:rPr>
      </w:pPr>
      <w:r w:rsidRPr="003B6E11">
        <w:rPr>
          <w:lang w:val="cs-CZ"/>
        </w:rPr>
        <w:t>c)</w:t>
      </w:r>
      <w:r w:rsidRPr="003B6E11">
        <w:rPr>
          <w:lang w:val="cs-CZ"/>
        </w:rPr>
        <w:tab/>
        <w:t>pokud kontrola funkčnosti reagovala na nadměrnou chybu (článek 3.06).</w:t>
      </w:r>
    </w:p>
    <w:p w:rsidR="003B6E11" w:rsidRPr="003B6E11" w:rsidRDefault="003B6E11" w:rsidP="003B6E11">
      <w:pPr>
        <w:tabs>
          <w:tab w:val="left" w:pos="425"/>
        </w:tabs>
        <w:overflowPunct w:val="0"/>
        <w:adjustRightInd w:val="0"/>
        <w:spacing w:line="240" w:lineRule="atLeast"/>
        <w:textAlignment w:val="baseline"/>
        <w:rPr>
          <w:rFonts w:cs="Arial"/>
          <w:szCs w:val="20"/>
          <w:lang w:val="cs-CZ"/>
        </w:rPr>
      </w:pP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p>
    <w:p w:rsidR="003B6E11" w:rsidRPr="003B6E11" w:rsidRDefault="003B6E11" w:rsidP="003B6E11">
      <w:pPr>
        <w:tabs>
          <w:tab w:val="left" w:pos="284"/>
          <w:tab w:val="left" w:pos="454"/>
          <w:tab w:val="left" w:pos="680"/>
          <w:tab w:val="left" w:pos="1021"/>
        </w:tabs>
        <w:overflowPunct w:val="0"/>
        <w:adjustRightInd w:val="0"/>
        <w:spacing w:line="240" w:lineRule="atLeast"/>
        <w:jc w:val="center"/>
        <w:textAlignment w:val="baseline"/>
        <w:rPr>
          <w:rFonts w:cs="Arial"/>
          <w:b/>
          <w:bCs/>
          <w:szCs w:val="20"/>
          <w:lang w:val="cs-CZ"/>
        </w:rPr>
      </w:pPr>
      <w:r w:rsidRPr="003B6E11">
        <w:rPr>
          <w:b/>
          <w:noProof/>
          <w:lang w:val="cs-CZ"/>
        </w:rPr>
        <w:t>Kapitola 5</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szCs w:val="20"/>
          <w:lang w:val="cs-CZ"/>
        </w:rPr>
      </w:pPr>
      <w:r w:rsidRPr="003B6E11">
        <w:rPr>
          <w:b/>
          <w:noProof/>
          <w:lang w:val="cs-CZ"/>
        </w:rPr>
        <w:t>Podmínky a postupy zkoušek ukazatelů rychlosti otáčení</w:t>
      </w:r>
    </w:p>
    <w:p w:rsidR="003B6E11" w:rsidRPr="003B6E11" w:rsidRDefault="003B6E11" w:rsidP="003B6E11">
      <w:pPr>
        <w:spacing w:line="240" w:lineRule="atLeast"/>
        <w:rPr>
          <w:rFonts w:cs="Arial"/>
          <w:noProof/>
          <w:color w:val="000000"/>
          <w:lang w:val="cs-CZ"/>
        </w:rPr>
      </w:pP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b/>
          <w:bCs/>
          <w:szCs w:val="20"/>
          <w:lang w:val="cs-CZ"/>
        </w:rPr>
      </w:pPr>
      <w:r w:rsidRPr="003B6E11">
        <w:rPr>
          <w:b/>
          <w:noProof/>
          <w:lang w:val="cs-CZ"/>
        </w:rPr>
        <w:t>Článek 5.01</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szCs w:val="20"/>
          <w:lang w:val="cs-CZ"/>
        </w:rPr>
      </w:pPr>
      <w:r w:rsidRPr="003B6E11">
        <w:rPr>
          <w:i/>
          <w:noProof/>
          <w:lang w:val="cs-CZ"/>
        </w:rPr>
        <w:t>Bezpečnost, zatížitelnost a elektromagnetická kompatibilita</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noProof/>
          <w:lang w:val="cs-CZ"/>
        </w:rPr>
      </w:pPr>
      <w:r w:rsidRPr="003B6E11">
        <w:rPr>
          <w:lang w:val="cs-CZ"/>
        </w:rPr>
        <w:t xml:space="preserve">Zkouška napájení, bezpečnosti, vzájemného rušení palubních přístrojů, bezpečné vzdálenosti kompasu, odolnosti vůči povětrnostním vlivům, mechanické pevnosti, dopadu na životní prostředí, emisí hluku a elektromagnetické kompatibility se provádí podle evropské normy EN 60945 : 2002. </w:t>
      </w: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p>
    <w:p w:rsidR="003B6E11" w:rsidRPr="003B6E11" w:rsidRDefault="003B6E11" w:rsidP="003B6E11">
      <w:pPr>
        <w:overflowPunct w:val="0"/>
        <w:adjustRightInd w:val="0"/>
        <w:jc w:val="center"/>
        <w:textAlignment w:val="baseline"/>
        <w:rPr>
          <w:rFonts w:cs="Arial"/>
          <w:b/>
          <w:bCs/>
          <w:szCs w:val="20"/>
          <w:lang w:val="cs-CZ"/>
        </w:rPr>
      </w:pPr>
      <w:r w:rsidRPr="003B6E11">
        <w:rPr>
          <w:b/>
          <w:noProof/>
          <w:lang w:val="cs-CZ"/>
        </w:rPr>
        <w:t>Článek 5.02</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szCs w:val="20"/>
          <w:lang w:val="cs-CZ"/>
        </w:rPr>
      </w:pPr>
      <w:r w:rsidRPr="003B6E11">
        <w:rPr>
          <w:i/>
          <w:noProof/>
          <w:lang w:val="cs-CZ"/>
        </w:rPr>
        <w:t>Nežádoucí vyzařování</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noProof/>
          <w:lang w:val="cs-CZ"/>
        </w:rPr>
      </w:pPr>
      <w:r w:rsidRPr="003B6E11">
        <w:rPr>
          <w:lang w:val="cs-CZ"/>
        </w:rPr>
        <w:t xml:space="preserve">Nežádoucí vyzařování se měří v souladu s evropskou normou EN 60945 : 2002 v kmitočtovém rozsahu 30–2 000 MHz. </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noProof/>
          <w:lang w:val="cs-CZ"/>
        </w:rPr>
      </w:pPr>
      <w:r w:rsidRPr="003B6E11">
        <w:rPr>
          <w:lang w:val="cs-CZ"/>
        </w:rPr>
        <w:t>Požadavky čl. 2.02 odst. 2 musí být splněny.</w:t>
      </w:r>
    </w:p>
    <w:p w:rsidR="003B6E11" w:rsidRPr="003B6E11" w:rsidRDefault="003B6E11" w:rsidP="003B6E11">
      <w:pPr>
        <w:tabs>
          <w:tab w:val="left" w:pos="425"/>
        </w:tabs>
        <w:overflowPunct w:val="0"/>
        <w:adjustRightInd w:val="0"/>
        <w:spacing w:line="240" w:lineRule="atLeast"/>
        <w:textAlignment w:val="baseline"/>
        <w:rPr>
          <w:rFonts w:cs="Arial"/>
          <w:szCs w:val="20"/>
          <w:lang w:val="cs-CZ"/>
        </w:rPr>
      </w:pPr>
    </w:p>
    <w:p w:rsidR="003B6E11" w:rsidRPr="003B6E11" w:rsidRDefault="003B6E11" w:rsidP="003B6E11">
      <w:pPr>
        <w:tabs>
          <w:tab w:val="left" w:pos="284"/>
          <w:tab w:val="left" w:pos="454"/>
          <w:tab w:val="left" w:pos="680"/>
          <w:tab w:val="left" w:pos="1021"/>
        </w:tabs>
        <w:overflowPunct w:val="0"/>
        <w:adjustRightInd w:val="0"/>
        <w:textAlignment w:val="baseline"/>
        <w:rPr>
          <w:rFonts w:cs="Arial"/>
          <w:szCs w:val="20"/>
          <w:lang w:val="cs-CZ"/>
        </w:rPr>
      </w:pP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b/>
          <w:bCs/>
          <w:szCs w:val="20"/>
          <w:lang w:val="cs-CZ"/>
        </w:rPr>
      </w:pPr>
      <w:r w:rsidRPr="003B6E11">
        <w:rPr>
          <w:b/>
          <w:noProof/>
          <w:lang w:val="cs-CZ"/>
        </w:rPr>
        <w:t>Článek 5.03</w:t>
      </w:r>
    </w:p>
    <w:p w:rsidR="003B6E11" w:rsidRPr="003B6E11" w:rsidRDefault="003B6E11" w:rsidP="003B6E11">
      <w:pPr>
        <w:tabs>
          <w:tab w:val="left" w:pos="284"/>
          <w:tab w:val="left" w:pos="454"/>
          <w:tab w:val="left" w:pos="680"/>
          <w:tab w:val="left" w:pos="1021"/>
        </w:tabs>
        <w:overflowPunct w:val="0"/>
        <w:adjustRightInd w:val="0"/>
        <w:jc w:val="center"/>
        <w:textAlignment w:val="baseline"/>
        <w:rPr>
          <w:rFonts w:cs="Arial"/>
          <w:szCs w:val="20"/>
          <w:lang w:val="cs-CZ"/>
        </w:rPr>
      </w:pPr>
      <w:r w:rsidRPr="003B6E11">
        <w:rPr>
          <w:i/>
          <w:noProof/>
          <w:lang w:val="cs-CZ"/>
        </w:rPr>
        <w:t>Zkušební postup</w:t>
      </w:r>
    </w:p>
    <w:p w:rsidR="003B6E11" w:rsidRPr="003B6E11" w:rsidRDefault="003B6E11" w:rsidP="003B6E11">
      <w:pPr>
        <w:overflowPunct w:val="0"/>
        <w:adjustRightInd w:val="0"/>
        <w:ind w:left="426" w:hanging="426"/>
        <w:textAlignment w:val="baseline"/>
        <w:rPr>
          <w:rFonts w:cs="Arial"/>
          <w:szCs w:val="20"/>
          <w:lang w:val="cs-CZ"/>
        </w:rPr>
      </w:pPr>
    </w:p>
    <w:p w:rsidR="003B6E11" w:rsidRPr="003B6E11" w:rsidRDefault="003B6E11" w:rsidP="003B6E11">
      <w:pPr>
        <w:spacing w:line="240" w:lineRule="atLeast"/>
        <w:rPr>
          <w:rFonts w:cs="Arial"/>
          <w:noProof/>
          <w:color w:val="000000"/>
          <w:lang w:val="cs-CZ"/>
        </w:rPr>
      </w:pPr>
      <w:r w:rsidRPr="003B6E11">
        <w:rPr>
          <w:snapToGrid w:val="0"/>
          <w:color w:val="000000"/>
          <w:lang w:val="cs-CZ"/>
        </w:rPr>
        <w:t>1.</w:t>
      </w:r>
      <w:r w:rsidRPr="003B6E11">
        <w:rPr>
          <w:lang w:val="cs-CZ"/>
        </w:rPr>
        <w:tab/>
      </w:r>
      <w:r w:rsidRPr="003B6E11">
        <w:rPr>
          <w:noProof/>
          <w:color w:val="000000"/>
          <w:lang w:val="cs-CZ"/>
        </w:rPr>
        <w:t>Ukazatel rychlosti otáčení se zkouší za jmenovitých a mezních podmínek. Zkouší se tudíž vliv provozního napětí a okolní teploty až po stanovenou mezní hodnotu.</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t>K vytvoření maximálních magnetických polí v blízkosti ukazatele se navíc použijí rádiové vysílače.</w:t>
      </w:r>
    </w:p>
    <w:p w:rsidR="003B6E11" w:rsidRPr="003B6E11" w:rsidRDefault="003B6E11" w:rsidP="003B6E11">
      <w:pPr>
        <w:spacing w:line="240" w:lineRule="atLeast"/>
        <w:rPr>
          <w:rFonts w:cs="Arial"/>
          <w:color w:val="000000"/>
          <w:szCs w:val="20"/>
          <w:lang w:val="cs-CZ"/>
        </w:rPr>
      </w:pPr>
    </w:p>
    <w:p w:rsidR="003B6E11" w:rsidRPr="003B6E11" w:rsidRDefault="003B6E11" w:rsidP="003B6E11">
      <w:pPr>
        <w:overflowPunct w:val="0"/>
        <w:adjustRightInd w:val="0"/>
        <w:ind w:left="426" w:hanging="426"/>
        <w:textAlignment w:val="baseline"/>
        <w:rPr>
          <w:rFonts w:cs="Arial"/>
          <w:szCs w:val="20"/>
          <w:lang w:val="cs-CZ"/>
        </w:rPr>
      </w:pPr>
      <w:r w:rsidRPr="003B6E11">
        <w:rPr>
          <w:lang w:val="cs-CZ"/>
        </w:rPr>
        <w:br w:type="page"/>
      </w:r>
    </w:p>
    <w:p w:rsidR="003B6E11" w:rsidRPr="003B6E11" w:rsidRDefault="003B6E11" w:rsidP="003B6E11">
      <w:pPr>
        <w:spacing w:line="240" w:lineRule="atLeast"/>
        <w:rPr>
          <w:rFonts w:cs="Arial"/>
          <w:snapToGrid w:val="0"/>
          <w:color w:val="000000"/>
          <w:lang w:val="cs-CZ"/>
        </w:rPr>
      </w:pPr>
      <w:r w:rsidRPr="003B6E11">
        <w:rPr>
          <w:snapToGrid w:val="0"/>
          <w:color w:val="000000"/>
          <w:lang w:val="cs-CZ"/>
        </w:rPr>
        <w:t>2.</w:t>
      </w:r>
      <w:r w:rsidRPr="003B6E11">
        <w:rPr>
          <w:lang w:val="cs-CZ"/>
        </w:rPr>
        <w:tab/>
      </w:r>
      <w:r w:rsidRPr="003B6E11">
        <w:rPr>
          <w:noProof/>
          <w:color w:val="000000"/>
          <w:lang w:val="cs-CZ"/>
        </w:rPr>
        <w:t>Za podmínek popsaných v odstavci 1 musí chyby ukazatele zůstat v tolerancích uvedených v dodatku.</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t>Splněny musí být všechny minimální požadavky uvedené v kapitolách 2 až 4.</w:t>
      </w:r>
    </w:p>
    <w:p w:rsidR="003B6E11" w:rsidRPr="003B6E11" w:rsidRDefault="003B6E11" w:rsidP="003B6E11">
      <w:pPr>
        <w:spacing w:line="240" w:lineRule="atLeast"/>
        <w:ind w:left="426"/>
        <w:rPr>
          <w:lang w:val="cs-CZ"/>
        </w:rPr>
      </w:pPr>
    </w:p>
    <w:p w:rsidR="003B6E11" w:rsidRPr="003B6E11" w:rsidRDefault="003B6E11" w:rsidP="003B6E11">
      <w:pPr>
        <w:tabs>
          <w:tab w:val="right" w:pos="9072"/>
        </w:tabs>
        <w:overflowPunct w:val="0"/>
        <w:adjustRightInd w:val="0"/>
        <w:spacing w:line="240" w:lineRule="atLeast"/>
        <w:jc w:val="center"/>
        <w:textAlignment w:val="baseline"/>
        <w:rPr>
          <w:rFonts w:cs="Arial"/>
          <w:b/>
          <w:bCs/>
          <w:szCs w:val="20"/>
          <w:lang w:val="cs-CZ"/>
        </w:rPr>
      </w:pPr>
      <w:r w:rsidRPr="003B6E11">
        <w:rPr>
          <w:b/>
          <w:noProof/>
          <w:lang w:val="cs-CZ"/>
        </w:rPr>
        <w:t>Dodatek</w:t>
      </w:r>
    </w:p>
    <w:p w:rsidR="003B6E11" w:rsidRPr="003B6E11" w:rsidRDefault="003B6E11" w:rsidP="003B6E11">
      <w:pPr>
        <w:tabs>
          <w:tab w:val="decimal" w:pos="7056"/>
          <w:tab w:val="decimal" w:pos="9504"/>
        </w:tabs>
        <w:overflowPunct w:val="0"/>
        <w:adjustRightInd w:val="0"/>
        <w:jc w:val="center"/>
        <w:textAlignment w:val="baseline"/>
        <w:rPr>
          <w:rFonts w:cs="Arial"/>
          <w:b/>
          <w:bCs/>
          <w:szCs w:val="20"/>
          <w:lang w:val="cs-CZ"/>
        </w:rPr>
      </w:pPr>
      <w:r w:rsidRPr="003B6E11">
        <w:rPr>
          <w:b/>
          <w:noProof/>
          <w:lang w:val="cs-CZ"/>
        </w:rPr>
        <w:t xml:space="preserve">Obrázek 1: Maximální tolerance pro chyby indikace </w:t>
      </w:r>
      <w:r w:rsidRPr="003B6E11">
        <w:rPr>
          <w:rFonts w:cs="Arial"/>
          <w:b/>
          <w:bCs/>
          <w:noProof/>
          <w:szCs w:val="20"/>
          <w:lang w:val="cs-CZ"/>
        </w:rPr>
        <w:br/>
      </w:r>
      <w:r w:rsidRPr="003B6E11">
        <w:rPr>
          <w:b/>
          <w:noProof/>
          <w:lang w:val="cs-CZ"/>
        </w:rPr>
        <w:t>ukazatelů rychlosti otáčení</w:t>
      </w:r>
    </w:p>
    <w:p w:rsidR="003B6E11" w:rsidRPr="003B6E11" w:rsidRDefault="003B6E11" w:rsidP="003B6E11">
      <w:pPr>
        <w:tabs>
          <w:tab w:val="decimal" w:pos="7056"/>
          <w:tab w:val="decimal" w:pos="9504"/>
        </w:tabs>
        <w:overflowPunct w:val="0"/>
        <w:adjustRightInd w:val="0"/>
        <w:jc w:val="center"/>
        <w:textAlignment w:val="baseline"/>
        <w:rPr>
          <w:rFonts w:cs="Arial"/>
          <w:b/>
          <w:bCs/>
          <w:szCs w:val="20"/>
          <w:lang w:val="cs-CZ"/>
        </w:rPr>
      </w:pPr>
    </w:p>
    <w:p w:rsidR="003B6E11" w:rsidRPr="003B6E11" w:rsidRDefault="003B6E11" w:rsidP="003B6E11">
      <w:pPr>
        <w:tabs>
          <w:tab w:val="decimal" w:pos="7056"/>
          <w:tab w:val="decimal" w:pos="9504"/>
        </w:tabs>
        <w:overflowPunct w:val="0"/>
        <w:adjustRightInd w:val="0"/>
        <w:jc w:val="center"/>
        <w:textAlignment w:val="baseline"/>
        <w:rPr>
          <w:rFonts w:cs="Arial"/>
          <w:b/>
          <w:bCs/>
          <w:szCs w:val="20"/>
          <w:lang w:val="cs-CZ"/>
        </w:rPr>
      </w:pPr>
      <w:r w:rsidRPr="003B6E11">
        <w:rPr>
          <w:noProof/>
          <w:lang w:eastAsia="en-GB"/>
        </w:rPr>
        <w:drawing>
          <wp:inline distT="0" distB="0" distL="0" distR="0" wp14:anchorId="76DBEA6B" wp14:editId="6DBCF80A">
            <wp:extent cx="5038725" cy="7334250"/>
            <wp:effectExtent l="0" t="0" r="952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8725" cy="7334250"/>
                    </a:xfrm>
                    <a:prstGeom prst="rect">
                      <a:avLst/>
                    </a:prstGeom>
                    <a:noFill/>
                    <a:ln>
                      <a:noFill/>
                    </a:ln>
                  </pic:spPr>
                </pic:pic>
              </a:graphicData>
            </a:graphic>
          </wp:inline>
        </w:drawing>
      </w:r>
    </w:p>
    <w:p w:rsidR="003B6E11" w:rsidRPr="003B6E11" w:rsidRDefault="003B6E11" w:rsidP="003B6E11">
      <w:pPr>
        <w:tabs>
          <w:tab w:val="decimal" w:pos="7056"/>
          <w:tab w:val="decimal" w:pos="9504"/>
        </w:tabs>
        <w:overflowPunct w:val="0"/>
        <w:adjustRightInd w:val="0"/>
        <w:jc w:val="center"/>
        <w:textAlignment w:val="baseline"/>
        <w:rPr>
          <w:rFonts w:cs="Arial"/>
          <w:b/>
          <w:bCs/>
          <w:szCs w:val="20"/>
          <w:lang w:val="cs-CZ"/>
        </w:rPr>
      </w:pPr>
    </w:p>
    <w:p w:rsidR="003B6E11" w:rsidRPr="003B6E11" w:rsidRDefault="003B6E11" w:rsidP="003B6E11">
      <w:pPr>
        <w:tabs>
          <w:tab w:val="decimal" w:pos="7056"/>
          <w:tab w:val="decimal" w:pos="9504"/>
        </w:tabs>
        <w:overflowPunct w:val="0"/>
        <w:adjustRightInd w:val="0"/>
        <w:jc w:val="center"/>
        <w:textAlignment w:val="baseline"/>
        <w:rPr>
          <w:rFonts w:cs="Arial"/>
          <w:b/>
          <w:bCs/>
          <w:szCs w:val="20"/>
          <w:lang w:val="cs-CZ"/>
        </w:rPr>
      </w:pPr>
    </w:p>
    <w:p w:rsidR="003B6E11" w:rsidRPr="003B6E11" w:rsidRDefault="003B6E11" w:rsidP="003B6E11">
      <w:pPr>
        <w:tabs>
          <w:tab w:val="decimal" w:pos="7056"/>
          <w:tab w:val="decimal" w:pos="9504"/>
        </w:tabs>
        <w:overflowPunct w:val="0"/>
        <w:adjustRightInd w:val="0"/>
        <w:jc w:val="center"/>
        <w:textAlignment w:val="baseline"/>
        <w:rPr>
          <w:rFonts w:cs="Arial"/>
          <w:b/>
          <w:bCs/>
          <w:szCs w:val="20"/>
          <w:lang w:val="cs-CZ"/>
        </w:rPr>
      </w:pPr>
    </w:p>
    <w:p w:rsidR="003B6E11" w:rsidRPr="003B6E11" w:rsidRDefault="003B6E11" w:rsidP="003B6E11">
      <w:pPr>
        <w:tabs>
          <w:tab w:val="decimal" w:pos="7056"/>
          <w:tab w:val="decimal" w:pos="9504"/>
        </w:tabs>
        <w:overflowPunct w:val="0"/>
        <w:adjustRightInd w:val="0"/>
        <w:jc w:val="center"/>
        <w:textAlignment w:val="baseline"/>
        <w:rPr>
          <w:rFonts w:cs="Arial"/>
          <w:b/>
          <w:bCs/>
          <w:szCs w:val="20"/>
          <w:lang w:val="cs-CZ"/>
        </w:rPr>
      </w:pPr>
    </w:p>
    <w:p w:rsidR="003B6E11" w:rsidRPr="003B6E11" w:rsidRDefault="003B6E11" w:rsidP="003B6E11">
      <w:pPr>
        <w:tabs>
          <w:tab w:val="decimal" w:pos="7056"/>
          <w:tab w:val="decimal" w:pos="9504"/>
        </w:tabs>
        <w:overflowPunct w:val="0"/>
        <w:adjustRightInd w:val="0"/>
        <w:jc w:val="center"/>
        <w:textAlignment w:val="baseline"/>
        <w:rPr>
          <w:rFonts w:cs="Arial"/>
          <w:b/>
          <w:bCs/>
          <w:szCs w:val="20"/>
          <w:lang w:val="cs-CZ"/>
        </w:rPr>
      </w:pPr>
    </w:p>
    <w:p w:rsidR="003B6E11" w:rsidRPr="003B6E11" w:rsidRDefault="003B6E11" w:rsidP="003B6E11">
      <w:pPr>
        <w:tabs>
          <w:tab w:val="decimal" w:pos="7056"/>
          <w:tab w:val="decimal" w:pos="9504"/>
        </w:tabs>
        <w:overflowPunct w:val="0"/>
        <w:adjustRightInd w:val="0"/>
        <w:jc w:val="center"/>
        <w:textAlignment w:val="baseline"/>
        <w:rPr>
          <w:rFonts w:cs="Arial"/>
          <w:b/>
          <w:bCs/>
          <w:szCs w:val="20"/>
          <w:lang w:val="cs-CZ"/>
        </w:rPr>
      </w:pPr>
    </w:p>
    <w:p w:rsidR="003B6E11" w:rsidRPr="003B6E11" w:rsidRDefault="003B6E11" w:rsidP="003B6E11">
      <w:pPr>
        <w:tabs>
          <w:tab w:val="decimal" w:pos="7056"/>
          <w:tab w:val="decimal" w:pos="9504"/>
        </w:tabs>
        <w:overflowPunct w:val="0"/>
        <w:adjustRightInd w:val="0"/>
        <w:jc w:val="center"/>
        <w:textAlignment w:val="baseline"/>
        <w:rPr>
          <w:rFonts w:cs="Arial"/>
          <w:b/>
          <w:bCs/>
          <w:szCs w:val="20"/>
          <w:lang w:val="cs-CZ"/>
        </w:rPr>
      </w:pPr>
    </w:p>
    <w:p w:rsidR="003B6E11" w:rsidRPr="003B6E11" w:rsidRDefault="003B6E11" w:rsidP="003B6E11">
      <w:pPr>
        <w:tabs>
          <w:tab w:val="decimal" w:pos="7056"/>
          <w:tab w:val="decimal" w:pos="9504"/>
        </w:tabs>
        <w:overflowPunct w:val="0"/>
        <w:adjustRightInd w:val="0"/>
        <w:jc w:val="center"/>
        <w:textAlignment w:val="baseline"/>
        <w:rPr>
          <w:rFonts w:cs="Arial"/>
          <w:b/>
          <w:bCs/>
          <w:szCs w:val="20"/>
          <w:lang w:val="cs-CZ"/>
        </w:rPr>
      </w:pPr>
    </w:p>
    <w:p w:rsidR="003B6E11" w:rsidRPr="003B6E11" w:rsidRDefault="003B6E11" w:rsidP="003B6E11">
      <w:pPr>
        <w:tabs>
          <w:tab w:val="decimal" w:pos="7056"/>
          <w:tab w:val="decimal" w:pos="9504"/>
        </w:tabs>
        <w:overflowPunct w:val="0"/>
        <w:adjustRightInd w:val="0"/>
        <w:jc w:val="center"/>
        <w:textAlignment w:val="baseline"/>
        <w:rPr>
          <w:rFonts w:cs="Arial"/>
          <w:b/>
          <w:bCs/>
          <w:szCs w:val="20"/>
          <w:lang w:val="cs-CZ"/>
        </w:rPr>
      </w:pPr>
    </w:p>
    <w:p w:rsidR="003B6E11" w:rsidRPr="003B6E11" w:rsidRDefault="003B6E11" w:rsidP="003B6E11">
      <w:pPr>
        <w:tabs>
          <w:tab w:val="decimal" w:pos="7056"/>
          <w:tab w:val="decimal" w:pos="9504"/>
        </w:tabs>
        <w:overflowPunct w:val="0"/>
        <w:adjustRightInd w:val="0"/>
        <w:jc w:val="center"/>
        <w:textAlignment w:val="baseline"/>
        <w:rPr>
          <w:rFonts w:cs="Arial"/>
          <w:b/>
          <w:bCs/>
          <w:szCs w:val="20"/>
          <w:lang w:val="cs-CZ"/>
        </w:rPr>
      </w:pPr>
    </w:p>
    <w:p w:rsidR="003B6E11" w:rsidRPr="003B6E11" w:rsidRDefault="003B6E11" w:rsidP="003B6E11">
      <w:pPr>
        <w:tabs>
          <w:tab w:val="decimal" w:pos="7056"/>
          <w:tab w:val="decimal" w:pos="9504"/>
        </w:tabs>
        <w:overflowPunct w:val="0"/>
        <w:adjustRightInd w:val="0"/>
        <w:jc w:val="center"/>
        <w:textAlignment w:val="baseline"/>
        <w:rPr>
          <w:rFonts w:cs="Arial"/>
          <w:b/>
          <w:bCs/>
          <w:szCs w:val="20"/>
          <w:lang w:val="cs-CZ"/>
        </w:rPr>
      </w:pPr>
    </w:p>
    <w:p w:rsidR="003B6E11" w:rsidRPr="003B6E11" w:rsidRDefault="003B6E11" w:rsidP="003B6E11">
      <w:pPr>
        <w:tabs>
          <w:tab w:val="decimal" w:pos="7056"/>
          <w:tab w:val="decimal" w:pos="9504"/>
        </w:tabs>
        <w:overflowPunct w:val="0"/>
        <w:adjustRightInd w:val="0"/>
        <w:jc w:val="center"/>
        <w:textAlignment w:val="baseline"/>
        <w:rPr>
          <w:rFonts w:cs="Arial"/>
          <w:b/>
          <w:bCs/>
          <w:szCs w:val="20"/>
          <w:lang w:val="cs-CZ"/>
        </w:rPr>
      </w:pPr>
    </w:p>
    <w:p w:rsidR="003B6E11" w:rsidRPr="003B6E11" w:rsidRDefault="003B6E11" w:rsidP="003B6E11">
      <w:pPr>
        <w:tabs>
          <w:tab w:val="right" w:pos="9072"/>
        </w:tabs>
        <w:overflowPunct w:val="0"/>
        <w:adjustRightInd w:val="0"/>
        <w:spacing w:line="240" w:lineRule="atLeast"/>
        <w:textAlignment w:val="baseline"/>
        <w:rPr>
          <w:rFonts w:cs="Arial"/>
          <w:szCs w:val="20"/>
          <w:lang w:val="cs-CZ"/>
        </w:rPr>
      </w:pPr>
    </w:p>
    <w:p w:rsidR="003B6E11" w:rsidRPr="003B6E11" w:rsidRDefault="003B6E11" w:rsidP="003B6E11">
      <w:pPr>
        <w:spacing w:line="240" w:lineRule="atLeast"/>
        <w:ind w:left="567" w:hanging="567"/>
        <w:rPr>
          <w:lang w:val="cs-CZ"/>
        </w:rPr>
      </w:pPr>
      <w:r w:rsidRPr="003B6E11">
        <w:rPr>
          <w:lang w:val="cs-CZ"/>
        </w:rPr>
        <w:br w:type="page"/>
      </w:r>
    </w:p>
    <w:p w:rsidR="003B6E11" w:rsidRPr="003B6E11" w:rsidRDefault="003B6E11" w:rsidP="003B6E11">
      <w:pPr>
        <w:pStyle w:val="ES-Titre3"/>
        <w:rPr>
          <w:noProof/>
          <w:lang w:val="cs-CZ"/>
        </w:rPr>
      </w:pPr>
      <w:bookmarkStart w:id="644" w:name="_Toc491854314"/>
      <w:bookmarkStart w:id="645" w:name="_Toc535417220"/>
      <w:r w:rsidRPr="003B6E11">
        <w:rPr>
          <w:lang w:val="cs-CZ"/>
        </w:rPr>
        <w:t>Oddíl III</w:t>
      </w:r>
      <w:bookmarkEnd w:id="644"/>
      <w:bookmarkEnd w:id="645"/>
      <w:r w:rsidRPr="003B6E11">
        <w:rPr>
          <w:lang w:val="cs-CZ"/>
        </w:rPr>
        <w:t xml:space="preserve"> </w:t>
      </w:r>
    </w:p>
    <w:p w:rsidR="003B6E11" w:rsidRPr="003B6E11" w:rsidRDefault="003B6E11" w:rsidP="003B6E11">
      <w:pPr>
        <w:pStyle w:val="ES-Titre3a"/>
        <w:rPr>
          <w:rFonts w:cs="Arial"/>
          <w:szCs w:val="20"/>
          <w:lang w:val="cs-CZ"/>
        </w:rPr>
      </w:pPr>
      <w:bookmarkStart w:id="646" w:name="_Toc491854315"/>
      <w:bookmarkStart w:id="647" w:name="_Toc535417221"/>
      <w:r w:rsidRPr="003B6E11">
        <w:rPr>
          <w:lang w:val="cs-CZ"/>
        </w:rPr>
        <w:t>Požadavky na zkoušky montáže a výkonnosti navigačních radarových zařízení a ukazatelů rychlosti otáčení ve vnitrozemské vodní dopravě</w:t>
      </w:r>
      <w:bookmarkEnd w:id="646"/>
      <w:bookmarkEnd w:id="647"/>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jc w:val="center"/>
        <w:rPr>
          <w:rFonts w:cs="Arial"/>
          <w:i/>
          <w:noProof/>
          <w:lang w:val="cs-CZ"/>
        </w:rPr>
      </w:pPr>
      <w:r w:rsidRPr="003B6E11">
        <w:rPr>
          <w:b/>
          <w:noProof/>
          <w:lang w:val="cs-CZ"/>
        </w:rPr>
        <w:t>Článek 1</w:t>
      </w:r>
      <w:r w:rsidRPr="003B6E11">
        <w:rPr>
          <w:rFonts w:cs="Arial"/>
          <w:b/>
          <w:noProof/>
          <w:lang w:val="cs-CZ"/>
        </w:rPr>
        <w:br/>
      </w:r>
      <w:r w:rsidRPr="003B6E11">
        <w:rPr>
          <w:i/>
          <w:noProof/>
          <w:lang w:val="cs-CZ"/>
        </w:rPr>
        <w:t>Obecně</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1.</w:t>
      </w:r>
      <w:r w:rsidRPr="003B6E11">
        <w:rPr>
          <w:lang w:val="cs-CZ"/>
        </w:rPr>
        <w:tab/>
      </w:r>
      <w:r w:rsidRPr="003B6E11">
        <w:rPr>
          <w:noProof/>
          <w:color w:val="000000"/>
          <w:lang w:val="cs-CZ"/>
        </w:rPr>
        <w:t>Zkoušky montáže a výkonnosti navigačních radarových zařízení a systémů ukazatelů rychlosti otáčení musí být prováděny v souladu s následujícími ustanoveními.</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2.</w:t>
      </w:r>
      <w:r w:rsidRPr="003B6E11">
        <w:rPr>
          <w:lang w:val="cs-CZ"/>
        </w:rPr>
        <w:tab/>
      </w:r>
      <w:r w:rsidRPr="003B6E11">
        <w:rPr>
          <w:noProof/>
          <w:color w:val="000000"/>
          <w:lang w:val="cs-CZ"/>
        </w:rPr>
        <w:t>Namontována mohou být pouze zařízení se schválením typu podle oddílu I článku 6 nebo oddílu II článku 1.05 nebo se schválením typu uznaným jako rovnocenné.</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3.</w:t>
      </w:r>
      <w:r w:rsidRPr="003B6E11">
        <w:rPr>
          <w:lang w:val="cs-CZ"/>
        </w:rPr>
        <w:tab/>
      </w:r>
      <w:r w:rsidRPr="003B6E11">
        <w:rPr>
          <w:noProof/>
          <w:color w:val="000000"/>
          <w:lang w:val="cs-CZ"/>
        </w:rPr>
        <w:t>K navigačním radarovým zařízením je povoleno připojovat pouze typově schválená externí čidla. Externí čidla připojená k navigačnímu radarovému zařízení musí mít schválení typu v souladu s následujícími námořními normami:</w:t>
      </w:r>
    </w:p>
    <w:p w:rsidR="003B6E11" w:rsidRPr="003B6E11" w:rsidRDefault="003B6E11" w:rsidP="003B6E11">
      <w:pPr>
        <w:ind w:left="426" w:hanging="426"/>
        <w:rPr>
          <w:rFonts w:cs="Arial"/>
          <w:noProof/>
          <w:color w:val="000000"/>
          <w:highlight w:val="lightGray"/>
          <w:lang w:val="cs-CZ"/>
        </w:rPr>
      </w:pPr>
    </w:p>
    <w:tbl>
      <w:tblPr>
        <w:tblW w:w="0" w:type="auto"/>
        <w:jc w:val="right"/>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7"/>
        <w:gridCol w:w="2860"/>
        <w:gridCol w:w="2976"/>
      </w:tblGrid>
      <w:tr w:rsidR="003B6E11" w:rsidRPr="003B6E11" w:rsidTr="002D015D">
        <w:trPr>
          <w:trHeight w:val="595"/>
          <w:jc w:val="right"/>
        </w:trPr>
        <w:tc>
          <w:tcPr>
            <w:tcW w:w="2917" w:type="dxa"/>
            <w:vMerge w:val="restart"/>
            <w:shd w:val="clear" w:color="auto" w:fill="auto"/>
          </w:tcPr>
          <w:p w:rsidR="003B6E11" w:rsidRPr="003B6E11" w:rsidRDefault="003B6E11" w:rsidP="002D015D">
            <w:pPr>
              <w:spacing w:before="60" w:after="60" w:line="240" w:lineRule="atLeast"/>
              <w:jc w:val="center"/>
              <w:rPr>
                <w:sz w:val="18"/>
                <w:szCs w:val="18"/>
                <w:lang w:val="cs-CZ"/>
              </w:rPr>
            </w:pPr>
          </w:p>
          <w:p w:rsidR="003B6E11" w:rsidRPr="003B6E11" w:rsidRDefault="003B6E11" w:rsidP="002D015D">
            <w:pPr>
              <w:spacing w:before="60" w:after="60" w:line="240" w:lineRule="atLeast"/>
              <w:jc w:val="center"/>
              <w:rPr>
                <w:b/>
                <w:sz w:val="18"/>
                <w:szCs w:val="18"/>
                <w:lang w:val="cs-CZ"/>
              </w:rPr>
            </w:pPr>
            <w:r w:rsidRPr="003B6E11">
              <w:rPr>
                <w:b/>
                <w:sz w:val="18"/>
                <w:lang w:val="cs-CZ"/>
              </w:rPr>
              <w:t>Čidlo</w:t>
            </w:r>
          </w:p>
        </w:tc>
        <w:tc>
          <w:tcPr>
            <w:tcW w:w="5836" w:type="dxa"/>
            <w:gridSpan w:val="2"/>
            <w:shd w:val="clear" w:color="auto" w:fill="auto"/>
          </w:tcPr>
          <w:p w:rsidR="003B6E11" w:rsidRPr="003B6E11" w:rsidRDefault="003B6E11" w:rsidP="002D015D">
            <w:pPr>
              <w:spacing w:before="60" w:after="60" w:line="240" w:lineRule="atLeast"/>
              <w:jc w:val="center"/>
              <w:rPr>
                <w:sz w:val="18"/>
                <w:szCs w:val="18"/>
                <w:lang w:val="cs-CZ"/>
              </w:rPr>
            </w:pPr>
            <w:r w:rsidRPr="003B6E11">
              <w:rPr>
                <w:b/>
                <w:sz w:val="18"/>
                <w:lang w:val="cs-CZ"/>
              </w:rPr>
              <w:t>Minimální požadavky podle</w:t>
            </w:r>
          </w:p>
        </w:tc>
      </w:tr>
      <w:tr w:rsidR="003B6E11" w:rsidRPr="003B6E11" w:rsidTr="002D015D">
        <w:trPr>
          <w:trHeight w:val="516"/>
          <w:jc w:val="right"/>
        </w:trPr>
        <w:tc>
          <w:tcPr>
            <w:tcW w:w="2917" w:type="dxa"/>
            <w:vMerge/>
            <w:shd w:val="clear" w:color="auto" w:fill="auto"/>
          </w:tcPr>
          <w:p w:rsidR="003B6E11" w:rsidRPr="003B6E11" w:rsidRDefault="003B6E11" w:rsidP="002D015D">
            <w:pPr>
              <w:spacing w:before="60" w:after="60" w:line="240" w:lineRule="atLeast"/>
              <w:jc w:val="center"/>
              <w:rPr>
                <w:color w:val="000000"/>
                <w:sz w:val="18"/>
                <w:szCs w:val="18"/>
                <w:lang w:val="cs-CZ"/>
              </w:rPr>
            </w:pPr>
          </w:p>
        </w:tc>
        <w:tc>
          <w:tcPr>
            <w:tcW w:w="2860" w:type="dxa"/>
            <w:shd w:val="clear" w:color="auto" w:fill="auto"/>
          </w:tcPr>
          <w:p w:rsidR="003B6E11" w:rsidRPr="003B6E11" w:rsidRDefault="003B6E11" w:rsidP="002D015D">
            <w:pPr>
              <w:spacing w:before="60" w:after="60" w:line="240" w:lineRule="atLeast"/>
              <w:jc w:val="center"/>
              <w:rPr>
                <w:b/>
                <w:color w:val="000000"/>
                <w:sz w:val="18"/>
                <w:szCs w:val="18"/>
                <w:lang w:val="cs-CZ"/>
              </w:rPr>
            </w:pPr>
            <w:r w:rsidRPr="003B6E11">
              <w:rPr>
                <w:b/>
                <w:sz w:val="18"/>
                <w:lang w:val="cs-CZ"/>
              </w:rPr>
              <w:t>normy IMO</w:t>
            </w:r>
          </w:p>
        </w:tc>
        <w:tc>
          <w:tcPr>
            <w:tcW w:w="2976" w:type="dxa"/>
            <w:shd w:val="clear" w:color="auto" w:fill="auto"/>
          </w:tcPr>
          <w:p w:rsidR="003B6E11" w:rsidRPr="003B6E11" w:rsidRDefault="003B6E11" w:rsidP="002D015D">
            <w:pPr>
              <w:spacing w:before="60" w:after="60" w:line="240" w:lineRule="atLeast"/>
              <w:jc w:val="center"/>
              <w:rPr>
                <w:b/>
                <w:color w:val="000000"/>
                <w:sz w:val="18"/>
                <w:szCs w:val="18"/>
                <w:lang w:val="cs-CZ"/>
              </w:rPr>
            </w:pPr>
            <w:r w:rsidRPr="003B6E11">
              <w:rPr>
                <w:b/>
                <w:sz w:val="18"/>
                <w:lang w:val="cs-CZ"/>
              </w:rPr>
              <w:t>normy ISO/IEC</w:t>
            </w:r>
          </w:p>
        </w:tc>
      </w:tr>
      <w:tr w:rsidR="003B6E11" w:rsidRPr="003B6E11" w:rsidTr="002D015D">
        <w:trPr>
          <w:jc w:val="right"/>
        </w:trPr>
        <w:tc>
          <w:tcPr>
            <w:tcW w:w="2917" w:type="dxa"/>
            <w:shd w:val="clear" w:color="auto" w:fill="auto"/>
          </w:tcPr>
          <w:p w:rsidR="003B6E11" w:rsidRPr="003B6E11" w:rsidRDefault="003B6E11" w:rsidP="002D015D">
            <w:pPr>
              <w:spacing w:before="60" w:after="60" w:line="240" w:lineRule="atLeast"/>
              <w:rPr>
                <w:color w:val="000000"/>
                <w:sz w:val="18"/>
                <w:szCs w:val="18"/>
                <w:lang w:val="cs-CZ"/>
              </w:rPr>
            </w:pPr>
            <w:r w:rsidRPr="003B6E11">
              <w:rPr>
                <w:sz w:val="18"/>
                <w:lang w:val="cs-CZ"/>
              </w:rPr>
              <w:t>GPS</w:t>
            </w:r>
          </w:p>
        </w:tc>
        <w:tc>
          <w:tcPr>
            <w:tcW w:w="2860" w:type="dxa"/>
            <w:shd w:val="clear" w:color="auto" w:fill="auto"/>
          </w:tcPr>
          <w:p w:rsidR="003B6E11" w:rsidRPr="003B6E11" w:rsidRDefault="003B6E11" w:rsidP="002D015D">
            <w:pPr>
              <w:spacing w:before="60" w:after="60" w:line="240" w:lineRule="atLeast"/>
              <w:jc w:val="center"/>
              <w:rPr>
                <w:color w:val="000000"/>
                <w:sz w:val="18"/>
                <w:szCs w:val="18"/>
                <w:lang w:val="cs-CZ"/>
              </w:rPr>
            </w:pPr>
            <w:r w:rsidRPr="003B6E11">
              <w:rPr>
                <w:sz w:val="18"/>
                <w:lang w:val="cs-CZ"/>
              </w:rPr>
              <w:t>MSC.112(73)</w:t>
            </w:r>
            <w:r w:rsidRPr="003B6E11">
              <w:rPr>
                <w:sz w:val="18"/>
                <w:vertAlign w:val="superscript"/>
                <w:lang w:val="cs-CZ"/>
              </w:rPr>
              <w:footnoteReference w:id="54"/>
            </w:r>
          </w:p>
        </w:tc>
        <w:tc>
          <w:tcPr>
            <w:tcW w:w="2976" w:type="dxa"/>
            <w:shd w:val="clear" w:color="auto" w:fill="auto"/>
          </w:tcPr>
          <w:p w:rsidR="003B6E11" w:rsidRPr="003B6E11" w:rsidRDefault="003B6E11" w:rsidP="002D015D">
            <w:pPr>
              <w:spacing w:before="60" w:after="60" w:line="240" w:lineRule="atLeast"/>
              <w:jc w:val="center"/>
              <w:rPr>
                <w:color w:val="000000"/>
                <w:sz w:val="18"/>
                <w:szCs w:val="18"/>
                <w:lang w:val="cs-CZ"/>
              </w:rPr>
            </w:pPr>
            <w:r w:rsidRPr="003B6E11">
              <w:rPr>
                <w:sz w:val="18"/>
                <w:lang w:val="cs-CZ"/>
              </w:rPr>
              <w:t>IEC 61108-1 : 2003</w:t>
            </w:r>
          </w:p>
        </w:tc>
      </w:tr>
      <w:tr w:rsidR="003B6E11" w:rsidRPr="003B6E11" w:rsidTr="002D015D">
        <w:trPr>
          <w:jc w:val="right"/>
        </w:trPr>
        <w:tc>
          <w:tcPr>
            <w:tcW w:w="2917" w:type="dxa"/>
            <w:shd w:val="clear" w:color="auto" w:fill="auto"/>
          </w:tcPr>
          <w:p w:rsidR="003B6E11" w:rsidRPr="003B6E11" w:rsidRDefault="003B6E11" w:rsidP="002D015D">
            <w:pPr>
              <w:spacing w:before="60" w:after="60" w:line="240" w:lineRule="atLeast"/>
              <w:rPr>
                <w:color w:val="000000"/>
                <w:sz w:val="18"/>
                <w:szCs w:val="18"/>
                <w:lang w:val="cs-CZ"/>
              </w:rPr>
            </w:pPr>
            <w:r w:rsidRPr="003B6E11">
              <w:rPr>
                <w:sz w:val="18"/>
                <w:lang w:val="cs-CZ"/>
              </w:rPr>
              <w:t>DGPS/DGLONASS</w:t>
            </w:r>
          </w:p>
        </w:tc>
        <w:tc>
          <w:tcPr>
            <w:tcW w:w="2860" w:type="dxa"/>
            <w:shd w:val="clear" w:color="auto" w:fill="auto"/>
          </w:tcPr>
          <w:p w:rsidR="003B6E11" w:rsidRPr="003B6E11" w:rsidRDefault="003B6E11" w:rsidP="002D015D">
            <w:pPr>
              <w:spacing w:before="60" w:after="60" w:line="240" w:lineRule="atLeast"/>
              <w:jc w:val="center"/>
              <w:rPr>
                <w:color w:val="000000"/>
                <w:sz w:val="18"/>
                <w:szCs w:val="18"/>
                <w:lang w:val="cs-CZ"/>
              </w:rPr>
            </w:pPr>
            <w:r w:rsidRPr="003B6E11">
              <w:rPr>
                <w:sz w:val="18"/>
                <w:lang w:val="cs-CZ"/>
              </w:rPr>
              <w:t>MSC.114(73)</w:t>
            </w:r>
            <w:r w:rsidRPr="003B6E11">
              <w:rPr>
                <w:sz w:val="18"/>
                <w:vertAlign w:val="superscript"/>
                <w:lang w:val="cs-CZ"/>
              </w:rPr>
              <w:footnoteReference w:id="55"/>
            </w:r>
          </w:p>
        </w:tc>
        <w:tc>
          <w:tcPr>
            <w:tcW w:w="2976" w:type="dxa"/>
            <w:shd w:val="clear" w:color="auto" w:fill="auto"/>
          </w:tcPr>
          <w:p w:rsidR="003B6E11" w:rsidRPr="003B6E11" w:rsidRDefault="003B6E11" w:rsidP="002D015D">
            <w:pPr>
              <w:spacing w:before="60" w:after="60" w:line="240" w:lineRule="atLeast"/>
              <w:jc w:val="center"/>
              <w:rPr>
                <w:color w:val="000000"/>
                <w:sz w:val="18"/>
                <w:szCs w:val="18"/>
                <w:lang w:val="cs-CZ"/>
              </w:rPr>
            </w:pPr>
            <w:r w:rsidRPr="003B6E11">
              <w:rPr>
                <w:sz w:val="18"/>
                <w:lang w:val="cs-CZ"/>
              </w:rPr>
              <w:t>IEC 61108-4 : 2004</w:t>
            </w:r>
          </w:p>
        </w:tc>
      </w:tr>
      <w:tr w:rsidR="003B6E11" w:rsidRPr="003B6E11" w:rsidTr="002D015D">
        <w:trPr>
          <w:jc w:val="right"/>
        </w:trPr>
        <w:tc>
          <w:tcPr>
            <w:tcW w:w="2917" w:type="dxa"/>
            <w:shd w:val="clear" w:color="auto" w:fill="auto"/>
          </w:tcPr>
          <w:p w:rsidR="003B6E11" w:rsidRPr="003B6E11" w:rsidRDefault="003B6E11" w:rsidP="002D015D">
            <w:pPr>
              <w:spacing w:before="60" w:after="60" w:line="240" w:lineRule="atLeast"/>
              <w:rPr>
                <w:color w:val="000000"/>
                <w:sz w:val="18"/>
                <w:szCs w:val="18"/>
                <w:lang w:val="cs-CZ"/>
              </w:rPr>
            </w:pPr>
            <w:r w:rsidRPr="003B6E11">
              <w:rPr>
                <w:sz w:val="18"/>
                <w:lang w:val="cs-CZ"/>
              </w:rPr>
              <w:t>Galileo</w:t>
            </w:r>
          </w:p>
        </w:tc>
        <w:tc>
          <w:tcPr>
            <w:tcW w:w="2860" w:type="dxa"/>
            <w:shd w:val="clear" w:color="auto" w:fill="auto"/>
          </w:tcPr>
          <w:p w:rsidR="003B6E11" w:rsidRPr="003B6E11" w:rsidRDefault="003B6E11" w:rsidP="002D015D">
            <w:pPr>
              <w:spacing w:before="60" w:after="60" w:line="240" w:lineRule="atLeast"/>
              <w:jc w:val="center"/>
              <w:rPr>
                <w:color w:val="000000"/>
                <w:sz w:val="18"/>
                <w:szCs w:val="18"/>
                <w:lang w:val="cs-CZ"/>
              </w:rPr>
            </w:pPr>
            <w:r w:rsidRPr="003B6E11">
              <w:rPr>
                <w:sz w:val="18"/>
                <w:lang w:val="cs-CZ"/>
              </w:rPr>
              <w:t>MSC.233(82)</w:t>
            </w:r>
            <w:r w:rsidRPr="003B6E11">
              <w:rPr>
                <w:sz w:val="18"/>
                <w:vertAlign w:val="superscript"/>
                <w:lang w:val="cs-CZ"/>
              </w:rPr>
              <w:footnoteReference w:id="56"/>
            </w:r>
          </w:p>
        </w:tc>
        <w:tc>
          <w:tcPr>
            <w:tcW w:w="2976" w:type="dxa"/>
            <w:shd w:val="clear" w:color="auto" w:fill="auto"/>
          </w:tcPr>
          <w:p w:rsidR="003B6E11" w:rsidRPr="003B6E11" w:rsidRDefault="003B6E11" w:rsidP="002D015D">
            <w:pPr>
              <w:spacing w:before="60" w:after="60" w:line="240" w:lineRule="atLeast"/>
              <w:jc w:val="center"/>
              <w:rPr>
                <w:color w:val="000000"/>
                <w:sz w:val="18"/>
                <w:szCs w:val="18"/>
                <w:lang w:val="cs-CZ"/>
              </w:rPr>
            </w:pPr>
            <w:r w:rsidRPr="003B6E11">
              <w:rPr>
                <w:sz w:val="18"/>
                <w:lang w:val="cs-CZ"/>
              </w:rPr>
              <w:t>IEC 61108-3 : 2010</w:t>
            </w:r>
          </w:p>
        </w:tc>
      </w:tr>
      <w:tr w:rsidR="003B6E11" w:rsidRPr="003B6E11" w:rsidTr="002D015D">
        <w:trPr>
          <w:jc w:val="right"/>
        </w:trPr>
        <w:tc>
          <w:tcPr>
            <w:tcW w:w="2917" w:type="dxa"/>
            <w:shd w:val="clear" w:color="auto" w:fill="auto"/>
          </w:tcPr>
          <w:p w:rsidR="003B6E11" w:rsidRPr="003B6E11" w:rsidRDefault="003B6E11" w:rsidP="002D015D">
            <w:pPr>
              <w:spacing w:before="60" w:after="60" w:line="240" w:lineRule="atLeast"/>
              <w:rPr>
                <w:color w:val="000000"/>
                <w:sz w:val="18"/>
                <w:szCs w:val="18"/>
                <w:lang w:val="cs-CZ"/>
              </w:rPr>
            </w:pPr>
            <w:r w:rsidRPr="003B6E11">
              <w:rPr>
                <w:sz w:val="18"/>
                <w:lang w:val="cs-CZ"/>
              </w:rPr>
              <w:t>Kurz / kompas GPS</w:t>
            </w:r>
          </w:p>
        </w:tc>
        <w:tc>
          <w:tcPr>
            <w:tcW w:w="2860" w:type="dxa"/>
            <w:shd w:val="clear" w:color="auto" w:fill="auto"/>
          </w:tcPr>
          <w:p w:rsidR="003B6E11" w:rsidRPr="003B6E11" w:rsidRDefault="003B6E11" w:rsidP="002D015D">
            <w:pPr>
              <w:spacing w:before="60" w:after="60" w:line="240" w:lineRule="atLeast"/>
              <w:jc w:val="center"/>
              <w:rPr>
                <w:color w:val="000000"/>
                <w:sz w:val="18"/>
                <w:szCs w:val="18"/>
                <w:lang w:val="cs-CZ"/>
              </w:rPr>
            </w:pPr>
            <w:r w:rsidRPr="003B6E11">
              <w:rPr>
                <w:sz w:val="18"/>
                <w:lang w:val="cs-CZ"/>
              </w:rPr>
              <w:t>MSC.116(73)</w:t>
            </w:r>
            <w:r w:rsidRPr="003B6E11">
              <w:rPr>
                <w:sz w:val="18"/>
                <w:vertAlign w:val="superscript"/>
                <w:lang w:val="cs-CZ"/>
              </w:rPr>
              <w:footnoteReference w:id="57"/>
            </w:r>
          </w:p>
        </w:tc>
        <w:tc>
          <w:tcPr>
            <w:tcW w:w="2976" w:type="dxa"/>
            <w:shd w:val="clear" w:color="auto" w:fill="auto"/>
          </w:tcPr>
          <w:p w:rsidR="003B6E11" w:rsidRPr="003B6E11" w:rsidRDefault="003B6E11" w:rsidP="002D015D">
            <w:pPr>
              <w:spacing w:before="60" w:after="60" w:line="240" w:lineRule="atLeast"/>
              <w:jc w:val="center"/>
              <w:rPr>
                <w:color w:val="000000"/>
                <w:sz w:val="18"/>
                <w:szCs w:val="18"/>
                <w:lang w:val="cs-CZ"/>
              </w:rPr>
            </w:pPr>
            <w:r w:rsidRPr="003B6E11">
              <w:rPr>
                <w:sz w:val="18"/>
                <w:lang w:val="cs-CZ"/>
              </w:rPr>
              <w:t>IEC 22090-3 : 2014</w:t>
            </w:r>
            <w:r w:rsidRPr="003B6E11">
              <w:rPr>
                <w:sz w:val="18"/>
                <w:szCs w:val="18"/>
                <w:lang w:val="cs-CZ"/>
              </w:rPr>
              <w:br/>
            </w:r>
            <w:r w:rsidRPr="003B6E11">
              <w:rPr>
                <w:sz w:val="18"/>
                <w:lang w:val="cs-CZ"/>
              </w:rPr>
              <w:t>Část 3: Principy GNSS</w:t>
            </w:r>
          </w:p>
        </w:tc>
      </w:tr>
    </w:tbl>
    <w:p w:rsidR="003B6E11" w:rsidRPr="003B6E11" w:rsidRDefault="003B6E11" w:rsidP="003B6E11">
      <w:pPr>
        <w:spacing w:line="240" w:lineRule="atLeast"/>
        <w:rPr>
          <w:rFonts w:cs="Arial"/>
          <w:color w:val="000000"/>
          <w:highlight w:val="lightGray"/>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4.</w:t>
      </w:r>
      <w:r w:rsidRPr="003B6E11">
        <w:rPr>
          <w:lang w:val="cs-CZ"/>
        </w:rPr>
        <w:tab/>
      </w:r>
      <w:r w:rsidRPr="003B6E11">
        <w:rPr>
          <w:noProof/>
          <w:color w:val="000000"/>
          <w:lang w:val="cs-CZ"/>
        </w:rPr>
        <w:t>Je-li zařízení pro vnitrozemský AIS připojeno k navigačnímu radarovému zařízení nevybavenému elektronickou kartou pro vnitrozemskou plavbu k zobrazování symbolů AIS, musí být připojen rovněž schválený kompas, aby byly splněny požadavky přílohy 5 oddílu I článku 2.</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jc w:val="center"/>
        <w:rPr>
          <w:rFonts w:cs="Arial"/>
          <w:b/>
          <w:noProof/>
          <w:lang w:val="cs-CZ"/>
        </w:rPr>
      </w:pPr>
    </w:p>
    <w:p w:rsidR="003B6E11" w:rsidRPr="003B6E11" w:rsidRDefault="003B6E11" w:rsidP="003B6E11">
      <w:pPr>
        <w:spacing w:line="240" w:lineRule="atLeast"/>
        <w:jc w:val="center"/>
        <w:rPr>
          <w:rFonts w:cs="Arial"/>
          <w:i/>
          <w:noProof/>
          <w:lang w:val="cs-CZ"/>
        </w:rPr>
      </w:pPr>
      <w:r w:rsidRPr="003B6E11">
        <w:rPr>
          <w:b/>
          <w:noProof/>
          <w:lang w:val="cs-CZ"/>
        </w:rPr>
        <w:t>Článek 2</w:t>
      </w:r>
      <w:r w:rsidRPr="003B6E11">
        <w:rPr>
          <w:rFonts w:cs="Arial"/>
          <w:b/>
          <w:noProof/>
          <w:lang w:val="cs-CZ"/>
        </w:rPr>
        <w:br/>
      </w:r>
      <w:r w:rsidRPr="003B6E11">
        <w:rPr>
          <w:i/>
          <w:noProof/>
          <w:lang w:val="cs-CZ"/>
        </w:rPr>
        <w:t>Schválené odborné firmy</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1.</w:t>
      </w:r>
      <w:r w:rsidRPr="003B6E11">
        <w:rPr>
          <w:lang w:val="cs-CZ"/>
        </w:rPr>
        <w:tab/>
      </w:r>
      <w:r w:rsidRPr="003B6E11">
        <w:rPr>
          <w:noProof/>
          <w:color w:val="000000"/>
          <w:lang w:val="cs-CZ"/>
        </w:rPr>
        <w:t xml:space="preserve">Montáž, výměnu, opravu nebo údržbu navigačního radarového zařízení a ukazatelů rychlosti otáčení smějí provádět pouze odborné firmy, které schválil příslušný orgán. </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2.</w:t>
      </w:r>
      <w:r w:rsidRPr="003B6E11">
        <w:rPr>
          <w:lang w:val="cs-CZ"/>
        </w:rPr>
        <w:tab/>
      </w:r>
      <w:r w:rsidRPr="003B6E11">
        <w:rPr>
          <w:noProof/>
          <w:color w:val="000000"/>
          <w:lang w:val="cs-CZ"/>
        </w:rPr>
        <w:t>Schválení může příslušný orgán i odejmout.</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p>
    <w:p w:rsidR="003B6E11" w:rsidRPr="003B6E11" w:rsidRDefault="003B6E11" w:rsidP="003B6E11">
      <w:pPr>
        <w:rPr>
          <w:rFonts w:cs="Arial"/>
          <w:b/>
          <w:noProof/>
          <w:lang w:val="cs-CZ"/>
        </w:rPr>
      </w:pPr>
      <w:r w:rsidRPr="003B6E11">
        <w:rPr>
          <w:lang w:val="cs-CZ"/>
        </w:rPr>
        <w:br w:type="page"/>
      </w:r>
    </w:p>
    <w:p w:rsidR="003B6E11" w:rsidRPr="003B6E11" w:rsidRDefault="003B6E11" w:rsidP="003B6E11">
      <w:pPr>
        <w:spacing w:line="240" w:lineRule="atLeast"/>
        <w:jc w:val="center"/>
        <w:rPr>
          <w:rFonts w:cs="Arial"/>
          <w:b/>
          <w:noProof/>
          <w:lang w:val="cs-CZ"/>
        </w:rPr>
      </w:pPr>
    </w:p>
    <w:p w:rsidR="003B6E11" w:rsidRPr="003B6E11" w:rsidRDefault="003B6E11" w:rsidP="003B6E11">
      <w:pPr>
        <w:spacing w:line="240" w:lineRule="atLeast"/>
        <w:jc w:val="center"/>
        <w:rPr>
          <w:rFonts w:cs="Arial"/>
          <w:i/>
          <w:noProof/>
          <w:lang w:val="cs-CZ"/>
        </w:rPr>
      </w:pPr>
      <w:r w:rsidRPr="003B6E11">
        <w:rPr>
          <w:b/>
          <w:noProof/>
          <w:lang w:val="cs-CZ"/>
        </w:rPr>
        <w:t>Článek 3</w:t>
      </w:r>
      <w:r w:rsidRPr="003B6E11">
        <w:rPr>
          <w:rFonts w:cs="Arial"/>
          <w:b/>
          <w:noProof/>
          <w:lang w:val="cs-CZ"/>
        </w:rPr>
        <w:br/>
      </w:r>
      <w:r w:rsidRPr="003B6E11">
        <w:rPr>
          <w:i/>
          <w:noProof/>
          <w:lang w:val="cs-CZ"/>
        </w:rPr>
        <w:t>Požadavky na palubní napájení</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noProof/>
          <w:lang w:val="cs-CZ"/>
        </w:rPr>
      </w:pPr>
      <w:r w:rsidRPr="003B6E11">
        <w:rPr>
          <w:lang w:val="cs-CZ"/>
        </w:rPr>
        <w:t>Všechny napájecí vodiče radarových navigačních zařízení a ukazatelů rychlosti otáčení musí být vybaveny samostatným bezpečnostním zařízením a být pokud možno zabezpečeny proti selhání.</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szCs w:val="20"/>
          <w:lang w:val="cs-CZ"/>
        </w:rPr>
      </w:pPr>
    </w:p>
    <w:p w:rsidR="003B6E11" w:rsidRPr="003B6E11" w:rsidRDefault="003B6E11" w:rsidP="003B6E11">
      <w:pPr>
        <w:spacing w:line="240" w:lineRule="atLeast"/>
        <w:jc w:val="center"/>
        <w:rPr>
          <w:rFonts w:cs="Arial"/>
          <w:i/>
          <w:noProof/>
          <w:lang w:val="cs-CZ"/>
        </w:rPr>
      </w:pPr>
      <w:r w:rsidRPr="003B6E11">
        <w:rPr>
          <w:b/>
          <w:noProof/>
          <w:lang w:val="cs-CZ"/>
        </w:rPr>
        <w:t>Článek 4</w:t>
      </w:r>
      <w:r w:rsidRPr="003B6E11">
        <w:rPr>
          <w:rFonts w:cs="Arial"/>
          <w:b/>
          <w:noProof/>
          <w:lang w:val="cs-CZ"/>
        </w:rPr>
        <w:br/>
      </w:r>
      <w:r w:rsidRPr="003B6E11">
        <w:rPr>
          <w:i/>
          <w:noProof/>
          <w:lang w:val="cs-CZ"/>
        </w:rPr>
        <w:t>Montáž radarové antény</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1.</w:t>
      </w:r>
      <w:r w:rsidRPr="003B6E11">
        <w:rPr>
          <w:lang w:val="cs-CZ"/>
        </w:rPr>
        <w:tab/>
      </w:r>
      <w:r w:rsidRPr="003B6E11">
        <w:rPr>
          <w:noProof/>
          <w:color w:val="000000"/>
          <w:lang w:val="cs-CZ"/>
        </w:rPr>
        <w:t>Anténa musí být instalována co nejblíže k podélné ose plavidla. V blízkosti antény se nesmí vyskytovat žádná překážka, která by způsobovala falešné ozvěny nebo nežádoucí stínění; v případě potřeby se anténa namontuje na příďovou nástavbu. Držák a upevnění antény radaru v provozní poloze musí být stabilní natolik, aby navigační radarové zařízení mohlo pracovat s požadovanou přesností.</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2.</w:t>
      </w:r>
      <w:r w:rsidRPr="003B6E11">
        <w:rPr>
          <w:lang w:val="cs-CZ"/>
        </w:rPr>
        <w:tab/>
      </w:r>
      <w:r w:rsidRPr="003B6E11">
        <w:rPr>
          <w:noProof/>
          <w:color w:val="000000"/>
          <w:lang w:val="cs-CZ"/>
        </w:rPr>
        <w:t>Po korekci úhlové chyby na držáku a po zapnutí zařízení nesmí být rozdíl mezi kompasovou ryskou a podélnou osou plavidla větší než 1°.</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jc w:val="center"/>
        <w:rPr>
          <w:rFonts w:cs="Arial"/>
          <w:i/>
          <w:noProof/>
          <w:lang w:val="cs-CZ"/>
        </w:rPr>
      </w:pPr>
      <w:r w:rsidRPr="003B6E11">
        <w:rPr>
          <w:b/>
          <w:noProof/>
          <w:lang w:val="cs-CZ"/>
        </w:rPr>
        <w:t>Článek 5</w:t>
      </w:r>
      <w:r w:rsidRPr="003B6E11">
        <w:rPr>
          <w:rFonts w:cs="Arial"/>
          <w:b/>
          <w:noProof/>
          <w:lang w:val="cs-CZ"/>
        </w:rPr>
        <w:br/>
      </w:r>
      <w:r w:rsidRPr="003B6E11">
        <w:rPr>
          <w:i/>
          <w:noProof/>
          <w:lang w:val="cs-CZ"/>
        </w:rPr>
        <w:t>Montáž zobrazovací jednotky a ovládací jednotky</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1.</w:t>
      </w:r>
      <w:r w:rsidRPr="003B6E11">
        <w:rPr>
          <w:lang w:val="cs-CZ"/>
        </w:rPr>
        <w:tab/>
      </w:r>
      <w:r w:rsidRPr="003B6E11">
        <w:rPr>
          <w:noProof/>
          <w:color w:val="000000"/>
          <w:lang w:val="cs-CZ"/>
        </w:rPr>
        <w:t>Zobrazovací jednotka a ovládací jednotka se instalují v kormidelně tak, aby vyhodnocování radarového snímku a obsluha radarového navigačního zařízení nebylo nijak obtížné. Azimutální orientace radarového snímku musí odpovídat normální situaci okolí. Úchyty a nastavitelné konzoly musí být konstruovány tak, aby je bylo možné připevnit v jakékoli poloze bez vibrací.</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2.</w:t>
      </w:r>
      <w:r w:rsidRPr="003B6E11">
        <w:rPr>
          <w:lang w:val="cs-CZ"/>
        </w:rPr>
        <w:tab/>
      </w:r>
      <w:r w:rsidRPr="003B6E11">
        <w:rPr>
          <w:noProof/>
          <w:color w:val="000000"/>
          <w:lang w:val="cs-CZ"/>
        </w:rPr>
        <w:t>Během plavby s pomocí radaru se umělé osvětlení nesmí odrážet ve směru obsluhy radaru.</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3.</w:t>
      </w:r>
      <w:r w:rsidRPr="003B6E11">
        <w:rPr>
          <w:lang w:val="cs-CZ"/>
        </w:rPr>
        <w:tab/>
      </w:r>
      <w:r w:rsidRPr="003B6E11">
        <w:rPr>
          <w:noProof/>
          <w:color w:val="000000"/>
          <w:lang w:val="cs-CZ"/>
        </w:rPr>
        <w:t>Není-li ovládací jednotka součástí zobrazovací jednotky, musí být umístěna v pouzdru vzdáleném nejvýše 1 m od zobrazovací jednotky. Bezdrátové dálkové ovládání není povoleno.</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4.</w:t>
      </w:r>
      <w:r w:rsidRPr="003B6E11">
        <w:rPr>
          <w:lang w:val="cs-CZ"/>
        </w:rPr>
        <w:tab/>
      </w:r>
      <w:r w:rsidRPr="003B6E11">
        <w:rPr>
          <w:noProof/>
          <w:color w:val="000000"/>
          <w:lang w:val="cs-CZ"/>
        </w:rPr>
        <w:t>Jsou-li instalovány pomocné ukazatele, musí splňovat stejné požadavky, jaké se vztahují na navigační radarové zařízení.</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jc w:val="center"/>
        <w:rPr>
          <w:rFonts w:cs="Arial"/>
          <w:i/>
          <w:noProof/>
          <w:lang w:val="cs-CZ"/>
        </w:rPr>
      </w:pPr>
      <w:r w:rsidRPr="003B6E11">
        <w:rPr>
          <w:b/>
          <w:noProof/>
          <w:lang w:val="cs-CZ"/>
        </w:rPr>
        <w:t>Článek 6</w:t>
      </w:r>
      <w:r w:rsidRPr="003B6E11">
        <w:rPr>
          <w:rFonts w:cs="Arial"/>
          <w:b/>
          <w:noProof/>
          <w:lang w:val="cs-CZ"/>
        </w:rPr>
        <w:br/>
      </w:r>
      <w:r w:rsidRPr="003B6E11">
        <w:rPr>
          <w:i/>
          <w:noProof/>
          <w:lang w:val="cs-CZ"/>
        </w:rPr>
        <w:t>Montáž ukazatele rychlosti otáčení</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1.</w:t>
      </w:r>
      <w:r w:rsidRPr="003B6E11">
        <w:rPr>
          <w:lang w:val="cs-CZ"/>
        </w:rPr>
        <w:tab/>
      </w:r>
      <w:r w:rsidRPr="003B6E11">
        <w:rPr>
          <w:noProof/>
          <w:color w:val="000000"/>
          <w:lang w:val="cs-CZ"/>
        </w:rPr>
        <w:t>Ukazatel rychlosti otáčení musí být umístěn před kormidelníkem v jeho zorném poli.</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2.</w:t>
      </w:r>
      <w:r w:rsidRPr="003B6E11">
        <w:rPr>
          <w:lang w:val="cs-CZ"/>
        </w:rPr>
        <w:tab/>
      </w:r>
      <w:r w:rsidRPr="003B6E11">
        <w:rPr>
          <w:noProof/>
          <w:color w:val="000000"/>
          <w:lang w:val="cs-CZ"/>
        </w:rPr>
        <w:t>Systém čidel musí být umístěn co nejvíce ke středu lodi, a to ve vodorovné poloze a v podélné ose plavidla. Místo, kde se ukazatele montují, musí být pokud možno prosto vibrací a vystaveno minimálním výkyvům teplot. Jednotka s ukazateli musí být pokud možno instalována přímo nad radarovou jednotkou.</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3.</w:t>
      </w:r>
      <w:r w:rsidRPr="003B6E11">
        <w:rPr>
          <w:lang w:val="cs-CZ"/>
        </w:rPr>
        <w:tab/>
      </w:r>
      <w:r w:rsidRPr="003B6E11">
        <w:rPr>
          <w:noProof/>
          <w:color w:val="000000"/>
          <w:lang w:val="cs-CZ"/>
        </w:rPr>
        <w:t>Jsou-li instalovány pomocné ukazatele, musí splňovat stejné požadavky, jaké se vztahují na ukazatele rychlosti otáčení.</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p>
    <w:p w:rsidR="003B6E11" w:rsidRPr="003B6E11" w:rsidRDefault="003B6E11" w:rsidP="003B6E11">
      <w:pPr>
        <w:rPr>
          <w:rFonts w:cs="Arial"/>
          <w:b/>
          <w:noProof/>
          <w:lang w:val="cs-CZ"/>
        </w:rPr>
      </w:pPr>
      <w:r w:rsidRPr="003B6E11">
        <w:rPr>
          <w:lang w:val="cs-CZ"/>
        </w:rPr>
        <w:br w:type="page"/>
      </w:r>
    </w:p>
    <w:p w:rsidR="003B6E11" w:rsidRPr="003B6E11" w:rsidRDefault="003B6E11" w:rsidP="003B6E11">
      <w:pPr>
        <w:spacing w:line="240" w:lineRule="atLeast"/>
        <w:jc w:val="center"/>
        <w:rPr>
          <w:rFonts w:cs="Arial"/>
          <w:b/>
          <w:noProof/>
          <w:lang w:val="cs-CZ"/>
        </w:rPr>
      </w:pPr>
    </w:p>
    <w:p w:rsidR="003B6E11" w:rsidRPr="003B6E11" w:rsidRDefault="003B6E11" w:rsidP="003B6E11">
      <w:pPr>
        <w:spacing w:line="240" w:lineRule="atLeast"/>
        <w:jc w:val="center"/>
        <w:rPr>
          <w:rFonts w:cs="Arial"/>
          <w:i/>
          <w:noProof/>
          <w:lang w:val="cs-CZ"/>
        </w:rPr>
      </w:pPr>
      <w:r w:rsidRPr="003B6E11">
        <w:rPr>
          <w:b/>
          <w:noProof/>
          <w:lang w:val="cs-CZ"/>
        </w:rPr>
        <w:t>Článek 7</w:t>
      </w:r>
      <w:r w:rsidRPr="003B6E11">
        <w:rPr>
          <w:rFonts w:cs="Arial"/>
          <w:b/>
          <w:noProof/>
          <w:lang w:val="cs-CZ"/>
        </w:rPr>
        <w:br/>
      </w:r>
      <w:r w:rsidRPr="003B6E11">
        <w:rPr>
          <w:i/>
          <w:noProof/>
          <w:lang w:val="cs-CZ"/>
        </w:rPr>
        <w:t>Montáž polohového čidla</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noProof/>
          <w:lang w:val="cs-CZ"/>
        </w:rPr>
      </w:pPr>
      <w:r w:rsidRPr="003B6E11">
        <w:rPr>
          <w:lang w:val="cs-CZ"/>
        </w:rPr>
        <w:t>U zařízení pro vnitrozemský ECDIS v navigačním režimu musí být polohové čidlo (např. anténa DGPS) namontováno tak, aby pracovalo s co největší přesností měření a aby nebylo negativně ovlivněno nástavbami a vysílacími zařízeními na plavidle.</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spacing w:line="240" w:lineRule="atLeast"/>
        <w:jc w:val="center"/>
        <w:rPr>
          <w:rFonts w:cs="Arial"/>
          <w:i/>
          <w:noProof/>
          <w:lang w:val="cs-CZ"/>
        </w:rPr>
      </w:pPr>
      <w:r w:rsidRPr="003B6E11">
        <w:rPr>
          <w:b/>
          <w:noProof/>
          <w:lang w:val="cs-CZ"/>
        </w:rPr>
        <w:t>Článek 8</w:t>
      </w:r>
      <w:r w:rsidRPr="003B6E11">
        <w:rPr>
          <w:rFonts w:cs="Arial"/>
          <w:b/>
          <w:noProof/>
          <w:lang w:val="cs-CZ"/>
        </w:rPr>
        <w:br/>
      </w:r>
      <w:r w:rsidRPr="003B6E11">
        <w:rPr>
          <w:i/>
          <w:noProof/>
          <w:lang w:val="cs-CZ"/>
        </w:rPr>
        <w:t>Zkouška montáže a výkonnosti</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noProof/>
          <w:lang w:val="cs-CZ"/>
        </w:rPr>
      </w:pPr>
      <w:r w:rsidRPr="003B6E11">
        <w:rPr>
          <w:lang w:val="cs-CZ"/>
        </w:rPr>
        <w:t>Před tím, než je zařízení poprvé po montáži uvedeno do provozu, ať už v případě pravidelné prohlídky kvůli prodloužení platnosti osvědčení pro vnitrozemskou plavbu, nebo po každé úpravě lodi, která by mohla mít vliv na provozní podmínky zařízení, provede příslušný orgán nebo odborná firma schválená podle článku 2 zkoušku montáže a výkonnosti. Za tímto účelem musí být splněny tyto podmínky:</w:t>
      </w:r>
    </w:p>
    <w:p w:rsidR="003B6E11" w:rsidRPr="003B6E11" w:rsidRDefault="003B6E11" w:rsidP="003B6E11">
      <w:pPr>
        <w:spacing w:before="60" w:line="240" w:lineRule="atLeast"/>
        <w:rPr>
          <w:rFonts w:cs="Arial"/>
          <w:noProof/>
          <w:lang w:val="cs-CZ"/>
        </w:rPr>
      </w:pPr>
      <w:r w:rsidRPr="003B6E11">
        <w:rPr>
          <w:lang w:val="cs-CZ"/>
        </w:rPr>
        <w:t>a)</w:t>
      </w:r>
      <w:r w:rsidRPr="003B6E11">
        <w:rPr>
          <w:lang w:val="cs-CZ"/>
        </w:rPr>
        <w:tab/>
        <w:t>napájení musí být vybaveno samostatným bezpečnostním zařízením;</w:t>
      </w:r>
    </w:p>
    <w:p w:rsidR="003B6E11" w:rsidRPr="003B6E11" w:rsidRDefault="003B6E11" w:rsidP="003B6E11">
      <w:pPr>
        <w:spacing w:before="60" w:line="240" w:lineRule="atLeast"/>
        <w:rPr>
          <w:rFonts w:cs="Arial"/>
          <w:noProof/>
          <w:lang w:val="cs-CZ"/>
        </w:rPr>
      </w:pPr>
      <w:r w:rsidRPr="003B6E11">
        <w:rPr>
          <w:lang w:val="cs-CZ"/>
        </w:rPr>
        <w:t>b)</w:t>
      </w:r>
      <w:r w:rsidRPr="003B6E11">
        <w:rPr>
          <w:lang w:val="cs-CZ"/>
        </w:rPr>
        <w:tab/>
        <w:t>provozní napětí musí být v toleranci;</w:t>
      </w:r>
    </w:p>
    <w:p w:rsidR="003B6E11" w:rsidRPr="003B6E11" w:rsidRDefault="003B6E11" w:rsidP="003B6E11">
      <w:pPr>
        <w:spacing w:before="60" w:line="240" w:lineRule="atLeast"/>
        <w:rPr>
          <w:rFonts w:cs="Arial"/>
          <w:noProof/>
          <w:lang w:val="cs-CZ"/>
        </w:rPr>
      </w:pPr>
      <w:r w:rsidRPr="003B6E11">
        <w:rPr>
          <w:lang w:val="cs-CZ"/>
        </w:rPr>
        <w:t>c)</w:t>
      </w:r>
      <w:r w:rsidRPr="003B6E11">
        <w:rPr>
          <w:lang w:val="cs-CZ"/>
        </w:rPr>
        <w:tab/>
        <w:t xml:space="preserve">kabely a jejich uložení musí splňovat ustanovení této normy a popřípadě ADN; </w:t>
      </w:r>
    </w:p>
    <w:p w:rsidR="003B6E11" w:rsidRPr="003B6E11" w:rsidRDefault="003B6E11" w:rsidP="003B6E11">
      <w:pPr>
        <w:spacing w:before="60" w:line="240" w:lineRule="atLeast"/>
        <w:rPr>
          <w:rFonts w:cs="Arial"/>
          <w:noProof/>
          <w:lang w:val="cs-CZ"/>
        </w:rPr>
      </w:pPr>
      <w:r w:rsidRPr="003B6E11">
        <w:rPr>
          <w:lang w:val="cs-CZ"/>
        </w:rPr>
        <w:t>d)</w:t>
      </w:r>
      <w:r w:rsidRPr="003B6E11">
        <w:rPr>
          <w:lang w:val="cs-CZ"/>
        </w:rPr>
        <w:tab/>
        <w:t>rychlost otáčení antény musí být nejméně 24 ot/min;</w:t>
      </w:r>
    </w:p>
    <w:p w:rsidR="003B6E11" w:rsidRPr="003B6E11" w:rsidRDefault="003B6E11" w:rsidP="003B6E11">
      <w:pPr>
        <w:spacing w:before="60" w:line="240" w:lineRule="atLeast"/>
        <w:rPr>
          <w:rFonts w:cs="Arial"/>
          <w:noProof/>
          <w:lang w:val="cs-CZ"/>
        </w:rPr>
      </w:pPr>
      <w:r w:rsidRPr="003B6E11">
        <w:rPr>
          <w:lang w:val="cs-CZ"/>
        </w:rPr>
        <w:t>e)</w:t>
      </w:r>
      <w:r w:rsidRPr="003B6E11">
        <w:rPr>
          <w:lang w:val="cs-CZ"/>
        </w:rPr>
        <w:tab/>
        <w:t>v blízkosti antény nesmí být žádná překážka, která by zhoršovala navigaci;</w:t>
      </w:r>
    </w:p>
    <w:p w:rsidR="003B6E11" w:rsidRPr="003B6E11" w:rsidRDefault="003B6E11" w:rsidP="003B6E11">
      <w:pPr>
        <w:spacing w:before="60" w:line="240" w:lineRule="atLeast"/>
        <w:rPr>
          <w:rFonts w:cs="Arial"/>
          <w:noProof/>
          <w:lang w:val="cs-CZ"/>
        </w:rPr>
      </w:pPr>
      <w:r w:rsidRPr="003B6E11">
        <w:rPr>
          <w:lang w:val="cs-CZ"/>
        </w:rPr>
        <w:t>f)</w:t>
      </w:r>
      <w:r w:rsidRPr="003B6E11">
        <w:rPr>
          <w:lang w:val="cs-CZ"/>
        </w:rPr>
        <w:tab/>
        <w:t>bezpečnostní spínač antény, je-li jím anténa vybavena, musí být v dobrém provozním stavu;</w:t>
      </w:r>
    </w:p>
    <w:p w:rsidR="003B6E11" w:rsidRPr="003B6E11" w:rsidRDefault="003B6E11" w:rsidP="003B6E11">
      <w:pPr>
        <w:spacing w:before="60" w:line="240" w:lineRule="atLeast"/>
        <w:rPr>
          <w:rFonts w:cs="Arial"/>
          <w:noProof/>
          <w:lang w:val="cs-CZ"/>
        </w:rPr>
      </w:pPr>
      <w:r w:rsidRPr="003B6E11">
        <w:rPr>
          <w:lang w:val="cs-CZ"/>
        </w:rPr>
        <w:t>g)</w:t>
      </w:r>
      <w:r w:rsidRPr="003B6E11">
        <w:rPr>
          <w:lang w:val="cs-CZ"/>
        </w:rPr>
        <w:tab/>
        <w:t>zobrazovací jednotky, ukazatele rychlosti otáčení a ovládací jednotky musí být uspořádány ergonomicky a uživatelsky přívětivě;</w:t>
      </w:r>
    </w:p>
    <w:p w:rsidR="003B6E11" w:rsidRPr="003B6E11" w:rsidRDefault="003B6E11" w:rsidP="003B6E11">
      <w:pPr>
        <w:spacing w:before="60" w:line="240" w:lineRule="atLeast"/>
        <w:rPr>
          <w:rFonts w:cs="Arial"/>
          <w:noProof/>
          <w:lang w:val="cs-CZ"/>
        </w:rPr>
      </w:pPr>
      <w:r w:rsidRPr="003B6E11">
        <w:rPr>
          <w:lang w:val="cs-CZ"/>
        </w:rPr>
        <w:t>h)</w:t>
      </w:r>
      <w:r w:rsidRPr="003B6E11">
        <w:rPr>
          <w:lang w:val="cs-CZ"/>
        </w:rPr>
        <w:tab/>
        <w:t>kompasová ryska navigačního radarového zařízení se nesmí odchýlit od podélné osy plavidla o více než 1 stupeň;</w:t>
      </w:r>
    </w:p>
    <w:p w:rsidR="003B6E11" w:rsidRPr="003B6E11" w:rsidRDefault="003B6E11" w:rsidP="003B6E11">
      <w:pPr>
        <w:spacing w:before="60" w:line="240" w:lineRule="atLeast"/>
        <w:rPr>
          <w:rFonts w:cs="Arial"/>
          <w:noProof/>
          <w:lang w:val="cs-CZ"/>
        </w:rPr>
      </w:pPr>
      <w:r w:rsidRPr="003B6E11">
        <w:rPr>
          <w:lang w:val="cs-CZ"/>
        </w:rPr>
        <w:t>i)</w:t>
      </w:r>
      <w:r w:rsidRPr="003B6E11">
        <w:rPr>
          <w:lang w:val="cs-CZ"/>
        </w:rPr>
        <w:tab/>
        <w:t>přesnost zobrazení dosahu a azimutu musí splňovat požadavky (měření pomocí známých cílů);</w:t>
      </w:r>
    </w:p>
    <w:p w:rsidR="003B6E11" w:rsidRPr="003B6E11" w:rsidRDefault="003B6E11" w:rsidP="003B6E11">
      <w:pPr>
        <w:spacing w:before="60" w:line="240" w:lineRule="atLeast"/>
        <w:rPr>
          <w:rFonts w:cs="Arial"/>
          <w:noProof/>
          <w:lang w:val="cs-CZ"/>
        </w:rPr>
      </w:pPr>
      <w:r w:rsidRPr="003B6E11">
        <w:rPr>
          <w:lang w:val="cs-CZ"/>
        </w:rPr>
        <w:t>j)</w:t>
      </w:r>
      <w:r w:rsidRPr="003B6E11">
        <w:rPr>
          <w:lang w:val="cs-CZ"/>
        </w:rPr>
        <w:tab/>
        <w:t>linearita u krátkých dosahů musí být správná (tlačení a vlečení);</w:t>
      </w:r>
    </w:p>
    <w:p w:rsidR="003B6E11" w:rsidRPr="003B6E11" w:rsidRDefault="003B6E11" w:rsidP="003B6E11">
      <w:pPr>
        <w:spacing w:before="60" w:line="240" w:lineRule="atLeast"/>
        <w:rPr>
          <w:rFonts w:cs="Arial"/>
          <w:noProof/>
          <w:lang w:val="cs-CZ"/>
        </w:rPr>
      </w:pPr>
      <w:r w:rsidRPr="003B6E11">
        <w:rPr>
          <w:lang w:val="cs-CZ"/>
        </w:rPr>
        <w:t>k)</w:t>
      </w:r>
      <w:r w:rsidRPr="003B6E11">
        <w:rPr>
          <w:lang w:val="cs-CZ"/>
        </w:rPr>
        <w:tab/>
        <w:t>zobrazovaný minimální dosah musí být 15 metrů nebo méně;</w:t>
      </w:r>
    </w:p>
    <w:p w:rsidR="003B6E11" w:rsidRPr="003B6E11" w:rsidRDefault="003B6E11" w:rsidP="003B6E11">
      <w:pPr>
        <w:spacing w:before="60" w:line="240" w:lineRule="atLeast"/>
        <w:rPr>
          <w:rFonts w:cs="Arial"/>
          <w:noProof/>
          <w:lang w:val="cs-CZ"/>
        </w:rPr>
      </w:pPr>
      <w:r w:rsidRPr="003B6E11">
        <w:rPr>
          <w:lang w:val="cs-CZ"/>
        </w:rPr>
        <w:t>l)</w:t>
      </w:r>
      <w:r w:rsidRPr="003B6E11">
        <w:rPr>
          <w:lang w:val="cs-CZ"/>
        </w:rPr>
        <w:tab/>
        <w:t>střed obrazu musí být viditelný a jeho průměr nesmí být větší než 1 mm;</w:t>
      </w:r>
    </w:p>
    <w:p w:rsidR="003B6E11" w:rsidRPr="003B6E11" w:rsidRDefault="003B6E11" w:rsidP="003B6E11">
      <w:pPr>
        <w:spacing w:before="60" w:line="240" w:lineRule="atLeast"/>
        <w:rPr>
          <w:rFonts w:cs="Arial"/>
          <w:noProof/>
          <w:lang w:val="cs-CZ"/>
        </w:rPr>
      </w:pPr>
      <w:r w:rsidRPr="003B6E11">
        <w:rPr>
          <w:lang w:val="cs-CZ"/>
        </w:rPr>
        <w:t>m)</w:t>
      </w:r>
      <w:r w:rsidRPr="003B6E11">
        <w:rPr>
          <w:lang w:val="cs-CZ"/>
        </w:rPr>
        <w:tab/>
        <w:t>falešné ozvěny způsobené odrazy a nežádoucími stíny v oblasti kompasové rysky se nesmí vyskytovat, nebo nesmí ohrožovat bezpečnost plavby;</w:t>
      </w:r>
    </w:p>
    <w:p w:rsidR="003B6E11" w:rsidRPr="003B6E11" w:rsidRDefault="003B6E11" w:rsidP="003B6E11">
      <w:pPr>
        <w:spacing w:before="60" w:line="240" w:lineRule="atLeast"/>
        <w:rPr>
          <w:rFonts w:cs="Arial"/>
          <w:noProof/>
          <w:lang w:val="cs-CZ"/>
        </w:rPr>
      </w:pPr>
      <w:r w:rsidRPr="003B6E11">
        <w:rPr>
          <w:lang w:val="cs-CZ"/>
        </w:rPr>
        <w:t>n)</w:t>
      </w:r>
      <w:r w:rsidRPr="003B6E11">
        <w:rPr>
          <w:lang w:val="cs-CZ"/>
        </w:rPr>
        <w:tab/>
        <w:t>potlačování odrazů od vodní hladiny a deště (STC a FTC preset) a příslušné ovládací prvky musí fungovat správně;</w:t>
      </w:r>
    </w:p>
    <w:p w:rsidR="003B6E11" w:rsidRPr="003B6E11" w:rsidRDefault="003B6E11" w:rsidP="003B6E11">
      <w:pPr>
        <w:spacing w:before="60" w:line="240" w:lineRule="atLeast"/>
        <w:rPr>
          <w:rFonts w:cs="Arial"/>
          <w:noProof/>
          <w:lang w:val="cs-CZ"/>
        </w:rPr>
      </w:pPr>
      <w:r w:rsidRPr="003B6E11">
        <w:rPr>
          <w:lang w:val="cs-CZ"/>
        </w:rPr>
        <w:t>o)</w:t>
      </w:r>
      <w:r w:rsidRPr="003B6E11">
        <w:rPr>
          <w:lang w:val="cs-CZ"/>
        </w:rPr>
        <w:tab/>
        <w:t>nastavení zesílení musí řádně fungovat;</w:t>
      </w:r>
    </w:p>
    <w:p w:rsidR="003B6E11" w:rsidRPr="003B6E11" w:rsidRDefault="003B6E11" w:rsidP="003B6E11">
      <w:pPr>
        <w:spacing w:before="60" w:line="240" w:lineRule="atLeast"/>
        <w:rPr>
          <w:rFonts w:cs="Arial"/>
          <w:noProof/>
          <w:lang w:val="cs-CZ"/>
        </w:rPr>
      </w:pPr>
      <w:r w:rsidRPr="003B6E11">
        <w:rPr>
          <w:lang w:val="cs-CZ"/>
        </w:rPr>
        <w:t>p)</w:t>
      </w:r>
      <w:r w:rsidRPr="003B6E11">
        <w:rPr>
          <w:lang w:val="cs-CZ"/>
        </w:rPr>
        <w:tab/>
        <w:t>zaostření a rozlišení obrazu musí být správné;</w:t>
      </w:r>
    </w:p>
    <w:p w:rsidR="003B6E11" w:rsidRPr="003B6E11" w:rsidRDefault="003B6E11" w:rsidP="003B6E11">
      <w:pPr>
        <w:spacing w:before="60" w:line="240" w:lineRule="atLeast"/>
        <w:rPr>
          <w:rFonts w:cs="Arial"/>
          <w:noProof/>
          <w:lang w:val="cs-CZ"/>
        </w:rPr>
      </w:pPr>
      <w:r w:rsidRPr="003B6E11">
        <w:rPr>
          <w:lang w:val="cs-CZ"/>
        </w:rPr>
        <w:t>q)</w:t>
      </w:r>
      <w:r w:rsidRPr="003B6E11">
        <w:rPr>
          <w:lang w:val="cs-CZ"/>
        </w:rPr>
        <w:tab/>
        <w:t>směr otáčení plavidla musí odpovídat směru udávanému ukazatelem rychlosti otáčení a nulová poloha při plavbě v přímém směru musí být správná;</w:t>
      </w:r>
    </w:p>
    <w:p w:rsidR="003B6E11" w:rsidRPr="003B6E11" w:rsidRDefault="003B6E11" w:rsidP="003B6E11">
      <w:pPr>
        <w:spacing w:before="60" w:line="240" w:lineRule="atLeast"/>
        <w:rPr>
          <w:rFonts w:cs="Arial"/>
          <w:noProof/>
          <w:lang w:val="cs-CZ"/>
        </w:rPr>
      </w:pPr>
      <w:r w:rsidRPr="003B6E11">
        <w:rPr>
          <w:lang w:val="cs-CZ"/>
        </w:rPr>
        <w:t>r)</w:t>
      </w:r>
      <w:r w:rsidRPr="003B6E11">
        <w:rPr>
          <w:lang w:val="cs-CZ"/>
        </w:rPr>
        <w:tab/>
        <w:t>navigační radarové zařízení nesmí být citlivé na vysílání rádiového zařízení lodi nebo na interference z jiných zdrojů na plavidle;</w:t>
      </w:r>
    </w:p>
    <w:p w:rsidR="003B6E11" w:rsidRPr="003B6E11" w:rsidRDefault="003B6E11" w:rsidP="003B6E11">
      <w:pPr>
        <w:spacing w:before="60" w:line="240" w:lineRule="atLeast"/>
        <w:rPr>
          <w:rFonts w:cs="Arial"/>
          <w:noProof/>
          <w:lang w:val="cs-CZ"/>
        </w:rPr>
      </w:pPr>
      <w:r w:rsidRPr="003B6E11">
        <w:rPr>
          <w:lang w:val="cs-CZ"/>
        </w:rPr>
        <w:t>s)</w:t>
      </w:r>
      <w:r w:rsidRPr="003B6E11">
        <w:rPr>
          <w:lang w:val="cs-CZ"/>
        </w:rPr>
        <w:tab/>
        <w:t>navigační radarové zařízení nebo ukazatele rychlosti otáčení nesmějí rušit jiné palubní přístroje.</w:t>
      </w:r>
    </w:p>
    <w:p w:rsidR="003B6E11" w:rsidRPr="003B6E11" w:rsidRDefault="003B6E11" w:rsidP="003B6E11">
      <w:pPr>
        <w:spacing w:before="60" w:line="240" w:lineRule="atLeast"/>
        <w:rPr>
          <w:rFonts w:cs="Arial"/>
          <w:noProof/>
          <w:lang w:val="cs-CZ"/>
        </w:rPr>
      </w:pPr>
      <w:r w:rsidRPr="003B6E11">
        <w:rPr>
          <w:lang w:val="cs-CZ"/>
        </w:rPr>
        <w:t>U zařízení pro vnitrozemský ECDIS pak navíc:</w:t>
      </w:r>
    </w:p>
    <w:p w:rsidR="003B6E11" w:rsidRPr="003B6E11" w:rsidRDefault="003B6E11" w:rsidP="003B6E11">
      <w:pPr>
        <w:spacing w:before="60" w:line="240" w:lineRule="atLeast"/>
        <w:rPr>
          <w:rFonts w:cs="Arial"/>
          <w:noProof/>
          <w:lang w:val="cs-CZ"/>
        </w:rPr>
      </w:pPr>
      <w:r w:rsidRPr="003B6E11">
        <w:rPr>
          <w:lang w:val="cs-CZ"/>
        </w:rPr>
        <w:t>t)</w:t>
      </w:r>
      <w:r w:rsidRPr="003B6E11">
        <w:rPr>
          <w:lang w:val="cs-CZ"/>
        </w:rPr>
        <w:tab/>
        <w:t>statistická polohová chyba mapy nesmí překročit 2 m;</w:t>
      </w:r>
    </w:p>
    <w:p w:rsidR="003B6E11" w:rsidRPr="003B6E11" w:rsidRDefault="003B6E11" w:rsidP="003B6E11">
      <w:pPr>
        <w:spacing w:before="60" w:line="240" w:lineRule="atLeast"/>
        <w:rPr>
          <w:rFonts w:cs="Arial"/>
          <w:noProof/>
          <w:lang w:val="cs-CZ"/>
        </w:rPr>
      </w:pPr>
      <w:r w:rsidRPr="003B6E11">
        <w:rPr>
          <w:lang w:val="cs-CZ"/>
        </w:rPr>
        <w:t>u)</w:t>
      </w:r>
      <w:r w:rsidRPr="003B6E11">
        <w:rPr>
          <w:lang w:val="cs-CZ"/>
        </w:rPr>
        <w:tab/>
        <w:t>statistická chyba fázového úhlu mapy nesmí překročit 1°.</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p>
    <w:p w:rsidR="003B6E11" w:rsidRPr="003B6E11" w:rsidRDefault="003B6E11" w:rsidP="003B6E11">
      <w:pPr>
        <w:rPr>
          <w:rFonts w:cs="Arial"/>
          <w:b/>
          <w:noProof/>
          <w:lang w:val="cs-CZ"/>
        </w:rPr>
      </w:pPr>
      <w:r w:rsidRPr="003B6E11">
        <w:rPr>
          <w:lang w:val="cs-CZ"/>
        </w:rPr>
        <w:br w:type="page"/>
      </w:r>
    </w:p>
    <w:p w:rsidR="003B6E11" w:rsidRPr="003B6E11" w:rsidRDefault="003B6E11" w:rsidP="003B6E11">
      <w:pPr>
        <w:spacing w:line="240" w:lineRule="atLeast"/>
        <w:jc w:val="center"/>
        <w:rPr>
          <w:rFonts w:cs="Arial"/>
          <w:b/>
          <w:noProof/>
          <w:lang w:val="cs-CZ"/>
        </w:rPr>
      </w:pPr>
    </w:p>
    <w:p w:rsidR="003B6E11" w:rsidRPr="003B6E11" w:rsidRDefault="003B6E11" w:rsidP="003B6E11">
      <w:pPr>
        <w:spacing w:line="240" w:lineRule="atLeast"/>
        <w:jc w:val="center"/>
        <w:rPr>
          <w:rFonts w:cs="Arial"/>
          <w:i/>
          <w:noProof/>
          <w:lang w:val="cs-CZ"/>
        </w:rPr>
      </w:pPr>
      <w:r w:rsidRPr="003B6E11">
        <w:rPr>
          <w:b/>
          <w:noProof/>
          <w:lang w:val="cs-CZ"/>
        </w:rPr>
        <w:t>Článek 9</w:t>
      </w:r>
      <w:r w:rsidRPr="003B6E11">
        <w:rPr>
          <w:rFonts w:cs="Arial"/>
          <w:b/>
          <w:noProof/>
          <w:lang w:val="cs-CZ"/>
        </w:rPr>
        <w:br/>
      </w:r>
      <w:r w:rsidRPr="003B6E11">
        <w:rPr>
          <w:i/>
          <w:noProof/>
          <w:lang w:val="cs-CZ"/>
        </w:rPr>
        <w:t>Osvědčení o montáži a výkonnosti</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noProof/>
          <w:lang w:val="cs-CZ"/>
        </w:rPr>
      </w:pPr>
      <w:r w:rsidRPr="003B6E11">
        <w:rPr>
          <w:lang w:val="cs-CZ"/>
        </w:rPr>
        <w:t>Po úspěšném provedení zkoušky podle článku 8 vydá příslušný orgán nebo schválená odborná firma osvědčení podle vzoru v příloze 5 oddíle V. Toto osvědčení musí být trvale uloženo na palubě lodi.</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noProof/>
          <w:lang w:val="cs-CZ"/>
        </w:rPr>
      </w:pPr>
      <w:r w:rsidRPr="003B6E11">
        <w:rPr>
          <w:lang w:val="cs-CZ"/>
        </w:rPr>
        <w:t>Nebyly-li zkušební podmínky splněny, vypracuje se seznam závad. Případné stávající osvědčení se odejme nebo zašle příslušnému orgánu nebo schválené firmě.</w:t>
      </w:r>
    </w:p>
    <w:p w:rsidR="003B6E11" w:rsidRPr="003B6E11" w:rsidRDefault="003B6E11" w:rsidP="003B6E11">
      <w:pPr>
        <w:tabs>
          <w:tab w:val="left" w:pos="170"/>
        </w:tabs>
        <w:overflowPunct w:val="0"/>
        <w:adjustRightInd w:val="0"/>
        <w:spacing w:line="240" w:lineRule="exact"/>
        <w:textAlignment w:val="baseline"/>
        <w:rPr>
          <w:rFonts w:cs="Arial"/>
          <w:szCs w:val="20"/>
          <w:lang w:val="cs-CZ"/>
        </w:rPr>
      </w:pPr>
    </w:p>
    <w:p w:rsidR="003B6E11" w:rsidRPr="003B6E11" w:rsidRDefault="003B6E11" w:rsidP="003B6E11">
      <w:pPr>
        <w:tabs>
          <w:tab w:val="left" w:pos="170"/>
        </w:tabs>
        <w:overflowPunct w:val="0"/>
        <w:adjustRightInd w:val="0"/>
        <w:spacing w:line="240" w:lineRule="exact"/>
        <w:textAlignment w:val="baseline"/>
        <w:rPr>
          <w:rFonts w:cs="Arial"/>
          <w:szCs w:val="20"/>
          <w:lang w:val="cs-CZ"/>
        </w:rPr>
      </w:pPr>
    </w:p>
    <w:p w:rsidR="003B6E11" w:rsidRPr="003B6E11" w:rsidRDefault="003B6E11" w:rsidP="003B6E11">
      <w:pPr>
        <w:tabs>
          <w:tab w:val="left" w:pos="170"/>
        </w:tabs>
        <w:overflowPunct w:val="0"/>
        <w:adjustRightInd w:val="0"/>
        <w:spacing w:line="240" w:lineRule="exact"/>
        <w:textAlignment w:val="baseline"/>
        <w:rPr>
          <w:rFonts w:cs="Arial"/>
          <w:szCs w:val="20"/>
          <w:lang w:val="cs-CZ"/>
        </w:rPr>
      </w:pPr>
      <w:r w:rsidRPr="003B6E11">
        <w:rPr>
          <w:lang w:val="cs-CZ"/>
        </w:rPr>
        <w:br w:type="page"/>
      </w:r>
    </w:p>
    <w:p w:rsidR="003B6E11" w:rsidRPr="003B6E11" w:rsidRDefault="003B6E11" w:rsidP="003B6E11">
      <w:pPr>
        <w:tabs>
          <w:tab w:val="left" w:pos="170"/>
        </w:tabs>
        <w:overflowPunct w:val="0"/>
        <w:adjustRightInd w:val="0"/>
        <w:spacing w:line="240" w:lineRule="exact"/>
        <w:textAlignment w:val="baseline"/>
        <w:rPr>
          <w:rFonts w:cs="Arial"/>
          <w:szCs w:val="20"/>
          <w:lang w:val="cs-CZ"/>
        </w:rPr>
      </w:pPr>
    </w:p>
    <w:p w:rsidR="003B6E11" w:rsidRPr="003B6E11" w:rsidRDefault="003B6E11" w:rsidP="003B6E11">
      <w:pPr>
        <w:pStyle w:val="ES-Titre3"/>
        <w:rPr>
          <w:noProof/>
          <w:lang w:val="cs-CZ"/>
        </w:rPr>
      </w:pPr>
      <w:bookmarkStart w:id="648" w:name="_Toc491854316"/>
      <w:bookmarkStart w:id="649" w:name="_Toc535417222"/>
      <w:r w:rsidRPr="003B6E11">
        <w:rPr>
          <w:lang w:val="cs-CZ"/>
        </w:rPr>
        <w:t>Oddíl IV</w:t>
      </w:r>
      <w:bookmarkEnd w:id="648"/>
      <w:bookmarkEnd w:id="649"/>
    </w:p>
    <w:p w:rsidR="003B6E11" w:rsidRPr="003B6E11" w:rsidRDefault="003B6E11" w:rsidP="003B6E11">
      <w:pPr>
        <w:pStyle w:val="ES-Titre3a"/>
        <w:rPr>
          <w:noProof/>
          <w:lang w:val="cs-CZ"/>
        </w:rPr>
      </w:pPr>
      <w:bookmarkStart w:id="650" w:name="_Toc491854317"/>
      <w:bookmarkStart w:id="651" w:name="_Toc535417223"/>
      <w:r w:rsidRPr="003B6E11">
        <w:rPr>
          <w:lang w:val="cs-CZ"/>
        </w:rPr>
        <w:t>Minimální požadavky, požadavky na zkoušky montáže a výkonnosti zařízení pro vnitrozemský AIS ve vnitrozemské vodní dopravě</w:t>
      </w:r>
      <w:bookmarkEnd w:id="650"/>
      <w:bookmarkEnd w:id="651"/>
    </w:p>
    <w:p w:rsidR="003B6E11" w:rsidRPr="003B6E11" w:rsidRDefault="003B6E11" w:rsidP="003B6E11">
      <w:pPr>
        <w:tabs>
          <w:tab w:val="right" w:pos="9072"/>
        </w:tabs>
        <w:overflowPunct w:val="0"/>
        <w:adjustRightInd w:val="0"/>
        <w:spacing w:line="240" w:lineRule="atLeast"/>
        <w:textAlignment w:val="baseline"/>
        <w:rPr>
          <w:rFonts w:cs="Arial"/>
          <w:szCs w:val="20"/>
          <w:lang w:val="cs-CZ"/>
        </w:rPr>
      </w:pPr>
    </w:p>
    <w:p w:rsidR="003B6E11" w:rsidRPr="003B6E11" w:rsidRDefault="003B6E11" w:rsidP="003B6E11">
      <w:pPr>
        <w:spacing w:line="240" w:lineRule="atLeast"/>
        <w:jc w:val="center"/>
        <w:rPr>
          <w:rFonts w:cs="Arial"/>
          <w:b/>
          <w:bCs/>
          <w:i/>
          <w:iCs/>
          <w:noProof/>
          <w:lang w:val="cs-CZ"/>
        </w:rPr>
      </w:pPr>
      <w:r w:rsidRPr="003B6E11">
        <w:rPr>
          <w:b/>
          <w:noProof/>
          <w:lang w:val="cs-CZ"/>
        </w:rPr>
        <w:t>Článek 1</w:t>
      </w:r>
    </w:p>
    <w:p w:rsidR="003B6E11" w:rsidRPr="003B6E11" w:rsidRDefault="003B6E11" w:rsidP="003B6E11">
      <w:pPr>
        <w:spacing w:line="240" w:lineRule="atLeast"/>
        <w:jc w:val="center"/>
        <w:rPr>
          <w:rFonts w:cs="Arial"/>
          <w:bCs/>
          <w:i/>
          <w:iCs/>
          <w:noProof/>
          <w:lang w:val="cs-CZ"/>
        </w:rPr>
      </w:pPr>
      <w:r w:rsidRPr="003B6E11">
        <w:rPr>
          <w:i/>
          <w:noProof/>
          <w:lang w:val="cs-CZ"/>
        </w:rPr>
        <w:t>Schválení zařízení pro vnitrozemský AIS</w:t>
      </w:r>
    </w:p>
    <w:p w:rsidR="003B6E11" w:rsidRPr="003B6E11" w:rsidRDefault="003B6E11" w:rsidP="003B6E11">
      <w:pPr>
        <w:tabs>
          <w:tab w:val="right" w:pos="9072"/>
        </w:tabs>
        <w:overflowPunct w:val="0"/>
        <w:adjustRightInd w:val="0"/>
        <w:spacing w:line="240" w:lineRule="atLeast"/>
        <w:jc w:val="center"/>
        <w:textAlignment w:val="baseline"/>
        <w:rPr>
          <w:rFonts w:cs="Arial"/>
          <w:bCs/>
          <w:i/>
          <w:iCs/>
          <w:noProof/>
          <w:szCs w:val="20"/>
          <w:lang w:val="cs-CZ"/>
        </w:rPr>
      </w:pPr>
    </w:p>
    <w:p w:rsidR="003B6E11" w:rsidRPr="003B6E11" w:rsidRDefault="003B6E11" w:rsidP="003B6E11">
      <w:pPr>
        <w:pStyle w:val="ESgauche"/>
        <w:rPr>
          <w:lang w:val="cs-CZ"/>
        </w:rPr>
      </w:pPr>
      <w:r w:rsidRPr="003B6E11">
        <w:rPr>
          <w:lang w:val="cs-CZ"/>
        </w:rPr>
        <w:t>Zařízení pro vnitrozemský AIS musí splňovat požadavky zkušební normy pro vnitrozemský AIS. Splnění se osvědčuje přezkoumáním schválení typu příslušným orgánem.</w:t>
      </w:r>
    </w:p>
    <w:p w:rsidR="003B6E11" w:rsidRPr="003B6E11" w:rsidRDefault="003B6E11" w:rsidP="003B6E11">
      <w:pPr>
        <w:pStyle w:val="ESch"/>
        <w:rPr>
          <w:lang w:val="cs-CZ"/>
        </w:rPr>
      </w:pPr>
    </w:p>
    <w:p w:rsidR="003B6E11" w:rsidRPr="003B6E11" w:rsidRDefault="003B6E11" w:rsidP="003B6E11">
      <w:pPr>
        <w:spacing w:line="240" w:lineRule="atLeast"/>
        <w:jc w:val="center"/>
        <w:rPr>
          <w:rFonts w:cs="Arial"/>
          <w:b/>
          <w:noProof/>
          <w:lang w:val="cs-CZ"/>
        </w:rPr>
      </w:pPr>
      <w:r w:rsidRPr="003B6E11">
        <w:rPr>
          <w:b/>
          <w:noProof/>
          <w:lang w:val="cs-CZ"/>
        </w:rPr>
        <w:t>Článek 2</w:t>
      </w:r>
    </w:p>
    <w:p w:rsidR="003B6E11" w:rsidRPr="003B6E11" w:rsidRDefault="003B6E11" w:rsidP="003B6E11">
      <w:pPr>
        <w:spacing w:line="240" w:lineRule="atLeast"/>
        <w:ind w:left="851"/>
        <w:jc w:val="center"/>
        <w:rPr>
          <w:rFonts w:cs="Arial"/>
          <w:noProof/>
          <w:lang w:val="cs-CZ"/>
        </w:rPr>
      </w:pPr>
      <w:r w:rsidRPr="003B6E11">
        <w:rPr>
          <w:i/>
          <w:noProof/>
          <w:lang w:val="cs-CZ"/>
        </w:rPr>
        <w:t>Zkoušky montáže a výkonnosti palubního zařízení pro vnitrozemský AIS</w:t>
      </w:r>
    </w:p>
    <w:p w:rsidR="003B6E11" w:rsidRPr="003B6E11" w:rsidRDefault="003B6E11" w:rsidP="003B6E11">
      <w:pPr>
        <w:pStyle w:val="ESch"/>
        <w:rPr>
          <w:lang w:val="cs-CZ"/>
        </w:rPr>
      </w:pPr>
    </w:p>
    <w:p w:rsidR="003B6E11" w:rsidRPr="003B6E11" w:rsidRDefault="003B6E11" w:rsidP="003B6E11">
      <w:pPr>
        <w:tabs>
          <w:tab w:val="left" w:leader="dot" w:pos="9072"/>
        </w:tabs>
        <w:spacing w:line="240" w:lineRule="atLeast"/>
        <w:rPr>
          <w:rFonts w:cs="Arial"/>
          <w:noProof/>
          <w:lang w:val="cs-CZ"/>
        </w:rPr>
      </w:pPr>
      <w:r w:rsidRPr="003B6E11">
        <w:rPr>
          <w:lang w:val="cs-CZ"/>
        </w:rPr>
        <w:t>Při montáži palubního zařízení pro vnitrozemský AIS musí být splněny tyto podmínky:</w:t>
      </w:r>
    </w:p>
    <w:p w:rsidR="003B6E11" w:rsidRPr="003B6E11" w:rsidRDefault="003B6E11" w:rsidP="003B6E11">
      <w:pPr>
        <w:spacing w:line="240" w:lineRule="atLeast"/>
        <w:ind w:left="851"/>
        <w:jc w:val="center"/>
        <w:rPr>
          <w:rFonts w:cs="Arial"/>
          <w:noProof/>
          <w:color w:val="000000"/>
          <w:szCs w:val="20"/>
          <w:lang w:val="cs-CZ"/>
        </w:rPr>
      </w:pPr>
    </w:p>
    <w:p w:rsidR="003B6E11" w:rsidRPr="003B6E11" w:rsidRDefault="003B6E11" w:rsidP="003B6E11">
      <w:pPr>
        <w:spacing w:line="240" w:lineRule="atLeast"/>
        <w:rPr>
          <w:rFonts w:cs="Arial"/>
          <w:color w:val="000000"/>
          <w:lang w:val="cs-CZ"/>
        </w:rPr>
      </w:pPr>
      <w:r w:rsidRPr="003B6E11">
        <w:rPr>
          <w:color w:val="000000"/>
          <w:lang w:val="cs-CZ"/>
        </w:rPr>
        <w:t>1.</w:t>
      </w:r>
      <w:r w:rsidRPr="003B6E11">
        <w:rPr>
          <w:lang w:val="cs-CZ"/>
        </w:rPr>
        <w:tab/>
      </w:r>
      <w:r w:rsidRPr="003B6E11">
        <w:rPr>
          <w:color w:val="000000"/>
          <w:lang w:val="cs-CZ"/>
        </w:rPr>
        <w:t xml:space="preserve">Palubní zařízení pro vnitrozemský AIS smí instalovat pouze odborná firma schválená příslušným orgánem. </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2.</w:t>
      </w:r>
      <w:r w:rsidRPr="003B6E11">
        <w:rPr>
          <w:lang w:val="cs-CZ"/>
        </w:rPr>
        <w:tab/>
      </w:r>
      <w:r w:rsidRPr="003B6E11">
        <w:rPr>
          <w:color w:val="000000"/>
          <w:lang w:val="cs-CZ"/>
        </w:rPr>
        <w:t>Zařízení pro vnitrozemský AIS musí být nainstalováno v kormidelně nebo na jiném snadno dostupném místě.</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3.</w:t>
      </w:r>
      <w:r w:rsidRPr="003B6E11">
        <w:rPr>
          <w:lang w:val="cs-CZ"/>
        </w:rPr>
        <w:tab/>
      </w:r>
      <w:r w:rsidRPr="003B6E11">
        <w:rPr>
          <w:color w:val="000000"/>
          <w:lang w:val="cs-CZ"/>
        </w:rPr>
        <w:t>Vůdce plavidla musí mít k dispozici funkce zařízení MKD (integrované zařízení pro vkládání i zobrazování). Informace o varováních i stavu zařízení pro vnitrozemský AIS musí být umístěny v přímém zorném poli kormidelníka. Pokud jde o přímou viditelnost zařízení, mohou mít prioritní polohu jiná zařízení používaná k navigačním účelům. Po montáži musí všechny indikační kontrolky zůstat viditelné.</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4.</w:t>
      </w:r>
      <w:r w:rsidRPr="003B6E11">
        <w:rPr>
          <w:lang w:val="cs-CZ"/>
        </w:rPr>
        <w:tab/>
      </w:r>
      <w:r w:rsidRPr="003B6E11">
        <w:rPr>
          <w:color w:val="000000"/>
          <w:lang w:val="cs-CZ"/>
        </w:rPr>
        <w:t>To, zda zařízení funguje, musí být možné zjistit pouhým pohledem. Zařízení musí být trvale napájeno elektrickou energií z obvodu zdroje nepřerušeného elektrického napájení s vlastním jističem a přímo připojeno k tomuto zdroji.</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5.</w:t>
      </w:r>
      <w:r w:rsidRPr="003B6E11">
        <w:rPr>
          <w:lang w:val="cs-CZ"/>
        </w:rPr>
        <w:tab/>
      </w:r>
      <w:r w:rsidRPr="003B6E11">
        <w:rPr>
          <w:color w:val="000000"/>
          <w:lang w:val="cs-CZ"/>
        </w:rPr>
        <w:t>Antény zařízení pro vnitrozemský AIS musí být instalovány a připojeny ke stanicím tak, aby tyto stanice fungovaly spolehlivě za všech běžných provozních podmínek. Jiná zařízení mohou být připojena pouze tehdy, pokud jsou jejich rozhraní kompatibilní.</w:t>
      </w:r>
    </w:p>
    <w:p w:rsidR="003B6E11" w:rsidRPr="003B6E11" w:rsidRDefault="003B6E11" w:rsidP="003B6E11">
      <w:pPr>
        <w:spacing w:line="240" w:lineRule="atLeast"/>
        <w:rPr>
          <w:rFonts w:cs="Arial"/>
          <w:color w:val="000000"/>
          <w:lang w:val="cs-CZ"/>
        </w:rPr>
      </w:pPr>
    </w:p>
    <w:p w:rsidR="003B6E11" w:rsidRPr="003B6E11" w:rsidRDefault="003B6E11" w:rsidP="003B6E11">
      <w:pPr>
        <w:rPr>
          <w:rFonts w:cs="Arial"/>
          <w:color w:val="000000"/>
          <w:lang w:val="cs-CZ"/>
        </w:rPr>
      </w:pPr>
      <w:r w:rsidRPr="003B6E11">
        <w:rPr>
          <w:lang w:val="cs-CZ"/>
        </w:rPr>
        <w:br w:type="page"/>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noProof/>
          <w:color w:val="000000"/>
          <w:lang w:val="cs-CZ"/>
        </w:rPr>
      </w:pPr>
      <w:r w:rsidRPr="003B6E11">
        <w:rPr>
          <w:color w:val="000000"/>
          <w:lang w:val="cs-CZ"/>
        </w:rPr>
        <w:t>6.</w:t>
      </w:r>
      <w:r w:rsidRPr="003B6E11">
        <w:rPr>
          <w:lang w:val="cs-CZ"/>
        </w:rPr>
        <w:tab/>
      </w:r>
      <w:r w:rsidRPr="003B6E11">
        <w:rPr>
          <w:noProof/>
          <w:color w:val="000000"/>
          <w:lang w:val="cs-CZ"/>
        </w:rPr>
        <w:t>K zařízení pro vnitrozemský AIS je povoleno připojovat pouze typově schválená externí čidla. Externí čidla připojená k zařízení pro vnitrozemský AIS musí mít schválení typu v souladu s následujícími námořními normami:</w:t>
      </w:r>
    </w:p>
    <w:p w:rsidR="003B6E11" w:rsidRPr="003B6E11" w:rsidRDefault="003B6E11" w:rsidP="003B6E11">
      <w:pPr>
        <w:spacing w:before="60" w:line="240" w:lineRule="atLeast"/>
        <w:rPr>
          <w:rFonts w:cs="Arial"/>
          <w:noProof/>
          <w:lang w:val="cs-CZ"/>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3119"/>
        <w:gridCol w:w="3225"/>
      </w:tblGrid>
      <w:tr w:rsidR="003B6E11" w:rsidRPr="003B6E11" w:rsidTr="002D015D">
        <w:trPr>
          <w:jc w:val="right"/>
        </w:trPr>
        <w:tc>
          <w:tcPr>
            <w:tcW w:w="2409" w:type="dxa"/>
            <w:vMerge w:val="restart"/>
            <w:shd w:val="clear" w:color="auto" w:fill="auto"/>
            <w:vAlign w:val="center"/>
          </w:tcPr>
          <w:p w:rsidR="003B6E11" w:rsidRPr="003B6E11" w:rsidRDefault="003B6E11" w:rsidP="002D015D">
            <w:pPr>
              <w:spacing w:before="40" w:after="40" w:line="240" w:lineRule="atLeast"/>
              <w:jc w:val="center"/>
              <w:rPr>
                <w:b/>
                <w:sz w:val="18"/>
                <w:szCs w:val="18"/>
                <w:lang w:val="cs-CZ"/>
              </w:rPr>
            </w:pPr>
            <w:r w:rsidRPr="003B6E11">
              <w:rPr>
                <w:b/>
                <w:sz w:val="18"/>
                <w:lang w:val="cs-CZ"/>
              </w:rPr>
              <w:t>Čidlo</w:t>
            </w:r>
          </w:p>
        </w:tc>
        <w:tc>
          <w:tcPr>
            <w:tcW w:w="6344" w:type="dxa"/>
            <w:gridSpan w:val="2"/>
            <w:shd w:val="clear" w:color="auto" w:fill="auto"/>
          </w:tcPr>
          <w:p w:rsidR="003B6E11" w:rsidRPr="003B6E11" w:rsidRDefault="003B6E11" w:rsidP="002D015D">
            <w:pPr>
              <w:spacing w:before="40" w:after="40" w:line="240" w:lineRule="atLeast"/>
              <w:jc w:val="center"/>
              <w:rPr>
                <w:sz w:val="18"/>
                <w:szCs w:val="18"/>
                <w:lang w:val="cs-CZ"/>
              </w:rPr>
            </w:pPr>
            <w:r w:rsidRPr="003B6E11">
              <w:rPr>
                <w:b/>
                <w:sz w:val="18"/>
                <w:lang w:val="cs-CZ"/>
              </w:rPr>
              <w:t>Minimální požadavky podle</w:t>
            </w:r>
          </w:p>
        </w:tc>
      </w:tr>
      <w:tr w:rsidR="003B6E11" w:rsidRPr="003B6E11" w:rsidTr="002D015D">
        <w:trPr>
          <w:jc w:val="right"/>
        </w:trPr>
        <w:tc>
          <w:tcPr>
            <w:tcW w:w="2409" w:type="dxa"/>
            <w:vMerge/>
            <w:shd w:val="clear" w:color="auto" w:fill="auto"/>
          </w:tcPr>
          <w:p w:rsidR="003B6E11" w:rsidRPr="003B6E11" w:rsidRDefault="003B6E11" w:rsidP="002D015D">
            <w:pPr>
              <w:spacing w:before="40" w:after="40" w:line="240" w:lineRule="atLeast"/>
              <w:jc w:val="center"/>
              <w:rPr>
                <w:color w:val="000000"/>
                <w:sz w:val="18"/>
                <w:szCs w:val="18"/>
                <w:lang w:val="cs-CZ"/>
              </w:rPr>
            </w:pPr>
          </w:p>
        </w:tc>
        <w:tc>
          <w:tcPr>
            <w:tcW w:w="3119" w:type="dxa"/>
            <w:shd w:val="clear" w:color="auto" w:fill="auto"/>
          </w:tcPr>
          <w:p w:rsidR="003B6E11" w:rsidRPr="003B6E11" w:rsidRDefault="003B6E11" w:rsidP="002D015D">
            <w:pPr>
              <w:spacing w:before="40" w:after="40" w:line="240" w:lineRule="atLeast"/>
              <w:jc w:val="center"/>
              <w:rPr>
                <w:color w:val="000000"/>
                <w:sz w:val="18"/>
                <w:szCs w:val="18"/>
                <w:lang w:val="cs-CZ"/>
              </w:rPr>
            </w:pPr>
            <w:r w:rsidRPr="003B6E11">
              <w:rPr>
                <w:b/>
                <w:sz w:val="18"/>
                <w:lang w:val="cs-CZ"/>
              </w:rPr>
              <w:t>normy IMO</w:t>
            </w:r>
          </w:p>
        </w:tc>
        <w:tc>
          <w:tcPr>
            <w:tcW w:w="3225" w:type="dxa"/>
            <w:shd w:val="clear" w:color="auto" w:fill="auto"/>
            <w:vAlign w:val="center"/>
          </w:tcPr>
          <w:p w:rsidR="003B6E11" w:rsidRPr="003B6E11" w:rsidRDefault="003B6E11" w:rsidP="002D015D">
            <w:pPr>
              <w:spacing w:before="40" w:after="40" w:line="240" w:lineRule="atLeast"/>
              <w:jc w:val="center"/>
              <w:rPr>
                <w:b/>
                <w:color w:val="000000"/>
                <w:sz w:val="18"/>
                <w:szCs w:val="18"/>
                <w:lang w:val="cs-CZ"/>
              </w:rPr>
            </w:pPr>
            <w:r w:rsidRPr="003B6E11">
              <w:rPr>
                <w:b/>
                <w:sz w:val="18"/>
                <w:lang w:val="cs-CZ"/>
              </w:rPr>
              <w:t>normy ISO/IEC</w:t>
            </w:r>
          </w:p>
        </w:tc>
      </w:tr>
      <w:tr w:rsidR="003B6E11" w:rsidRPr="003B6E11" w:rsidTr="002D015D">
        <w:trPr>
          <w:jc w:val="right"/>
        </w:trPr>
        <w:tc>
          <w:tcPr>
            <w:tcW w:w="2409" w:type="dxa"/>
            <w:shd w:val="clear" w:color="auto" w:fill="auto"/>
          </w:tcPr>
          <w:p w:rsidR="003B6E11" w:rsidRPr="003B6E11" w:rsidRDefault="003B6E11" w:rsidP="002D015D">
            <w:pPr>
              <w:spacing w:before="40" w:after="40" w:line="240" w:lineRule="atLeast"/>
              <w:rPr>
                <w:color w:val="000000"/>
                <w:sz w:val="18"/>
                <w:szCs w:val="18"/>
                <w:lang w:val="cs-CZ"/>
              </w:rPr>
            </w:pPr>
            <w:r w:rsidRPr="003B6E11">
              <w:rPr>
                <w:sz w:val="18"/>
                <w:lang w:val="cs-CZ"/>
              </w:rPr>
              <w:t>GPS</w:t>
            </w:r>
          </w:p>
        </w:tc>
        <w:tc>
          <w:tcPr>
            <w:tcW w:w="3119" w:type="dxa"/>
            <w:shd w:val="clear" w:color="auto" w:fill="auto"/>
          </w:tcPr>
          <w:p w:rsidR="003B6E11" w:rsidRPr="003B6E11" w:rsidRDefault="003B6E11" w:rsidP="002D015D">
            <w:pPr>
              <w:spacing w:before="40" w:after="40" w:line="240" w:lineRule="atLeast"/>
              <w:jc w:val="center"/>
              <w:rPr>
                <w:sz w:val="18"/>
                <w:szCs w:val="18"/>
                <w:lang w:val="cs-CZ"/>
              </w:rPr>
            </w:pPr>
            <w:r w:rsidRPr="003B6E11">
              <w:rPr>
                <w:sz w:val="18"/>
                <w:lang w:val="cs-CZ"/>
              </w:rPr>
              <w:t>MSC.112(73)</w:t>
            </w:r>
            <w:r w:rsidRPr="003B6E11">
              <w:rPr>
                <w:sz w:val="18"/>
                <w:vertAlign w:val="superscript"/>
                <w:lang w:val="cs-CZ"/>
              </w:rPr>
              <w:footnoteReference w:id="58"/>
            </w:r>
          </w:p>
        </w:tc>
        <w:tc>
          <w:tcPr>
            <w:tcW w:w="3225" w:type="dxa"/>
            <w:shd w:val="clear" w:color="auto" w:fill="auto"/>
          </w:tcPr>
          <w:p w:rsidR="003B6E11" w:rsidRPr="003B6E11" w:rsidRDefault="003B6E11" w:rsidP="002D015D">
            <w:pPr>
              <w:spacing w:before="40" w:after="40" w:line="240" w:lineRule="atLeast"/>
              <w:jc w:val="center"/>
              <w:rPr>
                <w:sz w:val="18"/>
                <w:szCs w:val="18"/>
                <w:lang w:val="cs-CZ"/>
              </w:rPr>
            </w:pPr>
            <w:r w:rsidRPr="003B6E11">
              <w:rPr>
                <w:sz w:val="18"/>
                <w:lang w:val="cs-CZ"/>
              </w:rPr>
              <w:t>IEC 61108-1 : 2003</w:t>
            </w:r>
          </w:p>
        </w:tc>
      </w:tr>
      <w:tr w:rsidR="003B6E11" w:rsidRPr="003B6E11" w:rsidTr="002D015D">
        <w:trPr>
          <w:jc w:val="right"/>
        </w:trPr>
        <w:tc>
          <w:tcPr>
            <w:tcW w:w="2409" w:type="dxa"/>
            <w:shd w:val="clear" w:color="auto" w:fill="auto"/>
          </w:tcPr>
          <w:p w:rsidR="003B6E11" w:rsidRPr="003B6E11" w:rsidRDefault="003B6E11" w:rsidP="002D015D">
            <w:pPr>
              <w:spacing w:before="40" w:after="40" w:line="240" w:lineRule="atLeast"/>
              <w:rPr>
                <w:color w:val="000000"/>
                <w:sz w:val="18"/>
                <w:szCs w:val="18"/>
                <w:lang w:val="cs-CZ"/>
              </w:rPr>
            </w:pPr>
            <w:r w:rsidRPr="003B6E11">
              <w:rPr>
                <w:sz w:val="18"/>
                <w:lang w:val="cs-CZ"/>
              </w:rPr>
              <w:t>DGPS/DGLONASS</w:t>
            </w:r>
          </w:p>
        </w:tc>
        <w:tc>
          <w:tcPr>
            <w:tcW w:w="3119" w:type="dxa"/>
            <w:shd w:val="clear" w:color="auto" w:fill="auto"/>
          </w:tcPr>
          <w:p w:rsidR="003B6E11" w:rsidRPr="003B6E11" w:rsidRDefault="003B6E11" w:rsidP="002D015D">
            <w:pPr>
              <w:spacing w:before="40" w:after="40" w:line="240" w:lineRule="atLeast"/>
              <w:jc w:val="center"/>
              <w:rPr>
                <w:sz w:val="18"/>
                <w:szCs w:val="18"/>
                <w:lang w:val="cs-CZ"/>
              </w:rPr>
            </w:pPr>
            <w:r w:rsidRPr="003B6E11">
              <w:rPr>
                <w:sz w:val="18"/>
                <w:lang w:val="cs-CZ"/>
              </w:rPr>
              <w:t>MSC.114(73)</w:t>
            </w:r>
            <w:r w:rsidRPr="003B6E11">
              <w:rPr>
                <w:sz w:val="18"/>
                <w:vertAlign w:val="superscript"/>
                <w:lang w:val="cs-CZ"/>
              </w:rPr>
              <w:footnoteReference w:id="59"/>
            </w:r>
          </w:p>
        </w:tc>
        <w:tc>
          <w:tcPr>
            <w:tcW w:w="3225" w:type="dxa"/>
            <w:shd w:val="clear" w:color="auto" w:fill="auto"/>
          </w:tcPr>
          <w:p w:rsidR="003B6E11" w:rsidRPr="003B6E11" w:rsidRDefault="003B6E11" w:rsidP="002D015D">
            <w:pPr>
              <w:spacing w:before="40" w:after="40" w:line="240" w:lineRule="atLeast"/>
              <w:jc w:val="center"/>
              <w:rPr>
                <w:sz w:val="18"/>
                <w:szCs w:val="18"/>
                <w:lang w:val="cs-CZ"/>
              </w:rPr>
            </w:pPr>
            <w:r w:rsidRPr="003B6E11">
              <w:rPr>
                <w:sz w:val="18"/>
                <w:lang w:val="cs-CZ"/>
              </w:rPr>
              <w:t>IEC 61108-4 : 2004</w:t>
            </w:r>
          </w:p>
        </w:tc>
      </w:tr>
      <w:tr w:rsidR="003B6E11" w:rsidRPr="003B6E11" w:rsidTr="002D015D">
        <w:trPr>
          <w:jc w:val="right"/>
        </w:trPr>
        <w:tc>
          <w:tcPr>
            <w:tcW w:w="2409" w:type="dxa"/>
            <w:shd w:val="clear" w:color="auto" w:fill="auto"/>
          </w:tcPr>
          <w:p w:rsidR="003B6E11" w:rsidRPr="003B6E11" w:rsidRDefault="003B6E11" w:rsidP="002D015D">
            <w:pPr>
              <w:spacing w:before="40" w:after="40" w:line="240" w:lineRule="atLeast"/>
              <w:rPr>
                <w:color w:val="000000"/>
                <w:sz w:val="18"/>
                <w:szCs w:val="18"/>
                <w:lang w:val="cs-CZ"/>
              </w:rPr>
            </w:pPr>
            <w:r w:rsidRPr="003B6E11">
              <w:rPr>
                <w:sz w:val="18"/>
                <w:lang w:val="cs-CZ"/>
              </w:rPr>
              <w:t>Galileo</w:t>
            </w:r>
          </w:p>
        </w:tc>
        <w:tc>
          <w:tcPr>
            <w:tcW w:w="3119" w:type="dxa"/>
            <w:shd w:val="clear" w:color="auto" w:fill="auto"/>
          </w:tcPr>
          <w:p w:rsidR="003B6E11" w:rsidRPr="003B6E11" w:rsidRDefault="003B6E11" w:rsidP="002D015D">
            <w:pPr>
              <w:spacing w:before="40" w:after="40" w:line="240" w:lineRule="atLeast"/>
              <w:jc w:val="center"/>
              <w:rPr>
                <w:sz w:val="18"/>
                <w:szCs w:val="18"/>
                <w:lang w:val="cs-CZ"/>
              </w:rPr>
            </w:pPr>
            <w:r w:rsidRPr="003B6E11">
              <w:rPr>
                <w:sz w:val="18"/>
                <w:lang w:val="cs-CZ"/>
              </w:rPr>
              <w:t>MSC.233(82)</w:t>
            </w:r>
            <w:r w:rsidRPr="003B6E11">
              <w:rPr>
                <w:sz w:val="18"/>
                <w:vertAlign w:val="superscript"/>
                <w:lang w:val="cs-CZ"/>
              </w:rPr>
              <w:footnoteReference w:id="60"/>
            </w:r>
          </w:p>
        </w:tc>
        <w:tc>
          <w:tcPr>
            <w:tcW w:w="3225" w:type="dxa"/>
            <w:shd w:val="clear" w:color="auto" w:fill="auto"/>
          </w:tcPr>
          <w:p w:rsidR="003B6E11" w:rsidRPr="003B6E11" w:rsidRDefault="003B6E11" w:rsidP="002D015D">
            <w:pPr>
              <w:spacing w:before="40" w:after="40" w:line="240" w:lineRule="atLeast"/>
              <w:jc w:val="center"/>
              <w:rPr>
                <w:sz w:val="18"/>
                <w:szCs w:val="18"/>
                <w:lang w:val="cs-CZ"/>
              </w:rPr>
            </w:pPr>
            <w:r w:rsidRPr="003B6E11">
              <w:rPr>
                <w:sz w:val="18"/>
                <w:lang w:val="cs-CZ"/>
              </w:rPr>
              <w:t>IEC 61108-3 : 2010</w:t>
            </w:r>
          </w:p>
        </w:tc>
      </w:tr>
      <w:tr w:rsidR="003B6E11" w:rsidRPr="003B6E11" w:rsidTr="002D015D">
        <w:trPr>
          <w:jc w:val="right"/>
        </w:trPr>
        <w:tc>
          <w:tcPr>
            <w:tcW w:w="2409" w:type="dxa"/>
            <w:shd w:val="clear" w:color="auto" w:fill="auto"/>
          </w:tcPr>
          <w:p w:rsidR="003B6E11" w:rsidRPr="003B6E11" w:rsidRDefault="003B6E11" w:rsidP="002D015D">
            <w:pPr>
              <w:spacing w:before="40" w:after="40" w:line="240" w:lineRule="atLeast"/>
              <w:rPr>
                <w:color w:val="000000"/>
                <w:sz w:val="18"/>
                <w:szCs w:val="18"/>
                <w:lang w:val="cs-CZ"/>
              </w:rPr>
            </w:pPr>
            <w:r w:rsidRPr="003B6E11">
              <w:rPr>
                <w:sz w:val="18"/>
                <w:lang w:val="cs-CZ"/>
              </w:rPr>
              <w:t>Kurz / kompas GPS</w:t>
            </w:r>
          </w:p>
        </w:tc>
        <w:tc>
          <w:tcPr>
            <w:tcW w:w="3119" w:type="dxa"/>
            <w:shd w:val="clear" w:color="auto" w:fill="auto"/>
          </w:tcPr>
          <w:p w:rsidR="003B6E11" w:rsidRPr="003B6E11" w:rsidRDefault="003B6E11" w:rsidP="002D015D">
            <w:pPr>
              <w:spacing w:before="40" w:after="40" w:line="240" w:lineRule="atLeast"/>
              <w:jc w:val="center"/>
              <w:rPr>
                <w:sz w:val="18"/>
                <w:szCs w:val="18"/>
                <w:lang w:val="cs-CZ"/>
              </w:rPr>
            </w:pPr>
            <w:r w:rsidRPr="003B6E11">
              <w:rPr>
                <w:sz w:val="18"/>
                <w:lang w:val="cs-CZ"/>
              </w:rPr>
              <w:t>MSC.116(73)</w:t>
            </w:r>
            <w:r w:rsidRPr="003B6E11">
              <w:rPr>
                <w:sz w:val="18"/>
                <w:vertAlign w:val="superscript"/>
                <w:lang w:val="cs-CZ"/>
              </w:rPr>
              <w:footnoteReference w:id="61"/>
            </w:r>
          </w:p>
        </w:tc>
        <w:tc>
          <w:tcPr>
            <w:tcW w:w="3225" w:type="dxa"/>
            <w:shd w:val="clear" w:color="auto" w:fill="auto"/>
          </w:tcPr>
          <w:p w:rsidR="003B6E11" w:rsidRPr="003B6E11" w:rsidRDefault="003B6E11" w:rsidP="002D015D">
            <w:pPr>
              <w:spacing w:before="40" w:after="40" w:line="240" w:lineRule="atLeast"/>
              <w:ind w:left="34" w:hanging="34"/>
              <w:jc w:val="center"/>
              <w:rPr>
                <w:sz w:val="18"/>
                <w:szCs w:val="18"/>
                <w:lang w:val="cs-CZ"/>
              </w:rPr>
            </w:pPr>
            <w:r w:rsidRPr="003B6E11">
              <w:rPr>
                <w:sz w:val="18"/>
                <w:lang w:val="cs-CZ"/>
              </w:rPr>
              <w:t>IEC 22090-3 : 2014</w:t>
            </w:r>
            <w:r w:rsidRPr="003B6E11">
              <w:rPr>
                <w:sz w:val="18"/>
                <w:szCs w:val="18"/>
                <w:lang w:val="cs-CZ"/>
              </w:rPr>
              <w:br/>
            </w:r>
            <w:r w:rsidRPr="003B6E11">
              <w:rPr>
                <w:sz w:val="18"/>
                <w:lang w:val="cs-CZ"/>
              </w:rPr>
              <w:t>Část 3: Principy GNSS</w:t>
            </w:r>
          </w:p>
        </w:tc>
      </w:tr>
    </w:tbl>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7.</w:t>
      </w:r>
      <w:r w:rsidRPr="003B6E11">
        <w:rPr>
          <w:lang w:val="cs-CZ"/>
        </w:rPr>
        <w:tab/>
      </w:r>
      <w:r w:rsidRPr="003B6E11">
        <w:rPr>
          <w:color w:val="000000"/>
          <w:lang w:val="cs-CZ"/>
        </w:rPr>
        <w:t>Před uvedením do provozu po montáži v případě obnovy nebo prodloužení osvědčení plavidla vnitrozemské plavby a jakékoli konverze plavidla, která by mohla ovlivnit podmínky provozu těchto zařízení, musí příslušný orgán nebo schválená odborná firma provést kontrolu montáže a zkoušku funkčnosti.</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8.</w:t>
      </w:r>
      <w:r w:rsidRPr="003B6E11">
        <w:rPr>
          <w:lang w:val="cs-CZ"/>
        </w:rPr>
        <w:tab/>
      </w:r>
      <w:r w:rsidRPr="003B6E11">
        <w:rPr>
          <w:color w:val="000000"/>
          <w:lang w:val="cs-CZ"/>
        </w:rPr>
        <w:t>Schválená odborná firma, která provedla zkoušku montáže a funkčnosti, vydá osvědčení podle přílohy 5 oddílu VI ohledně specifických vlastností a řádného fungování zařízení pro vnitrozemský AIS.</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9.</w:t>
      </w:r>
      <w:r w:rsidRPr="003B6E11">
        <w:rPr>
          <w:lang w:val="cs-CZ"/>
        </w:rPr>
        <w:tab/>
      </w:r>
      <w:r w:rsidRPr="003B6E11">
        <w:rPr>
          <w:color w:val="000000"/>
          <w:lang w:val="cs-CZ"/>
        </w:rPr>
        <w:t>Toto osvědčení musí být trvale uloženo na palubě.</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10.</w:t>
      </w:r>
      <w:r w:rsidRPr="003B6E11">
        <w:rPr>
          <w:lang w:val="cs-CZ"/>
        </w:rPr>
        <w:tab/>
      </w:r>
      <w:r w:rsidRPr="003B6E11">
        <w:rPr>
          <w:color w:val="000000"/>
          <w:lang w:val="cs-CZ"/>
        </w:rPr>
        <w:t>Na palubě se předají a uchovají rovněž uživatelské pokyny. Tato skutečnost musí být zmíněna v osvědčení o montáži na palubě.</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p>
    <w:p w:rsidR="003B6E11" w:rsidRPr="003B6E11" w:rsidRDefault="003B6E11" w:rsidP="003B6E11">
      <w:pPr>
        <w:tabs>
          <w:tab w:val="right" w:pos="9072"/>
        </w:tabs>
        <w:spacing w:line="240" w:lineRule="atLeast"/>
        <w:rPr>
          <w:rFonts w:cs="Arial"/>
          <w:szCs w:val="20"/>
          <w:lang w:val="cs-CZ"/>
        </w:rPr>
      </w:pPr>
      <w:r w:rsidRPr="003B6E11">
        <w:rPr>
          <w:lang w:val="cs-CZ"/>
        </w:rPr>
        <w:br w:type="page"/>
      </w:r>
    </w:p>
    <w:p w:rsidR="003B6E11" w:rsidRPr="003B6E11" w:rsidRDefault="003B6E11" w:rsidP="003B6E11">
      <w:pPr>
        <w:pStyle w:val="ES-Titre3"/>
        <w:rPr>
          <w:noProof/>
          <w:lang w:val="cs-CZ"/>
        </w:rPr>
      </w:pPr>
      <w:bookmarkStart w:id="652" w:name="_Toc491854318"/>
      <w:bookmarkStart w:id="653" w:name="_Toc535417224"/>
      <w:r w:rsidRPr="003B6E11">
        <w:rPr>
          <w:lang w:val="cs-CZ"/>
        </w:rPr>
        <w:t>Oddíl V</w:t>
      </w:r>
      <w:bookmarkEnd w:id="652"/>
      <w:bookmarkEnd w:id="653"/>
    </w:p>
    <w:p w:rsidR="003B6E11" w:rsidRPr="003B6E11" w:rsidRDefault="003B6E11" w:rsidP="003B6E11">
      <w:pPr>
        <w:pStyle w:val="ES-Titre3a"/>
        <w:rPr>
          <w:rFonts w:cs="Arial"/>
          <w:szCs w:val="20"/>
          <w:lang w:val="cs-CZ"/>
        </w:rPr>
      </w:pPr>
      <w:bookmarkStart w:id="654" w:name="_Toc491854319"/>
      <w:bookmarkStart w:id="655" w:name="_Toc535417225"/>
      <w:r w:rsidRPr="003B6E11">
        <w:rPr>
          <w:lang w:val="cs-CZ"/>
        </w:rPr>
        <w:t>Minimální požadavky, požadavky na zkoušky montáže a výkonnosti tachografů ve vnitrozemské vodní dopravě</w:t>
      </w:r>
      <w:bookmarkEnd w:id="654"/>
      <w:bookmarkEnd w:id="655"/>
    </w:p>
    <w:p w:rsidR="003B6E11" w:rsidRPr="003B6E11" w:rsidRDefault="003B6E11" w:rsidP="003B6E11">
      <w:pPr>
        <w:tabs>
          <w:tab w:val="left" w:pos="284"/>
          <w:tab w:val="left" w:leader="dot" w:pos="9072"/>
        </w:tabs>
        <w:overflowPunct w:val="0"/>
        <w:adjustRightInd w:val="0"/>
        <w:ind w:left="284" w:hanging="284"/>
        <w:textAlignment w:val="baseline"/>
        <w:rPr>
          <w:rFonts w:cs="Arial"/>
          <w:szCs w:val="20"/>
          <w:lang w:val="cs-CZ"/>
        </w:rPr>
      </w:pPr>
    </w:p>
    <w:p w:rsidR="003B6E11" w:rsidRPr="003B6E11" w:rsidRDefault="003B6E11" w:rsidP="003B6E11">
      <w:pPr>
        <w:tabs>
          <w:tab w:val="left" w:leader="dot" w:pos="9072"/>
        </w:tabs>
        <w:spacing w:line="240" w:lineRule="atLeast"/>
        <w:jc w:val="center"/>
        <w:rPr>
          <w:rFonts w:cs="Arial"/>
          <w:b/>
          <w:noProof/>
          <w:lang w:val="cs-CZ"/>
        </w:rPr>
      </w:pPr>
      <w:r w:rsidRPr="003B6E11">
        <w:rPr>
          <w:b/>
          <w:noProof/>
          <w:lang w:val="cs-CZ"/>
        </w:rPr>
        <w:t>Článek 1</w:t>
      </w:r>
    </w:p>
    <w:p w:rsidR="003B6E11" w:rsidRPr="003B6E11" w:rsidRDefault="003B6E11" w:rsidP="003B6E11">
      <w:pPr>
        <w:tabs>
          <w:tab w:val="left" w:leader="dot" w:pos="9072"/>
        </w:tabs>
        <w:spacing w:line="240" w:lineRule="atLeast"/>
        <w:jc w:val="center"/>
        <w:rPr>
          <w:rFonts w:cs="Arial"/>
          <w:i/>
          <w:noProof/>
          <w:lang w:val="cs-CZ"/>
        </w:rPr>
      </w:pPr>
      <w:r w:rsidRPr="003B6E11">
        <w:rPr>
          <w:i/>
          <w:noProof/>
          <w:lang w:val="cs-CZ"/>
        </w:rPr>
        <w:t>Schválení tachografů</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pStyle w:val="ESgauche"/>
        <w:rPr>
          <w:lang w:val="cs-CZ"/>
        </w:rPr>
      </w:pPr>
      <w:r w:rsidRPr="003B6E11">
        <w:rPr>
          <w:lang w:val="cs-CZ"/>
        </w:rPr>
        <w:t>Tachografy musí vyhovět požadavkům tohoto oddílu. Splnění se osvědčuje přezkoumáním schválení typu příslušným orgánem.</w:t>
      </w:r>
    </w:p>
    <w:p w:rsidR="003B6E11" w:rsidRPr="003B6E11" w:rsidRDefault="003B6E11" w:rsidP="003B6E11">
      <w:pPr>
        <w:pStyle w:val="ESch"/>
        <w:rPr>
          <w:noProof/>
          <w:lang w:val="cs-CZ"/>
        </w:rPr>
      </w:pPr>
    </w:p>
    <w:p w:rsidR="003B6E11" w:rsidRPr="003B6E11" w:rsidRDefault="003B6E11" w:rsidP="003B6E11">
      <w:pPr>
        <w:spacing w:line="240" w:lineRule="atLeast"/>
        <w:jc w:val="center"/>
        <w:rPr>
          <w:rFonts w:cs="Arial"/>
          <w:b/>
          <w:noProof/>
          <w:lang w:val="cs-CZ"/>
        </w:rPr>
      </w:pPr>
      <w:r w:rsidRPr="003B6E11">
        <w:rPr>
          <w:b/>
          <w:noProof/>
          <w:lang w:val="cs-CZ"/>
        </w:rPr>
        <w:t>Článek 2</w:t>
      </w:r>
    </w:p>
    <w:p w:rsidR="003B6E11" w:rsidRPr="003B6E11" w:rsidRDefault="003B6E11" w:rsidP="003B6E11">
      <w:pPr>
        <w:spacing w:line="240" w:lineRule="atLeast"/>
        <w:jc w:val="center"/>
        <w:rPr>
          <w:rFonts w:cs="Arial"/>
          <w:i/>
          <w:noProof/>
          <w:lang w:val="cs-CZ"/>
        </w:rPr>
      </w:pPr>
      <w:r w:rsidRPr="003B6E11">
        <w:rPr>
          <w:i/>
          <w:noProof/>
          <w:lang w:val="cs-CZ"/>
        </w:rPr>
        <w:t>Požadavky, které tachografy musí splňovat</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1.</w:t>
      </w:r>
      <w:r w:rsidRPr="003B6E11">
        <w:rPr>
          <w:lang w:val="cs-CZ"/>
        </w:rPr>
        <w:tab/>
      </w:r>
      <w:r w:rsidRPr="003B6E11">
        <w:rPr>
          <w:color w:val="000000"/>
          <w:lang w:val="cs-CZ"/>
        </w:rPr>
        <w:t>Určování času plavby lodi</w:t>
      </w:r>
    </w:p>
    <w:p w:rsidR="003B6E11" w:rsidRPr="003B6E11" w:rsidRDefault="003B6E11" w:rsidP="003B6E11">
      <w:pPr>
        <w:spacing w:line="240" w:lineRule="atLeast"/>
        <w:ind w:left="426"/>
        <w:rPr>
          <w:lang w:val="cs-CZ"/>
        </w:rPr>
      </w:pPr>
    </w:p>
    <w:p w:rsidR="003B6E11" w:rsidRPr="003B6E11" w:rsidRDefault="003B6E11" w:rsidP="003B6E11">
      <w:pPr>
        <w:spacing w:line="240" w:lineRule="atLeast"/>
        <w:ind w:left="426"/>
        <w:rPr>
          <w:lang w:val="cs-CZ"/>
        </w:rPr>
      </w:pPr>
      <w:r w:rsidRPr="003B6E11">
        <w:rPr>
          <w:lang w:val="cs-CZ"/>
        </w:rPr>
        <w:t>Ke stanovení plavby na základě kritéria ano/ne, musí být na vhodném místě měřeno otáčení lodní vrtule. Pokud je pohon jiný než pomocí vrtule, musí být pohyb lodi stanoven rovnocenným způsobem na vhodném místě. Pokud má loď více než jednu vrtulovou hřídel, musí být zajištěno, že pohyb lodi bude zaznamenán i tehdy, pokud je v pohybu jen jedna hřídel.</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2.</w:t>
      </w:r>
      <w:r w:rsidRPr="003B6E11">
        <w:rPr>
          <w:lang w:val="cs-CZ"/>
        </w:rPr>
        <w:tab/>
      </w:r>
      <w:r w:rsidRPr="003B6E11">
        <w:rPr>
          <w:color w:val="000000"/>
          <w:lang w:val="cs-CZ"/>
        </w:rPr>
        <w:t>Identifikace lodi</w:t>
      </w:r>
    </w:p>
    <w:p w:rsidR="003B6E11" w:rsidRPr="003B6E11" w:rsidRDefault="003B6E11" w:rsidP="003B6E11">
      <w:pPr>
        <w:spacing w:line="240" w:lineRule="atLeast"/>
        <w:ind w:left="426"/>
        <w:rPr>
          <w:lang w:val="cs-CZ"/>
        </w:rPr>
      </w:pPr>
    </w:p>
    <w:p w:rsidR="003B6E11" w:rsidRPr="003B6E11" w:rsidRDefault="003B6E11" w:rsidP="003B6E11">
      <w:pPr>
        <w:spacing w:line="240" w:lineRule="atLeast"/>
        <w:ind w:left="426"/>
        <w:rPr>
          <w:lang w:val="cs-CZ"/>
        </w:rPr>
      </w:pPr>
      <w:r w:rsidRPr="003B6E11">
        <w:rPr>
          <w:lang w:val="cs-CZ"/>
        </w:rPr>
        <w:t>Jednotné evropské identifikační číslo plavidla nebo úřední číslo plavidla musí být nesmazatelným způsobem zaznamenáno na nosiči dat a být z něj čitelné.</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3.</w:t>
      </w:r>
      <w:r w:rsidRPr="003B6E11">
        <w:rPr>
          <w:lang w:val="cs-CZ"/>
        </w:rPr>
        <w:tab/>
      </w:r>
      <w:r w:rsidRPr="003B6E11">
        <w:rPr>
          <w:color w:val="000000"/>
          <w:lang w:val="cs-CZ"/>
        </w:rPr>
        <w:t>Záznam na nosič dat</w:t>
      </w:r>
    </w:p>
    <w:p w:rsidR="003B6E11" w:rsidRPr="003B6E11" w:rsidRDefault="003B6E11" w:rsidP="003B6E11">
      <w:pPr>
        <w:spacing w:line="240" w:lineRule="atLeast"/>
        <w:ind w:left="426"/>
        <w:rPr>
          <w:lang w:val="cs-CZ"/>
        </w:rPr>
      </w:pPr>
    </w:p>
    <w:p w:rsidR="003B6E11" w:rsidRPr="003B6E11" w:rsidRDefault="003B6E11" w:rsidP="003B6E11">
      <w:pPr>
        <w:spacing w:line="240" w:lineRule="atLeast"/>
        <w:ind w:left="426"/>
        <w:rPr>
          <w:lang w:val="cs-CZ"/>
        </w:rPr>
      </w:pPr>
      <w:r w:rsidRPr="003B6E11">
        <w:rPr>
          <w:lang w:val="cs-CZ"/>
        </w:rPr>
        <w:t>Na nosiči dat musí být zaznamenány následující informace, a to tak, aby byly odolné proti neoprávněnému zásahu a aby z něj byly čitelné: provozní režim lodi, datum a čas zapnutí a vypnutí tachografu, vložení a vyjmutí nosiče dat a další úkony se zařízením. Tachograf musí automaticky zaznamenávat čas, vložení a vyjmutí nosiče dat, otevření a zavření zařízení a každé přerušení napájení.</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4.</w:t>
      </w:r>
      <w:r w:rsidRPr="003B6E11">
        <w:rPr>
          <w:lang w:val="cs-CZ"/>
        </w:rPr>
        <w:tab/>
      </w:r>
      <w:r w:rsidRPr="003B6E11">
        <w:rPr>
          <w:color w:val="000000"/>
          <w:lang w:val="cs-CZ"/>
        </w:rPr>
        <w:t>Čas záznamu během dne</w:t>
      </w:r>
    </w:p>
    <w:p w:rsidR="003B6E11" w:rsidRPr="003B6E11" w:rsidRDefault="003B6E11" w:rsidP="003B6E11">
      <w:pPr>
        <w:spacing w:line="240" w:lineRule="atLeast"/>
        <w:ind w:left="426"/>
        <w:rPr>
          <w:lang w:val="cs-CZ"/>
        </w:rPr>
      </w:pPr>
    </w:p>
    <w:p w:rsidR="003B6E11" w:rsidRPr="003B6E11" w:rsidRDefault="003B6E11" w:rsidP="003B6E11">
      <w:pPr>
        <w:spacing w:line="240" w:lineRule="atLeast"/>
        <w:ind w:left="426"/>
        <w:rPr>
          <w:lang w:val="cs-CZ"/>
        </w:rPr>
      </w:pPr>
      <w:r w:rsidRPr="003B6E11">
        <w:rPr>
          <w:lang w:val="cs-CZ"/>
        </w:rPr>
        <w:t>Datum a čas, kdy se hřídel začne a přestane otáčet, musí být zaznamenáván kontinuálně mezi 00:00 a 24:00 h.</w:t>
      </w:r>
    </w:p>
    <w:p w:rsidR="003B6E11" w:rsidRPr="003B6E11" w:rsidRDefault="003B6E11" w:rsidP="003B6E11">
      <w:pPr>
        <w:spacing w:line="240" w:lineRule="atLeast"/>
        <w:ind w:left="426"/>
        <w:rPr>
          <w:lang w:val="cs-CZ"/>
        </w:rPr>
      </w:pPr>
    </w:p>
    <w:p w:rsidR="003B6E11" w:rsidRPr="003B6E11" w:rsidRDefault="003B6E11" w:rsidP="003B6E11">
      <w:pPr>
        <w:spacing w:line="240" w:lineRule="atLeast"/>
        <w:rPr>
          <w:rFonts w:cs="Arial"/>
          <w:color w:val="000000"/>
          <w:lang w:val="cs-CZ"/>
        </w:rPr>
      </w:pPr>
      <w:r w:rsidRPr="003B6E11">
        <w:rPr>
          <w:color w:val="000000"/>
          <w:lang w:val="cs-CZ"/>
        </w:rPr>
        <w:t>5.</w:t>
      </w:r>
      <w:r w:rsidRPr="003B6E11">
        <w:rPr>
          <w:lang w:val="cs-CZ"/>
        </w:rPr>
        <w:tab/>
      </w:r>
      <w:r w:rsidRPr="003B6E11">
        <w:rPr>
          <w:color w:val="000000"/>
          <w:lang w:val="cs-CZ"/>
        </w:rPr>
        <w:t>Čtení záznamu</w:t>
      </w:r>
    </w:p>
    <w:p w:rsidR="003B6E11" w:rsidRPr="003B6E11" w:rsidRDefault="003B6E11" w:rsidP="003B6E11">
      <w:pPr>
        <w:spacing w:line="240" w:lineRule="atLeast"/>
        <w:ind w:left="426"/>
        <w:rPr>
          <w:lang w:val="cs-CZ"/>
        </w:rPr>
      </w:pPr>
    </w:p>
    <w:p w:rsidR="003B6E11" w:rsidRPr="003B6E11" w:rsidRDefault="003B6E11" w:rsidP="003B6E11">
      <w:pPr>
        <w:spacing w:line="240" w:lineRule="atLeast"/>
        <w:ind w:left="426"/>
        <w:rPr>
          <w:lang w:val="cs-CZ"/>
        </w:rPr>
      </w:pPr>
      <w:r w:rsidRPr="003B6E11">
        <w:rPr>
          <w:lang w:val="cs-CZ"/>
        </w:rPr>
        <w:t>Záznam musí být jednoznačný, snadno čitelný a jasně srozumitelný. Záznam musí být možné číst kdykoli bez jakýchkoliv zvláštních pomocných zařízení.</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6.</w:t>
      </w:r>
      <w:r w:rsidRPr="003B6E11">
        <w:rPr>
          <w:lang w:val="cs-CZ"/>
        </w:rPr>
        <w:tab/>
      </w:r>
      <w:r w:rsidRPr="003B6E11">
        <w:rPr>
          <w:color w:val="000000"/>
          <w:lang w:val="cs-CZ"/>
        </w:rPr>
        <w:t>Tisk záznamu</w:t>
      </w:r>
    </w:p>
    <w:p w:rsidR="003B6E11" w:rsidRPr="003B6E11" w:rsidRDefault="003B6E11" w:rsidP="003B6E11">
      <w:pPr>
        <w:spacing w:line="240" w:lineRule="atLeast"/>
        <w:ind w:left="426"/>
        <w:rPr>
          <w:lang w:val="cs-CZ"/>
        </w:rPr>
      </w:pPr>
    </w:p>
    <w:p w:rsidR="003B6E11" w:rsidRPr="003B6E11" w:rsidRDefault="003B6E11" w:rsidP="003B6E11">
      <w:pPr>
        <w:spacing w:line="240" w:lineRule="atLeast"/>
        <w:ind w:left="426"/>
        <w:rPr>
          <w:lang w:val="cs-CZ"/>
        </w:rPr>
      </w:pPr>
      <w:r w:rsidRPr="003B6E11">
        <w:rPr>
          <w:lang w:val="cs-CZ"/>
        </w:rPr>
        <w:t>Uložené záznamy musí být možné kdykoli poskytnout ve srozumitelné tištěné podobě.</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7.</w:t>
      </w:r>
      <w:r w:rsidRPr="003B6E11">
        <w:rPr>
          <w:lang w:val="cs-CZ"/>
        </w:rPr>
        <w:tab/>
      </w:r>
      <w:r w:rsidRPr="003B6E11">
        <w:rPr>
          <w:color w:val="000000"/>
          <w:lang w:val="cs-CZ"/>
        </w:rPr>
        <w:t>Zabezpečení záznamu</w:t>
      </w:r>
    </w:p>
    <w:p w:rsidR="003B6E11" w:rsidRPr="003B6E11" w:rsidRDefault="003B6E11" w:rsidP="003B6E11">
      <w:pPr>
        <w:spacing w:line="240" w:lineRule="atLeast"/>
        <w:ind w:left="426"/>
        <w:rPr>
          <w:lang w:val="cs-CZ"/>
        </w:rPr>
      </w:pPr>
    </w:p>
    <w:p w:rsidR="003B6E11" w:rsidRPr="003B6E11" w:rsidRDefault="003B6E11" w:rsidP="003B6E11">
      <w:pPr>
        <w:spacing w:line="240" w:lineRule="atLeast"/>
        <w:ind w:left="426"/>
        <w:rPr>
          <w:lang w:val="cs-CZ"/>
        </w:rPr>
      </w:pPr>
      <w:r w:rsidRPr="003B6E11">
        <w:rPr>
          <w:lang w:val="cs-CZ"/>
        </w:rPr>
        <w:t>Záznam otáčení vrtule musí být odolný proti neoprávněnému zásahu.</w:t>
      </w:r>
    </w:p>
    <w:p w:rsidR="003B6E11" w:rsidRPr="003B6E11" w:rsidRDefault="003B6E11" w:rsidP="003B6E11">
      <w:pPr>
        <w:spacing w:line="240" w:lineRule="atLeast"/>
        <w:rPr>
          <w:rFonts w:cs="Arial"/>
          <w:color w:val="000000"/>
          <w:lang w:val="cs-CZ"/>
        </w:rPr>
      </w:pPr>
    </w:p>
    <w:p w:rsidR="003B6E11" w:rsidRPr="003B6E11" w:rsidRDefault="003B6E11" w:rsidP="003B6E11">
      <w:pPr>
        <w:rPr>
          <w:rFonts w:cs="Arial"/>
          <w:color w:val="000000"/>
          <w:lang w:val="cs-CZ"/>
        </w:rPr>
      </w:pPr>
      <w:r w:rsidRPr="003B6E11">
        <w:rPr>
          <w:lang w:val="cs-CZ"/>
        </w:rPr>
        <w:br w:type="page"/>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8.</w:t>
      </w:r>
      <w:r w:rsidRPr="003B6E11">
        <w:rPr>
          <w:lang w:val="cs-CZ"/>
        </w:rPr>
        <w:tab/>
      </w:r>
      <w:r w:rsidRPr="003B6E11">
        <w:rPr>
          <w:color w:val="000000"/>
          <w:lang w:val="cs-CZ"/>
        </w:rPr>
        <w:t>Přesnost záznamu</w:t>
      </w:r>
    </w:p>
    <w:p w:rsidR="003B6E11" w:rsidRPr="003B6E11" w:rsidRDefault="003B6E11" w:rsidP="003B6E11">
      <w:pPr>
        <w:spacing w:line="240" w:lineRule="atLeast"/>
        <w:ind w:left="426"/>
        <w:rPr>
          <w:lang w:val="cs-CZ"/>
        </w:rPr>
      </w:pPr>
    </w:p>
    <w:p w:rsidR="003B6E11" w:rsidRPr="003B6E11" w:rsidRDefault="003B6E11" w:rsidP="003B6E11">
      <w:pPr>
        <w:spacing w:line="240" w:lineRule="atLeast"/>
        <w:ind w:left="426"/>
        <w:rPr>
          <w:lang w:val="cs-CZ"/>
        </w:rPr>
      </w:pPr>
      <w:r w:rsidRPr="003B6E11">
        <w:rPr>
          <w:lang w:val="cs-CZ"/>
        </w:rPr>
        <w:t>Záznam otáčení vrtule musí být časově přesný. Záznam musí být čitelný s přesností na 5 min.</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9.</w:t>
      </w:r>
      <w:r w:rsidRPr="003B6E11">
        <w:rPr>
          <w:lang w:val="cs-CZ"/>
        </w:rPr>
        <w:tab/>
      </w:r>
      <w:r w:rsidRPr="003B6E11">
        <w:rPr>
          <w:color w:val="000000"/>
          <w:lang w:val="cs-CZ"/>
        </w:rPr>
        <w:t>Provozní napětí</w:t>
      </w:r>
    </w:p>
    <w:p w:rsidR="003B6E11" w:rsidRPr="003B6E11" w:rsidRDefault="003B6E11" w:rsidP="003B6E11">
      <w:pPr>
        <w:spacing w:line="240" w:lineRule="atLeast"/>
        <w:ind w:left="426"/>
        <w:rPr>
          <w:lang w:val="cs-CZ"/>
        </w:rPr>
      </w:pPr>
    </w:p>
    <w:p w:rsidR="003B6E11" w:rsidRPr="003B6E11" w:rsidRDefault="003B6E11" w:rsidP="003B6E11">
      <w:pPr>
        <w:spacing w:line="240" w:lineRule="atLeast"/>
        <w:ind w:left="426"/>
        <w:rPr>
          <w:lang w:val="cs-CZ"/>
        </w:rPr>
      </w:pPr>
      <w:r w:rsidRPr="003B6E11">
        <w:rPr>
          <w:lang w:val="cs-CZ"/>
        </w:rPr>
        <w:t xml:space="preserve">Řádné fungování zařízení nesmí být ohroženo kolísáním napětí až o </w:t>
      </w:r>
      <w:r w:rsidRPr="003B6E11">
        <w:rPr>
          <w:lang w:val="cs-CZ"/>
        </w:rPr>
        <w:sym w:font="Symbol" w:char="F0B1"/>
      </w:r>
      <w:r w:rsidRPr="003B6E11">
        <w:rPr>
          <w:lang w:val="cs-CZ"/>
        </w:rPr>
        <w:t>10 % jmenovité hodnoty. Zařízení musí být navíc schopné odolat 25% zvýšení napětí oproti jmenovité hodnotě, aniž by byla jakkoli narušena jeho funkčnost.</w:t>
      </w:r>
    </w:p>
    <w:p w:rsidR="003B6E11" w:rsidRPr="003B6E11" w:rsidRDefault="003B6E11" w:rsidP="003B6E11">
      <w:pPr>
        <w:tabs>
          <w:tab w:val="left" w:pos="284"/>
          <w:tab w:val="left" w:leader="dot" w:pos="8505"/>
        </w:tabs>
        <w:ind w:left="284" w:hanging="284"/>
        <w:rPr>
          <w:lang w:val="cs-CZ"/>
        </w:rPr>
      </w:pPr>
    </w:p>
    <w:p w:rsidR="003B6E11" w:rsidRPr="003B6E11" w:rsidRDefault="003B6E11" w:rsidP="003B6E11">
      <w:pPr>
        <w:spacing w:line="240" w:lineRule="atLeast"/>
        <w:rPr>
          <w:rFonts w:cs="Arial"/>
          <w:color w:val="000000"/>
          <w:lang w:val="cs-CZ"/>
        </w:rPr>
      </w:pPr>
      <w:r w:rsidRPr="003B6E11">
        <w:rPr>
          <w:color w:val="000000"/>
          <w:lang w:val="cs-CZ"/>
        </w:rPr>
        <w:t>10.</w:t>
      </w:r>
      <w:r w:rsidRPr="003B6E11">
        <w:rPr>
          <w:lang w:val="cs-CZ"/>
        </w:rPr>
        <w:tab/>
      </w:r>
      <w:r w:rsidRPr="003B6E11">
        <w:rPr>
          <w:color w:val="000000"/>
          <w:lang w:val="cs-CZ"/>
        </w:rPr>
        <w:t>Provozní podmínky</w:t>
      </w:r>
    </w:p>
    <w:p w:rsidR="003B6E11" w:rsidRPr="003B6E11" w:rsidRDefault="003B6E11" w:rsidP="003B6E11">
      <w:pPr>
        <w:tabs>
          <w:tab w:val="left" w:pos="284"/>
          <w:tab w:val="left" w:leader="dot" w:pos="8505"/>
        </w:tabs>
        <w:ind w:left="284" w:hanging="284"/>
        <w:rPr>
          <w:lang w:val="cs-CZ"/>
        </w:rPr>
      </w:pPr>
    </w:p>
    <w:p w:rsidR="003B6E11" w:rsidRPr="003B6E11" w:rsidRDefault="003B6E11" w:rsidP="003B6E11">
      <w:pPr>
        <w:spacing w:line="240" w:lineRule="atLeast"/>
        <w:ind w:left="426"/>
        <w:rPr>
          <w:lang w:val="cs-CZ"/>
        </w:rPr>
      </w:pPr>
      <w:r w:rsidRPr="003B6E11">
        <w:rPr>
          <w:lang w:val="cs-CZ"/>
        </w:rPr>
        <w:t>Zařízení nebo jeho součásti musí bezchybně fungovat za těchto provozních podmínek:</w:t>
      </w:r>
    </w:p>
    <w:p w:rsidR="003B6E11" w:rsidRPr="003B6E11" w:rsidRDefault="003B6E11" w:rsidP="003B6E11">
      <w:pPr>
        <w:tabs>
          <w:tab w:val="left" w:pos="851"/>
        </w:tabs>
        <w:spacing w:before="60" w:line="240" w:lineRule="atLeast"/>
        <w:ind w:left="3544" w:hanging="3118"/>
        <w:rPr>
          <w:rFonts w:cs="Arial"/>
          <w:noProof/>
          <w:lang w:val="cs-CZ"/>
        </w:rPr>
      </w:pPr>
      <w:r w:rsidRPr="003B6E11">
        <w:rPr>
          <w:lang w:val="cs-CZ"/>
        </w:rPr>
        <w:t>–</w:t>
      </w:r>
      <w:r w:rsidRPr="003B6E11">
        <w:rPr>
          <w:lang w:val="cs-CZ"/>
        </w:rPr>
        <w:tab/>
        <w:t>okolní teplota:</w:t>
      </w:r>
      <w:r w:rsidRPr="003B6E11">
        <w:rPr>
          <w:lang w:val="cs-CZ"/>
        </w:rPr>
        <w:tab/>
        <w:t xml:space="preserve">0 </w:t>
      </w:r>
      <w:r w:rsidRPr="003B6E11">
        <w:rPr>
          <w:rFonts w:cs="Arial"/>
          <w:noProof/>
          <w:lang w:val="cs-CZ"/>
        </w:rPr>
        <w:sym w:font="Symbol" w:char="F0B0"/>
      </w:r>
      <w:r w:rsidRPr="003B6E11">
        <w:rPr>
          <w:lang w:val="cs-CZ"/>
        </w:rPr>
        <w:t xml:space="preserve">C až + 40 </w:t>
      </w:r>
      <w:r w:rsidRPr="003B6E11">
        <w:rPr>
          <w:rFonts w:cs="Arial"/>
          <w:noProof/>
          <w:lang w:val="cs-CZ"/>
        </w:rPr>
        <w:sym w:font="Symbol" w:char="F0B0"/>
      </w:r>
      <w:r w:rsidRPr="003B6E11">
        <w:rPr>
          <w:lang w:val="cs-CZ"/>
        </w:rPr>
        <w:t>C</w:t>
      </w:r>
    </w:p>
    <w:p w:rsidR="003B6E11" w:rsidRPr="003B6E11" w:rsidRDefault="003B6E11" w:rsidP="003B6E11">
      <w:pPr>
        <w:tabs>
          <w:tab w:val="left" w:pos="851"/>
        </w:tabs>
        <w:spacing w:before="60" w:line="240" w:lineRule="atLeast"/>
        <w:ind w:left="3544" w:hanging="3118"/>
        <w:rPr>
          <w:rFonts w:cs="Arial"/>
          <w:noProof/>
          <w:lang w:val="cs-CZ"/>
        </w:rPr>
      </w:pPr>
      <w:r w:rsidRPr="003B6E11">
        <w:rPr>
          <w:lang w:val="cs-CZ"/>
        </w:rPr>
        <w:t>–</w:t>
      </w:r>
      <w:r w:rsidRPr="003B6E11">
        <w:rPr>
          <w:lang w:val="cs-CZ"/>
        </w:rPr>
        <w:tab/>
        <w:t>vlhkost:</w:t>
      </w:r>
      <w:r w:rsidRPr="003B6E11">
        <w:rPr>
          <w:lang w:val="cs-CZ"/>
        </w:rPr>
        <w:tab/>
        <w:t>až 85 % relativní vlhkost vzduchu</w:t>
      </w:r>
    </w:p>
    <w:p w:rsidR="003B6E11" w:rsidRPr="003B6E11" w:rsidRDefault="003B6E11" w:rsidP="003B6E11">
      <w:pPr>
        <w:tabs>
          <w:tab w:val="left" w:pos="851"/>
        </w:tabs>
        <w:spacing w:before="60" w:line="240" w:lineRule="atLeast"/>
        <w:ind w:left="3544" w:hanging="3118"/>
        <w:rPr>
          <w:rFonts w:cs="Arial"/>
          <w:noProof/>
          <w:lang w:val="cs-CZ"/>
        </w:rPr>
      </w:pPr>
      <w:r w:rsidRPr="003B6E11">
        <w:rPr>
          <w:lang w:val="cs-CZ"/>
        </w:rPr>
        <w:t>–</w:t>
      </w:r>
      <w:r w:rsidRPr="003B6E11">
        <w:rPr>
          <w:lang w:val="cs-CZ"/>
        </w:rPr>
        <w:tab/>
        <w:t>typ elektrické ochrany:</w:t>
      </w:r>
      <w:r w:rsidRPr="003B6E11">
        <w:rPr>
          <w:lang w:val="cs-CZ"/>
        </w:rPr>
        <w:tab/>
        <w:t>IP 54 podle mezinárodní normy IEC 529</w:t>
      </w:r>
    </w:p>
    <w:p w:rsidR="003B6E11" w:rsidRPr="003B6E11" w:rsidRDefault="003B6E11" w:rsidP="003B6E11">
      <w:pPr>
        <w:tabs>
          <w:tab w:val="left" w:pos="851"/>
        </w:tabs>
        <w:spacing w:before="60" w:line="240" w:lineRule="atLeast"/>
        <w:ind w:left="3544" w:hanging="3118"/>
        <w:rPr>
          <w:rFonts w:cs="Arial"/>
          <w:noProof/>
          <w:lang w:val="cs-CZ"/>
        </w:rPr>
      </w:pPr>
      <w:r w:rsidRPr="003B6E11">
        <w:rPr>
          <w:lang w:val="cs-CZ"/>
        </w:rPr>
        <w:t>–</w:t>
      </w:r>
      <w:r w:rsidRPr="003B6E11">
        <w:rPr>
          <w:lang w:val="cs-CZ"/>
        </w:rPr>
        <w:tab/>
        <w:t>odolnost vůči oleji:</w:t>
      </w:r>
      <w:r w:rsidRPr="003B6E11">
        <w:rPr>
          <w:lang w:val="cs-CZ"/>
        </w:rPr>
        <w:tab/>
        <w:t>zařízení nebo jeho součásti musí být odolné vůči oleji, přestože je určeno k montáži ve strojovně</w:t>
      </w:r>
    </w:p>
    <w:p w:rsidR="003B6E11" w:rsidRPr="003B6E11" w:rsidRDefault="003B6E11" w:rsidP="003B6E11">
      <w:pPr>
        <w:tabs>
          <w:tab w:val="left" w:pos="851"/>
        </w:tabs>
        <w:spacing w:before="60" w:line="240" w:lineRule="atLeast"/>
        <w:ind w:left="3544" w:hanging="3118"/>
        <w:rPr>
          <w:rFonts w:cs="Arial"/>
          <w:noProof/>
          <w:lang w:val="cs-CZ"/>
        </w:rPr>
      </w:pPr>
      <w:r w:rsidRPr="003B6E11">
        <w:rPr>
          <w:lang w:val="cs-CZ"/>
        </w:rPr>
        <w:t>–</w:t>
      </w:r>
      <w:r w:rsidRPr="003B6E11">
        <w:rPr>
          <w:lang w:val="cs-CZ"/>
        </w:rPr>
        <w:tab/>
        <w:t>přípustné tolerance záznamu</w:t>
      </w:r>
    </w:p>
    <w:p w:rsidR="003B6E11" w:rsidRPr="003B6E11" w:rsidRDefault="003B6E11" w:rsidP="003B6E11">
      <w:pPr>
        <w:tabs>
          <w:tab w:val="left" w:pos="851"/>
        </w:tabs>
        <w:spacing w:line="240" w:lineRule="atLeast"/>
        <w:ind w:left="3544" w:hanging="2693"/>
        <w:rPr>
          <w:rFonts w:cs="Arial"/>
          <w:noProof/>
          <w:lang w:val="cs-CZ"/>
        </w:rPr>
      </w:pPr>
      <w:r w:rsidRPr="003B6E11">
        <w:rPr>
          <w:lang w:val="cs-CZ"/>
        </w:rPr>
        <w:t>času</w:t>
      </w:r>
      <w:r w:rsidRPr="003B6E11">
        <w:rPr>
          <w:lang w:val="cs-CZ"/>
        </w:rPr>
        <w:tab/>
      </w:r>
      <w:r w:rsidRPr="003B6E11">
        <w:rPr>
          <w:rFonts w:cs="Arial"/>
          <w:noProof/>
          <w:lang w:val="cs-CZ"/>
        </w:rPr>
        <w:sym w:font="Symbol" w:char="F0B1"/>
      </w:r>
      <w:r w:rsidRPr="003B6E11">
        <w:rPr>
          <w:lang w:val="cs-CZ"/>
        </w:rPr>
        <w:t xml:space="preserve"> 2 minuty za 24 hodin</w:t>
      </w:r>
    </w:p>
    <w:p w:rsidR="003B6E11" w:rsidRPr="003B6E11" w:rsidRDefault="003B6E11" w:rsidP="003B6E11">
      <w:pPr>
        <w:tabs>
          <w:tab w:val="left" w:pos="284"/>
          <w:tab w:val="left" w:leader="dot" w:pos="8505"/>
        </w:tabs>
        <w:ind w:left="284" w:hanging="284"/>
        <w:rPr>
          <w:lang w:val="cs-CZ"/>
        </w:rPr>
      </w:pPr>
    </w:p>
    <w:p w:rsidR="003B6E11" w:rsidRPr="003B6E11" w:rsidRDefault="003B6E11" w:rsidP="003B6E11">
      <w:pPr>
        <w:tabs>
          <w:tab w:val="left" w:pos="284"/>
          <w:tab w:val="left" w:leader="dot" w:pos="8505"/>
        </w:tabs>
        <w:ind w:left="284" w:hanging="284"/>
        <w:rPr>
          <w:lang w:val="cs-CZ"/>
        </w:rPr>
      </w:pPr>
    </w:p>
    <w:p w:rsidR="003B6E11" w:rsidRPr="003B6E11" w:rsidRDefault="003B6E11" w:rsidP="003B6E11">
      <w:pPr>
        <w:spacing w:line="240" w:lineRule="atLeast"/>
        <w:jc w:val="center"/>
        <w:rPr>
          <w:rFonts w:cs="Arial"/>
          <w:b/>
          <w:noProof/>
          <w:lang w:val="cs-CZ"/>
        </w:rPr>
      </w:pPr>
      <w:r w:rsidRPr="003B6E11">
        <w:rPr>
          <w:b/>
          <w:noProof/>
          <w:lang w:val="cs-CZ"/>
        </w:rPr>
        <w:t>Článek 3</w:t>
      </w:r>
    </w:p>
    <w:p w:rsidR="003B6E11" w:rsidRPr="003B6E11" w:rsidRDefault="003B6E11" w:rsidP="003B6E11">
      <w:pPr>
        <w:spacing w:line="240" w:lineRule="atLeast"/>
        <w:jc w:val="center"/>
        <w:rPr>
          <w:rFonts w:cs="Arial"/>
          <w:i/>
          <w:noProof/>
          <w:lang w:val="cs-CZ"/>
        </w:rPr>
      </w:pPr>
      <w:r w:rsidRPr="003B6E11">
        <w:rPr>
          <w:i/>
          <w:noProof/>
          <w:lang w:val="cs-CZ"/>
        </w:rPr>
        <w:t>Požadavky na montáž palubních tachografů</w:t>
      </w:r>
    </w:p>
    <w:p w:rsidR="003B6E11" w:rsidRPr="003B6E11" w:rsidRDefault="003B6E11" w:rsidP="003B6E11">
      <w:pPr>
        <w:tabs>
          <w:tab w:val="left" w:pos="284"/>
          <w:tab w:val="left" w:leader="dot" w:pos="8505"/>
        </w:tabs>
        <w:ind w:left="284" w:hanging="284"/>
        <w:rPr>
          <w:lang w:val="cs-CZ"/>
        </w:rPr>
      </w:pPr>
    </w:p>
    <w:p w:rsidR="003B6E11" w:rsidRPr="003B6E11" w:rsidRDefault="003B6E11" w:rsidP="003B6E11">
      <w:pPr>
        <w:tabs>
          <w:tab w:val="left" w:pos="284"/>
          <w:tab w:val="left" w:leader="dot" w:pos="8505"/>
        </w:tabs>
        <w:ind w:left="284" w:hanging="284"/>
        <w:rPr>
          <w:lang w:val="cs-CZ"/>
        </w:rPr>
      </w:pPr>
      <w:r w:rsidRPr="003B6E11">
        <w:rPr>
          <w:lang w:val="cs-CZ"/>
        </w:rPr>
        <w:t>Při montáži palubních tachografů musí být splněny tyto podmínky:</w:t>
      </w:r>
    </w:p>
    <w:p w:rsidR="003B6E11" w:rsidRPr="003B6E11" w:rsidRDefault="003B6E11" w:rsidP="003B6E11">
      <w:pPr>
        <w:tabs>
          <w:tab w:val="left" w:pos="284"/>
          <w:tab w:val="left" w:leader="dot" w:pos="8505"/>
        </w:tabs>
        <w:ind w:left="284" w:hanging="284"/>
        <w:rPr>
          <w:lang w:val="cs-CZ"/>
        </w:rPr>
      </w:pPr>
    </w:p>
    <w:p w:rsidR="003B6E11" w:rsidRPr="003B6E11" w:rsidRDefault="003B6E11" w:rsidP="003B6E11">
      <w:pPr>
        <w:spacing w:line="240" w:lineRule="atLeast"/>
        <w:rPr>
          <w:rFonts w:cs="Arial"/>
          <w:color w:val="000000"/>
          <w:lang w:val="cs-CZ"/>
        </w:rPr>
      </w:pPr>
      <w:r w:rsidRPr="003B6E11">
        <w:rPr>
          <w:color w:val="000000"/>
          <w:lang w:val="cs-CZ"/>
        </w:rPr>
        <w:t>1.</w:t>
      </w:r>
      <w:r w:rsidRPr="003B6E11">
        <w:rPr>
          <w:lang w:val="cs-CZ"/>
        </w:rPr>
        <w:tab/>
      </w:r>
      <w:r w:rsidRPr="003B6E11">
        <w:rPr>
          <w:color w:val="000000"/>
          <w:lang w:val="cs-CZ"/>
        </w:rPr>
        <w:t>Palubní tachografy smí instalovat pouze odborná firma schválená příslušným orgánem.</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2.</w:t>
      </w:r>
      <w:r w:rsidRPr="003B6E11">
        <w:rPr>
          <w:lang w:val="cs-CZ"/>
        </w:rPr>
        <w:tab/>
      </w:r>
      <w:r w:rsidRPr="003B6E11">
        <w:rPr>
          <w:color w:val="000000"/>
          <w:lang w:val="cs-CZ"/>
        </w:rPr>
        <w:t>Tachograf musí být nainstalován v kormidelně nebo na jiném snadno dostupném místě.</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3.</w:t>
      </w:r>
      <w:r w:rsidRPr="003B6E11">
        <w:rPr>
          <w:lang w:val="cs-CZ"/>
        </w:rPr>
        <w:tab/>
      </w:r>
      <w:r w:rsidRPr="003B6E11">
        <w:rPr>
          <w:color w:val="000000"/>
          <w:lang w:val="cs-CZ"/>
        </w:rPr>
        <w:t>To, zda zařízení funguje, musí být možné zjistit pouhým pohledem. Zařízení musí být trvale napájeno elektrickou energií z obvodu zdroje nepřerušeného elektrického napájení s vlastním jističem a přímo připojeno k tomuto zdroji.</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4.</w:t>
      </w:r>
      <w:r w:rsidRPr="003B6E11">
        <w:rPr>
          <w:lang w:val="cs-CZ"/>
        </w:rPr>
        <w:tab/>
      </w:r>
      <w:r w:rsidRPr="003B6E11">
        <w:rPr>
          <w:color w:val="000000"/>
          <w:lang w:val="cs-CZ"/>
        </w:rPr>
        <w:t>Informace o pohybu lodi, konkrétně zda loď „ je v pohybu“ nebo „není v pohybu“, jsou odvozovány z pohybu pohonného systému. Příslušný signál musí pocházet z otáčení vrtule, z vrtulové hřídele nebo z činnosti pohonného stroje. V případě rozdílných pohonných systémů musí být dosaženo rovnocenné řešení.</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5.</w:t>
      </w:r>
      <w:r w:rsidRPr="003B6E11">
        <w:rPr>
          <w:lang w:val="cs-CZ"/>
        </w:rPr>
        <w:tab/>
      </w:r>
      <w:r w:rsidRPr="003B6E11">
        <w:rPr>
          <w:color w:val="000000"/>
          <w:lang w:val="cs-CZ"/>
        </w:rPr>
        <w:t>Technické vybavení ke snímání pohybu lodi musí být instalováno tak, aby bylo z hlediska provozu co nejspolehlivější a odolné vůči neoprávněným zásahům. Za tímto účelem musí být obvod pro přenos signálu (včetně generátoru signálu a vstupního terminálu) z pohonného systému do zařízení chráněn vhodnými monitorovacími prostředky pro detekci přerušení obvodu. Vhodné pro tento účel jsou například plomby s identifikačními značkami a viditelná kabelová vedení nebo monitorovací obvody.</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lang w:val="cs-CZ"/>
        </w:rPr>
        <w:br w:type="page"/>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6.</w:t>
      </w:r>
      <w:r w:rsidRPr="003B6E11">
        <w:rPr>
          <w:lang w:val="cs-CZ"/>
        </w:rPr>
        <w:tab/>
      </w:r>
      <w:r w:rsidRPr="003B6E11">
        <w:rPr>
          <w:color w:val="000000"/>
          <w:lang w:val="cs-CZ"/>
        </w:rPr>
        <w:t>Po instalaci vykoná odborná firma, jež provedla instalaci nebo na ni dohlížela, provozní zkoušku. Vydá osvědčení dokládající charakteristiky instalace (zejména umístěna a druhy plomb a jejich značky, umístění a druh monitorovacích prvků) a to, že instalace řádně funguje; osvědčení musí rovněž uvádět typ schváleného zařízení. Po výměně, úpravě nebo opravě se vyžaduje nová provozní zkouška; tato zkouška musí být uvedena na osvědčení.</w:t>
      </w:r>
    </w:p>
    <w:p w:rsidR="003B6E11" w:rsidRPr="003B6E11" w:rsidRDefault="003B6E11" w:rsidP="003B6E11">
      <w:pPr>
        <w:tabs>
          <w:tab w:val="left" w:pos="284"/>
          <w:tab w:val="left" w:leader="dot" w:pos="8505"/>
        </w:tabs>
        <w:ind w:left="284" w:hanging="284"/>
        <w:rPr>
          <w:lang w:val="cs-CZ"/>
        </w:rPr>
      </w:pPr>
    </w:p>
    <w:p w:rsidR="003B6E11" w:rsidRPr="003B6E11" w:rsidRDefault="003B6E11" w:rsidP="003B6E11">
      <w:pPr>
        <w:spacing w:line="240" w:lineRule="atLeast"/>
        <w:ind w:left="426"/>
        <w:rPr>
          <w:lang w:val="cs-CZ"/>
        </w:rPr>
      </w:pPr>
      <w:r w:rsidRPr="003B6E11">
        <w:rPr>
          <w:lang w:val="cs-CZ"/>
        </w:rPr>
        <w:t>Osvědčení musí obsahovat alespoň tyto údaje:</w:t>
      </w:r>
    </w:p>
    <w:p w:rsidR="003B6E11" w:rsidRPr="003B6E11" w:rsidRDefault="003B6E11" w:rsidP="003B6E11">
      <w:pPr>
        <w:spacing w:before="60" w:line="240" w:lineRule="atLeast"/>
        <w:ind w:left="851"/>
        <w:rPr>
          <w:rFonts w:cs="Arial"/>
          <w:noProof/>
          <w:lang w:val="cs-CZ"/>
        </w:rPr>
      </w:pPr>
      <w:r w:rsidRPr="003B6E11">
        <w:rPr>
          <w:lang w:val="cs-CZ"/>
        </w:rPr>
        <w:t>–</w:t>
      </w:r>
      <w:r w:rsidRPr="003B6E11">
        <w:rPr>
          <w:lang w:val="cs-CZ"/>
        </w:rPr>
        <w:tab/>
        <w:t>název, adresu a jednoznačný identifikátor schválené odborné firmy, která provedla instalaci nebo na ni dohlížela,</w:t>
      </w:r>
    </w:p>
    <w:p w:rsidR="003B6E11" w:rsidRPr="003B6E11" w:rsidRDefault="003B6E11" w:rsidP="003B6E11">
      <w:pPr>
        <w:spacing w:before="60" w:line="240" w:lineRule="atLeast"/>
        <w:ind w:left="851"/>
        <w:rPr>
          <w:rFonts w:cs="Arial"/>
          <w:noProof/>
          <w:lang w:val="cs-CZ"/>
        </w:rPr>
      </w:pPr>
      <w:r w:rsidRPr="003B6E11">
        <w:rPr>
          <w:lang w:val="cs-CZ"/>
        </w:rPr>
        <w:t>–</w:t>
      </w:r>
      <w:r w:rsidRPr="003B6E11">
        <w:rPr>
          <w:lang w:val="cs-CZ"/>
        </w:rPr>
        <w:tab/>
        <w:t>název, adresu a telefonní číslo příslušného orgánu, který tuto firmu schválil,</w:t>
      </w:r>
    </w:p>
    <w:p w:rsidR="003B6E11" w:rsidRPr="003B6E11" w:rsidRDefault="003B6E11" w:rsidP="003B6E11">
      <w:pPr>
        <w:spacing w:before="60" w:line="240" w:lineRule="atLeast"/>
        <w:ind w:left="851"/>
        <w:rPr>
          <w:rFonts w:cs="Arial"/>
          <w:noProof/>
          <w:lang w:val="cs-CZ"/>
        </w:rPr>
      </w:pPr>
      <w:r w:rsidRPr="003B6E11">
        <w:rPr>
          <w:lang w:val="cs-CZ"/>
        </w:rPr>
        <w:t>–</w:t>
      </w:r>
      <w:r w:rsidRPr="003B6E11">
        <w:rPr>
          <w:lang w:val="cs-CZ"/>
        </w:rPr>
        <w:tab/>
        <w:t>jednotné evropské identifikační číslo plavidla nebo úřední číslo plavidla,</w:t>
      </w:r>
    </w:p>
    <w:p w:rsidR="003B6E11" w:rsidRPr="003B6E11" w:rsidRDefault="003B6E11" w:rsidP="003B6E11">
      <w:pPr>
        <w:spacing w:before="60" w:line="240" w:lineRule="atLeast"/>
        <w:ind w:left="851"/>
        <w:rPr>
          <w:rFonts w:cs="Arial"/>
          <w:noProof/>
          <w:lang w:val="cs-CZ"/>
        </w:rPr>
      </w:pPr>
      <w:r w:rsidRPr="003B6E11">
        <w:rPr>
          <w:lang w:val="cs-CZ"/>
        </w:rPr>
        <w:t>–</w:t>
      </w:r>
      <w:r w:rsidRPr="003B6E11">
        <w:rPr>
          <w:lang w:val="cs-CZ"/>
        </w:rPr>
        <w:tab/>
        <w:t>typ a sériové číslo tachografu,</w:t>
      </w:r>
    </w:p>
    <w:p w:rsidR="003B6E11" w:rsidRPr="003B6E11" w:rsidRDefault="003B6E11" w:rsidP="003B6E11">
      <w:pPr>
        <w:spacing w:before="60" w:line="240" w:lineRule="atLeast"/>
        <w:ind w:left="851"/>
        <w:rPr>
          <w:rFonts w:cs="Arial"/>
          <w:noProof/>
          <w:lang w:val="cs-CZ"/>
        </w:rPr>
      </w:pPr>
      <w:r w:rsidRPr="003B6E11">
        <w:rPr>
          <w:lang w:val="cs-CZ"/>
        </w:rPr>
        <w:t>–</w:t>
      </w:r>
      <w:r w:rsidRPr="003B6E11">
        <w:rPr>
          <w:lang w:val="cs-CZ"/>
        </w:rPr>
        <w:tab/>
        <w:t>datum provozní zkoušky.</w:t>
      </w:r>
    </w:p>
    <w:p w:rsidR="003B6E11" w:rsidRPr="003B6E11" w:rsidRDefault="003B6E11" w:rsidP="003B6E11">
      <w:pPr>
        <w:spacing w:line="240" w:lineRule="atLeast"/>
        <w:ind w:left="426"/>
        <w:rPr>
          <w:lang w:val="cs-CZ"/>
        </w:rPr>
      </w:pPr>
    </w:p>
    <w:p w:rsidR="003B6E11" w:rsidRPr="003B6E11" w:rsidRDefault="003B6E11" w:rsidP="003B6E11">
      <w:pPr>
        <w:spacing w:line="240" w:lineRule="atLeast"/>
        <w:ind w:left="426"/>
        <w:rPr>
          <w:lang w:val="cs-CZ"/>
        </w:rPr>
      </w:pPr>
      <w:r w:rsidRPr="003B6E11">
        <w:rPr>
          <w:lang w:val="cs-CZ"/>
        </w:rPr>
        <w:t>Osvědčení platí 5 let.</w:t>
      </w:r>
    </w:p>
    <w:p w:rsidR="003B6E11" w:rsidRPr="003B6E11" w:rsidRDefault="003B6E11" w:rsidP="003B6E11">
      <w:pPr>
        <w:spacing w:line="240" w:lineRule="atLeast"/>
        <w:ind w:left="426"/>
        <w:rPr>
          <w:lang w:val="cs-CZ"/>
        </w:rPr>
      </w:pPr>
    </w:p>
    <w:p w:rsidR="003B6E11" w:rsidRPr="003B6E11" w:rsidRDefault="003B6E11" w:rsidP="003B6E11">
      <w:pPr>
        <w:spacing w:line="240" w:lineRule="atLeast"/>
        <w:ind w:left="426"/>
        <w:rPr>
          <w:lang w:val="cs-CZ"/>
        </w:rPr>
      </w:pPr>
      <w:r w:rsidRPr="003B6E11">
        <w:rPr>
          <w:lang w:val="cs-CZ"/>
        </w:rPr>
        <w:t>Účelem osvědčení je prokázat, že zařízení je schválené, že bylo instalováno schválenou odbornou firmou a že bylo odzkoušeno jeho řádné fungování.</w:t>
      </w:r>
    </w:p>
    <w:p w:rsidR="003B6E11" w:rsidRPr="003B6E11" w:rsidRDefault="003B6E11" w:rsidP="003B6E11">
      <w:pPr>
        <w:tabs>
          <w:tab w:val="left" w:pos="284"/>
          <w:tab w:val="left" w:pos="567"/>
        </w:tabs>
        <w:ind w:left="284" w:hanging="284"/>
        <w:rPr>
          <w:lang w:val="cs-CZ"/>
        </w:rPr>
      </w:pPr>
    </w:p>
    <w:p w:rsidR="003B6E11" w:rsidRPr="003B6E11" w:rsidRDefault="003B6E11" w:rsidP="003B6E11">
      <w:pPr>
        <w:tabs>
          <w:tab w:val="left" w:pos="284"/>
          <w:tab w:val="left" w:pos="567"/>
        </w:tabs>
        <w:ind w:left="284" w:hanging="284"/>
        <w:rPr>
          <w:lang w:val="cs-CZ"/>
        </w:rPr>
      </w:pPr>
      <w:r w:rsidRPr="003B6E11">
        <w:rPr>
          <w:lang w:val="cs-CZ"/>
        </w:rPr>
        <w:t>7.</w:t>
      </w:r>
      <w:r w:rsidRPr="003B6E11">
        <w:rPr>
          <w:lang w:val="cs-CZ"/>
        </w:rPr>
        <w:tab/>
        <w:t>Schválená společnost musí velení lodi vyškolit v používání zařízení a musí být předány a na palubě uchovány uživatelské pokyny. Tato skutečnost musí být zmíněna v osvědčení o montáži na palubě.</w:t>
      </w:r>
    </w:p>
    <w:p w:rsidR="003B6E11" w:rsidRPr="003B6E11" w:rsidRDefault="003B6E11" w:rsidP="003B6E11">
      <w:pPr>
        <w:tabs>
          <w:tab w:val="left" w:pos="284"/>
          <w:tab w:val="left" w:pos="567"/>
        </w:tabs>
        <w:ind w:left="284" w:hanging="284"/>
        <w:rPr>
          <w:lang w:val="cs-CZ"/>
        </w:rPr>
      </w:pPr>
    </w:p>
    <w:p w:rsidR="003B6E11" w:rsidRPr="003B6E11" w:rsidRDefault="003B6E11" w:rsidP="003B6E11">
      <w:pPr>
        <w:tabs>
          <w:tab w:val="left" w:pos="284"/>
          <w:tab w:val="left" w:pos="567"/>
        </w:tabs>
        <w:ind w:left="284" w:hanging="284"/>
        <w:rPr>
          <w:lang w:val="cs-CZ"/>
        </w:rPr>
      </w:pPr>
    </w:p>
    <w:p w:rsidR="003B6E11" w:rsidRPr="003B6E11" w:rsidRDefault="003B6E11" w:rsidP="003B6E11">
      <w:pPr>
        <w:tabs>
          <w:tab w:val="left" w:pos="284"/>
          <w:tab w:val="left" w:pos="567"/>
        </w:tabs>
        <w:ind w:left="284" w:hanging="284"/>
        <w:rPr>
          <w:lang w:val="cs-CZ"/>
        </w:rPr>
      </w:pPr>
      <w:r w:rsidRPr="003B6E11">
        <w:rPr>
          <w:lang w:val="cs-CZ"/>
        </w:rPr>
        <w:br w:type="page"/>
      </w:r>
    </w:p>
    <w:p w:rsidR="003B6E11" w:rsidRPr="003B6E11" w:rsidRDefault="003B6E11" w:rsidP="003B6E11">
      <w:pPr>
        <w:tabs>
          <w:tab w:val="left" w:pos="284"/>
          <w:tab w:val="left" w:pos="567"/>
        </w:tabs>
        <w:ind w:left="284" w:hanging="284"/>
        <w:rPr>
          <w:lang w:val="cs-CZ"/>
        </w:rPr>
      </w:pPr>
    </w:p>
    <w:p w:rsidR="003B6E11" w:rsidRPr="003B6E11" w:rsidRDefault="003B6E11" w:rsidP="003B6E11">
      <w:pPr>
        <w:tabs>
          <w:tab w:val="left" w:pos="284"/>
          <w:tab w:val="left" w:pos="567"/>
        </w:tabs>
        <w:ind w:left="284" w:hanging="284"/>
        <w:rPr>
          <w:lang w:val="cs-CZ"/>
        </w:rPr>
      </w:pPr>
    </w:p>
    <w:p w:rsidR="003B6E11" w:rsidRPr="003B6E11" w:rsidRDefault="003B6E11" w:rsidP="003B6E11">
      <w:pPr>
        <w:tabs>
          <w:tab w:val="left" w:pos="284"/>
          <w:tab w:val="left" w:pos="567"/>
        </w:tabs>
        <w:ind w:left="284" w:hanging="284"/>
        <w:rPr>
          <w:lang w:val="cs-CZ"/>
        </w:rPr>
      </w:pPr>
    </w:p>
    <w:p w:rsidR="003B6E11" w:rsidRPr="003B6E11" w:rsidRDefault="003B6E11" w:rsidP="003B6E11">
      <w:pPr>
        <w:tabs>
          <w:tab w:val="left" w:pos="284"/>
          <w:tab w:val="left" w:pos="567"/>
        </w:tabs>
        <w:ind w:left="284" w:hanging="284"/>
        <w:rPr>
          <w:lang w:val="cs-CZ"/>
        </w:rPr>
      </w:pPr>
    </w:p>
    <w:p w:rsidR="003B6E11" w:rsidRPr="003B6E11" w:rsidRDefault="003B6E11" w:rsidP="003B6E11">
      <w:pPr>
        <w:tabs>
          <w:tab w:val="left" w:pos="284"/>
          <w:tab w:val="left" w:pos="567"/>
        </w:tabs>
        <w:ind w:left="284" w:hanging="284"/>
        <w:rPr>
          <w:lang w:val="cs-CZ"/>
        </w:rPr>
      </w:pPr>
      <w:r w:rsidRPr="003B6E11">
        <w:rPr>
          <w:lang w:val="cs-CZ"/>
        </w:rPr>
        <w:br w:type="page"/>
      </w:r>
    </w:p>
    <w:p w:rsidR="003B6E11" w:rsidRPr="003B6E11" w:rsidRDefault="003B6E11" w:rsidP="003B6E11">
      <w:pPr>
        <w:pStyle w:val="ES-Titre3"/>
        <w:rPr>
          <w:noProof/>
          <w:lang w:val="cs-CZ"/>
        </w:rPr>
      </w:pPr>
      <w:bookmarkStart w:id="656" w:name="_Toc491854320"/>
      <w:bookmarkStart w:id="657" w:name="_Toc535417226"/>
      <w:r w:rsidRPr="003B6E11">
        <w:rPr>
          <w:lang w:val="cs-CZ"/>
        </w:rPr>
        <w:t>Oddíl VI</w:t>
      </w:r>
      <w:bookmarkEnd w:id="656"/>
      <w:bookmarkEnd w:id="657"/>
    </w:p>
    <w:p w:rsidR="003B6E11" w:rsidRPr="003B6E11" w:rsidRDefault="003B6E11" w:rsidP="003B6E11">
      <w:pPr>
        <w:pStyle w:val="ES-Titre3a"/>
        <w:rPr>
          <w:noProof/>
          <w:lang w:val="cs-CZ"/>
        </w:rPr>
      </w:pPr>
      <w:bookmarkStart w:id="658" w:name="_Toc491854321"/>
      <w:bookmarkStart w:id="659" w:name="_Toc535417227"/>
      <w:r w:rsidRPr="003B6E11">
        <w:rPr>
          <w:lang w:val="cs-CZ"/>
        </w:rPr>
        <w:t>Osvědčení o montáži a výkonnosti navigačních radarových zařízení, ukazatelů rychlosti otáčení, zařízení pro vnitrozemský AIS a tachografů ve vnitrozemské vodní dopravě</w:t>
      </w:r>
      <w:bookmarkEnd w:id="658"/>
      <w:bookmarkEnd w:id="659"/>
    </w:p>
    <w:p w:rsidR="003B6E11" w:rsidRPr="003B6E11" w:rsidRDefault="003B6E11" w:rsidP="003B6E11">
      <w:pPr>
        <w:overflowPunct w:val="0"/>
        <w:adjustRightInd w:val="0"/>
        <w:spacing w:line="240" w:lineRule="exact"/>
        <w:jc w:val="center"/>
        <w:textAlignment w:val="baseline"/>
        <w:rPr>
          <w:rFonts w:eastAsia="Calibri"/>
          <w:szCs w:val="20"/>
          <w:lang w:val="cs-CZ"/>
        </w:rPr>
      </w:pPr>
      <w:r w:rsidRPr="003B6E11">
        <w:rPr>
          <w:lang w:val="cs-CZ"/>
        </w:rPr>
        <w:t>(Vzor)</w:t>
      </w:r>
    </w:p>
    <w:p w:rsidR="003B6E11" w:rsidRPr="003B6E11" w:rsidRDefault="003B6E11" w:rsidP="003B6E11">
      <w:pPr>
        <w:tabs>
          <w:tab w:val="left" w:leader="dot" w:pos="9072"/>
        </w:tabs>
        <w:spacing w:line="240" w:lineRule="atLeast"/>
        <w:rPr>
          <w:rFonts w:cs="Arial"/>
          <w:snapToGrid w:val="0"/>
          <w:lang w:val="cs-CZ"/>
        </w:rPr>
      </w:pPr>
    </w:p>
    <w:p w:rsidR="003B6E11" w:rsidRPr="003B6E11" w:rsidRDefault="003B6E11" w:rsidP="003B6E11">
      <w:pPr>
        <w:tabs>
          <w:tab w:val="left" w:leader="dot" w:pos="9072"/>
        </w:tabs>
        <w:spacing w:after="120"/>
        <w:rPr>
          <w:rFonts w:cs="Arial"/>
          <w:noProof/>
          <w:szCs w:val="20"/>
          <w:lang w:val="cs-CZ"/>
        </w:rPr>
      </w:pPr>
      <w:r w:rsidRPr="003B6E11">
        <w:rPr>
          <w:lang w:val="cs-CZ"/>
        </w:rPr>
        <w:t xml:space="preserve">Jméno/druh plavidla: </w:t>
      </w:r>
      <w:r w:rsidRPr="003B6E11">
        <w:rPr>
          <w:lang w:val="cs-CZ"/>
        </w:rPr>
        <w:tab/>
      </w:r>
    </w:p>
    <w:p w:rsidR="003B6E11" w:rsidRPr="003B6E11" w:rsidRDefault="003B6E11" w:rsidP="003B6E11">
      <w:pPr>
        <w:tabs>
          <w:tab w:val="left" w:leader="dot" w:pos="9072"/>
        </w:tabs>
        <w:spacing w:after="120"/>
        <w:rPr>
          <w:rFonts w:cs="Arial"/>
          <w:noProof/>
          <w:szCs w:val="20"/>
          <w:lang w:val="cs-CZ"/>
        </w:rPr>
      </w:pPr>
      <w:r w:rsidRPr="003B6E11">
        <w:rPr>
          <w:lang w:val="cs-CZ"/>
        </w:rPr>
        <w:t xml:space="preserve">Jednotné evropské identifikační číslo plavidla: </w:t>
      </w:r>
      <w:r w:rsidRPr="003B6E11">
        <w:rPr>
          <w:lang w:val="cs-CZ"/>
        </w:rPr>
        <w:tab/>
      </w:r>
    </w:p>
    <w:p w:rsidR="003B6E11" w:rsidRPr="003B6E11" w:rsidRDefault="003B6E11" w:rsidP="003B6E11">
      <w:pPr>
        <w:tabs>
          <w:tab w:val="left" w:leader="dot" w:pos="9072"/>
        </w:tabs>
        <w:spacing w:after="120"/>
        <w:rPr>
          <w:rFonts w:cs="Arial"/>
          <w:noProof/>
          <w:szCs w:val="20"/>
          <w:lang w:val="cs-CZ"/>
        </w:rPr>
      </w:pPr>
      <w:r w:rsidRPr="003B6E11">
        <w:rPr>
          <w:b/>
          <w:noProof/>
          <w:lang w:val="cs-CZ"/>
        </w:rPr>
        <w:t>Vlastník plavidla:</w:t>
      </w:r>
      <w:r w:rsidRPr="003B6E11">
        <w:rPr>
          <w:lang w:val="cs-CZ"/>
        </w:rPr>
        <w:t xml:space="preserve"> </w:t>
      </w:r>
    </w:p>
    <w:p w:rsidR="003B6E11" w:rsidRPr="003B6E11" w:rsidRDefault="003B6E11" w:rsidP="003B6E11">
      <w:pPr>
        <w:tabs>
          <w:tab w:val="left" w:leader="dot" w:pos="4536"/>
        </w:tabs>
        <w:spacing w:after="120"/>
        <w:rPr>
          <w:rFonts w:cs="Arial"/>
          <w:noProof/>
          <w:szCs w:val="20"/>
          <w:lang w:val="cs-CZ"/>
        </w:rPr>
      </w:pPr>
      <w:r w:rsidRPr="003B6E11">
        <w:rPr>
          <w:lang w:val="cs-CZ"/>
        </w:rPr>
        <w:t xml:space="preserve">Jméno: </w:t>
      </w:r>
      <w:r w:rsidRPr="003B6E11">
        <w:rPr>
          <w:lang w:val="cs-CZ"/>
        </w:rPr>
        <w:tab/>
      </w:r>
    </w:p>
    <w:p w:rsidR="003B6E11" w:rsidRPr="003B6E11" w:rsidRDefault="003B6E11" w:rsidP="003B6E11">
      <w:pPr>
        <w:tabs>
          <w:tab w:val="left" w:leader="dot" w:pos="9072"/>
        </w:tabs>
        <w:spacing w:after="120"/>
        <w:rPr>
          <w:rFonts w:cs="Arial"/>
          <w:noProof/>
          <w:szCs w:val="20"/>
          <w:lang w:val="cs-CZ"/>
        </w:rPr>
      </w:pPr>
      <w:r w:rsidRPr="003B6E11">
        <w:rPr>
          <w:lang w:val="cs-CZ"/>
        </w:rPr>
        <w:t xml:space="preserve">Adresa: </w:t>
      </w:r>
      <w:r w:rsidRPr="003B6E11">
        <w:rPr>
          <w:lang w:val="cs-CZ"/>
        </w:rPr>
        <w:tab/>
      </w:r>
    </w:p>
    <w:p w:rsidR="003B6E11" w:rsidRPr="003B6E11" w:rsidRDefault="003B6E11" w:rsidP="003B6E11">
      <w:pPr>
        <w:tabs>
          <w:tab w:val="left" w:leader="dot" w:pos="3119"/>
        </w:tabs>
        <w:rPr>
          <w:rFonts w:cs="Arial"/>
          <w:noProof/>
          <w:szCs w:val="20"/>
          <w:lang w:val="cs-CZ"/>
        </w:rPr>
      </w:pPr>
      <w:r w:rsidRPr="003B6E11">
        <w:rPr>
          <w:lang w:val="cs-CZ"/>
        </w:rPr>
        <w:t xml:space="preserve">Telefon: </w:t>
      </w:r>
      <w:r w:rsidRPr="003B6E11">
        <w:rPr>
          <w:lang w:val="cs-CZ"/>
        </w:rPr>
        <w:tab/>
      </w:r>
    </w:p>
    <w:p w:rsidR="003B6E11" w:rsidRPr="003B6E11" w:rsidRDefault="003B6E11" w:rsidP="003B6E11">
      <w:pPr>
        <w:tabs>
          <w:tab w:val="left" w:leader="dot" w:pos="9072"/>
        </w:tabs>
        <w:spacing w:line="240" w:lineRule="atLeast"/>
        <w:rPr>
          <w:rFonts w:cs="Arial"/>
          <w:snapToGrid w:val="0"/>
          <w:lang w:val="cs-CZ"/>
        </w:rPr>
      </w:pPr>
    </w:p>
    <w:p w:rsidR="003B6E11" w:rsidRPr="003B6E11" w:rsidRDefault="003B6E11" w:rsidP="003B6E11">
      <w:pPr>
        <w:tabs>
          <w:tab w:val="left" w:pos="284"/>
          <w:tab w:val="left" w:pos="5670"/>
          <w:tab w:val="left" w:leader="dot" w:pos="7655"/>
        </w:tabs>
        <w:overflowPunct w:val="0"/>
        <w:adjustRightInd w:val="0"/>
        <w:textAlignment w:val="baseline"/>
        <w:rPr>
          <w:rFonts w:cs="Arial"/>
          <w:snapToGrid w:val="0"/>
          <w:szCs w:val="20"/>
          <w:lang w:val="cs-CZ"/>
        </w:rPr>
      </w:pPr>
      <w:r w:rsidRPr="003B6E11">
        <w:rPr>
          <w:b/>
          <w:noProof/>
          <w:snapToGrid w:val="0"/>
          <w:lang w:val="cs-CZ"/>
        </w:rPr>
        <w:t>Navigační radarová zařízení:</w:t>
      </w:r>
      <w:r w:rsidRPr="003B6E11">
        <w:rPr>
          <w:lang w:val="cs-CZ"/>
        </w:rPr>
        <w:tab/>
        <w:t xml:space="preserve">Počet: </w:t>
      </w:r>
      <w:r w:rsidRPr="003B6E11">
        <w:rPr>
          <w:lang w:val="cs-CZ"/>
        </w:rPr>
        <w:tab/>
      </w:r>
    </w:p>
    <w:p w:rsidR="003B6E11" w:rsidRPr="003B6E11" w:rsidRDefault="003B6E11" w:rsidP="003B6E11">
      <w:pPr>
        <w:tabs>
          <w:tab w:val="left" w:leader="dot" w:pos="9072"/>
        </w:tabs>
        <w:spacing w:line="240" w:lineRule="atLeast"/>
        <w:rPr>
          <w:rFonts w:cs="Arial"/>
          <w:snapToGrid w:val="0"/>
          <w:lang w:val="cs-CZ"/>
        </w:rPr>
      </w:pPr>
    </w:p>
    <w:tbl>
      <w:tblPr>
        <w:tblW w:w="0" w:type="auto"/>
        <w:tblLayout w:type="fixed"/>
        <w:tblCellMar>
          <w:left w:w="70" w:type="dxa"/>
          <w:right w:w="70" w:type="dxa"/>
        </w:tblCellMar>
        <w:tblLook w:val="0000" w:firstRow="0" w:lastRow="0" w:firstColumn="0" w:lastColumn="0" w:noHBand="0" w:noVBand="0"/>
      </w:tblPr>
      <w:tblGrid>
        <w:gridCol w:w="1814"/>
        <w:gridCol w:w="1814"/>
        <w:gridCol w:w="1814"/>
        <w:gridCol w:w="1814"/>
        <w:gridCol w:w="1814"/>
      </w:tblGrid>
      <w:tr w:rsidR="003B6E11" w:rsidRPr="003B6E11" w:rsidTr="002D015D">
        <w:trPr>
          <w:cantSplit/>
        </w:trPr>
        <w:tc>
          <w:tcPr>
            <w:tcW w:w="1814" w:type="dxa"/>
            <w:tcBorders>
              <w:bottom w:val="single" w:sz="6" w:space="0" w:color="auto"/>
              <w:right w:val="single" w:sz="6" w:space="0" w:color="auto"/>
            </w:tcBorders>
          </w:tcPr>
          <w:p w:rsidR="003B6E11" w:rsidRPr="003B6E11" w:rsidRDefault="003B6E11" w:rsidP="002D015D">
            <w:pPr>
              <w:jc w:val="center"/>
              <w:rPr>
                <w:noProof/>
                <w:sz w:val="16"/>
                <w:szCs w:val="20"/>
                <w:lang w:val="cs-CZ"/>
              </w:rPr>
            </w:pPr>
            <w:r w:rsidRPr="003B6E11">
              <w:rPr>
                <w:noProof/>
                <w:sz w:val="16"/>
                <w:lang w:val="cs-CZ"/>
              </w:rPr>
              <w:t>Číslo položky</w:t>
            </w:r>
          </w:p>
        </w:tc>
        <w:tc>
          <w:tcPr>
            <w:tcW w:w="1814" w:type="dxa"/>
            <w:tcBorders>
              <w:left w:val="single" w:sz="6" w:space="0" w:color="auto"/>
              <w:bottom w:val="single" w:sz="6" w:space="0" w:color="auto"/>
              <w:right w:val="single" w:sz="6" w:space="0" w:color="auto"/>
            </w:tcBorders>
          </w:tcPr>
          <w:p w:rsidR="003B6E11" w:rsidRPr="003B6E11" w:rsidRDefault="003B6E11" w:rsidP="002D015D">
            <w:pPr>
              <w:jc w:val="center"/>
              <w:rPr>
                <w:noProof/>
                <w:sz w:val="16"/>
                <w:szCs w:val="20"/>
                <w:lang w:val="cs-CZ"/>
              </w:rPr>
            </w:pPr>
            <w:r w:rsidRPr="003B6E11">
              <w:rPr>
                <w:noProof/>
                <w:sz w:val="16"/>
                <w:lang w:val="cs-CZ"/>
              </w:rPr>
              <w:t>Typ</w:t>
            </w:r>
          </w:p>
        </w:tc>
        <w:tc>
          <w:tcPr>
            <w:tcW w:w="1814" w:type="dxa"/>
            <w:tcBorders>
              <w:left w:val="single" w:sz="6" w:space="0" w:color="auto"/>
              <w:bottom w:val="single" w:sz="6" w:space="0" w:color="auto"/>
              <w:right w:val="single" w:sz="6" w:space="0" w:color="auto"/>
            </w:tcBorders>
          </w:tcPr>
          <w:p w:rsidR="003B6E11" w:rsidRPr="003B6E11" w:rsidRDefault="003B6E11" w:rsidP="002D015D">
            <w:pPr>
              <w:jc w:val="center"/>
              <w:rPr>
                <w:noProof/>
                <w:sz w:val="16"/>
                <w:szCs w:val="20"/>
                <w:lang w:val="cs-CZ"/>
              </w:rPr>
            </w:pPr>
            <w:r w:rsidRPr="003B6E11">
              <w:rPr>
                <w:noProof/>
                <w:sz w:val="16"/>
                <w:lang w:val="cs-CZ"/>
              </w:rPr>
              <w:t>Výrobce</w:t>
            </w:r>
          </w:p>
        </w:tc>
        <w:tc>
          <w:tcPr>
            <w:tcW w:w="1814" w:type="dxa"/>
            <w:tcBorders>
              <w:left w:val="single" w:sz="6" w:space="0" w:color="auto"/>
              <w:bottom w:val="single" w:sz="6" w:space="0" w:color="auto"/>
              <w:right w:val="single" w:sz="6" w:space="0" w:color="auto"/>
            </w:tcBorders>
          </w:tcPr>
          <w:p w:rsidR="003B6E11" w:rsidRPr="003B6E11" w:rsidRDefault="003B6E11" w:rsidP="002D015D">
            <w:pPr>
              <w:jc w:val="center"/>
              <w:rPr>
                <w:noProof/>
                <w:sz w:val="16"/>
                <w:szCs w:val="20"/>
                <w:lang w:val="cs-CZ"/>
              </w:rPr>
            </w:pPr>
            <w:r w:rsidRPr="003B6E11">
              <w:rPr>
                <w:noProof/>
                <w:sz w:val="16"/>
                <w:lang w:val="cs-CZ"/>
              </w:rPr>
              <w:t>Číslo schválení typu</w:t>
            </w:r>
          </w:p>
        </w:tc>
        <w:tc>
          <w:tcPr>
            <w:tcW w:w="1814" w:type="dxa"/>
            <w:tcBorders>
              <w:left w:val="single" w:sz="6" w:space="0" w:color="auto"/>
              <w:bottom w:val="single" w:sz="6" w:space="0" w:color="auto"/>
            </w:tcBorders>
          </w:tcPr>
          <w:p w:rsidR="003B6E11" w:rsidRPr="003B6E11" w:rsidRDefault="003B6E11" w:rsidP="002D015D">
            <w:pPr>
              <w:jc w:val="center"/>
              <w:rPr>
                <w:noProof/>
                <w:sz w:val="16"/>
                <w:szCs w:val="20"/>
                <w:lang w:val="cs-CZ"/>
              </w:rPr>
            </w:pPr>
            <w:r w:rsidRPr="003B6E11">
              <w:rPr>
                <w:noProof/>
                <w:sz w:val="16"/>
                <w:lang w:val="cs-CZ"/>
              </w:rPr>
              <w:t>Sériové číslo</w:t>
            </w:r>
          </w:p>
        </w:tc>
      </w:tr>
      <w:tr w:rsidR="003B6E11" w:rsidRPr="003B6E11" w:rsidTr="002D015D">
        <w:trPr>
          <w:cantSplit/>
        </w:trPr>
        <w:tc>
          <w:tcPr>
            <w:tcW w:w="1814" w:type="dxa"/>
            <w:tcBorders>
              <w:top w:val="single" w:sz="6" w:space="0" w:color="auto"/>
              <w:right w:val="single" w:sz="6" w:space="0" w:color="auto"/>
            </w:tcBorders>
          </w:tcPr>
          <w:p w:rsidR="003B6E11" w:rsidRPr="003B6E11" w:rsidRDefault="003B6E11" w:rsidP="002D015D">
            <w:pPr>
              <w:tabs>
                <w:tab w:val="left" w:pos="284"/>
              </w:tabs>
              <w:overflowPunct w:val="0"/>
              <w:adjustRightInd w:val="0"/>
              <w:ind w:hanging="397"/>
              <w:jc w:val="center"/>
              <w:textAlignment w:val="baseline"/>
              <w:rPr>
                <w:rFonts w:cs="Arial"/>
                <w:snapToGrid w:val="0"/>
                <w:szCs w:val="20"/>
                <w:lang w:val="cs-CZ"/>
              </w:rPr>
            </w:pPr>
          </w:p>
        </w:tc>
        <w:tc>
          <w:tcPr>
            <w:tcW w:w="1814" w:type="dxa"/>
            <w:tcBorders>
              <w:top w:val="single" w:sz="6" w:space="0" w:color="auto"/>
              <w:left w:val="single" w:sz="6" w:space="0" w:color="auto"/>
              <w:right w:val="single" w:sz="6" w:space="0" w:color="auto"/>
            </w:tcBorders>
          </w:tcPr>
          <w:p w:rsidR="003B6E11" w:rsidRPr="003B6E11" w:rsidRDefault="003B6E11" w:rsidP="002D015D">
            <w:pPr>
              <w:tabs>
                <w:tab w:val="left" w:pos="284"/>
              </w:tabs>
              <w:overflowPunct w:val="0"/>
              <w:adjustRightInd w:val="0"/>
              <w:ind w:hanging="397"/>
              <w:jc w:val="center"/>
              <w:textAlignment w:val="baseline"/>
              <w:rPr>
                <w:rFonts w:cs="Arial"/>
                <w:snapToGrid w:val="0"/>
                <w:sz w:val="16"/>
                <w:szCs w:val="16"/>
                <w:lang w:val="cs-CZ"/>
              </w:rPr>
            </w:pPr>
          </w:p>
        </w:tc>
        <w:tc>
          <w:tcPr>
            <w:tcW w:w="1814" w:type="dxa"/>
            <w:tcBorders>
              <w:top w:val="single" w:sz="6" w:space="0" w:color="auto"/>
              <w:left w:val="single" w:sz="6" w:space="0" w:color="auto"/>
              <w:right w:val="single" w:sz="6" w:space="0" w:color="auto"/>
            </w:tcBorders>
          </w:tcPr>
          <w:p w:rsidR="003B6E11" w:rsidRPr="003B6E11" w:rsidRDefault="003B6E11" w:rsidP="002D015D">
            <w:pPr>
              <w:tabs>
                <w:tab w:val="left" w:pos="284"/>
              </w:tabs>
              <w:overflowPunct w:val="0"/>
              <w:adjustRightInd w:val="0"/>
              <w:ind w:hanging="397"/>
              <w:jc w:val="center"/>
              <w:textAlignment w:val="baseline"/>
              <w:rPr>
                <w:rFonts w:cs="Arial"/>
                <w:snapToGrid w:val="0"/>
                <w:szCs w:val="20"/>
                <w:lang w:val="cs-CZ"/>
              </w:rPr>
            </w:pPr>
          </w:p>
        </w:tc>
        <w:tc>
          <w:tcPr>
            <w:tcW w:w="1814" w:type="dxa"/>
            <w:tcBorders>
              <w:top w:val="single" w:sz="6" w:space="0" w:color="auto"/>
              <w:left w:val="single" w:sz="6" w:space="0" w:color="auto"/>
              <w:right w:val="single" w:sz="6" w:space="0" w:color="auto"/>
            </w:tcBorders>
          </w:tcPr>
          <w:p w:rsidR="003B6E11" w:rsidRPr="003B6E11" w:rsidRDefault="003B6E11" w:rsidP="002D015D">
            <w:pPr>
              <w:tabs>
                <w:tab w:val="left" w:pos="284"/>
              </w:tabs>
              <w:overflowPunct w:val="0"/>
              <w:adjustRightInd w:val="0"/>
              <w:ind w:hanging="397"/>
              <w:jc w:val="center"/>
              <w:textAlignment w:val="baseline"/>
              <w:rPr>
                <w:rFonts w:cs="Arial"/>
                <w:snapToGrid w:val="0"/>
                <w:szCs w:val="20"/>
                <w:lang w:val="cs-CZ"/>
              </w:rPr>
            </w:pPr>
          </w:p>
        </w:tc>
        <w:tc>
          <w:tcPr>
            <w:tcW w:w="1814" w:type="dxa"/>
            <w:tcBorders>
              <w:top w:val="single" w:sz="6" w:space="0" w:color="auto"/>
              <w:left w:val="single" w:sz="6" w:space="0" w:color="auto"/>
            </w:tcBorders>
          </w:tcPr>
          <w:p w:rsidR="003B6E11" w:rsidRPr="003B6E11" w:rsidRDefault="003B6E11" w:rsidP="002D015D">
            <w:pPr>
              <w:tabs>
                <w:tab w:val="left" w:pos="284"/>
              </w:tabs>
              <w:overflowPunct w:val="0"/>
              <w:adjustRightInd w:val="0"/>
              <w:ind w:hanging="397"/>
              <w:jc w:val="center"/>
              <w:textAlignment w:val="baseline"/>
              <w:rPr>
                <w:rFonts w:cs="Arial"/>
                <w:snapToGrid w:val="0"/>
                <w:szCs w:val="20"/>
                <w:lang w:val="cs-CZ"/>
              </w:rPr>
            </w:pPr>
          </w:p>
        </w:tc>
      </w:tr>
    </w:tbl>
    <w:p w:rsidR="003B6E11" w:rsidRPr="003B6E11" w:rsidRDefault="003B6E11" w:rsidP="003B6E11">
      <w:pPr>
        <w:tabs>
          <w:tab w:val="left" w:leader="dot" w:pos="9072"/>
        </w:tabs>
        <w:spacing w:line="240" w:lineRule="atLeast"/>
        <w:rPr>
          <w:rFonts w:cs="Arial"/>
          <w:lang w:val="cs-CZ"/>
        </w:rPr>
      </w:pPr>
    </w:p>
    <w:p w:rsidR="003B6E11" w:rsidRPr="003B6E11" w:rsidRDefault="003B6E11" w:rsidP="003B6E11">
      <w:pPr>
        <w:tabs>
          <w:tab w:val="left" w:pos="284"/>
          <w:tab w:val="left" w:pos="5670"/>
          <w:tab w:val="left" w:leader="dot" w:pos="7655"/>
        </w:tabs>
        <w:overflowPunct w:val="0"/>
        <w:adjustRightInd w:val="0"/>
        <w:textAlignment w:val="baseline"/>
        <w:rPr>
          <w:rFonts w:cs="Arial"/>
          <w:snapToGrid w:val="0"/>
          <w:szCs w:val="20"/>
          <w:lang w:val="cs-CZ"/>
        </w:rPr>
      </w:pPr>
      <w:r w:rsidRPr="003B6E11">
        <w:rPr>
          <w:b/>
          <w:noProof/>
          <w:snapToGrid w:val="0"/>
          <w:lang w:val="cs-CZ"/>
        </w:rPr>
        <w:t>Ukazatele rychlosti otáčení:</w:t>
      </w:r>
      <w:r w:rsidRPr="003B6E11">
        <w:rPr>
          <w:lang w:val="cs-CZ"/>
        </w:rPr>
        <w:tab/>
        <w:t xml:space="preserve">Počet: </w:t>
      </w:r>
      <w:r w:rsidRPr="003B6E11">
        <w:rPr>
          <w:lang w:val="cs-CZ"/>
        </w:rPr>
        <w:tab/>
      </w:r>
    </w:p>
    <w:p w:rsidR="003B6E11" w:rsidRPr="003B6E11" w:rsidRDefault="003B6E11" w:rsidP="003B6E11">
      <w:pPr>
        <w:tabs>
          <w:tab w:val="left" w:leader="dot" w:pos="9072"/>
        </w:tabs>
        <w:spacing w:line="240" w:lineRule="atLeast"/>
        <w:rPr>
          <w:rFonts w:cs="Arial"/>
          <w:snapToGrid w:val="0"/>
          <w:lang w:val="cs-CZ"/>
        </w:rPr>
      </w:pPr>
    </w:p>
    <w:tbl>
      <w:tblPr>
        <w:tblW w:w="0" w:type="auto"/>
        <w:tblLayout w:type="fixed"/>
        <w:tblCellMar>
          <w:left w:w="70" w:type="dxa"/>
          <w:right w:w="70" w:type="dxa"/>
        </w:tblCellMar>
        <w:tblLook w:val="0000" w:firstRow="0" w:lastRow="0" w:firstColumn="0" w:lastColumn="0" w:noHBand="0" w:noVBand="0"/>
      </w:tblPr>
      <w:tblGrid>
        <w:gridCol w:w="1814"/>
        <w:gridCol w:w="1814"/>
        <w:gridCol w:w="1814"/>
        <w:gridCol w:w="1814"/>
        <w:gridCol w:w="1814"/>
      </w:tblGrid>
      <w:tr w:rsidR="003B6E11" w:rsidRPr="003B6E11" w:rsidTr="002D015D">
        <w:trPr>
          <w:cantSplit/>
        </w:trPr>
        <w:tc>
          <w:tcPr>
            <w:tcW w:w="1814" w:type="dxa"/>
            <w:tcBorders>
              <w:bottom w:val="single" w:sz="6" w:space="0" w:color="auto"/>
              <w:right w:val="single" w:sz="6" w:space="0" w:color="auto"/>
            </w:tcBorders>
          </w:tcPr>
          <w:p w:rsidR="003B6E11" w:rsidRPr="003B6E11" w:rsidRDefault="003B6E11" w:rsidP="002D015D">
            <w:pPr>
              <w:jc w:val="center"/>
              <w:rPr>
                <w:noProof/>
                <w:sz w:val="16"/>
                <w:szCs w:val="20"/>
                <w:lang w:val="cs-CZ"/>
              </w:rPr>
            </w:pPr>
            <w:r w:rsidRPr="003B6E11">
              <w:rPr>
                <w:noProof/>
                <w:sz w:val="16"/>
                <w:lang w:val="cs-CZ"/>
              </w:rPr>
              <w:t>Číslo položky</w:t>
            </w:r>
          </w:p>
        </w:tc>
        <w:tc>
          <w:tcPr>
            <w:tcW w:w="1814" w:type="dxa"/>
            <w:tcBorders>
              <w:left w:val="single" w:sz="6" w:space="0" w:color="auto"/>
              <w:bottom w:val="single" w:sz="6" w:space="0" w:color="auto"/>
              <w:right w:val="single" w:sz="6" w:space="0" w:color="auto"/>
            </w:tcBorders>
          </w:tcPr>
          <w:p w:rsidR="003B6E11" w:rsidRPr="003B6E11" w:rsidRDefault="003B6E11" w:rsidP="002D015D">
            <w:pPr>
              <w:jc w:val="center"/>
              <w:rPr>
                <w:noProof/>
                <w:sz w:val="16"/>
                <w:szCs w:val="20"/>
                <w:lang w:val="cs-CZ"/>
              </w:rPr>
            </w:pPr>
            <w:r w:rsidRPr="003B6E11">
              <w:rPr>
                <w:noProof/>
                <w:sz w:val="16"/>
                <w:lang w:val="cs-CZ"/>
              </w:rPr>
              <w:t>Typ</w:t>
            </w:r>
          </w:p>
        </w:tc>
        <w:tc>
          <w:tcPr>
            <w:tcW w:w="1814" w:type="dxa"/>
            <w:tcBorders>
              <w:left w:val="single" w:sz="6" w:space="0" w:color="auto"/>
              <w:bottom w:val="single" w:sz="6" w:space="0" w:color="auto"/>
              <w:right w:val="single" w:sz="6" w:space="0" w:color="auto"/>
            </w:tcBorders>
          </w:tcPr>
          <w:p w:rsidR="003B6E11" w:rsidRPr="003B6E11" w:rsidRDefault="003B6E11" w:rsidP="002D015D">
            <w:pPr>
              <w:jc w:val="center"/>
              <w:rPr>
                <w:noProof/>
                <w:sz w:val="16"/>
                <w:szCs w:val="20"/>
                <w:lang w:val="cs-CZ"/>
              </w:rPr>
            </w:pPr>
            <w:r w:rsidRPr="003B6E11">
              <w:rPr>
                <w:noProof/>
                <w:sz w:val="16"/>
                <w:lang w:val="cs-CZ"/>
              </w:rPr>
              <w:t>Výrobce</w:t>
            </w:r>
          </w:p>
        </w:tc>
        <w:tc>
          <w:tcPr>
            <w:tcW w:w="1814" w:type="dxa"/>
            <w:tcBorders>
              <w:left w:val="single" w:sz="6" w:space="0" w:color="auto"/>
              <w:bottom w:val="single" w:sz="6" w:space="0" w:color="auto"/>
              <w:right w:val="single" w:sz="6" w:space="0" w:color="auto"/>
            </w:tcBorders>
          </w:tcPr>
          <w:p w:rsidR="003B6E11" w:rsidRPr="003B6E11" w:rsidRDefault="003B6E11" w:rsidP="002D015D">
            <w:pPr>
              <w:jc w:val="center"/>
              <w:rPr>
                <w:noProof/>
                <w:sz w:val="16"/>
                <w:szCs w:val="20"/>
                <w:lang w:val="cs-CZ"/>
              </w:rPr>
            </w:pPr>
            <w:r w:rsidRPr="003B6E11">
              <w:rPr>
                <w:noProof/>
                <w:sz w:val="16"/>
                <w:lang w:val="cs-CZ"/>
              </w:rPr>
              <w:t>Číslo schválení typu</w:t>
            </w:r>
          </w:p>
        </w:tc>
        <w:tc>
          <w:tcPr>
            <w:tcW w:w="1814" w:type="dxa"/>
            <w:tcBorders>
              <w:left w:val="single" w:sz="6" w:space="0" w:color="auto"/>
              <w:bottom w:val="single" w:sz="6" w:space="0" w:color="auto"/>
            </w:tcBorders>
          </w:tcPr>
          <w:p w:rsidR="003B6E11" w:rsidRPr="003B6E11" w:rsidRDefault="003B6E11" w:rsidP="002D015D">
            <w:pPr>
              <w:jc w:val="center"/>
              <w:rPr>
                <w:noProof/>
                <w:sz w:val="16"/>
                <w:szCs w:val="20"/>
                <w:lang w:val="cs-CZ"/>
              </w:rPr>
            </w:pPr>
            <w:r w:rsidRPr="003B6E11">
              <w:rPr>
                <w:noProof/>
                <w:sz w:val="16"/>
                <w:lang w:val="cs-CZ"/>
              </w:rPr>
              <w:t>Sériové číslo</w:t>
            </w:r>
          </w:p>
        </w:tc>
      </w:tr>
      <w:tr w:rsidR="003B6E11" w:rsidRPr="003B6E11" w:rsidTr="002D015D">
        <w:trPr>
          <w:cantSplit/>
        </w:trPr>
        <w:tc>
          <w:tcPr>
            <w:tcW w:w="1814" w:type="dxa"/>
            <w:tcBorders>
              <w:top w:val="single" w:sz="6" w:space="0" w:color="auto"/>
              <w:right w:val="single" w:sz="6" w:space="0" w:color="auto"/>
            </w:tcBorders>
          </w:tcPr>
          <w:p w:rsidR="003B6E11" w:rsidRPr="003B6E11" w:rsidRDefault="003B6E11" w:rsidP="002D015D">
            <w:pPr>
              <w:tabs>
                <w:tab w:val="left" w:pos="284"/>
              </w:tabs>
              <w:overflowPunct w:val="0"/>
              <w:adjustRightInd w:val="0"/>
              <w:ind w:hanging="397"/>
              <w:jc w:val="center"/>
              <w:textAlignment w:val="baseline"/>
              <w:rPr>
                <w:rFonts w:cs="Arial"/>
                <w:snapToGrid w:val="0"/>
                <w:szCs w:val="20"/>
                <w:lang w:val="cs-CZ"/>
              </w:rPr>
            </w:pPr>
          </w:p>
        </w:tc>
        <w:tc>
          <w:tcPr>
            <w:tcW w:w="1814" w:type="dxa"/>
            <w:tcBorders>
              <w:top w:val="single" w:sz="6" w:space="0" w:color="auto"/>
              <w:left w:val="single" w:sz="6" w:space="0" w:color="auto"/>
              <w:right w:val="single" w:sz="6" w:space="0" w:color="auto"/>
            </w:tcBorders>
          </w:tcPr>
          <w:p w:rsidR="003B6E11" w:rsidRPr="003B6E11" w:rsidRDefault="003B6E11" w:rsidP="002D015D">
            <w:pPr>
              <w:tabs>
                <w:tab w:val="left" w:pos="284"/>
              </w:tabs>
              <w:overflowPunct w:val="0"/>
              <w:adjustRightInd w:val="0"/>
              <w:ind w:hanging="397"/>
              <w:jc w:val="center"/>
              <w:textAlignment w:val="baseline"/>
              <w:rPr>
                <w:rFonts w:cs="Arial"/>
                <w:snapToGrid w:val="0"/>
                <w:sz w:val="16"/>
                <w:szCs w:val="16"/>
                <w:lang w:val="cs-CZ"/>
              </w:rPr>
            </w:pPr>
          </w:p>
        </w:tc>
        <w:tc>
          <w:tcPr>
            <w:tcW w:w="1814" w:type="dxa"/>
            <w:tcBorders>
              <w:top w:val="single" w:sz="6" w:space="0" w:color="auto"/>
              <w:left w:val="single" w:sz="6" w:space="0" w:color="auto"/>
              <w:right w:val="single" w:sz="6" w:space="0" w:color="auto"/>
            </w:tcBorders>
          </w:tcPr>
          <w:p w:rsidR="003B6E11" w:rsidRPr="003B6E11" w:rsidRDefault="003B6E11" w:rsidP="002D015D">
            <w:pPr>
              <w:tabs>
                <w:tab w:val="left" w:pos="284"/>
              </w:tabs>
              <w:overflowPunct w:val="0"/>
              <w:adjustRightInd w:val="0"/>
              <w:ind w:hanging="397"/>
              <w:jc w:val="center"/>
              <w:textAlignment w:val="baseline"/>
              <w:rPr>
                <w:rFonts w:cs="Arial"/>
                <w:snapToGrid w:val="0"/>
                <w:szCs w:val="20"/>
                <w:lang w:val="cs-CZ"/>
              </w:rPr>
            </w:pPr>
          </w:p>
        </w:tc>
        <w:tc>
          <w:tcPr>
            <w:tcW w:w="1814" w:type="dxa"/>
            <w:tcBorders>
              <w:top w:val="single" w:sz="6" w:space="0" w:color="auto"/>
              <w:left w:val="single" w:sz="6" w:space="0" w:color="auto"/>
              <w:right w:val="single" w:sz="6" w:space="0" w:color="auto"/>
            </w:tcBorders>
          </w:tcPr>
          <w:p w:rsidR="003B6E11" w:rsidRPr="003B6E11" w:rsidRDefault="003B6E11" w:rsidP="002D015D">
            <w:pPr>
              <w:tabs>
                <w:tab w:val="left" w:pos="284"/>
              </w:tabs>
              <w:overflowPunct w:val="0"/>
              <w:adjustRightInd w:val="0"/>
              <w:ind w:hanging="397"/>
              <w:jc w:val="center"/>
              <w:textAlignment w:val="baseline"/>
              <w:rPr>
                <w:rFonts w:cs="Arial"/>
                <w:snapToGrid w:val="0"/>
                <w:szCs w:val="20"/>
                <w:lang w:val="cs-CZ"/>
              </w:rPr>
            </w:pPr>
          </w:p>
        </w:tc>
        <w:tc>
          <w:tcPr>
            <w:tcW w:w="1814" w:type="dxa"/>
            <w:tcBorders>
              <w:top w:val="single" w:sz="6" w:space="0" w:color="auto"/>
              <w:left w:val="single" w:sz="6" w:space="0" w:color="auto"/>
            </w:tcBorders>
          </w:tcPr>
          <w:p w:rsidR="003B6E11" w:rsidRPr="003B6E11" w:rsidRDefault="003B6E11" w:rsidP="002D015D">
            <w:pPr>
              <w:tabs>
                <w:tab w:val="left" w:pos="284"/>
              </w:tabs>
              <w:overflowPunct w:val="0"/>
              <w:adjustRightInd w:val="0"/>
              <w:ind w:hanging="397"/>
              <w:jc w:val="center"/>
              <w:textAlignment w:val="baseline"/>
              <w:rPr>
                <w:rFonts w:cs="Arial"/>
                <w:snapToGrid w:val="0"/>
                <w:szCs w:val="20"/>
                <w:lang w:val="cs-CZ"/>
              </w:rPr>
            </w:pPr>
          </w:p>
        </w:tc>
      </w:tr>
    </w:tbl>
    <w:p w:rsidR="003B6E11" w:rsidRPr="003B6E11" w:rsidRDefault="003B6E11" w:rsidP="003B6E11">
      <w:pPr>
        <w:tabs>
          <w:tab w:val="left" w:leader="dot" w:pos="9072"/>
        </w:tabs>
        <w:spacing w:line="240" w:lineRule="atLeast"/>
        <w:rPr>
          <w:rFonts w:cs="Arial"/>
          <w:snapToGrid w:val="0"/>
          <w:lang w:val="cs-CZ"/>
        </w:rPr>
      </w:pPr>
    </w:p>
    <w:p w:rsidR="003B6E11" w:rsidRPr="003B6E11" w:rsidRDefault="003B6E11" w:rsidP="003B6E11">
      <w:pPr>
        <w:tabs>
          <w:tab w:val="left" w:pos="284"/>
          <w:tab w:val="left" w:pos="5670"/>
          <w:tab w:val="left" w:leader="dot" w:pos="7655"/>
        </w:tabs>
        <w:overflowPunct w:val="0"/>
        <w:adjustRightInd w:val="0"/>
        <w:textAlignment w:val="baseline"/>
        <w:rPr>
          <w:rFonts w:cs="Arial"/>
          <w:snapToGrid w:val="0"/>
          <w:color w:val="000000"/>
          <w:szCs w:val="20"/>
          <w:lang w:val="cs-CZ"/>
        </w:rPr>
      </w:pPr>
      <w:r w:rsidRPr="003B6E11">
        <w:rPr>
          <w:b/>
          <w:noProof/>
          <w:snapToGrid w:val="0"/>
          <w:color w:val="000000"/>
          <w:lang w:val="cs-CZ"/>
        </w:rPr>
        <w:t>Zařízení pro vnitrozemský AIS:</w:t>
      </w:r>
    </w:p>
    <w:p w:rsidR="003B6E11" w:rsidRPr="003B6E11" w:rsidRDefault="003B6E11" w:rsidP="003B6E11">
      <w:pPr>
        <w:tabs>
          <w:tab w:val="left" w:pos="284"/>
        </w:tabs>
        <w:overflowPunct w:val="0"/>
        <w:adjustRightInd w:val="0"/>
        <w:textAlignment w:val="baseline"/>
        <w:rPr>
          <w:rFonts w:cs="Arial"/>
          <w:snapToGrid w:val="0"/>
          <w:color w:val="000000"/>
          <w:szCs w:val="20"/>
          <w:lang w:val="cs-CZ"/>
        </w:rPr>
      </w:pPr>
    </w:p>
    <w:tbl>
      <w:tblPr>
        <w:tblW w:w="0" w:type="auto"/>
        <w:tblLayout w:type="fixed"/>
        <w:tblCellMar>
          <w:left w:w="70" w:type="dxa"/>
          <w:right w:w="70" w:type="dxa"/>
        </w:tblCellMar>
        <w:tblLook w:val="0000" w:firstRow="0" w:lastRow="0" w:firstColumn="0" w:lastColumn="0" w:noHBand="0" w:noVBand="0"/>
      </w:tblPr>
      <w:tblGrid>
        <w:gridCol w:w="1814"/>
        <w:gridCol w:w="1814"/>
        <w:gridCol w:w="1814"/>
        <w:gridCol w:w="1814"/>
        <w:gridCol w:w="1814"/>
      </w:tblGrid>
      <w:tr w:rsidR="003B6E11" w:rsidRPr="003B6E11" w:rsidTr="002D015D">
        <w:trPr>
          <w:cantSplit/>
        </w:trPr>
        <w:tc>
          <w:tcPr>
            <w:tcW w:w="1814" w:type="dxa"/>
            <w:tcBorders>
              <w:bottom w:val="single" w:sz="6" w:space="0" w:color="auto"/>
              <w:right w:val="single" w:sz="6" w:space="0" w:color="auto"/>
            </w:tcBorders>
          </w:tcPr>
          <w:p w:rsidR="003B6E11" w:rsidRPr="003B6E11" w:rsidRDefault="003B6E11" w:rsidP="002D015D">
            <w:pPr>
              <w:jc w:val="center"/>
              <w:rPr>
                <w:noProof/>
                <w:sz w:val="16"/>
                <w:szCs w:val="20"/>
                <w:lang w:val="cs-CZ"/>
              </w:rPr>
            </w:pPr>
            <w:r w:rsidRPr="003B6E11">
              <w:rPr>
                <w:noProof/>
                <w:sz w:val="16"/>
                <w:lang w:val="cs-CZ"/>
              </w:rPr>
              <w:t>Číslo položky</w:t>
            </w:r>
          </w:p>
        </w:tc>
        <w:tc>
          <w:tcPr>
            <w:tcW w:w="1814" w:type="dxa"/>
            <w:tcBorders>
              <w:left w:val="single" w:sz="6" w:space="0" w:color="auto"/>
              <w:bottom w:val="single" w:sz="6" w:space="0" w:color="auto"/>
              <w:right w:val="single" w:sz="6" w:space="0" w:color="auto"/>
            </w:tcBorders>
          </w:tcPr>
          <w:p w:rsidR="003B6E11" w:rsidRPr="003B6E11" w:rsidRDefault="003B6E11" w:rsidP="002D015D">
            <w:pPr>
              <w:jc w:val="center"/>
              <w:rPr>
                <w:noProof/>
                <w:sz w:val="16"/>
                <w:szCs w:val="20"/>
                <w:lang w:val="cs-CZ"/>
              </w:rPr>
            </w:pPr>
            <w:r w:rsidRPr="003B6E11">
              <w:rPr>
                <w:noProof/>
                <w:sz w:val="16"/>
                <w:lang w:val="cs-CZ"/>
              </w:rPr>
              <w:t>Typ</w:t>
            </w:r>
          </w:p>
        </w:tc>
        <w:tc>
          <w:tcPr>
            <w:tcW w:w="1814" w:type="dxa"/>
            <w:tcBorders>
              <w:left w:val="single" w:sz="6" w:space="0" w:color="auto"/>
              <w:bottom w:val="single" w:sz="6" w:space="0" w:color="auto"/>
              <w:right w:val="single" w:sz="6" w:space="0" w:color="auto"/>
            </w:tcBorders>
          </w:tcPr>
          <w:p w:rsidR="003B6E11" w:rsidRPr="003B6E11" w:rsidRDefault="003B6E11" w:rsidP="002D015D">
            <w:pPr>
              <w:jc w:val="center"/>
              <w:rPr>
                <w:noProof/>
                <w:sz w:val="16"/>
                <w:szCs w:val="20"/>
                <w:lang w:val="cs-CZ"/>
              </w:rPr>
            </w:pPr>
            <w:r w:rsidRPr="003B6E11">
              <w:rPr>
                <w:noProof/>
                <w:sz w:val="16"/>
                <w:lang w:val="cs-CZ"/>
              </w:rPr>
              <w:t>Výrobce</w:t>
            </w:r>
          </w:p>
        </w:tc>
        <w:tc>
          <w:tcPr>
            <w:tcW w:w="1814" w:type="dxa"/>
            <w:tcBorders>
              <w:left w:val="single" w:sz="6" w:space="0" w:color="auto"/>
              <w:bottom w:val="single" w:sz="6" w:space="0" w:color="auto"/>
              <w:right w:val="single" w:sz="6" w:space="0" w:color="auto"/>
            </w:tcBorders>
          </w:tcPr>
          <w:p w:rsidR="003B6E11" w:rsidRPr="003B6E11" w:rsidRDefault="003B6E11" w:rsidP="002D015D">
            <w:pPr>
              <w:jc w:val="center"/>
              <w:rPr>
                <w:noProof/>
                <w:sz w:val="16"/>
                <w:szCs w:val="20"/>
                <w:lang w:val="cs-CZ"/>
              </w:rPr>
            </w:pPr>
            <w:r w:rsidRPr="003B6E11">
              <w:rPr>
                <w:noProof/>
                <w:sz w:val="16"/>
                <w:lang w:val="cs-CZ"/>
              </w:rPr>
              <w:t>Číslo schválení typu</w:t>
            </w:r>
          </w:p>
        </w:tc>
        <w:tc>
          <w:tcPr>
            <w:tcW w:w="1814" w:type="dxa"/>
            <w:tcBorders>
              <w:left w:val="single" w:sz="6" w:space="0" w:color="auto"/>
              <w:bottom w:val="single" w:sz="6" w:space="0" w:color="auto"/>
            </w:tcBorders>
          </w:tcPr>
          <w:p w:rsidR="003B6E11" w:rsidRPr="003B6E11" w:rsidRDefault="003B6E11" w:rsidP="002D015D">
            <w:pPr>
              <w:jc w:val="center"/>
              <w:rPr>
                <w:noProof/>
                <w:sz w:val="16"/>
                <w:szCs w:val="20"/>
                <w:lang w:val="cs-CZ"/>
              </w:rPr>
            </w:pPr>
            <w:r w:rsidRPr="003B6E11">
              <w:rPr>
                <w:noProof/>
                <w:sz w:val="16"/>
                <w:lang w:val="cs-CZ"/>
              </w:rPr>
              <w:t>Sériové číslo</w:t>
            </w:r>
          </w:p>
        </w:tc>
      </w:tr>
      <w:tr w:rsidR="003B6E11" w:rsidRPr="003B6E11" w:rsidTr="002D015D">
        <w:trPr>
          <w:cantSplit/>
        </w:trPr>
        <w:tc>
          <w:tcPr>
            <w:tcW w:w="1814" w:type="dxa"/>
            <w:tcBorders>
              <w:top w:val="single" w:sz="6" w:space="0" w:color="auto"/>
              <w:right w:val="single" w:sz="6" w:space="0" w:color="auto"/>
            </w:tcBorders>
          </w:tcPr>
          <w:p w:rsidR="003B6E11" w:rsidRPr="003B6E11" w:rsidRDefault="003B6E11" w:rsidP="002D015D">
            <w:pPr>
              <w:tabs>
                <w:tab w:val="left" w:pos="284"/>
              </w:tabs>
              <w:overflowPunct w:val="0"/>
              <w:adjustRightInd w:val="0"/>
              <w:ind w:hanging="397"/>
              <w:jc w:val="center"/>
              <w:textAlignment w:val="baseline"/>
              <w:rPr>
                <w:rFonts w:cs="Arial"/>
                <w:snapToGrid w:val="0"/>
                <w:szCs w:val="20"/>
                <w:lang w:val="cs-CZ"/>
              </w:rPr>
            </w:pPr>
          </w:p>
        </w:tc>
        <w:tc>
          <w:tcPr>
            <w:tcW w:w="1814" w:type="dxa"/>
            <w:tcBorders>
              <w:top w:val="single" w:sz="6" w:space="0" w:color="auto"/>
              <w:left w:val="single" w:sz="6" w:space="0" w:color="auto"/>
              <w:right w:val="single" w:sz="6" w:space="0" w:color="auto"/>
            </w:tcBorders>
          </w:tcPr>
          <w:p w:rsidR="003B6E11" w:rsidRPr="003B6E11" w:rsidRDefault="003B6E11" w:rsidP="002D015D">
            <w:pPr>
              <w:tabs>
                <w:tab w:val="left" w:pos="284"/>
              </w:tabs>
              <w:overflowPunct w:val="0"/>
              <w:adjustRightInd w:val="0"/>
              <w:ind w:hanging="397"/>
              <w:jc w:val="center"/>
              <w:textAlignment w:val="baseline"/>
              <w:rPr>
                <w:rFonts w:cs="Arial"/>
                <w:snapToGrid w:val="0"/>
                <w:sz w:val="16"/>
                <w:szCs w:val="16"/>
                <w:lang w:val="cs-CZ"/>
              </w:rPr>
            </w:pPr>
          </w:p>
        </w:tc>
        <w:tc>
          <w:tcPr>
            <w:tcW w:w="1814" w:type="dxa"/>
            <w:tcBorders>
              <w:top w:val="single" w:sz="6" w:space="0" w:color="auto"/>
              <w:left w:val="single" w:sz="6" w:space="0" w:color="auto"/>
              <w:right w:val="single" w:sz="6" w:space="0" w:color="auto"/>
            </w:tcBorders>
          </w:tcPr>
          <w:p w:rsidR="003B6E11" w:rsidRPr="003B6E11" w:rsidRDefault="003B6E11" w:rsidP="002D015D">
            <w:pPr>
              <w:tabs>
                <w:tab w:val="left" w:pos="284"/>
              </w:tabs>
              <w:overflowPunct w:val="0"/>
              <w:adjustRightInd w:val="0"/>
              <w:ind w:hanging="397"/>
              <w:jc w:val="center"/>
              <w:textAlignment w:val="baseline"/>
              <w:rPr>
                <w:rFonts w:cs="Arial"/>
                <w:snapToGrid w:val="0"/>
                <w:szCs w:val="20"/>
                <w:lang w:val="cs-CZ"/>
              </w:rPr>
            </w:pPr>
          </w:p>
        </w:tc>
        <w:tc>
          <w:tcPr>
            <w:tcW w:w="1814" w:type="dxa"/>
            <w:tcBorders>
              <w:top w:val="single" w:sz="6" w:space="0" w:color="auto"/>
              <w:left w:val="single" w:sz="6" w:space="0" w:color="auto"/>
              <w:right w:val="single" w:sz="6" w:space="0" w:color="auto"/>
            </w:tcBorders>
          </w:tcPr>
          <w:p w:rsidR="003B6E11" w:rsidRPr="003B6E11" w:rsidRDefault="003B6E11" w:rsidP="002D015D">
            <w:pPr>
              <w:tabs>
                <w:tab w:val="left" w:pos="284"/>
              </w:tabs>
              <w:overflowPunct w:val="0"/>
              <w:adjustRightInd w:val="0"/>
              <w:ind w:hanging="397"/>
              <w:jc w:val="center"/>
              <w:textAlignment w:val="baseline"/>
              <w:rPr>
                <w:rFonts w:cs="Arial"/>
                <w:snapToGrid w:val="0"/>
                <w:szCs w:val="20"/>
                <w:lang w:val="cs-CZ"/>
              </w:rPr>
            </w:pPr>
          </w:p>
        </w:tc>
        <w:tc>
          <w:tcPr>
            <w:tcW w:w="1814" w:type="dxa"/>
            <w:tcBorders>
              <w:top w:val="single" w:sz="6" w:space="0" w:color="auto"/>
              <w:left w:val="single" w:sz="6" w:space="0" w:color="auto"/>
            </w:tcBorders>
          </w:tcPr>
          <w:p w:rsidR="003B6E11" w:rsidRPr="003B6E11" w:rsidRDefault="003B6E11" w:rsidP="002D015D">
            <w:pPr>
              <w:tabs>
                <w:tab w:val="left" w:pos="284"/>
              </w:tabs>
              <w:overflowPunct w:val="0"/>
              <w:adjustRightInd w:val="0"/>
              <w:ind w:hanging="397"/>
              <w:jc w:val="center"/>
              <w:textAlignment w:val="baseline"/>
              <w:rPr>
                <w:rFonts w:cs="Arial"/>
                <w:snapToGrid w:val="0"/>
                <w:szCs w:val="20"/>
                <w:lang w:val="cs-CZ"/>
              </w:rPr>
            </w:pPr>
          </w:p>
        </w:tc>
      </w:tr>
    </w:tbl>
    <w:p w:rsidR="003B6E11" w:rsidRPr="003B6E11" w:rsidRDefault="003B6E11" w:rsidP="003B6E11">
      <w:pPr>
        <w:tabs>
          <w:tab w:val="left" w:pos="284"/>
        </w:tabs>
        <w:overflowPunct w:val="0"/>
        <w:adjustRightInd w:val="0"/>
        <w:textAlignment w:val="baseline"/>
        <w:rPr>
          <w:rFonts w:cs="Arial"/>
          <w:snapToGrid w:val="0"/>
          <w:color w:val="000000"/>
          <w:szCs w:val="20"/>
          <w:lang w:val="cs-CZ"/>
        </w:rPr>
      </w:pPr>
    </w:p>
    <w:p w:rsidR="003B6E11" w:rsidRPr="003B6E11" w:rsidRDefault="003B6E11" w:rsidP="003B6E11">
      <w:pPr>
        <w:tabs>
          <w:tab w:val="left" w:leader="dot" w:pos="9072"/>
        </w:tabs>
        <w:spacing w:line="240" w:lineRule="atLeast"/>
        <w:rPr>
          <w:noProof/>
          <w:lang w:val="cs-CZ"/>
        </w:rPr>
      </w:pPr>
      <w:r w:rsidRPr="003B6E11">
        <w:rPr>
          <w:b/>
          <w:noProof/>
          <w:lang w:val="cs-CZ"/>
        </w:rPr>
        <w:t>Tachografy</w:t>
      </w:r>
    </w:p>
    <w:p w:rsidR="003B6E11" w:rsidRPr="003B6E11" w:rsidRDefault="003B6E11" w:rsidP="003B6E11">
      <w:pPr>
        <w:tabs>
          <w:tab w:val="left" w:leader="dot" w:pos="9072"/>
        </w:tabs>
        <w:spacing w:line="240" w:lineRule="atLeast"/>
        <w:rPr>
          <w:rFonts w:cs="Arial"/>
          <w:noProof/>
          <w:lang w:val="cs-CZ"/>
        </w:rPr>
      </w:pPr>
      <w:r w:rsidRPr="003B6E11">
        <w:rPr>
          <w:lang w:val="cs-CZ"/>
        </w:rPr>
        <w:t>…</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lang w:val="cs-CZ"/>
        </w:rPr>
      </w:pPr>
      <w:r w:rsidRPr="003B6E11">
        <w:rPr>
          <w:lang w:val="cs-CZ"/>
        </w:rPr>
        <w:t>Tímto se osvědčuje, že výše uvedená navigační radarová zařízení, ukazatele rychlosti otáčení a zařízení pro vnitrozemský AIS instalovaná na palubě lodi vyhovují požadavkům přílohy 5 evropské normy, kterou se stanoví technické požadavky na plavidla vnitrozemské plavby (ES-TRIN), pokud jde o zkoušky montáže a výkonnosti navigačních radarových zařízení, ukazatelů rychlosti otáčení a zařízení pro vnitrozemský AIS.</w:t>
      </w:r>
    </w:p>
    <w:p w:rsidR="003B6E11" w:rsidRPr="003B6E11" w:rsidRDefault="003B6E11" w:rsidP="003B6E11">
      <w:pPr>
        <w:tabs>
          <w:tab w:val="left" w:leader="dot" w:pos="9072"/>
        </w:tabs>
        <w:spacing w:line="240" w:lineRule="atLeast"/>
        <w:rPr>
          <w:rFonts w:cs="Arial"/>
          <w:szCs w:val="20"/>
          <w:lang w:val="cs-CZ"/>
        </w:rPr>
      </w:pPr>
    </w:p>
    <w:p w:rsidR="003B6E11" w:rsidRPr="003B6E11" w:rsidRDefault="003B6E11" w:rsidP="003B6E11">
      <w:pPr>
        <w:tabs>
          <w:tab w:val="left" w:pos="284"/>
          <w:tab w:val="left" w:pos="5670"/>
        </w:tabs>
        <w:overflowPunct w:val="0"/>
        <w:adjustRightInd w:val="0"/>
        <w:textAlignment w:val="baseline"/>
        <w:rPr>
          <w:rFonts w:cs="Arial"/>
          <w:b/>
          <w:snapToGrid w:val="0"/>
          <w:color w:val="000000"/>
          <w:szCs w:val="20"/>
          <w:lang w:val="cs-CZ"/>
        </w:rPr>
      </w:pPr>
      <w:r w:rsidRPr="003B6E11">
        <w:rPr>
          <w:b/>
          <w:noProof/>
          <w:snapToGrid w:val="0"/>
          <w:color w:val="000000"/>
          <w:lang w:val="cs-CZ"/>
        </w:rPr>
        <w:t>Schválená odborná firma</w:t>
      </w:r>
    </w:p>
    <w:p w:rsidR="003B6E11" w:rsidRPr="003B6E11" w:rsidRDefault="003B6E11" w:rsidP="003B6E11">
      <w:pPr>
        <w:tabs>
          <w:tab w:val="left" w:leader="dot" w:pos="5103"/>
        </w:tabs>
        <w:overflowPunct w:val="0"/>
        <w:adjustRightInd w:val="0"/>
        <w:spacing w:before="120"/>
        <w:textAlignment w:val="baseline"/>
        <w:rPr>
          <w:rFonts w:cs="Arial"/>
          <w:snapToGrid w:val="0"/>
          <w:color w:val="000000"/>
          <w:szCs w:val="20"/>
          <w:lang w:val="cs-CZ"/>
        </w:rPr>
      </w:pPr>
      <w:r w:rsidRPr="003B6E11">
        <w:rPr>
          <w:noProof/>
          <w:snapToGrid w:val="0"/>
          <w:color w:val="000000"/>
          <w:lang w:val="cs-CZ"/>
        </w:rPr>
        <w:t xml:space="preserve">Název: </w:t>
      </w:r>
      <w:r w:rsidRPr="003B6E11">
        <w:rPr>
          <w:lang w:val="cs-CZ"/>
        </w:rPr>
        <w:tab/>
      </w:r>
    </w:p>
    <w:p w:rsidR="003B6E11" w:rsidRPr="003B6E11" w:rsidRDefault="003B6E11" w:rsidP="003B6E11">
      <w:pPr>
        <w:tabs>
          <w:tab w:val="left" w:leader="dot" w:pos="9072"/>
        </w:tabs>
        <w:overflowPunct w:val="0"/>
        <w:adjustRightInd w:val="0"/>
        <w:spacing w:before="120"/>
        <w:textAlignment w:val="baseline"/>
        <w:rPr>
          <w:rFonts w:cs="Arial"/>
          <w:snapToGrid w:val="0"/>
          <w:color w:val="000000"/>
          <w:szCs w:val="20"/>
          <w:lang w:val="cs-CZ"/>
        </w:rPr>
      </w:pPr>
      <w:r w:rsidRPr="003B6E11">
        <w:rPr>
          <w:noProof/>
          <w:snapToGrid w:val="0"/>
          <w:color w:val="000000"/>
          <w:lang w:val="cs-CZ"/>
        </w:rPr>
        <w:t xml:space="preserve">Adresa: </w:t>
      </w:r>
      <w:r w:rsidRPr="003B6E11">
        <w:rPr>
          <w:lang w:val="cs-CZ"/>
        </w:rPr>
        <w:tab/>
      </w:r>
    </w:p>
    <w:p w:rsidR="003B6E11" w:rsidRPr="003B6E11" w:rsidRDefault="003B6E11" w:rsidP="003B6E11">
      <w:pPr>
        <w:tabs>
          <w:tab w:val="left" w:leader="dot" w:pos="3402"/>
        </w:tabs>
        <w:overflowPunct w:val="0"/>
        <w:adjustRightInd w:val="0"/>
        <w:spacing w:before="120"/>
        <w:textAlignment w:val="baseline"/>
        <w:rPr>
          <w:rFonts w:cs="Arial"/>
          <w:snapToGrid w:val="0"/>
          <w:color w:val="000000"/>
          <w:szCs w:val="20"/>
          <w:lang w:val="cs-CZ"/>
        </w:rPr>
      </w:pPr>
      <w:r w:rsidRPr="003B6E11">
        <w:rPr>
          <w:noProof/>
          <w:snapToGrid w:val="0"/>
          <w:color w:val="000000"/>
          <w:lang w:val="cs-CZ"/>
        </w:rPr>
        <w:t xml:space="preserve">Telefon: </w:t>
      </w:r>
      <w:r w:rsidRPr="003B6E11">
        <w:rPr>
          <w:lang w:val="cs-CZ"/>
        </w:rPr>
        <w:tab/>
      </w:r>
    </w:p>
    <w:p w:rsidR="003B6E11" w:rsidRPr="003B6E11" w:rsidRDefault="003B6E11" w:rsidP="003B6E11">
      <w:pPr>
        <w:tabs>
          <w:tab w:val="left" w:pos="284"/>
        </w:tabs>
        <w:overflowPunct w:val="0"/>
        <w:adjustRightInd w:val="0"/>
        <w:spacing w:before="120"/>
        <w:textAlignment w:val="baseline"/>
        <w:rPr>
          <w:rFonts w:cs="Arial"/>
          <w:snapToGrid w:val="0"/>
          <w:color w:val="000000"/>
          <w:szCs w:val="20"/>
          <w:lang w:val="cs-CZ"/>
        </w:rPr>
      </w:pPr>
    </w:p>
    <w:p w:rsidR="003B6E11" w:rsidRPr="003B6E11" w:rsidRDefault="003B6E11" w:rsidP="003B6E11">
      <w:pPr>
        <w:tabs>
          <w:tab w:val="center" w:pos="1134"/>
          <w:tab w:val="left" w:pos="3969"/>
          <w:tab w:val="left" w:leader="dot" w:pos="6237"/>
          <w:tab w:val="left" w:pos="6521"/>
          <w:tab w:val="left" w:leader="dot" w:pos="9072"/>
        </w:tabs>
        <w:overflowPunct w:val="0"/>
        <w:adjustRightInd w:val="0"/>
        <w:textAlignment w:val="baseline"/>
        <w:rPr>
          <w:rFonts w:cs="Arial"/>
          <w:snapToGrid w:val="0"/>
          <w:color w:val="000000"/>
          <w:szCs w:val="20"/>
          <w:lang w:val="cs-CZ"/>
        </w:rPr>
      </w:pPr>
      <w:r w:rsidRPr="003B6E11">
        <w:rPr>
          <w:lang w:val="cs-CZ"/>
        </w:rPr>
        <w:tab/>
      </w:r>
      <w:r w:rsidRPr="003B6E11">
        <w:rPr>
          <w:noProof/>
          <w:snapToGrid w:val="0"/>
          <w:color w:val="000000"/>
          <w:lang w:val="cs-CZ"/>
        </w:rPr>
        <w:t>Razítko</w:t>
      </w:r>
      <w:r w:rsidRPr="003B6E11">
        <w:rPr>
          <w:lang w:val="cs-CZ"/>
        </w:rPr>
        <w:tab/>
      </w:r>
      <w:r w:rsidRPr="003B6E11">
        <w:rPr>
          <w:noProof/>
          <w:snapToGrid w:val="0"/>
          <w:color w:val="000000"/>
          <w:lang w:val="cs-CZ"/>
        </w:rPr>
        <w:t xml:space="preserve">Místo </w:t>
      </w:r>
      <w:r w:rsidRPr="003B6E11">
        <w:rPr>
          <w:lang w:val="cs-CZ"/>
        </w:rPr>
        <w:tab/>
      </w:r>
      <w:r w:rsidRPr="003B6E11">
        <w:rPr>
          <w:snapToGrid w:val="0"/>
          <w:color w:val="000000"/>
          <w:lang w:val="cs-CZ"/>
        </w:rPr>
        <w:t xml:space="preserve"> </w:t>
      </w:r>
      <w:r w:rsidRPr="003B6E11">
        <w:rPr>
          <w:lang w:val="cs-CZ"/>
        </w:rPr>
        <w:tab/>
      </w:r>
      <w:r w:rsidRPr="003B6E11">
        <w:rPr>
          <w:noProof/>
          <w:snapToGrid w:val="0"/>
          <w:color w:val="000000"/>
          <w:lang w:val="cs-CZ"/>
        </w:rPr>
        <w:t xml:space="preserve">Datum </w:t>
      </w:r>
      <w:r w:rsidRPr="003B6E11">
        <w:rPr>
          <w:lang w:val="cs-CZ"/>
        </w:rPr>
        <w:tab/>
      </w:r>
    </w:p>
    <w:p w:rsidR="003B6E11" w:rsidRPr="003B6E11" w:rsidRDefault="003B6E11" w:rsidP="003B6E11">
      <w:pPr>
        <w:tabs>
          <w:tab w:val="center" w:pos="1134"/>
          <w:tab w:val="left" w:pos="6521"/>
        </w:tabs>
        <w:overflowPunct w:val="0"/>
        <w:adjustRightInd w:val="0"/>
        <w:spacing w:before="120"/>
        <w:textAlignment w:val="baseline"/>
        <w:rPr>
          <w:rFonts w:cs="Arial"/>
          <w:snapToGrid w:val="0"/>
          <w:color w:val="000000"/>
          <w:szCs w:val="20"/>
          <w:lang w:val="cs-CZ"/>
        </w:rPr>
      </w:pPr>
      <w:r w:rsidRPr="003B6E11">
        <w:rPr>
          <w:lang w:val="cs-CZ"/>
        </w:rPr>
        <w:tab/>
      </w:r>
      <w:r w:rsidRPr="003B6E11">
        <w:rPr>
          <w:noProof/>
          <w:snapToGrid w:val="0"/>
          <w:color w:val="000000"/>
          <w:lang w:val="cs-CZ"/>
        </w:rPr>
        <w:t>Podpis</w:t>
      </w:r>
    </w:p>
    <w:p w:rsidR="003B6E11" w:rsidRPr="003B6E11" w:rsidRDefault="003B6E11" w:rsidP="003B6E11">
      <w:pPr>
        <w:tabs>
          <w:tab w:val="left" w:pos="284"/>
          <w:tab w:val="left" w:pos="4536"/>
          <w:tab w:val="left" w:pos="6521"/>
        </w:tabs>
        <w:overflowPunct w:val="0"/>
        <w:adjustRightInd w:val="0"/>
        <w:textAlignment w:val="baseline"/>
        <w:rPr>
          <w:rFonts w:cs="Arial"/>
          <w:snapToGrid w:val="0"/>
          <w:color w:val="000000"/>
          <w:szCs w:val="20"/>
          <w:lang w:val="cs-CZ"/>
        </w:rPr>
      </w:pPr>
    </w:p>
    <w:p w:rsidR="003B6E11" w:rsidRPr="003B6E11" w:rsidRDefault="003B6E11" w:rsidP="003B6E11">
      <w:pPr>
        <w:tabs>
          <w:tab w:val="left" w:pos="284"/>
          <w:tab w:val="left" w:pos="4536"/>
          <w:tab w:val="left" w:pos="6521"/>
        </w:tabs>
        <w:overflowPunct w:val="0"/>
        <w:adjustRightInd w:val="0"/>
        <w:textAlignment w:val="baseline"/>
        <w:rPr>
          <w:rFonts w:cs="Arial"/>
          <w:b/>
          <w:snapToGrid w:val="0"/>
          <w:color w:val="000000"/>
          <w:szCs w:val="20"/>
          <w:lang w:val="cs-CZ"/>
        </w:rPr>
      </w:pPr>
      <w:r w:rsidRPr="003B6E11">
        <w:rPr>
          <w:b/>
          <w:noProof/>
          <w:snapToGrid w:val="0"/>
          <w:color w:val="000000"/>
          <w:lang w:val="cs-CZ"/>
        </w:rPr>
        <w:t>Orgán příslušný pro schválení odborné firmy</w:t>
      </w:r>
    </w:p>
    <w:p w:rsidR="003B6E11" w:rsidRPr="003B6E11" w:rsidRDefault="003B6E11" w:rsidP="003B6E11">
      <w:pPr>
        <w:tabs>
          <w:tab w:val="left" w:leader="dot" w:pos="5103"/>
        </w:tabs>
        <w:overflowPunct w:val="0"/>
        <w:adjustRightInd w:val="0"/>
        <w:spacing w:before="120"/>
        <w:textAlignment w:val="baseline"/>
        <w:rPr>
          <w:rFonts w:cs="Arial"/>
          <w:snapToGrid w:val="0"/>
          <w:color w:val="000000"/>
          <w:szCs w:val="20"/>
          <w:lang w:val="cs-CZ"/>
        </w:rPr>
      </w:pPr>
      <w:r w:rsidRPr="003B6E11">
        <w:rPr>
          <w:noProof/>
          <w:snapToGrid w:val="0"/>
          <w:color w:val="000000"/>
          <w:lang w:val="cs-CZ"/>
        </w:rPr>
        <w:t xml:space="preserve">Název: </w:t>
      </w:r>
      <w:r w:rsidRPr="003B6E11">
        <w:rPr>
          <w:lang w:val="cs-CZ"/>
        </w:rPr>
        <w:tab/>
      </w:r>
    </w:p>
    <w:p w:rsidR="003B6E11" w:rsidRPr="003B6E11" w:rsidRDefault="003B6E11" w:rsidP="003B6E11">
      <w:pPr>
        <w:tabs>
          <w:tab w:val="left" w:leader="dot" w:pos="9072"/>
        </w:tabs>
        <w:overflowPunct w:val="0"/>
        <w:adjustRightInd w:val="0"/>
        <w:spacing w:before="120"/>
        <w:textAlignment w:val="baseline"/>
        <w:rPr>
          <w:rFonts w:cs="Arial"/>
          <w:snapToGrid w:val="0"/>
          <w:color w:val="000000"/>
          <w:szCs w:val="20"/>
          <w:lang w:val="cs-CZ"/>
        </w:rPr>
      </w:pPr>
      <w:r w:rsidRPr="003B6E11">
        <w:rPr>
          <w:noProof/>
          <w:snapToGrid w:val="0"/>
          <w:color w:val="000000"/>
          <w:lang w:val="cs-CZ"/>
        </w:rPr>
        <w:t xml:space="preserve">Adresa: </w:t>
      </w:r>
      <w:r w:rsidRPr="003B6E11">
        <w:rPr>
          <w:lang w:val="cs-CZ"/>
        </w:rPr>
        <w:tab/>
      </w:r>
    </w:p>
    <w:p w:rsidR="003B6E11" w:rsidRPr="003B6E11" w:rsidRDefault="003B6E11" w:rsidP="003B6E11">
      <w:pPr>
        <w:tabs>
          <w:tab w:val="left" w:leader="dot" w:pos="3402"/>
        </w:tabs>
        <w:overflowPunct w:val="0"/>
        <w:adjustRightInd w:val="0"/>
        <w:spacing w:before="120"/>
        <w:textAlignment w:val="baseline"/>
        <w:rPr>
          <w:rFonts w:cs="Arial"/>
          <w:snapToGrid w:val="0"/>
          <w:color w:val="000000"/>
          <w:szCs w:val="20"/>
          <w:lang w:val="cs-CZ"/>
        </w:rPr>
      </w:pPr>
      <w:r w:rsidRPr="003B6E11">
        <w:rPr>
          <w:noProof/>
          <w:snapToGrid w:val="0"/>
          <w:color w:val="000000"/>
          <w:lang w:val="cs-CZ"/>
        </w:rPr>
        <w:t xml:space="preserve">Telefon: </w:t>
      </w:r>
      <w:r w:rsidRPr="003B6E11">
        <w:rPr>
          <w:lang w:val="cs-CZ"/>
        </w:rPr>
        <w:tab/>
      </w:r>
    </w:p>
    <w:p w:rsidR="003B6E11" w:rsidRPr="003B6E11" w:rsidRDefault="003B6E11" w:rsidP="003B6E11">
      <w:pPr>
        <w:tabs>
          <w:tab w:val="right" w:pos="9072"/>
        </w:tabs>
        <w:spacing w:line="240" w:lineRule="atLeast"/>
        <w:rPr>
          <w:lang w:val="cs-CZ"/>
        </w:rPr>
      </w:pPr>
      <w:r w:rsidRPr="003B6E11">
        <w:rPr>
          <w:lang w:val="cs-CZ"/>
        </w:rPr>
        <w:br w:type="page"/>
      </w:r>
    </w:p>
    <w:p w:rsidR="003B6E11" w:rsidRPr="003B6E11" w:rsidRDefault="003B6E11" w:rsidP="003B6E11">
      <w:pPr>
        <w:tabs>
          <w:tab w:val="right" w:pos="9072"/>
        </w:tabs>
        <w:spacing w:line="240" w:lineRule="atLeast"/>
        <w:rPr>
          <w:lang w:val="cs-CZ"/>
        </w:rPr>
      </w:pPr>
    </w:p>
    <w:p w:rsidR="003B6E11" w:rsidRPr="003B6E11" w:rsidRDefault="003B6E11" w:rsidP="003B6E11">
      <w:pPr>
        <w:tabs>
          <w:tab w:val="right" w:pos="9072"/>
        </w:tabs>
        <w:spacing w:line="240" w:lineRule="atLeast"/>
        <w:rPr>
          <w:lang w:val="cs-CZ"/>
        </w:rPr>
      </w:pPr>
    </w:p>
    <w:p w:rsidR="003B6E11" w:rsidRPr="003B6E11" w:rsidRDefault="003B6E11" w:rsidP="003B6E11">
      <w:pPr>
        <w:tabs>
          <w:tab w:val="right" w:pos="9072"/>
        </w:tabs>
        <w:spacing w:line="240" w:lineRule="atLeast"/>
        <w:rPr>
          <w:lang w:val="cs-CZ"/>
        </w:rPr>
      </w:pPr>
    </w:p>
    <w:p w:rsidR="003B6E11" w:rsidRPr="003B6E11" w:rsidRDefault="003B6E11" w:rsidP="003B6E11">
      <w:pPr>
        <w:tabs>
          <w:tab w:val="left" w:pos="284"/>
          <w:tab w:val="left" w:pos="5670"/>
        </w:tabs>
        <w:overflowPunct w:val="0"/>
        <w:adjustRightInd w:val="0"/>
        <w:textAlignment w:val="baseline"/>
        <w:rPr>
          <w:rFonts w:cs="Arial"/>
          <w:snapToGrid w:val="0"/>
          <w:szCs w:val="20"/>
          <w:lang w:val="cs-CZ"/>
        </w:rPr>
      </w:pPr>
    </w:p>
    <w:p w:rsidR="003B6E11" w:rsidRPr="003B6E11" w:rsidRDefault="003B6E11" w:rsidP="003B6E11">
      <w:pPr>
        <w:overflowPunct w:val="0"/>
        <w:adjustRightInd w:val="0"/>
        <w:ind w:left="426" w:hanging="426"/>
        <w:textAlignment w:val="baseline"/>
        <w:rPr>
          <w:rFonts w:cs="Arial"/>
          <w:szCs w:val="20"/>
          <w:lang w:val="cs-CZ"/>
        </w:rPr>
      </w:pPr>
    </w:p>
    <w:p w:rsidR="003B6E11" w:rsidRPr="003B6E11" w:rsidRDefault="003B6E11" w:rsidP="003B6E11">
      <w:pPr>
        <w:overflowPunct w:val="0"/>
        <w:adjustRightInd w:val="0"/>
        <w:ind w:left="426" w:hanging="426"/>
        <w:textAlignment w:val="baseline"/>
        <w:rPr>
          <w:rFonts w:cs="Arial"/>
          <w:szCs w:val="20"/>
          <w:lang w:val="cs-CZ"/>
        </w:rPr>
      </w:pPr>
    </w:p>
    <w:p w:rsidR="003B6E11" w:rsidRPr="003B6E11" w:rsidRDefault="003B6E11" w:rsidP="003B6E11">
      <w:pPr>
        <w:overflowPunct w:val="0"/>
        <w:adjustRightInd w:val="0"/>
        <w:ind w:left="426" w:hanging="426"/>
        <w:textAlignment w:val="baseline"/>
        <w:rPr>
          <w:rFonts w:cs="Arial"/>
          <w:szCs w:val="20"/>
          <w:lang w:val="cs-CZ"/>
        </w:rPr>
      </w:pPr>
    </w:p>
    <w:p w:rsidR="003B6E11" w:rsidRPr="003B6E11" w:rsidRDefault="003B6E11" w:rsidP="003B6E11">
      <w:pPr>
        <w:spacing w:line="240" w:lineRule="atLeast"/>
        <w:rPr>
          <w:rFonts w:cs="Arial"/>
          <w:noProof/>
          <w:szCs w:val="20"/>
          <w:lang w:val="cs-CZ"/>
        </w:rPr>
      </w:pPr>
    </w:p>
    <w:p w:rsidR="003B6E11" w:rsidRPr="003B6E11" w:rsidRDefault="003B6E11" w:rsidP="003B6E11">
      <w:pPr>
        <w:tabs>
          <w:tab w:val="center" w:pos="7797"/>
        </w:tabs>
        <w:ind w:right="288"/>
        <w:rPr>
          <w:rFonts w:cs="Arial"/>
          <w:szCs w:val="20"/>
          <w:lang w:val="cs-CZ"/>
        </w:rPr>
        <w:sectPr w:rsidR="003B6E11" w:rsidRPr="003B6E11" w:rsidSect="00FB55E9">
          <w:headerReference w:type="default" r:id="rId69"/>
          <w:footerReference w:type="default" r:id="rId70"/>
          <w:footnotePr>
            <w:numRestart w:val="eachPage"/>
          </w:footnotePr>
          <w:pgSz w:w="11907" w:h="16840" w:code="9"/>
          <w:pgMar w:top="1361" w:right="1418" w:bottom="1361" w:left="1418" w:header="680" w:footer="680" w:gutter="0"/>
          <w:cols w:space="720"/>
          <w:docGrid w:linePitch="326"/>
        </w:sectPr>
      </w:pPr>
    </w:p>
    <w:p w:rsidR="003B6E11" w:rsidRPr="003B6E11" w:rsidRDefault="003B6E11" w:rsidP="003B6E11">
      <w:pPr>
        <w:tabs>
          <w:tab w:val="left" w:leader="dot" w:pos="9072"/>
        </w:tabs>
        <w:spacing w:line="240" w:lineRule="atLeast"/>
        <w:rPr>
          <w:rFonts w:cs="Arial"/>
          <w:lang w:val="cs-CZ"/>
        </w:rPr>
      </w:pPr>
    </w:p>
    <w:p w:rsidR="003B6E11" w:rsidRPr="003B6E11" w:rsidRDefault="003B6E11" w:rsidP="003B6E11">
      <w:pPr>
        <w:pStyle w:val="ES-Titre2"/>
        <w:pageBreakBefore w:val="0"/>
      </w:pPr>
      <w:bookmarkStart w:id="660" w:name="_Toc491854322"/>
      <w:bookmarkStart w:id="661" w:name="_Toc535417228"/>
      <w:r w:rsidRPr="003B6E11">
        <w:t>Příloha 6</w:t>
      </w:r>
      <w:r w:rsidRPr="003B6E11">
        <w:br/>
        <w:t>Protokol o parametrech motoru</w:t>
      </w:r>
      <w:bookmarkEnd w:id="660"/>
      <w:bookmarkEnd w:id="661"/>
    </w:p>
    <w:p w:rsidR="003B6E11" w:rsidRPr="003B6E11" w:rsidRDefault="003B6E11" w:rsidP="003B6E11">
      <w:pPr>
        <w:spacing w:line="240" w:lineRule="atLeast"/>
        <w:jc w:val="center"/>
        <w:rPr>
          <w:rFonts w:cs="Arial"/>
          <w:color w:val="000000"/>
          <w:lang w:val="cs-CZ"/>
        </w:rPr>
      </w:pPr>
      <w:r w:rsidRPr="003B6E11">
        <w:rPr>
          <w:color w:val="000000"/>
          <w:lang w:val="cs-CZ"/>
        </w:rPr>
        <w:t>(Vzor)</w:t>
      </w:r>
    </w:p>
    <w:p w:rsidR="003B6E11" w:rsidRPr="003B6E11" w:rsidRDefault="003B6E11" w:rsidP="003B6E11">
      <w:pPr>
        <w:spacing w:line="240" w:lineRule="atLeast"/>
        <w:rPr>
          <w:rFonts w:cs="Arial"/>
          <w:b/>
          <w:noProof/>
          <w:color w:val="000000"/>
          <w:lang w:val="cs-CZ"/>
        </w:rPr>
      </w:pPr>
    </w:p>
    <w:tbl>
      <w:tblPr>
        <w:tblW w:w="0" w:type="auto"/>
        <w:tblLayout w:type="fixed"/>
        <w:tblLook w:val="01E0" w:firstRow="1" w:lastRow="1" w:firstColumn="1" w:lastColumn="1" w:noHBand="0" w:noVBand="0"/>
      </w:tblPr>
      <w:tblGrid>
        <w:gridCol w:w="737"/>
        <w:gridCol w:w="5131"/>
        <w:gridCol w:w="3360"/>
      </w:tblGrid>
      <w:tr w:rsidR="003B6E11" w:rsidRPr="003B6E11" w:rsidTr="002D015D">
        <w:tc>
          <w:tcPr>
            <w:tcW w:w="737" w:type="dxa"/>
            <w:shd w:val="clear" w:color="auto" w:fill="auto"/>
          </w:tcPr>
          <w:p w:rsidR="003B6E11" w:rsidRPr="003B6E11" w:rsidRDefault="003B6E11" w:rsidP="002D015D">
            <w:pPr>
              <w:spacing w:line="240" w:lineRule="atLeast"/>
              <w:rPr>
                <w:b/>
                <w:bCs/>
                <w:noProof/>
                <w:szCs w:val="20"/>
                <w:lang w:val="cs-CZ"/>
              </w:rPr>
            </w:pPr>
            <w:r w:rsidRPr="003B6E11">
              <w:rPr>
                <w:b/>
                <w:noProof/>
                <w:lang w:val="cs-CZ"/>
              </w:rPr>
              <w:t>0</w:t>
            </w:r>
          </w:p>
        </w:tc>
        <w:tc>
          <w:tcPr>
            <w:tcW w:w="8491" w:type="dxa"/>
            <w:gridSpan w:val="2"/>
            <w:shd w:val="clear" w:color="auto" w:fill="auto"/>
          </w:tcPr>
          <w:p w:rsidR="003B6E11" w:rsidRPr="003B6E11" w:rsidRDefault="003B6E11" w:rsidP="002D015D">
            <w:pPr>
              <w:tabs>
                <w:tab w:val="right" w:leader="underscore" w:pos="8263"/>
              </w:tabs>
              <w:spacing w:line="240" w:lineRule="atLeast"/>
              <w:rPr>
                <w:b/>
                <w:bCs/>
                <w:noProof/>
                <w:szCs w:val="20"/>
                <w:lang w:val="cs-CZ"/>
              </w:rPr>
            </w:pPr>
            <w:r w:rsidRPr="003B6E11">
              <w:rPr>
                <w:b/>
                <w:noProof/>
                <w:lang w:val="cs-CZ"/>
              </w:rPr>
              <w:t>Obecně</w:t>
            </w:r>
          </w:p>
          <w:p w:rsidR="003B6E11" w:rsidRPr="003B6E11" w:rsidRDefault="003B6E11" w:rsidP="002D015D">
            <w:pPr>
              <w:tabs>
                <w:tab w:val="right" w:leader="underscore" w:pos="8263"/>
              </w:tabs>
              <w:spacing w:line="240" w:lineRule="atLeast"/>
              <w:rPr>
                <w:b/>
                <w:bCs/>
                <w:noProof/>
                <w:szCs w:val="20"/>
                <w:lang w:val="cs-CZ"/>
              </w:rPr>
            </w:pPr>
          </w:p>
        </w:tc>
      </w:tr>
      <w:tr w:rsidR="003B6E11" w:rsidRPr="003B6E11" w:rsidTr="002D015D">
        <w:tc>
          <w:tcPr>
            <w:tcW w:w="737" w:type="dxa"/>
            <w:shd w:val="clear" w:color="auto" w:fill="auto"/>
          </w:tcPr>
          <w:p w:rsidR="003B6E11" w:rsidRPr="003B6E11" w:rsidRDefault="003B6E11" w:rsidP="002D015D">
            <w:pPr>
              <w:spacing w:before="40" w:line="240" w:lineRule="atLeast"/>
              <w:outlineLvl w:val="0"/>
              <w:rPr>
                <w:noProof/>
                <w:szCs w:val="20"/>
                <w:lang w:val="cs-CZ"/>
              </w:rPr>
            </w:pPr>
            <w:r w:rsidRPr="003B6E11">
              <w:rPr>
                <w:lang w:val="cs-CZ"/>
              </w:rPr>
              <w:t>0.1</w:t>
            </w:r>
          </w:p>
        </w:tc>
        <w:tc>
          <w:tcPr>
            <w:tcW w:w="8491" w:type="dxa"/>
            <w:gridSpan w:val="2"/>
            <w:shd w:val="clear" w:color="auto" w:fill="auto"/>
          </w:tcPr>
          <w:p w:rsidR="003B6E11" w:rsidRPr="003B6E11" w:rsidRDefault="003B6E11" w:rsidP="002D015D">
            <w:pPr>
              <w:tabs>
                <w:tab w:val="right" w:leader="underscore" w:pos="8263"/>
              </w:tabs>
              <w:spacing w:before="40" w:line="240" w:lineRule="atLeast"/>
              <w:outlineLvl w:val="0"/>
              <w:rPr>
                <w:noProof/>
                <w:szCs w:val="20"/>
                <w:lang w:val="cs-CZ"/>
              </w:rPr>
            </w:pPr>
            <w:r w:rsidRPr="003B6E11">
              <w:rPr>
                <w:lang w:val="cs-CZ"/>
              </w:rPr>
              <w:t>Údaje o motoru</w:t>
            </w:r>
          </w:p>
        </w:tc>
      </w:tr>
      <w:tr w:rsidR="003B6E11" w:rsidRPr="003B6E11" w:rsidTr="002D015D">
        <w:tc>
          <w:tcPr>
            <w:tcW w:w="737" w:type="dxa"/>
            <w:shd w:val="clear" w:color="auto" w:fill="auto"/>
          </w:tcPr>
          <w:p w:rsidR="003B6E11" w:rsidRPr="003B6E11" w:rsidRDefault="003B6E11" w:rsidP="002D015D">
            <w:pPr>
              <w:spacing w:before="40" w:line="240" w:lineRule="atLeast"/>
              <w:outlineLvl w:val="0"/>
              <w:rPr>
                <w:noProof/>
                <w:szCs w:val="20"/>
                <w:lang w:val="cs-CZ"/>
              </w:rPr>
            </w:pPr>
            <w:r w:rsidRPr="003B6E11">
              <w:rPr>
                <w:lang w:val="cs-CZ"/>
              </w:rPr>
              <w:t>0.1.1</w:t>
            </w:r>
          </w:p>
        </w:tc>
        <w:tc>
          <w:tcPr>
            <w:tcW w:w="8491" w:type="dxa"/>
            <w:gridSpan w:val="2"/>
            <w:shd w:val="clear" w:color="auto" w:fill="auto"/>
          </w:tcPr>
          <w:p w:rsidR="003B6E11" w:rsidRPr="003B6E11" w:rsidRDefault="003B6E11" w:rsidP="002D015D">
            <w:pPr>
              <w:tabs>
                <w:tab w:val="right" w:leader="dot" w:pos="8263"/>
              </w:tabs>
              <w:spacing w:before="40" w:line="240" w:lineRule="atLeast"/>
              <w:outlineLvl w:val="0"/>
              <w:rPr>
                <w:noProof/>
                <w:szCs w:val="20"/>
                <w:lang w:val="cs-CZ"/>
              </w:rPr>
            </w:pPr>
            <w:r w:rsidRPr="003B6E11">
              <w:rPr>
                <w:lang w:val="cs-CZ"/>
              </w:rPr>
              <w:t xml:space="preserve">Značka: </w:t>
            </w:r>
            <w:r w:rsidRPr="003B6E11">
              <w:rPr>
                <w:lang w:val="cs-CZ"/>
              </w:rPr>
              <w:tab/>
            </w:r>
          </w:p>
        </w:tc>
      </w:tr>
      <w:tr w:rsidR="003B6E11" w:rsidRPr="003B6E11" w:rsidTr="002D015D">
        <w:tc>
          <w:tcPr>
            <w:tcW w:w="737" w:type="dxa"/>
            <w:shd w:val="clear" w:color="auto" w:fill="auto"/>
          </w:tcPr>
          <w:p w:rsidR="003B6E11" w:rsidRPr="003B6E11" w:rsidRDefault="003B6E11" w:rsidP="002D015D">
            <w:pPr>
              <w:spacing w:before="40" w:line="240" w:lineRule="atLeast"/>
              <w:outlineLvl w:val="0"/>
              <w:rPr>
                <w:noProof/>
                <w:szCs w:val="20"/>
                <w:lang w:val="cs-CZ"/>
              </w:rPr>
            </w:pPr>
            <w:r w:rsidRPr="003B6E11">
              <w:rPr>
                <w:lang w:val="cs-CZ"/>
              </w:rPr>
              <w:t>0.1.2</w:t>
            </w:r>
          </w:p>
        </w:tc>
        <w:tc>
          <w:tcPr>
            <w:tcW w:w="8491" w:type="dxa"/>
            <w:gridSpan w:val="2"/>
            <w:shd w:val="clear" w:color="auto" w:fill="auto"/>
          </w:tcPr>
          <w:p w:rsidR="003B6E11" w:rsidRPr="003B6E11" w:rsidRDefault="003B6E11" w:rsidP="002D015D">
            <w:pPr>
              <w:tabs>
                <w:tab w:val="right" w:leader="dot" w:pos="8263"/>
              </w:tabs>
              <w:spacing w:before="40" w:line="240" w:lineRule="atLeast"/>
              <w:outlineLvl w:val="0"/>
              <w:rPr>
                <w:noProof/>
                <w:szCs w:val="20"/>
                <w:lang w:val="cs-CZ"/>
              </w:rPr>
            </w:pPr>
            <w:r w:rsidRPr="003B6E11">
              <w:rPr>
                <w:lang w:val="cs-CZ"/>
              </w:rPr>
              <w:t xml:space="preserve">Popis výrobce: </w:t>
            </w:r>
            <w:r w:rsidRPr="003B6E11">
              <w:rPr>
                <w:lang w:val="cs-CZ"/>
              </w:rPr>
              <w:tab/>
            </w:r>
          </w:p>
        </w:tc>
      </w:tr>
      <w:tr w:rsidR="003B6E11" w:rsidRPr="003B6E11" w:rsidTr="002D015D">
        <w:tc>
          <w:tcPr>
            <w:tcW w:w="737" w:type="dxa"/>
            <w:shd w:val="clear" w:color="auto" w:fill="auto"/>
          </w:tcPr>
          <w:p w:rsidR="003B6E11" w:rsidRPr="003B6E11" w:rsidRDefault="003B6E11" w:rsidP="002D015D">
            <w:pPr>
              <w:spacing w:before="40" w:line="240" w:lineRule="atLeast"/>
              <w:outlineLvl w:val="0"/>
              <w:rPr>
                <w:noProof/>
                <w:szCs w:val="20"/>
                <w:lang w:val="cs-CZ"/>
              </w:rPr>
            </w:pPr>
            <w:r w:rsidRPr="003B6E11">
              <w:rPr>
                <w:lang w:val="cs-CZ"/>
              </w:rPr>
              <w:t>0.1.3</w:t>
            </w:r>
          </w:p>
        </w:tc>
        <w:tc>
          <w:tcPr>
            <w:tcW w:w="8491" w:type="dxa"/>
            <w:gridSpan w:val="2"/>
            <w:shd w:val="clear" w:color="auto" w:fill="auto"/>
          </w:tcPr>
          <w:p w:rsidR="003B6E11" w:rsidRPr="003B6E11" w:rsidRDefault="003B6E11" w:rsidP="002D015D">
            <w:pPr>
              <w:tabs>
                <w:tab w:val="right" w:leader="dot" w:pos="8263"/>
              </w:tabs>
              <w:spacing w:before="40" w:line="240" w:lineRule="atLeast"/>
              <w:outlineLvl w:val="0"/>
              <w:rPr>
                <w:noProof/>
                <w:szCs w:val="20"/>
                <w:lang w:val="cs-CZ"/>
              </w:rPr>
            </w:pPr>
            <w:r w:rsidRPr="003B6E11">
              <w:rPr>
                <w:lang w:val="cs-CZ"/>
              </w:rPr>
              <w:t xml:space="preserve">Číslo schválení typu: </w:t>
            </w:r>
            <w:r w:rsidRPr="003B6E11">
              <w:rPr>
                <w:lang w:val="cs-CZ"/>
              </w:rPr>
              <w:tab/>
            </w:r>
          </w:p>
        </w:tc>
      </w:tr>
      <w:tr w:rsidR="003B6E11" w:rsidRPr="003B6E11" w:rsidTr="002D015D">
        <w:tc>
          <w:tcPr>
            <w:tcW w:w="737" w:type="dxa"/>
            <w:shd w:val="clear" w:color="auto" w:fill="auto"/>
          </w:tcPr>
          <w:p w:rsidR="003B6E11" w:rsidRPr="003B6E11" w:rsidRDefault="003B6E11" w:rsidP="002D015D">
            <w:pPr>
              <w:spacing w:before="40" w:line="240" w:lineRule="atLeast"/>
              <w:outlineLvl w:val="0"/>
              <w:rPr>
                <w:noProof/>
                <w:szCs w:val="20"/>
                <w:lang w:val="cs-CZ"/>
              </w:rPr>
            </w:pPr>
            <w:r w:rsidRPr="003B6E11">
              <w:rPr>
                <w:lang w:val="cs-CZ"/>
              </w:rPr>
              <w:t>0.1.4</w:t>
            </w:r>
          </w:p>
        </w:tc>
        <w:tc>
          <w:tcPr>
            <w:tcW w:w="8491" w:type="dxa"/>
            <w:gridSpan w:val="2"/>
            <w:shd w:val="clear" w:color="auto" w:fill="auto"/>
          </w:tcPr>
          <w:p w:rsidR="003B6E11" w:rsidRPr="003B6E11" w:rsidRDefault="003B6E11" w:rsidP="002D015D">
            <w:pPr>
              <w:tabs>
                <w:tab w:val="right" w:leader="dot" w:pos="8263"/>
              </w:tabs>
              <w:spacing w:before="40" w:line="240" w:lineRule="atLeast"/>
              <w:outlineLvl w:val="0"/>
              <w:rPr>
                <w:noProof/>
                <w:szCs w:val="20"/>
                <w:lang w:val="cs-CZ"/>
              </w:rPr>
            </w:pPr>
            <w:r w:rsidRPr="003B6E11">
              <w:rPr>
                <w:lang w:val="cs-CZ"/>
              </w:rPr>
              <w:t xml:space="preserve">Identifikační číslo motoru: </w:t>
            </w:r>
            <w:r w:rsidRPr="003B6E11">
              <w:rPr>
                <w:lang w:val="cs-CZ"/>
              </w:rPr>
              <w:tab/>
            </w:r>
          </w:p>
        </w:tc>
      </w:tr>
      <w:tr w:rsidR="003B6E11" w:rsidRPr="003B6E11" w:rsidTr="002D015D">
        <w:tc>
          <w:tcPr>
            <w:tcW w:w="737" w:type="dxa"/>
            <w:shd w:val="clear" w:color="auto" w:fill="auto"/>
          </w:tcPr>
          <w:p w:rsidR="003B6E11" w:rsidRPr="003B6E11" w:rsidRDefault="003B6E11" w:rsidP="002D015D">
            <w:pPr>
              <w:outlineLvl w:val="0"/>
              <w:rPr>
                <w:noProof/>
                <w:szCs w:val="20"/>
                <w:lang w:val="cs-CZ"/>
              </w:rPr>
            </w:pPr>
          </w:p>
        </w:tc>
        <w:tc>
          <w:tcPr>
            <w:tcW w:w="8491" w:type="dxa"/>
            <w:gridSpan w:val="2"/>
            <w:shd w:val="clear" w:color="auto" w:fill="auto"/>
          </w:tcPr>
          <w:p w:rsidR="003B6E11" w:rsidRPr="003B6E11" w:rsidRDefault="003B6E11" w:rsidP="002D015D">
            <w:pPr>
              <w:tabs>
                <w:tab w:val="right" w:leader="underscore" w:pos="8263"/>
              </w:tabs>
              <w:outlineLvl w:val="0"/>
              <w:rPr>
                <w:noProof/>
                <w:szCs w:val="20"/>
                <w:lang w:val="cs-CZ"/>
              </w:rPr>
            </w:pPr>
          </w:p>
        </w:tc>
      </w:tr>
      <w:tr w:rsidR="003B6E11" w:rsidRPr="003B6E11" w:rsidTr="002D015D">
        <w:tc>
          <w:tcPr>
            <w:tcW w:w="737" w:type="dxa"/>
            <w:shd w:val="clear" w:color="auto" w:fill="auto"/>
          </w:tcPr>
          <w:p w:rsidR="003B6E11" w:rsidRPr="003B6E11" w:rsidRDefault="003B6E11" w:rsidP="002D015D">
            <w:pPr>
              <w:outlineLvl w:val="0"/>
              <w:rPr>
                <w:noProof/>
                <w:szCs w:val="20"/>
                <w:lang w:val="cs-CZ"/>
              </w:rPr>
            </w:pPr>
            <w:r w:rsidRPr="003B6E11">
              <w:rPr>
                <w:lang w:val="cs-CZ"/>
              </w:rPr>
              <w:t>0.2</w:t>
            </w:r>
          </w:p>
        </w:tc>
        <w:tc>
          <w:tcPr>
            <w:tcW w:w="8491" w:type="dxa"/>
            <w:gridSpan w:val="2"/>
            <w:shd w:val="clear" w:color="auto" w:fill="auto"/>
          </w:tcPr>
          <w:p w:rsidR="003B6E11" w:rsidRPr="003B6E11" w:rsidRDefault="003B6E11" w:rsidP="002D015D">
            <w:pPr>
              <w:tabs>
                <w:tab w:val="right" w:leader="underscore" w:pos="8263"/>
              </w:tabs>
              <w:outlineLvl w:val="0"/>
              <w:rPr>
                <w:noProof/>
                <w:szCs w:val="20"/>
                <w:lang w:val="cs-CZ"/>
              </w:rPr>
            </w:pPr>
            <w:r w:rsidRPr="003B6E11">
              <w:rPr>
                <w:lang w:val="cs-CZ"/>
              </w:rPr>
              <w:t>Dokumentace</w:t>
            </w:r>
          </w:p>
        </w:tc>
      </w:tr>
      <w:tr w:rsidR="003B6E11" w:rsidRPr="003B6E11" w:rsidTr="002D015D">
        <w:tc>
          <w:tcPr>
            <w:tcW w:w="737" w:type="dxa"/>
            <w:shd w:val="clear" w:color="auto" w:fill="auto"/>
          </w:tcPr>
          <w:p w:rsidR="003B6E11" w:rsidRPr="003B6E11" w:rsidRDefault="003B6E11" w:rsidP="002D015D">
            <w:pPr>
              <w:outlineLvl w:val="0"/>
              <w:rPr>
                <w:noProof/>
                <w:szCs w:val="20"/>
                <w:lang w:val="cs-CZ"/>
              </w:rPr>
            </w:pPr>
          </w:p>
        </w:tc>
        <w:tc>
          <w:tcPr>
            <w:tcW w:w="8491" w:type="dxa"/>
            <w:gridSpan w:val="2"/>
            <w:shd w:val="clear" w:color="auto" w:fill="auto"/>
          </w:tcPr>
          <w:p w:rsidR="003B6E11" w:rsidRPr="003B6E11" w:rsidRDefault="003B6E11" w:rsidP="002D015D">
            <w:pPr>
              <w:tabs>
                <w:tab w:val="right" w:leader="underscore" w:pos="8263"/>
              </w:tabs>
              <w:outlineLvl w:val="0"/>
              <w:rPr>
                <w:noProof/>
                <w:szCs w:val="20"/>
                <w:lang w:val="cs-CZ"/>
              </w:rPr>
            </w:pPr>
          </w:p>
          <w:p w:rsidR="003B6E11" w:rsidRPr="003B6E11" w:rsidRDefault="003B6E11" w:rsidP="002D015D">
            <w:pPr>
              <w:tabs>
                <w:tab w:val="left" w:leader="dot" w:pos="9072"/>
              </w:tabs>
              <w:spacing w:line="240" w:lineRule="atLeast"/>
              <w:rPr>
                <w:rFonts w:cs="Arial"/>
                <w:noProof/>
                <w:lang w:val="cs-CZ"/>
              </w:rPr>
            </w:pPr>
            <w:r w:rsidRPr="003B6E11">
              <w:rPr>
                <w:lang w:val="cs-CZ"/>
              </w:rPr>
              <w:t>Parametry motoru by měly být přezkoušeny a výsledky zkoušek zadokumentovány. Dokumentaci by měly tvořit jednotlivé listy, samostatně číslované, podepsané kontrolorem a přiložené k tomuto protokolu.</w:t>
            </w:r>
          </w:p>
          <w:p w:rsidR="003B6E11" w:rsidRPr="003B6E11" w:rsidRDefault="003B6E11" w:rsidP="002D015D">
            <w:pPr>
              <w:tabs>
                <w:tab w:val="left" w:leader="dot" w:pos="9072"/>
              </w:tabs>
              <w:spacing w:line="240" w:lineRule="atLeast"/>
              <w:rPr>
                <w:rFonts w:cs="Arial"/>
                <w:noProof/>
                <w:lang w:val="cs-CZ"/>
              </w:rPr>
            </w:pPr>
          </w:p>
        </w:tc>
      </w:tr>
      <w:tr w:rsidR="003B6E11" w:rsidRPr="003B6E11" w:rsidTr="002D015D">
        <w:tc>
          <w:tcPr>
            <w:tcW w:w="737" w:type="dxa"/>
            <w:shd w:val="clear" w:color="auto" w:fill="auto"/>
          </w:tcPr>
          <w:p w:rsidR="003B6E11" w:rsidRPr="003B6E11" w:rsidRDefault="003B6E11" w:rsidP="002D015D">
            <w:pPr>
              <w:outlineLvl w:val="0"/>
              <w:rPr>
                <w:noProof/>
                <w:szCs w:val="20"/>
                <w:lang w:val="cs-CZ"/>
              </w:rPr>
            </w:pPr>
            <w:r w:rsidRPr="003B6E11">
              <w:rPr>
                <w:lang w:val="cs-CZ"/>
              </w:rPr>
              <w:t>0.3</w:t>
            </w:r>
          </w:p>
        </w:tc>
        <w:tc>
          <w:tcPr>
            <w:tcW w:w="8491" w:type="dxa"/>
            <w:gridSpan w:val="2"/>
            <w:shd w:val="clear" w:color="auto" w:fill="auto"/>
          </w:tcPr>
          <w:p w:rsidR="003B6E11" w:rsidRPr="003B6E11" w:rsidRDefault="003B6E11" w:rsidP="002D015D">
            <w:pPr>
              <w:tabs>
                <w:tab w:val="right" w:leader="underscore" w:pos="8263"/>
              </w:tabs>
              <w:outlineLvl w:val="0"/>
              <w:rPr>
                <w:noProof/>
                <w:szCs w:val="20"/>
                <w:lang w:val="cs-CZ"/>
              </w:rPr>
            </w:pPr>
            <w:r w:rsidRPr="003B6E11">
              <w:rPr>
                <w:lang w:val="cs-CZ"/>
              </w:rPr>
              <w:t>Zkouška</w:t>
            </w:r>
          </w:p>
          <w:p w:rsidR="003B6E11" w:rsidRPr="003B6E11" w:rsidRDefault="003B6E11" w:rsidP="002D015D">
            <w:pPr>
              <w:tabs>
                <w:tab w:val="right" w:leader="underscore" w:pos="8263"/>
              </w:tabs>
              <w:outlineLvl w:val="0"/>
              <w:rPr>
                <w:noProof/>
                <w:szCs w:val="20"/>
                <w:lang w:val="cs-CZ"/>
              </w:rPr>
            </w:pPr>
          </w:p>
        </w:tc>
      </w:tr>
      <w:tr w:rsidR="003B6E11" w:rsidRPr="003B6E11" w:rsidTr="002D015D">
        <w:tc>
          <w:tcPr>
            <w:tcW w:w="737" w:type="dxa"/>
            <w:shd w:val="clear" w:color="auto" w:fill="auto"/>
          </w:tcPr>
          <w:p w:rsidR="003B6E11" w:rsidRPr="003B6E11" w:rsidRDefault="003B6E11" w:rsidP="002D015D">
            <w:pPr>
              <w:outlineLvl w:val="0"/>
              <w:rPr>
                <w:noProof/>
                <w:szCs w:val="20"/>
                <w:lang w:val="cs-CZ"/>
              </w:rPr>
            </w:pPr>
          </w:p>
        </w:tc>
        <w:tc>
          <w:tcPr>
            <w:tcW w:w="8491" w:type="dxa"/>
            <w:gridSpan w:val="2"/>
            <w:shd w:val="clear" w:color="auto" w:fill="auto"/>
          </w:tcPr>
          <w:p w:rsidR="003B6E11" w:rsidRPr="003B6E11" w:rsidRDefault="003B6E11" w:rsidP="002D015D">
            <w:pPr>
              <w:tabs>
                <w:tab w:val="left" w:leader="dot" w:pos="9072"/>
              </w:tabs>
              <w:spacing w:line="240" w:lineRule="atLeast"/>
              <w:rPr>
                <w:rFonts w:cs="Arial"/>
                <w:noProof/>
                <w:lang w:val="cs-CZ"/>
              </w:rPr>
            </w:pPr>
            <w:r w:rsidRPr="003B6E11">
              <w:rPr>
                <w:lang w:val="cs-CZ"/>
              </w:rPr>
              <w:t>Zkouška by měla být prováděna na základě pokynů výrobce motoru pro monitorování konstrukčních dílů a parametrů motoru významných z hlediska výfukových plynů. V oprávněných případech mohou kontroloři dle vlastního uvážení od kontroly určitých parametrů motoru upustit.</w:t>
            </w:r>
          </w:p>
          <w:p w:rsidR="003B6E11" w:rsidRPr="003B6E11" w:rsidRDefault="003B6E11" w:rsidP="002D015D">
            <w:pPr>
              <w:tabs>
                <w:tab w:val="left" w:leader="dot" w:pos="9072"/>
              </w:tabs>
              <w:spacing w:line="240" w:lineRule="atLeast"/>
              <w:rPr>
                <w:rFonts w:cs="Arial"/>
                <w:noProof/>
                <w:lang w:val="cs-CZ"/>
              </w:rPr>
            </w:pPr>
          </w:p>
        </w:tc>
      </w:tr>
      <w:tr w:rsidR="003B6E11" w:rsidRPr="003B6E11" w:rsidTr="002D015D">
        <w:tc>
          <w:tcPr>
            <w:tcW w:w="737" w:type="dxa"/>
            <w:shd w:val="clear" w:color="auto" w:fill="auto"/>
          </w:tcPr>
          <w:p w:rsidR="003B6E11" w:rsidRPr="003B6E11" w:rsidRDefault="003B6E11" w:rsidP="002D015D">
            <w:pPr>
              <w:outlineLvl w:val="0"/>
              <w:rPr>
                <w:noProof/>
                <w:szCs w:val="20"/>
                <w:lang w:val="cs-CZ"/>
              </w:rPr>
            </w:pPr>
            <w:r w:rsidRPr="003B6E11">
              <w:rPr>
                <w:lang w:val="cs-CZ"/>
              </w:rPr>
              <w:t>0.4</w:t>
            </w:r>
          </w:p>
        </w:tc>
        <w:tc>
          <w:tcPr>
            <w:tcW w:w="8491" w:type="dxa"/>
            <w:gridSpan w:val="2"/>
            <w:shd w:val="clear" w:color="auto" w:fill="auto"/>
          </w:tcPr>
          <w:p w:rsidR="003B6E11" w:rsidRPr="003B6E11" w:rsidRDefault="003B6E11" w:rsidP="002D015D">
            <w:pPr>
              <w:tabs>
                <w:tab w:val="left" w:leader="dot" w:pos="9072"/>
              </w:tabs>
              <w:spacing w:line="240" w:lineRule="atLeast"/>
              <w:rPr>
                <w:rFonts w:cs="Arial"/>
                <w:noProof/>
                <w:lang w:val="cs-CZ"/>
              </w:rPr>
            </w:pPr>
            <w:r w:rsidRPr="003B6E11">
              <w:rPr>
                <w:lang w:val="cs-CZ"/>
              </w:rPr>
              <w:t>Tento protokol parametrů motoru včetně připojených nákresů a diagramů má celkem … * stran.</w:t>
            </w:r>
          </w:p>
          <w:p w:rsidR="003B6E11" w:rsidRPr="003B6E11" w:rsidRDefault="003B6E11" w:rsidP="002D015D">
            <w:pPr>
              <w:tabs>
                <w:tab w:val="right" w:leader="underscore" w:pos="8263"/>
              </w:tabs>
              <w:outlineLvl w:val="0"/>
              <w:rPr>
                <w:noProof/>
                <w:szCs w:val="20"/>
                <w:lang w:val="cs-CZ"/>
              </w:rPr>
            </w:pPr>
          </w:p>
        </w:tc>
      </w:tr>
      <w:tr w:rsidR="003B6E11" w:rsidRPr="003B6E11" w:rsidTr="002D015D">
        <w:tc>
          <w:tcPr>
            <w:tcW w:w="737" w:type="dxa"/>
            <w:shd w:val="clear" w:color="auto" w:fill="auto"/>
          </w:tcPr>
          <w:p w:rsidR="003B6E11" w:rsidRPr="003B6E11" w:rsidRDefault="003B6E11" w:rsidP="002D015D">
            <w:pPr>
              <w:outlineLvl w:val="0"/>
              <w:rPr>
                <w:noProof/>
                <w:szCs w:val="20"/>
                <w:lang w:val="cs-CZ"/>
              </w:rPr>
            </w:pPr>
            <w:r w:rsidRPr="003B6E11">
              <w:rPr>
                <w:b/>
                <w:noProof/>
                <w:lang w:val="cs-CZ"/>
              </w:rPr>
              <w:t>1.</w:t>
            </w:r>
          </w:p>
        </w:tc>
        <w:tc>
          <w:tcPr>
            <w:tcW w:w="8491" w:type="dxa"/>
            <w:gridSpan w:val="2"/>
            <w:shd w:val="clear" w:color="auto" w:fill="auto"/>
          </w:tcPr>
          <w:p w:rsidR="003B6E11" w:rsidRPr="003B6E11" w:rsidRDefault="003B6E11" w:rsidP="002D015D">
            <w:pPr>
              <w:tabs>
                <w:tab w:val="right" w:leader="underscore" w:pos="8263"/>
              </w:tabs>
              <w:outlineLvl w:val="0"/>
              <w:rPr>
                <w:b/>
                <w:bCs/>
                <w:noProof/>
                <w:szCs w:val="20"/>
                <w:lang w:val="cs-CZ"/>
              </w:rPr>
            </w:pPr>
            <w:r w:rsidRPr="003B6E11">
              <w:rPr>
                <w:b/>
                <w:noProof/>
                <w:lang w:val="cs-CZ"/>
              </w:rPr>
              <w:t>Parametry motoru</w:t>
            </w:r>
          </w:p>
          <w:p w:rsidR="003B6E11" w:rsidRPr="003B6E11" w:rsidRDefault="003B6E11" w:rsidP="002D015D">
            <w:pPr>
              <w:tabs>
                <w:tab w:val="right" w:leader="underscore" w:pos="8263"/>
              </w:tabs>
              <w:outlineLvl w:val="0"/>
              <w:rPr>
                <w:noProof/>
                <w:szCs w:val="20"/>
                <w:lang w:val="cs-CZ"/>
              </w:rPr>
            </w:pPr>
          </w:p>
        </w:tc>
      </w:tr>
      <w:tr w:rsidR="003B6E11" w:rsidRPr="003B6E11" w:rsidTr="002D015D">
        <w:tc>
          <w:tcPr>
            <w:tcW w:w="737" w:type="dxa"/>
            <w:shd w:val="clear" w:color="auto" w:fill="auto"/>
          </w:tcPr>
          <w:p w:rsidR="003B6E11" w:rsidRPr="003B6E11" w:rsidRDefault="003B6E11" w:rsidP="002D015D">
            <w:pPr>
              <w:outlineLvl w:val="0"/>
              <w:rPr>
                <w:b/>
                <w:bCs/>
                <w:noProof/>
                <w:szCs w:val="20"/>
                <w:lang w:val="cs-CZ"/>
              </w:rPr>
            </w:pPr>
          </w:p>
        </w:tc>
        <w:tc>
          <w:tcPr>
            <w:tcW w:w="8491" w:type="dxa"/>
            <w:gridSpan w:val="2"/>
            <w:shd w:val="clear" w:color="auto" w:fill="auto"/>
          </w:tcPr>
          <w:p w:rsidR="003B6E11" w:rsidRPr="003B6E11" w:rsidRDefault="003B6E11" w:rsidP="002D015D">
            <w:pPr>
              <w:tabs>
                <w:tab w:val="left" w:leader="dot" w:pos="9072"/>
              </w:tabs>
              <w:spacing w:line="240" w:lineRule="atLeast"/>
              <w:rPr>
                <w:rFonts w:cs="Arial"/>
                <w:noProof/>
                <w:lang w:val="cs-CZ"/>
              </w:rPr>
            </w:pPr>
            <w:r w:rsidRPr="003B6E11">
              <w:rPr>
                <w:lang w:val="cs-CZ"/>
              </w:rPr>
              <w:t>Osvědčuje se, že zkoušený motor nevykazuje nadměrné odchylky od předepsaných parametrů.</w:t>
            </w:r>
          </w:p>
          <w:p w:rsidR="003B6E11" w:rsidRPr="003B6E11" w:rsidRDefault="003B6E11" w:rsidP="002D015D">
            <w:pPr>
              <w:tabs>
                <w:tab w:val="left" w:leader="dot" w:pos="9072"/>
              </w:tabs>
              <w:spacing w:line="240" w:lineRule="atLeast"/>
              <w:rPr>
                <w:rFonts w:cs="Arial"/>
                <w:b/>
                <w:bCs/>
                <w:noProof/>
                <w:lang w:val="cs-CZ"/>
              </w:rPr>
            </w:pPr>
          </w:p>
        </w:tc>
      </w:tr>
      <w:tr w:rsidR="003B6E11" w:rsidRPr="003B6E11" w:rsidTr="002D015D">
        <w:tc>
          <w:tcPr>
            <w:tcW w:w="737" w:type="dxa"/>
            <w:shd w:val="clear" w:color="auto" w:fill="auto"/>
          </w:tcPr>
          <w:p w:rsidR="003B6E11" w:rsidRPr="003B6E11" w:rsidRDefault="003B6E11" w:rsidP="002D015D">
            <w:pPr>
              <w:outlineLvl w:val="0"/>
              <w:rPr>
                <w:b/>
                <w:bCs/>
                <w:noProof/>
                <w:szCs w:val="20"/>
                <w:lang w:val="cs-CZ"/>
              </w:rPr>
            </w:pPr>
            <w:r w:rsidRPr="003B6E11">
              <w:rPr>
                <w:lang w:val="cs-CZ"/>
              </w:rPr>
              <w:t>1.1</w:t>
            </w:r>
          </w:p>
        </w:tc>
        <w:tc>
          <w:tcPr>
            <w:tcW w:w="8491" w:type="dxa"/>
            <w:gridSpan w:val="2"/>
            <w:shd w:val="clear" w:color="auto" w:fill="auto"/>
          </w:tcPr>
          <w:p w:rsidR="003B6E11" w:rsidRPr="003B6E11" w:rsidRDefault="003B6E11" w:rsidP="002D015D">
            <w:pPr>
              <w:tabs>
                <w:tab w:val="right" w:leader="underscore" w:pos="8263"/>
              </w:tabs>
              <w:outlineLvl w:val="0"/>
              <w:rPr>
                <w:noProof/>
                <w:szCs w:val="20"/>
                <w:lang w:val="cs-CZ"/>
              </w:rPr>
            </w:pPr>
            <w:r w:rsidRPr="003B6E11">
              <w:rPr>
                <w:lang w:val="cs-CZ"/>
              </w:rPr>
              <w:t>Montážní kontrola</w:t>
            </w:r>
          </w:p>
        </w:tc>
      </w:tr>
      <w:tr w:rsidR="003B6E11" w:rsidRPr="003B6E11" w:rsidTr="002D015D">
        <w:tc>
          <w:tcPr>
            <w:tcW w:w="737" w:type="dxa"/>
            <w:shd w:val="clear" w:color="auto" w:fill="auto"/>
          </w:tcPr>
          <w:p w:rsidR="003B6E11" w:rsidRPr="003B6E11" w:rsidRDefault="003B6E11" w:rsidP="002D015D">
            <w:pPr>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 xml:space="preserve">Název a adresa technické zkušebny: </w:t>
            </w:r>
            <w:r w:rsidRPr="003B6E11">
              <w:rPr>
                <w:lang w:val="cs-CZ"/>
              </w:rPr>
              <w:tab/>
            </w:r>
          </w:p>
        </w:tc>
      </w:tr>
      <w:tr w:rsidR="003B6E11" w:rsidRPr="003B6E11" w:rsidTr="002D015D">
        <w:tc>
          <w:tcPr>
            <w:tcW w:w="737" w:type="dxa"/>
            <w:shd w:val="clear" w:color="auto" w:fill="auto"/>
          </w:tcPr>
          <w:p w:rsidR="003B6E11" w:rsidRPr="003B6E11" w:rsidRDefault="003B6E11" w:rsidP="002D015D">
            <w:pPr>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ab/>
            </w:r>
          </w:p>
        </w:tc>
      </w:tr>
      <w:tr w:rsidR="003B6E11" w:rsidRPr="003B6E11" w:rsidTr="002D015D">
        <w:tc>
          <w:tcPr>
            <w:tcW w:w="737" w:type="dxa"/>
            <w:shd w:val="clear" w:color="auto" w:fill="auto"/>
          </w:tcPr>
          <w:p w:rsidR="003B6E11" w:rsidRPr="003B6E11" w:rsidRDefault="003B6E11" w:rsidP="002D015D">
            <w:pPr>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ab/>
            </w:r>
          </w:p>
        </w:tc>
      </w:tr>
      <w:tr w:rsidR="003B6E11" w:rsidRPr="003B6E11" w:rsidTr="002D015D">
        <w:tc>
          <w:tcPr>
            <w:tcW w:w="737" w:type="dxa"/>
            <w:shd w:val="clear" w:color="auto" w:fill="auto"/>
          </w:tcPr>
          <w:p w:rsidR="003B6E11" w:rsidRPr="003B6E11" w:rsidRDefault="003B6E11" w:rsidP="002D015D">
            <w:pPr>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Jméno kontrolora:</w:t>
            </w:r>
            <w:r w:rsidRPr="003B6E11">
              <w:rPr>
                <w:lang w:val="cs-CZ"/>
              </w:rPr>
              <w:tab/>
            </w:r>
          </w:p>
        </w:tc>
      </w:tr>
      <w:tr w:rsidR="003B6E11" w:rsidRPr="003B6E11" w:rsidTr="002D015D">
        <w:tc>
          <w:tcPr>
            <w:tcW w:w="737" w:type="dxa"/>
            <w:shd w:val="clear" w:color="auto" w:fill="auto"/>
          </w:tcPr>
          <w:p w:rsidR="003B6E11" w:rsidRPr="003B6E11" w:rsidRDefault="003B6E11" w:rsidP="002D015D">
            <w:pPr>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Místo a datum:</w:t>
            </w:r>
            <w:r w:rsidRPr="003B6E11">
              <w:rPr>
                <w:lang w:val="cs-CZ"/>
              </w:rPr>
              <w:tab/>
            </w:r>
          </w:p>
        </w:tc>
      </w:tr>
      <w:tr w:rsidR="003B6E11" w:rsidRPr="003B6E11" w:rsidTr="002D015D">
        <w:tc>
          <w:tcPr>
            <w:tcW w:w="737" w:type="dxa"/>
            <w:shd w:val="clear" w:color="auto" w:fill="auto"/>
          </w:tcPr>
          <w:p w:rsidR="003B6E11" w:rsidRPr="003B6E11" w:rsidRDefault="003B6E11" w:rsidP="002D015D">
            <w:pPr>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Podpis:</w:t>
            </w:r>
            <w:r w:rsidRPr="003B6E11">
              <w:rPr>
                <w:lang w:val="cs-CZ"/>
              </w:rPr>
              <w:tab/>
            </w:r>
          </w:p>
        </w:tc>
      </w:tr>
      <w:tr w:rsidR="003B6E11" w:rsidRPr="003B6E11" w:rsidTr="002D015D">
        <w:tc>
          <w:tcPr>
            <w:tcW w:w="737" w:type="dxa"/>
            <w:shd w:val="clear" w:color="auto" w:fill="auto"/>
          </w:tcPr>
          <w:p w:rsidR="003B6E11" w:rsidRPr="003B6E11" w:rsidRDefault="003B6E11" w:rsidP="002D015D">
            <w:pPr>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p>
        </w:tc>
      </w:tr>
      <w:tr w:rsidR="003B6E11" w:rsidRPr="003B6E11" w:rsidTr="002D015D">
        <w:tc>
          <w:tcPr>
            <w:tcW w:w="737" w:type="dxa"/>
            <w:shd w:val="clear" w:color="auto" w:fill="auto"/>
          </w:tcPr>
          <w:p w:rsidR="003B6E11" w:rsidRPr="003B6E11" w:rsidRDefault="003B6E11" w:rsidP="002D015D">
            <w:pPr>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Zkouška uznána příslušným orgánem:</w:t>
            </w:r>
            <w:r w:rsidRPr="003B6E11">
              <w:rPr>
                <w:lang w:val="cs-CZ"/>
              </w:rPr>
              <w:tab/>
            </w:r>
          </w:p>
        </w:tc>
      </w:tr>
      <w:tr w:rsidR="003B6E11" w:rsidRPr="003B6E11" w:rsidTr="002D015D">
        <w:tc>
          <w:tcPr>
            <w:tcW w:w="737" w:type="dxa"/>
            <w:shd w:val="clear" w:color="auto" w:fill="auto"/>
          </w:tcPr>
          <w:p w:rsidR="003B6E11" w:rsidRPr="003B6E11" w:rsidRDefault="003B6E11" w:rsidP="002D015D">
            <w:pPr>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ab/>
            </w:r>
          </w:p>
        </w:tc>
      </w:tr>
      <w:tr w:rsidR="003B6E11" w:rsidRPr="003B6E11" w:rsidTr="002D015D">
        <w:tc>
          <w:tcPr>
            <w:tcW w:w="737" w:type="dxa"/>
            <w:shd w:val="clear" w:color="auto" w:fill="auto"/>
          </w:tcPr>
          <w:p w:rsidR="003B6E11" w:rsidRPr="003B6E11" w:rsidRDefault="003B6E11" w:rsidP="002D015D">
            <w:pPr>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ab/>
            </w:r>
          </w:p>
        </w:tc>
      </w:tr>
      <w:tr w:rsidR="003B6E11" w:rsidRPr="003B6E11" w:rsidTr="002D015D">
        <w:tc>
          <w:tcPr>
            <w:tcW w:w="737" w:type="dxa"/>
            <w:shd w:val="clear" w:color="auto" w:fill="auto"/>
          </w:tcPr>
          <w:p w:rsidR="003B6E11" w:rsidRPr="003B6E11" w:rsidRDefault="003B6E11" w:rsidP="002D015D">
            <w:pPr>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p>
        </w:tc>
      </w:tr>
      <w:tr w:rsidR="003B6E11" w:rsidRPr="003B6E11" w:rsidTr="002D015D">
        <w:tc>
          <w:tcPr>
            <w:tcW w:w="737" w:type="dxa"/>
            <w:shd w:val="clear" w:color="auto" w:fill="auto"/>
          </w:tcPr>
          <w:p w:rsidR="003B6E11" w:rsidRPr="003B6E11" w:rsidRDefault="003B6E11" w:rsidP="002D015D">
            <w:pPr>
              <w:outlineLvl w:val="0"/>
              <w:rPr>
                <w:noProof/>
                <w:szCs w:val="20"/>
                <w:lang w:val="cs-CZ"/>
              </w:rPr>
            </w:pPr>
          </w:p>
        </w:tc>
        <w:tc>
          <w:tcPr>
            <w:tcW w:w="5131" w:type="dxa"/>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Místo a datum:</w:t>
            </w:r>
            <w:r w:rsidRPr="003B6E11">
              <w:rPr>
                <w:lang w:val="cs-CZ"/>
              </w:rPr>
              <w:tab/>
            </w:r>
          </w:p>
        </w:tc>
        <w:tc>
          <w:tcPr>
            <w:tcW w:w="3360" w:type="dxa"/>
            <w:shd w:val="clear" w:color="auto" w:fill="auto"/>
          </w:tcPr>
          <w:p w:rsidR="003B6E11" w:rsidRPr="003B6E11" w:rsidRDefault="003B6E11" w:rsidP="002D015D">
            <w:pPr>
              <w:tabs>
                <w:tab w:val="right" w:leader="dot" w:pos="8263"/>
              </w:tabs>
              <w:spacing w:line="240" w:lineRule="atLeast"/>
              <w:jc w:val="center"/>
              <w:outlineLvl w:val="0"/>
              <w:rPr>
                <w:noProof/>
                <w:sz w:val="16"/>
                <w:szCs w:val="20"/>
                <w:lang w:val="cs-CZ"/>
              </w:rPr>
            </w:pPr>
            <w:r w:rsidRPr="003B6E11">
              <w:rPr>
                <w:noProof/>
                <w:sz w:val="16"/>
                <w:lang w:val="cs-CZ"/>
              </w:rPr>
              <w:t>Razítko příslušného</w:t>
            </w:r>
          </w:p>
        </w:tc>
      </w:tr>
      <w:tr w:rsidR="003B6E11" w:rsidRPr="003B6E11" w:rsidTr="002D015D">
        <w:tc>
          <w:tcPr>
            <w:tcW w:w="737" w:type="dxa"/>
            <w:shd w:val="clear" w:color="auto" w:fill="auto"/>
          </w:tcPr>
          <w:p w:rsidR="003B6E11" w:rsidRPr="003B6E11" w:rsidRDefault="003B6E11" w:rsidP="002D015D">
            <w:pPr>
              <w:outlineLvl w:val="0"/>
              <w:rPr>
                <w:noProof/>
                <w:szCs w:val="20"/>
                <w:lang w:val="cs-CZ"/>
              </w:rPr>
            </w:pPr>
          </w:p>
        </w:tc>
        <w:tc>
          <w:tcPr>
            <w:tcW w:w="5131" w:type="dxa"/>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Podpis:</w:t>
            </w:r>
            <w:r w:rsidRPr="003B6E11">
              <w:rPr>
                <w:lang w:val="cs-CZ"/>
              </w:rPr>
              <w:tab/>
            </w:r>
          </w:p>
        </w:tc>
        <w:tc>
          <w:tcPr>
            <w:tcW w:w="3360" w:type="dxa"/>
            <w:shd w:val="clear" w:color="auto" w:fill="auto"/>
          </w:tcPr>
          <w:p w:rsidR="003B6E11" w:rsidRPr="003B6E11" w:rsidRDefault="003B6E11" w:rsidP="002D015D">
            <w:pPr>
              <w:tabs>
                <w:tab w:val="right" w:leader="dot" w:pos="8263"/>
              </w:tabs>
              <w:spacing w:line="240" w:lineRule="atLeast"/>
              <w:jc w:val="center"/>
              <w:outlineLvl w:val="0"/>
              <w:rPr>
                <w:noProof/>
                <w:sz w:val="16"/>
                <w:szCs w:val="20"/>
                <w:lang w:val="cs-CZ"/>
              </w:rPr>
            </w:pPr>
            <w:r w:rsidRPr="003B6E11">
              <w:rPr>
                <w:noProof/>
                <w:sz w:val="16"/>
                <w:lang w:val="cs-CZ"/>
              </w:rPr>
              <w:t>orgánu</w:t>
            </w:r>
          </w:p>
        </w:tc>
      </w:tr>
    </w:tbl>
    <w:p w:rsidR="003B6E11" w:rsidRPr="003B6E11" w:rsidRDefault="003B6E11" w:rsidP="003B6E11">
      <w:pPr>
        <w:tabs>
          <w:tab w:val="left" w:pos="737"/>
          <w:tab w:val="left" w:pos="2835"/>
        </w:tabs>
        <w:rPr>
          <w:noProof/>
          <w:szCs w:val="20"/>
          <w:lang w:val="cs-CZ"/>
        </w:rPr>
      </w:pPr>
    </w:p>
    <w:p w:rsidR="003B6E11" w:rsidRPr="003B6E11" w:rsidRDefault="003B6E11" w:rsidP="003B6E11">
      <w:pPr>
        <w:tabs>
          <w:tab w:val="left" w:pos="737"/>
          <w:tab w:val="left" w:pos="2835"/>
        </w:tabs>
        <w:rPr>
          <w:noProof/>
          <w:szCs w:val="20"/>
          <w:lang w:val="cs-CZ"/>
        </w:rPr>
      </w:pPr>
    </w:p>
    <w:p w:rsidR="003B6E11" w:rsidRPr="003B6E11" w:rsidRDefault="003B6E11" w:rsidP="003B6E11">
      <w:pPr>
        <w:tabs>
          <w:tab w:val="left" w:pos="737"/>
          <w:tab w:val="left" w:pos="2835"/>
        </w:tabs>
        <w:rPr>
          <w:noProof/>
          <w:szCs w:val="20"/>
          <w:lang w:val="cs-CZ"/>
        </w:rPr>
      </w:pPr>
    </w:p>
    <w:p w:rsidR="003B6E11" w:rsidRPr="003B6E11" w:rsidRDefault="003B6E11" w:rsidP="003B6E11">
      <w:pPr>
        <w:tabs>
          <w:tab w:val="left" w:pos="737"/>
          <w:tab w:val="left" w:pos="2835"/>
        </w:tabs>
        <w:rPr>
          <w:noProof/>
          <w:szCs w:val="20"/>
          <w:lang w:val="cs-CZ"/>
        </w:rPr>
      </w:pPr>
    </w:p>
    <w:p w:rsidR="003B6E11" w:rsidRPr="003B6E11" w:rsidRDefault="003B6E11" w:rsidP="003B6E11">
      <w:pPr>
        <w:tabs>
          <w:tab w:val="left" w:pos="737"/>
          <w:tab w:val="left" w:pos="2835"/>
        </w:tabs>
        <w:rPr>
          <w:noProof/>
          <w:szCs w:val="20"/>
          <w:lang w:val="cs-CZ"/>
        </w:rPr>
      </w:pPr>
    </w:p>
    <w:p w:rsidR="003B6E11" w:rsidRPr="003B6E11" w:rsidRDefault="003B6E11" w:rsidP="003B6E11">
      <w:pPr>
        <w:tabs>
          <w:tab w:val="left" w:pos="737"/>
          <w:tab w:val="left" w:pos="2835"/>
        </w:tabs>
        <w:rPr>
          <w:noProof/>
          <w:szCs w:val="20"/>
          <w:lang w:val="cs-CZ"/>
        </w:rPr>
      </w:pPr>
    </w:p>
    <w:p w:rsidR="003B6E11" w:rsidRPr="003B6E11" w:rsidRDefault="003B6E11" w:rsidP="003B6E11">
      <w:pPr>
        <w:tabs>
          <w:tab w:val="left" w:pos="737"/>
          <w:tab w:val="left" w:pos="2835"/>
        </w:tabs>
        <w:rPr>
          <w:noProof/>
          <w:szCs w:val="20"/>
          <w:lang w:val="cs-CZ"/>
        </w:rPr>
      </w:pPr>
    </w:p>
    <w:p w:rsidR="003B6E11" w:rsidRPr="003B6E11" w:rsidRDefault="003B6E11" w:rsidP="003B6E11">
      <w:pPr>
        <w:tabs>
          <w:tab w:val="left" w:pos="737"/>
          <w:tab w:val="left" w:pos="2835"/>
        </w:tabs>
        <w:rPr>
          <w:noProof/>
          <w:szCs w:val="20"/>
          <w:lang w:val="cs-CZ"/>
        </w:rPr>
      </w:pPr>
    </w:p>
    <w:p w:rsidR="003B6E11" w:rsidRPr="003B6E11" w:rsidRDefault="003B6E11" w:rsidP="003B6E11">
      <w:pPr>
        <w:tabs>
          <w:tab w:val="left" w:pos="737"/>
          <w:tab w:val="left" w:pos="2835"/>
        </w:tabs>
        <w:rPr>
          <w:noProof/>
          <w:szCs w:val="20"/>
          <w:lang w:val="cs-CZ"/>
        </w:rPr>
      </w:pPr>
      <w:r w:rsidRPr="003B6E11">
        <w:rPr>
          <w:lang w:val="cs-CZ"/>
        </w:rPr>
        <w:t>-----------------</w:t>
      </w:r>
    </w:p>
    <w:p w:rsidR="003B6E11" w:rsidRPr="003B6E11" w:rsidRDefault="003B6E11" w:rsidP="003B6E11">
      <w:pPr>
        <w:tabs>
          <w:tab w:val="left" w:pos="284"/>
        </w:tabs>
        <w:ind w:left="284" w:hanging="284"/>
        <w:rPr>
          <w:noProof/>
          <w:sz w:val="16"/>
          <w:szCs w:val="20"/>
          <w:lang w:val="cs-CZ"/>
        </w:rPr>
      </w:pPr>
      <w:r w:rsidRPr="003B6E11">
        <w:rPr>
          <w:lang w:val="cs-CZ"/>
        </w:rPr>
        <w:t>*</w:t>
      </w:r>
      <w:r w:rsidRPr="003B6E11">
        <w:rPr>
          <w:lang w:val="cs-CZ"/>
        </w:rPr>
        <w:tab/>
      </w:r>
      <w:r w:rsidRPr="003B6E11">
        <w:rPr>
          <w:noProof/>
          <w:sz w:val="16"/>
          <w:lang w:val="cs-CZ"/>
        </w:rPr>
        <w:t>Vyplní kontrolor.</w:t>
      </w:r>
    </w:p>
    <w:p w:rsidR="003B6E11" w:rsidRPr="003B6E11" w:rsidRDefault="003B6E11" w:rsidP="003B6E11">
      <w:pPr>
        <w:tabs>
          <w:tab w:val="left" w:leader="dot" w:pos="9072"/>
        </w:tabs>
        <w:spacing w:line="240" w:lineRule="atLeast"/>
        <w:rPr>
          <w:rFonts w:cs="Arial"/>
          <w:noProof/>
          <w:lang w:val="cs-CZ"/>
        </w:rPr>
      </w:pPr>
      <w:r w:rsidRPr="003B6E11">
        <w:rPr>
          <w:lang w:val="cs-CZ"/>
        </w:rPr>
        <w:br w:type="page"/>
      </w:r>
    </w:p>
    <w:tbl>
      <w:tblPr>
        <w:tblW w:w="0" w:type="auto"/>
        <w:tblLayout w:type="fixed"/>
        <w:tblLook w:val="01E0" w:firstRow="1" w:lastRow="1" w:firstColumn="1" w:lastColumn="1" w:noHBand="0" w:noVBand="0"/>
      </w:tblPr>
      <w:tblGrid>
        <w:gridCol w:w="737"/>
        <w:gridCol w:w="5131"/>
        <w:gridCol w:w="3360"/>
      </w:tblGrid>
      <w:tr w:rsidR="003B6E11" w:rsidRPr="003B6E11" w:rsidTr="002D015D">
        <w:tc>
          <w:tcPr>
            <w:tcW w:w="737" w:type="dxa"/>
            <w:shd w:val="clear" w:color="auto" w:fill="auto"/>
          </w:tcPr>
          <w:p w:rsidR="003B6E11" w:rsidRPr="003B6E11" w:rsidRDefault="003B6E11" w:rsidP="002D015D">
            <w:pPr>
              <w:spacing w:line="240" w:lineRule="atLeast"/>
              <w:rPr>
                <w:b/>
                <w:bCs/>
                <w:noProof/>
                <w:szCs w:val="20"/>
                <w:lang w:val="cs-CZ"/>
              </w:rPr>
            </w:pPr>
            <w:r w:rsidRPr="003B6E11">
              <w:rPr>
                <w:lang w:val="cs-CZ"/>
              </w:rPr>
              <w:t>1.2</w:t>
            </w:r>
          </w:p>
        </w:tc>
        <w:tc>
          <w:tcPr>
            <w:tcW w:w="8491" w:type="dxa"/>
            <w:gridSpan w:val="2"/>
            <w:shd w:val="clear" w:color="auto" w:fill="auto"/>
          </w:tcPr>
          <w:p w:rsidR="003B6E11" w:rsidRPr="003B6E11" w:rsidRDefault="003B6E11" w:rsidP="002D015D">
            <w:pPr>
              <w:spacing w:line="240" w:lineRule="atLeast"/>
              <w:rPr>
                <w:b/>
                <w:bCs/>
                <w:noProof/>
                <w:szCs w:val="20"/>
                <w:lang w:val="cs-CZ"/>
              </w:rPr>
            </w:pPr>
            <w:r w:rsidRPr="003B6E11">
              <w:rPr>
                <w:noProof/>
                <w:szCs w:val="20"/>
                <w:lang w:val="cs-CZ"/>
              </w:rPr>
              <w:fldChar w:fldCharType="begin">
                <w:ffData>
                  <w:name w:val="Kontrollkästchen1"/>
                  <w:enabled/>
                  <w:calcOnExit w:val="0"/>
                  <w:checkBox>
                    <w:size w:val="20"/>
                    <w:default w:val="0"/>
                  </w:checkBox>
                </w:ffData>
              </w:fldChar>
            </w:r>
            <w:r w:rsidRPr="003B6E11">
              <w:rPr>
                <w:noProof/>
                <w:szCs w:val="20"/>
                <w:lang w:val="cs-CZ"/>
              </w:rPr>
              <w:instrText xml:space="preserve"> FORMCHECKBOX </w:instrText>
            </w:r>
            <w:r w:rsidR="002D015D">
              <w:rPr>
                <w:noProof/>
                <w:szCs w:val="20"/>
                <w:lang w:val="cs-CZ"/>
              </w:rPr>
            </w:r>
            <w:r w:rsidR="002D015D">
              <w:rPr>
                <w:noProof/>
                <w:szCs w:val="20"/>
                <w:lang w:val="cs-CZ"/>
              </w:rPr>
              <w:fldChar w:fldCharType="separate"/>
            </w:r>
            <w:r w:rsidRPr="003B6E11">
              <w:rPr>
                <w:noProof/>
                <w:szCs w:val="20"/>
                <w:lang w:val="cs-CZ"/>
              </w:rPr>
              <w:fldChar w:fldCharType="end"/>
            </w:r>
            <w:r w:rsidRPr="003B6E11">
              <w:rPr>
                <w:lang w:val="cs-CZ"/>
              </w:rPr>
              <w:t xml:space="preserve"> Provozní zkouška</w:t>
            </w:r>
            <w:r w:rsidRPr="003B6E11">
              <w:rPr>
                <w:lang w:val="cs-CZ"/>
              </w:rPr>
              <w:tab/>
            </w:r>
            <w:r w:rsidRPr="003B6E11">
              <w:rPr>
                <w:noProof/>
                <w:szCs w:val="20"/>
                <w:lang w:val="cs-CZ"/>
              </w:rPr>
              <w:fldChar w:fldCharType="begin">
                <w:ffData>
                  <w:name w:val="Kontrollkästchen1"/>
                  <w:enabled/>
                  <w:calcOnExit w:val="0"/>
                  <w:checkBox>
                    <w:size w:val="20"/>
                    <w:default w:val="0"/>
                  </w:checkBox>
                </w:ffData>
              </w:fldChar>
            </w:r>
            <w:r w:rsidRPr="003B6E11">
              <w:rPr>
                <w:noProof/>
                <w:szCs w:val="20"/>
                <w:lang w:val="cs-CZ"/>
              </w:rPr>
              <w:instrText xml:space="preserve"> FORMCHECKBOX </w:instrText>
            </w:r>
            <w:r w:rsidR="002D015D">
              <w:rPr>
                <w:noProof/>
                <w:szCs w:val="20"/>
                <w:lang w:val="cs-CZ"/>
              </w:rPr>
            </w:r>
            <w:r w:rsidR="002D015D">
              <w:rPr>
                <w:noProof/>
                <w:szCs w:val="20"/>
                <w:lang w:val="cs-CZ"/>
              </w:rPr>
              <w:fldChar w:fldCharType="separate"/>
            </w:r>
            <w:r w:rsidRPr="003B6E11">
              <w:rPr>
                <w:noProof/>
                <w:szCs w:val="20"/>
                <w:lang w:val="cs-CZ"/>
              </w:rPr>
              <w:fldChar w:fldCharType="end"/>
            </w:r>
            <w:r w:rsidRPr="003B6E11">
              <w:rPr>
                <w:lang w:val="cs-CZ"/>
              </w:rPr>
              <w:t xml:space="preserve"> Zvláštní zkouška</w:t>
            </w:r>
            <w:r w:rsidRPr="003B6E11">
              <w:rPr>
                <w:rStyle w:val="FootnoteReference"/>
                <w:noProof/>
                <w:lang w:val="cs-CZ"/>
              </w:rPr>
              <w:footnoteReference w:id="62"/>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 xml:space="preserve">Název a adresa technické zkušebny: </w:t>
            </w: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 xml:space="preserve">Jméno kontrolora: </w:t>
            </w: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 xml:space="preserve">Místo a datum: </w:t>
            </w: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 xml:space="preserve">Podpis: </w:t>
            </w: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 xml:space="preserve">Zkouška uznána příslušným orgánem: </w:t>
            </w: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5131" w:type="dxa"/>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 xml:space="preserve">Místo a datum: </w:t>
            </w:r>
            <w:r w:rsidRPr="003B6E11">
              <w:rPr>
                <w:lang w:val="cs-CZ"/>
              </w:rPr>
              <w:tab/>
            </w:r>
          </w:p>
        </w:tc>
        <w:tc>
          <w:tcPr>
            <w:tcW w:w="3360" w:type="dxa"/>
            <w:shd w:val="clear" w:color="auto" w:fill="auto"/>
          </w:tcPr>
          <w:p w:rsidR="003B6E11" w:rsidRPr="003B6E11" w:rsidRDefault="003B6E11" w:rsidP="002D015D">
            <w:pPr>
              <w:tabs>
                <w:tab w:val="right" w:leader="dot" w:pos="8263"/>
              </w:tabs>
              <w:spacing w:line="240" w:lineRule="atLeast"/>
              <w:jc w:val="center"/>
              <w:outlineLvl w:val="0"/>
              <w:rPr>
                <w:noProof/>
                <w:sz w:val="16"/>
                <w:szCs w:val="20"/>
                <w:lang w:val="cs-CZ"/>
              </w:rPr>
            </w:pPr>
            <w:r w:rsidRPr="003B6E11">
              <w:rPr>
                <w:noProof/>
                <w:sz w:val="16"/>
                <w:lang w:val="cs-CZ"/>
              </w:rPr>
              <w:t>Razítko příslušného</w:t>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5131" w:type="dxa"/>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 xml:space="preserve">Podpis: </w:t>
            </w:r>
            <w:r w:rsidRPr="003B6E11">
              <w:rPr>
                <w:lang w:val="cs-CZ"/>
              </w:rPr>
              <w:tab/>
            </w:r>
          </w:p>
        </w:tc>
        <w:tc>
          <w:tcPr>
            <w:tcW w:w="3360" w:type="dxa"/>
            <w:shd w:val="clear" w:color="auto" w:fill="auto"/>
          </w:tcPr>
          <w:p w:rsidR="003B6E11" w:rsidRPr="003B6E11" w:rsidRDefault="003B6E11" w:rsidP="002D015D">
            <w:pPr>
              <w:tabs>
                <w:tab w:val="right" w:leader="dot" w:pos="8263"/>
              </w:tabs>
              <w:spacing w:line="240" w:lineRule="atLeast"/>
              <w:jc w:val="center"/>
              <w:outlineLvl w:val="0"/>
              <w:rPr>
                <w:noProof/>
                <w:sz w:val="16"/>
                <w:szCs w:val="20"/>
                <w:lang w:val="cs-CZ"/>
              </w:rPr>
            </w:pPr>
            <w:r w:rsidRPr="003B6E11">
              <w:rPr>
                <w:noProof/>
                <w:sz w:val="16"/>
                <w:lang w:val="cs-CZ"/>
              </w:rPr>
              <w:t>orgánu</w:t>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p w:rsidR="003B6E11" w:rsidRPr="003B6E11" w:rsidRDefault="003B6E11" w:rsidP="002D015D">
            <w:pPr>
              <w:spacing w:line="240" w:lineRule="atLeast"/>
              <w:outlineLvl w:val="0"/>
              <w:rPr>
                <w:noProof/>
                <w:szCs w:val="20"/>
                <w:lang w:val="cs-CZ"/>
              </w:rPr>
            </w:pPr>
          </w:p>
          <w:p w:rsidR="003B6E11" w:rsidRPr="003B6E11" w:rsidRDefault="003B6E11" w:rsidP="002D015D">
            <w:pPr>
              <w:spacing w:line="240" w:lineRule="atLeast"/>
              <w:outlineLvl w:val="0"/>
              <w:rPr>
                <w:noProof/>
                <w:szCs w:val="20"/>
                <w:lang w:val="cs-CZ"/>
              </w:rPr>
            </w:pPr>
          </w:p>
        </w:tc>
        <w:tc>
          <w:tcPr>
            <w:tcW w:w="5131" w:type="dxa"/>
            <w:shd w:val="clear" w:color="auto" w:fill="auto"/>
          </w:tcPr>
          <w:p w:rsidR="003B6E11" w:rsidRPr="003B6E11" w:rsidRDefault="003B6E11" w:rsidP="002D015D">
            <w:pPr>
              <w:tabs>
                <w:tab w:val="right" w:leader="dot" w:pos="8263"/>
              </w:tabs>
              <w:spacing w:line="240" w:lineRule="atLeast"/>
              <w:outlineLvl w:val="0"/>
              <w:rPr>
                <w:noProof/>
                <w:szCs w:val="20"/>
                <w:lang w:val="cs-CZ"/>
              </w:rPr>
            </w:pPr>
          </w:p>
        </w:tc>
        <w:tc>
          <w:tcPr>
            <w:tcW w:w="3360" w:type="dxa"/>
            <w:shd w:val="clear" w:color="auto" w:fill="auto"/>
          </w:tcPr>
          <w:p w:rsidR="003B6E11" w:rsidRPr="003B6E11" w:rsidRDefault="003B6E11" w:rsidP="002D015D">
            <w:pPr>
              <w:tabs>
                <w:tab w:val="right" w:leader="dot" w:pos="8263"/>
              </w:tabs>
              <w:spacing w:line="240" w:lineRule="atLeast"/>
              <w:jc w:val="center"/>
              <w:outlineLvl w:val="0"/>
              <w:rPr>
                <w:noProof/>
                <w:sz w:val="16"/>
                <w:szCs w:val="20"/>
                <w:lang w:val="cs-CZ"/>
              </w:rPr>
            </w:pPr>
          </w:p>
        </w:tc>
      </w:tr>
      <w:tr w:rsidR="003B6E11" w:rsidRPr="003B6E11" w:rsidTr="002D015D">
        <w:tc>
          <w:tcPr>
            <w:tcW w:w="737" w:type="dxa"/>
            <w:shd w:val="clear" w:color="auto" w:fill="auto"/>
          </w:tcPr>
          <w:p w:rsidR="003B6E11" w:rsidRPr="003B6E11" w:rsidRDefault="003B6E11" w:rsidP="002D015D">
            <w:pPr>
              <w:spacing w:line="240" w:lineRule="atLeast"/>
              <w:rPr>
                <w:b/>
                <w:bCs/>
                <w:noProof/>
                <w:szCs w:val="20"/>
                <w:lang w:val="cs-CZ"/>
              </w:rPr>
            </w:pPr>
            <w:r w:rsidRPr="003B6E11">
              <w:rPr>
                <w:lang w:val="cs-CZ"/>
              </w:rPr>
              <w:t>1.2</w:t>
            </w:r>
          </w:p>
        </w:tc>
        <w:tc>
          <w:tcPr>
            <w:tcW w:w="8491" w:type="dxa"/>
            <w:gridSpan w:val="2"/>
            <w:shd w:val="clear" w:color="auto" w:fill="auto"/>
          </w:tcPr>
          <w:p w:rsidR="003B6E11" w:rsidRPr="003B6E11" w:rsidRDefault="003B6E11" w:rsidP="002D015D">
            <w:pPr>
              <w:spacing w:line="240" w:lineRule="atLeast"/>
              <w:rPr>
                <w:b/>
                <w:bCs/>
                <w:noProof/>
                <w:szCs w:val="20"/>
                <w:lang w:val="cs-CZ"/>
              </w:rPr>
            </w:pPr>
            <w:r w:rsidRPr="003B6E11">
              <w:rPr>
                <w:noProof/>
                <w:szCs w:val="20"/>
                <w:lang w:val="cs-CZ"/>
              </w:rPr>
              <w:fldChar w:fldCharType="begin">
                <w:ffData>
                  <w:name w:val="Kontrollkästchen1"/>
                  <w:enabled/>
                  <w:calcOnExit w:val="0"/>
                  <w:checkBox>
                    <w:size w:val="20"/>
                    <w:default w:val="0"/>
                  </w:checkBox>
                </w:ffData>
              </w:fldChar>
            </w:r>
            <w:r w:rsidRPr="003B6E11">
              <w:rPr>
                <w:noProof/>
                <w:szCs w:val="20"/>
                <w:lang w:val="cs-CZ"/>
              </w:rPr>
              <w:instrText xml:space="preserve"> FORMCHECKBOX </w:instrText>
            </w:r>
            <w:r w:rsidR="002D015D">
              <w:rPr>
                <w:noProof/>
                <w:szCs w:val="20"/>
                <w:lang w:val="cs-CZ"/>
              </w:rPr>
            </w:r>
            <w:r w:rsidR="002D015D">
              <w:rPr>
                <w:noProof/>
                <w:szCs w:val="20"/>
                <w:lang w:val="cs-CZ"/>
              </w:rPr>
              <w:fldChar w:fldCharType="separate"/>
            </w:r>
            <w:r w:rsidRPr="003B6E11">
              <w:rPr>
                <w:noProof/>
                <w:szCs w:val="20"/>
                <w:lang w:val="cs-CZ"/>
              </w:rPr>
              <w:fldChar w:fldCharType="end"/>
            </w:r>
            <w:r w:rsidRPr="003B6E11">
              <w:rPr>
                <w:lang w:val="cs-CZ"/>
              </w:rPr>
              <w:t xml:space="preserve"> Provozní zkouška</w:t>
            </w:r>
            <w:r w:rsidRPr="003B6E11">
              <w:rPr>
                <w:lang w:val="cs-CZ"/>
              </w:rPr>
              <w:tab/>
            </w:r>
            <w:r w:rsidRPr="003B6E11">
              <w:rPr>
                <w:noProof/>
                <w:szCs w:val="20"/>
                <w:lang w:val="cs-CZ"/>
              </w:rPr>
              <w:fldChar w:fldCharType="begin">
                <w:ffData>
                  <w:name w:val="Kontrollkästchen1"/>
                  <w:enabled/>
                  <w:calcOnExit w:val="0"/>
                  <w:checkBox>
                    <w:size w:val="20"/>
                    <w:default w:val="0"/>
                  </w:checkBox>
                </w:ffData>
              </w:fldChar>
            </w:r>
            <w:r w:rsidRPr="003B6E11">
              <w:rPr>
                <w:noProof/>
                <w:szCs w:val="20"/>
                <w:lang w:val="cs-CZ"/>
              </w:rPr>
              <w:instrText xml:space="preserve"> FORMCHECKBOX </w:instrText>
            </w:r>
            <w:r w:rsidR="002D015D">
              <w:rPr>
                <w:noProof/>
                <w:szCs w:val="20"/>
                <w:lang w:val="cs-CZ"/>
              </w:rPr>
            </w:r>
            <w:r w:rsidR="002D015D">
              <w:rPr>
                <w:noProof/>
                <w:szCs w:val="20"/>
                <w:lang w:val="cs-CZ"/>
              </w:rPr>
              <w:fldChar w:fldCharType="separate"/>
            </w:r>
            <w:r w:rsidRPr="003B6E11">
              <w:rPr>
                <w:noProof/>
                <w:szCs w:val="20"/>
                <w:lang w:val="cs-CZ"/>
              </w:rPr>
              <w:fldChar w:fldCharType="end"/>
            </w:r>
            <w:r w:rsidRPr="003B6E11">
              <w:rPr>
                <w:lang w:val="cs-CZ"/>
              </w:rPr>
              <w:t xml:space="preserve"> Zvláštní zkouška</w:t>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 xml:space="preserve">Název a adresa technické zkušebny: </w:t>
            </w: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 xml:space="preserve">Jméno kontrolora: </w:t>
            </w: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 xml:space="preserve">Místo a datum: </w:t>
            </w: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 xml:space="preserve">Podpis: </w:t>
            </w: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 xml:space="preserve">Zkouška uznána příslušným orgánem: </w:t>
            </w: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5131" w:type="dxa"/>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 xml:space="preserve">Místo a datum: </w:t>
            </w:r>
            <w:r w:rsidRPr="003B6E11">
              <w:rPr>
                <w:lang w:val="cs-CZ"/>
              </w:rPr>
              <w:tab/>
            </w:r>
          </w:p>
        </w:tc>
        <w:tc>
          <w:tcPr>
            <w:tcW w:w="3360" w:type="dxa"/>
            <w:shd w:val="clear" w:color="auto" w:fill="auto"/>
          </w:tcPr>
          <w:p w:rsidR="003B6E11" w:rsidRPr="003B6E11" w:rsidRDefault="003B6E11" w:rsidP="002D015D">
            <w:pPr>
              <w:tabs>
                <w:tab w:val="right" w:leader="dot" w:pos="8263"/>
              </w:tabs>
              <w:spacing w:line="240" w:lineRule="atLeast"/>
              <w:jc w:val="center"/>
              <w:outlineLvl w:val="0"/>
              <w:rPr>
                <w:noProof/>
                <w:sz w:val="16"/>
                <w:szCs w:val="20"/>
                <w:lang w:val="cs-CZ"/>
              </w:rPr>
            </w:pPr>
            <w:r w:rsidRPr="003B6E11">
              <w:rPr>
                <w:noProof/>
                <w:sz w:val="16"/>
                <w:lang w:val="cs-CZ"/>
              </w:rPr>
              <w:t>Razítko příslušného</w:t>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5131" w:type="dxa"/>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 xml:space="preserve">Podpis: </w:t>
            </w:r>
            <w:r w:rsidRPr="003B6E11">
              <w:rPr>
                <w:lang w:val="cs-CZ"/>
              </w:rPr>
              <w:tab/>
            </w:r>
          </w:p>
        </w:tc>
        <w:tc>
          <w:tcPr>
            <w:tcW w:w="3360" w:type="dxa"/>
            <w:shd w:val="clear" w:color="auto" w:fill="auto"/>
          </w:tcPr>
          <w:p w:rsidR="003B6E11" w:rsidRPr="003B6E11" w:rsidRDefault="003B6E11" w:rsidP="002D015D">
            <w:pPr>
              <w:tabs>
                <w:tab w:val="right" w:leader="dot" w:pos="8263"/>
              </w:tabs>
              <w:spacing w:line="240" w:lineRule="atLeast"/>
              <w:jc w:val="center"/>
              <w:outlineLvl w:val="0"/>
              <w:rPr>
                <w:noProof/>
                <w:sz w:val="16"/>
                <w:szCs w:val="20"/>
                <w:lang w:val="cs-CZ"/>
              </w:rPr>
            </w:pPr>
            <w:r w:rsidRPr="003B6E11">
              <w:rPr>
                <w:noProof/>
                <w:sz w:val="16"/>
                <w:lang w:val="cs-CZ"/>
              </w:rPr>
              <w:t>orgánu</w:t>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p w:rsidR="003B6E11" w:rsidRPr="003B6E11" w:rsidRDefault="003B6E11" w:rsidP="002D015D">
            <w:pPr>
              <w:spacing w:line="240" w:lineRule="atLeast"/>
              <w:outlineLvl w:val="0"/>
              <w:rPr>
                <w:noProof/>
                <w:szCs w:val="20"/>
                <w:lang w:val="cs-CZ"/>
              </w:rPr>
            </w:pPr>
          </w:p>
          <w:p w:rsidR="003B6E11" w:rsidRPr="003B6E11" w:rsidRDefault="003B6E11" w:rsidP="002D015D">
            <w:pPr>
              <w:spacing w:line="240" w:lineRule="atLeast"/>
              <w:outlineLvl w:val="0"/>
              <w:rPr>
                <w:noProof/>
                <w:szCs w:val="20"/>
                <w:lang w:val="cs-CZ"/>
              </w:rPr>
            </w:pPr>
          </w:p>
        </w:tc>
        <w:tc>
          <w:tcPr>
            <w:tcW w:w="5131" w:type="dxa"/>
            <w:shd w:val="clear" w:color="auto" w:fill="auto"/>
          </w:tcPr>
          <w:p w:rsidR="003B6E11" w:rsidRPr="003B6E11" w:rsidRDefault="003B6E11" w:rsidP="002D015D">
            <w:pPr>
              <w:tabs>
                <w:tab w:val="right" w:leader="dot" w:pos="8263"/>
              </w:tabs>
              <w:spacing w:line="240" w:lineRule="atLeast"/>
              <w:outlineLvl w:val="0"/>
              <w:rPr>
                <w:noProof/>
                <w:szCs w:val="20"/>
                <w:lang w:val="cs-CZ"/>
              </w:rPr>
            </w:pPr>
          </w:p>
        </w:tc>
        <w:tc>
          <w:tcPr>
            <w:tcW w:w="3360" w:type="dxa"/>
            <w:shd w:val="clear" w:color="auto" w:fill="auto"/>
          </w:tcPr>
          <w:p w:rsidR="003B6E11" w:rsidRPr="003B6E11" w:rsidRDefault="003B6E11" w:rsidP="002D015D">
            <w:pPr>
              <w:tabs>
                <w:tab w:val="right" w:leader="dot" w:pos="8263"/>
              </w:tabs>
              <w:spacing w:line="240" w:lineRule="atLeast"/>
              <w:jc w:val="center"/>
              <w:outlineLvl w:val="0"/>
              <w:rPr>
                <w:noProof/>
                <w:sz w:val="16"/>
                <w:szCs w:val="20"/>
                <w:lang w:val="cs-CZ"/>
              </w:rPr>
            </w:pPr>
          </w:p>
        </w:tc>
      </w:tr>
      <w:tr w:rsidR="003B6E11" w:rsidRPr="003B6E11" w:rsidTr="002D015D">
        <w:tc>
          <w:tcPr>
            <w:tcW w:w="737" w:type="dxa"/>
            <w:shd w:val="clear" w:color="auto" w:fill="auto"/>
          </w:tcPr>
          <w:p w:rsidR="003B6E11" w:rsidRPr="003B6E11" w:rsidRDefault="003B6E11" w:rsidP="002D015D">
            <w:pPr>
              <w:spacing w:line="240" w:lineRule="atLeast"/>
              <w:rPr>
                <w:b/>
                <w:bCs/>
                <w:noProof/>
                <w:szCs w:val="20"/>
                <w:lang w:val="cs-CZ"/>
              </w:rPr>
            </w:pPr>
            <w:r w:rsidRPr="003B6E11">
              <w:rPr>
                <w:lang w:val="cs-CZ"/>
              </w:rPr>
              <w:t>1.2</w:t>
            </w:r>
          </w:p>
        </w:tc>
        <w:tc>
          <w:tcPr>
            <w:tcW w:w="8491" w:type="dxa"/>
            <w:gridSpan w:val="2"/>
            <w:shd w:val="clear" w:color="auto" w:fill="auto"/>
          </w:tcPr>
          <w:p w:rsidR="003B6E11" w:rsidRPr="003B6E11" w:rsidRDefault="003B6E11" w:rsidP="002D015D">
            <w:pPr>
              <w:spacing w:line="240" w:lineRule="atLeast"/>
              <w:rPr>
                <w:b/>
                <w:bCs/>
                <w:noProof/>
                <w:szCs w:val="20"/>
                <w:lang w:val="cs-CZ"/>
              </w:rPr>
            </w:pPr>
            <w:r w:rsidRPr="003B6E11">
              <w:rPr>
                <w:noProof/>
                <w:szCs w:val="20"/>
                <w:lang w:val="cs-CZ"/>
              </w:rPr>
              <w:fldChar w:fldCharType="begin">
                <w:ffData>
                  <w:name w:val="Kontrollkästchen1"/>
                  <w:enabled/>
                  <w:calcOnExit w:val="0"/>
                  <w:checkBox>
                    <w:size w:val="20"/>
                    <w:default w:val="0"/>
                  </w:checkBox>
                </w:ffData>
              </w:fldChar>
            </w:r>
            <w:r w:rsidRPr="003B6E11">
              <w:rPr>
                <w:noProof/>
                <w:szCs w:val="20"/>
                <w:lang w:val="cs-CZ"/>
              </w:rPr>
              <w:instrText xml:space="preserve"> FORMCHECKBOX </w:instrText>
            </w:r>
            <w:r w:rsidR="002D015D">
              <w:rPr>
                <w:noProof/>
                <w:szCs w:val="20"/>
                <w:lang w:val="cs-CZ"/>
              </w:rPr>
            </w:r>
            <w:r w:rsidR="002D015D">
              <w:rPr>
                <w:noProof/>
                <w:szCs w:val="20"/>
                <w:lang w:val="cs-CZ"/>
              </w:rPr>
              <w:fldChar w:fldCharType="separate"/>
            </w:r>
            <w:r w:rsidRPr="003B6E11">
              <w:rPr>
                <w:noProof/>
                <w:szCs w:val="20"/>
                <w:lang w:val="cs-CZ"/>
              </w:rPr>
              <w:fldChar w:fldCharType="end"/>
            </w:r>
            <w:r w:rsidRPr="003B6E11">
              <w:rPr>
                <w:lang w:val="cs-CZ"/>
              </w:rPr>
              <w:t xml:space="preserve"> Provozní zkouška</w:t>
            </w:r>
            <w:r w:rsidRPr="003B6E11">
              <w:rPr>
                <w:lang w:val="cs-CZ"/>
              </w:rPr>
              <w:tab/>
            </w:r>
            <w:r w:rsidRPr="003B6E11">
              <w:rPr>
                <w:noProof/>
                <w:szCs w:val="20"/>
                <w:lang w:val="cs-CZ"/>
              </w:rPr>
              <w:fldChar w:fldCharType="begin">
                <w:ffData>
                  <w:name w:val="Kontrollkästchen1"/>
                  <w:enabled/>
                  <w:calcOnExit w:val="0"/>
                  <w:checkBox>
                    <w:size w:val="20"/>
                    <w:default w:val="0"/>
                  </w:checkBox>
                </w:ffData>
              </w:fldChar>
            </w:r>
            <w:r w:rsidRPr="003B6E11">
              <w:rPr>
                <w:noProof/>
                <w:szCs w:val="20"/>
                <w:lang w:val="cs-CZ"/>
              </w:rPr>
              <w:instrText xml:space="preserve"> FORMCHECKBOX </w:instrText>
            </w:r>
            <w:r w:rsidR="002D015D">
              <w:rPr>
                <w:noProof/>
                <w:szCs w:val="20"/>
                <w:lang w:val="cs-CZ"/>
              </w:rPr>
            </w:r>
            <w:r w:rsidR="002D015D">
              <w:rPr>
                <w:noProof/>
                <w:szCs w:val="20"/>
                <w:lang w:val="cs-CZ"/>
              </w:rPr>
              <w:fldChar w:fldCharType="separate"/>
            </w:r>
            <w:r w:rsidRPr="003B6E11">
              <w:rPr>
                <w:noProof/>
                <w:szCs w:val="20"/>
                <w:lang w:val="cs-CZ"/>
              </w:rPr>
              <w:fldChar w:fldCharType="end"/>
            </w:r>
            <w:r w:rsidRPr="003B6E11">
              <w:rPr>
                <w:lang w:val="cs-CZ"/>
              </w:rPr>
              <w:t xml:space="preserve"> Zvláštní zkouška</w:t>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 xml:space="preserve">Název a adresa technické zkušebny: </w:t>
            </w: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 xml:space="preserve">Jméno kontrolora: </w:t>
            </w: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 xml:space="preserve">Místo a datum: </w:t>
            </w: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 xml:space="preserve">Podpis: </w:t>
            </w: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 xml:space="preserve">Zkouška uznána příslušným orgánem: </w:t>
            </w: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ab/>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8491" w:type="dxa"/>
            <w:gridSpan w:val="2"/>
            <w:shd w:val="clear" w:color="auto" w:fill="auto"/>
          </w:tcPr>
          <w:p w:rsidR="003B6E11" w:rsidRPr="003B6E11" w:rsidRDefault="003B6E11" w:rsidP="002D015D">
            <w:pPr>
              <w:tabs>
                <w:tab w:val="right" w:leader="dot" w:pos="8263"/>
              </w:tabs>
              <w:spacing w:line="240" w:lineRule="atLeast"/>
              <w:outlineLvl w:val="0"/>
              <w:rPr>
                <w:noProof/>
                <w:szCs w:val="20"/>
                <w:lang w:val="cs-CZ"/>
              </w:rPr>
            </w:pP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5131" w:type="dxa"/>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 xml:space="preserve">Místo a datum: </w:t>
            </w:r>
            <w:r w:rsidRPr="003B6E11">
              <w:rPr>
                <w:lang w:val="cs-CZ"/>
              </w:rPr>
              <w:tab/>
            </w:r>
          </w:p>
        </w:tc>
        <w:tc>
          <w:tcPr>
            <w:tcW w:w="3360" w:type="dxa"/>
            <w:shd w:val="clear" w:color="auto" w:fill="auto"/>
          </w:tcPr>
          <w:p w:rsidR="003B6E11" w:rsidRPr="003B6E11" w:rsidRDefault="003B6E11" w:rsidP="002D015D">
            <w:pPr>
              <w:tabs>
                <w:tab w:val="right" w:leader="dot" w:pos="8263"/>
              </w:tabs>
              <w:spacing w:line="240" w:lineRule="atLeast"/>
              <w:jc w:val="center"/>
              <w:outlineLvl w:val="0"/>
              <w:rPr>
                <w:noProof/>
                <w:sz w:val="16"/>
                <w:szCs w:val="20"/>
                <w:lang w:val="cs-CZ"/>
              </w:rPr>
            </w:pPr>
            <w:r w:rsidRPr="003B6E11">
              <w:rPr>
                <w:noProof/>
                <w:sz w:val="16"/>
                <w:lang w:val="cs-CZ"/>
              </w:rPr>
              <w:t>Razítko příslušného</w:t>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5131" w:type="dxa"/>
            <w:shd w:val="clear" w:color="auto" w:fill="auto"/>
          </w:tcPr>
          <w:p w:rsidR="003B6E11" w:rsidRPr="003B6E11" w:rsidRDefault="003B6E11" w:rsidP="002D015D">
            <w:pPr>
              <w:tabs>
                <w:tab w:val="right" w:leader="dot" w:pos="8263"/>
              </w:tabs>
              <w:spacing w:line="240" w:lineRule="atLeast"/>
              <w:outlineLvl w:val="0"/>
              <w:rPr>
                <w:noProof/>
                <w:szCs w:val="20"/>
                <w:lang w:val="cs-CZ"/>
              </w:rPr>
            </w:pPr>
            <w:r w:rsidRPr="003B6E11">
              <w:rPr>
                <w:lang w:val="cs-CZ"/>
              </w:rPr>
              <w:t xml:space="preserve">Podpis: </w:t>
            </w:r>
            <w:r w:rsidRPr="003B6E11">
              <w:rPr>
                <w:lang w:val="cs-CZ"/>
              </w:rPr>
              <w:tab/>
            </w:r>
          </w:p>
        </w:tc>
        <w:tc>
          <w:tcPr>
            <w:tcW w:w="3360" w:type="dxa"/>
            <w:shd w:val="clear" w:color="auto" w:fill="auto"/>
          </w:tcPr>
          <w:p w:rsidR="003B6E11" w:rsidRPr="003B6E11" w:rsidRDefault="003B6E11" w:rsidP="002D015D">
            <w:pPr>
              <w:tabs>
                <w:tab w:val="right" w:leader="dot" w:pos="8263"/>
              </w:tabs>
              <w:spacing w:line="240" w:lineRule="atLeast"/>
              <w:jc w:val="center"/>
              <w:outlineLvl w:val="0"/>
              <w:rPr>
                <w:noProof/>
                <w:sz w:val="16"/>
                <w:szCs w:val="20"/>
                <w:lang w:val="cs-CZ"/>
              </w:rPr>
            </w:pPr>
            <w:r w:rsidRPr="003B6E11">
              <w:rPr>
                <w:noProof/>
                <w:sz w:val="16"/>
                <w:lang w:val="cs-CZ"/>
              </w:rPr>
              <w:t>orgánu</w:t>
            </w:r>
          </w:p>
        </w:tc>
      </w:tr>
      <w:tr w:rsidR="003B6E11" w:rsidRPr="003B6E11" w:rsidTr="002D015D">
        <w:tc>
          <w:tcPr>
            <w:tcW w:w="737" w:type="dxa"/>
            <w:shd w:val="clear" w:color="auto" w:fill="auto"/>
          </w:tcPr>
          <w:p w:rsidR="003B6E11" w:rsidRPr="003B6E11" w:rsidRDefault="003B6E11" w:rsidP="002D015D">
            <w:pPr>
              <w:spacing w:line="240" w:lineRule="atLeast"/>
              <w:outlineLvl w:val="0"/>
              <w:rPr>
                <w:noProof/>
                <w:szCs w:val="20"/>
                <w:lang w:val="cs-CZ"/>
              </w:rPr>
            </w:pPr>
          </w:p>
        </w:tc>
        <w:tc>
          <w:tcPr>
            <w:tcW w:w="5131" w:type="dxa"/>
            <w:shd w:val="clear" w:color="auto" w:fill="auto"/>
          </w:tcPr>
          <w:p w:rsidR="003B6E11" w:rsidRPr="003B6E11" w:rsidRDefault="003B6E11" w:rsidP="002D015D">
            <w:pPr>
              <w:tabs>
                <w:tab w:val="right" w:leader="dot" w:pos="8263"/>
              </w:tabs>
              <w:spacing w:line="240" w:lineRule="atLeast"/>
              <w:outlineLvl w:val="0"/>
              <w:rPr>
                <w:noProof/>
                <w:szCs w:val="20"/>
                <w:lang w:val="cs-CZ"/>
              </w:rPr>
            </w:pPr>
          </w:p>
        </w:tc>
        <w:tc>
          <w:tcPr>
            <w:tcW w:w="3360" w:type="dxa"/>
            <w:shd w:val="clear" w:color="auto" w:fill="auto"/>
          </w:tcPr>
          <w:p w:rsidR="003B6E11" w:rsidRPr="003B6E11" w:rsidRDefault="003B6E11" w:rsidP="002D015D">
            <w:pPr>
              <w:tabs>
                <w:tab w:val="right" w:leader="dot" w:pos="8263"/>
              </w:tabs>
              <w:spacing w:line="240" w:lineRule="atLeast"/>
              <w:jc w:val="center"/>
              <w:outlineLvl w:val="0"/>
              <w:rPr>
                <w:noProof/>
                <w:sz w:val="16"/>
                <w:szCs w:val="20"/>
                <w:lang w:val="cs-CZ"/>
              </w:rPr>
            </w:pPr>
          </w:p>
        </w:tc>
      </w:tr>
    </w:tbl>
    <w:p w:rsidR="003B6E11" w:rsidRPr="003B6E11" w:rsidRDefault="003B6E11" w:rsidP="003B6E11">
      <w:pPr>
        <w:tabs>
          <w:tab w:val="left" w:pos="737"/>
          <w:tab w:val="left" w:pos="2835"/>
        </w:tabs>
        <w:rPr>
          <w:noProof/>
          <w:szCs w:val="20"/>
          <w:lang w:val="cs-CZ"/>
        </w:rPr>
      </w:pPr>
    </w:p>
    <w:p w:rsidR="003B6E11" w:rsidRPr="003B6E11" w:rsidRDefault="003B6E11" w:rsidP="003B6E11">
      <w:pPr>
        <w:rPr>
          <w:noProof/>
          <w:sz w:val="4"/>
          <w:szCs w:val="4"/>
          <w:lang w:val="cs-CZ"/>
        </w:rPr>
        <w:sectPr w:rsidR="003B6E11" w:rsidRPr="003B6E11" w:rsidSect="009C13A9">
          <w:headerReference w:type="default" r:id="rId71"/>
          <w:footnotePr>
            <w:numRestart w:val="eachPage"/>
          </w:footnotePr>
          <w:pgSz w:w="11907" w:h="16839"/>
          <w:pgMar w:top="1134" w:right="1417" w:bottom="1134" w:left="1417" w:header="709" w:footer="709" w:gutter="0"/>
          <w:cols w:space="708"/>
          <w:docGrid w:linePitch="360"/>
        </w:sectPr>
      </w:pPr>
    </w:p>
    <w:tbl>
      <w:tblPr>
        <w:tblW w:w="9215" w:type="dxa"/>
        <w:tblLayout w:type="fixed"/>
        <w:tblCellMar>
          <w:left w:w="70" w:type="dxa"/>
          <w:right w:w="70" w:type="dxa"/>
        </w:tblCellMar>
        <w:tblLook w:val="0000" w:firstRow="0" w:lastRow="0" w:firstColumn="0" w:lastColumn="0" w:noHBand="0" w:noVBand="0"/>
      </w:tblPr>
      <w:tblGrid>
        <w:gridCol w:w="70"/>
        <w:gridCol w:w="356"/>
        <w:gridCol w:w="567"/>
        <w:gridCol w:w="283"/>
        <w:gridCol w:w="284"/>
        <w:gridCol w:w="425"/>
        <w:gridCol w:w="567"/>
        <w:gridCol w:w="283"/>
        <w:gridCol w:w="142"/>
        <w:gridCol w:w="142"/>
        <w:gridCol w:w="43"/>
        <w:gridCol w:w="382"/>
        <w:gridCol w:w="425"/>
        <w:gridCol w:w="142"/>
        <w:gridCol w:w="425"/>
        <w:gridCol w:w="142"/>
        <w:gridCol w:w="140"/>
        <w:gridCol w:w="569"/>
        <w:gridCol w:w="567"/>
        <w:gridCol w:w="135"/>
        <w:gridCol w:w="7"/>
        <w:gridCol w:w="298"/>
        <w:gridCol w:w="127"/>
        <w:gridCol w:w="567"/>
        <w:gridCol w:w="47"/>
        <w:gridCol w:w="214"/>
        <w:gridCol w:w="306"/>
        <w:gridCol w:w="496"/>
        <w:gridCol w:w="23"/>
        <w:gridCol w:w="190"/>
        <w:gridCol w:w="555"/>
        <w:gridCol w:w="296"/>
      </w:tblGrid>
      <w:tr w:rsidR="003B6E11" w:rsidRPr="003B6E11" w:rsidTr="002D015D">
        <w:trPr>
          <w:gridBefore w:val="1"/>
          <w:gridAfter w:val="1"/>
          <w:wBefore w:w="70" w:type="dxa"/>
          <w:wAfter w:w="296" w:type="dxa"/>
          <w:cantSplit/>
          <w:trHeight w:hRule="exact" w:val="160"/>
        </w:trPr>
        <w:tc>
          <w:tcPr>
            <w:tcW w:w="8849" w:type="dxa"/>
            <w:gridSpan w:val="30"/>
            <w:vAlign w:val="center"/>
          </w:tcPr>
          <w:p w:rsidR="003B6E11" w:rsidRPr="003B6E11" w:rsidRDefault="003B6E11" w:rsidP="002D015D">
            <w:pPr>
              <w:rPr>
                <w:noProof/>
                <w:lang w:val="cs-CZ"/>
              </w:rPr>
            </w:pPr>
          </w:p>
        </w:tc>
      </w:tr>
      <w:tr w:rsidR="003B6E11" w:rsidRPr="003B6E11" w:rsidTr="002D015D">
        <w:tblPrEx>
          <w:jc w:val="center"/>
        </w:tblPrEx>
        <w:trPr>
          <w:cantSplit/>
          <w:jc w:val="center"/>
        </w:trPr>
        <w:tc>
          <w:tcPr>
            <w:tcW w:w="9215" w:type="dxa"/>
            <w:gridSpan w:val="32"/>
            <w:vAlign w:val="center"/>
          </w:tcPr>
          <w:p w:rsidR="003B6E11" w:rsidRPr="003B6E11" w:rsidRDefault="003B6E11" w:rsidP="002D015D">
            <w:pPr>
              <w:tabs>
                <w:tab w:val="center" w:pos="7316"/>
              </w:tabs>
              <w:overflowPunct w:val="0"/>
              <w:adjustRightInd w:val="0"/>
              <w:spacing w:line="240" w:lineRule="atLeast"/>
              <w:jc w:val="center"/>
              <w:textAlignment w:val="baseline"/>
              <w:rPr>
                <w:rFonts w:cs="Arial"/>
                <w:bCs/>
                <w:sz w:val="16"/>
                <w:szCs w:val="18"/>
                <w:lang w:val="cs-CZ"/>
              </w:rPr>
            </w:pPr>
            <w:r w:rsidRPr="003B6E11">
              <w:rPr>
                <w:lang w:val="cs-CZ"/>
              </w:rPr>
              <w:br w:type="page"/>
            </w:r>
            <w:r w:rsidRPr="003B6E11">
              <w:rPr>
                <w:b/>
                <w:lang w:val="cs-CZ"/>
              </w:rPr>
              <w:t xml:space="preserve">Dodatek č. 1 </w:t>
            </w:r>
          </w:p>
          <w:p w:rsidR="003B6E11" w:rsidRPr="003B6E11" w:rsidRDefault="003B6E11" w:rsidP="002D015D">
            <w:pPr>
              <w:overflowPunct w:val="0"/>
              <w:adjustRightInd w:val="0"/>
              <w:ind w:right="57"/>
              <w:jc w:val="center"/>
              <w:textAlignment w:val="baseline"/>
              <w:rPr>
                <w:rFonts w:cs="Arial"/>
                <w:b/>
                <w:bCs/>
                <w:lang w:val="cs-CZ"/>
              </w:rPr>
            </w:pPr>
            <w:r w:rsidRPr="003B6E11">
              <w:rPr>
                <w:b/>
                <w:lang w:val="cs-CZ"/>
              </w:rPr>
              <w:t>Příloha protokolu o parametrech motoru</w:t>
            </w:r>
          </w:p>
          <w:p w:rsidR="003B6E11" w:rsidRPr="003B6E11" w:rsidRDefault="003B6E11" w:rsidP="002D015D">
            <w:pPr>
              <w:overflowPunct w:val="0"/>
              <w:adjustRightInd w:val="0"/>
              <w:ind w:right="57"/>
              <w:jc w:val="center"/>
              <w:textAlignment w:val="baseline"/>
              <w:rPr>
                <w:rFonts w:cs="Arial"/>
                <w:b/>
                <w:bCs/>
                <w:caps/>
                <w:szCs w:val="20"/>
                <w:lang w:val="cs-CZ"/>
              </w:rPr>
            </w:pPr>
            <w:r w:rsidRPr="003B6E11">
              <w:rPr>
                <w:sz w:val="18"/>
                <w:lang w:val="cs-CZ"/>
              </w:rPr>
              <w:t>(Vzor)</w:t>
            </w:r>
          </w:p>
        </w:tc>
      </w:tr>
      <w:tr w:rsidR="003B6E11" w:rsidRPr="003B6E11" w:rsidTr="002D015D">
        <w:tblPrEx>
          <w:jc w:val="center"/>
        </w:tblPrEx>
        <w:trPr>
          <w:cantSplit/>
          <w:trHeight w:hRule="exact" w:val="160"/>
          <w:jc w:val="center"/>
        </w:trPr>
        <w:tc>
          <w:tcPr>
            <w:tcW w:w="9215" w:type="dxa"/>
            <w:gridSpan w:val="32"/>
            <w:vAlign w:val="center"/>
          </w:tcPr>
          <w:p w:rsidR="003B6E11" w:rsidRPr="003B6E11" w:rsidRDefault="003B6E11" w:rsidP="002D015D">
            <w:pPr>
              <w:overflowPunct w:val="0"/>
              <w:adjustRightInd w:val="0"/>
              <w:ind w:right="57"/>
              <w:textAlignment w:val="baseline"/>
              <w:rPr>
                <w:rFonts w:cs="Arial"/>
                <w:szCs w:val="20"/>
                <w:lang w:val="cs-CZ"/>
              </w:rPr>
            </w:pPr>
          </w:p>
          <w:p w:rsidR="003B6E11" w:rsidRPr="003B6E11" w:rsidRDefault="003B6E11" w:rsidP="002D015D">
            <w:pPr>
              <w:overflowPunct w:val="0"/>
              <w:adjustRightInd w:val="0"/>
              <w:ind w:right="57"/>
              <w:textAlignment w:val="baseline"/>
              <w:rPr>
                <w:rFonts w:cs="Arial"/>
                <w:szCs w:val="20"/>
                <w:lang w:val="cs-CZ"/>
              </w:rPr>
            </w:pPr>
          </w:p>
        </w:tc>
      </w:tr>
      <w:tr w:rsidR="003B6E11" w:rsidRPr="003B6E11" w:rsidTr="002D015D">
        <w:tblPrEx>
          <w:jc w:val="center"/>
        </w:tblPrEx>
        <w:trPr>
          <w:cantSplit/>
          <w:jc w:val="center"/>
        </w:trPr>
        <w:tc>
          <w:tcPr>
            <w:tcW w:w="1560" w:type="dxa"/>
            <w:gridSpan w:val="5"/>
            <w:vAlign w:val="center"/>
          </w:tcPr>
          <w:p w:rsidR="003B6E11" w:rsidRPr="003B6E11" w:rsidRDefault="003B6E11" w:rsidP="002D015D">
            <w:pPr>
              <w:overflowPunct w:val="0"/>
              <w:adjustRightInd w:val="0"/>
              <w:ind w:right="57"/>
              <w:textAlignment w:val="baseline"/>
              <w:rPr>
                <w:rFonts w:cs="Arial"/>
                <w:sz w:val="16"/>
                <w:szCs w:val="16"/>
                <w:lang w:val="cs-CZ"/>
              </w:rPr>
            </w:pPr>
            <w:r w:rsidRPr="003B6E11">
              <w:rPr>
                <w:sz w:val="16"/>
                <w:lang w:val="cs-CZ"/>
              </w:rPr>
              <w:t>Jméno plavidla:</w:t>
            </w:r>
          </w:p>
        </w:tc>
        <w:tc>
          <w:tcPr>
            <w:tcW w:w="2551" w:type="dxa"/>
            <w:gridSpan w:val="9"/>
            <w:vAlign w:val="center"/>
          </w:tcPr>
          <w:p w:rsidR="003B6E11" w:rsidRPr="003B6E11" w:rsidRDefault="003B6E11" w:rsidP="002D015D">
            <w:pPr>
              <w:tabs>
                <w:tab w:val="center" w:pos="4819"/>
              </w:tabs>
              <w:overflowPunct w:val="0"/>
              <w:adjustRightInd w:val="0"/>
              <w:ind w:right="57"/>
              <w:textAlignment w:val="baseline"/>
              <w:rPr>
                <w:rFonts w:cs="Arial"/>
                <w:sz w:val="16"/>
                <w:szCs w:val="16"/>
                <w:lang w:val="cs-CZ"/>
              </w:rPr>
            </w:pPr>
            <w:r w:rsidRPr="003B6E11">
              <w:rPr>
                <w:sz w:val="16"/>
                <w:lang w:val="cs-CZ"/>
              </w:rPr>
              <w:t>……………………………….</w:t>
            </w:r>
          </w:p>
        </w:tc>
        <w:tc>
          <w:tcPr>
            <w:tcW w:w="2977" w:type="dxa"/>
            <w:gridSpan w:val="10"/>
            <w:vAlign w:val="center"/>
          </w:tcPr>
          <w:p w:rsidR="003B6E11" w:rsidRPr="003B6E11" w:rsidRDefault="003B6E11" w:rsidP="002D015D">
            <w:pPr>
              <w:overflowPunct w:val="0"/>
              <w:adjustRightInd w:val="0"/>
              <w:ind w:right="57"/>
              <w:textAlignment w:val="baseline"/>
              <w:rPr>
                <w:rFonts w:cs="Arial"/>
                <w:sz w:val="16"/>
                <w:szCs w:val="16"/>
                <w:lang w:val="cs-CZ"/>
              </w:rPr>
            </w:pPr>
            <w:r w:rsidRPr="003B6E11">
              <w:rPr>
                <w:noProof/>
                <w:sz w:val="16"/>
                <w:lang w:val="cs-CZ"/>
              </w:rPr>
              <w:t>Jednotné evropské identifikační číslo plavidla:</w:t>
            </w:r>
          </w:p>
        </w:tc>
        <w:tc>
          <w:tcPr>
            <w:tcW w:w="2127" w:type="dxa"/>
            <w:gridSpan w:val="8"/>
            <w:vAlign w:val="center"/>
          </w:tcPr>
          <w:p w:rsidR="003B6E11" w:rsidRPr="003B6E11" w:rsidRDefault="003B6E11" w:rsidP="002D015D">
            <w:pPr>
              <w:overflowPunct w:val="0"/>
              <w:adjustRightInd w:val="0"/>
              <w:ind w:right="57"/>
              <w:textAlignment w:val="baseline"/>
              <w:rPr>
                <w:rFonts w:cs="Arial"/>
                <w:sz w:val="16"/>
                <w:szCs w:val="16"/>
                <w:lang w:val="cs-CZ"/>
              </w:rPr>
            </w:pPr>
            <w:r w:rsidRPr="003B6E11">
              <w:rPr>
                <w:sz w:val="16"/>
                <w:lang w:val="cs-CZ"/>
              </w:rPr>
              <w:t>…………………………</w:t>
            </w:r>
          </w:p>
        </w:tc>
      </w:tr>
      <w:tr w:rsidR="003B6E11" w:rsidRPr="003B6E11" w:rsidTr="002D015D">
        <w:tblPrEx>
          <w:jc w:val="center"/>
        </w:tblPrEx>
        <w:trPr>
          <w:cantSplit/>
          <w:jc w:val="center"/>
        </w:trPr>
        <w:tc>
          <w:tcPr>
            <w:tcW w:w="9215" w:type="dxa"/>
            <w:gridSpan w:val="32"/>
            <w:vAlign w:val="center"/>
          </w:tcPr>
          <w:p w:rsidR="003B6E11" w:rsidRPr="003B6E11" w:rsidRDefault="003B6E11" w:rsidP="002D015D">
            <w:pPr>
              <w:tabs>
                <w:tab w:val="center" w:pos="4819"/>
              </w:tabs>
              <w:overflowPunct w:val="0"/>
              <w:adjustRightInd w:val="0"/>
              <w:spacing w:line="100" w:lineRule="exact"/>
              <w:ind w:right="57"/>
              <w:textAlignment w:val="baseline"/>
              <w:rPr>
                <w:rFonts w:cs="Arial"/>
                <w:szCs w:val="20"/>
                <w:lang w:val="cs-CZ"/>
              </w:rPr>
            </w:pPr>
          </w:p>
        </w:tc>
      </w:tr>
      <w:tr w:rsidR="003B6E11" w:rsidRPr="003B6E11" w:rsidTr="002D015D">
        <w:tblPrEx>
          <w:jc w:val="center"/>
        </w:tblPrEx>
        <w:trPr>
          <w:jc w:val="center"/>
        </w:trPr>
        <w:tc>
          <w:tcPr>
            <w:tcW w:w="426" w:type="dxa"/>
            <w:gridSpan w:val="2"/>
            <w:vAlign w:val="center"/>
          </w:tcPr>
          <w:p w:rsidR="003B6E11" w:rsidRPr="003B6E11" w:rsidRDefault="003B6E11" w:rsidP="002D015D">
            <w:pPr>
              <w:overflowPunct w:val="0"/>
              <w:adjustRightInd w:val="0"/>
              <w:ind w:right="57"/>
              <w:jc w:val="center"/>
              <w:textAlignment w:val="baseline"/>
              <w:rPr>
                <w:rFonts w:cs="Arial"/>
                <w:sz w:val="12"/>
                <w:szCs w:val="12"/>
                <w:lang w:val="cs-CZ"/>
              </w:rPr>
            </w:pPr>
            <w:r w:rsidRPr="003B6E11">
              <w:rPr>
                <w:rFonts w:cs="Arial"/>
                <w:sz w:val="16"/>
                <w:szCs w:val="16"/>
                <w:lang w:val="cs-CZ"/>
              </w:rPr>
              <w:fldChar w:fldCharType="begin">
                <w:ffData>
                  <w:name w:val="Kontrollkästchen4"/>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p>
        </w:tc>
        <w:tc>
          <w:tcPr>
            <w:tcW w:w="2736" w:type="dxa"/>
            <w:gridSpan w:val="9"/>
            <w:tcBorders>
              <w:left w:val="nil"/>
            </w:tcBorders>
            <w:vAlign w:val="center"/>
          </w:tcPr>
          <w:p w:rsidR="003B6E11" w:rsidRPr="003B6E11" w:rsidRDefault="003B6E11" w:rsidP="002D015D">
            <w:pPr>
              <w:tabs>
                <w:tab w:val="center" w:pos="4819"/>
              </w:tabs>
              <w:overflowPunct w:val="0"/>
              <w:adjustRightInd w:val="0"/>
              <w:ind w:right="57"/>
              <w:textAlignment w:val="baseline"/>
              <w:rPr>
                <w:rFonts w:cs="Arial"/>
                <w:sz w:val="18"/>
                <w:szCs w:val="18"/>
                <w:lang w:val="cs-CZ"/>
              </w:rPr>
            </w:pPr>
            <w:r w:rsidRPr="003B6E11">
              <w:rPr>
                <w:sz w:val="16"/>
                <w:lang w:val="cs-CZ"/>
              </w:rPr>
              <w:t xml:space="preserve">Montážní kontrola </w:t>
            </w:r>
            <w:r w:rsidRPr="003B6E11">
              <w:rPr>
                <w:sz w:val="18"/>
                <w:vertAlign w:val="superscript"/>
                <w:lang w:val="cs-CZ"/>
              </w:rPr>
              <w:t>1)</w:t>
            </w:r>
          </w:p>
        </w:tc>
        <w:tc>
          <w:tcPr>
            <w:tcW w:w="807" w:type="dxa"/>
            <w:gridSpan w:val="2"/>
            <w:vAlign w:val="center"/>
          </w:tcPr>
          <w:p w:rsidR="003B6E11" w:rsidRPr="003B6E11" w:rsidRDefault="003B6E11" w:rsidP="002D015D">
            <w:pPr>
              <w:overflowPunct w:val="0"/>
              <w:adjustRightInd w:val="0"/>
              <w:ind w:right="57"/>
              <w:jc w:val="center"/>
              <w:textAlignment w:val="baseline"/>
              <w:rPr>
                <w:rFonts w:cs="Arial"/>
                <w:sz w:val="12"/>
                <w:szCs w:val="12"/>
                <w:lang w:val="cs-CZ"/>
              </w:rPr>
            </w:pPr>
            <w:r w:rsidRPr="003B6E11">
              <w:rPr>
                <w:rFonts w:cs="Arial"/>
                <w:sz w:val="16"/>
                <w:szCs w:val="16"/>
                <w:lang w:val="cs-CZ"/>
              </w:rPr>
              <w:fldChar w:fldCharType="begin">
                <w:ffData>
                  <w:name w:val="Kontrollkästchen4"/>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p>
        </w:tc>
        <w:tc>
          <w:tcPr>
            <w:tcW w:w="2425" w:type="dxa"/>
            <w:gridSpan w:val="9"/>
            <w:tcBorders>
              <w:left w:val="nil"/>
            </w:tcBorders>
            <w:vAlign w:val="center"/>
          </w:tcPr>
          <w:p w:rsidR="003B6E11" w:rsidRPr="003B6E11" w:rsidRDefault="003B6E11" w:rsidP="002D015D">
            <w:pPr>
              <w:overflowPunct w:val="0"/>
              <w:adjustRightInd w:val="0"/>
              <w:ind w:right="57"/>
              <w:textAlignment w:val="baseline"/>
              <w:rPr>
                <w:rFonts w:cs="Arial"/>
                <w:sz w:val="18"/>
                <w:szCs w:val="18"/>
                <w:lang w:val="cs-CZ"/>
              </w:rPr>
            </w:pPr>
            <w:r w:rsidRPr="003B6E11">
              <w:rPr>
                <w:sz w:val="16"/>
                <w:lang w:val="cs-CZ"/>
              </w:rPr>
              <w:t xml:space="preserve">Provozní zkouška </w:t>
            </w:r>
            <w:r w:rsidRPr="003B6E11">
              <w:rPr>
                <w:sz w:val="18"/>
                <w:vertAlign w:val="superscript"/>
                <w:lang w:val="cs-CZ"/>
              </w:rPr>
              <w:t>1)</w:t>
            </w:r>
          </w:p>
        </w:tc>
        <w:tc>
          <w:tcPr>
            <w:tcW w:w="694" w:type="dxa"/>
            <w:gridSpan w:val="2"/>
            <w:vAlign w:val="center"/>
          </w:tcPr>
          <w:p w:rsidR="003B6E11" w:rsidRPr="003B6E11" w:rsidRDefault="003B6E11" w:rsidP="002D015D">
            <w:pPr>
              <w:overflowPunct w:val="0"/>
              <w:adjustRightInd w:val="0"/>
              <w:ind w:right="57"/>
              <w:jc w:val="center"/>
              <w:textAlignment w:val="baseline"/>
              <w:rPr>
                <w:rFonts w:cs="Arial"/>
                <w:sz w:val="12"/>
                <w:szCs w:val="12"/>
                <w:lang w:val="cs-CZ"/>
              </w:rPr>
            </w:pPr>
            <w:r w:rsidRPr="003B6E11">
              <w:rPr>
                <w:rFonts w:cs="Arial"/>
                <w:sz w:val="16"/>
                <w:szCs w:val="16"/>
                <w:lang w:val="cs-CZ"/>
              </w:rPr>
              <w:fldChar w:fldCharType="begin">
                <w:ffData>
                  <w:name w:val="Kontrollkästchen4"/>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p>
        </w:tc>
        <w:tc>
          <w:tcPr>
            <w:tcW w:w="2127" w:type="dxa"/>
            <w:gridSpan w:val="8"/>
            <w:tcBorders>
              <w:left w:val="nil"/>
            </w:tcBorders>
            <w:vAlign w:val="center"/>
          </w:tcPr>
          <w:p w:rsidR="003B6E11" w:rsidRPr="003B6E11" w:rsidRDefault="003B6E11" w:rsidP="002D015D">
            <w:pPr>
              <w:overflowPunct w:val="0"/>
              <w:adjustRightInd w:val="0"/>
              <w:ind w:right="57"/>
              <w:textAlignment w:val="baseline"/>
              <w:rPr>
                <w:rFonts w:cs="Arial"/>
                <w:sz w:val="18"/>
                <w:szCs w:val="18"/>
                <w:lang w:val="cs-CZ"/>
              </w:rPr>
            </w:pPr>
            <w:bookmarkStart w:id="662" w:name="Kontrollkästchen3"/>
            <w:bookmarkStart w:id="663" w:name="Kontrollkästchen2"/>
            <w:bookmarkStart w:id="664" w:name="Kontrollkästchen1"/>
            <w:r w:rsidRPr="003B6E11">
              <w:rPr>
                <w:sz w:val="16"/>
                <w:lang w:val="cs-CZ"/>
              </w:rPr>
              <w:t xml:space="preserve">Zvláštní zkouška </w:t>
            </w:r>
            <w:r w:rsidRPr="003B6E11">
              <w:rPr>
                <w:sz w:val="18"/>
                <w:vertAlign w:val="superscript"/>
                <w:lang w:val="cs-CZ"/>
              </w:rPr>
              <w:t>1)</w:t>
            </w:r>
            <w:bookmarkEnd w:id="662"/>
            <w:bookmarkEnd w:id="663"/>
            <w:bookmarkEnd w:id="664"/>
          </w:p>
        </w:tc>
      </w:tr>
      <w:tr w:rsidR="003B6E11" w:rsidRPr="003B6E11" w:rsidTr="002D015D">
        <w:tblPrEx>
          <w:jc w:val="center"/>
          <w:tblCellMar>
            <w:left w:w="28" w:type="dxa"/>
            <w:right w:w="28" w:type="dxa"/>
          </w:tblCellMar>
        </w:tblPrEx>
        <w:trPr>
          <w:cantSplit/>
          <w:trHeight w:hRule="exact" w:val="160"/>
          <w:jc w:val="center"/>
        </w:trPr>
        <w:tc>
          <w:tcPr>
            <w:tcW w:w="9215" w:type="dxa"/>
            <w:gridSpan w:val="32"/>
            <w:vAlign w:val="center"/>
          </w:tcPr>
          <w:p w:rsidR="003B6E11" w:rsidRPr="003B6E11" w:rsidRDefault="003B6E11" w:rsidP="002D015D">
            <w:pPr>
              <w:overflowPunct w:val="0"/>
              <w:adjustRightInd w:val="0"/>
              <w:spacing w:before="60" w:after="60"/>
              <w:ind w:right="57"/>
              <w:textAlignment w:val="baseline"/>
              <w:rPr>
                <w:rFonts w:cs="Arial"/>
                <w:szCs w:val="20"/>
                <w:lang w:val="cs-CZ"/>
              </w:rPr>
            </w:pPr>
          </w:p>
        </w:tc>
      </w:tr>
      <w:tr w:rsidR="003B6E11" w:rsidRPr="003B6E11" w:rsidTr="002D015D">
        <w:tblPrEx>
          <w:jc w:val="center"/>
          <w:tblCellMar>
            <w:left w:w="28" w:type="dxa"/>
            <w:right w:w="28" w:type="dxa"/>
          </w:tblCellMar>
        </w:tblPrEx>
        <w:trPr>
          <w:jc w:val="center"/>
        </w:trPr>
        <w:tc>
          <w:tcPr>
            <w:tcW w:w="1276" w:type="dxa"/>
            <w:gridSpan w:val="4"/>
            <w:vAlign w:val="center"/>
          </w:tcPr>
          <w:p w:rsidR="003B6E11" w:rsidRPr="003B6E11" w:rsidRDefault="003B6E11" w:rsidP="002D015D">
            <w:pPr>
              <w:overflowPunct w:val="0"/>
              <w:adjustRightInd w:val="0"/>
              <w:ind w:right="57"/>
              <w:textAlignment w:val="baseline"/>
              <w:rPr>
                <w:rFonts w:cs="Arial"/>
                <w:sz w:val="16"/>
                <w:szCs w:val="16"/>
                <w:lang w:val="cs-CZ"/>
              </w:rPr>
            </w:pPr>
            <w:r w:rsidRPr="003B6E11">
              <w:rPr>
                <w:sz w:val="16"/>
                <w:lang w:val="cs-CZ"/>
              </w:rPr>
              <w:t>Výrobce:</w:t>
            </w:r>
          </w:p>
        </w:tc>
        <w:tc>
          <w:tcPr>
            <w:tcW w:w="3402" w:type="dxa"/>
            <w:gridSpan w:val="12"/>
            <w:vAlign w:val="center"/>
          </w:tcPr>
          <w:p w:rsidR="003B6E11" w:rsidRPr="003B6E11" w:rsidRDefault="003B6E11" w:rsidP="002D015D">
            <w:pPr>
              <w:overflowPunct w:val="0"/>
              <w:adjustRightInd w:val="0"/>
              <w:ind w:right="57"/>
              <w:textAlignment w:val="baseline"/>
              <w:rPr>
                <w:rFonts w:cs="Arial"/>
                <w:sz w:val="16"/>
                <w:szCs w:val="16"/>
                <w:lang w:val="cs-CZ"/>
              </w:rPr>
            </w:pPr>
            <w:r w:rsidRPr="003B6E11">
              <w:rPr>
                <w:sz w:val="16"/>
                <w:lang w:val="cs-CZ"/>
              </w:rPr>
              <w:t>…………………………………………</w:t>
            </w:r>
          </w:p>
        </w:tc>
        <w:tc>
          <w:tcPr>
            <w:tcW w:w="1276" w:type="dxa"/>
            <w:gridSpan w:val="3"/>
            <w:vAlign w:val="center"/>
          </w:tcPr>
          <w:p w:rsidR="003B6E11" w:rsidRPr="003B6E11" w:rsidRDefault="003B6E11" w:rsidP="002D015D">
            <w:pPr>
              <w:overflowPunct w:val="0"/>
              <w:adjustRightInd w:val="0"/>
              <w:ind w:right="57"/>
              <w:textAlignment w:val="baseline"/>
              <w:rPr>
                <w:rFonts w:cs="Arial"/>
                <w:sz w:val="16"/>
                <w:szCs w:val="16"/>
                <w:lang w:val="cs-CZ"/>
              </w:rPr>
            </w:pPr>
            <w:bookmarkStart w:id="665" w:name="Text14"/>
            <w:bookmarkStart w:id="666" w:name="Text15"/>
            <w:r w:rsidRPr="003B6E11">
              <w:rPr>
                <w:sz w:val="16"/>
                <w:lang w:val="cs-CZ"/>
              </w:rPr>
              <w:t>Typ motoru:</w:t>
            </w:r>
            <w:bookmarkEnd w:id="665"/>
            <w:bookmarkEnd w:id="666"/>
          </w:p>
        </w:tc>
        <w:tc>
          <w:tcPr>
            <w:tcW w:w="3261" w:type="dxa"/>
            <w:gridSpan w:val="13"/>
            <w:vAlign w:val="center"/>
          </w:tcPr>
          <w:p w:rsidR="003B6E11" w:rsidRPr="003B6E11" w:rsidRDefault="003B6E11" w:rsidP="002D015D">
            <w:pPr>
              <w:overflowPunct w:val="0"/>
              <w:adjustRightInd w:val="0"/>
              <w:ind w:right="57"/>
              <w:textAlignment w:val="baseline"/>
              <w:rPr>
                <w:rFonts w:cs="Arial"/>
                <w:sz w:val="16"/>
                <w:szCs w:val="16"/>
                <w:lang w:val="cs-CZ"/>
              </w:rPr>
            </w:pPr>
            <w:r w:rsidRPr="003B6E11">
              <w:rPr>
                <w:sz w:val="16"/>
                <w:lang w:val="cs-CZ"/>
              </w:rPr>
              <w:t>……………………………………….</w:t>
            </w:r>
          </w:p>
        </w:tc>
      </w:tr>
      <w:tr w:rsidR="003B6E11" w:rsidRPr="003B6E11" w:rsidTr="002D015D">
        <w:tblPrEx>
          <w:jc w:val="center"/>
          <w:tblCellMar>
            <w:left w:w="28" w:type="dxa"/>
            <w:right w:w="28" w:type="dxa"/>
          </w:tblCellMar>
        </w:tblPrEx>
        <w:trPr>
          <w:jc w:val="center"/>
        </w:trPr>
        <w:tc>
          <w:tcPr>
            <w:tcW w:w="1276" w:type="dxa"/>
            <w:gridSpan w:val="4"/>
            <w:vAlign w:val="center"/>
          </w:tcPr>
          <w:p w:rsidR="003B6E11" w:rsidRPr="003B6E11" w:rsidRDefault="003B6E11" w:rsidP="002D015D">
            <w:pPr>
              <w:overflowPunct w:val="0"/>
              <w:adjustRightInd w:val="0"/>
              <w:ind w:right="57"/>
              <w:textAlignment w:val="baseline"/>
              <w:rPr>
                <w:rFonts w:cs="Arial"/>
                <w:szCs w:val="20"/>
                <w:lang w:val="cs-CZ"/>
              </w:rPr>
            </w:pPr>
          </w:p>
        </w:tc>
        <w:tc>
          <w:tcPr>
            <w:tcW w:w="3402" w:type="dxa"/>
            <w:gridSpan w:val="12"/>
            <w:tcBorders>
              <w:bottom w:val="nil"/>
            </w:tcBorders>
            <w:vAlign w:val="center"/>
          </w:tcPr>
          <w:p w:rsidR="003B6E11" w:rsidRPr="003B6E11" w:rsidRDefault="003B6E11" w:rsidP="002D015D">
            <w:pPr>
              <w:overflowPunct w:val="0"/>
              <w:adjustRightInd w:val="0"/>
              <w:ind w:right="57"/>
              <w:textAlignment w:val="baseline"/>
              <w:rPr>
                <w:rFonts w:cs="Arial"/>
                <w:sz w:val="12"/>
                <w:szCs w:val="12"/>
                <w:lang w:val="cs-CZ"/>
              </w:rPr>
            </w:pPr>
            <w:r w:rsidRPr="003B6E11">
              <w:rPr>
                <w:sz w:val="12"/>
                <w:lang w:val="cs-CZ"/>
              </w:rPr>
              <w:t>(Obchodní název / obchodní značka / obchodní název výrobce)</w:t>
            </w:r>
          </w:p>
        </w:tc>
        <w:tc>
          <w:tcPr>
            <w:tcW w:w="1276" w:type="dxa"/>
            <w:gridSpan w:val="3"/>
            <w:vAlign w:val="center"/>
          </w:tcPr>
          <w:p w:rsidR="003B6E11" w:rsidRPr="003B6E11" w:rsidRDefault="003B6E11" w:rsidP="002D015D">
            <w:pPr>
              <w:overflowPunct w:val="0"/>
              <w:adjustRightInd w:val="0"/>
              <w:ind w:right="57"/>
              <w:textAlignment w:val="baseline"/>
              <w:rPr>
                <w:rFonts w:cs="Arial"/>
                <w:szCs w:val="20"/>
                <w:lang w:val="cs-CZ"/>
              </w:rPr>
            </w:pPr>
          </w:p>
        </w:tc>
        <w:tc>
          <w:tcPr>
            <w:tcW w:w="3261" w:type="dxa"/>
            <w:gridSpan w:val="13"/>
            <w:tcBorders>
              <w:bottom w:val="nil"/>
            </w:tcBorders>
            <w:vAlign w:val="center"/>
          </w:tcPr>
          <w:p w:rsidR="003B6E11" w:rsidRPr="003B6E11" w:rsidRDefault="003B6E11" w:rsidP="002D015D">
            <w:pPr>
              <w:overflowPunct w:val="0"/>
              <w:adjustRightInd w:val="0"/>
              <w:ind w:right="57"/>
              <w:textAlignment w:val="baseline"/>
              <w:rPr>
                <w:rFonts w:cs="Arial"/>
                <w:sz w:val="12"/>
                <w:szCs w:val="12"/>
                <w:lang w:val="cs-CZ"/>
              </w:rPr>
            </w:pPr>
            <w:r w:rsidRPr="003B6E11">
              <w:rPr>
                <w:sz w:val="12"/>
                <w:lang w:val="cs-CZ"/>
              </w:rPr>
              <w:t>(Rodina motoru / popis výrobce)</w:t>
            </w:r>
          </w:p>
        </w:tc>
      </w:tr>
      <w:tr w:rsidR="003B6E11" w:rsidRPr="003B6E11" w:rsidTr="002D015D">
        <w:tblPrEx>
          <w:jc w:val="center"/>
          <w:tblCellMar>
            <w:left w:w="28" w:type="dxa"/>
            <w:right w:w="28" w:type="dxa"/>
          </w:tblCellMar>
        </w:tblPrEx>
        <w:trPr>
          <w:cantSplit/>
          <w:trHeight w:hRule="exact" w:val="57"/>
          <w:jc w:val="center"/>
        </w:trPr>
        <w:tc>
          <w:tcPr>
            <w:tcW w:w="9215" w:type="dxa"/>
            <w:gridSpan w:val="32"/>
            <w:vAlign w:val="center"/>
          </w:tcPr>
          <w:p w:rsidR="003B6E11" w:rsidRPr="003B6E11" w:rsidRDefault="003B6E11" w:rsidP="002D015D">
            <w:pPr>
              <w:overflowPunct w:val="0"/>
              <w:adjustRightInd w:val="0"/>
              <w:spacing w:before="60" w:after="60"/>
              <w:ind w:right="57"/>
              <w:textAlignment w:val="baseline"/>
              <w:rPr>
                <w:rFonts w:cs="Arial"/>
                <w:szCs w:val="20"/>
                <w:lang w:val="cs-CZ"/>
              </w:rPr>
            </w:pPr>
          </w:p>
        </w:tc>
      </w:tr>
      <w:tr w:rsidR="003B6E11" w:rsidRPr="003B6E11" w:rsidTr="002D015D">
        <w:tblPrEx>
          <w:jc w:val="center"/>
          <w:tblCellMar>
            <w:left w:w="28" w:type="dxa"/>
            <w:right w:w="28" w:type="dxa"/>
          </w:tblCellMar>
        </w:tblPrEx>
        <w:trPr>
          <w:jc w:val="center"/>
        </w:trPr>
        <w:tc>
          <w:tcPr>
            <w:tcW w:w="1985" w:type="dxa"/>
            <w:gridSpan w:val="6"/>
            <w:vAlign w:val="center"/>
          </w:tcPr>
          <w:p w:rsidR="003B6E11" w:rsidRPr="003B6E11" w:rsidRDefault="003B6E11" w:rsidP="002D015D">
            <w:pPr>
              <w:tabs>
                <w:tab w:val="center" w:pos="4819"/>
              </w:tabs>
              <w:overflowPunct w:val="0"/>
              <w:adjustRightInd w:val="0"/>
              <w:ind w:right="57"/>
              <w:textAlignment w:val="baseline"/>
              <w:rPr>
                <w:rFonts w:cs="Arial"/>
                <w:sz w:val="16"/>
                <w:szCs w:val="16"/>
                <w:lang w:val="cs-CZ"/>
              </w:rPr>
            </w:pPr>
            <w:r w:rsidRPr="003B6E11">
              <w:rPr>
                <w:sz w:val="16"/>
                <w:lang w:val="cs-CZ"/>
              </w:rPr>
              <w:t>Jmenovitý výkon (kW)</w:t>
            </w:r>
          </w:p>
        </w:tc>
        <w:tc>
          <w:tcPr>
            <w:tcW w:w="992" w:type="dxa"/>
            <w:gridSpan w:val="3"/>
            <w:vAlign w:val="center"/>
          </w:tcPr>
          <w:p w:rsidR="003B6E11" w:rsidRPr="003B6E11" w:rsidRDefault="003B6E11" w:rsidP="002D015D">
            <w:pPr>
              <w:overflowPunct w:val="0"/>
              <w:adjustRightInd w:val="0"/>
              <w:ind w:right="57"/>
              <w:textAlignment w:val="baseline"/>
              <w:rPr>
                <w:rFonts w:cs="Arial"/>
                <w:sz w:val="18"/>
                <w:szCs w:val="18"/>
                <w:lang w:val="cs-CZ"/>
              </w:rPr>
            </w:pPr>
            <w:r w:rsidRPr="003B6E11">
              <w:rPr>
                <w:sz w:val="18"/>
                <w:lang w:val="cs-CZ"/>
              </w:rPr>
              <w:t>…………..</w:t>
            </w:r>
          </w:p>
        </w:tc>
        <w:tc>
          <w:tcPr>
            <w:tcW w:w="2410" w:type="dxa"/>
            <w:gridSpan w:val="9"/>
            <w:vAlign w:val="center"/>
          </w:tcPr>
          <w:p w:rsidR="003B6E11" w:rsidRPr="003B6E11" w:rsidRDefault="003B6E11" w:rsidP="002D015D">
            <w:pPr>
              <w:overflowPunct w:val="0"/>
              <w:adjustRightInd w:val="0"/>
              <w:ind w:right="57"/>
              <w:textAlignment w:val="baseline"/>
              <w:rPr>
                <w:rFonts w:cs="Arial"/>
                <w:sz w:val="18"/>
                <w:szCs w:val="18"/>
                <w:lang w:val="cs-CZ"/>
              </w:rPr>
            </w:pPr>
            <w:r w:rsidRPr="003B6E11">
              <w:rPr>
                <w:sz w:val="16"/>
                <w:lang w:val="cs-CZ"/>
              </w:rPr>
              <w:t>Jmenovité otáčky (ot/min)</w:t>
            </w:r>
            <w:r w:rsidRPr="003B6E11">
              <w:rPr>
                <w:sz w:val="18"/>
                <w:lang w:val="cs-CZ"/>
              </w:rPr>
              <w:t>:</w:t>
            </w:r>
          </w:p>
        </w:tc>
        <w:tc>
          <w:tcPr>
            <w:tcW w:w="1134" w:type="dxa"/>
            <w:gridSpan w:val="5"/>
            <w:vAlign w:val="center"/>
          </w:tcPr>
          <w:p w:rsidR="003B6E11" w:rsidRPr="003B6E11" w:rsidRDefault="003B6E11" w:rsidP="002D015D">
            <w:pPr>
              <w:overflowPunct w:val="0"/>
              <w:adjustRightInd w:val="0"/>
              <w:ind w:right="57"/>
              <w:textAlignment w:val="baseline"/>
              <w:rPr>
                <w:rFonts w:cs="Arial"/>
                <w:sz w:val="18"/>
                <w:szCs w:val="18"/>
                <w:lang w:val="cs-CZ"/>
              </w:rPr>
            </w:pPr>
            <w:r w:rsidRPr="003B6E11">
              <w:rPr>
                <w:sz w:val="18"/>
                <w:lang w:val="cs-CZ"/>
              </w:rPr>
              <w:t>…………….</w:t>
            </w:r>
          </w:p>
        </w:tc>
        <w:tc>
          <w:tcPr>
            <w:tcW w:w="1843" w:type="dxa"/>
            <w:gridSpan w:val="7"/>
            <w:vAlign w:val="center"/>
          </w:tcPr>
          <w:p w:rsidR="003B6E11" w:rsidRPr="003B6E11" w:rsidRDefault="003B6E11" w:rsidP="002D015D">
            <w:pPr>
              <w:overflowPunct w:val="0"/>
              <w:adjustRightInd w:val="0"/>
              <w:ind w:right="57"/>
              <w:textAlignment w:val="baseline"/>
              <w:rPr>
                <w:rFonts w:cs="Arial"/>
                <w:sz w:val="16"/>
                <w:szCs w:val="16"/>
                <w:lang w:val="cs-CZ"/>
              </w:rPr>
            </w:pPr>
            <w:bookmarkStart w:id="667" w:name="Text16"/>
            <w:bookmarkStart w:id="668" w:name="Text17"/>
            <w:bookmarkStart w:id="669" w:name="Text18"/>
            <w:r w:rsidRPr="003B6E11">
              <w:rPr>
                <w:sz w:val="16"/>
                <w:lang w:val="cs-CZ"/>
              </w:rPr>
              <w:t>Počet válců:</w:t>
            </w:r>
            <w:bookmarkEnd w:id="667"/>
            <w:bookmarkEnd w:id="668"/>
            <w:bookmarkEnd w:id="669"/>
          </w:p>
        </w:tc>
        <w:tc>
          <w:tcPr>
            <w:tcW w:w="851" w:type="dxa"/>
            <w:gridSpan w:val="2"/>
            <w:vAlign w:val="center"/>
          </w:tcPr>
          <w:p w:rsidR="003B6E11" w:rsidRPr="003B6E11" w:rsidRDefault="003B6E11" w:rsidP="002D015D">
            <w:pPr>
              <w:overflowPunct w:val="0"/>
              <w:adjustRightInd w:val="0"/>
              <w:ind w:right="57"/>
              <w:textAlignment w:val="baseline"/>
              <w:rPr>
                <w:rFonts w:cs="Arial"/>
                <w:sz w:val="18"/>
                <w:szCs w:val="18"/>
                <w:lang w:val="cs-CZ"/>
              </w:rPr>
            </w:pPr>
            <w:r w:rsidRPr="003B6E11">
              <w:rPr>
                <w:sz w:val="18"/>
                <w:lang w:val="cs-CZ"/>
              </w:rPr>
              <w:t>………..</w:t>
            </w:r>
          </w:p>
        </w:tc>
      </w:tr>
      <w:tr w:rsidR="003B6E11" w:rsidRPr="003B6E11" w:rsidTr="002D015D">
        <w:tblPrEx>
          <w:jc w:val="center"/>
          <w:tblCellMar>
            <w:left w:w="28" w:type="dxa"/>
            <w:right w:w="28" w:type="dxa"/>
          </w:tblCellMar>
        </w:tblPrEx>
        <w:trPr>
          <w:cantSplit/>
          <w:trHeight w:hRule="exact" w:val="160"/>
          <w:jc w:val="center"/>
        </w:trPr>
        <w:tc>
          <w:tcPr>
            <w:tcW w:w="9215" w:type="dxa"/>
            <w:gridSpan w:val="32"/>
            <w:vAlign w:val="center"/>
          </w:tcPr>
          <w:p w:rsidR="003B6E11" w:rsidRPr="003B6E11" w:rsidRDefault="003B6E11" w:rsidP="002D015D">
            <w:pPr>
              <w:overflowPunct w:val="0"/>
              <w:adjustRightInd w:val="0"/>
              <w:spacing w:before="60" w:after="60"/>
              <w:ind w:right="57"/>
              <w:textAlignment w:val="baseline"/>
              <w:rPr>
                <w:rFonts w:cs="Arial"/>
                <w:szCs w:val="20"/>
                <w:lang w:val="cs-CZ"/>
              </w:rPr>
            </w:pPr>
          </w:p>
        </w:tc>
      </w:tr>
      <w:tr w:rsidR="003B6E11" w:rsidRPr="003B6E11" w:rsidTr="002D015D">
        <w:tblPrEx>
          <w:jc w:val="center"/>
          <w:tblCellMar>
            <w:left w:w="28" w:type="dxa"/>
            <w:right w:w="28" w:type="dxa"/>
          </w:tblCellMar>
        </w:tblPrEx>
        <w:trPr>
          <w:cantSplit/>
          <w:jc w:val="center"/>
        </w:trPr>
        <w:tc>
          <w:tcPr>
            <w:tcW w:w="3544" w:type="dxa"/>
            <w:gridSpan w:val="12"/>
            <w:vAlign w:val="center"/>
          </w:tcPr>
          <w:p w:rsidR="003B6E11" w:rsidRPr="003B6E11" w:rsidRDefault="003B6E11" w:rsidP="002D015D">
            <w:pPr>
              <w:tabs>
                <w:tab w:val="center" w:pos="4819"/>
              </w:tabs>
              <w:overflowPunct w:val="0"/>
              <w:adjustRightInd w:val="0"/>
              <w:ind w:right="57"/>
              <w:textAlignment w:val="baseline"/>
              <w:rPr>
                <w:rFonts w:cs="Arial"/>
                <w:sz w:val="16"/>
                <w:szCs w:val="16"/>
                <w:lang w:val="cs-CZ"/>
              </w:rPr>
            </w:pPr>
            <w:bookmarkStart w:id="670" w:name="Text32"/>
            <w:r w:rsidRPr="003B6E11">
              <w:rPr>
                <w:sz w:val="16"/>
                <w:lang w:val="cs-CZ"/>
              </w:rPr>
              <w:t>Zamýšlené použití motoru:</w:t>
            </w:r>
            <w:bookmarkEnd w:id="670"/>
          </w:p>
        </w:tc>
        <w:tc>
          <w:tcPr>
            <w:tcW w:w="5671" w:type="dxa"/>
            <w:gridSpan w:val="20"/>
            <w:vAlign w:val="center"/>
          </w:tcPr>
          <w:p w:rsidR="003B6E11" w:rsidRPr="003B6E11" w:rsidRDefault="003B6E11" w:rsidP="002D015D">
            <w:pPr>
              <w:overflowPunct w:val="0"/>
              <w:adjustRightInd w:val="0"/>
              <w:ind w:right="57"/>
              <w:textAlignment w:val="baseline"/>
              <w:rPr>
                <w:rFonts w:cs="Arial"/>
                <w:sz w:val="16"/>
                <w:szCs w:val="16"/>
                <w:lang w:val="cs-CZ"/>
              </w:rPr>
            </w:pPr>
            <w:r w:rsidRPr="003B6E11">
              <w:rPr>
                <w:sz w:val="16"/>
                <w:lang w:val="cs-CZ"/>
              </w:rPr>
              <w:t>………………………………………………………………………..</w:t>
            </w:r>
          </w:p>
        </w:tc>
      </w:tr>
      <w:tr w:rsidR="003B6E11" w:rsidRPr="003B6E11" w:rsidTr="002D015D">
        <w:tblPrEx>
          <w:jc w:val="center"/>
          <w:tblCellMar>
            <w:left w:w="28" w:type="dxa"/>
            <w:right w:w="28" w:type="dxa"/>
          </w:tblCellMar>
        </w:tblPrEx>
        <w:trPr>
          <w:cantSplit/>
          <w:jc w:val="center"/>
        </w:trPr>
        <w:tc>
          <w:tcPr>
            <w:tcW w:w="3544" w:type="dxa"/>
            <w:gridSpan w:val="12"/>
            <w:vAlign w:val="center"/>
          </w:tcPr>
          <w:p w:rsidR="003B6E11" w:rsidRPr="003B6E11" w:rsidRDefault="003B6E11" w:rsidP="002D015D">
            <w:pPr>
              <w:tabs>
                <w:tab w:val="center" w:pos="4819"/>
              </w:tabs>
              <w:overflowPunct w:val="0"/>
              <w:adjustRightInd w:val="0"/>
              <w:ind w:right="57"/>
              <w:textAlignment w:val="baseline"/>
              <w:rPr>
                <w:rFonts w:cs="Arial"/>
                <w:szCs w:val="20"/>
                <w:lang w:val="cs-CZ"/>
              </w:rPr>
            </w:pPr>
          </w:p>
        </w:tc>
        <w:tc>
          <w:tcPr>
            <w:tcW w:w="5671" w:type="dxa"/>
            <w:gridSpan w:val="20"/>
            <w:tcBorders>
              <w:bottom w:val="nil"/>
            </w:tcBorders>
            <w:vAlign w:val="center"/>
          </w:tcPr>
          <w:p w:rsidR="003B6E11" w:rsidRPr="003B6E11" w:rsidRDefault="003B6E11" w:rsidP="002D015D">
            <w:pPr>
              <w:overflowPunct w:val="0"/>
              <w:adjustRightInd w:val="0"/>
              <w:ind w:right="57"/>
              <w:textAlignment w:val="baseline"/>
              <w:rPr>
                <w:rFonts w:cs="Arial"/>
                <w:sz w:val="12"/>
                <w:szCs w:val="12"/>
                <w:lang w:val="cs-CZ"/>
              </w:rPr>
            </w:pPr>
            <w:r w:rsidRPr="003B6E11">
              <w:rPr>
                <w:sz w:val="12"/>
                <w:lang w:val="cs-CZ"/>
              </w:rPr>
              <w:t>(Hlavní pohon plavidla / pohon generátoru / přední boční pohon / pomocný motor atd.)</w:t>
            </w:r>
          </w:p>
        </w:tc>
      </w:tr>
      <w:tr w:rsidR="003B6E11" w:rsidRPr="003B6E11" w:rsidTr="002D015D">
        <w:tblPrEx>
          <w:jc w:val="center"/>
          <w:tblCellMar>
            <w:left w:w="28" w:type="dxa"/>
            <w:right w:w="28" w:type="dxa"/>
          </w:tblCellMar>
        </w:tblPrEx>
        <w:trPr>
          <w:cantSplit/>
          <w:trHeight w:hRule="exact" w:val="57"/>
          <w:jc w:val="center"/>
        </w:trPr>
        <w:tc>
          <w:tcPr>
            <w:tcW w:w="9215" w:type="dxa"/>
            <w:gridSpan w:val="32"/>
            <w:vAlign w:val="center"/>
          </w:tcPr>
          <w:p w:rsidR="003B6E11" w:rsidRPr="003B6E11" w:rsidRDefault="003B6E11" w:rsidP="002D015D">
            <w:pPr>
              <w:overflowPunct w:val="0"/>
              <w:adjustRightInd w:val="0"/>
              <w:spacing w:before="60" w:after="60"/>
              <w:ind w:right="57"/>
              <w:textAlignment w:val="baseline"/>
              <w:rPr>
                <w:rFonts w:cs="Arial"/>
                <w:szCs w:val="20"/>
                <w:lang w:val="cs-CZ"/>
              </w:rPr>
            </w:pPr>
          </w:p>
        </w:tc>
      </w:tr>
      <w:tr w:rsidR="003B6E11" w:rsidRPr="003B6E11" w:rsidTr="002D015D">
        <w:tblPrEx>
          <w:jc w:val="center"/>
          <w:tblCellMar>
            <w:left w:w="28" w:type="dxa"/>
            <w:right w:w="28" w:type="dxa"/>
          </w:tblCellMar>
        </w:tblPrEx>
        <w:trPr>
          <w:cantSplit/>
          <w:jc w:val="center"/>
        </w:trPr>
        <w:tc>
          <w:tcPr>
            <w:tcW w:w="2552" w:type="dxa"/>
            <w:gridSpan w:val="7"/>
            <w:vAlign w:val="center"/>
          </w:tcPr>
          <w:p w:rsidR="003B6E11" w:rsidRPr="003B6E11" w:rsidRDefault="003B6E11" w:rsidP="002D015D">
            <w:pPr>
              <w:tabs>
                <w:tab w:val="center" w:pos="4819"/>
              </w:tabs>
              <w:overflowPunct w:val="0"/>
              <w:adjustRightInd w:val="0"/>
              <w:ind w:right="57"/>
              <w:textAlignment w:val="baseline"/>
              <w:rPr>
                <w:rFonts w:cs="Arial"/>
                <w:sz w:val="16"/>
                <w:szCs w:val="16"/>
                <w:lang w:val="cs-CZ"/>
              </w:rPr>
            </w:pPr>
            <w:r w:rsidRPr="003B6E11">
              <w:rPr>
                <w:sz w:val="16"/>
                <w:lang w:val="cs-CZ"/>
              </w:rPr>
              <w:t>Číslo schválení typu:</w:t>
            </w:r>
          </w:p>
        </w:tc>
        <w:tc>
          <w:tcPr>
            <w:tcW w:w="3544" w:type="dxa"/>
            <w:gridSpan w:val="14"/>
            <w:vAlign w:val="center"/>
          </w:tcPr>
          <w:p w:rsidR="003B6E11" w:rsidRPr="003B6E11" w:rsidRDefault="003B6E11" w:rsidP="002D015D">
            <w:pPr>
              <w:overflowPunct w:val="0"/>
              <w:adjustRightInd w:val="0"/>
              <w:ind w:right="57"/>
              <w:textAlignment w:val="baseline"/>
              <w:rPr>
                <w:rFonts w:cs="Arial"/>
                <w:sz w:val="16"/>
                <w:szCs w:val="16"/>
                <w:lang w:val="cs-CZ"/>
              </w:rPr>
            </w:pPr>
            <w:r w:rsidRPr="003B6E11">
              <w:rPr>
                <w:sz w:val="16"/>
                <w:lang w:val="cs-CZ"/>
              </w:rPr>
              <w:t>……………………………………………</w:t>
            </w:r>
          </w:p>
        </w:tc>
        <w:tc>
          <w:tcPr>
            <w:tcW w:w="1559" w:type="dxa"/>
            <w:gridSpan w:val="6"/>
            <w:vAlign w:val="center"/>
          </w:tcPr>
          <w:p w:rsidR="003B6E11" w:rsidRPr="003B6E11" w:rsidRDefault="003B6E11" w:rsidP="002D015D">
            <w:pPr>
              <w:tabs>
                <w:tab w:val="center" w:pos="4819"/>
              </w:tabs>
              <w:overflowPunct w:val="0"/>
              <w:adjustRightInd w:val="0"/>
              <w:ind w:right="57"/>
              <w:textAlignment w:val="baseline"/>
              <w:rPr>
                <w:rFonts w:cs="Arial"/>
                <w:sz w:val="16"/>
                <w:szCs w:val="16"/>
                <w:lang w:val="cs-CZ"/>
              </w:rPr>
            </w:pPr>
            <w:bookmarkStart w:id="671" w:name="Text19"/>
            <w:bookmarkStart w:id="672" w:name="Text41"/>
            <w:r w:rsidRPr="003B6E11">
              <w:rPr>
                <w:sz w:val="16"/>
                <w:lang w:val="cs-CZ"/>
              </w:rPr>
              <w:t>Rok výroby motoru:</w:t>
            </w:r>
            <w:bookmarkEnd w:id="671"/>
            <w:bookmarkEnd w:id="672"/>
          </w:p>
        </w:tc>
        <w:tc>
          <w:tcPr>
            <w:tcW w:w="1560" w:type="dxa"/>
            <w:gridSpan w:val="5"/>
            <w:vAlign w:val="center"/>
          </w:tcPr>
          <w:p w:rsidR="003B6E11" w:rsidRPr="003B6E11" w:rsidRDefault="003B6E11" w:rsidP="002D015D">
            <w:pPr>
              <w:overflowPunct w:val="0"/>
              <w:adjustRightInd w:val="0"/>
              <w:ind w:right="57"/>
              <w:textAlignment w:val="baseline"/>
              <w:rPr>
                <w:rFonts w:cs="Arial"/>
                <w:sz w:val="16"/>
                <w:szCs w:val="16"/>
                <w:lang w:val="cs-CZ"/>
              </w:rPr>
            </w:pPr>
            <w:r w:rsidRPr="003B6E11">
              <w:rPr>
                <w:sz w:val="16"/>
                <w:lang w:val="cs-CZ"/>
              </w:rPr>
              <w:t>…………………</w:t>
            </w:r>
          </w:p>
        </w:tc>
      </w:tr>
      <w:tr w:rsidR="003B6E11" w:rsidRPr="003B6E11" w:rsidTr="002D015D">
        <w:tblPrEx>
          <w:jc w:val="center"/>
          <w:tblCellMar>
            <w:left w:w="28" w:type="dxa"/>
            <w:right w:w="28" w:type="dxa"/>
          </w:tblCellMar>
        </w:tblPrEx>
        <w:trPr>
          <w:cantSplit/>
          <w:trHeight w:hRule="exact" w:val="57"/>
          <w:jc w:val="center"/>
        </w:trPr>
        <w:tc>
          <w:tcPr>
            <w:tcW w:w="9215" w:type="dxa"/>
            <w:gridSpan w:val="32"/>
            <w:vAlign w:val="center"/>
          </w:tcPr>
          <w:p w:rsidR="003B6E11" w:rsidRPr="003B6E11" w:rsidRDefault="003B6E11" w:rsidP="002D015D">
            <w:pPr>
              <w:overflowPunct w:val="0"/>
              <w:adjustRightInd w:val="0"/>
              <w:spacing w:before="60" w:after="60"/>
              <w:ind w:right="57"/>
              <w:textAlignment w:val="baseline"/>
              <w:rPr>
                <w:rFonts w:cs="Arial"/>
                <w:szCs w:val="20"/>
                <w:lang w:val="cs-CZ"/>
              </w:rPr>
            </w:pPr>
          </w:p>
        </w:tc>
      </w:tr>
      <w:tr w:rsidR="003B6E11" w:rsidRPr="003B6E11" w:rsidTr="002D015D">
        <w:tblPrEx>
          <w:jc w:val="center"/>
          <w:tblCellMar>
            <w:left w:w="28" w:type="dxa"/>
            <w:right w:w="28" w:type="dxa"/>
          </w:tblCellMar>
        </w:tblPrEx>
        <w:trPr>
          <w:cantSplit/>
          <w:jc w:val="center"/>
        </w:trPr>
        <w:tc>
          <w:tcPr>
            <w:tcW w:w="2835" w:type="dxa"/>
            <w:gridSpan w:val="8"/>
            <w:vAlign w:val="center"/>
          </w:tcPr>
          <w:p w:rsidR="003B6E11" w:rsidRPr="003B6E11" w:rsidRDefault="003B6E11" w:rsidP="002D015D">
            <w:pPr>
              <w:tabs>
                <w:tab w:val="center" w:pos="4819"/>
              </w:tabs>
              <w:overflowPunct w:val="0"/>
              <w:adjustRightInd w:val="0"/>
              <w:ind w:right="57"/>
              <w:textAlignment w:val="baseline"/>
              <w:rPr>
                <w:rFonts w:cs="Arial"/>
                <w:sz w:val="16"/>
                <w:szCs w:val="16"/>
                <w:lang w:val="cs-CZ"/>
              </w:rPr>
            </w:pPr>
            <w:r w:rsidRPr="003B6E11">
              <w:rPr>
                <w:sz w:val="16"/>
                <w:lang w:val="cs-CZ"/>
              </w:rPr>
              <w:t>Identifikační číslo motoru:</w:t>
            </w:r>
          </w:p>
        </w:tc>
        <w:tc>
          <w:tcPr>
            <w:tcW w:w="3254" w:type="dxa"/>
            <w:gridSpan w:val="12"/>
            <w:vAlign w:val="center"/>
          </w:tcPr>
          <w:p w:rsidR="003B6E11" w:rsidRPr="003B6E11" w:rsidRDefault="003B6E11" w:rsidP="002D015D">
            <w:pPr>
              <w:overflowPunct w:val="0"/>
              <w:adjustRightInd w:val="0"/>
              <w:ind w:right="57"/>
              <w:textAlignment w:val="baseline"/>
              <w:rPr>
                <w:rFonts w:cs="Arial"/>
                <w:sz w:val="16"/>
                <w:szCs w:val="16"/>
                <w:lang w:val="cs-CZ"/>
              </w:rPr>
            </w:pPr>
            <w:r w:rsidRPr="003B6E11">
              <w:rPr>
                <w:sz w:val="16"/>
                <w:lang w:val="cs-CZ"/>
              </w:rPr>
              <w:t>…………………………………………….</w:t>
            </w:r>
          </w:p>
        </w:tc>
        <w:tc>
          <w:tcPr>
            <w:tcW w:w="1260" w:type="dxa"/>
            <w:gridSpan w:val="6"/>
            <w:vAlign w:val="center"/>
          </w:tcPr>
          <w:p w:rsidR="003B6E11" w:rsidRPr="003B6E11" w:rsidRDefault="003B6E11" w:rsidP="002D015D">
            <w:pPr>
              <w:overflowPunct w:val="0"/>
              <w:adjustRightInd w:val="0"/>
              <w:ind w:right="57"/>
              <w:textAlignment w:val="baseline"/>
              <w:rPr>
                <w:rFonts w:cs="Arial"/>
                <w:sz w:val="16"/>
                <w:szCs w:val="16"/>
                <w:lang w:val="cs-CZ"/>
              </w:rPr>
            </w:pPr>
            <w:r w:rsidRPr="003B6E11">
              <w:rPr>
                <w:sz w:val="16"/>
                <w:lang w:val="cs-CZ"/>
              </w:rPr>
              <w:t>Místo montáže:</w:t>
            </w:r>
          </w:p>
        </w:tc>
        <w:tc>
          <w:tcPr>
            <w:tcW w:w="1866" w:type="dxa"/>
            <w:gridSpan w:val="6"/>
            <w:vAlign w:val="center"/>
          </w:tcPr>
          <w:p w:rsidR="003B6E11" w:rsidRPr="003B6E11" w:rsidRDefault="003B6E11" w:rsidP="002D015D">
            <w:pPr>
              <w:overflowPunct w:val="0"/>
              <w:adjustRightInd w:val="0"/>
              <w:ind w:right="57"/>
              <w:textAlignment w:val="baseline"/>
              <w:rPr>
                <w:rFonts w:cs="Arial"/>
                <w:sz w:val="16"/>
                <w:szCs w:val="16"/>
                <w:lang w:val="cs-CZ"/>
              </w:rPr>
            </w:pPr>
            <w:r w:rsidRPr="003B6E11">
              <w:rPr>
                <w:sz w:val="16"/>
                <w:lang w:val="cs-CZ"/>
              </w:rPr>
              <w:t>……………………...</w:t>
            </w:r>
          </w:p>
        </w:tc>
      </w:tr>
      <w:tr w:rsidR="003B6E11" w:rsidRPr="003B6E11" w:rsidTr="002D015D">
        <w:tblPrEx>
          <w:jc w:val="center"/>
          <w:tblCellMar>
            <w:left w:w="28" w:type="dxa"/>
            <w:right w:w="28" w:type="dxa"/>
          </w:tblCellMar>
        </w:tblPrEx>
        <w:trPr>
          <w:cantSplit/>
          <w:jc w:val="center"/>
        </w:trPr>
        <w:tc>
          <w:tcPr>
            <w:tcW w:w="2835" w:type="dxa"/>
            <w:gridSpan w:val="8"/>
            <w:vAlign w:val="center"/>
          </w:tcPr>
          <w:p w:rsidR="003B6E11" w:rsidRPr="003B6E11" w:rsidRDefault="003B6E11" w:rsidP="002D015D">
            <w:pPr>
              <w:overflowPunct w:val="0"/>
              <w:adjustRightInd w:val="0"/>
              <w:ind w:right="57"/>
              <w:textAlignment w:val="baseline"/>
              <w:rPr>
                <w:rFonts w:cs="Arial"/>
                <w:szCs w:val="20"/>
                <w:lang w:val="cs-CZ"/>
              </w:rPr>
            </w:pPr>
          </w:p>
        </w:tc>
        <w:tc>
          <w:tcPr>
            <w:tcW w:w="6380" w:type="dxa"/>
            <w:gridSpan w:val="24"/>
            <w:tcBorders>
              <w:bottom w:val="nil"/>
            </w:tcBorders>
            <w:vAlign w:val="center"/>
          </w:tcPr>
          <w:p w:rsidR="003B6E11" w:rsidRPr="003B6E11" w:rsidRDefault="003B6E11" w:rsidP="002D015D">
            <w:pPr>
              <w:overflowPunct w:val="0"/>
              <w:adjustRightInd w:val="0"/>
              <w:ind w:right="57"/>
              <w:textAlignment w:val="baseline"/>
              <w:rPr>
                <w:rFonts w:cs="Arial"/>
                <w:sz w:val="12"/>
                <w:szCs w:val="12"/>
                <w:lang w:val="cs-CZ"/>
              </w:rPr>
            </w:pPr>
            <w:r w:rsidRPr="003B6E11">
              <w:rPr>
                <w:noProof/>
                <w:sz w:val="12"/>
                <w:lang w:val="cs-CZ"/>
              </w:rPr>
              <w:t>(Sériové číslo / jednotné identifikační číslo)</w:t>
            </w:r>
          </w:p>
        </w:tc>
      </w:tr>
      <w:tr w:rsidR="003B6E11" w:rsidRPr="003B6E11" w:rsidTr="002D015D">
        <w:tblPrEx>
          <w:jc w:val="center"/>
          <w:tblCellMar>
            <w:left w:w="28" w:type="dxa"/>
            <w:right w:w="28" w:type="dxa"/>
          </w:tblCellMar>
        </w:tblPrEx>
        <w:trPr>
          <w:cantSplit/>
          <w:trHeight w:hRule="exact" w:val="57"/>
          <w:jc w:val="center"/>
        </w:trPr>
        <w:tc>
          <w:tcPr>
            <w:tcW w:w="9215" w:type="dxa"/>
            <w:gridSpan w:val="32"/>
            <w:vAlign w:val="center"/>
          </w:tcPr>
          <w:p w:rsidR="003B6E11" w:rsidRPr="003B6E11" w:rsidRDefault="003B6E11" w:rsidP="002D015D">
            <w:pPr>
              <w:tabs>
                <w:tab w:val="center" w:pos="4819"/>
              </w:tabs>
              <w:overflowPunct w:val="0"/>
              <w:adjustRightInd w:val="0"/>
              <w:spacing w:before="60" w:after="60"/>
              <w:ind w:right="57"/>
              <w:textAlignment w:val="baseline"/>
              <w:rPr>
                <w:rFonts w:cs="Arial"/>
                <w:szCs w:val="20"/>
                <w:lang w:val="cs-CZ"/>
              </w:rPr>
            </w:pPr>
          </w:p>
        </w:tc>
      </w:tr>
      <w:tr w:rsidR="003B6E11" w:rsidRPr="003B6E11" w:rsidTr="002D015D">
        <w:tblPrEx>
          <w:jc w:val="center"/>
          <w:tblCellMar>
            <w:left w:w="28" w:type="dxa"/>
            <w:right w:w="28" w:type="dxa"/>
          </w:tblCellMar>
        </w:tblPrEx>
        <w:trPr>
          <w:cantSplit/>
          <w:jc w:val="center"/>
        </w:trPr>
        <w:tc>
          <w:tcPr>
            <w:tcW w:w="9215" w:type="dxa"/>
            <w:gridSpan w:val="32"/>
            <w:vAlign w:val="center"/>
          </w:tcPr>
          <w:p w:rsidR="003B6E11" w:rsidRPr="003B6E11" w:rsidRDefault="003B6E11" w:rsidP="002D015D">
            <w:pPr>
              <w:overflowPunct w:val="0"/>
              <w:adjustRightInd w:val="0"/>
              <w:ind w:right="57"/>
              <w:textAlignment w:val="baseline"/>
              <w:rPr>
                <w:rFonts w:cs="Arial"/>
                <w:sz w:val="16"/>
                <w:szCs w:val="16"/>
                <w:lang w:val="cs-CZ"/>
              </w:rPr>
            </w:pPr>
            <w:r w:rsidRPr="003B6E11">
              <w:rPr>
                <w:sz w:val="16"/>
                <w:lang w:val="cs-CZ"/>
              </w:rPr>
              <w:t>Motor a konstrukční díly motoru významné z hlediska výfukových plynů byly identifikovány na základě tabulky s údaji o plavidle.</w:t>
            </w:r>
          </w:p>
          <w:p w:rsidR="003B6E11" w:rsidRPr="003B6E11" w:rsidRDefault="003B6E11" w:rsidP="002D015D">
            <w:pPr>
              <w:overflowPunct w:val="0"/>
              <w:adjustRightInd w:val="0"/>
              <w:ind w:right="57"/>
              <w:textAlignment w:val="baseline"/>
              <w:rPr>
                <w:rFonts w:cs="Arial"/>
                <w:sz w:val="16"/>
                <w:szCs w:val="16"/>
                <w:lang w:val="cs-CZ"/>
              </w:rPr>
            </w:pPr>
            <w:r w:rsidRPr="003B6E11">
              <w:rPr>
                <w:sz w:val="16"/>
                <w:lang w:val="cs-CZ"/>
              </w:rPr>
              <w:t>Zkouška byla provedena na základě pokynů výrobce motoru pro monitorování konstrukčních dílů a parametrů motoru významných z hlediska výfukových plynů.</w:t>
            </w:r>
          </w:p>
        </w:tc>
      </w:tr>
      <w:tr w:rsidR="003B6E11" w:rsidRPr="003B6E11" w:rsidTr="002D015D">
        <w:tblPrEx>
          <w:jc w:val="center"/>
          <w:tblCellMar>
            <w:left w:w="28" w:type="dxa"/>
            <w:right w:w="28" w:type="dxa"/>
          </w:tblCellMar>
        </w:tblPrEx>
        <w:trPr>
          <w:cantSplit/>
          <w:trHeight w:val="57"/>
          <w:jc w:val="center"/>
        </w:trPr>
        <w:tc>
          <w:tcPr>
            <w:tcW w:w="9215" w:type="dxa"/>
            <w:gridSpan w:val="32"/>
            <w:vAlign w:val="center"/>
          </w:tcPr>
          <w:p w:rsidR="003B6E11" w:rsidRPr="003B6E11" w:rsidRDefault="003B6E11" w:rsidP="002D015D">
            <w:pPr>
              <w:overflowPunct w:val="0"/>
              <w:adjustRightInd w:val="0"/>
              <w:spacing w:line="100" w:lineRule="exact"/>
              <w:ind w:right="57"/>
              <w:textAlignment w:val="baseline"/>
              <w:rPr>
                <w:rFonts w:cs="Arial"/>
                <w:sz w:val="12"/>
                <w:szCs w:val="12"/>
                <w:lang w:val="cs-CZ"/>
              </w:rPr>
            </w:pPr>
          </w:p>
        </w:tc>
      </w:tr>
      <w:tr w:rsidR="003B6E11" w:rsidRPr="003B6E11" w:rsidTr="002D015D">
        <w:tblPrEx>
          <w:jc w:val="center"/>
        </w:tblPrEx>
        <w:trPr>
          <w:cantSplit/>
          <w:jc w:val="center"/>
        </w:trPr>
        <w:tc>
          <w:tcPr>
            <w:tcW w:w="9215" w:type="dxa"/>
            <w:gridSpan w:val="32"/>
            <w:vAlign w:val="center"/>
          </w:tcPr>
          <w:p w:rsidR="003B6E11" w:rsidRPr="003B6E11" w:rsidRDefault="003B6E11" w:rsidP="002D015D">
            <w:pPr>
              <w:overflowPunct w:val="0"/>
              <w:adjustRightInd w:val="0"/>
              <w:ind w:left="286" w:hanging="286"/>
              <w:textAlignment w:val="baseline"/>
              <w:rPr>
                <w:rFonts w:cs="Arial"/>
                <w:b/>
                <w:sz w:val="18"/>
                <w:szCs w:val="18"/>
                <w:lang w:val="cs-CZ"/>
              </w:rPr>
            </w:pPr>
            <w:r w:rsidRPr="003B6E11">
              <w:rPr>
                <w:b/>
                <w:sz w:val="18"/>
                <w:lang w:val="cs-CZ"/>
              </w:rPr>
              <w:t>A)</w:t>
            </w:r>
            <w:r w:rsidRPr="003B6E11">
              <w:rPr>
                <w:lang w:val="cs-CZ"/>
              </w:rPr>
              <w:tab/>
            </w:r>
            <w:r w:rsidRPr="003B6E11">
              <w:rPr>
                <w:b/>
                <w:sz w:val="18"/>
                <w:lang w:val="cs-CZ"/>
              </w:rPr>
              <w:t>Zkouška konstrukčních dílů</w:t>
            </w:r>
          </w:p>
          <w:p w:rsidR="003B6E11" w:rsidRPr="003B6E11" w:rsidRDefault="003B6E11" w:rsidP="002D015D">
            <w:pPr>
              <w:overflowPunct w:val="0"/>
              <w:adjustRightInd w:val="0"/>
              <w:spacing w:after="80"/>
              <w:ind w:left="284" w:right="57"/>
              <w:textAlignment w:val="baseline"/>
              <w:rPr>
                <w:rFonts w:cs="Arial"/>
                <w:sz w:val="16"/>
                <w:szCs w:val="16"/>
                <w:lang w:val="cs-CZ"/>
              </w:rPr>
            </w:pPr>
            <w:r w:rsidRPr="003B6E11">
              <w:rPr>
                <w:sz w:val="16"/>
                <w:lang w:val="cs-CZ"/>
              </w:rPr>
              <w:t>Tabulka by měla obsahovat další konstrukční díly významné z hlediska výfukových plynů a uvedené v Pokynech výrobce motoru pro monitorování konstrukčních dílů a parametrů motoru významných z hlediska výfukových plynů.</w:t>
            </w:r>
          </w:p>
        </w:tc>
      </w:tr>
      <w:tr w:rsidR="003B6E11" w:rsidRPr="003B6E11" w:rsidTr="002D015D">
        <w:tblPrEx>
          <w:jc w:val="center"/>
        </w:tblPrEx>
        <w:trPr>
          <w:jc w:val="center"/>
        </w:trPr>
        <w:tc>
          <w:tcPr>
            <w:tcW w:w="426" w:type="dxa"/>
            <w:gridSpan w:val="2"/>
            <w:tcBorders>
              <w:right w:val="single" w:sz="4" w:space="0" w:color="auto"/>
            </w:tcBorders>
            <w:vAlign w:val="center"/>
          </w:tcPr>
          <w:p w:rsidR="003B6E11" w:rsidRPr="003B6E11" w:rsidRDefault="003B6E11" w:rsidP="002D015D">
            <w:pPr>
              <w:overflowPunct w:val="0"/>
              <w:adjustRightInd w:val="0"/>
              <w:spacing w:before="40" w:after="40"/>
              <w:ind w:right="57"/>
              <w:textAlignment w:val="baseline"/>
              <w:rPr>
                <w:rFonts w:cs="Arial"/>
                <w:sz w:val="18"/>
                <w:szCs w:val="18"/>
                <w:lang w:val="cs-CZ"/>
              </w:rPr>
            </w:pPr>
          </w:p>
        </w:tc>
        <w:tc>
          <w:tcPr>
            <w:tcW w:w="2693" w:type="dxa"/>
            <w:gridSpan w:val="8"/>
            <w:tcBorders>
              <w:top w:val="single" w:sz="4" w:space="0" w:color="auto"/>
              <w:left w:val="nil"/>
              <w:bottom w:val="single" w:sz="4" w:space="0" w:color="auto"/>
              <w:right w:val="single" w:sz="4" w:space="0" w:color="auto"/>
            </w:tcBorders>
            <w:vAlign w:val="center"/>
          </w:tcPr>
          <w:p w:rsidR="003B6E11" w:rsidRPr="003B6E11" w:rsidRDefault="003B6E11" w:rsidP="002D015D">
            <w:pPr>
              <w:spacing w:before="60" w:after="60"/>
              <w:jc w:val="center"/>
              <w:rPr>
                <w:noProof/>
                <w:sz w:val="16"/>
                <w:szCs w:val="18"/>
                <w:lang w:val="cs-CZ"/>
              </w:rPr>
            </w:pPr>
            <w:r w:rsidRPr="003B6E11">
              <w:rPr>
                <w:noProof/>
                <w:sz w:val="16"/>
                <w:lang w:val="cs-CZ"/>
              </w:rPr>
              <w:t>Konstrukční díl</w:t>
            </w:r>
          </w:p>
        </w:tc>
        <w:tc>
          <w:tcPr>
            <w:tcW w:w="2977" w:type="dxa"/>
            <w:gridSpan w:val="11"/>
            <w:tcBorders>
              <w:top w:val="single" w:sz="4" w:space="0" w:color="auto"/>
              <w:left w:val="nil"/>
              <w:bottom w:val="single" w:sz="4" w:space="0" w:color="auto"/>
              <w:right w:val="single" w:sz="4" w:space="0" w:color="auto"/>
            </w:tcBorders>
            <w:vAlign w:val="center"/>
          </w:tcPr>
          <w:p w:rsidR="003B6E11" w:rsidRPr="003B6E11" w:rsidRDefault="003B6E11" w:rsidP="002D015D">
            <w:pPr>
              <w:spacing w:before="60" w:after="60"/>
              <w:jc w:val="center"/>
              <w:rPr>
                <w:noProof/>
                <w:sz w:val="18"/>
                <w:szCs w:val="18"/>
                <w:lang w:val="cs-CZ"/>
              </w:rPr>
            </w:pPr>
            <w:r w:rsidRPr="003B6E11">
              <w:rPr>
                <w:noProof/>
                <w:sz w:val="16"/>
                <w:lang w:val="cs-CZ"/>
              </w:rPr>
              <w:t>Zaznamenané číslo konstrukčního dílu</w:t>
            </w:r>
          </w:p>
        </w:tc>
        <w:tc>
          <w:tcPr>
            <w:tcW w:w="3119" w:type="dxa"/>
            <w:gridSpan w:val="11"/>
            <w:tcBorders>
              <w:top w:val="single" w:sz="4" w:space="0" w:color="auto"/>
              <w:left w:val="nil"/>
              <w:bottom w:val="single" w:sz="4" w:space="0" w:color="auto"/>
              <w:right w:val="single" w:sz="4" w:space="0" w:color="auto"/>
            </w:tcBorders>
            <w:vAlign w:val="center"/>
          </w:tcPr>
          <w:p w:rsidR="003B6E11" w:rsidRPr="003B6E11" w:rsidRDefault="003B6E11" w:rsidP="002D015D">
            <w:pPr>
              <w:overflowPunct w:val="0"/>
              <w:adjustRightInd w:val="0"/>
              <w:spacing w:before="40" w:after="40"/>
              <w:ind w:right="57"/>
              <w:jc w:val="center"/>
              <w:textAlignment w:val="baseline"/>
              <w:rPr>
                <w:rFonts w:cs="Arial"/>
                <w:bCs/>
                <w:sz w:val="18"/>
                <w:szCs w:val="18"/>
                <w:lang w:val="cs-CZ"/>
              </w:rPr>
            </w:pPr>
            <w:r w:rsidRPr="003B6E11">
              <w:rPr>
                <w:noProof/>
                <w:sz w:val="16"/>
                <w:lang w:val="cs-CZ"/>
              </w:rPr>
              <w:t>Shoda</w:t>
            </w:r>
            <w:r w:rsidRPr="003B6E11">
              <w:rPr>
                <w:noProof/>
                <w:sz w:val="18"/>
                <w:lang w:val="cs-CZ"/>
              </w:rPr>
              <w:t xml:space="preserve"> </w:t>
            </w:r>
            <w:r w:rsidRPr="003B6E11">
              <w:rPr>
                <w:sz w:val="18"/>
                <w:vertAlign w:val="superscript"/>
                <w:lang w:val="cs-CZ"/>
              </w:rPr>
              <w:t>1)</w:t>
            </w:r>
          </w:p>
        </w:tc>
      </w:tr>
      <w:tr w:rsidR="003B6E11" w:rsidRPr="003B6E11" w:rsidTr="002D01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3B6E11" w:rsidRPr="003B6E11" w:rsidRDefault="003B6E11" w:rsidP="002D015D">
            <w:pPr>
              <w:overflowPunct w:val="0"/>
              <w:adjustRightInd w:val="0"/>
              <w:ind w:right="57"/>
              <w:textAlignment w:val="baseline"/>
              <w:rPr>
                <w:rFonts w:cs="Arial"/>
                <w:sz w:val="18"/>
                <w:szCs w:val="18"/>
                <w:lang w:val="cs-CZ"/>
              </w:rPr>
            </w:pPr>
          </w:p>
        </w:tc>
        <w:tc>
          <w:tcPr>
            <w:tcW w:w="2693" w:type="dxa"/>
            <w:gridSpan w:val="8"/>
            <w:tcBorders>
              <w:top w:val="nil"/>
              <w:left w:val="nil"/>
              <w:bottom w:val="single" w:sz="4" w:space="0" w:color="auto"/>
              <w:right w:val="single" w:sz="4" w:space="0" w:color="auto"/>
            </w:tcBorders>
            <w:vAlign w:val="center"/>
          </w:tcPr>
          <w:p w:rsidR="003B6E11" w:rsidRPr="003B6E11" w:rsidRDefault="003B6E11" w:rsidP="002D015D">
            <w:pPr>
              <w:spacing w:before="40" w:after="40"/>
              <w:rPr>
                <w:noProof/>
                <w:sz w:val="16"/>
                <w:lang w:val="cs-CZ"/>
              </w:rPr>
            </w:pPr>
            <w:r w:rsidRPr="003B6E11">
              <w:rPr>
                <w:noProof/>
                <w:sz w:val="16"/>
                <w:lang w:val="cs-CZ"/>
              </w:rPr>
              <w:t>Vačkový hřídel / píst</w:t>
            </w:r>
          </w:p>
        </w:tc>
        <w:tc>
          <w:tcPr>
            <w:tcW w:w="2977" w:type="dxa"/>
            <w:gridSpan w:val="11"/>
            <w:tcBorders>
              <w:top w:val="nil"/>
              <w:left w:val="single" w:sz="4" w:space="0" w:color="auto"/>
              <w:bottom w:val="single" w:sz="4" w:space="0" w:color="auto"/>
              <w:right w:val="single" w:sz="4" w:space="0" w:color="auto"/>
            </w:tcBorders>
            <w:vAlign w:val="center"/>
          </w:tcPr>
          <w:p w:rsidR="003B6E11" w:rsidRPr="003B6E11" w:rsidRDefault="003B6E11" w:rsidP="002D015D">
            <w:pPr>
              <w:overflowPunct w:val="0"/>
              <w:adjustRightInd w:val="0"/>
              <w:ind w:right="57"/>
              <w:jc w:val="center"/>
              <w:textAlignment w:val="baseline"/>
              <w:rPr>
                <w:rFonts w:cs="Arial"/>
                <w:sz w:val="18"/>
                <w:szCs w:val="18"/>
                <w:lang w:val="cs-CZ"/>
              </w:rPr>
            </w:pPr>
          </w:p>
        </w:tc>
        <w:tc>
          <w:tcPr>
            <w:tcW w:w="1039" w:type="dxa"/>
            <w:gridSpan w:val="4"/>
            <w:tcBorders>
              <w:top w:val="single" w:sz="4" w:space="0" w:color="auto"/>
              <w:left w:val="single" w:sz="4" w:space="0" w:color="auto"/>
              <w:bottom w:val="single" w:sz="4" w:space="0" w:color="auto"/>
              <w:right w:val="nil"/>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4"/>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ano</w:t>
            </w:r>
          </w:p>
        </w:tc>
        <w:tc>
          <w:tcPr>
            <w:tcW w:w="1039" w:type="dxa"/>
            <w:gridSpan w:val="4"/>
            <w:tcBorders>
              <w:top w:val="single" w:sz="4" w:space="0" w:color="auto"/>
              <w:left w:val="nil"/>
              <w:bottom w:val="single" w:sz="4" w:space="0" w:color="auto"/>
              <w:right w:val="nil"/>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5"/>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ne</w:t>
            </w:r>
          </w:p>
        </w:tc>
        <w:tc>
          <w:tcPr>
            <w:tcW w:w="1041" w:type="dxa"/>
            <w:gridSpan w:val="3"/>
            <w:tcBorders>
              <w:top w:val="single" w:sz="4" w:space="0" w:color="auto"/>
              <w:left w:val="nil"/>
              <w:bottom w:val="single" w:sz="4" w:space="0" w:color="auto"/>
              <w:right w:val="single" w:sz="4" w:space="0" w:color="auto"/>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6"/>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nehodí se</w:t>
            </w:r>
          </w:p>
        </w:tc>
      </w:tr>
      <w:tr w:rsidR="003B6E11" w:rsidRPr="003B6E11" w:rsidTr="002D01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3B6E11" w:rsidRPr="003B6E11" w:rsidRDefault="003B6E11" w:rsidP="002D015D">
            <w:pPr>
              <w:overflowPunct w:val="0"/>
              <w:adjustRightInd w:val="0"/>
              <w:ind w:right="57"/>
              <w:textAlignment w:val="baseline"/>
              <w:rPr>
                <w:rFonts w:cs="Arial"/>
                <w:sz w:val="18"/>
                <w:szCs w:val="18"/>
                <w:lang w:val="cs-CZ"/>
              </w:rPr>
            </w:pPr>
          </w:p>
        </w:tc>
        <w:tc>
          <w:tcPr>
            <w:tcW w:w="2693" w:type="dxa"/>
            <w:gridSpan w:val="8"/>
            <w:tcBorders>
              <w:top w:val="single" w:sz="4" w:space="0" w:color="auto"/>
              <w:left w:val="nil"/>
              <w:bottom w:val="single" w:sz="4" w:space="0" w:color="auto"/>
              <w:right w:val="single" w:sz="4" w:space="0" w:color="auto"/>
            </w:tcBorders>
            <w:vAlign w:val="center"/>
          </w:tcPr>
          <w:p w:rsidR="003B6E11" w:rsidRPr="003B6E11" w:rsidRDefault="003B6E11" w:rsidP="002D015D">
            <w:pPr>
              <w:spacing w:before="40" w:after="40"/>
              <w:rPr>
                <w:noProof/>
                <w:sz w:val="16"/>
                <w:lang w:val="cs-CZ"/>
              </w:rPr>
            </w:pPr>
            <w:r w:rsidRPr="003B6E11">
              <w:rPr>
                <w:noProof/>
                <w:sz w:val="16"/>
                <w:lang w:val="cs-CZ"/>
              </w:rPr>
              <w:t>Vstřikovací ventil</w:t>
            </w: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3B6E11" w:rsidRPr="003B6E11" w:rsidRDefault="003B6E11" w:rsidP="002D015D">
            <w:pPr>
              <w:overflowPunct w:val="0"/>
              <w:adjustRightInd w:val="0"/>
              <w:ind w:right="57"/>
              <w:jc w:val="center"/>
              <w:textAlignment w:val="baseline"/>
              <w:rPr>
                <w:rFonts w:cs="Arial"/>
                <w:sz w:val="18"/>
                <w:szCs w:val="18"/>
                <w:lang w:val="cs-CZ"/>
              </w:rPr>
            </w:pPr>
          </w:p>
        </w:tc>
        <w:tc>
          <w:tcPr>
            <w:tcW w:w="1039" w:type="dxa"/>
            <w:gridSpan w:val="4"/>
            <w:tcBorders>
              <w:top w:val="single" w:sz="4" w:space="0" w:color="auto"/>
              <w:left w:val="single" w:sz="4" w:space="0" w:color="auto"/>
              <w:bottom w:val="single" w:sz="4" w:space="0" w:color="auto"/>
              <w:right w:val="nil"/>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7"/>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ano</w:t>
            </w:r>
          </w:p>
        </w:tc>
        <w:tc>
          <w:tcPr>
            <w:tcW w:w="1039" w:type="dxa"/>
            <w:gridSpan w:val="4"/>
            <w:tcBorders>
              <w:top w:val="single" w:sz="4" w:space="0" w:color="auto"/>
              <w:left w:val="nil"/>
              <w:bottom w:val="single" w:sz="4" w:space="0" w:color="auto"/>
              <w:right w:val="nil"/>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8"/>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ne</w:t>
            </w:r>
          </w:p>
        </w:tc>
        <w:tc>
          <w:tcPr>
            <w:tcW w:w="1041" w:type="dxa"/>
            <w:gridSpan w:val="3"/>
            <w:tcBorders>
              <w:top w:val="single" w:sz="4" w:space="0" w:color="auto"/>
              <w:left w:val="nil"/>
              <w:bottom w:val="single" w:sz="4" w:space="0" w:color="auto"/>
              <w:right w:val="single" w:sz="4" w:space="0" w:color="auto"/>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9"/>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nehodí se</w:t>
            </w:r>
          </w:p>
        </w:tc>
      </w:tr>
      <w:tr w:rsidR="003B6E11" w:rsidRPr="003B6E11" w:rsidTr="002D01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3B6E11" w:rsidRPr="003B6E11" w:rsidRDefault="003B6E11" w:rsidP="002D015D">
            <w:pPr>
              <w:overflowPunct w:val="0"/>
              <w:adjustRightInd w:val="0"/>
              <w:ind w:right="57"/>
              <w:textAlignment w:val="baseline"/>
              <w:rPr>
                <w:rFonts w:cs="Arial"/>
                <w:sz w:val="18"/>
                <w:szCs w:val="18"/>
                <w:lang w:val="cs-CZ"/>
              </w:rPr>
            </w:pPr>
          </w:p>
        </w:tc>
        <w:tc>
          <w:tcPr>
            <w:tcW w:w="2693" w:type="dxa"/>
            <w:gridSpan w:val="8"/>
            <w:tcBorders>
              <w:top w:val="single" w:sz="4" w:space="0" w:color="auto"/>
              <w:left w:val="nil"/>
              <w:bottom w:val="single" w:sz="4" w:space="0" w:color="auto"/>
              <w:right w:val="single" w:sz="4" w:space="0" w:color="auto"/>
            </w:tcBorders>
            <w:vAlign w:val="center"/>
          </w:tcPr>
          <w:p w:rsidR="003B6E11" w:rsidRPr="003B6E11" w:rsidRDefault="003B6E11" w:rsidP="002D015D">
            <w:pPr>
              <w:spacing w:before="40" w:after="40"/>
              <w:rPr>
                <w:noProof/>
                <w:sz w:val="16"/>
                <w:lang w:val="cs-CZ"/>
              </w:rPr>
            </w:pPr>
            <w:r w:rsidRPr="003B6E11">
              <w:rPr>
                <w:noProof/>
                <w:sz w:val="16"/>
                <w:lang w:val="cs-CZ"/>
              </w:rPr>
              <w:t>Datový soubor / číslo softwaru</w:t>
            </w: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3B6E11" w:rsidRPr="003B6E11" w:rsidRDefault="003B6E11" w:rsidP="002D015D">
            <w:pPr>
              <w:overflowPunct w:val="0"/>
              <w:adjustRightInd w:val="0"/>
              <w:ind w:right="57"/>
              <w:jc w:val="center"/>
              <w:textAlignment w:val="baseline"/>
              <w:rPr>
                <w:rFonts w:cs="Arial"/>
                <w:sz w:val="18"/>
                <w:szCs w:val="18"/>
                <w:lang w:val="cs-CZ"/>
              </w:rPr>
            </w:pPr>
          </w:p>
        </w:tc>
        <w:tc>
          <w:tcPr>
            <w:tcW w:w="1039" w:type="dxa"/>
            <w:gridSpan w:val="4"/>
            <w:tcBorders>
              <w:top w:val="single" w:sz="4" w:space="0" w:color="auto"/>
              <w:left w:val="single" w:sz="4" w:space="0" w:color="auto"/>
              <w:bottom w:val="single" w:sz="4" w:space="0" w:color="auto"/>
              <w:right w:val="nil"/>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7"/>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ano</w:t>
            </w:r>
          </w:p>
        </w:tc>
        <w:tc>
          <w:tcPr>
            <w:tcW w:w="1039" w:type="dxa"/>
            <w:gridSpan w:val="4"/>
            <w:tcBorders>
              <w:top w:val="single" w:sz="4" w:space="0" w:color="auto"/>
              <w:left w:val="nil"/>
              <w:bottom w:val="single" w:sz="4" w:space="0" w:color="auto"/>
              <w:right w:val="nil"/>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8"/>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ne</w:t>
            </w:r>
          </w:p>
        </w:tc>
        <w:tc>
          <w:tcPr>
            <w:tcW w:w="1041" w:type="dxa"/>
            <w:gridSpan w:val="3"/>
            <w:tcBorders>
              <w:top w:val="single" w:sz="4" w:space="0" w:color="auto"/>
              <w:left w:val="nil"/>
              <w:bottom w:val="single" w:sz="4" w:space="0" w:color="auto"/>
              <w:right w:val="single" w:sz="4" w:space="0" w:color="auto"/>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9"/>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nehodí se</w:t>
            </w:r>
          </w:p>
        </w:tc>
      </w:tr>
      <w:tr w:rsidR="003B6E11" w:rsidRPr="003B6E11" w:rsidTr="002D01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3B6E11" w:rsidRPr="003B6E11" w:rsidRDefault="003B6E11" w:rsidP="002D015D">
            <w:pPr>
              <w:overflowPunct w:val="0"/>
              <w:adjustRightInd w:val="0"/>
              <w:ind w:right="57"/>
              <w:textAlignment w:val="baseline"/>
              <w:rPr>
                <w:rFonts w:cs="Arial"/>
                <w:sz w:val="18"/>
                <w:szCs w:val="18"/>
                <w:lang w:val="cs-CZ"/>
              </w:rPr>
            </w:pPr>
          </w:p>
        </w:tc>
        <w:tc>
          <w:tcPr>
            <w:tcW w:w="2693" w:type="dxa"/>
            <w:gridSpan w:val="8"/>
            <w:tcBorders>
              <w:top w:val="single" w:sz="4" w:space="0" w:color="auto"/>
              <w:left w:val="nil"/>
              <w:bottom w:val="single" w:sz="4" w:space="0" w:color="auto"/>
              <w:right w:val="single" w:sz="4" w:space="0" w:color="auto"/>
            </w:tcBorders>
            <w:vAlign w:val="center"/>
          </w:tcPr>
          <w:p w:rsidR="003B6E11" w:rsidRPr="003B6E11" w:rsidRDefault="003B6E11" w:rsidP="002D015D">
            <w:pPr>
              <w:spacing w:before="40" w:after="40"/>
              <w:rPr>
                <w:noProof/>
                <w:sz w:val="16"/>
                <w:lang w:val="cs-CZ"/>
              </w:rPr>
            </w:pPr>
            <w:r w:rsidRPr="003B6E11">
              <w:rPr>
                <w:noProof/>
                <w:sz w:val="16"/>
                <w:lang w:val="cs-CZ"/>
              </w:rPr>
              <w:t>Vstřikovací čerpadlo</w:t>
            </w: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3B6E11" w:rsidRPr="003B6E11" w:rsidRDefault="003B6E11" w:rsidP="002D015D">
            <w:pPr>
              <w:overflowPunct w:val="0"/>
              <w:adjustRightInd w:val="0"/>
              <w:ind w:right="57"/>
              <w:jc w:val="center"/>
              <w:textAlignment w:val="baseline"/>
              <w:rPr>
                <w:rFonts w:cs="Arial"/>
                <w:sz w:val="18"/>
                <w:szCs w:val="18"/>
                <w:lang w:val="cs-CZ"/>
              </w:rPr>
            </w:pPr>
          </w:p>
        </w:tc>
        <w:tc>
          <w:tcPr>
            <w:tcW w:w="1039" w:type="dxa"/>
            <w:gridSpan w:val="4"/>
            <w:tcBorders>
              <w:top w:val="single" w:sz="4" w:space="0" w:color="auto"/>
              <w:left w:val="single" w:sz="4" w:space="0" w:color="auto"/>
              <w:bottom w:val="single" w:sz="4" w:space="0" w:color="auto"/>
              <w:right w:val="nil"/>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7"/>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ano</w:t>
            </w:r>
          </w:p>
        </w:tc>
        <w:tc>
          <w:tcPr>
            <w:tcW w:w="1039" w:type="dxa"/>
            <w:gridSpan w:val="4"/>
            <w:tcBorders>
              <w:top w:val="single" w:sz="4" w:space="0" w:color="auto"/>
              <w:left w:val="nil"/>
              <w:bottom w:val="single" w:sz="4" w:space="0" w:color="auto"/>
              <w:right w:val="nil"/>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8"/>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ne</w:t>
            </w:r>
          </w:p>
        </w:tc>
        <w:tc>
          <w:tcPr>
            <w:tcW w:w="1041" w:type="dxa"/>
            <w:gridSpan w:val="3"/>
            <w:tcBorders>
              <w:top w:val="single" w:sz="4" w:space="0" w:color="auto"/>
              <w:left w:val="nil"/>
              <w:bottom w:val="single" w:sz="4" w:space="0" w:color="auto"/>
              <w:right w:val="single" w:sz="4" w:space="0" w:color="auto"/>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9"/>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nehodí se</w:t>
            </w:r>
          </w:p>
        </w:tc>
      </w:tr>
      <w:tr w:rsidR="003B6E11" w:rsidRPr="003B6E11" w:rsidTr="002D01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3B6E11" w:rsidRPr="003B6E11" w:rsidRDefault="003B6E11" w:rsidP="002D015D">
            <w:pPr>
              <w:overflowPunct w:val="0"/>
              <w:adjustRightInd w:val="0"/>
              <w:ind w:right="57"/>
              <w:textAlignment w:val="baseline"/>
              <w:rPr>
                <w:rFonts w:cs="Arial"/>
                <w:sz w:val="18"/>
                <w:szCs w:val="18"/>
                <w:lang w:val="cs-CZ"/>
              </w:rPr>
            </w:pPr>
          </w:p>
        </w:tc>
        <w:tc>
          <w:tcPr>
            <w:tcW w:w="2693" w:type="dxa"/>
            <w:gridSpan w:val="8"/>
            <w:tcBorders>
              <w:top w:val="single" w:sz="4" w:space="0" w:color="auto"/>
              <w:left w:val="nil"/>
              <w:bottom w:val="single" w:sz="4" w:space="0" w:color="auto"/>
              <w:right w:val="single" w:sz="4" w:space="0" w:color="auto"/>
            </w:tcBorders>
            <w:vAlign w:val="center"/>
          </w:tcPr>
          <w:p w:rsidR="003B6E11" w:rsidRPr="003B6E11" w:rsidRDefault="003B6E11" w:rsidP="002D015D">
            <w:pPr>
              <w:spacing w:before="40" w:after="40"/>
              <w:rPr>
                <w:noProof/>
                <w:sz w:val="16"/>
                <w:lang w:val="cs-CZ"/>
              </w:rPr>
            </w:pPr>
            <w:r w:rsidRPr="003B6E11">
              <w:rPr>
                <w:noProof/>
                <w:sz w:val="16"/>
                <w:lang w:val="cs-CZ"/>
              </w:rPr>
              <w:t>Hlava válců</w:t>
            </w: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3B6E11" w:rsidRPr="003B6E11" w:rsidRDefault="003B6E11" w:rsidP="002D015D">
            <w:pPr>
              <w:overflowPunct w:val="0"/>
              <w:adjustRightInd w:val="0"/>
              <w:ind w:right="57"/>
              <w:jc w:val="center"/>
              <w:textAlignment w:val="baseline"/>
              <w:rPr>
                <w:rFonts w:cs="Arial"/>
                <w:sz w:val="18"/>
                <w:szCs w:val="18"/>
                <w:lang w:val="cs-CZ"/>
              </w:rPr>
            </w:pPr>
          </w:p>
        </w:tc>
        <w:tc>
          <w:tcPr>
            <w:tcW w:w="1039" w:type="dxa"/>
            <w:gridSpan w:val="4"/>
            <w:tcBorders>
              <w:top w:val="single" w:sz="4" w:space="0" w:color="auto"/>
              <w:left w:val="single" w:sz="4" w:space="0" w:color="auto"/>
              <w:bottom w:val="single" w:sz="4" w:space="0" w:color="auto"/>
              <w:right w:val="nil"/>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13"/>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ano</w:t>
            </w:r>
          </w:p>
        </w:tc>
        <w:tc>
          <w:tcPr>
            <w:tcW w:w="1039" w:type="dxa"/>
            <w:gridSpan w:val="4"/>
            <w:tcBorders>
              <w:top w:val="single" w:sz="4" w:space="0" w:color="auto"/>
              <w:left w:val="nil"/>
              <w:bottom w:val="single" w:sz="4" w:space="0" w:color="auto"/>
              <w:right w:val="nil"/>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14"/>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ne</w:t>
            </w:r>
          </w:p>
        </w:tc>
        <w:tc>
          <w:tcPr>
            <w:tcW w:w="1041" w:type="dxa"/>
            <w:gridSpan w:val="3"/>
            <w:tcBorders>
              <w:top w:val="single" w:sz="4" w:space="0" w:color="auto"/>
              <w:left w:val="nil"/>
              <w:bottom w:val="single" w:sz="4" w:space="0" w:color="auto"/>
              <w:right w:val="single" w:sz="4" w:space="0" w:color="auto"/>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15"/>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nehodí se</w:t>
            </w:r>
          </w:p>
        </w:tc>
      </w:tr>
      <w:tr w:rsidR="003B6E11" w:rsidRPr="003B6E11" w:rsidTr="002D01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gridSpan w:val="2"/>
            <w:tcBorders>
              <w:top w:val="nil"/>
              <w:left w:val="nil"/>
              <w:bottom w:val="nil"/>
              <w:right w:val="single" w:sz="4" w:space="0" w:color="auto"/>
            </w:tcBorders>
          </w:tcPr>
          <w:p w:rsidR="003B6E11" w:rsidRPr="003B6E11" w:rsidRDefault="003B6E11" w:rsidP="002D015D">
            <w:pPr>
              <w:overflowPunct w:val="0"/>
              <w:adjustRightInd w:val="0"/>
              <w:ind w:right="57"/>
              <w:textAlignment w:val="baseline"/>
              <w:rPr>
                <w:rFonts w:cs="Arial"/>
                <w:sz w:val="18"/>
                <w:szCs w:val="18"/>
                <w:lang w:val="cs-CZ"/>
              </w:rPr>
            </w:pPr>
          </w:p>
        </w:tc>
        <w:tc>
          <w:tcPr>
            <w:tcW w:w="2693" w:type="dxa"/>
            <w:gridSpan w:val="8"/>
            <w:tcBorders>
              <w:top w:val="single" w:sz="4" w:space="0" w:color="auto"/>
              <w:left w:val="nil"/>
              <w:bottom w:val="single" w:sz="4" w:space="0" w:color="auto"/>
              <w:right w:val="single" w:sz="4" w:space="0" w:color="auto"/>
            </w:tcBorders>
            <w:vAlign w:val="center"/>
          </w:tcPr>
          <w:p w:rsidR="003B6E11" w:rsidRPr="003B6E11" w:rsidRDefault="003B6E11" w:rsidP="002D015D">
            <w:pPr>
              <w:spacing w:before="40" w:after="40"/>
              <w:rPr>
                <w:noProof/>
                <w:sz w:val="16"/>
                <w:lang w:val="cs-CZ"/>
              </w:rPr>
            </w:pPr>
            <w:r w:rsidRPr="003B6E11">
              <w:rPr>
                <w:noProof/>
                <w:sz w:val="16"/>
                <w:lang w:val="cs-CZ"/>
              </w:rPr>
              <w:t>Turbodmychadlo výfukových plynů</w:t>
            </w: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3B6E11" w:rsidRPr="003B6E11" w:rsidRDefault="003B6E11" w:rsidP="002D015D">
            <w:pPr>
              <w:overflowPunct w:val="0"/>
              <w:adjustRightInd w:val="0"/>
              <w:ind w:right="57"/>
              <w:jc w:val="center"/>
              <w:textAlignment w:val="baseline"/>
              <w:rPr>
                <w:rFonts w:cs="Arial"/>
                <w:sz w:val="18"/>
                <w:szCs w:val="18"/>
                <w:lang w:val="cs-CZ"/>
              </w:rPr>
            </w:pPr>
          </w:p>
        </w:tc>
        <w:tc>
          <w:tcPr>
            <w:tcW w:w="1039" w:type="dxa"/>
            <w:gridSpan w:val="4"/>
            <w:tcBorders>
              <w:top w:val="single" w:sz="4" w:space="0" w:color="auto"/>
              <w:left w:val="single" w:sz="4" w:space="0" w:color="auto"/>
              <w:bottom w:val="single" w:sz="4" w:space="0" w:color="auto"/>
              <w:right w:val="nil"/>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7"/>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ano</w:t>
            </w:r>
          </w:p>
        </w:tc>
        <w:tc>
          <w:tcPr>
            <w:tcW w:w="1039" w:type="dxa"/>
            <w:gridSpan w:val="4"/>
            <w:tcBorders>
              <w:top w:val="single" w:sz="4" w:space="0" w:color="auto"/>
              <w:left w:val="nil"/>
              <w:bottom w:val="single" w:sz="4" w:space="0" w:color="auto"/>
              <w:right w:val="nil"/>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8"/>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ne</w:t>
            </w:r>
          </w:p>
        </w:tc>
        <w:tc>
          <w:tcPr>
            <w:tcW w:w="1041" w:type="dxa"/>
            <w:gridSpan w:val="3"/>
            <w:tcBorders>
              <w:top w:val="single" w:sz="4" w:space="0" w:color="auto"/>
              <w:left w:val="nil"/>
              <w:bottom w:val="single" w:sz="4" w:space="0" w:color="auto"/>
              <w:right w:val="single" w:sz="4" w:space="0" w:color="auto"/>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9"/>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nehodí se</w:t>
            </w:r>
          </w:p>
        </w:tc>
      </w:tr>
      <w:tr w:rsidR="003B6E11" w:rsidRPr="003B6E11" w:rsidTr="002D01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3B6E11" w:rsidRPr="003B6E11" w:rsidRDefault="003B6E11" w:rsidP="002D015D">
            <w:pPr>
              <w:overflowPunct w:val="0"/>
              <w:adjustRightInd w:val="0"/>
              <w:ind w:right="57"/>
              <w:textAlignment w:val="baseline"/>
              <w:rPr>
                <w:rFonts w:cs="Arial"/>
                <w:sz w:val="18"/>
                <w:szCs w:val="18"/>
                <w:lang w:val="cs-CZ"/>
              </w:rPr>
            </w:pPr>
          </w:p>
        </w:tc>
        <w:tc>
          <w:tcPr>
            <w:tcW w:w="2693" w:type="dxa"/>
            <w:gridSpan w:val="8"/>
            <w:tcBorders>
              <w:top w:val="single" w:sz="4" w:space="0" w:color="auto"/>
              <w:left w:val="nil"/>
              <w:bottom w:val="single" w:sz="4" w:space="0" w:color="auto"/>
              <w:right w:val="single" w:sz="4" w:space="0" w:color="auto"/>
            </w:tcBorders>
            <w:vAlign w:val="center"/>
          </w:tcPr>
          <w:p w:rsidR="003B6E11" w:rsidRPr="003B6E11" w:rsidRDefault="003B6E11" w:rsidP="002D015D">
            <w:pPr>
              <w:spacing w:before="40" w:after="40"/>
              <w:rPr>
                <w:noProof/>
                <w:sz w:val="16"/>
                <w:lang w:val="cs-CZ"/>
              </w:rPr>
            </w:pPr>
            <w:r w:rsidRPr="003B6E11">
              <w:rPr>
                <w:noProof/>
                <w:sz w:val="16"/>
                <w:lang w:val="cs-CZ"/>
              </w:rPr>
              <w:t>Mezichladič</w:t>
            </w: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3B6E11" w:rsidRPr="003B6E11" w:rsidRDefault="003B6E11" w:rsidP="002D015D">
            <w:pPr>
              <w:overflowPunct w:val="0"/>
              <w:adjustRightInd w:val="0"/>
              <w:ind w:right="57"/>
              <w:jc w:val="center"/>
              <w:textAlignment w:val="baseline"/>
              <w:rPr>
                <w:rFonts w:cs="Arial"/>
                <w:sz w:val="18"/>
                <w:szCs w:val="18"/>
                <w:lang w:val="cs-CZ"/>
              </w:rPr>
            </w:pPr>
          </w:p>
        </w:tc>
        <w:tc>
          <w:tcPr>
            <w:tcW w:w="1039" w:type="dxa"/>
            <w:gridSpan w:val="4"/>
            <w:tcBorders>
              <w:top w:val="single" w:sz="4" w:space="0" w:color="auto"/>
              <w:left w:val="single" w:sz="4" w:space="0" w:color="auto"/>
              <w:bottom w:val="single" w:sz="4" w:space="0" w:color="auto"/>
              <w:right w:val="nil"/>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16"/>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ano</w:t>
            </w:r>
          </w:p>
        </w:tc>
        <w:tc>
          <w:tcPr>
            <w:tcW w:w="1039" w:type="dxa"/>
            <w:gridSpan w:val="4"/>
            <w:tcBorders>
              <w:top w:val="single" w:sz="4" w:space="0" w:color="auto"/>
              <w:left w:val="nil"/>
              <w:bottom w:val="single" w:sz="4" w:space="0" w:color="auto"/>
              <w:right w:val="nil"/>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17"/>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ne</w:t>
            </w:r>
          </w:p>
        </w:tc>
        <w:tc>
          <w:tcPr>
            <w:tcW w:w="1041" w:type="dxa"/>
            <w:gridSpan w:val="3"/>
            <w:tcBorders>
              <w:top w:val="single" w:sz="4" w:space="0" w:color="auto"/>
              <w:left w:val="nil"/>
              <w:bottom w:val="single" w:sz="4" w:space="0" w:color="auto"/>
              <w:right w:val="single" w:sz="4" w:space="0" w:color="auto"/>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18"/>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nehodí se</w:t>
            </w:r>
          </w:p>
        </w:tc>
      </w:tr>
      <w:tr w:rsidR="003B6E11" w:rsidRPr="003B6E11" w:rsidTr="002D01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gridSpan w:val="2"/>
            <w:tcBorders>
              <w:top w:val="nil"/>
              <w:left w:val="nil"/>
              <w:bottom w:val="nil"/>
              <w:right w:val="single" w:sz="4" w:space="0" w:color="auto"/>
            </w:tcBorders>
          </w:tcPr>
          <w:p w:rsidR="003B6E11" w:rsidRPr="003B6E11" w:rsidRDefault="003B6E11" w:rsidP="002D015D">
            <w:pPr>
              <w:overflowPunct w:val="0"/>
              <w:adjustRightInd w:val="0"/>
              <w:ind w:right="57"/>
              <w:textAlignment w:val="baseline"/>
              <w:rPr>
                <w:rFonts w:cs="Arial"/>
                <w:sz w:val="18"/>
                <w:szCs w:val="18"/>
                <w:lang w:val="cs-CZ"/>
              </w:rPr>
            </w:pPr>
          </w:p>
        </w:tc>
        <w:tc>
          <w:tcPr>
            <w:tcW w:w="2693" w:type="dxa"/>
            <w:gridSpan w:val="8"/>
            <w:tcBorders>
              <w:top w:val="single" w:sz="4" w:space="0" w:color="auto"/>
              <w:left w:val="nil"/>
              <w:bottom w:val="single" w:sz="4" w:space="0" w:color="auto"/>
              <w:right w:val="single" w:sz="4" w:space="0" w:color="auto"/>
            </w:tcBorders>
            <w:vAlign w:val="center"/>
          </w:tcPr>
          <w:p w:rsidR="003B6E11" w:rsidRPr="003B6E11" w:rsidRDefault="003B6E11" w:rsidP="002D015D">
            <w:pPr>
              <w:overflowPunct w:val="0"/>
              <w:adjustRightInd w:val="0"/>
              <w:ind w:right="57"/>
              <w:textAlignment w:val="baseline"/>
              <w:rPr>
                <w:rFonts w:cs="Arial"/>
                <w:sz w:val="18"/>
                <w:szCs w:val="18"/>
                <w:lang w:val="cs-CZ"/>
              </w:rPr>
            </w:pP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3B6E11" w:rsidRPr="003B6E11" w:rsidRDefault="003B6E11" w:rsidP="002D015D">
            <w:pPr>
              <w:overflowPunct w:val="0"/>
              <w:adjustRightInd w:val="0"/>
              <w:ind w:right="57"/>
              <w:jc w:val="center"/>
              <w:textAlignment w:val="baseline"/>
              <w:rPr>
                <w:rFonts w:cs="Arial"/>
                <w:sz w:val="18"/>
                <w:szCs w:val="18"/>
                <w:lang w:val="cs-CZ"/>
              </w:rPr>
            </w:pPr>
          </w:p>
        </w:tc>
        <w:bookmarkStart w:id="673" w:name="Kontrollkästchen19"/>
        <w:tc>
          <w:tcPr>
            <w:tcW w:w="1039" w:type="dxa"/>
            <w:gridSpan w:val="4"/>
            <w:tcBorders>
              <w:top w:val="single" w:sz="4" w:space="0" w:color="auto"/>
              <w:left w:val="single" w:sz="4" w:space="0" w:color="auto"/>
              <w:bottom w:val="single" w:sz="4" w:space="0" w:color="auto"/>
              <w:right w:val="nil"/>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19"/>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w:t>
            </w:r>
            <w:bookmarkEnd w:id="673"/>
            <w:r w:rsidRPr="003B6E11">
              <w:rPr>
                <w:sz w:val="16"/>
                <w:lang w:val="cs-CZ"/>
              </w:rPr>
              <w:t>ano</w:t>
            </w:r>
          </w:p>
        </w:tc>
        <w:bookmarkStart w:id="674" w:name="Kontrollkästchen20"/>
        <w:tc>
          <w:tcPr>
            <w:tcW w:w="1039" w:type="dxa"/>
            <w:gridSpan w:val="4"/>
            <w:tcBorders>
              <w:top w:val="single" w:sz="4" w:space="0" w:color="auto"/>
              <w:left w:val="nil"/>
              <w:bottom w:val="single" w:sz="4" w:space="0" w:color="auto"/>
              <w:right w:val="nil"/>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20"/>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ne</w:t>
            </w:r>
            <w:bookmarkEnd w:id="674"/>
          </w:p>
        </w:tc>
        <w:bookmarkStart w:id="675" w:name="Kontrollkästchen21"/>
        <w:tc>
          <w:tcPr>
            <w:tcW w:w="1041" w:type="dxa"/>
            <w:gridSpan w:val="3"/>
            <w:tcBorders>
              <w:top w:val="single" w:sz="4" w:space="0" w:color="auto"/>
              <w:left w:val="nil"/>
              <w:bottom w:val="single" w:sz="4" w:space="0" w:color="auto"/>
              <w:right w:val="single" w:sz="4" w:space="0" w:color="auto"/>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21"/>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w:t>
            </w:r>
            <w:bookmarkEnd w:id="675"/>
            <w:r w:rsidRPr="003B6E11">
              <w:rPr>
                <w:sz w:val="16"/>
                <w:lang w:val="cs-CZ"/>
              </w:rPr>
              <w:t>nehodí se</w:t>
            </w:r>
          </w:p>
        </w:tc>
      </w:tr>
      <w:tr w:rsidR="003B6E11" w:rsidRPr="003B6E11" w:rsidTr="002D01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gridSpan w:val="2"/>
            <w:tcBorders>
              <w:top w:val="nil"/>
              <w:left w:val="nil"/>
              <w:bottom w:val="nil"/>
              <w:right w:val="single" w:sz="4" w:space="0" w:color="auto"/>
            </w:tcBorders>
          </w:tcPr>
          <w:p w:rsidR="003B6E11" w:rsidRPr="003B6E11" w:rsidRDefault="003B6E11" w:rsidP="002D015D">
            <w:pPr>
              <w:overflowPunct w:val="0"/>
              <w:adjustRightInd w:val="0"/>
              <w:ind w:right="57"/>
              <w:textAlignment w:val="baseline"/>
              <w:rPr>
                <w:rFonts w:cs="Arial"/>
                <w:sz w:val="18"/>
                <w:szCs w:val="18"/>
                <w:lang w:val="cs-CZ"/>
              </w:rPr>
            </w:pPr>
          </w:p>
        </w:tc>
        <w:tc>
          <w:tcPr>
            <w:tcW w:w="2693" w:type="dxa"/>
            <w:gridSpan w:val="8"/>
            <w:tcBorders>
              <w:top w:val="single" w:sz="4" w:space="0" w:color="auto"/>
              <w:left w:val="nil"/>
              <w:bottom w:val="single" w:sz="4" w:space="0" w:color="auto"/>
              <w:right w:val="single" w:sz="4" w:space="0" w:color="auto"/>
            </w:tcBorders>
            <w:vAlign w:val="center"/>
          </w:tcPr>
          <w:p w:rsidR="003B6E11" w:rsidRPr="003B6E11" w:rsidRDefault="003B6E11" w:rsidP="002D015D">
            <w:pPr>
              <w:overflowPunct w:val="0"/>
              <w:adjustRightInd w:val="0"/>
              <w:ind w:right="57"/>
              <w:textAlignment w:val="baseline"/>
              <w:rPr>
                <w:rFonts w:cs="Arial"/>
                <w:sz w:val="18"/>
                <w:szCs w:val="18"/>
                <w:lang w:val="cs-CZ"/>
              </w:rPr>
            </w:pP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3B6E11" w:rsidRPr="003B6E11" w:rsidRDefault="003B6E11" w:rsidP="002D015D">
            <w:pPr>
              <w:overflowPunct w:val="0"/>
              <w:adjustRightInd w:val="0"/>
              <w:ind w:right="57"/>
              <w:jc w:val="center"/>
              <w:textAlignment w:val="baseline"/>
              <w:rPr>
                <w:rFonts w:cs="Arial"/>
                <w:sz w:val="18"/>
                <w:szCs w:val="18"/>
                <w:lang w:val="cs-CZ"/>
              </w:rPr>
            </w:pPr>
          </w:p>
        </w:tc>
        <w:tc>
          <w:tcPr>
            <w:tcW w:w="1039" w:type="dxa"/>
            <w:gridSpan w:val="4"/>
            <w:tcBorders>
              <w:top w:val="single" w:sz="4" w:space="0" w:color="auto"/>
              <w:left w:val="single" w:sz="4" w:space="0" w:color="auto"/>
              <w:bottom w:val="single" w:sz="4" w:space="0" w:color="auto"/>
              <w:right w:val="nil"/>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19"/>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ano</w:t>
            </w:r>
          </w:p>
        </w:tc>
        <w:tc>
          <w:tcPr>
            <w:tcW w:w="1039" w:type="dxa"/>
            <w:gridSpan w:val="4"/>
            <w:tcBorders>
              <w:top w:val="single" w:sz="4" w:space="0" w:color="auto"/>
              <w:left w:val="nil"/>
              <w:bottom w:val="single" w:sz="4" w:space="0" w:color="auto"/>
              <w:right w:val="nil"/>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20"/>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ne</w:t>
            </w:r>
          </w:p>
        </w:tc>
        <w:tc>
          <w:tcPr>
            <w:tcW w:w="1041" w:type="dxa"/>
            <w:gridSpan w:val="3"/>
            <w:tcBorders>
              <w:top w:val="single" w:sz="4" w:space="0" w:color="auto"/>
              <w:left w:val="nil"/>
              <w:bottom w:val="single" w:sz="4" w:space="0" w:color="auto"/>
              <w:right w:val="single" w:sz="4" w:space="0" w:color="auto"/>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21"/>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nehodí se</w:t>
            </w:r>
          </w:p>
        </w:tc>
      </w:tr>
      <w:tr w:rsidR="003B6E11" w:rsidRPr="003B6E11" w:rsidTr="002D01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gridSpan w:val="2"/>
            <w:tcBorders>
              <w:top w:val="nil"/>
              <w:left w:val="nil"/>
              <w:bottom w:val="nil"/>
              <w:right w:val="single" w:sz="4" w:space="0" w:color="auto"/>
            </w:tcBorders>
          </w:tcPr>
          <w:p w:rsidR="003B6E11" w:rsidRPr="003B6E11" w:rsidRDefault="003B6E11" w:rsidP="002D015D">
            <w:pPr>
              <w:overflowPunct w:val="0"/>
              <w:adjustRightInd w:val="0"/>
              <w:ind w:right="57"/>
              <w:textAlignment w:val="baseline"/>
              <w:rPr>
                <w:rFonts w:cs="Arial"/>
                <w:sz w:val="18"/>
                <w:szCs w:val="18"/>
                <w:lang w:val="cs-CZ"/>
              </w:rPr>
            </w:pPr>
          </w:p>
        </w:tc>
        <w:tc>
          <w:tcPr>
            <w:tcW w:w="2693" w:type="dxa"/>
            <w:gridSpan w:val="8"/>
            <w:tcBorders>
              <w:top w:val="single" w:sz="4" w:space="0" w:color="auto"/>
              <w:left w:val="nil"/>
              <w:bottom w:val="single" w:sz="4" w:space="0" w:color="auto"/>
              <w:right w:val="single" w:sz="4" w:space="0" w:color="auto"/>
            </w:tcBorders>
            <w:vAlign w:val="center"/>
          </w:tcPr>
          <w:p w:rsidR="003B6E11" w:rsidRPr="003B6E11" w:rsidRDefault="003B6E11" w:rsidP="002D015D">
            <w:pPr>
              <w:overflowPunct w:val="0"/>
              <w:adjustRightInd w:val="0"/>
              <w:ind w:right="57"/>
              <w:textAlignment w:val="baseline"/>
              <w:rPr>
                <w:rFonts w:cs="Arial"/>
                <w:sz w:val="18"/>
                <w:szCs w:val="18"/>
                <w:lang w:val="cs-CZ"/>
              </w:rPr>
            </w:pPr>
          </w:p>
        </w:tc>
        <w:tc>
          <w:tcPr>
            <w:tcW w:w="2977" w:type="dxa"/>
            <w:gridSpan w:val="11"/>
            <w:tcBorders>
              <w:top w:val="single" w:sz="4" w:space="0" w:color="auto"/>
              <w:left w:val="single" w:sz="4" w:space="0" w:color="auto"/>
              <w:bottom w:val="single" w:sz="4" w:space="0" w:color="auto"/>
              <w:right w:val="single" w:sz="4" w:space="0" w:color="auto"/>
            </w:tcBorders>
            <w:vAlign w:val="center"/>
          </w:tcPr>
          <w:p w:rsidR="003B6E11" w:rsidRPr="003B6E11" w:rsidRDefault="003B6E11" w:rsidP="002D015D">
            <w:pPr>
              <w:overflowPunct w:val="0"/>
              <w:adjustRightInd w:val="0"/>
              <w:ind w:right="57"/>
              <w:jc w:val="center"/>
              <w:textAlignment w:val="baseline"/>
              <w:rPr>
                <w:rFonts w:cs="Arial"/>
                <w:sz w:val="18"/>
                <w:szCs w:val="18"/>
                <w:lang w:val="cs-CZ"/>
              </w:rPr>
            </w:pPr>
          </w:p>
        </w:tc>
        <w:tc>
          <w:tcPr>
            <w:tcW w:w="1039" w:type="dxa"/>
            <w:gridSpan w:val="4"/>
            <w:tcBorders>
              <w:top w:val="single" w:sz="4" w:space="0" w:color="auto"/>
              <w:left w:val="single" w:sz="4" w:space="0" w:color="auto"/>
              <w:bottom w:val="single" w:sz="4" w:space="0" w:color="auto"/>
              <w:right w:val="nil"/>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19"/>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ano</w:t>
            </w:r>
          </w:p>
        </w:tc>
        <w:tc>
          <w:tcPr>
            <w:tcW w:w="1039" w:type="dxa"/>
            <w:gridSpan w:val="4"/>
            <w:tcBorders>
              <w:top w:val="single" w:sz="4" w:space="0" w:color="auto"/>
              <w:left w:val="nil"/>
              <w:bottom w:val="single" w:sz="4" w:space="0" w:color="auto"/>
              <w:right w:val="nil"/>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20"/>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ne</w:t>
            </w:r>
          </w:p>
        </w:tc>
        <w:tc>
          <w:tcPr>
            <w:tcW w:w="1041" w:type="dxa"/>
            <w:gridSpan w:val="3"/>
            <w:tcBorders>
              <w:top w:val="single" w:sz="4" w:space="0" w:color="auto"/>
              <w:left w:val="nil"/>
              <w:bottom w:val="single" w:sz="4" w:space="0" w:color="auto"/>
              <w:right w:val="single" w:sz="4" w:space="0" w:color="auto"/>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21"/>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nehodí se</w:t>
            </w:r>
          </w:p>
        </w:tc>
      </w:tr>
      <w:tr w:rsidR="003B6E11" w:rsidRPr="003B6E11" w:rsidTr="002D015D">
        <w:tblPrEx>
          <w:jc w:val="center"/>
        </w:tblPrEx>
        <w:trPr>
          <w:cantSplit/>
          <w:trHeight w:hRule="exact" w:val="160"/>
          <w:jc w:val="center"/>
        </w:trPr>
        <w:tc>
          <w:tcPr>
            <w:tcW w:w="9215" w:type="dxa"/>
            <w:gridSpan w:val="32"/>
            <w:vAlign w:val="center"/>
          </w:tcPr>
          <w:p w:rsidR="003B6E11" w:rsidRPr="003B6E11" w:rsidRDefault="003B6E11" w:rsidP="002D015D">
            <w:pPr>
              <w:overflowPunct w:val="0"/>
              <w:adjustRightInd w:val="0"/>
              <w:ind w:right="57"/>
              <w:textAlignment w:val="baseline"/>
              <w:rPr>
                <w:rFonts w:cs="Arial"/>
                <w:sz w:val="18"/>
                <w:szCs w:val="18"/>
                <w:lang w:val="cs-CZ"/>
              </w:rPr>
            </w:pPr>
          </w:p>
        </w:tc>
      </w:tr>
      <w:tr w:rsidR="003B6E11" w:rsidRPr="003B6E11" w:rsidTr="002D015D">
        <w:tblPrEx>
          <w:jc w:val="center"/>
        </w:tblPrEx>
        <w:trPr>
          <w:cantSplit/>
          <w:jc w:val="center"/>
        </w:trPr>
        <w:tc>
          <w:tcPr>
            <w:tcW w:w="9215" w:type="dxa"/>
            <w:gridSpan w:val="32"/>
            <w:vAlign w:val="center"/>
          </w:tcPr>
          <w:p w:rsidR="003B6E11" w:rsidRPr="003B6E11" w:rsidRDefault="003B6E11" w:rsidP="002D015D">
            <w:pPr>
              <w:overflowPunct w:val="0"/>
              <w:adjustRightInd w:val="0"/>
              <w:ind w:left="286" w:hanging="286"/>
              <w:textAlignment w:val="baseline"/>
              <w:rPr>
                <w:rFonts w:cs="Arial"/>
                <w:b/>
                <w:sz w:val="18"/>
                <w:szCs w:val="18"/>
                <w:lang w:val="cs-CZ"/>
              </w:rPr>
            </w:pPr>
            <w:r w:rsidRPr="003B6E11">
              <w:rPr>
                <w:b/>
                <w:sz w:val="18"/>
                <w:lang w:val="cs-CZ"/>
              </w:rPr>
              <w:t>B)</w:t>
            </w:r>
            <w:r w:rsidRPr="003B6E11">
              <w:rPr>
                <w:lang w:val="cs-CZ"/>
              </w:rPr>
              <w:tab/>
            </w:r>
            <w:r w:rsidRPr="003B6E11">
              <w:rPr>
                <w:b/>
                <w:sz w:val="18"/>
                <w:lang w:val="cs-CZ"/>
              </w:rPr>
              <w:t>Vizuální prohlídka nastavitelných vlastností a parametrů motoru</w:t>
            </w:r>
          </w:p>
        </w:tc>
      </w:tr>
      <w:tr w:rsidR="003B6E11" w:rsidRPr="003B6E11" w:rsidTr="002D01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3B6E11" w:rsidRPr="003B6E11" w:rsidRDefault="003B6E11" w:rsidP="002D015D">
            <w:pPr>
              <w:overflowPunct w:val="0"/>
              <w:adjustRightInd w:val="0"/>
              <w:spacing w:before="20" w:after="20"/>
              <w:ind w:right="57"/>
              <w:jc w:val="center"/>
              <w:textAlignment w:val="baseline"/>
              <w:rPr>
                <w:rFonts w:cs="Arial"/>
                <w:sz w:val="16"/>
                <w:szCs w:val="18"/>
                <w:lang w:val="cs-CZ"/>
              </w:rPr>
            </w:pPr>
          </w:p>
        </w:tc>
        <w:tc>
          <w:tcPr>
            <w:tcW w:w="3543" w:type="dxa"/>
            <w:gridSpan w:val="11"/>
            <w:tcBorders>
              <w:top w:val="single" w:sz="4" w:space="0" w:color="auto"/>
              <w:left w:val="nil"/>
              <w:bottom w:val="single" w:sz="4" w:space="0" w:color="auto"/>
              <w:right w:val="single" w:sz="4" w:space="0" w:color="auto"/>
            </w:tcBorders>
            <w:vAlign w:val="center"/>
          </w:tcPr>
          <w:p w:rsidR="003B6E11" w:rsidRPr="003B6E11" w:rsidRDefault="003B6E11" w:rsidP="002D015D">
            <w:pPr>
              <w:overflowPunct w:val="0"/>
              <w:adjustRightInd w:val="0"/>
              <w:spacing w:before="20" w:after="20"/>
              <w:ind w:right="57"/>
              <w:jc w:val="center"/>
              <w:textAlignment w:val="baseline"/>
              <w:rPr>
                <w:rFonts w:cs="Arial"/>
                <w:bCs/>
                <w:sz w:val="16"/>
                <w:szCs w:val="18"/>
                <w:lang w:val="cs-CZ"/>
              </w:rPr>
            </w:pPr>
            <w:r w:rsidRPr="003B6E11">
              <w:rPr>
                <w:sz w:val="16"/>
                <w:lang w:val="cs-CZ"/>
              </w:rPr>
              <w:t>Parametr</w:t>
            </w:r>
          </w:p>
        </w:tc>
        <w:tc>
          <w:tcPr>
            <w:tcW w:w="3119" w:type="dxa"/>
            <w:gridSpan w:val="11"/>
            <w:tcBorders>
              <w:top w:val="single" w:sz="4" w:space="0" w:color="auto"/>
              <w:left w:val="single" w:sz="4" w:space="0" w:color="auto"/>
              <w:bottom w:val="single" w:sz="4" w:space="0" w:color="auto"/>
              <w:right w:val="single" w:sz="4" w:space="0" w:color="auto"/>
            </w:tcBorders>
            <w:vAlign w:val="center"/>
          </w:tcPr>
          <w:p w:rsidR="003B6E11" w:rsidRPr="003B6E11" w:rsidRDefault="003B6E11" w:rsidP="002D015D">
            <w:pPr>
              <w:overflowPunct w:val="0"/>
              <w:adjustRightInd w:val="0"/>
              <w:spacing w:before="20" w:after="20"/>
              <w:ind w:right="57"/>
              <w:jc w:val="center"/>
              <w:textAlignment w:val="baseline"/>
              <w:rPr>
                <w:rFonts w:cs="Arial"/>
                <w:bCs/>
                <w:sz w:val="16"/>
                <w:szCs w:val="18"/>
                <w:lang w:val="cs-CZ"/>
              </w:rPr>
            </w:pPr>
            <w:r w:rsidRPr="003B6E11">
              <w:rPr>
                <w:noProof/>
                <w:sz w:val="16"/>
                <w:lang w:val="cs-CZ"/>
              </w:rPr>
              <w:t>Zaznamenaná hodnota</w:t>
            </w:r>
          </w:p>
        </w:tc>
        <w:tc>
          <w:tcPr>
            <w:tcW w:w="2127" w:type="dxa"/>
            <w:gridSpan w:val="8"/>
            <w:tcBorders>
              <w:top w:val="single" w:sz="4" w:space="0" w:color="auto"/>
              <w:left w:val="single" w:sz="4" w:space="0" w:color="auto"/>
              <w:bottom w:val="single" w:sz="4" w:space="0" w:color="auto"/>
              <w:right w:val="single" w:sz="4" w:space="0" w:color="auto"/>
            </w:tcBorders>
            <w:vAlign w:val="center"/>
          </w:tcPr>
          <w:p w:rsidR="003B6E11" w:rsidRPr="003B6E11" w:rsidRDefault="003B6E11" w:rsidP="002D015D">
            <w:pPr>
              <w:overflowPunct w:val="0"/>
              <w:adjustRightInd w:val="0"/>
              <w:spacing w:before="20" w:after="20"/>
              <w:ind w:right="57"/>
              <w:jc w:val="center"/>
              <w:textAlignment w:val="baseline"/>
              <w:rPr>
                <w:rFonts w:cs="Arial"/>
                <w:bCs/>
                <w:sz w:val="16"/>
                <w:szCs w:val="18"/>
                <w:lang w:val="cs-CZ"/>
              </w:rPr>
            </w:pPr>
            <w:r w:rsidRPr="003B6E11">
              <w:rPr>
                <w:sz w:val="16"/>
                <w:lang w:val="cs-CZ"/>
              </w:rPr>
              <w:t>Shoda</w:t>
            </w:r>
            <w:r w:rsidRPr="003B6E11">
              <w:rPr>
                <w:sz w:val="16"/>
                <w:vertAlign w:val="superscript"/>
                <w:lang w:val="cs-CZ"/>
              </w:rPr>
              <w:t>1)</w:t>
            </w:r>
          </w:p>
        </w:tc>
      </w:tr>
      <w:tr w:rsidR="003B6E11" w:rsidRPr="003B6E11" w:rsidTr="002D01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gridSpan w:val="2"/>
            <w:tcBorders>
              <w:top w:val="nil"/>
              <w:left w:val="nil"/>
              <w:bottom w:val="nil"/>
              <w:right w:val="single" w:sz="4" w:space="0" w:color="auto"/>
            </w:tcBorders>
          </w:tcPr>
          <w:p w:rsidR="003B6E11" w:rsidRPr="003B6E11" w:rsidRDefault="003B6E11" w:rsidP="002D015D">
            <w:pPr>
              <w:overflowPunct w:val="0"/>
              <w:adjustRightInd w:val="0"/>
              <w:spacing w:before="20" w:after="20"/>
              <w:ind w:right="57"/>
              <w:jc w:val="center"/>
              <w:textAlignment w:val="baseline"/>
              <w:rPr>
                <w:rFonts w:cs="Arial"/>
                <w:sz w:val="16"/>
                <w:szCs w:val="16"/>
                <w:lang w:val="cs-CZ"/>
              </w:rPr>
            </w:pPr>
          </w:p>
        </w:tc>
        <w:tc>
          <w:tcPr>
            <w:tcW w:w="3543" w:type="dxa"/>
            <w:gridSpan w:val="11"/>
            <w:tcBorders>
              <w:top w:val="single" w:sz="4" w:space="0" w:color="auto"/>
              <w:left w:val="nil"/>
              <w:bottom w:val="single" w:sz="4" w:space="0" w:color="auto"/>
              <w:right w:val="single" w:sz="4" w:space="0" w:color="auto"/>
            </w:tcBorders>
            <w:vAlign w:val="center"/>
          </w:tcPr>
          <w:p w:rsidR="003B6E11" w:rsidRPr="003B6E11" w:rsidRDefault="003B6E11" w:rsidP="002D015D">
            <w:pPr>
              <w:overflowPunct w:val="0"/>
              <w:adjustRightInd w:val="0"/>
              <w:spacing w:before="20" w:after="20"/>
              <w:ind w:right="57"/>
              <w:jc w:val="center"/>
              <w:textAlignment w:val="baseline"/>
              <w:rPr>
                <w:rFonts w:cs="Arial"/>
                <w:sz w:val="16"/>
                <w:szCs w:val="16"/>
                <w:lang w:val="cs-CZ"/>
              </w:rPr>
            </w:pPr>
            <w:r w:rsidRPr="003B6E11">
              <w:rPr>
                <w:sz w:val="16"/>
                <w:lang w:val="cs-CZ"/>
              </w:rPr>
              <w:t>Časování vstřiku, doba vstřiku</w:t>
            </w:r>
          </w:p>
        </w:tc>
        <w:tc>
          <w:tcPr>
            <w:tcW w:w="3119" w:type="dxa"/>
            <w:gridSpan w:val="11"/>
            <w:tcBorders>
              <w:top w:val="single" w:sz="4" w:space="0" w:color="auto"/>
              <w:left w:val="single" w:sz="4" w:space="0" w:color="auto"/>
              <w:bottom w:val="single" w:sz="4" w:space="0" w:color="auto"/>
              <w:right w:val="single" w:sz="4" w:space="0" w:color="auto"/>
            </w:tcBorders>
            <w:vAlign w:val="center"/>
          </w:tcPr>
          <w:p w:rsidR="003B6E11" w:rsidRPr="003B6E11" w:rsidRDefault="003B6E11" w:rsidP="002D015D">
            <w:pPr>
              <w:overflowPunct w:val="0"/>
              <w:adjustRightInd w:val="0"/>
              <w:spacing w:before="20" w:after="20"/>
              <w:ind w:right="57"/>
              <w:jc w:val="center"/>
              <w:textAlignment w:val="baseline"/>
              <w:rPr>
                <w:rFonts w:cs="Arial"/>
                <w:sz w:val="16"/>
                <w:szCs w:val="16"/>
                <w:lang w:val="cs-CZ"/>
              </w:rPr>
            </w:pPr>
          </w:p>
        </w:tc>
        <w:tc>
          <w:tcPr>
            <w:tcW w:w="1063" w:type="dxa"/>
            <w:gridSpan w:val="4"/>
            <w:tcBorders>
              <w:top w:val="single" w:sz="4" w:space="0" w:color="auto"/>
              <w:left w:val="single" w:sz="4" w:space="0" w:color="auto"/>
              <w:bottom w:val="single" w:sz="4" w:space="0" w:color="auto"/>
              <w:right w:val="single" w:sz="4" w:space="0" w:color="auto"/>
            </w:tcBorders>
            <w:vAlign w:val="center"/>
          </w:tcPr>
          <w:p w:rsidR="003B6E11" w:rsidRPr="003B6E11" w:rsidRDefault="003B6E11" w:rsidP="002D015D">
            <w:pPr>
              <w:overflowPunct w:val="0"/>
              <w:adjustRightInd w:val="0"/>
              <w:spacing w:before="20" w:after="20"/>
              <w:ind w:right="57"/>
              <w:jc w:val="center"/>
              <w:textAlignment w:val="baseline"/>
              <w:rPr>
                <w:rFonts w:cs="Arial"/>
                <w:sz w:val="16"/>
                <w:szCs w:val="16"/>
                <w:lang w:val="cs-CZ"/>
              </w:rPr>
            </w:pPr>
            <w:r w:rsidRPr="003B6E11">
              <w:rPr>
                <w:rFonts w:cs="Arial"/>
                <w:sz w:val="16"/>
                <w:szCs w:val="16"/>
                <w:lang w:val="cs-CZ"/>
              </w:rPr>
              <w:fldChar w:fldCharType="begin">
                <w:ffData>
                  <w:name w:val=""/>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ano</w:t>
            </w:r>
          </w:p>
        </w:tc>
        <w:tc>
          <w:tcPr>
            <w:tcW w:w="1064" w:type="dxa"/>
            <w:gridSpan w:val="4"/>
            <w:tcBorders>
              <w:top w:val="single" w:sz="4" w:space="0" w:color="auto"/>
              <w:left w:val="single" w:sz="4" w:space="0" w:color="auto"/>
              <w:bottom w:val="single" w:sz="4" w:space="0" w:color="auto"/>
              <w:right w:val="single" w:sz="4" w:space="0" w:color="auto"/>
            </w:tcBorders>
            <w:vAlign w:val="center"/>
          </w:tcPr>
          <w:p w:rsidR="003B6E11" w:rsidRPr="003B6E11" w:rsidRDefault="003B6E11" w:rsidP="002D015D">
            <w:pPr>
              <w:overflowPunct w:val="0"/>
              <w:adjustRightInd w:val="0"/>
              <w:spacing w:before="20" w:after="20"/>
              <w:ind w:right="57"/>
              <w:jc w:val="center"/>
              <w:textAlignment w:val="baseline"/>
              <w:rPr>
                <w:rFonts w:cs="Arial"/>
                <w:sz w:val="16"/>
                <w:szCs w:val="16"/>
                <w:lang w:val="cs-CZ"/>
              </w:rPr>
            </w:pPr>
            <w:r w:rsidRPr="003B6E11">
              <w:rPr>
                <w:rFonts w:cs="Arial"/>
                <w:sz w:val="16"/>
                <w:szCs w:val="16"/>
                <w:lang w:val="cs-CZ"/>
              </w:rPr>
              <w:fldChar w:fldCharType="begin">
                <w:ffData>
                  <w:name w:val="Kontrollkästchen20"/>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r w:rsidRPr="003B6E11">
              <w:rPr>
                <w:sz w:val="16"/>
                <w:lang w:val="cs-CZ"/>
              </w:rPr>
              <w:t xml:space="preserve"> ne</w:t>
            </w:r>
          </w:p>
        </w:tc>
      </w:tr>
      <w:tr w:rsidR="003B6E11" w:rsidRPr="003B6E11" w:rsidTr="002D01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60"/>
          <w:jc w:val="center"/>
        </w:trPr>
        <w:tc>
          <w:tcPr>
            <w:tcW w:w="9215" w:type="dxa"/>
            <w:gridSpan w:val="32"/>
            <w:tcBorders>
              <w:top w:val="nil"/>
              <w:left w:val="nil"/>
              <w:bottom w:val="nil"/>
              <w:right w:val="nil"/>
            </w:tcBorders>
            <w:vAlign w:val="center"/>
          </w:tcPr>
          <w:p w:rsidR="003B6E11" w:rsidRPr="003B6E11" w:rsidRDefault="003B6E11" w:rsidP="002D015D">
            <w:pPr>
              <w:overflowPunct w:val="0"/>
              <w:adjustRightInd w:val="0"/>
              <w:ind w:right="57"/>
              <w:textAlignment w:val="baseline"/>
              <w:rPr>
                <w:rFonts w:cs="Arial"/>
                <w:sz w:val="18"/>
                <w:szCs w:val="18"/>
                <w:lang w:val="cs-CZ"/>
              </w:rPr>
            </w:pPr>
          </w:p>
        </w:tc>
      </w:tr>
      <w:tr w:rsidR="003B6E11" w:rsidRPr="003B6E11" w:rsidTr="002D01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215" w:type="dxa"/>
            <w:gridSpan w:val="32"/>
            <w:tcBorders>
              <w:top w:val="nil"/>
              <w:left w:val="nil"/>
              <w:bottom w:val="nil"/>
              <w:right w:val="nil"/>
            </w:tcBorders>
            <w:vAlign w:val="center"/>
          </w:tcPr>
          <w:p w:rsidR="003B6E11" w:rsidRPr="003B6E11" w:rsidRDefault="003B6E11" w:rsidP="002D015D">
            <w:pPr>
              <w:spacing w:before="40" w:after="40"/>
              <w:ind w:left="286" w:right="57" w:hanging="286"/>
              <w:outlineLvl w:val="4"/>
              <w:rPr>
                <w:rFonts w:cs="Arial"/>
                <w:b/>
                <w:bCs/>
                <w:snapToGrid w:val="0"/>
                <w:sz w:val="18"/>
                <w:szCs w:val="18"/>
                <w:lang w:val="cs-CZ"/>
              </w:rPr>
            </w:pPr>
            <w:r w:rsidRPr="003B6E11">
              <w:rPr>
                <w:b/>
                <w:snapToGrid w:val="0"/>
                <w:sz w:val="18"/>
                <w:lang w:val="cs-CZ"/>
              </w:rPr>
              <w:t>C)</w:t>
            </w:r>
            <w:r w:rsidRPr="003B6E11">
              <w:rPr>
                <w:lang w:val="cs-CZ"/>
              </w:rPr>
              <w:tab/>
            </w:r>
            <w:r w:rsidRPr="003B6E11">
              <w:rPr>
                <w:b/>
                <w:snapToGrid w:val="0"/>
                <w:sz w:val="18"/>
                <w:lang w:val="cs-CZ"/>
              </w:rPr>
              <w:t>Prohlídka sací a výfukové soustavy</w:t>
            </w:r>
          </w:p>
        </w:tc>
      </w:tr>
      <w:tr w:rsidR="003B6E11" w:rsidRPr="003B6E11" w:rsidTr="002D01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gridSpan w:val="2"/>
            <w:tcBorders>
              <w:top w:val="nil"/>
              <w:left w:val="nil"/>
              <w:bottom w:val="nil"/>
              <w:right w:val="single" w:sz="4" w:space="0" w:color="auto"/>
            </w:tcBorders>
          </w:tcPr>
          <w:p w:rsidR="003B6E11" w:rsidRPr="003B6E11" w:rsidRDefault="003B6E11" w:rsidP="002D015D">
            <w:pPr>
              <w:overflowPunct w:val="0"/>
              <w:adjustRightInd w:val="0"/>
              <w:ind w:right="57"/>
              <w:jc w:val="center"/>
              <w:textAlignment w:val="baseline"/>
              <w:rPr>
                <w:rFonts w:cs="Arial"/>
                <w:sz w:val="18"/>
                <w:szCs w:val="18"/>
                <w:lang w:val="cs-CZ"/>
              </w:rPr>
            </w:pPr>
          </w:p>
        </w:tc>
        <w:tc>
          <w:tcPr>
            <w:tcW w:w="567" w:type="dxa"/>
            <w:tcBorders>
              <w:top w:val="single" w:sz="4" w:space="0" w:color="auto"/>
              <w:left w:val="nil"/>
              <w:bottom w:val="single" w:sz="4" w:space="0" w:color="auto"/>
              <w:right w:val="single" w:sz="4" w:space="0" w:color="auto"/>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25"/>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p>
        </w:tc>
        <w:tc>
          <w:tcPr>
            <w:tcW w:w="8222" w:type="dxa"/>
            <w:gridSpan w:val="29"/>
            <w:tcBorders>
              <w:top w:val="single" w:sz="4" w:space="0" w:color="auto"/>
              <w:left w:val="single" w:sz="4" w:space="0" w:color="auto"/>
              <w:bottom w:val="single" w:sz="4" w:space="0" w:color="auto"/>
              <w:right w:val="single" w:sz="4" w:space="0" w:color="auto"/>
            </w:tcBorders>
            <w:vAlign w:val="center"/>
          </w:tcPr>
          <w:p w:rsidR="003B6E11" w:rsidRPr="003B6E11" w:rsidRDefault="003B6E11" w:rsidP="002D015D">
            <w:pPr>
              <w:overflowPunct w:val="0"/>
              <w:adjustRightInd w:val="0"/>
              <w:ind w:right="113"/>
              <w:textAlignment w:val="baseline"/>
              <w:rPr>
                <w:rFonts w:cs="Arial"/>
                <w:sz w:val="16"/>
                <w:szCs w:val="16"/>
                <w:lang w:val="cs-CZ"/>
              </w:rPr>
            </w:pPr>
            <w:r w:rsidRPr="003B6E11">
              <w:rPr>
                <w:sz w:val="16"/>
                <w:lang w:val="cs-CZ"/>
              </w:rPr>
              <w:t>Bylo provedeno měření k ověření shody s povolenými hodnotami</w:t>
            </w:r>
          </w:p>
          <w:p w:rsidR="003B6E11" w:rsidRPr="003B6E11" w:rsidRDefault="003B6E11" w:rsidP="002D015D">
            <w:pPr>
              <w:overflowPunct w:val="0"/>
              <w:adjustRightInd w:val="0"/>
              <w:ind w:right="113"/>
              <w:textAlignment w:val="baseline"/>
              <w:rPr>
                <w:rFonts w:cs="Arial"/>
                <w:sz w:val="16"/>
                <w:szCs w:val="16"/>
                <w:lang w:val="cs-CZ"/>
              </w:rPr>
            </w:pPr>
            <w:r w:rsidRPr="003B6E11">
              <w:rPr>
                <w:sz w:val="16"/>
                <w:lang w:val="cs-CZ"/>
              </w:rPr>
              <w:t>Sací podtlak:</w:t>
            </w:r>
            <w:r w:rsidRPr="003B6E11">
              <w:rPr>
                <w:lang w:val="cs-CZ"/>
              </w:rPr>
              <w:tab/>
            </w:r>
            <w:r w:rsidRPr="003B6E11">
              <w:rPr>
                <w:sz w:val="16"/>
                <w:lang w:val="cs-CZ"/>
              </w:rPr>
              <w:t>……….. kPa při jmenovitých otáčkách a plném zatížení</w:t>
            </w:r>
          </w:p>
          <w:p w:rsidR="003B6E11" w:rsidRPr="003B6E11" w:rsidRDefault="003B6E11" w:rsidP="002D015D">
            <w:pPr>
              <w:ind w:right="57"/>
              <w:rPr>
                <w:rFonts w:cs="Arial"/>
                <w:snapToGrid w:val="0"/>
                <w:sz w:val="16"/>
                <w:szCs w:val="16"/>
                <w:lang w:val="cs-CZ"/>
              </w:rPr>
            </w:pPr>
            <w:r w:rsidRPr="003B6E11">
              <w:rPr>
                <w:snapToGrid w:val="0"/>
                <w:sz w:val="16"/>
                <w:lang w:val="cs-CZ"/>
              </w:rPr>
              <w:t>Protitlak výfukových plynů</w:t>
            </w:r>
            <w:r w:rsidRPr="003B6E11">
              <w:rPr>
                <w:lang w:val="cs-CZ"/>
              </w:rPr>
              <w:tab/>
            </w:r>
            <w:r w:rsidRPr="003B6E11">
              <w:rPr>
                <w:snapToGrid w:val="0"/>
                <w:sz w:val="16"/>
                <w:lang w:val="cs-CZ"/>
              </w:rPr>
              <w:t xml:space="preserve"> ……….. kPa při jmenovitých otáčkách a plném zatížení</w:t>
            </w:r>
          </w:p>
        </w:tc>
      </w:tr>
      <w:tr w:rsidR="003B6E11" w:rsidRPr="003B6E11" w:rsidTr="002D01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gridSpan w:val="2"/>
            <w:tcBorders>
              <w:top w:val="nil"/>
              <w:left w:val="nil"/>
              <w:bottom w:val="nil"/>
              <w:right w:val="single" w:sz="4" w:space="0" w:color="auto"/>
            </w:tcBorders>
          </w:tcPr>
          <w:p w:rsidR="003B6E11" w:rsidRPr="003B6E11" w:rsidRDefault="003B6E11" w:rsidP="002D015D">
            <w:pPr>
              <w:overflowPunct w:val="0"/>
              <w:adjustRightInd w:val="0"/>
              <w:ind w:right="57"/>
              <w:jc w:val="center"/>
              <w:textAlignment w:val="baseline"/>
              <w:rPr>
                <w:rFonts w:cs="Arial"/>
                <w:sz w:val="16"/>
                <w:szCs w:val="16"/>
                <w:lang w:val="cs-CZ"/>
              </w:rPr>
            </w:pPr>
          </w:p>
        </w:tc>
        <w:tc>
          <w:tcPr>
            <w:tcW w:w="567" w:type="dxa"/>
            <w:tcBorders>
              <w:top w:val="single" w:sz="4" w:space="0" w:color="auto"/>
              <w:left w:val="nil"/>
              <w:bottom w:val="single" w:sz="4" w:space="0" w:color="auto"/>
              <w:right w:val="single" w:sz="4" w:space="0" w:color="auto"/>
            </w:tcBorders>
            <w:vAlign w:val="center"/>
          </w:tcPr>
          <w:p w:rsidR="003B6E11" w:rsidRPr="003B6E11" w:rsidRDefault="003B6E11" w:rsidP="002D015D">
            <w:pPr>
              <w:overflowPunct w:val="0"/>
              <w:adjustRightInd w:val="0"/>
              <w:ind w:right="57"/>
              <w:jc w:val="center"/>
              <w:textAlignment w:val="baseline"/>
              <w:rPr>
                <w:rFonts w:cs="Arial"/>
                <w:sz w:val="16"/>
                <w:szCs w:val="16"/>
                <w:lang w:val="cs-CZ"/>
              </w:rPr>
            </w:pPr>
            <w:r w:rsidRPr="003B6E11">
              <w:rPr>
                <w:rFonts w:cs="Arial"/>
                <w:sz w:val="16"/>
                <w:szCs w:val="16"/>
                <w:lang w:val="cs-CZ"/>
              </w:rPr>
              <w:fldChar w:fldCharType="begin">
                <w:ffData>
                  <w:name w:val="Kontrollkästchen25"/>
                  <w:enabled/>
                  <w:calcOnExit w:val="0"/>
                  <w:checkBox>
                    <w:sizeAuto/>
                    <w:default w:val="0"/>
                  </w:checkBox>
                </w:ffData>
              </w:fldChar>
            </w:r>
            <w:r w:rsidRPr="003B6E11">
              <w:rPr>
                <w:rFonts w:cs="Arial"/>
                <w:sz w:val="16"/>
                <w:szCs w:val="16"/>
                <w:lang w:val="cs-CZ"/>
              </w:rPr>
              <w:instrText xml:space="preserve"> FORMCHECKBOX _</w:instrText>
            </w:r>
            <w:r w:rsidR="002D015D">
              <w:rPr>
                <w:rFonts w:cs="Arial"/>
                <w:sz w:val="16"/>
                <w:szCs w:val="16"/>
                <w:lang w:val="cs-CZ"/>
              </w:rPr>
            </w:r>
            <w:r w:rsidR="002D015D">
              <w:rPr>
                <w:rFonts w:cs="Arial"/>
                <w:sz w:val="16"/>
                <w:szCs w:val="16"/>
                <w:lang w:val="cs-CZ"/>
              </w:rPr>
              <w:fldChar w:fldCharType="separate"/>
            </w:r>
            <w:r w:rsidRPr="003B6E11">
              <w:rPr>
                <w:rFonts w:cs="Arial"/>
                <w:sz w:val="16"/>
                <w:szCs w:val="16"/>
                <w:lang w:val="cs-CZ"/>
              </w:rPr>
              <w:fldChar w:fldCharType="end"/>
            </w:r>
          </w:p>
        </w:tc>
        <w:tc>
          <w:tcPr>
            <w:tcW w:w="8222" w:type="dxa"/>
            <w:gridSpan w:val="29"/>
            <w:tcBorders>
              <w:top w:val="single" w:sz="4" w:space="0" w:color="auto"/>
              <w:left w:val="single" w:sz="4" w:space="0" w:color="auto"/>
              <w:bottom w:val="single" w:sz="4" w:space="0" w:color="auto"/>
              <w:right w:val="single" w:sz="4" w:space="0" w:color="auto"/>
            </w:tcBorders>
            <w:vAlign w:val="center"/>
          </w:tcPr>
          <w:p w:rsidR="003B6E11" w:rsidRPr="003B6E11" w:rsidRDefault="003B6E11" w:rsidP="002D015D">
            <w:pPr>
              <w:ind w:right="57"/>
              <w:rPr>
                <w:rFonts w:cs="Arial"/>
                <w:snapToGrid w:val="0"/>
                <w:sz w:val="16"/>
                <w:szCs w:val="16"/>
                <w:lang w:val="cs-CZ"/>
              </w:rPr>
            </w:pPr>
            <w:bookmarkStart w:id="676" w:name="Kontrollkästchen25"/>
            <w:r w:rsidRPr="003B6E11">
              <w:rPr>
                <w:snapToGrid w:val="0"/>
                <w:sz w:val="16"/>
                <w:lang w:val="cs-CZ"/>
              </w:rPr>
              <w:t>Byla provedena vizuální prohlídka sací a výfukové soustavy. Nebyly zjištěny žádné mimořádné jevy, které by nasvědčovaly nedodržení povolených hodnot.</w:t>
            </w:r>
            <w:bookmarkEnd w:id="676"/>
          </w:p>
        </w:tc>
      </w:tr>
      <w:tr w:rsidR="003B6E11" w:rsidRPr="003B6E11" w:rsidTr="002D015D">
        <w:tblPrEx>
          <w:jc w:val="center"/>
        </w:tblPrEx>
        <w:trPr>
          <w:cantSplit/>
          <w:trHeight w:hRule="exact" w:val="57"/>
          <w:jc w:val="center"/>
        </w:trPr>
        <w:tc>
          <w:tcPr>
            <w:tcW w:w="9215" w:type="dxa"/>
            <w:gridSpan w:val="32"/>
            <w:vAlign w:val="center"/>
          </w:tcPr>
          <w:p w:rsidR="003B6E11" w:rsidRPr="003B6E11" w:rsidRDefault="003B6E11" w:rsidP="002D015D">
            <w:pPr>
              <w:overflowPunct w:val="0"/>
              <w:adjustRightInd w:val="0"/>
              <w:ind w:right="57"/>
              <w:textAlignment w:val="baseline"/>
              <w:rPr>
                <w:rFonts w:cs="Arial"/>
                <w:b/>
                <w:bCs/>
                <w:sz w:val="16"/>
                <w:szCs w:val="16"/>
                <w:lang w:val="cs-CZ"/>
              </w:rPr>
            </w:pPr>
          </w:p>
        </w:tc>
      </w:tr>
      <w:tr w:rsidR="003B6E11" w:rsidRPr="003B6E11" w:rsidTr="002D015D">
        <w:tblPrEx>
          <w:jc w:val="center"/>
        </w:tblPrEx>
        <w:trPr>
          <w:cantSplit/>
          <w:jc w:val="center"/>
        </w:trPr>
        <w:tc>
          <w:tcPr>
            <w:tcW w:w="1985" w:type="dxa"/>
            <w:gridSpan w:val="6"/>
            <w:vAlign w:val="center"/>
          </w:tcPr>
          <w:p w:rsidR="003B6E11" w:rsidRPr="003B6E11" w:rsidRDefault="003B6E11" w:rsidP="002D015D">
            <w:pPr>
              <w:overflowPunct w:val="0"/>
              <w:adjustRightInd w:val="0"/>
              <w:ind w:left="286" w:right="57" w:hanging="286"/>
              <w:textAlignment w:val="baseline"/>
              <w:rPr>
                <w:rFonts w:cs="Arial"/>
                <w:sz w:val="18"/>
                <w:szCs w:val="18"/>
                <w:lang w:val="cs-CZ"/>
              </w:rPr>
            </w:pPr>
            <w:bookmarkStart w:id="677" w:name="Text28"/>
            <w:r w:rsidRPr="003B6E11">
              <w:rPr>
                <w:b/>
                <w:sz w:val="18"/>
                <w:lang w:val="cs-CZ"/>
              </w:rPr>
              <w:t>D)</w:t>
            </w:r>
            <w:r w:rsidRPr="003B6E11">
              <w:rPr>
                <w:lang w:val="cs-CZ"/>
              </w:rPr>
              <w:tab/>
            </w:r>
            <w:r w:rsidRPr="003B6E11">
              <w:rPr>
                <w:b/>
                <w:sz w:val="18"/>
                <w:lang w:val="cs-CZ"/>
              </w:rPr>
              <w:t>Poznámky:</w:t>
            </w:r>
            <w:bookmarkEnd w:id="677"/>
          </w:p>
        </w:tc>
        <w:tc>
          <w:tcPr>
            <w:tcW w:w="7230" w:type="dxa"/>
            <w:gridSpan w:val="26"/>
            <w:tcBorders>
              <w:bottom w:val="dashed" w:sz="4" w:space="0" w:color="auto"/>
            </w:tcBorders>
            <w:vAlign w:val="center"/>
          </w:tcPr>
          <w:p w:rsidR="003B6E11" w:rsidRPr="003B6E11" w:rsidRDefault="003B6E11" w:rsidP="002D015D">
            <w:pPr>
              <w:overflowPunct w:val="0"/>
              <w:adjustRightInd w:val="0"/>
              <w:ind w:right="57"/>
              <w:textAlignment w:val="baseline"/>
              <w:rPr>
                <w:rFonts w:cs="Arial"/>
                <w:sz w:val="18"/>
                <w:szCs w:val="18"/>
                <w:lang w:val="cs-CZ"/>
              </w:rPr>
            </w:pPr>
          </w:p>
        </w:tc>
      </w:tr>
      <w:tr w:rsidR="003B6E11" w:rsidRPr="003B6E11" w:rsidTr="002D015D">
        <w:tblPrEx>
          <w:jc w:val="center"/>
        </w:tblPrEx>
        <w:trPr>
          <w:cantSplit/>
          <w:jc w:val="center"/>
        </w:trPr>
        <w:tc>
          <w:tcPr>
            <w:tcW w:w="1985" w:type="dxa"/>
            <w:gridSpan w:val="6"/>
            <w:vAlign w:val="center"/>
          </w:tcPr>
          <w:p w:rsidR="003B6E11" w:rsidRPr="003B6E11" w:rsidRDefault="003B6E11" w:rsidP="002D015D">
            <w:pPr>
              <w:overflowPunct w:val="0"/>
              <w:adjustRightInd w:val="0"/>
              <w:ind w:right="57"/>
              <w:textAlignment w:val="baseline"/>
              <w:rPr>
                <w:rFonts w:cs="Arial"/>
                <w:b/>
                <w:bCs/>
                <w:szCs w:val="20"/>
                <w:lang w:val="cs-CZ"/>
              </w:rPr>
            </w:pPr>
          </w:p>
        </w:tc>
        <w:tc>
          <w:tcPr>
            <w:tcW w:w="7230" w:type="dxa"/>
            <w:gridSpan w:val="26"/>
            <w:tcBorders>
              <w:top w:val="dashed" w:sz="4" w:space="0" w:color="auto"/>
              <w:bottom w:val="nil"/>
            </w:tcBorders>
            <w:vAlign w:val="center"/>
          </w:tcPr>
          <w:p w:rsidR="003B6E11" w:rsidRPr="003B6E11" w:rsidRDefault="003B6E11" w:rsidP="002D015D">
            <w:pPr>
              <w:overflowPunct w:val="0"/>
              <w:adjustRightInd w:val="0"/>
              <w:ind w:right="57"/>
              <w:textAlignment w:val="baseline"/>
              <w:rPr>
                <w:rFonts w:cs="Arial"/>
                <w:sz w:val="12"/>
                <w:szCs w:val="12"/>
                <w:lang w:val="cs-CZ"/>
              </w:rPr>
            </w:pPr>
            <w:r w:rsidRPr="003B6E11">
              <w:rPr>
                <w:noProof/>
                <w:sz w:val="12"/>
                <w:lang w:val="cs-CZ"/>
              </w:rPr>
              <w:t>(Byla zaznamenána tato odlišná nastavení, úpravy nebo změny na namontovaném motoru.)</w:t>
            </w:r>
          </w:p>
        </w:tc>
      </w:tr>
      <w:tr w:rsidR="003B6E11" w:rsidRPr="003B6E11" w:rsidTr="002D015D">
        <w:tblPrEx>
          <w:jc w:val="center"/>
        </w:tblPrEx>
        <w:trPr>
          <w:cantSplit/>
          <w:jc w:val="center"/>
        </w:trPr>
        <w:tc>
          <w:tcPr>
            <w:tcW w:w="1985" w:type="dxa"/>
            <w:gridSpan w:val="6"/>
            <w:vAlign w:val="center"/>
          </w:tcPr>
          <w:p w:rsidR="003B6E11" w:rsidRPr="003B6E11" w:rsidRDefault="003B6E11" w:rsidP="002D015D">
            <w:pPr>
              <w:overflowPunct w:val="0"/>
              <w:adjustRightInd w:val="0"/>
              <w:ind w:right="57"/>
              <w:textAlignment w:val="baseline"/>
              <w:rPr>
                <w:rFonts w:cs="Arial"/>
                <w:sz w:val="18"/>
                <w:szCs w:val="18"/>
                <w:lang w:val="cs-CZ"/>
              </w:rPr>
            </w:pPr>
          </w:p>
        </w:tc>
        <w:tc>
          <w:tcPr>
            <w:tcW w:w="7230" w:type="dxa"/>
            <w:gridSpan w:val="26"/>
            <w:tcBorders>
              <w:bottom w:val="dashed" w:sz="4" w:space="0" w:color="auto"/>
            </w:tcBorders>
            <w:vAlign w:val="center"/>
          </w:tcPr>
          <w:p w:rsidR="003B6E11" w:rsidRPr="003B6E11" w:rsidRDefault="003B6E11" w:rsidP="002D015D">
            <w:pPr>
              <w:overflowPunct w:val="0"/>
              <w:adjustRightInd w:val="0"/>
              <w:ind w:right="57"/>
              <w:textAlignment w:val="baseline"/>
              <w:rPr>
                <w:rFonts w:cs="Arial"/>
                <w:sz w:val="18"/>
                <w:szCs w:val="18"/>
                <w:lang w:val="cs-CZ"/>
              </w:rPr>
            </w:pPr>
          </w:p>
        </w:tc>
      </w:tr>
      <w:tr w:rsidR="003B6E11" w:rsidRPr="003B6E11" w:rsidTr="002D015D">
        <w:tblPrEx>
          <w:jc w:val="center"/>
        </w:tblPrEx>
        <w:trPr>
          <w:cantSplit/>
          <w:jc w:val="center"/>
        </w:trPr>
        <w:tc>
          <w:tcPr>
            <w:tcW w:w="1985" w:type="dxa"/>
            <w:gridSpan w:val="6"/>
            <w:vAlign w:val="center"/>
          </w:tcPr>
          <w:p w:rsidR="003B6E11" w:rsidRPr="003B6E11" w:rsidRDefault="003B6E11" w:rsidP="002D015D">
            <w:pPr>
              <w:overflowPunct w:val="0"/>
              <w:adjustRightInd w:val="0"/>
              <w:ind w:right="57"/>
              <w:textAlignment w:val="baseline"/>
              <w:rPr>
                <w:rFonts w:cs="Arial"/>
                <w:sz w:val="18"/>
                <w:szCs w:val="18"/>
                <w:lang w:val="cs-CZ"/>
              </w:rPr>
            </w:pPr>
          </w:p>
        </w:tc>
        <w:tc>
          <w:tcPr>
            <w:tcW w:w="7230" w:type="dxa"/>
            <w:gridSpan w:val="26"/>
            <w:tcBorders>
              <w:top w:val="dashed" w:sz="4" w:space="0" w:color="auto"/>
              <w:bottom w:val="dashed" w:sz="4" w:space="0" w:color="auto"/>
            </w:tcBorders>
            <w:vAlign w:val="center"/>
          </w:tcPr>
          <w:p w:rsidR="003B6E11" w:rsidRPr="003B6E11" w:rsidRDefault="003B6E11" w:rsidP="002D015D">
            <w:pPr>
              <w:overflowPunct w:val="0"/>
              <w:adjustRightInd w:val="0"/>
              <w:ind w:right="57"/>
              <w:textAlignment w:val="baseline"/>
              <w:rPr>
                <w:rFonts w:cs="Arial"/>
                <w:sz w:val="18"/>
                <w:szCs w:val="18"/>
                <w:lang w:val="cs-CZ"/>
              </w:rPr>
            </w:pPr>
          </w:p>
        </w:tc>
      </w:tr>
      <w:tr w:rsidR="003B6E11" w:rsidRPr="003B6E11" w:rsidTr="002D015D">
        <w:tblPrEx>
          <w:jc w:val="center"/>
        </w:tblPrEx>
        <w:trPr>
          <w:cantSplit/>
          <w:jc w:val="center"/>
        </w:trPr>
        <w:tc>
          <w:tcPr>
            <w:tcW w:w="1985" w:type="dxa"/>
            <w:gridSpan w:val="6"/>
            <w:vAlign w:val="center"/>
          </w:tcPr>
          <w:p w:rsidR="003B6E11" w:rsidRPr="003B6E11" w:rsidRDefault="003B6E11" w:rsidP="002D015D">
            <w:pPr>
              <w:overflowPunct w:val="0"/>
              <w:adjustRightInd w:val="0"/>
              <w:ind w:right="57"/>
              <w:textAlignment w:val="baseline"/>
              <w:rPr>
                <w:rFonts w:cs="Arial"/>
                <w:sz w:val="18"/>
                <w:szCs w:val="18"/>
                <w:lang w:val="cs-CZ"/>
              </w:rPr>
            </w:pPr>
          </w:p>
        </w:tc>
        <w:tc>
          <w:tcPr>
            <w:tcW w:w="7230" w:type="dxa"/>
            <w:gridSpan w:val="26"/>
            <w:tcBorders>
              <w:top w:val="dashed" w:sz="4" w:space="0" w:color="auto"/>
              <w:bottom w:val="dashed" w:sz="4" w:space="0" w:color="auto"/>
            </w:tcBorders>
            <w:vAlign w:val="center"/>
          </w:tcPr>
          <w:p w:rsidR="003B6E11" w:rsidRPr="003B6E11" w:rsidRDefault="003B6E11" w:rsidP="002D015D">
            <w:pPr>
              <w:overflowPunct w:val="0"/>
              <w:adjustRightInd w:val="0"/>
              <w:ind w:right="57"/>
              <w:textAlignment w:val="baseline"/>
              <w:rPr>
                <w:rFonts w:cs="Arial"/>
                <w:sz w:val="18"/>
                <w:szCs w:val="18"/>
                <w:lang w:val="cs-CZ"/>
              </w:rPr>
            </w:pPr>
          </w:p>
        </w:tc>
      </w:tr>
      <w:tr w:rsidR="003B6E11" w:rsidRPr="003B6E11" w:rsidTr="002D015D">
        <w:tblPrEx>
          <w:jc w:val="center"/>
        </w:tblPrEx>
        <w:trPr>
          <w:cantSplit/>
          <w:trHeight w:hRule="exact" w:val="160"/>
          <w:jc w:val="center"/>
        </w:trPr>
        <w:tc>
          <w:tcPr>
            <w:tcW w:w="9215" w:type="dxa"/>
            <w:gridSpan w:val="32"/>
            <w:vAlign w:val="center"/>
          </w:tcPr>
          <w:p w:rsidR="003B6E11" w:rsidRPr="003B6E11" w:rsidRDefault="003B6E11" w:rsidP="002D015D">
            <w:pPr>
              <w:overflowPunct w:val="0"/>
              <w:adjustRightInd w:val="0"/>
              <w:ind w:right="57"/>
              <w:textAlignment w:val="baseline"/>
              <w:rPr>
                <w:rFonts w:cs="Arial"/>
                <w:szCs w:val="20"/>
                <w:lang w:val="cs-CZ"/>
              </w:rPr>
            </w:pPr>
          </w:p>
        </w:tc>
      </w:tr>
      <w:tr w:rsidR="003B6E11" w:rsidRPr="003B6E11" w:rsidTr="002D015D">
        <w:tblPrEx>
          <w:jc w:val="center"/>
        </w:tblPrEx>
        <w:trPr>
          <w:cantSplit/>
          <w:jc w:val="center"/>
        </w:trPr>
        <w:tc>
          <w:tcPr>
            <w:tcW w:w="2552" w:type="dxa"/>
            <w:gridSpan w:val="7"/>
            <w:vAlign w:val="center"/>
          </w:tcPr>
          <w:p w:rsidR="003B6E11" w:rsidRPr="003B6E11" w:rsidRDefault="003B6E11" w:rsidP="002D015D">
            <w:pPr>
              <w:overflowPunct w:val="0"/>
              <w:adjustRightInd w:val="0"/>
              <w:ind w:right="57"/>
              <w:textAlignment w:val="baseline"/>
              <w:rPr>
                <w:rFonts w:cs="Arial"/>
                <w:szCs w:val="20"/>
                <w:lang w:val="cs-CZ"/>
              </w:rPr>
            </w:pPr>
          </w:p>
        </w:tc>
        <w:tc>
          <w:tcPr>
            <w:tcW w:w="1984" w:type="dxa"/>
            <w:gridSpan w:val="8"/>
            <w:vAlign w:val="center"/>
          </w:tcPr>
          <w:p w:rsidR="003B6E11" w:rsidRPr="003B6E11" w:rsidRDefault="003B6E11" w:rsidP="002D015D">
            <w:pPr>
              <w:tabs>
                <w:tab w:val="center" w:pos="4819"/>
              </w:tabs>
              <w:overflowPunct w:val="0"/>
              <w:adjustRightInd w:val="0"/>
              <w:ind w:right="57"/>
              <w:textAlignment w:val="baseline"/>
              <w:rPr>
                <w:rFonts w:cs="Arial"/>
                <w:sz w:val="16"/>
                <w:szCs w:val="16"/>
                <w:lang w:val="cs-CZ"/>
              </w:rPr>
            </w:pPr>
            <w:bookmarkStart w:id="678" w:name="Text30"/>
            <w:r w:rsidRPr="003B6E11">
              <w:rPr>
                <w:sz w:val="16"/>
                <w:lang w:val="cs-CZ"/>
              </w:rPr>
              <w:t>Jméno kontrolora:</w:t>
            </w:r>
            <w:bookmarkEnd w:id="678"/>
          </w:p>
        </w:tc>
        <w:tc>
          <w:tcPr>
            <w:tcW w:w="4679" w:type="dxa"/>
            <w:gridSpan w:val="17"/>
            <w:vAlign w:val="center"/>
          </w:tcPr>
          <w:p w:rsidR="003B6E11" w:rsidRPr="003B6E11" w:rsidRDefault="003B6E11" w:rsidP="002D015D">
            <w:pPr>
              <w:overflowPunct w:val="0"/>
              <w:adjustRightInd w:val="0"/>
              <w:ind w:right="57"/>
              <w:textAlignment w:val="baseline"/>
              <w:rPr>
                <w:rFonts w:cs="Arial"/>
                <w:sz w:val="18"/>
                <w:szCs w:val="18"/>
                <w:lang w:val="cs-CZ"/>
              </w:rPr>
            </w:pPr>
            <w:r w:rsidRPr="003B6E11">
              <w:rPr>
                <w:sz w:val="18"/>
                <w:lang w:val="cs-CZ"/>
              </w:rPr>
              <w:t>………………………………………………………………...</w:t>
            </w:r>
          </w:p>
        </w:tc>
      </w:tr>
      <w:tr w:rsidR="003B6E11" w:rsidRPr="003B6E11" w:rsidTr="002D015D">
        <w:tblPrEx>
          <w:jc w:val="center"/>
        </w:tblPrEx>
        <w:trPr>
          <w:cantSplit/>
          <w:trHeight w:hRule="exact" w:val="57"/>
          <w:jc w:val="center"/>
        </w:trPr>
        <w:tc>
          <w:tcPr>
            <w:tcW w:w="9215" w:type="dxa"/>
            <w:gridSpan w:val="32"/>
            <w:vAlign w:val="center"/>
          </w:tcPr>
          <w:p w:rsidR="003B6E11" w:rsidRPr="003B6E11" w:rsidRDefault="003B6E11" w:rsidP="002D015D">
            <w:pPr>
              <w:overflowPunct w:val="0"/>
              <w:adjustRightInd w:val="0"/>
              <w:ind w:right="57"/>
              <w:textAlignment w:val="baseline"/>
              <w:rPr>
                <w:rFonts w:cs="Arial"/>
                <w:sz w:val="16"/>
                <w:szCs w:val="16"/>
                <w:lang w:val="cs-CZ"/>
              </w:rPr>
            </w:pPr>
          </w:p>
        </w:tc>
      </w:tr>
      <w:tr w:rsidR="003B6E11" w:rsidRPr="003B6E11" w:rsidTr="002D015D">
        <w:tblPrEx>
          <w:jc w:val="center"/>
        </w:tblPrEx>
        <w:trPr>
          <w:cantSplit/>
          <w:jc w:val="center"/>
        </w:trPr>
        <w:tc>
          <w:tcPr>
            <w:tcW w:w="2552" w:type="dxa"/>
            <w:gridSpan w:val="7"/>
            <w:vAlign w:val="center"/>
          </w:tcPr>
          <w:p w:rsidR="003B6E11" w:rsidRPr="003B6E11" w:rsidRDefault="003B6E11" w:rsidP="002D015D">
            <w:pPr>
              <w:overflowPunct w:val="0"/>
              <w:adjustRightInd w:val="0"/>
              <w:ind w:right="57"/>
              <w:textAlignment w:val="baseline"/>
              <w:rPr>
                <w:rFonts w:cs="Arial"/>
                <w:szCs w:val="20"/>
                <w:lang w:val="cs-CZ"/>
              </w:rPr>
            </w:pPr>
          </w:p>
        </w:tc>
        <w:tc>
          <w:tcPr>
            <w:tcW w:w="1984" w:type="dxa"/>
            <w:gridSpan w:val="8"/>
            <w:vAlign w:val="center"/>
          </w:tcPr>
          <w:p w:rsidR="003B6E11" w:rsidRPr="003B6E11" w:rsidRDefault="003B6E11" w:rsidP="002D015D">
            <w:pPr>
              <w:overflowPunct w:val="0"/>
              <w:adjustRightInd w:val="0"/>
              <w:ind w:right="57"/>
              <w:textAlignment w:val="baseline"/>
              <w:rPr>
                <w:rFonts w:cs="Arial"/>
                <w:sz w:val="16"/>
                <w:szCs w:val="16"/>
                <w:lang w:val="cs-CZ"/>
              </w:rPr>
            </w:pPr>
            <w:bookmarkStart w:id="679" w:name="Text31"/>
            <w:r w:rsidRPr="003B6E11">
              <w:rPr>
                <w:sz w:val="16"/>
                <w:lang w:val="cs-CZ"/>
              </w:rPr>
              <w:t>Místo a datum:</w:t>
            </w:r>
            <w:bookmarkEnd w:id="679"/>
          </w:p>
        </w:tc>
        <w:tc>
          <w:tcPr>
            <w:tcW w:w="4679" w:type="dxa"/>
            <w:gridSpan w:val="17"/>
            <w:vAlign w:val="center"/>
          </w:tcPr>
          <w:p w:rsidR="003B6E11" w:rsidRPr="003B6E11" w:rsidRDefault="003B6E11" w:rsidP="002D015D">
            <w:pPr>
              <w:overflowPunct w:val="0"/>
              <w:adjustRightInd w:val="0"/>
              <w:ind w:right="57"/>
              <w:textAlignment w:val="baseline"/>
              <w:rPr>
                <w:rFonts w:cs="Arial"/>
                <w:szCs w:val="20"/>
                <w:lang w:val="cs-CZ"/>
              </w:rPr>
            </w:pPr>
            <w:r w:rsidRPr="003B6E11">
              <w:rPr>
                <w:lang w:val="cs-CZ"/>
              </w:rPr>
              <w:t>……………………………….</w:t>
            </w:r>
          </w:p>
        </w:tc>
      </w:tr>
      <w:tr w:rsidR="003B6E11" w:rsidRPr="003B6E11" w:rsidTr="002D015D">
        <w:tblPrEx>
          <w:jc w:val="center"/>
        </w:tblPrEx>
        <w:trPr>
          <w:cantSplit/>
          <w:trHeight w:hRule="exact" w:val="57"/>
          <w:jc w:val="center"/>
        </w:trPr>
        <w:tc>
          <w:tcPr>
            <w:tcW w:w="9215" w:type="dxa"/>
            <w:gridSpan w:val="32"/>
            <w:vAlign w:val="center"/>
          </w:tcPr>
          <w:p w:rsidR="003B6E11" w:rsidRPr="003B6E11" w:rsidRDefault="003B6E11" w:rsidP="002D015D">
            <w:pPr>
              <w:overflowPunct w:val="0"/>
              <w:adjustRightInd w:val="0"/>
              <w:ind w:right="57"/>
              <w:textAlignment w:val="baseline"/>
              <w:rPr>
                <w:rFonts w:cs="Arial"/>
                <w:sz w:val="16"/>
                <w:szCs w:val="16"/>
                <w:lang w:val="cs-CZ"/>
              </w:rPr>
            </w:pPr>
          </w:p>
        </w:tc>
      </w:tr>
      <w:tr w:rsidR="003B6E11" w:rsidRPr="003B6E11" w:rsidTr="002D015D">
        <w:tblPrEx>
          <w:jc w:val="center"/>
        </w:tblPrEx>
        <w:trPr>
          <w:cantSplit/>
          <w:jc w:val="center"/>
        </w:trPr>
        <w:tc>
          <w:tcPr>
            <w:tcW w:w="2552" w:type="dxa"/>
            <w:gridSpan w:val="7"/>
            <w:vAlign w:val="center"/>
          </w:tcPr>
          <w:p w:rsidR="003B6E11" w:rsidRPr="003B6E11" w:rsidRDefault="003B6E11" w:rsidP="002D015D">
            <w:pPr>
              <w:overflowPunct w:val="0"/>
              <w:adjustRightInd w:val="0"/>
              <w:ind w:right="57"/>
              <w:textAlignment w:val="baseline"/>
              <w:rPr>
                <w:rFonts w:cs="Arial"/>
                <w:szCs w:val="20"/>
                <w:lang w:val="cs-CZ"/>
              </w:rPr>
            </w:pPr>
          </w:p>
        </w:tc>
        <w:tc>
          <w:tcPr>
            <w:tcW w:w="1984" w:type="dxa"/>
            <w:gridSpan w:val="8"/>
            <w:vAlign w:val="center"/>
          </w:tcPr>
          <w:p w:rsidR="003B6E11" w:rsidRPr="003B6E11" w:rsidRDefault="003B6E11" w:rsidP="002D015D">
            <w:pPr>
              <w:overflowPunct w:val="0"/>
              <w:adjustRightInd w:val="0"/>
              <w:ind w:right="57"/>
              <w:textAlignment w:val="baseline"/>
              <w:rPr>
                <w:rFonts w:cs="Arial"/>
                <w:sz w:val="16"/>
                <w:szCs w:val="16"/>
                <w:lang w:val="cs-CZ"/>
              </w:rPr>
            </w:pPr>
            <w:r w:rsidRPr="003B6E11">
              <w:rPr>
                <w:sz w:val="16"/>
                <w:lang w:val="cs-CZ"/>
              </w:rPr>
              <w:t>Podpis:</w:t>
            </w:r>
          </w:p>
        </w:tc>
        <w:tc>
          <w:tcPr>
            <w:tcW w:w="4679" w:type="dxa"/>
            <w:gridSpan w:val="17"/>
            <w:vAlign w:val="center"/>
          </w:tcPr>
          <w:p w:rsidR="003B6E11" w:rsidRPr="003B6E11" w:rsidRDefault="003B6E11" w:rsidP="002D015D">
            <w:pPr>
              <w:overflowPunct w:val="0"/>
              <w:adjustRightInd w:val="0"/>
              <w:ind w:right="57"/>
              <w:textAlignment w:val="baseline"/>
              <w:rPr>
                <w:rFonts w:cs="Arial"/>
                <w:szCs w:val="20"/>
                <w:lang w:val="cs-CZ"/>
              </w:rPr>
            </w:pPr>
          </w:p>
        </w:tc>
      </w:tr>
      <w:tr w:rsidR="003B6E11" w:rsidRPr="003B6E11" w:rsidTr="002D015D">
        <w:tblPrEx>
          <w:jc w:val="center"/>
        </w:tblPrEx>
        <w:trPr>
          <w:jc w:val="center"/>
        </w:trPr>
        <w:tc>
          <w:tcPr>
            <w:tcW w:w="4818" w:type="dxa"/>
            <w:gridSpan w:val="17"/>
            <w:vAlign w:val="center"/>
          </w:tcPr>
          <w:p w:rsidR="003B6E11" w:rsidRPr="003B6E11" w:rsidRDefault="003B6E11" w:rsidP="002D015D">
            <w:pPr>
              <w:tabs>
                <w:tab w:val="center" w:pos="4536"/>
                <w:tab w:val="right" w:pos="9072"/>
              </w:tabs>
              <w:overflowPunct w:val="0"/>
              <w:adjustRightInd w:val="0"/>
              <w:ind w:right="57"/>
              <w:textAlignment w:val="baseline"/>
              <w:rPr>
                <w:rFonts w:cs="Arial"/>
                <w:b/>
                <w:bCs/>
                <w:szCs w:val="20"/>
                <w:u w:val="single"/>
                <w:lang w:val="cs-CZ"/>
              </w:rPr>
            </w:pPr>
            <w:r w:rsidRPr="003B6E11">
              <w:rPr>
                <w:sz w:val="16"/>
                <w:vertAlign w:val="superscript"/>
                <w:lang w:val="cs-CZ"/>
              </w:rPr>
              <w:t>1)</w:t>
            </w:r>
            <w:r w:rsidRPr="003B6E11">
              <w:rPr>
                <w:lang w:val="cs-CZ"/>
              </w:rPr>
              <w:t xml:space="preserve"> </w:t>
            </w:r>
            <w:r w:rsidRPr="003B6E11">
              <w:rPr>
                <w:sz w:val="14"/>
                <w:lang w:val="cs-CZ"/>
              </w:rPr>
              <w:t>Zaškrtněte příslušné políčko.</w:t>
            </w:r>
          </w:p>
        </w:tc>
        <w:tc>
          <w:tcPr>
            <w:tcW w:w="4397" w:type="dxa"/>
            <w:gridSpan w:val="15"/>
            <w:vAlign w:val="center"/>
          </w:tcPr>
          <w:p w:rsidR="003B6E11" w:rsidRPr="003B6E11" w:rsidRDefault="003B6E11" w:rsidP="002D015D">
            <w:pPr>
              <w:tabs>
                <w:tab w:val="center" w:pos="4536"/>
                <w:tab w:val="right" w:pos="9072"/>
              </w:tabs>
              <w:overflowPunct w:val="0"/>
              <w:adjustRightInd w:val="0"/>
              <w:ind w:right="57"/>
              <w:jc w:val="right"/>
              <w:textAlignment w:val="baseline"/>
              <w:rPr>
                <w:rFonts w:cs="Arial"/>
                <w:szCs w:val="20"/>
                <w:lang w:val="cs-CZ"/>
              </w:rPr>
            </w:pPr>
          </w:p>
        </w:tc>
      </w:tr>
    </w:tbl>
    <w:p w:rsidR="003B6E11" w:rsidRPr="003B6E11" w:rsidRDefault="003B6E11" w:rsidP="003B6E11">
      <w:pPr>
        <w:rPr>
          <w:rFonts w:cs="Arial"/>
          <w:noProof/>
          <w:sz w:val="16"/>
          <w:szCs w:val="20"/>
          <w:lang w:val="cs-CZ"/>
        </w:rPr>
      </w:pPr>
    </w:p>
    <w:p w:rsidR="003B6E11" w:rsidRPr="003B6E11" w:rsidRDefault="003B6E11" w:rsidP="003B6E11">
      <w:pPr>
        <w:rPr>
          <w:rFonts w:cs="Arial"/>
          <w:noProof/>
          <w:sz w:val="16"/>
          <w:szCs w:val="20"/>
          <w:lang w:val="cs-CZ"/>
        </w:rPr>
      </w:pPr>
      <w:r w:rsidRPr="003B6E11">
        <w:rPr>
          <w:lang w:val="cs-CZ"/>
        </w:rPr>
        <w:br w:type="page"/>
      </w:r>
    </w:p>
    <w:p w:rsidR="003B6E11" w:rsidRPr="003B6E11" w:rsidRDefault="003B6E11" w:rsidP="003B6E11">
      <w:pPr>
        <w:rPr>
          <w:rFonts w:cs="Arial"/>
          <w:noProof/>
          <w:sz w:val="16"/>
          <w:szCs w:val="20"/>
          <w:lang w:val="cs-CZ"/>
        </w:rPr>
      </w:pPr>
    </w:p>
    <w:p w:rsidR="003B6E11" w:rsidRPr="003B6E11" w:rsidRDefault="003B6E11" w:rsidP="003B6E11">
      <w:pPr>
        <w:rPr>
          <w:rFonts w:cs="Arial"/>
          <w:noProof/>
          <w:sz w:val="16"/>
          <w:szCs w:val="20"/>
          <w:lang w:val="cs-CZ"/>
        </w:rPr>
      </w:pPr>
    </w:p>
    <w:p w:rsidR="003B6E11" w:rsidRPr="003B6E11" w:rsidRDefault="003B6E11" w:rsidP="003B6E11">
      <w:pPr>
        <w:rPr>
          <w:rFonts w:cs="Arial"/>
          <w:noProof/>
          <w:sz w:val="16"/>
          <w:szCs w:val="20"/>
          <w:lang w:val="cs-CZ"/>
        </w:rPr>
      </w:pPr>
    </w:p>
    <w:p w:rsidR="003B6E11" w:rsidRPr="003B6E11" w:rsidRDefault="003B6E11" w:rsidP="003B6E11">
      <w:pPr>
        <w:rPr>
          <w:rFonts w:cs="Arial"/>
          <w:noProof/>
          <w:sz w:val="16"/>
          <w:szCs w:val="20"/>
          <w:lang w:val="cs-CZ"/>
        </w:rPr>
      </w:pPr>
    </w:p>
    <w:p w:rsidR="003B6E11" w:rsidRPr="003B6E11" w:rsidRDefault="003B6E11" w:rsidP="003B6E11">
      <w:pPr>
        <w:rPr>
          <w:rFonts w:cs="Arial"/>
          <w:noProof/>
          <w:sz w:val="16"/>
          <w:szCs w:val="20"/>
          <w:lang w:val="cs-CZ"/>
        </w:rPr>
      </w:pPr>
    </w:p>
    <w:p w:rsidR="003B6E11" w:rsidRPr="003B6E11" w:rsidRDefault="003B6E11" w:rsidP="003B6E11">
      <w:pPr>
        <w:rPr>
          <w:rFonts w:cs="Arial"/>
          <w:noProof/>
          <w:sz w:val="16"/>
          <w:szCs w:val="20"/>
          <w:lang w:val="cs-CZ"/>
        </w:rPr>
      </w:pPr>
    </w:p>
    <w:p w:rsidR="003B6E11" w:rsidRPr="003B6E11" w:rsidRDefault="003B6E11" w:rsidP="003B6E11">
      <w:pPr>
        <w:pStyle w:val="ES-Titre2"/>
        <w:pageBreakBefore w:val="0"/>
        <w:sectPr w:rsidR="003B6E11" w:rsidRPr="003B6E11" w:rsidSect="00FB55E9">
          <w:headerReference w:type="default" r:id="rId72"/>
          <w:footerReference w:type="default" r:id="rId73"/>
          <w:footnotePr>
            <w:numRestart w:val="eachPage"/>
          </w:footnotePr>
          <w:pgSz w:w="11907" w:h="16840" w:code="9"/>
          <w:pgMar w:top="1361" w:right="1418" w:bottom="1361" w:left="1418" w:header="680" w:footer="680" w:gutter="0"/>
          <w:cols w:space="720"/>
          <w:docGrid w:linePitch="326"/>
        </w:sectPr>
      </w:pPr>
    </w:p>
    <w:p w:rsidR="003B6E11" w:rsidRPr="003B6E11" w:rsidRDefault="003B6E11" w:rsidP="003B6E11">
      <w:pPr>
        <w:pStyle w:val="ES-Titre2"/>
        <w:pageBreakBefore w:val="0"/>
        <w:rPr>
          <w:szCs w:val="20"/>
        </w:rPr>
      </w:pPr>
      <w:bookmarkStart w:id="680" w:name="_Toc491854323"/>
      <w:bookmarkStart w:id="681" w:name="_Toc535417229"/>
      <w:r w:rsidRPr="003B6E11">
        <w:t>Příloha 7</w:t>
      </w:r>
      <w:r w:rsidRPr="003B6E11">
        <w:br/>
        <w:t>Palubní čistírny odpadních vod</w:t>
      </w:r>
      <w:bookmarkEnd w:id="680"/>
      <w:bookmarkEnd w:id="681"/>
      <w:r w:rsidRPr="003B6E11">
        <w:t xml:space="preserve"> </w:t>
      </w:r>
    </w:p>
    <w:p w:rsidR="003B6E11" w:rsidRPr="003B6E11" w:rsidRDefault="003B6E11" w:rsidP="003B6E11">
      <w:pPr>
        <w:tabs>
          <w:tab w:val="left" w:pos="2552"/>
        </w:tabs>
        <w:suppressAutoHyphens/>
        <w:spacing w:line="240" w:lineRule="atLeast"/>
        <w:jc w:val="center"/>
        <w:rPr>
          <w:rFonts w:cs="Arial"/>
          <w:b/>
          <w:szCs w:val="20"/>
          <w:lang w:val="cs-CZ"/>
        </w:rPr>
      </w:pPr>
    </w:p>
    <w:p w:rsidR="003B6E11" w:rsidRPr="003B6E11" w:rsidRDefault="003B6E11" w:rsidP="003B6E11">
      <w:pPr>
        <w:overflowPunct w:val="0"/>
        <w:adjustRightInd w:val="0"/>
        <w:spacing w:line="240" w:lineRule="atLeast"/>
        <w:jc w:val="center"/>
        <w:textAlignment w:val="baseline"/>
        <w:rPr>
          <w:rFonts w:cs="Arial"/>
          <w:b/>
          <w:bCs/>
          <w:noProof/>
          <w:lang w:val="cs-CZ"/>
        </w:rPr>
      </w:pPr>
      <w:r w:rsidRPr="003B6E11">
        <w:rPr>
          <w:b/>
          <w:noProof/>
          <w:lang w:val="cs-CZ"/>
        </w:rPr>
        <w:t>Obsah</w:t>
      </w:r>
    </w:p>
    <w:p w:rsidR="003B6E11" w:rsidRPr="003B6E11" w:rsidRDefault="003B6E11" w:rsidP="003B6E11">
      <w:pPr>
        <w:tabs>
          <w:tab w:val="left" w:pos="284"/>
          <w:tab w:val="left" w:pos="1134"/>
          <w:tab w:val="left" w:pos="1701"/>
        </w:tabs>
        <w:suppressAutoHyphens/>
        <w:spacing w:line="240" w:lineRule="atLeast"/>
        <w:rPr>
          <w:rFonts w:cs="Arial"/>
          <w:szCs w:val="20"/>
          <w:lang w:val="cs-CZ"/>
        </w:rPr>
      </w:pPr>
    </w:p>
    <w:p w:rsidR="003B6E11" w:rsidRPr="003B6E11" w:rsidRDefault="003B6E11" w:rsidP="003B6E11">
      <w:pPr>
        <w:tabs>
          <w:tab w:val="left" w:pos="1701"/>
        </w:tabs>
        <w:suppressAutoHyphens/>
        <w:spacing w:line="240" w:lineRule="atLeast"/>
        <w:ind w:left="1134" w:hanging="1134"/>
        <w:rPr>
          <w:rFonts w:cs="Arial"/>
          <w:szCs w:val="20"/>
          <w:lang w:val="cs-CZ"/>
        </w:rPr>
      </w:pPr>
      <w:r w:rsidRPr="003B6E11">
        <w:rPr>
          <w:b/>
          <w:lang w:val="cs-CZ"/>
        </w:rPr>
        <w:t>Oddíl I</w:t>
      </w:r>
      <w:r w:rsidRPr="003B6E11">
        <w:rPr>
          <w:lang w:val="cs-CZ"/>
        </w:rPr>
        <w:tab/>
        <w:t>Doplňující ustanovení</w:t>
      </w:r>
    </w:p>
    <w:p w:rsidR="003B6E11" w:rsidRPr="003B6E11" w:rsidRDefault="003B6E11" w:rsidP="003B6E11">
      <w:pPr>
        <w:suppressAutoHyphens/>
        <w:spacing w:line="240" w:lineRule="atLeast"/>
        <w:ind w:left="1134" w:hanging="1134"/>
        <w:rPr>
          <w:rFonts w:cs="Arial"/>
          <w:b/>
          <w:szCs w:val="20"/>
          <w:lang w:val="cs-CZ"/>
        </w:rPr>
      </w:pPr>
    </w:p>
    <w:p w:rsidR="003B6E11" w:rsidRPr="003B6E11" w:rsidRDefault="003B6E11" w:rsidP="003B6E11">
      <w:pPr>
        <w:suppressAutoHyphens/>
        <w:overflowPunct w:val="0"/>
        <w:spacing w:line="240" w:lineRule="atLeast"/>
        <w:ind w:left="1560" w:hanging="426"/>
        <w:textAlignment w:val="baseline"/>
        <w:rPr>
          <w:rFonts w:cs="Arial"/>
          <w:szCs w:val="20"/>
          <w:lang w:val="cs-CZ"/>
        </w:rPr>
      </w:pPr>
      <w:r w:rsidRPr="003B6E11">
        <w:rPr>
          <w:lang w:val="cs-CZ"/>
        </w:rPr>
        <w:t>1.</w:t>
      </w:r>
      <w:r w:rsidRPr="003B6E11">
        <w:rPr>
          <w:lang w:val="cs-CZ"/>
        </w:rPr>
        <w:tab/>
        <w:t>Označování palubních čistíren odpadních vod</w:t>
      </w:r>
    </w:p>
    <w:p w:rsidR="003B6E11" w:rsidRPr="003B6E11" w:rsidRDefault="003B6E11" w:rsidP="003B6E11">
      <w:pPr>
        <w:suppressAutoHyphens/>
        <w:overflowPunct w:val="0"/>
        <w:spacing w:line="240" w:lineRule="atLeast"/>
        <w:ind w:left="1560" w:hanging="426"/>
        <w:textAlignment w:val="baseline"/>
        <w:rPr>
          <w:rFonts w:cs="Arial"/>
          <w:szCs w:val="20"/>
          <w:lang w:val="cs-CZ"/>
        </w:rPr>
      </w:pPr>
      <w:r w:rsidRPr="003B6E11">
        <w:rPr>
          <w:lang w:val="cs-CZ"/>
        </w:rPr>
        <w:t>2.</w:t>
      </w:r>
      <w:r w:rsidRPr="003B6E11">
        <w:rPr>
          <w:lang w:val="cs-CZ"/>
        </w:rPr>
        <w:tab/>
        <w:t>Zkoušky</w:t>
      </w:r>
    </w:p>
    <w:p w:rsidR="003B6E11" w:rsidRPr="003B6E11" w:rsidRDefault="003B6E11" w:rsidP="003B6E11">
      <w:pPr>
        <w:suppressAutoHyphens/>
        <w:overflowPunct w:val="0"/>
        <w:spacing w:line="240" w:lineRule="atLeast"/>
        <w:ind w:left="1560" w:hanging="426"/>
        <w:textAlignment w:val="baseline"/>
        <w:rPr>
          <w:rFonts w:cs="Arial"/>
          <w:szCs w:val="20"/>
          <w:lang w:val="cs-CZ"/>
        </w:rPr>
      </w:pPr>
      <w:r w:rsidRPr="003B6E11">
        <w:rPr>
          <w:lang w:val="cs-CZ"/>
        </w:rPr>
        <w:t>3.</w:t>
      </w:r>
      <w:r w:rsidRPr="003B6E11">
        <w:rPr>
          <w:lang w:val="cs-CZ"/>
        </w:rPr>
        <w:tab/>
        <w:t>Posouzení shodnosti výroby</w:t>
      </w:r>
    </w:p>
    <w:p w:rsidR="003B6E11" w:rsidRPr="003B6E11" w:rsidRDefault="003B6E11" w:rsidP="003B6E11">
      <w:pPr>
        <w:suppressAutoHyphens/>
        <w:spacing w:line="240" w:lineRule="atLeast"/>
        <w:ind w:left="1134" w:hanging="1134"/>
        <w:rPr>
          <w:rFonts w:cs="Arial"/>
          <w:szCs w:val="20"/>
          <w:lang w:val="cs-CZ"/>
        </w:rPr>
      </w:pPr>
    </w:p>
    <w:p w:rsidR="003B6E11" w:rsidRPr="003B6E11" w:rsidRDefault="003B6E11" w:rsidP="003B6E11">
      <w:pPr>
        <w:suppressAutoHyphens/>
        <w:spacing w:line="240" w:lineRule="atLeast"/>
        <w:ind w:left="1134" w:hanging="1134"/>
        <w:rPr>
          <w:rFonts w:cs="Arial"/>
          <w:szCs w:val="20"/>
          <w:lang w:val="cs-CZ"/>
        </w:rPr>
      </w:pPr>
      <w:r w:rsidRPr="003B6E11">
        <w:rPr>
          <w:b/>
          <w:lang w:val="cs-CZ"/>
        </w:rPr>
        <w:t>Oddíl II</w:t>
      </w:r>
      <w:r w:rsidRPr="003B6E11">
        <w:rPr>
          <w:lang w:val="cs-CZ"/>
        </w:rPr>
        <w:tab/>
        <w:t>Informační dokument č. … ke schválení typu palubních čistíren odpadních vod určených pro plavidla vnitrozemské plavby (vzor)</w:t>
      </w:r>
    </w:p>
    <w:p w:rsidR="003B6E11" w:rsidRPr="003B6E11" w:rsidRDefault="003B6E11" w:rsidP="003B6E11">
      <w:pPr>
        <w:suppressAutoHyphens/>
        <w:spacing w:line="240" w:lineRule="atLeast"/>
        <w:ind w:left="1134" w:hanging="1134"/>
        <w:rPr>
          <w:rFonts w:cs="Arial"/>
          <w:szCs w:val="20"/>
          <w:lang w:val="cs-CZ"/>
        </w:rPr>
      </w:pPr>
    </w:p>
    <w:p w:rsidR="003B6E11" w:rsidRPr="003B6E11" w:rsidRDefault="003B6E11" w:rsidP="003B6E11">
      <w:pPr>
        <w:suppressAutoHyphens/>
        <w:overflowPunct w:val="0"/>
        <w:spacing w:line="240" w:lineRule="atLeast"/>
        <w:ind w:left="1134"/>
        <w:textAlignment w:val="baseline"/>
        <w:rPr>
          <w:rFonts w:cs="Arial"/>
          <w:szCs w:val="20"/>
          <w:lang w:val="cs-CZ"/>
        </w:rPr>
      </w:pPr>
      <w:r w:rsidRPr="003B6E11">
        <w:rPr>
          <w:lang w:val="cs-CZ"/>
        </w:rPr>
        <w:t>Dodatek 1 – Hlavní charakteristiky typu palubní čistírny odpadních vod (vzor)</w:t>
      </w:r>
    </w:p>
    <w:p w:rsidR="003B6E11" w:rsidRPr="003B6E11" w:rsidRDefault="003B6E11" w:rsidP="003B6E11">
      <w:pPr>
        <w:suppressAutoHyphens/>
        <w:spacing w:line="240" w:lineRule="atLeast"/>
        <w:ind w:left="1134" w:hanging="1134"/>
        <w:rPr>
          <w:rFonts w:cs="Arial"/>
          <w:szCs w:val="20"/>
          <w:lang w:val="cs-CZ"/>
        </w:rPr>
      </w:pPr>
    </w:p>
    <w:p w:rsidR="003B6E11" w:rsidRPr="003B6E11" w:rsidRDefault="003B6E11" w:rsidP="003B6E11">
      <w:pPr>
        <w:suppressAutoHyphens/>
        <w:spacing w:line="240" w:lineRule="atLeast"/>
        <w:ind w:left="1134" w:hanging="1134"/>
        <w:rPr>
          <w:rFonts w:cs="Arial"/>
          <w:szCs w:val="20"/>
          <w:lang w:val="cs-CZ"/>
        </w:rPr>
      </w:pPr>
      <w:r w:rsidRPr="003B6E11">
        <w:rPr>
          <w:b/>
          <w:lang w:val="cs-CZ"/>
        </w:rPr>
        <w:t>Oddíl III</w:t>
      </w:r>
      <w:r w:rsidRPr="003B6E11">
        <w:rPr>
          <w:lang w:val="cs-CZ"/>
        </w:rPr>
        <w:tab/>
        <w:t>Certifikát schválení typu (vzor)</w:t>
      </w:r>
    </w:p>
    <w:p w:rsidR="003B6E11" w:rsidRPr="003B6E11" w:rsidRDefault="003B6E11" w:rsidP="003B6E11">
      <w:pPr>
        <w:suppressAutoHyphens/>
        <w:spacing w:line="240" w:lineRule="atLeast"/>
        <w:ind w:left="1134" w:hanging="1134"/>
        <w:rPr>
          <w:rFonts w:cs="Arial"/>
          <w:szCs w:val="20"/>
          <w:lang w:val="cs-CZ"/>
        </w:rPr>
      </w:pPr>
    </w:p>
    <w:p w:rsidR="003B6E11" w:rsidRPr="003B6E11" w:rsidRDefault="003B6E11" w:rsidP="003B6E11">
      <w:pPr>
        <w:suppressAutoHyphens/>
        <w:overflowPunct w:val="0"/>
        <w:spacing w:line="240" w:lineRule="atLeast"/>
        <w:ind w:left="1134"/>
        <w:textAlignment w:val="baseline"/>
        <w:rPr>
          <w:rFonts w:cs="Arial"/>
          <w:szCs w:val="20"/>
          <w:lang w:val="cs-CZ"/>
        </w:rPr>
      </w:pPr>
      <w:r w:rsidRPr="003B6E11">
        <w:rPr>
          <w:lang w:val="cs-CZ"/>
        </w:rPr>
        <w:t>Dodatek 1 – Výsledky zkoušky schválení typu (vzor)</w:t>
      </w:r>
    </w:p>
    <w:p w:rsidR="003B6E11" w:rsidRPr="003B6E11" w:rsidRDefault="003B6E11" w:rsidP="003B6E11">
      <w:pPr>
        <w:suppressAutoHyphens/>
        <w:spacing w:line="240" w:lineRule="atLeast"/>
        <w:ind w:left="1134" w:hanging="1134"/>
        <w:rPr>
          <w:rFonts w:cs="Arial"/>
          <w:szCs w:val="20"/>
          <w:lang w:val="cs-CZ"/>
        </w:rPr>
      </w:pPr>
    </w:p>
    <w:p w:rsidR="003B6E11" w:rsidRPr="003B6E11" w:rsidRDefault="003B6E11" w:rsidP="003B6E11">
      <w:pPr>
        <w:suppressAutoHyphens/>
        <w:spacing w:line="240" w:lineRule="atLeast"/>
        <w:ind w:left="1134" w:hanging="1134"/>
        <w:rPr>
          <w:rFonts w:cs="Arial"/>
          <w:szCs w:val="20"/>
          <w:lang w:val="cs-CZ"/>
        </w:rPr>
      </w:pPr>
      <w:r w:rsidRPr="003B6E11">
        <w:rPr>
          <w:b/>
          <w:lang w:val="cs-CZ"/>
        </w:rPr>
        <w:t>Oddíl IV</w:t>
      </w:r>
      <w:r w:rsidRPr="003B6E11">
        <w:rPr>
          <w:lang w:val="cs-CZ"/>
        </w:rPr>
        <w:tab/>
        <w:t>Systém číslování schválení typu</w:t>
      </w:r>
    </w:p>
    <w:p w:rsidR="003B6E11" w:rsidRPr="003B6E11" w:rsidRDefault="003B6E11" w:rsidP="003B6E11">
      <w:pPr>
        <w:suppressAutoHyphens/>
        <w:spacing w:line="240" w:lineRule="atLeast"/>
        <w:ind w:left="1134" w:hanging="1134"/>
        <w:rPr>
          <w:rFonts w:cs="Arial"/>
          <w:szCs w:val="20"/>
          <w:lang w:val="cs-CZ"/>
        </w:rPr>
      </w:pPr>
    </w:p>
    <w:p w:rsidR="003B6E11" w:rsidRPr="003B6E11" w:rsidRDefault="003B6E11" w:rsidP="003B6E11">
      <w:pPr>
        <w:suppressAutoHyphens/>
        <w:spacing w:line="240" w:lineRule="atLeast"/>
        <w:ind w:left="1134" w:hanging="1134"/>
        <w:rPr>
          <w:rFonts w:cs="Arial"/>
          <w:szCs w:val="20"/>
          <w:lang w:val="cs-CZ"/>
        </w:rPr>
      </w:pPr>
      <w:r w:rsidRPr="003B6E11">
        <w:rPr>
          <w:b/>
          <w:lang w:val="cs-CZ"/>
        </w:rPr>
        <w:t>Oddíl V</w:t>
      </w:r>
      <w:r w:rsidRPr="003B6E11">
        <w:rPr>
          <w:lang w:val="cs-CZ"/>
        </w:rPr>
        <w:tab/>
        <w:t>Přehled schválení typu pro typy palubních čistíren odpadních vod</w:t>
      </w:r>
    </w:p>
    <w:p w:rsidR="003B6E11" w:rsidRPr="003B6E11" w:rsidRDefault="003B6E11" w:rsidP="003B6E11">
      <w:pPr>
        <w:suppressAutoHyphens/>
        <w:spacing w:line="240" w:lineRule="atLeast"/>
        <w:ind w:left="1134" w:hanging="1134"/>
        <w:rPr>
          <w:rFonts w:cs="Arial"/>
          <w:szCs w:val="20"/>
          <w:lang w:val="cs-CZ"/>
        </w:rPr>
      </w:pPr>
    </w:p>
    <w:p w:rsidR="003B6E11" w:rsidRPr="003B6E11" w:rsidRDefault="003B6E11" w:rsidP="003B6E11">
      <w:pPr>
        <w:suppressAutoHyphens/>
        <w:spacing w:line="240" w:lineRule="atLeast"/>
        <w:ind w:left="1134" w:hanging="1134"/>
        <w:rPr>
          <w:rFonts w:cs="Arial"/>
          <w:szCs w:val="20"/>
          <w:lang w:val="cs-CZ"/>
        </w:rPr>
      </w:pPr>
      <w:r w:rsidRPr="003B6E11">
        <w:rPr>
          <w:b/>
          <w:lang w:val="cs-CZ"/>
        </w:rPr>
        <w:t>Oddíl VI</w:t>
      </w:r>
      <w:r w:rsidRPr="003B6E11">
        <w:rPr>
          <w:lang w:val="cs-CZ"/>
        </w:rPr>
        <w:tab/>
        <w:t>Přehled vyrobených palubních čistíren odpadních vod (vzor)</w:t>
      </w:r>
    </w:p>
    <w:p w:rsidR="003B6E11" w:rsidRPr="003B6E11" w:rsidRDefault="003B6E11" w:rsidP="003B6E11">
      <w:pPr>
        <w:suppressAutoHyphens/>
        <w:spacing w:line="240" w:lineRule="atLeast"/>
        <w:ind w:left="1134" w:hanging="1134"/>
        <w:rPr>
          <w:rFonts w:cs="Arial"/>
          <w:szCs w:val="20"/>
          <w:lang w:val="cs-CZ"/>
        </w:rPr>
      </w:pPr>
    </w:p>
    <w:p w:rsidR="003B6E11" w:rsidRPr="003B6E11" w:rsidRDefault="003B6E11" w:rsidP="003B6E11">
      <w:pPr>
        <w:suppressAutoHyphens/>
        <w:spacing w:line="240" w:lineRule="atLeast"/>
        <w:ind w:left="1134" w:hanging="1134"/>
        <w:rPr>
          <w:rFonts w:cs="Arial"/>
          <w:szCs w:val="20"/>
          <w:lang w:val="cs-CZ"/>
        </w:rPr>
      </w:pPr>
      <w:r w:rsidRPr="003B6E11">
        <w:rPr>
          <w:b/>
          <w:lang w:val="cs-CZ"/>
        </w:rPr>
        <w:t>Oddíl VII</w:t>
      </w:r>
      <w:r w:rsidRPr="003B6E11">
        <w:rPr>
          <w:lang w:val="cs-CZ"/>
        </w:rPr>
        <w:tab/>
        <w:t>List s údaji o palubních čistírnách odpadních vod se schválením typu (vzor)</w:t>
      </w:r>
    </w:p>
    <w:p w:rsidR="003B6E11" w:rsidRPr="003B6E11" w:rsidRDefault="003B6E11" w:rsidP="003B6E11">
      <w:pPr>
        <w:suppressAutoHyphens/>
        <w:spacing w:line="240" w:lineRule="atLeast"/>
        <w:ind w:left="1134" w:hanging="1134"/>
        <w:rPr>
          <w:rFonts w:cs="Arial"/>
          <w:szCs w:val="20"/>
          <w:lang w:val="cs-CZ"/>
        </w:rPr>
      </w:pPr>
    </w:p>
    <w:p w:rsidR="003B6E11" w:rsidRPr="003B6E11" w:rsidRDefault="003B6E11" w:rsidP="003B6E11">
      <w:pPr>
        <w:suppressAutoHyphens/>
        <w:spacing w:line="240" w:lineRule="atLeast"/>
        <w:ind w:left="1134" w:hanging="1134"/>
        <w:rPr>
          <w:rFonts w:cs="Arial"/>
          <w:szCs w:val="20"/>
          <w:lang w:val="cs-CZ"/>
        </w:rPr>
      </w:pPr>
      <w:r w:rsidRPr="003B6E11">
        <w:rPr>
          <w:b/>
          <w:lang w:val="cs-CZ"/>
        </w:rPr>
        <w:t>Oddíl VIII</w:t>
      </w:r>
      <w:r w:rsidRPr="003B6E11">
        <w:rPr>
          <w:lang w:val="cs-CZ"/>
        </w:rPr>
        <w:tab/>
        <w:t>Záznam parametrů palubní čistírny odpadních vod pro zvláštní zkoušku (vzor)</w:t>
      </w:r>
    </w:p>
    <w:p w:rsidR="003B6E11" w:rsidRPr="003B6E11" w:rsidRDefault="003B6E11" w:rsidP="003B6E11">
      <w:pPr>
        <w:suppressAutoHyphens/>
        <w:overflowPunct w:val="0"/>
        <w:spacing w:line="240" w:lineRule="atLeast"/>
        <w:ind w:left="1134" w:hanging="1134"/>
        <w:textAlignment w:val="baseline"/>
        <w:rPr>
          <w:rFonts w:cs="Arial"/>
          <w:szCs w:val="20"/>
          <w:lang w:val="cs-CZ"/>
        </w:rPr>
      </w:pPr>
    </w:p>
    <w:p w:rsidR="003B6E11" w:rsidRPr="003B6E11" w:rsidRDefault="003B6E11" w:rsidP="003B6E11">
      <w:pPr>
        <w:suppressAutoHyphens/>
        <w:overflowPunct w:val="0"/>
        <w:spacing w:line="240" w:lineRule="atLeast"/>
        <w:ind w:left="1134"/>
        <w:textAlignment w:val="baseline"/>
        <w:rPr>
          <w:rFonts w:cs="Arial"/>
          <w:szCs w:val="20"/>
          <w:lang w:val="cs-CZ"/>
        </w:rPr>
      </w:pPr>
      <w:r w:rsidRPr="003B6E11">
        <w:rPr>
          <w:lang w:val="cs-CZ"/>
        </w:rPr>
        <w:t>Dodatek 1 – Dodatek k záznamu parametrů palubní čistírny odpadních vod</w:t>
      </w:r>
    </w:p>
    <w:p w:rsidR="003B6E11" w:rsidRPr="003B6E11" w:rsidRDefault="003B6E11" w:rsidP="003B6E11">
      <w:pPr>
        <w:suppressAutoHyphens/>
        <w:overflowPunct w:val="0"/>
        <w:spacing w:line="240" w:lineRule="atLeast"/>
        <w:ind w:left="1134"/>
        <w:textAlignment w:val="baseline"/>
        <w:rPr>
          <w:rFonts w:cs="Arial"/>
          <w:szCs w:val="20"/>
          <w:lang w:val="cs-CZ"/>
        </w:rPr>
      </w:pPr>
    </w:p>
    <w:p w:rsidR="003B6E11" w:rsidRPr="003B6E11" w:rsidRDefault="003B6E11" w:rsidP="003B6E11">
      <w:pPr>
        <w:suppressAutoHyphens/>
        <w:spacing w:line="240" w:lineRule="atLeast"/>
        <w:ind w:left="1134" w:hanging="1134"/>
        <w:rPr>
          <w:rFonts w:cs="Arial"/>
          <w:szCs w:val="20"/>
          <w:lang w:val="cs-CZ"/>
        </w:rPr>
      </w:pPr>
      <w:r w:rsidRPr="003B6E11">
        <w:rPr>
          <w:b/>
          <w:lang w:val="cs-CZ"/>
        </w:rPr>
        <w:t>Oddíl IX</w:t>
      </w:r>
      <w:r w:rsidRPr="003B6E11">
        <w:rPr>
          <w:lang w:val="cs-CZ"/>
        </w:rPr>
        <w:tab/>
      </w:r>
      <w:r w:rsidRPr="003B6E11">
        <w:rPr>
          <w:noProof/>
          <w:color w:val="000000"/>
          <w:lang w:val="cs-CZ"/>
        </w:rPr>
        <w:t>Zkušební postup</w:t>
      </w:r>
    </w:p>
    <w:p w:rsidR="003B6E11" w:rsidRPr="003B6E11" w:rsidRDefault="003B6E11" w:rsidP="003B6E11">
      <w:pPr>
        <w:suppressAutoHyphens/>
        <w:overflowPunct w:val="0"/>
        <w:spacing w:line="240" w:lineRule="atLeast"/>
        <w:ind w:left="1134"/>
        <w:textAlignment w:val="baseline"/>
        <w:rPr>
          <w:rFonts w:cs="Arial"/>
          <w:szCs w:val="20"/>
          <w:lang w:val="cs-CZ"/>
        </w:rPr>
      </w:pPr>
    </w:p>
    <w:p w:rsidR="003B6E11" w:rsidRPr="003B6E11" w:rsidRDefault="003B6E11" w:rsidP="003B6E11">
      <w:pPr>
        <w:suppressAutoHyphens/>
        <w:overflowPunct w:val="0"/>
        <w:spacing w:line="240" w:lineRule="atLeast"/>
        <w:ind w:left="1134"/>
        <w:textAlignment w:val="baseline"/>
        <w:rPr>
          <w:rFonts w:cs="Arial"/>
          <w:szCs w:val="20"/>
          <w:lang w:val="cs-CZ"/>
        </w:rPr>
      </w:pPr>
    </w:p>
    <w:p w:rsidR="003B6E11" w:rsidRPr="003B6E11" w:rsidRDefault="003B6E11" w:rsidP="003B6E11">
      <w:pPr>
        <w:suppressAutoHyphens/>
        <w:overflowPunct w:val="0"/>
        <w:spacing w:line="240" w:lineRule="atLeast"/>
        <w:ind w:left="1134"/>
        <w:textAlignment w:val="baseline"/>
        <w:rPr>
          <w:rFonts w:cs="Arial"/>
          <w:szCs w:val="20"/>
          <w:lang w:val="cs-CZ"/>
        </w:rPr>
      </w:pPr>
      <w:r w:rsidRPr="003B6E11">
        <w:rPr>
          <w:lang w:val="cs-CZ"/>
        </w:rPr>
        <w:br w:type="page"/>
      </w:r>
    </w:p>
    <w:p w:rsidR="003B6E11" w:rsidRPr="003B6E11" w:rsidRDefault="003B6E11" w:rsidP="003B6E11">
      <w:pPr>
        <w:suppressAutoHyphens/>
        <w:overflowPunct w:val="0"/>
        <w:spacing w:line="240" w:lineRule="atLeast"/>
        <w:ind w:left="1134"/>
        <w:textAlignment w:val="baseline"/>
        <w:rPr>
          <w:rFonts w:cs="Arial"/>
          <w:szCs w:val="20"/>
          <w:lang w:val="cs-CZ"/>
        </w:rPr>
      </w:pPr>
    </w:p>
    <w:p w:rsidR="003B6E11" w:rsidRPr="003B6E11" w:rsidRDefault="003B6E11" w:rsidP="003B6E11">
      <w:pPr>
        <w:suppressAutoHyphens/>
        <w:overflowPunct w:val="0"/>
        <w:spacing w:line="240" w:lineRule="atLeast"/>
        <w:ind w:left="1134"/>
        <w:textAlignment w:val="baseline"/>
        <w:rPr>
          <w:rFonts w:cs="Arial"/>
          <w:szCs w:val="20"/>
          <w:lang w:val="cs-CZ"/>
        </w:rPr>
      </w:pPr>
    </w:p>
    <w:p w:rsidR="003B6E11" w:rsidRPr="003B6E11" w:rsidRDefault="003B6E11" w:rsidP="003B6E11">
      <w:pPr>
        <w:suppressAutoHyphens/>
        <w:overflowPunct w:val="0"/>
        <w:spacing w:line="240" w:lineRule="atLeast"/>
        <w:ind w:left="1134"/>
        <w:textAlignment w:val="baseline"/>
        <w:rPr>
          <w:rFonts w:cs="Arial"/>
          <w:szCs w:val="20"/>
          <w:lang w:val="cs-CZ"/>
        </w:rPr>
      </w:pPr>
    </w:p>
    <w:p w:rsidR="003B6E11" w:rsidRPr="003B6E11" w:rsidRDefault="003B6E11" w:rsidP="003B6E11">
      <w:pPr>
        <w:suppressAutoHyphens/>
        <w:overflowPunct w:val="0"/>
        <w:spacing w:line="240" w:lineRule="atLeast"/>
        <w:ind w:left="1134"/>
        <w:textAlignment w:val="baseline"/>
        <w:rPr>
          <w:rFonts w:cs="Arial"/>
          <w:szCs w:val="20"/>
          <w:lang w:val="cs-CZ"/>
        </w:rPr>
      </w:pPr>
    </w:p>
    <w:p w:rsidR="003B6E11" w:rsidRPr="003B6E11" w:rsidRDefault="003B6E11" w:rsidP="003B6E11">
      <w:pPr>
        <w:suppressAutoHyphens/>
        <w:overflowPunct w:val="0"/>
        <w:spacing w:line="240" w:lineRule="atLeast"/>
        <w:ind w:left="1134"/>
        <w:textAlignment w:val="baseline"/>
        <w:rPr>
          <w:rFonts w:cs="Arial"/>
          <w:szCs w:val="20"/>
          <w:lang w:val="cs-CZ"/>
        </w:rPr>
      </w:pPr>
    </w:p>
    <w:p w:rsidR="003B6E11" w:rsidRPr="003B6E11" w:rsidRDefault="003B6E11" w:rsidP="003B6E11">
      <w:pPr>
        <w:tabs>
          <w:tab w:val="center" w:pos="7956"/>
        </w:tabs>
        <w:suppressAutoHyphens/>
        <w:spacing w:line="240" w:lineRule="atLeast"/>
        <w:jc w:val="right"/>
        <w:rPr>
          <w:rFonts w:cs="Arial"/>
          <w:b/>
          <w:szCs w:val="20"/>
          <w:lang w:val="cs-CZ"/>
        </w:rPr>
        <w:sectPr w:rsidR="003B6E11" w:rsidRPr="003B6E11" w:rsidSect="00FB55E9">
          <w:footnotePr>
            <w:numRestart w:val="eachPage"/>
          </w:footnotePr>
          <w:pgSz w:w="11907" w:h="16840" w:code="9"/>
          <w:pgMar w:top="1361" w:right="1418" w:bottom="1361" w:left="1418" w:header="680" w:footer="680" w:gutter="0"/>
          <w:cols w:space="720"/>
          <w:docGrid w:linePitch="326"/>
        </w:sectPr>
      </w:pPr>
    </w:p>
    <w:p w:rsidR="003B6E11" w:rsidRPr="003B6E11" w:rsidRDefault="003B6E11" w:rsidP="003B6E11">
      <w:pPr>
        <w:pStyle w:val="ES-Titre3"/>
        <w:rPr>
          <w:noProof/>
          <w:lang w:val="cs-CZ"/>
        </w:rPr>
      </w:pPr>
      <w:bookmarkStart w:id="682" w:name="_Toc491854324"/>
      <w:bookmarkStart w:id="683" w:name="_Toc535417230"/>
      <w:r w:rsidRPr="003B6E11">
        <w:rPr>
          <w:lang w:val="cs-CZ"/>
        </w:rPr>
        <w:t>Oddíl I</w:t>
      </w:r>
      <w:bookmarkEnd w:id="682"/>
      <w:bookmarkEnd w:id="683"/>
    </w:p>
    <w:p w:rsidR="003B6E11" w:rsidRPr="003B6E11" w:rsidRDefault="003B6E11" w:rsidP="003B6E11">
      <w:pPr>
        <w:pStyle w:val="ES-Titre3a"/>
        <w:rPr>
          <w:noProof/>
          <w:lang w:val="cs-CZ"/>
        </w:rPr>
      </w:pPr>
      <w:bookmarkStart w:id="684" w:name="_Toc491854325"/>
      <w:bookmarkStart w:id="685" w:name="_Toc535417231"/>
      <w:r w:rsidRPr="003B6E11">
        <w:rPr>
          <w:lang w:val="cs-CZ"/>
        </w:rPr>
        <w:t>Doplňující ustanovení</w:t>
      </w:r>
      <w:bookmarkEnd w:id="684"/>
      <w:bookmarkEnd w:id="685"/>
    </w:p>
    <w:p w:rsidR="003B6E11" w:rsidRPr="003B6E11" w:rsidRDefault="003B6E11" w:rsidP="003B6E11">
      <w:pPr>
        <w:ind w:left="709" w:hanging="709"/>
        <w:rPr>
          <w:noProof/>
          <w:lang w:val="cs-CZ"/>
        </w:rPr>
      </w:pPr>
    </w:p>
    <w:p w:rsidR="003B6E11" w:rsidRPr="003B6E11" w:rsidRDefault="003B6E11" w:rsidP="003B6E11">
      <w:pPr>
        <w:spacing w:line="240" w:lineRule="atLeast"/>
        <w:ind w:left="709" w:hanging="709"/>
        <w:rPr>
          <w:b/>
          <w:noProof/>
          <w:lang w:val="cs-CZ"/>
        </w:rPr>
      </w:pPr>
      <w:r w:rsidRPr="003B6E11">
        <w:rPr>
          <w:b/>
          <w:noProof/>
          <w:lang w:val="cs-CZ"/>
        </w:rPr>
        <w:t>1.</w:t>
      </w:r>
      <w:r w:rsidRPr="003B6E11">
        <w:rPr>
          <w:lang w:val="cs-CZ"/>
        </w:rPr>
        <w:tab/>
      </w:r>
      <w:r w:rsidRPr="003B6E11">
        <w:rPr>
          <w:b/>
          <w:noProof/>
          <w:lang w:val="cs-CZ"/>
        </w:rPr>
        <w:t>Označování palubních čistíren odpadních vod</w:t>
      </w:r>
    </w:p>
    <w:p w:rsidR="003B6E11" w:rsidRPr="003B6E11" w:rsidRDefault="003B6E11" w:rsidP="003B6E11">
      <w:pPr>
        <w:spacing w:line="240" w:lineRule="atLeast"/>
        <w:ind w:left="709" w:hanging="709"/>
        <w:rPr>
          <w:noProof/>
          <w:lang w:val="cs-CZ"/>
        </w:rPr>
      </w:pPr>
    </w:p>
    <w:p w:rsidR="003B6E11" w:rsidRPr="003B6E11" w:rsidRDefault="003B6E11" w:rsidP="003B6E11">
      <w:pPr>
        <w:spacing w:line="240" w:lineRule="atLeast"/>
        <w:ind w:left="709" w:hanging="709"/>
        <w:rPr>
          <w:noProof/>
          <w:lang w:val="cs-CZ"/>
        </w:rPr>
      </w:pPr>
      <w:r w:rsidRPr="003B6E11">
        <w:rPr>
          <w:lang w:val="cs-CZ"/>
        </w:rPr>
        <w:t>1.1</w:t>
      </w:r>
      <w:r w:rsidRPr="003B6E11">
        <w:rPr>
          <w:lang w:val="cs-CZ"/>
        </w:rPr>
        <w:tab/>
        <w:t>Palubní čistírny odpadních vod se zkouškou typu musejí být opatřeny těmito informacemi (označením):</w:t>
      </w:r>
    </w:p>
    <w:p w:rsidR="003B6E11" w:rsidRPr="003B6E11" w:rsidRDefault="003B6E11" w:rsidP="003B6E11">
      <w:pPr>
        <w:tabs>
          <w:tab w:val="left" w:leader="dot" w:pos="9072"/>
        </w:tabs>
        <w:spacing w:line="240" w:lineRule="atLeast"/>
        <w:ind w:left="709" w:hanging="709"/>
        <w:rPr>
          <w:rFonts w:cs="Arial"/>
          <w:noProof/>
          <w:lang w:val="cs-CZ"/>
        </w:rPr>
      </w:pPr>
    </w:p>
    <w:p w:rsidR="003B6E11" w:rsidRPr="003B6E11" w:rsidRDefault="003B6E11" w:rsidP="003B6E11">
      <w:pPr>
        <w:spacing w:line="240" w:lineRule="atLeast"/>
        <w:ind w:left="709" w:hanging="709"/>
        <w:rPr>
          <w:noProof/>
          <w:lang w:val="cs-CZ"/>
        </w:rPr>
      </w:pPr>
      <w:r w:rsidRPr="003B6E11">
        <w:rPr>
          <w:lang w:val="cs-CZ"/>
        </w:rPr>
        <w:t>1.1.1</w:t>
      </w:r>
      <w:r w:rsidRPr="003B6E11">
        <w:rPr>
          <w:lang w:val="cs-CZ"/>
        </w:rPr>
        <w:tab/>
        <w:t>obchodní značka nebo obchodní název výrobce;</w:t>
      </w:r>
    </w:p>
    <w:p w:rsidR="003B6E11" w:rsidRPr="003B6E11" w:rsidRDefault="003B6E11" w:rsidP="003B6E11">
      <w:pPr>
        <w:spacing w:line="240" w:lineRule="atLeast"/>
        <w:ind w:left="709" w:hanging="709"/>
        <w:rPr>
          <w:noProof/>
          <w:lang w:val="cs-CZ"/>
        </w:rPr>
      </w:pPr>
    </w:p>
    <w:p w:rsidR="003B6E11" w:rsidRPr="003B6E11" w:rsidRDefault="003B6E11" w:rsidP="003B6E11">
      <w:pPr>
        <w:spacing w:line="240" w:lineRule="atLeast"/>
        <w:ind w:left="709" w:hanging="709"/>
        <w:rPr>
          <w:noProof/>
          <w:lang w:val="cs-CZ"/>
        </w:rPr>
      </w:pPr>
      <w:r w:rsidRPr="003B6E11">
        <w:rPr>
          <w:lang w:val="cs-CZ"/>
        </w:rPr>
        <w:t>1.1.2</w:t>
      </w:r>
      <w:r w:rsidRPr="003B6E11">
        <w:rPr>
          <w:lang w:val="cs-CZ"/>
        </w:rPr>
        <w:tab/>
        <w:t>typ a sériové číslo palubní čistírny odpadních vod;</w:t>
      </w:r>
    </w:p>
    <w:p w:rsidR="003B6E11" w:rsidRPr="003B6E11" w:rsidRDefault="003B6E11" w:rsidP="003B6E11">
      <w:pPr>
        <w:spacing w:line="240" w:lineRule="atLeast"/>
        <w:ind w:left="709" w:hanging="709"/>
        <w:rPr>
          <w:noProof/>
          <w:lang w:val="cs-CZ"/>
        </w:rPr>
      </w:pPr>
    </w:p>
    <w:p w:rsidR="003B6E11" w:rsidRPr="003B6E11" w:rsidRDefault="003B6E11" w:rsidP="003B6E11">
      <w:pPr>
        <w:spacing w:line="240" w:lineRule="atLeast"/>
        <w:ind w:left="709" w:hanging="709"/>
        <w:rPr>
          <w:noProof/>
          <w:lang w:val="cs-CZ"/>
        </w:rPr>
      </w:pPr>
      <w:r w:rsidRPr="003B6E11">
        <w:rPr>
          <w:lang w:val="cs-CZ"/>
        </w:rPr>
        <w:t>1.1.3</w:t>
      </w:r>
      <w:r w:rsidRPr="003B6E11">
        <w:rPr>
          <w:lang w:val="cs-CZ"/>
        </w:rPr>
        <w:tab/>
        <w:t>číslo schválení typu podle oddílu IV této přílohy;</w:t>
      </w:r>
    </w:p>
    <w:p w:rsidR="003B6E11" w:rsidRPr="003B6E11" w:rsidRDefault="003B6E11" w:rsidP="003B6E11">
      <w:pPr>
        <w:spacing w:line="240" w:lineRule="atLeast"/>
        <w:ind w:left="709" w:hanging="709"/>
        <w:rPr>
          <w:noProof/>
          <w:lang w:val="cs-CZ"/>
        </w:rPr>
      </w:pPr>
    </w:p>
    <w:p w:rsidR="003B6E11" w:rsidRPr="003B6E11" w:rsidRDefault="003B6E11" w:rsidP="003B6E11">
      <w:pPr>
        <w:spacing w:line="240" w:lineRule="atLeast"/>
        <w:ind w:left="709" w:hanging="709"/>
        <w:rPr>
          <w:noProof/>
          <w:lang w:val="cs-CZ"/>
        </w:rPr>
      </w:pPr>
      <w:r w:rsidRPr="003B6E11">
        <w:rPr>
          <w:lang w:val="cs-CZ"/>
        </w:rPr>
        <w:t>1.1.4</w:t>
      </w:r>
      <w:r w:rsidRPr="003B6E11">
        <w:rPr>
          <w:lang w:val="cs-CZ"/>
        </w:rPr>
        <w:tab/>
        <w:t>rok výroby palubní čistírny odpadních vod.</w:t>
      </w:r>
    </w:p>
    <w:p w:rsidR="003B6E11" w:rsidRPr="003B6E11" w:rsidRDefault="003B6E11" w:rsidP="003B6E11">
      <w:pPr>
        <w:spacing w:line="240" w:lineRule="atLeast"/>
        <w:ind w:left="709" w:hanging="709"/>
        <w:rPr>
          <w:noProof/>
          <w:lang w:val="cs-CZ"/>
        </w:rPr>
      </w:pPr>
    </w:p>
    <w:p w:rsidR="003B6E11" w:rsidRPr="003B6E11" w:rsidRDefault="003B6E11" w:rsidP="003B6E11">
      <w:pPr>
        <w:spacing w:line="240" w:lineRule="atLeast"/>
        <w:ind w:left="709" w:hanging="709"/>
        <w:rPr>
          <w:noProof/>
          <w:lang w:val="cs-CZ"/>
        </w:rPr>
      </w:pPr>
      <w:r w:rsidRPr="003B6E11">
        <w:rPr>
          <w:lang w:val="cs-CZ"/>
        </w:rPr>
        <w:t>1.2</w:t>
      </w:r>
      <w:r w:rsidRPr="003B6E11">
        <w:rPr>
          <w:lang w:val="cs-CZ"/>
        </w:rPr>
        <w:tab/>
        <w:t>Označení podle bodu 1.1 musí být trvalé, jasně čitelné a nesmazatelné po celou dobu životnosti palubní čistírny odpadních vod. Pokud jsou použity lepicí štítky nebo tabulky, musejí být připevněny tak, aby po celou dobu životnosti palubní čistírny odpadních vod držely takovým způsobem, aby při pokusu o jejich sejmutí byly zničeny nebo se staly nečitelnými.</w:t>
      </w:r>
    </w:p>
    <w:p w:rsidR="003B6E11" w:rsidRPr="003B6E11" w:rsidRDefault="003B6E11" w:rsidP="003B6E11">
      <w:pPr>
        <w:spacing w:line="240" w:lineRule="atLeast"/>
        <w:ind w:left="709" w:hanging="709"/>
        <w:rPr>
          <w:noProof/>
          <w:lang w:val="cs-CZ"/>
        </w:rPr>
      </w:pPr>
    </w:p>
    <w:p w:rsidR="003B6E11" w:rsidRPr="003B6E11" w:rsidRDefault="003B6E11" w:rsidP="003B6E11">
      <w:pPr>
        <w:spacing w:line="240" w:lineRule="atLeast"/>
        <w:ind w:left="709" w:hanging="709"/>
        <w:rPr>
          <w:noProof/>
          <w:lang w:val="cs-CZ"/>
        </w:rPr>
      </w:pPr>
      <w:r w:rsidRPr="003B6E11">
        <w:rPr>
          <w:lang w:val="cs-CZ"/>
        </w:rPr>
        <w:t>1.3</w:t>
      </w:r>
      <w:r w:rsidRPr="003B6E11">
        <w:rPr>
          <w:lang w:val="cs-CZ"/>
        </w:rPr>
        <w:tab/>
        <w:t>Označení musí být připevněno k takové části palubní čistírny odpadních vod, která je nezbytná pro její běžný provoz a která obvykle v průběhu životnosti palubní čistírny odpadních vod nevyžaduje výměnu.</w:t>
      </w:r>
    </w:p>
    <w:p w:rsidR="003B6E11" w:rsidRPr="003B6E11" w:rsidRDefault="003B6E11" w:rsidP="003B6E11">
      <w:pPr>
        <w:spacing w:line="240" w:lineRule="atLeast"/>
        <w:ind w:left="709" w:hanging="709"/>
        <w:rPr>
          <w:noProof/>
          <w:lang w:val="cs-CZ"/>
        </w:rPr>
      </w:pPr>
    </w:p>
    <w:p w:rsidR="003B6E11" w:rsidRPr="003B6E11" w:rsidRDefault="003B6E11" w:rsidP="003B6E11">
      <w:pPr>
        <w:spacing w:line="240" w:lineRule="atLeast"/>
        <w:ind w:left="709" w:hanging="709"/>
        <w:rPr>
          <w:noProof/>
          <w:lang w:val="cs-CZ"/>
        </w:rPr>
      </w:pPr>
      <w:r w:rsidRPr="003B6E11">
        <w:rPr>
          <w:lang w:val="cs-CZ"/>
        </w:rPr>
        <w:t>1.3.1</w:t>
      </w:r>
      <w:r w:rsidRPr="003B6E11">
        <w:rPr>
          <w:lang w:val="cs-CZ"/>
        </w:rPr>
        <w:tab/>
        <w:t>Označení musí být připevněno tak, aby bylo jasně čitelné poté, co byla palubní čistírna odpadních vod opatřena pomocným vybavením nezbytným pro její provoz.</w:t>
      </w:r>
    </w:p>
    <w:p w:rsidR="003B6E11" w:rsidRPr="003B6E11" w:rsidRDefault="003B6E11" w:rsidP="003B6E11">
      <w:pPr>
        <w:spacing w:line="240" w:lineRule="atLeast"/>
        <w:ind w:left="709" w:hanging="709"/>
        <w:rPr>
          <w:noProof/>
          <w:lang w:val="cs-CZ"/>
        </w:rPr>
      </w:pPr>
    </w:p>
    <w:p w:rsidR="003B6E11" w:rsidRPr="003B6E11" w:rsidRDefault="003B6E11" w:rsidP="003B6E11">
      <w:pPr>
        <w:spacing w:line="240" w:lineRule="atLeast"/>
        <w:ind w:left="709" w:hanging="709"/>
        <w:rPr>
          <w:noProof/>
          <w:lang w:val="cs-CZ"/>
        </w:rPr>
      </w:pPr>
      <w:r w:rsidRPr="003B6E11">
        <w:rPr>
          <w:lang w:val="cs-CZ"/>
        </w:rPr>
        <w:t>1.3.2</w:t>
      </w:r>
      <w:r w:rsidRPr="003B6E11">
        <w:rPr>
          <w:lang w:val="cs-CZ"/>
        </w:rPr>
        <w:tab/>
        <w:t>V případě potřeby musí být palubní čistírna odpadních vod vybavena odnímatelnou tabulkou vyrobenou z odolného materiálu, na které musí být uvedeny veškeré informace uvedené v bodě 1.1 a která se připevní tak, aby byly tyto informace jasně čitelné a snadno přístupné poté, co byla palubní čistírna odpadních vod instalována na plavidle.</w:t>
      </w:r>
    </w:p>
    <w:p w:rsidR="003B6E11" w:rsidRPr="003B6E11" w:rsidRDefault="003B6E11" w:rsidP="003B6E11">
      <w:pPr>
        <w:spacing w:line="240" w:lineRule="atLeast"/>
        <w:ind w:left="709" w:hanging="709"/>
        <w:rPr>
          <w:noProof/>
          <w:lang w:val="cs-CZ"/>
        </w:rPr>
      </w:pPr>
    </w:p>
    <w:p w:rsidR="003B6E11" w:rsidRPr="003B6E11" w:rsidRDefault="003B6E11" w:rsidP="003B6E11">
      <w:pPr>
        <w:spacing w:line="240" w:lineRule="atLeast"/>
        <w:ind w:left="709" w:hanging="709"/>
        <w:rPr>
          <w:noProof/>
          <w:lang w:val="cs-CZ"/>
        </w:rPr>
      </w:pPr>
      <w:r w:rsidRPr="003B6E11">
        <w:rPr>
          <w:lang w:val="cs-CZ"/>
        </w:rPr>
        <w:t>1.4</w:t>
      </w:r>
      <w:r w:rsidRPr="003B6E11">
        <w:rPr>
          <w:lang w:val="cs-CZ"/>
        </w:rPr>
        <w:tab/>
        <w:t>Všechny části palubní čistírny odpadních vod, které mohou mít vliv na čištění odpadních vod, musejí být jasně označeny a identifikovány.</w:t>
      </w:r>
    </w:p>
    <w:p w:rsidR="003B6E11" w:rsidRPr="003B6E11" w:rsidRDefault="003B6E11" w:rsidP="003B6E11">
      <w:pPr>
        <w:spacing w:line="240" w:lineRule="atLeast"/>
        <w:ind w:left="709" w:hanging="709"/>
        <w:rPr>
          <w:noProof/>
          <w:lang w:val="cs-CZ"/>
        </w:rPr>
      </w:pPr>
    </w:p>
    <w:p w:rsidR="003B6E11" w:rsidRPr="003B6E11" w:rsidRDefault="003B6E11" w:rsidP="003B6E11">
      <w:pPr>
        <w:spacing w:line="240" w:lineRule="atLeast"/>
        <w:ind w:left="709" w:hanging="709"/>
        <w:rPr>
          <w:noProof/>
          <w:lang w:val="cs-CZ"/>
        </w:rPr>
      </w:pPr>
      <w:r w:rsidRPr="003B6E11">
        <w:rPr>
          <w:lang w:val="cs-CZ"/>
        </w:rPr>
        <w:t>1.5</w:t>
      </w:r>
      <w:r w:rsidRPr="003B6E11">
        <w:rPr>
          <w:lang w:val="cs-CZ"/>
        </w:rPr>
        <w:tab/>
        <w:t>Přesné umístění označení uvedeného v bodě 1.1 musí být uvedeno v oddíle I certifikátu schválení typu.</w:t>
      </w:r>
    </w:p>
    <w:p w:rsidR="003B6E11" w:rsidRPr="003B6E11" w:rsidRDefault="003B6E11" w:rsidP="003B6E11">
      <w:pPr>
        <w:suppressAutoHyphens/>
        <w:spacing w:line="240" w:lineRule="atLeast"/>
        <w:ind w:left="709" w:hanging="709"/>
        <w:rPr>
          <w:rFonts w:cs="Arial"/>
          <w:szCs w:val="20"/>
          <w:lang w:val="cs-CZ"/>
        </w:rPr>
      </w:pPr>
    </w:p>
    <w:p w:rsidR="003B6E11" w:rsidRPr="003B6E11" w:rsidRDefault="003B6E11" w:rsidP="003B6E11">
      <w:pPr>
        <w:spacing w:line="240" w:lineRule="atLeast"/>
        <w:ind w:left="709" w:hanging="709"/>
        <w:outlineLvl w:val="0"/>
        <w:rPr>
          <w:b/>
          <w:noProof/>
          <w:szCs w:val="20"/>
          <w:lang w:val="cs-CZ"/>
        </w:rPr>
      </w:pPr>
      <w:r w:rsidRPr="003B6E11">
        <w:rPr>
          <w:b/>
          <w:noProof/>
          <w:lang w:val="cs-CZ"/>
        </w:rPr>
        <w:t>2.</w:t>
      </w:r>
      <w:r w:rsidRPr="003B6E11">
        <w:rPr>
          <w:lang w:val="cs-CZ"/>
        </w:rPr>
        <w:tab/>
      </w:r>
      <w:r w:rsidRPr="003B6E11">
        <w:rPr>
          <w:b/>
          <w:noProof/>
          <w:lang w:val="cs-CZ"/>
        </w:rPr>
        <w:t>Zkoušky</w:t>
      </w:r>
    </w:p>
    <w:p w:rsidR="003B6E11" w:rsidRPr="003B6E11" w:rsidRDefault="003B6E11" w:rsidP="003B6E11">
      <w:pPr>
        <w:spacing w:line="240" w:lineRule="atLeast"/>
        <w:ind w:left="709" w:hanging="709"/>
        <w:rPr>
          <w:noProof/>
          <w:szCs w:val="20"/>
          <w:lang w:val="cs-CZ"/>
        </w:rPr>
      </w:pPr>
    </w:p>
    <w:p w:rsidR="003B6E11" w:rsidRPr="003B6E11" w:rsidRDefault="003B6E11" w:rsidP="003B6E11">
      <w:pPr>
        <w:spacing w:line="240" w:lineRule="atLeast"/>
        <w:ind w:left="709"/>
        <w:rPr>
          <w:noProof/>
          <w:szCs w:val="20"/>
          <w:lang w:val="cs-CZ"/>
        </w:rPr>
      </w:pPr>
      <w:r w:rsidRPr="003B6E11">
        <w:rPr>
          <w:lang w:val="cs-CZ"/>
        </w:rPr>
        <w:t xml:space="preserve">Postup provádění zkoušky palubní čistírny odpadních vod je stanoven v dodatku IX. </w:t>
      </w:r>
    </w:p>
    <w:p w:rsidR="003B6E11" w:rsidRPr="003B6E11" w:rsidRDefault="003B6E11" w:rsidP="003B6E11">
      <w:pPr>
        <w:spacing w:line="240" w:lineRule="atLeast"/>
        <w:ind w:left="709" w:hanging="709"/>
        <w:rPr>
          <w:noProof/>
          <w:szCs w:val="20"/>
          <w:lang w:val="cs-CZ"/>
        </w:rPr>
      </w:pPr>
    </w:p>
    <w:p w:rsidR="003B6E11" w:rsidRPr="003B6E11" w:rsidRDefault="003B6E11" w:rsidP="003B6E11">
      <w:pPr>
        <w:spacing w:line="240" w:lineRule="atLeast"/>
        <w:ind w:left="709" w:hanging="709"/>
        <w:rPr>
          <w:noProof/>
          <w:szCs w:val="20"/>
          <w:lang w:val="cs-CZ"/>
        </w:rPr>
      </w:pPr>
      <w:r w:rsidRPr="003B6E11">
        <w:rPr>
          <w:lang w:val="cs-CZ"/>
        </w:rPr>
        <w:br w:type="page"/>
      </w:r>
    </w:p>
    <w:p w:rsidR="003B6E11" w:rsidRPr="003B6E11" w:rsidRDefault="003B6E11" w:rsidP="003B6E11">
      <w:pPr>
        <w:spacing w:line="240" w:lineRule="atLeast"/>
        <w:ind w:left="709" w:hanging="709"/>
        <w:outlineLvl w:val="0"/>
        <w:rPr>
          <w:b/>
          <w:noProof/>
          <w:szCs w:val="20"/>
          <w:lang w:val="cs-CZ"/>
        </w:rPr>
      </w:pPr>
      <w:r w:rsidRPr="003B6E11">
        <w:rPr>
          <w:b/>
          <w:noProof/>
          <w:lang w:val="cs-CZ"/>
        </w:rPr>
        <w:t>3.</w:t>
      </w:r>
      <w:r w:rsidRPr="003B6E11">
        <w:rPr>
          <w:lang w:val="cs-CZ"/>
        </w:rPr>
        <w:tab/>
      </w:r>
      <w:r w:rsidRPr="003B6E11">
        <w:rPr>
          <w:b/>
          <w:noProof/>
          <w:lang w:val="cs-CZ"/>
        </w:rPr>
        <w:t>Posouzení shodnosti výroby</w:t>
      </w:r>
    </w:p>
    <w:p w:rsidR="003B6E11" w:rsidRPr="003B6E11" w:rsidRDefault="003B6E11" w:rsidP="003B6E11">
      <w:pPr>
        <w:spacing w:line="240" w:lineRule="atLeast"/>
        <w:ind w:left="709" w:hanging="709"/>
        <w:outlineLvl w:val="0"/>
        <w:rPr>
          <w:b/>
          <w:noProof/>
          <w:szCs w:val="20"/>
          <w:lang w:val="cs-CZ"/>
        </w:rPr>
      </w:pPr>
    </w:p>
    <w:p w:rsidR="003B6E11" w:rsidRPr="003B6E11" w:rsidRDefault="003B6E11" w:rsidP="003B6E11">
      <w:pPr>
        <w:spacing w:line="240" w:lineRule="atLeast"/>
        <w:ind w:left="709" w:hanging="709"/>
        <w:rPr>
          <w:noProof/>
          <w:szCs w:val="20"/>
          <w:lang w:val="cs-CZ"/>
        </w:rPr>
      </w:pPr>
      <w:r w:rsidRPr="003B6E11">
        <w:rPr>
          <w:lang w:val="cs-CZ"/>
        </w:rPr>
        <w:t>3.1</w:t>
      </w:r>
      <w:r w:rsidRPr="003B6E11">
        <w:rPr>
          <w:lang w:val="cs-CZ"/>
        </w:rPr>
        <w:tab/>
      </w:r>
      <w:r w:rsidRPr="003B6E11">
        <w:rPr>
          <w:rFonts w:ascii="ArialMT" w:hAnsi="ArialMT"/>
          <w:lang w:val="cs-CZ"/>
        </w:rPr>
        <w:t xml:space="preserve">S ohledem na ověřování existence uspokojivých opatření a postupů pro zajištění účinné kontroly shodnosti výroby před udělením schválení typu musí příslušný orgán přijmout registraci výrobce k harmonizované evropské normě EN ISO 9001:2015 (jejíž rozsah pokrývá výrobu dotčených palubních čistíren odpadních vod) nebo rovnocenné akreditační normě uspokojující požadavky. </w:t>
      </w:r>
      <w:r w:rsidRPr="003B6E11">
        <w:rPr>
          <w:lang w:val="cs-CZ"/>
        </w:rPr>
        <w:t xml:space="preserve">Výrobce je povinen o registraci poskytnout podrobnosti a zavázat se, že bude příslušný orgán informovat o veškerých změnách platnosti registrace nebo jejího rozsahu. Aby bylo zajištěno soustavné plnění požadavků čl. 18.01 odst. 2 až 5, provádějí se náležité prohlídky výroby. </w:t>
      </w:r>
    </w:p>
    <w:p w:rsidR="003B6E11" w:rsidRPr="003B6E11" w:rsidRDefault="003B6E11" w:rsidP="003B6E11">
      <w:pPr>
        <w:spacing w:line="240" w:lineRule="atLeast"/>
        <w:ind w:left="709" w:hanging="709"/>
        <w:rPr>
          <w:noProof/>
          <w:szCs w:val="20"/>
          <w:lang w:val="cs-CZ"/>
        </w:rPr>
      </w:pPr>
    </w:p>
    <w:p w:rsidR="003B6E11" w:rsidRPr="003B6E11" w:rsidRDefault="003B6E11" w:rsidP="003B6E11">
      <w:pPr>
        <w:spacing w:line="240" w:lineRule="atLeast"/>
        <w:ind w:left="709" w:hanging="709"/>
        <w:rPr>
          <w:noProof/>
          <w:szCs w:val="20"/>
          <w:lang w:val="cs-CZ"/>
        </w:rPr>
      </w:pPr>
      <w:r w:rsidRPr="003B6E11">
        <w:rPr>
          <w:lang w:val="cs-CZ"/>
        </w:rPr>
        <w:t>3.2</w:t>
      </w:r>
      <w:r w:rsidRPr="003B6E11">
        <w:rPr>
          <w:lang w:val="cs-CZ"/>
        </w:rPr>
        <w:tab/>
        <w:t>Držitel schválení typu musí:</w:t>
      </w:r>
    </w:p>
    <w:p w:rsidR="003B6E11" w:rsidRPr="003B6E11" w:rsidRDefault="003B6E11" w:rsidP="003B6E11">
      <w:pPr>
        <w:spacing w:line="240" w:lineRule="atLeast"/>
        <w:ind w:left="709" w:hanging="709"/>
        <w:rPr>
          <w:noProof/>
          <w:szCs w:val="20"/>
          <w:lang w:val="cs-CZ"/>
        </w:rPr>
      </w:pPr>
    </w:p>
    <w:p w:rsidR="003B6E11" w:rsidRPr="003B6E11" w:rsidRDefault="003B6E11" w:rsidP="003B6E11">
      <w:pPr>
        <w:spacing w:line="240" w:lineRule="atLeast"/>
        <w:ind w:left="709" w:hanging="709"/>
        <w:rPr>
          <w:noProof/>
          <w:szCs w:val="20"/>
          <w:lang w:val="cs-CZ"/>
        </w:rPr>
      </w:pPr>
      <w:r w:rsidRPr="003B6E11">
        <w:rPr>
          <w:lang w:val="cs-CZ"/>
        </w:rPr>
        <w:t>3.2.1</w:t>
      </w:r>
      <w:r w:rsidRPr="003B6E11">
        <w:rPr>
          <w:lang w:val="cs-CZ"/>
        </w:rPr>
        <w:tab/>
        <w:t xml:space="preserve">zajistit, aby existovaly postupy účinného řízení kvality výrobku; </w:t>
      </w:r>
    </w:p>
    <w:p w:rsidR="003B6E11" w:rsidRPr="003B6E11" w:rsidRDefault="003B6E11" w:rsidP="003B6E11">
      <w:pPr>
        <w:spacing w:line="240" w:lineRule="atLeast"/>
        <w:ind w:left="709" w:hanging="709"/>
        <w:rPr>
          <w:noProof/>
          <w:szCs w:val="20"/>
          <w:lang w:val="cs-CZ"/>
        </w:rPr>
      </w:pPr>
    </w:p>
    <w:p w:rsidR="003B6E11" w:rsidRPr="003B6E11" w:rsidRDefault="003B6E11" w:rsidP="003B6E11">
      <w:pPr>
        <w:spacing w:line="240" w:lineRule="atLeast"/>
        <w:ind w:left="709" w:hanging="709"/>
        <w:rPr>
          <w:noProof/>
          <w:szCs w:val="20"/>
          <w:lang w:val="cs-CZ"/>
        </w:rPr>
      </w:pPr>
      <w:r w:rsidRPr="003B6E11">
        <w:rPr>
          <w:lang w:val="cs-CZ"/>
        </w:rPr>
        <w:t>3.2.2</w:t>
      </w:r>
      <w:r w:rsidRPr="003B6E11">
        <w:rPr>
          <w:lang w:val="cs-CZ"/>
        </w:rPr>
        <w:tab/>
        <w:t xml:space="preserve">mít přístup ke zkušebnímu zařízení potřebnému ke kontrole shody s každým schváleným typem; </w:t>
      </w:r>
    </w:p>
    <w:p w:rsidR="003B6E11" w:rsidRPr="003B6E11" w:rsidRDefault="003B6E11" w:rsidP="003B6E11">
      <w:pPr>
        <w:ind w:left="850" w:hanging="850"/>
        <w:rPr>
          <w:noProof/>
          <w:szCs w:val="20"/>
          <w:lang w:val="cs-CZ"/>
        </w:rPr>
      </w:pPr>
    </w:p>
    <w:p w:rsidR="003B6E11" w:rsidRPr="003B6E11" w:rsidRDefault="003B6E11" w:rsidP="003B6E11">
      <w:pPr>
        <w:spacing w:line="240" w:lineRule="atLeast"/>
        <w:ind w:left="709" w:hanging="709"/>
        <w:rPr>
          <w:noProof/>
          <w:szCs w:val="20"/>
          <w:lang w:val="cs-CZ"/>
        </w:rPr>
      </w:pPr>
      <w:r w:rsidRPr="003B6E11">
        <w:rPr>
          <w:lang w:val="cs-CZ"/>
        </w:rPr>
        <w:t>3.2.3</w:t>
      </w:r>
      <w:r w:rsidRPr="003B6E11">
        <w:rPr>
          <w:lang w:val="cs-CZ"/>
        </w:rPr>
        <w:tab/>
        <w:t xml:space="preserve">zajistit zaznamenání výsledků zkoušek a zpřístupnění těchto záznamů a příslušné dokumentace po dobu sjednanou s příslušným orgánem; </w:t>
      </w:r>
    </w:p>
    <w:p w:rsidR="003B6E11" w:rsidRPr="003B6E11" w:rsidRDefault="003B6E11" w:rsidP="003B6E11">
      <w:pPr>
        <w:spacing w:line="240" w:lineRule="atLeast"/>
        <w:ind w:left="709" w:hanging="709"/>
        <w:rPr>
          <w:noProof/>
          <w:szCs w:val="20"/>
          <w:lang w:val="cs-CZ"/>
        </w:rPr>
      </w:pPr>
    </w:p>
    <w:p w:rsidR="003B6E11" w:rsidRPr="003B6E11" w:rsidRDefault="003B6E11" w:rsidP="003B6E11">
      <w:pPr>
        <w:spacing w:line="240" w:lineRule="atLeast"/>
        <w:ind w:left="709" w:hanging="709"/>
        <w:rPr>
          <w:noProof/>
          <w:szCs w:val="20"/>
          <w:lang w:val="cs-CZ"/>
        </w:rPr>
      </w:pPr>
      <w:r w:rsidRPr="003B6E11">
        <w:rPr>
          <w:lang w:val="cs-CZ"/>
        </w:rPr>
        <w:t>3.2.4</w:t>
      </w:r>
      <w:r w:rsidRPr="003B6E11">
        <w:rPr>
          <w:lang w:val="cs-CZ"/>
        </w:rPr>
        <w:tab/>
        <w:t xml:space="preserve">podrobně analyzovat výsledky každého druhu zkoušek s cílem ověřit a zajistit stálost vlastností palubní čistírny odpadních vod s přihlédnutím k běžným odchylkám v sériové výrobě; </w:t>
      </w:r>
    </w:p>
    <w:p w:rsidR="003B6E11" w:rsidRPr="003B6E11" w:rsidRDefault="003B6E11" w:rsidP="003B6E11">
      <w:pPr>
        <w:spacing w:line="240" w:lineRule="atLeast"/>
        <w:ind w:left="709" w:hanging="709"/>
        <w:rPr>
          <w:noProof/>
          <w:szCs w:val="20"/>
          <w:lang w:val="cs-CZ"/>
        </w:rPr>
      </w:pPr>
    </w:p>
    <w:p w:rsidR="003B6E11" w:rsidRPr="003B6E11" w:rsidRDefault="003B6E11" w:rsidP="003B6E11">
      <w:pPr>
        <w:spacing w:line="240" w:lineRule="atLeast"/>
        <w:ind w:left="709" w:hanging="709"/>
        <w:rPr>
          <w:noProof/>
          <w:szCs w:val="20"/>
          <w:lang w:val="cs-CZ"/>
        </w:rPr>
      </w:pPr>
      <w:r w:rsidRPr="003B6E11">
        <w:rPr>
          <w:lang w:val="cs-CZ"/>
        </w:rPr>
        <w:t>3.2.5</w:t>
      </w:r>
      <w:r w:rsidRPr="003B6E11">
        <w:rPr>
          <w:lang w:val="cs-CZ"/>
        </w:rPr>
        <w:tab/>
        <w:t>zajistit, aby zjištění, že vzorky z palubních čistíren odpadních vod nebo zkušební vzorky vykazují v daném typu zkoušky zjevnou neshodnost, vedlo k dalšímu odběru vzorků a dalším zkouškám, přičemž jsou přijata všechna nezbytná opatření k obnovení shodnosti výroby.</w:t>
      </w:r>
    </w:p>
    <w:p w:rsidR="003B6E11" w:rsidRPr="003B6E11" w:rsidRDefault="003B6E11" w:rsidP="003B6E11">
      <w:pPr>
        <w:spacing w:line="240" w:lineRule="atLeast"/>
        <w:ind w:left="709" w:hanging="709"/>
        <w:rPr>
          <w:noProof/>
          <w:szCs w:val="20"/>
          <w:lang w:val="cs-CZ"/>
        </w:rPr>
      </w:pPr>
    </w:p>
    <w:p w:rsidR="003B6E11" w:rsidRPr="003B6E11" w:rsidRDefault="003B6E11" w:rsidP="003B6E11">
      <w:pPr>
        <w:spacing w:line="240" w:lineRule="atLeast"/>
        <w:ind w:left="709" w:hanging="709"/>
        <w:rPr>
          <w:noProof/>
          <w:szCs w:val="20"/>
          <w:lang w:val="cs-CZ"/>
        </w:rPr>
      </w:pPr>
      <w:r w:rsidRPr="003B6E11">
        <w:rPr>
          <w:lang w:val="cs-CZ"/>
        </w:rPr>
        <w:t>3.3</w:t>
      </w:r>
      <w:r w:rsidRPr="003B6E11">
        <w:rPr>
          <w:lang w:val="cs-CZ"/>
        </w:rPr>
        <w:tab/>
        <w:t>Příslušný orgán, který udělil schválení typu, může kdykoli ověřit metody kontroly shodnosti používané v jednotlivých výrobních závodech.</w:t>
      </w:r>
    </w:p>
    <w:p w:rsidR="003B6E11" w:rsidRPr="003B6E11" w:rsidRDefault="003B6E11" w:rsidP="003B6E11">
      <w:pPr>
        <w:spacing w:line="240" w:lineRule="atLeast"/>
        <w:ind w:left="709" w:hanging="709"/>
        <w:rPr>
          <w:noProof/>
          <w:szCs w:val="20"/>
          <w:lang w:val="cs-CZ"/>
        </w:rPr>
      </w:pPr>
    </w:p>
    <w:p w:rsidR="003B6E11" w:rsidRPr="003B6E11" w:rsidRDefault="003B6E11" w:rsidP="003B6E11">
      <w:pPr>
        <w:spacing w:line="240" w:lineRule="atLeast"/>
        <w:ind w:left="709" w:hanging="709"/>
        <w:rPr>
          <w:noProof/>
          <w:szCs w:val="20"/>
          <w:lang w:val="cs-CZ"/>
        </w:rPr>
      </w:pPr>
      <w:r w:rsidRPr="003B6E11">
        <w:rPr>
          <w:lang w:val="cs-CZ"/>
        </w:rPr>
        <w:t>3.3.1</w:t>
      </w:r>
      <w:r w:rsidRPr="003B6E11">
        <w:rPr>
          <w:lang w:val="cs-CZ"/>
        </w:rPr>
        <w:tab/>
        <w:t>Osoba provádějící zkoušky musí mít při každé zkoušce k dispozici zkušební a výrobní dokumentaci.</w:t>
      </w:r>
    </w:p>
    <w:p w:rsidR="003B6E11" w:rsidRPr="003B6E11" w:rsidRDefault="003B6E11" w:rsidP="003B6E11">
      <w:pPr>
        <w:spacing w:line="240" w:lineRule="atLeast"/>
        <w:ind w:left="709" w:hanging="709"/>
        <w:rPr>
          <w:noProof/>
          <w:szCs w:val="20"/>
          <w:lang w:val="cs-CZ"/>
        </w:rPr>
      </w:pPr>
    </w:p>
    <w:p w:rsidR="003B6E11" w:rsidRPr="003B6E11" w:rsidRDefault="003B6E11" w:rsidP="003B6E11">
      <w:pPr>
        <w:spacing w:line="240" w:lineRule="atLeast"/>
        <w:ind w:left="709" w:hanging="709"/>
        <w:rPr>
          <w:noProof/>
          <w:szCs w:val="20"/>
          <w:lang w:val="cs-CZ"/>
        </w:rPr>
      </w:pPr>
      <w:r w:rsidRPr="003B6E11">
        <w:rPr>
          <w:lang w:val="cs-CZ"/>
        </w:rPr>
        <w:t>3.3.2</w:t>
      </w:r>
      <w:r w:rsidRPr="003B6E11">
        <w:rPr>
          <w:lang w:val="cs-CZ"/>
        </w:rPr>
        <w:tab/>
        <w:t>Pokud se kvalita zkoušek jeví jako neuspokojivá, použije se následující postup:</w:t>
      </w:r>
    </w:p>
    <w:p w:rsidR="003B6E11" w:rsidRPr="003B6E11" w:rsidRDefault="003B6E11" w:rsidP="003B6E11">
      <w:pPr>
        <w:spacing w:line="240" w:lineRule="atLeast"/>
        <w:ind w:left="709" w:hanging="709"/>
        <w:rPr>
          <w:noProof/>
          <w:szCs w:val="20"/>
          <w:lang w:val="cs-CZ"/>
        </w:rPr>
      </w:pPr>
    </w:p>
    <w:p w:rsidR="003B6E11" w:rsidRPr="003B6E11" w:rsidRDefault="003B6E11" w:rsidP="003B6E11">
      <w:pPr>
        <w:spacing w:line="240" w:lineRule="atLeast"/>
        <w:ind w:left="709" w:hanging="709"/>
        <w:rPr>
          <w:noProof/>
          <w:szCs w:val="20"/>
          <w:lang w:val="cs-CZ"/>
        </w:rPr>
      </w:pPr>
      <w:r w:rsidRPr="003B6E11">
        <w:rPr>
          <w:lang w:val="cs-CZ"/>
        </w:rPr>
        <w:t>3.3.2.1</w:t>
      </w:r>
      <w:r w:rsidRPr="003B6E11">
        <w:rPr>
          <w:lang w:val="cs-CZ"/>
        </w:rPr>
        <w:tab/>
        <w:t>z výrobní série se vybere jedna palubní čistírna odpadních vod a provede se u ní zkouška měřením náhodného vzorku v podmínkách obvyklého zatížení podle oddílu IX po jednom dni provozu. Čištěné odpadní vody nesmějí podle zkušebních metod uvedených v oddíle IX přesáhnout hodnoty stanovené v čl. 18.01 odst. 2 tabulce 2.</w:t>
      </w:r>
    </w:p>
    <w:p w:rsidR="003B6E11" w:rsidRPr="003B6E11" w:rsidRDefault="003B6E11" w:rsidP="003B6E11">
      <w:pPr>
        <w:tabs>
          <w:tab w:val="left" w:pos="709"/>
          <w:tab w:val="left" w:pos="851"/>
        </w:tabs>
        <w:suppressAutoHyphens/>
        <w:spacing w:line="240" w:lineRule="atLeast"/>
        <w:ind w:left="709" w:hanging="709"/>
        <w:rPr>
          <w:noProof/>
          <w:szCs w:val="20"/>
          <w:lang w:val="cs-CZ"/>
        </w:rPr>
      </w:pPr>
    </w:p>
    <w:p w:rsidR="003B6E11" w:rsidRPr="003B6E11" w:rsidRDefault="003B6E11" w:rsidP="003B6E11">
      <w:pPr>
        <w:tabs>
          <w:tab w:val="left" w:pos="709"/>
          <w:tab w:val="left" w:pos="851"/>
        </w:tabs>
        <w:suppressAutoHyphens/>
        <w:spacing w:line="240" w:lineRule="atLeast"/>
        <w:ind w:left="709" w:hanging="709"/>
        <w:rPr>
          <w:noProof/>
          <w:szCs w:val="20"/>
          <w:lang w:val="cs-CZ"/>
        </w:rPr>
      </w:pPr>
      <w:r w:rsidRPr="003B6E11">
        <w:rPr>
          <w:lang w:val="cs-CZ"/>
        </w:rPr>
        <w:br w:type="page"/>
      </w:r>
    </w:p>
    <w:p w:rsidR="003B6E11" w:rsidRPr="003B6E11" w:rsidRDefault="003B6E11" w:rsidP="003B6E11">
      <w:pPr>
        <w:tabs>
          <w:tab w:val="left" w:pos="709"/>
          <w:tab w:val="left" w:pos="851"/>
        </w:tabs>
        <w:suppressAutoHyphens/>
        <w:spacing w:line="240" w:lineRule="atLeast"/>
        <w:ind w:left="709" w:hanging="709"/>
        <w:rPr>
          <w:noProof/>
          <w:szCs w:val="20"/>
          <w:lang w:val="cs-CZ"/>
        </w:rPr>
      </w:pPr>
      <w:r w:rsidRPr="003B6E11">
        <w:rPr>
          <w:lang w:val="cs-CZ"/>
        </w:rPr>
        <w:t>3.3.2.2</w:t>
      </w:r>
      <w:r w:rsidRPr="003B6E11">
        <w:rPr>
          <w:lang w:val="cs-CZ"/>
        </w:rPr>
        <w:tab/>
        <w:t xml:space="preserve">pokud některá palubní čistírna odpadních vod z výrobní série nesplní požadavky uvedené v bodě 3.3.2.1, může výrobce požádat, aby bylo na určitém počtu palubních čistíren odpadních vod téže specifikace z dané výrobní série provedeno měření náhodných vzorků. Součástí tohoto nového vzorku musí být původně vybraná palubní čistírna odpadních vod. </w:t>
      </w:r>
    </w:p>
    <w:p w:rsidR="003B6E11" w:rsidRPr="003B6E11" w:rsidRDefault="003B6E11" w:rsidP="003B6E11">
      <w:pPr>
        <w:tabs>
          <w:tab w:val="left" w:pos="709"/>
          <w:tab w:val="left" w:pos="851"/>
        </w:tabs>
        <w:suppressAutoHyphens/>
        <w:spacing w:line="240" w:lineRule="atLeast"/>
        <w:ind w:left="709" w:hanging="709"/>
        <w:rPr>
          <w:noProof/>
          <w:szCs w:val="20"/>
          <w:lang w:val="cs-CZ"/>
        </w:rPr>
      </w:pPr>
    </w:p>
    <w:p w:rsidR="003B6E11" w:rsidRPr="003B6E11" w:rsidRDefault="003B6E11" w:rsidP="003B6E11">
      <w:pPr>
        <w:tabs>
          <w:tab w:val="left" w:pos="709"/>
        </w:tabs>
        <w:suppressAutoHyphens/>
        <w:spacing w:line="240" w:lineRule="atLeast"/>
        <w:ind w:left="709"/>
        <w:rPr>
          <w:noProof/>
          <w:szCs w:val="20"/>
          <w:lang w:val="cs-CZ"/>
        </w:rPr>
      </w:pPr>
      <w:r w:rsidRPr="003B6E11">
        <w:rPr>
          <w:lang w:val="cs-CZ"/>
        </w:rPr>
        <w:t xml:space="preserve">Po konzultaci s příslušným orgánem určí výrobce rozsah výrobní série </w:t>
      </w:r>
      <m:oMath>
        <m:r>
          <w:rPr>
            <w:rFonts w:ascii="Cambria Math" w:hAnsi="Cambria Math"/>
            <w:noProof/>
            <w:szCs w:val="20"/>
            <w:lang w:val="cs-CZ"/>
          </w:rPr>
          <m:t>'n'</m:t>
        </m:r>
      </m:oMath>
      <w:r w:rsidRPr="003B6E11">
        <w:rPr>
          <w:lang w:val="cs-CZ"/>
        </w:rPr>
        <w:t xml:space="preserve">. Palubní čistírny odpadních vod absolvují zkoušku měřením náhodného vzorku s výjimkou původně vybrané čistírny. Poté musí být určen aritmetický průměr </w:t>
      </w:r>
      <m:oMath>
        <m:r>
          <w:rPr>
            <w:rFonts w:ascii="Cambria Math" w:hAnsi="Cambria Math"/>
            <w:noProof/>
            <w:szCs w:val="20"/>
            <w:lang w:val="cs-CZ"/>
          </w:rPr>
          <m:t>(</m:t>
        </m:r>
        <m:acc>
          <m:accPr>
            <m:chr m:val="̅"/>
            <m:ctrlPr>
              <w:rPr>
                <w:rFonts w:ascii="Cambria Math" w:hAnsi="Cambria Math"/>
                <w:i/>
                <w:noProof/>
                <w:szCs w:val="20"/>
                <w:lang w:val="cs-CZ"/>
              </w:rPr>
            </m:ctrlPr>
          </m:accPr>
          <m:e>
            <m:r>
              <w:rPr>
                <w:rFonts w:ascii="Cambria Math" w:hAnsi="Cambria Math"/>
                <w:noProof/>
                <w:szCs w:val="20"/>
                <w:lang w:val="cs-CZ"/>
              </w:rPr>
              <m:t>x</m:t>
            </m:r>
          </m:e>
        </m:acc>
        <m:r>
          <w:rPr>
            <w:rFonts w:ascii="Cambria Math" w:hAnsi="Cambria Math"/>
            <w:noProof/>
            <w:szCs w:val="20"/>
            <w:lang w:val="cs-CZ"/>
          </w:rPr>
          <m:t>)</m:t>
        </m:r>
      </m:oMath>
      <w:r w:rsidRPr="003B6E11">
        <w:rPr>
          <w:lang w:val="cs-CZ"/>
        </w:rPr>
        <w:t xml:space="preserve"> výsledků získaných na základě náhodného vzorku palubních čistíren odpadních vod. Výroba v rámci dané série splňuje požadavky, pokud je splněna tato podmínka:</w:t>
      </w:r>
    </w:p>
    <w:p w:rsidR="003B6E11" w:rsidRPr="003B6E11" w:rsidRDefault="003B6E11" w:rsidP="003B6E11">
      <w:pPr>
        <w:suppressAutoHyphens/>
        <w:spacing w:line="240" w:lineRule="atLeast"/>
        <w:rPr>
          <w:noProof/>
          <w:szCs w:val="20"/>
          <w:lang w:val="cs-CZ"/>
        </w:rPr>
      </w:pPr>
    </w:p>
    <w:p w:rsidR="003B6E11" w:rsidRPr="003B6E11" w:rsidRDefault="002D015D" w:rsidP="003B6E11">
      <w:pPr>
        <w:suppressAutoHyphens/>
        <w:spacing w:line="240" w:lineRule="atLeast"/>
        <w:rPr>
          <w:noProof/>
          <w:szCs w:val="20"/>
          <w:lang w:val="cs-CZ"/>
        </w:rPr>
      </w:pPr>
      <m:oMathPara>
        <m:oMath>
          <m:acc>
            <m:accPr>
              <m:chr m:val="̅"/>
              <m:ctrlPr>
                <w:rPr>
                  <w:rFonts w:ascii="Cambria Math" w:hAnsi="Cambria Math"/>
                  <w:i/>
                  <w:noProof/>
                  <w:szCs w:val="20"/>
                  <w:lang w:val="cs-CZ"/>
                </w:rPr>
              </m:ctrlPr>
            </m:accPr>
            <m:e>
              <m:r>
                <w:rPr>
                  <w:rFonts w:ascii="Cambria Math" w:hAnsi="Cambria Math"/>
                  <w:noProof/>
                  <w:szCs w:val="20"/>
                  <w:lang w:val="cs-CZ"/>
                </w:rPr>
                <m:t>x</m:t>
              </m:r>
            </m:e>
          </m:acc>
          <m:r>
            <w:rPr>
              <w:rFonts w:ascii="Cambria Math" w:hAnsi="Cambria Math"/>
              <w:noProof/>
              <w:szCs w:val="20"/>
              <w:lang w:val="cs-CZ"/>
            </w:rPr>
            <m:t xml:space="preserve">+k ∙  </m:t>
          </m:r>
          <m:sSub>
            <m:sSubPr>
              <m:ctrlPr>
                <w:rPr>
                  <w:rFonts w:ascii="Cambria Math" w:hAnsi="Cambria Math"/>
                  <w:i/>
                  <w:noProof/>
                  <w:szCs w:val="20"/>
                  <w:lang w:val="cs-CZ"/>
                </w:rPr>
              </m:ctrlPr>
            </m:sSubPr>
            <m:e>
              <m:r>
                <w:rPr>
                  <w:rFonts w:ascii="Cambria Math" w:hAnsi="Cambria Math"/>
                  <w:noProof/>
                  <w:szCs w:val="20"/>
                  <w:lang w:val="cs-CZ"/>
                </w:rPr>
                <m:t>S</m:t>
              </m:r>
            </m:e>
            <m:sub>
              <m:r>
                <w:rPr>
                  <w:rFonts w:ascii="Cambria Math" w:hAnsi="Cambria Math"/>
                  <w:noProof/>
                  <w:szCs w:val="20"/>
                  <w:lang w:val="cs-CZ"/>
                </w:rPr>
                <m:t>t</m:t>
              </m:r>
            </m:sub>
          </m:sSub>
          <m:r>
            <w:rPr>
              <w:rFonts w:ascii="Cambria Math" w:hAnsi="Cambria Math"/>
              <w:noProof/>
              <w:szCs w:val="20"/>
              <w:lang w:val="cs-CZ"/>
            </w:rPr>
            <m:t xml:space="preserve"> ≤L</m:t>
          </m:r>
        </m:oMath>
      </m:oMathPara>
    </w:p>
    <w:p w:rsidR="003B6E11" w:rsidRPr="003B6E11" w:rsidRDefault="003B6E11" w:rsidP="003B6E11">
      <w:pPr>
        <w:tabs>
          <w:tab w:val="left" w:pos="709"/>
        </w:tabs>
        <w:suppressAutoHyphens/>
        <w:overflowPunct w:val="0"/>
        <w:spacing w:line="240" w:lineRule="atLeast"/>
        <w:ind w:left="709"/>
        <w:textAlignment w:val="baseline"/>
        <w:rPr>
          <w:rFonts w:cs="Arial"/>
          <w:szCs w:val="20"/>
          <w:lang w:val="cs-CZ"/>
        </w:rPr>
      </w:pPr>
    </w:p>
    <w:p w:rsidR="003B6E11" w:rsidRPr="003B6E11" w:rsidRDefault="003B6E11" w:rsidP="003B6E11">
      <w:pPr>
        <w:tabs>
          <w:tab w:val="left" w:pos="709"/>
        </w:tabs>
        <w:suppressAutoHyphens/>
        <w:overflowPunct w:val="0"/>
        <w:spacing w:line="240" w:lineRule="atLeast"/>
        <w:ind w:left="709"/>
        <w:textAlignment w:val="baseline"/>
        <w:rPr>
          <w:rFonts w:cs="Arial"/>
          <w:szCs w:val="20"/>
          <w:lang w:val="cs-CZ"/>
        </w:rPr>
      </w:pPr>
      <w:r w:rsidRPr="003B6E11">
        <w:rPr>
          <w:lang w:val="cs-CZ"/>
        </w:rPr>
        <w:t>Kde:</w:t>
      </w:r>
    </w:p>
    <w:p w:rsidR="003B6E11" w:rsidRPr="003B6E11" w:rsidRDefault="003B6E11" w:rsidP="003B6E11">
      <w:pPr>
        <w:tabs>
          <w:tab w:val="left" w:pos="709"/>
          <w:tab w:val="left" w:pos="851"/>
        </w:tabs>
        <w:suppressAutoHyphens/>
        <w:spacing w:line="240" w:lineRule="atLeast"/>
        <w:ind w:left="709" w:hanging="709"/>
        <w:rPr>
          <w:rFonts w:cs="Arial"/>
          <w:szCs w:val="20"/>
          <w:lang w:val="cs-CZ"/>
        </w:rPr>
      </w:pPr>
      <w:r w:rsidRPr="003B6E11">
        <w:rPr>
          <w:lang w:val="cs-CZ"/>
        </w:rPr>
        <w:tab/>
      </w:r>
      <m:oMath>
        <m:r>
          <w:rPr>
            <w:rFonts w:ascii="Cambria Math" w:hAnsi="Cambria Math" w:cs="Arial"/>
            <w:szCs w:val="20"/>
            <w:lang w:val="cs-CZ"/>
          </w:rPr>
          <m:t>k</m:t>
        </m:r>
      </m:oMath>
      <w:r w:rsidRPr="003B6E11">
        <w:rPr>
          <w:lang w:val="cs-CZ"/>
        </w:rPr>
        <w:t>:</w:t>
      </w:r>
      <w:r w:rsidRPr="003B6E11">
        <w:rPr>
          <w:lang w:val="cs-CZ"/>
        </w:rPr>
        <w:tab/>
        <w:t xml:space="preserve">je statistický faktor závisející na </w:t>
      </w:r>
      <m:oMath>
        <m:r>
          <w:rPr>
            <w:rFonts w:ascii="Cambria Math" w:hAnsi="Cambria Math"/>
            <w:noProof/>
            <w:szCs w:val="20"/>
            <w:lang w:val="cs-CZ"/>
          </w:rPr>
          <m:t>'n'</m:t>
        </m:r>
      </m:oMath>
      <w:r w:rsidRPr="003B6E11">
        <w:rPr>
          <w:lang w:val="cs-CZ"/>
        </w:rPr>
        <w:t xml:space="preserve"> a daný následující tabulkou:</w:t>
      </w:r>
    </w:p>
    <w:p w:rsidR="003B6E11" w:rsidRPr="003B6E11" w:rsidRDefault="003B6E11" w:rsidP="003B6E11">
      <w:pPr>
        <w:tabs>
          <w:tab w:val="left" w:pos="709"/>
          <w:tab w:val="left" w:pos="851"/>
        </w:tabs>
        <w:suppressAutoHyphens/>
        <w:spacing w:line="240" w:lineRule="atLeast"/>
        <w:ind w:left="709" w:hanging="709"/>
        <w:rPr>
          <w:rFonts w:cs="Arial"/>
          <w:szCs w:val="20"/>
          <w:lang w:val="cs-CZ"/>
        </w:rPr>
      </w:pPr>
    </w:p>
    <w:tbl>
      <w:tblPr>
        <w:tblW w:w="0" w:type="auto"/>
        <w:jc w:val="center"/>
        <w:tblLayout w:type="fixed"/>
        <w:tblCellMar>
          <w:left w:w="70" w:type="dxa"/>
          <w:right w:w="70" w:type="dxa"/>
        </w:tblCellMar>
        <w:tblLook w:val="0000" w:firstRow="0" w:lastRow="0" w:firstColumn="0" w:lastColumn="0" w:noHBand="0" w:noVBand="0"/>
      </w:tblPr>
      <w:tblGrid>
        <w:gridCol w:w="709"/>
        <w:gridCol w:w="850"/>
        <w:gridCol w:w="851"/>
        <w:gridCol w:w="850"/>
        <w:gridCol w:w="851"/>
        <w:gridCol w:w="850"/>
        <w:gridCol w:w="851"/>
        <w:gridCol w:w="850"/>
        <w:gridCol w:w="851"/>
        <w:gridCol w:w="975"/>
      </w:tblGrid>
      <w:tr w:rsidR="003B6E11" w:rsidRPr="003B6E11" w:rsidTr="002D015D">
        <w:trPr>
          <w:jc w:val="center"/>
        </w:trPr>
        <w:tc>
          <w:tcPr>
            <w:tcW w:w="709"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m:oMathPara>
              <m:oMath>
                <m:r>
                  <w:rPr>
                    <w:rFonts w:ascii="Cambria Math" w:hAnsi="Cambria Math"/>
                    <w:noProof/>
                    <w:szCs w:val="20"/>
                    <w:lang w:val="cs-CZ"/>
                  </w:rPr>
                  <m:t>n</m:t>
                </m:r>
              </m:oMath>
            </m:oMathPara>
          </w:p>
        </w:tc>
        <w:tc>
          <w:tcPr>
            <w:tcW w:w="850"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2</w:t>
            </w:r>
          </w:p>
        </w:tc>
        <w:tc>
          <w:tcPr>
            <w:tcW w:w="851"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3</w:t>
            </w:r>
          </w:p>
        </w:tc>
        <w:tc>
          <w:tcPr>
            <w:tcW w:w="850"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4</w:t>
            </w:r>
          </w:p>
        </w:tc>
        <w:tc>
          <w:tcPr>
            <w:tcW w:w="851"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5</w:t>
            </w:r>
          </w:p>
        </w:tc>
        <w:tc>
          <w:tcPr>
            <w:tcW w:w="850"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6</w:t>
            </w:r>
          </w:p>
        </w:tc>
        <w:tc>
          <w:tcPr>
            <w:tcW w:w="851"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7</w:t>
            </w:r>
          </w:p>
        </w:tc>
        <w:tc>
          <w:tcPr>
            <w:tcW w:w="850"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8</w:t>
            </w:r>
          </w:p>
        </w:tc>
        <w:tc>
          <w:tcPr>
            <w:tcW w:w="851"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9</w:t>
            </w:r>
          </w:p>
        </w:tc>
        <w:tc>
          <w:tcPr>
            <w:tcW w:w="975" w:type="dxa"/>
            <w:tcBorders>
              <w:top w:val="single" w:sz="4" w:space="0" w:color="000000"/>
              <w:left w:val="single" w:sz="4" w:space="0" w:color="000000"/>
              <w:bottom w:val="single" w:sz="4" w:space="0" w:color="000000"/>
              <w:right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10</w:t>
            </w:r>
          </w:p>
        </w:tc>
      </w:tr>
      <w:tr w:rsidR="003B6E11" w:rsidRPr="003B6E11" w:rsidTr="002D015D">
        <w:trPr>
          <w:jc w:val="center"/>
        </w:trPr>
        <w:tc>
          <w:tcPr>
            <w:tcW w:w="709" w:type="dxa"/>
            <w:tcBorders>
              <w:top w:val="single" w:sz="4" w:space="0" w:color="000000"/>
              <w:left w:val="single" w:sz="4" w:space="0" w:color="000000"/>
              <w:bottom w:val="double" w:sz="4" w:space="0" w:color="auto"/>
              <w:right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m:oMathPara>
              <m:oMath>
                <m:r>
                  <w:rPr>
                    <w:rFonts w:ascii="Cambria Math" w:hAnsi="Cambria Math" w:cs="Arial"/>
                    <w:szCs w:val="20"/>
                    <w:lang w:val="cs-CZ"/>
                  </w:rPr>
                  <m:t>k</m:t>
                </m:r>
              </m:oMath>
            </m:oMathPara>
          </w:p>
        </w:tc>
        <w:tc>
          <w:tcPr>
            <w:tcW w:w="850" w:type="dxa"/>
            <w:tcBorders>
              <w:top w:val="single" w:sz="4" w:space="0" w:color="000000"/>
              <w:left w:val="single" w:sz="4" w:space="0" w:color="000000"/>
              <w:bottom w:val="double" w:sz="4" w:space="0" w:color="auto"/>
              <w:right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0,973</w:t>
            </w:r>
          </w:p>
        </w:tc>
        <w:tc>
          <w:tcPr>
            <w:tcW w:w="851" w:type="dxa"/>
            <w:tcBorders>
              <w:top w:val="single" w:sz="4" w:space="0" w:color="000000"/>
              <w:left w:val="single" w:sz="4" w:space="0" w:color="000000"/>
              <w:bottom w:val="double" w:sz="4" w:space="0" w:color="auto"/>
              <w:right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0,613</w:t>
            </w:r>
          </w:p>
        </w:tc>
        <w:tc>
          <w:tcPr>
            <w:tcW w:w="850" w:type="dxa"/>
            <w:tcBorders>
              <w:top w:val="single" w:sz="4" w:space="0" w:color="000000"/>
              <w:left w:val="single" w:sz="4" w:space="0" w:color="000000"/>
              <w:bottom w:val="double" w:sz="4" w:space="0" w:color="auto"/>
              <w:right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0,489</w:t>
            </w:r>
          </w:p>
        </w:tc>
        <w:tc>
          <w:tcPr>
            <w:tcW w:w="851" w:type="dxa"/>
            <w:tcBorders>
              <w:top w:val="single" w:sz="4" w:space="0" w:color="000000"/>
              <w:left w:val="single" w:sz="4" w:space="0" w:color="000000"/>
              <w:bottom w:val="double" w:sz="4" w:space="0" w:color="auto"/>
              <w:right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0,421</w:t>
            </w:r>
          </w:p>
        </w:tc>
        <w:tc>
          <w:tcPr>
            <w:tcW w:w="850" w:type="dxa"/>
            <w:tcBorders>
              <w:top w:val="single" w:sz="4" w:space="0" w:color="000000"/>
              <w:left w:val="single" w:sz="4" w:space="0" w:color="000000"/>
              <w:bottom w:val="double" w:sz="4" w:space="0" w:color="auto"/>
              <w:right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0,376</w:t>
            </w:r>
          </w:p>
        </w:tc>
        <w:tc>
          <w:tcPr>
            <w:tcW w:w="851" w:type="dxa"/>
            <w:tcBorders>
              <w:top w:val="single" w:sz="4" w:space="0" w:color="000000"/>
              <w:left w:val="single" w:sz="4" w:space="0" w:color="000000"/>
              <w:bottom w:val="double" w:sz="4" w:space="0" w:color="auto"/>
              <w:right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0,342</w:t>
            </w:r>
          </w:p>
        </w:tc>
        <w:tc>
          <w:tcPr>
            <w:tcW w:w="850" w:type="dxa"/>
            <w:tcBorders>
              <w:top w:val="single" w:sz="4" w:space="0" w:color="000000"/>
              <w:left w:val="single" w:sz="4" w:space="0" w:color="000000"/>
              <w:bottom w:val="double" w:sz="4" w:space="0" w:color="auto"/>
              <w:right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0,317</w:t>
            </w:r>
          </w:p>
        </w:tc>
        <w:tc>
          <w:tcPr>
            <w:tcW w:w="851" w:type="dxa"/>
            <w:tcBorders>
              <w:top w:val="single" w:sz="4" w:space="0" w:color="000000"/>
              <w:left w:val="single" w:sz="4" w:space="0" w:color="000000"/>
              <w:bottom w:val="double" w:sz="4" w:space="0" w:color="auto"/>
              <w:right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0,296</w:t>
            </w:r>
          </w:p>
        </w:tc>
        <w:tc>
          <w:tcPr>
            <w:tcW w:w="975" w:type="dxa"/>
            <w:tcBorders>
              <w:top w:val="single" w:sz="4" w:space="0" w:color="000000"/>
              <w:left w:val="single" w:sz="4" w:space="0" w:color="000000"/>
              <w:bottom w:val="double" w:sz="4" w:space="0" w:color="auto"/>
              <w:right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0,279</w:t>
            </w:r>
          </w:p>
        </w:tc>
      </w:tr>
      <w:tr w:rsidR="003B6E11" w:rsidRPr="003B6E11" w:rsidTr="002D015D">
        <w:trPr>
          <w:jc w:val="center"/>
        </w:trPr>
        <w:tc>
          <w:tcPr>
            <w:tcW w:w="709" w:type="dxa"/>
            <w:tcBorders>
              <w:top w:val="double" w:sz="4" w:space="0" w:color="auto"/>
              <w:left w:val="single" w:sz="4" w:space="0" w:color="000000"/>
              <w:bottom w:val="single" w:sz="4" w:space="0" w:color="000000"/>
              <w:right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m:oMathPara>
              <m:oMath>
                <m:r>
                  <w:rPr>
                    <w:rFonts w:ascii="Cambria Math" w:hAnsi="Cambria Math"/>
                    <w:noProof/>
                    <w:szCs w:val="20"/>
                    <w:lang w:val="cs-CZ"/>
                  </w:rPr>
                  <m:t>n</m:t>
                </m:r>
              </m:oMath>
            </m:oMathPara>
          </w:p>
        </w:tc>
        <w:tc>
          <w:tcPr>
            <w:tcW w:w="850" w:type="dxa"/>
            <w:tcBorders>
              <w:top w:val="double" w:sz="4" w:space="0" w:color="auto"/>
              <w:left w:val="single" w:sz="4" w:space="0" w:color="000000"/>
              <w:bottom w:val="single" w:sz="4" w:space="0" w:color="000000"/>
              <w:right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11</w:t>
            </w:r>
          </w:p>
        </w:tc>
        <w:tc>
          <w:tcPr>
            <w:tcW w:w="851" w:type="dxa"/>
            <w:tcBorders>
              <w:top w:val="double" w:sz="4" w:space="0" w:color="auto"/>
              <w:left w:val="single" w:sz="4" w:space="0" w:color="000000"/>
              <w:bottom w:val="single" w:sz="4" w:space="0" w:color="000000"/>
              <w:right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12</w:t>
            </w:r>
          </w:p>
        </w:tc>
        <w:tc>
          <w:tcPr>
            <w:tcW w:w="850" w:type="dxa"/>
            <w:tcBorders>
              <w:top w:val="double" w:sz="4" w:space="0" w:color="auto"/>
              <w:left w:val="single" w:sz="4" w:space="0" w:color="000000"/>
              <w:bottom w:val="single" w:sz="4" w:space="0" w:color="000000"/>
              <w:right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13</w:t>
            </w:r>
          </w:p>
        </w:tc>
        <w:tc>
          <w:tcPr>
            <w:tcW w:w="851" w:type="dxa"/>
            <w:tcBorders>
              <w:top w:val="double" w:sz="4" w:space="0" w:color="auto"/>
              <w:left w:val="single" w:sz="4" w:space="0" w:color="000000"/>
              <w:bottom w:val="single" w:sz="4" w:space="0" w:color="000000"/>
              <w:right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14</w:t>
            </w:r>
          </w:p>
        </w:tc>
        <w:tc>
          <w:tcPr>
            <w:tcW w:w="850" w:type="dxa"/>
            <w:tcBorders>
              <w:top w:val="double" w:sz="4" w:space="0" w:color="auto"/>
              <w:left w:val="single" w:sz="4" w:space="0" w:color="000000"/>
              <w:bottom w:val="single" w:sz="4" w:space="0" w:color="000000"/>
              <w:right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15</w:t>
            </w:r>
          </w:p>
        </w:tc>
        <w:tc>
          <w:tcPr>
            <w:tcW w:w="851" w:type="dxa"/>
            <w:tcBorders>
              <w:top w:val="double" w:sz="4" w:space="0" w:color="auto"/>
              <w:left w:val="single" w:sz="4" w:space="0" w:color="000000"/>
              <w:bottom w:val="single" w:sz="4" w:space="0" w:color="000000"/>
              <w:right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16</w:t>
            </w:r>
          </w:p>
        </w:tc>
        <w:tc>
          <w:tcPr>
            <w:tcW w:w="850" w:type="dxa"/>
            <w:tcBorders>
              <w:top w:val="double" w:sz="4" w:space="0" w:color="auto"/>
              <w:left w:val="single" w:sz="4" w:space="0" w:color="000000"/>
              <w:bottom w:val="single" w:sz="4" w:space="0" w:color="000000"/>
              <w:right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17</w:t>
            </w:r>
          </w:p>
        </w:tc>
        <w:tc>
          <w:tcPr>
            <w:tcW w:w="851" w:type="dxa"/>
            <w:tcBorders>
              <w:top w:val="double" w:sz="4" w:space="0" w:color="auto"/>
              <w:left w:val="single" w:sz="4" w:space="0" w:color="000000"/>
              <w:bottom w:val="single" w:sz="4" w:space="0" w:color="000000"/>
              <w:right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18</w:t>
            </w:r>
          </w:p>
        </w:tc>
        <w:tc>
          <w:tcPr>
            <w:tcW w:w="975" w:type="dxa"/>
            <w:tcBorders>
              <w:top w:val="double" w:sz="4" w:space="0" w:color="auto"/>
              <w:left w:val="single" w:sz="4" w:space="0" w:color="000000"/>
              <w:bottom w:val="single" w:sz="4" w:space="0" w:color="000000"/>
              <w:right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19</w:t>
            </w:r>
          </w:p>
        </w:tc>
      </w:tr>
      <w:tr w:rsidR="003B6E11" w:rsidRPr="003B6E11" w:rsidTr="002D015D">
        <w:trPr>
          <w:jc w:val="center"/>
        </w:trPr>
        <w:tc>
          <w:tcPr>
            <w:tcW w:w="709"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m:oMathPara>
              <m:oMath>
                <m:r>
                  <w:rPr>
                    <w:rFonts w:ascii="Cambria Math" w:hAnsi="Cambria Math" w:cs="Arial"/>
                    <w:szCs w:val="20"/>
                    <w:lang w:val="cs-CZ"/>
                  </w:rPr>
                  <m:t>k</m:t>
                </m:r>
              </m:oMath>
            </m:oMathPara>
          </w:p>
        </w:tc>
        <w:tc>
          <w:tcPr>
            <w:tcW w:w="850"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0,265</w:t>
            </w:r>
          </w:p>
        </w:tc>
        <w:tc>
          <w:tcPr>
            <w:tcW w:w="851"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0,253</w:t>
            </w:r>
          </w:p>
        </w:tc>
        <w:tc>
          <w:tcPr>
            <w:tcW w:w="850"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0,242</w:t>
            </w:r>
          </w:p>
        </w:tc>
        <w:tc>
          <w:tcPr>
            <w:tcW w:w="851"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0,233</w:t>
            </w:r>
          </w:p>
        </w:tc>
        <w:tc>
          <w:tcPr>
            <w:tcW w:w="850"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0,224</w:t>
            </w:r>
          </w:p>
        </w:tc>
        <w:tc>
          <w:tcPr>
            <w:tcW w:w="851"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0,216</w:t>
            </w:r>
          </w:p>
        </w:tc>
        <w:tc>
          <w:tcPr>
            <w:tcW w:w="850"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0,210</w:t>
            </w:r>
          </w:p>
        </w:tc>
        <w:tc>
          <w:tcPr>
            <w:tcW w:w="851"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0,203</w:t>
            </w:r>
          </w:p>
        </w:tc>
        <w:tc>
          <w:tcPr>
            <w:tcW w:w="975" w:type="dxa"/>
            <w:tcBorders>
              <w:top w:val="single" w:sz="4" w:space="0" w:color="000000"/>
              <w:left w:val="single" w:sz="4" w:space="0" w:color="000000"/>
              <w:bottom w:val="single" w:sz="4" w:space="0" w:color="000000"/>
              <w:right w:val="single" w:sz="4" w:space="0" w:color="000000"/>
            </w:tcBorders>
          </w:tcPr>
          <w:p w:rsidR="003B6E11" w:rsidRPr="003B6E11" w:rsidRDefault="003B6E11" w:rsidP="002D015D">
            <w:pPr>
              <w:suppressAutoHyphens/>
              <w:snapToGrid w:val="0"/>
              <w:spacing w:before="60" w:after="60" w:line="240" w:lineRule="atLeast"/>
              <w:jc w:val="center"/>
              <w:rPr>
                <w:rFonts w:cs="Arial"/>
                <w:sz w:val="18"/>
                <w:szCs w:val="20"/>
                <w:lang w:val="cs-CZ"/>
              </w:rPr>
            </w:pPr>
            <w:r w:rsidRPr="003B6E11">
              <w:rPr>
                <w:sz w:val="18"/>
                <w:lang w:val="cs-CZ"/>
              </w:rPr>
              <w:t>0,198</w:t>
            </w:r>
          </w:p>
        </w:tc>
      </w:tr>
    </w:tbl>
    <w:p w:rsidR="003B6E11" w:rsidRPr="003B6E11" w:rsidRDefault="003B6E11" w:rsidP="003B6E11">
      <w:pPr>
        <w:suppressAutoHyphens/>
        <w:spacing w:line="240" w:lineRule="atLeast"/>
        <w:ind w:left="851" w:hanging="851"/>
        <w:rPr>
          <w:rFonts w:cs="Arial"/>
          <w:szCs w:val="20"/>
          <w:lang w:val="cs-CZ"/>
        </w:rPr>
      </w:pPr>
    </w:p>
    <w:p w:rsidR="003B6E11" w:rsidRPr="003B6E11" w:rsidRDefault="003B6E11" w:rsidP="003B6E11">
      <w:pPr>
        <w:suppressAutoHyphens/>
        <w:spacing w:line="240" w:lineRule="atLeast"/>
        <w:ind w:left="851" w:hanging="851"/>
        <w:rPr>
          <w:rFonts w:cs="Arial"/>
          <w:szCs w:val="20"/>
          <w:lang w:val="cs-CZ"/>
        </w:rPr>
      </w:pPr>
    </w:p>
    <w:p w:rsidR="003B6E11" w:rsidRPr="003B6E11" w:rsidRDefault="002D015D" w:rsidP="003B6E11">
      <w:pPr>
        <w:suppressAutoHyphens/>
        <w:spacing w:line="240" w:lineRule="atLeast"/>
        <w:ind w:left="851" w:hanging="851"/>
        <w:jc w:val="center"/>
        <w:rPr>
          <w:rFonts w:cs="Arial"/>
          <w:szCs w:val="20"/>
          <w:lang w:val="cs-CZ"/>
        </w:rPr>
      </w:pPr>
      <m:oMath>
        <m:func>
          <m:funcPr>
            <m:ctrlPr>
              <w:rPr>
                <w:rFonts w:ascii="Cambria Math" w:hAnsi="Cambria Math" w:cs="Arial"/>
                <w:i/>
                <w:szCs w:val="20"/>
                <w:lang w:val="cs-CZ"/>
              </w:rPr>
            </m:ctrlPr>
          </m:funcPr>
          <m:fName>
            <m:r>
              <m:rPr>
                <m:sty m:val="p"/>
              </m:rPr>
              <w:rPr>
                <w:rFonts w:ascii="Cambria Math" w:hAnsi="Cambria Math" w:cs="Arial"/>
                <w:szCs w:val="20"/>
                <w:lang w:val="cs-CZ"/>
              </w:rPr>
              <m:t>si n</m:t>
            </m:r>
          </m:fName>
          <m:e>
            <m:r>
              <w:rPr>
                <w:rFonts w:ascii="Cambria Math" w:hAnsi="Cambria Math" w:cs="Arial"/>
                <w:szCs w:val="20"/>
                <w:lang w:val="cs-CZ"/>
              </w:rPr>
              <m:t>≥</m:t>
            </m:r>
          </m:e>
        </m:func>
        <m:r>
          <w:rPr>
            <w:rFonts w:ascii="Cambria Math" w:hAnsi="Cambria Math" w:cs="Arial"/>
            <w:szCs w:val="20"/>
            <w:lang w:val="cs-CZ"/>
          </w:rPr>
          <m:t xml:space="preserve"> 20</m:t>
        </m:r>
      </m:oMath>
      <w:r w:rsidR="003B6E11" w:rsidRPr="003B6E11">
        <w:rPr>
          <w:lang w:val="cs-CZ"/>
        </w:rPr>
        <w:t xml:space="preserve">, </w:t>
      </w:r>
      <m:oMath>
        <m:r>
          <w:rPr>
            <w:rFonts w:ascii="Cambria Math" w:hAnsi="Cambria Math" w:cs="Arial"/>
            <w:szCs w:val="20"/>
            <w:lang w:val="cs-CZ"/>
          </w:rPr>
          <m:t xml:space="preserve">k= </m:t>
        </m:r>
        <m:f>
          <m:fPr>
            <m:ctrlPr>
              <w:rPr>
                <w:rFonts w:ascii="Cambria Math" w:hAnsi="Cambria Math" w:cs="Arial"/>
                <w:i/>
                <w:szCs w:val="20"/>
                <w:lang w:val="cs-CZ"/>
              </w:rPr>
            </m:ctrlPr>
          </m:fPr>
          <m:num>
            <m:r>
              <w:rPr>
                <w:rFonts w:ascii="Cambria Math" w:hAnsi="Cambria Math" w:cs="Arial"/>
                <w:szCs w:val="20"/>
                <w:lang w:val="cs-CZ"/>
              </w:rPr>
              <m:t>0,860</m:t>
            </m:r>
          </m:num>
          <m:den>
            <m:rad>
              <m:radPr>
                <m:degHide m:val="1"/>
                <m:ctrlPr>
                  <w:rPr>
                    <w:rFonts w:ascii="Cambria Math" w:hAnsi="Cambria Math" w:cs="Arial"/>
                    <w:i/>
                    <w:szCs w:val="20"/>
                    <w:lang w:val="cs-CZ"/>
                  </w:rPr>
                </m:ctrlPr>
              </m:radPr>
              <m:deg/>
              <m:e>
                <m:r>
                  <w:rPr>
                    <w:rFonts w:ascii="Cambria Math" w:hAnsi="Cambria Math" w:cs="Arial"/>
                    <w:szCs w:val="20"/>
                    <w:lang w:val="cs-CZ"/>
                  </w:rPr>
                  <m:t>n</m:t>
                </m:r>
              </m:e>
            </m:rad>
          </m:den>
        </m:f>
      </m:oMath>
    </w:p>
    <w:p w:rsidR="003B6E11" w:rsidRPr="003B6E11" w:rsidRDefault="003B6E11" w:rsidP="003B6E11">
      <w:pPr>
        <w:suppressAutoHyphens/>
        <w:spacing w:line="240" w:lineRule="atLeast"/>
        <w:ind w:left="851" w:hanging="851"/>
        <w:jc w:val="center"/>
        <w:rPr>
          <w:rFonts w:cs="Arial"/>
          <w:szCs w:val="20"/>
          <w:lang w:val="cs-CZ"/>
        </w:rPr>
      </w:pPr>
    </w:p>
    <w:p w:rsidR="003B6E11" w:rsidRPr="003B6E11" w:rsidRDefault="002D015D" w:rsidP="003B6E11">
      <w:pPr>
        <w:tabs>
          <w:tab w:val="left" w:pos="1276"/>
        </w:tabs>
        <w:suppressAutoHyphens/>
        <w:overflowPunct w:val="0"/>
        <w:spacing w:line="240" w:lineRule="atLeast"/>
        <w:ind w:left="709"/>
        <w:textAlignment w:val="baseline"/>
        <w:rPr>
          <w:rFonts w:cs="Arial"/>
          <w:szCs w:val="20"/>
          <w:lang w:val="cs-CZ"/>
        </w:rPr>
      </w:pPr>
      <m:oMathPara>
        <m:oMathParaPr>
          <m:jc m:val="center"/>
        </m:oMathParaPr>
        <m:oMath>
          <m:sSub>
            <m:sSubPr>
              <m:ctrlPr>
                <w:rPr>
                  <w:rFonts w:ascii="Cambria Math" w:hAnsi="Cambria Math" w:cs="Arial"/>
                  <w:i/>
                  <w:szCs w:val="20"/>
                  <w:lang w:val="cs-CZ"/>
                </w:rPr>
              </m:ctrlPr>
            </m:sSubPr>
            <m:e>
              <m:r>
                <w:rPr>
                  <w:rFonts w:ascii="Cambria Math" w:hAnsi="Cambria Math" w:cs="Arial"/>
                  <w:szCs w:val="20"/>
                  <w:lang w:val="cs-CZ"/>
                </w:rPr>
                <m:t>S</m:t>
              </m:r>
            </m:e>
            <m:sub>
              <m:r>
                <w:rPr>
                  <w:rFonts w:ascii="Cambria Math" w:hAnsi="Cambria Math" w:cs="Arial"/>
                  <w:szCs w:val="20"/>
                  <w:lang w:val="cs-CZ"/>
                </w:rPr>
                <m:t>t</m:t>
              </m:r>
            </m:sub>
          </m:sSub>
          <m:r>
            <w:rPr>
              <w:rFonts w:ascii="Cambria Math" w:hAnsi="Cambria Math" w:cs="Arial"/>
              <w:szCs w:val="20"/>
              <w:lang w:val="cs-CZ"/>
            </w:rPr>
            <m:t xml:space="preserve"> : </m:t>
          </m:r>
          <m:rad>
            <m:radPr>
              <m:degHide m:val="1"/>
              <m:ctrlPr>
                <w:rPr>
                  <w:rFonts w:ascii="Cambria Math" w:hAnsi="Cambria Math" w:cs="Arial"/>
                  <w:i/>
                  <w:szCs w:val="20"/>
                  <w:lang w:val="cs-CZ"/>
                </w:rPr>
              </m:ctrlPr>
            </m:radPr>
            <m:deg/>
            <m:e>
              <m:nary>
                <m:naryPr>
                  <m:chr m:val="∑"/>
                  <m:limLoc m:val="undOvr"/>
                  <m:ctrlPr>
                    <w:rPr>
                      <w:rFonts w:ascii="Cambria Math" w:hAnsi="Cambria Math" w:cs="Arial"/>
                      <w:i/>
                      <w:szCs w:val="20"/>
                      <w:lang w:val="cs-CZ"/>
                    </w:rPr>
                  </m:ctrlPr>
                </m:naryPr>
                <m:sub>
                  <m:r>
                    <w:rPr>
                      <w:rFonts w:ascii="Cambria Math" w:hAnsi="Cambria Math" w:cs="Arial"/>
                      <w:szCs w:val="20"/>
                      <w:lang w:val="cs-CZ"/>
                    </w:rPr>
                    <m:t>i=1</m:t>
                  </m:r>
                </m:sub>
                <m:sup>
                  <m:r>
                    <w:rPr>
                      <w:rFonts w:ascii="Cambria Math" w:hAnsi="Cambria Math" w:cs="Arial"/>
                      <w:szCs w:val="20"/>
                      <w:lang w:val="cs-CZ"/>
                    </w:rPr>
                    <m:t>n</m:t>
                  </m:r>
                </m:sup>
                <m:e>
                  <m:f>
                    <m:fPr>
                      <m:ctrlPr>
                        <w:rPr>
                          <w:rFonts w:ascii="Cambria Math" w:hAnsi="Cambria Math" w:cs="Arial"/>
                          <w:i/>
                          <w:szCs w:val="20"/>
                          <w:lang w:val="cs-CZ"/>
                        </w:rPr>
                      </m:ctrlPr>
                    </m:fPr>
                    <m:num>
                      <m:d>
                        <m:dPr>
                          <m:ctrlPr>
                            <w:rPr>
                              <w:rFonts w:ascii="Cambria Math" w:hAnsi="Cambria Math" w:cs="Arial"/>
                              <w:i/>
                              <w:szCs w:val="20"/>
                              <w:lang w:val="cs-CZ"/>
                            </w:rPr>
                          </m:ctrlPr>
                        </m:dPr>
                        <m:e>
                          <m:sSub>
                            <m:sSubPr>
                              <m:ctrlPr>
                                <w:rPr>
                                  <w:rFonts w:ascii="Cambria Math" w:hAnsi="Cambria Math" w:cs="Arial"/>
                                  <w:i/>
                                  <w:szCs w:val="20"/>
                                  <w:lang w:val="cs-CZ"/>
                                </w:rPr>
                              </m:ctrlPr>
                            </m:sSubPr>
                            <m:e>
                              <m:r>
                                <w:rPr>
                                  <w:rFonts w:ascii="Cambria Math" w:hAnsi="Cambria Math" w:cs="Arial"/>
                                  <w:szCs w:val="20"/>
                                  <w:lang w:val="cs-CZ"/>
                                </w:rPr>
                                <m:t>x</m:t>
                              </m:r>
                            </m:e>
                            <m:sub>
                              <m:r>
                                <w:rPr>
                                  <w:rFonts w:ascii="Cambria Math" w:hAnsi="Cambria Math" w:cs="Arial"/>
                                  <w:szCs w:val="20"/>
                                  <w:lang w:val="cs-CZ"/>
                                </w:rPr>
                                <m:t>i</m:t>
                              </m:r>
                            </m:sub>
                          </m:sSub>
                          <m:r>
                            <w:rPr>
                              <w:rFonts w:ascii="Cambria Math" w:hAnsi="Cambria Math" w:cs="Arial"/>
                              <w:szCs w:val="20"/>
                              <w:lang w:val="cs-CZ"/>
                            </w:rPr>
                            <m:t xml:space="preserve">- </m:t>
                          </m:r>
                          <m:acc>
                            <m:accPr>
                              <m:chr m:val="̅"/>
                              <m:ctrlPr>
                                <w:rPr>
                                  <w:rFonts w:ascii="Cambria Math" w:hAnsi="Cambria Math" w:cs="Arial"/>
                                  <w:i/>
                                  <w:szCs w:val="20"/>
                                  <w:lang w:val="cs-CZ"/>
                                </w:rPr>
                              </m:ctrlPr>
                            </m:accPr>
                            <m:e>
                              <m:r>
                                <w:rPr>
                                  <w:rFonts w:ascii="Cambria Math" w:hAnsi="Cambria Math" w:cs="Arial"/>
                                  <w:szCs w:val="20"/>
                                  <w:lang w:val="cs-CZ"/>
                                </w:rPr>
                                <m:t>x</m:t>
                              </m:r>
                            </m:e>
                          </m:acc>
                        </m:e>
                      </m:d>
                    </m:num>
                    <m:den>
                      <m:r>
                        <w:rPr>
                          <w:rFonts w:ascii="Cambria Math" w:hAnsi="Cambria Math" w:cs="Arial"/>
                          <w:szCs w:val="20"/>
                          <w:lang w:val="cs-CZ"/>
                        </w:rPr>
                        <m:t>n-1</m:t>
                      </m:r>
                    </m:den>
                  </m:f>
                </m:e>
              </m:nary>
            </m:e>
          </m:rad>
          <m:r>
            <m:rPr>
              <m:sty m:val="p"/>
            </m:rPr>
            <w:rPr>
              <w:rFonts w:cs="Arial"/>
              <w:szCs w:val="20"/>
              <w:lang w:val="cs-CZ"/>
            </w:rPr>
            <w:br/>
          </m:r>
        </m:oMath>
      </m:oMathPara>
      <w:r w:rsidR="003B6E11" w:rsidRPr="003B6E11">
        <w:rPr>
          <w:lang w:val="cs-CZ"/>
        </w:rPr>
        <w:t xml:space="preserve">kde </w:t>
      </w:r>
      <m:oMath>
        <m:sSub>
          <m:sSubPr>
            <m:ctrlPr>
              <w:rPr>
                <w:rFonts w:ascii="Cambria Math" w:hAnsi="Cambria Math" w:cs="Arial"/>
                <w:i/>
                <w:szCs w:val="20"/>
                <w:lang w:val="cs-CZ"/>
              </w:rPr>
            </m:ctrlPr>
          </m:sSubPr>
          <m:e>
            <m:r>
              <w:rPr>
                <w:rFonts w:ascii="Cambria Math" w:hAnsi="Cambria Math" w:cs="Arial"/>
                <w:szCs w:val="20"/>
                <w:lang w:val="cs-CZ"/>
              </w:rPr>
              <m:t>x</m:t>
            </m:r>
          </m:e>
          <m:sub>
            <m:r>
              <w:rPr>
                <w:rFonts w:ascii="Cambria Math" w:hAnsi="Cambria Math" w:cs="Arial"/>
                <w:szCs w:val="20"/>
                <w:lang w:val="cs-CZ"/>
              </w:rPr>
              <m:t>i</m:t>
            </m:r>
          </m:sub>
        </m:sSub>
      </m:oMath>
      <w:r w:rsidR="003B6E11" w:rsidRPr="003B6E11">
        <w:rPr>
          <w:lang w:val="cs-CZ"/>
        </w:rPr>
        <w:t xml:space="preserve"> je jakýkoli jednotlivý výsledek získaný z náhodného vzorku </w:t>
      </w:r>
      <m:oMath>
        <m:r>
          <w:rPr>
            <w:rFonts w:ascii="Cambria Math" w:hAnsi="Cambria Math"/>
            <w:noProof/>
            <w:szCs w:val="20"/>
            <w:lang w:val="cs-CZ"/>
          </w:rPr>
          <m:t>n</m:t>
        </m:r>
      </m:oMath>
    </w:p>
    <w:p w:rsidR="003B6E11" w:rsidRPr="003B6E11" w:rsidRDefault="003B6E11" w:rsidP="003B6E11">
      <w:pPr>
        <w:tabs>
          <w:tab w:val="left" w:pos="1134"/>
        </w:tabs>
        <w:suppressAutoHyphens/>
        <w:overflowPunct w:val="0"/>
        <w:spacing w:line="240" w:lineRule="atLeast"/>
        <w:ind w:left="1134"/>
        <w:textAlignment w:val="baseline"/>
        <w:rPr>
          <w:rFonts w:cs="Arial"/>
          <w:szCs w:val="20"/>
          <w:lang w:val="cs-CZ"/>
        </w:rPr>
      </w:pPr>
      <m:oMath>
        <m:r>
          <w:rPr>
            <w:rFonts w:ascii="Cambria Math" w:hAnsi="Cambria Math" w:cs="Arial"/>
            <w:szCs w:val="20"/>
            <w:lang w:val="cs-CZ"/>
          </w:rPr>
          <m:t>L</m:t>
        </m:r>
      </m:oMath>
      <w:r w:rsidRPr="003B6E11">
        <w:rPr>
          <w:lang w:val="cs-CZ"/>
        </w:rPr>
        <w:t>:</w:t>
      </w:r>
      <w:r w:rsidRPr="003B6E11">
        <w:rPr>
          <w:lang w:val="cs-CZ"/>
        </w:rPr>
        <w:tab/>
        <w:t>je přípustná mezní hodnota stanovená v čl. 18.01 odst. 2 tabulce 2 pro každou sledovanou znečišťující látku;</w:t>
      </w:r>
    </w:p>
    <w:p w:rsidR="003B6E11" w:rsidRPr="003B6E11" w:rsidRDefault="003B6E11" w:rsidP="003B6E11">
      <w:pPr>
        <w:tabs>
          <w:tab w:val="left" w:pos="709"/>
        </w:tabs>
        <w:suppressAutoHyphens/>
        <w:overflowPunct w:val="0"/>
        <w:spacing w:line="240" w:lineRule="atLeast"/>
        <w:ind w:left="709" w:hanging="709"/>
        <w:textAlignment w:val="baseline"/>
        <w:rPr>
          <w:rFonts w:cs="Arial"/>
          <w:szCs w:val="20"/>
          <w:lang w:val="cs-CZ"/>
        </w:rPr>
      </w:pPr>
    </w:p>
    <w:p w:rsidR="003B6E11" w:rsidRPr="003B6E11" w:rsidRDefault="003B6E11" w:rsidP="003B6E11">
      <w:pPr>
        <w:tabs>
          <w:tab w:val="left" w:pos="709"/>
        </w:tabs>
        <w:spacing w:line="240" w:lineRule="atLeast"/>
        <w:ind w:left="709" w:hanging="709"/>
        <w:rPr>
          <w:noProof/>
          <w:szCs w:val="20"/>
          <w:lang w:val="cs-CZ"/>
        </w:rPr>
      </w:pPr>
      <w:r w:rsidRPr="003B6E11">
        <w:rPr>
          <w:lang w:val="cs-CZ"/>
        </w:rPr>
        <w:t>3.3.3</w:t>
      </w:r>
      <w:r w:rsidRPr="003B6E11">
        <w:rPr>
          <w:lang w:val="cs-CZ"/>
        </w:rPr>
        <w:tab/>
        <w:t>pokud nejsou hodnoty stanovené v čl. 18.01 odst. 2 tabulce 2 splněny, provede se nová zkouška podle bodu 3.3.2.1, a pokud zkouška nemá žádný pozitivní výsledek podle bodu 3.3.2.2, provede se celková zkouška podle postupu uvedeného v příloze 9. Mezní hodnoty stanovené v čl. 18.01 odst. 2 tabulce 1 nesmějí být překročeny ani u souhrnného vzorku ani u náhodného vzorku.</w:t>
      </w:r>
    </w:p>
    <w:p w:rsidR="003B6E11" w:rsidRPr="003B6E11" w:rsidRDefault="003B6E11" w:rsidP="003B6E11">
      <w:pPr>
        <w:tabs>
          <w:tab w:val="left" w:pos="709"/>
        </w:tabs>
        <w:spacing w:line="240" w:lineRule="atLeast"/>
        <w:ind w:left="709" w:hanging="709"/>
        <w:rPr>
          <w:noProof/>
          <w:szCs w:val="20"/>
          <w:lang w:val="cs-CZ"/>
        </w:rPr>
      </w:pPr>
    </w:p>
    <w:p w:rsidR="003B6E11" w:rsidRPr="003B6E11" w:rsidRDefault="003B6E11" w:rsidP="003B6E11">
      <w:pPr>
        <w:tabs>
          <w:tab w:val="left" w:pos="709"/>
        </w:tabs>
        <w:spacing w:line="240" w:lineRule="atLeast"/>
        <w:ind w:left="709" w:hanging="709"/>
        <w:rPr>
          <w:noProof/>
          <w:szCs w:val="20"/>
          <w:lang w:val="cs-CZ"/>
        </w:rPr>
      </w:pPr>
      <w:r w:rsidRPr="003B6E11">
        <w:rPr>
          <w:lang w:val="cs-CZ"/>
        </w:rPr>
        <w:t>3.3.4</w:t>
      </w:r>
      <w:r w:rsidRPr="003B6E11">
        <w:rPr>
          <w:lang w:val="cs-CZ"/>
        </w:rPr>
        <w:tab/>
        <w:t>Příslušný orgán musí provést zkoušky u palubních čistíren odpadních vod, které jsou podle informací poskytnutých výrobcem částečně či zcela funkční.</w:t>
      </w:r>
    </w:p>
    <w:p w:rsidR="003B6E11" w:rsidRPr="003B6E11" w:rsidRDefault="003B6E11" w:rsidP="003B6E11">
      <w:pPr>
        <w:tabs>
          <w:tab w:val="left" w:pos="709"/>
        </w:tabs>
        <w:spacing w:line="240" w:lineRule="atLeast"/>
        <w:ind w:left="709" w:hanging="709"/>
        <w:rPr>
          <w:noProof/>
          <w:szCs w:val="20"/>
          <w:lang w:val="cs-CZ"/>
        </w:rPr>
      </w:pPr>
    </w:p>
    <w:p w:rsidR="003B6E11" w:rsidRPr="003B6E11" w:rsidRDefault="003B6E11" w:rsidP="003B6E11">
      <w:pPr>
        <w:tabs>
          <w:tab w:val="left" w:pos="709"/>
        </w:tabs>
        <w:spacing w:line="240" w:lineRule="atLeast"/>
        <w:ind w:left="709" w:hanging="709"/>
        <w:rPr>
          <w:noProof/>
          <w:szCs w:val="20"/>
          <w:lang w:val="cs-CZ"/>
        </w:rPr>
      </w:pPr>
      <w:r w:rsidRPr="003B6E11">
        <w:rPr>
          <w:lang w:val="cs-CZ"/>
        </w:rPr>
        <w:t>3.3.5</w:t>
      </w:r>
      <w:r w:rsidRPr="003B6E11">
        <w:rPr>
          <w:lang w:val="cs-CZ"/>
        </w:rPr>
        <w:tab/>
        <w:t>Obvyklá četnost zkoušek shodnosti výroby, na jejíž vykonání má příslušný orgán právo, je jedenkrát ročně. V případě neshody s požadavky uvedenými v bodě 3.3.3 příslušný orgán zajistí, že budou přijata všechna nezbytná opatření, aby byla neprodleně obnovena shodnost výroby.</w:t>
      </w:r>
    </w:p>
    <w:p w:rsidR="003B6E11" w:rsidRPr="003B6E11" w:rsidRDefault="003B6E11" w:rsidP="003B6E11">
      <w:pPr>
        <w:tabs>
          <w:tab w:val="left" w:pos="709"/>
        </w:tabs>
        <w:suppressAutoHyphens/>
        <w:overflowPunct w:val="0"/>
        <w:spacing w:line="240" w:lineRule="atLeast"/>
        <w:ind w:left="709" w:hanging="709"/>
        <w:textAlignment w:val="baseline"/>
        <w:rPr>
          <w:rFonts w:cs="Arial"/>
          <w:szCs w:val="20"/>
          <w:lang w:val="cs-CZ"/>
        </w:rPr>
      </w:pPr>
    </w:p>
    <w:p w:rsidR="003B6E11" w:rsidRPr="003B6E11" w:rsidRDefault="003B6E11" w:rsidP="003B6E11">
      <w:pPr>
        <w:tabs>
          <w:tab w:val="left" w:pos="709"/>
          <w:tab w:val="left" w:pos="1134"/>
        </w:tabs>
        <w:suppressAutoHyphens/>
        <w:overflowPunct w:val="0"/>
        <w:spacing w:line="240" w:lineRule="atLeast"/>
        <w:ind w:left="709" w:hanging="709"/>
        <w:textAlignment w:val="baseline"/>
        <w:rPr>
          <w:rFonts w:cs="Arial"/>
          <w:szCs w:val="20"/>
          <w:lang w:val="cs-CZ"/>
        </w:rPr>
      </w:pPr>
      <w:r w:rsidRPr="003B6E11">
        <w:rPr>
          <w:lang w:val="cs-CZ"/>
        </w:rPr>
        <w:br w:type="page"/>
      </w:r>
    </w:p>
    <w:p w:rsidR="003B6E11" w:rsidRPr="003B6E11" w:rsidRDefault="003B6E11" w:rsidP="003B6E11">
      <w:pPr>
        <w:tabs>
          <w:tab w:val="left" w:pos="709"/>
          <w:tab w:val="left" w:pos="1134"/>
        </w:tabs>
        <w:suppressAutoHyphens/>
        <w:overflowPunct w:val="0"/>
        <w:spacing w:line="240" w:lineRule="atLeast"/>
        <w:ind w:left="709" w:hanging="709"/>
        <w:textAlignment w:val="baseline"/>
        <w:rPr>
          <w:rFonts w:cs="Arial"/>
          <w:szCs w:val="20"/>
          <w:lang w:val="cs-CZ"/>
        </w:rPr>
      </w:pPr>
    </w:p>
    <w:p w:rsidR="003B6E11" w:rsidRPr="003B6E11" w:rsidRDefault="003B6E11" w:rsidP="003B6E11">
      <w:pPr>
        <w:tabs>
          <w:tab w:val="left" w:pos="709"/>
          <w:tab w:val="left" w:pos="1134"/>
        </w:tabs>
        <w:suppressAutoHyphens/>
        <w:overflowPunct w:val="0"/>
        <w:spacing w:line="240" w:lineRule="atLeast"/>
        <w:ind w:left="709" w:hanging="709"/>
        <w:textAlignment w:val="baseline"/>
        <w:rPr>
          <w:rFonts w:cs="Arial"/>
          <w:szCs w:val="20"/>
          <w:lang w:val="cs-CZ"/>
        </w:rPr>
      </w:pPr>
    </w:p>
    <w:p w:rsidR="003B6E11" w:rsidRPr="003B6E11" w:rsidRDefault="003B6E11" w:rsidP="003B6E11">
      <w:pPr>
        <w:tabs>
          <w:tab w:val="left" w:pos="709"/>
          <w:tab w:val="left" w:pos="1134"/>
        </w:tabs>
        <w:suppressAutoHyphens/>
        <w:overflowPunct w:val="0"/>
        <w:spacing w:line="240" w:lineRule="atLeast"/>
        <w:ind w:left="709" w:hanging="709"/>
        <w:textAlignment w:val="baseline"/>
        <w:rPr>
          <w:rFonts w:cs="Arial"/>
          <w:szCs w:val="20"/>
          <w:lang w:val="cs-CZ"/>
        </w:rPr>
      </w:pPr>
    </w:p>
    <w:p w:rsidR="003B6E11" w:rsidRPr="003B6E11" w:rsidRDefault="003B6E11" w:rsidP="003B6E11">
      <w:pPr>
        <w:tabs>
          <w:tab w:val="left" w:pos="709"/>
          <w:tab w:val="left" w:pos="1134"/>
        </w:tabs>
        <w:suppressAutoHyphens/>
        <w:overflowPunct w:val="0"/>
        <w:spacing w:line="240" w:lineRule="atLeast"/>
        <w:ind w:left="709" w:hanging="709"/>
        <w:textAlignment w:val="baseline"/>
        <w:rPr>
          <w:rFonts w:cs="Arial"/>
          <w:szCs w:val="20"/>
          <w:lang w:val="cs-CZ"/>
        </w:rPr>
      </w:pPr>
      <w:r w:rsidRPr="003B6E11">
        <w:rPr>
          <w:lang w:val="cs-CZ"/>
        </w:rPr>
        <w:br w:type="page"/>
      </w:r>
    </w:p>
    <w:p w:rsidR="003B6E11" w:rsidRPr="003B6E11" w:rsidRDefault="003B6E11" w:rsidP="003B6E11">
      <w:pPr>
        <w:pStyle w:val="ES-Titre3"/>
        <w:rPr>
          <w:noProof/>
          <w:lang w:val="cs-CZ"/>
        </w:rPr>
      </w:pPr>
      <w:bookmarkStart w:id="686" w:name="_Toc491854326"/>
      <w:bookmarkStart w:id="687" w:name="_Toc535417232"/>
      <w:r w:rsidRPr="003B6E11">
        <w:rPr>
          <w:lang w:val="cs-CZ"/>
        </w:rPr>
        <w:t>Oddíl II</w:t>
      </w:r>
      <w:bookmarkEnd w:id="686"/>
      <w:bookmarkEnd w:id="687"/>
    </w:p>
    <w:p w:rsidR="003B6E11" w:rsidRPr="003B6E11" w:rsidRDefault="003B6E11" w:rsidP="003B6E11">
      <w:pPr>
        <w:pStyle w:val="ES-Titre3a"/>
        <w:rPr>
          <w:noProof/>
          <w:lang w:val="cs-CZ"/>
        </w:rPr>
      </w:pPr>
      <w:bookmarkStart w:id="688" w:name="_Toc491854327"/>
      <w:bookmarkStart w:id="689" w:name="_Toc535417233"/>
      <w:r w:rsidRPr="003B6E11">
        <w:rPr>
          <w:lang w:val="cs-CZ"/>
        </w:rPr>
        <w:t>Informační dokument č. …</w:t>
      </w:r>
      <w:r w:rsidRPr="003B6E11">
        <w:rPr>
          <w:noProof/>
          <w:vertAlign w:val="superscript"/>
          <w:lang w:val="cs-CZ"/>
        </w:rPr>
        <w:footnoteReference w:id="63"/>
      </w:r>
      <w:r w:rsidRPr="003B6E11">
        <w:rPr>
          <w:lang w:val="cs-CZ"/>
        </w:rPr>
        <w:t xml:space="preserve"> ke schválení typu palubních čistíren odpadních vod určených pro plavidla vnitrozemské plavby</w:t>
      </w:r>
      <w:bookmarkEnd w:id="688"/>
      <w:bookmarkEnd w:id="689"/>
    </w:p>
    <w:p w:rsidR="003B6E11" w:rsidRPr="003B6E11" w:rsidRDefault="003B6E11" w:rsidP="003B6E11">
      <w:pPr>
        <w:overflowPunct w:val="0"/>
        <w:adjustRightInd w:val="0"/>
        <w:spacing w:line="240" w:lineRule="exact"/>
        <w:jc w:val="center"/>
        <w:textAlignment w:val="baseline"/>
        <w:rPr>
          <w:rFonts w:eastAsia="Calibri"/>
          <w:lang w:val="cs-CZ"/>
        </w:rPr>
      </w:pPr>
      <w:r w:rsidRPr="003B6E11">
        <w:rPr>
          <w:lang w:val="cs-CZ"/>
        </w:rPr>
        <w:t>(Vzor)</w:t>
      </w:r>
    </w:p>
    <w:p w:rsidR="003B6E11" w:rsidRPr="003B6E11" w:rsidRDefault="003B6E11" w:rsidP="003B6E11">
      <w:pPr>
        <w:tabs>
          <w:tab w:val="left" w:leader="dot" w:pos="9214"/>
        </w:tabs>
        <w:suppressAutoHyphens/>
        <w:spacing w:line="240" w:lineRule="atLeast"/>
        <w:rPr>
          <w:rFonts w:cs="Arial"/>
          <w:szCs w:val="20"/>
          <w:lang w:val="cs-CZ"/>
        </w:rPr>
      </w:pPr>
    </w:p>
    <w:p w:rsidR="003B6E11" w:rsidRPr="003B6E11" w:rsidRDefault="003B6E11" w:rsidP="003B6E11">
      <w:pPr>
        <w:tabs>
          <w:tab w:val="left" w:leader="dot" w:pos="9072"/>
        </w:tabs>
        <w:ind w:left="850" w:hanging="850"/>
        <w:rPr>
          <w:noProof/>
          <w:szCs w:val="20"/>
          <w:lang w:val="cs-CZ"/>
        </w:rPr>
      </w:pPr>
      <w:r w:rsidRPr="003B6E11">
        <w:rPr>
          <w:lang w:val="cs-CZ"/>
        </w:rPr>
        <w:t xml:space="preserve">Typ palubní čistírny odpadních vod: </w:t>
      </w:r>
      <w:r w:rsidRPr="003B6E11">
        <w:rPr>
          <w:lang w:val="cs-CZ"/>
        </w:rPr>
        <w:tab/>
      </w:r>
    </w:p>
    <w:p w:rsidR="003B6E11" w:rsidRPr="003B6E11" w:rsidRDefault="003B6E11" w:rsidP="003B6E11">
      <w:pPr>
        <w:tabs>
          <w:tab w:val="left" w:leader="dot" w:pos="9072"/>
        </w:tabs>
        <w:ind w:left="567" w:hanging="567"/>
        <w:rPr>
          <w:noProof/>
          <w:szCs w:val="20"/>
          <w:lang w:val="cs-CZ"/>
        </w:rPr>
      </w:pPr>
    </w:p>
    <w:p w:rsidR="003B6E11" w:rsidRPr="003B6E11" w:rsidRDefault="003B6E11" w:rsidP="003B6E11">
      <w:pPr>
        <w:tabs>
          <w:tab w:val="left" w:leader="dot" w:pos="9072"/>
        </w:tabs>
        <w:spacing w:line="240" w:lineRule="atLeast"/>
        <w:ind w:left="567" w:hanging="567"/>
        <w:rPr>
          <w:noProof/>
          <w:szCs w:val="20"/>
          <w:lang w:val="cs-CZ"/>
        </w:rPr>
      </w:pPr>
      <w:r w:rsidRPr="003B6E11">
        <w:rPr>
          <w:lang w:val="cs-CZ"/>
        </w:rPr>
        <w:t>0.</w:t>
      </w:r>
      <w:r w:rsidRPr="003B6E11">
        <w:rPr>
          <w:lang w:val="cs-CZ"/>
        </w:rPr>
        <w:tab/>
        <w:t>Obecně</w:t>
      </w:r>
    </w:p>
    <w:p w:rsidR="003B6E11" w:rsidRPr="003B6E11" w:rsidRDefault="003B6E11" w:rsidP="003B6E11">
      <w:pPr>
        <w:tabs>
          <w:tab w:val="left" w:leader="dot" w:pos="9072"/>
        </w:tabs>
        <w:spacing w:line="240" w:lineRule="atLeast"/>
        <w:ind w:left="567" w:hanging="567"/>
        <w:rPr>
          <w:noProof/>
          <w:szCs w:val="20"/>
          <w:lang w:val="cs-CZ"/>
        </w:rPr>
      </w:pPr>
    </w:p>
    <w:p w:rsidR="003B6E11" w:rsidRPr="003B6E11" w:rsidRDefault="003B6E11" w:rsidP="003B6E11">
      <w:pPr>
        <w:tabs>
          <w:tab w:val="left" w:leader="dot" w:pos="9072"/>
        </w:tabs>
        <w:spacing w:line="240" w:lineRule="atLeast"/>
        <w:ind w:left="567" w:hanging="567"/>
        <w:rPr>
          <w:noProof/>
          <w:szCs w:val="20"/>
          <w:lang w:val="cs-CZ"/>
        </w:rPr>
      </w:pPr>
      <w:r w:rsidRPr="003B6E11">
        <w:rPr>
          <w:lang w:val="cs-CZ"/>
        </w:rPr>
        <w:t>0.1</w:t>
      </w:r>
      <w:r w:rsidRPr="003B6E11">
        <w:rPr>
          <w:lang w:val="cs-CZ"/>
        </w:rPr>
        <w:tab/>
        <w:t xml:space="preserve">Značka (název společnosti výrobce): </w:t>
      </w:r>
      <w:r w:rsidRPr="003B6E11">
        <w:rPr>
          <w:lang w:val="cs-CZ"/>
        </w:rPr>
        <w:tab/>
      </w:r>
    </w:p>
    <w:p w:rsidR="003B6E11" w:rsidRPr="003B6E11" w:rsidRDefault="003B6E11" w:rsidP="003B6E11">
      <w:pPr>
        <w:tabs>
          <w:tab w:val="left" w:leader="dot" w:pos="9072"/>
        </w:tabs>
        <w:spacing w:line="240" w:lineRule="atLeast"/>
        <w:ind w:left="567" w:hanging="567"/>
        <w:rPr>
          <w:noProof/>
          <w:szCs w:val="20"/>
          <w:lang w:val="cs-CZ"/>
        </w:rPr>
      </w:pPr>
    </w:p>
    <w:p w:rsidR="003B6E11" w:rsidRPr="003B6E11" w:rsidRDefault="003B6E11" w:rsidP="003B6E11">
      <w:pPr>
        <w:tabs>
          <w:tab w:val="left" w:leader="dot" w:pos="9072"/>
        </w:tabs>
        <w:spacing w:line="240" w:lineRule="atLeast"/>
        <w:ind w:left="567" w:hanging="567"/>
        <w:rPr>
          <w:noProof/>
          <w:szCs w:val="20"/>
          <w:lang w:val="cs-CZ"/>
        </w:rPr>
      </w:pPr>
      <w:r w:rsidRPr="003B6E11">
        <w:rPr>
          <w:lang w:val="cs-CZ"/>
        </w:rPr>
        <w:t>0.2</w:t>
      </w:r>
      <w:r w:rsidRPr="003B6E11">
        <w:rPr>
          <w:lang w:val="cs-CZ"/>
        </w:rPr>
        <w:tab/>
        <w:t xml:space="preserve">Označení výrobce pro typ palubní čistírny odpadních vod: </w:t>
      </w:r>
      <w:r w:rsidRPr="003B6E11">
        <w:rPr>
          <w:lang w:val="cs-CZ"/>
        </w:rPr>
        <w:tab/>
      </w:r>
    </w:p>
    <w:p w:rsidR="003B6E11" w:rsidRPr="003B6E11" w:rsidRDefault="003B6E11" w:rsidP="003B6E11">
      <w:pPr>
        <w:tabs>
          <w:tab w:val="left" w:leader="dot" w:pos="9072"/>
        </w:tabs>
        <w:spacing w:line="240" w:lineRule="atLeast"/>
        <w:ind w:left="567"/>
        <w:rPr>
          <w:noProof/>
          <w:szCs w:val="20"/>
          <w:lang w:val="cs-CZ"/>
        </w:rPr>
      </w:pPr>
      <w:r w:rsidRPr="003B6E11">
        <w:rPr>
          <w:lang w:val="cs-CZ"/>
        </w:rPr>
        <w:tab/>
      </w:r>
    </w:p>
    <w:p w:rsidR="003B6E11" w:rsidRPr="003B6E11" w:rsidRDefault="003B6E11" w:rsidP="003B6E11">
      <w:pPr>
        <w:tabs>
          <w:tab w:val="left" w:leader="dot" w:pos="9072"/>
        </w:tabs>
        <w:spacing w:line="240" w:lineRule="atLeast"/>
        <w:ind w:left="567" w:hanging="567"/>
        <w:rPr>
          <w:noProof/>
          <w:szCs w:val="20"/>
          <w:lang w:val="cs-CZ"/>
        </w:rPr>
      </w:pPr>
    </w:p>
    <w:p w:rsidR="003B6E11" w:rsidRPr="003B6E11" w:rsidRDefault="003B6E11" w:rsidP="003B6E11">
      <w:pPr>
        <w:tabs>
          <w:tab w:val="left" w:leader="dot" w:pos="9072"/>
        </w:tabs>
        <w:spacing w:line="240" w:lineRule="atLeast"/>
        <w:ind w:left="567" w:hanging="567"/>
        <w:rPr>
          <w:noProof/>
          <w:szCs w:val="20"/>
          <w:lang w:val="cs-CZ"/>
        </w:rPr>
      </w:pPr>
      <w:r w:rsidRPr="003B6E11">
        <w:rPr>
          <w:lang w:val="cs-CZ"/>
        </w:rPr>
        <w:t>0.3</w:t>
      </w:r>
      <w:r w:rsidRPr="003B6E11">
        <w:rPr>
          <w:lang w:val="cs-CZ"/>
        </w:rPr>
        <w:tab/>
        <w:t xml:space="preserve">Kód výrobce pro typ odpovídající informacím na palubní čistírně odpadních vod: </w:t>
      </w:r>
      <w:r w:rsidRPr="003B6E11">
        <w:rPr>
          <w:lang w:val="cs-CZ"/>
        </w:rPr>
        <w:tab/>
      </w:r>
    </w:p>
    <w:p w:rsidR="003B6E11" w:rsidRPr="003B6E11" w:rsidRDefault="003B6E11" w:rsidP="003B6E11">
      <w:pPr>
        <w:tabs>
          <w:tab w:val="left" w:leader="dot" w:pos="9072"/>
        </w:tabs>
        <w:spacing w:line="240" w:lineRule="atLeast"/>
        <w:ind w:left="567"/>
        <w:rPr>
          <w:noProof/>
          <w:szCs w:val="20"/>
          <w:lang w:val="cs-CZ"/>
        </w:rPr>
      </w:pPr>
      <w:r w:rsidRPr="003B6E11">
        <w:rPr>
          <w:lang w:val="cs-CZ"/>
        </w:rPr>
        <w:tab/>
      </w:r>
    </w:p>
    <w:p w:rsidR="003B6E11" w:rsidRPr="003B6E11" w:rsidRDefault="003B6E11" w:rsidP="003B6E11">
      <w:pPr>
        <w:tabs>
          <w:tab w:val="left" w:leader="dot" w:pos="9072"/>
        </w:tabs>
        <w:spacing w:line="240" w:lineRule="atLeast"/>
        <w:ind w:left="567" w:hanging="567"/>
        <w:rPr>
          <w:noProof/>
          <w:szCs w:val="20"/>
          <w:lang w:val="cs-CZ"/>
        </w:rPr>
      </w:pPr>
    </w:p>
    <w:p w:rsidR="003B6E11" w:rsidRPr="003B6E11" w:rsidRDefault="003B6E11" w:rsidP="003B6E11">
      <w:pPr>
        <w:tabs>
          <w:tab w:val="left" w:leader="dot" w:pos="9072"/>
        </w:tabs>
        <w:spacing w:line="240" w:lineRule="atLeast"/>
        <w:ind w:left="567" w:hanging="567"/>
        <w:rPr>
          <w:noProof/>
          <w:szCs w:val="20"/>
          <w:lang w:val="cs-CZ"/>
        </w:rPr>
      </w:pPr>
      <w:r w:rsidRPr="003B6E11">
        <w:rPr>
          <w:lang w:val="cs-CZ"/>
        </w:rPr>
        <w:t>0.4</w:t>
      </w:r>
      <w:r w:rsidRPr="003B6E11">
        <w:rPr>
          <w:lang w:val="cs-CZ"/>
        </w:rPr>
        <w:tab/>
        <w:t xml:space="preserve">Název a adresa výrobce: </w:t>
      </w:r>
      <w:r w:rsidRPr="003B6E11">
        <w:rPr>
          <w:lang w:val="cs-CZ"/>
        </w:rPr>
        <w:tab/>
      </w:r>
    </w:p>
    <w:p w:rsidR="003B6E11" w:rsidRPr="003B6E11" w:rsidRDefault="003B6E11" w:rsidP="003B6E11">
      <w:pPr>
        <w:tabs>
          <w:tab w:val="left" w:leader="dot" w:pos="9072"/>
        </w:tabs>
        <w:spacing w:line="240" w:lineRule="atLeast"/>
        <w:ind w:left="567"/>
        <w:rPr>
          <w:noProof/>
          <w:szCs w:val="20"/>
          <w:lang w:val="cs-CZ"/>
        </w:rPr>
      </w:pPr>
      <w:r w:rsidRPr="003B6E11">
        <w:rPr>
          <w:lang w:val="cs-CZ"/>
        </w:rPr>
        <w:t xml:space="preserve">Jméno a adresa případného oprávněného zástupce výrobce: </w:t>
      </w:r>
      <w:r w:rsidRPr="003B6E11">
        <w:rPr>
          <w:lang w:val="cs-CZ"/>
        </w:rPr>
        <w:tab/>
      </w:r>
    </w:p>
    <w:p w:rsidR="003B6E11" w:rsidRPr="003B6E11" w:rsidRDefault="003B6E11" w:rsidP="003B6E11">
      <w:pPr>
        <w:tabs>
          <w:tab w:val="left" w:leader="dot" w:pos="9072"/>
        </w:tabs>
        <w:spacing w:line="240" w:lineRule="atLeast"/>
        <w:ind w:left="567"/>
        <w:rPr>
          <w:noProof/>
          <w:szCs w:val="20"/>
          <w:lang w:val="cs-CZ"/>
        </w:rPr>
      </w:pPr>
      <w:r w:rsidRPr="003B6E11">
        <w:rPr>
          <w:lang w:val="cs-CZ"/>
        </w:rPr>
        <w:tab/>
      </w:r>
    </w:p>
    <w:p w:rsidR="003B6E11" w:rsidRPr="003B6E11" w:rsidRDefault="003B6E11" w:rsidP="003B6E11">
      <w:pPr>
        <w:tabs>
          <w:tab w:val="left" w:leader="dot" w:pos="9072"/>
        </w:tabs>
        <w:spacing w:line="240" w:lineRule="atLeast"/>
        <w:ind w:left="567" w:hanging="567"/>
        <w:rPr>
          <w:noProof/>
          <w:szCs w:val="20"/>
          <w:lang w:val="cs-CZ"/>
        </w:rPr>
      </w:pPr>
    </w:p>
    <w:p w:rsidR="003B6E11" w:rsidRPr="003B6E11" w:rsidRDefault="003B6E11" w:rsidP="003B6E11">
      <w:pPr>
        <w:tabs>
          <w:tab w:val="left" w:leader="dot" w:pos="9072"/>
        </w:tabs>
        <w:spacing w:line="240" w:lineRule="atLeast"/>
        <w:ind w:left="567" w:hanging="567"/>
        <w:rPr>
          <w:noProof/>
          <w:szCs w:val="20"/>
          <w:lang w:val="cs-CZ"/>
        </w:rPr>
      </w:pPr>
      <w:r w:rsidRPr="003B6E11">
        <w:rPr>
          <w:lang w:val="cs-CZ"/>
        </w:rPr>
        <w:t>0.5</w:t>
      </w:r>
      <w:r w:rsidRPr="003B6E11">
        <w:rPr>
          <w:lang w:val="cs-CZ"/>
        </w:rPr>
        <w:tab/>
        <w:t xml:space="preserve">Umístění, kódování a způsob připevnění sériového čísla palubní čistírny odpadních vod: </w:t>
      </w:r>
      <w:r w:rsidRPr="003B6E11">
        <w:rPr>
          <w:lang w:val="cs-CZ"/>
        </w:rPr>
        <w:tab/>
      </w:r>
    </w:p>
    <w:p w:rsidR="003B6E11" w:rsidRPr="003B6E11" w:rsidRDefault="003B6E11" w:rsidP="003B6E11">
      <w:pPr>
        <w:tabs>
          <w:tab w:val="left" w:leader="dot" w:pos="9072"/>
        </w:tabs>
        <w:spacing w:line="240" w:lineRule="atLeast"/>
        <w:ind w:left="567"/>
        <w:rPr>
          <w:noProof/>
          <w:szCs w:val="20"/>
          <w:lang w:val="cs-CZ"/>
        </w:rPr>
      </w:pPr>
      <w:r w:rsidRPr="003B6E11">
        <w:rPr>
          <w:lang w:val="cs-CZ"/>
        </w:rPr>
        <w:tab/>
      </w:r>
    </w:p>
    <w:p w:rsidR="003B6E11" w:rsidRPr="003B6E11" w:rsidRDefault="003B6E11" w:rsidP="003B6E11">
      <w:pPr>
        <w:tabs>
          <w:tab w:val="left" w:leader="dot" w:pos="9072"/>
        </w:tabs>
        <w:spacing w:line="240" w:lineRule="atLeast"/>
        <w:ind w:left="567" w:hanging="567"/>
        <w:rPr>
          <w:noProof/>
          <w:szCs w:val="20"/>
          <w:lang w:val="cs-CZ"/>
        </w:rPr>
      </w:pPr>
    </w:p>
    <w:p w:rsidR="003B6E11" w:rsidRPr="003B6E11" w:rsidRDefault="003B6E11" w:rsidP="003B6E11">
      <w:pPr>
        <w:tabs>
          <w:tab w:val="left" w:leader="dot" w:pos="9072"/>
        </w:tabs>
        <w:spacing w:line="240" w:lineRule="atLeast"/>
        <w:ind w:left="567" w:hanging="567"/>
        <w:rPr>
          <w:noProof/>
          <w:szCs w:val="20"/>
          <w:lang w:val="cs-CZ"/>
        </w:rPr>
      </w:pPr>
      <w:r w:rsidRPr="003B6E11">
        <w:rPr>
          <w:lang w:val="cs-CZ"/>
        </w:rPr>
        <w:t>0.6</w:t>
      </w:r>
      <w:r w:rsidRPr="003B6E11">
        <w:rPr>
          <w:lang w:val="cs-CZ"/>
        </w:rPr>
        <w:tab/>
        <w:t xml:space="preserve">Umístění a způsob připevnění čísla schválení typu: </w:t>
      </w:r>
      <w:r w:rsidRPr="003B6E11">
        <w:rPr>
          <w:lang w:val="cs-CZ"/>
        </w:rPr>
        <w:tab/>
      </w:r>
    </w:p>
    <w:p w:rsidR="003B6E11" w:rsidRPr="003B6E11" w:rsidRDefault="003B6E11" w:rsidP="003B6E11">
      <w:pPr>
        <w:tabs>
          <w:tab w:val="left" w:leader="dot" w:pos="9072"/>
        </w:tabs>
        <w:spacing w:line="240" w:lineRule="atLeast"/>
        <w:ind w:left="567"/>
        <w:rPr>
          <w:noProof/>
          <w:szCs w:val="20"/>
          <w:lang w:val="cs-CZ"/>
        </w:rPr>
      </w:pPr>
      <w:r w:rsidRPr="003B6E11">
        <w:rPr>
          <w:lang w:val="cs-CZ"/>
        </w:rPr>
        <w:tab/>
      </w:r>
    </w:p>
    <w:p w:rsidR="003B6E11" w:rsidRPr="003B6E11" w:rsidRDefault="003B6E11" w:rsidP="003B6E11">
      <w:pPr>
        <w:tabs>
          <w:tab w:val="left" w:leader="dot" w:pos="9072"/>
        </w:tabs>
        <w:spacing w:line="240" w:lineRule="atLeast"/>
        <w:ind w:left="567" w:hanging="567"/>
        <w:rPr>
          <w:noProof/>
          <w:szCs w:val="20"/>
          <w:lang w:val="cs-CZ"/>
        </w:rPr>
      </w:pPr>
    </w:p>
    <w:p w:rsidR="003B6E11" w:rsidRPr="003B6E11" w:rsidRDefault="003B6E11" w:rsidP="003B6E11">
      <w:pPr>
        <w:tabs>
          <w:tab w:val="left" w:leader="dot" w:pos="9072"/>
        </w:tabs>
        <w:spacing w:line="240" w:lineRule="atLeast"/>
        <w:ind w:left="567" w:hanging="567"/>
        <w:rPr>
          <w:noProof/>
          <w:szCs w:val="20"/>
          <w:lang w:val="cs-CZ"/>
        </w:rPr>
      </w:pPr>
      <w:r w:rsidRPr="003B6E11">
        <w:rPr>
          <w:lang w:val="cs-CZ"/>
        </w:rPr>
        <w:t>0.7</w:t>
      </w:r>
      <w:r w:rsidRPr="003B6E11">
        <w:rPr>
          <w:lang w:val="cs-CZ"/>
        </w:rPr>
        <w:tab/>
        <w:t xml:space="preserve">Adresa (adresy) výrobních závodů: </w:t>
      </w:r>
      <w:r w:rsidRPr="003B6E11">
        <w:rPr>
          <w:lang w:val="cs-CZ"/>
        </w:rPr>
        <w:tab/>
      </w:r>
    </w:p>
    <w:p w:rsidR="003B6E11" w:rsidRPr="003B6E11" w:rsidRDefault="003B6E11" w:rsidP="003B6E11">
      <w:pPr>
        <w:tabs>
          <w:tab w:val="left" w:leader="dot" w:pos="9072"/>
        </w:tabs>
        <w:spacing w:line="240" w:lineRule="atLeast"/>
        <w:ind w:left="567"/>
        <w:rPr>
          <w:noProof/>
          <w:szCs w:val="20"/>
          <w:lang w:val="cs-CZ"/>
        </w:rPr>
      </w:pPr>
      <w:r w:rsidRPr="003B6E11">
        <w:rPr>
          <w:lang w:val="cs-CZ"/>
        </w:rPr>
        <w:tab/>
      </w:r>
    </w:p>
    <w:p w:rsidR="003B6E11" w:rsidRPr="003B6E11" w:rsidRDefault="003B6E11" w:rsidP="003B6E11">
      <w:pPr>
        <w:spacing w:line="240" w:lineRule="atLeast"/>
        <w:ind w:left="850" w:hanging="850"/>
        <w:outlineLvl w:val="0"/>
        <w:rPr>
          <w:noProof/>
          <w:szCs w:val="20"/>
          <w:lang w:val="cs-CZ"/>
        </w:rPr>
      </w:pPr>
    </w:p>
    <w:p w:rsidR="003B6E11" w:rsidRPr="003B6E11" w:rsidRDefault="003B6E11" w:rsidP="003B6E11">
      <w:pPr>
        <w:spacing w:line="240" w:lineRule="atLeast"/>
        <w:ind w:left="850" w:hanging="850"/>
        <w:outlineLvl w:val="0"/>
        <w:rPr>
          <w:b/>
          <w:noProof/>
          <w:szCs w:val="20"/>
          <w:lang w:val="cs-CZ"/>
        </w:rPr>
      </w:pPr>
      <w:r w:rsidRPr="003B6E11">
        <w:rPr>
          <w:b/>
          <w:noProof/>
          <w:lang w:val="cs-CZ"/>
        </w:rPr>
        <w:t xml:space="preserve">Dodatky: </w:t>
      </w:r>
    </w:p>
    <w:p w:rsidR="003B6E11" w:rsidRPr="003B6E11" w:rsidRDefault="003B6E11" w:rsidP="003B6E11">
      <w:pPr>
        <w:spacing w:line="240" w:lineRule="atLeast"/>
        <w:ind w:left="850" w:hanging="850"/>
        <w:outlineLvl w:val="0"/>
        <w:rPr>
          <w:noProof/>
          <w:szCs w:val="20"/>
          <w:lang w:val="cs-CZ"/>
        </w:rPr>
      </w:pPr>
    </w:p>
    <w:p w:rsidR="003B6E11" w:rsidRPr="003B6E11" w:rsidRDefault="003B6E11" w:rsidP="003B6E11">
      <w:pPr>
        <w:spacing w:line="240" w:lineRule="atLeast"/>
        <w:ind w:left="567" w:hanging="567"/>
        <w:rPr>
          <w:noProof/>
          <w:szCs w:val="20"/>
          <w:lang w:val="cs-CZ"/>
        </w:rPr>
      </w:pPr>
      <w:r w:rsidRPr="003B6E11">
        <w:rPr>
          <w:lang w:val="cs-CZ"/>
        </w:rPr>
        <w:t>1.</w:t>
      </w:r>
      <w:r w:rsidRPr="003B6E11">
        <w:rPr>
          <w:lang w:val="cs-CZ"/>
        </w:rPr>
        <w:tab/>
        <w:t xml:space="preserve">Hlavní parametry typu palubní čistírny odpadních vod </w:t>
      </w:r>
    </w:p>
    <w:p w:rsidR="003B6E11" w:rsidRPr="003B6E11" w:rsidRDefault="003B6E11" w:rsidP="003B6E11">
      <w:pPr>
        <w:spacing w:before="60" w:line="240" w:lineRule="atLeast"/>
        <w:ind w:left="567" w:hanging="567"/>
        <w:rPr>
          <w:noProof/>
          <w:szCs w:val="20"/>
          <w:lang w:val="cs-CZ"/>
        </w:rPr>
      </w:pPr>
      <w:r w:rsidRPr="003B6E11">
        <w:rPr>
          <w:lang w:val="cs-CZ"/>
        </w:rPr>
        <w:t>2.</w:t>
      </w:r>
      <w:r w:rsidRPr="003B6E11">
        <w:rPr>
          <w:lang w:val="cs-CZ"/>
        </w:rPr>
        <w:tab/>
        <w:t xml:space="preserve">Konstrukční kritéria, kritéria dimenzování a specifikace dimenzování a použité předpisy </w:t>
      </w:r>
    </w:p>
    <w:p w:rsidR="003B6E11" w:rsidRPr="003B6E11" w:rsidRDefault="003B6E11" w:rsidP="003B6E11">
      <w:pPr>
        <w:spacing w:before="60" w:line="240" w:lineRule="atLeast"/>
        <w:ind w:left="567" w:hanging="567"/>
        <w:rPr>
          <w:noProof/>
          <w:szCs w:val="20"/>
          <w:lang w:val="cs-CZ"/>
        </w:rPr>
      </w:pPr>
      <w:r w:rsidRPr="003B6E11">
        <w:rPr>
          <w:lang w:val="cs-CZ"/>
        </w:rPr>
        <w:t>3.</w:t>
      </w:r>
      <w:r w:rsidRPr="003B6E11">
        <w:rPr>
          <w:lang w:val="cs-CZ"/>
        </w:rPr>
        <w:tab/>
        <w:t>Schématický diagram palubní čistírny odpadních vod se seznamem dílů</w:t>
      </w:r>
    </w:p>
    <w:p w:rsidR="003B6E11" w:rsidRPr="003B6E11" w:rsidRDefault="003B6E11" w:rsidP="003B6E11">
      <w:pPr>
        <w:spacing w:before="60" w:line="240" w:lineRule="atLeast"/>
        <w:ind w:left="567" w:hanging="567"/>
        <w:rPr>
          <w:noProof/>
          <w:szCs w:val="20"/>
          <w:lang w:val="cs-CZ"/>
        </w:rPr>
      </w:pPr>
      <w:r w:rsidRPr="003B6E11">
        <w:rPr>
          <w:lang w:val="cs-CZ"/>
        </w:rPr>
        <w:t>4.</w:t>
      </w:r>
      <w:r w:rsidRPr="003B6E11">
        <w:rPr>
          <w:lang w:val="cs-CZ"/>
        </w:rPr>
        <w:tab/>
        <w:t xml:space="preserve">Schématický diagram čistírny, u níž je prováděna zkouška, se seznamem dílů </w:t>
      </w:r>
    </w:p>
    <w:p w:rsidR="003B6E11" w:rsidRPr="003B6E11" w:rsidRDefault="003B6E11" w:rsidP="003B6E11">
      <w:pPr>
        <w:spacing w:before="60" w:line="240" w:lineRule="atLeast"/>
        <w:ind w:left="567" w:hanging="567"/>
        <w:rPr>
          <w:noProof/>
          <w:szCs w:val="20"/>
          <w:lang w:val="cs-CZ"/>
        </w:rPr>
      </w:pPr>
      <w:r w:rsidRPr="003B6E11">
        <w:rPr>
          <w:lang w:val="cs-CZ"/>
        </w:rPr>
        <w:t>5.</w:t>
      </w:r>
      <w:r w:rsidRPr="003B6E11">
        <w:rPr>
          <w:lang w:val="cs-CZ"/>
        </w:rPr>
        <w:tab/>
        <w:t xml:space="preserve">Schémata elektrického zapojení (schéma P/I) </w:t>
      </w:r>
    </w:p>
    <w:p w:rsidR="003B6E11" w:rsidRPr="003B6E11" w:rsidRDefault="003B6E11" w:rsidP="003B6E11">
      <w:pPr>
        <w:spacing w:before="60" w:line="240" w:lineRule="atLeast"/>
        <w:ind w:left="567" w:hanging="567"/>
        <w:rPr>
          <w:noProof/>
          <w:szCs w:val="20"/>
          <w:lang w:val="cs-CZ"/>
        </w:rPr>
      </w:pPr>
      <w:r w:rsidRPr="003B6E11">
        <w:rPr>
          <w:lang w:val="cs-CZ"/>
        </w:rPr>
        <w:t>6.</w:t>
      </w:r>
      <w:r w:rsidRPr="003B6E11">
        <w:rPr>
          <w:lang w:val="cs-CZ"/>
        </w:rPr>
        <w:tab/>
        <w:t xml:space="preserve">Prohlášení o tom, že byly dodrženy všechny specifikace týkající se mechanické, elektrické a technické bezpečnosti čistíren odpadních vod a specifikace týkající se lodní bezpečnosti </w:t>
      </w:r>
    </w:p>
    <w:p w:rsidR="003B6E11" w:rsidRPr="003B6E11" w:rsidRDefault="003B6E11" w:rsidP="003B6E11">
      <w:pPr>
        <w:spacing w:before="60" w:line="240" w:lineRule="atLeast"/>
        <w:ind w:left="567" w:hanging="567"/>
        <w:rPr>
          <w:noProof/>
          <w:szCs w:val="20"/>
          <w:lang w:val="cs-CZ"/>
        </w:rPr>
      </w:pPr>
      <w:r w:rsidRPr="003B6E11">
        <w:rPr>
          <w:lang w:val="cs-CZ"/>
        </w:rPr>
        <w:t>7.</w:t>
      </w:r>
      <w:r w:rsidRPr="003B6E11">
        <w:rPr>
          <w:lang w:val="cs-CZ"/>
        </w:rPr>
        <w:tab/>
        <w:t xml:space="preserve">Vlastnosti částí plavidla, které jsou spojeny s palubní čistírnou odpadních vod </w:t>
      </w:r>
    </w:p>
    <w:p w:rsidR="003B6E11" w:rsidRPr="003B6E11" w:rsidRDefault="003B6E11" w:rsidP="003B6E11">
      <w:pPr>
        <w:spacing w:before="60" w:line="240" w:lineRule="atLeast"/>
        <w:ind w:left="567" w:hanging="567"/>
        <w:rPr>
          <w:noProof/>
          <w:szCs w:val="20"/>
          <w:lang w:val="cs-CZ"/>
        </w:rPr>
      </w:pPr>
      <w:r w:rsidRPr="003B6E11">
        <w:rPr>
          <w:lang w:val="cs-CZ"/>
        </w:rPr>
        <w:t>8.</w:t>
      </w:r>
      <w:r w:rsidRPr="003B6E11">
        <w:rPr>
          <w:lang w:val="cs-CZ"/>
        </w:rPr>
        <w:tab/>
        <w:t>Pokyny výrobce ke kontrole konstrukčních dílů a parametrů palubní čistírny odpadních vod relevantních z hlediska čištění odpadních vod podle čl. 1.01 odst. 9.10.</w:t>
      </w:r>
    </w:p>
    <w:p w:rsidR="003B6E11" w:rsidRPr="003B6E11" w:rsidRDefault="003B6E11" w:rsidP="003B6E11">
      <w:pPr>
        <w:spacing w:line="240" w:lineRule="atLeast"/>
        <w:ind w:left="567" w:hanging="567"/>
        <w:rPr>
          <w:noProof/>
          <w:szCs w:val="20"/>
          <w:lang w:val="cs-CZ"/>
        </w:rPr>
      </w:pPr>
      <w:r w:rsidRPr="003B6E11">
        <w:rPr>
          <w:lang w:val="cs-CZ"/>
        </w:rPr>
        <w:br w:type="page"/>
      </w:r>
    </w:p>
    <w:p w:rsidR="003B6E11" w:rsidRPr="003B6E11" w:rsidRDefault="003B6E11" w:rsidP="003B6E11">
      <w:pPr>
        <w:spacing w:line="240" w:lineRule="atLeast"/>
        <w:ind w:left="567" w:hanging="567"/>
        <w:rPr>
          <w:noProof/>
          <w:szCs w:val="20"/>
          <w:lang w:val="cs-CZ"/>
        </w:rPr>
      </w:pPr>
      <w:r w:rsidRPr="003B6E11">
        <w:rPr>
          <w:lang w:val="cs-CZ"/>
        </w:rPr>
        <w:t>9.</w:t>
      </w:r>
      <w:r w:rsidRPr="003B6E11">
        <w:rPr>
          <w:lang w:val="cs-CZ"/>
        </w:rPr>
        <w:tab/>
        <w:t>Fotografie palubní čistírny odpadních vod</w:t>
      </w:r>
    </w:p>
    <w:p w:rsidR="003B6E11" w:rsidRPr="003B6E11" w:rsidRDefault="003B6E11" w:rsidP="003B6E11">
      <w:pPr>
        <w:spacing w:before="60" w:line="240" w:lineRule="atLeast"/>
        <w:ind w:left="567" w:hanging="567"/>
        <w:rPr>
          <w:noProof/>
          <w:szCs w:val="20"/>
          <w:lang w:val="cs-CZ"/>
        </w:rPr>
      </w:pPr>
      <w:r w:rsidRPr="003B6E11">
        <w:rPr>
          <w:lang w:val="cs-CZ"/>
        </w:rPr>
        <w:t>10.</w:t>
      </w:r>
      <w:r w:rsidRPr="003B6E11">
        <w:rPr>
          <w:lang w:val="cs-CZ"/>
        </w:rPr>
        <w:tab/>
        <w:t>Provozní koncepce</w:t>
      </w:r>
      <w:r w:rsidRPr="003B6E11">
        <w:rPr>
          <w:noProof/>
          <w:vertAlign w:val="superscript"/>
          <w:lang w:val="cs-CZ"/>
        </w:rPr>
        <w:t>(</w:t>
      </w:r>
      <w:r w:rsidRPr="003B6E11">
        <w:rPr>
          <w:noProof/>
          <w:vertAlign w:val="superscript"/>
          <w:lang w:val="cs-CZ"/>
        </w:rPr>
        <w:footnoteReference w:id="64"/>
      </w:r>
      <w:r w:rsidRPr="003B6E11">
        <w:rPr>
          <w:noProof/>
          <w:vertAlign w:val="superscript"/>
          <w:lang w:val="cs-CZ"/>
        </w:rPr>
        <w:t>)</w:t>
      </w:r>
    </w:p>
    <w:p w:rsidR="003B6E11" w:rsidRPr="003B6E11" w:rsidRDefault="003B6E11" w:rsidP="003B6E11">
      <w:pPr>
        <w:spacing w:before="60" w:line="240" w:lineRule="atLeast"/>
        <w:ind w:left="567" w:hanging="567"/>
        <w:rPr>
          <w:noProof/>
          <w:szCs w:val="20"/>
          <w:lang w:val="cs-CZ"/>
        </w:rPr>
      </w:pPr>
      <w:r w:rsidRPr="003B6E11">
        <w:rPr>
          <w:lang w:val="cs-CZ"/>
        </w:rPr>
        <w:t>10.1</w:t>
      </w:r>
      <w:r w:rsidRPr="003B6E11">
        <w:rPr>
          <w:lang w:val="cs-CZ"/>
        </w:rPr>
        <w:tab/>
        <w:t xml:space="preserve">Pokyny pro manuální provoz palubní čistírny odpadních vod </w:t>
      </w:r>
    </w:p>
    <w:p w:rsidR="003B6E11" w:rsidRPr="003B6E11" w:rsidRDefault="003B6E11" w:rsidP="003B6E11">
      <w:pPr>
        <w:spacing w:before="60" w:line="240" w:lineRule="atLeast"/>
        <w:ind w:left="567" w:hanging="567"/>
        <w:rPr>
          <w:noProof/>
          <w:szCs w:val="20"/>
          <w:lang w:val="cs-CZ"/>
        </w:rPr>
      </w:pPr>
      <w:r w:rsidRPr="003B6E11">
        <w:rPr>
          <w:lang w:val="cs-CZ"/>
        </w:rPr>
        <w:t>10.2</w:t>
      </w:r>
      <w:r w:rsidRPr="003B6E11">
        <w:rPr>
          <w:lang w:val="cs-CZ"/>
        </w:rPr>
        <w:tab/>
        <w:t>Poznámky k nakládání s přebytečným kalem (intervaly vypouštění)</w:t>
      </w:r>
    </w:p>
    <w:p w:rsidR="003B6E11" w:rsidRPr="003B6E11" w:rsidRDefault="003B6E11" w:rsidP="003B6E11">
      <w:pPr>
        <w:spacing w:before="60" w:line="240" w:lineRule="atLeast"/>
        <w:ind w:left="567" w:hanging="567"/>
        <w:rPr>
          <w:noProof/>
          <w:szCs w:val="20"/>
          <w:lang w:val="cs-CZ"/>
        </w:rPr>
      </w:pPr>
      <w:r w:rsidRPr="003B6E11">
        <w:rPr>
          <w:lang w:val="cs-CZ"/>
        </w:rPr>
        <w:t>10.3</w:t>
      </w:r>
      <w:r w:rsidRPr="003B6E11">
        <w:rPr>
          <w:lang w:val="cs-CZ"/>
        </w:rPr>
        <w:tab/>
        <w:t>Poznámky k údržbě a opravám</w:t>
      </w:r>
    </w:p>
    <w:p w:rsidR="003B6E11" w:rsidRPr="003B6E11" w:rsidRDefault="003B6E11" w:rsidP="003B6E11">
      <w:pPr>
        <w:spacing w:before="60" w:line="240" w:lineRule="atLeast"/>
        <w:ind w:left="567" w:hanging="567"/>
        <w:rPr>
          <w:noProof/>
          <w:szCs w:val="20"/>
          <w:lang w:val="cs-CZ"/>
        </w:rPr>
      </w:pPr>
      <w:r w:rsidRPr="003B6E11">
        <w:rPr>
          <w:lang w:val="cs-CZ"/>
        </w:rPr>
        <w:t>10.4</w:t>
      </w:r>
      <w:r w:rsidRPr="003B6E11">
        <w:rPr>
          <w:lang w:val="cs-CZ"/>
        </w:rPr>
        <w:tab/>
        <w:t>Poznámky k nezbytným opatřením v případě pohotovostního režimu palubní čistírny odpadních vod</w:t>
      </w:r>
    </w:p>
    <w:p w:rsidR="003B6E11" w:rsidRPr="003B6E11" w:rsidRDefault="003B6E11" w:rsidP="003B6E11">
      <w:pPr>
        <w:spacing w:before="60" w:line="240" w:lineRule="atLeast"/>
        <w:ind w:left="567" w:hanging="567"/>
        <w:rPr>
          <w:noProof/>
          <w:szCs w:val="20"/>
          <w:lang w:val="cs-CZ"/>
        </w:rPr>
      </w:pPr>
      <w:r w:rsidRPr="003B6E11">
        <w:rPr>
          <w:lang w:val="cs-CZ"/>
        </w:rPr>
        <w:t>10.5</w:t>
      </w:r>
      <w:r w:rsidRPr="003B6E11">
        <w:rPr>
          <w:lang w:val="cs-CZ"/>
        </w:rPr>
        <w:tab/>
        <w:t>Poznámky k nezbytným opatřením v případě nouzového režimu palubní čistírny odpadních vod</w:t>
      </w:r>
    </w:p>
    <w:p w:rsidR="003B6E11" w:rsidRPr="003B6E11" w:rsidRDefault="003B6E11" w:rsidP="003B6E11">
      <w:pPr>
        <w:spacing w:before="60" w:line="240" w:lineRule="atLeast"/>
        <w:ind w:left="567" w:hanging="567"/>
        <w:rPr>
          <w:noProof/>
          <w:szCs w:val="20"/>
          <w:lang w:val="cs-CZ"/>
        </w:rPr>
      </w:pPr>
      <w:r w:rsidRPr="003B6E11">
        <w:rPr>
          <w:lang w:val="cs-CZ"/>
        </w:rPr>
        <w:t>10.6</w:t>
      </w:r>
      <w:r w:rsidRPr="003B6E11">
        <w:rPr>
          <w:lang w:val="cs-CZ"/>
        </w:rPr>
        <w:tab/>
        <w:t>Poznámky k omezenému provozu, zastavení a znovuspuštění palubní čistírny odpadních vod</w:t>
      </w:r>
    </w:p>
    <w:p w:rsidR="003B6E11" w:rsidRPr="003B6E11" w:rsidRDefault="003B6E11" w:rsidP="003B6E11">
      <w:pPr>
        <w:spacing w:before="60" w:line="240" w:lineRule="atLeast"/>
        <w:ind w:left="567" w:hanging="567"/>
        <w:rPr>
          <w:noProof/>
          <w:szCs w:val="20"/>
          <w:lang w:val="cs-CZ"/>
        </w:rPr>
      </w:pPr>
      <w:r w:rsidRPr="003B6E11">
        <w:rPr>
          <w:lang w:val="cs-CZ"/>
        </w:rPr>
        <w:t>10.7</w:t>
      </w:r>
      <w:r w:rsidRPr="003B6E11">
        <w:rPr>
          <w:lang w:val="cs-CZ"/>
        </w:rPr>
        <w:tab/>
        <w:t xml:space="preserve">Poznámky k požadavkům na předčištění odpadních vod z kuchyně </w:t>
      </w:r>
    </w:p>
    <w:p w:rsidR="003B6E11" w:rsidRPr="003B6E11" w:rsidRDefault="003B6E11" w:rsidP="003B6E11">
      <w:pPr>
        <w:spacing w:before="60" w:line="240" w:lineRule="atLeast"/>
        <w:ind w:left="567" w:hanging="567"/>
        <w:rPr>
          <w:noProof/>
          <w:szCs w:val="20"/>
          <w:lang w:val="cs-CZ"/>
        </w:rPr>
      </w:pPr>
      <w:r w:rsidRPr="003B6E11">
        <w:rPr>
          <w:lang w:val="cs-CZ"/>
        </w:rPr>
        <w:t>11.</w:t>
      </w:r>
      <w:r w:rsidRPr="003B6E11">
        <w:rPr>
          <w:lang w:val="cs-CZ"/>
        </w:rPr>
        <w:tab/>
        <w:t>Jiné dodatky (uvést zde)</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p>
    <w:p w:rsidR="003B6E11" w:rsidRPr="003B6E11" w:rsidRDefault="003B6E11" w:rsidP="003B6E11">
      <w:pPr>
        <w:outlineLvl w:val="0"/>
        <w:rPr>
          <w:b/>
          <w:noProof/>
          <w:szCs w:val="20"/>
          <w:lang w:val="cs-CZ"/>
        </w:rPr>
      </w:pPr>
      <w:r w:rsidRPr="003B6E11">
        <w:rPr>
          <w:b/>
          <w:noProof/>
          <w:lang w:val="cs-CZ"/>
        </w:rPr>
        <w:t>Datum, podpis výrobce palubní čistírny odpadních vod</w:t>
      </w:r>
    </w:p>
    <w:p w:rsidR="003B6E11" w:rsidRPr="003B6E11" w:rsidRDefault="003B6E11" w:rsidP="003B6E11">
      <w:pPr>
        <w:spacing w:line="240" w:lineRule="atLeast"/>
        <w:rPr>
          <w:rFonts w:cs="Arial"/>
          <w:noProof/>
          <w:color w:val="000000"/>
          <w:lang w:val="cs-CZ"/>
        </w:rPr>
      </w:pPr>
    </w:p>
    <w:p w:rsidR="003B6E11" w:rsidRPr="003B6E11" w:rsidRDefault="003B6E11" w:rsidP="003B6E11">
      <w:pPr>
        <w:rPr>
          <w:noProof/>
          <w:szCs w:val="20"/>
          <w:lang w:val="cs-CZ"/>
        </w:rPr>
      </w:pPr>
      <w:r w:rsidRPr="003B6E11">
        <w:rPr>
          <w:lang w:val="cs-CZ"/>
        </w:rPr>
        <w:t>……………………………………………</w:t>
      </w:r>
      <w:r w:rsidRPr="003B6E11">
        <w:rPr>
          <w:lang w:val="cs-CZ"/>
        </w:rPr>
        <w:tab/>
        <w:t>………………………………………….</w:t>
      </w:r>
    </w:p>
    <w:p w:rsidR="003B6E11" w:rsidRPr="003B6E11" w:rsidRDefault="003B6E11" w:rsidP="003B6E11">
      <w:pPr>
        <w:rPr>
          <w:noProof/>
          <w:szCs w:val="20"/>
          <w:lang w:val="cs-CZ"/>
        </w:rPr>
      </w:pPr>
    </w:p>
    <w:p w:rsidR="003B6E11" w:rsidRPr="003B6E11" w:rsidRDefault="003B6E11" w:rsidP="003B6E11">
      <w:pPr>
        <w:tabs>
          <w:tab w:val="left" w:pos="142"/>
        </w:tabs>
        <w:suppressAutoHyphens/>
        <w:spacing w:line="240" w:lineRule="atLeast"/>
        <w:rPr>
          <w:rFonts w:cs="Arial"/>
          <w:szCs w:val="20"/>
          <w:lang w:val="cs-CZ"/>
        </w:rPr>
      </w:pPr>
    </w:p>
    <w:p w:rsidR="003B6E11" w:rsidRPr="003B6E11" w:rsidRDefault="003B6E11" w:rsidP="003B6E11">
      <w:pPr>
        <w:tabs>
          <w:tab w:val="center" w:pos="7655"/>
        </w:tabs>
        <w:suppressAutoHyphens/>
        <w:spacing w:line="240" w:lineRule="atLeast"/>
        <w:jc w:val="center"/>
        <w:rPr>
          <w:rFonts w:cs="Arial"/>
          <w:b/>
          <w:lang w:val="cs-CZ"/>
        </w:rPr>
      </w:pPr>
      <w:r w:rsidRPr="003B6E11">
        <w:rPr>
          <w:b/>
          <w:lang w:val="cs-CZ"/>
        </w:rPr>
        <w:t>Dodatek 1</w:t>
      </w:r>
    </w:p>
    <w:p w:rsidR="003B6E11" w:rsidRPr="003B6E11" w:rsidRDefault="003B6E11" w:rsidP="003B6E11">
      <w:pPr>
        <w:tabs>
          <w:tab w:val="center" w:pos="7655"/>
        </w:tabs>
        <w:suppressAutoHyphens/>
        <w:spacing w:line="240" w:lineRule="atLeast"/>
        <w:jc w:val="center"/>
        <w:rPr>
          <w:rFonts w:cs="Arial"/>
          <w:szCs w:val="20"/>
          <w:lang w:val="cs-CZ"/>
        </w:rPr>
      </w:pPr>
      <w:r w:rsidRPr="003B6E11">
        <w:rPr>
          <w:b/>
          <w:lang w:val="cs-CZ"/>
        </w:rPr>
        <w:t xml:space="preserve">Hlavní charakteristiky typu palubní čistírny odpadních vod </w:t>
      </w:r>
      <w:r w:rsidRPr="003B6E11">
        <w:rPr>
          <w:rFonts w:cs="Arial"/>
          <w:b/>
          <w:szCs w:val="20"/>
          <w:lang w:val="cs-CZ"/>
        </w:rPr>
        <w:br/>
      </w:r>
      <w:r w:rsidRPr="003B6E11">
        <w:rPr>
          <w:lang w:val="cs-CZ"/>
        </w:rPr>
        <w:t>(Vzor)</w:t>
      </w:r>
    </w:p>
    <w:p w:rsidR="003B6E11" w:rsidRPr="003B6E11" w:rsidRDefault="003B6E11" w:rsidP="003B6E11">
      <w:pPr>
        <w:suppressAutoHyphens/>
        <w:spacing w:line="240" w:lineRule="atLeast"/>
        <w:ind w:left="993" w:hanging="993"/>
        <w:rPr>
          <w:rFonts w:cs="Arial"/>
          <w:szCs w:val="20"/>
          <w:lang w:val="cs-CZ"/>
        </w:rPr>
      </w:pPr>
    </w:p>
    <w:p w:rsidR="003B6E11" w:rsidRPr="003B6E11" w:rsidRDefault="003B6E11" w:rsidP="003B6E11">
      <w:pPr>
        <w:ind w:left="850" w:hanging="850"/>
        <w:outlineLvl w:val="0"/>
        <w:rPr>
          <w:b/>
          <w:noProof/>
          <w:szCs w:val="20"/>
          <w:lang w:val="cs-CZ"/>
        </w:rPr>
      </w:pPr>
      <w:r w:rsidRPr="003B6E11">
        <w:rPr>
          <w:b/>
          <w:noProof/>
          <w:lang w:val="cs-CZ"/>
        </w:rPr>
        <w:t>1.</w:t>
      </w:r>
      <w:r w:rsidRPr="003B6E11">
        <w:rPr>
          <w:lang w:val="cs-CZ"/>
        </w:rPr>
        <w:tab/>
      </w:r>
      <w:r w:rsidRPr="003B6E11">
        <w:rPr>
          <w:b/>
          <w:noProof/>
          <w:lang w:val="cs-CZ"/>
        </w:rPr>
        <w:t>Popis palubní čistírny odpadních vod</w:t>
      </w:r>
    </w:p>
    <w:p w:rsidR="003B6E11" w:rsidRPr="003B6E11" w:rsidRDefault="003B6E11" w:rsidP="003B6E11">
      <w:pPr>
        <w:tabs>
          <w:tab w:val="left" w:leader="dot" w:pos="9072"/>
        </w:tabs>
        <w:ind w:left="851" w:hanging="851"/>
        <w:rPr>
          <w:noProof/>
          <w:szCs w:val="20"/>
          <w:lang w:val="cs-CZ"/>
        </w:rPr>
      </w:pPr>
      <w:r w:rsidRPr="003B6E11">
        <w:rPr>
          <w:lang w:val="cs-CZ"/>
        </w:rPr>
        <w:t>1.1</w:t>
      </w:r>
      <w:r w:rsidRPr="003B6E11">
        <w:rPr>
          <w:lang w:val="cs-CZ"/>
        </w:rPr>
        <w:tab/>
        <w:t xml:space="preserve">Výrobce: </w:t>
      </w:r>
      <w:r w:rsidRPr="003B6E11">
        <w:rPr>
          <w:lang w:val="cs-CZ"/>
        </w:rPr>
        <w:tab/>
      </w:r>
    </w:p>
    <w:p w:rsidR="003B6E11" w:rsidRPr="003B6E11" w:rsidRDefault="003B6E11" w:rsidP="003B6E11">
      <w:pPr>
        <w:tabs>
          <w:tab w:val="left" w:leader="dot" w:pos="9072"/>
        </w:tabs>
        <w:ind w:left="851" w:hanging="851"/>
        <w:rPr>
          <w:noProof/>
          <w:szCs w:val="20"/>
          <w:lang w:val="cs-CZ"/>
        </w:rPr>
      </w:pPr>
      <w:r w:rsidRPr="003B6E11">
        <w:rPr>
          <w:lang w:val="cs-CZ"/>
        </w:rPr>
        <w:t>1.2</w:t>
      </w:r>
      <w:r w:rsidRPr="003B6E11">
        <w:rPr>
          <w:lang w:val="cs-CZ"/>
        </w:rPr>
        <w:tab/>
        <w:t xml:space="preserve">Sériové číslo čistírny: </w:t>
      </w:r>
      <w:r w:rsidRPr="003B6E11">
        <w:rPr>
          <w:lang w:val="cs-CZ"/>
        </w:rPr>
        <w:tab/>
      </w:r>
    </w:p>
    <w:p w:rsidR="003B6E11" w:rsidRPr="003B6E11" w:rsidRDefault="003B6E11" w:rsidP="003B6E11">
      <w:pPr>
        <w:ind w:left="850" w:hanging="850"/>
        <w:rPr>
          <w:noProof/>
          <w:szCs w:val="20"/>
          <w:lang w:val="cs-CZ"/>
        </w:rPr>
      </w:pPr>
      <w:r w:rsidRPr="003B6E11">
        <w:rPr>
          <w:lang w:val="cs-CZ"/>
        </w:rPr>
        <w:t>1.3</w:t>
      </w:r>
      <w:r w:rsidRPr="003B6E11">
        <w:rPr>
          <w:lang w:val="cs-CZ"/>
        </w:rPr>
        <w:tab/>
        <w:t xml:space="preserve">Způsob čištění: biologické nebo mechanicko-chemické </w:t>
      </w:r>
      <w:r w:rsidRPr="003B6E11">
        <w:rPr>
          <w:noProof/>
          <w:vertAlign w:val="superscript"/>
          <w:lang w:val="cs-CZ"/>
        </w:rPr>
        <w:t>(</w:t>
      </w:r>
      <w:r w:rsidRPr="003B6E11">
        <w:rPr>
          <w:noProof/>
          <w:vertAlign w:val="superscript"/>
          <w:lang w:val="cs-CZ"/>
        </w:rPr>
        <w:footnoteReference w:id="65"/>
      </w:r>
      <w:r w:rsidRPr="003B6E11">
        <w:rPr>
          <w:noProof/>
          <w:vertAlign w:val="superscript"/>
          <w:lang w:val="cs-CZ"/>
        </w:rPr>
        <w:t>)</w:t>
      </w:r>
    </w:p>
    <w:p w:rsidR="003B6E11" w:rsidRPr="003B6E11" w:rsidRDefault="003B6E11" w:rsidP="003B6E11">
      <w:pPr>
        <w:ind w:left="850" w:hanging="850"/>
        <w:rPr>
          <w:noProof/>
          <w:szCs w:val="20"/>
          <w:lang w:val="cs-CZ"/>
        </w:rPr>
      </w:pPr>
      <w:r w:rsidRPr="003B6E11">
        <w:rPr>
          <w:lang w:val="cs-CZ"/>
        </w:rPr>
        <w:t>1.4</w:t>
      </w:r>
      <w:r w:rsidRPr="003B6E11">
        <w:rPr>
          <w:lang w:val="cs-CZ"/>
        </w:rPr>
        <w:tab/>
        <w:t>Předsazená sedimentační nádrž? Ano, … m³ / Ne</w:t>
      </w:r>
      <w:r w:rsidRPr="003B6E11">
        <w:rPr>
          <w:noProof/>
          <w:vertAlign w:val="superscript"/>
          <w:lang w:val="cs-CZ"/>
        </w:rPr>
        <w:t>(2)</w:t>
      </w:r>
    </w:p>
    <w:p w:rsidR="003B6E11" w:rsidRPr="003B6E11" w:rsidRDefault="003B6E11" w:rsidP="003B6E11">
      <w:pPr>
        <w:ind w:left="850" w:hanging="850"/>
        <w:outlineLvl w:val="0"/>
        <w:rPr>
          <w:b/>
          <w:bCs/>
          <w:noProof/>
          <w:szCs w:val="20"/>
          <w:lang w:val="cs-CZ"/>
        </w:rPr>
      </w:pPr>
    </w:p>
    <w:p w:rsidR="003B6E11" w:rsidRPr="003B6E11" w:rsidRDefault="003B6E11" w:rsidP="003B6E11">
      <w:pPr>
        <w:ind w:left="850" w:hanging="850"/>
        <w:outlineLvl w:val="0"/>
        <w:rPr>
          <w:b/>
          <w:bCs/>
          <w:noProof/>
          <w:szCs w:val="20"/>
          <w:lang w:val="cs-CZ"/>
        </w:rPr>
      </w:pPr>
      <w:r w:rsidRPr="003B6E11">
        <w:rPr>
          <w:b/>
          <w:noProof/>
          <w:lang w:val="cs-CZ"/>
        </w:rPr>
        <w:t>2.</w:t>
      </w:r>
      <w:r w:rsidRPr="003B6E11">
        <w:rPr>
          <w:lang w:val="cs-CZ"/>
        </w:rPr>
        <w:tab/>
      </w:r>
      <w:r w:rsidRPr="003B6E11">
        <w:rPr>
          <w:b/>
          <w:noProof/>
          <w:lang w:val="cs-CZ"/>
        </w:rPr>
        <w:t xml:space="preserve">Konstrukční kritéria a kritéria dimenzování (včetně případných zvláštních pokynů k montáži nebo omezení použití) </w:t>
      </w:r>
    </w:p>
    <w:p w:rsidR="003B6E11" w:rsidRPr="003B6E11" w:rsidRDefault="003B6E11" w:rsidP="003B6E11">
      <w:pPr>
        <w:tabs>
          <w:tab w:val="left" w:leader="dot" w:pos="9072"/>
        </w:tabs>
        <w:ind w:left="851" w:hanging="851"/>
        <w:rPr>
          <w:noProof/>
          <w:szCs w:val="20"/>
          <w:lang w:val="cs-CZ"/>
        </w:rPr>
      </w:pPr>
      <w:r w:rsidRPr="003B6E11">
        <w:rPr>
          <w:lang w:val="cs-CZ"/>
        </w:rPr>
        <w:t>2.1</w:t>
      </w:r>
      <w:r w:rsidRPr="003B6E11">
        <w:rPr>
          <w:lang w:val="cs-CZ"/>
        </w:rPr>
        <w:tab/>
      </w:r>
      <w:r w:rsidRPr="003B6E11">
        <w:rPr>
          <w:lang w:val="cs-CZ"/>
        </w:rPr>
        <w:tab/>
      </w:r>
    </w:p>
    <w:p w:rsidR="003B6E11" w:rsidRPr="003B6E11" w:rsidRDefault="003B6E11" w:rsidP="003B6E11">
      <w:pPr>
        <w:tabs>
          <w:tab w:val="left" w:leader="dot" w:pos="9072"/>
        </w:tabs>
        <w:ind w:left="851" w:hanging="851"/>
        <w:rPr>
          <w:noProof/>
          <w:szCs w:val="20"/>
          <w:lang w:val="cs-CZ"/>
        </w:rPr>
      </w:pPr>
      <w:r w:rsidRPr="003B6E11">
        <w:rPr>
          <w:lang w:val="cs-CZ"/>
        </w:rPr>
        <w:t>2.2</w:t>
      </w:r>
      <w:r w:rsidRPr="003B6E11">
        <w:rPr>
          <w:lang w:val="cs-CZ"/>
        </w:rPr>
        <w:tab/>
      </w:r>
      <w:r w:rsidRPr="003B6E11">
        <w:rPr>
          <w:lang w:val="cs-CZ"/>
        </w:rPr>
        <w:tab/>
      </w:r>
    </w:p>
    <w:p w:rsidR="003B6E11" w:rsidRPr="003B6E11" w:rsidRDefault="003B6E11" w:rsidP="003B6E11">
      <w:pPr>
        <w:ind w:left="850" w:hanging="850"/>
        <w:rPr>
          <w:noProof/>
          <w:szCs w:val="20"/>
          <w:lang w:val="cs-CZ"/>
        </w:rPr>
      </w:pPr>
    </w:p>
    <w:p w:rsidR="003B6E11" w:rsidRPr="003B6E11" w:rsidRDefault="003B6E11" w:rsidP="003B6E11">
      <w:pPr>
        <w:ind w:left="850" w:hanging="850"/>
        <w:outlineLvl w:val="0"/>
        <w:rPr>
          <w:b/>
          <w:bCs/>
          <w:noProof/>
          <w:szCs w:val="20"/>
          <w:lang w:val="cs-CZ"/>
        </w:rPr>
      </w:pPr>
      <w:r w:rsidRPr="003B6E11">
        <w:rPr>
          <w:b/>
          <w:noProof/>
          <w:lang w:val="cs-CZ"/>
        </w:rPr>
        <w:t>3.</w:t>
      </w:r>
      <w:r w:rsidRPr="003B6E11">
        <w:rPr>
          <w:lang w:val="cs-CZ"/>
        </w:rPr>
        <w:tab/>
      </w:r>
      <w:r w:rsidRPr="003B6E11">
        <w:rPr>
          <w:b/>
          <w:noProof/>
          <w:lang w:val="cs-CZ"/>
        </w:rPr>
        <w:t>Dimenzování palubní čistírny odpadních vod</w:t>
      </w:r>
    </w:p>
    <w:p w:rsidR="003B6E11" w:rsidRPr="003B6E11" w:rsidRDefault="003B6E11" w:rsidP="003B6E11">
      <w:pPr>
        <w:tabs>
          <w:tab w:val="left" w:leader="dot" w:pos="9072"/>
        </w:tabs>
        <w:ind w:left="851" w:hanging="851"/>
        <w:rPr>
          <w:noProof/>
          <w:szCs w:val="20"/>
          <w:lang w:val="cs-CZ"/>
        </w:rPr>
      </w:pPr>
      <w:r w:rsidRPr="003B6E11">
        <w:rPr>
          <w:lang w:val="cs-CZ"/>
        </w:rPr>
        <w:t>3.1</w:t>
      </w:r>
      <w:r w:rsidRPr="003B6E11">
        <w:rPr>
          <w:lang w:val="cs-CZ"/>
        </w:rPr>
        <w:tab/>
        <w:t xml:space="preserve">Maximální denní objemový průtok odpadních vod </w:t>
      </w:r>
      <m:oMath>
        <m:sSub>
          <m:sSubPr>
            <m:ctrlPr>
              <w:rPr>
                <w:rFonts w:ascii="Cambria Math" w:hAnsi="Cambria Math" w:cs="Arial"/>
                <w:i/>
                <w:szCs w:val="20"/>
                <w:lang w:val="cs-CZ"/>
              </w:rPr>
            </m:ctrlPr>
          </m:sSubPr>
          <m:e>
            <m:r>
              <w:rPr>
                <w:rFonts w:ascii="Cambria Math" w:hAnsi="Cambria Math" w:cs="Arial"/>
                <w:szCs w:val="20"/>
                <w:lang w:val="cs-CZ"/>
              </w:rPr>
              <m:t>Q</m:t>
            </m:r>
          </m:e>
          <m:sub>
            <m:r>
              <w:rPr>
                <w:rFonts w:ascii="Cambria Math" w:hAnsi="Cambria Math" w:cs="Arial"/>
                <w:szCs w:val="20"/>
                <w:lang w:val="cs-CZ"/>
              </w:rPr>
              <m:t>d</m:t>
            </m:r>
          </m:sub>
        </m:sSub>
      </m:oMath>
      <w:r w:rsidRPr="003B6E11">
        <w:rPr>
          <w:lang w:val="cs-CZ"/>
        </w:rPr>
        <w:t xml:space="preserve"> (m³/d): </w:t>
      </w:r>
      <w:r w:rsidRPr="003B6E11">
        <w:rPr>
          <w:lang w:val="cs-CZ"/>
        </w:rPr>
        <w:tab/>
      </w:r>
    </w:p>
    <w:p w:rsidR="003B6E11" w:rsidRPr="003B6E11" w:rsidRDefault="003B6E11" w:rsidP="003B6E11">
      <w:pPr>
        <w:tabs>
          <w:tab w:val="left" w:leader="dot" w:pos="9072"/>
        </w:tabs>
        <w:ind w:left="851" w:hanging="851"/>
        <w:rPr>
          <w:noProof/>
          <w:szCs w:val="20"/>
          <w:lang w:val="cs-CZ"/>
        </w:rPr>
      </w:pPr>
      <w:r w:rsidRPr="003B6E11">
        <w:rPr>
          <w:lang w:val="cs-CZ"/>
        </w:rPr>
        <w:t>3.2</w:t>
      </w:r>
      <w:r w:rsidRPr="003B6E11">
        <w:rPr>
          <w:lang w:val="cs-CZ"/>
        </w:rPr>
        <w:tab/>
        <w:t xml:space="preserve">Denní zátěž znečištěním </w:t>
      </w:r>
      <m:oMath>
        <m:sSub>
          <m:sSubPr>
            <m:ctrlPr>
              <w:rPr>
                <w:rFonts w:ascii="Cambria Math" w:hAnsi="Cambria Math"/>
                <w:i/>
                <w:noProof/>
                <w:lang w:val="cs-CZ"/>
              </w:rPr>
            </m:ctrlPr>
          </m:sSubPr>
          <m:e>
            <m:r>
              <w:rPr>
                <w:rFonts w:ascii="Cambria Math" w:hAnsi="Cambria Math"/>
                <w:noProof/>
                <w:lang w:val="cs-CZ"/>
              </w:rPr>
              <m:t>BOD</m:t>
            </m:r>
          </m:e>
          <m:sub>
            <m:r>
              <w:rPr>
                <w:rFonts w:ascii="Cambria Math" w:hAnsi="Cambria Math"/>
                <w:noProof/>
                <w:lang w:val="cs-CZ"/>
              </w:rPr>
              <m:t>5</m:t>
            </m:r>
          </m:sub>
        </m:sSub>
      </m:oMath>
      <w:r w:rsidRPr="003B6E11">
        <w:rPr>
          <w:lang w:val="cs-CZ"/>
        </w:rPr>
        <w:t xml:space="preserve"> (kg/d): </w:t>
      </w:r>
      <w:r w:rsidRPr="003B6E11">
        <w:rPr>
          <w:lang w:val="cs-CZ"/>
        </w:rPr>
        <w:tab/>
      </w:r>
    </w:p>
    <w:p w:rsidR="003B6E11" w:rsidRPr="003B6E11" w:rsidRDefault="003B6E11" w:rsidP="003B6E11">
      <w:pPr>
        <w:ind w:left="850" w:hanging="850"/>
        <w:rPr>
          <w:noProof/>
          <w:szCs w:val="20"/>
          <w:lang w:val="cs-CZ"/>
        </w:rPr>
      </w:pPr>
    </w:p>
    <w:p w:rsidR="003B6E11" w:rsidRPr="003B6E11" w:rsidRDefault="003B6E11" w:rsidP="003B6E11">
      <w:pPr>
        <w:ind w:left="850" w:hanging="850"/>
        <w:rPr>
          <w:noProof/>
          <w:szCs w:val="20"/>
          <w:lang w:val="cs-CZ"/>
        </w:rPr>
      </w:pPr>
    </w:p>
    <w:p w:rsidR="003B6E11" w:rsidRPr="003B6E11" w:rsidRDefault="003B6E11" w:rsidP="003B6E11">
      <w:pPr>
        <w:ind w:left="850" w:hanging="850"/>
        <w:rPr>
          <w:noProof/>
          <w:szCs w:val="20"/>
          <w:lang w:val="cs-CZ"/>
        </w:rPr>
      </w:pPr>
    </w:p>
    <w:p w:rsidR="003B6E11" w:rsidRPr="003B6E11" w:rsidRDefault="003B6E11" w:rsidP="003B6E11">
      <w:pPr>
        <w:tabs>
          <w:tab w:val="center" w:pos="7956"/>
        </w:tabs>
        <w:suppressAutoHyphens/>
        <w:spacing w:line="240" w:lineRule="atLeast"/>
        <w:jc w:val="right"/>
        <w:rPr>
          <w:rFonts w:cs="Arial"/>
          <w:szCs w:val="20"/>
          <w:lang w:val="cs-CZ"/>
        </w:rPr>
      </w:pPr>
      <w:r w:rsidRPr="003B6E11">
        <w:rPr>
          <w:lang w:val="cs-CZ"/>
        </w:rPr>
        <w:br w:type="page"/>
      </w:r>
    </w:p>
    <w:p w:rsidR="003B6E11" w:rsidRPr="003B6E11" w:rsidRDefault="003B6E11" w:rsidP="003B6E11">
      <w:pPr>
        <w:pStyle w:val="ES-Titre3"/>
        <w:rPr>
          <w:noProof/>
          <w:lang w:val="cs-CZ"/>
        </w:rPr>
      </w:pPr>
      <w:bookmarkStart w:id="690" w:name="_Toc491854328"/>
      <w:bookmarkStart w:id="691" w:name="_Toc535417234"/>
      <w:r w:rsidRPr="003B6E11">
        <w:rPr>
          <w:lang w:val="cs-CZ"/>
        </w:rPr>
        <w:t>Oddíl III</w:t>
      </w:r>
      <w:bookmarkEnd w:id="690"/>
      <w:bookmarkEnd w:id="691"/>
    </w:p>
    <w:p w:rsidR="003B6E11" w:rsidRPr="003B6E11" w:rsidRDefault="003B6E11" w:rsidP="003B6E11">
      <w:pPr>
        <w:pStyle w:val="ES-Titre3a"/>
        <w:rPr>
          <w:noProof/>
          <w:lang w:val="cs-CZ"/>
        </w:rPr>
      </w:pPr>
      <w:bookmarkStart w:id="692" w:name="_Toc491854329"/>
      <w:bookmarkStart w:id="693" w:name="_Toc535417235"/>
      <w:r w:rsidRPr="003B6E11">
        <w:rPr>
          <w:lang w:val="cs-CZ"/>
        </w:rPr>
        <w:t>Certifikát schválení typu</w:t>
      </w:r>
      <w:bookmarkEnd w:id="692"/>
      <w:bookmarkEnd w:id="693"/>
      <w:r w:rsidRPr="003B6E11">
        <w:rPr>
          <w:lang w:val="cs-CZ"/>
        </w:rPr>
        <w:t xml:space="preserve"> </w:t>
      </w:r>
    </w:p>
    <w:p w:rsidR="003B6E11" w:rsidRPr="003B6E11" w:rsidRDefault="003B6E11" w:rsidP="003B6E11">
      <w:pPr>
        <w:overflowPunct w:val="0"/>
        <w:adjustRightInd w:val="0"/>
        <w:spacing w:line="240" w:lineRule="exact"/>
        <w:jc w:val="center"/>
        <w:textAlignment w:val="baseline"/>
        <w:rPr>
          <w:rFonts w:eastAsia="Calibri"/>
          <w:noProof/>
          <w:lang w:val="cs-CZ"/>
        </w:rPr>
      </w:pPr>
      <w:r w:rsidRPr="003B6E11">
        <w:rPr>
          <w:lang w:val="cs-CZ"/>
        </w:rPr>
        <w:t>(Vzor)</w:t>
      </w:r>
    </w:p>
    <w:p w:rsidR="003B6E11" w:rsidRPr="003B6E11" w:rsidRDefault="003B6E11" w:rsidP="003B6E11">
      <w:pPr>
        <w:suppressAutoHyphens/>
        <w:spacing w:line="240" w:lineRule="atLeast"/>
        <w:rPr>
          <w:rFonts w:cs="Arial"/>
          <w:szCs w:val="20"/>
          <w:lang w:val="cs-CZ"/>
        </w:rPr>
      </w:pPr>
    </w:p>
    <w:p w:rsidR="003B6E11" w:rsidRPr="003B6E11" w:rsidRDefault="003B6E11" w:rsidP="003B6E11">
      <w:pPr>
        <w:jc w:val="right"/>
        <w:rPr>
          <w:b/>
          <w:noProof/>
          <w:szCs w:val="20"/>
          <w:lang w:val="cs-CZ"/>
        </w:rPr>
      </w:pPr>
      <w:r w:rsidRPr="003B6E11">
        <w:rPr>
          <w:lang w:val="cs-CZ"/>
        </w:rPr>
        <w:t>Razítko příslušného orgánu</w:t>
      </w:r>
    </w:p>
    <w:p w:rsidR="003B6E11" w:rsidRPr="003B6E11" w:rsidRDefault="003B6E11" w:rsidP="003B6E11">
      <w:pPr>
        <w:rPr>
          <w:b/>
          <w:noProof/>
          <w:szCs w:val="20"/>
          <w:lang w:val="cs-CZ"/>
        </w:rPr>
      </w:pPr>
    </w:p>
    <w:p w:rsidR="003B6E11" w:rsidRPr="003B6E11" w:rsidRDefault="003B6E11" w:rsidP="003B6E11">
      <w:pPr>
        <w:tabs>
          <w:tab w:val="left" w:leader="dot" w:pos="4253"/>
          <w:tab w:val="left" w:pos="4536"/>
          <w:tab w:val="left" w:leader="dot" w:pos="9072"/>
        </w:tabs>
        <w:ind w:left="851" w:hanging="851"/>
        <w:outlineLvl w:val="0"/>
        <w:rPr>
          <w:noProof/>
          <w:szCs w:val="20"/>
          <w:lang w:val="cs-CZ"/>
        </w:rPr>
      </w:pPr>
      <w:r w:rsidRPr="003B6E11">
        <w:rPr>
          <w:b/>
          <w:noProof/>
          <w:lang w:val="cs-CZ"/>
        </w:rPr>
        <w:t>Schválení typu č.</w:t>
      </w:r>
      <w:r w:rsidRPr="003B6E11">
        <w:rPr>
          <w:lang w:val="cs-CZ"/>
        </w:rPr>
        <w:t xml:space="preserve">: </w:t>
      </w:r>
      <w:r w:rsidRPr="003B6E11">
        <w:rPr>
          <w:lang w:val="cs-CZ"/>
        </w:rPr>
        <w:tab/>
      </w:r>
      <w:r w:rsidRPr="003B6E11">
        <w:rPr>
          <w:lang w:val="cs-CZ"/>
        </w:rPr>
        <w:tab/>
      </w:r>
      <w:r w:rsidRPr="003B6E11">
        <w:rPr>
          <w:b/>
          <w:noProof/>
          <w:lang w:val="cs-CZ"/>
        </w:rPr>
        <w:t>Prodloužení č.</w:t>
      </w:r>
      <w:r w:rsidRPr="003B6E11">
        <w:rPr>
          <w:lang w:val="cs-CZ"/>
        </w:rPr>
        <w:t xml:space="preserve">: </w:t>
      </w:r>
      <w:r w:rsidRPr="003B6E11">
        <w:rPr>
          <w:lang w:val="cs-CZ"/>
        </w:rPr>
        <w:tab/>
      </w:r>
    </w:p>
    <w:p w:rsidR="003B6E11" w:rsidRPr="003B6E11" w:rsidRDefault="003B6E11" w:rsidP="003B6E11">
      <w:pPr>
        <w:ind w:left="850" w:hanging="850"/>
        <w:rPr>
          <w:noProof/>
          <w:szCs w:val="20"/>
          <w:lang w:val="cs-CZ"/>
        </w:rPr>
      </w:pPr>
    </w:p>
    <w:p w:rsidR="003B6E11" w:rsidRPr="003B6E11" w:rsidRDefault="003B6E11" w:rsidP="003B6E11">
      <w:pPr>
        <w:tabs>
          <w:tab w:val="left" w:leader="dot" w:pos="9072"/>
        </w:tabs>
        <w:spacing w:line="240" w:lineRule="atLeast"/>
        <w:rPr>
          <w:rFonts w:cs="Arial"/>
          <w:noProof/>
          <w:lang w:val="cs-CZ"/>
        </w:rPr>
      </w:pPr>
      <w:r w:rsidRPr="003B6E11">
        <w:rPr>
          <w:lang w:val="cs-CZ"/>
        </w:rPr>
        <w:t xml:space="preserve">Oznámení o </w:t>
      </w:r>
    </w:p>
    <w:p w:rsidR="003B6E11" w:rsidRPr="003B6E11" w:rsidRDefault="003B6E11" w:rsidP="003B6E11">
      <w:pPr>
        <w:spacing w:line="240" w:lineRule="atLeast"/>
        <w:rPr>
          <w:rFonts w:cs="Arial"/>
          <w:noProof/>
          <w:color w:val="000000"/>
          <w:lang w:val="cs-CZ"/>
        </w:rPr>
      </w:pPr>
      <w:r w:rsidRPr="003B6E11">
        <w:rPr>
          <w:noProof/>
          <w:color w:val="000000"/>
          <w:lang w:val="cs-CZ"/>
        </w:rPr>
        <w:t>–</w:t>
      </w:r>
      <w:r w:rsidRPr="003B6E11">
        <w:rPr>
          <w:lang w:val="cs-CZ"/>
        </w:rPr>
        <w:tab/>
      </w:r>
      <w:r w:rsidRPr="003B6E11">
        <w:rPr>
          <w:noProof/>
          <w:color w:val="000000"/>
          <w:lang w:val="cs-CZ"/>
        </w:rPr>
        <w:t>vydání / prodloužení / zamítnutí / odejmutí</w:t>
      </w:r>
      <w:r w:rsidRPr="003B6E11">
        <w:rPr>
          <w:noProof/>
          <w:color w:val="000000"/>
          <w:vertAlign w:val="superscript"/>
          <w:lang w:val="cs-CZ"/>
        </w:rPr>
        <w:footnoteReference w:id="66"/>
      </w:r>
      <w:r w:rsidRPr="003B6E11">
        <w:rPr>
          <w:noProof/>
          <w:color w:val="000000"/>
          <w:lang w:val="cs-CZ"/>
        </w:rPr>
        <w:t xml:space="preserve"> </w:t>
      </w:r>
    </w:p>
    <w:p w:rsidR="003B6E11" w:rsidRPr="003B6E11" w:rsidRDefault="003B6E11" w:rsidP="003B6E11">
      <w:pPr>
        <w:tabs>
          <w:tab w:val="left" w:leader="dot" w:pos="9072"/>
        </w:tabs>
        <w:spacing w:line="240" w:lineRule="atLeast"/>
        <w:rPr>
          <w:rFonts w:cs="Arial"/>
          <w:noProof/>
          <w:lang w:val="cs-CZ"/>
        </w:rPr>
      </w:pPr>
      <w:r w:rsidRPr="003B6E11">
        <w:rPr>
          <w:lang w:val="cs-CZ"/>
        </w:rPr>
        <w:t xml:space="preserve">schválení typu palubní čistírny odpadních vod v souladu s evropskou normou, kterou se stanoví technické požadavky na plavidla vnitrozemské plavby (ES-TRIN). </w:t>
      </w:r>
    </w:p>
    <w:p w:rsidR="003B6E11" w:rsidRPr="003B6E11" w:rsidRDefault="003B6E11" w:rsidP="003B6E11">
      <w:pPr>
        <w:ind w:left="850" w:hanging="850"/>
        <w:rPr>
          <w:noProof/>
          <w:szCs w:val="20"/>
          <w:lang w:val="cs-CZ"/>
        </w:rPr>
      </w:pPr>
    </w:p>
    <w:p w:rsidR="003B6E11" w:rsidRPr="003B6E11" w:rsidRDefault="003B6E11" w:rsidP="003B6E11">
      <w:pPr>
        <w:tabs>
          <w:tab w:val="left" w:leader="dot" w:pos="9072"/>
        </w:tabs>
        <w:ind w:left="851" w:hanging="851"/>
        <w:rPr>
          <w:noProof/>
          <w:szCs w:val="20"/>
          <w:lang w:val="cs-CZ"/>
        </w:rPr>
      </w:pPr>
      <w:r w:rsidRPr="003B6E11">
        <w:rPr>
          <w:lang w:val="cs-CZ"/>
        </w:rPr>
        <w:t xml:space="preserve">Důvod případného prodloužení: </w:t>
      </w:r>
      <w:r w:rsidRPr="003B6E11">
        <w:rPr>
          <w:lang w:val="cs-CZ"/>
        </w:rPr>
        <w:tab/>
      </w:r>
    </w:p>
    <w:p w:rsidR="003B6E11" w:rsidRPr="003B6E11" w:rsidRDefault="003B6E11" w:rsidP="003B6E11">
      <w:pPr>
        <w:ind w:left="850" w:hanging="850"/>
        <w:rPr>
          <w:noProof/>
          <w:szCs w:val="20"/>
          <w:lang w:val="cs-CZ"/>
        </w:rPr>
      </w:pPr>
    </w:p>
    <w:p w:rsidR="003B6E11" w:rsidRPr="003B6E11" w:rsidRDefault="003B6E11" w:rsidP="003B6E11">
      <w:pPr>
        <w:ind w:left="850" w:hanging="850"/>
        <w:rPr>
          <w:noProof/>
          <w:szCs w:val="20"/>
          <w:lang w:val="cs-CZ"/>
        </w:rPr>
      </w:pPr>
    </w:p>
    <w:p w:rsidR="003B6E11" w:rsidRPr="003B6E11" w:rsidRDefault="003B6E11" w:rsidP="003B6E11">
      <w:pPr>
        <w:ind w:left="850" w:hanging="850"/>
        <w:outlineLvl w:val="0"/>
        <w:rPr>
          <w:b/>
          <w:bCs/>
          <w:noProof/>
          <w:szCs w:val="20"/>
          <w:lang w:val="cs-CZ"/>
        </w:rPr>
      </w:pPr>
      <w:r w:rsidRPr="003B6E11">
        <w:rPr>
          <w:b/>
          <w:noProof/>
          <w:lang w:val="cs-CZ"/>
        </w:rPr>
        <w:t>Oddíl I</w:t>
      </w:r>
    </w:p>
    <w:p w:rsidR="003B6E11" w:rsidRPr="003B6E11" w:rsidRDefault="003B6E11" w:rsidP="003B6E11">
      <w:pPr>
        <w:ind w:left="850" w:hanging="850"/>
        <w:rPr>
          <w:noProof/>
          <w:szCs w:val="20"/>
          <w:lang w:val="cs-CZ"/>
        </w:rPr>
      </w:pPr>
    </w:p>
    <w:p w:rsidR="003B6E11" w:rsidRPr="003B6E11" w:rsidRDefault="003B6E11" w:rsidP="003B6E11">
      <w:pPr>
        <w:tabs>
          <w:tab w:val="left" w:leader="dot" w:pos="9072"/>
        </w:tabs>
        <w:spacing w:line="240" w:lineRule="atLeast"/>
        <w:ind w:left="709" w:hanging="709"/>
        <w:rPr>
          <w:noProof/>
          <w:szCs w:val="20"/>
          <w:lang w:val="cs-CZ"/>
        </w:rPr>
      </w:pPr>
      <w:r w:rsidRPr="003B6E11">
        <w:rPr>
          <w:lang w:val="cs-CZ"/>
        </w:rPr>
        <w:t>0.</w:t>
      </w:r>
      <w:r w:rsidRPr="003B6E11">
        <w:rPr>
          <w:lang w:val="cs-CZ"/>
        </w:rPr>
        <w:tab/>
        <w:t>Obecně</w:t>
      </w:r>
    </w:p>
    <w:p w:rsidR="003B6E11" w:rsidRPr="003B6E11" w:rsidRDefault="003B6E11" w:rsidP="003B6E11">
      <w:pPr>
        <w:tabs>
          <w:tab w:val="left" w:leader="dot" w:pos="9072"/>
        </w:tabs>
        <w:spacing w:before="60" w:line="240" w:lineRule="atLeast"/>
        <w:ind w:left="709" w:hanging="709"/>
        <w:rPr>
          <w:noProof/>
          <w:szCs w:val="20"/>
          <w:lang w:val="cs-CZ"/>
        </w:rPr>
      </w:pPr>
      <w:r w:rsidRPr="003B6E11">
        <w:rPr>
          <w:lang w:val="cs-CZ"/>
        </w:rPr>
        <w:t>0.1</w:t>
      </w:r>
      <w:r w:rsidRPr="003B6E11">
        <w:rPr>
          <w:lang w:val="cs-CZ"/>
        </w:rPr>
        <w:tab/>
        <w:t xml:space="preserve">Značka (název společnosti výrobce): </w:t>
      </w:r>
      <w:r w:rsidRPr="003B6E11">
        <w:rPr>
          <w:lang w:val="cs-CZ"/>
        </w:rPr>
        <w:tab/>
      </w:r>
    </w:p>
    <w:p w:rsidR="003B6E11" w:rsidRPr="003B6E11" w:rsidRDefault="003B6E11" w:rsidP="003B6E11">
      <w:pPr>
        <w:tabs>
          <w:tab w:val="left" w:leader="dot" w:pos="9072"/>
        </w:tabs>
        <w:spacing w:before="60" w:line="240" w:lineRule="atLeast"/>
        <w:ind w:left="720" w:hanging="709"/>
        <w:rPr>
          <w:noProof/>
          <w:szCs w:val="20"/>
          <w:lang w:val="cs-CZ"/>
        </w:rPr>
      </w:pPr>
      <w:r w:rsidRPr="003B6E11">
        <w:rPr>
          <w:lang w:val="cs-CZ"/>
        </w:rPr>
        <w:t>0.2</w:t>
      </w:r>
      <w:r w:rsidRPr="003B6E11">
        <w:rPr>
          <w:lang w:val="cs-CZ"/>
        </w:rPr>
        <w:tab/>
        <w:t xml:space="preserve">Označení výrobce pro typ palubní čistírny odpadních vod: </w:t>
      </w:r>
      <w:r w:rsidRPr="003B6E11">
        <w:rPr>
          <w:lang w:val="cs-CZ"/>
        </w:rPr>
        <w:tab/>
      </w:r>
    </w:p>
    <w:p w:rsidR="003B6E11" w:rsidRPr="003B6E11" w:rsidRDefault="003B6E11" w:rsidP="003B6E11">
      <w:pPr>
        <w:tabs>
          <w:tab w:val="left" w:leader="dot" w:pos="9072"/>
        </w:tabs>
        <w:spacing w:before="60" w:line="240" w:lineRule="atLeast"/>
        <w:ind w:left="709"/>
        <w:rPr>
          <w:noProof/>
          <w:szCs w:val="20"/>
          <w:lang w:val="cs-CZ"/>
        </w:rPr>
      </w:pPr>
      <w:r w:rsidRPr="003B6E11">
        <w:rPr>
          <w:lang w:val="cs-CZ"/>
        </w:rPr>
        <w:tab/>
      </w:r>
    </w:p>
    <w:p w:rsidR="003B6E11" w:rsidRPr="003B6E11" w:rsidRDefault="003B6E11" w:rsidP="003B6E11">
      <w:pPr>
        <w:tabs>
          <w:tab w:val="left" w:leader="dot" w:pos="9072"/>
        </w:tabs>
        <w:spacing w:before="60" w:line="240" w:lineRule="atLeast"/>
        <w:ind w:left="709" w:hanging="709"/>
        <w:rPr>
          <w:noProof/>
          <w:szCs w:val="20"/>
          <w:lang w:val="cs-CZ"/>
        </w:rPr>
      </w:pPr>
      <w:r w:rsidRPr="003B6E11">
        <w:rPr>
          <w:lang w:val="cs-CZ"/>
        </w:rPr>
        <w:t>0.3</w:t>
      </w:r>
      <w:r w:rsidRPr="003B6E11">
        <w:rPr>
          <w:lang w:val="cs-CZ"/>
        </w:rPr>
        <w:tab/>
        <w:t xml:space="preserve">Kód výrobce pro typ odpovídající informacím připevněným na palubní čistírnu odpadních vod: </w:t>
      </w:r>
      <w:r w:rsidRPr="003B6E11">
        <w:rPr>
          <w:lang w:val="cs-CZ"/>
        </w:rPr>
        <w:tab/>
      </w:r>
    </w:p>
    <w:p w:rsidR="003B6E11" w:rsidRPr="003B6E11" w:rsidRDefault="003B6E11" w:rsidP="003B6E11">
      <w:pPr>
        <w:tabs>
          <w:tab w:val="left" w:leader="dot" w:pos="9072"/>
        </w:tabs>
        <w:spacing w:before="60" w:line="240" w:lineRule="atLeast"/>
        <w:ind w:left="709"/>
        <w:rPr>
          <w:noProof/>
          <w:szCs w:val="20"/>
          <w:lang w:val="cs-CZ"/>
        </w:rPr>
      </w:pPr>
      <w:r w:rsidRPr="003B6E11">
        <w:rPr>
          <w:lang w:val="cs-CZ"/>
        </w:rPr>
        <w:tab/>
      </w:r>
    </w:p>
    <w:p w:rsidR="003B6E11" w:rsidRPr="003B6E11" w:rsidRDefault="003B6E11" w:rsidP="003B6E11">
      <w:pPr>
        <w:tabs>
          <w:tab w:val="left" w:leader="dot" w:pos="9072"/>
        </w:tabs>
        <w:spacing w:before="60" w:line="240" w:lineRule="atLeast"/>
        <w:ind w:left="709"/>
        <w:rPr>
          <w:noProof/>
          <w:szCs w:val="20"/>
          <w:lang w:val="cs-CZ"/>
        </w:rPr>
      </w:pPr>
      <w:r w:rsidRPr="003B6E11">
        <w:rPr>
          <w:lang w:val="cs-CZ"/>
        </w:rPr>
        <w:t xml:space="preserve">Umístění: </w:t>
      </w:r>
      <w:r w:rsidRPr="003B6E11">
        <w:rPr>
          <w:lang w:val="cs-CZ"/>
        </w:rPr>
        <w:tab/>
      </w:r>
    </w:p>
    <w:p w:rsidR="003B6E11" w:rsidRPr="003B6E11" w:rsidRDefault="003B6E11" w:rsidP="003B6E11">
      <w:pPr>
        <w:tabs>
          <w:tab w:val="left" w:leader="dot" w:pos="9072"/>
        </w:tabs>
        <w:spacing w:before="60" w:line="240" w:lineRule="atLeast"/>
        <w:ind w:left="709"/>
        <w:rPr>
          <w:noProof/>
          <w:szCs w:val="20"/>
          <w:lang w:val="cs-CZ"/>
        </w:rPr>
      </w:pPr>
      <w:r w:rsidRPr="003B6E11">
        <w:rPr>
          <w:lang w:val="cs-CZ"/>
        </w:rPr>
        <w:t xml:space="preserve">Způsob připevnění: </w:t>
      </w:r>
      <w:r w:rsidRPr="003B6E11">
        <w:rPr>
          <w:lang w:val="cs-CZ"/>
        </w:rPr>
        <w:tab/>
      </w:r>
    </w:p>
    <w:p w:rsidR="003B6E11" w:rsidRPr="003B6E11" w:rsidRDefault="003B6E11" w:rsidP="003B6E11">
      <w:pPr>
        <w:tabs>
          <w:tab w:val="left" w:leader="dot" w:pos="9072"/>
        </w:tabs>
        <w:spacing w:before="60" w:line="240" w:lineRule="atLeast"/>
        <w:ind w:left="709" w:hanging="709"/>
        <w:rPr>
          <w:noProof/>
          <w:szCs w:val="20"/>
          <w:lang w:val="cs-CZ"/>
        </w:rPr>
      </w:pPr>
      <w:r w:rsidRPr="003B6E11">
        <w:rPr>
          <w:lang w:val="cs-CZ"/>
        </w:rPr>
        <w:t>0.4</w:t>
      </w:r>
      <w:r w:rsidRPr="003B6E11">
        <w:rPr>
          <w:lang w:val="cs-CZ"/>
        </w:rPr>
        <w:tab/>
        <w:t xml:space="preserve">Název a adresa výrobce: </w:t>
      </w:r>
      <w:r w:rsidRPr="003B6E11">
        <w:rPr>
          <w:lang w:val="cs-CZ"/>
        </w:rPr>
        <w:tab/>
      </w:r>
    </w:p>
    <w:p w:rsidR="003B6E11" w:rsidRPr="003B6E11" w:rsidRDefault="003B6E11" w:rsidP="003B6E11">
      <w:pPr>
        <w:tabs>
          <w:tab w:val="left" w:leader="dot" w:pos="9072"/>
        </w:tabs>
        <w:spacing w:before="60" w:line="240" w:lineRule="atLeast"/>
        <w:ind w:left="709"/>
        <w:rPr>
          <w:noProof/>
          <w:szCs w:val="20"/>
          <w:lang w:val="cs-CZ"/>
        </w:rPr>
      </w:pPr>
      <w:r w:rsidRPr="003B6E11">
        <w:rPr>
          <w:lang w:val="cs-CZ"/>
        </w:rPr>
        <w:tab/>
      </w:r>
    </w:p>
    <w:p w:rsidR="003B6E11" w:rsidRPr="003B6E11" w:rsidRDefault="003B6E11" w:rsidP="003B6E11">
      <w:pPr>
        <w:tabs>
          <w:tab w:val="left" w:leader="dot" w:pos="9072"/>
        </w:tabs>
        <w:spacing w:before="60" w:line="240" w:lineRule="atLeast"/>
        <w:ind w:left="709"/>
        <w:rPr>
          <w:noProof/>
          <w:szCs w:val="20"/>
          <w:lang w:val="cs-CZ"/>
        </w:rPr>
      </w:pPr>
      <w:r w:rsidRPr="003B6E11">
        <w:rPr>
          <w:lang w:val="cs-CZ"/>
        </w:rPr>
        <w:t xml:space="preserve">Jméno a adresa případného oprávněného zástupce výrobce: </w:t>
      </w:r>
      <w:r w:rsidRPr="003B6E11">
        <w:rPr>
          <w:lang w:val="cs-CZ"/>
        </w:rPr>
        <w:tab/>
      </w:r>
    </w:p>
    <w:p w:rsidR="003B6E11" w:rsidRPr="003B6E11" w:rsidRDefault="003B6E11" w:rsidP="003B6E11">
      <w:pPr>
        <w:tabs>
          <w:tab w:val="left" w:leader="dot" w:pos="9072"/>
        </w:tabs>
        <w:spacing w:before="60" w:line="240" w:lineRule="atLeast"/>
        <w:ind w:left="709"/>
        <w:rPr>
          <w:noProof/>
          <w:szCs w:val="20"/>
          <w:lang w:val="cs-CZ"/>
        </w:rPr>
      </w:pPr>
      <w:r w:rsidRPr="003B6E11">
        <w:rPr>
          <w:lang w:val="cs-CZ"/>
        </w:rPr>
        <w:tab/>
      </w:r>
    </w:p>
    <w:p w:rsidR="003B6E11" w:rsidRPr="003B6E11" w:rsidRDefault="003B6E11" w:rsidP="003B6E11">
      <w:pPr>
        <w:tabs>
          <w:tab w:val="left" w:leader="dot" w:pos="9072"/>
        </w:tabs>
        <w:spacing w:before="60" w:line="240" w:lineRule="atLeast"/>
        <w:ind w:left="709" w:hanging="709"/>
        <w:rPr>
          <w:noProof/>
          <w:szCs w:val="20"/>
          <w:lang w:val="cs-CZ"/>
        </w:rPr>
      </w:pPr>
      <w:r w:rsidRPr="003B6E11">
        <w:rPr>
          <w:lang w:val="cs-CZ"/>
        </w:rPr>
        <w:t>0.5</w:t>
      </w:r>
      <w:r w:rsidRPr="003B6E11">
        <w:rPr>
          <w:lang w:val="cs-CZ"/>
        </w:rPr>
        <w:tab/>
        <w:t xml:space="preserve">Umístění, kódování a způsob připevnění sériového čísla palubní čistírny odpadních vod: </w:t>
      </w:r>
      <w:r w:rsidRPr="003B6E11">
        <w:rPr>
          <w:lang w:val="cs-CZ"/>
        </w:rPr>
        <w:tab/>
      </w:r>
    </w:p>
    <w:p w:rsidR="003B6E11" w:rsidRPr="003B6E11" w:rsidRDefault="003B6E11" w:rsidP="003B6E11">
      <w:pPr>
        <w:tabs>
          <w:tab w:val="left" w:leader="dot" w:pos="9072"/>
        </w:tabs>
        <w:spacing w:before="60" w:line="240" w:lineRule="atLeast"/>
        <w:ind w:left="709"/>
        <w:rPr>
          <w:noProof/>
          <w:szCs w:val="20"/>
          <w:lang w:val="cs-CZ"/>
        </w:rPr>
      </w:pPr>
      <w:r w:rsidRPr="003B6E11">
        <w:rPr>
          <w:lang w:val="cs-CZ"/>
        </w:rPr>
        <w:tab/>
      </w:r>
    </w:p>
    <w:p w:rsidR="003B6E11" w:rsidRPr="003B6E11" w:rsidRDefault="003B6E11" w:rsidP="003B6E11">
      <w:pPr>
        <w:tabs>
          <w:tab w:val="left" w:leader="dot" w:pos="9072"/>
        </w:tabs>
        <w:spacing w:before="60" w:line="240" w:lineRule="atLeast"/>
        <w:ind w:left="709"/>
        <w:rPr>
          <w:noProof/>
          <w:szCs w:val="20"/>
          <w:lang w:val="cs-CZ"/>
        </w:rPr>
      </w:pPr>
      <w:r w:rsidRPr="003B6E11">
        <w:rPr>
          <w:lang w:val="cs-CZ"/>
        </w:rPr>
        <w:tab/>
      </w:r>
    </w:p>
    <w:p w:rsidR="003B6E11" w:rsidRPr="003B6E11" w:rsidRDefault="003B6E11" w:rsidP="003B6E11">
      <w:pPr>
        <w:tabs>
          <w:tab w:val="left" w:leader="dot" w:pos="9072"/>
        </w:tabs>
        <w:spacing w:before="60" w:line="240" w:lineRule="atLeast"/>
        <w:ind w:left="709" w:hanging="709"/>
        <w:rPr>
          <w:noProof/>
          <w:szCs w:val="20"/>
          <w:lang w:val="cs-CZ"/>
        </w:rPr>
      </w:pPr>
      <w:r w:rsidRPr="003B6E11">
        <w:rPr>
          <w:lang w:val="cs-CZ"/>
        </w:rPr>
        <w:t>0.6</w:t>
      </w:r>
      <w:r w:rsidRPr="003B6E11">
        <w:rPr>
          <w:lang w:val="cs-CZ"/>
        </w:rPr>
        <w:tab/>
        <w:t xml:space="preserve">Umístění a způsob připevnění čísla schválení typu: </w:t>
      </w:r>
      <w:r w:rsidRPr="003B6E11">
        <w:rPr>
          <w:lang w:val="cs-CZ"/>
        </w:rPr>
        <w:tab/>
      </w:r>
    </w:p>
    <w:p w:rsidR="003B6E11" w:rsidRPr="003B6E11" w:rsidRDefault="003B6E11" w:rsidP="003B6E11">
      <w:pPr>
        <w:tabs>
          <w:tab w:val="left" w:leader="dot" w:pos="9072"/>
        </w:tabs>
        <w:spacing w:before="60" w:line="240" w:lineRule="atLeast"/>
        <w:ind w:left="709"/>
        <w:rPr>
          <w:noProof/>
          <w:szCs w:val="20"/>
          <w:lang w:val="cs-CZ"/>
        </w:rPr>
      </w:pPr>
      <w:r w:rsidRPr="003B6E11">
        <w:rPr>
          <w:lang w:val="cs-CZ"/>
        </w:rPr>
        <w:tab/>
      </w:r>
    </w:p>
    <w:p w:rsidR="003B6E11" w:rsidRPr="003B6E11" w:rsidRDefault="003B6E11" w:rsidP="003B6E11">
      <w:pPr>
        <w:tabs>
          <w:tab w:val="left" w:leader="dot" w:pos="9072"/>
        </w:tabs>
        <w:spacing w:before="60" w:line="240" w:lineRule="atLeast"/>
        <w:ind w:left="709" w:hanging="709"/>
        <w:rPr>
          <w:noProof/>
          <w:szCs w:val="20"/>
          <w:lang w:val="cs-CZ"/>
        </w:rPr>
      </w:pPr>
      <w:r w:rsidRPr="003B6E11">
        <w:rPr>
          <w:lang w:val="cs-CZ"/>
        </w:rPr>
        <w:t>0.7</w:t>
      </w:r>
      <w:r w:rsidRPr="003B6E11">
        <w:rPr>
          <w:lang w:val="cs-CZ"/>
        </w:rPr>
        <w:tab/>
        <w:t xml:space="preserve">Adresa (adresy) výrobních závodů: </w:t>
      </w:r>
      <w:r w:rsidRPr="003B6E11">
        <w:rPr>
          <w:lang w:val="cs-CZ"/>
        </w:rPr>
        <w:tab/>
      </w:r>
    </w:p>
    <w:p w:rsidR="003B6E11" w:rsidRPr="003B6E11" w:rsidRDefault="003B6E11" w:rsidP="003B6E11">
      <w:pPr>
        <w:tabs>
          <w:tab w:val="left" w:leader="dot" w:pos="9072"/>
        </w:tabs>
        <w:spacing w:before="60" w:line="240" w:lineRule="atLeast"/>
        <w:ind w:left="709"/>
        <w:rPr>
          <w:noProof/>
          <w:szCs w:val="20"/>
          <w:lang w:val="cs-CZ"/>
        </w:rPr>
      </w:pPr>
      <w:r w:rsidRPr="003B6E11">
        <w:rPr>
          <w:lang w:val="cs-CZ"/>
        </w:rPr>
        <w:tab/>
      </w:r>
    </w:p>
    <w:p w:rsidR="003B6E11" w:rsidRPr="003B6E11" w:rsidRDefault="003B6E11" w:rsidP="003B6E11">
      <w:pPr>
        <w:ind w:left="850" w:hanging="850"/>
        <w:outlineLvl w:val="0"/>
        <w:rPr>
          <w:b/>
          <w:bCs/>
          <w:noProof/>
          <w:szCs w:val="20"/>
          <w:lang w:val="cs-CZ"/>
        </w:rPr>
      </w:pPr>
    </w:p>
    <w:p w:rsidR="003B6E11" w:rsidRPr="003B6E11" w:rsidRDefault="003B6E11" w:rsidP="003B6E11">
      <w:pPr>
        <w:ind w:left="850" w:hanging="850"/>
        <w:outlineLvl w:val="0"/>
        <w:rPr>
          <w:b/>
          <w:bCs/>
          <w:noProof/>
          <w:szCs w:val="20"/>
          <w:lang w:val="cs-CZ"/>
        </w:rPr>
      </w:pPr>
      <w:r w:rsidRPr="003B6E11">
        <w:rPr>
          <w:lang w:val="cs-CZ"/>
        </w:rPr>
        <w:br w:type="page"/>
      </w:r>
    </w:p>
    <w:p w:rsidR="003B6E11" w:rsidRPr="003B6E11" w:rsidRDefault="003B6E11" w:rsidP="003B6E11">
      <w:pPr>
        <w:ind w:left="850" w:hanging="850"/>
        <w:outlineLvl w:val="0"/>
        <w:rPr>
          <w:b/>
          <w:bCs/>
          <w:noProof/>
          <w:szCs w:val="20"/>
          <w:lang w:val="cs-CZ"/>
        </w:rPr>
      </w:pPr>
      <w:r w:rsidRPr="003B6E11">
        <w:rPr>
          <w:b/>
          <w:noProof/>
          <w:lang w:val="cs-CZ"/>
        </w:rPr>
        <w:t>Oddíl II</w:t>
      </w:r>
    </w:p>
    <w:p w:rsidR="003B6E11" w:rsidRPr="003B6E11" w:rsidRDefault="003B6E11" w:rsidP="003B6E11">
      <w:pPr>
        <w:ind w:left="850" w:hanging="850"/>
        <w:rPr>
          <w:noProof/>
          <w:szCs w:val="20"/>
          <w:lang w:val="cs-CZ"/>
        </w:rPr>
      </w:pPr>
    </w:p>
    <w:p w:rsidR="003B6E11" w:rsidRPr="003B6E11" w:rsidRDefault="003B6E11" w:rsidP="003B6E11">
      <w:pPr>
        <w:tabs>
          <w:tab w:val="left" w:leader="dot" w:pos="9072"/>
        </w:tabs>
        <w:spacing w:before="60" w:line="240" w:lineRule="atLeast"/>
        <w:ind w:left="709" w:hanging="709"/>
        <w:rPr>
          <w:noProof/>
          <w:szCs w:val="20"/>
          <w:lang w:val="cs-CZ"/>
        </w:rPr>
      </w:pPr>
      <w:r w:rsidRPr="003B6E11">
        <w:rPr>
          <w:lang w:val="cs-CZ"/>
        </w:rPr>
        <w:t>1.</w:t>
      </w:r>
      <w:r w:rsidRPr="003B6E11">
        <w:rPr>
          <w:lang w:val="cs-CZ"/>
        </w:rPr>
        <w:tab/>
        <w:t xml:space="preserve">Případná omezení použití: </w:t>
      </w:r>
      <w:r w:rsidRPr="003B6E11">
        <w:rPr>
          <w:lang w:val="cs-CZ"/>
        </w:rPr>
        <w:tab/>
      </w:r>
    </w:p>
    <w:p w:rsidR="003B6E11" w:rsidRPr="003B6E11" w:rsidRDefault="003B6E11" w:rsidP="003B6E11">
      <w:pPr>
        <w:tabs>
          <w:tab w:val="left" w:leader="dot" w:pos="9072"/>
        </w:tabs>
        <w:spacing w:before="60" w:line="240" w:lineRule="atLeast"/>
        <w:ind w:left="709" w:hanging="709"/>
        <w:rPr>
          <w:noProof/>
          <w:szCs w:val="20"/>
          <w:lang w:val="cs-CZ"/>
        </w:rPr>
      </w:pPr>
      <w:r w:rsidRPr="003B6E11">
        <w:rPr>
          <w:lang w:val="cs-CZ"/>
        </w:rPr>
        <w:t>1.1</w:t>
      </w:r>
      <w:r w:rsidRPr="003B6E11">
        <w:rPr>
          <w:lang w:val="cs-CZ"/>
        </w:rPr>
        <w:tab/>
        <w:t>Zvláštní postupy, které je nutno dodržet při instalaci palubní čistírny odpadních vod na plavidle:</w:t>
      </w:r>
    </w:p>
    <w:p w:rsidR="003B6E11" w:rsidRPr="003B6E11" w:rsidRDefault="003B6E11" w:rsidP="003B6E11">
      <w:pPr>
        <w:tabs>
          <w:tab w:val="left" w:leader="dot" w:pos="9072"/>
        </w:tabs>
        <w:spacing w:before="60" w:line="240" w:lineRule="atLeast"/>
        <w:ind w:left="709"/>
        <w:rPr>
          <w:noProof/>
          <w:szCs w:val="20"/>
          <w:lang w:val="cs-CZ"/>
        </w:rPr>
      </w:pPr>
      <w:r w:rsidRPr="003B6E11">
        <w:rPr>
          <w:lang w:val="cs-CZ"/>
        </w:rPr>
        <w:tab/>
      </w:r>
    </w:p>
    <w:p w:rsidR="003B6E11" w:rsidRPr="003B6E11" w:rsidRDefault="003B6E11" w:rsidP="003B6E11">
      <w:pPr>
        <w:tabs>
          <w:tab w:val="left" w:leader="dot" w:pos="9072"/>
        </w:tabs>
        <w:spacing w:before="60" w:line="240" w:lineRule="atLeast"/>
        <w:ind w:left="709" w:hanging="709"/>
        <w:rPr>
          <w:noProof/>
          <w:szCs w:val="20"/>
          <w:lang w:val="cs-CZ"/>
        </w:rPr>
      </w:pPr>
      <w:r w:rsidRPr="003B6E11">
        <w:rPr>
          <w:lang w:val="cs-CZ"/>
        </w:rPr>
        <w:t xml:space="preserve">1.1.1 </w:t>
      </w:r>
      <w:r w:rsidRPr="003B6E11">
        <w:rPr>
          <w:lang w:val="cs-CZ"/>
        </w:rPr>
        <w:tab/>
      </w:r>
      <w:r w:rsidRPr="003B6E11">
        <w:rPr>
          <w:lang w:val="cs-CZ"/>
        </w:rPr>
        <w:tab/>
      </w:r>
    </w:p>
    <w:p w:rsidR="003B6E11" w:rsidRPr="003B6E11" w:rsidRDefault="003B6E11" w:rsidP="003B6E11">
      <w:pPr>
        <w:tabs>
          <w:tab w:val="left" w:leader="dot" w:pos="9072"/>
        </w:tabs>
        <w:spacing w:before="60" w:line="240" w:lineRule="atLeast"/>
        <w:ind w:left="709" w:hanging="709"/>
        <w:rPr>
          <w:noProof/>
          <w:szCs w:val="20"/>
          <w:lang w:val="cs-CZ"/>
        </w:rPr>
      </w:pPr>
      <w:r w:rsidRPr="003B6E11">
        <w:rPr>
          <w:lang w:val="cs-CZ"/>
        </w:rPr>
        <w:t xml:space="preserve">1.1.2 </w:t>
      </w:r>
      <w:r w:rsidRPr="003B6E11">
        <w:rPr>
          <w:lang w:val="cs-CZ"/>
        </w:rPr>
        <w:tab/>
      </w:r>
      <w:r w:rsidRPr="003B6E11">
        <w:rPr>
          <w:lang w:val="cs-CZ"/>
        </w:rPr>
        <w:tab/>
      </w:r>
    </w:p>
    <w:p w:rsidR="003B6E11" w:rsidRPr="003B6E11" w:rsidRDefault="003B6E11" w:rsidP="003B6E11">
      <w:pPr>
        <w:tabs>
          <w:tab w:val="left" w:leader="dot" w:pos="9072"/>
        </w:tabs>
        <w:spacing w:line="240" w:lineRule="atLeast"/>
        <w:ind w:left="709" w:hanging="709"/>
        <w:rPr>
          <w:noProof/>
          <w:szCs w:val="20"/>
          <w:lang w:val="cs-CZ"/>
        </w:rPr>
      </w:pPr>
    </w:p>
    <w:p w:rsidR="003B6E11" w:rsidRPr="003B6E11" w:rsidRDefault="003B6E11" w:rsidP="003B6E11">
      <w:pPr>
        <w:tabs>
          <w:tab w:val="left" w:leader="dot" w:pos="9072"/>
        </w:tabs>
        <w:spacing w:line="240" w:lineRule="atLeast"/>
        <w:ind w:left="709" w:hanging="709"/>
        <w:rPr>
          <w:noProof/>
          <w:szCs w:val="20"/>
          <w:lang w:val="cs-CZ"/>
        </w:rPr>
      </w:pPr>
      <w:r w:rsidRPr="003B6E11">
        <w:rPr>
          <w:lang w:val="cs-CZ"/>
        </w:rPr>
        <w:t>2.</w:t>
      </w:r>
      <w:r w:rsidRPr="003B6E11">
        <w:rPr>
          <w:lang w:val="cs-CZ"/>
        </w:rPr>
        <w:tab/>
        <w:t>Technická zkušebna odpovědná za zkoušku</w:t>
      </w:r>
      <w:r w:rsidRPr="003B6E11">
        <w:rPr>
          <w:noProof/>
          <w:vertAlign w:val="superscript"/>
          <w:lang w:val="cs-CZ"/>
        </w:rPr>
        <w:footnoteReference w:id="67"/>
      </w:r>
      <w:r w:rsidRPr="003B6E11">
        <w:rPr>
          <w:lang w:val="cs-CZ"/>
        </w:rPr>
        <w:t xml:space="preserve">: </w:t>
      </w:r>
      <w:r w:rsidRPr="003B6E11">
        <w:rPr>
          <w:lang w:val="cs-CZ"/>
        </w:rPr>
        <w:tab/>
      </w:r>
    </w:p>
    <w:p w:rsidR="003B6E11" w:rsidRPr="003B6E11" w:rsidRDefault="003B6E11" w:rsidP="003B6E11">
      <w:pPr>
        <w:tabs>
          <w:tab w:val="left" w:leader="dot" w:pos="9072"/>
        </w:tabs>
        <w:spacing w:before="60" w:line="240" w:lineRule="atLeast"/>
        <w:ind w:left="709"/>
        <w:rPr>
          <w:noProof/>
          <w:szCs w:val="20"/>
          <w:lang w:val="cs-CZ"/>
        </w:rPr>
      </w:pPr>
      <w:r w:rsidRPr="003B6E11">
        <w:rPr>
          <w:lang w:val="cs-CZ"/>
        </w:rPr>
        <w:tab/>
      </w:r>
    </w:p>
    <w:p w:rsidR="003B6E11" w:rsidRPr="003B6E11" w:rsidRDefault="003B6E11" w:rsidP="003B6E11">
      <w:pPr>
        <w:tabs>
          <w:tab w:val="left" w:leader="dot" w:pos="9072"/>
        </w:tabs>
        <w:spacing w:before="60" w:line="240" w:lineRule="atLeast"/>
        <w:ind w:left="709"/>
        <w:rPr>
          <w:noProof/>
          <w:szCs w:val="20"/>
          <w:lang w:val="cs-CZ"/>
        </w:rPr>
      </w:pPr>
      <w:r w:rsidRPr="003B6E11">
        <w:rPr>
          <w:lang w:val="cs-CZ"/>
        </w:rPr>
        <w:tab/>
      </w:r>
    </w:p>
    <w:p w:rsidR="003B6E11" w:rsidRPr="003B6E11" w:rsidRDefault="003B6E11" w:rsidP="003B6E11">
      <w:pPr>
        <w:tabs>
          <w:tab w:val="left" w:leader="dot" w:pos="9072"/>
        </w:tabs>
        <w:spacing w:line="240" w:lineRule="atLeast"/>
        <w:ind w:left="709" w:hanging="709"/>
        <w:rPr>
          <w:noProof/>
          <w:szCs w:val="20"/>
          <w:lang w:val="cs-CZ"/>
        </w:rPr>
      </w:pPr>
    </w:p>
    <w:p w:rsidR="003B6E11" w:rsidRPr="003B6E11" w:rsidRDefault="003B6E11" w:rsidP="003B6E11">
      <w:pPr>
        <w:tabs>
          <w:tab w:val="left" w:leader="dot" w:pos="9072"/>
        </w:tabs>
        <w:spacing w:line="240" w:lineRule="atLeast"/>
        <w:ind w:left="709" w:hanging="709"/>
        <w:rPr>
          <w:noProof/>
          <w:szCs w:val="20"/>
          <w:lang w:val="cs-CZ"/>
        </w:rPr>
      </w:pPr>
      <w:r w:rsidRPr="003B6E11">
        <w:rPr>
          <w:lang w:val="cs-CZ"/>
        </w:rPr>
        <w:t>3.</w:t>
      </w:r>
      <w:r w:rsidRPr="003B6E11">
        <w:rPr>
          <w:lang w:val="cs-CZ"/>
        </w:rPr>
        <w:tab/>
        <w:t xml:space="preserve">Datum zkušebního protokolu: </w:t>
      </w:r>
      <w:r w:rsidRPr="003B6E11">
        <w:rPr>
          <w:lang w:val="cs-CZ"/>
        </w:rPr>
        <w:tab/>
      </w:r>
    </w:p>
    <w:p w:rsidR="003B6E11" w:rsidRPr="003B6E11" w:rsidRDefault="003B6E11" w:rsidP="003B6E11">
      <w:pPr>
        <w:tabs>
          <w:tab w:val="left" w:leader="dot" w:pos="9072"/>
        </w:tabs>
        <w:spacing w:line="240" w:lineRule="atLeast"/>
        <w:ind w:left="709" w:hanging="709"/>
        <w:rPr>
          <w:noProof/>
          <w:szCs w:val="20"/>
          <w:lang w:val="cs-CZ"/>
        </w:rPr>
      </w:pPr>
    </w:p>
    <w:p w:rsidR="003B6E11" w:rsidRPr="003B6E11" w:rsidRDefault="003B6E11" w:rsidP="003B6E11">
      <w:pPr>
        <w:tabs>
          <w:tab w:val="left" w:leader="dot" w:pos="9072"/>
        </w:tabs>
        <w:spacing w:line="240" w:lineRule="atLeast"/>
        <w:ind w:left="709" w:hanging="709"/>
        <w:rPr>
          <w:noProof/>
          <w:szCs w:val="20"/>
          <w:lang w:val="cs-CZ"/>
        </w:rPr>
      </w:pPr>
      <w:r w:rsidRPr="003B6E11">
        <w:rPr>
          <w:lang w:val="cs-CZ"/>
        </w:rPr>
        <w:t>4.</w:t>
      </w:r>
      <w:r w:rsidRPr="003B6E11">
        <w:rPr>
          <w:lang w:val="cs-CZ"/>
        </w:rPr>
        <w:tab/>
        <w:t xml:space="preserve">Číslo zkušebního protokolu: </w:t>
      </w:r>
      <w:r w:rsidRPr="003B6E11">
        <w:rPr>
          <w:lang w:val="cs-CZ"/>
        </w:rPr>
        <w:tab/>
      </w:r>
    </w:p>
    <w:p w:rsidR="003B6E11" w:rsidRPr="003B6E11" w:rsidRDefault="003B6E11" w:rsidP="003B6E11">
      <w:pPr>
        <w:tabs>
          <w:tab w:val="left" w:leader="dot" w:pos="9072"/>
        </w:tabs>
        <w:spacing w:line="240" w:lineRule="atLeast"/>
        <w:ind w:left="709" w:hanging="709"/>
        <w:rPr>
          <w:noProof/>
          <w:szCs w:val="20"/>
          <w:lang w:val="cs-CZ"/>
        </w:rPr>
      </w:pPr>
    </w:p>
    <w:p w:rsidR="003B6E11" w:rsidRPr="003B6E11" w:rsidRDefault="003B6E11" w:rsidP="003B6E11">
      <w:pPr>
        <w:tabs>
          <w:tab w:val="left" w:leader="dot" w:pos="9072"/>
        </w:tabs>
        <w:spacing w:line="240" w:lineRule="atLeast"/>
        <w:ind w:left="709" w:hanging="709"/>
        <w:rPr>
          <w:noProof/>
          <w:szCs w:val="20"/>
          <w:lang w:val="cs-CZ"/>
        </w:rPr>
      </w:pPr>
      <w:r w:rsidRPr="003B6E11">
        <w:rPr>
          <w:lang w:val="cs-CZ"/>
        </w:rPr>
        <w:t>5.</w:t>
      </w:r>
      <w:r w:rsidRPr="003B6E11">
        <w:rPr>
          <w:lang w:val="cs-CZ"/>
        </w:rPr>
        <w:tab/>
        <w:t>Níže podepsaná osoba tímto potvrzuje, že informace výrobce uvedené v přiloženém informačním dokumentu k výše uvedené palubní čistírně odpadních vod podle přílohy 7 oddílu IX evropské normy, kterou se stanoví technické požadavky na plavidla vnitrozemské plavby (ES-TRIN) jsou přesné a přiložené výsledky zkoušek ve vztahu k typu palubní čistírny odpadních vod jsou platné. Vzorek nebo vzorky byly vybrány výrobcem se souhlasem příslušného orgánu a předloženy výrobcem jako konstrukční typ palubní čistírny odpadních vod:</w:t>
      </w:r>
    </w:p>
    <w:p w:rsidR="003B6E11" w:rsidRPr="003B6E11" w:rsidRDefault="003B6E11" w:rsidP="003B6E11">
      <w:pPr>
        <w:tabs>
          <w:tab w:val="left" w:leader="dot" w:pos="9072"/>
        </w:tabs>
        <w:spacing w:line="240" w:lineRule="atLeast"/>
        <w:ind w:left="709" w:hanging="709"/>
        <w:rPr>
          <w:noProof/>
          <w:szCs w:val="20"/>
          <w:lang w:val="cs-CZ"/>
        </w:rPr>
      </w:pPr>
    </w:p>
    <w:p w:rsidR="003B6E11" w:rsidRPr="003B6E11" w:rsidRDefault="003B6E11" w:rsidP="003B6E11">
      <w:pPr>
        <w:tabs>
          <w:tab w:val="left" w:leader="dot" w:pos="9072"/>
        </w:tabs>
        <w:spacing w:line="240" w:lineRule="atLeast"/>
        <w:ind w:left="709"/>
        <w:rPr>
          <w:noProof/>
          <w:szCs w:val="20"/>
          <w:lang w:val="cs-CZ"/>
        </w:rPr>
      </w:pPr>
      <w:r w:rsidRPr="003B6E11">
        <w:rPr>
          <w:lang w:val="cs-CZ"/>
        </w:rPr>
        <w:t>Schválení typu se vydává / prodlužuje / zamítá / odnímá</w:t>
      </w:r>
      <w:r w:rsidRPr="003B6E11">
        <w:rPr>
          <w:noProof/>
          <w:vertAlign w:val="superscript"/>
          <w:lang w:val="cs-CZ"/>
        </w:rPr>
        <w:footnoteReference w:id="68"/>
      </w:r>
      <w:r w:rsidRPr="003B6E11">
        <w:rPr>
          <w:lang w:val="cs-CZ"/>
        </w:rPr>
        <w:t>:</w:t>
      </w:r>
    </w:p>
    <w:p w:rsidR="003B6E11" w:rsidRPr="003B6E11" w:rsidRDefault="003B6E11" w:rsidP="003B6E11">
      <w:pPr>
        <w:tabs>
          <w:tab w:val="left" w:leader="dot" w:pos="9072"/>
        </w:tabs>
        <w:spacing w:before="60" w:line="240" w:lineRule="atLeast"/>
        <w:ind w:left="709"/>
        <w:rPr>
          <w:noProof/>
          <w:szCs w:val="20"/>
          <w:lang w:val="cs-CZ"/>
        </w:rPr>
      </w:pPr>
      <w:r w:rsidRPr="003B6E11">
        <w:rPr>
          <w:lang w:val="cs-CZ"/>
        </w:rPr>
        <w:t xml:space="preserve">Místo: </w:t>
      </w:r>
      <w:r w:rsidRPr="003B6E11">
        <w:rPr>
          <w:lang w:val="cs-CZ"/>
        </w:rPr>
        <w:tab/>
      </w:r>
    </w:p>
    <w:p w:rsidR="003B6E11" w:rsidRPr="003B6E11" w:rsidRDefault="003B6E11" w:rsidP="003B6E11">
      <w:pPr>
        <w:tabs>
          <w:tab w:val="left" w:leader="dot" w:pos="9072"/>
        </w:tabs>
        <w:spacing w:before="60" w:line="240" w:lineRule="atLeast"/>
        <w:ind w:left="709"/>
        <w:rPr>
          <w:noProof/>
          <w:szCs w:val="20"/>
          <w:lang w:val="cs-CZ"/>
        </w:rPr>
      </w:pPr>
      <w:r w:rsidRPr="003B6E11">
        <w:rPr>
          <w:lang w:val="cs-CZ"/>
        </w:rPr>
        <w:t xml:space="preserve">Datum: </w:t>
      </w:r>
      <w:r w:rsidRPr="003B6E11">
        <w:rPr>
          <w:lang w:val="cs-CZ"/>
        </w:rPr>
        <w:tab/>
      </w:r>
    </w:p>
    <w:p w:rsidR="003B6E11" w:rsidRPr="003B6E11" w:rsidRDefault="003B6E11" w:rsidP="003B6E11">
      <w:pPr>
        <w:tabs>
          <w:tab w:val="left" w:leader="dot" w:pos="9072"/>
        </w:tabs>
        <w:spacing w:before="60" w:line="240" w:lineRule="atLeast"/>
        <w:ind w:left="709"/>
        <w:rPr>
          <w:noProof/>
          <w:szCs w:val="20"/>
          <w:lang w:val="cs-CZ"/>
        </w:rPr>
      </w:pPr>
      <w:r w:rsidRPr="003B6E11">
        <w:rPr>
          <w:lang w:val="cs-CZ"/>
        </w:rPr>
        <w:t xml:space="preserve">Podpis: </w:t>
      </w:r>
      <w:r w:rsidRPr="003B6E11">
        <w:rPr>
          <w:lang w:val="cs-CZ"/>
        </w:rPr>
        <w:tab/>
      </w:r>
    </w:p>
    <w:p w:rsidR="003B6E11" w:rsidRPr="003B6E11" w:rsidRDefault="003B6E11" w:rsidP="003B6E11">
      <w:pPr>
        <w:tabs>
          <w:tab w:val="left" w:leader="dot" w:pos="9072"/>
        </w:tabs>
        <w:spacing w:before="60" w:line="240" w:lineRule="atLeast"/>
        <w:ind w:left="709"/>
        <w:rPr>
          <w:i/>
          <w:noProof/>
          <w:szCs w:val="20"/>
          <w:lang w:val="cs-CZ"/>
        </w:rPr>
      </w:pPr>
    </w:p>
    <w:p w:rsidR="003B6E11" w:rsidRPr="003B6E11" w:rsidRDefault="003B6E11" w:rsidP="003B6E11">
      <w:pPr>
        <w:tabs>
          <w:tab w:val="left" w:leader="dot" w:pos="9072"/>
        </w:tabs>
        <w:spacing w:before="60" w:line="240" w:lineRule="atLeast"/>
        <w:ind w:left="709"/>
        <w:rPr>
          <w:noProof/>
          <w:szCs w:val="20"/>
          <w:lang w:val="cs-CZ"/>
        </w:rPr>
      </w:pPr>
    </w:p>
    <w:p w:rsidR="003B6E11" w:rsidRPr="003B6E11" w:rsidRDefault="003B6E11" w:rsidP="003B6E11">
      <w:pPr>
        <w:tabs>
          <w:tab w:val="left" w:pos="1276"/>
          <w:tab w:val="left" w:leader="dot" w:pos="9072"/>
        </w:tabs>
        <w:spacing w:before="60" w:line="240" w:lineRule="atLeast"/>
        <w:rPr>
          <w:noProof/>
          <w:szCs w:val="20"/>
          <w:lang w:val="cs-CZ"/>
        </w:rPr>
      </w:pPr>
      <w:r w:rsidRPr="003B6E11">
        <w:rPr>
          <w:lang w:val="cs-CZ"/>
        </w:rPr>
        <w:t>Dodatky:</w:t>
      </w:r>
      <w:r w:rsidRPr="003B6E11">
        <w:rPr>
          <w:lang w:val="cs-CZ"/>
        </w:rPr>
        <w:tab/>
        <w:t>Dokumentace výrobce</w:t>
      </w:r>
    </w:p>
    <w:p w:rsidR="003B6E11" w:rsidRPr="003B6E11" w:rsidRDefault="003B6E11" w:rsidP="003B6E11">
      <w:pPr>
        <w:tabs>
          <w:tab w:val="left" w:leader="dot" w:pos="9072"/>
        </w:tabs>
        <w:spacing w:before="60" w:line="240" w:lineRule="atLeast"/>
        <w:ind w:left="1276"/>
        <w:rPr>
          <w:noProof/>
          <w:szCs w:val="20"/>
          <w:lang w:val="cs-CZ"/>
        </w:rPr>
      </w:pPr>
      <w:r w:rsidRPr="003B6E11">
        <w:rPr>
          <w:lang w:val="cs-CZ"/>
        </w:rPr>
        <w:t>Výsledky zkoušek (viz dodatek 1)</w:t>
      </w:r>
    </w:p>
    <w:p w:rsidR="003B6E11" w:rsidRPr="003B6E11" w:rsidRDefault="003B6E11" w:rsidP="003B6E11">
      <w:pPr>
        <w:suppressAutoHyphens/>
        <w:spacing w:line="240" w:lineRule="atLeast"/>
        <w:jc w:val="center"/>
        <w:rPr>
          <w:rFonts w:cs="Arial"/>
          <w:szCs w:val="20"/>
          <w:lang w:val="cs-CZ"/>
        </w:rPr>
      </w:pPr>
      <w:r w:rsidRPr="003B6E11">
        <w:rPr>
          <w:lang w:val="cs-CZ"/>
        </w:rPr>
        <w:br w:type="page"/>
      </w:r>
    </w:p>
    <w:p w:rsidR="003B6E11" w:rsidRPr="003B6E11" w:rsidRDefault="003B6E11" w:rsidP="003B6E11">
      <w:pPr>
        <w:suppressAutoHyphens/>
        <w:spacing w:line="240" w:lineRule="atLeast"/>
        <w:jc w:val="center"/>
        <w:rPr>
          <w:rFonts w:cs="Arial"/>
          <w:b/>
          <w:szCs w:val="20"/>
          <w:lang w:val="cs-CZ"/>
        </w:rPr>
      </w:pPr>
      <w:r w:rsidRPr="003B6E11">
        <w:rPr>
          <w:b/>
          <w:lang w:val="cs-CZ"/>
        </w:rPr>
        <w:t>Dodatek 1</w:t>
      </w:r>
    </w:p>
    <w:p w:rsidR="003B6E11" w:rsidRPr="003B6E11" w:rsidRDefault="003B6E11" w:rsidP="003B6E11">
      <w:pPr>
        <w:tabs>
          <w:tab w:val="center" w:pos="7513"/>
          <w:tab w:val="center" w:pos="8222"/>
        </w:tabs>
        <w:suppressAutoHyphens/>
        <w:spacing w:line="240" w:lineRule="atLeast"/>
        <w:jc w:val="center"/>
        <w:rPr>
          <w:rFonts w:cs="Arial"/>
          <w:szCs w:val="20"/>
          <w:lang w:val="cs-CZ"/>
        </w:rPr>
      </w:pPr>
      <w:r w:rsidRPr="003B6E11">
        <w:rPr>
          <w:b/>
          <w:lang w:val="cs-CZ"/>
        </w:rPr>
        <w:t xml:space="preserve">Výsledky zkoušek schválení typu </w:t>
      </w:r>
      <w:r w:rsidRPr="003B6E11">
        <w:rPr>
          <w:rFonts w:cs="Arial"/>
          <w:b/>
          <w:szCs w:val="20"/>
          <w:lang w:val="cs-CZ"/>
        </w:rPr>
        <w:br/>
      </w:r>
      <w:r w:rsidRPr="003B6E11">
        <w:rPr>
          <w:lang w:val="cs-CZ"/>
        </w:rPr>
        <w:t>(Vzor)</w:t>
      </w:r>
    </w:p>
    <w:p w:rsidR="003B6E11" w:rsidRPr="003B6E11" w:rsidRDefault="003B6E11" w:rsidP="003B6E11">
      <w:pPr>
        <w:spacing w:line="240" w:lineRule="atLeast"/>
        <w:ind w:left="709" w:hanging="709"/>
        <w:rPr>
          <w:rFonts w:cs="Arial"/>
          <w:color w:val="000000"/>
          <w:szCs w:val="20"/>
          <w:lang w:val="cs-CZ"/>
        </w:rPr>
      </w:pPr>
    </w:p>
    <w:p w:rsidR="003B6E11" w:rsidRPr="003B6E11" w:rsidRDefault="003B6E11" w:rsidP="003B6E11">
      <w:pPr>
        <w:spacing w:line="240" w:lineRule="atLeast"/>
        <w:ind w:left="709" w:hanging="709"/>
        <w:rPr>
          <w:rFonts w:cs="Arial"/>
          <w:color w:val="000000"/>
          <w:szCs w:val="20"/>
          <w:lang w:val="cs-CZ"/>
        </w:rPr>
      </w:pPr>
    </w:p>
    <w:p w:rsidR="003B6E11" w:rsidRPr="003B6E11" w:rsidRDefault="003B6E11" w:rsidP="003B6E11">
      <w:pPr>
        <w:spacing w:line="240" w:lineRule="atLeast"/>
        <w:ind w:left="709" w:hanging="709"/>
        <w:rPr>
          <w:rFonts w:cs="Arial"/>
          <w:noProof/>
          <w:color w:val="000000"/>
          <w:szCs w:val="20"/>
          <w:lang w:val="cs-CZ"/>
        </w:rPr>
      </w:pPr>
      <w:r w:rsidRPr="003B6E11">
        <w:rPr>
          <w:noProof/>
          <w:color w:val="000000"/>
          <w:lang w:val="cs-CZ"/>
        </w:rPr>
        <w:t>0.</w:t>
      </w:r>
      <w:r w:rsidRPr="003B6E11">
        <w:rPr>
          <w:lang w:val="cs-CZ"/>
        </w:rPr>
        <w:tab/>
      </w:r>
      <w:r w:rsidRPr="003B6E11">
        <w:rPr>
          <w:noProof/>
          <w:color w:val="000000"/>
          <w:lang w:val="cs-CZ"/>
        </w:rPr>
        <w:t>Obecně</w:t>
      </w:r>
    </w:p>
    <w:p w:rsidR="003B6E11" w:rsidRPr="003B6E11" w:rsidRDefault="003B6E11" w:rsidP="003B6E11">
      <w:pPr>
        <w:tabs>
          <w:tab w:val="left" w:leader="dot" w:pos="9072"/>
        </w:tabs>
        <w:spacing w:before="60" w:line="240" w:lineRule="atLeast"/>
        <w:ind w:left="709" w:hanging="709"/>
        <w:rPr>
          <w:rFonts w:cs="Arial"/>
          <w:noProof/>
          <w:color w:val="000000"/>
          <w:szCs w:val="20"/>
          <w:lang w:val="cs-CZ"/>
        </w:rPr>
      </w:pPr>
      <w:r w:rsidRPr="003B6E11">
        <w:rPr>
          <w:noProof/>
          <w:color w:val="000000"/>
          <w:lang w:val="cs-CZ"/>
        </w:rPr>
        <w:t>0.1</w:t>
      </w:r>
      <w:r w:rsidRPr="003B6E11">
        <w:rPr>
          <w:lang w:val="cs-CZ"/>
        </w:rPr>
        <w:tab/>
      </w:r>
      <w:r w:rsidRPr="003B6E11">
        <w:rPr>
          <w:noProof/>
          <w:color w:val="000000"/>
          <w:lang w:val="cs-CZ"/>
        </w:rPr>
        <w:t xml:space="preserve">Značka (název společnosti výrobce): </w:t>
      </w:r>
      <w:r w:rsidRPr="003B6E11">
        <w:rPr>
          <w:lang w:val="cs-CZ"/>
        </w:rPr>
        <w:tab/>
      </w:r>
    </w:p>
    <w:p w:rsidR="003B6E11" w:rsidRPr="003B6E11" w:rsidRDefault="003B6E11" w:rsidP="003B6E11">
      <w:pPr>
        <w:tabs>
          <w:tab w:val="left" w:leader="dot" w:pos="9072"/>
        </w:tabs>
        <w:spacing w:before="60" w:line="240" w:lineRule="atLeast"/>
        <w:ind w:left="709" w:hanging="709"/>
        <w:rPr>
          <w:rFonts w:cs="Arial"/>
          <w:noProof/>
          <w:color w:val="000000"/>
          <w:szCs w:val="20"/>
          <w:lang w:val="cs-CZ"/>
        </w:rPr>
      </w:pPr>
      <w:r w:rsidRPr="003B6E11">
        <w:rPr>
          <w:noProof/>
          <w:color w:val="000000"/>
          <w:lang w:val="cs-CZ"/>
        </w:rPr>
        <w:t>0.2</w:t>
      </w:r>
      <w:r w:rsidRPr="003B6E11">
        <w:rPr>
          <w:lang w:val="cs-CZ"/>
        </w:rPr>
        <w:tab/>
      </w:r>
      <w:r w:rsidRPr="003B6E11">
        <w:rPr>
          <w:noProof/>
          <w:color w:val="000000"/>
          <w:lang w:val="cs-CZ"/>
        </w:rPr>
        <w:t xml:space="preserve">Označení výrobce pro typ palubní čistírny odpadních vod: </w:t>
      </w:r>
      <w:r w:rsidRPr="003B6E11">
        <w:rPr>
          <w:lang w:val="cs-CZ"/>
        </w:rPr>
        <w:tab/>
      </w:r>
    </w:p>
    <w:p w:rsidR="003B6E11" w:rsidRPr="003B6E11" w:rsidRDefault="003B6E11" w:rsidP="003B6E11">
      <w:pPr>
        <w:tabs>
          <w:tab w:val="left" w:leader="dot" w:pos="9072"/>
        </w:tabs>
        <w:spacing w:line="240" w:lineRule="atLeast"/>
        <w:ind w:left="709" w:hanging="709"/>
        <w:rPr>
          <w:rFonts w:cs="Arial"/>
          <w:noProof/>
          <w:color w:val="000000"/>
          <w:szCs w:val="20"/>
          <w:lang w:val="cs-CZ"/>
        </w:rPr>
      </w:pPr>
    </w:p>
    <w:p w:rsidR="003B6E11" w:rsidRPr="003B6E11" w:rsidRDefault="003B6E11" w:rsidP="003B6E11">
      <w:pPr>
        <w:tabs>
          <w:tab w:val="left" w:leader="dot" w:pos="9072"/>
        </w:tabs>
        <w:spacing w:line="240" w:lineRule="atLeast"/>
        <w:ind w:left="709" w:hanging="709"/>
        <w:rPr>
          <w:rFonts w:cs="Arial"/>
          <w:noProof/>
          <w:color w:val="000000"/>
          <w:szCs w:val="20"/>
          <w:vertAlign w:val="superscript"/>
          <w:lang w:val="cs-CZ"/>
        </w:rPr>
      </w:pPr>
      <w:r w:rsidRPr="003B6E11">
        <w:rPr>
          <w:noProof/>
          <w:color w:val="000000"/>
          <w:lang w:val="cs-CZ"/>
        </w:rPr>
        <w:t>1.</w:t>
      </w:r>
      <w:r w:rsidRPr="003B6E11">
        <w:rPr>
          <w:lang w:val="cs-CZ"/>
        </w:rPr>
        <w:tab/>
      </w:r>
      <w:r w:rsidRPr="003B6E11">
        <w:rPr>
          <w:b/>
          <w:noProof/>
          <w:color w:val="000000"/>
          <w:lang w:val="cs-CZ"/>
        </w:rPr>
        <w:t>Údaje o provedení zkoušky (zkoušek)</w:t>
      </w:r>
      <w:r w:rsidRPr="003B6E11">
        <w:rPr>
          <w:noProof/>
          <w:color w:val="000000"/>
          <w:vertAlign w:val="superscript"/>
          <w:lang w:val="cs-CZ"/>
        </w:rPr>
        <w:footnoteReference w:id="69"/>
      </w:r>
      <w:r w:rsidRPr="003B6E11">
        <w:rPr>
          <w:noProof/>
          <w:color w:val="000000"/>
          <w:lang w:val="cs-CZ"/>
        </w:rPr>
        <w:t>.</w:t>
      </w:r>
      <w:r w:rsidRPr="003B6E11">
        <w:rPr>
          <w:noProof/>
          <w:color w:val="000000"/>
          <w:vertAlign w:val="superscript"/>
          <w:lang w:val="cs-CZ"/>
        </w:rPr>
        <w:t xml:space="preserve"> </w:t>
      </w:r>
    </w:p>
    <w:p w:rsidR="003B6E11" w:rsidRPr="003B6E11" w:rsidRDefault="003B6E11" w:rsidP="003B6E11">
      <w:pPr>
        <w:tabs>
          <w:tab w:val="left" w:leader="dot" w:pos="9072"/>
        </w:tabs>
        <w:spacing w:before="60" w:line="240" w:lineRule="atLeast"/>
        <w:ind w:left="709" w:hanging="709"/>
        <w:rPr>
          <w:rFonts w:cs="Arial"/>
          <w:noProof/>
          <w:color w:val="000000"/>
          <w:szCs w:val="20"/>
          <w:lang w:val="cs-CZ"/>
        </w:rPr>
      </w:pPr>
      <w:r w:rsidRPr="003B6E11">
        <w:rPr>
          <w:noProof/>
          <w:color w:val="000000"/>
          <w:lang w:val="cs-CZ"/>
        </w:rPr>
        <w:t>1.1</w:t>
      </w:r>
      <w:r w:rsidRPr="003B6E11">
        <w:rPr>
          <w:lang w:val="cs-CZ"/>
        </w:rPr>
        <w:tab/>
      </w:r>
      <w:r w:rsidRPr="003B6E11">
        <w:rPr>
          <w:noProof/>
          <w:color w:val="000000"/>
          <w:lang w:val="cs-CZ"/>
        </w:rPr>
        <w:t>Hodnoty přítoku</w:t>
      </w:r>
    </w:p>
    <w:p w:rsidR="003B6E11" w:rsidRPr="003B6E11" w:rsidRDefault="003B6E11" w:rsidP="003B6E11">
      <w:pPr>
        <w:tabs>
          <w:tab w:val="left" w:leader="dot" w:pos="9072"/>
        </w:tabs>
        <w:spacing w:before="60" w:line="240" w:lineRule="atLeast"/>
        <w:ind w:left="709" w:hanging="709"/>
        <w:rPr>
          <w:rFonts w:cs="Arial"/>
          <w:noProof/>
          <w:color w:val="000000"/>
          <w:szCs w:val="20"/>
          <w:lang w:val="cs-CZ"/>
        </w:rPr>
      </w:pPr>
      <w:r w:rsidRPr="003B6E11">
        <w:rPr>
          <w:noProof/>
          <w:color w:val="000000"/>
          <w:lang w:val="cs-CZ"/>
        </w:rPr>
        <w:t>1.1.1</w:t>
      </w:r>
      <w:r w:rsidRPr="003B6E11">
        <w:rPr>
          <w:lang w:val="cs-CZ"/>
        </w:rPr>
        <w:tab/>
      </w:r>
      <w:r w:rsidRPr="003B6E11">
        <w:rPr>
          <w:noProof/>
          <w:color w:val="000000"/>
          <w:lang w:val="cs-CZ"/>
        </w:rPr>
        <w:t xml:space="preserve">Denní hodnoty objemového průtoku odpadních vod </w:t>
      </w:r>
      <m:oMath>
        <m:sSub>
          <m:sSubPr>
            <m:ctrlPr>
              <w:rPr>
                <w:rFonts w:ascii="Cambria Math" w:hAnsi="Cambria Math" w:cs="Arial"/>
                <w:i/>
                <w:szCs w:val="20"/>
                <w:lang w:val="cs-CZ"/>
              </w:rPr>
            </m:ctrlPr>
          </m:sSubPr>
          <m:e>
            <m:r>
              <w:rPr>
                <w:rFonts w:ascii="Cambria Math" w:hAnsi="Cambria Math" w:cs="Arial"/>
                <w:szCs w:val="20"/>
                <w:lang w:val="cs-CZ"/>
              </w:rPr>
              <m:t>Q</m:t>
            </m:r>
          </m:e>
          <m:sub>
            <m:r>
              <w:rPr>
                <w:rFonts w:ascii="Cambria Math" w:hAnsi="Cambria Math" w:cs="Arial"/>
                <w:szCs w:val="20"/>
                <w:lang w:val="cs-CZ"/>
              </w:rPr>
              <m:t>d</m:t>
            </m:r>
          </m:sub>
        </m:sSub>
      </m:oMath>
      <w:r w:rsidRPr="003B6E11">
        <w:rPr>
          <w:noProof/>
          <w:color w:val="000000"/>
          <w:lang w:val="cs-CZ"/>
        </w:rPr>
        <w:t xml:space="preserve"> (m³/d): </w:t>
      </w:r>
      <w:r w:rsidRPr="003B6E11">
        <w:rPr>
          <w:lang w:val="cs-CZ"/>
        </w:rPr>
        <w:tab/>
      </w:r>
    </w:p>
    <w:p w:rsidR="003B6E11" w:rsidRPr="003B6E11" w:rsidRDefault="003B6E11" w:rsidP="003B6E11">
      <w:pPr>
        <w:tabs>
          <w:tab w:val="left" w:leader="dot" w:pos="9072"/>
        </w:tabs>
        <w:spacing w:before="60" w:line="240" w:lineRule="atLeast"/>
        <w:ind w:left="709" w:hanging="709"/>
        <w:rPr>
          <w:rFonts w:cs="Arial"/>
          <w:noProof/>
          <w:color w:val="000000"/>
          <w:szCs w:val="20"/>
          <w:lang w:val="cs-CZ"/>
        </w:rPr>
      </w:pPr>
      <w:r w:rsidRPr="003B6E11">
        <w:rPr>
          <w:noProof/>
          <w:color w:val="000000"/>
          <w:lang w:val="cs-CZ"/>
        </w:rPr>
        <w:t>1.1.2</w:t>
      </w:r>
      <w:r w:rsidRPr="003B6E11">
        <w:rPr>
          <w:lang w:val="cs-CZ"/>
        </w:rPr>
        <w:tab/>
      </w:r>
      <w:r w:rsidRPr="003B6E11">
        <w:rPr>
          <w:noProof/>
          <w:color w:val="000000"/>
          <w:lang w:val="cs-CZ"/>
        </w:rPr>
        <w:t xml:space="preserve">Denní zátěž znečištěním </w:t>
      </w:r>
      <m:oMath>
        <m:sSub>
          <m:sSubPr>
            <m:ctrlPr>
              <w:rPr>
                <w:rFonts w:ascii="Cambria Math" w:hAnsi="Cambria Math"/>
                <w:i/>
                <w:noProof/>
                <w:lang w:val="cs-CZ"/>
              </w:rPr>
            </m:ctrlPr>
          </m:sSubPr>
          <m:e>
            <m:r>
              <w:rPr>
                <w:rFonts w:ascii="Cambria Math" w:hAnsi="Cambria Math"/>
                <w:noProof/>
                <w:lang w:val="cs-CZ"/>
              </w:rPr>
              <m:t>BOD</m:t>
            </m:r>
          </m:e>
          <m:sub>
            <m:r>
              <w:rPr>
                <w:rFonts w:ascii="Cambria Math" w:hAnsi="Cambria Math"/>
                <w:noProof/>
                <w:lang w:val="cs-CZ"/>
              </w:rPr>
              <m:t>5</m:t>
            </m:r>
          </m:sub>
        </m:sSub>
      </m:oMath>
      <w:r w:rsidRPr="003B6E11">
        <w:rPr>
          <w:noProof/>
          <w:color w:val="000000"/>
          <w:lang w:val="cs-CZ"/>
        </w:rPr>
        <w:t xml:space="preserve"> (kg/d): </w:t>
      </w:r>
      <w:r w:rsidRPr="003B6E11">
        <w:rPr>
          <w:lang w:val="cs-CZ"/>
        </w:rPr>
        <w:tab/>
      </w:r>
    </w:p>
    <w:p w:rsidR="003B6E11" w:rsidRPr="003B6E11" w:rsidRDefault="003B6E11" w:rsidP="003B6E11">
      <w:pPr>
        <w:spacing w:before="60" w:line="240" w:lineRule="atLeast"/>
        <w:ind w:left="709" w:hanging="709"/>
        <w:rPr>
          <w:rFonts w:cs="Arial"/>
          <w:noProof/>
          <w:color w:val="000000"/>
          <w:szCs w:val="20"/>
          <w:lang w:val="cs-CZ"/>
        </w:rPr>
      </w:pPr>
      <w:r w:rsidRPr="003B6E11">
        <w:rPr>
          <w:noProof/>
          <w:color w:val="000000"/>
          <w:lang w:val="cs-CZ"/>
        </w:rPr>
        <w:t>1.2</w:t>
      </w:r>
      <w:r w:rsidRPr="003B6E11">
        <w:rPr>
          <w:lang w:val="cs-CZ"/>
        </w:rPr>
        <w:tab/>
      </w:r>
      <w:r w:rsidRPr="003B6E11">
        <w:rPr>
          <w:noProof/>
          <w:color w:val="000000"/>
          <w:lang w:val="cs-CZ"/>
        </w:rPr>
        <w:t>Účinnost čištění</w:t>
      </w:r>
    </w:p>
    <w:p w:rsidR="003B6E11" w:rsidRPr="003B6E11" w:rsidRDefault="003B6E11" w:rsidP="003B6E11">
      <w:pPr>
        <w:spacing w:before="60" w:line="240" w:lineRule="atLeast"/>
        <w:ind w:left="709" w:hanging="709"/>
        <w:rPr>
          <w:rFonts w:cs="Arial"/>
          <w:noProof/>
          <w:color w:val="000000"/>
          <w:szCs w:val="20"/>
          <w:lang w:val="cs-CZ"/>
        </w:rPr>
      </w:pPr>
      <w:r w:rsidRPr="003B6E11">
        <w:rPr>
          <w:noProof/>
          <w:color w:val="000000"/>
          <w:lang w:val="cs-CZ"/>
        </w:rPr>
        <w:t>1.2.1</w:t>
      </w:r>
      <w:r w:rsidRPr="003B6E11">
        <w:rPr>
          <w:lang w:val="cs-CZ"/>
        </w:rPr>
        <w:tab/>
      </w:r>
      <w:r w:rsidRPr="003B6E11">
        <w:rPr>
          <w:noProof/>
          <w:color w:val="000000"/>
          <w:lang w:val="cs-CZ"/>
        </w:rPr>
        <w:t>Vyhodnocení hodnot odtoku</w:t>
      </w:r>
    </w:p>
    <w:p w:rsidR="003B6E11" w:rsidRPr="003B6E11" w:rsidRDefault="003B6E11" w:rsidP="003B6E11">
      <w:pPr>
        <w:spacing w:line="240" w:lineRule="atLeast"/>
        <w:rPr>
          <w:rFonts w:cs="Arial"/>
          <w:color w:val="000000"/>
          <w:lang w:val="cs-CZ"/>
        </w:rPr>
      </w:pPr>
    </w:p>
    <w:p w:rsidR="003B6E11" w:rsidRPr="003B6E11" w:rsidRDefault="003B6E11" w:rsidP="003B6E11">
      <w:pPr>
        <w:tabs>
          <w:tab w:val="left" w:leader="dot" w:pos="9072"/>
        </w:tabs>
        <w:spacing w:line="240" w:lineRule="atLeast"/>
        <w:rPr>
          <w:rFonts w:cs="Arial"/>
          <w:noProof/>
          <w:lang w:val="cs-CZ"/>
        </w:rPr>
      </w:pPr>
      <w:r w:rsidRPr="003B6E11">
        <w:rPr>
          <w:lang w:val="cs-CZ"/>
        </w:rPr>
        <w:t xml:space="preserve">Vyhodnocení hodnot odtoku </w:t>
      </w:r>
      <m:oMath>
        <m:sSub>
          <m:sSubPr>
            <m:ctrlPr>
              <w:rPr>
                <w:rFonts w:ascii="Cambria Math" w:hAnsi="Cambria Math"/>
                <w:b/>
                <w:i/>
                <w:noProof/>
                <w:lang w:val="cs-CZ"/>
              </w:rPr>
            </m:ctrlPr>
          </m:sSubPr>
          <m:e>
            <m:r>
              <m:rPr>
                <m:sty m:val="bi"/>
              </m:rPr>
              <w:rPr>
                <w:rFonts w:ascii="Cambria Math" w:hAnsi="Cambria Math"/>
                <w:noProof/>
                <w:lang w:val="cs-CZ"/>
              </w:rPr>
              <m:t>BOD</m:t>
            </m:r>
          </m:e>
          <m:sub>
            <m:r>
              <m:rPr>
                <m:sty m:val="bi"/>
              </m:rPr>
              <w:rPr>
                <w:rFonts w:ascii="Cambria Math" w:hAnsi="Cambria Math"/>
                <w:noProof/>
                <w:lang w:val="cs-CZ"/>
              </w:rPr>
              <m:t>5</m:t>
            </m:r>
          </m:sub>
        </m:sSub>
      </m:oMath>
      <w:r w:rsidRPr="003B6E11">
        <w:rPr>
          <w:lang w:val="cs-CZ"/>
        </w:rPr>
        <w:t xml:space="preserve"> (mg/l)</w:t>
      </w:r>
    </w:p>
    <w:p w:rsidR="003B6E11" w:rsidRPr="003B6E11" w:rsidRDefault="003B6E11" w:rsidP="003B6E11">
      <w:pPr>
        <w:tabs>
          <w:tab w:val="left" w:leader="dot" w:pos="9072"/>
        </w:tabs>
        <w:spacing w:line="240" w:lineRule="atLeast"/>
        <w:rPr>
          <w:rFonts w:cs="Arial"/>
          <w:noProof/>
          <w:lang w:val="cs-C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1058"/>
        <w:gridCol w:w="992"/>
        <w:gridCol w:w="1069"/>
        <w:gridCol w:w="1134"/>
        <w:gridCol w:w="1134"/>
      </w:tblGrid>
      <w:tr w:rsidR="003B6E11" w:rsidRPr="003B6E11" w:rsidTr="002D015D">
        <w:trPr>
          <w:trHeight w:val="300"/>
        </w:trPr>
        <w:tc>
          <w:tcPr>
            <w:tcW w:w="1560" w:type="dxa"/>
            <w:vMerge w:val="restart"/>
          </w:tcPr>
          <w:p w:rsidR="003B6E11" w:rsidRPr="003B6E11" w:rsidRDefault="003B6E11" w:rsidP="002D015D">
            <w:pPr>
              <w:spacing w:before="60" w:after="60"/>
              <w:rPr>
                <w:noProof/>
                <w:sz w:val="18"/>
                <w:szCs w:val="18"/>
                <w:lang w:val="cs-CZ"/>
              </w:rPr>
            </w:pPr>
            <w:r w:rsidRPr="003B6E11">
              <w:rPr>
                <w:noProof/>
                <w:sz w:val="18"/>
                <w:lang w:val="cs-CZ"/>
              </w:rPr>
              <w:t>Místo</w:t>
            </w:r>
          </w:p>
        </w:tc>
        <w:tc>
          <w:tcPr>
            <w:tcW w:w="1842" w:type="dxa"/>
            <w:vMerge w:val="restart"/>
          </w:tcPr>
          <w:p w:rsidR="003B6E11" w:rsidRPr="003B6E11" w:rsidRDefault="003B6E11" w:rsidP="002D015D">
            <w:pPr>
              <w:spacing w:before="60" w:after="60"/>
              <w:jc w:val="center"/>
              <w:rPr>
                <w:noProof/>
                <w:sz w:val="18"/>
                <w:szCs w:val="18"/>
                <w:lang w:val="cs-CZ"/>
              </w:rPr>
            </w:pPr>
            <w:r w:rsidRPr="003B6E11">
              <w:rPr>
                <w:noProof/>
                <w:sz w:val="18"/>
                <w:lang w:val="cs-CZ"/>
              </w:rPr>
              <w:t>Druh vzorku</w:t>
            </w:r>
          </w:p>
        </w:tc>
        <w:tc>
          <w:tcPr>
            <w:tcW w:w="1058" w:type="dxa"/>
            <w:vMerge w:val="restart"/>
          </w:tcPr>
          <w:p w:rsidR="003B6E11" w:rsidRPr="003B6E11" w:rsidRDefault="003B6E11" w:rsidP="002D015D">
            <w:pPr>
              <w:spacing w:before="60" w:after="60"/>
              <w:jc w:val="center"/>
              <w:rPr>
                <w:noProof/>
                <w:sz w:val="18"/>
                <w:szCs w:val="18"/>
                <w:lang w:val="cs-CZ"/>
              </w:rPr>
            </w:pPr>
            <w:r w:rsidRPr="003B6E11">
              <w:rPr>
                <w:noProof/>
                <w:sz w:val="18"/>
                <w:lang w:val="cs-CZ"/>
              </w:rPr>
              <w:t>Počet testů, které splňují mezní hodnoty</w:t>
            </w:r>
          </w:p>
        </w:tc>
        <w:tc>
          <w:tcPr>
            <w:tcW w:w="992" w:type="dxa"/>
            <w:vMerge w:val="restart"/>
          </w:tcPr>
          <w:p w:rsidR="003B6E11" w:rsidRPr="003B6E11" w:rsidRDefault="003B6E11" w:rsidP="002D015D">
            <w:pPr>
              <w:spacing w:before="60" w:after="60"/>
              <w:jc w:val="center"/>
              <w:rPr>
                <w:noProof/>
                <w:sz w:val="18"/>
                <w:szCs w:val="18"/>
                <w:lang w:val="cs-CZ"/>
              </w:rPr>
            </w:pPr>
            <w:r w:rsidRPr="003B6E11">
              <w:rPr>
                <w:noProof/>
                <w:sz w:val="18"/>
                <w:lang w:val="cs-CZ"/>
              </w:rPr>
              <w:t>Min.</w:t>
            </w:r>
          </w:p>
        </w:tc>
        <w:tc>
          <w:tcPr>
            <w:tcW w:w="2203" w:type="dxa"/>
            <w:gridSpan w:val="2"/>
          </w:tcPr>
          <w:p w:rsidR="003B6E11" w:rsidRPr="003B6E11" w:rsidRDefault="003B6E11" w:rsidP="002D015D">
            <w:pPr>
              <w:spacing w:before="60" w:after="60"/>
              <w:jc w:val="center"/>
              <w:rPr>
                <w:noProof/>
                <w:sz w:val="18"/>
                <w:szCs w:val="18"/>
                <w:lang w:val="cs-CZ"/>
              </w:rPr>
            </w:pPr>
            <w:r w:rsidRPr="003B6E11">
              <w:rPr>
                <w:noProof/>
                <w:sz w:val="18"/>
                <w:lang w:val="cs-CZ"/>
              </w:rPr>
              <w:t>Max.</w:t>
            </w:r>
          </w:p>
        </w:tc>
        <w:tc>
          <w:tcPr>
            <w:tcW w:w="1134" w:type="dxa"/>
            <w:vMerge w:val="restart"/>
          </w:tcPr>
          <w:p w:rsidR="003B6E11" w:rsidRPr="003B6E11" w:rsidRDefault="003B6E11" w:rsidP="002D015D">
            <w:pPr>
              <w:spacing w:before="60" w:after="60"/>
              <w:jc w:val="center"/>
              <w:rPr>
                <w:noProof/>
                <w:sz w:val="18"/>
                <w:szCs w:val="18"/>
                <w:lang w:val="cs-CZ"/>
              </w:rPr>
            </w:pPr>
            <w:r w:rsidRPr="003B6E11">
              <w:rPr>
                <w:noProof/>
                <w:sz w:val="18"/>
                <w:lang w:val="cs-CZ"/>
              </w:rPr>
              <w:t>Průměr</w:t>
            </w:r>
          </w:p>
        </w:tc>
      </w:tr>
      <w:tr w:rsidR="003B6E11" w:rsidRPr="003B6E11" w:rsidTr="002D015D">
        <w:trPr>
          <w:trHeight w:val="300"/>
        </w:trPr>
        <w:tc>
          <w:tcPr>
            <w:tcW w:w="1560" w:type="dxa"/>
            <w:vMerge/>
          </w:tcPr>
          <w:p w:rsidR="003B6E11" w:rsidRPr="003B6E11" w:rsidRDefault="003B6E11" w:rsidP="002D015D">
            <w:pPr>
              <w:spacing w:before="60" w:after="60"/>
              <w:rPr>
                <w:noProof/>
                <w:sz w:val="18"/>
                <w:szCs w:val="18"/>
                <w:lang w:val="cs-CZ"/>
              </w:rPr>
            </w:pPr>
          </w:p>
        </w:tc>
        <w:tc>
          <w:tcPr>
            <w:tcW w:w="1842" w:type="dxa"/>
            <w:vMerge/>
          </w:tcPr>
          <w:p w:rsidR="003B6E11" w:rsidRPr="003B6E11" w:rsidRDefault="003B6E11" w:rsidP="002D015D">
            <w:pPr>
              <w:spacing w:before="60" w:after="60"/>
              <w:rPr>
                <w:noProof/>
                <w:sz w:val="18"/>
                <w:szCs w:val="18"/>
                <w:lang w:val="cs-CZ"/>
              </w:rPr>
            </w:pPr>
          </w:p>
        </w:tc>
        <w:tc>
          <w:tcPr>
            <w:tcW w:w="1058" w:type="dxa"/>
            <w:vMerge/>
          </w:tcPr>
          <w:p w:rsidR="003B6E11" w:rsidRPr="003B6E11" w:rsidRDefault="003B6E11" w:rsidP="002D015D">
            <w:pPr>
              <w:spacing w:before="60" w:after="60"/>
              <w:rPr>
                <w:noProof/>
                <w:sz w:val="18"/>
                <w:szCs w:val="18"/>
                <w:lang w:val="cs-CZ"/>
              </w:rPr>
            </w:pPr>
          </w:p>
        </w:tc>
        <w:tc>
          <w:tcPr>
            <w:tcW w:w="992" w:type="dxa"/>
            <w:vMerge/>
          </w:tcPr>
          <w:p w:rsidR="003B6E11" w:rsidRPr="003B6E11" w:rsidRDefault="003B6E11" w:rsidP="002D015D">
            <w:pPr>
              <w:spacing w:before="60" w:after="60"/>
              <w:rPr>
                <w:noProof/>
                <w:sz w:val="18"/>
                <w:szCs w:val="18"/>
                <w:lang w:val="cs-CZ"/>
              </w:rPr>
            </w:pPr>
          </w:p>
        </w:tc>
        <w:tc>
          <w:tcPr>
            <w:tcW w:w="1069" w:type="dxa"/>
          </w:tcPr>
          <w:p w:rsidR="003B6E11" w:rsidRPr="003B6E11" w:rsidRDefault="003B6E11" w:rsidP="002D015D">
            <w:pPr>
              <w:spacing w:before="60" w:after="60"/>
              <w:jc w:val="center"/>
              <w:rPr>
                <w:noProof/>
                <w:sz w:val="18"/>
                <w:szCs w:val="18"/>
                <w:lang w:val="cs-CZ"/>
              </w:rPr>
            </w:pPr>
            <w:r w:rsidRPr="003B6E11">
              <w:rPr>
                <w:noProof/>
                <w:sz w:val="18"/>
                <w:lang w:val="cs-CZ"/>
              </w:rPr>
              <w:t>Hodnota</w:t>
            </w:r>
          </w:p>
        </w:tc>
        <w:tc>
          <w:tcPr>
            <w:tcW w:w="1134" w:type="dxa"/>
          </w:tcPr>
          <w:p w:rsidR="003B6E11" w:rsidRPr="003B6E11" w:rsidRDefault="003B6E11" w:rsidP="002D015D">
            <w:pPr>
              <w:spacing w:before="60" w:after="60"/>
              <w:jc w:val="center"/>
              <w:rPr>
                <w:noProof/>
                <w:sz w:val="18"/>
                <w:szCs w:val="18"/>
                <w:lang w:val="cs-CZ"/>
              </w:rPr>
            </w:pPr>
            <w:r w:rsidRPr="003B6E11">
              <w:rPr>
                <w:noProof/>
                <w:sz w:val="18"/>
                <w:lang w:val="cs-CZ"/>
              </w:rPr>
              <w:t>Fáze</w:t>
            </w:r>
          </w:p>
        </w:tc>
        <w:tc>
          <w:tcPr>
            <w:tcW w:w="1134" w:type="dxa"/>
            <w:vMerge/>
          </w:tcPr>
          <w:p w:rsidR="003B6E11" w:rsidRPr="003B6E11" w:rsidRDefault="003B6E11" w:rsidP="002D015D">
            <w:pPr>
              <w:spacing w:before="60" w:after="60"/>
              <w:rPr>
                <w:noProof/>
                <w:sz w:val="18"/>
                <w:szCs w:val="18"/>
                <w:lang w:val="cs-CZ"/>
              </w:rPr>
            </w:pPr>
          </w:p>
        </w:tc>
      </w:tr>
      <w:tr w:rsidR="003B6E11" w:rsidRPr="003B6E11" w:rsidTr="002D015D">
        <w:tc>
          <w:tcPr>
            <w:tcW w:w="1560" w:type="dxa"/>
            <w:vAlign w:val="center"/>
          </w:tcPr>
          <w:p w:rsidR="003B6E11" w:rsidRPr="003B6E11" w:rsidRDefault="003B6E11" w:rsidP="002D015D">
            <w:pPr>
              <w:spacing w:before="60" w:after="60"/>
              <w:rPr>
                <w:noProof/>
                <w:sz w:val="18"/>
                <w:szCs w:val="18"/>
                <w:lang w:val="cs-CZ"/>
              </w:rPr>
            </w:pPr>
            <w:r w:rsidRPr="003B6E11">
              <w:rPr>
                <w:noProof/>
                <w:sz w:val="18"/>
                <w:lang w:val="cs-CZ"/>
              </w:rPr>
              <w:t>Přítok</w:t>
            </w:r>
          </w:p>
        </w:tc>
        <w:tc>
          <w:tcPr>
            <w:tcW w:w="1842" w:type="dxa"/>
            <w:vAlign w:val="center"/>
          </w:tcPr>
          <w:p w:rsidR="003B6E11" w:rsidRPr="003B6E11" w:rsidRDefault="003B6E11" w:rsidP="002D015D">
            <w:pPr>
              <w:spacing w:before="60" w:after="60"/>
              <w:rPr>
                <w:noProof/>
                <w:sz w:val="18"/>
                <w:szCs w:val="18"/>
                <w:lang w:val="cs-CZ"/>
              </w:rPr>
            </w:pPr>
            <w:r w:rsidRPr="003B6E11">
              <w:rPr>
                <w:noProof/>
                <w:sz w:val="18"/>
                <w:lang w:val="cs-CZ"/>
              </w:rPr>
              <w:t>Souhrnné vzorky za 24 h</w:t>
            </w:r>
          </w:p>
        </w:tc>
        <w:tc>
          <w:tcPr>
            <w:tcW w:w="1058" w:type="dxa"/>
            <w:vAlign w:val="center"/>
          </w:tcPr>
          <w:p w:rsidR="003B6E11" w:rsidRPr="003B6E11" w:rsidRDefault="003B6E11" w:rsidP="002D015D">
            <w:pPr>
              <w:spacing w:before="60" w:after="60"/>
              <w:jc w:val="center"/>
              <w:rPr>
                <w:noProof/>
                <w:sz w:val="18"/>
                <w:szCs w:val="18"/>
                <w:lang w:val="cs-CZ"/>
              </w:rPr>
            </w:pPr>
            <w:r w:rsidRPr="003B6E11">
              <w:rPr>
                <w:noProof/>
                <w:sz w:val="18"/>
                <w:lang w:val="cs-CZ"/>
              </w:rPr>
              <w:t>--</w:t>
            </w:r>
          </w:p>
        </w:tc>
        <w:tc>
          <w:tcPr>
            <w:tcW w:w="992" w:type="dxa"/>
            <w:vAlign w:val="center"/>
          </w:tcPr>
          <w:p w:rsidR="003B6E11" w:rsidRPr="003B6E11" w:rsidRDefault="003B6E11" w:rsidP="002D015D">
            <w:pPr>
              <w:spacing w:before="60" w:after="60"/>
              <w:rPr>
                <w:noProof/>
                <w:sz w:val="18"/>
                <w:szCs w:val="18"/>
                <w:lang w:val="cs-CZ"/>
              </w:rPr>
            </w:pPr>
          </w:p>
        </w:tc>
        <w:tc>
          <w:tcPr>
            <w:tcW w:w="1069" w:type="dxa"/>
            <w:vAlign w:val="center"/>
          </w:tcPr>
          <w:p w:rsidR="003B6E11" w:rsidRPr="003B6E11" w:rsidRDefault="003B6E11" w:rsidP="002D015D">
            <w:pPr>
              <w:spacing w:before="60" w:after="60"/>
              <w:rPr>
                <w:noProof/>
                <w:sz w:val="18"/>
                <w:szCs w:val="18"/>
                <w:lang w:val="cs-CZ"/>
              </w:rPr>
            </w:pPr>
          </w:p>
        </w:tc>
        <w:tc>
          <w:tcPr>
            <w:tcW w:w="1134" w:type="dxa"/>
            <w:vAlign w:val="center"/>
          </w:tcPr>
          <w:p w:rsidR="003B6E11" w:rsidRPr="003B6E11" w:rsidRDefault="003B6E11" w:rsidP="002D015D">
            <w:pPr>
              <w:spacing w:before="60" w:after="60"/>
              <w:rPr>
                <w:noProof/>
                <w:sz w:val="18"/>
                <w:szCs w:val="18"/>
                <w:lang w:val="cs-CZ"/>
              </w:rPr>
            </w:pPr>
          </w:p>
        </w:tc>
        <w:tc>
          <w:tcPr>
            <w:tcW w:w="1134" w:type="dxa"/>
            <w:vAlign w:val="center"/>
          </w:tcPr>
          <w:p w:rsidR="003B6E11" w:rsidRPr="003B6E11" w:rsidRDefault="003B6E11" w:rsidP="002D015D">
            <w:pPr>
              <w:spacing w:before="60" w:after="60"/>
              <w:rPr>
                <w:noProof/>
                <w:sz w:val="18"/>
                <w:szCs w:val="18"/>
                <w:lang w:val="cs-CZ"/>
              </w:rPr>
            </w:pPr>
          </w:p>
        </w:tc>
      </w:tr>
      <w:tr w:rsidR="003B6E11" w:rsidRPr="003B6E11" w:rsidTr="002D015D">
        <w:tc>
          <w:tcPr>
            <w:tcW w:w="1560" w:type="dxa"/>
          </w:tcPr>
          <w:p w:rsidR="003B6E11" w:rsidRPr="003B6E11" w:rsidRDefault="003B6E11" w:rsidP="002D015D">
            <w:pPr>
              <w:spacing w:before="60" w:after="60"/>
              <w:rPr>
                <w:noProof/>
                <w:sz w:val="18"/>
                <w:szCs w:val="18"/>
                <w:lang w:val="cs-CZ"/>
              </w:rPr>
            </w:pPr>
            <w:r w:rsidRPr="003B6E11">
              <w:rPr>
                <w:noProof/>
                <w:sz w:val="18"/>
                <w:lang w:val="cs-CZ"/>
              </w:rPr>
              <w:t>Odtok</w:t>
            </w:r>
          </w:p>
        </w:tc>
        <w:tc>
          <w:tcPr>
            <w:tcW w:w="1842" w:type="dxa"/>
            <w:vAlign w:val="center"/>
          </w:tcPr>
          <w:p w:rsidR="003B6E11" w:rsidRPr="003B6E11" w:rsidRDefault="003B6E11" w:rsidP="002D015D">
            <w:pPr>
              <w:spacing w:before="60" w:after="60"/>
              <w:rPr>
                <w:noProof/>
                <w:sz w:val="18"/>
                <w:szCs w:val="18"/>
                <w:lang w:val="cs-CZ"/>
              </w:rPr>
            </w:pPr>
            <w:r w:rsidRPr="003B6E11">
              <w:rPr>
                <w:noProof/>
                <w:sz w:val="18"/>
                <w:lang w:val="cs-CZ"/>
              </w:rPr>
              <w:t>Souhrnné vzorky za 24 h</w:t>
            </w:r>
          </w:p>
        </w:tc>
        <w:tc>
          <w:tcPr>
            <w:tcW w:w="1058" w:type="dxa"/>
            <w:vAlign w:val="center"/>
          </w:tcPr>
          <w:p w:rsidR="003B6E11" w:rsidRPr="003B6E11" w:rsidRDefault="003B6E11" w:rsidP="002D015D">
            <w:pPr>
              <w:spacing w:before="60" w:after="60"/>
              <w:rPr>
                <w:noProof/>
                <w:sz w:val="18"/>
                <w:szCs w:val="18"/>
                <w:lang w:val="cs-CZ"/>
              </w:rPr>
            </w:pPr>
          </w:p>
        </w:tc>
        <w:tc>
          <w:tcPr>
            <w:tcW w:w="992" w:type="dxa"/>
            <w:vAlign w:val="center"/>
          </w:tcPr>
          <w:p w:rsidR="003B6E11" w:rsidRPr="003B6E11" w:rsidRDefault="003B6E11" w:rsidP="002D015D">
            <w:pPr>
              <w:spacing w:before="60" w:after="60"/>
              <w:rPr>
                <w:noProof/>
                <w:sz w:val="18"/>
                <w:szCs w:val="18"/>
                <w:lang w:val="cs-CZ"/>
              </w:rPr>
            </w:pPr>
          </w:p>
        </w:tc>
        <w:tc>
          <w:tcPr>
            <w:tcW w:w="1069" w:type="dxa"/>
            <w:vAlign w:val="center"/>
          </w:tcPr>
          <w:p w:rsidR="003B6E11" w:rsidRPr="003B6E11" w:rsidRDefault="003B6E11" w:rsidP="002D015D">
            <w:pPr>
              <w:spacing w:before="60" w:after="60"/>
              <w:rPr>
                <w:noProof/>
                <w:sz w:val="18"/>
                <w:szCs w:val="18"/>
                <w:lang w:val="cs-CZ"/>
              </w:rPr>
            </w:pPr>
          </w:p>
        </w:tc>
        <w:tc>
          <w:tcPr>
            <w:tcW w:w="1134" w:type="dxa"/>
            <w:vAlign w:val="center"/>
          </w:tcPr>
          <w:p w:rsidR="003B6E11" w:rsidRPr="003B6E11" w:rsidRDefault="003B6E11" w:rsidP="002D015D">
            <w:pPr>
              <w:spacing w:before="60" w:after="60"/>
              <w:rPr>
                <w:noProof/>
                <w:sz w:val="18"/>
                <w:szCs w:val="18"/>
                <w:lang w:val="cs-CZ"/>
              </w:rPr>
            </w:pPr>
          </w:p>
        </w:tc>
        <w:tc>
          <w:tcPr>
            <w:tcW w:w="1134" w:type="dxa"/>
          </w:tcPr>
          <w:p w:rsidR="003B6E11" w:rsidRPr="003B6E11" w:rsidRDefault="003B6E11" w:rsidP="002D015D">
            <w:pPr>
              <w:spacing w:before="60" w:after="60"/>
              <w:rPr>
                <w:noProof/>
                <w:sz w:val="18"/>
                <w:szCs w:val="18"/>
                <w:lang w:val="cs-CZ"/>
              </w:rPr>
            </w:pPr>
          </w:p>
        </w:tc>
      </w:tr>
      <w:tr w:rsidR="003B6E11" w:rsidRPr="003B6E11" w:rsidTr="002D015D">
        <w:tc>
          <w:tcPr>
            <w:tcW w:w="1560" w:type="dxa"/>
            <w:vAlign w:val="center"/>
          </w:tcPr>
          <w:p w:rsidR="003B6E11" w:rsidRPr="003B6E11" w:rsidRDefault="003B6E11" w:rsidP="002D015D">
            <w:pPr>
              <w:spacing w:before="60" w:after="60"/>
              <w:rPr>
                <w:noProof/>
                <w:sz w:val="18"/>
                <w:szCs w:val="18"/>
                <w:lang w:val="cs-CZ"/>
              </w:rPr>
            </w:pPr>
            <w:r w:rsidRPr="003B6E11">
              <w:rPr>
                <w:noProof/>
                <w:sz w:val="18"/>
                <w:lang w:val="cs-CZ"/>
              </w:rPr>
              <w:t>Přítok</w:t>
            </w:r>
          </w:p>
        </w:tc>
        <w:tc>
          <w:tcPr>
            <w:tcW w:w="1842" w:type="dxa"/>
            <w:vAlign w:val="center"/>
          </w:tcPr>
          <w:p w:rsidR="003B6E11" w:rsidRPr="003B6E11" w:rsidRDefault="003B6E11" w:rsidP="002D015D">
            <w:pPr>
              <w:spacing w:before="60" w:after="60"/>
              <w:rPr>
                <w:noProof/>
                <w:sz w:val="18"/>
                <w:szCs w:val="18"/>
                <w:lang w:val="cs-CZ"/>
              </w:rPr>
            </w:pPr>
            <w:r w:rsidRPr="003B6E11">
              <w:rPr>
                <w:noProof/>
                <w:sz w:val="18"/>
                <w:lang w:val="cs-CZ"/>
              </w:rPr>
              <w:t>Náhodné vzorky</w:t>
            </w:r>
          </w:p>
        </w:tc>
        <w:tc>
          <w:tcPr>
            <w:tcW w:w="1058" w:type="dxa"/>
            <w:vAlign w:val="center"/>
          </w:tcPr>
          <w:p w:rsidR="003B6E11" w:rsidRPr="003B6E11" w:rsidRDefault="003B6E11" w:rsidP="002D015D">
            <w:pPr>
              <w:spacing w:before="60" w:after="60"/>
              <w:jc w:val="center"/>
              <w:rPr>
                <w:noProof/>
                <w:sz w:val="18"/>
                <w:szCs w:val="18"/>
                <w:lang w:val="cs-CZ"/>
              </w:rPr>
            </w:pPr>
            <w:r w:rsidRPr="003B6E11">
              <w:rPr>
                <w:noProof/>
                <w:sz w:val="18"/>
                <w:lang w:val="cs-CZ"/>
              </w:rPr>
              <w:t>--</w:t>
            </w:r>
          </w:p>
        </w:tc>
        <w:tc>
          <w:tcPr>
            <w:tcW w:w="992" w:type="dxa"/>
            <w:vAlign w:val="center"/>
          </w:tcPr>
          <w:p w:rsidR="003B6E11" w:rsidRPr="003B6E11" w:rsidRDefault="003B6E11" w:rsidP="002D015D">
            <w:pPr>
              <w:spacing w:before="60" w:after="60"/>
              <w:rPr>
                <w:noProof/>
                <w:sz w:val="18"/>
                <w:szCs w:val="18"/>
                <w:lang w:val="cs-CZ"/>
              </w:rPr>
            </w:pPr>
          </w:p>
        </w:tc>
        <w:tc>
          <w:tcPr>
            <w:tcW w:w="1069" w:type="dxa"/>
            <w:vAlign w:val="center"/>
          </w:tcPr>
          <w:p w:rsidR="003B6E11" w:rsidRPr="003B6E11" w:rsidRDefault="003B6E11" w:rsidP="002D015D">
            <w:pPr>
              <w:spacing w:before="60" w:after="60"/>
              <w:rPr>
                <w:noProof/>
                <w:sz w:val="18"/>
                <w:szCs w:val="18"/>
                <w:lang w:val="cs-CZ"/>
              </w:rPr>
            </w:pPr>
          </w:p>
        </w:tc>
        <w:tc>
          <w:tcPr>
            <w:tcW w:w="1134" w:type="dxa"/>
            <w:vAlign w:val="center"/>
          </w:tcPr>
          <w:p w:rsidR="003B6E11" w:rsidRPr="003B6E11" w:rsidRDefault="003B6E11" w:rsidP="002D015D">
            <w:pPr>
              <w:spacing w:before="60" w:after="60"/>
              <w:rPr>
                <w:noProof/>
                <w:sz w:val="18"/>
                <w:szCs w:val="18"/>
                <w:lang w:val="cs-CZ"/>
              </w:rPr>
            </w:pPr>
          </w:p>
        </w:tc>
        <w:tc>
          <w:tcPr>
            <w:tcW w:w="1134" w:type="dxa"/>
            <w:vAlign w:val="center"/>
          </w:tcPr>
          <w:p w:rsidR="003B6E11" w:rsidRPr="003B6E11" w:rsidRDefault="003B6E11" w:rsidP="002D015D">
            <w:pPr>
              <w:spacing w:before="60" w:after="60"/>
              <w:rPr>
                <w:noProof/>
                <w:sz w:val="18"/>
                <w:szCs w:val="18"/>
                <w:lang w:val="cs-CZ"/>
              </w:rPr>
            </w:pPr>
          </w:p>
        </w:tc>
      </w:tr>
      <w:tr w:rsidR="003B6E11" w:rsidRPr="003B6E11" w:rsidTr="002D015D">
        <w:tc>
          <w:tcPr>
            <w:tcW w:w="1560" w:type="dxa"/>
          </w:tcPr>
          <w:p w:rsidR="003B6E11" w:rsidRPr="003B6E11" w:rsidRDefault="003B6E11" w:rsidP="002D015D">
            <w:pPr>
              <w:spacing w:before="60" w:after="60"/>
              <w:rPr>
                <w:noProof/>
                <w:sz w:val="18"/>
                <w:szCs w:val="18"/>
                <w:lang w:val="cs-CZ"/>
              </w:rPr>
            </w:pPr>
            <w:r w:rsidRPr="003B6E11">
              <w:rPr>
                <w:noProof/>
                <w:sz w:val="18"/>
                <w:lang w:val="cs-CZ"/>
              </w:rPr>
              <w:t>Odtok</w:t>
            </w:r>
          </w:p>
        </w:tc>
        <w:tc>
          <w:tcPr>
            <w:tcW w:w="1842" w:type="dxa"/>
            <w:vAlign w:val="center"/>
          </w:tcPr>
          <w:p w:rsidR="003B6E11" w:rsidRPr="003B6E11" w:rsidRDefault="003B6E11" w:rsidP="002D015D">
            <w:pPr>
              <w:spacing w:before="60" w:after="60"/>
              <w:rPr>
                <w:noProof/>
                <w:sz w:val="18"/>
                <w:szCs w:val="18"/>
                <w:lang w:val="cs-CZ"/>
              </w:rPr>
            </w:pPr>
            <w:r w:rsidRPr="003B6E11">
              <w:rPr>
                <w:noProof/>
                <w:sz w:val="18"/>
                <w:lang w:val="cs-CZ"/>
              </w:rPr>
              <w:t>Náhodné vzorky</w:t>
            </w:r>
          </w:p>
        </w:tc>
        <w:tc>
          <w:tcPr>
            <w:tcW w:w="1058" w:type="dxa"/>
            <w:vAlign w:val="center"/>
          </w:tcPr>
          <w:p w:rsidR="003B6E11" w:rsidRPr="003B6E11" w:rsidRDefault="003B6E11" w:rsidP="002D015D">
            <w:pPr>
              <w:spacing w:before="60" w:after="60"/>
              <w:rPr>
                <w:noProof/>
                <w:sz w:val="18"/>
                <w:szCs w:val="18"/>
                <w:lang w:val="cs-CZ"/>
              </w:rPr>
            </w:pPr>
          </w:p>
        </w:tc>
        <w:tc>
          <w:tcPr>
            <w:tcW w:w="992" w:type="dxa"/>
            <w:vAlign w:val="center"/>
          </w:tcPr>
          <w:p w:rsidR="003B6E11" w:rsidRPr="003B6E11" w:rsidRDefault="003B6E11" w:rsidP="002D015D">
            <w:pPr>
              <w:spacing w:before="60" w:after="60"/>
              <w:rPr>
                <w:noProof/>
                <w:sz w:val="18"/>
                <w:szCs w:val="18"/>
                <w:lang w:val="cs-CZ"/>
              </w:rPr>
            </w:pPr>
          </w:p>
        </w:tc>
        <w:tc>
          <w:tcPr>
            <w:tcW w:w="1069" w:type="dxa"/>
            <w:vAlign w:val="center"/>
          </w:tcPr>
          <w:p w:rsidR="003B6E11" w:rsidRPr="003B6E11" w:rsidRDefault="003B6E11" w:rsidP="002D015D">
            <w:pPr>
              <w:spacing w:before="60" w:after="60"/>
              <w:rPr>
                <w:noProof/>
                <w:sz w:val="18"/>
                <w:szCs w:val="18"/>
                <w:lang w:val="cs-CZ"/>
              </w:rPr>
            </w:pPr>
          </w:p>
        </w:tc>
        <w:tc>
          <w:tcPr>
            <w:tcW w:w="1134" w:type="dxa"/>
            <w:vAlign w:val="center"/>
          </w:tcPr>
          <w:p w:rsidR="003B6E11" w:rsidRPr="003B6E11" w:rsidRDefault="003B6E11" w:rsidP="002D015D">
            <w:pPr>
              <w:spacing w:before="60" w:after="60"/>
              <w:rPr>
                <w:noProof/>
                <w:sz w:val="18"/>
                <w:szCs w:val="18"/>
                <w:lang w:val="cs-CZ"/>
              </w:rPr>
            </w:pPr>
          </w:p>
        </w:tc>
        <w:tc>
          <w:tcPr>
            <w:tcW w:w="1134" w:type="dxa"/>
          </w:tcPr>
          <w:p w:rsidR="003B6E11" w:rsidRPr="003B6E11" w:rsidRDefault="003B6E11" w:rsidP="002D015D">
            <w:pPr>
              <w:spacing w:before="60" w:after="60"/>
              <w:rPr>
                <w:noProof/>
                <w:sz w:val="18"/>
                <w:szCs w:val="18"/>
                <w:lang w:val="cs-CZ"/>
              </w:rPr>
            </w:pPr>
          </w:p>
        </w:tc>
      </w:tr>
    </w:tbl>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 xml:space="preserve">Vyhodnocení hodnot odtoku </w:t>
      </w:r>
      <w:r w:rsidRPr="003B6E11">
        <w:rPr>
          <w:b/>
          <w:noProof/>
          <w:color w:val="000000"/>
          <w:lang w:val="cs-CZ"/>
        </w:rPr>
        <w:t xml:space="preserve">COD </w:t>
      </w:r>
      <w:r w:rsidRPr="003B6E11">
        <w:rPr>
          <w:noProof/>
          <w:color w:val="000000"/>
          <w:lang w:val="cs-CZ"/>
        </w:rPr>
        <w:t>(mg/l)</w:t>
      </w:r>
    </w:p>
    <w:p w:rsidR="003B6E11" w:rsidRPr="003B6E11" w:rsidRDefault="003B6E11" w:rsidP="003B6E11">
      <w:pPr>
        <w:spacing w:line="240" w:lineRule="atLeast"/>
        <w:rPr>
          <w:rFonts w:cs="Arial"/>
          <w:noProof/>
          <w:color w:val="000000"/>
          <w:lang w:val="cs-C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1058"/>
        <w:gridCol w:w="992"/>
        <w:gridCol w:w="1069"/>
        <w:gridCol w:w="1134"/>
        <w:gridCol w:w="1134"/>
      </w:tblGrid>
      <w:tr w:rsidR="003B6E11" w:rsidRPr="003B6E11" w:rsidTr="002D015D">
        <w:tc>
          <w:tcPr>
            <w:tcW w:w="1560" w:type="dxa"/>
            <w:vMerge w:val="restart"/>
          </w:tcPr>
          <w:p w:rsidR="003B6E11" w:rsidRPr="003B6E11" w:rsidRDefault="003B6E11" w:rsidP="002D015D">
            <w:pPr>
              <w:spacing w:before="60" w:after="60"/>
              <w:rPr>
                <w:noProof/>
                <w:sz w:val="18"/>
                <w:szCs w:val="18"/>
                <w:lang w:val="cs-CZ"/>
              </w:rPr>
            </w:pPr>
            <w:r w:rsidRPr="003B6E11">
              <w:rPr>
                <w:noProof/>
                <w:sz w:val="18"/>
                <w:lang w:val="cs-CZ"/>
              </w:rPr>
              <w:t>Místo</w:t>
            </w:r>
          </w:p>
        </w:tc>
        <w:tc>
          <w:tcPr>
            <w:tcW w:w="1842" w:type="dxa"/>
            <w:vMerge w:val="restart"/>
          </w:tcPr>
          <w:p w:rsidR="003B6E11" w:rsidRPr="003B6E11" w:rsidRDefault="003B6E11" w:rsidP="002D015D">
            <w:pPr>
              <w:spacing w:before="60" w:after="60"/>
              <w:jc w:val="center"/>
              <w:rPr>
                <w:noProof/>
                <w:sz w:val="18"/>
                <w:szCs w:val="18"/>
                <w:lang w:val="cs-CZ"/>
              </w:rPr>
            </w:pPr>
            <w:r w:rsidRPr="003B6E11">
              <w:rPr>
                <w:noProof/>
                <w:sz w:val="18"/>
                <w:lang w:val="cs-CZ"/>
              </w:rPr>
              <w:t>Druh vzorku</w:t>
            </w:r>
          </w:p>
        </w:tc>
        <w:tc>
          <w:tcPr>
            <w:tcW w:w="1058" w:type="dxa"/>
            <w:vMerge w:val="restart"/>
          </w:tcPr>
          <w:p w:rsidR="003B6E11" w:rsidRPr="003B6E11" w:rsidRDefault="003B6E11" w:rsidP="002D015D">
            <w:pPr>
              <w:spacing w:before="60" w:after="60"/>
              <w:jc w:val="center"/>
              <w:rPr>
                <w:noProof/>
                <w:sz w:val="18"/>
                <w:szCs w:val="18"/>
                <w:lang w:val="cs-CZ"/>
              </w:rPr>
            </w:pPr>
            <w:r w:rsidRPr="003B6E11">
              <w:rPr>
                <w:noProof/>
                <w:sz w:val="18"/>
                <w:lang w:val="cs-CZ"/>
              </w:rPr>
              <w:t>Počet testů, které splňují mezní hodnoty</w:t>
            </w:r>
          </w:p>
        </w:tc>
        <w:tc>
          <w:tcPr>
            <w:tcW w:w="992" w:type="dxa"/>
            <w:vMerge w:val="restart"/>
          </w:tcPr>
          <w:p w:rsidR="003B6E11" w:rsidRPr="003B6E11" w:rsidRDefault="003B6E11" w:rsidP="002D015D">
            <w:pPr>
              <w:spacing w:before="60" w:after="60"/>
              <w:jc w:val="center"/>
              <w:rPr>
                <w:noProof/>
                <w:sz w:val="18"/>
                <w:szCs w:val="18"/>
                <w:lang w:val="cs-CZ"/>
              </w:rPr>
            </w:pPr>
            <w:r w:rsidRPr="003B6E11">
              <w:rPr>
                <w:noProof/>
                <w:sz w:val="18"/>
                <w:lang w:val="cs-CZ"/>
              </w:rPr>
              <w:t>Min.</w:t>
            </w:r>
          </w:p>
        </w:tc>
        <w:tc>
          <w:tcPr>
            <w:tcW w:w="2203" w:type="dxa"/>
            <w:gridSpan w:val="2"/>
          </w:tcPr>
          <w:p w:rsidR="003B6E11" w:rsidRPr="003B6E11" w:rsidRDefault="003B6E11" w:rsidP="002D015D">
            <w:pPr>
              <w:spacing w:before="60" w:after="60"/>
              <w:jc w:val="center"/>
              <w:rPr>
                <w:noProof/>
                <w:sz w:val="18"/>
                <w:szCs w:val="18"/>
                <w:lang w:val="cs-CZ"/>
              </w:rPr>
            </w:pPr>
            <w:r w:rsidRPr="003B6E11">
              <w:rPr>
                <w:noProof/>
                <w:sz w:val="18"/>
                <w:lang w:val="cs-CZ"/>
              </w:rPr>
              <w:t>Max.</w:t>
            </w:r>
          </w:p>
        </w:tc>
        <w:tc>
          <w:tcPr>
            <w:tcW w:w="1134" w:type="dxa"/>
            <w:vMerge w:val="restart"/>
          </w:tcPr>
          <w:p w:rsidR="003B6E11" w:rsidRPr="003B6E11" w:rsidRDefault="003B6E11" w:rsidP="002D015D">
            <w:pPr>
              <w:spacing w:before="60" w:after="60"/>
              <w:jc w:val="center"/>
              <w:rPr>
                <w:noProof/>
                <w:sz w:val="18"/>
                <w:szCs w:val="18"/>
                <w:lang w:val="cs-CZ"/>
              </w:rPr>
            </w:pPr>
            <w:r w:rsidRPr="003B6E11">
              <w:rPr>
                <w:noProof/>
                <w:sz w:val="18"/>
                <w:lang w:val="cs-CZ"/>
              </w:rPr>
              <w:t>Průměr</w:t>
            </w:r>
          </w:p>
        </w:tc>
      </w:tr>
      <w:tr w:rsidR="003B6E11" w:rsidRPr="003B6E11" w:rsidTr="002D015D">
        <w:tc>
          <w:tcPr>
            <w:tcW w:w="1560" w:type="dxa"/>
            <w:vMerge/>
          </w:tcPr>
          <w:p w:rsidR="003B6E11" w:rsidRPr="003B6E11" w:rsidRDefault="003B6E11" w:rsidP="002D015D">
            <w:pPr>
              <w:spacing w:before="60" w:after="60"/>
              <w:rPr>
                <w:noProof/>
                <w:sz w:val="18"/>
                <w:szCs w:val="18"/>
                <w:lang w:val="cs-CZ"/>
              </w:rPr>
            </w:pPr>
          </w:p>
        </w:tc>
        <w:tc>
          <w:tcPr>
            <w:tcW w:w="1842" w:type="dxa"/>
            <w:vMerge/>
          </w:tcPr>
          <w:p w:rsidR="003B6E11" w:rsidRPr="003B6E11" w:rsidRDefault="003B6E11" w:rsidP="002D015D">
            <w:pPr>
              <w:spacing w:before="60" w:after="60"/>
              <w:rPr>
                <w:noProof/>
                <w:sz w:val="18"/>
                <w:szCs w:val="18"/>
                <w:lang w:val="cs-CZ"/>
              </w:rPr>
            </w:pPr>
          </w:p>
        </w:tc>
        <w:tc>
          <w:tcPr>
            <w:tcW w:w="1058" w:type="dxa"/>
            <w:vMerge/>
          </w:tcPr>
          <w:p w:rsidR="003B6E11" w:rsidRPr="003B6E11" w:rsidRDefault="003B6E11" w:rsidP="002D015D">
            <w:pPr>
              <w:spacing w:before="60" w:after="60"/>
              <w:rPr>
                <w:noProof/>
                <w:sz w:val="18"/>
                <w:szCs w:val="18"/>
                <w:lang w:val="cs-CZ"/>
              </w:rPr>
            </w:pPr>
          </w:p>
        </w:tc>
        <w:tc>
          <w:tcPr>
            <w:tcW w:w="992" w:type="dxa"/>
            <w:vMerge/>
          </w:tcPr>
          <w:p w:rsidR="003B6E11" w:rsidRPr="003B6E11" w:rsidRDefault="003B6E11" w:rsidP="002D015D">
            <w:pPr>
              <w:spacing w:before="60" w:after="60"/>
              <w:rPr>
                <w:noProof/>
                <w:sz w:val="18"/>
                <w:szCs w:val="18"/>
                <w:lang w:val="cs-CZ"/>
              </w:rPr>
            </w:pPr>
          </w:p>
        </w:tc>
        <w:tc>
          <w:tcPr>
            <w:tcW w:w="1069" w:type="dxa"/>
          </w:tcPr>
          <w:p w:rsidR="003B6E11" w:rsidRPr="003B6E11" w:rsidRDefault="003B6E11" w:rsidP="002D015D">
            <w:pPr>
              <w:spacing w:before="60" w:after="60"/>
              <w:jc w:val="center"/>
              <w:rPr>
                <w:noProof/>
                <w:sz w:val="18"/>
                <w:szCs w:val="18"/>
                <w:lang w:val="cs-CZ"/>
              </w:rPr>
            </w:pPr>
            <w:r w:rsidRPr="003B6E11">
              <w:rPr>
                <w:noProof/>
                <w:sz w:val="18"/>
                <w:lang w:val="cs-CZ"/>
              </w:rPr>
              <w:t>Hodnota</w:t>
            </w:r>
          </w:p>
        </w:tc>
        <w:tc>
          <w:tcPr>
            <w:tcW w:w="1134" w:type="dxa"/>
          </w:tcPr>
          <w:p w:rsidR="003B6E11" w:rsidRPr="003B6E11" w:rsidRDefault="003B6E11" w:rsidP="002D015D">
            <w:pPr>
              <w:spacing w:before="60" w:after="60"/>
              <w:jc w:val="center"/>
              <w:rPr>
                <w:noProof/>
                <w:sz w:val="18"/>
                <w:szCs w:val="18"/>
                <w:lang w:val="cs-CZ"/>
              </w:rPr>
            </w:pPr>
            <w:r w:rsidRPr="003B6E11">
              <w:rPr>
                <w:noProof/>
                <w:sz w:val="18"/>
                <w:lang w:val="cs-CZ"/>
              </w:rPr>
              <w:t>Fáze</w:t>
            </w:r>
          </w:p>
        </w:tc>
        <w:tc>
          <w:tcPr>
            <w:tcW w:w="1134" w:type="dxa"/>
            <w:vMerge/>
          </w:tcPr>
          <w:p w:rsidR="003B6E11" w:rsidRPr="003B6E11" w:rsidRDefault="003B6E11" w:rsidP="002D015D">
            <w:pPr>
              <w:spacing w:before="60" w:after="60"/>
              <w:rPr>
                <w:noProof/>
                <w:sz w:val="18"/>
                <w:szCs w:val="18"/>
                <w:lang w:val="cs-CZ"/>
              </w:rPr>
            </w:pPr>
          </w:p>
        </w:tc>
      </w:tr>
      <w:tr w:rsidR="003B6E11" w:rsidRPr="003B6E11" w:rsidTr="002D015D">
        <w:tc>
          <w:tcPr>
            <w:tcW w:w="1560" w:type="dxa"/>
            <w:vAlign w:val="center"/>
          </w:tcPr>
          <w:p w:rsidR="003B6E11" w:rsidRPr="003B6E11" w:rsidRDefault="003B6E11" w:rsidP="002D015D">
            <w:pPr>
              <w:spacing w:before="60" w:after="60"/>
              <w:rPr>
                <w:noProof/>
                <w:sz w:val="18"/>
                <w:szCs w:val="18"/>
                <w:lang w:val="cs-CZ"/>
              </w:rPr>
            </w:pPr>
            <w:r w:rsidRPr="003B6E11">
              <w:rPr>
                <w:noProof/>
                <w:sz w:val="18"/>
                <w:lang w:val="cs-CZ"/>
              </w:rPr>
              <w:t>Přítok</w:t>
            </w:r>
          </w:p>
        </w:tc>
        <w:tc>
          <w:tcPr>
            <w:tcW w:w="1842" w:type="dxa"/>
            <w:vAlign w:val="center"/>
          </w:tcPr>
          <w:p w:rsidR="003B6E11" w:rsidRPr="003B6E11" w:rsidRDefault="003B6E11" w:rsidP="002D015D">
            <w:pPr>
              <w:spacing w:before="60" w:after="60"/>
              <w:rPr>
                <w:noProof/>
                <w:sz w:val="18"/>
                <w:szCs w:val="18"/>
                <w:lang w:val="cs-CZ"/>
              </w:rPr>
            </w:pPr>
            <w:r w:rsidRPr="003B6E11">
              <w:rPr>
                <w:noProof/>
                <w:sz w:val="18"/>
                <w:lang w:val="cs-CZ"/>
              </w:rPr>
              <w:t>Souhrnné vzorky za 24 h</w:t>
            </w:r>
          </w:p>
        </w:tc>
        <w:tc>
          <w:tcPr>
            <w:tcW w:w="1058" w:type="dxa"/>
            <w:vAlign w:val="center"/>
          </w:tcPr>
          <w:p w:rsidR="003B6E11" w:rsidRPr="003B6E11" w:rsidRDefault="003B6E11" w:rsidP="002D015D">
            <w:pPr>
              <w:spacing w:before="60" w:after="60"/>
              <w:jc w:val="center"/>
              <w:rPr>
                <w:noProof/>
                <w:sz w:val="18"/>
                <w:szCs w:val="18"/>
                <w:lang w:val="cs-CZ"/>
              </w:rPr>
            </w:pPr>
            <w:r w:rsidRPr="003B6E11">
              <w:rPr>
                <w:noProof/>
                <w:sz w:val="18"/>
                <w:lang w:val="cs-CZ"/>
              </w:rPr>
              <w:t>--</w:t>
            </w:r>
          </w:p>
        </w:tc>
        <w:tc>
          <w:tcPr>
            <w:tcW w:w="992" w:type="dxa"/>
            <w:vAlign w:val="center"/>
          </w:tcPr>
          <w:p w:rsidR="003B6E11" w:rsidRPr="003B6E11" w:rsidRDefault="003B6E11" w:rsidP="002D015D">
            <w:pPr>
              <w:spacing w:before="60" w:after="60"/>
              <w:rPr>
                <w:noProof/>
                <w:sz w:val="18"/>
                <w:szCs w:val="18"/>
                <w:lang w:val="cs-CZ"/>
              </w:rPr>
            </w:pPr>
          </w:p>
        </w:tc>
        <w:tc>
          <w:tcPr>
            <w:tcW w:w="1069" w:type="dxa"/>
            <w:vAlign w:val="center"/>
          </w:tcPr>
          <w:p w:rsidR="003B6E11" w:rsidRPr="003B6E11" w:rsidRDefault="003B6E11" w:rsidP="002D015D">
            <w:pPr>
              <w:spacing w:before="60" w:after="60"/>
              <w:rPr>
                <w:noProof/>
                <w:sz w:val="18"/>
                <w:szCs w:val="18"/>
                <w:lang w:val="cs-CZ"/>
              </w:rPr>
            </w:pPr>
          </w:p>
        </w:tc>
        <w:tc>
          <w:tcPr>
            <w:tcW w:w="1134" w:type="dxa"/>
            <w:vAlign w:val="center"/>
          </w:tcPr>
          <w:p w:rsidR="003B6E11" w:rsidRPr="003B6E11" w:rsidRDefault="003B6E11" w:rsidP="002D015D">
            <w:pPr>
              <w:spacing w:before="60" w:after="60"/>
              <w:rPr>
                <w:noProof/>
                <w:sz w:val="18"/>
                <w:szCs w:val="18"/>
                <w:lang w:val="cs-CZ"/>
              </w:rPr>
            </w:pPr>
          </w:p>
        </w:tc>
        <w:tc>
          <w:tcPr>
            <w:tcW w:w="1134" w:type="dxa"/>
            <w:vAlign w:val="center"/>
          </w:tcPr>
          <w:p w:rsidR="003B6E11" w:rsidRPr="003B6E11" w:rsidRDefault="003B6E11" w:rsidP="002D015D">
            <w:pPr>
              <w:spacing w:before="60" w:after="60"/>
              <w:rPr>
                <w:noProof/>
                <w:sz w:val="18"/>
                <w:szCs w:val="18"/>
                <w:lang w:val="cs-CZ"/>
              </w:rPr>
            </w:pPr>
          </w:p>
        </w:tc>
      </w:tr>
      <w:tr w:rsidR="003B6E11" w:rsidRPr="003B6E11" w:rsidTr="002D015D">
        <w:tc>
          <w:tcPr>
            <w:tcW w:w="1560" w:type="dxa"/>
          </w:tcPr>
          <w:p w:rsidR="003B6E11" w:rsidRPr="003B6E11" w:rsidRDefault="003B6E11" w:rsidP="002D015D">
            <w:pPr>
              <w:spacing w:before="60" w:after="60"/>
              <w:rPr>
                <w:noProof/>
                <w:sz w:val="18"/>
                <w:szCs w:val="18"/>
                <w:lang w:val="cs-CZ"/>
              </w:rPr>
            </w:pPr>
            <w:r w:rsidRPr="003B6E11">
              <w:rPr>
                <w:noProof/>
                <w:sz w:val="18"/>
                <w:lang w:val="cs-CZ"/>
              </w:rPr>
              <w:t>Odtok</w:t>
            </w:r>
          </w:p>
        </w:tc>
        <w:tc>
          <w:tcPr>
            <w:tcW w:w="1842" w:type="dxa"/>
            <w:vAlign w:val="center"/>
          </w:tcPr>
          <w:p w:rsidR="003B6E11" w:rsidRPr="003B6E11" w:rsidRDefault="003B6E11" w:rsidP="002D015D">
            <w:pPr>
              <w:spacing w:before="60" w:after="60"/>
              <w:rPr>
                <w:noProof/>
                <w:sz w:val="18"/>
                <w:szCs w:val="18"/>
                <w:lang w:val="cs-CZ"/>
              </w:rPr>
            </w:pPr>
            <w:r w:rsidRPr="003B6E11">
              <w:rPr>
                <w:noProof/>
                <w:sz w:val="18"/>
                <w:lang w:val="cs-CZ"/>
              </w:rPr>
              <w:t>Souhrnné vzorky za 24 h</w:t>
            </w:r>
          </w:p>
        </w:tc>
        <w:tc>
          <w:tcPr>
            <w:tcW w:w="1058" w:type="dxa"/>
            <w:vAlign w:val="center"/>
          </w:tcPr>
          <w:p w:rsidR="003B6E11" w:rsidRPr="003B6E11" w:rsidRDefault="003B6E11" w:rsidP="002D015D">
            <w:pPr>
              <w:spacing w:before="60" w:after="60"/>
              <w:rPr>
                <w:noProof/>
                <w:sz w:val="18"/>
                <w:szCs w:val="18"/>
                <w:lang w:val="cs-CZ"/>
              </w:rPr>
            </w:pPr>
          </w:p>
        </w:tc>
        <w:tc>
          <w:tcPr>
            <w:tcW w:w="992" w:type="dxa"/>
            <w:vAlign w:val="center"/>
          </w:tcPr>
          <w:p w:rsidR="003B6E11" w:rsidRPr="003B6E11" w:rsidRDefault="003B6E11" w:rsidP="002D015D">
            <w:pPr>
              <w:spacing w:before="60" w:after="60"/>
              <w:rPr>
                <w:noProof/>
                <w:sz w:val="18"/>
                <w:szCs w:val="18"/>
                <w:lang w:val="cs-CZ"/>
              </w:rPr>
            </w:pPr>
          </w:p>
        </w:tc>
        <w:tc>
          <w:tcPr>
            <w:tcW w:w="1069" w:type="dxa"/>
            <w:vAlign w:val="center"/>
          </w:tcPr>
          <w:p w:rsidR="003B6E11" w:rsidRPr="003B6E11" w:rsidRDefault="003B6E11" w:rsidP="002D015D">
            <w:pPr>
              <w:spacing w:before="60" w:after="60"/>
              <w:rPr>
                <w:noProof/>
                <w:sz w:val="18"/>
                <w:szCs w:val="18"/>
                <w:lang w:val="cs-CZ"/>
              </w:rPr>
            </w:pPr>
          </w:p>
        </w:tc>
        <w:tc>
          <w:tcPr>
            <w:tcW w:w="1134" w:type="dxa"/>
            <w:vAlign w:val="center"/>
          </w:tcPr>
          <w:p w:rsidR="003B6E11" w:rsidRPr="003B6E11" w:rsidRDefault="003B6E11" w:rsidP="002D015D">
            <w:pPr>
              <w:spacing w:before="60" w:after="60"/>
              <w:rPr>
                <w:noProof/>
                <w:sz w:val="18"/>
                <w:szCs w:val="18"/>
                <w:lang w:val="cs-CZ"/>
              </w:rPr>
            </w:pPr>
          </w:p>
        </w:tc>
        <w:tc>
          <w:tcPr>
            <w:tcW w:w="1134" w:type="dxa"/>
            <w:vAlign w:val="center"/>
          </w:tcPr>
          <w:p w:rsidR="003B6E11" w:rsidRPr="003B6E11" w:rsidRDefault="003B6E11" w:rsidP="002D015D">
            <w:pPr>
              <w:spacing w:before="60" w:after="60"/>
              <w:rPr>
                <w:noProof/>
                <w:sz w:val="18"/>
                <w:szCs w:val="18"/>
                <w:lang w:val="cs-CZ"/>
              </w:rPr>
            </w:pPr>
          </w:p>
        </w:tc>
      </w:tr>
      <w:tr w:rsidR="003B6E11" w:rsidRPr="003B6E11" w:rsidTr="002D015D">
        <w:tc>
          <w:tcPr>
            <w:tcW w:w="1560" w:type="dxa"/>
            <w:vAlign w:val="center"/>
          </w:tcPr>
          <w:p w:rsidR="003B6E11" w:rsidRPr="003B6E11" w:rsidRDefault="003B6E11" w:rsidP="002D015D">
            <w:pPr>
              <w:spacing w:before="60" w:after="60"/>
              <w:rPr>
                <w:noProof/>
                <w:sz w:val="18"/>
                <w:szCs w:val="18"/>
                <w:lang w:val="cs-CZ"/>
              </w:rPr>
            </w:pPr>
            <w:r w:rsidRPr="003B6E11">
              <w:rPr>
                <w:noProof/>
                <w:sz w:val="18"/>
                <w:lang w:val="cs-CZ"/>
              </w:rPr>
              <w:t>Přítok</w:t>
            </w:r>
          </w:p>
        </w:tc>
        <w:tc>
          <w:tcPr>
            <w:tcW w:w="1842" w:type="dxa"/>
            <w:vAlign w:val="center"/>
          </w:tcPr>
          <w:p w:rsidR="003B6E11" w:rsidRPr="003B6E11" w:rsidRDefault="003B6E11" w:rsidP="002D015D">
            <w:pPr>
              <w:spacing w:before="60" w:after="60"/>
              <w:rPr>
                <w:noProof/>
                <w:sz w:val="18"/>
                <w:szCs w:val="18"/>
                <w:lang w:val="cs-CZ"/>
              </w:rPr>
            </w:pPr>
            <w:r w:rsidRPr="003B6E11">
              <w:rPr>
                <w:noProof/>
                <w:sz w:val="18"/>
                <w:lang w:val="cs-CZ"/>
              </w:rPr>
              <w:t>Náhodné vzorky</w:t>
            </w:r>
          </w:p>
        </w:tc>
        <w:tc>
          <w:tcPr>
            <w:tcW w:w="1058" w:type="dxa"/>
            <w:vAlign w:val="center"/>
          </w:tcPr>
          <w:p w:rsidR="003B6E11" w:rsidRPr="003B6E11" w:rsidRDefault="003B6E11" w:rsidP="002D015D">
            <w:pPr>
              <w:spacing w:before="60" w:after="60"/>
              <w:jc w:val="center"/>
              <w:rPr>
                <w:noProof/>
                <w:sz w:val="18"/>
                <w:szCs w:val="18"/>
                <w:lang w:val="cs-CZ"/>
              </w:rPr>
            </w:pPr>
            <w:r w:rsidRPr="003B6E11">
              <w:rPr>
                <w:noProof/>
                <w:sz w:val="18"/>
                <w:lang w:val="cs-CZ"/>
              </w:rPr>
              <w:t>--</w:t>
            </w:r>
          </w:p>
        </w:tc>
        <w:tc>
          <w:tcPr>
            <w:tcW w:w="992" w:type="dxa"/>
            <w:vAlign w:val="center"/>
          </w:tcPr>
          <w:p w:rsidR="003B6E11" w:rsidRPr="003B6E11" w:rsidRDefault="003B6E11" w:rsidP="002D015D">
            <w:pPr>
              <w:spacing w:before="60" w:after="60"/>
              <w:rPr>
                <w:noProof/>
                <w:sz w:val="18"/>
                <w:szCs w:val="18"/>
                <w:lang w:val="cs-CZ"/>
              </w:rPr>
            </w:pPr>
          </w:p>
        </w:tc>
        <w:tc>
          <w:tcPr>
            <w:tcW w:w="1069" w:type="dxa"/>
            <w:vAlign w:val="center"/>
          </w:tcPr>
          <w:p w:rsidR="003B6E11" w:rsidRPr="003B6E11" w:rsidRDefault="003B6E11" w:rsidP="002D015D">
            <w:pPr>
              <w:spacing w:before="60" w:after="60"/>
              <w:rPr>
                <w:noProof/>
                <w:sz w:val="18"/>
                <w:szCs w:val="18"/>
                <w:lang w:val="cs-CZ"/>
              </w:rPr>
            </w:pPr>
          </w:p>
        </w:tc>
        <w:tc>
          <w:tcPr>
            <w:tcW w:w="1134" w:type="dxa"/>
            <w:vAlign w:val="center"/>
          </w:tcPr>
          <w:p w:rsidR="003B6E11" w:rsidRPr="003B6E11" w:rsidRDefault="003B6E11" w:rsidP="002D015D">
            <w:pPr>
              <w:spacing w:before="60" w:after="60"/>
              <w:rPr>
                <w:noProof/>
                <w:sz w:val="18"/>
                <w:szCs w:val="18"/>
                <w:lang w:val="cs-CZ"/>
              </w:rPr>
            </w:pPr>
          </w:p>
        </w:tc>
        <w:tc>
          <w:tcPr>
            <w:tcW w:w="1134" w:type="dxa"/>
            <w:vAlign w:val="center"/>
          </w:tcPr>
          <w:p w:rsidR="003B6E11" w:rsidRPr="003B6E11" w:rsidRDefault="003B6E11" w:rsidP="002D015D">
            <w:pPr>
              <w:spacing w:before="60" w:after="60"/>
              <w:rPr>
                <w:noProof/>
                <w:sz w:val="18"/>
                <w:szCs w:val="18"/>
                <w:lang w:val="cs-CZ"/>
              </w:rPr>
            </w:pPr>
          </w:p>
        </w:tc>
      </w:tr>
      <w:tr w:rsidR="003B6E11" w:rsidRPr="003B6E11" w:rsidTr="002D015D">
        <w:tc>
          <w:tcPr>
            <w:tcW w:w="1560" w:type="dxa"/>
          </w:tcPr>
          <w:p w:rsidR="003B6E11" w:rsidRPr="003B6E11" w:rsidRDefault="003B6E11" w:rsidP="002D015D">
            <w:pPr>
              <w:spacing w:before="60" w:after="60"/>
              <w:rPr>
                <w:noProof/>
                <w:sz w:val="18"/>
                <w:szCs w:val="18"/>
                <w:lang w:val="cs-CZ"/>
              </w:rPr>
            </w:pPr>
            <w:r w:rsidRPr="003B6E11">
              <w:rPr>
                <w:noProof/>
                <w:sz w:val="18"/>
                <w:lang w:val="cs-CZ"/>
              </w:rPr>
              <w:t>Odtok</w:t>
            </w:r>
          </w:p>
        </w:tc>
        <w:tc>
          <w:tcPr>
            <w:tcW w:w="1842" w:type="dxa"/>
            <w:vAlign w:val="center"/>
          </w:tcPr>
          <w:p w:rsidR="003B6E11" w:rsidRPr="003B6E11" w:rsidRDefault="003B6E11" w:rsidP="002D015D">
            <w:pPr>
              <w:spacing w:before="60" w:after="60"/>
              <w:rPr>
                <w:noProof/>
                <w:sz w:val="18"/>
                <w:szCs w:val="18"/>
                <w:lang w:val="cs-CZ"/>
              </w:rPr>
            </w:pPr>
            <w:r w:rsidRPr="003B6E11">
              <w:rPr>
                <w:noProof/>
                <w:sz w:val="18"/>
                <w:lang w:val="cs-CZ"/>
              </w:rPr>
              <w:t>Náhodné vzorky</w:t>
            </w:r>
          </w:p>
        </w:tc>
        <w:tc>
          <w:tcPr>
            <w:tcW w:w="1058" w:type="dxa"/>
            <w:vAlign w:val="center"/>
          </w:tcPr>
          <w:p w:rsidR="003B6E11" w:rsidRPr="003B6E11" w:rsidRDefault="003B6E11" w:rsidP="002D015D">
            <w:pPr>
              <w:spacing w:before="60" w:after="60"/>
              <w:rPr>
                <w:noProof/>
                <w:sz w:val="18"/>
                <w:szCs w:val="18"/>
                <w:lang w:val="cs-CZ"/>
              </w:rPr>
            </w:pPr>
          </w:p>
        </w:tc>
        <w:tc>
          <w:tcPr>
            <w:tcW w:w="992" w:type="dxa"/>
            <w:vAlign w:val="center"/>
          </w:tcPr>
          <w:p w:rsidR="003B6E11" w:rsidRPr="003B6E11" w:rsidRDefault="003B6E11" w:rsidP="002D015D">
            <w:pPr>
              <w:spacing w:before="60" w:after="60"/>
              <w:rPr>
                <w:noProof/>
                <w:sz w:val="18"/>
                <w:szCs w:val="18"/>
                <w:lang w:val="cs-CZ"/>
              </w:rPr>
            </w:pPr>
          </w:p>
        </w:tc>
        <w:tc>
          <w:tcPr>
            <w:tcW w:w="1069" w:type="dxa"/>
            <w:vAlign w:val="center"/>
          </w:tcPr>
          <w:p w:rsidR="003B6E11" w:rsidRPr="003B6E11" w:rsidRDefault="003B6E11" w:rsidP="002D015D">
            <w:pPr>
              <w:spacing w:before="60" w:after="60"/>
              <w:rPr>
                <w:noProof/>
                <w:sz w:val="18"/>
                <w:szCs w:val="18"/>
                <w:lang w:val="cs-CZ"/>
              </w:rPr>
            </w:pPr>
          </w:p>
        </w:tc>
        <w:tc>
          <w:tcPr>
            <w:tcW w:w="1134" w:type="dxa"/>
            <w:vAlign w:val="center"/>
          </w:tcPr>
          <w:p w:rsidR="003B6E11" w:rsidRPr="003B6E11" w:rsidRDefault="003B6E11" w:rsidP="002D015D">
            <w:pPr>
              <w:spacing w:before="60" w:after="60"/>
              <w:rPr>
                <w:noProof/>
                <w:sz w:val="18"/>
                <w:szCs w:val="18"/>
                <w:lang w:val="cs-CZ"/>
              </w:rPr>
            </w:pPr>
          </w:p>
        </w:tc>
        <w:tc>
          <w:tcPr>
            <w:tcW w:w="1134" w:type="dxa"/>
            <w:vAlign w:val="center"/>
          </w:tcPr>
          <w:p w:rsidR="003B6E11" w:rsidRPr="003B6E11" w:rsidRDefault="003B6E11" w:rsidP="002D015D">
            <w:pPr>
              <w:spacing w:before="60" w:after="60"/>
              <w:rPr>
                <w:noProof/>
                <w:sz w:val="18"/>
                <w:szCs w:val="18"/>
                <w:lang w:val="cs-CZ"/>
              </w:rPr>
            </w:pPr>
          </w:p>
        </w:tc>
      </w:tr>
    </w:tbl>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lang w:val="cs-CZ"/>
        </w:rPr>
        <w:br w:type="page"/>
      </w:r>
    </w:p>
    <w:p w:rsidR="003B6E11" w:rsidRPr="003B6E11" w:rsidRDefault="003B6E11" w:rsidP="003B6E11">
      <w:pPr>
        <w:spacing w:line="240" w:lineRule="atLeast"/>
        <w:rPr>
          <w:rFonts w:cs="Arial"/>
          <w:noProof/>
          <w:color w:val="000000"/>
          <w:lang w:val="cs-CZ"/>
        </w:rPr>
      </w:pPr>
      <w:r w:rsidRPr="003B6E11">
        <w:rPr>
          <w:noProof/>
          <w:color w:val="000000"/>
          <w:lang w:val="cs-CZ"/>
        </w:rPr>
        <w:t xml:space="preserve">Vyhodnocení hodnot odtoku </w:t>
      </w:r>
      <w:r w:rsidRPr="003B6E11">
        <w:rPr>
          <w:b/>
          <w:noProof/>
          <w:color w:val="000000"/>
          <w:lang w:val="cs-CZ"/>
        </w:rPr>
        <w:t>TOC</w:t>
      </w:r>
      <w:r w:rsidRPr="003B6E11">
        <w:rPr>
          <w:noProof/>
          <w:color w:val="000000"/>
          <w:lang w:val="cs-CZ"/>
        </w:rPr>
        <w:t xml:space="preserve"> (mg/l)</w:t>
      </w:r>
    </w:p>
    <w:p w:rsidR="003B6E11" w:rsidRPr="003B6E11" w:rsidRDefault="003B6E11" w:rsidP="003B6E11">
      <w:pPr>
        <w:spacing w:line="240" w:lineRule="atLeast"/>
        <w:rPr>
          <w:rFonts w:cs="Arial"/>
          <w:noProof/>
          <w:color w:val="000000"/>
          <w:lang w:val="cs-C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1058"/>
        <w:gridCol w:w="992"/>
        <w:gridCol w:w="1069"/>
        <w:gridCol w:w="1134"/>
        <w:gridCol w:w="1134"/>
      </w:tblGrid>
      <w:tr w:rsidR="003B6E11" w:rsidRPr="003B6E11" w:rsidTr="002D015D">
        <w:tc>
          <w:tcPr>
            <w:tcW w:w="1560" w:type="dxa"/>
            <w:vMerge w:val="restart"/>
          </w:tcPr>
          <w:p w:rsidR="003B6E11" w:rsidRPr="003B6E11" w:rsidRDefault="003B6E11" w:rsidP="002D015D">
            <w:pPr>
              <w:spacing w:before="60" w:after="60"/>
              <w:rPr>
                <w:noProof/>
                <w:sz w:val="18"/>
                <w:szCs w:val="18"/>
                <w:lang w:val="cs-CZ"/>
              </w:rPr>
            </w:pPr>
            <w:r w:rsidRPr="003B6E11">
              <w:rPr>
                <w:noProof/>
                <w:sz w:val="18"/>
                <w:lang w:val="cs-CZ"/>
              </w:rPr>
              <w:t>Místo</w:t>
            </w:r>
          </w:p>
        </w:tc>
        <w:tc>
          <w:tcPr>
            <w:tcW w:w="1842" w:type="dxa"/>
            <w:vMerge w:val="restart"/>
          </w:tcPr>
          <w:p w:rsidR="003B6E11" w:rsidRPr="003B6E11" w:rsidRDefault="003B6E11" w:rsidP="002D015D">
            <w:pPr>
              <w:spacing w:before="60" w:after="60"/>
              <w:jc w:val="center"/>
              <w:rPr>
                <w:noProof/>
                <w:sz w:val="18"/>
                <w:szCs w:val="18"/>
                <w:lang w:val="cs-CZ"/>
              </w:rPr>
            </w:pPr>
            <w:r w:rsidRPr="003B6E11">
              <w:rPr>
                <w:noProof/>
                <w:sz w:val="18"/>
                <w:lang w:val="cs-CZ"/>
              </w:rPr>
              <w:t>Druh vzorku</w:t>
            </w:r>
          </w:p>
        </w:tc>
        <w:tc>
          <w:tcPr>
            <w:tcW w:w="1058" w:type="dxa"/>
            <w:vMerge w:val="restart"/>
          </w:tcPr>
          <w:p w:rsidR="003B6E11" w:rsidRPr="003B6E11" w:rsidRDefault="003B6E11" w:rsidP="002D015D">
            <w:pPr>
              <w:spacing w:before="60" w:after="60"/>
              <w:jc w:val="center"/>
              <w:rPr>
                <w:noProof/>
                <w:sz w:val="18"/>
                <w:szCs w:val="18"/>
                <w:lang w:val="cs-CZ"/>
              </w:rPr>
            </w:pPr>
            <w:r w:rsidRPr="003B6E11">
              <w:rPr>
                <w:noProof/>
                <w:sz w:val="18"/>
                <w:lang w:val="cs-CZ"/>
              </w:rPr>
              <w:t>Počet testů, které splňují mezní hodnoty</w:t>
            </w:r>
          </w:p>
        </w:tc>
        <w:tc>
          <w:tcPr>
            <w:tcW w:w="992" w:type="dxa"/>
            <w:vMerge w:val="restart"/>
          </w:tcPr>
          <w:p w:rsidR="003B6E11" w:rsidRPr="003B6E11" w:rsidRDefault="003B6E11" w:rsidP="002D015D">
            <w:pPr>
              <w:spacing w:before="60" w:after="60"/>
              <w:jc w:val="center"/>
              <w:rPr>
                <w:noProof/>
                <w:sz w:val="18"/>
                <w:szCs w:val="18"/>
                <w:lang w:val="cs-CZ"/>
              </w:rPr>
            </w:pPr>
            <w:r w:rsidRPr="003B6E11">
              <w:rPr>
                <w:noProof/>
                <w:sz w:val="18"/>
                <w:lang w:val="cs-CZ"/>
              </w:rPr>
              <w:t>Min.</w:t>
            </w:r>
          </w:p>
        </w:tc>
        <w:tc>
          <w:tcPr>
            <w:tcW w:w="2203" w:type="dxa"/>
            <w:gridSpan w:val="2"/>
          </w:tcPr>
          <w:p w:rsidR="003B6E11" w:rsidRPr="003B6E11" w:rsidRDefault="003B6E11" w:rsidP="002D015D">
            <w:pPr>
              <w:spacing w:before="60" w:after="60"/>
              <w:jc w:val="center"/>
              <w:rPr>
                <w:noProof/>
                <w:sz w:val="18"/>
                <w:szCs w:val="18"/>
                <w:lang w:val="cs-CZ"/>
              </w:rPr>
            </w:pPr>
            <w:r w:rsidRPr="003B6E11">
              <w:rPr>
                <w:noProof/>
                <w:sz w:val="18"/>
                <w:lang w:val="cs-CZ"/>
              </w:rPr>
              <w:t>Max.</w:t>
            </w:r>
          </w:p>
        </w:tc>
        <w:tc>
          <w:tcPr>
            <w:tcW w:w="1134" w:type="dxa"/>
            <w:vMerge w:val="restart"/>
          </w:tcPr>
          <w:p w:rsidR="003B6E11" w:rsidRPr="003B6E11" w:rsidRDefault="003B6E11" w:rsidP="002D015D">
            <w:pPr>
              <w:spacing w:before="60" w:after="60"/>
              <w:jc w:val="center"/>
              <w:rPr>
                <w:noProof/>
                <w:sz w:val="18"/>
                <w:szCs w:val="18"/>
                <w:lang w:val="cs-CZ"/>
              </w:rPr>
            </w:pPr>
            <w:r w:rsidRPr="003B6E11">
              <w:rPr>
                <w:noProof/>
                <w:sz w:val="18"/>
                <w:lang w:val="cs-CZ"/>
              </w:rPr>
              <w:t>Průměr</w:t>
            </w:r>
          </w:p>
        </w:tc>
      </w:tr>
      <w:tr w:rsidR="003B6E11" w:rsidRPr="003B6E11" w:rsidTr="002D015D">
        <w:tc>
          <w:tcPr>
            <w:tcW w:w="1560" w:type="dxa"/>
            <w:vMerge/>
          </w:tcPr>
          <w:p w:rsidR="003B6E11" w:rsidRPr="003B6E11" w:rsidRDefault="003B6E11" w:rsidP="002D015D">
            <w:pPr>
              <w:spacing w:before="60" w:after="60"/>
              <w:rPr>
                <w:noProof/>
                <w:sz w:val="18"/>
                <w:szCs w:val="18"/>
                <w:lang w:val="cs-CZ"/>
              </w:rPr>
            </w:pPr>
          </w:p>
        </w:tc>
        <w:tc>
          <w:tcPr>
            <w:tcW w:w="1842" w:type="dxa"/>
            <w:vMerge/>
          </w:tcPr>
          <w:p w:rsidR="003B6E11" w:rsidRPr="003B6E11" w:rsidRDefault="003B6E11" w:rsidP="002D015D">
            <w:pPr>
              <w:spacing w:before="60" w:after="60"/>
              <w:rPr>
                <w:noProof/>
                <w:sz w:val="18"/>
                <w:szCs w:val="18"/>
                <w:lang w:val="cs-CZ"/>
              </w:rPr>
            </w:pPr>
          </w:p>
        </w:tc>
        <w:tc>
          <w:tcPr>
            <w:tcW w:w="1058" w:type="dxa"/>
            <w:vMerge/>
          </w:tcPr>
          <w:p w:rsidR="003B6E11" w:rsidRPr="003B6E11" w:rsidRDefault="003B6E11" w:rsidP="002D015D">
            <w:pPr>
              <w:spacing w:before="60" w:after="60"/>
              <w:rPr>
                <w:noProof/>
                <w:sz w:val="18"/>
                <w:szCs w:val="18"/>
                <w:lang w:val="cs-CZ"/>
              </w:rPr>
            </w:pPr>
          </w:p>
        </w:tc>
        <w:tc>
          <w:tcPr>
            <w:tcW w:w="992" w:type="dxa"/>
            <w:vMerge/>
          </w:tcPr>
          <w:p w:rsidR="003B6E11" w:rsidRPr="003B6E11" w:rsidRDefault="003B6E11" w:rsidP="002D015D">
            <w:pPr>
              <w:spacing w:before="60" w:after="60"/>
              <w:rPr>
                <w:noProof/>
                <w:sz w:val="18"/>
                <w:szCs w:val="18"/>
                <w:lang w:val="cs-CZ"/>
              </w:rPr>
            </w:pPr>
          </w:p>
        </w:tc>
        <w:tc>
          <w:tcPr>
            <w:tcW w:w="1069" w:type="dxa"/>
          </w:tcPr>
          <w:p w:rsidR="003B6E11" w:rsidRPr="003B6E11" w:rsidRDefault="003B6E11" w:rsidP="002D015D">
            <w:pPr>
              <w:spacing w:before="60" w:after="60"/>
              <w:jc w:val="center"/>
              <w:rPr>
                <w:noProof/>
                <w:sz w:val="18"/>
                <w:szCs w:val="18"/>
                <w:lang w:val="cs-CZ"/>
              </w:rPr>
            </w:pPr>
            <w:r w:rsidRPr="003B6E11">
              <w:rPr>
                <w:noProof/>
                <w:sz w:val="18"/>
                <w:lang w:val="cs-CZ"/>
              </w:rPr>
              <w:t>Hodnota</w:t>
            </w:r>
          </w:p>
        </w:tc>
        <w:tc>
          <w:tcPr>
            <w:tcW w:w="1134" w:type="dxa"/>
          </w:tcPr>
          <w:p w:rsidR="003B6E11" w:rsidRPr="003B6E11" w:rsidRDefault="003B6E11" w:rsidP="002D015D">
            <w:pPr>
              <w:spacing w:before="60" w:after="60"/>
              <w:jc w:val="center"/>
              <w:rPr>
                <w:noProof/>
                <w:sz w:val="18"/>
                <w:szCs w:val="18"/>
                <w:lang w:val="cs-CZ"/>
              </w:rPr>
            </w:pPr>
            <w:r w:rsidRPr="003B6E11">
              <w:rPr>
                <w:noProof/>
                <w:sz w:val="18"/>
                <w:lang w:val="cs-CZ"/>
              </w:rPr>
              <w:t>Fáze</w:t>
            </w:r>
          </w:p>
        </w:tc>
        <w:tc>
          <w:tcPr>
            <w:tcW w:w="1134" w:type="dxa"/>
            <w:vMerge/>
          </w:tcPr>
          <w:p w:rsidR="003B6E11" w:rsidRPr="003B6E11" w:rsidRDefault="003B6E11" w:rsidP="002D015D">
            <w:pPr>
              <w:spacing w:before="60" w:after="60"/>
              <w:rPr>
                <w:noProof/>
                <w:sz w:val="18"/>
                <w:szCs w:val="18"/>
                <w:lang w:val="cs-CZ"/>
              </w:rPr>
            </w:pPr>
          </w:p>
        </w:tc>
      </w:tr>
      <w:tr w:rsidR="003B6E11" w:rsidRPr="003B6E11" w:rsidTr="002D015D">
        <w:tc>
          <w:tcPr>
            <w:tcW w:w="1560" w:type="dxa"/>
            <w:vAlign w:val="center"/>
          </w:tcPr>
          <w:p w:rsidR="003B6E11" w:rsidRPr="003B6E11" w:rsidRDefault="003B6E11" w:rsidP="002D015D">
            <w:pPr>
              <w:spacing w:before="60" w:after="60"/>
              <w:rPr>
                <w:noProof/>
                <w:sz w:val="18"/>
                <w:szCs w:val="18"/>
                <w:lang w:val="cs-CZ"/>
              </w:rPr>
            </w:pPr>
            <w:r w:rsidRPr="003B6E11">
              <w:rPr>
                <w:noProof/>
                <w:sz w:val="18"/>
                <w:lang w:val="cs-CZ"/>
              </w:rPr>
              <w:t>Přítok</w:t>
            </w:r>
          </w:p>
        </w:tc>
        <w:tc>
          <w:tcPr>
            <w:tcW w:w="1842" w:type="dxa"/>
            <w:vAlign w:val="center"/>
          </w:tcPr>
          <w:p w:rsidR="003B6E11" w:rsidRPr="003B6E11" w:rsidRDefault="003B6E11" w:rsidP="002D015D">
            <w:pPr>
              <w:spacing w:before="60" w:after="60"/>
              <w:rPr>
                <w:noProof/>
                <w:sz w:val="18"/>
                <w:szCs w:val="18"/>
                <w:lang w:val="cs-CZ"/>
              </w:rPr>
            </w:pPr>
            <w:r w:rsidRPr="003B6E11">
              <w:rPr>
                <w:noProof/>
                <w:sz w:val="18"/>
                <w:lang w:val="cs-CZ"/>
              </w:rPr>
              <w:t>Souhrnné vzorky za 24 h</w:t>
            </w:r>
          </w:p>
        </w:tc>
        <w:tc>
          <w:tcPr>
            <w:tcW w:w="1058" w:type="dxa"/>
            <w:vAlign w:val="center"/>
          </w:tcPr>
          <w:p w:rsidR="003B6E11" w:rsidRPr="003B6E11" w:rsidRDefault="003B6E11" w:rsidP="002D015D">
            <w:pPr>
              <w:spacing w:before="60" w:after="60"/>
              <w:jc w:val="center"/>
              <w:rPr>
                <w:noProof/>
                <w:sz w:val="18"/>
                <w:szCs w:val="18"/>
                <w:lang w:val="cs-CZ"/>
              </w:rPr>
            </w:pPr>
            <w:r w:rsidRPr="003B6E11">
              <w:rPr>
                <w:noProof/>
                <w:sz w:val="18"/>
                <w:lang w:val="cs-CZ"/>
              </w:rPr>
              <w:t>--</w:t>
            </w:r>
          </w:p>
        </w:tc>
        <w:tc>
          <w:tcPr>
            <w:tcW w:w="992" w:type="dxa"/>
            <w:vAlign w:val="center"/>
          </w:tcPr>
          <w:p w:rsidR="003B6E11" w:rsidRPr="003B6E11" w:rsidRDefault="003B6E11" w:rsidP="002D015D">
            <w:pPr>
              <w:spacing w:before="60" w:after="60"/>
              <w:rPr>
                <w:noProof/>
                <w:sz w:val="18"/>
                <w:szCs w:val="18"/>
                <w:lang w:val="cs-CZ"/>
              </w:rPr>
            </w:pPr>
          </w:p>
        </w:tc>
        <w:tc>
          <w:tcPr>
            <w:tcW w:w="1069" w:type="dxa"/>
            <w:vAlign w:val="center"/>
          </w:tcPr>
          <w:p w:rsidR="003B6E11" w:rsidRPr="003B6E11" w:rsidRDefault="003B6E11" w:rsidP="002D015D">
            <w:pPr>
              <w:spacing w:before="60" w:after="60"/>
              <w:rPr>
                <w:noProof/>
                <w:sz w:val="18"/>
                <w:szCs w:val="18"/>
                <w:lang w:val="cs-CZ"/>
              </w:rPr>
            </w:pPr>
          </w:p>
        </w:tc>
        <w:tc>
          <w:tcPr>
            <w:tcW w:w="1134" w:type="dxa"/>
            <w:vAlign w:val="center"/>
          </w:tcPr>
          <w:p w:rsidR="003B6E11" w:rsidRPr="003B6E11" w:rsidRDefault="003B6E11" w:rsidP="002D015D">
            <w:pPr>
              <w:spacing w:before="60" w:after="60"/>
              <w:rPr>
                <w:noProof/>
                <w:sz w:val="18"/>
                <w:szCs w:val="18"/>
                <w:lang w:val="cs-CZ"/>
              </w:rPr>
            </w:pPr>
          </w:p>
        </w:tc>
        <w:tc>
          <w:tcPr>
            <w:tcW w:w="1134" w:type="dxa"/>
            <w:vAlign w:val="center"/>
          </w:tcPr>
          <w:p w:rsidR="003B6E11" w:rsidRPr="003B6E11" w:rsidRDefault="003B6E11" w:rsidP="002D015D">
            <w:pPr>
              <w:spacing w:before="60" w:after="60"/>
              <w:rPr>
                <w:noProof/>
                <w:sz w:val="18"/>
                <w:szCs w:val="18"/>
                <w:lang w:val="cs-CZ"/>
              </w:rPr>
            </w:pPr>
          </w:p>
        </w:tc>
      </w:tr>
      <w:tr w:rsidR="003B6E11" w:rsidRPr="003B6E11" w:rsidTr="002D015D">
        <w:tc>
          <w:tcPr>
            <w:tcW w:w="1560" w:type="dxa"/>
          </w:tcPr>
          <w:p w:rsidR="003B6E11" w:rsidRPr="003B6E11" w:rsidRDefault="003B6E11" w:rsidP="002D015D">
            <w:pPr>
              <w:spacing w:before="60" w:after="60"/>
              <w:rPr>
                <w:noProof/>
                <w:sz w:val="18"/>
                <w:szCs w:val="18"/>
                <w:lang w:val="cs-CZ"/>
              </w:rPr>
            </w:pPr>
            <w:r w:rsidRPr="003B6E11">
              <w:rPr>
                <w:noProof/>
                <w:sz w:val="18"/>
                <w:lang w:val="cs-CZ"/>
              </w:rPr>
              <w:t>Odtok</w:t>
            </w:r>
          </w:p>
        </w:tc>
        <w:tc>
          <w:tcPr>
            <w:tcW w:w="1842" w:type="dxa"/>
            <w:vAlign w:val="center"/>
          </w:tcPr>
          <w:p w:rsidR="003B6E11" w:rsidRPr="003B6E11" w:rsidRDefault="003B6E11" w:rsidP="002D015D">
            <w:pPr>
              <w:spacing w:before="60" w:after="60"/>
              <w:rPr>
                <w:noProof/>
                <w:sz w:val="18"/>
                <w:szCs w:val="18"/>
                <w:lang w:val="cs-CZ"/>
              </w:rPr>
            </w:pPr>
            <w:r w:rsidRPr="003B6E11">
              <w:rPr>
                <w:noProof/>
                <w:sz w:val="18"/>
                <w:lang w:val="cs-CZ"/>
              </w:rPr>
              <w:t>Souhrnné vzorky za 24 h</w:t>
            </w:r>
          </w:p>
        </w:tc>
        <w:tc>
          <w:tcPr>
            <w:tcW w:w="1058" w:type="dxa"/>
            <w:vAlign w:val="center"/>
          </w:tcPr>
          <w:p w:rsidR="003B6E11" w:rsidRPr="003B6E11" w:rsidRDefault="003B6E11" w:rsidP="002D015D">
            <w:pPr>
              <w:spacing w:before="60" w:after="60"/>
              <w:rPr>
                <w:noProof/>
                <w:sz w:val="18"/>
                <w:szCs w:val="18"/>
                <w:lang w:val="cs-CZ"/>
              </w:rPr>
            </w:pPr>
          </w:p>
        </w:tc>
        <w:tc>
          <w:tcPr>
            <w:tcW w:w="992" w:type="dxa"/>
            <w:vAlign w:val="center"/>
          </w:tcPr>
          <w:p w:rsidR="003B6E11" w:rsidRPr="003B6E11" w:rsidRDefault="003B6E11" w:rsidP="002D015D">
            <w:pPr>
              <w:spacing w:before="60" w:after="60"/>
              <w:rPr>
                <w:noProof/>
                <w:sz w:val="18"/>
                <w:szCs w:val="18"/>
                <w:lang w:val="cs-CZ"/>
              </w:rPr>
            </w:pPr>
          </w:p>
        </w:tc>
        <w:tc>
          <w:tcPr>
            <w:tcW w:w="1069" w:type="dxa"/>
            <w:vAlign w:val="center"/>
          </w:tcPr>
          <w:p w:rsidR="003B6E11" w:rsidRPr="003B6E11" w:rsidRDefault="003B6E11" w:rsidP="002D015D">
            <w:pPr>
              <w:spacing w:before="60" w:after="60"/>
              <w:rPr>
                <w:noProof/>
                <w:sz w:val="18"/>
                <w:szCs w:val="18"/>
                <w:lang w:val="cs-CZ"/>
              </w:rPr>
            </w:pPr>
          </w:p>
        </w:tc>
        <w:tc>
          <w:tcPr>
            <w:tcW w:w="1134" w:type="dxa"/>
            <w:vAlign w:val="center"/>
          </w:tcPr>
          <w:p w:rsidR="003B6E11" w:rsidRPr="003B6E11" w:rsidRDefault="003B6E11" w:rsidP="002D015D">
            <w:pPr>
              <w:spacing w:before="60" w:after="60"/>
              <w:rPr>
                <w:noProof/>
                <w:sz w:val="18"/>
                <w:szCs w:val="18"/>
                <w:lang w:val="cs-CZ"/>
              </w:rPr>
            </w:pPr>
          </w:p>
        </w:tc>
        <w:tc>
          <w:tcPr>
            <w:tcW w:w="1134" w:type="dxa"/>
            <w:vAlign w:val="center"/>
          </w:tcPr>
          <w:p w:rsidR="003B6E11" w:rsidRPr="003B6E11" w:rsidRDefault="003B6E11" w:rsidP="002D015D">
            <w:pPr>
              <w:spacing w:before="60" w:after="60"/>
              <w:rPr>
                <w:noProof/>
                <w:sz w:val="18"/>
                <w:szCs w:val="18"/>
                <w:lang w:val="cs-CZ"/>
              </w:rPr>
            </w:pPr>
          </w:p>
        </w:tc>
      </w:tr>
      <w:tr w:rsidR="003B6E11" w:rsidRPr="003B6E11" w:rsidTr="002D015D">
        <w:tc>
          <w:tcPr>
            <w:tcW w:w="1560" w:type="dxa"/>
            <w:vAlign w:val="center"/>
          </w:tcPr>
          <w:p w:rsidR="003B6E11" w:rsidRPr="003B6E11" w:rsidRDefault="003B6E11" w:rsidP="002D015D">
            <w:pPr>
              <w:spacing w:before="60" w:after="60"/>
              <w:rPr>
                <w:noProof/>
                <w:sz w:val="18"/>
                <w:szCs w:val="18"/>
                <w:lang w:val="cs-CZ"/>
              </w:rPr>
            </w:pPr>
            <w:r w:rsidRPr="003B6E11">
              <w:rPr>
                <w:noProof/>
                <w:sz w:val="18"/>
                <w:lang w:val="cs-CZ"/>
              </w:rPr>
              <w:t>Přítok</w:t>
            </w:r>
          </w:p>
        </w:tc>
        <w:tc>
          <w:tcPr>
            <w:tcW w:w="1842" w:type="dxa"/>
            <w:vAlign w:val="center"/>
          </w:tcPr>
          <w:p w:rsidR="003B6E11" w:rsidRPr="003B6E11" w:rsidRDefault="003B6E11" w:rsidP="002D015D">
            <w:pPr>
              <w:spacing w:before="60" w:after="60"/>
              <w:rPr>
                <w:noProof/>
                <w:sz w:val="18"/>
                <w:szCs w:val="18"/>
                <w:lang w:val="cs-CZ"/>
              </w:rPr>
            </w:pPr>
            <w:r w:rsidRPr="003B6E11">
              <w:rPr>
                <w:noProof/>
                <w:sz w:val="18"/>
                <w:lang w:val="cs-CZ"/>
              </w:rPr>
              <w:t>Náhodné vzorky</w:t>
            </w:r>
          </w:p>
        </w:tc>
        <w:tc>
          <w:tcPr>
            <w:tcW w:w="1058" w:type="dxa"/>
            <w:vAlign w:val="center"/>
          </w:tcPr>
          <w:p w:rsidR="003B6E11" w:rsidRPr="003B6E11" w:rsidRDefault="003B6E11" w:rsidP="002D015D">
            <w:pPr>
              <w:spacing w:before="60" w:after="60"/>
              <w:jc w:val="center"/>
              <w:rPr>
                <w:noProof/>
                <w:sz w:val="18"/>
                <w:szCs w:val="18"/>
                <w:lang w:val="cs-CZ"/>
              </w:rPr>
            </w:pPr>
            <w:r w:rsidRPr="003B6E11">
              <w:rPr>
                <w:noProof/>
                <w:sz w:val="18"/>
                <w:lang w:val="cs-CZ"/>
              </w:rPr>
              <w:t>--</w:t>
            </w:r>
          </w:p>
        </w:tc>
        <w:tc>
          <w:tcPr>
            <w:tcW w:w="992" w:type="dxa"/>
            <w:vAlign w:val="center"/>
          </w:tcPr>
          <w:p w:rsidR="003B6E11" w:rsidRPr="003B6E11" w:rsidRDefault="003B6E11" w:rsidP="002D015D">
            <w:pPr>
              <w:spacing w:before="60" w:after="60"/>
              <w:rPr>
                <w:noProof/>
                <w:sz w:val="18"/>
                <w:szCs w:val="18"/>
                <w:lang w:val="cs-CZ"/>
              </w:rPr>
            </w:pPr>
          </w:p>
        </w:tc>
        <w:tc>
          <w:tcPr>
            <w:tcW w:w="1069" w:type="dxa"/>
            <w:vAlign w:val="center"/>
          </w:tcPr>
          <w:p w:rsidR="003B6E11" w:rsidRPr="003B6E11" w:rsidRDefault="003B6E11" w:rsidP="002D015D">
            <w:pPr>
              <w:spacing w:before="60" w:after="60"/>
              <w:rPr>
                <w:noProof/>
                <w:sz w:val="18"/>
                <w:szCs w:val="18"/>
                <w:lang w:val="cs-CZ"/>
              </w:rPr>
            </w:pPr>
          </w:p>
        </w:tc>
        <w:tc>
          <w:tcPr>
            <w:tcW w:w="1134" w:type="dxa"/>
            <w:vAlign w:val="center"/>
          </w:tcPr>
          <w:p w:rsidR="003B6E11" w:rsidRPr="003B6E11" w:rsidRDefault="003B6E11" w:rsidP="002D015D">
            <w:pPr>
              <w:spacing w:before="60" w:after="60"/>
              <w:rPr>
                <w:noProof/>
                <w:sz w:val="18"/>
                <w:szCs w:val="18"/>
                <w:lang w:val="cs-CZ"/>
              </w:rPr>
            </w:pPr>
          </w:p>
        </w:tc>
        <w:tc>
          <w:tcPr>
            <w:tcW w:w="1134" w:type="dxa"/>
            <w:vAlign w:val="center"/>
          </w:tcPr>
          <w:p w:rsidR="003B6E11" w:rsidRPr="003B6E11" w:rsidRDefault="003B6E11" w:rsidP="002D015D">
            <w:pPr>
              <w:spacing w:before="60" w:after="60"/>
              <w:rPr>
                <w:noProof/>
                <w:sz w:val="18"/>
                <w:szCs w:val="18"/>
                <w:lang w:val="cs-CZ"/>
              </w:rPr>
            </w:pPr>
          </w:p>
        </w:tc>
      </w:tr>
      <w:tr w:rsidR="003B6E11" w:rsidRPr="003B6E11" w:rsidTr="002D015D">
        <w:tc>
          <w:tcPr>
            <w:tcW w:w="1560" w:type="dxa"/>
          </w:tcPr>
          <w:p w:rsidR="003B6E11" w:rsidRPr="003B6E11" w:rsidRDefault="003B6E11" w:rsidP="002D015D">
            <w:pPr>
              <w:spacing w:before="60" w:after="60"/>
              <w:rPr>
                <w:noProof/>
                <w:sz w:val="18"/>
                <w:szCs w:val="18"/>
                <w:lang w:val="cs-CZ"/>
              </w:rPr>
            </w:pPr>
            <w:r w:rsidRPr="003B6E11">
              <w:rPr>
                <w:noProof/>
                <w:sz w:val="18"/>
                <w:lang w:val="cs-CZ"/>
              </w:rPr>
              <w:t>Odtok</w:t>
            </w:r>
          </w:p>
        </w:tc>
        <w:tc>
          <w:tcPr>
            <w:tcW w:w="1842" w:type="dxa"/>
            <w:vAlign w:val="center"/>
          </w:tcPr>
          <w:p w:rsidR="003B6E11" w:rsidRPr="003B6E11" w:rsidRDefault="003B6E11" w:rsidP="002D015D">
            <w:pPr>
              <w:spacing w:before="60" w:after="60"/>
              <w:rPr>
                <w:noProof/>
                <w:sz w:val="18"/>
                <w:szCs w:val="18"/>
                <w:lang w:val="cs-CZ"/>
              </w:rPr>
            </w:pPr>
            <w:r w:rsidRPr="003B6E11">
              <w:rPr>
                <w:noProof/>
                <w:sz w:val="18"/>
                <w:lang w:val="cs-CZ"/>
              </w:rPr>
              <w:t>Náhodné vzorky</w:t>
            </w:r>
          </w:p>
        </w:tc>
        <w:tc>
          <w:tcPr>
            <w:tcW w:w="1058" w:type="dxa"/>
            <w:vAlign w:val="center"/>
          </w:tcPr>
          <w:p w:rsidR="003B6E11" w:rsidRPr="003B6E11" w:rsidRDefault="003B6E11" w:rsidP="002D015D">
            <w:pPr>
              <w:spacing w:before="60" w:after="60"/>
              <w:rPr>
                <w:noProof/>
                <w:sz w:val="18"/>
                <w:szCs w:val="18"/>
                <w:lang w:val="cs-CZ"/>
              </w:rPr>
            </w:pPr>
          </w:p>
        </w:tc>
        <w:tc>
          <w:tcPr>
            <w:tcW w:w="992" w:type="dxa"/>
            <w:vAlign w:val="center"/>
          </w:tcPr>
          <w:p w:rsidR="003B6E11" w:rsidRPr="003B6E11" w:rsidRDefault="003B6E11" w:rsidP="002D015D">
            <w:pPr>
              <w:spacing w:before="60" w:after="60"/>
              <w:rPr>
                <w:noProof/>
                <w:sz w:val="18"/>
                <w:szCs w:val="18"/>
                <w:lang w:val="cs-CZ"/>
              </w:rPr>
            </w:pPr>
          </w:p>
        </w:tc>
        <w:tc>
          <w:tcPr>
            <w:tcW w:w="1069" w:type="dxa"/>
            <w:vAlign w:val="center"/>
          </w:tcPr>
          <w:p w:rsidR="003B6E11" w:rsidRPr="003B6E11" w:rsidRDefault="003B6E11" w:rsidP="002D015D">
            <w:pPr>
              <w:spacing w:before="60" w:after="60"/>
              <w:rPr>
                <w:noProof/>
                <w:sz w:val="18"/>
                <w:szCs w:val="18"/>
                <w:lang w:val="cs-CZ"/>
              </w:rPr>
            </w:pPr>
          </w:p>
        </w:tc>
        <w:tc>
          <w:tcPr>
            <w:tcW w:w="1134" w:type="dxa"/>
            <w:vAlign w:val="center"/>
          </w:tcPr>
          <w:p w:rsidR="003B6E11" w:rsidRPr="003B6E11" w:rsidRDefault="003B6E11" w:rsidP="002D015D">
            <w:pPr>
              <w:spacing w:before="60" w:after="60"/>
              <w:rPr>
                <w:noProof/>
                <w:sz w:val="18"/>
                <w:szCs w:val="18"/>
                <w:lang w:val="cs-CZ"/>
              </w:rPr>
            </w:pPr>
          </w:p>
        </w:tc>
        <w:tc>
          <w:tcPr>
            <w:tcW w:w="1134" w:type="dxa"/>
            <w:vAlign w:val="center"/>
          </w:tcPr>
          <w:p w:rsidR="003B6E11" w:rsidRPr="003B6E11" w:rsidRDefault="003B6E11" w:rsidP="002D015D">
            <w:pPr>
              <w:spacing w:before="60" w:after="60"/>
              <w:rPr>
                <w:noProof/>
                <w:sz w:val="18"/>
                <w:szCs w:val="18"/>
                <w:lang w:val="cs-CZ"/>
              </w:rPr>
            </w:pPr>
          </w:p>
        </w:tc>
      </w:tr>
    </w:tbl>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 xml:space="preserve">Vyhodnocení hodnot odtoku </w:t>
      </w:r>
      <w:r w:rsidRPr="003B6E11">
        <w:rPr>
          <w:b/>
          <w:noProof/>
          <w:color w:val="000000"/>
          <w:lang w:val="cs-CZ"/>
        </w:rPr>
        <w:t>SRF</w:t>
      </w:r>
      <w:r w:rsidRPr="003B6E11">
        <w:rPr>
          <w:noProof/>
          <w:color w:val="000000"/>
          <w:lang w:val="cs-CZ"/>
        </w:rPr>
        <w:t xml:space="preserve"> (mg/l)</w:t>
      </w:r>
    </w:p>
    <w:p w:rsidR="003B6E11" w:rsidRPr="003B6E11" w:rsidRDefault="003B6E11" w:rsidP="003B6E11">
      <w:pPr>
        <w:spacing w:line="240" w:lineRule="atLeast"/>
        <w:rPr>
          <w:rFonts w:cs="Arial"/>
          <w:noProof/>
          <w:color w:val="000000"/>
          <w:lang w:val="cs-C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1058"/>
        <w:gridCol w:w="992"/>
        <w:gridCol w:w="1069"/>
        <w:gridCol w:w="1134"/>
        <w:gridCol w:w="1134"/>
      </w:tblGrid>
      <w:tr w:rsidR="003B6E11" w:rsidRPr="003B6E11" w:rsidTr="002D015D">
        <w:tc>
          <w:tcPr>
            <w:tcW w:w="1560" w:type="dxa"/>
            <w:vMerge w:val="restart"/>
          </w:tcPr>
          <w:p w:rsidR="003B6E11" w:rsidRPr="003B6E11" w:rsidRDefault="003B6E11" w:rsidP="002D015D">
            <w:pPr>
              <w:spacing w:before="60" w:after="60"/>
              <w:rPr>
                <w:noProof/>
                <w:sz w:val="18"/>
                <w:lang w:val="cs-CZ"/>
              </w:rPr>
            </w:pPr>
            <w:r w:rsidRPr="003B6E11">
              <w:rPr>
                <w:noProof/>
                <w:sz w:val="18"/>
                <w:lang w:val="cs-CZ"/>
              </w:rPr>
              <w:t>Místo</w:t>
            </w:r>
          </w:p>
        </w:tc>
        <w:tc>
          <w:tcPr>
            <w:tcW w:w="1842" w:type="dxa"/>
            <w:vMerge w:val="restart"/>
          </w:tcPr>
          <w:p w:rsidR="003B6E11" w:rsidRPr="003B6E11" w:rsidRDefault="003B6E11" w:rsidP="002D015D">
            <w:pPr>
              <w:spacing w:before="60" w:after="60"/>
              <w:jc w:val="center"/>
              <w:rPr>
                <w:noProof/>
                <w:sz w:val="18"/>
                <w:lang w:val="cs-CZ"/>
              </w:rPr>
            </w:pPr>
            <w:r w:rsidRPr="003B6E11">
              <w:rPr>
                <w:noProof/>
                <w:sz w:val="18"/>
                <w:lang w:val="cs-CZ"/>
              </w:rPr>
              <w:t>Druh vzorku</w:t>
            </w:r>
          </w:p>
        </w:tc>
        <w:tc>
          <w:tcPr>
            <w:tcW w:w="1058" w:type="dxa"/>
            <w:vMerge w:val="restart"/>
          </w:tcPr>
          <w:p w:rsidR="003B6E11" w:rsidRPr="003B6E11" w:rsidRDefault="003B6E11" w:rsidP="002D015D">
            <w:pPr>
              <w:spacing w:before="60" w:after="60"/>
              <w:jc w:val="center"/>
              <w:rPr>
                <w:noProof/>
                <w:sz w:val="18"/>
                <w:lang w:val="cs-CZ"/>
              </w:rPr>
            </w:pPr>
            <w:r w:rsidRPr="003B6E11">
              <w:rPr>
                <w:noProof/>
                <w:sz w:val="18"/>
                <w:lang w:val="cs-CZ"/>
              </w:rPr>
              <w:t>Počet testů, které splňují mezní hodnoty</w:t>
            </w:r>
          </w:p>
        </w:tc>
        <w:tc>
          <w:tcPr>
            <w:tcW w:w="992" w:type="dxa"/>
            <w:vMerge w:val="restart"/>
          </w:tcPr>
          <w:p w:rsidR="003B6E11" w:rsidRPr="003B6E11" w:rsidRDefault="003B6E11" w:rsidP="002D015D">
            <w:pPr>
              <w:spacing w:before="60" w:after="60"/>
              <w:jc w:val="center"/>
              <w:rPr>
                <w:noProof/>
                <w:sz w:val="18"/>
                <w:lang w:val="cs-CZ"/>
              </w:rPr>
            </w:pPr>
            <w:r w:rsidRPr="003B6E11">
              <w:rPr>
                <w:noProof/>
                <w:sz w:val="18"/>
                <w:lang w:val="cs-CZ"/>
              </w:rPr>
              <w:t>Min.</w:t>
            </w:r>
          </w:p>
        </w:tc>
        <w:tc>
          <w:tcPr>
            <w:tcW w:w="2203" w:type="dxa"/>
            <w:gridSpan w:val="2"/>
          </w:tcPr>
          <w:p w:rsidR="003B6E11" w:rsidRPr="003B6E11" w:rsidRDefault="003B6E11" w:rsidP="002D015D">
            <w:pPr>
              <w:spacing w:before="60" w:after="60"/>
              <w:jc w:val="center"/>
              <w:rPr>
                <w:noProof/>
                <w:sz w:val="18"/>
                <w:lang w:val="cs-CZ"/>
              </w:rPr>
            </w:pPr>
            <w:r w:rsidRPr="003B6E11">
              <w:rPr>
                <w:noProof/>
                <w:sz w:val="18"/>
                <w:lang w:val="cs-CZ"/>
              </w:rPr>
              <w:t>Max.</w:t>
            </w:r>
          </w:p>
        </w:tc>
        <w:tc>
          <w:tcPr>
            <w:tcW w:w="1134" w:type="dxa"/>
            <w:vMerge w:val="restart"/>
          </w:tcPr>
          <w:p w:rsidR="003B6E11" w:rsidRPr="003B6E11" w:rsidRDefault="003B6E11" w:rsidP="002D015D">
            <w:pPr>
              <w:spacing w:before="60" w:after="60"/>
              <w:jc w:val="center"/>
              <w:rPr>
                <w:noProof/>
                <w:sz w:val="18"/>
                <w:lang w:val="cs-CZ"/>
              </w:rPr>
            </w:pPr>
            <w:r w:rsidRPr="003B6E11">
              <w:rPr>
                <w:noProof/>
                <w:sz w:val="18"/>
                <w:lang w:val="cs-CZ"/>
              </w:rPr>
              <w:t>Průměr</w:t>
            </w:r>
          </w:p>
        </w:tc>
      </w:tr>
      <w:tr w:rsidR="003B6E11" w:rsidRPr="003B6E11" w:rsidTr="002D015D">
        <w:tc>
          <w:tcPr>
            <w:tcW w:w="1560" w:type="dxa"/>
            <w:vMerge/>
          </w:tcPr>
          <w:p w:rsidR="003B6E11" w:rsidRPr="003B6E11" w:rsidRDefault="003B6E11" w:rsidP="002D015D">
            <w:pPr>
              <w:spacing w:before="60" w:after="60"/>
              <w:rPr>
                <w:noProof/>
                <w:sz w:val="18"/>
                <w:lang w:val="cs-CZ"/>
              </w:rPr>
            </w:pPr>
          </w:p>
        </w:tc>
        <w:tc>
          <w:tcPr>
            <w:tcW w:w="1842" w:type="dxa"/>
            <w:vMerge/>
          </w:tcPr>
          <w:p w:rsidR="003B6E11" w:rsidRPr="003B6E11" w:rsidRDefault="003B6E11" w:rsidP="002D015D">
            <w:pPr>
              <w:spacing w:before="60" w:after="60"/>
              <w:rPr>
                <w:noProof/>
                <w:sz w:val="18"/>
                <w:lang w:val="cs-CZ"/>
              </w:rPr>
            </w:pPr>
          </w:p>
        </w:tc>
        <w:tc>
          <w:tcPr>
            <w:tcW w:w="1058" w:type="dxa"/>
            <w:vMerge/>
          </w:tcPr>
          <w:p w:rsidR="003B6E11" w:rsidRPr="003B6E11" w:rsidRDefault="003B6E11" w:rsidP="002D015D">
            <w:pPr>
              <w:spacing w:before="60" w:after="60"/>
              <w:rPr>
                <w:noProof/>
                <w:sz w:val="18"/>
                <w:lang w:val="cs-CZ"/>
              </w:rPr>
            </w:pPr>
          </w:p>
        </w:tc>
        <w:tc>
          <w:tcPr>
            <w:tcW w:w="992" w:type="dxa"/>
            <w:vMerge/>
          </w:tcPr>
          <w:p w:rsidR="003B6E11" w:rsidRPr="003B6E11" w:rsidRDefault="003B6E11" w:rsidP="002D015D">
            <w:pPr>
              <w:spacing w:before="60" w:after="60"/>
              <w:rPr>
                <w:noProof/>
                <w:sz w:val="18"/>
                <w:lang w:val="cs-CZ"/>
              </w:rPr>
            </w:pPr>
          </w:p>
        </w:tc>
        <w:tc>
          <w:tcPr>
            <w:tcW w:w="1069" w:type="dxa"/>
          </w:tcPr>
          <w:p w:rsidR="003B6E11" w:rsidRPr="003B6E11" w:rsidRDefault="003B6E11" w:rsidP="002D015D">
            <w:pPr>
              <w:spacing w:before="60" w:after="60"/>
              <w:jc w:val="center"/>
              <w:rPr>
                <w:noProof/>
                <w:sz w:val="18"/>
                <w:lang w:val="cs-CZ"/>
              </w:rPr>
            </w:pPr>
            <w:r w:rsidRPr="003B6E11">
              <w:rPr>
                <w:noProof/>
                <w:sz w:val="18"/>
                <w:lang w:val="cs-CZ"/>
              </w:rPr>
              <w:t>Hodnota</w:t>
            </w:r>
          </w:p>
        </w:tc>
        <w:tc>
          <w:tcPr>
            <w:tcW w:w="1134" w:type="dxa"/>
          </w:tcPr>
          <w:p w:rsidR="003B6E11" w:rsidRPr="003B6E11" w:rsidRDefault="003B6E11" w:rsidP="002D015D">
            <w:pPr>
              <w:spacing w:before="60" w:after="60"/>
              <w:jc w:val="center"/>
              <w:rPr>
                <w:noProof/>
                <w:sz w:val="18"/>
                <w:lang w:val="cs-CZ"/>
              </w:rPr>
            </w:pPr>
            <w:r w:rsidRPr="003B6E11">
              <w:rPr>
                <w:noProof/>
                <w:sz w:val="18"/>
                <w:lang w:val="cs-CZ"/>
              </w:rPr>
              <w:t>Fáze</w:t>
            </w:r>
          </w:p>
        </w:tc>
        <w:tc>
          <w:tcPr>
            <w:tcW w:w="1134" w:type="dxa"/>
            <w:vMerge/>
          </w:tcPr>
          <w:p w:rsidR="003B6E11" w:rsidRPr="003B6E11" w:rsidRDefault="003B6E11" w:rsidP="002D015D">
            <w:pPr>
              <w:spacing w:before="60" w:after="60"/>
              <w:rPr>
                <w:noProof/>
                <w:sz w:val="18"/>
                <w:lang w:val="cs-CZ"/>
              </w:rPr>
            </w:pPr>
          </w:p>
        </w:tc>
      </w:tr>
      <w:tr w:rsidR="003B6E11" w:rsidRPr="003B6E11" w:rsidTr="002D015D">
        <w:tc>
          <w:tcPr>
            <w:tcW w:w="1560" w:type="dxa"/>
            <w:vAlign w:val="center"/>
          </w:tcPr>
          <w:p w:rsidR="003B6E11" w:rsidRPr="003B6E11" w:rsidRDefault="003B6E11" w:rsidP="002D015D">
            <w:pPr>
              <w:spacing w:before="60" w:after="60"/>
              <w:rPr>
                <w:noProof/>
                <w:sz w:val="18"/>
                <w:lang w:val="cs-CZ"/>
              </w:rPr>
            </w:pPr>
            <w:r w:rsidRPr="003B6E11">
              <w:rPr>
                <w:noProof/>
                <w:sz w:val="18"/>
                <w:lang w:val="cs-CZ"/>
              </w:rPr>
              <w:t>Přítok</w:t>
            </w:r>
          </w:p>
        </w:tc>
        <w:tc>
          <w:tcPr>
            <w:tcW w:w="1842" w:type="dxa"/>
            <w:vAlign w:val="center"/>
          </w:tcPr>
          <w:p w:rsidR="003B6E11" w:rsidRPr="003B6E11" w:rsidRDefault="003B6E11" w:rsidP="002D015D">
            <w:pPr>
              <w:spacing w:before="60" w:after="60"/>
              <w:rPr>
                <w:noProof/>
                <w:sz w:val="18"/>
                <w:lang w:val="cs-CZ"/>
              </w:rPr>
            </w:pPr>
            <w:r w:rsidRPr="003B6E11">
              <w:rPr>
                <w:noProof/>
                <w:sz w:val="18"/>
                <w:lang w:val="cs-CZ"/>
              </w:rPr>
              <w:t>Souhrnné vzorky za 24 h</w:t>
            </w:r>
          </w:p>
        </w:tc>
        <w:tc>
          <w:tcPr>
            <w:tcW w:w="1058" w:type="dxa"/>
            <w:vAlign w:val="center"/>
          </w:tcPr>
          <w:p w:rsidR="003B6E11" w:rsidRPr="003B6E11" w:rsidRDefault="003B6E11" w:rsidP="002D015D">
            <w:pPr>
              <w:spacing w:before="60" w:after="60"/>
              <w:jc w:val="center"/>
              <w:rPr>
                <w:noProof/>
                <w:sz w:val="18"/>
                <w:lang w:val="cs-CZ"/>
              </w:rPr>
            </w:pPr>
            <w:r w:rsidRPr="003B6E11">
              <w:rPr>
                <w:noProof/>
                <w:sz w:val="18"/>
                <w:lang w:val="cs-CZ"/>
              </w:rPr>
              <w:t>--</w:t>
            </w:r>
          </w:p>
        </w:tc>
        <w:tc>
          <w:tcPr>
            <w:tcW w:w="992" w:type="dxa"/>
            <w:vAlign w:val="center"/>
          </w:tcPr>
          <w:p w:rsidR="003B6E11" w:rsidRPr="003B6E11" w:rsidRDefault="003B6E11" w:rsidP="002D015D">
            <w:pPr>
              <w:spacing w:before="60" w:after="60"/>
              <w:rPr>
                <w:noProof/>
                <w:sz w:val="18"/>
                <w:lang w:val="cs-CZ"/>
              </w:rPr>
            </w:pPr>
          </w:p>
        </w:tc>
        <w:tc>
          <w:tcPr>
            <w:tcW w:w="1069" w:type="dxa"/>
            <w:vAlign w:val="center"/>
          </w:tcPr>
          <w:p w:rsidR="003B6E11" w:rsidRPr="003B6E11" w:rsidRDefault="003B6E11" w:rsidP="002D015D">
            <w:pPr>
              <w:spacing w:before="60" w:after="60"/>
              <w:rPr>
                <w:noProof/>
                <w:sz w:val="18"/>
                <w:lang w:val="cs-CZ"/>
              </w:rPr>
            </w:pPr>
          </w:p>
        </w:tc>
        <w:tc>
          <w:tcPr>
            <w:tcW w:w="1134" w:type="dxa"/>
            <w:vAlign w:val="center"/>
          </w:tcPr>
          <w:p w:rsidR="003B6E11" w:rsidRPr="003B6E11" w:rsidRDefault="003B6E11" w:rsidP="002D015D">
            <w:pPr>
              <w:spacing w:before="60" w:after="60"/>
              <w:rPr>
                <w:noProof/>
                <w:sz w:val="18"/>
                <w:lang w:val="cs-CZ"/>
              </w:rPr>
            </w:pPr>
          </w:p>
        </w:tc>
        <w:tc>
          <w:tcPr>
            <w:tcW w:w="1134" w:type="dxa"/>
            <w:vAlign w:val="center"/>
          </w:tcPr>
          <w:p w:rsidR="003B6E11" w:rsidRPr="003B6E11" w:rsidRDefault="003B6E11" w:rsidP="002D015D">
            <w:pPr>
              <w:spacing w:before="60" w:after="60"/>
              <w:rPr>
                <w:noProof/>
                <w:sz w:val="18"/>
                <w:lang w:val="cs-CZ"/>
              </w:rPr>
            </w:pPr>
          </w:p>
        </w:tc>
      </w:tr>
      <w:tr w:rsidR="003B6E11" w:rsidRPr="003B6E11" w:rsidTr="002D015D">
        <w:tc>
          <w:tcPr>
            <w:tcW w:w="1560" w:type="dxa"/>
          </w:tcPr>
          <w:p w:rsidR="003B6E11" w:rsidRPr="003B6E11" w:rsidRDefault="003B6E11" w:rsidP="002D015D">
            <w:pPr>
              <w:spacing w:before="60" w:after="60"/>
              <w:rPr>
                <w:noProof/>
                <w:sz w:val="18"/>
                <w:lang w:val="cs-CZ"/>
              </w:rPr>
            </w:pPr>
            <w:r w:rsidRPr="003B6E11">
              <w:rPr>
                <w:noProof/>
                <w:sz w:val="18"/>
                <w:lang w:val="cs-CZ"/>
              </w:rPr>
              <w:t>Odtok</w:t>
            </w:r>
          </w:p>
        </w:tc>
        <w:tc>
          <w:tcPr>
            <w:tcW w:w="1842" w:type="dxa"/>
            <w:vAlign w:val="center"/>
          </w:tcPr>
          <w:p w:rsidR="003B6E11" w:rsidRPr="003B6E11" w:rsidRDefault="003B6E11" w:rsidP="002D015D">
            <w:pPr>
              <w:spacing w:before="60" w:after="60"/>
              <w:rPr>
                <w:noProof/>
                <w:sz w:val="18"/>
                <w:lang w:val="cs-CZ"/>
              </w:rPr>
            </w:pPr>
            <w:r w:rsidRPr="003B6E11">
              <w:rPr>
                <w:noProof/>
                <w:sz w:val="18"/>
                <w:lang w:val="cs-CZ"/>
              </w:rPr>
              <w:t>Souhrnné vzorky za 24 h</w:t>
            </w:r>
          </w:p>
        </w:tc>
        <w:tc>
          <w:tcPr>
            <w:tcW w:w="1058" w:type="dxa"/>
            <w:vAlign w:val="center"/>
          </w:tcPr>
          <w:p w:rsidR="003B6E11" w:rsidRPr="003B6E11" w:rsidRDefault="003B6E11" w:rsidP="002D015D">
            <w:pPr>
              <w:spacing w:before="60" w:after="60"/>
              <w:rPr>
                <w:noProof/>
                <w:sz w:val="18"/>
                <w:lang w:val="cs-CZ"/>
              </w:rPr>
            </w:pPr>
          </w:p>
        </w:tc>
        <w:tc>
          <w:tcPr>
            <w:tcW w:w="992" w:type="dxa"/>
            <w:vAlign w:val="center"/>
          </w:tcPr>
          <w:p w:rsidR="003B6E11" w:rsidRPr="003B6E11" w:rsidRDefault="003B6E11" w:rsidP="002D015D">
            <w:pPr>
              <w:spacing w:before="60" w:after="60"/>
              <w:rPr>
                <w:noProof/>
                <w:sz w:val="18"/>
                <w:lang w:val="cs-CZ"/>
              </w:rPr>
            </w:pPr>
          </w:p>
        </w:tc>
        <w:tc>
          <w:tcPr>
            <w:tcW w:w="1069" w:type="dxa"/>
            <w:vAlign w:val="center"/>
          </w:tcPr>
          <w:p w:rsidR="003B6E11" w:rsidRPr="003B6E11" w:rsidRDefault="003B6E11" w:rsidP="002D015D">
            <w:pPr>
              <w:spacing w:before="60" w:after="60"/>
              <w:rPr>
                <w:noProof/>
                <w:sz w:val="18"/>
                <w:lang w:val="cs-CZ"/>
              </w:rPr>
            </w:pPr>
          </w:p>
        </w:tc>
        <w:tc>
          <w:tcPr>
            <w:tcW w:w="1134" w:type="dxa"/>
            <w:vAlign w:val="center"/>
          </w:tcPr>
          <w:p w:rsidR="003B6E11" w:rsidRPr="003B6E11" w:rsidRDefault="003B6E11" w:rsidP="002D015D">
            <w:pPr>
              <w:spacing w:before="60" w:after="60"/>
              <w:rPr>
                <w:noProof/>
                <w:sz w:val="18"/>
                <w:lang w:val="cs-CZ"/>
              </w:rPr>
            </w:pPr>
          </w:p>
        </w:tc>
        <w:tc>
          <w:tcPr>
            <w:tcW w:w="1134" w:type="dxa"/>
            <w:vAlign w:val="center"/>
          </w:tcPr>
          <w:p w:rsidR="003B6E11" w:rsidRPr="003B6E11" w:rsidRDefault="003B6E11" w:rsidP="002D015D">
            <w:pPr>
              <w:spacing w:before="60" w:after="60"/>
              <w:rPr>
                <w:noProof/>
                <w:sz w:val="18"/>
                <w:lang w:val="cs-CZ"/>
              </w:rPr>
            </w:pPr>
          </w:p>
        </w:tc>
      </w:tr>
      <w:tr w:rsidR="003B6E11" w:rsidRPr="003B6E11" w:rsidTr="002D015D">
        <w:tc>
          <w:tcPr>
            <w:tcW w:w="1560" w:type="dxa"/>
            <w:vAlign w:val="center"/>
          </w:tcPr>
          <w:p w:rsidR="003B6E11" w:rsidRPr="003B6E11" w:rsidRDefault="003B6E11" w:rsidP="002D015D">
            <w:pPr>
              <w:spacing w:before="60" w:after="60"/>
              <w:rPr>
                <w:noProof/>
                <w:sz w:val="18"/>
                <w:lang w:val="cs-CZ"/>
              </w:rPr>
            </w:pPr>
            <w:r w:rsidRPr="003B6E11">
              <w:rPr>
                <w:noProof/>
                <w:sz w:val="18"/>
                <w:lang w:val="cs-CZ"/>
              </w:rPr>
              <w:t>Přítok</w:t>
            </w:r>
          </w:p>
        </w:tc>
        <w:tc>
          <w:tcPr>
            <w:tcW w:w="1842" w:type="dxa"/>
            <w:vAlign w:val="center"/>
          </w:tcPr>
          <w:p w:rsidR="003B6E11" w:rsidRPr="003B6E11" w:rsidRDefault="003B6E11" w:rsidP="002D015D">
            <w:pPr>
              <w:spacing w:before="60" w:after="60"/>
              <w:rPr>
                <w:noProof/>
                <w:sz w:val="18"/>
                <w:lang w:val="cs-CZ"/>
              </w:rPr>
            </w:pPr>
            <w:r w:rsidRPr="003B6E11">
              <w:rPr>
                <w:noProof/>
                <w:sz w:val="18"/>
                <w:lang w:val="cs-CZ"/>
              </w:rPr>
              <w:t>Náhodné vzorky</w:t>
            </w:r>
          </w:p>
        </w:tc>
        <w:tc>
          <w:tcPr>
            <w:tcW w:w="1058" w:type="dxa"/>
            <w:vAlign w:val="center"/>
          </w:tcPr>
          <w:p w:rsidR="003B6E11" w:rsidRPr="003B6E11" w:rsidRDefault="003B6E11" w:rsidP="002D015D">
            <w:pPr>
              <w:spacing w:before="60" w:after="60"/>
              <w:jc w:val="center"/>
              <w:rPr>
                <w:noProof/>
                <w:sz w:val="18"/>
                <w:lang w:val="cs-CZ"/>
              </w:rPr>
            </w:pPr>
            <w:r w:rsidRPr="003B6E11">
              <w:rPr>
                <w:noProof/>
                <w:sz w:val="18"/>
                <w:lang w:val="cs-CZ"/>
              </w:rPr>
              <w:t>--</w:t>
            </w:r>
          </w:p>
        </w:tc>
        <w:tc>
          <w:tcPr>
            <w:tcW w:w="992" w:type="dxa"/>
            <w:vAlign w:val="center"/>
          </w:tcPr>
          <w:p w:rsidR="003B6E11" w:rsidRPr="003B6E11" w:rsidRDefault="003B6E11" w:rsidP="002D015D">
            <w:pPr>
              <w:spacing w:before="60" w:after="60"/>
              <w:rPr>
                <w:noProof/>
                <w:sz w:val="18"/>
                <w:lang w:val="cs-CZ"/>
              </w:rPr>
            </w:pPr>
          </w:p>
        </w:tc>
        <w:tc>
          <w:tcPr>
            <w:tcW w:w="1069" w:type="dxa"/>
            <w:vAlign w:val="center"/>
          </w:tcPr>
          <w:p w:rsidR="003B6E11" w:rsidRPr="003B6E11" w:rsidRDefault="003B6E11" w:rsidP="002D015D">
            <w:pPr>
              <w:spacing w:before="60" w:after="60"/>
              <w:rPr>
                <w:noProof/>
                <w:sz w:val="18"/>
                <w:lang w:val="cs-CZ"/>
              </w:rPr>
            </w:pPr>
          </w:p>
        </w:tc>
        <w:tc>
          <w:tcPr>
            <w:tcW w:w="1134" w:type="dxa"/>
            <w:vAlign w:val="center"/>
          </w:tcPr>
          <w:p w:rsidR="003B6E11" w:rsidRPr="003B6E11" w:rsidRDefault="003B6E11" w:rsidP="002D015D">
            <w:pPr>
              <w:spacing w:before="60" w:after="60"/>
              <w:rPr>
                <w:noProof/>
                <w:sz w:val="18"/>
                <w:lang w:val="cs-CZ"/>
              </w:rPr>
            </w:pPr>
          </w:p>
        </w:tc>
        <w:tc>
          <w:tcPr>
            <w:tcW w:w="1134" w:type="dxa"/>
            <w:vAlign w:val="center"/>
          </w:tcPr>
          <w:p w:rsidR="003B6E11" w:rsidRPr="003B6E11" w:rsidRDefault="003B6E11" w:rsidP="002D015D">
            <w:pPr>
              <w:spacing w:before="60" w:after="60"/>
              <w:rPr>
                <w:noProof/>
                <w:sz w:val="18"/>
                <w:lang w:val="cs-CZ"/>
              </w:rPr>
            </w:pPr>
          </w:p>
        </w:tc>
      </w:tr>
      <w:tr w:rsidR="003B6E11" w:rsidRPr="003B6E11" w:rsidTr="002D015D">
        <w:tc>
          <w:tcPr>
            <w:tcW w:w="1560" w:type="dxa"/>
          </w:tcPr>
          <w:p w:rsidR="003B6E11" w:rsidRPr="003B6E11" w:rsidRDefault="003B6E11" w:rsidP="002D015D">
            <w:pPr>
              <w:spacing w:before="60" w:after="60"/>
              <w:rPr>
                <w:noProof/>
                <w:sz w:val="18"/>
                <w:lang w:val="cs-CZ"/>
              </w:rPr>
            </w:pPr>
            <w:r w:rsidRPr="003B6E11">
              <w:rPr>
                <w:noProof/>
                <w:sz w:val="18"/>
                <w:lang w:val="cs-CZ"/>
              </w:rPr>
              <w:t>Odtok</w:t>
            </w:r>
          </w:p>
        </w:tc>
        <w:tc>
          <w:tcPr>
            <w:tcW w:w="1842" w:type="dxa"/>
            <w:vAlign w:val="center"/>
          </w:tcPr>
          <w:p w:rsidR="003B6E11" w:rsidRPr="003B6E11" w:rsidRDefault="003B6E11" w:rsidP="002D015D">
            <w:pPr>
              <w:spacing w:before="60" w:after="60"/>
              <w:rPr>
                <w:noProof/>
                <w:sz w:val="18"/>
                <w:lang w:val="cs-CZ"/>
              </w:rPr>
            </w:pPr>
            <w:r w:rsidRPr="003B6E11">
              <w:rPr>
                <w:noProof/>
                <w:sz w:val="18"/>
                <w:lang w:val="cs-CZ"/>
              </w:rPr>
              <w:t>Náhodné vzorky</w:t>
            </w:r>
          </w:p>
        </w:tc>
        <w:tc>
          <w:tcPr>
            <w:tcW w:w="1058" w:type="dxa"/>
            <w:vAlign w:val="center"/>
          </w:tcPr>
          <w:p w:rsidR="003B6E11" w:rsidRPr="003B6E11" w:rsidRDefault="003B6E11" w:rsidP="002D015D">
            <w:pPr>
              <w:spacing w:before="60" w:after="60"/>
              <w:rPr>
                <w:noProof/>
                <w:sz w:val="18"/>
                <w:lang w:val="cs-CZ"/>
              </w:rPr>
            </w:pPr>
          </w:p>
        </w:tc>
        <w:tc>
          <w:tcPr>
            <w:tcW w:w="992" w:type="dxa"/>
            <w:vAlign w:val="center"/>
          </w:tcPr>
          <w:p w:rsidR="003B6E11" w:rsidRPr="003B6E11" w:rsidRDefault="003B6E11" w:rsidP="002D015D">
            <w:pPr>
              <w:spacing w:before="60" w:after="60"/>
              <w:rPr>
                <w:noProof/>
                <w:sz w:val="18"/>
                <w:lang w:val="cs-CZ"/>
              </w:rPr>
            </w:pPr>
          </w:p>
        </w:tc>
        <w:tc>
          <w:tcPr>
            <w:tcW w:w="1069" w:type="dxa"/>
            <w:vAlign w:val="center"/>
          </w:tcPr>
          <w:p w:rsidR="003B6E11" w:rsidRPr="003B6E11" w:rsidRDefault="003B6E11" w:rsidP="002D015D">
            <w:pPr>
              <w:spacing w:before="60" w:after="60"/>
              <w:rPr>
                <w:noProof/>
                <w:sz w:val="18"/>
                <w:lang w:val="cs-CZ"/>
              </w:rPr>
            </w:pPr>
          </w:p>
        </w:tc>
        <w:tc>
          <w:tcPr>
            <w:tcW w:w="1134" w:type="dxa"/>
            <w:vAlign w:val="center"/>
          </w:tcPr>
          <w:p w:rsidR="003B6E11" w:rsidRPr="003B6E11" w:rsidRDefault="003B6E11" w:rsidP="002D015D">
            <w:pPr>
              <w:spacing w:before="60" w:after="60"/>
              <w:rPr>
                <w:noProof/>
                <w:sz w:val="18"/>
                <w:lang w:val="cs-CZ"/>
              </w:rPr>
            </w:pPr>
          </w:p>
        </w:tc>
        <w:tc>
          <w:tcPr>
            <w:tcW w:w="1134" w:type="dxa"/>
            <w:vAlign w:val="center"/>
          </w:tcPr>
          <w:p w:rsidR="003B6E11" w:rsidRPr="003B6E11" w:rsidRDefault="003B6E11" w:rsidP="002D015D">
            <w:pPr>
              <w:spacing w:before="60" w:after="60"/>
              <w:rPr>
                <w:noProof/>
                <w:sz w:val="18"/>
                <w:lang w:val="cs-CZ"/>
              </w:rPr>
            </w:pPr>
          </w:p>
        </w:tc>
      </w:tr>
    </w:tbl>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lang w:val="cs-CZ"/>
        </w:rPr>
        <w:br w:type="page"/>
      </w:r>
    </w:p>
    <w:p w:rsidR="003B6E11" w:rsidRPr="003B6E11" w:rsidRDefault="003B6E11" w:rsidP="003B6E11">
      <w:pPr>
        <w:spacing w:line="240" w:lineRule="atLeast"/>
        <w:ind w:left="709" w:hanging="709"/>
        <w:rPr>
          <w:rFonts w:cs="Arial"/>
          <w:noProof/>
          <w:color w:val="000000"/>
          <w:lang w:val="cs-CZ"/>
        </w:rPr>
      </w:pPr>
      <w:r w:rsidRPr="003B6E11">
        <w:rPr>
          <w:noProof/>
          <w:color w:val="000000"/>
          <w:lang w:val="cs-CZ"/>
        </w:rPr>
        <w:t>1.2.2</w:t>
      </w:r>
      <w:r w:rsidRPr="003B6E11">
        <w:rPr>
          <w:lang w:val="cs-CZ"/>
        </w:rPr>
        <w:tab/>
      </w:r>
      <w:r w:rsidRPr="003B6E11">
        <w:rPr>
          <w:noProof/>
          <w:color w:val="000000"/>
          <w:lang w:val="cs-CZ"/>
        </w:rPr>
        <w:t xml:space="preserve">Účinnost čištění (účinnost zneškodňování) </w:t>
      </w:r>
    </w:p>
    <w:p w:rsidR="003B6E11" w:rsidRPr="003B6E11" w:rsidRDefault="003B6E11" w:rsidP="003B6E11">
      <w:pPr>
        <w:spacing w:line="240" w:lineRule="atLeast"/>
        <w:rPr>
          <w:rFonts w:cs="Arial"/>
          <w:noProof/>
          <w:color w:val="000000"/>
          <w:lang w:val="cs-CZ"/>
        </w:rPr>
      </w:pPr>
    </w:p>
    <w:tbl>
      <w:tblPr>
        <w:tblW w:w="6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876"/>
        <w:gridCol w:w="1046"/>
        <w:gridCol w:w="1065"/>
        <w:gridCol w:w="1134"/>
      </w:tblGrid>
      <w:tr w:rsidR="003B6E11" w:rsidRPr="003B6E11" w:rsidTr="002D015D">
        <w:trPr>
          <w:jc w:val="center"/>
        </w:trPr>
        <w:tc>
          <w:tcPr>
            <w:tcW w:w="1526" w:type="dxa"/>
            <w:vAlign w:val="center"/>
          </w:tcPr>
          <w:p w:rsidR="003B6E11" w:rsidRPr="003B6E11" w:rsidRDefault="003B6E11" w:rsidP="002D015D">
            <w:pPr>
              <w:spacing w:before="60" w:after="60"/>
              <w:rPr>
                <w:noProof/>
                <w:sz w:val="18"/>
                <w:lang w:val="cs-CZ"/>
              </w:rPr>
            </w:pPr>
            <w:r w:rsidRPr="003B6E11">
              <w:rPr>
                <w:noProof/>
                <w:sz w:val="18"/>
                <w:lang w:val="cs-CZ"/>
              </w:rPr>
              <w:t>Parametr</w:t>
            </w:r>
          </w:p>
        </w:tc>
        <w:tc>
          <w:tcPr>
            <w:tcW w:w="1876" w:type="dxa"/>
            <w:vAlign w:val="center"/>
          </w:tcPr>
          <w:p w:rsidR="003B6E11" w:rsidRPr="003B6E11" w:rsidRDefault="003B6E11" w:rsidP="002D015D">
            <w:pPr>
              <w:spacing w:before="60" w:after="60"/>
              <w:rPr>
                <w:noProof/>
                <w:sz w:val="18"/>
                <w:lang w:val="cs-CZ"/>
              </w:rPr>
            </w:pPr>
            <w:r w:rsidRPr="003B6E11">
              <w:rPr>
                <w:noProof/>
                <w:sz w:val="18"/>
                <w:lang w:val="cs-CZ"/>
              </w:rPr>
              <w:t>Druh vzorku</w:t>
            </w:r>
          </w:p>
        </w:tc>
        <w:tc>
          <w:tcPr>
            <w:tcW w:w="1046" w:type="dxa"/>
            <w:vAlign w:val="center"/>
          </w:tcPr>
          <w:p w:rsidR="003B6E11" w:rsidRPr="003B6E11" w:rsidRDefault="003B6E11" w:rsidP="002D015D">
            <w:pPr>
              <w:spacing w:before="60" w:after="60"/>
              <w:jc w:val="center"/>
              <w:rPr>
                <w:noProof/>
                <w:sz w:val="18"/>
                <w:lang w:val="cs-CZ"/>
              </w:rPr>
            </w:pPr>
            <w:r w:rsidRPr="003B6E11">
              <w:rPr>
                <w:noProof/>
                <w:sz w:val="18"/>
                <w:lang w:val="cs-CZ"/>
              </w:rPr>
              <w:t>Min.</w:t>
            </w:r>
          </w:p>
        </w:tc>
        <w:tc>
          <w:tcPr>
            <w:tcW w:w="1065" w:type="dxa"/>
            <w:vAlign w:val="center"/>
          </w:tcPr>
          <w:p w:rsidR="003B6E11" w:rsidRPr="003B6E11" w:rsidRDefault="003B6E11" w:rsidP="002D015D">
            <w:pPr>
              <w:spacing w:before="60" w:after="60"/>
              <w:jc w:val="center"/>
              <w:rPr>
                <w:noProof/>
                <w:sz w:val="18"/>
                <w:lang w:val="cs-CZ"/>
              </w:rPr>
            </w:pPr>
            <w:r w:rsidRPr="003B6E11">
              <w:rPr>
                <w:noProof/>
                <w:sz w:val="18"/>
                <w:lang w:val="cs-CZ"/>
              </w:rPr>
              <w:t>Max.</w:t>
            </w:r>
          </w:p>
        </w:tc>
        <w:tc>
          <w:tcPr>
            <w:tcW w:w="1134" w:type="dxa"/>
            <w:vAlign w:val="center"/>
          </w:tcPr>
          <w:p w:rsidR="003B6E11" w:rsidRPr="003B6E11" w:rsidRDefault="003B6E11" w:rsidP="002D015D">
            <w:pPr>
              <w:spacing w:before="60" w:after="60"/>
              <w:jc w:val="center"/>
              <w:rPr>
                <w:noProof/>
                <w:sz w:val="18"/>
                <w:lang w:val="cs-CZ"/>
              </w:rPr>
            </w:pPr>
            <w:r w:rsidRPr="003B6E11">
              <w:rPr>
                <w:noProof/>
                <w:sz w:val="18"/>
                <w:lang w:val="cs-CZ"/>
              </w:rPr>
              <w:t>Průměr</w:t>
            </w:r>
          </w:p>
        </w:tc>
      </w:tr>
      <w:tr w:rsidR="003B6E11" w:rsidRPr="003B6E11" w:rsidTr="002D015D">
        <w:trPr>
          <w:jc w:val="center"/>
        </w:trPr>
        <w:tc>
          <w:tcPr>
            <w:tcW w:w="1526" w:type="dxa"/>
            <w:vAlign w:val="center"/>
          </w:tcPr>
          <w:p w:rsidR="003B6E11" w:rsidRPr="003B6E11" w:rsidRDefault="002D015D" w:rsidP="002D015D">
            <w:pPr>
              <w:spacing w:before="60" w:after="60"/>
              <w:rPr>
                <w:noProof/>
                <w:sz w:val="18"/>
                <w:szCs w:val="18"/>
                <w:lang w:val="cs-CZ"/>
              </w:rPr>
            </w:pPr>
            <m:oMathPara>
              <m:oMathParaPr>
                <m:jc m:val="left"/>
              </m:oMathParaPr>
              <m:oMath>
                <m:sSub>
                  <m:sSubPr>
                    <m:ctrlPr>
                      <w:rPr>
                        <w:rFonts w:ascii="Cambria Math" w:hAnsi="Cambria Math"/>
                        <w:i/>
                        <w:noProof/>
                        <w:sz w:val="18"/>
                        <w:szCs w:val="18"/>
                        <w:lang w:val="cs-CZ"/>
                      </w:rPr>
                    </m:ctrlPr>
                  </m:sSubPr>
                  <m:e>
                    <m:r>
                      <w:rPr>
                        <w:rFonts w:ascii="Cambria Math" w:hAnsi="Cambria Math"/>
                        <w:noProof/>
                        <w:sz w:val="18"/>
                        <w:szCs w:val="18"/>
                        <w:lang w:val="cs-CZ"/>
                      </w:rPr>
                      <m:t>BOD</m:t>
                    </m:r>
                  </m:e>
                  <m:sub>
                    <m:r>
                      <w:rPr>
                        <w:rFonts w:ascii="Cambria Math" w:hAnsi="Cambria Math"/>
                        <w:noProof/>
                        <w:sz w:val="18"/>
                        <w:szCs w:val="18"/>
                        <w:lang w:val="cs-CZ"/>
                      </w:rPr>
                      <m:t>5</m:t>
                    </m:r>
                  </m:sub>
                </m:sSub>
              </m:oMath>
            </m:oMathPara>
          </w:p>
        </w:tc>
        <w:tc>
          <w:tcPr>
            <w:tcW w:w="1876" w:type="dxa"/>
            <w:vAlign w:val="center"/>
          </w:tcPr>
          <w:p w:rsidR="003B6E11" w:rsidRPr="003B6E11" w:rsidRDefault="003B6E11" w:rsidP="002D015D">
            <w:pPr>
              <w:spacing w:before="60" w:after="60"/>
              <w:rPr>
                <w:noProof/>
                <w:sz w:val="18"/>
                <w:lang w:val="cs-CZ"/>
              </w:rPr>
            </w:pPr>
            <w:r w:rsidRPr="003B6E11">
              <w:rPr>
                <w:noProof/>
                <w:sz w:val="18"/>
                <w:lang w:val="cs-CZ"/>
              </w:rPr>
              <w:t>Souhrnné vzorky za 24 h</w:t>
            </w:r>
          </w:p>
        </w:tc>
        <w:tc>
          <w:tcPr>
            <w:tcW w:w="1046" w:type="dxa"/>
            <w:vAlign w:val="center"/>
          </w:tcPr>
          <w:p w:rsidR="003B6E11" w:rsidRPr="003B6E11" w:rsidRDefault="003B6E11" w:rsidP="002D015D">
            <w:pPr>
              <w:spacing w:before="60" w:after="60"/>
              <w:rPr>
                <w:noProof/>
                <w:sz w:val="18"/>
                <w:lang w:val="cs-CZ"/>
              </w:rPr>
            </w:pPr>
          </w:p>
        </w:tc>
        <w:tc>
          <w:tcPr>
            <w:tcW w:w="1065" w:type="dxa"/>
            <w:vAlign w:val="center"/>
          </w:tcPr>
          <w:p w:rsidR="003B6E11" w:rsidRPr="003B6E11" w:rsidRDefault="003B6E11" w:rsidP="002D015D">
            <w:pPr>
              <w:spacing w:before="60" w:after="60"/>
              <w:rPr>
                <w:noProof/>
                <w:sz w:val="18"/>
                <w:lang w:val="cs-CZ"/>
              </w:rPr>
            </w:pPr>
          </w:p>
        </w:tc>
        <w:tc>
          <w:tcPr>
            <w:tcW w:w="1134" w:type="dxa"/>
            <w:vAlign w:val="center"/>
          </w:tcPr>
          <w:p w:rsidR="003B6E11" w:rsidRPr="003B6E11" w:rsidRDefault="003B6E11" w:rsidP="002D015D">
            <w:pPr>
              <w:spacing w:before="60" w:after="60"/>
              <w:rPr>
                <w:noProof/>
                <w:sz w:val="18"/>
                <w:lang w:val="cs-CZ"/>
              </w:rPr>
            </w:pPr>
          </w:p>
        </w:tc>
      </w:tr>
      <w:tr w:rsidR="003B6E11" w:rsidRPr="003B6E11" w:rsidTr="002D015D">
        <w:trPr>
          <w:jc w:val="center"/>
        </w:trPr>
        <w:tc>
          <w:tcPr>
            <w:tcW w:w="1526" w:type="dxa"/>
            <w:vAlign w:val="center"/>
          </w:tcPr>
          <w:p w:rsidR="003B6E11" w:rsidRPr="003B6E11" w:rsidRDefault="002D015D" w:rsidP="002D015D">
            <w:pPr>
              <w:spacing w:before="60" w:after="60"/>
              <w:rPr>
                <w:noProof/>
                <w:sz w:val="18"/>
                <w:szCs w:val="18"/>
                <w:lang w:val="cs-CZ"/>
              </w:rPr>
            </w:pPr>
            <m:oMathPara>
              <m:oMathParaPr>
                <m:jc m:val="left"/>
              </m:oMathParaPr>
              <m:oMath>
                <m:sSub>
                  <m:sSubPr>
                    <m:ctrlPr>
                      <w:rPr>
                        <w:rFonts w:ascii="Cambria Math" w:hAnsi="Cambria Math"/>
                        <w:i/>
                        <w:noProof/>
                        <w:sz w:val="18"/>
                        <w:szCs w:val="18"/>
                        <w:lang w:val="cs-CZ"/>
                      </w:rPr>
                    </m:ctrlPr>
                  </m:sSubPr>
                  <m:e>
                    <m:r>
                      <w:rPr>
                        <w:rFonts w:ascii="Cambria Math" w:hAnsi="Cambria Math"/>
                        <w:noProof/>
                        <w:sz w:val="18"/>
                        <w:szCs w:val="18"/>
                        <w:lang w:val="cs-CZ"/>
                      </w:rPr>
                      <m:t>BOD</m:t>
                    </m:r>
                  </m:e>
                  <m:sub>
                    <m:r>
                      <w:rPr>
                        <w:rFonts w:ascii="Cambria Math" w:hAnsi="Cambria Math"/>
                        <w:noProof/>
                        <w:sz w:val="18"/>
                        <w:szCs w:val="18"/>
                        <w:lang w:val="cs-CZ"/>
                      </w:rPr>
                      <m:t>5</m:t>
                    </m:r>
                  </m:sub>
                </m:sSub>
              </m:oMath>
            </m:oMathPara>
          </w:p>
        </w:tc>
        <w:tc>
          <w:tcPr>
            <w:tcW w:w="1876" w:type="dxa"/>
            <w:vAlign w:val="center"/>
          </w:tcPr>
          <w:p w:rsidR="003B6E11" w:rsidRPr="003B6E11" w:rsidRDefault="003B6E11" w:rsidP="002D015D">
            <w:pPr>
              <w:spacing w:before="60" w:after="60"/>
              <w:rPr>
                <w:noProof/>
                <w:sz w:val="18"/>
                <w:lang w:val="cs-CZ"/>
              </w:rPr>
            </w:pPr>
            <w:r w:rsidRPr="003B6E11">
              <w:rPr>
                <w:noProof/>
                <w:sz w:val="18"/>
                <w:lang w:val="cs-CZ"/>
              </w:rPr>
              <w:t>Náhodné vzorky</w:t>
            </w:r>
          </w:p>
        </w:tc>
        <w:tc>
          <w:tcPr>
            <w:tcW w:w="1046" w:type="dxa"/>
            <w:vAlign w:val="center"/>
          </w:tcPr>
          <w:p w:rsidR="003B6E11" w:rsidRPr="003B6E11" w:rsidRDefault="003B6E11" w:rsidP="002D015D">
            <w:pPr>
              <w:spacing w:before="60" w:after="60"/>
              <w:rPr>
                <w:noProof/>
                <w:sz w:val="18"/>
                <w:lang w:val="cs-CZ"/>
              </w:rPr>
            </w:pPr>
          </w:p>
        </w:tc>
        <w:tc>
          <w:tcPr>
            <w:tcW w:w="1065" w:type="dxa"/>
            <w:vAlign w:val="center"/>
          </w:tcPr>
          <w:p w:rsidR="003B6E11" w:rsidRPr="003B6E11" w:rsidRDefault="003B6E11" w:rsidP="002D015D">
            <w:pPr>
              <w:spacing w:before="60" w:after="60"/>
              <w:rPr>
                <w:noProof/>
                <w:sz w:val="18"/>
                <w:lang w:val="cs-CZ"/>
              </w:rPr>
            </w:pPr>
          </w:p>
        </w:tc>
        <w:tc>
          <w:tcPr>
            <w:tcW w:w="1134" w:type="dxa"/>
            <w:vAlign w:val="center"/>
          </w:tcPr>
          <w:p w:rsidR="003B6E11" w:rsidRPr="003B6E11" w:rsidRDefault="003B6E11" w:rsidP="002D015D">
            <w:pPr>
              <w:spacing w:before="60" w:after="60"/>
              <w:rPr>
                <w:noProof/>
                <w:sz w:val="18"/>
                <w:lang w:val="cs-CZ"/>
              </w:rPr>
            </w:pPr>
          </w:p>
        </w:tc>
      </w:tr>
      <w:tr w:rsidR="003B6E11" w:rsidRPr="003B6E11" w:rsidTr="002D015D">
        <w:trPr>
          <w:jc w:val="center"/>
        </w:trPr>
        <w:tc>
          <w:tcPr>
            <w:tcW w:w="1526" w:type="dxa"/>
          </w:tcPr>
          <w:p w:rsidR="003B6E11" w:rsidRPr="003B6E11" w:rsidRDefault="003B6E11" w:rsidP="002D015D">
            <w:pPr>
              <w:spacing w:before="60" w:after="60"/>
              <w:rPr>
                <w:noProof/>
                <w:sz w:val="18"/>
                <w:lang w:val="cs-CZ"/>
              </w:rPr>
            </w:pPr>
            <w:r w:rsidRPr="003B6E11">
              <w:rPr>
                <w:noProof/>
                <w:sz w:val="18"/>
                <w:lang w:val="cs-CZ"/>
              </w:rPr>
              <w:t>COD</w:t>
            </w:r>
          </w:p>
        </w:tc>
        <w:tc>
          <w:tcPr>
            <w:tcW w:w="1876" w:type="dxa"/>
          </w:tcPr>
          <w:p w:rsidR="003B6E11" w:rsidRPr="003B6E11" w:rsidRDefault="003B6E11" w:rsidP="002D015D">
            <w:pPr>
              <w:spacing w:before="60" w:after="60"/>
              <w:rPr>
                <w:noProof/>
                <w:sz w:val="18"/>
                <w:lang w:val="cs-CZ"/>
              </w:rPr>
            </w:pPr>
            <w:r w:rsidRPr="003B6E11">
              <w:rPr>
                <w:noProof/>
                <w:sz w:val="18"/>
                <w:lang w:val="cs-CZ"/>
              </w:rPr>
              <w:t>Souhrnné vzorky za 24 h</w:t>
            </w:r>
          </w:p>
        </w:tc>
        <w:tc>
          <w:tcPr>
            <w:tcW w:w="1046" w:type="dxa"/>
          </w:tcPr>
          <w:p w:rsidR="003B6E11" w:rsidRPr="003B6E11" w:rsidRDefault="003B6E11" w:rsidP="002D015D">
            <w:pPr>
              <w:spacing w:before="60" w:after="60"/>
              <w:rPr>
                <w:noProof/>
                <w:sz w:val="18"/>
                <w:lang w:val="cs-CZ"/>
              </w:rPr>
            </w:pPr>
          </w:p>
        </w:tc>
        <w:tc>
          <w:tcPr>
            <w:tcW w:w="1065" w:type="dxa"/>
          </w:tcPr>
          <w:p w:rsidR="003B6E11" w:rsidRPr="003B6E11" w:rsidRDefault="003B6E11" w:rsidP="002D015D">
            <w:pPr>
              <w:spacing w:before="60" w:after="60"/>
              <w:rPr>
                <w:noProof/>
                <w:sz w:val="18"/>
                <w:lang w:val="cs-CZ"/>
              </w:rPr>
            </w:pPr>
          </w:p>
        </w:tc>
        <w:tc>
          <w:tcPr>
            <w:tcW w:w="1134" w:type="dxa"/>
          </w:tcPr>
          <w:p w:rsidR="003B6E11" w:rsidRPr="003B6E11" w:rsidRDefault="003B6E11" w:rsidP="002D015D">
            <w:pPr>
              <w:spacing w:before="60" w:after="60"/>
              <w:rPr>
                <w:noProof/>
                <w:sz w:val="18"/>
                <w:lang w:val="cs-CZ"/>
              </w:rPr>
            </w:pPr>
          </w:p>
        </w:tc>
      </w:tr>
      <w:tr w:rsidR="003B6E11" w:rsidRPr="003B6E11" w:rsidTr="002D015D">
        <w:trPr>
          <w:jc w:val="center"/>
        </w:trPr>
        <w:tc>
          <w:tcPr>
            <w:tcW w:w="1526" w:type="dxa"/>
          </w:tcPr>
          <w:p w:rsidR="003B6E11" w:rsidRPr="003B6E11" w:rsidRDefault="003B6E11" w:rsidP="002D015D">
            <w:pPr>
              <w:spacing w:before="60" w:after="60"/>
              <w:rPr>
                <w:noProof/>
                <w:sz w:val="18"/>
                <w:lang w:val="cs-CZ"/>
              </w:rPr>
            </w:pPr>
            <w:r w:rsidRPr="003B6E11">
              <w:rPr>
                <w:noProof/>
                <w:sz w:val="18"/>
                <w:lang w:val="cs-CZ"/>
              </w:rPr>
              <w:t>COD</w:t>
            </w:r>
          </w:p>
        </w:tc>
        <w:tc>
          <w:tcPr>
            <w:tcW w:w="1876" w:type="dxa"/>
          </w:tcPr>
          <w:p w:rsidR="003B6E11" w:rsidRPr="003B6E11" w:rsidRDefault="003B6E11" w:rsidP="002D015D">
            <w:pPr>
              <w:spacing w:before="60" w:after="60"/>
              <w:rPr>
                <w:noProof/>
                <w:sz w:val="18"/>
                <w:lang w:val="cs-CZ"/>
              </w:rPr>
            </w:pPr>
            <w:r w:rsidRPr="003B6E11">
              <w:rPr>
                <w:noProof/>
                <w:sz w:val="18"/>
                <w:lang w:val="cs-CZ"/>
              </w:rPr>
              <w:t>Náhodné vzorky</w:t>
            </w:r>
          </w:p>
        </w:tc>
        <w:tc>
          <w:tcPr>
            <w:tcW w:w="1046" w:type="dxa"/>
          </w:tcPr>
          <w:p w:rsidR="003B6E11" w:rsidRPr="003B6E11" w:rsidRDefault="003B6E11" w:rsidP="002D015D">
            <w:pPr>
              <w:spacing w:before="60" w:after="60"/>
              <w:rPr>
                <w:noProof/>
                <w:sz w:val="18"/>
                <w:lang w:val="cs-CZ"/>
              </w:rPr>
            </w:pPr>
          </w:p>
        </w:tc>
        <w:tc>
          <w:tcPr>
            <w:tcW w:w="1065" w:type="dxa"/>
          </w:tcPr>
          <w:p w:rsidR="003B6E11" w:rsidRPr="003B6E11" w:rsidRDefault="003B6E11" w:rsidP="002D015D">
            <w:pPr>
              <w:spacing w:before="60" w:after="60"/>
              <w:rPr>
                <w:noProof/>
                <w:sz w:val="18"/>
                <w:lang w:val="cs-CZ"/>
              </w:rPr>
            </w:pPr>
          </w:p>
        </w:tc>
        <w:tc>
          <w:tcPr>
            <w:tcW w:w="1134" w:type="dxa"/>
          </w:tcPr>
          <w:p w:rsidR="003B6E11" w:rsidRPr="003B6E11" w:rsidRDefault="003B6E11" w:rsidP="002D015D">
            <w:pPr>
              <w:spacing w:before="60" w:after="60"/>
              <w:rPr>
                <w:noProof/>
                <w:sz w:val="18"/>
                <w:lang w:val="cs-CZ"/>
              </w:rPr>
            </w:pPr>
          </w:p>
        </w:tc>
      </w:tr>
      <w:tr w:rsidR="003B6E11" w:rsidRPr="003B6E11" w:rsidTr="002D015D">
        <w:trPr>
          <w:jc w:val="center"/>
        </w:trPr>
        <w:tc>
          <w:tcPr>
            <w:tcW w:w="1526" w:type="dxa"/>
          </w:tcPr>
          <w:p w:rsidR="003B6E11" w:rsidRPr="003B6E11" w:rsidRDefault="003B6E11" w:rsidP="002D015D">
            <w:pPr>
              <w:spacing w:before="60" w:after="60"/>
              <w:rPr>
                <w:noProof/>
                <w:sz w:val="18"/>
                <w:lang w:val="cs-CZ"/>
              </w:rPr>
            </w:pPr>
            <w:r w:rsidRPr="003B6E11">
              <w:rPr>
                <w:noProof/>
                <w:sz w:val="18"/>
                <w:lang w:val="cs-CZ"/>
              </w:rPr>
              <w:t>TOC</w:t>
            </w:r>
          </w:p>
        </w:tc>
        <w:tc>
          <w:tcPr>
            <w:tcW w:w="1876" w:type="dxa"/>
          </w:tcPr>
          <w:p w:rsidR="003B6E11" w:rsidRPr="003B6E11" w:rsidRDefault="003B6E11" w:rsidP="002D015D">
            <w:pPr>
              <w:spacing w:before="60" w:after="60"/>
              <w:rPr>
                <w:noProof/>
                <w:sz w:val="18"/>
                <w:lang w:val="cs-CZ"/>
              </w:rPr>
            </w:pPr>
            <w:r w:rsidRPr="003B6E11">
              <w:rPr>
                <w:noProof/>
                <w:sz w:val="18"/>
                <w:lang w:val="cs-CZ"/>
              </w:rPr>
              <w:t>Souhrnné vzorky za 24 h</w:t>
            </w:r>
          </w:p>
        </w:tc>
        <w:tc>
          <w:tcPr>
            <w:tcW w:w="1046" w:type="dxa"/>
          </w:tcPr>
          <w:p w:rsidR="003B6E11" w:rsidRPr="003B6E11" w:rsidRDefault="003B6E11" w:rsidP="002D015D">
            <w:pPr>
              <w:spacing w:before="60" w:after="60"/>
              <w:rPr>
                <w:noProof/>
                <w:sz w:val="18"/>
                <w:lang w:val="cs-CZ"/>
              </w:rPr>
            </w:pPr>
          </w:p>
        </w:tc>
        <w:tc>
          <w:tcPr>
            <w:tcW w:w="1065" w:type="dxa"/>
          </w:tcPr>
          <w:p w:rsidR="003B6E11" w:rsidRPr="003B6E11" w:rsidRDefault="003B6E11" w:rsidP="002D015D">
            <w:pPr>
              <w:spacing w:before="60" w:after="60"/>
              <w:rPr>
                <w:noProof/>
                <w:sz w:val="18"/>
                <w:lang w:val="cs-CZ"/>
              </w:rPr>
            </w:pPr>
          </w:p>
        </w:tc>
        <w:tc>
          <w:tcPr>
            <w:tcW w:w="1134" w:type="dxa"/>
          </w:tcPr>
          <w:p w:rsidR="003B6E11" w:rsidRPr="003B6E11" w:rsidRDefault="003B6E11" w:rsidP="002D015D">
            <w:pPr>
              <w:spacing w:before="60" w:after="60"/>
              <w:rPr>
                <w:noProof/>
                <w:sz w:val="18"/>
                <w:lang w:val="cs-CZ"/>
              </w:rPr>
            </w:pPr>
          </w:p>
        </w:tc>
      </w:tr>
      <w:tr w:rsidR="003B6E11" w:rsidRPr="003B6E11" w:rsidTr="002D015D">
        <w:trPr>
          <w:jc w:val="center"/>
        </w:trPr>
        <w:tc>
          <w:tcPr>
            <w:tcW w:w="1526" w:type="dxa"/>
          </w:tcPr>
          <w:p w:rsidR="003B6E11" w:rsidRPr="003B6E11" w:rsidRDefault="003B6E11" w:rsidP="002D015D">
            <w:pPr>
              <w:spacing w:before="60" w:after="60"/>
              <w:rPr>
                <w:noProof/>
                <w:sz w:val="18"/>
                <w:lang w:val="cs-CZ"/>
              </w:rPr>
            </w:pPr>
            <w:r w:rsidRPr="003B6E11">
              <w:rPr>
                <w:noProof/>
                <w:sz w:val="18"/>
                <w:lang w:val="cs-CZ"/>
              </w:rPr>
              <w:t>TOC</w:t>
            </w:r>
          </w:p>
        </w:tc>
        <w:tc>
          <w:tcPr>
            <w:tcW w:w="1876" w:type="dxa"/>
          </w:tcPr>
          <w:p w:rsidR="003B6E11" w:rsidRPr="003B6E11" w:rsidRDefault="003B6E11" w:rsidP="002D015D">
            <w:pPr>
              <w:spacing w:before="60" w:after="60"/>
              <w:rPr>
                <w:noProof/>
                <w:sz w:val="18"/>
                <w:lang w:val="cs-CZ"/>
              </w:rPr>
            </w:pPr>
            <w:r w:rsidRPr="003B6E11">
              <w:rPr>
                <w:noProof/>
                <w:sz w:val="18"/>
                <w:lang w:val="cs-CZ"/>
              </w:rPr>
              <w:t>Náhodné vzorky</w:t>
            </w:r>
          </w:p>
        </w:tc>
        <w:tc>
          <w:tcPr>
            <w:tcW w:w="1046" w:type="dxa"/>
          </w:tcPr>
          <w:p w:rsidR="003B6E11" w:rsidRPr="003B6E11" w:rsidRDefault="003B6E11" w:rsidP="002D015D">
            <w:pPr>
              <w:spacing w:before="60" w:after="60"/>
              <w:rPr>
                <w:noProof/>
                <w:sz w:val="18"/>
                <w:lang w:val="cs-CZ"/>
              </w:rPr>
            </w:pPr>
          </w:p>
        </w:tc>
        <w:tc>
          <w:tcPr>
            <w:tcW w:w="1065" w:type="dxa"/>
          </w:tcPr>
          <w:p w:rsidR="003B6E11" w:rsidRPr="003B6E11" w:rsidRDefault="003B6E11" w:rsidP="002D015D">
            <w:pPr>
              <w:spacing w:before="60" w:after="60"/>
              <w:rPr>
                <w:noProof/>
                <w:sz w:val="18"/>
                <w:lang w:val="cs-CZ"/>
              </w:rPr>
            </w:pPr>
          </w:p>
        </w:tc>
        <w:tc>
          <w:tcPr>
            <w:tcW w:w="1134" w:type="dxa"/>
          </w:tcPr>
          <w:p w:rsidR="003B6E11" w:rsidRPr="003B6E11" w:rsidRDefault="003B6E11" w:rsidP="002D015D">
            <w:pPr>
              <w:spacing w:before="60" w:after="60"/>
              <w:rPr>
                <w:noProof/>
                <w:sz w:val="18"/>
                <w:lang w:val="cs-CZ"/>
              </w:rPr>
            </w:pPr>
          </w:p>
        </w:tc>
      </w:tr>
      <w:tr w:rsidR="003B6E11" w:rsidRPr="003B6E11" w:rsidTr="002D015D">
        <w:trPr>
          <w:jc w:val="center"/>
        </w:trPr>
        <w:tc>
          <w:tcPr>
            <w:tcW w:w="1526" w:type="dxa"/>
          </w:tcPr>
          <w:p w:rsidR="003B6E11" w:rsidRPr="003B6E11" w:rsidRDefault="003B6E11" w:rsidP="002D015D">
            <w:pPr>
              <w:spacing w:before="60" w:after="60"/>
              <w:rPr>
                <w:noProof/>
                <w:sz w:val="18"/>
                <w:lang w:val="cs-CZ"/>
              </w:rPr>
            </w:pPr>
            <w:r w:rsidRPr="003B6E11">
              <w:rPr>
                <w:noProof/>
                <w:sz w:val="18"/>
                <w:lang w:val="cs-CZ"/>
              </w:rPr>
              <w:t>SRF</w:t>
            </w:r>
          </w:p>
        </w:tc>
        <w:tc>
          <w:tcPr>
            <w:tcW w:w="1876" w:type="dxa"/>
          </w:tcPr>
          <w:p w:rsidR="003B6E11" w:rsidRPr="003B6E11" w:rsidRDefault="003B6E11" w:rsidP="002D015D">
            <w:pPr>
              <w:spacing w:before="60" w:after="60"/>
              <w:rPr>
                <w:noProof/>
                <w:sz w:val="18"/>
                <w:lang w:val="cs-CZ"/>
              </w:rPr>
            </w:pPr>
            <w:r w:rsidRPr="003B6E11">
              <w:rPr>
                <w:noProof/>
                <w:sz w:val="18"/>
                <w:lang w:val="cs-CZ"/>
              </w:rPr>
              <w:t>Souhrnné vzorky za 24 h</w:t>
            </w:r>
          </w:p>
        </w:tc>
        <w:tc>
          <w:tcPr>
            <w:tcW w:w="1046" w:type="dxa"/>
          </w:tcPr>
          <w:p w:rsidR="003B6E11" w:rsidRPr="003B6E11" w:rsidRDefault="003B6E11" w:rsidP="002D015D">
            <w:pPr>
              <w:spacing w:before="60" w:after="60"/>
              <w:rPr>
                <w:noProof/>
                <w:sz w:val="18"/>
                <w:lang w:val="cs-CZ"/>
              </w:rPr>
            </w:pPr>
          </w:p>
        </w:tc>
        <w:tc>
          <w:tcPr>
            <w:tcW w:w="1065" w:type="dxa"/>
          </w:tcPr>
          <w:p w:rsidR="003B6E11" w:rsidRPr="003B6E11" w:rsidRDefault="003B6E11" w:rsidP="002D015D">
            <w:pPr>
              <w:spacing w:before="60" w:after="60"/>
              <w:rPr>
                <w:noProof/>
                <w:sz w:val="18"/>
                <w:lang w:val="cs-CZ"/>
              </w:rPr>
            </w:pPr>
          </w:p>
        </w:tc>
        <w:tc>
          <w:tcPr>
            <w:tcW w:w="1134" w:type="dxa"/>
          </w:tcPr>
          <w:p w:rsidR="003B6E11" w:rsidRPr="003B6E11" w:rsidRDefault="003B6E11" w:rsidP="002D015D">
            <w:pPr>
              <w:spacing w:before="60" w:after="60"/>
              <w:rPr>
                <w:noProof/>
                <w:sz w:val="18"/>
                <w:lang w:val="cs-CZ"/>
              </w:rPr>
            </w:pPr>
          </w:p>
        </w:tc>
      </w:tr>
      <w:tr w:rsidR="003B6E11" w:rsidRPr="003B6E11" w:rsidTr="002D015D">
        <w:trPr>
          <w:jc w:val="center"/>
        </w:trPr>
        <w:tc>
          <w:tcPr>
            <w:tcW w:w="1526" w:type="dxa"/>
          </w:tcPr>
          <w:p w:rsidR="003B6E11" w:rsidRPr="003B6E11" w:rsidRDefault="003B6E11" w:rsidP="002D015D">
            <w:pPr>
              <w:spacing w:before="60" w:after="60"/>
              <w:rPr>
                <w:noProof/>
                <w:sz w:val="18"/>
                <w:lang w:val="cs-CZ"/>
              </w:rPr>
            </w:pPr>
            <w:r w:rsidRPr="003B6E11">
              <w:rPr>
                <w:noProof/>
                <w:sz w:val="18"/>
                <w:lang w:val="cs-CZ"/>
              </w:rPr>
              <w:t>SRF</w:t>
            </w:r>
          </w:p>
        </w:tc>
        <w:tc>
          <w:tcPr>
            <w:tcW w:w="1876" w:type="dxa"/>
          </w:tcPr>
          <w:p w:rsidR="003B6E11" w:rsidRPr="003B6E11" w:rsidRDefault="003B6E11" w:rsidP="002D015D">
            <w:pPr>
              <w:spacing w:before="60" w:after="60"/>
              <w:rPr>
                <w:noProof/>
                <w:sz w:val="18"/>
                <w:lang w:val="cs-CZ"/>
              </w:rPr>
            </w:pPr>
            <w:r w:rsidRPr="003B6E11">
              <w:rPr>
                <w:noProof/>
                <w:sz w:val="18"/>
                <w:lang w:val="cs-CZ"/>
              </w:rPr>
              <w:t>Náhodné vzorky</w:t>
            </w:r>
          </w:p>
        </w:tc>
        <w:tc>
          <w:tcPr>
            <w:tcW w:w="1046" w:type="dxa"/>
          </w:tcPr>
          <w:p w:rsidR="003B6E11" w:rsidRPr="003B6E11" w:rsidRDefault="003B6E11" w:rsidP="002D015D">
            <w:pPr>
              <w:spacing w:before="60" w:after="60"/>
              <w:rPr>
                <w:noProof/>
                <w:sz w:val="18"/>
                <w:lang w:val="cs-CZ"/>
              </w:rPr>
            </w:pPr>
          </w:p>
        </w:tc>
        <w:tc>
          <w:tcPr>
            <w:tcW w:w="1065" w:type="dxa"/>
          </w:tcPr>
          <w:p w:rsidR="003B6E11" w:rsidRPr="003B6E11" w:rsidRDefault="003B6E11" w:rsidP="002D015D">
            <w:pPr>
              <w:spacing w:before="60" w:after="60"/>
              <w:rPr>
                <w:noProof/>
                <w:sz w:val="18"/>
                <w:lang w:val="cs-CZ"/>
              </w:rPr>
            </w:pPr>
          </w:p>
        </w:tc>
        <w:tc>
          <w:tcPr>
            <w:tcW w:w="1134" w:type="dxa"/>
          </w:tcPr>
          <w:p w:rsidR="003B6E11" w:rsidRPr="003B6E11" w:rsidRDefault="003B6E11" w:rsidP="002D015D">
            <w:pPr>
              <w:spacing w:before="60" w:after="60"/>
              <w:rPr>
                <w:noProof/>
                <w:sz w:val="18"/>
                <w:lang w:val="cs-CZ"/>
              </w:rPr>
            </w:pPr>
          </w:p>
        </w:tc>
      </w:tr>
    </w:tbl>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ind w:left="709" w:hanging="709"/>
        <w:rPr>
          <w:rFonts w:cs="Arial"/>
          <w:noProof/>
          <w:color w:val="000000"/>
          <w:lang w:val="cs-CZ"/>
        </w:rPr>
      </w:pPr>
      <w:r w:rsidRPr="003B6E11">
        <w:rPr>
          <w:noProof/>
          <w:color w:val="000000"/>
          <w:lang w:val="cs-CZ"/>
        </w:rPr>
        <w:t>1.3</w:t>
      </w:r>
      <w:r w:rsidRPr="003B6E11">
        <w:rPr>
          <w:lang w:val="cs-CZ"/>
        </w:rPr>
        <w:tab/>
      </w:r>
      <w:r w:rsidRPr="003B6E11">
        <w:rPr>
          <w:noProof/>
          <w:color w:val="000000"/>
          <w:lang w:val="cs-CZ"/>
        </w:rPr>
        <w:t xml:space="preserve">Další měřené parametry </w:t>
      </w:r>
    </w:p>
    <w:p w:rsidR="003B6E11" w:rsidRPr="003B6E11" w:rsidRDefault="003B6E11" w:rsidP="003B6E11">
      <w:pPr>
        <w:spacing w:line="240" w:lineRule="atLeast"/>
        <w:ind w:left="709" w:hanging="709"/>
        <w:rPr>
          <w:rFonts w:cs="Arial"/>
          <w:noProof/>
          <w:color w:val="000000"/>
          <w:lang w:val="cs-CZ"/>
        </w:rPr>
      </w:pPr>
    </w:p>
    <w:p w:rsidR="003B6E11" w:rsidRPr="003B6E11" w:rsidRDefault="003B6E11" w:rsidP="003B6E11">
      <w:pPr>
        <w:spacing w:line="240" w:lineRule="atLeast"/>
        <w:ind w:left="709" w:hanging="709"/>
        <w:rPr>
          <w:rFonts w:cs="Arial"/>
          <w:noProof/>
          <w:color w:val="000000"/>
          <w:lang w:val="cs-CZ"/>
        </w:rPr>
      </w:pPr>
      <w:r w:rsidRPr="003B6E11">
        <w:rPr>
          <w:noProof/>
          <w:color w:val="000000"/>
          <w:lang w:val="cs-CZ"/>
        </w:rPr>
        <w:t>1.3.1</w:t>
      </w:r>
      <w:r w:rsidRPr="003B6E11">
        <w:rPr>
          <w:lang w:val="cs-CZ"/>
        </w:rPr>
        <w:tab/>
      </w:r>
      <w:r w:rsidRPr="003B6E11">
        <w:rPr>
          <w:noProof/>
          <w:color w:val="000000"/>
          <w:lang w:val="cs-CZ"/>
        </w:rPr>
        <w:t>Další parametry přítoku a odtoku:</w:t>
      </w:r>
    </w:p>
    <w:p w:rsidR="003B6E11" w:rsidRPr="003B6E11" w:rsidRDefault="003B6E11" w:rsidP="003B6E11">
      <w:pPr>
        <w:spacing w:line="240" w:lineRule="atLeast"/>
        <w:rPr>
          <w:rFonts w:cs="Arial"/>
          <w:noProof/>
          <w:color w:val="000000"/>
          <w:lang w:val="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417"/>
        <w:gridCol w:w="1639"/>
      </w:tblGrid>
      <w:tr w:rsidR="003B6E11" w:rsidRPr="003B6E11" w:rsidTr="002D015D">
        <w:trPr>
          <w:jc w:val="center"/>
        </w:trPr>
        <w:tc>
          <w:tcPr>
            <w:tcW w:w="5103" w:type="dxa"/>
            <w:shd w:val="clear" w:color="auto" w:fill="auto"/>
          </w:tcPr>
          <w:p w:rsidR="003B6E11" w:rsidRPr="003B6E11" w:rsidRDefault="003B6E11" w:rsidP="002D015D">
            <w:pPr>
              <w:spacing w:before="60" w:after="60"/>
              <w:rPr>
                <w:noProof/>
                <w:sz w:val="18"/>
                <w:lang w:val="cs-CZ"/>
              </w:rPr>
            </w:pPr>
            <w:r w:rsidRPr="003B6E11">
              <w:rPr>
                <w:noProof/>
                <w:sz w:val="18"/>
                <w:lang w:val="cs-CZ"/>
              </w:rPr>
              <w:t>Parametr</w:t>
            </w:r>
          </w:p>
        </w:tc>
        <w:tc>
          <w:tcPr>
            <w:tcW w:w="1417" w:type="dxa"/>
            <w:shd w:val="clear" w:color="auto" w:fill="auto"/>
          </w:tcPr>
          <w:p w:rsidR="003B6E11" w:rsidRPr="003B6E11" w:rsidRDefault="003B6E11" w:rsidP="002D015D">
            <w:pPr>
              <w:spacing w:before="60" w:after="60"/>
              <w:jc w:val="center"/>
              <w:rPr>
                <w:noProof/>
                <w:sz w:val="18"/>
                <w:lang w:val="cs-CZ"/>
              </w:rPr>
            </w:pPr>
            <w:r w:rsidRPr="003B6E11">
              <w:rPr>
                <w:noProof/>
                <w:sz w:val="18"/>
                <w:lang w:val="cs-CZ"/>
              </w:rPr>
              <w:t>Přítok</w:t>
            </w:r>
          </w:p>
        </w:tc>
        <w:tc>
          <w:tcPr>
            <w:tcW w:w="1639" w:type="dxa"/>
            <w:shd w:val="clear" w:color="auto" w:fill="auto"/>
          </w:tcPr>
          <w:p w:rsidR="003B6E11" w:rsidRPr="003B6E11" w:rsidRDefault="003B6E11" w:rsidP="002D015D">
            <w:pPr>
              <w:spacing w:before="60" w:after="60"/>
              <w:jc w:val="center"/>
              <w:rPr>
                <w:noProof/>
                <w:sz w:val="18"/>
                <w:lang w:val="cs-CZ"/>
              </w:rPr>
            </w:pPr>
            <w:r w:rsidRPr="003B6E11">
              <w:rPr>
                <w:noProof/>
                <w:sz w:val="18"/>
                <w:lang w:val="cs-CZ"/>
              </w:rPr>
              <w:t>Odtok</w:t>
            </w:r>
          </w:p>
        </w:tc>
      </w:tr>
      <w:tr w:rsidR="003B6E11" w:rsidRPr="003B6E11" w:rsidTr="002D015D">
        <w:trPr>
          <w:jc w:val="center"/>
        </w:trPr>
        <w:tc>
          <w:tcPr>
            <w:tcW w:w="5103" w:type="dxa"/>
            <w:shd w:val="clear" w:color="auto" w:fill="auto"/>
          </w:tcPr>
          <w:p w:rsidR="003B6E11" w:rsidRPr="003B6E11" w:rsidRDefault="003B6E11" w:rsidP="002D015D">
            <w:pPr>
              <w:spacing w:before="60" w:after="60"/>
              <w:rPr>
                <w:noProof/>
                <w:sz w:val="18"/>
                <w:lang w:val="cs-CZ"/>
              </w:rPr>
            </w:pPr>
            <w:r w:rsidRPr="003B6E11">
              <w:rPr>
                <w:noProof/>
                <w:sz w:val="18"/>
                <w:lang w:val="cs-CZ"/>
              </w:rPr>
              <w:t>pH</w:t>
            </w:r>
          </w:p>
        </w:tc>
        <w:tc>
          <w:tcPr>
            <w:tcW w:w="1417" w:type="dxa"/>
            <w:shd w:val="clear" w:color="auto" w:fill="auto"/>
          </w:tcPr>
          <w:p w:rsidR="003B6E11" w:rsidRPr="003B6E11" w:rsidRDefault="003B6E11" w:rsidP="002D015D">
            <w:pPr>
              <w:spacing w:before="60" w:after="60"/>
              <w:rPr>
                <w:noProof/>
                <w:sz w:val="18"/>
                <w:lang w:val="cs-CZ"/>
              </w:rPr>
            </w:pPr>
          </w:p>
        </w:tc>
        <w:tc>
          <w:tcPr>
            <w:tcW w:w="1639" w:type="dxa"/>
            <w:shd w:val="clear" w:color="auto" w:fill="auto"/>
          </w:tcPr>
          <w:p w:rsidR="003B6E11" w:rsidRPr="003B6E11" w:rsidRDefault="003B6E11" w:rsidP="002D015D">
            <w:pPr>
              <w:spacing w:before="60" w:after="60"/>
              <w:rPr>
                <w:noProof/>
                <w:sz w:val="18"/>
                <w:lang w:val="cs-CZ"/>
              </w:rPr>
            </w:pPr>
          </w:p>
        </w:tc>
      </w:tr>
      <w:tr w:rsidR="003B6E11" w:rsidRPr="003B6E11" w:rsidTr="002D015D">
        <w:trPr>
          <w:jc w:val="center"/>
        </w:trPr>
        <w:tc>
          <w:tcPr>
            <w:tcW w:w="5103" w:type="dxa"/>
            <w:shd w:val="clear" w:color="auto" w:fill="auto"/>
          </w:tcPr>
          <w:p w:rsidR="003B6E11" w:rsidRPr="003B6E11" w:rsidRDefault="003B6E11" w:rsidP="002D015D">
            <w:pPr>
              <w:spacing w:before="60" w:after="60"/>
              <w:rPr>
                <w:noProof/>
                <w:sz w:val="18"/>
                <w:lang w:val="cs-CZ"/>
              </w:rPr>
            </w:pPr>
            <w:r w:rsidRPr="003B6E11">
              <w:rPr>
                <w:noProof/>
                <w:sz w:val="18"/>
                <w:lang w:val="cs-CZ"/>
              </w:rPr>
              <w:t>Vodivost</w:t>
            </w:r>
          </w:p>
        </w:tc>
        <w:tc>
          <w:tcPr>
            <w:tcW w:w="1417" w:type="dxa"/>
            <w:shd w:val="clear" w:color="auto" w:fill="auto"/>
          </w:tcPr>
          <w:p w:rsidR="003B6E11" w:rsidRPr="003B6E11" w:rsidRDefault="003B6E11" w:rsidP="002D015D">
            <w:pPr>
              <w:spacing w:before="60" w:after="60"/>
              <w:rPr>
                <w:noProof/>
                <w:sz w:val="18"/>
                <w:lang w:val="cs-CZ"/>
              </w:rPr>
            </w:pPr>
          </w:p>
        </w:tc>
        <w:tc>
          <w:tcPr>
            <w:tcW w:w="1639" w:type="dxa"/>
            <w:shd w:val="clear" w:color="auto" w:fill="auto"/>
          </w:tcPr>
          <w:p w:rsidR="003B6E11" w:rsidRPr="003B6E11" w:rsidRDefault="003B6E11" w:rsidP="002D015D">
            <w:pPr>
              <w:spacing w:before="60" w:after="60"/>
              <w:rPr>
                <w:noProof/>
                <w:sz w:val="18"/>
                <w:lang w:val="cs-CZ"/>
              </w:rPr>
            </w:pPr>
          </w:p>
        </w:tc>
      </w:tr>
      <w:tr w:rsidR="003B6E11" w:rsidRPr="003B6E11" w:rsidTr="002D015D">
        <w:trPr>
          <w:jc w:val="center"/>
        </w:trPr>
        <w:tc>
          <w:tcPr>
            <w:tcW w:w="5103" w:type="dxa"/>
            <w:shd w:val="clear" w:color="auto" w:fill="auto"/>
          </w:tcPr>
          <w:p w:rsidR="003B6E11" w:rsidRPr="003B6E11" w:rsidRDefault="003B6E11" w:rsidP="002D015D">
            <w:pPr>
              <w:spacing w:before="60" w:after="60"/>
              <w:rPr>
                <w:noProof/>
                <w:sz w:val="18"/>
                <w:lang w:val="cs-CZ"/>
              </w:rPr>
            </w:pPr>
            <w:r w:rsidRPr="003B6E11">
              <w:rPr>
                <w:noProof/>
                <w:sz w:val="18"/>
                <w:lang w:val="cs-CZ"/>
              </w:rPr>
              <w:t>Teplota kapalných fází</w:t>
            </w:r>
          </w:p>
        </w:tc>
        <w:tc>
          <w:tcPr>
            <w:tcW w:w="1417" w:type="dxa"/>
            <w:shd w:val="clear" w:color="auto" w:fill="auto"/>
          </w:tcPr>
          <w:p w:rsidR="003B6E11" w:rsidRPr="003B6E11" w:rsidRDefault="003B6E11" w:rsidP="002D015D">
            <w:pPr>
              <w:spacing w:before="60" w:after="60"/>
              <w:rPr>
                <w:noProof/>
                <w:sz w:val="18"/>
                <w:lang w:val="cs-CZ"/>
              </w:rPr>
            </w:pPr>
          </w:p>
        </w:tc>
        <w:tc>
          <w:tcPr>
            <w:tcW w:w="1639" w:type="dxa"/>
            <w:shd w:val="clear" w:color="auto" w:fill="auto"/>
          </w:tcPr>
          <w:p w:rsidR="003B6E11" w:rsidRPr="003B6E11" w:rsidRDefault="003B6E11" w:rsidP="002D015D">
            <w:pPr>
              <w:spacing w:before="60" w:after="60"/>
              <w:rPr>
                <w:noProof/>
                <w:sz w:val="18"/>
                <w:lang w:val="cs-CZ"/>
              </w:rPr>
            </w:pPr>
          </w:p>
        </w:tc>
      </w:tr>
    </w:tbl>
    <w:p w:rsidR="003B6E11" w:rsidRPr="003B6E11" w:rsidRDefault="003B6E11" w:rsidP="003B6E11">
      <w:pPr>
        <w:spacing w:line="240" w:lineRule="atLeast"/>
        <w:ind w:left="709" w:hanging="709"/>
        <w:rPr>
          <w:rFonts w:cs="Arial"/>
          <w:noProof/>
          <w:color w:val="000000"/>
          <w:lang w:val="cs-CZ"/>
        </w:rPr>
      </w:pPr>
    </w:p>
    <w:p w:rsidR="003B6E11" w:rsidRPr="003B6E11" w:rsidRDefault="003B6E11" w:rsidP="003B6E11">
      <w:pPr>
        <w:spacing w:line="240" w:lineRule="atLeast"/>
        <w:ind w:left="709" w:hanging="709"/>
        <w:rPr>
          <w:rFonts w:cs="Arial"/>
          <w:noProof/>
          <w:color w:val="000000"/>
          <w:lang w:val="cs-CZ"/>
        </w:rPr>
      </w:pPr>
      <w:r w:rsidRPr="003B6E11">
        <w:rPr>
          <w:noProof/>
          <w:color w:val="000000"/>
          <w:lang w:val="cs-CZ"/>
        </w:rPr>
        <w:t>1.3.2</w:t>
      </w:r>
      <w:r w:rsidRPr="003B6E11">
        <w:rPr>
          <w:lang w:val="cs-CZ"/>
        </w:rPr>
        <w:tab/>
      </w:r>
      <w:r w:rsidRPr="003B6E11">
        <w:rPr>
          <w:noProof/>
          <w:color w:val="000000"/>
          <w:lang w:val="cs-CZ"/>
        </w:rPr>
        <w:t>Při odběru vzorků je nutno zaznamenat následující provozní parametry (jsou-li k dispozici):</w:t>
      </w:r>
    </w:p>
    <w:p w:rsidR="003B6E11" w:rsidRPr="003B6E11" w:rsidRDefault="003B6E11" w:rsidP="003B6E11">
      <w:pPr>
        <w:spacing w:line="240" w:lineRule="atLeast"/>
        <w:ind w:left="709" w:hanging="709"/>
        <w:rPr>
          <w:rFonts w:cs="Arial"/>
          <w:noProof/>
          <w:color w:val="000000"/>
          <w:lang w:val="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417"/>
      </w:tblGrid>
      <w:tr w:rsidR="003B6E11" w:rsidRPr="003B6E11" w:rsidTr="002D015D">
        <w:trPr>
          <w:jc w:val="center"/>
        </w:trPr>
        <w:tc>
          <w:tcPr>
            <w:tcW w:w="5103" w:type="dxa"/>
            <w:shd w:val="clear" w:color="auto" w:fill="auto"/>
          </w:tcPr>
          <w:p w:rsidR="003B6E11" w:rsidRPr="003B6E11" w:rsidRDefault="003B6E11" w:rsidP="002D015D">
            <w:pPr>
              <w:spacing w:before="60" w:after="60" w:line="240" w:lineRule="atLeast"/>
              <w:rPr>
                <w:rFonts w:cs="Arial"/>
                <w:noProof/>
                <w:color w:val="000000"/>
                <w:sz w:val="18"/>
                <w:lang w:val="cs-CZ"/>
              </w:rPr>
            </w:pPr>
            <w:r w:rsidRPr="003B6E11">
              <w:rPr>
                <w:noProof/>
                <w:color w:val="000000"/>
                <w:sz w:val="18"/>
                <w:lang w:val="cs-CZ"/>
              </w:rPr>
              <w:t>Koncentrace rozpuštěného kyslíku v bioreaktoru</w:t>
            </w:r>
          </w:p>
        </w:tc>
        <w:tc>
          <w:tcPr>
            <w:tcW w:w="1417" w:type="dxa"/>
            <w:shd w:val="clear" w:color="auto" w:fill="auto"/>
          </w:tcPr>
          <w:p w:rsidR="003B6E11" w:rsidRPr="003B6E11" w:rsidRDefault="003B6E11" w:rsidP="002D015D">
            <w:pPr>
              <w:spacing w:before="60" w:after="60" w:line="240" w:lineRule="atLeast"/>
              <w:rPr>
                <w:rFonts w:cs="Arial"/>
                <w:noProof/>
                <w:color w:val="000000"/>
                <w:sz w:val="18"/>
                <w:lang w:val="cs-CZ"/>
              </w:rPr>
            </w:pPr>
          </w:p>
        </w:tc>
      </w:tr>
      <w:tr w:rsidR="003B6E11" w:rsidRPr="003B6E11" w:rsidTr="002D015D">
        <w:trPr>
          <w:jc w:val="center"/>
        </w:trPr>
        <w:tc>
          <w:tcPr>
            <w:tcW w:w="5103" w:type="dxa"/>
            <w:shd w:val="clear" w:color="auto" w:fill="auto"/>
          </w:tcPr>
          <w:p w:rsidR="003B6E11" w:rsidRPr="003B6E11" w:rsidRDefault="003B6E11" w:rsidP="002D015D">
            <w:pPr>
              <w:spacing w:before="60" w:after="60" w:line="240" w:lineRule="atLeast"/>
              <w:rPr>
                <w:rFonts w:cs="Arial"/>
                <w:noProof/>
                <w:color w:val="000000"/>
                <w:sz w:val="18"/>
                <w:lang w:val="cs-CZ"/>
              </w:rPr>
            </w:pPr>
            <w:r w:rsidRPr="003B6E11">
              <w:rPr>
                <w:noProof/>
                <w:color w:val="000000"/>
                <w:sz w:val="18"/>
                <w:lang w:val="cs-CZ"/>
              </w:rPr>
              <w:t>Obsah sušiny v bioreaktoru</w:t>
            </w:r>
          </w:p>
        </w:tc>
        <w:tc>
          <w:tcPr>
            <w:tcW w:w="1417" w:type="dxa"/>
            <w:shd w:val="clear" w:color="auto" w:fill="auto"/>
          </w:tcPr>
          <w:p w:rsidR="003B6E11" w:rsidRPr="003B6E11" w:rsidRDefault="003B6E11" w:rsidP="002D015D">
            <w:pPr>
              <w:spacing w:before="60" w:after="60" w:line="240" w:lineRule="atLeast"/>
              <w:rPr>
                <w:rFonts w:cs="Arial"/>
                <w:noProof/>
                <w:color w:val="000000"/>
                <w:sz w:val="18"/>
                <w:lang w:val="cs-CZ"/>
              </w:rPr>
            </w:pPr>
          </w:p>
        </w:tc>
      </w:tr>
      <w:tr w:rsidR="003B6E11" w:rsidRPr="003B6E11" w:rsidTr="002D015D">
        <w:trPr>
          <w:jc w:val="center"/>
        </w:trPr>
        <w:tc>
          <w:tcPr>
            <w:tcW w:w="5103" w:type="dxa"/>
            <w:shd w:val="clear" w:color="auto" w:fill="auto"/>
          </w:tcPr>
          <w:p w:rsidR="003B6E11" w:rsidRPr="003B6E11" w:rsidRDefault="003B6E11" w:rsidP="002D015D">
            <w:pPr>
              <w:spacing w:before="60" w:after="60" w:line="240" w:lineRule="atLeast"/>
              <w:rPr>
                <w:rFonts w:cs="Arial"/>
                <w:noProof/>
                <w:color w:val="000000"/>
                <w:sz w:val="18"/>
                <w:lang w:val="cs-CZ"/>
              </w:rPr>
            </w:pPr>
            <w:r w:rsidRPr="003B6E11">
              <w:rPr>
                <w:noProof/>
                <w:color w:val="000000"/>
                <w:sz w:val="18"/>
                <w:lang w:val="cs-CZ"/>
              </w:rPr>
              <w:t>Teplota v bioreaktoru</w:t>
            </w:r>
          </w:p>
        </w:tc>
        <w:tc>
          <w:tcPr>
            <w:tcW w:w="1417" w:type="dxa"/>
            <w:shd w:val="clear" w:color="auto" w:fill="auto"/>
          </w:tcPr>
          <w:p w:rsidR="003B6E11" w:rsidRPr="003B6E11" w:rsidRDefault="003B6E11" w:rsidP="002D015D">
            <w:pPr>
              <w:spacing w:before="60" w:after="60" w:line="240" w:lineRule="atLeast"/>
              <w:rPr>
                <w:rFonts w:cs="Arial"/>
                <w:noProof/>
                <w:color w:val="000000"/>
                <w:sz w:val="18"/>
                <w:lang w:val="cs-CZ"/>
              </w:rPr>
            </w:pPr>
          </w:p>
        </w:tc>
      </w:tr>
      <w:tr w:rsidR="003B6E11" w:rsidRPr="003B6E11" w:rsidTr="002D015D">
        <w:trPr>
          <w:jc w:val="center"/>
        </w:trPr>
        <w:tc>
          <w:tcPr>
            <w:tcW w:w="5103" w:type="dxa"/>
            <w:shd w:val="clear" w:color="auto" w:fill="auto"/>
          </w:tcPr>
          <w:p w:rsidR="003B6E11" w:rsidRPr="003B6E11" w:rsidRDefault="003B6E11" w:rsidP="002D015D">
            <w:pPr>
              <w:spacing w:before="60" w:after="60" w:line="240" w:lineRule="atLeast"/>
              <w:rPr>
                <w:rFonts w:cs="Arial"/>
                <w:noProof/>
                <w:color w:val="000000"/>
                <w:sz w:val="18"/>
                <w:lang w:val="cs-CZ"/>
              </w:rPr>
            </w:pPr>
            <w:r w:rsidRPr="003B6E11">
              <w:rPr>
                <w:noProof/>
                <w:color w:val="000000"/>
                <w:sz w:val="18"/>
                <w:lang w:val="cs-CZ"/>
              </w:rPr>
              <w:t>Teplota okolí</w:t>
            </w:r>
          </w:p>
        </w:tc>
        <w:tc>
          <w:tcPr>
            <w:tcW w:w="1417" w:type="dxa"/>
            <w:shd w:val="clear" w:color="auto" w:fill="auto"/>
          </w:tcPr>
          <w:p w:rsidR="003B6E11" w:rsidRPr="003B6E11" w:rsidRDefault="003B6E11" w:rsidP="002D015D">
            <w:pPr>
              <w:spacing w:before="60" w:after="60" w:line="240" w:lineRule="atLeast"/>
              <w:rPr>
                <w:rFonts w:cs="Arial"/>
                <w:noProof/>
                <w:color w:val="000000"/>
                <w:sz w:val="18"/>
                <w:lang w:val="cs-CZ"/>
              </w:rPr>
            </w:pPr>
          </w:p>
        </w:tc>
      </w:tr>
    </w:tbl>
    <w:p w:rsidR="003B6E11" w:rsidRPr="003B6E11" w:rsidRDefault="003B6E11" w:rsidP="003B6E11">
      <w:pPr>
        <w:spacing w:line="240" w:lineRule="atLeast"/>
        <w:ind w:left="709" w:hanging="709"/>
        <w:rPr>
          <w:rFonts w:cs="Arial"/>
          <w:noProof/>
          <w:color w:val="000000"/>
          <w:lang w:val="cs-CZ"/>
        </w:rPr>
      </w:pPr>
    </w:p>
    <w:p w:rsidR="003B6E11" w:rsidRPr="003B6E11" w:rsidRDefault="003B6E11" w:rsidP="003B6E11">
      <w:pPr>
        <w:spacing w:line="240" w:lineRule="atLeast"/>
        <w:ind w:left="709" w:hanging="709"/>
        <w:rPr>
          <w:rFonts w:cs="Arial"/>
          <w:noProof/>
          <w:color w:val="000000"/>
          <w:lang w:val="cs-CZ"/>
        </w:rPr>
      </w:pPr>
      <w:r w:rsidRPr="003B6E11">
        <w:rPr>
          <w:noProof/>
          <w:color w:val="000000"/>
          <w:lang w:val="cs-CZ"/>
        </w:rPr>
        <w:t>1.3.3</w:t>
      </w:r>
      <w:r w:rsidRPr="003B6E11">
        <w:rPr>
          <w:lang w:val="cs-CZ"/>
        </w:rPr>
        <w:tab/>
      </w:r>
      <w:r w:rsidRPr="003B6E11">
        <w:rPr>
          <w:noProof/>
          <w:color w:val="000000"/>
          <w:lang w:val="cs-CZ"/>
        </w:rPr>
        <w:t>Další provozní parametry podle návodu výrobce k obsluze</w:t>
      </w:r>
    </w:p>
    <w:p w:rsidR="003B6E11" w:rsidRPr="003B6E11" w:rsidRDefault="003B6E11" w:rsidP="003B6E11">
      <w:pPr>
        <w:tabs>
          <w:tab w:val="left" w:leader="dot" w:pos="9072"/>
        </w:tabs>
        <w:spacing w:before="60" w:line="240" w:lineRule="atLeast"/>
        <w:ind w:left="709"/>
        <w:rPr>
          <w:rFonts w:cs="Arial"/>
          <w:noProof/>
          <w:color w:val="000000"/>
          <w:lang w:val="cs-CZ"/>
        </w:rPr>
      </w:pPr>
      <w:r w:rsidRPr="003B6E11">
        <w:rPr>
          <w:lang w:val="cs-CZ"/>
        </w:rPr>
        <w:tab/>
      </w:r>
    </w:p>
    <w:p w:rsidR="003B6E11" w:rsidRPr="003B6E11" w:rsidRDefault="003B6E11" w:rsidP="003B6E11">
      <w:pPr>
        <w:tabs>
          <w:tab w:val="left" w:leader="dot" w:pos="9072"/>
        </w:tabs>
        <w:spacing w:before="60" w:line="240" w:lineRule="atLeast"/>
        <w:ind w:left="709"/>
        <w:rPr>
          <w:rFonts w:cs="Arial"/>
          <w:noProof/>
          <w:color w:val="000000"/>
          <w:lang w:val="cs-CZ"/>
        </w:rPr>
      </w:pPr>
      <w:r w:rsidRPr="003B6E11">
        <w:rPr>
          <w:lang w:val="cs-CZ"/>
        </w:rPr>
        <w:tab/>
      </w:r>
    </w:p>
    <w:p w:rsidR="003B6E11" w:rsidRPr="003B6E11" w:rsidRDefault="003B6E11" w:rsidP="003B6E11">
      <w:pPr>
        <w:tabs>
          <w:tab w:val="left" w:leader="dot" w:pos="9072"/>
        </w:tabs>
        <w:spacing w:before="60" w:line="240" w:lineRule="atLeast"/>
        <w:ind w:left="709"/>
        <w:rPr>
          <w:rFonts w:cs="Arial"/>
          <w:noProof/>
          <w:color w:val="000000"/>
          <w:lang w:val="cs-CZ"/>
        </w:rPr>
      </w:pPr>
      <w:r w:rsidRPr="003B6E11">
        <w:rPr>
          <w:lang w:val="cs-CZ"/>
        </w:rPr>
        <w:tab/>
      </w:r>
    </w:p>
    <w:p w:rsidR="003B6E11" w:rsidRPr="003B6E11" w:rsidRDefault="003B6E11" w:rsidP="003B6E11">
      <w:pPr>
        <w:tabs>
          <w:tab w:val="left" w:leader="dot" w:pos="9072"/>
        </w:tabs>
        <w:spacing w:before="60" w:line="240" w:lineRule="atLeast"/>
        <w:ind w:left="709"/>
        <w:rPr>
          <w:rFonts w:cs="Arial"/>
          <w:noProof/>
          <w:color w:val="000000"/>
          <w:lang w:val="cs-CZ"/>
        </w:rPr>
      </w:pPr>
      <w:r w:rsidRPr="003B6E11">
        <w:rPr>
          <w:lang w:val="cs-CZ"/>
        </w:rPr>
        <w:tab/>
      </w:r>
    </w:p>
    <w:p w:rsidR="003B6E11" w:rsidRPr="003B6E11" w:rsidRDefault="003B6E11" w:rsidP="003B6E11">
      <w:pPr>
        <w:spacing w:line="240" w:lineRule="atLeast"/>
        <w:ind w:left="709" w:hanging="709"/>
        <w:rPr>
          <w:rFonts w:cs="Arial"/>
          <w:noProof/>
          <w:color w:val="000000"/>
          <w:lang w:val="cs-CZ"/>
        </w:rPr>
      </w:pPr>
    </w:p>
    <w:p w:rsidR="003B6E11" w:rsidRPr="003B6E11" w:rsidRDefault="003B6E11" w:rsidP="003B6E11">
      <w:pPr>
        <w:spacing w:line="240" w:lineRule="atLeast"/>
        <w:ind w:left="709" w:hanging="709"/>
        <w:rPr>
          <w:rFonts w:cs="Arial"/>
          <w:noProof/>
          <w:color w:val="000000"/>
          <w:lang w:val="cs-CZ"/>
        </w:rPr>
      </w:pPr>
      <w:r w:rsidRPr="003B6E11">
        <w:rPr>
          <w:noProof/>
          <w:color w:val="000000"/>
          <w:lang w:val="cs-CZ"/>
        </w:rPr>
        <w:t>1.4</w:t>
      </w:r>
      <w:r w:rsidRPr="003B6E11">
        <w:rPr>
          <w:lang w:val="cs-CZ"/>
        </w:rPr>
        <w:tab/>
      </w:r>
      <w:r w:rsidRPr="003B6E11">
        <w:rPr>
          <w:noProof/>
          <w:color w:val="000000"/>
          <w:lang w:val="cs-CZ"/>
        </w:rPr>
        <w:t>Příslušný orgán nebo technická zkušebna:</w:t>
      </w:r>
    </w:p>
    <w:p w:rsidR="003B6E11" w:rsidRPr="003B6E11" w:rsidRDefault="003B6E11" w:rsidP="003B6E11">
      <w:pPr>
        <w:spacing w:line="240" w:lineRule="atLeast"/>
        <w:ind w:left="709" w:hanging="709"/>
        <w:rPr>
          <w:rFonts w:cs="Arial"/>
          <w:noProof/>
          <w:color w:val="000000"/>
          <w:lang w:val="cs-CZ"/>
        </w:rPr>
      </w:pPr>
    </w:p>
    <w:p w:rsidR="003B6E11" w:rsidRPr="003B6E11" w:rsidRDefault="003B6E11" w:rsidP="003B6E11">
      <w:pPr>
        <w:spacing w:line="240" w:lineRule="atLeast"/>
        <w:ind w:left="709" w:hanging="709"/>
        <w:rPr>
          <w:rFonts w:cs="Arial"/>
          <w:noProof/>
          <w:color w:val="000000"/>
          <w:lang w:val="cs-CZ"/>
        </w:rPr>
      </w:pPr>
    </w:p>
    <w:p w:rsidR="003B6E11" w:rsidRPr="003B6E11" w:rsidRDefault="003B6E11" w:rsidP="003B6E11">
      <w:pPr>
        <w:tabs>
          <w:tab w:val="left" w:leader="dot" w:pos="3828"/>
          <w:tab w:val="left" w:pos="4111"/>
          <w:tab w:val="left" w:leader="dot" w:pos="9072"/>
        </w:tabs>
        <w:spacing w:line="240" w:lineRule="atLeast"/>
        <w:rPr>
          <w:rFonts w:cs="Arial"/>
          <w:noProof/>
          <w:color w:val="000000"/>
          <w:lang w:val="cs-CZ"/>
        </w:rPr>
      </w:pPr>
      <w:r w:rsidRPr="003B6E11">
        <w:rPr>
          <w:noProof/>
          <w:color w:val="000000"/>
          <w:lang w:val="cs-CZ"/>
        </w:rPr>
        <w:t xml:space="preserve">Místo, datum: </w:t>
      </w:r>
      <w:r w:rsidRPr="003B6E11">
        <w:rPr>
          <w:lang w:val="cs-CZ"/>
        </w:rPr>
        <w:tab/>
      </w:r>
      <w:r w:rsidRPr="003B6E11">
        <w:rPr>
          <w:lang w:val="cs-CZ"/>
        </w:rPr>
        <w:tab/>
      </w:r>
      <w:r w:rsidRPr="003B6E11">
        <w:rPr>
          <w:noProof/>
          <w:color w:val="000000"/>
          <w:lang w:val="cs-CZ"/>
        </w:rPr>
        <w:t xml:space="preserve">Podpis: </w:t>
      </w:r>
      <w:r w:rsidRPr="003B6E11">
        <w:rPr>
          <w:lang w:val="cs-CZ"/>
        </w:rPr>
        <w:tab/>
      </w:r>
    </w:p>
    <w:p w:rsidR="003B6E11" w:rsidRPr="003B6E11" w:rsidRDefault="003B6E11" w:rsidP="003B6E11">
      <w:pPr>
        <w:spacing w:line="240" w:lineRule="atLeast"/>
        <w:ind w:left="709" w:hanging="709"/>
        <w:rPr>
          <w:rFonts w:cs="Arial"/>
          <w:noProof/>
          <w:color w:val="000000"/>
          <w:lang w:val="cs-CZ"/>
        </w:rPr>
      </w:pPr>
    </w:p>
    <w:p w:rsidR="003B6E11" w:rsidRPr="003B6E11" w:rsidRDefault="003B6E11" w:rsidP="003B6E11">
      <w:pPr>
        <w:spacing w:line="240" w:lineRule="atLeast"/>
        <w:ind w:left="709" w:hanging="709"/>
        <w:rPr>
          <w:rFonts w:cs="Arial"/>
          <w:noProof/>
          <w:color w:val="000000"/>
          <w:lang w:val="cs-CZ"/>
        </w:rPr>
      </w:pPr>
    </w:p>
    <w:p w:rsidR="003B6E11" w:rsidRPr="003B6E11" w:rsidRDefault="003B6E11" w:rsidP="003B6E11">
      <w:pPr>
        <w:spacing w:line="240" w:lineRule="atLeast"/>
        <w:ind w:left="709" w:hanging="709"/>
        <w:rPr>
          <w:rFonts w:cs="Arial"/>
          <w:noProof/>
          <w:color w:val="000000"/>
          <w:lang w:val="cs-CZ"/>
        </w:rPr>
      </w:pPr>
    </w:p>
    <w:p w:rsidR="003B6E11" w:rsidRPr="003B6E11" w:rsidRDefault="003B6E11" w:rsidP="003B6E11">
      <w:pPr>
        <w:spacing w:line="240" w:lineRule="atLeast"/>
        <w:ind w:left="709" w:hanging="709"/>
        <w:rPr>
          <w:rFonts w:cs="Arial"/>
          <w:noProof/>
          <w:color w:val="000000"/>
          <w:lang w:val="cs-CZ"/>
        </w:rPr>
      </w:pPr>
      <w:r w:rsidRPr="003B6E11">
        <w:rPr>
          <w:lang w:val="cs-CZ"/>
        </w:rPr>
        <w:br w:type="page"/>
      </w:r>
    </w:p>
    <w:p w:rsidR="003B6E11" w:rsidRPr="003B6E11" w:rsidRDefault="003B6E11" w:rsidP="003B6E11">
      <w:pPr>
        <w:spacing w:line="240" w:lineRule="atLeast"/>
        <w:ind w:left="709" w:hanging="709"/>
        <w:rPr>
          <w:rFonts w:cs="Arial"/>
          <w:noProof/>
          <w:color w:val="000000"/>
          <w:lang w:val="cs-CZ"/>
        </w:rPr>
      </w:pPr>
    </w:p>
    <w:p w:rsidR="003B6E11" w:rsidRPr="003B6E11" w:rsidRDefault="003B6E11" w:rsidP="003B6E11">
      <w:pPr>
        <w:spacing w:line="240" w:lineRule="atLeast"/>
        <w:ind w:left="709" w:hanging="709"/>
        <w:rPr>
          <w:rFonts w:cs="Arial"/>
          <w:noProof/>
          <w:color w:val="000000"/>
          <w:lang w:val="cs-CZ"/>
        </w:rPr>
      </w:pPr>
    </w:p>
    <w:p w:rsidR="003B6E11" w:rsidRPr="003B6E11" w:rsidRDefault="003B6E11" w:rsidP="003B6E11">
      <w:pPr>
        <w:spacing w:line="240" w:lineRule="atLeast"/>
        <w:ind w:left="709" w:hanging="709"/>
        <w:rPr>
          <w:rFonts w:cs="Arial"/>
          <w:noProof/>
          <w:color w:val="000000"/>
          <w:lang w:val="cs-CZ"/>
        </w:rPr>
      </w:pPr>
    </w:p>
    <w:p w:rsidR="003B6E11" w:rsidRPr="003B6E11" w:rsidRDefault="003B6E11" w:rsidP="003B6E11">
      <w:pPr>
        <w:spacing w:line="240" w:lineRule="atLeast"/>
        <w:rPr>
          <w:rFonts w:cs="Arial"/>
          <w:color w:val="000000"/>
          <w:lang w:val="cs-CZ"/>
        </w:rPr>
      </w:pPr>
      <w:r w:rsidRPr="003B6E11">
        <w:rPr>
          <w:lang w:val="cs-CZ"/>
        </w:rPr>
        <w:br w:type="page"/>
      </w:r>
    </w:p>
    <w:p w:rsidR="003B6E11" w:rsidRPr="003B6E11" w:rsidRDefault="003B6E11" w:rsidP="003B6E11">
      <w:pPr>
        <w:pStyle w:val="ES-Titre3"/>
        <w:rPr>
          <w:noProof/>
          <w:lang w:val="cs-CZ"/>
        </w:rPr>
      </w:pPr>
      <w:bookmarkStart w:id="694" w:name="_Toc491854330"/>
      <w:bookmarkStart w:id="695" w:name="_Toc535417236"/>
      <w:r w:rsidRPr="003B6E11">
        <w:rPr>
          <w:lang w:val="cs-CZ"/>
        </w:rPr>
        <w:t>Oddíl IV</w:t>
      </w:r>
      <w:bookmarkEnd w:id="694"/>
      <w:bookmarkEnd w:id="695"/>
    </w:p>
    <w:p w:rsidR="003B6E11" w:rsidRPr="003B6E11" w:rsidRDefault="003B6E11" w:rsidP="003B6E11">
      <w:pPr>
        <w:pStyle w:val="ES-Titre3a"/>
        <w:rPr>
          <w:noProof/>
          <w:lang w:val="cs-CZ"/>
        </w:rPr>
      </w:pPr>
      <w:bookmarkStart w:id="696" w:name="_Toc491854331"/>
      <w:bookmarkStart w:id="697" w:name="_Toc535417237"/>
      <w:r w:rsidRPr="003B6E11">
        <w:rPr>
          <w:lang w:val="cs-CZ"/>
        </w:rPr>
        <w:t>Systém číslování schválení typu</w:t>
      </w:r>
      <w:bookmarkEnd w:id="696"/>
      <w:bookmarkEnd w:id="697"/>
    </w:p>
    <w:p w:rsidR="003B6E11" w:rsidRPr="003B6E11" w:rsidRDefault="003B6E11" w:rsidP="003B6E11">
      <w:pPr>
        <w:overflowPunct w:val="0"/>
        <w:adjustRightInd w:val="0"/>
        <w:spacing w:line="240" w:lineRule="exact"/>
        <w:jc w:val="center"/>
        <w:textAlignment w:val="baseline"/>
        <w:rPr>
          <w:rFonts w:eastAsia="Calibri"/>
          <w:lang w:val="cs-CZ"/>
        </w:rPr>
      </w:pPr>
      <w:r w:rsidRPr="003B6E11">
        <w:rPr>
          <w:lang w:val="cs-CZ"/>
        </w:rPr>
        <w:t>(Vzor)</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1.</w:t>
      </w:r>
      <w:r w:rsidRPr="003B6E11">
        <w:rPr>
          <w:lang w:val="cs-CZ"/>
        </w:rPr>
        <w:tab/>
      </w:r>
      <w:r w:rsidRPr="003B6E11">
        <w:rPr>
          <w:color w:val="000000"/>
          <w:lang w:val="cs-CZ"/>
        </w:rPr>
        <w:t>Systém</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ind w:left="426"/>
        <w:rPr>
          <w:lang w:val="cs-CZ"/>
        </w:rPr>
      </w:pPr>
      <w:r w:rsidRPr="003B6E11">
        <w:rPr>
          <w:lang w:val="cs-CZ"/>
        </w:rPr>
        <w:t>Číslo se skládá ze čtyř částí, které jsou odděleny znakem „*“.</w:t>
      </w:r>
    </w:p>
    <w:p w:rsidR="003B6E11" w:rsidRPr="003B6E11" w:rsidRDefault="003B6E11" w:rsidP="003B6E11">
      <w:pPr>
        <w:spacing w:line="240" w:lineRule="atLeast"/>
        <w:ind w:left="426"/>
        <w:rPr>
          <w:lang w:val="cs-CZ"/>
        </w:rPr>
      </w:pPr>
    </w:p>
    <w:p w:rsidR="003B6E11" w:rsidRPr="003B6E11" w:rsidRDefault="003B6E11" w:rsidP="003B6E11">
      <w:pPr>
        <w:spacing w:line="240" w:lineRule="atLeast"/>
        <w:ind w:left="1560" w:hanging="1134"/>
        <w:rPr>
          <w:lang w:val="cs-CZ"/>
        </w:rPr>
      </w:pPr>
      <w:r w:rsidRPr="003B6E11">
        <w:rPr>
          <w:lang w:val="cs-CZ"/>
        </w:rPr>
        <w:t>Část 1:</w:t>
      </w:r>
      <w:r w:rsidRPr="003B6E11">
        <w:rPr>
          <w:lang w:val="cs-CZ"/>
        </w:rPr>
        <w:tab/>
        <w:t>Malé písmeno „e“ pro EU, nebo písmeno „R“, za nímž následuje rozlišovací číslo státu, který udělil schválení typu:</w:t>
      </w:r>
    </w:p>
    <w:p w:rsidR="003B6E11" w:rsidRPr="003B6E11" w:rsidRDefault="003B6E11" w:rsidP="003B6E11">
      <w:pPr>
        <w:ind w:left="850" w:hanging="850"/>
        <w:rPr>
          <w:noProof/>
          <w:lang w:val="cs-CZ"/>
        </w:rPr>
      </w:pPr>
    </w:p>
    <w:tbl>
      <w:tblPr>
        <w:tblW w:w="7587" w:type="dxa"/>
        <w:jc w:val="center"/>
        <w:tblLayout w:type="fixed"/>
        <w:tblLook w:val="0000" w:firstRow="0" w:lastRow="0" w:firstColumn="0" w:lastColumn="0" w:noHBand="0" w:noVBand="0"/>
      </w:tblPr>
      <w:tblGrid>
        <w:gridCol w:w="720"/>
        <w:gridCol w:w="360"/>
        <w:gridCol w:w="3162"/>
        <w:gridCol w:w="724"/>
        <w:gridCol w:w="416"/>
        <w:gridCol w:w="2205"/>
      </w:tblGrid>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01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Německo</w:t>
            </w:r>
          </w:p>
        </w:tc>
        <w:tc>
          <w:tcPr>
            <w:tcW w:w="724" w:type="dxa"/>
          </w:tcPr>
          <w:p w:rsidR="003B6E11" w:rsidRPr="003B6E11" w:rsidRDefault="003B6E11" w:rsidP="002D015D">
            <w:pPr>
              <w:spacing w:before="40" w:after="40" w:line="240" w:lineRule="atLeast"/>
              <w:rPr>
                <w:noProof/>
                <w:szCs w:val="20"/>
                <w:lang w:val="cs-CZ"/>
              </w:rPr>
            </w:pPr>
            <w:r w:rsidRPr="003B6E11">
              <w:rPr>
                <w:lang w:val="cs-CZ"/>
              </w:rPr>
              <w:t>19</w:t>
            </w:r>
          </w:p>
        </w:tc>
        <w:tc>
          <w:tcPr>
            <w:tcW w:w="416" w:type="dxa"/>
          </w:tcPr>
          <w:p w:rsidR="003B6E11" w:rsidRPr="003B6E11" w:rsidRDefault="003B6E11" w:rsidP="002D015D">
            <w:pPr>
              <w:spacing w:before="40" w:after="40" w:line="240" w:lineRule="atLeast"/>
              <w:rPr>
                <w:noProof/>
                <w:szCs w:val="20"/>
                <w:lang w:val="cs-CZ"/>
              </w:rPr>
            </w:pPr>
            <w:r w:rsidRPr="003B6E11">
              <w:rPr>
                <w:lang w:val="cs-CZ"/>
              </w:rPr>
              <w:t>=</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Rumunsko</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02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 xml:space="preserve">Francie </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20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 xml:space="preserve">Polsko </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03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Itálie</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21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 xml:space="preserve">Portugalsko </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04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 xml:space="preserve">Nizozemsko </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23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Řecko</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05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Švédsko</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24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Irsko</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06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 xml:space="preserve">Belgie </w:t>
            </w:r>
          </w:p>
        </w:tc>
        <w:tc>
          <w:tcPr>
            <w:tcW w:w="724" w:type="dxa"/>
            <w:vAlign w:val="center"/>
          </w:tcPr>
          <w:p w:rsidR="003B6E11" w:rsidRPr="003B6E11" w:rsidRDefault="003B6E11" w:rsidP="002D015D">
            <w:pPr>
              <w:spacing w:before="40" w:after="40" w:line="240" w:lineRule="atLeast"/>
              <w:rPr>
                <w:noProof/>
                <w:szCs w:val="20"/>
                <w:lang w:val="cs-CZ"/>
              </w:rPr>
            </w:pPr>
            <w:r w:rsidRPr="003B6E11">
              <w:rPr>
                <w:color w:val="000000"/>
                <w:lang w:val="cs-CZ"/>
              </w:rPr>
              <w:t>25</w:t>
            </w:r>
          </w:p>
        </w:tc>
        <w:tc>
          <w:tcPr>
            <w:tcW w:w="416" w:type="dxa"/>
            <w:vAlign w:val="center"/>
          </w:tcPr>
          <w:p w:rsidR="003B6E11" w:rsidRPr="003B6E11" w:rsidRDefault="003B6E11" w:rsidP="002D015D">
            <w:pPr>
              <w:spacing w:before="40" w:after="40" w:line="240" w:lineRule="atLeast"/>
              <w:rPr>
                <w:noProof/>
                <w:szCs w:val="20"/>
                <w:lang w:val="cs-CZ"/>
              </w:rPr>
            </w:pPr>
            <w:r w:rsidRPr="003B6E11">
              <w:rPr>
                <w:color w:val="000000"/>
                <w:lang w:val="cs-CZ"/>
              </w:rPr>
              <w:t>=</w:t>
            </w:r>
          </w:p>
        </w:tc>
        <w:tc>
          <w:tcPr>
            <w:tcW w:w="2205" w:type="dxa"/>
            <w:vAlign w:val="center"/>
          </w:tcPr>
          <w:p w:rsidR="003B6E11" w:rsidRPr="003B6E11" w:rsidRDefault="003B6E11" w:rsidP="002D015D">
            <w:pPr>
              <w:spacing w:before="40" w:after="40" w:line="240" w:lineRule="atLeast"/>
              <w:rPr>
                <w:noProof/>
                <w:szCs w:val="20"/>
                <w:lang w:val="cs-CZ"/>
              </w:rPr>
            </w:pPr>
            <w:r w:rsidRPr="003B6E11">
              <w:rPr>
                <w:lang w:val="cs-CZ"/>
              </w:rPr>
              <w:t>Chorvatsko</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07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Maďarsko</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26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Slovinsko</w:t>
            </w:r>
          </w:p>
        </w:tc>
      </w:tr>
      <w:tr w:rsidR="003B6E11" w:rsidRPr="003B6E11" w:rsidTr="002D015D">
        <w:trPr>
          <w:jc w:val="center"/>
        </w:trPr>
        <w:tc>
          <w:tcPr>
            <w:tcW w:w="720" w:type="dxa"/>
          </w:tcPr>
          <w:p w:rsidR="003B6E11" w:rsidRPr="003B6E11" w:rsidRDefault="003B6E11" w:rsidP="002D015D">
            <w:pPr>
              <w:spacing w:before="40" w:after="160" w:line="240" w:lineRule="atLeast"/>
              <w:rPr>
                <w:noProof/>
                <w:szCs w:val="20"/>
                <w:lang w:val="cs-CZ"/>
              </w:rPr>
            </w:pPr>
            <w:r w:rsidRPr="003B6E11">
              <w:rPr>
                <w:lang w:val="cs-CZ"/>
              </w:rPr>
              <w:t xml:space="preserve">08 </w:t>
            </w:r>
          </w:p>
        </w:tc>
        <w:tc>
          <w:tcPr>
            <w:tcW w:w="360" w:type="dxa"/>
          </w:tcPr>
          <w:p w:rsidR="003B6E11" w:rsidRPr="003B6E11" w:rsidRDefault="003B6E11" w:rsidP="002D015D">
            <w:pPr>
              <w:spacing w:before="40" w:after="16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160" w:line="240" w:lineRule="atLeast"/>
              <w:rPr>
                <w:noProof/>
                <w:szCs w:val="20"/>
                <w:lang w:val="cs-CZ"/>
              </w:rPr>
            </w:pPr>
            <w:r w:rsidRPr="003B6E11">
              <w:rPr>
                <w:lang w:val="cs-CZ"/>
              </w:rPr>
              <w:t>Česká republika</w:t>
            </w:r>
          </w:p>
        </w:tc>
        <w:tc>
          <w:tcPr>
            <w:tcW w:w="724" w:type="dxa"/>
          </w:tcPr>
          <w:p w:rsidR="003B6E11" w:rsidRPr="003B6E11" w:rsidRDefault="003B6E11" w:rsidP="002D015D">
            <w:pPr>
              <w:spacing w:before="40" w:after="160" w:line="240" w:lineRule="atLeast"/>
              <w:rPr>
                <w:noProof/>
                <w:szCs w:val="20"/>
                <w:lang w:val="cs-CZ"/>
              </w:rPr>
            </w:pPr>
            <w:r w:rsidRPr="003B6E11">
              <w:rPr>
                <w:lang w:val="cs-CZ"/>
              </w:rPr>
              <w:t xml:space="preserve">27 </w:t>
            </w:r>
          </w:p>
        </w:tc>
        <w:tc>
          <w:tcPr>
            <w:tcW w:w="416" w:type="dxa"/>
          </w:tcPr>
          <w:p w:rsidR="003B6E11" w:rsidRPr="003B6E11" w:rsidRDefault="003B6E11" w:rsidP="002D015D">
            <w:pPr>
              <w:spacing w:before="40" w:after="16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160" w:line="240" w:lineRule="atLeast"/>
              <w:rPr>
                <w:noProof/>
                <w:szCs w:val="20"/>
                <w:lang w:val="cs-CZ"/>
              </w:rPr>
            </w:pPr>
            <w:r w:rsidRPr="003B6E11">
              <w:rPr>
                <w:lang w:val="cs-CZ"/>
              </w:rPr>
              <w:t>Slovensko</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09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 xml:space="preserve">Španělsko </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29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Estonsko</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11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Spojené království</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32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Lotyšsko</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12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Rakousko</w:t>
            </w:r>
          </w:p>
        </w:tc>
        <w:tc>
          <w:tcPr>
            <w:tcW w:w="724" w:type="dxa"/>
          </w:tcPr>
          <w:p w:rsidR="003B6E11" w:rsidRPr="003B6E11" w:rsidRDefault="003B6E11" w:rsidP="002D015D">
            <w:pPr>
              <w:spacing w:before="40" w:after="40" w:line="240" w:lineRule="atLeast"/>
              <w:rPr>
                <w:noProof/>
                <w:szCs w:val="20"/>
                <w:lang w:val="cs-CZ"/>
              </w:rPr>
            </w:pPr>
            <w:r w:rsidRPr="003B6E11">
              <w:rPr>
                <w:lang w:val="cs-CZ"/>
              </w:rPr>
              <w:t>34</w:t>
            </w:r>
          </w:p>
        </w:tc>
        <w:tc>
          <w:tcPr>
            <w:tcW w:w="416" w:type="dxa"/>
          </w:tcPr>
          <w:p w:rsidR="003B6E11" w:rsidRPr="003B6E11" w:rsidRDefault="003B6E11" w:rsidP="002D015D">
            <w:pPr>
              <w:spacing w:before="40" w:after="40" w:line="240" w:lineRule="atLeast"/>
              <w:rPr>
                <w:noProof/>
                <w:szCs w:val="20"/>
                <w:lang w:val="cs-CZ"/>
              </w:rPr>
            </w:pPr>
            <w:r w:rsidRPr="003B6E11">
              <w:rPr>
                <w:lang w:val="cs-CZ"/>
              </w:rPr>
              <w:t>=</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Bulharsko</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13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 xml:space="preserve">Lucembursko </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36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Litva</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14</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Švýcarsko</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49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Kypr</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17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Finsko</w:t>
            </w:r>
          </w:p>
        </w:tc>
        <w:tc>
          <w:tcPr>
            <w:tcW w:w="724" w:type="dxa"/>
          </w:tcPr>
          <w:p w:rsidR="003B6E11" w:rsidRPr="003B6E11" w:rsidRDefault="003B6E11" w:rsidP="002D015D">
            <w:pPr>
              <w:spacing w:before="40" w:after="40" w:line="240" w:lineRule="atLeast"/>
              <w:rPr>
                <w:noProof/>
                <w:szCs w:val="20"/>
                <w:lang w:val="cs-CZ"/>
              </w:rPr>
            </w:pPr>
            <w:r w:rsidRPr="003B6E11">
              <w:rPr>
                <w:lang w:val="cs-CZ"/>
              </w:rPr>
              <w:t xml:space="preserve">50 </w:t>
            </w:r>
          </w:p>
        </w:tc>
        <w:tc>
          <w:tcPr>
            <w:tcW w:w="416"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2205" w:type="dxa"/>
          </w:tcPr>
          <w:p w:rsidR="003B6E11" w:rsidRPr="003B6E11" w:rsidRDefault="003B6E11" w:rsidP="002D015D">
            <w:pPr>
              <w:spacing w:before="40" w:after="40" w:line="240" w:lineRule="atLeast"/>
              <w:rPr>
                <w:noProof/>
                <w:szCs w:val="20"/>
                <w:lang w:val="cs-CZ"/>
              </w:rPr>
            </w:pPr>
            <w:r w:rsidRPr="003B6E11">
              <w:rPr>
                <w:lang w:val="cs-CZ"/>
              </w:rPr>
              <w:t>Malta</w:t>
            </w:r>
          </w:p>
        </w:tc>
      </w:tr>
      <w:tr w:rsidR="003B6E11" w:rsidRPr="003B6E11" w:rsidTr="002D015D">
        <w:trPr>
          <w:jc w:val="center"/>
        </w:trPr>
        <w:tc>
          <w:tcPr>
            <w:tcW w:w="720" w:type="dxa"/>
          </w:tcPr>
          <w:p w:rsidR="003B6E11" w:rsidRPr="003B6E11" w:rsidRDefault="003B6E11" w:rsidP="002D015D">
            <w:pPr>
              <w:spacing w:before="40" w:after="40" w:line="240" w:lineRule="atLeast"/>
              <w:rPr>
                <w:noProof/>
                <w:szCs w:val="20"/>
                <w:lang w:val="cs-CZ"/>
              </w:rPr>
            </w:pPr>
            <w:r w:rsidRPr="003B6E11">
              <w:rPr>
                <w:lang w:val="cs-CZ"/>
              </w:rPr>
              <w:t xml:space="preserve">18 </w:t>
            </w:r>
          </w:p>
        </w:tc>
        <w:tc>
          <w:tcPr>
            <w:tcW w:w="360" w:type="dxa"/>
          </w:tcPr>
          <w:p w:rsidR="003B6E11" w:rsidRPr="003B6E11" w:rsidRDefault="003B6E11" w:rsidP="002D015D">
            <w:pPr>
              <w:spacing w:before="40" w:after="40" w:line="240" w:lineRule="atLeast"/>
              <w:rPr>
                <w:noProof/>
                <w:szCs w:val="20"/>
                <w:lang w:val="cs-CZ"/>
              </w:rPr>
            </w:pPr>
            <w:r w:rsidRPr="003B6E11">
              <w:rPr>
                <w:lang w:val="cs-CZ"/>
              </w:rPr>
              <w:t xml:space="preserve">= </w:t>
            </w:r>
          </w:p>
        </w:tc>
        <w:tc>
          <w:tcPr>
            <w:tcW w:w="3162" w:type="dxa"/>
          </w:tcPr>
          <w:p w:rsidR="003B6E11" w:rsidRPr="003B6E11" w:rsidRDefault="003B6E11" w:rsidP="002D015D">
            <w:pPr>
              <w:spacing w:before="40" w:after="40" w:line="240" w:lineRule="atLeast"/>
              <w:rPr>
                <w:noProof/>
                <w:szCs w:val="20"/>
                <w:lang w:val="cs-CZ"/>
              </w:rPr>
            </w:pPr>
            <w:r w:rsidRPr="003B6E11">
              <w:rPr>
                <w:lang w:val="cs-CZ"/>
              </w:rPr>
              <w:t xml:space="preserve">Dánsko </w:t>
            </w:r>
          </w:p>
        </w:tc>
        <w:tc>
          <w:tcPr>
            <w:tcW w:w="724" w:type="dxa"/>
          </w:tcPr>
          <w:p w:rsidR="003B6E11" w:rsidRPr="003B6E11" w:rsidRDefault="003B6E11" w:rsidP="002D015D">
            <w:pPr>
              <w:spacing w:before="40" w:after="40" w:line="240" w:lineRule="atLeast"/>
              <w:rPr>
                <w:noProof/>
                <w:szCs w:val="20"/>
                <w:lang w:val="cs-CZ"/>
              </w:rPr>
            </w:pPr>
          </w:p>
        </w:tc>
        <w:tc>
          <w:tcPr>
            <w:tcW w:w="416" w:type="dxa"/>
          </w:tcPr>
          <w:p w:rsidR="003B6E11" w:rsidRPr="003B6E11" w:rsidRDefault="003B6E11" w:rsidP="002D015D">
            <w:pPr>
              <w:spacing w:before="40" w:after="40" w:line="240" w:lineRule="atLeast"/>
              <w:rPr>
                <w:noProof/>
                <w:szCs w:val="20"/>
                <w:lang w:val="cs-CZ"/>
              </w:rPr>
            </w:pPr>
          </w:p>
        </w:tc>
        <w:tc>
          <w:tcPr>
            <w:tcW w:w="2205" w:type="dxa"/>
          </w:tcPr>
          <w:p w:rsidR="003B6E11" w:rsidRPr="003B6E11" w:rsidRDefault="003B6E11" w:rsidP="002D015D">
            <w:pPr>
              <w:spacing w:before="40" w:after="40" w:line="240" w:lineRule="atLeast"/>
              <w:rPr>
                <w:noProof/>
                <w:szCs w:val="20"/>
                <w:lang w:val="cs-CZ"/>
              </w:rPr>
            </w:pPr>
          </w:p>
        </w:tc>
      </w:tr>
    </w:tbl>
    <w:p w:rsidR="003B6E11" w:rsidRPr="003B6E11" w:rsidRDefault="003B6E11" w:rsidP="003B6E11">
      <w:pPr>
        <w:ind w:left="850" w:hanging="850"/>
        <w:rPr>
          <w:noProof/>
          <w:lang w:val="cs-CZ"/>
        </w:rPr>
      </w:pPr>
    </w:p>
    <w:p w:rsidR="003B6E11" w:rsidRPr="003B6E11" w:rsidRDefault="003B6E11" w:rsidP="003B6E11">
      <w:pPr>
        <w:ind w:left="850" w:hanging="850"/>
        <w:rPr>
          <w:noProof/>
          <w:lang w:val="cs-CZ"/>
        </w:rPr>
      </w:pPr>
    </w:p>
    <w:p w:rsidR="003B6E11" w:rsidRPr="003B6E11" w:rsidRDefault="003B6E11" w:rsidP="003B6E11">
      <w:pPr>
        <w:spacing w:line="240" w:lineRule="atLeast"/>
        <w:ind w:left="1560" w:hanging="1134"/>
        <w:rPr>
          <w:noProof/>
          <w:lang w:val="cs-CZ"/>
        </w:rPr>
      </w:pPr>
      <w:r w:rsidRPr="003B6E11">
        <w:rPr>
          <w:lang w:val="cs-CZ"/>
        </w:rPr>
        <w:t>Část 2:</w:t>
      </w:r>
      <w:r w:rsidRPr="003B6E11">
        <w:rPr>
          <w:lang w:val="cs-CZ"/>
        </w:rPr>
        <w:tab/>
        <w:t xml:space="preserve">Zobrazení úrovně požadavku. Požadavky týkající se účinnosti čištění budou pravděpodobně v budoucnu zpřísněny. Jednotlivé </w:t>
      </w:r>
      <w:r w:rsidRPr="003B6E11">
        <w:rPr>
          <w:lang w:val="cs-CZ"/>
        </w:rPr>
        <w:tab/>
        <w:t>úrovně požadavků jsou označeny římskými číslicemi, počínaje úrovní I.</w:t>
      </w:r>
    </w:p>
    <w:p w:rsidR="003B6E11" w:rsidRPr="003B6E11" w:rsidRDefault="003B6E11" w:rsidP="003B6E11">
      <w:pPr>
        <w:spacing w:line="240" w:lineRule="atLeast"/>
        <w:ind w:left="1560" w:hanging="1134"/>
        <w:rPr>
          <w:noProof/>
          <w:lang w:val="cs-CZ"/>
        </w:rPr>
      </w:pPr>
    </w:p>
    <w:p w:rsidR="003B6E11" w:rsidRPr="003B6E11" w:rsidRDefault="003B6E11" w:rsidP="003B6E11">
      <w:pPr>
        <w:spacing w:line="240" w:lineRule="atLeast"/>
        <w:ind w:left="1560" w:hanging="1134"/>
        <w:rPr>
          <w:noProof/>
          <w:lang w:val="cs-CZ"/>
        </w:rPr>
      </w:pPr>
      <w:r w:rsidRPr="003B6E11">
        <w:rPr>
          <w:lang w:val="cs-CZ"/>
        </w:rPr>
        <w:t>Část 3:</w:t>
      </w:r>
      <w:r w:rsidRPr="003B6E11">
        <w:rPr>
          <w:lang w:val="cs-CZ"/>
        </w:rPr>
        <w:tab/>
        <w:t>Čtyřmístné pořadové číslo (popřípadě s předřazenou nulou) pro označení základního čísla schválení typu. Pořadí začíná od čísla 0001.</w:t>
      </w:r>
    </w:p>
    <w:p w:rsidR="003B6E11" w:rsidRPr="003B6E11" w:rsidRDefault="003B6E11" w:rsidP="003B6E11">
      <w:pPr>
        <w:spacing w:line="240" w:lineRule="atLeast"/>
        <w:ind w:left="1560" w:hanging="1134"/>
        <w:rPr>
          <w:noProof/>
          <w:lang w:val="cs-CZ"/>
        </w:rPr>
      </w:pPr>
    </w:p>
    <w:p w:rsidR="003B6E11" w:rsidRPr="003B6E11" w:rsidRDefault="003B6E11" w:rsidP="003B6E11">
      <w:pPr>
        <w:spacing w:line="240" w:lineRule="atLeast"/>
        <w:ind w:left="1560" w:hanging="1134"/>
        <w:rPr>
          <w:noProof/>
          <w:lang w:val="cs-CZ"/>
        </w:rPr>
      </w:pPr>
      <w:r w:rsidRPr="003B6E11">
        <w:rPr>
          <w:lang w:val="cs-CZ"/>
        </w:rPr>
        <w:t>Část 4:</w:t>
      </w:r>
      <w:r w:rsidRPr="003B6E11">
        <w:rPr>
          <w:lang w:val="cs-CZ"/>
        </w:rPr>
        <w:tab/>
        <w:t>Dvoumístné pořadové číslo (popřípadě s předřazenou nulou) pro označení prodloužení. Pro každé číslo začíná pořadí od čísla 01.</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2.</w:t>
      </w:r>
      <w:r w:rsidRPr="003B6E11">
        <w:rPr>
          <w:lang w:val="cs-CZ"/>
        </w:rPr>
        <w:tab/>
      </w:r>
      <w:r w:rsidRPr="003B6E11">
        <w:rPr>
          <w:noProof/>
          <w:color w:val="000000"/>
          <w:lang w:val="cs-CZ"/>
        </w:rPr>
        <w:t>Příklady</w:t>
      </w:r>
    </w:p>
    <w:p w:rsidR="003B6E11" w:rsidRPr="003B6E11" w:rsidRDefault="003B6E11" w:rsidP="003B6E11">
      <w:pPr>
        <w:spacing w:before="60" w:line="240" w:lineRule="atLeast"/>
        <w:ind w:left="851"/>
        <w:rPr>
          <w:rFonts w:cs="Arial"/>
          <w:noProof/>
          <w:lang w:val="cs-CZ"/>
        </w:rPr>
      </w:pPr>
      <w:r w:rsidRPr="003B6E11">
        <w:rPr>
          <w:lang w:val="cs-CZ"/>
        </w:rPr>
        <w:t>a)</w:t>
      </w:r>
      <w:r w:rsidRPr="003B6E11">
        <w:rPr>
          <w:lang w:val="cs-CZ"/>
        </w:rPr>
        <w:tab/>
        <w:t>Třetí schválení typu (zatím bez prodloužení) udělené Nizozemskem, které odpovídá úrovni I:</w:t>
      </w:r>
    </w:p>
    <w:p w:rsidR="003B6E11" w:rsidRPr="003B6E11" w:rsidRDefault="003B6E11" w:rsidP="003B6E11">
      <w:pPr>
        <w:spacing w:before="60" w:line="240" w:lineRule="atLeast"/>
        <w:ind w:left="851"/>
        <w:jc w:val="center"/>
        <w:rPr>
          <w:rFonts w:cs="Arial"/>
          <w:noProof/>
          <w:lang w:val="cs-CZ"/>
        </w:rPr>
      </w:pPr>
      <w:r w:rsidRPr="003B6E11">
        <w:rPr>
          <w:lang w:val="cs-CZ"/>
        </w:rPr>
        <w:t>R 4*I*0003*00 nebo e 4*I*0003*00</w:t>
      </w:r>
    </w:p>
    <w:p w:rsidR="003B6E11" w:rsidRPr="003B6E11" w:rsidRDefault="003B6E11" w:rsidP="003B6E11">
      <w:pPr>
        <w:spacing w:before="60" w:line="240" w:lineRule="atLeast"/>
        <w:ind w:left="851"/>
        <w:rPr>
          <w:rFonts w:cs="Arial"/>
          <w:noProof/>
          <w:lang w:val="cs-CZ"/>
        </w:rPr>
      </w:pPr>
      <w:r w:rsidRPr="003B6E11">
        <w:rPr>
          <w:lang w:val="cs-CZ"/>
        </w:rPr>
        <w:t>b)</w:t>
      </w:r>
      <w:r w:rsidRPr="003B6E11">
        <w:rPr>
          <w:lang w:val="cs-CZ"/>
        </w:rPr>
        <w:tab/>
        <w:t>Druhé prodloužení čtvrtého schválení typu udělené Německem, které odpovídá úrovni II:</w:t>
      </w:r>
    </w:p>
    <w:p w:rsidR="003B6E11" w:rsidRPr="003B6E11" w:rsidRDefault="003B6E11" w:rsidP="003B6E11">
      <w:pPr>
        <w:spacing w:before="60" w:line="240" w:lineRule="atLeast"/>
        <w:ind w:left="851"/>
        <w:jc w:val="center"/>
        <w:rPr>
          <w:rFonts w:cs="Arial"/>
          <w:noProof/>
          <w:szCs w:val="20"/>
          <w:lang w:val="cs-CZ"/>
        </w:rPr>
      </w:pPr>
      <w:r w:rsidRPr="003B6E11">
        <w:rPr>
          <w:lang w:val="cs-CZ"/>
        </w:rPr>
        <w:t>R 1*II* 0004*02 nebo e 4*I*0003*00</w:t>
      </w:r>
    </w:p>
    <w:p w:rsidR="003B6E11" w:rsidRPr="003B6E11" w:rsidRDefault="003B6E11" w:rsidP="003B6E11">
      <w:pPr>
        <w:spacing w:before="60" w:line="240" w:lineRule="atLeast"/>
        <w:ind w:left="851"/>
        <w:jc w:val="center"/>
        <w:rPr>
          <w:rFonts w:cs="Arial"/>
          <w:noProof/>
          <w:lang w:val="cs-CZ"/>
        </w:rPr>
      </w:pPr>
    </w:p>
    <w:p w:rsidR="003B6E11" w:rsidRPr="003B6E11" w:rsidRDefault="003B6E11" w:rsidP="003B6E11">
      <w:pPr>
        <w:spacing w:line="240" w:lineRule="atLeast"/>
        <w:rPr>
          <w:rFonts w:cs="Arial"/>
          <w:color w:val="000000"/>
          <w:lang w:val="cs-CZ"/>
        </w:rPr>
      </w:pPr>
      <w:r w:rsidRPr="003B6E11">
        <w:rPr>
          <w:lang w:val="cs-CZ"/>
        </w:rPr>
        <w:br w:type="page"/>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noProof/>
          <w:color w:val="000000"/>
          <w:lang w:val="cs-CZ"/>
        </w:rPr>
      </w:pPr>
    </w:p>
    <w:p w:rsidR="003B6E11" w:rsidRPr="003B6E11" w:rsidRDefault="003B6E11" w:rsidP="003B6E11">
      <w:pPr>
        <w:suppressAutoHyphens/>
        <w:spacing w:line="240" w:lineRule="atLeast"/>
        <w:ind w:left="426" w:hanging="426"/>
        <w:jc w:val="center"/>
        <w:rPr>
          <w:rFonts w:cs="Arial"/>
          <w:lang w:val="cs-CZ"/>
        </w:rPr>
      </w:pPr>
    </w:p>
    <w:p w:rsidR="003B6E11" w:rsidRPr="003B6E11" w:rsidRDefault="003B6E11" w:rsidP="003B6E11">
      <w:pPr>
        <w:suppressAutoHyphens/>
        <w:rPr>
          <w:rFonts w:cs="Arial"/>
          <w:sz w:val="24"/>
          <w:lang w:val="cs-CZ"/>
        </w:rPr>
        <w:sectPr w:rsidR="003B6E11" w:rsidRPr="003B6E11" w:rsidSect="00FB55E9">
          <w:headerReference w:type="default" r:id="rId74"/>
          <w:footerReference w:type="default" r:id="rId75"/>
          <w:footnotePr>
            <w:numRestart w:val="eachPage"/>
          </w:footnotePr>
          <w:pgSz w:w="11907" w:h="16840" w:code="9"/>
          <w:pgMar w:top="1361" w:right="1418" w:bottom="1361" w:left="1418" w:header="680" w:footer="680" w:gutter="0"/>
          <w:cols w:space="720"/>
          <w:docGrid w:linePitch="326"/>
        </w:sectPr>
      </w:pPr>
    </w:p>
    <w:p w:rsidR="003B6E11" w:rsidRPr="003B6E11" w:rsidRDefault="003B6E11" w:rsidP="003B6E11">
      <w:pPr>
        <w:spacing w:line="240" w:lineRule="atLeast"/>
        <w:ind w:left="567" w:hanging="567"/>
        <w:rPr>
          <w:noProof/>
          <w:lang w:val="cs-CZ"/>
        </w:rPr>
      </w:pPr>
    </w:p>
    <w:p w:rsidR="003B6E11" w:rsidRPr="003B6E11" w:rsidRDefault="003B6E11" w:rsidP="003B6E11">
      <w:pPr>
        <w:pStyle w:val="ES-Titre3"/>
        <w:rPr>
          <w:noProof/>
          <w:lang w:val="cs-CZ"/>
        </w:rPr>
      </w:pPr>
      <w:bookmarkStart w:id="698" w:name="_Toc491854332"/>
      <w:bookmarkStart w:id="699" w:name="_Toc535417238"/>
      <w:r w:rsidRPr="003B6E11">
        <w:rPr>
          <w:lang w:val="cs-CZ"/>
        </w:rPr>
        <w:t>Oddíl V</w:t>
      </w:r>
      <w:bookmarkEnd w:id="698"/>
      <w:bookmarkEnd w:id="699"/>
    </w:p>
    <w:p w:rsidR="003B6E11" w:rsidRPr="003B6E11" w:rsidRDefault="003B6E11" w:rsidP="003B6E11">
      <w:pPr>
        <w:pStyle w:val="ES-Titre3a"/>
        <w:rPr>
          <w:noProof/>
          <w:lang w:val="cs-CZ"/>
        </w:rPr>
      </w:pPr>
      <w:bookmarkStart w:id="700" w:name="_Toc491854333"/>
      <w:bookmarkStart w:id="701" w:name="_Toc535417239"/>
      <w:r w:rsidRPr="003B6E11">
        <w:rPr>
          <w:lang w:val="cs-CZ"/>
        </w:rPr>
        <w:t>Přehled schválení typu pro typy palubních čistíren odpadních vod</w:t>
      </w:r>
      <w:bookmarkEnd w:id="700"/>
      <w:bookmarkEnd w:id="701"/>
      <w:r w:rsidRPr="003B6E11">
        <w:rPr>
          <w:lang w:val="cs-CZ"/>
        </w:rPr>
        <w:t xml:space="preserve"> </w:t>
      </w:r>
    </w:p>
    <w:p w:rsidR="003B6E11" w:rsidRPr="003B6E11" w:rsidRDefault="003B6E11" w:rsidP="003B6E11">
      <w:pPr>
        <w:overflowPunct w:val="0"/>
        <w:adjustRightInd w:val="0"/>
        <w:spacing w:line="240" w:lineRule="exact"/>
        <w:jc w:val="center"/>
        <w:textAlignment w:val="baseline"/>
        <w:rPr>
          <w:rFonts w:eastAsia="Calibri"/>
          <w:sz w:val="14"/>
          <w:szCs w:val="16"/>
          <w:lang w:val="cs-CZ"/>
        </w:rPr>
      </w:pPr>
      <w:r w:rsidRPr="003B6E11">
        <w:rPr>
          <w:lang w:val="cs-CZ"/>
        </w:rPr>
        <w:t>(Vzor)</w:t>
      </w:r>
    </w:p>
    <w:p w:rsidR="003B6E11" w:rsidRPr="003B6E11" w:rsidRDefault="003B6E11" w:rsidP="003B6E11">
      <w:pPr>
        <w:suppressAutoHyphens/>
        <w:spacing w:line="240" w:lineRule="atLeast"/>
        <w:ind w:left="426" w:hanging="426"/>
        <w:rPr>
          <w:rFonts w:cs="Arial"/>
          <w:szCs w:val="20"/>
          <w:lang w:val="cs-CZ"/>
        </w:rPr>
      </w:pPr>
    </w:p>
    <w:p w:rsidR="003B6E11" w:rsidRPr="003B6E11" w:rsidRDefault="003B6E11" w:rsidP="003B6E11">
      <w:pPr>
        <w:tabs>
          <w:tab w:val="left" w:pos="11057"/>
        </w:tabs>
        <w:suppressAutoHyphens/>
        <w:spacing w:line="240" w:lineRule="atLeast"/>
        <w:ind w:left="11057"/>
        <w:rPr>
          <w:rFonts w:cs="Arial"/>
          <w:sz w:val="16"/>
          <w:lang w:val="cs-CZ"/>
        </w:rPr>
      </w:pPr>
      <w:r w:rsidRPr="003B6E11">
        <w:rPr>
          <w:sz w:val="16"/>
          <w:lang w:val="cs-CZ"/>
        </w:rPr>
        <w:t>Razítko příslušného orgánu</w:t>
      </w:r>
    </w:p>
    <w:p w:rsidR="003B6E11" w:rsidRPr="003B6E11" w:rsidRDefault="003B6E11" w:rsidP="003B6E11">
      <w:pPr>
        <w:suppressAutoHyphens/>
        <w:jc w:val="center"/>
        <w:rPr>
          <w:rFonts w:cs="Arial"/>
          <w:b/>
          <w:sz w:val="16"/>
          <w:szCs w:val="16"/>
          <w:lang w:val="cs-CZ"/>
        </w:rPr>
      </w:pPr>
    </w:p>
    <w:p w:rsidR="003B6E11" w:rsidRPr="003B6E11" w:rsidRDefault="003B6E11" w:rsidP="003B6E11">
      <w:pPr>
        <w:tabs>
          <w:tab w:val="left" w:leader="dot" w:pos="3402"/>
          <w:tab w:val="left" w:leader="dot" w:pos="4536"/>
          <w:tab w:val="left" w:leader="dot" w:pos="5670"/>
        </w:tabs>
        <w:suppressAutoHyphens/>
        <w:spacing w:line="240" w:lineRule="atLeast"/>
        <w:rPr>
          <w:rFonts w:cs="Arial"/>
          <w:lang w:val="cs-CZ"/>
        </w:rPr>
      </w:pPr>
      <w:r w:rsidRPr="003B6E11">
        <w:rPr>
          <w:lang w:val="cs-CZ"/>
        </w:rPr>
        <w:t xml:space="preserve">Seznam č.: </w:t>
      </w:r>
      <w:r w:rsidRPr="003B6E11">
        <w:rPr>
          <w:lang w:val="cs-CZ"/>
        </w:rPr>
        <w:tab/>
      </w:r>
    </w:p>
    <w:p w:rsidR="003B6E11" w:rsidRPr="003B6E11" w:rsidRDefault="003B6E11" w:rsidP="003B6E11">
      <w:pPr>
        <w:tabs>
          <w:tab w:val="left" w:leader="dot" w:pos="3969"/>
          <w:tab w:val="left" w:pos="4111"/>
          <w:tab w:val="left" w:leader="dot" w:pos="7371"/>
        </w:tabs>
        <w:suppressAutoHyphens/>
        <w:spacing w:line="240" w:lineRule="atLeast"/>
        <w:rPr>
          <w:rFonts w:cs="Arial"/>
          <w:lang w:val="cs-CZ"/>
        </w:rPr>
      </w:pPr>
      <w:r w:rsidRPr="003B6E11">
        <w:rPr>
          <w:lang w:val="cs-CZ"/>
        </w:rPr>
        <w:t xml:space="preserve">Období od </w:t>
      </w:r>
      <w:r w:rsidRPr="003B6E11">
        <w:rPr>
          <w:lang w:val="cs-CZ"/>
        </w:rPr>
        <w:tab/>
      </w:r>
      <w:r w:rsidRPr="003B6E11">
        <w:rPr>
          <w:lang w:val="cs-CZ"/>
        </w:rPr>
        <w:tab/>
        <w:t xml:space="preserve">do </w:t>
      </w:r>
      <w:r w:rsidRPr="003B6E11">
        <w:rPr>
          <w:lang w:val="cs-CZ"/>
        </w:rPr>
        <w:tab/>
      </w:r>
    </w:p>
    <w:p w:rsidR="003B6E11" w:rsidRPr="003B6E11" w:rsidRDefault="003B6E11" w:rsidP="003B6E11">
      <w:pPr>
        <w:suppressAutoHyphens/>
        <w:spacing w:line="240" w:lineRule="atLeast"/>
        <w:rPr>
          <w:rFonts w:cs="Arial"/>
          <w:sz w:val="14"/>
          <w:szCs w:val="16"/>
          <w:lang w:val="cs-CZ"/>
        </w:rPr>
      </w:pPr>
    </w:p>
    <w:tbl>
      <w:tblPr>
        <w:tblW w:w="0" w:type="auto"/>
        <w:tblInd w:w="136" w:type="dxa"/>
        <w:tblLayout w:type="fixed"/>
        <w:tblCellMar>
          <w:left w:w="56" w:type="dxa"/>
          <w:right w:w="56" w:type="dxa"/>
        </w:tblCellMar>
        <w:tblLook w:val="0000" w:firstRow="0" w:lastRow="0" w:firstColumn="0" w:lastColumn="0" w:noHBand="0" w:noVBand="0"/>
      </w:tblPr>
      <w:tblGrid>
        <w:gridCol w:w="2126"/>
        <w:gridCol w:w="2410"/>
        <w:gridCol w:w="3147"/>
        <w:gridCol w:w="1361"/>
        <w:gridCol w:w="1361"/>
        <w:gridCol w:w="2608"/>
        <w:gridCol w:w="1440"/>
      </w:tblGrid>
      <w:tr w:rsidR="003B6E11" w:rsidRPr="003B6E11" w:rsidTr="002D015D">
        <w:tc>
          <w:tcPr>
            <w:tcW w:w="2126"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40" w:after="40" w:line="240" w:lineRule="atLeast"/>
              <w:jc w:val="center"/>
              <w:rPr>
                <w:rFonts w:cs="Arial"/>
                <w:sz w:val="18"/>
                <w:lang w:val="cs-CZ"/>
              </w:rPr>
            </w:pPr>
            <w:r w:rsidRPr="003B6E11">
              <w:rPr>
                <w:sz w:val="18"/>
                <w:lang w:val="cs-CZ"/>
              </w:rPr>
              <w:t>1</w:t>
            </w:r>
          </w:p>
        </w:tc>
        <w:tc>
          <w:tcPr>
            <w:tcW w:w="2410"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40" w:after="40" w:line="240" w:lineRule="atLeast"/>
              <w:jc w:val="center"/>
              <w:rPr>
                <w:rFonts w:cs="Arial"/>
                <w:sz w:val="18"/>
                <w:lang w:val="cs-CZ"/>
              </w:rPr>
            </w:pPr>
            <w:r w:rsidRPr="003B6E11">
              <w:rPr>
                <w:sz w:val="18"/>
                <w:lang w:val="cs-CZ"/>
              </w:rPr>
              <w:t>2</w:t>
            </w:r>
          </w:p>
        </w:tc>
        <w:tc>
          <w:tcPr>
            <w:tcW w:w="3147"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40" w:after="40" w:line="240" w:lineRule="atLeast"/>
              <w:jc w:val="center"/>
              <w:rPr>
                <w:rFonts w:cs="Arial"/>
                <w:sz w:val="18"/>
                <w:lang w:val="cs-CZ"/>
              </w:rPr>
            </w:pPr>
            <w:r w:rsidRPr="003B6E11">
              <w:rPr>
                <w:sz w:val="18"/>
                <w:lang w:val="cs-CZ"/>
              </w:rPr>
              <w:t>3</w:t>
            </w:r>
          </w:p>
        </w:tc>
        <w:tc>
          <w:tcPr>
            <w:tcW w:w="1361"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40" w:after="40" w:line="240" w:lineRule="atLeast"/>
              <w:jc w:val="center"/>
              <w:rPr>
                <w:rFonts w:cs="Arial"/>
                <w:sz w:val="18"/>
                <w:lang w:val="cs-CZ"/>
              </w:rPr>
            </w:pPr>
            <w:r w:rsidRPr="003B6E11">
              <w:rPr>
                <w:sz w:val="18"/>
                <w:lang w:val="cs-CZ"/>
              </w:rPr>
              <w:t>4</w:t>
            </w:r>
          </w:p>
        </w:tc>
        <w:tc>
          <w:tcPr>
            <w:tcW w:w="1361"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40" w:after="40" w:line="240" w:lineRule="atLeast"/>
              <w:jc w:val="center"/>
              <w:rPr>
                <w:rFonts w:cs="Arial"/>
                <w:sz w:val="18"/>
                <w:lang w:val="cs-CZ"/>
              </w:rPr>
            </w:pPr>
            <w:r w:rsidRPr="003B6E11">
              <w:rPr>
                <w:sz w:val="18"/>
                <w:lang w:val="cs-CZ"/>
              </w:rPr>
              <w:t>5</w:t>
            </w:r>
          </w:p>
        </w:tc>
        <w:tc>
          <w:tcPr>
            <w:tcW w:w="2608" w:type="dxa"/>
            <w:tcBorders>
              <w:top w:val="single" w:sz="4" w:space="0" w:color="000000"/>
              <w:left w:val="single" w:sz="4" w:space="0" w:color="000000"/>
              <w:bottom w:val="single" w:sz="4" w:space="0" w:color="000000"/>
            </w:tcBorders>
          </w:tcPr>
          <w:p w:rsidR="003B6E11" w:rsidRPr="003B6E11" w:rsidRDefault="003B6E11" w:rsidP="002D015D">
            <w:pPr>
              <w:suppressAutoHyphens/>
              <w:snapToGrid w:val="0"/>
              <w:spacing w:before="40" w:after="40" w:line="240" w:lineRule="atLeast"/>
              <w:jc w:val="center"/>
              <w:rPr>
                <w:rFonts w:cs="Arial"/>
                <w:sz w:val="18"/>
                <w:lang w:val="cs-CZ"/>
              </w:rPr>
            </w:pPr>
            <w:r w:rsidRPr="003B6E11">
              <w:rPr>
                <w:sz w:val="18"/>
                <w:lang w:val="cs-CZ"/>
              </w:rPr>
              <w:t>6</w:t>
            </w:r>
          </w:p>
        </w:tc>
        <w:tc>
          <w:tcPr>
            <w:tcW w:w="1440" w:type="dxa"/>
            <w:tcBorders>
              <w:top w:val="single" w:sz="4" w:space="0" w:color="000000"/>
              <w:left w:val="single" w:sz="4" w:space="0" w:color="000000"/>
              <w:bottom w:val="single" w:sz="4" w:space="0" w:color="000000"/>
              <w:right w:val="single" w:sz="4" w:space="0" w:color="000000"/>
            </w:tcBorders>
          </w:tcPr>
          <w:p w:rsidR="003B6E11" w:rsidRPr="003B6E11" w:rsidRDefault="003B6E11" w:rsidP="002D015D">
            <w:pPr>
              <w:suppressAutoHyphens/>
              <w:snapToGrid w:val="0"/>
              <w:spacing w:before="40" w:after="40" w:line="240" w:lineRule="atLeast"/>
              <w:jc w:val="center"/>
              <w:rPr>
                <w:rFonts w:cs="Arial"/>
                <w:sz w:val="18"/>
                <w:lang w:val="cs-CZ"/>
              </w:rPr>
            </w:pPr>
            <w:r w:rsidRPr="003B6E11">
              <w:rPr>
                <w:sz w:val="18"/>
                <w:lang w:val="cs-CZ"/>
              </w:rPr>
              <w:t>7</w:t>
            </w:r>
          </w:p>
        </w:tc>
      </w:tr>
      <w:tr w:rsidR="003B6E11" w:rsidRPr="003B6E11" w:rsidTr="002D015D">
        <w:tc>
          <w:tcPr>
            <w:tcW w:w="2126" w:type="dxa"/>
            <w:tcBorders>
              <w:top w:val="single" w:sz="4" w:space="0" w:color="000000"/>
              <w:left w:val="single" w:sz="4" w:space="0" w:color="000000"/>
              <w:bottom w:val="single" w:sz="4" w:space="0" w:color="000000"/>
            </w:tcBorders>
            <w:vAlign w:val="center"/>
          </w:tcPr>
          <w:p w:rsidR="003B6E11" w:rsidRPr="003B6E11" w:rsidRDefault="003B6E11" w:rsidP="002D015D">
            <w:pPr>
              <w:suppressAutoHyphens/>
              <w:snapToGrid w:val="0"/>
              <w:spacing w:before="40" w:after="40" w:line="240" w:lineRule="atLeast"/>
              <w:jc w:val="center"/>
              <w:rPr>
                <w:rFonts w:cs="Arial"/>
                <w:sz w:val="18"/>
                <w:vertAlign w:val="superscript"/>
                <w:lang w:val="cs-CZ"/>
              </w:rPr>
            </w:pPr>
            <w:r w:rsidRPr="003B6E11">
              <w:rPr>
                <w:sz w:val="18"/>
                <w:lang w:val="cs-CZ"/>
              </w:rPr>
              <w:t>Značka</w:t>
            </w:r>
            <w:r w:rsidRPr="003B6E11">
              <w:rPr>
                <w:sz w:val="18"/>
                <w:vertAlign w:val="superscript"/>
                <w:lang w:val="cs-CZ"/>
              </w:rPr>
              <w:t xml:space="preserve"> (</w:t>
            </w:r>
            <w:r w:rsidRPr="003B6E11">
              <w:rPr>
                <w:rStyle w:val="FootnoteReference"/>
                <w:sz w:val="18"/>
                <w:lang w:val="cs-CZ"/>
              </w:rPr>
              <w:footnoteReference w:id="70"/>
            </w:r>
            <w:r w:rsidRPr="003B6E11">
              <w:rPr>
                <w:sz w:val="18"/>
                <w:vertAlign w:val="superscript"/>
                <w:lang w:val="cs-CZ"/>
              </w:rPr>
              <w:t>)</w:t>
            </w:r>
          </w:p>
        </w:tc>
        <w:tc>
          <w:tcPr>
            <w:tcW w:w="2410" w:type="dxa"/>
            <w:tcBorders>
              <w:top w:val="single" w:sz="4" w:space="0" w:color="000000"/>
              <w:left w:val="single" w:sz="4" w:space="0" w:color="000000"/>
              <w:bottom w:val="single" w:sz="4" w:space="0" w:color="000000"/>
            </w:tcBorders>
            <w:vAlign w:val="center"/>
          </w:tcPr>
          <w:p w:rsidR="003B6E11" w:rsidRPr="003B6E11" w:rsidRDefault="003B6E11" w:rsidP="002D015D">
            <w:pPr>
              <w:suppressAutoHyphens/>
              <w:snapToGrid w:val="0"/>
              <w:spacing w:before="40" w:after="40" w:line="240" w:lineRule="atLeast"/>
              <w:jc w:val="center"/>
              <w:rPr>
                <w:rFonts w:cs="Arial"/>
                <w:sz w:val="18"/>
                <w:vertAlign w:val="superscript"/>
                <w:lang w:val="cs-CZ"/>
              </w:rPr>
            </w:pPr>
            <w:r w:rsidRPr="003B6E11">
              <w:rPr>
                <w:sz w:val="18"/>
                <w:lang w:val="cs-CZ"/>
              </w:rPr>
              <w:t xml:space="preserve">Označení výrobce </w:t>
            </w:r>
            <w:r w:rsidRPr="003B6E11">
              <w:rPr>
                <w:sz w:val="18"/>
                <w:vertAlign w:val="superscript"/>
                <w:lang w:val="cs-CZ"/>
              </w:rPr>
              <w:t>(1)</w:t>
            </w:r>
          </w:p>
        </w:tc>
        <w:tc>
          <w:tcPr>
            <w:tcW w:w="3147" w:type="dxa"/>
            <w:tcBorders>
              <w:top w:val="single" w:sz="4" w:space="0" w:color="000000"/>
              <w:left w:val="single" w:sz="4" w:space="0" w:color="000000"/>
              <w:bottom w:val="single" w:sz="4" w:space="0" w:color="000000"/>
            </w:tcBorders>
            <w:vAlign w:val="center"/>
          </w:tcPr>
          <w:p w:rsidR="003B6E11" w:rsidRPr="003B6E11" w:rsidRDefault="003B6E11" w:rsidP="002D015D">
            <w:pPr>
              <w:suppressAutoHyphens/>
              <w:snapToGrid w:val="0"/>
              <w:spacing w:before="40" w:after="40" w:line="240" w:lineRule="atLeast"/>
              <w:jc w:val="center"/>
              <w:rPr>
                <w:rFonts w:cs="Arial"/>
                <w:sz w:val="18"/>
                <w:lang w:val="cs-CZ"/>
              </w:rPr>
            </w:pPr>
            <w:r w:rsidRPr="003B6E11">
              <w:rPr>
                <w:sz w:val="18"/>
                <w:lang w:val="cs-CZ"/>
              </w:rPr>
              <w:t>Číslo schválení typu</w:t>
            </w:r>
          </w:p>
        </w:tc>
        <w:tc>
          <w:tcPr>
            <w:tcW w:w="1361" w:type="dxa"/>
            <w:tcBorders>
              <w:top w:val="single" w:sz="4" w:space="0" w:color="000000"/>
              <w:left w:val="single" w:sz="4" w:space="0" w:color="000000"/>
              <w:bottom w:val="single" w:sz="4" w:space="0" w:color="000000"/>
            </w:tcBorders>
            <w:vAlign w:val="center"/>
          </w:tcPr>
          <w:p w:rsidR="003B6E11" w:rsidRPr="003B6E11" w:rsidRDefault="003B6E11" w:rsidP="002D015D">
            <w:pPr>
              <w:suppressAutoHyphens/>
              <w:snapToGrid w:val="0"/>
              <w:spacing w:before="40" w:after="40" w:line="240" w:lineRule="atLeast"/>
              <w:jc w:val="center"/>
              <w:rPr>
                <w:rFonts w:cs="Arial"/>
                <w:sz w:val="18"/>
                <w:lang w:val="cs-CZ"/>
              </w:rPr>
            </w:pPr>
            <w:r w:rsidRPr="003B6E11">
              <w:rPr>
                <w:sz w:val="18"/>
                <w:lang w:val="cs-CZ"/>
              </w:rPr>
              <w:t>Datum schválení</w:t>
            </w:r>
          </w:p>
        </w:tc>
        <w:tc>
          <w:tcPr>
            <w:tcW w:w="1361" w:type="dxa"/>
            <w:tcBorders>
              <w:top w:val="single" w:sz="4" w:space="0" w:color="000000"/>
              <w:left w:val="single" w:sz="4" w:space="0" w:color="000000"/>
              <w:bottom w:val="single" w:sz="4" w:space="0" w:color="000000"/>
            </w:tcBorders>
            <w:vAlign w:val="center"/>
          </w:tcPr>
          <w:p w:rsidR="003B6E11" w:rsidRPr="003B6E11" w:rsidRDefault="003B6E11" w:rsidP="002D015D">
            <w:pPr>
              <w:suppressAutoHyphens/>
              <w:snapToGrid w:val="0"/>
              <w:spacing w:before="40" w:after="40" w:line="240" w:lineRule="atLeast"/>
              <w:jc w:val="center"/>
              <w:rPr>
                <w:rFonts w:cs="Arial"/>
                <w:sz w:val="18"/>
                <w:vertAlign w:val="superscript"/>
                <w:lang w:val="cs-CZ"/>
              </w:rPr>
            </w:pPr>
            <w:r w:rsidRPr="003B6E11">
              <w:rPr>
                <w:sz w:val="18"/>
                <w:lang w:val="cs-CZ"/>
              </w:rPr>
              <w:t>Prodloužení/zamítnutí/</w:t>
            </w:r>
            <w:r w:rsidRPr="003B6E11">
              <w:rPr>
                <w:rFonts w:cs="Arial"/>
                <w:sz w:val="18"/>
                <w:lang w:val="cs-CZ"/>
              </w:rPr>
              <w:br/>
            </w:r>
            <w:r w:rsidRPr="003B6E11">
              <w:rPr>
                <w:sz w:val="18"/>
                <w:lang w:val="cs-CZ"/>
              </w:rPr>
              <w:t>odejmutí</w:t>
            </w:r>
            <w:r w:rsidRPr="003B6E11">
              <w:rPr>
                <w:sz w:val="18"/>
                <w:vertAlign w:val="superscript"/>
                <w:lang w:val="cs-CZ"/>
              </w:rPr>
              <w:t xml:space="preserve"> </w:t>
            </w:r>
            <w:r w:rsidRPr="003B6E11">
              <w:rPr>
                <w:rStyle w:val="FootnoteReference"/>
                <w:sz w:val="18"/>
                <w:lang w:val="cs-CZ"/>
              </w:rPr>
              <w:footnoteReference w:id="71"/>
            </w:r>
            <w:r w:rsidRPr="003B6E11">
              <w:rPr>
                <w:sz w:val="18"/>
                <w:vertAlign w:val="superscript"/>
                <w:lang w:val="cs-CZ"/>
              </w:rPr>
              <w:t>)</w:t>
            </w:r>
          </w:p>
        </w:tc>
        <w:tc>
          <w:tcPr>
            <w:tcW w:w="2608" w:type="dxa"/>
            <w:tcBorders>
              <w:top w:val="single" w:sz="4" w:space="0" w:color="000000"/>
              <w:left w:val="single" w:sz="4" w:space="0" w:color="000000"/>
              <w:bottom w:val="single" w:sz="4" w:space="0" w:color="000000"/>
            </w:tcBorders>
            <w:vAlign w:val="center"/>
          </w:tcPr>
          <w:p w:rsidR="003B6E11" w:rsidRPr="003B6E11" w:rsidRDefault="003B6E11" w:rsidP="002D015D">
            <w:pPr>
              <w:suppressAutoHyphens/>
              <w:snapToGrid w:val="0"/>
              <w:spacing w:before="40" w:after="40" w:line="240" w:lineRule="atLeast"/>
              <w:jc w:val="center"/>
              <w:rPr>
                <w:rFonts w:cs="Arial"/>
                <w:sz w:val="18"/>
                <w:lang w:val="cs-CZ"/>
              </w:rPr>
            </w:pPr>
            <w:r w:rsidRPr="003B6E11">
              <w:rPr>
                <w:sz w:val="18"/>
                <w:lang w:val="cs-CZ"/>
              </w:rPr>
              <w:t>Důvod prodloužení/zamítnutí/odejmutí</w:t>
            </w:r>
          </w:p>
        </w:tc>
        <w:tc>
          <w:tcPr>
            <w:tcW w:w="1440" w:type="dxa"/>
            <w:tcBorders>
              <w:top w:val="single" w:sz="4" w:space="0" w:color="000000"/>
              <w:left w:val="single" w:sz="4" w:space="0" w:color="000000"/>
              <w:bottom w:val="single" w:sz="4" w:space="0" w:color="000000"/>
              <w:right w:val="single" w:sz="4" w:space="0" w:color="000000"/>
            </w:tcBorders>
            <w:vAlign w:val="center"/>
          </w:tcPr>
          <w:p w:rsidR="003B6E11" w:rsidRPr="003B6E11" w:rsidRDefault="003B6E11" w:rsidP="002D015D">
            <w:pPr>
              <w:suppressAutoHyphens/>
              <w:snapToGrid w:val="0"/>
              <w:spacing w:before="40" w:after="40" w:line="240" w:lineRule="atLeast"/>
              <w:jc w:val="center"/>
              <w:rPr>
                <w:rFonts w:cs="Arial"/>
                <w:sz w:val="18"/>
                <w:vertAlign w:val="superscript"/>
                <w:lang w:val="cs-CZ"/>
              </w:rPr>
            </w:pPr>
            <w:r w:rsidRPr="003B6E11">
              <w:rPr>
                <w:sz w:val="18"/>
                <w:lang w:val="cs-CZ"/>
              </w:rPr>
              <w:t>Datum prodloužení/zamítnutí/</w:t>
            </w:r>
            <w:r w:rsidRPr="003B6E11">
              <w:rPr>
                <w:rFonts w:cs="Arial"/>
                <w:sz w:val="18"/>
                <w:lang w:val="cs-CZ"/>
              </w:rPr>
              <w:br/>
            </w:r>
            <w:r w:rsidRPr="003B6E11">
              <w:rPr>
                <w:sz w:val="18"/>
                <w:lang w:val="cs-CZ"/>
              </w:rPr>
              <w:t>odejmutí</w:t>
            </w:r>
            <w:r w:rsidRPr="003B6E11">
              <w:rPr>
                <w:sz w:val="18"/>
                <w:vertAlign w:val="superscript"/>
                <w:lang w:val="cs-CZ"/>
              </w:rPr>
              <w:t xml:space="preserve"> 2)</w:t>
            </w:r>
          </w:p>
        </w:tc>
      </w:tr>
      <w:tr w:rsidR="003B6E11" w:rsidRPr="003B6E11" w:rsidTr="002D015D">
        <w:tc>
          <w:tcPr>
            <w:tcW w:w="2126"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410"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3147"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608"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440" w:type="dxa"/>
            <w:tcBorders>
              <w:left w:val="single" w:sz="4" w:space="0" w:color="000000"/>
              <w:righ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r>
      <w:tr w:rsidR="003B6E11" w:rsidRPr="003B6E11" w:rsidTr="002D015D">
        <w:tc>
          <w:tcPr>
            <w:tcW w:w="2126"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410"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3147"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608"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440" w:type="dxa"/>
            <w:tcBorders>
              <w:left w:val="single" w:sz="4" w:space="0" w:color="000000"/>
              <w:righ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r>
      <w:tr w:rsidR="003B6E11" w:rsidRPr="003B6E11" w:rsidTr="002D015D">
        <w:tc>
          <w:tcPr>
            <w:tcW w:w="2126"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410"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3147"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608"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440" w:type="dxa"/>
            <w:tcBorders>
              <w:left w:val="single" w:sz="4" w:space="0" w:color="000000"/>
              <w:righ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r>
      <w:tr w:rsidR="003B6E11" w:rsidRPr="003B6E11" w:rsidTr="002D015D">
        <w:tc>
          <w:tcPr>
            <w:tcW w:w="2126"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410"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3147"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608"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440" w:type="dxa"/>
            <w:tcBorders>
              <w:left w:val="single" w:sz="4" w:space="0" w:color="000000"/>
              <w:righ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r>
      <w:tr w:rsidR="003B6E11" w:rsidRPr="003B6E11" w:rsidTr="002D015D">
        <w:tc>
          <w:tcPr>
            <w:tcW w:w="2126"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410"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3147"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608"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440" w:type="dxa"/>
            <w:tcBorders>
              <w:left w:val="single" w:sz="4" w:space="0" w:color="000000"/>
              <w:righ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r>
      <w:tr w:rsidR="003B6E11" w:rsidRPr="003B6E11" w:rsidTr="002D015D">
        <w:tc>
          <w:tcPr>
            <w:tcW w:w="2126"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410"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3147"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608"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440" w:type="dxa"/>
            <w:tcBorders>
              <w:left w:val="single" w:sz="4" w:space="0" w:color="000000"/>
              <w:righ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r>
      <w:tr w:rsidR="003B6E11" w:rsidRPr="003B6E11" w:rsidTr="002D015D">
        <w:tc>
          <w:tcPr>
            <w:tcW w:w="2126"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410"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3147"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608"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440" w:type="dxa"/>
            <w:tcBorders>
              <w:left w:val="single" w:sz="4" w:space="0" w:color="000000"/>
              <w:righ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r>
      <w:tr w:rsidR="003B6E11" w:rsidRPr="003B6E11" w:rsidTr="002D015D">
        <w:tc>
          <w:tcPr>
            <w:tcW w:w="2126"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410"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3147"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608"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440" w:type="dxa"/>
            <w:tcBorders>
              <w:left w:val="single" w:sz="4" w:space="0" w:color="000000"/>
              <w:righ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r>
      <w:tr w:rsidR="003B6E11" w:rsidRPr="003B6E11" w:rsidTr="002D015D">
        <w:tc>
          <w:tcPr>
            <w:tcW w:w="2126"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410"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3147"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608"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440" w:type="dxa"/>
            <w:tcBorders>
              <w:left w:val="single" w:sz="4" w:space="0" w:color="000000"/>
              <w:righ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r>
      <w:tr w:rsidR="003B6E11" w:rsidRPr="003B6E11" w:rsidTr="002D015D">
        <w:tc>
          <w:tcPr>
            <w:tcW w:w="2126"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410"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3147"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608"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440" w:type="dxa"/>
            <w:tcBorders>
              <w:left w:val="single" w:sz="4" w:space="0" w:color="000000"/>
              <w:righ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r>
      <w:tr w:rsidR="003B6E11" w:rsidRPr="003B6E11" w:rsidTr="002D015D">
        <w:tc>
          <w:tcPr>
            <w:tcW w:w="2126"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410"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3147"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608"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440" w:type="dxa"/>
            <w:tcBorders>
              <w:left w:val="single" w:sz="4" w:space="0" w:color="000000"/>
              <w:righ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r>
      <w:tr w:rsidR="003B6E11" w:rsidRPr="003B6E11" w:rsidTr="002D015D">
        <w:tc>
          <w:tcPr>
            <w:tcW w:w="2126"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410"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3147"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361"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2608" w:type="dxa"/>
            <w:tcBorders>
              <w:lef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c>
          <w:tcPr>
            <w:tcW w:w="1440" w:type="dxa"/>
            <w:tcBorders>
              <w:left w:val="single" w:sz="4" w:space="0" w:color="000000"/>
              <w:right w:val="single" w:sz="4" w:space="0" w:color="000000"/>
            </w:tcBorders>
          </w:tcPr>
          <w:p w:rsidR="003B6E11" w:rsidRPr="003B6E11" w:rsidRDefault="003B6E11" w:rsidP="002D015D">
            <w:pPr>
              <w:suppressAutoHyphens/>
              <w:snapToGrid w:val="0"/>
              <w:spacing w:before="40" w:after="40" w:line="240" w:lineRule="atLeast"/>
              <w:rPr>
                <w:rFonts w:cs="Arial"/>
                <w:sz w:val="18"/>
                <w:lang w:val="cs-CZ"/>
              </w:rPr>
            </w:pPr>
          </w:p>
        </w:tc>
      </w:tr>
    </w:tbl>
    <w:p w:rsidR="003B6E11" w:rsidRPr="003B6E11" w:rsidRDefault="003B6E11" w:rsidP="003B6E11">
      <w:pPr>
        <w:suppressAutoHyphens/>
        <w:spacing w:line="240" w:lineRule="atLeast"/>
        <w:ind w:left="426" w:hanging="426"/>
        <w:rPr>
          <w:rFonts w:cs="Arial"/>
          <w:sz w:val="24"/>
          <w:lang w:val="cs-CZ"/>
        </w:rPr>
      </w:pPr>
    </w:p>
    <w:p w:rsidR="003B6E11" w:rsidRPr="003B6E11" w:rsidRDefault="003B6E11" w:rsidP="003B6E11">
      <w:pPr>
        <w:suppressAutoHyphens/>
        <w:spacing w:line="240" w:lineRule="atLeast"/>
        <w:ind w:left="426" w:hanging="426"/>
        <w:rPr>
          <w:rFonts w:cs="Arial"/>
          <w:lang w:val="cs-CZ"/>
        </w:rPr>
      </w:pPr>
      <w:r w:rsidRPr="003B6E11">
        <w:rPr>
          <w:lang w:val="cs-CZ"/>
        </w:rPr>
        <w:br w:type="page"/>
      </w:r>
    </w:p>
    <w:p w:rsidR="003B6E11" w:rsidRPr="003B6E11" w:rsidRDefault="003B6E11" w:rsidP="003B6E11">
      <w:pPr>
        <w:suppressAutoHyphens/>
        <w:spacing w:line="240" w:lineRule="atLeast"/>
        <w:ind w:left="426" w:hanging="426"/>
        <w:rPr>
          <w:rFonts w:cs="Arial"/>
          <w:lang w:val="cs-CZ"/>
        </w:rPr>
      </w:pPr>
    </w:p>
    <w:p w:rsidR="003B6E11" w:rsidRPr="003B6E11" w:rsidRDefault="003B6E11" w:rsidP="003B6E11">
      <w:pPr>
        <w:suppressAutoHyphens/>
        <w:spacing w:line="240" w:lineRule="atLeast"/>
        <w:ind w:left="426" w:hanging="426"/>
        <w:rPr>
          <w:rFonts w:cs="Arial"/>
          <w:lang w:val="cs-CZ"/>
        </w:rPr>
      </w:pPr>
    </w:p>
    <w:p w:rsidR="003B6E11" w:rsidRPr="003B6E11" w:rsidRDefault="003B6E11" w:rsidP="003B6E11">
      <w:pPr>
        <w:suppressAutoHyphens/>
        <w:spacing w:line="240" w:lineRule="atLeast"/>
        <w:ind w:left="426" w:hanging="426"/>
        <w:rPr>
          <w:rFonts w:cs="Arial"/>
          <w:lang w:val="cs-CZ"/>
        </w:rPr>
      </w:pPr>
    </w:p>
    <w:p w:rsidR="003B6E11" w:rsidRPr="003B6E11" w:rsidRDefault="003B6E11" w:rsidP="003B6E11">
      <w:pPr>
        <w:suppressAutoHyphens/>
        <w:spacing w:line="240" w:lineRule="atLeast"/>
        <w:ind w:left="426" w:hanging="426"/>
        <w:rPr>
          <w:rFonts w:cs="Arial"/>
          <w:lang w:val="cs-CZ"/>
        </w:rPr>
      </w:pPr>
    </w:p>
    <w:p w:rsidR="003B6E11" w:rsidRPr="003B6E11" w:rsidRDefault="003B6E11" w:rsidP="003B6E11">
      <w:pPr>
        <w:suppressAutoHyphens/>
        <w:spacing w:line="240" w:lineRule="atLeast"/>
        <w:ind w:left="426" w:hanging="426"/>
        <w:rPr>
          <w:rFonts w:cs="Arial"/>
          <w:szCs w:val="20"/>
          <w:lang w:val="cs-CZ"/>
        </w:rPr>
      </w:pPr>
    </w:p>
    <w:p w:rsidR="003B6E11" w:rsidRPr="003B6E11" w:rsidRDefault="003B6E11" w:rsidP="003B6E11">
      <w:pPr>
        <w:suppressAutoHyphens/>
        <w:spacing w:line="240" w:lineRule="atLeast"/>
        <w:ind w:left="426" w:hanging="426"/>
        <w:rPr>
          <w:rFonts w:cs="Arial"/>
          <w:szCs w:val="20"/>
          <w:lang w:val="cs-CZ"/>
        </w:rPr>
      </w:pPr>
    </w:p>
    <w:p w:rsidR="003B6E11" w:rsidRPr="003B6E11" w:rsidRDefault="003B6E11" w:rsidP="003B6E11">
      <w:pPr>
        <w:suppressAutoHyphens/>
        <w:rPr>
          <w:rFonts w:cs="Arial"/>
          <w:sz w:val="24"/>
          <w:lang w:val="cs-CZ"/>
        </w:rPr>
        <w:sectPr w:rsidR="003B6E11" w:rsidRPr="003B6E11" w:rsidSect="009C13A9">
          <w:headerReference w:type="even" r:id="rId76"/>
          <w:headerReference w:type="default" r:id="rId77"/>
          <w:footerReference w:type="even" r:id="rId78"/>
          <w:footerReference w:type="default" r:id="rId79"/>
          <w:headerReference w:type="first" r:id="rId80"/>
          <w:footerReference w:type="first" r:id="rId81"/>
          <w:footnotePr>
            <w:numRestart w:val="eachPage"/>
          </w:footnotePr>
          <w:pgSz w:w="16840" w:h="11907" w:orient="landscape" w:code="9"/>
          <w:pgMar w:top="1418" w:right="1418" w:bottom="1418" w:left="1418" w:header="680" w:footer="680" w:gutter="0"/>
          <w:cols w:space="720"/>
          <w:docGrid w:linePitch="360"/>
        </w:sectPr>
      </w:pPr>
    </w:p>
    <w:p w:rsidR="003B6E11" w:rsidRPr="003B6E11" w:rsidRDefault="003B6E11" w:rsidP="003B6E11">
      <w:pPr>
        <w:suppressAutoHyphens/>
        <w:spacing w:line="240" w:lineRule="atLeast"/>
        <w:jc w:val="center"/>
        <w:rPr>
          <w:rFonts w:cs="Arial"/>
          <w:lang w:val="cs-CZ"/>
        </w:rPr>
      </w:pPr>
    </w:p>
    <w:p w:rsidR="003B6E11" w:rsidRPr="003B6E11" w:rsidRDefault="003B6E11" w:rsidP="003B6E11">
      <w:pPr>
        <w:pStyle w:val="ES-Titre3"/>
        <w:rPr>
          <w:noProof/>
          <w:lang w:val="cs-CZ"/>
        </w:rPr>
      </w:pPr>
      <w:bookmarkStart w:id="702" w:name="_Toc491854334"/>
      <w:bookmarkStart w:id="703" w:name="_Toc535417240"/>
      <w:r w:rsidRPr="003B6E11">
        <w:rPr>
          <w:lang w:val="cs-CZ"/>
        </w:rPr>
        <w:t>Oddíl VI</w:t>
      </w:r>
      <w:bookmarkEnd w:id="702"/>
      <w:bookmarkEnd w:id="703"/>
    </w:p>
    <w:p w:rsidR="003B6E11" w:rsidRPr="003B6E11" w:rsidRDefault="003B6E11" w:rsidP="003B6E11">
      <w:pPr>
        <w:pStyle w:val="ES-Titre3a"/>
        <w:rPr>
          <w:noProof/>
          <w:lang w:val="cs-CZ"/>
        </w:rPr>
      </w:pPr>
      <w:bookmarkStart w:id="704" w:name="_Toc491854335"/>
      <w:bookmarkStart w:id="705" w:name="_Toc535417241"/>
      <w:r w:rsidRPr="003B6E11">
        <w:rPr>
          <w:lang w:val="cs-CZ"/>
        </w:rPr>
        <w:t>Přehled vyrobených palubních čistíren odpadních vod</w:t>
      </w:r>
      <w:bookmarkEnd w:id="704"/>
      <w:bookmarkEnd w:id="705"/>
    </w:p>
    <w:p w:rsidR="003B6E11" w:rsidRPr="003B6E11" w:rsidRDefault="003B6E11" w:rsidP="003B6E11">
      <w:pPr>
        <w:overflowPunct w:val="0"/>
        <w:adjustRightInd w:val="0"/>
        <w:spacing w:line="240" w:lineRule="exact"/>
        <w:jc w:val="center"/>
        <w:textAlignment w:val="baseline"/>
        <w:rPr>
          <w:rFonts w:eastAsia="Calibri" w:cs="Arial"/>
          <w:szCs w:val="20"/>
          <w:lang w:val="cs-CZ"/>
        </w:rPr>
      </w:pPr>
      <w:r w:rsidRPr="003B6E11">
        <w:rPr>
          <w:lang w:val="cs-CZ"/>
        </w:rPr>
        <w:t>(Vzor)</w:t>
      </w:r>
    </w:p>
    <w:p w:rsidR="003B6E11" w:rsidRPr="003B6E11" w:rsidRDefault="003B6E11" w:rsidP="003B6E11">
      <w:pPr>
        <w:suppressAutoHyphens/>
        <w:spacing w:line="240" w:lineRule="atLeast"/>
        <w:rPr>
          <w:rFonts w:cs="Arial"/>
          <w:lang w:val="cs-CZ"/>
        </w:rPr>
      </w:pPr>
    </w:p>
    <w:p w:rsidR="003B6E11" w:rsidRPr="003B6E11" w:rsidRDefault="003B6E11" w:rsidP="003B6E11">
      <w:pPr>
        <w:suppressAutoHyphens/>
        <w:spacing w:line="240" w:lineRule="atLeast"/>
        <w:jc w:val="right"/>
        <w:rPr>
          <w:rFonts w:cs="Arial"/>
          <w:szCs w:val="20"/>
          <w:lang w:val="cs-CZ"/>
        </w:rPr>
      </w:pPr>
      <w:r w:rsidRPr="003B6E11">
        <w:rPr>
          <w:sz w:val="16"/>
          <w:lang w:val="cs-CZ"/>
        </w:rPr>
        <w:t>Razítko příslušného orgánu</w:t>
      </w:r>
    </w:p>
    <w:p w:rsidR="003B6E11" w:rsidRPr="003B6E11" w:rsidRDefault="003B6E11" w:rsidP="003B6E11">
      <w:pPr>
        <w:tabs>
          <w:tab w:val="left" w:leader="dot" w:pos="9072"/>
        </w:tabs>
        <w:suppressAutoHyphens/>
        <w:spacing w:line="240" w:lineRule="atLeast"/>
        <w:rPr>
          <w:rFonts w:cs="Arial"/>
          <w:szCs w:val="20"/>
          <w:lang w:val="cs-CZ"/>
        </w:rPr>
      </w:pPr>
    </w:p>
    <w:p w:rsidR="003B6E11" w:rsidRPr="003B6E11" w:rsidRDefault="003B6E11" w:rsidP="003B6E11">
      <w:pPr>
        <w:tabs>
          <w:tab w:val="left" w:leader="dot" w:pos="9072"/>
        </w:tabs>
        <w:suppressAutoHyphens/>
        <w:spacing w:line="240" w:lineRule="atLeast"/>
        <w:rPr>
          <w:rFonts w:cs="Arial"/>
          <w:szCs w:val="20"/>
          <w:lang w:val="cs-CZ"/>
        </w:rPr>
      </w:pPr>
      <w:r w:rsidRPr="003B6E11">
        <w:rPr>
          <w:lang w:val="cs-CZ"/>
        </w:rPr>
        <w:t xml:space="preserve">Seznam č.: </w:t>
      </w:r>
      <w:r w:rsidRPr="003B6E11">
        <w:rPr>
          <w:lang w:val="cs-CZ"/>
        </w:rPr>
        <w:tab/>
      </w:r>
    </w:p>
    <w:p w:rsidR="003B6E11" w:rsidRPr="003B6E11" w:rsidRDefault="003B6E11" w:rsidP="003B6E11">
      <w:pPr>
        <w:tabs>
          <w:tab w:val="left" w:leader="dot" w:pos="4536"/>
          <w:tab w:val="left" w:leader="dot" w:pos="8505"/>
          <w:tab w:val="left" w:leader="dot" w:pos="9072"/>
        </w:tabs>
        <w:suppressAutoHyphens/>
        <w:spacing w:line="240" w:lineRule="atLeast"/>
        <w:rPr>
          <w:rFonts w:cs="Arial"/>
          <w:szCs w:val="20"/>
          <w:lang w:val="cs-CZ"/>
        </w:rPr>
      </w:pPr>
    </w:p>
    <w:p w:rsidR="003B6E11" w:rsidRPr="003B6E11" w:rsidRDefault="003B6E11" w:rsidP="003B6E11">
      <w:pPr>
        <w:tabs>
          <w:tab w:val="left" w:leader="dot" w:pos="4536"/>
          <w:tab w:val="left" w:pos="4678"/>
          <w:tab w:val="left" w:leader="dot" w:pos="9072"/>
        </w:tabs>
        <w:suppressAutoHyphens/>
        <w:spacing w:line="240" w:lineRule="atLeast"/>
        <w:rPr>
          <w:rFonts w:cs="Arial"/>
          <w:szCs w:val="20"/>
          <w:lang w:val="cs-CZ"/>
        </w:rPr>
      </w:pPr>
      <w:r w:rsidRPr="003B6E11">
        <w:rPr>
          <w:lang w:val="cs-CZ"/>
        </w:rPr>
        <w:t xml:space="preserve">Za období od: </w:t>
      </w:r>
      <w:r w:rsidRPr="003B6E11">
        <w:rPr>
          <w:lang w:val="cs-CZ"/>
        </w:rPr>
        <w:tab/>
        <w:t xml:space="preserve"> </w:t>
      </w:r>
      <w:r w:rsidRPr="003B6E11">
        <w:rPr>
          <w:lang w:val="cs-CZ"/>
        </w:rPr>
        <w:tab/>
        <w:t xml:space="preserve">do: </w:t>
      </w:r>
      <w:r w:rsidRPr="003B6E11">
        <w:rPr>
          <w:lang w:val="cs-CZ"/>
        </w:rPr>
        <w:tab/>
      </w:r>
    </w:p>
    <w:p w:rsidR="003B6E11" w:rsidRPr="003B6E11" w:rsidRDefault="003B6E11" w:rsidP="003B6E11">
      <w:pPr>
        <w:tabs>
          <w:tab w:val="left" w:leader="dot" w:pos="9072"/>
        </w:tabs>
        <w:suppressAutoHyphens/>
        <w:spacing w:line="240" w:lineRule="atLeast"/>
        <w:rPr>
          <w:rFonts w:cs="Arial"/>
          <w:szCs w:val="20"/>
          <w:lang w:val="cs-CZ"/>
        </w:rPr>
      </w:pPr>
    </w:p>
    <w:p w:rsidR="003B6E11" w:rsidRPr="003B6E11" w:rsidRDefault="003B6E11" w:rsidP="003B6E11">
      <w:pPr>
        <w:tabs>
          <w:tab w:val="left" w:leader="dot" w:pos="9072"/>
        </w:tabs>
        <w:suppressAutoHyphens/>
        <w:spacing w:line="240" w:lineRule="atLeast"/>
        <w:rPr>
          <w:rFonts w:cs="Arial"/>
          <w:szCs w:val="20"/>
          <w:lang w:val="cs-CZ"/>
        </w:rPr>
      </w:pPr>
      <w:r w:rsidRPr="003B6E11">
        <w:rPr>
          <w:lang w:val="cs-CZ"/>
        </w:rPr>
        <w:t>K typům palubních čistíren odpadních vod a číslům schválení typu palubních čistíren odpadních vod vyrobených ve výše uvedeném období v souladu s ustanoveními evropského normy, kterou se stanoví technické požadavky na plavidla vnitrozemské plavby (ES-TRIN), se poskytují následující informace:</w:t>
      </w:r>
    </w:p>
    <w:p w:rsidR="003B6E11" w:rsidRPr="003B6E11" w:rsidRDefault="003B6E11" w:rsidP="003B6E11">
      <w:pPr>
        <w:spacing w:line="240" w:lineRule="atLeast"/>
        <w:rPr>
          <w:rFonts w:cs="Arial"/>
          <w:color w:val="000000"/>
          <w:lang w:val="cs-CZ"/>
        </w:rPr>
      </w:pPr>
    </w:p>
    <w:p w:rsidR="003B6E11" w:rsidRPr="003B6E11" w:rsidRDefault="003B6E11" w:rsidP="003B6E11">
      <w:pPr>
        <w:tabs>
          <w:tab w:val="left" w:leader="dot" w:pos="9072"/>
        </w:tabs>
        <w:suppressAutoHyphens/>
        <w:spacing w:line="240" w:lineRule="atLeast"/>
        <w:rPr>
          <w:rFonts w:cs="Arial"/>
          <w:szCs w:val="20"/>
          <w:lang w:val="cs-CZ"/>
        </w:rPr>
      </w:pPr>
      <w:r w:rsidRPr="003B6E11">
        <w:rPr>
          <w:lang w:val="cs-CZ"/>
        </w:rPr>
        <w:t xml:space="preserve">Značka (název společnosti výrobce): </w:t>
      </w:r>
      <w:r w:rsidRPr="003B6E11">
        <w:rPr>
          <w:lang w:val="cs-CZ"/>
        </w:rPr>
        <w:tab/>
      </w:r>
    </w:p>
    <w:p w:rsidR="003B6E11" w:rsidRPr="003B6E11" w:rsidRDefault="003B6E11" w:rsidP="003B6E11">
      <w:pPr>
        <w:tabs>
          <w:tab w:val="left" w:leader="dot" w:pos="9072"/>
        </w:tabs>
        <w:suppressAutoHyphens/>
        <w:spacing w:line="240" w:lineRule="atLeast"/>
        <w:rPr>
          <w:rFonts w:cs="Arial"/>
          <w:szCs w:val="20"/>
          <w:lang w:val="cs-CZ"/>
        </w:rPr>
      </w:pPr>
    </w:p>
    <w:p w:rsidR="003B6E11" w:rsidRPr="003B6E11" w:rsidRDefault="003B6E11" w:rsidP="003B6E11">
      <w:pPr>
        <w:tabs>
          <w:tab w:val="left" w:leader="dot" w:pos="9072"/>
        </w:tabs>
        <w:suppressAutoHyphens/>
        <w:spacing w:line="240" w:lineRule="atLeast"/>
        <w:rPr>
          <w:rFonts w:cs="Arial"/>
          <w:szCs w:val="20"/>
          <w:lang w:val="cs-CZ"/>
        </w:rPr>
      </w:pPr>
      <w:r w:rsidRPr="003B6E11">
        <w:rPr>
          <w:lang w:val="cs-CZ"/>
        </w:rPr>
        <w:t xml:space="preserve">Označení výrobce pro typ palubní čistírny odpadních vod: </w:t>
      </w:r>
      <w:r w:rsidRPr="003B6E11">
        <w:rPr>
          <w:lang w:val="cs-CZ"/>
        </w:rPr>
        <w:tab/>
      </w:r>
    </w:p>
    <w:p w:rsidR="003B6E11" w:rsidRPr="003B6E11" w:rsidRDefault="003B6E11" w:rsidP="003B6E11">
      <w:pPr>
        <w:tabs>
          <w:tab w:val="left" w:leader="dot" w:pos="9072"/>
        </w:tabs>
        <w:suppressAutoHyphens/>
        <w:spacing w:line="240" w:lineRule="atLeast"/>
        <w:rPr>
          <w:rFonts w:cs="Arial"/>
          <w:szCs w:val="20"/>
          <w:lang w:val="cs-CZ"/>
        </w:rPr>
      </w:pPr>
      <w:r w:rsidRPr="003B6E11">
        <w:rPr>
          <w:lang w:val="cs-CZ"/>
        </w:rPr>
        <w:tab/>
      </w:r>
    </w:p>
    <w:p w:rsidR="003B6E11" w:rsidRPr="003B6E11" w:rsidRDefault="003B6E11" w:rsidP="003B6E11">
      <w:pPr>
        <w:tabs>
          <w:tab w:val="left" w:leader="dot" w:pos="9072"/>
        </w:tabs>
        <w:suppressAutoHyphens/>
        <w:spacing w:line="240" w:lineRule="atLeast"/>
        <w:rPr>
          <w:rFonts w:cs="Arial"/>
          <w:szCs w:val="20"/>
          <w:lang w:val="cs-CZ"/>
        </w:rPr>
      </w:pPr>
    </w:p>
    <w:p w:rsidR="003B6E11" w:rsidRPr="003B6E11" w:rsidRDefault="003B6E11" w:rsidP="003B6E11">
      <w:pPr>
        <w:tabs>
          <w:tab w:val="left" w:leader="dot" w:pos="9072"/>
        </w:tabs>
        <w:suppressAutoHyphens/>
        <w:spacing w:line="240" w:lineRule="atLeast"/>
        <w:rPr>
          <w:rFonts w:cs="Arial"/>
          <w:szCs w:val="20"/>
          <w:lang w:val="cs-CZ"/>
        </w:rPr>
      </w:pPr>
      <w:r w:rsidRPr="003B6E11">
        <w:rPr>
          <w:lang w:val="cs-CZ"/>
        </w:rPr>
        <w:t xml:space="preserve">Číslo schválení typu: </w:t>
      </w:r>
      <w:r w:rsidRPr="003B6E11">
        <w:rPr>
          <w:lang w:val="cs-CZ"/>
        </w:rPr>
        <w:tab/>
      </w:r>
    </w:p>
    <w:p w:rsidR="003B6E11" w:rsidRPr="003B6E11" w:rsidRDefault="003B6E11" w:rsidP="003B6E11">
      <w:pPr>
        <w:tabs>
          <w:tab w:val="left" w:leader="dot" w:pos="9072"/>
        </w:tabs>
        <w:suppressAutoHyphens/>
        <w:spacing w:line="240" w:lineRule="atLeast"/>
        <w:rPr>
          <w:rFonts w:cs="Arial"/>
          <w:szCs w:val="20"/>
          <w:lang w:val="cs-CZ"/>
        </w:rPr>
      </w:pPr>
    </w:p>
    <w:p w:rsidR="003B6E11" w:rsidRPr="003B6E11" w:rsidRDefault="003B6E11" w:rsidP="003B6E11">
      <w:pPr>
        <w:tabs>
          <w:tab w:val="left" w:leader="dot" w:pos="9072"/>
        </w:tabs>
        <w:suppressAutoHyphens/>
        <w:spacing w:line="240" w:lineRule="atLeast"/>
        <w:rPr>
          <w:rFonts w:cs="Arial"/>
          <w:szCs w:val="20"/>
          <w:lang w:val="cs-CZ"/>
        </w:rPr>
      </w:pPr>
      <w:r w:rsidRPr="003B6E11">
        <w:rPr>
          <w:lang w:val="cs-CZ"/>
        </w:rPr>
        <w:t xml:space="preserve">Datum prvního vydání: </w:t>
      </w:r>
      <w:r w:rsidRPr="003B6E11">
        <w:rPr>
          <w:lang w:val="cs-CZ"/>
        </w:rPr>
        <w:tab/>
      </w:r>
    </w:p>
    <w:p w:rsidR="003B6E11" w:rsidRPr="003B6E11" w:rsidRDefault="003B6E11" w:rsidP="003B6E11">
      <w:pPr>
        <w:tabs>
          <w:tab w:val="left" w:leader="dot" w:pos="9072"/>
        </w:tabs>
        <w:suppressAutoHyphens/>
        <w:spacing w:line="240" w:lineRule="atLeast"/>
        <w:rPr>
          <w:rFonts w:cs="Arial"/>
          <w:szCs w:val="20"/>
          <w:lang w:val="cs-CZ"/>
        </w:rPr>
      </w:pPr>
    </w:p>
    <w:p w:rsidR="003B6E11" w:rsidRPr="003B6E11" w:rsidRDefault="003B6E11" w:rsidP="003B6E11">
      <w:pPr>
        <w:tabs>
          <w:tab w:val="left" w:leader="dot" w:pos="9072"/>
        </w:tabs>
        <w:suppressAutoHyphens/>
        <w:spacing w:line="240" w:lineRule="atLeast"/>
        <w:rPr>
          <w:rFonts w:cs="Arial"/>
          <w:szCs w:val="20"/>
          <w:lang w:val="cs-CZ"/>
        </w:rPr>
      </w:pPr>
      <w:r w:rsidRPr="003B6E11">
        <w:rPr>
          <w:lang w:val="cs-CZ"/>
        </w:rPr>
        <w:t>Datum prvního vydání (v případě prodloužení):</w:t>
      </w:r>
      <w:r w:rsidRPr="003B6E11">
        <w:rPr>
          <w:lang w:val="cs-CZ"/>
        </w:rPr>
        <w:tab/>
      </w:r>
    </w:p>
    <w:p w:rsidR="003B6E11" w:rsidRPr="003B6E11" w:rsidRDefault="003B6E11" w:rsidP="003B6E11">
      <w:pPr>
        <w:tabs>
          <w:tab w:val="left" w:leader="dot" w:pos="9072"/>
        </w:tabs>
        <w:suppressAutoHyphens/>
        <w:spacing w:line="240" w:lineRule="atLeast"/>
        <w:ind w:left="567"/>
        <w:rPr>
          <w:rFonts w:cs="Arial"/>
          <w:szCs w:val="20"/>
          <w:lang w:val="cs-CZ"/>
        </w:rPr>
      </w:pPr>
    </w:p>
    <w:p w:rsidR="003B6E11" w:rsidRPr="003B6E11" w:rsidRDefault="003B6E11" w:rsidP="003B6E11">
      <w:pPr>
        <w:tabs>
          <w:tab w:val="left" w:pos="4111"/>
          <w:tab w:val="left" w:pos="5812"/>
          <w:tab w:val="left" w:pos="7938"/>
        </w:tabs>
        <w:suppressAutoHyphens/>
        <w:spacing w:line="240" w:lineRule="atLeast"/>
        <w:rPr>
          <w:rFonts w:cs="Arial"/>
          <w:szCs w:val="20"/>
          <w:lang w:val="cs-CZ"/>
        </w:rPr>
      </w:pPr>
      <w:r w:rsidRPr="003B6E11">
        <w:rPr>
          <w:lang w:val="cs-CZ"/>
        </w:rPr>
        <w:t>Sériové číslo:</w:t>
      </w:r>
      <w:r w:rsidRPr="003B6E11">
        <w:rPr>
          <w:lang w:val="cs-CZ"/>
        </w:rPr>
        <w:tab/>
        <w:t>... 001</w:t>
      </w:r>
      <w:r w:rsidRPr="003B6E11">
        <w:rPr>
          <w:lang w:val="cs-CZ"/>
        </w:rPr>
        <w:tab/>
        <w:t>... 001</w:t>
      </w:r>
      <w:r w:rsidRPr="003B6E11">
        <w:rPr>
          <w:lang w:val="cs-CZ"/>
        </w:rPr>
        <w:tab/>
        <w:t>... 001</w:t>
      </w:r>
    </w:p>
    <w:p w:rsidR="003B6E11" w:rsidRPr="003B6E11" w:rsidRDefault="003B6E11" w:rsidP="003B6E11">
      <w:pPr>
        <w:tabs>
          <w:tab w:val="left" w:pos="4111"/>
          <w:tab w:val="left" w:pos="5812"/>
          <w:tab w:val="left" w:pos="7938"/>
        </w:tabs>
        <w:suppressAutoHyphens/>
        <w:spacing w:line="240" w:lineRule="atLeast"/>
        <w:rPr>
          <w:rFonts w:cs="Arial"/>
          <w:szCs w:val="20"/>
          <w:lang w:val="cs-CZ"/>
        </w:rPr>
      </w:pPr>
      <w:r w:rsidRPr="003B6E11">
        <w:rPr>
          <w:lang w:val="cs-CZ"/>
        </w:rPr>
        <w:tab/>
      </w:r>
    </w:p>
    <w:p w:rsidR="003B6E11" w:rsidRPr="003B6E11" w:rsidRDefault="003B6E11" w:rsidP="003B6E11">
      <w:pPr>
        <w:tabs>
          <w:tab w:val="left" w:pos="4111"/>
          <w:tab w:val="left" w:pos="5812"/>
          <w:tab w:val="left" w:pos="7938"/>
        </w:tabs>
        <w:suppressAutoHyphens/>
        <w:spacing w:line="240" w:lineRule="atLeast"/>
        <w:ind w:left="4111"/>
        <w:rPr>
          <w:rFonts w:cs="Arial"/>
          <w:szCs w:val="20"/>
          <w:lang w:val="cs-CZ"/>
        </w:rPr>
      </w:pPr>
      <w:r w:rsidRPr="003B6E11">
        <w:rPr>
          <w:lang w:val="cs-CZ"/>
        </w:rPr>
        <w:t>... 002</w:t>
      </w:r>
      <w:r w:rsidRPr="003B6E11">
        <w:rPr>
          <w:lang w:val="cs-CZ"/>
        </w:rPr>
        <w:tab/>
        <w:t>... 002</w:t>
      </w:r>
      <w:r w:rsidRPr="003B6E11">
        <w:rPr>
          <w:lang w:val="cs-CZ"/>
        </w:rPr>
        <w:tab/>
        <w:t>... 002</w:t>
      </w:r>
    </w:p>
    <w:p w:rsidR="003B6E11" w:rsidRPr="003B6E11" w:rsidRDefault="003B6E11" w:rsidP="003B6E11">
      <w:pPr>
        <w:tabs>
          <w:tab w:val="left" w:pos="4111"/>
          <w:tab w:val="left" w:pos="5812"/>
          <w:tab w:val="left" w:pos="7938"/>
        </w:tabs>
        <w:suppressAutoHyphens/>
        <w:spacing w:line="240" w:lineRule="atLeast"/>
        <w:ind w:left="4111"/>
        <w:rPr>
          <w:rFonts w:cs="Arial"/>
          <w:szCs w:val="20"/>
          <w:lang w:val="cs-CZ"/>
        </w:rPr>
      </w:pPr>
    </w:p>
    <w:p w:rsidR="003B6E11" w:rsidRPr="003B6E11" w:rsidRDefault="003B6E11" w:rsidP="003B6E11">
      <w:pPr>
        <w:tabs>
          <w:tab w:val="left" w:pos="4111"/>
          <w:tab w:val="left" w:pos="5812"/>
          <w:tab w:val="left" w:pos="7938"/>
        </w:tabs>
        <w:suppressAutoHyphens/>
        <w:spacing w:line="240" w:lineRule="atLeast"/>
        <w:ind w:left="4111"/>
        <w:rPr>
          <w:rFonts w:cs="Arial"/>
          <w:szCs w:val="20"/>
          <w:lang w:val="cs-CZ"/>
        </w:rPr>
      </w:pPr>
      <w:r w:rsidRPr="003B6E11">
        <w:rPr>
          <w:lang w:val="cs-CZ"/>
        </w:rPr>
        <w:t>.</w:t>
      </w:r>
      <w:r w:rsidRPr="003B6E11">
        <w:rPr>
          <w:lang w:val="cs-CZ"/>
        </w:rPr>
        <w:tab/>
        <w:t>.</w:t>
      </w:r>
      <w:r w:rsidRPr="003B6E11">
        <w:rPr>
          <w:lang w:val="cs-CZ"/>
        </w:rPr>
        <w:tab/>
        <w:t>.</w:t>
      </w:r>
    </w:p>
    <w:p w:rsidR="003B6E11" w:rsidRPr="003B6E11" w:rsidRDefault="003B6E11" w:rsidP="003B6E11">
      <w:pPr>
        <w:tabs>
          <w:tab w:val="left" w:pos="4111"/>
          <w:tab w:val="left" w:pos="5812"/>
          <w:tab w:val="left" w:pos="7938"/>
        </w:tabs>
        <w:suppressAutoHyphens/>
        <w:spacing w:line="240" w:lineRule="atLeast"/>
        <w:ind w:left="4111"/>
        <w:rPr>
          <w:rFonts w:cs="Arial"/>
          <w:szCs w:val="20"/>
          <w:lang w:val="cs-CZ"/>
        </w:rPr>
      </w:pPr>
      <w:r w:rsidRPr="003B6E11">
        <w:rPr>
          <w:lang w:val="cs-CZ"/>
        </w:rPr>
        <w:t>.</w:t>
      </w:r>
      <w:r w:rsidRPr="003B6E11">
        <w:rPr>
          <w:lang w:val="cs-CZ"/>
        </w:rPr>
        <w:tab/>
        <w:t>.</w:t>
      </w:r>
      <w:r w:rsidRPr="003B6E11">
        <w:rPr>
          <w:lang w:val="cs-CZ"/>
        </w:rPr>
        <w:tab/>
        <w:t>.</w:t>
      </w:r>
    </w:p>
    <w:p w:rsidR="003B6E11" w:rsidRPr="003B6E11" w:rsidRDefault="003B6E11" w:rsidP="003B6E11">
      <w:pPr>
        <w:tabs>
          <w:tab w:val="left" w:pos="4111"/>
          <w:tab w:val="left" w:pos="5812"/>
          <w:tab w:val="left" w:pos="7938"/>
        </w:tabs>
        <w:suppressAutoHyphens/>
        <w:spacing w:line="240" w:lineRule="atLeast"/>
        <w:ind w:left="4111"/>
        <w:rPr>
          <w:rFonts w:cs="Arial"/>
          <w:szCs w:val="20"/>
          <w:lang w:val="cs-CZ"/>
        </w:rPr>
      </w:pPr>
      <w:r w:rsidRPr="003B6E11">
        <w:rPr>
          <w:lang w:val="cs-CZ"/>
        </w:rPr>
        <w:t>.</w:t>
      </w:r>
      <w:r w:rsidRPr="003B6E11">
        <w:rPr>
          <w:lang w:val="cs-CZ"/>
        </w:rPr>
        <w:tab/>
        <w:t>.</w:t>
      </w:r>
      <w:r w:rsidRPr="003B6E11">
        <w:rPr>
          <w:lang w:val="cs-CZ"/>
        </w:rPr>
        <w:tab/>
        <w:t>.</w:t>
      </w:r>
    </w:p>
    <w:p w:rsidR="003B6E11" w:rsidRPr="003B6E11" w:rsidRDefault="003B6E11" w:rsidP="003B6E11">
      <w:pPr>
        <w:tabs>
          <w:tab w:val="left" w:pos="4111"/>
          <w:tab w:val="left" w:pos="5812"/>
          <w:tab w:val="left" w:pos="7938"/>
        </w:tabs>
        <w:suppressAutoHyphens/>
        <w:spacing w:line="240" w:lineRule="atLeast"/>
        <w:ind w:left="4111"/>
        <w:rPr>
          <w:rFonts w:cs="Arial"/>
          <w:szCs w:val="20"/>
          <w:lang w:val="cs-CZ"/>
        </w:rPr>
      </w:pPr>
    </w:p>
    <w:p w:rsidR="003B6E11" w:rsidRPr="003B6E11" w:rsidRDefault="003B6E11" w:rsidP="003B6E11">
      <w:pPr>
        <w:tabs>
          <w:tab w:val="left" w:pos="4111"/>
          <w:tab w:val="left" w:pos="5812"/>
          <w:tab w:val="left" w:pos="7938"/>
        </w:tabs>
        <w:suppressAutoHyphens/>
        <w:spacing w:line="240" w:lineRule="atLeast"/>
        <w:ind w:left="4111"/>
        <w:rPr>
          <w:rFonts w:cs="Arial"/>
          <w:szCs w:val="20"/>
          <w:lang w:val="cs-CZ"/>
        </w:rPr>
      </w:pPr>
      <w:r w:rsidRPr="003B6E11">
        <w:rPr>
          <w:lang w:val="cs-CZ"/>
        </w:rPr>
        <w:t>..... m</w:t>
      </w:r>
      <w:r w:rsidRPr="003B6E11">
        <w:rPr>
          <w:lang w:val="cs-CZ"/>
        </w:rPr>
        <w:tab/>
        <w:t>..... p</w:t>
      </w:r>
      <w:r w:rsidRPr="003B6E11">
        <w:rPr>
          <w:lang w:val="cs-CZ"/>
        </w:rPr>
        <w:tab/>
        <w:t>..... q</w:t>
      </w:r>
    </w:p>
    <w:p w:rsidR="003B6E11" w:rsidRPr="003B6E11" w:rsidRDefault="003B6E11" w:rsidP="003B6E11">
      <w:pPr>
        <w:tabs>
          <w:tab w:val="left" w:pos="4111"/>
          <w:tab w:val="left" w:pos="5812"/>
          <w:tab w:val="left" w:pos="7938"/>
        </w:tabs>
        <w:suppressAutoHyphens/>
        <w:spacing w:line="240" w:lineRule="atLeast"/>
        <w:ind w:left="4111"/>
        <w:rPr>
          <w:rFonts w:cs="Arial"/>
          <w:szCs w:val="20"/>
          <w:lang w:val="cs-CZ"/>
        </w:rPr>
      </w:pPr>
    </w:p>
    <w:p w:rsidR="003B6E11" w:rsidRPr="003B6E11" w:rsidRDefault="003B6E11" w:rsidP="003B6E11">
      <w:pPr>
        <w:tabs>
          <w:tab w:val="left" w:pos="4111"/>
          <w:tab w:val="left" w:pos="5812"/>
          <w:tab w:val="left" w:pos="7938"/>
        </w:tabs>
        <w:suppressAutoHyphens/>
        <w:spacing w:line="240" w:lineRule="atLeast"/>
        <w:ind w:left="4111"/>
        <w:rPr>
          <w:rFonts w:cs="Arial"/>
          <w:szCs w:val="20"/>
          <w:lang w:val="cs-CZ"/>
        </w:rPr>
      </w:pPr>
    </w:p>
    <w:p w:rsidR="003B6E11" w:rsidRPr="003B6E11" w:rsidRDefault="003B6E11" w:rsidP="003B6E11">
      <w:pPr>
        <w:suppressAutoHyphens/>
        <w:spacing w:line="240" w:lineRule="atLeast"/>
        <w:rPr>
          <w:rFonts w:cs="Arial"/>
          <w:lang w:val="cs-CZ"/>
        </w:rPr>
      </w:pPr>
    </w:p>
    <w:p w:rsidR="003B6E11" w:rsidRPr="003B6E11" w:rsidRDefault="003B6E11" w:rsidP="003B6E11">
      <w:pPr>
        <w:suppressAutoHyphens/>
        <w:spacing w:line="240" w:lineRule="atLeast"/>
        <w:rPr>
          <w:rFonts w:cs="Arial"/>
          <w:lang w:val="cs-CZ"/>
        </w:rPr>
      </w:pPr>
    </w:p>
    <w:p w:rsidR="003B6E11" w:rsidRPr="003B6E11" w:rsidRDefault="003B6E11" w:rsidP="003B6E11">
      <w:pPr>
        <w:suppressAutoHyphens/>
        <w:spacing w:line="240" w:lineRule="atLeast"/>
        <w:rPr>
          <w:rFonts w:cs="Arial"/>
          <w:lang w:val="cs-CZ"/>
        </w:rPr>
      </w:pPr>
    </w:p>
    <w:p w:rsidR="003B6E11" w:rsidRPr="003B6E11" w:rsidRDefault="003B6E11" w:rsidP="003B6E11">
      <w:pPr>
        <w:suppressAutoHyphens/>
        <w:spacing w:line="240" w:lineRule="atLeast"/>
        <w:rPr>
          <w:rFonts w:cs="Arial"/>
          <w:lang w:val="cs-CZ"/>
        </w:rPr>
      </w:pPr>
      <w:r w:rsidRPr="003B6E11">
        <w:rPr>
          <w:lang w:val="cs-CZ"/>
        </w:rPr>
        <w:br w:type="page"/>
      </w:r>
    </w:p>
    <w:p w:rsidR="003B6E11" w:rsidRPr="003B6E11" w:rsidRDefault="003B6E11" w:rsidP="003B6E11">
      <w:pPr>
        <w:suppressAutoHyphens/>
        <w:spacing w:line="240" w:lineRule="atLeast"/>
        <w:rPr>
          <w:rFonts w:cs="Arial"/>
          <w:lang w:val="cs-CZ"/>
        </w:rPr>
      </w:pPr>
    </w:p>
    <w:p w:rsidR="003B6E11" w:rsidRPr="003B6E11" w:rsidRDefault="003B6E11" w:rsidP="003B6E11">
      <w:pPr>
        <w:suppressAutoHyphens/>
        <w:spacing w:line="240" w:lineRule="atLeast"/>
        <w:rPr>
          <w:rFonts w:cs="Arial"/>
          <w:lang w:val="cs-CZ"/>
        </w:rPr>
      </w:pPr>
    </w:p>
    <w:p w:rsidR="003B6E11" w:rsidRPr="003B6E11" w:rsidRDefault="003B6E11" w:rsidP="003B6E11">
      <w:pPr>
        <w:tabs>
          <w:tab w:val="left" w:pos="4111"/>
          <w:tab w:val="left" w:pos="5812"/>
          <w:tab w:val="left" w:pos="7938"/>
        </w:tabs>
        <w:suppressAutoHyphens/>
        <w:spacing w:line="240" w:lineRule="atLeast"/>
        <w:rPr>
          <w:rFonts w:cs="Arial"/>
          <w:lang w:val="cs-CZ"/>
        </w:rPr>
      </w:pPr>
    </w:p>
    <w:p w:rsidR="003B6E11" w:rsidRPr="003B6E11" w:rsidRDefault="003B6E11" w:rsidP="003B6E11">
      <w:pPr>
        <w:suppressAutoHyphens/>
        <w:rPr>
          <w:rFonts w:cs="Arial"/>
          <w:sz w:val="24"/>
          <w:lang w:val="cs-CZ"/>
        </w:rPr>
        <w:sectPr w:rsidR="003B6E11" w:rsidRPr="003B6E11" w:rsidSect="009C13A9">
          <w:headerReference w:type="even" r:id="rId82"/>
          <w:headerReference w:type="default" r:id="rId83"/>
          <w:footerReference w:type="even" r:id="rId84"/>
          <w:footerReference w:type="default" r:id="rId85"/>
          <w:headerReference w:type="first" r:id="rId86"/>
          <w:footerReference w:type="first" r:id="rId87"/>
          <w:footnotePr>
            <w:numRestart w:val="eachPage"/>
          </w:footnotePr>
          <w:pgSz w:w="11907" w:h="16840" w:code="9"/>
          <w:pgMar w:top="1418" w:right="1418" w:bottom="1418" w:left="1418" w:header="680" w:footer="680" w:gutter="0"/>
          <w:cols w:space="720"/>
          <w:docGrid w:linePitch="360"/>
        </w:sectPr>
      </w:pPr>
    </w:p>
    <w:p w:rsidR="003B6E11" w:rsidRPr="003B6E11" w:rsidRDefault="003B6E11" w:rsidP="003B6E11">
      <w:pPr>
        <w:suppressAutoHyphens/>
        <w:spacing w:line="240" w:lineRule="atLeast"/>
        <w:jc w:val="center"/>
        <w:rPr>
          <w:rFonts w:cs="Arial"/>
          <w:sz w:val="18"/>
          <w:lang w:val="cs-CZ"/>
        </w:rPr>
      </w:pPr>
    </w:p>
    <w:p w:rsidR="003B6E11" w:rsidRPr="003B6E11" w:rsidRDefault="003B6E11" w:rsidP="003B6E11">
      <w:pPr>
        <w:pStyle w:val="ES-Titre3"/>
        <w:rPr>
          <w:noProof/>
          <w:lang w:val="cs-CZ"/>
        </w:rPr>
      </w:pPr>
      <w:bookmarkStart w:id="706" w:name="_Toc491854336"/>
      <w:bookmarkStart w:id="707" w:name="_Toc535417242"/>
      <w:r w:rsidRPr="003B6E11">
        <w:rPr>
          <w:lang w:val="cs-CZ"/>
        </w:rPr>
        <w:t>Oddíl VII</w:t>
      </w:r>
      <w:bookmarkEnd w:id="706"/>
      <w:bookmarkEnd w:id="707"/>
    </w:p>
    <w:p w:rsidR="003B6E11" w:rsidRPr="003B6E11" w:rsidRDefault="003B6E11" w:rsidP="003B6E11">
      <w:pPr>
        <w:pStyle w:val="ES-Titre3a"/>
        <w:rPr>
          <w:noProof/>
          <w:lang w:val="cs-CZ"/>
        </w:rPr>
      </w:pPr>
      <w:bookmarkStart w:id="708" w:name="_Toc491854337"/>
      <w:bookmarkStart w:id="709" w:name="_Toc535417243"/>
      <w:r w:rsidRPr="003B6E11">
        <w:rPr>
          <w:lang w:val="cs-CZ"/>
        </w:rPr>
        <w:t>List s údaji o palubních čistírnách odpadních vod se schválením typu</w:t>
      </w:r>
      <w:bookmarkEnd w:id="708"/>
      <w:bookmarkEnd w:id="709"/>
      <w:r w:rsidRPr="003B6E11">
        <w:rPr>
          <w:lang w:val="cs-CZ"/>
        </w:rPr>
        <w:t xml:space="preserve"> </w:t>
      </w:r>
    </w:p>
    <w:p w:rsidR="003B6E11" w:rsidRPr="003B6E11" w:rsidRDefault="003B6E11" w:rsidP="003B6E11">
      <w:pPr>
        <w:overflowPunct w:val="0"/>
        <w:adjustRightInd w:val="0"/>
        <w:spacing w:line="240" w:lineRule="exact"/>
        <w:jc w:val="center"/>
        <w:textAlignment w:val="baseline"/>
        <w:rPr>
          <w:rFonts w:eastAsia="Calibri" w:cs="Arial"/>
          <w:szCs w:val="20"/>
          <w:lang w:val="cs-CZ"/>
        </w:rPr>
      </w:pPr>
      <w:r w:rsidRPr="003B6E11">
        <w:rPr>
          <w:lang w:val="cs-CZ"/>
        </w:rPr>
        <w:t>(Vzor)</w:t>
      </w:r>
    </w:p>
    <w:p w:rsidR="003B6E11" w:rsidRPr="003B6E11" w:rsidRDefault="003B6E11" w:rsidP="003B6E11">
      <w:pPr>
        <w:suppressAutoHyphens/>
        <w:spacing w:line="240" w:lineRule="atLeast"/>
        <w:rPr>
          <w:rFonts w:cs="Arial"/>
          <w:szCs w:val="20"/>
          <w:lang w:val="cs-CZ"/>
        </w:rPr>
      </w:pPr>
    </w:p>
    <w:p w:rsidR="003B6E11" w:rsidRPr="003B6E11" w:rsidRDefault="003B6E11" w:rsidP="003B6E11">
      <w:pPr>
        <w:jc w:val="right"/>
        <w:outlineLvl w:val="0"/>
        <w:rPr>
          <w:b/>
          <w:noProof/>
          <w:sz w:val="16"/>
          <w:lang w:val="cs-CZ"/>
        </w:rPr>
      </w:pPr>
      <w:r w:rsidRPr="003B6E11">
        <w:rPr>
          <w:noProof/>
          <w:sz w:val="16"/>
          <w:lang w:val="cs-CZ"/>
        </w:rPr>
        <w:t>Razítko příslušného orgánu</w:t>
      </w:r>
    </w:p>
    <w:p w:rsidR="003B6E11" w:rsidRPr="003B6E11" w:rsidRDefault="003B6E11" w:rsidP="003B6E11">
      <w:pPr>
        <w:suppressAutoHyphens/>
        <w:spacing w:line="240" w:lineRule="atLeast"/>
        <w:rPr>
          <w:rFonts w:cs="Arial"/>
          <w:lang w:val="cs-CZ"/>
        </w:rPr>
      </w:pPr>
    </w:p>
    <w:tbl>
      <w:tblPr>
        <w:tblW w:w="14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
        <w:gridCol w:w="923"/>
        <w:gridCol w:w="1001"/>
        <w:gridCol w:w="780"/>
        <w:gridCol w:w="2178"/>
        <w:gridCol w:w="1302"/>
        <w:gridCol w:w="1006"/>
        <w:gridCol w:w="546"/>
        <w:gridCol w:w="567"/>
        <w:gridCol w:w="992"/>
        <w:gridCol w:w="873"/>
        <w:gridCol w:w="1258"/>
        <w:gridCol w:w="812"/>
        <w:gridCol w:w="1258"/>
        <w:gridCol w:w="812"/>
        <w:gridCol w:w="12"/>
      </w:tblGrid>
      <w:tr w:rsidR="003B6E11" w:rsidRPr="003B6E11" w:rsidTr="002D015D">
        <w:tc>
          <w:tcPr>
            <w:tcW w:w="5334" w:type="dxa"/>
            <w:gridSpan w:val="5"/>
            <w:shd w:val="clear" w:color="auto" w:fill="auto"/>
          </w:tcPr>
          <w:p w:rsidR="003B6E11" w:rsidRPr="003B6E11" w:rsidRDefault="003B6E11" w:rsidP="002D015D">
            <w:pPr>
              <w:spacing w:before="120" w:after="120" w:line="240" w:lineRule="atLeast"/>
              <w:jc w:val="center"/>
              <w:rPr>
                <w:b/>
                <w:bCs/>
                <w:noProof/>
                <w:szCs w:val="20"/>
                <w:lang w:val="cs-CZ"/>
              </w:rPr>
            </w:pPr>
          </w:p>
        </w:tc>
        <w:tc>
          <w:tcPr>
            <w:tcW w:w="3421" w:type="dxa"/>
            <w:gridSpan w:val="4"/>
            <w:shd w:val="clear" w:color="auto" w:fill="auto"/>
          </w:tcPr>
          <w:p w:rsidR="003B6E11" w:rsidRPr="003B6E11" w:rsidRDefault="003B6E11" w:rsidP="002D015D">
            <w:pPr>
              <w:spacing w:before="120" w:after="120" w:line="240" w:lineRule="atLeast"/>
              <w:jc w:val="center"/>
              <w:rPr>
                <w:b/>
                <w:bCs/>
                <w:noProof/>
                <w:szCs w:val="20"/>
                <w:lang w:val="cs-CZ"/>
              </w:rPr>
            </w:pPr>
            <w:r w:rsidRPr="003B6E11">
              <w:rPr>
                <w:b/>
                <w:noProof/>
                <w:sz w:val="16"/>
                <w:lang w:val="cs-CZ"/>
              </w:rPr>
              <w:t>Vlastnosti palubní čistírny odpadních vod</w:t>
            </w:r>
          </w:p>
        </w:tc>
        <w:tc>
          <w:tcPr>
            <w:tcW w:w="6017" w:type="dxa"/>
            <w:gridSpan w:val="7"/>
            <w:shd w:val="clear" w:color="auto" w:fill="auto"/>
          </w:tcPr>
          <w:p w:rsidR="003B6E11" w:rsidRPr="003B6E11" w:rsidRDefault="003B6E11" w:rsidP="002D015D">
            <w:pPr>
              <w:spacing w:before="120" w:after="120" w:line="240" w:lineRule="atLeast"/>
              <w:jc w:val="center"/>
              <w:rPr>
                <w:b/>
                <w:bCs/>
                <w:noProof/>
                <w:szCs w:val="20"/>
                <w:lang w:val="cs-CZ"/>
              </w:rPr>
            </w:pPr>
            <w:r w:rsidRPr="003B6E11">
              <w:rPr>
                <w:b/>
                <w:noProof/>
                <w:sz w:val="16"/>
                <w:lang w:val="cs-CZ"/>
              </w:rPr>
              <w:t>Účinnost čištění</w:t>
            </w:r>
          </w:p>
        </w:tc>
      </w:tr>
      <w:tr w:rsidR="003B6E11" w:rsidRPr="003B6E11" w:rsidTr="002D015D">
        <w:trPr>
          <w:gridAfter w:val="1"/>
          <w:wAfter w:w="12" w:type="dxa"/>
        </w:trPr>
        <w:tc>
          <w:tcPr>
            <w:tcW w:w="452" w:type="dxa"/>
            <w:vMerge w:val="restart"/>
            <w:shd w:val="clear" w:color="auto" w:fill="auto"/>
          </w:tcPr>
          <w:p w:rsidR="003B6E11" w:rsidRPr="003B6E11" w:rsidRDefault="003B6E11" w:rsidP="002D015D">
            <w:pPr>
              <w:spacing w:before="120" w:after="120" w:line="240" w:lineRule="atLeast"/>
              <w:jc w:val="center"/>
              <w:rPr>
                <w:noProof/>
                <w:szCs w:val="20"/>
                <w:lang w:val="cs-CZ"/>
              </w:rPr>
            </w:pPr>
            <w:r w:rsidRPr="003B6E11">
              <w:rPr>
                <w:noProof/>
                <w:sz w:val="16"/>
                <w:lang w:val="cs-CZ"/>
              </w:rPr>
              <w:t>Č.</w:t>
            </w:r>
          </w:p>
        </w:tc>
        <w:tc>
          <w:tcPr>
            <w:tcW w:w="923" w:type="dxa"/>
            <w:vMerge w:val="restart"/>
            <w:shd w:val="clear" w:color="auto" w:fill="auto"/>
          </w:tcPr>
          <w:p w:rsidR="003B6E11" w:rsidRPr="003B6E11" w:rsidRDefault="003B6E11" w:rsidP="002D015D">
            <w:pPr>
              <w:spacing w:before="120" w:after="120" w:line="240" w:lineRule="atLeast"/>
              <w:jc w:val="center"/>
              <w:rPr>
                <w:noProof/>
                <w:szCs w:val="20"/>
                <w:lang w:val="cs-CZ"/>
              </w:rPr>
            </w:pPr>
            <w:r w:rsidRPr="003B6E11">
              <w:rPr>
                <w:noProof/>
                <w:sz w:val="16"/>
                <w:lang w:val="cs-CZ"/>
              </w:rPr>
              <w:t xml:space="preserve">Datum </w:t>
            </w:r>
            <w:r w:rsidRPr="003B6E11">
              <w:rPr>
                <w:noProof/>
                <w:sz w:val="16"/>
                <w:szCs w:val="16"/>
                <w:lang w:val="cs-CZ"/>
              </w:rPr>
              <w:br/>
            </w:r>
            <w:r w:rsidRPr="003B6E11">
              <w:rPr>
                <w:noProof/>
                <w:sz w:val="16"/>
                <w:lang w:val="cs-CZ"/>
              </w:rPr>
              <w:t>schválení typu</w:t>
            </w:r>
          </w:p>
        </w:tc>
        <w:tc>
          <w:tcPr>
            <w:tcW w:w="1001" w:type="dxa"/>
            <w:vMerge w:val="restart"/>
            <w:shd w:val="clear" w:color="auto" w:fill="auto"/>
          </w:tcPr>
          <w:p w:rsidR="003B6E11" w:rsidRPr="003B6E11" w:rsidRDefault="003B6E11" w:rsidP="002D015D">
            <w:pPr>
              <w:spacing w:before="120" w:after="120" w:line="240" w:lineRule="atLeast"/>
              <w:jc w:val="center"/>
              <w:rPr>
                <w:noProof/>
                <w:szCs w:val="20"/>
                <w:lang w:val="cs-CZ"/>
              </w:rPr>
            </w:pPr>
            <w:r w:rsidRPr="003B6E11">
              <w:rPr>
                <w:noProof/>
                <w:sz w:val="16"/>
                <w:lang w:val="cs-CZ"/>
              </w:rPr>
              <w:t>Číslo schválení typu</w:t>
            </w:r>
          </w:p>
        </w:tc>
        <w:tc>
          <w:tcPr>
            <w:tcW w:w="780" w:type="dxa"/>
            <w:vMerge w:val="restart"/>
            <w:shd w:val="clear" w:color="auto" w:fill="auto"/>
          </w:tcPr>
          <w:p w:rsidR="003B6E11" w:rsidRPr="003B6E11" w:rsidRDefault="003B6E11" w:rsidP="002D015D">
            <w:pPr>
              <w:spacing w:before="120" w:after="120" w:line="240" w:lineRule="atLeast"/>
              <w:jc w:val="center"/>
              <w:rPr>
                <w:noProof/>
                <w:szCs w:val="20"/>
                <w:lang w:val="cs-CZ"/>
              </w:rPr>
            </w:pPr>
            <w:r w:rsidRPr="003B6E11">
              <w:rPr>
                <w:noProof/>
                <w:sz w:val="16"/>
                <w:lang w:val="cs-CZ"/>
              </w:rPr>
              <w:t>Značka</w:t>
            </w:r>
          </w:p>
        </w:tc>
        <w:tc>
          <w:tcPr>
            <w:tcW w:w="2178" w:type="dxa"/>
            <w:vMerge w:val="restart"/>
            <w:shd w:val="clear" w:color="auto" w:fill="auto"/>
          </w:tcPr>
          <w:p w:rsidR="003B6E11" w:rsidRPr="003B6E11" w:rsidRDefault="003B6E11" w:rsidP="002D015D">
            <w:pPr>
              <w:spacing w:before="120" w:after="120" w:line="240" w:lineRule="atLeast"/>
              <w:jc w:val="center"/>
              <w:rPr>
                <w:noProof/>
                <w:szCs w:val="20"/>
                <w:lang w:val="cs-CZ"/>
              </w:rPr>
            </w:pPr>
            <w:r w:rsidRPr="003B6E11">
              <w:rPr>
                <w:noProof/>
                <w:sz w:val="16"/>
                <w:lang w:val="cs-CZ"/>
              </w:rPr>
              <w:t>Typ palubní čistírny odpadních vod</w:t>
            </w:r>
          </w:p>
        </w:tc>
        <w:tc>
          <w:tcPr>
            <w:tcW w:w="1302" w:type="dxa"/>
            <w:vMerge w:val="restart"/>
            <w:shd w:val="clear" w:color="auto" w:fill="auto"/>
          </w:tcPr>
          <w:p w:rsidR="003B6E11" w:rsidRPr="003B6E11" w:rsidRDefault="003B6E11" w:rsidP="002D015D">
            <w:pPr>
              <w:spacing w:before="120" w:after="120" w:line="240" w:lineRule="atLeast"/>
              <w:jc w:val="center"/>
              <w:rPr>
                <w:noProof/>
                <w:szCs w:val="20"/>
                <w:lang w:val="cs-CZ"/>
              </w:rPr>
            </w:pPr>
            <w:r w:rsidRPr="003B6E11">
              <w:rPr>
                <w:noProof/>
                <w:sz w:val="16"/>
                <w:lang w:val="cs-CZ"/>
              </w:rPr>
              <w:t xml:space="preserve">Denní průtok odpadních vod </w:t>
            </w:r>
            <m:oMath>
              <m:sSub>
                <m:sSubPr>
                  <m:ctrlPr>
                    <w:rPr>
                      <w:rFonts w:ascii="Cambria Math" w:hAnsi="Cambria Math" w:cs="Arial"/>
                      <w:i/>
                      <w:sz w:val="16"/>
                      <w:szCs w:val="16"/>
                      <w:lang w:val="cs-CZ"/>
                    </w:rPr>
                  </m:ctrlPr>
                </m:sSubPr>
                <m:e>
                  <m:r>
                    <w:rPr>
                      <w:rFonts w:ascii="Cambria Math" w:hAnsi="Cambria Math" w:cs="Arial"/>
                      <w:sz w:val="16"/>
                      <w:szCs w:val="16"/>
                      <w:lang w:val="cs-CZ"/>
                    </w:rPr>
                    <m:t>Q</m:t>
                  </m:r>
                </m:e>
                <m:sub>
                  <m:r>
                    <w:rPr>
                      <w:rFonts w:ascii="Cambria Math" w:hAnsi="Cambria Math" w:cs="Arial"/>
                      <w:sz w:val="16"/>
                      <w:szCs w:val="16"/>
                      <w:lang w:val="cs-CZ"/>
                    </w:rPr>
                    <m:t>d</m:t>
                  </m:r>
                </m:sub>
              </m:sSub>
            </m:oMath>
            <w:r w:rsidRPr="003B6E11">
              <w:rPr>
                <w:noProof/>
                <w:sz w:val="16"/>
                <w:lang w:val="cs-CZ"/>
              </w:rPr>
              <w:t xml:space="preserve"> (m³/d)</w:t>
            </w:r>
          </w:p>
        </w:tc>
        <w:tc>
          <w:tcPr>
            <w:tcW w:w="1006" w:type="dxa"/>
            <w:vMerge w:val="restart"/>
            <w:shd w:val="clear" w:color="auto" w:fill="auto"/>
          </w:tcPr>
          <w:p w:rsidR="003B6E11" w:rsidRPr="003B6E11" w:rsidRDefault="003B6E11" w:rsidP="002D015D">
            <w:pPr>
              <w:spacing w:before="120" w:after="120" w:line="240" w:lineRule="atLeast"/>
              <w:jc w:val="center"/>
              <w:rPr>
                <w:noProof/>
                <w:szCs w:val="20"/>
                <w:lang w:val="cs-CZ"/>
              </w:rPr>
            </w:pPr>
            <w:r w:rsidRPr="003B6E11">
              <w:rPr>
                <w:noProof/>
                <w:sz w:val="16"/>
                <w:lang w:val="cs-CZ"/>
              </w:rPr>
              <w:t xml:space="preserve">Denní zátěž znečištěním </w:t>
            </w:r>
            <m:oMath>
              <m:sSub>
                <m:sSubPr>
                  <m:ctrlPr>
                    <w:rPr>
                      <w:rFonts w:ascii="Cambria Math" w:hAnsi="Cambria Math"/>
                      <w:i/>
                      <w:noProof/>
                      <w:sz w:val="16"/>
                      <w:szCs w:val="16"/>
                      <w:lang w:val="cs-CZ"/>
                    </w:rPr>
                  </m:ctrlPr>
                </m:sSubPr>
                <m:e>
                  <m:r>
                    <w:rPr>
                      <w:rFonts w:ascii="Cambria Math" w:hAnsi="Cambria Math"/>
                      <w:noProof/>
                      <w:sz w:val="16"/>
                      <w:szCs w:val="16"/>
                      <w:lang w:val="cs-CZ"/>
                    </w:rPr>
                    <m:t>BOD</m:t>
                  </m:r>
                </m:e>
                <m:sub>
                  <m:r>
                    <w:rPr>
                      <w:rFonts w:ascii="Cambria Math" w:hAnsi="Cambria Math"/>
                      <w:noProof/>
                      <w:sz w:val="16"/>
                      <w:szCs w:val="16"/>
                      <w:lang w:val="cs-CZ"/>
                    </w:rPr>
                    <m:t>5</m:t>
                  </m:r>
                </m:sub>
              </m:sSub>
            </m:oMath>
            <w:r w:rsidRPr="003B6E11">
              <w:rPr>
                <w:noProof/>
                <w:sz w:val="16"/>
                <w:lang w:val="cs-CZ"/>
              </w:rPr>
              <w:t xml:space="preserve"> (kg/d):</w:t>
            </w:r>
          </w:p>
        </w:tc>
        <w:tc>
          <w:tcPr>
            <w:tcW w:w="546" w:type="dxa"/>
            <w:vMerge w:val="restart"/>
            <w:shd w:val="clear" w:color="auto" w:fill="auto"/>
          </w:tcPr>
          <w:p w:rsidR="003B6E11" w:rsidRPr="003B6E11" w:rsidRDefault="003B6E11" w:rsidP="002D015D">
            <w:pPr>
              <w:spacing w:before="120" w:after="120" w:line="240" w:lineRule="atLeast"/>
              <w:jc w:val="center"/>
              <w:rPr>
                <w:noProof/>
                <w:szCs w:val="20"/>
                <w:lang w:val="cs-CZ"/>
              </w:rPr>
            </w:pPr>
          </w:p>
        </w:tc>
        <w:tc>
          <w:tcPr>
            <w:tcW w:w="567" w:type="dxa"/>
            <w:vMerge w:val="restart"/>
            <w:shd w:val="clear" w:color="auto" w:fill="auto"/>
          </w:tcPr>
          <w:p w:rsidR="003B6E11" w:rsidRPr="003B6E11" w:rsidRDefault="003B6E11" w:rsidP="002D015D">
            <w:pPr>
              <w:spacing w:before="120" w:after="120" w:line="240" w:lineRule="atLeast"/>
              <w:jc w:val="center"/>
              <w:rPr>
                <w:noProof/>
                <w:szCs w:val="20"/>
                <w:lang w:val="cs-CZ"/>
              </w:rPr>
            </w:pPr>
          </w:p>
        </w:tc>
        <w:tc>
          <w:tcPr>
            <w:tcW w:w="1865" w:type="dxa"/>
            <w:gridSpan w:val="2"/>
            <w:shd w:val="clear" w:color="auto" w:fill="auto"/>
          </w:tcPr>
          <w:p w:rsidR="003B6E11" w:rsidRPr="003B6E11" w:rsidRDefault="002D015D" w:rsidP="002D015D">
            <w:pPr>
              <w:spacing w:before="120" w:after="120" w:line="240" w:lineRule="atLeast"/>
              <w:jc w:val="center"/>
              <w:rPr>
                <w:noProof/>
                <w:sz w:val="16"/>
                <w:szCs w:val="16"/>
                <w:lang w:val="cs-CZ"/>
              </w:rPr>
            </w:pPr>
            <m:oMathPara>
              <m:oMath>
                <m:sSub>
                  <m:sSubPr>
                    <m:ctrlPr>
                      <w:rPr>
                        <w:rFonts w:ascii="Cambria Math" w:hAnsi="Cambria Math"/>
                        <w:i/>
                        <w:noProof/>
                        <w:sz w:val="16"/>
                        <w:szCs w:val="16"/>
                        <w:lang w:val="cs-CZ"/>
                      </w:rPr>
                    </m:ctrlPr>
                  </m:sSubPr>
                  <m:e>
                    <m:r>
                      <w:rPr>
                        <w:rFonts w:ascii="Cambria Math" w:hAnsi="Cambria Math"/>
                        <w:noProof/>
                        <w:sz w:val="16"/>
                        <w:szCs w:val="16"/>
                        <w:lang w:val="cs-CZ"/>
                      </w:rPr>
                      <m:t>BOD</m:t>
                    </m:r>
                  </m:e>
                  <m:sub>
                    <m:r>
                      <w:rPr>
                        <w:rFonts w:ascii="Cambria Math" w:hAnsi="Cambria Math"/>
                        <w:noProof/>
                        <w:sz w:val="16"/>
                        <w:szCs w:val="16"/>
                        <w:lang w:val="cs-CZ"/>
                      </w:rPr>
                      <m:t>5</m:t>
                    </m:r>
                  </m:sub>
                </m:sSub>
              </m:oMath>
            </m:oMathPara>
          </w:p>
        </w:tc>
        <w:tc>
          <w:tcPr>
            <w:tcW w:w="2070" w:type="dxa"/>
            <w:gridSpan w:val="2"/>
            <w:shd w:val="clear" w:color="auto" w:fill="auto"/>
          </w:tcPr>
          <w:p w:rsidR="003B6E11" w:rsidRPr="003B6E11" w:rsidRDefault="003B6E11" w:rsidP="002D015D">
            <w:pPr>
              <w:spacing w:before="120" w:after="120" w:line="240" w:lineRule="atLeast"/>
              <w:jc w:val="center"/>
              <w:rPr>
                <w:noProof/>
                <w:szCs w:val="20"/>
                <w:lang w:val="cs-CZ"/>
              </w:rPr>
            </w:pPr>
            <w:r w:rsidRPr="003B6E11">
              <w:rPr>
                <w:noProof/>
                <w:sz w:val="16"/>
                <w:lang w:val="cs-CZ"/>
              </w:rPr>
              <w:t>COD</w:t>
            </w:r>
          </w:p>
        </w:tc>
        <w:tc>
          <w:tcPr>
            <w:tcW w:w="2070" w:type="dxa"/>
            <w:gridSpan w:val="2"/>
            <w:shd w:val="clear" w:color="auto" w:fill="auto"/>
          </w:tcPr>
          <w:p w:rsidR="003B6E11" w:rsidRPr="003B6E11" w:rsidRDefault="003B6E11" w:rsidP="002D015D">
            <w:pPr>
              <w:spacing w:before="120" w:after="120" w:line="240" w:lineRule="atLeast"/>
              <w:jc w:val="center"/>
              <w:rPr>
                <w:noProof/>
                <w:szCs w:val="20"/>
                <w:lang w:val="cs-CZ"/>
              </w:rPr>
            </w:pPr>
            <w:r w:rsidRPr="003B6E11">
              <w:rPr>
                <w:noProof/>
                <w:sz w:val="16"/>
                <w:lang w:val="cs-CZ"/>
              </w:rPr>
              <w:t>TOC</w:t>
            </w:r>
          </w:p>
        </w:tc>
      </w:tr>
      <w:tr w:rsidR="003B6E11" w:rsidRPr="003B6E11" w:rsidTr="002D015D">
        <w:trPr>
          <w:gridAfter w:val="1"/>
          <w:wAfter w:w="12" w:type="dxa"/>
        </w:trPr>
        <w:tc>
          <w:tcPr>
            <w:tcW w:w="452" w:type="dxa"/>
            <w:vMerge/>
            <w:shd w:val="clear" w:color="auto" w:fill="auto"/>
          </w:tcPr>
          <w:p w:rsidR="003B6E11" w:rsidRPr="003B6E11" w:rsidRDefault="003B6E11" w:rsidP="002D015D">
            <w:pPr>
              <w:spacing w:before="120" w:after="120" w:line="240" w:lineRule="atLeast"/>
              <w:rPr>
                <w:noProof/>
                <w:szCs w:val="20"/>
                <w:lang w:val="cs-CZ"/>
              </w:rPr>
            </w:pPr>
          </w:p>
        </w:tc>
        <w:tc>
          <w:tcPr>
            <w:tcW w:w="923" w:type="dxa"/>
            <w:vMerge/>
            <w:shd w:val="clear" w:color="auto" w:fill="auto"/>
          </w:tcPr>
          <w:p w:rsidR="003B6E11" w:rsidRPr="003B6E11" w:rsidRDefault="003B6E11" w:rsidP="002D015D">
            <w:pPr>
              <w:spacing w:before="120" w:after="120" w:line="240" w:lineRule="atLeast"/>
              <w:rPr>
                <w:noProof/>
                <w:szCs w:val="20"/>
                <w:lang w:val="cs-CZ"/>
              </w:rPr>
            </w:pPr>
          </w:p>
        </w:tc>
        <w:tc>
          <w:tcPr>
            <w:tcW w:w="1001" w:type="dxa"/>
            <w:vMerge/>
            <w:shd w:val="clear" w:color="auto" w:fill="auto"/>
          </w:tcPr>
          <w:p w:rsidR="003B6E11" w:rsidRPr="003B6E11" w:rsidRDefault="003B6E11" w:rsidP="002D015D">
            <w:pPr>
              <w:spacing w:before="120" w:after="120" w:line="240" w:lineRule="atLeast"/>
              <w:rPr>
                <w:noProof/>
                <w:szCs w:val="20"/>
                <w:lang w:val="cs-CZ"/>
              </w:rPr>
            </w:pPr>
          </w:p>
        </w:tc>
        <w:tc>
          <w:tcPr>
            <w:tcW w:w="780" w:type="dxa"/>
            <w:vMerge/>
            <w:shd w:val="clear" w:color="auto" w:fill="auto"/>
          </w:tcPr>
          <w:p w:rsidR="003B6E11" w:rsidRPr="003B6E11" w:rsidRDefault="003B6E11" w:rsidP="002D015D">
            <w:pPr>
              <w:spacing w:before="120" w:after="120" w:line="240" w:lineRule="atLeast"/>
              <w:rPr>
                <w:noProof/>
                <w:szCs w:val="20"/>
                <w:lang w:val="cs-CZ"/>
              </w:rPr>
            </w:pPr>
          </w:p>
        </w:tc>
        <w:tc>
          <w:tcPr>
            <w:tcW w:w="2178" w:type="dxa"/>
            <w:vMerge/>
            <w:shd w:val="clear" w:color="auto" w:fill="auto"/>
          </w:tcPr>
          <w:p w:rsidR="003B6E11" w:rsidRPr="003B6E11" w:rsidRDefault="003B6E11" w:rsidP="002D015D">
            <w:pPr>
              <w:spacing w:before="120" w:after="120" w:line="240" w:lineRule="atLeast"/>
              <w:rPr>
                <w:noProof/>
                <w:szCs w:val="20"/>
                <w:lang w:val="cs-CZ"/>
              </w:rPr>
            </w:pPr>
          </w:p>
        </w:tc>
        <w:tc>
          <w:tcPr>
            <w:tcW w:w="1302" w:type="dxa"/>
            <w:vMerge/>
            <w:shd w:val="clear" w:color="auto" w:fill="auto"/>
          </w:tcPr>
          <w:p w:rsidR="003B6E11" w:rsidRPr="003B6E11" w:rsidRDefault="003B6E11" w:rsidP="002D015D">
            <w:pPr>
              <w:spacing w:before="120" w:after="120" w:line="240" w:lineRule="atLeast"/>
              <w:rPr>
                <w:noProof/>
                <w:szCs w:val="20"/>
                <w:lang w:val="cs-CZ"/>
              </w:rPr>
            </w:pPr>
          </w:p>
        </w:tc>
        <w:tc>
          <w:tcPr>
            <w:tcW w:w="1006" w:type="dxa"/>
            <w:vMerge/>
            <w:shd w:val="clear" w:color="auto" w:fill="auto"/>
          </w:tcPr>
          <w:p w:rsidR="003B6E11" w:rsidRPr="003B6E11" w:rsidRDefault="003B6E11" w:rsidP="002D015D">
            <w:pPr>
              <w:spacing w:before="120" w:after="120" w:line="240" w:lineRule="atLeast"/>
              <w:rPr>
                <w:noProof/>
                <w:szCs w:val="20"/>
                <w:lang w:val="cs-CZ"/>
              </w:rPr>
            </w:pPr>
          </w:p>
        </w:tc>
        <w:tc>
          <w:tcPr>
            <w:tcW w:w="546" w:type="dxa"/>
            <w:vMerge/>
            <w:shd w:val="clear" w:color="auto" w:fill="auto"/>
          </w:tcPr>
          <w:p w:rsidR="003B6E11" w:rsidRPr="003B6E11" w:rsidRDefault="003B6E11" w:rsidP="002D015D">
            <w:pPr>
              <w:spacing w:before="120" w:after="120" w:line="240" w:lineRule="atLeast"/>
              <w:rPr>
                <w:noProof/>
                <w:szCs w:val="20"/>
                <w:lang w:val="cs-CZ"/>
              </w:rPr>
            </w:pPr>
          </w:p>
        </w:tc>
        <w:tc>
          <w:tcPr>
            <w:tcW w:w="567" w:type="dxa"/>
            <w:vMerge/>
            <w:shd w:val="clear" w:color="auto" w:fill="auto"/>
          </w:tcPr>
          <w:p w:rsidR="003B6E11" w:rsidRPr="003B6E11" w:rsidRDefault="003B6E11" w:rsidP="002D015D">
            <w:pPr>
              <w:spacing w:before="120" w:after="120" w:line="240" w:lineRule="atLeast"/>
              <w:rPr>
                <w:noProof/>
                <w:szCs w:val="20"/>
                <w:lang w:val="cs-CZ"/>
              </w:rPr>
            </w:pPr>
          </w:p>
        </w:tc>
        <w:tc>
          <w:tcPr>
            <w:tcW w:w="992" w:type="dxa"/>
            <w:shd w:val="clear" w:color="auto" w:fill="auto"/>
          </w:tcPr>
          <w:p w:rsidR="003B6E11" w:rsidRPr="003B6E11" w:rsidRDefault="003B6E11" w:rsidP="002D015D">
            <w:pPr>
              <w:spacing w:before="120" w:after="120" w:line="240" w:lineRule="atLeast"/>
              <w:jc w:val="center"/>
              <w:rPr>
                <w:noProof/>
                <w:szCs w:val="20"/>
                <w:lang w:val="cs-CZ"/>
              </w:rPr>
            </w:pPr>
            <w:r w:rsidRPr="003B6E11">
              <w:rPr>
                <w:noProof/>
                <w:sz w:val="16"/>
                <w:lang w:val="cs-CZ"/>
              </w:rPr>
              <w:t>Souhrnný vzorek za 24 hod.</w:t>
            </w:r>
          </w:p>
        </w:tc>
        <w:tc>
          <w:tcPr>
            <w:tcW w:w="873" w:type="dxa"/>
            <w:shd w:val="clear" w:color="auto" w:fill="auto"/>
          </w:tcPr>
          <w:p w:rsidR="003B6E11" w:rsidRPr="003B6E11" w:rsidRDefault="003B6E11" w:rsidP="002D015D">
            <w:pPr>
              <w:spacing w:before="120" w:after="120" w:line="240" w:lineRule="atLeast"/>
              <w:jc w:val="center"/>
              <w:rPr>
                <w:noProof/>
                <w:sz w:val="16"/>
                <w:szCs w:val="16"/>
                <w:lang w:val="cs-CZ"/>
              </w:rPr>
            </w:pPr>
            <w:r w:rsidRPr="003B6E11">
              <w:rPr>
                <w:noProof/>
                <w:sz w:val="16"/>
                <w:lang w:val="cs-CZ"/>
              </w:rPr>
              <w:t>Náhodný vzorek</w:t>
            </w:r>
          </w:p>
        </w:tc>
        <w:tc>
          <w:tcPr>
            <w:tcW w:w="1258" w:type="dxa"/>
            <w:shd w:val="clear" w:color="auto" w:fill="auto"/>
          </w:tcPr>
          <w:p w:rsidR="003B6E11" w:rsidRPr="003B6E11" w:rsidRDefault="003B6E11" w:rsidP="002D015D">
            <w:pPr>
              <w:spacing w:before="120" w:after="120" w:line="240" w:lineRule="atLeast"/>
              <w:jc w:val="center"/>
              <w:rPr>
                <w:noProof/>
                <w:szCs w:val="20"/>
                <w:lang w:val="cs-CZ"/>
              </w:rPr>
            </w:pPr>
            <w:r w:rsidRPr="003B6E11">
              <w:rPr>
                <w:noProof/>
                <w:sz w:val="16"/>
                <w:lang w:val="cs-CZ"/>
              </w:rPr>
              <w:t>Souhrnný vzorek za 24 hod.</w:t>
            </w:r>
          </w:p>
        </w:tc>
        <w:tc>
          <w:tcPr>
            <w:tcW w:w="812" w:type="dxa"/>
            <w:shd w:val="clear" w:color="auto" w:fill="auto"/>
          </w:tcPr>
          <w:p w:rsidR="003B6E11" w:rsidRPr="003B6E11" w:rsidRDefault="003B6E11" w:rsidP="002D015D">
            <w:pPr>
              <w:spacing w:before="120" w:after="120" w:line="240" w:lineRule="atLeast"/>
              <w:jc w:val="center"/>
              <w:rPr>
                <w:noProof/>
                <w:sz w:val="16"/>
                <w:szCs w:val="16"/>
                <w:lang w:val="cs-CZ"/>
              </w:rPr>
            </w:pPr>
            <w:r w:rsidRPr="003B6E11">
              <w:rPr>
                <w:noProof/>
                <w:sz w:val="16"/>
                <w:lang w:val="cs-CZ"/>
              </w:rPr>
              <w:t>Náhod</w:t>
            </w:r>
            <w:r w:rsidRPr="003B6E11">
              <w:rPr>
                <w:lang w:val="cs-CZ"/>
              </w:rPr>
              <w:softHyphen/>
            </w:r>
            <w:r w:rsidRPr="003B6E11">
              <w:rPr>
                <w:noProof/>
                <w:sz w:val="16"/>
                <w:lang w:val="cs-CZ"/>
              </w:rPr>
              <w:t>ný vzorek</w:t>
            </w:r>
          </w:p>
        </w:tc>
        <w:tc>
          <w:tcPr>
            <w:tcW w:w="1258" w:type="dxa"/>
            <w:shd w:val="clear" w:color="auto" w:fill="auto"/>
          </w:tcPr>
          <w:p w:rsidR="003B6E11" w:rsidRPr="003B6E11" w:rsidRDefault="003B6E11" w:rsidP="002D015D">
            <w:pPr>
              <w:spacing w:before="120" w:after="120" w:line="240" w:lineRule="atLeast"/>
              <w:jc w:val="center"/>
              <w:rPr>
                <w:noProof/>
                <w:szCs w:val="20"/>
                <w:lang w:val="cs-CZ"/>
              </w:rPr>
            </w:pPr>
            <w:r w:rsidRPr="003B6E11">
              <w:rPr>
                <w:noProof/>
                <w:sz w:val="16"/>
                <w:lang w:val="cs-CZ"/>
              </w:rPr>
              <w:t>Souhrnný vzorek za 24 hod.</w:t>
            </w:r>
          </w:p>
        </w:tc>
        <w:tc>
          <w:tcPr>
            <w:tcW w:w="812" w:type="dxa"/>
            <w:shd w:val="clear" w:color="auto" w:fill="auto"/>
          </w:tcPr>
          <w:p w:rsidR="003B6E11" w:rsidRPr="003B6E11" w:rsidRDefault="003B6E11" w:rsidP="002D015D">
            <w:pPr>
              <w:spacing w:before="120" w:after="120" w:line="240" w:lineRule="atLeast"/>
              <w:jc w:val="center"/>
              <w:rPr>
                <w:noProof/>
                <w:sz w:val="16"/>
                <w:szCs w:val="16"/>
                <w:lang w:val="cs-CZ"/>
              </w:rPr>
            </w:pPr>
            <w:r w:rsidRPr="003B6E11">
              <w:rPr>
                <w:noProof/>
                <w:sz w:val="16"/>
                <w:lang w:val="cs-CZ"/>
              </w:rPr>
              <w:t>Náhod</w:t>
            </w:r>
            <w:r w:rsidRPr="003B6E11">
              <w:rPr>
                <w:lang w:val="cs-CZ"/>
              </w:rPr>
              <w:softHyphen/>
            </w:r>
            <w:r w:rsidRPr="003B6E11">
              <w:rPr>
                <w:noProof/>
                <w:sz w:val="16"/>
                <w:lang w:val="cs-CZ"/>
              </w:rPr>
              <w:t>ný vzorek</w:t>
            </w:r>
          </w:p>
        </w:tc>
      </w:tr>
      <w:tr w:rsidR="003B6E11" w:rsidRPr="003B6E11" w:rsidTr="002D015D">
        <w:trPr>
          <w:gridAfter w:val="1"/>
          <w:wAfter w:w="12" w:type="dxa"/>
        </w:trPr>
        <w:tc>
          <w:tcPr>
            <w:tcW w:w="452" w:type="dxa"/>
            <w:shd w:val="clear" w:color="auto" w:fill="auto"/>
          </w:tcPr>
          <w:p w:rsidR="003B6E11" w:rsidRPr="003B6E11" w:rsidRDefault="003B6E11" w:rsidP="002D015D">
            <w:pPr>
              <w:spacing w:before="120" w:after="120" w:line="240" w:lineRule="atLeast"/>
              <w:rPr>
                <w:noProof/>
                <w:szCs w:val="20"/>
                <w:lang w:val="cs-CZ"/>
              </w:rPr>
            </w:pPr>
          </w:p>
        </w:tc>
        <w:tc>
          <w:tcPr>
            <w:tcW w:w="923" w:type="dxa"/>
            <w:shd w:val="clear" w:color="auto" w:fill="auto"/>
          </w:tcPr>
          <w:p w:rsidR="003B6E11" w:rsidRPr="003B6E11" w:rsidRDefault="003B6E11" w:rsidP="002D015D">
            <w:pPr>
              <w:spacing w:before="120" w:after="120" w:line="240" w:lineRule="atLeast"/>
              <w:rPr>
                <w:noProof/>
                <w:szCs w:val="20"/>
                <w:lang w:val="cs-CZ"/>
              </w:rPr>
            </w:pPr>
          </w:p>
        </w:tc>
        <w:tc>
          <w:tcPr>
            <w:tcW w:w="1001" w:type="dxa"/>
            <w:shd w:val="clear" w:color="auto" w:fill="auto"/>
          </w:tcPr>
          <w:p w:rsidR="003B6E11" w:rsidRPr="003B6E11" w:rsidRDefault="003B6E11" w:rsidP="002D015D">
            <w:pPr>
              <w:spacing w:before="120" w:after="120" w:line="240" w:lineRule="atLeast"/>
              <w:rPr>
                <w:noProof/>
                <w:szCs w:val="20"/>
                <w:lang w:val="cs-CZ"/>
              </w:rPr>
            </w:pPr>
          </w:p>
        </w:tc>
        <w:tc>
          <w:tcPr>
            <w:tcW w:w="780" w:type="dxa"/>
            <w:shd w:val="clear" w:color="auto" w:fill="auto"/>
          </w:tcPr>
          <w:p w:rsidR="003B6E11" w:rsidRPr="003B6E11" w:rsidRDefault="003B6E11" w:rsidP="002D015D">
            <w:pPr>
              <w:spacing w:before="120" w:after="120" w:line="240" w:lineRule="atLeast"/>
              <w:rPr>
                <w:noProof/>
                <w:szCs w:val="20"/>
                <w:lang w:val="cs-CZ"/>
              </w:rPr>
            </w:pPr>
          </w:p>
        </w:tc>
        <w:tc>
          <w:tcPr>
            <w:tcW w:w="2178" w:type="dxa"/>
            <w:shd w:val="clear" w:color="auto" w:fill="auto"/>
          </w:tcPr>
          <w:p w:rsidR="003B6E11" w:rsidRPr="003B6E11" w:rsidRDefault="003B6E11" w:rsidP="002D015D">
            <w:pPr>
              <w:spacing w:before="120" w:after="120" w:line="240" w:lineRule="atLeast"/>
              <w:rPr>
                <w:noProof/>
                <w:szCs w:val="20"/>
                <w:lang w:val="cs-CZ"/>
              </w:rPr>
            </w:pPr>
          </w:p>
        </w:tc>
        <w:tc>
          <w:tcPr>
            <w:tcW w:w="1302" w:type="dxa"/>
            <w:shd w:val="clear" w:color="auto" w:fill="auto"/>
          </w:tcPr>
          <w:p w:rsidR="003B6E11" w:rsidRPr="003B6E11" w:rsidRDefault="003B6E11" w:rsidP="002D015D">
            <w:pPr>
              <w:spacing w:before="120" w:after="120" w:line="240" w:lineRule="atLeast"/>
              <w:rPr>
                <w:noProof/>
                <w:szCs w:val="20"/>
                <w:lang w:val="cs-CZ"/>
              </w:rPr>
            </w:pPr>
          </w:p>
        </w:tc>
        <w:tc>
          <w:tcPr>
            <w:tcW w:w="1006" w:type="dxa"/>
            <w:shd w:val="clear" w:color="auto" w:fill="auto"/>
          </w:tcPr>
          <w:p w:rsidR="003B6E11" w:rsidRPr="003B6E11" w:rsidRDefault="003B6E11" w:rsidP="002D015D">
            <w:pPr>
              <w:spacing w:before="120" w:after="120" w:line="240" w:lineRule="atLeast"/>
              <w:rPr>
                <w:noProof/>
                <w:szCs w:val="20"/>
                <w:lang w:val="cs-CZ"/>
              </w:rPr>
            </w:pPr>
          </w:p>
        </w:tc>
        <w:tc>
          <w:tcPr>
            <w:tcW w:w="546" w:type="dxa"/>
            <w:shd w:val="clear" w:color="auto" w:fill="auto"/>
          </w:tcPr>
          <w:p w:rsidR="003B6E11" w:rsidRPr="003B6E11" w:rsidRDefault="003B6E11" w:rsidP="002D015D">
            <w:pPr>
              <w:spacing w:before="120" w:after="120" w:line="240" w:lineRule="atLeast"/>
              <w:rPr>
                <w:noProof/>
                <w:szCs w:val="20"/>
                <w:lang w:val="cs-CZ"/>
              </w:rPr>
            </w:pPr>
          </w:p>
        </w:tc>
        <w:tc>
          <w:tcPr>
            <w:tcW w:w="567" w:type="dxa"/>
            <w:shd w:val="clear" w:color="auto" w:fill="auto"/>
          </w:tcPr>
          <w:p w:rsidR="003B6E11" w:rsidRPr="003B6E11" w:rsidRDefault="003B6E11" w:rsidP="002D015D">
            <w:pPr>
              <w:spacing w:before="120" w:after="120" w:line="240" w:lineRule="atLeast"/>
              <w:rPr>
                <w:noProof/>
                <w:szCs w:val="20"/>
                <w:lang w:val="cs-CZ"/>
              </w:rPr>
            </w:pPr>
          </w:p>
        </w:tc>
        <w:tc>
          <w:tcPr>
            <w:tcW w:w="992" w:type="dxa"/>
            <w:shd w:val="clear" w:color="auto" w:fill="auto"/>
          </w:tcPr>
          <w:p w:rsidR="003B6E11" w:rsidRPr="003B6E11" w:rsidRDefault="003B6E11" w:rsidP="002D015D">
            <w:pPr>
              <w:spacing w:before="120" w:after="120" w:line="240" w:lineRule="atLeast"/>
              <w:rPr>
                <w:noProof/>
                <w:szCs w:val="20"/>
                <w:lang w:val="cs-CZ"/>
              </w:rPr>
            </w:pPr>
          </w:p>
        </w:tc>
        <w:tc>
          <w:tcPr>
            <w:tcW w:w="873" w:type="dxa"/>
            <w:shd w:val="clear" w:color="auto" w:fill="auto"/>
          </w:tcPr>
          <w:p w:rsidR="003B6E11" w:rsidRPr="003B6E11" w:rsidRDefault="003B6E11" w:rsidP="002D015D">
            <w:pPr>
              <w:spacing w:before="120" w:after="120" w:line="240" w:lineRule="atLeast"/>
              <w:rPr>
                <w:noProof/>
                <w:szCs w:val="20"/>
                <w:lang w:val="cs-CZ"/>
              </w:rPr>
            </w:pPr>
          </w:p>
        </w:tc>
        <w:tc>
          <w:tcPr>
            <w:tcW w:w="1258" w:type="dxa"/>
            <w:shd w:val="clear" w:color="auto" w:fill="auto"/>
          </w:tcPr>
          <w:p w:rsidR="003B6E11" w:rsidRPr="003B6E11" w:rsidRDefault="003B6E11" w:rsidP="002D015D">
            <w:pPr>
              <w:spacing w:before="120" w:after="120" w:line="240" w:lineRule="atLeast"/>
              <w:rPr>
                <w:noProof/>
                <w:szCs w:val="20"/>
                <w:lang w:val="cs-CZ"/>
              </w:rPr>
            </w:pPr>
          </w:p>
        </w:tc>
        <w:tc>
          <w:tcPr>
            <w:tcW w:w="812" w:type="dxa"/>
            <w:shd w:val="clear" w:color="auto" w:fill="auto"/>
          </w:tcPr>
          <w:p w:rsidR="003B6E11" w:rsidRPr="003B6E11" w:rsidRDefault="003B6E11" w:rsidP="002D015D">
            <w:pPr>
              <w:spacing w:before="120" w:after="120" w:line="240" w:lineRule="atLeast"/>
              <w:rPr>
                <w:noProof/>
                <w:szCs w:val="20"/>
                <w:lang w:val="cs-CZ"/>
              </w:rPr>
            </w:pPr>
          </w:p>
        </w:tc>
        <w:tc>
          <w:tcPr>
            <w:tcW w:w="1258" w:type="dxa"/>
            <w:shd w:val="clear" w:color="auto" w:fill="auto"/>
          </w:tcPr>
          <w:p w:rsidR="003B6E11" w:rsidRPr="003B6E11" w:rsidRDefault="003B6E11" w:rsidP="002D015D">
            <w:pPr>
              <w:spacing w:before="120" w:after="120" w:line="240" w:lineRule="atLeast"/>
              <w:rPr>
                <w:noProof/>
                <w:szCs w:val="20"/>
                <w:lang w:val="cs-CZ"/>
              </w:rPr>
            </w:pPr>
          </w:p>
        </w:tc>
        <w:tc>
          <w:tcPr>
            <w:tcW w:w="812" w:type="dxa"/>
            <w:shd w:val="clear" w:color="auto" w:fill="auto"/>
          </w:tcPr>
          <w:p w:rsidR="003B6E11" w:rsidRPr="003B6E11" w:rsidRDefault="003B6E11" w:rsidP="002D015D">
            <w:pPr>
              <w:spacing w:before="120" w:after="120" w:line="240" w:lineRule="atLeast"/>
              <w:rPr>
                <w:noProof/>
                <w:szCs w:val="20"/>
                <w:lang w:val="cs-CZ"/>
              </w:rPr>
            </w:pPr>
          </w:p>
        </w:tc>
      </w:tr>
      <w:tr w:rsidR="003B6E11" w:rsidRPr="003B6E11" w:rsidTr="002D015D">
        <w:trPr>
          <w:gridAfter w:val="1"/>
          <w:wAfter w:w="12" w:type="dxa"/>
        </w:trPr>
        <w:tc>
          <w:tcPr>
            <w:tcW w:w="452" w:type="dxa"/>
            <w:shd w:val="clear" w:color="auto" w:fill="auto"/>
          </w:tcPr>
          <w:p w:rsidR="003B6E11" w:rsidRPr="003B6E11" w:rsidRDefault="003B6E11" w:rsidP="002D015D">
            <w:pPr>
              <w:spacing w:before="120" w:after="120" w:line="240" w:lineRule="atLeast"/>
              <w:rPr>
                <w:noProof/>
                <w:szCs w:val="20"/>
                <w:lang w:val="cs-CZ"/>
              </w:rPr>
            </w:pPr>
          </w:p>
        </w:tc>
        <w:tc>
          <w:tcPr>
            <w:tcW w:w="923" w:type="dxa"/>
            <w:shd w:val="clear" w:color="auto" w:fill="auto"/>
          </w:tcPr>
          <w:p w:rsidR="003B6E11" w:rsidRPr="003B6E11" w:rsidRDefault="003B6E11" w:rsidP="002D015D">
            <w:pPr>
              <w:spacing w:before="120" w:after="120" w:line="240" w:lineRule="atLeast"/>
              <w:rPr>
                <w:noProof/>
                <w:szCs w:val="20"/>
                <w:lang w:val="cs-CZ"/>
              </w:rPr>
            </w:pPr>
          </w:p>
        </w:tc>
        <w:tc>
          <w:tcPr>
            <w:tcW w:w="1001" w:type="dxa"/>
            <w:shd w:val="clear" w:color="auto" w:fill="auto"/>
          </w:tcPr>
          <w:p w:rsidR="003B6E11" w:rsidRPr="003B6E11" w:rsidRDefault="003B6E11" w:rsidP="002D015D">
            <w:pPr>
              <w:spacing w:before="120" w:after="120" w:line="240" w:lineRule="atLeast"/>
              <w:rPr>
                <w:noProof/>
                <w:szCs w:val="20"/>
                <w:lang w:val="cs-CZ"/>
              </w:rPr>
            </w:pPr>
          </w:p>
        </w:tc>
        <w:tc>
          <w:tcPr>
            <w:tcW w:w="780" w:type="dxa"/>
            <w:shd w:val="clear" w:color="auto" w:fill="auto"/>
          </w:tcPr>
          <w:p w:rsidR="003B6E11" w:rsidRPr="003B6E11" w:rsidRDefault="003B6E11" w:rsidP="002D015D">
            <w:pPr>
              <w:spacing w:before="120" w:after="120" w:line="240" w:lineRule="atLeast"/>
              <w:rPr>
                <w:noProof/>
                <w:szCs w:val="20"/>
                <w:lang w:val="cs-CZ"/>
              </w:rPr>
            </w:pPr>
          </w:p>
        </w:tc>
        <w:tc>
          <w:tcPr>
            <w:tcW w:w="2178" w:type="dxa"/>
            <w:shd w:val="clear" w:color="auto" w:fill="auto"/>
          </w:tcPr>
          <w:p w:rsidR="003B6E11" w:rsidRPr="003B6E11" w:rsidRDefault="003B6E11" w:rsidP="002D015D">
            <w:pPr>
              <w:spacing w:before="120" w:after="120" w:line="240" w:lineRule="atLeast"/>
              <w:rPr>
                <w:noProof/>
                <w:szCs w:val="20"/>
                <w:lang w:val="cs-CZ"/>
              </w:rPr>
            </w:pPr>
          </w:p>
        </w:tc>
        <w:tc>
          <w:tcPr>
            <w:tcW w:w="1302" w:type="dxa"/>
            <w:shd w:val="clear" w:color="auto" w:fill="auto"/>
          </w:tcPr>
          <w:p w:rsidR="003B6E11" w:rsidRPr="003B6E11" w:rsidRDefault="003B6E11" w:rsidP="002D015D">
            <w:pPr>
              <w:spacing w:before="120" w:after="120" w:line="240" w:lineRule="atLeast"/>
              <w:rPr>
                <w:noProof/>
                <w:szCs w:val="20"/>
                <w:lang w:val="cs-CZ"/>
              </w:rPr>
            </w:pPr>
          </w:p>
        </w:tc>
        <w:tc>
          <w:tcPr>
            <w:tcW w:w="1006" w:type="dxa"/>
            <w:shd w:val="clear" w:color="auto" w:fill="auto"/>
          </w:tcPr>
          <w:p w:rsidR="003B6E11" w:rsidRPr="003B6E11" w:rsidRDefault="003B6E11" w:rsidP="002D015D">
            <w:pPr>
              <w:spacing w:before="120" w:after="120" w:line="240" w:lineRule="atLeast"/>
              <w:rPr>
                <w:noProof/>
                <w:szCs w:val="20"/>
                <w:lang w:val="cs-CZ"/>
              </w:rPr>
            </w:pPr>
          </w:p>
        </w:tc>
        <w:tc>
          <w:tcPr>
            <w:tcW w:w="546" w:type="dxa"/>
            <w:shd w:val="clear" w:color="auto" w:fill="auto"/>
          </w:tcPr>
          <w:p w:rsidR="003B6E11" w:rsidRPr="003B6E11" w:rsidRDefault="003B6E11" w:rsidP="002D015D">
            <w:pPr>
              <w:spacing w:before="120" w:after="120" w:line="240" w:lineRule="atLeast"/>
              <w:rPr>
                <w:noProof/>
                <w:szCs w:val="20"/>
                <w:lang w:val="cs-CZ"/>
              </w:rPr>
            </w:pPr>
          </w:p>
        </w:tc>
        <w:tc>
          <w:tcPr>
            <w:tcW w:w="567" w:type="dxa"/>
            <w:shd w:val="clear" w:color="auto" w:fill="auto"/>
          </w:tcPr>
          <w:p w:rsidR="003B6E11" w:rsidRPr="003B6E11" w:rsidRDefault="003B6E11" w:rsidP="002D015D">
            <w:pPr>
              <w:spacing w:before="120" w:after="120" w:line="240" w:lineRule="atLeast"/>
              <w:rPr>
                <w:noProof/>
                <w:szCs w:val="20"/>
                <w:lang w:val="cs-CZ"/>
              </w:rPr>
            </w:pPr>
          </w:p>
        </w:tc>
        <w:tc>
          <w:tcPr>
            <w:tcW w:w="992" w:type="dxa"/>
            <w:shd w:val="clear" w:color="auto" w:fill="auto"/>
          </w:tcPr>
          <w:p w:rsidR="003B6E11" w:rsidRPr="003B6E11" w:rsidRDefault="003B6E11" w:rsidP="002D015D">
            <w:pPr>
              <w:spacing w:before="120" w:after="120" w:line="240" w:lineRule="atLeast"/>
              <w:rPr>
                <w:noProof/>
                <w:szCs w:val="20"/>
                <w:lang w:val="cs-CZ"/>
              </w:rPr>
            </w:pPr>
          </w:p>
        </w:tc>
        <w:tc>
          <w:tcPr>
            <w:tcW w:w="873" w:type="dxa"/>
            <w:shd w:val="clear" w:color="auto" w:fill="auto"/>
          </w:tcPr>
          <w:p w:rsidR="003B6E11" w:rsidRPr="003B6E11" w:rsidRDefault="003B6E11" w:rsidP="002D015D">
            <w:pPr>
              <w:spacing w:before="120" w:after="120" w:line="240" w:lineRule="atLeast"/>
              <w:rPr>
                <w:noProof/>
                <w:szCs w:val="20"/>
                <w:lang w:val="cs-CZ"/>
              </w:rPr>
            </w:pPr>
          </w:p>
        </w:tc>
        <w:tc>
          <w:tcPr>
            <w:tcW w:w="1258" w:type="dxa"/>
            <w:shd w:val="clear" w:color="auto" w:fill="auto"/>
          </w:tcPr>
          <w:p w:rsidR="003B6E11" w:rsidRPr="003B6E11" w:rsidRDefault="003B6E11" w:rsidP="002D015D">
            <w:pPr>
              <w:spacing w:before="120" w:after="120" w:line="240" w:lineRule="atLeast"/>
              <w:rPr>
                <w:noProof/>
                <w:szCs w:val="20"/>
                <w:lang w:val="cs-CZ"/>
              </w:rPr>
            </w:pPr>
          </w:p>
        </w:tc>
        <w:tc>
          <w:tcPr>
            <w:tcW w:w="812" w:type="dxa"/>
            <w:shd w:val="clear" w:color="auto" w:fill="auto"/>
          </w:tcPr>
          <w:p w:rsidR="003B6E11" w:rsidRPr="003B6E11" w:rsidRDefault="003B6E11" w:rsidP="002D015D">
            <w:pPr>
              <w:spacing w:before="120" w:after="120" w:line="240" w:lineRule="atLeast"/>
              <w:rPr>
                <w:noProof/>
                <w:szCs w:val="20"/>
                <w:lang w:val="cs-CZ"/>
              </w:rPr>
            </w:pPr>
          </w:p>
        </w:tc>
        <w:tc>
          <w:tcPr>
            <w:tcW w:w="1258" w:type="dxa"/>
            <w:shd w:val="clear" w:color="auto" w:fill="auto"/>
          </w:tcPr>
          <w:p w:rsidR="003B6E11" w:rsidRPr="003B6E11" w:rsidRDefault="003B6E11" w:rsidP="002D015D">
            <w:pPr>
              <w:spacing w:before="120" w:after="120" w:line="240" w:lineRule="atLeast"/>
              <w:rPr>
                <w:noProof/>
                <w:szCs w:val="20"/>
                <w:lang w:val="cs-CZ"/>
              </w:rPr>
            </w:pPr>
          </w:p>
        </w:tc>
        <w:tc>
          <w:tcPr>
            <w:tcW w:w="812" w:type="dxa"/>
            <w:shd w:val="clear" w:color="auto" w:fill="auto"/>
          </w:tcPr>
          <w:p w:rsidR="003B6E11" w:rsidRPr="003B6E11" w:rsidRDefault="003B6E11" w:rsidP="002D015D">
            <w:pPr>
              <w:spacing w:before="120" w:after="120" w:line="240" w:lineRule="atLeast"/>
              <w:rPr>
                <w:noProof/>
                <w:szCs w:val="20"/>
                <w:lang w:val="cs-CZ"/>
              </w:rPr>
            </w:pPr>
          </w:p>
        </w:tc>
      </w:tr>
      <w:tr w:rsidR="003B6E11" w:rsidRPr="003B6E11" w:rsidTr="002D015D">
        <w:trPr>
          <w:gridAfter w:val="1"/>
          <w:wAfter w:w="12" w:type="dxa"/>
        </w:trPr>
        <w:tc>
          <w:tcPr>
            <w:tcW w:w="452" w:type="dxa"/>
            <w:shd w:val="clear" w:color="auto" w:fill="auto"/>
          </w:tcPr>
          <w:p w:rsidR="003B6E11" w:rsidRPr="003B6E11" w:rsidRDefault="003B6E11" w:rsidP="002D015D">
            <w:pPr>
              <w:spacing w:before="120" w:after="120" w:line="240" w:lineRule="atLeast"/>
              <w:rPr>
                <w:noProof/>
                <w:szCs w:val="20"/>
                <w:lang w:val="cs-CZ"/>
              </w:rPr>
            </w:pPr>
          </w:p>
        </w:tc>
        <w:tc>
          <w:tcPr>
            <w:tcW w:w="923" w:type="dxa"/>
            <w:shd w:val="clear" w:color="auto" w:fill="auto"/>
          </w:tcPr>
          <w:p w:rsidR="003B6E11" w:rsidRPr="003B6E11" w:rsidRDefault="003B6E11" w:rsidP="002D015D">
            <w:pPr>
              <w:spacing w:before="120" w:after="120" w:line="240" w:lineRule="atLeast"/>
              <w:rPr>
                <w:noProof/>
                <w:szCs w:val="20"/>
                <w:lang w:val="cs-CZ"/>
              </w:rPr>
            </w:pPr>
          </w:p>
        </w:tc>
        <w:tc>
          <w:tcPr>
            <w:tcW w:w="1001" w:type="dxa"/>
            <w:shd w:val="clear" w:color="auto" w:fill="auto"/>
          </w:tcPr>
          <w:p w:rsidR="003B6E11" w:rsidRPr="003B6E11" w:rsidRDefault="003B6E11" w:rsidP="002D015D">
            <w:pPr>
              <w:spacing w:before="120" w:after="120" w:line="240" w:lineRule="atLeast"/>
              <w:rPr>
                <w:noProof/>
                <w:szCs w:val="20"/>
                <w:lang w:val="cs-CZ"/>
              </w:rPr>
            </w:pPr>
          </w:p>
        </w:tc>
        <w:tc>
          <w:tcPr>
            <w:tcW w:w="780" w:type="dxa"/>
            <w:shd w:val="clear" w:color="auto" w:fill="auto"/>
          </w:tcPr>
          <w:p w:rsidR="003B6E11" w:rsidRPr="003B6E11" w:rsidRDefault="003B6E11" w:rsidP="002D015D">
            <w:pPr>
              <w:spacing w:before="120" w:after="120" w:line="240" w:lineRule="atLeast"/>
              <w:rPr>
                <w:noProof/>
                <w:szCs w:val="20"/>
                <w:lang w:val="cs-CZ"/>
              </w:rPr>
            </w:pPr>
          </w:p>
        </w:tc>
        <w:tc>
          <w:tcPr>
            <w:tcW w:w="2178" w:type="dxa"/>
            <w:shd w:val="clear" w:color="auto" w:fill="auto"/>
          </w:tcPr>
          <w:p w:rsidR="003B6E11" w:rsidRPr="003B6E11" w:rsidRDefault="003B6E11" w:rsidP="002D015D">
            <w:pPr>
              <w:spacing w:before="120" w:after="120" w:line="240" w:lineRule="atLeast"/>
              <w:rPr>
                <w:noProof/>
                <w:szCs w:val="20"/>
                <w:lang w:val="cs-CZ"/>
              </w:rPr>
            </w:pPr>
          </w:p>
        </w:tc>
        <w:tc>
          <w:tcPr>
            <w:tcW w:w="1302" w:type="dxa"/>
            <w:shd w:val="clear" w:color="auto" w:fill="auto"/>
          </w:tcPr>
          <w:p w:rsidR="003B6E11" w:rsidRPr="003B6E11" w:rsidRDefault="003B6E11" w:rsidP="002D015D">
            <w:pPr>
              <w:spacing w:before="120" w:after="120" w:line="240" w:lineRule="atLeast"/>
              <w:rPr>
                <w:noProof/>
                <w:szCs w:val="20"/>
                <w:lang w:val="cs-CZ"/>
              </w:rPr>
            </w:pPr>
          </w:p>
        </w:tc>
        <w:tc>
          <w:tcPr>
            <w:tcW w:w="1006" w:type="dxa"/>
            <w:shd w:val="clear" w:color="auto" w:fill="auto"/>
          </w:tcPr>
          <w:p w:rsidR="003B6E11" w:rsidRPr="003B6E11" w:rsidRDefault="003B6E11" w:rsidP="002D015D">
            <w:pPr>
              <w:spacing w:before="120" w:after="120" w:line="240" w:lineRule="atLeast"/>
              <w:rPr>
                <w:noProof/>
                <w:szCs w:val="20"/>
                <w:lang w:val="cs-CZ"/>
              </w:rPr>
            </w:pPr>
          </w:p>
        </w:tc>
        <w:tc>
          <w:tcPr>
            <w:tcW w:w="546" w:type="dxa"/>
            <w:shd w:val="clear" w:color="auto" w:fill="auto"/>
          </w:tcPr>
          <w:p w:rsidR="003B6E11" w:rsidRPr="003B6E11" w:rsidRDefault="003B6E11" w:rsidP="002D015D">
            <w:pPr>
              <w:spacing w:before="120" w:after="120" w:line="240" w:lineRule="atLeast"/>
              <w:rPr>
                <w:noProof/>
                <w:szCs w:val="20"/>
                <w:lang w:val="cs-CZ"/>
              </w:rPr>
            </w:pPr>
          </w:p>
        </w:tc>
        <w:tc>
          <w:tcPr>
            <w:tcW w:w="567" w:type="dxa"/>
            <w:shd w:val="clear" w:color="auto" w:fill="auto"/>
          </w:tcPr>
          <w:p w:rsidR="003B6E11" w:rsidRPr="003B6E11" w:rsidRDefault="003B6E11" w:rsidP="002D015D">
            <w:pPr>
              <w:spacing w:before="120" w:after="120" w:line="240" w:lineRule="atLeast"/>
              <w:rPr>
                <w:noProof/>
                <w:szCs w:val="20"/>
                <w:lang w:val="cs-CZ"/>
              </w:rPr>
            </w:pPr>
          </w:p>
        </w:tc>
        <w:tc>
          <w:tcPr>
            <w:tcW w:w="992" w:type="dxa"/>
            <w:shd w:val="clear" w:color="auto" w:fill="auto"/>
          </w:tcPr>
          <w:p w:rsidR="003B6E11" w:rsidRPr="003B6E11" w:rsidRDefault="003B6E11" w:rsidP="002D015D">
            <w:pPr>
              <w:spacing w:before="120" w:after="120" w:line="240" w:lineRule="atLeast"/>
              <w:rPr>
                <w:noProof/>
                <w:szCs w:val="20"/>
                <w:lang w:val="cs-CZ"/>
              </w:rPr>
            </w:pPr>
          </w:p>
        </w:tc>
        <w:tc>
          <w:tcPr>
            <w:tcW w:w="873" w:type="dxa"/>
            <w:shd w:val="clear" w:color="auto" w:fill="auto"/>
          </w:tcPr>
          <w:p w:rsidR="003B6E11" w:rsidRPr="003B6E11" w:rsidRDefault="003B6E11" w:rsidP="002D015D">
            <w:pPr>
              <w:spacing w:before="120" w:after="120" w:line="240" w:lineRule="atLeast"/>
              <w:rPr>
                <w:noProof/>
                <w:szCs w:val="20"/>
                <w:lang w:val="cs-CZ"/>
              </w:rPr>
            </w:pPr>
          </w:p>
        </w:tc>
        <w:tc>
          <w:tcPr>
            <w:tcW w:w="1258" w:type="dxa"/>
            <w:shd w:val="clear" w:color="auto" w:fill="auto"/>
          </w:tcPr>
          <w:p w:rsidR="003B6E11" w:rsidRPr="003B6E11" w:rsidRDefault="003B6E11" w:rsidP="002D015D">
            <w:pPr>
              <w:spacing w:before="120" w:after="120" w:line="240" w:lineRule="atLeast"/>
              <w:rPr>
                <w:noProof/>
                <w:szCs w:val="20"/>
                <w:lang w:val="cs-CZ"/>
              </w:rPr>
            </w:pPr>
          </w:p>
        </w:tc>
        <w:tc>
          <w:tcPr>
            <w:tcW w:w="812" w:type="dxa"/>
            <w:shd w:val="clear" w:color="auto" w:fill="auto"/>
          </w:tcPr>
          <w:p w:rsidR="003B6E11" w:rsidRPr="003B6E11" w:rsidRDefault="003B6E11" w:rsidP="002D015D">
            <w:pPr>
              <w:spacing w:before="120" w:after="120" w:line="240" w:lineRule="atLeast"/>
              <w:rPr>
                <w:noProof/>
                <w:szCs w:val="20"/>
                <w:lang w:val="cs-CZ"/>
              </w:rPr>
            </w:pPr>
          </w:p>
        </w:tc>
        <w:tc>
          <w:tcPr>
            <w:tcW w:w="1258" w:type="dxa"/>
            <w:shd w:val="clear" w:color="auto" w:fill="auto"/>
          </w:tcPr>
          <w:p w:rsidR="003B6E11" w:rsidRPr="003B6E11" w:rsidRDefault="003B6E11" w:rsidP="002D015D">
            <w:pPr>
              <w:spacing w:before="120" w:after="120" w:line="240" w:lineRule="atLeast"/>
              <w:rPr>
                <w:noProof/>
                <w:szCs w:val="20"/>
                <w:lang w:val="cs-CZ"/>
              </w:rPr>
            </w:pPr>
          </w:p>
        </w:tc>
        <w:tc>
          <w:tcPr>
            <w:tcW w:w="812" w:type="dxa"/>
            <w:shd w:val="clear" w:color="auto" w:fill="auto"/>
          </w:tcPr>
          <w:p w:rsidR="003B6E11" w:rsidRPr="003B6E11" w:rsidRDefault="003B6E11" w:rsidP="002D015D">
            <w:pPr>
              <w:spacing w:before="120" w:after="120" w:line="240" w:lineRule="atLeast"/>
              <w:rPr>
                <w:noProof/>
                <w:szCs w:val="20"/>
                <w:lang w:val="cs-CZ"/>
              </w:rPr>
            </w:pPr>
          </w:p>
        </w:tc>
      </w:tr>
      <w:tr w:rsidR="003B6E11" w:rsidRPr="003B6E11" w:rsidTr="002D015D">
        <w:trPr>
          <w:gridAfter w:val="1"/>
          <w:wAfter w:w="12" w:type="dxa"/>
        </w:trPr>
        <w:tc>
          <w:tcPr>
            <w:tcW w:w="452" w:type="dxa"/>
            <w:shd w:val="clear" w:color="auto" w:fill="auto"/>
          </w:tcPr>
          <w:p w:rsidR="003B6E11" w:rsidRPr="003B6E11" w:rsidRDefault="003B6E11" w:rsidP="002D015D">
            <w:pPr>
              <w:spacing w:before="120" w:after="120" w:line="240" w:lineRule="atLeast"/>
              <w:rPr>
                <w:noProof/>
                <w:szCs w:val="20"/>
                <w:lang w:val="cs-CZ"/>
              </w:rPr>
            </w:pPr>
          </w:p>
        </w:tc>
        <w:tc>
          <w:tcPr>
            <w:tcW w:w="923" w:type="dxa"/>
            <w:shd w:val="clear" w:color="auto" w:fill="auto"/>
          </w:tcPr>
          <w:p w:rsidR="003B6E11" w:rsidRPr="003B6E11" w:rsidRDefault="003B6E11" w:rsidP="002D015D">
            <w:pPr>
              <w:spacing w:before="120" w:after="120" w:line="240" w:lineRule="atLeast"/>
              <w:rPr>
                <w:noProof/>
                <w:szCs w:val="20"/>
                <w:lang w:val="cs-CZ"/>
              </w:rPr>
            </w:pPr>
          </w:p>
        </w:tc>
        <w:tc>
          <w:tcPr>
            <w:tcW w:w="1001" w:type="dxa"/>
            <w:shd w:val="clear" w:color="auto" w:fill="auto"/>
          </w:tcPr>
          <w:p w:rsidR="003B6E11" w:rsidRPr="003B6E11" w:rsidRDefault="003B6E11" w:rsidP="002D015D">
            <w:pPr>
              <w:spacing w:before="120" w:after="120" w:line="240" w:lineRule="atLeast"/>
              <w:rPr>
                <w:noProof/>
                <w:szCs w:val="20"/>
                <w:lang w:val="cs-CZ"/>
              </w:rPr>
            </w:pPr>
          </w:p>
        </w:tc>
        <w:tc>
          <w:tcPr>
            <w:tcW w:w="780" w:type="dxa"/>
            <w:shd w:val="clear" w:color="auto" w:fill="auto"/>
          </w:tcPr>
          <w:p w:rsidR="003B6E11" w:rsidRPr="003B6E11" w:rsidRDefault="003B6E11" w:rsidP="002D015D">
            <w:pPr>
              <w:spacing w:before="120" w:after="120" w:line="240" w:lineRule="atLeast"/>
              <w:rPr>
                <w:noProof/>
                <w:szCs w:val="20"/>
                <w:lang w:val="cs-CZ"/>
              </w:rPr>
            </w:pPr>
          </w:p>
        </w:tc>
        <w:tc>
          <w:tcPr>
            <w:tcW w:w="2178" w:type="dxa"/>
            <w:shd w:val="clear" w:color="auto" w:fill="auto"/>
          </w:tcPr>
          <w:p w:rsidR="003B6E11" w:rsidRPr="003B6E11" w:rsidRDefault="003B6E11" w:rsidP="002D015D">
            <w:pPr>
              <w:spacing w:before="120" w:after="120" w:line="240" w:lineRule="atLeast"/>
              <w:rPr>
                <w:noProof/>
                <w:szCs w:val="20"/>
                <w:lang w:val="cs-CZ"/>
              </w:rPr>
            </w:pPr>
          </w:p>
        </w:tc>
        <w:tc>
          <w:tcPr>
            <w:tcW w:w="1302" w:type="dxa"/>
            <w:shd w:val="clear" w:color="auto" w:fill="auto"/>
          </w:tcPr>
          <w:p w:rsidR="003B6E11" w:rsidRPr="003B6E11" w:rsidRDefault="003B6E11" w:rsidP="002D015D">
            <w:pPr>
              <w:spacing w:before="120" w:after="120" w:line="240" w:lineRule="atLeast"/>
              <w:rPr>
                <w:noProof/>
                <w:szCs w:val="20"/>
                <w:lang w:val="cs-CZ"/>
              </w:rPr>
            </w:pPr>
          </w:p>
        </w:tc>
        <w:tc>
          <w:tcPr>
            <w:tcW w:w="1006" w:type="dxa"/>
            <w:shd w:val="clear" w:color="auto" w:fill="auto"/>
          </w:tcPr>
          <w:p w:rsidR="003B6E11" w:rsidRPr="003B6E11" w:rsidRDefault="003B6E11" w:rsidP="002D015D">
            <w:pPr>
              <w:spacing w:before="120" w:after="120" w:line="240" w:lineRule="atLeast"/>
              <w:rPr>
                <w:noProof/>
                <w:szCs w:val="20"/>
                <w:lang w:val="cs-CZ"/>
              </w:rPr>
            </w:pPr>
          </w:p>
        </w:tc>
        <w:tc>
          <w:tcPr>
            <w:tcW w:w="546" w:type="dxa"/>
            <w:shd w:val="clear" w:color="auto" w:fill="auto"/>
          </w:tcPr>
          <w:p w:rsidR="003B6E11" w:rsidRPr="003B6E11" w:rsidRDefault="003B6E11" w:rsidP="002D015D">
            <w:pPr>
              <w:spacing w:before="120" w:after="120" w:line="240" w:lineRule="atLeast"/>
              <w:rPr>
                <w:noProof/>
                <w:szCs w:val="20"/>
                <w:lang w:val="cs-CZ"/>
              </w:rPr>
            </w:pPr>
          </w:p>
        </w:tc>
        <w:tc>
          <w:tcPr>
            <w:tcW w:w="567" w:type="dxa"/>
            <w:shd w:val="clear" w:color="auto" w:fill="auto"/>
          </w:tcPr>
          <w:p w:rsidR="003B6E11" w:rsidRPr="003B6E11" w:rsidRDefault="003B6E11" w:rsidP="002D015D">
            <w:pPr>
              <w:spacing w:before="120" w:after="120" w:line="240" w:lineRule="atLeast"/>
              <w:rPr>
                <w:noProof/>
                <w:szCs w:val="20"/>
                <w:lang w:val="cs-CZ"/>
              </w:rPr>
            </w:pPr>
          </w:p>
        </w:tc>
        <w:tc>
          <w:tcPr>
            <w:tcW w:w="992" w:type="dxa"/>
            <w:shd w:val="clear" w:color="auto" w:fill="auto"/>
          </w:tcPr>
          <w:p w:rsidR="003B6E11" w:rsidRPr="003B6E11" w:rsidRDefault="003B6E11" w:rsidP="002D015D">
            <w:pPr>
              <w:spacing w:before="120" w:after="120" w:line="240" w:lineRule="atLeast"/>
              <w:rPr>
                <w:noProof/>
                <w:szCs w:val="20"/>
                <w:lang w:val="cs-CZ"/>
              </w:rPr>
            </w:pPr>
          </w:p>
        </w:tc>
        <w:tc>
          <w:tcPr>
            <w:tcW w:w="873" w:type="dxa"/>
            <w:shd w:val="clear" w:color="auto" w:fill="auto"/>
          </w:tcPr>
          <w:p w:rsidR="003B6E11" w:rsidRPr="003B6E11" w:rsidRDefault="003B6E11" w:rsidP="002D015D">
            <w:pPr>
              <w:spacing w:before="120" w:after="120" w:line="240" w:lineRule="atLeast"/>
              <w:rPr>
                <w:noProof/>
                <w:szCs w:val="20"/>
                <w:lang w:val="cs-CZ"/>
              </w:rPr>
            </w:pPr>
          </w:p>
        </w:tc>
        <w:tc>
          <w:tcPr>
            <w:tcW w:w="1258" w:type="dxa"/>
            <w:shd w:val="clear" w:color="auto" w:fill="auto"/>
          </w:tcPr>
          <w:p w:rsidR="003B6E11" w:rsidRPr="003B6E11" w:rsidRDefault="003B6E11" w:rsidP="002D015D">
            <w:pPr>
              <w:spacing w:before="120" w:after="120" w:line="240" w:lineRule="atLeast"/>
              <w:rPr>
                <w:noProof/>
                <w:szCs w:val="20"/>
                <w:lang w:val="cs-CZ"/>
              </w:rPr>
            </w:pPr>
          </w:p>
        </w:tc>
        <w:tc>
          <w:tcPr>
            <w:tcW w:w="812" w:type="dxa"/>
            <w:shd w:val="clear" w:color="auto" w:fill="auto"/>
          </w:tcPr>
          <w:p w:rsidR="003B6E11" w:rsidRPr="003B6E11" w:rsidRDefault="003B6E11" w:rsidP="002D015D">
            <w:pPr>
              <w:spacing w:before="120" w:after="120" w:line="240" w:lineRule="atLeast"/>
              <w:rPr>
                <w:noProof/>
                <w:szCs w:val="20"/>
                <w:lang w:val="cs-CZ"/>
              </w:rPr>
            </w:pPr>
          </w:p>
        </w:tc>
        <w:tc>
          <w:tcPr>
            <w:tcW w:w="1258" w:type="dxa"/>
            <w:shd w:val="clear" w:color="auto" w:fill="auto"/>
          </w:tcPr>
          <w:p w:rsidR="003B6E11" w:rsidRPr="003B6E11" w:rsidRDefault="003B6E11" w:rsidP="002D015D">
            <w:pPr>
              <w:spacing w:before="120" w:after="120" w:line="240" w:lineRule="atLeast"/>
              <w:rPr>
                <w:noProof/>
                <w:szCs w:val="20"/>
                <w:lang w:val="cs-CZ"/>
              </w:rPr>
            </w:pPr>
          </w:p>
        </w:tc>
        <w:tc>
          <w:tcPr>
            <w:tcW w:w="812" w:type="dxa"/>
            <w:shd w:val="clear" w:color="auto" w:fill="auto"/>
          </w:tcPr>
          <w:p w:rsidR="003B6E11" w:rsidRPr="003B6E11" w:rsidRDefault="003B6E11" w:rsidP="002D015D">
            <w:pPr>
              <w:spacing w:before="120" w:after="120" w:line="240" w:lineRule="atLeast"/>
              <w:rPr>
                <w:noProof/>
                <w:szCs w:val="20"/>
                <w:lang w:val="cs-CZ"/>
              </w:rPr>
            </w:pPr>
          </w:p>
        </w:tc>
      </w:tr>
    </w:tbl>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lang w:val="cs-CZ"/>
        </w:rPr>
        <w:br w:type="page"/>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p>
    <w:p w:rsidR="003B6E11" w:rsidRPr="003B6E11" w:rsidRDefault="003B6E11" w:rsidP="003B6E11">
      <w:pPr>
        <w:suppressAutoHyphens/>
        <w:rPr>
          <w:rFonts w:cs="Arial"/>
          <w:sz w:val="24"/>
          <w:lang w:val="cs-CZ"/>
        </w:rPr>
        <w:sectPr w:rsidR="003B6E11" w:rsidRPr="003B6E11" w:rsidSect="009C13A9">
          <w:headerReference w:type="even" r:id="rId88"/>
          <w:headerReference w:type="default" r:id="rId89"/>
          <w:footerReference w:type="even" r:id="rId90"/>
          <w:footerReference w:type="default" r:id="rId91"/>
          <w:headerReference w:type="first" r:id="rId92"/>
          <w:footerReference w:type="first" r:id="rId93"/>
          <w:footnotePr>
            <w:numRestart w:val="eachPage"/>
          </w:footnotePr>
          <w:pgSz w:w="16840" w:h="11907" w:orient="landscape" w:code="9"/>
          <w:pgMar w:top="1418" w:right="1418" w:bottom="1418" w:left="1418" w:header="680" w:footer="680" w:gutter="0"/>
          <w:cols w:space="720"/>
          <w:docGrid w:linePitch="360"/>
        </w:sectPr>
      </w:pPr>
    </w:p>
    <w:p w:rsidR="003B6E11" w:rsidRPr="003B6E11" w:rsidRDefault="003B6E11" w:rsidP="003B6E11">
      <w:pPr>
        <w:suppressAutoHyphens/>
        <w:spacing w:line="240" w:lineRule="atLeast"/>
        <w:jc w:val="center"/>
        <w:rPr>
          <w:rFonts w:cs="Arial"/>
          <w:b/>
          <w:lang w:val="cs-CZ"/>
        </w:rPr>
      </w:pPr>
    </w:p>
    <w:p w:rsidR="003B6E11" w:rsidRPr="003B6E11" w:rsidRDefault="003B6E11" w:rsidP="003B6E11">
      <w:pPr>
        <w:pStyle w:val="ES-Titre3"/>
        <w:rPr>
          <w:noProof/>
          <w:lang w:val="cs-CZ"/>
        </w:rPr>
      </w:pPr>
      <w:bookmarkStart w:id="710" w:name="_Toc491854338"/>
      <w:bookmarkStart w:id="711" w:name="_Toc535417244"/>
      <w:r w:rsidRPr="003B6E11">
        <w:rPr>
          <w:lang w:val="cs-CZ"/>
        </w:rPr>
        <w:t>Oddíl VIII</w:t>
      </w:r>
      <w:bookmarkEnd w:id="710"/>
      <w:bookmarkEnd w:id="711"/>
    </w:p>
    <w:p w:rsidR="003B6E11" w:rsidRPr="003B6E11" w:rsidRDefault="003B6E11" w:rsidP="003B6E11">
      <w:pPr>
        <w:pStyle w:val="ES-Titre3a"/>
        <w:rPr>
          <w:noProof/>
          <w:lang w:val="cs-CZ"/>
        </w:rPr>
      </w:pPr>
      <w:bookmarkStart w:id="712" w:name="_Toc491854339"/>
      <w:bookmarkStart w:id="713" w:name="_Toc535417245"/>
      <w:r w:rsidRPr="003B6E11">
        <w:rPr>
          <w:lang w:val="cs-CZ"/>
        </w:rPr>
        <w:t>Záznam parametrů palubní čistírny odpadních vod pro účely zvláštní zkoušky</w:t>
      </w:r>
      <w:bookmarkEnd w:id="712"/>
      <w:bookmarkEnd w:id="713"/>
    </w:p>
    <w:p w:rsidR="003B6E11" w:rsidRPr="003B6E11" w:rsidRDefault="003B6E11" w:rsidP="003B6E11">
      <w:pPr>
        <w:overflowPunct w:val="0"/>
        <w:adjustRightInd w:val="0"/>
        <w:spacing w:line="240" w:lineRule="exact"/>
        <w:jc w:val="center"/>
        <w:textAlignment w:val="baseline"/>
        <w:rPr>
          <w:rFonts w:eastAsia="Calibri" w:cs="Arial"/>
          <w:sz w:val="16"/>
          <w:lang w:val="cs-CZ"/>
        </w:rPr>
      </w:pPr>
      <w:r w:rsidRPr="003B6E11">
        <w:rPr>
          <w:lang w:val="cs-CZ"/>
        </w:rPr>
        <w:t>(Vzor)</w:t>
      </w:r>
    </w:p>
    <w:p w:rsidR="003B6E11" w:rsidRPr="003B6E11" w:rsidRDefault="003B6E11" w:rsidP="003B6E11">
      <w:pPr>
        <w:suppressAutoHyphens/>
        <w:spacing w:line="240" w:lineRule="atLeast"/>
        <w:rPr>
          <w:rFonts w:cs="Arial"/>
          <w:szCs w:val="20"/>
          <w:lang w:val="cs-CZ"/>
        </w:rPr>
      </w:pPr>
    </w:p>
    <w:p w:rsidR="003B6E11" w:rsidRPr="003B6E11" w:rsidRDefault="003B6E11" w:rsidP="003B6E11">
      <w:pPr>
        <w:ind w:left="709" w:hanging="709"/>
        <w:outlineLvl w:val="0"/>
        <w:rPr>
          <w:rFonts w:cs="Arial"/>
          <w:b/>
          <w:bCs/>
          <w:noProof/>
          <w:szCs w:val="20"/>
          <w:lang w:val="cs-CZ"/>
        </w:rPr>
      </w:pPr>
      <w:r w:rsidRPr="003B6E11">
        <w:rPr>
          <w:b/>
          <w:noProof/>
          <w:lang w:val="cs-CZ"/>
        </w:rPr>
        <w:t>1.</w:t>
      </w:r>
      <w:r w:rsidRPr="003B6E11">
        <w:rPr>
          <w:lang w:val="cs-CZ"/>
        </w:rPr>
        <w:tab/>
      </w:r>
      <w:r w:rsidRPr="003B6E11">
        <w:rPr>
          <w:b/>
          <w:noProof/>
          <w:lang w:val="cs-CZ"/>
        </w:rPr>
        <w:t>Obecně</w:t>
      </w:r>
    </w:p>
    <w:p w:rsidR="003B6E11" w:rsidRPr="003B6E11" w:rsidRDefault="003B6E11" w:rsidP="003B6E11">
      <w:pPr>
        <w:spacing w:before="60" w:line="240" w:lineRule="atLeast"/>
        <w:ind w:left="709" w:hanging="709"/>
        <w:rPr>
          <w:rFonts w:cs="Arial"/>
          <w:noProof/>
          <w:szCs w:val="20"/>
          <w:lang w:val="cs-CZ"/>
        </w:rPr>
      </w:pPr>
      <w:r w:rsidRPr="003B6E11">
        <w:rPr>
          <w:lang w:val="cs-CZ"/>
        </w:rPr>
        <w:t>1.1</w:t>
      </w:r>
      <w:r w:rsidRPr="003B6E11">
        <w:rPr>
          <w:lang w:val="cs-CZ"/>
        </w:rPr>
        <w:tab/>
        <w:t xml:space="preserve">Údaje o palubní čistírně odpadních vod </w:t>
      </w:r>
    </w:p>
    <w:p w:rsidR="003B6E11" w:rsidRPr="003B6E11" w:rsidRDefault="003B6E11" w:rsidP="003B6E11">
      <w:pPr>
        <w:tabs>
          <w:tab w:val="left" w:leader="dot" w:pos="9072"/>
        </w:tabs>
        <w:spacing w:before="60" w:line="240" w:lineRule="atLeast"/>
        <w:ind w:left="709" w:hanging="709"/>
        <w:rPr>
          <w:rFonts w:cs="Arial"/>
          <w:noProof/>
          <w:szCs w:val="20"/>
          <w:lang w:val="cs-CZ"/>
        </w:rPr>
      </w:pPr>
      <w:r w:rsidRPr="003B6E11">
        <w:rPr>
          <w:lang w:val="cs-CZ"/>
        </w:rPr>
        <w:t>1.1.1</w:t>
      </w:r>
      <w:r w:rsidRPr="003B6E11">
        <w:rPr>
          <w:lang w:val="cs-CZ"/>
        </w:rPr>
        <w:tab/>
        <w:t xml:space="preserve">Značka: </w:t>
      </w:r>
      <w:r w:rsidRPr="003B6E11">
        <w:rPr>
          <w:lang w:val="cs-CZ"/>
        </w:rPr>
        <w:tab/>
      </w:r>
    </w:p>
    <w:p w:rsidR="003B6E11" w:rsidRPr="003B6E11" w:rsidRDefault="003B6E11" w:rsidP="003B6E11">
      <w:pPr>
        <w:tabs>
          <w:tab w:val="left" w:leader="dot" w:pos="9072"/>
        </w:tabs>
        <w:spacing w:before="60" w:line="240" w:lineRule="atLeast"/>
        <w:ind w:left="709" w:hanging="709"/>
        <w:rPr>
          <w:rFonts w:cs="Arial"/>
          <w:noProof/>
          <w:szCs w:val="20"/>
          <w:lang w:val="cs-CZ"/>
        </w:rPr>
      </w:pPr>
      <w:r w:rsidRPr="003B6E11">
        <w:rPr>
          <w:lang w:val="cs-CZ"/>
        </w:rPr>
        <w:t>1.1.2</w:t>
      </w:r>
      <w:r w:rsidRPr="003B6E11">
        <w:rPr>
          <w:lang w:val="cs-CZ"/>
        </w:rPr>
        <w:tab/>
        <w:t xml:space="preserve">Označení výrobce: </w:t>
      </w:r>
      <w:r w:rsidRPr="003B6E11">
        <w:rPr>
          <w:lang w:val="cs-CZ"/>
        </w:rPr>
        <w:tab/>
      </w:r>
    </w:p>
    <w:p w:rsidR="003B6E11" w:rsidRPr="003B6E11" w:rsidRDefault="003B6E11" w:rsidP="003B6E11">
      <w:pPr>
        <w:tabs>
          <w:tab w:val="left" w:leader="dot" w:pos="9072"/>
        </w:tabs>
        <w:spacing w:before="60" w:line="240" w:lineRule="atLeast"/>
        <w:ind w:left="709"/>
        <w:rPr>
          <w:rFonts w:cs="Arial"/>
          <w:noProof/>
          <w:szCs w:val="20"/>
          <w:lang w:val="cs-CZ"/>
        </w:rPr>
      </w:pPr>
      <w:r w:rsidRPr="003B6E11">
        <w:rPr>
          <w:lang w:val="cs-CZ"/>
        </w:rPr>
        <w:tab/>
      </w:r>
    </w:p>
    <w:p w:rsidR="003B6E11" w:rsidRPr="003B6E11" w:rsidRDefault="003B6E11" w:rsidP="003B6E11">
      <w:pPr>
        <w:tabs>
          <w:tab w:val="left" w:leader="dot" w:pos="9072"/>
        </w:tabs>
        <w:spacing w:before="60" w:line="240" w:lineRule="atLeast"/>
        <w:ind w:left="709" w:hanging="709"/>
        <w:rPr>
          <w:rFonts w:cs="Arial"/>
          <w:noProof/>
          <w:szCs w:val="20"/>
          <w:lang w:val="cs-CZ"/>
        </w:rPr>
      </w:pPr>
      <w:r w:rsidRPr="003B6E11">
        <w:rPr>
          <w:lang w:val="cs-CZ"/>
        </w:rPr>
        <w:t>1.1.3</w:t>
      </w:r>
      <w:r w:rsidRPr="003B6E11">
        <w:rPr>
          <w:lang w:val="cs-CZ"/>
        </w:rPr>
        <w:tab/>
        <w:t xml:space="preserve">Číslo schválení typu: </w:t>
      </w:r>
      <w:r w:rsidRPr="003B6E11">
        <w:rPr>
          <w:lang w:val="cs-CZ"/>
        </w:rPr>
        <w:tab/>
      </w:r>
    </w:p>
    <w:p w:rsidR="003B6E11" w:rsidRPr="003B6E11" w:rsidRDefault="003B6E11" w:rsidP="003B6E11">
      <w:pPr>
        <w:tabs>
          <w:tab w:val="left" w:leader="dot" w:pos="9072"/>
        </w:tabs>
        <w:spacing w:before="60" w:line="240" w:lineRule="atLeast"/>
        <w:ind w:left="709" w:hanging="709"/>
        <w:rPr>
          <w:rFonts w:cs="Arial"/>
          <w:noProof/>
          <w:szCs w:val="20"/>
          <w:lang w:val="cs-CZ"/>
        </w:rPr>
      </w:pPr>
      <w:r w:rsidRPr="003B6E11">
        <w:rPr>
          <w:lang w:val="cs-CZ"/>
        </w:rPr>
        <w:t>1.1.4</w:t>
      </w:r>
      <w:r w:rsidRPr="003B6E11">
        <w:rPr>
          <w:lang w:val="cs-CZ"/>
        </w:rPr>
        <w:tab/>
        <w:t xml:space="preserve">Sériové číslo palubní čistírny odpadních vod: </w:t>
      </w:r>
      <w:r w:rsidRPr="003B6E11">
        <w:rPr>
          <w:lang w:val="cs-CZ"/>
        </w:rPr>
        <w:tab/>
      </w:r>
    </w:p>
    <w:p w:rsidR="003B6E11" w:rsidRPr="003B6E11" w:rsidRDefault="003B6E11" w:rsidP="003B6E11">
      <w:pPr>
        <w:tabs>
          <w:tab w:val="left" w:leader="dot" w:pos="9072"/>
        </w:tabs>
        <w:spacing w:before="60" w:line="240" w:lineRule="atLeast"/>
        <w:ind w:left="709"/>
        <w:rPr>
          <w:rFonts w:cs="Arial"/>
          <w:noProof/>
          <w:szCs w:val="20"/>
          <w:lang w:val="cs-CZ"/>
        </w:rPr>
      </w:pPr>
      <w:r w:rsidRPr="003B6E11">
        <w:rPr>
          <w:lang w:val="cs-CZ"/>
        </w:rPr>
        <w:tab/>
      </w:r>
    </w:p>
    <w:p w:rsidR="003B6E11" w:rsidRPr="003B6E11" w:rsidRDefault="003B6E11" w:rsidP="003B6E11">
      <w:pPr>
        <w:ind w:left="709" w:hanging="709"/>
        <w:rPr>
          <w:rFonts w:cs="Arial"/>
          <w:noProof/>
          <w:szCs w:val="20"/>
          <w:lang w:val="cs-CZ"/>
        </w:rPr>
      </w:pPr>
    </w:p>
    <w:p w:rsidR="003B6E11" w:rsidRPr="003B6E11" w:rsidRDefault="003B6E11" w:rsidP="003B6E11">
      <w:pPr>
        <w:ind w:left="709" w:hanging="709"/>
        <w:rPr>
          <w:rFonts w:cs="Arial"/>
          <w:noProof/>
          <w:szCs w:val="20"/>
          <w:lang w:val="cs-CZ"/>
        </w:rPr>
      </w:pPr>
      <w:r w:rsidRPr="003B6E11">
        <w:rPr>
          <w:lang w:val="cs-CZ"/>
        </w:rPr>
        <w:t>1.2</w:t>
      </w:r>
      <w:r w:rsidRPr="003B6E11">
        <w:rPr>
          <w:lang w:val="cs-CZ"/>
        </w:rPr>
        <w:tab/>
        <w:t>Dokumentace</w:t>
      </w:r>
    </w:p>
    <w:p w:rsidR="003B6E11" w:rsidRPr="003B6E11" w:rsidRDefault="003B6E11" w:rsidP="003B6E11">
      <w:pPr>
        <w:ind w:left="709" w:hanging="709"/>
        <w:rPr>
          <w:rFonts w:cs="Arial"/>
          <w:noProof/>
          <w:szCs w:val="20"/>
          <w:lang w:val="cs-CZ"/>
        </w:rPr>
      </w:pPr>
    </w:p>
    <w:p w:rsidR="003B6E11" w:rsidRPr="003B6E11" w:rsidRDefault="003B6E11" w:rsidP="003B6E11">
      <w:pPr>
        <w:ind w:left="709"/>
        <w:rPr>
          <w:rFonts w:cs="Arial"/>
          <w:noProof/>
          <w:szCs w:val="20"/>
          <w:lang w:val="cs-CZ"/>
        </w:rPr>
      </w:pPr>
      <w:r w:rsidRPr="003B6E11">
        <w:rPr>
          <w:lang w:val="cs-CZ"/>
        </w:rPr>
        <w:t>Palubní čistírna odpadních vod musí být podrobena zkouškám a výsledky zkoušek musí být zaznamenány na samostatných listech, které budou jednotlivě očíslovány, podepsány inspektorem a připojeny k tomuto záznamu.</w:t>
      </w:r>
    </w:p>
    <w:p w:rsidR="003B6E11" w:rsidRPr="003B6E11" w:rsidRDefault="003B6E11" w:rsidP="003B6E11">
      <w:pPr>
        <w:ind w:left="709" w:hanging="709"/>
        <w:rPr>
          <w:rFonts w:cs="Arial"/>
          <w:noProof/>
          <w:szCs w:val="20"/>
          <w:lang w:val="cs-CZ"/>
        </w:rPr>
      </w:pPr>
    </w:p>
    <w:p w:rsidR="003B6E11" w:rsidRPr="003B6E11" w:rsidRDefault="003B6E11" w:rsidP="003B6E11">
      <w:pPr>
        <w:ind w:left="709" w:hanging="709"/>
        <w:rPr>
          <w:rFonts w:cs="Arial"/>
          <w:noProof/>
          <w:szCs w:val="20"/>
          <w:lang w:val="cs-CZ"/>
        </w:rPr>
      </w:pPr>
      <w:r w:rsidRPr="003B6E11">
        <w:rPr>
          <w:lang w:val="cs-CZ"/>
        </w:rPr>
        <w:t>1.3</w:t>
      </w:r>
      <w:r w:rsidRPr="003B6E11">
        <w:rPr>
          <w:lang w:val="cs-CZ"/>
        </w:rPr>
        <w:tab/>
        <w:t>Zkoušky</w:t>
      </w:r>
    </w:p>
    <w:p w:rsidR="003B6E11" w:rsidRPr="003B6E11" w:rsidRDefault="003B6E11" w:rsidP="003B6E11">
      <w:pPr>
        <w:ind w:left="709" w:hanging="709"/>
        <w:rPr>
          <w:rFonts w:cs="Arial"/>
          <w:noProof/>
          <w:szCs w:val="20"/>
          <w:lang w:val="cs-CZ"/>
        </w:rPr>
      </w:pPr>
    </w:p>
    <w:p w:rsidR="003B6E11" w:rsidRPr="003B6E11" w:rsidRDefault="003B6E11" w:rsidP="003B6E11">
      <w:pPr>
        <w:ind w:left="709"/>
        <w:rPr>
          <w:rFonts w:cs="Arial"/>
          <w:noProof/>
          <w:szCs w:val="20"/>
          <w:lang w:val="cs-CZ"/>
        </w:rPr>
      </w:pPr>
      <w:r w:rsidRPr="003B6E11">
        <w:rPr>
          <w:lang w:val="cs-CZ"/>
        </w:rPr>
        <w:t>Zkoušky probíhají na základě pokynů výrobce ke kontrole konstrukčních dílů a parametrů palubní čistírny odpadních vod v souladu s čl. 1.01 odst. 9.10. V odůvodněných jednotlivých případech jsou inspektoři oprávněni podle vlastního uvážení od kontroly určitých konstrukčních dílů nebo parametrů zařízení upustit.</w:t>
      </w:r>
    </w:p>
    <w:p w:rsidR="003B6E11" w:rsidRPr="003B6E11" w:rsidRDefault="003B6E11" w:rsidP="003B6E11">
      <w:pPr>
        <w:ind w:left="709" w:hanging="709"/>
        <w:rPr>
          <w:rFonts w:cs="Arial"/>
          <w:noProof/>
          <w:szCs w:val="20"/>
          <w:lang w:val="cs-CZ"/>
        </w:rPr>
      </w:pPr>
    </w:p>
    <w:p w:rsidR="003B6E11" w:rsidRPr="003B6E11" w:rsidRDefault="003B6E11" w:rsidP="003B6E11">
      <w:pPr>
        <w:ind w:left="709"/>
        <w:rPr>
          <w:rFonts w:cs="Arial"/>
          <w:noProof/>
          <w:szCs w:val="20"/>
          <w:lang w:val="cs-CZ"/>
        </w:rPr>
      </w:pPr>
      <w:r w:rsidRPr="003B6E11">
        <w:rPr>
          <w:lang w:val="cs-CZ"/>
        </w:rPr>
        <w:t>Při zkoušce musí být vybrán alespoň jeden náhodný vzorek. Výsledky měření náhodného vzorku budou porovnány s kontrolními hodnotami stanovenými v čl. 18.01 odst. 2 tabulce 2.</w:t>
      </w:r>
    </w:p>
    <w:p w:rsidR="003B6E11" w:rsidRPr="003B6E11" w:rsidRDefault="003B6E11" w:rsidP="003B6E11">
      <w:pPr>
        <w:ind w:left="709" w:hanging="709"/>
        <w:rPr>
          <w:rFonts w:cs="Arial"/>
          <w:noProof/>
          <w:szCs w:val="20"/>
          <w:lang w:val="cs-CZ"/>
        </w:rPr>
      </w:pPr>
    </w:p>
    <w:p w:rsidR="003B6E11" w:rsidRPr="003B6E11" w:rsidRDefault="003B6E11" w:rsidP="003B6E11">
      <w:pPr>
        <w:ind w:left="709" w:hanging="709"/>
        <w:rPr>
          <w:rFonts w:cs="Arial"/>
          <w:noProof/>
          <w:szCs w:val="20"/>
          <w:lang w:val="cs-CZ"/>
        </w:rPr>
      </w:pPr>
      <w:r w:rsidRPr="003B6E11">
        <w:rPr>
          <w:lang w:val="cs-CZ"/>
        </w:rPr>
        <w:t>1.4</w:t>
      </w:r>
      <w:r w:rsidRPr="003B6E11">
        <w:rPr>
          <w:lang w:val="cs-CZ"/>
        </w:rPr>
        <w:tab/>
        <w:t>Tento zkušební protokol spolu s přiloženými záznamy se skládá celkem z ...................</w:t>
      </w:r>
      <w:r w:rsidRPr="003B6E11">
        <w:rPr>
          <w:noProof/>
          <w:vertAlign w:val="superscript"/>
          <w:lang w:val="cs-CZ"/>
        </w:rPr>
        <w:footnoteReference w:id="72"/>
      </w:r>
      <w:r w:rsidRPr="003B6E11">
        <w:rPr>
          <w:lang w:val="cs-CZ"/>
        </w:rPr>
        <w:t xml:space="preserve"> stránek.</w:t>
      </w:r>
    </w:p>
    <w:p w:rsidR="003B6E11" w:rsidRPr="003B6E11" w:rsidRDefault="003B6E11" w:rsidP="003B6E11">
      <w:pPr>
        <w:ind w:left="709" w:hanging="709"/>
        <w:rPr>
          <w:rFonts w:cs="Arial"/>
          <w:b/>
          <w:bCs/>
          <w:noProof/>
          <w:szCs w:val="20"/>
          <w:lang w:val="cs-CZ"/>
        </w:rPr>
      </w:pPr>
    </w:p>
    <w:p w:rsidR="003B6E11" w:rsidRPr="003B6E11" w:rsidRDefault="003B6E11" w:rsidP="003B6E11">
      <w:pPr>
        <w:ind w:left="709" w:hanging="709"/>
        <w:rPr>
          <w:rFonts w:cs="Arial"/>
          <w:b/>
          <w:bCs/>
          <w:noProof/>
          <w:szCs w:val="20"/>
          <w:lang w:val="cs-CZ"/>
        </w:rPr>
      </w:pPr>
      <w:r w:rsidRPr="003B6E11">
        <w:rPr>
          <w:b/>
          <w:noProof/>
          <w:lang w:val="cs-CZ"/>
        </w:rPr>
        <w:t>2.</w:t>
      </w:r>
      <w:r w:rsidRPr="003B6E11">
        <w:rPr>
          <w:lang w:val="cs-CZ"/>
        </w:rPr>
        <w:tab/>
      </w:r>
      <w:r w:rsidRPr="003B6E11">
        <w:rPr>
          <w:b/>
          <w:noProof/>
          <w:lang w:val="cs-CZ"/>
        </w:rPr>
        <w:t>Parametry</w:t>
      </w:r>
    </w:p>
    <w:p w:rsidR="003B6E11" w:rsidRPr="003B6E11" w:rsidRDefault="003B6E11" w:rsidP="003B6E11">
      <w:pPr>
        <w:ind w:left="709" w:hanging="709"/>
        <w:rPr>
          <w:rFonts w:cs="Arial"/>
          <w:noProof/>
          <w:szCs w:val="20"/>
          <w:lang w:val="cs-CZ"/>
        </w:rPr>
      </w:pPr>
    </w:p>
    <w:p w:rsidR="003B6E11" w:rsidRPr="003B6E11" w:rsidRDefault="003B6E11" w:rsidP="003B6E11">
      <w:pPr>
        <w:ind w:left="709"/>
        <w:rPr>
          <w:rFonts w:cs="Arial"/>
          <w:noProof/>
          <w:szCs w:val="20"/>
          <w:lang w:val="cs-CZ"/>
        </w:rPr>
      </w:pPr>
      <w:r w:rsidRPr="003B6E11">
        <w:rPr>
          <w:lang w:val="cs-CZ"/>
        </w:rPr>
        <w:t>Tímto se osvědčuje, že zkoušená palubní čistírna odpadních vod se neodchyluje v nepřípustné míře od parametrů a že kontrolní hodnoty pro provoz uvedené v čl. 18.01 odst. 2 tabulce 2 nebyly překročeny.</w:t>
      </w:r>
    </w:p>
    <w:p w:rsidR="003B6E11" w:rsidRPr="003B6E11" w:rsidRDefault="003B6E11" w:rsidP="003B6E11">
      <w:pPr>
        <w:ind w:left="709"/>
        <w:rPr>
          <w:rFonts w:cs="Arial"/>
          <w:noProof/>
          <w:szCs w:val="20"/>
          <w:lang w:val="cs-CZ"/>
        </w:rPr>
      </w:pPr>
    </w:p>
    <w:p w:rsidR="003B6E11" w:rsidRPr="003B6E11" w:rsidRDefault="003B6E11" w:rsidP="003B6E11">
      <w:pPr>
        <w:tabs>
          <w:tab w:val="left" w:leader="dot" w:pos="9072"/>
        </w:tabs>
        <w:ind w:left="709"/>
        <w:rPr>
          <w:rFonts w:cs="Arial"/>
          <w:noProof/>
          <w:szCs w:val="20"/>
          <w:lang w:val="cs-CZ"/>
        </w:rPr>
      </w:pPr>
      <w:r w:rsidRPr="003B6E11">
        <w:rPr>
          <w:lang w:val="cs-CZ"/>
        </w:rPr>
        <w:t xml:space="preserve">Název a adresa technické zkušebny: </w:t>
      </w: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 xml:space="preserve">Jméno inspektora: </w:t>
      </w: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 xml:space="preserve">Místo a datum: </w:t>
      </w: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 xml:space="preserve">Podpis: </w:t>
      </w:r>
      <w:r w:rsidRPr="003B6E11">
        <w:rPr>
          <w:lang w:val="cs-CZ"/>
        </w:rPr>
        <w:tab/>
      </w:r>
    </w:p>
    <w:p w:rsidR="003B6E11" w:rsidRPr="003B6E11" w:rsidRDefault="003B6E11" w:rsidP="003B6E11">
      <w:pPr>
        <w:tabs>
          <w:tab w:val="left" w:leader="dot" w:pos="9072"/>
        </w:tabs>
        <w:ind w:left="709"/>
        <w:rPr>
          <w:rFonts w:cs="Arial"/>
          <w:noProof/>
          <w:szCs w:val="20"/>
          <w:lang w:val="cs-CZ"/>
        </w:rPr>
      </w:pPr>
    </w:p>
    <w:p w:rsidR="003B6E11" w:rsidRPr="003B6E11" w:rsidRDefault="003B6E11" w:rsidP="003B6E11">
      <w:pPr>
        <w:tabs>
          <w:tab w:val="left" w:leader="dot" w:pos="9072"/>
        </w:tabs>
        <w:ind w:left="709"/>
        <w:rPr>
          <w:rFonts w:cs="Arial"/>
          <w:noProof/>
          <w:szCs w:val="20"/>
          <w:lang w:val="cs-CZ"/>
        </w:rPr>
      </w:pPr>
      <w:r w:rsidRPr="003B6E11">
        <w:rPr>
          <w:lang w:val="cs-CZ"/>
        </w:rPr>
        <w:t xml:space="preserve">Zkouška uznána příslušným orgánem: </w:t>
      </w:r>
      <w:r w:rsidRPr="003B6E11">
        <w:rPr>
          <w:lang w:val="cs-CZ"/>
        </w:rPr>
        <w:tab/>
      </w:r>
    </w:p>
    <w:p w:rsidR="003B6E11" w:rsidRPr="003B6E11" w:rsidRDefault="003B6E11" w:rsidP="003B6E11">
      <w:pPr>
        <w:tabs>
          <w:tab w:val="left" w:leader="dot" w:pos="9072"/>
        </w:tabs>
        <w:ind w:left="709" w:firstLine="11"/>
        <w:rPr>
          <w:rFonts w:cs="Arial"/>
          <w:noProof/>
          <w:szCs w:val="20"/>
          <w:lang w:val="cs-CZ"/>
        </w:rPr>
      </w:pP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 xml:space="preserve">Místo a datum: </w:t>
      </w: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 xml:space="preserve">Podpis: </w:t>
      </w:r>
      <w:r w:rsidRPr="003B6E11">
        <w:rPr>
          <w:lang w:val="cs-CZ"/>
        </w:rPr>
        <w:tab/>
      </w:r>
    </w:p>
    <w:p w:rsidR="003B6E11" w:rsidRPr="003B6E11" w:rsidRDefault="003B6E11" w:rsidP="003B6E11">
      <w:pPr>
        <w:ind w:left="709"/>
        <w:rPr>
          <w:rFonts w:cs="Arial"/>
          <w:noProof/>
          <w:szCs w:val="20"/>
          <w:lang w:val="cs-CZ"/>
        </w:rPr>
      </w:pPr>
    </w:p>
    <w:p w:rsidR="003B6E11" w:rsidRPr="003B6E11" w:rsidRDefault="003B6E11" w:rsidP="003B6E11">
      <w:pPr>
        <w:jc w:val="right"/>
        <w:outlineLvl w:val="0"/>
        <w:rPr>
          <w:rFonts w:cs="Arial"/>
          <w:noProof/>
          <w:szCs w:val="20"/>
          <w:lang w:val="cs-CZ"/>
        </w:rPr>
      </w:pPr>
      <w:r w:rsidRPr="003B6E11">
        <w:rPr>
          <w:lang w:val="cs-CZ"/>
        </w:rPr>
        <w:t>Razítko příslušného orgánu</w:t>
      </w:r>
    </w:p>
    <w:p w:rsidR="003B6E11" w:rsidRPr="003B6E11" w:rsidRDefault="003B6E11" w:rsidP="003B6E11">
      <w:pPr>
        <w:spacing w:line="240" w:lineRule="atLeast"/>
        <w:rPr>
          <w:rFonts w:cs="Arial"/>
          <w:color w:val="000000"/>
          <w:lang w:val="cs-CZ"/>
        </w:rPr>
      </w:pPr>
      <w:r w:rsidRPr="003B6E11">
        <w:rPr>
          <w:lang w:val="cs-CZ"/>
        </w:rPr>
        <w:br w:type="page"/>
      </w:r>
    </w:p>
    <w:p w:rsidR="003B6E11" w:rsidRPr="003B6E11" w:rsidRDefault="003B6E11" w:rsidP="003B6E11">
      <w:pPr>
        <w:tabs>
          <w:tab w:val="left" w:leader="dot" w:pos="9072"/>
        </w:tabs>
        <w:ind w:left="709"/>
        <w:rPr>
          <w:rFonts w:cs="Arial"/>
          <w:noProof/>
          <w:szCs w:val="20"/>
          <w:lang w:val="cs-CZ"/>
        </w:rPr>
      </w:pPr>
      <w:r w:rsidRPr="003B6E11">
        <w:rPr>
          <w:lang w:val="cs-CZ"/>
        </w:rPr>
        <w:t xml:space="preserve">Název a adresa technické zkušebny: </w:t>
      </w: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 xml:space="preserve">Jméno inspektora: </w:t>
      </w: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 xml:space="preserve">Místo a datum: </w:t>
      </w: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 xml:space="preserve">Podpis: </w:t>
      </w:r>
      <w:r w:rsidRPr="003B6E11">
        <w:rPr>
          <w:lang w:val="cs-CZ"/>
        </w:rPr>
        <w:tab/>
      </w:r>
    </w:p>
    <w:p w:rsidR="003B6E11" w:rsidRPr="003B6E11" w:rsidRDefault="003B6E11" w:rsidP="003B6E11">
      <w:pPr>
        <w:tabs>
          <w:tab w:val="left" w:leader="dot" w:pos="9072"/>
        </w:tabs>
        <w:ind w:left="709"/>
        <w:rPr>
          <w:rFonts w:cs="Arial"/>
          <w:noProof/>
          <w:szCs w:val="20"/>
          <w:lang w:val="cs-CZ"/>
        </w:rPr>
      </w:pPr>
    </w:p>
    <w:p w:rsidR="003B6E11" w:rsidRPr="003B6E11" w:rsidRDefault="003B6E11" w:rsidP="003B6E11">
      <w:pPr>
        <w:tabs>
          <w:tab w:val="left" w:leader="dot" w:pos="9072"/>
        </w:tabs>
        <w:ind w:left="709"/>
        <w:rPr>
          <w:rFonts w:cs="Arial"/>
          <w:noProof/>
          <w:szCs w:val="20"/>
          <w:lang w:val="cs-CZ"/>
        </w:rPr>
      </w:pPr>
      <w:r w:rsidRPr="003B6E11">
        <w:rPr>
          <w:lang w:val="cs-CZ"/>
        </w:rPr>
        <w:t xml:space="preserve">Zkouška uznána příslušným orgánem: </w:t>
      </w:r>
      <w:r w:rsidRPr="003B6E11">
        <w:rPr>
          <w:lang w:val="cs-CZ"/>
        </w:rPr>
        <w:tab/>
      </w:r>
    </w:p>
    <w:p w:rsidR="003B6E11" w:rsidRPr="003B6E11" w:rsidRDefault="003B6E11" w:rsidP="003B6E11">
      <w:pPr>
        <w:tabs>
          <w:tab w:val="left" w:leader="dot" w:pos="9072"/>
        </w:tabs>
        <w:ind w:left="709" w:firstLine="11"/>
        <w:rPr>
          <w:rFonts w:cs="Arial"/>
          <w:noProof/>
          <w:szCs w:val="20"/>
          <w:lang w:val="cs-CZ"/>
        </w:rPr>
      </w:pP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 xml:space="preserve">Místo a datum: </w:t>
      </w: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 xml:space="preserve">Podpis: </w:t>
      </w:r>
      <w:r w:rsidRPr="003B6E11">
        <w:rPr>
          <w:lang w:val="cs-CZ"/>
        </w:rPr>
        <w:tab/>
      </w:r>
    </w:p>
    <w:p w:rsidR="003B6E11" w:rsidRPr="003B6E11" w:rsidRDefault="003B6E11" w:rsidP="003B6E11">
      <w:pPr>
        <w:ind w:left="709"/>
        <w:rPr>
          <w:rFonts w:cs="Arial"/>
          <w:noProof/>
          <w:szCs w:val="20"/>
          <w:lang w:val="cs-CZ"/>
        </w:rPr>
      </w:pPr>
    </w:p>
    <w:p w:rsidR="003B6E11" w:rsidRPr="003B6E11" w:rsidRDefault="003B6E11" w:rsidP="003B6E11">
      <w:pPr>
        <w:jc w:val="right"/>
        <w:outlineLvl w:val="0"/>
        <w:rPr>
          <w:rFonts w:cs="Arial"/>
          <w:noProof/>
          <w:szCs w:val="20"/>
          <w:lang w:val="cs-CZ"/>
        </w:rPr>
      </w:pPr>
      <w:r w:rsidRPr="003B6E11">
        <w:rPr>
          <w:lang w:val="cs-CZ"/>
        </w:rPr>
        <w:t>Razítko příslušného orgánu</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p>
    <w:p w:rsidR="003B6E11" w:rsidRPr="003B6E11" w:rsidRDefault="003B6E11" w:rsidP="003B6E11">
      <w:pPr>
        <w:tabs>
          <w:tab w:val="left" w:leader="dot" w:pos="9072"/>
        </w:tabs>
        <w:ind w:left="709"/>
        <w:rPr>
          <w:rFonts w:cs="Arial"/>
          <w:noProof/>
          <w:szCs w:val="20"/>
          <w:lang w:val="cs-CZ"/>
        </w:rPr>
      </w:pPr>
      <w:r w:rsidRPr="003B6E11">
        <w:rPr>
          <w:lang w:val="cs-CZ"/>
        </w:rPr>
        <w:t xml:space="preserve">Název a adresa technické zkušebny: </w:t>
      </w: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 xml:space="preserve">Jméno inspektora: </w:t>
      </w: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 xml:space="preserve">Místo a datum: </w:t>
      </w: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 xml:space="preserve">Podpis: </w:t>
      </w:r>
      <w:r w:rsidRPr="003B6E11">
        <w:rPr>
          <w:lang w:val="cs-CZ"/>
        </w:rPr>
        <w:tab/>
      </w:r>
    </w:p>
    <w:p w:rsidR="003B6E11" w:rsidRPr="003B6E11" w:rsidRDefault="003B6E11" w:rsidP="003B6E11">
      <w:pPr>
        <w:tabs>
          <w:tab w:val="left" w:leader="dot" w:pos="9072"/>
        </w:tabs>
        <w:ind w:left="709"/>
        <w:rPr>
          <w:rFonts w:cs="Arial"/>
          <w:noProof/>
          <w:szCs w:val="20"/>
          <w:lang w:val="cs-CZ"/>
        </w:rPr>
      </w:pPr>
    </w:p>
    <w:p w:rsidR="003B6E11" w:rsidRPr="003B6E11" w:rsidRDefault="003B6E11" w:rsidP="003B6E11">
      <w:pPr>
        <w:tabs>
          <w:tab w:val="left" w:leader="dot" w:pos="9072"/>
        </w:tabs>
        <w:ind w:left="709"/>
        <w:rPr>
          <w:rFonts w:cs="Arial"/>
          <w:noProof/>
          <w:szCs w:val="20"/>
          <w:lang w:val="cs-CZ"/>
        </w:rPr>
      </w:pPr>
      <w:r w:rsidRPr="003B6E11">
        <w:rPr>
          <w:lang w:val="cs-CZ"/>
        </w:rPr>
        <w:t xml:space="preserve">Zkouška uznána příslušným orgánem: </w:t>
      </w:r>
      <w:r w:rsidRPr="003B6E11">
        <w:rPr>
          <w:lang w:val="cs-CZ"/>
        </w:rPr>
        <w:tab/>
      </w:r>
    </w:p>
    <w:p w:rsidR="003B6E11" w:rsidRPr="003B6E11" w:rsidRDefault="003B6E11" w:rsidP="003B6E11">
      <w:pPr>
        <w:tabs>
          <w:tab w:val="left" w:leader="dot" w:pos="9072"/>
        </w:tabs>
        <w:ind w:left="709" w:firstLine="11"/>
        <w:rPr>
          <w:rFonts w:cs="Arial"/>
          <w:noProof/>
          <w:szCs w:val="20"/>
          <w:lang w:val="cs-CZ"/>
        </w:rPr>
      </w:pP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 xml:space="preserve">Místo a datum: </w:t>
      </w:r>
      <w:r w:rsidRPr="003B6E11">
        <w:rPr>
          <w:lang w:val="cs-CZ"/>
        </w:rPr>
        <w:tab/>
      </w:r>
    </w:p>
    <w:p w:rsidR="003B6E11" w:rsidRPr="003B6E11" w:rsidRDefault="003B6E11" w:rsidP="003B6E11">
      <w:pPr>
        <w:tabs>
          <w:tab w:val="left" w:leader="dot" w:pos="9072"/>
        </w:tabs>
        <w:ind w:left="709"/>
        <w:rPr>
          <w:rFonts w:cs="Arial"/>
          <w:noProof/>
          <w:szCs w:val="20"/>
          <w:lang w:val="cs-CZ"/>
        </w:rPr>
      </w:pPr>
      <w:r w:rsidRPr="003B6E11">
        <w:rPr>
          <w:lang w:val="cs-CZ"/>
        </w:rPr>
        <w:t xml:space="preserve">Podpis: </w:t>
      </w:r>
      <w:r w:rsidRPr="003B6E11">
        <w:rPr>
          <w:lang w:val="cs-CZ"/>
        </w:rPr>
        <w:tab/>
      </w:r>
    </w:p>
    <w:p w:rsidR="003B6E11" w:rsidRPr="003B6E11" w:rsidRDefault="003B6E11" w:rsidP="003B6E11">
      <w:pPr>
        <w:ind w:left="709"/>
        <w:rPr>
          <w:rFonts w:cs="Arial"/>
          <w:noProof/>
          <w:szCs w:val="20"/>
          <w:lang w:val="cs-CZ"/>
        </w:rPr>
      </w:pPr>
    </w:p>
    <w:p w:rsidR="003B6E11" w:rsidRPr="003B6E11" w:rsidRDefault="003B6E11" w:rsidP="003B6E11">
      <w:pPr>
        <w:jc w:val="right"/>
        <w:outlineLvl w:val="0"/>
        <w:rPr>
          <w:rFonts w:cs="Arial"/>
          <w:noProof/>
          <w:szCs w:val="20"/>
          <w:lang w:val="cs-CZ"/>
        </w:rPr>
      </w:pPr>
      <w:r w:rsidRPr="003B6E11">
        <w:rPr>
          <w:lang w:val="cs-CZ"/>
        </w:rPr>
        <w:t>Razítko příslušného orgánu</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lang w:val="cs-CZ"/>
        </w:rPr>
        <w:br w:type="page"/>
      </w:r>
    </w:p>
    <w:p w:rsidR="003B6E11" w:rsidRPr="003B6E11" w:rsidRDefault="003B6E11" w:rsidP="003B6E11">
      <w:pPr>
        <w:suppressAutoHyphens/>
        <w:spacing w:line="240" w:lineRule="atLeast"/>
        <w:jc w:val="center"/>
        <w:rPr>
          <w:rFonts w:cs="Arial"/>
          <w:lang w:val="cs-CZ"/>
        </w:rPr>
      </w:pPr>
      <w:r w:rsidRPr="003B6E11">
        <w:rPr>
          <w:b/>
          <w:lang w:val="cs-CZ"/>
        </w:rPr>
        <w:t>Dodatek 1</w:t>
      </w:r>
    </w:p>
    <w:p w:rsidR="003B6E11" w:rsidRPr="003B6E11" w:rsidRDefault="003B6E11" w:rsidP="003B6E11">
      <w:pPr>
        <w:suppressAutoHyphens/>
        <w:jc w:val="center"/>
        <w:rPr>
          <w:rFonts w:cs="Arial"/>
          <w:b/>
          <w:lang w:val="cs-CZ"/>
        </w:rPr>
      </w:pPr>
      <w:r w:rsidRPr="003B6E11">
        <w:rPr>
          <w:b/>
          <w:lang w:val="cs-CZ"/>
        </w:rPr>
        <w:t>Příloha záznamu parametrů palubní čistírny odpadních vod</w:t>
      </w:r>
    </w:p>
    <w:p w:rsidR="003B6E11" w:rsidRPr="003B6E11" w:rsidRDefault="003B6E11" w:rsidP="003B6E11">
      <w:pPr>
        <w:spacing w:line="240" w:lineRule="atLeast"/>
        <w:jc w:val="center"/>
        <w:rPr>
          <w:rFonts w:cs="Arial"/>
          <w:b/>
          <w:color w:val="000000"/>
          <w:lang w:val="cs-CZ"/>
        </w:rPr>
      </w:pPr>
      <w:r w:rsidRPr="003B6E11">
        <w:rPr>
          <w:color w:val="000000"/>
          <w:lang w:val="cs-CZ"/>
        </w:rPr>
        <w:t>(Vzor)</w:t>
      </w:r>
    </w:p>
    <w:p w:rsidR="003B6E11" w:rsidRPr="003B6E11" w:rsidRDefault="003B6E11" w:rsidP="003B6E11">
      <w:pPr>
        <w:spacing w:line="240" w:lineRule="atLeast"/>
        <w:rPr>
          <w:rFonts w:cs="Arial"/>
          <w:color w:val="000000"/>
          <w:lang w:val="cs-CZ"/>
        </w:rPr>
      </w:pPr>
    </w:p>
    <w:tbl>
      <w:tblPr>
        <w:tblW w:w="9215" w:type="dxa"/>
        <w:jc w:val="center"/>
        <w:tblLayout w:type="fixed"/>
        <w:tblCellMar>
          <w:left w:w="70" w:type="dxa"/>
          <w:right w:w="70" w:type="dxa"/>
        </w:tblCellMar>
        <w:tblLook w:val="0000" w:firstRow="0" w:lastRow="0" w:firstColumn="0" w:lastColumn="0" w:noHBand="0" w:noVBand="0"/>
      </w:tblPr>
      <w:tblGrid>
        <w:gridCol w:w="426"/>
        <w:gridCol w:w="850"/>
        <w:gridCol w:w="284"/>
        <w:gridCol w:w="476"/>
        <w:gridCol w:w="1083"/>
        <w:gridCol w:w="43"/>
        <w:gridCol w:w="200"/>
        <w:gridCol w:w="607"/>
        <w:gridCol w:w="709"/>
        <w:gridCol w:w="634"/>
        <w:gridCol w:w="784"/>
        <w:gridCol w:w="298"/>
        <w:gridCol w:w="213"/>
        <w:gridCol w:w="265"/>
        <w:gridCol w:w="216"/>
        <w:gridCol w:w="47"/>
        <w:gridCol w:w="39"/>
        <w:gridCol w:w="1000"/>
        <w:gridCol w:w="1041"/>
      </w:tblGrid>
      <w:tr w:rsidR="003B6E11" w:rsidRPr="003B6E11" w:rsidTr="002D015D">
        <w:trPr>
          <w:cantSplit/>
          <w:jc w:val="center"/>
        </w:trPr>
        <w:tc>
          <w:tcPr>
            <w:tcW w:w="1560" w:type="dxa"/>
            <w:gridSpan w:val="3"/>
            <w:vAlign w:val="center"/>
          </w:tcPr>
          <w:p w:rsidR="003B6E11" w:rsidRPr="003B6E11" w:rsidRDefault="003B6E11" w:rsidP="002D015D">
            <w:pPr>
              <w:rPr>
                <w:noProof/>
                <w:szCs w:val="18"/>
                <w:lang w:val="cs-CZ"/>
              </w:rPr>
            </w:pPr>
            <w:r w:rsidRPr="003B6E11">
              <w:rPr>
                <w:lang w:val="cs-CZ"/>
              </w:rPr>
              <w:t>Jméno plavidla</w:t>
            </w:r>
          </w:p>
        </w:tc>
        <w:tc>
          <w:tcPr>
            <w:tcW w:w="1802" w:type="dxa"/>
            <w:gridSpan w:val="4"/>
            <w:vAlign w:val="center"/>
          </w:tcPr>
          <w:p w:rsidR="003B6E11" w:rsidRPr="003B6E11" w:rsidRDefault="003B6E11" w:rsidP="002D015D">
            <w:pPr>
              <w:rPr>
                <w:noProof/>
                <w:szCs w:val="18"/>
                <w:lang w:val="cs-CZ"/>
              </w:rPr>
            </w:pPr>
            <w:r w:rsidRPr="003B6E11">
              <w:rPr>
                <w:lang w:val="cs-CZ"/>
              </w:rPr>
              <w:t>……………………</w:t>
            </w:r>
          </w:p>
        </w:tc>
        <w:tc>
          <w:tcPr>
            <w:tcW w:w="3726" w:type="dxa"/>
            <w:gridSpan w:val="8"/>
            <w:vAlign w:val="center"/>
          </w:tcPr>
          <w:p w:rsidR="003B6E11" w:rsidRPr="003B6E11" w:rsidRDefault="003B6E11" w:rsidP="002D015D">
            <w:pPr>
              <w:rPr>
                <w:noProof/>
                <w:szCs w:val="18"/>
                <w:lang w:val="cs-CZ"/>
              </w:rPr>
            </w:pPr>
            <w:r w:rsidRPr="003B6E11">
              <w:rPr>
                <w:lang w:val="cs-CZ"/>
              </w:rPr>
              <w:t>Jednotné evropské identifikační číslo plavidla:</w:t>
            </w:r>
          </w:p>
        </w:tc>
        <w:tc>
          <w:tcPr>
            <w:tcW w:w="2127" w:type="dxa"/>
            <w:gridSpan w:val="4"/>
            <w:vAlign w:val="center"/>
          </w:tcPr>
          <w:p w:rsidR="003B6E11" w:rsidRPr="003B6E11" w:rsidRDefault="003B6E11" w:rsidP="002D015D">
            <w:pPr>
              <w:tabs>
                <w:tab w:val="left" w:leader="dot" w:pos="1987"/>
              </w:tabs>
              <w:rPr>
                <w:noProof/>
                <w:szCs w:val="18"/>
                <w:lang w:val="cs-CZ"/>
              </w:rPr>
            </w:pPr>
            <w:r w:rsidRPr="003B6E11">
              <w:rPr>
                <w:lang w:val="cs-CZ"/>
              </w:rPr>
              <w:tab/>
            </w:r>
          </w:p>
        </w:tc>
      </w:tr>
      <w:tr w:rsidR="003B6E11" w:rsidRPr="003B6E11" w:rsidTr="002D015D">
        <w:trPr>
          <w:cantSplit/>
          <w:trHeight w:hRule="exact" w:val="160"/>
          <w:jc w:val="center"/>
        </w:trPr>
        <w:tc>
          <w:tcPr>
            <w:tcW w:w="9215" w:type="dxa"/>
            <w:gridSpan w:val="19"/>
            <w:vAlign w:val="center"/>
          </w:tcPr>
          <w:p w:rsidR="003B6E11" w:rsidRPr="003B6E11" w:rsidRDefault="003B6E11" w:rsidP="002D015D">
            <w:pPr>
              <w:rPr>
                <w:noProof/>
                <w:lang w:val="cs-CZ"/>
              </w:rPr>
            </w:pPr>
          </w:p>
        </w:tc>
      </w:tr>
      <w:tr w:rsidR="003B6E11" w:rsidRPr="003B6E11" w:rsidTr="002D015D">
        <w:trPr>
          <w:jc w:val="center"/>
        </w:trPr>
        <w:tc>
          <w:tcPr>
            <w:tcW w:w="426" w:type="dxa"/>
            <w:vAlign w:val="center"/>
          </w:tcPr>
          <w:p w:rsidR="003B6E11" w:rsidRPr="003B6E11" w:rsidRDefault="003B6E11" w:rsidP="002D015D">
            <w:pPr>
              <w:rPr>
                <w:noProof/>
                <w:sz w:val="18"/>
                <w:szCs w:val="18"/>
                <w:lang w:val="cs-CZ"/>
              </w:rPr>
            </w:pPr>
          </w:p>
        </w:tc>
        <w:tc>
          <w:tcPr>
            <w:tcW w:w="2736" w:type="dxa"/>
            <w:gridSpan w:val="5"/>
            <w:tcBorders>
              <w:left w:val="nil"/>
            </w:tcBorders>
            <w:vAlign w:val="center"/>
          </w:tcPr>
          <w:p w:rsidR="003B6E11" w:rsidRPr="003B6E11" w:rsidRDefault="003B6E11" w:rsidP="002D015D">
            <w:pPr>
              <w:rPr>
                <w:noProof/>
                <w:sz w:val="18"/>
                <w:szCs w:val="18"/>
                <w:lang w:val="cs-CZ"/>
              </w:rPr>
            </w:pPr>
          </w:p>
        </w:tc>
        <w:tc>
          <w:tcPr>
            <w:tcW w:w="807" w:type="dxa"/>
            <w:gridSpan w:val="2"/>
            <w:vAlign w:val="center"/>
          </w:tcPr>
          <w:p w:rsidR="003B6E11" w:rsidRPr="003B6E11" w:rsidRDefault="003B6E11" w:rsidP="002D015D">
            <w:pPr>
              <w:rPr>
                <w:noProof/>
                <w:lang w:val="cs-CZ"/>
              </w:rPr>
            </w:pPr>
          </w:p>
        </w:tc>
        <w:tc>
          <w:tcPr>
            <w:tcW w:w="2425" w:type="dxa"/>
            <w:gridSpan w:val="4"/>
            <w:tcBorders>
              <w:left w:val="nil"/>
            </w:tcBorders>
            <w:vAlign w:val="center"/>
          </w:tcPr>
          <w:p w:rsidR="003B6E11" w:rsidRPr="003B6E11" w:rsidRDefault="003B6E11" w:rsidP="002D015D">
            <w:pPr>
              <w:rPr>
                <w:noProof/>
                <w:sz w:val="18"/>
                <w:szCs w:val="18"/>
                <w:lang w:val="cs-CZ"/>
              </w:rPr>
            </w:pPr>
          </w:p>
        </w:tc>
        <w:tc>
          <w:tcPr>
            <w:tcW w:w="694" w:type="dxa"/>
            <w:gridSpan w:val="3"/>
            <w:vAlign w:val="center"/>
          </w:tcPr>
          <w:p w:rsidR="003B6E11" w:rsidRPr="003B6E11" w:rsidRDefault="003B6E11" w:rsidP="002D015D">
            <w:pPr>
              <w:rPr>
                <w:noProof/>
                <w:sz w:val="18"/>
                <w:szCs w:val="18"/>
                <w:lang w:val="cs-CZ"/>
              </w:rPr>
            </w:pPr>
          </w:p>
        </w:tc>
        <w:tc>
          <w:tcPr>
            <w:tcW w:w="2127" w:type="dxa"/>
            <w:gridSpan w:val="4"/>
            <w:tcBorders>
              <w:left w:val="nil"/>
            </w:tcBorders>
            <w:vAlign w:val="center"/>
          </w:tcPr>
          <w:p w:rsidR="003B6E11" w:rsidRPr="003B6E11" w:rsidRDefault="003B6E11" w:rsidP="002D015D">
            <w:pPr>
              <w:rPr>
                <w:noProof/>
                <w:sz w:val="18"/>
                <w:szCs w:val="18"/>
                <w:lang w:val="cs-CZ"/>
              </w:rPr>
            </w:pPr>
          </w:p>
        </w:tc>
      </w:tr>
      <w:tr w:rsidR="003B6E11" w:rsidRPr="003B6E11" w:rsidTr="002D015D">
        <w:tblPrEx>
          <w:tblCellMar>
            <w:left w:w="28" w:type="dxa"/>
            <w:right w:w="28" w:type="dxa"/>
          </w:tblCellMar>
        </w:tblPrEx>
        <w:trPr>
          <w:cantSplit/>
          <w:trHeight w:hRule="exact" w:val="160"/>
          <w:jc w:val="center"/>
        </w:trPr>
        <w:tc>
          <w:tcPr>
            <w:tcW w:w="9215" w:type="dxa"/>
            <w:gridSpan w:val="19"/>
            <w:vAlign w:val="center"/>
          </w:tcPr>
          <w:p w:rsidR="003B6E11" w:rsidRPr="003B6E11" w:rsidRDefault="003B6E11" w:rsidP="002D015D">
            <w:pPr>
              <w:rPr>
                <w:noProof/>
                <w:lang w:val="cs-CZ"/>
              </w:rPr>
            </w:pPr>
          </w:p>
        </w:tc>
      </w:tr>
      <w:tr w:rsidR="003B6E11" w:rsidRPr="003B6E11" w:rsidTr="002D015D">
        <w:tblPrEx>
          <w:tblCellMar>
            <w:left w:w="28" w:type="dxa"/>
            <w:right w:w="28" w:type="dxa"/>
          </w:tblCellMar>
        </w:tblPrEx>
        <w:trPr>
          <w:jc w:val="center"/>
        </w:trPr>
        <w:tc>
          <w:tcPr>
            <w:tcW w:w="1276" w:type="dxa"/>
            <w:gridSpan w:val="2"/>
            <w:vAlign w:val="center"/>
          </w:tcPr>
          <w:p w:rsidR="003B6E11" w:rsidRPr="003B6E11" w:rsidRDefault="003B6E11" w:rsidP="002D015D">
            <w:pPr>
              <w:rPr>
                <w:noProof/>
                <w:szCs w:val="18"/>
                <w:lang w:val="cs-CZ"/>
              </w:rPr>
            </w:pPr>
            <w:r w:rsidRPr="003B6E11">
              <w:rPr>
                <w:lang w:val="cs-CZ"/>
              </w:rPr>
              <w:t>Výrobce:</w:t>
            </w:r>
          </w:p>
        </w:tc>
        <w:tc>
          <w:tcPr>
            <w:tcW w:w="3402" w:type="dxa"/>
            <w:gridSpan w:val="7"/>
            <w:vAlign w:val="center"/>
          </w:tcPr>
          <w:p w:rsidR="003B6E11" w:rsidRPr="003B6E11" w:rsidRDefault="003B6E11" w:rsidP="002D015D">
            <w:pPr>
              <w:rPr>
                <w:noProof/>
                <w:szCs w:val="18"/>
                <w:lang w:val="cs-CZ"/>
              </w:rPr>
            </w:pPr>
            <w:r w:rsidRPr="003B6E11">
              <w:rPr>
                <w:lang w:val="cs-CZ"/>
              </w:rPr>
              <w:t>………………………………………….</w:t>
            </w:r>
          </w:p>
        </w:tc>
        <w:tc>
          <w:tcPr>
            <w:tcW w:w="1929" w:type="dxa"/>
            <w:gridSpan w:val="4"/>
            <w:vAlign w:val="center"/>
          </w:tcPr>
          <w:p w:rsidR="003B6E11" w:rsidRPr="003B6E11" w:rsidRDefault="003B6E11" w:rsidP="002D015D">
            <w:pPr>
              <w:rPr>
                <w:noProof/>
                <w:szCs w:val="18"/>
                <w:lang w:val="cs-CZ"/>
              </w:rPr>
            </w:pPr>
            <w:r w:rsidRPr="003B6E11">
              <w:rPr>
                <w:lang w:val="cs-CZ"/>
              </w:rPr>
              <w:t>Typ čistírny:</w:t>
            </w:r>
          </w:p>
        </w:tc>
        <w:tc>
          <w:tcPr>
            <w:tcW w:w="2608" w:type="dxa"/>
            <w:gridSpan w:val="6"/>
            <w:vAlign w:val="center"/>
          </w:tcPr>
          <w:p w:rsidR="003B6E11" w:rsidRPr="003B6E11" w:rsidRDefault="003B6E11" w:rsidP="002D015D">
            <w:pPr>
              <w:tabs>
                <w:tab w:val="left" w:leader="dot" w:pos="2552"/>
              </w:tabs>
              <w:rPr>
                <w:noProof/>
                <w:szCs w:val="18"/>
                <w:lang w:val="cs-CZ"/>
              </w:rPr>
            </w:pPr>
            <w:r w:rsidRPr="003B6E11">
              <w:rPr>
                <w:lang w:val="cs-CZ"/>
              </w:rPr>
              <w:tab/>
            </w:r>
          </w:p>
        </w:tc>
      </w:tr>
      <w:tr w:rsidR="003B6E11" w:rsidRPr="003B6E11" w:rsidTr="002D015D">
        <w:tblPrEx>
          <w:tblCellMar>
            <w:left w:w="28" w:type="dxa"/>
            <w:right w:w="28" w:type="dxa"/>
          </w:tblCellMar>
        </w:tblPrEx>
        <w:trPr>
          <w:jc w:val="center"/>
        </w:trPr>
        <w:tc>
          <w:tcPr>
            <w:tcW w:w="1276" w:type="dxa"/>
            <w:gridSpan w:val="2"/>
            <w:vAlign w:val="center"/>
          </w:tcPr>
          <w:p w:rsidR="003B6E11" w:rsidRPr="003B6E11" w:rsidRDefault="003B6E11" w:rsidP="002D015D">
            <w:pPr>
              <w:rPr>
                <w:noProof/>
                <w:lang w:val="cs-CZ"/>
              </w:rPr>
            </w:pPr>
          </w:p>
        </w:tc>
        <w:tc>
          <w:tcPr>
            <w:tcW w:w="3402" w:type="dxa"/>
            <w:gridSpan w:val="7"/>
            <w:tcBorders>
              <w:bottom w:val="nil"/>
            </w:tcBorders>
            <w:vAlign w:val="center"/>
          </w:tcPr>
          <w:p w:rsidR="003B6E11" w:rsidRPr="003B6E11" w:rsidRDefault="003B6E11" w:rsidP="002D015D">
            <w:pPr>
              <w:rPr>
                <w:noProof/>
                <w:sz w:val="12"/>
                <w:szCs w:val="12"/>
                <w:lang w:val="cs-CZ"/>
              </w:rPr>
            </w:pPr>
            <w:r w:rsidRPr="003B6E11">
              <w:rPr>
                <w:noProof/>
                <w:sz w:val="12"/>
                <w:lang w:val="cs-CZ"/>
              </w:rPr>
              <w:t>(Značka / obchodní značka / obchodní název výrobce)</w:t>
            </w:r>
          </w:p>
        </w:tc>
        <w:tc>
          <w:tcPr>
            <w:tcW w:w="1929" w:type="dxa"/>
            <w:gridSpan w:val="4"/>
            <w:vAlign w:val="center"/>
          </w:tcPr>
          <w:p w:rsidR="003B6E11" w:rsidRPr="003B6E11" w:rsidRDefault="003B6E11" w:rsidP="002D015D">
            <w:pPr>
              <w:rPr>
                <w:noProof/>
                <w:lang w:val="cs-CZ"/>
              </w:rPr>
            </w:pPr>
          </w:p>
        </w:tc>
        <w:tc>
          <w:tcPr>
            <w:tcW w:w="2608" w:type="dxa"/>
            <w:gridSpan w:val="6"/>
            <w:tcBorders>
              <w:bottom w:val="nil"/>
            </w:tcBorders>
            <w:vAlign w:val="center"/>
          </w:tcPr>
          <w:p w:rsidR="003B6E11" w:rsidRPr="003B6E11" w:rsidRDefault="003B6E11" w:rsidP="002D015D">
            <w:pPr>
              <w:rPr>
                <w:noProof/>
                <w:sz w:val="12"/>
                <w:szCs w:val="12"/>
                <w:lang w:val="cs-CZ"/>
              </w:rPr>
            </w:pPr>
            <w:r w:rsidRPr="003B6E11">
              <w:rPr>
                <w:noProof/>
                <w:sz w:val="12"/>
                <w:lang w:val="cs-CZ"/>
              </w:rPr>
              <w:t>(Označení výrobce)</w:t>
            </w:r>
          </w:p>
        </w:tc>
      </w:tr>
      <w:tr w:rsidR="003B6E11" w:rsidRPr="003B6E11" w:rsidTr="002D015D">
        <w:tblPrEx>
          <w:tblCellMar>
            <w:left w:w="28" w:type="dxa"/>
            <w:right w:w="28" w:type="dxa"/>
          </w:tblCellMar>
        </w:tblPrEx>
        <w:trPr>
          <w:cantSplit/>
          <w:trHeight w:hRule="exact" w:val="160"/>
          <w:jc w:val="center"/>
        </w:trPr>
        <w:tc>
          <w:tcPr>
            <w:tcW w:w="9215" w:type="dxa"/>
            <w:gridSpan w:val="19"/>
            <w:vAlign w:val="center"/>
          </w:tcPr>
          <w:p w:rsidR="003B6E11" w:rsidRPr="003B6E11" w:rsidRDefault="003B6E11" w:rsidP="002D015D">
            <w:pPr>
              <w:rPr>
                <w:noProof/>
                <w:lang w:val="cs-CZ"/>
              </w:rPr>
            </w:pPr>
          </w:p>
        </w:tc>
      </w:tr>
      <w:tr w:rsidR="003B6E11" w:rsidRPr="003B6E11" w:rsidTr="002D015D">
        <w:tblPrEx>
          <w:tblCellMar>
            <w:left w:w="28" w:type="dxa"/>
            <w:right w:w="28" w:type="dxa"/>
          </w:tblCellMar>
        </w:tblPrEx>
        <w:trPr>
          <w:cantSplit/>
          <w:jc w:val="center"/>
        </w:trPr>
        <w:tc>
          <w:tcPr>
            <w:tcW w:w="2036" w:type="dxa"/>
            <w:gridSpan w:val="4"/>
            <w:vAlign w:val="center"/>
          </w:tcPr>
          <w:p w:rsidR="003B6E11" w:rsidRPr="003B6E11" w:rsidRDefault="003B6E11" w:rsidP="002D015D">
            <w:pPr>
              <w:rPr>
                <w:noProof/>
                <w:szCs w:val="18"/>
                <w:lang w:val="cs-CZ"/>
              </w:rPr>
            </w:pPr>
            <w:r w:rsidRPr="003B6E11">
              <w:rPr>
                <w:lang w:val="cs-CZ"/>
              </w:rPr>
              <w:t>Schválení typu č.:</w:t>
            </w:r>
          </w:p>
        </w:tc>
        <w:tc>
          <w:tcPr>
            <w:tcW w:w="3276" w:type="dxa"/>
            <w:gridSpan w:val="6"/>
            <w:vAlign w:val="center"/>
          </w:tcPr>
          <w:p w:rsidR="003B6E11" w:rsidRPr="003B6E11" w:rsidRDefault="003B6E11" w:rsidP="002D015D">
            <w:pPr>
              <w:rPr>
                <w:noProof/>
                <w:szCs w:val="18"/>
                <w:lang w:val="cs-CZ"/>
              </w:rPr>
            </w:pPr>
            <w:r w:rsidRPr="003B6E11">
              <w:rPr>
                <w:lang w:val="cs-CZ"/>
              </w:rPr>
              <w:t>………………………………………..</w:t>
            </w:r>
          </w:p>
        </w:tc>
        <w:tc>
          <w:tcPr>
            <w:tcW w:w="1862" w:type="dxa"/>
            <w:gridSpan w:val="7"/>
            <w:vAlign w:val="center"/>
          </w:tcPr>
          <w:p w:rsidR="003B6E11" w:rsidRPr="003B6E11" w:rsidRDefault="003B6E11" w:rsidP="002D015D">
            <w:pPr>
              <w:rPr>
                <w:noProof/>
                <w:szCs w:val="18"/>
                <w:lang w:val="cs-CZ"/>
              </w:rPr>
            </w:pPr>
            <w:r w:rsidRPr="003B6E11">
              <w:rPr>
                <w:lang w:val="cs-CZ"/>
              </w:rPr>
              <w:t>Rok výroby palubní čistírny odpadních vod:</w:t>
            </w:r>
          </w:p>
        </w:tc>
        <w:tc>
          <w:tcPr>
            <w:tcW w:w="2041" w:type="dxa"/>
            <w:gridSpan w:val="2"/>
            <w:vAlign w:val="center"/>
          </w:tcPr>
          <w:p w:rsidR="003B6E11" w:rsidRPr="003B6E11" w:rsidRDefault="003B6E11" w:rsidP="002D015D">
            <w:pPr>
              <w:tabs>
                <w:tab w:val="left" w:leader="dot" w:pos="1942"/>
              </w:tabs>
              <w:rPr>
                <w:noProof/>
                <w:szCs w:val="18"/>
                <w:lang w:val="cs-CZ"/>
              </w:rPr>
            </w:pPr>
            <w:r w:rsidRPr="003B6E11">
              <w:rPr>
                <w:lang w:val="cs-CZ"/>
              </w:rPr>
              <w:tab/>
            </w:r>
          </w:p>
        </w:tc>
      </w:tr>
      <w:tr w:rsidR="003B6E11" w:rsidRPr="003B6E11" w:rsidTr="002D015D">
        <w:tblPrEx>
          <w:tblCellMar>
            <w:left w:w="28" w:type="dxa"/>
            <w:right w:w="28" w:type="dxa"/>
          </w:tblCellMar>
        </w:tblPrEx>
        <w:trPr>
          <w:cantSplit/>
          <w:trHeight w:hRule="exact" w:val="160"/>
          <w:jc w:val="center"/>
        </w:trPr>
        <w:tc>
          <w:tcPr>
            <w:tcW w:w="9215" w:type="dxa"/>
            <w:gridSpan w:val="19"/>
            <w:vAlign w:val="center"/>
          </w:tcPr>
          <w:p w:rsidR="003B6E11" w:rsidRPr="003B6E11" w:rsidRDefault="003B6E11" w:rsidP="002D015D">
            <w:pPr>
              <w:rPr>
                <w:noProof/>
                <w:lang w:val="cs-CZ"/>
              </w:rPr>
            </w:pPr>
          </w:p>
        </w:tc>
      </w:tr>
      <w:tr w:rsidR="003B6E11" w:rsidRPr="003B6E11" w:rsidTr="002D015D">
        <w:tblPrEx>
          <w:tblCellMar>
            <w:left w:w="28" w:type="dxa"/>
            <w:right w:w="28" w:type="dxa"/>
          </w:tblCellMar>
        </w:tblPrEx>
        <w:trPr>
          <w:cantSplit/>
          <w:jc w:val="center"/>
        </w:trPr>
        <w:tc>
          <w:tcPr>
            <w:tcW w:w="2036" w:type="dxa"/>
            <w:gridSpan w:val="4"/>
            <w:vAlign w:val="center"/>
          </w:tcPr>
          <w:p w:rsidR="003B6E11" w:rsidRPr="003B6E11" w:rsidRDefault="003B6E11" w:rsidP="002D015D">
            <w:pPr>
              <w:rPr>
                <w:noProof/>
                <w:szCs w:val="18"/>
                <w:lang w:val="cs-CZ"/>
              </w:rPr>
            </w:pPr>
            <w:r w:rsidRPr="003B6E11">
              <w:rPr>
                <w:lang w:val="cs-CZ"/>
              </w:rPr>
              <w:t>Sériové číslo palubní čistírny odpadních vod:</w:t>
            </w:r>
          </w:p>
        </w:tc>
        <w:tc>
          <w:tcPr>
            <w:tcW w:w="3276" w:type="dxa"/>
            <w:gridSpan w:val="6"/>
            <w:vAlign w:val="center"/>
          </w:tcPr>
          <w:p w:rsidR="003B6E11" w:rsidRPr="003B6E11" w:rsidRDefault="003B6E11" w:rsidP="002D015D">
            <w:pPr>
              <w:rPr>
                <w:noProof/>
                <w:szCs w:val="18"/>
                <w:lang w:val="cs-CZ"/>
              </w:rPr>
            </w:pPr>
            <w:r w:rsidRPr="003B6E11">
              <w:rPr>
                <w:lang w:val="cs-CZ"/>
              </w:rPr>
              <w:t>………………………………………..</w:t>
            </w:r>
          </w:p>
        </w:tc>
        <w:tc>
          <w:tcPr>
            <w:tcW w:w="1560" w:type="dxa"/>
            <w:gridSpan w:val="4"/>
            <w:vAlign w:val="center"/>
          </w:tcPr>
          <w:p w:rsidR="003B6E11" w:rsidRPr="003B6E11" w:rsidRDefault="003B6E11" w:rsidP="002D015D">
            <w:pPr>
              <w:rPr>
                <w:noProof/>
                <w:szCs w:val="18"/>
                <w:lang w:val="cs-CZ"/>
              </w:rPr>
            </w:pPr>
            <w:r w:rsidRPr="003B6E11">
              <w:rPr>
                <w:lang w:val="cs-CZ"/>
              </w:rPr>
              <w:t>Místo montáže:</w:t>
            </w:r>
          </w:p>
        </w:tc>
        <w:tc>
          <w:tcPr>
            <w:tcW w:w="2343" w:type="dxa"/>
            <w:gridSpan w:val="5"/>
            <w:vAlign w:val="center"/>
          </w:tcPr>
          <w:p w:rsidR="003B6E11" w:rsidRPr="003B6E11" w:rsidRDefault="003B6E11" w:rsidP="002D015D">
            <w:pPr>
              <w:tabs>
                <w:tab w:val="left" w:leader="dot" w:pos="2244"/>
              </w:tabs>
              <w:rPr>
                <w:noProof/>
                <w:szCs w:val="18"/>
                <w:lang w:val="cs-CZ"/>
              </w:rPr>
            </w:pPr>
            <w:r w:rsidRPr="003B6E11">
              <w:rPr>
                <w:lang w:val="cs-CZ"/>
              </w:rPr>
              <w:tab/>
            </w:r>
          </w:p>
        </w:tc>
      </w:tr>
      <w:tr w:rsidR="003B6E11" w:rsidRPr="003B6E11" w:rsidTr="002D015D">
        <w:tblPrEx>
          <w:tblCellMar>
            <w:left w:w="28" w:type="dxa"/>
            <w:right w:w="28" w:type="dxa"/>
          </w:tblCellMar>
        </w:tblPrEx>
        <w:trPr>
          <w:cantSplit/>
          <w:jc w:val="center"/>
        </w:trPr>
        <w:tc>
          <w:tcPr>
            <w:tcW w:w="2036" w:type="dxa"/>
            <w:gridSpan w:val="4"/>
            <w:vAlign w:val="center"/>
          </w:tcPr>
          <w:p w:rsidR="003B6E11" w:rsidRPr="003B6E11" w:rsidRDefault="003B6E11" w:rsidP="002D015D">
            <w:pPr>
              <w:rPr>
                <w:noProof/>
                <w:lang w:val="cs-CZ"/>
              </w:rPr>
            </w:pPr>
          </w:p>
        </w:tc>
        <w:tc>
          <w:tcPr>
            <w:tcW w:w="7179" w:type="dxa"/>
            <w:gridSpan w:val="15"/>
            <w:tcBorders>
              <w:bottom w:val="nil"/>
            </w:tcBorders>
            <w:vAlign w:val="center"/>
          </w:tcPr>
          <w:p w:rsidR="003B6E11" w:rsidRPr="003B6E11" w:rsidRDefault="003B6E11" w:rsidP="002D015D">
            <w:pPr>
              <w:rPr>
                <w:noProof/>
                <w:sz w:val="12"/>
                <w:szCs w:val="12"/>
                <w:lang w:val="cs-CZ"/>
              </w:rPr>
            </w:pPr>
            <w:r w:rsidRPr="003B6E11">
              <w:rPr>
                <w:noProof/>
                <w:sz w:val="12"/>
                <w:lang w:val="cs-CZ"/>
              </w:rPr>
              <w:t xml:space="preserve"> (Sériové číslo)</w:t>
            </w:r>
          </w:p>
        </w:tc>
      </w:tr>
      <w:tr w:rsidR="003B6E11" w:rsidRPr="003B6E11" w:rsidTr="002D015D">
        <w:tblPrEx>
          <w:tblCellMar>
            <w:left w:w="28" w:type="dxa"/>
            <w:right w:w="28" w:type="dxa"/>
          </w:tblCellMar>
        </w:tblPrEx>
        <w:trPr>
          <w:cantSplit/>
          <w:trHeight w:hRule="exact" w:val="160"/>
          <w:jc w:val="center"/>
        </w:trPr>
        <w:tc>
          <w:tcPr>
            <w:tcW w:w="9215" w:type="dxa"/>
            <w:gridSpan w:val="19"/>
            <w:vAlign w:val="center"/>
          </w:tcPr>
          <w:p w:rsidR="003B6E11" w:rsidRPr="003B6E11" w:rsidRDefault="003B6E11" w:rsidP="002D015D">
            <w:pPr>
              <w:rPr>
                <w:noProof/>
                <w:lang w:val="cs-CZ"/>
              </w:rPr>
            </w:pPr>
          </w:p>
        </w:tc>
      </w:tr>
      <w:tr w:rsidR="003B6E11" w:rsidRPr="003B6E11" w:rsidTr="002D015D">
        <w:tblPrEx>
          <w:tblCellMar>
            <w:left w:w="28" w:type="dxa"/>
            <w:right w:w="28" w:type="dxa"/>
          </w:tblCellMar>
        </w:tblPrEx>
        <w:trPr>
          <w:cantSplit/>
          <w:jc w:val="center"/>
        </w:trPr>
        <w:tc>
          <w:tcPr>
            <w:tcW w:w="9215" w:type="dxa"/>
            <w:gridSpan w:val="19"/>
            <w:vAlign w:val="center"/>
          </w:tcPr>
          <w:p w:rsidR="003B6E11" w:rsidRPr="003B6E11" w:rsidRDefault="003B6E11" w:rsidP="002D015D">
            <w:pPr>
              <w:rPr>
                <w:noProof/>
                <w:szCs w:val="20"/>
                <w:lang w:val="cs-CZ"/>
              </w:rPr>
            </w:pPr>
            <w:r w:rsidRPr="003B6E11">
              <w:rPr>
                <w:lang w:val="cs-CZ"/>
              </w:rPr>
              <w:t xml:space="preserve">Palubní čistírna odpadních vod a její konstrukční díly významné pro čištění odpadních vod byly identifikovány podle výrobního štítku. Zkouška byla provedena na základě pokynů výrobce ke kontrole konstrukčních dílů čistírny a jejích parametrů relevantních pro čištění odpadních vod. </w:t>
            </w:r>
          </w:p>
        </w:tc>
      </w:tr>
      <w:tr w:rsidR="003B6E11" w:rsidRPr="003B6E11" w:rsidTr="002D015D">
        <w:tblPrEx>
          <w:tblCellMar>
            <w:left w:w="28" w:type="dxa"/>
            <w:right w:w="28" w:type="dxa"/>
          </w:tblCellMar>
        </w:tblPrEx>
        <w:trPr>
          <w:cantSplit/>
          <w:jc w:val="center"/>
        </w:trPr>
        <w:tc>
          <w:tcPr>
            <w:tcW w:w="9215" w:type="dxa"/>
            <w:gridSpan w:val="19"/>
            <w:vAlign w:val="center"/>
          </w:tcPr>
          <w:p w:rsidR="003B6E11" w:rsidRPr="003B6E11" w:rsidRDefault="003B6E11" w:rsidP="002D015D">
            <w:pPr>
              <w:rPr>
                <w:noProof/>
                <w:szCs w:val="20"/>
                <w:lang w:val="cs-CZ"/>
              </w:rPr>
            </w:pPr>
          </w:p>
        </w:tc>
      </w:tr>
      <w:tr w:rsidR="003B6E11" w:rsidRPr="003B6E11" w:rsidTr="002D015D">
        <w:trPr>
          <w:cantSplit/>
          <w:jc w:val="center"/>
        </w:trPr>
        <w:tc>
          <w:tcPr>
            <w:tcW w:w="9215" w:type="dxa"/>
            <w:gridSpan w:val="19"/>
            <w:vAlign w:val="center"/>
          </w:tcPr>
          <w:p w:rsidR="003B6E11" w:rsidRPr="003B6E11" w:rsidRDefault="003B6E11" w:rsidP="002D015D">
            <w:pPr>
              <w:rPr>
                <w:b/>
                <w:noProof/>
                <w:szCs w:val="20"/>
                <w:lang w:val="cs-CZ"/>
              </w:rPr>
            </w:pPr>
            <w:r w:rsidRPr="003B6E11">
              <w:rPr>
                <w:b/>
                <w:noProof/>
                <w:lang w:val="cs-CZ"/>
              </w:rPr>
              <w:t>A.</w:t>
            </w:r>
            <w:r w:rsidRPr="003B6E11">
              <w:rPr>
                <w:lang w:val="cs-CZ"/>
              </w:rPr>
              <w:tab/>
            </w:r>
            <w:r w:rsidRPr="003B6E11">
              <w:rPr>
                <w:b/>
                <w:noProof/>
                <w:lang w:val="cs-CZ"/>
              </w:rPr>
              <w:t>Zkoušky konstrukčních dílů</w:t>
            </w:r>
          </w:p>
          <w:p w:rsidR="003B6E11" w:rsidRPr="003B6E11" w:rsidRDefault="003B6E11" w:rsidP="002D015D">
            <w:pPr>
              <w:ind w:firstLine="3"/>
              <w:rPr>
                <w:noProof/>
                <w:szCs w:val="20"/>
                <w:lang w:val="cs-CZ"/>
              </w:rPr>
            </w:pPr>
          </w:p>
          <w:p w:rsidR="003B6E11" w:rsidRPr="003B6E11" w:rsidRDefault="003B6E11" w:rsidP="002D015D">
            <w:pPr>
              <w:ind w:firstLine="3"/>
              <w:rPr>
                <w:noProof/>
                <w:szCs w:val="20"/>
                <w:lang w:val="cs-CZ"/>
              </w:rPr>
            </w:pPr>
            <w:r w:rsidRPr="003B6E11">
              <w:rPr>
                <w:lang w:val="cs-CZ"/>
              </w:rPr>
              <w:t>Sem vložte údaje o dalších konstrukčních dílech významných pro čištění odpadních vod, jejichž seznam je uveden v pokynech výrobce ke kontrole konstrukčních dílů čistírny a parametrů relevantních z hlediska čištění odpadních vod, nebo v oddíle II dodatku 4.</w:t>
            </w:r>
          </w:p>
          <w:p w:rsidR="003B6E11" w:rsidRPr="003B6E11" w:rsidRDefault="003B6E11" w:rsidP="002D015D">
            <w:pPr>
              <w:rPr>
                <w:noProof/>
                <w:szCs w:val="20"/>
                <w:lang w:val="cs-CZ"/>
              </w:rPr>
            </w:pPr>
          </w:p>
        </w:tc>
      </w:tr>
      <w:tr w:rsidR="003B6E11" w:rsidRPr="003B6E11" w:rsidTr="002D015D">
        <w:trPr>
          <w:jc w:val="center"/>
        </w:trPr>
        <w:tc>
          <w:tcPr>
            <w:tcW w:w="426" w:type="dxa"/>
            <w:tcBorders>
              <w:right w:val="single" w:sz="4" w:space="0" w:color="auto"/>
            </w:tcBorders>
            <w:vAlign w:val="center"/>
          </w:tcPr>
          <w:p w:rsidR="003B6E11" w:rsidRPr="003B6E11" w:rsidRDefault="003B6E11" w:rsidP="002D015D">
            <w:pPr>
              <w:spacing w:before="60" w:after="60" w:line="240" w:lineRule="atLeast"/>
              <w:rPr>
                <w:noProof/>
                <w:sz w:val="18"/>
                <w:szCs w:val="18"/>
                <w:lang w:val="cs-CZ"/>
              </w:rPr>
            </w:pPr>
          </w:p>
        </w:tc>
        <w:tc>
          <w:tcPr>
            <w:tcW w:w="2693" w:type="dxa"/>
            <w:gridSpan w:val="4"/>
            <w:tcBorders>
              <w:top w:val="single" w:sz="4" w:space="0" w:color="auto"/>
              <w:left w:val="nil"/>
              <w:bottom w:val="single" w:sz="4" w:space="0" w:color="auto"/>
              <w:right w:val="single" w:sz="4" w:space="0" w:color="auto"/>
            </w:tcBorders>
            <w:vAlign w:val="center"/>
          </w:tcPr>
          <w:p w:rsidR="003B6E11" w:rsidRPr="003B6E11" w:rsidRDefault="003B6E11" w:rsidP="002D015D">
            <w:pPr>
              <w:spacing w:before="60" w:after="60" w:line="240" w:lineRule="atLeast"/>
              <w:jc w:val="center"/>
              <w:rPr>
                <w:noProof/>
                <w:sz w:val="18"/>
                <w:szCs w:val="18"/>
                <w:lang w:val="cs-CZ"/>
              </w:rPr>
            </w:pPr>
            <w:r w:rsidRPr="003B6E11">
              <w:rPr>
                <w:noProof/>
                <w:sz w:val="18"/>
                <w:lang w:val="cs-CZ"/>
              </w:rPr>
              <w:t>Konstrukční díl</w:t>
            </w:r>
          </w:p>
        </w:tc>
        <w:tc>
          <w:tcPr>
            <w:tcW w:w="2977" w:type="dxa"/>
            <w:gridSpan w:val="6"/>
            <w:tcBorders>
              <w:top w:val="single" w:sz="4" w:space="0" w:color="auto"/>
              <w:left w:val="nil"/>
              <w:bottom w:val="single" w:sz="4" w:space="0" w:color="auto"/>
              <w:right w:val="single" w:sz="4" w:space="0" w:color="auto"/>
            </w:tcBorders>
            <w:vAlign w:val="center"/>
          </w:tcPr>
          <w:p w:rsidR="003B6E11" w:rsidRPr="003B6E11" w:rsidRDefault="003B6E11" w:rsidP="002D015D">
            <w:pPr>
              <w:spacing w:before="60" w:after="60" w:line="240" w:lineRule="atLeast"/>
              <w:jc w:val="center"/>
              <w:rPr>
                <w:bCs/>
                <w:noProof/>
                <w:sz w:val="18"/>
                <w:szCs w:val="18"/>
                <w:lang w:val="cs-CZ"/>
              </w:rPr>
            </w:pPr>
            <w:r w:rsidRPr="003B6E11">
              <w:rPr>
                <w:noProof/>
                <w:sz w:val="18"/>
                <w:lang w:val="cs-CZ"/>
              </w:rPr>
              <w:t>Zjištěné číslo konstrukčního dílu</w:t>
            </w:r>
          </w:p>
        </w:tc>
        <w:tc>
          <w:tcPr>
            <w:tcW w:w="3119" w:type="dxa"/>
            <w:gridSpan w:val="8"/>
            <w:tcBorders>
              <w:top w:val="single" w:sz="4" w:space="0" w:color="auto"/>
              <w:left w:val="nil"/>
              <w:bottom w:val="single" w:sz="4" w:space="0" w:color="auto"/>
              <w:right w:val="single" w:sz="4" w:space="0" w:color="auto"/>
            </w:tcBorders>
            <w:vAlign w:val="center"/>
          </w:tcPr>
          <w:p w:rsidR="003B6E11" w:rsidRPr="003B6E11" w:rsidRDefault="003B6E11" w:rsidP="002D015D">
            <w:pPr>
              <w:spacing w:before="60" w:after="60" w:line="240" w:lineRule="atLeast"/>
              <w:jc w:val="center"/>
              <w:rPr>
                <w:b/>
                <w:noProof/>
                <w:sz w:val="18"/>
                <w:szCs w:val="18"/>
                <w:lang w:val="cs-CZ"/>
              </w:rPr>
            </w:pPr>
            <w:r w:rsidRPr="003B6E11">
              <w:rPr>
                <w:noProof/>
                <w:sz w:val="18"/>
                <w:lang w:val="cs-CZ"/>
              </w:rPr>
              <w:t>Shoda</w:t>
            </w:r>
            <w:r w:rsidRPr="003B6E11">
              <w:rPr>
                <w:noProof/>
                <w:vertAlign w:val="superscript"/>
                <w:lang w:val="cs-CZ"/>
              </w:rPr>
              <w:footnoteReference w:id="73"/>
            </w:r>
          </w:p>
        </w:tc>
      </w:tr>
      <w:tr w:rsidR="003B6E11" w:rsidRPr="003B6E11" w:rsidTr="002D0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tcBorders>
              <w:top w:val="nil"/>
              <w:left w:val="nil"/>
              <w:bottom w:val="nil"/>
            </w:tcBorders>
          </w:tcPr>
          <w:p w:rsidR="003B6E11" w:rsidRPr="003B6E11" w:rsidRDefault="003B6E11" w:rsidP="002D015D">
            <w:pPr>
              <w:spacing w:before="60" w:after="60" w:line="240" w:lineRule="atLeast"/>
              <w:rPr>
                <w:noProof/>
                <w:sz w:val="18"/>
                <w:szCs w:val="18"/>
                <w:lang w:val="cs-CZ"/>
              </w:rPr>
            </w:pPr>
          </w:p>
        </w:tc>
        <w:tc>
          <w:tcPr>
            <w:tcW w:w="2693" w:type="dxa"/>
            <w:gridSpan w:val="4"/>
            <w:tcBorders>
              <w:top w:val="nil"/>
              <w:left w:val="nil"/>
            </w:tcBorders>
            <w:vAlign w:val="center"/>
          </w:tcPr>
          <w:p w:rsidR="003B6E11" w:rsidRPr="003B6E11" w:rsidRDefault="003B6E11" w:rsidP="002D015D">
            <w:pPr>
              <w:spacing w:before="60" w:after="60" w:line="240" w:lineRule="atLeast"/>
              <w:rPr>
                <w:noProof/>
                <w:sz w:val="18"/>
                <w:szCs w:val="18"/>
                <w:lang w:val="cs-CZ"/>
              </w:rPr>
            </w:pPr>
          </w:p>
        </w:tc>
        <w:tc>
          <w:tcPr>
            <w:tcW w:w="2977" w:type="dxa"/>
            <w:gridSpan w:val="6"/>
            <w:tcBorders>
              <w:top w:val="nil"/>
            </w:tcBorders>
            <w:vAlign w:val="center"/>
          </w:tcPr>
          <w:p w:rsidR="003B6E11" w:rsidRPr="003B6E11" w:rsidRDefault="003B6E11" w:rsidP="002D015D">
            <w:pPr>
              <w:spacing w:before="60" w:after="60" w:line="240" w:lineRule="atLeast"/>
              <w:rPr>
                <w:noProof/>
                <w:sz w:val="18"/>
                <w:szCs w:val="18"/>
                <w:lang w:val="cs-CZ"/>
              </w:rPr>
            </w:pPr>
          </w:p>
        </w:tc>
        <w:tc>
          <w:tcPr>
            <w:tcW w:w="1039" w:type="dxa"/>
            <w:gridSpan w:val="5"/>
            <w:tcBorders>
              <w:righ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1"/>
                  <w:enabled/>
                  <w:calcOnExit w:val="0"/>
                  <w:checkBox>
                    <w:size w:val="20"/>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ano</w:t>
            </w:r>
          </w:p>
        </w:tc>
        <w:tc>
          <w:tcPr>
            <w:tcW w:w="1039" w:type="dxa"/>
            <w:gridSpan w:val="2"/>
            <w:tcBorders>
              <w:left w:val="nil"/>
              <w:righ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5"/>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ne</w:t>
            </w:r>
          </w:p>
        </w:tc>
        <w:tc>
          <w:tcPr>
            <w:tcW w:w="1041" w:type="dxa"/>
            <w:tcBorders>
              <w:lef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6"/>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nehodí se</w:t>
            </w:r>
          </w:p>
        </w:tc>
      </w:tr>
      <w:tr w:rsidR="003B6E11" w:rsidRPr="003B6E11" w:rsidTr="002D0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tcBorders>
              <w:top w:val="nil"/>
              <w:left w:val="nil"/>
              <w:bottom w:val="nil"/>
            </w:tcBorders>
          </w:tcPr>
          <w:p w:rsidR="003B6E11" w:rsidRPr="003B6E11" w:rsidRDefault="003B6E11" w:rsidP="002D015D">
            <w:pPr>
              <w:spacing w:before="60" w:after="60" w:line="240" w:lineRule="atLeast"/>
              <w:rPr>
                <w:noProof/>
                <w:sz w:val="18"/>
                <w:szCs w:val="18"/>
                <w:lang w:val="cs-CZ"/>
              </w:rPr>
            </w:pPr>
          </w:p>
        </w:tc>
        <w:tc>
          <w:tcPr>
            <w:tcW w:w="2693" w:type="dxa"/>
            <w:gridSpan w:val="4"/>
            <w:tcBorders>
              <w:left w:val="nil"/>
            </w:tcBorders>
            <w:vAlign w:val="center"/>
          </w:tcPr>
          <w:p w:rsidR="003B6E11" w:rsidRPr="003B6E11" w:rsidRDefault="003B6E11" w:rsidP="002D015D">
            <w:pPr>
              <w:spacing w:before="60" w:after="60" w:line="240" w:lineRule="atLeast"/>
              <w:rPr>
                <w:noProof/>
                <w:sz w:val="18"/>
                <w:szCs w:val="18"/>
                <w:lang w:val="cs-CZ"/>
              </w:rPr>
            </w:pPr>
          </w:p>
        </w:tc>
        <w:tc>
          <w:tcPr>
            <w:tcW w:w="2977" w:type="dxa"/>
            <w:gridSpan w:val="6"/>
            <w:vAlign w:val="center"/>
          </w:tcPr>
          <w:p w:rsidR="003B6E11" w:rsidRPr="003B6E11" w:rsidRDefault="003B6E11" w:rsidP="002D015D">
            <w:pPr>
              <w:spacing w:before="60" w:after="60" w:line="240" w:lineRule="atLeast"/>
              <w:rPr>
                <w:noProof/>
                <w:sz w:val="18"/>
                <w:szCs w:val="18"/>
                <w:lang w:val="cs-CZ"/>
              </w:rPr>
            </w:pPr>
          </w:p>
        </w:tc>
        <w:tc>
          <w:tcPr>
            <w:tcW w:w="1039" w:type="dxa"/>
            <w:gridSpan w:val="5"/>
            <w:tcBorders>
              <w:righ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7"/>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ano</w:t>
            </w:r>
          </w:p>
        </w:tc>
        <w:tc>
          <w:tcPr>
            <w:tcW w:w="1039" w:type="dxa"/>
            <w:gridSpan w:val="2"/>
            <w:tcBorders>
              <w:left w:val="nil"/>
              <w:righ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8"/>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ne</w:t>
            </w:r>
          </w:p>
        </w:tc>
        <w:tc>
          <w:tcPr>
            <w:tcW w:w="1041" w:type="dxa"/>
            <w:tcBorders>
              <w:lef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9"/>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nehodí se</w:t>
            </w:r>
          </w:p>
        </w:tc>
      </w:tr>
      <w:tr w:rsidR="003B6E11" w:rsidRPr="003B6E11" w:rsidTr="002D0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tcBorders>
              <w:top w:val="nil"/>
              <w:left w:val="nil"/>
              <w:bottom w:val="nil"/>
            </w:tcBorders>
          </w:tcPr>
          <w:p w:rsidR="003B6E11" w:rsidRPr="003B6E11" w:rsidRDefault="003B6E11" w:rsidP="002D015D">
            <w:pPr>
              <w:spacing w:before="60" w:after="60" w:line="240" w:lineRule="atLeast"/>
              <w:rPr>
                <w:noProof/>
                <w:sz w:val="18"/>
                <w:szCs w:val="18"/>
                <w:lang w:val="cs-CZ"/>
              </w:rPr>
            </w:pPr>
          </w:p>
        </w:tc>
        <w:tc>
          <w:tcPr>
            <w:tcW w:w="2693" w:type="dxa"/>
            <w:gridSpan w:val="4"/>
            <w:tcBorders>
              <w:left w:val="nil"/>
            </w:tcBorders>
            <w:vAlign w:val="center"/>
          </w:tcPr>
          <w:p w:rsidR="003B6E11" w:rsidRPr="003B6E11" w:rsidRDefault="003B6E11" w:rsidP="002D015D">
            <w:pPr>
              <w:spacing w:before="60" w:after="60" w:line="240" w:lineRule="atLeast"/>
              <w:rPr>
                <w:noProof/>
                <w:sz w:val="18"/>
                <w:szCs w:val="18"/>
                <w:lang w:val="cs-CZ"/>
              </w:rPr>
            </w:pPr>
          </w:p>
        </w:tc>
        <w:tc>
          <w:tcPr>
            <w:tcW w:w="2977" w:type="dxa"/>
            <w:gridSpan w:val="6"/>
            <w:vAlign w:val="center"/>
          </w:tcPr>
          <w:p w:rsidR="003B6E11" w:rsidRPr="003B6E11" w:rsidRDefault="003B6E11" w:rsidP="002D015D">
            <w:pPr>
              <w:spacing w:before="60" w:after="60" w:line="240" w:lineRule="atLeast"/>
              <w:rPr>
                <w:noProof/>
                <w:sz w:val="18"/>
                <w:szCs w:val="18"/>
                <w:lang w:val="cs-CZ"/>
              </w:rPr>
            </w:pPr>
          </w:p>
        </w:tc>
        <w:tc>
          <w:tcPr>
            <w:tcW w:w="1039" w:type="dxa"/>
            <w:gridSpan w:val="5"/>
            <w:tcBorders>
              <w:righ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7"/>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ano</w:t>
            </w:r>
          </w:p>
        </w:tc>
        <w:tc>
          <w:tcPr>
            <w:tcW w:w="1039" w:type="dxa"/>
            <w:gridSpan w:val="2"/>
            <w:tcBorders>
              <w:left w:val="nil"/>
              <w:righ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8"/>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ne</w:t>
            </w:r>
          </w:p>
        </w:tc>
        <w:tc>
          <w:tcPr>
            <w:tcW w:w="1041" w:type="dxa"/>
            <w:tcBorders>
              <w:lef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9"/>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nehodí se</w:t>
            </w:r>
          </w:p>
        </w:tc>
      </w:tr>
      <w:tr w:rsidR="003B6E11" w:rsidRPr="003B6E11" w:rsidTr="002D0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tcBorders>
              <w:top w:val="nil"/>
              <w:left w:val="nil"/>
              <w:bottom w:val="nil"/>
            </w:tcBorders>
          </w:tcPr>
          <w:p w:rsidR="003B6E11" w:rsidRPr="003B6E11" w:rsidRDefault="003B6E11" w:rsidP="002D015D">
            <w:pPr>
              <w:spacing w:before="60" w:after="60" w:line="240" w:lineRule="atLeast"/>
              <w:rPr>
                <w:noProof/>
                <w:sz w:val="18"/>
                <w:szCs w:val="18"/>
                <w:lang w:val="cs-CZ"/>
              </w:rPr>
            </w:pPr>
          </w:p>
        </w:tc>
        <w:tc>
          <w:tcPr>
            <w:tcW w:w="2693" w:type="dxa"/>
            <w:gridSpan w:val="4"/>
            <w:tcBorders>
              <w:left w:val="nil"/>
            </w:tcBorders>
            <w:vAlign w:val="center"/>
          </w:tcPr>
          <w:p w:rsidR="003B6E11" w:rsidRPr="003B6E11" w:rsidRDefault="003B6E11" w:rsidP="002D015D">
            <w:pPr>
              <w:spacing w:before="60" w:after="60" w:line="240" w:lineRule="atLeast"/>
              <w:rPr>
                <w:noProof/>
                <w:sz w:val="18"/>
                <w:szCs w:val="18"/>
                <w:lang w:val="cs-CZ"/>
              </w:rPr>
            </w:pPr>
          </w:p>
        </w:tc>
        <w:tc>
          <w:tcPr>
            <w:tcW w:w="2977" w:type="dxa"/>
            <w:gridSpan w:val="6"/>
            <w:vAlign w:val="center"/>
          </w:tcPr>
          <w:p w:rsidR="003B6E11" w:rsidRPr="003B6E11" w:rsidRDefault="003B6E11" w:rsidP="002D015D">
            <w:pPr>
              <w:spacing w:before="60" w:after="60" w:line="240" w:lineRule="atLeast"/>
              <w:rPr>
                <w:noProof/>
                <w:sz w:val="18"/>
                <w:szCs w:val="18"/>
                <w:lang w:val="cs-CZ"/>
              </w:rPr>
            </w:pPr>
          </w:p>
        </w:tc>
        <w:tc>
          <w:tcPr>
            <w:tcW w:w="1039" w:type="dxa"/>
            <w:gridSpan w:val="5"/>
            <w:tcBorders>
              <w:righ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7"/>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ano</w:t>
            </w:r>
          </w:p>
        </w:tc>
        <w:tc>
          <w:tcPr>
            <w:tcW w:w="1039" w:type="dxa"/>
            <w:gridSpan w:val="2"/>
            <w:tcBorders>
              <w:left w:val="nil"/>
              <w:righ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8"/>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ne</w:t>
            </w:r>
          </w:p>
        </w:tc>
        <w:tc>
          <w:tcPr>
            <w:tcW w:w="1041" w:type="dxa"/>
            <w:tcBorders>
              <w:lef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9"/>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nehodí se</w:t>
            </w:r>
          </w:p>
        </w:tc>
      </w:tr>
      <w:tr w:rsidR="003B6E11" w:rsidRPr="003B6E11" w:rsidTr="002D0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tcBorders>
              <w:top w:val="nil"/>
              <w:left w:val="nil"/>
              <w:bottom w:val="nil"/>
            </w:tcBorders>
          </w:tcPr>
          <w:p w:rsidR="003B6E11" w:rsidRPr="003B6E11" w:rsidRDefault="003B6E11" w:rsidP="002D015D">
            <w:pPr>
              <w:spacing w:before="60" w:after="60" w:line="240" w:lineRule="atLeast"/>
              <w:rPr>
                <w:noProof/>
                <w:sz w:val="18"/>
                <w:szCs w:val="18"/>
                <w:lang w:val="cs-CZ"/>
              </w:rPr>
            </w:pPr>
          </w:p>
        </w:tc>
        <w:tc>
          <w:tcPr>
            <w:tcW w:w="2693" w:type="dxa"/>
            <w:gridSpan w:val="4"/>
            <w:tcBorders>
              <w:left w:val="nil"/>
            </w:tcBorders>
            <w:vAlign w:val="center"/>
          </w:tcPr>
          <w:p w:rsidR="003B6E11" w:rsidRPr="003B6E11" w:rsidRDefault="003B6E11" w:rsidP="002D015D">
            <w:pPr>
              <w:spacing w:before="60" w:after="60" w:line="240" w:lineRule="atLeast"/>
              <w:rPr>
                <w:noProof/>
                <w:sz w:val="18"/>
                <w:szCs w:val="18"/>
                <w:lang w:val="cs-CZ"/>
              </w:rPr>
            </w:pPr>
          </w:p>
        </w:tc>
        <w:tc>
          <w:tcPr>
            <w:tcW w:w="2977" w:type="dxa"/>
            <w:gridSpan w:val="6"/>
            <w:vAlign w:val="center"/>
          </w:tcPr>
          <w:p w:rsidR="003B6E11" w:rsidRPr="003B6E11" w:rsidRDefault="003B6E11" w:rsidP="002D015D">
            <w:pPr>
              <w:spacing w:before="60" w:after="60" w:line="240" w:lineRule="atLeast"/>
              <w:rPr>
                <w:noProof/>
                <w:sz w:val="18"/>
                <w:szCs w:val="18"/>
                <w:lang w:val="cs-CZ"/>
              </w:rPr>
            </w:pPr>
          </w:p>
        </w:tc>
        <w:tc>
          <w:tcPr>
            <w:tcW w:w="1039" w:type="dxa"/>
            <w:gridSpan w:val="5"/>
            <w:tcBorders>
              <w:righ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13"/>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ano</w:t>
            </w:r>
          </w:p>
        </w:tc>
        <w:tc>
          <w:tcPr>
            <w:tcW w:w="1039" w:type="dxa"/>
            <w:gridSpan w:val="2"/>
            <w:tcBorders>
              <w:left w:val="nil"/>
              <w:righ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14"/>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ne</w:t>
            </w:r>
          </w:p>
        </w:tc>
        <w:tc>
          <w:tcPr>
            <w:tcW w:w="1041" w:type="dxa"/>
            <w:tcBorders>
              <w:lef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15"/>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nehodí se</w:t>
            </w:r>
          </w:p>
        </w:tc>
      </w:tr>
      <w:tr w:rsidR="003B6E11" w:rsidRPr="003B6E11" w:rsidTr="002D0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tcBorders>
              <w:top w:val="nil"/>
              <w:left w:val="nil"/>
              <w:bottom w:val="nil"/>
            </w:tcBorders>
          </w:tcPr>
          <w:p w:rsidR="003B6E11" w:rsidRPr="003B6E11" w:rsidRDefault="003B6E11" w:rsidP="002D015D">
            <w:pPr>
              <w:spacing w:before="60" w:after="60" w:line="240" w:lineRule="atLeast"/>
              <w:rPr>
                <w:noProof/>
                <w:sz w:val="18"/>
                <w:szCs w:val="18"/>
                <w:lang w:val="cs-CZ"/>
              </w:rPr>
            </w:pPr>
          </w:p>
        </w:tc>
        <w:tc>
          <w:tcPr>
            <w:tcW w:w="2693" w:type="dxa"/>
            <w:gridSpan w:val="4"/>
            <w:tcBorders>
              <w:left w:val="nil"/>
            </w:tcBorders>
            <w:vAlign w:val="center"/>
          </w:tcPr>
          <w:p w:rsidR="003B6E11" w:rsidRPr="003B6E11" w:rsidRDefault="003B6E11" w:rsidP="002D015D">
            <w:pPr>
              <w:spacing w:before="60" w:after="60" w:line="240" w:lineRule="atLeast"/>
              <w:rPr>
                <w:noProof/>
                <w:sz w:val="18"/>
                <w:szCs w:val="18"/>
                <w:lang w:val="cs-CZ"/>
              </w:rPr>
            </w:pPr>
          </w:p>
        </w:tc>
        <w:tc>
          <w:tcPr>
            <w:tcW w:w="2977" w:type="dxa"/>
            <w:gridSpan w:val="6"/>
            <w:vAlign w:val="center"/>
          </w:tcPr>
          <w:p w:rsidR="003B6E11" w:rsidRPr="003B6E11" w:rsidRDefault="003B6E11" w:rsidP="002D015D">
            <w:pPr>
              <w:spacing w:before="60" w:after="60" w:line="240" w:lineRule="atLeast"/>
              <w:rPr>
                <w:noProof/>
                <w:sz w:val="18"/>
                <w:szCs w:val="18"/>
                <w:lang w:val="cs-CZ"/>
              </w:rPr>
            </w:pPr>
          </w:p>
        </w:tc>
        <w:tc>
          <w:tcPr>
            <w:tcW w:w="1039" w:type="dxa"/>
            <w:gridSpan w:val="5"/>
            <w:tcBorders>
              <w:righ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7"/>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ano</w:t>
            </w:r>
          </w:p>
        </w:tc>
        <w:tc>
          <w:tcPr>
            <w:tcW w:w="1039" w:type="dxa"/>
            <w:gridSpan w:val="2"/>
            <w:tcBorders>
              <w:left w:val="nil"/>
              <w:righ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8"/>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ne</w:t>
            </w:r>
          </w:p>
        </w:tc>
        <w:tc>
          <w:tcPr>
            <w:tcW w:w="1041" w:type="dxa"/>
            <w:tcBorders>
              <w:lef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9"/>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nehodí se</w:t>
            </w:r>
          </w:p>
        </w:tc>
      </w:tr>
      <w:tr w:rsidR="003B6E11" w:rsidRPr="003B6E11" w:rsidTr="002D0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6" w:type="dxa"/>
            <w:tcBorders>
              <w:top w:val="nil"/>
              <w:left w:val="nil"/>
              <w:bottom w:val="nil"/>
            </w:tcBorders>
          </w:tcPr>
          <w:p w:rsidR="003B6E11" w:rsidRPr="003B6E11" w:rsidRDefault="003B6E11" w:rsidP="002D015D">
            <w:pPr>
              <w:spacing w:before="60" w:after="60" w:line="240" w:lineRule="atLeast"/>
              <w:rPr>
                <w:noProof/>
                <w:sz w:val="18"/>
                <w:szCs w:val="18"/>
                <w:lang w:val="cs-CZ"/>
              </w:rPr>
            </w:pPr>
          </w:p>
        </w:tc>
        <w:tc>
          <w:tcPr>
            <w:tcW w:w="2693" w:type="dxa"/>
            <w:gridSpan w:val="4"/>
            <w:tcBorders>
              <w:left w:val="nil"/>
            </w:tcBorders>
            <w:vAlign w:val="center"/>
          </w:tcPr>
          <w:p w:rsidR="003B6E11" w:rsidRPr="003B6E11" w:rsidRDefault="003B6E11" w:rsidP="002D015D">
            <w:pPr>
              <w:spacing w:before="60" w:after="60" w:line="240" w:lineRule="atLeast"/>
              <w:rPr>
                <w:noProof/>
                <w:sz w:val="18"/>
                <w:szCs w:val="18"/>
                <w:lang w:val="cs-CZ"/>
              </w:rPr>
            </w:pPr>
          </w:p>
        </w:tc>
        <w:tc>
          <w:tcPr>
            <w:tcW w:w="2977" w:type="dxa"/>
            <w:gridSpan w:val="6"/>
            <w:vAlign w:val="center"/>
          </w:tcPr>
          <w:p w:rsidR="003B6E11" w:rsidRPr="003B6E11" w:rsidRDefault="003B6E11" w:rsidP="002D015D">
            <w:pPr>
              <w:spacing w:before="60" w:after="60" w:line="240" w:lineRule="atLeast"/>
              <w:rPr>
                <w:noProof/>
                <w:sz w:val="18"/>
                <w:szCs w:val="18"/>
                <w:lang w:val="cs-CZ"/>
              </w:rPr>
            </w:pPr>
          </w:p>
        </w:tc>
        <w:tc>
          <w:tcPr>
            <w:tcW w:w="1039" w:type="dxa"/>
            <w:gridSpan w:val="5"/>
            <w:tcBorders>
              <w:righ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16"/>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ano</w:t>
            </w:r>
          </w:p>
        </w:tc>
        <w:tc>
          <w:tcPr>
            <w:tcW w:w="1039" w:type="dxa"/>
            <w:gridSpan w:val="2"/>
            <w:tcBorders>
              <w:left w:val="nil"/>
              <w:righ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17"/>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ne</w:t>
            </w:r>
          </w:p>
        </w:tc>
        <w:tc>
          <w:tcPr>
            <w:tcW w:w="1041" w:type="dxa"/>
            <w:tcBorders>
              <w:lef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18"/>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nehodí se</w:t>
            </w:r>
          </w:p>
        </w:tc>
      </w:tr>
      <w:tr w:rsidR="003B6E11" w:rsidRPr="003B6E11" w:rsidTr="002D0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tcBorders>
              <w:top w:val="nil"/>
              <w:left w:val="nil"/>
              <w:bottom w:val="nil"/>
            </w:tcBorders>
          </w:tcPr>
          <w:p w:rsidR="003B6E11" w:rsidRPr="003B6E11" w:rsidRDefault="003B6E11" w:rsidP="002D015D">
            <w:pPr>
              <w:spacing w:before="60" w:after="60" w:line="240" w:lineRule="atLeast"/>
              <w:rPr>
                <w:noProof/>
                <w:sz w:val="18"/>
                <w:szCs w:val="18"/>
                <w:lang w:val="cs-CZ"/>
              </w:rPr>
            </w:pPr>
          </w:p>
        </w:tc>
        <w:tc>
          <w:tcPr>
            <w:tcW w:w="2693" w:type="dxa"/>
            <w:gridSpan w:val="4"/>
            <w:tcBorders>
              <w:left w:val="nil"/>
            </w:tcBorders>
            <w:vAlign w:val="center"/>
          </w:tcPr>
          <w:p w:rsidR="003B6E11" w:rsidRPr="003B6E11" w:rsidRDefault="003B6E11" w:rsidP="002D015D">
            <w:pPr>
              <w:spacing w:before="60" w:after="60" w:line="240" w:lineRule="atLeast"/>
              <w:rPr>
                <w:noProof/>
                <w:sz w:val="18"/>
                <w:szCs w:val="18"/>
                <w:lang w:val="cs-CZ"/>
              </w:rPr>
            </w:pPr>
          </w:p>
        </w:tc>
        <w:tc>
          <w:tcPr>
            <w:tcW w:w="2977" w:type="dxa"/>
            <w:gridSpan w:val="6"/>
            <w:vAlign w:val="center"/>
          </w:tcPr>
          <w:p w:rsidR="003B6E11" w:rsidRPr="003B6E11" w:rsidRDefault="003B6E11" w:rsidP="002D015D">
            <w:pPr>
              <w:spacing w:before="60" w:after="60" w:line="240" w:lineRule="atLeast"/>
              <w:rPr>
                <w:noProof/>
                <w:sz w:val="18"/>
                <w:szCs w:val="18"/>
                <w:lang w:val="cs-CZ"/>
              </w:rPr>
            </w:pPr>
          </w:p>
        </w:tc>
        <w:tc>
          <w:tcPr>
            <w:tcW w:w="1039" w:type="dxa"/>
            <w:gridSpan w:val="5"/>
            <w:tcBorders>
              <w:righ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19"/>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ano</w:t>
            </w:r>
          </w:p>
        </w:tc>
        <w:tc>
          <w:tcPr>
            <w:tcW w:w="1039" w:type="dxa"/>
            <w:gridSpan w:val="2"/>
            <w:tcBorders>
              <w:left w:val="nil"/>
              <w:righ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20"/>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ne</w:t>
            </w:r>
          </w:p>
        </w:tc>
        <w:tc>
          <w:tcPr>
            <w:tcW w:w="1041" w:type="dxa"/>
            <w:tcBorders>
              <w:lef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21"/>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nehodí se</w:t>
            </w:r>
          </w:p>
        </w:tc>
      </w:tr>
      <w:tr w:rsidR="003B6E11" w:rsidRPr="003B6E11" w:rsidTr="002D01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6" w:type="dxa"/>
            <w:tcBorders>
              <w:top w:val="nil"/>
              <w:left w:val="nil"/>
              <w:bottom w:val="nil"/>
            </w:tcBorders>
          </w:tcPr>
          <w:p w:rsidR="003B6E11" w:rsidRPr="003B6E11" w:rsidRDefault="003B6E11" w:rsidP="002D015D">
            <w:pPr>
              <w:spacing w:before="60" w:after="60" w:line="240" w:lineRule="atLeast"/>
              <w:rPr>
                <w:noProof/>
                <w:sz w:val="18"/>
                <w:szCs w:val="18"/>
                <w:lang w:val="cs-CZ"/>
              </w:rPr>
            </w:pPr>
          </w:p>
        </w:tc>
        <w:tc>
          <w:tcPr>
            <w:tcW w:w="2693" w:type="dxa"/>
            <w:gridSpan w:val="4"/>
            <w:tcBorders>
              <w:left w:val="nil"/>
            </w:tcBorders>
            <w:vAlign w:val="center"/>
          </w:tcPr>
          <w:p w:rsidR="003B6E11" w:rsidRPr="003B6E11" w:rsidRDefault="003B6E11" w:rsidP="002D015D">
            <w:pPr>
              <w:spacing w:before="60" w:after="60" w:line="240" w:lineRule="atLeast"/>
              <w:rPr>
                <w:noProof/>
                <w:sz w:val="18"/>
                <w:szCs w:val="18"/>
                <w:lang w:val="cs-CZ"/>
              </w:rPr>
            </w:pPr>
          </w:p>
        </w:tc>
        <w:tc>
          <w:tcPr>
            <w:tcW w:w="2977" w:type="dxa"/>
            <w:gridSpan w:val="6"/>
            <w:vAlign w:val="center"/>
          </w:tcPr>
          <w:p w:rsidR="003B6E11" w:rsidRPr="003B6E11" w:rsidRDefault="003B6E11" w:rsidP="002D015D">
            <w:pPr>
              <w:spacing w:before="60" w:after="60" w:line="240" w:lineRule="atLeast"/>
              <w:rPr>
                <w:noProof/>
                <w:sz w:val="18"/>
                <w:szCs w:val="18"/>
                <w:lang w:val="cs-CZ"/>
              </w:rPr>
            </w:pPr>
          </w:p>
        </w:tc>
        <w:tc>
          <w:tcPr>
            <w:tcW w:w="1039" w:type="dxa"/>
            <w:gridSpan w:val="5"/>
            <w:tcBorders>
              <w:righ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19"/>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ano</w:t>
            </w:r>
          </w:p>
        </w:tc>
        <w:tc>
          <w:tcPr>
            <w:tcW w:w="1039" w:type="dxa"/>
            <w:gridSpan w:val="2"/>
            <w:tcBorders>
              <w:left w:val="nil"/>
              <w:righ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20"/>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ne</w:t>
            </w:r>
          </w:p>
        </w:tc>
        <w:tc>
          <w:tcPr>
            <w:tcW w:w="1041" w:type="dxa"/>
            <w:tcBorders>
              <w:left w:val="nil"/>
            </w:tcBorders>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21"/>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nehodí se</w:t>
            </w:r>
          </w:p>
        </w:tc>
      </w:tr>
    </w:tbl>
    <w:p w:rsidR="003B6E11" w:rsidRPr="003B6E11" w:rsidRDefault="003B6E11" w:rsidP="003B6E11">
      <w:pPr>
        <w:rPr>
          <w:b/>
          <w:bCs/>
          <w:noProof/>
          <w:sz w:val="18"/>
          <w:szCs w:val="18"/>
          <w:lang w:val="cs-CZ"/>
        </w:rPr>
      </w:pPr>
    </w:p>
    <w:p w:rsidR="003B6E11" w:rsidRPr="003B6E11" w:rsidRDefault="003B6E11" w:rsidP="003B6E11">
      <w:pPr>
        <w:rPr>
          <w:b/>
          <w:bCs/>
          <w:noProof/>
          <w:sz w:val="18"/>
          <w:szCs w:val="18"/>
          <w:lang w:val="cs-CZ"/>
        </w:rPr>
      </w:pPr>
      <w:r w:rsidRPr="003B6E11">
        <w:rPr>
          <w:lang w:val="cs-CZ"/>
        </w:rPr>
        <w:br w:type="page"/>
      </w:r>
    </w:p>
    <w:p w:rsidR="003B6E11" w:rsidRPr="003B6E11" w:rsidRDefault="003B6E11" w:rsidP="003B6E11">
      <w:pPr>
        <w:rPr>
          <w:b/>
          <w:bCs/>
          <w:noProof/>
          <w:sz w:val="18"/>
          <w:szCs w:val="18"/>
          <w:lang w:val="cs-CZ"/>
        </w:rPr>
      </w:pPr>
      <w:r w:rsidRPr="003B6E11">
        <w:rPr>
          <w:b/>
          <w:noProof/>
          <w:sz w:val="18"/>
          <w:lang w:val="cs-CZ"/>
        </w:rPr>
        <w:t>B.</w:t>
      </w:r>
      <w:r w:rsidRPr="003B6E11">
        <w:rPr>
          <w:lang w:val="cs-CZ"/>
        </w:rPr>
        <w:tab/>
      </w:r>
      <w:r w:rsidRPr="003B6E11">
        <w:rPr>
          <w:b/>
          <w:noProof/>
          <w:sz w:val="18"/>
          <w:lang w:val="cs-CZ"/>
        </w:rPr>
        <w:t>Výsledky měření náhodného vzorku:</w:t>
      </w:r>
    </w:p>
    <w:p w:rsidR="003B6E11" w:rsidRPr="003B6E11" w:rsidRDefault="003B6E11" w:rsidP="003B6E11">
      <w:pPr>
        <w:rPr>
          <w:noProof/>
          <w:lang w:val="cs-CZ"/>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6"/>
        <w:gridCol w:w="870"/>
        <w:gridCol w:w="514"/>
        <w:gridCol w:w="195"/>
        <w:gridCol w:w="567"/>
        <w:gridCol w:w="810"/>
        <w:gridCol w:w="998"/>
        <w:gridCol w:w="176"/>
        <w:gridCol w:w="953"/>
        <w:gridCol w:w="409"/>
        <w:gridCol w:w="3317"/>
      </w:tblGrid>
      <w:tr w:rsidR="003B6E11" w:rsidRPr="003B6E11" w:rsidTr="002D015D">
        <w:trPr>
          <w:gridBefore w:val="1"/>
          <w:gridAfter w:val="2"/>
          <w:wBefore w:w="406" w:type="dxa"/>
          <w:wAfter w:w="3726" w:type="dxa"/>
          <w:cantSplit/>
          <w:jc w:val="center"/>
        </w:trPr>
        <w:tc>
          <w:tcPr>
            <w:tcW w:w="1384" w:type="dxa"/>
            <w:gridSpan w:val="2"/>
            <w:vAlign w:val="center"/>
          </w:tcPr>
          <w:p w:rsidR="003B6E11" w:rsidRPr="003B6E11" w:rsidRDefault="003B6E11" w:rsidP="002D015D">
            <w:pPr>
              <w:spacing w:before="60" w:after="60" w:line="240" w:lineRule="atLeast"/>
              <w:jc w:val="center"/>
              <w:rPr>
                <w:noProof/>
                <w:sz w:val="18"/>
                <w:szCs w:val="18"/>
                <w:lang w:val="cs-CZ"/>
              </w:rPr>
            </w:pPr>
            <w:r w:rsidRPr="003B6E11">
              <w:rPr>
                <w:noProof/>
                <w:sz w:val="18"/>
                <w:lang w:val="cs-CZ"/>
              </w:rPr>
              <w:t>Parametr</w:t>
            </w:r>
          </w:p>
        </w:tc>
        <w:tc>
          <w:tcPr>
            <w:tcW w:w="1572" w:type="dxa"/>
            <w:gridSpan w:val="3"/>
            <w:vAlign w:val="center"/>
          </w:tcPr>
          <w:p w:rsidR="003B6E11" w:rsidRPr="003B6E11" w:rsidRDefault="003B6E11" w:rsidP="002D015D">
            <w:pPr>
              <w:spacing w:before="60" w:after="60" w:line="240" w:lineRule="atLeast"/>
              <w:jc w:val="center"/>
              <w:rPr>
                <w:noProof/>
                <w:sz w:val="18"/>
                <w:szCs w:val="18"/>
                <w:lang w:val="cs-CZ"/>
              </w:rPr>
            </w:pPr>
            <w:r w:rsidRPr="003B6E11">
              <w:rPr>
                <w:noProof/>
                <w:sz w:val="18"/>
                <w:lang w:val="cs-CZ"/>
              </w:rPr>
              <w:t>Získaná hodnota</w:t>
            </w:r>
          </w:p>
        </w:tc>
        <w:tc>
          <w:tcPr>
            <w:tcW w:w="2127" w:type="dxa"/>
            <w:gridSpan w:val="3"/>
            <w:vAlign w:val="center"/>
          </w:tcPr>
          <w:p w:rsidR="003B6E11" w:rsidRPr="003B6E11" w:rsidRDefault="003B6E11" w:rsidP="002D015D">
            <w:pPr>
              <w:spacing w:before="60" w:after="60" w:line="240" w:lineRule="atLeast"/>
              <w:jc w:val="center"/>
              <w:rPr>
                <w:noProof/>
                <w:sz w:val="18"/>
                <w:szCs w:val="18"/>
                <w:lang w:val="cs-CZ"/>
              </w:rPr>
            </w:pPr>
            <w:r w:rsidRPr="003B6E11">
              <w:rPr>
                <w:noProof/>
                <w:sz w:val="18"/>
                <w:lang w:val="cs-CZ"/>
              </w:rPr>
              <w:t>Shoda</w:t>
            </w:r>
            <w:r w:rsidRPr="003B6E11">
              <w:rPr>
                <w:noProof/>
                <w:sz w:val="18"/>
                <w:vertAlign w:val="superscript"/>
                <w:lang w:val="cs-CZ"/>
              </w:rPr>
              <w:t>(</w:t>
            </w:r>
            <w:r w:rsidRPr="003B6E11">
              <w:rPr>
                <w:noProof/>
                <w:sz w:val="18"/>
                <w:vertAlign w:val="superscript"/>
                <w:lang w:val="cs-CZ"/>
              </w:rPr>
              <w:footnoteReference w:id="74"/>
            </w:r>
            <w:r w:rsidRPr="003B6E11">
              <w:rPr>
                <w:noProof/>
                <w:sz w:val="18"/>
                <w:vertAlign w:val="superscript"/>
                <w:lang w:val="cs-CZ"/>
              </w:rPr>
              <w:t>)</w:t>
            </w:r>
          </w:p>
        </w:tc>
      </w:tr>
      <w:tr w:rsidR="003B6E11" w:rsidRPr="003B6E11" w:rsidTr="002D015D">
        <w:trPr>
          <w:gridBefore w:val="1"/>
          <w:gridAfter w:val="2"/>
          <w:wBefore w:w="406" w:type="dxa"/>
          <w:wAfter w:w="3726" w:type="dxa"/>
          <w:cantSplit/>
          <w:jc w:val="center"/>
        </w:trPr>
        <w:tc>
          <w:tcPr>
            <w:tcW w:w="1384" w:type="dxa"/>
            <w:gridSpan w:val="2"/>
            <w:vAlign w:val="center"/>
          </w:tcPr>
          <w:p w:rsidR="003B6E11" w:rsidRPr="003B6E11" w:rsidRDefault="002D015D" w:rsidP="002D015D">
            <w:pPr>
              <w:spacing w:before="60" w:after="60" w:line="240" w:lineRule="atLeast"/>
              <w:rPr>
                <w:noProof/>
                <w:sz w:val="18"/>
                <w:szCs w:val="18"/>
                <w:lang w:val="cs-CZ"/>
              </w:rPr>
            </w:pPr>
            <m:oMathPara>
              <m:oMathParaPr>
                <m:jc m:val="left"/>
              </m:oMathParaPr>
              <m:oMath>
                <m:sSub>
                  <m:sSubPr>
                    <m:ctrlPr>
                      <w:rPr>
                        <w:rFonts w:ascii="Cambria Math" w:hAnsi="Cambria Math"/>
                        <w:i/>
                        <w:noProof/>
                        <w:sz w:val="18"/>
                        <w:szCs w:val="18"/>
                        <w:lang w:val="cs-CZ"/>
                      </w:rPr>
                    </m:ctrlPr>
                  </m:sSubPr>
                  <m:e>
                    <m:r>
                      <w:rPr>
                        <w:rFonts w:ascii="Cambria Math" w:hAnsi="Cambria Math"/>
                        <w:noProof/>
                        <w:sz w:val="18"/>
                        <w:szCs w:val="18"/>
                        <w:lang w:val="cs-CZ"/>
                      </w:rPr>
                      <m:t>BOD</m:t>
                    </m:r>
                  </m:e>
                  <m:sub>
                    <m:r>
                      <w:rPr>
                        <w:rFonts w:ascii="Cambria Math" w:hAnsi="Cambria Math"/>
                        <w:noProof/>
                        <w:sz w:val="18"/>
                        <w:szCs w:val="18"/>
                        <w:lang w:val="cs-CZ"/>
                      </w:rPr>
                      <m:t>5</m:t>
                    </m:r>
                  </m:sub>
                </m:sSub>
              </m:oMath>
            </m:oMathPara>
          </w:p>
        </w:tc>
        <w:tc>
          <w:tcPr>
            <w:tcW w:w="1572" w:type="dxa"/>
            <w:gridSpan w:val="3"/>
            <w:vAlign w:val="center"/>
          </w:tcPr>
          <w:p w:rsidR="003B6E11" w:rsidRPr="003B6E11" w:rsidRDefault="003B6E11" w:rsidP="002D015D">
            <w:pPr>
              <w:spacing w:before="60" w:after="60" w:line="240" w:lineRule="atLeast"/>
              <w:rPr>
                <w:noProof/>
                <w:sz w:val="18"/>
                <w:szCs w:val="18"/>
                <w:lang w:val="cs-CZ"/>
              </w:rPr>
            </w:pPr>
          </w:p>
        </w:tc>
        <w:tc>
          <w:tcPr>
            <w:tcW w:w="998" w:type="dxa"/>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ano</w:t>
            </w:r>
          </w:p>
        </w:tc>
        <w:tc>
          <w:tcPr>
            <w:tcW w:w="1129" w:type="dxa"/>
            <w:gridSpan w:val="2"/>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20"/>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ne</w:t>
            </w:r>
          </w:p>
        </w:tc>
      </w:tr>
      <w:tr w:rsidR="003B6E11" w:rsidRPr="003B6E11" w:rsidTr="002D015D">
        <w:trPr>
          <w:gridBefore w:val="1"/>
          <w:gridAfter w:val="2"/>
          <w:wBefore w:w="406" w:type="dxa"/>
          <w:wAfter w:w="3726" w:type="dxa"/>
          <w:cantSplit/>
          <w:jc w:val="center"/>
        </w:trPr>
        <w:tc>
          <w:tcPr>
            <w:tcW w:w="1384" w:type="dxa"/>
            <w:gridSpan w:val="2"/>
            <w:vAlign w:val="center"/>
          </w:tcPr>
          <w:p w:rsidR="003B6E11" w:rsidRPr="003B6E11" w:rsidRDefault="003B6E11" w:rsidP="002D015D">
            <w:pPr>
              <w:spacing w:before="60" w:after="60" w:line="240" w:lineRule="atLeast"/>
              <w:rPr>
                <w:noProof/>
                <w:sz w:val="18"/>
                <w:szCs w:val="18"/>
                <w:lang w:val="cs-CZ"/>
              </w:rPr>
            </w:pPr>
            <w:r w:rsidRPr="003B6E11">
              <w:rPr>
                <w:noProof/>
                <w:sz w:val="18"/>
                <w:lang w:val="cs-CZ"/>
              </w:rPr>
              <w:t>COD</w:t>
            </w:r>
          </w:p>
        </w:tc>
        <w:tc>
          <w:tcPr>
            <w:tcW w:w="1572" w:type="dxa"/>
            <w:gridSpan w:val="3"/>
            <w:vAlign w:val="center"/>
          </w:tcPr>
          <w:p w:rsidR="003B6E11" w:rsidRPr="003B6E11" w:rsidRDefault="003B6E11" w:rsidP="002D015D">
            <w:pPr>
              <w:spacing w:before="60" w:after="60" w:line="240" w:lineRule="atLeast"/>
              <w:rPr>
                <w:noProof/>
                <w:sz w:val="18"/>
                <w:szCs w:val="18"/>
                <w:lang w:val="cs-CZ"/>
              </w:rPr>
            </w:pPr>
          </w:p>
        </w:tc>
        <w:tc>
          <w:tcPr>
            <w:tcW w:w="998" w:type="dxa"/>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ano</w:t>
            </w:r>
          </w:p>
        </w:tc>
        <w:tc>
          <w:tcPr>
            <w:tcW w:w="1129" w:type="dxa"/>
            <w:gridSpan w:val="2"/>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20"/>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ne</w:t>
            </w:r>
          </w:p>
        </w:tc>
      </w:tr>
      <w:tr w:rsidR="003B6E11" w:rsidRPr="003B6E11" w:rsidTr="002D015D">
        <w:trPr>
          <w:gridBefore w:val="1"/>
          <w:gridAfter w:val="2"/>
          <w:wBefore w:w="406" w:type="dxa"/>
          <w:wAfter w:w="3726" w:type="dxa"/>
          <w:cantSplit/>
          <w:jc w:val="center"/>
        </w:trPr>
        <w:tc>
          <w:tcPr>
            <w:tcW w:w="1384" w:type="dxa"/>
            <w:gridSpan w:val="2"/>
            <w:vAlign w:val="center"/>
          </w:tcPr>
          <w:p w:rsidR="003B6E11" w:rsidRPr="003B6E11" w:rsidRDefault="003B6E11" w:rsidP="002D015D">
            <w:pPr>
              <w:spacing w:before="60" w:after="60" w:line="240" w:lineRule="atLeast"/>
              <w:rPr>
                <w:noProof/>
                <w:sz w:val="18"/>
                <w:szCs w:val="18"/>
                <w:vertAlign w:val="superscript"/>
                <w:lang w:val="cs-CZ"/>
              </w:rPr>
            </w:pPr>
            <w:r w:rsidRPr="003B6E11">
              <w:rPr>
                <w:noProof/>
                <w:sz w:val="18"/>
                <w:lang w:val="cs-CZ"/>
              </w:rPr>
              <w:t>TOC</w:t>
            </w:r>
            <w:r w:rsidRPr="003B6E11">
              <w:rPr>
                <w:sz w:val="18"/>
                <w:vertAlign w:val="superscript"/>
                <w:lang w:val="cs-CZ"/>
              </w:rPr>
              <w:t>(</w:t>
            </w:r>
            <w:r w:rsidRPr="003B6E11">
              <w:rPr>
                <w:b/>
                <w:sz w:val="18"/>
                <w:vertAlign w:val="superscript"/>
                <w:lang w:val="cs-CZ"/>
              </w:rPr>
              <w:footnoteReference w:id="75"/>
            </w:r>
            <w:r w:rsidRPr="003B6E11">
              <w:rPr>
                <w:sz w:val="18"/>
                <w:vertAlign w:val="superscript"/>
                <w:lang w:val="cs-CZ"/>
              </w:rPr>
              <w:t>)</w:t>
            </w:r>
          </w:p>
        </w:tc>
        <w:tc>
          <w:tcPr>
            <w:tcW w:w="1572" w:type="dxa"/>
            <w:gridSpan w:val="3"/>
            <w:vAlign w:val="center"/>
          </w:tcPr>
          <w:p w:rsidR="003B6E11" w:rsidRPr="003B6E11" w:rsidRDefault="003B6E11" w:rsidP="002D015D">
            <w:pPr>
              <w:spacing w:before="60" w:after="60" w:line="240" w:lineRule="atLeast"/>
              <w:rPr>
                <w:noProof/>
                <w:sz w:val="18"/>
                <w:szCs w:val="18"/>
                <w:lang w:val="cs-CZ"/>
              </w:rPr>
            </w:pPr>
          </w:p>
        </w:tc>
        <w:tc>
          <w:tcPr>
            <w:tcW w:w="998" w:type="dxa"/>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ano</w:t>
            </w:r>
          </w:p>
        </w:tc>
        <w:tc>
          <w:tcPr>
            <w:tcW w:w="1129" w:type="dxa"/>
            <w:gridSpan w:val="2"/>
            <w:vAlign w:val="center"/>
          </w:tcPr>
          <w:p w:rsidR="003B6E11" w:rsidRPr="003B6E11" w:rsidRDefault="003B6E11" w:rsidP="002D015D">
            <w:pPr>
              <w:spacing w:before="60" w:after="60" w:line="240" w:lineRule="atLeast"/>
              <w:rPr>
                <w:noProof/>
                <w:sz w:val="18"/>
                <w:szCs w:val="18"/>
                <w:lang w:val="cs-CZ"/>
              </w:rPr>
            </w:pPr>
            <w:r w:rsidRPr="003B6E11">
              <w:rPr>
                <w:noProof/>
                <w:sz w:val="18"/>
                <w:szCs w:val="18"/>
                <w:lang w:val="cs-CZ"/>
              </w:rPr>
              <w:fldChar w:fldCharType="begin">
                <w:ffData>
                  <w:name w:val="Kontrollkästchen20"/>
                  <w:enabled/>
                  <w:calcOnExit w:val="0"/>
                  <w:checkBox>
                    <w:sizeAuto/>
                    <w:default w:val="0"/>
                  </w:checkBox>
                </w:ffData>
              </w:fldChar>
            </w:r>
            <w:r w:rsidRPr="003B6E11">
              <w:rPr>
                <w:noProof/>
                <w:sz w:val="18"/>
                <w:szCs w:val="18"/>
                <w:lang w:val="cs-CZ"/>
              </w:rPr>
              <w:instrText xml:space="preserve"> FORMCHECKBOX </w:instrText>
            </w:r>
            <w:r w:rsidR="002D015D">
              <w:rPr>
                <w:noProof/>
                <w:sz w:val="18"/>
                <w:szCs w:val="18"/>
                <w:lang w:val="cs-CZ"/>
              </w:rPr>
            </w:r>
            <w:r w:rsidR="002D015D">
              <w:rPr>
                <w:noProof/>
                <w:sz w:val="18"/>
                <w:szCs w:val="18"/>
                <w:lang w:val="cs-CZ"/>
              </w:rPr>
              <w:fldChar w:fldCharType="separate"/>
            </w:r>
            <w:r w:rsidRPr="003B6E11">
              <w:rPr>
                <w:noProof/>
                <w:sz w:val="18"/>
                <w:szCs w:val="18"/>
                <w:lang w:val="cs-CZ"/>
              </w:rPr>
              <w:fldChar w:fldCharType="end"/>
            </w:r>
            <w:r w:rsidRPr="003B6E11">
              <w:rPr>
                <w:noProof/>
                <w:sz w:val="18"/>
                <w:lang w:val="cs-CZ"/>
              </w:rPr>
              <w:t xml:space="preserve"> ne</w:t>
            </w:r>
          </w:p>
        </w:tc>
      </w:tr>
      <w:tr w:rsidR="003B6E11" w:rsidRPr="003B6E11" w:rsidTr="002D01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3B6E11" w:rsidRPr="003B6E11" w:rsidRDefault="003B6E11" w:rsidP="002D015D">
            <w:pPr>
              <w:rPr>
                <w:b/>
                <w:bCs/>
                <w:noProof/>
                <w:sz w:val="18"/>
                <w:szCs w:val="18"/>
                <w:lang w:val="cs-CZ"/>
              </w:rPr>
            </w:pPr>
          </w:p>
          <w:p w:rsidR="003B6E11" w:rsidRPr="003B6E11" w:rsidRDefault="003B6E11" w:rsidP="002D015D">
            <w:pPr>
              <w:rPr>
                <w:b/>
                <w:bCs/>
                <w:noProof/>
                <w:sz w:val="18"/>
                <w:szCs w:val="18"/>
                <w:lang w:val="cs-CZ"/>
              </w:rPr>
            </w:pPr>
            <w:r w:rsidRPr="003B6E11">
              <w:rPr>
                <w:b/>
                <w:noProof/>
                <w:sz w:val="18"/>
                <w:lang w:val="cs-CZ"/>
              </w:rPr>
              <w:t>C.</w:t>
            </w:r>
            <w:r w:rsidRPr="003B6E11">
              <w:rPr>
                <w:lang w:val="cs-CZ"/>
              </w:rPr>
              <w:tab/>
            </w:r>
            <w:r w:rsidRPr="003B6E11">
              <w:rPr>
                <w:b/>
                <w:noProof/>
                <w:sz w:val="18"/>
                <w:lang w:val="cs-CZ"/>
              </w:rPr>
              <w:t>Poznámky:</w:t>
            </w:r>
          </w:p>
          <w:p w:rsidR="003B6E11" w:rsidRPr="003B6E11" w:rsidRDefault="003B6E11" w:rsidP="002D015D">
            <w:pPr>
              <w:rPr>
                <w:b/>
                <w:bCs/>
                <w:noProof/>
                <w:sz w:val="18"/>
                <w:szCs w:val="18"/>
                <w:lang w:val="cs-CZ"/>
              </w:rPr>
            </w:pPr>
          </w:p>
        </w:tc>
        <w:tc>
          <w:tcPr>
            <w:tcW w:w="7230" w:type="dxa"/>
            <w:gridSpan w:val="7"/>
            <w:tcBorders>
              <w:bottom w:val="dotted" w:sz="4" w:space="0" w:color="auto"/>
            </w:tcBorders>
            <w:vAlign w:val="center"/>
          </w:tcPr>
          <w:p w:rsidR="003B6E11" w:rsidRPr="003B6E11" w:rsidRDefault="003B6E11" w:rsidP="002D015D">
            <w:pPr>
              <w:rPr>
                <w:b/>
                <w:bCs/>
                <w:noProof/>
                <w:sz w:val="18"/>
                <w:szCs w:val="18"/>
                <w:lang w:val="cs-CZ"/>
              </w:rPr>
            </w:pPr>
          </w:p>
        </w:tc>
      </w:tr>
      <w:tr w:rsidR="003B6E11" w:rsidRPr="003B6E11" w:rsidTr="002D01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3B6E11" w:rsidRPr="003B6E11" w:rsidRDefault="003B6E11" w:rsidP="002D015D">
            <w:pPr>
              <w:rPr>
                <w:b/>
                <w:noProof/>
                <w:lang w:val="cs-CZ"/>
              </w:rPr>
            </w:pPr>
          </w:p>
        </w:tc>
        <w:tc>
          <w:tcPr>
            <w:tcW w:w="7230" w:type="dxa"/>
            <w:gridSpan w:val="7"/>
            <w:tcBorders>
              <w:top w:val="dotted" w:sz="4" w:space="0" w:color="auto"/>
              <w:bottom w:val="dotted" w:sz="4" w:space="0" w:color="auto"/>
            </w:tcBorders>
            <w:vAlign w:val="center"/>
          </w:tcPr>
          <w:p w:rsidR="003B6E11" w:rsidRPr="003B6E11" w:rsidRDefault="003B6E11" w:rsidP="002D015D">
            <w:pPr>
              <w:spacing w:before="20"/>
              <w:rPr>
                <w:noProof/>
                <w:sz w:val="14"/>
                <w:szCs w:val="12"/>
                <w:lang w:val="cs-CZ"/>
              </w:rPr>
            </w:pPr>
            <w:r w:rsidRPr="003B6E11">
              <w:rPr>
                <w:noProof/>
                <w:sz w:val="16"/>
                <w:lang w:val="cs-CZ"/>
              </w:rPr>
              <w:t>(Bylo zjištěno toto odchylné nastavení, úpravy nebo změny instalovaných palubních čistíren odpadních vod.)</w:t>
            </w:r>
          </w:p>
        </w:tc>
      </w:tr>
      <w:tr w:rsidR="003B6E11" w:rsidRPr="003B6E11" w:rsidTr="002D01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3B6E11" w:rsidRPr="003B6E11" w:rsidRDefault="003B6E11" w:rsidP="002D015D">
            <w:pPr>
              <w:rPr>
                <w:noProof/>
                <w:lang w:val="cs-CZ"/>
              </w:rPr>
            </w:pPr>
          </w:p>
        </w:tc>
        <w:tc>
          <w:tcPr>
            <w:tcW w:w="7230" w:type="dxa"/>
            <w:gridSpan w:val="7"/>
            <w:tcBorders>
              <w:top w:val="dotted" w:sz="4" w:space="0" w:color="auto"/>
              <w:bottom w:val="dotted" w:sz="4" w:space="0" w:color="auto"/>
            </w:tcBorders>
            <w:vAlign w:val="center"/>
          </w:tcPr>
          <w:p w:rsidR="003B6E11" w:rsidRPr="003B6E11" w:rsidRDefault="003B6E11" w:rsidP="002D015D">
            <w:pPr>
              <w:rPr>
                <w:noProof/>
                <w:lang w:val="cs-CZ"/>
              </w:rPr>
            </w:pPr>
          </w:p>
        </w:tc>
      </w:tr>
      <w:tr w:rsidR="003B6E11" w:rsidRPr="003B6E11" w:rsidTr="002D01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3B6E11" w:rsidRPr="003B6E11" w:rsidRDefault="003B6E11" w:rsidP="002D015D">
            <w:pPr>
              <w:rPr>
                <w:noProof/>
                <w:lang w:val="cs-CZ"/>
              </w:rPr>
            </w:pPr>
          </w:p>
        </w:tc>
        <w:tc>
          <w:tcPr>
            <w:tcW w:w="7230" w:type="dxa"/>
            <w:gridSpan w:val="7"/>
            <w:tcBorders>
              <w:top w:val="dotted" w:sz="4" w:space="0" w:color="auto"/>
              <w:bottom w:val="dotted" w:sz="4" w:space="0" w:color="auto"/>
            </w:tcBorders>
            <w:vAlign w:val="center"/>
          </w:tcPr>
          <w:p w:rsidR="003B6E11" w:rsidRPr="003B6E11" w:rsidRDefault="003B6E11" w:rsidP="002D015D">
            <w:pPr>
              <w:rPr>
                <w:noProof/>
                <w:lang w:val="cs-CZ"/>
              </w:rPr>
            </w:pPr>
          </w:p>
        </w:tc>
      </w:tr>
      <w:tr w:rsidR="003B6E11" w:rsidRPr="003B6E11" w:rsidTr="002D01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3B6E11" w:rsidRPr="003B6E11" w:rsidRDefault="003B6E11" w:rsidP="002D015D">
            <w:pPr>
              <w:rPr>
                <w:noProof/>
                <w:lang w:val="cs-CZ"/>
              </w:rPr>
            </w:pPr>
          </w:p>
        </w:tc>
        <w:tc>
          <w:tcPr>
            <w:tcW w:w="7230" w:type="dxa"/>
            <w:gridSpan w:val="7"/>
            <w:tcBorders>
              <w:top w:val="dotted" w:sz="4" w:space="0" w:color="auto"/>
              <w:bottom w:val="dotted" w:sz="4" w:space="0" w:color="auto"/>
            </w:tcBorders>
            <w:vAlign w:val="center"/>
          </w:tcPr>
          <w:p w:rsidR="003B6E11" w:rsidRPr="003B6E11" w:rsidRDefault="003B6E11" w:rsidP="002D015D">
            <w:pPr>
              <w:rPr>
                <w:noProof/>
                <w:lang w:val="cs-CZ"/>
              </w:rPr>
            </w:pPr>
          </w:p>
        </w:tc>
      </w:tr>
      <w:tr w:rsidR="003B6E11" w:rsidRPr="003B6E11" w:rsidTr="002D01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3B6E11" w:rsidRPr="003B6E11" w:rsidRDefault="003B6E11" w:rsidP="002D015D">
            <w:pPr>
              <w:rPr>
                <w:noProof/>
                <w:lang w:val="cs-CZ"/>
              </w:rPr>
            </w:pPr>
          </w:p>
        </w:tc>
        <w:tc>
          <w:tcPr>
            <w:tcW w:w="7230" w:type="dxa"/>
            <w:gridSpan w:val="7"/>
            <w:tcBorders>
              <w:top w:val="dotted" w:sz="4" w:space="0" w:color="auto"/>
              <w:bottom w:val="dotted" w:sz="4" w:space="0" w:color="auto"/>
            </w:tcBorders>
            <w:vAlign w:val="center"/>
          </w:tcPr>
          <w:p w:rsidR="003B6E11" w:rsidRPr="003B6E11" w:rsidRDefault="003B6E11" w:rsidP="002D015D">
            <w:pPr>
              <w:rPr>
                <w:noProof/>
                <w:lang w:val="cs-CZ"/>
              </w:rPr>
            </w:pPr>
          </w:p>
        </w:tc>
      </w:tr>
      <w:tr w:rsidR="003B6E11" w:rsidRPr="003B6E11" w:rsidTr="002D01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3B6E11" w:rsidRPr="003B6E11" w:rsidRDefault="003B6E11" w:rsidP="002D015D">
            <w:pPr>
              <w:rPr>
                <w:noProof/>
                <w:lang w:val="cs-CZ"/>
              </w:rPr>
            </w:pPr>
          </w:p>
        </w:tc>
        <w:tc>
          <w:tcPr>
            <w:tcW w:w="7230" w:type="dxa"/>
            <w:gridSpan w:val="7"/>
            <w:tcBorders>
              <w:top w:val="dotted" w:sz="4" w:space="0" w:color="auto"/>
              <w:bottom w:val="dotted" w:sz="4" w:space="0" w:color="auto"/>
            </w:tcBorders>
            <w:vAlign w:val="center"/>
          </w:tcPr>
          <w:p w:rsidR="003B6E11" w:rsidRPr="003B6E11" w:rsidRDefault="003B6E11" w:rsidP="002D015D">
            <w:pPr>
              <w:rPr>
                <w:noProof/>
                <w:lang w:val="cs-CZ"/>
              </w:rPr>
            </w:pPr>
          </w:p>
        </w:tc>
      </w:tr>
      <w:tr w:rsidR="003B6E11" w:rsidRPr="003B6E11" w:rsidTr="002D01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60"/>
          <w:jc w:val="center"/>
        </w:trPr>
        <w:tc>
          <w:tcPr>
            <w:tcW w:w="9215" w:type="dxa"/>
            <w:gridSpan w:val="11"/>
            <w:vAlign w:val="center"/>
          </w:tcPr>
          <w:p w:rsidR="003B6E11" w:rsidRPr="003B6E11" w:rsidRDefault="003B6E11" w:rsidP="002D015D">
            <w:pPr>
              <w:rPr>
                <w:noProof/>
                <w:lang w:val="cs-CZ"/>
              </w:rPr>
            </w:pPr>
          </w:p>
        </w:tc>
      </w:tr>
      <w:tr w:rsidR="003B6E11" w:rsidRPr="003B6E11" w:rsidTr="002D01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5"/>
            <w:vAlign w:val="center"/>
          </w:tcPr>
          <w:p w:rsidR="003B6E11" w:rsidRPr="003B6E11" w:rsidRDefault="003B6E11" w:rsidP="002D015D">
            <w:pPr>
              <w:rPr>
                <w:noProof/>
                <w:sz w:val="18"/>
                <w:szCs w:val="18"/>
                <w:lang w:val="cs-CZ"/>
              </w:rPr>
            </w:pPr>
          </w:p>
        </w:tc>
        <w:tc>
          <w:tcPr>
            <w:tcW w:w="1984" w:type="dxa"/>
            <w:gridSpan w:val="3"/>
            <w:vAlign w:val="center"/>
          </w:tcPr>
          <w:p w:rsidR="003B6E11" w:rsidRPr="003B6E11" w:rsidRDefault="003B6E11" w:rsidP="002D015D">
            <w:pPr>
              <w:rPr>
                <w:noProof/>
                <w:sz w:val="18"/>
                <w:szCs w:val="18"/>
                <w:lang w:val="cs-CZ"/>
              </w:rPr>
            </w:pPr>
            <w:r w:rsidRPr="003B6E11">
              <w:rPr>
                <w:noProof/>
                <w:sz w:val="18"/>
                <w:lang w:val="cs-CZ"/>
              </w:rPr>
              <w:t>Jméno inspektora:</w:t>
            </w:r>
          </w:p>
        </w:tc>
        <w:tc>
          <w:tcPr>
            <w:tcW w:w="4679" w:type="dxa"/>
            <w:gridSpan w:val="3"/>
            <w:tcBorders>
              <w:bottom w:val="dotted" w:sz="4" w:space="0" w:color="auto"/>
            </w:tcBorders>
            <w:vAlign w:val="center"/>
          </w:tcPr>
          <w:p w:rsidR="003B6E11" w:rsidRPr="003B6E11" w:rsidRDefault="003B6E11" w:rsidP="002D015D">
            <w:pPr>
              <w:rPr>
                <w:noProof/>
                <w:sz w:val="18"/>
                <w:szCs w:val="18"/>
                <w:lang w:val="cs-CZ"/>
              </w:rPr>
            </w:pPr>
          </w:p>
        </w:tc>
      </w:tr>
      <w:tr w:rsidR="003B6E11" w:rsidRPr="003B6E11" w:rsidTr="002D01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jc w:val="center"/>
        </w:trPr>
        <w:tc>
          <w:tcPr>
            <w:tcW w:w="9215" w:type="dxa"/>
            <w:gridSpan w:val="11"/>
            <w:vAlign w:val="center"/>
          </w:tcPr>
          <w:p w:rsidR="003B6E11" w:rsidRPr="003B6E11" w:rsidRDefault="003B6E11" w:rsidP="002D015D">
            <w:pPr>
              <w:rPr>
                <w:noProof/>
                <w:lang w:val="cs-CZ"/>
              </w:rPr>
            </w:pPr>
          </w:p>
        </w:tc>
      </w:tr>
      <w:tr w:rsidR="003B6E11" w:rsidRPr="003B6E11" w:rsidTr="002D01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5"/>
            <w:vAlign w:val="center"/>
          </w:tcPr>
          <w:p w:rsidR="003B6E11" w:rsidRPr="003B6E11" w:rsidRDefault="003B6E11" w:rsidP="002D015D">
            <w:pPr>
              <w:rPr>
                <w:noProof/>
                <w:sz w:val="18"/>
                <w:szCs w:val="18"/>
                <w:lang w:val="cs-CZ"/>
              </w:rPr>
            </w:pPr>
          </w:p>
        </w:tc>
        <w:tc>
          <w:tcPr>
            <w:tcW w:w="1984" w:type="dxa"/>
            <w:gridSpan w:val="3"/>
            <w:vAlign w:val="center"/>
          </w:tcPr>
          <w:p w:rsidR="003B6E11" w:rsidRPr="003B6E11" w:rsidRDefault="003B6E11" w:rsidP="002D015D">
            <w:pPr>
              <w:rPr>
                <w:noProof/>
                <w:sz w:val="18"/>
                <w:szCs w:val="18"/>
                <w:lang w:val="cs-CZ"/>
              </w:rPr>
            </w:pPr>
            <w:r w:rsidRPr="003B6E11">
              <w:rPr>
                <w:noProof/>
                <w:sz w:val="18"/>
                <w:lang w:val="cs-CZ"/>
              </w:rPr>
              <w:t>Místo a datum:</w:t>
            </w:r>
          </w:p>
        </w:tc>
        <w:tc>
          <w:tcPr>
            <w:tcW w:w="4679" w:type="dxa"/>
            <w:gridSpan w:val="3"/>
            <w:tcBorders>
              <w:bottom w:val="dotted" w:sz="4" w:space="0" w:color="auto"/>
            </w:tcBorders>
            <w:vAlign w:val="center"/>
          </w:tcPr>
          <w:p w:rsidR="003B6E11" w:rsidRPr="003B6E11" w:rsidRDefault="003B6E11" w:rsidP="002D015D">
            <w:pPr>
              <w:rPr>
                <w:noProof/>
                <w:sz w:val="18"/>
                <w:szCs w:val="18"/>
                <w:lang w:val="cs-CZ"/>
              </w:rPr>
            </w:pPr>
          </w:p>
        </w:tc>
      </w:tr>
      <w:tr w:rsidR="003B6E11" w:rsidRPr="003B6E11" w:rsidTr="002D01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5"/>
            <w:vAlign w:val="center"/>
          </w:tcPr>
          <w:p w:rsidR="003B6E11" w:rsidRPr="003B6E11" w:rsidRDefault="003B6E11" w:rsidP="002D015D">
            <w:pPr>
              <w:rPr>
                <w:noProof/>
                <w:sz w:val="18"/>
                <w:szCs w:val="18"/>
                <w:lang w:val="cs-CZ"/>
              </w:rPr>
            </w:pPr>
          </w:p>
        </w:tc>
        <w:tc>
          <w:tcPr>
            <w:tcW w:w="1984" w:type="dxa"/>
            <w:gridSpan w:val="3"/>
            <w:vAlign w:val="center"/>
          </w:tcPr>
          <w:p w:rsidR="003B6E11" w:rsidRPr="003B6E11" w:rsidRDefault="003B6E11" w:rsidP="002D015D">
            <w:pPr>
              <w:rPr>
                <w:noProof/>
                <w:sz w:val="18"/>
                <w:szCs w:val="18"/>
                <w:lang w:val="cs-CZ"/>
              </w:rPr>
            </w:pPr>
            <w:r w:rsidRPr="003B6E11">
              <w:rPr>
                <w:noProof/>
                <w:sz w:val="18"/>
                <w:lang w:val="cs-CZ"/>
              </w:rPr>
              <w:t>Podpis:</w:t>
            </w:r>
          </w:p>
        </w:tc>
        <w:tc>
          <w:tcPr>
            <w:tcW w:w="4679" w:type="dxa"/>
            <w:gridSpan w:val="3"/>
            <w:tcBorders>
              <w:bottom w:val="dotted" w:sz="4" w:space="0" w:color="auto"/>
            </w:tcBorders>
            <w:vAlign w:val="center"/>
          </w:tcPr>
          <w:p w:rsidR="003B6E11" w:rsidRPr="003B6E11" w:rsidRDefault="003B6E11" w:rsidP="002D015D">
            <w:pPr>
              <w:rPr>
                <w:noProof/>
                <w:sz w:val="18"/>
                <w:szCs w:val="18"/>
                <w:lang w:val="cs-CZ"/>
              </w:rPr>
            </w:pPr>
          </w:p>
        </w:tc>
      </w:tr>
      <w:tr w:rsidR="003B6E11" w:rsidRPr="003B6E11" w:rsidTr="002D01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jc w:val="center"/>
        </w:trPr>
        <w:tc>
          <w:tcPr>
            <w:tcW w:w="9215" w:type="dxa"/>
            <w:gridSpan w:val="11"/>
            <w:vAlign w:val="center"/>
          </w:tcPr>
          <w:p w:rsidR="003B6E11" w:rsidRPr="003B6E11" w:rsidRDefault="003B6E11" w:rsidP="002D015D">
            <w:pPr>
              <w:rPr>
                <w:noProof/>
                <w:lang w:val="cs-CZ"/>
              </w:rPr>
            </w:pPr>
          </w:p>
        </w:tc>
      </w:tr>
      <w:tr w:rsidR="003B6E11" w:rsidRPr="003B6E11" w:rsidTr="002D01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gridSpan w:val="2"/>
            <w:vAlign w:val="center"/>
          </w:tcPr>
          <w:p w:rsidR="003B6E11" w:rsidRPr="003B6E11" w:rsidRDefault="003B6E11" w:rsidP="002D015D">
            <w:pPr>
              <w:rPr>
                <w:noProof/>
                <w:sz w:val="18"/>
                <w:szCs w:val="18"/>
                <w:lang w:val="cs-CZ"/>
              </w:rPr>
            </w:pPr>
          </w:p>
        </w:tc>
        <w:tc>
          <w:tcPr>
            <w:tcW w:w="1276" w:type="dxa"/>
            <w:gridSpan w:val="3"/>
            <w:vAlign w:val="center"/>
          </w:tcPr>
          <w:p w:rsidR="003B6E11" w:rsidRPr="003B6E11" w:rsidRDefault="003B6E11" w:rsidP="002D015D">
            <w:pPr>
              <w:rPr>
                <w:noProof/>
                <w:sz w:val="18"/>
                <w:szCs w:val="18"/>
                <w:lang w:val="cs-CZ"/>
              </w:rPr>
            </w:pPr>
          </w:p>
        </w:tc>
        <w:tc>
          <w:tcPr>
            <w:tcW w:w="1984" w:type="dxa"/>
            <w:gridSpan w:val="3"/>
            <w:vAlign w:val="center"/>
          </w:tcPr>
          <w:p w:rsidR="003B6E11" w:rsidRPr="003B6E11" w:rsidRDefault="003B6E11" w:rsidP="002D015D">
            <w:pPr>
              <w:rPr>
                <w:noProof/>
                <w:sz w:val="18"/>
                <w:szCs w:val="18"/>
                <w:lang w:val="cs-CZ"/>
              </w:rPr>
            </w:pPr>
          </w:p>
        </w:tc>
        <w:tc>
          <w:tcPr>
            <w:tcW w:w="4679" w:type="dxa"/>
            <w:gridSpan w:val="3"/>
            <w:vAlign w:val="center"/>
          </w:tcPr>
          <w:p w:rsidR="003B6E11" w:rsidRPr="003B6E11" w:rsidRDefault="003B6E11" w:rsidP="002D015D">
            <w:pPr>
              <w:rPr>
                <w:noProof/>
                <w:sz w:val="18"/>
                <w:szCs w:val="18"/>
                <w:lang w:val="cs-CZ"/>
              </w:rPr>
            </w:pPr>
          </w:p>
        </w:tc>
      </w:tr>
      <w:tr w:rsidR="003B6E11" w:rsidRPr="003B6E11" w:rsidTr="002D01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898" w:type="dxa"/>
            <w:gridSpan w:val="10"/>
            <w:vAlign w:val="center"/>
          </w:tcPr>
          <w:p w:rsidR="003B6E11" w:rsidRPr="003B6E11" w:rsidRDefault="003B6E11" w:rsidP="002D015D">
            <w:pPr>
              <w:ind w:left="286" w:hanging="286"/>
              <w:rPr>
                <w:noProof/>
                <w:sz w:val="16"/>
                <w:szCs w:val="16"/>
                <w:lang w:val="cs-CZ"/>
              </w:rPr>
            </w:pPr>
          </w:p>
        </w:tc>
        <w:tc>
          <w:tcPr>
            <w:tcW w:w="3317" w:type="dxa"/>
            <w:vAlign w:val="center"/>
          </w:tcPr>
          <w:p w:rsidR="003B6E11" w:rsidRPr="003B6E11" w:rsidRDefault="003B6E11" w:rsidP="002D015D">
            <w:pPr>
              <w:rPr>
                <w:noProof/>
                <w:lang w:val="cs-CZ"/>
              </w:rPr>
            </w:pPr>
          </w:p>
        </w:tc>
      </w:tr>
      <w:tr w:rsidR="003B6E11" w:rsidRPr="003B6E11" w:rsidTr="002D01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898" w:type="dxa"/>
            <w:gridSpan w:val="10"/>
            <w:vAlign w:val="center"/>
          </w:tcPr>
          <w:p w:rsidR="003B6E11" w:rsidRPr="003B6E11" w:rsidRDefault="003B6E11" w:rsidP="002D015D">
            <w:pPr>
              <w:rPr>
                <w:noProof/>
                <w:sz w:val="16"/>
                <w:szCs w:val="16"/>
                <w:vertAlign w:val="superscript"/>
                <w:lang w:val="cs-CZ"/>
              </w:rPr>
            </w:pPr>
          </w:p>
          <w:p w:rsidR="003B6E11" w:rsidRPr="003B6E11" w:rsidRDefault="003B6E11" w:rsidP="002D015D">
            <w:pPr>
              <w:rPr>
                <w:noProof/>
                <w:sz w:val="16"/>
                <w:szCs w:val="16"/>
                <w:vertAlign w:val="superscript"/>
                <w:lang w:val="cs-CZ"/>
              </w:rPr>
            </w:pPr>
          </w:p>
        </w:tc>
        <w:tc>
          <w:tcPr>
            <w:tcW w:w="3317" w:type="dxa"/>
            <w:vAlign w:val="center"/>
          </w:tcPr>
          <w:p w:rsidR="003B6E11" w:rsidRPr="003B6E11" w:rsidRDefault="003B6E11" w:rsidP="002D015D">
            <w:pPr>
              <w:rPr>
                <w:noProof/>
                <w:lang w:val="cs-CZ"/>
              </w:rPr>
            </w:pPr>
          </w:p>
        </w:tc>
      </w:tr>
    </w:tbl>
    <w:p w:rsidR="003B6E11" w:rsidRPr="003B6E11" w:rsidRDefault="003B6E11" w:rsidP="003B6E11">
      <w:pPr>
        <w:tabs>
          <w:tab w:val="left" w:pos="1021"/>
          <w:tab w:val="center" w:pos="8080"/>
        </w:tabs>
        <w:suppressAutoHyphens/>
        <w:spacing w:line="240" w:lineRule="atLeast"/>
        <w:rPr>
          <w:rFonts w:cs="Arial"/>
          <w:sz w:val="24"/>
          <w:lang w:val="cs-CZ"/>
        </w:rPr>
        <w:sectPr w:rsidR="003B6E11" w:rsidRPr="003B6E11" w:rsidSect="00FB55E9">
          <w:headerReference w:type="default" r:id="rId94"/>
          <w:footerReference w:type="default" r:id="rId95"/>
          <w:headerReference w:type="first" r:id="rId96"/>
          <w:footerReference w:type="first" r:id="rId97"/>
          <w:footnotePr>
            <w:numRestart w:val="eachPage"/>
          </w:footnotePr>
          <w:pgSz w:w="11907" w:h="16840"/>
          <w:pgMar w:top="1247" w:right="1418" w:bottom="1247" w:left="1418" w:header="720" w:footer="720" w:gutter="0"/>
          <w:cols w:space="720"/>
          <w:docGrid w:linePitch="272"/>
        </w:sectPr>
      </w:pPr>
    </w:p>
    <w:p w:rsidR="003B6E11" w:rsidRPr="003B6E11" w:rsidRDefault="003B6E11" w:rsidP="003B6E11">
      <w:pPr>
        <w:pStyle w:val="ES-Titre3"/>
        <w:rPr>
          <w:noProof/>
          <w:lang w:val="cs-CZ"/>
        </w:rPr>
      </w:pPr>
      <w:bookmarkStart w:id="714" w:name="_Toc491854340"/>
      <w:bookmarkStart w:id="715" w:name="_Toc535417246"/>
      <w:r w:rsidRPr="003B6E11">
        <w:rPr>
          <w:lang w:val="cs-CZ"/>
        </w:rPr>
        <w:t>Oddíl IX</w:t>
      </w:r>
      <w:bookmarkEnd w:id="714"/>
      <w:bookmarkEnd w:id="715"/>
    </w:p>
    <w:p w:rsidR="003B6E11" w:rsidRPr="003B6E11" w:rsidRDefault="003B6E11" w:rsidP="003B6E11">
      <w:pPr>
        <w:pStyle w:val="ES-Titre3a"/>
        <w:rPr>
          <w:noProof/>
          <w:lang w:val="cs-CZ"/>
        </w:rPr>
      </w:pPr>
      <w:bookmarkStart w:id="716" w:name="_Toc491854341"/>
      <w:bookmarkStart w:id="717" w:name="_Toc535417247"/>
      <w:r w:rsidRPr="003B6E11">
        <w:rPr>
          <w:lang w:val="cs-CZ"/>
        </w:rPr>
        <w:t>Zkušební postup</w:t>
      </w:r>
      <w:bookmarkEnd w:id="716"/>
      <w:bookmarkEnd w:id="717"/>
    </w:p>
    <w:p w:rsidR="003B6E11" w:rsidRPr="003B6E11" w:rsidRDefault="003B6E11" w:rsidP="003B6E11">
      <w:pPr>
        <w:tabs>
          <w:tab w:val="left" w:pos="1021"/>
          <w:tab w:val="center" w:pos="8080"/>
        </w:tabs>
        <w:suppressAutoHyphens/>
        <w:spacing w:line="240" w:lineRule="atLeast"/>
        <w:rPr>
          <w:rFonts w:cs="Arial"/>
          <w:szCs w:val="20"/>
          <w:lang w:val="cs-CZ"/>
        </w:rPr>
      </w:pPr>
    </w:p>
    <w:p w:rsidR="003B6E11" w:rsidRPr="003B6E11" w:rsidRDefault="003B6E11" w:rsidP="003B6E11">
      <w:pPr>
        <w:spacing w:line="240" w:lineRule="atLeast"/>
        <w:rPr>
          <w:rFonts w:cs="Arial"/>
          <w:b/>
          <w:noProof/>
          <w:color w:val="000000"/>
          <w:lang w:val="cs-CZ"/>
        </w:rPr>
      </w:pPr>
      <w:r w:rsidRPr="003B6E11">
        <w:rPr>
          <w:b/>
          <w:noProof/>
          <w:color w:val="000000"/>
          <w:lang w:val="cs-CZ"/>
        </w:rPr>
        <w:t>1.</w:t>
      </w:r>
      <w:r w:rsidRPr="003B6E11">
        <w:rPr>
          <w:lang w:val="cs-CZ"/>
        </w:rPr>
        <w:tab/>
      </w:r>
      <w:r w:rsidRPr="003B6E11">
        <w:rPr>
          <w:b/>
          <w:noProof/>
          <w:color w:val="000000"/>
          <w:lang w:val="cs-CZ"/>
        </w:rPr>
        <w:t>Obecně</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1.1</w:t>
      </w:r>
      <w:r w:rsidRPr="003B6E11">
        <w:rPr>
          <w:lang w:val="cs-CZ"/>
        </w:rPr>
        <w:tab/>
      </w:r>
      <w:r w:rsidRPr="003B6E11">
        <w:rPr>
          <w:noProof/>
          <w:color w:val="000000"/>
          <w:lang w:val="cs-CZ"/>
        </w:rPr>
        <w:t>Základní informace</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t xml:space="preserve">Pro ověření vhodnosti palubních čistíren odpadních vod pro osobní lodě se použije zkušební specifikace. </w:t>
      </w:r>
    </w:p>
    <w:p w:rsidR="003B6E11" w:rsidRPr="003B6E11" w:rsidRDefault="003B6E11" w:rsidP="003B6E11">
      <w:pPr>
        <w:spacing w:line="240" w:lineRule="atLeast"/>
        <w:ind w:left="426"/>
        <w:rPr>
          <w:noProof/>
          <w:lang w:val="cs-CZ"/>
        </w:rPr>
      </w:pPr>
      <w:r w:rsidRPr="003B6E11">
        <w:rPr>
          <w:lang w:val="cs-CZ"/>
        </w:rPr>
        <w:t>Tímto postupem se na zkušební čistírně přezkoumá a schválí použitá technologie zpracování a čištění odpadních vod. Shoda zkušební čistírny s čistírnami uvedenými do provozu později se zajistí uplatněním stejných kritérií pro konstrukci a dimenzování.</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1.2</w:t>
      </w:r>
      <w:r w:rsidRPr="003B6E11">
        <w:rPr>
          <w:lang w:val="cs-CZ"/>
        </w:rPr>
        <w:tab/>
      </w:r>
      <w:r w:rsidRPr="003B6E11">
        <w:rPr>
          <w:noProof/>
          <w:color w:val="000000"/>
          <w:lang w:val="cs-CZ"/>
        </w:rPr>
        <w:t>Odpovědnost a zkušební místo</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t xml:space="preserve">Zkušební čistírnu reprezentující celou řadu typů palubních čistíren odpadních vod přezkouší technická zkušebna. Za zkušební podmínky na zkušebním místě odpovídá technická zkušebna a tyto podmínky musí být v souladu s podmínkami stanovenými v tomto dokumentu. </w:t>
      </w:r>
    </w:p>
    <w:p w:rsidR="003B6E11" w:rsidRPr="003B6E11" w:rsidRDefault="003B6E11" w:rsidP="003B6E11">
      <w:pPr>
        <w:ind w:left="850" w:hanging="850"/>
        <w:rPr>
          <w:noProof/>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1.3</w:t>
      </w:r>
      <w:r w:rsidRPr="003B6E11">
        <w:rPr>
          <w:lang w:val="cs-CZ"/>
        </w:rPr>
        <w:tab/>
      </w:r>
      <w:r w:rsidRPr="003B6E11">
        <w:rPr>
          <w:noProof/>
          <w:color w:val="000000"/>
          <w:lang w:val="cs-CZ"/>
        </w:rPr>
        <w:t>Doklady, které je třeba předložit</w:t>
      </w:r>
    </w:p>
    <w:p w:rsidR="003B6E11" w:rsidRPr="003B6E11" w:rsidRDefault="003B6E11" w:rsidP="003B6E11">
      <w:pPr>
        <w:ind w:left="851"/>
        <w:rPr>
          <w:noProof/>
          <w:lang w:val="cs-CZ"/>
        </w:rPr>
      </w:pPr>
    </w:p>
    <w:p w:rsidR="003B6E11" w:rsidRPr="003B6E11" w:rsidRDefault="003B6E11" w:rsidP="003B6E11">
      <w:pPr>
        <w:spacing w:line="240" w:lineRule="atLeast"/>
        <w:ind w:left="426"/>
        <w:rPr>
          <w:noProof/>
          <w:lang w:val="cs-CZ"/>
        </w:rPr>
      </w:pPr>
      <w:r w:rsidRPr="003B6E11">
        <w:rPr>
          <w:lang w:val="cs-CZ"/>
        </w:rPr>
        <w:t xml:space="preserve">Zkouška se provádí na základě informačního dokumentu podle přílohy 7 oddílu II. </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1.4</w:t>
      </w:r>
      <w:r w:rsidRPr="003B6E11">
        <w:rPr>
          <w:lang w:val="cs-CZ"/>
        </w:rPr>
        <w:tab/>
      </w:r>
      <w:r w:rsidRPr="003B6E11">
        <w:rPr>
          <w:noProof/>
          <w:color w:val="000000"/>
          <w:lang w:val="cs-CZ"/>
        </w:rPr>
        <w:t xml:space="preserve">Specifikace dimenzování čistírny </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t>Palubní čistírny odpadních vod musí být dimenzovány a navrženy tak, aby mezní hodnoty na odtoku nepřekročily během provozu hodnoty stanovené v čl. 18.01 odst. 2 tabulkách 1 a 2.</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rPr>
          <w:rFonts w:cs="Arial"/>
          <w:b/>
          <w:noProof/>
          <w:color w:val="000000"/>
          <w:lang w:val="cs-CZ"/>
        </w:rPr>
      </w:pPr>
      <w:r w:rsidRPr="003B6E11">
        <w:rPr>
          <w:b/>
          <w:noProof/>
          <w:color w:val="000000"/>
          <w:lang w:val="cs-CZ"/>
        </w:rPr>
        <w:t>2.</w:t>
      </w:r>
      <w:r w:rsidRPr="003B6E11">
        <w:rPr>
          <w:lang w:val="cs-CZ"/>
        </w:rPr>
        <w:tab/>
      </w:r>
      <w:r w:rsidRPr="003B6E11">
        <w:rPr>
          <w:b/>
          <w:noProof/>
          <w:color w:val="000000"/>
          <w:lang w:val="cs-CZ"/>
        </w:rPr>
        <w:t xml:space="preserve">Příprava před zkoušením </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2.1</w:t>
      </w:r>
      <w:r w:rsidRPr="003B6E11">
        <w:rPr>
          <w:lang w:val="cs-CZ"/>
        </w:rPr>
        <w:tab/>
      </w:r>
      <w:r w:rsidRPr="003B6E11">
        <w:rPr>
          <w:noProof/>
          <w:color w:val="000000"/>
          <w:lang w:val="cs-CZ"/>
        </w:rPr>
        <w:t>Obecně</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ind w:left="426"/>
        <w:rPr>
          <w:noProof/>
          <w:lang w:val="cs-CZ"/>
        </w:rPr>
      </w:pPr>
      <w:r w:rsidRPr="003B6E11">
        <w:rPr>
          <w:lang w:val="cs-CZ"/>
        </w:rPr>
        <w:t>Před zahájením zkoušky dodá výrobce technické zkušebně konstrukční a procesní specifikace zkušební čistírny, včetně kompletního souboru výkresů a pomocných výpočtů v souladu s přílohou 7 oddílem II, a poskytne kompletní informace o požadavcích na palubní čistírny odpadních vod z hlediska jejich instalace, provozu a údržby. Výrobce poskytne technické zkušebně informace o mechanické, elektrické a technické bezpečnosti palubní čistírny odpadních vod, která je předmětem zkoušky.</w:t>
      </w:r>
    </w:p>
    <w:p w:rsidR="003B6E11" w:rsidRPr="003B6E11" w:rsidRDefault="003B6E11" w:rsidP="003B6E11">
      <w:pPr>
        <w:ind w:left="851"/>
        <w:rPr>
          <w:noProof/>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2.2</w:t>
      </w:r>
      <w:r w:rsidRPr="003B6E11">
        <w:rPr>
          <w:lang w:val="cs-CZ"/>
        </w:rPr>
        <w:tab/>
      </w:r>
      <w:r w:rsidRPr="003B6E11">
        <w:rPr>
          <w:noProof/>
          <w:color w:val="000000"/>
          <w:lang w:val="cs-CZ"/>
        </w:rPr>
        <w:t>Instalace a uvedení do provozu</w:t>
      </w:r>
    </w:p>
    <w:p w:rsidR="003B6E11" w:rsidRPr="003B6E11" w:rsidRDefault="003B6E11" w:rsidP="003B6E11">
      <w:pPr>
        <w:ind w:left="851"/>
        <w:rPr>
          <w:noProof/>
          <w:lang w:val="cs-CZ"/>
        </w:rPr>
      </w:pPr>
    </w:p>
    <w:p w:rsidR="003B6E11" w:rsidRPr="003B6E11" w:rsidRDefault="003B6E11" w:rsidP="003B6E11">
      <w:pPr>
        <w:spacing w:line="240" w:lineRule="atLeast"/>
        <w:ind w:left="426"/>
        <w:rPr>
          <w:noProof/>
          <w:lang w:val="cs-CZ"/>
        </w:rPr>
      </w:pPr>
      <w:r w:rsidRPr="003B6E11">
        <w:rPr>
          <w:lang w:val="cs-CZ"/>
        </w:rPr>
        <w:t xml:space="preserve">Pro účely této zkoušky musí výrobce namontovat zkušební čistírnu tak, aby odpovídala zamýšleným podmínkám montáže na osobních lodích. Před zkouškou musí výrobce palubní čistírnu odpadních vod sestavit a uvést ji do provozu. Nastartování musí být v souladu s návodem výrobce k obsluze a technická zkušebna provede jeho kontrolu. </w:t>
      </w:r>
    </w:p>
    <w:p w:rsidR="003B6E11" w:rsidRPr="003B6E11" w:rsidRDefault="003B6E11" w:rsidP="003B6E11">
      <w:pPr>
        <w:ind w:left="850" w:hanging="850"/>
        <w:rPr>
          <w:noProof/>
          <w:lang w:val="cs-CZ"/>
        </w:rPr>
      </w:pPr>
    </w:p>
    <w:p w:rsidR="003B6E11" w:rsidRPr="003B6E11" w:rsidRDefault="003B6E11" w:rsidP="003B6E11">
      <w:pPr>
        <w:ind w:left="850" w:hanging="850"/>
        <w:rPr>
          <w:noProof/>
          <w:lang w:val="cs-CZ"/>
        </w:rPr>
      </w:pPr>
      <w:r w:rsidRPr="003B6E11">
        <w:rPr>
          <w:lang w:val="cs-CZ"/>
        </w:rPr>
        <w:br w:type="page"/>
      </w:r>
    </w:p>
    <w:p w:rsidR="003B6E11" w:rsidRPr="003B6E11" w:rsidRDefault="003B6E11" w:rsidP="003B6E11">
      <w:pPr>
        <w:spacing w:line="240" w:lineRule="atLeast"/>
        <w:rPr>
          <w:rFonts w:cs="Arial"/>
          <w:noProof/>
          <w:color w:val="000000"/>
          <w:lang w:val="cs-CZ"/>
        </w:rPr>
      </w:pPr>
      <w:r w:rsidRPr="003B6E11">
        <w:rPr>
          <w:noProof/>
          <w:color w:val="000000"/>
          <w:lang w:val="cs-CZ"/>
        </w:rPr>
        <w:t>2.3</w:t>
      </w:r>
      <w:r w:rsidRPr="003B6E11">
        <w:rPr>
          <w:lang w:val="cs-CZ"/>
        </w:rPr>
        <w:tab/>
      </w:r>
      <w:r w:rsidRPr="003B6E11">
        <w:rPr>
          <w:noProof/>
          <w:color w:val="000000"/>
          <w:lang w:val="cs-CZ"/>
        </w:rPr>
        <w:t>Fáze záběhu</w:t>
      </w:r>
    </w:p>
    <w:p w:rsidR="003B6E11" w:rsidRPr="003B6E11" w:rsidRDefault="003B6E11" w:rsidP="003B6E11">
      <w:pPr>
        <w:ind w:left="851"/>
        <w:rPr>
          <w:noProof/>
          <w:lang w:val="cs-CZ"/>
        </w:rPr>
      </w:pPr>
    </w:p>
    <w:p w:rsidR="003B6E11" w:rsidRPr="003B6E11" w:rsidRDefault="003B6E11" w:rsidP="003B6E11">
      <w:pPr>
        <w:spacing w:line="240" w:lineRule="atLeast"/>
        <w:ind w:left="426"/>
        <w:rPr>
          <w:noProof/>
          <w:lang w:val="cs-CZ"/>
        </w:rPr>
      </w:pPr>
      <w:r w:rsidRPr="003B6E11">
        <w:rPr>
          <w:lang w:val="cs-CZ"/>
        </w:rPr>
        <w:t>Výrobce oznámí technické zkušebně jmenovitou dobu fáze záběhu až do spuštění normálního provozu v týdnech. Výrobce stanoví moment, kdy je fáze záběhu považována za dokončenou a lze zahájit zkoušku.</w:t>
      </w:r>
    </w:p>
    <w:p w:rsidR="003B6E11" w:rsidRPr="003B6E11" w:rsidRDefault="003B6E11" w:rsidP="003B6E11">
      <w:pPr>
        <w:ind w:left="850" w:hanging="850"/>
        <w:rPr>
          <w:noProof/>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2.4</w:t>
      </w:r>
      <w:r w:rsidRPr="003B6E11">
        <w:rPr>
          <w:lang w:val="cs-CZ"/>
        </w:rPr>
        <w:tab/>
      </w:r>
      <w:r w:rsidRPr="003B6E11">
        <w:rPr>
          <w:noProof/>
          <w:color w:val="000000"/>
          <w:lang w:val="cs-CZ"/>
        </w:rPr>
        <w:t>Vlastnosti přítoku</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t xml:space="preserve">Pro zkoušku zkušebního zařízení bude použita surová odpadní voda z domácností. Vlastnosti přítoku z hlediska koncentrace znečišťujících látek se získají z dokumentace výrobce palubní čistírny odpadních vod týkající se dimenzování v souladu s přílohou 7 oddílem II, a to tak, že se vytvoří kvocient průtoku organických látek ve formě zatížení </w:t>
      </w:r>
      <m:oMath>
        <m:sSub>
          <m:sSubPr>
            <m:ctrlPr>
              <w:rPr>
                <w:rFonts w:ascii="Cambria Math" w:hAnsi="Cambria Math"/>
                <w:i/>
                <w:noProof/>
                <w:lang w:val="cs-CZ"/>
              </w:rPr>
            </m:ctrlPr>
          </m:sSubPr>
          <m:e>
            <m:r>
              <w:rPr>
                <w:rFonts w:ascii="Cambria Math" w:hAnsi="Cambria Math"/>
                <w:noProof/>
                <w:lang w:val="cs-CZ"/>
              </w:rPr>
              <m:t>BOD</m:t>
            </m:r>
          </m:e>
          <m:sub>
            <m:r>
              <w:rPr>
                <w:rFonts w:ascii="Cambria Math" w:hAnsi="Cambria Math"/>
                <w:noProof/>
                <w:lang w:val="cs-CZ"/>
              </w:rPr>
              <m:t>5</m:t>
            </m:r>
          </m:sub>
        </m:sSub>
      </m:oMath>
      <w:r w:rsidRPr="003B6E11">
        <w:rPr>
          <w:lang w:val="cs-CZ"/>
        </w:rPr>
        <w:t xml:space="preserve"> v kg/d a konstrukčního průtoku odpadních vod </w:t>
      </w:r>
      <m:oMath>
        <m:sSub>
          <m:sSubPr>
            <m:ctrlPr>
              <w:rPr>
                <w:rFonts w:ascii="Cambria Math" w:hAnsi="Cambria Math"/>
                <w:i/>
                <w:sz w:val="18"/>
                <w:szCs w:val="18"/>
                <w:lang w:val="cs-CZ"/>
              </w:rPr>
            </m:ctrlPr>
          </m:sSubPr>
          <m:e>
            <m:r>
              <w:rPr>
                <w:rFonts w:ascii="Cambria Math" w:hAnsi="Cambria Math"/>
                <w:sz w:val="18"/>
                <w:szCs w:val="18"/>
                <w:lang w:val="cs-CZ"/>
              </w:rPr>
              <m:t>Q</m:t>
            </m:r>
          </m:e>
          <m:sub>
            <m:r>
              <w:rPr>
                <w:rFonts w:ascii="Cambria Math" w:hAnsi="Cambria Math"/>
                <w:sz w:val="18"/>
                <w:szCs w:val="18"/>
                <w:lang w:val="cs-CZ"/>
              </w:rPr>
              <m:t>d</m:t>
            </m:r>
          </m:sub>
        </m:sSub>
      </m:oMath>
      <w:r w:rsidRPr="003B6E11">
        <w:rPr>
          <w:lang w:val="cs-CZ"/>
        </w:rPr>
        <w:t xml:space="preserve"> v m³/d. Subjekt pověřený prohlídkami pak v souladu s uvedenými skutečnostmi stanoví vlastnosti přítoku.</w:t>
      </w:r>
    </w:p>
    <w:p w:rsidR="003B6E11" w:rsidRPr="003B6E11" w:rsidRDefault="003B6E11" w:rsidP="003B6E11">
      <w:pPr>
        <w:ind w:left="851"/>
        <w:rPr>
          <w:noProof/>
          <w:lang w:val="cs-CZ"/>
        </w:rPr>
      </w:pPr>
    </w:p>
    <w:p w:rsidR="003B6E11" w:rsidRPr="003B6E11" w:rsidRDefault="003B6E11" w:rsidP="003B6E11">
      <w:pPr>
        <w:spacing w:line="240" w:lineRule="atLeast"/>
        <w:ind w:left="426"/>
        <w:rPr>
          <w:noProof/>
          <w:lang w:val="cs-CZ"/>
        </w:rPr>
      </w:pPr>
      <w:r w:rsidRPr="003B6E11">
        <w:rPr>
          <w:lang w:val="cs-CZ"/>
        </w:rPr>
        <w:t>Vzorec 1 – Výpočet vlastností přítoku</w:t>
      </w:r>
    </w:p>
    <w:p w:rsidR="003B6E11" w:rsidRPr="003B6E11" w:rsidRDefault="003B6E11" w:rsidP="003B6E11">
      <w:pPr>
        <w:spacing w:line="240" w:lineRule="atLeast"/>
        <w:ind w:left="426"/>
        <w:rPr>
          <w:noProof/>
          <w:lang w:val="cs-CZ"/>
        </w:rPr>
      </w:pPr>
    </w:p>
    <w:p w:rsidR="003B6E11" w:rsidRPr="003B6E11" w:rsidRDefault="002D015D" w:rsidP="003B6E11">
      <w:pPr>
        <w:spacing w:line="240" w:lineRule="atLeast"/>
        <w:ind w:left="426"/>
        <w:rPr>
          <w:noProof/>
          <w:lang w:val="cs-CZ"/>
        </w:rPr>
      </w:pPr>
      <m:oMathPara>
        <m:oMath>
          <m:sSub>
            <m:sSubPr>
              <m:ctrlPr>
                <w:rPr>
                  <w:rFonts w:ascii="Cambria Math" w:hAnsi="Cambria Math"/>
                  <w:i/>
                  <w:noProof/>
                  <w:lang w:val="cs-CZ"/>
                </w:rPr>
              </m:ctrlPr>
            </m:sSubPr>
            <m:e>
              <m:r>
                <w:rPr>
                  <w:rFonts w:ascii="Cambria Math" w:hAnsi="Cambria Math"/>
                  <w:noProof/>
                  <w:lang w:val="cs-CZ"/>
                </w:rPr>
                <m:t>C</m:t>
              </m:r>
            </m:e>
            <m:sub>
              <m:r>
                <w:rPr>
                  <w:rFonts w:ascii="Cambria Math" w:hAnsi="Cambria Math"/>
                  <w:noProof/>
                  <w:lang w:val="cs-CZ"/>
                </w:rPr>
                <m:t>BOD5,mean</m:t>
              </m:r>
            </m:sub>
          </m:sSub>
          <m:r>
            <w:rPr>
              <w:rFonts w:ascii="Cambria Math" w:hAnsi="Cambria Math"/>
              <w:noProof/>
              <w:lang w:val="cs-CZ"/>
            </w:rPr>
            <m:t xml:space="preserve">= </m:t>
          </m:r>
          <m:f>
            <m:fPr>
              <m:ctrlPr>
                <w:rPr>
                  <w:rFonts w:ascii="Cambria Math" w:hAnsi="Cambria Math"/>
                  <w:i/>
                  <w:noProof/>
                  <w:lang w:val="cs-CZ"/>
                </w:rPr>
              </m:ctrlPr>
            </m:fPr>
            <m:num>
              <m:sSub>
                <m:sSubPr>
                  <m:ctrlPr>
                    <w:rPr>
                      <w:rFonts w:ascii="Cambria Math" w:hAnsi="Cambria Math"/>
                      <w:i/>
                      <w:noProof/>
                      <w:lang w:val="cs-CZ"/>
                    </w:rPr>
                  </m:ctrlPr>
                </m:sSubPr>
                <m:e>
                  <m:r>
                    <w:rPr>
                      <w:rFonts w:ascii="Cambria Math" w:hAnsi="Cambria Math"/>
                      <w:noProof/>
                      <w:lang w:val="cs-CZ"/>
                    </w:rPr>
                    <m:t>BOD</m:t>
                  </m:r>
                </m:e>
                <m:sub>
                  <m:r>
                    <w:rPr>
                      <w:rFonts w:ascii="Cambria Math" w:hAnsi="Cambria Math"/>
                      <w:noProof/>
                      <w:lang w:val="cs-CZ"/>
                    </w:rPr>
                    <m:t>5</m:t>
                  </m:r>
                </m:sub>
              </m:sSub>
            </m:num>
            <m:den>
              <m:sSub>
                <m:sSubPr>
                  <m:ctrlPr>
                    <w:rPr>
                      <w:rFonts w:ascii="Cambria Math" w:hAnsi="Cambria Math"/>
                      <w:i/>
                      <w:noProof/>
                      <w:lang w:val="cs-CZ"/>
                    </w:rPr>
                  </m:ctrlPr>
                </m:sSubPr>
                <m:e>
                  <m:r>
                    <w:rPr>
                      <w:rFonts w:ascii="Cambria Math" w:hAnsi="Cambria Math"/>
                      <w:noProof/>
                      <w:lang w:val="cs-CZ"/>
                    </w:rPr>
                    <m:t>Q</m:t>
                  </m:r>
                </m:e>
                <m:sub>
                  <m:r>
                    <w:rPr>
                      <w:rFonts w:ascii="Cambria Math" w:hAnsi="Cambria Math"/>
                      <w:noProof/>
                      <w:lang w:val="cs-CZ"/>
                    </w:rPr>
                    <m:t>d</m:t>
                  </m:r>
                </m:sub>
              </m:sSub>
            </m:den>
          </m:f>
          <m:r>
            <w:rPr>
              <w:rFonts w:ascii="Cambria Math" w:hAnsi="Cambria Math"/>
              <w:noProof/>
              <w:lang w:val="cs-CZ"/>
            </w:rPr>
            <m:t xml:space="preserve"> </m:t>
          </m:r>
          <m:d>
            <m:dPr>
              <m:begChr m:val="["/>
              <m:endChr m:val="]"/>
              <m:ctrlPr>
                <w:rPr>
                  <w:rFonts w:ascii="Cambria Math" w:hAnsi="Cambria Math"/>
                  <w:i/>
                  <w:noProof/>
                  <w:lang w:val="cs-CZ"/>
                </w:rPr>
              </m:ctrlPr>
            </m:dPr>
            <m:e>
              <m:f>
                <m:fPr>
                  <m:ctrlPr>
                    <w:rPr>
                      <w:rFonts w:ascii="Cambria Math" w:hAnsi="Cambria Math"/>
                      <w:i/>
                      <w:noProof/>
                      <w:lang w:val="cs-CZ"/>
                    </w:rPr>
                  </m:ctrlPr>
                </m:fPr>
                <m:num>
                  <m:r>
                    <w:rPr>
                      <w:rFonts w:ascii="Cambria Math" w:hAnsi="Cambria Math"/>
                      <w:noProof/>
                      <w:lang w:val="cs-CZ"/>
                    </w:rPr>
                    <m:t>kg/d</m:t>
                  </m:r>
                </m:num>
                <m:den>
                  <m:sSup>
                    <m:sSupPr>
                      <m:ctrlPr>
                        <w:rPr>
                          <w:rFonts w:ascii="Cambria Math" w:hAnsi="Cambria Math"/>
                          <w:i/>
                          <w:noProof/>
                          <w:lang w:val="cs-CZ"/>
                        </w:rPr>
                      </m:ctrlPr>
                    </m:sSupPr>
                    <m:e>
                      <m:r>
                        <w:rPr>
                          <w:rFonts w:ascii="Cambria Math" w:hAnsi="Cambria Math"/>
                          <w:noProof/>
                          <w:lang w:val="cs-CZ"/>
                        </w:rPr>
                        <m:t>m</m:t>
                      </m:r>
                    </m:e>
                    <m:sup>
                      <m:r>
                        <w:rPr>
                          <w:rFonts w:ascii="Cambria Math" w:hAnsi="Cambria Math"/>
                          <w:noProof/>
                          <w:lang w:val="cs-CZ"/>
                        </w:rPr>
                        <m:t>3</m:t>
                      </m:r>
                    </m:sup>
                  </m:sSup>
                  <m:r>
                    <w:rPr>
                      <w:rFonts w:ascii="Cambria Math" w:hAnsi="Cambria Math"/>
                      <w:noProof/>
                      <w:lang w:val="cs-CZ"/>
                    </w:rPr>
                    <m:t>/d</m:t>
                  </m:r>
                </m:den>
              </m:f>
            </m:e>
          </m:d>
        </m:oMath>
      </m:oMathPara>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firstLine="1"/>
        <w:rPr>
          <w:noProof/>
          <w:lang w:val="cs-CZ"/>
        </w:rPr>
      </w:pPr>
      <w:r w:rsidRPr="003B6E11">
        <w:rPr>
          <w:lang w:val="cs-CZ"/>
        </w:rPr>
        <w:t xml:space="preserve">Pokud by výsledkem výpočtu podle vzorce 1 byla průměrná koncentrace </w:t>
      </w:r>
      <m:oMath>
        <m:sSub>
          <m:sSubPr>
            <m:ctrlPr>
              <w:rPr>
                <w:rFonts w:ascii="Cambria Math" w:hAnsi="Cambria Math"/>
                <w:i/>
                <w:noProof/>
                <w:lang w:val="cs-CZ"/>
              </w:rPr>
            </m:ctrlPr>
          </m:sSubPr>
          <m:e>
            <m:r>
              <w:rPr>
                <w:rFonts w:ascii="Cambria Math" w:hAnsi="Cambria Math"/>
                <w:noProof/>
                <w:lang w:val="cs-CZ"/>
              </w:rPr>
              <m:t>BOD</m:t>
            </m:r>
          </m:e>
          <m:sub>
            <m:r>
              <w:rPr>
                <w:rFonts w:ascii="Cambria Math" w:hAnsi="Cambria Math"/>
                <w:noProof/>
                <w:lang w:val="cs-CZ"/>
              </w:rPr>
              <m:t>5</m:t>
            </m:r>
          </m:sub>
        </m:sSub>
      </m:oMath>
      <w:r w:rsidRPr="003B6E11">
        <w:rPr>
          <w:lang w:val="cs-CZ"/>
        </w:rPr>
        <w:t xml:space="preserve"> nižší než </w:t>
      </w:r>
      <m:oMath>
        <m:sSub>
          <m:sSubPr>
            <m:ctrlPr>
              <w:rPr>
                <w:rFonts w:ascii="Cambria Math" w:hAnsi="Cambria Math" w:cs="Arial"/>
                <w:i/>
                <w:color w:val="000000"/>
                <w:lang w:val="cs-CZ"/>
              </w:rPr>
            </m:ctrlPr>
          </m:sSubPr>
          <m:e>
            <m:r>
              <w:rPr>
                <w:rFonts w:ascii="Cambria Math" w:hAnsi="Cambria Math" w:cs="Arial"/>
                <w:color w:val="000000"/>
                <w:lang w:val="cs-CZ"/>
              </w:rPr>
              <m:t>C</m:t>
            </m:r>
          </m:e>
          <m:sub>
            <m:sSub>
              <m:sSubPr>
                <m:ctrlPr>
                  <w:rPr>
                    <w:rFonts w:ascii="Cambria Math" w:hAnsi="Cambria Math" w:cs="Arial"/>
                    <w:i/>
                    <w:color w:val="000000"/>
                    <w:lang w:val="cs-CZ"/>
                  </w:rPr>
                </m:ctrlPr>
              </m:sSubPr>
              <m:e>
                <m:r>
                  <w:rPr>
                    <w:rFonts w:ascii="Cambria Math" w:hAnsi="Cambria Math" w:cs="Arial"/>
                    <w:color w:val="000000"/>
                    <w:lang w:val="cs-CZ"/>
                  </w:rPr>
                  <m:t>BOD</m:t>
                </m:r>
              </m:e>
              <m:sub>
                <m:r>
                  <w:rPr>
                    <w:rFonts w:ascii="Cambria Math" w:hAnsi="Cambria Math" w:cs="Arial"/>
                    <w:color w:val="000000"/>
                    <w:lang w:val="cs-CZ"/>
                  </w:rPr>
                  <m:t>5, mean</m:t>
                </m:r>
              </m:sub>
            </m:sSub>
          </m:sub>
        </m:sSub>
        <m:r>
          <w:rPr>
            <w:rFonts w:ascii="Cambria Math" w:hAnsi="Cambria Math" w:cs="Arial"/>
            <w:color w:val="000000"/>
            <w:lang w:val="cs-CZ"/>
          </w:rPr>
          <m:t>=500 mg/l</m:t>
        </m:r>
      </m:oMath>
      <w:r w:rsidRPr="003B6E11">
        <w:rPr>
          <w:lang w:val="cs-CZ"/>
        </w:rPr>
        <w:t xml:space="preserve">, použije se minimální střední koncentrace </w:t>
      </w:r>
      <m:oMath>
        <m:sSub>
          <m:sSubPr>
            <m:ctrlPr>
              <w:rPr>
                <w:rFonts w:ascii="Cambria Math" w:hAnsi="Cambria Math"/>
                <w:i/>
                <w:noProof/>
                <w:lang w:val="cs-CZ"/>
              </w:rPr>
            </m:ctrlPr>
          </m:sSubPr>
          <m:e>
            <m:r>
              <w:rPr>
                <w:rFonts w:ascii="Cambria Math" w:hAnsi="Cambria Math"/>
                <w:noProof/>
                <w:lang w:val="cs-CZ"/>
              </w:rPr>
              <m:t>BOD</m:t>
            </m:r>
          </m:e>
          <m:sub>
            <m:r>
              <w:rPr>
                <w:rFonts w:ascii="Cambria Math" w:hAnsi="Cambria Math"/>
                <w:noProof/>
                <w:lang w:val="cs-CZ"/>
              </w:rPr>
              <m:t>5</m:t>
            </m:r>
          </m:sub>
        </m:sSub>
      </m:oMath>
      <w:r w:rsidRPr="003B6E11">
        <w:rPr>
          <w:lang w:val="cs-CZ"/>
        </w:rPr>
        <w:t xml:space="preserve"> v přítoku odpadní vody ve výši 500 mg/l.</w:t>
      </w:r>
    </w:p>
    <w:p w:rsidR="003B6E11" w:rsidRPr="003B6E11" w:rsidRDefault="003B6E11" w:rsidP="003B6E11">
      <w:pPr>
        <w:spacing w:line="240" w:lineRule="atLeast"/>
        <w:ind w:left="426"/>
        <w:rPr>
          <w:noProof/>
          <w:lang w:val="cs-CZ"/>
        </w:rPr>
      </w:pPr>
      <w:r w:rsidRPr="003B6E11">
        <w:rPr>
          <w:lang w:val="cs-CZ"/>
        </w:rPr>
        <w:t xml:space="preserve">Technická zkušebna nesmí přerušit přitékající surovou odpadní vodu v dezintegrátoru. Odstranění písku (např. pomocí lapáků) je přípustné. </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rPr>
          <w:rFonts w:cs="Arial"/>
          <w:b/>
          <w:color w:val="000000"/>
          <w:lang w:val="cs-CZ"/>
        </w:rPr>
      </w:pPr>
      <w:r w:rsidRPr="003B6E11">
        <w:rPr>
          <w:b/>
          <w:color w:val="000000"/>
          <w:lang w:val="cs-CZ"/>
        </w:rPr>
        <w:t>3.</w:t>
      </w:r>
      <w:r w:rsidRPr="003B6E11">
        <w:rPr>
          <w:lang w:val="cs-CZ"/>
        </w:rPr>
        <w:tab/>
      </w:r>
      <w:r w:rsidRPr="003B6E11">
        <w:rPr>
          <w:b/>
          <w:color w:val="000000"/>
          <w:lang w:val="cs-CZ"/>
        </w:rPr>
        <w:t>Zkušební postup</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r w:rsidRPr="003B6E11">
        <w:rPr>
          <w:color w:val="000000"/>
          <w:lang w:val="cs-CZ"/>
        </w:rPr>
        <w:t>3.1</w:t>
      </w:r>
      <w:r w:rsidRPr="003B6E11">
        <w:rPr>
          <w:lang w:val="cs-CZ"/>
        </w:rPr>
        <w:tab/>
      </w:r>
      <w:r w:rsidRPr="003B6E11">
        <w:rPr>
          <w:color w:val="000000"/>
          <w:lang w:val="cs-CZ"/>
        </w:rPr>
        <w:t>Fáze zatížení a hydraulický přívod</w:t>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ind w:left="426"/>
        <w:rPr>
          <w:noProof/>
          <w:lang w:val="cs-CZ"/>
        </w:rPr>
      </w:pPr>
      <w:r w:rsidRPr="003B6E11">
        <w:rPr>
          <w:lang w:val="cs-CZ"/>
        </w:rPr>
        <w:t>Zkušební období trvá 30 zkušebních dnů. Do zkušební čistírny na zkušebním poli se přivádí odpadní voda z domácností v souladu se zatížením podle tabulky 1. Zkouška bude zahrnovat několik různých fází zatížení, přičemž zkušební sekvence zohlední fáze normálního zatížení a fáze zvláštního zatížení, jako je přetížení, nevytíženost a pohotovostní režim. Doba trvání každé fáze zatížení (počet zkušebních dnů) je uvedena v tabulce 1. Střední denní hydraulické zatížení u každé fáze zatížení se stanoví v souladu s tabulkou 1. Střední hodnota koncentrace znečišťujících látek, která se stanoví v souladu s bodem 2.4, musí být udržována na konstantní úrovni.</w:t>
      </w:r>
    </w:p>
    <w:p w:rsidR="003B6E11" w:rsidRPr="003B6E11" w:rsidRDefault="003B6E11" w:rsidP="003B6E11">
      <w:pPr>
        <w:spacing w:line="240" w:lineRule="atLeast"/>
        <w:rPr>
          <w:rFonts w:cs="Arial"/>
          <w:color w:val="000000"/>
          <w:lang w:val="cs-CZ"/>
        </w:rPr>
      </w:pPr>
    </w:p>
    <w:p w:rsidR="003B6E11" w:rsidRPr="003B6E11" w:rsidRDefault="003B6E11" w:rsidP="003B6E11">
      <w:pPr>
        <w:tabs>
          <w:tab w:val="left" w:pos="1276"/>
        </w:tabs>
        <w:spacing w:line="240" w:lineRule="atLeast"/>
        <w:ind w:left="426"/>
        <w:rPr>
          <w:lang w:val="cs-CZ"/>
        </w:rPr>
      </w:pPr>
      <w:r w:rsidRPr="003B6E11">
        <w:rPr>
          <w:lang w:val="cs-CZ"/>
        </w:rPr>
        <w:t>Tabulka 1:</w:t>
      </w:r>
      <w:r w:rsidRPr="003B6E11">
        <w:rPr>
          <w:lang w:val="cs-CZ"/>
        </w:rPr>
        <w:tab/>
        <w:t>Nastavení zatížení u jednotlivých fází zatížení</w:t>
      </w:r>
    </w:p>
    <w:p w:rsidR="003B6E11" w:rsidRPr="003B6E11" w:rsidRDefault="003B6E11" w:rsidP="003B6E11">
      <w:pPr>
        <w:tabs>
          <w:tab w:val="left" w:pos="1418"/>
        </w:tabs>
        <w:suppressAutoHyphens/>
        <w:spacing w:line="240" w:lineRule="atLeast"/>
        <w:ind w:left="709" w:hanging="709"/>
        <w:rPr>
          <w:rFonts w:cs="Arial"/>
          <w:szCs w:val="20"/>
          <w:lang w:val="cs-CZ"/>
        </w:rPr>
      </w:pPr>
    </w:p>
    <w:tbl>
      <w:tblPr>
        <w:tblW w:w="0" w:type="auto"/>
        <w:jc w:val="center"/>
        <w:tblLayout w:type="fixed"/>
        <w:tblLook w:val="0000" w:firstRow="0" w:lastRow="0" w:firstColumn="0" w:lastColumn="0" w:noHBand="0" w:noVBand="0"/>
      </w:tblPr>
      <w:tblGrid>
        <w:gridCol w:w="1418"/>
        <w:gridCol w:w="1134"/>
        <w:gridCol w:w="2268"/>
        <w:gridCol w:w="3345"/>
      </w:tblGrid>
      <w:tr w:rsidR="003B6E11" w:rsidRPr="003B6E11" w:rsidTr="002D015D">
        <w:trPr>
          <w:jc w:val="center"/>
        </w:trPr>
        <w:tc>
          <w:tcPr>
            <w:tcW w:w="1418" w:type="dxa"/>
            <w:tcBorders>
              <w:top w:val="single" w:sz="4" w:space="0" w:color="000000"/>
              <w:left w:val="single" w:sz="4" w:space="0" w:color="000000"/>
              <w:bottom w:val="single" w:sz="4" w:space="0" w:color="000000"/>
            </w:tcBorders>
            <w:shd w:val="clear" w:color="auto" w:fill="auto"/>
          </w:tcPr>
          <w:p w:rsidR="003B6E11" w:rsidRPr="003B6E11" w:rsidRDefault="003B6E11" w:rsidP="002D015D">
            <w:pPr>
              <w:spacing w:before="60" w:after="60" w:line="240" w:lineRule="atLeast"/>
              <w:jc w:val="center"/>
              <w:rPr>
                <w:sz w:val="18"/>
                <w:szCs w:val="18"/>
                <w:lang w:val="cs-CZ"/>
              </w:rPr>
            </w:pPr>
            <w:r w:rsidRPr="003B6E11">
              <w:rPr>
                <w:sz w:val="18"/>
                <w:lang w:val="cs-CZ"/>
              </w:rPr>
              <w:t>Fáze</w:t>
            </w:r>
          </w:p>
        </w:tc>
        <w:tc>
          <w:tcPr>
            <w:tcW w:w="1134" w:type="dxa"/>
            <w:tcBorders>
              <w:top w:val="single" w:sz="4" w:space="0" w:color="000000"/>
              <w:left w:val="single" w:sz="4" w:space="0" w:color="000000"/>
              <w:bottom w:val="single" w:sz="4" w:space="0" w:color="000000"/>
            </w:tcBorders>
          </w:tcPr>
          <w:p w:rsidR="003B6E11" w:rsidRPr="003B6E11" w:rsidRDefault="003B6E11" w:rsidP="002D015D">
            <w:pPr>
              <w:spacing w:before="60" w:after="60" w:line="240" w:lineRule="atLeast"/>
              <w:jc w:val="center"/>
              <w:rPr>
                <w:sz w:val="18"/>
                <w:szCs w:val="18"/>
                <w:lang w:val="cs-CZ"/>
              </w:rPr>
            </w:pPr>
            <w:r w:rsidRPr="003B6E11">
              <w:rPr>
                <w:sz w:val="18"/>
                <w:lang w:val="cs-CZ"/>
              </w:rPr>
              <w:t>Počet zkušebních dnů</w:t>
            </w:r>
          </w:p>
        </w:tc>
        <w:tc>
          <w:tcPr>
            <w:tcW w:w="2268" w:type="dxa"/>
            <w:tcBorders>
              <w:top w:val="single" w:sz="4" w:space="0" w:color="000000"/>
              <w:left w:val="single" w:sz="4" w:space="0" w:color="000000"/>
              <w:bottom w:val="single" w:sz="4" w:space="0" w:color="000000"/>
            </w:tcBorders>
          </w:tcPr>
          <w:p w:rsidR="003B6E11" w:rsidRPr="003B6E11" w:rsidRDefault="003B6E11" w:rsidP="002D015D">
            <w:pPr>
              <w:spacing w:before="60" w:after="60" w:line="240" w:lineRule="atLeast"/>
              <w:jc w:val="center"/>
              <w:rPr>
                <w:sz w:val="18"/>
                <w:szCs w:val="18"/>
                <w:lang w:val="cs-CZ"/>
              </w:rPr>
            </w:pPr>
            <w:r w:rsidRPr="003B6E11">
              <w:rPr>
                <w:sz w:val="18"/>
                <w:lang w:val="cs-CZ"/>
              </w:rPr>
              <w:t>Denní hydraulické zatížení</w:t>
            </w:r>
          </w:p>
        </w:tc>
        <w:tc>
          <w:tcPr>
            <w:tcW w:w="3345" w:type="dxa"/>
            <w:tcBorders>
              <w:top w:val="single" w:sz="4" w:space="0" w:color="000000"/>
              <w:left w:val="single" w:sz="4" w:space="0" w:color="000000"/>
              <w:bottom w:val="single" w:sz="4" w:space="0" w:color="000000"/>
              <w:right w:val="single" w:sz="4" w:space="0" w:color="000000"/>
            </w:tcBorders>
          </w:tcPr>
          <w:p w:rsidR="003B6E11" w:rsidRPr="003B6E11" w:rsidRDefault="003B6E11" w:rsidP="002D015D">
            <w:pPr>
              <w:spacing w:before="60" w:after="60" w:line="240" w:lineRule="atLeast"/>
              <w:jc w:val="center"/>
              <w:rPr>
                <w:sz w:val="18"/>
                <w:szCs w:val="18"/>
                <w:lang w:val="cs-CZ"/>
              </w:rPr>
            </w:pPr>
            <w:r w:rsidRPr="003B6E11">
              <w:rPr>
                <w:sz w:val="18"/>
                <w:lang w:val="cs-CZ"/>
              </w:rPr>
              <w:t>Koncentrace znečišťujících látek</w:t>
            </w:r>
          </w:p>
        </w:tc>
      </w:tr>
      <w:tr w:rsidR="003B6E11" w:rsidRPr="003B6E11" w:rsidTr="002D015D">
        <w:trPr>
          <w:jc w:val="center"/>
        </w:trPr>
        <w:tc>
          <w:tcPr>
            <w:tcW w:w="1418" w:type="dxa"/>
            <w:tcBorders>
              <w:top w:val="single" w:sz="4" w:space="0" w:color="000000"/>
              <w:left w:val="single" w:sz="4" w:space="0" w:color="000000"/>
              <w:bottom w:val="single" w:sz="4" w:space="0" w:color="000000"/>
            </w:tcBorders>
          </w:tcPr>
          <w:p w:rsidR="003B6E11" w:rsidRPr="003B6E11" w:rsidRDefault="003B6E11" w:rsidP="002D015D">
            <w:pPr>
              <w:spacing w:before="60" w:after="60" w:line="240" w:lineRule="atLeast"/>
              <w:rPr>
                <w:sz w:val="18"/>
                <w:szCs w:val="18"/>
                <w:lang w:val="cs-CZ"/>
              </w:rPr>
            </w:pPr>
            <w:r w:rsidRPr="003B6E11">
              <w:rPr>
                <w:sz w:val="18"/>
                <w:lang w:val="cs-CZ"/>
              </w:rPr>
              <w:t>Normální zatížení</w:t>
            </w:r>
          </w:p>
        </w:tc>
        <w:tc>
          <w:tcPr>
            <w:tcW w:w="1134" w:type="dxa"/>
            <w:tcBorders>
              <w:top w:val="single" w:sz="4" w:space="0" w:color="000000"/>
              <w:left w:val="single" w:sz="4" w:space="0" w:color="000000"/>
              <w:bottom w:val="single" w:sz="4" w:space="0" w:color="000000"/>
            </w:tcBorders>
          </w:tcPr>
          <w:p w:rsidR="003B6E11" w:rsidRPr="003B6E11" w:rsidRDefault="003B6E11" w:rsidP="002D015D">
            <w:pPr>
              <w:spacing w:before="60" w:after="60" w:line="240" w:lineRule="atLeast"/>
              <w:rPr>
                <w:sz w:val="18"/>
                <w:szCs w:val="18"/>
                <w:lang w:val="cs-CZ"/>
              </w:rPr>
            </w:pPr>
            <w:r w:rsidRPr="003B6E11">
              <w:rPr>
                <w:sz w:val="18"/>
                <w:lang w:val="cs-CZ"/>
              </w:rPr>
              <w:t>20 dní</w:t>
            </w:r>
          </w:p>
        </w:tc>
        <w:tc>
          <w:tcPr>
            <w:tcW w:w="2268" w:type="dxa"/>
            <w:tcBorders>
              <w:top w:val="single" w:sz="4" w:space="0" w:color="000000"/>
              <w:left w:val="single" w:sz="4" w:space="0" w:color="000000"/>
              <w:bottom w:val="single" w:sz="4" w:space="0" w:color="000000"/>
            </w:tcBorders>
          </w:tcPr>
          <w:p w:rsidR="003B6E11" w:rsidRPr="003B6E11" w:rsidRDefault="002D015D" w:rsidP="002D015D">
            <w:pPr>
              <w:spacing w:before="60" w:after="60" w:line="240" w:lineRule="atLeast"/>
              <w:rPr>
                <w:sz w:val="18"/>
                <w:szCs w:val="18"/>
                <w:lang w:val="cs-CZ"/>
              </w:rPr>
            </w:pPr>
            <m:oMathPara>
              <m:oMath>
                <m:sSub>
                  <m:sSubPr>
                    <m:ctrlPr>
                      <w:rPr>
                        <w:rFonts w:ascii="Cambria Math" w:hAnsi="Cambria Math"/>
                        <w:i/>
                        <w:sz w:val="18"/>
                        <w:szCs w:val="18"/>
                        <w:lang w:val="cs-CZ"/>
                      </w:rPr>
                    </m:ctrlPr>
                  </m:sSubPr>
                  <m:e>
                    <m:r>
                      <w:rPr>
                        <w:rFonts w:ascii="Cambria Math" w:hAnsi="Cambria Math"/>
                        <w:sz w:val="18"/>
                        <w:szCs w:val="18"/>
                        <w:lang w:val="cs-CZ"/>
                      </w:rPr>
                      <m:t>Q</m:t>
                    </m:r>
                  </m:e>
                  <m:sub>
                    <m:r>
                      <w:rPr>
                        <w:rFonts w:ascii="Cambria Math" w:hAnsi="Cambria Math"/>
                        <w:sz w:val="18"/>
                        <w:szCs w:val="18"/>
                        <w:lang w:val="cs-CZ"/>
                      </w:rPr>
                      <m:t>d</m:t>
                    </m:r>
                  </m:sub>
                </m:sSub>
              </m:oMath>
            </m:oMathPara>
          </w:p>
        </w:tc>
        <w:tc>
          <w:tcPr>
            <w:tcW w:w="3345" w:type="dxa"/>
            <w:tcBorders>
              <w:top w:val="single" w:sz="4" w:space="0" w:color="000000"/>
              <w:left w:val="single" w:sz="4" w:space="0" w:color="000000"/>
              <w:bottom w:val="single" w:sz="4" w:space="0" w:color="000000"/>
              <w:right w:val="single" w:sz="4" w:space="0" w:color="000000"/>
            </w:tcBorders>
            <w:shd w:val="clear" w:color="auto" w:fill="auto"/>
          </w:tcPr>
          <w:p w:rsidR="003B6E11" w:rsidRPr="003B6E11" w:rsidRDefault="002D015D" w:rsidP="002D015D">
            <w:pPr>
              <w:spacing w:before="60" w:after="60" w:line="240" w:lineRule="atLeast"/>
              <w:rPr>
                <w:sz w:val="18"/>
                <w:szCs w:val="18"/>
                <w:lang w:val="cs-CZ"/>
              </w:rPr>
            </w:pPr>
            <m:oMath>
              <m:sSub>
                <m:sSubPr>
                  <m:ctrlPr>
                    <w:rPr>
                      <w:rFonts w:ascii="Cambria Math" w:hAnsi="Cambria Math" w:cs="Arial"/>
                      <w:i/>
                      <w:sz w:val="18"/>
                      <w:szCs w:val="20"/>
                      <w:lang w:val="cs-CZ"/>
                    </w:rPr>
                  </m:ctrlPr>
                </m:sSubPr>
                <m:e>
                  <m:r>
                    <w:rPr>
                      <w:rFonts w:ascii="Cambria Math" w:hAnsi="Cambria Math" w:cs="Arial"/>
                      <w:sz w:val="18"/>
                      <w:szCs w:val="20"/>
                      <w:lang w:val="cs-CZ"/>
                    </w:rPr>
                    <m:t>C</m:t>
                  </m:r>
                </m:e>
                <m:sub>
                  <m:sSub>
                    <m:sSubPr>
                      <m:ctrlPr>
                        <w:rPr>
                          <w:rFonts w:ascii="Cambria Math" w:hAnsi="Cambria Math" w:cs="Arial"/>
                          <w:i/>
                          <w:sz w:val="18"/>
                          <w:szCs w:val="20"/>
                          <w:lang w:val="cs-CZ"/>
                        </w:rPr>
                      </m:ctrlPr>
                    </m:sSubPr>
                    <m:e>
                      <m:r>
                        <w:rPr>
                          <w:rFonts w:ascii="Cambria Math" w:hAnsi="Cambria Math" w:cs="Arial"/>
                          <w:sz w:val="18"/>
                          <w:szCs w:val="20"/>
                          <w:lang w:val="cs-CZ"/>
                        </w:rPr>
                        <m:t>BOD</m:t>
                      </m:r>
                    </m:e>
                    <m:sub>
                      <m:r>
                        <w:rPr>
                          <w:rFonts w:ascii="Cambria Math" w:hAnsi="Cambria Math" w:cs="Arial"/>
                          <w:sz w:val="18"/>
                          <w:szCs w:val="20"/>
                          <w:lang w:val="cs-CZ"/>
                        </w:rPr>
                        <m:t>5</m:t>
                      </m:r>
                    </m:sub>
                  </m:sSub>
                </m:sub>
              </m:sSub>
            </m:oMath>
            <w:r w:rsidR="003B6E11" w:rsidRPr="003B6E11">
              <w:rPr>
                <w:sz w:val="18"/>
                <w:lang w:val="cs-CZ"/>
              </w:rPr>
              <w:t xml:space="preserve"> podle bodu 2.4</w:t>
            </w:r>
          </w:p>
        </w:tc>
      </w:tr>
      <w:tr w:rsidR="003B6E11" w:rsidRPr="003B6E11" w:rsidTr="002D015D">
        <w:trPr>
          <w:jc w:val="center"/>
        </w:trPr>
        <w:tc>
          <w:tcPr>
            <w:tcW w:w="1418" w:type="dxa"/>
            <w:tcBorders>
              <w:top w:val="single" w:sz="4" w:space="0" w:color="000000"/>
              <w:left w:val="single" w:sz="4" w:space="0" w:color="000000"/>
              <w:bottom w:val="single" w:sz="4" w:space="0" w:color="000000"/>
            </w:tcBorders>
          </w:tcPr>
          <w:p w:rsidR="003B6E11" w:rsidRPr="003B6E11" w:rsidRDefault="003B6E11" w:rsidP="002D015D">
            <w:pPr>
              <w:spacing w:before="60" w:after="60" w:line="240" w:lineRule="atLeast"/>
              <w:rPr>
                <w:sz w:val="18"/>
                <w:szCs w:val="18"/>
                <w:lang w:val="cs-CZ"/>
              </w:rPr>
            </w:pPr>
            <w:r w:rsidRPr="003B6E11">
              <w:rPr>
                <w:sz w:val="18"/>
                <w:lang w:val="cs-CZ"/>
              </w:rPr>
              <w:t>Přetížení</w:t>
            </w:r>
          </w:p>
        </w:tc>
        <w:tc>
          <w:tcPr>
            <w:tcW w:w="1134" w:type="dxa"/>
            <w:tcBorders>
              <w:top w:val="single" w:sz="4" w:space="0" w:color="000000"/>
              <w:left w:val="single" w:sz="4" w:space="0" w:color="000000"/>
              <w:bottom w:val="single" w:sz="4" w:space="0" w:color="000000"/>
            </w:tcBorders>
          </w:tcPr>
          <w:p w:rsidR="003B6E11" w:rsidRPr="003B6E11" w:rsidRDefault="003B6E11" w:rsidP="002D015D">
            <w:pPr>
              <w:spacing w:before="60" w:after="60" w:line="240" w:lineRule="atLeast"/>
              <w:rPr>
                <w:sz w:val="18"/>
                <w:szCs w:val="18"/>
                <w:lang w:val="cs-CZ"/>
              </w:rPr>
            </w:pPr>
            <w:r w:rsidRPr="003B6E11">
              <w:rPr>
                <w:sz w:val="18"/>
                <w:lang w:val="cs-CZ"/>
              </w:rPr>
              <w:t>3 dny</w:t>
            </w:r>
          </w:p>
        </w:tc>
        <w:tc>
          <w:tcPr>
            <w:tcW w:w="2268" w:type="dxa"/>
            <w:tcBorders>
              <w:top w:val="single" w:sz="4" w:space="0" w:color="000000"/>
              <w:left w:val="single" w:sz="4" w:space="0" w:color="000000"/>
              <w:bottom w:val="single" w:sz="4" w:space="0" w:color="000000"/>
            </w:tcBorders>
          </w:tcPr>
          <w:p w:rsidR="003B6E11" w:rsidRPr="003B6E11" w:rsidRDefault="002D015D" w:rsidP="002D015D">
            <w:pPr>
              <w:spacing w:before="60" w:after="60" w:line="240" w:lineRule="atLeast"/>
              <w:rPr>
                <w:sz w:val="18"/>
                <w:szCs w:val="18"/>
                <w:lang w:val="cs-CZ"/>
              </w:rPr>
            </w:pPr>
            <m:oMathPara>
              <m:oMath>
                <m:sSub>
                  <m:sSubPr>
                    <m:ctrlPr>
                      <w:rPr>
                        <w:rFonts w:ascii="Cambria Math" w:hAnsi="Cambria Math"/>
                        <w:i/>
                        <w:sz w:val="18"/>
                        <w:szCs w:val="18"/>
                        <w:lang w:val="cs-CZ"/>
                      </w:rPr>
                    </m:ctrlPr>
                  </m:sSubPr>
                  <m:e>
                    <m:r>
                      <w:rPr>
                        <w:rFonts w:ascii="Cambria Math" w:hAnsi="Cambria Math"/>
                        <w:sz w:val="18"/>
                        <w:szCs w:val="18"/>
                        <w:lang w:val="cs-CZ"/>
                      </w:rPr>
                      <m:t>1,25 Q</m:t>
                    </m:r>
                  </m:e>
                  <m:sub>
                    <m:r>
                      <w:rPr>
                        <w:rFonts w:ascii="Cambria Math" w:hAnsi="Cambria Math"/>
                        <w:sz w:val="18"/>
                        <w:szCs w:val="18"/>
                        <w:lang w:val="cs-CZ"/>
                      </w:rPr>
                      <m:t>d</m:t>
                    </m:r>
                  </m:sub>
                </m:sSub>
              </m:oMath>
            </m:oMathPara>
          </w:p>
        </w:tc>
        <w:tc>
          <w:tcPr>
            <w:tcW w:w="3345" w:type="dxa"/>
            <w:tcBorders>
              <w:top w:val="single" w:sz="4" w:space="0" w:color="000000"/>
              <w:left w:val="single" w:sz="4" w:space="0" w:color="000000"/>
              <w:bottom w:val="single" w:sz="4" w:space="0" w:color="000000"/>
              <w:right w:val="single" w:sz="4" w:space="0" w:color="000000"/>
            </w:tcBorders>
          </w:tcPr>
          <w:p w:rsidR="003B6E11" w:rsidRPr="003B6E11" w:rsidRDefault="002D015D" w:rsidP="002D015D">
            <w:pPr>
              <w:spacing w:before="60" w:after="60" w:line="240" w:lineRule="atLeast"/>
              <w:rPr>
                <w:sz w:val="18"/>
                <w:szCs w:val="18"/>
                <w:lang w:val="cs-CZ"/>
              </w:rPr>
            </w:pPr>
            <m:oMath>
              <m:sSub>
                <m:sSubPr>
                  <m:ctrlPr>
                    <w:rPr>
                      <w:rFonts w:ascii="Cambria Math" w:hAnsi="Cambria Math" w:cs="Arial"/>
                      <w:i/>
                      <w:sz w:val="18"/>
                      <w:szCs w:val="20"/>
                      <w:lang w:val="cs-CZ"/>
                    </w:rPr>
                  </m:ctrlPr>
                </m:sSubPr>
                <m:e>
                  <m:r>
                    <w:rPr>
                      <w:rFonts w:ascii="Cambria Math" w:hAnsi="Cambria Math" w:cs="Arial"/>
                      <w:sz w:val="18"/>
                      <w:szCs w:val="20"/>
                      <w:lang w:val="cs-CZ"/>
                    </w:rPr>
                    <m:t>C</m:t>
                  </m:r>
                </m:e>
                <m:sub>
                  <m:sSub>
                    <m:sSubPr>
                      <m:ctrlPr>
                        <w:rPr>
                          <w:rFonts w:ascii="Cambria Math" w:hAnsi="Cambria Math" w:cs="Arial"/>
                          <w:i/>
                          <w:sz w:val="18"/>
                          <w:szCs w:val="20"/>
                          <w:lang w:val="cs-CZ"/>
                        </w:rPr>
                      </m:ctrlPr>
                    </m:sSubPr>
                    <m:e>
                      <m:r>
                        <w:rPr>
                          <w:rFonts w:ascii="Cambria Math" w:hAnsi="Cambria Math" w:cs="Arial"/>
                          <w:sz w:val="18"/>
                          <w:szCs w:val="20"/>
                          <w:lang w:val="cs-CZ"/>
                        </w:rPr>
                        <m:t>BOD</m:t>
                      </m:r>
                    </m:e>
                    <m:sub>
                      <m:r>
                        <w:rPr>
                          <w:rFonts w:ascii="Cambria Math" w:hAnsi="Cambria Math" w:cs="Arial"/>
                          <w:sz w:val="18"/>
                          <w:szCs w:val="20"/>
                          <w:lang w:val="cs-CZ"/>
                        </w:rPr>
                        <m:t>5</m:t>
                      </m:r>
                    </m:sub>
                  </m:sSub>
                </m:sub>
              </m:sSub>
            </m:oMath>
            <w:r w:rsidR="003B6E11" w:rsidRPr="003B6E11">
              <w:rPr>
                <w:sz w:val="18"/>
                <w:lang w:val="cs-CZ"/>
              </w:rPr>
              <w:t xml:space="preserve"> podle bodu 2.4</w:t>
            </w:r>
          </w:p>
        </w:tc>
      </w:tr>
      <w:tr w:rsidR="003B6E11" w:rsidRPr="003B6E11" w:rsidTr="002D015D">
        <w:trPr>
          <w:jc w:val="center"/>
        </w:trPr>
        <w:tc>
          <w:tcPr>
            <w:tcW w:w="1418" w:type="dxa"/>
            <w:tcBorders>
              <w:top w:val="single" w:sz="4" w:space="0" w:color="000000"/>
              <w:left w:val="single" w:sz="4" w:space="0" w:color="000000"/>
              <w:bottom w:val="single" w:sz="4" w:space="0" w:color="000000"/>
            </w:tcBorders>
          </w:tcPr>
          <w:p w:rsidR="003B6E11" w:rsidRPr="003B6E11" w:rsidRDefault="003B6E11" w:rsidP="002D015D">
            <w:pPr>
              <w:spacing w:before="60" w:after="60" w:line="240" w:lineRule="atLeast"/>
              <w:rPr>
                <w:sz w:val="18"/>
                <w:szCs w:val="18"/>
                <w:lang w:val="cs-CZ"/>
              </w:rPr>
            </w:pPr>
            <w:r w:rsidRPr="003B6E11">
              <w:rPr>
                <w:sz w:val="18"/>
                <w:lang w:val="cs-CZ"/>
              </w:rPr>
              <w:t>Nevytíženost</w:t>
            </w:r>
          </w:p>
        </w:tc>
        <w:tc>
          <w:tcPr>
            <w:tcW w:w="1134" w:type="dxa"/>
            <w:tcBorders>
              <w:top w:val="single" w:sz="4" w:space="0" w:color="000000"/>
              <w:left w:val="single" w:sz="4" w:space="0" w:color="000000"/>
              <w:bottom w:val="single" w:sz="4" w:space="0" w:color="000000"/>
            </w:tcBorders>
          </w:tcPr>
          <w:p w:rsidR="003B6E11" w:rsidRPr="003B6E11" w:rsidRDefault="003B6E11" w:rsidP="002D015D">
            <w:pPr>
              <w:spacing w:before="60" w:after="60" w:line="240" w:lineRule="atLeast"/>
              <w:rPr>
                <w:sz w:val="18"/>
                <w:szCs w:val="18"/>
                <w:lang w:val="cs-CZ"/>
              </w:rPr>
            </w:pPr>
            <w:r w:rsidRPr="003B6E11">
              <w:rPr>
                <w:sz w:val="18"/>
                <w:lang w:val="cs-CZ"/>
              </w:rPr>
              <w:t>3 dny</w:t>
            </w:r>
          </w:p>
        </w:tc>
        <w:tc>
          <w:tcPr>
            <w:tcW w:w="2268" w:type="dxa"/>
            <w:tcBorders>
              <w:top w:val="single" w:sz="4" w:space="0" w:color="000000"/>
              <w:left w:val="single" w:sz="4" w:space="0" w:color="000000"/>
              <w:bottom w:val="single" w:sz="4" w:space="0" w:color="000000"/>
            </w:tcBorders>
          </w:tcPr>
          <w:p w:rsidR="003B6E11" w:rsidRPr="003B6E11" w:rsidRDefault="002D015D" w:rsidP="002D015D">
            <w:pPr>
              <w:spacing w:before="60" w:after="60" w:line="240" w:lineRule="atLeast"/>
              <w:rPr>
                <w:sz w:val="18"/>
                <w:szCs w:val="18"/>
                <w:lang w:val="cs-CZ"/>
              </w:rPr>
            </w:pPr>
            <m:oMathPara>
              <m:oMath>
                <m:sSub>
                  <m:sSubPr>
                    <m:ctrlPr>
                      <w:rPr>
                        <w:rFonts w:ascii="Cambria Math" w:hAnsi="Cambria Math"/>
                        <w:i/>
                        <w:sz w:val="18"/>
                        <w:szCs w:val="18"/>
                        <w:lang w:val="cs-CZ"/>
                      </w:rPr>
                    </m:ctrlPr>
                  </m:sSubPr>
                  <m:e>
                    <m:r>
                      <w:rPr>
                        <w:rFonts w:ascii="Cambria Math" w:hAnsi="Cambria Math"/>
                        <w:sz w:val="18"/>
                        <w:szCs w:val="18"/>
                        <w:lang w:val="cs-CZ"/>
                      </w:rPr>
                      <m:t>0,5 Q</m:t>
                    </m:r>
                  </m:e>
                  <m:sub>
                    <m:r>
                      <w:rPr>
                        <w:rFonts w:ascii="Cambria Math" w:hAnsi="Cambria Math"/>
                        <w:sz w:val="18"/>
                        <w:szCs w:val="18"/>
                        <w:lang w:val="cs-CZ"/>
                      </w:rPr>
                      <m:t>d</m:t>
                    </m:r>
                  </m:sub>
                </m:sSub>
              </m:oMath>
            </m:oMathPara>
          </w:p>
        </w:tc>
        <w:tc>
          <w:tcPr>
            <w:tcW w:w="3345" w:type="dxa"/>
            <w:tcBorders>
              <w:top w:val="single" w:sz="4" w:space="0" w:color="000000"/>
              <w:left w:val="single" w:sz="4" w:space="0" w:color="000000"/>
              <w:bottom w:val="single" w:sz="4" w:space="0" w:color="000000"/>
              <w:right w:val="single" w:sz="4" w:space="0" w:color="000000"/>
            </w:tcBorders>
          </w:tcPr>
          <w:p w:rsidR="003B6E11" w:rsidRPr="003B6E11" w:rsidRDefault="002D015D" w:rsidP="002D015D">
            <w:pPr>
              <w:spacing w:before="60" w:after="60" w:line="240" w:lineRule="atLeast"/>
              <w:rPr>
                <w:sz w:val="18"/>
                <w:szCs w:val="18"/>
                <w:lang w:val="cs-CZ"/>
              </w:rPr>
            </w:pPr>
            <m:oMath>
              <m:sSub>
                <m:sSubPr>
                  <m:ctrlPr>
                    <w:rPr>
                      <w:rFonts w:ascii="Cambria Math" w:hAnsi="Cambria Math" w:cs="Arial"/>
                      <w:i/>
                      <w:sz w:val="18"/>
                      <w:szCs w:val="20"/>
                      <w:lang w:val="cs-CZ"/>
                    </w:rPr>
                  </m:ctrlPr>
                </m:sSubPr>
                <m:e>
                  <m:r>
                    <w:rPr>
                      <w:rFonts w:ascii="Cambria Math" w:hAnsi="Cambria Math" w:cs="Arial"/>
                      <w:sz w:val="18"/>
                      <w:szCs w:val="20"/>
                      <w:lang w:val="cs-CZ"/>
                    </w:rPr>
                    <m:t>C</m:t>
                  </m:r>
                </m:e>
                <m:sub>
                  <m:sSub>
                    <m:sSubPr>
                      <m:ctrlPr>
                        <w:rPr>
                          <w:rFonts w:ascii="Cambria Math" w:hAnsi="Cambria Math" w:cs="Arial"/>
                          <w:i/>
                          <w:sz w:val="18"/>
                          <w:szCs w:val="20"/>
                          <w:lang w:val="cs-CZ"/>
                        </w:rPr>
                      </m:ctrlPr>
                    </m:sSubPr>
                    <m:e>
                      <m:r>
                        <w:rPr>
                          <w:rFonts w:ascii="Cambria Math" w:hAnsi="Cambria Math" w:cs="Arial"/>
                          <w:sz w:val="18"/>
                          <w:szCs w:val="20"/>
                          <w:lang w:val="cs-CZ"/>
                        </w:rPr>
                        <m:t>BOD</m:t>
                      </m:r>
                    </m:e>
                    <m:sub>
                      <m:r>
                        <w:rPr>
                          <w:rFonts w:ascii="Cambria Math" w:hAnsi="Cambria Math" w:cs="Arial"/>
                          <w:sz w:val="18"/>
                          <w:szCs w:val="20"/>
                          <w:lang w:val="cs-CZ"/>
                        </w:rPr>
                        <m:t>5</m:t>
                      </m:r>
                    </m:sub>
                  </m:sSub>
                </m:sub>
              </m:sSub>
            </m:oMath>
            <w:r w:rsidR="003B6E11" w:rsidRPr="003B6E11">
              <w:rPr>
                <w:sz w:val="18"/>
                <w:lang w:val="cs-CZ"/>
              </w:rPr>
              <w:t xml:space="preserve"> podle bodu 2.4</w:t>
            </w:r>
          </w:p>
        </w:tc>
      </w:tr>
      <w:tr w:rsidR="003B6E11" w:rsidRPr="003B6E11" w:rsidTr="002D015D">
        <w:trPr>
          <w:jc w:val="center"/>
        </w:trPr>
        <w:tc>
          <w:tcPr>
            <w:tcW w:w="1418" w:type="dxa"/>
            <w:tcBorders>
              <w:top w:val="single" w:sz="4" w:space="0" w:color="000000"/>
              <w:left w:val="single" w:sz="4" w:space="0" w:color="000000"/>
              <w:bottom w:val="single" w:sz="4" w:space="0" w:color="000000"/>
            </w:tcBorders>
          </w:tcPr>
          <w:p w:rsidR="003B6E11" w:rsidRPr="003B6E11" w:rsidRDefault="003B6E11" w:rsidP="002D015D">
            <w:pPr>
              <w:spacing w:before="60" w:after="60" w:line="240" w:lineRule="atLeast"/>
              <w:rPr>
                <w:sz w:val="18"/>
                <w:szCs w:val="18"/>
                <w:lang w:val="cs-CZ"/>
              </w:rPr>
            </w:pPr>
            <w:r w:rsidRPr="003B6E11">
              <w:rPr>
                <w:sz w:val="18"/>
                <w:lang w:val="cs-CZ"/>
              </w:rPr>
              <w:t>Pohotovostní režim</w:t>
            </w:r>
          </w:p>
        </w:tc>
        <w:tc>
          <w:tcPr>
            <w:tcW w:w="1134" w:type="dxa"/>
            <w:tcBorders>
              <w:top w:val="single" w:sz="4" w:space="0" w:color="000000"/>
              <w:left w:val="single" w:sz="4" w:space="0" w:color="000000"/>
              <w:bottom w:val="single" w:sz="4" w:space="0" w:color="000000"/>
            </w:tcBorders>
          </w:tcPr>
          <w:p w:rsidR="003B6E11" w:rsidRPr="003B6E11" w:rsidRDefault="003B6E11" w:rsidP="002D015D">
            <w:pPr>
              <w:spacing w:before="60" w:after="60" w:line="240" w:lineRule="atLeast"/>
              <w:rPr>
                <w:sz w:val="18"/>
                <w:szCs w:val="18"/>
                <w:lang w:val="cs-CZ"/>
              </w:rPr>
            </w:pPr>
            <w:r w:rsidRPr="003B6E11">
              <w:rPr>
                <w:sz w:val="18"/>
                <w:lang w:val="cs-CZ"/>
              </w:rPr>
              <w:t>4 dny</w:t>
            </w:r>
          </w:p>
        </w:tc>
        <w:tc>
          <w:tcPr>
            <w:tcW w:w="2268" w:type="dxa"/>
            <w:tcBorders>
              <w:top w:val="single" w:sz="4" w:space="0" w:color="000000"/>
              <w:left w:val="single" w:sz="4" w:space="0" w:color="000000"/>
              <w:bottom w:val="single" w:sz="4" w:space="0" w:color="000000"/>
            </w:tcBorders>
          </w:tcPr>
          <w:p w:rsidR="003B6E11" w:rsidRPr="003B6E11" w:rsidRDefault="003B6E11" w:rsidP="002D015D">
            <w:pPr>
              <w:spacing w:before="60" w:after="60" w:line="240" w:lineRule="atLeast"/>
              <w:rPr>
                <w:sz w:val="18"/>
                <w:szCs w:val="18"/>
                <w:lang w:val="cs-CZ"/>
              </w:rPr>
            </w:pPr>
            <w:r w:rsidRPr="003B6E11">
              <w:rPr>
                <w:sz w:val="18"/>
                <w:lang w:val="cs-CZ"/>
              </w:rPr>
              <w:t xml:space="preserve">Den 1 a den 2: </w:t>
            </w:r>
            <m:oMath>
              <m:sSub>
                <m:sSubPr>
                  <m:ctrlPr>
                    <w:rPr>
                      <w:rFonts w:ascii="Cambria Math" w:hAnsi="Cambria Math"/>
                      <w:i/>
                      <w:sz w:val="18"/>
                      <w:szCs w:val="18"/>
                      <w:lang w:val="cs-CZ"/>
                    </w:rPr>
                  </m:ctrlPr>
                </m:sSubPr>
                <m:e>
                  <m:r>
                    <w:rPr>
                      <w:rFonts w:ascii="Cambria Math" w:hAnsi="Cambria Math"/>
                      <w:sz w:val="18"/>
                      <w:szCs w:val="18"/>
                      <w:lang w:val="cs-CZ"/>
                    </w:rPr>
                    <m:t>Q</m:t>
                  </m:r>
                </m:e>
                <m:sub>
                  <m:r>
                    <w:rPr>
                      <w:rFonts w:ascii="Cambria Math" w:hAnsi="Cambria Math"/>
                      <w:sz w:val="18"/>
                      <w:szCs w:val="18"/>
                      <w:lang w:val="cs-CZ"/>
                    </w:rPr>
                    <m:t>d</m:t>
                  </m:r>
                </m:sub>
              </m:sSub>
              <m:r>
                <w:rPr>
                  <w:rFonts w:ascii="Cambria Math" w:hAnsi="Cambria Math"/>
                  <w:sz w:val="18"/>
                  <w:szCs w:val="18"/>
                  <w:lang w:val="cs-CZ"/>
                </w:rPr>
                <m:t>=0</m:t>
              </m:r>
            </m:oMath>
            <w:r w:rsidRPr="003B6E11">
              <w:rPr>
                <w:sz w:val="18"/>
                <w:szCs w:val="18"/>
                <w:lang w:val="cs-CZ"/>
              </w:rPr>
              <w:br/>
            </w:r>
            <w:r w:rsidRPr="003B6E11">
              <w:rPr>
                <w:sz w:val="18"/>
                <w:lang w:val="cs-CZ"/>
              </w:rPr>
              <w:t xml:space="preserve">Den 3 a den 4: </w:t>
            </w:r>
            <m:oMath>
              <m:sSub>
                <m:sSubPr>
                  <m:ctrlPr>
                    <w:rPr>
                      <w:rFonts w:ascii="Cambria Math" w:hAnsi="Cambria Math"/>
                      <w:i/>
                      <w:sz w:val="18"/>
                      <w:szCs w:val="18"/>
                      <w:lang w:val="cs-CZ"/>
                    </w:rPr>
                  </m:ctrlPr>
                </m:sSubPr>
                <m:e>
                  <m:r>
                    <w:rPr>
                      <w:rFonts w:ascii="Cambria Math" w:hAnsi="Cambria Math"/>
                      <w:sz w:val="18"/>
                      <w:szCs w:val="18"/>
                      <w:lang w:val="cs-CZ"/>
                    </w:rPr>
                    <m:t>Q</m:t>
                  </m:r>
                </m:e>
                <m:sub>
                  <m:r>
                    <w:rPr>
                      <w:rFonts w:ascii="Cambria Math" w:hAnsi="Cambria Math"/>
                      <w:sz w:val="18"/>
                      <w:szCs w:val="18"/>
                      <w:lang w:val="cs-CZ"/>
                    </w:rPr>
                    <m:t>d</m:t>
                  </m:r>
                </m:sub>
              </m:sSub>
            </m:oMath>
          </w:p>
        </w:tc>
        <w:tc>
          <w:tcPr>
            <w:tcW w:w="3345" w:type="dxa"/>
            <w:tcBorders>
              <w:top w:val="single" w:sz="4" w:space="0" w:color="000000"/>
              <w:left w:val="single" w:sz="4" w:space="0" w:color="000000"/>
              <w:bottom w:val="single" w:sz="4" w:space="0" w:color="000000"/>
              <w:right w:val="single" w:sz="4" w:space="0" w:color="000000"/>
            </w:tcBorders>
          </w:tcPr>
          <w:p w:rsidR="003B6E11" w:rsidRPr="003B6E11" w:rsidRDefault="002D015D" w:rsidP="002D015D">
            <w:pPr>
              <w:spacing w:before="60" w:after="60" w:line="240" w:lineRule="atLeast"/>
              <w:rPr>
                <w:sz w:val="18"/>
                <w:szCs w:val="18"/>
                <w:lang w:val="cs-CZ"/>
              </w:rPr>
            </w:pPr>
            <m:oMath>
              <m:sSub>
                <m:sSubPr>
                  <m:ctrlPr>
                    <w:rPr>
                      <w:rFonts w:ascii="Cambria Math" w:hAnsi="Cambria Math" w:cs="Arial"/>
                      <w:i/>
                      <w:sz w:val="18"/>
                      <w:szCs w:val="20"/>
                      <w:lang w:val="cs-CZ"/>
                    </w:rPr>
                  </m:ctrlPr>
                </m:sSubPr>
                <m:e>
                  <m:r>
                    <w:rPr>
                      <w:rFonts w:ascii="Cambria Math" w:hAnsi="Cambria Math" w:cs="Arial"/>
                      <w:sz w:val="18"/>
                      <w:szCs w:val="20"/>
                      <w:lang w:val="cs-CZ"/>
                    </w:rPr>
                    <m:t>C</m:t>
                  </m:r>
                </m:e>
                <m:sub>
                  <m:sSub>
                    <m:sSubPr>
                      <m:ctrlPr>
                        <w:rPr>
                          <w:rFonts w:ascii="Cambria Math" w:hAnsi="Cambria Math" w:cs="Arial"/>
                          <w:i/>
                          <w:sz w:val="18"/>
                          <w:szCs w:val="20"/>
                          <w:lang w:val="cs-CZ"/>
                        </w:rPr>
                      </m:ctrlPr>
                    </m:sSubPr>
                    <m:e>
                      <m:r>
                        <w:rPr>
                          <w:rFonts w:ascii="Cambria Math" w:hAnsi="Cambria Math" w:cs="Arial"/>
                          <w:sz w:val="18"/>
                          <w:szCs w:val="20"/>
                          <w:lang w:val="cs-CZ"/>
                        </w:rPr>
                        <m:t>BOD</m:t>
                      </m:r>
                    </m:e>
                    <m:sub>
                      <m:r>
                        <w:rPr>
                          <w:rFonts w:ascii="Cambria Math" w:hAnsi="Cambria Math" w:cs="Arial"/>
                          <w:sz w:val="18"/>
                          <w:szCs w:val="20"/>
                          <w:lang w:val="cs-CZ"/>
                        </w:rPr>
                        <m:t>5</m:t>
                      </m:r>
                    </m:sub>
                  </m:sSub>
                </m:sub>
              </m:sSub>
            </m:oMath>
            <w:r w:rsidR="003B6E11" w:rsidRPr="003B6E11">
              <w:rPr>
                <w:sz w:val="18"/>
                <w:lang w:val="cs-CZ"/>
              </w:rPr>
              <w:t xml:space="preserve"> podle bodu 2.4</w:t>
            </w:r>
          </w:p>
        </w:tc>
      </w:tr>
    </w:tbl>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br w:type="page"/>
      </w:r>
    </w:p>
    <w:p w:rsidR="003B6E11" w:rsidRPr="003B6E11" w:rsidRDefault="003B6E11" w:rsidP="003B6E11">
      <w:pPr>
        <w:spacing w:line="240" w:lineRule="atLeast"/>
        <w:ind w:left="426"/>
        <w:rPr>
          <w:noProof/>
          <w:lang w:val="cs-CZ"/>
        </w:rPr>
      </w:pPr>
      <w:r w:rsidRPr="003B6E11">
        <w:rPr>
          <w:lang w:val="cs-CZ"/>
        </w:rPr>
        <w:t xml:space="preserve">Zvláštní fáze zatížení – přetížení, nevytíženost a pohotovostní režim – se provádějí postupně bez přerušení; fáze normálního zatížení je rozdělena do několika částečných fází. Zkouška začíná a končí fází normálního zatížení, z nichž každá potrvá nejméně pět dnů. </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t xml:space="preserve">Stanoví se denní hydrogramy hydraulického přívodu v závislosti na stanoveném provozu palubní čistírny odpadních vod. Denní hydrogram hydraulického přívodu se volí v souladu s koncepcí provozu palubní čistírny odpadních vod. Rozlišuje se, zda má palubní čistírna odpadních vod předsazenou sedimentační nádrž či nikoli. Hydrogramy přívodu (denní hydrogramy) jsou uvedeny na obrázku 1 a 2. </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t xml:space="preserve">Hodinový přítok musí po celou dobu trvání zkoušky zůstat konstantní. Průměrný hodinový objemový průtok odpadních vod </w:t>
      </w:r>
      <m:oMath>
        <m:sSub>
          <m:sSubPr>
            <m:ctrlPr>
              <w:rPr>
                <w:rFonts w:ascii="Cambria Math" w:hAnsi="Cambria Math"/>
                <w:i/>
                <w:noProof/>
                <w:lang w:val="cs-CZ"/>
              </w:rPr>
            </m:ctrlPr>
          </m:sSubPr>
          <m:e>
            <m:r>
              <w:rPr>
                <w:rFonts w:ascii="Cambria Math" w:hAnsi="Cambria Math"/>
                <w:noProof/>
                <w:lang w:val="cs-CZ"/>
              </w:rPr>
              <m:t>Q</m:t>
            </m:r>
          </m:e>
          <m:sub>
            <m:r>
              <w:rPr>
                <w:rFonts w:ascii="Cambria Math" w:hAnsi="Cambria Math"/>
                <w:noProof/>
                <w:lang w:val="cs-CZ"/>
              </w:rPr>
              <m:t>h, mean</m:t>
            </m:r>
          </m:sub>
        </m:sSub>
      </m:oMath>
      <w:r w:rsidRPr="003B6E11">
        <w:rPr>
          <w:lang w:val="cs-CZ"/>
        </w:rPr>
        <w:t xml:space="preserve"> je roven 1/24 denního hydraulického zatížení podle tabulky 1. Technická zkušebna přítok průběžně měří. Denní hydrogram nesmí překročit toleranci ±5 %.</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jc w:val="center"/>
        <w:rPr>
          <w:noProof/>
          <w:lang w:val="cs-CZ"/>
        </w:rPr>
      </w:pPr>
      <w:r w:rsidRPr="003B6E11">
        <w:rPr>
          <w:noProof/>
          <w:lang w:eastAsia="en-GB"/>
        </w:rPr>
        <w:drawing>
          <wp:inline distT="0" distB="0" distL="0" distR="0" wp14:anchorId="05848A80" wp14:editId="48C21582">
            <wp:extent cx="5358384" cy="3267456"/>
            <wp:effectExtent l="0" t="0" r="0" b="9525"/>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in-Fig1en_p369..jpg"/>
                    <pic:cNvPicPr/>
                  </pic:nvPicPr>
                  <pic:blipFill>
                    <a:blip r:embed="rId98">
                      <a:extLst>
                        <a:ext uri="{28A0092B-C50C-407E-A947-70E740481C1C}">
                          <a14:useLocalDpi xmlns:a14="http://schemas.microsoft.com/office/drawing/2010/main" val="0"/>
                        </a:ext>
                      </a:extLst>
                    </a:blip>
                    <a:stretch>
                      <a:fillRect/>
                    </a:stretch>
                  </pic:blipFill>
                  <pic:spPr>
                    <a:xfrm>
                      <a:off x="0" y="0"/>
                      <a:ext cx="5358384" cy="3267456"/>
                    </a:xfrm>
                    <a:prstGeom prst="rect">
                      <a:avLst/>
                    </a:prstGeom>
                  </pic:spPr>
                </pic:pic>
              </a:graphicData>
            </a:graphic>
          </wp:inline>
        </w:drawing>
      </w:r>
    </w:p>
    <w:p w:rsidR="003B6E11" w:rsidRPr="003B6E11" w:rsidRDefault="003B6E11" w:rsidP="003B6E11">
      <w:pPr>
        <w:spacing w:line="240" w:lineRule="atLeast"/>
        <w:ind w:left="426"/>
        <w:rPr>
          <w:noProof/>
          <w:lang w:val="cs-CZ"/>
        </w:rPr>
      </w:pPr>
    </w:p>
    <w:p w:rsidR="003B6E11" w:rsidRPr="003B6E11" w:rsidRDefault="003B6E11" w:rsidP="003B6E11">
      <w:pPr>
        <w:ind w:left="1985" w:hanging="1276"/>
        <w:rPr>
          <w:i/>
          <w:noProof/>
          <w:szCs w:val="20"/>
          <w:lang w:val="cs-CZ"/>
        </w:rPr>
      </w:pPr>
      <w:r w:rsidRPr="003B6E11">
        <w:rPr>
          <w:i/>
          <w:noProof/>
          <w:lang w:val="cs-CZ"/>
        </w:rPr>
        <w:t xml:space="preserve">Obrázek </w:t>
      </w:r>
      <w:r w:rsidRPr="003B6E11">
        <w:rPr>
          <w:i/>
          <w:noProof/>
          <w:szCs w:val="20"/>
          <w:lang w:val="cs-CZ"/>
        </w:rPr>
        <w:fldChar w:fldCharType="begin"/>
      </w:r>
      <w:r w:rsidRPr="003B6E11">
        <w:rPr>
          <w:i/>
          <w:noProof/>
          <w:szCs w:val="20"/>
          <w:lang w:val="cs-CZ"/>
        </w:rPr>
        <w:instrText xml:space="preserve"> SEQ Abbildung \* ARABIC </w:instrText>
      </w:r>
      <w:r w:rsidRPr="003B6E11">
        <w:rPr>
          <w:i/>
          <w:noProof/>
          <w:szCs w:val="20"/>
          <w:lang w:val="cs-CZ"/>
        </w:rPr>
        <w:fldChar w:fldCharType="separate"/>
      </w:r>
      <w:r w:rsidRPr="003B6E11">
        <w:rPr>
          <w:i/>
          <w:noProof/>
          <w:szCs w:val="20"/>
          <w:lang w:val="cs-CZ"/>
        </w:rPr>
        <w:t>1</w:t>
      </w:r>
      <w:r w:rsidRPr="003B6E11">
        <w:rPr>
          <w:i/>
          <w:noProof/>
          <w:szCs w:val="20"/>
          <w:lang w:val="cs-CZ"/>
        </w:rPr>
        <w:fldChar w:fldCharType="end"/>
      </w:r>
      <w:r w:rsidRPr="003B6E11">
        <w:rPr>
          <w:i/>
          <w:noProof/>
          <w:lang w:val="cs-CZ"/>
        </w:rPr>
        <w:t>:</w:t>
      </w:r>
      <w:r w:rsidRPr="003B6E11">
        <w:rPr>
          <w:lang w:val="cs-CZ"/>
        </w:rPr>
        <w:tab/>
      </w:r>
      <w:r w:rsidRPr="003B6E11">
        <w:rPr>
          <w:i/>
          <w:noProof/>
          <w:lang w:val="cs-CZ"/>
        </w:rPr>
        <w:t>Denní hydrogram přítoku do palubní čistírny odpadních vod s předsazenou sedimentační nádrží</w:t>
      </w:r>
    </w:p>
    <w:p w:rsidR="003B6E11" w:rsidRPr="003B6E11" w:rsidRDefault="003B6E11" w:rsidP="003B6E11">
      <w:pPr>
        <w:rPr>
          <w:noProof/>
          <w:lang w:val="cs-CZ"/>
        </w:rPr>
      </w:pPr>
    </w:p>
    <w:p w:rsidR="003B6E11" w:rsidRPr="003B6E11" w:rsidRDefault="003B6E11" w:rsidP="003B6E11">
      <w:pPr>
        <w:rPr>
          <w:noProof/>
          <w:lang w:val="cs-CZ"/>
        </w:rPr>
      </w:pPr>
    </w:p>
    <w:p w:rsidR="003B6E11" w:rsidRPr="003B6E11" w:rsidRDefault="003B6E11" w:rsidP="003B6E11">
      <w:pPr>
        <w:suppressAutoHyphens/>
        <w:spacing w:line="240" w:lineRule="atLeast"/>
        <w:rPr>
          <w:rFonts w:cs="Arial"/>
          <w:lang w:val="cs-CZ"/>
        </w:rPr>
      </w:pPr>
      <w:r w:rsidRPr="003B6E11">
        <w:rPr>
          <w:lang w:val="cs-CZ"/>
        </w:rPr>
        <w:br w:type="page"/>
      </w:r>
    </w:p>
    <w:p w:rsidR="003B6E11" w:rsidRPr="003B6E11" w:rsidRDefault="003B6E11" w:rsidP="003B6E11">
      <w:pPr>
        <w:suppressAutoHyphens/>
        <w:spacing w:line="240" w:lineRule="atLeast"/>
        <w:rPr>
          <w:rFonts w:cs="Arial"/>
          <w:lang w:val="cs-CZ"/>
        </w:rPr>
      </w:pPr>
    </w:p>
    <w:p w:rsidR="003B6E11" w:rsidRPr="003B6E11" w:rsidRDefault="003B6E11" w:rsidP="003B6E11">
      <w:pPr>
        <w:spacing w:line="240" w:lineRule="atLeast"/>
        <w:rPr>
          <w:rFonts w:cs="Arial"/>
          <w:noProof/>
          <w:color w:val="000000"/>
          <w:lang w:val="cs-CZ"/>
        </w:rPr>
      </w:pPr>
      <w:r w:rsidRPr="003B6E11">
        <w:rPr>
          <w:rFonts w:cs="Arial"/>
          <w:noProof/>
          <w:color w:val="000000"/>
          <w:lang w:eastAsia="en-GB"/>
        </w:rPr>
        <w:drawing>
          <wp:inline distT="0" distB="0" distL="0" distR="0" wp14:anchorId="58C0013B" wp14:editId="58FC0894">
            <wp:extent cx="5358384" cy="2950464"/>
            <wp:effectExtent l="0" t="0" r="0" b="254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in-Fig2en_p369..jpg"/>
                    <pic:cNvPicPr/>
                  </pic:nvPicPr>
                  <pic:blipFill>
                    <a:blip r:embed="rId99">
                      <a:extLst>
                        <a:ext uri="{28A0092B-C50C-407E-A947-70E740481C1C}">
                          <a14:useLocalDpi xmlns:a14="http://schemas.microsoft.com/office/drawing/2010/main" val="0"/>
                        </a:ext>
                      </a:extLst>
                    </a:blip>
                    <a:stretch>
                      <a:fillRect/>
                    </a:stretch>
                  </pic:blipFill>
                  <pic:spPr>
                    <a:xfrm>
                      <a:off x="0" y="0"/>
                      <a:ext cx="5358384" cy="2950464"/>
                    </a:xfrm>
                    <a:prstGeom prst="rect">
                      <a:avLst/>
                    </a:prstGeom>
                  </pic:spPr>
                </pic:pic>
              </a:graphicData>
            </a:graphic>
          </wp:inline>
        </w:drawing>
      </w:r>
    </w:p>
    <w:p w:rsidR="003B6E11" w:rsidRPr="003B6E11" w:rsidRDefault="003B6E11" w:rsidP="003B6E11">
      <w:pPr>
        <w:ind w:left="1985" w:hanging="1276"/>
        <w:rPr>
          <w:i/>
          <w:noProof/>
          <w:szCs w:val="20"/>
          <w:lang w:val="cs-CZ"/>
        </w:rPr>
      </w:pPr>
    </w:p>
    <w:p w:rsidR="003B6E11" w:rsidRPr="003B6E11" w:rsidRDefault="003B6E11" w:rsidP="003B6E11">
      <w:pPr>
        <w:ind w:left="1985" w:hanging="1276"/>
        <w:rPr>
          <w:i/>
          <w:noProof/>
          <w:szCs w:val="20"/>
          <w:lang w:val="cs-CZ"/>
        </w:rPr>
      </w:pPr>
      <w:r w:rsidRPr="003B6E11">
        <w:rPr>
          <w:i/>
          <w:noProof/>
          <w:lang w:val="cs-CZ"/>
        </w:rPr>
        <w:t xml:space="preserve">Obrázek </w:t>
      </w:r>
      <w:r w:rsidRPr="003B6E11">
        <w:rPr>
          <w:i/>
          <w:noProof/>
          <w:szCs w:val="20"/>
          <w:lang w:val="cs-CZ"/>
        </w:rPr>
        <w:fldChar w:fldCharType="begin"/>
      </w:r>
      <w:r w:rsidRPr="003B6E11">
        <w:rPr>
          <w:i/>
          <w:noProof/>
          <w:szCs w:val="20"/>
          <w:lang w:val="cs-CZ"/>
        </w:rPr>
        <w:instrText xml:space="preserve"> SEQ Abbildung \* ARABIC </w:instrText>
      </w:r>
      <w:r w:rsidRPr="003B6E11">
        <w:rPr>
          <w:i/>
          <w:noProof/>
          <w:szCs w:val="20"/>
          <w:lang w:val="cs-CZ"/>
        </w:rPr>
        <w:fldChar w:fldCharType="separate"/>
      </w:r>
      <w:r w:rsidRPr="003B6E11">
        <w:rPr>
          <w:i/>
          <w:noProof/>
          <w:szCs w:val="20"/>
          <w:lang w:val="cs-CZ"/>
        </w:rPr>
        <w:t>2</w:t>
      </w:r>
      <w:r w:rsidRPr="003B6E11">
        <w:rPr>
          <w:i/>
          <w:noProof/>
          <w:szCs w:val="20"/>
          <w:lang w:val="cs-CZ"/>
        </w:rPr>
        <w:fldChar w:fldCharType="end"/>
      </w:r>
      <w:r w:rsidRPr="003B6E11">
        <w:rPr>
          <w:i/>
          <w:noProof/>
          <w:lang w:val="cs-CZ"/>
        </w:rPr>
        <w:t>:</w:t>
      </w:r>
      <w:r w:rsidRPr="003B6E11">
        <w:rPr>
          <w:lang w:val="cs-CZ"/>
        </w:rPr>
        <w:tab/>
      </w:r>
      <w:r w:rsidRPr="003B6E11">
        <w:rPr>
          <w:i/>
          <w:noProof/>
          <w:lang w:val="cs-CZ"/>
        </w:rPr>
        <w:t>Denní hydrogram přítoku do palubní čistírny odpadních vod bez předsazené sedimentační nádrže</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3.2</w:t>
      </w:r>
      <w:r w:rsidRPr="003B6E11">
        <w:rPr>
          <w:lang w:val="cs-CZ"/>
        </w:rPr>
        <w:tab/>
      </w:r>
      <w:r w:rsidRPr="003B6E11">
        <w:rPr>
          <w:noProof/>
          <w:color w:val="000000"/>
          <w:lang w:val="cs-CZ"/>
        </w:rPr>
        <w:t>Přerušení nebo zrušení zkoušky</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t>Nelze-li zajistit řádný provoz zkušební čistírny kvůli výpadku proudu či poruše dílčí sestavy, může být nutné zkoušku přerušit. Zkoušku lze přerušit na dobu trvání opravy. V takových případech není nutné opakovat celou zkoušku, ale pouze tu fázi zatížení, v níž k poruše dílčí sestavy došlo.</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t>Dojde-li ke druhému přerušení zkoušky, technická zkušebna rozhodne, zda je možné ve zkoušce pokračovat, nebo zda je nutné ji zrušit. Důvody pro toto rozhodnutí musí být uvedeny a popsány ve zkušebním protokolu. Pokud je zkouška zrušena, je nutno ji opakovat v plném rozsahu.</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3.3</w:t>
      </w:r>
      <w:r w:rsidRPr="003B6E11">
        <w:rPr>
          <w:lang w:val="cs-CZ"/>
        </w:rPr>
        <w:tab/>
      </w:r>
      <w:r w:rsidRPr="003B6E11">
        <w:rPr>
          <w:noProof/>
          <w:color w:val="000000"/>
          <w:lang w:val="cs-CZ"/>
        </w:rPr>
        <w:t xml:space="preserve">Zkoušky účinnosti čištění a dodržování mezních hodnot odtoku </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t xml:space="preserve">Technická zkušebna odebere vzorky z přítoku do zkušební čistírny a provede jejich analýzu za účelem potvrzení shody s vlastnostmi přítoku. Z odtoku zkušební čistírny se odeberou vzorky odpadní vody a provede se jejich analýza s cílem stanovit účinnost čištění a dodržení požadovaných mezních hodnot odtoku. Odběr vzorků musí zahrnovat jak prosté náhodné vzorky, tak souhrnné vzorky za 24 hodin. V případě souhrnných vzorků za 24 hodin může být proveden odběr buď podle času, nebo podle průtoku. Druh souhrnného vzorku za 24 hodin stanoví subjekt pověřený prohlídkami. Odběry vzorků na přítoku a na odtoku musí být prováděny současně a ve stejném rozsahu. </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br w:type="page"/>
      </w:r>
    </w:p>
    <w:p w:rsidR="003B6E11" w:rsidRPr="003B6E11" w:rsidRDefault="003B6E11" w:rsidP="003B6E11">
      <w:pPr>
        <w:spacing w:line="240" w:lineRule="atLeast"/>
        <w:ind w:left="426"/>
        <w:rPr>
          <w:noProof/>
          <w:lang w:val="cs-CZ"/>
        </w:rPr>
      </w:pPr>
      <w:r w:rsidRPr="003B6E11">
        <w:rPr>
          <w:lang w:val="cs-CZ"/>
        </w:rPr>
        <w:t xml:space="preserve">Kromě kontrolních parametrů </w:t>
      </w:r>
      <m:oMath>
        <m:sSub>
          <m:sSubPr>
            <m:ctrlPr>
              <w:rPr>
                <w:rFonts w:ascii="Cambria Math" w:hAnsi="Cambria Math"/>
                <w:i/>
                <w:noProof/>
                <w:lang w:val="cs-CZ"/>
              </w:rPr>
            </m:ctrlPr>
          </m:sSubPr>
          <m:e>
            <m:r>
              <w:rPr>
                <w:rFonts w:ascii="Cambria Math" w:hAnsi="Cambria Math"/>
                <w:noProof/>
                <w:lang w:val="cs-CZ"/>
              </w:rPr>
              <m:t>BOD</m:t>
            </m:r>
          </m:e>
          <m:sub>
            <m:r>
              <w:rPr>
                <w:rFonts w:ascii="Cambria Math" w:hAnsi="Cambria Math"/>
                <w:noProof/>
                <w:lang w:val="cs-CZ"/>
              </w:rPr>
              <m:t>5</m:t>
            </m:r>
          </m:sub>
        </m:sSub>
      </m:oMath>
      <w:r w:rsidRPr="003B6E11">
        <w:rPr>
          <w:lang w:val="cs-CZ"/>
        </w:rPr>
        <w:t>, COD a TOC</w:t>
      </w:r>
      <w:r w:rsidRPr="003B6E11">
        <w:rPr>
          <w:vertAlign w:val="superscript"/>
          <w:lang w:val="cs-CZ"/>
        </w:rPr>
        <w:t>(</w:t>
      </w:r>
      <w:r w:rsidRPr="003B6E11">
        <w:rPr>
          <w:vertAlign w:val="superscript"/>
          <w:lang w:val="cs-CZ"/>
        </w:rPr>
        <w:footnoteReference w:id="76"/>
      </w:r>
      <w:r w:rsidRPr="003B6E11">
        <w:rPr>
          <w:vertAlign w:val="superscript"/>
          <w:lang w:val="cs-CZ"/>
        </w:rPr>
        <w:t>)</w:t>
      </w:r>
      <w:r w:rsidRPr="003B6E11">
        <w:rPr>
          <w:lang w:val="cs-CZ"/>
        </w:rPr>
        <w:t xml:space="preserve"> se na přítoku a odtoku měří následující parametry, aby mohly být popsány a znázorněny okolní a zkušební podmínky:</w:t>
      </w:r>
    </w:p>
    <w:p w:rsidR="003B6E11" w:rsidRPr="003B6E11" w:rsidRDefault="003B6E11" w:rsidP="003B6E11">
      <w:pPr>
        <w:spacing w:before="60" w:line="240" w:lineRule="atLeast"/>
        <w:ind w:left="851"/>
        <w:rPr>
          <w:rFonts w:cs="Arial"/>
          <w:noProof/>
          <w:lang w:val="cs-CZ"/>
        </w:rPr>
      </w:pPr>
      <w:r w:rsidRPr="003B6E11">
        <w:rPr>
          <w:lang w:val="cs-CZ"/>
        </w:rPr>
        <w:t>a)</w:t>
      </w:r>
      <w:r w:rsidRPr="003B6E11">
        <w:rPr>
          <w:lang w:val="cs-CZ"/>
        </w:rPr>
        <w:tab/>
        <w:t>tuhé látky odstranitelné filtrací (SRF);</w:t>
      </w:r>
    </w:p>
    <w:p w:rsidR="003B6E11" w:rsidRPr="003B6E11" w:rsidRDefault="003B6E11" w:rsidP="003B6E11">
      <w:pPr>
        <w:spacing w:before="60" w:line="240" w:lineRule="atLeast"/>
        <w:ind w:left="851"/>
        <w:rPr>
          <w:rFonts w:cs="Arial"/>
          <w:noProof/>
          <w:lang w:val="cs-CZ"/>
        </w:rPr>
      </w:pPr>
      <w:r w:rsidRPr="003B6E11">
        <w:rPr>
          <w:lang w:val="cs-CZ"/>
        </w:rPr>
        <w:t>b)</w:t>
      </w:r>
      <w:r w:rsidRPr="003B6E11">
        <w:rPr>
          <w:lang w:val="cs-CZ"/>
        </w:rPr>
        <w:tab/>
        <w:t>pH;</w:t>
      </w:r>
    </w:p>
    <w:p w:rsidR="003B6E11" w:rsidRPr="003B6E11" w:rsidRDefault="003B6E11" w:rsidP="003B6E11">
      <w:pPr>
        <w:spacing w:before="60" w:line="240" w:lineRule="atLeast"/>
        <w:ind w:left="851"/>
        <w:rPr>
          <w:rFonts w:cs="Arial"/>
          <w:noProof/>
          <w:lang w:val="cs-CZ"/>
        </w:rPr>
      </w:pPr>
      <w:r w:rsidRPr="003B6E11">
        <w:rPr>
          <w:lang w:val="cs-CZ"/>
        </w:rPr>
        <w:t>c)</w:t>
      </w:r>
      <w:r w:rsidRPr="003B6E11">
        <w:rPr>
          <w:lang w:val="cs-CZ"/>
        </w:rPr>
        <w:tab/>
        <w:t>vodivost;</w:t>
      </w:r>
    </w:p>
    <w:p w:rsidR="003B6E11" w:rsidRPr="003B6E11" w:rsidRDefault="003B6E11" w:rsidP="003B6E11">
      <w:pPr>
        <w:spacing w:before="60" w:line="240" w:lineRule="atLeast"/>
        <w:ind w:left="851"/>
        <w:rPr>
          <w:rFonts w:cs="Arial"/>
          <w:noProof/>
          <w:lang w:val="cs-CZ"/>
        </w:rPr>
      </w:pPr>
      <w:r w:rsidRPr="003B6E11">
        <w:rPr>
          <w:lang w:val="cs-CZ"/>
        </w:rPr>
        <w:t>d)</w:t>
      </w:r>
      <w:r w:rsidRPr="003B6E11">
        <w:rPr>
          <w:lang w:val="cs-CZ"/>
        </w:rPr>
        <w:tab/>
        <w:t xml:space="preserve">teplota kapalných fází. </w:t>
      </w:r>
    </w:p>
    <w:p w:rsidR="003B6E11" w:rsidRPr="003B6E11" w:rsidRDefault="003B6E11" w:rsidP="003B6E11">
      <w:pPr>
        <w:spacing w:before="60" w:line="240" w:lineRule="atLeast"/>
        <w:ind w:left="851"/>
        <w:rPr>
          <w:rFonts w:cs="Arial"/>
          <w:noProof/>
          <w:lang w:val="cs-CZ"/>
        </w:rPr>
      </w:pPr>
    </w:p>
    <w:p w:rsidR="003B6E11" w:rsidRPr="003B6E11" w:rsidRDefault="003B6E11" w:rsidP="003B6E11">
      <w:pPr>
        <w:spacing w:line="240" w:lineRule="atLeast"/>
        <w:ind w:left="426"/>
        <w:rPr>
          <w:noProof/>
          <w:lang w:val="cs-CZ"/>
        </w:rPr>
      </w:pPr>
      <w:r w:rsidRPr="003B6E11">
        <w:rPr>
          <w:lang w:val="cs-CZ"/>
        </w:rPr>
        <w:t xml:space="preserve">Počet zkoušek se liší podle příslušné fáze zatížení a je uveden v tabulce 2. Počet odběrů vzorků se vztahuje k přítoku nebo odtoku zkušební čistírny. </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1560" w:hanging="851"/>
        <w:rPr>
          <w:rFonts w:cs="Arial"/>
          <w:noProof/>
          <w:color w:val="000000"/>
          <w:lang w:val="cs-CZ"/>
        </w:rPr>
      </w:pPr>
      <w:r w:rsidRPr="003B6E11">
        <w:rPr>
          <w:noProof/>
          <w:color w:val="000000"/>
          <w:lang w:val="cs-CZ"/>
        </w:rPr>
        <w:t>Tabulka 2:</w:t>
      </w:r>
      <w:r w:rsidRPr="003B6E11">
        <w:rPr>
          <w:lang w:val="cs-CZ"/>
        </w:rPr>
        <w:tab/>
      </w:r>
      <w:r w:rsidRPr="003B6E11">
        <w:rPr>
          <w:noProof/>
          <w:color w:val="000000"/>
          <w:lang w:val="cs-CZ"/>
        </w:rPr>
        <w:t xml:space="preserve">Specifikace počtu a načasování odběru vzorků na přítoku a na odtoku zkušební čistírny </w:t>
      </w:r>
    </w:p>
    <w:p w:rsidR="003B6E11" w:rsidRPr="003B6E11" w:rsidRDefault="003B6E11" w:rsidP="003B6E11">
      <w:pPr>
        <w:spacing w:line="240" w:lineRule="atLeast"/>
        <w:ind w:left="2127" w:hanging="1418"/>
        <w:rPr>
          <w:rFonts w:cs="Arial"/>
          <w:noProof/>
          <w:color w:val="000000"/>
          <w:lang w:val="cs-CZ"/>
        </w:rPr>
      </w:pP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7"/>
        <w:gridCol w:w="1092"/>
        <w:gridCol w:w="2472"/>
        <w:gridCol w:w="3402"/>
      </w:tblGrid>
      <w:tr w:rsidR="003B6E11" w:rsidRPr="003B6E11" w:rsidTr="002D015D">
        <w:tc>
          <w:tcPr>
            <w:tcW w:w="1397" w:type="dxa"/>
          </w:tcPr>
          <w:p w:rsidR="003B6E11" w:rsidRPr="003B6E11" w:rsidRDefault="003B6E11" w:rsidP="002D015D">
            <w:pPr>
              <w:spacing w:before="60" w:after="60" w:line="240" w:lineRule="atLeast"/>
              <w:rPr>
                <w:noProof/>
                <w:sz w:val="18"/>
                <w:szCs w:val="20"/>
                <w:lang w:val="cs-CZ"/>
              </w:rPr>
            </w:pPr>
            <w:r w:rsidRPr="003B6E11">
              <w:rPr>
                <w:noProof/>
                <w:sz w:val="18"/>
                <w:lang w:val="cs-CZ"/>
              </w:rPr>
              <w:t>Fáze zatížení</w:t>
            </w:r>
          </w:p>
        </w:tc>
        <w:tc>
          <w:tcPr>
            <w:tcW w:w="1092" w:type="dxa"/>
          </w:tcPr>
          <w:p w:rsidR="003B6E11" w:rsidRPr="003B6E11" w:rsidRDefault="003B6E11" w:rsidP="002D015D">
            <w:pPr>
              <w:spacing w:before="60" w:after="60" w:line="240" w:lineRule="atLeast"/>
              <w:rPr>
                <w:noProof/>
                <w:sz w:val="18"/>
                <w:szCs w:val="20"/>
                <w:lang w:val="cs-CZ"/>
              </w:rPr>
            </w:pPr>
            <w:r w:rsidRPr="003B6E11">
              <w:rPr>
                <w:noProof/>
                <w:sz w:val="18"/>
                <w:lang w:val="cs-CZ"/>
              </w:rPr>
              <w:t>Počet zkušebních dnů</w:t>
            </w:r>
          </w:p>
        </w:tc>
        <w:tc>
          <w:tcPr>
            <w:tcW w:w="2472" w:type="dxa"/>
          </w:tcPr>
          <w:p w:rsidR="003B6E11" w:rsidRPr="003B6E11" w:rsidRDefault="003B6E11" w:rsidP="002D015D">
            <w:pPr>
              <w:spacing w:before="60" w:after="60" w:line="240" w:lineRule="atLeast"/>
              <w:rPr>
                <w:noProof/>
                <w:sz w:val="18"/>
                <w:szCs w:val="20"/>
                <w:lang w:val="cs-CZ"/>
              </w:rPr>
            </w:pPr>
            <w:r w:rsidRPr="003B6E11">
              <w:rPr>
                <w:noProof/>
                <w:sz w:val="18"/>
                <w:lang w:val="cs-CZ"/>
              </w:rPr>
              <w:t>Počet odběrů vzorků</w:t>
            </w:r>
          </w:p>
        </w:tc>
        <w:tc>
          <w:tcPr>
            <w:tcW w:w="3402" w:type="dxa"/>
          </w:tcPr>
          <w:p w:rsidR="003B6E11" w:rsidRPr="003B6E11" w:rsidRDefault="003B6E11" w:rsidP="002D015D">
            <w:pPr>
              <w:spacing w:before="60" w:after="60" w:line="240" w:lineRule="atLeast"/>
              <w:rPr>
                <w:noProof/>
                <w:sz w:val="18"/>
                <w:szCs w:val="20"/>
                <w:lang w:val="cs-CZ"/>
              </w:rPr>
            </w:pPr>
            <w:r w:rsidRPr="003B6E11">
              <w:rPr>
                <w:noProof/>
                <w:sz w:val="18"/>
                <w:lang w:val="cs-CZ"/>
              </w:rPr>
              <w:t>Specifikace časování odběru vzorků</w:t>
            </w:r>
          </w:p>
        </w:tc>
      </w:tr>
      <w:tr w:rsidR="003B6E11" w:rsidRPr="003B6E11" w:rsidTr="002D015D">
        <w:tc>
          <w:tcPr>
            <w:tcW w:w="1397" w:type="dxa"/>
          </w:tcPr>
          <w:p w:rsidR="003B6E11" w:rsidRPr="003B6E11" w:rsidRDefault="003B6E11" w:rsidP="002D015D">
            <w:pPr>
              <w:spacing w:before="60" w:after="60" w:line="240" w:lineRule="atLeast"/>
              <w:rPr>
                <w:noProof/>
                <w:sz w:val="18"/>
                <w:szCs w:val="20"/>
                <w:lang w:val="cs-CZ"/>
              </w:rPr>
            </w:pPr>
            <w:r w:rsidRPr="003B6E11">
              <w:rPr>
                <w:noProof/>
                <w:sz w:val="18"/>
                <w:lang w:val="cs-CZ"/>
              </w:rPr>
              <w:t>Normální zatížení</w:t>
            </w:r>
          </w:p>
        </w:tc>
        <w:tc>
          <w:tcPr>
            <w:tcW w:w="1092" w:type="dxa"/>
          </w:tcPr>
          <w:p w:rsidR="003B6E11" w:rsidRPr="003B6E11" w:rsidRDefault="003B6E11" w:rsidP="002D015D">
            <w:pPr>
              <w:spacing w:before="60" w:after="60" w:line="240" w:lineRule="atLeast"/>
              <w:rPr>
                <w:noProof/>
                <w:sz w:val="18"/>
                <w:szCs w:val="20"/>
                <w:lang w:val="cs-CZ"/>
              </w:rPr>
            </w:pPr>
            <w:r w:rsidRPr="003B6E11">
              <w:rPr>
                <w:noProof/>
                <w:sz w:val="18"/>
                <w:lang w:val="cs-CZ"/>
              </w:rPr>
              <w:t>20 dnů</w:t>
            </w:r>
          </w:p>
        </w:tc>
        <w:tc>
          <w:tcPr>
            <w:tcW w:w="2472" w:type="dxa"/>
          </w:tcPr>
          <w:p w:rsidR="003B6E11" w:rsidRPr="003B6E11" w:rsidRDefault="003B6E11" w:rsidP="002D015D">
            <w:pPr>
              <w:tabs>
                <w:tab w:val="left" w:pos="2081"/>
              </w:tabs>
              <w:spacing w:before="60" w:after="60" w:line="240" w:lineRule="atLeast"/>
              <w:rPr>
                <w:noProof/>
                <w:sz w:val="18"/>
                <w:szCs w:val="20"/>
                <w:lang w:val="cs-CZ"/>
              </w:rPr>
            </w:pPr>
            <w:r w:rsidRPr="003B6E11">
              <w:rPr>
                <w:noProof/>
                <w:sz w:val="18"/>
                <w:lang w:val="cs-CZ"/>
              </w:rPr>
              <w:t xml:space="preserve">Souhrnné vzorky za 24 h: </w:t>
            </w:r>
            <w:r w:rsidRPr="003B6E11">
              <w:rPr>
                <w:lang w:val="cs-CZ"/>
              </w:rPr>
              <w:tab/>
            </w:r>
            <w:r w:rsidRPr="003B6E11">
              <w:rPr>
                <w:noProof/>
                <w:sz w:val="18"/>
                <w:lang w:val="cs-CZ"/>
              </w:rPr>
              <w:t>8</w:t>
            </w:r>
            <w:r w:rsidRPr="003B6E11">
              <w:rPr>
                <w:noProof/>
                <w:sz w:val="18"/>
                <w:szCs w:val="20"/>
                <w:lang w:val="cs-CZ"/>
              </w:rPr>
              <w:br/>
            </w:r>
            <w:r w:rsidRPr="003B6E11">
              <w:rPr>
                <w:noProof/>
                <w:sz w:val="18"/>
                <w:lang w:val="cs-CZ"/>
              </w:rPr>
              <w:t xml:space="preserve">Náhodné vzorky: </w:t>
            </w:r>
            <w:r w:rsidRPr="003B6E11">
              <w:rPr>
                <w:lang w:val="cs-CZ"/>
              </w:rPr>
              <w:tab/>
            </w:r>
            <w:r w:rsidRPr="003B6E11">
              <w:rPr>
                <w:noProof/>
                <w:sz w:val="18"/>
                <w:lang w:val="cs-CZ"/>
              </w:rPr>
              <w:t>8</w:t>
            </w:r>
          </w:p>
        </w:tc>
        <w:tc>
          <w:tcPr>
            <w:tcW w:w="3402" w:type="dxa"/>
          </w:tcPr>
          <w:p w:rsidR="003B6E11" w:rsidRPr="003B6E11" w:rsidRDefault="003B6E11" w:rsidP="002D015D">
            <w:pPr>
              <w:spacing w:before="60" w:after="60" w:line="240" w:lineRule="atLeast"/>
              <w:rPr>
                <w:noProof/>
                <w:sz w:val="18"/>
                <w:szCs w:val="20"/>
                <w:lang w:val="cs-CZ"/>
              </w:rPr>
            </w:pPr>
            <w:r w:rsidRPr="003B6E11">
              <w:rPr>
                <w:noProof/>
                <w:sz w:val="18"/>
                <w:lang w:val="cs-CZ"/>
              </w:rPr>
              <w:t>Odběr vzorků v pravidelných intervalech v průběhu celého období</w:t>
            </w:r>
          </w:p>
        </w:tc>
      </w:tr>
      <w:tr w:rsidR="003B6E11" w:rsidRPr="003B6E11" w:rsidTr="002D015D">
        <w:tc>
          <w:tcPr>
            <w:tcW w:w="1397" w:type="dxa"/>
          </w:tcPr>
          <w:p w:rsidR="003B6E11" w:rsidRPr="003B6E11" w:rsidRDefault="003B6E11" w:rsidP="002D015D">
            <w:pPr>
              <w:spacing w:before="60" w:after="60" w:line="240" w:lineRule="atLeast"/>
              <w:rPr>
                <w:noProof/>
                <w:sz w:val="18"/>
                <w:szCs w:val="20"/>
                <w:lang w:val="cs-CZ"/>
              </w:rPr>
            </w:pPr>
            <w:r w:rsidRPr="003B6E11">
              <w:rPr>
                <w:noProof/>
                <w:sz w:val="18"/>
                <w:lang w:val="cs-CZ"/>
              </w:rPr>
              <w:t>Přetížení</w:t>
            </w:r>
          </w:p>
        </w:tc>
        <w:tc>
          <w:tcPr>
            <w:tcW w:w="1092" w:type="dxa"/>
          </w:tcPr>
          <w:p w:rsidR="003B6E11" w:rsidRPr="003B6E11" w:rsidRDefault="003B6E11" w:rsidP="002D015D">
            <w:pPr>
              <w:spacing w:before="60" w:after="60" w:line="240" w:lineRule="atLeast"/>
              <w:rPr>
                <w:noProof/>
                <w:sz w:val="18"/>
                <w:szCs w:val="20"/>
                <w:lang w:val="cs-CZ"/>
              </w:rPr>
            </w:pPr>
            <w:r w:rsidRPr="003B6E11">
              <w:rPr>
                <w:noProof/>
                <w:sz w:val="18"/>
                <w:lang w:val="cs-CZ"/>
              </w:rPr>
              <w:t>3 dny</w:t>
            </w:r>
          </w:p>
        </w:tc>
        <w:tc>
          <w:tcPr>
            <w:tcW w:w="2472" w:type="dxa"/>
          </w:tcPr>
          <w:p w:rsidR="003B6E11" w:rsidRPr="003B6E11" w:rsidRDefault="003B6E11" w:rsidP="002D015D">
            <w:pPr>
              <w:tabs>
                <w:tab w:val="left" w:pos="2081"/>
              </w:tabs>
              <w:spacing w:before="60" w:after="60" w:line="240" w:lineRule="atLeast"/>
              <w:rPr>
                <w:noProof/>
                <w:sz w:val="18"/>
                <w:szCs w:val="20"/>
                <w:lang w:val="cs-CZ"/>
              </w:rPr>
            </w:pPr>
            <w:r w:rsidRPr="003B6E11">
              <w:rPr>
                <w:noProof/>
                <w:sz w:val="18"/>
                <w:lang w:val="cs-CZ"/>
              </w:rPr>
              <w:t>Souhrnné vzorky za 24 h:</w:t>
            </w:r>
            <w:r w:rsidRPr="003B6E11">
              <w:rPr>
                <w:lang w:val="cs-CZ"/>
              </w:rPr>
              <w:tab/>
            </w:r>
            <w:r w:rsidRPr="003B6E11">
              <w:rPr>
                <w:noProof/>
                <w:sz w:val="18"/>
                <w:lang w:val="cs-CZ"/>
              </w:rPr>
              <w:t>2</w:t>
            </w:r>
            <w:r w:rsidRPr="003B6E11">
              <w:rPr>
                <w:noProof/>
                <w:sz w:val="18"/>
                <w:szCs w:val="20"/>
                <w:lang w:val="cs-CZ"/>
              </w:rPr>
              <w:br/>
            </w:r>
            <w:r w:rsidRPr="003B6E11">
              <w:rPr>
                <w:noProof/>
                <w:sz w:val="18"/>
                <w:lang w:val="cs-CZ"/>
              </w:rPr>
              <w:t xml:space="preserve">Náhodné vzorky: </w:t>
            </w:r>
            <w:r w:rsidRPr="003B6E11">
              <w:rPr>
                <w:lang w:val="cs-CZ"/>
              </w:rPr>
              <w:tab/>
            </w:r>
            <w:r w:rsidRPr="003B6E11">
              <w:rPr>
                <w:noProof/>
                <w:sz w:val="18"/>
                <w:lang w:val="cs-CZ"/>
              </w:rPr>
              <w:t>2</w:t>
            </w:r>
          </w:p>
        </w:tc>
        <w:tc>
          <w:tcPr>
            <w:tcW w:w="3402" w:type="dxa"/>
          </w:tcPr>
          <w:p w:rsidR="003B6E11" w:rsidRPr="003B6E11" w:rsidRDefault="003B6E11" w:rsidP="002D015D">
            <w:pPr>
              <w:spacing w:before="60" w:after="60" w:line="240" w:lineRule="atLeast"/>
              <w:rPr>
                <w:noProof/>
                <w:sz w:val="18"/>
                <w:szCs w:val="20"/>
                <w:lang w:val="cs-CZ"/>
              </w:rPr>
            </w:pPr>
            <w:r w:rsidRPr="003B6E11">
              <w:rPr>
                <w:noProof/>
                <w:sz w:val="18"/>
                <w:lang w:val="cs-CZ"/>
              </w:rPr>
              <w:t>Odběr vzorků v pravidelných intervalech v průběhu celého období</w:t>
            </w:r>
          </w:p>
        </w:tc>
      </w:tr>
      <w:tr w:rsidR="003B6E11" w:rsidRPr="003B6E11" w:rsidTr="002D015D">
        <w:tc>
          <w:tcPr>
            <w:tcW w:w="1397" w:type="dxa"/>
          </w:tcPr>
          <w:p w:rsidR="003B6E11" w:rsidRPr="003B6E11" w:rsidRDefault="003B6E11" w:rsidP="002D015D">
            <w:pPr>
              <w:spacing w:before="60" w:after="60" w:line="240" w:lineRule="atLeast"/>
              <w:rPr>
                <w:noProof/>
                <w:sz w:val="18"/>
                <w:szCs w:val="20"/>
                <w:lang w:val="cs-CZ"/>
              </w:rPr>
            </w:pPr>
            <w:r w:rsidRPr="003B6E11">
              <w:rPr>
                <w:noProof/>
                <w:sz w:val="18"/>
                <w:lang w:val="cs-CZ"/>
              </w:rPr>
              <w:t>Nevytíženost</w:t>
            </w:r>
          </w:p>
        </w:tc>
        <w:tc>
          <w:tcPr>
            <w:tcW w:w="1092" w:type="dxa"/>
          </w:tcPr>
          <w:p w:rsidR="003B6E11" w:rsidRPr="003B6E11" w:rsidRDefault="003B6E11" w:rsidP="002D015D">
            <w:pPr>
              <w:spacing w:before="60" w:after="60" w:line="240" w:lineRule="atLeast"/>
              <w:rPr>
                <w:noProof/>
                <w:sz w:val="18"/>
                <w:szCs w:val="20"/>
                <w:lang w:val="cs-CZ"/>
              </w:rPr>
            </w:pPr>
            <w:r w:rsidRPr="003B6E11">
              <w:rPr>
                <w:noProof/>
                <w:sz w:val="18"/>
                <w:lang w:val="cs-CZ"/>
              </w:rPr>
              <w:t>3 dny</w:t>
            </w:r>
          </w:p>
        </w:tc>
        <w:tc>
          <w:tcPr>
            <w:tcW w:w="2472" w:type="dxa"/>
          </w:tcPr>
          <w:p w:rsidR="003B6E11" w:rsidRPr="003B6E11" w:rsidRDefault="003B6E11" w:rsidP="002D015D">
            <w:pPr>
              <w:tabs>
                <w:tab w:val="left" w:pos="2081"/>
              </w:tabs>
              <w:spacing w:before="60" w:after="60" w:line="240" w:lineRule="atLeast"/>
              <w:rPr>
                <w:noProof/>
                <w:sz w:val="18"/>
                <w:szCs w:val="20"/>
                <w:lang w:val="cs-CZ"/>
              </w:rPr>
            </w:pPr>
            <w:r w:rsidRPr="003B6E11">
              <w:rPr>
                <w:noProof/>
                <w:sz w:val="18"/>
                <w:lang w:val="cs-CZ"/>
              </w:rPr>
              <w:t xml:space="preserve">Souhrnné vzorky za 24 h: </w:t>
            </w:r>
            <w:r w:rsidRPr="003B6E11">
              <w:rPr>
                <w:lang w:val="cs-CZ"/>
              </w:rPr>
              <w:tab/>
            </w:r>
            <w:r w:rsidRPr="003B6E11">
              <w:rPr>
                <w:noProof/>
                <w:sz w:val="18"/>
                <w:lang w:val="cs-CZ"/>
              </w:rPr>
              <w:t>2</w:t>
            </w:r>
            <w:r w:rsidRPr="003B6E11">
              <w:rPr>
                <w:noProof/>
                <w:sz w:val="18"/>
                <w:szCs w:val="20"/>
                <w:lang w:val="cs-CZ"/>
              </w:rPr>
              <w:br/>
            </w:r>
            <w:r w:rsidRPr="003B6E11">
              <w:rPr>
                <w:noProof/>
                <w:sz w:val="18"/>
                <w:lang w:val="cs-CZ"/>
              </w:rPr>
              <w:t xml:space="preserve">Náhodné vzorky: </w:t>
            </w:r>
            <w:r w:rsidRPr="003B6E11">
              <w:rPr>
                <w:lang w:val="cs-CZ"/>
              </w:rPr>
              <w:tab/>
            </w:r>
            <w:r w:rsidRPr="003B6E11">
              <w:rPr>
                <w:noProof/>
                <w:sz w:val="18"/>
                <w:lang w:val="cs-CZ"/>
              </w:rPr>
              <w:t>2</w:t>
            </w:r>
          </w:p>
        </w:tc>
        <w:tc>
          <w:tcPr>
            <w:tcW w:w="3402" w:type="dxa"/>
          </w:tcPr>
          <w:p w:rsidR="003B6E11" w:rsidRPr="003B6E11" w:rsidRDefault="003B6E11" w:rsidP="002D015D">
            <w:pPr>
              <w:spacing w:before="60" w:after="60" w:line="240" w:lineRule="atLeast"/>
              <w:rPr>
                <w:noProof/>
                <w:sz w:val="18"/>
                <w:szCs w:val="20"/>
                <w:lang w:val="cs-CZ"/>
              </w:rPr>
            </w:pPr>
            <w:r w:rsidRPr="003B6E11">
              <w:rPr>
                <w:noProof/>
                <w:sz w:val="18"/>
                <w:lang w:val="cs-CZ"/>
              </w:rPr>
              <w:t>Odběr vzorků v pravidelných intervalech v průběhu celého období</w:t>
            </w:r>
          </w:p>
        </w:tc>
      </w:tr>
      <w:tr w:rsidR="003B6E11" w:rsidRPr="003B6E11" w:rsidTr="002D015D">
        <w:tc>
          <w:tcPr>
            <w:tcW w:w="1397" w:type="dxa"/>
          </w:tcPr>
          <w:p w:rsidR="003B6E11" w:rsidRPr="003B6E11" w:rsidRDefault="003B6E11" w:rsidP="002D015D">
            <w:pPr>
              <w:spacing w:before="60" w:after="60" w:line="240" w:lineRule="atLeast"/>
              <w:rPr>
                <w:noProof/>
                <w:sz w:val="18"/>
                <w:szCs w:val="20"/>
                <w:lang w:val="cs-CZ"/>
              </w:rPr>
            </w:pPr>
            <w:r w:rsidRPr="003B6E11">
              <w:rPr>
                <w:noProof/>
                <w:sz w:val="18"/>
                <w:lang w:val="cs-CZ"/>
              </w:rPr>
              <w:t>Pohotovostní režim</w:t>
            </w:r>
          </w:p>
        </w:tc>
        <w:tc>
          <w:tcPr>
            <w:tcW w:w="1092" w:type="dxa"/>
          </w:tcPr>
          <w:p w:rsidR="003B6E11" w:rsidRPr="003B6E11" w:rsidRDefault="003B6E11" w:rsidP="002D015D">
            <w:pPr>
              <w:spacing w:before="60" w:after="60" w:line="240" w:lineRule="atLeast"/>
              <w:rPr>
                <w:noProof/>
                <w:sz w:val="18"/>
                <w:szCs w:val="20"/>
                <w:lang w:val="cs-CZ"/>
              </w:rPr>
            </w:pPr>
            <w:r w:rsidRPr="003B6E11">
              <w:rPr>
                <w:noProof/>
                <w:sz w:val="18"/>
                <w:lang w:val="cs-CZ"/>
              </w:rPr>
              <w:t>4 dny</w:t>
            </w:r>
          </w:p>
        </w:tc>
        <w:tc>
          <w:tcPr>
            <w:tcW w:w="2472" w:type="dxa"/>
          </w:tcPr>
          <w:p w:rsidR="003B6E11" w:rsidRPr="003B6E11" w:rsidRDefault="003B6E11" w:rsidP="002D015D">
            <w:pPr>
              <w:tabs>
                <w:tab w:val="left" w:pos="2081"/>
              </w:tabs>
              <w:spacing w:before="60" w:after="60" w:line="240" w:lineRule="atLeast"/>
              <w:rPr>
                <w:noProof/>
                <w:sz w:val="18"/>
                <w:szCs w:val="20"/>
                <w:lang w:val="cs-CZ"/>
              </w:rPr>
            </w:pPr>
            <w:r w:rsidRPr="003B6E11">
              <w:rPr>
                <w:noProof/>
                <w:sz w:val="18"/>
                <w:lang w:val="cs-CZ"/>
              </w:rPr>
              <w:t xml:space="preserve">Souhrnné vzorky za 24 h: </w:t>
            </w:r>
            <w:r w:rsidRPr="003B6E11">
              <w:rPr>
                <w:lang w:val="cs-CZ"/>
              </w:rPr>
              <w:tab/>
            </w:r>
            <w:r w:rsidRPr="003B6E11">
              <w:rPr>
                <w:noProof/>
                <w:sz w:val="18"/>
                <w:lang w:val="cs-CZ"/>
              </w:rPr>
              <w:t>2</w:t>
            </w:r>
            <w:r w:rsidRPr="003B6E11">
              <w:rPr>
                <w:noProof/>
                <w:sz w:val="18"/>
                <w:szCs w:val="20"/>
                <w:lang w:val="cs-CZ"/>
              </w:rPr>
              <w:br/>
            </w:r>
            <w:r w:rsidRPr="003B6E11">
              <w:rPr>
                <w:noProof/>
                <w:sz w:val="18"/>
                <w:lang w:val="cs-CZ"/>
              </w:rPr>
              <w:t xml:space="preserve">Náhodné vzorky: </w:t>
            </w:r>
            <w:r w:rsidRPr="003B6E11">
              <w:rPr>
                <w:lang w:val="cs-CZ"/>
              </w:rPr>
              <w:tab/>
            </w:r>
            <w:r w:rsidRPr="003B6E11">
              <w:rPr>
                <w:noProof/>
                <w:sz w:val="18"/>
                <w:lang w:val="cs-CZ"/>
              </w:rPr>
              <w:t>2</w:t>
            </w:r>
          </w:p>
        </w:tc>
        <w:tc>
          <w:tcPr>
            <w:tcW w:w="3402" w:type="dxa"/>
          </w:tcPr>
          <w:p w:rsidR="003B6E11" w:rsidRPr="003B6E11" w:rsidRDefault="003B6E11" w:rsidP="002D015D">
            <w:pPr>
              <w:spacing w:before="60" w:after="60" w:line="240" w:lineRule="atLeast"/>
              <w:rPr>
                <w:noProof/>
                <w:sz w:val="18"/>
                <w:szCs w:val="20"/>
                <w:lang w:val="cs-CZ"/>
              </w:rPr>
            </w:pPr>
            <w:r w:rsidRPr="003B6E11">
              <w:rPr>
                <w:noProof/>
                <w:sz w:val="18"/>
                <w:lang w:val="cs-CZ"/>
              </w:rPr>
              <w:t>Souhrnné vzorky za 24 h: Odběr vzorků po zapnutí přítoku a o 24 hodin později.</w:t>
            </w:r>
            <w:r w:rsidRPr="003B6E11">
              <w:rPr>
                <w:noProof/>
                <w:sz w:val="18"/>
                <w:szCs w:val="20"/>
                <w:lang w:val="cs-CZ"/>
              </w:rPr>
              <w:br/>
            </w:r>
            <w:r w:rsidRPr="003B6E11">
              <w:rPr>
                <w:noProof/>
                <w:sz w:val="18"/>
                <w:lang w:val="cs-CZ"/>
              </w:rPr>
              <w:t>Náhodný vzorek: 1 hodinu po zapnutí přítoku a o 24 hodin později.</w:t>
            </w:r>
          </w:p>
        </w:tc>
      </w:tr>
      <w:tr w:rsidR="003B6E11" w:rsidRPr="003B6E11" w:rsidTr="002D015D">
        <w:tc>
          <w:tcPr>
            <w:tcW w:w="8363" w:type="dxa"/>
            <w:gridSpan w:val="4"/>
          </w:tcPr>
          <w:p w:rsidR="003B6E11" w:rsidRPr="003B6E11" w:rsidRDefault="003B6E11" w:rsidP="002D015D">
            <w:pPr>
              <w:spacing w:before="60" w:after="60" w:line="240" w:lineRule="atLeast"/>
              <w:rPr>
                <w:noProof/>
                <w:sz w:val="18"/>
                <w:szCs w:val="20"/>
                <w:lang w:val="cs-CZ"/>
              </w:rPr>
            </w:pPr>
            <w:r w:rsidRPr="003B6E11">
              <w:rPr>
                <w:noProof/>
                <w:sz w:val="18"/>
                <w:lang w:val="cs-CZ"/>
              </w:rPr>
              <w:t>Celkový počet souhrnných vzorků za 24 h: 14</w:t>
            </w:r>
            <w:r w:rsidRPr="003B6E11">
              <w:rPr>
                <w:lang w:val="cs-CZ"/>
              </w:rPr>
              <w:tab/>
            </w:r>
            <w:r w:rsidRPr="003B6E11">
              <w:rPr>
                <w:noProof/>
                <w:sz w:val="18"/>
                <w:szCs w:val="20"/>
                <w:lang w:val="cs-CZ"/>
              </w:rPr>
              <w:br/>
            </w:r>
            <w:r w:rsidRPr="003B6E11">
              <w:rPr>
                <w:noProof/>
                <w:sz w:val="18"/>
                <w:lang w:val="cs-CZ"/>
              </w:rPr>
              <w:t>Celkový počet náhodných vzorků: 14</w:t>
            </w:r>
          </w:p>
        </w:tc>
      </w:tr>
    </w:tbl>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t>V případě potřeby se v náhodných vzorcích budou měřit i následující provozní parametry:</w:t>
      </w:r>
    </w:p>
    <w:p w:rsidR="003B6E11" w:rsidRPr="003B6E11" w:rsidRDefault="003B6E11" w:rsidP="003B6E11">
      <w:pPr>
        <w:spacing w:before="60" w:line="240" w:lineRule="atLeast"/>
        <w:ind w:left="851"/>
        <w:rPr>
          <w:rFonts w:cs="Arial"/>
          <w:noProof/>
          <w:lang w:val="cs-CZ"/>
        </w:rPr>
      </w:pPr>
      <w:r w:rsidRPr="003B6E11">
        <w:rPr>
          <w:lang w:val="cs-CZ"/>
        </w:rPr>
        <w:t>a)</w:t>
      </w:r>
      <w:r w:rsidRPr="003B6E11">
        <w:rPr>
          <w:lang w:val="cs-CZ"/>
        </w:rPr>
        <w:tab/>
        <w:t>koncentrace rozpuštěného kyslíku v bioreaktoru;</w:t>
      </w:r>
    </w:p>
    <w:p w:rsidR="003B6E11" w:rsidRPr="003B6E11" w:rsidRDefault="003B6E11" w:rsidP="003B6E11">
      <w:pPr>
        <w:spacing w:before="60" w:line="240" w:lineRule="atLeast"/>
        <w:ind w:left="851"/>
        <w:rPr>
          <w:rFonts w:cs="Arial"/>
          <w:noProof/>
          <w:lang w:val="cs-CZ"/>
        </w:rPr>
      </w:pPr>
      <w:r w:rsidRPr="003B6E11">
        <w:rPr>
          <w:lang w:val="cs-CZ"/>
        </w:rPr>
        <w:t>b)</w:t>
      </w:r>
      <w:r w:rsidRPr="003B6E11">
        <w:rPr>
          <w:lang w:val="cs-CZ"/>
        </w:rPr>
        <w:tab/>
        <w:t>obsah sušiny v bioreaktoru;</w:t>
      </w:r>
    </w:p>
    <w:p w:rsidR="003B6E11" w:rsidRPr="003B6E11" w:rsidRDefault="003B6E11" w:rsidP="003B6E11">
      <w:pPr>
        <w:spacing w:before="60" w:line="240" w:lineRule="atLeast"/>
        <w:ind w:left="851"/>
        <w:rPr>
          <w:rFonts w:cs="Arial"/>
          <w:noProof/>
          <w:lang w:val="cs-CZ"/>
        </w:rPr>
      </w:pPr>
      <w:r w:rsidRPr="003B6E11">
        <w:rPr>
          <w:lang w:val="cs-CZ"/>
        </w:rPr>
        <w:t>c)</w:t>
      </w:r>
      <w:r w:rsidRPr="003B6E11">
        <w:rPr>
          <w:lang w:val="cs-CZ"/>
        </w:rPr>
        <w:tab/>
        <w:t>teplota v bioreaktoru;</w:t>
      </w:r>
    </w:p>
    <w:p w:rsidR="003B6E11" w:rsidRPr="003B6E11" w:rsidRDefault="003B6E11" w:rsidP="003B6E11">
      <w:pPr>
        <w:spacing w:before="60" w:line="240" w:lineRule="atLeast"/>
        <w:ind w:left="851"/>
        <w:rPr>
          <w:rFonts w:cs="Arial"/>
          <w:noProof/>
          <w:lang w:val="cs-CZ"/>
        </w:rPr>
      </w:pPr>
      <w:r w:rsidRPr="003B6E11">
        <w:rPr>
          <w:lang w:val="cs-CZ"/>
        </w:rPr>
        <w:t>d)</w:t>
      </w:r>
      <w:r w:rsidRPr="003B6E11">
        <w:rPr>
          <w:lang w:val="cs-CZ"/>
        </w:rPr>
        <w:tab/>
        <w:t>teplota okolního prostředí;</w:t>
      </w:r>
    </w:p>
    <w:p w:rsidR="003B6E11" w:rsidRPr="003B6E11" w:rsidRDefault="003B6E11" w:rsidP="003B6E11">
      <w:pPr>
        <w:spacing w:before="60" w:line="240" w:lineRule="atLeast"/>
        <w:ind w:left="851"/>
        <w:rPr>
          <w:rFonts w:cs="Arial"/>
          <w:noProof/>
          <w:lang w:val="cs-CZ"/>
        </w:rPr>
      </w:pPr>
      <w:r w:rsidRPr="003B6E11">
        <w:rPr>
          <w:lang w:val="cs-CZ"/>
        </w:rPr>
        <w:t>e)</w:t>
      </w:r>
      <w:r w:rsidRPr="003B6E11">
        <w:rPr>
          <w:lang w:val="cs-CZ"/>
        </w:rPr>
        <w:tab/>
        <w:t>další provozní parametry v souladu s návodem výrobce k obsluze.</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lang w:val="cs-CZ"/>
        </w:rPr>
        <w:br w:type="page"/>
      </w:r>
    </w:p>
    <w:p w:rsidR="003B6E11" w:rsidRPr="003B6E11" w:rsidRDefault="003B6E11" w:rsidP="003B6E11">
      <w:pPr>
        <w:spacing w:line="240" w:lineRule="atLeast"/>
        <w:rPr>
          <w:rFonts w:cs="Arial"/>
          <w:noProof/>
          <w:color w:val="000000"/>
          <w:lang w:val="cs-CZ"/>
        </w:rPr>
      </w:pPr>
      <w:r w:rsidRPr="003B6E11">
        <w:rPr>
          <w:noProof/>
          <w:color w:val="000000"/>
          <w:lang w:val="cs-CZ"/>
        </w:rPr>
        <w:t>3.4</w:t>
      </w:r>
      <w:r w:rsidRPr="003B6E11">
        <w:rPr>
          <w:lang w:val="cs-CZ"/>
        </w:rPr>
        <w:tab/>
      </w:r>
      <w:r w:rsidRPr="003B6E11">
        <w:rPr>
          <w:noProof/>
          <w:color w:val="000000"/>
          <w:lang w:val="cs-CZ"/>
        </w:rPr>
        <w:t>Vyhodnocení zkoušek</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t xml:space="preserve">Aby bylo možno doložit stanovenou účinnost čištění a kontrolovat dodržování mezních hodnot zpracování, je třeba stanovit minimální hodnotu vzorku (Min), maximální hodnotu vzorku (Max) a aritmetický průměr (Průměr), jakož i výsledky jednotlivých měření kontrolních parametrů </w:t>
      </w:r>
      <m:oMath>
        <m:sSub>
          <m:sSubPr>
            <m:ctrlPr>
              <w:rPr>
                <w:rFonts w:ascii="Cambria Math" w:hAnsi="Cambria Math"/>
                <w:i/>
                <w:noProof/>
                <w:lang w:val="cs-CZ"/>
              </w:rPr>
            </m:ctrlPr>
          </m:sSubPr>
          <m:e>
            <m:r>
              <w:rPr>
                <w:rFonts w:ascii="Cambria Math" w:hAnsi="Cambria Math"/>
                <w:noProof/>
                <w:lang w:val="cs-CZ"/>
              </w:rPr>
              <m:t>BOD</m:t>
            </m:r>
          </m:e>
          <m:sub>
            <m:r>
              <w:rPr>
                <w:rFonts w:ascii="Cambria Math" w:hAnsi="Cambria Math"/>
                <w:noProof/>
                <w:lang w:val="cs-CZ"/>
              </w:rPr>
              <m:t>5</m:t>
            </m:r>
          </m:sub>
        </m:sSub>
      </m:oMath>
      <w:r w:rsidRPr="003B6E11">
        <w:rPr>
          <w:lang w:val="cs-CZ"/>
        </w:rPr>
        <w:t>, COD a TOC.</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t>U maximální hodnoty vzorku se stanoví rovněž fáze zatížení. Hodnocení se provádí u všech fází zatížení společně. Výsledky se zpracují tak, jak je uvedeno v následující tabulce:</w:t>
      </w:r>
    </w:p>
    <w:p w:rsidR="003B6E11" w:rsidRPr="003B6E11" w:rsidRDefault="003B6E11" w:rsidP="003B6E11">
      <w:pPr>
        <w:spacing w:line="240" w:lineRule="atLeast"/>
        <w:ind w:left="426"/>
        <w:rPr>
          <w:noProof/>
          <w:lang w:val="cs-CZ"/>
        </w:rPr>
      </w:pPr>
    </w:p>
    <w:p w:rsidR="003B6E11" w:rsidRPr="003B6E11" w:rsidRDefault="003B6E11" w:rsidP="003B6E11">
      <w:pPr>
        <w:tabs>
          <w:tab w:val="left" w:pos="709"/>
        </w:tabs>
        <w:suppressAutoHyphens/>
        <w:spacing w:after="120" w:line="240" w:lineRule="atLeast"/>
        <w:ind w:left="1701" w:hanging="992"/>
        <w:rPr>
          <w:rFonts w:cs="Arial"/>
          <w:szCs w:val="20"/>
          <w:lang w:val="cs-CZ"/>
        </w:rPr>
      </w:pPr>
      <w:r w:rsidRPr="003B6E11">
        <w:rPr>
          <w:lang w:val="cs-CZ"/>
        </w:rPr>
        <w:t>Tabulka 3a:</w:t>
      </w:r>
      <w:r w:rsidRPr="003B6E11">
        <w:rPr>
          <w:lang w:val="cs-CZ"/>
        </w:rPr>
        <w:tab/>
        <w:t xml:space="preserve">Specifikace pro statistické zpracování získaných dat – posouzení s cílem doložit soulad s mezními hodnotami odtoku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2325"/>
        <w:gridCol w:w="1016"/>
        <w:gridCol w:w="927"/>
        <w:gridCol w:w="848"/>
        <w:gridCol w:w="854"/>
        <w:gridCol w:w="903"/>
      </w:tblGrid>
      <w:tr w:rsidR="003B6E11" w:rsidRPr="003B6E11" w:rsidTr="002D015D">
        <w:trPr>
          <w:jc w:val="center"/>
        </w:trPr>
        <w:tc>
          <w:tcPr>
            <w:tcW w:w="1461" w:type="dxa"/>
            <w:vMerge w:val="restart"/>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Parametr</w:t>
            </w:r>
          </w:p>
        </w:tc>
        <w:tc>
          <w:tcPr>
            <w:tcW w:w="2325" w:type="dxa"/>
            <w:vMerge w:val="restart"/>
            <w:vAlign w:val="center"/>
          </w:tcPr>
          <w:p w:rsidR="003B6E11" w:rsidRPr="003B6E11" w:rsidRDefault="003B6E11" w:rsidP="002D015D">
            <w:pPr>
              <w:spacing w:before="60" w:after="60" w:line="240" w:lineRule="atLeast"/>
              <w:jc w:val="center"/>
              <w:rPr>
                <w:rFonts w:cs="Arial"/>
                <w:noProof/>
                <w:sz w:val="18"/>
                <w:szCs w:val="18"/>
                <w:lang w:val="cs-CZ"/>
              </w:rPr>
            </w:pPr>
            <w:r w:rsidRPr="003B6E11">
              <w:rPr>
                <w:noProof/>
                <w:sz w:val="18"/>
                <w:lang w:val="cs-CZ"/>
              </w:rPr>
              <w:t>Druh odběru vzorku</w:t>
            </w:r>
          </w:p>
        </w:tc>
        <w:tc>
          <w:tcPr>
            <w:tcW w:w="1016" w:type="dxa"/>
            <w:vMerge w:val="restart"/>
            <w:vAlign w:val="center"/>
          </w:tcPr>
          <w:p w:rsidR="003B6E11" w:rsidRPr="003B6E11" w:rsidRDefault="003B6E11" w:rsidP="002D015D">
            <w:pPr>
              <w:spacing w:before="60" w:after="60" w:line="240" w:lineRule="atLeast"/>
              <w:jc w:val="center"/>
              <w:rPr>
                <w:rFonts w:cs="Arial"/>
                <w:noProof/>
                <w:sz w:val="18"/>
                <w:szCs w:val="18"/>
                <w:lang w:val="cs-CZ"/>
              </w:rPr>
            </w:pPr>
            <w:r w:rsidRPr="003B6E11">
              <w:rPr>
                <w:noProof/>
                <w:sz w:val="18"/>
                <w:lang w:val="cs-CZ"/>
              </w:rPr>
              <w:t>Počet zkoušek, které splňují mezní hodnoty</w:t>
            </w:r>
          </w:p>
        </w:tc>
        <w:tc>
          <w:tcPr>
            <w:tcW w:w="927" w:type="dxa"/>
            <w:vMerge w:val="restart"/>
            <w:vAlign w:val="center"/>
          </w:tcPr>
          <w:p w:rsidR="003B6E11" w:rsidRPr="003B6E11" w:rsidRDefault="003B6E11" w:rsidP="002D015D">
            <w:pPr>
              <w:spacing w:before="60" w:after="60" w:line="240" w:lineRule="atLeast"/>
              <w:jc w:val="center"/>
              <w:rPr>
                <w:rFonts w:cs="Arial"/>
                <w:noProof/>
                <w:sz w:val="18"/>
                <w:szCs w:val="18"/>
                <w:lang w:val="cs-CZ"/>
              </w:rPr>
            </w:pPr>
            <w:r w:rsidRPr="003B6E11">
              <w:rPr>
                <w:noProof/>
                <w:sz w:val="18"/>
                <w:lang w:val="cs-CZ"/>
              </w:rPr>
              <w:t>Průměr</w:t>
            </w:r>
          </w:p>
        </w:tc>
        <w:tc>
          <w:tcPr>
            <w:tcW w:w="848" w:type="dxa"/>
            <w:vMerge w:val="restart"/>
            <w:vAlign w:val="center"/>
          </w:tcPr>
          <w:p w:rsidR="003B6E11" w:rsidRPr="003B6E11" w:rsidRDefault="003B6E11" w:rsidP="002D015D">
            <w:pPr>
              <w:spacing w:before="60" w:after="60" w:line="240" w:lineRule="atLeast"/>
              <w:jc w:val="center"/>
              <w:rPr>
                <w:rFonts w:cs="Arial"/>
                <w:noProof/>
                <w:sz w:val="18"/>
                <w:szCs w:val="18"/>
                <w:lang w:val="cs-CZ"/>
              </w:rPr>
            </w:pPr>
            <w:r w:rsidRPr="003B6E11">
              <w:rPr>
                <w:noProof/>
                <w:sz w:val="18"/>
                <w:lang w:val="cs-CZ"/>
              </w:rPr>
              <w:t>Min</w:t>
            </w:r>
          </w:p>
        </w:tc>
        <w:tc>
          <w:tcPr>
            <w:tcW w:w="1755" w:type="dxa"/>
            <w:gridSpan w:val="2"/>
            <w:vAlign w:val="center"/>
          </w:tcPr>
          <w:p w:rsidR="003B6E11" w:rsidRPr="003B6E11" w:rsidRDefault="003B6E11" w:rsidP="002D015D">
            <w:pPr>
              <w:spacing w:before="60" w:after="60" w:line="240" w:lineRule="atLeast"/>
              <w:jc w:val="center"/>
              <w:rPr>
                <w:rFonts w:cs="Arial"/>
                <w:noProof/>
                <w:sz w:val="18"/>
                <w:szCs w:val="18"/>
                <w:lang w:val="cs-CZ"/>
              </w:rPr>
            </w:pPr>
            <w:r w:rsidRPr="003B6E11">
              <w:rPr>
                <w:noProof/>
                <w:sz w:val="18"/>
                <w:lang w:val="cs-CZ"/>
              </w:rPr>
              <w:t>Max</w:t>
            </w:r>
          </w:p>
        </w:tc>
      </w:tr>
      <w:tr w:rsidR="003B6E11" w:rsidRPr="003B6E11" w:rsidTr="002D015D">
        <w:trPr>
          <w:jc w:val="center"/>
        </w:trPr>
        <w:tc>
          <w:tcPr>
            <w:tcW w:w="1461" w:type="dxa"/>
            <w:vMerge/>
          </w:tcPr>
          <w:p w:rsidR="003B6E11" w:rsidRPr="003B6E11" w:rsidRDefault="003B6E11" w:rsidP="002D015D">
            <w:pPr>
              <w:spacing w:before="60" w:after="60" w:line="240" w:lineRule="atLeast"/>
              <w:rPr>
                <w:rFonts w:cs="Arial"/>
                <w:noProof/>
                <w:sz w:val="18"/>
                <w:szCs w:val="18"/>
                <w:lang w:val="cs-CZ"/>
              </w:rPr>
            </w:pPr>
          </w:p>
        </w:tc>
        <w:tc>
          <w:tcPr>
            <w:tcW w:w="2325" w:type="dxa"/>
            <w:vMerge/>
          </w:tcPr>
          <w:p w:rsidR="003B6E11" w:rsidRPr="003B6E11" w:rsidRDefault="003B6E11" w:rsidP="002D015D">
            <w:pPr>
              <w:spacing w:before="60" w:after="60" w:line="240" w:lineRule="atLeast"/>
              <w:jc w:val="center"/>
              <w:rPr>
                <w:rFonts w:cs="Arial"/>
                <w:noProof/>
                <w:sz w:val="18"/>
                <w:szCs w:val="18"/>
                <w:lang w:val="cs-CZ"/>
              </w:rPr>
            </w:pPr>
          </w:p>
        </w:tc>
        <w:tc>
          <w:tcPr>
            <w:tcW w:w="1016" w:type="dxa"/>
            <w:vMerge/>
          </w:tcPr>
          <w:p w:rsidR="003B6E11" w:rsidRPr="003B6E11" w:rsidRDefault="003B6E11" w:rsidP="002D015D">
            <w:pPr>
              <w:spacing w:before="60" w:after="60" w:line="240" w:lineRule="atLeast"/>
              <w:jc w:val="center"/>
              <w:rPr>
                <w:rFonts w:cs="Arial"/>
                <w:noProof/>
                <w:sz w:val="18"/>
                <w:szCs w:val="18"/>
                <w:lang w:val="cs-CZ"/>
              </w:rPr>
            </w:pPr>
          </w:p>
        </w:tc>
        <w:tc>
          <w:tcPr>
            <w:tcW w:w="927" w:type="dxa"/>
            <w:vMerge/>
          </w:tcPr>
          <w:p w:rsidR="003B6E11" w:rsidRPr="003B6E11" w:rsidRDefault="003B6E11" w:rsidP="002D015D">
            <w:pPr>
              <w:spacing w:before="60" w:after="60" w:line="240" w:lineRule="atLeast"/>
              <w:jc w:val="center"/>
              <w:rPr>
                <w:rFonts w:cs="Arial"/>
                <w:noProof/>
                <w:sz w:val="18"/>
                <w:szCs w:val="18"/>
                <w:lang w:val="cs-CZ"/>
              </w:rPr>
            </w:pPr>
          </w:p>
        </w:tc>
        <w:tc>
          <w:tcPr>
            <w:tcW w:w="848" w:type="dxa"/>
            <w:vMerge/>
          </w:tcPr>
          <w:p w:rsidR="003B6E11" w:rsidRPr="003B6E11" w:rsidRDefault="003B6E11" w:rsidP="002D015D">
            <w:pPr>
              <w:spacing w:before="60" w:after="60" w:line="240" w:lineRule="atLeast"/>
              <w:jc w:val="center"/>
              <w:rPr>
                <w:rFonts w:cs="Arial"/>
                <w:noProof/>
                <w:sz w:val="18"/>
                <w:szCs w:val="18"/>
                <w:lang w:val="cs-CZ"/>
              </w:rPr>
            </w:pPr>
          </w:p>
        </w:tc>
        <w:tc>
          <w:tcPr>
            <w:tcW w:w="852" w:type="dxa"/>
          </w:tcPr>
          <w:p w:rsidR="003B6E11" w:rsidRPr="003B6E11" w:rsidRDefault="003B6E11" w:rsidP="002D015D">
            <w:pPr>
              <w:spacing w:before="60" w:after="60" w:line="240" w:lineRule="atLeast"/>
              <w:jc w:val="center"/>
              <w:rPr>
                <w:rFonts w:cs="Arial"/>
                <w:noProof/>
                <w:sz w:val="18"/>
                <w:szCs w:val="18"/>
                <w:lang w:val="cs-CZ"/>
              </w:rPr>
            </w:pPr>
            <w:r w:rsidRPr="003B6E11">
              <w:rPr>
                <w:noProof/>
                <w:sz w:val="18"/>
                <w:lang w:val="cs-CZ"/>
              </w:rPr>
              <w:t>Hodnota</w:t>
            </w:r>
          </w:p>
        </w:tc>
        <w:tc>
          <w:tcPr>
            <w:tcW w:w="903" w:type="dxa"/>
          </w:tcPr>
          <w:p w:rsidR="003B6E11" w:rsidRPr="003B6E11" w:rsidRDefault="003B6E11" w:rsidP="002D015D">
            <w:pPr>
              <w:spacing w:before="60" w:after="60" w:line="240" w:lineRule="atLeast"/>
              <w:jc w:val="center"/>
              <w:rPr>
                <w:rFonts w:cs="Arial"/>
                <w:noProof/>
                <w:sz w:val="18"/>
                <w:szCs w:val="18"/>
                <w:lang w:val="cs-CZ"/>
              </w:rPr>
            </w:pPr>
            <w:r w:rsidRPr="003B6E11">
              <w:rPr>
                <w:noProof/>
                <w:sz w:val="18"/>
                <w:lang w:val="cs-CZ"/>
              </w:rPr>
              <w:t>Fáze</w:t>
            </w:r>
          </w:p>
        </w:tc>
      </w:tr>
      <w:tr w:rsidR="003B6E11" w:rsidRPr="003B6E11" w:rsidTr="002D015D">
        <w:trPr>
          <w:jc w:val="center"/>
        </w:trPr>
        <w:tc>
          <w:tcPr>
            <w:tcW w:w="1461"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 xml:space="preserve">Přítok </w:t>
            </w:r>
            <m:oMath>
              <m:sSub>
                <m:sSubPr>
                  <m:ctrlPr>
                    <w:rPr>
                      <w:rFonts w:ascii="Cambria Math" w:hAnsi="Cambria Math"/>
                      <w:i/>
                      <w:noProof/>
                      <w:sz w:val="18"/>
                      <w:lang w:val="cs-CZ"/>
                    </w:rPr>
                  </m:ctrlPr>
                </m:sSubPr>
                <m:e>
                  <m:r>
                    <w:rPr>
                      <w:rFonts w:ascii="Cambria Math" w:hAnsi="Cambria Math"/>
                      <w:noProof/>
                      <w:sz w:val="18"/>
                      <w:lang w:val="cs-CZ"/>
                    </w:rPr>
                    <m:t>BOD</m:t>
                  </m:r>
                </m:e>
                <m:sub>
                  <m:r>
                    <w:rPr>
                      <w:rFonts w:ascii="Cambria Math" w:hAnsi="Cambria Math"/>
                      <w:noProof/>
                      <w:sz w:val="18"/>
                      <w:lang w:val="cs-CZ"/>
                    </w:rPr>
                    <m:t>5</m:t>
                  </m:r>
                </m:sub>
              </m:sSub>
            </m:oMath>
          </w:p>
        </w:tc>
        <w:tc>
          <w:tcPr>
            <w:tcW w:w="2325"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Souhrnné vzorky za 24 h</w:t>
            </w:r>
          </w:p>
        </w:tc>
        <w:tc>
          <w:tcPr>
            <w:tcW w:w="1016" w:type="dxa"/>
            <w:vAlign w:val="center"/>
          </w:tcPr>
          <w:p w:rsidR="003B6E11" w:rsidRPr="003B6E11" w:rsidRDefault="003B6E11" w:rsidP="002D015D">
            <w:pPr>
              <w:spacing w:before="60" w:after="60" w:line="240" w:lineRule="atLeast"/>
              <w:jc w:val="center"/>
              <w:rPr>
                <w:rFonts w:cs="Arial"/>
                <w:noProof/>
                <w:sz w:val="18"/>
                <w:szCs w:val="18"/>
                <w:lang w:val="cs-CZ"/>
              </w:rPr>
            </w:pPr>
            <w:r w:rsidRPr="003B6E11">
              <w:rPr>
                <w:noProof/>
                <w:sz w:val="18"/>
                <w:lang w:val="cs-CZ"/>
              </w:rPr>
              <w:t>--</w:t>
            </w:r>
          </w:p>
        </w:tc>
        <w:tc>
          <w:tcPr>
            <w:tcW w:w="927" w:type="dxa"/>
            <w:vAlign w:val="center"/>
          </w:tcPr>
          <w:p w:rsidR="003B6E11" w:rsidRPr="003B6E11" w:rsidRDefault="003B6E11" w:rsidP="002D015D">
            <w:pPr>
              <w:spacing w:before="60" w:after="60" w:line="240" w:lineRule="atLeast"/>
              <w:rPr>
                <w:rFonts w:cs="Arial"/>
                <w:noProof/>
                <w:sz w:val="18"/>
                <w:szCs w:val="18"/>
                <w:lang w:val="cs-CZ"/>
              </w:rPr>
            </w:pPr>
          </w:p>
        </w:tc>
        <w:tc>
          <w:tcPr>
            <w:tcW w:w="848" w:type="dxa"/>
          </w:tcPr>
          <w:p w:rsidR="003B6E11" w:rsidRPr="003B6E11" w:rsidRDefault="003B6E11" w:rsidP="002D015D">
            <w:pPr>
              <w:spacing w:before="60" w:after="60" w:line="240" w:lineRule="atLeast"/>
              <w:rPr>
                <w:rFonts w:cs="Arial"/>
                <w:noProof/>
                <w:sz w:val="18"/>
                <w:szCs w:val="18"/>
                <w:lang w:val="cs-CZ"/>
              </w:rPr>
            </w:pPr>
          </w:p>
        </w:tc>
        <w:tc>
          <w:tcPr>
            <w:tcW w:w="852" w:type="dxa"/>
            <w:vAlign w:val="center"/>
          </w:tcPr>
          <w:p w:rsidR="003B6E11" w:rsidRPr="003B6E11" w:rsidRDefault="003B6E11" w:rsidP="002D015D">
            <w:pPr>
              <w:spacing w:before="60" w:after="60" w:line="240" w:lineRule="atLeast"/>
              <w:rPr>
                <w:rFonts w:cs="Arial"/>
                <w:noProof/>
                <w:sz w:val="18"/>
                <w:szCs w:val="18"/>
                <w:lang w:val="cs-CZ"/>
              </w:rPr>
            </w:pPr>
          </w:p>
        </w:tc>
        <w:tc>
          <w:tcPr>
            <w:tcW w:w="903" w:type="dxa"/>
            <w:vAlign w:val="center"/>
          </w:tcPr>
          <w:p w:rsidR="003B6E11" w:rsidRPr="003B6E11" w:rsidRDefault="003B6E11" w:rsidP="002D015D">
            <w:pPr>
              <w:spacing w:before="60" w:after="60" w:line="240" w:lineRule="atLeast"/>
              <w:rPr>
                <w:rFonts w:cs="Arial"/>
                <w:noProof/>
                <w:sz w:val="18"/>
                <w:szCs w:val="18"/>
                <w:lang w:val="cs-CZ"/>
              </w:rPr>
            </w:pPr>
          </w:p>
        </w:tc>
      </w:tr>
      <w:tr w:rsidR="003B6E11" w:rsidRPr="003B6E11" w:rsidTr="002D015D">
        <w:trPr>
          <w:jc w:val="center"/>
        </w:trPr>
        <w:tc>
          <w:tcPr>
            <w:tcW w:w="1461" w:type="dxa"/>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 xml:space="preserve">Odtok </w:t>
            </w:r>
            <m:oMath>
              <m:sSub>
                <m:sSubPr>
                  <m:ctrlPr>
                    <w:rPr>
                      <w:rFonts w:ascii="Cambria Math" w:hAnsi="Cambria Math"/>
                      <w:i/>
                      <w:noProof/>
                      <w:sz w:val="18"/>
                      <w:lang w:val="cs-CZ"/>
                    </w:rPr>
                  </m:ctrlPr>
                </m:sSubPr>
                <m:e>
                  <m:r>
                    <w:rPr>
                      <w:rFonts w:ascii="Cambria Math" w:hAnsi="Cambria Math"/>
                      <w:noProof/>
                      <w:sz w:val="18"/>
                      <w:lang w:val="cs-CZ"/>
                    </w:rPr>
                    <m:t>BOD</m:t>
                  </m:r>
                </m:e>
                <m:sub>
                  <m:r>
                    <w:rPr>
                      <w:rFonts w:ascii="Cambria Math" w:hAnsi="Cambria Math"/>
                      <w:noProof/>
                      <w:sz w:val="18"/>
                      <w:lang w:val="cs-CZ"/>
                    </w:rPr>
                    <m:t>5</m:t>
                  </m:r>
                </m:sub>
              </m:sSub>
            </m:oMath>
          </w:p>
        </w:tc>
        <w:tc>
          <w:tcPr>
            <w:tcW w:w="2325"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Souhrnné vzorky za 24 h</w:t>
            </w:r>
          </w:p>
        </w:tc>
        <w:tc>
          <w:tcPr>
            <w:tcW w:w="1016" w:type="dxa"/>
            <w:vAlign w:val="center"/>
          </w:tcPr>
          <w:p w:rsidR="003B6E11" w:rsidRPr="003B6E11" w:rsidRDefault="003B6E11" w:rsidP="002D015D">
            <w:pPr>
              <w:spacing w:before="60" w:after="60" w:line="240" w:lineRule="atLeast"/>
              <w:rPr>
                <w:rFonts w:cs="Arial"/>
                <w:noProof/>
                <w:sz w:val="18"/>
                <w:szCs w:val="18"/>
                <w:lang w:val="cs-CZ"/>
              </w:rPr>
            </w:pPr>
          </w:p>
        </w:tc>
        <w:tc>
          <w:tcPr>
            <w:tcW w:w="927" w:type="dxa"/>
            <w:vAlign w:val="center"/>
          </w:tcPr>
          <w:p w:rsidR="003B6E11" w:rsidRPr="003B6E11" w:rsidRDefault="003B6E11" w:rsidP="002D015D">
            <w:pPr>
              <w:spacing w:before="60" w:after="60" w:line="240" w:lineRule="atLeast"/>
              <w:rPr>
                <w:rFonts w:cs="Arial"/>
                <w:noProof/>
                <w:sz w:val="18"/>
                <w:szCs w:val="18"/>
                <w:lang w:val="cs-CZ"/>
              </w:rPr>
            </w:pPr>
          </w:p>
        </w:tc>
        <w:tc>
          <w:tcPr>
            <w:tcW w:w="848" w:type="dxa"/>
          </w:tcPr>
          <w:p w:rsidR="003B6E11" w:rsidRPr="003B6E11" w:rsidRDefault="003B6E11" w:rsidP="002D015D">
            <w:pPr>
              <w:spacing w:before="60" w:after="60" w:line="240" w:lineRule="atLeast"/>
              <w:rPr>
                <w:rFonts w:cs="Arial"/>
                <w:noProof/>
                <w:sz w:val="18"/>
                <w:szCs w:val="18"/>
                <w:lang w:val="cs-CZ"/>
              </w:rPr>
            </w:pPr>
          </w:p>
        </w:tc>
        <w:tc>
          <w:tcPr>
            <w:tcW w:w="852" w:type="dxa"/>
            <w:vAlign w:val="center"/>
          </w:tcPr>
          <w:p w:rsidR="003B6E11" w:rsidRPr="003B6E11" w:rsidRDefault="003B6E11" w:rsidP="002D015D">
            <w:pPr>
              <w:spacing w:before="60" w:after="60" w:line="240" w:lineRule="atLeast"/>
              <w:rPr>
                <w:rFonts w:cs="Arial"/>
                <w:noProof/>
                <w:sz w:val="18"/>
                <w:szCs w:val="18"/>
                <w:lang w:val="cs-CZ"/>
              </w:rPr>
            </w:pPr>
          </w:p>
        </w:tc>
        <w:tc>
          <w:tcPr>
            <w:tcW w:w="903" w:type="dxa"/>
            <w:vAlign w:val="center"/>
          </w:tcPr>
          <w:p w:rsidR="003B6E11" w:rsidRPr="003B6E11" w:rsidRDefault="003B6E11" w:rsidP="002D015D">
            <w:pPr>
              <w:spacing w:before="60" w:after="60" w:line="240" w:lineRule="atLeast"/>
              <w:rPr>
                <w:rFonts w:cs="Arial"/>
                <w:noProof/>
                <w:sz w:val="18"/>
                <w:szCs w:val="18"/>
                <w:lang w:val="cs-CZ"/>
              </w:rPr>
            </w:pPr>
          </w:p>
        </w:tc>
      </w:tr>
      <w:tr w:rsidR="003B6E11" w:rsidRPr="003B6E11" w:rsidTr="002D015D">
        <w:trPr>
          <w:jc w:val="center"/>
        </w:trPr>
        <w:tc>
          <w:tcPr>
            <w:tcW w:w="1461"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 xml:space="preserve">Přítok </w:t>
            </w:r>
            <m:oMath>
              <m:sSub>
                <m:sSubPr>
                  <m:ctrlPr>
                    <w:rPr>
                      <w:rFonts w:ascii="Cambria Math" w:hAnsi="Cambria Math"/>
                      <w:i/>
                      <w:noProof/>
                      <w:sz w:val="18"/>
                      <w:lang w:val="cs-CZ"/>
                    </w:rPr>
                  </m:ctrlPr>
                </m:sSubPr>
                <m:e>
                  <m:r>
                    <w:rPr>
                      <w:rFonts w:ascii="Cambria Math" w:hAnsi="Cambria Math"/>
                      <w:noProof/>
                      <w:sz w:val="18"/>
                      <w:lang w:val="cs-CZ"/>
                    </w:rPr>
                    <m:t>BOD</m:t>
                  </m:r>
                </m:e>
                <m:sub>
                  <m:r>
                    <w:rPr>
                      <w:rFonts w:ascii="Cambria Math" w:hAnsi="Cambria Math"/>
                      <w:noProof/>
                      <w:sz w:val="18"/>
                      <w:lang w:val="cs-CZ"/>
                    </w:rPr>
                    <m:t>5</m:t>
                  </m:r>
                </m:sub>
              </m:sSub>
            </m:oMath>
          </w:p>
        </w:tc>
        <w:tc>
          <w:tcPr>
            <w:tcW w:w="2325"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Náhodné vzorky</w:t>
            </w:r>
          </w:p>
        </w:tc>
        <w:tc>
          <w:tcPr>
            <w:tcW w:w="1016" w:type="dxa"/>
            <w:vAlign w:val="center"/>
          </w:tcPr>
          <w:p w:rsidR="003B6E11" w:rsidRPr="003B6E11" w:rsidRDefault="003B6E11" w:rsidP="002D015D">
            <w:pPr>
              <w:spacing w:before="60" w:after="60" w:line="240" w:lineRule="atLeast"/>
              <w:jc w:val="center"/>
              <w:rPr>
                <w:rFonts w:cs="Arial"/>
                <w:noProof/>
                <w:sz w:val="18"/>
                <w:szCs w:val="18"/>
                <w:lang w:val="cs-CZ"/>
              </w:rPr>
            </w:pPr>
            <w:r w:rsidRPr="003B6E11">
              <w:rPr>
                <w:noProof/>
                <w:sz w:val="18"/>
                <w:lang w:val="cs-CZ"/>
              </w:rPr>
              <w:t>--</w:t>
            </w:r>
          </w:p>
        </w:tc>
        <w:tc>
          <w:tcPr>
            <w:tcW w:w="927" w:type="dxa"/>
            <w:vAlign w:val="center"/>
          </w:tcPr>
          <w:p w:rsidR="003B6E11" w:rsidRPr="003B6E11" w:rsidRDefault="003B6E11" w:rsidP="002D015D">
            <w:pPr>
              <w:spacing w:before="60" w:after="60" w:line="240" w:lineRule="atLeast"/>
              <w:rPr>
                <w:rFonts w:cs="Arial"/>
                <w:noProof/>
                <w:sz w:val="18"/>
                <w:szCs w:val="18"/>
                <w:lang w:val="cs-CZ"/>
              </w:rPr>
            </w:pPr>
          </w:p>
        </w:tc>
        <w:tc>
          <w:tcPr>
            <w:tcW w:w="848" w:type="dxa"/>
          </w:tcPr>
          <w:p w:rsidR="003B6E11" w:rsidRPr="003B6E11" w:rsidRDefault="003B6E11" w:rsidP="002D015D">
            <w:pPr>
              <w:spacing w:before="60" w:after="60" w:line="240" w:lineRule="atLeast"/>
              <w:rPr>
                <w:rFonts w:cs="Arial"/>
                <w:noProof/>
                <w:sz w:val="18"/>
                <w:szCs w:val="18"/>
                <w:lang w:val="cs-CZ"/>
              </w:rPr>
            </w:pPr>
          </w:p>
        </w:tc>
        <w:tc>
          <w:tcPr>
            <w:tcW w:w="852" w:type="dxa"/>
            <w:vAlign w:val="center"/>
          </w:tcPr>
          <w:p w:rsidR="003B6E11" w:rsidRPr="003B6E11" w:rsidRDefault="003B6E11" w:rsidP="002D015D">
            <w:pPr>
              <w:spacing w:before="60" w:after="60" w:line="240" w:lineRule="atLeast"/>
              <w:rPr>
                <w:rFonts w:cs="Arial"/>
                <w:noProof/>
                <w:sz w:val="18"/>
                <w:szCs w:val="18"/>
                <w:lang w:val="cs-CZ"/>
              </w:rPr>
            </w:pPr>
          </w:p>
        </w:tc>
        <w:tc>
          <w:tcPr>
            <w:tcW w:w="903" w:type="dxa"/>
            <w:vAlign w:val="center"/>
          </w:tcPr>
          <w:p w:rsidR="003B6E11" w:rsidRPr="003B6E11" w:rsidRDefault="003B6E11" w:rsidP="002D015D">
            <w:pPr>
              <w:spacing w:before="60" w:after="60" w:line="240" w:lineRule="atLeast"/>
              <w:rPr>
                <w:rFonts w:cs="Arial"/>
                <w:noProof/>
                <w:sz w:val="18"/>
                <w:szCs w:val="18"/>
                <w:lang w:val="cs-CZ"/>
              </w:rPr>
            </w:pPr>
          </w:p>
        </w:tc>
      </w:tr>
      <w:tr w:rsidR="003B6E11" w:rsidRPr="003B6E11" w:rsidTr="002D015D">
        <w:trPr>
          <w:jc w:val="center"/>
        </w:trPr>
        <w:tc>
          <w:tcPr>
            <w:tcW w:w="1461" w:type="dxa"/>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 xml:space="preserve">Odtok </w:t>
            </w:r>
            <m:oMath>
              <m:sSub>
                <m:sSubPr>
                  <m:ctrlPr>
                    <w:rPr>
                      <w:rFonts w:ascii="Cambria Math" w:hAnsi="Cambria Math"/>
                      <w:i/>
                      <w:noProof/>
                      <w:sz w:val="18"/>
                      <w:lang w:val="cs-CZ"/>
                    </w:rPr>
                  </m:ctrlPr>
                </m:sSubPr>
                <m:e>
                  <m:r>
                    <w:rPr>
                      <w:rFonts w:ascii="Cambria Math" w:hAnsi="Cambria Math"/>
                      <w:noProof/>
                      <w:sz w:val="18"/>
                      <w:lang w:val="cs-CZ"/>
                    </w:rPr>
                    <m:t>BOD</m:t>
                  </m:r>
                </m:e>
                <m:sub>
                  <m:r>
                    <w:rPr>
                      <w:rFonts w:ascii="Cambria Math" w:hAnsi="Cambria Math"/>
                      <w:noProof/>
                      <w:sz w:val="18"/>
                      <w:lang w:val="cs-CZ"/>
                    </w:rPr>
                    <m:t>5</m:t>
                  </m:r>
                </m:sub>
              </m:sSub>
            </m:oMath>
          </w:p>
        </w:tc>
        <w:tc>
          <w:tcPr>
            <w:tcW w:w="2325"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Náhodné vzorky</w:t>
            </w:r>
          </w:p>
        </w:tc>
        <w:tc>
          <w:tcPr>
            <w:tcW w:w="1016" w:type="dxa"/>
            <w:vAlign w:val="center"/>
          </w:tcPr>
          <w:p w:rsidR="003B6E11" w:rsidRPr="003B6E11" w:rsidRDefault="003B6E11" w:rsidP="002D015D">
            <w:pPr>
              <w:spacing w:before="60" w:after="60" w:line="240" w:lineRule="atLeast"/>
              <w:rPr>
                <w:rFonts w:cs="Arial"/>
                <w:noProof/>
                <w:sz w:val="18"/>
                <w:szCs w:val="18"/>
                <w:lang w:val="cs-CZ"/>
              </w:rPr>
            </w:pPr>
          </w:p>
        </w:tc>
        <w:tc>
          <w:tcPr>
            <w:tcW w:w="927" w:type="dxa"/>
            <w:vAlign w:val="center"/>
          </w:tcPr>
          <w:p w:rsidR="003B6E11" w:rsidRPr="003B6E11" w:rsidRDefault="003B6E11" w:rsidP="002D015D">
            <w:pPr>
              <w:spacing w:before="60" w:after="60" w:line="240" w:lineRule="atLeast"/>
              <w:rPr>
                <w:rFonts w:cs="Arial"/>
                <w:noProof/>
                <w:sz w:val="18"/>
                <w:szCs w:val="18"/>
                <w:lang w:val="cs-CZ"/>
              </w:rPr>
            </w:pPr>
          </w:p>
        </w:tc>
        <w:tc>
          <w:tcPr>
            <w:tcW w:w="848" w:type="dxa"/>
          </w:tcPr>
          <w:p w:rsidR="003B6E11" w:rsidRPr="003B6E11" w:rsidRDefault="003B6E11" w:rsidP="002D015D">
            <w:pPr>
              <w:spacing w:before="60" w:after="60" w:line="240" w:lineRule="atLeast"/>
              <w:rPr>
                <w:rFonts w:cs="Arial"/>
                <w:noProof/>
                <w:sz w:val="18"/>
                <w:szCs w:val="18"/>
                <w:lang w:val="cs-CZ"/>
              </w:rPr>
            </w:pPr>
          </w:p>
        </w:tc>
        <w:tc>
          <w:tcPr>
            <w:tcW w:w="852" w:type="dxa"/>
            <w:vAlign w:val="center"/>
          </w:tcPr>
          <w:p w:rsidR="003B6E11" w:rsidRPr="003B6E11" w:rsidRDefault="003B6E11" w:rsidP="002D015D">
            <w:pPr>
              <w:spacing w:before="60" w:after="60" w:line="240" w:lineRule="atLeast"/>
              <w:rPr>
                <w:rFonts w:cs="Arial"/>
                <w:noProof/>
                <w:sz w:val="18"/>
                <w:szCs w:val="18"/>
                <w:lang w:val="cs-CZ"/>
              </w:rPr>
            </w:pPr>
          </w:p>
        </w:tc>
        <w:tc>
          <w:tcPr>
            <w:tcW w:w="903" w:type="dxa"/>
            <w:vAlign w:val="center"/>
          </w:tcPr>
          <w:p w:rsidR="003B6E11" w:rsidRPr="003B6E11" w:rsidRDefault="003B6E11" w:rsidP="002D015D">
            <w:pPr>
              <w:spacing w:before="60" w:after="60" w:line="240" w:lineRule="atLeast"/>
              <w:rPr>
                <w:rFonts w:cs="Arial"/>
                <w:noProof/>
                <w:sz w:val="18"/>
                <w:szCs w:val="18"/>
                <w:lang w:val="cs-CZ"/>
              </w:rPr>
            </w:pPr>
          </w:p>
        </w:tc>
      </w:tr>
      <w:tr w:rsidR="003B6E11" w:rsidRPr="003B6E11" w:rsidTr="002D015D">
        <w:trPr>
          <w:jc w:val="center"/>
        </w:trPr>
        <w:tc>
          <w:tcPr>
            <w:tcW w:w="1461"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Přítok COD</w:t>
            </w:r>
          </w:p>
        </w:tc>
        <w:tc>
          <w:tcPr>
            <w:tcW w:w="2325"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Souhrnné vzorky za 24 h</w:t>
            </w:r>
          </w:p>
        </w:tc>
        <w:tc>
          <w:tcPr>
            <w:tcW w:w="1016" w:type="dxa"/>
            <w:vAlign w:val="center"/>
          </w:tcPr>
          <w:p w:rsidR="003B6E11" w:rsidRPr="003B6E11" w:rsidRDefault="003B6E11" w:rsidP="002D015D">
            <w:pPr>
              <w:spacing w:before="60" w:after="60" w:line="240" w:lineRule="atLeast"/>
              <w:jc w:val="center"/>
              <w:rPr>
                <w:rFonts w:cs="Arial"/>
                <w:noProof/>
                <w:sz w:val="18"/>
                <w:szCs w:val="18"/>
                <w:lang w:val="cs-CZ"/>
              </w:rPr>
            </w:pPr>
            <w:r w:rsidRPr="003B6E11">
              <w:rPr>
                <w:noProof/>
                <w:sz w:val="18"/>
                <w:lang w:val="cs-CZ"/>
              </w:rPr>
              <w:t>--</w:t>
            </w:r>
          </w:p>
        </w:tc>
        <w:tc>
          <w:tcPr>
            <w:tcW w:w="927" w:type="dxa"/>
            <w:vAlign w:val="center"/>
          </w:tcPr>
          <w:p w:rsidR="003B6E11" w:rsidRPr="003B6E11" w:rsidRDefault="003B6E11" w:rsidP="002D015D">
            <w:pPr>
              <w:spacing w:before="60" w:after="60" w:line="240" w:lineRule="atLeast"/>
              <w:rPr>
                <w:rFonts w:cs="Arial"/>
                <w:noProof/>
                <w:sz w:val="18"/>
                <w:szCs w:val="18"/>
                <w:lang w:val="cs-CZ"/>
              </w:rPr>
            </w:pPr>
          </w:p>
        </w:tc>
        <w:tc>
          <w:tcPr>
            <w:tcW w:w="848" w:type="dxa"/>
          </w:tcPr>
          <w:p w:rsidR="003B6E11" w:rsidRPr="003B6E11" w:rsidRDefault="003B6E11" w:rsidP="002D015D">
            <w:pPr>
              <w:spacing w:before="60" w:after="60" w:line="240" w:lineRule="atLeast"/>
              <w:rPr>
                <w:rFonts w:cs="Arial"/>
                <w:noProof/>
                <w:sz w:val="18"/>
                <w:szCs w:val="18"/>
                <w:lang w:val="cs-CZ"/>
              </w:rPr>
            </w:pPr>
          </w:p>
        </w:tc>
        <w:tc>
          <w:tcPr>
            <w:tcW w:w="852" w:type="dxa"/>
            <w:vAlign w:val="center"/>
          </w:tcPr>
          <w:p w:rsidR="003B6E11" w:rsidRPr="003B6E11" w:rsidRDefault="003B6E11" w:rsidP="002D015D">
            <w:pPr>
              <w:spacing w:before="60" w:after="60" w:line="240" w:lineRule="atLeast"/>
              <w:rPr>
                <w:rFonts w:cs="Arial"/>
                <w:noProof/>
                <w:sz w:val="18"/>
                <w:szCs w:val="18"/>
                <w:lang w:val="cs-CZ"/>
              </w:rPr>
            </w:pPr>
          </w:p>
        </w:tc>
        <w:tc>
          <w:tcPr>
            <w:tcW w:w="903" w:type="dxa"/>
            <w:vAlign w:val="center"/>
          </w:tcPr>
          <w:p w:rsidR="003B6E11" w:rsidRPr="003B6E11" w:rsidRDefault="003B6E11" w:rsidP="002D015D">
            <w:pPr>
              <w:spacing w:before="60" w:after="60" w:line="240" w:lineRule="atLeast"/>
              <w:rPr>
                <w:rFonts w:cs="Arial"/>
                <w:noProof/>
                <w:sz w:val="18"/>
                <w:szCs w:val="18"/>
                <w:lang w:val="cs-CZ"/>
              </w:rPr>
            </w:pPr>
          </w:p>
        </w:tc>
      </w:tr>
      <w:tr w:rsidR="003B6E11" w:rsidRPr="003B6E11" w:rsidTr="002D015D">
        <w:trPr>
          <w:jc w:val="center"/>
        </w:trPr>
        <w:tc>
          <w:tcPr>
            <w:tcW w:w="1461" w:type="dxa"/>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Odtok COD</w:t>
            </w:r>
          </w:p>
        </w:tc>
        <w:tc>
          <w:tcPr>
            <w:tcW w:w="2325"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Souhrnné vzorky za 24 h</w:t>
            </w:r>
          </w:p>
        </w:tc>
        <w:tc>
          <w:tcPr>
            <w:tcW w:w="1016" w:type="dxa"/>
            <w:vAlign w:val="center"/>
          </w:tcPr>
          <w:p w:rsidR="003B6E11" w:rsidRPr="003B6E11" w:rsidRDefault="003B6E11" w:rsidP="002D015D">
            <w:pPr>
              <w:spacing w:before="60" w:after="60" w:line="240" w:lineRule="atLeast"/>
              <w:rPr>
                <w:rFonts w:cs="Arial"/>
                <w:noProof/>
                <w:sz w:val="18"/>
                <w:szCs w:val="18"/>
                <w:lang w:val="cs-CZ"/>
              </w:rPr>
            </w:pPr>
          </w:p>
        </w:tc>
        <w:tc>
          <w:tcPr>
            <w:tcW w:w="927" w:type="dxa"/>
            <w:vAlign w:val="center"/>
          </w:tcPr>
          <w:p w:rsidR="003B6E11" w:rsidRPr="003B6E11" w:rsidRDefault="003B6E11" w:rsidP="002D015D">
            <w:pPr>
              <w:spacing w:before="60" w:after="60" w:line="240" w:lineRule="atLeast"/>
              <w:rPr>
                <w:rFonts w:cs="Arial"/>
                <w:noProof/>
                <w:sz w:val="18"/>
                <w:szCs w:val="18"/>
                <w:lang w:val="cs-CZ"/>
              </w:rPr>
            </w:pPr>
          </w:p>
        </w:tc>
        <w:tc>
          <w:tcPr>
            <w:tcW w:w="848" w:type="dxa"/>
          </w:tcPr>
          <w:p w:rsidR="003B6E11" w:rsidRPr="003B6E11" w:rsidRDefault="003B6E11" w:rsidP="002D015D">
            <w:pPr>
              <w:spacing w:before="60" w:after="60" w:line="240" w:lineRule="atLeast"/>
              <w:rPr>
                <w:rFonts w:cs="Arial"/>
                <w:noProof/>
                <w:sz w:val="18"/>
                <w:szCs w:val="18"/>
                <w:lang w:val="cs-CZ"/>
              </w:rPr>
            </w:pPr>
          </w:p>
        </w:tc>
        <w:tc>
          <w:tcPr>
            <w:tcW w:w="852" w:type="dxa"/>
            <w:vAlign w:val="center"/>
          </w:tcPr>
          <w:p w:rsidR="003B6E11" w:rsidRPr="003B6E11" w:rsidRDefault="003B6E11" w:rsidP="002D015D">
            <w:pPr>
              <w:spacing w:before="60" w:after="60" w:line="240" w:lineRule="atLeast"/>
              <w:rPr>
                <w:rFonts w:cs="Arial"/>
                <w:noProof/>
                <w:sz w:val="18"/>
                <w:szCs w:val="18"/>
                <w:lang w:val="cs-CZ"/>
              </w:rPr>
            </w:pPr>
          </w:p>
        </w:tc>
        <w:tc>
          <w:tcPr>
            <w:tcW w:w="903" w:type="dxa"/>
            <w:vAlign w:val="center"/>
          </w:tcPr>
          <w:p w:rsidR="003B6E11" w:rsidRPr="003B6E11" w:rsidRDefault="003B6E11" w:rsidP="002D015D">
            <w:pPr>
              <w:spacing w:before="60" w:after="60" w:line="240" w:lineRule="atLeast"/>
              <w:rPr>
                <w:rFonts w:cs="Arial"/>
                <w:noProof/>
                <w:sz w:val="18"/>
                <w:szCs w:val="18"/>
                <w:lang w:val="cs-CZ"/>
              </w:rPr>
            </w:pPr>
          </w:p>
        </w:tc>
      </w:tr>
      <w:tr w:rsidR="003B6E11" w:rsidRPr="003B6E11" w:rsidTr="002D015D">
        <w:trPr>
          <w:jc w:val="center"/>
        </w:trPr>
        <w:tc>
          <w:tcPr>
            <w:tcW w:w="1461"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Přítok COD</w:t>
            </w:r>
          </w:p>
        </w:tc>
        <w:tc>
          <w:tcPr>
            <w:tcW w:w="2325"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Náhodné vzorky</w:t>
            </w:r>
          </w:p>
        </w:tc>
        <w:tc>
          <w:tcPr>
            <w:tcW w:w="1016" w:type="dxa"/>
            <w:vAlign w:val="center"/>
          </w:tcPr>
          <w:p w:rsidR="003B6E11" w:rsidRPr="003B6E11" w:rsidRDefault="003B6E11" w:rsidP="002D015D">
            <w:pPr>
              <w:spacing w:before="60" w:after="60" w:line="240" w:lineRule="atLeast"/>
              <w:jc w:val="center"/>
              <w:rPr>
                <w:rFonts w:cs="Arial"/>
                <w:noProof/>
                <w:sz w:val="18"/>
                <w:szCs w:val="18"/>
                <w:lang w:val="cs-CZ"/>
              </w:rPr>
            </w:pPr>
            <w:r w:rsidRPr="003B6E11">
              <w:rPr>
                <w:noProof/>
                <w:sz w:val="18"/>
                <w:lang w:val="cs-CZ"/>
              </w:rPr>
              <w:t>--</w:t>
            </w:r>
          </w:p>
        </w:tc>
        <w:tc>
          <w:tcPr>
            <w:tcW w:w="927" w:type="dxa"/>
            <w:vAlign w:val="center"/>
          </w:tcPr>
          <w:p w:rsidR="003B6E11" w:rsidRPr="003B6E11" w:rsidRDefault="003B6E11" w:rsidP="002D015D">
            <w:pPr>
              <w:spacing w:before="60" w:after="60" w:line="240" w:lineRule="atLeast"/>
              <w:rPr>
                <w:rFonts w:cs="Arial"/>
                <w:noProof/>
                <w:sz w:val="18"/>
                <w:szCs w:val="18"/>
                <w:lang w:val="cs-CZ"/>
              </w:rPr>
            </w:pPr>
          </w:p>
        </w:tc>
        <w:tc>
          <w:tcPr>
            <w:tcW w:w="848" w:type="dxa"/>
          </w:tcPr>
          <w:p w:rsidR="003B6E11" w:rsidRPr="003B6E11" w:rsidRDefault="003B6E11" w:rsidP="002D015D">
            <w:pPr>
              <w:spacing w:before="60" w:after="60" w:line="240" w:lineRule="atLeast"/>
              <w:rPr>
                <w:rFonts w:cs="Arial"/>
                <w:noProof/>
                <w:sz w:val="18"/>
                <w:szCs w:val="18"/>
                <w:lang w:val="cs-CZ"/>
              </w:rPr>
            </w:pPr>
          </w:p>
        </w:tc>
        <w:tc>
          <w:tcPr>
            <w:tcW w:w="852" w:type="dxa"/>
            <w:vAlign w:val="center"/>
          </w:tcPr>
          <w:p w:rsidR="003B6E11" w:rsidRPr="003B6E11" w:rsidRDefault="003B6E11" w:rsidP="002D015D">
            <w:pPr>
              <w:spacing w:before="60" w:after="60" w:line="240" w:lineRule="atLeast"/>
              <w:rPr>
                <w:rFonts w:cs="Arial"/>
                <w:noProof/>
                <w:sz w:val="18"/>
                <w:szCs w:val="18"/>
                <w:lang w:val="cs-CZ"/>
              </w:rPr>
            </w:pPr>
          </w:p>
        </w:tc>
        <w:tc>
          <w:tcPr>
            <w:tcW w:w="903" w:type="dxa"/>
            <w:vAlign w:val="center"/>
          </w:tcPr>
          <w:p w:rsidR="003B6E11" w:rsidRPr="003B6E11" w:rsidRDefault="003B6E11" w:rsidP="002D015D">
            <w:pPr>
              <w:spacing w:before="60" w:after="60" w:line="240" w:lineRule="atLeast"/>
              <w:rPr>
                <w:rFonts w:cs="Arial"/>
                <w:noProof/>
                <w:sz w:val="18"/>
                <w:szCs w:val="18"/>
                <w:lang w:val="cs-CZ"/>
              </w:rPr>
            </w:pPr>
          </w:p>
        </w:tc>
      </w:tr>
      <w:tr w:rsidR="003B6E11" w:rsidRPr="003B6E11" w:rsidTr="002D015D">
        <w:trPr>
          <w:jc w:val="center"/>
        </w:trPr>
        <w:tc>
          <w:tcPr>
            <w:tcW w:w="1461" w:type="dxa"/>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Odtok COD</w:t>
            </w:r>
          </w:p>
        </w:tc>
        <w:tc>
          <w:tcPr>
            <w:tcW w:w="2325"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Náhodné vzorky</w:t>
            </w:r>
          </w:p>
        </w:tc>
        <w:tc>
          <w:tcPr>
            <w:tcW w:w="1016" w:type="dxa"/>
            <w:vAlign w:val="center"/>
          </w:tcPr>
          <w:p w:rsidR="003B6E11" w:rsidRPr="003B6E11" w:rsidRDefault="003B6E11" w:rsidP="002D015D">
            <w:pPr>
              <w:spacing w:before="60" w:after="60" w:line="240" w:lineRule="atLeast"/>
              <w:rPr>
                <w:rFonts w:cs="Arial"/>
                <w:noProof/>
                <w:sz w:val="18"/>
                <w:szCs w:val="18"/>
                <w:lang w:val="cs-CZ"/>
              </w:rPr>
            </w:pPr>
          </w:p>
        </w:tc>
        <w:tc>
          <w:tcPr>
            <w:tcW w:w="927" w:type="dxa"/>
            <w:vAlign w:val="center"/>
          </w:tcPr>
          <w:p w:rsidR="003B6E11" w:rsidRPr="003B6E11" w:rsidRDefault="003B6E11" w:rsidP="002D015D">
            <w:pPr>
              <w:spacing w:before="60" w:after="60" w:line="240" w:lineRule="atLeast"/>
              <w:rPr>
                <w:rFonts w:cs="Arial"/>
                <w:noProof/>
                <w:sz w:val="18"/>
                <w:szCs w:val="18"/>
                <w:lang w:val="cs-CZ"/>
              </w:rPr>
            </w:pPr>
          </w:p>
        </w:tc>
        <w:tc>
          <w:tcPr>
            <w:tcW w:w="848" w:type="dxa"/>
          </w:tcPr>
          <w:p w:rsidR="003B6E11" w:rsidRPr="003B6E11" w:rsidRDefault="003B6E11" w:rsidP="002D015D">
            <w:pPr>
              <w:spacing w:before="60" w:after="60" w:line="240" w:lineRule="atLeast"/>
              <w:rPr>
                <w:rFonts w:cs="Arial"/>
                <w:noProof/>
                <w:sz w:val="18"/>
                <w:szCs w:val="18"/>
                <w:lang w:val="cs-CZ"/>
              </w:rPr>
            </w:pPr>
          </w:p>
        </w:tc>
        <w:tc>
          <w:tcPr>
            <w:tcW w:w="852" w:type="dxa"/>
            <w:vAlign w:val="center"/>
          </w:tcPr>
          <w:p w:rsidR="003B6E11" w:rsidRPr="003B6E11" w:rsidRDefault="003B6E11" w:rsidP="002D015D">
            <w:pPr>
              <w:spacing w:before="60" w:after="60" w:line="240" w:lineRule="atLeast"/>
              <w:rPr>
                <w:rFonts w:cs="Arial"/>
                <w:noProof/>
                <w:sz w:val="18"/>
                <w:szCs w:val="18"/>
                <w:lang w:val="cs-CZ"/>
              </w:rPr>
            </w:pPr>
          </w:p>
        </w:tc>
        <w:tc>
          <w:tcPr>
            <w:tcW w:w="903" w:type="dxa"/>
            <w:vAlign w:val="center"/>
          </w:tcPr>
          <w:p w:rsidR="003B6E11" w:rsidRPr="003B6E11" w:rsidRDefault="003B6E11" w:rsidP="002D015D">
            <w:pPr>
              <w:spacing w:before="60" w:after="60" w:line="240" w:lineRule="atLeast"/>
              <w:rPr>
                <w:rFonts w:cs="Arial"/>
                <w:noProof/>
                <w:sz w:val="18"/>
                <w:szCs w:val="18"/>
                <w:lang w:val="cs-CZ"/>
              </w:rPr>
            </w:pPr>
          </w:p>
        </w:tc>
      </w:tr>
      <w:tr w:rsidR="003B6E11" w:rsidRPr="003B6E11" w:rsidTr="002D015D">
        <w:trPr>
          <w:jc w:val="center"/>
        </w:trPr>
        <w:tc>
          <w:tcPr>
            <w:tcW w:w="1461"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Přítok TOC</w:t>
            </w:r>
          </w:p>
        </w:tc>
        <w:tc>
          <w:tcPr>
            <w:tcW w:w="2325"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Souhrnné vzorky za 24 h</w:t>
            </w:r>
          </w:p>
        </w:tc>
        <w:tc>
          <w:tcPr>
            <w:tcW w:w="1016" w:type="dxa"/>
            <w:vAlign w:val="center"/>
          </w:tcPr>
          <w:p w:rsidR="003B6E11" w:rsidRPr="003B6E11" w:rsidRDefault="003B6E11" w:rsidP="002D015D">
            <w:pPr>
              <w:spacing w:before="60" w:after="60" w:line="240" w:lineRule="atLeast"/>
              <w:jc w:val="center"/>
              <w:rPr>
                <w:rFonts w:cs="Arial"/>
                <w:noProof/>
                <w:sz w:val="18"/>
                <w:szCs w:val="18"/>
                <w:lang w:val="cs-CZ"/>
              </w:rPr>
            </w:pPr>
            <w:r w:rsidRPr="003B6E11">
              <w:rPr>
                <w:noProof/>
                <w:sz w:val="18"/>
                <w:lang w:val="cs-CZ"/>
              </w:rPr>
              <w:t>--</w:t>
            </w:r>
          </w:p>
        </w:tc>
        <w:tc>
          <w:tcPr>
            <w:tcW w:w="927" w:type="dxa"/>
            <w:vAlign w:val="center"/>
          </w:tcPr>
          <w:p w:rsidR="003B6E11" w:rsidRPr="003B6E11" w:rsidRDefault="003B6E11" w:rsidP="002D015D">
            <w:pPr>
              <w:spacing w:before="60" w:after="60" w:line="240" w:lineRule="atLeast"/>
              <w:rPr>
                <w:rFonts w:cs="Arial"/>
                <w:noProof/>
                <w:sz w:val="18"/>
                <w:szCs w:val="18"/>
                <w:lang w:val="cs-CZ"/>
              </w:rPr>
            </w:pPr>
          </w:p>
        </w:tc>
        <w:tc>
          <w:tcPr>
            <w:tcW w:w="848" w:type="dxa"/>
          </w:tcPr>
          <w:p w:rsidR="003B6E11" w:rsidRPr="003B6E11" w:rsidRDefault="003B6E11" w:rsidP="002D015D">
            <w:pPr>
              <w:spacing w:before="60" w:after="60" w:line="240" w:lineRule="atLeast"/>
              <w:rPr>
                <w:rFonts w:cs="Arial"/>
                <w:noProof/>
                <w:sz w:val="18"/>
                <w:szCs w:val="18"/>
                <w:lang w:val="cs-CZ"/>
              </w:rPr>
            </w:pPr>
          </w:p>
        </w:tc>
        <w:tc>
          <w:tcPr>
            <w:tcW w:w="852" w:type="dxa"/>
            <w:vAlign w:val="center"/>
          </w:tcPr>
          <w:p w:rsidR="003B6E11" w:rsidRPr="003B6E11" w:rsidRDefault="003B6E11" w:rsidP="002D015D">
            <w:pPr>
              <w:spacing w:before="60" w:after="60" w:line="240" w:lineRule="atLeast"/>
              <w:rPr>
                <w:rFonts w:cs="Arial"/>
                <w:noProof/>
                <w:sz w:val="18"/>
                <w:szCs w:val="18"/>
                <w:lang w:val="cs-CZ"/>
              </w:rPr>
            </w:pPr>
          </w:p>
        </w:tc>
        <w:tc>
          <w:tcPr>
            <w:tcW w:w="903" w:type="dxa"/>
            <w:vAlign w:val="center"/>
          </w:tcPr>
          <w:p w:rsidR="003B6E11" w:rsidRPr="003B6E11" w:rsidRDefault="003B6E11" w:rsidP="002D015D">
            <w:pPr>
              <w:spacing w:before="60" w:after="60" w:line="240" w:lineRule="atLeast"/>
              <w:rPr>
                <w:rFonts w:cs="Arial"/>
                <w:noProof/>
                <w:sz w:val="18"/>
                <w:szCs w:val="18"/>
                <w:lang w:val="cs-CZ"/>
              </w:rPr>
            </w:pPr>
          </w:p>
        </w:tc>
      </w:tr>
      <w:tr w:rsidR="003B6E11" w:rsidRPr="003B6E11" w:rsidTr="002D015D">
        <w:trPr>
          <w:jc w:val="center"/>
        </w:trPr>
        <w:tc>
          <w:tcPr>
            <w:tcW w:w="1461" w:type="dxa"/>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Odtok TOC</w:t>
            </w:r>
          </w:p>
        </w:tc>
        <w:tc>
          <w:tcPr>
            <w:tcW w:w="2325"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Souhrnné vzorky za 24 h</w:t>
            </w:r>
          </w:p>
        </w:tc>
        <w:tc>
          <w:tcPr>
            <w:tcW w:w="1016" w:type="dxa"/>
            <w:vAlign w:val="center"/>
          </w:tcPr>
          <w:p w:rsidR="003B6E11" w:rsidRPr="003B6E11" w:rsidRDefault="003B6E11" w:rsidP="002D015D">
            <w:pPr>
              <w:spacing w:before="60" w:after="60" w:line="240" w:lineRule="atLeast"/>
              <w:rPr>
                <w:rFonts w:cs="Arial"/>
                <w:noProof/>
                <w:sz w:val="18"/>
                <w:szCs w:val="18"/>
                <w:lang w:val="cs-CZ"/>
              </w:rPr>
            </w:pPr>
          </w:p>
        </w:tc>
        <w:tc>
          <w:tcPr>
            <w:tcW w:w="927" w:type="dxa"/>
            <w:vAlign w:val="center"/>
          </w:tcPr>
          <w:p w:rsidR="003B6E11" w:rsidRPr="003B6E11" w:rsidRDefault="003B6E11" w:rsidP="002D015D">
            <w:pPr>
              <w:spacing w:before="60" w:after="60" w:line="240" w:lineRule="atLeast"/>
              <w:rPr>
                <w:rFonts w:cs="Arial"/>
                <w:noProof/>
                <w:sz w:val="18"/>
                <w:szCs w:val="18"/>
                <w:lang w:val="cs-CZ"/>
              </w:rPr>
            </w:pPr>
          </w:p>
        </w:tc>
        <w:tc>
          <w:tcPr>
            <w:tcW w:w="848" w:type="dxa"/>
          </w:tcPr>
          <w:p w:rsidR="003B6E11" w:rsidRPr="003B6E11" w:rsidRDefault="003B6E11" w:rsidP="002D015D">
            <w:pPr>
              <w:spacing w:before="60" w:after="60" w:line="240" w:lineRule="atLeast"/>
              <w:rPr>
                <w:rFonts w:cs="Arial"/>
                <w:noProof/>
                <w:sz w:val="18"/>
                <w:szCs w:val="18"/>
                <w:lang w:val="cs-CZ"/>
              </w:rPr>
            </w:pPr>
          </w:p>
        </w:tc>
        <w:tc>
          <w:tcPr>
            <w:tcW w:w="852" w:type="dxa"/>
            <w:vAlign w:val="center"/>
          </w:tcPr>
          <w:p w:rsidR="003B6E11" w:rsidRPr="003B6E11" w:rsidRDefault="003B6E11" w:rsidP="002D015D">
            <w:pPr>
              <w:spacing w:before="60" w:after="60" w:line="240" w:lineRule="atLeast"/>
              <w:rPr>
                <w:rFonts w:cs="Arial"/>
                <w:noProof/>
                <w:sz w:val="18"/>
                <w:szCs w:val="18"/>
                <w:lang w:val="cs-CZ"/>
              </w:rPr>
            </w:pPr>
          </w:p>
        </w:tc>
        <w:tc>
          <w:tcPr>
            <w:tcW w:w="903" w:type="dxa"/>
            <w:vAlign w:val="center"/>
          </w:tcPr>
          <w:p w:rsidR="003B6E11" w:rsidRPr="003B6E11" w:rsidRDefault="003B6E11" w:rsidP="002D015D">
            <w:pPr>
              <w:spacing w:before="60" w:after="60" w:line="240" w:lineRule="atLeast"/>
              <w:rPr>
                <w:rFonts w:cs="Arial"/>
                <w:noProof/>
                <w:sz w:val="18"/>
                <w:szCs w:val="18"/>
                <w:lang w:val="cs-CZ"/>
              </w:rPr>
            </w:pPr>
          </w:p>
        </w:tc>
      </w:tr>
      <w:tr w:rsidR="003B6E11" w:rsidRPr="003B6E11" w:rsidTr="002D015D">
        <w:trPr>
          <w:jc w:val="center"/>
        </w:trPr>
        <w:tc>
          <w:tcPr>
            <w:tcW w:w="1461"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Přítok TOC</w:t>
            </w:r>
          </w:p>
        </w:tc>
        <w:tc>
          <w:tcPr>
            <w:tcW w:w="2325"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Náhodné vzorky</w:t>
            </w:r>
          </w:p>
        </w:tc>
        <w:tc>
          <w:tcPr>
            <w:tcW w:w="1016" w:type="dxa"/>
            <w:vAlign w:val="center"/>
          </w:tcPr>
          <w:p w:rsidR="003B6E11" w:rsidRPr="003B6E11" w:rsidRDefault="003B6E11" w:rsidP="002D015D">
            <w:pPr>
              <w:spacing w:before="60" w:after="60" w:line="240" w:lineRule="atLeast"/>
              <w:jc w:val="center"/>
              <w:rPr>
                <w:rFonts w:cs="Arial"/>
                <w:noProof/>
                <w:sz w:val="18"/>
                <w:szCs w:val="18"/>
                <w:lang w:val="cs-CZ"/>
              </w:rPr>
            </w:pPr>
            <w:r w:rsidRPr="003B6E11">
              <w:rPr>
                <w:noProof/>
                <w:sz w:val="18"/>
                <w:lang w:val="cs-CZ"/>
              </w:rPr>
              <w:t>--</w:t>
            </w:r>
          </w:p>
        </w:tc>
        <w:tc>
          <w:tcPr>
            <w:tcW w:w="927" w:type="dxa"/>
            <w:vAlign w:val="center"/>
          </w:tcPr>
          <w:p w:rsidR="003B6E11" w:rsidRPr="003B6E11" w:rsidRDefault="003B6E11" w:rsidP="002D015D">
            <w:pPr>
              <w:spacing w:before="60" w:after="60" w:line="240" w:lineRule="atLeast"/>
              <w:rPr>
                <w:rFonts w:cs="Arial"/>
                <w:noProof/>
                <w:sz w:val="18"/>
                <w:szCs w:val="18"/>
                <w:lang w:val="cs-CZ"/>
              </w:rPr>
            </w:pPr>
          </w:p>
        </w:tc>
        <w:tc>
          <w:tcPr>
            <w:tcW w:w="848" w:type="dxa"/>
          </w:tcPr>
          <w:p w:rsidR="003B6E11" w:rsidRPr="003B6E11" w:rsidRDefault="003B6E11" w:rsidP="002D015D">
            <w:pPr>
              <w:spacing w:before="60" w:after="60" w:line="240" w:lineRule="atLeast"/>
              <w:rPr>
                <w:rFonts w:cs="Arial"/>
                <w:noProof/>
                <w:sz w:val="18"/>
                <w:szCs w:val="18"/>
                <w:lang w:val="cs-CZ"/>
              </w:rPr>
            </w:pPr>
          </w:p>
        </w:tc>
        <w:tc>
          <w:tcPr>
            <w:tcW w:w="852" w:type="dxa"/>
            <w:vAlign w:val="center"/>
          </w:tcPr>
          <w:p w:rsidR="003B6E11" w:rsidRPr="003B6E11" w:rsidRDefault="003B6E11" w:rsidP="002D015D">
            <w:pPr>
              <w:spacing w:before="60" w:after="60" w:line="240" w:lineRule="atLeast"/>
              <w:rPr>
                <w:rFonts w:cs="Arial"/>
                <w:noProof/>
                <w:sz w:val="18"/>
                <w:szCs w:val="18"/>
                <w:lang w:val="cs-CZ"/>
              </w:rPr>
            </w:pPr>
          </w:p>
        </w:tc>
        <w:tc>
          <w:tcPr>
            <w:tcW w:w="903" w:type="dxa"/>
            <w:vAlign w:val="center"/>
          </w:tcPr>
          <w:p w:rsidR="003B6E11" w:rsidRPr="003B6E11" w:rsidRDefault="003B6E11" w:rsidP="002D015D">
            <w:pPr>
              <w:spacing w:before="60" w:after="60" w:line="240" w:lineRule="atLeast"/>
              <w:rPr>
                <w:rFonts w:cs="Arial"/>
                <w:noProof/>
                <w:sz w:val="18"/>
                <w:szCs w:val="18"/>
                <w:lang w:val="cs-CZ"/>
              </w:rPr>
            </w:pPr>
          </w:p>
        </w:tc>
      </w:tr>
      <w:tr w:rsidR="003B6E11" w:rsidRPr="003B6E11" w:rsidTr="002D015D">
        <w:trPr>
          <w:jc w:val="center"/>
        </w:trPr>
        <w:tc>
          <w:tcPr>
            <w:tcW w:w="1461" w:type="dxa"/>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Odtok TOC</w:t>
            </w:r>
          </w:p>
        </w:tc>
        <w:tc>
          <w:tcPr>
            <w:tcW w:w="2325"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Náhodné vzorky</w:t>
            </w:r>
          </w:p>
        </w:tc>
        <w:tc>
          <w:tcPr>
            <w:tcW w:w="1016" w:type="dxa"/>
            <w:vAlign w:val="center"/>
          </w:tcPr>
          <w:p w:rsidR="003B6E11" w:rsidRPr="003B6E11" w:rsidRDefault="003B6E11" w:rsidP="002D015D">
            <w:pPr>
              <w:spacing w:before="60" w:after="60" w:line="240" w:lineRule="atLeast"/>
              <w:rPr>
                <w:rFonts w:cs="Arial"/>
                <w:noProof/>
                <w:sz w:val="18"/>
                <w:szCs w:val="18"/>
                <w:lang w:val="cs-CZ"/>
              </w:rPr>
            </w:pPr>
          </w:p>
        </w:tc>
        <w:tc>
          <w:tcPr>
            <w:tcW w:w="927" w:type="dxa"/>
            <w:vAlign w:val="center"/>
          </w:tcPr>
          <w:p w:rsidR="003B6E11" w:rsidRPr="003B6E11" w:rsidRDefault="003B6E11" w:rsidP="002D015D">
            <w:pPr>
              <w:spacing w:before="60" w:after="60" w:line="240" w:lineRule="atLeast"/>
              <w:rPr>
                <w:rFonts w:cs="Arial"/>
                <w:noProof/>
                <w:sz w:val="18"/>
                <w:szCs w:val="18"/>
                <w:lang w:val="cs-CZ"/>
              </w:rPr>
            </w:pPr>
          </w:p>
        </w:tc>
        <w:tc>
          <w:tcPr>
            <w:tcW w:w="848" w:type="dxa"/>
          </w:tcPr>
          <w:p w:rsidR="003B6E11" w:rsidRPr="003B6E11" w:rsidRDefault="003B6E11" w:rsidP="002D015D">
            <w:pPr>
              <w:spacing w:before="60" w:after="60" w:line="240" w:lineRule="atLeast"/>
              <w:rPr>
                <w:rFonts w:cs="Arial"/>
                <w:noProof/>
                <w:sz w:val="18"/>
                <w:szCs w:val="18"/>
                <w:lang w:val="cs-CZ"/>
              </w:rPr>
            </w:pPr>
          </w:p>
        </w:tc>
        <w:tc>
          <w:tcPr>
            <w:tcW w:w="852" w:type="dxa"/>
            <w:vAlign w:val="center"/>
          </w:tcPr>
          <w:p w:rsidR="003B6E11" w:rsidRPr="003B6E11" w:rsidRDefault="003B6E11" w:rsidP="002D015D">
            <w:pPr>
              <w:spacing w:before="60" w:after="60" w:line="240" w:lineRule="atLeast"/>
              <w:rPr>
                <w:rFonts w:cs="Arial"/>
                <w:noProof/>
                <w:sz w:val="18"/>
                <w:szCs w:val="18"/>
                <w:lang w:val="cs-CZ"/>
              </w:rPr>
            </w:pPr>
          </w:p>
        </w:tc>
        <w:tc>
          <w:tcPr>
            <w:tcW w:w="903" w:type="dxa"/>
            <w:vAlign w:val="center"/>
          </w:tcPr>
          <w:p w:rsidR="003B6E11" w:rsidRPr="003B6E11" w:rsidRDefault="003B6E11" w:rsidP="002D015D">
            <w:pPr>
              <w:spacing w:before="60" w:after="60" w:line="240" w:lineRule="atLeast"/>
              <w:rPr>
                <w:rFonts w:cs="Arial"/>
                <w:noProof/>
                <w:sz w:val="18"/>
                <w:szCs w:val="18"/>
                <w:lang w:val="cs-CZ"/>
              </w:rPr>
            </w:pPr>
          </w:p>
        </w:tc>
      </w:tr>
      <w:tr w:rsidR="003B6E11" w:rsidRPr="003B6E11" w:rsidTr="002D015D">
        <w:trPr>
          <w:jc w:val="center"/>
        </w:trPr>
        <w:tc>
          <w:tcPr>
            <w:tcW w:w="1461"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Přítok SRF</w:t>
            </w:r>
          </w:p>
        </w:tc>
        <w:tc>
          <w:tcPr>
            <w:tcW w:w="2325"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Souhrnné vzorky za 24 h</w:t>
            </w:r>
          </w:p>
        </w:tc>
        <w:tc>
          <w:tcPr>
            <w:tcW w:w="1016" w:type="dxa"/>
            <w:vAlign w:val="center"/>
          </w:tcPr>
          <w:p w:rsidR="003B6E11" w:rsidRPr="003B6E11" w:rsidRDefault="003B6E11" w:rsidP="002D015D">
            <w:pPr>
              <w:spacing w:before="60" w:after="60" w:line="240" w:lineRule="atLeast"/>
              <w:jc w:val="center"/>
              <w:rPr>
                <w:rFonts w:cs="Arial"/>
                <w:noProof/>
                <w:sz w:val="18"/>
                <w:szCs w:val="18"/>
                <w:lang w:val="cs-CZ"/>
              </w:rPr>
            </w:pPr>
            <w:r w:rsidRPr="003B6E11">
              <w:rPr>
                <w:noProof/>
                <w:sz w:val="18"/>
                <w:lang w:val="cs-CZ"/>
              </w:rPr>
              <w:t>--</w:t>
            </w:r>
          </w:p>
        </w:tc>
        <w:tc>
          <w:tcPr>
            <w:tcW w:w="927" w:type="dxa"/>
            <w:vAlign w:val="center"/>
          </w:tcPr>
          <w:p w:rsidR="003B6E11" w:rsidRPr="003B6E11" w:rsidRDefault="003B6E11" w:rsidP="002D015D">
            <w:pPr>
              <w:spacing w:before="60" w:after="60" w:line="240" w:lineRule="atLeast"/>
              <w:rPr>
                <w:rFonts w:cs="Arial"/>
                <w:noProof/>
                <w:sz w:val="18"/>
                <w:szCs w:val="18"/>
                <w:lang w:val="cs-CZ"/>
              </w:rPr>
            </w:pPr>
          </w:p>
        </w:tc>
        <w:tc>
          <w:tcPr>
            <w:tcW w:w="848" w:type="dxa"/>
          </w:tcPr>
          <w:p w:rsidR="003B6E11" w:rsidRPr="003B6E11" w:rsidRDefault="003B6E11" w:rsidP="002D015D">
            <w:pPr>
              <w:spacing w:before="60" w:after="60" w:line="240" w:lineRule="atLeast"/>
              <w:rPr>
                <w:rFonts w:cs="Arial"/>
                <w:noProof/>
                <w:sz w:val="18"/>
                <w:szCs w:val="18"/>
                <w:lang w:val="cs-CZ"/>
              </w:rPr>
            </w:pPr>
          </w:p>
        </w:tc>
        <w:tc>
          <w:tcPr>
            <w:tcW w:w="852" w:type="dxa"/>
            <w:vAlign w:val="center"/>
          </w:tcPr>
          <w:p w:rsidR="003B6E11" w:rsidRPr="003B6E11" w:rsidRDefault="003B6E11" w:rsidP="002D015D">
            <w:pPr>
              <w:spacing w:before="60" w:after="60" w:line="240" w:lineRule="atLeast"/>
              <w:rPr>
                <w:rFonts w:cs="Arial"/>
                <w:noProof/>
                <w:sz w:val="18"/>
                <w:szCs w:val="18"/>
                <w:lang w:val="cs-CZ"/>
              </w:rPr>
            </w:pPr>
          </w:p>
        </w:tc>
        <w:tc>
          <w:tcPr>
            <w:tcW w:w="903" w:type="dxa"/>
            <w:vAlign w:val="center"/>
          </w:tcPr>
          <w:p w:rsidR="003B6E11" w:rsidRPr="003B6E11" w:rsidRDefault="003B6E11" w:rsidP="002D015D">
            <w:pPr>
              <w:spacing w:before="60" w:after="60" w:line="240" w:lineRule="atLeast"/>
              <w:rPr>
                <w:rFonts w:cs="Arial"/>
                <w:noProof/>
                <w:sz w:val="18"/>
                <w:szCs w:val="18"/>
                <w:lang w:val="cs-CZ"/>
              </w:rPr>
            </w:pPr>
          </w:p>
        </w:tc>
      </w:tr>
      <w:tr w:rsidR="003B6E11" w:rsidRPr="003B6E11" w:rsidTr="002D015D">
        <w:trPr>
          <w:jc w:val="center"/>
        </w:trPr>
        <w:tc>
          <w:tcPr>
            <w:tcW w:w="1461" w:type="dxa"/>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Odtok SRF</w:t>
            </w:r>
          </w:p>
        </w:tc>
        <w:tc>
          <w:tcPr>
            <w:tcW w:w="2325"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Souhrnné vzorky za 24 h</w:t>
            </w:r>
          </w:p>
        </w:tc>
        <w:tc>
          <w:tcPr>
            <w:tcW w:w="1016" w:type="dxa"/>
            <w:vAlign w:val="center"/>
          </w:tcPr>
          <w:p w:rsidR="003B6E11" w:rsidRPr="003B6E11" w:rsidRDefault="003B6E11" w:rsidP="002D015D">
            <w:pPr>
              <w:spacing w:before="60" w:after="60" w:line="240" w:lineRule="atLeast"/>
              <w:rPr>
                <w:rFonts w:cs="Arial"/>
                <w:noProof/>
                <w:sz w:val="18"/>
                <w:szCs w:val="18"/>
                <w:lang w:val="cs-CZ"/>
              </w:rPr>
            </w:pPr>
          </w:p>
        </w:tc>
        <w:tc>
          <w:tcPr>
            <w:tcW w:w="927" w:type="dxa"/>
            <w:vAlign w:val="center"/>
          </w:tcPr>
          <w:p w:rsidR="003B6E11" w:rsidRPr="003B6E11" w:rsidRDefault="003B6E11" w:rsidP="002D015D">
            <w:pPr>
              <w:spacing w:before="60" w:after="60" w:line="240" w:lineRule="atLeast"/>
              <w:rPr>
                <w:rFonts w:cs="Arial"/>
                <w:noProof/>
                <w:sz w:val="18"/>
                <w:szCs w:val="18"/>
                <w:lang w:val="cs-CZ"/>
              </w:rPr>
            </w:pPr>
          </w:p>
        </w:tc>
        <w:tc>
          <w:tcPr>
            <w:tcW w:w="848" w:type="dxa"/>
          </w:tcPr>
          <w:p w:rsidR="003B6E11" w:rsidRPr="003B6E11" w:rsidRDefault="003B6E11" w:rsidP="002D015D">
            <w:pPr>
              <w:spacing w:before="60" w:after="60" w:line="240" w:lineRule="atLeast"/>
              <w:rPr>
                <w:rFonts w:cs="Arial"/>
                <w:noProof/>
                <w:sz w:val="18"/>
                <w:szCs w:val="18"/>
                <w:lang w:val="cs-CZ"/>
              </w:rPr>
            </w:pPr>
          </w:p>
        </w:tc>
        <w:tc>
          <w:tcPr>
            <w:tcW w:w="852" w:type="dxa"/>
            <w:vAlign w:val="center"/>
          </w:tcPr>
          <w:p w:rsidR="003B6E11" w:rsidRPr="003B6E11" w:rsidRDefault="003B6E11" w:rsidP="002D015D">
            <w:pPr>
              <w:spacing w:before="60" w:after="60" w:line="240" w:lineRule="atLeast"/>
              <w:rPr>
                <w:rFonts w:cs="Arial"/>
                <w:noProof/>
                <w:sz w:val="18"/>
                <w:szCs w:val="18"/>
                <w:lang w:val="cs-CZ"/>
              </w:rPr>
            </w:pPr>
          </w:p>
        </w:tc>
        <w:tc>
          <w:tcPr>
            <w:tcW w:w="903" w:type="dxa"/>
            <w:vAlign w:val="center"/>
          </w:tcPr>
          <w:p w:rsidR="003B6E11" w:rsidRPr="003B6E11" w:rsidRDefault="003B6E11" w:rsidP="002D015D">
            <w:pPr>
              <w:spacing w:before="60" w:after="60" w:line="240" w:lineRule="atLeast"/>
              <w:rPr>
                <w:rFonts w:cs="Arial"/>
                <w:noProof/>
                <w:sz w:val="18"/>
                <w:szCs w:val="18"/>
                <w:lang w:val="cs-CZ"/>
              </w:rPr>
            </w:pPr>
          </w:p>
        </w:tc>
      </w:tr>
      <w:tr w:rsidR="003B6E11" w:rsidRPr="003B6E11" w:rsidTr="002D015D">
        <w:trPr>
          <w:jc w:val="center"/>
        </w:trPr>
        <w:tc>
          <w:tcPr>
            <w:tcW w:w="1461"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Přítok SRF</w:t>
            </w:r>
          </w:p>
        </w:tc>
        <w:tc>
          <w:tcPr>
            <w:tcW w:w="2325"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Náhodné vzorky</w:t>
            </w:r>
          </w:p>
        </w:tc>
        <w:tc>
          <w:tcPr>
            <w:tcW w:w="1016" w:type="dxa"/>
            <w:vAlign w:val="center"/>
          </w:tcPr>
          <w:p w:rsidR="003B6E11" w:rsidRPr="003B6E11" w:rsidRDefault="003B6E11" w:rsidP="002D015D">
            <w:pPr>
              <w:spacing w:before="60" w:after="60" w:line="240" w:lineRule="atLeast"/>
              <w:jc w:val="center"/>
              <w:rPr>
                <w:rFonts w:cs="Arial"/>
                <w:noProof/>
                <w:sz w:val="18"/>
                <w:szCs w:val="18"/>
                <w:lang w:val="cs-CZ"/>
              </w:rPr>
            </w:pPr>
            <w:r w:rsidRPr="003B6E11">
              <w:rPr>
                <w:noProof/>
                <w:sz w:val="18"/>
                <w:lang w:val="cs-CZ"/>
              </w:rPr>
              <w:t>--</w:t>
            </w:r>
          </w:p>
        </w:tc>
        <w:tc>
          <w:tcPr>
            <w:tcW w:w="927" w:type="dxa"/>
            <w:vAlign w:val="center"/>
          </w:tcPr>
          <w:p w:rsidR="003B6E11" w:rsidRPr="003B6E11" w:rsidRDefault="003B6E11" w:rsidP="002D015D">
            <w:pPr>
              <w:spacing w:before="60" w:after="60" w:line="240" w:lineRule="atLeast"/>
              <w:rPr>
                <w:rFonts w:cs="Arial"/>
                <w:noProof/>
                <w:sz w:val="18"/>
                <w:szCs w:val="18"/>
                <w:lang w:val="cs-CZ"/>
              </w:rPr>
            </w:pPr>
          </w:p>
        </w:tc>
        <w:tc>
          <w:tcPr>
            <w:tcW w:w="848" w:type="dxa"/>
          </w:tcPr>
          <w:p w:rsidR="003B6E11" w:rsidRPr="003B6E11" w:rsidRDefault="003B6E11" w:rsidP="002D015D">
            <w:pPr>
              <w:spacing w:before="60" w:after="60" w:line="240" w:lineRule="atLeast"/>
              <w:rPr>
                <w:rFonts w:cs="Arial"/>
                <w:noProof/>
                <w:sz w:val="18"/>
                <w:szCs w:val="18"/>
                <w:lang w:val="cs-CZ"/>
              </w:rPr>
            </w:pPr>
          </w:p>
        </w:tc>
        <w:tc>
          <w:tcPr>
            <w:tcW w:w="852" w:type="dxa"/>
            <w:vAlign w:val="center"/>
          </w:tcPr>
          <w:p w:rsidR="003B6E11" w:rsidRPr="003B6E11" w:rsidRDefault="003B6E11" w:rsidP="002D015D">
            <w:pPr>
              <w:spacing w:before="60" w:after="60" w:line="240" w:lineRule="atLeast"/>
              <w:rPr>
                <w:rFonts w:cs="Arial"/>
                <w:noProof/>
                <w:sz w:val="18"/>
                <w:szCs w:val="18"/>
                <w:lang w:val="cs-CZ"/>
              </w:rPr>
            </w:pPr>
          </w:p>
        </w:tc>
        <w:tc>
          <w:tcPr>
            <w:tcW w:w="903" w:type="dxa"/>
            <w:vAlign w:val="center"/>
          </w:tcPr>
          <w:p w:rsidR="003B6E11" w:rsidRPr="003B6E11" w:rsidRDefault="003B6E11" w:rsidP="002D015D">
            <w:pPr>
              <w:spacing w:before="60" w:after="60" w:line="240" w:lineRule="atLeast"/>
              <w:rPr>
                <w:rFonts w:cs="Arial"/>
                <w:noProof/>
                <w:sz w:val="18"/>
                <w:szCs w:val="18"/>
                <w:lang w:val="cs-CZ"/>
              </w:rPr>
            </w:pPr>
          </w:p>
        </w:tc>
      </w:tr>
      <w:tr w:rsidR="003B6E11" w:rsidRPr="003B6E11" w:rsidTr="002D015D">
        <w:trPr>
          <w:jc w:val="center"/>
        </w:trPr>
        <w:tc>
          <w:tcPr>
            <w:tcW w:w="1461" w:type="dxa"/>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Odtok SRF</w:t>
            </w:r>
          </w:p>
        </w:tc>
        <w:tc>
          <w:tcPr>
            <w:tcW w:w="2325" w:type="dxa"/>
            <w:vAlign w:val="center"/>
          </w:tcPr>
          <w:p w:rsidR="003B6E11" w:rsidRPr="003B6E11" w:rsidRDefault="003B6E11" w:rsidP="002D015D">
            <w:pPr>
              <w:spacing w:before="60" w:after="60" w:line="240" w:lineRule="atLeast"/>
              <w:rPr>
                <w:rFonts w:cs="Arial"/>
                <w:noProof/>
                <w:sz w:val="18"/>
                <w:szCs w:val="18"/>
                <w:lang w:val="cs-CZ"/>
              </w:rPr>
            </w:pPr>
            <w:r w:rsidRPr="003B6E11">
              <w:rPr>
                <w:noProof/>
                <w:sz w:val="18"/>
                <w:lang w:val="cs-CZ"/>
              </w:rPr>
              <w:t>Náhodné vzorky</w:t>
            </w:r>
          </w:p>
        </w:tc>
        <w:tc>
          <w:tcPr>
            <w:tcW w:w="1016" w:type="dxa"/>
            <w:vAlign w:val="center"/>
          </w:tcPr>
          <w:p w:rsidR="003B6E11" w:rsidRPr="003B6E11" w:rsidRDefault="003B6E11" w:rsidP="002D015D">
            <w:pPr>
              <w:spacing w:before="60" w:after="60" w:line="240" w:lineRule="atLeast"/>
              <w:rPr>
                <w:rFonts w:cs="Arial"/>
                <w:noProof/>
                <w:sz w:val="18"/>
                <w:szCs w:val="18"/>
                <w:lang w:val="cs-CZ"/>
              </w:rPr>
            </w:pPr>
          </w:p>
        </w:tc>
        <w:tc>
          <w:tcPr>
            <w:tcW w:w="927" w:type="dxa"/>
            <w:vAlign w:val="center"/>
          </w:tcPr>
          <w:p w:rsidR="003B6E11" w:rsidRPr="003B6E11" w:rsidRDefault="003B6E11" w:rsidP="002D015D">
            <w:pPr>
              <w:spacing w:before="60" w:after="60" w:line="240" w:lineRule="atLeast"/>
              <w:rPr>
                <w:rFonts w:cs="Arial"/>
                <w:noProof/>
                <w:sz w:val="18"/>
                <w:szCs w:val="18"/>
                <w:lang w:val="cs-CZ"/>
              </w:rPr>
            </w:pPr>
          </w:p>
        </w:tc>
        <w:tc>
          <w:tcPr>
            <w:tcW w:w="848" w:type="dxa"/>
          </w:tcPr>
          <w:p w:rsidR="003B6E11" w:rsidRPr="003B6E11" w:rsidRDefault="003B6E11" w:rsidP="002D015D">
            <w:pPr>
              <w:spacing w:before="60" w:after="60" w:line="240" w:lineRule="atLeast"/>
              <w:rPr>
                <w:rFonts w:cs="Arial"/>
                <w:noProof/>
                <w:sz w:val="18"/>
                <w:szCs w:val="18"/>
                <w:lang w:val="cs-CZ"/>
              </w:rPr>
            </w:pPr>
          </w:p>
        </w:tc>
        <w:tc>
          <w:tcPr>
            <w:tcW w:w="852" w:type="dxa"/>
            <w:vAlign w:val="center"/>
          </w:tcPr>
          <w:p w:rsidR="003B6E11" w:rsidRPr="003B6E11" w:rsidRDefault="003B6E11" w:rsidP="002D015D">
            <w:pPr>
              <w:spacing w:before="60" w:after="60" w:line="240" w:lineRule="atLeast"/>
              <w:rPr>
                <w:rFonts w:cs="Arial"/>
                <w:noProof/>
                <w:sz w:val="18"/>
                <w:szCs w:val="18"/>
                <w:lang w:val="cs-CZ"/>
              </w:rPr>
            </w:pPr>
          </w:p>
        </w:tc>
        <w:tc>
          <w:tcPr>
            <w:tcW w:w="903" w:type="dxa"/>
            <w:vAlign w:val="center"/>
          </w:tcPr>
          <w:p w:rsidR="003B6E11" w:rsidRPr="003B6E11" w:rsidRDefault="003B6E11" w:rsidP="002D015D">
            <w:pPr>
              <w:spacing w:before="60" w:after="60" w:line="240" w:lineRule="atLeast"/>
              <w:rPr>
                <w:rFonts w:cs="Arial"/>
                <w:noProof/>
                <w:sz w:val="18"/>
                <w:szCs w:val="18"/>
                <w:lang w:val="cs-CZ"/>
              </w:rPr>
            </w:pPr>
          </w:p>
        </w:tc>
      </w:tr>
    </w:tbl>
    <w:p w:rsidR="003B6E11" w:rsidRPr="003B6E11" w:rsidRDefault="003B6E11" w:rsidP="003B6E11">
      <w:pPr>
        <w:spacing w:line="240" w:lineRule="atLeast"/>
        <w:rPr>
          <w:rFonts w:cs="Arial"/>
          <w:noProof/>
          <w:color w:val="000000"/>
          <w:lang w:val="cs-CZ"/>
        </w:rPr>
      </w:pPr>
      <w:r w:rsidRPr="003B6E11">
        <w:rPr>
          <w:lang w:val="cs-CZ"/>
        </w:rPr>
        <w:br w:type="page"/>
      </w:r>
    </w:p>
    <w:p w:rsidR="003B6E11" w:rsidRPr="003B6E11" w:rsidRDefault="003B6E11" w:rsidP="003B6E11">
      <w:pPr>
        <w:tabs>
          <w:tab w:val="left" w:pos="709"/>
        </w:tabs>
        <w:suppressAutoHyphens/>
        <w:spacing w:after="120" w:line="240" w:lineRule="atLeast"/>
        <w:ind w:left="1701" w:hanging="992"/>
        <w:rPr>
          <w:rFonts w:cs="Arial"/>
          <w:szCs w:val="20"/>
          <w:lang w:val="cs-CZ"/>
        </w:rPr>
      </w:pPr>
      <w:r w:rsidRPr="003B6E11">
        <w:rPr>
          <w:lang w:val="cs-CZ"/>
        </w:rPr>
        <w:t>Tabulka 3b:</w:t>
      </w:r>
      <w:r w:rsidRPr="003B6E11">
        <w:rPr>
          <w:lang w:val="cs-CZ"/>
        </w:rPr>
        <w:tab/>
        <w:t xml:space="preserve">Specifikace pro statistické zpracování získaných dat – posouzení s cílem doložit účinnost čištění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2325"/>
        <w:gridCol w:w="936"/>
        <w:gridCol w:w="858"/>
        <w:gridCol w:w="858"/>
      </w:tblGrid>
      <w:tr w:rsidR="003B6E11" w:rsidRPr="003B6E11" w:rsidTr="002D015D">
        <w:trPr>
          <w:trHeight w:val="760"/>
          <w:jc w:val="center"/>
        </w:trPr>
        <w:tc>
          <w:tcPr>
            <w:tcW w:w="1588" w:type="dxa"/>
            <w:vAlign w:val="center"/>
          </w:tcPr>
          <w:p w:rsidR="003B6E11" w:rsidRPr="003B6E11" w:rsidRDefault="003B6E11" w:rsidP="002D015D">
            <w:pPr>
              <w:spacing w:before="60" w:after="60" w:line="240" w:lineRule="atLeast"/>
              <w:jc w:val="center"/>
              <w:rPr>
                <w:noProof/>
                <w:sz w:val="18"/>
                <w:szCs w:val="18"/>
                <w:lang w:val="cs-CZ"/>
              </w:rPr>
            </w:pPr>
            <w:r w:rsidRPr="003B6E11">
              <w:rPr>
                <w:noProof/>
                <w:sz w:val="18"/>
                <w:lang w:val="cs-CZ"/>
              </w:rPr>
              <w:t>Parametr</w:t>
            </w:r>
          </w:p>
        </w:tc>
        <w:tc>
          <w:tcPr>
            <w:tcW w:w="2325" w:type="dxa"/>
            <w:vAlign w:val="center"/>
          </w:tcPr>
          <w:p w:rsidR="003B6E11" w:rsidRPr="003B6E11" w:rsidRDefault="003B6E11" w:rsidP="002D015D">
            <w:pPr>
              <w:spacing w:before="60" w:after="60" w:line="240" w:lineRule="atLeast"/>
              <w:jc w:val="center"/>
              <w:rPr>
                <w:noProof/>
                <w:sz w:val="18"/>
                <w:szCs w:val="18"/>
                <w:lang w:val="cs-CZ"/>
              </w:rPr>
            </w:pPr>
            <w:r w:rsidRPr="003B6E11">
              <w:rPr>
                <w:noProof/>
                <w:sz w:val="18"/>
                <w:lang w:val="cs-CZ"/>
              </w:rPr>
              <w:t>Druh odběru vzorku</w:t>
            </w:r>
          </w:p>
        </w:tc>
        <w:tc>
          <w:tcPr>
            <w:tcW w:w="936" w:type="dxa"/>
            <w:vAlign w:val="center"/>
          </w:tcPr>
          <w:p w:rsidR="003B6E11" w:rsidRPr="003B6E11" w:rsidRDefault="003B6E11" w:rsidP="002D015D">
            <w:pPr>
              <w:spacing w:before="60" w:after="60" w:line="240" w:lineRule="atLeast"/>
              <w:jc w:val="center"/>
              <w:rPr>
                <w:noProof/>
                <w:sz w:val="18"/>
                <w:szCs w:val="18"/>
                <w:lang w:val="cs-CZ"/>
              </w:rPr>
            </w:pPr>
            <w:r w:rsidRPr="003B6E11">
              <w:rPr>
                <w:noProof/>
                <w:sz w:val="18"/>
                <w:lang w:val="cs-CZ"/>
              </w:rPr>
              <w:t>Průměr</w:t>
            </w:r>
          </w:p>
        </w:tc>
        <w:tc>
          <w:tcPr>
            <w:tcW w:w="858" w:type="dxa"/>
            <w:vAlign w:val="center"/>
          </w:tcPr>
          <w:p w:rsidR="003B6E11" w:rsidRPr="003B6E11" w:rsidRDefault="003B6E11" w:rsidP="002D015D">
            <w:pPr>
              <w:spacing w:before="60" w:after="60" w:line="240" w:lineRule="atLeast"/>
              <w:jc w:val="center"/>
              <w:rPr>
                <w:noProof/>
                <w:sz w:val="18"/>
                <w:szCs w:val="18"/>
                <w:lang w:val="cs-CZ"/>
              </w:rPr>
            </w:pPr>
            <w:r w:rsidRPr="003B6E11">
              <w:rPr>
                <w:noProof/>
                <w:sz w:val="18"/>
                <w:lang w:val="cs-CZ"/>
              </w:rPr>
              <w:t>Min</w:t>
            </w:r>
          </w:p>
        </w:tc>
        <w:tc>
          <w:tcPr>
            <w:tcW w:w="858" w:type="dxa"/>
            <w:vAlign w:val="center"/>
          </w:tcPr>
          <w:p w:rsidR="003B6E11" w:rsidRPr="003B6E11" w:rsidRDefault="003B6E11" w:rsidP="002D015D">
            <w:pPr>
              <w:spacing w:before="60" w:after="60" w:line="240" w:lineRule="atLeast"/>
              <w:jc w:val="center"/>
              <w:rPr>
                <w:noProof/>
                <w:sz w:val="18"/>
                <w:szCs w:val="18"/>
                <w:lang w:val="cs-CZ"/>
              </w:rPr>
            </w:pPr>
            <w:r w:rsidRPr="003B6E11">
              <w:rPr>
                <w:noProof/>
                <w:sz w:val="18"/>
                <w:lang w:val="cs-CZ"/>
              </w:rPr>
              <w:t>Max</w:t>
            </w:r>
          </w:p>
        </w:tc>
      </w:tr>
      <w:tr w:rsidR="003B6E11" w:rsidRPr="003B6E11" w:rsidTr="002D015D">
        <w:trPr>
          <w:jc w:val="center"/>
        </w:trPr>
        <w:tc>
          <w:tcPr>
            <w:tcW w:w="1588" w:type="dxa"/>
          </w:tcPr>
          <w:p w:rsidR="003B6E11" w:rsidRPr="003B6E11" w:rsidRDefault="003B6E11" w:rsidP="002D015D">
            <w:pPr>
              <w:spacing w:before="60" w:after="60" w:line="240" w:lineRule="atLeast"/>
              <w:rPr>
                <w:noProof/>
                <w:sz w:val="18"/>
                <w:szCs w:val="18"/>
                <w:lang w:val="cs-CZ"/>
              </w:rPr>
            </w:pPr>
            <w:r w:rsidRPr="003B6E11">
              <w:rPr>
                <w:noProof/>
                <w:sz w:val="18"/>
                <w:lang w:val="cs-CZ"/>
              </w:rPr>
              <w:t xml:space="preserve">Účinnost zneškodňování </w:t>
            </w:r>
            <m:oMath>
              <m:sSub>
                <m:sSubPr>
                  <m:ctrlPr>
                    <w:rPr>
                      <w:rFonts w:ascii="Cambria Math" w:hAnsi="Cambria Math"/>
                      <w:i/>
                      <w:noProof/>
                      <w:sz w:val="18"/>
                      <w:szCs w:val="18"/>
                      <w:lang w:val="cs-CZ"/>
                    </w:rPr>
                  </m:ctrlPr>
                </m:sSubPr>
                <m:e>
                  <m:r>
                    <w:rPr>
                      <w:rFonts w:ascii="Cambria Math" w:hAnsi="Cambria Math"/>
                      <w:noProof/>
                      <w:sz w:val="18"/>
                      <w:szCs w:val="18"/>
                      <w:lang w:val="cs-CZ"/>
                    </w:rPr>
                    <m:t>BOD</m:t>
                  </m:r>
                </m:e>
                <m:sub>
                  <m:r>
                    <w:rPr>
                      <w:rFonts w:ascii="Cambria Math" w:hAnsi="Cambria Math"/>
                      <w:noProof/>
                      <w:sz w:val="18"/>
                      <w:szCs w:val="18"/>
                      <w:lang w:val="cs-CZ"/>
                    </w:rPr>
                    <m:t>5</m:t>
                  </m:r>
                </m:sub>
              </m:sSub>
            </m:oMath>
          </w:p>
        </w:tc>
        <w:tc>
          <w:tcPr>
            <w:tcW w:w="2325" w:type="dxa"/>
            <w:vAlign w:val="center"/>
          </w:tcPr>
          <w:p w:rsidR="003B6E11" w:rsidRPr="003B6E11" w:rsidRDefault="003B6E11" w:rsidP="002D015D">
            <w:pPr>
              <w:spacing w:before="60" w:after="60" w:line="240" w:lineRule="atLeast"/>
              <w:rPr>
                <w:noProof/>
                <w:sz w:val="18"/>
                <w:szCs w:val="18"/>
                <w:lang w:val="cs-CZ"/>
              </w:rPr>
            </w:pPr>
            <w:r w:rsidRPr="003B6E11">
              <w:rPr>
                <w:noProof/>
                <w:sz w:val="18"/>
                <w:lang w:val="cs-CZ"/>
              </w:rPr>
              <w:t>Souhrnné vzorky za 24 h</w:t>
            </w:r>
          </w:p>
        </w:tc>
        <w:tc>
          <w:tcPr>
            <w:tcW w:w="936" w:type="dxa"/>
          </w:tcPr>
          <w:p w:rsidR="003B6E11" w:rsidRPr="003B6E11" w:rsidRDefault="003B6E11" w:rsidP="002D015D">
            <w:pPr>
              <w:spacing w:before="60" w:after="60" w:line="240" w:lineRule="atLeast"/>
              <w:rPr>
                <w:noProof/>
                <w:sz w:val="18"/>
                <w:szCs w:val="18"/>
                <w:lang w:val="cs-CZ"/>
              </w:rPr>
            </w:pPr>
          </w:p>
        </w:tc>
        <w:tc>
          <w:tcPr>
            <w:tcW w:w="858" w:type="dxa"/>
          </w:tcPr>
          <w:p w:rsidR="003B6E11" w:rsidRPr="003B6E11" w:rsidRDefault="003B6E11" w:rsidP="002D015D">
            <w:pPr>
              <w:spacing w:before="60" w:after="60" w:line="240" w:lineRule="atLeast"/>
              <w:rPr>
                <w:noProof/>
                <w:sz w:val="18"/>
                <w:szCs w:val="18"/>
                <w:lang w:val="cs-CZ"/>
              </w:rPr>
            </w:pPr>
          </w:p>
        </w:tc>
        <w:tc>
          <w:tcPr>
            <w:tcW w:w="858" w:type="dxa"/>
          </w:tcPr>
          <w:p w:rsidR="003B6E11" w:rsidRPr="003B6E11" w:rsidRDefault="003B6E11" w:rsidP="002D015D">
            <w:pPr>
              <w:spacing w:before="60" w:after="60" w:line="240" w:lineRule="atLeast"/>
              <w:rPr>
                <w:noProof/>
                <w:sz w:val="18"/>
                <w:szCs w:val="18"/>
                <w:lang w:val="cs-CZ"/>
              </w:rPr>
            </w:pPr>
          </w:p>
        </w:tc>
      </w:tr>
      <w:tr w:rsidR="003B6E11" w:rsidRPr="003B6E11" w:rsidTr="002D015D">
        <w:trPr>
          <w:jc w:val="center"/>
        </w:trPr>
        <w:tc>
          <w:tcPr>
            <w:tcW w:w="1588" w:type="dxa"/>
          </w:tcPr>
          <w:p w:rsidR="003B6E11" w:rsidRPr="003B6E11" w:rsidRDefault="003B6E11" w:rsidP="002D015D">
            <w:pPr>
              <w:spacing w:before="60" w:after="60" w:line="240" w:lineRule="atLeast"/>
              <w:rPr>
                <w:noProof/>
                <w:sz w:val="18"/>
                <w:szCs w:val="18"/>
                <w:lang w:val="cs-CZ"/>
              </w:rPr>
            </w:pPr>
            <w:r w:rsidRPr="003B6E11">
              <w:rPr>
                <w:noProof/>
                <w:sz w:val="18"/>
                <w:lang w:val="cs-CZ"/>
              </w:rPr>
              <w:t xml:space="preserve">Účinnost zneškodňování </w:t>
            </w:r>
            <m:oMath>
              <m:sSub>
                <m:sSubPr>
                  <m:ctrlPr>
                    <w:rPr>
                      <w:rFonts w:ascii="Cambria Math" w:hAnsi="Cambria Math"/>
                      <w:i/>
                      <w:noProof/>
                      <w:sz w:val="18"/>
                      <w:szCs w:val="18"/>
                      <w:lang w:val="cs-CZ"/>
                    </w:rPr>
                  </m:ctrlPr>
                </m:sSubPr>
                <m:e>
                  <m:r>
                    <w:rPr>
                      <w:rFonts w:ascii="Cambria Math" w:hAnsi="Cambria Math"/>
                      <w:noProof/>
                      <w:sz w:val="18"/>
                      <w:szCs w:val="18"/>
                      <w:lang w:val="cs-CZ"/>
                    </w:rPr>
                    <m:t>BOD</m:t>
                  </m:r>
                </m:e>
                <m:sub>
                  <m:r>
                    <w:rPr>
                      <w:rFonts w:ascii="Cambria Math" w:hAnsi="Cambria Math"/>
                      <w:noProof/>
                      <w:sz w:val="18"/>
                      <w:szCs w:val="18"/>
                      <w:lang w:val="cs-CZ"/>
                    </w:rPr>
                    <m:t>5</m:t>
                  </m:r>
                </m:sub>
              </m:sSub>
            </m:oMath>
          </w:p>
        </w:tc>
        <w:tc>
          <w:tcPr>
            <w:tcW w:w="2325" w:type="dxa"/>
            <w:vAlign w:val="center"/>
          </w:tcPr>
          <w:p w:rsidR="003B6E11" w:rsidRPr="003B6E11" w:rsidRDefault="003B6E11" w:rsidP="002D015D">
            <w:pPr>
              <w:spacing w:before="60" w:after="60" w:line="240" w:lineRule="atLeast"/>
              <w:rPr>
                <w:noProof/>
                <w:sz w:val="18"/>
                <w:szCs w:val="18"/>
                <w:lang w:val="cs-CZ"/>
              </w:rPr>
            </w:pPr>
            <w:r w:rsidRPr="003B6E11">
              <w:rPr>
                <w:noProof/>
                <w:sz w:val="18"/>
                <w:lang w:val="cs-CZ"/>
              </w:rPr>
              <w:t>Náhodné vzorky</w:t>
            </w:r>
          </w:p>
        </w:tc>
        <w:tc>
          <w:tcPr>
            <w:tcW w:w="936" w:type="dxa"/>
          </w:tcPr>
          <w:p w:rsidR="003B6E11" w:rsidRPr="003B6E11" w:rsidRDefault="003B6E11" w:rsidP="002D015D">
            <w:pPr>
              <w:spacing w:before="60" w:after="60" w:line="240" w:lineRule="atLeast"/>
              <w:rPr>
                <w:noProof/>
                <w:sz w:val="18"/>
                <w:szCs w:val="18"/>
                <w:lang w:val="cs-CZ"/>
              </w:rPr>
            </w:pPr>
          </w:p>
        </w:tc>
        <w:tc>
          <w:tcPr>
            <w:tcW w:w="858" w:type="dxa"/>
          </w:tcPr>
          <w:p w:rsidR="003B6E11" w:rsidRPr="003B6E11" w:rsidRDefault="003B6E11" w:rsidP="002D015D">
            <w:pPr>
              <w:spacing w:before="60" w:after="60" w:line="240" w:lineRule="atLeast"/>
              <w:rPr>
                <w:noProof/>
                <w:sz w:val="18"/>
                <w:szCs w:val="18"/>
                <w:lang w:val="cs-CZ"/>
              </w:rPr>
            </w:pPr>
          </w:p>
        </w:tc>
        <w:tc>
          <w:tcPr>
            <w:tcW w:w="858" w:type="dxa"/>
          </w:tcPr>
          <w:p w:rsidR="003B6E11" w:rsidRPr="003B6E11" w:rsidRDefault="003B6E11" w:rsidP="002D015D">
            <w:pPr>
              <w:spacing w:before="60" w:after="60" w:line="240" w:lineRule="atLeast"/>
              <w:rPr>
                <w:noProof/>
                <w:sz w:val="18"/>
                <w:szCs w:val="18"/>
                <w:lang w:val="cs-CZ"/>
              </w:rPr>
            </w:pPr>
          </w:p>
        </w:tc>
      </w:tr>
      <w:tr w:rsidR="003B6E11" w:rsidRPr="003B6E11" w:rsidTr="002D015D">
        <w:trPr>
          <w:jc w:val="center"/>
        </w:trPr>
        <w:tc>
          <w:tcPr>
            <w:tcW w:w="1588" w:type="dxa"/>
          </w:tcPr>
          <w:p w:rsidR="003B6E11" w:rsidRPr="003B6E11" w:rsidRDefault="003B6E11" w:rsidP="002D015D">
            <w:pPr>
              <w:spacing w:before="60" w:after="60" w:line="240" w:lineRule="atLeast"/>
              <w:rPr>
                <w:noProof/>
                <w:sz w:val="18"/>
                <w:szCs w:val="18"/>
                <w:lang w:val="cs-CZ"/>
              </w:rPr>
            </w:pPr>
            <w:r w:rsidRPr="003B6E11">
              <w:rPr>
                <w:noProof/>
                <w:sz w:val="18"/>
                <w:lang w:val="cs-CZ"/>
              </w:rPr>
              <w:t>Účinnost zneškodňování COD</w:t>
            </w:r>
          </w:p>
        </w:tc>
        <w:tc>
          <w:tcPr>
            <w:tcW w:w="2325" w:type="dxa"/>
          </w:tcPr>
          <w:p w:rsidR="003B6E11" w:rsidRPr="003B6E11" w:rsidRDefault="003B6E11" w:rsidP="002D015D">
            <w:pPr>
              <w:spacing w:before="60" w:after="60" w:line="240" w:lineRule="atLeast"/>
              <w:rPr>
                <w:noProof/>
                <w:sz w:val="18"/>
                <w:szCs w:val="18"/>
                <w:lang w:val="cs-CZ"/>
              </w:rPr>
            </w:pPr>
            <w:r w:rsidRPr="003B6E11">
              <w:rPr>
                <w:noProof/>
                <w:sz w:val="18"/>
                <w:lang w:val="cs-CZ"/>
              </w:rPr>
              <w:t>Souhrnné vzorky za 24 h</w:t>
            </w:r>
          </w:p>
        </w:tc>
        <w:tc>
          <w:tcPr>
            <w:tcW w:w="936" w:type="dxa"/>
          </w:tcPr>
          <w:p w:rsidR="003B6E11" w:rsidRPr="003B6E11" w:rsidRDefault="003B6E11" w:rsidP="002D015D">
            <w:pPr>
              <w:spacing w:before="60" w:after="60" w:line="240" w:lineRule="atLeast"/>
              <w:rPr>
                <w:noProof/>
                <w:sz w:val="18"/>
                <w:szCs w:val="18"/>
                <w:lang w:val="cs-CZ"/>
              </w:rPr>
            </w:pPr>
          </w:p>
        </w:tc>
        <w:tc>
          <w:tcPr>
            <w:tcW w:w="858" w:type="dxa"/>
          </w:tcPr>
          <w:p w:rsidR="003B6E11" w:rsidRPr="003B6E11" w:rsidRDefault="003B6E11" w:rsidP="002D015D">
            <w:pPr>
              <w:spacing w:before="60" w:after="60" w:line="240" w:lineRule="atLeast"/>
              <w:rPr>
                <w:noProof/>
                <w:sz w:val="18"/>
                <w:szCs w:val="18"/>
                <w:lang w:val="cs-CZ"/>
              </w:rPr>
            </w:pPr>
          </w:p>
        </w:tc>
        <w:tc>
          <w:tcPr>
            <w:tcW w:w="858" w:type="dxa"/>
          </w:tcPr>
          <w:p w:rsidR="003B6E11" w:rsidRPr="003B6E11" w:rsidRDefault="003B6E11" w:rsidP="002D015D">
            <w:pPr>
              <w:spacing w:before="60" w:after="60" w:line="240" w:lineRule="atLeast"/>
              <w:rPr>
                <w:noProof/>
                <w:sz w:val="18"/>
                <w:szCs w:val="18"/>
                <w:lang w:val="cs-CZ"/>
              </w:rPr>
            </w:pPr>
          </w:p>
        </w:tc>
      </w:tr>
      <w:tr w:rsidR="003B6E11" w:rsidRPr="003B6E11" w:rsidTr="002D015D">
        <w:trPr>
          <w:jc w:val="center"/>
        </w:trPr>
        <w:tc>
          <w:tcPr>
            <w:tcW w:w="1588" w:type="dxa"/>
          </w:tcPr>
          <w:p w:rsidR="003B6E11" w:rsidRPr="003B6E11" w:rsidRDefault="003B6E11" w:rsidP="002D015D">
            <w:pPr>
              <w:spacing w:before="60" w:after="60" w:line="240" w:lineRule="atLeast"/>
              <w:rPr>
                <w:noProof/>
                <w:sz w:val="18"/>
                <w:szCs w:val="18"/>
                <w:lang w:val="cs-CZ"/>
              </w:rPr>
            </w:pPr>
            <w:r w:rsidRPr="003B6E11">
              <w:rPr>
                <w:noProof/>
                <w:sz w:val="18"/>
                <w:lang w:val="cs-CZ"/>
              </w:rPr>
              <w:t>Účinnost zneškodňování COD</w:t>
            </w:r>
          </w:p>
        </w:tc>
        <w:tc>
          <w:tcPr>
            <w:tcW w:w="2325" w:type="dxa"/>
          </w:tcPr>
          <w:p w:rsidR="003B6E11" w:rsidRPr="003B6E11" w:rsidRDefault="003B6E11" w:rsidP="002D015D">
            <w:pPr>
              <w:spacing w:before="60" w:after="60" w:line="240" w:lineRule="atLeast"/>
              <w:rPr>
                <w:noProof/>
                <w:sz w:val="18"/>
                <w:szCs w:val="18"/>
                <w:lang w:val="cs-CZ"/>
              </w:rPr>
            </w:pPr>
            <w:r w:rsidRPr="003B6E11">
              <w:rPr>
                <w:noProof/>
                <w:sz w:val="18"/>
                <w:lang w:val="cs-CZ"/>
              </w:rPr>
              <w:t>Náhodné vzorky</w:t>
            </w:r>
          </w:p>
        </w:tc>
        <w:tc>
          <w:tcPr>
            <w:tcW w:w="936" w:type="dxa"/>
          </w:tcPr>
          <w:p w:rsidR="003B6E11" w:rsidRPr="003B6E11" w:rsidRDefault="003B6E11" w:rsidP="002D015D">
            <w:pPr>
              <w:spacing w:before="60" w:after="60" w:line="240" w:lineRule="atLeast"/>
              <w:rPr>
                <w:noProof/>
                <w:sz w:val="18"/>
                <w:szCs w:val="18"/>
                <w:lang w:val="cs-CZ"/>
              </w:rPr>
            </w:pPr>
          </w:p>
        </w:tc>
        <w:tc>
          <w:tcPr>
            <w:tcW w:w="858" w:type="dxa"/>
          </w:tcPr>
          <w:p w:rsidR="003B6E11" w:rsidRPr="003B6E11" w:rsidRDefault="003B6E11" w:rsidP="002D015D">
            <w:pPr>
              <w:spacing w:before="60" w:after="60" w:line="240" w:lineRule="atLeast"/>
              <w:rPr>
                <w:noProof/>
                <w:sz w:val="18"/>
                <w:szCs w:val="18"/>
                <w:lang w:val="cs-CZ"/>
              </w:rPr>
            </w:pPr>
          </w:p>
        </w:tc>
        <w:tc>
          <w:tcPr>
            <w:tcW w:w="858" w:type="dxa"/>
          </w:tcPr>
          <w:p w:rsidR="003B6E11" w:rsidRPr="003B6E11" w:rsidRDefault="003B6E11" w:rsidP="002D015D">
            <w:pPr>
              <w:spacing w:before="60" w:after="60" w:line="240" w:lineRule="atLeast"/>
              <w:rPr>
                <w:noProof/>
                <w:sz w:val="18"/>
                <w:szCs w:val="18"/>
                <w:lang w:val="cs-CZ"/>
              </w:rPr>
            </w:pPr>
          </w:p>
        </w:tc>
      </w:tr>
      <w:tr w:rsidR="003B6E11" w:rsidRPr="003B6E11" w:rsidTr="002D015D">
        <w:trPr>
          <w:jc w:val="center"/>
        </w:trPr>
        <w:tc>
          <w:tcPr>
            <w:tcW w:w="1588" w:type="dxa"/>
          </w:tcPr>
          <w:p w:rsidR="003B6E11" w:rsidRPr="003B6E11" w:rsidRDefault="003B6E11" w:rsidP="002D015D">
            <w:pPr>
              <w:spacing w:before="60" w:after="60" w:line="240" w:lineRule="atLeast"/>
              <w:rPr>
                <w:noProof/>
                <w:sz w:val="18"/>
                <w:szCs w:val="18"/>
                <w:lang w:val="cs-CZ"/>
              </w:rPr>
            </w:pPr>
            <w:r w:rsidRPr="003B6E11">
              <w:rPr>
                <w:noProof/>
                <w:sz w:val="18"/>
                <w:lang w:val="cs-CZ"/>
              </w:rPr>
              <w:t>Účinnost zneškodňování TOC</w:t>
            </w:r>
          </w:p>
        </w:tc>
        <w:tc>
          <w:tcPr>
            <w:tcW w:w="2325" w:type="dxa"/>
          </w:tcPr>
          <w:p w:rsidR="003B6E11" w:rsidRPr="003B6E11" w:rsidRDefault="003B6E11" w:rsidP="002D015D">
            <w:pPr>
              <w:spacing w:before="60" w:after="60" w:line="240" w:lineRule="atLeast"/>
              <w:rPr>
                <w:noProof/>
                <w:sz w:val="18"/>
                <w:szCs w:val="18"/>
                <w:lang w:val="cs-CZ"/>
              </w:rPr>
            </w:pPr>
            <w:r w:rsidRPr="003B6E11">
              <w:rPr>
                <w:noProof/>
                <w:sz w:val="18"/>
                <w:lang w:val="cs-CZ"/>
              </w:rPr>
              <w:t>Souhrnné vzorky za 24 h</w:t>
            </w:r>
          </w:p>
        </w:tc>
        <w:tc>
          <w:tcPr>
            <w:tcW w:w="936" w:type="dxa"/>
          </w:tcPr>
          <w:p w:rsidR="003B6E11" w:rsidRPr="003B6E11" w:rsidRDefault="003B6E11" w:rsidP="002D015D">
            <w:pPr>
              <w:spacing w:before="60" w:after="60" w:line="240" w:lineRule="atLeast"/>
              <w:rPr>
                <w:noProof/>
                <w:sz w:val="18"/>
                <w:szCs w:val="18"/>
                <w:lang w:val="cs-CZ"/>
              </w:rPr>
            </w:pPr>
          </w:p>
        </w:tc>
        <w:tc>
          <w:tcPr>
            <w:tcW w:w="858" w:type="dxa"/>
          </w:tcPr>
          <w:p w:rsidR="003B6E11" w:rsidRPr="003B6E11" w:rsidRDefault="003B6E11" w:rsidP="002D015D">
            <w:pPr>
              <w:spacing w:before="60" w:after="60" w:line="240" w:lineRule="atLeast"/>
              <w:rPr>
                <w:noProof/>
                <w:sz w:val="18"/>
                <w:szCs w:val="18"/>
                <w:lang w:val="cs-CZ"/>
              </w:rPr>
            </w:pPr>
          </w:p>
        </w:tc>
        <w:tc>
          <w:tcPr>
            <w:tcW w:w="858" w:type="dxa"/>
          </w:tcPr>
          <w:p w:rsidR="003B6E11" w:rsidRPr="003B6E11" w:rsidRDefault="003B6E11" w:rsidP="002D015D">
            <w:pPr>
              <w:spacing w:before="60" w:after="60" w:line="240" w:lineRule="atLeast"/>
              <w:rPr>
                <w:noProof/>
                <w:sz w:val="18"/>
                <w:szCs w:val="18"/>
                <w:lang w:val="cs-CZ"/>
              </w:rPr>
            </w:pPr>
          </w:p>
        </w:tc>
      </w:tr>
      <w:tr w:rsidR="003B6E11" w:rsidRPr="003B6E11" w:rsidTr="002D015D">
        <w:trPr>
          <w:jc w:val="center"/>
        </w:trPr>
        <w:tc>
          <w:tcPr>
            <w:tcW w:w="1588" w:type="dxa"/>
          </w:tcPr>
          <w:p w:rsidR="003B6E11" w:rsidRPr="003B6E11" w:rsidRDefault="003B6E11" w:rsidP="002D015D">
            <w:pPr>
              <w:spacing w:before="60" w:after="60" w:line="240" w:lineRule="atLeast"/>
              <w:rPr>
                <w:noProof/>
                <w:sz w:val="18"/>
                <w:szCs w:val="18"/>
                <w:lang w:val="cs-CZ"/>
              </w:rPr>
            </w:pPr>
            <w:r w:rsidRPr="003B6E11">
              <w:rPr>
                <w:noProof/>
                <w:sz w:val="18"/>
                <w:lang w:val="cs-CZ"/>
              </w:rPr>
              <w:t>Účinnost zneškodňování TOC</w:t>
            </w:r>
          </w:p>
        </w:tc>
        <w:tc>
          <w:tcPr>
            <w:tcW w:w="2325" w:type="dxa"/>
          </w:tcPr>
          <w:p w:rsidR="003B6E11" w:rsidRPr="003B6E11" w:rsidRDefault="003B6E11" w:rsidP="002D015D">
            <w:pPr>
              <w:spacing w:before="60" w:after="60" w:line="240" w:lineRule="atLeast"/>
              <w:rPr>
                <w:noProof/>
                <w:sz w:val="18"/>
                <w:szCs w:val="18"/>
                <w:lang w:val="cs-CZ"/>
              </w:rPr>
            </w:pPr>
            <w:r w:rsidRPr="003B6E11">
              <w:rPr>
                <w:noProof/>
                <w:sz w:val="18"/>
                <w:lang w:val="cs-CZ"/>
              </w:rPr>
              <w:t>Náhodné vzorky</w:t>
            </w:r>
          </w:p>
        </w:tc>
        <w:tc>
          <w:tcPr>
            <w:tcW w:w="936" w:type="dxa"/>
          </w:tcPr>
          <w:p w:rsidR="003B6E11" w:rsidRPr="003B6E11" w:rsidRDefault="003B6E11" w:rsidP="002D015D">
            <w:pPr>
              <w:spacing w:before="60" w:after="60" w:line="240" w:lineRule="atLeast"/>
              <w:rPr>
                <w:noProof/>
                <w:sz w:val="18"/>
                <w:szCs w:val="18"/>
                <w:lang w:val="cs-CZ"/>
              </w:rPr>
            </w:pPr>
          </w:p>
        </w:tc>
        <w:tc>
          <w:tcPr>
            <w:tcW w:w="858" w:type="dxa"/>
          </w:tcPr>
          <w:p w:rsidR="003B6E11" w:rsidRPr="003B6E11" w:rsidRDefault="003B6E11" w:rsidP="002D015D">
            <w:pPr>
              <w:spacing w:before="60" w:after="60" w:line="240" w:lineRule="atLeast"/>
              <w:rPr>
                <w:noProof/>
                <w:sz w:val="18"/>
                <w:szCs w:val="18"/>
                <w:lang w:val="cs-CZ"/>
              </w:rPr>
            </w:pPr>
          </w:p>
        </w:tc>
        <w:tc>
          <w:tcPr>
            <w:tcW w:w="858" w:type="dxa"/>
          </w:tcPr>
          <w:p w:rsidR="003B6E11" w:rsidRPr="003B6E11" w:rsidRDefault="003B6E11" w:rsidP="002D015D">
            <w:pPr>
              <w:spacing w:before="60" w:after="60" w:line="240" w:lineRule="atLeast"/>
              <w:rPr>
                <w:noProof/>
                <w:sz w:val="18"/>
                <w:szCs w:val="18"/>
                <w:lang w:val="cs-CZ"/>
              </w:rPr>
            </w:pPr>
          </w:p>
        </w:tc>
      </w:tr>
      <w:tr w:rsidR="003B6E11" w:rsidRPr="003B6E11" w:rsidTr="002D015D">
        <w:trPr>
          <w:jc w:val="center"/>
        </w:trPr>
        <w:tc>
          <w:tcPr>
            <w:tcW w:w="1588" w:type="dxa"/>
          </w:tcPr>
          <w:p w:rsidR="003B6E11" w:rsidRPr="003B6E11" w:rsidRDefault="003B6E11" w:rsidP="002D015D">
            <w:pPr>
              <w:spacing w:before="60" w:after="60" w:line="240" w:lineRule="atLeast"/>
              <w:rPr>
                <w:noProof/>
                <w:sz w:val="18"/>
                <w:szCs w:val="18"/>
                <w:lang w:val="cs-CZ"/>
              </w:rPr>
            </w:pPr>
            <w:r w:rsidRPr="003B6E11">
              <w:rPr>
                <w:noProof/>
                <w:sz w:val="18"/>
                <w:lang w:val="cs-CZ"/>
              </w:rPr>
              <w:t>Účinnost zneškodňování SRF</w:t>
            </w:r>
          </w:p>
        </w:tc>
        <w:tc>
          <w:tcPr>
            <w:tcW w:w="2325" w:type="dxa"/>
          </w:tcPr>
          <w:p w:rsidR="003B6E11" w:rsidRPr="003B6E11" w:rsidRDefault="003B6E11" w:rsidP="002D015D">
            <w:pPr>
              <w:spacing w:before="60" w:after="60" w:line="240" w:lineRule="atLeast"/>
              <w:rPr>
                <w:noProof/>
                <w:sz w:val="18"/>
                <w:szCs w:val="18"/>
                <w:lang w:val="cs-CZ"/>
              </w:rPr>
            </w:pPr>
            <w:r w:rsidRPr="003B6E11">
              <w:rPr>
                <w:noProof/>
                <w:sz w:val="18"/>
                <w:lang w:val="cs-CZ"/>
              </w:rPr>
              <w:t>Souhrnné vzorky za 24 h</w:t>
            </w:r>
          </w:p>
        </w:tc>
        <w:tc>
          <w:tcPr>
            <w:tcW w:w="936" w:type="dxa"/>
          </w:tcPr>
          <w:p w:rsidR="003B6E11" w:rsidRPr="003B6E11" w:rsidRDefault="003B6E11" w:rsidP="002D015D">
            <w:pPr>
              <w:spacing w:before="60" w:after="60" w:line="240" w:lineRule="atLeast"/>
              <w:rPr>
                <w:noProof/>
                <w:sz w:val="18"/>
                <w:szCs w:val="18"/>
                <w:lang w:val="cs-CZ"/>
              </w:rPr>
            </w:pPr>
          </w:p>
        </w:tc>
        <w:tc>
          <w:tcPr>
            <w:tcW w:w="858" w:type="dxa"/>
          </w:tcPr>
          <w:p w:rsidR="003B6E11" w:rsidRPr="003B6E11" w:rsidRDefault="003B6E11" w:rsidP="002D015D">
            <w:pPr>
              <w:spacing w:before="60" w:after="60" w:line="240" w:lineRule="atLeast"/>
              <w:rPr>
                <w:noProof/>
                <w:sz w:val="18"/>
                <w:szCs w:val="18"/>
                <w:lang w:val="cs-CZ"/>
              </w:rPr>
            </w:pPr>
          </w:p>
        </w:tc>
        <w:tc>
          <w:tcPr>
            <w:tcW w:w="858" w:type="dxa"/>
          </w:tcPr>
          <w:p w:rsidR="003B6E11" w:rsidRPr="003B6E11" w:rsidRDefault="003B6E11" w:rsidP="002D015D">
            <w:pPr>
              <w:spacing w:before="60" w:after="60" w:line="240" w:lineRule="atLeast"/>
              <w:rPr>
                <w:noProof/>
                <w:sz w:val="18"/>
                <w:szCs w:val="18"/>
                <w:lang w:val="cs-CZ"/>
              </w:rPr>
            </w:pPr>
          </w:p>
        </w:tc>
      </w:tr>
      <w:tr w:rsidR="003B6E11" w:rsidRPr="003B6E11" w:rsidTr="002D015D">
        <w:trPr>
          <w:jc w:val="center"/>
        </w:trPr>
        <w:tc>
          <w:tcPr>
            <w:tcW w:w="1588" w:type="dxa"/>
          </w:tcPr>
          <w:p w:rsidR="003B6E11" w:rsidRPr="003B6E11" w:rsidRDefault="003B6E11" w:rsidP="002D015D">
            <w:pPr>
              <w:spacing w:before="60" w:after="60" w:line="240" w:lineRule="atLeast"/>
              <w:rPr>
                <w:noProof/>
                <w:sz w:val="18"/>
                <w:szCs w:val="18"/>
                <w:lang w:val="cs-CZ"/>
              </w:rPr>
            </w:pPr>
            <w:r w:rsidRPr="003B6E11">
              <w:rPr>
                <w:noProof/>
                <w:sz w:val="18"/>
                <w:lang w:val="cs-CZ"/>
              </w:rPr>
              <w:t>Účinnost zneškodňování SRF</w:t>
            </w:r>
          </w:p>
        </w:tc>
        <w:tc>
          <w:tcPr>
            <w:tcW w:w="2325" w:type="dxa"/>
          </w:tcPr>
          <w:p w:rsidR="003B6E11" w:rsidRPr="003B6E11" w:rsidRDefault="003B6E11" w:rsidP="002D015D">
            <w:pPr>
              <w:spacing w:before="60" w:after="60" w:line="240" w:lineRule="atLeast"/>
              <w:rPr>
                <w:noProof/>
                <w:sz w:val="18"/>
                <w:szCs w:val="18"/>
                <w:lang w:val="cs-CZ"/>
              </w:rPr>
            </w:pPr>
            <w:r w:rsidRPr="003B6E11">
              <w:rPr>
                <w:noProof/>
                <w:sz w:val="18"/>
                <w:lang w:val="cs-CZ"/>
              </w:rPr>
              <w:t>Náhodné vzorky</w:t>
            </w:r>
          </w:p>
        </w:tc>
        <w:tc>
          <w:tcPr>
            <w:tcW w:w="936" w:type="dxa"/>
          </w:tcPr>
          <w:p w:rsidR="003B6E11" w:rsidRPr="003B6E11" w:rsidRDefault="003B6E11" w:rsidP="002D015D">
            <w:pPr>
              <w:spacing w:before="60" w:after="60" w:line="240" w:lineRule="atLeast"/>
              <w:rPr>
                <w:noProof/>
                <w:sz w:val="18"/>
                <w:szCs w:val="18"/>
                <w:lang w:val="cs-CZ"/>
              </w:rPr>
            </w:pPr>
          </w:p>
        </w:tc>
        <w:tc>
          <w:tcPr>
            <w:tcW w:w="858" w:type="dxa"/>
          </w:tcPr>
          <w:p w:rsidR="003B6E11" w:rsidRPr="003B6E11" w:rsidRDefault="003B6E11" w:rsidP="002D015D">
            <w:pPr>
              <w:spacing w:before="60" w:after="60" w:line="240" w:lineRule="atLeast"/>
              <w:rPr>
                <w:noProof/>
                <w:sz w:val="18"/>
                <w:szCs w:val="18"/>
                <w:lang w:val="cs-CZ"/>
              </w:rPr>
            </w:pPr>
          </w:p>
        </w:tc>
        <w:tc>
          <w:tcPr>
            <w:tcW w:w="858" w:type="dxa"/>
          </w:tcPr>
          <w:p w:rsidR="003B6E11" w:rsidRPr="003B6E11" w:rsidRDefault="003B6E11" w:rsidP="002D015D">
            <w:pPr>
              <w:spacing w:before="60" w:after="60" w:line="240" w:lineRule="atLeast"/>
              <w:rPr>
                <w:noProof/>
                <w:sz w:val="18"/>
                <w:szCs w:val="18"/>
                <w:lang w:val="cs-CZ"/>
              </w:rPr>
            </w:pPr>
          </w:p>
        </w:tc>
      </w:tr>
    </w:tbl>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t xml:space="preserve">Zbývající parametry podle odst. 3.3 písm. b) až d) a provozní parametry podle odstavce 3.3 se shrnou do tabulky s uvedením minimálního výsledku vzorku (Min), maximálního výsledku vzorku (Max) a aritmetického průměru (Průměr). </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3.5</w:t>
      </w:r>
      <w:r w:rsidRPr="003B6E11">
        <w:rPr>
          <w:lang w:val="cs-CZ"/>
        </w:rPr>
        <w:tab/>
      </w:r>
      <w:r w:rsidRPr="003B6E11">
        <w:rPr>
          <w:noProof/>
          <w:color w:val="000000"/>
          <w:lang w:val="cs-CZ"/>
        </w:rPr>
        <w:t xml:space="preserve">Soulad s požadavky kapitoly 18 </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ind w:left="426"/>
        <w:rPr>
          <w:noProof/>
          <w:lang w:val="cs-CZ"/>
        </w:rPr>
      </w:pPr>
      <w:r w:rsidRPr="003B6E11">
        <w:rPr>
          <w:lang w:val="cs-CZ"/>
        </w:rPr>
        <w:t xml:space="preserve">Mezní hodnoty podle čl. 18.01 odst. 2 tabulek 1 a 2 se považují za dodržené, pokud u každé hodnoty pro parametry COD, </w:t>
      </w:r>
      <m:oMath>
        <m:sSub>
          <m:sSubPr>
            <m:ctrlPr>
              <w:rPr>
                <w:rFonts w:ascii="Cambria Math" w:hAnsi="Cambria Math"/>
                <w:i/>
                <w:noProof/>
                <w:lang w:val="cs-CZ"/>
              </w:rPr>
            </m:ctrlPr>
          </m:sSubPr>
          <m:e>
            <m:r>
              <w:rPr>
                <w:rFonts w:ascii="Cambria Math" w:hAnsi="Cambria Math"/>
                <w:noProof/>
                <w:lang w:val="cs-CZ"/>
              </w:rPr>
              <m:t>BOD</m:t>
            </m:r>
          </m:e>
          <m:sub>
            <m:r>
              <w:rPr>
                <w:rFonts w:ascii="Cambria Math" w:hAnsi="Cambria Math"/>
                <w:noProof/>
                <w:lang w:val="cs-CZ"/>
              </w:rPr>
              <m:t>5</m:t>
            </m:r>
          </m:sub>
        </m:sSub>
      </m:oMath>
      <w:r w:rsidRPr="003B6E11">
        <w:rPr>
          <w:lang w:val="cs-CZ"/>
        </w:rPr>
        <w:t>a TOC:</w:t>
      </w:r>
    </w:p>
    <w:p w:rsidR="003B6E11" w:rsidRPr="003B6E11" w:rsidRDefault="003B6E11" w:rsidP="003B6E11">
      <w:pPr>
        <w:spacing w:before="60" w:line="240" w:lineRule="atLeast"/>
        <w:ind w:left="851"/>
        <w:rPr>
          <w:rFonts w:cs="Arial"/>
          <w:noProof/>
          <w:lang w:val="cs-CZ"/>
        </w:rPr>
      </w:pPr>
      <w:r w:rsidRPr="003B6E11">
        <w:rPr>
          <w:lang w:val="cs-CZ"/>
        </w:rPr>
        <w:t>a)</w:t>
      </w:r>
      <w:r w:rsidRPr="003B6E11">
        <w:rPr>
          <w:lang w:val="cs-CZ"/>
        </w:rPr>
        <w:tab/>
        <w:t xml:space="preserve">střední hodnoty celkem 14 vzorků odtoku a </w:t>
      </w:r>
    </w:p>
    <w:p w:rsidR="003B6E11" w:rsidRPr="003B6E11" w:rsidRDefault="003B6E11" w:rsidP="003B6E11">
      <w:pPr>
        <w:spacing w:before="60" w:line="240" w:lineRule="atLeast"/>
        <w:ind w:left="851"/>
        <w:rPr>
          <w:rFonts w:cs="Arial"/>
          <w:noProof/>
          <w:lang w:val="cs-CZ"/>
        </w:rPr>
      </w:pPr>
      <w:r w:rsidRPr="003B6E11">
        <w:rPr>
          <w:lang w:val="cs-CZ"/>
        </w:rPr>
        <w:t>b)</w:t>
      </w:r>
      <w:r w:rsidRPr="003B6E11">
        <w:rPr>
          <w:lang w:val="cs-CZ"/>
        </w:rPr>
        <w:tab/>
        <w:t>alespoň 10 z celkem 14 vzorků odtoku nepřekročí stanovené mezní limity pro souhrnné vzorky za 24 hodin a pro náhodné vzorky.</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3.6</w:t>
      </w:r>
      <w:r w:rsidRPr="003B6E11">
        <w:rPr>
          <w:lang w:val="cs-CZ"/>
        </w:rPr>
        <w:tab/>
      </w:r>
      <w:r w:rsidRPr="003B6E11">
        <w:rPr>
          <w:noProof/>
          <w:color w:val="000000"/>
          <w:lang w:val="cs-CZ"/>
        </w:rPr>
        <w:t xml:space="preserve">Provoz a údržba v průběhu zkoušky </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t xml:space="preserve">Po celou dobu zkoušky se zkušební čistírna provozuje v souladu s pokyny výrobce. Pravidelné kontroly a údržba se provádějí v souladu s pokyny výrobce pro provoz a údržbu. Přebytečný kal vzniklý biologickým čištěním smí být z palubní čistírny odpadních vod odstraněn, pouze pokud to výrobce stanoví v pokynech pro provoz a údržbu. Technická zkušebna ve zkušebním protokolu zaznamenává a dokumentuje veškeré provedené údržbové práce. Během zkoušky nemají neoprávněné osoby přístup ke zkušební čistírně. </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br w:type="page"/>
      </w:r>
    </w:p>
    <w:p w:rsidR="003B6E11" w:rsidRPr="003B6E11" w:rsidRDefault="003B6E11" w:rsidP="003B6E11">
      <w:pPr>
        <w:spacing w:line="240" w:lineRule="atLeast"/>
        <w:rPr>
          <w:rFonts w:cs="Arial"/>
          <w:noProof/>
          <w:color w:val="000000"/>
          <w:lang w:val="cs-CZ"/>
        </w:rPr>
      </w:pPr>
      <w:r w:rsidRPr="003B6E11">
        <w:rPr>
          <w:noProof/>
          <w:color w:val="000000"/>
          <w:lang w:val="cs-CZ"/>
        </w:rPr>
        <w:t>3.7</w:t>
      </w:r>
      <w:r w:rsidRPr="003B6E11">
        <w:rPr>
          <w:lang w:val="cs-CZ"/>
        </w:rPr>
        <w:tab/>
      </w:r>
      <w:r w:rsidRPr="003B6E11">
        <w:rPr>
          <w:noProof/>
          <w:color w:val="000000"/>
          <w:lang w:val="cs-CZ"/>
        </w:rPr>
        <w:t>Analýza vzorků / metoda analýzy</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ind w:left="426"/>
        <w:rPr>
          <w:noProof/>
          <w:lang w:val="cs-CZ"/>
        </w:rPr>
      </w:pPr>
      <w:r w:rsidRPr="003B6E11">
        <w:rPr>
          <w:lang w:val="cs-CZ"/>
        </w:rPr>
        <w:t>Zkoumané parametry se analyzují pomocí schválených standardních postupů. Tento standardní postup se stanoví předem.</w:t>
      </w:r>
    </w:p>
    <w:p w:rsidR="003B6E11" w:rsidRPr="003B6E11" w:rsidRDefault="003B6E11" w:rsidP="003B6E11">
      <w:pPr>
        <w:spacing w:line="240" w:lineRule="atLeast"/>
        <w:ind w:left="426"/>
        <w:rPr>
          <w:noProof/>
          <w:lang w:val="cs-CZ"/>
        </w:rPr>
      </w:pPr>
    </w:p>
    <w:p w:rsidR="003B6E11" w:rsidRPr="003B6E11" w:rsidRDefault="003B6E11" w:rsidP="003B6E11">
      <w:pPr>
        <w:spacing w:line="240" w:lineRule="atLeast"/>
        <w:rPr>
          <w:rFonts w:cs="Arial"/>
          <w:b/>
          <w:noProof/>
          <w:color w:val="000000"/>
          <w:lang w:val="cs-CZ"/>
        </w:rPr>
      </w:pPr>
      <w:r w:rsidRPr="003B6E11">
        <w:rPr>
          <w:b/>
          <w:noProof/>
          <w:color w:val="000000"/>
          <w:lang w:val="cs-CZ"/>
        </w:rPr>
        <w:t>4</w:t>
      </w:r>
      <w:r w:rsidRPr="003B6E11">
        <w:rPr>
          <w:lang w:val="cs-CZ"/>
        </w:rPr>
        <w:tab/>
      </w:r>
      <w:r w:rsidRPr="003B6E11">
        <w:rPr>
          <w:b/>
          <w:noProof/>
          <w:color w:val="000000"/>
          <w:lang w:val="cs-CZ"/>
        </w:rPr>
        <w:t>Zkušební protokol</w:t>
      </w:r>
    </w:p>
    <w:p w:rsidR="003B6E11" w:rsidRPr="003B6E11" w:rsidRDefault="003B6E11" w:rsidP="003B6E11">
      <w:pPr>
        <w:spacing w:line="240" w:lineRule="atLeast"/>
        <w:rPr>
          <w:rFonts w:cs="Arial"/>
          <w:noProof/>
          <w:color w:val="000000"/>
          <w:lang w:val="cs-CZ"/>
        </w:rPr>
      </w:pPr>
    </w:p>
    <w:p w:rsidR="003B6E11" w:rsidRPr="003B6E11" w:rsidRDefault="003B6E11" w:rsidP="003B6E11">
      <w:pPr>
        <w:spacing w:line="240" w:lineRule="atLeast"/>
        <w:rPr>
          <w:rFonts w:cs="Arial"/>
          <w:noProof/>
          <w:color w:val="000000"/>
          <w:lang w:val="cs-CZ"/>
        </w:rPr>
      </w:pPr>
      <w:r w:rsidRPr="003B6E11">
        <w:rPr>
          <w:noProof/>
          <w:color w:val="000000"/>
          <w:lang w:val="cs-CZ"/>
        </w:rPr>
        <w:t>4.1</w:t>
      </w:r>
      <w:r w:rsidRPr="003B6E11">
        <w:rPr>
          <w:lang w:val="cs-CZ"/>
        </w:rPr>
        <w:tab/>
      </w:r>
      <w:r w:rsidRPr="003B6E11">
        <w:rPr>
          <w:noProof/>
          <w:color w:val="000000"/>
          <w:lang w:val="cs-CZ"/>
        </w:rPr>
        <w:t>Technická zkušebna je povinna vypracovat protokol o provedené typové zkoušce. Tento protokol musí obsahovat minimálně následující informace:</w:t>
      </w:r>
    </w:p>
    <w:p w:rsidR="003B6E11" w:rsidRPr="003B6E11" w:rsidRDefault="003B6E11" w:rsidP="003B6E11">
      <w:pPr>
        <w:spacing w:before="60" w:line="240" w:lineRule="atLeast"/>
        <w:ind w:left="851"/>
        <w:rPr>
          <w:rFonts w:cs="Arial"/>
          <w:noProof/>
          <w:lang w:val="cs-CZ"/>
        </w:rPr>
      </w:pPr>
      <w:r w:rsidRPr="003B6E11">
        <w:rPr>
          <w:lang w:val="cs-CZ"/>
        </w:rPr>
        <w:t>a)</w:t>
      </w:r>
      <w:r w:rsidRPr="003B6E11">
        <w:rPr>
          <w:lang w:val="cs-CZ"/>
        </w:rPr>
        <w:tab/>
        <w:t>podrobnosti o testované čistírně, jako například její typ, informace o jmenovitém denním zatížení znečišťujícími látkami a o zásadách dimenzování, které výrobce použil;</w:t>
      </w:r>
    </w:p>
    <w:p w:rsidR="003B6E11" w:rsidRPr="003B6E11" w:rsidRDefault="003B6E11" w:rsidP="003B6E11">
      <w:pPr>
        <w:spacing w:before="60" w:line="240" w:lineRule="atLeast"/>
        <w:ind w:left="851"/>
        <w:rPr>
          <w:rFonts w:cs="Arial"/>
          <w:noProof/>
          <w:lang w:val="cs-CZ"/>
        </w:rPr>
      </w:pPr>
      <w:r w:rsidRPr="003B6E11">
        <w:rPr>
          <w:lang w:val="cs-CZ"/>
        </w:rPr>
        <w:t>b)</w:t>
      </w:r>
      <w:r w:rsidRPr="003B6E11">
        <w:rPr>
          <w:lang w:val="cs-CZ"/>
        </w:rPr>
        <w:tab/>
        <w:t>informace o shodě zkoušené palubní čistírny odpadních vod spolu s dokumentací poskytnutou před zkouškou;</w:t>
      </w:r>
    </w:p>
    <w:p w:rsidR="003B6E11" w:rsidRPr="003B6E11" w:rsidRDefault="003B6E11" w:rsidP="003B6E11">
      <w:pPr>
        <w:spacing w:before="60" w:line="240" w:lineRule="atLeast"/>
        <w:ind w:left="851"/>
        <w:rPr>
          <w:rFonts w:cs="Arial"/>
          <w:noProof/>
          <w:lang w:val="cs-CZ"/>
        </w:rPr>
      </w:pPr>
      <w:r w:rsidRPr="003B6E11">
        <w:rPr>
          <w:lang w:val="cs-CZ"/>
        </w:rPr>
        <w:t>c)</w:t>
      </w:r>
      <w:r w:rsidRPr="003B6E11">
        <w:rPr>
          <w:lang w:val="cs-CZ"/>
        </w:rPr>
        <w:tab/>
        <w:t>informace o výsledcích jednotlivých měření, jakož i o posouzení účinnosti čištění čistírny a o dodržení požadovaných mezních hodnot odtoku;</w:t>
      </w:r>
    </w:p>
    <w:p w:rsidR="003B6E11" w:rsidRPr="003B6E11" w:rsidRDefault="003B6E11" w:rsidP="003B6E11">
      <w:pPr>
        <w:spacing w:before="60" w:line="240" w:lineRule="atLeast"/>
        <w:ind w:left="851"/>
        <w:rPr>
          <w:rFonts w:cs="Arial"/>
          <w:noProof/>
          <w:lang w:val="cs-CZ"/>
        </w:rPr>
      </w:pPr>
      <w:r w:rsidRPr="003B6E11">
        <w:rPr>
          <w:lang w:val="cs-CZ"/>
        </w:rPr>
        <w:t>d)</w:t>
      </w:r>
      <w:r w:rsidRPr="003B6E11">
        <w:rPr>
          <w:lang w:val="cs-CZ"/>
        </w:rPr>
        <w:tab/>
        <w:t>podrobnosti o odstraňování přebytečného kalu, jako například objem odstraněného kalu a frekvence jeho odstraňování;</w:t>
      </w:r>
    </w:p>
    <w:p w:rsidR="003B6E11" w:rsidRPr="003B6E11" w:rsidRDefault="003B6E11" w:rsidP="003B6E11">
      <w:pPr>
        <w:spacing w:before="60" w:line="240" w:lineRule="atLeast"/>
        <w:ind w:left="851"/>
        <w:rPr>
          <w:rFonts w:cs="Arial"/>
          <w:noProof/>
          <w:lang w:val="cs-CZ"/>
        </w:rPr>
      </w:pPr>
      <w:r w:rsidRPr="003B6E11">
        <w:rPr>
          <w:lang w:val="cs-CZ"/>
        </w:rPr>
        <w:t>e)</w:t>
      </w:r>
      <w:r w:rsidRPr="003B6E11">
        <w:rPr>
          <w:lang w:val="cs-CZ"/>
        </w:rPr>
        <w:tab/>
        <w:t>informace o veškerých pracích v oblasti provozu, údržby a oprav provedených v průběhu zkoušky;</w:t>
      </w:r>
    </w:p>
    <w:p w:rsidR="003B6E11" w:rsidRPr="003B6E11" w:rsidRDefault="003B6E11" w:rsidP="003B6E11">
      <w:pPr>
        <w:spacing w:before="60" w:line="240" w:lineRule="atLeast"/>
        <w:ind w:left="851"/>
        <w:rPr>
          <w:rFonts w:cs="Arial"/>
          <w:noProof/>
          <w:lang w:val="cs-CZ"/>
        </w:rPr>
      </w:pPr>
      <w:r w:rsidRPr="003B6E11">
        <w:rPr>
          <w:lang w:val="cs-CZ"/>
        </w:rPr>
        <w:t>f)</w:t>
      </w:r>
      <w:r w:rsidRPr="003B6E11">
        <w:rPr>
          <w:lang w:val="cs-CZ"/>
        </w:rPr>
        <w:tab/>
        <w:t>informace o případném zhoršení kvality palubní čistírny odpadních vod v průběhu zkoušky, jakož i o případných přerušeních zkoušky;</w:t>
      </w:r>
    </w:p>
    <w:p w:rsidR="003B6E11" w:rsidRPr="003B6E11" w:rsidRDefault="003B6E11" w:rsidP="003B6E11">
      <w:pPr>
        <w:spacing w:before="60" w:line="240" w:lineRule="atLeast"/>
        <w:ind w:left="851"/>
        <w:rPr>
          <w:rFonts w:cs="Arial"/>
          <w:noProof/>
          <w:lang w:val="cs-CZ"/>
        </w:rPr>
      </w:pPr>
      <w:r w:rsidRPr="003B6E11">
        <w:rPr>
          <w:lang w:val="cs-CZ"/>
        </w:rPr>
        <w:t>g)</w:t>
      </w:r>
      <w:r w:rsidRPr="003B6E11">
        <w:rPr>
          <w:lang w:val="cs-CZ"/>
        </w:rPr>
        <w:tab/>
        <w:t>informace o případných problémech vzniklých v průběhu zkoušky;</w:t>
      </w:r>
    </w:p>
    <w:p w:rsidR="003B6E11" w:rsidRPr="003B6E11" w:rsidRDefault="003B6E11" w:rsidP="003B6E11">
      <w:pPr>
        <w:spacing w:before="60" w:line="240" w:lineRule="atLeast"/>
        <w:ind w:left="851"/>
        <w:rPr>
          <w:rFonts w:cs="Arial"/>
          <w:noProof/>
          <w:lang w:val="cs-CZ"/>
        </w:rPr>
      </w:pPr>
      <w:r w:rsidRPr="003B6E11">
        <w:rPr>
          <w:lang w:val="cs-CZ"/>
        </w:rPr>
        <w:t>h)</w:t>
      </w:r>
      <w:r w:rsidRPr="003B6E11">
        <w:rPr>
          <w:lang w:val="cs-CZ"/>
        </w:rPr>
        <w:tab/>
        <w:t>seznam odpovědných osob podílejících se na typové zkoušce palubní čistírny odpadních vod s uvedením jejich jména a pracovního zařazení;</w:t>
      </w:r>
    </w:p>
    <w:p w:rsidR="003B6E11" w:rsidRPr="003B6E11" w:rsidRDefault="003B6E11" w:rsidP="003B6E11">
      <w:pPr>
        <w:spacing w:before="60" w:line="240" w:lineRule="atLeast"/>
        <w:ind w:left="851"/>
        <w:rPr>
          <w:rFonts w:cs="Arial"/>
          <w:noProof/>
          <w:lang w:val="cs-CZ"/>
        </w:rPr>
      </w:pPr>
      <w:r w:rsidRPr="003B6E11">
        <w:rPr>
          <w:lang w:val="cs-CZ"/>
        </w:rPr>
        <w:t>i)</w:t>
      </w:r>
      <w:r w:rsidRPr="003B6E11">
        <w:rPr>
          <w:lang w:val="cs-CZ"/>
        </w:rPr>
        <w:tab/>
        <w:t>název a adresu laboratoře, která provedla analýzu vzorků odpadních vod;</w:t>
      </w:r>
    </w:p>
    <w:p w:rsidR="003B6E11" w:rsidRPr="003B6E11" w:rsidRDefault="003B6E11" w:rsidP="003B6E11">
      <w:pPr>
        <w:spacing w:before="60" w:line="240" w:lineRule="atLeast"/>
        <w:ind w:left="851"/>
        <w:rPr>
          <w:rFonts w:cs="Arial"/>
          <w:noProof/>
          <w:lang w:val="cs-CZ"/>
        </w:rPr>
      </w:pPr>
      <w:r w:rsidRPr="003B6E11">
        <w:rPr>
          <w:lang w:val="cs-CZ"/>
        </w:rPr>
        <w:t>j)</w:t>
      </w:r>
      <w:r w:rsidRPr="003B6E11">
        <w:rPr>
          <w:lang w:val="cs-CZ"/>
        </w:rPr>
        <w:tab/>
        <w:t>použité metody analýzy.</w:t>
      </w:r>
    </w:p>
    <w:p w:rsidR="003B6E11" w:rsidRPr="003B6E11" w:rsidRDefault="003B6E11" w:rsidP="003B6E11">
      <w:pPr>
        <w:spacing w:before="60" w:line="240" w:lineRule="atLeast"/>
        <w:ind w:left="851"/>
        <w:rPr>
          <w:rFonts w:cs="Arial"/>
          <w:noProof/>
          <w:szCs w:val="20"/>
          <w:lang w:val="cs-CZ"/>
        </w:rPr>
      </w:pPr>
    </w:p>
    <w:p w:rsidR="003B6E11" w:rsidRPr="003B6E11" w:rsidRDefault="003B6E11" w:rsidP="003B6E11">
      <w:pPr>
        <w:tabs>
          <w:tab w:val="left" w:pos="1021"/>
          <w:tab w:val="center" w:pos="8080"/>
        </w:tabs>
        <w:suppressAutoHyphens/>
        <w:spacing w:line="240" w:lineRule="atLeast"/>
        <w:rPr>
          <w:rFonts w:cs="Arial"/>
          <w:szCs w:val="20"/>
          <w:lang w:val="cs-CZ"/>
        </w:rPr>
      </w:pPr>
      <w:r w:rsidRPr="003B6E11">
        <w:rPr>
          <w:lang w:val="cs-CZ"/>
        </w:rPr>
        <w:br w:type="page"/>
      </w:r>
    </w:p>
    <w:p w:rsidR="003B6E11" w:rsidRPr="003B6E11" w:rsidRDefault="003B6E11" w:rsidP="003B6E11">
      <w:pPr>
        <w:suppressAutoHyphens/>
        <w:spacing w:line="240" w:lineRule="atLeast"/>
        <w:jc w:val="center"/>
        <w:rPr>
          <w:rFonts w:cs="Arial"/>
          <w:b/>
          <w:lang w:val="cs-CZ"/>
        </w:rPr>
      </w:pPr>
      <w:r w:rsidRPr="003B6E11">
        <w:rPr>
          <w:b/>
          <w:lang w:val="cs-CZ"/>
        </w:rPr>
        <w:t>Dodatek 1</w:t>
      </w:r>
    </w:p>
    <w:p w:rsidR="003B6E11" w:rsidRPr="003B6E11" w:rsidRDefault="003B6E11" w:rsidP="003B6E11">
      <w:pPr>
        <w:tabs>
          <w:tab w:val="left" w:pos="1021"/>
          <w:tab w:val="center" w:pos="8080"/>
        </w:tabs>
        <w:suppressAutoHyphens/>
        <w:spacing w:line="240" w:lineRule="atLeast"/>
        <w:jc w:val="center"/>
        <w:rPr>
          <w:rFonts w:cs="Arial"/>
          <w:b/>
          <w:lang w:val="cs-CZ"/>
        </w:rPr>
      </w:pPr>
      <w:r w:rsidRPr="003B6E11">
        <w:rPr>
          <w:b/>
          <w:lang w:val="cs-CZ"/>
        </w:rPr>
        <w:t>Příklady zkušebních sekvencí</w:t>
      </w:r>
    </w:p>
    <w:p w:rsidR="003B6E11" w:rsidRPr="003B6E11" w:rsidRDefault="003B6E11" w:rsidP="003B6E11">
      <w:pPr>
        <w:tabs>
          <w:tab w:val="left" w:pos="1021"/>
          <w:tab w:val="center" w:pos="8080"/>
        </w:tabs>
        <w:suppressAutoHyphens/>
        <w:spacing w:line="240" w:lineRule="atLeast"/>
        <w:rPr>
          <w:rFonts w:cs="Arial"/>
          <w:b/>
          <w:lang w:val="cs-CZ"/>
        </w:rPr>
      </w:pPr>
    </w:p>
    <w:p w:rsidR="003B6E11" w:rsidRPr="003B6E11" w:rsidRDefault="003B6E11" w:rsidP="003B6E11">
      <w:pPr>
        <w:tabs>
          <w:tab w:val="left" w:leader="dot" w:pos="9072"/>
        </w:tabs>
        <w:spacing w:line="240" w:lineRule="atLeast"/>
        <w:rPr>
          <w:rFonts w:cs="Arial"/>
          <w:lang w:val="cs-CZ"/>
        </w:rPr>
      </w:pPr>
      <w:r w:rsidRPr="003B6E11">
        <w:rPr>
          <w:rFonts w:cs="Arial"/>
          <w:b/>
          <w:noProof/>
          <w:lang w:eastAsia="en-GB"/>
        </w:rPr>
        <mc:AlternateContent>
          <mc:Choice Requires="wps">
            <w:drawing>
              <wp:anchor distT="0" distB="0" distL="114300" distR="114300" simplePos="0" relativeHeight="251676672" behindDoc="0" locked="0" layoutInCell="1" allowOverlap="1" wp14:anchorId="57E1EEEE" wp14:editId="11980026">
                <wp:simplePos x="0" y="0"/>
                <wp:positionH relativeFrom="column">
                  <wp:posOffset>1606550</wp:posOffset>
                </wp:positionH>
                <wp:positionV relativeFrom="paragraph">
                  <wp:posOffset>574675</wp:posOffset>
                </wp:positionV>
                <wp:extent cx="386715" cy="349250"/>
                <wp:effectExtent l="0" t="0" r="0" b="0"/>
                <wp:wrapNone/>
                <wp:docPr id="2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349250"/>
                        </a:xfrm>
                        <a:prstGeom prst="rect">
                          <a:avLst/>
                        </a:prstGeom>
                        <a:solidFill>
                          <a:srgbClr val="37EB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15D" w:rsidRPr="00FA5168" w:rsidRDefault="002D015D" w:rsidP="003B6E11">
                            <w:pPr>
                              <w:jc w:val="center"/>
                              <w:rPr>
                                <w:sz w:val="16"/>
                              </w:rPr>
                            </w:pPr>
                            <w:r>
                              <w:rPr>
                                <w:sz w:val="16"/>
                              </w:rPr>
                              <w:t>Pře-</w:t>
                            </w:r>
                            <w:r>
                              <w:rPr>
                                <w:sz w:val="16"/>
                              </w:rPr>
                              <w:br/>
                              <w:t>tížení</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 o:spid="_x0000_s1027" type="#_x0000_t202" style="position:absolute;margin-left:126.5pt;margin-top:45.25pt;width:30.45pt;height: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" fillcolor="#37eb29" stroked="f">
                <v:textbox inset="0,1mm,0,0">
                  <w:txbxContent>
                    <w:p w:rsidR="002D015D" w:rsidRPr="00FA5168" w:rsidRDefault="002D015D" w:rsidP="003B6E11">
                      <w:pPr>
                        <w:jc w:val="center"/>
                        <w:rPr>
                          <w:sz w:val="16"/>
                        </w:rPr>
                      </w:pPr>
                      <w:r>
                        <w:rPr>
                          <w:sz w:val="16"/>
                        </w:rPr>
                        <w:t>Pře-</w:t>
                      </w:r>
                      <w:r>
                        <w:rPr>
                          <w:sz w:val="16"/>
                        </w:rPr>
                        <w:br/>
                        <w:t>tížení</w:t>
                      </w:r>
                    </w:p>
                  </w:txbxContent>
                </v:textbox>
              </v:shape>
            </w:pict>
          </mc:Fallback>
        </mc:AlternateContent>
      </w:r>
      <w:r w:rsidRPr="003B6E11">
        <w:rPr>
          <w:rFonts w:cs="Arial"/>
          <w:b/>
          <w:noProof/>
          <w:lang w:eastAsia="en-GB"/>
        </w:rPr>
        <mc:AlternateContent>
          <mc:Choice Requires="wps">
            <w:drawing>
              <wp:anchor distT="0" distB="0" distL="114300" distR="114300" simplePos="0" relativeHeight="251677696" behindDoc="0" locked="0" layoutInCell="1" allowOverlap="1" wp14:anchorId="0F4A638F" wp14:editId="33DA2FCE">
                <wp:simplePos x="0" y="0"/>
                <wp:positionH relativeFrom="column">
                  <wp:posOffset>2813685</wp:posOffset>
                </wp:positionH>
                <wp:positionV relativeFrom="paragraph">
                  <wp:posOffset>573405</wp:posOffset>
                </wp:positionV>
                <wp:extent cx="386715" cy="349250"/>
                <wp:effectExtent l="0" t="0" r="0" b="0"/>
                <wp:wrapNone/>
                <wp:docPr id="2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349250"/>
                        </a:xfrm>
                        <a:prstGeom prst="rect">
                          <a:avLst/>
                        </a:prstGeom>
                        <a:solidFill>
                          <a:srgbClr val="37EB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15D" w:rsidRPr="00FA5168" w:rsidRDefault="002D015D" w:rsidP="003B6E11">
                            <w:pPr>
                              <w:jc w:val="center"/>
                              <w:rPr>
                                <w:sz w:val="16"/>
                              </w:rPr>
                            </w:pPr>
                            <w:r>
                              <w:rPr>
                                <w:sz w:val="16"/>
                              </w:rPr>
                              <w:t>Nevytí-</w:t>
                            </w:r>
                            <w:r>
                              <w:rPr>
                                <w:sz w:val="16"/>
                              </w:rPr>
                              <w:br/>
                              <w:t>ženost</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4" o:spid="_x0000_s1028" type="#_x0000_t202" style="position:absolute;margin-left:221.55pt;margin-top:45.15pt;width:30.45pt;height: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" fillcolor="#37eb29" stroked="f">
                <v:textbox inset="0,1mm,0,0">
                  <w:txbxContent>
                    <w:p w:rsidR="002D015D" w:rsidRPr="00FA5168" w:rsidRDefault="002D015D" w:rsidP="003B6E11">
                      <w:pPr>
                        <w:jc w:val="center"/>
                        <w:rPr>
                          <w:sz w:val="16"/>
                        </w:rPr>
                      </w:pPr>
                      <w:r>
                        <w:rPr>
                          <w:sz w:val="16"/>
                        </w:rPr>
                        <w:t>Nevytí-</w:t>
                      </w:r>
                      <w:r>
                        <w:rPr>
                          <w:sz w:val="16"/>
                        </w:rPr>
                        <w:br/>
                        <w:t>ženost</w:t>
                      </w:r>
                    </w:p>
                  </w:txbxContent>
                </v:textbox>
              </v:shape>
            </w:pict>
          </mc:Fallback>
        </mc:AlternateContent>
      </w:r>
      <w:r w:rsidRPr="003B6E11">
        <w:rPr>
          <w:rFonts w:cs="Arial"/>
          <w:b/>
          <w:noProof/>
          <w:lang w:eastAsia="en-GB"/>
        </w:rPr>
        <mc:AlternateContent>
          <mc:Choice Requires="wps">
            <w:drawing>
              <wp:anchor distT="0" distB="0" distL="114300" distR="114300" simplePos="0" relativeHeight="251675648" behindDoc="0" locked="0" layoutInCell="1" allowOverlap="1" wp14:anchorId="5468B6EB" wp14:editId="503E4158">
                <wp:simplePos x="0" y="0"/>
                <wp:positionH relativeFrom="column">
                  <wp:posOffset>213995</wp:posOffset>
                </wp:positionH>
                <wp:positionV relativeFrom="paragraph">
                  <wp:posOffset>813435</wp:posOffset>
                </wp:positionV>
                <wp:extent cx="300355" cy="2115820"/>
                <wp:effectExtent l="0" t="0" r="4445" b="0"/>
                <wp:wrapNone/>
                <wp:docPr id="3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2115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15D" w:rsidRPr="00F9734D" w:rsidRDefault="002D015D" w:rsidP="003B6E11">
                            <w:pPr>
                              <w:jc w:val="center"/>
                              <w:rPr>
                                <w:b/>
                                <w:color w:val="0070C0"/>
                              </w:rPr>
                            </w:pPr>
                            <w:r>
                              <w:rPr>
                                <w:b/>
                                <w:color w:val="0070C0"/>
                              </w:rPr>
                              <w:t>Hydraulické zatížení Q</w:t>
                            </w:r>
                            <w:r>
                              <w:rPr>
                                <w:b/>
                                <w:color w:val="0070C0"/>
                                <w:vertAlign w:val="subscript"/>
                              </w:rPr>
                              <w:t>d</w:t>
                            </w:r>
                            <w:r>
                              <w:rPr>
                                <w:b/>
                                <w:color w:val="0070C0"/>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6" o:spid="_x0000_s1029" type="#_x0000_t202" style="position:absolute;margin-left:16.85pt;margin-top:64.05pt;width:23.65pt;height:16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" stroked="f">
                <v:textbox style="layout-flow:vertical;mso-layout-flow-alt:bottom-to-top" inset="0,0,0,0">
                  <w:txbxContent>
                    <w:p w:rsidR="002D015D" w:rsidRPr="00F9734D" w:rsidRDefault="002D015D" w:rsidP="003B6E11">
                      <w:pPr>
                        <w:jc w:val="center"/>
                        <w:rPr>
                          <w:b/>
                          <w:color w:val="0070C0"/>
                        </w:rPr>
                      </w:pPr>
                      <w:r>
                        <w:rPr>
                          <w:b/>
                          <w:color w:val="0070C0"/>
                        </w:rPr>
                        <w:t>Hydraulické zatížení Q</w:t>
                      </w:r>
                      <w:r>
                        <w:rPr>
                          <w:b/>
                          <w:color w:val="0070C0"/>
                          <w:vertAlign w:val="subscript"/>
                        </w:rPr>
                        <w:t>d</w:t>
                      </w:r>
                      <w:r>
                        <w:rPr>
                          <w:b/>
                          <w:color w:val="0070C0"/>
                        </w:rPr>
                        <w:t xml:space="preserve"> [%]</w:t>
                      </w:r>
                    </w:p>
                  </w:txbxContent>
                </v:textbox>
              </v:shape>
            </w:pict>
          </mc:Fallback>
        </mc:AlternateContent>
      </w:r>
      <w:r w:rsidRPr="003B6E11">
        <w:rPr>
          <w:rFonts w:cs="Arial"/>
          <w:b/>
          <w:noProof/>
          <w:lang w:eastAsia="en-GB"/>
        </w:rPr>
        <mc:AlternateContent>
          <mc:Choice Requires="wps">
            <w:drawing>
              <wp:anchor distT="0" distB="0" distL="114300" distR="114300" simplePos="0" relativeHeight="251674624" behindDoc="0" locked="0" layoutInCell="1" allowOverlap="1" wp14:anchorId="7F5D9CFD" wp14:editId="455C95D0">
                <wp:simplePos x="0" y="0"/>
                <wp:positionH relativeFrom="column">
                  <wp:posOffset>4683760</wp:posOffset>
                </wp:positionH>
                <wp:positionV relativeFrom="paragraph">
                  <wp:posOffset>569595</wp:posOffset>
                </wp:positionV>
                <wp:extent cx="539115" cy="349250"/>
                <wp:effectExtent l="0" t="0" r="0" b="0"/>
                <wp:wrapNone/>
                <wp:docPr id="38"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15D" w:rsidRPr="00FA5168" w:rsidRDefault="002D015D" w:rsidP="003B6E11">
                            <w:pPr>
                              <w:jc w:val="center"/>
                              <w:rPr>
                                <w:sz w:val="16"/>
                              </w:rPr>
                            </w:pPr>
                            <w:r>
                              <w:rPr>
                                <w:sz w:val="16"/>
                              </w:rPr>
                              <w:t xml:space="preserve">Normální </w:t>
                            </w:r>
                            <w:r>
                              <w:rPr>
                                <w:sz w:val="16"/>
                              </w:rPr>
                              <w:br/>
                              <w:t>zatížení</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5" o:spid="_x0000_s1030" type="#_x0000_t202" style="position:absolute;margin-left:368.8pt;margin-top:44.85pt;width:42.45pt;height: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" fillcolor="#59bb9a" stroked="f">
                <v:textbox inset="0,1mm,0,0">
                  <w:txbxContent>
                    <w:p w:rsidR="002D015D" w:rsidRPr="00FA5168" w:rsidRDefault="002D015D" w:rsidP="003B6E11">
                      <w:pPr>
                        <w:jc w:val="center"/>
                        <w:rPr>
                          <w:sz w:val="16"/>
                        </w:rPr>
                      </w:pPr>
                      <w:r>
                        <w:rPr>
                          <w:sz w:val="16"/>
                        </w:rPr>
                        <w:t xml:space="preserve">Normální </w:t>
                      </w:r>
                      <w:r>
                        <w:rPr>
                          <w:sz w:val="16"/>
                        </w:rPr>
                        <w:br/>
                        <w:t>zatížení</w:t>
                      </w:r>
                    </w:p>
                  </w:txbxContent>
                </v:textbox>
              </v:shape>
            </w:pict>
          </mc:Fallback>
        </mc:AlternateContent>
      </w:r>
      <w:r w:rsidRPr="003B6E11">
        <w:rPr>
          <w:rFonts w:cs="Arial"/>
          <w:b/>
          <w:noProof/>
          <w:lang w:eastAsia="en-GB"/>
        </w:rPr>
        <mc:AlternateContent>
          <mc:Choice Requires="wps">
            <w:drawing>
              <wp:anchor distT="0" distB="0" distL="114300" distR="114300" simplePos="0" relativeHeight="251673600" behindDoc="0" locked="0" layoutInCell="1" allowOverlap="1" wp14:anchorId="0BEC28CD" wp14:editId="7DE60AF3">
                <wp:simplePos x="0" y="0"/>
                <wp:positionH relativeFrom="column">
                  <wp:posOffset>3332480</wp:posOffset>
                </wp:positionH>
                <wp:positionV relativeFrom="paragraph">
                  <wp:posOffset>569595</wp:posOffset>
                </wp:positionV>
                <wp:extent cx="539115" cy="349250"/>
                <wp:effectExtent l="0" t="0" r="0" b="0"/>
                <wp:wrapNone/>
                <wp:docPr id="4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15D" w:rsidRPr="00FA5168" w:rsidRDefault="002D015D" w:rsidP="003B6E11">
                            <w:pPr>
                              <w:jc w:val="center"/>
                              <w:rPr>
                                <w:sz w:val="16"/>
                              </w:rPr>
                            </w:pPr>
                            <w:r>
                              <w:rPr>
                                <w:sz w:val="16"/>
                              </w:rPr>
                              <w:t xml:space="preserve">Normální </w:t>
                            </w:r>
                            <w:r>
                              <w:rPr>
                                <w:sz w:val="16"/>
                              </w:rPr>
                              <w:br/>
                              <w:t>zatížení</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4" o:spid="_x0000_s1031" type="#_x0000_t202" style="position:absolute;margin-left:262.4pt;margin-top:44.85pt;width:42.45pt;height: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" fillcolor="#59bb9a" stroked="f">
                <v:textbox inset="0,1mm,0,0">
                  <w:txbxContent>
                    <w:p w:rsidR="002D015D" w:rsidRPr="00FA5168" w:rsidRDefault="002D015D" w:rsidP="003B6E11">
                      <w:pPr>
                        <w:jc w:val="center"/>
                        <w:rPr>
                          <w:sz w:val="16"/>
                        </w:rPr>
                      </w:pPr>
                      <w:r>
                        <w:rPr>
                          <w:sz w:val="16"/>
                        </w:rPr>
                        <w:t xml:space="preserve">Normální </w:t>
                      </w:r>
                      <w:r>
                        <w:rPr>
                          <w:sz w:val="16"/>
                        </w:rPr>
                        <w:br/>
                        <w:t>zatížení</w:t>
                      </w:r>
                    </w:p>
                  </w:txbxContent>
                </v:textbox>
              </v:shape>
            </w:pict>
          </mc:Fallback>
        </mc:AlternateContent>
      </w:r>
      <w:r w:rsidRPr="003B6E11">
        <w:rPr>
          <w:rFonts w:cs="Arial"/>
          <w:noProof/>
          <w:szCs w:val="20"/>
          <w:lang w:eastAsia="en-GB"/>
        </w:rPr>
        <mc:AlternateContent>
          <mc:Choice Requires="wps">
            <w:drawing>
              <wp:anchor distT="0" distB="0" distL="114300" distR="114300" simplePos="0" relativeHeight="251672576" behindDoc="0" locked="0" layoutInCell="1" allowOverlap="1" wp14:anchorId="7D3EFB3E" wp14:editId="74397A2C">
                <wp:simplePos x="0" y="0"/>
                <wp:positionH relativeFrom="column">
                  <wp:posOffset>2131695</wp:posOffset>
                </wp:positionH>
                <wp:positionV relativeFrom="paragraph">
                  <wp:posOffset>569595</wp:posOffset>
                </wp:positionV>
                <wp:extent cx="539115" cy="349250"/>
                <wp:effectExtent l="0" t="0" r="0" b="0"/>
                <wp:wrapNone/>
                <wp:docPr id="4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15D" w:rsidRPr="00FA5168" w:rsidRDefault="002D015D" w:rsidP="003B6E11">
                            <w:pPr>
                              <w:jc w:val="center"/>
                              <w:rPr>
                                <w:sz w:val="16"/>
                              </w:rPr>
                            </w:pPr>
                            <w:r>
                              <w:rPr>
                                <w:sz w:val="16"/>
                              </w:rPr>
                              <w:t xml:space="preserve">Normální </w:t>
                            </w:r>
                            <w:r>
                              <w:rPr>
                                <w:sz w:val="16"/>
                              </w:rPr>
                              <w:br/>
                              <w:t>zatížení</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3" o:spid="_x0000_s1032" type="#_x0000_t202" style="position:absolute;margin-left:167.85pt;margin-top:44.85pt;width:42.45pt;height: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" fillcolor="#59bb9a" stroked="f">
                <v:textbox inset="0,1mm,0,0">
                  <w:txbxContent>
                    <w:p w:rsidR="002D015D" w:rsidRPr="00FA5168" w:rsidRDefault="002D015D" w:rsidP="003B6E11">
                      <w:pPr>
                        <w:jc w:val="center"/>
                        <w:rPr>
                          <w:sz w:val="16"/>
                        </w:rPr>
                      </w:pPr>
                      <w:r>
                        <w:rPr>
                          <w:sz w:val="16"/>
                        </w:rPr>
                        <w:t xml:space="preserve">Normální </w:t>
                      </w:r>
                      <w:r>
                        <w:rPr>
                          <w:sz w:val="16"/>
                        </w:rPr>
                        <w:br/>
                        <w:t>zatížení</w:t>
                      </w:r>
                    </w:p>
                  </w:txbxContent>
                </v:textbox>
              </v:shape>
            </w:pict>
          </mc:Fallback>
        </mc:AlternateContent>
      </w:r>
      <w:r w:rsidRPr="003B6E11">
        <w:rPr>
          <w:rFonts w:cs="Arial"/>
          <w:noProof/>
          <w:szCs w:val="20"/>
          <w:lang w:eastAsia="en-GB"/>
        </w:rPr>
        <mc:AlternateContent>
          <mc:Choice Requires="wps">
            <w:drawing>
              <wp:anchor distT="0" distB="0" distL="114300" distR="114300" simplePos="0" relativeHeight="251671552" behindDoc="0" locked="0" layoutInCell="1" allowOverlap="1" wp14:anchorId="5C10E58A" wp14:editId="0F42CD35">
                <wp:simplePos x="0" y="0"/>
                <wp:positionH relativeFrom="column">
                  <wp:posOffset>928370</wp:posOffset>
                </wp:positionH>
                <wp:positionV relativeFrom="paragraph">
                  <wp:posOffset>569595</wp:posOffset>
                </wp:positionV>
                <wp:extent cx="539115" cy="349250"/>
                <wp:effectExtent l="0" t="0" r="0" b="0"/>
                <wp:wrapNone/>
                <wp:docPr id="4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15D" w:rsidRPr="00FA5168" w:rsidRDefault="002D015D" w:rsidP="003B6E11">
                            <w:pPr>
                              <w:jc w:val="center"/>
                              <w:rPr>
                                <w:sz w:val="16"/>
                              </w:rPr>
                            </w:pPr>
                            <w:r>
                              <w:rPr>
                                <w:sz w:val="16"/>
                              </w:rPr>
                              <w:t xml:space="preserve">Normální </w:t>
                            </w:r>
                            <w:r>
                              <w:rPr>
                                <w:sz w:val="16"/>
                              </w:rPr>
                              <w:br/>
                              <w:t>zatížení</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2" o:spid="_x0000_s1033" type="#_x0000_t202" style="position:absolute;margin-left:73.1pt;margin-top:44.85pt;width:42.45pt;height: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" fillcolor="#59bb9a" stroked="f">
                <v:textbox inset="0,1mm,0,0">
                  <w:txbxContent>
                    <w:p w:rsidR="002D015D" w:rsidRPr="00FA5168" w:rsidRDefault="002D015D" w:rsidP="003B6E11">
                      <w:pPr>
                        <w:jc w:val="center"/>
                        <w:rPr>
                          <w:sz w:val="16"/>
                        </w:rPr>
                      </w:pPr>
                      <w:r>
                        <w:rPr>
                          <w:sz w:val="16"/>
                        </w:rPr>
                        <w:t xml:space="preserve">Normální </w:t>
                      </w:r>
                      <w:r>
                        <w:rPr>
                          <w:sz w:val="16"/>
                        </w:rPr>
                        <w:br/>
                        <w:t>zatížení</w:t>
                      </w:r>
                    </w:p>
                  </w:txbxContent>
                </v:textbox>
              </v:shape>
            </w:pict>
          </mc:Fallback>
        </mc:AlternateContent>
      </w:r>
      <w:r w:rsidRPr="003B6E11">
        <w:rPr>
          <w:rFonts w:cs="Arial"/>
          <w:noProof/>
          <w:lang w:eastAsia="en-GB"/>
        </w:rPr>
        <w:drawing>
          <wp:anchor distT="0" distB="0" distL="0" distR="0" simplePos="0" relativeHeight="251670528" behindDoc="0" locked="0" layoutInCell="1" allowOverlap="1" wp14:anchorId="10C71737" wp14:editId="40D24BDB">
            <wp:simplePos x="0" y="0"/>
            <wp:positionH relativeFrom="column">
              <wp:posOffset>9525</wp:posOffset>
            </wp:positionH>
            <wp:positionV relativeFrom="paragraph">
              <wp:posOffset>177165</wp:posOffset>
            </wp:positionV>
            <wp:extent cx="5732780" cy="3655695"/>
            <wp:effectExtent l="0" t="0" r="1270" b="1905"/>
            <wp:wrapTopAndBottom/>
            <wp:docPr id="4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2780" cy="3655695"/>
                    </a:xfrm>
                    <a:prstGeom prst="rect">
                      <a:avLst/>
                    </a:prstGeom>
                    <a:solidFill>
                      <a:srgbClr val="FFFFFF"/>
                    </a:solidFill>
                    <a:ln>
                      <a:noFill/>
                    </a:ln>
                  </pic:spPr>
                </pic:pic>
              </a:graphicData>
            </a:graphic>
          </wp:anchor>
        </w:drawing>
      </w:r>
      <w:r w:rsidRPr="003B6E11">
        <w:rPr>
          <w:lang w:val="cs-CZ"/>
        </w:rPr>
        <w:t>Příklad 1</w:t>
      </w:r>
    </w:p>
    <w:p w:rsidR="003B6E11" w:rsidRPr="003B6E11" w:rsidRDefault="003B6E11" w:rsidP="003B6E11">
      <w:pPr>
        <w:tabs>
          <w:tab w:val="left" w:leader="dot" w:pos="9072"/>
        </w:tabs>
        <w:spacing w:line="240" w:lineRule="atLeast"/>
        <w:rPr>
          <w:rFonts w:cs="Arial"/>
          <w:lang w:val="cs-CZ"/>
        </w:rPr>
      </w:pPr>
      <w:r w:rsidRPr="003B6E11">
        <w:rPr>
          <w:rFonts w:cs="Arial"/>
          <w:b/>
          <w:noProof/>
          <w:lang w:eastAsia="en-GB"/>
        </w:rPr>
        <mc:AlternateContent>
          <mc:Choice Requires="wps">
            <w:drawing>
              <wp:anchor distT="0" distB="0" distL="114300" distR="114300" simplePos="0" relativeHeight="251668480" behindDoc="0" locked="0" layoutInCell="1" allowOverlap="1" wp14:anchorId="5EB4F735" wp14:editId="5F7CA69C">
                <wp:simplePos x="0" y="0"/>
                <wp:positionH relativeFrom="column">
                  <wp:posOffset>2661285</wp:posOffset>
                </wp:positionH>
                <wp:positionV relativeFrom="paragraph">
                  <wp:posOffset>3399155</wp:posOffset>
                </wp:positionV>
                <wp:extent cx="539115" cy="211455"/>
                <wp:effectExtent l="0" t="0" r="0" b="0"/>
                <wp:wrapNone/>
                <wp:docPr id="2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15D" w:rsidRPr="00FA5168" w:rsidRDefault="002D015D" w:rsidP="003B6E11">
                            <w:pPr>
                              <w:jc w:val="center"/>
                              <w:rPr>
                                <w:sz w:val="16"/>
                              </w:rPr>
                            </w:pPr>
                            <w:r>
                              <w:rPr>
                                <w:sz w:val="16"/>
                              </w:rPr>
                              <w:t>Den</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7" o:spid="_x0000_s1034" type="#_x0000_t202" style="position:absolute;margin-left:209.55pt;margin-top:267.65pt;width:42.45pt;height:1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" stroked="f">
                <v:textbox inset="0,1mm,0,0">
                  <w:txbxContent>
                    <w:p w:rsidR="002D015D" w:rsidRPr="00FA5168" w:rsidRDefault="002D015D" w:rsidP="003B6E11">
                      <w:pPr>
                        <w:jc w:val="center"/>
                        <w:rPr>
                          <w:sz w:val="16"/>
                        </w:rPr>
                      </w:pPr>
                      <w:r>
                        <w:rPr>
                          <w:sz w:val="16"/>
                        </w:rPr>
                        <w:t>Den</w:t>
                      </w:r>
                    </w:p>
                  </w:txbxContent>
                </v:textbox>
              </v:shape>
            </w:pict>
          </mc:Fallback>
        </mc:AlternateContent>
      </w:r>
    </w:p>
    <w:p w:rsidR="003B6E11" w:rsidRPr="003B6E11" w:rsidRDefault="003B6E11" w:rsidP="003B6E11">
      <w:pPr>
        <w:tabs>
          <w:tab w:val="left" w:leader="dot" w:pos="9072"/>
        </w:tabs>
        <w:spacing w:line="240" w:lineRule="atLeast"/>
        <w:rPr>
          <w:rFonts w:cs="Arial"/>
          <w:lang w:val="cs-CZ"/>
        </w:rPr>
      </w:pPr>
      <w:r w:rsidRPr="003B6E11">
        <w:rPr>
          <w:rFonts w:cs="Arial"/>
          <w:noProof/>
          <w:lang w:eastAsia="en-GB"/>
        </w:rPr>
        <w:drawing>
          <wp:anchor distT="0" distB="0" distL="0" distR="0" simplePos="0" relativeHeight="251678720" behindDoc="0" locked="0" layoutInCell="1" allowOverlap="1" wp14:anchorId="4C10A043" wp14:editId="34E11244">
            <wp:simplePos x="0" y="0"/>
            <wp:positionH relativeFrom="column">
              <wp:posOffset>9525</wp:posOffset>
            </wp:positionH>
            <wp:positionV relativeFrom="paragraph">
              <wp:posOffset>307340</wp:posOffset>
            </wp:positionV>
            <wp:extent cx="5732780" cy="3558540"/>
            <wp:effectExtent l="0" t="0" r="1270" b="3810"/>
            <wp:wrapTopAndBottom/>
            <wp:docPr id="5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2780" cy="3558540"/>
                    </a:xfrm>
                    <a:prstGeom prst="rect">
                      <a:avLst/>
                    </a:prstGeom>
                    <a:solidFill>
                      <a:srgbClr val="FFFFFF"/>
                    </a:solidFill>
                    <a:ln>
                      <a:noFill/>
                    </a:ln>
                  </pic:spPr>
                </pic:pic>
              </a:graphicData>
            </a:graphic>
          </wp:anchor>
        </w:drawing>
      </w:r>
      <w:r w:rsidRPr="003B6E11">
        <w:rPr>
          <w:lang w:val="cs-CZ"/>
        </w:rPr>
        <w:t>Příklad 2</w:t>
      </w:r>
    </w:p>
    <w:p w:rsidR="003B6E11" w:rsidRPr="003B6E11" w:rsidRDefault="003B6E11" w:rsidP="003B6E11">
      <w:pPr>
        <w:spacing w:line="240" w:lineRule="atLeast"/>
        <w:rPr>
          <w:rFonts w:cs="Arial"/>
          <w:color w:val="000000"/>
          <w:lang w:val="cs-CZ"/>
        </w:rPr>
      </w:pPr>
      <w:r w:rsidRPr="003B6E11">
        <w:rPr>
          <w:rFonts w:cs="Arial"/>
          <w:noProof/>
          <w:lang w:eastAsia="en-GB"/>
        </w:rPr>
        <mc:AlternateContent>
          <mc:Choice Requires="wps">
            <w:drawing>
              <wp:anchor distT="0" distB="0" distL="114300" distR="114300" simplePos="0" relativeHeight="251669504" behindDoc="0" locked="0" layoutInCell="1" allowOverlap="1" wp14:anchorId="39869212" wp14:editId="7A9E8E6F">
                <wp:simplePos x="0" y="0"/>
                <wp:positionH relativeFrom="column">
                  <wp:posOffset>2661285</wp:posOffset>
                </wp:positionH>
                <wp:positionV relativeFrom="paragraph">
                  <wp:posOffset>3549650</wp:posOffset>
                </wp:positionV>
                <wp:extent cx="539115" cy="211455"/>
                <wp:effectExtent l="0" t="0" r="0" b="0"/>
                <wp:wrapNone/>
                <wp:docPr id="1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15D" w:rsidRPr="00FA5168" w:rsidRDefault="002D015D" w:rsidP="003B6E11">
                            <w:pPr>
                              <w:jc w:val="center"/>
                              <w:rPr>
                                <w:sz w:val="16"/>
                              </w:rPr>
                            </w:pPr>
                            <w:r>
                              <w:rPr>
                                <w:sz w:val="16"/>
                              </w:rPr>
                              <w:t>Den</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8" o:spid="_x0000_s1035" type="#_x0000_t202" style="position:absolute;margin-left:209.55pt;margin-top:279.5pt;width:42.45pt;height:1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" stroked="f">
                <v:textbox inset="0,1mm,0,0">
                  <w:txbxContent>
                    <w:p w:rsidR="002D015D" w:rsidRPr="00FA5168" w:rsidRDefault="002D015D" w:rsidP="003B6E11">
                      <w:pPr>
                        <w:jc w:val="center"/>
                        <w:rPr>
                          <w:sz w:val="16"/>
                        </w:rPr>
                      </w:pPr>
                      <w:r>
                        <w:rPr>
                          <w:sz w:val="16"/>
                        </w:rPr>
                        <w:t>Den</w:t>
                      </w:r>
                    </w:p>
                  </w:txbxContent>
                </v:textbox>
              </v:shape>
            </w:pict>
          </mc:Fallback>
        </mc:AlternateContent>
      </w:r>
      <w:r w:rsidRPr="003B6E11">
        <w:rPr>
          <w:rFonts w:cs="Arial"/>
          <w:b/>
          <w:noProof/>
          <w:lang w:eastAsia="en-GB"/>
        </w:rPr>
        <mc:AlternateContent>
          <mc:Choice Requires="wps">
            <w:drawing>
              <wp:anchor distT="0" distB="0" distL="114300" distR="114300" simplePos="0" relativeHeight="251667456" behindDoc="0" locked="0" layoutInCell="1" allowOverlap="1" wp14:anchorId="2FCB269F" wp14:editId="1F9563A0">
                <wp:simplePos x="0" y="0"/>
                <wp:positionH relativeFrom="column">
                  <wp:posOffset>2904490</wp:posOffset>
                </wp:positionH>
                <wp:positionV relativeFrom="paragraph">
                  <wp:posOffset>431165</wp:posOffset>
                </wp:positionV>
                <wp:extent cx="386715" cy="349250"/>
                <wp:effectExtent l="0" t="0" r="0" b="0"/>
                <wp:wrapNone/>
                <wp:docPr id="1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349250"/>
                        </a:xfrm>
                        <a:prstGeom prst="rect">
                          <a:avLst/>
                        </a:prstGeom>
                        <a:solidFill>
                          <a:srgbClr val="37EB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15D" w:rsidRPr="00FA5168" w:rsidRDefault="002D015D" w:rsidP="003B6E11">
                            <w:pPr>
                              <w:jc w:val="center"/>
                              <w:rPr>
                                <w:sz w:val="16"/>
                              </w:rPr>
                            </w:pPr>
                            <w:r>
                              <w:rPr>
                                <w:sz w:val="16"/>
                              </w:rPr>
                              <w:t>Nevytí-</w:t>
                            </w:r>
                            <w:r>
                              <w:rPr>
                                <w:sz w:val="16"/>
                              </w:rPr>
                              <w:br/>
                              <w:t>ženost</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6" o:spid="_x0000_s1036" type="#_x0000_t202" style="position:absolute;margin-left:228.7pt;margin-top:33.95pt;width:30.45pt;height: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" fillcolor="#37eb29" stroked="f">
                <v:textbox inset="0,1mm,0,0">
                  <w:txbxContent>
                    <w:p w:rsidR="002D015D" w:rsidRPr="00FA5168" w:rsidRDefault="002D015D" w:rsidP="003B6E11">
                      <w:pPr>
                        <w:jc w:val="center"/>
                        <w:rPr>
                          <w:sz w:val="16"/>
                        </w:rPr>
                      </w:pPr>
                      <w:r>
                        <w:rPr>
                          <w:sz w:val="16"/>
                        </w:rPr>
                        <w:t>Nevytí-</w:t>
                      </w:r>
                      <w:r>
                        <w:rPr>
                          <w:sz w:val="16"/>
                        </w:rPr>
                        <w:br/>
                        <w:t>ženost</w:t>
                      </w:r>
                    </w:p>
                  </w:txbxContent>
                </v:textbox>
              </v:shape>
            </w:pict>
          </mc:Fallback>
        </mc:AlternateContent>
      </w:r>
      <w:r w:rsidRPr="003B6E11">
        <w:rPr>
          <w:rFonts w:cs="Arial"/>
          <w:b/>
          <w:noProof/>
          <w:lang w:eastAsia="en-GB"/>
        </w:rPr>
        <mc:AlternateContent>
          <mc:Choice Requires="wps">
            <w:drawing>
              <wp:anchor distT="0" distB="0" distL="114300" distR="114300" simplePos="0" relativeHeight="251666432" behindDoc="0" locked="0" layoutInCell="1" allowOverlap="1" wp14:anchorId="411BBE00" wp14:editId="6054EDC6">
                <wp:simplePos x="0" y="0"/>
                <wp:positionH relativeFrom="column">
                  <wp:posOffset>2426970</wp:posOffset>
                </wp:positionH>
                <wp:positionV relativeFrom="paragraph">
                  <wp:posOffset>431165</wp:posOffset>
                </wp:positionV>
                <wp:extent cx="386715" cy="349250"/>
                <wp:effectExtent l="0" t="0" r="0" b="0"/>
                <wp:wrapNone/>
                <wp:docPr id="16"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349250"/>
                        </a:xfrm>
                        <a:prstGeom prst="rect">
                          <a:avLst/>
                        </a:prstGeom>
                        <a:solidFill>
                          <a:srgbClr val="37EB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15D" w:rsidRPr="00FA5168" w:rsidRDefault="002D015D" w:rsidP="003B6E11">
                            <w:pPr>
                              <w:jc w:val="center"/>
                              <w:rPr>
                                <w:sz w:val="16"/>
                              </w:rPr>
                            </w:pPr>
                            <w:r>
                              <w:rPr>
                                <w:sz w:val="16"/>
                              </w:rPr>
                              <w:t>Pře-</w:t>
                            </w:r>
                            <w:r>
                              <w:rPr>
                                <w:sz w:val="16"/>
                              </w:rPr>
                              <w:br/>
                              <w:t>tížení</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5" o:spid="_x0000_s1037" type="#_x0000_t202" style="position:absolute;margin-left:191.1pt;margin-top:33.95pt;width:30.45pt;height: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" fillcolor="#37eb29" stroked="f">
                <v:textbox inset="0,1mm,0,0">
                  <w:txbxContent>
                    <w:p w:rsidR="002D015D" w:rsidRPr="00FA5168" w:rsidRDefault="002D015D" w:rsidP="003B6E11">
                      <w:pPr>
                        <w:jc w:val="center"/>
                        <w:rPr>
                          <w:sz w:val="16"/>
                        </w:rPr>
                      </w:pPr>
                      <w:r>
                        <w:rPr>
                          <w:sz w:val="16"/>
                        </w:rPr>
                        <w:t>Pře-</w:t>
                      </w:r>
                      <w:r>
                        <w:rPr>
                          <w:sz w:val="16"/>
                        </w:rPr>
                        <w:br/>
                        <w:t>tížení</w:t>
                      </w:r>
                    </w:p>
                  </w:txbxContent>
                </v:textbox>
              </v:shape>
            </w:pict>
          </mc:Fallback>
        </mc:AlternateContent>
      </w:r>
      <w:r w:rsidRPr="003B6E11">
        <w:rPr>
          <w:rFonts w:cs="Arial"/>
          <w:noProof/>
          <w:lang w:eastAsia="en-GB"/>
        </w:rPr>
        <mc:AlternateContent>
          <mc:Choice Requires="wps">
            <w:drawing>
              <wp:anchor distT="0" distB="0" distL="114300" distR="114300" simplePos="0" relativeHeight="251665408" behindDoc="0" locked="0" layoutInCell="1" allowOverlap="1" wp14:anchorId="3532B4B9" wp14:editId="754BF758">
                <wp:simplePos x="0" y="0"/>
                <wp:positionH relativeFrom="column">
                  <wp:posOffset>4888230</wp:posOffset>
                </wp:positionH>
                <wp:positionV relativeFrom="paragraph">
                  <wp:posOffset>431165</wp:posOffset>
                </wp:positionV>
                <wp:extent cx="539115" cy="349250"/>
                <wp:effectExtent l="0" t="0" r="0" b="0"/>
                <wp:wrapNone/>
                <wp:docPr id="1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15D" w:rsidRPr="00FA5168" w:rsidRDefault="002D015D" w:rsidP="003B6E11">
                            <w:pPr>
                              <w:jc w:val="center"/>
                              <w:rPr>
                                <w:sz w:val="16"/>
                              </w:rPr>
                            </w:pPr>
                            <w:r>
                              <w:rPr>
                                <w:sz w:val="16"/>
                              </w:rPr>
                              <w:t xml:space="preserve">Normální </w:t>
                            </w:r>
                            <w:r>
                              <w:rPr>
                                <w:sz w:val="16"/>
                              </w:rPr>
                              <w:br/>
                              <w:t>zatížení</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2" o:spid="_x0000_s1038" type="#_x0000_t202" style="position:absolute;margin-left:384.9pt;margin-top:33.95pt;width:42.45pt;height: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" fillcolor="#59bb9a" stroked="f">
                <v:textbox inset="0,1mm,0,0">
                  <w:txbxContent>
                    <w:p w:rsidR="002D015D" w:rsidRPr="00FA5168" w:rsidRDefault="002D015D" w:rsidP="003B6E11">
                      <w:pPr>
                        <w:jc w:val="center"/>
                        <w:rPr>
                          <w:sz w:val="16"/>
                        </w:rPr>
                      </w:pPr>
                      <w:r>
                        <w:rPr>
                          <w:sz w:val="16"/>
                        </w:rPr>
                        <w:t xml:space="preserve">Normální </w:t>
                      </w:r>
                      <w:r>
                        <w:rPr>
                          <w:sz w:val="16"/>
                        </w:rPr>
                        <w:br/>
                        <w:t>zatížení</w:t>
                      </w:r>
                    </w:p>
                  </w:txbxContent>
                </v:textbox>
              </v:shape>
            </w:pict>
          </mc:Fallback>
        </mc:AlternateContent>
      </w:r>
      <w:r w:rsidRPr="003B6E11">
        <w:rPr>
          <w:rFonts w:cs="Arial"/>
          <w:noProof/>
          <w:lang w:eastAsia="en-GB"/>
        </w:rPr>
        <mc:AlternateContent>
          <mc:Choice Requires="wps">
            <w:drawing>
              <wp:anchor distT="0" distB="0" distL="114300" distR="114300" simplePos="0" relativeHeight="251664384" behindDoc="0" locked="0" layoutInCell="1" allowOverlap="1" wp14:anchorId="7E5CD883" wp14:editId="4AEB08DC">
                <wp:simplePos x="0" y="0"/>
                <wp:positionH relativeFrom="column">
                  <wp:posOffset>4097020</wp:posOffset>
                </wp:positionH>
                <wp:positionV relativeFrom="paragraph">
                  <wp:posOffset>431165</wp:posOffset>
                </wp:positionV>
                <wp:extent cx="539115" cy="349250"/>
                <wp:effectExtent l="0" t="0" r="0" b="0"/>
                <wp:wrapNone/>
                <wp:docPr id="1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15D" w:rsidRPr="00FA5168" w:rsidRDefault="002D015D" w:rsidP="003B6E11">
                            <w:pPr>
                              <w:jc w:val="center"/>
                              <w:rPr>
                                <w:sz w:val="16"/>
                              </w:rPr>
                            </w:pPr>
                            <w:r>
                              <w:rPr>
                                <w:sz w:val="16"/>
                              </w:rPr>
                              <w:t xml:space="preserve">Normální </w:t>
                            </w:r>
                            <w:r>
                              <w:rPr>
                                <w:sz w:val="16"/>
                              </w:rPr>
                              <w:br/>
                              <w:t>zatížení</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1" o:spid="_x0000_s1039" type="#_x0000_t202" style="position:absolute;margin-left:322.6pt;margin-top:33.95pt;width:42.45pt;height: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" fillcolor="#59bb9a" stroked="f">
                <v:textbox inset="0,1mm,0,0">
                  <w:txbxContent>
                    <w:p w:rsidR="002D015D" w:rsidRPr="00FA5168" w:rsidRDefault="002D015D" w:rsidP="003B6E11">
                      <w:pPr>
                        <w:jc w:val="center"/>
                        <w:rPr>
                          <w:sz w:val="16"/>
                        </w:rPr>
                      </w:pPr>
                      <w:r>
                        <w:rPr>
                          <w:sz w:val="16"/>
                        </w:rPr>
                        <w:t xml:space="preserve">Normální </w:t>
                      </w:r>
                      <w:r>
                        <w:rPr>
                          <w:sz w:val="16"/>
                        </w:rPr>
                        <w:br/>
                        <w:t>zatížení</w:t>
                      </w:r>
                    </w:p>
                  </w:txbxContent>
                </v:textbox>
              </v:shape>
            </w:pict>
          </mc:Fallback>
        </mc:AlternateContent>
      </w:r>
      <w:r w:rsidRPr="003B6E11">
        <w:rPr>
          <w:rFonts w:cs="Arial"/>
          <w:noProof/>
          <w:lang w:eastAsia="en-GB"/>
        </w:rPr>
        <mc:AlternateContent>
          <mc:Choice Requires="wps">
            <w:drawing>
              <wp:anchor distT="0" distB="0" distL="114300" distR="114300" simplePos="0" relativeHeight="251663360" behindDoc="0" locked="0" layoutInCell="1" allowOverlap="1" wp14:anchorId="35BFAFB9" wp14:editId="15C510D8">
                <wp:simplePos x="0" y="0"/>
                <wp:positionH relativeFrom="column">
                  <wp:posOffset>1722120</wp:posOffset>
                </wp:positionH>
                <wp:positionV relativeFrom="paragraph">
                  <wp:posOffset>431165</wp:posOffset>
                </wp:positionV>
                <wp:extent cx="539115" cy="349250"/>
                <wp:effectExtent l="0" t="0" r="0" b="0"/>
                <wp:wrapNone/>
                <wp:docPr id="1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15D" w:rsidRPr="00FA5168" w:rsidRDefault="002D015D" w:rsidP="003B6E11">
                            <w:pPr>
                              <w:jc w:val="center"/>
                              <w:rPr>
                                <w:sz w:val="16"/>
                              </w:rPr>
                            </w:pPr>
                            <w:r>
                              <w:rPr>
                                <w:sz w:val="16"/>
                              </w:rPr>
                              <w:t xml:space="preserve">Normální </w:t>
                            </w:r>
                            <w:r>
                              <w:rPr>
                                <w:sz w:val="16"/>
                              </w:rPr>
                              <w:br/>
                              <w:t>zatížení</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0" o:spid="_x0000_s1040" type="#_x0000_t202" style="position:absolute;margin-left:135.6pt;margin-top:33.95pt;width:42.45pt;height: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" fillcolor="#59bb9a" stroked="f">
                <v:textbox inset="0,1mm,0,0">
                  <w:txbxContent>
                    <w:p w:rsidR="002D015D" w:rsidRPr="00FA5168" w:rsidRDefault="002D015D" w:rsidP="003B6E11">
                      <w:pPr>
                        <w:jc w:val="center"/>
                        <w:rPr>
                          <w:sz w:val="16"/>
                        </w:rPr>
                      </w:pPr>
                      <w:r>
                        <w:rPr>
                          <w:sz w:val="16"/>
                        </w:rPr>
                        <w:t xml:space="preserve">Normální </w:t>
                      </w:r>
                      <w:r>
                        <w:rPr>
                          <w:sz w:val="16"/>
                        </w:rPr>
                        <w:br/>
                        <w:t>zatížení</w:t>
                      </w:r>
                    </w:p>
                  </w:txbxContent>
                </v:textbox>
              </v:shape>
            </w:pict>
          </mc:Fallback>
        </mc:AlternateContent>
      </w:r>
      <w:r w:rsidRPr="003B6E11">
        <w:rPr>
          <w:rFonts w:cs="Arial"/>
          <w:b/>
          <w:noProof/>
          <w:lang w:eastAsia="en-GB"/>
        </w:rPr>
        <mc:AlternateContent>
          <mc:Choice Requires="wps">
            <w:drawing>
              <wp:anchor distT="0" distB="0" distL="114300" distR="114300" simplePos="0" relativeHeight="251662336" behindDoc="0" locked="0" layoutInCell="1" allowOverlap="1" wp14:anchorId="4423F0A1" wp14:editId="31D3393D">
                <wp:simplePos x="0" y="0"/>
                <wp:positionH relativeFrom="column">
                  <wp:posOffset>928370</wp:posOffset>
                </wp:positionH>
                <wp:positionV relativeFrom="paragraph">
                  <wp:posOffset>431165</wp:posOffset>
                </wp:positionV>
                <wp:extent cx="539115" cy="349250"/>
                <wp:effectExtent l="0" t="0" r="0" b="0"/>
                <wp:wrapNone/>
                <wp:docPr id="1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15D" w:rsidRPr="00FA5168" w:rsidRDefault="002D015D" w:rsidP="003B6E11">
                            <w:pPr>
                              <w:jc w:val="center"/>
                              <w:rPr>
                                <w:sz w:val="16"/>
                              </w:rPr>
                            </w:pPr>
                            <w:r>
                              <w:rPr>
                                <w:sz w:val="16"/>
                              </w:rPr>
                              <w:t xml:space="preserve">Normální </w:t>
                            </w:r>
                            <w:r>
                              <w:rPr>
                                <w:sz w:val="16"/>
                              </w:rPr>
                              <w:br/>
                              <w:t>zatížení</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9" o:spid="_x0000_s1041" type="#_x0000_t202" style="position:absolute;margin-left:73.1pt;margin-top:33.95pt;width:42.45pt;height: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" fillcolor="#59bb9a" stroked="f">
                <v:textbox inset="0,1mm,0,0">
                  <w:txbxContent>
                    <w:p w:rsidR="002D015D" w:rsidRPr="00FA5168" w:rsidRDefault="002D015D" w:rsidP="003B6E11">
                      <w:pPr>
                        <w:jc w:val="center"/>
                        <w:rPr>
                          <w:sz w:val="16"/>
                        </w:rPr>
                      </w:pPr>
                      <w:r>
                        <w:rPr>
                          <w:sz w:val="16"/>
                        </w:rPr>
                        <w:t xml:space="preserve">Normální </w:t>
                      </w:r>
                      <w:r>
                        <w:rPr>
                          <w:sz w:val="16"/>
                        </w:rPr>
                        <w:br/>
                        <w:t>zatížení</w:t>
                      </w:r>
                    </w:p>
                  </w:txbxContent>
                </v:textbox>
              </v:shape>
            </w:pict>
          </mc:Fallback>
        </mc:AlternateContent>
      </w:r>
      <w:r w:rsidRPr="003B6E11">
        <w:rPr>
          <w:rFonts w:cs="Arial"/>
          <w:b/>
          <w:noProof/>
          <w:lang w:eastAsia="en-GB"/>
        </w:rPr>
        <mc:AlternateContent>
          <mc:Choice Requires="wps">
            <w:drawing>
              <wp:anchor distT="0" distB="0" distL="114300" distR="114300" simplePos="0" relativeHeight="251661312" behindDoc="0" locked="0" layoutInCell="1" allowOverlap="1" wp14:anchorId="0F47B074" wp14:editId="4C491D12">
                <wp:simplePos x="0" y="0"/>
                <wp:positionH relativeFrom="column">
                  <wp:posOffset>168910</wp:posOffset>
                </wp:positionH>
                <wp:positionV relativeFrom="paragraph">
                  <wp:posOffset>745490</wp:posOffset>
                </wp:positionV>
                <wp:extent cx="300355" cy="2115820"/>
                <wp:effectExtent l="0" t="0" r="4445" b="0"/>
                <wp:wrapNone/>
                <wp:docPr id="2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2115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15D" w:rsidRPr="00F9734D" w:rsidRDefault="002D015D" w:rsidP="003B6E11">
                            <w:pPr>
                              <w:jc w:val="center"/>
                              <w:rPr>
                                <w:b/>
                                <w:color w:val="0070C0"/>
                              </w:rPr>
                            </w:pPr>
                            <w:r>
                              <w:rPr>
                                <w:b/>
                                <w:color w:val="0070C0"/>
                              </w:rPr>
                              <w:t>Hydraulické zatížení Q</w:t>
                            </w:r>
                            <w:r>
                              <w:rPr>
                                <w:b/>
                                <w:color w:val="0070C0"/>
                                <w:vertAlign w:val="subscript"/>
                              </w:rPr>
                              <w:t>d</w:t>
                            </w:r>
                            <w:r>
                              <w:rPr>
                                <w:b/>
                                <w:color w:val="0070C0"/>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8" o:spid="_x0000_s1042" type="#_x0000_t202" style="position:absolute;margin-left:13.3pt;margin-top:58.7pt;width:23.65pt;height:16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ucvgQIAAA0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" stroked="f">
                <v:textbox style="layout-flow:vertical;mso-layout-flow-alt:bottom-to-top" inset="0,0,0,0">
                  <w:txbxContent>
                    <w:p w:rsidR="002D015D" w:rsidRPr="00F9734D" w:rsidRDefault="002D015D" w:rsidP="003B6E11">
                      <w:pPr>
                        <w:jc w:val="center"/>
                        <w:rPr>
                          <w:b/>
                          <w:color w:val="0070C0"/>
                        </w:rPr>
                      </w:pPr>
                      <w:r>
                        <w:rPr>
                          <w:b/>
                          <w:color w:val="0070C0"/>
                        </w:rPr>
                        <w:t>Hydraulické zatížení Q</w:t>
                      </w:r>
                      <w:r>
                        <w:rPr>
                          <w:b/>
                          <w:color w:val="0070C0"/>
                          <w:vertAlign w:val="subscript"/>
                        </w:rPr>
                        <w:t>d</w:t>
                      </w:r>
                      <w:r>
                        <w:rPr>
                          <w:b/>
                          <w:color w:val="0070C0"/>
                        </w:rPr>
                        <w:t xml:space="preserve"> [%]</w:t>
                      </w:r>
                    </w:p>
                  </w:txbxContent>
                </v:textbox>
              </v:shape>
            </w:pict>
          </mc:Fallback>
        </mc:AlternateContent>
      </w:r>
      <w:r w:rsidRPr="003B6E11">
        <w:rPr>
          <w:lang w:val="cs-CZ"/>
        </w:rPr>
        <w:br w:type="page"/>
      </w:r>
    </w:p>
    <w:p w:rsidR="003B6E11" w:rsidRPr="003B6E11" w:rsidRDefault="003B6E11" w:rsidP="003B6E11">
      <w:pPr>
        <w:tabs>
          <w:tab w:val="left" w:pos="709"/>
        </w:tabs>
        <w:suppressAutoHyphens/>
        <w:spacing w:line="240" w:lineRule="atLeast"/>
        <w:ind w:left="709" w:hanging="709"/>
        <w:jc w:val="center"/>
        <w:rPr>
          <w:rFonts w:cs="Arial"/>
          <w:b/>
          <w:szCs w:val="20"/>
          <w:lang w:val="cs-CZ"/>
        </w:rPr>
        <w:sectPr w:rsidR="003B6E11" w:rsidRPr="003B6E11" w:rsidSect="00AC5CC1">
          <w:headerReference w:type="default" r:id="rId102"/>
          <w:footerReference w:type="default" r:id="rId103"/>
          <w:headerReference w:type="first" r:id="rId104"/>
          <w:footerReference w:type="first" r:id="rId105"/>
          <w:footnotePr>
            <w:numRestart w:val="eachPage"/>
          </w:footnotePr>
          <w:pgSz w:w="11906" w:h="16838" w:code="9"/>
          <w:pgMar w:top="1418" w:right="1418" w:bottom="1418" w:left="1418" w:header="709" w:footer="709" w:gutter="0"/>
          <w:cols w:space="709"/>
          <w:titlePg/>
          <w:docGrid w:linePitch="272"/>
        </w:sectPr>
      </w:pPr>
    </w:p>
    <w:p w:rsidR="003B6E11" w:rsidRPr="003B6E11" w:rsidRDefault="003B6E11" w:rsidP="003B6E11">
      <w:pPr>
        <w:tabs>
          <w:tab w:val="left" w:pos="709"/>
        </w:tabs>
        <w:suppressAutoHyphens/>
        <w:spacing w:line="240" w:lineRule="atLeast"/>
        <w:ind w:left="709" w:hanging="709"/>
        <w:jc w:val="center"/>
        <w:rPr>
          <w:rFonts w:cs="Arial"/>
          <w:b/>
          <w:szCs w:val="20"/>
          <w:lang w:val="cs-CZ"/>
        </w:rPr>
        <w:sectPr w:rsidR="003B6E11" w:rsidRPr="003B6E11" w:rsidSect="00AC5CC1">
          <w:footnotePr>
            <w:numRestart w:val="eachPage"/>
          </w:footnotePr>
          <w:pgSz w:w="11906" w:h="16838" w:code="9"/>
          <w:pgMar w:top="1418" w:right="1418" w:bottom="1418" w:left="1418" w:header="709" w:footer="709" w:gutter="0"/>
          <w:cols w:space="709"/>
          <w:titlePg/>
          <w:docGrid w:linePitch="272"/>
        </w:sectPr>
      </w:pPr>
    </w:p>
    <w:p w:rsidR="003B6E11" w:rsidRPr="003B6E11" w:rsidRDefault="003B6E11" w:rsidP="003B6E11">
      <w:pPr>
        <w:tabs>
          <w:tab w:val="left" w:pos="709"/>
        </w:tabs>
        <w:suppressAutoHyphens/>
        <w:spacing w:line="240" w:lineRule="atLeast"/>
        <w:ind w:left="709" w:hanging="709"/>
        <w:jc w:val="center"/>
        <w:rPr>
          <w:rFonts w:cs="Arial"/>
          <w:b/>
          <w:szCs w:val="20"/>
          <w:lang w:val="cs-CZ"/>
        </w:rPr>
      </w:pPr>
      <w:r w:rsidRPr="003B6E11">
        <w:rPr>
          <w:b/>
          <w:lang w:val="cs-CZ"/>
        </w:rPr>
        <w:t>Dodatek 2</w:t>
      </w:r>
    </w:p>
    <w:p w:rsidR="003B6E11" w:rsidRPr="003B6E11" w:rsidRDefault="003B6E11" w:rsidP="003B6E11">
      <w:pPr>
        <w:tabs>
          <w:tab w:val="left" w:pos="1021"/>
          <w:tab w:val="center" w:pos="8080"/>
        </w:tabs>
        <w:suppressAutoHyphens/>
        <w:spacing w:line="240" w:lineRule="atLeast"/>
        <w:jc w:val="center"/>
        <w:rPr>
          <w:rFonts w:cs="Arial"/>
          <w:szCs w:val="20"/>
          <w:lang w:val="cs-CZ"/>
        </w:rPr>
      </w:pPr>
      <w:r w:rsidRPr="003B6E11">
        <w:rPr>
          <w:b/>
          <w:lang w:val="cs-CZ"/>
        </w:rPr>
        <w:t>Poznámky ke stanovení biochemické spotřeby kyslíku po pěti dnech (</w:t>
      </w:r>
      <m:oMath>
        <m:sSub>
          <m:sSubPr>
            <m:ctrlPr>
              <w:rPr>
                <w:rFonts w:ascii="Cambria Math" w:hAnsi="Cambria Math"/>
                <w:b/>
                <w:i/>
                <w:noProof/>
                <w:lang w:val="cs-CZ"/>
              </w:rPr>
            </m:ctrlPr>
          </m:sSubPr>
          <m:e>
            <m:r>
              <m:rPr>
                <m:sty m:val="bi"/>
              </m:rPr>
              <w:rPr>
                <w:rFonts w:ascii="Cambria Math" w:hAnsi="Cambria Math"/>
                <w:noProof/>
                <w:lang w:val="cs-CZ"/>
              </w:rPr>
              <m:t>BOD</m:t>
            </m:r>
          </m:e>
          <m:sub>
            <m:r>
              <m:rPr>
                <m:sty m:val="bi"/>
              </m:rPr>
              <w:rPr>
                <w:rFonts w:ascii="Cambria Math" w:hAnsi="Cambria Math"/>
                <w:noProof/>
                <w:lang w:val="cs-CZ"/>
              </w:rPr>
              <m:t>5</m:t>
            </m:r>
          </m:sub>
        </m:sSub>
      </m:oMath>
      <w:r w:rsidRPr="003B6E11">
        <w:rPr>
          <w:b/>
          <w:lang w:val="cs-CZ"/>
        </w:rPr>
        <w:t>) v souhrnných vzorcích za 24 hodin</w:t>
      </w:r>
    </w:p>
    <w:p w:rsidR="003B6E11" w:rsidRPr="003B6E11" w:rsidRDefault="003B6E11" w:rsidP="003B6E11">
      <w:pPr>
        <w:tabs>
          <w:tab w:val="left" w:pos="709"/>
        </w:tabs>
        <w:suppressAutoHyphens/>
        <w:spacing w:line="240" w:lineRule="atLeast"/>
        <w:rPr>
          <w:rFonts w:cs="Arial"/>
          <w:szCs w:val="20"/>
          <w:lang w:val="cs-CZ"/>
        </w:rPr>
      </w:pPr>
    </w:p>
    <w:p w:rsidR="003B6E11" w:rsidRPr="003B6E11" w:rsidRDefault="003B6E11" w:rsidP="003B6E11">
      <w:pPr>
        <w:tabs>
          <w:tab w:val="left" w:leader="dot" w:pos="9072"/>
        </w:tabs>
        <w:spacing w:line="240" w:lineRule="atLeast"/>
        <w:rPr>
          <w:rFonts w:cs="Arial"/>
          <w:noProof/>
          <w:lang w:val="cs-CZ"/>
        </w:rPr>
      </w:pPr>
      <w:r w:rsidRPr="003B6E11">
        <w:rPr>
          <w:lang w:val="cs-CZ"/>
        </w:rPr>
        <w:t xml:space="preserve">Mezinárodní normy ISO 5815 a 5815-2:2003 stanoví, že vzorky vody pro analýzu ke stanovení biochemické spotřeby kyslíku za pět dnů by měly být ihned po odběru uloženy a až do doby provedení analýzy skladovány v dobře uzavřené láhvi naplněné až po okraj při teplotě 0-4 °C. Proces stanovení </w:t>
      </w:r>
      <m:oMath>
        <m:sSub>
          <m:sSubPr>
            <m:ctrlPr>
              <w:rPr>
                <w:rFonts w:ascii="Cambria Math" w:hAnsi="Cambria Math"/>
                <w:i/>
                <w:noProof/>
                <w:lang w:val="cs-CZ"/>
              </w:rPr>
            </m:ctrlPr>
          </m:sSubPr>
          <m:e>
            <m:r>
              <w:rPr>
                <w:rFonts w:ascii="Cambria Math" w:hAnsi="Cambria Math"/>
                <w:noProof/>
                <w:lang w:val="cs-CZ"/>
              </w:rPr>
              <m:t>BOD</m:t>
            </m:r>
          </m:e>
          <m:sub>
            <m:r>
              <w:rPr>
                <w:rFonts w:ascii="Cambria Math" w:hAnsi="Cambria Math"/>
                <w:noProof/>
                <w:lang w:val="cs-CZ"/>
              </w:rPr>
              <m:t>5</m:t>
            </m:r>
          </m:sub>
        </m:sSub>
      </m:oMath>
      <w:r w:rsidRPr="003B6E11">
        <w:rPr>
          <w:lang w:val="cs-CZ"/>
        </w:rPr>
        <w:t xml:space="preserve"> by měl být zahájen co nejdříve, avšak nejpozději do čtyřiadvaceti hodin po ukončení odběru vzorků.</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noProof/>
          <w:lang w:val="cs-CZ"/>
        </w:rPr>
      </w:pPr>
      <w:r w:rsidRPr="003B6E11">
        <w:rPr>
          <w:lang w:val="cs-CZ"/>
        </w:rPr>
        <w:t>Aby v souhrnném vzorku za 24 hodin nedocházelo biochemické degradaci, vzorek vody se během odběru ochlazuje na max. 4 °C a po dokončení odběru je při této teplotě skladován.</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noProof/>
          <w:lang w:val="cs-CZ"/>
        </w:rPr>
      </w:pPr>
      <w:r w:rsidRPr="003B6E11">
        <w:rPr>
          <w:lang w:val="cs-CZ"/>
        </w:rPr>
        <w:t>Zařízení vhodná pro odběr vzorků jsou dostupná na trhu.</w:t>
      </w:r>
    </w:p>
    <w:p w:rsidR="003B6E11" w:rsidRPr="003B6E11" w:rsidRDefault="003B6E11" w:rsidP="003B6E11">
      <w:pPr>
        <w:tabs>
          <w:tab w:val="left" w:leader="dot" w:pos="9072"/>
        </w:tabs>
        <w:spacing w:line="240" w:lineRule="atLeast"/>
        <w:rPr>
          <w:rFonts w:cs="Arial"/>
          <w:noProof/>
          <w:lang w:val="cs-CZ"/>
        </w:rPr>
      </w:pPr>
    </w:p>
    <w:p w:rsidR="003B6E11" w:rsidRPr="003B6E11" w:rsidRDefault="003B6E11" w:rsidP="003B6E11">
      <w:pPr>
        <w:tabs>
          <w:tab w:val="left" w:leader="dot" w:pos="9072"/>
        </w:tabs>
        <w:spacing w:line="240" w:lineRule="atLeast"/>
        <w:rPr>
          <w:rFonts w:cs="Arial"/>
          <w:lang w:val="cs-CZ"/>
        </w:rPr>
      </w:pPr>
    </w:p>
    <w:p w:rsidR="003B6E11" w:rsidRPr="003B6E11" w:rsidRDefault="003B6E11" w:rsidP="003B6E11">
      <w:pPr>
        <w:tabs>
          <w:tab w:val="left" w:leader="dot" w:pos="9072"/>
        </w:tabs>
        <w:spacing w:line="240" w:lineRule="atLeast"/>
        <w:rPr>
          <w:rFonts w:cs="Arial"/>
          <w:lang w:val="cs-CZ"/>
        </w:rPr>
        <w:sectPr w:rsidR="003B6E11" w:rsidRPr="003B6E11" w:rsidSect="00AC5CC1">
          <w:footnotePr>
            <w:numRestart w:val="eachPage"/>
          </w:footnotePr>
          <w:pgSz w:w="11906" w:h="16838" w:code="9"/>
          <w:pgMar w:top="1418" w:right="1418" w:bottom="1418" w:left="1418" w:header="709" w:footer="709" w:gutter="0"/>
          <w:cols w:space="709"/>
          <w:titlePg/>
          <w:docGrid w:linePitch="272"/>
        </w:sectPr>
      </w:pPr>
    </w:p>
    <w:p w:rsidR="003B6E11" w:rsidRPr="003B6E11" w:rsidRDefault="003B6E11" w:rsidP="003B6E11">
      <w:pPr>
        <w:tabs>
          <w:tab w:val="left" w:pos="709"/>
        </w:tabs>
        <w:suppressAutoHyphens/>
        <w:spacing w:line="240" w:lineRule="atLeast"/>
        <w:rPr>
          <w:rFonts w:cs="Arial"/>
          <w:szCs w:val="20"/>
          <w:lang w:val="cs-CZ"/>
        </w:rPr>
      </w:pPr>
    </w:p>
    <w:p w:rsidR="003B6E11" w:rsidRPr="003B6E11" w:rsidRDefault="003B6E11" w:rsidP="003B6E11">
      <w:pPr>
        <w:tabs>
          <w:tab w:val="left" w:pos="709"/>
        </w:tabs>
        <w:suppressAutoHyphens/>
        <w:spacing w:line="240" w:lineRule="atLeast"/>
        <w:rPr>
          <w:rFonts w:cs="Arial"/>
          <w:szCs w:val="20"/>
          <w:lang w:val="cs-CZ"/>
        </w:rPr>
      </w:pPr>
    </w:p>
    <w:p w:rsidR="003B6E11" w:rsidRPr="003B6E11" w:rsidRDefault="003B6E11" w:rsidP="003B6E11">
      <w:pPr>
        <w:tabs>
          <w:tab w:val="left" w:pos="709"/>
        </w:tabs>
        <w:suppressAutoHyphens/>
        <w:spacing w:line="240" w:lineRule="atLeast"/>
        <w:rPr>
          <w:rFonts w:cs="Arial"/>
          <w:szCs w:val="20"/>
          <w:lang w:val="cs-CZ"/>
        </w:rPr>
      </w:pPr>
    </w:p>
    <w:p w:rsidR="003B6E11" w:rsidRPr="003B6E11" w:rsidRDefault="003B6E11" w:rsidP="003B6E11">
      <w:pPr>
        <w:tabs>
          <w:tab w:val="left" w:pos="709"/>
        </w:tabs>
        <w:suppressAutoHyphens/>
        <w:spacing w:line="240" w:lineRule="atLeast"/>
        <w:rPr>
          <w:rFonts w:cs="Arial"/>
          <w:szCs w:val="20"/>
          <w:lang w:val="cs-CZ"/>
        </w:rPr>
      </w:pPr>
    </w:p>
    <w:p w:rsidR="003B6E11" w:rsidRPr="003B6E11" w:rsidRDefault="003B6E11" w:rsidP="003B6E11">
      <w:pPr>
        <w:pStyle w:val="ES-Titre2"/>
        <w:pageBreakBefore w:val="0"/>
        <w:sectPr w:rsidR="003B6E11" w:rsidRPr="003B6E11" w:rsidSect="00AC5CC1">
          <w:footnotePr>
            <w:numRestart w:val="eachPage"/>
          </w:footnotePr>
          <w:pgSz w:w="11906" w:h="16838" w:code="9"/>
          <w:pgMar w:top="1418" w:right="1418" w:bottom="1418" w:left="1418" w:header="709" w:footer="709" w:gutter="0"/>
          <w:cols w:space="709"/>
          <w:titlePg/>
          <w:docGrid w:linePitch="272"/>
        </w:sectPr>
      </w:pPr>
    </w:p>
    <w:p w:rsidR="003B6E11" w:rsidRPr="003B6E11" w:rsidRDefault="003B6E11" w:rsidP="003B6E11">
      <w:pPr>
        <w:pStyle w:val="ES-Titre2"/>
        <w:pageBreakBefore w:val="0"/>
      </w:pPr>
      <w:bookmarkStart w:id="718" w:name="_Toc491854342"/>
      <w:bookmarkStart w:id="719" w:name="_Toc535417248"/>
      <w:r w:rsidRPr="003B6E11">
        <w:t>Příloha 8</w:t>
      </w:r>
      <w:r w:rsidRPr="003B6E11">
        <w:br/>
        <w:t>Doplňková ustanovení pro plavidla na palivo</w:t>
      </w:r>
      <w:r w:rsidRPr="003B6E11">
        <w:br/>
        <w:t>s bodem vzplanutí rovným nebo nižším 55 °C</w:t>
      </w:r>
      <w:bookmarkEnd w:id="718"/>
      <w:bookmarkEnd w:id="719"/>
    </w:p>
    <w:p w:rsidR="003B6E11" w:rsidRPr="003B6E11" w:rsidRDefault="003B6E11" w:rsidP="003B6E11">
      <w:pPr>
        <w:pStyle w:val="ESch"/>
        <w:rPr>
          <w:lang w:val="cs-CZ"/>
        </w:rPr>
      </w:pPr>
    </w:p>
    <w:p w:rsidR="003B6E11" w:rsidRPr="003B6E11" w:rsidRDefault="003B6E11" w:rsidP="003B6E11">
      <w:pPr>
        <w:pStyle w:val="ES-Titre3"/>
        <w:rPr>
          <w:lang w:val="cs-CZ"/>
        </w:rPr>
      </w:pPr>
      <w:bookmarkStart w:id="720" w:name="_Toc491854343"/>
      <w:bookmarkStart w:id="721" w:name="_Toc535417249"/>
      <w:r w:rsidRPr="003B6E11">
        <w:rPr>
          <w:lang w:val="cs-CZ"/>
        </w:rPr>
        <w:t>Oddíl I</w:t>
      </w:r>
      <w:bookmarkEnd w:id="720"/>
      <w:bookmarkEnd w:id="721"/>
    </w:p>
    <w:p w:rsidR="003B6E11" w:rsidRPr="003B6E11" w:rsidRDefault="003B6E11" w:rsidP="003B6E11">
      <w:pPr>
        <w:pStyle w:val="ES-Titre3a"/>
        <w:rPr>
          <w:lang w:val="cs-CZ"/>
        </w:rPr>
      </w:pPr>
      <w:bookmarkStart w:id="722" w:name="_Toc491854344"/>
      <w:bookmarkStart w:id="723" w:name="_Toc535417250"/>
      <w:r w:rsidRPr="003B6E11">
        <w:rPr>
          <w:lang w:val="cs-CZ"/>
        </w:rPr>
        <w:t>Zkapalněný zemní plyn (LNG)</w:t>
      </w:r>
      <w:bookmarkEnd w:id="722"/>
      <w:bookmarkEnd w:id="723"/>
    </w:p>
    <w:p w:rsidR="003B6E11" w:rsidRPr="003B6E11" w:rsidRDefault="003B6E11" w:rsidP="003B6E11">
      <w:pPr>
        <w:adjustRightInd w:val="0"/>
        <w:spacing w:line="240" w:lineRule="atLeast"/>
        <w:rPr>
          <w:rFonts w:cs="Arial"/>
          <w:szCs w:val="20"/>
          <w:lang w:val="cs-CZ"/>
        </w:rPr>
      </w:pPr>
    </w:p>
    <w:p w:rsidR="003B6E11" w:rsidRPr="003B6E11" w:rsidRDefault="003B6E11" w:rsidP="003B6E11">
      <w:pPr>
        <w:pStyle w:val="Esann8titrechap"/>
        <w:rPr>
          <w:lang w:val="cs-CZ"/>
        </w:rPr>
      </w:pPr>
      <w:r w:rsidRPr="003B6E11">
        <w:rPr>
          <w:lang w:val="cs-CZ"/>
        </w:rPr>
        <w:t xml:space="preserve">Kapitola 1 </w:t>
      </w:r>
    </w:p>
    <w:p w:rsidR="003B6E11" w:rsidRPr="003B6E11" w:rsidRDefault="003B6E11" w:rsidP="003B6E11">
      <w:pPr>
        <w:pStyle w:val="Esann8titrechap"/>
        <w:rPr>
          <w:lang w:val="cs-CZ"/>
        </w:rPr>
      </w:pPr>
      <w:r w:rsidRPr="003B6E11">
        <w:rPr>
          <w:lang w:val="cs-CZ"/>
        </w:rPr>
        <w:t>Obecně</w:t>
      </w:r>
    </w:p>
    <w:p w:rsidR="003B6E11" w:rsidRPr="003B6E11" w:rsidRDefault="003B6E11" w:rsidP="003B6E11">
      <w:pPr>
        <w:pStyle w:val="Esann8ch"/>
        <w:rPr>
          <w:lang w:val="cs-CZ"/>
        </w:rPr>
      </w:pPr>
    </w:p>
    <w:p w:rsidR="003B6E11" w:rsidRPr="003B6E11" w:rsidRDefault="003B6E11" w:rsidP="003B6E11">
      <w:pPr>
        <w:pStyle w:val="Esann8chgras"/>
        <w:rPr>
          <w:lang w:val="cs-CZ"/>
        </w:rPr>
      </w:pPr>
      <w:r w:rsidRPr="003B6E11">
        <w:rPr>
          <w:lang w:val="cs-CZ"/>
        </w:rPr>
        <w:t>1.1</w:t>
      </w:r>
      <w:r w:rsidRPr="003B6E11">
        <w:rPr>
          <w:lang w:val="cs-CZ"/>
        </w:rPr>
        <w:tab/>
        <w:t>Působnost</w:t>
      </w:r>
    </w:p>
    <w:p w:rsidR="003B6E11" w:rsidRPr="003B6E11" w:rsidRDefault="003B6E11" w:rsidP="003B6E11">
      <w:pPr>
        <w:tabs>
          <w:tab w:val="left" w:pos="720"/>
          <w:tab w:val="left" w:pos="1440"/>
        </w:tabs>
        <w:adjustRightInd w:val="0"/>
        <w:spacing w:line="240" w:lineRule="atLeast"/>
        <w:rPr>
          <w:rFonts w:cs="Arial"/>
          <w:b/>
          <w:bCs/>
          <w:szCs w:val="20"/>
          <w:u w:val="single"/>
          <w:lang w:val="cs-CZ"/>
        </w:rPr>
      </w:pPr>
    </w:p>
    <w:p w:rsidR="003B6E11" w:rsidRPr="003B6E11" w:rsidRDefault="003B6E11" w:rsidP="003B6E11">
      <w:pPr>
        <w:pStyle w:val="Esann8ch"/>
        <w:rPr>
          <w:b/>
          <w:bCs/>
          <w:lang w:val="cs-CZ"/>
        </w:rPr>
      </w:pPr>
      <w:r w:rsidRPr="003B6E11">
        <w:rPr>
          <w:lang w:val="cs-CZ"/>
        </w:rPr>
        <w:t>1.1.1</w:t>
      </w:r>
      <w:r w:rsidRPr="003B6E11">
        <w:rPr>
          <w:lang w:val="cs-CZ"/>
        </w:rPr>
        <w:tab/>
        <w:t xml:space="preserve">Ustanovení oddílu I se vztahují na plavidla vybavená pohonným nebo pomocným systémem na zkapalněný zemní plyn (LNG) podle bodu 1.2.1 a dotýkají se všech oblastí, které vyžadují zvláštní ohled z důvodu použití LNG jako paliva. </w:t>
      </w:r>
    </w:p>
    <w:p w:rsidR="003B6E11" w:rsidRPr="003B6E11" w:rsidRDefault="003B6E11" w:rsidP="003B6E11">
      <w:pPr>
        <w:tabs>
          <w:tab w:val="left" w:pos="720"/>
          <w:tab w:val="left" w:pos="1440"/>
        </w:tabs>
        <w:adjustRightInd w:val="0"/>
        <w:spacing w:line="240" w:lineRule="atLeast"/>
        <w:rPr>
          <w:rFonts w:cs="Arial"/>
          <w:b/>
          <w:bCs/>
          <w:szCs w:val="20"/>
          <w:lang w:val="cs-CZ"/>
        </w:rPr>
      </w:pPr>
    </w:p>
    <w:p w:rsidR="003B6E11" w:rsidRPr="003B6E11" w:rsidRDefault="003B6E11" w:rsidP="003B6E11">
      <w:pPr>
        <w:pStyle w:val="Esann8chgras"/>
        <w:rPr>
          <w:rFonts w:eastAsia="Calibri"/>
          <w:lang w:val="cs-CZ"/>
        </w:rPr>
      </w:pPr>
      <w:r w:rsidRPr="003B6E11">
        <w:rPr>
          <w:lang w:val="cs-CZ"/>
        </w:rPr>
        <w:t>1.2</w:t>
      </w:r>
      <w:r w:rsidRPr="003B6E11">
        <w:rPr>
          <w:lang w:val="cs-CZ"/>
        </w:rPr>
        <w:tab/>
        <w:t>Definice</w:t>
      </w:r>
    </w:p>
    <w:p w:rsidR="003B6E11" w:rsidRPr="003B6E11" w:rsidRDefault="003B6E11" w:rsidP="003B6E11">
      <w:pPr>
        <w:adjustRightInd w:val="0"/>
        <w:spacing w:line="240" w:lineRule="atLeast"/>
        <w:rPr>
          <w:rFonts w:cs="Arial"/>
          <w:iCs/>
          <w:szCs w:val="20"/>
          <w:lang w:val="cs-CZ"/>
        </w:rPr>
      </w:pPr>
    </w:p>
    <w:p w:rsidR="003B6E11" w:rsidRPr="003B6E11" w:rsidRDefault="003B6E11" w:rsidP="003B6E11">
      <w:pPr>
        <w:pStyle w:val="Esann8chpar"/>
        <w:rPr>
          <w:lang w:val="cs-CZ"/>
        </w:rPr>
      </w:pPr>
      <w:r w:rsidRPr="003B6E11">
        <w:rPr>
          <w:lang w:val="cs-CZ"/>
        </w:rPr>
        <w:t>Pro účely tohoto oddílu se použijí tyto definice:</w:t>
      </w:r>
    </w:p>
    <w:p w:rsidR="003B6E11" w:rsidRPr="003B6E11" w:rsidRDefault="003B6E11" w:rsidP="003B6E11">
      <w:pPr>
        <w:pStyle w:val="Esann8chpar"/>
        <w:rPr>
          <w:lang w:val="cs-CZ"/>
        </w:rPr>
      </w:pPr>
    </w:p>
    <w:p w:rsidR="003B6E11" w:rsidRPr="003B6E11" w:rsidRDefault="003B6E11" w:rsidP="003B6E11">
      <w:pPr>
        <w:pStyle w:val="Esann8ch"/>
        <w:rPr>
          <w:lang w:val="cs-CZ"/>
        </w:rPr>
      </w:pPr>
      <w:r w:rsidRPr="003B6E11">
        <w:rPr>
          <w:lang w:val="cs-CZ"/>
        </w:rPr>
        <w:t>1.2.1</w:t>
      </w:r>
      <w:r w:rsidRPr="003B6E11">
        <w:rPr>
          <w:lang w:val="cs-CZ"/>
        </w:rPr>
        <w:tab/>
      </w:r>
      <w:r w:rsidRPr="003B6E11">
        <w:rPr>
          <w:i/>
          <w:lang w:val="cs-CZ"/>
        </w:rPr>
        <w:t>Zkapalněný zemní plyn (LNG)</w:t>
      </w:r>
      <w:r w:rsidRPr="003B6E11">
        <w:rPr>
          <w:lang w:val="cs-CZ"/>
        </w:rPr>
        <w:t>: zemní plyn, který byl zkapalněn zchlazením na teplotu –161 °C.</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1.2.2</w:t>
      </w:r>
      <w:r w:rsidRPr="003B6E11">
        <w:rPr>
          <w:i/>
          <w:lang w:val="cs-CZ"/>
        </w:rPr>
        <w:t xml:space="preserve"> </w:t>
      </w:r>
      <w:r w:rsidRPr="003B6E11">
        <w:rPr>
          <w:lang w:val="cs-CZ"/>
        </w:rPr>
        <w:tab/>
      </w:r>
      <w:r w:rsidRPr="003B6E11">
        <w:rPr>
          <w:i/>
          <w:lang w:val="cs-CZ"/>
        </w:rPr>
        <w:t>Systém LNG:</w:t>
      </w:r>
      <w:r w:rsidRPr="003B6E11">
        <w:rPr>
          <w:lang w:val="cs-CZ"/>
        </w:rPr>
        <w:t xml:space="preserve"> všechny části plavidla, které mohou obsahovat zkapalněný zemní plyn (LNG) nebo zemní plyn, jako např. motory, palivové nádrže a tankovací potrubí.</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1.2.3</w:t>
      </w:r>
      <w:r w:rsidRPr="003B6E11">
        <w:rPr>
          <w:lang w:val="cs-CZ"/>
        </w:rPr>
        <w:tab/>
      </w:r>
      <w:r w:rsidRPr="003B6E11">
        <w:rPr>
          <w:i/>
          <w:lang w:val="cs-CZ"/>
        </w:rPr>
        <w:t>Systém tankování LNG:</w:t>
      </w:r>
      <w:r w:rsidRPr="003B6E11">
        <w:rPr>
          <w:lang w:val="cs-CZ"/>
        </w:rPr>
        <w:t xml:space="preserve"> zařízení pro tankování zkapalnělého zemního plynu (LNG) na palubu (tankovací stanoviště a tankovací potrubí).</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1.2.4</w:t>
      </w:r>
      <w:r w:rsidRPr="003B6E11">
        <w:rPr>
          <w:lang w:val="cs-CZ"/>
        </w:rPr>
        <w:tab/>
      </w:r>
      <w:r w:rsidRPr="003B6E11">
        <w:rPr>
          <w:i/>
          <w:lang w:val="cs-CZ"/>
        </w:rPr>
        <w:t>Tankovací stanoviště:</w:t>
      </w:r>
      <w:r w:rsidRPr="003B6E11">
        <w:rPr>
          <w:lang w:val="cs-CZ"/>
        </w:rPr>
        <w:t xml:space="preserve"> prostor na palubě, kde je umístěno veškeré zařízení pro tankování, jako je nosič ventilů, ventily, kontrolní přístroje, bezpečnostní vybavení, monitorovací stanice, nářadí atd.</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1.2.5</w:t>
      </w:r>
      <w:r w:rsidRPr="003B6E11">
        <w:rPr>
          <w:lang w:val="cs-CZ"/>
        </w:rPr>
        <w:tab/>
      </w:r>
      <w:r w:rsidRPr="003B6E11">
        <w:rPr>
          <w:i/>
          <w:lang w:val="cs-CZ"/>
        </w:rPr>
        <w:t>Systém uložení LNG:</w:t>
      </w:r>
      <w:r w:rsidRPr="003B6E11">
        <w:rPr>
          <w:lang w:val="cs-CZ"/>
        </w:rPr>
        <w:t xml:space="preserve"> zařízení pro skladování zkapalnělého zemního plynu (LNG) včetně nádržových přípojek.</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1.2.6</w:t>
      </w:r>
      <w:r w:rsidRPr="003B6E11">
        <w:rPr>
          <w:lang w:val="cs-CZ"/>
        </w:rPr>
        <w:tab/>
      </w:r>
      <w:r w:rsidRPr="003B6E11">
        <w:rPr>
          <w:i/>
          <w:lang w:val="cs-CZ"/>
        </w:rPr>
        <w:t>Systém přívodu plynu:</w:t>
      </w:r>
      <w:r w:rsidRPr="003B6E11">
        <w:rPr>
          <w:lang w:val="cs-CZ"/>
        </w:rPr>
        <w:t xml:space="preserve"> zařízení – včetně systému přípravy plynu, vedení pro přívod plynu a ventilů – pro přívod plynu do všech plynových spotřebičů na palubě.</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1.2.7</w:t>
      </w:r>
      <w:r w:rsidRPr="003B6E11">
        <w:rPr>
          <w:lang w:val="cs-CZ"/>
        </w:rPr>
        <w:tab/>
      </w:r>
      <w:r w:rsidRPr="003B6E11">
        <w:rPr>
          <w:i/>
          <w:lang w:val="cs-CZ"/>
        </w:rPr>
        <w:t>Systém přípravy plynu:</w:t>
      </w:r>
      <w:r w:rsidRPr="003B6E11">
        <w:rPr>
          <w:lang w:val="cs-CZ"/>
        </w:rPr>
        <w:t xml:space="preserve"> jednotka pro konverzi zkapalnělého zemního plynu (LNG) na zemní plyn, její příslušenství a potrubí.</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1.2.8</w:t>
      </w:r>
      <w:r w:rsidRPr="003B6E11">
        <w:rPr>
          <w:lang w:val="cs-CZ"/>
        </w:rPr>
        <w:tab/>
      </w:r>
      <w:r w:rsidRPr="003B6E11">
        <w:rPr>
          <w:i/>
          <w:lang w:val="cs-CZ"/>
        </w:rPr>
        <w:t>Nebezpečné prostory</w:t>
      </w:r>
      <w:r w:rsidRPr="003B6E11">
        <w:rPr>
          <w:lang w:val="cs-CZ"/>
        </w:rPr>
        <w:t>: zóny 0, 1 a 2 klasifikované dále:</w:t>
      </w:r>
    </w:p>
    <w:p w:rsidR="003B6E11" w:rsidRPr="003B6E11" w:rsidRDefault="003B6E11" w:rsidP="003B6E11">
      <w:pPr>
        <w:adjustRightInd w:val="0"/>
        <w:spacing w:line="240" w:lineRule="atLeast"/>
        <w:ind w:left="709" w:hanging="709"/>
        <w:rPr>
          <w:rFonts w:cs="Arial"/>
          <w:color w:val="000000"/>
          <w:szCs w:val="20"/>
          <w:lang w:val="cs-CZ"/>
        </w:rPr>
      </w:pPr>
    </w:p>
    <w:p w:rsidR="003B6E11" w:rsidRPr="003B6E11" w:rsidRDefault="003B6E11" w:rsidP="003B6E11">
      <w:pPr>
        <w:pStyle w:val="Esann8ch"/>
        <w:rPr>
          <w:lang w:val="cs-CZ"/>
        </w:rPr>
      </w:pPr>
      <w:r w:rsidRPr="003B6E11">
        <w:rPr>
          <w:lang w:val="cs-CZ"/>
        </w:rPr>
        <w:t>1.2.8.1</w:t>
      </w:r>
      <w:r w:rsidRPr="003B6E11">
        <w:rPr>
          <w:lang w:val="cs-CZ"/>
        </w:rPr>
        <w:tab/>
        <w:t>Zóna 0: prostory, kde se trvale nebo dlouhodobě nebo často vyskytuje výbušná atmosféra složená ze směsi vzduchu a hořlavých látek v podobě plynu, par nebo mlhy;</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1.2.8.2</w:t>
      </w:r>
      <w:r w:rsidRPr="003B6E11">
        <w:rPr>
          <w:lang w:val="cs-CZ"/>
        </w:rPr>
        <w:tab/>
        <w:t>Zóna 1: prostory, kde se za běžného provozu může příležitostně vyskytnout výbušná atmosféra složená ze směsi vzduchu a hořlavých látek v podobě plynu, par nebo mlhy;</w:t>
      </w:r>
    </w:p>
    <w:p w:rsidR="003B6E11" w:rsidRPr="003B6E11" w:rsidRDefault="003B6E11" w:rsidP="003B6E11">
      <w:pPr>
        <w:pStyle w:val="Esann8ch"/>
        <w:rPr>
          <w:lang w:val="cs-CZ"/>
        </w:rPr>
      </w:pPr>
    </w:p>
    <w:p w:rsidR="003B6E11" w:rsidRPr="003B6E11" w:rsidRDefault="003B6E11" w:rsidP="003B6E11">
      <w:pPr>
        <w:rPr>
          <w:rFonts w:eastAsia="Calibri" w:cs="Arial"/>
          <w:color w:val="000000"/>
          <w:szCs w:val="20"/>
          <w:lang w:val="cs-CZ"/>
        </w:rPr>
      </w:pPr>
      <w:r w:rsidRPr="003B6E11">
        <w:rPr>
          <w:lang w:val="cs-CZ"/>
        </w:rPr>
        <w:br w:type="page"/>
      </w:r>
    </w:p>
    <w:p w:rsidR="003B6E11" w:rsidRPr="003B6E11" w:rsidRDefault="003B6E11" w:rsidP="003B6E11">
      <w:pPr>
        <w:pStyle w:val="Esann8ch"/>
        <w:rPr>
          <w:lang w:val="cs-CZ"/>
        </w:rPr>
      </w:pPr>
    </w:p>
    <w:p w:rsidR="003B6E11" w:rsidRPr="003B6E11" w:rsidRDefault="003B6E11" w:rsidP="003B6E11">
      <w:pPr>
        <w:pStyle w:val="Esann8ch"/>
        <w:rPr>
          <w:iCs/>
          <w:lang w:val="cs-CZ"/>
        </w:rPr>
      </w:pPr>
      <w:r w:rsidRPr="003B6E11">
        <w:rPr>
          <w:lang w:val="cs-CZ"/>
        </w:rPr>
        <w:t>1.2.8.3</w:t>
      </w:r>
      <w:r w:rsidRPr="003B6E11">
        <w:rPr>
          <w:lang w:val="cs-CZ"/>
        </w:rPr>
        <w:tab/>
        <w:t>Zóna 2: prostory, kde se za běžného provozu výbušná atmosféra složená ze směsi vzduchu a hořlavých látek v podobě plynu, par nebo mlhy nevyskytuje, a pokud přece jen, trvá krátce.</w:t>
      </w:r>
    </w:p>
    <w:p w:rsidR="003B6E11" w:rsidRPr="003B6E11" w:rsidRDefault="003B6E11" w:rsidP="003B6E11">
      <w:pPr>
        <w:adjustRightInd w:val="0"/>
        <w:spacing w:line="240" w:lineRule="atLeast"/>
        <w:ind w:left="709" w:hanging="709"/>
        <w:rPr>
          <w:rFonts w:cs="Arial"/>
          <w:i/>
          <w:iCs/>
          <w:szCs w:val="20"/>
          <w:lang w:val="cs-CZ"/>
        </w:rPr>
      </w:pPr>
    </w:p>
    <w:p w:rsidR="003B6E11" w:rsidRPr="003B6E11" w:rsidRDefault="003B6E11" w:rsidP="003B6E11">
      <w:pPr>
        <w:pStyle w:val="Esann8ch"/>
        <w:rPr>
          <w:lang w:val="cs-CZ"/>
        </w:rPr>
      </w:pPr>
      <w:r w:rsidRPr="003B6E11">
        <w:rPr>
          <w:lang w:val="cs-CZ"/>
        </w:rPr>
        <w:t>1.2.9</w:t>
      </w:r>
      <w:r w:rsidRPr="003B6E11">
        <w:rPr>
          <w:lang w:val="cs-CZ"/>
        </w:rPr>
        <w:tab/>
      </w:r>
      <w:r w:rsidRPr="003B6E11">
        <w:rPr>
          <w:i/>
          <w:lang w:val="cs-CZ"/>
        </w:rPr>
        <w:t>Uzavřená místnost</w:t>
      </w:r>
      <w:r w:rsidRPr="003B6E11">
        <w:rPr>
          <w:lang w:val="cs-CZ"/>
        </w:rPr>
        <w:t>: místnost, kde je kvůli absenci nuceného větrání omezená ventilace, a výbušná atmosféra se tak nemůže rozptýlit přirozeně.</w:t>
      </w:r>
    </w:p>
    <w:p w:rsidR="003B6E11" w:rsidRPr="003B6E11" w:rsidRDefault="003B6E11" w:rsidP="003B6E11">
      <w:pPr>
        <w:pStyle w:val="Esann8ch"/>
        <w:rPr>
          <w:i/>
          <w:lang w:val="cs-CZ"/>
        </w:rPr>
      </w:pPr>
    </w:p>
    <w:p w:rsidR="003B6E11" w:rsidRPr="003B6E11" w:rsidRDefault="003B6E11" w:rsidP="003B6E11">
      <w:pPr>
        <w:pStyle w:val="Esann8ch"/>
        <w:rPr>
          <w:lang w:val="cs-CZ"/>
        </w:rPr>
      </w:pPr>
      <w:r w:rsidRPr="003B6E11">
        <w:rPr>
          <w:lang w:val="cs-CZ"/>
        </w:rPr>
        <w:t>1.2.10</w:t>
      </w:r>
      <w:r w:rsidRPr="003B6E11">
        <w:rPr>
          <w:lang w:val="cs-CZ"/>
        </w:rPr>
        <w:tab/>
      </w:r>
      <w:r w:rsidRPr="003B6E11">
        <w:rPr>
          <w:i/>
          <w:lang w:val="cs-CZ"/>
        </w:rPr>
        <w:t>Polouzavřená místnost:</w:t>
      </w:r>
      <w:r w:rsidRPr="003B6E11">
        <w:rPr>
          <w:lang w:val="cs-CZ"/>
        </w:rPr>
        <w:t xml:space="preserve"> místnost ohraničená palubami nebo přepážkami tak, že přirozené podmínky větrání jsou výrazně odlišné od podmínek na otevřené palubě.</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1.2.11</w:t>
      </w:r>
      <w:r w:rsidRPr="003B6E11">
        <w:rPr>
          <w:lang w:val="cs-CZ"/>
        </w:rPr>
        <w:tab/>
      </w:r>
      <w:r w:rsidRPr="003B6E11">
        <w:rPr>
          <w:i/>
          <w:lang w:val="cs-CZ"/>
        </w:rPr>
        <w:t>Přetlakový ventil (PRV)</w:t>
      </w:r>
      <w:r w:rsidRPr="003B6E11">
        <w:rPr>
          <w:lang w:val="cs-CZ"/>
        </w:rPr>
        <w:t>: pružinové zařízení automaticky aktivované tlakem, jehož účelem je ochrana nádrže nebo potrubí před nepřijatelným vnitřním přetlakem.</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1.2.12</w:t>
      </w:r>
      <w:r w:rsidRPr="003B6E11">
        <w:rPr>
          <w:lang w:val="cs-CZ"/>
        </w:rPr>
        <w:tab/>
      </w:r>
      <w:r w:rsidRPr="003B6E11">
        <w:rPr>
          <w:i/>
          <w:lang w:val="cs-CZ"/>
        </w:rPr>
        <w:t>Motory dual fuel</w:t>
      </w:r>
      <w:r w:rsidRPr="003B6E11">
        <w:rPr>
          <w:lang w:val="cs-CZ"/>
        </w:rPr>
        <w:t>: motory používající zkapalněný zemní plyn (LNG) v kombinaci s palivem s bodem vzplanutí nad 55 °C.</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1.2.13</w:t>
      </w:r>
      <w:r w:rsidRPr="003B6E11">
        <w:rPr>
          <w:i/>
          <w:lang w:val="cs-CZ"/>
        </w:rPr>
        <w:t xml:space="preserve"> </w:t>
      </w:r>
      <w:r w:rsidRPr="003B6E11">
        <w:rPr>
          <w:lang w:val="cs-CZ"/>
        </w:rPr>
        <w:tab/>
      </w:r>
      <w:r w:rsidRPr="003B6E11">
        <w:rPr>
          <w:i/>
          <w:lang w:val="cs-CZ"/>
        </w:rPr>
        <w:t>ESD</w:t>
      </w:r>
      <w:r w:rsidRPr="003B6E11">
        <w:rPr>
          <w:lang w:val="cs-CZ"/>
        </w:rPr>
        <w:t>: nouzové odstavení (zkratka „emergency shutdown“).</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1.2.14</w:t>
      </w:r>
      <w:r w:rsidRPr="003B6E11">
        <w:rPr>
          <w:lang w:val="cs-CZ"/>
        </w:rPr>
        <w:tab/>
      </w:r>
      <w:r w:rsidRPr="003B6E11">
        <w:rPr>
          <w:i/>
          <w:lang w:val="cs-CZ"/>
        </w:rPr>
        <w:t>Hlavní uzávěr plynného paliva</w:t>
      </w:r>
      <w:r w:rsidRPr="003B6E11">
        <w:rPr>
          <w:lang w:val="cs-CZ"/>
        </w:rPr>
        <w:t>: automatický uzavírací ventil v potrubí pro přívod plynu do motorů.</w:t>
      </w:r>
    </w:p>
    <w:p w:rsidR="003B6E11" w:rsidRPr="003B6E11" w:rsidRDefault="003B6E11" w:rsidP="003B6E11">
      <w:pPr>
        <w:pStyle w:val="Esann8ch"/>
        <w:rPr>
          <w:lang w:val="cs-CZ"/>
        </w:rPr>
      </w:pPr>
    </w:p>
    <w:p w:rsidR="003B6E11" w:rsidRPr="003B6E11" w:rsidRDefault="003B6E11" w:rsidP="003B6E11">
      <w:pPr>
        <w:pStyle w:val="Esann8ch"/>
        <w:rPr>
          <w:i/>
          <w:lang w:val="cs-CZ"/>
        </w:rPr>
      </w:pPr>
      <w:r w:rsidRPr="003B6E11">
        <w:rPr>
          <w:lang w:val="cs-CZ"/>
        </w:rPr>
        <w:t>1.2.15</w:t>
      </w:r>
      <w:r w:rsidRPr="003B6E11">
        <w:rPr>
          <w:lang w:val="cs-CZ"/>
        </w:rPr>
        <w:tab/>
      </w:r>
      <w:r w:rsidRPr="003B6E11">
        <w:rPr>
          <w:i/>
          <w:lang w:val="cs-CZ"/>
        </w:rPr>
        <w:t>Sekundární bariéra:</w:t>
      </w:r>
      <w:r w:rsidRPr="003B6E11">
        <w:rPr>
          <w:lang w:val="cs-CZ"/>
        </w:rPr>
        <w:t xml:space="preserve"> vnější prvek systému uložení LNG nebo potrubí konstruovaný tak, aby dočasně zadržel jakýkoli představitelný únik paliva skrz primární bariéru.</w:t>
      </w:r>
    </w:p>
    <w:p w:rsidR="003B6E11" w:rsidRPr="003B6E11" w:rsidRDefault="003B6E11" w:rsidP="003B6E11">
      <w:pPr>
        <w:pStyle w:val="Esann8ch"/>
        <w:rPr>
          <w:i/>
          <w:lang w:val="cs-CZ"/>
        </w:rPr>
      </w:pPr>
    </w:p>
    <w:p w:rsidR="003B6E11" w:rsidRPr="003B6E11" w:rsidRDefault="003B6E11" w:rsidP="003B6E11">
      <w:pPr>
        <w:pStyle w:val="Esann8ch"/>
        <w:rPr>
          <w:i/>
          <w:lang w:val="cs-CZ"/>
        </w:rPr>
      </w:pPr>
      <w:r w:rsidRPr="003B6E11">
        <w:rPr>
          <w:lang w:val="cs-CZ"/>
        </w:rPr>
        <w:t xml:space="preserve">1.2.16 </w:t>
      </w:r>
      <w:r w:rsidRPr="003B6E11">
        <w:rPr>
          <w:lang w:val="cs-CZ"/>
        </w:rPr>
        <w:tab/>
      </w:r>
      <w:r w:rsidRPr="003B6E11">
        <w:rPr>
          <w:i/>
          <w:lang w:val="cs-CZ"/>
        </w:rPr>
        <w:t>Maximální pracovní tlak</w:t>
      </w:r>
      <w:r w:rsidRPr="003B6E11">
        <w:rPr>
          <w:lang w:val="cs-CZ"/>
        </w:rPr>
        <w:t xml:space="preserve">: maximální tlak přípustný v nádrži nebo potrubí pro LNG během provozu. Tento tlak se rovná tlaku otevření přetlakových ventilů nebo zařízení. </w:t>
      </w:r>
    </w:p>
    <w:p w:rsidR="003B6E11" w:rsidRPr="003B6E11" w:rsidRDefault="003B6E11" w:rsidP="003B6E11">
      <w:pPr>
        <w:pStyle w:val="Esann8ch"/>
        <w:rPr>
          <w:i/>
          <w:lang w:val="cs-CZ"/>
        </w:rPr>
      </w:pPr>
    </w:p>
    <w:p w:rsidR="003B6E11" w:rsidRPr="003B6E11" w:rsidRDefault="003B6E11" w:rsidP="003B6E11">
      <w:pPr>
        <w:pStyle w:val="Esann8ch"/>
        <w:rPr>
          <w:lang w:val="cs-CZ"/>
        </w:rPr>
      </w:pPr>
      <w:r w:rsidRPr="003B6E11">
        <w:rPr>
          <w:lang w:val="cs-CZ"/>
        </w:rPr>
        <w:t xml:space="preserve">1.2.17 </w:t>
      </w:r>
      <w:r w:rsidRPr="003B6E11">
        <w:rPr>
          <w:lang w:val="cs-CZ"/>
        </w:rPr>
        <w:tab/>
      </w:r>
      <w:r w:rsidRPr="003B6E11">
        <w:rPr>
          <w:i/>
          <w:lang w:val="cs-CZ"/>
        </w:rPr>
        <w:t>Konstrukční tlak</w:t>
      </w:r>
      <w:r w:rsidRPr="003B6E11">
        <w:rPr>
          <w:lang w:val="cs-CZ"/>
        </w:rPr>
        <w:t>: tlak, pro nějž byla nádrž nebo potrubí pro LNG navrženo a postaveno.</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1.2.18</w:t>
      </w:r>
      <w:r w:rsidRPr="003B6E11">
        <w:rPr>
          <w:lang w:val="cs-CZ"/>
        </w:rPr>
        <w:tab/>
      </w:r>
      <w:r w:rsidRPr="003B6E11">
        <w:rPr>
          <w:i/>
          <w:lang w:val="cs-CZ"/>
        </w:rPr>
        <w:t>Dvojitý blokovací a odvzdušňovací ventil (DBBV)</w:t>
      </w:r>
      <w:r w:rsidRPr="003B6E11">
        <w:rPr>
          <w:lang w:val="cs-CZ"/>
        </w:rPr>
        <w:t xml:space="preserve">: sada dvou ventilů sériově za sebou v potrubí a třetího ventilu umožňujícího uvolnění tlaku z potrubí v místě mezi prvními dvěma ventily. Tento systém se místo tří samostatných ventilů může skládat také z jednoho dvoucestného ventilu a jednoho uzavíracího ventilu.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1.2.19</w:t>
      </w:r>
      <w:r w:rsidRPr="003B6E11">
        <w:rPr>
          <w:lang w:val="cs-CZ"/>
        </w:rPr>
        <w:tab/>
      </w:r>
      <w:r w:rsidRPr="003B6E11">
        <w:rPr>
          <w:i/>
          <w:lang w:val="cs-CZ"/>
        </w:rPr>
        <w:t>Vzduchová komora</w:t>
      </w:r>
      <w:r w:rsidRPr="003B6E11">
        <w:rPr>
          <w:lang w:val="cs-CZ"/>
        </w:rPr>
        <w:t>: prostor oddělený plynotěsnými ocelovými přepážkami se dvěma plynotěsnými vraty, jehož účelem je oddělit bezpečný prostor od nebezpečného prostoru.</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1.2.20</w:t>
      </w:r>
      <w:r w:rsidRPr="003B6E11">
        <w:rPr>
          <w:lang w:val="cs-CZ"/>
        </w:rPr>
        <w:tab/>
      </w:r>
      <w:r w:rsidRPr="003B6E11">
        <w:rPr>
          <w:i/>
          <w:lang w:val="cs-CZ"/>
        </w:rPr>
        <w:t>Dvoustěnné potrubí</w:t>
      </w:r>
      <w:r w:rsidRPr="003B6E11">
        <w:rPr>
          <w:lang w:val="cs-CZ"/>
        </w:rPr>
        <w:t>: potrubí s dvojitou stěnou, kde prostor mezi dvěma stěnami je vyplněn inertním plynem, které je navrženo pro detekci úniku jednou z těchto dvou stěn.</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1.2.21</w:t>
      </w:r>
      <w:r w:rsidRPr="003B6E11">
        <w:rPr>
          <w:lang w:val="cs-CZ"/>
        </w:rPr>
        <w:tab/>
      </w:r>
      <w:r w:rsidRPr="003B6E11">
        <w:rPr>
          <w:i/>
          <w:lang w:val="cs-CZ"/>
        </w:rPr>
        <w:t>Systémové součásti</w:t>
      </w:r>
      <w:r w:rsidRPr="003B6E11">
        <w:rPr>
          <w:lang w:val="cs-CZ"/>
        </w:rPr>
        <w:t>: všechny součásti zařízení, které mohou obsahovat zkapalněný zemní plyn (LNG) nebo zemní plyn (NG) (palivové nádrže, potrubí, ventily, hadice, písty, čerpadla, filtry, přístrojová technika atd.).</w:t>
      </w:r>
    </w:p>
    <w:p w:rsidR="003B6E11" w:rsidRPr="003B6E11" w:rsidRDefault="003B6E11" w:rsidP="003B6E11">
      <w:pPr>
        <w:pStyle w:val="Esann8ch"/>
        <w:rPr>
          <w:lang w:val="cs-CZ"/>
        </w:rPr>
      </w:pPr>
    </w:p>
    <w:p w:rsidR="003B6E11" w:rsidRPr="003B6E11" w:rsidRDefault="003B6E11" w:rsidP="003B6E11">
      <w:pPr>
        <w:rPr>
          <w:rFonts w:eastAsia="Calibri" w:cs="Arial"/>
          <w:color w:val="000000"/>
          <w:szCs w:val="20"/>
          <w:lang w:val="cs-CZ"/>
        </w:rPr>
      </w:pPr>
      <w:r w:rsidRPr="003B6E11">
        <w:rPr>
          <w:lang w:val="cs-CZ"/>
        </w:rPr>
        <w:br w:type="page"/>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1.2.22</w:t>
      </w:r>
      <w:r w:rsidRPr="003B6E11">
        <w:rPr>
          <w:lang w:val="cs-CZ"/>
        </w:rPr>
        <w:tab/>
      </w:r>
      <w:r w:rsidRPr="003B6E11">
        <w:rPr>
          <w:i/>
          <w:lang w:val="cs-CZ"/>
        </w:rPr>
        <w:t>Ventilované roury</w:t>
      </w:r>
      <w:r w:rsidRPr="003B6E11">
        <w:rPr>
          <w:lang w:val="cs-CZ"/>
        </w:rPr>
        <w:t>: plynová trubka instalovaná v trubce nebo roura vybavená mechanickým odvětráváním výparů.</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1.2.23</w:t>
      </w:r>
      <w:r w:rsidRPr="003B6E11">
        <w:rPr>
          <w:lang w:val="cs-CZ"/>
        </w:rPr>
        <w:tab/>
      </w:r>
      <w:r w:rsidRPr="003B6E11">
        <w:rPr>
          <w:i/>
          <w:lang w:val="cs-CZ"/>
        </w:rPr>
        <w:t>Zařízení pro varování před únikem plynu</w:t>
      </w:r>
      <w:r w:rsidRPr="003B6E11">
        <w:rPr>
          <w:lang w:val="cs-CZ"/>
        </w:rPr>
        <w:t>: výstražné zařízení k ochraně osob a majetku před nebezpečnými plyny a směsmi vzduchu a plynu. Sestává z detektorů plynu, ovládací jednotky zpracovávající signály a zobrazovací/výstražné jednotky pro zobrazování stavu a výstrah.</w:t>
      </w:r>
    </w:p>
    <w:p w:rsidR="003B6E11" w:rsidRPr="003B6E11" w:rsidRDefault="003B6E11" w:rsidP="003B6E11">
      <w:pPr>
        <w:pStyle w:val="Esann8ch"/>
        <w:rPr>
          <w:lang w:val="cs-CZ"/>
        </w:rPr>
      </w:pPr>
    </w:p>
    <w:p w:rsidR="003B6E11" w:rsidRPr="003B6E11" w:rsidRDefault="003B6E11" w:rsidP="003B6E11">
      <w:pPr>
        <w:pStyle w:val="Esann8chgras"/>
        <w:rPr>
          <w:lang w:val="cs-CZ"/>
        </w:rPr>
      </w:pPr>
      <w:r w:rsidRPr="003B6E11">
        <w:rPr>
          <w:lang w:val="cs-CZ"/>
        </w:rPr>
        <w:t>1.3</w:t>
      </w:r>
      <w:r w:rsidRPr="003B6E11">
        <w:rPr>
          <w:lang w:val="cs-CZ"/>
        </w:rPr>
        <w:tab/>
        <w:t>Posouzení rizika</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1.3.1</w:t>
      </w:r>
      <w:r w:rsidRPr="003B6E11">
        <w:rPr>
          <w:lang w:val="cs-CZ"/>
        </w:rPr>
        <w:tab/>
        <w:t>Posouzení rizika se provede u všech koncepcí a konfigurací, které jsou nové nebo které byly podstatně modifikovány. Zaměří se na rizika plynoucí z použití zkapalněného zemního plynu (LNG), která mohou mít dopad na osoby na palubě včetně cestujících, na životní prostředí, na konstrukční pevnost a na neporušenost plavidla. Náležitou pozornost je třeba věnovat rizikům souvisejícím s fyzickým uspořádáním, provozem a údržbou v návaznosti na poruchu.</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1.3.2</w:t>
      </w:r>
      <w:r w:rsidRPr="003B6E11">
        <w:rPr>
          <w:lang w:val="cs-CZ"/>
        </w:rPr>
        <w:tab/>
        <w:t xml:space="preserve">Rizika se zjišťují a posuzují analýzou rizik uznanou subjektem pověřeným prohlídkami, například metodou využívající mezinárodní normu ISO 31000:2009 a ISO 31010:2010. Minimálně se přitom zváží situace jako ztráta funkčnosti, poškození součástí, požár, výbuch, zatopení místnosti s nádrží, potopení plavidla a elektrické přepětí. Analýza musí přispět k odstranění těchto rizik, nakolik je to možné. Rizika, která nelze odstranit úplně, mají být zmírněna na přijatelnou míru. Musí být popsány základní scénáře a opatření pro odstranění nebo zmírnění rizik.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1.3.3</w:t>
      </w:r>
      <w:r w:rsidRPr="003B6E11">
        <w:rPr>
          <w:lang w:val="cs-CZ"/>
        </w:rPr>
        <w:tab/>
        <w:t>V posouzení rizik musí být dokumentována klasifikace nebezpečných prostor na palubě rozdělených do zón 0, 1 a 2 podle bodu 1.2.8.</w:t>
      </w:r>
    </w:p>
    <w:p w:rsidR="003B6E11" w:rsidRPr="003B6E11" w:rsidRDefault="003B6E11" w:rsidP="003B6E11">
      <w:pPr>
        <w:pStyle w:val="Esann8ch"/>
        <w:rPr>
          <w:b/>
          <w:lang w:val="cs-CZ"/>
        </w:rPr>
      </w:pPr>
    </w:p>
    <w:p w:rsidR="003B6E11" w:rsidRPr="003B6E11" w:rsidRDefault="003B6E11" w:rsidP="003B6E11">
      <w:pPr>
        <w:pStyle w:val="Esann8chgras"/>
        <w:rPr>
          <w:rFonts w:eastAsia="Calibri"/>
          <w:lang w:val="cs-CZ"/>
        </w:rPr>
      </w:pPr>
      <w:r w:rsidRPr="003B6E11">
        <w:rPr>
          <w:lang w:val="cs-CZ"/>
        </w:rPr>
        <w:t>1.4</w:t>
      </w:r>
      <w:r w:rsidRPr="003B6E11">
        <w:rPr>
          <w:lang w:val="cs-CZ"/>
        </w:rPr>
        <w:tab/>
        <w:t>Obecné požadavky</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1.4.1</w:t>
      </w:r>
      <w:r w:rsidRPr="003B6E11">
        <w:rPr>
          <w:lang w:val="cs-CZ"/>
        </w:rPr>
        <w:tab/>
        <w:t>Jedna porucha v systému LNG nesmí vést k nebezpečné situaci.</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1.4.2</w:t>
      </w:r>
      <w:r w:rsidRPr="003B6E11">
        <w:rPr>
          <w:lang w:val="cs-CZ"/>
        </w:rPr>
        <w:tab/>
        <w:t xml:space="preserve">Systém LNG musí být navržen, konstruován, instalován, udržován a chráněn tak, aby byl zajištěn bezpečný a spolehlivý provoz.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1.4.3</w:t>
      </w:r>
      <w:r w:rsidRPr="003B6E11">
        <w:rPr>
          <w:lang w:val="cs-CZ"/>
        </w:rPr>
        <w:tab/>
        <w:t>Součásti systému LNG musí být chráněny proti vnějšímu poškození.</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1.4.4</w:t>
      </w:r>
      <w:r w:rsidRPr="003B6E11">
        <w:rPr>
          <w:lang w:val="cs-CZ"/>
        </w:rPr>
        <w:tab/>
        <w:t>Přístup do nebezpečných prostor musí být pokud možno omezen, aby byla minimalizována možná rizika, která by mohla ovlivnit bezpečnost plavidla, osoby na palubě, životní prostředí a vybavení. Nebezpečné prostory jsou zejména ty části lodi, které nejsou určeny pro cestující, jak je určeno v čl. 19.06 odst. 11.</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 xml:space="preserve">1.4.5 </w:t>
      </w:r>
      <w:r w:rsidRPr="003B6E11">
        <w:rPr>
          <w:lang w:val="cs-CZ"/>
        </w:rPr>
        <w:tab/>
        <w:t>Pro zabránění vstupu cestujícím do nebezpečných prostor se přijmou vhodná opatření.</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1.4.6</w:t>
      </w:r>
      <w:r w:rsidRPr="003B6E11">
        <w:rPr>
          <w:lang w:val="cs-CZ"/>
        </w:rPr>
        <w:tab/>
        <w:t>V nebezpečných prostorách smí být instalováno jen takové vybavení, které je tam nezbytné z provozních důvodů, a musí být příslušně certifikováno.</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1.4.7</w:t>
      </w:r>
      <w:r w:rsidRPr="003B6E11">
        <w:rPr>
          <w:lang w:val="cs-CZ"/>
        </w:rPr>
        <w:tab/>
        <w:t>Je třeba zabránit nezamýšlenému nárůstu výbušných nebo hořlavých koncentrací plynu.</w:t>
      </w:r>
    </w:p>
    <w:p w:rsidR="003B6E11" w:rsidRPr="003B6E11" w:rsidRDefault="003B6E11" w:rsidP="003B6E11">
      <w:pPr>
        <w:pStyle w:val="Esann8ch"/>
        <w:rPr>
          <w:lang w:val="cs-CZ"/>
        </w:rPr>
      </w:pPr>
    </w:p>
    <w:p w:rsidR="003B6E11" w:rsidRPr="003B6E11" w:rsidRDefault="003B6E11" w:rsidP="003B6E11">
      <w:pPr>
        <w:pStyle w:val="Esann8ch"/>
        <w:rPr>
          <w:lang w:val="cs-CZ"/>
        </w:rPr>
      </w:pPr>
    </w:p>
    <w:p w:rsidR="003B6E11" w:rsidRPr="003B6E11" w:rsidRDefault="003B6E11" w:rsidP="003B6E11">
      <w:pPr>
        <w:rPr>
          <w:rFonts w:eastAsia="Calibri" w:cs="Arial"/>
          <w:color w:val="000000"/>
          <w:szCs w:val="20"/>
          <w:lang w:val="cs-CZ"/>
        </w:rPr>
      </w:pPr>
      <w:r w:rsidRPr="003B6E11">
        <w:rPr>
          <w:lang w:val="cs-CZ"/>
        </w:rPr>
        <w:br w:type="page"/>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1.4.8</w:t>
      </w:r>
      <w:r w:rsidRPr="003B6E11">
        <w:rPr>
          <w:lang w:val="cs-CZ"/>
        </w:rPr>
        <w:tab/>
        <w:t>Pro snížení pravděpodobnosti výbuchu je třeba v nebezpečných prostorách minimalizovat zdroje vznícení.</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1.4.9</w:t>
      </w:r>
      <w:r w:rsidRPr="003B6E11">
        <w:rPr>
          <w:lang w:val="cs-CZ"/>
        </w:rPr>
        <w:tab/>
        <w:t>Na palubě plavidel používajících jako palivo zkapalněný zemní plyn (LNG) musí být k dispozici podrobný návod k obsluze systému LNG, který musí obsahovat alespoň:</w:t>
      </w:r>
    </w:p>
    <w:p w:rsidR="003B6E11" w:rsidRPr="003B6E11" w:rsidRDefault="003B6E11" w:rsidP="003B6E11">
      <w:pPr>
        <w:pStyle w:val="Esann8let"/>
        <w:rPr>
          <w:lang w:val="cs-CZ"/>
        </w:rPr>
      </w:pPr>
      <w:r w:rsidRPr="003B6E11">
        <w:rPr>
          <w:lang w:val="cs-CZ"/>
        </w:rPr>
        <w:t>a)</w:t>
      </w:r>
      <w:r w:rsidRPr="003B6E11">
        <w:rPr>
          <w:lang w:val="cs-CZ"/>
        </w:rPr>
        <w:tab/>
        <w:t>praktické vysvětlení systému tankování LNG, systému uložení LNG, potrubního systému LNG, systému přívodu plynu, strojovny, systému větrání, prevence a řízení úniků, monitorovacího a bezpečnostního systému;</w:t>
      </w:r>
    </w:p>
    <w:p w:rsidR="003B6E11" w:rsidRPr="003B6E11" w:rsidRDefault="003B6E11" w:rsidP="003B6E11">
      <w:pPr>
        <w:pStyle w:val="Esann8let"/>
        <w:rPr>
          <w:lang w:val="cs-CZ"/>
        </w:rPr>
      </w:pPr>
      <w:r w:rsidRPr="003B6E11">
        <w:rPr>
          <w:lang w:val="cs-CZ"/>
        </w:rPr>
        <w:t>b)</w:t>
      </w:r>
      <w:r w:rsidRPr="003B6E11">
        <w:rPr>
          <w:lang w:val="cs-CZ"/>
        </w:rPr>
        <w:tab/>
        <w:t>popis tankovacích operací, zejména ovládání ventilů, čištění, inertizace a uvolňování plynu;</w:t>
      </w:r>
    </w:p>
    <w:p w:rsidR="003B6E11" w:rsidRPr="003B6E11" w:rsidRDefault="003B6E11" w:rsidP="003B6E11">
      <w:pPr>
        <w:pStyle w:val="Esann8let"/>
        <w:rPr>
          <w:lang w:val="cs-CZ"/>
        </w:rPr>
      </w:pPr>
      <w:r w:rsidRPr="003B6E11">
        <w:rPr>
          <w:lang w:val="cs-CZ"/>
        </w:rPr>
        <w:t>c)</w:t>
      </w:r>
      <w:r w:rsidRPr="003B6E11">
        <w:rPr>
          <w:lang w:val="cs-CZ"/>
        </w:rPr>
        <w:tab/>
        <w:t>popis náležité metody elektrické izolace během tankování;</w:t>
      </w:r>
    </w:p>
    <w:p w:rsidR="003B6E11" w:rsidRPr="003B6E11" w:rsidRDefault="003B6E11" w:rsidP="003B6E11">
      <w:pPr>
        <w:pStyle w:val="Esann8let"/>
        <w:rPr>
          <w:lang w:val="cs-CZ"/>
        </w:rPr>
      </w:pPr>
      <w:r w:rsidRPr="003B6E11">
        <w:rPr>
          <w:lang w:val="cs-CZ"/>
        </w:rPr>
        <w:t xml:space="preserve">d) </w:t>
      </w:r>
      <w:r w:rsidRPr="003B6E11">
        <w:rPr>
          <w:lang w:val="cs-CZ"/>
        </w:rPr>
        <w:tab/>
        <w:t>podrobný popis rizik zjištěných při hodnocení rizik podle bodu 1.3 a způsobů, jak je zmírnit.</w:t>
      </w:r>
    </w:p>
    <w:p w:rsidR="003B6E11" w:rsidRPr="003B6E11" w:rsidRDefault="003B6E11" w:rsidP="003B6E11">
      <w:pPr>
        <w:adjustRightInd w:val="0"/>
        <w:spacing w:line="240" w:lineRule="atLeast"/>
        <w:ind w:left="709" w:hanging="709"/>
        <w:rPr>
          <w:rFonts w:eastAsia="Calibri" w:cs="Arial"/>
          <w:szCs w:val="20"/>
          <w:lang w:val="cs-CZ"/>
        </w:rPr>
      </w:pPr>
    </w:p>
    <w:p w:rsidR="003B6E11" w:rsidRPr="003B6E11" w:rsidRDefault="003B6E11" w:rsidP="003B6E11">
      <w:pPr>
        <w:pStyle w:val="Esann8ch"/>
        <w:rPr>
          <w:lang w:val="cs-CZ"/>
        </w:rPr>
      </w:pPr>
      <w:r w:rsidRPr="003B6E11">
        <w:rPr>
          <w:lang w:val="cs-CZ"/>
        </w:rPr>
        <w:t>1.4.10</w:t>
      </w:r>
      <w:r w:rsidRPr="003B6E11">
        <w:rPr>
          <w:lang w:val="cs-CZ"/>
        </w:rPr>
        <w:tab/>
        <w:t>Požár nebo výbuch způsobený plynem uvolněným ze systémů uložení LNG a ze strojoven nesmí vyřadit z provozu stroje nebo zařízení, které je nutné pro fungování plavidla.</w:t>
      </w:r>
    </w:p>
    <w:p w:rsidR="003B6E11" w:rsidRPr="003B6E11" w:rsidRDefault="003B6E11" w:rsidP="003B6E11">
      <w:pPr>
        <w:adjustRightInd w:val="0"/>
        <w:spacing w:line="240" w:lineRule="atLeast"/>
        <w:ind w:left="709" w:hanging="709"/>
        <w:rPr>
          <w:rFonts w:eastAsia="Calibri" w:cs="Arial"/>
          <w:szCs w:val="20"/>
          <w:lang w:val="cs-CZ"/>
        </w:rPr>
      </w:pPr>
    </w:p>
    <w:p w:rsidR="003B6E11" w:rsidRPr="003B6E11" w:rsidRDefault="003B6E11" w:rsidP="003B6E11">
      <w:pPr>
        <w:pStyle w:val="Esann8chgras"/>
        <w:rPr>
          <w:rFonts w:eastAsia="Calibri"/>
          <w:lang w:val="cs-CZ"/>
        </w:rPr>
      </w:pPr>
      <w:r w:rsidRPr="003B6E11">
        <w:rPr>
          <w:lang w:val="cs-CZ"/>
        </w:rPr>
        <w:t>1.5</w:t>
      </w:r>
      <w:r w:rsidRPr="003B6E11">
        <w:rPr>
          <w:lang w:val="cs-CZ"/>
        </w:rPr>
        <w:tab/>
        <w:t>Informovanost technické zkušebny</w:t>
      </w:r>
    </w:p>
    <w:p w:rsidR="003B6E11" w:rsidRPr="003B6E11" w:rsidRDefault="003B6E11" w:rsidP="003B6E11">
      <w:pPr>
        <w:spacing w:line="240" w:lineRule="atLeast"/>
        <w:rPr>
          <w:rFonts w:cs="Arial"/>
          <w:b/>
          <w:szCs w:val="20"/>
          <w:lang w:val="cs-CZ"/>
        </w:rPr>
      </w:pPr>
    </w:p>
    <w:p w:rsidR="003B6E11" w:rsidRPr="003B6E11" w:rsidRDefault="003B6E11" w:rsidP="003B6E11">
      <w:pPr>
        <w:pStyle w:val="Esann8chpar"/>
        <w:rPr>
          <w:lang w:val="cs-CZ"/>
        </w:rPr>
      </w:pPr>
      <w:r w:rsidRPr="003B6E11">
        <w:rPr>
          <w:lang w:val="cs-CZ"/>
        </w:rPr>
        <w:t>Technická zkušebna uvedená v čl. 30.01 odst. 4 musí být informována alespoň o následujících skutečnostech:</w:t>
      </w:r>
    </w:p>
    <w:p w:rsidR="003B6E11" w:rsidRPr="003B6E11" w:rsidRDefault="003B6E11" w:rsidP="003B6E11">
      <w:pPr>
        <w:pStyle w:val="Esann8let"/>
        <w:rPr>
          <w:lang w:val="cs-CZ"/>
        </w:rPr>
      </w:pPr>
      <w:r w:rsidRPr="003B6E11">
        <w:rPr>
          <w:lang w:val="cs-CZ"/>
        </w:rPr>
        <w:t>a)</w:t>
      </w:r>
      <w:r w:rsidRPr="003B6E11">
        <w:rPr>
          <w:lang w:val="cs-CZ"/>
        </w:rPr>
        <w:tab/>
        <w:t xml:space="preserve">palivový systém včetně nádrží, výměníků tepla, potrubí; </w:t>
      </w:r>
    </w:p>
    <w:p w:rsidR="003B6E11" w:rsidRPr="003B6E11" w:rsidRDefault="003B6E11" w:rsidP="003B6E11">
      <w:pPr>
        <w:pStyle w:val="Esann8let"/>
        <w:rPr>
          <w:lang w:val="cs-CZ"/>
        </w:rPr>
      </w:pPr>
      <w:r w:rsidRPr="003B6E11">
        <w:rPr>
          <w:lang w:val="cs-CZ"/>
        </w:rPr>
        <w:t>b)</w:t>
      </w:r>
      <w:r w:rsidRPr="003B6E11">
        <w:rPr>
          <w:lang w:val="cs-CZ"/>
        </w:rPr>
        <w:tab/>
        <w:t>pevnost (podélná i lokální) a stabilita plavidla;</w:t>
      </w:r>
    </w:p>
    <w:p w:rsidR="003B6E11" w:rsidRPr="003B6E11" w:rsidRDefault="003B6E11" w:rsidP="003B6E11">
      <w:pPr>
        <w:pStyle w:val="Esann8let"/>
        <w:rPr>
          <w:lang w:val="cs-CZ"/>
        </w:rPr>
      </w:pPr>
      <w:r w:rsidRPr="003B6E11">
        <w:rPr>
          <w:lang w:val="cs-CZ"/>
        </w:rPr>
        <w:t>c)</w:t>
      </w:r>
      <w:r w:rsidRPr="003B6E11">
        <w:rPr>
          <w:lang w:val="cs-CZ"/>
        </w:rPr>
        <w:tab/>
        <w:t>elektrické a ovládací systémy;</w:t>
      </w:r>
    </w:p>
    <w:p w:rsidR="003B6E11" w:rsidRPr="003B6E11" w:rsidRDefault="003B6E11" w:rsidP="003B6E11">
      <w:pPr>
        <w:pStyle w:val="Esann8let"/>
        <w:rPr>
          <w:lang w:val="cs-CZ"/>
        </w:rPr>
      </w:pPr>
      <w:r w:rsidRPr="003B6E11">
        <w:rPr>
          <w:lang w:val="cs-CZ"/>
        </w:rPr>
        <w:t>d)</w:t>
      </w:r>
      <w:r w:rsidRPr="003B6E11">
        <w:rPr>
          <w:lang w:val="cs-CZ"/>
        </w:rPr>
        <w:tab/>
        <w:t>systém ventilace;</w:t>
      </w:r>
    </w:p>
    <w:p w:rsidR="003B6E11" w:rsidRPr="003B6E11" w:rsidRDefault="003B6E11" w:rsidP="003B6E11">
      <w:pPr>
        <w:pStyle w:val="Esann8let"/>
        <w:rPr>
          <w:lang w:val="cs-CZ"/>
        </w:rPr>
      </w:pPr>
      <w:r w:rsidRPr="003B6E11">
        <w:rPr>
          <w:lang w:val="cs-CZ"/>
        </w:rPr>
        <w:t>e)</w:t>
      </w:r>
      <w:r w:rsidRPr="003B6E11">
        <w:rPr>
          <w:lang w:val="cs-CZ"/>
        </w:rPr>
        <w:tab/>
        <w:t>požární ochrana;</w:t>
      </w:r>
    </w:p>
    <w:p w:rsidR="003B6E11" w:rsidRPr="003B6E11" w:rsidRDefault="003B6E11" w:rsidP="003B6E11">
      <w:pPr>
        <w:pStyle w:val="Esann8let"/>
        <w:rPr>
          <w:lang w:val="cs-CZ"/>
        </w:rPr>
      </w:pPr>
      <w:r w:rsidRPr="003B6E11">
        <w:rPr>
          <w:lang w:val="cs-CZ"/>
        </w:rPr>
        <w:t>f)</w:t>
      </w:r>
      <w:r w:rsidRPr="003B6E11">
        <w:rPr>
          <w:lang w:val="cs-CZ"/>
        </w:rPr>
        <w:tab/>
        <w:t>zařízení pro varování před únikem plynu.</w:t>
      </w:r>
    </w:p>
    <w:p w:rsidR="003B6E11" w:rsidRPr="003B6E11" w:rsidRDefault="003B6E11" w:rsidP="003B6E11">
      <w:pPr>
        <w:adjustRightInd w:val="0"/>
        <w:spacing w:line="240" w:lineRule="atLeast"/>
        <w:ind w:left="709" w:hanging="709"/>
        <w:rPr>
          <w:rFonts w:eastAsia="Calibri" w:cs="Arial"/>
          <w:szCs w:val="20"/>
          <w:lang w:val="cs-CZ"/>
        </w:rPr>
      </w:pPr>
    </w:p>
    <w:p w:rsidR="003B6E11" w:rsidRPr="003B6E11" w:rsidRDefault="003B6E11" w:rsidP="003B6E11">
      <w:pPr>
        <w:pStyle w:val="Esann8chgras"/>
        <w:rPr>
          <w:rFonts w:eastAsia="Calibri"/>
          <w:lang w:val="cs-CZ"/>
        </w:rPr>
      </w:pPr>
      <w:r w:rsidRPr="003B6E11">
        <w:rPr>
          <w:lang w:val="cs-CZ"/>
        </w:rPr>
        <w:t>1.6</w:t>
      </w:r>
      <w:r w:rsidRPr="003B6E11">
        <w:rPr>
          <w:lang w:val="cs-CZ"/>
        </w:rPr>
        <w:tab/>
        <w:t>Značení</w:t>
      </w:r>
    </w:p>
    <w:p w:rsidR="003B6E11" w:rsidRPr="003B6E11" w:rsidRDefault="003B6E11" w:rsidP="003B6E11">
      <w:pPr>
        <w:adjustRightInd w:val="0"/>
        <w:spacing w:line="240" w:lineRule="atLeast"/>
        <w:ind w:left="709" w:hanging="709"/>
        <w:rPr>
          <w:rFonts w:eastAsia="Calibri" w:cs="Arial"/>
          <w:b/>
          <w:szCs w:val="20"/>
          <w:lang w:val="cs-CZ"/>
        </w:rPr>
      </w:pPr>
    </w:p>
    <w:p w:rsidR="003B6E11" w:rsidRPr="003B6E11" w:rsidRDefault="003B6E11" w:rsidP="003B6E11">
      <w:pPr>
        <w:pStyle w:val="Esann8chpar"/>
        <w:rPr>
          <w:lang w:val="cs-CZ"/>
        </w:rPr>
      </w:pPr>
      <w:r w:rsidRPr="003B6E11">
        <w:rPr>
          <w:lang w:val="cs-CZ"/>
        </w:rPr>
        <w:t>Dveře do místností, kde je používán zkapalněný zemní plyn (LNG), musí být zvenčí označeny symbolem „Pozor, zkapalněný zemní plyn“ podle obrázku 11 v příloze 4 o výšce alespoň 10 cm.</w:t>
      </w:r>
    </w:p>
    <w:p w:rsidR="003B6E11" w:rsidRPr="003B6E11" w:rsidRDefault="003B6E11" w:rsidP="003B6E11">
      <w:pPr>
        <w:adjustRightInd w:val="0"/>
        <w:spacing w:line="240" w:lineRule="atLeast"/>
        <w:ind w:left="709" w:hanging="709"/>
        <w:rPr>
          <w:rFonts w:eastAsia="Calibri" w:cs="Arial"/>
          <w:szCs w:val="20"/>
          <w:lang w:val="cs-CZ"/>
        </w:rPr>
      </w:pPr>
    </w:p>
    <w:p w:rsidR="003B6E11" w:rsidRPr="003B6E11" w:rsidRDefault="003B6E11" w:rsidP="003B6E11">
      <w:pPr>
        <w:rPr>
          <w:rFonts w:cs="Arial"/>
          <w:b/>
          <w:szCs w:val="20"/>
          <w:lang w:val="cs-CZ"/>
        </w:rPr>
      </w:pPr>
    </w:p>
    <w:p w:rsidR="003B6E11" w:rsidRPr="003B6E11" w:rsidRDefault="003B6E11" w:rsidP="003B6E11">
      <w:pPr>
        <w:pStyle w:val="Esann8titrechap"/>
        <w:rPr>
          <w:lang w:val="cs-CZ"/>
        </w:rPr>
      </w:pPr>
      <w:r w:rsidRPr="003B6E11">
        <w:rPr>
          <w:lang w:val="cs-CZ"/>
        </w:rPr>
        <w:t xml:space="preserve">Kapitola 2 </w:t>
      </w:r>
    </w:p>
    <w:p w:rsidR="003B6E11" w:rsidRPr="003B6E11" w:rsidRDefault="003B6E11" w:rsidP="003B6E11">
      <w:pPr>
        <w:pStyle w:val="Esann8titrechap"/>
        <w:rPr>
          <w:lang w:val="cs-CZ"/>
        </w:rPr>
      </w:pPr>
      <w:r w:rsidRPr="003B6E11">
        <w:rPr>
          <w:lang w:val="cs-CZ"/>
        </w:rPr>
        <w:t>Úprava lodi a koncepce systému</w:t>
      </w:r>
    </w:p>
    <w:p w:rsidR="003B6E11" w:rsidRPr="003B6E11" w:rsidRDefault="003B6E11" w:rsidP="003B6E11">
      <w:pPr>
        <w:pStyle w:val="Esannch"/>
      </w:pPr>
    </w:p>
    <w:p w:rsidR="003B6E11" w:rsidRPr="003B6E11" w:rsidRDefault="003B6E11" w:rsidP="003B6E11">
      <w:pPr>
        <w:pStyle w:val="Esann8chgras"/>
        <w:rPr>
          <w:lang w:val="cs-CZ"/>
        </w:rPr>
      </w:pPr>
      <w:r w:rsidRPr="003B6E11">
        <w:rPr>
          <w:lang w:val="cs-CZ"/>
        </w:rPr>
        <w:t>2.1</w:t>
      </w:r>
      <w:r w:rsidRPr="003B6E11">
        <w:rPr>
          <w:lang w:val="cs-CZ"/>
        </w:rPr>
        <w:tab/>
        <w:t xml:space="preserve">Systém uložení LNG </w:t>
      </w:r>
    </w:p>
    <w:p w:rsidR="003B6E11" w:rsidRPr="003B6E11" w:rsidRDefault="003B6E11" w:rsidP="003B6E11">
      <w:pPr>
        <w:adjustRightInd w:val="0"/>
        <w:spacing w:line="240" w:lineRule="atLeast"/>
        <w:ind w:left="709" w:hanging="709"/>
        <w:rPr>
          <w:rFonts w:eastAsia="Calibri" w:cs="Arial"/>
          <w:szCs w:val="20"/>
          <w:lang w:val="cs-CZ"/>
        </w:rPr>
      </w:pPr>
    </w:p>
    <w:p w:rsidR="003B6E11" w:rsidRPr="003B6E11" w:rsidRDefault="003B6E11" w:rsidP="003B6E11">
      <w:pPr>
        <w:pStyle w:val="Esann8ch"/>
        <w:rPr>
          <w:lang w:val="cs-CZ"/>
        </w:rPr>
      </w:pPr>
      <w:r w:rsidRPr="003B6E11">
        <w:rPr>
          <w:lang w:val="cs-CZ"/>
        </w:rPr>
        <w:t>2.1.1</w:t>
      </w:r>
      <w:r w:rsidRPr="003B6E11">
        <w:rPr>
          <w:lang w:val="cs-CZ"/>
        </w:rPr>
        <w:tab/>
        <w:t>Systém uložení LNG musí být oddělen od strojoven či jiných prostor s vysokým rizikem požáru.</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2.1.2</w:t>
      </w:r>
      <w:r w:rsidRPr="003B6E11">
        <w:rPr>
          <w:lang w:val="cs-CZ"/>
        </w:rPr>
        <w:tab/>
        <w:t>Nádrže na LNG musí být umístěny co nejblíže podélné ose plavidla.</w:t>
      </w:r>
    </w:p>
    <w:p w:rsidR="003B6E11" w:rsidRPr="003B6E11" w:rsidRDefault="003B6E11" w:rsidP="003B6E11">
      <w:pPr>
        <w:pStyle w:val="Esann8ch"/>
        <w:rPr>
          <w:lang w:val="cs-CZ"/>
        </w:rPr>
      </w:pPr>
    </w:p>
    <w:p w:rsidR="003B6E11" w:rsidRPr="003B6E11" w:rsidRDefault="003B6E11" w:rsidP="003B6E11">
      <w:pPr>
        <w:rPr>
          <w:rFonts w:eastAsia="Calibri" w:cs="Arial"/>
          <w:color w:val="000000"/>
          <w:szCs w:val="20"/>
          <w:lang w:val="cs-CZ"/>
        </w:rPr>
      </w:pPr>
      <w:r w:rsidRPr="003B6E11">
        <w:rPr>
          <w:lang w:val="cs-CZ"/>
        </w:rPr>
        <w:br w:type="page"/>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 xml:space="preserve">2.1.3 </w:t>
      </w:r>
      <w:r w:rsidRPr="003B6E11">
        <w:rPr>
          <w:lang w:val="cs-CZ"/>
        </w:rPr>
        <w:tab/>
        <w:t>Vzdálenost mezi stěnou plavidla a nádrží na LNG nesmí být menší než 1,00 m. Jsou-li nádrže umístěny:</w:t>
      </w:r>
    </w:p>
    <w:p w:rsidR="003B6E11" w:rsidRPr="003B6E11" w:rsidRDefault="003B6E11" w:rsidP="003B6E11">
      <w:pPr>
        <w:pStyle w:val="Esann8let"/>
        <w:rPr>
          <w:lang w:val="cs-CZ"/>
        </w:rPr>
      </w:pPr>
      <w:r w:rsidRPr="003B6E11">
        <w:rPr>
          <w:lang w:val="cs-CZ"/>
        </w:rPr>
        <w:t>a)</w:t>
      </w:r>
      <w:r w:rsidRPr="003B6E11">
        <w:rPr>
          <w:lang w:val="cs-CZ"/>
        </w:rPr>
        <w:tab/>
        <w:t xml:space="preserve">pod palubou, musí mít plavidlo v místě, kde jsou instalovány nádrže na LNG, dvojitou stěnu a dvojité dno. Vzdálenost mezi vnější a vnitřní stěnou plavidla nesmí být menší než 0,60 m. Hloubka dvojitého dna nesmí být menší než 0,60 m. </w:t>
      </w:r>
    </w:p>
    <w:p w:rsidR="003B6E11" w:rsidRPr="003B6E11" w:rsidRDefault="003B6E11" w:rsidP="003B6E11">
      <w:pPr>
        <w:pStyle w:val="Esann8let"/>
        <w:rPr>
          <w:lang w:val="cs-CZ"/>
        </w:rPr>
      </w:pPr>
      <w:r w:rsidRPr="003B6E11">
        <w:rPr>
          <w:lang w:val="cs-CZ"/>
        </w:rPr>
        <w:t>b)</w:t>
      </w:r>
      <w:r w:rsidRPr="003B6E11">
        <w:rPr>
          <w:lang w:val="cs-CZ"/>
        </w:rPr>
        <w:tab/>
        <w:t xml:space="preserve">na otevřené palubě musí být vzdálenost alespoň B/5 od svislých rovin určených boky plavidla.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2.1.4</w:t>
      </w:r>
      <w:r w:rsidRPr="003B6E11">
        <w:rPr>
          <w:lang w:val="cs-CZ"/>
        </w:rPr>
        <w:tab/>
        <w:t>Nádrž na LNG je nezávislá nádrž konstruovaná podle evropských norem EN 13530:2002, EN 13458-2:2002 v kombinaci s dynamickými zatíženími, nebo podle předpisu IGC (nádrž typu C). Subjekt pověřený prohlídkami může akceptovat jiné rovnocenné normy některého ze států ležících na Rýně a Belgie.</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2.1.5</w:t>
      </w:r>
      <w:r w:rsidRPr="003B6E11">
        <w:rPr>
          <w:lang w:val="cs-CZ"/>
        </w:rPr>
        <w:tab/>
        <w:t xml:space="preserve">Nádržové přípojky se instalují nad nejvyšší hladinou kapaliny v nádržích. Subjekt pověřený prohlídkami může akceptovat přípojky pod nejvyšší hladinou kapaliny.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2.1.6</w:t>
      </w:r>
      <w:r w:rsidRPr="003B6E11">
        <w:rPr>
          <w:lang w:val="cs-CZ"/>
        </w:rPr>
        <w:tab/>
        <w:t>Pokud jsou nádržové přípojky instalovány pod nejvyšší hladinou kapaliny v nádržích na LNG, musí být pod nádržemi instalovány odkapávací vany, které splňují následující požadavky:</w:t>
      </w:r>
    </w:p>
    <w:p w:rsidR="003B6E11" w:rsidRPr="003B6E11" w:rsidRDefault="003B6E11" w:rsidP="003B6E11">
      <w:pPr>
        <w:pStyle w:val="Esann8let"/>
        <w:rPr>
          <w:lang w:val="cs-CZ"/>
        </w:rPr>
      </w:pPr>
      <w:r w:rsidRPr="003B6E11">
        <w:rPr>
          <w:lang w:val="cs-CZ"/>
        </w:rPr>
        <w:t>a)</w:t>
      </w:r>
      <w:r w:rsidRPr="003B6E11">
        <w:rPr>
          <w:lang w:val="cs-CZ"/>
        </w:rPr>
        <w:tab/>
        <w:t>kapacita odkapávací vany musí být dostatečná, aby zachytila objem kapaliny, který by mohl uniknout v případě selhání přípojky potrubí;</w:t>
      </w:r>
    </w:p>
    <w:p w:rsidR="003B6E11" w:rsidRPr="003B6E11" w:rsidRDefault="003B6E11" w:rsidP="003B6E11">
      <w:pPr>
        <w:pStyle w:val="Esann8let"/>
        <w:rPr>
          <w:lang w:val="cs-CZ"/>
        </w:rPr>
      </w:pPr>
      <w:r w:rsidRPr="003B6E11">
        <w:rPr>
          <w:lang w:val="cs-CZ"/>
        </w:rPr>
        <w:t>b)</w:t>
      </w:r>
      <w:r w:rsidRPr="003B6E11">
        <w:rPr>
          <w:lang w:val="cs-CZ"/>
        </w:rPr>
        <w:tab/>
        <w:t xml:space="preserve">odkapávací vana musí být vyrobena z vhodné nerezavějící oceli; </w:t>
      </w:r>
    </w:p>
    <w:p w:rsidR="003B6E11" w:rsidRPr="003B6E11" w:rsidRDefault="003B6E11" w:rsidP="003B6E11">
      <w:pPr>
        <w:pStyle w:val="Esann8let"/>
        <w:rPr>
          <w:lang w:val="cs-CZ"/>
        </w:rPr>
      </w:pPr>
      <w:r w:rsidRPr="003B6E11">
        <w:rPr>
          <w:lang w:val="cs-CZ"/>
        </w:rPr>
        <w:t>c)</w:t>
      </w:r>
      <w:r w:rsidRPr="003B6E11">
        <w:rPr>
          <w:lang w:val="cs-CZ"/>
        </w:rPr>
        <w:tab/>
        <w:t>odkapávací vana musí být dostatečně oddělena nebo izolována od konstrukce trupu nebo paluby, aby v případě úniku zkapalněného zemního plynu (LNG) nedocházelo k jejich nepřípustnému ochlazování.</w:t>
      </w:r>
    </w:p>
    <w:p w:rsidR="003B6E11" w:rsidRPr="003B6E11" w:rsidRDefault="003B6E11" w:rsidP="003B6E11">
      <w:pPr>
        <w:pStyle w:val="Esann8ch"/>
        <w:rPr>
          <w:lang w:val="cs-CZ"/>
        </w:rPr>
      </w:pP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2.1.7</w:t>
      </w:r>
      <w:r w:rsidRPr="003B6E11">
        <w:rPr>
          <w:lang w:val="cs-CZ"/>
        </w:rPr>
        <w:tab/>
        <w:t>Systém uložení LNG musí být vybaven sekundární bariérou. Sekundární bariérou vybaven být nemusí, pokud je pravděpodobnost konstrukčního selhání a úniků paliva skrz primární bariéru extrémně nízká a zanedbatelná.</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2.1.8</w:t>
      </w:r>
      <w:r w:rsidRPr="003B6E11">
        <w:rPr>
          <w:lang w:val="cs-CZ"/>
        </w:rPr>
        <w:tab/>
        <w:t>Je-li sekundární bariéra systému uložení LNG součástí konstrukce trupu plavidla, může tvořit hranici místnosti s nádrží za předpokladu, že jsou přijata opatření proti úniku kryogenních kapalin z palivové místnosti.</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2.1.9</w:t>
      </w:r>
      <w:r w:rsidRPr="003B6E11">
        <w:rPr>
          <w:lang w:val="cs-CZ"/>
        </w:rPr>
        <w:tab/>
        <w:t>Je-li systém uložení LNG a další příslušenství instalováno na otevřené palubě, musí být umístěny a konstruovány tak, aby bylo zajištěno dostatečné odvětrávání. Nesmí docházet k hromadění uniklého zemního plynu.</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2.1.10</w:t>
      </w:r>
      <w:r w:rsidRPr="003B6E11">
        <w:rPr>
          <w:lang w:val="cs-CZ"/>
        </w:rPr>
        <w:tab/>
        <w:t xml:space="preserve">Pokud by kondenzací a tvořením ledu na studených částech nádrží na LNG mělo docházet k bezpečnostním nebo funkčním problémům, musí být přijata vhodná preventivní nebo nápravná opatření.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2.1.11</w:t>
      </w:r>
      <w:r w:rsidRPr="003B6E11">
        <w:rPr>
          <w:lang w:val="cs-CZ"/>
        </w:rPr>
        <w:tab/>
        <w:t xml:space="preserve">Každá nádrž na LNG musí být vybavena alespoň dvěma přetlakovými ventily, které mohou zabránit přetlaku, pro případ, že by jeden z ventilů byl uzavřen kvůli poruše, úniku nebo údržbě.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br w:type="page"/>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2.1.12</w:t>
      </w:r>
      <w:r w:rsidRPr="003B6E11">
        <w:rPr>
          <w:lang w:val="cs-CZ"/>
        </w:rPr>
        <w:tab/>
        <w:t xml:space="preserve">Pokud nelze vyloučit únik paliva do vakuového prostoru vakuově izolované nádrže na LNG, musí být tento vakuový prostor chráněn přetlakovým ventilem. Pokud jsou nádrže na LNG umístěny v uzavřených nebo polouzavřených místnostech, musí být přetlakové zařízení připojeno k větracímu systému.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2.1.13</w:t>
      </w:r>
      <w:r w:rsidRPr="003B6E11">
        <w:rPr>
          <w:lang w:val="cs-CZ"/>
        </w:rPr>
        <w:tab/>
        <w:t>Vývody přetlakových ventilů musí být umístěny alespoň 2,00 m nad palubou ve vzdálenosti alespoň 6,00 mm od obytných prostor, prostor pro cestující a pracovních stanic umístěných mimo podpalubních nákladových prostorů. Tato výška může být nižší, pokud se v okruhu 1,00 m od vývodu přetlakového ventilu nenachází žádné zařízení a neprovádí se žádné práce, pokud je prostor označen a pokud jsou přijata vhodná opatření na ochranu paluby.</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2.1.14</w:t>
      </w:r>
      <w:r w:rsidRPr="003B6E11">
        <w:rPr>
          <w:lang w:val="cs-CZ"/>
        </w:rPr>
        <w:tab/>
        <w:t>Musí být možné bezpečně vyprázdnit nádrže na LNG i v případě, že je systém LNG odstaven.</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2.1.15</w:t>
      </w:r>
      <w:r w:rsidRPr="003B6E11">
        <w:rPr>
          <w:lang w:val="cs-CZ"/>
        </w:rPr>
        <w:tab/>
        <w:t>Musí být možné odčerpat plyn a vyvětrat nádrž na LNG i potrubní systém. Před vyvětráním suchým vzduchem musí být možné provést inertizaci inertním plynem (např. dusíkem nebo argonem), aby se vyloučilo riziko výbušné nebezpečné atmosféry uvnitř nádrží na LNG a v potrubí.</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2.1.16</w:t>
      </w:r>
      <w:r w:rsidRPr="003B6E11">
        <w:rPr>
          <w:lang w:val="cs-CZ"/>
        </w:rPr>
        <w:tab/>
        <w:t xml:space="preserve">V nádržích na LNG musí být neustále udržován tlak a teplota v rozmezí, pro které byly konstruovány.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2.1.17</w:t>
      </w:r>
      <w:r w:rsidRPr="003B6E11">
        <w:rPr>
          <w:lang w:val="cs-CZ"/>
        </w:rPr>
        <w:tab/>
        <w:t xml:space="preserve">Dojde-li k vypnutí systému LNG, tlak v nádrži na LNG musí být po dobu 15 dní udržován pod maximálním pracovním tlakem nádrže. Předpokládá se, že nádrž na LNG byla naplněna na maximální naplnění podle bodu 2.9 a že plavidlo je v režimu volnoběhu.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2.1.18</w:t>
      </w:r>
      <w:r w:rsidRPr="003B6E11">
        <w:rPr>
          <w:lang w:val="cs-CZ"/>
        </w:rPr>
        <w:tab/>
        <w:t>Nádrže na LNG musí být vodivě spojeny s konstrukcí plavidla.</w:t>
      </w:r>
    </w:p>
    <w:p w:rsidR="003B6E11" w:rsidRPr="003B6E11" w:rsidRDefault="003B6E11" w:rsidP="003B6E11">
      <w:pPr>
        <w:pStyle w:val="Esann8ch"/>
        <w:rPr>
          <w:b/>
          <w:bCs/>
          <w:lang w:val="cs-CZ"/>
        </w:rPr>
      </w:pPr>
    </w:p>
    <w:p w:rsidR="003B6E11" w:rsidRPr="003B6E11" w:rsidRDefault="003B6E11" w:rsidP="003B6E11">
      <w:pPr>
        <w:pStyle w:val="Esann8chgras"/>
        <w:rPr>
          <w:i/>
          <w:lang w:val="cs-CZ"/>
        </w:rPr>
      </w:pPr>
      <w:r w:rsidRPr="003B6E11">
        <w:rPr>
          <w:lang w:val="cs-CZ"/>
        </w:rPr>
        <w:t>2.2</w:t>
      </w:r>
      <w:r w:rsidRPr="003B6E11">
        <w:rPr>
          <w:lang w:val="cs-CZ"/>
        </w:rPr>
        <w:tab/>
        <w:t>Strojovny</w:t>
      </w:r>
    </w:p>
    <w:p w:rsidR="003B6E11" w:rsidRPr="003B6E11" w:rsidRDefault="003B6E11" w:rsidP="003B6E11">
      <w:pPr>
        <w:pStyle w:val="Esann8ch"/>
        <w:rPr>
          <w:b/>
          <w:bCs/>
          <w:lang w:val="cs-CZ"/>
        </w:rPr>
      </w:pPr>
    </w:p>
    <w:p w:rsidR="003B6E11" w:rsidRPr="003B6E11" w:rsidRDefault="003B6E11" w:rsidP="003B6E11">
      <w:pPr>
        <w:pStyle w:val="Esann8ch"/>
        <w:rPr>
          <w:lang w:val="cs-CZ"/>
        </w:rPr>
      </w:pPr>
      <w:r w:rsidRPr="003B6E11">
        <w:rPr>
          <w:lang w:val="cs-CZ"/>
        </w:rPr>
        <w:t>2.2.1</w:t>
      </w:r>
      <w:r w:rsidRPr="003B6E11">
        <w:rPr>
          <w:lang w:val="cs-CZ"/>
        </w:rPr>
        <w:tab/>
        <w:t xml:space="preserve">Strojovny musí vyhovovat jedné z těchto koncepcí: </w:t>
      </w:r>
    </w:p>
    <w:p w:rsidR="003B6E11" w:rsidRPr="003B6E11" w:rsidRDefault="003B6E11" w:rsidP="003B6E11">
      <w:pPr>
        <w:pStyle w:val="Esann8let"/>
        <w:rPr>
          <w:lang w:val="cs-CZ"/>
        </w:rPr>
      </w:pPr>
      <w:r w:rsidRPr="003B6E11">
        <w:rPr>
          <w:lang w:val="cs-CZ"/>
        </w:rPr>
        <w:t xml:space="preserve">a) </w:t>
      </w:r>
      <w:r w:rsidRPr="003B6E11">
        <w:rPr>
          <w:lang w:val="cs-CZ"/>
        </w:rPr>
        <w:tab/>
        <w:t xml:space="preserve">plynu odolná strojovna; </w:t>
      </w:r>
    </w:p>
    <w:p w:rsidR="003B6E11" w:rsidRPr="003B6E11" w:rsidRDefault="003B6E11" w:rsidP="003B6E11">
      <w:pPr>
        <w:pStyle w:val="Esann8let"/>
        <w:rPr>
          <w:lang w:val="cs-CZ"/>
        </w:rPr>
      </w:pPr>
      <w:r w:rsidRPr="003B6E11">
        <w:rPr>
          <w:lang w:val="cs-CZ"/>
        </w:rPr>
        <w:t xml:space="preserve">b) </w:t>
      </w:r>
      <w:r w:rsidRPr="003B6E11">
        <w:rPr>
          <w:lang w:val="cs-CZ"/>
        </w:rPr>
        <w:tab/>
        <w:t xml:space="preserve">výbuchu odolná strojovna nebo </w:t>
      </w:r>
    </w:p>
    <w:p w:rsidR="003B6E11" w:rsidRPr="003B6E11" w:rsidRDefault="003B6E11" w:rsidP="003B6E11">
      <w:pPr>
        <w:pStyle w:val="Esann8let"/>
        <w:rPr>
          <w:lang w:val="cs-CZ"/>
        </w:rPr>
      </w:pPr>
      <w:r w:rsidRPr="003B6E11">
        <w:rPr>
          <w:lang w:val="cs-CZ"/>
        </w:rPr>
        <w:t xml:space="preserve">c) </w:t>
      </w:r>
      <w:r w:rsidRPr="003B6E11">
        <w:rPr>
          <w:lang w:val="cs-CZ"/>
        </w:rPr>
        <w:tab/>
        <w:t>strojovna chráněná nouzovým odstavením.</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2.2.2</w:t>
      </w:r>
      <w:r w:rsidRPr="003B6E11">
        <w:rPr>
          <w:lang w:val="cs-CZ"/>
        </w:rPr>
        <w:tab/>
        <w:t>Požadavky na plynu odolné strojovny</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2.2.2.1</w:t>
      </w:r>
      <w:r w:rsidRPr="003B6E11">
        <w:rPr>
          <w:lang w:val="cs-CZ"/>
        </w:rPr>
        <w:tab/>
        <w:t xml:space="preserve">Plynu odolné strojovny musí být odolné proti plynu za všech podmínek („svojí podstatou odolné plynu“). Jedna porucha v systému LNG nesmí vést k úniku plynu do strojovny. Veškeré plynové potrubí uvnitř strojovny musí být uzavřeno v plynotěsném obalu, např. v dvoustěnné trubce nebo ventilované rouře.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2.2.2.2</w:t>
      </w:r>
      <w:r w:rsidRPr="003B6E11">
        <w:rPr>
          <w:lang w:val="cs-CZ"/>
        </w:rPr>
        <w:tab/>
        <w:t xml:space="preserve">Pokud jedna bariéra selže, přívod plynu do příslušné části systému LNG musí být automaticky uzavřen. </w:t>
      </w:r>
    </w:p>
    <w:p w:rsidR="003B6E11" w:rsidRPr="003B6E11" w:rsidRDefault="003B6E11" w:rsidP="003B6E11">
      <w:pPr>
        <w:pStyle w:val="Esann8ch"/>
        <w:rPr>
          <w:lang w:val="cs-CZ"/>
        </w:rPr>
      </w:pPr>
    </w:p>
    <w:p w:rsidR="003B6E11" w:rsidRPr="003B6E11" w:rsidRDefault="003B6E11" w:rsidP="003B6E11">
      <w:pPr>
        <w:rPr>
          <w:rFonts w:eastAsia="Calibri" w:cs="Arial"/>
          <w:color w:val="000000"/>
          <w:szCs w:val="20"/>
          <w:lang w:val="cs-CZ"/>
        </w:rPr>
      </w:pPr>
      <w:r w:rsidRPr="003B6E11">
        <w:rPr>
          <w:lang w:val="cs-CZ"/>
        </w:rPr>
        <w:br w:type="page"/>
      </w:r>
    </w:p>
    <w:p w:rsidR="003B6E11" w:rsidRPr="003B6E11" w:rsidRDefault="003B6E11" w:rsidP="003B6E11">
      <w:pPr>
        <w:pStyle w:val="Esann8ch"/>
        <w:rPr>
          <w:lang w:val="cs-CZ"/>
        </w:rPr>
      </w:pPr>
    </w:p>
    <w:p w:rsidR="003B6E11" w:rsidRPr="003B6E11" w:rsidRDefault="003B6E11" w:rsidP="003B6E11">
      <w:pPr>
        <w:pStyle w:val="Esann8ch"/>
        <w:rPr>
          <w:bCs/>
          <w:lang w:val="cs-CZ"/>
        </w:rPr>
      </w:pPr>
      <w:r w:rsidRPr="003B6E11">
        <w:rPr>
          <w:lang w:val="cs-CZ"/>
        </w:rPr>
        <w:t>2.2.2.3</w:t>
      </w:r>
      <w:r w:rsidRPr="003B6E11">
        <w:rPr>
          <w:lang w:val="cs-CZ"/>
        </w:rPr>
        <w:tab/>
        <w:t>Ventilační systém ventilované roury musí:</w:t>
      </w:r>
    </w:p>
    <w:p w:rsidR="003B6E11" w:rsidRPr="003B6E11" w:rsidRDefault="003B6E11" w:rsidP="003B6E11">
      <w:pPr>
        <w:pStyle w:val="Esann8let"/>
        <w:rPr>
          <w:lang w:val="cs-CZ"/>
        </w:rPr>
      </w:pPr>
      <w:r w:rsidRPr="003B6E11">
        <w:rPr>
          <w:lang w:val="cs-CZ"/>
        </w:rPr>
        <w:t>a)</w:t>
      </w:r>
      <w:r w:rsidRPr="003B6E11">
        <w:rPr>
          <w:lang w:val="cs-CZ"/>
        </w:rPr>
        <w:tab/>
        <w:t>mít dostatečnou kapacitu na to, aby se hrubý objem vzduchu uvnitř ventilované roury vyměnil alespoň 30krát za hodinu;</w:t>
      </w:r>
    </w:p>
    <w:p w:rsidR="003B6E11" w:rsidRPr="003B6E11" w:rsidRDefault="003B6E11" w:rsidP="003B6E11">
      <w:pPr>
        <w:pStyle w:val="Esann8let"/>
        <w:rPr>
          <w:lang w:val="cs-CZ"/>
        </w:rPr>
      </w:pPr>
      <w:r w:rsidRPr="003B6E11">
        <w:rPr>
          <w:lang w:val="cs-CZ"/>
        </w:rPr>
        <w:t>b)</w:t>
      </w:r>
      <w:r w:rsidRPr="003B6E11">
        <w:rPr>
          <w:lang w:val="cs-CZ"/>
        </w:rPr>
        <w:tab/>
        <w:t>být vybaven kontinuální detekcí plynu v prostoru mezi vnitřními a vnějšími trubkami;</w:t>
      </w:r>
    </w:p>
    <w:p w:rsidR="003B6E11" w:rsidRPr="003B6E11" w:rsidRDefault="003B6E11" w:rsidP="003B6E11">
      <w:pPr>
        <w:pStyle w:val="Esann8let"/>
        <w:rPr>
          <w:lang w:val="cs-CZ"/>
        </w:rPr>
      </w:pPr>
      <w:r w:rsidRPr="003B6E11">
        <w:rPr>
          <w:lang w:val="cs-CZ"/>
        </w:rPr>
        <w:t>c)</w:t>
      </w:r>
      <w:r w:rsidRPr="003B6E11">
        <w:rPr>
          <w:lang w:val="cs-CZ"/>
        </w:rPr>
        <w:tab/>
        <w:t>být nezávislý na jiných ventilačních systémech, zejména na ventilačním systému strojovny.</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2.2.2.4</w:t>
      </w:r>
      <w:r w:rsidRPr="003B6E11">
        <w:rPr>
          <w:lang w:val="cs-CZ"/>
        </w:rPr>
        <w:tab/>
        <w:t>Pokud posouzení rizika podle bodu 1.3 neprokáže jinak, považuje se plynu odolná strojovna za bezpečný prostor.</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2.2.3</w:t>
      </w:r>
      <w:r w:rsidRPr="003B6E11">
        <w:rPr>
          <w:lang w:val="cs-CZ"/>
        </w:rPr>
        <w:tab/>
        <w:t>Požadavky na výbuchu odolné strojovny</w:t>
      </w:r>
    </w:p>
    <w:p w:rsidR="003B6E11" w:rsidRPr="003B6E11" w:rsidRDefault="003B6E11" w:rsidP="003B6E11">
      <w:pPr>
        <w:pStyle w:val="Esann8ch"/>
        <w:rPr>
          <w:i/>
          <w:lang w:val="cs-CZ"/>
        </w:rPr>
      </w:pPr>
    </w:p>
    <w:p w:rsidR="003B6E11" w:rsidRPr="003B6E11" w:rsidRDefault="003B6E11" w:rsidP="003B6E11">
      <w:pPr>
        <w:pStyle w:val="Esann8ch"/>
        <w:rPr>
          <w:lang w:val="cs-CZ"/>
        </w:rPr>
      </w:pPr>
      <w:r w:rsidRPr="003B6E11">
        <w:rPr>
          <w:lang w:val="cs-CZ"/>
        </w:rPr>
        <w:t>2.2.3.1</w:t>
      </w:r>
      <w:r w:rsidRPr="003B6E11">
        <w:rPr>
          <w:lang w:val="cs-CZ"/>
        </w:rPr>
        <w:tab/>
        <w:t xml:space="preserve">Úprava výbuchu odolných strojoven musí být taková, aby tyto místnosti mohly být považovány za plynu odolné za běžných podmínek. Jedna porucha v systému LNG nesmí vést ke koncentraci plynu ve strojovně vyšší než 20 % spodní meze výbušnosti (LEL).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2.2.3.2</w:t>
      </w:r>
      <w:r w:rsidRPr="003B6E11">
        <w:rPr>
          <w:lang w:val="cs-CZ"/>
        </w:rPr>
        <w:tab/>
        <w:t>Pokud je detekován plyn nebo pokud selže ventilační systém, přívod plynu do příslušné části systému LNG musí být automaticky uzavřen.</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2.2.3.3</w:t>
      </w:r>
      <w:r w:rsidRPr="003B6E11">
        <w:rPr>
          <w:lang w:val="cs-CZ"/>
        </w:rPr>
        <w:tab/>
        <w:t>Ventilační systém musí:</w:t>
      </w:r>
    </w:p>
    <w:p w:rsidR="003B6E11" w:rsidRPr="003B6E11" w:rsidRDefault="003B6E11" w:rsidP="003B6E11">
      <w:pPr>
        <w:pStyle w:val="Esann8let"/>
        <w:rPr>
          <w:lang w:val="cs-CZ"/>
        </w:rPr>
      </w:pPr>
      <w:r w:rsidRPr="003B6E11">
        <w:rPr>
          <w:lang w:val="cs-CZ"/>
        </w:rPr>
        <w:t>a)</w:t>
      </w:r>
      <w:r w:rsidRPr="003B6E11">
        <w:rPr>
          <w:lang w:val="cs-CZ"/>
        </w:rPr>
        <w:tab/>
        <w:t>mít dostatečnou kapacitu na to, aby se koncentrace plynu ve strojovně udržela pod 20 % LEL a aby se hrubý objem vzduchu uvnitř strojovny vyměnil alespoň 30krát za hodinu;</w:t>
      </w:r>
    </w:p>
    <w:p w:rsidR="003B6E11" w:rsidRPr="003B6E11" w:rsidRDefault="003B6E11" w:rsidP="003B6E11">
      <w:pPr>
        <w:pStyle w:val="Esann8let"/>
        <w:rPr>
          <w:lang w:val="cs-CZ"/>
        </w:rPr>
      </w:pPr>
      <w:r w:rsidRPr="003B6E11">
        <w:rPr>
          <w:lang w:val="cs-CZ"/>
        </w:rPr>
        <w:t>b)</w:t>
      </w:r>
      <w:r w:rsidRPr="003B6E11">
        <w:rPr>
          <w:lang w:val="cs-CZ"/>
        </w:rPr>
        <w:tab/>
        <w:t>být nezávislý na jiných ventilačních systémech.</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2.2.3.4</w:t>
      </w:r>
      <w:r w:rsidRPr="003B6E11">
        <w:rPr>
          <w:lang w:val="cs-CZ"/>
        </w:rPr>
        <w:tab/>
        <w:t xml:space="preserve">Za běžného provozu musí být strojovna trvale odvětrávána tak, aby se hrubý objem vzduchu ve strojovně vyměnil alespoň 15krát za hodinu.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2.2.3.5</w:t>
      </w:r>
      <w:r w:rsidRPr="003B6E11">
        <w:rPr>
          <w:lang w:val="cs-CZ"/>
        </w:rPr>
        <w:tab/>
        <w:t>Výbuchu odolné strojovny musí být navrženy tak, aby jejich geometrický tvar minimalizoval hromadění plynů nebo tvorbu plynových kapes. Musí být zajištěna dobrá cirkulace vzduchu.</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2.2.3.6</w:t>
      </w:r>
      <w:r w:rsidRPr="003B6E11">
        <w:rPr>
          <w:lang w:val="cs-CZ"/>
        </w:rPr>
        <w:tab/>
        <w:t xml:space="preserve">Pokud posouzení rizika podle bodu 1.3 neprokáže jinak, považuje se výbuchu odolná strojovna za zónu 2.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2.2.4</w:t>
      </w:r>
      <w:r w:rsidRPr="003B6E11">
        <w:rPr>
          <w:lang w:val="cs-CZ"/>
        </w:rPr>
        <w:tab/>
        <w:t>Požadavky na strojovny chráněné nouzovým odstavením</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2.2.4.1</w:t>
      </w:r>
      <w:r w:rsidRPr="003B6E11">
        <w:rPr>
          <w:lang w:val="cs-CZ"/>
        </w:rPr>
        <w:tab/>
        <w:t xml:space="preserve">Úprava strojoven chráněných nouzovým odstavením musí být taková, aby tyto místnosti mohly být považovány za plynu odolné za běžných podmínek, ale za jistých abnormálních podmínek by mohly být vystaveny nebezpečí vzniklému přítomností plynu.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2.2.4.2</w:t>
      </w:r>
      <w:r w:rsidRPr="003B6E11">
        <w:rPr>
          <w:lang w:val="cs-CZ"/>
        </w:rPr>
        <w:tab/>
        <w:t xml:space="preserve">V případě abnormálních podmínek, kdy existuje nebezpečí z důvodu přítomnosti plynu, dojde k nouzovému odstavení (ESD) nebezpečného zařízení (zdrojů vznícení) a plynem poháněných strojů, přičemž v provozu za těchto podmínek jsou nebo zůstanou zařízení nebo stroje, která jsou certifikovaného bezpečného typu. </w:t>
      </w:r>
    </w:p>
    <w:p w:rsidR="003B6E11" w:rsidRPr="003B6E11" w:rsidRDefault="003B6E11" w:rsidP="003B6E11">
      <w:pPr>
        <w:pStyle w:val="Esann8ch"/>
        <w:rPr>
          <w:lang w:val="cs-CZ"/>
        </w:rPr>
      </w:pPr>
    </w:p>
    <w:p w:rsidR="003B6E11" w:rsidRPr="003B6E11" w:rsidRDefault="003B6E11" w:rsidP="003B6E11">
      <w:pPr>
        <w:rPr>
          <w:rFonts w:eastAsia="Calibri" w:cs="Arial"/>
          <w:color w:val="000000"/>
          <w:szCs w:val="20"/>
          <w:lang w:val="cs-CZ"/>
        </w:rPr>
      </w:pPr>
      <w:r w:rsidRPr="003B6E11">
        <w:rPr>
          <w:lang w:val="cs-CZ"/>
        </w:rPr>
        <w:br w:type="page"/>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2.2.4.3</w:t>
      </w:r>
      <w:r w:rsidRPr="003B6E11">
        <w:rPr>
          <w:lang w:val="cs-CZ"/>
        </w:rPr>
        <w:tab/>
        <w:t>Ventilační systém musí:</w:t>
      </w:r>
    </w:p>
    <w:p w:rsidR="003B6E11" w:rsidRPr="003B6E11" w:rsidRDefault="003B6E11" w:rsidP="003B6E11">
      <w:pPr>
        <w:pStyle w:val="Esann8let"/>
        <w:rPr>
          <w:lang w:val="cs-CZ"/>
        </w:rPr>
      </w:pPr>
      <w:r w:rsidRPr="003B6E11">
        <w:rPr>
          <w:lang w:val="cs-CZ"/>
        </w:rPr>
        <w:t>a)</w:t>
      </w:r>
      <w:r w:rsidRPr="003B6E11">
        <w:rPr>
          <w:lang w:val="cs-CZ"/>
        </w:rPr>
        <w:tab/>
        <w:t xml:space="preserve">mít dostatečnou kapacitu na to, aby se hrubý objem vzduchu uvnitř strojovny vyměnil alespoň 30krát za hodinu; </w:t>
      </w:r>
    </w:p>
    <w:p w:rsidR="003B6E11" w:rsidRPr="003B6E11" w:rsidRDefault="003B6E11" w:rsidP="003B6E11">
      <w:pPr>
        <w:pStyle w:val="Esann8let"/>
        <w:rPr>
          <w:lang w:val="cs-CZ"/>
        </w:rPr>
      </w:pPr>
      <w:r w:rsidRPr="003B6E11">
        <w:rPr>
          <w:lang w:val="cs-CZ"/>
        </w:rPr>
        <w:t>b)</w:t>
      </w:r>
      <w:r w:rsidRPr="003B6E11">
        <w:rPr>
          <w:lang w:val="cs-CZ"/>
        </w:rPr>
        <w:tab/>
        <w:t>být navržen tak, aby zvládl pravděpodobný scénář maximálního úniku z důvodu technické poruchy, a</w:t>
      </w:r>
    </w:p>
    <w:p w:rsidR="003B6E11" w:rsidRPr="003B6E11" w:rsidRDefault="003B6E11" w:rsidP="003B6E11">
      <w:pPr>
        <w:pStyle w:val="Esann8let"/>
        <w:rPr>
          <w:lang w:val="cs-CZ"/>
        </w:rPr>
      </w:pPr>
      <w:r w:rsidRPr="003B6E11">
        <w:rPr>
          <w:lang w:val="cs-CZ"/>
        </w:rPr>
        <w:t>c)</w:t>
      </w:r>
      <w:r w:rsidRPr="003B6E11">
        <w:rPr>
          <w:lang w:val="cs-CZ"/>
        </w:rPr>
        <w:tab/>
        <w:t>být nezávislý na jiných ventilačních systémech.</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2.2.4.4</w:t>
      </w:r>
      <w:r w:rsidRPr="003B6E11">
        <w:rPr>
          <w:lang w:val="cs-CZ"/>
        </w:rPr>
        <w:tab/>
        <w:t>Za běžného provozu musí být strojovna trvale odvětrávána tak, aby se hrubý objem vzduchu ve strojovně vyměnil alespoň 15krát za hodinu.</w:t>
      </w:r>
    </w:p>
    <w:p w:rsidR="003B6E11" w:rsidRPr="003B6E11" w:rsidRDefault="003B6E11" w:rsidP="003B6E11">
      <w:pPr>
        <w:pStyle w:val="Esann8chpar"/>
        <w:rPr>
          <w:lang w:val="cs-CZ"/>
        </w:rPr>
      </w:pPr>
      <w:r w:rsidRPr="003B6E11">
        <w:rPr>
          <w:lang w:val="cs-CZ"/>
        </w:rPr>
        <w:t xml:space="preserve">Pokud je ve strojovně detekován plyn, zvýší se výměna vzduchu automaticky na 30 objemů za hodinu.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2.2.4.5</w:t>
      </w:r>
      <w:r w:rsidRPr="003B6E11">
        <w:rPr>
          <w:lang w:val="cs-CZ"/>
        </w:rPr>
        <w:tab/>
        <w:t>Je-li plavidlo vybaveno více než jedním pohonným motorem, musí se tyto motory nacházet alespoň ve dvou samostatných strojovnách. Tyto strojovny nesmí mít společné stěny. Společné stěny však mohou mít, pokud lze doložit, že následky jedné poruchy nebudou mít dopad na obě strojovny.</w:t>
      </w:r>
      <w:r w:rsidRPr="003B6E11">
        <w:rPr>
          <w:vertAlign w:val="superscript"/>
          <w:lang w:val="cs-CZ"/>
        </w:rPr>
        <w:t xml:space="preserve">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2.2.4.6</w:t>
      </w:r>
      <w:r w:rsidRPr="003B6E11">
        <w:rPr>
          <w:lang w:val="cs-CZ"/>
        </w:rPr>
        <w:tab/>
        <w:t>Musí být instalováno pevné zařízení pro varování před únikem plynu a nastaveno tak, aby automaticky odstavilo přívod plynu do dotčené strojovny a odpojilo veškeré vybavení nebo instalace nechráněné proti výbuchu.</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2.2.4.7</w:t>
      </w:r>
      <w:r w:rsidRPr="003B6E11">
        <w:rPr>
          <w:lang w:val="cs-CZ"/>
        </w:rPr>
        <w:tab/>
        <w:t>Strojovny chráněné nouzovým odstavením musí být navrženy tak, aby jejich geometrický tvar minimalizoval hromadění plynů nebo tvorbu plynových kapes. Musí být zajištěna dobrá cirkulace vzduchu.</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2.2.4.8</w:t>
      </w:r>
      <w:r w:rsidRPr="003B6E11">
        <w:rPr>
          <w:lang w:val="cs-CZ"/>
        </w:rPr>
        <w:tab/>
        <w:t>Pokud posouzení rizika podle bodu 1.3 neprokáže jinak, považuje se strojovna chráněná nouzovým odstavením za zónu 1.</w:t>
      </w:r>
    </w:p>
    <w:p w:rsidR="003B6E11" w:rsidRPr="003B6E11" w:rsidRDefault="003B6E11" w:rsidP="003B6E11">
      <w:pPr>
        <w:pStyle w:val="Esann8ch"/>
        <w:rPr>
          <w:b/>
          <w:bCs/>
          <w:lang w:val="cs-CZ"/>
        </w:rPr>
      </w:pPr>
    </w:p>
    <w:p w:rsidR="003B6E11" w:rsidRPr="003B6E11" w:rsidRDefault="003B6E11" w:rsidP="003B6E11">
      <w:pPr>
        <w:pStyle w:val="Esann8chgras"/>
        <w:rPr>
          <w:lang w:val="cs-CZ"/>
        </w:rPr>
      </w:pPr>
      <w:r w:rsidRPr="003B6E11">
        <w:rPr>
          <w:lang w:val="cs-CZ"/>
        </w:rPr>
        <w:t>2.3</w:t>
      </w:r>
      <w:r w:rsidRPr="003B6E11">
        <w:rPr>
          <w:lang w:val="cs-CZ"/>
        </w:rPr>
        <w:tab/>
        <w:t xml:space="preserve">Potrubí se zkapalněným zemním plynem (LNG) a zemním plynem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2.3.1</w:t>
      </w:r>
      <w:r w:rsidRPr="003B6E11">
        <w:rPr>
          <w:lang w:val="cs-CZ"/>
        </w:rPr>
        <w:tab/>
        <w:t xml:space="preserve">Potrubí se zkapalněným zemním plynem (LNG) a zemním plynem vedoucí jinými strojovnami nebo bezpečnými uzavřenými prostory plavidla musí být uzavřeno v dvoustěnném potrubí nebo ventilované rouře.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2.3.2</w:t>
      </w:r>
      <w:r w:rsidRPr="003B6E11">
        <w:rPr>
          <w:lang w:val="cs-CZ"/>
        </w:rPr>
        <w:tab/>
        <w:t xml:space="preserve">Potrubí se zkapalněným zemním plynem (LNG) a zemním plynem nesmí být umístěno méně než 1,00 m od boku plavidla a 0,60 m ode dna.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2.3.3</w:t>
      </w:r>
      <w:r w:rsidRPr="003B6E11">
        <w:rPr>
          <w:lang w:val="cs-CZ"/>
        </w:rPr>
        <w:tab/>
        <w:t>Veškeré potrubí a všechny součásti, které lze izolovat ventily systému LNG v plně natankovaném stavu, musí být vybaveny přetlakovými ventily.</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2.3.4</w:t>
      </w:r>
      <w:r w:rsidRPr="003B6E11">
        <w:rPr>
          <w:lang w:val="cs-CZ"/>
        </w:rPr>
        <w:tab/>
        <w:t>Potrubí musí být vodivě spojeno s konstrukcí plavidla.</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2.3.5</w:t>
      </w:r>
      <w:r w:rsidRPr="003B6E11">
        <w:rPr>
          <w:lang w:val="cs-CZ"/>
        </w:rPr>
        <w:tab/>
        <w:t>Tam, kde je to nutné, musí být nízkoteplotní potrubí teplotně izolováno od sousedící konstrukce trupu lodi. Je nutné zajistit ochranu proti náhodnému kontaktu.</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2.3.6</w:t>
      </w:r>
      <w:r w:rsidRPr="003B6E11">
        <w:rPr>
          <w:lang w:val="cs-CZ"/>
        </w:rPr>
        <w:tab/>
        <w:t xml:space="preserve">Konstrukční tlak potrubí musí být alespoň 150 % maximálního pracovního tlaku. Maximální pracovní tlak potrubí uvnitř místností nesmí být vyšší než 1 000 kPa. Konstrukční tlak vnější trubky nebo roury plynového potrubí nesmí být nižší než konstrukční tlak vnitřní plynové trubky. </w:t>
      </w:r>
    </w:p>
    <w:p w:rsidR="003B6E11" w:rsidRPr="003B6E11" w:rsidRDefault="003B6E11" w:rsidP="003B6E11">
      <w:pPr>
        <w:pStyle w:val="Esann8ch"/>
        <w:rPr>
          <w:lang w:val="cs-CZ"/>
        </w:rPr>
      </w:pPr>
    </w:p>
    <w:p w:rsidR="003B6E11" w:rsidRPr="003B6E11" w:rsidRDefault="003B6E11" w:rsidP="003B6E11">
      <w:pPr>
        <w:rPr>
          <w:rFonts w:eastAsia="Calibri" w:cs="Arial"/>
          <w:color w:val="000000"/>
          <w:szCs w:val="20"/>
          <w:lang w:val="cs-CZ"/>
        </w:rPr>
      </w:pPr>
      <w:r w:rsidRPr="003B6E11">
        <w:rPr>
          <w:lang w:val="cs-CZ"/>
        </w:rPr>
        <w:br w:type="page"/>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2.3.7</w:t>
      </w:r>
      <w:r w:rsidRPr="003B6E11">
        <w:rPr>
          <w:lang w:val="cs-CZ"/>
        </w:rPr>
        <w:tab/>
        <w:t>Plynové potrubí ve strojovnách chráněných nouzovým odstavením se musí nacházet co nejdál od elektrických instalací a nádrží s hořlavými kapalinami.</w:t>
      </w:r>
    </w:p>
    <w:p w:rsidR="003B6E11" w:rsidRPr="003B6E11" w:rsidRDefault="003B6E11" w:rsidP="003B6E11">
      <w:pPr>
        <w:pStyle w:val="Esann8ch"/>
        <w:rPr>
          <w:lang w:val="cs-CZ"/>
        </w:rPr>
      </w:pPr>
    </w:p>
    <w:p w:rsidR="003B6E11" w:rsidRPr="003B6E11" w:rsidRDefault="003B6E11" w:rsidP="003B6E11">
      <w:pPr>
        <w:pStyle w:val="Esann8chgras"/>
        <w:rPr>
          <w:lang w:val="cs-CZ"/>
        </w:rPr>
      </w:pPr>
      <w:r w:rsidRPr="003B6E11">
        <w:rPr>
          <w:lang w:val="cs-CZ"/>
        </w:rPr>
        <w:t>2.4</w:t>
      </w:r>
      <w:r w:rsidRPr="003B6E11">
        <w:rPr>
          <w:lang w:val="cs-CZ"/>
        </w:rPr>
        <w:tab/>
        <w:t>Drenážní systémy</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2.4.1</w:t>
      </w:r>
      <w:r w:rsidRPr="003B6E11">
        <w:rPr>
          <w:lang w:val="cs-CZ"/>
        </w:rPr>
        <w:tab/>
        <w:t>Drenážní systémy pro prostory, kde se může vyskytovat zkapalněný zemní plyn (LNG) nebo zemní plyn:</w:t>
      </w:r>
    </w:p>
    <w:p w:rsidR="003B6E11" w:rsidRPr="003B6E11" w:rsidRDefault="003B6E11" w:rsidP="003B6E11">
      <w:pPr>
        <w:pStyle w:val="Esann8let"/>
        <w:rPr>
          <w:lang w:val="cs-CZ"/>
        </w:rPr>
      </w:pPr>
      <w:r w:rsidRPr="003B6E11">
        <w:rPr>
          <w:lang w:val="cs-CZ"/>
        </w:rPr>
        <w:t>a)</w:t>
      </w:r>
      <w:r w:rsidRPr="003B6E11">
        <w:rPr>
          <w:lang w:val="cs-CZ"/>
        </w:rPr>
        <w:tab/>
        <w:t xml:space="preserve">musí být nezávislé na drenážních systémech v prostorech, kde se zkapalněný zemní plyn (LNG) nebo zemní plyn nemůže vyskytovat, a být oddělené od nich; </w:t>
      </w:r>
    </w:p>
    <w:p w:rsidR="003B6E11" w:rsidRPr="003B6E11" w:rsidRDefault="003B6E11" w:rsidP="003B6E11">
      <w:pPr>
        <w:pStyle w:val="Esann8let"/>
        <w:rPr>
          <w:b/>
          <w:lang w:val="cs-CZ"/>
        </w:rPr>
      </w:pPr>
      <w:r w:rsidRPr="003B6E11">
        <w:rPr>
          <w:lang w:val="cs-CZ"/>
        </w:rPr>
        <w:t>b)</w:t>
      </w:r>
      <w:r w:rsidRPr="003B6E11">
        <w:rPr>
          <w:lang w:val="cs-CZ"/>
        </w:rPr>
        <w:tab/>
        <w:t>nesmí vést k čerpadlům v bezpečných prostorech.</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2.4.2</w:t>
      </w:r>
      <w:r w:rsidRPr="003B6E11">
        <w:rPr>
          <w:lang w:val="cs-CZ"/>
        </w:rPr>
        <w:tab/>
        <w:t>Pokud systém uložení LNG nevyžaduje sekundární bariéru, musí být místnosti s nádržemi, které nejsou spojeny se strojovnami, vybaveny vhodnou drenážní úpravou. Musí být k dispozici prostředky pro detekci úniku zkapalněného zemního plynu (LNG).</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2.4.3</w:t>
      </w:r>
      <w:r w:rsidRPr="003B6E11">
        <w:rPr>
          <w:lang w:val="cs-CZ"/>
        </w:rPr>
        <w:tab/>
        <w:t>Pokud systém uložení LNG sekundární bariéru vyžaduje, musí zde existovat vhodná drenážní úprava k zabránění úniku LNG do prostoru mezi bariérami. Musí být k dispozici prostředky pro detekci takového úniku.</w:t>
      </w:r>
    </w:p>
    <w:p w:rsidR="003B6E11" w:rsidRPr="003B6E11" w:rsidRDefault="003B6E11" w:rsidP="003B6E11">
      <w:pPr>
        <w:pStyle w:val="Esannch"/>
      </w:pPr>
    </w:p>
    <w:p w:rsidR="003B6E11" w:rsidRPr="003B6E11" w:rsidRDefault="003B6E11" w:rsidP="003B6E11">
      <w:pPr>
        <w:pStyle w:val="Esann8chgras"/>
        <w:rPr>
          <w:lang w:val="cs-CZ"/>
        </w:rPr>
      </w:pPr>
      <w:r w:rsidRPr="003B6E11">
        <w:rPr>
          <w:lang w:val="cs-CZ"/>
        </w:rPr>
        <w:t>2.5</w:t>
      </w:r>
      <w:r w:rsidRPr="003B6E11">
        <w:rPr>
          <w:lang w:val="cs-CZ"/>
        </w:rPr>
        <w:tab/>
        <w:t>Odkapávací vany</w:t>
      </w:r>
    </w:p>
    <w:p w:rsidR="003B6E11" w:rsidRPr="003B6E11" w:rsidRDefault="003B6E11" w:rsidP="003B6E11">
      <w:pPr>
        <w:pStyle w:val="Esann8ch"/>
        <w:rPr>
          <w:lang w:val="cs-CZ"/>
        </w:rPr>
      </w:pPr>
    </w:p>
    <w:p w:rsidR="003B6E11" w:rsidRPr="003B6E11" w:rsidRDefault="003B6E11" w:rsidP="003B6E11">
      <w:pPr>
        <w:pStyle w:val="Esann8ch"/>
        <w:rPr>
          <w:b/>
          <w:lang w:val="cs-CZ"/>
        </w:rPr>
      </w:pPr>
      <w:r w:rsidRPr="003B6E11">
        <w:rPr>
          <w:lang w:val="cs-CZ"/>
        </w:rPr>
        <w:t>2.5.1</w:t>
      </w:r>
      <w:r w:rsidRPr="003B6E11">
        <w:rPr>
          <w:lang w:val="cs-CZ"/>
        </w:rPr>
        <w:tab/>
        <w:t xml:space="preserve">Tam, kde únik může poškodit konstrukci plavidla, nebo pokud je nutné ohradit prostor vzniklý únikem, instalují se vhodné odkapávací vany. </w:t>
      </w:r>
    </w:p>
    <w:p w:rsidR="003B6E11" w:rsidRPr="003B6E11" w:rsidRDefault="003B6E11" w:rsidP="003B6E11">
      <w:pPr>
        <w:pStyle w:val="Esann8ch"/>
        <w:rPr>
          <w:b/>
          <w:lang w:val="cs-CZ"/>
        </w:rPr>
      </w:pPr>
    </w:p>
    <w:p w:rsidR="003B6E11" w:rsidRPr="003B6E11" w:rsidRDefault="003B6E11" w:rsidP="003B6E11">
      <w:pPr>
        <w:pStyle w:val="Esann8chgras"/>
        <w:rPr>
          <w:lang w:val="cs-CZ"/>
        </w:rPr>
      </w:pPr>
      <w:r w:rsidRPr="003B6E11">
        <w:rPr>
          <w:lang w:val="cs-CZ"/>
        </w:rPr>
        <w:t>2.6</w:t>
      </w:r>
      <w:r w:rsidRPr="003B6E11">
        <w:rPr>
          <w:lang w:val="cs-CZ"/>
        </w:rPr>
        <w:tab/>
        <w:t>Úprava vstupů a jiných otvorů</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2.6.1</w:t>
      </w:r>
      <w:r w:rsidRPr="003B6E11">
        <w:rPr>
          <w:lang w:val="cs-CZ"/>
        </w:rPr>
        <w:tab/>
        <w:t>Vstupy a jiné otvory vedoucí z bezpečného prostoru do nebezpečného prostoru jsou povoleny jen v rozsahu nutném pro provoz.</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2.6.2</w:t>
      </w:r>
      <w:r w:rsidRPr="003B6E11">
        <w:rPr>
          <w:lang w:val="cs-CZ"/>
        </w:rPr>
        <w:tab/>
        <w:t xml:space="preserve">Vstupy a otvory do bezpečného prostoru nacházejících se do 6,00 m od systému uložení LNG, systému přípravy plynu nebo vývodu přetlakového ventilu musejí být vybaveny vhodnou vzduchovou komorou.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2.6.3</w:t>
      </w:r>
      <w:r w:rsidRPr="003B6E11">
        <w:rPr>
          <w:lang w:val="cs-CZ"/>
        </w:rPr>
        <w:tab/>
        <w:t>Vzduchové komory jsou mechanicky ventilované přetlakem relativním vůči sousedícímu nebezpečnému prostoru. Dveře jsou samozavíracího typu.</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2.6.4</w:t>
      </w:r>
      <w:r w:rsidRPr="003B6E11">
        <w:rPr>
          <w:lang w:val="cs-CZ"/>
        </w:rPr>
        <w:tab/>
        <w:t>Vzduchové komory jsou navrženy tak, aby v případě nejkritičtějších událostí v nebezpečných prostorách oddělených vzduchovými komorami nemohl do bezpečných prostor unikat plyn. Události se posuzují podle posouzení rizik podle bodu 1.3.</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2.6.5</w:t>
      </w:r>
      <w:r w:rsidRPr="003B6E11">
        <w:rPr>
          <w:lang w:val="cs-CZ"/>
        </w:rPr>
        <w:tab/>
        <w:t>Vzduchové komory musí být prosté překážek a poskytovat snadný přechod a nesmí se používat k jiným účelům.</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2.6.6</w:t>
      </w:r>
      <w:r w:rsidRPr="003B6E11">
        <w:rPr>
          <w:lang w:val="cs-CZ"/>
        </w:rPr>
        <w:tab/>
        <w:t>Pokud jsou v nezavřené poloze současně více než jedny dveře komory nebo pokud je v komoře detekován plyn, musí se spustit akustický a optický poplašný signál na obou stranách komory.</w:t>
      </w:r>
    </w:p>
    <w:p w:rsidR="003B6E11" w:rsidRPr="003B6E11" w:rsidRDefault="003B6E11" w:rsidP="003B6E11">
      <w:pPr>
        <w:pStyle w:val="Esann8ch"/>
        <w:rPr>
          <w:lang w:val="cs-CZ"/>
        </w:rPr>
      </w:pPr>
    </w:p>
    <w:p w:rsidR="003B6E11" w:rsidRPr="003B6E11" w:rsidRDefault="003B6E11" w:rsidP="003B6E11">
      <w:pPr>
        <w:pStyle w:val="Esann8chgras"/>
        <w:rPr>
          <w:lang w:val="cs-CZ"/>
        </w:rPr>
      </w:pPr>
      <w:r w:rsidRPr="003B6E11">
        <w:rPr>
          <w:lang w:val="cs-CZ"/>
        </w:rPr>
        <w:t>2.7</w:t>
      </w:r>
      <w:r w:rsidRPr="003B6E11">
        <w:rPr>
          <w:lang w:val="cs-CZ"/>
        </w:rPr>
        <w:tab/>
        <w:t>Ventilační systémy</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2.7.1</w:t>
      </w:r>
      <w:r w:rsidRPr="003B6E11">
        <w:rPr>
          <w:lang w:val="cs-CZ"/>
        </w:rPr>
        <w:tab/>
        <w:t xml:space="preserve">Ventilátory v nebezpečných prostorách musí být certifikovaného bezpečného typu. </w:t>
      </w:r>
    </w:p>
    <w:p w:rsidR="003B6E11" w:rsidRPr="003B6E11" w:rsidRDefault="003B6E11" w:rsidP="003B6E11">
      <w:pPr>
        <w:pStyle w:val="Esann8ch"/>
        <w:rPr>
          <w:lang w:val="cs-CZ"/>
        </w:rPr>
      </w:pPr>
    </w:p>
    <w:p w:rsidR="003B6E11" w:rsidRPr="003B6E11" w:rsidRDefault="003B6E11" w:rsidP="003B6E11">
      <w:pPr>
        <w:rPr>
          <w:rFonts w:eastAsia="Calibri" w:cs="Arial"/>
          <w:color w:val="000000"/>
          <w:szCs w:val="20"/>
          <w:lang w:val="cs-CZ"/>
        </w:rPr>
      </w:pPr>
      <w:r w:rsidRPr="003B6E11">
        <w:rPr>
          <w:lang w:val="cs-CZ"/>
        </w:rPr>
        <w:br w:type="page"/>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 xml:space="preserve">2.7.2 </w:t>
      </w:r>
      <w:r w:rsidRPr="003B6E11">
        <w:rPr>
          <w:lang w:val="cs-CZ"/>
        </w:rPr>
        <w:tab/>
        <w:t>Elektromotory pohánějící ventilátory musí splňovat požadavky na ochranu před výbuchem v místě instalace.</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2.7.3</w:t>
      </w:r>
      <w:r w:rsidRPr="003B6E11">
        <w:rPr>
          <w:lang w:val="cs-CZ"/>
        </w:rPr>
        <w:tab/>
        <w:t>Při jakékoli ztrátě ventilační kapacity se v některém místě trvale osazeném posádkou (např. kormidelně) musí spustit akustický a optický poplašný signál.</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2.7.4</w:t>
      </w:r>
      <w:r w:rsidRPr="003B6E11">
        <w:rPr>
          <w:lang w:val="cs-CZ"/>
        </w:rPr>
        <w:tab/>
        <w:t xml:space="preserve">Roury používané k ventilaci nebezpečných prostor musí být oddělené od rour používaných k ventilaci bezpečných prostor.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2.7.5</w:t>
      </w:r>
      <w:r w:rsidRPr="003B6E11">
        <w:rPr>
          <w:lang w:val="cs-CZ"/>
        </w:rPr>
        <w:tab/>
        <w:t>Požadované ventilační systémy musí mít alespoň dva ventilátory s nezávislým zdrojem napájení, každý s dostatečnou kapacitou, aby nedocházelo k hromadění plynu.</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2.7.6</w:t>
      </w:r>
      <w:r w:rsidRPr="003B6E11">
        <w:rPr>
          <w:lang w:val="cs-CZ"/>
        </w:rPr>
        <w:tab/>
        <w:t xml:space="preserve">Vzduch vháněný do nebezpečných místností se nasává z bezpečných prostor.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 xml:space="preserve">2.7.7 </w:t>
      </w:r>
      <w:r w:rsidRPr="003B6E11">
        <w:rPr>
          <w:lang w:val="cs-CZ"/>
        </w:rPr>
        <w:tab/>
        <w:t xml:space="preserve">Vzduch vháněný do bezpečných místností se nasává z bezpečných prostor ve vzdálenosti alespoň 1,50 m od hranice nebezpečného prostoru.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2.7.8</w:t>
      </w:r>
      <w:r w:rsidRPr="003B6E11">
        <w:rPr>
          <w:lang w:val="cs-CZ"/>
        </w:rPr>
        <w:tab/>
        <w:t xml:space="preserve">Pokud roura s vháněným vzduchem prochází nebezpečnou místností, musí být tato roura přetlakována vůči tlaku v této místnosti. Přetlakována být nemusí, pokud je konstrukčními opatřeními na rouře zajištěno, že do ní neproniknou plyny.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 xml:space="preserve">2.7.9 </w:t>
      </w:r>
      <w:r w:rsidRPr="003B6E11">
        <w:rPr>
          <w:lang w:val="cs-CZ"/>
        </w:rPr>
        <w:tab/>
        <w:t>Vzduchové vývody z nebezpečných místností musí být umístěny v otevřeném prostoru, který je stejně nebo méně nebezpečný než ventilovaná místnost.</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2.7.10</w:t>
      </w:r>
      <w:r w:rsidRPr="003B6E11">
        <w:rPr>
          <w:lang w:val="cs-CZ"/>
        </w:rPr>
        <w:tab/>
        <w:t>Vzduchové vývody z bezpečných místností musí být umístěny mimo nebezpečné prostory.</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2.7.11</w:t>
      </w:r>
      <w:r w:rsidRPr="003B6E11">
        <w:rPr>
          <w:lang w:val="cs-CZ"/>
        </w:rPr>
        <w:tab/>
        <w:t>V uzavřených místnostech musí být odsávací ventilační roury umístěny v horní části těchto místností. Přívody vzduchu jsou naopak umístěny při podlaze.</w:t>
      </w:r>
    </w:p>
    <w:p w:rsidR="003B6E11" w:rsidRPr="003B6E11" w:rsidRDefault="003B6E11" w:rsidP="003B6E11">
      <w:pPr>
        <w:pStyle w:val="Esann8ch"/>
        <w:rPr>
          <w:bCs/>
          <w:lang w:val="cs-CZ"/>
        </w:rPr>
      </w:pPr>
    </w:p>
    <w:p w:rsidR="003B6E11" w:rsidRPr="003B6E11" w:rsidRDefault="003B6E11" w:rsidP="003B6E11">
      <w:pPr>
        <w:pStyle w:val="Esann8chgras"/>
        <w:rPr>
          <w:lang w:val="cs-CZ"/>
        </w:rPr>
      </w:pPr>
      <w:r w:rsidRPr="003B6E11">
        <w:rPr>
          <w:lang w:val="cs-CZ"/>
        </w:rPr>
        <w:t>2.8</w:t>
      </w:r>
      <w:r w:rsidRPr="003B6E11">
        <w:rPr>
          <w:lang w:val="cs-CZ"/>
        </w:rPr>
        <w:tab/>
        <w:t>Systém tankování LNG</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2.8.1</w:t>
      </w:r>
      <w:r w:rsidRPr="003B6E11">
        <w:rPr>
          <w:lang w:val="cs-CZ"/>
        </w:rPr>
        <w:tab/>
        <w:t>Systém tankování LNG musí být uspořádán tak, aby během plnění nádrží zkapalněným zemním plynem nedocházelo k uvolňování plynu do ovzduší.</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2.8.2</w:t>
      </w:r>
      <w:r w:rsidRPr="003B6E11">
        <w:rPr>
          <w:lang w:val="cs-CZ"/>
        </w:rPr>
        <w:tab/>
        <w:t>Tankovací stanoviště a všechny ventily používané k tankování musí být umístěny na otevřené palubě, aby bylo zajištěno dostatečné přirozené větrání.</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2.8.3</w:t>
      </w:r>
      <w:r w:rsidRPr="003B6E11">
        <w:rPr>
          <w:lang w:val="cs-CZ"/>
        </w:rPr>
        <w:tab/>
        <w:t>Tankovací stanoviště musí být umístěno a uspořádáno tak, aby případné poškození plynového potrubí nepoškodilo systém uložení LNG.</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2.8.4</w:t>
      </w:r>
      <w:r w:rsidRPr="003B6E11">
        <w:rPr>
          <w:lang w:val="cs-CZ"/>
        </w:rPr>
        <w:tab/>
        <w:t>K uvolnění tlaku a odstranění kapaliny z čerpadel a tankovacího potrubí musí být k dispozici vhodný prostředek.</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2.8.5</w:t>
      </w:r>
      <w:r w:rsidRPr="003B6E11">
        <w:rPr>
          <w:lang w:val="cs-CZ"/>
        </w:rPr>
        <w:tab/>
        <w:t>Hadice používané k tankování zkapalněného zemního plynu (LNG) musí být:</w:t>
      </w:r>
    </w:p>
    <w:p w:rsidR="003B6E11" w:rsidRPr="003B6E11" w:rsidRDefault="003B6E11" w:rsidP="003B6E11">
      <w:pPr>
        <w:pStyle w:val="Esann8let"/>
        <w:rPr>
          <w:lang w:val="cs-CZ"/>
        </w:rPr>
      </w:pPr>
      <w:r w:rsidRPr="003B6E11">
        <w:rPr>
          <w:lang w:val="cs-CZ"/>
        </w:rPr>
        <w:t>a)</w:t>
      </w:r>
      <w:r w:rsidRPr="003B6E11">
        <w:rPr>
          <w:lang w:val="cs-CZ"/>
        </w:rPr>
        <w:tab/>
        <w:t>kompatibilní se zkapalněným zemním plynem (LNG) a vhodné zejména pro teplotu zkapalněného zemního plynu (LNG);</w:t>
      </w:r>
    </w:p>
    <w:p w:rsidR="003B6E11" w:rsidRPr="003B6E11" w:rsidRDefault="003B6E11" w:rsidP="003B6E11">
      <w:pPr>
        <w:pStyle w:val="Esann8let"/>
        <w:rPr>
          <w:lang w:val="cs-CZ"/>
        </w:rPr>
      </w:pPr>
      <w:r w:rsidRPr="003B6E11">
        <w:rPr>
          <w:lang w:val="cs-CZ"/>
        </w:rPr>
        <w:t>b)</w:t>
      </w:r>
      <w:r w:rsidRPr="003B6E11">
        <w:rPr>
          <w:lang w:val="cs-CZ"/>
        </w:rPr>
        <w:tab/>
        <w:t>konstruovány na tlak roztržení, který je přinejmenším roven pětinásobku maximálního tlaku, jemuž mohou být vystaveny během tankování.</w:t>
      </w:r>
    </w:p>
    <w:p w:rsidR="003B6E11" w:rsidRPr="003B6E11" w:rsidRDefault="003B6E11" w:rsidP="003B6E11">
      <w:pPr>
        <w:rPr>
          <w:rFonts w:eastAsia="Calibri" w:cs="Arial"/>
          <w:color w:val="000000"/>
          <w:szCs w:val="20"/>
          <w:lang w:val="cs-CZ"/>
        </w:rPr>
      </w:pPr>
      <w:r w:rsidRPr="003B6E11">
        <w:rPr>
          <w:lang w:val="cs-CZ"/>
        </w:rPr>
        <w:br w:type="page"/>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2.8.6</w:t>
      </w:r>
      <w:r w:rsidRPr="003B6E11">
        <w:rPr>
          <w:lang w:val="cs-CZ"/>
        </w:rPr>
        <w:tab/>
        <w:t xml:space="preserve">Nosič tankovacích ventilů musí být konstruován tak, aby odolal mechanickému zatížení během tankování. Přípojky musí být typu se suchým odpojením podle evropské normy EN 1474, vybavené vhodnými doplňkovými suchými bezpečnostními trhacími spojkami.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2.8.7</w:t>
      </w:r>
      <w:r w:rsidRPr="003B6E11">
        <w:rPr>
          <w:lang w:val="cs-CZ"/>
        </w:rPr>
        <w:tab/>
        <w:t xml:space="preserve">Během tankování musí být možné obsluhovat hlavní ventil pro tankování LNG z bezpečného ovládacího stanoviště na lodi.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 xml:space="preserve">2.8.8 </w:t>
      </w:r>
      <w:r w:rsidRPr="003B6E11">
        <w:rPr>
          <w:lang w:val="cs-CZ"/>
        </w:rPr>
        <w:tab/>
        <w:t>Tankovací potrubí musí být způsobilé pro inertizaci a uvolňování plynu.</w:t>
      </w:r>
    </w:p>
    <w:p w:rsidR="003B6E11" w:rsidRPr="003B6E11" w:rsidRDefault="003B6E11" w:rsidP="003B6E11">
      <w:pPr>
        <w:pStyle w:val="Esann8ch"/>
        <w:rPr>
          <w:b/>
          <w:bCs/>
          <w:lang w:val="cs-CZ"/>
        </w:rPr>
      </w:pPr>
    </w:p>
    <w:p w:rsidR="003B6E11" w:rsidRPr="003B6E11" w:rsidRDefault="003B6E11" w:rsidP="003B6E11">
      <w:pPr>
        <w:pStyle w:val="Esann8chgras"/>
        <w:rPr>
          <w:lang w:val="cs-CZ"/>
        </w:rPr>
      </w:pPr>
      <w:r w:rsidRPr="003B6E11">
        <w:rPr>
          <w:lang w:val="cs-CZ"/>
        </w:rPr>
        <w:t>2.9</w:t>
      </w:r>
      <w:r w:rsidRPr="003B6E11">
        <w:rPr>
          <w:lang w:val="cs-CZ"/>
        </w:rPr>
        <w:tab/>
        <w:t>Maximální naplnění nádrží na LNG</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2.9.1</w:t>
      </w:r>
      <w:r w:rsidRPr="003B6E11">
        <w:rPr>
          <w:lang w:val="cs-CZ"/>
        </w:rPr>
        <w:tab/>
        <w:t xml:space="preserve">Hladina zkapalněného zemního plynu (LNG) v nádrži nesmí překročit 95 % maximálního naplnění při referenční teplotě. Referenční teplotou se rozumí teplota odpovídající tlaku páry paliva při otevírání přetlakových ventilů.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2.9.2</w:t>
      </w:r>
      <w:r w:rsidRPr="003B6E11">
        <w:rPr>
          <w:lang w:val="cs-CZ"/>
        </w:rPr>
        <w:tab/>
        <w:t>Křivka maximálního naplnění pro teploty tankování LNG se vypočte pomocí následujícího vzorce:</w:t>
      </w:r>
    </w:p>
    <w:p w:rsidR="003B6E11" w:rsidRPr="003B6E11" w:rsidRDefault="003B6E11" w:rsidP="003B6E11">
      <w:pPr>
        <w:spacing w:line="240" w:lineRule="atLeast"/>
        <w:ind w:left="851" w:hanging="851"/>
        <w:jc w:val="center"/>
        <w:rPr>
          <w:rFonts w:eastAsia="Calibri" w:cs="Arial"/>
          <w:color w:val="000000"/>
          <w:szCs w:val="20"/>
          <w:lang w:val="cs-CZ"/>
        </w:rPr>
      </w:pPr>
      <m:oMathPara>
        <m:oMath>
          <m:r>
            <w:rPr>
              <w:rFonts w:ascii="Cambria Math" w:eastAsia="Calibri" w:hAnsi="Cambria Math" w:cs="Arial"/>
              <w:color w:val="000000"/>
              <w:szCs w:val="20"/>
              <w:lang w:val="cs-CZ"/>
            </w:rPr>
            <m:t xml:space="preserve">LL=FL ∙ </m:t>
          </m:r>
          <m:sSub>
            <m:sSubPr>
              <m:ctrlPr>
                <w:rPr>
                  <w:rFonts w:ascii="Cambria Math" w:eastAsia="Calibri" w:hAnsi="Cambria Math" w:cs="Arial"/>
                  <w:i/>
                  <w:color w:val="000000"/>
                  <w:szCs w:val="20"/>
                  <w:lang w:val="cs-CZ"/>
                </w:rPr>
              </m:ctrlPr>
            </m:sSubPr>
            <m:e>
              <m:r>
                <w:rPr>
                  <w:rFonts w:ascii="Cambria Math" w:eastAsia="Calibri" w:hAnsi="Cambria Math" w:cs="Arial"/>
                  <w:color w:val="000000"/>
                  <w:szCs w:val="20"/>
                  <w:lang w:val="cs-CZ"/>
                </w:rPr>
                <m:t>ρ</m:t>
              </m:r>
            </m:e>
            <m:sub>
              <m:r>
                <w:rPr>
                  <w:rFonts w:ascii="Cambria Math" w:eastAsia="Calibri" w:hAnsi="Cambria Math" w:cs="Arial"/>
                  <w:color w:val="000000"/>
                  <w:szCs w:val="20"/>
                  <w:lang w:val="cs-CZ"/>
                </w:rPr>
                <m:t>R</m:t>
              </m:r>
            </m:sub>
          </m:sSub>
          <m:r>
            <w:rPr>
              <w:rFonts w:ascii="Cambria Math" w:eastAsia="Calibri" w:hAnsi="Cambria Math" w:cs="Arial"/>
              <w:color w:val="000000"/>
              <w:szCs w:val="20"/>
              <w:lang w:val="cs-CZ"/>
            </w:rPr>
            <m:t>/</m:t>
          </m:r>
          <m:sSub>
            <m:sSubPr>
              <m:ctrlPr>
                <w:rPr>
                  <w:rFonts w:ascii="Cambria Math" w:eastAsia="Calibri" w:hAnsi="Cambria Math" w:cs="Arial"/>
                  <w:i/>
                  <w:color w:val="000000"/>
                  <w:szCs w:val="20"/>
                  <w:lang w:val="cs-CZ"/>
                </w:rPr>
              </m:ctrlPr>
            </m:sSubPr>
            <m:e>
              <m:r>
                <w:rPr>
                  <w:rFonts w:ascii="Cambria Math" w:eastAsia="Calibri" w:hAnsi="Cambria Math" w:cs="Arial"/>
                  <w:color w:val="000000"/>
                  <w:szCs w:val="20"/>
                  <w:lang w:val="cs-CZ"/>
                </w:rPr>
                <m:t>ρ</m:t>
              </m:r>
            </m:e>
            <m:sub>
              <m:r>
                <w:rPr>
                  <w:rFonts w:ascii="Cambria Math" w:eastAsia="Calibri" w:hAnsi="Cambria Math" w:cs="Arial"/>
                  <w:color w:val="000000"/>
                  <w:szCs w:val="20"/>
                  <w:lang w:val="cs-CZ"/>
                </w:rPr>
                <m:t>L</m:t>
              </m:r>
            </m:sub>
          </m:sSub>
        </m:oMath>
      </m:oMathPara>
    </w:p>
    <w:p w:rsidR="003B6E11" w:rsidRPr="003B6E11" w:rsidRDefault="003B6E11" w:rsidP="003B6E11">
      <w:pPr>
        <w:pStyle w:val="Esann8chpar"/>
        <w:rPr>
          <w:lang w:val="cs-CZ"/>
        </w:rPr>
      </w:pPr>
      <w:r w:rsidRPr="003B6E11">
        <w:rPr>
          <w:lang w:val="cs-CZ"/>
        </w:rPr>
        <w:t>kde:</w:t>
      </w:r>
    </w:p>
    <w:p w:rsidR="003B6E11" w:rsidRPr="003B6E11" w:rsidRDefault="003B6E11" w:rsidP="003B6E11">
      <w:pPr>
        <w:pStyle w:val="Esann8chpar"/>
        <w:tabs>
          <w:tab w:val="left" w:pos="1418"/>
        </w:tabs>
        <w:spacing w:before="60"/>
        <w:ind w:left="1843" w:hanging="992"/>
        <w:rPr>
          <w:lang w:val="cs-CZ"/>
        </w:rPr>
      </w:pPr>
      <m:oMath>
        <m:r>
          <w:rPr>
            <w:rFonts w:ascii="Cambria Math" w:hAnsi="Cambria Math"/>
            <w:lang w:val="cs-CZ"/>
          </w:rPr>
          <m:t>LL</m:t>
        </m:r>
      </m:oMath>
      <w:r w:rsidRPr="003B6E11">
        <w:rPr>
          <w:lang w:val="cs-CZ"/>
        </w:rPr>
        <w:tab/>
        <w:t>=</w:t>
      </w:r>
      <w:r w:rsidRPr="003B6E11">
        <w:rPr>
          <w:lang w:val="cs-CZ"/>
        </w:rPr>
        <w:tab/>
        <w:t>maximální zatížení, maximální přípustný objem kapaliny ve vztahu k objemu nádrže, na který může nádrž být naplněna, vyjádřeno v procentech,</w:t>
      </w:r>
    </w:p>
    <w:p w:rsidR="003B6E11" w:rsidRPr="003B6E11" w:rsidRDefault="003B6E11" w:rsidP="003B6E11">
      <w:pPr>
        <w:pStyle w:val="Esann8chpar"/>
        <w:tabs>
          <w:tab w:val="left" w:pos="1418"/>
        </w:tabs>
        <w:spacing w:before="60"/>
        <w:ind w:left="1843" w:hanging="992"/>
        <w:rPr>
          <w:lang w:val="cs-CZ"/>
        </w:rPr>
      </w:pPr>
      <m:oMath>
        <m:r>
          <w:rPr>
            <w:rFonts w:ascii="Cambria Math" w:hAnsi="Cambria Math"/>
            <w:lang w:val="cs-CZ"/>
          </w:rPr>
          <m:t>FL</m:t>
        </m:r>
      </m:oMath>
      <w:r w:rsidRPr="003B6E11">
        <w:rPr>
          <w:lang w:val="cs-CZ"/>
        </w:rPr>
        <w:tab/>
        <w:t>=</w:t>
      </w:r>
      <w:r w:rsidRPr="003B6E11">
        <w:rPr>
          <w:lang w:val="cs-CZ"/>
        </w:rPr>
        <w:tab/>
        <w:t>maximální naplnění, vyjádřeno v procentech, zde 95 %,</w:t>
      </w:r>
    </w:p>
    <w:p w:rsidR="003B6E11" w:rsidRPr="003B6E11" w:rsidRDefault="002D015D" w:rsidP="003B6E11">
      <w:pPr>
        <w:pStyle w:val="Esann8chpar"/>
        <w:tabs>
          <w:tab w:val="left" w:pos="1418"/>
        </w:tabs>
        <w:spacing w:before="60"/>
        <w:ind w:left="1843" w:hanging="992"/>
        <w:rPr>
          <w:lang w:val="cs-CZ"/>
        </w:rPr>
      </w:pPr>
      <m:oMath>
        <m:sSub>
          <m:sSubPr>
            <m:ctrlPr>
              <w:rPr>
                <w:rFonts w:ascii="Cambria Math" w:hAnsi="Cambria Math"/>
                <w:i/>
                <w:lang w:val="cs-CZ"/>
              </w:rPr>
            </m:ctrlPr>
          </m:sSubPr>
          <m:e>
            <m:r>
              <w:rPr>
                <w:rFonts w:ascii="Cambria Math" w:hAnsi="Cambria Math"/>
                <w:lang w:val="cs-CZ"/>
              </w:rPr>
              <m:t>ρ</m:t>
            </m:r>
          </m:e>
          <m:sub>
            <m:r>
              <w:rPr>
                <w:rFonts w:ascii="Cambria Math" w:hAnsi="Cambria Math"/>
                <w:lang w:val="cs-CZ"/>
              </w:rPr>
              <m:t>R</m:t>
            </m:r>
          </m:sub>
        </m:sSub>
      </m:oMath>
      <w:r w:rsidR="003B6E11" w:rsidRPr="003B6E11">
        <w:rPr>
          <w:lang w:val="cs-CZ"/>
        </w:rPr>
        <w:tab/>
        <w:t>=</w:t>
      </w:r>
      <w:r w:rsidR="003B6E11" w:rsidRPr="003B6E11">
        <w:rPr>
          <w:lang w:val="cs-CZ"/>
        </w:rPr>
        <w:tab/>
        <w:t xml:space="preserve">relativní hustota paliva při referenční teplotě, </w:t>
      </w:r>
    </w:p>
    <w:p w:rsidR="003B6E11" w:rsidRPr="003B6E11" w:rsidRDefault="002D015D" w:rsidP="003B6E11">
      <w:pPr>
        <w:pStyle w:val="Esann8chpar"/>
        <w:tabs>
          <w:tab w:val="left" w:pos="1418"/>
        </w:tabs>
        <w:spacing w:before="60"/>
        <w:ind w:left="1843" w:hanging="992"/>
        <w:rPr>
          <w:lang w:val="cs-CZ"/>
        </w:rPr>
      </w:pPr>
      <m:oMath>
        <m:sSub>
          <m:sSubPr>
            <m:ctrlPr>
              <w:rPr>
                <w:rFonts w:ascii="Cambria Math" w:hAnsi="Cambria Math"/>
                <w:i/>
                <w:lang w:val="cs-CZ"/>
              </w:rPr>
            </m:ctrlPr>
          </m:sSubPr>
          <m:e>
            <m:r>
              <w:rPr>
                <w:rFonts w:ascii="Cambria Math" w:hAnsi="Cambria Math"/>
                <w:lang w:val="cs-CZ"/>
              </w:rPr>
              <m:t>ρ</m:t>
            </m:r>
          </m:e>
          <m:sub>
            <m:r>
              <w:rPr>
                <w:rFonts w:ascii="Cambria Math" w:hAnsi="Cambria Math"/>
                <w:lang w:val="cs-CZ"/>
              </w:rPr>
              <m:t>L</m:t>
            </m:r>
          </m:sub>
        </m:sSub>
      </m:oMath>
      <w:r w:rsidR="003B6E11" w:rsidRPr="003B6E11">
        <w:rPr>
          <w:lang w:val="cs-CZ"/>
        </w:rPr>
        <w:tab/>
        <w:t>=</w:t>
      </w:r>
      <w:r w:rsidR="003B6E11" w:rsidRPr="003B6E11">
        <w:rPr>
          <w:lang w:val="cs-CZ"/>
        </w:rPr>
        <w:tab/>
        <w:t>relativní hustota paliva při teplotě zatížení.</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2.9.3</w:t>
      </w:r>
      <w:r w:rsidRPr="003B6E11">
        <w:rPr>
          <w:lang w:val="cs-CZ"/>
        </w:rPr>
        <w:tab/>
        <w:t>U plavidel vystavených velmi vysokým vlnám nebo velmi významnému pohybu z důvodu pracovních operací se křivka maximálního naplnění odpovídajícím způsobem přizpůsobí s přihlédnutím k posouzení rizik podle bodu 1.3.</w:t>
      </w:r>
    </w:p>
    <w:p w:rsidR="003B6E11" w:rsidRPr="003B6E11" w:rsidRDefault="003B6E11" w:rsidP="003B6E11">
      <w:pPr>
        <w:pStyle w:val="Esann8ch"/>
        <w:rPr>
          <w:lang w:val="cs-CZ"/>
        </w:rPr>
      </w:pPr>
    </w:p>
    <w:p w:rsidR="003B6E11" w:rsidRPr="003B6E11" w:rsidRDefault="003B6E11" w:rsidP="003B6E11">
      <w:pPr>
        <w:pStyle w:val="Esann8chgras"/>
        <w:rPr>
          <w:lang w:val="cs-CZ"/>
        </w:rPr>
      </w:pPr>
      <w:r w:rsidRPr="003B6E11">
        <w:rPr>
          <w:lang w:val="cs-CZ"/>
        </w:rPr>
        <w:t>2.10</w:t>
      </w:r>
      <w:r w:rsidRPr="003B6E11">
        <w:rPr>
          <w:lang w:val="cs-CZ"/>
        </w:rPr>
        <w:tab/>
        <w:t>Systém přívodu plynu</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2.10.1</w:t>
      </w:r>
      <w:r w:rsidRPr="003B6E11">
        <w:rPr>
          <w:lang w:val="cs-CZ"/>
        </w:rPr>
        <w:tab/>
        <w:t>Systém přívodu plynu musí být uspořádán tak, aby byly minimalizovány důsledky případného uvolnění plynu a zároveň aby byl zajištěn bezpečný přístup k systému z hlediska provozu i prohlídek.</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2.10.2</w:t>
      </w:r>
      <w:r w:rsidRPr="003B6E11">
        <w:rPr>
          <w:lang w:val="cs-CZ"/>
        </w:rPr>
        <w:tab/>
        <w:t>Části systému přívodu plynu, které se nacházejí mimo strojovnu, musí být konstruovány tak, aby selhání jedné bariéry nevedlo k úniku ze systému do okolního prostředí a bezprostředně neohrozilo osoby na palubě, životní prostředí nebo plavidlo.</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2.10.3</w:t>
      </w:r>
      <w:r w:rsidRPr="003B6E11">
        <w:rPr>
          <w:lang w:val="cs-CZ"/>
        </w:rPr>
        <w:tab/>
        <w:t xml:space="preserve">Vstupy a výstupy nádrží na LNG musí být opatřeny ventily umístěnými co nejblíže nádrže.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2.10.4</w:t>
      </w:r>
      <w:r w:rsidRPr="003B6E11">
        <w:rPr>
          <w:lang w:val="cs-CZ"/>
        </w:rPr>
        <w:tab/>
        <w:t>Systém přívodu plynu do každého motoru nebo sady motorů musí být vybaven hlavním uzávěrem plynného paliva. Ventily musí být umístěny co možná nejblíže k systému přípravy plynu, ale v každém případě mimo strojovnu.</w:t>
      </w:r>
    </w:p>
    <w:p w:rsidR="003B6E11" w:rsidRPr="003B6E11" w:rsidRDefault="003B6E11" w:rsidP="003B6E11">
      <w:pPr>
        <w:pStyle w:val="Esann8ch"/>
        <w:rPr>
          <w:lang w:val="cs-CZ"/>
        </w:rPr>
      </w:pPr>
    </w:p>
    <w:p w:rsidR="003B6E11" w:rsidRPr="003B6E11" w:rsidRDefault="003B6E11" w:rsidP="003B6E11">
      <w:pPr>
        <w:rPr>
          <w:rFonts w:eastAsia="Calibri" w:cs="Arial"/>
          <w:color w:val="000000"/>
          <w:szCs w:val="20"/>
          <w:lang w:val="cs-CZ"/>
        </w:rPr>
      </w:pPr>
      <w:r w:rsidRPr="003B6E11">
        <w:rPr>
          <w:lang w:val="cs-CZ"/>
        </w:rPr>
        <w:br w:type="page"/>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2.10.5</w:t>
      </w:r>
      <w:r w:rsidRPr="003B6E11">
        <w:rPr>
          <w:lang w:val="cs-CZ"/>
        </w:rPr>
        <w:tab/>
        <w:t xml:space="preserve">Hlavní uzávěr plynného paliva musí být možné ovládat: </w:t>
      </w:r>
    </w:p>
    <w:p w:rsidR="003B6E11" w:rsidRPr="003B6E11" w:rsidRDefault="003B6E11" w:rsidP="003B6E11">
      <w:pPr>
        <w:pStyle w:val="Esann8let"/>
        <w:rPr>
          <w:lang w:val="cs-CZ"/>
        </w:rPr>
      </w:pPr>
      <w:r w:rsidRPr="003B6E11">
        <w:rPr>
          <w:lang w:val="cs-CZ"/>
        </w:rPr>
        <w:t>a)</w:t>
      </w:r>
      <w:r w:rsidRPr="003B6E11">
        <w:rPr>
          <w:lang w:val="cs-CZ"/>
        </w:rPr>
        <w:tab/>
        <w:t xml:space="preserve">uvnitř strojovny i mimo ni; </w:t>
      </w:r>
    </w:p>
    <w:p w:rsidR="003B6E11" w:rsidRPr="003B6E11" w:rsidRDefault="003B6E11" w:rsidP="003B6E11">
      <w:pPr>
        <w:pStyle w:val="Esann8let"/>
        <w:rPr>
          <w:lang w:val="cs-CZ"/>
        </w:rPr>
      </w:pPr>
      <w:r w:rsidRPr="003B6E11">
        <w:rPr>
          <w:lang w:val="cs-CZ"/>
        </w:rPr>
        <w:t>b)</w:t>
      </w:r>
      <w:r w:rsidRPr="003B6E11">
        <w:rPr>
          <w:lang w:val="cs-CZ"/>
        </w:rPr>
        <w:tab/>
        <w:t>z kormidelny.</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2.10.6</w:t>
      </w:r>
      <w:r w:rsidRPr="003B6E11">
        <w:rPr>
          <w:lang w:val="cs-CZ"/>
        </w:rPr>
        <w:tab/>
        <w:t>Z důvodu bezpečné izolace systému přívodu paliva musí být každý plynový spotřebič vybaven sadou dvojitých blokovacích a odvzdušňovacích ventilů. Dva blokovací ventily musí být zavíracího typu (fail-to-close), zatímco ventilační ventil musí být otevíracího typu (fail-to-open).</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2.10.7</w:t>
      </w:r>
      <w:r w:rsidRPr="003B6E11">
        <w:rPr>
          <w:lang w:val="cs-CZ"/>
        </w:rPr>
        <w:tab/>
        <w:t>U instalací s několika motory, kde je každý motor a jednomotorová instalace opatřena samostatným hlavním uzávěrem plynného paliva, je možné funkci hlavního uzávěru a funkci dvojitého blokovacího a odvzdušňovacího ventilu zkombinovat v jednom. Jeden uzavírací ventil dvojitého blokovacího a odvzdušňovacího ventilu musí být možné ovládat manuálně.</w:t>
      </w:r>
    </w:p>
    <w:p w:rsidR="003B6E11" w:rsidRPr="003B6E11" w:rsidRDefault="003B6E11" w:rsidP="003B6E11">
      <w:pPr>
        <w:pStyle w:val="Esann8ch"/>
        <w:rPr>
          <w:lang w:val="cs-CZ"/>
        </w:rPr>
      </w:pPr>
    </w:p>
    <w:p w:rsidR="003B6E11" w:rsidRPr="003B6E11" w:rsidRDefault="003B6E11" w:rsidP="003B6E11">
      <w:pPr>
        <w:pStyle w:val="Esann8chgras"/>
        <w:rPr>
          <w:lang w:val="cs-CZ"/>
        </w:rPr>
      </w:pPr>
      <w:r w:rsidRPr="003B6E11">
        <w:rPr>
          <w:lang w:val="cs-CZ"/>
        </w:rPr>
        <w:t>2.11</w:t>
      </w:r>
      <w:r w:rsidRPr="003B6E11">
        <w:rPr>
          <w:lang w:val="cs-CZ"/>
        </w:rPr>
        <w:tab/>
        <w:t>Výfukový systém a zastavení přívodu plynu</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2.11.1</w:t>
      </w:r>
      <w:r w:rsidRPr="003B6E11">
        <w:rPr>
          <w:lang w:val="cs-CZ"/>
        </w:rPr>
        <w:tab/>
        <w:t>Výfukový systém musí být konfigurován tak, aby docházelo k co nejmenšímu hromadění nespáleného plynného paliva.</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2.11.2</w:t>
      </w:r>
      <w:r w:rsidRPr="003B6E11">
        <w:rPr>
          <w:lang w:val="cs-CZ"/>
        </w:rPr>
        <w:tab/>
        <w:t>Součásti nebo systémy motoru, ve kterých se může nacházet zápalná směs plynu a vzduchu, musí být vybaveny vhodnými přetlakovými zařízeními, nejsou-li konstruovány tak, aby odolaly největšímu možnému přetlaku způsobenému zapáleným uniklým plynem.</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2.11.3</w:t>
      </w:r>
      <w:r w:rsidRPr="003B6E11">
        <w:rPr>
          <w:lang w:val="cs-CZ"/>
        </w:rPr>
        <w:tab/>
        <w:t>Pokud před zastavením není přívod paliva změněn z plynu na topný olej (naftu), musí být systém přívodu plynu od hlavního uzávěru plynného paliva až do motoru a výfukový systém vyprázdněny, aby byl odstraněn zbytkový plyn.</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2.11.4</w:t>
      </w:r>
      <w:r w:rsidRPr="003B6E11">
        <w:rPr>
          <w:lang w:val="cs-CZ"/>
        </w:rPr>
        <w:tab/>
        <w:t xml:space="preserve">Musí být k dispozici prostředek k monitorování a detekování nesprávného fungování zapalovacího systému, špatného spalování nebo nenastartování, což může vést k tomu, že se během provozu ve výfukovém systému vyskytne nespálené plynné palivo.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2.11.5</w:t>
      </w:r>
      <w:r w:rsidRPr="003B6E11">
        <w:rPr>
          <w:lang w:val="cs-CZ"/>
        </w:rPr>
        <w:tab/>
        <w:t>Pokud je detekováno nesprávné fungování zapalovacího systému, špatné spalování nebo nenastartování, systém přívodu plynu se musí automaticky zastavit.</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2.11.6</w:t>
      </w:r>
      <w:r w:rsidRPr="003B6E11">
        <w:rPr>
          <w:lang w:val="cs-CZ"/>
        </w:rPr>
        <w:tab/>
        <w:t>Výfukové trubky plynových motorů nebo motorů dual fuel nesmí být připojeny k výfukovým trubkám jiných motorů nebo systémů.</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2.11.7</w:t>
      </w:r>
      <w:r w:rsidRPr="003B6E11">
        <w:rPr>
          <w:lang w:val="cs-CZ"/>
        </w:rPr>
        <w:tab/>
        <w:t>V případě normálního zastavení nebo nouzového odstavení (ESD) se systém přívodu plynu musí zastavit dříve než zdroj zapalování. Nesmí být možné zastavit zdroj zapalování, aniž by předtím nebo současně s tím nebyl zastaven přívod plynu do každého válce nebo do celého motoru.</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2.11.8</w:t>
      </w:r>
      <w:r w:rsidRPr="003B6E11">
        <w:rPr>
          <w:lang w:val="cs-CZ"/>
        </w:rPr>
        <w:tab/>
        <w:t>V případě zastavení přívodu plynu u motoru dual fuel musí být motor schopen bez přerušení přejít na pohon pouze na topný olej (naftu).</w:t>
      </w:r>
    </w:p>
    <w:p w:rsidR="003B6E11" w:rsidRPr="003B6E11" w:rsidRDefault="003B6E11" w:rsidP="003B6E11">
      <w:pPr>
        <w:pStyle w:val="Esann8ch"/>
        <w:rPr>
          <w:lang w:val="cs-CZ"/>
        </w:rPr>
      </w:pPr>
    </w:p>
    <w:p w:rsidR="003B6E11" w:rsidRPr="003B6E11" w:rsidRDefault="003B6E11" w:rsidP="003B6E11">
      <w:pPr>
        <w:pStyle w:val="Esann8ch"/>
        <w:rPr>
          <w:lang w:val="cs-CZ"/>
        </w:rPr>
      </w:pPr>
    </w:p>
    <w:p w:rsidR="003B6E11" w:rsidRPr="003B6E11" w:rsidRDefault="003B6E11" w:rsidP="003B6E11">
      <w:pPr>
        <w:rPr>
          <w:rFonts w:eastAsia="Calibri" w:cs="Arial"/>
          <w:color w:val="000000"/>
          <w:szCs w:val="20"/>
          <w:lang w:val="cs-CZ"/>
        </w:rPr>
      </w:pPr>
      <w:r w:rsidRPr="003B6E11">
        <w:rPr>
          <w:lang w:val="cs-CZ"/>
        </w:rPr>
        <w:br w:type="page"/>
      </w:r>
    </w:p>
    <w:p w:rsidR="003B6E11" w:rsidRPr="003B6E11" w:rsidRDefault="003B6E11" w:rsidP="003B6E11">
      <w:pPr>
        <w:pStyle w:val="Esann8ch"/>
        <w:rPr>
          <w:lang w:val="cs-CZ"/>
        </w:rPr>
      </w:pPr>
    </w:p>
    <w:p w:rsidR="003B6E11" w:rsidRPr="003B6E11" w:rsidRDefault="003B6E11" w:rsidP="003B6E11">
      <w:pPr>
        <w:pStyle w:val="Esann8titrechap"/>
        <w:rPr>
          <w:lang w:val="cs-CZ"/>
        </w:rPr>
      </w:pPr>
      <w:r w:rsidRPr="003B6E11">
        <w:rPr>
          <w:lang w:val="cs-CZ"/>
        </w:rPr>
        <w:t>Kapitola 3</w:t>
      </w:r>
    </w:p>
    <w:p w:rsidR="003B6E11" w:rsidRPr="003B6E11" w:rsidRDefault="003B6E11" w:rsidP="003B6E11">
      <w:pPr>
        <w:pStyle w:val="Esann8titrechap"/>
        <w:rPr>
          <w:lang w:val="cs-CZ"/>
        </w:rPr>
      </w:pPr>
      <w:r w:rsidRPr="003B6E11">
        <w:rPr>
          <w:lang w:val="cs-CZ"/>
        </w:rPr>
        <w:t>Požární bezpečnost</w:t>
      </w:r>
    </w:p>
    <w:p w:rsidR="003B6E11" w:rsidRPr="003B6E11" w:rsidRDefault="003B6E11" w:rsidP="003B6E11">
      <w:pPr>
        <w:pStyle w:val="Esannch"/>
      </w:pPr>
    </w:p>
    <w:p w:rsidR="003B6E11" w:rsidRPr="003B6E11" w:rsidRDefault="003B6E11" w:rsidP="003B6E11">
      <w:pPr>
        <w:pStyle w:val="Esann8chgras"/>
        <w:rPr>
          <w:rFonts w:eastAsia="Calibri"/>
          <w:lang w:val="cs-CZ"/>
        </w:rPr>
      </w:pPr>
      <w:r w:rsidRPr="003B6E11">
        <w:rPr>
          <w:lang w:val="cs-CZ"/>
        </w:rPr>
        <w:t>3.1</w:t>
      </w:r>
      <w:r w:rsidRPr="003B6E11">
        <w:rPr>
          <w:lang w:val="cs-CZ"/>
        </w:rPr>
        <w:tab/>
        <w:t>Obecně</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3.1.1</w:t>
      </w:r>
      <w:r w:rsidRPr="003B6E11">
        <w:rPr>
          <w:lang w:val="cs-CZ"/>
        </w:rPr>
        <w:tab/>
        <w:t>Musí být k dispozici opatření k detekování požáru, ochraně před ním a jeho hašení, jež odpovídají úrovni nebezpečí.</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3.1.2</w:t>
      </w:r>
      <w:r w:rsidRPr="003B6E11">
        <w:rPr>
          <w:lang w:val="cs-CZ"/>
        </w:rPr>
        <w:tab/>
        <w:t>Systém přípravy plynu se pro účely požární ochrany považuje za strojovnu.</w:t>
      </w:r>
    </w:p>
    <w:p w:rsidR="003B6E11" w:rsidRPr="003B6E11" w:rsidRDefault="003B6E11" w:rsidP="003B6E11">
      <w:pPr>
        <w:pStyle w:val="Esann8ch"/>
        <w:rPr>
          <w:lang w:val="cs-CZ"/>
        </w:rPr>
      </w:pPr>
    </w:p>
    <w:p w:rsidR="003B6E11" w:rsidRPr="003B6E11" w:rsidRDefault="003B6E11" w:rsidP="003B6E11">
      <w:pPr>
        <w:pStyle w:val="Esann8chgras"/>
        <w:rPr>
          <w:lang w:val="cs-CZ"/>
        </w:rPr>
      </w:pPr>
      <w:r w:rsidRPr="003B6E11">
        <w:rPr>
          <w:lang w:val="cs-CZ"/>
        </w:rPr>
        <w:t>3.2</w:t>
      </w:r>
      <w:r w:rsidRPr="003B6E11">
        <w:rPr>
          <w:lang w:val="cs-CZ"/>
        </w:rPr>
        <w:tab/>
        <w:t>Požární poplašný systém</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3.2.1</w:t>
      </w:r>
      <w:r w:rsidRPr="003B6E11">
        <w:rPr>
          <w:lang w:val="cs-CZ"/>
        </w:rPr>
        <w:tab/>
        <w:t xml:space="preserve">Ve všech místnostech systému LNG, kde nelze vyloučit požár, musí být instalován vhodný pevný požární poplašný systém.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3.2.2</w:t>
      </w:r>
      <w:r w:rsidRPr="003B6E11">
        <w:rPr>
          <w:lang w:val="cs-CZ"/>
        </w:rPr>
        <w:tab/>
        <w:t>Detektory kouře nejsou dostatečným prostředkem pro rychlou detekci požáru.</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3.2.3</w:t>
      </w:r>
      <w:r w:rsidRPr="003B6E11">
        <w:rPr>
          <w:lang w:val="cs-CZ"/>
        </w:rPr>
        <w:tab/>
        <w:t>Systém detekce požáru musí být schopen identifikovat jednotlivé detektory.</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3.2.4</w:t>
      </w:r>
      <w:r w:rsidRPr="003B6E11">
        <w:rPr>
          <w:lang w:val="cs-CZ"/>
        </w:rPr>
        <w:tab/>
        <w:t>Plynový bezpečnostní systém musí v okamžiku, kdy je v místnostech obsahujících plynové instalace detekován požár, automaticky odstavit relevantní části systému přívodu paliva.</w:t>
      </w:r>
    </w:p>
    <w:p w:rsidR="003B6E11" w:rsidRPr="003B6E11" w:rsidRDefault="003B6E11" w:rsidP="003B6E11">
      <w:pPr>
        <w:pStyle w:val="Esann8ch"/>
        <w:rPr>
          <w:lang w:val="cs-CZ"/>
        </w:rPr>
      </w:pPr>
    </w:p>
    <w:p w:rsidR="003B6E11" w:rsidRPr="003B6E11" w:rsidRDefault="003B6E11" w:rsidP="003B6E11">
      <w:pPr>
        <w:pStyle w:val="Esann8chgras"/>
        <w:rPr>
          <w:lang w:val="cs-CZ"/>
        </w:rPr>
      </w:pPr>
      <w:r w:rsidRPr="003B6E11">
        <w:rPr>
          <w:lang w:val="cs-CZ"/>
        </w:rPr>
        <w:t>3.3</w:t>
      </w:r>
      <w:r w:rsidRPr="003B6E11">
        <w:rPr>
          <w:lang w:val="cs-CZ"/>
        </w:rPr>
        <w:tab/>
        <w:t xml:space="preserve">Požární ochrana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3.3.1</w:t>
      </w:r>
      <w:r w:rsidRPr="003B6E11">
        <w:rPr>
          <w:lang w:val="cs-CZ"/>
        </w:rPr>
        <w:tab/>
        <w:t>Obytné prostory, prostory pro cestující, strojovny a únikové cesty musí být chráněny přepážkami typu A60, pokud se nacházejí ve vzdálenosti méně než 3,00 m od nádrží na LNG a tankovacích stanovišť na palubě.</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3.3.2</w:t>
      </w:r>
      <w:r w:rsidRPr="003B6E11">
        <w:rPr>
          <w:lang w:val="cs-CZ"/>
        </w:rPr>
        <w:tab/>
        <w:t>Hranice místností s nádržemi na LNG a ventilační roury vedoucí do těchto místností pod přepážkovou palubou musí vyhovovat typu A60. Pokud však místnost sousedí s nádržemi, prázdnými prostorami, pomocnými strojovnami se zanedbatelným či nulovým rizikem požáru, sanitárními a podobnými prostorami, může izolace vyhovovat typu A0.</w:t>
      </w:r>
    </w:p>
    <w:p w:rsidR="003B6E11" w:rsidRPr="003B6E11" w:rsidRDefault="003B6E11" w:rsidP="003B6E11">
      <w:pPr>
        <w:pStyle w:val="Esann8ch"/>
        <w:rPr>
          <w:lang w:val="cs-CZ"/>
        </w:rPr>
      </w:pPr>
    </w:p>
    <w:p w:rsidR="003B6E11" w:rsidRPr="003B6E11" w:rsidRDefault="003B6E11" w:rsidP="003B6E11">
      <w:pPr>
        <w:pStyle w:val="Esann8chgras"/>
        <w:rPr>
          <w:lang w:val="cs-CZ"/>
        </w:rPr>
      </w:pPr>
      <w:r w:rsidRPr="003B6E11">
        <w:rPr>
          <w:lang w:val="cs-CZ"/>
        </w:rPr>
        <w:t>3.4</w:t>
      </w:r>
      <w:r w:rsidRPr="003B6E11">
        <w:rPr>
          <w:lang w:val="cs-CZ"/>
        </w:rPr>
        <w:tab/>
        <w:t>Požární prevence a chlazení</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3.4.1</w:t>
      </w:r>
      <w:r w:rsidRPr="003B6E11">
        <w:rPr>
          <w:lang w:val="cs-CZ"/>
        </w:rPr>
        <w:tab/>
        <w:t xml:space="preserve">Pro účel chlazení a požární prevence exponovaných částí nádrží na LNG umístěných na otevřené palubě se instaluje vodní postřikový systém.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3.4.2</w:t>
      </w:r>
      <w:r w:rsidRPr="003B6E11">
        <w:rPr>
          <w:lang w:val="cs-CZ"/>
        </w:rPr>
        <w:tab/>
        <w:t>Je-li vodní postřikový systém součástí protipožárních systémů zmíněných v článku 13.04 nebo 13.05, musí být požadovaná kapacita a pracovní tlak požárních čerpadel dostatečný natolik, aby bylo zajištěno fungování jak požadovaného počtu hydrantů a hadic, tak vodního postřikového systému najednou. Vodní postřikový systém a protipožární systémy zmíněné v článku 13.04 nebo 13.05 jsou spojeny uzamykatelným vřetenovým zpětným ventilem.</w:t>
      </w:r>
    </w:p>
    <w:p w:rsidR="003B6E11" w:rsidRPr="003B6E11" w:rsidRDefault="003B6E11" w:rsidP="003B6E11">
      <w:pPr>
        <w:pStyle w:val="Esann8ch"/>
        <w:rPr>
          <w:lang w:val="cs-CZ"/>
        </w:rPr>
      </w:pPr>
    </w:p>
    <w:p w:rsidR="003B6E11" w:rsidRPr="003B6E11" w:rsidRDefault="003B6E11" w:rsidP="003B6E11">
      <w:pPr>
        <w:rPr>
          <w:rFonts w:eastAsia="Calibri" w:cs="Arial"/>
          <w:color w:val="000000"/>
          <w:szCs w:val="20"/>
          <w:lang w:val="cs-CZ"/>
        </w:rPr>
      </w:pPr>
      <w:r w:rsidRPr="003B6E11">
        <w:rPr>
          <w:lang w:val="cs-CZ"/>
        </w:rPr>
        <w:br w:type="page"/>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3.4.3</w:t>
      </w:r>
      <w:r w:rsidRPr="003B6E11">
        <w:rPr>
          <w:lang w:val="cs-CZ"/>
        </w:rPr>
        <w:tab/>
        <w:t>Jsou-li protipožární systémy zmíněné v článku 13.04 nebo 13.05 instalovány na palubě plavidla, na němž je nádrž na LNG umístěna na otevřené palubě, musí být v protipožárních systémech instalovány izolační ventily za účelem izolace poškozených částí protipožárních systémů. Izolací části protipožárního systému nesmí dojít k přerušení dodávky vody za izolovanou částí.</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3.4.4</w:t>
      </w:r>
      <w:r w:rsidRPr="003B6E11">
        <w:rPr>
          <w:lang w:val="cs-CZ"/>
        </w:rPr>
        <w:tab/>
        <w:t xml:space="preserve">Vodní postřikový systém musí pokrývat také hranice nástaveb, a to pokud je nádrž umístěna ve vzdálenosti menší než 3,00 m od těchto hranic.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3.4.5</w:t>
      </w:r>
      <w:r w:rsidRPr="003B6E11">
        <w:rPr>
          <w:lang w:val="cs-CZ"/>
        </w:rPr>
        <w:tab/>
        <w:t>Vodní postřikový systém musí být navržen tak, aby pokrýval všechny výše uvedené prostory při dávkování 10 l/min/m</w:t>
      </w:r>
      <w:r w:rsidRPr="003B6E11">
        <w:rPr>
          <w:vertAlign w:val="superscript"/>
          <w:lang w:val="cs-CZ"/>
        </w:rPr>
        <w:t>2</w:t>
      </w:r>
      <w:r w:rsidRPr="003B6E11">
        <w:rPr>
          <w:lang w:val="cs-CZ"/>
        </w:rPr>
        <w:t xml:space="preserve"> u vodorovných povrchů a 4 l/min/m</w:t>
      </w:r>
      <w:r w:rsidRPr="003B6E11">
        <w:rPr>
          <w:vertAlign w:val="superscript"/>
          <w:lang w:val="cs-CZ"/>
        </w:rPr>
        <w:t>2</w:t>
      </w:r>
      <w:r w:rsidRPr="003B6E11">
        <w:rPr>
          <w:lang w:val="cs-CZ"/>
        </w:rPr>
        <w:t xml:space="preserve"> u svislých povrchů.</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3.4.6</w:t>
      </w:r>
      <w:r w:rsidRPr="003B6E11">
        <w:rPr>
          <w:lang w:val="cs-CZ"/>
        </w:rPr>
        <w:tab/>
        <w:t xml:space="preserve">Vodní postřikový systém musí být možné spustit z kormidelny a z paluby.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3.4.7</w:t>
      </w:r>
      <w:r w:rsidRPr="003B6E11">
        <w:rPr>
          <w:lang w:val="cs-CZ"/>
        </w:rPr>
        <w:tab/>
        <w:t>Trysky musí být uspořádány tak, aby voda byla účinně distribuována napříč celým chráněným prostorem.</w:t>
      </w:r>
    </w:p>
    <w:p w:rsidR="003B6E11" w:rsidRPr="003B6E11" w:rsidRDefault="003B6E11" w:rsidP="003B6E11">
      <w:pPr>
        <w:pStyle w:val="Esann8ch"/>
        <w:rPr>
          <w:lang w:val="cs-CZ"/>
        </w:rPr>
      </w:pPr>
    </w:p>
    <w:p w:rsidR="003B6E11" w:rsidRPr="003B6E11" w:rsidRDefault="003B6E11" w:rsidP="003B6E11">
      <w:pPr>
        <w:pStyle w:val="Esann8chgras"/>
        <w:rPr>
          <w:lang w:val="cs-CZ"/>
        </w:rPr>
      </w:pPr>
      <w:r w:rsidRPr="003B6E11">
        <w:rPr>
          <w:lang w:val="cs-CZ"/>
        </w:rPr>
        <w:t>3.5</w:t>
      </w:r>
      <w:r w:rsidRPr="003B6E11">
        <w:rPr>
          <w:lang w:val="cs-CZ"/>
        </w:rPr>
        <w:tab/>
        <w:t>Hašení požáru</w:t>
      </w:r>
    </w:p>
    <w:p w:rsidR="003B6E11" w:rsidRPr="003B6E11" w:rsidRDefault="003B6E11" w:rsidP="003B6E11">
      <w:pPr>
        <w:pStyle w:val="Esann8ch"/>
        <w:rPr>
          <w:lang w:val="cs-CZ"/>
        </w:rPr>
      </w:pPr>
    </w:p>
    <w:p w:rsidR="003B6E11" w:rsidRPr="003B6E11" w:rsidRDefault="003B6E11" w:rsidP="003B6E11">
      <w:pPr>
        <w:pStyle w:val="Esann8chpar"/>
        <w:rPr>
          <w:lang w:val="cs-CZ"/>
        </w:rPr>
      </w:pPr>
      <w:r w:rsidRPr="003B6E11">
        <w:rPr>
          <w:lang w:val="cs-CZ"/>
        </w:rPr>
        <w:t>Navíc k požadavkům článku 13.03 musí být v blízkosti tankovacího stanoviště umístěny dva další přenosné suché práškové hasicí přístroje s kapacitou alespoň 12 kg. Musí být vhodné pro požáry třídy C.</w:t>
      </w:r>
    </w:p>
    <w:p w:rsidR="003B6E11" w:rsidRPr="003B6E11" w:rsidRDefault="003B6E11" w:rsidP="003B6E11">
      <w:pPr>
        <w:pStyle w:val="Esann8ch"/>
        <w:rPr>
          <w:lang w:val="cs-CZ"/>
        </w:rPr>
      </w:pPr>
    </w:p>
    <w:p w:rsidR="003B6E11" w:rsidRPr="003B6E11" w:rsidRDefault="003B6E11" w:rsidP="003B6E11">
      <w:pPr>
        <w:pStyle w:val="Esann8ch"/>
        <w:rPr>
          <w:lang w:val="cs-CZ"/>
        </w:rPr>
      </w:pPr>
    </w:p>
    <w:p w:rsidR="003B6E11" w:rsidRPr="003B6E11" w:rsidRDefault="003B6E11" w:rsidP="003B6E11">
      <w:pPr>
        <w:pStyle w:val="Esann8titrechap"/>
        <w:rPr>
          <w:rFonts w:eastAsia="Calibri"/>
          <w:lang w:val="cs-CZ"/>
        </w:rPr>
      </w:pPr>
      <w:r w:rsidRPr="003B6E11">
        <w:rPr>
          <w:lang w:val="cs-CZ"/>
        </w:rPr>
        <w:t>Kapitola 4</w:t>
      </w:r>
    </w:p>
    <w:p w:rsidR="003B6E11" w:rsidRPr="003B6E11" w:rsidRDefault="003B6E11" w:rsidP="003B6E11">
      <w:pPr>
        <w:pStyle w:val="Esann8titrechap"/>
        <w:rPr>
          <w:lang w:val="cs-CZ"/>
        </w:rPr>
      </w:pPr>
      <w:r w:rsidRPr="003B6E11">
        <w:rPr>
          <w:lang w:val="cs-CZ"/>
        </w:rPr>
        <w:t>Elektrické systémy</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4.1</w:t>
      </w:r>
      <w:r w:rsidRPr="003B6E11">
        <w:rPr>
          <w:lang w:val="cs-CZ"/>
        </w:rPr>
        <w:tab/>
        <w:t>Nebezpečné oblasti musí být vybaveny vybavením vhodného typu podle zóny, ve které je vybavení instalováno.</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4.2</w:t>
      </w:r>
      <w:r w:rsidRPr="003B6E11">
        <w:rPr>
          <w:lang w:val="cs-CZ"/>
        </w:rPr>
        <w:tab/>
        <w:t xml:space="preserve">Systémy generování a distribuce elektrické energie a související ovládací systémy musí být navrženy tak, aby jedinou poruchou nedošlo k uvolnění plynu.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4.3</w:t>
      </w:r>
      <w:r w:rsidRPr="003B6E11">
        <w:rPr>
          <w:lang w:val="cs-CZ"/>
        </w:rPr>
        <w:tab/>
        <w:t>Systém osvětlení v nebezpečných prostorách musí být rozdělen na nejméně dva větvené obvody. Všechny vypínače a ochranná zařízení musí odpojovat všechny póly a fáze a musí být umístěny v bezpečném prostoru.</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4.4</w:t>
      </w:r>
      <w:r w:rsidRPr="003B6E11">
        <w:rPr>
          <w:lang w:val="cs-CZ"/>
        </w:rPr>
        <w:tab/>
        <w:t>V systémech uložení LNG mohou být instalovány ponořené motory plynových čerpadel a jejich napájecí kabely. V případě nízké hladiny musí zaznít poplašný signál a v případě nízké-nízké hladiny musí dojít k automatickému odstavení motorů. Automatické odstavení může být vyvoláno nízkým výstupním tlakem čerpadla, nízkým proudem motoru nebo nízkou hladinou kapaliny. Toto odstavení musí být oznámeno akustickým a vizuálním signálem v kormidelně. Motory plynového čerpadla musí být během uvolňování plynu možné izolovat od elektrického přívodu.</w:t>
      </w:r>
    </w:p>
    <w:p w:rsidR="003B6E11" w:rsidRPr="003B6E11" w:rsidRDefault="003B6E11" w:rsidP="003B6E11">
      <w:pPr>
        <w:pStyle w:val="Esann8ch"/>
        <w:rPr>
          <w:bCs/>
          <w:lang w:val="cs-CZ"/>
        </w:rPr>
      </w:pPr>
    </w:p>
    <w:p w:rsidR="003B6E11" w:rsidRPr="003B6E11" w:rsidRDefault="003B6E11" w:rsidP="003B6E11">
      <w:pPr>
        <w:pStyle w:val="Esann8ch"/>
        <w:rPr>
          <w:bCs/>
          <w:lang w:val="cs-CZ"/>
        </w:rPr>
      </w:pPr>
    </w:p>
    <w:p w:rsidR="003B6E11" w:rsidRPr="003B6E11" w:rsidRDefault="003B6E11" w:rsidP="003B6E11">
      <w:pPr>
        <w:rPr>
          <w:rFonts w:eastAsia="Calibri" w:cs="Arial"/>
          <w:bCs/>
          <w:color w:val="000000"/>
          <w:szCs w:val="20"/>
          <w:lang w:val="cs-CZ"/>
        </w:rPr>
      </w:pPr>
      <w:r w:rsidRPr="003B6E11">
        <w:rPr>
          <w:lang w:val="cs-CZ"/>
        </w:rPr>
        <w:br w:type="page"/>
      </w:r>
    </w:p>
    <w:p w:rsidR="003B6E11" w:rsidRPr="003B6E11" w:rsidRDefault="003B6E11" w:rsidP="003B6E11">
      <w:pPr>
        <w:pStyle w:val="Esann8ch"/>
        <w:rPr>
          <w:bCs/>
          <w:lang w:val="cs-CZ"/>
        </w:rPr>
      </w:pPr>
    </w:p>
    <w:p w:rsidR="003B6E11" w:rsidRPr="003B6E11" w:rsidRDefault="003B6E11" w:rsidP="003B6E11">
      <w:pPr>
        <w:pStyle w:val="Esann8titrechap"/>
        <w:rPr>
          <w:lang w:val="cs-CZ"/>
        </w:rPr>
      </w:pPr>
      <w:r w:rsidRPr="003B6E11">
        <w:rPr>
          <w:lang w:val="cs-CZ"/>
        </w:rPr>
        <w:t>Kapitola 5</w:t>
      </w:r>
    </w:p>
    <w:p w:rsidR="003B6E11" w:rsidRPr="003B6E11" w:rsidRDefault="003B6E11" w:rsidP="003B6E11">
      <w:pPr>
        <w:pStyle w:val="Esann8titrechap"/>
        <w:rPr>
          <w:lang w:val="cs-CZ"/>
        </w:rPr>
      </w:pPr>
      <w:r w:rsidRPr="003B6E11">
        <w:rPr>
          <w:lang w:val="cs-CZ"/>
        </w:rPr>
        <w:t>Ovládací, monitorovací a bezpečnostní systémy</w:t>
      </w:r>
    </w:p>
    <w:p w:rsidR="003B6E11" w:rsidRPr="003B6E11" w:rsidRDefault="003B6E11" w:rsidP="003B6E11">
      <w:pPr>
        <w:pStyle w:val="Esann8ch"/>
        <w:rPr>
          <w:lang w:val="cs-CZ"/>
        </w:rPr>
      </w:pPr>
    </w:p>
    <w:p w:rsidR="003B6E11" w:rsidRPr="003B6E11" w:rsidRDefault="003B6E11" w:rsidP="003B6E11">
      <w:pPr>
        <w:pStyle w:val="Esann8chgras"/>
        <w:rPr>
          <w:lang w:val="cs-CZ"/>
        </w:rPr>
      </w:pPr>
      <w:r w:rsidRPr="003B6E11">
        <w:rPr>
          <w:lang w:val="cs-CZ"/>
        </w:rPr>
        <w:t>5.1</w:t>
      </w:r>
      <w:r w:rsidRPr="003B6E11">
        <w:rPr>
          <w:lang w:val="cs-CZ"/>
        </w:rPr>
        <w:tab/>
        <w:t>Obecně</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5.1.1</w:t>
      </w:r>
      <w:r w:rsidRPr="003B6E11">
        <w:rPr>
          <w:lang w:val="cs-CZ"/>
        </w:rPr>
        <w:tab/>
        <w:t>Aby byl zajištěn bezpečný a spolehlivý provoz, musí být k dispozici vhodné ovládací, poplašné, monitorovací a odstavné systémy.</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5.1.2</w:t>
      </w:r>
      <w:r w:rsidRPr="003B6E11">
        <w:rPr>
          <w:lang w:val="cs-CZ"/>
        </w:rPr>
        <w:tab/>
        <w:t>Systém přívodu plynu musí být vybaven systémem řízení přívodu plynu, systémem sledování plynu a plynovým bezpečnostním systémem, které jsou na sobě nezávislé. Všechny prvky těchto systémů musí být možné funkčně odzkoušet.</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5.1.3</w:t>
      </w:r>
      <w:r w:rsidRPr="003B6E11">
        <w:rPr>
          <w:lang w:val="cs-CZ"/>
        </w:rPr>
        <w:tab/>
        <w:t>Plynový bezpečnostní systém musí automaticky odstavit systém přívodu plynu při selhání systémů nezbytných pro bezpečnost a při poruchách, které se zhoršují příliš rychle na manuální zásah.</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5.1.4</w:t>
      </w:r>
      <w:r w:rsidRPr="003B6E11">
        <w:rPr>
          <w:lang w:val="cs-CZ"/>
        </w:rPr>
        <w:tab/>
        <w:t xml:space="preserve">Bezpečnostní funkce musí být uspořádány do samostatného plynového bezpečnostního systému, který je nezávislý na plynovém ovládacím systému.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5.1.5</w:t>
      </w:r>
      <w:r w:rsidRPr="003B6E11">
        <w:rPr>
          <w:lang w:val="cs-CZ"/>
        </w:rPr>
        <w:tab/>
        <w:t xml:space="preserve">Aby bylo možné místně i na dálku odečítat základní parametry, instalují se vhodná přístrojová technika, je-li nezbytná pro bezpečný provoz celého systému LNG včetně tankování. </w:t>
      </w:r>
    </w:p>
    <w:p w:rsidR="003B6E11" w:rsidRPr="003B6E11" w:rsidRDefault="003B6E11" w:rsidP="003B6E11">
      <w:pPr>
        <w:pStyle w:val="Esann8ch"/>
        <w:rPr>
          <w:b/>
          <w:bCs/>
          <w:lang w:val="cs-CZ"/>
        </w:rPr>
      </w:pPr>
    </w:p>
    <w:p w:rsidR="003B6E11" w:rsidRPr="003B6E11" w:rsidRDefault="003B6E11" w:rsidP="003B6E11">
      <w:pPr>
        <w:pStyle w:val="Esann8chgras"/>
        <w:rPr>
          <w:lang w:val="cs-CZ"/>
        </w:rPr>
      </w:pPr>
      <w:r w:rsidRPr="003B6E11">
        <w:rPr>
          <w:lang w:val="cs-CZ"/>
        </w:rPr>
        <w:t>5.2</w:t>
      </w:r>
      <w:r w:rsidRPr="003B6E11">
        <w:rPr>
          <w:lang w:val="cs-CZ"/>
        </w:rPr>
        <w:tab/>
        <w:t>Monitorování systému tankování LNG a systému uložení LNG</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5.2.1</w:t>
      </w:r>
      <w:r w:rsidRPr="003B6E11">
        <w:rPr>
          <w:lang w:val="cs-CZ"/>
        </w:rPr>
        <w:tab/>
        <w:t>Každá nádrž na LNG musí být vybavena:</w:t>
      </w:r>
    </w:p>
    <w:p w:rsidR="003B6E11" w:rsidRPr="003B6E11" w:rsidRDefault="003B6E11" w:rsidP="003B6E11">
      <w:pPr>
        <w:pStyle w:val="Esann8let"/>
        <w:rPr>
          <w:lang w:val="cs-CZ"/>
        </w:rPr>
      </w:pPr>
      <w:r w:rsidRPr="003B6E11">
        <w:rPr>
          <w:lang w:val="cs-CZ"/>
        </w:rPr>
        <w:t>a)</w:t>
      </w:r>
      <w:r w:rsidRPr="003B6E11">
        <w:rPr>
          <w:lang w:val="cs-CZ"/>
        </w:rPr>
        <w:tab/>
        <w:t>alespoň dvěma ukazateli hladiny kapaliny, které jsou uspořádány tak, aby mohly být udržovány v provozuschopném stavu;</w:t>
      </w:r>
    </w:p>
    <w:p w:rsidR="003B6E11" w:rsidRPr="003B6E11" w:rsidRDefault="003B6E11" w:rsidP="003B6E11">
      <w:pPr>
        <w:pStyle w:val="Esann8let"/>
        <w:rPr>
          <w:lang w:val="cs-CZ"/>
        </w:rPr>
      </w:pPr>
      <w:r w:rsidRPr="003B6E11">
        <w:rPr>
          <w:lang w:val="cs-CZ"/>
        </w:rPr>
        <w:t>b)</w:t>
      </w:r>
      <w:r w:rsidRPr="003B6E11">
        <w:rPr>
          <w:lang w:val="cs-CZ"/>
        </w:rPr>
        <w:tab/>
        <w:t>ukazatelem tlaku, který je schopen indikovat celý rozsah provozního tlaku a na kterém je jasně vyznačen maximální pracovní tlak nádrže na LNG;</w:t>
      </w:r>
    </w:p>
    <w:p w:rsidR="003B6E11" w:rsidRPr="003B6E11" w:rsidRDefault="003B6E11" w:rsidP="003B6E11">
      <w:pPr>
        <w:pStyle w:val="Esann8let"/>
        <w:rPr>
          <w:lang w:val="cs-CZ"/>
        </w:rPr>
      </w:pPr>
      <w:r w:rsidRPr="003B6E11">
        <w:rPr>
          <w:lang w:val="cs-CZ"/>
        </w:rPr>
        <w:t>c)</w:t>
      </w:r>
      <w:r w:rsidRPr="003B6E11">
        <w:rPr>
          <w:lang w:val="cs-CZ"/>
        </w:rPr>
        <w:tab/>
        <w:t>poplašným čidlem vysoké hladiny kapaliny, které pracuje nezávisle na ostatních ukazatelích hladiny a které při aktivaci vydává akustický a optický signál;</w:t>
      </w:r>
    </w:p>
    <w:p w:rsidR="003B6E11" w:rsidRPr="003B6E11" w:rsidRDefault="003B6E11" w:rsidP="003B6E11">
      <w:pPr>
        <w:pStyle w:val="Esann8let"/>
        <w:rPr>
          <w:lang w:val="cs-CZ"/>
        </w:rPr>
      </w:pPr>
      <w:r w:rsidRPr="003B6E11">
        <w:rPr>
          <w:lang w:val="cs-CZ"/>
        </w:rPr>
        <w:t>d)</w:t>
      </w:r>
      <w:r w:rsidRPr="003B6E11">
        <w:rPr>
          <w:lang w:val="cs-CZ"/>
        </w:rPr>
        <w:tab/>
        <w:t>doplňkovým čidlem, které pracuje nezávisle na poplašném čidle vysoké hladiny kapaliny a které automaticky uvede v chod hlavní tankovací ventil LNG, a to tak, aby nedošlo k přílišnému zvýšení tlaku v tankovacím potrubí ani k přeplnění nádrže kapalinou.</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5.2.2</w:t>
      </w:r>
      <w:r w:rsidRPr="003B6E11">
        <w:rPr>
          <w:lang w:val="cs-CZ"/>
        </w:rPr>
        <w:tab/>
        <w:t>Každý výstup z čerpadla a každá přípojka na pobřežní síť kapalného a plynného plynu musí být vybaveny alespoň jedním ukazatelem tlaku. U výstupu z čerpadla musí být ukazatel umístěn mezi čerpadlem a prvním ventilem. Na každém ukazateli musí být uvedena hodnota maximálního přípustného tlaku nebo podtlaku.</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5.2.3</w:t>
      </w:r>
      <w:r w:rsidRPr="003B6E11">
        <w:rPr>
          <w:lang w:val="cs-CZ"/>
        </w:rPr>
        <w:tab/>
        <w:t>Čerpadlo a systém uložení LNG musí být vybaveny poplašným čidlem vysokého tlaku. Je-li vyžadována ochrana i proti podtlaku, musí být vybaveny také poplašným čidlem nízkého tlaku.</w:t>
      </w:r>
    </w:p>
    <w:p w:rsidR="003B6E11" w:rsidRPr="003B6E11" w:rsidRDefault="003B6E11" w:rsidP="003B6E11">
      <w:pPr>
        <w:pStyle w:val="Esann8ch"/>
        <w:rPr>
          <w:lang w:val="cs-CZ"/>
        </w:rPr>
      </w:pPr>
    </w:p>
    <w:p w:rsidR="003B6E11" w:rsidRPr="003B6E11" w:rsidRDefault="003B6E11" w:rsidP="003B6E11">
      <w:pPr>
        <w:rPr>
          <w:rFonts w:eastAsia="Calibri" w:cs="Arial"/>
          <w:color w:val="000000"/>
          <w:szCs w:val="20"/>
          <w:lang w:val="cs-CZ"/>
        </w:rPr>
      </w:pPr>
      <w:r w:rsidRPr="003B6E11">
        <w:rPr>
          <w:lang w:val="cs-CZ"/>
        </w:rPr>
        <w:br w:type="page"/>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5.2.4</w:t>
      </w:r>
      <w:r w:rsidRPr="003B6E11">
        <w:rPr>
          <w:lang w:val="cs-CZ"/>
        </w:rPr>
        <w:tab/>
        <w:t>Řízení tankování musí být možné z bezpečného řídicího stanoviště, které je vzdáleno od tankovacího stanoviště. Na tomto řídicím stanovišti se monitorují tlak a hladina v nádrži na LNG. Musí zde být indikovány také poplašné signály přeplnění, nízkého a vysokého tlaku a automatického odstavení.</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5.2.5</w:t>
      </w:r>
      <w:r w:rsidRPr="003B6E11">
        <w:rPr>
          <w:lang w:val="cs-CZ"/>
        </w:rPr>
        <w:tab/>
        <w:t>Dojde-li k zastavení ventilace v rouře obklopující tankovací vedení, musí být na řídicím stanovišti aktivován akustický a optický signál.</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5.2.6</w:t>
      </w:r>
      <w:r w:rsidRPr="003B6E11">
        <w:rPr>
          <w:lang w:val="cs-CZ"/>
        </w:rPr>
        <w:tab/>
        <w:t>Je-li v rouře obklopující tankovací potrubí detekován plyn, musí být na řídicím stanovišti aktivován akustický a optický signál a spuštěno nouzové odstavení.</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 xml:space="preserve">5.2.7 </w:t>
      </w:r>
      <w:r w:rsidRPr="003B6E11">
        <w:rPr>
          <w:lang w:val="cs-CZ"/>
        </w:rPr>
        <w:tab/>
        <w:t>V souladu s pokyny k obsluze musí být na palubě k dispozici v dostatečném množství vhodný ochranný oděv a vybavení pro tankovací operace.</w:t>
      </w:r>
    </w:p>
    <w:p w:rsidR="003B6E11" w:rsidRPr="003B6E11" w:rsidRDefault="003B6E11" w:rsidP="003B6E11">
      <w:pPr>
        <w:pStyle w:val="Esann8ch"/>
        <w:rPr>
          <w:lang w:val="cs-CZ"/>
        </w:rPr>
      </w:pPr>
    </w:p>
    <w:p w:rsidR="003B6E11" w:rsidRPr="003B6E11" w:rsidRDefault="003B6E11" w:rsidP="003B6E11">
      <w:pPr>
        <w:pStyle w:val="Esann8ch"/>
        <w:rPr>
          <w:b/>
          <w:bCs/>
          <w:lang w:val="cs-CZ"/>
        </w:rPr>
      </w:pPr>
      <w:r w:rsidRPr="003B6E11">
        <w:rPr>
          <w:b/>
          <w:lang w:val="cs-CZ"/>
        </w:rPr>
        <w:t>5.3</w:t>
      </w:r>
      <w:r w:rsidRPr="003B6E11">
        <w:rPr>
          <w:lang w:val="cs-CZ"/>
        </w:rPr>
        <w:tab/>
      </w:r>
      <w:r w:rsidRPr="003B6E11">
        <w:rPr>
          <w:b/>
          <w:lang w:val="cs-CZ"/>
        </w:rPr>
        <w:t>Monitorování chodu motoru</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5.3.1</w:t>
      </w:r>
      <w:r w:rsidRPr="003B6E11">
        <w:rPr>
          <w:lang w:val="cs-CZ"/>
        </w:rPr>
        <w:tab/>
        <w:t>Kormidelna a strojovna musí být vybaveny ukazatelem:</w:t>
      </w:r>
    </w:p>
    <w:p w:rsidR="003B6E11" w:rsidRPr="003B6E11" w:rsidRDefault="003B6E11" w:rsidP="003B6E11">
      <w:pPr>
        <w:pStyle w:val="Esann8let"/>
        <w:rPr>
          <w:lang w:val="cs-CZ"/>
        </w:rPr>
      </w:pPr>
      <w:r w:rsidRPr="003B6E11">
        <w:rPr>
          <w:lang w:val="cs-CZ"/>
        </w:rPr>
        <w:t>a)</w:t>
      </w:r>
      <w:r w:rsidRPr="003B6E11">
        <w:rPr>
          <w:lang w:val="cs-CZ"/>
        </w:rPr>
        <w:tab/>
        <w:t>chodu motoru v případě motorů pouze na plyn, nebo</w:t>
      </w:r>
    </w:p>
    <w:p w:rsidR="003B6E11" w:rsidRPr="003B6E11" w:rsidRDefault="003B6E11" w:rsidP="003B6E11">
      <w:pPr>
        <w:pStyle w:val="Esann8let"/>
        <w:rPr>
          <w:lang w:val="cs-CZ"/>
        </w:rPr>
      </w:pPr>
      <w:r w:rsidRPr="003B6E11">
        <w:rPr>
          <w:lang w:val="cs-CZ"/>
        </w:rPr>
        <w:t>b)</w:t>
      </w:r>
      <w:r w:rsidRPr="003B6E11">
        <w:rPr>
          <w:lang w:val="cs-CZ"/>
        </w:rPr>
        <w:tab/>
        <w:t>chodu a režimu provozu motoru v případě motorů dual fuel.</w:t>
      </w:r>
    </w:p>
    <w:p w:rsidR="003B6E11" w:rsidRPr="003B6E11" w:rsidRDefault="003B6E11" w:rsidP="003B6E11">
      <w:pPr>
        <w:pStyle w:val="Esann8ch"/>
        <w:rPr>
          <w:lang w:val="cs-CZ"/>
        </w:rPr>
      </w:pPr>
    </w:p>
    <w:p w:rsidR="003B6E11" w:rsidRPr="003B6E11" w:rsidRDefault="003B6E11" w:rsidP="003B6E11">
      <w:pPr>
        <w:pStyle w:val="Esann8chgras"/>
        <w:rPr>
          <w:lang w:val="cs-CZ"/>
        </w:rPr>
      </w:pPr>
      <w:r w:rsidRPr="003B6E11">
        <w:rPr>
          <w:lang w:val="cs-CZ"/>
        </w:rPr>
        <w:t>5.4</w:t>
      </w:r>
      <w:r w:rsidRPr="003B6E11">
        <w:rPr>
          <w:lang w:val="cs-CZ"/>
        </w:rPr>
        <w:tab/>
        <w:t>Zařízení pro varování před únikem plynu</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5.4.1</w:t>
      </w:r>
      <w:r w:rsidRPr="003B6E11">
        <w:rPr>
          <w:lang w:val="cs-CZ"/>
        </w:rPr>
        <w:tab/>
        <w:t>Zařízení pro varování před únikem plynu musí být navrženo, instalováno a odzkoušeno v souladu s uznanou normou, např. evropskou normou EN 60079-29-1:2007.</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5.4.2</w:t>
      </w:r>
      <w:r w:rsidRPr="003B6E11">
        <w:rPr>
          <w:lang w:val="cs-CZ"/>
        </w:rPr>
        <w:tab/>
        <w:t>Pevně instalované detektory plynu musí být nainstalovány:</w:t>
      </w:r>
    </w:p>
    <w:p w:rsidR="003B6E11" w:rsidRPr="003B6E11" w:rsidRDefault="003B6E11" w:rsidP="003B6E11">
      <w:pPr>
        <w:pStyle w:val="Esann8let"/>
        <w:rPr>
          <w:lang w:val="cs-CZ"/>
        </w:rPr>
      </w:pPr>
      <w:r w:rsidRPr="003B6E11">
        <w:rPr>
          <w:lang w:val="cs-CZ"/>
        </w:rPr>
        <w:t>a)</w:t>
      </w:r>
      <w:r w:rsidRPr="003B6E11">
        <w:rPr>
          <w:lang w:val="cs-CZ"/>
        </w:rPr>
        <w:tab/>
        <w:t>v prostoru přípojek k nádržím, včetně palivových nádrží, potrubních přípojek a prvních ventilů;</w:t>
      </w:r>
    </w:p>
    <w:p w:rsidR="003B6E11" w:rsidRPr="003B6E11" w:rsidRDefault="003B6E11" w:rsidP="003B6E11">
      <w:pPr>
        <w:pStyle w:val="Esann8let"/>
        <w:rPr>
          <w:lang w:val="cs-CZ"/>
        </w:rPr>
      </w:pPr>
      <w:r w:rsidRPr="003B6E11">
        <w:rPr>
          <w:lang w:val="cs-CZ"/>
        </w:rPr>
        <w:t>b)</w:t>
      </w:r>
      <w:r w:rsidRPr="003B6E11">
        <w:rPr>
          <w:lang w:val="cs-CZ"/>
        </w:rPr>
        <w:tab/>
        <w:t>v potrubích okolo plynových trubek;</w:t>
      </w:r>
    </w:p>
    <w:p w:rsidR="003B6E11" w:rsidRPr="003B6E11" w:rsidRDefault="003B6E11" w:rsidP="003B6E11">
      <w:pPr>
        <w:pStyle w:val="Esann8let"/>
        <w:rPr>
          <w:lang w:val="cs-CZ"/>
        </w:rPr>
      </w:pPr>
      <w:r w:rsidRPr="003B6E11">
        <w:rPr>
          <w:lang w:val="cs-CZ"/>
        </w:rPr>
        <w:t>c)</w:t>
      </w:r>
      <w:r w:rsidRPr="003B6E11">
        <w:rPr>
          <w:lang w:val="cs-CZ"/>
        </w:rPr>
        <w:tab/>
        <w:t>ve strojovnách, kde se nacházejí plynové trubky, plynová zařízení nebo plynové spotřebiče;</w:t>
      </w:r>
    </w:p>
    <w:p w:rsidR="003B6E11" w:rsidRPr="003B6E11" w:rsidRDefault="003B6E11" w:rsidP="003B6E11">
      <w:pPr>
        <w:pStyle w:val="Esann8let"/>
        <w:rPr>
          <w:lang w:val="cs-CZ"/>
        </w:rPr>
      </w:pPr>
      <w:r w:rsidRPr="003B6E11">
        <w:rPr>
          <w:lang w:val="cs-CZ"/>
        </w:rPr>
        <w:t>d)</w:t>
      </w:r>
      <w:r w:rsidRPr="003B6E11">
        <w:rPr>
          <w:lang w:val="cs-CZ"/>
        </w:rPr>
        <w:tab/>
        <w:t>v místnosti, kde se nachází systém přípravy plynu;</w:t>
      </w:r>
    </w:p>
    <w:p w:rsidR="003B6E11" w:rsidRPr="003B6E11" w:rsidRDefault="003B6E11" w:rsidP="003B6E11">
      <w:pPr>
        <w:pStyle w:val="Esann8let"/>
        <w:rPr>
          <w:lang w:val="cs-CZ"/>
        </w:rPr>
      </w:pPr>
      <w:r w:rsidRPr="003B6E11">
        <w:rPr>
          <w:lang w:val="cs-CZ"/>
        </w:rPr>
        <w:t>e)</w:t>
      </w:r>
      <w:r w:rsidRPr="003B6E11">
        <w:rPr>
          <w:lang w:val="cs-CZ"/>
        </w:rPr>
        <w:tab/>
        <w:t>v jiných uzavřených místnostech, kde se nachází plynové trubky nebo jiné plynové vybavení bez rour;</w:t>
      </w:r>
    </w:p>
    <w:p w:rsidR="003B6E11" w:rsidRPr="003B6E11" w:rsidRDefault="003B6E11" w:rsidP="003B6E11">
      <w:pPr>
        <w:pStyle w:val="Esann8let"/>
        <w:rPr>
          <w:lang w:val="cs-CZ"/>
        </w:rPr>
      </w:pPr>
      <w:r w:rsidRPr="003B6E11">
        <w:rPr>
          <w:lang w:val="cs-CZ"/>
        </w:rPr>
        <w:t>f)</w:t>
      </w:r>
      <w:r w:rsidRPr="003B6E11">
        <w:rPr>
          <w:lang w:val="cs-CZ"/>
        </w:rPr>
        <w:tab/>
        <w:t>v jiných uzavřených nebo polouzavřených místnostech, kde se mohou hromadit plynné výpary, například prostory mezi bariérami a místnosti s nezávislými nádržemi na LNG jinými než typu C;</w:t>
      </w:r>
    </w:p>
    <w:p w:rsidR="003B6E11" w:rsidRPr="003B6E11" w:rsidRDefault="003B6E11" w:rsidP="003B6E11">
      <w:pPr>
        <w:pStyle w:val="Esann8let"/>
        <w:rPr>
          <w:lang w:val="cs-CZ"/>
        </w:rPr>
      </w:pPr>
      <w:r w:rsidRPr="003B6E11">
        <w:rPr>
          <w:lang w:val="cs-CZ"/>
        </w:rPr>
        <w:t>g)</w:t>
      </w:r>
      <w:r w:rsidRPr="003B6E11">
        <w:rPr>
          <w:lang w:val="cs-CZ"/>
        </w:rPr>
        <w:tab/>
        <w:t>ve vzduchových komorách a</w:t>
      </w:r>
    </w:p>
    <w:p w:rsidR="003B6E11" w:rsidRPr="003B6E11" w:rsidRDefault="003B6E11" w:rsidP="003B6E11">
      <w:pPr>
        <w:pStyle w:val="Esann8let"/>
        <w:rPr>
          <w:lang w:val="cs-CZ"/>
        </w:rPr>
      </w:pPr>
      <w:r w:rsidRPr="003B6E11">
        <w:rPr>
          <w:lang w:val="cs-CZ"/>
        </w:rPr>
        <w:t>h)</w:t>
      </w:r>
      <w:r w:rsidRPr="003B6E11">
        <w:rPr>
          <w:lang w:val="cs-CZ"/>
        </w:rPr>
        <w:tab/>
        <w:t>ve ventilačních otvorech do místností, kde se mohou hromadit plynné výpary.</w:t>
      </w:r>
    </w:p>
    <w:p w:rsidR="003B6E11" w:rsidRPr="003B6E11" w:rsidRDefault="003B6E11" w:rsidP="003B6E11">
      <w:pPr>
        <w:pStyle w:val="Esann8ch"/>
        <w:rPr>
          <w:lang w:val="cs-CZ"/>
        </w:rPr>
      </w:pPr>
    </w:p>
    <w:p w:rsidR="003B6E11" w:rsidRPr="003B6E11" w:rsidRDefault="003B6E11" w:rsidP="003B6E11">
      <w:pPr>
        <w:rPr>
          <w:rFonts w:eastAsia="Calibri" w:cs="Arial"/>
          <w:color w:val="000000"/>
          <w:szCs w:val="20"/>
          <w:lang w:val="cs-CZ"/>
        </w:rPr>
      </w:pPr>
      <w:r w:rsidRPr="003B6E11">
        <w:rPr>
          <w:lang w:val="cs-CZ"/>
        </w:rPr>
        <w:br w:type="page"/>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 xml:space="preserve">5.4.3 </w:t>
      </w:r>
      <w:r w:rsidRPr="003B6E11">
        <w:rPr>
          <w:lang w:val="cs-CZ"/>
        </w:rPr>
        <w:tab/>
        <w:t>Odchylně od bodu 5.4.2 mohou být v prostoru mezi bariérami v dvoustěnném potrubí nastálo instalována čidla detekující plyn rozdílem tlaku.</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5.4.4</w:t>
      </w:r>
      <w:r w:rsidRPr="003B6E11">
        <w:rPr>
          <w:lang w:val="cs-CZ"/>
        </w:rPr>
        <w:tab/>
        <w:t>Počet a redundance detektorů plynu v každé místnosti se stanoví při zvážení velikosti, uspořádání a odvětrávání místnosti.</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5.4.5</w:t>
      </w:r>
      <w:r w:rsidRPr="003B6E11">
        <w:rPr>
          <w:lang w:val="cs-CZ"/>
        </w:rPr>
        <w:tab/>
        <w:t xml:space="preserve">Pevně instalované detektory plynu musí být umístěny tam, kde by se mohl hromadit plyn, a u odvětrávacích otvorů v těchto místnostech. </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 xml:space="preserve">5.4.6 </w:t>
      </w:r>
      <w:r w:rsidRPr="003B6E11">
        <w:rPr>
          <w:lang w:val="cs-CZ"/>
        </w:rPr>
        <w:tab/>
        <w:t>Akustický a optický poplašný signál se musí spustit předtím, než koncentrace plynu dosáhne 20 % spodní meze výbušnosti. Plynový bezpečnostní systém se musí aktivovat při 40 % spodní meze výbušnosti.</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5.4.7</w:t>
      </w:r>
      <w:r w:rsidRPr="003B6E11">
        <w:rPr>
          <w:lang w:val="cs-CZ"/>
        </w:rPr>
        <w:tab/>
        <w:t>Akustické a optické poplašné signály plynového bezpečnostního systému se aktivují v kormidelně.</w:t>
      </w:r>
    </w:p>
    <w:p w:rsidR="003B6E11" w:rsidRPr="003B6E11" w:rsidRDefault="003B6E11" w:rsidP="003B6E11">
      <w:pPr>
        <w:pStyle w:val="Esann8ch"/>
        <w:rPr>
          <w:lang w:val="cs-CZ"/>
        </w:rPr>
      </w:pPr>
    </w:p>
    <w:p w:rsidR="003B6E11" w:rsidRPr="003B6E11" w:rsidRDefault="003B6E11" w:rsidP="003B6E11">
      <w:pPr>
        <w:pStyle w:val="Esann8chgras"/>
        <w:rPr>
          <w:lang w:val="cs-CZ"/>
        </w:rPr>
      </w:pPr>
      <w:r w:rsidRPr="003B6E11">
        <w:rPr>
          <w:lang w:val="cs-CZ"/>
        </w:rPr>
        <w:t>5.5</w:t>
      </w:r>
      <w:r w:rsidRPr="003B6E11">
        <w:rPr>
          <w:lang w:val="cs-CZ"/>
        </w:rPr>
        <w:tab/>
        <w:t>Bezpečnostní funkce systémů přívodu plynu</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5.5.1</w:t>
      </w:r>
      <w:r w:rsidRPr="003B6E11">
        <w:rPr>
          <w:lang w:val="cs-CZ"/>
        </w:rPr>
        <w:tab/>
        <w:t>Je-li systém přívodu plynu odstaven aktivací automatického ventilu, smí být znovu otevřen až po zjištění příčiny přerušení a po přijetí příslušných nápravných kroků. Pokyny v tomto smyslu musí být vyvěšeny na dobře viditelném místě na řídicím stanovišti uzavíracích ventilů na plynovém vedení.</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5.5.2</w:t>
      </w:r>
      <w:r w:rsidRPr="003B6E11">
        <w:rPr>
          <w:lang w:val="cs-CZ"/>
        </w:rPr>
        <w:tab/>
        <w:t>Je-li systém přívodu plynu odstaven kvůli úniku plynu, smí být znovu otevřen až po nalezení místa úniku a po přijetí příslušných nápravných kroků. Pokyny v tomto smyslu musí být vyvěšeny na dobře viditelném místě ve strojovně.</w:t>
      </w:r>
    </w:p>
    <w:p w:rsidR="003B6E11" w:rsidRPr="003B6E11" w:rsidRDefault="003B6E11" w:rsidP="003B6E11">
      <w:pPr>
        <w:pStyle w:val="Esann8ch"/>
        <w:rPr>
          <w:lang w:val="cs-CZ"/>
        </w:rPr>
      </w:pPr>
    </w:p>
    <w:p w:rsidR="003B6E11" w:rsidRPr="003B6E11" w:rsidRDefault="003B6E11" w:rsidP="003B6E11">
      <w:pPr>
        <w:pStyle w:val="Esann8ch"/>
        <w:rPr>
          <w:lang w:val="cs-CZ"/>
        </w:rPr>
      </w:pPr>
      <w:r w:rsidRPr="003B6E11">
        <w:rPr>
          <w:lang w:val="cs-CZ"/>
        </w:rPr>
        <w:t>5.5.3</w:t>
      </w:r>
      <w:r w:rsidRPr="003B6E11">
        <w:rPr>
          <w:lang w:val="cs-CZ"/>
        </w:rPr>
        <w:tab/>
        <w:t>Systém přívodu plynu musí být uspořádán tak, aby mohl být manuálně na dálku zastaven z těchto míst (podle konkrétní situace):</w:t>
      </w:r>
    </w:p>
    <w:p w:rsidR="003B6E11" w:rsidRPr="003B6E11" w:rsidRDefault="003B6E11" w:rsidP="003B6E11">
      <w:pPr>
        <w:pStyle w:val="Esann8let"/>
        <w:rPr>
          <w:lang w:val="cs-CZ"/>
        </w:rPr>
      </w:pPr>
      <w:r w:rsidRPr="003B6E11">
        <w:rPr>
          <w:lang w:val="cs-CZ"/>
        </w:rPr>
        <w:t>a)</w:t>
      </w:r>
      <w:r w:rsidRPr="003B6E11">
        <w:rPr>
          <w:lang w:val="cs-CZ"/>
        </w:rPr>
        <w:tab/>
        <w:t>z kormidelny;</w:t>
      </w:r>
    </w:p>
    <w:p w:rsidR="003B6E11" w:rsidRPr="003B6E11" w:rsidRDefault="003B6E11" w:rsidP="003B6E11">
      <w:pPr>
        <w:pStyle w:val="Esann8let"/>
        <w:rPr>
          <w:lang w:val="cs-CZ"/>
        </w:rPr>
      </w:pPr>
      <w:r w:rsidRPr="003B6E11">
        <w:rPr>
          <w:lang w:val="cs-CZ"/>
        </w:rPr>
        <w:t>b)</w:t>
      </w:r>
      <w:r w:rsidRPr="003B6E11">
        <w:rPr>
          <w:lang w:val="cs-CZ"/>
        </w:rPr>
        <w:tab/>
        <w:t>z řídicího stanoviště tankovacího stanoviště;</w:t>
      </w:r>
    </w:p>
    <w:p w:rsidR="003B6E11" w:rsidRPr="003B6E11" w:rsidRDefault="003B6E11" w:rsidP="003B6E11">
      <w:pPr>
        <w:pStyle w:val="Esann8let"/>
        <w:rPr>
          <w:lang w:val="cs-CZ"/>
        </w:rPr>
      </w:pPr>
      <w:r w:rsidRPr="003B6E11">
        <w:rPr>
          <w:lang w:val="cs-CZ"/>
        </w:rPr>
        <w:t>c)</w:t>
      </w:r>
      <w:r w:rsidRPr="003B6E11">
        <w:rPr>
          <w:lang w:val="cs-CZ"/>
        </w:rPr>
        <w:tab/>
        <w:t>z jakéhokoli místa, kde je stále přítomen člen posádky.</w:t>
      </w:r>
    </w:p>
    <w:p w:rsidR="003B6E11" w:rsidRPr="003B6E11" w:rsidRDefault="003B6E11" w:rsidP="003B6E11">
      <w:pPr>
        <w:pStyle w:val="Esann8ch"/>
        <w:rPr>
          <w:lang w:val="cs-CZ"/>
        </w:rPr>
      </w:pPr>
    </w:p>
    <w:p w:rsidR="003B6E11" w:rsidRPr="003B6E11" w:rsidRDefault="003B6E11" w:rsidP="003B6E11">
      <w:pPr>
        <w:spacing w:line="240" w:lineRule="atLeast"/>
        <w:rPr>
          <w:rFonts w:cs="Arial"/>
          <w:noProof/>
          <w:szCs w:val="20"/>
          <w:lang w:val="cs-CZ"/>
        </w:rPr>
      </w:pPr>
    </w:p>
    <w:p w:rsidR="003B6E11" w:rsidRPr="003B6E11" w:rsidRDefault="003B6E11" w:rsidP="003B6E11">
      <w:pPr>
        <w:spacing w:line="240" w:lineRule="atLeast"/>
        <w:rPr>
          <w:rFonts w:cs="Arial"/>
          <w:noProof/>
          <w:szCs w:val="20"/>
          <w:lang w:val="cs-CZ"/>
        </w:rPr>
      </w:pPr>
    </w:p>
    <w:p w:rsidR="003B6E11" w:rsidRPr="003B6E11" w:rsidRDefault="003B6E11" w:rsidP="003B6E11">
      <w:pPr>
        <w:spacing w:line="240" w:lineRule="atLeast"/>
        <w:rPr>
          <w:rFonts w:cs="Arial"/>
          <w:noProof/>
          <w:szCs w:val="20"/>
          <w:lang w:val="cs-CZ"/>
        </w:rPr>
        <w:sectPr w:rsidR="003B6E11" w:rsidRPr="003B6E11" w:rsidSect="00AC5CC1">
          <w:headerReference w:type="first" r:id="rId106"/>
          <w:footnotePr>
            <w:numRestart w:val="eachPage"/>
          </w:footnotePr>
          <w:pgSz w:w="11906" w:h="16838" w:code="9"/>
          <w:pgMar w:top="1418" w:right="1418" w:bottom="1418" w:left="1418" w:header="709" w:footer="709" w:gutter="0"/>
          <w:cols w:space="709"/>
          <w:titlePg/>
          <w:docGrid w:linePitch="272"/>
        </w:sectPr>
      </w:pPr>
    </w:p>
    <w:p w:rsidR="003B6E11" w:rsidRPr="003B6E11" w:rsidRDefault="003B6E11" w:rsidP="003B6E11">
      <w:pPr>
        <w:spacing w:line="240" w:lineRule="atLeast"/>
        <w:rPr>
          <w:rFonts w:cs="Arial"/>
          <w:noProof/>
          <w:szCs w:val="20"/>
          <w:lang w:val="cs-CZ"/>
        </w:rPr>
      </w:pPr>
    </w:p>
    <w:p w:rsidR="003B6E11" w:rsidRPr="003B6E11" w:rsidRDefault="003B6E11" w:rsidP="003B6E11">
      <w:pPr>
        <w:spacing w:line="240" w:lineRule="atLeast"/>
        <w:rPr>
          <w:rFonts w:cs="Arial"/>
          <w:noProof/>
          <w:szCs w:val="20"/>
          <w:lang w:val="cs-CZ"/>
        </w:rPr>
      </w:pPr>
    </w:p>
    <w:p w:rsidR="003B6E11" w:rsidRPr="003B6E11" w:rsidRDefault="003B6E11" w:rsidP="003B6E11">
      <w:pPr>
        <w:pStyle w:val="ESch"/>
        <w:rPr>
          <w:lang w:val="cs-CZ"/>
        </w:rPr>
      </w:pPr>
    </w:p>
    <w:p w:rsidR="003B6E11" w:rsidRPr="003B6E11" w:rsidRDefault="003B6E11" w:rsidP="003B6E11">
      <w:pPr>
        <w:pStyle w:val="ESch"/>
        <w:rPr>
          <w:lang w:val="cs-CZ"/>
        </w:rPr>
      </w:pPr>
    </w:p>
    <w:p w:rsidR="003B6E11" w:rsidRPr="003B6E11" w:rsidRDefault="003B6E11" w:rsidP="003B6E11">
      <w:pPr>
        <w:pStyle w:val="ESgauche"/>
        <w:rPr>
          <w:lang w:val="cs-CZ"/>
        </w:rPr>
        <w:sectPr w:rsidR="003B6E11" w:rsidRPr="003B6E11" w:rsidSect="00AC5CC1">
          <w:footnotePr>
            <w:numRestart w:val="eachPage"/>
          </w:footnotePr>
          <w:pgSz w:w="11906" w:h="16838" w:code="9"/>
          <w:pgMar w:top="1418" w:right="1418" w:bottom="1418" w:left="1418" w:header="709" w:footer="709" w:gutter="0"/>
          <w:cols w:space="709"/>
          <w:titlePg/>
          <w:docGrid w:linePitch="272"/>
        </w:sect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pStyle w:val="Es-Titreannexes"/>
        <w:rPr>
          <w:lang w:val="cs-CZ"/>
        </w:rPr>
      </w:pPr>
      <w:bookmarkStart w:id="724" w:name="_Toc491854345"/>
      <w:bookmarkStart w:id="725" w:name="_Toc535417251"/>
      <w:r w:rsidRPr="003B6E11">
        <w:rPr>
          <w:lang w:val="cs-CZ"/>
        </w:rPr>
        <w:t>Pokyny pro použití této technické normy</w:t>
      </w:r>
      <w:bookmarkEnd w:id="724"/>
      <w:bookmarkEnd w:id="725"/>
      <w:r w:rsidRPr="003B6E11">
        <w:rPr>
          <w:lang w:val="cs-CZ"/>
        </w:rPr>
        <w:t xml:space="preserve"> </w:t>
      </w: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overflowPunct w:val="0"/>
        <w:adjustRightInd w:val="0"/>
        <w:spacing w:line="240" w:lineRule="exact"/>
        <w:jc w:val="center"/>
        <w:textAlignment w:val="baseline"/>
        <w:rPr>
          <w:rFonts w:eastAsia="Calibri"/>
          <w:b/>
          <w:i/>
          <w:lang w:val="cs-CZ"/>
        </w:rPr>
      </w:pP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rPr>
          <w:lang w:val="cs-CZ"/>
        </w:rPr>
      </w:pPr>
      <w:r w:rsidRPr="003B6E11">
        <w:rPr>
          <w:lang w:val="cs-CZ"/>
        </w:rPr>
        <w:br w:type="page"/>
      </w:r>
    </w:p>
    <w:p w:rsidR="003B6E11" w:rsidRPr="003B6E11" w:rsidRDefault="003B6E11" w:rsidP="003B6E11">
      <w:pPr>
        <w:spacing w:line="240" w:lineRule="atLeast"/>
        <w:rPr>
          <w:lang w:val="cs-CZ"/>
        </w:rPr>
      </w:pPr>
    </w:p>
    <w:p w:rsidR="003B6E11" w:rsidRPr="003B6E11" w:rsidRDefault="003B6E11" w:rsidP="003B6E11">
      <w:pPr>
        <w:spacing w:line="240" w:lineRule="atLeast"/>
        <w:rPr>
          <w:lang w:val="cs-CZ"/>
        </w:rPr>
      </w:pPr>
    </w:p>
    <w:p w:rsidR="003B6E11" w:rsidRPr="003B6E11" w:rsidRDefault="003B6E11" w:rsidP="003B6E11">
      <w:pPr>
        <w:spacing w:line="240" w:lineRule="atLeast"/>
        <w:rPr>
          <w:lang w:val="cs-CZ"/>
        </w:rPr>
        <w:sectPr w:rsidR="003B6E11" w:rsidRPr="003B6E11" w:rsidSect="00D45887">
          <w:headerReference w:type="default" r:id="rId107"/>
          <w:footerReference w:type="default" r:id="rId108"/>
          <w:headerReference w:type="first" r:id="rId109"/>
          <w:footerReference w:type="first" r:id="rId110"/>
          <w:pgSz w:w="11907" w:h="16840" w:code="9"/>
          <w:pgMar w:top="1418" w:right="1418" w:bottom="1418" w:left="1418" w:header="680" w:footer="680" w:gutter="0"/>
          <w:pgNumType w:start="397"/>
          <w:cols w:space="720"/>
          <w:noEndnote/>
          <w:titlePg/>
        </w:sectPr>
      </w:pPr>
    </w:p>
    <w:p w:rsidR="003B6E11" w:rsidRPr="003B6E11" w:rsidRDefault="003B6E11" w:rsidP="003B6E11">
      <w:pPr>
        <w:pStyle w:val="ES-Titre1"/>
      </w:pPr>
      <w:bookmarkStart w:id="726" w:name="_Toc405451503"/>
      <w:bookmarkStart w:id="727" w:name="_Toc491854346"/>
      <w:bookmarkStart w:id="728" w:name="_Toc535417252"/>
      <w:r w:rsidRPr="003B6E11">
        <w:t>ČÁST I</w:t>
      </w:r>
      <w:r w:rsidRPr="003B6E11">
        <w:br/>
      </w:r>
      <w:bookmarkEnd w:id="726"/>
      <w:r w:rsidRPr="003B6E11">
        <w:t>OBECNĚ</w:t>
      </w:r>
      <w:bookmarkEnd w:id="727"/>
      <w:bookmarkEnd w:id="728"/>
    </w:p>
    <w:p w:rsidR="003B6E11" w:rsidRPr="003B6E11" w:rsidRDefault="003B6E11" w:rsidP="003B6E11">
      <w:pPr>
        <w:tabs>
          <w:tab w:val="left" w:pos="425"/>
        </w:tabs>
        <w:rPr>
          <w:lang w:val="cs-CZ"/>
        </w:rPr>
      </w:pPr>
    </w:p>
    <w:p w:rsidR="003B6E11" w:rsidRPr="003B6E11" w:rsidRDefault="003B6E11" w:rsidP="003B6E11">
      <w:pPr>
        <w:pStyle w:val="ES-Titre2ESI"/>
      </w:pPr>
      <w:bookmarkStart w:id="729" w:name="_Toc491854347"/>
      <w:bookmarkStart w:id="730" w:name="_Toc535417253"/>
      <w:r w:rsidRPr="003B6E11">
        <w:t>ESI-I-1</w:t>
      </w:r>
      <w:r w:rsidRPr="003B6E11">
        <w:br/>
        <w:t>Vyplnění osvědčení plavidla vnitrozemské plavby</w:t>
      </w:r>
      <w:bookmarkEnd w:id="729"/>
      <w:bookmarkEnd w:id="730"/>
    </w:p>
    <w:p w:rsidR="003B6E11" w:rsidRPr="003B6E11" w:rsidRDefault="003B6E11" w:rsidP="003B6E11">
      <w:pPr>
        <w:tabs>
          <w:tab w:val="left" w:pos="284"/>
          <w:tab w:val="left" w:pos="567"/>
        </w:tabs>
        <w:ind w:left="284" w:hanging="284"/>
        <w:rPr>
          <w:lang w:val="cs-CZ"/>
        </w:rPr>
      </w:pP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1.</w:t>
      </w:r>
      <w:r w:rsidRPr="003B6E11">
        <w:rPr>
          <w:lang w:val="cs-CZ"/>
        </w:rPr>
        <w:tab/>
      </w:r>
      <w:r w:rsidRPr="003B6E11">
        <w:rPr>
          <w:b/>
          <w:noProof/>
          <w:color w:val="000000"/>
          <w:lang w:val="cs-CZ"/>
        </w:rPr>
        <w:t>Obecně</w:t>
      </w:r>
    </w:p>
    <w:p w:rsidR="003B6E11" w:rsidRPr="003B6E11" w:rsidRDefault="003B6E11" w:rsidP="003B6E11">
      <w:pPr>
        <w:spacing w:line="240" w:lineRule="atLeast"/>
        <w:ind w:left="567" w:hanging="567"/>
        <w:rPr>
          <w:rFonts w:cs="Arial"/>
          <w:b/>
          <w:noProof/>
          <w:color w:val="000000"/>
          <w:szCs w:val="20"/>
          <w:lang w:val="cs-CZ"/>
        </w:rPr>
      </w:pP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1.1</w:t>
      </w:r>
      <w:r w:rsidRPr="003B6E11">
        <w:rPr>
          <w:lang w:val="cs-CZ"/>
        </w:rPr>
        <w:tab/>
      </w:r>
      <w:r w:rsidRPr="003B6E11">
        <w:rPr>
          <w:b/>
          <w:noProof/>
          <w:color w:val="000000"/>
          <w:lang w:val="cs-CZ"/>
        </w:rPr>
        <w:t>Formuláře</w:t>
      </w:r>
    </w:p>
    <w:p w:rsidR="003B6E11" w:rsidRPr="003B6E11" w:rsidRDefault="003B6E11" w:rsidP="003B6E11">
      <w:pPr>
        <w:spacing w:line="240" w:lineRule="atLeast"/>
        <w:ind w:left="567" w:hanging="567"/>
        <w:rPr>
          <w:rFonts w:cs="Arial"/>
          <w:b/>
          <w:noProof/>
          <w:color w:val="000000"/>
          <w:szCs w:val="20"/>
          <w:lang w:val="cs-CZ"/>
        </w:rPr>
      </w:pPr>
    </w:p>
    <w:p w:rsidR="003B6E11" w:rsidRPr="003B6E11" w:rsidRDefault="003B6E11" w:rsidP="003B6E11">
      <w:pPr>
        <w:spacing w:line="240" w:lineRule="atLeast"/>
        <w:ind w:left="567"/>
        <w:rPr>
          <w:noProof/>
          <w:lang w:val="cs-CZ"/>
        </w:rPr>
      </w:pPr>
      <w:r w:rsidRPr="003B6E11">
        <w:rPr>
          <w:lang w:val="cs-CZ"/>
        </w:rPr>
        <w:t>K vyplnění osvědčení plavidla vnitrozemské plavby lze použít pouze formuláře schválené příslušným orgánem. Formuláře se vyplňují pouze na jedné straně.</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Při vydávání nového osvědčení plavidla vnitrozemské plavby je třeba přiložit všechny strany od 1 do 13, i když na některých nejsou žádné záznamy.</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1.2</w:t>
      </w:r>
      <w:r w:rsidRPr="003B6E11">
        <w:rPr>
          <w:lang w:val="cs-CZ"/>
        </w:rPr>
        <w:tab/>
      </w:r>
      <w:r w:rsidRPr="003B6E11">
        <w:rPr>
          <w:b/>
          <w:noProof/>
          <w:color w:val="000000"/>
          <w:lang w:val="cs-CZ"/>
        </w:rPr>
        <w:t>Způsob vyplňování</w:t>
      </w:r>
    </w:p>
    <w:p w:rsidR="003B6E11" w:rsidRPr="003B6E11" w:rsidRDefault="003B6E11" w:rsidP="003B6E11">
      <w:pPr>
        <w:spacing w:line="240" w:lineRule="atLeast"/>
        <w:ind w:left="567" w:hanging="567"/>
        <w:rPr>
          <w:rFonts w:cs="Arial"/>
          <w:b/>
          <w:noProof/>
          <w:color w:val="000000"/>
          <w:szCs w:val="20"/>
          <w:lang w:val="cs-CZ"/>
        </w:rPr>
      </w:pPr>
    </w:p>
    <w:p w:rsidR="003B6E11" w:rsidRPr="003B6E11" w:rsidRDefault="003B6E11" w:rsidP="003B6E11">
      <w:pPr>
        <w:spacing w:line="240" w:lineRule="atLeast"/>
        <w:ind w:left="567"/>
        <w:rPr>
          <w:noProof/>
          <w:lang w:val="cs-CZ"/>
        </w:rPr>
      </w:pPr>
      <w:r w:rsidRPr="003B6E11">
        <w:rPr>
          <w:lang w:val="cs-CZ"/>
        </w:rPr>
        <w:t>Záznamy do osvědčení plavidla vnitrozemské plavby se provádějí pomocí psacího stroje nebo počítačové tiskárny. Rukou psané záznamy lze provádět pouze ve výjimečných případech. Záznamy musí být nesmazatelné. Barva písma může být pouze černá nebo modrá. Škrtání záznamů se provádí červenou barvou.</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2.</w:t>
      </w:r>
      <w:r w:rsidRPr="003B6E11">
        <w:rPr>
          <w:lang w:val="cs-CZ"/>
        </w:rPr>
        <w:tab/>
      </w:r>
      <w:r w:rsidRPr="003B6E11">
        <w:rPr>
          <w:b/>
          <w:noProof/>
          <w:color w:val="000000"/>
          <w:lang w:val="cs-CZ"/>
        </w:rPr>
        <w:t>Záznamy</w:t>
      </w:r>
    </w:p>
    <w:p w:rsidR="003B6E11" w:rsidRPr="003B6E11" w:rsidRDefault="003B6E11" w:rsidP="003B6E11">
      <w:pPr>
        <w:spacing w:line="240" w:lineRule="atLeast"/>
        <w:ind w:left="567" w:hanging="567"/>
        <w:rPr>
          <w:rFonts w:cs="Arial"/>
          <w:b/>
          <w:noProof/>
          <w:color w:val="000000"/>
          <w:szCs w:val="20"/>
          <w:lang w:val="cs-CZ"/>
        </w:rPr>
      </w:pP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2.1</w:t>
      </w:r>
      <w:r w:rsidRPr="003B6E11">
        <w:rPr>
          <w:lang w:val="cs-CZ"/>
        </w:rPr>
        <w:tab/>
      </w:r>
      <w:r w:rsidRPr="003B6E11">
        <w:rPr>
          <w:b/>
          <w:noProof/>
          <w:color w:val="000000"/>
          <w:lang w:val="cs-CZ"/>
        </w:rPr>
        <w:t>Škrtání alternativ</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 xml:space="preserve">Záznamy označené </w:t>
      </w:r>
      <w:r w:rsidRPr="003B6E11">
        <w:rPr>
          <w:noProof/>
          <w:vertAlign w:val="superscript"/>
          <w:lang w:val="cs-CZ"/>
        </w:rPr>
        <w:t>(*)</w:t>
      </w:r>
      <w:r w:rsidRPr="003B6E11">
        <w:rPr>
          <w:lang w:val="cs-CZ"/>
        </w:rPr>
        <w:t>, které se nehodí, je třeba škrtnout.</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2.2</w:t>
      </w:r>
      <w:r w:rsidRPr="003B6E11">
        <w:rPr>
          <w:lang w:val="cs-CZ"/>
        </w:rPr>
        <w:tab/>
      </w:r>
      <w:r w:rsidRPr="003B6E11">
        <w:rPr>
          <w:b/>
          <w:noProof/>
          <w:color w:val="000000"/>
          <w:lang w:val="cs-CZ"/>
        </w:rPr>
        <w:t>Body bez záznamu</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Pokud pro některý z bodů 1 až 48 není potřebný nebo možný záznam, proškrtne se čarou celé pole.</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2.3</w:t>
      </w:r>
      <w:r w:rsidRPr="003B6E11">
        <w:rPr>
          <w:lang w:val="cs-CZ"/>
        </w:rPr>
        <w:tab/>
      </w:r>
      <w:r w:rsidRPr="003B6E11">
        <w:rPr>
          <w:b/>
          <w:noProof/>
          <w:color w:val="000000"/>
          <w:lang w:val="cs-CZ"/>
        </w:rPr>
        <w:t>Poslední strana osvědčení plavidla vnitrozemské plavby</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Pokud za stranou 13 již nebudou potřebné žádné další strany (viz bod 3.2.3), slova „Pokračování na straně“</w:t>
      </w:r>
      <w:r w:rsidRPr="003B6E11">
        <w:rPr>
          <w:noProof/>
          <w:vertAlign w:val="superscript"/>
          <w:lang w:val="cs-CZ"/>
        </w:rPr>
        <w:footnoteReference w:customMarkFollows="1" w:id="77"/>
        <w:t>(*)</w:t>
      </w:r>
      <w:r w:rsidRPr="003B6E11">
        <w:rPr>
          <w:lang w:val="cs-CZ"/>
        </w:rPr>
        <w:t xml:space="preserve"> ve spodní části strany 13 se škrtnou.</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2.4</w:t>
      </w:r>
      <w:r w:rsidRPr="003B6E11">
        <w:rPr>
          <w:lang w:val="cs-CZ"/>
        </w:rPr>
        <w:tab/>
      </w:r>
      <w:r w:rsidRPr="003B6E11">
        <w:rPr>
          <w:b/>
          <w:noProof/>
          <w:color w:val="000000"/>
          <w:lang w:val="cs-CZ"/>
        </w:rPr>
        <w:t>Změny</w:t>
      </w:r>
    </w:p>
    <w:p w:rsidR="003B6E11" w:rsidRPr="003B6E11" w:rsidRDefault="003B6E11" w:rsidP="003B6E11">
      <w:pPr>
        <w:spacing w:line="240" w:lineRule="atLeast"/>
        <w:ind w:left="567" w:hanging="567"/>
        <w:rPr>
          <w:rFonts w:cs="Arial"/>
          <w:b/>
          <w:noProof/>
          <w:color w:val="000000"/>
          <w:szCs w:val="20"/>
          <w:lang w:val="cs-CZ"/>
        </w:rPr>
      </w:pP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2.4.1</w:t>
      </w:r>
      <w:r w:rsidRPr="003B6E11">
        <w:rPr>
          <w:lang w:val="cs-CZ"/>
        </w:rPr>
        <w:tab/>
      </w:r>
      <w:r w:rsidRPr="003B6E11">
        <w:rPr>
          <w:b/>
          <w:noProof/>
          <w:color w:val="000000"/>
          <w:lang w:val="cs-CZ"/>
        </w:rPr>
        <w:t>První rukou psaná změna na stránce</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Stránku lze pozměnit pouze jednou, nicméně najednou lze provést několik změn. Všechny pozměňované údaje se musí přeškrtnout červenou čarou. Dříve vyškrtnutá alternativa (viz bod 2.1) nebo bod dříve bez záznamu (viz bod 2.3) musí být podtrženy červeně. Nové údaje se nezadávají do pozměněného pole, ale na stejné straně pod hlavičkou „Změny“. Řádek „Tato strana byla nahrazena“ se škrtne.</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br w:type="page"/>
      </w: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2.4.2</w:t>
      </w:r>
      <w:r w:rsidRPr="003B6E11">
        <w:rPr>
          <w:lang w:val="cs-CZ"/>
        </w:rPr>
        <w:tab/>
      </w:r>
      <w:r w:rsidRPr="003B6E11">
        <w:rPr>
          <w:b/>
          <w:noProof/>
          <w:color w:val="000000"/>
          <w:lang w:val="cs-CZ"/>
        </w:rPr>
        <w:t>Další rukou psané změny na stránce</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Pro provedení dalších změn se strana musí nahradit a všechny potřebné změny se stejně jako všechny dřívější změny uvedou přímo do příslušných bodů. Pod hlavičkou „Změny“ se škrtne řádek „Změny bodu (bodů)“.</w:t>
      </w:r>
    </w:p>
    <w:p w:rsidR="003B6E11" w:rsidRPr="003B6E11" w:rsidRDefault="003B6E11" w:rsidP="003B6E11">
      <w:pPr>
        <w:spacing w:line="240" w:lineRule="atLeast"/>
        <w:ind w:left="567"/>
        <w:rPr>
          <w:noProof/>
          <w:lang w:val="cs-CZ"/>
        </w:rPr>
      </w:pPr>
      <w:r w:rsidRPr="003B6E11">
        <w:rPr>
          <w:lang w:val="cs-CZ"/>
        </w:rPr>
        <w:t>Původní stranu si ponechá subjekt pověřený prohlídkami, který původně vydal osvědčení plavidla vnitrozemské plavby.</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2.4.3</w:t>
      </w:r>
      <w:r w:rsidRPr="003B6E11">
        <w:rPr>
          <w:lang w:val="cs-CZ"/>
        </w:rPr>
        <w:tab/>
      </w:r>
      <w:r w:rsidRPr="003B6E11">
        <w:rPr>
          <w:b/>
          <w:noProof/>
          <w:color w:val="000000"/>
          <w:lang w:val="cs-CZ"/>
        </w:rPr>
        <w:t>Změny prostřednictvím elektronického zpracování údajů</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V případě změn prostřednictvím elektronického zpracování údajů se strana musí nahradit a všechny potřebné změny se stejně jako všechny dřívější změny uvedou přímo do příslušných bodů. Pod hlavičkou „Změny“ se škrtne řádek „Změny bodu (bodů)“.</w:t>
      </w:r>
    </w:p>
    <w:p w:rsidR="003B6E11" w:rsidRPr="003B6E11" w:rsidRDefault="003B6E11" w:rsidP="003B6E11">
      <w:pPr>
        <w:spacing w:line="240" w:lineRule="atLeast"/>
        <w:ind w:left="567"/>
        <w:rPr>
          <w:noProof/>
          <w:lang w:val="cs-CZ"/>
        </w:rPr>
      </w:pPr>
      <w:r w:rsidRPr="003B6E11">
        <w:rPr>
          <w:lang w:val="cs-CZ"/>
        </w:rPr>
        <w:t>Původní stranu si ponechá subjekt pověřený prohlídkami, který původně vydal osvědčení plavidla vnitrozemské plavby.</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2.5</w:t>
      </w:r>
      <w:r w:rsidRPr="003B6E11">
        <w:rPr>
          <w:lang w:val="cs-CZ"/>
        </w:rPr>
        <w:tab/>
      </w:r>
      <w:r w:rsidRPr="003B6E11">
        <w:rPr>
          <w:b/>
          <w:noProof/>
          <w:color w:val="000000"/>
          <w:lang w:val="cs-CZ"/>
        </w:rPr>
        <w:t>Opravy přelepením</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Přelepování záznamů nebo vlepování dalších údajů k bodu není povoleno.</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3.</w:t>
      </w:r>
      <w:r w:rsidRPr="003B6E11">
        <w:rPr>
          <w:lang w:val="cs-CZ"/>
        </w:rPr>
        <w:tab/>
      </w:r>
      <w:r w:rsidRPr="003B6E11">
        <w:rPr>
          <w:b/>
          <w:noProof/>
          <w:color w:val="000000"/>
          <w:lang w:val="cs-CZ"/>
        </w:rPr>
        <w:t>Nahrazování a přidávání stran</w:t>
      </w:r>
    </w:p>
    <w:p w:rsidR="003B6E11" w:rsidRPr="003B6E11" w:rsidRDefault="003B6E11" w:rsidP="003B6E11">
      <w:pPr>
        <w:spacing w:line="240" w:lineRule="atLeast"/>
        <w:ind w:left="567" w:hanging="567"/>
        <w:rPr>
          <w:rFonts w:cs="Arial"/>
          <w:b/>
          <w:noProof/>
          <w:color w:val="000000"/>
          <w:szCs w:val="20"/>
          <w:lang w:val="cs-CZ"/>
        </w:rPr>
      </w:pP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3.1</w:t>
      </w:r>
      <w:r w:rsidRPr="003B6E11">
        <w:rPr>
          <w:lang w:val="cs-CZ"/>
        </w:rPr>
        <w:tab/>
      </w:r>
      <w:r w:rsidRPr="003B6E11">
        <w:rPr>
          <w:b/>
          <w:noProof/>
          <w:color w:val="000000"/>
          <w:lang w:val="cs-CZ"/>
        </w:rPr>
        <w:t>Nahrazování stran</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Strana 1 osvědčení plavidla vnitrozemské plavby se nesmí nahradit. Pro nahrazení dalších stran se použijí postupy uvedené v bodě 2.4.2 nebo 2.4.3.</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3.2</w:t>
      </w:r>
      <w:r w:rsidRPr="003B6E11">
        <w:rPr>
          <w:lang w:val="cs-CZ"/>
        </w:rPr>
        <w:tab/>
      </w:r>
      <w:r w:rsidRPr="003B6E11">
        <w:rPr>
          <w:b/>
          <w:noProof/>
          <w:color w:val="000000"/>
          <w:lang w:val="cs-CZ"/>
        </w:rPr>
        <w:t>Přidávání stran</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Pokud je na stranách 10, 12 nebo 13 osvědčení plavidla vnitrozemské plavby nedostatek místa pro další záznamy, mohou se přiložit další strany.</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3.2.1</w:t>
      </w:r>
      <w:r w:rsidRPr="003B6E11">
        <w:rPr>
          <w:lang w:val="cs-CZ"/>
        </w:rPr>
        <w:tab/>
      </w:r>
      <w:r w:rsidRPr="003B6E11">
        <w:rPr>
          <w:b/>
          <w:noProof/>
          <w:color w:val="000000"/>
          <w:lang w:val="cs-CZ"/>
        </w:rPr>
        <w:t>Prodloužení/potvrzení platnosti</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Pokud je potřebné další prodloužení platnosti osvědčení, která již byla prodloužena šestkrát, přidají se do spodní části strany 10 slova „Pokračování na straně 10a“ a další strana 10 se označí jako strana 10a a vloží se za stranu 10. Příslušný záznam se poté uvede do bodu 49 v horní části strany 10a. Do spodní části strany 10a se uvede záznam „Pokračování na straně 11“.</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3.2.2</w:t>
      </w:r>
      <w:r w:rsidRPr="003B6E11">
        <w:rPr>
          <w:lang w:val="cs-CZ"/>
        </w:rPr>
        <w:tab/>
      </w:r>
      <w:r w:rsidRPr="003B6E11">
        <w:rPr>
          <w:b/>
          <w:noProof/>
          <w:color w:val="000000"/>
          <w:lang w:val="cs-CZ"/>
        </w:rPr>
        <w:t>Prodloužení platnosti osvědčení o způsobilosti zařízení na zkapalněný plyn</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Použije se stejný postup jako v bodě 3.2.1, přičemž za stranu 12 se vloží strana 12a.</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3.2.3</w:t>
      </w:r>
      <w:r w:rsidRPr="003B6E11">
        <w:rPr>
          <w:lang w:val="cs-CZ"/>
        </w:rPr>
        <w:tab/>
      </w:r>
      <w:r w:rsidRPr="003B6E11">
        <w:rPr>
          <w:b/>
          <w:noProof/>
          <w:color w:val="000000"/>
          <w:lang w:val="cs-CZ"/>
        </w:rPr>
        <w:t>Příloha osvědčení plavidla vnitrozemské plavby</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Ve spodní části strany 13 se červeně škrtnou slova „Konec osvědčení plavidla vnitrozemské plavby“, škrtnutá slova „Pokračování na straně</w:t>
      </w:r>
      <w:r w:rsidRPr="003B6E11">
        <w:rPr>
          <w:noProof/>
          <w:vertAlign w:val="superscript"/>
          <w:lang w:val="cs-CZ"/>
        </w:rPr>
        <w:footnoteReference w:id="78"/>
      </w:r>
      <w:r w:rsidRPr="003B6E11">
        <w:rPr>
          <w:lang w:val="cs-CZ"/>
        </w:rPr>
        <w:t>“ se červeně podtrhnou a za ně se vloží číslo 13a. Tato změna musí být opatřena úředním razítkem. Další strana 13 se označí jako strana 13a a vloží se za stranu 13. Pro stranu 13a se obdobně použijí ustanovení bodů 2.2 a 2.3.</w:t>
      </w:r>
    </w:p>
    <w:p w:rsidR="003B6E11" w:rsidRPr="003B6E11" w:rsidRDefault="003B6E11" w:rsidP="003B6E11">
      <w:pPr>
        <w:spacing w:line="240" w:lineRule="atLeast"/>
        <w:ind w:left="567"/>
        <w:rPr>
          <w:noProof/>
          <w:lang w:val="cs-CZ"/>
        </w:rPr>
      </w:pPr>
      <w:r w:rsidRPr="003B6E11">
        <w:rPr>
          <w:lang w:val="cs-CZ"/>
        </w:rPr>
        <w:t>Stejný postup se použije pro všechny další přílohy (strany 13b, 13c atd.).</w:t>
      </w:r>
    </w:p>
    <w:p w:rsidR="003B6E11" w:rsidRPr="003B6E11" w:rsidRDefault="003B6E11" w:rsidP="003B6E11">
      <w:pPr>
        <w:spacing w:line="240" w:lineRule="atLeast"/>
        <w:ind w:left="567"/>
        <w:rPr>
          <w:noProof/>
          <w:lang w:val="cs-CZ"/>
        </w:rPr>
      </w:pPr>
      <w:r w:rsidRPr="003B6E11">
        <w:rPr>
          <w:lang w:val="cs-CZ"/>
        </w:rPr>
        <w:br w:type="page"/>
      </w: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4.</w:t>
      </w:r>
      <w:r w:rsidRPr="003B6E11">
        <w:rPr>
          <w:lang w:val="cs-CZ"/>
        </w:rPr>
        <w:tab/>
      </w:r>
      <w:r w:rsidRPr="003B6E11">
        <w:rPr>
          <w:b/>
          <w:noProof/>
          <w:color w:val="000000"/>
          <w:lang w:val="cs-CZ"/>
        </w:rPr>
        <w:t>Vysvětlení jednotlivých bodů</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Body nevyžadující vysvětlení zde nejsou uvedeny.</w:t>
      </w:r>
    </w:p>
    <w:p w:rsidR="003B6E11" w:rsidRPr="003B6E11" w:rsidRDefault="003B6E11" w:rsidP="003B6E11">
      <w:pPr>
        <w:spacing w:line="240" w:lineRule="atLeast"/>
        <w:ind w:left="567"/>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2.</w:t>
      </w:r>
      <w:r w:rsidRPr="003B6E11">
        <w:rPr>
          <w:lang w:val="cs-CZ"/>
        </w:rPr>
        <w:tab/>
        <w:t>V příslušných případech se použijí pojmy definované v článku 1.01. U jiných druhů lodí se uvede jejich obecně přijímané označení.</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3.</w:t>
      </w:r>
      <w:r w:rsidRPr="003B6E11">
        <w:rPr>
          <w:lang w:val="cs-CZ"/>
        </w:rPr>
        <w:tab/>
        <w:t>V případě prodloužení platnosti osvědčení plavidla vnitrozemské plavby se škrtnou slova „úřední číslo“, jakož i samotné číslo a v případě změny se uvedou slova „3. jednotné evropské identifikační číslo plavidla“, jakož i samotné číslo.</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10.</w:t>
      </w:r>
      <w:r w:rsidRPr="003B6E11">
        <w:rPr>
          <w:lang w:val="cs-CZ"/>
        </w:rPr>
        <w:tab/>
        <w:t>Pokud jde o lodě, jež mají osvědčení Unie pro plavidla vnitrozemské plavby a kterým je povolena plavba na Rýně, tj.</w:t>
      </w:r>
    </w:p>
    <w:p w:rsidR="003B6E11" w:rsidRPr="003B6E11" w:rsidRDefault="003B6E11" w:rsidP="003B6E11">
      <w:pPr>
        <w:tabs>
          <w:tab w:val="left" w:pos="1843"/>
        </w:tabs>
        <w:spacing w:before="60" w:line="240" w:lineRule="atLeast"/>
        <w:ind w:left="1843"/>
        <w:rPr>
          <w:noProof/>
          <w:lang w:val="cs-CZ"/>
        </w:rPr>
      </w:pPr>
      <w:r w:rsidRPr="003B6E11">
        <w:rPr>
          <w:lang w:val="cs-CZ"/>
        </w:rPr>
        <w:t>a)</w:t>
      </w:r>
      <w:r w:rsidRPr="003B6E11">
        <w:rPr>
          <w:lang w:val="cs-CZ"/>
        </w:rPr>
        <w:tab/>
        <w:t>lodě, jež jsou plně v souladu s požadavky této normy včetně přechodných ustanovení kapitoly 32, a</w:t>
      </w:r>
    </w:p>
    <w:p w:rsidR="003B6E11" w:rsidRPr="003B6E11" w:rsidRDefault="003B6E11" w:rsidP="003B6E11">
      <w:pPr>
        <w:tabs>
          <w:tab w:val="left" w:pos="1843"/>
        </w:tabs>
        <w:spacing w:before="60" w:line="240" w:lineRule="atLeast"/>
        <w:ind w:left="1843"/>
        <w:rPr>
          <w:noProof/>
          <w:lang w:val="cs-CZ"/>
        </w:rPr>
      </w:pPr>
      <w:r w:rsidRPr="003B6E11">
        <w:rPr>
          <w:lang w:val="cs-CZ"/>
        </w:rPr>
        <w:t>b)</w:t>
      </w:r>
      <w:r w:rsidRPr="003B6E11">
        <w:rPr>
          <w:lang w:val="cs-CZ"/>
        </w:rPr>
        <w:tab/>
        <w:t>lodě, které nevyužívají přechodná ustanovení kapitoly 33 nebo snížení stanovená pro zónu 4,</w:t>
      </w:r>
    </w:p>
    <w:p w:rsidR="003B6E11" w:rsidRPr="003B6E11" w:rsidRDefault="003B6E11" w:rsidP="003B6E11">
      <w:pPr>
        <w:tabs>
          <w:tab w:val="left" w:pos="1843"/>
        </w:tabs>
        <w:spacing w:before="60" w:line="240" w:lineRule="atLeast"/>
        <w:ind w:left="1843"/>
        <w:rPr>
          <w:noProof/>
          <w:lang w:val="cs-CZ"/>
        </w:rPr>
      </w:pPr>
      <w:r w:rsidRPr="003B6E11">
        <w:rPr>
          <w:lang w:val="cs-CZ"/>
        </w:rPr>
        <w:t>k odrážce „– na vodních cestách EU v zóně (zónách)“ se doplňují slova, která znějí:</w:t>
      </w:r>
    </w:p>
    <w:p w:rsidR="003B6E11" w:rsidRPr="003B6E11" w:rsidRDefault="003B6E11" w:rsidP="003B6E11">
      <w:pPr>
        <w:tabs>
          <w:tab w:val="left" w:pos="1843"/>
        </w:tabs>
        <w:spacing w:before="60" w:line="240" w:lineRule="atLeast"/>
        <w:ind w:left="1843"/>
        <w:rPr>
          <w:noProof/>
          <w:lang w:val="cs-CZ"/>
        </w:rPr>
      </w:pPr>
      <w:r w:rsidRPr="003B6E11">
        <w:rPr>
          <w:lang w:val="cs-CZ"/>
        </w:rPr>
        <w:t>a)</w:t>
      </w:r>
      <w:r w:rsidRPr="003B6E11">
        <w:rPr>
          <w:lang w:val="cs-CZ"/>
        </w:rPr>
        <w:tab/>
        <w:t xml:space="preserve">Rýn nebo </w:t>
      </w:r>
    </w:p>
    <w:p w:rsidR="003B6E11" w:rsidRPr="003B6E11" w:rsidRDefault="003B6E11" w:rsidP="003B6E11">
      <w:pPr>
        <w:tabs>
          <w:tab w:val="left" w:pos="1843"/>
        </w:tabs>
        <w:spacing w:before="60" w:line="240" w:lineRule="atLeast"/>
        <w:ind w:left="1843"/>
        <w:rPr>
          <w:noProof/>
          <w:lang w:val="cs-CZ"/>
        </w:rPr>
      </w:pPr>
      <w:r w:rsidRPr="003B6E11">
        <w:rPr>
          <w:lang w:val="cs-CZ"/>
        </w:rPr>
        <w:t>b)</w:t>
      </w:r>
      <w:r w:rsidRPr="003B6E11">
        <w:rPr>
          <w:lang w:val="cs-CZ"/>
        </w:rPr>
        <w:tab/>
        <w:t>zóna R.</w:t>
      </w:r>
    </w:p>
    <w:p w:rsidR="003B6E11" w:rsidRPr="003B6E11" w:rsidRDefault="003B6E11" w:rsidP="003B6E11">
      <w:pPr>
        <w:tabs>
          <w:tab w:val="left" w:pos="1843"/>
        </w:tabs>
        <w:spacing w:line="240" w:lineRule="atLeast"/>
        <w:ind w:left="1843"/>
        <w:rPr>
          <w:noProof/>
          <w:lang w:val="cs-CZ"/>
        </w:rPr>
      </w:pPr>
    </w:p>
    <w:p w:rsidR="003B6E11" w:rsidRPr="003B6E11" w:rsidRDefault="003B6E11" w:rsidP="003B6E11">
      <w:pPr>
        <w:tabs>
          <w:tab w:val="left" w:pos="567"/>
          <w:tab w:val="left" w:pos="1418"/>
        </w:tabs>
        <w:spacing w:line="240" w:lineRule="atLeast"/>
        <w:ind w:left="1418" w:hanging="851"/>
        <w:rPr>
          <w:lang w:val="cs-CZ"/>
        </w:rPr>
      </w:pPr>
      <w:r w:rsidRPr="003B6E11">
        <w:rPr>
          <w:lang w:val="cs-CZ"/>
        </w:rPr>
        <w:t>12.</w:t>
      </w:r>
      <w:r w:rsidRPr="003B6E11">
        <w:rPr>
          <w:lang w:val="cs-CZ"/>
        </w:rPr>
        <w:tab/>
        <w:t>V případě prodloužení platnosti osvědčení plavidla vnitrozemské plavby se škrtnou slova „úřední číslo“ a v případě změny se uvedou slova „12. Jednotné evropské identifikační číslo plavidla“, jakož i samotné číslo.</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15.</w:t>
      </w:r>
      <w:r w:rsidRPr="003B6E11">
        <w:rPr>
          <w:lang w:val="cs-CZ"/>
        </w:rPr>
        <w:tab/>
        <w:t>Tento oddíl se vyplní pouze u plavidel, u kterých není škrtnuta alespoň jedna z vlastností 1.1, 1.2 nebo 3 z bodu 14, jinak se celá tabulka proškrtne.</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15.1</w:t>
      </w:r>
      <w:r w:rsidRPr="003B6E11">
        <w:rPr>
          <w:lang w:val="cs-CZ"/>
        </w:rPr>
        <w:tab/>
        <w:t>Do sloupce „Obr. sestavy“ v tabulce se uvedou čísla zobrazených sestav. Řádky bez záznamu se proškrtnou.</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1418"/>
        </w:tabs>
        <w:spacing w:line="240" w:lineRule="atLeast"/>
        <w:ind w:left="1418"/>
        <w:rPr>
          <w:noProof/>
          <w:lang w:val="cs-CZ"/>
        </w:rPr>
      </w:pPr>
      <w:r w:rsidRPr="003B6E11">
        <w:rPr>
          <w:lang w:val="cs-CZ"/>
        </w:rPr>
        <w:t>V bodě „Jiné sestavy“ lze nakreslit i další sestavy, které ponesou číslo 18, 19, 20 atd.</w:t>
      </w:r>
    </w:p>
    <w:p w:rsidR="003B6E11" w:rsidRPr="003B6E11" w:rsidRDefault="003B6E11" w:rsidP="003B6E11">
      <w:pPr>
        <w:tabs>
          <w:tab w:val="left" w:pos="1418"/>
        </w:tabs>
        <w:spacing w:line="240" w:lineRule="atLeast"/>
        <w:ind w:left="1418"/>
        <w:rPr>
          <w:noProof/>
          <w:lang w:val="cs-CZ"/>
        </w:rPr>
      </w:pPr>
    </w:p>
    <w:p w:rsidR="003B6E11" w:rsidRPr="003B6E11" w:rsidRDefault="003B6E11" w:rsidP="003B6E11">
      <w:pPr>
        <w:tabs>
          <w:tab w:val="left" w:pos="1418"/>
        </w:tabs>
        <w:spacing w:line="240" w:lineRule="atLeast"/>
        <w:ind w:left="1418"/>
        <w:rPr>
          <w:noProof/>
          <w:lang w:val="cs-CZ"/>
        </w:rPr>
      </w:pPr>
      <w:r w:rsidRPr="003B6E11">
        <w:rPr>
          <w:lang w:val="cs-CZ"/>
        </w:rPr>
        <w:t>Pokud z označení „způsobilé tlačit“ v předchozím lodním osvědčení není zřejmé, které sestavy jsou povoleny, může se záznam z předchozího osvědčení plavidla vnitrozemské plavby přenést do bodu 52. Do řádku 1 tabulky „Povolené tvary sestav“ se uvede „viz bod 52“.</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15.2</w:t>
      </w:r>
      <w:r w:rsidRPr="003B6E11">
        <w:rPr>
          <w:lang w:val="cs-CZ"/>
        </w:rPr>
        <w:tab/>
        <w:t>Spojení</w:t>
      </w:r>
    </w:p>
    <w:p w:rsidR="003B6E11" w:rsidRPr="003B6E11" w:rsidRDefault="003B6E11" w:rsidP="003B6E11">
      <w:pPr>
        <w:tabs>
          <w:tab w:val="left" w:pos="1418"/>
        </w:tabs>
        <w:spacing w:line="240" w:lineRule="atLeast"/>
        <w:ind w:left="1418"/>
        <w:rPr>
          <w:noProof/>
          <w:lang w:val="cs-CZ"/>
        </w:rPr>
      </w:pPr>
    </w:p>
    <w:p w:rsidR="003B6E11" w:rsidRPr="003B6E11" w:rsidRDefault="003B6E11" w:rsidP="003B6E11">
      <w:pPr>
        <w:tabs>
          <w:tab w:val="left" w:pos="1418"/>
        </w:tabs>
        <w:spacing w:line="240" w:lineRule="atLeast"/>
        <w:ind w:left="1418"/>
        <w:rPr>
          <w:noProof/>
          <w:lang w:val="cs-CZ"/>
        </w:rPr>
      </w:pPr>
      <w:r w:rsidRPr="003B6E11">
        <w:rPr>
          <w:lang w:val="cs-CZ"/>
        </w:rPr>
        <w:t>Uvedou se pouze údaje týkající se spojení mezi tlačným plavidlem a tlačenou částí sestavy.</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17–20.</w:t>
      </w:r>
      <w:r w:rsidRPr="003B6E11">
        <w:rPr>
          <w:lang w:val="cs-CZ"/>
        </w:rPr>
        <w:tab/>
        <w:t xml:space="preserve">Údaje podle osvědčení o nosnosti v bodech 17–19 se uvedou na dvě desetinná místa a v bodě 20 bez desetinných míst. Největší délka a největší šířka představují maximální rozměry plavidla včetně všech vystupujících pevných součástí. Délka </w:t>
      </w:r>
      <m:oMath>
        <m:r>
          <w:rPr>
            <w:rFonts w:ascii="Cambria Math" w:hAnsi="Cambria Math"/>
            <w:noProof/>
            <w:lang w:val="cs-CZ"/>
          </w:rPr>
          <m:t>L</m:t>
        </m:r>
      </m:oMath>
      <w:r w:rsidRPr="003B6E11">
        <w:rPr>
          <w:lang w:val="cs-CZ"/>
        </w:rPr>
        <w:t xml:space="preserve"> a šířka </w:t>
      </w:r>
      <m:oMath>
        <m:r>
          <w:rPr>
            <w:rFonts w:ascii="Cambria Math" w:hAnsi="Cambria Math"/>
            <w:noProof/>
            <w:lang w:val="cs-CZ"/>
          </w:rPr>
          <m:t>B</m:t>
        </m:r>
      </m:oMath>
      <w:r w:rsidRPr="003B6E11">
        <w:rPr>
          <w:lang w:val="cs-CZ"/>
        </w:rPr>
        <w:t xml:space="preserve"> představují maximální rozměry trupu (viz též článek 1.01 Definice).</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br w:type="page"/>
      </w: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21.</w:t>
      </w:r>
      <w:r w:rsidRPr="003B6E11">
        <w:rPr>
          <w:lang w:val="cs-CZ"/>
        </w:rPr>
        <w:tab/>
        <w:t>Celková nosnost u nákladních lodí v t podle cejchovního průkazu při největším přípustném ponoru podle bodu 19.</w:t>
      </w:r>
    </w:p>
    <w:p w:rsidR="003B6E11" w:rsidRPr="003B6E11" w:rsidRDefault="003B6E11" w:rsidP="003B6E11">
      <w:pPr>
        <w:tabs>
          <w:tab w:val="left" w:pos="1418"/>
        </w:tabs>
        <w:spacing w:line="240" w:lineRule="atLeast"/>
        <w:ind w:left="1418"/>
        <w:rPr>
          <w:noProof/>
          <w:lang w:val="cs-CZ"/>
        </w:rPr>
      </w:pPr>
    </w:p>
    <w:p w:rsidR="003B6E11" w:rsidRPr="003B6E11" w:rsidRDefault="003B6E11" w:rsidP="003B6E11">
      <w:pPr>
        <w:tabs>
          <w:tab w:val="left" w:pos="1418"/>
        </w:tabs>
        <w:spacing w:line="240" w:lineRule="atLeast"/>
        <w:ind w:left="1418"/>
        <w:rPr>
          <w:noProof/>
          <w:lang w:val="cs-CZ"/>
        </w:rPr>
      </w:pPr>
      <w:r w:rsidRPr="003B6E11">
        <w:rPr>
          <w:lang w:val="cs-CZ"/>
        </w:rPr>
        <w:t>Výtlak u všech ostatních plavidel v m</w:t>
      </w:r>
      <w:r w:rsidRPr="003B6E11">
        <w:rPr>
          <w:noProof/>
          <w:vertAlign w:val="superscript"/>
          <w:lang w:val="cs-CZ"/>
        </w:rPr>
        <w:t>3</w:t>
      </w:r>
      <w:r w:rsidRPr="003B6E11">
        <w:rPr>
          <w:lang w:val="cs-CZ"/>
        </w:rPr>
        <w:t xml:space="preserve">. Pokud není k dispozici cejchovní průkaz, vypočítejte výtlak jako součin součinitele plnosti výtlaku a délky </w:t>
      </w:r>
      <m:oMath>
        <m:sSub>
          <m:sSubPr>
            <m:ctrlPr>
              <w:rPr>
                <w:rFonts w:ascii="Cambria Math" w:hAnsi="Cambria Math" w:cs="Arial"/>
                <w:i/>
                <w:noProof/>
                <w:sz w:val="18"/>
                <w:szCs w:val="18"/>
                <w:lang w:val="cs-CZ"/>
              </w:rPr>
            </m:ctrlPr>
          </m:sSubPr>
          <m:e>
            <m:r>
              <w:rPr>
                <w:rFonts w:ascii="Cambria Math" w:hAnsi="Cambria Math" w:cs="Arial"/>
                <w:noProof/>
                <w:sz w:val="18"/>
                <w:szCs w:val="18"/>
                <w:lang w:val="cs-CZ"/>
              </w:rPr>
              <m:t>L</m:t>
            </m:r>
          </m:e>
          <m:sub>
            <m:r>
              <w:rPr>
                <w:rFonts w:ascii="Cambria Math" w:hAnsi="Cambria Math" w:cs="Arial"/>
                <w:noProof/>
                <w:sz w:val="18"/>
                <w:szCs w:val="18"/>
                <w:lang w:val="cs-CZ"/>
              </w:rPr>
              <m:t>WL</m:t>
            </m:r>
          </m:sub>
        </m:sSub>
      </m:oMath>
      <w:r w:rsidRPr="003B6E11">
        <w:rPr>
          <w:lang w:val="cs-CZ"/>
        </w:rPr>
        <w:t xml:space="preserve">, šířky </w:t>
      </w:r>
      <m:oMath>
        <m:sSub>
          <m:sSubPr>
            <m:ctrlPr>
              <w:rPr>
                <w:rFonts w:ascii="Cambria Math" w:hAnsi="Cambria Math" w:cs="Arial"/>
                <w:i/>
                <w:noProof/>
                <w:sz w:val="18"/>
                <w:szCs w:val="18"/>
                <w:lang w:val="cs-CZ"/>
              </w:rPr>
            </m:ctrlPr>
          </m:sSubPr>
          <m:e>
            <m:r>
              <w:rPr>
                <w:rFonts w:ascii="Cambria Math" w:hAnsi="Cambria Math" w:cs="Arial"/>
                <w:noProof/>
                <w:sz w:val="18"/>
                <w:szCs w:val="18"/>
                <w:lang w:val="cs-CZ"/>
              </w:rPr>
              <m:t>B</m:t>
            </m:r>
          </m:e>
          <m:sub>
            <m:r>
              <w:rPr>
                <w:rFonts w:ascii="Cambria Math" w:hAnsi="Cambria Math" w:cs="Arial"/>
                <w:noProof/>
                <w:sz w:val="18"/>
                <w:szCs w:val="18"/>
                <w:lang w:val="cs-CZ"/>
              </w:rPr>
              <m:t>WL</m:t>
            </m:r>
          </m:sub>
        </m:sSub>
      </m:oMath>
      <w:r w:rsidRPr="003B6E11">
        <w:rPr>
          <w:lang w:val="cs-CZ"/>
        </w:rPr>
        <w:t>L a střední hodnoty ponoru při maximálním ponoření.</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23.</w:t>
      </w:r>
      <w:r w:rsidRPr="003B6E11">
        <w:rPr>
          <w:lang w:val="cs-CZ"/>
        </w:rPr>
        <w:tab/>
        <w:t>Počet dostupných lůžek pro cestující (včetně sklápěcích postelí apod.).</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24.</w:t>
      </w:r>
      <w:r w:rsidRPr="003B6E11">
        <w:rPr>
          <w:lang w:val="cs-CZ"/>
        </w:rPr>
        <w:tab/>
        <w:t>V úvahu se berou pouze vodotěsné příčné přepážky protažené z jedné strany lodi na druhou.</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26.</w:t>
      </w:r>
      <w:r w:rsidRPr="003B6E11">
        <w:rPr>
          <w:lang w:val="cs-CZ"/>
        </w:rPr>
        <w:tab/>
        <w:t>Jsou-li použitelné, použijí se následující pojmy:</w:t>
      </w:r>
    </w:p>
    <w:p w:rsidR="003B6E11" w:rsidRPr="003B6E11" w:rsidRDefault="003B6E11" w:rsidP="003B6E11">
      <w:pPr>
        <w:tabs>
          <w:tab w:val="left" w:pos="1843"/>
        </w:tabs>
        <w:spacing w:before="60" w:line="240" w:lineRule="atLeast"/>
        <w:ind w:left="1843"/>
        <w:rPr>
          <w:noProof/>
          <w:lang w:val="cs-CZ"/>
        </w:rPr>
      </w:pPr>
      <w:r w:rsidRPr="003B6E11">
        <w:rPr>
          <w:lang w:val="cs-CZ"/>
        </w:rPr>
        <w:t>–</w:t>
      </w:r>
      <w:r w:rsidRPr="003B6E11">
        <w:rPr>
          <w:lang w:val="cs-CZ"/>
        </w:rPr>
        <w:tab/>
        <w:t>ručně ovládané kryty jícnů,</w:t>
      </w:r>
    </w:p>
    <w:p w:rsidR="003B6E11" w:rsidRPr="003B6E11" w:rsidRDefault="003B6E11" w:rsidP="003B6E11">
      <w:pPr>
        <w:tabs>
          <w:tab w:val="left" w:pos="1843"/>
        </w:tabs>
        <w:spacing w:before="60" w:line="240" w:lineRule="atLeast"/>
        <w:ind w:left="1843"/>
        <w:rPr>
          <w:noProof/>
          <w:lang w:val="cs-CZ"/>
        </w:rPr>
      </w:pPr>
      <w:r w:rsidRPr="003B6E11">
        <w:rPr>
          <w:lang w:val="cs-CZ"/>
        </w:rPr>
        <w:t>–</w:t>
      </w:r>
      <w:r w:rsidRPr="003B6E11">
        <w:rPr>
          <w:lang w:val="cs-CZ"/>
        </w:rPr>
        <w:tab/>
        <w:t>ručně ovládané stohovací kryty jícnů,</w:t>
      </w:r>
    </w:p>
    <w:p w:rsidR="003B6E11" w:rsidRPr="003B6E11" w:rsidRDefault="003B6E11" w:rsidP="003B6E11">
      <w:pPr>
        <w:tabs>
          <w:tab w:val="left" w:pos="1843"/>
        </w:tabs>
        <w:spacing w:before="60" w:line="240" w:lineRule="atLeast"/>
        <w:ind w:left="1843"/>
        <w:rPr>
          <w:noProof/>
          <w:lang w:val="cs-CZ"/>
        </w:rPr>
      </w:pPr>
      <w:r w:rsidRPr="003B6E11">
        <w:rPr>
          <w:lang w:val="cs-CZ"/>
        </w:rPr>
        <w:t>–</w:t>
      </w:r>
      <w:r w:rsidRPr="003B6E11">
        <w:rPr>
          <w:lang w:val="cs-CZ"/>
        </w:rPr>
        <w:tab/>
        <w:t>ručně ovládané posuvné kryty jícnů,</w:t>
      </w:r>
    </w:p>
    <w:p w:rsidR="003B6E11" w:rsidRPr="003B6E11" w:rsidRDefault="003B6E11" w:rsidP="003B6E11">
      <w:pPr>
        <w:tabs>
          <w:tab w:val="left" w:pos="1843"/>
        </w:tabs>
        <w:spacing w:before="60" w:line="240" w:lineRule="atLeast"/>
        <w:ind w:left="1843"/>
        <w:rPr>
          <w:noProof/>
          <w:lang w:val="cs-CZ"/>
        </w:rPr>
      </w:pPr>
      <w:r w:rsidRPr="003B6E11">
        <w:rPr>
          <w:lang w:val="cs-CZ"/>
        </w:rPr>
        <w:t>–</w:t>
      </w:r>
      <w:r w:rsidRPr="003B6E11">
        <w:rPr>
          <w:lang w:val="cs-CZ"/>
        </w:rPr>
        <w:tab/>
        <w:t>mechanicky ovládané posuvné kryty jícnů,</w:t>
      </w:r>
    </w:p>
    <w:p w:rsidR="003B6E11" w:rsidRPr="003B6E11" w:rsidRDefault="003B6E11" w:rsidP="003B6E11">
      <w:pPr>
        <w:tabs>
          <w:tab w:val="left" w:pos="1843"/>
        </w:tabs>
        <w:spacing w:before="60" w:line="240" w:lineRule="atLeast"/>
        <w:ind w:left="1843"/>
        <w:rPr>
          <w:noProof/>
          <w:lang w:val="cs-CZ"/>
        </w:rPr>
      </w:pPr>
      <w:r w:rsidRPr="003B6E11">
        <w:rPr>
          <w:lang w:val="cs-CZ"/>
        </w:rPr>
        <w:t>–</w:t>
      </w:r>
      <w:r w:rsidRPr="003B6E11">
        <w:rPr>
          <w:lang w:val="cs-CZ"/>
        </w:rPr>
        <w:tab/>
        <w:t>mechanicky ovládané kryty jícnů.</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1418"/>
        </w:tabs>
        <w:spacing w:line="240" w:lineRule="atLeast"/>
        <w:ind w:left="1418"/>
        <w:rPr>
          <w:noProof/>
          <w:lang w:val="cs-CZ"/>
        </w:rPr>
      </w:pPr>
      <w:r w:rsidRPr="003B6E11">
        <w:rPr>
          <w:lang w:val="cs-CZ"/>
        </w:rPr>
        <w:t>U jiných typů jícnů se uvedou jejich obecně přijímaná označení.</w:t>
      </w:r>
    </w:p>
    <w:p w:rsidR="003B6E11" w:rsidRPr="003B6E11" w:rsidRDefault="003B6E11" w:rsidP="003B6E11">
      <w:pPr>
        <w:tabs>
          <w:tab w:val="left" w:pos="1418"/>
        </w:tabs>
        <w:spacing w:line="240" w:lineRule="atLeast"/>
        <w:ind w:left="1418"/>
        <w:rPr>
          <w:noProof/>
          <w:lang w:val="cs-CZ"/>
        </w:rPr>
      </w:pPr>
    </w:p>
    <w:p w:rsidR="003B6E11" w:rsidRPr="003B6E11" w:rsidRDefault="003B6E11" w:rsidP="003B6E11">
      <w:pPr>
        <w:tabs>
          <w:tab w:val="left" w:pos="1418"/>
        </w:tabs>
        <w:spacing w:line="240" w:lineRule="atLeast"/>
        <w:ind w:left="1418"/>
        <w:rPr>
          <w:noProof/>
          <w:lang w:val="cs-CZ"/>
        </w:rPr>
      </w:pPr>
      <w:r w:rsidRPr="003B6E11">
        <w:rPr>
          <w:lang w:val="cs-CZ"/>
        </w:rPr>
        <w:t>Musí být uvedeny všechny podpalubní nákladové prostory, které nemají kryt jícnu, např. v bodě 52.</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28.</w:t>
      </w:r>
      <w:r w:rsidRPr="003B6E11">
        <w:rPr>
          <w:lang w:val="cs-CZ"/>
        </w:rPr>
        <w:tab/>
        <w:t>Číslo bez desetinných míst.</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 xml:space="preserve">30, 31 </w:t>
      </w: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a 33.</w:t>
      </w:r>
      <w:r w:rsidRPr="003B6E11">
        <w:rPr>
          <w:lang w:val="cs-CZ"/>
        </w:rPr>
        <w:tab/>
        <w:t>Každá skříň navijáku se považuje za jeden naviják bez ohledu na počet kotev nebo vlečných lan k ní připojených.</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34.</w:t>
      </w:r>
      <w:r w:rsidRPr="003B6E11">
        <w:rPr>
          <w:lang w:val="cs-CZ"/>
        </w:rPr>
        <w:tab/>
        <w:t>Pod položku „Jiná zařízení“ se uvedou systémy, které nepoužívají kormidelní ploutve (např. kormidlovací lodní vrtule, cykloidní lodní vrtule, příďová dokormidlovací zařízení).</w:t>
      </w:r>
    </w:p>
    <w:p w:rsidR="003B6E11" w:rsidRPr="003B6E11" w:rsidRDefault="003B6E11" w:rsidP="003B6E11">
      <w:pPr>
        <w:tabs>
          <w:tab w:val="left" w:pos="1418"/>
        </w:tabs>
        <w:spacing w:line="240" w:lineRule="atLeast"/>
        <w:ind w:left="1418"/>
        <w:rPr>
          <w:noProof/>
          <w:lang w:val="cs-CZ"/>
        </w:rPr>
      </w:pPr>
      <w:r w:rsidRPr="003B6E11">
        <w:rPr>
          <w:lang w:val="cs-CZ"/>
        </w:rPr>
        <w:t>Uveďte i všechny pomocné elektromotory pro ruční ovládání.</w:t>
      </w:r>
    </w:p>
    <w:p w:rsidR="003B6E11" w:rsidRPr="003B6E11" w:rsidRDefault="003B6E11" w:rsidP="003B6E11">
      <w:pPr>
        <w:tabs>
          <w:tab w:val="left" w:pos="1418"/>
        </w:tabs>
        <w:spacing w:line="240" w:lineRule="atLeast"/>
        <w:ind w:left="1418"/>
        <w:rPr>
          <w:noProof/>
          <w:lang w:val="cs-CZ"/>
        </w:rPr>
      </w:pPr>
      <w:r w:rsidRPr="003B6E11">
        <w:rPr>
          <w:lang w:val="cs-CZ"/>
        </w:rPr>
        <w:t>U příďových dokormidlovacích zařízení se pojem „dálkově ovládané“ týká pouze dálkových ovládacích prvků obsluhovaných z ovládacího stanoviště v kormidelně.</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35.</w:t>
      </w:r>
      <w:r w:rsidRPr="003B6E11">
        <w:rPr>
          <w:lang w:val="cs-CZ"/>
        </w:rPr>
        <w:tab/>
        <w:t>Uvedou se pouze teoretické hodnoty podle čl. 8.08 odst. 2 a 3, čl. 19.01 odst. 1 písm. c) a čl. 19.08 odst. 5. V případě plavidel, jejichž kýl byl položen dne 1. dubna 1976 nebo před tímto dnem, se první oddíl vyplní pouze v případě výměny drenážních čerpadel a v případě prodloužení platnosti osvědčení plavidla vnitrozemské plavby po 1. lednu 2015. V případě plavidel, jejichž kýl byl položen dne 31. prosince 1984 nebo před tímto dnem a která jsou provozována pouze mimo zónu R, lze tento oddíl ponechat nevyplněný.</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36.</w:t>
      </w:r>
      <w:r w:rsidRPr="003B6E11">
        <w:rPr>
          <w:lang w:val="cs-CZ"/>
        </w:rPr>
        <w:tab/>
        <w:t>Pro objasnění může být potřebný nákres.</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37.</w:t>
      </w:r>
      <w:r w:rsidRPr="003B6E11">
        <w:rPr>
          <w:lang w:val="cs-CZ"/>
        </w:rPr>
        <w:tab/>
        <w:t>Uvedou se pouze teoretické hodnoty bez snížení podle čl. 13.01 odst. 1 až 4.</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br w:type="page"/>
      </w: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38.</w:t>
      </w:r>
      <w:r w:rsidRPr="003B6E11">
        <w:rPr>
          <w:lang w:val="cs-CZ"/>
        </w:rPr>
        <w:tab/>
        <w:t>Uvedou se pouze hodnoty minimálních délek podle čl. 13.01 odst. 10 a minimálního mezního zatížení podle čl. 13.01 odst. 11.</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 xml:space="preserve">39. </w:t>
      </w: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a 40.</w:t>
      </w:r>
      <w:r w:rsidRPr="003B6E11">
        <w:rPr>
          <w:lang w:val="cs-CZ"/>
        </w:rPr>
        <w:tab/>
        <w:t>Uvedou se pouze hodnoty minimálních délek a minimálního mezního zatížení přepočítané podle čl. 13.02 odst. 3.</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42.</w:t>
      </w:r>
      <w:r w:rsidRPr="003B6E11">
        <w:rPr>
          <w:lang w:val="cs-CZ"/>
        </w:rPr>
        <w:tab/>
        <w:t>Subjekt pověřený prohlídkami může na seznam potřebného vybavení přidávat položky. Ty musí být odůvodněné jako nezbytné pro bezpečnou plavbu příslušného typu lodi nebo její operační oblast. Dodatečné údaje se uvedou v bodě 52.</w:t>
      </w:r>
    </w:p>
    <w:p w:rsidR="003B6E11" w:rsidRPr="003B6E11" w:rsidRDefault="003B6E11" w:rsidP="003B6E11">
      <w:pPr>
        <w:tabs>
          <w:tab w:val="left" w:pos="1418"/>
        </w:tabs>
        <w:spacing w:line="240" w:lineRule="atLeast"/>
        <w:ind w:left="1418"/>
        <w:rPr>
          <w:noProof/>
          <w:lang w:val="cs-CZ"/>
        </w:rPr>
      </w:pPr>
    </w:p>
    <w:p w:rsidR="003B6E11" w:rsidRPr="003B6E11" w:rsidRDefault="003B6E11" w:rsidP="003B6E11">
      <w:pPr>
        <w:tabs>
          <w:tab w:val="left" w:pos="1418"/>
        </w:tabs>
        <w:spacing w:line="240" w:lineRule="atLeast"/>
        <w:ind w:left="1418"/>
        <w:rPr>
          <w:noProof/>
          <w:lang w:val="cs-CZ"/>
        </w:rPr>
      </w:pPr>
      <w:r w:rsidRPr="003B6E11">
        <w:rPr>
          <w:lang w:val="cs-CZ"/>
        </w:rPr>
        <w:t>Levý sloupec, řádky 3 až 5: u osobních lodí se vyškrtne první uvedená položka a u všech ostatních lodí se vyškrtne druhá uvedená položka. Délka lodní lávky se uvede v případě, že subjekt pověřený prohlídkami povolil délku kratší, než která je stanovena v čl. 13.02 odst. 3 písm. d) nebo v čl. 19.06 odst. 12.</w:t>
      </w:r>
    </w:p>
    <w:p w:rsidR="003B6E11" w:rsidRPr="003B6E11" w:rsidRDefault="003B6E11" w:rsidP="003B6E11">
      <w:pPr>
        <w:tabs>
          <w:tab w:val="left" w:pos="1418"/>
        </w:tabs>
        <w:spacing w:line="240" w:lineRule="atLeast"/>
        <w:ind w:left="1418"/>
        <w:rPr>
          <w:noProof/>
          <w:lang w:val="cs-CZ"/>
        </w:rPr>
      </w:pPr>
    </w:p>
    <w:p w:rsidR="003B6E11" w:rsidRPr="003B6E11" w:rsidRDefault="003B6E11" w:rsidP="003B6E11">
      <w:pPr>
        <w:tabs>
          <w:tab w:val="left" w:pos="1418"/>
        </w:tabs>
        <w:spacing w:line="240" w:lineRule="atLeast"/>
        <w:ind w:left="1418"/>
        <w:rPr>
          <w:noProof/>
          <w:lang w:val="cs-CZ"/>
        </w:rPr>
      </w:pPr>
      <w:r w:rsidRPr="003B6E11">
        <w:rPr>
          <w:lang w:val="cs-CZ"/>
        </w:rPr>
        <w:t>Levý sloupec, řádek 7: zde se uvede počet předepsaných lékárniček podle čl. 13.02 odst. 3 písm. f) a čl. 19.08 odst. 9.</w:t>
      </w:r>
    </w:p>
    <w:p w:rsidR="003B6E11" w:rsidRPr="003B6E11" w:rsidRDefault="003B6E11" w:rsidP="003B6E11">
      <w:pPr>
        <w:tabs>
          <w:tab w:val="left" w:pos="1418"/>
        </w:tabs>
        <w:spacing w:line="240" w:lineRule="atLeast"/>
        <w:ind w:left="1418"/>
        <w:rPr>
          <w:noProof/>
          <w:lang w:val="cs-CZ"/>
        </w:rPr>
      </w:pPr>
    </w:p>
    <w:p w:rsidR="003B6E11" w:rsidRPr="003B6E11" w:rsidRDefault="003B6E11" w:rsidP="003B6E11">
      <w:pPr>
        <w:tabs>
          <w:tab w:val="left" w:pos="1418"/>
        </w:tabs>
        <w:spacing w:line="240" w:lineRule="atLeast"/>
        <w:ind w:left="1418"/>
        <w:rPr>
          <w:noProof/>
          <w:lang w:val="cs-CZ"/>
        </w:rPr>
      </w:pPr>
      <w:r w:rsidRPr="003B6E11">
        <w:rPr>
          <w:lang w:val="cs-CZ"/>
        </w:rPr>
        <w:t>Levý sloupec, řádek 11: zde se uvede počet předepsaných ohnivzdorných nádob podle čl. 13.02 odst. 2.</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43.</w:t>
      </w:r>
      <w:r w:rsidRPr="003B6E11">
        <w:rPr>
          <w:lang w:val="cs-CZ"/>
        </w:rPr>
        <w:tab/>
        <w:t>V tomto bodě se neuvádí přenosné hasicí přístroje požadované jinými bezpečnostními předpisy.</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adjustRightInd w:val="0"/>
        <w:ind w:left="1418" w:hanging="851"/>
        <w:rPr>
          <w:rFonts w:cs="Arial"/>
          <w:szCs w:val="20"/>
          <w:lang w:val="cs-CZ"/>
        </w:rPr>
      </w:pPr>
      <w:r w:rsidRPr="003B6E11">
        <w:rPr>
          <w:lang w:val="cs-CZ"/>
        </w:rPr>
        <w:t>44.</w:t>
      </w:r>
      <w:r w:rsidRPr="003B6E11">
        <w:rPr>
          <w:lang w:val="cs-CZ"/>
        </w:rPr>
        <w:tab/>
        <w:t>Řádek 3: v osvědčeních plavidla vnitrozemské plavby, jejichž platnost má být prodloužena před 1. lednem 2025 (kapitola 33), se škrtnou slova „podle čl. 13.08 odst. 2“, pokud nejsou na palubě žádné záchranné vesty odpovídající této normě.</w:t>
      </w:r>
    </w:p>
    <w:p w:rsidR="003B6E11" w:rsidRPr="003B6E11" w:rsidRDefault="003B6E11" w:rsidP="003B6E11">
      <w:pPr>
        <w:adjustRightInd w:val="0"/>
        <w:ind w:left="1134" w:hanging="283"/>
        <w:rPr>
          <w:rFonts w:cs="Arial"/>
          <w:szCs w:val="20"/>
          <w:lang w:val="cs-CZ"/>
        </w:rPr>
      </w:pPr>
    </w:p>
    <w:p w:rsidR="003B6E11" w:rsidRPr="003B6E11" w:rsidRDefault="003B6E11" w:rsidP="003B6E11">
      <w:pPr>
        <w:adjustRightInd w:val="0"/>
        <w:ind w:left="1418"/>
        <w:rPr>
          <w:rFonts w:cs="Arial"/>
          <w:szCs w:val="20"/>
          <w:lang w:val="cs-CZ"/>
        </w:rPr>
      </w:pPr>
      <w:r w:rsidRPr="003B6E11">
        <w:rPr>
          <w:lang w:val="cs-CZ"/>
        </w:rPr>
        <w:t>Řádek 4: v osvědčeních plavidla vnitrozemské plavby, jejichž platnost má být prodloužena po 1. lednu 2015, nebo pokud se na palubu umísťuje nový člun nebo v případě nových lodí se škrtnou slova „se sadou vesel, jedním uvazovacím lanem a vylévačkou“. v osvědčeních plavidla vnitrozemské plavby, jejichž platnost má být prodloužena po 1. lednu 2030 (kapitola 33), a pokud není na palubě žádný člun podle této normy, se škrtnou slova „podle normy EN 1914:2016“. V osvědčení plavidla vnitrozemské plavby, jehož platnost má být prodloužena před 1. září 2036, by mohlo být škrtnuto číslo „2016“, je-li prokázáno dodržení normy EN 1994:1997.</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46.</w:t>
      </w:r>
      <w:r w:rsidRPr="003B6E11">
        <w:rPr>
          <w:lang w:val="cs-CZ"/>
        </w:rPr>
        <w:tab/>
        <w:t>Obecně platí, že nelze uvést nepřetržitý provoz, pokud je počet lůžek nedostatečný nebo v případě nadměrné hladiny hluku.</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50.</w:t>
      </w:r>
      <w:r w:rsidRPr="003B6E11">
        <w:rPr>
          <w:lang w:val="cs-CZ"/>
        </w:rPr>
        <w:tab/>
        <w:t>Odborník může stranu 11 podepsat, pouze pokud ji sám vyplnil.</w:t>
      </w:r>
    </w:p>
    <w:p w:rsidR="003B6E11" w:rsidRPr="003B6E11" w:rsidRDefault="003B6E11" w:rsidP="003B6E11">
      <w:pPr>
        <w:tabs>
          <w:tab w:val="left" w:pos="567"/>
          <w:tab w:val="left" w:pos="1418"/>
        </w:tabs>
        <w:spacing w:line="240" w:lineRule="atLeast"/>
        <w:ind w:left="1418" w:hanging="851"/>
        <w:rPr>
          <w:noProof/>
          <w:lang w:val="cs-CZ"/>
        </w:rPr>
      </w:pPr>
    </w:p>
    <w:p w:rsidR="003B6E11" w:rsidRPr="003B6E11" w:rsidRDefault="003B6E11" w:rsidP="003B6E11">
      <w:pPr>
        <w:tabs>
          <w:tab w:val="left" w:pos="567"/>
          <w:tab w:val="left" w:pos="1418"/>
        </w:tabs>
        <w:spacing w:line="240" w:lineRule="atLeast"/>
        <w:ind w:left="1418" w:hanging="851"/>
        <w:rPr>
          <w:noProof/>
          <w:lang w:val="cs-CZ"/>
        </w:rPr>
      </w:pPr>
      <w:r w:rsidRPr="003B6E11">
        <w:rPr>
          <w:lang w:val="cs-CZ"/>
        </w:rPr>
        <w:t>52.</w:t>
      </w:r>
      <w:r w:rsidRPr="003B6E11">
        <w:rPr>
          <w:lang w:val="cs-CZ"/>
        </w:rPr>
        <w:tab/>
        <w:t>Zde se uvádějí veškerá dodatečná omezení, výjimky a vysvětlení apod., které platí pro záznamy v jednotlivých bodech.</w:t>
      </w:r>
    </w:p>
    <w:p w:rsidR="003B6E11" w:rsidRPr="003B6E11" w:rsidRDefault="003B6E11" w:rsidP="003B6E11">
      <w:pPr>
        <w:spacing w:line="240" w:lineRule="atLeast"/>
        <w:ind w:left="567" w:hanging="567"/>
        <w:rPr>
          <w:rFonts w:cs="Arial"/>
          <w:b/>
          <w:noProof/>
          <w:color w:val="000000"/>
          <w:szCs w:val="20"/>
          <w:lang w:val="cs-CZ"/>
        </w:rPr>
      </w:pPr>
    </w:p>
    <w:p w:rsidR="003B6E11" w:rsidRPr="003B6E11" w:rsidRDefault="003B6E11" w:rsidP="003B6E11">
      <w:pPr>
        <w:spacing w:line="240" w:lineRule="atLeast"/>
        <w:ind w:left="567" w:hanging="567"/>
        <w:rPr>
          <w:rFonts w:cs="Arial"/>
          <w:b/>
          <w:noProof/>
          <w:color w:val="000000"/>
          <w:szCs w:val="20"/>
          <w:lang w:val="cs-CZ"/>
        </w:rPr>
      </w:pPr>
      <w:r w:rsidRPr="003B6E11">
        <w:rPr>
          <w:lang w:val="cs-CZ"/>
        </w:rPr>
        <w:br w:type="page"/>
      </w: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5.</w:t>
      </w:r>
      <w:r w:rsidRPr="003B6E11">
        <w:rPr>
          <w:lang w:val="cs-CZ"/>
        </w:rPr>
        <w:tab/>
      </w:r>
      <w:r w:rsidRPr="003B6E11">
        <w:rPr>
          <w:b/>
          <w:noProof/>
          <w:color w:val="000000"/>
          <w:lang w:val="cs-CZ"/>
        </w:rPr>
        <w:t>Přechodná ustanovení pro osvědčení Unie pro plavidla vnitrozemské plavby</w:t>
      </w:r>
    </w:p>
    <w:p w:rsidR="003B6E11" w:rsidRPr="003B6E11" w:rsidRDefault="003B6E11" w:rsidP="003B6E11">
      <w:pPr>
        <w:spacing w:line="240" w:lineRule="atLeast"/>
        <w:ind w:left="567" w:hanging="567"/>
        <w:rPr>
          <w:rFonts w:cs="Arial"/>
          <w:b/>
          <w:noProof/>
          <w:color w:val="000000"/>
          <w:szCs w:val="20"/>
          <w:lang w:val="cs-CZ"/>
        </w:rPr>
      </w:pP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5.1</w:t>
      </w:r>
      <w:r w:rsidRPr="003B6E11">
        <w:rPr>
          <w:lang w:val="cs-CZ"/>
        </w:rPr>
        <w:tab/>
      </w:r>
      <w:r w:rsidRPr="003B6E11">
        <w:rPr>
          <w:b/>
          <w:noProof/>
          <w:color w:val="000000"/>
          <w:lang w:val="cs-CZ"/>
        </w:rPr>
        <w:t>Stávající osvědčení Společenství</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Kromě výjimečného prodloužení platnosti o 6 měsíců nelze povolit žádná další prodloužení platnosti stávajících osvědčení Společenství.</w:t>
      </w:r>
    </w:p>
    <w:p w:rsidR="003B6E11" w:rsidRPr="003B6E11" w:rsidRDefault="003B6E11" w:rsidP="003B6E11">
      <w:pPr>
        <w:spacing w:line="240" w:lineRule="atLeast"/>
        <w:ind w:left="567" w:hanging="567"/>
        <w:rPr>
          <w:rFonts w:cs="Arial"/>
          <w:b/>
          <w:noProof/>
          <w:color w:val="000000"/>
          <w:szCs w:val="20"/>
          <w:lang w:val="cs-CZ"/>
        </w:rPr>
      </w:pP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5.2</w:t>
      </w:r>
      <w:r w:rsidRPr="003B6E11">
        <w:rPr>
          <w:lang w:val="cs-CZ"/>
        </w:rPr>
        <w:tab/>
      </w:r>
      <w:r w:rsidRPr="003B6E11">
        <w:rPr>
          <w:b/>
          <w:noProof/>
          <w:color w:val="000000"/>
          <w:lang w:val="cs-CZ"/>
        </w:rPr>
        <w:t>Výměna po pravidelné prohlídce</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Po pravidelné prohlídce lodi, která ještě nemá osvědčení Unie pro plavidla vnitrozemské plavby podle vzoru v příloze 4, se vystaví osvědčení Unie pro plavidla vnitrozemské plavby.</w:t>
      </w:r>
    </w:p>
    <w:p w:rsidR="003B6E11" w:rsidRPr="003B6E11" w:rsidRDefault="003B6E11" w:rsidP="003B6E11">
      <w:pPr>
        <w:spacing w:line="240" w:lineRule="atLeast"/>
        <w:rPr>
          <w:rFonts w:ascii="Times New Roman" w:hAnsi="Times New Roman"/>
          <w:sz w:val="24"/>
          <w:lang w:val="cs-CZ"/>
        </w:rPr>
      </w:pPr>
    </w:p>
    <w:p w:rsidR="003B6E11" w:rsidRPr="003B6E11" w:rsidRDefault="003B6E11" w:rsidP="003B6E11">
      <w:pPr>
        <w:jc w:val="center"/>
        <w:rPr>
          <w:rFonts w:cs="Arial"/>
          <w:szCs w:val="20"/>
          <w:lang w:val="cs-CZ"/>
        </w:rPr>
      </w:pPr>
    </w:p>
    <w:p w:rsidR="003B6E11" w:rsidRPr="003B6E11" w:rsidRDefault="003B6E11" w:rsidP="003B6E11">
      <w:pPr>
        <w:jc w:val="center"/>
        <w:rPr>
          <w:rFonts w:cs="Arial"/>
          <w:szCs w:val="20"/>
          <w:lang w:val="cs-CZ"/>
        </w:rPr>
      </w:pPr>
    </w:p>
    <w:p w:rsidR="003B6E11" w:rsidRPr="003B6E11" w:rsidRDefault="003B6E11" w:rsidP="003B6E11">
      <w:pPr>
        <w:jc w:val="center"/>
        <w:rPr>
          <w:rFonts w:cs="Arial"/>
          <w:szCs w:val="20"/>
          <w:lang w:val="cs-CZ"/>
        </w:rPr>
      </w:pPr>
    </w:p>
    <w:p w:rsidR="003B6E11" w:rsidRPr="003B6E11" w:rsidRDefault="003B6E11" w:rsidP="003B6E11">
      <w:pPr>
        <w:jc w:val="center"/>
        <w:rPr>
          <w:rFonts w:cs="Arial"/>
          <w:szCs w:val="20"/>
          <w:lang w:val="cs-CZ"/>
        </w:rPr>
      </w:pPr>
    </w:p>
    <w:p w:rsidR="003B6E11" w:rsidRPr="003B6E11" w:rsidRDefault="003B6E11" w:rsidP="003B6E11">
      <w:pPr>
        <w:overflowPunct w:val="0"/>
        <w:adjustRightInd w:val="0"/>
        <w:spacing w:line="240" w:lineRule="exact"/>
        <w:textAlignment w:val="baseline"/>
        <w:rPr>
          <w:rFonts w:eastAsia="Calibri"/>
          <w:i/>
          <w:szCs w:val="20"/>
          <w:lang w:val="cs-CZ"/>
        </w:rPr>
        <w:sectPr w:rsidR="003B6E11" w:rsidRPr="003B6E11" w:rsidSect="00D45887">
          <w:headerReference w:type="default" r:id="rId111"/>
          <w:headerReference w:type="first" r:id="rId112"/>
          <w:footerReference w:type="first" r:id="rId113"/>
          <w:pgSz w:w="11907" w:h="16840" w:code="9"/>
          <w:pgMar w:top="1418" w:right="1418" w:bottom="1418" w:left="1418" w:header="680" w:footer="680" w:gutter="0"/>
          <w:cols w:space="720"/>
          <w:noEndnote/>
          <w:titlePg/>
        </w:sectPr>
      </w:pPr>
    </w:p>
    <w:p w:rsidR="003B6E11" w:rsidRPr="003B6E11" w:rsidRDefault="003B6E11" w:rsidP="003B6E11">
      <w:pPr>
        <w:pStyle w:val="ES-Titre2ESI"/>
        <w:rPr>
          <w:snapToGrid w:val="0"/>
        </w:rPr>
      </w:pPr>
      <w:bookmarkStart w:id="731" w:name="_Toc491854348"/>
      <w:bookmarkStart w:id="732" w:name="_Toc535417254"/>
      <w:r w:rsidRPr="003B6E11">
        <w:t>ESI-I-2</w:t>
      </w:r>
      <w:r w:rsidRPr="003B6E11">
        <w:br/>
        <w:t>Odborníci a odborně způsobilé osoby</w:t>
      </w:r>
      <w:bookmarkEnd w:id="731"/>
      <w:bookmarkEnd w:id="732"/>
    </w:p>
    <w:p w:rsidR="003B6E11" w:rsidRPr="003B6E11" w:rsidRDefault="003B6E11" w:rsidP="003B6E11">
      <w:pPr>
        <w:pStyle w:val="ESch"/>
        <w:rPr>
          <w:snapToGrid w:val="0"/>
          <w:lang w:val="cs-CZ"/>
        </w:rPr>
      </w:pPr>
    </w:p>
    <w:p w:rsidR="003B6E11" w:rsidRPr="003B6E11" w:rsidRDefault="003B6E11" w:rsidP="003B6E11">
      <w:pPr>
        <w:suppressAutoHyphens/>
        <w:jc w:val="center"/>
        <w:rPr>
          <w:rFonts w:cs="Arial"/>
          <w:b/>
          <w:snapToGrid w:val="0"/>
          <w:lang w:val="cs-CZ"/>
        </w:rPr>
      </w:pPr>
      <w:r w:rsidRPr="003B6E11">
        <w:rPr>
          <w:b/>
          <w:noProof/>
          <w:snapToGrid w:val="0"/>
          <w:lang w:val="cs-CZ"/>
        </w:rPr>
        <w:t>(Články 1.01, 10.3 a 10.4)</w:t>
      </w:r>
    </w:p>
    <w:p w:rsidR="003B6E11" w:rsidRPr="003B6E11" w:rsidRDefault="003B6E11" w:rsidP="003B6E11">
      <w:pPr>
        <w:tabs>
          <w:tab w:val="left" w:pos="425"/>
        </w:tabs>
        <w:suppressAutoHyphens/>
        <w:spacing w:line="240" w:lineRule="atLeast"/>
        <w:rPr>
          <w:rFonts w:cs="Arial"/>
          <w:snapToGrid w:val="0"/>
          <w:lang w:val="cs-CZ"/>
        </w:rPr>
      </w:pPr>
    </w:p>
    <w:p w:rsidR="003B6E11" w:rsidRPr="003B6E11" w:rsidRDefault="003B6E11" w:rsidP="003B6E11">
      <w:pPr>
        <w:spacing w:line="240" w:lineRule="atLeast"/>
        <w:ind w:left="567" w:hanging="567"/>
        <w:rPr>
          <w:b/>
          <w:noProof/>
          <w:lang w:val="cs-CZ"/>
        </w:rPr>
      </w:pPr>
      <w:r w:rsidRPr="003B6E11">
        <w:rPr>
          <w:b/>
          <w:noProof/>
          <w:lang w:val="cs-CZ"/>
        </w:rPr>
        <w:t>Odborníci</w:t>
      </w:r>
    </w:p>
    <w:p w:rsidR="003B6E11" w:rsidRPr="003B6E11" w:rsidRDefault="003B6E11" w:rsidP="003B6E11">
      <w:pPr>
        <w:spacing w:line="240" w:lineRule="atLeast"/>
        <w:rPr>
          <w:noProof/>
          <w:lang w:val="cs-CZ"/>
        </w:rPr>
      </w:pPr>
    </w:p>
    <w:p w:rsidR="003B6E11" w:rsidRPr="003B6E11" w:rsidRDefault="003B6E11" w:rsidP="003B6E11">
      <w:pPr>
        <w:spacing w:line="240" w:lineRule="atLeast"/>
        <w:rPr>
          <w:noProof/>
          <w:lang w:val="cs-CZ"/>
        </w:rPr>
      </w:pPr>
      <w:r w:rsidRPr="003B6E11">
        <w:rPr>
          <w:lang w:val="cs-CZ"/>
        </w:rPr>
        <w:t xml:space="preserve">Odborníci jsou povinni provádět přejímací zkoušky, jež vzhledem ke složitosti systémů nebo požadované úrovni bezpečnosti vyžadují odborné znalosti. Mezi osoby nebo instituce, které jsou oprávněny tyto přejímací zkoušky provádět, patří: </w:t>
      </w:r>
    </w:p>
    <w:p w:rsidR="003B6E11" w:rsidRPr="003B6E11" w:rsidRDefault="003B6E11" w:rsidP="003B6E11">
      <w:pPr>
        <w:spacing w:before="60" w:line="240" w:lineRule="atLeast"/>
        <w:ind w:left="426" w:hanging="426"/>
        <w:rPr>
          <w:noProof/>
          <w:lang w:val="cs-CZ"/>
        </w:rPr>
      </w:pPr>
      <w:r w:rsidRPr="003B6E11">
        <w:rPr>
          <w:lang w:val="cs-CZ"/>
        </w:rPr>
        <w:t>–</w:t>
      </w:r>
      <w:r w:rsidRPr="003B6E11">
        <w:rPr>
          <w:lang w:val="cs-CZ"/>
        </w:rPr>
        <w:tab/>
        <w:t>klasifikační společnosti, které mají potřebné interní odborné znalosti nebo které nesou na základě svého oprávnění odpovědnost za povolání externích osob nebo institucí, a pokud jde o výběr těchto osob nebo institucí, mají zavedené potřebné systémy řízení kvality,</w:t>
      </w:r>
    </w:p>
    <w:p w:rsidR="003B6E11" w:rsidRPr="003B6E11" w:rsidRDefault="003B6E11" w:rsidP="003B6E11">
      <w:pPr>
        <w:spacing w:before="60" w:line="240" w:lineRule="atLeast"/>
        <w:ind w:left="426" w:hanging="426"/>
        <w:rPr>
          <w:noProof/>
          <w:lang w:val="cs-CZ"/>
        </w:rPr>
      </w:pPr>
      <w:r w:rsidRPr="003B6E11">
        <w:rPr>
          <w:lang w:val="cs-CZ"/>
        </w:rPr>
        <w:t>–</w:t>
      </w:r>
      <w:r w:rsidRPr="003B6E11">
        <w:rPr>
          <w:lang w:val="cs-CZ"/>
        </w:rPr>
        <w:tab/>
        <w:t>členové subjektů pověřených prohlídkami nebo zaměstnanci příslušných orgánů,</w:t>
      </w:r>
    </w:p>
    <w:p w:rsidR="003B6E11" w:rsidRPr="003B6E11" w:rsidRDefault="003B6E11" w:rsidP="003B6E11">
      <w:pPr>
        <w:spacing w:before="60" w:line="240" w:lineRule="atLeast"/>
        <w:ind w:left="426" w:hanging="426"/>
        <w:rPr>
          <w:noProof/>
          <w:lang w:val="cs-CZ"/>
        </w:rPr>
      </w:pPr>
      <w:r w:rsidRPr="003B6E11">
        <w:rPr>
          <w:lang w:val="cs-CZ"/>
        </w:rPr>
        <w:t>–</w:t>
      </w:r>
      <w:r w:rsidRPr="003B6E11">
        <w:rPr>
          <w:lang w:val="cs-CZ"/>
        </w:rPr>
        <w:tab/>
        <w:t>úředně schválené osoby nebo instituce s odbornými znalostmi uznanými pro rozsah prohlídek v příslušné tematické oblasti, přičemž orgány provádějící prohlídky lodí mohou rovněž vydat toto schválení jakožto veřejné orgány, v ideálním případě na základě systému zabezpečování kvality. Osoba nebo instituce je rovněž považována za schválenou, pokud instituce úspěšně absolvovala výběrové řízení, jehož součástí bylo konkrétní zhodnocení potřebných znalostí a zkušeností.</w:t>
      </w:r>
    </w:p>
    <w:p w:rsidR="003B6E11" w:rsidRPr="003B6E11" w:rsidRDefault="003B6E11" w:rsidP="003B6E11">
      <w:pPr>
        <w:spacing w:line="240" w:lineRule="atLeast"/>
        <w:ind w:left="567" w:hanging="567"/>
        <w:rPr>
          <w:noProof/>
          <w:lang w:val="cs-CZ"/>
        </w:rPr>
      </w:pPr>
    </w:p>
    <w:p w:rsidR="003B6E11" w:rsidRPr="003B6E11" w:rsidRDefault="003B6E11" w:rsidP="003B6E11">
      <w:pPr>
        <w:tabs>
          <w:tab w:val="left" w:pos="1418"/>
        </w:tabs>
        <w:spacing w:line="240" w:lineRule="atLeast"/>
        <w:rPr>
          <w:rFonts w:cs="Arial"/>
          <w:b/>
          <w:color w:val="000000"/>
          <w:lang w:val="cs-CZ"/>
        </w:rPr>
      </w:pPr>
      <w:r w:rsidRPr="003B6E11">
        <w:rPr>
          <w:b/>
          <w:color w:val="000000"/>
          <w:lang w:val="cs-CZ"/>
        </w:rPr>
        <w:t>Odborník na tradiční plavidla</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rPr>
          <w:noProof/>
          <w:lang w:val="cs-CZ"/>
        </w:rPr>
      </w:pPr>
      <w:r w:rsidRPr="003B6E11">
        <w:rPr>
          <w:lang w:val="cs-CZ"/>
        </w:rPr>
        <w:t>Osoba uznaná příslušným orgánem nebo oprávněným orgánem členského státu, která má odborné znalosti v oblasti tradičních plavidel na základě svého odborného vzdělání a zkušeností v dané oblasti a která je obeznámena s příslušnými technickými požadavky a pravidly, a to rovněž z období tradičních plavidel.</w:t>
      </w:r>
    </w:p>
    <w:p w:rsidR="003B6E11" w:rsidRPr="003B6E11" w:rsidRDefault="003B6E11" w:rsidP="003B6E11">
      <w:pPr>
        <w:spacing w:line="240" w:lineRule="atLeast"/>
        <w:ind w:left="567" w:hanging="567"/>
        <w:rPr>
          <w:noProof/>
          <w:lang w:val="cs-CZ"/>
        </w:rPr>
      </w:pPr>
    </w:p>
    <w:p w:rsidR="003B6E11" w:rsidRPr="003B6E11" w:rsidRDefault="003B6E11" w:rsidP="003B6E11">
      <w:pPr>
        <w:spacing w:line="240" w:lineRule="atLeast"/>
        <w:ind w:left="567" w:hanging="567"/>
        <w:rPr>
          <w:b/>
          <w:noProof/>
          <w:lang w:val="cs-CZ"/>
        </w:rPr>
      </w:pPr>
      <w:r w:rsidRPr="003B6E11">
        <w:rPr>
          <w:b/>
          <w:noProof/>
          <w:lang w:val="cs-CZ"/>
        </w:rPr>
        <w:t>Odborně způsobilé osoby</w:t>
      </w:r>
    </w:p>
    <w:p w:rsidR="003B6E11" w:rsidRPr="003B6E11" w:rsidRDefault="003B6E11" w:rsidP="003B6E11">
      <w:pPr>
        <w:spacing w:line="240" w:lineRule="atLeast"/>
        <w:rPr>
          <w:noProof/>
          <w:lang w:val="cs-CZ"/>
        </w:rPr>
      </w:pPr>
    </w:p>
    <w:p w:rsidR="003B6E11" w:rsidRPr="003B6E11" w:rsidRDefault="003B6E11" w:rsidP="003B6E11">
      <w:pPr>
        <w:spacing w:line="240" w:lineRule="atLeast"/>
        <w:rPr>
          <w:noProof/>
          <w:lang w:val="cs-CZ"/>
        </w:rPr>
      </w:pPr>
      <w:r w:rsidRPr="003B6E11">
        <w:rPr>
          <w:lang w:val="cs-CZ"/>
        </w:rPr>
        <w:t>Odborně způsobilé osoby jsou povinny provádět například pravidelné vizuální kontroly a kontroly funkčnosti bezpečnostního vybavení. Mezi odborně způsobilé osoby mohou být zařazeny:</w:t>
      </w:r>
    </w:p>
    <w:p w:rsidR="003B6E11" w:rsidRPr="003B6E11" w:rsidRDefault="003B6E11" w:rsidP="003B6E11">
      <w:pPr>
        <w:spacing w:before="60" w:line="240" w:lineRule="atLeast"/>
        <w:ind w:left="426" w:hanging="426"/>
        <w:rPr>
          <w:noProof/>
          <w:lang w:val="cs-CZ"/>
        </w:rPr>
      </w:pPr>
      <w:r w:rsidRPr="003B6E11">
        <w:rPr>
          <w:lang w:val="cs-CZ"/>
        </w:rPr>
        <w:t>–</w:t>
      </w:r>
      <w:r w:rsidRPr="003B6E11">
        <w:rPr>
          <w:lang w:val="cs-CZ"/>
        </w:rPr>
        <w:tab/>
        <w:t>osoby, které mají na základě svého odborného vzdělání a zkušeností dostatečné odborné znalosti, aby mohly posoudit konkrétní situace a okolnosti, např. velitelé lodi, bezpečnostní pracovníci ve společnostech lodní dopravy, členové posádky s odpovídajícími zkušenostmi,</w:t>
      </w:r>
    </w:p>
    <w:p w:rsidR="003B6E11" w:rsidRPr="003B6E11" w:rsidRDefault="003B6E11" w:rsidP="003B6E11">
      <w:pPr>
        <w:spacing w:before="60" w:line="240" w:lineRule="atLeast"/>
        <w:ind w:left="426" w:hanging="426"/>
        <w:rPr>
          <w:noProof/>
          <w:lang w:val="cs-CZ"/>
        </w:rPr>
      </w:pPr>
      <w:r w:rsidRPr="003B6E11">
        <w:rPr>
          <w:lang w:val="cs-CZ"/>
        </w:rPr>
        <w:t>–</w:t>
      </w:r>
      <w:r w:rsidRPr="003B6E11">
        <w:rPr>
          <w:lang w:val="cs-CZ"/>
        </w:rPr>
        <w:tab/>
        <w:t>firmy, které mají dostatečné odborné znalosti získané na základě své pravidelné práce, např. loděnice nebo montážní firmy,</w:t>
      </w:r>
    </w:p>
    <w:p w:rsidR="003B6E11" w:rsidRPr="003B6E11" w:rsidRDefault="003B6E11" w:rsidP="003B6E11">
      <w:pPr>
        <w:spacing w:before="60" w:line="240" w:lineRule="atLeast"/>
        <w:ind w:left="426" w:hanging="426"/>
        <w:rPr>
          <w:noProof/>
          <w:lang w:val="cs-CZ"/>
        </w:rPr>
      </w:pPr>
      <w:r w:rsidRPr="003B6E11">
        <w:rPr>
          <w:lang w:val="cs-CZ"/>
        </w:rPr>
        <w:t>–</w:t>
      </w:r>
      <w:r w:rsidRPr="003B6E11">
        <w:rPr>
          <w:lang w:val="cs-CZ"/>
        </w:rPr>
        <w:tab/>
        <w:t>výrobci systémů pro speciální použití (např. protipožární systémy, ovládání zařízení).</w:t>
      </w:r>
    </w:p>
    <w:p w:rsidR="003B6E11" w:rsidRPr="003B6E11" w:rsidRDefault="003B6E11" w:rsidP="003B6E11">
      <w:pPr>
        <w:spacing w:line="240" w:lineRule="atLeast"/>
        <w:ind w:left="567" w:hanging="567"/>
        <w:rPr>
          <w:noProof/>
          <w:lang w:val="cs-CZ"/>
        </w:rPr>
      </w:pPr>
    </w:p>
    <w:p w:rsidR="003B6E11" w:rsidRPr="003B6E11" w:rsidRDefault="003B6E11" w:rsidP="003B6E11">
      <w:pPr>
        <w:spacing w:line="240" w:lineRule="atLeast"/>
        <w:ind w:left="567" w:hanging="567"/>
        <w:rPr>
          <w:b/>
          <w:noProof/>
          <w:lang w:val="cs-CZ"/>
        </w:rPr>
      </w:pPr>
      <w:r w:rsidRPr="003B6E11">
        <w:rPr>
          <w:b/>
          <w:noProof/>
          <w:lang w:val="cs-CZ"/>
        </w:rPr>
        <w:t>Terminologie</w:t>
      </w:r>
    </w:p>
    <w:p w:rsidR="003B6E11" w:rsidRPr="003B6E11" w:rsidRDefault="003B6E11" w:rsidP="003B6E11">
      <w:pPr>
        <w:spacing w:line="240" w:lineRule="atLeast"/>
        <w:ind w:left="567" w:hanging="567"/>
        <w:rPr>
          <w:noProof/>
          <w:lang w:val="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800"/>
        <w:gridCol w:w="1921"/>
        <w:gridCol w:w="1807"/>
      </w:tblGrid>
      <w:tr w:rsidR="003B6E11" w:rsidRPr="003B6E11" w:rsidTr="002D015D">
        <w:trPr>
          <w:jc w:val="center"/>
        </w:trPr>
        <w:tc>
          <w:tcPr>
            <w:tcW w:w="1859" w:type="dxa"/>
          </w:tcPr>
          <w:p w:rsidR="003B6E11" w:rsidRPr="003B6E11" w:rsidRDefault="003B6E11" w:rsidP="002D015D">
            <w:pPr>
              <w:spacing w:before="120" w:after="120"/>
              <w:rPr>
                <w:rFonts w:cs="Arial"/>
                <w:noProof/>
                <w:sz w:val="18"/>
                <w:szCs w:val="20"/>
                <w:lang w:val="cs-CZ"/>
              </w:rPr>
            </w:pPr>
            <w:r w:rsidRPr="003B6E11">
              <w:rPr>
                <w:noProof/>
                <w:sz w:val="18"/>
                <w:lang w:val="cs-CZ"/>
              </w:rPr>
              <w:t>Německy</w:t>
            </w:r>
          </w:p>
        </w:tc>
        <w:tc>
          <w:tcPr>
            <w:tcW w:w="1800" w:type="dxa"/>
          </w:tcPr>
          <w:p w:rsidR="003B6E11" w:rsidRPr="003B6E11" w:rsidRDefault="003B6E11" w:rsidP="002D015D">
            <w:pPr>
              <w:spacing w:before="120" w:after="120"/>
              <w:rPr>
                <w:rFonts w:cs="Arial"/>
                <w:noProof/>
                <w:sz w:val="18"/>
                <w:szCs w:val="20"/>
                <w:lang w:val="cs-CZ"/>
              </w:rPr>
            </w:pPr>
            <w:r w:rsidRPr="003B6E11">
              <w:rPr>
                <w:noProof/>
                <w:sz w:val="18"/>
                <w:lang w:val="cs-CZ"/>
              </w:rPr>
              <w:t>Anglicky</w:t>
            </w:r>
          </w:p>
        </w:tc>
        <w:tc>
          <w:tcPr>
            <w:tcW w:w="1921" w:type="dxa"/>
          </w:tcPr>
          <w:p w:rsidR="003B6E11" w:rsidRPr="003B6E11" w:rsidRDefault="003B6E11" w:rsidP="002D015D">
            <w:pPr>
              <w:spacing w:before="120" w:after="120"/>
              <w:rPr>
                <w:rFonts w:cs="Arial"/>
                <w:noProof/>
                <w:sz w:val="18"/>
                <w:szCs w:val="20"/>
                <w:lang w:val="cs-CZ"/>
              </w:rPr>
            </w:pPr>
            <w:r w:rsidRPr="003B6E11">
              <w:rPr>
                <w:noProof/>
                <w:sz w:val="18"/>
                <w:lang w:val="cs-CZ"/>
              </w:rPr>
              <w:t>Francouzsky</w:t>
            </w:r>
          </w:p>
        </w:tc>
        <w:tc>
          <w:tcPr>
            <w:tcW w:w="1807" w:type="dxa"/>
          </w:tcPr>
          <w:p w:rsidR="003B6E11" w:rsidRPr="003B6E11" w:rsidRDefault="003B6E11" w:rsidP="002D015D">
            <w:pPr>
              <w:spacing w:before="120" w:after="120"/>
              <w:rPr>
                <w:rFonts w:cs="Arial"/>
                <w:noProof/>
                <w:sz w:val="18"/>
                <w:szCs w:val="20"/>
                <w:lang w:val="cs-CZ"/>
              </w:rPr>
            </w:pPr>
            <w:r w:rsidRPr="003B6E11">
              <w:rPr>
                <w:noProof/>
                <w:sz w:val="18"/>
                <w:lang w:val="cs-CZ"/>
              </w:rPr>
              <w:t>Nizozemsky</w:t>
            </w:r>
          </w:p>
        </w:tc>
      </w:tr>
      <w:tr w:rsidR="003B6E11" w:rsidRPr="003B6E11" w:rsidTr="002D015D">
        <w:trPr>
          <w:jc w:val="center"/>
        </w:trPr>
        <w:tc>
          <w:tcPr>
            <w:tcW w:w="1859" w:type="dxa"/>
          </w:tcPr>
          <w:p w:rsidR="003B6E11" w:rsidRPr="003B6E11" w:rsidRDefault="003B6E11" w:rsidP="002D015D">
            <w:pPr>
              <w:spacing w:before="120" w:after="120"/>
              <w:rPr>
                <w:rFonts w:cs="Arial"/>
                <w:noProof/>
                <w:sz w:val="18"/>
                <w:szCs w:val="20"/>
                <w:lang w:val="cs-CZ"/>
              </w:rPr>
            </w:pPr>
            <w:r w:rsidRPr="003B6E11">
              <w:rPr>
                <w:noProof/>
                <w:sz w:val="18"/>
                <w:lang w:val="cs-CZ"/>
              </w:rPr>
              <w:t>Sachverständiger</w:t>
            </w:r>
          </w:p>
        </w:tc>
        <w:tc>
          <w:tcPr>
            <w:tcW w:w="1800" w:type="dxa"/>
          </w:tcPr>
          <w:p w:rsidR="003B6E11" w:rsidRPr="003B6E11" w:rsidRDefault="003B6E11" w:rsidP="002D015D">
            <w:pPr>
              <w:spacing w:before="120" w:after="120"/>
              <w:rPr>
                <w:rFonts w:cs="Arial"/>
                <w:noProof/>
                <w:sz w:val="18"/>
                <w:szCs w:val="20"/>
                <w:lang w:val="cs-CZ"/>
              </w:rPr>
            </w:pPr>
            <w:r w:rsidRPr="003B6E11">
              <w:rPr>
                <w:noProof/>
                <w:sz w:val="18"/>
                <w:lang w:val="cs-CZ"/>
              </w:rPr>
              <w:t>expert</w:t>
            </w:r>
          </w:p>
        </w:tc>
        <w:tc>
          <w:tcPr>
            <w:tcW w:w="1921" w:type="dxa"/>
          </w:tcPr>
          <w:p w:rsidR="003B6E11" w:rsidRPr="003B6E11" w:rsidRDefault="003B6E11" w:rsidP="002D015D">
            <w:pPr>
              <w:spacing w:before="120" w:after="120"/>
              <w:rPr>
                <w:rFonts w:cs="Arial"/>
                <w:noProof/>
                <w:sz w:val="18"/>
                <w:szCs w:val="20"/>
                <w:lang w:val="cs-CZ"/>
              </w:rPr>
            </w:pPr>
            <w:r w:rsidRPr="003B6E11">
              <w:rPr>
                <w:noProof/>
                <w:sz w:val="18"/>
                <w:lang w:val="cs-CZ"/>
              </w:rPr>
              <w:t>expert</w:t>
            </w:r>
          </w:p>
        </w:tc>
        <w:tc>
          <w:tcPr>
            <w:tcW w:w="1807" w:type="dxa"/>
          </w:tcPr>
          <w:p w:rsidR="003B6E11" w:rsidRPr="003B6E11" w:rsidRDefault="003B6E11" w:rsidP="002D015D">
            <w:pPr>
              <w:spacing w:before="120" w:after="120"/>
              <w:rPr>
                <w:rFonts w:cs="Arial"/>
                <w:noProof/>
                <w:sz w:val="18"/>
                <w:szCs w:val="20"/>
                <w:lang w:val="cs-CZ"/>
              </w:rPr>
            </w:pPr>
            <w:r w:rsidRPr="003B6E11">
              <w:rPr>
                <w:noProof/>
                <w:sz w:val="18"/>
                <w:lang w:val="cs-CZ"/>
              </w:rPr>
              <w:t>erkend deskundige</w:t>
            </w:r>
          </w:p>
        </w:tc>
      </w:tr>
      <w:tr w:rsidR="003B6E11" w:rsidRPr="003B6E11" w:rsidTr="002D015D">
        <w:trPr>
          <w:jc w:val="center"/>
        </w:trPr>
        <w:tc>
          <w:tcPr>
            <w:tcW w:w="1859" w:type="dxa"/>
          </w:tcPr>
          <w:p w:rsidR="003B6E11" w:rsidRPr="003B6E11" w:rsidRDefault="003B6E11" w:rsidP="002D015D">
            <w:pPr>
              <w:spacing w:before="120" w:after="120"/>
              <w:rPr>
                <w:rFonts w:cs="Arial"/>
                <w:noProof/>
                <w:sz w:val="18"/>
                <w:szCs w:val="20"/>
                <w:lang w:val="cs-CZ"/>
              </w:rPr>
            </w:pPr>
            <w:r w:rsidRPr="003B6E11">
              <w:rPr>
                <w:noProof/>
                <w:sz w:val="18"/>
                <w:lang w:val="cs-CZ"/>
              </w:rPr>
              <w:t>Sachkundiger</w:t>
            </w:r>
          </w:p>
        </w:tc>
        <w:tc>
          <w:tcPr>
            <w:tcW w:w="1800" w:type="dxa"/>
          </w:tcPr>
          <w:p w:rsidR="003B6E11" w:rsidRPr="003B6E11" w:rsidRDefault="003B6E11" w:rsidP="002D015D">
            <w:pPr>
              <w:spacing w:before="120" w:after="120"/>
              <w:rPr>
                <w:rFonts w:cs="Arial"/>
                <w:noProof/>
                <w:sz w:val="18"/>
                <w:szCs w:val="20"/>
                <w:lang w:val="cs-CZ"/>
              </w:rPr>
            </w:pPr>
            <w:r w:rsidRPr="003B6E11">
              <w:rPr>
                <w:noProof/>
                <w:sz w:val="18"/>
                <w:lang w:val="cs-CZ"/>
              </w:rPr>
              <w:t>competent person</w:t>
            </w:r>
          </w:p>
        </w:tc>
        <w:tc>
          <w:tcPr>
            <w:tcW w:w="1921" w:type="dxa"/>
          </w:tcPr>
          <w:p w:rsidR="003B6E11" w:rsidRPr="003B6E11" w:rsidRDefault="003B6E11" w:rsidP="002D015D">
            <w:pPr>
              <w:spacing w:before="120" w:after="120"/>
              <w:rPr>
                <w:rFonts w:cs="Arial"/>
                <w:noProof/>
                <w:sz w:val="18"/>
                <w:szCs w:val="20"/>
                <w:lang w:val="cs-CZ"/>
              </w:rPr>
            </w:pPr>
            <w:r w:rsidRPr="003B6E11">
              <w:rPr>
                <w:noProof/>
                <w:sz w:val="18"/>
                <w:lang w:val="cs-CZ"/>
              </w:rPr>
              <w:t>spécialiste</w:t>
            </w:r>
          </w:p>
        </w:tc>
        <w:tc>
          <w:tcPr>
            <w:tcW w:w="1807" w:type="dxa"/>
          </w:tcPr>
          <w:p w:rsidR="003B6E11" w:rsidRPr="003B6E11" w:rsidRDefault="003B6E11" w:rsidP="002D015D">
            <w:pPr>
              <w:spacing w:before="120" w:after="120"/>
              <w:rPr>
                <w:rFonts w:cs="Arial"/>
                <w:noProof/>
                <w:sz w:val="18"/>
                <w:szCs w:val="20"/>
                <w:lang w:val="cs-CZ"/>
              </w:rPr>
            </w:pPr>
            <w:r w:rsidRPr="003B6E11">
              <w:rPr>
                <w:noProof/>
                <w:sz w:val="18"/>
                <w:lang w:val="cs-CZ"/>
              </w:rPr>
              <w:t>deskundige</w:t>
            </w:r>
          </w:p>
        </w:tc>
      </w:tr>
      <w:tr w:rsidR="003B6E11" w:rsidRPr="003B6E11" w:rsidTr="002D015D">
        <w:trPr>
          <w:jc w:val="center"/>
        </w:trPr>
        <w:tc>
          <w:tcPr>
            <w:tcW w:w="1859" w:type="dxa"/>
          </w:tcPr>
          <w:p w:rsidR="003B6E11" w:rsidRPr="003B6E11" w:rsidRDefault="003B6E11" w:rsidP="002D015D">
            <w:pPr>
              <w:spacing w:before="120" w:after="120"/>
              <w:rPr>
                <w:rFonts w:cs="Arial"/>
                <w:noProof/>
                <w:sz w:val="18"/>
                <w:szCs w:val="20"/>
                <w:lang w:val="cs-CZ"/>
              </w:rPr>
            </w:pPr>
            <w:r w:rsidRPr="003B6E11">
              <w:rPr>
                <w:noProof/>
                <w:sz w:val="18"/>
                <w:lang w:val="cs-CZ"/>
              </w:rPr>
              <w:t>Fachfirma</w:t>
            </w:r>
          </w:p>
        </w:tc>
        <w:tc>
          <w:tcPr>
            <w:tcW w:w="1800" w:type="dxa"/>
          </w:tcPr>
          <w:p w:rsidR="003B6E11" w:rsidRPr="003B6E11" w:rsidRDefault="003B6E11" w:rsidP="002D015D">
            <w:pPr>
              <w:spacing w:before="120" w:after="120"/>
              <w:rPr>
                <w:rFonts w:cs="Arial"/>
                <w:noProof/>
                <w:sz w:val="18"/>
                <w:szCs w:val="20"/>
                <w:lang w:val="cs-CZ"/>
              </w:rPr>
            </w:pPr>
            <w:r w:rsidRPr="003B6E11">
              <w:rPr>
                <w:noProof/>
                <w:sz w:val="18"/>
                <w:lang w:val="cs-CZ"/>
              </w:rPr>
              <w:t>competent firm</w:t>
            </w:r>
          </w:p>
        </w:tc>
        <w:tc>
          <w:tcPr>
            <w:tcW w:w="1921" w:type="dxa"/>
          </w:tcPr>
          <w:p w:rsidR="003B6E11" w:rsidRPr="003B6E11" w:rsidRDefault="003B6E11" w:rsidP="002D015D">
            <w:pPr>
              <w:spacing w:before="120" w:after="120"/>
              <w:rPr>
                <w:rFonts w:cs="Arial"/>
                <w:noProof/>
                <w:sz w:val="18"/>
                <w:szCs w:val="20"/>
                <w:lang w:val="cs-CZ"/>
              </w:rPr>
            </w:pPr>
            <w:r w:rsidRPr="003B6E11">
              <w:rPr>
                <w:noProof/>
                <w:sz w:val="18"/>
                <w:lang w:val="cs-CZ"/>
              </w:rPr>
              <w:t>société spécialisée</w:t>
            </w:r>
          </w:p>
        </w:tc>
        <w:tc>
          <w:tcPr>
            <w:tcW w:w="1807" w:type="dxa"/>
          </w:tcPr>
          <w:p w:rsidR="003B6E11" w:rsidRPr="003B6E11" w:rsidRDefault="003B6E11" w:rsidP="002D015D">
            <w:pPr>
              <w:spacing w:before="120" w:after="120"/>
              <w:rPr>
                <w:rFonts w:cs="Arial"/>
                <w:noProof/>
                <w:sz w:val="18"/>
                <w:szCs w:val="20"/>
                <w:lang w:val="cs-CZ"/>
              </w:rPr>
            </w:pPr>
            <w:r w:rsidRPr="003B6E11">
              <w:rPr>
                <w:noProof/>
                <w:sz w:val="18"/>
                <w:lang w:val="cs-CZ"/>
              </w:rPr>
              <w:t>deskundig bedrijf</w:t>
            </w:r>
          </w:p>
        </w:tc>
      </w:tr>
    </w:tbl>
    <w:p w:rsidR="003B6E11" w:rsidRPr="003B6E11" w:rsidRDefault="003B6E11" w:rsidP="003B6E11">
      <w:pPr>
        <w:spacing w:line="240" w:lineRule="atLeast"/>
        <w:ind w:left="567" w:hanging="567"/>
        <w:rPr>
          <w:noProof/>
          <w:lang w:val="cs-CZ"/>
        </w:rPr>
      </w:pPr>
    </w:p>
    <w:p w:rsidR="003B6E11" w:rsidRPr="003B6E11" w:rsidRDefault="003B6E11" w:rsidP="003B6E11">
      <w:pPr>
        <w:spacing w:line="240" w:lineRule="atLeast"/>
        <w:ind w:left="567" w:hanging="567"/>
        <w:rPr>
          <w:b/>
          <w:lang w:val="cs-CZ"/>
        </w:rPr>
      </w:pPr>
      <w:r w:rsidRPr="003B6E11">
        <w:rPr>
          <w:lang w:val="cs-CZ"/>
        </w:rPr>
        <w:br w:type="page"/>
      </w:r>
      <w:r w:rsidRPr="003B6E11">
        <w:rPr>
          <w:b/>
          <w:lang w:val="cs-CZ"/>
        </w:rPr>
        <w:t>Přejímací zkoušky</w:t>
      </w:r>
    </w:p>
    <w:p w:rsidR="003B6E11" w:rsidRPr="003B6E11" w:rsidRDefault="003B6E11" w:rsidP="003B6E11">
      <w:pPr>
        <w:rPr>
          <w:noProof/>
          <w:sz w:val="12"/>
          <w:lang w:val="cs-CZ"/>
        </w:rPr>
      </w:pPr>
    </w:p>
    <w:p w:rsidR="003B6E11" w:rsidRPr="003B6E11" w:rsidRDefault="003B6E11" w:rsidP="003B6E11">
      <w:pPr>
        <w:spacing w:line="240" w:lineRule="atLeast"/>
        <w:rPr>
          <w:noProof/>
          <w:lang w:val="cs-CZ"/>
        </w:rPr>
      </w:pPr>
      <w:r w:rsidRPr="003B6E11">
        <w:rPr>
          <w:lang w:val="cs-CZ"/>
        </w:rPr>
        <w:t>Níže uvedená tabulka shrnuje časový plán přejímacích zkoušek, včetně jejich četnosti a druhu inspektora, jehož je zapotřebí k jejich provedení. Tato tabulka slouží pouze k informačním účelům.</w:t>
      </w:r>
    </w:p>
    <w:p w:rsidR="003B6E11" w:rsidRPr="003B6E11" w:rsidRDefault="003B6E11" w:rsidP="003B6E11">
      <w:pPr>
        <w:rPr>
          <w:noProof/>
          <w:sz w:val="12"/>
          <w:lang w:val="cs-CZ"/>
        </w:rPr>
      </w:pPr>
    </w:p>
    <w:tbl>
      <w:tblPr>
        <w:tblW w:w="9118" w:type="dxa"/>
        <w:tblInd w:w="-10" w:type="dxa"/>
        <w:tblLayout w:type="fixed"/>
        <w:tblLook w:val="0000" w:firstRow="0" w:lastRow="0" w:firstColumn="0" w:lastColumn="0" w:noHBand="0" w:noVBand="0"/>
      </w:tblPr>
      <w:tblGrid>
        <w:gridCol w:w="1738"/>
        <w:gridCol w:w="3060"/>
        <w:gridCol w:w="2700"/>
        <w:gridCol w:w="1620"/>
      </w:tblGrid>
      <w:tr w:rsidR="003B6E11" w:rsidRPr="003B6E11" w:rsidTr="002D015D">
        <w:tc>
          <w:tcPr>
            <w:tcW w:w="1738" w:type="dxa"/>
            <w:tcBorders>
              <w:top w:val="single" w:sz="4" w:space="0" w:color="000000"/>
              <w:left w:val="single" w:sz="4" w:space="0" w:color="000000"/>
              <w:bottom w:val="single" w:sz="4" w:space="0" w:color="000000"/>
            </w:tcBorders>
            <w:vAlign w:val="center"/>
          </w:tcPr>
          <w:p w:rsidR="003B6E11" w:rsidRPr="003B6E11" w:rsidRDefault="003B6E11" w:rsidP="002D015D">
            <w:pPr>
              <w:snapToGrid w:val="0"/>
              <w:spacing w:line="240" w:lineRule="atLeast"/>
              <w:jc w:val="center"/>
              <w:rPr>
                <w:rFonts w:cs="Arial"/>
                <w:b/>
                <w:bCs/>
                <w:noProof/>
                <w:sz w:val="18"/>
                <w:szCs w:val="18"/>
                <w:lang w:val="cs-CZ"/>
              </w:rPr>
            </w:pPr>
            <w:r w:rsidRPr="003B6E11">
              <w:rPr>
                <w:b/>
                <w:noProof/>
                <w:sz w:val="18"/>
                <w:lang w:val="cs-CZ"/>
              </w:rPr>
              <w:t>Požadavek</w:t>
            </w:r>
          </w:p>
        </w:tc>
        <w:tc>
          <w:tcPr>
            <w:tcW w:w="3060" w:type="dxa"/>
            <w:tcBorders>
              <w:top w:val="single" w:sz="4" w:space="0" w:color="000000"/>
              <w:left w:val="single" w:sz="4" w:space="0" w:color="000000"/>
              <w:bottom w:val="single" w:sz="4" w:space="0" w:color="000000"/>
            </w:tcBorders>
            <w:vAlign w:val="center"/>
          </w:tcPr>
          <w:p w:rsidR="003B6E11" w:rsidRPr="003B6E11" w:rsidRDefault="003B6E11" w:rsidP="002D015D">
            <w:pPr>
              <w:snapToGrid w:val="0"/>
              <w:spacing w:line="240" w:lineRule="atLeast"/>
              <w:jc w:val="center"/>
              <w:rPr>
                <w:rFonts w:cs="Arial"/>
                <w:b/>
                <w:bCs/>
                <w:noProof/>
                <w:sz w:val="18"/>
                <w:szCs w:val="18"/>
                <w:lang w:val="cs-CZ"/>
              </w:rPr>
            </w:pPr>
            <w:r w:rsidRPr="003B6E11">
              <w:rPr>
                <w:b/>
                <w:noProof/>
                <w:sz w:val="18"/>
                <w:lang w:val="cs-CZ"/>
              </w:rPr>
              <w:t>Předmět</w:t>
            </w:r>
          </w:p>
        </w:tc>
        <w:tc>
          <w:tcPr>
            <w:tcW w:w="2700" w:type="dxa"/>
            <w:tcBorders>
              <w:top w:val="single" w:sz="4" w:space="0" w:color="000000"/>
              <w:left w:val="single" w:sz="4" w:space="0" w:color="000000"/>
              <w:bottom w:val="single" w:sz="4" w:space="0" w:color="000000"/>
            </w:tcBorders>
            <w:vAlign w:val="center"/>
          </w:tcPr>
          <w:p w:rsidR="003B6E11" w:rsidRPr="003B6E11" w:rsidRDefault="003B6E11" w:rsidP="002D015D">
            <w:pPr>
              <w:snapToGrid w:val="0"/>
              <w:spacing w:line="240" w:lineRule="atLeast"/>
              <w:jc w:val="center"/>
              <w:rPr>
                <w:rFonts w:cs="Arial"/>
                <w:b/>
                <w:bCs/>
                <w:noProof/>
                <w:sz w:val="18"/>
                <w:szCs w:val="18"/>
                <w:lang w:val="cs-CZ"/>
              </w:rPr>
            </w:pPr>
            <w:r w:rsidRPr="003B6E11">
              <w:rPr>
                <w:b/>
                <w:noProof/>
                <w:sz w:val="18"/>
                <w:lang w:val="cs-CZ"/>
              </w:rPr>
              <w:t>Maximální časový odstup mezi zkouškami</w:t>
            </w:r>
          </w:p>
        </w:tc>
        <w:tc>
          <w:tcPr>
            <w:tcW w:w="1620" w:type="dxa"/>
            <w:tcBorders>
              <w:top w:val="single" w:sz="4" w:space="0" w:color="000000"/>
              <w:left w:val="single" w:sz="4" w:space="0" w:color="000000"/>
              <w:bottom w:val="single" w:sz="4" w:space="0" w:color="000000"/>
              <w:right w:val="single" w:sz="4" w:space="0" w:color="000000"/>
            </w:tcBorders>
            <w:vAlign w:val="center"/>
          </w:tcPr>
          <w:p w:rsidR="003B6E11" w:rsidRPr="003B6E11" w:rsidRDefault="003B6E11" w:rsidP="002D015D">
            <w:pPr>
              <w:snapToGrid w:val="0"/>
              <w:spacing w:line="240" w:lineRule="atLeast"/>
              <w:jc w:val="center"/>
              <w:rPr>
                <w:rFonts w:cs="Arial"/>
                <w:b/>
                <w:bCs/>
                <w:noProof/>
                <w:sz w:val="18"/>
                <w:szCs w:val="18"/>
                <w:lang w:val="cs-CZ"/>
              </w:rPr>
            </w:pPr>
            <w:r w:rsidRPr="003B6E11">
              <w:rPr>
                <w:b/>
                <w:noProof/>
                <w:sz w:val="18"/>
                <w:lang w:val="cs-CZ"/>
              </w:rPr>
              <w:t>Inspektor</w:t>
            </w:r>
          </w:p>
        </w:tc>
      </w:tr>
      <w:tr w:rsidR="003B6E11" w:rsidRPr="003B6E11" w:rsidTr="002D015D">
        <w:tc>
          <w:tcPr>
            <w:tcW w:w="1738"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Čl. 6.03 odst. 5</w:t>
            </w:r>
          </w:p>
        </w:tc>
        <w:tc>
          <w:tcPr>
            <w:tcW w:w="3060"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Hydraulické válce, čerpadla a motory</w:t>
            </w:r>
          </w:p>
        </w:tc>
        <w:tc>
          <w:tcPr>
            <w:tcW w:w="2700" w:type="dxa"/>
            <w:tcBorders>
              <w:left w:val="single" w:sz="4" w:space="0" w:color="000000"/>
              <w:bottom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8 let</w:t>
            </w:r>
          </w:p>
        </w:tc>
        <w:tc>
          <w:tcPr>
            <w:tcW w:w="1620" w:type="dxa"/>
            <w:tcBorders>
              <w:left w:val="single" w:sz="4" w:space="0" w:color="000000"/>
              <w:bottom w:val="single" w:sz="4" w:space="0" w:color="000000"/>
              <w:right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Příslušná firma</w:t>
            </w:r>
          </w:p>
        </w:tc>
      </w:tr>
      <w:tr w:rsidR="003B6E11" w:rsidRPr="003B6E11" w:rsidTr="002D015D">
        <w:tc>
          <w:tcPr>
            <w:tcW w:w="1738"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Čl. 6.09 odst. 3</w:t>
            </w:r>
          </w:p>
        </w:tc>
        <w:tc>
          <w:tcPr>
            <w:tcW w:w="3060"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Ovládací zařízení s motorovým pohonem</w:t>
            </w:r>
          </w:p>
        </w:tc>
        <w:tc>
          <w:tcPr>
            <w:tcW w:w="2700" w:type="dxa"/>
            <w:tcBorders>
              <w:left w:val="single" w:sz="4" w:space="0" w:color="000000"/>
              <w:bottom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3 roky</w:t>
            </w:r>
          </w:p>
        </w:tc>
        <w:tc>
          <w:tcPr>
            <w:tcW w:w="1620" w:type="dxa"/>
            <w:tcBorders>
              <w:left w:val="single" w:sz="4" w:space="0" w:color="000000"/>
              <w:bottom w:val="single" w:sz="4" w:space="0" w:color="000000"/>
              <w:right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Odborně způsobilá osoba</w:t>
            </w:r>
          </w:p>
        </w:tc>
      </w:tr>
      <w:tr w:rsidR="003B6E11" w:rsidRPr="003B6E11" w:rsidTr="002D015D">
        <w:tc>
          <w:tcPr>
            <w:tcW w:w="1738" w:type="dxa"/>
            <w:tcBorders>
              <w:left w:val="single" w:sz="4" w:space="0" w:color="000000"/>
              <w:bottom w:val="single" w:sz="4" w:space="0" w:color="000000"/>
            </w:tcBorders>
            <w:vAlign w:val="center"/>
          </w:tcPr>
          <w:p w:rsidR="003B6E11" w:rsidRPr="003B6E11" w:rsidRDefault="003B6E11" w:rsidP="002D015D">
            <w:pPr>
              <w:spacing w:before="60" w:after="60" w:line="240" w:lineRule="atLeast"/>
              <w:jc w:val="center"/>
              <w:rPr>
                <w:rFonts w:cs="Arial"/>
                <w:sz w:val="18"/>
                <w:szCs w:val="18"/>
                <w:lang w:val="cs-CZ"/>
              </w:rPr>
            </w:pPr>
            <w:r w:rsidRPr="003B6E11">
              <w:rPr>
                <w:sz w:val="18"/>
                <w:lang w:val="cs-CZ"/>
              </w:rPr>
              <w:t>Čl. 7.12 odst. 11</w:t>
            </w:r>
          </w:p>
        </w:tc>
        <w:tc>
          <w:tcPr>
            <w:tcW w:w="3060" w:type="dxa"/>
            <w:tcBorders>
              <w:left w:val="single" w:sz="4" w:space="0" w:color="000000"/>
              <w:bottom w:val="single" w:sz="4" w:space="0" w:color="000000"/>
            </w:tcBorders>
            <w:vAlign w:val="center"/>
          </w:tcPr>
          <w:p w:rsidR="003B6E11" w:rsidRPr="003B6E11" w:rsidRDefault="003B6E11" w:rsidP="002D015D">
            <w:pPr>
              <w:spacing w:before="60" w:after="60" w:line="240" w:lineRule="atLeast"/>
              <w:rPr>
                <w:rFonts w:cs="Arial"/>
                <w:sz w:val="18"/>
                <w:szCs w:val="18"/>
                <w:lang w:val="cs-CZ"/>
              </w:rPr>
            </w:pPr>
            <w:r w:rsidRPr="003B6E11">
              <w:rPr>
                <w:sz w:val="18"/>
                <w:lang w:val="cs-CZ"/>
              </w:rPr>
              <w:t>Zvedací kormidelny a jejich zařízení</w:t>
            </w:r>
          </w:p>
        </w:tc>
        <w:tc>
          <w:tcPr>
            <w:tcW w:w="2700" w:type="dxa"/>
            <w:tcBorders>
              <w:left w:val="single" w:sz="4" w:space="0" w:color="000000"/>
              <w:bottom w:val="single" w:sz="4" w:space="0" w:color="000000"/>
            </w:tcBorders>
            <w:vAlign w:val="center"/>
          </w:tcPr>
          <w:p w:rsidR="003B6E11" w:rsidRPr="003B6E11" w:rsidRDefault="003B6E11" w:rsidP="002D015D">
            <w:pPr>
              <w:spacing w:before="60" w:after="60" w:line="240" w:lineRule="atLeast"/>
              <w:jc w:val="center"/>
              <w:rPr>
                <w:rFonts w:cs="Arial"/>
                <w:sz w:val="18"/>
                <w:szCs w:val="18"/>
                <w:lang w:val="cs-CZ"/>
              </w:rPr>
            </w:pPr>
            <w:r w:rsidRPr="003B6E11">
              <w:rPr>
                <w:sz w:val="18"/>
                <w:lang w:val="cs-CZ"/>
              </w:rPr>
              <w:t>1 rok</w:t>
            </w:r>
          </w:p>
        </w:tc>
        <w:tc>
          <w:tcPr>
            <w:tcW w:w="1620" w:type="dxa"/>
            <w:tcBorders>
              <w:left w:val="single" w:sz="4" w:space="0" w:color="000000"/>
              <w:bottom w:val="single" w:sz="4" w:space="0" w:color="000000"/>
              <w:right w:val="single" w:sz="4" w:space="0" w:color="000000"/>
            </w:tcBorders>
            <w:vAlign w:val="center"/>
          </w:tcPr>
          <w:p w:rsidR="003B6E11" w:rsidRPr="003B6E11" w:rsidRDefault="003B6E11" w:rsidP="002D015D">
            <w:pPr>
              <w:spacing w:before="60" w:after="60" w:line="240" w:lineRule="atLeast"/>
              <w:ind w:left="25" w:hanging="25"/>
              <w:jc w:val="center"/>
              <w:rPr>
                <w:rFonts w:cs="Arial"/>
                <w:sz w:val="18"/>
                <w:szCs w:val="18"/>
                <w:lang w:val="cs-CZ"/>
              </w:rPr>
            </w:pPr>
            <w:r w:rsidRPr="003B6E11">
              <w:rPr>
                <w:sz w:val="18"/>
                <w:lang w:val="cs-CZ"/>
              </w:rPr>
              <w:t>Odborně způsobilá osoba</w:t>
            </w:r>
          </w:p>
        </w:tc>
      </w:tr>
      <w:tr w:rsidR="003B6E11" w:rsidRPr="003B6E11" w:rsidTr="002D015D">
        <w:tc>
          <w:tcPr>
            <w:tcW w:w="1738" w:type="dxa"/>
            <w:tcBorders>
              <w:left w:val="single" w:sz="4" w:space="0" w:color="000000"/>
              <w:bottom w:val="single" w:sz="4" w:space="0" w:color="000000"/>
            </w:tcBorders>
            <w:vAlign w:val="center"/>
          </w:tcPr>
          <w:p w:rsidR="003B6E11" w:rsidRPr="003B6E11" w:rsidRDefault="003B6E11" w:rsidP="002D015D">
            <w:pPr>
              <w:spacing w:before="60" w:after="60" w:line="240" w:lineRule="atLeast"/>
              <w:jc w:val="center"/>
              <w:rPr>
                <w:rFonts w:cs="Arial"/>
                <w:sz w:val="18"/>
                <w:szCs w:val="18"/>
                <w:lang w:val="cs-CZ"/>
              </w:rPr>
            </w:pPr>
            <w:r w:rsidRPr="003B6E11">
              <w:rPr>
                <w:sz w:val="18"/>
                <w:lang w:val="cs-CZ"/>
              </w:rPr>
              <w:t>Čl. 7.12 odst. 12</w:t>
            </w:r>
          </w:p>
        </w:tc>
        <w:tc>
          <w:tcPr>
            <w:tcW w:w="3060" w:type="dxa"/>
            <w:tcBorders>
              <w:left w:val="single" w:sz="4" w:space="0" w:color="000000"/>
              <w:bottom w:val="single" w:sz="4" w:space="0" w:color="000000"/>
            </w:tcBorders>
            <w:vAlign w:val="center"/>
          </w:tcPr>
          <w:p w:rsidR="003B6E11" w:rsidRPr="003B6E11" w:rsidRDefault="003B6E11" w:rsidP="002D015D">
            <w:pPr>
              <w:spacing w:before="60" w:after="60" w:line="240" w:lineRule="atLeast"/>
              <w:rPr>
                <w:rFonts w:cs="Arial"/>
                <w:sz w:val="18"/>
                <w:szCs w:val="18"/>
                <w:lang w:val="cs-CZ"/>
              </w:rPr>
            </w:pPr>
            <w:r w:rsidRPr="003B6E11">
              <w:rPr>
                <w:sz w:val="18"/>
                <w:lang w:val="cs-CZ"/>
              </w:rPr>
              <w:t>Zvedací kormidelny a jejich zařízení</w:t>
            </w:r>
          </w:p>
        </w:tc>
        <w:tc>
          <w:tcPr>
            <w:tcW w:w="2700" w:type="dxa"/>
            <w:tcBorders>
              <w:left w:val="single" w:sz="4" w:space="0" w:color="000000"/>
              <w:bottom w:val="single" w:sz="4" w:space="0" w:color="000000"/>
            </w:tcBorders>
            <w:vAlign w:val="center"/>
          </w:tcPr>
          <w:p w:rsidR="003B6E11" w:rsidRPr="003B6E11" w:rsidRDefault="003B6E11" w:rsidP="002D015D">
            <w:pPr>
              <w:spacing w:before="60" w:after="60" w:line="240" w:lineRule="atLeast"/>
              <w:jc w:val="center"/>
              <w:rPr>
                <w:rFonts w:cs="Arial"/>
                <w:sz w:val="18"/>
                <w:szCs w:val="18"/>
                <w:lang w:val="cs-CZ"/>
              </w:rPr>
            </w:pPr>
            <w:r w:rsidRPr="003B6E11">
              <w:rPr>
                <w:sz w:val="18"/>
                <w:lang w:val="cs-CZ"/>
              </w:rPr>
              <w:t>5 let</w:t>
            </w:r>
          </w:p>
        </w:tc>
        <w:tc>
          <w:tcPr>
            <w:tcW w:w="1620" w:type="dxa"/>
            <w:tcBorders>
              <w:left w:val="single" w:sz="4" w:space="0" w:color="000000"/>
              <w:bottom w:val="single" w:sz="4" w:space="0" w:color="000000"/>
              <w:right w:val="single" w:sz="4" w:space="0" w:color="000000"/>
            </w:tcBorders>
            <w:vAlign w:val="center"/>
          </w:tcPr>
          <w:p w:rsidR="003B6E11" w:rsidRPr="003B6E11" w:rsidRDefault="003B6E11" w:rsidP="002D015D">
            <w:pPr>
              <w:spacing w:before="60" w:after="60" w:line="240" w:lineRule="atLeast"/>
              <w:jc w:val="center"/>
              <w:rPr>
                <w:rFonts w:cs="Arial"/>
                <w:sz w:val="18"/>
                <w:szCs w:val="18"/>
                <w:lang w:val="cs-CZ"/>
              </w:rPr>
            </w:pPr>
            <w:r w:rsidRPr="003B6E11">
              <w:rPr>
                <w:sz w:val="18"/>
                <w:lang w:val="cs-CZ"/>
              </w:rPr>
              <w:t>Odborník</w:t>
            </w:r>
          </w:p>
        </w:tc>
      </w:tr>
      <w:tr w:rsidR="003B6E11" w:rsidRPr="003B6E11" w:rsidTr="002D015D">
        <w:trPr>
          <w:trHeight w:val="515"/>
        </w:trPr>
        <w:tc>
          <w:tcPr>
            <w:tcW w:w="1738"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Čl. 8.01 odst. 2</w:t>
            </w:r>
          </w:p>
        </w:tc>
        <w:tc>
          <w:tcPr>
            <w:tcW w:w="3060"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Tlakové nádoby</w:t>
            </w:r>
          </w:p>
        </w:tc>
        <w:tc>
          <w:tcPr>
            <w:tcW w:w="2700" w:type="dxa"/>
            <w:tcBorders>
              <w:left w:val="single" w:sz="4" w:space="0" w:color="000000"/>
              <w:bottom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5 let</w:t>
            </w:r>
          </w:p>
        </w:tc>
        <w:tc>
          <w:tcPr>
            <w:tcW w:w="1620" w:type="dxa"/>
            <w:tcBorders>
              <w:left w:val="single" w:sz="4" w:space="0" w:color="000000"/>
              <w:bottom w:val="single" w:sz="4" w:space="0" w:color="000000"/>
              <w:right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Odborník</w:t>
            </w:r>
          </w:p>
        </w:tc>
      </w:tr>
      <w:tr w:rsidR="003B6E11" w:rsidRPr="003B6E11" w:rsidTr="002D015D">
        <w:tc>
          <w:tcPr>
            <w:tcW w:w="1738"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Čl. 13.03 odst. 5</w:t>
            </w:r>
          </w:p>
        </w:tc>
        <w:tc>
          <w:tcPr>
            <w:tcW w:w="3060"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Přenosné hasicí přístroje</w:t>
            </w:r>
          </w:p>
        </w:tc>
        <w:tc>
          <w:tcPr>
            <w:tcW w:w="2700" w:type="dxa"/>
            <w:tcBorders>
              <w:left w:val="single" w:sz="4" w:space="0" w:color="000000"/>
              <w:bottom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2 roky</w:t>
            </w:r>
          </w:p>
        </w:tc>
        <w:tc>
          <w:tcPr>
            <w:tcW w:w="1620" w:type="dxa"/>
            <w:tcBorders>
              <w:left w:val="single" w:sz="4" w:space="0" w:color="000000"/>
              <w:bottom w:val="single" w:sz="4" w:space="0" w:color="000000"/>
              <w:right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Odborně způsobilá osoba</w:t>
            </w:r>
          </w:p>
        </w:tc>
      </w:tr>
      <w:tr w:rsidR="003B6E11" w:rsidRPr="003B6E11" w:rsidTr="002D015D">
        <w:tc>
          <w:tcPr>
            <w:tcW w:w="1738"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Čl. 13.04 odst. 6 písm. a) až c)</w:t>
            </w:r>
          </w:p>
        </w:tc>
        <w:tc>
          <w:tcPr>
            <w:tcW w:w="3060"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Pevně instalované protipožární systémy</w:t>
            </w:r>
          </w:p>
        </w:tc>
        <w:tc>
          <w:tcPr>
            <w:tcW w:w="2700" w:type="dxa"/>
            <w:tcBorders>
              <w:left w:val="single" w:sz="4" w:space="0" w:color="000000"/>
              <w:bottom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p>
        </w:tc>
        <w:tc>
          <w:tcPr>
            <w:tcW w:w="1620" w:type="dxa"/>
            <w:tcBorders>
              <w:left w:val="single" w:sz="4" w:space="0" w:color="000000"/>
              <w:bottom w:val="single" w:sz="4" w:space="0" w:color="000000"/>
              <w:right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Odborník</w:t>
            </w:r>
          </w:p>
        </w:tc>
      </w:tr>
      <w:tr w:rsidR="003B6E11" w:rsidRPr="003B6E11" w:rsidTr="002D015D">
        <w:tc>
          <w:tcPr>
            <w:tcW w:w="1738"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Čl. 13.04 odst. 6 písm. d)</w:t>
            </w:r>
          </w:p>
        </w:tc>
        <w:tc>
          <w:tcPr>
            <w:tcW w:w="3060"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Pevně instalované protipožární systémy</w:t>
            </w:r>
          </w:p>
        </w:tc>
        <w:tc>
          <w:tcPr>
            <w:tcW w:w="2700" w:type="dxa"/>
            <w:tcBorders>
              <w:left w:val="single" w:sz="4" w:space="0" w:color="000000"/>
              <w:bottom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2 roky</w:t>
            </w:r>
          </w:p>
        </w:tc>
        <w:tc>
          <w:tcPr>
            <w:tcW w:w="1620" w:type="dxa"/>
            <w:tcBorders>
              <w:left w:val="single" w:sz="4" w:space="0" w:color="000000"/>
              <w:bottom w:val="single" w:sz="4" w:space="0" w:color="000000"/>
              <w:right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Odborně způsobilá osoba nebo příslušná firma</w:t>
            </w:r>
          </w:p>
        </w:tc>
      </w:tr>
      <w:tr w:rsidR="003B6E11" w:rsidRPr="003B6E11" w:rsidTr="002D015D">
        <w:tc>
          <w:tcPr>
            <w:tcW w:w="1738"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Čl. 13.05 odst. 9 písm. b) body aa) až cc)</w:t>
            </w:r>
          </w:p>
        </w:tc>
        <w:tc>
          <w:tcPr>
            <w:tcW w:w="3060"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Pevně instalované protipožární systémy</w:t>
            </w:r>
          </w:p>
        </w:tc>
        <w:tc>
          <w:tcPr>
            <w:tcW w:w="2700" w:type="dxa"/>
            <w:tcBorders>
              <w:left w:val="single" w:sz="4" w:space="0" w:color="000000"/>
              <w:bottom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p>
        </w:tc>
        <w:tc>
          <w:tcPr>
            <w:tcW w:w="1620" w:type="dxa"/>
            <w:tcBorders>
              <w:left w:val="single" w:sz="4" w:space="0" w:color="000000"/>
              <w:bottom w:val="single" w:sz="4" w:space="0" w:color="000000"/>
              <w:right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Odborník</w:t>
            </w:r>
          </w:p>
        </w:tc>
      </w:tr>
      <w:tr w:rsidR="003B6E11" w:rsidRPr="003B6E11" w:rsidTr="002D015D">
        <w:tc>
          <w:tcPr>
            <w:tcW w:w="1738"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Čl. 13.05 odst. 9 písm. b) bod dd)</w:t>
            </w:r>
          </w:p>
        </w:tc>
        <w:tc>
          <w:tcPr>
            <w:tcW w:w="3060"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Pevně instalované protipožární systémy</w:t>
            </w:r>
          </w:p>
        </w:tc>
        <w:tc>
          <w:tcPr>
            <w:tcW w:w="2700" w:type="dxa"/>
            <w:tcBorders>
              <w:left w:val="single" w:sz="4" w:space="0" w:color="000000"/>
              <w:bottom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2 roky</w:t>
            </w:r>
          </w:p>
        </w:tc>
        <w:tc>
          <w:tcPr>
            <w:tcW w:w="1620" w:type="dxa"/>
            <w:tcBorders>
              <w:left w:val="single" w:sz="4" w:space="0" w:color="000000"/>
              <w:bottom w:val="single" w:sz="4" w:space="0" w:color="000000"/>
              <w:right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Odborně způsobilá osoba nebo příslušná firma</w:t>
            </w:r>
          </w:p>
        </w:tc>
      </w:tr>
      <w:tr w:rsidR="003B6E11" w:rsidRPr="003B6E11" w:rsidTr="002D015D">
        <w:tc>
          <w:tcPr>
            <w:tcW w:w="1738"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Čl. 13.07 odst. 3</w:t>
            </w:r>
          </w:p>
        </w:tc>
        <w:tc>
          <w:tcPr>
            <w:tcW w:w="3060"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Nafukovací lodní čluny</w:t>
            </w:r>
          </w:p>
        </w:tc>
        <w:tc>
          <w:tcPr>
            <w:tcW w:w="2700" w:type="dxa"/>
            <w:tcBorders>
              <w:left w:val="single" w:sz="4" w:space="0" w:color="000000"/>
              <w:bottom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Dle pokynů výrobce</w:t>
            </w:r>
          </w:p>
        </w:tc>
        <w:tc>
          <w:tcPr>
            <w:tcW w:w="1620" w:type="dxa"/>
            <w:tcBorders>
              <w:left w:val="single" w:sz="4" w:space="0" w:color="000000"/>
              <w:bottom w:val="single" w:sz="4" w:space="0" w:color="000000"/>
              <w:right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p>
        </w:tc>
      </w:tr>
      <w:tr w:rsidR="003B6E11" w:rsidRPr="003B6E11" w:rsidTr="002D015D">
        <w:tc>
          <w:tcPr>
            <w:tcW w:w="1738"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Čl. 13.08 odst. 3</w:t>
            </w:r>
          </w:p>
        </w:tc>
        <w:tc>
          <w:tcPr>
            <w:tcW w:w="3060"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Záchranné vesty</w:t>
            </w:r>
          </w:p>
        </w:tc>
        <w:tc>
          <w:tcPr>
            <w:tcW w:w="2700" w:type="dxa"/>
            <w:tcBorders>
              <w:left w:val="single" w:sz="4" w:space="0" w:color="000000"/>
              <w:bottom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Dle pokynů výrobce</w:t>
            </w:r>
          </w:p>
        </w:tc>
        <w:tc>
          <w:tcPr>
            <w:tcW w:w="1620" w:type="dxa"/>
            <w:tcBorders>
              <w:left w:val="single" w:sz="4" w:space="0" w:color="000000"/>
              <w:bottom w:val="single" w:sz="4" w:space="0" w:color="000000"/>
              <w:right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p>
        </w:tc>
      </w:tr>
      <w:tr w:rsidR="003B6E11" w:rsidRPr="003B6E11" w:rsidTr="002D015D">
        <w:tc>
          <w:tcPr>
            <w:tcW w:w="1738"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Čl. 14.12 odst. 6</w:t>
            </w:r>
          </w:p>
        </w:tc>
        <w:tc>
          <w:tcPr>
            <w:tcW w:w="3060"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Jeřáby</w:t>
            </w:r>
          </w:p>
        </w:tc>
        <w:tc>
          <w:tcPr>
            <w:tcW w:w="2700" w:type="dxa"/>
            <w:tcBorders>
              <w:left w:val="single" w:sz="4" w:space="0" w:color="000000"/>
              <w:bottom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10 let</w:t>
            </w:r>
          </w:p>
        </w:tc>
        <w:tc>
          <w:tcPr>
            <w:tcW w:w="1620" w:type="dxa"/>
            <w:tcBorders>
              <w:left w:val="single" w:sz="4" w:space="0" w:color="000000"/>
              <w:bottom w:val="single" w:sz="4" w:space="0" w:color="000000"/>
              <w:right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Odborník</w:t>
            </w:r>
          </w:p>
        </w:tc>
      </w:tr>
      <w:tr w:rsidR="003B6E11" w:rsidRPr="003B6E11" w:rsidTr="002D015D">
        <w:tc>
          <w:tcPr>
            <w:tcW w:w="1738"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Čl. 14.12 odst. 7</w:t>
            </w:r>
          </w:p>
        </w:tc>
        <w:tc>
          <w:tcPr>
            <w:tcW w:w="3060"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Jeřáby</w:t>
            </w:r>
          </w:p>
        </w:tc>
        <w:tc>
          <w:tcPr>
            <w:tcW w:w="2700" w:type="dxa"/>
            <w:tcBorders>
              <w:left w:val="single" w:sz="4" w:space="0" w:color="000000"/>
              <w:bottom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1 rok</w:t>
            </w:r>
          </w:p>
        </w:tc>
        <w:tc>
          <w:tcPr>
            <w:tcW w:w="1620" w:type="dxa"/>
            <w:tcBorders>
              <w:left w:val="single" w:sz="4" w:space="0" w:color="000000"/>
              <w:bottom w:val="single" w:sz="4" w:space="0" w:color="000000"/>
              <w:right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Odborně způsobilá osoba</w:t>
            </w:r>
          </w:p>
        </w:tc>
      </w:tr>
      <w:tr w:rsidR="003B6E11" w:rsidRPr="003B6E11" w:rsidTr="002D015D">
        <w:tc>
          <w:tcPr>
            <w:tcW w:w="1738"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Článek 17.13</w:t>
            </w:r>
          </w:p>
        </w:tc>
        <w:tc>
          <w:tcPr>
            <w:tcW w:w="3060"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Zařízení na zkapalněný plyn</w:t>
            </w:r>
          </w:p>
        </w:tc>
        <w:tc>
          <w:tcPr>
            <w:tcW w:w="2700" w:type="dxa"/>
            <w:tcBorders>
              <w:left w:val="single" w:sz="4" w:space="0" w:color="000000"/>
              <w:bottom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3 roky</w:t>
            </w:r>
          </w:p>
        </w:tc>
        <w:tc>
          <w:tcPr>
            <w:tcW w:w="1620" w:type="dxa"/>
            <w:tcBorders>
              <w:left w:val="single" w:sz="4" w:space="0" w:color="000000"/>
              <w:bottom w:val="single" w:sz="4" w:space="0" w:color="000000"/>
              <w:right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Odborník</w:t>
            </w:r>
          </w:p>
        </w:tc>
      </w:tr>
      <w:tr w:rsidR="003B6E11" w:rsidRPr="003B6E11" w:rsidTr="002D015D">
        <w:tc>
          <w:tcPr>
            <w:tcW w:w="1738"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Čl. 19.09 odst. 9</w:t>
            </w:r>
          </w:p>
        </w:tc>
        <w:tc>
          <w:tcPr>
            <w:tcW w:w="3060"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Záchranné prostředky</w:t>
            </w:r>
          </w:p>
        </w:tc>
        <w:tc>
          <w:tcPr>
            <w:tcW w:w="2700" w:type="dxa"/>
            <w:tcBorders>
              <w:left w:val="single" w:sz="4" w:space="0" w:color="000000"/>
              <w:bottom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Dle pokynů výrobce</w:t>
            </w:r>
          </w:p>
        </w:tc>
        <w:tc>
          <w:tcPr>
            <w:tcW w:w="1620" w:type="dxa"/>
            <w:tcBorders>
              <w:left w:val="single" w:sz="4" w:space="0" w:color="000000"/>
              <w:bottom w:val="single" w:sz="4" w:space="0" w:color="000000"/>
              <w:right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p>
        </w:tc>
      </w:tr>
      <w:tr w:rsidR="003B6E11" w:rsidRPr="003B6E11" w:rsidTr="002D015D">
        <w:tc>
          <w:tcPr>
            <w:tcW w:w="1738"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Čl. 19.10 odst. 9</w:t>
            </w:r>
          </w:p>
        </w:tc>
        <w:tc>
          <w:tcPr>
            <w:tcW w:w="3060"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Izolační odpor a uzemnění</w:t>
            </w:r>
          </w:p>
        </w:tc>
        <w:tc>
          <w:tcPr>
            <w:tcW w:w="2700" w:type="dxa"/>
            <w:tcBorders>
              <w:left w:val="single" w:sz="4" w:space="0" w:color="000000"/>
              <w:bottom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Před vypršením platnosti osvědčení plavidla vnitrozemské plavby</w:t>
            </w:r>
          </w:p>
        </w:tc>
        <w:tc>
          <w:tcPr>
            <w:tcW w:w="1620" w:type="dxa"/>
            <w:tcBorders>
              <w:left w:val="single" w:sz="4" w:space="0" w:color="000000"/>
              <w:bottom w:val="single" w:sz="4" w:space="0" w:color="000000"/>
              <w:right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p>
        </w:tc>
      </w:tr>
      <w:tr w:rsidR="003B6E11" w:rsidRPr="003B6E11" w:rsidTr="002D015D">
        <w:tc>
          <w:tcPr>
            <w:tcW w:w="1738" w:type="dxa"/>
            <w:tcBorders>
              <w:left w:val="single" w:sz="4" w:space="0" w:color="000000"/>
              <w:bottom w:val="single" w:sz="4" w:space="0" w:color="000000"/>
            </w:tcBorders>
            <w:vAlign w:val="center"/>
          </w:tcPr>
          <w:p w:rsidR="003B6E11" w:rsidRPr="003B6E11" w:rsidDel="008047E6" w:rsidRDefault="003B6E11" w:rsidP="002D015D">
            <w:pPr>
              <w:snapToGrid w:val="0"/>
              <w:spacing w:line="240" w:lineRule="atLeast"/>
              <w:rPr>
                <w:rFonts w:cs="Arial"/>
                <w:noProof/>
                <w:sz w:val="18"/>
                <w:szCs w:val="18"/>
                <w:lang w:val="cs-CZ"/>
              </w:rPr>
            </w:pPr>
            <w:r w:rsidRPr="003B6E11">
              <w:rPr>
                <w:noProof/>
                <w:sz w:val="18"/>
                <w:lang w:val="cs-CZ"/>
              </w:rPr>
              <w:t>Pokyn ESI-II-13 oddíl 3.1 písm. a) a b)</w:t>
            </w:r>
          </w:p>
        </w:tc>
        <w:tc>
          <w:tcPr>
            <w:tcW w:w="3060"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Požární poplašné systémy</w:t>
            </w:r>
          </w:p>
        </w:tc>
        <w:tc>
          <w:tcPr>
            <w:tcW w:w="2700" w:type="dxa"/>
            <w:tcBorders>
              <w:left w:val="single" w:sz="4" w:space="0" w:color="000000"/>
              <w:bottom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p>
        </w:tc>
        <w:tc>
          <w:tcPr>
            <w:tcW w:w="1620" w:type="dxa"/>
            <w:tcBorders>
              <w:left w:val="single" w:sz="4" w:space="0" w:color="000000"/>
              <w:bottom w:val="single" w:sz="4" w:space="0" w:color="000000"/>
              <w:right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Odborník</w:t>
            </w:r>
          </w:p>
        </w:tc>
      </w:tr>
      <w:tr w:rsidR="003B6E11" w:rsidRPr="003B6E11" w:rsidTr="002D015D">
        <w:tc>
          <w:tcPr>
            <w:tcW w:w="1738"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Pokyn ESI-II-13 oddíl 3.1 písm. c)</w:t>
            </w:r>
          </w:p>
        </w:tc>
        <w:tc>
          <w:tcPr>
            <w:tcW w:w="3060" w:type="dxa"/>
            <w:tcBorders>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Požární poplašné systémy</w:t>
            </w:r>
          </w:p>
        </w:tc>
        <w:tc>
          <w:tcPr>
            <w:tcW w:w="2700" w:type="dxa"/>
            <w:tcBorders>
              <w:left w:val="single" w:sz="4" w:space="0" w:color="000000"/>
              <w:bottom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2 roky</w:t>
            </w:r>
          </w:p>
        </w:tc>
        <w:tc>
          <w:tcPr>
            <w:tcW w:w="1620" w:type="dxa"/>
            <w:tcBorders>
              <w:left w:val="single" w:sz="4" w:space="0" w:color="000000"/>
              <w:bottom w:val="single" w:sz="4" w:space="0" w:color="000000"/>
              <w:right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Odborník nebo odborně způsobilá osoba</w:t>
            </w:r>
          </w:p>
        </w:tc>
      </w:tr>
      <w:tr w:rsidR="003B6E11" w:rsidRPr="003B6E11" w:rsidTr="002D015D">
        <w:tc>
          <w:tcPr>
            <w:tcW w:w="1738" w:type="dxa"/>
            <w:tcBorders>
              <w:top w:val="single" w:sz="4" w:space="0" w:color="000000"/>
              <w:left w:val="single" w:sz="4" w:space="0" w:color="000000"/>
              <w:bottom w:val="single" w:sz="4" w:space="0" w:color="000000"/>
            </w:tcBorders>
            <w:vAlign w:val="center"/>
          </w:tcPr>
          <w:p w:rsidR="003B6E11" w:rsidRPr="003B6E11" w:rsidDel="008047E6" w:rsidRDefault="003B6E11" w:rsidP="002D015D">
            <w:pPr>
              <w:snapToGrid w:val="0"/>
              <w:spacing w:line="240" w:lineRule="atLeast"/>
              <w:rPr>
                <w:rFonts w:cs="Arial"/>
                <w:noProof/>
                <w:sz w:val="18"/>
                <w:szCs w:val="18"/>
                <w:lang w:val="cs-CZ"/>
              </w:rPr>
            </w:pPr>
            <w:r w:rsidRPr="003B6E11">
              <w:rPr>
                <w:noProof/>
                <w:sz w:val="18"/>
                <w:lang w:val="cs-CZ"/>
              </w:rPr>
              <w:t>Pokyn ESI-III-4 oddíl 8.1 písm. a) a b)</w:t>
            </w:r>
          </w:p>
        </w:tc>
        <w:tc>
          <w:tcPr>
            <w:tcW w:w="3060" w:type="dxa"/>
            <w:tcBorders>
              <w:top w:val="single" w:sz="4" w:space="0" w:color="000000"/>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Bezpečnostní naváděcí systémy</w:t>
            </w:r>
          </w:p>
        </w:tc>
        <w:tc>
          <w:tcPr>
            <w:tcW w:w="2700" w:type="dxa"/>
            <w:tcBorders>
              <w:top w:val="single" w:sz="4" w:space="0" w:color="000000"/>
              <w:left w:val="single" w:sz="4" w:space="0" w:color="000000"/>
              <w:bottom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Odborník</w:t>
            </w:r>
          </w:p>
        </w:tc>
      </w:tr>
      <w:tr w:rsidR="003B6E11" w:rsidRPr="003B6E11" w:rsidTr="002D015D">
        <w:tc>
          <w:tcPr>
            <w:tcW w:w="1738" w:type="dxa"/>
            <w:tcBorders>
              <w:top w:val="single" w:sz="4" w:space="0" w:color="000000"/>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 xml:space="preserve">Pokyn ESI-III-4 oddíl 8.1 písm. c) </w:t>
            </w:r>
          </w:p>
        </w:tc>
        <w:tc>
          <w:tcPr>
            <w:tcW w:w="3060" w:type="dxa"/>
            <w:tcBorders>
              <w:top w:val="single" w:sz="4" w:space="0" w:color="000000"/>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Bezpečnostní naváděcí systémy</w:t>
            </w:r>
          </w:p>
        </w:tc>
        <w:tc>
          <w:tcPr>
            <w:tcW w:w="2700" w:type="dxa"/>
            <w:tcBorders>
              <w:top w:val="single" w:sz="4" w:space="0" w:color="000000"/>
              <w:left w:val="single" w:sz="4" w:space="0" w:color="000000"/>
              <w:bottom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5 let</w:t>
            </w:r>
          </w:p>
        </w:tc>
        <w:tc>
          <w:tcPr>
            <w:tcW w:w="1620" w:type="dxa"/>
            <w:tcBorders>
              <w:top w:val="single" w:sz="4" w:space="0" w:color="000000"/>
              <w:left w:val="single" w:sz="4" w:space="0" w:color="000000"/>
              <w:bottom w:val="single" w:sz="4" w:space="0" w:color="000000"/>
              <w:right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Odborník nebo odborně způsobilá osoba</w:t>
            </w:r>
          </w:p>
        </w:tc>
      </w:tr>
      <w:tr w:rsidR="003B6E11" w:rsidRPr="003B6E11" w:rsidTr="002D015D">
        <w:tc>
          <w:tcPr>
            <w:tcW w:w="1738" w:type="dxa"/>
            <w:tcBorders>
              <w:top w:val="single" w:sz="4" w:space="0" w:color="000000"/>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Pokyn ESI-III-5</w:t>
            </w:r>
          </w:p>
        </w:tc>
        <w:tc>
          <w:tcPr>
            <w:tcW w:w="3060" w:type="dxa"/>
            <w:tcBorders>
              <w:top w:val="single" w:sz="4" w:space="0" w:color="000000"/>
              <w:left w:val="single" w:sz="4" w:space="0" w:color="000000"/>
              <w:bottom w:val="single" w:sz="4" w:space="0" w:color="000000"/>
            </w:tcBorders>
            <w:vAlign w:val="center"/>
          </w:tcPr>
          <w:p w:rsidR="003B6E11" w:rsidRPr="003B6E11" w:rsidRDefault="003B6E11" w:rsidP="002D015D">
            <w:pPr>
              <w:snapToGrid w:val="0"/>
              <w:spacing w:line="240" w:lineRule="atLeast"/>
              <w:rPr>
                <w:rFonts w:cs="Arial"/>
                <w:noProof/>
                <w:sz w:val="18"/>
                <w:szCs w:val="18"/>
                <w:lang w:val="cs-CZ"/>
              </w:rPr>
            </w:pPr>
            <w:r w:rsidRPr="003B6E11">
              <w:rPr>
                <w:noProof/>
                <w:sz w:val="18"/>
                <w:lang w:val="cs-CZ"/>
              </w:rPr>
              <w:t xml:space="preserve">Výstražné zařízení pro únik plynu </w:t>
            </w:r>
          </w:p>
        </w:tc>
        <w:tc>
          <w:tcPr>
            <w:tcW w:w="2700" w:type="dxa"/>
            <w:tcBorders>
              <w:top w:val="single" w:sz="4" w:space="0" w:color="000000"/>
              <w:left w:val="single" w:sz="4" w:space="0" w:color="000000"/>
              <w:bottom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Dle pokynů výrobce</w:t>
            </w:r>
          </w:p>
        </w:tc>
        <w:tc>
          <w:tcPr>
            <w:tcW w:w="1620" w:type="dxa"/>
            <w:tcBorders>
              <w:top w:val="single" w:sz="4" w:space="0" w:color="000000"/>
              <w:left w:val="single" w:sz="4" w:space="0" w:color="000000"/>
              <w:bottom w:val="single" w:sz="4" w:space="0" w:color="000000"/>
              <w:right w:val="single" w:sz="4" w:space="0" w:color="000000"/>
            </w:tcBorders>
            <w:vAlign w:val="center"/>
          </w:tcPr>
          <w:p w:rsidR="003B6E11" w:rsidRPr="003B6E11" w:rsidRDefault="003B6E11" w:rsidP="002D015D">
            <w:pPr>
              <w:snapToGrid w:val="0"/>
              <w:spacing w:line="240" w:lineRule="atLeast"/>
              <w:jc w:val="center"/>
              <w:rPr>
                <w:rFonts w:cs="Arial"/>
                <w:noProof/>
                <w:sz w:val="18"/>
                <w:szCs w:val="18"/>
                <w:lang w:val="cs-CZ"/>
              </w:rPr>
            </w:pPr>
            <w:r w:rsidRPr="003B6E11">
              <w:rPr>
                <w:noProof/>
                <w:sz w:val="18"/>
                <w:lang w:val="cs-CZ"/>
              </w:rPr>
              <w:t>Odborník nebo odborně způsobilá osoba</w:t>
            </w:r>
          </w:p>
        </w:tc>
      </w:tr>
    </w:tbl>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sectPr w:rsidR="003B6E11" w:rsidRPr="003B6E11" w:rsidSect="00D45887">
          <w:footerReference w:type="first" r:id="rId114"/>
          <w:pgSz w:w="11907" w:h="16840" w:code="9"/>
          <w:pgMar w:top="1418" w:right="1418" w:bottom="1418" w:left="1418" w:header="680" w:footer="680" w:gutter="0"/>
          <w:cols w:space="720"/>
          <w:noEndnote/>
          <w:titlePg/>
        </w:sectPr>
      </w:pPr>
    </w:p>
    <w:p w:rsidR="003B6E11" w:rsidRPr="003B6E11" w:rsidRDefault="003B6E11" w:rsidP="003B6E11">
      <w:pPr>
        <w:pStyle w:val="ES-Titre1"/>
      </w:pPr>
      <w:bookmarkStart w:id="733" w:name="_Toc491854349"/>
      <w:bookmarkStart w:id="734" w:name="_Toc535417255"/>
      <w:r w:rsidRPr="003B6E11">
        <w:t>ČÁST II</w:t>
      </w:r>
      <w:r w:rsidRPr="003B6E11">
        <w:br/>
        <w:t>USTANOVENÍ TÝKAJÍCÍ SE STAVBY LODÍ, JEJICH VYBAVOVÁNÍ A ZAŘÍZENÍ</w:t>
      </w:r>
      <w:bookmarkEnd w:id="733"/>
      <w:bookmarkEnd w:id="734"/>
    </w:p>
    <w:p w:rsidR="003B6E11" w:rsidRPr="003B6E11" w:rsidRDefault="003B6E11" w:rsidP="003B6E11">
      <w:pPr>
        <w:spacing w:line="240" w:lineRule="atLeast"/>
        <w:ind w:left="567" w:hanging="567"/>
        <w:rPr>
          <w:lang w:val="cs-CZ"/>
        </w:rPr>
      </w:pPr>
    </w:p>
    <w:p w:rsidR="003B6E11" w:rsidRPr="003B6E11" w:rsidRDefault="003B6E11" w:rsidP="003B6E11">
      <w:pPr>
        <w:pStyle w:val="ES-Titre2ESI"/>
      </w:pPr>
      <w:bookmarkStart w:id="735" w:name="_Toc491854350"/>
      <w:bookmarkStart w:id="736" w:name="_Toc535417256"/>
      <w:r w:rsidRPr="003B6E11">
        <w:t>ESI-II-1</w:t>
      </w:r>
      <w:r w:rsidRPr="003B6E11">
        <w:br/>
        <w:t>Minimální tloušťka obšívky trupu nákladních člunů</w:t>
      </w:r>
      <w:bookmarkEnd w:id="735"/>
      <w:bookmarkEnd w:id="736"/>
    </w:p>
    <w:p w:rsidR="003B6E11" w:rsidRPr="003B6E11" w:rsidRDefault="003B6E11" w:rsidP="003B6E11">
      <w:pPr>
        <w:spacing w:line="240" w:lineRule="atLeast"/>
        <w:ind w:left="567" w:hanging="567"/>
        <w:rPr>
          <w:lang w:val="cs-CZ"/>
        </w:rPr>
      </w:pPr>
    </w:p>
    <w:p w:rsidR="003B6E11" w:rsidRPr="003B6E11" w:rsidRDefault="003B6E11" w:rsidP="003B6E11">
      <w:pPr>
        <w:tabs>
          <w:tab w:val="left" w:pos="284"/>
          <w:tab w:val="left" w:pos="567"/>
        </w:tabs>
        <w:overflowPunct w:val="0"/>
        <w:adjustRightInd w:val="0"/>
        <w:ind w:left="284" w:hanging="284"/>
        <w:jc w:val="center"/>
        <w:textAlignment w:val="baseline"/>
        <w:rPr>
          <w:b/>
          <w:szCs w:val="20"/>
          <w:lang w:val="cs-CZ"/>
        </w:rPr>
      </w:pPr>
      <w:r w:rsidRPr="003B6E11">
        <w:rPr>
          <w:b/>
          <w:lang w:val="cs-CZ"/>
        </w:rPr>
        <w:t>(Čl. 3.02 odst. 1)</w:t>
      </w:r>
    </w:p>
    <w:p w:rsidR="003B6E11" w:rsidRPr="003B6E11" w:rsidRDefault="003B6E11" w:rsidP="003B6E11">
      <w:pPr>
        <w:tabs>
          <w:tab w:val="left" w:pos="284"/>
          <w:tab w:val="left" w:pos="567"/>
        </w:tabs>
        <w:overflowPunct w:val="0"/>
        <w:adjustRightInd w:val="0"/>
        <w:ind w:left="284" w:hanging="284"/>
        <w:textAlignment w:val="baseline"/>
        <w:rPr>
          <w:szCs w:val="20"/>
          <w:lang w:val="cs-CZ"/>
        </w:rPr>
      </w:pPr>
    </w:p>
    <w:p w:rsidR="003B6E11" w:rsidRPr="003B6E11" w:rsidRDefault="003B6E11" w:rsidP="003B6E11">
      <w:pPr>
        <w:spacing w:line="240" w:lineRule="atLeast"/>
        <w:rPr>
          <w:noProof/>
          <w:lang w:val="cs-CZ"/>
        </w:rPr>
      </w:pPr>
      <w:r w:rsidRPr="003B6E11">
        <w:rPr>
          <w:lang w:val="cs-CZ"/>
        </w:rPr>
        <w:t>Během pravidelných prohlídek výhradně vlečných nákladních člunů může subjekt pověřený prohlídkami povolit drobné odchylky od čl. 3.02 odst. 1 písm. b), pokud jde o minimální tloušťku obšívky trupu. Tato odchylka nesmí být větší než 10 % a minimální tloušťka obšívky trupu nesmí být menší než 3 mm.</w:t>
      </w:r>
    </w:p>
    <w:p w:rsidR="003B6E11" w:rsidRPr="003B6E11" w:rsidRDefault="003B6E11" w:rsidP="003B6E11">
      <w:pPr>
        <w:spacing w:line="240" w:lineRule="atLeast"/>
        <w:rPr>
          <w:noProof/>
          <w:lang w:val="cs-CZ"/>
        </w:rPr>
      </w:pPr>
    </w:p>
    <w:p w:rsidR="003B6E11" w:rsidRPr="003B6E11" w:rsidRDefault="003B6E11" w:rsidP="003B6E11">
      <w:pPr>
        <w:spacing w:line="240" w:lineRule="atLeast"/>
        <w:rPr>
          <w:noProof/>
          <w:lang w:val="cs-CZ"/>
        </w:rPr>
      </w:pPr>
      <w:r w:rsidRPr="003B6E11">
        <w:rPr>
          <w:lang w:val="cs-CZ"/>
        </w:rPr>
        <w:t>Odchylky musí být uvedeny v osvědčení plavidla vnitrozemské plavby.</w:t>
      </w:r>
    </w:p>
    <w:p w:rsidR="003B6E11" w:rsidRPr="003B6E11" w:rsidRDefault="003B6E11" w:rsidP="003B6E11">
      <w:pPr>
        <w:spacing w:line="240" w:lineRule="atLeast"/>
        <w:rPr>
          <w:noProof/>
          <w:lang w:val="cs-CZ"/>
        </w:rPr>
      </w:pPr>
    </w:p>
    <w:p w:rsidR="003B6E11" w:rsidRPr="003B6E11" w:rsidRDefault="003B6E11" w:rsidP="003B6E11">
      <w:pPr>
        <w:spacing w:line="240" w:lineRule="atLeast"/>
        <w:rPr>
          <w:noProof/>
          <w:lang w:val="cs-CZ"/>
        </w:rPr>
      </w:pPr>
      <w:r w:rsidRPr="003B6E11">
        <w:rPr>
          <w:lang w:val="cs-CZ"/>
        </w:rPr>
        <w:t>V bodě 14 osvědčení plavidla vnitrozemské plavby se použije pouze vlastnost pod položkou 6.2 „vlečeno jako plavidlo bez vlastního pohonu“.</w:t>
      </w:r>
    </w:p>
    <w:p w:rsidR="003B6E11" w:rsidRPr="003B6E11" w:rsidRDefault="003B6E11" w:rsidP="003B6E11">
      <w:pPr>
        <w:spacing w:line="240" w:lineRule="atLeast"/>
        <w:rPr>
          <w:noProof/>
          <w:lang w:val="cs-CZ"/>
        </w:rPr>
      </w:pPr>
    </w:p>
    <w:p w:rsidR="003B6E11" w:rsidRPr="003B6E11" w:rsidRDefault="003B6E11" w:rsidP="003B6E11">
      <w:pPr>
        <w:spacing w:line="240" w:lineRule="atLeast"/>
        <w:rPr>
          <w:noProof/>
          <w:lang w:val="cs-CZ"/>
        </w:rPr>
      </w:pPr>
      <w:r w:rsidRPr="003B6E11">
        <w:rPr>
          <w:lang w:val="cs-CZ"/>
        </w:rPr>
        <w:t>Vlastnosti uvedené pod položkami 1 až 5.3 a 6.1 se škrtnou.</w:t>
      </w:r>
    </w:p>
    <w:p w:rsidR="003B6E11" w:rsidRPr="003B6E11" w:rsidRDefault="003B6E11" w:rsidP="003B6E11">
      <w:pPr>
        <w:spacing w:line="240" w:lineRule="atLeast"/>
        <w:rPr>
          <w:noProof/>
          <w:lang w:val="cs-CZ"/>
        </w:rPr>
      </w:pPr>
    </w:p>
    <w:p w:rsidR="003B6E11" w:rsidRPr="003B6E11" w:rsidRDefault="003B6E11" w:rsidP="003B6E11">
      <w:pPr>
        <w:spacing w:line="240" w:lineRule="atLeast"/>
        <w:rPr>
          <w:noProof/>
          <w:lang w:val="cs-CZ"/>
        </w:rPr>
      </w:pPr>
    </w:p>
    <w:p w:rsidR="003B6E11" w:rsidRPr="003B6E11" w:rsidRDefault="003B6E11" w:rsidP="003B6E11">
      <w:pPr>
        <w:spacing w:line="240" w:lineRule="atLeast"/>
        <w:ind w:left="567" w:hanging="567"/>
        <w:rPr>
          <w:lang w:val="cs-CZ"/>
        </w:rPr>
      </w:pPr>
      <w:r w:rsidRPr="003B6E11">
        <w:rPr>
          <w:lang w:val="cs-CZ"/>
        </w:rPr>
        <w:br w:type="page"/>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sectPr w:rsidR="003B6E11" w:rsidRPr="003B6E11" w:rsidSect="00D45887">
          <w:footerReference w:type="first" r:id="rId115"/>
          <w:pgSz w:w="11907" w:h="16840" w:code="9"/>
          <w:pgMar w:top="1418" w:right="1418" w:bottom="1418" w:left="1418" w:header="680" w:footer="680" w:gutter="0"/>
          <w:cols w:space="720"/>
          <w:noEndnote/>
          <w:titlePg/>
        </w:sectPr>
      </w:pPr>
    </w:p>
    <w:p w:rsidR="003B6E11" w:rsidRPr="003B6E11" w:rsidRDefault="003B6E11" w:rsidP="003B6E11">
      <w:pPr>
        <w:pStyle w:val="ES-Titre2ESI"/>
      </w:pPr>
      <w:bookmarkStart w:id="737" w:name="_Toc491854351"/>
      <w:bookmarkStart w:id="738" w:name="_Toc535417257"/>
      <w:r w:rsidRPr="003B6E11">
        <w:t>ESI-II-2</w:t>
      </w:r>
      <w:r w:rsidRPr="003B6E11">
        <w:br/>
        <w:t>Montáž zdvojených plechů na trup</w:t>
      </w:r>
      <w:bookmarkEnd w:id="737"/>
      <w:bookmarkEnd w:id="738"/>
    </w:p>
    <w:p w:rsidR="003B6E11" w:rsidRPr="003B6E11" w:rsidRDefault="003B6E11" w:rsidP="003B6E11">
      <w:pPr>
        <w:spacing w:line="240" w:lineRule="atLeast"/>
        <w:ind w:left="567" w:hanging="567"/>
        <w:rPr>
          <w:lang w:val="cs-CZ"/>
        </w:rPr>
      </w:pPr>
    </w:p>
    <w:p w:rsidR="003B6E11" w:rsidRPr="003B6E11" w:rsidRDefault="003B6E11" w:rsidP="003B6E11">
      <w:pPr>
        <w:tabs>
          <w:tab w:val="left" w:pos="284"/>
          <w:tab w:val="left" w:pos="567"/>
        </w:tabs>
        <w:overflowPunct w:val="0"/>
        <w:adjustRightInd w:val="0"/>
        <w:spacing w:line="240" w:lineRule="atLeast"/>
        <w:jc w:val="center"/>
        <w:textAlignment w:val="baseline"/>
        <w:rPr>
          <w:rFonts w:eastAsia="Batang"/>
          <w:lang w:val="cs-CZ"/>
        </w:rPr>
      </w:pPr>
      <w:r w:rsidRPr="003B6E11">
        <w:rPr>
          <w:b/>
          <w:lang w:val="cs-CZ"/>
        </w:rPr>
        <w:t>(Čl. 3.02 odst. 1 a čl. 19.02 odst. 1 písm. d))</w:t>
      </w:r>
    </w:p>
    <w:p w:rsidR="003B6E11" w:rsidRPr="003B6E11" w:rsidRDefault="003B6E11" w:rsidP="003B6E11">
      <w:pPr>
        <w:spacing w:line="240" w:lineRule="atLeast"/>
        <w:rPr>
          <w:rFonts w:eastAsia="Batang"/>
          <w:lang w:val="cs-CZ"/>
        </w:rPr>
      </w:pPr>
    </w:p>
    <w:p w:rsidR="003B6E11" w:rsidRPr="003B6E11" w:rsidRDefault="003B6E11" w:rsidP="003B6E11">
      <w:pPr>
        <w:spacing w:line="240" w:lineRule="atLeast"/>
        <w:ind w:left="567" w:hanging="567"/>
        <w:rPr>
          <w:rFonts w:eastAsia="Batang"/>
          <w:b/>
          <w:bCs/>
          <w:lang w:val="cs-CZ"/>
        </w:rPr>
      </w:pPr>
      <w:r w:rsidRPr="003B6E11">
        <w:rPr>
          <w:b/>
          <w:lang w:val="cs-CZ"/>
        </w:rPr>
        <w:t>1.</w:t>
      </w:r>
      <w:r w:rsidRPr="003B6E11">
        <w:rPr>
          <w:lang w:val="cs-CZ"/>
        </w:rPr>
        <w:tab/>
      </w:r>
      <w:r w:rsidRPr="003B6E11">
        <w:rPr>
          <w:b/>
          <w:lang w:val="cs-CZ"/>
        </w:rPr>
        <w:t>Účel pokynu</w:t>
      </w:r>
    </w:p>
    <w:p w:rsidR="003B6E11" w:rsidRPr="003B6E11" w:rsidRDefault="003B6E11" w:rsidP="003B6E11">
      <w:pPr>
        <w:spacing w:line="240" w:lineRule="atLeast"/>
        <w:ind w:left="567" w:hanging="567"/>
        <w:rPr>
          <w:rFonts w:eastAsia="Batang"/>
          <w:b/>
          <w:bCs/>
          <w:lang w:val="cs-CZ"/>
        </w:rPr>
      </w:pPr>
    </w:p>
    <w:p w:rsidR="003B6E11" w:rsidRPr="003B6E11" w:rsidRDefault="003B6E11" w:rsidP="003B6E11">
      <w:pPr>
        <w:spacing w:line="240" w:lineRule="atLeast"/>
        <w:ind w:left="567"/>
        <w:rPr>
          <w:rFonts w:eastAsia="Batang"/>
          <w:lang w:val="cs-CZ"/>
        </w:rPr>
      </w:pPr>
      <w:r w:rsidRPr="003B6E11">
        <w:rPr>
          <w:lang w:val="cs-CZ"/>
        </w:rPr>
        <w:t xml:space="preserve">Tyto pokyny byly vypracovány s cílem objasnit pravidla týkající se zachování pevnosti trupu (čl. 3.02 odst. 1) a pravidla týkající se výměny a opravy obšívky trupu (čl. 3.02 odst. 1 písm. c) poslední věta a čl. 19.02 odst. 1) písm. d)). Tento pokyn se týká montáže nových zdvojených plechů. </w:t>
      </w:r>
    </w:p>
    <w:p w:rsidR="003B6E11" w:rsidRPr="003B6E11" w:rsidRDefault="003B6E11" w:rsidP="003B6E11">
      <w:pPr>
        <w:spacing w:line="240" w:lineRule="atLeast"/>
        <w:rPr>
          <w:rFonts w:eastAsia="Batang"/>
          <w:lang w:val="cs-CZ"/>
        </w:rPr>
      </w:pPr>
    </w:p>
    <w:p w:rsidR="003B6E11" w:rsidRPr="003B6E11" w:rsidRDefault="003B6E11" w:rsidP="003B6E11">
      <w:pPr>
        <w:spacing w:line="240" w:lineRule="atLeast"/>
        <w:ind w:left="567" w:hanging="567"/>
        <w:rPr>
          <w:rFonts w:eastAsia="Batang"/>
          <w:b/>
          <w:bCs/>
          <w:lang w:val="cs-CZ"/>
        </w:rPr>
      </w:pPr>
      <w:r w:rsidRPr="003B6E11">
        <w:rPr>
          <w:b/>
          <w:lang w:val="cs-CZ"/>
        </w:rPr>
        <w:t>2.</w:t>
      </w:r>
      <w:r w:rsidRPr="003B6E11">
        <w:rPr>
          <w:lang w:val="cs-CZ"/>
        </w:rPr>
        <w:tab/>
      </w:r>
      <w:r w:rsidRPr="003B6E11">
        <w:rPr>
          <w:b/>
          <w:lang w:val="cs-CZ"/>
        </w:rPr>
        <w:t>Hlavní ustanovení</w:t>
      </w:r>
    </w:p>
    <w:p w:rsidR="003B6E11" w:rsidRPr="003B6E11" w:rsidRDefault="003B6E11" w:rsidP="003B6E11">
      <w:pPr>
        <w:spacing w:line="240" w:lineRule="atLeast"/>
        <w:rPr>
          <w:rFonts w:eastAsia="Batang"/>
          <w:lang w:val="cs-CZ"/>
        </w:rPr>
      </w:pPr>
    </w:p>
    <w:p w:rsidR="003B6E11" w:rsidRPr="003B6E11" w:rsidRDefault="003B6E11" w:rsidP="003B6E11">
      <w:pPr>
        <w:spacing w:line="240" w:lineRule="atLeast"/>
        <w:ind w:left="567"/>
        <w:rPr>
          <w:rFonts w:eastAsia="Batang"/>
          <w:lang w:val="cs-CZ"/>
        </w:rPr>
      </w:pPr>
      <w:r w:rsidRPr="003B6E11">
        <w:rPr>
          <w:lang w:val="cs-CZ"/>
        </w:rPr>
        <w:t>Existují dva různé druhy zdvojených plechů:</w:t>
      </w:r>
    </w:p>
    <w:p w:rsidR="003B6E11" w:rsidRPr="003B6E11" w:rsidRDefault="003B6E11" w:rsidP="003B6E11">
      <w:pPr>
        <w:spacing w:before="60" w:line="240" w:lineRule="atLeast"/>
        <w:ind w:left="993" w:hanging="426"/>
        <w:rPr>
          <w:rFonts w:eastAsia="Batang"/>
          <w:lang w:val="cs-CZ"/>
        </w:rPr>
      </w:pPr>
      <w:r w:rsidRPr="003B6E11">
        <w:rPr>
          <w:lang w:val="cs-CZ"/>
        </w:rPr>
        <w:t>1.</w:t>
      </w:r>
      <w:r w:rsidRPr="003B6E11">
        <w:rPr>
          <w:lang w:val="cs-CZ"/>
        </w:rPr>
        <w:tab/>
        <w:t>Zdvojené plechy, které se montují během stavby lodi nebo její přestavby v souladu se správnou praxí stavby lodí.</w:t>
      </w:r>
    </w:p>
    <w:p w:rsidR="003B6E11" w:rsidRPr="003B6E11" w:rsidRDefault="003B6E11" w:rsidP="003B6E11">
      <w:pPr>
        <w:spacing w:before="60" w:line="240" w:lineRule="atLeast"/>
        <w:ind w:left="993" w:hanging="426"/>
        <w:rPr>
          <w:rFonts w:eastAsia="Batang"/>
          <w:lang w:val="cs-CZ"/>
        </w:rPr>
      </w:pPr>
      <w:r w:rsidRPr="003B6E11">
        <w:rPr>
          <w:lang w:val="cs-CZ"/>
        </w:rPr>
        <w:t>2.</w:t>
      </w:r>
      <w:r w:rsidRPr="003B6E11">
        <w:rPr>
          <w:lang w:val="cs-CZ"/>
        </w:rPr>
        <w:tab/>
        <w:t>Zdvojené plechy určené k oddálení opotřebení nebo obnovy obšívky trupu. Tento druh plechů by se obecně neměl používat nebo by měl být montován jen ve zvláštních případech.</w:t>
      </w:r>
    </w:p>
    <w:p w:rsidR="003B6E11" w:rsidRPr="003B6E11" w:rsidRDefault="003B6E11" w:rsidP="003B6E11">
      <w:pPr>
        <w:spacing w:line="240" w:lineRule="atLeast"/>
        <w:ind w:left="992"/>
        <w:rPr>
          <w:rFonts w:eastAsia="Batang"/>
          <w:lang w:val="cs-CZ"/>
        </w:rPr>
      </w:pPr>
    </w:p>
    <w:p w:rsidR="003B6E11" w:rsidRPr="003B6E11" w:rsidRDefault="003B6E11" w:rsidP="003B6E11">
      <w:pPr>
        <w:spacing w:line="240" w:lineRule="atLeast"/>
        <w:ind w:left="567" w:hanging="567"/>
        <w:rPr>
          <w:rFonts w:eastAsia="Batang"/>
          <w:b/>
          <w:bCs/>
          <w:lang w:val="cs-CZ"/>
        </w:rPr>
      </w:pPr>
      <w:r w:rsidRPr="003B6E11">
        <w:rPr>
          <w:b/>
          <w:lang w:val="cs-CZ"/>
        </w:rPr>
        <w:t>3.</w:t>
      </w:r>
      <w:r w:rsidRPr="003B6E11">
        <w:rPr>
          <w:lang w:val="cs-CZ"/>
        </w:rPr>
        <w:tab/>
      </w:r>
      <w:r w:rsidRPr="003B6E11">
        <w:rPr>
          <w:b/>
          <w:lang w:val="cs-CZ"/>
        </w:rPr>
        <w:t>Zdvojené plechy montované během stavby nebo přestavby</w:t>
      </w:r>
    </w:p>
    <w:p w:rsidR="003B6E11" w:rsidRPr="003B6E11" w:rsidRDefault="003B6E11" w:rsidP="003B6E11">
      <w:pPr>
        <w:spacing w:line="240" w:lineRule="atLeast"/>
        <w:rPr>
          <w:rFonts w:eastAsia="Batang"/>
          <w:lang w:val="cs-CZ"/>
        </w:rPr>
      </w:pPr>
    </w:p>
    <w:p w:rsidR="003B6E11" w:rsidRPr="003B6E11" w:rsidRDefault="003B6E11" w:rsidP="003B6E11">
      <w:pPr>
        <w:spacing w:line="240" w:lineRule="atLeast"/>
        <w:ind w:left="567" w:hanging="567"/>
        <w:rPr>
          <w:rFonts w:eastAsia="Batang"/>
          <w:b/>
          <w:bCs/>
          <w:lang w:val="cs-CZ"/>
        </w:rPr>
      </w:pPr>
      <w:r w:rsidRPr="003B6E11">
        <w:rPr>
          <w:b/>
          <w:noProof/>
          <w:lang w:val="cs-CZ"/>
        </w:rPr>
        <w:t>3.1</w:t>
      </w:r>
      <w:r w:rsidRPr="003B6E11">
        <w:rPr>
          <w:lang w:val="cs-CZ"/>
        </w:rPr>
        <w:tab/>
      </w:r>
      <w:r w:rsidRPr="003B6E11">
        <w:rPr>
          <w:b/>
          <w:lang w:val="cs-CZ"/>
        </w:rPr>
        <w:t>Zdvojené plechy montované během stavby</w:t>
      </w:r>
    </w:p>
    <w:p w:rsidR="003B6E11" w:rsidRPr="003B6E11" w:rsidRDefault="003B6E11" w:rsidP="003B6E11">
      <w:pPr>
        <w:spacing w:line="240" w:lineRule="atLeast"/>
        <w:rPr>
          <w:rFonts w:eastAsia="Batang"/>
          <w:b/>
          <w:lang w:val="cs-CZ"/>
        </w:rPr>
      </w:pPr>
    </w:p>
    <w:p w:rsidR="003B6E11" w:rsidRPr="003B6E11" w:rsidRDefault="003B6E11" w:rsidP="003B6E11">
      <w:pPr>
        <w:spacing w:line="240" w:lineRule="atLeast"/>
        <w:ind w:left="567"/>
        <w:rPr>
          <w:rFonts w:eastAsia="Batang"/>
          <w:lang w:val="cs-CZ"/>
        </w:rPr>
      </w:pPr>
      <w:r w:rsidRPr="003B6E11">
        <w:rPr>
          <w:lang w:val="cs-CZ"/>
        </w:rPr>
        <w:t>Zdvojené plechy montované během stavby lodi jsou hlavně na těchto místech:</w:t>
      </w:r>
    </w:p>
    <w:p w:rsidR="003B6E11" w:rsidRPr="003B6E11" w:rsidRDefault="003B6E11" w:rsidP="003B6E11">
      <w:pPr>
        <w:spacing w:before="60" w:line="240" w:lineRule="atLeast"/>
        <w:ind w:left="993" w:hanging="426"/>
        <w:rPr>
          <w:rFonts w:eastAsia="Batang" w:cs="Arial"/>
          <w:lang w:val="cs-CZ"/>
        </w:rPr>
      </w:pPr>
      <w:r w:rsidRPr="003B6E11">
        <w:rPr>
          <w:lang w:val="cs-CZ"/>
        </w:rPr>
        <w:t>a)</w:t>
      </w:r>
      <w:r w:rsidRPr="003B6E11">
        <w:rPr>
          <w:lang w:val="cs-CZ"/>
        </w:rPr>
        <w:tab/>
        <w:t>výztužné plechy kolem otvorů a průchodek v obšívce trupu a v palubní obšívce (průlezné šachty, průchody pro potrubí, palubní odtoky atd.);</w:t>
      </w:r>
    </w:p>
    <w:p w:rsidR="003B6E11" w:rsidRPr="003B6E11" w:rsidRDefault="003B6E11" w:rsidP="003B6E11">
      <w:pPr>
        <w:spacing w:before="60" w:line="240" w:lineRule="atLeast"/>
        <w:ind w:left="993" w:hanging="426"/>
        <w:rPr>
          <w:rFonts w:eastAsia="Batang" w:cs="Arial"/>
          <w:lang w:val="cs-CZ"/>
        </w:rPr>
      </w:pPr>
      <w:r w:rsidRPr="003B6E11">
        <w:rPr>
          <w:lang w:val="cs-CZ"/>
        </w:rPr>
        <w:t>b)</w:t>
      </w:r>
      <w:r w:rsidRPr="003B6E11">
        <w:rPr>
          <w:lang w:val="cs-CZ"/>
        </w:rPr>
        <w:tab/>
        <w:t>plechy v rozích velkých jícnů;</w:t>
      </w:r>
    </w:p>
    <w:p w:rsidR="003B6E11" w:rsidRPr="003B6E11" w:rsidRDefault="003B6E11" w:rsidP="003B6E11">
      <w:pPr>
        <w:spacing w:before="60" w:line="240" w:lineRule="atLeast"/>
        <w:ind w:left="993" w:hanging="426"/>
        <w:rPr>
          <w:rFonts w:eastAsia="Batang" w:cs="Arial"/>
          <w:lang w:val="cs-CZ"/>
        </w:rPr>
      </w:pPr>
      <w:r w:rsidRPr="003B6E11">
        <w:rPr>
          <w:lang w:val="cs-CZ"/>
        </w:rPr>
        <w:t>c)</w:t>
      </w:r>
      <w:r w:rsidRPr="003B6E11">
        <w:rPr>
          <w:lang w:val="cs-CZ"/>
        </w:rPr>
        <w:tab/>
        <w:t>podélné pásy plechu na úrovni opasnice;</w:t>
      </w:r>
    </w:p>
    <w:p w:rsidR="003B6E11" w:rsidRPr="003B6E11" w:rsidRDefault="003B6E11" w:rsidP="003B6E11">
      <w:pPr>
        <w:spacing w:before="60" w:line="240" w:lineRule="atLeast"/>
        <w:ind w:left="993" w:hanging="426"/>
        <w:rPr>
          <w:rFonts w:eastAsia="Batang" w:cs="Arial"/>
          <w:lang w:val="cs-CZ"/>
        </w:rPr>
      </w:pPr>
      <w:r w:rsidRPr="003B6E11">
        <w:rPr>
          <w:lang w:val="cs-CZ"/>
        </w:rPr>
        <w:t>d)</w:t>
      </w:r>
      <w:r w:rsidRPr="003B6E11">
        <w:rPr>
          <w:lang w:val="cs-CZ"/>
        </w:rPr>
        <w:tab/>
        <w:t>pásy plechu na ochranu proti opotřebení způsobenému oděrem obšívky trupu (na přídi a zádi a případně na obšívce outoru a boční obšívce v určité výšce nade dnem);</w:t>
      </w:r>
    </w:p>
    <w:p w:rsidR="003B6E11" w:rsidRPr="003B6E11" w:rsidRDefault="003B6E11" w:rsidP="003B6E11">
      <w:pPr>
        <w:spacing w:before="60" w:line="240" w:lineRule="atLeast"/>
        <w:ind w:left="993" w:hanging="426"/>
        <w:rPr>
          <w:rFonts w:eastAsia="Batang" w:cs="Arial"/>
          <w:lang w:val="cs-CZ"/>
        </w:rPr>
      </w:pPr>
      <w:r w:rsidRPr="003B6E11">
        <w:rPr>
          <w:lang w:val="cs-CZ"/>
        </w:rPr>
        <w:t>e)</w:t>
      </w:r>
      <w:r w:rsidRPr="003B6E11">
        <w:rPr>
          <w:lang w:val="cs-CZ"/>
        </w:rPr>
        <w:tab/>
        <w:t>výztužné plechy na konkrétních místech konstrukce pod zvláštním zařízení (například: kotevní navijáky, čerpadla, stožáry, jeřáby, navijáky, kotvy atd.).</w:t>
      </w:r>
    </w:p>
    <w:p w:rsidR="003B6E11" w:rsidRPr="003B6E11" w:rsidRDefault="003B6E11" w:rsidP="003B6E11">
      <w:pPr>
        <w:tabs>
          <w:tab w:val="left" w:pos="360"/>
        </w:tabs>
        <w:spacing w:line="240" w:lineRule="atLeast"/>
        <w:rPr>
          <w:rFonts w:eastAsia="Batang"/>
          <w:lang w:val="cs-CZ"/>
        </w:rPr>
      </w:pPr>
    </w:p>
    <w:p w:rsidR="003B6E11" w:rsidRPr="003B6E11" w:rsidRDefault="003B6E11" w:rsidP="003B6E11">
      <w:pPr>
        <w:spacing w:line="240" w:lineRule="atLeast"/>
        <w:ind w:left="567" w:hanging="567"/>
        <w:rPr>
          <w:rFonts w:eastAsia="Batang"/>
          <w:b/>
          <w:lang w:val="cs-CZ"/>
        </w:rPr>
      </w:pPr>
      <w:r w:rsidRPr="003B6E11">
        <w:rPr>
          <w:b/>
          <w:noProof/>
          <w:lang w:val="cs-CZ"/>
        </w:rPr>
        <w:t>3.2</w:t>
      </w:r>
      <w:r w:rsidRPr="003B6E11">
        <w:rPr>
          <w:lang w:val="cs-CZ"/>
        </w:rPr>
        <w:tab/>
      </w:r>
      <w:r w:rsidRPr="003B6E11">
        <w:rPr>
          <w:b/>
          <w:lang w:val="cs-CZ"/>
        </w:rPr>
        <w:t>Zdvojené plechy montované v rámci přestavby</w:t>
      </w:r>
    </w:p>
    <w:p w:rsidR="003B6E11" w:rsidRPr="003B6E11" w:rsidRDefault="003B6E11" w:rsidP="003B6E11">
      <w:pPr>
        <w:tabs>
          <w:tab w:val="left" w:pos="360"/>
        </w:tabs>
        <w:spacing w:line="240" w:lineRule="atLeast"/>
        <w:rPr>
          <w:rFonts w:eastAsia="Batang"/>
          <w:lang w:val="cs-CZ"/>
        </w:rPr>
      </w:pPr>
    </w:p>
    <w:p w:rsidR="003B6E11" w:rsidRPr="003B6E11" w:rsidRDefault="003B6E11" w:rsidP="003B6E11">
      <w:pPr>
        <w:spacing w:line="240" w:lineRule="atLeast"/>
        <w:ind w:left="567"/>
        <w:rPr>
          <w:rFonts w:eastAsia="Batang"/>
          <w:lang w:val="cs-CZ"/>
        </w:rPr>
      </w:pPr>
      <w:r w:rsidRPr="003B6E11">
        <w:rPr>
          <w:lang w:val="cs-CZ"/>
        </w:rPr>
        <w:t>Jsou-li tyto zdvojené plechy montovány jako součást přestavby, mohou být montovány pouze na plechy, které ještě nedosáhly minimální tloušťky, po přestavbě, a zbývá jim přídavek na korozi v hodnotě nejméně 0,7 mm. V opačném případě je nutné plechy, na něž mají být zdvojené plechy namontovány, nejprve vyměnit.</w:t>
      </w:r>
    </w:p>
    <w:p w:rsidR="003B6E11" w:rsidRPr="003B6E11" w:rsidRDefault="003B6E11" w:rsidP="003B6E11">
      <w:pPr>
        <w:spacing w:line="240" w:lineRule="atLeast"/>
        <w:ind w:left="567"/>
        <w:rPr>
          <w:rFonts w:eastAsia="Batang"/>
          <w:lang w:val="cs-CZ"/>
        </w:rPr>
      </w:pPr>
    </w:p>
    <w:p w:rsidR="003B6E11" w:rsidRPr="003B6E11" w:rsidRDefault="003B6E11" w:rsidP="003B6E11">
      <w:pPr>
        <w:spacing w:line="240" w:lineRule="atLeast"/>
        <w:ind w:left="567"/>
        <w:rPr>
          <w:rFonts w:eastAsia="Batang"/>
          <w:lang w:val="cs-CZ"/>
        </w:rPr>
      </w:pPr>
      <w:r w:rsidRPr="003B6E11">
        <w:rPr>
          <w:lang w:val="cs-CZ"/>
        </w:rPr>
        <w:t>Zejména pásy plechu pro vyztužení podélného nosníku trupu lodi v případě prodloužení musí být umístěny přinejmenším podél celé nákladní části kromě případů, kdy existuje zdůvodnění podložené výpočtem.</w:t>
      </w:r>
    </w:p>
    <w:p w:rsidR="003B6E11" w:rsidRPr="003B6E11" w:rsidRDefault="003B6E11" w:rsidP="003B6E11">
      <w:pPr>
        <w:spacing w:line="240" w:lineRule="atLeast"/>
        <w:rPr>
          <w:rFonts w:eastAsia="Batang"/>
          <w:lang w:val="cs-CZ"/>
        </w:rPr>
      </w:pPr>
      <w:r w:rsidRPr="003B6E11">
        <w:rPr>
          <w:lang w:val="cs-CZ"/>
        </w:rPr>
        <w:br w:type="page"/>
      </w:r>
    </w:p>
    <w:p w:rsidR="003B6E11" w:rsidRPr="003B6E11" w:rsidRDefault="003B6E11" w:rsidP="003B6E11">
      <w:pPr>
        <w:spacing w:line="240" w:lineRule="atLeast"/>
        <w:ind w:left="567" w:hanging="567"/>
        <w:rPr>
          <w:rFonts w:eastAsia="Batang"/>
          <w:b/>
          <w:lang w:val="cs-CZ"/>
        </w:rPr>
      </w:pPr>
      <w:r w:rsidRPr="003B6E11">
        <w:rPr>
          <w:b/>
          <w:lang w:val="cs-CZ"/>
        </w:rPr>
        <w:t>4.</w:t>
      </w:r>
      <w:r w:rsidRPr="003B6E11">
        <w:rPr>
          <w:lang w:val="cs-CZ"/>
        </w:rPr>
        <w:tab/>
      </w:r>
      <w:r w:rsidRPr="003B6E11">
        <w:rPr>
          <w:b/>
          <w:lang w:val="cs-CZ"/>
        </w:rPr>
        <w:t>Zdvojené plechy určené k oddálení opotřebení nebo obnovy obšívky trupu</w:t>
      </w:r>
    </w:p>
    <w:p w:rsidR="003B6E11" w:rsidRPr="003B6E11" w:rsidRDefault="003B6E11" w:rsidP="003B6E11">
      <w:pPr>
        <w:spacing w:line="240" w:lineRule="atLeast"/>
        <w:rPr>
          <w:rFonts w:eastAsia="Batang"/>
          <w:lang w:val="cs-CZ"/>
        </w:rPr>
      </w:pPr>
    </w:p>
    <w:p w:rsidR="003B6E11" w:rsidRPr="003B6E11" w:rsidRDefault="003B6E11" w:rsidP="003B6E11">
      <w:pPr>
        <w:spacing w:line="240" w:lineRule="atLeast"/>
        <w:ind w:left="567" w:hanging="567"/>
        <w:rPr>
          <w:rFonts w:eastAsia="Batang"/>
          <w:b/>
          <w:bCs/>
          <w:noProof/>
          <w:lang w:val="cs-CZ"/>
        </w:rPr>
      </w:pPr>
      <w:r w:rsidRPr="003B6E11">
        <w:rPr>
          <w:b/>
          <w:noProof/>
          <w:lang w:val="cs-CZ"/>
        </w:rPr>
        <w:t>4.1</w:t>
      </w:r>
      <w:r w:rsidRPr="003B6E11">
        <w:rPr>
          <w:lang w:val="cs-CZ"/>
        </w:rPr>
        <w:tab/>
      </w:r>
      <w:r w:rsidRPr="003B6E11">
        <w:rPr>
          <w:b/>
          <w:noProof/>
          <w:lang w:val="cs-CZ"/>
        </w:rPr>
        <w:t>Místa, na nichž je montáž zdvojených plechů povolena</w:t>
      </w:r>
    </w:p>
    <w:p w:rsidR="003B6E11" w:rsidRPr="003B6E11" w:rsidRDefault="003B6E11" w:rsidP="003B6E11">
      <w:pPr>
        <w:spacing w:line="240" w:lineRule="atLeast"/>
        <w:ind w:left="426" w:hanging="426"/>
        <w:rPr>
          <w:rFonts w:eastAsia="Batang"/>
          <w:b/>
          <w:lang w:val="cs-CZ"/>
        </w:rPr>
      </w:pPr>
    </w:p>
    <w:p w:rsidR="003B6E11" w:rsidRPr="003B6E11" w:rsidRDefault="003B6E11" w:rsidP="003B6E11">
      <w:pPr>
        <w:spacing w:line="240" w:lineRule="atLeast"/>
        <w:ind w:left="567"/>
        <w:rPr>
          <w:rFonts w:eastAsia="Batang"/>
          <w:lang w:val="cs-CZ"/>
        </w:rPr>
      </w:pPr>
      <w:r w:rsidRPr="003B6E11">
        <w:rPr>
          <w:lang w:val="cs-CZ"/>
        </w:rPr>
        <w:t xml:space="preserve">Tyto plechy </w:t>
      </w:r>
      <w:r w:rsidRPr="003B6E11">
        <w:rPr>
          <w:b/>
          <w:lang w:val="cs-CZ"/>
        </w:rPr>
        <w:t>lze namontovat</w:t>
      </w:r>
      <w:r w:rsidRPr="003B6E11">
        <w:rPr>
          <w:lang w:val="cs-CZ"/>
        </w:rPr>
        <w:t xml:space="preserve"> na těchto místech:</w:t>
      </w:r>
    </w:p>
    <w:p w:rsidR="003B6E11" w:rsidRPr="003B6E11" w:rsidRDefault="003B6E11" w:rsidP="003B6E11">
      <w:pPr>
        <w:spacing w:before="60" w:line="240" w:lineRule="atLeast"/>
        <w:ind w:left="993" w:hanging="426"/>
        <w:rPr>
          <w:rFonts w:eastAsia="Batang" w:cs="Arial"/>
          <w:lang w:val="cs-CZ"/>
        </w:rPr>
      </w:pPr>
      <w:r w:rsidRPr="003B6E11">
        <w:rPr>
          <w:lang w:val="cs-CZ"/>
        </w:rPr>
        <w:t>a)</w:t>
      </w:r>
      <w:r w:rsidRPr="003B6E11">
        <w:rPr>
          <w:lang w:val="cs-CZ"/>
        </w:rPr>
        <w:tab/>
        <w:t>na místě poškození (dočasná oprava – doba platnosti podle osvědčení);</w:t>
      </w:r>
    </w:p>
    <w:p w:rsidR="003B6E11" w:rsidRPr="003B6E11" w:rsidRDefault="003B6E11" w:rsidP="003B6E11">
      <w:pPr>
        <w:spacing w:before="60" w:line="240" w:lineRule="atLeast"/>
        <w:ind w:left="993" w:hanging="426"/>
        <w:rPr>
          <w:rFonts w:eastAsia="Batang" w:cs="Arial"/>
          <w:lang w:val="cs-CZ"/>
        </w:rPr>
      </w:pPr>
      <w:r w:rsidRPr="003B6E11">
        <w:rPr>
          <w:lang w:val="cs-CZ"/>
        </w:rPr>
        <w:t>b)</w:t>
      </w:r>
      <w:r w:rsidRPr="003B6E11">
        <w:rPr>
          <w:lang w:val="cs-CZ"/>
        </w:rPr>
        <w:tab/>
        <w:t>na místě důlkové koroze, případně s tvorbou děr, která nemá vliv na pevnost konstrukce (tj. pod strojovnou, na plátech obšívky nad/pod čarou ponoru), s výjimkou obšívky dna a outoru v nákladových zónách;</w:t>
      </w:r>
    </w:p>
    <w:p w:rsidR="003B6E11" w:rsidRPr="003B6E11" w:rsidRDefault="003B6E11" w:rsidP="003B6E11">
      <w:pPr>
        <w:spacing w:before="60" w:line="240" w:lineRule="atLeast"/>
        <w:ind w:left="993" w:hanging="426"/>
        <w:rPr>
          <w:rFonts w:eastAsia="Batang" w:cs="Arial"/>
          <w:lang w:val="cs-CZ"/>
        </w:rPr>
      </w:pPr>
      <w:r w:rsidRPr="003B6E11">
        <w:rPr>
          <w:lang w:val="cs-CZ"/>
        </w:rPr>
        <w:t>c)</w:t>
      </w:r>
      <w:r w:rsidRPr="003B6E11">
        <w:rPr>
          <w:lang w:val="cs-CZ"/>
        </w:rPr>
        <w:tab/>
        <w:t>na plochách vystavených oděru, a to za účelem zastavení opotřebovávání obšívky trupu (mohou být montovány pouze na plechy, které ještě nedosáhly minimální tloušťky);</w:t>
      </w:r>
    </w:p>
    <w:p w:rsidR="003B6E11" w:rsidRPr="003B6E11" w:rsidRDefault="003B6E11" w:rsidP="003B6E11">
      <w:pPr>
        <w:spacing w:before="60" w:line="240" w:lineRule="atLeast"/>
        <w:ind w:left="993" w:hanging="426"/>
        <w:rPr>
          <w:rFonts w:eastAsia="Batang" w:cs="Arial"/>
          <w:lang w:val="cs-CZ"/>
        </w:rPr>
      </w:pPr>
      <w:r w:rsidRPr="003B6E11">
        <w:rPr>
          <w:lang w:val="cs-CZ"/>
        </w:rPr>
        <w:t>d)</w:t>
      </w:r>
      <w:r w:rsidRPr="003B6E11">
        <w:rPr>
          <w:lang w:val="cs-CZ"/>
        </w:rPr>
        <w:tab/>
        <w:t>na obšívce dna, přičemž zdvojené plechy budou v ideálním případě pokrývat nejméně 70 % délky lodi. V opačném případě budou mít zdvojené plechy minimální délku a minimální vzdálenost uprostřed nejméně (2,5 + L/40) m nebo se prodlouží alespoň na trojnásobek délky rozteče žeber u lodí, jejichž délka L není větší než 45 m. Prodlouží se na minimálně dvojnásobek délky rozteče žeber směrem dopředu a dozadu od postižené zóny;</w:t>
      </w:r>
    </w:p>
    <w:p w:rsidR="003B6E11" w:rsidRPr="003B6E11" w:rsidRDefault="003B6E11" w:rsidP="003B6E11">
      <w:pPr>
        <w:spacing w:before="60" w:line="240" w:lineRule="atLeast"/>
        <w:ind w:left="993" w:hanging="426"/>
        <w:rPr>
          <w:rFonts w:eastAsia="Batang" w:cs="Arial"/>
          <w:lang w:val="cs-CZ"/>
        </w:rPr>
      </w:pPr>
      <w:r w:rsidRPr="003B6E11">
        <w:rPr>
          <w:lang w:val="cs-CZ"/>
        </w:rPr>
        <w:t>e)</w:t>
      </w:r>
      <w:r w:rsidRPr="003B6E11">
        <w:rPr>
          <w:lang w:val="cs-CZ"/>
        </w:rPr>
        <w:tab/>
        <w:t>na nýtovaných švech, a to s cílem zajistit vodotěsnost;</w:t>
      </w:r>
    </w:p>
    <w:p w:rsidR="003B6E11" w:rsidRPr="003B6E11" w:rsidRDefault="003B6E11" w:rsidP="003B6E11">
      <w:pPr>
        <w:spacing w:before="60" w:line="240" w:lineRule="atLeast"/>
        <w:ind w:left="993" w:hanging="426"/>
        <w:rPr>
          <w:rFonts w:eastAsia="Batang" w:cs="Arial"/>
          <w:lang w:val="cs-CZ"/>
        </w:rPr>
      </w:pPr>
      <w:r w:rsidRPr="003B6E11">
        <w:rPr>
          <w:lang w:val="cs-CZ"/>
        </w:rPr>
        <w:t>f)</w:t>
      </w:r>
      <w:r w:rsidRPr="003B6E11">
        <w:rPr>
          <w:lang w:val="cs-CZ"/>
        </w:rPr>
        <w:tab/>
        <w:t>na přídi a zádi lodi mimo nákladovou zónu.</w:t>
      </w:r>
    </w:p>
    <w:p w:rsidR="003B6E11" w:rsidRPr="003B6E11" w:rsidRDefault="003B6E11" w:rsidP="003B6E11">
      <w:pPr>
        <w:spacing w:line="240" w:lineRule="atLeast"/>
        <w:ind w:left="850"/>
        <w:rPr>
          <w:rFonts w:eastAsia="Batang"/>
          <w:lang w:val="cs-CZ"/>
        </w:rPr>
      </w:pPr>
    </w:p>
    <w:p w:rsidR="003B6E11" w:rsidRPr="003B6E11" w:rsidRDefault="003B6E11" w:rsidP="003B6E11">
      <w:pPr>
        <w:spacing w:line="240" w:lineRule="atLeast"/>
        <w:ind w:left="567" w:hanging="567"/>
        <w:rPr>
          <w:rFonts w:eastAsia="Batang"/>
          <w:b/>
          <w:bCs/>
          <w:noProof/>
          <w:lang w:val="cs-CZ"/>
        </w:rPr>
      </w:pPr>
      <w:r w:rsidRPr="003B6E11">
        <w:rPr>
          <w:b/>
          <w:noProof/>
          <w:lang w:val="cs-CZ"/>
        </w:rPr>
        <w:t>4.2</w:t>
      </w:r>
      <w:r w:rsidRPr="003B6E11">
        <w:rPr>
          <w:lang w:val="cs-CZ"/>
        </w:rPr>
        <w:tab/>
      </w:r>
      <w:r w:rsidRPr="003B6E11">
        <w:rPr>
          <w:b/>
          <w:noProof/>
          <w:lang w:val="cs-CZ"/>
        </w:rPr>
        <w:t>Místa, na nichž montáž zdvojených plechů není povolena</w:t>
      </w:r>
    </w:p>
    <w:p w:rsidR="003B6E11" w:rsidRPr="003B6E11" w:rsidRDefault="003B6E11" w:rsidP="003B6E11">
      <w:pPr>
        <w:spacing w:line="240" w:lineRule="atLeast"/>
        <w:rPr>
          <w:rFonts w:eastAsia="Batang"/>
          <w:lang w:val="cs-CZ"/>
        </w:rPr>
      </w:pPr>
    </w:p>
    <w:p w:rsidR="003B6E11" w:rsidRPr="003B6E11" w:rsidRDefault="003B6E11" w:rsidP="003B6E11">
      <w:pPr>
        <w:spacing w:line="240" w:lineRule="atLeast"/>
        <w:ind w:left="567"/>
        <w:rPr>
          <w:rFonts w:eastAsia="Batang"/>
          <w:lang w:val="cs-CZ"/>
        </w:rPr>
      </w:pPr>
      <w:r w:rsidRPr="003B6E11">
        <w:rPr>
          <w:lang w:val="cs-CZ"/>
        </w:rPr>
        <w:t xml:space="preserve">Tyto plechy </w:t>
      </w:r>
      <w:r w:rsidRPr="003B6E11">
        <w:rPr>
          <w:b/>
          <w:lang w:val="cs-CZ"/>
        </w:rPr>
        <w:t>nelze namontovat</w:t>
      </w:r>
      <w:r w:rsidRPr="003B6E11">
        <w:rPr>
          <w:lang w:val="cs-CZ"/>
        </w:rPr>
        <w:t xml:space="preserve"> na těchto místech:</w:t>
      </w:r>
    </w:p>
    <w:p w:rsidR="003B6E11" w:rsidRPr="003B6E11" w:rsidRDefault="003B6E11" w:rsidP="003B6E11">
      <w:pPr>
        <w:spacing w:before="60" w:line="240" w:lineRule="atLeast"/>
        <w:ind w:left="993" w:hanging="426"/>
        <w:rPr>
          <w:rFonts w:eastAsia="Batang" w:cs="Arial"/>
          <w:lang w:val="cs-CZ"/>
        </w:rPr>
      </w:pPr>
      <w:r w:rsidRPr="003B6E11">
        <w:rPr>
          <w:lang w:val="cs-CZ"/>
        </w:rPr>
        <w:t>a)</w:t>
      </w:r>
      <w:r w:rsidRPr="003B6E11">
        <w:rPr>
          <w:lang w:val="cs-CZ"/>
        </w:rPr>
        <w:tab/>
        <w:t>na plechách, jejichž tloušťka je menší než minimální přípustná tloušťka;</w:t>
      </w:r>
    </w:p>
    <w:p w:rsidR="003B6E11" w:rsidRPr="003B6E11" w:rsidRDefault="003B6E11" w:rsidP="003B6E11">
      <w:pPr>
        <w:spacing w:before="60" w:line="240" w:lineRule="atLeast"/>
        <w:ind w:left="993" w:hanging="426"/>
        <w:rPr>
          <w:rFonts w:eastAsia="Batang" w:cs="Arial"/>
          <w:lang w:val="cs-CZ"/>
        </w:rPr>
      </w:pPr>
      <w:r w:rsidRPr="003B6E11">
        <w:rPr>
          <w:lang w:val="cs-CZ"/>
        </w:rPr>
        <w:t>b)</w:t>
      </w:r>
      <w:r w:rsidRPr="003B6E11">
        <w:rPr>
          <w:lang w:val="cs-CZ"/>
        </w:rPr>
        <w:tab/>
        <w:t>na dírách v plechu vzniklých v důsledku koroze na prvcích, které zajišťují vodotěsnost lodi;</w:t>
      </w:r>
    </w:p>
    <w:p w:rsidR="003B6E11" w:rsidRPr="003B6E11" w:rsidRDefault="003B6E11" w:rsidP="003B6E11">
      <w:pPr>
        <w:spacing w:before="60" w:line="240" w:lineRule="atLeast"/>
        <w:ind w:left="993" w:hanging="426"/>
        <w:rPr>
          <w:rFonts w:eastAsia="Batang" w:cs="Arial"/>
          <w:lang w:val="cs-CZ"/>
        </w:rPr>
      </w:pPr>
      <w:r w:rsidRPr="003B6E11">
        <w:rPr>
          <w:lang w:val="cs-CZ"/>
        </w:rPr>
        <w:t>c)</w:t>
      </w:r>
      <w:r w:rsidRPr="003B6E11">
        <w:rPr>
          <w:lang w:val="cs-CZ"/>
        </w:rPr>
        <w:tab/>
        <w:t>na velkých plochách v nákladové zóně;</w:t>
      </w:r>
    </w:p>
    <w:p w:rsidR="003B6E11" w:rsidRPr="003B6E11" w:rsidRDefault="003B6E11" w:rsidP="003B6E11">
      <w:pPr>
        <w:spacing w:before="60" w:line="240" w:lineRule="atLeast"/>
        <w:ind w:left="993" w:hanging="426"/>
        <w:rPr>
          <w:rFonts w:eastAsia="Batang" w:cs="Arial"/>
          <w:lang w:val="cs-CZ"/>
        </w:rPr>
      </w:pPr>
      <w:r w:rsidRPr="003B6E11">
        <w:rPr>
          <w:lang w:val="cs-CZ"/>
        </w:rPr>
        <w:t>d)</w:t>
      </w:r>
      <w:r w:rsidRPr="003B6E11">
        <w:rPr>
          <w:lang w:val="cs-CZ"/>
        </w:rPr>
        <w:tab/>
        <w:t>na zakrytí příčných překrývajících se svařovaných švů;</w:t>
      </w:r>
    </w:p>
    <w:p w:rsidR="003B6E11" w:rsidRPr="003B6E11" w:rsidRDefault="003B6E11" w:rsidP="003B6E11">
      <w:pPr>
        <w:spacing w:before="60" w:line="240" w:lineRule="atLeast"/>
        <w:ind w:left="993" w:hanging="426"/>
        <w:rPr>
          <w:rFonts w:eastAsia="Batang" w:cs="Arial"/>
          <w:lang w:val="cs-CZ"/>
        </w:rPr>
      </w:pPr>
      <w:r w:rsidRPr="003B6E11">
        <w:rPr>
          <w:lang w:val="cs-CZ"/>
        </w:rPr>
        <w:t>e)</w:t>
      </w:r>
      <w:r w:rsidRPr="003B6E11">
        <w:rPr>
          <w:lang w:val="cs-CZ"/>
        </w:rPr>
        <w:tab/>
        <w:t>na dně mezi přepážkou příďového podpalubního nákladového prostoru a za přepážkou záďového podpalubního nákladového prostoru;</w:t>
      </w:r>
    </w:p>
    <w:p w:rsidR="003B6E11" w:rsidRPr="003B6E11" w:rsidRDefault="003B6E11" w:rsidP="003B6E11">
      <w:pPr>
        <w:spacing w:before="60" w:line="240" w:lineRule="atLeast"/>
        <w:ind w:left="993" w:hanging="426"/>
        <w:rPr>
          <w:rFonts w:eastAsia="Batang" w:cs="Arial"/>
          <w:lang w:val="cs-CZ"/>
        </w:rPr>
      </w:pPr>
      <w:r w:rsidRPr="003B6E11">
        <w:rPr>
          <w:lang w:val="cs-CZ"/>
        </w:rPr>
        <w:t>f)</w:t>
      </w:r>
      <w:r w:rsidRPr="003B6E11">
        <w:rPr>
          <w:lang w:val="cs-CZ"/>
        </w:rPr>
        <w:tab/>
        <w:t>v nákladovém prostoru tankových motorových lodí, tankových tlačných člunů a tankových člunů pro přepravu nebezpečných věcí podle ADN;</w:t>
      </w:r>
    </w:p>
    <w:p w:rsidR="003B6E11" w:rsidRPr="003B6E11" w:rsidRDefault="003B6E11" w:rsidP="003B6E11">
      <w:pPr>
        <w:spacing w:before="60" w:line="240" w:lineRule="atLeast"/>
        <w:ind w:left="993" w:hanging="426"/>
        <w:rPr>
          <w:rFonts w:eastAsia="Batang" w:cs="Arial"/>
          <w:lang w:val="cs-CZ"/>
        </w:rPr>
      </w:pPr>
      <w:r w:rsidRPr="003B6E11">
        <w:rPr>
          <w:lang w:val="cs-CZ"/>
        </w:rPr>
        <w:t>g)</w:t>
      </w:r>
      <w:r w:rsidRPr="003B6E11">
        <w:rPr>
          <w:lang w:val="cs-CZ"/>
        </w:rPr>
        <w:tab/>
        <w:t>nad nádržemi obsahujícími hořlavé látky kromě oblastí, kde dochází k oděru;</w:t>
      </w:r>
    </w:p>
    <w:p w:rsidR="003B6E11" w:rsidRPr="003B6E11" w:rsidRDefault="003B6E11" w:rsidP="003B6E11">
      <w:pPr>
        <w:spacing w:before="60" w:line="240" w:lineRule="atLeast"/>
        <w:ind w:left="993" w:hanging="426"/>
        <w:rPr>
          <w:rFonts w:eastAsia="Batang" w:cs="Arial"/>
          <w:lang w:val="cs-CZ"/>
        </w:rPr>
      </w:pPr>
      <w:r w:rsidRPr="003B6E11">
        <w:rPr>
          <w:lang w:val="cs-CZ"/>
        </w:rPr>
        <w:t>h)</w:t>
      </w:r>
      <w:r w:rsidRPr="003B6E11">
        <w:rPr>
          <w:lang w:val="cs-CZ"/>
        </w:rPr>
        <w:tab/>
        <w:t>na plechách nebo švech vykazujících deformace nebo únavu materiálu;</w:t>
      </w:r>
    </w:p>
    <w:p w:rsidR="003B6E11" w:rsidRPr="003B6E11" w:rsidRDefault="003B6E11" w:rsidP="003B6E11">
      <w:pPr>
        <w:spacing w:before="60" w:line="240" w:lineRule="atLeast"/>
        <w:ind w:left="993" w:hanging="426"/>
        <w:rPr>
          <w:rFonts w:eastAsia="Batang" w:cs="Arial"/>
          <w:lang w:val="cs-CZ"/>
        </w:rPr>
      </w:pPr>
      <w:r w:rsidRPr="003B6E11">
        <w:rPr>
          <w:lang w:val="cs-CZ"/>
        </w:rPr>
        <w:t>i)</w:t>
      </w:r>
      <w:r w:rsidRPr="003B6E11">
        <w:rPr>
          <w:lang w:val="cs-CZ"/>
        </w:rPr>
        <w:tab/>
        <w:t>na stávajících zdvojených plechách.</w:t>
      </w:r>
    </w:p>
    <w:p w:rsidR="003B6E11" w:rsidRPr="003B6E11" w:rsidRDefault="003B6E11" w:rsidP="003B6E11">
      <w:pPr>
        <w:spacing w:line="240" w:lineRule="atLeast"/>
        <w:rPr>
          <w:rFonts w:eastAsia="Batang"/>
          <w:lang w:val="cs-CZ"/>
        </w:rPr>
      </w:pPr>
    </w:p>
    <w:p w:rsidR="003B6E11" w:rsidRPr="003B6E11" w:rsidRDefault="003B6E11" w:rsidP="003B6E11">
      <w:pPr>
        <w:spacing w:line="240" w:lineRule="atLeast"/>
        <w:ind w:left="567" w:hanging="567"/>
        <w:rPr>
          <w:rFonts w:eastAsia="Batang"/>
          <w:b/>
          <w:lang w:val="cs-CZ"/>
        </w:rPr>
      </w:pPr>
      <w:r w:rsidRPr="003B6E11">
        <w:rPr>
          <w:b/>
          <w:lang w:val="cs-CZ"/>
        </w:rPr>
        <w:t>5.</w:t>
      </w:r>
      <w:r w:rsidRPr="003B6E11">
        <w:rPr>
          <w:lang w:val="cs-CZ"/>
        </w:rPr>
        <w:tab/>
      </w:r>
      <w:r w:rsidRPr="003B6E11">
        <w:rPr>
          <w:b/>
          <w:lang w:val="cs-CZ"/>
        </w:rPr>
        <w:t>Montáž zdvojených plechů</w:t>
      </w:r>
    </w:p>
    <w:p w:rsidR="003B6E11" w:rsidRPr="003B6E11" w:rsidRDefault="003B6E11" w:rsidP="003B6E11">
      <w:pPr>
        <w:spacing w:before="60" w:line="240" w:lineRule="atLeast"/>
        <w:ind w:left="993" w:hanging="426"/>
        <w:rPr>
          <w:rFonts w:eastAsia="Batang" w:cs="Arial"/>
          <w:lang w:val="cs-CZ"/>
        </w:rPr>
      </w:pPr>
      <w:r w:rsidRPr="003B6E11">
        <w:rPr>
          <w:lang w:val="cs-CZ"/>
        </w:rPr>
        <w:t>a)</w:t>
      </w:r>
      <w:r w:rsidRPr="003B6E11">
        <w:rPr>
          <w:lang w:val="cs-CZ"/>
        </w:rPr>
        <w:tab/>
        <w:t>Zdvojené plechy musí být namontovány a svařeny v souladu se správnou praxí stavby lodí.</w:t>
      </w:r>
    </w:p>
    <w:p w:rsidR="003B6E11" w:rsidRPr="003B6E11" w:rsidRDefault="003B6E11" w:rsidP="003B6E11">
      <w:pPr>
        <w:spacing w:before="60" w:line="240" w:lineRule="atLeast"/>
        <w:ind w:left="993" w:hanging="426"/>
        <w:rPr>
          <w:rFonts w:eastAsia="Batang" w:cs="Arial"/>
          <w:lang w:val="cs-CZ"/>
        </w:rPr>
      </w:pPr>
      <w:r w:rsidRPr="003B6E11">
        <w:rPr>
          <w:lang w:val="cs-CZ"/>
        </w:rPr>
        <w:t>b)</w:t>
      </w:r>
      <w:r w:rsidRPr="003B6E11">
        <w:rPr>
          <w:lang w:val="cs-CZ"/>
        </w:rPr>
        <w:tab/>
        <w:t>Opotřebené plechy budou mít šířku v rozsahu mezi 200 mm a 300 mm.</w:t>
      </w:r>
    </w:p>
    <w:p w:rsidR="003B6E11" w:rsidRPr="003B6E11" w:rsidRDefault="003B6E11" w:rsidP="003B6E11">
      <w:pPr>
        <w:spacing w:before="60" w:line="240" w:lineRule="atLeast"/>
        <w:ind w:left="993" w:hanging="426"/>
        <w:rPr>
          <w:rFonts w:eastAsia="Batang" w:cs="Arial"/>
          <w:lang w:val="cs-CZ"/>
        </w:rPr>
      </w:pPr>
      <w:r w:rsidRPr="003B6E11">
        <w:rPr>
          <w:lang w:val="cs-CZ"/>
        </w:rPr>
        <w:t>c)</w:t>
      </w:r>
      <w:r w:rsidRPr="003B6E11">
        <w:rPr>
          <w:lang w:val="cs-CZ"/>
        </w:rPr>
        <w:tab/>
        <w:t>Výztužné plechy podélného nosníku trupu by neměly být širší než 600 mm.</w:t>
      </w:r>
    </w:p>
    <w:p w:rsidR="003B6E11" w:rsidRPr="003B6E11" w:rsidRDefault="003B6E11" w:rsidP="003B6E11">
      <w:pPr>
        <w:spacing w:before="60" w:line="240" w:lineRule="atLeast"/>
        <w:ind w:left="993" w:hanging="426"/>
        <w:rPr>
          <w:rFonts w:eastAsia="Batang" w:cs="Arial"/>
          <w:lang w:val="cs-CZ"/>
        </w:rPr>
      </w:pPr>
      <w:r w:rsidRPr="003B6E11">
        <w:rPr>
          <w:lang w:val="cs-CZ"/>
        </w:rPr>
        <w:t>d)</w:t>
      </w:r>
      <w:r w:rsidRPr="003B6E11">
        <w:rPr>
          <w:lang w:val="cs-CZ"/>
        </w:rPr>
        <w:tab/>
        <w:t>Tloušťka zdvojených plechů musí odpovídat hodnotě mezi 1 a 1,5násobkem tloušťky plechu, na který jsou montovány.</w:t>
      </w:r>
    </w:p>
    <w:p w:rsidR="003B6E11" w:rsidRPr="003B6E11" w:rsidRDefault="003B6E11" w:rsidP="003B6E11">
      <w:pPr>
        <w:spacing w:before="60" w:line="240" w:lineRule="atLeast"/>
        <w:ind w:left="993" w:hanging="426"/>
        <w:rPr>
          <w:rFonts w:eastAsia="Batang" w:cs="Arial"/>
          <w:lang w:val="cs-CZ"/>
        </w:rPr>
      </w:pPr>
      <w:r w:rsidRPr="003B6E11">
        <w:rPr>
          <w:lang w:val="cs-CZ"/>
        </w:rPr>
        <w:t>e)</w:t>
      </w:r>
      <w:r w:rsidRPr="003B6E11">
        <w:rPr>
          <w:lang w:val="cs-CZ"/>
        </w:rPr>
        <w:tab/>
        <w:t>Zdvojené plechy namontované za účelem oddálení opotřebení nebo výměny obšívky trupu musí být vyměněny, pokud je jejich tloušťka menší než 3 mm.</w:t>
      </w:r>
    </w:p>
    <w:p w:rsidR="003B6E11" w:rsidRPr="003B6E11" w:rsidRDefault="003B6E11" w:rsidP="003B6E11">
      <w:pPr>
        <w:spacing w:line="240" w:lineRule="atLeast"/>
        <w:ind w:left="567"/>
        <w:rPr>
          <w:rFonts w:eastAsia="Batang"/>
          <w:lang w:val="cs-CZ"/>
        </w:rPr>
      </w:pPr>
    </w:p>
    <w:p w:rsidR="003B6E11" w:rsidRPr="003B6E11" w:rsidRDefault="003B6E11" w:rsidP="003B6E11">
      <w:pPr>
        <w:spacing w:line="240" w:lineRule="atLeast"/>
        <w:ind w:left="567"/>
        <w:rPr>
          <w:rFonts w:eastAsia="Batang"/>
          <w:lang w:val="cs-CZ"/>
        </w:rPr>
      </w:pPr>
      <w:r w:rsidRPr="003B6E11">
        <w:rPr>
          <w:lang w:val="cs-CZ"/>
        </w:rPr>
        <w:t>Skutečnost, že jsou namontované zdvojené plechy, musí být uvedena ve zprávě o měření tloušťky. Při obnovování osvědčení musí být důkladně zkontrolovány části lodi, kde byly namontovány zdvojené plechy, aby se zjistilo, zda mohou být v daném stavu zachovány.</w:t>
      </w:r>
    </w:p>
    <w:p w:rsidR="003B6E11" w:rsidRPr="003B6E11" w:rsidRDefault="003B6E11" w:rsidP="003B6E11">
      <w:pPr>
        <w:spacing w:line="240" w:lineRule="atLeast"/>
        <w:ind w:left="567"/>
        <w:rPr>
          <w:lang w:val="cs-CZ"/>
        </w:rPr>
      </w:pP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sectPr w:rsidR="003B6E11" w:rsidRPr="003B6E11" w:rsidSect="00D45887">
          <w:pgSz w:w="11907" w:h="16840" w:code="9"/>
          <w:pgMar w:top="1418" w:right="1418" w:bottom="1418" w:left="1418" w:header="680" w:footer="680" w:gutter="0"/>
          <w:cols w:space="720"/>
          <w:noEndnote/>
          <w:titlePg/>
        </w:sectPr>
      </w:pPr>
    </w:p>
    <w:p w:rsidR="003B6E11" w:rsidRPr="003B6E11" w:rsidRDefault="003B6E11" w:rsidP="003B6E11">
      <w:pPr>
        <w:pStyle w:val="ES-Titre2ESI"/>
      </w:pPr>
      <w:bookmarkStart w:id="739" w:name="_Toc491854352"/>
      <w:bookmarkStart w:id="740" w:name="_Toc535417258"/>
      <w:r w:rsidRPr="003B6E11">
        <w:t>ESI-II-3</w:t>
      </w:r>
      <w:r w:rsidRPr="003B6E11">
        <w:br/>
        <w:t>Minimální předepsaná dopředná rychlost plavby, schopnost zastavení a schopnost plavby vzad</w:t>
      </w:r>
      <w:bookmarkEnd w:id="739"/>
      <w:bookmarkEnd w:id="740"/>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jc w:val="center"/>
        <w:rPr>
          <w:b/>
          <w:lang w:val="cs-CZ"/>
        </w:rPr>
      </w:pPr>
      <w:r w:rsidRPr="003B6E11">
        <w:rPr>
          <w:b/>
          <w:lang w:val="cs-CZ"/>
        </w:rPr>
        <w:t>(Články 5.06, 5.07 a 5.08</w:t>
      </w:r>
    </w:p>
    <w:p w:rsidR="003B6E11" w:rsidRPr="003B6E11" w:rsidRDefault="003B6E11" w:rsidP="003B6E11">
      <w:pPr>
        <w:spacing w:line="240" w:lineRule="atLeast"/>
        <w:ind w:left="567" w:hanging="567"/>
        <w:jc w:val="center"/>
        <w:rPr>
          <w:b/>
          <w:lang w:val="cs-CZ"/>
        </w:rPr>
      </w:pPr>
      <w:r w:rsidRPr="003B6E11">
        <w:rPr>
          <w:b/>
          <w:lang w:val="cs-CZ"/>
        </w:rPr>
        <w:t>ve spojení s čl. 5.02 odst. 1, čl. 5.03 odst. 1 a články 5.04 a 21.06)</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1.</w:t>
      </w:r>
      <w:r w:rsidRPr="003B6E11">
        <w:rPr>
          <w:lang w:val="cs-CZ"/>
        </w:rPr>
        <w:tab/>
      </w:r>
      <w:r w:rsidRPr="003B6E11">
        <w:rPr>
          <w:b/>
          <w:color w:val="000000"/>
          <w:lang w:val="cs-CZ"/>
        </w:rPr>
        <w:t>Maximální předepsaná dopředná rychlost plavby podle článku 5.06</w:t>
      </w:r>
    </w:p>
    <w:p w:rsidR="003B6E11" w:rsidRPr="003B6E11" w:rsidRDefault="003B6E11" w:rsidP="003B6E11">
      <w:pPr>
        <w:tabs>
          <w:tab w:val="left" w:pos="567"/>
        </w:tabs>
        <w:overflowPunct w:val="0"/>
        <w:adjustRightInd w:val="0"/>
        <w:spacing w:line="240" w:lineRule="atLeast"/>
        <w:ind w:left="567" w:hanging="567"/>
        <w:textAlignment w:val="baseline"/>
        <w:rPr>
          <w:szCs w:val="20"/>
          <w:lang w:val="cs-CZ"/>
        </w:rPr>
      </w:pPr>
    </w:p>
    <w:p w:rsidR="003B6E11" w:rsidRPr="003B6E11" w:rsidRDefault="003B6E11" w:rsidP="003B6E11">
      <w:pPr>
        <w:spacing w:line="240" w:lineRule="atLeast"/>
        <w:ind w:left="567"/>
        <w:rPr>
          <w:lang w:val="cs-CZ"/>
        </w:rPr>
      </w:pPr>
      <w:r w:rsidRPr="003B6E11">
        <w:rPr>
          <w:lang w:val="cs-CZ"/>
        </w:rPr>
        <w:t>Rychlost vzhledem k vodní hladině je podle čl. 5.06 odst. 1 uspokojivá, když dosáhne nejméně 13 km/h. Během zkoušek musí být splněny následující podmínky stejným způsobem jako při zkoušce zastavení:</w:t>
      </w:r>
    </w:p>
    <w:p w:rsidR="003B6E11" w:rsidRPr="003B6E11" w:rsidRDefault="003B6E11" w:rsidP="003B6E11">
      <w:pPr>
        <w:spacing w:before="60" w:line="240" w:lineRule="atLeast"/>
        <w:ind w:left="992"/>
        <w:rPr>
          <w:noProof/>
          <w:lang w:val="cs-CZ"/>
        </w:rPr>
      </w:pPr>
      <w:r w:rsidRPr="003B6E11">
        <w:rPr>
          <w:lang w:val="cs-CZ"/>
        </w:rPr>
        <w:t>a)</w:t>
      </w:r>
      <w:r w:rsidRPr="003B6E11">
        <w:rPr>
          <w:lang w:val="cs-CZ"/>
        </w:rPr>
        <w:tab/>
        <w:t>musí být dodržena vzdálenost kýlu stanovená v bodě 2.1;</w:t>
      </w:r>
    </w:p>
    <w:p w:rsidR="003B6E11" w:rsidRPr="003B6E11" w:rsidRDefault="003B6E11" w:rsidP="003B6E11">
      <w:pPr>
        <w:spacing w:before="60" w:line="240" w:lineRule="atLeast"/>
        <w:ind w:left="992"/>
        <w:rPr>
          <w:noProof/>
          <w:lang w:val="cs-CZ"/>
        </w:rPr>
      </w:pPr>
      <w:r w:rsidRPr="003B6E11">
        <w:rPr>
          <w:lang w:val="cs-CZ"/>
        </w:rPr>
        <w:t>b)</w:t>
      </w:r>
      <w:r w:rsidRPr="003B6E11">
        <w:rPr>
          <w:lang w:val="cs-CZ"/>
        </w:rPr>
        <w:tab/>
        <w:t>měření, zaznamenávání, registrace a hodnocení zkušebních údajů se provádí postupem popsaným v příloze 1.</w:t>
      </w:r>
    </w:p>
    <w:p w:rsidR="003B6E11" w:rsidRPr="003B6E11" w:rsidRDefault="003B6E11" w:rsidP="003B6E11">
      <w:pPr>
        <w:tabs>
          <w:tab w:val="left" w:pos="567"/>
        </w:tabs>
        <w:overflowPunct w:val="0"/>
        <w:adjustRightInd w:val="0"/>
        <w:spacing w:line="240" w:lineRule="atLeast"/>
        <w:ind w:left="567" w:hanging="567"/>
        <w:textAlignment w:val="baseline"/>
        <w:rPr>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2.</w:t>
      </w:r>
      <w:r w:rsidRPr="003B6E11">
        <w:rPr>
          <w:lang w:val="cs-CZ"/>
        </w:rPr>
        <w:tab/>
      </w:r>
      <w:r w:rsidRPr="003B6E11">
        <w:rPr>
          <w:b/>
          <w:color w:val="000000"/>
          <w:lang w:val="cs-CZ"/>
        </w:rPr>
        <w:t>Schopnost zastavení a schopnost plavby vzad předepsané v souladu s články 5.07 a 5.08</w:t>
      </w:r>
    </w:p>
    <w:p w:rsidR="003B6E11" w:rsidRPr="003B6E11" w:rsidRDefault="003B6E11" w:rsidP="003B6E11">
      <w:pPr>
        <w:tabs>
          <w:tab w:val="left" w:pos="567"/>
        </w:tabs>
        <w:overflowPunct w:val="0"/>
        <w:adjustRightInd w:val="0"/>
        <w:spacing w:line="240" w:lineRule="atLeast"/>
        <w:ind w:left="567" w:hanging="567"/>
        <w:textAlignment w:val="baseline"/>
        <w:rPr>
          <w:szCs w:val="20"/>
          <w:lang w:val="cs-CZ"/>
        </w:rPr>
      </w:pPr>
    </w:p>
    <w:p w:rsidR="003B6E11" w:rsidRPr="003B6E11" w:rsidRDefault="003B6E11" w:rsidP="003B6E11">
      <w:pPr>
        <w:spacing w:line="240" w:lineRule="atLeast"/>
        <w:ind w:left="567" w:hanging="567"/>
        <w:rPr>
          <w:noProof/>
          <w:lang w:val="cs-CZ"/>
        </w:rPr>
      </w:pPr>
      <w:r w:rsidRPr="003B6E11">
        <w:rPr>
          <w:lang w:val="cs-CZ"/>
        </w:rPr>
        <w:t>2.1</w:t>
      </w:r>
      <w:r w:rsidRPr="003B6E11">
        <w:rPr>
          <w:lang w:val="cs-CZ"/>
        </w:rPr>
        <w:tab/>
        <w:t>Plavidla a sestavy se podle čl. 5.07 odst. 1 považují za schopné včasného zastavení při plavbě po proudu tehdy, když je během zkoušky prokázáno včasné zastavení vzhledem k zemi při plavbě po proudu při počáteční rychlosti 13 km/h vzhledem k vodní hladině se vzdáleností kýlu rovnající se alespoň 20 % ponoru, avšak ne méně než 0,50 m.</w:t>
      </w:r>
    </w:p>
    <w:p w:rsidR="003B6E11" w:rsidRPr="003B6E11" w:rsidRDefault="003B6E11" w:rsidP="003B6E11">
      <w:pPr>
        <w:spacing w:before="60" w:line="240" w:lineRule="atLeast"/>
        <w:ind w:left="992"/>
        <w:rPr>
          <w:noProof/>
          <w:lang w:val="cs-CZ"/>
        </w:rPr>
      </w:pPr>
      <w:r w:rsidRPr="003B6E11">
        <w:rPr>
          <w:lang w:val="cs-CZ"/>
        </w:rPr>
        <w:t>a)</w:t>
      </w:r>
      <w:r w:rsidRPr="003B6E11">
        <w:rPr>
          <w:lang w:val="cs-CZ"/>
        </w:rPr>
        <w:tab/>
        <w:t>V tekoucích vodách (rychlost proudu 1,5 m/s) musí být schopnost zastavení vzhledem k vodní hladině prokázána na maximální měřenou vzdálenost vzhledem k zemi:</w:t>
      </w:r>
    </w:p>
    <w:p w:rsidR="003B6E11" w:rsidRPr="003B6E11" w:rsidRDefault="003B6E11" w:rsidP="003B6E11">
      <w:pPr>
        <w:spacing w:before="60" w:line="240" w:lineRule="atLeast"/>
        <w:ind w:left="992"/>
        <w:rPr>
          <w:noProof/>
          <w:lang w:val="cs-CZ"/>
        </w:rPr>
      </w:pPr>
      <w:r w:rsidRPr="003B6E11">
        <w:rPr>
          <w:lang w:val="cs-CZ"/>
        </w:rPr>
        <w:t>550 m pro lodě a sestavy o:</w:t>
      </w:r>
    </w:p>
    <w:p w:rsidR="003B6E11" w:rsidRPr="003B6E11" w:rsidRDefault="003B6E11" w:rsidP="003B6E11">
      <w:pPr>
        <w:spacing w:before="60" w:line="240" w:lineRule="atLeast"/>
        <w:ind w:left="1418" w:hanging="426"/>
        <w:rPr>
          <w:noProof/>
          <w:lang w:val="cs-CZ"/>
        </w:rPr>
      </w:pPr>
      <w:r w:rsidRPr="003B6E11">
        <w:rPr>
          <w:lang w:val="cs-CZ"/>
        </w:rPr>
        <w:t>-</w:t>
      </w:r>
      <w:r w:rsidRPr="003B6E11">
        <w:rPr>
          <w:lang w:val="cs-CZ"/>
        </w:rPr>
        <w:tab/>
        <w:t xml:space="preserve">délce </w:t>
      </w:r>
      <m:oMath>
        <m:r>
          <w:rPr>
            <w:rFonts w:ascii="Cambria Math" w:hAnsi="Cambria Math"/>
            <w:noProof/>
            <w:lang w:val="cs-CZ"/>
          </w:rPr>
          <m:t>L &gt; 110 m</m:t>
        </m:r>
      </m:oMath>
      <w:r w:rsidRPr="003B6E11">
        <w:rPr>
          <w:lang w:val="cs-CZ"/>
        </w:rPr>
        <w:t xml:space="preserve"> nebo</w:t>
      </w:r>
    </w:p>
    <w:p w:rsidR="003B6E11" w:rsidRPr="003B6E11" w:rsidRDefault="003B6E11" w:rsidP="003B6E11">
      <w:pPr>
        <w:spacing w:before="60" w:line="240" w:lineRule="atLeast"/>
        <w:ind w:left="1418" w:hanging="426"/>
        <w:rPr>
          <w:noProof/>
          <w:lang w:val="cs-CZ"/>
        </w:rPr>
      </w:pPr>
      <w:r w:rsidRPr="003B6E11">
        <w:rPr>
          <w:lang w:val="cs-CZ"/>
        </w:rPr>
        <w:t>-</w:t>
      </w:r>
      <w:r w:rsidRPr="003B6E11">
        <w:rPr>
          <w:lang w:val="cs-CZ"/>
        </w:rPr>
        <w:tab/>
        <w:t xml:space="preserve">šířce </w:t>
      </w:r>
      <m:oMath>
        <m:r>
          <w:rPr>
            <w:rFonts w:ascii="Cambria Math" w:hAnsi="Cambria Math"/>
            <w:noProof/>
            <w:lang w:val="cs-CZ"/>
          </w:rPr>
          <m:t>B &gt; 11,45 m</m:t>
        </m:r>
      </m:oMath>
    </w:p>
    <w:p w:rsidR="003B6E11" w:rsidRPr="003B6E11" w:rsidRDefault="003B6E11" w:rsidP="003B6E11">
      <w:pPr>
        <w:spacing w:before="60" w:line="240" w:lineRule="atLeast"/>
        <w:ind w:left="992"/>
        <w:rPr>
          <w:noProof/>
          <w:lang w:val="cs-CZ"/>
        </w:rPr>
      </w:pPr>
      <w:r w:rsidRPr="003B6E11">
        <w:rPr>
          <w:lang w:val="cs-CZ"/>
        </w:rPr>
        <w:t>nebo</w:t>
      </w:r>
    </w:p>
    <w:p w:rsidR="003B6E11" w:rsidRPr="003B6E11" w:rsidRDefault="003B6E11" w:rsidP="003B6E11">
      <w:pPr>
        <w:spacing w:before="60" w:line="240" w:lineRule="atLeast"/>
        <w:ind w:left="992"/>
        <w:rPr>
          <w:noProof/>
          <w:lang w:val="cs-CZ"/>
        </w:rPr>
      </w:pPr>
      <w:r w:rsidRPr="003B6E11">
        <w:rPr>
          <w:lang w:val="cs-CZ"/>
        </w:rPr>
        <w:t>480 m pro lodě a sestavy o:</w:t>
      </w:r>
    </w:p>
    <w:p w:rsidR="003B6E11" w:rsidRPr="003B6E11" w:rsidRDefault="003B6E11" w:rsidP="003B6E11">
      <w:pPr>
        <w:spacing w:before="60" w:line="240" w:lineRule="atLeast"/>
        <w:ind w:left="1418" w:hanging="426"/>
        <w:rPr>
          <w:noProof/>
          <w:lang w:val="cs-CZ"/>
        </w:rPr>
      </w:pPr>
      <w:r w:rsidRPr="003B6E11">
        <w:rPr>
          <w:lang w:val="cs-CZ"/>
        </w:rPr>
        <w:t>-</w:t>
      </w:r>
      <w:r w:rsidRPr="003B6E11">
        <w:rPr>
          <w:lang w:val="cs-CZ"/>
        </w:rPr>
        <w:tab/>
        <w:t xml:space="preserve">délce </w:t>
      </w:r>
      <m:oMath>
        <m:r>
          <w:rPr>
            <w:rFonts w:ascii="Cambria Math" w:hAnsi="Cambria Math"/>
            <w:noProof/>
            <w:lang w:val="cs-CZ"/>
          </w:rPr>
          <m:t>L ≤ 110 m</m:t>
        </m:r>
      </m:oMath>
      <w:r w:rsidRPr="003B6E11">
        <w:rPr>
          <w:lang w:val="cs-CZ"/>
        </w:rPr>
        <w:t xml:space="preserve"> a</w:t>
      </w:r>
    </w:p>
    <w:p w:rsidR="003B6E11" w:rsidRPr="003B6E11" w:rsidRDefault="003B6E11" w:rsidP="003B6E11">
      <w:pPr>
        <w:spacing w:before="60" w:line="240" w:lineRule="atLeast"/>
        <w:ind w:left="1418" w:hanging="426"/>
        <w:rPr>
          <w:noProof/>
          <w:lang w:val="cs-CZ"/>
        </w:rPr>
      </w:pPr>
      <w:r w:rsidRPr="003B6E11">
        <w:rPr>
          <w:lang w:val="cs-CZ"/>
        </w:rPr>
        <w:t>-</w:t>
      </w:r>
      <w:r w:rsidRPr="003B6E11">
        <w:rPr>
          <w:lang w:val="cs-CZ"/>
        </w:rPr>
        <w:tab/>
        <w:t xml:space="preserve">šířce </w:t>
      </w:r>
      <m:oMath>
        <m:r>
          <w:rPr>
            <w:rFonts w:ascii="Cambria Math" w:hAnsi="Cambria Math"/>
            <w:noProof/>
            <w:lang w:val="cs-CZ"/>
          </w:rPr>
          <m:t>B ≤ 11,45 m</m:t>
        </m:r>
      </m:oMath>
      <w:r w:rsidRPr="003B6E11">
        <w:rPr>
          <w:lang w:val="cs-CZ"/>
        </w:rPr>
        <w:t>.</w:t>
      </w:r>
    </w:p>
    <w:p w:rsidR="003B6E11" w:rsidRPr="003B6E11" w:rsidRDefault="003B6E11" w:rsidP="003B6E11">
      <w:pPr>
        <w:spacing w:before="60" w:line="240" w:lineRule="atLeast"/>
        <w:ind w:left="992"/>
        <w:rPr>
          <w:noProof/>
          <w:lang w:val="cs-CZ"/>
        </w:rPr>
      </w:pPr>
      <w:r w:rsidRPr="003B6E11">
        <w:rPr>
          <w:lang w:val="cs-CZ"/>
        </w:rPr>
        <w:t>Zastavovací manévr je dokončen při zastavení vzhledem k zemi.</w:t>
      </w:r>
    </w:p>
    <w:p w:rsidR="003B6E11" w:rsidRPr="003B6E11" w:rsidRDefault="003B6E11" w:rsidP="003B6E11">
      <w:pPr>
        <w:spacing w:before="60" w:line="240" w:lineRule="atLeast"/>
        <w:ind w:left="992"/>
        <w:rPr>
          <w:noProof/>
          <w:lang w:val="cs-CZ"/>
        </w:rPr>
      </w:pPr>
      <w:r w:rsidRPr="003B6E11">
        <w:rPr>
          <w:lang w:val="cs-CZ"/>
        </w:rPr>
        <w:t>b)</w:t>
      </w:r>
      <w:r w:rsidRPr="003B6E11">
        <w:rPr>
          <w:lang w:val="cs-CZ"/>
        </w:rPr>
        <w:tab/>
        <w:t>Ve stojatých vodách (rychlost proudu nižší než 0,2 m/s) musí být schopnost zastavení vzhledem k vodní hladině prokázána na maximální měřenou vzdálenost vzhledem k zemi:</w:t>
      </w:r>
    </w:p>
    <w:p w:rsidR="003B6E11" w:rsidRPr="003B6E11" w:rsidRDefault="003B6E11" w:rsidP="003B6E11">
      <w:pPr>
        <w:spacing w:before="60" w:line="240" w:lineRule="atLeast"/>
        <w:ind w:left="992"/>
        <w:rPr>
          <w:noProof/>
          <w:lang w:val="cs-CZ"/>
        </w:rPr>
      </w:pPr>
      <w:r w:rsidRPr="003B6E11">
        <w:rPr>
          <w:lang w:val="cs-CZ"/>
        </w:rPr>
        <w:t>350 m pro lodě a sestavy o:</w:t>
      </w:r>
    </w:p>
    <w:p w:rsidR="003B6E11" w:rsidRPr="003B6E11" w:rsidRDefault="003B6E11" w:rsidP="003B6E11">
      <w:pPr>
        <w:spacing w:before="60" w:line="240" w:lineRule="atLeast"/>
        <w:ind w:left="1418" w:hanging="426"/>
        <w:rPr>
          <w:noProof/>
          <w:lang w:val="cs-CZ"/>
        </w:rPr>
      </w:pPr>
      <w:r w:rsidRPr="003B6E11">
        <w:rPr>
          <w:lang w:val="cs-CZ"/>
        </w:rPr>
        <w:t>-</w:t>
      </w:r>
      <w:r w:rsidRPr="003B6E11">
        <w:rPr>
          <w:lang w:val="cs-CZ"/>
        </w:rPr>
        <w:tab/>
        <w:t xml:space="preserve">délce </w:t>
      </w:r>
      <m:oMath>
        <m:r>
          <w:rPr>
            <w:rFonts w:ascii="Cambria Math" w:hAnsi="Cambria Math"/>
            <w:noProof/>
            <w:lang w:val="cs-CZ"/>
          </w:rPr>
          <m:t>L &gt; 110 m</m:t>
        </m:r>
      </m:oMath>
      <w:r w:rsidRPr="003B6E11">
        <w:rPr>
          <w:lang w:val="cs-CZ"/>
        </w:rPr>
        <w:t xml:space="preserve"> nebo</w:t>
      </w:r>
    </w:p>
    <w:p w:rsidR="003B6E11" w:rsidRPr="003B6E11" w:rsidRDefault="003B6E11" w:rsidP="003B6E11">
      <w:pPr>
        <w:spacing w:before="60" w:line="240" w:lineRule="atLeast"/>
        <w:ind w:left="1418" w:hanging="426"/>
        <w:rPr>
          <w:noProof/>
          <w:lang w:val="cs-CZ"/>
        </w:rPr>
      </w:pPr>
      <w:r w:rsidRPr="003B6E11">
        <w:rPr>
          <w:lang w:val="cs-CZ"/>
        </w:rPr>
        <w:t>-</w:t>
      </w:r>
      <w:r w:rsidRPr="003B6E11">
        <w:rPr>
          <w:lang w:val="cs-CZ"/>
        </w:rPr>
        <w:tab/>
        <w:t xml:space="preserve">šířce </w:t>
      </w:r>
      <m:oMath>
        <m:r>
          <w:rPr>
            <w:rFonts w:ascii="Cambria Math" w:hAnsi="Cambria Math"/>
            <w:noProof/>
            <w:lang w:val="cs-CZ"/>
          </w:rPr>
          <m:t>B &gt; 11,45 m</m:t>
        </m:r>
      </m:oMath>
    </w:p>
    <w:p w:rsidR="003B6E11" w:rsidRPr="003B6E11" w:rsidRDefault="003B6E11" w:rsidP="003B6E11">
      <w:pPr>
        <w:spacing w:before="60" w:line="240" w:lineRule="atLeast"/>
        <w:ind w:left="992"/>
        <w:rPr>
          <w:noProof/>
          <w:lang w:val="cs-CZ"/>
        </w:rPr>
      </w:pPr>
      <w:r w:rsidRPr="003B6E11">
        <w:rPr>
          <w:lang w:val="cs-CZ"/>
        </w:rPr>
        <w:t>nebo</w:t>
      </w:r>
    </w:p>
    <w:p w:rsidR="003B6E11" w:rsidRPr="003B6E11" w:rsidRDefault="003B6E11" w:rsidP="003B6E11">
      <w:pPr>
        <w:spacing w:before="60" w:line="240" w:lineRule="atLeast"/>
        <w:ind w:left="992"/>
        <w:rPr>
          <w:noProof/>
          <w:lang w:val="cs-CZ"/>
        </w:rPr>
      </w:pPr>
      <w:r w:rsidRPr="003B6E11">
        <w:rPr>
          <w:lang w:val="cs-CZ"/>
        </w:rPr>
        <w:t>305 m pro lodě a sestavy o:</w:t>
      </w:r>
    </w:p>
    <w:p w:rsidR="003B6E11" w:rsidRPr="003B6E11" w:rsidRDefault="003B6E11" w:rsidP="003B6E11">
      <w:pPr>
        <w:spacing w:before="60" w:line="240" w:lineRule="atLeast"/>
        <w:ind w:left="1418" w:hanging="426"/>
        <w:rPr>
          <w:noProof/>
          <w:lang w:val="cs-CZ"/>
        </w:rPr>
      </w:pPr>
      <w:r w:rsidRPr="003B6E11">
        <w:rPr>
          <w:lang w:val="cs-CZ"/>
        </w:rPr>
        <w:t>-</w:t>
      </w:r>
      <w:r w:rsidRPr="003B6E11">
        <w:rPr>
          <w:lang w:val="cs-CZ"/>
        </w:rPr>
        <w:tab/>
        <w:t xml:space="preserve">délce </w:t>
      </w:r>
      <m:oMath>
        <m:r>
          <w:rPr>
            <w:rFonts w:ascii="Cambria Math" w:hAnsi="Cambria Math"/>
            <w:noProof/>
            <w:lang w:val="cs-CZ"/>
          </w:rPr>
          <m:t xml:space="preserve">L ≤ 110 m </m:t>
        </m:r>
      </m:oMath>
      <w:r w:rsidRPr="003B6E11">
        <w:rPr>
          <w:lang w:val="cs-CZ"/>
        </w:rPr>
        <w:t xml:space="preserve"> a</w:t>
      </w:r>
    </w:p>
    <w:p w:rsidR="003B6E11" w:rsidRPr="003B6E11" w:rsidRDefault="003B6E11" w:rsidP="003B6E11">
      <w:pPr>
        <w:spacing w:before="60" w:line="240" w:lineRule="atLeast"/>
        <w:ind w:left="1418" w:hanging="426"/>
        <w:rPr>
          <w:noProof/>
          <w:lang w:val="cs-CZ"/>
        </w:rPr>
      </w:pPr>
      <w:r w:rsidRPr="003B6E11">
        <w:rPr>
          <w:lang w:val="cs-CZ"/>
        </w:rPr>
        <w:t>-</w:t>
      </w:r>
      <w:r w:rsidRPr="003B6E11">
        <w:rPr>
          <w:lang w:val="cs-CZ"/>
        </w:rPr>
        <w:tab/>
        <w:t xml:space="preserve">šířce </w:t>
      </w:r>
      <m:oMath>
        <m:r>
          <w:rPr>
            <w:rFonts w:ascii="Cambria Math" w:hAnsi="Cambria Math"/>
            <w:noProof/>
            <w:lang w:val="cs-CZ"/>
          </w:rPr>
          <m:t>B ≤ 11,45 m</m:t>
        </m:r>
      </m:oMath>
      <w:r w:rsidRPr="003B6E11">
        <w:rPr>
          <w:lang w:val="cs-CZ"/>
        </w:rPr>
        <w:t>.</w:t>
      </w:r>
    </w:p>
    <w:p w:rsidR="003B6E11" w:rsidRPr="003B6E11" w:rsidRDefault="003B6E11" w:rsidP="003B6E11">
      <w:pPr>
        <w:spacing w:before="60" w:line="240" w:lineRule="atLeast"/>
        <w:ind w:left="992"/>
        <w:rPr>
          <w:noProof/>
          <w:lang w:val="cs-CZ"/>
        </w:rPr>
      </w:pPr>
      <w:r w:rsidRPr="003B6E11">
        <w:rPr>
          <w:lang w:val="cs-CZ"/>
        </w:rPr>
        <w:t>Ve stojaté vodě se musí provést i zkouška prokazující, že při plavbě vzad lze dosáhnout rychlosti nejméně 6,5 km/h.</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br w:type="page"/>
      </w:r>
    </w:p>
    <w:p w:rsidR="003B6E11" w:rsidRPr="003B6E11" w:rsidRDefault="003B6E11" w:rsidP="003B6E11">
      <w:pPr>
        <w:spacing w:line="240" w:lineRule="atLeast"/>
        <w:ind w:left="567"/>
        <w:rPr>
          <w:noProof/>
          <w:lang w:val="cs-CZ"/>
        </w:rPr>
      </w:pPr>
      <w:r w:rsidRPr="003B6E11">
        <w:rPr>
          <w:lang w:val="cs-CZ"/>
        </w:rPr>
        <w:t>Měření, zaznamenávání a registrace zkušebních údajů zmiňovaných v písmenu a) nebo b) se musí provádět v souladu s postupem stanoveným v příloze 1.</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V průběhu celé zkoušky musí loď nebo sestava dosahovat dostatečné manévrovatelnosti.</w:t>
      </w:r>
    </w:p>
    <w:p w:rsidR="003B6E11" w:rsidRPr="003B6E11" w:rsidRDefault="003B6E11" w:rsidP="003B6E11">
      <w:pPr>
        <w:spacing w:line="240" w:lineRule="atLeast"/>
        <w:ind w:left="567" w:hanging="567"/>
        <w:rPr>
          <w:noProof/>
          <w:lang w:val="cs-CZ"/>
        </w:rPr>
      </w:pPr>
    </w:p>
    <w:p w:rsidR="003B6E11" w:rsidRPr="003B6E11" w:rsidRDefault="003B6E11" w:rsidP="003B6E11">
      <w:pPr>
        <w:spacing w:line="240" w:lineRule="atLeast"/>
        <w:ind w:left="567" w:hanging="567"/>
        <w:rPr>
          <w:noProof/>
          <w:lang w:val="cs-CZ"/>
        </w:rPr>
      </w:pPr>
      <w:r w:rsidRPr="003B6E11">
        <w:rPr>
          <w:lang w:val="cs-CZ"/>
        </w:rPr>
        <w:t>2.2</w:t>
      </w:r>
      <w:r w:rsidRPr="003B6E11">
        <w:rPr>
          <w:lang w:val="cs-CZ"/>
        </w:rPr>
        <w:tab/>
        <w:t>V souladu s článkem 5.04 musí být lodě během zkoušky naloženy pokud možno na 70–100 % své nosnosti. Tyto podmínky zatížení se vyhodnotí v souladu s přílohou 2. Pokud jsou loď nebo sestava během zkoušky naloženy na méně než 70 %, stanoví se maximální povolený výtlak při plavbě po proudu podle skutečného zatížení, a to za předpokladu, že jsou dodrženy mezní hodnoty stanovené v bodě 2.1.</w:t>
      </w:r>
    </w:p>
    <w:p w:rsidR="003B6E11" w:rsidRPr="003B6E11" w:rsidRDefault="003B6E11" w:rsidP="003B6E11">
      <w:pPr>
        <w:spacing w:line="240" w:lineRule="atLeast"/>
        <w:ind w:left="567" w:hanging="567"/>
        <w:rPr>
          <w:noProof/>
          <w:lang w:val="cs-CZ"/>
        </w:rPr>
      </w:pPr>
    </w:p>
    <w:p w:rsidR="003B6E11" w:rsidRPr="003B6E11" w:rsidRDefault="003B6E11" w:rsidP="003B6E11">
      <w:pPr>
        <w:spacing w:line="240" w:lineRule="atLeast"/>
        <w:ind w:left="567" w:hanging="567"/>
        <w:rPr>
          <w:noProof/>
          <w:lang w:val="cs-CZ"/>
        </w:rPr>
      </w:pPr>
      <w:r w:rsidRPr="003B6E11">
        <w:rPr>
          <w:lang w:val="cs-CZ"/>
        </w:rPr>
        <w:t>2.3</w:t>
      </w:r>
      <w:r w:rsidRPr="003B6E11">
        <w:rPr>
          <w:lang w:val="cs-CZ"/>
        </w:rPr>
        <w:tab/>
        <w:t>Pokud skutečné hodnoty počáteční rychlosti a rychlosti proudu v době zkoušky nesplňují podmínky stanovené v bodě 2.1, vyhodnotí se získané výsledky v souladu s postupem popsaným v příloze 2.</w:t>
      </w:r>
    </w:p>
    <w:p w:rsidR="003B6E11" w:rsidRPr="003B6E11" w:rsidRDefault="003B6E11" w:rsidP="003B6E11">
      <w:pPr>
        <w:spacing w:line="240" w:lineRule="atLeast"/>
        <w:ind w:left="567" w:hanging="567"/>
        <w:rPr>
          <w:noProof/>
          <w:lang w:val="cs-CZ"/>
        </w:rPr>
      </w:pPr>
    </w:p>
    <w:p w:rsidR="003B6E11" w:rsidRPr="003B6E11" w:rsidRDefault="003B6E11" w:rsidP="003B6E11">
      <w:pPr>
        <w:spacing w:line="240" w:lineRule="atLeast"/>
        <w:ind w:left="567"/>
        <w:rPr>
          <w:noProof/>
          <w:lang w:val="cs-CZ"/>
        </w:rPr>
      </w:pPr>
      <w:r w:rsidRPr="003B6E11">
        <w:rPr>
          <w:lang w:val="cs-CZ"/>
        </w:rPr>
        <w:t xml:space="preserve">Povolená odchylka počáteční rychlosti 13 km/h nesmí být větší než </w:t>
      </w:r>
      <w:r w:rsidRPr="003B6E11">
        <w:rPr>
          <w:lang w:val="cs-CZ"/>
        </w:rPr>
        <w:sym w:font="Symbol" w:char="F0B1"/>
      </w:r>
      <w:r w:rsidRPr="003B6E11">
        <w:rPr>
          <w:lang w:val="cs-CZ"/>
        </w:rPr>
        <w:t xml:space="preserve"> 1 km/h a rychlost proudu tekoucí vody musí být mezi 1,3 až 2,2 m/s. V opačném případě se zkouška musí opakovat.</w:t>
      </w:r>
    </w:p>
    <w:p w:rsidR="003B6E11" w:rsidRPr="003B6E11" w:rsidRDefault="003B6E11" w:rsidP="003B6E11">
      <w:pPr>
        <w:spacing w:line="240" w:lineRule="atLeast"/>
        <w:ind w:left="567" w:hanging="567"/>
        <w:rPr>
          <w:noProof/>
          <w:lang w:val="cs-CZ"/>
        </w:rPr>
      </w:pPr>
    </w:p>
    <w:p w:rsidR="003B6E11" w:rsidRPr="003B6E11" w:rsidRDefault="003B6E11" w:rsidP="003B6E11">
      <w:pPr>
        <w:spacing w:line="240" w:lineRule="atLeast"/>
        <w:ind w:left="567" w:hanging="567"/>
        <w:rPr>
          <w:noProof/>
          <w:lang w:val="cs-CZ"/>
        </w:rPr>
      </w:pPr>
      <w:r w:rsidRPr="003B6E11">
        <w:rPr>
          <w:lang w:val="cs-CZ"/>
        </w:rPr>
        <w:t>2.4</w:t>
      </w:r>
      <w:r w:rsidRPr="003B6E11">
        <w:rPr>
          <w:lang w:val="cs-CZ"/>
        </w:rPr>
        <w:tab/>
        <w:t>Maximální povolený výtlak nebo příslušné maximální zatížení nebo maximální ponořený průřez pro lodě a sestavy plující po proudu se stanoví na základě zkoušek a uvedou se v osvědčení plavidla vnitrozemské plavby.</w:t>
      </w:r>
    </w:p>
    <w:p w:rsidR="003B6E11" w:rsidRPr="003B6E11" w:rsidRDefault="003B6E11" w:rsidP="003B6E11">
      <w:pPr>
        <w:spacing w:line="240" w:lineRule="atLeast"/>
        <w:ind w:left="567" w:hanging="567"/>
        <w:jc w:val="center"/>
        <w:rPr>
          <w:noProof/>
          <w:lang w:val="cs-CZ"/>
        </w:rPr>
      </w:pPr>
    </w:p>
    <w:p w:rsidR="003B6E11" w:rsidRPr="003B6E11" w:rsidRDefault="003B6E11" w:rsidP="003B6E11">
      <w:pPr>
        <w:tabs>
          <w:tab w:val="left" w:pos="567"/>
        </w:tabs>
        <w:spacing w:line="240" w:lineRule="atLeast"/>
        <w:ind w:left="567" w:hanging="567"/>
        <w:rPr>
          <w:lang w:val="cs-CZ"/>
        </w:rPr>
      </w:pPr>
    </w:p>
    <w:p w:rsidR="003B6E11" w:rsidRPr="003B6E11" w:rsidRDefault="003B6E11" w:rsidP="003B6E11">
      <w:pPr>
        <w:spacing w:line="240" w:lineRule="atLeast"/>
        <w:ind w:left="567" w:hanging="567"/>
        <w:rPr>
          <w:lang w:val="cs-CZ"/>
        </w:rPr>
        <w:sectPr w:rsidR="003B6E11" w:rsidRPr="003B6E11" w:rsidSect="00D45887">
          <w:pgSz w:w="11907" w:h="16840" w:code="9"/>
          <w:pgMar w:top="1418" w:right="1418" w:bottom="1418" w:left="1418" w:header="680" w:footer="680" w:gutter="0"/>
          <w:cols w:space="720"/>
          <w:noEndnote/>
          <w:titlePg/>
        </w:sectPr>
      </w:pPr>
    </w:p>
    <w:p w:rsidR="003B6E11" w:rsidRPr="003B6E11" w:rsidRDefault="003B6E11" w:rsidP="003B6E11">
      <w:pPr>
        <w:spacing w:line="240" w:lineRule="atLeast"/>
        <w:ind w:left="567" w:hanging="567"/>
        <w:rPr>
          <w:lang w:val="cs-CZ"/>
        </w:rPr>
      </w:pPr>
    </w:p>
    <w:p w:rsidR="003B6E11" w:rsidRPr="003B6E11" w:rsidRDefault="003B6E11" w:rsidP="003B6E11">
      <w:pPr>
        <w:pStyle w:val="ES-Titre4"/>
      </w:pPr>
      <w:r w:rsidRPr="003B6E11">
        <w:t>Příloha 1 k pokynu ESI-II-3</w:t>
      </w:r>
    </w:p>
    <w:p w:rsidR="003B6E11" w:rsidRPr="003B6E11" w:rsidRDefault="003B6E11" w:rsidP="003B6E11">
      <w:pPr>
        <w:pStyle w:val="ES-Titre4a"/>
      </w:pPr>
      <w:r w:rsidRPr="003B6E11">
        <w:t>Měření, zaznamenávání a registrace údajů shromážděných během zkoušek zastavovacích manévrů</w:t>
      </w:r>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1.</w:t>
      </w:r>
      <w:r w:rsidRPr="003B6E11">
        <w:rPr>
          <w:lang w:val="cs-CZ"/>
        </w:rPr>
        <w:tab/>
      </w:r>
      <w:r w:rsidRPr="003B6E11">
        <w:rPr>
          <w:b/>
          <w:color w:val="000000"/>
          <w:lang w:val="cs-CZ"/>
        </w:rPr>
        <w:t>Zastavovací manévr</w:t>
      </w:r>
    </w:p>
    <w:p w:rsidR="003B6E11" w:rsidRPr="003B6E11" w:rsidRDefault="003B6E11" w:rsidP="003B6E11">
      <w:pPr>
        <w:spacing w:line="240" w:lineRule="atLeast"/>
        <w:ind w:left="567"/>
        <w:rPr>
          <w:lang w:val="cs-CZ"/>
        </w:rPr>
      </w:pPr>
    </w:p>
    <w:p w:rsidR="003B6E11" w:rsidRPr="003B6E11" w:rsidRDefault="003B6E11" w:rsidP="003B6E11">
      <w:pPr>
        <w:spacing w:line="240" w:lineRule="atLeast"/>
        <w:ind w:left="567"/>
        <w:rPr>
          <w:noProof/>
          <w:lang w:val="cs-CZ"/>
        </w:rPr>
      </w:pPr>
      <w:r w:rsidRPr="003B6E11">
        <w:rPr>
          <w:lang w:val="cs-CZ"/>
        </w:rPr>
        <w:t xml:space="preserve">Lodě a sestavy zmiňované v kapitole 5 musí podstoupit zkoušku v tekoucí nebo stojaté vodě ve zkušební oblasti, aby prokázaly, že jsou schopny zastavit při plavbě po proudu pouze pomocí svého pohonného systému bez použití kotev. Zastavovací manévr se v zásadě provádí podle obrázku 1. V okamžiku, kdy loď pluje konstantní rychlostí co nejbližší hodnotě 13 km/h vzhledem k vodní hladině, se zastavovací manévr zahájí obrácením chodu motorů ze směru vpřed do směru vzad (bod </w:t>
      </w:r>
      <m:oMath>
        <m:r>
          <w:rPr>
            <w:rFonts w:ascii="Cambria Math" w:hAnsi="Cambria Math"/>
            <w:noProof/>
            <w:lang w:val="cs-CZ"/>
          </w:rPr>
          <m:t>A</m:t>
        </m:r>
      </m:oMath>
      <w:r w:rsidRPr="003B6E11">
        <w:rPr>
          <w:lang w:val="cs-CZ"/>
        </w:rPr>
        <w:t xml:space="preserve"> příkazu k zastavení) a je dokončen, když je loď nehybná vzhledem k zemi (bod </w:t>
      </w:r>
      <m:oMath>
        <m:r>
          <w:rPr>
            <w:rFonts w:ascii="Cambria Math" w:hAnsi="Cambria Math"/>
            <w:noProof/>
            <w:lang w:val="cs-CZ"/>
          </w:rPr>
          <m:t>E: v=0</m:t>
        </m:r>
      </m:oMath>
      <w:r w:rsidRPr="003B6E11">
        <w:rPr>
          <w:lang w:val="cs-CZ"/>
        </w:rPr>
        <w:t xml:space="preserve"> vzhledem k zemi nebo bod </w:t>
      </w:r>
      <m:oMath>
        <m:r>
          <w:rPr>
            <w:rFonts w:ascii="Cambria Math" w:hAnsi="Cambria Math"/>
            <w:noProof/>
            <w:lang w:val="cs-CZ"/>
          </w:rPr>
          <m:t>D:=</m:t>
        </m:r>
      </m:oMath>
      <w:r w:rsidRPr="003B6E11">
        <w:rPr>
          <w:lang w:val="cs-CZ"/>
        </w:rPr>
        <w:t xml:space="preserve"> bod </w:t>
      </w:r>
      <m:oMath>
        <m:r>
          <w:rPr>
            <w:rFonts w:ascii="Cambria Math" w:hAnsi="Cambria Math"/>
            <w:noProof/>
            <w:lang w:val="cs-CZ"/>
          </w:rPr>
          <m:t>E: v=0</m:t>
        </m:r>
      </m:oMath>
      <w:r w:rsidRPr="003B6E11">
        <w:rPr>
          <w:lang w:val="cs-CZ"/>
        </w:rPr>
        <w:t xml:space="preserve"> vzhledem k vodní hladině a k zemi, pokud je zastavovací manévr prováděn ve stojaté vodě).</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 xml:space="preserve">Pokud jsou zastavovací manévry prováděny v tekoucí vodě, zaznamená se i poloha a okamžik zastavení vzhledem k vodní hladině (loď pluje rychlostí proudu; bod </w:t>
      </w:r>
      <m:oMath>
        <m:r>
          <w:rPr>
            <w:rFonts w:ascii="Cambria Math" w:hAnsi="Cambria Math"/>
            <w:noProof/>
            <w:lang w:val="cs-CZ"/>
          </w:rPr>
          <m:t>D: v=0</m:t>
        </m:r>
      </m:oMath>
      <w:r w:rsidRPr="003B6E11">
        <w:rPr>
          <w:lang w:val="cs-CZ"/>
        </w:rPr>
        <w:t xml:space="preserve"> vzhledem k vodní hladině).</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Naměřené údaje se uvedou ve zprávě, jak je znázorněno v tabulce 1. Před provedením zastavovacího manévru je třeba do horní části formuláře uvést neměnné údaje.</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Průměrná rychlost proudu (</w:t>
      </w:r>
      <m:oMath>
        <m:sSub>
          <m:sSubPr>
            <m:ctrlPr>
              <w:rPr>
                <w:rFonts w:ascii="Cambria Math" w:hAnsi="Cambria Math" w:cs="Arial"/>
                <w:i/>
                <w:szCs w:val="20"/>
                <w:lang w:val="cs-CZ"/>
              </w:rPr>
            </m:ctrlPr>
          </m:sSubPr>
          <m:e>
            <m:r>
              <w:rPr>
                <w:rFonts w:ascii="Cambria Math" w:hAnsi="Cambria Math" w:cs="Arial"/>
                <w:szCs w:val="20"/>
                <w:lang w:val="cs-CZ"/>
              </w:rPr>
              <m:t>v</m:t>
            </m:r>
          </m:e>
          <m:sub>
            <m:r>
              <w:rPr>
                <w:rFonts w:ascii="Cambria Math" w:hAnsi="Cambria Math" w:cs="Arial"/>
                <w:szCs w:val="20"/>
                <w:lang w:val="cs-CZ"/>
              </w:rPr>
              <m:t>STR</m:t>
            </m:r>
          </m:sub>
        </m:sSub>
      </m:oMath>
      <w:r w:rsidRPr="003B6E11">
        <w:rPr>
          <w:lang w:val="cs-CZ"/>
        </w:rPr>
        <w:t>) v kanále se stanoví podle hodnoty ustanoveného vodoznaku, je-li k dispozici, nebo změřením pohybu plovoucího tělesa a uvede se do zprávy.</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V zásadě je během zastavovacího manévru povoleno použít průtokoměry k určení rychlosti lodi vzhledem k vodní hladině, pokud lze zaznamenat pohyb a požadované údaje v souladu s postupem uvedeným výše.</w:t>
      </w:r>
    </w:p>
    <w:p w:rsidR="003B6E11" w:rsidRPr="003B6E11" w:rsidRDefault="003B6E11" w:rsidP="003B6E11">
      <w:pPr>
        <w:spacing w:line="240" w:lineRule="atLeast"/>
        <w:ind w:left="567"/>
        <w:rPr>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2.</w:t>
      </w:r>
      <w:r w:rsidRPr="003B6E11">
        <w:rPr>
          <w:lang w:val="cs-CZ"/>
        </w:rPr>
        <w:tab/>
      </w:r>
      <w:r w:rsidRPr="003B6E11">
        <w:rPr>
          <w:b/>
          <w:color w:val="000000"/>
          <w:lang w:val="cs-CZ"/>
        </w:rPr>
        <w:t>Registrace naměřených údajů a jejich zaznamenání do zprávy (tabulka 1)</w:t>
      </w:r>
    </w:p>
    <w:p w:rsidR="003B6E11" w:rsidRPr="003B6E11" w:rsidRDefault="003B6E11" w:rsidP="003B6E11">
      <w:pPr>
        <w:tabs>
          <w:tab w:val="left" w:pos="567"/>
        </w:tabs>
        <w:overflowPunct w:val="0"/>
        <w:adjustRightInd w:val="0"/>
        <w:spacing w:line="240" w:lineRule="exact"/>
        <w:ind w:left="567" w:hanging="567"/>
        <w:textAlignment w:val="baseline"/>
        <w:rPr>
          <w:szCs w:val="20"/>
          <w:lang w:val="cs-CZ"/>
        </w:rPr>
      </w:pPr>
    </w:p>
    <w:p w:rsidR="003B6E11" w:rsidRPr="003B6E11" w:rsidRDefault="003B6E11" w:rsidP="003B6E11">
      <w:pPr>
        <w:spacing w:line="240" w:lineRule="atLeast"/>
        <w:ind w:left="567"/>
        <w:rPr>
          <w:noProof/>
          <w:lang w:val="cs-CZ"/>
        </w:rPr>
      </w:pPr>
      <w:r w:rsidRPr="003B6E11">
        <w:rPr>
          <w:lang w:val="cs-CZ"/>
        </w:rPr>
        <w:t>U zastavovacího manévru se musí nejprve určit počáteční rychlost vzhledem k vodní hladině. To lze provést změřením času potřebného k proplutí mezi dvěma značkami na zemi. V tekoucí vodě se musí brát v potaz průměrná rychlost proudu.</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 xml:space="preserve">Zastavovací manévr je zahájen příkazem k zastavení </w:t>
      </w:r>
      <m:oMath>
        <m:r>
          <w:rPr>
            <w:rFonts w:ascii="Cambria Math" w:hAnsi="Cambria Math"/>
            <w:noProof/>
            <w:lang w:val="cs-CZ"/>
          </w:rPr>
          <m:t>A</m:t>
        </m:r>
      </m:oMath>
      <w:r w:rsidRPr="003B6E11">
        <w:rPr>
          <w:lang w:val="cs-CZ"/>
        </w:rPr>
        <w:t>, který se vydá při projíždění kolem značky na zemi. Průjezd kolem značky na zemi se zaznamená kolmo k ose lodi a uvede ve zprávě. Stejným způsobem se během zastavovacího manévru zaznamená i průjezd kolem všech dalších značek na zemi a ve zprávě se uvede každá značka (např. kilometrovník) a čas průjezdu.</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 xml:space="preserve">Naměřené hodnoty se zaznamenají v intervalech 50 m, je-li to možné. V každém případě se zaznamená čas dosažení bodů </w:t>
      </w:r>
      <m:oMath>
        <m:r>
          <w:rPr>
            <w:rFonts w:ascii="Cambria Math" w:hAnsi="Cambria Math"/>
            <w:noProof/>
            <w:lang w:val="cs-CZ"/>
          </w:rPr>
          <m:t>B</m:t>
        </m:r>
      </m:oMath>
      <w:r w:rsidRPr="003B6E11">
        <w:rPr>
          <w:lang w:val="cs-CZ"/>
        </w:rPr>
        <w:t xml:space="preserve"> a </w:t>
      </w:r>
      <m:oMath>
        <m:r>
          <w:rPr>
            <w:rFonts w:ascii="Cambria Math" w:hAnsi="Cambria Math"/>
            <w:noProof/>
            <w:lang w:val="cs-CZ"/>
          </w:rPr>
          <m:t>C</m:t>
        </m:r>
      </m:oMath>
      <w:r w:rsidRPr="003B6E11">
        <w:rPr>
          <w:lang w:val="cs-CZ"/>
        </w:rPr>
        <w:t xml:space="preserve">, je-li to možné, jakož i bodů </w:t>
      </w:r>
      <m:oMath>
        <m:r>
          <w:rPr>
            <w:rFonts w:ascii="Cambria Math" w:hAnsi="Cambria Math"/>
            <w:noProof/>
            <w:lang w:val="cs-CZ"/>
          </w:rPr>
          <m:t>D</m:t>
        </m:r>
      </m:oMath>
      <w:r w:rsidRPr="003B6E11">
        <w:rPr>
          <w:lang w:val="cs-CZ"/>
        </w:rPr>
        <w:t xml:space="preserve"> a </w:t>
      </w:r>
      <m:oMath>
        <m:r>
          <w:rPr>
            <w:rFonts w:ascii="Cambria Math" w:hAnsi="Cambria Math"/>
            <w:noProof/>
            <w:lang w:val="cs-CZ"/>
          </w:rPr>
          <m:t>E</m:t>
        </m:r>
      </m:oMath>
      <w:r w:rsidRPr="003B6E11">
        <w:rPr>
          <w:lang w:val="cs-CZ"/>
        </w:rPr>
        <w:t xml:space="preserve"> a odhadne se vzájemná poloha. Údaje o otáčkách motoru se do zprávy nemusí uvádět, ale měly by se poznamenat pro umožnění přesnější regulace počáteční rychlosti.</w:t>
      </w:r>
    </w:p>
    <w:p w:rsidR="003B6E11" w:rsidRPr="003B6E11" w:rsidRDefault="003B6E11" w:rsidP="003B6E11">
      <w:pPr>
        <w:spacing w:line="240" w:lineRule="atLeast"/>
        <w:ind w:left="567"/>
        <w:rPr>
          <w:szCs w:val="20"/>
          <w:lang w:val="cs-CZ"/>
        </w:rPr>
      </w:pPr>
      <w:r w:rsidRPr="003B6E11">
        <w:rPr>
          <w:lang w:val="cs-CZ"/>
        </w:rPr>
        <w:br w:type="page"/>
      </w: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3.</w:t>
      </w:r>
      <w:r w:rsidRPr="003B6E11">
        <w:rPr>
          <w:lang w:val="cs-CZ"/>
        </w:rPr>
        <w:tab/>
      </w:r>
      <w:r w:rsidRPr="003B6E11">
        <w:rPr>
          <w:b/>
          <w:color w:val="000000"/>
          <w:lang w:val="cs-CZ"/>
        </w:rPr>
        <w:t>Popis zastavovacího manévru</w:t>
      </w:r>
    </w:p>
    <w:p w:rsidR="003B6E11" w:rsidRPr="003B6E11" w:rsidRDefault="003B6E11" w:rsidP="003B6E11">
      <w:pPr>
        <w:tabs>
          <w:tab w:val="left" w:pos="567"/>
        </w:tabs>
        <w:overflowPunct w:val="0"/>
        <w:adjustRightInd w:val="0"/>
        <w:spacing w:line="240" w:lineRule="exact"/>
        <w:ind w:left="567" w:hanging="567"/>
        <w:textAlignment w:val="baseline"/>
        <w:rPr>
          <w:szCs w:val="20"/>
          <w:lang w:val="cs-CZ"/>
        </w:rPr>
      </w:pPr>
    </w:p>
    <w:p w:rsidR="003B6E11" w:rsidRPr="003B6E11" w:rsidRDefault="003B6E11" w:rsidP="003B6E11">
      <w:pPr>
        <w:spacing w:line="240" w:lineRule="atLeast"/>
        <w:ind w:left="567"/>
        <w:rPr>
          <w:lang w:val="cs-CZ"/>
        </w:rPr>
      </w:pPr>
      <w:r w:rsidRPr="003B6E11">
        <w:rPr>
          <w:lang w:val="cs-CZ"/>
        </w:rPr>
        <w:t xml:space="preserve">Zastavovací manévr podle obrázku 1 se znázorní v grafu. Nejprve se v grafu vynese křivka pohybu v čase za použití naměřených hodnot uvedených ve zprávě o zkoušce a vyznačí se body </w:t>
      </w:r>
      <m:oMath>
        <m:r>
          <w:rPr>
            <w:rFonts w:ascii="Cambria Math" w:hAnsi="Cambria Math"/>
            <w:noProof/>
            <w:lang w:val="cs-CZ"/>
          </w:rPr>
          <m:t>A</m:t>
        </m:r>
      </m:oMath>
      <w:r w:rsidRPr="003B6E11">
        <w:rPr>
          <w:lang w:val="cs-CZ"/>
        </w:rPr>
        <w:t xml:space="preserve"> až </w:t>
      </w:r>
      <m:oMath>
        <m:r>
          <w:rPr>
            <w:rFonts w:ascii="Cambria Math" w:hAnsi="Cambria Math"/>
            <w:noProof/>
            <w:lang w:val="cs-CZ"/>
          </w:rPr>
          <m:t>E</m:t>
        </m:r>
      </m:oMath>
      <w:r w:rsidRPr="003B6E11">
        <w:rPr>
          <w:lang w:val="cs-CZ"/>
        </w:rPr>
        <w:t>. Poté bude možné určit průměrnou rychlost mezi dvěma body měření a sestavit graf znázorňující vývoj rychlosti v čase.</w:t>
      </w:r>
    </w:p>
    <w:p w:rsidR="003B6E11" w:rsidRPr="003B6E11" w:rsidRDefault="003B6E11" w:rsidP="003B6E11">
      <w:pPr>
        <w:spacing w:line="240" w:lineRule="atLeast"/>
        <w:ind w:left="567"/>
        <w:rPr>
          <w:lang w:val="cs-CZ"/>
        </w:rPr>
      </w:pPr>
    </w:p>
    <w:p w:rsidR="003B6E11" w:rsidRPr="003B6E11" w:rsidRDefault="003B6E11" w:rsidP="003B6E11">
      <w:pPr>
        <w:spacing w:line="240" w:lineRule="atLeast"/>
        <w:ind w:left="567"/>
        <w:rPr>
          <w:lang w:val="cs-CZ"/>
        </w:rPr>
      </w:pPr>
      <w:r w:rsidRPr="003B6E11">
        <w:rPr>
          <w:lang w:val="cs-CZ"/>
        </w:rPr>
        <w:t>To se provede takto (viz obrázek 1):</w:t>
      </w:r>
    </w:p>
    <w:p w:rsidR="003B6E11" w:rsidRPr="003B6E11" w:rsidRDefault="003B6E11" w:rsidP="003B6E11">
      <w:pPr>
        <w:spacing w:line="240" w:lineRule="atLeast"/>
        <w:ind w:left="567"/>
        <w:rPr>
          <w:lang w:val="cs-CZ"/>
        </w:rPr>
      </w:pPr>
    </w:p>
    <w:p w:rsidR="003B6E11" w:rsidRPr="003B6E11" w:rsidRDefault="003B6E11" w:rsidP="003B6E11">
      <w:pPr>
        <w:spacing w:line="240" w:lineRule="atLeast"/>
        <w:ind w:left="567"/>
        <w:rPr>
          <w:lang w:val="cs-CZ"/>
        </w:rPr>
      </w:pPr>
      <w:r w:rsidRPr="003B6E11">
        <w:rPr>
          <w:lang w:val="cs-CZ"/>
        </w:rPr>
        <w:t xml:space="preserve">Určením kvocientu (podílu) rozdílu polohy k rozdílu v čase </w:t>
      </w:r>
      <m:oMath>
        <m:r>
          <w:rPr>
            <w:rFonts w:ascii="Cambria Math" w:hAnsi="Cambria Math"/>
            <w:lang w:val="cs-CZ"/>
          </w:rPr>
          <m:t>Δs/Δt</m:t>
        </m:r>
      </m:oMath>
      <w:r w:rsidRPr="003B6E11">
        <w:rPr>
          <w:lang w:val="cs-CZ"/>
        </w:rPr>
        <w:t xml:space="preserve"> lze vypočítat průměrnou rychlost lodi v tomto časovém intervalu.</w:t>
      </w:r>
    </w:p>
    <w:p w:rsidR="003B6E11" w:rsidRPr="003B6E11" w:rsidRDefault="003B6E11" w:rsidP="003B6E11">
      <w:pPr>
        <w:spacing w:line="240" w:lineRule="atLeast"/>
        <w:ind w:left="567"/>
        <w:rPr>
          <w:lang w:val="cs-CZ"/>
        </w:rPr>
      </w:pPr>
    </w:p>
    <w:p w:rsidR="003B6E11" w:rsidRPr="003B6E11" w:rsidRDefault="003B6E11" w:rsidP="003B6E11">
      <w:pPr>
        <w:spacing w:line="240" w:lineRule="atLeast"/>
        <w:ind w:left="567"/>
        <w:rPr>
          <w:lang w:val="cs-CZ"/>
        </w:rPr>
      </w:pPr>
      <w:r w:rsidRPr="003B6E11">
        <w:rPr>
          <w:lang w:val="cs-CZ"/>
        </w:rPr>
        <w:t>Během intervalu 0 s a 10 s je ujeta vzdálenost od 0 m do 50 m.</w:t>
      </w:r>
    </w:p>
    <w:p w:rsidR="003B6E11" w:rsidRPr="003B6E11" w:rsidRDefault="003B6E11" w:rsidP="003B6E11">
      <w:pPr>
        <w:tabs>
          <w:tab w:val="left" w:pos="567"/>
        </w:tabs>
        <w:overflowPunct w:val="0"/>
        <w:adjustRightInd w:val="0"/>
        <w:spacing w:line="240" w:lineRule="exact"/>
        <w:ind w:left="567" w:hanging="567"/>
        <w:textAlignment w:val="baseline"/>
        <w:rPr>
          <w:szCs w:val="20"/>
          <w:lang w:val="cs-CZ"/>
        </w:rPr>
      </w:pPr>
    </w:p>
    <w:p w:rsidR="003B6E11" w:rsidRPr="003B6E11" w:rsidRDefault="003B6E11" w:rsidP="003B6E11">
      <w:pPr>
        <w:spacing w:line="240" w:lineRule="atLeast"/>
        <w:ind w:left="567"/>
        <w:jc w:val="center"/>
        <w:rPr>
          <w:lang w:val="cs-CZ"/>
        </w:rPr>
      </w:pPr>
      <m:oMath>
        <m:r>
          <w:rPr>
            <w:rFonts w:ascii="Cambria Math" w:hAnsi="Cambria Math"/>
            <w:i/>
            <w:lang w:val="cs-CZ"/>
          </w:rPr>
          <w:sym w:font="Symbol" w:char="F044"/>
        </m:r>
        <m:r>
          <w:rPr>
            <w:rFonts w:ascii="Cambria Math" w:hAnsi="Cambria Math"/>
            <w:lang w:val="cs-CZ"/>
          </w:rPr>
          <m:t>s/</m:t>
        </m:r>
        <m:r>
          <w:rPr>
            <w:rFonts w:ascii="Cambria Math" w:hAnsi="Cambria Math"/>
            <w:i/>
            <w:lang w:val="cs-CZ"/>
          </w:rPr>
          <w:sym w:font="Symbol" w:char="F044"/>
        </m:r>
        <m:r>
          <w:rPr>
            <w:rFonts w:ascii="Cambria Math" w:hAnsi="Cambria Math"/>
            <w:lang w:val="cs-CZ"/>
          </w:rPr>
          <m:t>t</m:t>
        </m:r>
      </m:oMath>
      <w:r w:rsidRPr="003B6E11">
        <w:rPr>
          <w:lang w:val="cs-CZ"/>
        </w:rPr>
        <w:t xml:space="preserve"> = 50 m/10 s = 5,0 m/s = 18,0 km/h</w:t>
      </w:r>
    </w:p>
    <w:p w:rsidR="003B6E11" w:rsidRPr="003B6E11" w:rsidRDefault="003B6E11" w:rsidP="003B6E11">
      <w:pPr>
        <w:spacing w:line="240" w:lineRule="atLeast"/>
        <w:ind w:left="567"/>
        <w:rPr>
          <w:lang w:val="cs-CZ"/>
        </w:rPr>
      </w:pPr>
    </w:p>
    <w:p w:rsidR="003B6E11" w:rsidRPr="003B6E11" w:rsidRDefault="003B6E11" w:rsidP="003B6E11">
      <w:pPr>
        <w:spacing w:line="240" w:lineRule="atLeast"/>
        <w:ind w:left="567"/>
        <w:rPr>
          <w:lang w:val="cs-CZ"/>
        </w:rPr>
      </w:pPr>
      <w:r w:rsidRPr="003B6E11">
        <w:rPr>
          <w:lang w:val="cs-CZ"/>
        </w:rPr>
        <w:t xml:space="preserve">Tato hodnota se uvede jako průměrná rychlost k souřadnici 5 sekund na vodorovné ose. </w:t>
      </w:r>
    </w:p>
    <w:p w:rsidR="003B6E11" w:rsidRPr="003B6E11" w:rsidRDefault="003B6E11" w:rsidP="003B6E11">
      <w:pPr>
        <w:spacing w:line="240" w:lineRule="atLeast"/>
        <w:ind w:left="567"/>
        <w:rPr>
          <w:lang w:val="cs-CZ"/>
        </w:rPr>
      </w:pPr>
    </w:p>
    <w:p w:rsidR="003B6E11" w:rsidRPr="003B6E11" w:rsidRDefault="003B6E11" w:rsidP="003B6E11">
      <w:pPr>
        <w:spacing w:line="240" w:lineRule="atLeast"/>
        <w:ind w:left="567"/>
        <w:rPr>
          <w:lang w:val="cs-CZ"/>
        </w:rPr>
      </w:pPr>
      <w:r w:rsidRPr="003B6E11">
        <w:rPr>
          <w:lang w:val="cs-CZ"/>
        </w:rPr>
        <w:t>Během druhého intervalu, od 10 s do 20 s, je ujeta vzdálenost 45 m.</w:t>
      </w:r>
    </w:p>
    <w:p w:rsidR="003B6E11" w:rsidRPr="003B6E11" w:rsidRDefault="003B6E11" w:rsidP="003B6E11">
      <w:pPr>
        <w:spacing w:line="240" w:lineRule="atLeast"/>
        <w:ind w:left="567"/>
        <w:rPr>
          <w:lang w:val="cs-CZ"/>
        </w:rPr>
      </w:pPr>
    </w:p>
    <w:p w:rsidR="003B6E11" w:rsidRPr="003B6E11" w:rsidRDefault="003B6E11" w:rsidP="003B6E11">
      <w:pPr>
        <w:spacing w:line="240" w:lineRule="atLeast"/>
        <w:ind w:left="567"/>
        <w:jc w:val="center"/>
        <w:rPr>
          <w:lang w:val="cs-CZ"/>
        </w:rPr>
      </w:pPr>
      <m:oMath>
        <m:r>
          <w:rPr>
            <w:rFonts w:ascii="Cambria Math" w:hAnsi="Cambria Math"/>
            <w:i/>
            <w:lang w:val="cs-CZ"/>
          </w:rPr>
          <w:sym w:font="Symbol" w:char="F044"/>
        </m:r>
        <m:r>
          <w:rPr>
            <w:rFonts w:ascii="Cambria Math" w:hAnsi="Cambria Math"/>
            <w:lang w:val="cs-CZ"/>
          </w:rPr>
          <m:t>s/</m:t>
        </m:r>
        <m:r>
          <w:rPr>
            <w:rFonts w:ascii="Cambria Math" w:hAnsi="Cambria Math"/>
            <w:i/>
            <w:lang w:val="cs-CZ"/>
          </w:rPr>
          <w:sym w:font="Symbol" w:char="F044"/>
        </m:r>
        <m:r>
          <w:rPr>
            <w:rFonts w:ascii="Cambria Math" w:hAnsi="Cambria Math"/>
            <w:lang w:val="cs-CZ"/>
          </w:rPr>
          <m:t>t</m:t>
        </m:r>
      </m:oMath>
      <w:r w:rsidRPr="003B6E11">
        <w:rPr>
          <w:lang w:val="cs-CZ"/>
        </w:rPr>
        <w:t xml:space="preserve"> = 45 m/10 s = 4,5 m/s = 16,2 km/h</w:t>
      </w:r>
    </w:p>
    <w:p w:rsidR="003B6E11" w:rsidRPr="003B6E11" w:rsidRDefault="003B6E11" w:rsidP="003B6E11">
      <w:pPr>
        <w:spacing w:line="240" w:lineRule="atLeast"/>
        <w:ind w:left="567"/>
        <w:rPr>
          <w:lang w:val="cs-CZ"/>
        </w:rPr>
      </w:pPr>
    </w:p>
    <w:p w:rsidR="003B6E11" w:rsidRPr="003B6E11" w:rsidRDefault="003B6E11" w:rsidP="003B6E11">
      <w:pPr>
        <w:spacing w:line="240" w:lineRule="atLeast"/>
        <w:ind w:left="567"/>
        <w:rPr>
          <w:lang w:val="cs-CZ"/>
        </w:rPr>
      </w:pPr>
      <w:r w:rsidRPr="003B6E11">
        <w:rPr>
          <w:lang w:val="cs-CZ"/>
        </w:rPr>
        <w:t xml:space="preserve">U značky </w:t>
      </w:r>
      <m:oMath>
        <m:r>
          <w:rPr>
            <w:rFonts w:ascii="Cambria Math" w:hAnsi="Cambria Math"/>
            <w:lang w:val="cs-CZ"/>
          </w:rPr>
          <m:t>D</m:t>
        </m:r>
      </m:oMath>
      <w:r w:rsidRPr="003B6E11">
        <w:rPr>
          <w:lang w:val="cs-CZ"/>
        </w:rPr>
        <w:t xml:space="preserve"> se loď zastavila vzhledem k vodní hladině, tj. rychlost proudu je přibližně 5 km/h.</w:t>
      </w:r>
    </w:p>
    <w:p w:rsidR="003B6E11" w:rsidRPr="003B6E11" w:rsidRDefault="003B6E11" w:rsidP="003B6E11">
      <w:pPr>
        <w:tabs>
          <w:tab w:val="left" w:pos="567"/>
        </w:tabs>
        <w:overflowPunct w:val="0"/>
        <w:adjustRightInd w:val="0"/>
        <w:spacing w:line="240" w:lineRule="exact"/>
        <w:ind w:left="567" w:hanging="567"/>
        <w:textAlignment w:val="baseline"/>
        <w:rPr>
          <w:szCs w:val="20"/>
          <w:lang w:val="cs-CZ"/>
        </w:rPr>
      </w:pPr>
    </w:p>
    <w:p w:rsidR="003B6E11" w:rsidRPr="003B6E11" w:rsidRDefault="003B6E11" w:rsidP="003B6E11">
      <w:pPr>
        <w:overflowPunct w:val="0"/>
        <w:adjustRightInd w:val="0"/>
        <w:jc w:val="center"/>
        <w:textAlignment w:val="baseline"/>
        <w:rPr>
          <w:b/>
          <w:szCs w:val="20"/>
          <w:lang w:val="cs-CZ"/>
        </w:rPr>
      </w:pPr>
      <w:r w:rsidRPr="003B6E11">
        <w:rPr>
          <w:lang w:val="cs-CZ"/>
        </w:rPr>
        <w:br w:type="page"/>
      </w:r>
      <w:r w:rsidRPr="003B6E11">
        <w:rPr>
          <w:b/>
          <w:lang w:val="cs-CZ"/>
        </w:rPr>
        <w:t>Obrázek 1: Zastavovací manévr</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jc w:val="center"/>
        <w:textAlignment w:val="baseline"/>
        <w:rPr>
          <w:rFonts w:ascii="Times New Roman" w:hAnsi="Times New Roman"/>
          <w:szCs w:val="20"/>
          <w:lang w:val="cs-CZ"/>
        </w:rPr>
      </w:pPr>
      <w:r w:rsidRPr="003B6E11">
        <w:rPr>
          <w:rFonts w:ascii="Times New Roman" w:hAnsi="Times New Roman"/>
          <w:noProof/>
          <w:szCs w:val="20"/>
          <w:lang w:eastAsia="en-GB"/>
        </w:rPr>
        <w:drawing>
          <wp:inline distT="0" distB="0" distL="0" distR="0" wp14:anchorId="3ED47E2F" wp14:editId="78F9ACB5">
            <wp:extent cx="5372100" cy="3533775"/>
            <wp:effectExtent l="0" t="0" r="0" b="9525"/>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72100" cy="3533775"/>
                    </a:xfrm>
                    <a:prstGeom prst="rect">
                      <a:avLst/>
                    </a:prstGeom>
                    <a:noFill/>
                    <a:ln>
                      <a:noFill/>
                    </a:ln>
                  </pic:spPr>
                </pic:pic>
              </a:graphicData>
            </a:graphic>
          </wp:inline>
        </w:drawing>
      </w:r>
    </w:p>
    <w:p w:rsidR="003B6E11" w:rsidRPr="003B6E11" w:rsidRDefault="003B6E11" w:rsidP="003B6E11">
      <w:pPr>
        <w:tabs>
          <w:tab w:val="left" w:pos="284"/>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284"/>
        </w:tabs>
        <w:overflowPunct w:val="0"/>
        <w:adjustRightInd w:val="0"/>
        <w:spacing w:line="240" w:lineRule="exact"/>
        <w:ind w:left="284" w:hanging="284"/>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Vysvětlení symbolů v obrázku 1</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tabs>
          <w:tab w:val="left" w:pos="851"/>
          <w:tab w:val="left" w:pos="4820"/>
          <w:tab w:val="left" w:pos="5245"/>
        </w:tabs>
        <w:overflowPunct w:val="0"/>
        <w:adjustRightInd w:val="0"/>
        <w:spacing w:after="120" w:line="240" w:lineRule="exact"/>
        <w:textAlignment w:val="baseline"/>
        <w:rPr>
          <w:szCs w:val="20"/>
          <w:lang w:val="cs-CZ"/>
        </w:rPr>
      </w:pPr>
      <m:oMath>
        <m:r>
          <w:rPr>
            <w:rFonts w:ascii="Cambria Math" w:hAnsi="Cambria Math"/>
            <w:szCs w:val="20"/>
            <w:lang w:val="cs-CZ"/>
          </w:rPr>
          <m:t>A</m:t>
        </m:r>
      </m:oMath>
      <w:r w:rsidRPr="003B6E11">
        <w:rPr>
          <w:lang w:val="cs-CZ"/>
        </w:rPr>
        <w:tab/>
        <w:t>příkaz k zastavení</w:t>
      </w:r>
      <w:r w:rsidRPr="003B6E11">
        <w:rPr>
          <w:lang w:val="cs-CZ"/>
        </w:rPr>
        <w:tab/>
      </w:r>
      <m:oMath>
        <m:r>
          <w:rPr>
            <w:rFonts w:ascii="Cambria Math" w:hAnsi="Cambria Math"/>
            <w:szCs w:val="20"/>
            <w:lang w:val="cs-CZ"/>
          </w:rPr>
          <m:t>v</m:t>
        </m:r>
      </m:oMath>
      <w:r w:rsidRPr="003B6E11">
        <w:rPr>
          <w:lang w:val="cs-CZ"/>
        </w:rPr>
        <w:tab/>
        <w:t>rychlost lodi</w:t>
      </w:r>
    </w:p>
    <w:p w:rsidR="003B6E11" w:rsidRPr="003B6E11" w:rsidRDefault="003B6E11" w:rsidP="003B6E11">
      <w:pPr>
        <w:tabs>
          <w:tab w:val="left" w:pos="851"/>
          <w:tab w:val="left" w:pos="4820"/>
          <w:tab w:val="left" w:pos="5245"/>
        </w:tabs>
        <w:overflowPunct w:val="0"/>
        <w:adjustRightInd w:val="0"/>
        <w:spacing w:after="120" w:line="240" w:lineRule="exact"/>
        <w:textAlignment w:val="baseline"/>
        <w:rPr>
          <w:szCs w:val="20"/>
          <w:lang w:val="cs-CZ"/>
        </w:rPr>
      </w:pPr>
      <m:oMath>
        <m:r>
          <w:rPr>
            <w:rFonts w:ascii="Cambria Math" w:hAnsi="Cambria Math"/>
            <w:szCs w:val="20"/>
            <w:lang w:val="cs-CZ"/>
          </w:rPr>
          <m:t>B</m:t>
        </m:r>
      </m:oMath>
      <w:r w:rsidRPr="003B6E11">
        <w:rPr>
          <w:lang w:val="cs-CZ"/>
        </w:rPr>
        <w:tab/>
        <w:t>lodní vrtule zastavena</w:t>
      </w:r>
      <w:r w:rsidRPr="003B6E11">
        <w:rPr>
          <w:lang w:val="cs-CZ"/>
        </w:rPr>
        <w:tab/>
      </w:r>
      <m:oMath>
        <m:r>
          <w:rPr>
            <w:rFonts w:ascii="Cambria Math" w:hAnsi="Cambria Math"/>
            <w:szCs w:val="20"/>
            <w:lang w:val="cs-CZ"/>
          </w:rPr>
          <m:t>v</m:t>
        </m:r>
        <m:r>
          <w:rPr>
            <w:rFonts w:ascii="Cambria Math" w:hAnsi="Cambria Math"/>
            <w:position w:val="-6"/>
            <w:sz w:val="16"/>
            <w:szCs w:val="20"/>
            <w:lang w:val="cs-CZ"/>
          </w:rPr>
          <m:t>L</m:t>
        </m:r>
      </m:oMath>
      <w:r w:rsidRPr="003B6E11">
        <w:rPr>
          <w:lang w:val="cs-CZ"/>
        </w:rPr>
        <w:tab/>
      </w:r>
      <m:oMath>
        <m:r>
          <w:rPr>
            <w:rFonts w:ascii="Cambria Math" w:hAnsi="Cambria Math"/>
            <w:szCs w:val="20"/>
            <w:lang w:val="cs-CZ"/>
          </w:rPr>
          <m:t>v</m:t>
        </m:r>
      </m:oMath>
      <w:r w:rsidRPr="003B6E11">
        <w:rPr>
          <w:lang w:val="cs-CZ"/>
        </w:rPr>
        <w:t xml:space="preserve"> vzhledem k zemi</w:t>
      </w:r>
    </w:p>
    <w:p w:rsidR="003B6E11" w:rsidRPr="003B6E11" w:rsidRDefault="003B6E11" w:rsidP="003B6E11">
      <w:pPr>
        <w:tabs>
          <w:tab w:val="left" w:pos="851"/>
          <w:tab w:val="left" w:pos="4820"/>
          <w:tab w:val="left" w:pos="5245"/>
        </w:tabs>
        <w:overflowPunct w:val="0"/>
        <w:adjustRightInd w:val="0"/>
        <w:spacing w:after="120" w:line="240" w:lineRule="exact"/>
        <w:textAlignment w:val="baseline"/>
        <w:rPr>
          <w:szCs w:val="20"/>
          <w:lang w:val="cs-CZ"/>
        </w:rPr>
      </w:pPr>
      <m:oMath>
        <m:r>
          <w:rPr>
            <w:rFonts w:ascii="Cambria Math" w:hAnsi="Cambria Math"/>
            <w:szCs w:val="20"/>
            <w:lang w:val="cs-CZ"/>
          </w:rPr>
          <m:t>C</m:t>
        </m:r>
      </m:oMath>
      <w:r w:rsidRPr="003B6E11">
        <w:rPr>
          <w:lang w:val="cs-CZ"/>
        </w:rPr>
        <w:tab/>
        <w:t>lodní vrtule na zpětný chod</w:t>
      </w:r>
      <w:r w:rsidRPr="003B6E11">
        <w:rPr>
          <w:lang w:val="cs-CZ"/>
        </w:rPr>
        <w:tab/>
      </w:r>
      <m:oMath>
        <m:r>
          <w:rPr>
            <w:rFonts w:ascii="Cambria Math" w:hAnsi="Cambria Math"/>
            <w:szCs w:val="20"/>
            <w:lang w:val="cs-CZ"/>
          </w:rPr>
          <m:t>s</m:t>
        </m:r>
      </m:oMath>
      <w:r w:rsidRPr="003B6E11">
        <w:rPr>
          <w:lang w:val="cs-CZ"/>
        </w:rPr>
        <w:t xml:space="preserve"> </w:t>
      </w:r>
      <w:r w:rsidRPr="003B6E11">
        <w:rPr>
          <w:lang w:val="cs-CZ"/>
        </w:rPr>
        <w:tab/>
        <w:t>vzdálenost ujetá vzhledem k zemi</w:t>
      </w:r>
    </w:p>
    <w:p w:rsidR="003B6E11" w:rsidRPr="003B6E11" w:rsidRDefault="003B6E11" w:rsidP="003B6E11">
      <w:pPr>
        <w:tabs>
          <w:tab w:val="left" w:pos="851"/>
          <w:tab w:val="left" w:pos="4820"/>
          <w:tab w:val="left" w:pos="5245"/>
        </w:tabs>
        <w:overflowPunct w:val="0"/>
        <w:adjustRightInd w:val="0"/>
        <w:spacing w:after="120" w:line="240" w:lineRule="exact"/>
        <w:textAlignment w:val="baseline"/>
        <w:rPr>
          <w:szCs w:val="20"/>
          <w:lang w:val="cs-CZ"/>
        </w:rPr>
      </w:pPr>
      <m:oMath>
        <m:r>
          <w:rPr>
            <w:rFonts w:ascii="Cambria Math" w:hAnsi="Cambria Math"/>
            <w:szCs w:val="20"/>
            <w:lang w:val="cs-CZ"/>
          </w:rPr>
          <m:t>D</m:t>
        </m:r>
      </m:oMath>
      <w:r w:rsidRPr="003B6E11">
        <w:rPr>
          <w:lang w:val="cs-CZ"/>
        </w:rPr>
        <w:tab/>
      </w:r>
      <m:oMath>
        <m:r>
          <w:rPr>
            <w:rFonts w:ascii="Cambria Math" w:hAnsi="Cambria Math"/>
            <w:szCs w:val="20"/>
            <w:lang w:val="cs-CZ"/>
          </w:rPr>
          <m:t>v=0</m:t>
        </m:r>
      </m:oMath>
      <w:r w:rsidRPr="003B6E11">
        <w:rPr>
          <w:lang w:val="cs-CZ"/>
        </w:rPr>
        <w:t xml:space="preserve"> vzhledem k vodní hladině</w:t>
      </w:r>
      <w:r w:rsidRPr="003B6E11">
        <w:rPr>
          <w:lang w:val="cs-CZ"/>
        </w:rPr>
        <w:tab/>
      </w:r>
      <m:oMath>
        <m:r>
          <w:rPr>
            <w:rFonts w:ascii="Cambria Math" w:hAnsi="Cambria Math"/>
            <w:szCs w:val="20"/>
            <w:lang w:val="cs-CZ"/>
          </w:rPr>
          <m:t>t</m:t>
        </m:r>
      </m:oMath>
      <w:r w:rsidRPr="003B6E11">
        <w:rPr>
          <w:lang w:val="cs-CZ"/>
        </w:rPr>
        <w:tab/>
        <w:t>naměřený čas</w:t>
      </w:r>
    </w:p>
    <w:p w:rsidR="003B6E11" w:rsidRPr="003B6E11" w:rsidRDefault="003B6E11" w:rsidP="003B6E11">
      <w:pPr>
        <w:tabs>
          <w:tab w:val="left" w:pos="851"/>
          <w:tab w:val="left" w:pos="5103"/>
          <w:tab w:val="left" w:pos="5670"/>
        </w:tabs>
        <w:overflowPunct w:val="0"/>
        <w:adjustRightInd w:val="0"/>
        <w:spacing w:after="120" w:line="240" w:lineRule="exact"/>
        <w:textAlignment w:val="baseline"/>
        <w:rPr>
          <w:szCs w:val="20"/>
          <w:lang w:val="cs-CZ"/>
        </w:rPr>
      </w:pPr>
      <m:oMath>
        <m:r>
          <w:rPr>
            <w:rFonts w:ascii="Cambria Math" w:hAnsi="Cambria Math"/>
            <w:szCs w:val="20"/>
            <w:lang w:val="cs-CZ"/>
          </w:rPr>
          <m:t>E</m:t>
        </m:r>
      </m:oMath>
      <w:r w:rsidRPr="003B6E11">
        <w:rPr>
          <w:lang w:val="cs-CZ"/>
        </w:rPr>
        <w:tab/>
      </w:r>
      <m:oMath>
        <m:r>
          <w:rPr>
            <w:rFonts w:ascii="Cambria Math" w:hAnsi="Cambria Math"/>
            <w:szCs w:val="20"/>
            <w:lang w:val="cs-CZ"/>
          </w:rPr>
          <m:t>v=0</m:t>
        </m:r>
      </m:oMath>
      <w:r w:rsidRPr="003B6E11">
        <w:rPr>
          <w:lang w:val="cs-CZ"/>
        </w:rPr>
        <w:t xml:space="preserve"> vzhledem k zemi</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sectPr w:rsidR="003B6E11" w:rsidRPr="003B6E11" w:rsidSect="00D45887">
          <w:headerReference w:type="default" r:id="rId117"/>
          <w:headerReference w:type="first" r:id="rId118"/>
          <w:pgSz w:w="11907" w:h="16840" w:code="9"/>
          <w:pgMar w:top="1418" w:right="1418" w:bottom="1418" w:left="1418" w:header="680" w:footer="680" w:gutter="0"/>
          <w:cols w:space="720"/>
          <w:noEndnote/>
          <w:titlePg/>
        </w:sectPr>
      </w:pPr>
    </w:p>
    <w:p w:rsidR="003B6E11" w:rsidRPr="003B6E11" w:rsidRDefault="003B6E11" w:rsidP="003B6E11">
      <w:pPr>
        <w:tabs>
          <w:tab w:val="left" w:pos="4536"/>
          <w:tab w:val="left" w:pos="4896"/>
          <w:tab w:val="right" w:pos="5670"/>
          <w:tab w:val="left" w:pos="10632"/>
          <w:tab w:val="right" w:pos="11482"/>
          <w:tab w:val="left" w:leader="dot" w:pos="14459"/>
        </w:tabs>
        <w:overflowPunct w:val="0"/>
        <w:adjustRightInd w:val="0"/>
        <w:spacing w:line="240" w:lineRule="exact"/>
        <w:textAlignment w:val="baseline"/>
        <w:rPr>
          <w:szCs w:val="20"/>
          <w:lang w:val="cs-CZ"/>
        </w:rPr>
      </w:pPr>
      <w:r w:rsidRPr="003B6E11">
        <w:rPr>
          <w:lang w:val="cs-CZ"/>
        </w:rPr>
        <w:t xml:space="preserve">Prohlídka </w:t>
      </w:r>
      <w:r w:rsidRPr="003B6E11">
        <w:rPr>
          <w:lang w:val="cs-CZ"/>
        </w:rPr>
        <w:tab/>
        <w:t>Druh lodi</w:t>
      </w:r>
      <w:r w:rsidRPr="003B6E11">
        <w:rPr>
          <w:lang w:val="cs-CZ"/>
        </w:rPr>
        <w:tab/>
        <w:t>Zkušební oblast:</w:t>
      </w:r>
      <w:r w:rsidRPr="003B6E11">
        <w:rPr>
          <w:lang w:val="cs-CZ"/>
        </w:rPr>
        <w:tab/>
      </w:r>
    </w:p>
    <w:p w:rsidR="003B6E11" w:rsidRPr="003B6E11" w:rsidRDefault="003B6E11" w:rsidP="003B6E11">
      <w:pPr>
        <w:tabs>
          <w:tab w:val="left" w:leader="dot" w:pos="3544"/>
          <w:tab w:val="left" w:pos="4536"/>
          <w:tab w:val="left" w:pos="4896"/>
          <w:tab w:val="right" w:pos="6237"/>
          <w:tab w:val="left" w:leader="dot" w:pos="9639"/>
          <w:tab w:val="left" w:pos="10632"/>
          <w:tab w:val="left" w:leader="dot" w:pos="14459"/>
        </w:tabs>
        <w:overflowPunct w:val="0"/>
        <w:adjustRightInd w:val="0"/>
        <w:spacing w:after="80" w:line="240" w:lineRule="exact"/>
        <w:textAlignment w:val="baseline"/>
        <w:rPr>
          <w:szCs w:val="20"/>
          <w:lang w:val="cs-CZ"/>
        </w:rPr>
      </w:pPr>
      <w:r w:rsidRPr="003B6E11">
        <w:rPr>
          <w:lang w:val="cs-CZ"/>
        </w:rPr>
        <w:t xml:space="preserve">Subjekt: </w:t>
      </w:r>
      <w:r w:rsidRPr="003B6E11">
        <w:rPr>
          <w:lang w:val="cs-CZ"/>
        </w:rPr>
        <w:tab/>
      </w:r>
      <w:r w:rsidRPr="003B6E11">
        <w:rPr>
          <w:lang w:val="cs-CZ"/>
        </w:rPr>
        <w:tab/>
        <w:t xml:space="preserve">nebo sestavy: </w:t>
      </w:r>
      <w:r w:rsidRPr="003B6E11">
        <w:rPr>
          <w:lang w:val="cs-CZ"/>
        </w:rPr>
        <w:tab/>
      </w:r>
      <w:r w:rsidRPr="003B6E11">
        <w:rPr>
          <w:lang w:val="cs-CZ"/>
        </w:rPr>
        <w:tab/>
      </w:r>
      <w:r w:rsidRPr="003B6E11">
        <w:rPr>
          <w:lang w:val="cs-CZ"/>
        </w:rPr>
        <w:tab/>
        <w:t xml:space="preserve">Hodnota vodoznaku [m]: </w:t>
      </w:r>
      <w:r w:rsidRPr="003B6E11">
        <w:rPr>
          <w:lang w:val="cs-CZ"/>
        </w:rPr>
        <w:tab/>
      </w:r>
    </w:p>
    <w:p w:rsidR="003B6E11" w:rsidRPr="003B6E11" w:rsidRDefault="003B6E11" w:rsidP="003B6E11">
      <w:pPr>
        <w:tabs>
          <w:tab w:val="left" w:leader="dot" w:pos="3544"/>
          <w:tab w:val="left" w:pos="4536"/>
          <w:tab w:val="left" w:pos="4896"/>
          <w:tab w:val="right" w:pos="6237"/>
          <w:tab w:val="left" w:leader="dot" w:pos="9639"/>
          <w:tab w:val="left" w:pos="10632"/>
          <w:tab w:val="right" w:pos="12333"/>
          <w:tab w:val="left" w:leader="dot" w:pos="14459"/>
        </w:tabs>
        <w:overflowPunct w:val="0"/>
        <w:adjustRightInd w:val="0"/>
        <w:spacing w:after="80" w:line="240" w:lineRule="exact"/>
        <w:textAlignment w:val="baseline"/>
        <w:rPr>
          <w:szCs w:val="20"/>
          <w:lang w:val="cs-CZ"/>
        </w:rPr>
      </w:pPr>
      <w:r w:rsidRPr="003B6E11">
        <w:rPr>
          <w:lang w:val="cs-CZ"/>
        </w:rPr>
        <w:t xml:space="preserve">Datum: </w:t>
      </w:r>
      <w:r w:rsidRPr="003B6E11">
        <w:rPr>
          <w:lang w:val="cs-CZ"/>
        </w:rPr>
        <w:tab/>
      </w:r>
      <w:r w:rsidRPr="003B6E11">
        <w:rPr>
          <w:lang w:val="cs-CZ"/>
        </w:rPr>
        <w:tab/>
      </w:r>
      <m:oMath>
        <m:r>
          <w:rPr>
            <w:rFonts w:ascii="Cambria Math" w:hAnsi="Cambria Math"/>
            <w:szCs w:val="20"/>
            <w:lang w:val="cs-CZ"/>
          </w:rPr>
          <m:t>L × B</m:t>
        </m:r>
      </m:oMath>
      <w:r w:rsidRPr="003B6E11">
        <w:rPr>
          <w:lang w:val="cs-CZ"/>
        </w:rPr>
        <w:t xml:space="preserve"> [m]:</w:t>
      </w:r>
      <w:r w:rsidRPr="003B6E11">
        <w:rPr>
          <w:lang w:val="cs-CZ"/>
        </w:rPr>
        <w:tab/>
        <w:t xml:space="preserve">: </w:t>
      </w:r>
      <w:r w:rsidRPr="003B6E11">
        <w:rPr>
          <w:lang w:val="cs-CZ"/>
        </w:rPr>
        <w:tab/>
      </w:r>
      <w:r w:rsidRPr="003B6E11">
        <w:rPr>
          <w:lang w:val="cs-CZ"/>
        </w:rPr>
        <w:tab/>
        <w:t>Hloubka vody</w:t>
      </w:r>
      <w:r w:rsidRPr="003B6E11">
        <w:rPr>
          <w:lang w:val="cs-CZ"/>
        </w:rPr>
        <w:tab/>
        <w:t xml:space="preserve">[m]: </w:t>
      </w:r>
      <w:r w:rsidRPr="003B6E11">
        <w:rPr>
          <w:lang w:val="cs-CZ"/>
        </w:rPr>
        <w:tab/>
      </w:r>
    </w:p>
    <w:p w:rsidR="003B6E11" w:rsidRPr="003B6E11" w:rsidRDefault="003B6E11" w:rsidP="003B6E11">
      <w:pPr>
        <w:tabs>
          <w:tab w:val="left" w:leader="dot" w:pos="3544"/>
          <w:tab w:val="left" w:pos="4536"/>
          <w:tab w:val="left" w:pos="4896"/>
          <w:tab w:val="right" w:pos="6237"/>
          <w:tab w:val="left" w:leader="dot" w:pos="9639"/>
          <w:tab w:val="left" w:pos="10632"/>
          <w:tab w:val="right" w:pos="12333"/>
          <w:tab w:val="left" w:leader="dot" w:pos="14459"/>
        </w:tabs>
        <w:overflowPunct w:val="0"/>
        <w:adjustRightInd w:val="0"/>
        <w:spacing w:after="80" w:line="240" w:lineRule="exact"/>
        <w:textAlignment w:val="baseline"/>
        <w:rPr>
          <w:szCs w:val="20"/>
          <w:lang w:val="cs-CZ"/>
        </w:rPr>
      </w:pPr>
      <w:r w:rsidRPr="003B6E11">
        <w:rPr>
          <w:lang w:val="cs-CZ"/>
        </w:rPr>
        <w:t xml:space="preserve">Jméno: </w:t>
      </w:r>
      <w:r w:rsidRPr="003B6E11">
        <w:rPr>
          <w:lang w:val="cs-CZ"/>
        </w:rPr>
        <w:tab/>
      </w:r>
      <w:r w:rsidRPr="003B6E11">
        <w:rPr>
          <w:lang w:val="cs-CZ"/>
        </w:rPr>
        <w:tab/>
      </w:r>
      <m:oMath>
        <m:r>
          <w:rPr>
            <w:rFonts w:ascii="Cambria Math" w:hAnsi="Cambria Math"/>
            <w:szCs w:val="20"/>
            <w:lang w:val="cs-CZ"/>
          </w:rPr>
          <m:t>T</m:t>
        </m:r>
      </m:oMath>
      <w:r w:rsidRPr="003B6E11">
        <w:rPr>
          <w:lang w:val="cs-CZ"/>
        </w:rPr>
        <w:t xml:space="preserve"> během zkoušky [m]:</w:t>
      </w:r>
      <w:r w:rsidRPr="003B6E11">
        <w:rPr>
          <w:lang w:val="cs-CZ"/>
        </w:rPr>
        <w:tab/>
        <w:t xml:space="preserve">: </w:t>
      </w:r>
      <w:r w:rsidRPr="003B6E11">
        <w:rPr>
          <w:lang w:val="cs-CZ"/>
        </w:rPr>
        <w:tab/>
      </w:r>
      <w:r w:rsidRPr="003B6E11">
        <w:rPr>
          <w:lang w:val="cs-CZ"/>
        </w:rPr>
        <w:tab/>
        <w:t>Sklon</w:t>
      </w:r>
      <w:r w:rsidRPr="003B6E11">
        <w:rPr>
          <w:lang w:val="cs-CZ"/>
        </w:rPr>
        <w:tab/>
        <w:t xml:space="preserve">[m/km]: </w:t>
      </w:r>
      <w:r w:rsidRPr="003B6E11">
        <w:rPr>
          <w:lang w:val="cs-CZ"/>
        </w:rPr>
        <w:tab/>
      </w:r>
    </w:p>
    <w:p w:rsidR="003B6E11" w:rsidRPr="003B6E11" w:rsidRDefault="003B6E11" w:rsidP="003B6E11">
      <w:pPr>
        <w:tabs>
          <w:tab w:val="left" w:pos="0"/>
          <w:tab w:val="left" w:leader="dot" w:pos="3544"/>
          <w:tab w:val="left" w:pos="4536"/>
          <w:tab w:val="right" w:pos="5670"/>
          <w:tab w:val="left" w:pos="10632"/>
          <w:tab w:val="right" w:pos="12333"/>
          <w:tab w:val="left" w:leader="dot" w:pos="14459"/>
        </w:tabs>
        <w:overflowPunct w:val="0"/>
        <w:adjustRightInd w:val="0"/>
        <w:spacing w:after="80" w:line="240" w:lineRule="exact"/>
        <w:textAlignment w:val="baseline"/>
        <w:rPr>
          <w:szCs w:val="20"/>
          <w:lang w:val="cs-CZ"/>
        </w:rPr>
      </w:pPr>
      <w:r w:rsidRPr="003B6E11">
        <w:rPr>
          <w:lang w:val="cs-CZ"/>
        </w:rPr>
        <w:t xml:space="preserve">Zkušební jízda č. </w:t>
      </w:r>
      <w:r w:rsidRPr="003B6E11">
        <w:rPr>
          <w:lang w:val="cs-CZ"/>
        </w:rPr>
        <w:tab/>
      </w:r>
      <w:r w:rsidRPr="003B6E11">
        <w:rPr>
          <w:lang w:val="cs-CZ"/>
        </w:rPr>
        <w:tab/>
      </w:r>
      <w:r w:rsidRPr="003B6E11">
        <w:rPr>
          <w:lang w:val="cs-CZ"/>
        </w:rPr>
        <w:tab/>
      </w:r>
      <w:r w:rsidRPr="003B6E11">
        <w:rPr>
          <w:lang w:val="cs-CZ"/>
        </w:rPr>
        <w:tab/>
      </w:r>
      <m:oMath>
        <m:sSub>
          <m:sSubPr>
            <m:ctrlPr>
              <w:rPr>
                <w:rFonts w:ascii="Cambria Math" w:hAnsi="Cambria Math"/>
                <w:i/>
                <w:szCs w:val="20"/>
                <w:lang w:val="cs-CZ"/>
              </w:rPr>
            </m:ctrlPr>
          </m:sSubPr>
          <m:e>
            <m:r>
              <w:rPr>
                <w:rFonts w:ascii="Cambria Math" w:hAnsi="Cambria Math"/>
                <w:szCs w:val="20"/>
                <w:lang w:val="cs-CZ"/>
              </w:rPr>
              <m:t>v</m:t>
            </m:r>
          </m:e>
          <m:sub>
            <m:r>
              <w:rPr>
                <w:rFonts w:ascii="Cambria Math" w:hAnsi="Cambria Math"/>
                <w:szCs w:val="20"/>
                <w:lang w:val="cs-CZ"/>
              </w:rPr>
              <m:t>STR</m:t>
            </m:r>
          </m:sub>
        </m:sSub>
      </m:oMath>
      <w:r w:rsidRPr="003B6E11">
        <w:rPr>
          <w:lang w:val="cs-CZ"/>
        </w:rPr>
        <w:tab/>
        <w:t xml:space="preserve">[km/h]: </w:t>
      </w:r>
      <w:r w:rsidRPr="003B6E11">
        <w:rPr>
          <w:lang w:val="cs-CZ"/>
        </w:rPr>
        <w:tab/>
      </w:r>
    </w:p>
    <w:p w:rsidR="003B6E11" w:rsidRPr="003B6E11" w:rsidRDefault="003B6E11" w:rsidP="003B6E11">
      <w:pPr>
        <w:tabs>
          <w:tab w:val="left" w:pos="3264"/>
          <w:tab w:val="left" w:pos="4536"/>
          <w:tab w:val="left" w:pos="4800"/>
          <w:tab w:val="right" w:pos="6237"/>
          <w:tab w:val="left" w:leader="dot" w:pos="9639"/>
          <w:tab w:val="left" w:pos="10632"/>
          <w:tab w:val="right" w:pos="12333"/>
          <w:tab w:val="left" w:leader="dot" w:pos="14459"/>
        </w:tabs>
        <w:overflowPunct w:val="0"/>
        <w:adjustRightInd w:val="0"/>
        <w:spacing w:after="80" w:line="240" w:lineRule="exact"/>
        <w:textAlignment w:val="baseline"/>
        <w:rPr>
          <w:szCs w:val="20"/>
          <w:lang w:val="cs-CZ"/>
        </w:rPr>
      </w:pPr>
      <w:r w:rsidRPr="003B6E11">
        <w:rPr>
          <w:lang w:val="cs-CZ"/>
        </w:rPr>
        <w:tab/>
      </w:r>
      <w:r w:rsidRPr="003B6E11">
        <w:rPr>
          <w:lang w:val="cs-CZ"/>
        </w:rPr>
        <w:tab/>
        <w:t xml:space="preserve">Zatížení během zkoušky [t]: </w:t>
      </w:r>
      <w:r w:rsidRPr="003B6E11">
        <w:rPr>
          <w:lang w:val="cs-CZ"/>
        </w:rPr>
        <w:tab/>
        <w:t xml:space="preserve">: </w:t>
      </w:r>
      <w:r w:rsidRPr="003B6E11">
        <w:rPr>
          <w:lang w:val="cs-CZ"/>
        </w:rPr>
        <w:tab/>
      </w:r>
      <w:r w:rsidRPr="003B6E11">
        <w:rPr>
          <w:lang w:val="cs-CZ"/>
        </w:rPr>
        <w:tab/>
        <w:t xml:space="preserve">[m/s]: </w:t>
      </w:r>
      <w:r w:rsidRPr="003B6E11">
        <w:rPr>
          <w:lang w:val="cs-CZ"/>
        </w:rPr>
        <w:tab/>
      </w:r>
    </w:p>
    <w:p w:rsidR="003B6E11" w:rsidRPr="003B6E11" w:rsidRDefault="003B6E11" w:rsidP="003B6E11">
      <w:pPr>
        <w:tabs>
          <w:tab w:val="left" w:pos="0"/>
          <w:tab w:val="left" w:pos="4536"/>
          <w:tab w:val="left" w:pos="4800"/>
          <w:tab w:val="right" w:pos="5670"/>
          <w:tab w:val="left" w:leader="dot" w:pos="9639"/>
          <w:tab w:val="left" w:pos="10632"/>
          <w:tab w:val="right" w:pos="12333"/>
          <w:tab w:val="left" w:leader="dot" w:pos="14459"/>
        </w:tabs>
        <w:overflowPunct w:val="0"/>
        <w:adjustRightInd w:val="0"/>
        <w:spacing w:after="80" w:line="240" w:lineRule="exact"/>
        <w:textAlignment w:val="baseline"/>
        <w:rPr>
          <w:szCs w:val="20"/>
          <w:lang w:val="cs-CZ"/>
        </w:rPr>
      </w:pPr>
      <w:r w:rsidRPr="003B6E11">
        <w:rPr>
          <w:lang w:val="cs-CZ"/>
        </w:rPr>
        <w:tab/>
        <w:t xml:space="preserve">% maximální nosnosti: </w:t>
      </w:r>
      <w:r w:rsidRPr="003B6E11">
        <w:rPr>
          <w:lang w:val="cs-CZ"/>
        </w:rPr>
        <w:tab/>
      </w:r>
      <w:r w:rsidRPr="003B6E11">
        <w:rPr>
          <w:lang w:val="cs-CZ"/>
        </w:rPr>
        <w:tab/>
        <w:t>Max.</w:t>
      </w:r>
    </w:p>
    <w:p w:rsidR="003B6E11" w:rsidRPr="003B6E11" w:rsidRDefault="003B6E11" w:rsidP="003B6E11">
      <w:pPr>
        <w:tabs>
          <w:tab w:val="left" w:pos="0"/>
          <w:tab w:val="left" w:pos="4536"/>
          <w:tab w:val="left" w:pos="4800"/>
          <w:tab w:val="right" w:pos="5670"/>
          <w:tab w:val="left" w:leader="dot" w:pos="9639"/>
          <w:tab w:val="left" w:pos="10632"/>
          <w:tab w:val="right" w:pos="12333"/>
          <w:tab w:val="left" w:leader="dot" w:pos="14459"/>
        </w:tabs>
        <w:overflowPunct w:val="0"/>
        <w:adjustRightInd w:val="0"/>
        <w:spacing w:after="80" w:line="240" w:lineRule="exact"/>
        <w:textAlignment w:val="baseline"/>
        <w:rPr>
          <w:szCs w:val="20"/>
          <w:lang w:val="cs-CZ"/>
        </w:rPr>
      </w:pPr>
      <w:r w:rsidRPr="003B6E11">
        <w:rPr>
          <w:lang w:val="cs-CZ"/>
        </w:rPr>
        <w:tab/>
        <w:t xml:space="preserve">Výkon pohonných motorů </w:t>
      </w:r>
      <m:oMath>
        <m:sSub>
          <m:sSubPr>
            <m:ctrlPr>
              <w:rPr>
                <w:rFonts w:ascii="Cambria Math" w:hAnsi="Cambria Math"/>
                <w:i/>
                <w:szCs w:val="20"/>
                <w:lang w:val="cs-CZ"/>
              </w:rPr>
            </m:ctrlPr>
          </m:sSubPr>
          <m:e>
            <m:r>
              <w:rPr>
                <w:rFonts w:ascii="Cambria Math" w:hAnsi="Cambria Math"/>
                <w:szCs w:val="20"/>
                <w:lang w:val="cs-CZ"/>
              </w:rPr>
              <m:t>P</m:t>
            </m:r>
          </m:e>
          <m:sub>
            <m:r>
              <w:rPr>
                <w:rFonts w:ascii="Cambria Math" w:hAnsi="Cambria Math"/>
                <w:szCs w:val="20"/>
                <w:lang w:val="cs-CZ"/>
              </w:rPr>
              <m:t>B</m:t>
            </m:r>
          </m:sub>
        </m:sSub>
      </m:oMath>
      <w:r w:rsidRPr="003B6E11">
        <w:rPr>
          <w:lang w:val="cs-CZ"/>
        </w:rPr>
        <w:t xml:space="preserve"> [kW] </w:t>
      </w:r>
      <w:r w:rsidRPr="003B6E11">
        <w:rPr>
          <w:lang w:val="cs-CZ"/>
        </w:rPr>
        <w:tab/>
      </w:r>
      <w:r w:rsidRPr="003B6E11">
        <w:rPr>
          <w:lang w:val="cs-CZ"/>
        </w:rPr>
        <w:tab/>
        <w:t>výtlak</w:t>
      </w:r>
      <w:r w:rsidRPr="003B6E11">
        <w:rPr>
          <w:lang w:val="cs-CZ"/>
        </w:rPr>
        <w:tab/>
        <w:t>[m</w:t>
      </w:r>
      <w:r w:rsidRPr="003B6E11">
        <w:rPr>
          <w:sz w:val="16"/>
          <w:vertAlign w:val="superscript"/>
          <w:lang w:val="cs-CZ"/>
        </w:rPr>
        <w:t>3</w:t>
      </w:r>
      <w:r w:rsidRPr="003B6E11">
        <w:rPr>
          <w:lang w:val="cs-CZ"/>
        </w:rPr>
        <w:t xml:space="preserve">]: </w:t>
      </w:r>
      <w:r w:rsidRPr="003B6E11">
        <w:rPr>
          <w:lang w:val="cs-CZ"/>
        </w:rPr>
        <w:tab/>
      </w:r>
    </w:p>
    <w:p w:rsidR="003B6E11" w:rsidRPr="003B6E11" w:rsidRDefault="003B6E11" w:rsidP="003B6E11">
      <w:pPr>
        <w:tabs>
          <w:tab w:val="left" w:pos="0"/>
          <w:tab w:val="left" w:pos="4536"/>
          <w:tab w:val="left" w:pos="4800"/>
          <w:tab w:val="right" w:pos="5670"/>
          <w:tab w:val="left" w:leader="dot" w:pos="9639"/>
          <w:tab w:val="left" w:pos="10348"/>
          <w:tab w:val="right" w:pos="12049"/>
        </w:tabs>
        <w:overflowPunct w:val="0"/>
        <w:adjustRightInd w:val="0"/>
        <w:spacing w:line="240" w:lineRule="exact"/>
        <w:textAlignment w:val="baseline"/>
        <w:rPr>
          <w:szCs w:val="20"/>
          <w:lang w:val="cs-CZ"/>
        </w:rPr>
      </w:pPr>
      <w:r w:rsidRPr="003B6E11">
        <w:rPr>
          <w:lang w:val="cs-CZ"/>
        </w:rPr>
        <w:tab/>
        <w:t xml:space="preserve">Pohonný systém podle tabulky 2 v příloze 2: </w:t>
      </w:r>
      <w:r w:rsidRPr="003B6E11">
        <w:rPr>
          <w:lang w:val="cs-CZ"/>
        </w:rPr>
        <w:tab/>
      </w:r>
    </w:p>
    <w:p w:rsidR="003B6E11" w:rsidRPr="003B6E11" w:rsidRDefault="003B6E11" w:rsidP="003B6E11">
      <w:pPr>
        <w:tabs>
          <w:tab w:val="left" w:pos="284"/>
        </w:tabs>
        <w:overflowPunct w:val="0"/>
        <w:adjustRightInd w:val="0"/>
        <w:spacing w:before="100" w:after="60"/>
        <w:ind w:left="284" w:hanging="284"/>
        <w:jc w:val="center"/>
        <w:textAlignment w:val="baseline"/>
        <w:rPr>
          <w:szCs w:val="20"/>
          <w:lang w:val="cs-CZ"/>
        </w:rPr>
      </w:pPr>
      <w:r w:rsidRPr="003B6E11">
        <w:rPr>
          <w:b/>
          <w:lang w:val="cs-CZ"/>
        </w:rPr>
        <w:t>Tabulka 1: Zpráva o zastavovacím manévru</w:t>
      </w:r>
    </w:p>
    <w:tbl>
      <w:tblPr>
        <w:tblW w:w="0" w:type="auto"/>
        <w:jc w:val="center"/>
        <w:tblLayout w:type="fixed"/>
        <w:tblCellMar>
          <w:left w:w="0" w:type="dxa"/>
          <w:right w:w="0" w:type="dxa"/>
        </w:tblCellMar>
        <w:tblLook w:val="0000" w:firstRow="0" w:lastRow="0" w:firstColumn="0" w:lastColumn="0" w:noHBand="0" w:noVBand="0"/>
      </w:tblPr>
      <w:tblGrid>
        <w:gridCol w:w="1758"/>
        <w:gridCol w:w="1758"/>
        <w:gridCol w:w="1758"/>
        <w:gridCol w:w="1758"/>
        <w:gridCol w:w="1758"/>
        <w:gridCol w:w="1758"/>
        <w:gridCol w:w="2948"/>
      </w:tblGrid>
      <w:tr w:rsidR="003B6E11" w:rsidRPr="003B6E11" w:rsidTr="002D015D">
        <w:trPr>
          <w:jc w:val="center"/>
        </w:trPr>
        <w:tc>
          <w:tcPr>
            <w:tcW w:w="1758" w:type="dxa"/>
            <w:tcBorders>
              <w:top w:val="single" w:sz="6" w:space="0" w:color="auto"/>
              <w:left w:val="single" w:sz="6" w:space="0" w:color="auto"/>
              <w:bottom w:val="single" w:sz="6" w:space="0" w:color="auto"/>
              <w:right w:val="single" w:sz="6" w:space="0" w:color="auto"/>
            </w:tcBorders>
            <w:vAlign w:val="center"/>
          </w:tcPr>
          <w:p w:rsidR="003B6E11" w:rsidRPr="003B6E11" w:rsidRDefault="003B6E11" w:rsidP="002D015D">
            <w:pPr>
              <w:tabs>
                <w:tab w:val="left" w:pos="284"/>
              </w:tabs>
              <w:overflowPunct w:val="0"/>
              <w:adjustRightInd w:val="0"/>
              <w:spacing w:before="40" w:after="40"/>
              <w:jc w:val="center"/>
              <w:textAlignment w:val="baseline"/>
              <w:rPr>
                <w:sz w:val="18"/>
                <w:szCs w:val="20"/>
                <w:lang w:val="cs-CZ"/>
              </w:rPr>
            </w:pPr>
            <w:r w:rsidRPr="003B6E11">
              <w:rPr>
                <w:sz w:val="18"/>
                <w:lang w:val="cs-CZ"/>
              </w:rPr>
              <w:t>POLOHA</w:t>
            </w:r>
            <w:r w:rsidRPr="003B6E11">
              <w:rPr>
                <w:sz w:val="18"/>
                <w:szCs w:val="20"/>
                <w:lang w:val="cs-CZ"/>
              </w:rPr>
              <w:br/>
            </w:r>
            <w:r w:rsidRPr="003B6E11">
              <w:rPr>
                <w:sz w:val="18"/>
                <w:lang w:val="cs-CZ"/>
              </w:rPr>
              <w:t>(řeka-km)</w:t>
            </w:r>
          </w:p>
        </w:tc>
        <w:tc>
          <w:tcPr>
            <w:tcW w:w="1758" w:type="dxa"/>
            <w:tcBorders>
              <w:top w:val="single" w:sz="6" w:space="0" w:color="auto"/>
              <w:left w:val="single" w:sz="6" w:space="0" w:color="auto"/>
              <w:bottom w:val="single" w:sz="6" w:space="0" w:color="auto"/>
              <w:right w:val="double" w:sz="12" w:space="0" w:color="auto"/>
            </w:tcBorders>
            <w:vAlign w:val="center"/>
          </w:tcPr>
          <w:p w:rsidR="003B6E11" w:rsidRPr="003B6E11" w:rsidRDefault="003B6E11" w:rsidP="002D015D">
            <w:pPr>
              <w:tabs>
                <w:tab w:val="left" w:pos="284"/>
              </w:tabs>
              <w:overflowPunct w:val="0"/>
              <w:adjustRightInd w:val="0"/>
              <w:spacing w:before="40" w:after="40"/>
              <w:jc w:val="center"/>
              <w:textAlignment w:val="baseline"/>
              <w:rPr>
                <w:sz w:val="18"/>
                <w:szCs w:val="20"/>
                <w:lang w:val="cs-CZ"/>
              </w:rPr>
            </w:pPr>
            <w:r w:rsidRPr="003B6E11">
              <w:rPr>
                <w:sz w:val="18"/>
                <w:lang w:val="cs-CZ"/>
              </w:rPr>
              <w:t>ČAS</w:t>
            </w:r>
            <w:r w:rsidRPr="003B6E11">
              <w:rPr>
                <w:sz w:val="18"/>
                <w:szCs w:val="20"/>
                <w:lang w:val="cs-CZ"/>
              </w:rPr>
              <w:br/>
            </w:r>
            <w:r w:rsidRPr="003B6E11">
              <w:rPr>
                <w:sz w:val="18"/>
                <w:lang w:val="cs-CZ"/>
              </w:rPr>
              <w:t>[sec.]</w:t>
            </w:r>
          </w:p>
        </w:tc>
        <w:tc>
          <w:tcPr>
            <w:tcW w:w="1758" w:type="dxa"/>
            <w:tcBorders>
              <w:top w:val="single" w:sz="6" w:space="0" w:color="auto"/>
              <w:left w:val="nil"/>
              <w:bottom w:val="single" w:sz="6" w:space="0" w:color="auto"/>
              <w:right w:val="single" w:sz="6" w:space="0" w:color="auto"/>
            </w:tcBorders>
            <w:vAlign w:val="center"/>
          </w:tcPr>
          <w:p w:rsidR="003B6E11" w:rsidRPr="003B6E11" w:rsidRDefault="003B6E11" w:rsidP="002D015D">
            <w:pPr>
              <w:tabs>
                <w:tab w:val="left" w:pos="284"/>
              </w:tabs>
              <w:overflowPunct w:val="0"/>
              <w:adjustRightInd w:val="0"/>
              <w:spacing w:before="40" w:after="40"/>
              <w:jc w:val="center"/>
              <w:textAlignment w:val="baseline"/>
              <w:rPr>
                <w:sz w:val="18"/>
                <w:szCs w:val="20"/>
                <w:lang w:val="cs-CZ"/>
              </w:rPr>
            </w:pPr>
            <m:oMathPara>
              <m:oMath>
                <m:r>
                  <w:rPr>
                    <w:rFonts w:ascii="Cambria Math" w:hAnsi="Cambria Math"/>
                    <w:sz w:val="18"/>
                    <w:szCs w:val="20"/>
                    <w:lang w:val="cs-CZ"/>
                  </w:rPr>
                  <m:t>∆s</m:t>
                </m:r>
                <m:r>
                  <m:rPr>
                    <m:sty m:val="p"/>
                  </m:rPr>
                  <w:rPr>
                    <w:rFonts w:ascii="Cambria Math" w:hAnsi="Cambria Math"/>
                    <w:sz w:val="18"/>
                    <w:szCs w:val="20"/>
                    <w:lang w:val="cs-CZ"/>
                  </w:rPr>
                  <w:br/>
                </m:r>
              </m:oMath>
            </m:oMathPara>
            <w:r w:rsidRPr="003B6E11">
              <w:rPr>
                <w:sz w:val="18"/>
                <w:lang w:val="cs-CZ"/>
              </w:rPr>
              <w:t>[m]</w:t>
            </w:r>
          </w:p>
        </w:tc>
        <w:tc>
          <w:tcPr>
            <w:tcW w:w="1758" w:type="dxa"/>
            <w:tcBorders>
              <w:top w:val="single" w:sz="6" w:space="0" w:color="auto"/>
              <w:left w:val="single" w:sz="6" w:space="0" w:color="auto"/>
              <w:bottom w:val="single" w:sz="6" w:space="0" w:color="auto"/>
              <w:right w:val="single" w:sz="6" w:space="0" w:color="auto"/>
            </w:tcBorders>
            <w:vAlign w:val="center"/>
          </w:tcPr>
          <w:p w:rsidR="003B6E11" w:rsidRPr="003B6E11" w:rsidRDefault="003B6E11" w:rsidP="002D015D">
            <w:pPr>
              <w:tabs>
                <w:tab w:val="left" w:pos="284"/>
              </w:tabs>
              <w:overflowPunct w:val="0"/>
              <w:adjustRightInd w:val="0"/>
              <w:spacing w:before="40" w:after="40"/>
              <w:jc w:val="center"/>
              <w:textAlignment w:val="baseline"/>
              <w:rPr>
                <w:sz w:val="18"/>
                <w:szCs w:val="20"/>
                <w:lang w:val="cs-CZ"/>
              </w:rPr>
            </w:pPr>
            <m:oMathPara>
              <m:oMath>
                <m:r>
                  <w:rPr>
                    <w:rFonts w:ascii="Cambria Math" w:hAnsi="Cambria Math"/>
                    <w:sz w:val="18"/>
                    <w:szCs w:val="20"/>
                    <w:lang w:val="cs-CZ"/>
                  </w:rPr>
                  <m:t>∆t</m:t>
                </m:r>
                <m:r>
                  <m:rPr>
                    <m:sty m:val="p"/>
                  </m:rPr>
                  <w:rPr>
                    <w:rFonts w:ascii="Cambria Math" w:hAnsi="Cambria Math"/>
                    <w:sz w:val="18"/>
                    <w:szCs w:val="20"/>
                    <w:lang w:val="cs-CZ"/>
                  </w:rPr>
                  <w:br/>
                </m:r>
              </m:oMath>
            </m:oMathPara>
            <w:r w:rsidRPr="003B6E11">
              <w:rPr>
                <w:sz w:val="18"/>
                <w:lang w:val="cs-CZ"/>
              </w:rPr>
              <w:t>[sec]</w:t>
            </w:r>
          </w:p>
        </w:tc>
        <w:tc>
          <w:tcPr>
            <w:tcW w:w="1758" w:type="dxa"/>
            <w:tcBorders>
              <w:top w:val="single" w:sz="6" w:space="0" w:color="auto"/>
              <w:left w:val="single" w:sz="6" w:space="0" w:color="auto"/>
              <w:bottom w:val="single" w:sz="6" w:space="0" w:color="auto"/>
              <w:right w:val="single" w:sz="6" w:space="0" w:color="auto"/>
            </w:tcBorders>
            <w:vAlign w:val="center"/>
          </w:tcPr>
          <w:p w:rsidR="003B6E11" w:rsidRPr="003B6E11" w:rsidRDefault="002D015D" w:rsidP="002D015D">
            <w:pPr>
              <w:tabs>
                <w:tab w:val="left" w:pos="284"/>
              </w:tabs>
              <w:overflowPunct w:val="0"/>
              <w:adjustRightInd w:val="0"/>
              <w:spacing w:before="40" w:after="40"/>
              <w:jc w:val="center"/>
              <w:textAlignment w:val="baseline"/>
              <w:rPr>
                <w:sz w:val="18"/>
                <w:szCs w:val="20"/>
                <w:lang w:val="cs-CZ"/>
              </w:rPr>
            </w:pPr>
            <m:oMathPara>
              <m:oMath>
                <m:sSub>
                  <m:sSubPr>
                    <m:ctrlPr>
                      <w:rPr>
                        <w:rFonts w:ascii="Cambria Math" w:hAnsi="Cambria Math"/>
                        <w:i/>
                        <w:sz w:val="18"/>
                        <w:szCs w:val="20"/>
                        <w:lang w:val="cs-CZ"/>
                      </w:rPr>
                    </m:ctrlPr>
                  </m:sSubPr>
                  <m:e>
                    <m:r>
                      <w:rPr>
                        <w:rFonts w:ascii="Cambria Math" w:hAnsi="Cambria Math"/>
                        <w:sz w:val="18"/>
                        <w:szCs w:val="20"/>
                        <w:lang w:val="cs-CZ"/>
                      </w:rPr>
                      <m:t>v</m:t>
                    </m:r>
                  </m:e>
                  <m:sub>
                    <m:r>
                      <w:rPr>
                        <w:rFonts w:ascii="Cambria Math" w:hAnsi="Cambria Math"/>
                        <w:sz w:val="18"/>
                        <w:szCs w:val="20"/>
                        <w:lang w:val="cs-CZ"/>
                      </w:rPr>
                      <m:t>L</m:t>
                    </m:r>
                  </m:sub>
                </m:sSub>
                <m:r>
                  <m:rPr>
                    <m:sty m:val="p"/>
                  </m:rPr>
                  <w:rPr>
                    <w:rFonts w:ascii="Cambria Math" w:hAnsi="Cambria Math"/>
                    <w:sz w:val="18"/>
                    <w:szCs w:val="20"/>
                    <w:lang w:val="cs-CZ"/>
                  </w:rPr>
                  <w:br/>
                </m:r>
              </m:oMath>
            </m:oMathPara>
            <w:r w:rsidR="003B6E11" w:rsidRPr="003B6E11">
              <w:rPr>
                <w:sz w:val="18"/>
                <w:lang w:val="cs-CZ"/>
              </w:rPr>
              <w:t>[km/h]</w:t>
            </w:r>
          </w:p>
        </w:tc>
        <w:tc>
          <w:tcPr>
            <w:tcW w:w="1758" w:type="dxa"/>
            <w:tcBorders>
              <w:top w:val="single" w:sz="6" w:space="0" w:color="auto"/>
              <w:left w:val="single" w:sz="6" w:space="0" w:color="auto"/>
              <w:bottom w:val="single" w:sz="6" w:space="0" w:color="auto"/>
              <w:right w:val="single" w:sz="6" w:space="0" w:color="auto"/>
            </w:tcBorders>
            <w:vAlign w:val="center"/>
          </w:tcPr>
          <w:p w:rsidR="003B6E11" w:rsidRPr="003B6E11" w:rsidRDefault="003B6E11" w:rsidP="002D015D">
            <w:pPr>
              <w:overflowPunct w:val="0"/>
              <w:adjustRightInd w:val="0"/>
              <w:spacing w:before="40" w:after="40"/>
              <w:jc w:val="center"/>
              <w:textAlignment w:val="baseline"/>
              <w:rPr>
                <w:sz w:val="18"/>
                <w:szCs w:val="20"/>
                <w:lang w:val="cs-CZ"/>
              </w:rPr>
            </w:pPr>
            <w:r w:rsidRPr="003B6E11">
              <w:rPr>
                <w:sz w:val="18"/>
                <w:lang w:val="cs-CZ"/>
              </w:rPr>
              <w:t>OTÁČKY MOTORU</w:t>
            </w:r>
            <w:r w:rsidRPr="003B6E11">
              <w:rPr>
                <w:sz w:val="18"/>
                <w:szCs w:val="20"/>
                <w:lang w:val="cs-CZ"/>
              </w:rPr>
              <w:br/>
            </w:r>
            <m:oMathPara>
              <m:oMath>
                <m:r>
                  <w:rPr>
                    <w:rFonts w:ascii="Cambria Math" w:hAnsi="Cambria Math"/>
                    <w:sz w:val="18"/>
                    <w:szCs w:val="20"/>
                    <w:lang w:val="cs-CZ"/>
                  </w:rPr>
                  <m:t>n</m:t>
                </m:r>
                <m:r>
                  <m:rPr>
                    <m:sty m:val="p"/>
                  </m:rPr>
                  <w:rPr>
                    <w:rFonts w:ascii="Cambria Math" w:hAnsi="Cambria Math"/>
                    <w:sz w:val="18"/>
                    <w:szCs w:val="20"/>
                    <w:lang w:val="cs-CZ"/>
                  </w:rPr>
                  <w:br/>
                </m:r>
              </m:oMath>
            </m:oMathPara>
            <w:r w:rsidRPr="003B6E11">
              <w:rPr>
                <w:sz w:val="18"/>
                <w:lang w:val="cs-CZ"/>
              </w:rPr>
              <w:t>[min</w:t>
            </w:r>
            <w:r w:rsidRPr="003B6E11">
              <w:rPr>
                <w:sz w:val="18"/>
                <w:vertAlign w:val="superscript"/>
                <w:lang w:val="cs-CZ"/>
              </w:rPr>
              <w:t>-1</w:t>
            </w:r>
            <w:r w:rsidRPr="003B6E11">
              <w:rPr>
                <w:sz w:val="18"/>
                <w:lang w:val="cs-CZ"/>
              </w:rPr>
              <w:t>]</w:t>
            </w:r>
          </w:p>
        </w:tc>
        <w:tc>
          <w:tcPr>
            <w:tcW w:w="2948" w:type="dxa"/>
            <w:tcBorders>
              <w:top w:val="single" w:sz="6" w:space="0" w:color="auto"/>
              <w:left w:val="single" w:sz="6" w:space="0" w:color="auto"/>
              <w:bottom w:val="single" w:sz="6" w:space="0" w:color="auto"/>
              <w:right w:val="single" w:sz="6" w:space="0" w:color="auto"/>
            </w:tcBorders>
            <w:vAlign w:val="center"/>
          </w:tcPr>
          <w:p w:rsidR="003B6E11" w:rsidRPr="003B6E11" w:rsidRDefault="003B6E11" w:rsidP="002D015D">
            <w:pPr>
              <w:tabs>
                <w:tab w:val="left" w:pos="284"/>
              </w:tabs>
              <w:overflowPunct w:val="0"/>
              <w:adjustRightInd w:val="0"/>
              <w:spacing w:before="40" w:after="40"/>
              <w:jc w:val="center"/>
              <w:textAlignment w:val="baseline"/>
              <w:rPr>
                <w:sz w:val="18"/>
                <w:szCs w:val="20"/>
                <w:lang w:val="cs-CZ"/>
              </w:rPr>
            </w:pPr>
            <w:r w:rsidRPr="003B6E11">
              <w:rPr>
                <w:sz w:val="18"/>
                <w:lang w:val="cs-CZ"/>
              </w:rPr>
              <w:t>POZNÁMKY:</w:t>
            </w:r>
          </w:p>
        </w:tc>
      </w:tr>
      <w:tr w:rsidR="003B6E11" w:rsidRPr="003B6E11" w:rsidTr="002D015D">
        <w:trPr>
          <w:jc w:val="center"/>
        </w:trPr>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double" w:sz="12"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nil"/>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294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r>
      <w:tr w:rsidR="003B6E11" w:rsidRPr="003B6E11" w:rsidTr="002D015D">
        <w:trPr>
          <w:jc w:val="center"/>
        </w:trPr>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double" w:sz="12"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nil"/>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294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r>
      <w:tr w:rsidR="003B6E11" w:rsidRPr="003B6E11" w:rsidTr="002D015D">
        <w:trPr>
          <w:jc w:val="center"/>
        </w:trPr>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double" w:sz="12"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nil"/>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294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r>
      <w:tr w:rsidR="003B6E11" w:rsidRPr="003B6E11" w:rsidTr="002D015D">
        <w:trPr>
          <w:jc w:val="center"/>
        </w:trPr>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double" w:sz="12"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nil"/>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294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r>
      <w:tr w:rsidR="003B6E11" w:rsidRPr="003B6E11" w:rsidTr="002D015D">
        <w:trPr>
          <w:jc w:val="center"/>
        </w:trPr>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double" w:sz="12"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nil"/>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294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r>
      <w:tr w:rsidR="003B6E11" w:rsidRPr="003B6E11" w:rsidTr="002D015D">
        <w:trPr>
          <w:jc w:val="center"/>
        </w:trPr>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double" w:sz="12"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nil"/>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294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r>
      <w:tr w:rsidR="003B6E11" w:rsidRPr="003B6E11" w:rsidTr="002D015D">
        <w:trPr>
          <w:jc w:val="center"/>
        </w:trPr>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double" w:sz="12"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nil"/>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294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r>
      <w:tr w:rsidR="003B6E11" w:rsidRPr="003B6E11" w:rsidTr="002D015D">
        <w:trPr>
          <w:jc w:val="center"/>
        </w:trPr>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double" w:sz="12"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nil"/>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175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c>
          <w:tcPr>
            <w:tcW w:w="2948" w:type="dxa"/>
            <w:tcBorders>
              <w:top w:val="single" w:sz="6" w:space="0" w:color="auto"/>
              <w:left w:val="single" w:sz="6" w:space="0" w:color="auto"/>
              <w:bottom w:val="single" w:sz="6" w:space="0" w:color="auto"/>
              <w:right w:val="single" w:sz="6" w:space="0" w:color="auto"/>
            </w:tcBorders>
          </w:tcPr>
          <w:p w:rsidR="003B6E11" w:rsidRPr="003B6E11" w:rsidRDefault="003B6E11" w:rsidP="002D015D">
            <w:pPr>
              <w:tabs>
                <w:tab w:val="left" w:pos="284"/>
              </w:tabs>
              <w:overflowPunct w:val="0"/>
              <w:adjustRightInd w:val="0"/>
              <w:spacing w:before="120" w:after="120" w:line="240" w:lineRule="exact"/>
              <w:jc w:val="center"/>
              <w:textAlignment w:val="baseline"/>
              <w:rPr>
                <w:sz w:val="18"/>
                <w:szCs w:val="20"/>
                <w:lang w:val="cs-CZ"/>
              </w:rPr>
            </w:pPr>
          </w:p>
        </w:tc>
      </w:tr>
    </w:tbl>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sectPr w:rsidR="003B6E11" w:rsidRPr="003B6E11" w:rsidSect="00D45887">
          <w:headerReference w:type="first" r:id="rId119"/>
          <w:footerReference w:type="first" r:id="rId120"/>
          <w:pgSz w:w="16840" w:h="11907" w:orient="landscape" w:code="9"/>
          <w:pgMar w:top="1418" w:right="1418" w:bottom="1418" w:left="1418" w:header="680" w:footer="680" w:gutter="0"/>
          <w:cols w:space="720"/>
          <w:noEndnote/>
          <w:titlePg/>
          <w:docGrid w:linePitch="272"/>
        </w:sectPr>
      </w:pPr>
    </w:p>
    <w:p w:rsidR="003B6E11" w:rsidRPr="003B6E11" w:rsidRDefault="003B6E11" w:rsidP="003B6E11">
      <w:pPr>
        <w:pStyle w:val="ES-Titre4"/>
      </w:pPr>
      <w:r w:rsidRPr="003B6E11">
        <w:t>Příloha 2 k pokynu ESI-II-3</w:t>
      </w:r>
    </w:p>
    <w:p w:rsidR="003B6E11" w:rsidRPr="003B6E11" w:rsidRDefault="003B6E11" w:rsidP="003B6E11">
      <w:pPr>
        <w:pStyle w:val="ES-Titre4a"/>
      </w:pPr>
      <w:r w:rsidRPr="003B6E11">
        <w:t>Vyhodnocení výsledků zastavovacího manévru</w:t>
      </w:r>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spacing w:line="240" w:lineRule="atLeast"/>
        <w:ind w:left="567" w:hanging="567"/>
        <w:rPr>
          <w:lang w:val="cs-CZ"/>
        </w:rPr>
      </w:pPr>
      <w:r w:rsidRPr="003B6E11">
        <w:rPr>
          <w:lang w:val="cs-CZ"/>
        </w:rPr>
        <w:t>1.</w:t>
      </w:r>
      <w:r w:rsidRPr="003B6E11">
        <w:rPr>
          <w:lang w:val="cs-CZ"/>
        </w:rPr>
        <w:tab/>
        <w:t>Na základě zaznamenaných hodnot se musí ověřit dodržení mezních hodnot podle přílohy 1. Pokud se podmínky zastavovacího manévru výrazně odchylují od standardních podmínek nebo pokud existují pochybnosti o dodržení mezních hodnot, musí být provedeno vyhodnocení výsledků. V takovém případě lze pro výpočet zastavovacích manévrů použít následující postup.</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noProof/>
          <w:lang w:val="cs-CZ"/>
        </w:rPr>
      </w:pPr>
      <w:r w:rsidRPr="003B6E11">
        <w:rPr>
          <w:lang w:val="cs-CZ"/>
        </w:rPr>
        <w:t>2.</w:t>
      </w:r>
      <w:r w:rsidRPr="003B6E11">
        <w:rPr>
          <w:lang w:val="cs-CZ"/>
        </w:rPr>
        <w:tab/>
        <w:t>Teoretické brzdné dráhy se stanoví za standardních podmínek (</w:t>
      </w:r>
      <m:oMath>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SOLL</m:t>
            </m:r>
          </m:sub>
        </m:sSub>
      </m:oMath>
      <w:r w:rsidRPr="003B6E11">
        <w:rPr>
          <w:lang w:val="cs-CZ"/>
        </w:rPr>
        <w:t>) uvedených v bodě 2.1 tohoto pokynu a za podmínek zastavovacího manévru (</w:t>
      </w:r>
      <m:oMath>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IST</m:t>
            </m:r>
          </m:sub>
        </m:sSub>
      </m:oMath>
      <w:r w:rsidRPr="003B6E11">
        <w:rPr>
          <w:lang w:val="cs-CZ"/>
        </w:rPr>
        <w:t>) a porovnají se s naměřenou brzdnou dráhou (</w:t>
      </w:r>
      <m:oMath>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MESSUNG</m:t>
            </m:r>
          </m:sub>
        </m:sSub>
      </m:oMath>
      <w:r w:rsidRPr="003B6E11">
        <w:rPr>
          <w:lang w:val="cs-CZ"/>
        </w:rPr>
        <w:t>). Korigovaná brzdná dráha zastavovacího manévru za standardních podmínek (</w:t>
      </w:r>
      <m:oMath>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NORM</m:t>
            </m:r>
          </m:sub>
        </m:sSub>
      </m:oMath>
      <w:r w:rsidRPr="003B6E11">
        <w:rPr>
          <w:lang w:val="cs-CZ"/>
        </w:rPr>
        <w:t>) se vypočítá takto:</w:t>
      </w:r>
    </w:p>
    <w:p w:rsidR="003B6E11" w:rsidRPr="003B6E11" w:rsidRDefault="003B6E11" w:rsidP="003B6E11">
      <w:pPr>
        <w:spacing w:line="240" w:lineRule="atLeast"/>
        <w:ind w:left="567" w:hanging="567"/>
        <w:rPr>
          <w:noProof/>
          <w:lang w:val="cs-CZ"/>
        </w:rPr>
      </w:pPr>
    </w:p>
    <w:p w:rsidR="003B6E11" w:rsidRPr="003B6E11" w:rsidRDefault="003B6E11" w:rsidP="003B6E11">
      <w:pPr>
        <w:spacing w:line="240" w:lineRule="atLeast"/>
        <w:ind w:left="1843" w:hanging="1276"/>
        <w:rPr>
          <w:noProof/>
          <w:lang w:val="cs-CZ"/>
        </w:rPr>
      </w:pPr>
      <w:r w:rsidRPr="003B6E11">
        <w:rPr>
          <w:lang w:val="cs-CZ"/>
        </w:rPr>
        <w:t>Vzorec (2.1)</w:t>
      </w:r>
      <w:r w:rsidRPr="003B6E11">
        <w:rPr>
          <w:lang w:val="cs-CZ"/>
        </w:rPr>
        <w:tab/>
      </w:r>
      <m:oMath>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NORM</m:t>
            </m:r>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MESSUNG</m:t>
            </m:r>
          </m:sub>
        </m:sSub>
        <m:r>
          <w:rPr>
            <w:rFonts w:ascii="Cambria Math" w:hAnsi="Cambria Math"/>
            <w:szCs w:val="20"/>
            <w:lang w:val="cs-CZ"/>
          </w:rPr>
          <m:t xml:space="preserve"> ∙ </m:t>
        </m:r>
        <m:f>
          <m:fPr>
            <m:ctrlPr>
              <w:rPr>
                <w:rFonts w:ascii="Cambria Math" w:hAnsi="Cambria Math"/>
                <w:i/>
                <w:szCs w:val="20"/>
                <w:lang w:val="cs-CZ"/>
              </w:rPr>
            </m:ctrlPr>
          </m:fPr>
          <m:num>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SOLL</m:t>
                </m:r>
              </m:sub>
            </m:sSub>
          </m:num>
          <m:den>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IST</m:t>
                </m:r>
              </m:sub>
            </m:sSub>
          </m:den>
        </m:f>
        <m:r>
          <w:rPr>
            <w:rFonts w:ascii="Cambria Math" w:hAnsi="Cambria Math"/>
            <w:szCs w:val="20"/>
            <w:lang w:val="cs-CZ"/>
          </w:rPr>
          <m:t xml:space="preserve"> ≤limit v</m:t>
        </m:r>
        <m:r>
          <w:rPr>
            <w:rFonts w:ascii="Cambria Math" w:hAnsi="Cambria Math"/>
            <w:szCs w:val="20"/>
            <w:lang w:val="cs-CZ"/>
          </w:rPr>
          <m:t>alue</m:t>
        </m:r>
      </m:oMath>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rPr>
          <w:szCs w:val="20"/>
          <w:lang w:val="cs-CZ"/>
        </w:rPr>
      </w:pPr>
      <w:r w:rsidRPr="003B6E11">
        <w:rPr>
          <w:lang w:val="cs-CZ"/>
        </w:rPr>
        <w:t>v souladu s bodem 2.1 písm. a) nebo b) tohoto pokynu.</w:t>
      </w:r>
    </w:p>
    <w:p w:rsidR="003B6E11" w:rsidRPr="003B6E11" w:rsidRDefault="003B6E11" w:rsidP="003B6E11">
      <w:pPr>
        <w:tabs>
          <w:tab w:val="left" w:pos="567"/>
          <w:tab w:val="center" w:pos="4678"/>
        </w:tabs>
        <w:overflowPunct w:val="0"/>
        <w:adjustRightInd w:val="0"/>
        <w:spacing w:line="240" w:lineRule="atLeast"/>
        <w:ind w:left="567" w:hanging="567"/>
        <w:textAlignment w:val="baseline"/>
        <w:rPr>
          <w:szCs w:val="20"/>
          <w:lang w:val="cs-CZ"/>
        </w:rPr>
      </w:pPr>
    </w:p>
    <w:p w:rsidR="003B6E11" w:rsidRPr="003B6E11" w:rsidRDefault="003B6E11" w:rsidP="003B6E11">
      <w:pPr>
        <w:spacing w:line="240" w:lineRule="atLeast"/>
        <w:ind w:left="567"/>
        <w:rPr>
          <w:lang w:val="cs-CZ"/>
        </w:rPr>
      </w:pPr>
      <w:r w:rsidRPr="003B6E11">
        <w:rPr>
          <w:lang w:val="cs-CZ"/>
        </w:rPr>
        <w:t xml:space="preserve">Pokud byl zastavovací manévr prováděn se zatížením na 70–100 % maximální nosnosti v souladu s bodem 2.2 tohoto pokynu, je nutné při výpočtu </w:t>
      </w:r>
      <m:oMath>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NORM</m:t>
            </m:r>
          </m:sub>
        </m:sSub>
      </m:oMath>
      <w:r w:rsidRPr="003B6E11">
        <w:rPr>
          <w:lang w:val="cs-CZ"/>
        </w:rPr>
        <w:t xml:space="preserve"> pro stanovení </w:t>
      </w:r>
      <m:oMath>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SOLL</m:t>
            </m:r>
          </m:sub>
        </m:sSub>
      </m:oMath>
      <w:r w:rsidRPr="003B6E11">
        <w:rPr>
          <w:lang w:val="cs-CZ"/>
        </w:rPr>
        <w:t xml:space="preserve"> a </w:t>
      </w:r>
      <m:oMath>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IST</m:t>
            </m:r>
          </m:sub>
        </m:sSub>
      </m:oMath>
      <w:r w:rsidRPr="003B6E11">
        <w:rPr>
          <w:lang w:val="cs-CZ"/>
        </w:rPr>
        <w:t xml:space="preserve"> použít výtlak (</w:t>
      </w:r>
      <m:oMath>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SOLL</m:t>
            </m:r>
          </m:sub>
        </m:sSub>
        <m:r>
          <w:rPr>
            <w:rFonts w:ascii="Cambria Math" w:hAnsi="Cambria Math"/>
            <w:noProof/>
            <w:lang w:val="cs-CZ"/>
          </w:rPr>
          <m:t xml:space="preserve">= </m:t>
        </m:r>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IST</m:t>
            </m:r>
          </m:sub>
        </m:sSub>
      </m:oMath>
      <w:r w:rsidRPr="003B6E11">
        <w:rPr>
          <w:lang w:val="cs-CZ"/>
        </w:rPr>
        <w:t>) odpovídající zatížení v době zkoušky.</w:t>
      </w:r>
    </w:p>
    <w:p w:rsidR="003B6E11" w:rsidRPr="003B6E11" w:rsidRDefault="003B6E11" w:rsidP="003B6E11">
      <w:pPr>
        <w:spacing w:line="240" w:lineRule="atLeast"/>
        <w:ind w:left="567"/>
        <w:rPr>
          <w:lang w:val="cs-CZ"/>
        </w:rPr>
      </w:pPr>
    </w:p>
    <w:p w:rsidR="003B6E11" w:rsidRPr="003B6E11" w:rsidRDefault="003B6E11" w:rsidP="003B6E11">
      <w:pPr>
        <w:spacing w:line="240" w:lineRule="atLeast"/>
        <w:ind w:left="567"/>
        <w:rPr>
          <w:lang w:val="cs-CZ"/>
        </w:rPr>
      </w:pPr>
      <w:r w:rsidRPr="003B6E11">
        <w:rPr>
          <w:lang w:val="cs-CZ"/>
        </w:rPr>
        <w:t xml:space="preserve">Je-li při výpočtu </w:t>
      </w:r>
      <m:oMath>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NORM</m:t>
            </m:r>
          </m:sub>
        </m:sSub>
      </m:oMath>
      <w:r w:rsidRPr="003B6E11">
        <w:rPr>
          <w:lang w:val="cs-CZ"/>
        </w:rPr>
        <w:t xml:space="preserve"> podle vzorce (2.1) dotyčná mezní hodnota překročena nebo není-li jí dosaženo, musí se hodnota </w:t>
      </w:r>
      <m:oMath>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SOLL</m:t>
            </m:r>
          </m:sub>
        </m:sSub>
      </m:oMath>
      <w:r w:rsidRPr="003B6E11">
        <w:rPr>
          <w:lang w:val="cs-CZ"/>
        </w:rPr>
        <w:t xml:space="preserve"> snížit nebo zvýšit o rozdíl </w:t>
      </w:r>
      <m:oMath>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SOLL</m:t>
            </m:r>
          </m:sub>
        </m:sSub>
      </m:oMath>
      <w:r w:rsidRPr="003B6E11">
        <w:rPr>
          <w:lang w:val="cs-CZ"/>
        </w:rPr>
        <w:t xml:space="preserve"> tak, aby byla mezní hodnota dodržena (</w:t>
      </w:r>
      <m:oMath>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NORM</m:t>
            </m:r>
          </m:sub>
        </m:sSub>
      </m:oMath>
      <w:r w:rsidRPr="003B6E11">
        <w:rPr>
          <w:lang w:val="cs-CZ"/>
        </w:rPr>
        <w:t>= dotyčná mezní hodnota). Obdobně se stanoví i maximální povolený výtlak při plavbě po proudu.</w:t>
      </w:r>
    </w:p>
    <w:p w:rsidR="003B6E11" w:rsidRPr="003B6E11" w:rsidRDefault="003B6E11" w:rsidP="003B6E11">
      <w:pPr>
        <w:overflowPunct w:val="0"/>
        <w:adjustRightInd w:val="0"/>
        <w:spacing w:line="240" w:lineRule="exact"/>
        <w:ind w:left="567" w:hanging="567"/>
        <w:textAlignment w:val="baseline"/>
        <w:rPr>
          <w:szCs w:val="20"/>
          <w:lang w:val="cs-CZ"/>
        </w:rPr>
      </w:pPr>
    </w:p>
    <w:p w:rsidR="003B6E11" w:rsidRPr="003B6E11" w:rsidRDefault="003B6E11" w:rsidP="003B6E11">
      <w:pPr>
        <w:spacing w:line="240" w:lineRule="atLeast"/>
        <w:ind w:left="567" w:hanging="567"/>
        <w:rPr>
          <w:lang w:val="cs-CZ"/>
        </w:rPr>
      </w:pPr>
      <w:r w:rsidRPr="003B6E11">
        <w:rPr>
          <w:lang w:val="cs-CZ"/>
        </w:rPr>
        <w:t>3.</w:t>
      </w:r>
      <w:r w:rsidRPr="003B6E11">
        <w:rPr>
          <w:lang w:val="cs-CZ"/>
        </w:rPr>
        <w:tab/>
        <w:t>Podle mezních hodnot uvedených v bodě 2.1 písm. a) a b) tohoto pokynu se vypočítají pouze brzdné dráhy měřené ve</w:t>
      </w:r>
    </w:p>
    <w:p w:rsidR="003B6E11" w:rsidRPr="003B6E11" w:rsidRDefault="003B6E11" w:rsidP="003B6E11">
      <w:pPr>
        <w:spacing w:before="60" w:line="240" w:lineRule="atLeast"/>
        <w:ind w:left="992"/>
        <w:rPr>
          <w:lang w:val="cs-CZ"/>
        </w:rPr>
      </w:pPr>
      <w:r w:rsidRPr="003B6E11">
        <w:rPr>
          <w:lang w:val="cs-CZ"/>
        </w:rPr>
        <w:t>-</w:t>
      </w:r>
      <w:r w:rsidRPr="003B6E11">
        <w:rPr>
          <w:lang w:val="cs-CZ"/>
        </w:rPr>
        <w:tab/>
        <w:t xml:space="preserve">fázi I („plná rychlost vpřed“ obrácená na „plnou rychlost vzad“): </w:t>
      </w:r>
      <m:oMath>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m:t>
            </m:r>
          </m:sub>
        </m:sSub>
      </m:oMath>
    </w:p>
    <w:p w:rsidR="003B6E11" w:rsidRPr="003B6E11" w:rsidRDefault="003B6E11" w:rsidP="003B6E11">
      <w:pPr>
        <w:spacing w:before="60" w:line="240" w:lineRule="atLeast"/>
        <w:ind w:left="567"/>
        <w:rPr>
          <w:lang w:val="cs-CZ"/>
        </w:rPr>
      </w:pPr>
      <w:r w:rsidRPr="003B6E11">
        <w:rPr>
          <w:lang w:val="cs-CZ"/>
        </w:rPr>
        <w:t>a</w:t>
      </w:r>
    </w:p>
    <w:p w:rsidR="003B6E11" w:rsidRPr="003B6E11" w:rsidRDefault="003B6E11" w:rsidP="003B6E11">
      <w:pPr>
        <w:spacing w:before="60" w:line="240" w:lineRule="atLeast"/>
        <w:ind w:left="992"/>
        <w:rPr>
          <w:rFonts w:cs="Arial"/>
          <w:lang w:val="cs-CZ"/>
        </w:rPr>
      </w:pPr>
      <w:r w:rsidRPr="003B6E11">
        <w:rPr>
          <w:lang w:val="cs-CZ"/>
        </w:rPr>
        <w:t>-</w:t>
      </w:r>
      <w:r w:rsidRPr="003B6E11">
        <w:rPr>
          <w:lang w:val="cs-CZ"/>
        </w:rPr>
        <w:tab/>
        <w:t xml:space="preserve">fázi II (konec zpětného chodu, dokud se loď nezastaví vzhledem k vodní hladině): </w:t>
      </w:r>
      <m:oMath>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II</m:t>
            </m:r>
          </m:sub>
        </m:sSub>
      </m:oMath>
    </w:p>
    <w:p w:rsidR="003B6E11" w:rsidRPr="003B6E11" w:rsidRDefault="003B6E11" w:rsidP="003B6E11">
      <w:pPr>
        <w:tabs>
          <w:tab w:val="left" w:pos="567"/>
          <w:tab w:val="left" w:pos="4962"/>
        </w:tabs>
        <w:overflowPunct w:val="0"/>
        <w:adjustRightInd w:val="0"/>
        <w:spacing w:line="240" w:lineRule="exact"/>
        <w:ind w:left="567" w:hanging="567"/>
        <w:textAlignment w:val="baseline"/>
        <w:rPr>
          <w:szCs w:val="20"/>
          <w:lang w:val="cs-CZ"/>
        </w:rPr>
      </w:pPr>
    </w:p>
    <w:p w:rsidR="003B6E11" w:rsidRPr="003B6E11" w:rsidRDefault="003B6E11" w:rsidP="003B6E11">
      <w:pPr>
        <w:spacing w:line="240" w:lineRule="atLeast"/>
        <w:ind w:left="567"/>
        <w:rPr>
          <w:lang w:val="cs-CZ"/>
        </w:rPr>
      </w:pPr>
      <w:r w:rsidRPr="003B6E11">
        <w:rPr>
          <w:lang w:val="cs-CZ"/>
        </w:rPr>
        <w:t>(viz obrázek 1). Celková brzdná dráha se potom vypočítá takto:</w:t>
      </w:r>
    </w:p>
    <w:p w:rsidR="003B6E11" w:rsidRPr="003B6E11" w:rsidRDefault="003B6E11" w:rsidP="003B6E11">
      <w:pPr>
        <w:overflowPunct w:val="0"/>
        <w:adjustRightInd w:val="0"/>
        <w:ind w:left="567" w:hanging="567"/>
        <w:textAlignment w:val="baseline"/>
        <w:rPr>
          <w:szCs w:val="20"/>
          <w:lang w:val="cs-CZ"/>
        </w:rPr>
      </w:pPr>
    </w:p>
    <w:p w:rsidR="003B6E11" w:rsidRPr="003B6E11" w:rsidRDefault="003B6E11" w:rsidP="003B6E11">
      <w:pPr>
        <w:spacing w:line="240" w:lineRule="atLeast"/>
        <w:ind w:left="567"/>
        <w:rPr>
          <w:lang w:val="cs-CZ"/>
        </w:rPr>
      </w:pPr>
      <w:r w:rsidRPr="003B6E11">
        <w:rPr>
          <w:lang w:val="cs-CZ"/>
        </w:rPr>
        <w:t>Vzorec (3.1)</w:t>
      </w:r>
      <w:r w:rsidRPr="003B6E11">
        <w:rPr>
          <w:lang w:val="cs-CZ"/>
        </w:rPr>
        <w:tab/>
      </w:r>
      <m:oMath>
        <m:sSub>
          <m:sSubPr>
            <m:ctrlPr>
              <w:rPr>
                <w:rFonts w:ascii="Cambria Math" w:hAnsi="Cambria Math"/>
                <w:i/>
                <w:lang w:val="cs-CZ"/>
              </w:rPr>
            </m:ctrlPr>
          </m:sSubPr>
          <m:e>
            <m:r>
              <w:rPr>
                <w:rFonts w:ascii="Cambria Math" w:hAnsi="Cambria Math"/>
                <w:lang w:val="cs-CZ"/>
              </w:rPr>
              <m:t>s</m:t>
            </m:r>
          </m:e>
          <m:sub>
            <m:r>
              <w:rPr>
                <w:rFonts w:ascii="Cambria Math" w:hAnsi="Cambria Math"/>
                <w:lang w:val="cs-CZ"/>
              </w:rPr>
              <m:t>GES</m:t>
            </m:r>
          </m:sub>
        </m:sSub>
        <m:r>
          <w:rPr>
            <w:rFonts w:ascii="Cambria Math" w:hAnsi="Cambria Math"/>
            <w:lang w:val="cs-CZ"/>
          </w:rPr>
          <m:t xml:space="preserve">= </m:t>
        </m:r>
        <m:sSub>
          <m:sSubPr>
            <m:ctrlPr>
              <w:rPr>
                <w:rFonts w:ascii="Cambria Math" w:hAnsi="Cambria Math"/>
                <w:i/>
                <w:lang w:val="cs-CZ"/>
              </w:rPr>
            </m:ctrlPr>
          </m:sSubPr>
          <m:e>
            <m:r>
              <w:rPr>
                <w:rFonts w:ascii="Cambria Math" w:hAnsi="Cambria Math"/>
                <w:lang w:val="cs-CZ"/>
              </w:rPr>
              <m:t>s</m:t>
            </m:r>
          </m:e>
          <m:sub>
            <m:r>
              <w:rPr>
                <w:rFonts w:ascii="Cambria Math" w:hAnsi="Cambria Math"/>
                <w:lang w:val="cs-CZ"/>
              </w:rPr>
              <m:t>I</m:t>
            </m:r>
          </m:sub>
        </m:sSub>
        <m:r>
          <w:rPr>
            <w:rFonts w:ascii="Cambria Math" w:hAnsi="Cambria Math"/>
            <w:lang w:val="cs-CZ"/>
          </w:rPr>
          <m:t xml:space="preserve">+ </m:t>
        </m:r>
        <m:sSub>
          <m:sSubPr>
            <m:ctrlPr>
              <w:rPr>
                <w:rFonts w:ascii="Cambria Math" w:hAnsi="Cambria Math"/>
                <w:i/>
                <w:lang w:val="cs-CZ"/>
              </w:rPr>
            </m:ctrlPr>
          </m:sSubPr>
          <m:e>
            <m:r>
              <w:rPr>
                <w:rFonts w:ascii="Cambria Math" w:hAnsi="Cambria Math"/>
                <w:lang w:val="cs-CZ"/>
              </w:rPr>
              <m:t>s</m:t>
            </m:r>
          </m:e>
          <m:sub>
            <m:r>
              <w:rPr>
                <w:rFonts w:ascii="Cambria Math" w:hAnsi="Cambria Math"/>
                <w:lang w:val="cs-CZ"/>
              </w:rPr>
              <m:t>II</m:t>
            </m:r>
          </m:sub>
        </m:sSub>
      </m:oMath>
    </w:p>
    <w:p w:rsidR="003B6E11" w:rsidRPr="003B6E11" w:rsidRDefault="003B6E11" w:rsidP="003B6E11">
      <w:pPr>
        <w:overflowPunct w:val="0"/>
        <w:adjustRightInd w:val="0"/>
        <w:ind w:left="567" w:hanging="567"/>
        <w:textAlignment w:val="baseline"/>
        <w:rPr>
          <w:szCs w:val="20"/>
          <w:lang w:val="cs-CZ"/>
        </w:rPr>
      </w:pPr>
    </w:p>
    <w:p w:rsidR="003B6E11" w:rsidRPr="003B6E11" w:rsidRDefault="003B6E11" w:rsidP="003B6E11">
      <w:pPr>
        <w:spacing w:line="240" w:lineRule="atLeast"/>
        <w:ind w:left="567" w:hanging="567"/>
        <w:rPr>
          <w:lang w:val="cs-CZ"/>
        </w:rPr>
      </w:pPr>
      <w:r w:rsidRPr="003B6E11">
        <w:rPr>
          <w:lang w:val="cs-CZ"/>
        </w:rPr>
        <w:t>4.</w:t>
      </w:r>
      <w:r w:rsidRPr="003B6E11">
        <w:rPr>
          <w:lang w:val="cs-CZ"/>
        </w:rPr>
        <w:tab/>
        <w:t>Jednotlivé brzdné dráhy se vypočítají následovně:</w:t>
      </w:r>
    </w:p>
    <w:p w:rsidR="003B6E11" w:rsidRPr="003B6E11" w:rsidRDefault="003B6E11" w:rsidP="003B6E11">
      <w:pPr>
        <w:overflowPunct w:val="0"/>
        <w:adjustRightInd w:val="0"/>
        <w:spacing w:line="240" w:lineRule="exact"/>
        <w:ind w:left="567" w:hanging="567"/>
        <w:textAlignment w:val="baseline"/>
        <w:rPr>
          <w:szCs w:val="20"/>
          <w:lang w:val="cs-CZ"/>
        </w:rPr>
      </w:pPr>
    </w:p>
    <w:p w:rsidR="003B6E11" w:rsidRPr="003B6E11" w:rsidRDefault="003B6E11" w:rsidP="003B6E11">
      <w:pPr>
        <w:spacing w:line="240" w:lineRule="exact"/>
        <w:jc w:val="center"/>
        <w:rPr>
          <w:b/>
          <w:lang w:val="cs-CZ"/>
        </w:rPr>
      </w:pPr>
      <w:r w:rsidRPr="003B6E11">
        <w:rPr>
          <w:lang w:val="cs-CZ"/>
        </w:rPr>
        <w:br w:type="page"/>
      </w:r>
    </w:p>
    <w:p w:rsidR="003B6E11" w:rsidRPr="003B6E11" w:rsidRDefault="003B6E11" w:rsidP="003B6E11">
      <w:pPr>
        <w:overflowPunct w:val="0"/>
        <w:adjustRightInd w:val="0"/>
        <w:spacing w:line="240" w:lineRule="exact"/>
        <w:jc w:val="center"/>
        <w:textAlignment w:val="baseline"/>
        <w:rPr>
          <w:b/>
          <w:lang w:val="cs-CZ"/>
        </w:rPr>
      </w:pPr>
      <w:r w:rsidRPr="003B6E11">
        <w:rPr>
          <w:b/>
          <w:lang w:val="cs-CZ"/>
        </w:rPr>
        <w:t>Výpočet zastavovacího manévru</w:t>
      </w:r>
    </w:p>
    <w:p w:rsidR="003B6E11" w:rsidRPr="003B6E11" w:rsidRDefault="003B6E11" w:rsidP="003B6E11">
      <w:pPr>
        <w:overflowPunct w:val="0"/>
        <w:adjustRightInd w:val="0"/>
        <w:spacing w:line="240" w:lineRule="exact"/>
        <w:jc w:val="center"/>
        <w:textAlignment w:val="baseline"/>
        <w:rPr>
          <w:b/>
          <w:szCs w:val="20"/>
          <w:lang w:val="cs-CZ"/>
        </w:rPr>
      </w:pPr>
    </w:p>
    <w:p w:rsidR="003B6E11" w:rsidRPr="003B6E11" w:rsidRDefault="003B6E11" w:rsidP="003B6E11">
      <w:pPr>
        <w:overflowPunct w:val="0"/>
        <w:adjustRightInd w:val="0"/>
        <w:spacing w:line="240" w:lineRule="exact"/>
        <w:jc w:val="center"/>
        <w:textAlignment w:val="baseline"/>
        <w:rPr>
          <w:szCs w:val="20"/>
          <w:lang w:val="cs-CZ"/>
        </w:rPr>
      </w:pPr>
      <w:r w:rsidRPr="003B6E11">
        <w:rPr>
          <w:b/>
          <w:lang w:val="cs-CZ"/>
        </w:rPr>
        <w:t>Obrázek 2: Graf</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jc w:val="center"/>
        <w:textAlignment w:val="baseline"/>
        <w:rPr>
          <w:szCs w:val="20"/>
          <w:lang w:val="cs-CZ"/>
        </w:rPr>
      </w:pPr>
      <w:r w:rsidRPr="003B6E11">
        <w:rPr>
          <w:rFonts w:ascii="Times New Roman" w:hAnsi="Times New Roman"/>
          <w:noProof/>
          <w:szCs w:val="20"/>
          <w:lang w:eastAsia="en-GB"/>
        </w:rPr>
        <w:drawing>
          <wp:inline distT="0" distB="0" distL="0" distR="0" wp14:anchorId="1D63A194" wp14:editId="123A6DFB">
            <wp:extent cx="4552950" cy="3124200"/>
            <wp:effectExtent l="0" t="0" r="0"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52950" cy="3124200"/>
                    </a:xfrm>
                    <a:prstGeom prst="rect">
                      <a:avLst/>
                    </a:prstGeom>
                    <a:solidFill>
                      <a:srgbClr val="FFFFFF"/>
                    </a:solidFill>
                    <a:ln>
                      <a:noFill/>
                    </a:ln>
                  </pic:spPr>
                </pic:pic>
              </a:graphicData>
            </a:graphic>
          </wp:inline>
        </w:drawing>
      </w:r>
    </w:p>
    <w:p w:rsidR="003B6E11" w:rsidRPr="003B6E11" w:rsidRDefault="003B6E11" w:rsidP="003B6E11">
      <w:pPr>
        <w:overflowPunct w:val="0"/>
        <w:adjustRightInd w:val="0"/>
        <w:spacing w:line="240" w:lineRule="exact"/>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spacing w:line="240" w:lineRule="exact"/>
        <w:textAlignment w:val="baseline"/>
        <w:rPr>
          <w:szCs w:val="20"/>
          <w:lang w:val="cs-CZ"/>
        </w:rPr>
      </w:pPr>
      <w:r w:rsidRPr="003B6E11">
        <w:rPr>
          <w:b/>
          <w:lang w:val="cs-CZ"/>
        </w:rPr>
        <w:t>Vzorce pro výpočet:</w:t>
      </w:r>
    </w:p>
    <w:p w:rsidR="003B6E11" w:rsidRPr="003B6E11" w:rsidRDefault="003B6E11" w:rsidP="003B6E11">
      <w:pPr>
        <w:tabs>
          <w:tab w:val="left" w:pos="5954"/>
        </w:tabs>
        <w:overflowPunct w:val="0"/>
        <w:adjustRightInd w:val="0"/>
        <w:textAlignment w:val="baseline"/>
        <w:rPr>
          <w:szCs w:val="20"/>
          <w:lang w:val="cs-CZ"/>
        </w:rPr>
      </w:pPr>
      <w:r w:rsidRPr="003B6E11">
        <w:rPr>
          <w:lang w:val="cs-CZ"/>
        </w:rPr>
        <w:tab/>
        <w:t>s následujícími koeficienty</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tabs>
          <w:tab w:val="left" w:pos="1134"/>
          <w:tab w:val="left" w:pos="1418"/>
          <w:tab w:val="left" w:pos="3119"/>
          <w:tab w:val="left" w:pos="5954"/>
          <w:tab w:val="left" w:pos="6379"/>
        </w:tabs>
        <w:overflowPunct w:val="0"/>
        <w:adjustRightInd w:val="0"/>
        <w:spacing w:line="240" w:lineRule="exact"/>
        <w:ind w:left="567" w:hanging="567"/>
        <w:textAlignment w:val="baseline"/>
        <w:rPr>
          <w:szCs w:val="20"/>
          <w:lang w:val="cs-CZ"/>
        </w:rPr>
      </w:pPr>
      <w:r w:rsidRPr="003B6E11">
        <w:rPr>
          <w:lang w:val="cs-CZ"/>
        </w:rPr>
        <w:t>4.1</w:t>
      </w:r>
      <w:r w:rsidRPr="003B6E11">
        <w:rPr>
          <w:lang w:val="cs-CZ"/>
        </w:rPr>
        <w:tab/>
      </w:r>
      <m:oMath>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I</m:t>
            </m:r>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1</m:t>
            </m:r>
          </m:sub>
        </m:sSub>
        <m:r>
          <w:rPr>
            <w:rFonts w:ascii="Cambria Math" w:hAnsi="Cambria Math"/>
            <w:szCs w:val="20"/>
            <w:lang w:val="cs-CZ"/>
          </w:rPr>
          <m:t xml:space="preserve"> ∙ </m:t>
        </m:r>
        <m:sSub>
          <m:sSubPr>
            <m:ctrlPr>
              <w:rPr>
                <w:rFonts w:ascii="Cambria Math" w:hAnsi="Cambria Math"/>
                <w:i/>
                <w:szCs w:val="20"/>
                <w:lang w:val="cs-CZ"/>
              </w:rPr>
            </m:ctrlPr>
          </m:sSubPr>
          <m:e>
            <m:r>
              <w:rPr>
                <w:rFonts w:ascii="Cambria Math" w:hAnsi="Cambria Math"/>
                <w:szCs w:val="20"/>
                <w:lang w:val="cs-CZ"/>
              </w:rPr>
              <m:t>v</m:t>
            </m:r>
          </m:e>
          <m:sub>
            <m:r>
              <w:rPr>
                <w:rFonts w:ascii="Cambria Math" w:hAnsi="Cambria Math"/>
                <w:szCs w:val="20"/>
                <w:lang w:val="cs-CZ"/>
              </w:rPr>
              <m:t>L</m:t>
            </m:r>
          </m:sub>
        </m:sSub>
        <m:r>
          <w:rPr>
            <w:rFonts w:ascii="Cambria Math" w:hAnsi="Cambria Math"/>
            <w:szCs w:val="20"/>
            <w:lang w:val="cs-CZ"/>
          </w:rPr>
          <m:t xml:space="preserve"> ∙ </m:t>
        </m:r>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I</m:t>
            </m:r>
          </m:sub>
        </m:sSub>
      </m:oMath>
      <w:r w:rsidRPr="003B6E11">
        <w:rPr>
          <w:lang w:val="cs-CZ"/>
        </w:rPr>
        <w:tab/>
      </w: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I</m:t>
            </m:r>
          </m:sub>
        </m:sSub>
        <m:r>
          <w:rPr>
            <w:rFonts w:ascii="Cambria Math" w:hAnsi="Cambria Math"/>
            <w:szCs w:val="20"/>
            <w:lang w:val="cs-CZ"/>
          </w:rPr>
          <m:t>≤20 s</m:t>
        </m:r>
      </m:oMath>
      <w:r w:rsidRPr="003B6E11">
        <w:rPr>
          <w:lang w:val="cs-CZ"/>
        </w:rPr>
        <w:tab/>
        <w:t>-</w:t>
      </w:r>
      <w:r w:rsidRPr="003B6E11">
        <w:rPr>
          <w:lang w:val="cs-CZ"/>
        </w:rPr>
        <w:tab/>
      </w:r>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1</m:t>
            </m:r>
          </m:sub>
        </m:sSub>
      </m:oMath>
      <w:r w:rsidRPr="003B6E11">
        <w:rPr>
          <w:lang w:val="cs-CZ"/>
        </w:rPr>
        <w:t xml:space="preserve"> podle tabulky 1</w:t>
      </w:r>
    </w:p>
    <w:p w:rsidR="003B6E11" w:rsidRPr="003B6E11" w:rsidRDefault="003B6E11" w:rsidP="003B6E11">
      <w:pPr>
        <w:tabs>
          <w:tab w:val="left" w:pos="5954"/>
          <w:tab w:val="left" w:pos="6379"/>
          <w:tab w:val="left" w:pos="6663"/>
          <w:tab w:val="left" w:pos="6946"/>
        </w:tabs>
        <w:overflowPunct w:val="0"/>
        <w:adjustRightInd w:val="0"/>
        <w:textAlignment w:val="baseline"/>
        <w:rPr>
          <w:szCs w:val="20"/>
          <w:lang w:val="cs-CZ"/>
        </w:rPr>
      </w:pPr>
    </w:p>
    <w:p w:rsidR="003B6E11" w:rsidRPr="003B6E11" w:rsidRDefault="003B6E11" w:rsidP="003B6E11">
      <w:pPr>
        <w:tabs>
          <w:tab w:val="left" w:pos="567"/>
          <w:tab w:val="left" w:pos="5954"/>
          <w:tab w:val="left" w:pos="6379"/>
        </w:tabs>
        <w:overflowPunct w:val="0"/>
        <w:adjustRightInd w:val="0"/>
        <w:spacing w:line="240" w:lineRule="atLeast"/>
        <w:ind w:left="567" w:hanging="567"/>
        <w:textAlignment w:val="baseline"/>
        <w:rPr>
          <w:szCs w:val="20"/>
          <w:lang w:val="cs-CZ"/>
        </w:rPr>
      </w:pPr>
      <w:r w:rsidRPr="003B6E11">
        <w:rPr>
          <w:lang w:val="cs-CZ"/>
        </w:rPr>
        <w:t>4.2</w:t>
      </w:r>
      <w:r w:rsidRPr="003B6E11">
        <w:rPr>
          <w:lang w:val="cs-CZ"/>
        </w:rPr>
        <w:tab/>
      </w:r>
      <m:oMath>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II</m:t>
            </m:r>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2</m:t>
            </m:r>
          </m:sub>
        </m:sSub>
        <m:r>
          <w:rPr>
            <w:rFonts w:ascii="Cambria Math" w:hAnsi="Cambria Math"/>
            <w:szCs w:val="20"/>
            <w:lang w:val="cs-CZ"/>
          </w:rPr>
          <m:t xml:space="preserve"> ∙ </m:t>
        </m:r>
        <m:sSub>
          <m:sSubPr>
            <m:ctrlPr>
              <w:rPr>
                <w:rFonts w:ascii="Cambria Math" w:hAnsi="Cambria Math"/>
                <w:i/>
                <w:szCs w:val="20"/>
                <w:lang w:val="cs-CZ"/>
              </w:rPr>
            </m:ctrlPr>
          </m:sSubPr>
          <m:e>
            <m:sSup>
              <m:sSupPr>
                <m:ctrlPr>
                  <w:rPr>
                    <w:rFonts w:ascii="Cambria Math" w:hAnsi="Cambria Math"/>
                    <w:i/>
                    <w:szCs w:val="20"/>
                    <w:lang w:val="cs-CZ"/>
                  </w:rPr>
                </m:ctrlPr>
              </m:sSupPr>
              <m:e>
                <m:r>
                  <w:rPr>
                    <w:rFonts w:ascii="Cambria Math" w:hAnsi="Cambria Math"/>
                    <w:szCs w:val="20"/>
                    <w:lang w:val="cs-CZ"/>
                  </w:rPr>
                  <m:t>v</m:t>
                </m:r>
              </m:e>
              <m:sup>
                <m:r>
                  <w:rPr>
                    <w:rFonts w:ascii="Cambria Math" w:hAnsi="Cambria Math"/>
                    <w:szCs w:val="20"/>
                    <w:lang w:val="cs-CZ"/>
                  </w:rPr>
                  <m:t>2</m:t>
                </m:r>
              </m:sup>
            </m:sSup>
          </m:e>
          <m:sub>
            <m:r>
              <w:rPr>
                <w:rFonts w:ascii="Cambria Math" w:hAnsi="Cambria Math"/>
                <w:szCs w:val="20"/>
                <w:lang w:val="cs-CZ"/>
              </w:rPr>
              <m:t>II</m:t>
            </m:r>
          </m:sub>
        </m:sSub>
        <m:r>
          <w:rPr>
            <w:rFonts w:ascii="Cambria Math" w:hAnsi="Cambria Math"/>
            <w:szCs w:val="20"/>
            <w:lang w:val="cs-CZ"/>
          </w:rPr>
          <m:t xml:space="preserve"> ∙ </m:t>
        </m:r>
        <m:f>
          <m:fPr>
            <m:ctrlPr>
              <w:rPr>
                <w:rFonts w:ascii="Cambria Math" w:hAnsi="Cambria Math"/>
                <w:i/>
                <w:szCs w:val="20"/>
                <w:lang w:val="cs-CZ"/>
              </w:rPr>
            </m:ctrlPr>
          </m:fPr>
          <m:num>
            <m:r>
              <w:rPr>
                <w:rFonts w:ascii="Cambria Math" w:hAnsi="Cambria Math"/>
                <w:szCs w:val="20"/>
                <w:lang w:val="cs-CZ"/>
              </w:rPr>
              <m:t>D ∙g</m:t>
            </m:r>
          </m:num>
          <m:den>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3</m:t>
                </m:r>
              </m:sub>
            </m:sSub>
            <m:r>
              <w:rPr>
                <w:rFonts w:ascii="Cambria Math" w:hAnsi="Cambria Math"/>
                <w:szCs w:val="20"/>
                <w:lang w:val="cs-CZ"/>
              </w:rPr>
              <m:t xml:space="preserve"> ∙ </m:t>
            </m:r>
            <m:sSub>
              <m:sSubPr>
                <m:ctrlPr>
                  <w:rPr>
                    <w:rFonts w:ascii="Cambria Math" w:hAnsi="Cambria Math"/>
                    <w:i/>
                    <w:szCs w:val="20"/>
                    <w:lang w:val="cs-CZ"/>
                  </w:rPr>
                </m:ctrlPr>
              </m:sSubPr>
              <m:e>
                <m:r>
                  <w:rPr>
                    <w:rFonts w:ascii="Cambria Math" w:hAnsi="Cambria Math"/>
                    <w:szCs w:val="20"/>
                    <w:lang w:val="cs-CZ"/>
                  </w:rPr>
                  <m:t>F</m:t>
                </m:r>
              </m:e>
              <m:sub>
                <m:r>
                  <w:rPr>
                    <w:rFonts w:ascii="Cambria Math" w:hAnsi="Cambria Math"/>
                    <w:szCs w:val="20"/>
                    <w:lang w:val="cs-CZ"/>
                  </w:rPr>
                  <m:t>POR</m:t>
                </m:r>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TmII</m:t>
                </m:r>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G</m:t>
                </m:r>
              </m:sub>
            </m:sSub>
          </m:den>
        </m:f>
        <m:r>
          <w:rPr>
            <w:rFonts w:ascii="Cambria Math" w:hAnsi="Cambria Math"/>
            <w:szCs w:val="20"/>
            <w:lang w:val="cs-CZ"/>
          </w:rPr>
          <m:t xml:space="preserve">∙ </m:t>
        </m:r>
        <m:d>
          <m:dPr>
            <m:ctrlPr>
              <w:rPr>
                <w:rFonts w:ascii="Cambria Math" w:hAnsi="Cambria Math"/>
                <w:i/>
                <w:szCs w:val="20"/>
                <w:lang w:val="cs-CZ"/>
              </w:rPr>
            </m:ctrlPr>
          </m:dPr>
          <m:e>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4</m:t>
                </m:r>
              </m:sub>
            </m:sSub>
            <m:r>
              <w:rPr>
                <w:rFonts w:ascii="Cambria Math" w:hAnsi="Cambria Math"/>
                <w:szCs w:val="20"/>
                <w:lang w:val="cs-CZ"/>
              </w:rPr>
              <m:t xml:space="preserve">+ </m:t>
            </m:r>
            <m:f>
              <m:fPr>
                <m:ctrlPr>
                  <w:rPr>
                    <w:rFonts w:ascii="Cambria Math" w:hAnsi="Cambria Math"/>
                    <w:i/>
                    <w:szCs w:val="20"/>
                    <w:lang w:val="cs-CZ"/>
                  </w:rPr>
                </m:ctrlPr>
              </m:fPr>
              <m:num>
                <m:sSub>
                  <m:sSubPr>
                    <m:ctrlPr>
                      <w:rPr>
                        <w:rFonts w:ascii="Cambria Math" w:hAnsi="Cambria Math"/>
                        <w:i/>
                        <w:szCs w:val="20"/>
                        <w:lang w:val="cs-CZ"/>
                      </w:rPr>
                    </m:ctrlPr>
                  </m:sSubPr>
                  <m:e>
                    <m:r>
                      <w:rPr>
                        <w:rFonts w:ascii="Cambria Math" w:hAnsi="Cambria Math"/>
                        <w:szCs w:val="20"/>
                        <w:lang w:val="cs-CZ"/>
                      </w:rPr>
                      <m:t>v</m:t>
                    </m:r>
                  </m:e>
                  <m:sub>
                    <m:r>
                      <w:rPr>
                        <w:rFonts w:ascii="Cambria Math" w:hAnsi="Cambria Math"/>
                        <w:szCs w:val="20"/>
                        <w:lang w:val="cs-CZ"/>
                      </w:rPr>
                      <m:t>STR</m:t>
                    </m:r>
                  </m:sub>
                </m:sSub>
              </m:num>
              <m:den>
                <m:sSub>
                  <m:sSubPr>
                    <m:ctrlPr>
                      <w:rPr>
                        <w:rFonts w:ascii="Cambria Math" w:hAnsi="Cambria Math"/>
                        <w:i/>
                        <w:szCs w:val="20"/>
                        <w:lang w:val="cs-CZ"/>
                      </w:rPr>
                    </m:ctrlPr>
                  </m:sSubPr>
                  <m:e>
                    <m:r>
                      <w:rPr>
                        <w:rFonts w:ascii="Cambria Math" w:hAnsi="Cambria Math"/>
                        <w:szCs w:val="20"/>
                        <w:lang w:val="cs-CZ"/>
                      </w:rPr>
                      <m:t>v</m:t>
                    </m:r>
                  </m:e>
                  <m:sub>
                    <m:r>
                      <w:rPr>
                        <w:rFonts w:ascii="Cambria Math" w:hAnsi="Cambria Math"/>
                        <w:szCs w:val="20"/>
                        <w:lang w:val="cs-CZ"/>
                      </w:rPr>
                      <m:t>II</m:t>
                    </m:r>
                  </m:sub>
                </m:sSub>
              </m:den>
            </m:f>
          </m:e>
        </m:d>
      </m:oMath>
      <w:r w:rsidRPr="003B6E11">
        <w:rPr>
          <w:lang w:val="cs-CZ"/>
        </w:rPr>
        <w:tab/>
        <w:t>-</w:t>
      </w:r>
      <w:r w:rsidRPr="003B6E11">
        <w:rPr>
          <w:lang w:val="cs-CZ"/>
        </w:rPr>
        <w:tab/>
      </w:r>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2</m:t>
            </m:r>
          </m:sub>
        </m:sSub>
      </m:oMath>
      <w:r w:rsidRPr="003B6E11">
        <w:rPr>
          <w:lang w:val="cs-CZ"/>
        </w:rPr>
        <w:t xml:space="preserve">, </w:t>
      </w:r>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3</m:t>
            </m:r>
          </m:sub>
        </m:sSub>
      </m:oMath>
      <w:r w:rsidRPr="003B6E11">
        <w:rPr>
          <w:lang w:val="cs-CZ"/>
        </w:rPr>
        <w:t xml:space="preserve">, </w:t>
      </w:r>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4</m:t>
            </m:r>
          </m:sub>
        </m:sSub>
      </m:oMath>
      <w:r w:rsidRPr="003B6E11">
        <w:rPr>
          <w:lang w:val="cs-CZ"/>
        </w:rPr>
        <w:t xml:space="preserve"> podle tabulky 1</w:t>
      </w:r>
    </w:p>
    <w:p w:rsidR="003B6E11" w:rsidRPr="003B6E11" w:rsidRDefault="003B6E11" w:rsidP="003B6E11">
      <w:pPr>
        <w:tabs>
          <w:tab w:val="left" w:pos="5954"/>
          <w:tab w:val="left" w:pos="6379"/>
        </w:tabs>
        <w:overflowPunct w:val="0"/>
        <w:adjustRightInd w:val="0"/>
        <w:textAlignment w:val="baseline"/>
        <w:rPr>
          <w:szCs w:val="20"/>
          <w:lang w:val="cs-CZ"/>
        </w:rPr>
      </w:pPr>
    </w:p>
    <w:p w:rsidR="003B6E11" w:rsidRPr="003B6E11" w:rsidRDefault="003B6E11" w:rsidP="003B6E11">
      <w:pPr>
        <w:tabs>
          <w:tab w:val="left" w:pos="5954"/>
          <w:tab w:val="left" w:pos="6379"/>
        </w:tabs>
        <w:overflowPunct w:val="0"/>
        <w:adjustRightInd w:val="0"/>
        <w:textAlignment w:val="baseline"/>
        <w:rPr>
          <w:szCs w:val="20"/>
          <w:lang w:val="cs-CZ"/>
        </w:rPr>
      </w:pPr>
    </w:p>
    <w:p w:rsidR="003B6E11" w:rsidRPr="003B6E11" w:rsidRDefault="003B6E11" w:rsidP="003B6E11">
      <w:pPr>
        <w:tabs>
          <w:tab w:val="left" w:pos="1134"/>
          <w:tab w:val="left" w:pos="1418"/>
          <w:tab w:val="left" w:pos="5954"/>
          <w:tab w:val="left" w:pos="6379"/>
        </w:tabs>
        <w:overflowPunct w:val="0"/>
        <w:adjustRightInd w:val="0"/>
        <w:spacing w:line="240" w:lineRule="atLeast"/>
        <w:ind w:left="567" w:hanging="567"/>
        <w:textAlignment w:val="baseline"/>
        <w:rPr>
          <w:szCs w:val="20"/>
          <w:lang w:val="cs-CZ"/>
        </w:rPr>
      </w:pPr>
      <w:r w:rsidRPr="003B6E11">
        <w:rPr>
          <w:lang w:val="cs-CZ"/>
        </w:rPr>
        <w:t>4.3</w:t>
      </w:r>
      <w:r w:rsidRPr="003B6E11">
        <w:rPr>
          <w:lang w:val="cs-CZ"/>
        </w:rPr>
        <w:tab/>
      </w:r>
      <m:oMath>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TmII</m:t>
            </m:r>
          </m:sub>
        </m:sSub>
        <m:r>
          <w:rPr>
            <w:rFonts w:ascii="Cambria Math" w:hAnsi="Cambria Math"/>
            <w:szCs w:val="20"/>
            <w:lang w:val="cs-CZ"/>
          </w:rPr>
          <m:t xml:space="preserve">= </m:t>
        </m:r>
        <m:d>
          <m:dPr>
            <m:ctrlPr>
              <w:rPr>
                <w:rFonts w:ascii="Cambria Math" w:hAnsi="Cambria Math"/>
                <w:i/>
                <w:szCs w:val="20"/>
                <w:lang w:val="cs-CZ"/>
              </w:rPr>
            </m:ctrlPr>
          </m:dPr>
          <m:e>
            <m:f>
              <m:fPr>
                <m:ctrlPr>
                  <w:rPr>
                    <w:rFonts w:ascii="Cambria Math" w:hAnsi="Cambria Math"/>
                    <w:i/>
                    <w:szCs w:val="20"/>
                    <w:lang w:val="cs-CZ"/>
                  </w:rPr>
                </m:ctrlPr>
              </m:fPr>
              <m:num>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T</m:t>
                    </m:r>
                  </m:sub>
                </m:sSub>
              </m:num>
              <m:den>
                <m:sSup>
                  <m:sSupPr>
                    <m:ctrlPr>
                      <w:rPr>
                        <w:rFonts w:ascii="Cambria Math" w:hAnsi="Cambria Math"/>
                        <w:i/>
                        <w:szCs w:val="20"/>
                        <w:lang w:val="cs-CZ"/>
                      </w:rPr>
                    </m:ctrlPr>
                  </m:sSupPr>
                  <m:e>
                    <m:r>
                      <w:rPr>
                        <w:rFonts w:ascii="Cambria Math" w:hAnsi="Cambria Math"/>
                        <w:szCs w:val="20"/>
                        <w:lang w:val="cs-CZ"/>
                      </w:rPr>
                      <m:t>v</m:t>
                    </m:r>
                  </m:e>
                  <m:sup>
                    <m:r>
                      <w:rPr>
                        <w:rFonts w:ascii="Cambria Math" w:hAnsi="Cambria Math"/>
                        <w:szCs w:val="20"/>
                        <w:lang w:val="cs-CZ"/>
                      </w:rPr>
                      <m:t>2</m:t>
                    </m:r>
                  </m:sup>
                </m:sSup>
              </m:den>
            </m:f>
          </m:e>
        </m:d>
        <m:r>
          <w:rPr>
            <w:rFonts w:ascii="Cambria Math" w:hAnsi="Cambria Math"/>
            <w:szCs w:val="20"/>
            <w:lang w:val="cs-CZ"/>
          </w:rPr>
          <m:t xml:space="preserve"> ∙ </m:t>
        </m:r>
        <m:sSup>
          <m:sSupPr>
            <m:ctrlPr>
              <w:rPr>
                <w:rFonts w:ascii="Cambria Math" w:hAnsi="Cambria Math"/>
                <w:i/>
                <w:szCs w:val="20"/>
                <w:lang w:val="cs-CZ"/>
              </w:rPr>
            </m:ctrlPr>
          </m:sSupPr>
          <m:e>
            <m:d>
              <m:dPr>
                <m:ctrlPr>
                  <w:rPr>
                    <w:rFonts w:ascii="Cambria Math" w:hAnsi="Cambria Math"/>
                    <w:i/>
                    <w:szCs w:val="20"/>
                    <w:lang w:val="cs-CZ"/>
                  </w:rPr>
                </m:ctrlPr>
              </m:dPr>
              <m:e>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7</m:t>
                    </m:r>
                  </m:sub>
                </m:sSub>
                <m:r>
                  <w:rPr>
                    <w:rFonts w:ascii="Cambria Math" w:hAnsi="Cambria Math"/>
                    <w:szCs w:val="20"/>
                    <w:lang w:val="cs-CZ"/>
                  </w:rPr>
                  <m:t xml:space="preserve"> ∙ </m:t>
                </m:r>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6</m:t>
                    </m:r>
                  </m:sub>
                </m:sSub>
                <m:r>
                  <w:rPr>
                    <w:rFonts w:ascii="Cambria Math" w:hAnsi="Cambria Math"/>
                    <w:szCs w:val="20"/>
                    <w:lang w:val="cs-CZ"/>
                  </w:rPr>
                  <m:t xml:space="preserve"> ∙ </m:t>
                </m:r>
                <m:d>
                  <m:dPr>
                    <m:ctrlPr>
                      <w:rPr>
                        <w:rFonts w:ascii="Cambria Math" w:hAnsi="Cambria Math"/>
                        <w:i/>
                        <w:szCs w:val="20"/>
                        <w:lang w:val="cs-CZ"/>
                      </w:rPr>
                    </m:ctrlPr>
                  </m:dPr>
                  <m:e>
                    <m:sSub>
                      <m:sSubPr>
                        <m:ctrlPr>
                          <w:rPr>
                            <w:rFonts w:ascii="Cambria Math" w:hAnsi="Cambria Math"/>
                            <w:i/>
                            <w:szCs w:val="20"/>
                            <w:lang w:val="cs-CZ"/>
                          </w:rPr>
                        </m:ctrlPr>
                      </m:sSubPr>
                      <m:e>
                        <m:r>
                          <w:rPr>
                            <w:rFonts w:ascii="Cambria Math" w:hAnsi="Cambria Math"/>
                            <w:szCs w:val="20"/>
                            <w:lang w:val="cs-CZ"/>
                          </w:rPr>
                          <m:t>v</m:t>
                        </m:r>
                      </m:e>
                      <m:sub>
                        <m:r>
                          <w:rPr>
                            <w:rFonts w:ascii="Cambria Math" w:hAnsi="Cambria Math"/>
                            <w:szCs w:val="20"/>
                            <w:lang w:val="cs-CZ"/>
                          </w:rPr>
                          <m:t>L</m:t>
                        </m:r>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v</m:t>
                        </m:r>
                      </m:e>
                      <m:sub>
                        <m:r>
                          <w:rPr>
                            <w:rFonts w:ascii="Cambria Math" w:hAnsi="Cambria Math"/>
                            <w:szCs w:val="20"/>
                            <w:lang w:val="cs-CZ"/>
                          </w:rPr>
                          <m:t>STR</m:t>
                        </m:r>
                      </m:sub>
                    </m:sSub>
                  </m:e>
                </m:d>
              </m:e>
            </m:d>
          </m:e>
          <m:sup>
            <m:r>
              <w:rPr>
                <w:rFonts w:ascii="Cambria Math" w:hAnsi="Cambria Math"/>
                <w:szCs w:val="20"/>
                <w:lang w:val="cs-CZ"/>
              </w:rPr>
              <m:t>2</m:t>
            </m:r>
          </m:sup>
        </m:sSup>
      </m:oMath>
      <w:r w:rsidRPr="003B6E11">
        <w:rPr>
          <w:lang w:val="cs-CZ"/>
        </w:rPr>
        <w:tab/>
        <w:t>-</w:t>
      </w:r>
      <w:r w:rsidRPr="003B6E11">
        <w:rPr>
          <w:lang w:val="cs-CZ"/>
        </w:rPr>
        <w:tab/>
      </w:r>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6</m:t>
            </m:r>
          </m:sub>
        </m:sSub>
      </m:oMath>
      <w:r w:rsidRPr="003B6E11">
        <w:rPr>
          <w:lang w:val="cs-CZ"/>
        </w:rPr>
        <w:t xml:space="preserve">, </w:t>
      </w:r>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7</m:t>
            </m:r>
          </m:sub>
        </m:sSub>
      </m:oMath>
      <w:r w:rsidRPr="003B6E11">
        <w:rPr>
          <w:lang w:val="cs-CZ"/>
        </w:rPr>
        <w:t xml:space="preserve"> </w:t>
      </w:r>
      <w:r w:rsidRPr="003B6E11">
        <w:rPr>
          <w:sz w:val="18"/>
          <w:lang w:val="cs-CZ"/>
        </w:rPr>
        <w:t>podle tabulky 1</w:t>
      </w:r>
    </w:p>
    <w:p w:rsidR="003B6E11" w:rsidRPr="003B6E11" w:rsidRDefault="003B6E11" w:rsidP="003B6E11">
      <w:pPr>
        <w:tabs>
          <w:tab w:val="left" w:pos="5954"/>
          <w:tab w:val="left" w:pos="6379"/>
        </w:tabs>
        <w:overflowPunct w:val="0"/>
        <w:adjustRightInd w:val="0"/>
        <w:spacing w:line="240" w:lineRule="atLeast"/>
        <w:textAlignment w:val="baseline"/>
        <w:rPr>
          <w:szCs w:val="20"/>
          <w:lang w:val="cs-CZ"/>
        </w:rPr>
      </w:pPr>
      <w:r w:rsidRPr="003B6E11">
        <w:rPr>
          <w:lang w:val="cs-CZ"/>
        </w:rPr>
        <w:tab/>
        <w:t>-</w:t>
      </w:r>
      <w:r w:rsidRPr="003B6E11">
        <w:rPr>
          <w:lang w:val="cs-CZ"/>
        </w:rPr>
        <w:tab/>
      </w:r>
      <m:oMath>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T</m:t>
            </m:r>
          </m:sub>
        </m:sSub>
        <m:r>
          <w:rPr>
            <w:rFonts w:ascii="Cambria Math" w:hAnsi="Cambria Math"/>
            <w:szCs w:val="20"/>
            <w:lang w:val="cs-CZ"/>
          </w:rPr>
          <m:t>/</m:t>
        </m:r>
        <m:sSup>
          <m:sSupPr>
            <m:ctrlPr>
              <w:rPr>
                <w:rFonts w:ascii="Cambria Math" w:hAnsi="Cambria Math"/>
                <w:i/>
                <w:szCs w:val="20"/>
                <w:lang w:val="cs-CZ"/>
              </w:rPr>
            </m:ctrlPr>
          </m:sSupPr>
          <m:e>
            <m:r>
              <w:rPr>
                <w:rFonts w:ascii="Cambria Math" w:hAnsi="Cambria Math"/>
                <w:szCs w:val="20"/>
                <w:lang w:val="cs-CZ"/>
              </w:rPr>
              <m:t>v</m:t>
            </m:r>
          </m:e>
          <m:sup>
            <m:r>
              <w:rPr>
                <w:rFonts w:ascii="Cambria Math" w:hAnsi="Cambria Math"/>
                <w:szCs w:val="20"/>
                <w:lang w:val="cs-CZ"/>
              </w:rPr>
              <m:t>2</m:t>
            </m:r>
          </m:sup>
        </m:sSup>
      </m:oMath>
      <w:r w:rsidRPr="003B6E11">
        <w:rPr>
          <w:lang w:val="cs-CZ"/>
        </w:rPr>
        <w:t xml:space="preserve"> </w:t>
      </w:r>
      <w:r w:rsidRPr="003B6E11">
        <w:rPr>
          <w:sz w:val="18"/>
          <w:lang w:val="cs-CZ"/>
        </w:rPr>
        <w:t>podle tabulky 3</w:t>
      </w:r>
    </w:p>
    <w:p w:rsidR="003B6E11" w:rsidRPr="003B6E11" w:rsidRDefault="003B6E11" w:rsidP="003B6E11">
      <w:pPr>
        <w:tabs>
          <w:tab w:val="left" w:pos="5954"/>
          <w:tab w:val="left" w:pos="6379"/>
          <w:tab w:val="left" w:pos="6663"/>
        </w:tabs>
        <w:overflowPunct w:val="0"/>
        <w:adjustRightInd w:val="0"/>
        <w:textAlignment w:val="baseline"/>
        <w:rPr>
          <w:szCs w:val="20"/>
          <w:lang w:val="cs-CZ"/>
        </w:rPr>
      </w:pPr>
    </w:p>
    <w:p w:rsidR="003B6E11" w:rsidRPr="003B6E11" w:rsidRDefault="003B6E11" w:rsidP="003B6E11">
      <w:pPr>
        <w:tabs>
          <w:tab w:val="left" w:pos="1134"/>
          <w:tab w:val="left" w:pos="1418"/>
          <w:tab w:val="left" w:pos="5954"/>
          <w:tab w:val="left" w:pos="6379"/>
          <w:tab w:val="left" w:pos="6663"/>
        </w:tabs>
        <w:overflowPunct w:val="0"/>
        <w:adjustRightInd w:val="0"/>
        <w:spacing w:line="240" w:lineRule="atLeast"/>
        <w:ind w:left="567" w:hanging="567"/>
        <w:textAlignment w:val="baseline"/>
        <w:rPr>
          <w:szCs w:val="20"/>
          <w:lang w:val="cs-CZ"/>
        </w:rPr>
      </w:pPr>
      <w:r w:rsidRPr="003B6E11">
        <w:rPr>
          <w:lang w:val="cs-CZ"/>
        </w:rPr>
        <w:t>4.4</w:t>
      </w:r>
      <w:r w:rsidRPr="003B6E11">
        <w:rPr>
          <w:lang w:val="cs-CZ"/>
        </w:rPr>
        <w:tab/>
      </w:r>
      <m:oMath>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G</m:t>
            </m:r>
          </m:sub>
        </m:sSub>
        <m:r>
          <w:rPr>
            <w:rFonts w:ascii="Cambria Math" w:hAnsi="Cambria Math"/>
            <w:szCs w:val="20"/>
            <w:lang w:val="cs-CZ"/>
          </w:rPr>
          <m:t xml:space="preserve">=i ∙D ∙ ρ ∙g ∙ </m:t>
        </m:r>
        <m:sSup>
          <m:sSupPr>
            <m:ctrlPr>
              <w:rPr>
                <w:rFonts w:ascii="Cambria Math" w:hAnsi="Cambria Math"/>
                <w:i/>
                <w:szCs w:val="20"/>
                <w:lang w:val="cs-CZ"/>
              </w:rPr>
            </m:ctrlPr>
          </m:sSupPr>
          <m:e>
            <m:r>
              <w:rPr>
                <w:rFonts w:ascii="Cambria Math" w:hAnsi="Cambria Math"/>
                <w:szCs w:val="20"/>
                <w:lang w:val="cs-CZ"/>
              </w:rPr>
              <m:t>10</m:t>
            </m:r>
          </m:e>
          <m:sup>
            <m:r>
              <w:rPr>
                <w:rFonts w:ascii="Cambria Math" w:hAnsi="Cambria Math"/>
                <w:szCs w:val="20"/>
                <w:lang w:val="cs-CZ"/>
              </w:rPr>
              <m:t>-6</m:t>
            </m:r>
          </m:sup>
        </m:sSup>
      </m:oMath>
    </w:p>
    <w:p w:rsidR="003B6E11" w:rsidRPr="003B6E11" w:rsidRDefault="003B6E11" w:rsidP="003B6E11">
      <w:pPr>
        <w:tabs>
          <w:tab w:val="left" w:pos="5954"/>
          <w:tab w:val="left" w:pos="6379"/>
          <w:tab w:val="left" w:pos="6663"/>
        </w:tabs>
        <w:overflowPunct w:val="0"/>
        <w:adjustRightInd w:val="0"/>
        <w:spacing w:line="240" w:lineRule="atLeast"/>
        <w:textAlignment w:val="baseline"/>
        <w:rPr>
          <w:szCs w:val="20"/>
          <w:lang w:val="cs-CZ"/>
        </w:rPr>
      </w:pPr>
    </w:p>
    <w:p w:rsidR="003B6E11" w:rsidRPr="003B6E11" w:rsidRDefault="003B6E11" w:rsidP="003B6E11">
      <w:pPr>
        <w:tabs>
          <w:tab w:val="left" w:pos="1134"/>
          <w:tab w:val="left" w:pos="1418"/>
          <w:tab w:val="left" w:pos="5954"/>
          <w:tab w:val="left" w:pos="6379"/>
        </w:tabs>
        <w:overflowPunct w:val="0"/>
        <w:adjustRightInd w:val="0"/>
        <w:spacing w:line="240" w:lineRule="atLeast"/>
        <w:ind w:left="567" w:hanging="567"/>
        <w:textAlignment w:val="baseline"/>
        <w:rPr>
          <w:szCs w:val="20"/>
          <w:lang w:val="cs-CZ"/>
        </w:rPr>
      </w:pPr>
      <w:r w:rsidRPr="003B6E11">
        <w:rPr>
          <w:lang w:val="cs-CZ"/>
        </w:rPr>
        <w:t>4.5</w:t>
      </w:r>
      <w:r w:rsidRPr="003B6E11">
        <w:rPr>
          <w:lang w:val="cs-CZ"/>
        </w:rPr>
        <w:tab/>
      </w:r>
      <m:oMath>
        <m:sSub>
          <m:sSubPr>
            <m:ctrlPr>
              <w:rPr>
                <w:rFonts w:ascii="Cambria Math" w:hAnsi="Cambria Math"/>
                <w:i/>
                <w:szCs w:val="20"/>
                <w:lang w:val="cs-CZ"/>
              </w:rPr>
            </m:ctrlPr>
          </m:sSubPr>
          <m:e>
            <m:r>
              <w:rPr>
                <w:rFonts w:ascii="Cambria Math" w:hAnsi="Cambria Math"/>
                <w:szCs w:val="20"/>
                <w:lang w:val="cs-CZ"/>
              </w:rPr>
              <m:t>v</m:t>
            </m:r>
          </m:e>
          <m:sub>
            <m:r>
              <w:rPr>
                <w:rFonts w:ascii="Cambria Math" w:hAnsi="Cambria Math"/>
                <w:szCs w:val="20"/>
                <w:lang w:val="cs-CZ"/>
              </w:rPr>
              <m:t>II</m:t>
            </m:r>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6</m:t>
            </m:r>
          </m:sub>
        </m:sSub>
        <m:r>
          <w:rPr>
            <w:rFonts w:ascii="Cambria Math" w:hAnsi="Cambria Math"/>
            <w:szCs w:val="20"/>
            <w:lang w:val="cs-CZ"/>
          </w:rPr>
          <m:t xml:space="preserve"> ∙ </m:t>
        </m:r>
        <m:d>
          <m:dPr>
            <m:ctrlPr>
              <w:rPr>
                <w:rFonts w:ascii="Cambria Math" w:hAnsi="Cambria Math"/>
                <w:i/>
                <w:szCs w:val="20"/>
                <w:lang w:val="cs-CZ"/>
              </w:rPr>
            </m:ctrlPr>
          </m:dPr>
          <m:e>
            <m:sSub>
              <m:sSubPr>
                <m:ctrlPr>
                  <w:rPr>
                    <w:rFonts w:ascii="Cambria Math" w:hAnsi="Cambria Math"/>
                    <w:i/>
                    <w:szCs w:val="20"/>
                    <w:lang w:val="cs-CZ"/>
                  </w:rPr>
                </m:ctrlPr>
              </m:sSubPr>
              <m:e>
                <m:r>
                  <w:rPr>
                    <w:rFonts w:ascii="Cambria Math" w:hAnsi="Cambria Math"/>
                    <w:szCs w:val="20"/>
                    <w:lang w:val="cs-CZ"/>
                  </w:rPr>
                  <m:t>v</m:t>
                </m:r>
              </m:e>
              <m:sub>
                <m:r>
                  <w:rPr>
                    <w:rFonts w:ascii="Cambria Math" w:hAnsi="Cambria Math"/>
                    <w:szCs w:val="20"/>
                    <w:lang w:val="cs-CZ"/>
                  </w:rPr>
                  <m:t>L</m:t>
                </m:r>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v</m:t>
                </m:r>
              </m:e>
              <m:sub>
                <m:r>
                  <w:rPr>
                    <w:rFonts w:ascii="Cambria Math" w:hAnsi="Cambria Math"/>
                    <w:szCs w:val="20"/>
                    <w:lang w:val="cs-CZ"/>
                  </w:rPr>
                  <m:t>STR</m:t>
                </m:r>
              </m:sub>
            </m:sSub>
          </m:e>
        </m:d>
      </m:oMath>
      <w:r w:rsidRPr="003B6E11">
        <w:rPr>
          <w:lang w:val="cs-CZ"/>
        </w:rPr>
        <w:tab/>
        <w:t>-</w:t>
      </w:r>
      <w:r w:rsidRPr="003B6E11">
        <w:rPr>
          <w:lang w:val="cs-CZ"/>
        </w:rPr>
        <w:tab/>
      </w:r>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6</m:t>
            </m:r>
          </m:sub>
        </m:sSub>
      </m:oMath>
      <w:r w:rsidRPr="003B6E11">
        <w:rPr>
          <w:lang w:val="cs-CZ"/>
        </w:rPr>
        <w:t xml:space="preserve"> podle tabulky 1</w:t>
      </w:r>
    </w:p>
    <w:p w:rsidR="003B6E11" w:rsidRPr="003B6E11" w:rsidRDefault="003B6E11" w:rsidP="003B6E11">
      <w:pPr>
        <w:tabs>
          <w:tab w:val="left" w:pos="426"/>
          <w:tab w:val="left" w:pos="5954"/>
          <w:tab w:val="left" w:pos="6379"/>
          <w:tab w:val="left" w:pos="6663"/>
        </w:tabs>
        <w:overflowPunct w:val="0"/>
        <w:adjustRightInd w:val="0"/>
        <w:spacing w:line="240" w:lineRule="atLeast"/>
        <w:ind w:left="426" w:hanging="426"/>
        <w:textAlignment w:val="baseline"/>
        <w:rPr>
          <w:szCs w:val="20"/>
          <w:lang w:val="cs-CZ"/>
        </w:rPr>
      </w:pPr>
    </w:p>
    <w:p w:rsidR="003B6E11" w:rsidRPr="003B6E11" w:rsidRDefault="003B6E11" w:rsidP="003B6E11">
      <w:pPr>
        <w:tabs>
          <w:tab w:val="left" w:pos="1134"/>
          <w:tab w:val="left" w:pos="1418"/>
          <w:tab w:val="left" w:pos="5954"/>
          <w:tab w:val="left" w:pos="6379"/>
        </w:tabs>
        <w:overflowPunct w:val="0"/>
        <w:adjustRightInd w:val="0"/>
        <w:spacing w:line="240" w:lineRule="atLeast"/>
        <w:ind w:left="567" w:hanging="567"/>
        <w:textAlignment w:val="baseline"/>
        <w:rPr>
          <w:szCs w:val="20"/>
          <w:lang w:val="cs-CZ"/>
        </w:rPr>
      </w:pPr>
      <w:r w:rsidRPr="003B6E11">
        <w:rPr>
          <w:lang w:val="cs-CZ"/>
        </w:rPr>
        <w:t>4.6</w:t>
      </w:r>
      <w:r w:rsidRPr="003B6E11">
        <w:rPr>
          <w:lang w:val="cs-CZ"/>
        </w:rPr>
        <w:tab/>
      </w:r>
      <m:oMath>
        <m:sSub>
          <m:sSubPr>
            <m:ctrlPr>
              <w:rPr>
                <w:rFonts w:ascii="Cambria Math" w:hAnsi="Cambria Math"/>
                <w:i/>
                <w:szCs w:val="20"/>
                <w:lang w:val="cs-CZ"/>
              </w:rPr>
            </m:ctrlPr>
          </m:sSubPr>
          <m:e>
            <m:r>
              <w:rPr>
                <w:rFonts w:ascii="Cambria Math" w:hAnsi="Cambria Math"/>
                <w:szCs w:val="20"/>
                <w:lang w:val="cs-CZ"/>
              </w:rPr>
              <m:t>F</m:t>
            </m:r>
          </m:e>
          <m:sub>
            <m:r>
              <w:rPr>
                <w:rFonts w:ascii="Cambria Math" w:hAnsi="Cambria Math"/>
                <w:szCs w:val="20"/>
                <w:lang w:val="cs-CZ"/>
              </w:rPr>
              <m:t>POR</m:t>
            </m:r>
          </m:sub>
        </m:sSub>
        <m:r>
          <w:rPr>
            <w:rFonts w:ascii="Cambria Math" w:hAnsi="Cambria Math"/>
            <w:szCs w:val="20"/>
            <w:lang w:val="cs-CZ"/>
          </w:rPr>
          <m:t xml:space="preserve">=f ∙ </m:t>
        </m:r>
        <m:sSub>
          <m:sSubPr>
            <m:ctrlPr>
              <w:rPr>
                <w:rFonts w:ascii="Cambria Math" w:hAnsi="Cambria Math"/>
                <w:i/>
                <w:szCs w:val="20"/>
                <w:lang w:val="cs-CZ"/>
              </w:rPr>
            </m:ctrlPr>
          </m:sSubPr>
          <m:e>
            <m:r>
              <w:rPr>
                <w:rFonts w:ascii="Cambria Math" w:hAnsi="Cambria Math"/>
                <w:szCs w:val="20"/>
                <w:lang w:val="cs-CZ"/>
              </w:rPr>
              <m:t>P</m:t>
            </m:r>
          </m:e>
          <m:sub>
            <m:r>
              <w:rPr>
                <w:rFonts w:ascii="Cambria Math" w:hAnsi="Cambria Math"/>
                <w:szCs w:val="20"/>
                <w:lang w:val="cs-CZ"/>
              </w:rPr>
              <m:t>B</m:t>
            </m:r>
          </m:sub>
        </m:sSub>
      </m:oMath>
      <w:r w:rsidRPr="003B6E11">
        <w:rPr>
          <w:lang w:val="cs-CZ"/>
        </w:rPr>
        <w:tab/>
        <w:t>-</w:t>
      </w:r>
      <w:r w:rsidRPr="003B6E11">
        <w:rPr>
          <w:lang w:val="cs-CZ"/>
        </w:rPr>
        <w:tab/>
      </w:r>
      <m:oMath>
        <m:r>
          <w:rPr>
            <w:rFonts w:ascii="Cambria Math" w:hAnsi="Cambria Math"/>
            <w:szCs w:val="20"/>
            <w:lang w:val="cs-CZ"/>
          </w:rPr>
          <m:t>f</m:t>
        </m:r>
      </m:oMath>
      <w:r w:rsidRPr="003B6E11">
        <w:rPr>
          <w:lang w:val="cs-CZ"/>
        </w:rPr>
        <w:t xml:space="preserve"> podle tabulky 2</w:t>
      </w:r>
    </w:p>
    <w:p w:rsidR="003B6E11" w:rsidRPr="003B6E11" w:rsidRDefault="003B6E11" w:rsidP="003B6E11">
      <w:pPr>
        <w:tabs>
          <w:tab w:val="left" w:pos="5954"/>
          <w:tab w:val="left" w:pos="6379"/>
          <w:tab w:val="left" w:pos="6663"/>
        </w:tabs>
        <w:overflowPunct w:val="0"/>
        <w:adjustRightInd w:val="0"/>
        <w:spacing w:line="240" w:lineRule="atLeast"/>
        <w:textAlignment w:val="baseline"/>
        <w:rPr>
          <w:szCs w:val="20"/>
          <w:lang w:val="cs-CZ"/>
        </w:rPr>
      </w:pPr>
    </w:p>
    <w:p w:rsidR="003B6E11" w:rsidRPr="003B6E11" w:rsidRDefault="003B6E11" w:rsidP="003B6E11">
      <w:pPr>
        <w:tabs>
          <w:tab w:val="left" w:pos="5954"/>
          <w:tab w:val="left" w:pos="6379"/>
        </w:tabs>
        <w:overflowPunct w:val="0"/>
        <w:adjustRightInd w:val="0"/>
        <w:spacing w:line="240" w:lineRule="atLeast"/>
        <w:ind w:left="567" w:hanging="567"/>
        <w:textAlignment w:val="baseline"/>
        <w:rPr>
          <w:szCs w:val="20"/>
          <w:lang w:val="cs-CZ"/>
        </w:rPr>
      </w:pPr>
      <w:r w:rsidRPr="003B6E11">
        <w:rPr>
          <w:lang w:val="cs-CZ"/>
        </w:rPr>
        <w:t>4.7</w:t>
      </w:r>
      <w:r w:rsidRPr="003B6E11">
        <w:rPr>
          <w:lang w:val="cs-CZ"/>
        </w:rPr>
        <w:tab/>
      </w: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II</m:t>
            </m:r>
          </m:sub>
        </m:sSub>
        <m:r>
          <w:rPr>
            <w:rFonts w:ascii="Cambria Math" w:hAnsi="Cambria Math"/>
            <w:szCs w:val="20"/>
            <w:lang w:val="cs-CZ"/>
          </w:rPr>
          <m:t xml:space="preserve">= </m:t>
        </m:r>
        <m:f>
          <m:fPr>
            <m:ctrlPr>
              <w:rPr>
                <w:rFonts w:ascii="Cambria Math" w:hAnsi="Cambria Math"/>
                <w:i/>
                <w:szCs w:val="20"/>
                <w:lang w:val="cs-CZ"/>
              </w:rPr>
            </m:ctrlPr>
          </m:fPr>
          <m:num>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II</m:t>
                </m:r>
              </m:sub>
            </m:sSub>
          </m:num>
          <m:den>
            <m:sSub>
              <m:sSubPr>
                <m:ctrlPr>
                  <w:rPr>
                    <w:rFonts w:ascii="Cambria Math" w:hAnsi="Cambria Math"/>
                    <w:i/>
                    <w:szCs w:val="20"/>
                    <w:lang w:val="cs-CZ"/>
                  </w:rPr>
                </m:ctrlPr>
              </m:sSubPr>
              <m:e>
                <m:r>
                  <w:rPr>
                    <w:rFonts w:ascii="Cambria Math" w:hAnsi="Cambria Math"/>
                    <w:szCs w:val="20"/>
                    <w:lang w:val="cs-CZ"/>
                  </w:rPr>
                  <m:t>v</m:t>
                </m:r>
              </m:e>
              <m:sub>
                <m:r>
                  <w:rPr>
                    <w:rFonts w:ascii="Cambria Math" w:hAnsi="Cambria Math"/>
                    <w:szCs w:val="20"/>
                    <w:lang w:val="cs-CZ"/>
                  </w:rPr>
                  <m:t>II</m:t>
                </m:r>
              </m:sub>
            </m:sSub>
            <m:r>
              <w:rPr>
                <w:rFonts w:ascii="Cambria Math" w:hAnsi="Cambria Math"/>
                <w:szCs w:val="20"/>
                <w:lang w:val="cs-CZ"/>
              </w:rPr>
              <m:t xml:space="preserve"> ∙ </m:t>
            </m:r>
            <m:d>
              <m:dPr>
                <m:ctrlPr>
                  <w:rPr>
                    <w:rFonts w:ascii="Cambria Math" w:hAnsi="Cambria Math"/>
                    <w:i/>
                    <w:szCs w:val="20"/>
                    <w:lang w:val="cs-CZ"/>
                  </w:rPr>
                </m:ctrlPr>
              </m:dPr>
              <m:e>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4</m:t>
                    </m:r>
                  </m:sub>
                </m:sSub>
                <m:r>
                  <w:rPr>
                    <w:rFonts w:ascii="Cambria Math" w:hAnsi="Cambria Math"/>
                    <w:szCs w:val="20"/>
                    <w:lang w:val="cs-CZ"/>
                  </w:rPr>
                  <m:t xml:space="preserve">+ </m:t>
                </m:r>
                <m:f>
                  <m:fPr>
                    <m:ctrlPr>
                      <w:rPr>
                        <w:rFonts w:ascii="Cambria Math" w:hAnsi="Cambria Math"/>
                        <w:i/>
                        <w:szCs w:val="20"/>
                        <w:lang w:val="cs-CZ"/>
                      </w:rPr>
                    </m:ctrlPr>
                  </m:fPr>
                  <m:num>
                    <m:sSub>
                      <m:sSubPr>
                        <m:ctrlPr>
                          <w:rPr>
                            <w:rFonts w:ascii="Cambria Math" w:hAnsi="Cambria Math"/>
                            <w:i/>
                            <w:szCs w:val="20"/>
                            <w:lang w:val="cs-CZ"/>
                          </w:rPr>
                        </m:ctrlPr>
                      </m:sSubPr>
                      <m:e>
                        <m:r>
                          <w:rPr>
                            <w:rFonts w:ascii="Cambria Math" w:hAnsi="Cambria Math"/>
                            <w:szCs w:val="20"/>
                            <w:lang w:val="cs-CZ"/>
                          </w:rPr>
                          <m:t>v</m:t>
                        </m:r>
                      </m:e>
                      <m:sub>
                        <m:r>
                          <w:rPr>
                            <w:rFonts w:ascii="Cambria Math" w:hAnsi="Cambria Math"/>
                            <w:szCs w:val="20"/>
                            <w:lang w:val="cs-CZ"/>
                          </w:rPr>
                          <m:t>STR</m:t>
                        </m:r>
                      </m:sub>
                    </m:sSub>
                  </m:num>
                  <m:den>
                    <m:sSub>
                      <m:sSubPr>
                        <m:ctrlPr>
                          <w:rPr>
                            <w:rFonts w:ascii="Cambria Math" w:hAnsi="Cambria Math"/>
                            <w:i/>
                            <w:szCs w:val="20"/>
                            <w:lang w:val="cs-CZ"/>
                          </w:rPr>
                        </m:ctrlPr>
                      </m:sSubPr>
                      <m:e>
                        <m:r>
                          <w:rPr>
                            <w:rFonts w:ascii="Cambria Math" w:hAnsi="Cambria Math"/>
                            <w:szCs w:val="20"/>
                            <w:lang w:val="cs-CZ"/>
                          </w:rPr>
                          <m:t>v</m:t>
                        </m:r>
                      </m:e>
                      <m:sub>
                        <m:r>
                          <w:rPr>
                            <w:rFonts w:ascii="Cambria Math" w:hAnsi="Cambria Math"/>
                            <w:szCs w:val="20"/>
                            <w:lang w:val="cs-CZ"/>
                          </w:rPr>
                          <m:t>II</m:t>
                        </m:r>
                      </m:sub>
                    </m:sSub>
                  </m:den>
                </m:f>
              </m:e>
            </m:d>
          </m:den>
        </m:f>
      </m:oMath>
      <w:r w:rsidRPr="003B6E11">
        <w:rPr>
          <w:lang w:val="cs-CZ"/>
        </w:rPr>
        <w:tab/>
        <w:t>-</w:t>
      </w:r>
      <w:r w:rsidRPr="003B6E11">
        <w:rPr>
          <w:lang w:val="cs-CZ"/>
        </w:rPr>
        <w:tab/>
      </w:r>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4</m:t>
            </m:r>
          </m:sub>
        </m:sSub>
      </m:oMath>
      <w:r w:rsidRPr="003B6E11">
        <w:rPr>
          <w:lang w:val="cs-CZ"/>
        </w:rPr>
        <w:t xml:space="preserve"> podle tabulky 1</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r w:rsidRPr="003B6E11">
        <w:rPr>
          <w:lang w:val="cs-CZ"/>
        </w:rPr>
        <w:br w:type="page"/>
      </w:r>
    </w:p>
    <w:p w:rsidR="003B6E11" w:rsidRPr="003B6E11" w:rsidRDefault="003B6E11" w:rsidP="003B6E11">
      <w:pPr>
        <w:overflowPunct w:val="0"/>
        <w:adjustRightInd w:val="0"/>
        <w:textAlignment w:val="baseline"/>
        <w:rPr>
          <w:szCs w:val="20"/>
          <w:lang w:val="cs-CZ"/>
        </w:rPr>
      </w:pPr>
      <w:r w:rsidRPr="003B6E11">
        <w:rPr>
          <w:lang w:val="cs-CZ"/>
        </w:rPr>
        <w:t>Ve vzorcích 4.1 až 4.7:</w:t>
      </w:r>
    </w:p>
    <w:p w:rsidR="003B6E11" w:rsidRPr="003B6E11" w:rsidRDefault="003B6E11" w:rsidP="003B6E11">
      <w:pPr>
        <w:overflowPunct w:val="0"/>
        <w:adjustRightInd w:val="0"/>
        <w:textAlignment w:val="baseline"/>
        <w:rPr>
          <w:szCs w:val="20"/>
          <w:lang w:val="cs-CZ"/>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21"/>
        <w:gridCol w:w="6521"/>
        <w:gridCol w:w="1021"/>
      </w:tblGrid>
      <w:tr w:rsidR="003B6E11" w:rsidRPr="003B6E11" w:rsidTr="002D015D">
        <w:trPr>
          <w:jc w:val="center"/>
        </w:trPr>
        <w:tc>
          <w:tcPr>
            <w:tcW w:w="1021" w:type="dxa"/>
            <w:tcBorders>
              <w:top w:val="nil"/>
              <w:left w:val="nil"/>
              <w:bottom w:val="nil"/>
              <w:right w:val="nil"/>
            </w:tcBorders>
          </w:tcPr>
          <w:p w:rsidR="003B6E11" w:rsidRPr="003B6E11" w:rsidRDefault="002D015D" w:rsidP="002D015D">
            <w:pPr>
              <w:overflowPunct w:val="0"/>
              <w:adjustRightInd w:val="0"/>
              <w:spacing w:before="120" w:after="120"/>
              <w:ind w:left="113" w:right="113"/>
              <w:textAlignment w:val="baseline"/>
              <w:rPr>
                <w:szCs w:val="20"/>
                <w:lang w:val="cs-CZ"/>
              </w:rPr>
            </w:pPr>
            <m:oMathPara>
              <m:oMath>
                <m:sSub>
                  <m:sSubPr>
                    <m:ctrlPr>
                      <w:rPr>
                        <w:rFonts w:ascii="Cambria Math" w:hAnsi="Cambria Math"/>
                        <w:i/>
                        <w:szCs w:val="20"/>
                        <w:lang w:val="cs-CZ"/>
                      </w:rPr>
                    </m:ctrlPr>
                  </m:sSubPr>
                  <m:e>
                    <m:r>
                      <w:rPr>
                        <w:rFonts w:ascii="Cambria Math" w:hAnsi="Cambria Math"/>
                        <w:szCs w:val="20"/>
                        <w:lang w:val="cs-CZ"/>
                      </w:rPr>
                      <m:t>v</m:t>
                    </m:r>
                  </m:e>
                  <m:sub>
                    <m:r>
                      <w:rPr>
                        <w:rFonts w:ascii="Cambria Math" w:hAnsi="Cambria Math"/>
                        <w:szCs w:val="20"/>
                        <w:lang w:val="cs-CZ"/>
                      </w:rPr>
                      <m:t>L</m:t>
                    </m:r>
                  </m:sub>
                </m:sSub>
              </m:oMath>
            </m:oMathPara>
          </w:p>
        </w:tc>
        <w:tc>
          <w:tcPr>
            <w:tcW w:w="65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Rychlost vzhledem k zemi při zahájení změny směru</w:t>
            </w:r>
          </w:p>
        </w:tc>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(m/s)</w:t>
            </w:r>
          </w:p>
        </w:tc>
      </w:tr>
      <w:tr w:rsidR="003B6E11" w:rsidRPr="003B6E11" w:rsidTr="002D015D">
        <w:trPr>
          <w:jc w:val="center"/>
        </w:trPr>
        <w:tc>
          <w:tcPr>
            <w:tcW w:w="1021" w:type="dxa"/>
            <w:tcBorders>
              <w:top w:val="nil"/>
              <w:left w:val="nil"/>
              <w:bottom w:val="nil"/>
              <w:right w:val="nil"/>
            </w:tcBorders>
          </w:tcPr>
          <w:p w:rsidR="003B6E11" w:rsidRPr="003B6E11" w:rsidRDefault="002D015D" w:rsidP="002D015D">
            <w:pPr>
              <w:overflowPunct w:val="0"/>
              <w:adjustRightInd w:val="0"/>
              <w:spacing w:before="120" w:after="120"/>
              <w:ind w:left="113" w:right="113"/>
              <w:textAlignment w:val="baseline"/>
              <w:rPr>
                <w:szCs w:val="20"/>
                <w:lang w:val="cs-CZ"/>
              </w:rPr>
            </w:pPr>
            <m:oMathPara>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I</m:t>
                    </m:r>
                  </m:sub>
                </m:sSub>
              </m:oMath>
            </m:oMathPara>
          </w:p>
        </w:tc>
        <w:tc>
          <w:tcPr>
            <w:tcW w:w="65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Čas změny směru</w:t>
            </w:r>
          </w:p>
        </w:tc>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(s)</w:t>
            </w:r>
          </w:p>
        </w:tc>
      </w:tr>
      <w:tr w:rsidR="003B6E11" w:rsidRPr="003B6E11" w:rsidTr="002D015D">
        <w:trPr>
          <w:jc w:val="center"/>
        </w:trPr>
        <w:tc>
          <w:tcPr>
            <w:tcW w:w="1021" w:type="dxa"/>
            <w:tcBorders>
              <w:top w:val="nil"/>
              <w:left w:val="nil"/>
              <w:bottom w:val="nil"/>
              <w:right w:val="nil"/>
            </w:tcBorders>
          </w:tcPr>
          <w:p w:rsidR="003B6E11" w:rsidRPr="003B6E11" w:rsidRDefault="002D015D" w:rsidP="002D015D">
            <w:pPr>
              <w:overflowPunct w:val="0"/>
              <w:adjustRightInd w:val="0"/>
              <w:spacing w:before="120" w:after="120"/>
              <w:ind w:left="113" w:right="113"/>
              <w:textAlignment w:val="baseline"/>
              <w:rPr>
                <w:szCs w:val="20"/>
                <w:lang w:val="cs-CZ"/>
              </w:rPr>
            </w:pPr>
            <m:oMathPara>
              <m:oMath>
                <m:sSub>
                  <m:sSubPr>
                    <m:ctrlPr>
                      <w:rPr>
                        <w:rFonts w:ascii="Cambria Math" w:hAnsi="Cambria Math"/>
                        <w:i/>
                        <w:szCs w:val="20"/>
                        <w:lang w:val="cs-CZ"/>
                      </w:rPr>
                    </m:ctrlPr>
                  </m:sSubPr>
                  <m:e>
                    <m:r>
                      <w:rPr>
                        <w:rFonts w:ascii="Cambria Math" w:hAnsi="Cambria Math"/>
                        <w:szCs w:val="20"/>
                        <w:lang w:val="cs-CZ"/>
                      </w:rPr>
                      <m:t>v</m:t>
                    </m:r>
                  </m:e>
                  <m:sub>
                    <m:r>
                      <w:rPr>
                        <w:rFonts w:ascii="Cambria Math" w:hAnsi="Cambria Math"/>
                        <w:szCs w:val="20"/>
                        <w:lang w:val="cs-CZ"/>
                      </w:rPr>
                      <m:t>II</m:t>
                    </m:r>
                  </m:sub>
                </m:sSub>
              </m:oMath>
            </m:oMathPara>
          </w:p>
        </w:tc>
        <w:tc>
          <w:tcPr>
            <w:tcW w:w="65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Rychlost vzhledem k vodní hladině na konci změny směru</w:t>
            </w:r>
          </w:p>
        </w:tc>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(m/s)</w:t>
            </w:r>
          </w:p>
        </w:tc>
      </w:tr>
      <w:tr w:rsidR="003B6E11" w:rsidRPr="003B6E11" w:rsidTr="002D015D">
        <w:trPr>
          <w:jc w:val="center"/>
        </w:trPr>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m:oMathPara>
              <m:oMath>
                <m:r>
                  <w:rPr>
                    <w:rFonts w:ascii="Cambria Math" w:hAnsi="Cambria Math"/>
                    <w:szCs w:val="20"/>
                    <w:lang w:val="cs-CZ"/>
                  </w:rPr>
                  <m:t>D</m:t>
                </m:r>
              </m:oMath>
            </m:oMathPara>
          </w:p>
        </w:tc>
        <w:tc>
          <w:tcPr>
            <w:tcW w:w="65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Výtlak</w:t>
            </w:r>
          </w:p>
        </w:tc>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(m</w:t>
            </w:r>
            <w:r w:rsidRPr="003B6E11">
              <w:rPr>
                <w:position w:val="6"/>
                <w:sz w:val="16"/>
                <w:lang w:val="cs-CZ"/>
              </w:rPr>
              <w:t>3</w:t>
            </w:r>
            <w:r w:rsidRPr="003B6E11">
              <w:rPr>
                <w:lang w:val="cs-CZ"/>
              </w:rPr>
              <w:t>)</w:t>
            </w:r>
          </w:p>
        </w:tc>
      </w:tr>
      <w:tr w:rsidR="003B6E11" w:rsidRPr="003B6E11" w:rsidTr="002D015D">
        <w:trPr>
          <w:jc w:val="center"/>
        </w:trPr>
        <w:tc>
          <w:tcPr>
            <w:tcW w:w="1021" w:type="dxa"/>
            <w:tcBorders>
              <w:top w:val="nil"/>
              <w:left w:val="nil"/>
              <w:bottom w:val="nil"/>
              <w:right w:val="nil"/>
            </w:tcBorders>
          </w:tcPr>
          <w:p w:rsidR="003B6E11" w:rsidRPr="003B6E11" w:rsidRDefault="002D015D" w:rsidP="002D015D">
            <w:pPr>
              <w:overflowPunct w:val="0"/>
              <w:adjustRightInd w:val="0"/>
              <w:spacing w:before="120" w:after="120"/>
              <w:ind w:left="113" w:right="113"/>
              <w:textAlignment w:val="baseline"/>
              <w:rPr>
                <w:szCs w:val="20"/>
                <w:lang w:val="cs-CZ"/>
              </w:rPr>
            </w:pPr>
            <m:oMathPara>
              <m:oMath>
                <m:sSub>
                  <m:sSubPr>
                    <m:ctrlPr>
                      <w:rPr>
                        <w:rFonts w:ascii="Cambria Math" w:hAnsi="Cambria Math"/>
                        <w:i/>
                        <w:szCs w:val="20"/>
                        <w:lang w:val="cs-CZ"/>
                      </w:rPr>
                    </m:ctrlPr>
                  </m:sSubPr>
                  <m:e>
                    <m:r>
                      <w:rPr>
                        <w:rFonts w:ascii="Cambria Math" w:hAnsi="Cambria Math"/>
                        <w:szCs w:val="20"/>
                        <w:lang w:val="cs-CZ"/>
                      </w:rPr>
                      <m:t>F</m:t>
                    </m:r>
                  </m:e>
                  <m:sub>
                    <m:r>
                      <w:rPr>
                        <w:rFonts w:ascii="Cambria Math" w:hAnsi="Cambria Math"/>
                        <w:szCs w:val="20"/>
                        <w:lang w:val="cs-CZ"/>
                      </w:rPr>
                      <m:t>POR</m:t>
                    </m:r>
                  </m:sub>
                </m:sSub>
              </m:oMath>
            </m:oMathPara>
          </w:p>
        </w:tc>
        <w:tc>
          <w:tcPr>
            <w:tcW w:w="65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Zpětné přitažení pacholete</w:t>
            </w:r>
          </w:p>
        </w:tc>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(kN)</w:t>
            </w:r>
          </w:p>
        </w:tc>
      </w:tr>
      <w:tr w:rsidR="003B6E11" w:rsidRPr="003B6E11" w:rsidTr="002D015D">
        <w:trPr>
          <w:jc w:val="center"/>
        </w:trPr>
        <w:tc>
          <w:tcPr>
            <w:tcW w:w="1021" w:type="dxa"/>
            <w:tcBorders>
              <w:top w:val="nil"/>
              <w:left w:val="nil"/>
              <w:bottom w:val="nil"/>
              <w:right w:val="nil"/>
            </w:tcBorders>
          </w:tcPr>
          <w:p w:rsidR="003B6E11" w:rsidRPr="003B6E11" w:rsidRDefault="002D015D" w:rsidP="002D015D">
            <w:pPr>
              <w:overflowPunct w:val="0"/>
              <w:adjustRightInd w:val="0"/>
              <w:spacing w:before="120" w:after="120"/>
              <w:ind w:left="113" w:right="113"/>
              <w:textAlignment w:val="baseline"/>
              <w:rPr>
                <w:szCs w:val="20"/>
                <w:lang w:val="cs-CZ"/>
              </w:rPr>
            </w:pPr>
            <m:oMathPara>
              <m:oMath>
                <m:sSub>
                  <m:sSubPr>
                    <m:ctrlPr>
                      <w:rPr>
                        <w:rFonts w:ascii="Cambria Math" w:hAnsi="Cambria Math"/>
                        <w:i/>
                        <w:szCs w:val="20"/>
                        <w:lang w:val="cs-CZ"/>
                      </w:rPr>
                    </m:ctrlPr>
                  </m:sSubPr>
                  <m:e>
                    <m:r>
                      <w:rPr>
                        <w:rFonts w:ascii="Cambria Math" w:hAnsi="Cambria Math"/>
                        <w:szCs w:val="20"/>
                        <w:lang w:val="cs-CZ"/>
                      </w:rPr>
                      <m:t>P</m:t>
                    </m:r>
                  </m:e>
                  <m:sub>
                    <m:r>
                      <w:rPr>
                        <w:rFonts w:ascii="Cambria Math" w:hAnsi="Cambria Math"/>
                        <w:szCs w:val="20"/>
                        <w:lang w:val="cs-CZ"/>
                      </w:rPr>
                      <m:t>B</m:t>
                    </m:r>
                  </m:sub>
                </m:sSub>
              </m:oMath>
            </m:oMathPara>
          </w:p>
        </w:tc>
        <w:tc>
          <w:tcPr>
            <w:tcW w:w="65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Výkon pohonného motoru</w:t>
            </w:r>
          </w:p>
        </w:tc>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(kW)</w:t>
            </w:r>
          </w:p>
        </w:tc>
      </w:tr>
      <w:tr w:rsidR="003B6E11" w:rsidRPr="003B6E11" w:rsidTr="002D015D">
        <w:trPr>
          <w:jc w:val="center"/>
        </w:trPr>
        <w:tc>
          <w:tcPr>
            <w:tcW w:w="1021" w:type="dxa"/>
            <w:tcBorders>
              <w:top w:val="nil"/>
              <w:left w:val="nil"/>
              <w:bottom w:val="nil"/>
              <w:right w:val="nil"/>
            </w:tcBorders>
          </w:tcPr>
          <w:p w:rsidR="003B6E11" w:rsidRPr="003B6E11" w:rsidRDefault="002D015D" w:rsidP="002D015D">
            <w:pPr>
              <w:overflowPunct w:val="0"/>
              <w:adjustRightInd w:val="0"/>
              <w:spacing w:before="120" w:after="120"/>
              <w:ind w:left="113" w:right="113"/>
              <w:textAlignment w:val="baseline"/>
              <w:rPr>
                <w:szCs w:val="20"/>
                <w:lang w:val="cs-CZ"/>
              </w:rPr>
            </w:pPr>
            <m:oMathPara>
              <m:oMath>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TmII</m:t>
                    </m:r>
                  </m:sub>
                </m:sSub>
              </m:oMath>
            </m:oMathPara>
          </w:p>
        </w:tc>
        <w:tc>
          <w:tcPr>
            <w:tcW w:w="65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Průměrný odpor během fáze II</w:t>
            </w:r>
          </w:p>
        </w:tc>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(kN)</w:t>
            </w:r>
          </w:p>
        </w:tc>
      </w:tr>
      <w:tr w:rsidR="003B6E11" w:rsidRPr="003B6E11" w:rsidTr="002D015D">
        <w:trPr>
          <w:jc w:val="center"/>
        </w:trPr>
        <w:tc>
          <w:tcPr>
            <w:tcW w:w="1021" w:type="dxa"/>
            <w:tcBorders>
              <w:top w:val="nil"/>
              <w:left w:val="nil"/>
              <w:bottom w:val="nil"/>
              <w:right w:val="nil"/>
            </w:tcBorders>
          </w:tcPr>
          <w:p w:rsidR="003B6E11" w:rsidRPr="003B6E11" w:rsidRDefault="002D015D" w:rsidP="002D015D">
            <w:pPr>
              <w:overflowPunct w:val="0"/>
              <w:adjustRightInd w:val="0"/>
              <w:spacing w:before="120" w:after="120"/>
              <w:ind w:left="113" w:right="113"/>
              <w:textAlignment w:val="baseline"/>
              <w:rPr>
                <w:szCs w:val="20"/>
                <w:lang w:val="cs-CZ"/>
              </w:rPr>
            </w:pPr>
            <m:oMathPara>
              <m:oMath>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G</m:t>
                    </m:r>
                  </m:sub>
                </m:sSub>
              </m:oMath>
            </m:oMathPara>
          </w:p>
        </w:tc>
        <w:tc>
          <w:tcPr>
            <w:tcW w:w="65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Odpor sklonu</w:t>
            </w:r>
          </w:p>
        </w:tc>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(kN)</w:t>
            </w:r>
          </w:p>
        </w:tc>
      </w:tr>
      <w:tr w:rsidR="003B6E11" w:rsidRPr="003B6E11" w:rsidTr="002D015D">
        <w:trPr>
          <w:jc w:val="center"/>
        </w:trPr>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m:oMathPara>
              <m:oMath>
                <m:r>
                  <w:rPr>
                    <w:rFonts w:ascii="Cambria Math" w:hAnsi="Cambria Math"/>
                    <w:szCs w:val="20"/>
                    <w:lang w:val="cs-CZ"/>
                  </w:rPr>
                  <m:t>i</m:t>
                </m:r>
              </m:oMath>
            </m:oMathPara>
          </w:p>
        </w:tc>
        <w:tc>
          <w:tcPr>
            <w:tcW w:w="65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Sklon v m/km (pokud chybí, použije se hodnota 0,16)</w:t>
            </w:r>
          </w:p>
        </w:tc>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(m/km)</w:t>
            </w:r>
          </w:p>
        </w:tc>
      </w:tr>
      <w:tr w:rsidR="003B6E11" w:rsidRPr="003B6E11" w:rsidTr="002D015D">
        <w:trPr>
          <w:jc w:val="center"/>
        </w:trPr>
        <w:tc>
          <w:tcPr>
            <w:tcW w:w="1021" w:type="dxa"/>
            <w:tcBorders>
              <w:top w:val="nil"/>
              <w:left w:val="nil"/>
              <w:bottom w:val="nil"/>
              <w:right w:val="nil"/>
            </w:tcBorders>
          </w:tcPr>
          <w:p w:rsidR="003B6E11" w:rsidRPr="003B6E11" w:rsidRDefault="002D015D" w:rsidP="002D015D">
            <w:pPr>
              <w:overflowPunct w:val="0"/>
              <w:adjustRightInd w:val="0"/>
              <w:spacing w:before="120" w:after="120"/>
              <w:ind w:left="113" w:right="113"/>
              <w:textAlignment w:val="baseline"/>
              <w:rPr>
                <w:szCs w:val="20"/>
                <w:lang w:val="cs-CZ"/>
              </w:rPr>
            </w:pPr>
            <m:oMathPara>
              <m:oMath>
                <m:sSub>
                  <m:sSubPr>
                    <m:ctrlPr>
                      <w:rPr>
                        <w:rFonts w:ascii="Cambria Math" w:hAnsi="Cambria Math"/>
                        <w:i/>
                        <w:szCs w:val="20"/>
                        <w:lang w:val="cs-CZ"/>
                      </w:rPr>
                    </m:ctrlPr>
                  </m:sSubPr>
                  <m:e>
                    <m:r>
                      <w:rPr>
                        <w:rFonts w:ascii="Cambria Math" w:hAnsi="Cambria Math"/>
                        <w:szCs w:val="20"/>
                        <w:lang w:val="cs-CZ"/>
                      </w:rPr>
                      <m:t>v</m:t>
                    </m:r>
                  </m:e>
                  <m:sub>
                    <m:r>
                      <w:rPr>
                        <w:rFonts w:ascii="Cambria Math" w:hAnsi="Cambria Math"/>
                        <w:szCs w:val="20"/>
                        <w:lang w:val="cs-CZ"/>
                      </w:rPr>
                      <m:t>STR</m:t>
                    </m:r>
                  </m:sub>
                </m:sSub>
              </m:oMath>
            </m:oMathPara>
          </w:p>
        </w:tc>
        <w:tc>
          <w:tcPr>
            <w:tcW w:w="65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Průměrná rychlost proudu</w:t>
            </w:r>
          </w:p>
        </w:tc>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(m/s)</w:t>
            </w:r>
          </w:p>
        </w:tc>
      </w:tr>
      <w:tr w:rsidR="003B6E11" w:rsidRPr="003B6E11" w:rsidTr="002D015D">
        <w:trPr>
          <w:jc w:val="center"/>
        </w:trPr>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m:oMathPara>
              <m:oMath>
                <m:r>
                  <w:rPr>
                    <w:rFonts w:ascii="Cambria Math" w:hAnsi="Cambria Math"/>
                    <w:szCs w:val="20"/>
                    <w:lang w:val="cs-CZ"/>
                  </w:rPr>
                  <m:t>g</m:t>
                </m:r>
              </m:oMath>
            </m:oMathPara>
          </w:p>
        </w:tc>
        <w:tc>
          <w:tcPr>
            <w:tcW w:w="65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Zrychlení způsobené gravitací (9,81)</w:t>
            </w:r>
          </w:p>
        </w:tc>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(m/s</w:t>
            </w:r>
            <w:r w:rsidRPr="003B6E11">
              <w:rPr>
                <w:vertAlign w:val="superscript"/>
                <w:lang w:val="cs-CZ"/>
              </w:rPr>
              <w:t>2</w:t>
            </w:r>
            <w:r w:rsidRPr="003B6E11">
              <w:rPr>
                <w:lang w:val="cs-CZ"/>
              </w:rPr>
              <w:t>)</w:t>
            </w:r>
          </w:p>
        </w:tc>
      </w:tr>
      <w:tr w:rsidR="003B6E11" w:rsidRPr="003B6E11" w:rsidTr="002D015D">
        <w:trPr>
          <w:jc w:val="center"/>
        </w:trPr>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m:oMathPara>
              <m:oMath>
                <m:r>
                  <w:rPr>
                    <w:rFonts w:ascii="Cambria Math" w:hAnsi="Cambria Math"/>
                    <w:szCs w:val="20"/>
                    <w:lang w:val="cs-CZ"/>
                  </w:rPr>
                  <m:t>ρ</m:t>
                </m:r>
              </m:oMath>
            </m:oMathPara>
          </w:p>
        </w:tc>
        <w:tc>
          <w:tcPr>
            <w:tcW w:w="65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 xml:space="preserve">Hustota vody, </w:t>
            </w:r>
            <m:oMath>
              <m:r>
                <w:rPr>
                  <w:rFonts w:ascii="Cambria Math" w:hAnsi="Cambria Math"/>
                  <w:szCs w:val="20"/>
                  <w:lang w:val="cs-CZ"/>
                </w:rPr>
                <m:t>ρ</m:t>
              </m:r>
            </m:oMath>
            <w:r w:rsidRPr="003B6E11">
              <w:rPr>
                <w:lang w:val="cs-CZ"/>
              </w:rPr>
              <w:t xml:space="preserve"> sladké vody = 1000</w:t>
            </w:r>
          </w:p>
        </w:tc>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(kg/m</w:t>
            </w:r>
            <w:r w:rsidRPr="003B6E11">
              <w:rPr>
                <w:position w:val="6"/>
                <w:sz w:val="16"/>
                <w:lang w:val="cs-CZ"/>
              </w:rPr>
              <w:t>3</w:t>
            </w:r>
            <w:r w:rsidRPr="003B6E11">
              <w:rPr>
                <w:lang w:val="cs-CZ"/>
              </w:rPr>
              <w:t>)</w:t>
            </w:r>
          </w:p>
        </w:tc>
      </w:tr>
      <w:tr w:rsidR="003B6E11" w:rsidRPr="003B6E11" w:rsidTr="002D015D">
        <w:trPr>
          <w:jc w:val="center"/>
        </w:trPr>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m:oMathPara>
              <m:oMath>
                <m:r>
                  <w:rPr>
                    <w:rFonts w:ascii="Cambria Math" w:hAnsi="Cambria Math"/>
                    <w:szCs w:val="20"/>
                    <w:lang w:val="cs-CZ"/>
                  </w:rPr>
                  <m:t>T</m:t>
                </m:r>
              </m:oMath>
            </m:oMathPara>
          </w:p>
        </w:tc>
        <w:tc>
          <w:tcPr>
            <w:tcW w:w="65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Maximální ponor (lodě nebo sestavy)</w:t>
            </w:r>
          </w:p>
        </w:tc>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(m)</w:t>
            </w:r>
          </w:p>
        </w:tc>
      </w:tr>
      <w:tr w:rsidR="003B6E11" w:rsidRPr="003B6E11" w:rsidTr="002D015D">
        <w:trPr>
          <w:jc w:val="center"/>
        </w:trPr>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m:oMathPara>
              <m:oMath>
                <m:r>
                  <w:rPr>
                    <w:rFonts w:ascii="Cambria Math" w:hAnsi="Cambria Math"/>
                    <w:szCs w:val="20"/>
                    <w:lang w:val="cs-CZ"/>
                  </w:rPr>
                  <m:t>h</m:t>
                </m:r>
              </m:oMath>
            </m:oMathPara>
          </w:p>
        </w:tc>
        <w:tc>
          <w:tcPr>
            <w:tcW w:w="65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Hloubka vody</w:t>
            </w:r>
          </w:p>
        </w:tc>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(m)</w:t>
            </w:r>
          </w:p>
        </w:tc>
      </w:tr>
      <w:tr w:rsidR="003B6E11" w:rsidRPr="003B6E11" w:rsidTr="002D015D">
        <w:trPr>
          <w:jc w:val="center"/>
        </w:trPr>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m:oMathPara>
              <m:oMath>
                <m:r>
                  <w:rPr>
                    <w:rFonts w:ascii="Cambria Math" w:hAnsi="Cambria Math"/>
                    <w:szCs w:val="20"/>
                    <w:lang w:val="cs-CZ"/>
                  </w:rPr>
                  <m:t>B</m:t>
                </m:r>
              </m:oMath>
            </m:oMathPara>
          </w:p>
        </w:tc>
        <w:tc>
          <w:tcPr>
            <w:tcW w:w="65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Šířka</w:t>
            </w:r>
          </w:p>
        </w:tc>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(m)</w:t>
            </w:r>
          </w:p>
        </w:tc>
      </w:tr>
      <w:tr w:rsidR="003B6E11" w:rsidRPr="003B6E11" w:rsidTr="002D015D">
        <w:trPr>
          <w:jc w:val="center"/>
        </w:trPr>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m:oMathPara>
              <m:oMath>
                <m:r>
                  <w:rPr>
                    <w:rFonts w:ascii="Cambria Math" w:hAnsi="Cambria Math"/>
                    <w:szCs w:val="20"/>
                    <w:lang w:val="cs-CZ"/>
                  </w:rPr>
                  <m:t>L</m:t>
                </m:r>
              </m:oMath>
            </m:oMathPara>
          </w:p>
        </w:tc>
        <w:tc>
          <w:tcPr>
            <w:tcW w:w="65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Délka</w:t>
            </w:r>
          </w:p>
        </w:tc>
        <w:tc>
          <w:tcPr>
            <w:tcW w:w="1021" w:type="dxa"/>
            <w:tcBorders>
              <w:top w:val="nil"/>
              <w:left w:val="nil"/>
              <w:bottom w:val="nil"/>
              <w:right w:val="nil"/>
            </w:tcBorders>
          </w:tcPr>
          <w:p w:rsidR="003B6E11" w:rsidRPr="003B6E11" w:rsidRDefault="003B6E11" w:rsidP="002D015D">
            <w:pPr>
              <w:overflowPunct w:val="0"/>
              <w:adjustRightInd w:val="0"/>
              <w:spacing w:before="120" w:after="120"/>
              <w:ind w:left="113" w:right="113"/>
              <w:textAlignment w:val="baseline"/>
              <w:rPr>
                <w:szCs w:val="20"/>
                <w:lang w:val="cs-CZ"/>
              </w:rPr>
            </w:pPr>
            <w:r w:rsidRPr="003B6E11">
              <w:rPr>
                <w:lang w:val="cs-CZ"/>
              </w:rPr>
              <w:t>(m)</w:t>
            </w:r>
          </w:p>
        </w:tc>
      </w:tr>
    </w:tbl>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tabs>
          <w:tab w:val="left" w:pos="960"/>
          <w:tab w:val="left" w:pos="1344"/>
          <w:tab w:val="left" w:pos="7680"/>
        </w:tabs>
        <w:overflowPunct w:val="0"/>
        <w:adjustRightInd w:val="0"/>
        <w:spacing w:line="240" w:lineRule="exact"/>
        <w:textAlignment w:val="baseline"/>
        <w:rPr>
          <w:szCs w:val="20"/>
          <w:lang w:val="cs-CZ"/>
        </w:rPr>
      </w:pPr>
    </w:p>
    <w:p w:rsidR="003B6E11" w:rsidRPr="003B6E11" w:rsidRDefault="003B6E11" w:rsidP="003B6E11">
      <w:pPr>
        <w:tabs>
          <w:tab w:val="left" w:pos="960"/>
          <w:tab w:val="left" w:pos="1344"/>
          <w:tab w:val="left" w:pos="7680"/>
        </w:tabs>
        <w:overflowPunct w:val="0"/>
        <w:adjustRightInd w:val="0"/>
        <w:spacing w:line="240" w:lineRule="exact"/>
        <w:textAlignment w:val="baseline"/>
        <w:rPr>
          <w:szCs w:val="20"/>
          <w:lang w:val="cs-CZ"/>
        </w:rPr>
      </w:pPr>
      <w:r w:rsidRPr="003B6E11">
        <w:rPr>
          <w:lang w:val="cs-CZ"/>
        </w:rPr>
        <w:br w:type="page"/>
      </w:r>
    </w:p>
    <w:p w:rsidR="003B6E11" w:rsidRPr="003B6E11" w:rsidRDefault="003B6E11" w:rsidP="003B6E11">
      <w:pPr>
        <w:spacing w:line="240" w:lineRule="atLeast"/>
        <w:ind w:left="567"/>
        <w:rPr>
          <w:lang w:val="cs-CZ"/>
        </w:rPr>
      </w:pPr>
      <w:r w:rsidRPr="003B6E11">
        <w:rPr>
          <w:lang w:val="cs-CZ"/>
        </w:rPr>
        <w:t>Koeficienty pro vzorce (4.1), (4.2), (4.3), (4.4), (4.5), (4.6) a (4.7) jsou obsaženy v níže uvedených tabulkách.</w:t>
      </w:r>
    </w:p>
    <w:p w:rsidR="003B6E11" w:rsidRPr="003B6E11" w:rsidRDefault="003B6E11" w:rsidP="003B6E11">
      <w:pPr>
        <w:tabs>
          <w:tab w:val="left" w:pos="960"/>
          <w:tab w:val="left" w:pos="1344"/>
          <w:tab w:val="left" w:pos="7680"/>
        </w:tabs>
        <w:overflowPunct w:val="0"/>
        <w:adjustRightInd w:val="0"/>
        <w:spacing w:line="240" w:lineRule="exact"/>
        <w:textAlignment w:val="baseline"/>
        <w:rPr>
          <w:szCs w:val="20"/>
          <w:lang w:val="cs-CZ"/>
        </w:rPr>
      </w:pPr>
    </w:p>
    <w:p w:rsidR="003B6E11" w:rsidRPr="003B6E11" w:rsidRDefault="003B6E11" w:rsidP="003B6E11">
      <w:pPr>
        <w:tabs>
          <w:tab w:val="left" w:pos="567"/>
        </w:tabs>
        <w:overflowPunct w:val="0"/>
        <w:adjustRightInd w:val="0"/>
        <w:spacing w:line="240" w:lineRule="atLeast"/>
        <w:ind w:left="567"/>
        <w:textAlignment w:val="baseline"/>
        <w:rPr>
          <w:b/>
          <w:szCs w:val="20"/>
          <w:lang w:val="cs-CZ"/>
        </w:rPr>
      </w:pPr>
      <w:r w:rsidRPr="003B6E11">
        <w:rPr>
          <w:b/>
          <w:lang w:val="cs-CZ"/>
        </w:rPr>
        <w:t xml:space="preserve">Tabulka 1: </w:t>
      </w:r>
      <m:oMath>
        <m:r>
          <w:rPr>
            <w:rFonts w:ascii="Cambria Math" w:hAnsi="Cambria Math"/>
            <w:szCs w:val="20"/>
            <w:lang w:val="cs-CZ"/>
          </w:rPr>
          <m:t>k</m:t>
        </m:r>
      </m:oMath>
      <w:r w:rsidRPr="003B6E11">
        <w:rPr>
          <w:b/>
          <w:lang w:val="cs-CZ"/>
        </w:rPr>
        <w:t xml:space="preserve"> faktory pro:</w:t>
      </w:r>
    </w:p>
    <w:p w:rsidR="003B6E11" w:rsidRPr="003B6E11" w:rsidRDefault="003B6E11" w:rsidP="003B6E11">
      <w:pPr>
        <w:spacing w:before="60" w:line="240" w:lineRule="atLeast"/>
        <w:ind w:left="992"/>
        <w:rPr>
          <w:lang w:val="cs-CZ"/>
        </w:rPr>
      </w:pPr>
      <w:r w:rsidRPr="003B6E11">
        <w:rPr>
          <w:lang w:val="cs-CZ"/>
        </w:rPr>
        <w:t>a)</w:t>
      </w:r>
      <w:r w:rsidRPr="003B6E11">
        <w:rPr>
          <w:lang w:val="cs-CZ"/>
        </w:rPr>
        <w:tab/>
        <w:t>MOTOROVÉ LODĚ A SESTAVY v zástupu</w:t>
      </w:r>
    </w:p>
    <w:p w:rsidR="003B6E11" w:rsidRPr="003B6E11" w:rsidRDefault="003B6E11" w:rsidP="003B6E11">
      <w:pPr>
        <w:spacing w:before="60" w:line="240" w:lineRule="atLeast"/>
        <w:ind w:left="992"/>
        <w:rPr>
          <w:lang w:val="cs-CZ"/>
        </w:rPr>
      </w:pPr>
      <w:r w:rsidRPr="003B6E11">
        <w:rPr>
          <w:lang w:val="cs-CZ"/>
        </w:rPr>
        <w:t>b)</w:t>
      </w:r>
      <w:r w:rsidRPr="003B6E11">
        <w:rPr>
          <w:lang w:val="cs-CZ"/>
        </w:rPr>
        <w:tab/>
        <w:t>dvouřadé SESTAVY</w:t>
      </w:r>
    </w:p>
    <w:p w:rsidR="003B6E11" w:rsidRPr="003B6E11" w:rsidRDefault="003B6E11" w:rsidP="003B6E11">
      <w:pPr>
        <w:spacing w:before="60" w:line="240" w:lineRule="atLeast"/>
        <w:ind w:left="992"/>
        <w:rPr>
          <w:lang w:val="cs-CZ"/>
        </w:rPr>
      </w:pPr>
      <w:r w:rsidRPr="003B6E11">
        <w:rPr>
          <w:lang w:val="cs-CZ"/>
        </w:rPr>
        <w:t>c)</w:t>
      </w:r>
      <w:r w:rsidRPr="003B6E11">
        <w:rPr>
          <w:lang w:val="cs-CZ"/>
        </w:rPr>
        <w:tab/>
        <w:t>trojřadé SESTAVY</w:t>
      </w:r>
    </w:p>
    <w:p w:rsidR="003B6E11" w:rsidRPr="003B6E11" w:rsidRDefault="003B6E11" w:rsidP="003B6E11">
      <w:pPr>
        <w:overflowPunct w:val="0"/>
        <w:adjustRightInd w:val="0"/>
        <w:textAlignment w:val="baseline"/>
        <w:rPr>
          <w:szCs w:val="20"/>
          <w:lang w:val="cs-CZ"/>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34"/>
        <w:gridCol w:w="1134"/>
        <w:gridCol w:w="1134"/>
        <w:gridCol w:w="1134"/>
        <w:gridCol w:w="1701"/>
      </w:tblGrid>
      <w:tr w:rsidR="003B6E11" w:rsidRPr="003B6E11" w:rsidTr="002D015D">
        <w:trPr>
          <w:jc w:val="center"/>
        </w:trPr>
        <w:tc>
          <w:tcPr>
            <w:tcW w:w="1134" w:type="dxa"/>
            <w:vAlign w:val="center"/>
          </w:tcPr>
          <w:p w:rsidR="003B6E11" w:rsidRPr="003B6E11" w:rsidRDefault="003B6E11" w:rsidP="002D015D">
            <w:pPr>
              <w:tabs>
                <w:tab w:val="left" w:pos="288"/>
                <w:tab w:val="left" w:pos="1872"/>
                <w:tab w:val="left" w:pos="2952"/>
                <w:tab w:val="left" w:pos="3888"/>
                <w:tab w:val="left" w:pos="4824"/>
              </w:tabs>
              <w:overflowPunct w:val="0"/>
              <w:adjustRightInd w:val="0"/>
              <w:spacing w:before="60" w:after="60" w:line="240" w:lineRule="atLeast"/>
              <w:ind w:left="113" w:right="113"/>
              <w:textAlignment w:val="baseline"/>
              <w:rPr>
                <w:sz w:val="18"/>
                <w:szCs w:val="18"/>
                <w:lang w:val="cs-CZ"/>
              </w:rPr>
            </w:pPr>
          </w:p>
        </w:tc>
        <w:tc>
          <w:tcPr>
            <w:tcW w:w="1134" w:type="dxa"/>
          </w:tcPr>
          <w:p w:rsidR="003B6E11" w:rsidRPr="003B6E11" w:rsidRDefault="003B6E11" w:rsidP="002D015D">
            <w:pPr>
              <w:tabs>
                <w:tab w:val="left" w:pos="288"/>
                <w:tab w:val="left" w:pos="1872"/>
                <w:tab w:val="left" w:pos="2952"/>
                <w:tab w:val="left" w:pos="3888"/>
                <w:tab w:val="left" w:pos="4824"/>
              </w:tabs>
              <w:overflowPunct w:val="0"/>
              <w:adjustRightInd w:val="0"/>
              <w:spacing w:before="60" w:after="60" w:line="240" w:lineRule="atLeast"/>
              <w:ind w:left="113" w:right="113"/>
              <w:jc w:val="center"/>
              <w:textAlignment w:val="baseline"/>
              <w:rPr>
                <w:sz w:val="18"/>
                <w:szCs w:val="18"/>
                <w:lang w:val="cs-CZ"/>
              </w:rPr>
            </w:pPr>
            <w:r w:rsidRPr="003B6E11">
              <w:rPr>
                <w:sz w:val="18"/>
                <w:lang w:val="cs-CZ"/>
              </w:rPr>
              <w:t>a)</w:t>
            </w:r>
          </w:p>
        </w:tc>
        <w:tc>
          <w:tcPr>
            <w:tcW w:w="1134" w:type="dxa"/>
          </w:tcPr>
          <w:p w:rsidR="003B6E11" w:rsidRPr="003B6E11" w:rsidRDefault="003B6E11" w:rsidP="002D015D">
            <w:pPr>
              <w:tabs>
                <w:tab w:val="left" w:pos="288"/>
                <w:tab w:val="left" w:pos="1872"/>
                <w:tab w:val="left" w:pos="2952"/>
                <w:tab w:val="left" w:pos="3888"/>
                <w:tab w:val="left" w:pos="4824"/>
              </w:tabs>
              <w:overflowPunct w:val="0"/>
              <w:adjustRightInd w:val="0"/>
              <w:spacing w:before="60" w:after="60" w:line="240" w:lineRule="atLeast"/>
              <w:ind w:left="113" w:right="113"/>
              <w:jc w:val="center"/>
              <w:textAlignment w:val="baseline"/>
              <w:rPr>
                <w:sz w:val="18"/>
                <w:szCs w:val="18"/>
                <w:lang w:val="cs-CZ"/>
              </w:rPr>
            </w:pPr>
            <w:r w:rsidRPr="003B6E11">
              <w:rPr>
                <w:sz w:val="18"/>
                <w:lang w:val="cs-CZ"/>
              </w:rPr>
              <w:t>b)</w:t>
            </w:r>
          </w:p>
        </w:tc>
        <w:tc>
          <w:tcPr>
            <w:tcW w:w="1134" w:type="dxa"/>
          </w:tcPr>
          <w:p w:rsidR="003B6E11" w:rsidRPr="003B6E11" w:rsidRDefault="003B6E11" w:rsidP="002D015D">
            <w:pPr>
              <w:tabs>
                <w:tab w:val="left" w:pos="288"/>
                <w:tab w:val="left" w:pos="1872"/>
                <w:tab w:val="left" w:pos="2952"/>
                <w:tab w:val="left" w:pos="3888"/>
                <w:tab w:val="left" w:pos="4824"/>
              </w:tabs>
              <w:overflowPunct w:val="0"/>
              <w:adjustRightInd w:val="0"/>
              <w:spacing w:before="60" w:after="60" w:line="240" w:lineRule="atLeast"/>
              <w:ind w:left="113" w:right="113"/>
              <w:jc w:val="center"/>
              <w:textAlignment w:val="baseline"/>
              <w:rPr>
                <w:sz w:val="18"/>
                <w:szCs w:val="18"/>
                <w:lang w:val="cs-CZ"/>
              </w:rPr>
            </w:pPr>
            <w:r w:rsidRPr="003B6E11">
              <w:rPr>
                <w:sz w:val="18"/>
                <w:lang w:val="cs-CZ"/>
              </w:rPr>
              <w:t>c)</w:t>
            </w:r>
          </w:p>
        </w:tc>
        <w:tc>
          <w:tcPr>
            <w:tcW w:w="1701" w:type="dxa"/>
          </w:tcPr>
          <w:p w:rsidR="003B6E11" w:rsidRPr="003B6E11" w:rsidRDefault="003B6E11" w:rsidP="002D015D">
            <w:pPr>
              <w:tabs>
                <w:tab w:val="left" w:pos="288"/>
                <w:tab w:val="left" w:pos="1872"/>
                <w:tab w:val="left" w:pos="2952"/>
                <w:tab w:val="left" w:pos="3888"/>
                <w:tab w:val="left" w:pos="4824"/>
              </w:tabs>
              <w:overflowPunct w:val="0"/>
              <w:adjustRightInd w:val="0"/>
              <w:spacing w:before="60" w:after="60" w:line="240" w:lineRule="atLeast"/>
              <w:ind w:left="113" w:right="113"/>
              <w:jc w:val="center"/>
              <w:textAlignment w:val="baseline"/>
              <w:rPr>
                <w:sz w:val="18"/>
                <w:szCs w:val="18"/>
                <w:lang w:val="cs-CZ"/>
              </w:rPr>
            </w:pPr>
            <w:r w:rsidRPr="003B6E11">
              <w:rPr>
                <w:sz w:val="18"/>
                <w:lang w:val="cs-CZ"/>
              </w:rPr>
              <w:t>Jednotky</w:t>
            </w:r>
          </w:p>
        </w:tc>
      </w:tr>
      <w:tr w:rsidR="003B6E11" w:rsidRPr="003B6E11" w:rsidTr="002D015D">
        <w:trPr>
          <w:jc w:val="center"/>
        </w:trPr>
        <w:tc>
          <w:tcPr>
            <w:tcW w:w="1134" w:type="dxa"/>
          </w:tcPr>
          <w:p w:rsidR="003B6E11" w:rsidRPr="003B6E11" w:rsidRDefault="003B6E11" w:rsidP="002D015D">
            <w:pPr>
              <w:tabs>
                <w:tab w:val="left" w:pos="288"/>
                <w:tab w:val="left" w:pos="1800"/>
                <w:tab w:val="left" w:pos="2880"/>
                <w:tab w:val="left" w:pos="3816"/>
                <w:tab w:val="left" w:pos="4824"/>
              </w:tabs>
              <w:overflowPunct w:val="0"/>
              <w:adjustRightInd w:val="0"/>
              <w:spacing w:before="60" w:after="60" w:line="240" w:lineRule="atLeast"/>
              <w:ind w:left="113" w:right="113"/>
              <w:textAlignment w:val="baseline"/>
              <w:rPr>
                <w:sz w:val="18"/>
                <w:szCs w:val="18"/>
                <w:lang w:val="cs-CZ"/>
              </w:rPr>
            </w:pPr>
          </w:p>
        </w:tc>
        <w:tc>
          <w:tcPr>
            <w:tcW w:w="1134" w:type="dxa"/>
          </w:tcPr>
          <w:p w:rsidR="003B6E11" w:rsidRPr="003B6E11" w:rsidRDefault="003B6E11" w:rsidP="002D015D">
            <w:pPr>
              <w:tabs>
                <w:tab w:val="left" w:pos="288"/>
                <w:tab w:val="left" w:pos="1800"/>
                <w:tab w:val="left" w:pos="2880"/>
                <w:tab w:val="left" w:pos="3816"/>
                <w:tab w:val="left" w:pos="4824"/>
              </w:tabs>
              <w:overflowPunct w:val="0"/>
              <w:adjustRightInd w:val="0"/>
              <w:spacing w:before="60" w:after="60" w:line="240" w:lineRule="atLeast"/>
              <w:ind w:left="113" w:right="113"/>
              <w:textAlignment w:val="baseline"/>
              <w:rPr>
                <w:sz w:val="18"/>
                <w:szCs w:val="18"/>
                <w:lang w:val="cs-CZ"/>
              </w:rPr>
            </w:pPr>
          </w:p>
        </w:tc>
        <w:tc>
          <w:tcPr>
            <w:tcW w:w="1134" w:type="dxa"/>
          </w:tcPr>
          <w:p w:rsidR="003B6E11" w:rsidRPr="003B6E11" w:rsidRDefault="003B6E11" w:rsidP="002D015D">
            <w:pPr>
              <w:tabs>
                <w:tab w:val="left" w:pos="288"/>
                <w:tab w:val="left" w:pos="1800"/>
                <w:tab w:val="left" w:pos="2880"/>
                <w:tab w:val="left" w:pos="3816"/>
                <w:tab w:val="left" w:pos="4824"/>
              </w:tabs>
              <w:overflowPunct w:val="0"/>
              <w:adjustRightInd w:val="0"/>
              <w:spacing w:before="60" w:after="60" w:line="240" w:lineRule="atLeast"/>
              <w:ind w:left="113" w:right="113"/>
              <w:textAlignment w:val="baseline"/>
              <w:rPr>
                <w:sz w:val="18"/>
                <w:szCs w:val="18"/>
                <w:lang w:val="cs-CZ"/>
              </w:rPr>
            </w:pPr>
          </w:p>
        </w:tc>
        <w:tc>
          <w:tcPr>
            <w:tcW w:w="1134" w:type="dxa"/>
          </w:tcPr>
          <w:p w:rsidR="003B6E11" w:rsidRPr="003B6E11" w:rsidRDefault="003B6E11" w:rsidP="002D015D">
            <w:pPr>
              <w:tabs>
                <w:tab w:val="left" w:pos="288"/>
                <w:tab w:val="left" w:pos="1800"/>
                <w:tab w:val="left" w:pos="2880"/>
                <w:tab w:val="left" w:pos="3816"/>
                <w:tab w:val="left" w:pos="4824"/>
              </w:tabs>
              <w:overflowPunct w:val="0"/>
              <w:adjustRightInd w:val="0"/>
              <w:spacing w:before="60" w:after="60" w:line="240" w:lineRule="atLeast"/>
              <w:ind w:left="113" w:right="113"/>
              <w:textAlignment w:val="baseline"/>
              <w:rPr>
                <w:sz w:val="18"/>
                <w:szCs w:val="18"/>
                <w:lang w:val="cs-CZ"/>
              </w:rPr>
            </w:pPr>
          </w:p>
        </w:tc>
        <w:tc>
          <w:tcPr>
            <w:tcW w:w="1701" w:type="dxa"/>
          </w:tcPr>
          <w:p w:rsidR="003B6E11" w:rsidRPr="003B6E11" w:rsidRDefault="003B6E11" w:rsidP="002D015D">
            <w:pPr>
              <w:tabs>
                <w:tab w:val="left" w:pos="288"/>
                <w:tab w:val="left" w:pos="1800"/>
                <w:tab w:val="left" w:pos="2880"/>
                <w:tab w:val="left" w:pos="3816"/>
                <w:tab w:val="left" w:pos="4824"/>
              </w:tabs>
              <w:overflowPunct w:val="0"/>
              <w:adjustRightInd w:val="0"/>
              <w:spacing w:before="60" w:after="60" w:line="240" w:lineRule="atLeast"/>
              <w:ind w:left="113" w:right="113"/>
              <w:textAlignment w:val="baseline"/>
              <w:rPr>
                <w:sz w:val="18"/>
                <w:szCs w:val="18"/>
                <w:lang w:val="cs-CZ"/>
              </w:rPr>
            </w:pPr>
          </w:p>
        </w:tc>
      </w:tr>
      <w:tr w:rsidR="003B6E11" w:rsidRPr="003B6E11" w:rsidTr="002D015D">
        <w:trPr>
          <w:jc w:val="center"/>
        </w:trPr>
        <w:tc>
          <w:tcPr>
            <w:tcW w:w="1134" w:type="dxa"/>
          </w:tcPr>
          <w:p w:rsidR="003B6E11" w:rsidRPr="003B6E11" w:rsidRDefault="002D015D" w:rsidP="002D015D">
            <w:pPr>
              <w:tabs>
                <w:tab w:val="left" w:pos="288"/>
                <w:tab w:val="left" w:pos="1800"/>
                <w:tab w:val="left" w:pos="2880"/>
                <w:tab w:val="left" w:pos="3816"/>
                <w:tab w:val="left" w:pos="5112"/>
              </w:tabs>
              <w:overflowPunct w:val="0"/>
              <w:adjustRightInd w:val="0"/>
              <w:spacing w:before="60" w:after="60" w:line="240" w:lineRule="atLeast"/>
              <w:ind w:left="113" w:right="113"/>
              <w:textAlignment w:val="baseline"/>
              <w:rPr>
                <w:sz w:val="18"/>
                <w:szCs w:val="18"/>
                <w:lang w:val="cs-CZ"/>
              </w:rPr>
            </w:pPr>
            <m:oMathPara>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1</m:t>
                    </m:r>
                  </m:sub>
                </m:sSub>
              </m:oMath>
            </m:oMathPara>
          </w:p>
        </w:tc>
        <w:tc>
          <w:tcPr>
            <w:tcW w:w="1134" w:type="dxa"/>
          </w:tcPr>
          <w:p w:rsidR="003B6E11" w:rsidRPr="003B6E11" w:rsidRDefault="003B6E11" w:rsidP="002D015D">
            <w:pPr>
              <w:tabs>
                <w:tab w:val="decimal" w:pos="454"/>
              </w:tabs>
              <w:overflowPunct w:val="0"/>
              <w:adjustRightInd w:val="0"/>
              <w:spacing w:before="60" w:after="60" w:line="240" w:lineRule="atLeast"/>
              <w:ind w:left="113" w:right="113"/>
              <w:textAlignment w:val="baseline"/>
              <w:rPr>
                <w:sz w:val="18"/>
                <w:szCs w:val="18"/>
                <w:lang w:val="cs-CZ"/>
              </w:rPr>
            </w:pPr>
            <w:r w:rsidRPr="003B6E11">
              <w:rPr>
                <w:sz w:val="18"/>
                <w:lang w:val="cs-CZ"/>
              </w:rPr>
              <w:t>0,95</w:t>
            </w:r>
          </w:p>
        </w:tc>
        <w:tc>
          <w:tcPr>
            <w:tcW w:w="1134" w:type="dxa"/>
          </w:tcPr>
          <w:p w:rsidR="003B6E11" w:rsidRPr="003B6E11" w:rsidRDefault="003B6E11" w:rsidP="002D015D">
            <w:pPr>
              <w:tabs>
                <w:tab w:val="decimal" w:pos="454"/>
              </w:tabs>
              <w:overflowPunct w:val="0"/>
              <w:adjustRightInd w:val="0"/>
              <w:spacing w:before="60" w:after="60" w:line="240" w:lineRule="atLeast"/>
              <w:ind w:left="113" w:right="113"/>
              <w:textAlignment w:val="baseline"/>
              <w:rPr>
                <w:sz w:val="18"/>
                <w:szCs w:val="18"/>
                <w:lang w:val="cs-CZ"/>
              </w:rPr>
            </w:pPr>
            <w:r w:rsidRPr="003B6E11">
              <w:rPr>
                <w:sz w:val="18"/>
                <w:lang w:val="cs-CZ"/>
              </w:rPr>
              <w:t>0,95</w:t>
            </w:r>
          </w:p>
        </w:tc>
        <w:tc>
          <w:tcPr>
            <w:tcW w:w="1134" w:type="dxa"/>
          </w:tcPr>
          <w:p w:rsidR="003B6E11" w:rsidRPr="003B6E11" w:rsidRDefault="003B6E11" w:rsidP="002D015D">
            <w:pPr>
              <w:tabs>
                <w:tab w:val="decimal" w:pos="454"/>
              </w:tabs>
              <w:overflowPunct w:val="0"/>
              <w:adjustRightInd w:val="0"/>
              <w:spacing w:before="60" w:after="60" w:line="240" w:lineRule="atLeast"/>
              <w:ind w:left="113" w:right="113"/>
              <w:textAlignment w:val="baseline"/>
              <w:rPr>
                <w:sz w:val="18"/>
                <w:szCs w:val="18"/>
                <w:lang w:val="cs-CZ"/>
              </w:rPr>
            </w:pPr>
            <w:r w:rsidRPr="003B6E11">
              <w:rPr>
                <w:sz w:val="18"/>
                <w:lang w:val="cs-CZ"/>
              </w:rPr>
              <w:t>0,95</w:t>
            </w:r>
          </w:p>
        </w:tc>
        <w:tc>
          <w:tcPr>
            <w:tcW w:w="1701" w:type="dxa"/>
          </w:tcPr>
          <w:p w:rsidR="003B6E11" w:rsidRPr="003B6E11" w:rsidRDefault="003B6E11" w:rsidP="002D015D">
            <w:pPr>
              <w:tabs>
                <w:tab w:val="left" w:pos="288"/>
                <w:tab w:val="left" w:pos="1800"/>
                <w:tab w:val="left" w:pos="2880"/>
                <w:tab w:val="left" w:pos="3816"/>
                <w:tab w:val="left" w:pos="5112"/>
              </w:tabs>
              <w:overflowPunct w:val="0"/>
              <w:adjustRightInd w:val="0"/>
              <w:spacing w:before="60" w:after="60" w:line="240" w:lineRule="atLeast"/>
              <w:ind w:left="113" w:right="113"/>
              <w:jc w:val="center"/>
              <w:textAlignment w:val="baseline"/>
              <w:rPr>
                <w:sz w:val="18"/>
                <w:szCs w:val="18"/>
                <w:lang w:val="cs-CZ"/>
              </w:rPr>
            </w:pPr>
            <w:r w:rsidRPr="003B6E11">
              <w:rPr>
                <w:sz w:val="18"/>
                <w:lang w:val="cs-CZ"/>
              </w:rPr>
              <w:t>-</w:t>
            </w:r>
          </w:p>
        </w:tc>
      </w:tr>
      <w:tr w:rsidR="003B6E11" w:rsidRPr="003B6E11" w:rsidTr="002D015D">
        <w:trPr>
          <w:jc w:val="center"/>
        </w:trPr>
        <w:tc>
          <w:tcPr>
            <w:tcW w:w="1134" w:type="dxa"/>
          </w:tcPr>
          <w:p w:rsidR="003B6E11" w:rsidRPr="003B6E11" w:rsidRDefault="002D015D" w:rsidP="002D015D">
            <w:pPr>
              <w:tabs>
                <w:tab w:val="left" w:pos="288"/>
                <w:tab w:val="left" w:pos="1800"/>
                <w:tab w:val="left" w:pos="2880"/>
                <w:tab w:val="left" w:pos="3816"/>
                <w:tab w:val="left" w:pos="5112"/>
              </w:tabs>
              <w:overflowPunct w:val="0"/>
              <w:adjustRightInd w:val="0"/>
              <w:spacing w:before="60" w:after="60" w:line="240" w:lineRule="atLeast"/>
              <w:ind w:left="113" w:right="113"/>
              <w:textAlignment w:val="baseline"/>
              <w:rPr>
                <w:sz w:val="18"/>
                <w:szCs w:val="18"/>
                <w:lang w:val="cs-CZ"/>
              </w:rPr>
            </w:pPr>
            <m:oMathPara>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2</m:t>
                    </m:r>
                  </m:sub>
                </m:sSub>
              </m:oMath>
            </m:oMathPara>
          </w:p>
        </w:tc>
        <w:tc>
          <w:tcPr>
            <w:tcW w:w="1134" w:type="dxa"/>
          </w:tcPr>
          <w:p w:rsidR="003B6E11" w:rsidRPr="003B6E11" w:rsidRDefault="003B6E11" w:rsidP="002D015D">
            <w:pPr>
              <w:tabs>
                <w:tab w:val="decimal" w:pos="454"/>
              </w:tabs>
              <w:overflowPunct w:val="0"/>
              <w:adjustRightInd w:val="0"/>
              <w:spacing w:before="60" w:after="60" w:line="240" w:lineRule="atLeast"/>
              <w:ind w:left="113" w:right="113"/>
              <w:textAlignment w:val="baseline"/>
              <w:rPr>
                <w:sz w:val="18"/>
                <w:szCs w:val="18"/>
                <w:lang w:val="cs-CZ"/>
              </w:rPr>
            </w:pPr>
            <w:r w:rsidRPr="003B6E11">
              <w:rPr>
                <w:sz w:val="18"/>
                <w:lang w:val="cs-CZ"/>
              </w:rPr>
              <w:t>0,115</w:t>
            </w:r>
          </w:p>
        </w:tc>
        <w:tc>
          <w:tcPr>
            <w:tcW w:w="1134" w:type="dxa"/>
          </w:tcPr>
          <w:p w:rsidR="003B6E11" w:rsidRPr="003B6E11" w:rsidRDefault="003B6E11" w:rsidP="002D015D">
            <w:pPr>
              <w:tabs>
                <w:tab w:val="decimal" w:pos="454"/>
              </w:tabs>
              <w:overflowPunct w:val="0"/>
              <w:adjustRightInd w:val="0"/>
              <w:spacing w:before="60" w:after="60" w:line="240" w:lineRule="atLeast"/>
              <w:ind w:left="113" w:right="113"/>
              <w:textAlignment w:val="baseline"/>
              <w:rPr>
                <w:sz w:val="18"/>
                <w:szCs w:val="18"/>
                <w:lang w:val="cs-CZ"/>
              </w:rPr>
            </w:pPr>
            <w:r w:rsidRPr="003B6E11">
              <w:rPr>
                <w:sz w:val="18"/>
                <w:lang w:val="cs-CZ"/>
              </w:rPr>
              <w:t>0,120</w:t>
            </w:r>
          </w:p>
        </w:tc>
        <w:tc>
          <w:tcPr>
            <w:tcW w:w="1134" w:type="dxa"/>
          </w:tcPr>
          <w:p w:rsidR="003B6E11" w:rsidRPr="003B6E11" w:rsidRDefault="003B6E11" w:rsidP="002D015D">
            <w:pPr>
              <w:tabs>
                <w:tab w:val="decimal" w:pos="454"/>
              </w:tabs>
              <w:overflowPunct w:val="0"/>
              <w:adjustRightInd w:val="0"/>
              <w:spacing w:before="60" w:after="60" w:line="240" w:lineRule="atLeast"/>
              <w:ind w:left="113" w:right="113"/>
              <w:textAlignment w:val="baseline"/>
              <w:rPr>
                <w:sz w:val="18"/>
                <w:szCs w:val="18"/>
                <w:lang w:val="cs-CZ"/>
              </w:rPr>
            </w:pPr>
            <w:r w:rsidRPr="003B6E11">
              <w:rPr>
                <w:sz w:val="18"/>
                <w:lang w:val="cs-CZ"/>
              </w:rPr>
              <w:t>0,125</w:t>
            </w:r>
          </w:p>
        </w:tc>
        <w:tc>
          <w:tcPr>
            <w:tcW w:w="1701" w:type="dxa"/>
          </w:tcPr>
          <w:p w:rsidR="003B6E11" w:rsidRPr="003B6E11" w:rsidRDefault="002D015D" w:rsidP="002D015D">
            <w:pPr>
              <w:tabs>
                <w:tab w:val="left" w:pos="567"/>
                <w:tab w:val="left" w:pos="1800"/>
                <w:tab w:val="left" w:pos="2880"/>
                <w:tab w:val="left" w:pos="3816"/>
                <w:tab w:val="left" w:pos="5112"/>
              </w:tabs>
              <w:overflowPunct w:val="0"/>
              <w:adjustRightInd w:val="0"/>
              <w:spacing w:before="60" w:after="60" w:line="240" w:lineRule="atLeast"/>
              <w:ind w:left="113" w:right="113"/>
              <w:textAlignment w:val="baseline"/>
              <w:rPr>
                <w:sz w:val="18"/>
                <w:szCs w:val="18"/>
                <w:lang w:val="cs-CZ"/>
              </w:rPr>
            </w:pPr>
            <m:oMathPara>
              <m:oMath>
                <m:f>
                  <m:fPr>
                    <m:ctrlPr>
                      <w:rPr>
                        <w:rFonts w:ascii="Cambria Math" w:hAnsi="Cambria Math"/>
                        <w:i/>
                        <w:sz w:val="18"/>
                        <w:szCs w:val="18"/>
                        <w:lang w:val="cs-CZ"/>
                      </w:rPr>
                    </m:ctrlPr>
                  </m:fPr>
                  <m:num>
                    <m:sSub>
                      <m:sSubPr>
                        <m:ctrlPr>
                          <w:rPr>
                            <w:rFonts w:ascii="Cambria Math" w:hAnsi="Cambria Math"/>
                            <w:i/>
                            <w:sz w:val="18"/>
                            <w:szCs w:val="18"/>
                            <w:lang w:val="cs-CZ"/>
                          </w:rPr>
                        </m:ctrlPr>
                      </m:sSubPr>
                      <m:e>
                        <m:r>
                          <w:rPr>
                            <w:rFonts w:ascii="Cambria Math" w:hAnsi="Cambria Math"/>
                            <w:sz w:val="18"/>
                            <w:szCs w:val="18"/>
                            <w:lang w:val="cs-CZ"/>
                          </w:rPr>
                          <m:t>k</m:t>
                        </m:r>
                      </m:e>
                      <m:sub>
                        <m:r>
                          <w:rPr>
                            <w:rFonts w:ascii="Cambria Math" w:hAnsi="Cambria Math"/>
                            <w:sz w:val="18"/>
                            <w:szCs w:val="18"/>
                            <w:lang w:val="cs-CZ"/>
                          </w:rPr>
                          <m:t>g</m:t>
                        </m:r>
                      </m:sub>
                    </m:sSub>
                    <m:r>
                      <w:rPr>
                        <w:rFonts w:ascii="Cambria Math" w:hAnsi="Cambria Math"/>
                        <w:sz w:val="18"/>
                        <w:szCs w:val="18"/>
                        <w:lang w:val="cs-CZ"/>
                      </w:rPr>
                      <m:t xml:space="preserve"> ∙ </m:t>
                    </m:r>
                    <m:sSup>
                      <m:sSupPr>
                        <m:ctrlPr>
                          <w:rPr>
                            <w:rFonts w:ascii="Cambria Math" w:hAnsi="Cambria Math"/>
                            <w:i/>
                            <w:sz w:val="18"/>
                            <w:szCs w:val="18"/>
                            <w:lang w:val="cs-CZ"/>
                          </w:rPr>
                        </m:ctrlPr>
                      </m:sSupPr>
                      <m:e>
                        <m:r>
                          <w:rPr>
                            <w:rFonts w:ascii="Cambria Math" w:hAnsi="Cambria Math"/>
                            <w:sz w:val="18"/>
                            <w:szCs w:val="18"/>
                            <w:lang w:val="cs-CZ"/>
                          </w:rPr>
                          <m:t>s</m:t>
                        </m:r>
                      </m:e>
                      <m:sup>
                        <m:r>
                          <w:rPr>
                            <w:rFonts w:ascii="Cambria Math" w:hAnsi="Cambria Math"/>
                            <w:sz w:val="18"/>
                            <w:szCs w:val="18"/>
                            <w:lang w:val="cs-CZ"/>
                          </w:rPr>
                          <m:t>2</m:t>
                        </m:r>
                      </m:sup>
                    </m:sSup>
                  </m:num>
                  <m:den>
                    <m:sSup>
                      <m:sSupPr>
                        <m:ctrlPr>
                          <w:rPr>
                            <w:rFonts w:ascii="Cambria Math" w:hAnsi="Cambria Math"/>
                            <w:i/>
                            <w:sz w:val="18"/>
                            <w:szCs w:val="18"/>
                            <w:lang w:val="cs-CZ"/>
                          </w:rPr>
                        </m:ctrlPr>
                      </m:sSupPr>
                      <m:e>
                        <m:r>
                          <w:rPr>
                            <w:rFonts w:ascii="Cambria Math" w:hAnsi="Cambria Math"/>
                            <w:sz w:val="18"/>
                            <w:szCs w:val="18"/>
                            <w:lang w:val="cs-CZ"/>
                          </w:rPr>
                          <m:t>m</m:t>
                        </m:r>
                      </m:e>
                      <m:sup>
                        <m:r>
                          <w:rPr>
                            <w:rFonts w:ascii="Cambria Math" w:hAnsi="Cambria Math"/>
                            <w:sz w:val="18"/>
                            <w:szCs w:val="18"/>
                            <w:lang w:val="cs-CZ"/>
                          </w:rPr>
                          <m:t>4</m:t>
                        </m:r>
                      </m:sup>
                    </m:sSup>
                  </m:den>
                </m:f>
              </m:oMath>
            </m:oMathPara>
          </w:p>
        </w:tc>
      </w:tr>
      <w:tr w:rsidR="003B6E11" w:rsidRPr="003B6E11" w:rsidTr="002D015D">
        <w:trPr>
          <w:jc w:val="center"/>
        </w:trPr>
        <w:tc>
          <w:tcPr>
            <w:tcW w:w="1134" w:type="dxa"/>
          </w:tcPr>
          <w:p w:rsidR="003B6E11" w:rsidRPr="003B6E11" w:rsidRDefault="002D015D" w:rsidP="002D015D">
            <w:pPr>
              <w:tabs>
                <w:tab w:val="left" w:pos="288"/>
                <w:tab w:val="left" w:pos="1800"/>
                <w:tab w:val="left" w:pos="2880"/>
                <w:tab w:val="left" w:pos="3816"/>
                <w:tab w:val="left" w:pos="5112"/>
              </w:tabs>
              <w:overflowPunct w:val="0"/>
              <w:adjustRightInd w:val="0"/>
              <w:spacing w:before="60" w:after="60" w:line="240" w:lineRule="atLeast"/>
              <w:ind w:left="113" w:right="113"/>
              <w:textAlignment w:val="baseline"/>
              <w:rPr>
                <w:sz w:val="18"/>
                <w:szCs w:val="18"/>
                <w:lang w:val="cs-CZ"/>
              </w:rPr>
            </w:pPr>
            <m:oMathPara>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3</m:t>
                    </m:r>
                  </m:sub>
                </m:sSub>
              </m:oMath>
            </m:oMathPara>
          </w:p>
        </w:tc>
        <w:tc>
          <w:tcPr>
            <w:tcW w:w="1134" w:type="dxa"/>
          </w:tcPr>
          <w:p w:rsidR="003B6E11" w:rsidRPr="003B6E11" w:rsidRDefault="003B6E11" w:rsidP="002D015D">
            <w:pPr>
              <w:tabs>
                <w:tab w:val="decimal" w:pos="454"/>
              </w:tabs>
              <w:overflowPunct w:val="0"/>
              <w:adjustRightInd w:val="0"/>
              <w:spacing w:before="60" w:after="60" w:line="240" w:lineRule="atLeast"/>
              <w:ind w:left="113" w:right="113"/>
              <w:textAlignment w:val="baseline"/>
              <w:rPr>
                <w:sz w:val="18"/>
                <w:szCs w:val="18"/>
                <w:lang w:val="cs-CZ"/>
              </w:rPr>
            </w:pPr>
            <w:r w:rsidRPr="003B6E11">
              <w:rPr>
                <w:sz w:val="18"/>
                <w:lang w:val="cs-CZ"/>
              </w:rPr>
              <w:t>1,20</w:t>
            </w:r>
          </w:p>
        </w:tc>
        <w:tc>
          <w:tcPr>
            <w:tcW w:w="1134" w:type="dxa"/>
          </w:tcPr>
          <w:p w:rsidR="003B6E11" w:rsidRPr="003B6E11" w:rsidRDefault="003B6E11" w:rsidP="002D015D">
            <w:pPr>
              <w:tabs>
                <w:tab w:val="decimal" w:pos="454"/>
              </w:tabs>
              <w:overflowPunct w:val="0"/>
              <w:adjustRightInd w:val="0"/>
              <w:spacing w:before="60" w:after="60" w:line="240" w:lineRule="atLeast"/>
              <w:ind w:left="113" w:right="113"/>
              <w:textAlignment w:val="baseline"/>
              <w:rPr>
                <w:sz w:val="18"/>
                <w:szCs w:val="18"/>
                <w:lang w:val="cs-CZ"/>
              </w:rPr>
            </w:pPr>
            <w:r w:rsidRPr="003B6E11">
              <w:rPr>
                <w:sz w:val="18"/>
                <w:lang w:val="cs-CZ"/>
              </w:rPr>
              <w:t>1,15</w:t>
            </w:r>
          </w:p>
        </w:tc>
        <w:tc>
          <w:tcPr>
            <w:tcW w:w="1134" w:type="dxa"/>
          </w:tcPr>
          <w:p w:rsidR="003B6E11" w:rsidRPr="003B6E11" w:rsidRDefault="003B6E11" w:rsidP="002D015D">
            <w:pPr>
              <w:tabs>
                <w:tab w:val="decimal" w:pos="454"/>
              </w:tabs>
              <w:overflowPunct w:val="0"/>
              <w:adjustRightInd w:val="0"/>
              <w:spacing w:before="60" w:after="60" w:line="240" w:lineRule="atLeast"/>
              <w:ind w:left="113" w:right="113"/>
              <w:textAlignment w:val="baseline"/>
              <w:rPr>
                <w:sz w:val="18"/>
                <w:szCs w:val="18"/>
                <w:lang w:val="cs-CZ"/>
              </w:rPr>
            </w:pPr>
            <w:r w:rsidRPr="003B6E11">
              <w:rPr>
                <w:sz w:val="18"/>
                <w:lang w:val="cs-CZ"/>
              </w:rPr>
              <w:t>1,10</w:t>
            </w:r>
          </w:p>
        </w:tc>
        <w:tc>
          <w:tcPr>
            <w:tcW w:w="1701" w:type="dxa"/>
          </w:tcPr>
          <w:p w:rsidR="003B6E11" w:rsidRPr="003B6E11" w:rsidRDefault="003B6E11" w:rsidP="002D015D">
            <w:pPr>
              <w:tabs>
                <w:tab w:val="left" w:pos="288"/>
                <w:tab w:val="left" w:pos="1800"/>
                <w:tab w:val="left" w:pos="2880"/>
                <w:tab w:val="left" w:pos="3816"/>
                <w:tab w:val="left" w:pos="5112"/>
              </w:tabs>
              <w:overflowPunct w:val="0"/>
              <w:adjustRightInd w:val="0"/>
              <w:spacing w:before="60" w:after="60" w:line="240" w:lineRule="atLeast"/>
              <w:ind w:left="113" w:right="113"/>
              <w:jc w:val="center"/>
              <w:textAlignment w:val="baseline"/>
              <w:rPr>
                <w:sz w:val="18"/>
                <w:szCs w:val="18"/>
                <w:lang w:val="cs-CZ"/>
              </w:rPr>
            </w:pPr>
            <w:r w:rsidRPr="003B6E11">
              <w:rPr>
                <w:sz w:val="18"/>
                <w:lang w:val="cs-CZ"/>
              </w:rPr>
              <w:t>-</w:t>
            </w:r>
          </w:p>
        </w:tc>
      </w:tr>
      <w:tr w:rsidR="003B6E11" w:rsidRPr="003B6E11" w:rsidTr="002D015D">
        <w:trPr>
          <w:jc w:val="center"/>
        </w:trPr>
        <w:tc>
          <w:tcPr>
            <w:tcW w:w="1134" w:type="dxa"/>
          </w:tcPr>
          <w:p w:rsidR="003B6E11" w:rsidRPr="003B6E11" w:rsidRDefault="002D015D" w:rsidP="002D015D">
            <w:pPr>
              <w:tabs>
                <w:tab w:val="left" w:pos="288"/>
                <w:tab w:val="left" w:pos="1800"/>
                <w:tab w:val="left" w:pos="2880"/>
                <w:tab w:val="left" w:pos="3816"/>
                <w:tab w:val="left" w:pos="5112"/>
              </w:tabs>
              <w:overflowPunct w:val="0"/>
              <w:adjustRightInd w:val="0"/>
              <w:spacing w:before="60" w:after="60" w:line="240" w:lineRule="atLeast"/>
              <w:ind w:left="113" w:right="113"/>
              <w:textAlignment w:val="baseline"/>
              <w:rPr>
                <w:sz w:val="18"/>
                <w:szCs w:val="18"/>
                <w:lang w:val="cs-CZ"/>
              </w:rPr>
            </w:pPr>
            <m:oMathPara>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4</m:t>
                    </m:r>
                  </m:sub>
                </m:sSub>
              </m:oMath>
            </m:oMathPara>
          </w:p>
        </w:tc>
        <w:tc>
          <w:tcPr>
            <w:tcW w:w="1134" w:type="dxa"/>
          </w:tcPr>
          <w:p w:rsidR="003B6E11" w:rsidRPr="003B6E11" w:rsidRDefault="003B6E11" w:rsidP="002D015D">
            <w:pPr>
              <w:tabs>
                <w:tab w:val="decimal" w:pos="454"/>
              </w:tabs>
              <w:overflowPunct w:val="0"/>
              <w:adjustRightInd w:val="0"/>
              <w:spacing w:before="60" w:after="60" w:line="240" w:lineRule="atLeast"/>
              <w:ind w:left="113" w:right="113"/>
              <w:textAlignment w:val="baseline"/>
              <w:rPr>
                <w:sz w:val="18"/>
                <w:szCs w:val="18"/>
                <w:lang w:val="cs-CZ"/>
              </w:rPr>
            </w:pPr>
            <w:r w:rsidRPr="003B6E11">
              <w:rPr>
                <w:sz w:val="18"/>
                <w:lang w:val="cs-CZ"/>
              </w:rPr>
              <w:t>0,48</w:t>
            </w:r>
          </w:p>
        </w:tc>
        <w:tc>
          <w:tcPr>
            <w:tcW w:w="1134" w:type="dxa"/>
          </w:tcPr>
          <w:p w:rsidR="003B6E11" w:rsidRPr="003B6E11" w:rsidRDefault="003B6E11" w:rsidP="002D015D">
            <w:pPr>
              <w:tabs>
                <w:tab w:val="decimal" w:pos="454"/>
              </w:tabs>
              <w:overflowPunct w:val="0"/>
              <w:adjustRightInd w:val="0"/>
              <w:spacing w:before="60" w:after="60" w:line="240" w:lineRule="atLeast"/>
              <w:ind w:left="113" w:right="113"/>
              <w:textAlignment w:val="baseline"/>
              <w:rPr>
                <w:sz w:val="18"/>
                <w:szCs w:val="18"/>
                <w:lang w:val="cs-CZ"/>
              </w:rPr>
            </w:pPr>
            <w:r w:rsidRPr="003B6E11">
              <w:rPr>
                <w:sz w:val="18"/>
                <w:lang w:val="cs-CZ"/>
              </w:rPr>
              <w:t>0,48</w:t>
            </w:r>
          </w:p>
        </w:tc>
        <w:tc>
          <w:tcPr>
            <w:tcW w:w="1134" w:type="dxa"/>
          </w:tcPr>
          <w:p w:rsidR="003B6E11" w:rsidRPr="003B6E11" w:rsidRDefault="003B6E11" w:rsidP="002D015D">
            <w:pPr>
              <w:tabs>
                <w:tab w:val="decimal" w:pos="454"/>
              </w:tabs>
              <w:overflowPunct w:val="0"/>
              <w:adjustRightInd w:val="0"/>
              <w:spacing w:before="60" w:after="60" w:line="240" w:lineRule="atLeast"/>
              <w:ind w:left="113" w:right="113"/>
              <w:textAlignment w:val="baseline"/>
              <w:rPr>
                <w:sz w:val="18"/>
                <w:szCs w:val="18"/>
                <w:lang w:val="cs-CZ"/>
              </w:rPr>
            </w:pPr>
            <w:r w:rsidRPr="003B6E11">
              <w:rPr>
                <w:sz w:val="18"/>
                <w:lang w:val="cs-CZ"/>
              </w:rPr>
              <w:t>0,48</w:t>
            </w:r>
          </w:p>
        </w:tc>
        <w:tc>
          <w:tcPr>
            <w:tcW w:w="1701" w:type="dxa"/>
          </w:tcPr>
          <w:p w:rsidR="003B6E11" w:rsidRPr="003B6E11" w:rsidRDefault="003B6E11" w:rsidP="002D015D">
            <w:pPr>
              <w:tabs>
                <w:tab w:val="left" w:pos="288"/>
                <w:tab w:val="left" w:pos="1800"/>
                <w:tab w:val="left" w:pos="2880"/>
                <w:tab w:val="left" w:pos="3816"/>
                <w:tab w:val="left" w:pos="5112"/>
              </w:tabs>
              <w:overflowPunct w:val="0"/>
              <w:adjustRightInd w:val="0"/>
              <w:spacing w:before="60" w:after="60" w:line="240" w:lineRule="atLeast"/>
              <w:ind w:left="113" w:right="113"/>
              <w:jc w:val="center"/>
              <w:textAlignment w:val="baseline"/>
              <w:rPr>
                <w:sz w:val="18"/>
                <w:szCs w:val="18"/>
                <w:lang w:val="cs-CZ"/>
              </w:rPr>
            </w:pPr>
            <w:r w:rsidRPr="003B6E11">
              <w:rPr>
                <w:sz w:val="18"/>
                <w:lang w:val="cs-CZ"/>
              </w:rPr>
              <w:t>-</w:t>
            </w:r>
          </w:p>
        </w:tc>
      </w:tr>
      <w:tr w:rsidR="003B6E11" w:rsidRPr="003B6E11" w:rsidTr="002D015D">
        <w:trPr>
          <w:jc w:val="center"/>
        </w:trPr>
        <w:tc>
          <w:tcPr>
            <w:tcW w:w="1134" w:type="dxa"/>
          </w:tcPr>
          <w:p w:rsidR="003B6E11" w:rsidRPr="003B6E11" w:rsidRDefault="002D015D" w:rsidP="002D015D">
            <w:pPr>
              <w:tabs>
                <w:tab w:val="left" w:pos="288"/>
                <w:tab w:val="left" w:pos="1800"/>
                <w:tab w:val="left" w:pos="2880"/>
                <w:tab w:val="left" w:pos="3816"/>
                <w:tab w:val="left" w:pos="5112"/>
              </w:tabs>
              <w:overflowPunct w:val="0"/>
              <w:adjustRightInd w:val="0"/>
              <w:spacing w:before="60" w:after="60" w:line="240" w:lineRule="atLeast"/>
              <w:ind w:left="113" w:right="113"/>
              <w:textAlignment w:val="baseline"/>
              <w:rPr>
                <w:sz w:val="18"/>
                <w:szCs w:val="18"/>
                <w:lang w:val="cs-CZ"/>
              </w:rPr>
            </w:pPr>
            <m:oMathPara>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6</m:t>
                    </m:r>
                  </m:sub>
                </m:sSub>
              </m:oMath>
            </m:oMathPara>
          </w:p>
        </w:tc>
        <w:tc>
          <w:tcPr>
            <w:tcW w:w="1134" w:type="dxa"/>
          </w:tcPr>
          <w:p w:rsidR="003B6E11" w:rsidRPr="003B6E11" w:rsidRDefault="003B6E11" w:rsidP="002D015D">
            <w:pPr>
              <w:tabs>
                <w:tab w:val="decimal" w:pos="454"/>
              </w:tabs>
              <w:overflowPunct w:val="0"/>
              <w:adjustRightInd w:val="0"/>
              <w:spacing w:before="60" w:after="60" w:line="240" w:lineRule="atLeast"/>
              <w:ind w:left="113" w:right="113"/>
              <w:textAlignment w:val="baseline"/>
              <w:rPr>
                <w:sz w:val="18"/>
                <w:szCs w:val="18"/>
                <w:lang w:val="cs-CZ"/>
              </w:rPr>
            </w:pPr>
            <w:r w:rsidRPr="003B6E11">
              <w:rPr>
                <w:sz w:val="18"/>
                <w:lang w:val="cs-CZ"/>
              </w:rPr>
              <w:t>0,90</w:t>
            </w:r>
          </w:p>
        </w:tc>
        <w:tc>
          <w:tcPr>
            <w:tcW w:w="1134" w:type="dxa"/>
          </w:tcPr>
          <w:p w:rsidR="003B6E11" w:rsidRPr="003B6E11" w:rsidRDefault="003B6E11" w:rsidP="002D015D">
            <w:pPr>
              <w:tabs>
                <w:tab w:val="decimal" w:pos="454"/>
              </w:tabs>
              <w:overflowPunct w:val="0"/>
              <w:adjustRightInd w:val="0"/>
              <w:spacing w:before="60" w:after="60" w:line="240" w:lineRule="atLeast"/>
              <w:ind w:left="113" w:right="113"/>
              <w:textAlignment w:val="baseline"/>
              <w:rPr>
                <w:sz w:val="18"/>
                <w:szCs w:val="18"/>
                <w:lang w:val="cs-CZ"/>
              </w:rPr>
            </w:pPr>
            <w:r w:rsidRPr="003B6E11">
              <w:rPr>
                <w:sz w:val="18"/>
                <w:lang w:val="cs-CZ"/>
              </w:rPr>
              <w:t>0,85</w:t>
            </w:r>
          </w:p>
        </w:tc>
        <w:tc>
          <w:tcPr>
            <w:tcW w:w="1134" w:type="dxa"/>
          </w:tcPr>
          <w:p w:rsidR="003B6E11" w:rsidRPr="003B6E11" w:rsidRDefault="003B6E11" w:rsidP="002D015D">
            <w:pPr>
              <w:tabs>
                <w:tab w:val="decimal" w:pos="454"/>
              </w:tabs>
              <w:overflowPunct w:val="0"/>
              <w:adjustRightInd w:val="0"/>
              <w:spacing w:before="60" w:after="60" w:line="240" w:lineRule="atLeast"/>
              <w:ind w:left="113" w:right="113"/>
              <w:textAlignment w:val="baseline"/>
              <w:rPr>
                <w:sz w:val="18"/>
                <w:szCs w:val="18"/>
                <w:lang w:val="cs-CZ"/>
              </w:rPr>
            </w:pPr>
            <w:r w:rsidRPr="003B6E11">
              <w:rPr>
                <w:sz w:val="18"/>
                <w:lang w:val="cs-CZ"/>
              </w:rPr>
              <w:t>0,80</w:t>
            </w:r>
          </w:p>
        </w:tc>
        <w:tc>
          <w:tcPr>
            <w:tcW w:w="1701" w:type="dxa"/>
          </w:tcPr>
          <w:p w:rsidR="003B6E11" w:rsidRPr="003B6E11" w:rsidRDefault="003B6E11" w:rsidP="002D015D">
            <w:pPr>
              <w:tabs>
                <w:tab w:val="left" w:pos="288"/>
                <w:tab w:val="left" w:pos="1800"/>
                <w:tab w:val="left" w:pos="2880"/>
                <w:tab w:val="left" w:pos="3816"/>
                <w:tab w:val="left" w:pos="5112"/>
              </w:tabs>
              <w:overflowPunct w:val="0"/>
              <w:adjustRightInd w:val="0"/>
              <w:spacing w:before="60" w:after="60" w:line="240" w:lineRule="atLeast"/>
              <w:ind w:left="113" w:right="113"/>
              <w:jc w:val="center"/>
              <w:textAlignment w:val="baseline"/>
              <w:rPr>
                <w:sz w:val="18"/>
                <w:szCs w:val="18"/>
                <w:lang w:val="cs-CZ"/>
              </w:rPr>
            </w:pPr>
            <w:r w:rsidRPr="003B6E11">
              <w:rPr>
                <w:sz w:val="18"/>
                <w:lang w:val="cs-CZ"/>
              </w:rPr>
              <w:t>-</w:t>
            </w:r>
          </w:p>
        </w:tc>
      </w:tr>
      <w:tr w:rsidR="003B6E11" w:rsidRPr="003B6E11" w:rsidTr="002D015D">
        <w:trPr>
          <w:jc w:val="center"/>
        </w:trPr>
        <w:tc>
          <w:tcPr>
            <w:tcW w:w="1134" w:type="dxa"/>
          </w:tcPr>
          <w:p w:rsidR="003B6E11" w:rsidRPr="003B6E11" w:rsidRDefault="002D015D" w:rsidP="002D015D">
            <w:pPr>
              <w:tabs>
                <w:tab w:val="left" w:pos="288"/>
                <w:tab w:val="left" w:pos="1800"/>
                <w:tab w:val="left" w:pos="2880"/>
                <w:tab w:val="left" w:pos="3816"/>
                <w:tab w:val="left" w:pos="5112"/>
              </w:tabs>
              <w:overflowPunct w:val="0"/>
              <w:adjustRightInd w:val="0"/>
              <w:spacing w:before="60" w:after="60" w:line="240" w:lineRule="atLeast"/>
              <w:ind w:left="113" w:right="113"/>
              <w:textAlignment w:val="baseline"/>
              <w:rPr>
                <w:sz w:val="18"/>
                <w:szCs w:val="18"/>
                <w:lang w:val="cs-CZ"/>
              </w:rPr>
            </w:pPr>
            <m:oMathPara>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7</m:t>
                    </m:r>
                  </m:sub>
                </m:sSub>
              </m:oMath>
            </m:oMathPara>
          </w:p>
        </w:tc>
        <w:tc>
          <w:tcPr>
            <w:tcW w:w="1134" w:type="dxa"/>
          </w:tcPr>
          <w:p w:rsidR="003B6E11" w:rsidRPr="003B6E11" w:rsidRDefault="003B6E11" w:rsidP="002D015D">
            <w:pPr>
              <w:tabs>
                <w:tab w:val="decimal" w:pos="454"/>
              </w:tabs>
              <w:overflowPunct w:val="0"/>
              <w:adjustRightInd w:val="0"/>
              <w:spacing w:before="60" w:after="60" w:line="240" w:lineRule="atLeast"/>
              <w:ind w:left="113" w:right="113"/>
              <w:textAlignment w:val="baseline"/>
              <w:rPr>
                <w:sz w:val="18"/>
                <w:szCs w:val="18"/>
                <w:lang w:val="cs-CZ"/>
              </w:rPr>
            </w:pPr>
            <w:r w:rsidRPr="003B6E11">
              <w:rPr>
                <w:sz w:val="18"/>
                <w:lang w:val="cs-CZ"/>
              </w:rPr>
              <w:t>0,58</w:t>
            </w:r>
          </w:p>
        </w:tc>
        <w:tc>
          <w:tcPr>
            <w:tcW w:w="1134" w:type="dxa"/>
          </w:tcPr>
          <w:p w:rsidR="003B6E11" w:rsidRPr="003B6E11" w:rsidRDefault="003B6E11" w:rsidP="002D015D">
            <w:pPr>
              <w:tabs>
                <w:tab w:val="decimal" w:pos="454"/>
              </w:tabs>
              <w:overflowPunct w:val="0"/>
              <w:adjustRightInd w:val="0"/>
              <w:spacing w:before="60" w:after="60" w:line="240" w:lineRule="atLeast"/>
              <w:ind w:left="113" w:right="113"/>
              <w:textAlignment w:val="baseline"/>
              <w:rPr>
                <w:sz w:val="18"/>
                <w:szCs w:val="18"/>
                <w:lang w:val="cs-CZ"/>
              </w:rPr>
            </w:pPr>
            <w:r w:rsidRPr="003B6E11">
              <w:rPr>
                <w:sz w:val="18"/>
                <w:lang w:val="cs-CZ"/>
              </w:rPr>
              <w:t>0,55</w:t>
            </w:r>
          </w:p>
        </w:tc>
        <w:tc>
          <w:tcPr>
            <w:tcW w:w="1134" w:type="dxa"/>
          </w:tcPr>
          <w:p w:rsidR="003B6E11" w:rsidRPr="003B6E11" w:rsidRDefault="003B6E11" w:rsidP="002D015D">
            <w:pPr>
              <w:tabs>
                <w:tab w:val="decimal" w:pos="454"/>
              </w:tabs>
              <w:overflowPunct w:val="0"/>
              <w:adjustRightInd w:val="0"/>
              <w:spacing w:before="60" w:after="60" w:line="240" w:lineRule="atLeast"/>
              <w:ind w:left="113" w:right="113"/>
              <w:textAlignment w:val="baseline"/>
              <w:rPr>
                <w:sz w:val="18"/>
                <w:szCs w:val="18"/>
                <w:lang w:val="cs-CZ"/>
              </w:rPr>
            </w:pPr>
            <w:r w:rsidRPr="003B6E11">
              <w:rPr>
                <w:sz w:val="18"/>
                <w:lang w:val="cs-CZ"/>
              </w:rPr>
              <w:t>0,52</w:t>
            </w:r>
          </w:p>
        </w:tc>
        <w:tc>
          <w:tcPr>
            <w:tcW w:w="1701" w:type="dxa"/>
          </w:tcPr>
          <w:p w:rsidR="003B6E11" w:rsidRPr="003B6E11" w:rsidRDefault="003B6E11" w:rsidP="002D015D">
            <w:pPr>
              <w:tabs>
                <w:tab w:val="left" w:pos="288"/>
                <w:tab w:val="left" w:pos="1800"/>
                <w:tab w:val="left" w:pos="2880"/>
                <w:tab w:val="left" w:pos="3816"/>
                <w:tab w:val="left" w:pos="5112"/>
              </w:tabs>
              <w:overflowPunct w:val="0"/>
              <w:adjustRightInd w:val="0"/>
              <w:spacing w:before="60" w:after="60" w:line="240" w:lineRule="atLeast"/>
              <w:ind w:left="113" w:right="113"/>
              <w:jc w:val="center"/>
              <w:textAlignment w:val="baseline"/>
              <w:rPr>
                <w:sz w:val="18"/>
                <w:szCs w:val="18"/>
                <w:lang w:val="cs-CZ"/>
              </w:rPr>
            </w:pPr>
            <w:r w:rsidRPr="003B6E11">
              <w:rPr>
                <w:sz w:val="18"/>
                <w:lang w:val="cs-CZ"/>
              </w:rPr>
              <w:t>-</w:t>
            </w:r>
          </w:p>
        </w:tc>
      </w:tr>
    </w:tbl>
    <w:p w:rsidR="003B6E11" w:rsidRPr="003B6E11" w:rsidRDefault="003B6E11" w:rsidP="003B6E11">
      <w:pPr>
        <w:tabs>
          <w:tab w:val="left" w:pos="960"/>
          <w:tab w:val="left" w:pos="1344"/>
          <w:tab w:val="left" w:pos="7680"/>
        </w:tabs>
        <w:overflowPunct w:val="0"/>
        <w:adjustRightInd w:val="0"/>
        <w:spacing w:line="240" w:lineRule="exact"/>
        <w:textAlignment w:val="baseline"/>
        <w:rPr>
          <w:szCs w:val="20"/>
          <w:lang w:val="cs-CZ"/>
        </w:rPr>
      </w:pPr>
    </w:p>
    <w:p w:rsidR="003B6E11" w:rsidRPr="003B6E11" w:rsidRDefault="003B6E11" w:rsidP="003B6E11">
      <w:pPr>
        <w:tabs>
          <w:tab w:val="left" w:pos="960"/>
          <w:tab w:val="left" w:pos="1344"/>
          <w:tab w:val="left" w:pos="7680"/>
        </w:tabs>
        <w:overflowPunct w:val="0"/>
        <w:adjustRightInd w:val="0"/>
        <w:spacing w:line="240" w:lineRule="exact"/>
        <w:textAlignment w:val="baseline"/>
        <w:rPr>
          <w:szCs w:val="20"/>
          <w:lang w:val="cs-CZ"/>
        </w:rPr>
      </w:pPr>
    </w:p>
    <w:p w:rsidR="003B6E11" w:rsidRPr="003B6E11" w:rsidRDefault="003B6E11" w:rsidP="003B6E11">
      <w:pPr>
        <w:tabs>
          <w:tab w:val="left" w:pos="567"/>
        </w:tabs>
        <w:overflowPunct w:val="0"/>
        <w:adjustRightInd w:val="0"/>
        <w:spacing w:line="240" w:lineRule="atLeast"/>
        <w:ind w:left="567"/>
        <w:textAlignment w:val="baseline"/>
        <w:rPr>
          <w:b/>
          <w:bCs/>
          <w:szCs w:val="20"/>
          <w:lang w:val="cs-CZ"/>
        </w:rPr>
      </w:pPr>
      <w:r w:rsidRPr="003B6E11">
        <w:rPr>
          <w:b/>
          <w:lang w:val="cs-CZ"/>
        </w:rPr>
        <w:t xml:space="preserve">Tabulka 2: Koeficient </w:t>
      </w:r>
      <m:oMath>
        <m:r>
          <m:rPr>
            <m:sty m:val="bi"/>
          </m:rPr>
          <w:rPr>
            <w:rFonts w:ascii="Cambria Math" w:hAnsi="Cambria Math"/>
            <w:szCs w:val="20"/>
            <w:lang w:val="cs-CZ"/>
          </w:rPr>
          <m:t>f</m:t>
        </m:r>
      </m:oMath>
      <w:r w:rsidRPr="003B6E11">
        <w:rPr>
          <w:b/>
          <w:lang w:val="cs-CZ"/>
        </w:rPr>
        <w:t xml:space="preserve"> pro poměr mezi tahem na pachole při zpětném chodu a výkonem pohonných motorů</w:t>
      </w:r>
    </w:p>
    <w:p w:rsidR="003B6E11" w:rsidRPr="003B6E11" w:rsidRDefault="003B6E11" w:rsidP="003B6E11">
      <w:pPr>
        <w:tabs>
          <w:tab w:val="left" w:pos="960"/>
          <w:tab w:val="left" w:pos="1344"/>
          <w:tab w:val="left" w:pos="7680"/>
        </w:tabs>
        <w:overflowPunct w:val="0"/>
        <w:adjustRightInd w:val="0"/>
        <w:spacing w:line="240" w:lineRule="exact"/>
        <w:textAlignment w:val="baseline"/>
        <w:rPr>
          <w:szCs w:val="20"/>
          <w:lang w:val="cs-CZ"/>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49"/>
        <w:gridCol w:w="1247"/>
        <w:gridCol w:w="1247"/>
      </w:tblGrid>
      <w:tr w:rsidR="003B6E11" w:rsidRPr="003B6E11" w:rsidTr="002D015D">
        <w:trPr>
          <w:jc w:val="center"/>
        </w:trPr>
        <w:tc>
          <w:tcPr>
            <w:tcW w:w="4649" w:type="dxa"/>
          </w:tcPr>
          <w:p w:rsidR="003B6E11" w:rsidRPr="003B6E11" w:rsidRDefault="003B6E11" w:rsidP="002D015D">
            <w:pPr>
              <w:overflowPunct w:val="0"/>
              <w:adjustRightInd w:val="0"/>
              <w:spacing w:before="60" w:after="60" w:line="240" w:lineRule="exact"/>
              <w:ind w:left="113" w:right="113"/>
              <w:jc w:val="center"/>
              <w:textAlignment w:val="baseline"/>
              <w:rPr>
                <w:sz w:val="18"/>
                <w:szCs w:val="18"/>
                <w:lang w:val="cs-CZ"/>
              </w:rPr>
            </w:pPr>
            <w:r w:rsidRPr="003B6E11">
              <w:rPr>
                <w:sz w:val="18"/>
                <w:lang w:val="cs-CZ"/>
              </w:rPr>
              <w:t>Pohonný systém</w:t>
            </w:r>
          </w:p>
        </w:tc>
        <w:tc>
          <w:tcPr>
            <w:tcW w:w="1247" w:type="dxa"/>
          </w:tcPr>
          <w:p w:rsidR="003B6E11" w:rsidRPr="003B6E11" w:rsidRDefault="003B6E11" w:rsidP="002D015D">
            <w:pPr>
              <w:tabs>
                <w:tab w:val="left" w:pos="567"/>
              </w:tabs>
              <w:overflowPunct w:val="0"/>
              <w:adjustRightInd w:val="0"/>
              <w:spacing w:before="60" w:after="60" w:line="240" w:lineRule="exact"/>
              <w:ind w:left="113" w:right="113"/>
              <w:jc w:val="center"/>
              <w:textAlignment w:val="baseline"/>
              <w:rPr>
                <w:sz w:val="18"/>
                <w:szCs w:val="18"/>
                <w:lang w:val="cs-CZ"/>
              </w:rPr>
            </w:pPr>
            <m:oMathPara>
              <m:oMath>
                <m:r>
                  <w:rPr>
                    <w:rFonts w:ascii="Cambria Math" w:hAnsi="Cambria Math"/>
                    <w:sz w:val="18"/>
                    <w:szCs w:val="18"/>
                    <w:lang w:val="cs-CZ"/>
                  </w:rPr>
                  <m:t>f</m:t>
                </m:r>
              </m:oMath>
            </m:oMathPara>
          </w:p>
        </w:tc>
        <w:tc>
          <w:tcPr>
            <w:tcW w:w="1247" w:type="dxa"/>
          </w:tcPr>
          <w:p w:rsidR="003B6E11" w:rsidRPr="003B6E11" w:rsidRDefault="003B6E11" w:rsidP="002D015D">
            <w:pPr>
              <w:overflowPunct w:val="0"/>
              <w:adjustRightInd w:val="0"/>
              <w:spacing w:before="60" w:after="60" w:line="240" w:lineRule="exact"/>
              <w:ind w:left="113" w:right="113"/>
              <w:jc w:val="center"/>
              <w:textAlignment w:val="baseline"/>
              <w:rPr>
                <w:sz w:val="18"/>
                <w:szCs w:val="18"/>
                <w:lang w:val="cs-CZ"/>
              </w:rPr>
            </w:pPr>
            <w:r w:rsidRPr="003B6E11">
              <w:rPr>
                <w:sz w:val="18"/>
                <w:lang w:val="cs-CZ"/>
              </w:rPr>
              <w:t>Jednotky</w:t>
            </w:r>
          </w:p>
        </w:tc>
      </w:tr>
      <w:tr w:rsidR="003B6E11" w:rsidRPr="003B6E11" w:rsidTr="002D015D">
        <w:trPr>
          <w:jc w:val="center"/>
        </w:trPr>
        <w:tc>
          <w:tcPr>
            <w:tcW w:w="4649" w:type="dxa"/>
          </w:tcPr>
          <w:p w:rsidR="003B6E11" w:rsidRPr="003B6E11" w:rsidRDefault="003B6E11" w:rsidP="002D015D">
            <w:pPr>
              <w:overflowPunct w:val="0"/>
              <w:adjustRightInd w:val="0"/>
              <w:spacing w:before="60" w:after="60" w:line="240" w:lineRule="exact"/>
              <w:ind w:left="113" w:right="113"/>
              <w:textAlignment w:val="baseline"/>
              <w:rPr>
                <w:sz w:val="18"/>
                <w:szCs w:val="18"/>
                <w:lang w:val="cs-CZ"/>
              </w:rPr>
            </w:pPr>
            <w:r w:rsidRPr="003B6E11">
              <w:rPr>
                <w:sz w:val="18"/>
                <w:lang w:val="cs-CZ"/>
              </w:rPr>
              <w:t>Moderní dýzy se zaoblenou zadní hranou</w:t>
            </w:r>
          </w:p>
        </w:tc>
        <w:tc>
          <w:tcPr>
            <w:tcW w:w="1247" w:type="dxa"/>
          </w:tcPr>
          <w:p w:rsidR="003B6E11" w:rsidRPr="003B6E11" w:rsidRDefault="003B6E11" w:rsidP="002D015D">
            <w:pPr>
              <w:tabs>
                <w:tab w:val="decimal" w:pos="454"/>
              </w:tabs>
              <w:overflowPunct w:val="0"/>
              <w:adjustRightInd w:val="0"/>
              <w:spacing w:before="60" w:after="60" w:line="240" w:lineRule="exact"/>
              <w:ind w:left="113" w:right="113"/>
              <w:textAlignment w:val="baseline"/>
              <w:rPr>
                <w:sz w:val="18"/>
                <w:szCs w:val="18"/>
                <w:lang w:val="cs-CZ"/>
              </w:rPr>
            </w:pPr>
            <w:r w:rsidRPr="003B6E11">
              <w:rPr>
                <w:sz w:val="18"/>
                <w:lang w:val="cs-CZ"/>
              </w:rPr>
              <w:t>0,118</w:t>
            </w:r>
          </w:p>
        </w:tc>
        <w:tc>
          <w:tcPr>
            <w:tcW w:w="1247" w:type="dxa"/>
          </w:tcPr>
          <w:p w:rsidR="003B6E11" w:rsidRPr="003B6E11" w:rsidRDefault="003B6E11" w:rsidP="002D015D">
            <w:pPr>
              <w:overflowPunct w:val="0"/>
              <w:adjustRightInd w:val="0"/>
              <w:spacing w:before="60" w:after="60" w:line="240" w:lineRule="exact"/>
              <w:ind w:left="113" w:right="113"/>
              <w:jc w:val="center"/>
              <w:textAlignment w:val="baseline"/>
              <w:rPr>
                <w:sz w:val="18"/>
                <w:szCs w:val="18"/>
                <w:lang w:val="cs-CZ"/>
              </w:rPr>
            </w:pPr>
            <w:r w:rsidRPr="003B6E11">
              <w:rPr>
                <w:sz w:val="18"/>
                <w:lang w:val="cs-CZ"/>
              </w:rPr>
              <w:t>kN/kW</w:t>
            </w:r>
          </w:p>
        </w:tc>
      </w:tr>
      <w:tr w:rsidR="003B6E11" w:rsidRPr="003B6E11" w:rsidTr="002D015D">
        <w:trPr>
          <w:jc w:val="center"/>
        </w:trPr>
        <w:tc>
          <w:tcPr>
            <w:tcW w:w="4649" w:type="dxa"/>
          </w:tcPr>
          <w:p w:rsidR="003B6E11" w:rsidRPr="003B6E11" w:rsidRDefault="003B6E11" w:rsidP="002D015D">
            <w:pPr>
              <w:overflowPunct w:val="0"/>
              <w:adjustRightInd w:val="0"/>
              <w:spacing w:before="60" w:after="60" w:line="240" w:lineRule="exact"/>
              <w:ind w:left="113" w:right="113"/>
              <w:textAlignment w:val="baseline"/>
              <w:rPr>
                <w:sz w:val="18"/>
                <w:szCs w:val="18"/>
                <w:lang w:val="cs-CZ"/>
              </w:rPr>
            </w:pPr>
            <w:r w:rsidRPr="003B6E11">
              <w:rPr>
                <w:sz w:val="18"/>
                <w:lang w:val="cs-CZ"/>
              </w:rPr>
              <w:t>Starší dýzy s ostrou zadní hranou</w:t>
            </w:r>
          </w:p>
        </w:tc>
        <w:tc>
          <w:tcPr>
            <w:tcW w:w="1247" w:type="dxa"/>
          </w:tcPr>
          <w:p w:rsidR="003B6E11" w:rsidRPr="003B6E11" w:rsidRDefault="003B6E11" w:rsidP="002D015D">
            <w:pPr>
              <w:tabs>
                <w:tab w:val="decimal" w:pos="454"/>
              </w:tabs>
              <w:overflowPunct w:val="0"/>
              <w:adjustRightInd w:val="0"/>
              <w:spacing w:before="60" w:after="60" w:line="240" w:lineRule="exact"/>
              <w:ind w:left="113" w:right="113"/>
              <w:textAlignment w:val="baseline"/>
              <w:rPr>
                <w:sz w:val="18"/>
                <w:szCs w:val="18"/>
                <w:lang w:val="cs-CZ"/>
              </w:rPr>
            </w:pPr>
            <w:r w:rsidRPr="003B6E11">
              <w:rPr>
                <w:sz w:val="18"/>
                <w:lang w:val="cs-CZ"/>
              </w:rPr>
              <w:t>0,112</w:t>
            </w:r>
          </w:p>
        </w:tc>
        <w:tc>
          <w:tcPr>
            <w:tcW w:w="1247" w:type="dxa"/>
          </w:tcPr>
          <w:p w:rsidR="003B6E11" w:rsidRPr="003B6E11" w:rsidRDefault="003B6E11" w:rsidP="002D015D">
            <w:pPr>
              <w:overflowPunct w:val="0"/>
              <w:adjustRightInd w:val="0"/>
              <w:spacing w:before="60" w:after="60" w:line="240" w:lineRule="exact"/>
              <w:ind w:left="113" w:right="113"/>
              <w:jc w:val="center"/>
              <w:textAlignment w:val="baseline"/>
              <w:rPr>
                <w:sz w:val="18"/>
                <w:szCs w:val="18"/>
                <w:lang w:val="cs-CZ"/>
              </w:rPr>
            </w:pPr>
            <w:r w:rsidRPr="003B6E11">
              <w:rPr>
                <w:sz w:val="18"/>
                <w:lang w:val="cs-CZ"/>
              </w:rPr>
              <w:t>kN/kW</w:t>
            </w:r>
          </w:p>
        </w:tc>
      </w:tr>
      <w:tr w:rsidR="003B6E11" w:rsidRPr="003B6E11" w:rsidTr="002D015D">
        <w:trPr>
          <w:jc w:val="center"/>
        </w:trPr>
        <w:tc>
          <w:tcPr>
            <w:tcW w:w="4649" w:type="dxa"/>
          </w:tcPr>
          <w:p w:rsidR="003B6E11" w:rsidRPr="003B6E11" w:rsidRDefault="003B6E11" w:rsidP="002D015D">
            <w:pPr>
              <w:overflowPunct w:val="0"/>
              <w:adjustRightInd w:val="0"/>
              <w:spacing w:before="60" w:after="60" w:line="240" w:lineRule="exact"/>
              <w:ind w:left="113" w:right="113"/>
              <w:textAlignment w:val="baseline"/>
              <w:rPr>
                <w:sz w:val="18"/>
                <w:szCs w:val="18"/>
                <w:lang w:val="cs-CZ"/>
              </w:rPr>
            </w:pPr>
            <w:r w:rsidRPr="003B6E11">
              <w:rPr>
                <w:sz w:val="18"/>
                <w:lang w:val="cs-CZ"/>
              </w:rPr>
              <w:t>Lodní vrtule bez dýzy</w:t>
            </w:r>
          </w:p>
        </w:tc>
        <w:tc>
          <w:tcPr>
            <w:tcW w:w="1247" w:type="dxa"/>
          </w:tcPr>
          <w:p w:rsidR="003B6E11" w:rsidRPr="003B6E11" w:rsidRDefault="003B6E11" w:rsidP="002D015D">
            <w:pPr>
              <w:tabs>
                <w:tab w:val="decimal" w:pos="454"/>
              </w:tabs>
              <w:overflowPunct w:val="0"/>
              <w:adjustRightInd w:val="0"/>
              <w:spacing w:before="60" w:after="60" w:line="240" w:lineRule="exact"/>
              <w:ind w:left="113" w:right="113"/>
              <w:textAlignment w:val="baseline"/>
              <w:rPr>
                <w:sz w:val="18"/>
                <w:szCs w:val="18"/>
                <w:lang w:val="cs-CZ"/>
              </w:rPr>
            </w:pPr>
            <w:r w:rsidRPr="003B6E11">
              <w:rPr>
                <w:sz w:val="18"/>
                <w:lang w:val="cs-CZ"/>
              </w:rPr>
              <w:t>0,096</w:t>
            </w:r>
          </w:p>
        </w:tc>
        <w:tc>
          <w:tcPr>
            <w:tcW w:w="1247" w:type="dxa"/>
          </w:tcPr>
          <w:p w:rsidR="003B6E11" w:rsidRPr="003B6E11" w:rsidRDefault="003B6E11" w:rsidP="002D015D">
            <w:pPr>
              <w:overflowPunct w:val="0"/>
              <w:adjustRightInd w:val="0"/>
              <w:spacing w:before="60" w:after="60" w:line="240" w:lineRule="exact"/>
              <w:ind w:left="113" w:right="113"/>
              <w:jc w:val="center"/>
              <w:textAlignment w:val="baseline"/>
              <w:rPr>
                <w:sz w:val="18"/>
                <w:szCs w:val="18"/>
                <w:lang w:val="cs-CZ"/>
              </w:rPr>
            </w:pPr>
            <w:r w:rsidRPr="003B6E11">
              <w:rPr>
                <w:sz w:val="18"/>
                <w:lang w:val="cs-CZ"/>
              </w:rPr>
              <w:t>kN/kW</w:t>
            </w:r>
          </w:p>
        </w:tc>
      </w:tr>
      <w:tr w:rsidR="003B6E11" w:rsidRPr="003B6E11" w:rsidTr="002D015D">
        <w:trPr>
          <w:jc w:val="center"/>
        </w:trPr>
        <w:tc>
          <w:tcPr>
            <w:tcW w:w="4649" w:type="dxa"/>
          </w:tcPr>
          <w:p w:rsidR="003B6E11" w:rsidRPr="003B6E11" w:rsidRDefault="003B6E11" w:rsidP="002D015D">
            <w:pPr>
              <w:overflowPunct w:val="0"/>
              <w:adjustRightInd w:val="0"/>
              <w:spacing w:before="60" w:after="60" w:line="240" w:lineRule="exact"/>
              <w:ind w:left="113" w:right="113"/>
              <w:textAlignment w:val="baseline"/>
              <w:rPr>
                <w:sz w:val="18"/>
                <w:szCs w:val="18"/>
                <w:lang w:val="cs-CZ"/>
              </w:rPr>
            </w:pPr>
            <w:r w:rsidRPr="003B6E11">
              <w:rPr>
                <w:sz w:val="18"/>
                <w:lang w:val="cs-CZ"/>
              </w:rPr>
              <w:t>Kormidlovací lodní vrtule s dýzami (zpravidla s ostrou zadní hranou)</w:t>
            </w:r>
          </w:p>
        </w:tc>
        <w:tc>
          <w:tcPr>
            <w:tcW w:w="1247" w:type="dxa"/>
          </w:tcPr>
          <w:p w:rsidR="003B6E11" w:rsidRPr="003B6E11" w:rsidRDefault="003B6E11" w:rsidP="002D015D">
            <w:pPr>
              <w:tabs>
                <w:tab w:val="decimal" w:pos="454"/>
              </w:tabs>
              <w:overflowPunct w:val="0"/>
              <w:adjustRightInd w:val="0"/>
              <w:spacing w:before="180" w:after="60" w:line="240" w:lineRule="exact"/>
              <w:ind w:left="113" w:right="113"/>
              <w:textAlignment w:val="baseline"/>
              <w:rPr>
                <w:sz w:val="18"/>
                <w:szCs w:val="18"/>
                <w:lang w:val="cs-CZ"/>
              </w:rPr>
            </w:pPr>
            <w:r w:rsidRPr="003B6E11">
              <w:rPr>
                <w:sz w:val="18"/>
                <w:lang w:val="cs-CZ"/>
              </w:rPr>
              <w:t>0,157</w:t>
            </w:r>
          </w:p>
        </w:tc>
        <w:tc>
          <w:tcPr>
            <w:tcW w:w="1247" w:type="dxa"/>
          </w:tcPr>
          <w:p w:rsidR="003B6E11" w:rsidRPr="003B6E11" w:rsidRDefault="003B6E11" w:rsidP="002D015D">
            <w:pPr>
              <w:overflowPunct w:val="0"/>
              <w:adjustRightInd w:val="0"/>
              <w:spacing w:before="180" w:after="60" w:line="240" w:lineRule="exact"/>
              <w:ind w:left="113" w:right="113"/>
              <w:jc w:val="center"/>
              <w:textAlignment w:val="baseline"/>
              <w:rPr>
                <w:sz w:val="18"/>
                <w:szCs w:val="18"/>
                <w:lang w:val="cs-CZ"/>
              </w:rPr>
            </w:pPr>
            <w:r w:rsidRPr="003B6E11">
              <w:rPr>
                <w:sz w:val="18"/>
                <w:lang w:val="cs-CZ"/>
              </w:rPr>
              <w:t>kN/kW</w:t>
            </w:r>
          </w:p>
        </w:tc>
      </w:tr>
      <w:tr w:rsidR="003B6E11" w:rsidRPr="003B6E11" w:rsidTr="002D015D">
        <w:trPr>
          <w:jc w:val="center"/>
        </w:trPr>
        <w:tc>
          <w:tcPr>
            <w:tcW w:w="4649" w:type="dxa"/>
          </w:tcPr>
          <w:p w:rsidR="003B6E11" w:rsidRPr="003B6E11" w:rsidRDefault="003B6E11" w:rsidP="002D015D">
            <w:pPr>
              <w:overflowPunct w:val="0"/>
              <w:adjustRightInd w:val="0"/>
              <w:spacing w:before="60" w:after="60" w:line="240" w:lineRule="exact"/>
              <w:ind w:left="113" w:right="113"/>
              <w:textAlignment w:val="baseline"/>
              <w:rPr>
                <w:sz w:val="18"/>
                <w:szCs w:val="18"/>
                <w:lang w:val="cs-CZ"/>
              </w:rPr>
            </w:pPr>
            <w:r w:rsidRPr="003B6E11">
              <w:rPr>
                <w:sz w:val="18"/>
                <w:lang w:val="cs-CZ"/>
              </w:rPr>
              <w:t>Kormidlovací lodní vrtule bez dýz</w:t>
            </w:r>
          </w:p>
        </w:tc>
        <w:tc>
          <w:tcPr>
            <w:tcW w:w="1247" w:type="dxa"/>
          </w:tcPr>
          <w:p w:rsidR="003B6E11" w:rsidRPr="003B6E11" w:rsidRDefault="003B6E11" w:rsidP="002D015D">
            <w:pPr>
              <w:tabs>
                <w:tab w:val="decimal" w:pos="454"/>
              </w:tabs>
              <w:overflowPunct w:val="0"/>
              <w:adjustRightInd w:val="0"/>
              <w:spacing w:before="60" w:after="60" w:line="240" w:lineRule="exact"/>
              <w:ind w:left="113" w:right="113"/>
              <w:textAlignment w:val="baseline"/>
              <w:rPr>
                <w:sz w:val="18"/>
                <w:szCs w:val="18"/>
                <w:lang w:val="cs-CZ"/>
              </w:rPr>
            </w:pPr>
            <w:r w:rsidRPr="003B6E11">
              <w:rPr>
                <w:sz w:val="18"/>
                <w:lang w:val="cs-CZ"/>
              </w:rPr>
              <w:t>0,113</w:t>
            </w:r>
          </w:p>
        </w:tc>
        <w:tc>
          <w:tcPr>
            <w:tcW w:w="1247" w:type="dxa"/>
          </w:tcPr>
          <w:p w:rsidR="003B6E11" w:rsidRPr="003B6E11" w:rsidRDefault="003B6E11" w:rsidP="002D015D">
            <w:pPr>
              <w:overflowPunct w:val="0"/>
              <w:adjustRightInd w:val="0"/>
              <w:spacing w:before="60" w:after="60" w:line="240" w:lineRule="exact"/>
              <w:ind w:left="113" w:right="113"/>
              <w:jc w:val="center"/>
              <w:textAlignment w:val="baseline"/>
              <w:rPr>
                <w:sz w:val="18"/>
                <w:szCs w:val="18"/>
                <w:lang w:val="cs-CZ"/>
              </w:rPr>
            </w:pPr>
            <w:r w:rsidRPr="003B6E11">
              <w:rPr>
                <w:sz w:val="18"/>
                <w:lang w:val="cs-CZ"/>
              </w:rPr>
              <w:t>kN/kW</w:t>
            </w:r>
          </w:p>
        </w:tc>
      </w:tr>
    </w:tbl>
    <w:p w:rsidR="003B6E11" w:rsidRPr="003B6E11" w:rsidRDefault="003B6E11" w:rsidP="003B6E11">
      <w:pPr>
        <w:tabs>
          <w:tab w:val="left" w:pos="504"/>
          <w:tab w:val="left" w:pos="1344"/>
          <w:tab w:val="left" w:pos="3384"/>
          <w:tab w:val="left" w:pos="6264"/>
          <w:tab w:val="left" w:pos="7416"/>
        </w:tabs>
        <w:overflowPunct w:val="0"/>
        <w:adjustRightInd w:val="0"/>
        <w:spacing w:line="240" w:lineRule="exact"/>
        <w:textAlignment w:val="baseline"/>
        <w:rPr>
          <w:szCs w:val="20"/>
          <w:lang w:val="cs-CZ"/>
        </w:rPr>
      </w:pPr>
    </w:p>
    <w:p w:rsidR="003B6E11" w:rsidRPr="003B6E11" w:rsidRDefault="003B6E11" w:rsidP="003B6E11">
      <w:pPr>
        <w:tabs>
          <w:tab w:val="left" w:pos="960"/>
          <w:tab w:val="left" w:pos="1344"/>
          <w:tab w:val="left" w:pos="7680"/>
        </w:tabs>
        <w:overflowPunct w:val="0"/>
        <w:adjustRightInd w:val="0"/>
        <w:spacing w:line="240" w:lineRule="exact"/>
        <w:textAlignment w:val="baseline"/>
        <w:rPr>
          <w:szCs w:val="20"/>
          <w:lang w:val="cs-CZ"/>
        </w:rPr>
      </w:pPr>
    </w:p>
    <w:p w:rsidR="003B6E11" w:rsidRPr="003B6E11" w:rsidRDefault="003B6E11" w:rsidP="003B6E11">
      <w:pPr>
        <w:tabs>
          <w:tab w:val="left" w:pos="960"/>
          <w:tab w:val="left" w:pos="1344"/>
          <w:tab w:val="left" w:pos="7680"/>
        </w:tabs>
        <w:overflowPunct w:val="0"/>
        <w:adjustRightInd w:val="0"/>
        <w:spacing w:line="240" w:lineRule="exact"/>
        <w:textAlignment w:val="baseline"/>
        <w:rPr>
          <w:szCs w:val="20"/>
          <w:lang w:val="cs-CZ"/>
        </w:rPr>
      </w:pPr>
    </w:p>
    <w:p w:rsidR="003B6E11" w:rsidRPr="003B6E11" w:rsidRDefault="003B6E11" w:rsidP="003B6E11">
      <w:pPr>
        <w:tabs>
          <w:tab w:val="left" w:pos="960"/>
          <w:tab w:val="left" w:pos="1344"/>
          <w:tab w:val="left" w:pos="7680"/>
        </w:tabs>
        <w:overflowPunct w:val="0"/>
        <w:adjustRightInd w:val="0"/>
        <w:spacing w:line="240" w:lineRule="exact"/>
        <w:jc w:val="center"/>
        <w:textAlignment w:val="baseline"/>
        <w:rPr>
          <w:szCs w:val="20"/>
          <w:lang w:val="cs-CZ"/>
        </w:rPr>
      </w:pPr>
      <w:r w:rsidRPr="003B6E11">
        <w:rPr>
          <w:lang w:val="cs-CZ"/>
        </w:rPr>
        <w:br w:type="page"/>
      </w:r>
    </w:p>
    <w:p w:rsidR="003B6E11" w:rsidRPr="003B6E11" w:rsidRDefault="003B6E11" w:rsidP="003B6E11">
      <w:pPr>
        <w:tabs>
          <w:tab w:val="left" w:pos="284"/>
        </w:tabs>
        <w:overflowPunct w:val="0"/>
        <w:adjustRightInd w:val="0"/>
        <w:spacing w:line="240" w:lineRule="atLeast"/>
        <w:ind w:left="567"/>
        <w:textAlignment w:val="baseline"/>
        <w:rPr>
          <w:szCs w:val="20"/>
          <w:lang w:val="cs-CZ"/>
        </w:rPr>
      </w:pPr>
      <w:r w:rsidRPr="003B6E11">
        <w:rPr>
          <w:b/>
          <w:lang w:val="cs-CZ"/>
        </w:rPr>
        <w:t xml:space="preserve">Tabulka 3: Graf týkající se výpočtu odporu pro stanovení hodnoty </w:t>
      </w:r>
      <m:oMath>
        <m:sSub>
          <m:sSubPr>
            <m:ctrlPr>
              <w:rPr>
                <w:rFonts w:ascii="Cambria Math" w:hAnsi="Cambria Math"/>
                <w:i/>
                <w:noProof/>
                <w:lang w:val="cs-CZ"/>
              </w:rPr>
            </m:ctrlPr>
          </m:sSubPr>
          <m:e>
            <m:r>
              <w:rPr>
                <w:rFonts w:ascii="Cambria Math" w:hAnsi="Cambria Math"/>
                <w:noProof/>
                <w:lang w:val="cs-CZ"/>
              </w:rPr>
              <m:t>R</m:t>
            </m:r>
          </m:e>
          <m:sub>
            <m:r>
              <w:rPr>
                <w:rFonts w:ascii="Cambria Math" w:hAnsi="Cambria Math"/>
                <w:noProof/>
                <w:lang w:val="cs-CZ"/>
              </w:rPr>
              <m:t>T</m:t>
            </m:r>
          </m:sub>
        </m:sSub>
        <m:r>
          <w:rPr>
            <w:rFonts w:ascii="Cambria Math" w:hAnsi="Cambria Math"/>
            <w:noProof/>
            <w:lang w:val="cs-CZ"/>
          </w:rPr>
          <m:t>/</m:t>
        </m:r>
        <m:sSup>
          <m:sSupPr>
            <m:ctrlPr>
              <w:rPr>
                <w:rFonts w:ascii="Cambria Math" w:hAnsi="Cambria Math"/>
                <w:i/>
                <w:noProof/>
                <w:lang w:val="cs-CZ"/>
              </w:rPr>
            </m:ctrlPr>
          </m:sSupPr>
          <m:e>
            <m:r>
              <w:rPr>
                <w:rFonts w:ascii="Cambria Math" w:hAnsi="Cambria Math"/>
                <w:noProof/>
                <w:lang w:val="cs-CZ"/>
              </w:rPr>
              <m:t>v</m:t>
            </m:r>
          </m:e>
          <m:sup>
            <m:r>
              <w:rPr>
                <w:rFonts w:ascii="Cambria Math" w:hAnsi="Cambria Math"/>
                <w:noProof/>
                <w:lang w:val="cs-CZ"/>
              </w:rPr>
              <m:t>2</m:t>
            </m:r>
          </m:sup>
        </m:sSup>
      </m:oMath>
      <w:r w:rsidRPr="003B6E11">
        <w:rPr>
          <w:b/>
          <w:lang w:val="cs-CZ"/>
        </w:rPr>
        <w:t xml:space="preserve"> ve vztahu k </w:t>
      </w:r>
      <m:oMath>
        <m:sSup>
          <m:sSupPr>
            <m:ctrlPr>
              <w:rPr>
                <w:rFonts w:ascii="Cambria Math" w:hAnsi="Cambria Math"/>
                <w:i/>
                <w:noProof/>
                <w:lang w:val="cs-CZ"/>
              </w:rPr>
            </m:ctrlPr>
          </m:sSupPr>
          <m:e>
            <m:r>
              <w:rPr>
                <w:rFonts w:ascii="Cambria Math" w:hAnsi="Cambria Math"/>
                <w:noProof/>
                <w:lang w:val="cs-CZ"/>
              </w:rPr>
              <m:t>D</m:t>
            </m:r>
          </m:e>
          <m:sup>
            <m:r>
              <w:rPr>
                <w:rFonts w:ascii="Cambria Math" w:hAnsi="Cambria Math"/>
                <w:noProof/>
                <w:lang w:val="cs-CZ"/>
              </w:rPr>
              <m:t>1/3</m:t>
            </m:r>
          </m:sup>
        </m:sSup>
        <m:r>
          <w:rPr>
            <w:rFonts w:ascii="Cambria Math" w:hAnsi="Cambria Math"/>
            <w:noProof/>
            <w:lang w:val="cs-CZ"/>
          </w:rPr>
          <m:t xml:space="preserve"> </m:t>
        </m:r>
        <m:d>
          <m:dPr>
            <m:begChr m:val="["/>
            <m:endChr m:val="]"/>
            <m:ctrlPr>
              <w:rPr>
                <w:rFonts w:ascii="Cambria Math" w:hAnsi="Cambria Math"/>
                <w:i/>
                <w:noProof/>
                <w:lang w:val="cs-CZ"/>
              </w:rPr>
            </m:ctrlPr>
          </m:dPr>
          <m:e>
            <m:r>
              <w:rPr>
                <w:rFonts w:ascii="Cambria Math" w:hAnsi="Cambria Math"/>
                <w:noProof/>
                <w:lang w:val="cs-CZ"/>
              </w:rPr>
              <m:t>B+2T</m:t>
            </m:r>
          </m:e>
        </m:d>
      </m:oMath>
      <w:r w:rsidRPr="003B6E11">
        <w:rPr>
          <w:b/>
          <w:lang w:val="cs-CZ"/>
        </w:rPr>
        <w:t>:</w:t>
      </w:r>
    </w:p>
    <w:p w:rsidR="003B6E11" w:rsidRPr="003B6E11" w:rsidRDefault="003B6E11" w:rsidP="003B6E11">
      <w:pPr>
        <w:framePr w:hSpace="141" w:wrap="around" w:vAnchor="text" w:hAnchor="page" w:x="2380" w:y="426"/>
        <w:overflowPunct w:val="0"/>
        <w:adjustRightInd w:val="0"/>
        <w:textAlignment w:val="baseline"/>
        <w:rPr>
          <w:rFonts w:ascii="Times New Roman" w:hAnsi="Times New Roman"/>
          <w:szCs w:val="20"/>
          <w:lang w:val="cs-CZ"/>
        </w:rPr>
      </w:pPr>
      <w:r w:rsidRPr="003B6E11">
        <w:rPr>
          <w:rFonts w:ascii="Times New Roman" w:hAnsi="Times New Roman"/>
          <w:noProof/>
          <w:szCs w:val="20"/>
          <w:lang w:eastAsia="en-GB"/>
        </w:rPr>
        <w:drawing>
          <wp:inline distT="0" distB="0" distL="0" distR="0" wp14:anchorId="6699E709" wp14:editId="39412E98">
            <wp:extent cx="4686300" cy="6819900"/>
            <wp:effectExtent l="0" t="0" r="0" b="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86300" cy="6819900"/>
                    </a:xfrm>
                    <a:prstGeom prst="rect">
                      <a:avLst/>
                    </a:prstGeom>
                    <a:noFill/>
                    <a:ln>
                      <a:noFill/>
                    </a:ln>
                  </pic:spPr>
                </pic:pic>
              </a:graphicData>
            </a:graphic>
          </wp:inline>
        </w:drawing>
      </w:r>
    </w:p>
    <w:p w:rsidR="003B6E11" w:rsidRPr="003B6E11" w:rsidRDefault="002D015D" w:rsidP="003B6E11">
      <w:pPr>
        <w:framePr w:w="628" w:h="391" w:hSpace="141" w:wrap="around" w:vAnchor="text" w:hAnchor="page" w:x="1780" w:y="471"/>
        <w:overflowPunct w:val="0"/>
        <w:adjustRightInd w:val="0"/>
        <w:textAlignment w:val="baseline"/>
        <w:rPr>
          <w:rFonts w:ascii="Times New Roman" w:hAnsi="Times New Roman"/>
          <w:szCs w:val="20"/>
          <w:lang w:val="cs-CZ"/>
        </w:rPr>
      </w:pPr>
      <m:oMathPara>
        <m:oMath>
          <m:sSub>
            <m:sSubPr>
              <m:ctrlPr>
                <w:rPr>
                  <w:rFonts w:ascii="Cambria Math" w:hAnsi="Cambria Math"/>
                  <w:i/>
                  <w:noProof/>
                  <w:lang w:val="cs-CZ"/>
                </w:rPr>
              </m:ctrlPr>
            </m:sSubPr>
            <m:e>
              <m:r>
                <w:rPr>
                  <w:rFonts w:ascii="Cambria Math" w:hAnsi="Cambria Math"/>
                  <w:noProof/>
                  <w:lang w:val="cs-CZ"/>
                </w:rPr>
                <m:t>R</m:t>
              </m:r>
            </m:e>
            <m:sub>
              <m:r>
                <w:rPr>
                  <w:rFonts w:ascii="Cambria Math" w:hAnsi="Cambria Math"/>
                  <w:noProof/>
                  <w:lang w:val="cs-CZ"/>
                </w:rPr>
                <m:t>T</m:t>
              </m:r>
            </m:sub>
          </m:sSub>
          <m:r>
            <w:rPr>
              <w:rFonts w:ascii="Cambria Math" w:hAnsi="Cambria Math"/>
              <w:noProof/>
              <w:lang w:val="cs-CZ"/>
            </w:rPr>
            <m:t>/</m:t>
          </m:r>
          <m:sSup>
            <m:sSupPr>
              <m:ctrlPr>
                <w:rPr>
                  <w:rFonts w:ascii="Cambria Math" w:hAnsi="Cambria Math"/>
                  <w:i/>
                  <w:noProof/>
                  <w:lang w:val="cs-CZ"/>
                </w:rPr>
              </m:ctrlPr>
            </m:sSupPr>
            <m:e>
              <m:r>
                <w:rPr>
                  <w:rFonts w:ascii="Cambria Math" w:hAnsi="Cambria Math"/>
                  <w:noProof/>
                  <w:lang w:val="cs-CZ"/>
                </w:rPr>
                <m:t>v</m:t>
              </m:r>
            </m:e>
            <m:sup>
              <m:r>
                <w:rPr>
                  <w:rFonts w:ascii="Cambria Math" w:hAnsi="Cambria Math"/>
                  <w:noProof/>
                  <w:lang w:val="cs-CZ"/>
                </w:rPr>
                <m:t>2</m:t>
              </m:r>
            </m:sup>
          </m:sSup>
        </m:oMath>
      </m:oMathPara>
    </w:p>
    <w:p w:rsidR="003B6E11" w:rsidRPr="003B6E11" w:rsidRDefault="003B6E11" w:rsidP="003B6E11">
      <w:pPr>
        <w:tabs>
          <w:tab w:val="left" w:pos="960"/>
          <w:tab w:val="left" w:pos="1344"/>
          <w:tab w:val="left" w:pos="7680"/>
        </w:tabs>
        <w:overflowPunct w:val="0"/>
        <w:adjustRightInd w:val="0"/>
        <w:spacing w:line="240" w:lineRule="atLeast"/>
        <w:textAlignment w:val="baseline"/>
        <w:rPr>
          <w:szCs w:val="20"/>
          <w:lang w:val="cs-CZ"/>
        </w:rPr>
      </w:pPr>
      <w:r w:rsidRPr="003B6E11">
        <w:rPr>
          <w:rFonts w:ascii="Times New Roman" w:hAnsi="Times New Roman"/>
          <w:noProof/>
          <w:szCs w:val="20"/>
          <w:lang w:eastAsia="en-GB"/>
        </w:rPr>
        <mc:AlternateContent>
          <mc:Choice Requires="wps">
            <w:drawing>
              <wp:anchor distT="0" distB="0" distL="114300" distR="114300" simplePos="0" relativeHeight="251683840" behindDoc="1" locked="0" layoutInCell="1" allowOverlap="1" wp14:anchorId="14A54D65" wp14:editId="2496DCCE">
                <wp:simplePos x="0" y="0"/>
                <wp:positionH relativeFrom="column">
                  <wp:posOffset>-304165</wp:posOffset>
                </wp:positionH>
                <wp:positionV relativeFrom="paragraph">
                  <wp:posOffset>851535</wp:posOffset>
                </wp:positionV>
                <wp:extent cx="1009015" cy="517525"/>
                <wp:effectExtent l="0" t="0" r="0" b="0"/>
                <wp:wrapNone/>
                <wp:docPr id="7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15D" w:rsidRPr="00D30EF5" w:rsidRDefault="002D015D" w:rsidP="003B6E11">
                            <w:pPr>
                              <w:tabs>
                                <w:tab w:val="left" w:pos="960"/>
                                <w:tab w:val="left" w:pos="1344"/>
                                <w:tab w:val="left" w:pos="7680"/>
                              </w:tabs>
                              <w:overflowPunct w:val="0"/>
                              <w:adjustRightInd w:val="0"/>
                              <w:spacing w:line="240" w:lineRule="atLeast"/>
                              <w:textAlignment w:val="baseline"/>
                            </w:pPr>
                            <m:oMathPara>
                              <m:oMath>
                                <m:d>
                                  <m:dPr>
                                    <m:begChr m:val="["/>
                                    <m:endChr m:val="]"/>
                                    <m:ctrlPr>
                                      <w:rPr>
                                        <w:rFonts w:ascii="Cambria Math" w:hAnsi="Cambria Math"/>
                                        <w:i/>
                                        <w:szCs w:val="20"/>
                                      </w:rPr>
                                    </m:ctrlPr>
                                  </m:dPr>
                                  <m:e>
                                    <m:f>
                                      <m:fPr>
                                        <m:ctrlPr>
                                          <w:rPr>
                                            <w:rFonts w:ascii="Cambria Math" w:hAnsi="Cambria Math"/>
                                            <w:i/>
                                            <w:szCs w:val="20"/>
                                          </w:rPr>
                                        </m:ctrlPr>
                                      </m:fPr>
                                      <m:num>
                                        <m:r>
                                          <w:rPr>
                                            <w:rFonts w:ascii="Cambria Math" w:hAnsi="Cambria Math"/>
                                            <w:szCs w:val="20"/>
                                          </w:rPr>
                                          <m:t xml:space="preserve">kN ∙ </m:t>
                                        </m:r>
                                        <m:sSup>
                                          <m:sSupPr>
                                            <m:ctrlPr>
                                              <w:rPr>
                                                <w:rFonts w:ascii="Cambria Math" w:hAnsi="Cambria Math"/>
                                                <w:i/>
                                                <w:szCs w:val="20"/>
                                              </w:rPr>
                                            </m:ctrlPr>
                                          </m:sSupPr>
                                          <m:e>
                                            <m:r>
                                              <w:rPr>
                                                <w:rFonts w:ascii="Cambria Math" w:hAnsi="Cambria Math"/>
                                                <w:szCs w:val="20"/>
                                              </w:rPr>
                                              <m:t>s</m:t>
                                            </m:r>
                                          </m:e>
                                          <m:sup>
                                            <m:r>
                                              <w:rPr>
                                                <w:rFonts w:ascii="Cambria Math" w:hAnsi="Cambria Math"/>
                                                <w:szCs w:val="20"/>
                                              </w:rPr>
                                              <m:t>2</m:t>
                                            </m:r>
                                          </m:sup>
                                        </m:sSup>
                                        <m:r>
                                          <w:rPr>
                                            <w:rFonts w:ascii="Cambria Math" w:hAnsi="Cambria Math"/>
                                            <w:szCs w:val="20"/>
                                          </w:rPr>
                                          <m:t xml:space="preserve"> </m:t>
                                        </m:r>
                                      </m:num>
                                      <m:den>
                                        <m:sSup>
                                          <m:sSupPr>
                                            <m:ctrlPr>
                                              <w:rPr>
                                                <w:rFonts w:ascii="Cambria Math" w:hAnsi="Cambria Math"/>
                                                <w:i/>
                                                <w:szCs w:val="20"/>
                                              </w:rPr>
                                            </m:ctrlPr>
                                          </m:sSupPr>
                                          <m:e>
                                            <m:r>
                                              <w:rPr>
                                                <w:rFonts w:ascii="Cambria Math" w:hAnsi="Cambria Math"/>
                                                <w:szCs w:val="20"/>
                                              </w:rPr>
                                              <m:t>m</m:t>
                                            </m:r>
                                          </m:e>
                                          <m:sup>
                                            <m:r>
                                              <w:rPr>
                                                <w:rFonts w:ascii="Cambria Math" w:hAnsi="Cambria Math"/>
                                                <w:szCs w:val="20"/>
                                              </w:rPr>
                                              <m:t>2</m:t>
                                            </m:r>
                                          </m:sup>
                                        </m:sSup>
                                      </m:den>
                                    </m:f>
                                  </m:e>
                                </m:d>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43" type="#_x0000_t202" style="position:absolute;margin-left:-23.95pt;margin-top:67.05pt;width:79.45pt;height:40.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ChwIAABo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" stroked="f">
                <v:textbox>
                  <w:txbxContent>
                    <w:p w:rsidR="002D015D" w:rsidRPr="00D30EF5" w:rsidRDefault="002D015D" w:rsidP="003B6E11">
                      <w:pPr>
                        <w:tabs>
                          <w:tab w:val="left" w:pos="960"/>
                          <w:tab w:val="left" w:pos="1344"/>
                          <w:tab w:val="left" w:pos="7680"/>
                        </w:tabs>
                        <w:overflowPunct w:val="0"/>
                        <w:adjustRightInd w:val="0"/>
                        <w:spacing w:line="240" w:lineRule="atLeast"/>
                        <w:textAlignment w:val="baseline"/>
                      </w:pPr>
                      <m:oMathPara>
                        <m:oMath>
                          <m:d>
                            <m:dPr>
                              <m:begChr m:val="["/>
                              <m:endChr m:val="]"/>
                              <m:ctrlPr>
                                <w:rPr>
                                  <w:rFonts w:ascii="Cambria Math" w:hAnsi="Cambria Math"/>
                                  <w:i/>
                                  <w:szCs w:val="20"/>
                                </w:rPr>
                              </m:ctrlPr>
                            </m:dPr>
                            <m:e>
                              <m:f>
                                <m:fPr>
                                  <m:ctrlPr>
                                    <w:rPr>
                                      <w:rFonts w:ascii="Cambria Math" w:hAnsi="Cambria Math"/>
                                      <w:i/>
                                      <w:szCs w:val="20"/>
                                    </w:rPr>
                                  </m:ctrlPr>
                                </m:fPr>
                                <m:num>
                                  <m:r>
                                    <w:rPr>
                                      <w:rFonts w:ascii="Cambria Math" w:hAnsi="Cambria Math"/>
                                      <w:szCs w:val="20"/>
                                    </w:rPr>
                                    <m:t xml:space="preserve">kN ∙ </m:t>
                                  </m:r>
                                  <m:sSup>
                                    <m:sSupPr>
                                      <m:ctrlPr>
                                        <w:rPr>
                                          <w:rFonts w:ascii="Cambria Math" w:hAnsi="Cambria Math"/>
                                          <w:i/>
                                          <w:szCs w:val="20"/>
                                        </w:rPr>
                                      </m:ctrlPr>
                                    </m:sSupPr>
                                    <m:e>
                                      <m:r>
                                        <w:rPr>
                                          <w:rFonts w:ascii="Cambria Math" w:hAnsi="Cambria Math"/>
                                          <w:szCs w:val="20"/>
                                        </w:rPr>
                                        <m:t>s</m:t>
                                      </m:r>
                                    </m:e>
                                    <m:sup>
                                      <m:r>
                                        <w:rPr>
                                          <w:rFonts w:ascii="Cambria Math" w:hAnsi="Cambria Math"/>
                                          <w:szCs w:val="20"/>
                                        </w:rPr>
                                        <m:t>2</m:t>
                                      </m:r>
                                    </m:sup>
                                  </m:sSup>
                                  <m:r>
                                    <w:rPr>
                                      <w:rFonts w:ascii="Cambria Math" w:hAnsi="Cambria Math"/>
                                      <w:szCs w:val="20"/>
                                    </w:rPr>
                                    <m:t xml:space="preserve"> </m:t>
                                  </m:r>
                                </m:num>
                                <m:den>
                                  <m:sSup>
                                    <m:sSupPr>
                                      <m:ctrlPr>
                                        <w:rPr>
                                          <w:rFonts w:ascii="Cambria Math" w:hAnsi="Cambria Math"/>
                                          <w:i/>
                                          <w:szCs w:val="20"/>
                                        </w:rPr>
                                      </m:ctrlPr>
                                    </m:sSupPr>
                                    <m:e>
                                      <m:r>
                                        <w:rPr>
                                          <w:rFonts w:ascii="Cambria Math" w:hAnsi="Cambria Math"/>
                                          <w:szCs w:val="20"/>
                                        </w:rPr>
                                        <m:t>m</m:t>
                                      </m:r>
                                    </m:e>
                                    <m:sup>
                                      <m:r>
                                        <w:rPr>
                                          <w:rFonts w:ascii="Cambria Math" w:hAnsi="Cambria Math"/>
                                          <w:szCs w:val="20"/>
                                        </w:rPr>
                                        <m:t>2</m:t>
                                      </m:r>
                                    </m:sup>
                                  </m:sSup>
                                </m:den>
                              </m:f>
                            </m:e>
                          </m:d>
                        </m:oMath>
                      </m:oMathPara>
                    </w:p>
                  </w:txbxContent>
                </v:textbox>
              </v:shape>
            </w:pict>
          </mc:Fallback>
        </mc:AlternateContent>
      </w:r>
    </w:p>
    <w:p w:rsidR="003B6E11" w:rsidRPr="003B6E11" w:rsidRDefault="003B6E11" w:rsidP="003B6E11">
      <w:pPr>
        <w:tabs>
          <w:tab w:val="left" w:pos="0"/>
          <w:tab w:val="left" w:pos="8080"/>
        </w:tabs>
        <w:overflowPunct w:val="0"/>
        <w:adjustRightInd w:val="0"/>
        <w:spacing w:line="240" w:lineRule="exact"/>
        <w:textAlignment w:val="baseline"/>
        <w:rPr>
          <w:szCs w:val="20"/>
          <w:lang w:val="cs-CZ"/>
        </w:rPr>
      </w:pPr>
      <w:r w:rsidRPr="003B6E11">
        <w:rPr>
          <w:lang w:val="cs-CZ"/>
        </w:rPr>
        <w:tab/>
      </w:r>
    </w:p>
    <w:p w:rsidR="003B6E11" w:rsidRPr="003B6E11" w:rsidRDefault="003B6E11" w:rsidP="003B6E11">
      <w:pPr>
        <w:tabs>
          <w:tab w:val="left" w:pos="0"/>
          <w:tab w:val="left" w:pos="6946"/>
        </w:tabs>
        <w:overflowPunct w:val="0"/>
        <w:adjustRightInd w:val="0"/>
        <w:spacing w:line="240" w:lineRule="exact"/>
        <w:textAlignment w:val="baseline"/>
        <w:rPr>
          <w:szCs w:val="20"/>
          <w:lang w:val="cs-CZ"/>
        </w:rPr>
      </w:pPr>
    </w:p>
    <w:p w:rsidR="003B6E11" w:rsidRPr="003B6E11" w:rsidRDefault="003B6E11" w:rsidP="003B6E11">
      <w:pPr>
        <w:tabs>
          <w:tab w:val="left" w:pos="0"/>
          <w:tab w:val="left" w:pos="6946"/>
        </w:tabs>
        <w:overflowPunct w:val="0"/>
        <w:adjustRightInd w:val="0"/>
        <w:spacing w:line="240" w:lineRule="exact"/>
        <w:textAlignment w:val="baseline"/>
        <w:rPr>
          <w:szCs w:val="20"/>
          <w:lang w:val="cs-CZ"/>
        </w:rPr>
      </w:pPr>
      <w:r w:rsidRPr="003B6E11">
        <w:rPr>
          <w:lang w:val="cs-CZ"/>
        </w:rPr>
        <w:tab/>
      </w:r>
      <m:oMath>
        <m:sSup>
          <m:sSupPr>
            <m:ctrlPr>
              <w:rPr>
                <w:rFonts w:ascii="Cambria Math" w:hAnsi="Cambria Math"/>
                <w:i/>
                <w:noProof/>
                <w:lang w:val="cs-CZ"/>
              </w:rPr>
            </m:ctrlPr>
          </m:sSupPr>
          <m:e>
            <m:r>
              <w:rPr>
                <w:rFonts w:ascii="Cambria Math" w:hAnsi="Cambria Math"/>
                <w:noProof/>
                <w:lang w:val="cs-CZ"/>
              </w:rPr>
              <m:t>D</m:t>
            </m:r>
          </m:e>
          <m:sup>
            <m:r>
              <w:rPr>
                <w:rFonts w:ascii="Cambria Math" w:hAnsi="Cambria Math"/>
                <w:noProof/>
                <w:lang w:val="cs-CZ"/>
              </w:rPr>
              <m:t>1/3</m:t>
            </m:r>
          </m:sup>
        </m:sSup>
        <m:r>
          <w:rPr>
            <w:rFonts w:ascii="Cambria Math" w:hAnsi="Cambria Math"/>
            <w:noProof/>
            <w:lang w:val="cs-CZ"/>
          </w:rPr>
          <m:t xml:space="preserve"> </m:t>
        </m:r>
        <m:d>
          <m:dPr>
            <m:begChr m:val="["/>
            <m:endChr m:val="]"/>
            <m:ctrlPr>
              <w:rPr>
                <w:rFonts w:ascii="Cambria Math" w:hAnsi="Cambria Math"/>
                <w:i/>
                <w:noProof/>
                <w:lang w:val="cs-CZ"/>
              </w:rPr>
            </m:ctrlPr>
          </m:dPr>
          <m:e>
            <m:r>
              <w:rPr>
                <w:rFonts w:ascii="Cambria Math" w:hAnsi="Cambria Math"/>
                <w:noProof/>
                <w:lang w:val="cs-CZ"/>
              </w:rPr>
              <m:t>B+2T</m:t>
            </m:r>
          </m:e>
        </m:d>
      </m:oMath>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sectPr w:rsidR="003B6E11" w:rsidRPr="003B6E11" w:rsidSect="00D45887">
          <w:headerReference w:type="default" r:id="rId123"/>
          <w:headerReference w:type="first" r:id="rId124"/>
          <w:footerReference w:type="first" r:id="rId125"/>
          <w:pgSz w:w="11907" w:h="16840" w:code="9"/>
          <w:pgMar w:top="1418" w:right="1418" w:bottom="1418" w:left="1418" w:header="680" w:footer="680" w:gutter="0"/>
          <w:cols w:space="720"/>
          <w:noEndnote/>
          <w:titlePg/>
        </w:sectPr>
      </w:pPr>
    </w:p>
    <w:p w:rsidR="003B6E11" w:rsidRPr="003B6E11" w:rsidRDefault="003B6E11" w:rsidP="003B6E11">
      <w:pPr>
        <w:spacing w:line="240" w:lineRule="atLeast"/>
        <w:ind w:left="567" w:hanging="567"/>
        <w:rPr>
          <w:lang w:val="cs-CZ"/>
        </w:rPr>
      </w:pPr>
    </w:p>
    <w:p w:rsidR="003B6E11" w:rsidRPr="003B6E11" w:rsidRDefault="003B6E11" w:rsidP="003B6E11">
      <w:pPr>
        <w:pStyle w:val="ES-Titre4"/>
      </w:pPr>
      <w:r w:rsidRPr="003B6E11">
        <w:t>Dodatek k příloze 2 pokynu ESI-II-3</w:t>
      </w:r>
    </w:p>
    <w:p w:rsidR="003B6E11" w:rsidRPr="003B6E11" w:rsidRDefault="003B6E11" w:rsidP="003B6E11">
      <w:pPr>
        <w:pStyle w:val="ES-Titre4a"/>
      </w:pPr>
      <w:r w:rsidRPr="003B6E11">
        <w:t xml:space="preserve">Příklady použití přílohy 2 </w:t>
      </w:r>
      <w:r w:rsidRPr="003B6E11">
        <w:br/>
        <w:t>(Vyhodnocení výsledků zastavovacího manévru)</w:t>
      </w:r>
    </w:p>
    <w:p w:rsidR="003B6E11" w:rsidRPr="003B6E11" w:rsidRDefault="003B6E11" w:rsidP="003B6E11">
      <w:pPr>
        <w:tabs>
          <w:tab w:val="left" w:pos="960"/>
          <w:tab w:val="left" w:pos="1344"/>
          <w:tab w:val="left" w:pos="7680"/>
        </w:tabs>
        <w:overflowPunct w:val="0"/>
        <w:adjustRightInd w:val="0"/>
        <w:spacing w:line="240" w:lineRule="exact"/>
        <w:jc w:val="center"/>
        <w:textAlignment w:val="baseline"/>
        <w:rPr>
          <w:b/>
          <w:szCs w:val="20"/>
          <w:lang w:val="cs-CZ"/>
        </w:rPr>
      </w:pPr>
    </w:p>
    <w:p w:rsidR="003B6E11" w:rsidRPr="003B6E11" w:rsidRDefault="003B6E11" w:rsidP="003B6E11">
      <w:pPr>
        <w:pStyle w:val="ES-Titre4prESIexple"/>
      </w:pPr>
      <w:r w:rsidRPr="003B6E11">
        <w:t>Příklad I</w:t>
      </w:r>
    </w:p>
    <w:p w:rsidR="003B6E11" w:rsidRPr="003B6E11" w:rsidRDefault="003B6E11" w:rsidP="003B6E11">
      <w:pPr>
        <w:tabs>
          <w:tab w:val="left" w:pos="960"/>
          <w:tab w:val="left" w:pos="1344"/>
          <w:tab w:val="left" w:pos="7680"/>
        </w:tabs>
        <w:overflowPunct w:val="0"/>
        <w:adjustRightInd w:val="0"/>
        <w:spacing w:line="240" w:lineRule="exact"/>
        <w:textAlignment w:val="baseline"/>
        <w:rPr>
          <w:szCs w:val="20"/>
          <w:lang w:val="cs-CZ"/>
        </w:rPr>
      </w:pPr>
    </w:p>
    <w:p w:rsidR="003B6E11" w:rsidRPr="003B6E11" w:rsidRDefault="003B6E11" w:rsidP="003B6E11">
      <w:pPr>
        <w:tabs>
          <w:tab w:val="left" w:pos="960"/>
          <w:tab w:val="left" w:pos="1344"/>
          <w:tab w:val="left" w:pos="7680"/>
        </w:tabs>
        <w:overflowPunct w:val="0"/>
        <w:adjustRightInd w:val="0"/>
        <w:spacing w:line="240" w:lineRule="exact"/>
        <w:textAlignment w:val="baseline"/>
        <w:rPr>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1.</w:t>
      </w:r>
      <w:r w:rsidRPr="003B6E11">
        <w:rPr>
          <w:lang w:val="cs-CZ"/>
        </w:rPr>
        <w:tab/>
      </w:r>
      <w:r w:rsidRPr="003B6E11">
        <w:rPr>
          <w:b/>
          <w:color w:val="000000"/>
          <w:lang w:val="cs-CZ"/>
        </w:rPr>
        <w:t>Údaje o lodích a sestavě</w:t>
      </w:r>
    </w:p>
    <w:p w:rsidR="003B6E11" w:rsidRPr="003B6E11" w:rsidRDefault="003B6E11" w:rsidP="003B6E11">
      <w:pPr>
        <w:tabs>
          <w:tab w:val="left" w:pos="284"/>
        </w:tabs>
        <w:overflowPunct w:val="0"/>
        <w:adjustRightInd w:val="0"/>
        <w:ind w:left="284" w:hanging="284"/>
        <w:textAlignment w:val="baseline"/>
        <w:rPr>
          <w:szCs w:val="20"/>
          <w:lang w:val="cs-CZ"/>
        </w:rPr>
      </w:pPr>
    </w:p>
    <w:p w:rsidR="003B6E11" w:rsidRPr="003B6E11" w:rsidRDefault="003B6E11" w:rsidP="003B6E11">
      <w:pPr>
        <w:spacing w:line="240" w:lineRule="atLeast"/>
        <w:ind w:left="567"/>
        <w:rPr>
          <w:lang w:val="cs-CZ"/>
        </w:rPr>
      </w:pPr>
      <w:r w:rsidRPr="003B6E11">
        <w:rPr>
          <w:lang w:val="cs-CZ"/>
        </w:rPr>
        <w:t>Tvar sestavy: běžná motorová loď s tlačným člunem (Europa IIa) spojeným v řadě</w:t>
      </w:r>
    </w:p>
    <w:p w:rsidR="003B6E11" w:rsidRPr="003B6E11" w:rsidRDefault="003B6E11" w:rsidP="003B6E11">
      <w:pPr>
        <w:tabs>
          <w:tab w:val="left" w:pos="960"/>
          <w:tab w:val="left" w:pos="1344"/>
          <w:tab w:val="left" w:pos="7680"/>
        </w:tabs>
        <w:overflowPunct w:val="0"/>
        <w:adjustRightInd w:val="0"/>
        <w:spacing w:line="240" w:lineRule="exact"/>
        <w:textAlignment w:val="baseline"/>
        <w:rPr>
          <w:szCs w:val="20"/>
          <w:lang w:val="cs-CZ"/>
        </w:rPr>
      </w:pPr>
    </w:p>
    <w:p w:rsidR="003B6E11" w:rsidRPr="003B6E11" w:rsidRDefault="003B6E11" w:rsidP="003B6E11">
      <w:pPr>
        <w:overflowPunct w:val="0"/>
        <w:adjustRightInd w:val="0"/>
        <w:textAlignment w:val="baseline"/>
        <w:rPr>
          <w:szCs w:val="20"/>
          <w:lang w:val="cs-CZ"/>
        </w:rPr>
      </w:pPr>
    </w:p>
    <w:tbl>
      <w:tblPr>
        <w:tblW w:w="0" w:type="auto"/>
        <w:tblInd w:w="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61"/>
        <w:gridCol w:w="1361"/>
        <w:gridCol w:w="1361"/>
        <w:gridCol w:w="1361"/>
        <w:gridCol w:w="1361"/>
        <w:gridCol w:w="1361"/>
        <w:gridCol w:w="1361"/>
      </w:tblGrid>
      <w:tr w:rsidR="003B6E11" w:rsidRPr="003B6E11" w:rsidTr="002D015D">
        <w:tc>
          <w:tcPr>
            <w:tcW w:w="1361" w:type="dxa"/>
          </w:tcPr>
          <w:p w:rsidR="003B6E11" w:rsidRPr="003B6E11" w:rsidRDefault="003B6E11" w:rsidP="002D015D">
            <w:pPr>
              <w:overflowPunct w:val="0"/>
              <w:adjustRightInd w:val="0"/>
              <w:spacing w:before="80" w:after="80"/>
              <w:jc w:val="center"/>
              <w:textAlignment w:val="baseline"/>
              <w:rPr>
                <w:sz w:val="18"/>
                <w:szCs w:val="18"/>
                <w:lang w:val="cs-CZ"/>
              </w:rPr>
            </w:pPr>
          </w:p>
        </w:tc>
        <w:tc>
          <w:tcPr>
            <w:tcW w:w="1361" w:type="dxa"/>
          </w:tcPr>
          <w:p w:rsidR="003B6E11" w:rsidRPr="003B6E11" w:rsidRDefault="003B6E11" w:rsidP="002D015D">
            <w:pPr>
              <w:overflowPunct w:val="0"/>
              <w:adjustRightInd w:val="0"/>
              <w:spacing w:before="80" w:after="80"/>
              <w:jc w:val="center"/>
              <w:textAlignment w:val="baseline"/>
              <w:rPr>
                <w:sz w:val="18"/>
                <w:szCs w:val="18"/>
                <w:lang w:val="cs-CZ"/>
              </w:rPr>
            </w:pPr>
            <m:oMath>
              <m:r>
                <w:rPr>
                  <w:rFonts w:ascii="Cambria Math" w:hAnsi="Cambria Math"/>
                  <w:sz w:val="18"/>
                  <w:szCs w:val="18"/>
                  <w:lang w:val="cs-CZ"/>
                </w:rPr>
                <m:t>L</m:t>
              </m:r>
            </m:oMath>
            <w:r w:rsidRPr="003B6E11">
              <w:rPr>
                <w:sz w:val="18"/>
                <w:lang w:val="cs-CZ"/>
              </w:rPr>
              <w:t xml:space="preserve"> [m]</w:t>
            </w:r>
          </w:p>
        </w:tc>
        <w:tc>
          <w:tcPr>
            <w:tcW w:w="1361" w:type="dxa"/>
          </w:tcPr>
          <w:p w:rsidR="003B6E11" w:rsidRPr="003B6E11" w:rsidRDefault="003B6E11" w:rsidP="002D015D">
            <w:pPr>
              <w:overflowPunct w:val="0"/>
              <w:adjustRightInd w:val="0"/>
              <w:spacing w:before="80" w:after="80"/>
              <w:jc w:val="center"/>
              <w:textAlignment w:val="baseline"/>
              <w:rPr>
                <w:sz w:val="18"/>
                <w:szCs w:val="18"/>
                <w:lang w:val="cs-CZ"/>
              </w:rPr>
            </w:pPr>
            <m:oMath>
              <m:r>
                <w:rPr>
                  <w:rFonts w:ascii="Cambria Math" w:hAnsi="Cambria Math"/>
                  <w:sz w:val="18"/>
                  <w:szCs w:val="18"/>
                  <w:lang w:val="cs-CZ"/>
                </w:rPr>
                <m:t>B</m:t>
              </m:r>
            </m:oMath>
            <w:r w:rsidRPr="003B6E11">
              <w:rPr>
                <w:sz w:val="18"/>
                <w:lang w:val="cs-CZ"/>
              </w:rPr>
              <w:t xml:space="preserve"> [m]</w:t>
            </w:r>
          </w:p>
        </w:tc>
        <w:tc>
          <w:tcPr>
            <w:tcW w:w="1361" w:type="dxa"/>
          </w:tcPr>
          <w:p w:rsidR="003B6E11" w:rsidRPr="003B6E11" w:rsidRDefault="003B6E11" w:rsidP="002D015D">
            <w:pPr>
              <w:overflowPunct w:val="0"/>
              <w:adjustRightInd w:val="0"/>
              <w:spacing w:before="80" w:after="80"/>
              <w:jc w:val="center"/>
              <w:textAlignment w:val="baseline"/>
              <w:rPr>
                <w:sz w:val="18"/>
                <w:szCs w:val="18"/>
                <w:lang w:val="cs-CZ"/>
              </w:rPr>
            </w:pPr>
            <m:oMath>
              <m:r>
                <w:rPr>
                  <w:rFonts w:ascii="Cambria Math" w:hAnsi="Cambria Math"/>
                  <w:sz w:val="18"/>
                  <w:szCs w:val="18"/>
                  <w:lang w:val="cs-CZ"/>
                </w:rPr>
                <m:t>T</m:t>
              </m:r>
              <m:r>
                <w:rPr>
                  <w:rFonts w:ascii="Cambria Math" w:hAnsi="Cambria Math"/>
                  <w:position w:val="-6"/>
                  <w:sz w:val="16"/>
                  <w:szCs w:val="18"/>
                  <w:lang w:val="cs-CZ"/>
                </w:rPr>
                <m:t>max</m:t>
              </m:r>
            </m:oMath>
            <w:r w:rsidRPr="003B6E11">
              <w:rPr>
                <w:sz w:val="18"/>
                <w:lang w:val="cs-CZ"/>
              </w:rPr>
              <w:t xml:space="preserve"> [m]</w:t>
            </w:r>
          </w:p>
        </w:tc>
        <w:tc>
          <w:tcPr>
            <w:tcW w:w="1361" w:type="dxa"/>
          </w:tcPr>
          <w:p w:rsidR="003B6E11" w:rsidRPr="003B6E11" w:rsidRDefault="003B6E11" w:rsidP="002D015D">
            <w:pPr>
              <w:overflowPunct w:val="0"/>
              <w:adjustRightInd w:val="0"/>
              <w:spacing w:before="80" w:after="80"/>
              <w:jc w:val="center"/>
              <w:textAlignment w:val="baseline"/>
              <w:rPr>
                <w:sz w:val="18"/>
                <w:szCs w:val="18"/>
                <w:lang w:val="cs-CZ"/>
              </w:rPr>
            </w:pPr>
            <m:oMath>
              <m:r>
                <w:rPr>
                  <w:rFonts w:ascii="Cambria Math" w:hAnsi="Cambria Math"/>
                  <w:szCs w:val="20"/>
                  <w:lang w:val="cs-CZ"/>
                </w:rPr>
                <m:t>Tgf</m:t>
              </m:r>
              <m:r>
                <w:rPr>
                  <w:rFonts w:ascii="Cambria Math" w:hAnsi="Cambria Math"/>
                  <w:position w:val="6"/>
                  <w:sz w:val="18"/>
                  <w:szCs w:val="18"/>
                  <w:lang w:val="cs-CZ"/>
                </w:rPr>
                <m:t>*</m:t>
              </m:r>
              <m:r>
                <w:rPr>
                  <w:rFonts w:ascii="Cambria Math" w:hAnsi="Cambria Math"/>
                  <w:position w:val="-6"/>
                  <w:sz w:val="16"/>
                  <w:szCs w:val="18"/>
                  <w:lang w:val="cs-CZ"/>
                </w:rPr>
                <m:t>max</m:t>
              </m:r>
            </m:oMath>
            <w:r w:rsidRPr="003B6E11">
              <w:rPr>
                <w:sz w:val="18"/>
                <w:lang w:val="cs-CZ"/>
              </w:rPr>
              <w:t xml:space="preserve"> [t]</w:t>
            </w:r>
          </w:p>
        </w:tc>
        <w:tc>
          <w:tcPr>
            <w:tcW w:w="1361" w:type="dxa"/>
          </w:tcPr>
          <w:p w:rsidR="003B6E11" w:rsidRPr="003B6E11" w:rsidRDefault="003B6E11" w:rsidP="002D015D">
            <w:pPr>
              <w:overflowPunct w:val="0"/>
              <w:adjustRightInd w:val="0"/>
              <w:spacing w:before="80" w:after="80"/>
              <w:jc w:val="center"/>
              <w:textAlignment w:val="baseline"/>
              <w:rPr>
                <w:sz w:val="18"/>
                <w:szCs w:val="18"/>
                <w:lang w:val="cs-CZ"/>
              </w:rPr>
            </w:pPr>
            <m:oMath>
              <m:r>
                <w:rPr>
                  <w:rFonts w:ascii="Cambria Math" w:hAnsi="Cambria Math"/>
                  <w:sz w:val="18"/>
                  <w:szCs w:val="18"/>
                  <w:lang w:val="cs-CZ"/>
                </w:rPr>
                <m:t>D</m:t>
              </m:r>
              <m:r>
                <w:rPr>
                  <w:rFonts w:ascii="Cambria Math" w:hAnsi="Cambria Math"/>
                  <w:position w:val="-6"/>
                  <w:sz w:val="16"/>
                  <w:szCs w:val="18"/>
                  <w:lang w:val="cs-CZ"/>
                </w:rPr>
                <m:t>max</m:t>
              </m:r>
            </m:oMath>
            <w:r w:rsidRPr="003B6E11">
              <w:rPr>
                <w:sz w:val="18"/>
                <w:lang w:val="cs-CZ"/>
              </w:rPr>
              <w:t xml:space="preserve"> [m</w:t>
            </w:r>
            <w:r w:rsidRPr="003B6E11">
              <w:rPr>
                <w:position w:val="6"/>
                <w:sz w:val="16"/>
                <w:lang w:val="cs-CZ"/>
              </w:rPr>
              <w:t>3</w:t>
            </w:r>
            <w:r w:rsidRPr="003B6E11">
              <w:rPr>
                <w:sz w:val="18"/>
                <w:lang w:val="cs-CZ"/>
              </w:rPr>
              <w:t>]</w:t>
            </w:r>
          </w:p>
        </w:tc>
        <w:tc>
          <w:tcPr>
            <w:tcW w:w="1361" w:type="dxa"/>
          </w:tcPr>
          <w:p w:rsidR="003B6E11" w:rsidRPr="003B6E11" w:rsidRDefault="003B6E11" w:rsidP="002D015D">
            <w:pPr>
              <w:overflowPunct w:val="0"/>
              <w:adjustRightInd w:val="0"/>
              <w:spacing w:before="80" w:after="80"/>
              <w:jc w:val="center"/>
              <w:textAlignment w:val="baseline"/>
              <w:rPr>
                <w:sz w:val="18"/>
                <w:szCs w:val="18"/>
                <w:lang w:val="cs-CZ"/>
              </w:rPr>
            </w:pPr>
            <m:oMath>
              <m:r>
                <w:rPr>
                  <w:rFonts w:ascii="Cambria Math" w:hAnsi="Cambria Math"/>
                  <w:sz w:val="18"/>
                  <w:szCs w:val="18"/>
                  <w:lang w:val="cs-CZ"/>
                </w:rPr>
                <m:t>P</m:t>
              </m:r>
              <m:r>
                <w:rPr>
                  <w:rFonts w:ascii="Cambria Math" w:hAnsi="Cambria Math"/>
                  <w:position w:val="-6"/>
                  <w:sz w:val="16"/>
                  <w:szCs w:val="18"/>
                  <w:lang w:val="cs-CZ"/>
                </w:rPr>
                <m:t>B</m:t>
              </m:r>
            </m:oMath>
            <w:r w:rsidRPr="003B6E11">
              <w:rPr>
                <w:sz w:val="18"/>
                <w:lang w:val="cs-CZ"/>
              </w:rPr>
              <w:t xml:space="preserve"> [kW]</w:t>
            </w:r>
          </w:p>
        </w:tc>
      </w:tr>
      <w:tr w:rsidR="003B6E11" w:rsidRPr="003B6E11" w:rsidTr="002D015D">
        <w:tc>
          <w:tcPr>
            <w:tcW w:w="1361" w:type="dxa"/>
          </w:tcPr>
          <w:p w:rsidR="003B6E11" w:rsidRPr="003B6E11" w:rsidRDefault="003B6E11" w:rsidP="002D015D">
            <w:pPr>
              <w:overflowPunct w:val="0"/>
              <w:adjustRightInd w:val="0"/>
              <w:spacing w:before="80" w:after="80"/>
              <w:jc w:val="center"/>
              <w:textAlignment w:val="baseline"/>
              <w:rPr>
                <w:sz w:val="18"/>
                <w:szCs w:val="18"/>
                <w:lang w:val="cs-CZ"/>
              </w:rPr>
            </w:pPr>
            <w:r w:rsidRPr="003B6E11">
              <w:rPr>
                <w:sz w:val="18"/>
                <w:lang w:val="cs-CZ"/>
              </w:rPr>
              <w:t>Motorová loď</w:t>
            </w:r>
          </w:p>
        </w:tc>
        <w:tc>
          <w:tcPr>
            <w:tcW w:w="1361" w:type="dxa"/>
          </w:tcPr>
          <w:p w:rsidR="003B6E11" w:rsidRPr="003B6E11" w:rsidRDefault="003B6E11" w:rsidP="002D015D">
            <w:pPr>
              <w:tabs>
                <w:tab w:val="decimal" w:pos="709"/>
              </w:tabs>
              <w:overflowPunct w:val="0"/>
              <w:adjustRightInd w:val="0"/>
              <w:spacing w:before="80" w:after="80"/>
              <w:ind w:left="113" w:right="113"/>
              <w:textAlignment w:val="baseline"/>
              <w:rPr>
                <w:sz w:val="18"/>
                <w:szCs w:val="18"/>
                <w:lang w:val="cs-CZ"/>
              </w:rPr>
            </w:pPr>
            <w:r w:rsidRPr="003B6E11">
              <w:rPr>
                <w:sz w:val="18"/>
                <w:lang w:val="cs-CZ"/>
              </w:rPr>
              <w:t>110</w:t>
            </w:r>
          </w:p>
        </w:tc>
        <w:tc>
          <w:tcPr>
            <w:tcW w:w="1361" w:type="dxa"/>
          </w:tcPr>
          <w:p w:rsidR="003B6E11" w:rsidRPr="003B6E11" w:rsidRDefault="003B6E11" w:rsidP="002D015D">
            <w:pPr>
              <w:tabs>
                <w:tab w:val="decimal" w:pos="708"/>
              </w:tabs>
              <w:overflowPunct w:val="0"/>
              <w:adjustRightInd w:val="0"/>
              <w:spacing w:before="80" w:after="80"/>
              <w:ind w:left="113" w:right="113"/>
              <w:textAlignment w:val="baseline"/>
              <w:rPr>
                <w:sz w:val="18"/>
                <w:szCs w:val="18"/>
                <w:lang w:val="cs-CZ"/>
              </w:rPr>
            </w:pPr>
            <w:r w:rsidRPr="003B6E11">
              <w:rPr>
                <w:sz w:val="18"/>
                <w:lang w:val="cs-CZ"/>
              </w:rPr>
              <w:t>11,4</w:t>
            </w:r>
          </w:p>
        </w:tc>
        <w:tc>
          <w:tcPr>
            <w:tcW w:w="1361" w:type="dxa"/>
          </w:tcPr>
          <w:p w:rsidR="003B6E11" w:rsidRPr="003B6E11" w:rsidRDefault="003B6E11" w:rsidP="002D015D">
            <w:pPr>
              <w:tabs>
                <w:tab w:val="decimal" w:pos="737"/>
              </w:tabs>
              <w:overflowPunct w:val="0"/>
              <w:adjustRightInd w:val="0"/>
              <w:spacing w:before="80" w:after="80"/>
              <w:ind w:left="113" w:right="113"/>
              <w:textAlignment w:val="baseline"/>
              <w:rPr>
                <w:sz w:val="18"/>
                <w:szCs w:val="18"/>
                <w:lang w:val="cs-CZ"/>
              </w:rPr>
            </w:pPr>
            <w:r w:rsidRPr="003B6E11">
              <w:rPr>
                <w:sz w:val="18"/>
                <w:lang w:val="cs-CZ"/>
              </w:rPr>
              <w:t>3,5</w:t>
            </w:r>
          </w:p>
        </w:tc>
        <w:tc>
          <w:tcPr>
            <w:tcW w:w="1361" w:type="dxa"/>
          </w:tcPr>
          <w:p w:rsidR="003B6E11" w:rsidRPr="003B6E11" w:rsidRDefault="003B6E11" w:rsidP="002D015D">
            <w:pPr>
              <w:tabs>
                <w:tab w:val="decimal" w:pos="849"/>
              </w:tabs>
              <w:overflowPunct w:val="0"/>
              <w:adjustRightInd w:val="0"/>
              <w:spacing w:before="80" w:after="80"/>
              <w:ind w:left="113" w:right="113"/>
              <w:textAlignment w:val="baseline"/>
              <w:rPr>
                <w:sz w:val="18"/>
                <w:szCs w:val="18"/>
                <w:lang w:val="cs-CZ"/>
              </w:rPr>
            </w:pPr>
            <w:r w:rsidRPr="003B6E11">
              <w:rPr>
                <w:sz w:val="18"/>
                <w:lang w:val="cs-CZ"/>
              </w:rPr>
              <w:t>2900</w:t>
            </w:r>
          </w:p>
        </w:tc>
        <w:tc>
          <w:tcPr>
            <w:tcW w:w="1361" w:type="dxa"/>
          </w:tcPr>
          <w:p w:rsidR="003B6E11" w:rsidRPr="003B6E11" w:rsidRDefault="003B6E11" w:rsidP="002D015D">
            <w:pPr>
              <w:tabs>
                <w:tab w:val="decimal" w:pos="990"/>
              </w:tabs>
              <w:overflowPunct w:val="0"/>
              <w:adjustRightInd w:val="0"/>
              <w:spacing w:before="80" w:after="80"/>
              <w:ind w:left="113" w:right="113"/>
              <w:textAlignment w:val="baseline"/>
              <w:rPr>
                <w:sz w:val="18"/>
                <w:szCs w:val="18"/>
                <w:lang w:val="cs-CZ"/>
              </w:rPr>
            </w:pPr>
            <w:r w:rsidRPr="003B6E11">
              <w:rPr>
                <w:sz w:val="18"/>
                <w:lang w:val="cs-CZ"/>
              </w:rPr>
              <w:t>3731</w:t>
            </w:r>
          </w:p>
        </w:tc>
        <w:tc>
          <w:tcPr>
            <w:tcW w:w="1361" w:type="dxa"/>
          </w:tcPr>
          <w:p w:rsidR="003B6E11" w:rsidRPr="003B6E11" w:rsidRDefault="003B6E11" w:rsidP="002D015D">
            <w:pPr>
              <w:tabs>
                <w:tab w:val="decimal" w:pos="848"/>
              </w:tabs>
              <w:overflowPunct w:val="0"/>
              <w:adjustRightInd w:val="0"/>
              <w:spacing w:before="80" w:after="80"/>
              <w:ind w:left="113" w:right="113"/>
              <w:textAlignment w:val="baseline"/>
              <w:rPr>
                <w:sz w:val="18"/>
                <w:szCs w:val="18"/>
                <w:lang w:val="cs-CZ"/>
              </w:rPr>
            </w:pPr>
            <w:r w:rsidRPr="003B6E11">
              <w:rPr>
                <w:sz w:val="18"/>
                <w:lang w:val="cs-CZ"/>
              </w:rPr>
              <w:t>1500</w:t>
            </w:r>
          </w:p>
        </w:tc>
      </w:tr>
      <w:tr w:rsidR="003B6E11" w:rsidRPr="003B6E11" w:rsidTr="002D015D">
        <w:tc>
          <w:tcPr>
            <w:tcW w:w="1361" w:type="dxa"/>
          </w:tcPr>
          <w:p w:rsidR="003B6E11" w:rsidRPr="003B6E11" w:rsidRDefault="003B6E11" w:rsidP="002D015D">
            <w:pPr>
              <w:overflowPunct w:val="0"/>
              <w:adjustRightInd w:val="0"/>
              <w:spacing w:before="80" w:after="80"/>
              <w:jc w:val="center"/>
              <w:textAlignment w:val="baseline"/>
              <w:rPr>
                <w:sz w:val="18"/>
                <w:szCs w:val="18"/>
                <w:lang w:val="cs-CZ"/>
              </w:rPr>
            </w:pPr>
            <w:r w:rsidRPr="003B6E11">
              <w:rPr>
                <w:sz w:val="18"/>
                <w:lang w:val="cs-CZ"/>
              </w:rPr>
              <w:t>Tlačný člun</w:t>
            </w:r>
          </w:p>
        </w:tc>
        <w:tc>
          <w:tcPr>
            <w:tcW w:w="1361" w:type="dxa"/>
          </w:tcPr>
          <w:p w:rsidR="003B6E11" w:rsidRPr="003B6E11" w:rsidRDefault="003B6E11" w:rsidP="002D015D">
            <w:pPr>
              <w:tabs>
                <w:tab w:val="decimal" w:pos="709"/>
              </w:tabs>
              <w:overflowPunct w:val="0"/>
              <w:adjustRightInd w:val="0"/>
              <w:spacing w:before="80" w:after="80"/>
              <w:ind w:left="113" w:right="113"/>
              <w:textAlignment w:val="baseline"/>
              <w:rPr>
                <w:sz w:val="18"/>
                <w:szCs w:val="18"/>
                <w:lang w:val="cs-CZ"/>
              </w:rPr>
            </w:pPr>
            <w:r w:rsidRPr="003B6E11">
              <w:rPr>
                <w:sz w:val="18"/>
                <w:lang w:val="cs-CZ"/>
              </w:rPr>
              <w:t>76,5</w:t>
            </w:r>
          </w:p>
        </w:tc>
        <w:tc>
          <w:tcPr>
            <w:tcW w:w="1361" w:type="dxa"/>
          </w:tcPr>
          <w:p w:rsidR="003B6E11" w:rsidRPr="003B6E11" w:rsidRDefault="003B6E11" w:rsidP="002D015D">
            <w:pPr>
              <w:tabs>
                <w:tab w:val="decimal" w:pos="708"/>
              </w:tabs>
              <w:overflowPunct w:val="0"/>
              <w:adjustRightInd w:val="0"/>
              <w:spacing w:before="80" w:after="80"/>
              <w:ind w:left="113" w:right="113"/>
              <w:textAlignment w:val="baseline"/>
              <w:rPr>
                <w:sz w:val="18"/>
                <w:szCs w:val="18"/>
                <w:lang w:val="cs-CZ"/>
              </w:rPr>
            </w:pPr>
            <w:r w:rsidRPr="003B6E11">
              <w:rPr>
                <w:sz w:val="18"/>
                <w:lang w:val="cs-CZ"/>
              </w:rPr>
              <w:t>11,4</w:t>
            </w:r>
          </w:p>
        </w:tc>
        <w:tc>
          <w:tcPr>
            <w:tcW w:w="1361" w:type="dxa"/>
          </w:tcPr>
          <w:p w:rsidR="003B6E11" w:rsidRPr="003B6E11" w:rsidRDefault="003B6E11" w:rsidP="002D015D">
            <w:pPr>
              <w:tabs>
                <w:tab w:val="decimal" w:pos="737"/>
              </w:tabs>
              <w:overflowPunct w:val="0"/>
              <w:adjustRightInd w:val="0"/>
              <w:spacing w:before="80" w:after="80"/>
              <w:ind w:left="113" w:right="113"/>
              <w:textAlignment w:val="baseline"/>
              <w:rPr>
                <w:sz w:val="18"/>
                <w:szCs w:val="18"/>
                <w:lang w:val="cs-CZ"/>
              </w:rPr>
            </w:pPr>
            <w:r w:rsidRPr="003B6E11">
              <w:rPr>
                <w:sz w:val="18"/>
                <w:lang w:val="cs-CZ"/>
              </w:rPr>
              <w:t>3,7</w:t>
            </w:r>
          </w:p>
        </w:tc>
        <w:tc>
          <w:tcPr>
            <w:tcW w:w="1361" w:type="dxa"/>
          </w:tcPr>
          <w:p w:rsidR="003B6E11" w:rsidRPr="003B6E11" w:rsidRDefault="003B6E11" w:rsidP="002D015D">
            <w:pPr>
              <w:tabs>
                <w:tab w:val="decimal" w:pos="849"/>
              </w:tabs>
              <w:overflowPunct w:val="0"/>
              <w:adjustRightInd w:val="0"/>
              <w:spacing w:before="80" w:after="80"/>
              <w:ind w:left="113" w:right="113"/>
              <w:textAlignment w:val="baseline"/>
              <w:rPr>
                <w:sz w:val="18"/>
                <w:szCs w:val="18"/>
                <w:lang w:val="cs-CZ"/>
              </w:rPr>
            </w:pPr>
            <w:r w:rsidRPr="003B6E11">
              <w:rPr>
                <w:sz w:val="18"/>
                <w:lang w:val="cs-CZ"/>
              </w:rPr>
              <w:t>2600</w:t>
            </w:r>
          </w:p>
        </w:tc>
        <w:tc>
          <w:tcPr>
            <w:tcW w:w="1361" w:type="dxa"/>
          </w:tcPr>
          <w:p w:rsidR="003B6E11" w:rsidRPr="003B6E11" w:rsidRDefault="003B6E11" w:rsidP="002D015D">
            <w:pPr>
              <w:tabs>
                <w:tab w:val="decimal" w:pos="990"/>
              </w:tabs>
              <w:overflowPunct w:val="0"/>
              <w:adjustRightInd w:val="0"/>
              <w:spacing w:before="80" w:after="80"/>
              <w:ind w:left="113" w:right="113"/>
              <w:textAlignment w:val="baseline"/>
              <w:rPr>
                <w:sz w:val="18"/>
                <w:szCs w:val="18"/>
                <w:lang w:val="cs-CZ"/>
              </w:rPr>
            </w:pPr>
            <w:r w:rsidRPr="003B6E11">
              <w:rPr>
                <w:sz w:val="18"/>
                <w:lang w:val="cs-CZ"/>
              </w:rPr>
              <w:t>2743</w:t>
            </w:r>
          </w:p>
        </w:tc>
        <w:tc>
          <w:tcPr>
            <w:tcW w:w="1361" w:type="dxa"/>
          </w:tcPr>
          <w:p w:rsidR="003B6E11" w:rsidRPr="003B6E11" w:rsidRDefault="003B6E11" w:rsidP="002D015D">
            <w:pPr>
              <w:tabs>
                <w:tab w:val="decimal" w:pos="198"/>
              </w:tabs>
              <w:overflowPunct w:val="0"/>
              <w:adjustRightInd w:val="0"/>
              <w:spacing w:before="80" w:after="80"/>
              <w:ind w:left="113" w:right="113"/>
              <w:jc w:val="center"/>
              <w:textAlignment w:val="baseline"/>
              <w:rPr>
                <w:sz w:val="18"/>
                <w:szCs w:val="18"/>
                <w:lang w:val="cs-CZ"/>
              </w:rPr>
            </w:pPr>
            <w:r w:rsidRPr="003B6E11">
              <w:rPr>
                <w:sz w:val="18"/>
                <w:lang w:val="cs-CZ"/>
              </w:rPr>
              <w:t>-</w:t>
            </w:r>
          </w:p>
        </w:tc>
      </w:tr>
      <w:tr w:rsidR="003B6E11" w:rsidRPr="003B6E11" w:rsidTr="002D015D">
        <w:tc>
          <w:tcPr>
            <w:tcW w:w="1361" w:type="dxa"/>
          </w:tcPr>
          <w:p w:rsidR="003B6E11" w:rsidRPr="003B6E11" w:rsidRDefault="003B6E11" w:rsidP="002D015D">
            <w:pPr>
              <w:overflowPunct w:val="0"/>
              <w:adjustRightInd w:val="0"/>
              <w:spacing w:before="80" w:after="80"/>
              <w:jc w:val="center"/>
              <w:textAlignment w:val="baseline"/>
              <w:rPr>
                <w:sz w:val="18"/>
                <w:szCs w:val="18"/>
                <w:lang w:val="cs-CZ"/>
              </w:rPr>
            </w:pPr>
            <w:r w:rsidRPr="003B6E11">
              <w:rPr>
                <w:sz w:val="18"/>
                <w:lang w:val="cs-CZ"/>
              </w:rPr>
              <w:t>Sestava</w:t>
            </w:r>
          </w:p>
        </w:tc>
        <w:tc>
          <w:tcPr>
            <w:tcW w:w="1361" w:type="dxa"/>
          </w:tcPr>
          <w:p w:rsidR="003B6E11" w:rsidRPr="003B6E11" w:rsidRDefault="003B6E11" w:rsidP="002D015D">
            <w:pPr>
              <w:tabs>
                <w:tab w:val="decimal" w:pos="709"/>
              </w:tabs>
              <w:overflowPunct w:val="0"/>
              <w:adjustRightInd w:val="0"/>
              <w:spacing w:before="80" w:after="80"/>
              <w:ind w:left="113" w:right="113"/>
              <w:textAlignment w:val="baseline"/>
              <w:rPr>
                <w:sz w:val="18"/>
                <w:szCs w:val="18"/>
                <w:lang w:val="cs-CZ"/>
              </w:rPr>
            </w:pPr>
            <w:r w:rsidRPr="003B6E11">
              <w:rPr>
                <w:sz w:val="18"/>
                <w:lang w:val="cs-CZ"/>
              </w:rPr>
              <w:t>110</w:t>
            </w:r>
          </w:p>
        </w:tc>
        <w:tc>
          <w:tcPr>
            <w:tcW w:w="1361" w:type="dxa"/>
          </w:tcPr>
          <w:p w:rsidR="003B6E11" w:rsidRPr="003B6E11" w:rsidRDefault="003B6E11" w:rsidP="002D015D">
            <w:pPr>
              <w:tabs>
                <w:tab w:val="decimal" w:pos="708"/>
              </w:tabs>
              <w:overflowPunct w:val="0"/>
              <w:adjustRightInd w:val="0"/>
              <w:spacing w:before="80" w:after="80"/>
              <w:ind w:left="113" w:right="113"/>
              <w:textAlignment w:val="baseline"/>
              <w:rPr>
                <w:sz w:val="18"/>
                <w:szCs w:val="18"/>
                <w:lang w:val="cs-CZ"/>
              </w:rPr>
            </w:pPr>
            <w:r w:rsidRPr="003B6E11">
              <w:rPr>
                <w:sz w:val="18"/>
                <w:lang w:val="cs-CZ"/>
              </w:rPr>
              <w:t>22,8</w:t>
            </w:r>
          </w:p>
        </w:tc>
        <w:tc>
          <w:tcPr>
            <w:tcW w:w="1361" w:type="dxa"/>
          </w:tcPr>
          <w:p w:rsidR="003B6E11" w:rsidRPr="003B6E11" w:rsidRDefault="003B6E11" w:rsidP="002D015D">
            <w:pPr>
              <w:tabs>
                <w:tab w:val="decimal" w:pos="737"/>
              </w:tabs>
              <w:overflowPunct w:val="0"/>
              <w:adjustRightInd w:val="0"/>
              <w:spacing w:before="80" w:after="80"/>
              <w:ind w:left="113" w:right="113"/>
              <w:textAlignment w:val="baseline"/>
              <w:rPr>
                <w:sz w:val="18"/>
                <w:szCs w:val="18"/>
                <w:lang w:val="cs-CZ"/>
              </w:rPr>
            </w:pPr>
            <w:r w:rsidRPr="003B6E11">
              <w:rPr>
                <w:sz w:val="18"/>
                <w:lang w:val="cs-CZ"/>
              </w:rPr>
              <w:t>3,7</w:t>
            </w:r>
          </w:p>
        </w:tc>
        <w:tc>
          <w:tcPr>
            <w:tcW w:w="1361" w:type="dxa"/>
          </w:tcPr>
          <w:p w:rsidR="003B6E11" w:rsidRPr="003B6E11" w:rsidRDefault="003B6E11" w:rsidP="002D015D">
            <w:pPr>
              <w:tabs>
                <w:tab w:val="decimal" w:pos="849"/>
              </w:tabs>
              <w:overflowPunct w:val="0"/>
              <w:adjustRightInd w:val="0"/>
              <w:spacing w:before="80" w:after="80"/>
              <w:ind w:left="113" w:right="113"/>
              <w:textAlignment w:val="baseline"/>
              <w:rPr>
                <w:sz w:val="18"/>
                <w:szCs w:val="18"/>
                <w:lang w:val="cs-CZ"/>
              </w:rPr>
            </w:pPr>
            <w:r w:rsidRPr="003B6E11">
              <w:rPr>
                <w:sz w:val="18"/>
                <w:lang w:val="cs-CZ"/>
              </w:rPr>
              <w:t>5500</w:t>
            </w:r>
          </w:p>
        </w:tc>
        <w:tc>
          <w:tcPr>
            <w:tcW w:w="1361" w:type="dxa"/>
          </w:tcPr>
          <w:p w:rsidR="003B6E11" w:rsidRPr="003B6E11" w:rsidRDefault="003B6E11" w:rsidP="002D015D">
            <w:pPr>
              <w:tabs>
                <w:tab w:val="decimal" w:pos="990"/>
              </w:tabs>
              <w:overflowPunct w:val="0"/>
              <w:adjustRightInd w:val="0"/>
              <w:spacing w:before="80" w:after="80"/>
              <w:ind w:left="113" w:right="113"/>
              <w:textAlignment w:val="baseline"/>
              <w:rPr>
                <w:sz w:val="18"/>
                <w:szCs w:val="18"/>
                <w:lang w:val="cs-CZ"/>
              </w:rPr>
            </w:pPr>
            <w:r w:rsidRPr="003B6E11">
              <w:rPr>
                <w:sz w:val="18"/>
                <w:lang w:val="cs-CZ"/>
              </w:rPr>
              <w:t>6474</w:t>
            </w:r>
          </w:p>
        </w:tc>
        <w:tc>
          <w:tcPr>
            <w:tcW w:w="1361" w:type="dxa"/>
          </w:tcPr>
          <w:p w:rsidR="003B6E11" w:rsidRPr="003B6E11" w:rsidRDefault="003B6E11" w:rsidP="002D015D">
            <w:pPr>
              <w:tabs>
                <w:tab w:val="decimal" w:pos="848"/>
              </w:tabs>
              <w:overflowPunct w:val="0"/>
              <w:adjustRightInd w:val="0"/>
              <w:spacing w:before="80" w:after="80"/>
              <w:ind w:left="113" w:right="113"/>
              <w:textAlignment w:val="baseline"/>
              <w:rPr>
                <w:sz w:val="18"/>
                <w:szCs w:val="18"/>
                <w:lang w:val="cs-CZ"/>
              </w:rPr>
            </w:pPr>
            <w:r w:rsidRPr="003B6E11">
              <w:rPr>
                <w:sz w:val="18"/>
                <w:lang w:val="cs-CZ"/>
              </w:rPr>
              <w:t>1500</w:t>
            </w:r>
          </w:p>
        </w:tc>
      </w:tr>
    </w:tbl>
    <w:p w:rsidR="003B6E11" w:rsidRPr="003B6E11" w:rsidRDefault="003B6E11" w:rsidP="003B6E11">
      <w:pPr>
        <w:overflowPunct w:val="0"/>
        <w:adjustRightInd w:val="0"/>
        <w:textAlignment w:val="baseline"/>
        <w:rPr>
          <w:szCs w:val="20"/>
          <w:lang w:val="cs-CZ"/>
        </w:rPr>
      </w:pPr>
    </w:p>
    <w:p w:rsidR="003B6E11" w:rsidRPr="003B6E11" w:rsidRDefault="003B6E11" w:rsidP="003B6E11">
      <w:pPr>
        <w:tabs>
          <w:tab w:val="left" w:pos="960"/>
          <w:tab w:val="left" w:pos="1344"/>
          <w:tab w:val="left" w:pos="7680"/>
        </w:tabs>
        <w:overflowPunct w:val="0"/>
        <w:adjustRightInd w:val="0"/>
        <w:spacing w:line="240" w:lineRule="exact"/>
        <w:textAlignment w:val="baseline"/>
        <w:rPr>
          <w:szCs w:val="20"/>
          <w:lang w:val="cs-CZ"/>
        </w:rPr>
      </w:pPr>
    </w:p>
    <w:p w:rsidR="003B6E11" w:rsidRPr="003B6E11" w:rsidRDefault="003B6E11" w:rsidP="003B6E11">
      <w:pPr>
        <w:tabs>
          <w:tab w:val="left" w:pos="960"/>
          <w:tab w:val="left" w:pos="1344"/>
          <w:tab w:val="left" w:pos="7680"/>
        </w:tabs>
        <w:overflowPunct w:val="0"/>
        <w:adjustRightInd w:val="0"/>
        <w:spacing w:line="240" w:lineRule="exact"/>
        <w:ind w:left="567" w:hanging="567"/>
        <w:textAlignment w:val="baseline"/>
        <w:rPr>
          <w:szCs w:val="20"/>
          <w:lang w:val="cs-CZ"/>
        </w:rPr>
      </w:pPr>
      <w:r w:rsidRPr="003B6E11">
        <w:rPr>
          <w:lang w:val="cs-CZ"/>
        </w:rPr>
        <w:tab/>
        <w:t>Pohonný systém motorové lodi: moderní dýzy se zaoblenou zadní hranou</w:t>
      </w:r>
    </w:p>
    <w:p w:rsidR="003B6E11" w:rsidRPr="003B6E11" w:rsidRDefault="003B6E11" w:rsidP="003B6E11">
      <w:pPr>
        <w:tabs>
          <w:tab w:val="left" w:pos="960"/>
          <w:tab w:val="left" w:pos="1344"/>
          <w:tab w:val="left" w:pos="7680"/>
        </w:tabs>
        <w:overflowPunct w:val="0"/>
        <w:adjustRightInd w:val="0"/>
        <w:spacing w:line="240" w:lineRule="exact"/>
        <w:ind w:left="567" w:hanging="567"/>
        <w:textAlignment w:val="baseline"/>
        <w:rPr>
          <w:szCs w:val="20"/>
          <w:lang w:val="cs-CZ"/>
        </w:rPr>
      </w:pPr>
    </w:p>
    <w:p w:rsidR="003B6E11" w:rsidRPr="003B6E11" w:rsidRDefault="003B6E11" w:rsidP="003B6E11">
      <w:pPr>
        <w:tabs>
          <w:tab w:val="left" w:pos="960"/>
          <w:tab w:val="left" w:pos="1344"/>
          <w:tab w:val="left" w:pos="7680"/>
        </w:tabs>
        <w:overflowPunct w:val="0"/>
        <w:adjustRightInd w:val="0"/>
        <w:spacing w:line="240" w:lineRule="exact"/>
        <w:ind w:left="567" w:hanging="567"/>
        <w:textAlignment w:val="baseline"/>
        <w:rPr>
          <w:szCs w:val="20"/>
          <w:lang w:val="cs-CZ"/>
        </w:rPr>
      </w:pPr>
      <w:r w:rsidRPr="003B6E11">
        <w:rPr>
          <w:lang w:val="cs-CZ"/>
        </w:rPr>
        <w:tab/>
        <w:t xml:space="preserve">* </w:t>
      </w:r>
      <m:oMath>
        <m:r>
          <w:rPr>
            <w:rFonts w:ascii="Cambria Math" w:hAnsi="Cambria Math"/>
            <w:szCs w:val="20"/>
            <w:lang w:val="cs-CZ"/>
          </w:rPr>
          <m:t>Tgf</m:t>
        </m:r>
      </m:oMath>
      <w:r w:rsidRPr="003B6E11">
        <w:rPr>
          <w:lang w:val="cs-CZ"/>
        </w:rPr>
        <w:t xml:space="preserve"> = nosnost.</w:t>
      </w:r>
    </w:p>
    <w:p w:rsidR="003B6E11" w:rsidRPr="003B6E11" w:rsidRDefault="003B6E11" w:rsidP="003B6E11">
      <w:pPr>
        <w:tabs>
          <w:tab w:val="left" w:pos="960"/>
          <w:tab w:val="left" w:pos="1344"/>
          <w:tab w:val="left" w:pos="7680"/>
        </w:tabs>
        <w:overflowPunct w:val="0"/>
        <w:adjustRightInd w:val="0"/>
        <w:spacing w:line="240" w:lineRule="exact"/>
        <w:textAlignment w:val="baseline"/>
        <w:rPr>
          <w:szCs w:val="20"/>
          <w:lang w:val="cs-CZ"/>
        </w:rPr>
      </w:pPr>
    </w:p>
    <w:p w:rsidR="003B6E11" w:rsidRPr="003B6E11" w:rsidRDefault="003B6E11" w:rsidP="003B6E11">
      <w:pPr>
        <w:tabs>
          <w:tab w:val="left" w:pos="960"/>
          <w:tab w:val="left" w:pos="1344"/>
          <w:tab w:val="left" w:pos="7680"/>
        </w:tabs>
        <w:overflowPunct w:val="0"/>
        <w:adjustRightInd w:val="0"/>
        <w:spacing w:line="240" w:lineRule="exact"/>
        <w:textAlignment w:val="baseline"/>
        <w:rPr>
          <w:szCs w:val="20"/>
          <w:lang w:val="cs-CZ"/>
        </w:rPr>
      </w:pPr>
    </w:p>
    <w:p w:rsidR="003B6E11" w:rsidRPr="003B6E11" w:rsidRDefault="003B6E11" w:rsidP="003B6E11">
      <w:pPr>
        <w:tabs>
          <w:tab w:val="left" w:pos="960"/>
          <w:tab w:val="left" w:pos="1344"/>
          <w:tab w:val="left" w:pos="7680"/>
        </w:tabs>
        <w:overflowPunct w:val="0"/>
        <w:adjustRightInd w:val="0"/>
        <w:spacing w:line="240" w:lineRule="exact"/>
        <w:textAlignment w:val="baseline"/>
        <w:rPr>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2.</w:t>
      </w:r>
      <w:r w:rsidRPr="003B6E11">
        <w:rPr>
          <w:lang w:val="cs-CZ"/>
        </w:rPr>
        <w:tab/>
      </w:r>
      <w:r w:rsidRPr="003B6E11">
        <w:rPr>
          <w:b/>
          <w:color w:val="000000"/>
          <w:lang w:val="cs-CZ"/>
        </w:rPr>
        <w:t>Hodnoty naměřené během zastavovacího manévru</w:t>
      </w:r>
    </w:p>
    <w:p w:rsidR="003B6E11" w:rsidRPr="003B6E11" w:rsidRDefault="003B6E11" w:rsidP="003B6E11">
      <w:pPr>
        <w:overflowPunct w:val="0"/>
        <w:adjustRightInd w:val="0"/>
        <w:ind w:left="567" w:hanging="567"/>
        <w:textAlignment w:val="baseline"/>
        <w:rPr>
          <w:szCs w:val="20"/>
          <w:lang w:val="cs-CZ"/>
        </w:rPr>
      </w:pPr>
    </w:p>
    <w:p w:rsidR="003B6E11" w:rsidRPr="003B6E11" w:rsidRDefault="003B6E11" w:rsidP="003B6E11">
      <w:pPr>
        <w:overflowPunct w:val="0"/>
        <w:adjustRightInd w:val="0"/>
        <w:ind w:left="567" w:hanging="567"/>
        <w:textAlignment w:val="baseline"/>
        <w:rPr>
          <w:szCs w:val="20"/>
          <w:lang w:val="cs-CZ"/>
        </w:rPr>
      </w:pPr>
    </w:p>
    <w:p w:rsidR="003B6E11" w:rsidRPr="003B6E11" w:rsidRDefault="003B6E11" w:rsidP="003B6E11">
      <w:pPr>
        <w:tabs>
          <w:tab w:val="left" w:pos="5387"/>
          <w:tab w:val="left" w:pos="6379"/>
          <w:tab w:val="left" w:pos="6663"/>
          <w:tab w:val="left" w:pos="7513"/>
        </w:tabs>
        <w:overflowPunct w:val="0"/>
        <w:adjustRightInd w:val="0"/>
        <w:spacing w:line="240" w:lineRule="atLeast"/>
        <w:ind w:left="567" w:hanging="567"/>
        <w:textAlignment w:val="baseline"/>
        <w:rPr>
          <w:szCs w:val="20"/>
          <w:lang w:val="cs-CZ"/>
        </w:rPr>
      </w:pPr>
      <w:r w:rsidRPr="003B6E11">
        <w:rPr>
          <w:lang w:val="cs-CZ"/>
        </w:rPr>
        <w:tab/>
        <w:t>Rychlost proudu:</w:t>
      </w:r>
      <w:r w:rsidRPr="003B6E11">
        <w:rPr>
          <w:lang w:val="cs-CZ"/>
        </w:rPr>
        <w:tab/>
      </w:r>
      <m:oMath>
        <m:sSub>
          <m:sSubPr>
            <m:ctrlPr>
              <w:rPr>
                <w:rFonts w:ascii="Cambria Math" w:hAnsi="Cambria Math"/>
                <w:i/>
                <w:szCs w:val="20"/>
                <w:lang w:val="cs-CZ"/>
              </w:rPr>
            </m:ctrlPr>
          </m:sSubPr>
          <m:e>
            <m:sSub>
              <m:sSubPr>
                <m:ctrlPr>
                  <w:rPr>
                    <w:rFonts w:ascii="Cambria Math" w:hAnsi="Cambria Math"/>
                    <w:i/>
                    <w:szCs w:val="20"/>
                    <w:lang w:val="cs-CZ"/>
                  </w:rPr>
                </m:ctrlPr>
              </m:sSubPr>
              <m:e>
                <m:r>
                  <w:rPr>
                    <w:rFonts w:ascii="Cambria Math" w:hAnsi="Cambria Math"/>
                    <w:szCs w:val="20"/>
                    <w:lang w:val="cs-CZ"/>
                  </w:rPr>
                  <m:t>v</m:t>
                </m:r>
              </m:e>
              <m:sub>
                <m:r>
                  <w:rPr>
                    <w:rFonts w:ascii="Cambria Math" w:hAnsi="Cambria Math"/>
                    <w:szCs w:val="20"/>
                    <w:lang w:val="cs-CZ"/>
                  </w:rPr>
                  <m:t>STR</m:t>
                </m:r>
              </m:sub>
            </m:sSub>
          </m:e>
          <m:sub>
            <m:r>
              <w:rPr>
                <w:rFonts w:ascii="Cambria Math" w:hAnsi="Cambria Math"/>
                <w:szCs w:val="20"/>
                <w:lang w:val="cs-CZ"/>
              </w:rPr>
              <m:t>IST</m:t>
            </m:r>
          </m:sub>
        </m:sSub>
      </m:oMath>
      <w:r w:rsidRPr="003B6E11">
        <w:rPr>
          <w:lang w:val="cs-CZ"/>
        </w:rPr>
        <w:tab/>
        <w:t>=</w:t>
      </w:r>
      <w:r w:rsidRPr="003B6E11">
        <w:rPr>
          <w:lang w:val="cs-CZ"/>
        </w:rPr>
        <w:tab/>
        <w:t>1,4 m/s</w:t>
      </w:r>
      <w:r w:rsidRPr="003B6E11">
        <w:rPr>
          <w:lang w:val="cs-CZ"/>
        </w:rPr>
        <w:tab/>
      </w:r>
      <w:r w:rsidRPr="003B6E11">
        <w:rPr>
          <w:szCs w:val="20"/>
          <w:lang w:val="cs-CZ"/>
        </w:rPr>
        <w:sym w:font="Symbol" w:char="F0BB"/>
      </w:r>
      <w:r w:rsidRPr="003B6E11">
        <w:rPr>
          <w:lang w:val="cs-CZ"/>
        </w:rPr>
        <w:t xml:space="preserve"> 5,1 km/h</w:t>
      </w:r>
    </w:p>
    <w:p w:rsidR="003B6E11" w:rsidRPr="003B6E11" w:rsidRDefault="003B6E11" w:rsidP="003B6E11">
      <w:pPr>
        <w:tabs>
          <w:tab w:val="left" w:pos="5387"/>
          <w:tab w:val="left" w:pos="6379"/>
          <w:tab w:val="left" w:pos="6663"/>
          <w:tab w:val="left" w:pos="7513"/>
        </w:tabs>
        <w:overflowPunct w:val="0"/>
        <w:adjustRightInd w:val="0"/>
        <w:spacing w:line="240" w:lineRule="exact"/>
        <w:ind w:left="567" w:hanging="567"/>
        <w:textAlignment w:val="baseline"/>
        <w:rPr>
          <w:szCs w:val="20"/>
          <w:lang w:val="cs-CZ"/>
        </w:rPr>
      </w:pPr>
    </w:p>
    <w:p w:rsidR="003B6E11" w:rsidRPr="003B6E11" w:rsidRDefault="003B6E11" w:rsidP="003B6E11">
      <w:pPr>
        <w:tabs>
          <w:tab w:val="left" w:pos="5387"/>
          <w:tab w:val="left" w:pos="6379"/>
          <w:tab w:val="left" w:pos="6663"/>
          <w:tab w:val="left" w:pos="7513"/>
        </w:tabs>
        <w:overflowPunct w:val="0"/>
        <w:adjustRightInd w:val="0"/>
        <w:spacing w:line="240" w:lineRule="atLeast"/>
        <w:ind w:left="567" w:hanging="567"/>
        <w:textAlignment w:val="baseline"/>
        <w:rPr>
          <w:szCs w:val="20"/>
          <w:lang w:val="cs-CZ"/>
        </w:rPr>
      </w:pPr>
      <w:r w:rsidRPr="003B6E11">
        <w:rPr>
          <w:lang w:val="cs-CZ"/>
        </w:rPr>
        <w:tab/>
        <w:t xml:space="preserve">Rychlost lodi (vzhledem k vodní hladině): </w:t>
      </w:r>
      <w:r w:rsidRPr="003B6E11">
        <w:rPr>
          <w:lang w:val="cs-CZ"/>
        </w:rPr>
        <w:tab/>
      </w:r>
      <m:oMath>
        <m:sSub>
          <m:sSubPr>
            <m:ctrlPr>
              <w:rPr>
                <w:rFonts w:ascii="Cambria Math" w:hAnsi="Cambria Math"/>
                <w:i/>
                <w:szCs w:val="20"/>
                <w:lang w:val="cs-CZ"/>
              </w:rPr>
            </m:ctrlPr>
          </m:sSubPr>
          <m:e>
            <m:sSub>
              <m:sSubPr>
                <m:ctrlPr>
                  <w:rPr>
                    <w:rFonts w:ascii="Cambria Math" w:hAnsi="Cambria Math"/>
                    <w:i/>
                    <w:szCs w:val="20"/>
                    <w:lang w:val="cs-CZ"/>
                  </w:rPr>
                </m:ctrlPr>
              </m:sSubPr>
              <m:e>
                <m:r>
                  <w:rPr>
                    <w:rFonts w:ascii="Cambria Math" w:hAnsi="Cambria Math"/>
                    <w:szCs w:val="20"/>
                    <w:lang w:val="cs-CZ"/>
                  </w:rPr>
                  <m:t>v</m:t>
                </m:r>
              </m:e>
              <m:sub>
                <m:r>
                  <w:rPr>
                    <w:rFonts w:ascii="Cambria Math" w:hAnsi="Cambria Math"/>
                    <w:szCs w:val="20"/>
                    <w:lang w:val="cs-CZ"/>
                  </w:rPr>
                  <m:t>S</m:t>
                </m:r>
              </m:sub>
            </m:sSub>
          </m:e>
          <m:sub>
            <m:r>
              <w:rPr>
                <w:rFonts w:ascii="Cambria Math" w:hAnsi="Cambria Math"/>
                <w:szCs w:val="20"/>
                <w:lang w:val="cs-CZ"/>
              </w:rPr>
              <m:t>IST</m:t>
            </m:r>
          </m:sub>
        </m:sSub>
      </m:oMath>
      <w:r w:rsidRPr="003B6E11">
        <w:rPr>
          <w:lang w:val="cs-CZ"/>
        </w:rPr>
        <w:tab/>
        <w:t>=</w:t>
      </w:r>
      <w:r w:rsidRPr="003B6E11">
        <w:rPr>
          <w:lang w:val="cs-CZ"/>
        </w:rPr>
        <w:tab/>
        <w:t>3,5 m/s</w:t>
      </w:r>
      <w:r w:rsidRPr="003B6E11">
        <w:rPr>
          <w:lang w:val="cs-CZ"/>
        </w:rPr>
        <w:tab/>
      </w:r>
      <w:r w:rsidRPr="003B6E11">
        <w:rPr>
          <w:szCs w:val="20"/>
          <w:lang w:val="cs-CZ"/>
        </w:rPr>
        <w:sym w:font="Symbol" w:char="F0BB"/>
      </w:r>
      <w:r w:rsidRPr="003B6E11">
        <w:rPr>
          <w:lang w:val="cs-CZ"/>
        </w:rPr>
        <w:t xml:space="preserve"> 12,5 km/h</w:t>
      </w:r>
    </w:p>
    <w:p w:rsidR="003B6E11" w:rsidRPr="003B6E11" w:rsidRDefault="003B6E11" w:rsidP="003B6E11">
      <w:pPr>
        <w:tabs>
          <w:tab w:val="left" w:pos="5387"/>
          <w:tab w:val="left" w:pos="6379"/>
          <w:tab w:val="left" w:pos="6663"/>
          <w:tab w:val="left" w:pos="7513"/>
        </w:tabs>
        <w:overflowPunct w:val="0"/>
        <w:adjustRightInd w:val="0"/>
        <w:spacing w:line="240" w:lineRule="atLeast"/>
        <w:ind w:left="567" w:hanging="567"/>
        <w:textAlignment w:val="baseline"/>
        <w:rPr>
          <w:szCs w:val="20"/>
          <w:lang w:val="cs-CZ"/>
        </w:rPr>
      </w:pPr>
    </w:p>
    <w:p w:rsidR="003B6E11" w:rsidRPr="003B6E11" w:rsidRDefault="003B6E11" w:rsidP="003B6E11">
      <w:pPr>
        <w:tabs>
          <w:tab w:val="left" w:pos="5387"/>
          <w:tab w:val="left" w:pos="6379"/>
          <w:tab w:val="left" w:pos="6663"/>
          <w:tab w:val="left" w:pos="7513"/>
        </w:tabs>
        <w:overflowPunct w:val="0"/>
        <w:adjustRightInd w:val="0"/>
        <w:spacing w:line="240" w:lineRule="atLeast"/>
        <w:ind w:left="567" w:hanging="567"/>
        <w:textAlignment w:val="baseline"/>
        <w:rPr>
          <w:szCs w:val="20"/>
          <w:lang w:val="cs-CZ"/>
        </w:rPr>
      </w:pPr>
      <w:r w:rsidRPr="003B6E11">
        <w:rPr>
          <w:lang w:val="cs-CZ"/>
        </w:rPr>
        <w:tab/>
        <w:t>Rychlost lodi (vzhledem k zemi):</w:t>
      </w:r>
      <w:r w:rsidRPr="003B6E11">
        <w:rPr>
          <w:lang w:val="cs-CZ"/>
        </w:rPr>
        <w:tab/>
      </w:r>
      <m:oMath>
        <m:sSub>
          <m:sSubPr>
            <m:ctrlPr>
              <w:rPr>
                <w:rFonts w:ascii="Cambria Math" w:hAnsi="Cambria Math"/>
                <w:i/>
                <w:szCs w:val="20"/>
                <w:lang w:val="cs-CZ"/>
              </w:rPr>
            </m:ctrlPr>
          </m:sSubPr>
          <m:e>
            <m:sSub>
              <m:sSubPr>
                <m:ctrlPr>
                  <w:rPr>
                    <w:rFonts w:ascii="Cambria Math" w:hAnsi="Cambria Math"/>
                    <w:i/>
                    <w:szCs w:val="20"/>
                    <w:lang w:val="cs-CZ"/>
                  </w:rPr>
                </m:ctrlPr>
              </m:sSubPr>
              <m:e>
                <m:r>
                  <w:rPr>
                    <w:rFonts w:ascii="Cambria Math" w:hAnsi="Cambria Math"/>
                    <w:szCs w:val="20"/>
                    <w:lang w:val="cs-CZ"/>
                  </w:rPr>
                  <m:t>v</m:t>
                </m:r>
              </m:e>
              <m:sub>
                <m:r>
                  <w:rPr>
                    <w:rFonts w:ascii="Cambria Math" w:hAnsi="Cambria Math"/>
                    <w:szCs w:val="20"/>
                    <w:lang w:val="cs-CZ"/>
                  </w:rPr>
                  <m:t>L</m:t>
                </m:r>
              </m:sub>
            </m:sSub>
          </m:e>
          <m:sub>
            <m:r>
              <w:rPr>
                <w:rFonts w:ascii="Cambria Math" w:hAnsi="Cambria Math"/>
                <w:szCs w:val="20"/>
                <w:lang w:val="cs-CZ"/>
              </w:rPr>
              <m:t>IST</m:t>
            </m:r>
          </m:sub>
        </m:sSub>
      </m:oMath>
      <w:r w:rsidRPr="003B6E11">
        <w:rPr>
          <w:lang w:val="cs-CZ"/>
        </w:rPr>
        <w:t xml:space="preserve"> </w:t>
      </w:r>
      <w:r w:rsidRPr="003B6E11">
        <w:rPr>
          <w:lang w:val="cs-CZ"/>
        </w:rPr>
        <w:tab/>
        <w:t>=</w:t>
      </w:r>
      <w:r w:rsidRPr="003B6E11">
        <w:rPr>
          <w:lang w:val="cs-CZ"/>
        </w:rPr>
        <w:tab/>
        <w:t>4,9 m/s</w:t>
      </w:r>
      <w:r w:rsidRPr="003B6E11">
        <w:rPr>
          <w:lang w:val="cs-CZ"/>
        </w:rPr>
        <w:tab/>
      </w:r>
      <w:r w:rsidRPr="003B6E11">
        <w:rPr>
          <w:szCs w:val="20"/>
          <w:lang w:val="cs-CZ"/>
        </w:rPr>
        <w:sym w:font="Symbol" w:char="F0BB"/>
      </w:r>
      <w:r w:rsidRPr="003B6E11">
        <w:rPr>
          <w:lang w:val="cs-CZ"/>
        </w:rPr>
        <w:t xml:space="preserve"> 17,6 km/h</w:t>
      </w:r>
    </w:p>
    <w:p w:rsidR="003B6E11" w:rsidRPr="003B6E11" w:rsidRDefault="003B6E11" w:rsidP="003B6E11">
      <w:pPr>
        <w:tabs>
          <w:tab w:val="left" w:pos="5387"/>
          <w:tab w:val="left" w:pos="6379"/>
          <w:tab w:val="left" w:pos="6663"/>
          <w:tab w:val="left" w:pos="7513"/>
        </w:tabs>
        <w:overflowPunct w:val="0"/>
        <w:adjustRightInd w:val="0"/>
        <w:spacing w:line="240" w:lineRule="atLeast"/>
        <w:ind w:left="567" w:hanging="567"/>
        <w:textAlignment w:val="baseline"/>
        <w:rPr>
          <w:szCs w:val="20"/>
          <w:lang w:val="cs-CZ"/>
        </w:rPr>
      </w:pPr>
    </w:p>
    <w:p w:rsidR="003B6E11" w:rsidRPr="003B6E11" w:rsidRDefault="003B6E11" w:rsidP="003B6E11">
      <w:pPr>
        <w:tabs>
          <w:tab w:val="left" w:pos="5387"/>
          <w:tab w:val="left" w:pos="6379"/>
          <w:tab w:val="left" w:pos="6663"/>
          <w:tab w:val="left" w:pos="7513"/>
        </w:tabs>
        <w:overflowPunct w:val="0"/>
        <w:adjustRightInd w:val="0"/>
        <w:spacing w:line="240" w:lineRule="atLeast"/>
        <w:ind w:left="567" w:hanging="567"/>
        <w:textAlignment w:val="baseline"/>
        <w:rPr>
          <w:szCs w:val="20"/>
          <w:lang w:val="cs-CZ"/>
        </w:rPr>
      </w:pPr>
      <w:r w:rsidRPr="003B6E11">
        <w:rPr>
          <w:lang w:val="cs-CZ"/>
        </w:rPr>
        <w:tab/>
        <w:t xml:space="preserve">Čas změny směru (naměřený) (bod </w:t>
      </w:r>
      <m:oMath>
        <m:r>
          <w:rPr>
            <w:rFonts w:ascii="Cambria Math" w:hAnsi="Cambria Math"/>
            <w:szCs w:val="20"/>
            <w:lang w:val="cs-CZ"/>
          </w:rPr>
          <m:t>A</m:t>
        </m:r>
      </m:oMath>
      <w:r w:rsidRPr="003B6E11">
        <w:rPr>
          <w:lang w:val="cs-CZ"/>
        </w:rPr>
        <w:t xml:space="preserve"> až </w:t>
      </w:r>
      <m:oMath>
        <m:r>
          <w:rPr>
            <w:rFonts w:ascii="Cambria Math" w:hAnsi="Cambria Math"/>
            <w:szCs w:val="20"/>
            <w:lang w:val="cs-CZ"/>
          </w:rPr>
          <m:t>C</m:t>
        </m:r>
      </m:oMath>
      <w:r w:rsidRPr="003B6E11">
        <w:rPr>
          <w:lang w:val="cs-CZ"/>
        </w:rPr>
        <w:t>):</w:t>
      </w:r>
      <w:r w:rsidRPr="003B6E11">
        <w:rPr>
          <w:lang w:val="cs-CZ"/>
        </w:rPr>
        <w:tab/>
      </w:r>
      <m:oMath>
        <m:r>
          <w:rPr>
            <w:rFonts w:ascii="Cambria Math" w:hAnsi="Cambria Math"/>
            <w:szCs w:val="20"/>
            <w:lang w:val="cs-CZ"/>
          </w:rPr>
          <m:t>t</m:t>
        </m:r>
        <m:r>
          <w:rPr>
            <w:rFonts w:ascii="Cambria Math" w:hAnsi="Cambria Math"/>
            <w:position w:val="-6"/>
            <w:sz w:val="16"/>
            <w:szCs w:val="20"/>
            <w:lang w:val="cs-CZ"/>
          </w:rPr>
          <m:t>I</m:t>
        </m:r>
      </m:oMath>
      <w:r w:rsidRPr="003B6E11">
        <w:rPr>
          <w:lang w:val="cs-CZ"/>
        </w:rPr>
        <w:t xml:space="preserve"> </w:t>
      </w:r>
      <w:r w:rsidRPr="003B6E11">
        <w:rPr>
          <w:lang w:val="cs-CZ"/>
        </w:rPr>
        <w:tab/>
        <w:t>=</w:t>
      </w:r>
      <w:r w:rsidRPr="003B6E11">
        <w:rPr>
          <w:lang w:val="cs-CZ"/>
        </w:rPr>
        <w:tab/>
        <w:t>16 s</w:t>
      </w:r>
    </w:p>
    <w:p w:rsidR="003B6E11" w:rsidRPr="003B6E11" w:rsidRDefault="003B6E11" w:rsidP="003B6E11">
      <w:pPr>
        <w:tabs>
          <w:tab w:val="left" w:pos="5387"/>
          <w:tab w:val="left" w:pos="6379"/>
          <w:tab w:val="left" w:pos="6663"/>
          <w:tab w:val="left" w:pos="7513"/>
        </w:tabs>
        <w:overflowPunct w:val="0"/>
        <w:adjustRightInd w:val="0"/>
        <w:ind w:left="567" w:hanging="567"/>
        <w:textAlignment w:val="baseline"/>
        <w:rPr>
          <w:szCs w:val="20"/>
          <w:lang w:val="cs-CZ"/>
        </w:rPr>
      </w:pPr>
    </w:p>
    <w:p w:rsidR="003B6E11" w:rsidRPr="003B6E11" w:rsidRDefault="003B6E11" w:rsidP="003B6E11">
      <w:pPr>
        <w:tabs>
          <w:tab w:val="left" w:pos="5529"/>
          <w:tab w:val="left" w:pos="6521"/>
          <w:tab w:val="left" w:pos="6804"/>
          <w:tab w:val="left" w:pos="8364"/>
        </w:tabs>
        <w:overflowPunct w:val="0"/>
        <w:adjustRightInd w:val="0"/>
        <w:spacing w:line="240" w:lineRule="atLeast"/>
        <w:ind w:left="567" w:hanging="567"/>
        <w:textAlignment w:val="baseline"/>
        <w:rPr>
          <w:szCs w:val="20"/>
          <w:lang w:val="cs-CZ"/>
        </w:rPr>
      </w:pPr>
      <w:r w:rsidRPr="003B6E11">
        <w:rPr>
          <w:lang w:val="cs-CZ"/>
        </w:rPr>
        <w:tab/>
        <w:t xml:space="preserve">Brzdná dráha vzhledem k vodní hladině (bod </w:t>
      </w:r>
      <m:oMath>
        <m:r>
          <w:rPr>
            <w:rFonts w:ascii="Cambria Math" w:hAnsi="Cambria Math"/>
            <w:szCs w:val="20"/>
            <w:lang w:val="cs-CZ"/>
          </w:rPr>
          <m:t>A</m:t>
        </m:r>
      </m:oMath>
      <w:r w:rsidRPr="003B6E11">
        <w:rPr>
          <w:lang w:val="cs-CZ"/>
        </w:rPr>
        <w:t xml:space="preserve"> až </w:t>
      </w:r>
      <m:oMath>
        <m:r>
          <w:rPr>
            <w:rFonts w:ascii="Cambria Math" w:hAnsi="Cambria Math"/>
            <w:szCs w:val="20"/>
            <w:lang w:val="cs-CZ"/>
          </w:rPr>
          <m:t>D</m:t>
        </m:r>
      </m:oMath>
      <w:r w:rsidRPr="003B6E11">
        <w:rPr>
          <w:lang w:val="cs-CZ"/>
        </w:rPr>
        <w:t>):</w:t>
      </w:r>
      <w:r w:rsidRPr="003B6E11">
        <w:rPr>
          <w:lang w:val="cs-CZ"/>
        </w:rPr>
        <w:tab/>
      </w:r>
      <m:oMath>
        <m:r>
          <w:rPr>
            <w:rFonts w:ascii="Cambria Math" w:hAnsi="Cambria Math"/>
            <w:szCs w:val="20"/>
            <w:lang w:val="cs-CZ"/>
          </w:rPr>
          <m:t>s</m:t>
        </m:r>
        <m:r>
          <w:rPr>
            <w:rFonts w:ascii="Cambria Math" w:hAnsi="Cambria Math"/>
            <w:position w:val="-6"/>
            <w:sz w:val="16"/>
            <w:szCs w:val="20"/>
            <w:lang w:val="cs-CZ"/>
          </w:rPr>
          <m:t>MESSUNG</m:t>
        </m:r>
      </m:oMath>
      <w:r w:rsidRPr="003B6E11">
        <w:rPr>
          <w:lang w:val="cs-CZ"/>
        </w:rPr>
        <w:t xml:space="preserve"> </w:t>
      </w:r>
      <w:r w:rsidRPr="003B6E11">
        <w:rPr>
          <w:lang w:val="cs-CZ"/>
        </w:rPr>
        <w:tab/>
        <w:t>=</w:t>
      </w:r>
      <w:r w:rsidRPr="003B6E11">
        <w:rPr>
          <w:lang w:val="cs-CZ"/>
        </w:rPr>
        <w:tab/>
        <w:t>340 m</w:t>
      </w:r>
    </w:p>
    <w:p w:rsidR="003B6E11" w:rsidRPr="003B6E11" w:rsidRDefault="003B6E11" w:rsidP="003B6E11">
      <w:pPr>
        <w:tabs>
          <w:tab w:val="left" w:pos="5387"/>
          <w:tab w:val="left" w:pos="6379"/>
          <w:tab w:val="left" w:pos="6663"/>
          <w:tab w:val="left" w:pos="7513"/>
        </w:tabs>
        <w:overflowPunct w:val="0"/>
        <w:adjustRightInd w:val="0"/>
        <w:spacing w:line="240" w:lineRule="atLeast"/>
        <w:ind w:left="567" w:hanging="567"/>
        <w:textAlignment w:val="baseline"/>
        <w:rPr>
          <w:szCs w:val="20"/>
          <w:lang w:val="cs-CZ"/>
        </w:rPr>
      </w:pPr>
    </w:p>
    <w:p w:rsidR="003B6E11" w:rsidRPr="003B6E11" w:rsidRDefault="003B6E11" w:rsidP="003B6E11">
      <w:pPr>
        <w:tabs>
          <w:tab w:val="left" w:pos="5387"/>
          <w:tab w:val="left" w:pos="6379"/>
          <w:tab w:val="left" w:pos="6663"/>
          <w:tab w:val="left" w:pos="7513"/>
        </w:tabs>
        <w:overflowPunct w:val="0"/>
        <w:adjustRightInd w:val="0"/>
        <w:spacing w:line="240" w:lineRule="atLeast"/>
        <w:ind w:left="567" w:hanging="567"/>
        <w:textAlignment w:val="baseline"/>
        <w:rPr>
          <w:szCs w:val="20"/>
          <w:lang w:val="cs-CZ"/>
        </w:rPr>
      </w:pPr>
      <w:r w:rsidRPr="003B6E11">
        <w:rPr>
          <w:lang w:val="cs-CZ"/>
        </w:rPr>
        <w:tab/>
        <w:t>Podmínky zatížení (popř. odhad):</w:t>
      </w:r>
      <w:r w:rsidRPr="003B6E11">
        <w:rPr>
          <w:lang w:val="cs-CZ"/>
        </w:rPr>
        <w:tab/>
      </w:r>
      <m:oMath>
        <m:r>
          <w:rPr>
            <w:rFonts w:ascii="Cambria Math" w:hAnsi="Cambria Math"/>
            <w:szCs w:val="20"/>
            <w:lang w:val="cs-CZ"/>
          </w:rPr>
          <m:t>D</m:t>
        </m:r>
        <m:r>
          <w:rPr>
            <w:rFonts w:ascii="Cambria Math" w:hAnsi="Cambria Math"/>
            <w:position w:val="-6"/>
            <w:sz w:val="16"/>
            <w:szCs w:val="20"/>
            <w:lang w:val="cs-CZ"/>
          </w:rPr>
          <m:t>IST</m:t>
        </m:r>
      </m:oMath>
      <w:r w:rsidRPr="003B6E11">
        <w:rPr>
          <w:lang w:val="cs-CZ"/>
        </w:rPr>
        <w:t xml:space="preserve"> </w:t>
      </w:r>
      <w:r w:rsidRPr="003B6E11">
        <w:rPr>
          <w:lang w:val="cs-CZ"/>
        </w:rPr>
        <w:tab/>
        <w:t>=</w:t>
      </w:r>
      <w:r w:rsidRPr="003B6E11">
        <w:rPr>
          <w:lang w:val="cs-CZ"/>
        </w:rPr>
        <w:tab/>
        <w:t>5 179 m</w:t>
      </w:r>
      <w:r w:rsidRPr="003B6E11">
        <w:rPr>
          <w:position w:val="6"/>
          <w:sz w:val="16"/>
          <w:lang w:val="cs-CZ"/>
        </w:rPr>
        <w:t>3</w:t>
      </w:r>
      <w:r w:rsidRPr="003B6E11">
        <w:rPr>
          <w:lang w:val="cs-CZ"/>
        </w:rPr>
        <w:tab/>
      </w:r>
      <w:r w:rsidRPr="003B6E11">
        <w:rPr>
          <w:szCs w:val="20"/>
          <w:lang w:val="cs-CZ"/>
        </w:rPr>
        <w:sym w:font="Symbol" w:char="F0BB"/>
      </w:r>
      <w:r w:rsidRPr="003B6E11">
        <w:rPr>
          <w:lang w:val="cs-CZ"/>
        </w:rPr>
        <w:t xml:space="preserve"> 0,8 </w:t>
      </w:r>
      <m:oMath>
        <m:sSub>
          <m:sSubPr>
            <m:ctrlPr>
              <w:rPr>
                <w:rFonts w:ascii="Cambria Math" w:hAnsi="Cambria Math"/>
                <w:i/>
                <w:szCs w:val="20"/>
                <w:lang w:val="cs-CZ"/>
              </w:rPr>
            </m:ctrlPr>
          </m:sSubPr>
          <m:e>
            <m:r>
              <w:rPr>
                <w:rFonts w:ascii="Cambria Math" w:hAnsi="Cambria Math"/>
                <w:szCs w:val="20"/>
                <w:lang w:val="cs-CZ"/>
              </w:rPr>
              <m:t>D</m:t>
            </m:r>
          </m:e>
          <m:sub>
            <m:r>
              <w:rPr>
                <w:rFonts w:ascii="Cambria Math" w:hAnsi="Cambria Math"/>
                <w:szCs w:val="20"/>
                <w:lang w:val="cs-CZ"/>
              </w:rPr>
              <m:t>max</m:t>
            </m:r>
          </m:sub>
        </m:sSub>
      </m:oMath>
    </w:p>
    <w:p w:rsidR="003B6E11" w:rsidRPr="003B6E11" w:rsidRDefault="003B6E11" w:rsidP="003B6E11">
      <w:pPr>
        <w:tabs>
          <w:tab w:val="left" w:pos="5387"/>
          <w:tab w:val="left" w:pos="6379"/>
          <w:tab w:val="left" w:pos="6663"/>
          <w:tab w:val="left" w:pos="7230"/>
          <w:tab w:val="left" w:pos="7513"/>
        </w:tabs>
        <w:overflowPunct w:val="0"/>
        <w:adjustRightInd w:val="0"/>
        <w:spacing w:line="240" w:lineRule="atLeast"/>
        <w:ind w:left="567" w:hanging="567"/>
        <w:textAlignment w:val="baseline"/>
        <w:rPr>
          <w:szCs w:val="20"/>
          <w:lang w:val="cs-CZ"/>
        </w:rPr>
      </w:pPr>
    </w:p>
    <w:p w:rsidR="003B6E11" w:rsidRPr="003B6E11" w:rsidRDefault="003B6E11" w:rsidP="003B6E11">
      <w:pPr>
        <w:tabs>
          <w:tab w:val="left" w:pos="5387"/>
          <w:tab w:val="left" w:pos="6379"/>
          <w:tab w:val="left" w:pos="6663"/>
          <w:tab w:val="left" w:pos="7513"/>
        </w:tabs>
        <w:overflowPunct w:val="0"/>
        <w:adjustRightInd w:val="0"/>
        <w:spacing w:line="240" w:lineRule="atLeast"/>
        <w:ind w:left="567" w:hanging="567"/>
        <w:textAlignment w:val="baseline"/>
        <w:rPr>
          <w:szCs w:val="20"/>
          <w:lang w:val="cs-CZ"/>
        </w:rPr>
      </w:pPr>
      <w:r w:rsidRPr="003B6E11">
        <w:rPr>
          <w:lang w:val="cs-CZ"/>
        </w:rPr>
        <w:tab/>
        <w:t>Skutečný ponor sestavy:</w:t>
      </w:r>
      <w:r w:rsidRPr="003B6E11">
        <w:rPr>
          <w:lang w:val="cs-CZ"/>
        </w:rPr>
        <w:tab/>
      </w:r>
      <m:oMath>
        <m:r>
          <w:rPr>
            <w:rFonts w:ascii="Cambria Math" w:hAnsi="Cambria Math"/>
            <w:szCs w:val="20"/>
            <w:lang w:val="cs-CZ"/>
          </w:rPr>
          <m:t>T</m:t>
        </m:r>
        <m:r>
          <w:rPr>
            <w:rFonts w:ascii="Cambria Math" w:hAnsi="Cambria Math"/>
            <w:position w:val="-6"/>
            <w:sz w:val="16"/>
            <w:szCs w:val="20"/>
            <w:lang w:val="cs-CZ"/>
          </w:rPr>
          <m:t>IST</m:t>
        </m:r>
      </m:oMath>
      <w:r w:rsidRPr="003B6E11">
        <w:rPr>
          <w:lang w:val="cs-CZ"/>
        </w:rPr>
        <w:tab/>
        <w:t>=</w:t>
      </w:r>
      <w:r w:rsidRPr="003B6E11">
        <w:rPr>
          <w:lang w:val="cs-CZ"/>
        </w:rPr>
        <w:tab/>
        <w:t>2,96 m</w:t>
      </w:r>
      <w:r w:rsidRPr="003B6E11">
        <w:rPr>
          <w:lang w:val="cs-CZ"/>
        </w:rPr>
        <w:tab/>
      </w:r>
      <w:r w:rsidRPr="003B6E11">
        <w:rPr>
          <w:szCs w:val="20"/>
          <w:lang w:val="cs-CZ"/>
        </w:rPr>
        <w:sym w:font="Symbol" w:char="F0BB"/>
      </w:r>
      <w:r w:rsidRPr="003B6E11">
        <w:rPr>
          <w:lang w:val="cs-CZ"/>
        </w:rPr>
        <w:t xml:space="preserve"> 0,8 </w:t>
      </w: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max</m:t>
            </m:r>
          </m:sub>
        </m:sSub>
      </m:oMath>
    </w:p>
    <w:p w:rsidR="003B6E11" w:rsidRPr="003B6E11" w:rsidRDefault="003B6E11" w:rsidP="003B6E11">
      <w:pPr>
        <w:overflowPunct w:val="0"/>
        <w:adjustRightInd w:val="0"/>
        <w:spacing w:line="240" w:lineRule="exact"/>
        <w:ind w:left="567" w:hanging="567"/>
        <w:textAlignment w:val="baseline"/>
        <w:rPr>
          <w:szCs w:val="20"/>
          <w:lang w:val="cs-CZ"/>
        </w:rPr>
      </w:pPr>
    </w:p>
    <w:p w:rsidR="003B6E11" w:rsidRPr="003B6E11" w:rsidRDefault="003B6E11" w:rsidP="003B6E11">
      <w:pPr>
        <w:overflowPunct w:val="0"/>
        <w:adjustRightInd w:val="0"/>
        <w:ind w:left="567" w:hanging="567"/>
        <w:textAlignment w:val="baseline"/>
        <w:rPr>
          <w:szCs w:val="20"/>
          <w:lang w:val="cs-CZ"/>
        </w:rPr>
      </w:pPr>
    </w:p>
    <w:p w:rsidR="003B6E11" w:rsidRPr="003B6E11" w:rsidRDefault="003B6E11" w:rsidP="003B6E11">
      <w:pPr>
        <w:overflowPunct w:val="0"/>
        <w:adjustRightInd w:val="0"/>
        <w:textAlignment w:val="baseline"/>
        <w:rPr>
          <w:szCs w:val="20"/>
          <w:lang w:val="cs-CZ"/>
        </w:rPr>
      </w:pPr>
      <w:r w:rsidRPr="003B6E11">
        <w:rPr>
          <w:lang w:val="cs-CZ"/>
        </w:rPr>
        <w:br w:type="page"/>
      </w:r>
    </w:p>
    <w:p w:rsidR="003B6E11" w:rsidRPr="003B6E11" w:rsidRDefault="003B6E11" w:rsidP="003B6E11">
      <w:pPr>
        <w:spacing w:line="240" w:lineRule="atLeast"/>
        <w:ind w:left="567" w:hanging="567"/>
        <w:rPr>
          <w:rFonts w:cs="Arial"/>
          <w:color w:val="000000"/>
          <w:szCs w:val="20"/>
          <w:lang w:val="cs-CZ"/>
        </w:rPr>
      </w:pPr>
      <w:r w:rsidRPr="003B6E11">
        <w:rPr>
          <w:b/>
          <w:color w:val="000000"/>
          <w:lang w:val="cs-CZ"/>
        </w:rPr>
        <w:t>3.</w:t>
      </w:r>
      <w:r w:rsidRPr="003B6E11">
        <w:rPr>
          <w:lang w:val="cs-CZ"/>
        </w:rPr>
        <w:tab/>
      </w:r>
      <w:r w:rsidRPr="003B6E11">
        <w:rPr>
          <w:b/>
          <w:noProof/>
          <w:color w:val="000000"/>
          <w:lang w:val="cs-CZ"/>
        </w:rPr>
        <w:t xml:space="preserve">Mezní hodnota podle bodu 2.1 písm. a) nebo b) se porovná se </w:t>
      </w:r>
      <m:oMath>
        <m:sSub>
          <m:sSubPr>
            <m:ctrlPr>
              <w:rPr>
                <w:rFonts w:ascii="Cambria Math" w:hAnsi="Cambria Math"/>
                <w:i/>
                <w:noProof/>
                <w:lang w:val="cs-CZ"/>
              </w:rPr>
            </m:ctrlPr>
          </m:sSubPr>
          <m:e>
            <m:r>
              <m:rPr>
                <m:sty m:val="bi"/>
              </m:rPr>
              <w:rPr>
                <w:rFonts w:ascii="Cambria Math" w:hAnsi="Cambria Math" w:cs="Arial"/>
                <w:noProof/>
                <w:color w:val="000000"/>
                <w:szCs w:val="20"/>
                <w:lang w:val="cs-CZ"/>
              </w:rPr>
              <m:t>s</m:t>
            </m:r>
          </m:e>
          <m:sub>
            <m:r>
              <m:rPr>
                <m:sty m:val="bi"/>
              </m:rPr>
              <w:rPr>
                <w:rFonts w:ascii="Cambria Math" w:hAnsi="Cambria Math" w:cs="Arial"/>
                <w:noProof/>
                <w:color w:val="000000"/>
                <w:szCs w:val="20"/>
                <w:lang w:val="cs-CZ"/>
              </w:rPr>
              <m:t>NORM</m:t>
            </m:r>
          </m:sub>
        </m:sSub>
      </m:oMath>
    </w:p>
    <w:p w:rsidR="003B6E11" w:rsidRPr="003B6E11" w:rsidRDefault="003B6E11" w:rsidP="003B6E11">
      <w:pPr>
        <w:tabs>
          <w:tab w:val="left" w:pos="567"/>
        </w:tabs>
        <w:overflowPunct w:val="0"/>
        <w:adjustRightInd w:val="0"/>
        <w:ind w:left="284" w:hanging="284"/>
        <w:textAlignment w:val="baseline"/>
        <w:rPr>
          <w:szCs w:val="20"/>
          <w:lang w:val="cs-CZ"/>
        </w:rPr>
      </w:pPr>
    </w:p>
    <w:p w:rsidR="003B6E11" w:rsidRPr="003B6E11" w:rsidRDefault="003B6E11" w:rsidP="003B6E11">
      <w:pPr>
        <w:overflowPunct w:val="0"/>
        <w:adjustRightInd w:val="0"/>
        <w:spacing w:line="240" w:lineRule="exact"/>
        <w:ind w:left="567"/>
        <w:textAlignment w:val="baseline"/>
        <w:rPr>
          <w:szCs w:val="20"/>
          <w:lang w:val="cs-CZ"/>
        </w:rPr>
      </w:pPr>
      <w:r w:rsidRPr="003B6E11">
        <w:rPr>
          <w:lang w:val="cs-CZ"/>
        </w:rPr>
        <w:t xml:space="preserve">Jelikož </w:t>
      </w:r>
      <m:oMath>
        <m:r>
          <w:rPr>
            <w:rFonts w:ascii="Cambria Math" w:hAnsi="Cambria Math"/>
            <w:szCs w:val="20"/>
            <w:lang w:val="cs-CZ"/>
          </w:rPr>
          <m:t>B &gt; 11,45 m</m:t>
        </m:r>
      </m:oMath>
      <w:r w:rsidRPr="003B6E11">
        <w:rPr>
          <w:lang w:val="cs-CZ"/>
        </w:rPr>
        <w:t xml:space="preserve"> a sestava je v tekoucí vodě, platí pro tuto sestavu v souladu s bodem 2.1 písm. a) následující:</w:t>
      </w:r>
    </w:p>
    <w:p w:rsidR="003B6E11" w:rsidRPr="003B6E11" w:rsidRDefault="003B6E11" w:rsidP="003B6E11">
      <w:pPr>
        <w:tabs>
          <w:tab w:val="left" w:pos="567"/>
        </w:tabs>
        <w:overflowPunct w:val="0"/>
        <w:adjustRightInd w:val="0"/>
        <w:ind w:left="284" w:hanging="284"/>
        <w:textAlignment w:val="baseline"/>
        <w:rPr>
          <w:szCs w:val="20"/>
          <w:lang w:val="cs-CZ"/>
        </w:rPr>
      </w:pPr>
    </w:p>
    <w:p w:rsidR="003B6E11" w:rsidRPr="003B6E11" w:rsidRDefault="003B6E11" w:rsidP="003B6E11">
      <w:pPr>
        <w:tabs>
          <w:tab w:val="left" w:pos="567"/>
          <w:tab w:val="left" w:pos="3402"/>
        </w:tabs>
        <w:overflowPunct w:val="0"/>
        <w:adjustRightInd w:val="0"/>
        <w:spacing w:line="240" w:lineRule="atLeast"/>
        <w:ind w:left="567"/>
        <w:textAlignment w:val="baseline"/>
        <w:rPr>
          <w:szCs w:val="20"/>
          <w:lang w:val="cs-CZ"/>
        </w:rPr>
      </w:pPr>
      <m:oMathPara>
        <m:oMath>
          <m:r>
            <w:rPr>
              <w:rFonts w:ascii="Cambria Math" w:hAnsi="Cambria Math"/>
              <w:szCs w:val="20"/>
              <w:lang w:val="cs-CZ"/>
            </w:rPr>
            <m:t>s</m:t>
          </m:r>
          <m:r>
            <w:rPr>
              <w:rFonts w:ascii="Cambria Math" w:hAnsi="Cambria Math"/>
              <w:position w:val="-6"/>
              <w:sz w:val="16"/>
              <w:szCs w:val="20"/>
              <w:lang w:val="cs-CZ"/>
            </w:rPr>
            <m:t>NORM</m:t>
          </m:r>
          <m:r>
            <w:rPr>
              <w:rFonts w:ascii="Cambria Math" w:hAnsi="Cambria Math"/>
              <w:szCs w:val="20"/>
              <w:lang w:val="cs-CZ"/>
            </w:rPr>
            <m:t xml:space="preserve">  </m:t>
          </m:r>
          <m:r>
            <w:rPr>
              <w:rFonts w:ascii="Cambria Math" w:hAnsi="Cambria Math"/>
              <w:i/>
              <w:szCs w:val="20"/>
              <w:lang w:val="cs-CZ"/>
            </w:rPr>
            <w:sym w:font="Symbol" w:char="F0A3"/>
          </m:r>
          <m:r>
            <w:rPr>
              <w:rFonts w:ascii="Cambria Math" w:hAnsi="Cambria Math"/>
              <w:szCs w:val="20"/>
              <w:lang w:val="cs-CZ"/>
            </w:rPr>
            <m:t xml:space="preserve">  550 m</m:t>
          </m:r>
        </m:oMath>
      </m:oMathPara>
    </w:p>
    <w:p w:rsidR="003B6E11" w:rsidRPr="003B6E11" w:rsidRDefault="003B6E11" w:rsidP="003B6E11">
      <w:pPr>
        <w:tabs>
          <w:tab w:val="left" w:pos="454"/>
          <w:tab w:val="left" w:pos="567"/>
        </w:tabs>
        <w:overflowPunct w:val="0"/>
        <w:adjustRightInd w:val="0"/>
        <w:spacing w:line="240" w:lineRule="exact"/>
        <w:ind w:left="284" w:hanging="284"/>
        <w:textAlignment w:val="baseline"/>
        <w:rPr>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4.</w:t>
      </w:r>
      <w:r w:rsidRPr="003B6E11">
        <w:rPr>
          <w:lang w:val="cs-CZ"/>
        </w:rPr>
        <w:tab/>
      </w:r>
      <w:r w:rsidRPr="003B6E11">
        <w:rPr>
          <w:b/>
          <w:color w:val="000000"/>
          <w:lang w:val="cs-CZ"/>
        </w:rPr>
        <w:t>Stanovení korigované brzdné dráhy ve srovnání se standardními podmínkami</w:t>
      </w:r>
    </w:p>
    <w:p w:rsidR="003B6E11" w:rsidRPr="003B6E11" w:rsidRDefault="003B6E11" w:rsidP="003B6E11">
      <w:pPr>
        <w:tabs>
          <w:tab w:val="left" w:pos="284"/>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567"/>
        </w:tabs>
        <w:overflowPunct w:val="0"/>
        <w:adjustRightInd w:val="0"/>
        <w:spacing w:line="240" w:lineRule="exact"/>
        <w:ind w:left="992"/>
        <w:textAlignment w:val="baseline"/>
        <w:rPr>
          <w:szCs w:val="20"/>
          <w:lang w:val="cs-CZ"/>
        </w:rPr>
      </w:pPr>
      <w:r w:rsidRPr="003B6E11">
        <w:rPr>
          <w:lang w:val="cs-CZ"/>
        </w:rPr>
        <w:t>-</w:t>
      </w:r>
      <w:r w:rsidRPr="003B6E11">
        <w:rPr>
          <w:lang w:val="cs-CZ"/>
        </w:rPr>
        <w:tab/>
      </w:r>
      <w:r w:rsidRPr="003B6E11">
        <w:rPr>
          <w:b/>
          <w:lang w:val="cs-CZ"/>
        </w:rPr>
        <w:t>Naměřená</w:t>
      </w:r>
      <w:r w:rsidRPr="003B6E11">
        <w:rPr>
          <w:lang w:val="cs-CZ"/>
        </w:rPr>
        <w:t xml:space="preserve"> hodnota podle přílohy 1 (viz bod 2):</w:t>
      </w:r>
    </w:p>
    <w:p w:rsidR="003B6E11" w:rsidRPr="003B6E11" w:rsidRDefault="003B6E11" w:rsidP="003B6E11">
      <w:pPr>
        <w:tabs>
          <w:tab w:val="left" w:pos="284"/>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454"/>
          <w:tab w:val="left" w:pos="3402"/>
        </w:tabs>
        <w:overflowPunct w:val="0"/>
        <w:adjustRightInd w:val="0"/>
        <w:spacing w:line="240" w:lineRule="atLeast"/>
        <w:ind w:left="454" w:hanging="454"/>
        <w:textAlignment w:val="baseline"/>
        <w:rPr>
          <w:szCs w:val="20"/>
          <w:lang w:val="cs-CZ"/>
        </w:rPr>
      </w:pPr>
      <w:r w:rsidRPr="003B6E11">
        <w:rPr>
          <w:lang w:val="cs-CZ"/>
        </w:rPr>
        <w:tab/>
      </w:r>
      <w:r w:rsidRPr="003B6E11">
        <w:rPr>
          <w:lang w:val="cs-CZ"/>
        </w:rPr>
        <w:tab/>
      </w:r>
      <m:oMath>
        <m:r>
          <w:rPr>
            <w:rFonts w:ascii="Cambria Math" w:hAnsi="Cambria Math"/>
            <w:szCs w:val="20"/>
            <w:lang w:val="cs-CZ"/>
          </w:rPr>
          <m:t>s</m:t>
        </m:r>
        <m:r>
          <w:rPr>
            <w:rFonts w:ascii="Cambria Math" w:hAnsi="Cambria Math"/>
            <w:position w:val="-6"/>
            <w:sz w:val="16"/>
            <w:szCs w:val="20"/>
            <w:lang w:val="cs-CZ"/>
          </w:rPr>
          <m:t>MESSUNG</m:t>
        </m:r>
        <m:r>
          <w:rPr>
            <w:rFonts w:ascii="Cambria Math" w:hAnsi="Cambria Math"/>
            <w:szCs w:val="20"/>
            <w:lang w:val="cs-CZ"/>
          </w:rPr>
          <m:t xml:space="preserve"> = 340 m</m:t>
        </m:r>
      </m:oMath>
    </w:p>
    <w:p w:rsidR="003B6E11" w:rsidRPr="003B6E11" w:rsidRDefault="003B6E11" w:rsidP="003B6E11">
      <w:pPr>
        <w:tabs>
          <w:tab w:val="left" w:pos="284"/>
          <w:tab w:val="left" w:pos="567"/>
        </w:tabs>
        <w:overflowPunct w:val="0"/>
        <w:adjustRightInd w:val="0"/>
        <w:spacing w:line="240" w:lineRule="atLeast"/>
        <w:ind w:left="992"/>
        <w:textAlignment w:val="baseline"/>
        <w:rPr>
          <w:b/>
          <w:szCs w:val="20"/>
          <w:lang w:val="cs-CZ"/>
        </w:rPr>
      </w:pPr>
      <w:r w:rsidRPr="003B6E11">
        <w:rPr>
          <w:b/>
          <w:lang w:val="cs-CZ"/>
        </w:rPr>
        <w:t>-</w:t>
      </w:r>
      <w:r w:rsidRPr="003B6E11">
        <w:rPr>
          <w:lang w:val="cs-CZ"/>
        </w:rPr>
        <w:tab/>
      </w:r>
      <w:r w:rsidRPr="003B6E11">
        <w:rPr>
          <w:b/>
          <w:lang w:val="cs-CZ"/>
        </w:rPr>
        <w:t>je třeba vypočítat:</w:t>
      </w:r>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2D015D" w:rsidP="003B6E11">
      <w:pPr>
        <w:tabs>
          <w:tab w:val="left" w:pos="3402"/>
        </w:tabs>
        <w:overflowPunct w:val="0"/>
        <w:adjustRightInd w:val="0"/>
        <w:spacing w:line="240" w:lineRule="exact"/>
        <w:ind w:left="1417"/>
        <w:textAlignment w:val="baseline"/>
        <w:rPr>
          <w:szCs w:val="20"/>
          <w:lang w:val="cs-CZ"/>
        </w:rPr>
      </w:pPr>
      <m:oMath>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IST</m:t>
            </m:r>
          </m:sub>
        </m:sSub>
      </m:oMath>
      <w:r w:rsidR="003B6E11" w:rsidRPr="003B6E11">
        <w:rPr>
          <w:lang w:val="cs-CZ"/>
        </w:rPr>
        <w:t xml:space="preserve"> jako součet</w:t>
      </w:r>
    </w:p>
    <w:p w:rsidR="003B6E11" w:rsidRPr="003B6E11" w:rsidRDefault="003B6E11" w:rsidP="003B6E11">
      <w:pPr>
        <w:tabs>
          <w:tab w:val="left" w:pos="567"/>
          <w:tab w:val="left" w:pos="3402"/>
        </w:tabs>
        <w:overflowPunct w:val="0"/>
        <w:adjustRightInd w:val="0"/>
        <w:spacing w:line="240" w:lineRule="exact"/>
        <w:ind w:left="1417"/>
        <w:textAlignment w:val="baseline"/>
        <w:rPr>
          <w:szCs w:val="20"/>
          <w:lang w:val="cs-CZ"/>
        </w:rPr>
      </w:pPr>
    </w:p>
    <w:p w:rsidR="003B6E11" w:rsidRPr="003B6E11" w:rsidRDefault="002D015D" w:rsidP="003B6E11">
      <w:pPr>
        <w:tabs>
          <w:tab w:val="left" w:pos="3402"/>
        </w:tabs>
        <w:overflowPunct w:val="0"/>
        <w:adjustRightInd w:val="0"/>
        <w:spacing w:line="240" w:lineRule="atLeast"/>
        <w:ind w:left="3402" w:hanging="2410"/>
        <w:textAlignment w:val="baseline"/>
        <w:rPr>
          <w:szCs w:val="20"/>
          <w:lang w:val="cs-CZ"/>
        </w:rPr>
      </w:pP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m:t>
                </m:r>
              </m:sub>
            </m:sSub>
          </m:e>
          <m:sub>
            <m:r>
              <w:rPr>
                <w:rFonts w:ascii="Cambria Math" w:hAnsi="Cambria Math"/>
                <w:noProof/>
                <w:lang w:val="cs-CZ"/>
              </w:rPr>
              <m:t>IST</m:t>
            </m:r>
          </m:sub>
        </m:sSub>
      </m:oMath>
      <w:r w:rsidR="003B6E11" w:rsidRPr="003B6E11">
        <w:rPr>
          <w:lang w:val="cs-CZ"/>
        </w:rPr>
        <w:tab/>
        <w:t xml:space="preserve">(podle vzorce (4.1) v příloze 2 s </w:t>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v</m:t>
                </m:r>
              </m:e>
              <m:sub>
                <m:r>
                  <w:rPr>
                    <w:rFonts w:ascii="Cambria Math" w:hAnsi="Cambria Math"/>
                    <w:noProof/>
                    <w:lang w:val="cs-CZ"/>
                  </w:rPr>
                  <m:t>L</m:t>
                </m:r>
              </m:sub>
            </m:sSub>
          </m:e>
          <m:sub>
            <m:r>
              <w:rPr>
                <w:rFonts w:ascii="Cambria Math" w:hAnsi="Cambria Math"/>
                <w:noProof/>
                <w:lang w:val="cs-CZ"/>
              </w:rPr>
              <m:t>IST</m:t>
            </m:r>
          </m:sub>
        </m:sSub>
      </m:oMath>
      <w:r w:rsidR="003B6E11" w:rsidRPr="003B6E11">
        <w:rPr>
          <w:lang w:val="cs-CZ"/>
        </w:rPr>
        <w:t>)</w:t>
      </w:r>
    </w:p>
    <w:p w:rsidR="003B6E11" w:rsidRPr="003B6E11" w:rsidRDefault="003B6E11" w:rsidP="003B6E11">
      <w:pPr>
        <w:tabs>
          <w:tab w:val="left" w:pos="567"/>
          <w:tab w:val="left" w:pos="3402"/>
          <w:tab w:val="left" w:pos="3544"/>
        </w:tabs>
        <w:overflowPunct w:val="0"/>
        <w:adjustRightInd w:val="0"/>
        <w:spacing w:line="240" w:lineRule="atLeast"/>
        <w:ind w:left="1417"/>
        <w:textAlignment w:val="baseline"/>
        <w:rPr>
          <w:szCs w:val="20"/>
          <w:lang w:val="cs-CZ"/>
        </w:rPr>
      </w:pPr>
    </w:p>
    <w:p w:rsidR="003B6E11" w:rsidRPr="003B6E11" w:rsidRDefault="003B6E11" w:rsidP="003B6E11">
      <w:pPr>
        <w:tabs>
          <w:tab w:val="left" w:pos="3402"/>
        </w:tabs>
        <w:overflowPunct w:val="0"/>
        <w:adjustRightInd w:val="0"/>
        <w:spacing w:line="240" w:lineRule="atLeast"/>
        <w:ind w:left="3402" w:hanging="2410"/>
        <w:textAlignment w:val="baseline"/>
        <w:rPr>
          <w:szCs w:val="20"/>
          <w:lang w:val="cs-CZ"/>
        </w:rPr>
      </w:pPr>
      <w:r w:rsidRPr="003B6E11">
        <w:rPr>
          <w:lang w:val="cs-CZ"/>
        </w:rPr>
        <w:t xml:space="preserve">a </w:t>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II</m:t>
                </m:r>
              </m:sub>
            </m:sSub>
          </m:e>
          <m:sub>
            <m:r>
              <w:rPr>
                <w:rFonts w:ascii="Cambria Math" w:hAnsi="Cambria Math"/>
                <w:noProof/>
                <w:lang w:val="cs-CZ"/>
              </w:rPr>
              <m:t>I</m:t>
            </m:r>
            <m:r>
              <w:rPr>
                <w:rFonts w:ascii="Cambria Math" w:hAnsi="Cambria Math"/>
                <w:noProof/>
                <w:lang w:val="cs-CZ"/>
              </w:rPr>
              <m:t>ST</m:t>
            </m:r>
          </m:sub>
        </m:sSub>
      </m:oMath>
      <w:r w:rsidRPr="003B6E11">
        <w:rPr>
          <w:lang w:val="cs-CZ"/>
        </w:rPr>
        <w:tab/>
        <w:t xml:space="preserve">(podle vzorců (4.2), (4.3), (4.4), (4.5) a (4.6) v příloze 2 se skutečnými rychlostmi </w:t>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v</m:t>
                </m:r>
              </m:e>
              <m:sub>
                <m:r>
                  <w:rPr>
                    <w:rFonts w:ascii="Cambria Math" w:hAnsi="Cambria Math"/>
                    <w:noProof/>
                    <w:lang w:val="cs-CZ"/>
                  </w:rPr>
                  <m:t>II</m:t>
                </m:r>
              </m:sub>
            </m:sSub>
          </m:e>
          <m:sub>
            <m:r>
              <w:rPr>
                <w:rFonts w:ascii="Cambria Math" w:hAnsi="Cambria Math"/>
                <w:noProof/>
                <w:lang w:val="cs-CZ"/>
              </w:rPr>
              <m:t>IST</m:t>
            </m:r>
          </m:sub>
        </m:sSub>
      </m:oMath>
      <w:r w:rsidRPr="003B6E11">
        <w:rPr>
          <w:lang w:val="cs-CZ"/>
        </w:rPr>
        <w:t xml:space="preserve">, </w:t>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v</m:t>
                </m:r>
              </m:e>
              <m:sub>
                <m:r>
                  <w:rPr>
                    <w:rFonts w:ascii="Cambria Math" w:hAnsi="Cambria Math"/>
                    <w:noProof/>
                    <w:lang w:val="cs-CZ"/>
                  </w:rPr>
                  <m:t>STR</m:t>
                </m:r>
              </m:sub>
            </m:sSub>
          </m:e>
          <m:sub>
            <m:r>
              <w:rPr>
                <w:rFonts w:ascii="Cambria Math" w:hAnsi="Cambria Math"/>
                <w:noProof/>
                <w:lang w:val="cs-CZ"/>
              </w:rPr>
              <m:t>IST</m:t>
            </m:r>
          </m:sub>
        </m:sSub>
      </m:oMath>
      <w:r w:rsidRPr="003B6E11">
        <w:rPr>
          <w:lang w:val="cs-CZ"/>
        </w:rPr>
        <w:t xml:space="preserve">, </w:t>
      </w:r>
      <m:oMath>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IST</m:t>
            </m:r>
          </m:sub>
        </m:sSub>
      </m:oMath>
      <w:r w:rsidRPr="003B6E11">
        <w:rPr>
          <w:lang w:val="cs-CZ"/>
        </w:rPr>
        <w:t>)</w:t>
      </w:r>
    </w:p>
    <w:p w:rsidR="003B6E11" w:rsidRPr="003B6E11" w:rsidRDefault="003B6E11" w:rsidP="003B6E11">
      <w:pPr>
        <w:tabs>
          <w:tab w:val="left" w:pos="454"/>
          <w:tab w:val="left" w:pos="3402"/>
        </w:tabs>
        <w:overflowPunct w:val="0"/>
        <w:adjustRightInd w:val="0"/>
        <w:spacing w:line="240" w:lineRule="atLeast"/>
        <w:ind w:left="1417"/>
        <w:textAlignment w:val="baseline"/>
        <w:rPr>
          <w:szCs w:val="20"/>
          <w:lang w:val="cs-CZ"/>
        </w:rPr>
      </w:pPr>
    </w:p>
    <w:p w:rsidR="003B6E11" w:rsidRPr="003B6E11" w:rsidRDefault="002D015D" w:rsidP="003B6E11">
      <w:pPr>
        <w:tabs>
          <w:tab w:val="left" w:pos="567"/>
          <w:tab w:val="left" w:pos="3402"/>
        </w:tabs>
        <w:overflowPunct w:val="0"/>
        <w:adjustRightInd w:val="0"/>
        <w:spacing w:line="240" w:lineRule="atLeast"/>
        <w:ind w:left="1417"/>
        <w:textAlignment w:val="baseline"/>
        <w:rPr>
          <w:szCs w:val="20"/>
          <w:lang w:val="cs-CZ"/>
        </w:rPr>
      </w:pPr>
      <m:oMath>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SOLL</m:t>
            </m:r>
          </m:sub>
        </m:sSub>
      </m:oMath>
      <w:r w:rsidR="003B6E11" w:rsidRPr="003B6E11">
        <w:rPr>
          <w:lang w:val="cs-CZ"/>
        </w:rPr>
        <w:t xml:space="preserve"> jako součet</w:t>
      </w:r>
    </w:p>
    <w:p w:rsidR="003B6E11" w:rsidRPr="003B6E11" w:rsidRDefault="003B6E11" w:rsidP="003B6E11">
      <w:pPr>
        <w:tabs>
          <w:tab w:val="left" w:pos="567"/>
          <w:tab w:val="left" w:pos="3402"/>
        </w:tabs>
        <w:overflowPunct w:val="0"/>
        <w:adjustRightInd w:val="0"/>
        <w:spacing w:line="240" w:lineRule="atLeast"/>
        <w:ind w:left="1417"/>
        <w:textAlignment w:val="baseline"/>
        <w:rPr>
          <w:szCs w:val="20"/>
          <w:lang w:val="cs-CZ"/>
        </w:rPr>
      </w:pPr>
    </w:p>
    <w:p w:rsidR="003B6E11" w:rsidRPr="003B6E11" w:rsidRDefault="002D015D" w:rsidP="003B6E11">
      <w:pPr>
        <w:tabs>
          <w:tab w:val="left" w:pos="567"/>
          <w:tab w:val="left" w:pos="3402"/>
          <w:tab w:val="left" w:pos="3544"/>
        </w:tabs>
        <w:overflowPunct w:val="0"/>
        <w:adjustRightInd w:val="0"/>
        <w:spacing w:line="240" w:lineRule="atLeast"/>
        <w:ind w:left="1417"/>
        <w:textAlignment w:val="baseline"/>
        <w:rPr>
          <w:szCs w:val="20"/>
          <w:lang w:val="cs-CZ"/>
        </w:rPr>
      </w:pP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m:t>
                </m:r>
              </m:sub>
            </m:sSub>
          </m:e>
          <m:sub>
            <m:r>
              <w:rPr>
                <w:rFonts w:ascii="Cambria Math" w:hAnsi="Cambria Math"/>
                <w:noProof/>
                <w:lang w:val="cs-CZ"/>
              </w:rPr>
              <m:t>SOLL</m:t>
            </m:r>
          </m:sub>
        </m:sSub>
      </m:oMath>
      <w:r w:rsidR="003B6E11" w:rsidRPr="003B6E11">
        <w:rPr>
          <w:lang w:val="cs-CZ"/>
        </w:rPr>
        <w:t xml:space="preserve"> </w:t>
      </w:r>
      <w:r w:rsidR="003B6E11" w:rsidRPr="003B6E11">
        <w:rPr>
          <w:lang w:val="cs-CZ"/>
        </w:rPr>
        <w:tab/>
        <w:t xml:space="preserve">(podle vzorce (4.1) v příloze 2 s </w:t>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v</m:t>
                </m:r>
              </m:e>
              <m:sub>
                <m:r>
                  <w:rPr>
                    <w:rFonts w:ascii="Cambria Math" w:hAnsi="Cambria Math"/>
                    <w:noProof/>
                    <w:lang w:val="cs-CZ"/>
                  </w:rPr>
                  <m:t>L</m:t>
                </m:r>
              </m:sub>
            </m:sSub>
          </m:e>
          <m:sub>
            <m:r>
              <w:rPr>
                <w:rFonts w:ascii="Cambria Math" w:hAnsi="Cambria Math"/>
                <w:noProof/>
                <w:lang w:val="cs-CZ"/>
              </w:rPr>
              <m:t>SOLL</m:t>
            </m:r>
          </m:sub>
        </m:sSub>
      </m:oMath>
      <w:r w:rsidR="003B6E11" w:rsidRPr="003B6E11">
        <w:rPr>
          <w:lang w:val="cs-CZ"/>
        </w:rPr>
        <w:t>)</w:t>
      </w:r>
    </w:p>
    <w:p w:rsidR="003B6E11" w:rsidRPr="003B6E11" w:rsidRDefault="003B6E11" w:rsidP="003B6E11">
      <w:pPr>
        <w:tabs>
          <w:tab w:val="left" w:pos="567"/>
          <w:tab w:val="left" w:pos="3402"/>
        </w:tabs>
        <w:overflowPunct w:val="0"/>
        <w:adjustRightInd w:val="0"/>
        <w:spacing w:line="240" w:lineRule="atLeast"/>
        <w:ind w:left="1417"/>
        <w:textAlignment w:val="baseline"/>
        <w:rPr>
          <w:szCs w:val="20"/>
          <w:lang w:val="cs-CZ"/>
        </w:rPr>
      </w:pPr>
    </w:p>
    <w:p w:rsidR="003B6E11" w:rsidRPr="003B6E11" w:rsidRDefault="002D015D" w:rsidP="003B6E11">
      <w:pPr>
        <w:tabs>
          <w:tab w:val="left" w:pos="567"/>
          <w:tab w:val="left" w:pos="3402"/>
          <w:tab w:val="left" w:pos="3544"/>
        </w:tabs>
        <w:overflowPunct w:val="0"/>
        <w:adjustRightInd w:val="0"/>
        <w:spacing w:line="240" w:lineRule="atLeast"/>
        <w:ind w:left="3402" w:hanging="2410"/>
        <w:textAlignment w:val="baseline"/>
        <w:rPr>
          <w:szCs w:val="20"/>
          <w:lang w:val="cs-CZ"/>
        </w:rPr>
      </w:pP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II</m:t>
                </m:r>
              </m:sub>
            </m:sSub>
          </m:e>
          <m:sub>
            <m:r>
              <w:rPr>
                <w:rFonts w:ascii="Cambria Math" w:hAnsi="Cambria Math"/>
                <w:noProof/>
                <w:lang w:val="cs-CZ"/>
              </w:rPr>
              <m:t>SOLL</m:t>
            </m:r>
          </m:sub>
        </m:sSub>
      </m:oMath>
      <w:r w:rsidR="003B6E11" w:rsidRPr="003B6E11">
        <w:rPr>
          <w:lang w:val="cs-CZ"/>
        </w:rPr>
        <w:tab/>
        <w:t xml:space="preserve">(podle vzorců (4.2) až (4.6) v příloze 2 s hodnotami referenčních rychlostí podle bodu 2.1 tohoto pokynu a za předpokladu zatížení většího než 70 % maximálního zatížení (≈ 80 %): </w:t>
      </w:r>
      <m:oMath>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SOLL</m:t>
            </m:r>
          </m:sub>
        </m:sSub>
        <m:r>
          <w:rPr>
            <w:rFonts w:ascii="Cambria Math" w:hAnsi="Cambria Math"/>
            <w:noProof/>
            <w:lang w:val="cs-CZ"/>
          </w:rPr>
          <m:t xml:space="preserve">= </m:t>
        </m:r>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IST</m:t>
            </m:r>
          </m:sub>
        </m:sSub>
      </m:oMath>
      <w:r w:rsidR="003B6E11" w:rsidRPr="003B6E11">
        <w:rPr>
          <w:lang w:val="cs-CZ"/>
        </w:rPr>
        <w:t xml:space="preserve"> a </w:t>
      </w:r>
      <m:oMath>
        <m:sSub>
          <m:sSubPr>
            <m:ctrlPr>
              <w:rPr>
                <w:rFonts w:ascii="Cambria Math" w:hAnsi="Cambria Math"/>
                <w:i/>
                <w:noProof/>
                <w:lang w:val="cs-CZ"/>
              </w:rPr>
            </m:ctrlPr>
          </m:sSubPr>
          <m:e>
            <m:r>
              <w:rPr>
                <w:rFonts w:ascii="Cambria Math" w:hAnsi="Cambria Math"/>
                <w:noProof/>
                <w:lang w:val="cs-CZ"/>
              </w:rPr>
              <m:t>T</m:t>
            </m:r>
          </m:e>
          <m:sub>
            <m:r>
              <w:rPr>
                <w:rFonts w:ascii="Cambria Math" w:hAnsi="Cambria Math"/>
                <w:noProof/>
                <w:lang w:val="cs-CZ"/>
              </w:rPr>
              <m:t>SOLL</m:t>
            </m:r>
          </m:sub>
        </m:sSub>
        <m:r>
          <w:rPr>
            <w:rFonts w:ascii="Cambria Math" w:hAnsi="Cambria Math"/>
            <w:noProof/>
            <w:lang w:val="cs-CZ"/>
          </w:rPr>
          <m:t xml:space="preserve">= </m:t>
        </m:r>
        <m:sSub>
          <m:sSubPr>
            <m:ctrlPr>
              <w:rPr>
                <w:rFonts w:ascii="Cambria Math" w:hAnsi="Cambria Math"/>
                <w:i/>
                <w:noProof/>
                <w:lang w:val="cs-CZ"/>
              </w:rPr>
            </m:ctrlPr>
          </m:sSubPr>
          <m:e>
            <m:r>
              <w:rPr>
                <w:rFonts w:ascii="Cambria Math" w:hAnsi="Cambria Math"/>
                <w:noProof/>
                <w:lang w:val="cs-CZ"/>
              </w:rPr>
              <m:t>T</m:t>
            </m:r>
          </m:e>
          <m:sub>
            <m:r>
              <w:rPr>
                <w:rFonts w:ascii="Cambria Math" w:hAnsi="Cambria Math"/>
                <w:noProof/>
                <w:lang w:val="cs-CZ"/>
              </w:rPr>
              <m:t>IST</m:t>
            </m:r>
          </m:sub>
        </m:sSub>
      </m:oMath>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284"/>
        </w:tabs>
        <w:overflowPunct w:val="0"/>
        <w:adjustRightInd w:val="0"/>
        <w:spacing w:line="240" w:lineRule="exact"/>
        <w:ind w:left="992"/>
        <w:textAlignment w:val="baseline"/>
        <w:rPr>
          <w:szCs w:val="20"/>
          <w:lang w:val="cs-CZ"/>
        </w:rPr>
      </w:pPr>
      <w:r w:rsidRPr="003B6E11">
        <w:rPr>
          <w:lang w:val="cs-CZ"/>
        </w:rPr>
        <w:t>-</w:t>
      </w:r>
      <w:r w:rsidRPr="003B6E11">
        <w:rPr>
          <w:lang w:val="cs-CZ"/>
        </w:rPr>
        <w:tab/>
      </w:r>
      <w:r w:rsidRPr="003B6E11">
        <w:rPr>
          <w:b/>
          <w:lang w:val="cs-CZ"/>
        </w:rPr>
        <w:t>je třeba zkontrolovat:</w:t>
      </w:r>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2D015D" w:rsidP="003B6E11">
      <w:pPr>
        <w:tabs>
          <w:tab w:val="left" w:pos="454"/>
        </w:tabs>
        <w:overflowPunct w:val="0"/>
        <w:adjustRightInd w:val="0"/>
        <w:spacing w:line="240" w:lineRule="atLeast"/>
        <w:ind w:left="454" w:hanging="454"/>
        <w:textAlignment w:val="baseline"/>
        <w:rPr>
          <w:szCs w:val="20"/>
          <w:lang w:val="cs-CZ"/>
        </w:rPr>
      </w:pPr>
      <m:oMathPara>
        <m:oMath>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NORM</m:t>
              </m:r>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MESSUNG</m:t>
              </m:r>
            </m:sub>
          </m:sSub>
          <m:r>
            <w:rPr>
              <w:rFonts w:ascii="Cambria Math" w:hAnsi="Cambria Math"/>
              <w:szCs w:val="20"/>
              <w:lang w:val="cs-CZ"/>
            </w:rPr>
            <m:t xml:space="preserve"> ∙ </m:t>
          </m:r>
          <m:f>
            <m:fPr>
              <m:ctrlPr>
                <w:rPr>
                  <w:rFonts w:ascii="Cambria Math" w:hAnsi="Cambria Math"/>
                  <w:i/>
                  <w:szCs w:val="20"/>
                  <w:lang w:val="cs-CZ"/>
                </w:rPr>
              </m:ctrlPr>
            </m:fPr>
            <m:num>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SOLL</m:t>
                  </m:r>
                </m:sub>
              </m:sSub>
            </m:num>
            <m:den>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IST</m:t>
                  </m:r>
                </m:sub>
              </m:sSub>
            </m:den>
          </m:f>
          <m:r>
            <w:rPr>
              <w:rFonts w:ascii="Cambria Math" w:hAnsi="Cambria Math"/>
              <w:szCs w:val="20"/>
              <w:lang w:val="cs-CZ"/>
            </w:rPr>
            <m:t xml:space="preserve"> ≤550 m</m:t>
          </m:r>
        </m:oMath>
      </m:oMathPara>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lang w:val="cs-CZ"/>
        </w:rPr>
        <w:br w:type="page"/>
      </w:r>
      <w:r w:rsidRPr="003B6E11">
        <w:rPr>
          <w:b/>
          <w:color w:val="000000"/>
          <w:lang w:val="cs-CZ"/>
        </w:rPr>
        <w:t>4.1</w:t>
      </w:r>
      <w:r w:rsidRPr="003B6E11">
        <w:rPr>
          <w:lang w:val="cs-CZ"/>
        </w:rPr>
        <w:tab/>
      </w:r>
      <w:r w:rsidRPr="003B6E11">
        <w:rPr>
          <w:b/>
          <w:color w:val="000000"/>
          <w:lang w:val="cs-CZ"/>
        </w:rPr>
        <w:t>Koeficienty pro výpočet převzaté z přílohy 2</w:t>
      </w:r>
    </w:p>
    <w:p w:rsidR="003B6E11" w:rsidRPr="003B6E11" w:rsidRDefault="003B6E11" w:rsidP="003B6E11">
      <w:pPr>
        <w:tabs>
          <w:tab w:val="left" w:pos="0"/>
        </w:tabs>
        <w:overflowPunct w:val="0"/>
        <w:adjustRightInd w:val="0"/>
        <w:spacing w:line="240" w:lineRule="exact"/>
        <w:ind w:left="567"/>
        <w:textAlignment w:val="baseline"/>
        <w:rPr>
          <w:szCs w:val="20"/>
          <w:lang w:val="cs-CZ"/>
        </w:rPr>
      </w:pPr>
    </w:p>
    <w:p w:rsidR="003B6E11" w:rsidRPr="003B6E11" w:rsidRDefault="003B6E11" w:rsidP="003B6E11">
      <w:pPr>
        <w:overflowPunct w:val="0"/>
        <w:adjustRightInd w:val="0"/>
        <w:spacing w:line="240" w:lineRule="exact"/>
        <w:ind w:left="567"/>
        <w:textAlignment w:val="baseline"/>
        <w:rPr>
          <w:szCs w:val="20"/>
          <w:lang w:val="cs-CZ"/>
        </w:rPr>
      </w:pPr>
      <w:r w:rsidRPr="003B6E11">
        <w:rPr>
          <w:lang w:val="cs-CZ"/>
        </w:rPr>
        <w:t>Tabulka 1</w:t>
      </w:r>
    </w:p>
    <w:p w:rsidR="003B6E11" w:rsidRPr="003B6E11" w:rsidRDefault="003B6E11" w:rsidP="003B6E11">
      <w:pPr>
        <w:tabs>
          <w:tab w:val="left" w:pos="0"/>
        </w:tabs>
        <w:overflowPunct w:val="0"/>
        <w:adjustRightInd w:val="0"/>
        <w:spacing w:line="240" w:lineRule="exact"/>
        <w:ind w:left="567"/>
        <w:textAlignment w:val="baseline"/>
        <w:rPr>
          <w:szCs w:val="20"/>
          <w:lang w:val="cs-CZ"/>
        </w:rPr>
      </w:pPr>
    </w:p>
    <w:p w:rsidR="003B6E11" w:rsidRPr="003B6E11" w:rsidRDefault="003B6E11" w:rsidP="003B6E11">
      <w:pPr>
        <w:tabs>
          <w:tab w:val="left" w:pos="2694"/>
          <w:tab w:val="left" w:pos="3119"/>
          <w:tab w:val="left" w:pos="3544"/>
        </w:tabs>
        <w:overflowPunct w:val="0"/>
        <w:adjustRightInd w:val="0"/>
        <w:spacing w:line="240" w:lineRule="atLeast"/>
        <w:ind w:left="567"/>
        <w:textAlignment w:val="baseline"/>
        <w:rPr>
          <w:szCs w:val="20"/>
          <w:lang w:val="cs-CZ"/>
        </w:rPr>
      </w:pPr>
      <w:r w:rsidRPr="003B6E11">
        <w:rPr>
          <w:lang w:val="cs-CZ"/>
        </w:rPr>
        <w:t xml:space="preserve">Pro </w:t>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m:t>
                </m:r>
              </m:sub>
            </m:sSub>
          </m:e>
          <m:sub>
            <m:r>
              <w:rPr>
                <w:rFonts w:ascii="Cambria Math" w:hAnsi="Cambria Math"/>
                <w:noProof/>
                <w:lang w:val="cs-CZ"/>
              </w:rPr>
              <m:t>IST</m:t>
            </m:r>
          </m:sub>
        </m:sSub>
      </m:oMath>
      <w:r w:rsidRPr="003B6E11">
        <w:rPr>
          <w:lang w:val="cs-CZ"/>
        </w:rPr>
        <w:t xml:space="preserve"> a </w:t>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m:t>
                </m:r>
              </m:sub>
            </m:sSub>
          </m:e>
          <m:sub>
            <m:r>
              <w:rPr>
                <w:rFonts w:ascii="Cambria Math" w:hAnsi="Cambria Math"/>
                <w:noProof/>
                <w:lang w:val="cs-CZ"/>
              </w:rPr>
              <m:t>SOLL</m:t>
            </m:r>
          </m:sub>
        </m:sSub>
      </m:oMath>
      <w:r w:rsidRPr="003B6E11">
        <w:rPr>
          <w:lang w:val="cs-CZ"/>
        </w:rPr>
        <w:t xml:space="preserve"> </w:t>
      </w:r>
      <w:r w:rsidRPr="003B6E11">
        <w:rPr>
          <w:lang w:val="cs-CZ"/>
        </w:rPr>
        <w:tab/>
      </w:r>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1</m:t>
            </m:r>
          </m:sub>
        </m:sSub>
        <m:r>
          <w:rPr>
            <w:rFonts w:ascii="Cambria Math" w:hAnsi="Cambria Math"/>
            <w:szCs w:val="20"/>
            <w:lang w:val="cs-CZ"/>
          </w:rPr>
          <m:t xml:space="preserve"> </m:t>
        </m:r>
      </m:oMath>
      <w:r w:rsidRPr="003B6E11">
        <w:rPr>
          <w:lang w:val="cs-CZ"/>
        </w:rPr>
        <w:tab/>
        <w:t>=</w:t>
      </w:r>
      <w:r w:rsidRPr="003B6E11">
        <w:rPr>
          <w:lang w:val="cs-CZ"/>
        </w:rPr>
        <w:tab/>
        <w:t>0,95</w:t>
      </w:r>
    </w:p>
    <w:p w:rsidR="003B6E11" w:rsidRPr="003B6E11" w:rsidRDefault="003B6E11" w:rsidP="003B6E11">
      <w:pPr>
        <w:overflowPunct w:val="0"/>
        <w:adjustRightInd w:val="0"/>
        <w:spacing w:line="240" w:lineRule="atLeast"/>
        <w:ind w:left="567"/>
        <w:textAlignment w:val="baseline"/>
        <w:rPr>
          <w:szCs w:val="20"/>
          <w:lang w:val="cs-CZ"/>
        </w:rPr>
      </w:pPr>
    </w:p>
    <w:p w:rsidR="003B6E11" w:rsidRPr="003B6E11" w:rsidRDefault="003B6E11" w:rsidP="003B6E11">
      <w:pPr>
        <w:tabs>
          <w:tab w:val="left" w:pos="851"/>
          <w:tab w:val="left" w:pos="2127"/>
          <w:tab w:val="left" w:pos="4111"/>
        </w:tabs>
        <w:overflowPunct w:val="0"/>
        <w:adjustRightInd w:val="0"/>
        <w:spacing w:line="240" w:lineRule="atLeast"/>
        <w:ind w:left="567"/>
        <w:textAlignment w:val="baseline"/>
        <w:rPr>
          <w:szCs w:val="20"/>
          <w:lang w:val="cs-CZ"/>
        </w:rPr>
      </w:pPr>
      <w:r w:rsidRPr="003B6E11">
        <w:rPr>
          <w:lang w:val="cs-CZ"/>
        </w:rPr>
        <w:t xml:space="preserve">Pro </w:t>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II</m:t>
                </m:r>
              </m:sub>
            </m:sSub>
          </m:e>
          <m:sub>
            <m:r>
              <w:rPr>
                <w:rFonts w:ascii="Cambria Math" w:hAnsi="Cambria Math"/>
                <w:noProof/>
                <w:lang w:val="cs-CZ"/>
              </w:rPr>
              <m:t>IST</m:t>
            </m:r>
          </m:sub>
        </m:sSub>
      </m:oMath>
      <w:r w:rsidRPr="003B6E11">
        <w:rPr>
          <w:lang w:val="cs-CZ"/>
        </w:rPr>
        <w:t xml:space="preserve"> a </w:t>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II</m:t>
                </m:r>
              </m:sub>
            </m:sSub>
          </m:e>
          <m:sub>
            <m:r>
              <w:rPr>
                <w:rFonts w:ascii="Cambria Math" w:hAnsi="Cambria Math"/>
                <w:noProof/>
                <w:lang w:val="cs-CZ"/>
              </w:rPr>
              <m:t>SO</m:t>
            </m:r>
            <m:r>
              <w:rPr>
                <w:rFonts w:ascii="Cambria Math" w:hAnsi="Cambria Math"/>
                <w:noProof/>
                <w:lang w:val="cs-CZ"/>
              </w:rPr>
              <m:t>LL</m:t>
            </m:r>
          </m:sub>
        </m:sSub>
      </m:oMath>
    </w:p>
    <w:p w:rsidR="003B6E11" w:rsidRPr="003B6E11" w:rsidRDefault="002D015D" w:rsidP="003B6E11">
      <w:pPr>
        <w:tabs>
          <w:tab w:val="left" w:pos="284"/>
          <w:tab w:val="left" w:pos="2552"/>
          <w:tab w:val="left" w:pos="3119"/>
          <w:tab w:val="left" w:pos="3544"/>
          <w:tab w:val="left" w:pos="4395"/>
          <w:tab w:val="left" w:pos="7371"/>
        </w:tabs>
        <w:overflowPunct w:val="0"/>
        <w:adjustRightInd w:val="0"/>
        <w:spacing w:line="240" w:lineRule="exact"/>
        <w:ind w:left="2693"/>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2</m:t>
            </m:r>
          </m:sub>
        </m:sSub>
      </m:oMath>
      <w:r w:rsidR="003B6E11" w:rsidRPr="003B6E11">
        <w:rPr>
          <w:lang w:val="cs-CZ"/>
        </w:rPr>
        <w:tab/>
        <w:t>=</w:t>
      </w:r>
      <w:r w:rsidR="003B6E11" w:rsidRPr="003B6E11">
        <w:rPr>
          <w:lang w:val="cs-CZ"/>
        </w:rPr>
        <w:tab/>
        <w:t>0,12</w:t>
      </w:r>
    </w:p>
    <w:p w:rsidR="003B6E11" w:rsidRPr="003B6E11" w:rsidRDefault="002D015D" w:rsidP="003B6E11">
      <w:pPr>
        <w:tabs>
          <w:tab w:val="left" w:pos="284"/>
          <w:tab w:val="left" w:pos="2552"/>
          <w:tab w:val="left" w:pos="3119"/>
          <w:tab w:val="left" w:pos="3544"/>
          <w:tab w:val="left" w:pos="4395"/>
          <w:tab w:val="left" w:pos="7371"/>
        </w:tabs>
        <w:overflowPunct w:val="0"/>
        <w:adjustRightInd w:val="0"/>
        <w:spacing w:line="240" w:lineRule="exact"/>
        <w:ind w:left="2693"/>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3</m:t>
            </m:r>
          </m:sub>
        </m:sSub>
      </m:oMath>
      <w:r w:rsidR="003B6E11" w:rsidRPr="003B6E11">
        <w:rPr>
          <w:lang w:val="cs-CZ"/>
        </w:rPr>
        <w:tab/>
        <w:t>=</w:t>
      </w:r>
      <w:r w:rsidR="003B6E11" w:rsidRPr="003B6E11">
        <w:rPr>
          <w:lang w:val="cs-CZ"/>
        </w:rPr>
        <w:tab/>
        <w:t>1,15</w:t>
      </w:r>
    </w:p>
    <w:p w:rsidR="003B6E11" w:rsidRPr="003B6E11" w:rsidRDefault="002D015D" w:rsidP="003B6E11">
      <w:pPr>
        <w:tabs>
          <w:tab w:val="left" w:pos="284"/>
          <w:tab w:val="left" w:pos="2552"/>
          <w:tab w:val="left" w:pos="3119"/>
          <w:tab w:val="left" w:pos="3544"/>
          <w:tab w:val="left" w:pos="4395"/>
          <w:tab w:val="left" w:pos="7371"/>
        </w:tabs>
        <w:overflowPunct w:val="0"/>
        <w:adjustRightInd w:val="0"/>
        <w:spacing w:line="240" w:lineRule="exact"/>
        <w:ind w:left="2693"/>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4</m:t>
            </m:r>
          </m:sub>
        </m:sSub>
      </m:oMath>
      <w:r w:rsidR="003B6E11" w:rsidRPr="003B6E11">
        <w:rPr>
          <w:lang w:val="cs-CZ"/>
        </w:rPr>
        <w:tab/>
        <w:t>=</w:t>
      </w:r>
      <w:r w:rsidR="003B6E11" w:rsidRPr="003B6E11">
        <w:rPr>
          <w:lang w:val="cs-CZ"/>
        </w:rPr>
        <w:tab/>
        <w:t>0,48</w:t>
      </w:r>
    </w:p>
    <w:p w:rsidR="003B6E11" w:rsidRPr="003B6E11" w:rsidRDefault="002D015D" w:rsidP="003B6E11">
      <w:pPr>
        <w:tabs>
          <w:tab w:val="left" w:pos="284"/>
          <w:tab w:val="left" w:pos="2552"/>
          <w:tab w:val="left" w:pos="3119"/>
          <w:tab w:val="left" w:pos="3544"/>
          <w:tab w:val="left" w:pos="4395"/>
          <w:tab w:val="left" w:pos="7371"/>
        </w:tabs>
        <w:overflowPunct w:val="0"/>
        <w:adjustRightInd w:val="0"/>
        <w:spacing w:line="240" w:lineRule="exact"/>
        <w:ind w:left="2693"/>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6</m:t>
            </m:r>
          </m:sub>
        </m:sSub>
      </m:oMath>
      <w:r w:rsidR="003B6E11" w:rsidRPr="003B6E11">
        <w:rPr>
          <w:lang w:val="cs-CZ"/>
        </w:rPr>
        <w:tab/>
        <w:t>=</w:t>
      </w:r>
      <w:r w:rsidR="003B6E11" w:rsidRPr="003B6E11">
        <w:rPr>
          <w:lang w:val="cs-CZ"/>
        </w:rPr>
        <w:tab/>
        <w:t>0,85</w:t>
      </w:r>
    </w:p>
    <w:p w:rsidR="003B6E11" w:rsidRPr="003B6E11" w:rsidRDefault="002D015D" w:rsidP="003B6E11">
      <w:pPr>
        <w:tabs>
          <w:tab w:val="left" w:pos="284"/>
          <w:tab w:val="left" w:pos="2552"/>
          <w:tab w:val="left" w:pos="3119"/>
          <w:tab w:val="left" w:pos="3544"/>
          <w:tab w:val="left" w:pos="4395"/>
          <w:tab w:val="left" w:pos="7371"/>
        </w:tabs>
        <w:overflowPunct w:val="0"/>
        <w:adjustRightInd w:val="0"/>
        <w:spacing w:line="240" w:lineRule="exact"/>
        <w:ind w:left="2693"/>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7</m:t>
            </m:r>
          </m:sub>
        </m:sSub>
      </m:oMath>
      <w:r w:rsidR="003B6E11" w:rsidRPr="003B6E11">
        <w:rPr>
          <w:lang w:val="cs-CZ"/>
        </w:rPr>
        <w:tab/>
        <w:t>=</w:t>
      </w:r>
      <w:r w:rsidR="003B6E11" w:rsidRPr="003B6E11">
        <w:rPr>
          <w:lang w:val="cs-CZ"/>
        </w:rPr>
        <w:tab/>
        <w:t>0,55</w:t>
      </w:r>
    </w:p>
    <w:p w:rsidR="003B6E11" w:rsidRPr="003B6E11" w:rsidRDefault="003B6E11" w:rsidP="003B6E11">
      <w:pPr>
        <w:tabs>
          <w:tab w:val="left" w:pos="0"/>
        </w:tabs>
        <w:overflowPunct w:val="0"/>
        <w:adjustRightInd w:val="0"/>
        <w:spacing w:line="240" w:lineRule="exact"/>
        <w:ind w:left="567"/>
        <w:textAlignment w:val="baseline"/>
        <w:rPr>
          <w:szCs w:val="20"/>
          <w:lang w:val="cs-CZ"/>
        </w:rPr>
      </w:pPr>
    </w:p>
    <w:p w:rsidR="003B6E11" w:rsidRPr="003B6E11" w:rsidRDefault="003B6E11" w:rsidP="003B6E11">
      <w:pPr>
        <w:overflowPunct w:val="0"/>
        <w:adjustRightInd w:val="0"/>
        <w:spacing w:line="240" w:lineRule="exact"/>
        <w:ind w:left="567"/>
        <w:textAlignment w:val="baseline"/>
        <w:rPr>
          <w:szCs w:val="20"/>
          <w:lang w:val="cs-CZ"/>
        </w:rPr>
      </w:pPr>
      <w:r w:rsidRPr="003B6E11">
        <w:rPr>
          <w:lang w:val="cs-CZ"/>
        </w:rPr>
        <w:t>Tabulka 2 (pro moderní dýzy se zaoblenou zadní hranou)</w:t>
      </w:r>
    </w:p>
    <w:p w:rsidR="003B6E11" w:rsidRPr="003B6E11" w:rsidRDefault="003B6E11" w:rsidP="003B6E11">
      <w:pPr>
        <w:tabs>
          <w:tab w:val="left" w:pos="0"/>
        </w:tabs>
        <w:overflowPunct w:val="0"/>
        <w:adjustRightInd w:val="0"/>
        <w:spacing w:line="240" w:lineRule="exact"/>
        <w:ind w:left="567"/>
        <w:textAlignment w:val="baseline"/>
        <w:rPr>
          <w:szCs w:val="20"/>
          <w:lang w:val="cs-CZ"/>
        </w:rPr>
      </w:pPr>
    </w:p>
    <w:p w:rsidR="003B6E11" w:rsidRPr="003B6E11" w:rsidRDefault="003B6E11" w:rsidP="003B6E11">
      <w:pPr>
        <w:overflowPunct w:val="0"/>
        <w:adjustRightInd w:val="0"/>
        <w:spacing w:line="240" w:lineRule="exact"/>
        <w:ind w:left="567"/>
        <w:textAlignment w:val="baseline"/>
        <w:rPr>
          <w:szCs w:val="20"/>
          <w:lang w:val="cs-CZ"/>
        </w:rPr>
      </w:pPr>
      <m:oMath>
        <m:r>
          <w:rPr>
            <w:rFonts w:ascii="Cambria Math" w:hAnsi="Cambria Math"/>
            <w:szCs w:val="20"/>
            <w:lang w:val="cs-CZ"/>
          </w:rPr>
          <m:t>f</m:t>
        </m:r>
      </m:oMath>
      <w:r w:rsidRPr="003B6E11">
        <w:rPr>
          <w:lang w:val="cs-CZ"/>
        </w:rPr>
        <w:t xml:space="preserve"> = 0,118</w:t>
      </w:r>
    </w:p>
    <w:p w:rsidR="003B6E11" w:rsidRPr="003B6E11" w:rsidRDefault="003B6E11" w:rsidP="003B6E11">
      <w:pPr>
        <w:tabs>
          <w:tab w:val="left" w:pos="0"/>
        </w:tabs>
        <w:overflowPunct w:val="0"/>
        <w:adjustRightInd w:val="0"/>
        <w:spacing w:line="240" w:lineRule="exact"/>
        <w:ind w:left="567"/>
        <w:textAlignment w:val="baseline"/>
        <w:rPr>
          <w:szCs w:val="20"/>
          <w:lang w:val="cs-CZ"/>
        </w:rPr>
      </w:pPr>
    </w:p>
    <w:p w:rsidR="003B6E11" w:rsidRPr="003B6E11" w:rsidRDefault="003B6E11" w:rsidP="003B6E11">
      <w:pPr>
        <w:tabs>
          <w:tab w:val="left" w:pos="0"/>
        </w:tabs>
        <w:overflowPunct w:val="0"/>
        <w:adjustRightInd w:val="0"/>
        <w:spacing w:line="240" w:lineRule="exact"/>
        <w:ind w:left="567"/>
        <w:textAlignment w:val="baseline"/>
        <w:rPr>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4.2</w:t>
      </w:r>
      <w:r w:rsidRPr="003B6E11">
        <w:rPr>
          <w:lang w:val="cs-CZ"/>
        </w:rPr>
        <w:tab/>
      </w:r>
      <w:r w:rsidRPr="003B6E11">
        <w:rPr>
          <w:b/>
          <w:noProof/>
          <w:color w:val="000000"/>
          <w:lang w:val="cs-CZ"/>
        </w:rPr>
        <w:t xml:space="preserve">Výpočet </w:t>
      </w:r>
      <m:oMath>
        <m:sSub>
          <m:sSubPr>
            <m:ctrlPr>
              <w:rPr>
                <w:rFonts w:ascii="Cambria Math" w:hAnsi="Cambria Math"/>
                <w:i/>
                <w:noProof/>
                <w:lang w:val="cs-CZ"/>
              </w:rPr>
            </m:ctrlPr>
          </m:sSubPr>
          <m:e>
            <m:r>
              <m:rPr>
                <m:sty m:val="bi"/>
              </m:rPr>
              <w:rPr>
                <w:rFonts w:ascii="Cambria Math" w:hAnsi="Cambria Math" w:cs="Arial"/>
                <w:noProof/>
                <w:color w:val="000000"/>
                <w:szCs w:val="20"/>
                <w:lang w:val="cs-CZ"/>
              </w:rPr>
              <m:t>s</m:t>
            </m:r>
          </m:e>
          <m:sub>
            <m:r>
              <m:rPr>
                <m:sty m:val="bi"/>
              </m:rPr>
              <w:rPr>
                <w:rFonts w:ascii="Cambria Math" w:hAnsi="Cambria Math" w:cs="Arial"/>
                <w:noProof/>
                <w:color w:val="000000"/>
                <w:szCs w:val="20"/>
                <w:lang w:val="cs-CZ"/>
              </w:rPr>
              <m:t>IST</m:t>
            </m:r>
          </m:sub>
        </m:sSub>
      </m:oMath>
    </w:p>
    <w:p w:rsidR="003B6E11" w:rsidRPr="003B6E11" w:rsidRDefault="003B6E11" w:rsidP="003B6E11">
      <w:pPr>
        <w:tabs>
          <w:tab w:val="left" w:pos="992"/>
        </w:tabs>
        <w:overflowPunct w:val="0"/>
        <w:adjustRightInd w:val="0"/>
        <w:spacing w:line="240" w:lineRule="atLeast"/>
        <w:ind w:left="992"/>
        <w:textAlignment w:val="baseline"/>
        <w:rPr>
          <w:szCs w:val="20"/>
          <w:lang w:val="cs-CZ"/>
        </w:rPr>
      </w:pPr>
    </w:p>
    <w:p w:rsidR="003B6E11" w:rsidRPr="003B6E11" w:rsidRDefault="003B6E11" w:rsidP="003B6E11">
      <w:pPr>
        <w:tabs>
          <w:tab w:val="left" w:pos="992"/>
        </w:tabs>
        <w:overflowPunct w:val="0"/>
        <w:adjustRightInd w:val="0"/>
        <w:spacing w:line="240" w:lineRule="atLeast"/>
        <w:ind w:left="992"/>
        <w:textAlignment w:val="baseline"/>
        <w:rPr>
          <w:szCs w:val="20"/>
          <w:lang w:val="cs-CZ"/>
        </w:rPr>
      </w:pPr>
      <w:r w:rsidRPr="003B6E11">
        <w:rPr>
          <w:lang w:val="cs-CZ"/>
        </w:rPr>
        <w:t>a)</w:t>
      </w:r>
      <w:r w:rsidRPr="003B6E11">
        <w:rPr>
          <w:lang w:val="cs-CZ"/>
        </w:rPr>
        <w:tab/>
      </w:r>
      <m:oMath>
        <m:sSub>
          <m:sSubPr>
            <m:ctrlPr>
              <w:rPr>
                <w:rFonts w:ascii="Cambria Math" w:hAnsi="Cambria Math" w:cs="Arial"/>
                <w:szCs w:val="20"/>
                <w:lang w:val="cs-CZ"/>
              </w:rPr>
            </m:ctrlPr>
          </m:sSubPr>
          <m:e>
            <m:sSub>
              <m:sSubPr>
                <m:ctrlPr>
                  <w:rPr>
                    <w:rFonts w:ascii="Cambria Math" w:hAnsi="Cambria Math" w:cs="Arial"/>
                    <w:szCs w:val="20"/>
                    <w:lang w:val="cs-CZ"/>
                  </w:rPr>
                </m:ctrlPr>
              </m:sSubPr>
              <m:e>
                <m:r>
                  <m:rPr>
                    <m:sty m:val="p"/>
                  </m:rPr>
                  <w:rPr>
                    <w:rFonts w:ascii="Cambria Math" w:hAnsi="Cambria Math" w:cs="Arial"/>
                    <w:szCs w:val="20"/>
                    <w:lang w:val="cs-CZ"/>
                  </w:rPr>
                  <m:t>s</m:t>
                </m:r>
              </m:e>
              <m:sub>
                <m:r>
                  <m:rPr>
                    <m:sty m:val="p"/>
                  </m:rPr>
                  <w:rPr>
                    <w:rFonts w:ascii="Cambria Math" w:hAnsi="Cambria Math" w:cs="Arial"/>
                    <w:szCs w:val="20"/>
                    <w:lang w:val="cs-CZ"/>
                  </w:rPr>
                  <m:t>I</m:t>
                </m:r>
              </m:sub>
            </m:sSub>
          </m:e>
          <m:sub>
            <m:r>
              <m:rPr>
                <m:sty m:val="p"/>
              </m:rPr>
              <w:rPr>
                <w:rFonts w:ascii="Cambria Math" w:hAnsi="Cambria Math" w:cs="Arial"/>
                <w:szCs w:val="20"/>
                <w:lang w:val="cs-CZ"/>
              </w:rPr>
              <m:t>IST</m:t>
            </m:r>
          </m:sub>
        </m:sSub>
      </m:oMath>
      <w:r w:rsidRPr="003B6E11">
        <w:rPr>
          <w:lang w:val="cs-CZ"/>
        </w:rPr>
        <w:t xml:space="preserve"> s hodnotami naměřenými během zastavovacího manévru (vzorec (4.1))</w:t>
      </w:r>
    </w:p>
    <w:p w:rsidR="003B6E11" w:rsidRPr="003B6E11" w:rsidRDefault="002D015D" w:rsidP="003B6E11">
      <w:pPr>
        <w:tabs>
          <w:tab w:val="left" w:pos="992"/>
          <w:tab w:val="left" w:pos="1560"/>
          <w:tab w:val="left" w:pos="1985"/>
        </w:tabs>
        <w:overflowPunct w:val="0"/>
        <w:adjustRightInd w:val="0"/>
        <w:spacing w:before="60" w:line="240" w:lineRule="atLeast"/>
        <w:ind w:left="992" w:firstLine="1"/>
        <w:textAlignment w:val="baseline"/>
        <w:rPr>
          <w:szCs w:val="20"/>
          <w:lang w:val="cs-CZ"/>
        </w:rPr>
      </w:pP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m:t>
                </m:r>
              </m:sub>
            </m:sSub>
          </m:e>
          <m:sub>
            <m:r>
              <w:rPr>
                <w:rFonts w:ascii="Cambria Math" w:hAnsi="Cambria Math"/>
                <w:noProof/>
                <w:lang w:val="cs-CZ"/>
              </w:rPr>
              <m:t>IST</m:t>
            </m:r>
          </m:sub>
        </m:sSub>
        <m:r>
          <w:rPr>
            <w:rFonts w:ascii="Cambria Math" w:hAnsi="Cambria Math"/>
            <w:noProof/>
            <w:lang w:val="cs-CZ"/>
          </w:rPr>
          <m:t xml:space="preserve">= </m:t>
        </m:r>
        <m:sSub>
          <m:sSubPr>
            <m:ctrlPr>
              <w:rPr>
                <w:rFonts w:ascii="Cambria Math" w:hAnsi="Cambria Math"/>
                <w:i/>
                <w:noProof/>
                <w:lang w:val="cs-CZ"/>
              </w:rPr>
            </m:ctrlPr>
          </m:sSubPr>
          <m:e>
            <m:r>
              <w:rPr>
                <w:rFonts w:ascii="Cambria Math" w:hAnsi="Cambria Math"/>
                <w:noProof/>
                <w:lang w:val="cs-CZ"/>
              </w:rPr>
              <m:t>k</m:t>
            </m:r>
          </m:e>
          <m:sub>
            <m:r>
              <w:rPr>
                <w:rFonts w:ascii="Cambria Math" w:hAnsi="Cambria Math"/>
                <w:noProof/>
                <w:lang w:val="cs-CZ"/>
              </w:rPr>
              <m:t>1</m:t>
            </m:r>
          </m:sub>
        </m:sSub>
        <m:r>
          <w:rPr>
            <w:rFonts w:ascii="Cambria Math" w:hAnsi="Cambria Math"/>
            <w:noProof/>
            <w:lang w:val="cs-CZ"/>
          </w:rPr>
          <m:t xml:space="preserve"> ∙ </m:t>
        </m:r>
        <m:sSub>
          <m:sSubPr>
            <m:ctrlPr>
              <w:rPr>
                <w:rFonts w:ascii="Cambria Math" w:hAnsi="Cambria Math"/>
                <w:i/>
                <w:noProof/>
                <w:lang w:val="cs-CZ"/>
              </w:rPr>
            </m:ctrlPr>
          </m:sSubPr>
          <m:e>
            <m:r>
              <w:rPr>
                <w:rFonts w:ascii="Cambria Math" w:hAnsi="Cambria Math"/>
                <w:noProof/>
                <w:lang w:val="cs-CZ"/>
              </w:rPr>
              <m:t>v</m:t>
            </m:r>
          </m:e>
          <m:sub>
            <m:sSub>
              <m:sSubPr>
                <m:ctrlPr>
                  <w:rPr>
                    <w:rFonts w:ascii="Cambria Math" w:hAnsi="Cambria Math"/>
                    <w:i/>
                    <w:noProof/>
                    <w:lang w:val="cs-CZ"/>
                  </w:rPr>
                </m:ctrlPr>
              </m:sSubPr>
              <m:e>
                <m:r>
                  <w:rPr>
                    <w:rFonts w:ascii="Cambria Math" w:hAnsi="Cambria Math"/>
                    <w:noProof/>
                    <w:lang w:val="cs-CZ"/>
                  </w:rPr>
                  <m:t>L</m:t>
                </m:r>
              </m:e>
              <m:sub>
                <m:r>
                  <w:rPr>
                    <w:rFonts w:ascii="Cambria Math" w:hAnsi="Cambria Math"/>
                    <w:noProof/>
                    <w:lang w:val="cs-CZ"/>
                  </w:rPr>
                  <m:t>IST</m:t>
                </m:r>
              </m:sub>
            </m:sSub>
            <m:r>
              <w:rPr>
                <w:rFonts w:ascii="Cambria Math" w:hAnsi="Cambria Math"/>
                <w:noProof/>
                <w:lang w:val="cs-CZ"/>
              </w:rPr>
              <m:t xml:space="preserve"> </m:t>
            </m:r>
          </m:sub>
        </m:sSub>
        <m:r>
          <w:rPr>
            <w:rFonts w:ascii="Cambria Math" w:hAnsi="Cambria Math"/>
            <w:noProof/>
            <w:lang w:val="cs-CZ"/>
          </w:rPr>
          <m:t xml:space="preserve"> ∙ </m:t>
        </m:r>
        <m:sSub>
          <m:sSubPr>
            <m:ctrlPr>
              <w:rPr>
                <w:rFonts w:ascii="Cambria Math" w:hAnsi="Cambria Math"/>
                <w:i/>
                <w:noProof/>
                <w:lang w:val="cs-CZ"/>
              </w:rPr>
            </m:ctrlPr>
          </m:sSubPr>
          <m:e>
            <m:r>
              <w:rPr>
                <w:rFonts w:ascii="Cambria Math" w:hAnsi="Cambria Math"/>
                <w:noProof/>
                <w:lang w:val="cs-CZ"/>
              </w:rPr>
              <m:t>t</m:t>
            </m:r>
          </m:e>
          <m:sub>
            <m:sSub>
              <m:sSubPr>
                <m:ctrlPr>
                  <w:rPr>
                    <w:rFonts w:ascii="Cambria Math" w:hAnsi="Cambria Math"/>
                    <w:i/>
                    <w:noProof/>
                    <w:lang w:val="cs-CZ"/>
                  </w:rPr>
                </m:ctrlPr>
              </m:sSubPr>
              <m:e>
                <m:r>
                  <w:rPr>
                    <w:rFonts w:ascii="Cambria Math" w:hAnsi="Cambria Math"/>
                    <w:noProof/>
                    <w:lang w:val="cs-CZ"/>
                  </w:rPr>
                  <m:t>I</m:t>
                </m:r>
              </m:e>
              <m:sub>
                <m:r>
                  <w:rPr>
                    <w:rFonts w:ascii="Cambria Math" w:hAnsi="Cambria Math"/>
                    <w:noProof/>
                    <w:lang w:val="cs-CZ"/>
                  </w:rPr>
                  <m:t>IST</m:t>
                </m:r>
              </m:sub>
            </m:sSub>
          </m:sub>
        </m:sSub>
      </m:oMath>
      <w:r w:rsidR="003B6E11" w:rsidRPr="003B6E11">
        <w:rPr>
          <w:lang w:val="cs-CZ"/>
        </w:rPr>
        <w:t xml:space="preserve"> </w:t>
      </w:r>
    </w:p>
    <w:p w:rsidR="003B6E11" w:rsidRPr="003B6E11" w:rsidRDefault="002D015D" w:rsidP="003B6E11">
      <w:pPr>
        <w:tabs>
          <w:tab w:val="left" w:pos="992"/>
          <w:tab w:val="left" w:pos="1560"/>
          <w:tab w:val="left" w:pos="1985"/>
        </w:tabs>
        <w:overflowPunct w:val="0"/>
        <w:adjustRightInd w:val="0"/>
        <w:spacing w:before="60" w:line="240" w:lineRule="atLeast"/>
        <w:ind w:left="992" w:firstLine="1"/>
        <w:textAlignment w:val="baseline"/>
        <w:rPr>
          <w:szCs w:val="20"/>
          <w:lang w:val="cs-CZ"/>
        </w:rPr>
      </w:pPr>
      <m:oMathPara>
        <m:oMathParaPr>
          <m:jc m:val="left"/>
        </m:oMathParaP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m:t>
                  </m:r>
                </m:sub>
              </m:sSub>
            </m:e>
            <m:sub>
              <m:r>
                <w:rPr>
                  <w:rFonts w:ascii="Cambria Math" w:hAnsi="Cambria Math"/>
                  <w:noProof/>
                  <w:lang w:val="cs-CZ"/>
                </w:rPr>
                <m:t>IST</m:t>
              </m:r>
            </m:sub>
          </m:sSub>
          <m:r>
            <w:rPr>
              <w:rFonts w:ascii="Cambria Math" w:hAnsi="Cambria Math"/>
              <w:noProof/>
              <w:lang w:val="cs-CZ"/>
            </w:rPr>
            <m:t>=0,95 ∙4,9 ∙16=74,5 m</m:t>
          </m:r>
        </m:oMath>
      </m:oMathPara>
    </w:p>
    <w:p w:rsidR="003B6E11" w:rsidRPr="003B6E11" w:rsidRDefault="003B6E11" w:rsidP="003B6E11">
      <w:pPr>
        <w:tabs>
          <w:tab w:val="left" w:pos="992"/>
        </w:tabs>
        <w:overflowPunct w:val="0"/>
        <w:adjustRightInd w:val="0"/>
        <w:spacing w:line="240" w:lineRule="atLeast"/>
        <w:ind w:left="992"/>
        <w:textAlignment w:val="baseline"/>
        <w:rPr>
          <w:szCs w:val="20"/>
          <w:lang w:val="cs-CZ"/>
        </w:rPr>
      </w:pPr>
    </w:p>
    <w:p w:rsidR="003B6E11" w:rsidRPr="003B6E11" w:rsidRDefault="003B6E11" w:rsidP="003B6E11">
      <w:pPr>
        <w:tabs>
          <w:tab w:val="left" w:pos="992"/>
        </w:tabs>
        <w:overflowPunct w:val="0"/>
        <w:adjustRightInd w:val="0"/>
        <w:spacing w:line="240" w:lineRule="atLeast"/>
        <w:ind w:left="992"/>
        <w:textAlignment w:val="baseline"/>
        <w:rPr>
          <w:szCs w:val="20"/>
          <w:lang w:val="cs-CZ"/>
        </w:rPr>
      </w:pPr>
      <w:r w:rsidRPr="003B6E11">
        <w:rPr>
          <w:lang w:val="cs-CZ"/>
        </w:rPr>
        <w:t>b)</w:t>
      </w:r>
      <w:r w:rsidRPr="003B6E11">
        <w:rPr>
          <w:lang w:val="cs-CZ"/>
        </w:rPr>
        <w:tab/>
        <w:t xml:space="preserve">Vzorec pro </w:t>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II</m:t>
                </m:r>
              </m:sub>
            </m:sSub>
          </m:e>
          <m:sub>
            <m:r>
              <w:rPr>
                <w:rFonts w:ascii="Cambria Math" w:hAnsi="Cambria Math"/>
                <w:noProof/>
                <w:lang w:val="cs-CZ"/>
              </w:rPr>
              <m:t>IST</m:t>
            </m:r>
          </m:sub>
        </m:sSub>
      </m:oMath>
    </w:p>
    <w:p w:rsidR="003B6E11" w:rsidRPr="003B6E11" w:rsidRDefault="002D015D" w:rsidP="003B6E11">
      <w:pPr>
        <w:tabs>
          <w:tab w:val="left" w:pos="992"/>
          <w:tab w:val="left" w:pos="1560"/>
          <w:tab w:val="left" w:pos="1985"/>
        </w:tabs>
        <w:overflowPunct w:val="0"/>
        <w:adjustRightInd w:val="0"/>
        <w:spacing w:before="60" w:line="240" w:lineRule="atLeast"/>
        <w:ind w:left="992" w:firstLine="1"/>
        <w:textAlignment w:val="baseline"/>
        <w:rPr>
          <w:szCs w:val="20"/>
          <w:lang w:val="cs-CZ"/>
        </w:rPr>
      </w:pPr>
      <m:oMathPara>
        <m:oMathParaPr>
          <m:jc m:val="left"/>
        </m:oMathParaP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II</m:t>
                  </m:r>
                </m:sub>
              </m:sSub>
            </m:e>
            <m:sub>
              <m:r>
                <w:rPr>
                  <w:rFonts w:ascii="Cambria Math" w:hAnsi="Cambria Math"/>
                  <w:noProof/>
                  <w:lang w:val="cs-CZ"/>
                </w:rPr>
                <m:t>IST</m:t>
              </m:r>
            </m:sub>
          </m:sSub>
          <m:r>
            <w:rPr>
              <w:rFonts w:ascii="Cambria Math" w:hAnsi="Cambria Math"/>
              <w:noProof/>
              <w:lang w:val="cs-CZ"/>
            </w:rPr>
            <m:t xml:space="preserve">= </m:t>
          </m:r>
          <m:sSub>
            <m:sSubPr>
              <m:ctrlPr>
                <w:rPr>
                  <w:rFonts w:ascii="Cambria Math" w:hAnsi="Cambria Math"/>
                  <w:i/>
                  <w:noProof/>
                  <w:lang w:val="cs-CZ"/>
                </w:rPr>
              </m:ctrlPr>
            </m:sSubPr>
            <m:e>
              <m:r>
                <w:rPr>
                  <w:rFonts w:ascii="Cambria Math" w:hAnsi="Cambria Math"/>
                  <w:noProof/>
                  <w:lang w:val="cs-CZ"/>
                </w:rPr>
                <m:t>k</m:t>
              </m:r>
            </m:e>
            <m:sub>
              <m:r>
                <w:rPr>
                  <w:rFonts w:ascii="Cambria Math" w:hAnsi="Cambria Math"/>
                  <w:noProof/>
                  <w:lang w:val="cs-CZ"/>
                </w:rPr>
                <m:t>2</m:t>
              </m:r>
            </m:sub>
          </m:sSub>
          <m:r>
            <w:rPr>
              <w:rFonts w:ascii="Cambria Math" w:hAnsi="Cambria Math"/>
              <w:noProof/>
              <w:lang w:val="cs-CZ"/>
            </w:rPr>
            <m:t xml:space="preserve"> ∙ </m:t>
          </m:r>
          <m:sSub>
            <m:sSubPr>
              <m:ctrlPr>
                <w:rPr>
                  <w:rFonts w:ascii="Cambria Math" w:hAnsi="Cambria Math"/>
                  <w:i/>
                  <w:noProof/>
                  <w:lang w:val="cs-CZ"/>
                </w:rPr>
              </m:ctrlPr>
            </m:sSubPr>
            <m:e>
              <m:sSup>
                <m:sSupPr>
                  <m:ctrlPr>
                    <w:rPr>
                      <w:rFonts w:ascii="Cambria Math" w:hAnsi="Cambria Math"/>
                      <w:i/>
                      <w:noProof/>
                      <w:lang w:val="cs-CZ"/>
                    </w:rPr>
                  </m:ctrlPr>
                </m:sSupPr>
                <m:e>
                  <m:r>
                    <w:rPr>
                      <w:rFonts w:ascii="Cambria Math" w:hAnsi="Cambria Math"/>
                      <w:noProof/>
                      <w:lang w:val="cs-CZ"/>
                    </w:rPr>
                    <m:t>v</m:t>
                  </m:r>
                </m:e>
                <m:sup>
                  <m:r>
                    <w:rPr>
                      <w:rFonts w:ascii="Cambria Math" w:hAnsi="Cambria Math"/>
                      <w:noProof/>
                      <w:lang w:val="cs-CZ"/>
                    </w:rPr>
                    <m:t>2</m:t>
                  </m:r>
                </m:sup>
              </m:sSup>
            </m:e>
            <m:sub>
              <m:sSub>
                <m:sSubPr>
                  <m:ctrlPr>
                    <w:rPr>
                      <w:rFonts w:ascii="Cambria Math" w:hAnsi="Cambria Math"/>
                      <w:i/>
                      <w:noProof/>
                      <w:lang w:val="cs-CZ"/>
                    </w:rPr>
                  </m:ctrlPr>
                </m:sSubPr>
                <m:e>
                  <m:r>
                    <w:rPr>
                      <w:rFonts w:ascii="Cambria Math" w:hAnsi="Cambria Math"/>
                      <w:noProof/>
                      <w:lang w:val="cs-CZ"/>
                    </w:rPr>
                    <m:t>II</m:t>
                  </m:r>
                </m:e>
                <m:sub>
                  <m:r>
                    <w:rPr>
                      <w:rFonts w:ascii="Cambria Math" w:hAnsi="Cambria Math"/>
                      <w:noProof/>
                      <w:lang w:val="cs-CZ"/>
                    </w:rPr>
                    <m:t>IST</m:t>
                  </m:r>
                </m:sub>
              </m:sSub>
              <m:r>
                <w:rPr>
                  <w:rFonts w:ascii="Cambria Math" w:hAnsi="Cambria Math"/>
                  <w:noProof/>
                  <w:lang w:val="cs-CZ"/>
                </w:rPr>
                <m:t xml:space="preserve"> </m:t>
              </m:r>
            </m:sub>
          </m:sSub>
          <m:r>
            <w:rPr>
              <w:rFonts w:ascii="Cambria Math" w:hAnsi="Cambria Math"/>
              <w:noProof/>
              <w:lang w:val="cs-CZ"/>
            </w:rPr>
            <m:t xml:space="preserve"> ∙  </m:t>
          </m:r>
          <m:f>
            <m:fPr>
              <m:ctrlPr>
                <w:rPr>
                  <w:rFonts w:ascii="Cambria Math" w:hAnsi="Cambria Math"/>
                  <w:i/>
                  <w:noProof/>
                  <w:lang w:val="cs-CZ"/>
                </w:rPr>
              </m:ctrlPr>
            </m:fPr>
            <m:num>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IST</m:t>
                  </m:r>
                </m:sub>
              </m:sSub>
              <m:r>
                <w:rPr>
                  <w:rFonts w:ascii="Cambria Math" w:hAnsi="Cambria Math"/>
                  <w:noProof/>
                  <w:lang w:val="cs-CZ"/>
                </w:rPr>
                <m:t xml:space="preserve"> ∙g</m:t>
              </m:r>
            </m:num>
            <m:den>
              <m:sSub>
                <m:sSubPr>
                  <m:ctrlPr>
                    <w:rPr>
                      <w:rFonts w:ascii="Cambria Math" w:hAnsi="Cambria Math"/>
                      <w:i/>
                      <w:noProof/>
                      <w:lang w:val="cs-CZ"/>
                    </w:rPr>
                  </m:ctrlPr>
                </m:sSubPr>
                <m:e>
                  <m:r>
                    <w:rPr>
                      <w:rFonts w:ascii="Cambria Math" w:hAnsi="Cambria Math"/>
                      <w:noProof/>
                      <w:lang w:val="cs-CZ"/>
                    </w:rPr>
                    <m:t>k</m:t>
                  </m:r>
                </m:e>
                <m:sub>
                  <m:r>
                    <w:rPr>
                      <w:rFonts w:ascii="Cambria Math" w:hAnsi="Cambria Math"/>
                      <w:noProof/>
                      <w:lang w:val="cs-CZ"/>
                    </w:rPr>
                    <m:t>3</m:t>
                  </m:r>
                </m:sub>
              </m:sSub>
              <m:r>
                <w:rPr>
                  <w:rFonts w:ascii="Cambria Math" w:hAnsi="Cambria Math"/>
                  <w:noProof/>
                  <w:lang w:val="cs-CZ"/>
                </w:rPr>
                <m:t xml:space="preserve"> ∙ </m:t>
              </m:r>
              <m:sSub>
                <m:sSubPr>
                  <m:ctrlPr>
                    <w:rPr>
                      <w:rFonts w:ascii="Cambria Math" w:hAnsi="Cambria Math"/>
                      <w:i/>
                      <w:noProof/>
                      <w:lang w:val="cs-CZ"/>
                    </w:rPr>
                  </m:ctrlPr>
                </m:sSubPr>
                <m:e>
                  <m:r>
                    <w:rPr>
                      <w:rFonts w:ascii="Cambria Math" w:hAnsi="Cambria Math"/>
                      <w:noProof/>
                      <w:lang w:val="cs-CZ"/>
                    </w:rPr>
                    <m:t>F</m:t>
                  </m:r>
                </m:e>
                <m:sub>
                  <m:r>
                    <w:rPr>
                      <w:rFonts w:ascii="Cambria Math" w:hAnsi="Cambria Math"/>
                      <w:noProof/>
                      <w:lang w:val="cs-CZ"/>
                    </w:rPr>
                    <m:t>POR</m:t>
                  </m:r>
                </m:sub>
              </m:sSub>
              <m:r>
                <w:rPr>
                  <w:rFonts w:ascii="Cambria Math" w:hAnsi="Cambria Math"/>
                  <w:noProof/>
                  <w:lang w:val="cs-CZ"/>
                </w:rPr>
                <m:t xml:space="preserve">+ </m:t>
              </m:r>
              <m:sSub>
                <m:sSubPr>
                  <m:ctrlPr>
                    <w:rPr>
                      <w:rFonts w:ascii="Cambria Math" w:hAnsi="Cambria Math"/>
                      <w:i/>
                      <w:noProof/>
                      <w:lang w:val="cs-CZ"/>
                    </w:rPr>
                  </m:ctrlPr>
                </m:sSubPr>
                <m:e>
                  <m:r>
                    <w:rPr>
                      <w:rFonts w:ascii="Cambria Math" w:hAnsi="Cambria Math"/>
                      <w:noProof/>
                      <w:lang w:val="cs-CZ"/>
                    </w:rPr>
                    <m:t>R</m:t>
                  </m:r>
                </m:e>
                <m:sub>
                  <m:sSub>
                    <m:sSubPr>
                      <m:ctrlPr>
                        <w:rPr>
                          <w:rFonts w:ascii="Cambria Math" w:hAnsi="Cambria Math"/>
                          <w:i/>
                          <w:noProof/>
                          <w:lang w:val="cs-CZ"/>
                        </w:rPr>
                      </m:ctrlPr>
                    </m:sSubPr>
                    <m:e>
                      <m:r>
                        <w:rPr>
                          <w:rFonts w:ascii="Cambria Math" w:hAnsi="Cambria Math"/>
                          <w:noProof/>
                          <w:lang w:val="cs-CZ"/>
                        </w:rPr>
                        <m:t>TmII</m:t>
                      </m:r>
                    </m:e>
                    <m:sub>
                      <m:r>
                        <w:rPr>
                          <w:rFonts w:ascii="Cambria Math" w:hAnsi="Cambria Math"/>
                          <w:noProof/>
                          <w:lang w:val="cs-CZ"/>
                        </w:rPr>
                        <m:t>IST</m:t>
                      </m:r>
                    </m:sub>
                  </m:sSub>
                </m:sub>
              </m:sSub>
              <m:r>
                <w:rPr>
                  <w:rFonts w:ascii="Cambria Math" w:hAnsi="Cambria Math"/>
                  <w:noProof/>
                  <w:lang w:val="cs-CZ"/>
                </w:rPr>
                <m:t xml:space="preserve"> - </m:t>
              </m:r>
              <m:sSub>
                <m:sSubPr>
                  <m:ctrlPr>
                    <w:rPr>
                      <w:rFonts w:ascii="Cambria Math" w:hAnsi="Cambria Math"/>
                      <w:i/>
                      <w:noProof/>
                      <w:lang w:val="cs-CZ"/>
                    </w:rPr>
                  </m:ctrlPr>
                </m:sSubPr>
                <m:e>
                  <m:r>
                    <w:rPr>
                      <w:rFonts w:ascii="Cambria Math" w:hAnsi="Cambria Math"/>
                      <w:noProof/>
                      <w:lang w:val="cs-CZ"/>
                    </w:rPr>
                    <m:t>R</m:t>
                  </m:r>
                </m:e>
                <m:sub>
                  <m:r>
                    <w:rPr>
                      <w:rFonts w:ascii="Cambria Math" w:hAnsi="Cambria Math"/>
                      <w:noProof/>
                      <w:lang w:val="cs-CZ"/>
                    </w:rPr>
                    <m:t>G</m:t>
                  </m:r>
                </m:sub>
              </m:sSub>
            </m:den>
          </m:f>
          <m:r>
            <w:rPr>
              <w:rFonts w:ascii="Cambria Math" w:hAnsi="Cambria Math"/>
              <w:noProof/>
              <w:lang w:val="cs-CZ"/>
            </w:rPr>
            <m:t xml:space="preserve"> ∙  </m:t>
          </m:r>
          <m:d>
            <m:dPr>
              <m:ctrlPr>
                <w:rPr>
                  <w:rFonts w:ascii="Cambria Math" w:hAnsi="Cambria Math"/>
                  <w:i/>
                  <w:noProof/>
                  <w:lang w:val="cs-CZ"/>
                </w:rPr>
              </m:ctrlPr>
            </m:dPr>
            <m:e>
              <m:sSub>
                <m:sSubPr>
                  <m:ctrlPr>
                    <w:rPr>
                      <w:rFonts w:ascii="Cambria Math" w:hAnsi="Cambria Math"/>
                      <w:i/>
                      <w:noProof/>
                      <w:lang w:val="cs-CZ"/>
                    </w:rPr>
                  </m:ctrlPr>
                </m:sSubPr>
                <m:e>
                  <m:r>
                    <w:rPr>
                      <w:rFonts w:ascii="Cambria Math" w:hAnsi="Cambria Math"/>
                      <w:noProof/>
                      <w:lang w:val="cs-CZ"/>
                    </w:rPr>
                    <m:t>k</m:t>
                  </m:r>
                </m:e>
                <m:sub>
                  <m:r>
                    <w:rPr>
                      <w:rFonts w:ascii="Cambria Math" w:hAnsi="Cambria Math"/>
                      <w:noProof/>
                      <w:lang w:val="cs-CZ"/>
                    </w:rPr>
                    <m:t>4</m:t>
                  </m:r>
                </m:sub>
              </m:sSub>
              <m:r>
                <w:rPr>
                  <w:rFonts w:ascii="Cambria Math" w:hAnsi="Cambria Math"/>
                  <w:noProof/>
                  <w:lang w:val="cs-CZ"/>
                </w:rPr>
                <m:t xml:space="preserve"> + </m:t>
              </m:r>
              <m:f>
                <m:fPr>
                  <m:ctrlPr>
                    <w:rPr>
                      <w:rFonts w:ascii="Cambria Math" w:hAnsi="Cambria Math"/>
                      <w:i/>
                      <w:noProof/>
                      <w:lang w:val="cs-CZ"/>
                    </w:rPr>
                  </m:ctrlPr>
                </m:fPr>
                <m:num>
                  <m:sSub>
                    <m:sSubPr>
                      <m:ctrlPr>
                        <w:rPr>
                          <w:rFonts w:ascii="Cambria Math" w:hAnsi="Cambria Math"/>
                          <w:i/>
                          <w:noProof/>
                          <w:lang w:val="cs-CZ"/>
                        </w:rPr>
                      </m:ctrlPr>
                    </m:sSubPr>
                    <m:e>
                      <m:r>
                        <w:rPr>
                          <w:rFonts w:ascii="Cambria Math" w:hAnsi="Cambria Math"/>
                          <w:noProof/>
                          <w:lang w:val="cs-CZ"/>
                        </w:rPr>
                        <m:t>v</m:t>
                      </m:r>
                    </m:e>
                    <m:sub>
                      <m:sSub>
                        <m:sSubPr>
                          <m:ctrlPr>
                            <w:rPr>
                              <w:rFonts w:ascii="Cambria Math" w:hAnsi="Cambria Math"/>
                              <w:i/>
                              <w:noProof/>
                              <w:lang w:val="cs-CZ"/>
                            </w:rPr>
                          </m:ctrlPr>
                        </m:sSubPr>
                        <m:e>
                          <m:r>
                            <w:rPr>
                              <w:rFonts w:ascii="Cambria Math" w:hAnsi="Cambria Math"/>
                              <w:noProof/>
                              <w:lang w:val="cs-CZ"/>
                            </w:rPr>
                            <m:t>STR</m:t>
                          </m:r>
                        </m:e>
                        <m:sub>
                          <m:r>
                            <w:rPr>
                              <w:rFonts w:ascii="Cambria Math" w:hAnsi="Cambria Math"/>
                              <w:noProof/>
                              <w:lang w:val="cs-CZ"/>
                            </w:rPr>
                            <m:t>IST</m:t>
                          </m:r>
                        </m:sub>
                      </m:sSub>
                    </m:sub>
                  </m:sSub>
                </m:num>
                <m:den>
                  <m:sSub>
                    <m:sSubPr>
                      <m:ctrlPr>
                        <w:rPr>
                          <w:rFonts w:ascii="Cambria Math" w:hAnsi="Cambria Math"/>
                          <w:i/>
                          <w:noProof/>
                          <w:lang w:val="cs-CZ"/>
                        </w:rPr>
                      </m:ctrlPr>
                    </m:sSubPr>
                    <m:e>
                      <m:r>
                        <w:rPr>
                          <w:rFonts w:ascii="Cambria Math" w:hAnsi="Cambria Math"/>
                          <w:noProof/>
                          <w:lang w:val="cs-CZ"/>
                        </w:rPr>
                        <m:t>v</m:t>
                      </m:r>
                    </m:e>
                    <m:sub>
                      <m:sSub>
                        <m:sSubPr>
                          <m:ctrlPr>
                            <w:rPr>
                              <w:rFonts w:ascii="Cambria Math" w:hAnsi="Cambria Math"/>
                              <w:i/>
                              <w:noProof/>
                              <w:lang w:val="cs-CZ"/>
                            </w:rPr>
                          </m:ctrlPr>
                        </m:sSubPr>
                        <m:e>
                          <m:r>
                            <w:rPr>
                              <w:rFonts w:ascii="Cambria Math" w:hAnsi="Cambria Math"/>
                              <w:noProof/>
                              <w:lang w:val="cs-CZ"/>
                            </w:rPr>
                            <m:t>II</m:t>
                          </m:r>
                        </m:e>
                        <m:sub>
                          <m:r>
                            <w:rPr>
                              <w:rFonts w:ascii="Cambria Math" w:hAnsi="Cambria Math"/>
                              <w:noProof/>
                              <w:lang w:val="cs-CZ"/>
                            </w:rPr>
                            <m:t>IST</m:t>
                          </m:r>
                        </m:sub>
                      </m:sSub>
                    </m:sub>
                  </m:sSub>
                </m:den>
              </m:f>
            </m:e>
          </m:d>
        </m:oMath>
      </m:oMathPara>
    </w:p>
    <w:p w:rsidR="003B6E11" w:rsidRPr="003B6E11" w:rsidRDefault="003B6E11" w:rsidP="003B6E11">
      <w:pPr>
        <w:tabs>
          <w:tab w:val="left" w:pos="284"/>
        </w:tabs>
        <w:overflowPunct w:val="0"/>
        <w:adjustRightInd w:val="0"/>
        <w:spacing w:line="240" w:lineRule="atLeast"/>
        <w:ind w:left="284" w:hanging="284"/>
        <w:textAlignment w:val="baseline"/>
        <w:rPr>
          <w:szCs w:val="20"/>
          <w:lang w:val="cs-CZ"/>
        </w:rPr>
      </w:pPr>
    </w:p>
    <w:p w:rsidR="003B6E11" w:rsidRPr="003B6E11" w:rsidRDefault="003B6E11" w:rsidP="003B6E11">
      <w:pPr>
        <w:tabs>
          <w:tab w:val="left" w:pos="992"/>
        </w:tabs>
        <w:overflowPunct w:val="0"/>
        <w:adjustRightInd w:val="0"/>
        <w:spacing w:line="240" w:lineRule="atLeast"/>
        <w:ind w:left="992"/>
        <w:textAlignment w:val="baseline"/>
        <w:rPr>
          <w:szCs w:val="20"/>
          <w:lang w:val="cs-CZ"/>
        </w:rPr>
      </w:pPr>
      <w:r w:rsidRPr="003B6E11">
        <w:rPr>
          <w:lang w:val="cs-CZ"/>
        </w:rPr>
        <w:t>c)</w:t>
      </w:r>
      <w:r w:rsidRPr="003B6E11">
        <w:rPr>
          <w:lang w:val="cs-CZ"/>
        </w:rPr>
        <w:tab/>
        <w:t xml:space="preserve">Výpočet </w:t>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R</m:t>
                </m:r>
              </m:e>
              <m:sub>
                <m:r>
                  <w:rPr>
                    <w:rFonts w:ascii="Cambria Math" w:hAnsi="Cambria Math"/>
                    <w:noProof/>
                    <w:lang w:val="cs-CZ"/>
                  </w:rPr>
                  <m:t>TmII</m:t>
                </m:r>
              </m:sub>
            </m:sSub>
          </m:e>
          <m:sub>
            <m:r>
              <w:rPr>
                <w:rFonts w:ascii="Cambria Math" w:hAnsi="Cambria Math"/>
                <w:noProof/>
                <w:lang w:val="cs-CZ"/>
              </w:rPr>
              <m:t>IST</m:t>
            </m:r>
          </m:sub>
        </m:sSub>
      </m:oMath>
      <w:r w:rsidRPr="003B6E11">
        <w:rPr>
          <w:lang w:val="cs-CZ"/>
        </w:rPr>
        <w:t xml:space="preserve"> podle tabulky 3 a vzorce (4.3) v příloze 2</w:t>
      </w:r>
    </w:p>
    <w:p w:rsidR="003B6E11" w:rsidRPr="003B6E11" w:rsidRDefault="002D015D" w:rsidP="003B6E11">
      <w:pPr>
        <w:tabs>
          <w:tab w:val="left" w:pos="992"/>
        </w:tabs>
        <w:overflowPunct w:val="0"/>
        <w:adjustRightInd w:val="0"/>
        <w:spacing w:before="120" w:line="240" w:lineRule="atLeast"/>
        <w:ind w:left="992" w:firstLine="1"/>
        <w:textAlignment w:val="baseline"/>
        <w:rPr>
          <w:szCs w:val="20"/>
          <w:lang w:val="cs-CZ"/>
        </w:rPr>
      </w:pPr>
      <m:oMathPara>
        <m:oMathParaPr>
          <m:jc m:val="left"/>
        </m:oMathParaPr>
        <m:oMath>
          <m:sSup>
            <m:sSupPr>
              <m:ctrlPr>
                <w:rPr>
                  <w:rFonts w:ascii="Cambria Math" w:hAnsi="Cambria Math"/>
                  <w:i/>
                  <w:szCs w:val="20"/>
                  <w:lang w:val="cs-CZ"/>
                </w:rPr>
              </m:ctrlPr>
            </m:sSupPr>
            <m:e>
              <m:sSub>
                <m:sSubPr>
                  <m:ctrlPr>
                    <w:rPr>
                      <w:rFonts w:ascii="Cambria Math" w:hAnsi="Cambria Math"/>
                      <w:i/>
                      <w:szCs w:val="20"/>
                      <w:lang w:val="cs-CZ"/>
                    </w:rPr>
                  </m:ctrlPr>
                </m:sSubPr>
                <m:e>
                  <m:r>
                    <w:rPr>
                      <w:rFonts w:ascii="Cambria Math" w:hAnsi="Cambria Math"/>
                      <w:szCs w:val="20"/>
                      <w:lang w:val="cs-CZ"/>
                    </w:rPr>
                    <m:t>D</m:t>
                  </m:r>
                </m:e>
                <m:sub>
                  <m:r>
                    <w:rPr>
                      <w:rFonts w:ascii="Cambria Math" w:hAnsi="Cambria Math"/>
                      <w:szCs w:val="20"/>
                      <w:lang w:val="cs-CZ"/>
                    </w:rPr>
                    <m:t>IST</m:t>
                  </m:r>
                </m:sub>
              </m:sSub>
            </m:e>
            <m:sup>
              <m:r>
                <w:rPr>
                  <w:rFonts w:ascii="Cambria Math" w:hAnsi="Cambria Math"/>
                  <w:szCs w:val="20"/>
                  <w:lang w:val="cs-CZ"/>
                </w:rPr>
                <m:t>1/3</m:t>
              </m:r>
            </m:sup>
          </m:sSup>
          <m:r>
            <w:rPr>
              <w:rFonts w:ascii="Cambria Math" w:hAnsi="Cambria Math"/>
              <w:szCs w:val="20"/>
              <w:lang w:val="cs-CZ"/>
            </w:rPr>
            <m:t xml:space="preserve">= </m:t>
          </m:r>
          <m:sSup>
            <m:sSupPr>
              <m:ctrlPr>
                <w:rPr>
                  <w:rFonts w:ascii="Cambria Math" w:hAnsi="Cambria Math"/>
                  <w:i/>
                  <w:szCs w:val="20"/>
                  <w:lang w:val="cs-CZ"/>
                </w:rPr>
              </m:ctrlPr>
            </m:sSupPr>
            <m:e>
              <m:r>
                <w:rPr>
                  <w:rFonts w:ascii="Cambria Math" w:hAnsi="Cambria Math"/>
                  <w:szCs w:val="20"/>
                  <w:lang w:val="cs-CZ"/>
                </w:rPr>
                <m:t>5179</m:t>
              </m:r>
            </m:e>
            <m:sup>
              <m:r>
                <w:rPr>
                  <w:rFonts w:ascii="Cambria Math" w:hAnsi="Cambria Math"/>
                  <w:szCs w:val="20"/>
                  <w:lang w:val="cs-CZ"/>
                </w:rPr>
                <m:t>1/3</m:t>
              </m:r>
            </m:sup>
          </m:sSup>
          <m:r>
            <w:rPr>
              <w:rFonts w:ascii="Cambria Math" w:hAnsi="Cambria Math"/>
              <w:szCs w:val="20"/>
              <w:lang w:val="cs-CZ"/>
            </w:rPr>
            <m:t xml:space="preserve">=17,3 </m:t>
          </m:r>
          <m:d>
            <m:dPr>
              <m:begChr m:val="["/>
              <m:endChr m:val="]"/>
              <m:ctrlPr>
                <w:rPr>
                  <w:rFonts w:ascii="Cambria Math" w:hAnsi="Cambria Math"/>
                  <w:i/>
                  <w:szCs w:val="20"/>
                  <w:lang w:val="cs-CZ"/>
                </w:rPr>
              </m:ctrlPr>
            </m:dPr>
            <m:e>
              <m:r>
                <w:rPr>
                  <w:rFonts w:ascii="Cambria Math" w:hAnsi="Cambria Math"/>
                  <w:szCs w:val="20"/>
                  <w:lang w:val="cs-CZ"/>
                </w:rPr>
                <m:t>m</m:t>
              </m:r>
            </m:e>
          </m:d>
        </m:oMath>
      </m:oMathPara>
    </w:p>
    <w:p w:rsidR="003B6E11" w:rsidRPr="003B6E11" w:rsidRDefault="002D015D" w:rsidP="003B6E11">
      <w:pPr>
        <w:tabs>
          <w:tab w:val="left" w:pos="992"/>
        </w:tabs>
        <w:overflowPunct w:val="0"/>
        <w:adjustRightInd w:val="0"/>
        <w:spacing w:before="120" w:line="240" w:lineRule="atLeast"/>
        <w:ind w:left="992" w:firstLine="1"/>
        <w:textAlignment w:val="baseline"/>
        <w:rPr>
          <w:szCs w:val="20"/>
          <w:lang w:val="cs-CZ"/>
        </w:rPr>
      </w:pPr>
      <m:oMathPara>
        <m:oMathParaPr>
          <m:jc m:val="left"/>
        </m:oMathParaPr>
        <m:oMath>
          <m:sSup>
            <m:sSupPr>
              <m:ctrlPr>
                <w:rPr>
                  <w:rFonts w:ascii="Cambria Math" w:hAnsi="Cambria Math"/>
                  <w:i/>
                  <w:szCs w:val="20"/>
                  <w:lang w:val="cs-CZ"/>
                </w:rPr>
              </m:ctrlPr>
            </m:sSupPr>
            <m:e>
              <m:sSub>
                <m:sSubPr>
                  <m:ctrlPr>
                    <w:rPr>
                      <w:rFonts w:ascii="Cambria Math" w:hAnsi="Cambria Math"/>
                      <w:i/>
                      <w:szCs w:val="20"/>
                      <w:lang w:val="cs-CZ"/>
                    </w:rPr>
                  </m:ctrlPr>
                </m:sSubPr>
                <m:e>
                  <m:r>
                    <w:rPr>
                      <w:rFonts w:ascii="Cambria Math" w:hAnsi="Cambria Math"/>
                      <w:szCs w:val="20"/>
                      <w:lang w:val="cs-CZ"/>
                    </w:rPr>
                    <m:t>D</m:t>
                  </m:r>
                </m:e>
                <m:sub>
                  <m:r>
                    <w:rPr>
                      <w:rFonts w:ascii="Cambria Math" w:hAnsi="Cambria Math"/>
                      <w:szCs w:val="20"/>
                      <w:lang w:val="cs-CZ"/>
                    </w:rPr>
                    <m:t>IST</m:t>
                  </m:r>
                </m:sub>
              </m:sSub>
            </m:e>
            <m:sup>
              <m:r>
                <w:rPr>
                  <w:rFonts w:ascii="Cambria Math" w:hAnsi="Cambria Math"/>
                  <w:szCs w:val="20"/>
                  <w:lang w:val="cs-CZ"/>
                </w:rPr>
                <m:t>1/3</m:t>
              </m:r>
            </m:sup>
          </m:sSup>
          <m:r>
            <w:rPr>
              <w:rFonts w:ascii="Cambria Math" w:hAnsi="Cambria Math"/>
              <w:szCs w:val="20"/>
              <w:lang w:val="cs-CZ"/>
            </w:rPr>
            <m:t xml:space="preserve">∙ </m:t>
          </m:r>
          <m:d>
            <m:dPr>
              <m:ctrlPr>
                <w:rPr>
                  <w:rFonts w:ascii="Cambria Math" w:hAnsi="Cambria Math"/>
                  <w:i/>
                  <w:szCs w:val="20"/>
                  <w:lang w:val="cs-CZ"/>
                </w:rPr>
              </m:ctrlPr>
            </m:dPr>
            <m:e>
              <m:r>
                <w:rPr>
                  <w:rFonts w:ascii="Cambria Math" w:hAnsi="Cambria Math"/>
                  <w:szCs w:val="20"/>
                  <w:lang w:val="cs-CZ"/>
                </w:rPr>
                <m:t xml:space="preserve">B+2 ∙ </m:t>
              </m:r>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IST</m:t>
                  </m:r>
                </m:sub>
              </m:sSub>
            </m:e>
          </m:d>
          <m:r>
            <w:rPr>
              <w:rFonts w:ascii="Cambria Math" w:hAnsi="Cambria Math"/>
              <w:szCs w:val="20"/>
              <w:lang w:val="cs-CZ"/>
            </w:rPr>
            <m:t xml:space="preserve">=17,3 ∙ </m:t>
          </m:r>
          <m:d>
            <m:dPr>
              <m:ctrlPr>
                <w:rPr>
                  <w:rFonts w:ascii="Cambria Math" w:hAnsi="Cambria Math"/>
                  <w:i/>
                  <w:szCs w:val="20"/>
                  <w:lang w:val="cs-CZ"/>
                </w:rPr>
              </m:ctrlPr>
            </m:dPr>
            <m:e>
              <m:r>
                <w:rPr>
                  <w:rFonts w:ascii="Cambria Math" w:hAnsi="Cambria Math"/>
                  <w:szCs w:val="20"/>
                  <w:lang w:val="cs-CZ"/>
                </w:rPr>
                <m:t>22,8+5,92</m:t>
              </m:r>
            </m:e>
          </m:d>
          <m:r>
            <w:rPr>
              <w:rFonts w:ascii="Cambria Math" w:hAnsi="Cambria Math"/>
              <w:szCs w:val="20"/>
              <w:lang w:val="cs-CZ"/>
            </w:rPr>
            <m:t xml:space="preserve">=496,8 </m:t>
          </m:r>
          <m:d>
            <m:dPr>
              <m:begChr m:val="["/>
              <m:endChr m:val="]"/>
              <m:ctrlPr>
                <w:rPr>
                  <w:rFonts w:ascii="Cambria Math" w:hAnsi="Cambria Math"/>
                  <w:i/>
                  <w:szCs w:val="20"/>
                  <w:lang w:val="cs-CZ"/>
                </w:rPr>
              </m:ctrlPr>
            </m:dPr>
            <m:e>
              <m:sSup>
                <m:sSupPr>
                  <m:ctrlPr>
                    <w:rPr>
                      <w:rFonts w:ascii="Cambria Math" w:hAnsi="Cambria Math"/>
                      <w:i/>
                      <w:szCs w:val="20"/>
                      <w:lang w:val="cs-CZ"/>
                    </w:rPr>
                  </m:ctrlPr>
                </m:sSupPr>
                <m:e>
                  <m:r>
                    <w:rPr>
                      <w:rFonts w:ascii="Cambria Math" w:hAnsi="Cambria Math"/>
                      <w:szCs w:val="20"/>
                      <w:lang w:val="cs-CZ"/>
                    </w:rPr>
                    <m:t>m</m:t>
                  </m:r>
                </m:e>
                <m:sup>
                  <m:r>
                    <w:rPr>
                      <w:rFonts w:ascii="Cambria Math" w:hAnsi="Cambria Math"/>
                      <w:szCs w:val="20"/>
                      <w:lang w:val="cs-CZ"/>
                    </w:rPr>
                    <m:t>2</m:t>
                  </m:r>
                </m:sup>
              </m:sSup>
            </m:e>
          </m:d>
        </m:oMath>
      </m:oMathPara>
    </w:p>
    <w:p w:rsidR="003B6E11" w:rsidRPr="003B6E11" w:rsidRDefault="003B6E11" w:rsidP="003B6E11">
      <w:pPr>
        <w:tabs>
          <w:tab w:val="left" w:pos="284"/>
        </w:tabs>
        <w:overflowPunct w:val="0"/>
        <w:adjustRightInd w:val="0"/>
        <w:spacing w:line="240" w:lineRule="exact"/>
        <w:ind w:left="1276" w:hanging="284"/>
        <w:textAlignment w:val="baseline"/>
        <w:rPr>
          <w:szCs w:val="20"/>
          <w:lang w:val="cs-CZ"/>
        </w:rPr>
      </w:pPr>
    </w:p>
    <w:p w:rsidR="003B6E11" w:rsidRPr="003B6E11" w:rsidRDefault="003B6E11" w:rsidP="003B6E11">
      <w:pPr>
        <w:tabs>
          <w:tab w:val="left" w:pos="284"/>
          <w:tab w:val="left" w:pos="3119"/>
          <w:tab w:val="left" w:pos="4678"/>
        </w:tabs>
        <w:overflowPunct w:val="0"/>
        <w:adjustRightInd w:val="0"/>
        <w:spacing w:line="240" w:lineRule="atLeast"/>
        <w:ind w:left="1276" w:hanging="284"/>
        <w:textAlignment w:val="baseline"/>
        <w:rPr>
          <w:szCs w:val="20"/>
          <w:lang w:val="cs-CZ"/>
        </w:rPr>
      </w:pPr>
      <w:r w:rsidRPr="003B6E11">
        <w:rPr>
          <w:lang w:val="cs-CZ"/>
        </w:rPr>
        <w:t>podle tabulky 3</w:t>
      </w:r>
      <w:r w:rsidRPr="003B6E11">
        <w:rPr>
          <w:lang w:val="cs-CZ"/>
        </w:rPr>
        <w:tab/>
      </w:r>
      <m:oMath>
        <m:f>
          <m:fPr>
            <m:ctrlPr>
              <w:rPr>
                <w:rFonts w:ascii="Cambria Math" w:hAnsi="Cambria Math"/>
                <w:i/>
                <w:szCs w:val="20"/>
                <w:lang w:val="cs-CZ"/>
              </w:rPr>
            </m:ctrlPr>
          </m:fPr>
          <m:num>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T</m:t>
                </m:r>
              </m:sub>
            </m:sSub>
          </m:num>
          <m:den>
            <m:sSup>
              <m:sSupPr>
                <m:ctrlPr>
                  <w:rPr>
                    <w:rFonts w:ascii="Cambria Math" w:hAnsi="Cambria Math"/>
                    <w:i/>
                    <w:szCs w:val="20"/>
                    <w:lang w:val="cs-CZ"/>
                  </w:rPr>
                </m:ctrlPr>
              </m:sSupPr>
              <m:e>
                <m:r>
                  <w:rPr>
                    <w:rFonts w:ascii="Cambria Math" w:hAnsi="Cambria Math"/>
                    <w:szCs w:val="20"/>
                    <w:lang w:val="cs-CZ"/>
                  </w:rPr>
                  <m:t>v</m:t>
                </m:r>
              </m:e>
              <m:sup>
                <m:r>
                  <w:rPr>
                    <w:rFonts w:ascii="Cambria Math" w:hAnsi="Cambria Math"/>
                    <w:szCs w:val="20"/>
                    <w:lang w:val="cs-CZ"/>
                  </w:rPr>
                  <m:t>2</m:t>
                </m:r>
              </m:sup>
            </m:sSup>
          </m:den>
        </m:f>
        <m:r>
          <w:rPr>
            <w:rFonts w:ascii="Cambria Math" w:hAnsi="Cambria Math"/>
            <w:szCs w:val="20"/>
            <w:lang w:val="cs-CZ"/>
          </w:rPr>
          <m:t xml:space="preserve">=10,8 </m:t>
        </m:r>
        <m:d>
          <m:dPr>
            <m:ctrlPr>
              <w:rPr>
                <w:rFonts w:ascii="Cambria Math" w:hAnsi="Cambria Math"/>
                <w:i/>
                <w:szCs w:val="20"/>
                <w:lang w:val="cs-CZ"/>
              </w:rPr>
            </m:ctrlPr>
          </m:dPr>
          <m:e>
            <m:f>
              <m:fPr>
                <m:ctrlPr>
                  <w:rPr>
                    <w:rFonts w:ascii="Cambria Math" w:hAnsi="Cambria Math"/>
                    <w:i/>
                    <w:szCs w:val="20"/>
                    <w:lang w:val="cs-CZ"/>
                  </w:rPr>
                </m:ctrlPr>
              </m:fPr>
              <m:num>
                <m:r>
                  <w:rPr>
                    <w:rFonts w:ascii="Cambria Math" w:hAnsi="Cambria Math"/>
                    <w:szCs w:val="20"/>
                    <w:lang w:val="cs-CZ"/>
                  </w:rPr>
                  <m:t xml:space="preserve">kN ∙ </m:t>
                </m:r>
                <m:sSup>
                  <m:sSupPr>
                    <m:ctrlPr>
                      <w:rPr>
                        <w:rFonts w:ascii="Cambria Math" w:hAnsi="Cambria Math"/>
                        <w:i/>
                        <w:szCs w:val="20"/>
                        <w:lang w:val="cs-CZ"/>
                      </w:rPr>
                    </m:ctrlPr>
                  </m:sSupPr>
                  <m:e>
                    <m:r>
                      <w:rPr>
                        <w:rFonts w:ascii="Cambria Math" w:hAnsi="Cambria Math"/>
                        <w:szCs w:val="20"/>
                        <w:lang w:val="cs-CZ"/>
                      </w:rPr>
                      <m:t>s</m:t>
                    </m:r>
                  </m:e>
                  <m:sup>
                    <m:r>
                      <w:rPr>
                        <w:rFonts w:ascii="Cambria Math" w:hAnsi="Cambria Math"/>
                        <w:szCs w:val="20"/>
                        <w:lang w:val="cs-CZ"/>
                      </w:rPr>
                      <m:t>2</m:t>
                    </m:r>
                  </m:sup>
                </m:sSup>
              </m:num>
              <m:den>
                <m:sSup>
                  <m:sSupPr>
                    <m:ctrlPr>
                      <w:rPr>
                        <w:rFonts w:ascii="Cambria Math" w:hAnsi="Cambria Math"/>
                        <w:i/>
                        <w:szCs w:val="20"/>
                        <w:lang w:val="cs-CZ"/>
                      </w:rPr>
                    </m:ctrlPr>
                  </m:sSupPr>
                  <m:e>
                    <m:r>
                      <w:rPr>
                        <w:rFonts w:ascii="Cambria Math" w:hAnsi="Cambria Math"/>
                        <w:szCs w:val="20"/>
                        <w:lang w:val="cs-CZ"/>
                      </w:rPr>
                      <m:t>m</m:t>
                    </m:r>
                  </m:e>
                  <m:sup>
                    <m:r>
                      <w:rPr>
                        <w:rFonts w:ascii="Cambria Math" w:hAnsi="Cambria Math"/>
                        <w:szCs w:val="20"/>
                        <w:lang w:val="cs-CZ"/>
                      </w:rPr>
                      <m:t>2</m:t>
                    </m:r>
                  </m:sup>
                </m:sSup>
              </m:den>
            </m:f>
          </m:e>
        </m:d>
      </m:oMath>
    </w:p>
    <w:p w:rsidR="003B6E11" w:rsidRPr="003B6E11" w:rsidRDefault="003B6E11" w:rsidP="003B6E11">
      <w:pPr>
        <w:tabs>
          <w:tab w:val="left" w:pos="992"/>
        </w:tabs>
        <w:overflowPunct w:val="0"/>
        <w:adjustRightInd w:val="0"/>
        <w:spacing w:line="240" w:lineRule="atLeast"/>
        <w:ind w:left="992" w:firstLine="1"/>
        <w:textAlignment w:val="baseline"/>
        <w:rPr>
          <w:lang w:val="cs-CZ"/>
        </w:rPr>
      </w:pPr>
    </w:p>
    <w:p w:rsidR="003B6E11" w:rsidRPr="003B6E11" w:rsidRDefault="002D015D" w:rsidP="003B6E11">
      <w:pPr>
        <w:tabs>
          <w:tab w:val="left" w:pos="992"/>
        </w:tabs>
        <w:overflowPunct w:val="0"/>
        <w:adjustRightInd w:val="0"/>
        <w:spacing w:line="240" w:lineRule="atLeast"/>
        <w:ind w:left="992" w:firstLine="1"/>
        <w:textAlignment w:val="baseline"/>
        <w:rPr>
          <w:lang w:val="cs-CZ"/>
        </w:rPr>
      </w:pPr>
      <m:oMathPara>
        <m:oMathParaPr>
          <m:jc m:val="left"/>
        </m:oMathParaP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v</m:t>
                  </m:r>
                </m:e>
                <m:sub>
                  <m:r>
                    <w:rPr>
                      <w:rFonts w:ascii="Cambria Math" w:hAnsi="Cambria Math"/>
                      <w:noProof/>
                      <w:lang w:val="cs-CZ"/>
                    </w:rPr>
                    <m:t>L</m:t>
                  </m:r>
                </m:sub>
              </m:sSub>
            </m:e>
            <m:sub>
              <m:r>
                <w:rPr>
                  <w:rFonts w:ascii="Cambria Math" w:hAnsi="Cambria Math"/>
                  <w:noProof/>
                  <w:lang w:val="cs-CZ"/>
                </w:rPr>
                <m:t>IST</m:t>
              </m:r>
            </m:sub>
          </m:sSub>
          <m:r>
            <w:rPr>
              <w:rFonts w:ascii="Cambria Math" w:hAnsi="Cambria Math"/>
              <w:noProof/>
              <w:lang w:val="cs-CZ"/>
            </w:rPr>
            <m:t xml:space="preserve">- </m:t>
          </m:r>
          <m:sSub>
            <m:sSubPr>
              <m:ctrlPr>
                <w:rPr>
                  <w:rFonts w:ascii="Cambria Math" w:hAnsi="Cambria Math"/>
                  <w:i/>
                  <w:noProof/>
                  <w:lang w:val="cs-CZ"/>
                </w:rPr>
              </m:ctrlPr>
            </m:sSubPr>
            <m:e>
              <m:r>
                <w:rPr>
                  <w:rFonts w:ascii="Cambria Math" w:hAnsi="Cambria Math"/>
                  <w:noProof/>
                  <w:lang w:val="cs-CZ"/>
                </w:rPr>
                <m:t>v</m:t>
              </m:r>
            </m:e>
            <m:sub>
              <m:sSub>
                <m:sSubPr>
                  <m:ctrlPr>
                    <w:rPr>
                      <w:rFonts w:ascii="Cambria Math" w:hAnsi="Cambria Math"/>
                      <w:i/>
                      <w:noProof/>
                      <w:lang w:val="cs-CZ"/>
                    </w:rPr>
                  </m:ctrlPr>
                </m:sSubPr>
                <m:e>
                  <m:r>
                    <w:rPr>
                      <w:rFonts w:ascii="Cambria Math" w:hAnsi="Cambria Math"/>
                      <w:noProof/>
                      <w:lang w:val="cs-CZ"/>
                    </w:rPr>
                    <m:t>STR</m:t>
                  </m:r>
                </m:e>
                <m:sub>
                  <m:r>
                    <w:rPr>
                      <w:rFonts w:ascii="Cambria Math" w:hAnsi="Cambria Math"/>
                      <w:noProof/>
                      <w:lang w:val="cs-CZ"/>
                    </w:rPr>
                    <m:t>IST</m:t>
                  </m:r>
                </m:sub>
              </m:sSub>
            </m:sub>
          </m:sSub>
          <m:r>
            <w:rPr>
              <w:rFonts w:ascii="Cambria Math" w:hAnsi="Cambria Math"/>
              <w:noProof/>
              <w:lang w:val="cs-CZ"/>
            </w:rPr>
            <m:t>=4,9-1,4=3,5 m/s</m:t>
          </m:r>
        </m:oMath>
      </m:oMathPara>
    </w:p>
    <w:p w:rsidR="003B6E11" w:rsidRPr="003B6E11" w:rsidRDefault="003B6E11" w:rsidP="003B6E11">
      <w:pPr>
        <w:tabs>
          <w:tab w:val="left" w:pos="992"/>
        </w:tabs>
        <w:overflowPunct w:val="0"/>
        <w:adjustRightInd w:val="0"/>
        <w:spacing w:line="240" w:lineRule="atLeast"/>
        <w:ind w:left="992" w:firstLine="1"/>
        <w:textAlignment w:val="baseline"/>
        <w:rPr>
          <w:lang w:val="cs-CZ"/>
        </w:rPr>
      </w:pPr>
    </w:p>
    <w:p w:rsidR="003B6E11" w:rsidRPr="003B6E11" w:rsidRDefault="002D015D" w:rsidP="003B6E11">
      <w:pPr>
        <w:tabs>
          <w:tab w:val="left" w:pos="992"/>
        </w:tabs>
        <w:overflowPunct w:val="0"/>
        <w:adjustRightInd w:val="0"/>
        <w:spacing w:line="240" w:lineRule="atLeast"/>
        <w:ind w:left="992" w:firstLine="1"/>
        <w:textAlignment w:val="baseline"/>
        <w:rPr>
          <w:szCs w:val="20"/>
          <w:lang w:val="cs-CZ"/>
        </w:rPr>
      </w:pPr>
      <m:oMathPara>
        <m:oMathParaPr>
          <m:jc m:val="left"/>
        </m:oMathParaP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R</m:t>
                  </m:r>
                </m:e>
                <m:sub>
                  <m:r>
                    <w:rPr>
                      <w:rFonts w:ascii="Cambria Math" w:hAnsi="Cambria Math"/>
                      <w:noProof/>
                      <w:lang w:val="cs-CZ"/>
                    </w:rPr>
                    <m:t>TmII</m:t>
                  </m:r>
                </m:sub>
              </m:sSub>
            </m:e>
            <m:sub>
              <m:r>
                <w:rPr>
                  <w:rFonts w:ascii="Cambria Math" w:hAnsi="Cambria Math"/>
                  <w:noProof/>
                  <w:lang w:val="cs-CZ"/>
                </w:rPr>
                <m:t>IST</m:t>
              </m:r>
            </m:sub>
          </m:sSub>
          <m:r>
            <w:rPr>
              <w:rFonts w:ascii="Cambria Math" w:hAnsi="Cambria Math"/>
              <w:noProof/>
              <w:lang w:val="cs-CZ"/>
            </w:rPr>
            <m:t xml:space="preserve">= </m:t>
          </m:r>
          <m:f>
            <m:fPr>
              <m:ctrlPr>
                <w:rPr>
                  <w:rFonts w:ascii="Cambria Math" w:hAnsi="Cambria Math"/>
                  <w:i/>
                  <w:noProof/>
                  <w:lang w:val="cs-CZ"/>
                </w:rPr>
              </m:ctrlPr>
            </m:fPr>
            <m:num>
              <m:sSub>
                <m:sSubPr>
                  <m:ctrlPr>
                    <w:rPr>
                      <w:rFonts w:ascii="Cambria Math" w:hAnsi="Cambria Math"/>
                      <w:i/>
                      <w:noProof/>
                      <w:lang w:val="cs-CZ"/>
                    </w:rPr>
                  </m:ctrlPr>
                </m:sSubPr>
                <m:e>
                  <m:r>
                    <w:rPr>
                      <w:rFonts w:ascii="Cambria Math" w:hAnsi="Cambria Math"/>
                      <w:noProof/>
                      <w:lang w:val="cs-CZ"/>
                    </w:rPr>
                    <m:t>R</m:t>
                  </m:r>
                </m:e>
                <m:sub>
                  <m:r>
                    <w:rPr>
                      <w:rFonts w:ascii="Cambria Math" w:hAnsi="Cambria Math"/>
                      <w:noProof/>
                      <w:lang w:val="cs-CZ"/>
                    </w:rPr>
                    <m:t>T</m:t>
                  </m:r>
                </m:sub>
              </m:sSub>
            </m:num>
            <m:den>
              <m:sSup>
                <m:sSupPr>
                  <m:ctrlPr>
                    <w:rPr>
                      <w:rFonts w:ascii="Cambria Math" w:hAnsi="Cambria Math"/>
                      <w:i/>
                      <w:noProof/>
                      <w:lang w:val="cs-CZ"/>
                    </w:rPr>
                  </m:ctrlPr>
                </m:sSupPr>
                <m:e>
                  <m:r>
                    <w:rPr>
                      <w:rFonts w:ascii="Cambria Math" w:hAnsi="Cambria Math"/>
                      <w:noProof/>
                      <w:lang w:val="cs-CZ"/>
                    </w:rPr>
                    <m:t>v</m:t>
                  </m:r>
                </m:e>
                <m:sup>
                  <m:r>
                    <w:rPr>
                      <w:rFonts w:ascii="Cambria Math" w:hAnsi="Cambria Math"/>
                      <w:noProof/>
                      <w:lang w:val="cs-CZ"/>
                    </w:rPr>
                    <m:t>2</m:t>
                  </m:r>
                </m:sup>
              </m:sSup>
            </m:den>
          </m:f>
          <m:r>
            <w:rPr>
              <w:rFonts w:ascii="Cambria Math" w:hAnsi="Cambria Math"/>
              <w:noProof/>
              <w:lang w:val="cs-CZ"/>
            </w:rPr>
            <m:t xml:space="preserve"> ∙ </m:t>
          </m:r>
          <m:sSup>
            <m:sSupPr>
              <m:ctrlPr>
                <w:rPr>
                  <w:rFonts w:ascii="Cambria Math" w:hAnsi="Cambria Math"/>
                  <w:i/>
                  <w:noProof/>
                  <w:lang w:val="cs-CZ"/>
                </w:rPr>
              </m:ctrlPr>
            </m:sSupPr>
            <m:e>
              <m:d>
                <m:dPr>
                  <m:ctrlPr>
                    <w:rPr>
                      <w:rFonts w:ascii="Cambria Math" w:hAnsi="Cambria Math"/>
                      <w:i/>
                      <w:noProof/>
                      <w:lang w:val="cs-CZ"/>
                    </w:rPr>
                  </m:ctrlPr>
                </m:dPr>
                <m:e>
                  <m:sSub>
                    <m:sSubPr>
                      <m:ctrlPr>
                        <w:rPr>
                          <w:rFonts w:ascii="Cambria Math" w:hAnsi="Cambria Math"/>
                          <w:i/>
                          <w:noProof/>
                          <w:lang w:val="cs-CZ"/>
                        </w:rPr>
                      </m:ctrlPr>
                    </m:sSubPr>
                    <m:e>
                      <m:r>
                        <w:rPr>
                          <w:rFonts w:ascii="Cambria Math" w:hAnsi="Cambria Math"/>
                          <w:noProof/>
                          <w:lang w:val="cs-CZ"/>
                        </w:rPr>
                        <m:t>k</m:t>
                      </m:r>
                    </m:e>
                    <m:sub>
                      <m:r>
                        <w:rPr>
                          <w:rFonts w:ascii="Cambria Math" w:hAnsi="Cambria Math"/>
                          <w:noProof/>
                          <w:lang w:val="cs-CZ"/>
                        </w:rPr>
                        <m:t>7</m:t>
                      </m:r>
                    </m:sub>
                  </m:sSub>
                  <m:r>
                    <w:rPr>
                      <w:rFonts w:ascii="Cambria Math" w:hAnsi="Cambria Math"/>
                      <w:noProof/>
                      <w:lang w:val="cs-CZ"/>
                    </w:rPr>
                    <m:t xml:space="preserve"> ∙ </m:t>
                  </m:r>
                  <m:sSub>
                    <m:sSubPr>
                      <m:ctrlPr>
                        <w:rPr>
                          <w:rFonts w:ascii="Cambria Math" w:hAnsi="Cambria Math"/>
                          <w:i/>
                          <w:noProof/>
                          <w:lang w:val="cs-CZ"/>
                        </w:rPr>
                      </m:ctrlPr>
                    </m:sSubPr>
                    <m:e>
                      <m:r>
                        <w:rPr>
                          <w:rFonts w:ascii="Cambria Math" w:hAnsi="Cambria Math"/>
                          <w:noProof/>
                          <w:lang w:val="cs-CZ"/>
                        </w:rPr>
                        <m:t>k</m:t>
                      </m:r>
                    </m:e>
                    <m:sub>
                      <m:r>
                        <w:rPr>
                          <w:rFonts w:ascii="Cambria Math" w:hAnsi="Cambria Math"/>
                          <w:noProof/>
                          <w:lang w:val="cs-CZ"/>
                        </w:rPr>
                        <m:t>6</m:t>
                      </m:r>
                    </m:sub>
                  </m:sSub>
                  <m:r>
                    <w:rPr>
                      <w:rFonts w:ascii="Cambria Math" w:hAnsi="Cambria Math"/>
                      <w:noProof/>
                      <w:lang w:val="cs-CZ"/>
                    </w:rPr>
                    <m:t xml:space="preserve"> ∙ </m:t>
                  </m:r>
                  <m:d>
                    <m:dPr>
                      <m:ctrlPr>
                        <w:rPr>
                          <w:rFonts w:ascii="Cambria Math" w:hAnsi="Cambria Math"/>
                          <w:i/>
                          <w:noProof/>
                          <w:lang w:val="cs-CZ"/>
                        </w:rPr>
                      </m:ctrlPr>
                    </m:dPr>
                    <m:e>
                      <m:sSub>
                        <m:sSubPr>
                          <m:ctrlPr>
                            <w:rPr>
                              <w:rFonts w:ascii="Cambria Math" w:hAnsi="Cambria Math"/>
                              <w:i/>
                              <w:noProof/>
                              <w:lang w:val="cs-CZ"/>
                            </w:rPr>
                          </m:ctrlPr>
                        </m:sSubPr>
                        <m:e>
                          <m:r>
                            <w:rPr>
                              <w:rFonts w:ascii="Cambria Math" w:hAnsi="Cambria Math"/>
                              <w:noProof/>
                              <w:lang w:val="cs-CZ"/>
                            </w:rPr>
                            <m:t>v</m:t>
                          </m:r>
                        </m:e>
                        <m:sub>
                          <m:sSub>
                            <m:sSubPr>
                              <m:ctrlPr>
                                <w:rPr>
                                  <w:rFonts w:ascii="Cambria Math" w:hAnsi="Cambria Math"/>
                                  <w:i/>
                                  <w:noProof/>
                                  <w:lang w:val="cs-CZ"/>
                                </w:rPr>
                              </m:ctrlPr>
                            </m:sSubPr>
                            <m:e>
                              <m:r>
                                <w:rPr>
                                  <w:rFonts w:ascii="Cambria Math" w:hAnsi="Cambria Math"/>
                                  <w:noProof/>
                                  <w:lang w:val="cs-CZ"/>
                                </w:rPr>
                                <m:t>L</m:t>
                              </m:r>
                            </m:e>
                            <m:sub>
                              <m:r>
                                <w:rPr>
                                  <w:rFonts w:ascii="Cambria Math" w:hAnsi="Cambria Math"/>
                                  <w:noProof/>
                                  <w:lang w:val="cs-CZ"/>
                                </w:rPr>
                                <m:t>IST</m:t>
                              </m:r>
                            </m:sub>
                          </m:sSub>
                        </m:sub>
                      </m:sSub>
                      <m:r>
                        <w:rPr>
                          <w:rFonts w:ascii="Cambria Math" w:hAnsi="Cambria Math"/>
                          <w:noProof/>
                          <w:lang w:val="cs-CZ"/>
                        </w:rPr>
                        <m:t xml:space="preserve">- </m:t>
                      </m:r>
                      <m:sSub>
                        <m:sSubPr>
                          <m:ctrlPr>
                            <w:rPr>
                              <w:rFonts w:ascii="Cambria Math" w:hAnsi="Cambria Math"/>
                              <w:i/>
                              <w:noProof/>
                              <w:lang w:val="cs-CZ"/>
                            </w:rPr>
                          </m:ctrlPr>
                        </m:sSubPr>
                        <m:e>
                          <m:r>
                            <w:rPr>
                              <w:rFonts w:ascii="Cambria Math" w:hAnsi="Cambria Math"/>
                              <w:noProof/>
                              <w:lang w:val="cs-CZ"/>
                            </w:rPr>
                            <m:t>v</m:t>
                          </m:r>
                        </m:e>
                        <m:sub>
                          <m:sSub>
                            <m:sSubPr>
                              <m:ctrlPr>
                                <w:rPr>
                                  <w:rFonts w:ascii="Cambria Math" w:hAnsi="Cambria Math"/>
                                  <w:i/>
                                  <w:noProof/>
                                  <w:lang w:val="cs-CZ"/>
                                </w:rPr>
                              </m:ctrlPr>
                            </m:sSubPr>
                            <m:e>
                              <m:r>
                                <w:rPr>
                                  <w:rFonts w:ascii="Cambria Math" w:hAnsi="Cambria Math"/>
                                  <w:noProof/>
                                  <w:lang w:val="cs-CZ"/>
                                </w:rPr>
                                <m:t>STR</m:t>
                              </m:r>
                            </m:e>
                            <m:sub>
                              <m:r>
                                <w:rPr>
                                  <w:rFonts w:ascii="Cambria Math" w:hAnsi="Cambria Math"/>
                                  <w:noProof/>
                                  <w:lang w:val="cs-CZ"/>
                                </w:rPr>
                                <m:t>IST</m:t>
                              </m:r>
                            </m:sub>
                          </m:sSub>
                        </m:sub>
                      </m:sSub>
                    </m:e>
                  </m:d>
                </m:e>
              </m:d>
            </m:e>
            <m:sup>
              <m:r>
                <w:rPr>
                  <w:rFonts w:ascii="Cambria Math" w:hAnsi="Cambria Math"/>
                  <w:noProof/>
                  <w:lang w:val="cs-CZ"/>
                </w:rPr>
                <m:t>2</m:t>
              </m:r>
            </m:sup>
          </m:sSup>
          <m:r>
            <w:rPr>
              <w:rFonts w:ascii="Cambria Math" w:hAnsi="Cambria Math"/>
              <w:noProof/>
              <w:lang w:val="cs-CZ"/>
            </w:rPr>
            <m:t xml:space="preserve">= 10,8 ∙ </m:t>
          </m:r>
          <m:sSup>
            <m:sSupPr>
              <m:ctrlPr>
                <w:rPr>
                  <w:rFonts w:ascii="Cambria Math" w:hAnsi="Cambria Math"/>
                  <w:i/>
                  <w:noProof/>
                  <w:lang w:val="cs-CZ"/>
                </w:rPr>
              </m:ctrlPr>
            </m:sSupPr>
            <m:e>
              <m:d>
                <m:dPr>
                  <m:ctrlPr>
                    <w:rPr>
                      <w:rFonts w:ascii="Cambria Math" w:hAnsi="Cambria Math"/>
                      <w:i/>
                      <w:noProof/>
                      <w:lang w:val="cs-CZ"/>
                    </w:rPr>
                  </m:ctrlPr>
                </m:dPr>
                <m:e>
                  <m:r>
                    <w:rPr>
                      <w:rFonts w:ascii="Cambria Math" w:hAnsi="Cambria Math"/>
                      <w:noProof/>
                      <w:lang w:val="cs-CZ"/>
                    </w:rPr>
                    <m:t>0,55 ∙0,85 ∙3,5</m:t>
                  </m:r>
                </m:e>
              </m:d>
            </m:e>
            <m:sup>
              <m:r>
                <w:rPr>
                  <w:rFonts w:ascii="Cambria Math" w:hAnsi="Cambria Math"/>
                  <w:noProof/>
                  <w:lang w:val="cs-CZ"/>
                </w:rPr>
                <m:t>2</m:t>
              </m:r>
            </m:sup>
          </m:sSup>
          <m:r>
            <w:rPr>
              <w:rFonts w:ascii="Cambria Math" w:hAnsi="Cambria Math"/>
              <w:noProof/>
              <w:lang w:val="cs-CZ"/>
            </w:rPr>
            <m:t>=</m:t>
          </m:r>
          <m:r>
            <m:rPr>
              <m:sty m:val="bi"/>
            </m:rPr>
            <w:rPr>
              <w:rFonts w:ascii="Cambria Math" w:hAnsi="Cambria Math"/>
              <w:noProof/>
              <w:lang w:val="cs-CZ"/>
            </w:rPr>
            <m:t xml:space="preserve">28,8 </m:t>
          </m:r>
          <m:d>
            <m:dPr>
              <m:begChr m:val="["/>
              <m:endChr m:val="]"/>
              <m:ctrlPr>
                <w:rPr>
                  <w:rFonts w:ascii="Cambria Math" w:hAnsi="Cambria Math"/>
                  <w:b/>
                  <w:i/>
                  <w:noProof/>
                  <w:lang w:val="cs-CZ"/>
                </w:rPr>
              </m:ctrlPr>
            </m:dPr>
            <m:e>
              <m:r>
                <m:rPr>
                  <m:sty m:val="bi"/>
                </m:rPr>
                <w:rPr>
                  <w:rFonts w:ascii="Cambria Math" w:hAnsi="Cambria Math"/>
                  <w:noProof/>
                  <w:lang w:val="cs-CZ"/>
                </w:rPr>
                <m:t>kN</m:t>
              </m:r>
            </m:e>
          </m:d>
        </m:oMath>
      </m:oMathPara>
    </w:p>
    <w:p w:rsidR="003B6E11" w:rsidRPr="003B6E11" w:rsidRDefault="003B6E11" w:rsidP="003B6E11">
      <w:pPr>
        <w:tabs>
          <w:tab w:val="left" w:pos="284"/>
          <w:tab w:val="left" w:pos="454"/>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284"/>
          <w:tab w:val="left" w:pos="454"/>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284"/>
          <w:tab w:val="left" w:pos="454"/>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284"/>
          <w:tab w:val="left" w:pos="454"/>
        </w:tabs>
        <w:overflowPunct w:val="0"/>
        <w:adjustRightInd w:val="0"/>
        <w:spacing w:line="240" w:lineRule="exact"/>
        <w:ind w:left="284" w:hanging="284"/>
        <w:textAlignment w:val="baseline"/>
        <w:rPr>
          <w:szCs w:val="20"/>
          <w:lang w:val="cs-CZ"/>
        </w:rPr>
      </w:pPr>
      <w:r w:rsidRPr="003B6E11">
        <w:rPr>
          <w:lang w:val="cs-CZ"/>
        </w:rPr>
        <w:br w:type="page"/>
      </w:r>
    </w:p>
    <w:p w:rsidR="003B6E11" w:rsidRPr="003B6E11" w:rsidRDefault="003B6E11" w:rsidP="003B6E11">
      <w:pPr>
        <w:tabs>
          <w:tab w:val="left" w:pos="992"/>
        </w:tabs>
        <w:overflowPunct w:val="0"/>
        <w:adjustRightInd w:val="0"/>
        <w:spacing w:line="240" w:lineRule="atLeast"/>
        <w:ind w:left="992"/>
        <w:textAlignment w:val="baseline"/>
        <w:rPr>
          <w:szCs w:val="20"/>
          <w:lang w:val="cs-CZ"/>
        </w:rPr>
      </w:pPr>
      <w:r w:rsidRPr="003B6E11">
        <w:rPr>
          <w:lang w:val="cs-CZ"/>
        </w:rPr>
        <w:t>d)</w:t>
      </w:r>
      <w:r w:rsidRPr="003B6E11">
        <w:rPr>
          <w:lang w:val="cs-CZ"/>
        </w:rPr>
        <w:tab/>
        <w:t xml:space="preserve">Výpočet odporu sklonu </w:t>
      </w:r>
      <m:oMath>
        <m:sSub>
          <m:sSubPr>
            <m:ctrlPr>
              <w:rPr>
                <w:rFonts w:ascii="Cambria Math" w:hAnsi="Cambria Math"/>
                <w:i/>
                <w:sz w:val="16"/>
                <w:szCs w:val="20"/>
                <w:lang w:val="cs-CZ"/>
              </w:rPr>
            </m:ctrlPr>
          </m:sSubPr>
          <m:e>
            <m:r>
              <w:rPr>
                <w:rFonts w:ascii="Cambria Math" w:hAnsi="Cambria Math"/>
                <w:sz w:val="16"/>
                <w:szCs w:val="20"/>
                <w:lang w:val="cs-CZ"/>
              </w:rPr>
              <m:t>R</m:t>
            </m:r>
          </m:e>
          <m:sub>
            <m:r>
              <w:rPr>
                <w:rFonts w:ascii="Cambria Math" w:hAnsi="Cambria Math"/>
                <w:sz w:val="16"/>
                <w:szCs w:val="20"/>
                <w:lang w:val="cs-CZ"/>
              </w:rPr>
              <m:t>G</m:t>
            </m:r>
          </m:sub>
        </m:sSub>
      </m:oMath>
      <w:r w:rsidRPr="003B6E11">
        <w:rPr>
          <w:lang w:val="cs-CZ"/>
        </w:rPr>
        <w:t xml:space="preserve"> podle vzorce (4.4)</w:t>
      </w:r>
    </w:p>
    <w:p w:rsidR="003B6E11" w:rsidRPr="003B6E11" w:rsidRDefault="003B6E11" w:rsidP="003B6E11">
      <w:pPr>
        <w:tabs>
          <w:tab w:val="left" w:pos="992"/>
        </w:tabs>
        <w:overflowPunct w:val="0"/>
        <w:adjustRightInd w:val="0"/>
        <w:spacing w:line="240" w:lineRule="atLeast"/>
        <w:ind w:left="992"/>
        <w:textAlignment w:val="baseline"/>
        <w:rPr>
          <w:szCs w:val="20"/>
          <w:lang w:val="cs-CZ"/>
        </w:rPr>
      </w:pPr>
    </w:p>
    <w:p w:rsidR="003B6E11" w:rsidRPr="003B6E11" w:rsidRDefault="002D015D" w:rsidP="003B6E11">
      <w:pPr>
        <w:overflowPunct w:val="0"/>
        <w:adjustRightInd w:val="0"/>
        <w:spacing w:line="240" w:lineRule="atLeast"/>
        <w:ind w:left="993" w:hanging="1"/>
        <w:textAlignment w:val="baseline"/>
        <w:rPr>
          <w:szCs w:val="20"/>
          <w:lang w:val="cs-CZ"/>
        </w:rPr>
      </w:pPr>
      <m:oMathPara>
        <m:oMathParaPr>
          <m:jc m:val="left"/>
        </m:oMathParaPr>
        <m:oMath>
          <m:sSub>
            <m:sSubPr>
              <m:ctrlPr>
                <w:rPr>
                  <w:rFonts w:ascii="Cambria Math" w:hAnsi="Cambria Math"/>
                  <w:i/>
                  <w:sz w:val="16"/>
                  <w:szCs w:val="20"/>
                  <w:lang w:val="cs-CZ"/>
                </w:rPr>
              </m:ctrlPr>
            </m:sSubPr>
            <m:e>
              <m:r>
                <w:rPr>
                  <w:rFonts w:ascii="Cambria Math" w:hAnsi="Cambria Math"/>
                  <w:sz w:val="16"/>
                  <w:szCs w:val="20"/>
                  <w:lang w:val="cs-CZ"/>
                </w:rPr>
                <m:t>R</m:t>
              </m:r>
            </m:e>
            <m:sub>
              <m:r>
                <w:rPr>
                  <w:rFonts w:ascii="Cambria Math" w:hAnsi="Cambria Math"/>
                  <w:sz w:val="16"/>
                  <w:szCs w:val="20"/>
                  <w:lang w:val="cs-CZ"/>
                </w:rPr>
                <m:t>G</m:t>
              </m:r>
            </m:sub>
          </m:sSub>
          <m:r>
            <w:rPr>
              <w:rFonts w:ascii="Cambria Math" w:hAnsi="Cambria Math"/>
              <w:sz w:val="16"/>
              <w:szCs w:val="20"/>
              <w:lang w:val="cs-CZ"/>
            </w:rPr>
            <m:t xml:space="preserve"> </m:t>
          </m:r>
          <m:r>
            <w:rPr>
              <w:rFonts w:ascii="Cambria Math" w:hAnsi="Cambria Math"/>
              <w:szCs w:val="20"/>
              <w:lang w:val="cs-CZ"/>
            </w:rPr>
            <m:t xml:space="preserve">= </m:t>
          </m:r>
          <m:sSup>
            <m:sSupPr>
              <m:ctrlPr>
                <w:rPr>
                  <w:rFonts w:ascii="Cambria Math" w:hAnsi="Cambria Math"/>
                  <w:i/>
                  <w:szCs w:val="20"/>
                  <w:lang w:val="cs-CZ"/>
                </w:rPr>
              </m:ctrlPr>
            </m:sSupPr>
            <m:e>
              <m:r>
                <w:rPr>
                  <w:rFonts w:ascii="Cambria Math" w:hAnsi="Cambria Math"/>
                  <w:szCs w:val="20"/>
                  <w:lang w:val="cs-CZ"/>
                </w:rPr>
                <m:t>10</m:t>
              </m:r>
            </m:e>
            <m:sup>
              <m:r>
                <w:rPr>
                  <w:rFonts w:ascii="Cambria Math" w:hAnsi="Cambria Math"/>
                  <w:szCs w:val="20"/>
                  <w:lang w:val="cs-CZ"/>
                </w:rPr>
                <m:t>-6</m:t>
              </m:r>
            </m:sup>
          </m:sSup>
          <m:r>
            <w:rPr>
              <w:rFonts w:ascii="Cambria Math" w:hAnsi="Cambria Math"/>
              <w:szCs w:val="20"/>
              <w:lang w:val="cs-CZ"/>
            </w:rPr>
            <m:t xml:space="preserve"> ∙ </m:t>
          </m:r>
          <m:d>
            <m:dPr>
              <m:ctrlPr>
                <w:rPr>
                  <w:rFonts w:ascii="Cambria Math" w:hAnsi="Cambria Math"/>
                  <w:i/>
                  <w:szCs w:val="20"/>
                  <w:lang w:val="cs-CZ"/>
                </w:rPr>
              </m:ctrlPr>
            </m:dPr>
            <m:e>
              <m:r>
                <w:rPr>
                  <w:rFonts w:ascii="Cambria Math" w:hAnsi="Cambria Math"/>
                  <w:szCs w:val="20"/>
                  <w:lang w:val="cs-CZ"/>
                </w:rPr>
                <m:t xml:space="preserve">0,16 ∙ </m:t>
              </m:r>
              <m:sSub>
                <m:sSubPr>
                  <m:ctrlPr>
                    <w:rPr>
                      <w:rFonts w:ascii="Cambria Math" w:hAnsi="Cambria Math"/>
                      <w:i/>
                      <w:szCs w:val="20"/>
                      <w:lang w:val="cs-CZ"/>
                    </w:rPr>
                  </m:ctrlPr>
                </m:sSubPr>
                <m:e>
                  <m:r>
                    <w:rPr>
                      <w:rFonts w:ascii="Cambria Math" w:hAnsi="Cambria Math"/>
                      <w:szCs w:val="20"/>
                      <w:lang w:val="cs-CZ"/>
                    </w:rPr>
                    <m:t>D</m:t>
                  </m:r>
                </m:e>
                <m:sub>
                  <m:r>
                    <w:rPr>
                      <w:rFonts w:ascii="Cambria Math" w:hAnsi="Cambria Math"/>
                      <w:szCs w:val="20"/>
                      <w:lang w:val="cs-CZ"/>
                    </w:rPr>
                    <m:t>IST</m:t>
                  </m:r>
                </m:sub>
              </m:sSub>
              <m:r>
                <w:rPr>
                  <w:rFonts w:ascii="Cambria Math" w:hAnsi="Cambria Math"/>
                  <w:szCs w:val="20"/>
                  <w:lang w:val="cs-CZ"/>
                </w:rPr>
                <m:t xml:space="preserve"> ∙ ρ ∙g</m:t>
              </m:r>
            </m:e>
          </m:d>
          <m:r>
            <w:rPr>
              <w:rFonts w:ascii="Cambria Math" w:hAnsi="Cambria Math"/>
              <w:szCs w:val="20"/>
              <w:lang w:val="cs-CZ"/>
            </w:rPr>
            <m:t>=</m:t>
          </m:r>
          <m:sSup>
            <m:sSupPr>
              <m:ctrlPr>
                <w:rPr>
                  <w:rFonts w:ascii="Cambria Math" w:hAnsi="Cambria Math"/>
                  <w:i/>
                  <w:szCs w:val="20"/>
                  <w:lang w:val="cs-CZ"/>
                </w:rPr>
              </m:ctrlPr>
            </m:sSupPr>
            <m:e>
              <m:r>
                <w:rPr>
                  <w:rFonts w:ascii="Cambria Math" w:hAnsi="Cambria Math"/>
                  <w:szCs w:val="20"/>
                  <w:lang w:val="cs-CZ"/>
                </w:rPr>
                <m:t>10</m:t>
              </m:r>
            </m:e>
            <m:sup>
              <m:r>
                <w:rPr>
                  <w:rFonts w:ascii="Cambria Math" w:hAnsi="Cambria Math"/>
                  <w:szCs w:val="20"/>
                  <w:lang w:val="cs-CZ"/>
                </w:rPr>
                <m:t>-6</m:t>
              </m:r>
            </m:sup>
          </m:sSup>
          <m:r>
            <w:rPr>
              <w:rFonts w:ascii="Cambria Math" w:hAnsi="Cambria Math"/>
              <w:szCs w:val="20"/>
              <w:lang w:val="cs-CZ"/>
            </w:rPr>
            <m:t xml:space="preserve"> ∙(0,16 ∙</m:t>
          </m:r>
          <m:r>
            <m:rPr>
              <m:sty m:val="bi"/>
            </m:rPr>
            <w:rPr>
              <w:rFonts w:ascii="Cambria Math" w:hAnsi="Cambria Math"/>
              <w:position w:val="6"/>
              <w:szCs w:val="20"/>
              <w:lang w:val="cs-CZ"/>
            </w:rPr>
            <m:t xml:space="preserve"> </m:t>
          </m:r>
          <m:r>
            <w:rPr>
              <w:rFonts w:ascii="Cambria Math" w:hAnsi="Cambria Math"/>
              <w:szCs w:val="20"/>
              <w:lang w:val="cs-CZ"/>
            </w:rPr>
            <m:t xml:space="preserve">5179 ∙ 1000 ∙ 9,81)= </m:t>
          </m:r>
          <m:r>
            <m:rPr>
              <m:sty m:val="bi"/>
            </m:rPr>
            <w:rPr>
              <w:rFonts w:ascii="Cambria Math" w:hAnsi="Cambria Math"/>
              <w:szCs w:val="20"/>
              <w:u w:val="single"/>
              <w:lang w:val="cs-CZ"/>
            </w:rPr>
            <m:t>8,13</m:t>
          </m:r>
          <m:r>
            <m:rPr>
              <m:sty m:val="bi"/>
            </m:rPr>
            <w:rPr>
              <w:rFonts w:ascii="Cambria Math" w:hAnsi="Cambria Math"/>
              <w:szCs w:val="20"/>
              <w:lang w:val="cs-CZ"/>
            </w:rPr>
            <m:t xml:space="preserve">  [kN]</m:t>
          </m:r>
        </m:oMath>
      </m:oMathPara>
    </w:p>
    <w:p w:rsidR="003B6E11" w:rsidRPr="003B6E11" w:rsidRDefault="003B6E11" w:rsidP="003B6E11">
      <w:pPr>
        <w:tabs>
          <w:tab w:val="left" w:pos="284"/>
          <w:tab w:val="left" w:pos="454"/>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992"/>
        </w:tabs>
        <w:overflowPunct w:val="0"/>
        <w:adjustRightInd w:val="0"/>
        <w:spacing w:line="240" w:lineRule="atLeast"/>
        <w:ind w:left="992"/>
        <w:textAlignment w:val="baseline"/>
        <w:rPr>
          <w:szCs w:val="20"/>
          <w:lang w:val="cs-CZ"/>
        </w:rPr>
      </w:pPr>
      <w:r w:rsidRPr="003B6E11">
        <w:rPr>
          <w:lang w:val="cs-CZ"/>
        </w:rPr>
        <w:t>e)</w:t>
      </w:r>
      <w:r w:rsidRPr="003B6E11">
        <w:rPr>
          <w:lang w:val="cs-CZ"/>
        </w:rPr>
        <w:tab/>
        <w:t xml:space="preserve">Výpočet </w:t>
      </w:r>
      <m:oMath>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IST</m:t>
                </m:r>
              </m:sub>
            </m:sSub>
          </m:sub>
        </m:sSub>
      </m:oMath>
      <w:r w:rsidRPr="003B6E11">
        <w:rPr>
          <w:lang w:val="cs-CZ"/>
        </w:rPr>
        <w:t xml:space="preserve"> podle vzorce (4.5)</w:t>
      </w:r>
    </w:p>
    <w:p w:rsidR="003B6E11" w:rsidRPr="003B6E11" w:rsidRDefault="003B6E11" w:rsidP="003B6E11">
      <w:pPr>
        <w:overflowPunct w:val="0"/>
        <w:adjustRightInd w:val="0"/>
        <w:spacing w:line="240" w:lineRule="atLeast"/>
        <w:ind w:left="992"/>
        <w:textAlignment w:val="baseline"/>
        <w:rPr>
          <w:szCs w:val="20"/>
          <w:lang w:val="cs-CZ"/>
        </w:rPr>
      </w:pPr>
    </w:p>
    <w:p w:rsidR="003B6E11" w:rsidRPr="003B6E11" w:rsidRDefault="002D015D" w:rsidP="003B6E11">
      <w:pPr>
        <w:overflowPunct w:val="0"/>
        <w:adjustRightInd w:val="0"/>
        <w:spacing w:line="240" w:lineRule="atLeast"/>
        <w:ind w:left="992"/>
        <w:textAlignment w:val="baseline"/>
        <w:rPr>
          <w:szCs w:val="20"/>
          <w:lang w:val="cs-CZ"/>
        </w:rPr>
      </w:pPr>
      <m:oMathPara>
        <m:oMathParaPr>
          <m:jc m:val="left"/>
        </m:oMathParaPr>
        <m:oMath>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IST</m:t>
                  </m:r>
                </m:sub>
              </m:sSub>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6</m:t>
              </m:r>
            </m:sub>
          </m:sSub>
          <m:r>
            <w:rPr>
              <w:rFonts w:ascii="Cambria Math" w:hAnsi="Cambria Math"/>
              <w:szCs w:val="20"/>
              <w:lang w:val="cs-CZ"/>
            </w:rPr>
            <m:t xml:space="preserve"> ∙  </m:t>
          </m:r>
          <m:d>
            <m:dPr>
              <m:ctrlPr>
                <w:rPr>
                  <w:rFonts w:ascii="Cambria Math" w:hAnsi="Cambria Math"/>
                  <w:i/>
                  <w:szCs w:val="20"/>
                  <w:lang w:val="cs-CZ"/>
                </w:rPr>
              </m:ctrlPr>
            </m:dPr>
            <m:e>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L</m:t>
                      </m:r>
                    </m:e>
                    <m:sub>
                      <m:r>
                        <w:rPr>
                          <w:rFonts w:ascii="Cambria Math" w:hAnsi="Cambria Math"/>
                          <w:szCs w:val="20"/>
                          <w:lang w:val="cs-CZ"/>
                        </w:rPr>
                        <m:t>IST</m:t>
                      </m:r>
                    </m:sub>
                  </m:sSub>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STR</m:t>
                      </m:r>
                    </m:e>
                    <m:sub>
                      <m:r>
                        <w:rPr>
                          <w:rFonts w:ascii="Cambria Math" w:hAnsi="Cambria Math"/>
                          <w:szCs w:val="20"/>
                          <w:lang w:val="cs-CZ"/>
                        </w:rPr>
                        <m:t>IST</m:t>
                      </m:r>
                    </m:sub>
                  </m:sSub>
                </m:sub>
              </m:sSub>
            </m:e>
          </m:d>
          <m:r>
            <w:rPr>
              <w:rFonts w:ascii="Cambria Math" w:hAnsi="Cambria Math"/>
              <w:szCs w:val="20"/>
              <w:lang w:val="cs-CZ"/>
            </w:rPr>
            <m:t xml:space="preserve">= </m:t>
          </m:r>
          <m:d>
            <m:dPr>
              <m:ctrlPr>
                <w:rPr>
                  <w:rFonts w:ascii="Cambria Math" w:hAnsi="Cambria Math"/>
                  <w:i/>
                  <w:szCs w:val="20"/>
                  <w:lang w:val="cs-CZ"/>
                </w:rPr>
              </m:ctrlPr>
            </m:dPr>
            <m:e>
              <m:r>
                <w:rPr>
                  <w:rFonts w:ascii="Cambria Math" w:hAnsi="Cambria Math"/>
                  <w:szCs w:val="20"/>
                  <w:lang w:val="cs-CZ"/>
                </w:rPr>
                <m:t>0,85 ∙3,5</m:t>
              </m:r>
            </m:e>
          </m:d>
          <m:r>
            <w:rPr>
              <w:rFonts w:ascii="Cambria Math" w:hAnsi="Cambria Math"/>
              <w:szCs w:val="20"/>
              <w:lang w:val="cs-CZ"/>
            </w:rPr>
            <m:t xml:space="preserve">=2,97 </m:t>
          </m:r>
          <m:d>
            <m:dPr>
              <m:begChr m:val="["/>
              <m:endChr m:val="]"/>
              <m:ctrlPr>
                <w:rPr>
                  <w:rFonts w:ascii="Cambria Math" w:hAnsi="Cambria Math"/>
                  <w:i/>
                  <w:szCs w:val="20"/>
                  <w:lang w:val="cs-CZ"/>
                </w:rPr>
              </m:ctrlPr>
            </m:dPr>
            <m:e>
              <m:r>
                <w:rPr>
                  <w:rFonts w:ascii="Cambria Math" w:hAnsi="Cambria Math"/>
                  <w:szCs w:val="20"/>
                  <w:lang w:val="cs-CZ"/>
                </w:rPr>
                <m:t>m/s</m:t>
              </m:r>
            </m:e>
          </m:d>
        </m:oMath>
      </m:oMathPara>
    </w:p>
    <w:p w:rsidR="003B6E11" w:rsidRPr="003B6E11" w:rsidRDefault="003B6E11" w:rsidP="003B6E11">
      <w:pPr>
        <w:overflowPunct w:val="0"/>
        <w:adjustRightInd w:val="0"/>
        <w:spacing w:line="240" w:lineRule="exact"/>
        <w:ind w:left="993"/>
        <w:textAlignment w:val="baseline"/>
        <w:rPr>
          <w:szCs w:val="20"/>
          <w:lang w:val="cs-CZ"/>
        </w:rPr>
      </w:pPr>
    </w:p>
    <w:p w:rsidR="003B6E11" w:rsidRPr="003B6E11" w:rsidRDefault="002D015D" w:rsidP="003B6E11">
      <w:pPr>
        <w:overflowPunct w:val="0"/>
        <w:adjustRightInd w:val="0"/>
        <w:spacing w:line="240" w:lineRule="atLeast"/>
        <w:ind w:left="993" w:hanging="1"/>
        <w:textAlignment w:val="baseline"/>
        <w:rPr>
          <w:szCs w:val="20"/>
          <w:lang w:val="cs-CZ"/>
        </w:rPr>
      </w:pPr>
      <m:oMathPara>
        <m:oMathParaPr>
          <m:jc m:val="left"/>
        </m:oMathParaPr>
        <m:oMath>
          <m:sSub>
            <m:sSubPr>
              <m:ctrlPr>
                <w:rPr>
                  <w:rFonts w:ascii="Cambria Math" w:hAnsi="Cambria Math"/>
                  <w:i/>
                  <w:szCs w:val="20"/>
                  <w:lang w:val="cs-CZ"/>
                </w:rPr>
              </m:ctrlPr>
            </m:sSubPr>
            <m:e>
              <m:sSup>
                <m:sSupPr>
                  <m:ctrlPr>
                    <w:rPr>
                      <w:rFonts w:ascii="Cambria Math" w:hAnsi="Cambria Math"/>
                      <w:i/>
                      <w:szCs w:val="20"/>
                      <w:lang w:val="cs-CZ"/>
                    </w:rPr>
                  </m:ctrlPr>
                </m:sSupPr>
                <m:e>
                  <m:r>
                    <w:rPr>
                      <w:rFonts w:ascii="Cambria Math" w:hAnsi="Cambria Math"/>
                      <w:szCs w:val="20"/>
                      <w:lang w:val="cs-CZ"/>
                    </w:rPr>
                    <m:t>v</m:t>
                  </m:r>
                </m:e>
                <m:sup>
                  <m:r>
                    <w:rPr>
                      <w:rFonts w:ascii="Cambria Math" w:hAnsi="Cambria Math"/>
                      <w:szCs w:val="20"/>
                      <w:lang w:val="cs-CZ"/>
                    </w:rPr>
                    <m:t>2</m:t>
                  </m:r>
                </m:sup>
              </m:sSup>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IST</m:t>
                  </m:r>
                </m:sub>
              </m:sSub>
            </m:sub>
          </m:sSub>
          <m:r>
            <w:rPr>
              <w:rFonts w:ascii="Cambria Math" w:hAnsi="Cambria Math"/>
              <w:szCs w:val="20"/>
              <w:lang w:val="cs-CZ"/>
            </w:rPr>
            <m:t xml:space="preserve">=8,85 </m:t>
          </m:r>
          <m:sSup>
            <m:sSupPr>
              <m:ctrlPr>
                <w:rPr>
                  <w:rFonts w:ascii="Cambria Math" w:hAnsi="Cambria Math"/>
                  <w:i/>
                  <w:szCs w:val="20"/>
                  <w:lang w:val="cs-CZ"/>
                </w:rPr>
              </m:ctrlPr>
            </m:sSupPr>
            <m:e>
              <m:d>
                <m:dPr>
                  <m:begChr m:val="["/>
                  <m:endChr m:val="]"/>
                  <m:ctrlPr>
                    <w:rPr>
                      <w:rFonts w:ascii="Cambria Math" w:hAnsi="Cambria Math"/>
                      <w:i/>
                      <w:szCs w:val="20"/>
                      <w:lang w:val="cs-CZ"/>
                    </w:rPr>
                  </m:ctrlPr>
                </m:dPr>
                <m:e>
                  <m:r>
                    <w:rPr>
                      <w:rFonts w:ascii="Cambria Math" w:hAnsi="Cambria Math"/>
                      <w:szCs w:val="20"/>
                      <w:lang w:val="cs-CZ"/>
                    </w:rPr>
                    <m:t>m/s</m:t>
                  </m:r>
                </m:e>
              </m:d>
            </m:e>
            <m:sup>
              <m:r>
                <w:rPr>
                  <w:rFonts w:ascii="Cambria Math" w:hAnsi="Cambria Math"/>
                  <w:szCs w:val="20"/>
                  <w:lang w:val="cs-CZ"/>
                </w:rPr>
                <m:t>2</m:t>
              </m:r>
            </m:sup>
          </m:sSup>
        </m:oMath>
      </m:oMathPara>
    </w:p>
    <w:p w:rsidR="003B6E11" w:rsidRPr="003B6E11" w:rsidRDefault="003B6E11" w:rsidP="003B6E11">
      <w:pPr>
        <w:tabs>
          <w:tab w:val="left" w:pos="1418"/>
        </w:tabs>
        <w:overflowPunct w:val="0"/>
        <w:adjustRightInd w:val="0"/>
        <w:spacing w:line="240" w:lineRule="atLeast"/>
        <w:ind w:left="1417"/>
        <w:textAlignment w:val="baseline"/>
        <w:rPr>
          <w:szCs w:val="20"/>
          <w:lang w:val="cs-CZ"/>
        </w:rPr>
      </w:pPr>
    </w:p>
    <w:p w:rsidR="003B6E11" w:rsidRPr="003B6E11" w:rsidRDefault="003B6E11" w:rsidP="003B6E11">
      <w:pPr>
        <w:tabs>
          <w:tab w:val="left" w:pos="992"/>
        </w:tabs>
        <w:overflowPunct w:val="0"/>
        <w:adjustRightInd w:val="0"/>
        <w:spacing w:line="240" w:lineRule="atLeast"/>
        <w:ind w:left="992"/>
        <w:textAlignment w:val="baseline"/>
        <w:rPr>
          <w:szCs w:val="20"/>
          <w:lang w:val="cs-CZ"/>
        </w:rPr>
      </w:pPr>
      <w:r w:rsidRPr="003B6E11">
        <w:rPr>
          <w:lang w:val="cs-CZ"/>
        </w:rPr>
        <w:t>f)</w:t>
      </w:r>
      <w:r w:rsidRPr="003B6E11">
        <w:rPr>
          <w:lang w:val="cs-CZ"/>
        </w:rPr>
        <w:tab/>
        <w:t xml:space="preserve">Výpočet </w:t>
      </w:r>
      <m:oMath>
        <m:sSub>
          <m:sSubPr>
            <m:ctrlPr>
              <w:rPr>
                <w:rFonts w:ascii="Cambria Math" w:hAnsi="Cambria Math"/>
                <w:i/>
                <w:szCs w:val="20"/>
                <w:lang w:val="cs-CZ"/>
              </w:rPr>
            </m:ctrlPr>
          </m:sSubPr>
          <m:e>
            <m:r>
              <w:rPr>
                <w:rFonts w:ascii="Cambria Math" w:hAnsi="Cambria Math"/>
                <w:szCs w:val="20"/>
                <w:lang w:val="cs-CZ"/>
              </w:rPr>
              <m:t>F</m:t>
            </m:r>
          </m:e>
          <m:sub>
            <m:r>
              <w:rPr>
                <w:rFonts w:ascii="Cambria Math" w:hAnsi="Cambria Math"/>
                <w:szCs w:val="20"/>
                <w:lang w:val="cs-CZ"/>
              </w:rPr>
              <m:t>POR</m:t>
            </m:r>
          </m:sub>
        </m:sSub>
      </m:oMath>
      <w:r w:rsidRPr="003B6E11">
        <w:rPr>
          <w:lang w:val="cs-CZ"/>
        </w:rPr>
        <w:t xml:space="preserve"> podle vzorce (4.6) a tabulky 2</w:t>
      </w:r>
    </w:p>
    <w:p w:rsidR="003B6E11" w:rsidRPr="003B6E11" w:rsidRDefault="003B6E11" w:rsidP="003B6E11">
      <w:pPr>
        <w:tabs>
          <w:tab w:val="left" w:pos="284"/>
          <w:tab w:val="left" w:pos="454"/>
        </w:tabs>
        <w:overflowPunct w:val="0"/>
        <w:adjustRightInd w:val="0"/>
        <w:spacing w:line="240" w:lineRule="exact"/>
        <w:ind w:left="284" w:hanging="284"/>
        <w:textAlignment w:val="baseline"/>
        <w:rPr>
          <w:szCs w:val="20"/>
          <w:lang w:val="cs-CZ"/>
        </w:rPr>
      </w:pPr>
    </w:p>
    <w:p w:rsidR="003B6E11" w:rsidRPr="003B6E11" w:rsidRDefault="002D015D" w:rsidP="003B6E11">
      <w:pPr>
        <w:overflowPunct w:val="0"/>
        <w:adjustRightInd w:val="0"/>
        <w:spacing w:line="240" w:lineRule="atLeast"/>
        <w:ind w:left="992"/>
        <w:textAlignment w:val="baseline"/>
        <w:rPr>
          <w:szCs w:val="20"/>
          <w:lang w:val="cs-CZ"/>
        </w:rPr>
      </w:pPr>
      <m:oMathPara>
        <m:oMathParaPr>
          <m:jc m:val="left"/>
        </m:oMathParaPr>
        <m:oMath>
          <m:sSub>
            <m:sSubPr>
              <m:ctrlPr>
                <w:rPr>
                  <w:rFonts w:ascii="Cambria Math" w:hAnsi="Cambria Math"/>
                  <w:i/>
                  <w:szCs w:val="20"/>
                  <w:lang w:val="cs-CZ"/>
                </w:rPr>
              </m:ctrlPr>
            </m:sSubPr>
            <m:e>
              <m:r>
                <w:rPr>
                  <w:rFonts w:ascii="Cambria Math" w:hAnsi="Cambria Math"/>
                  <w:szCs w:val="20"/>
                  <w:lang w:val="cs-CZ"/>
                </w:rPr>
                <m:t>F</m:t>
              </m:r>
            </m:e>
            <m:sub>
              <m:r>
                <w:rPr>
                  <w:rFonts w:ascii="Cambria Math" w:hAnsi="Cambria Math"/>
                  <w:szCs w:val="20"/>
                  <w:lang w:val="cs-CZ"/>
                </w:rPr>
                <m:t>POR</m:t>
              </m:r>
            </m:sub>
          </m:sSub>
          <m:r>
            <w:rPr>
              <w:rFonts w:ascii="Cambria Math" w:hAnsi="Cambria Math"/>
              <w:szCs w:val="20"/>
              <w:lang w:val="cs-CZ"/>
            </w:rPr>
            <m:t>=0,118 ∙1500=</m:t>
          </m:r>
          <m:r>
            <m:rPr>
              <m:sty m:val="bi"/>
            </m:rPr>
            <w:rPr>
              <w:rFonts w:ascii="Cambria Math" w:hAnsi="Cambria Math"/>
              <w:szCs w:val="20"/>
              <w:lang w:val="cs-CZ"/>
            </w:rPr>
            <m:t xml:space="preserve">177 </m:t>
          </m:r>
          <m:d>
            <m:dPr>
              <m:begChr m:val="["/>
              <m:endChr m:val="]"/>
              <m:ctrlPr>
                <w:rPr>
                  <w:rFonts w:ascii="Cambria Math" w:hAnsi="Cambria Math"/>
                  <w:b/>
                  <w:i/>
                  <w:szCs w:val="20"/>
                  <w:lang w:val="cs-CZ"/>
                </w:rPr>
              </m:ctrlPr>
            </m:dPr>
            <m:e>
              <m:r>
                <m:rPr>
                  <m:sty m:val="bi"/>
                </m:rPr>
                <w:rPr>
                  <w:rFonts w:ascii="Cambria Math" w:hAnsi="Cambria Math"/>
                  <w:szCs w:val="20"/>
                  <w:lang w:val="cs-CZ"/>
                </w:rPr>
                <m:t>kN</m:t>
              </m:r>
            </m:e>
          </m:d>
        </m:oMath>
      </m:oMathPara>
    </w:p>
    <w:p w:rsidR="003B6E11" w:rsidRPr="003B6E11" w:rsidRDefault="003B6E11" w:rsidP="003B6E11">
      <w:pPr>
        <w:tabs>
          <w:tab w:val="left" w:pos="284"/>
          <w:tab w:val="left" w:pos="454"/>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992"/>
        </w:tabs>
        <w:overflowPunct w:val="0"/>
        <w:adjustRightInd w:val="0"/>
        <w:spacing w:line="240" w:lineRule="atLeast"/>
        <w:ind w:left="992"/>
        <w:textAlignment w:val="baseline"/>
        <w:rPr>
          <w:szCs w:val="20"/>
          <w:lang w:val="cs-CZ"/>
        </w:rPr>
      </w:pPr>
      <w:r w:rsidRPr="003B6E11">
        <w:rPr>
          <w:lang w:val="cs-CZ"/>
        </w:rPr>
        <w:t>g)</w:t>
      </w:r>
      <w:r w:rsidRPr="003B6E11">
        <w:rPr>
          <w:lang w:val="cs-CZ"/>
        </w:rPr>
        <w:tab/>
        <w:t xml:space="preserve">Výpočet </w:t>
      </w:r>
      <m:oMath>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IST</m:t>
                </m:r>
              </m:sub>
            </m:sSub>
          </m:sub>
        </m:sSub>
      </m:oMath>
      <w:r w:rsidRPr="003B6E11">
        <w:rPr>
          <w:lang w:val="cs-CZ"/>
        </w:rPr>
        <w:t xml:space="preserve"> pomocí vzorce v písmenu b) a výsledků podle písmen c), d), e) a f)</w:t>
      </w:r>
    </w:p>
    <w:p w:rsidR="003B6E11" w:rsidRPr="003B6E11" w:rsidRDefault="003B6E11" w:rsidP="003B6E11">
      <w:pPr>
        <w:tabs>
          <w:tab w:val="left" w:pos="992"/>
        </w:tabs>
        <w:overflowPunct w:val="0"/>
        <w:adjustRightInd w:val="0"/>
        <w:spacing w:line="240" w:lineRule="atLeast"/>
        <w:ind w:left="992"/>
        <w:textAlignment w:val="baseline"/>
        <w:rPr>
          <w:szCs w:val="20"/>
          <w:lang w:val="cs-CZ"/>
        </w:rPr>
      </w:pPr>
    </w:p>
    <w:p w:rsidR="003B6E11" w:rsidRPr="003B6E11" w:rsidRDefault="002D015D" w:rsidP="003B6E11">
      <w:pPr>
        <w:tabs>
          <w:tab w:val="left" w:pos="992"/>
        </w:tabs>
        <w:overflowPunct w:val="0"/>
        <w:adjustRightInd w:val="0"/>
        <w:spacing w:line="240" w:lineRule="atLeast"/>
        <w:ind w:left="992" w:firstLine="1"/>
        <w:textAlignment w:val="baseline"/>
        <w:rPr>
          <w:szCs w:val="20"/>
          <w:lang w:val="cs-CZ"/>
        </w:rPr>
      </w:pPr>
      <m:oMathPara>
        <m:oMathParaPr>
          <m:jc m:val="left"/>
        </m:oMathParaPr>
        <m:oMath>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IST</m:t>
                  </m:r>
                </m:sub>
              </m:sSub>
            </m:sub>
          </m:sSub>
          <m:r>
            <w:rPr>
              <w:rFonts w:ascii="Cambria Math" w:hAnsi="Cambria Math"/>
              <w:szCs w:val="20"/>
              <w:lang w:val="cs-CZ"/>
            </w:rPr>
            <m:t xml:space="preserve">= </m:t>
          </m:r>
          <m:f>
            <m:fPr>
              <m:ctrlPr>
                <w:rPr>
                  <w:rFonts w:ascii="Cambria Math" w:hAnsi="Cambria Math"/>
                  <w:i/>
                  <w:szCs w:val="20"/>
                  <w:lang w:val="cs-CZ"/>
                </w:rPr>
              </m:ctrlPr>
            </m:fPr>
            <m:num>
              <m:r>
                <w:rPr>
                  <w:rFonts w:ascii="Cambria Math" w:hAnsi="Cambria Math"/>
                  <w:szCs w:val="20"/>
                  <w:lang w:val="cs-CZ"/>
                </w:rPr>
                <m:t xml:space="preserve">0,12 ∙8,85 ∙9,81 ∙  </m:t>
              </m:r>
              <m:d>
                <m:dPr>
                  <m:ctrlPr>
                    <w:rPr>
                      <w:rFonts w:ascii="Cambria Math" w:hAnsi="Cambria Math"/>
                      <w:i/>
                      <w:szCs w:val="20"/>
                      <w:lang w:val="cs-CZ"/>
                    </w:rPr>
                  </m:ctrlPr>
                </m:dPr>
                <m:e>
                  <m:r>
                    <w:rPr>
                      <w:rFonts w:ascii="Cambria Math" w:hAnsi="Cambria Math"/>
                      <w:szCs w:val="20"/>
                      <w:lang w:val="cs-CZ"/>
                    </w:rPr>
                    <m:t xml:space="preserve">0,48+ </m:t>
                  </m:r>
                  <m:f>
                    <m:fPr>
                      <m:ctrlPr>
                        <w:rPr>
                          <w:rFonts w:ascii="Cambria Math" w:hAnsi="Cambria Math"/>
                          <w:i/>
                          <w:szCs w:val="20"/>
                          <w:lang w:val="cs-CZ"/>
                        </w:rPr>
                      </m:ctrlPr>
                    </m:fPr>
                    <m:num>
                      <m:r>
                        <w:rPr>
                          <w:rFonts w:ascii="Cambria Math" w:hAnsi="Cambria Math"/>
                          <w:szCs w:val="20"/>
                          <w:lang w:val="cs-CZ"/>
                        </w:rPr>
                        <m:t>1,4</m:t>
                      </m:r>
                    </m:num>
                    <m:den>
                      <m:r>
                        <w:rPr>
                          <w:rFonts w:ascii="Cambria Math" w:hAnsi="Cambria Math"/>
                          <w:szCs w:val="20"/>
                          <w:lang w:val="cs-CZ"/>
                        </w:rPr>
                        <m:t>2,97</m:t>
                      </m:r>
                    </m:den>
                  </m:f>
                </m:e>
              </m:d>
            </m:num>
            <m:den>
              <m:r>
                <w:rPr>
                  <w:rFonts w:ascii="Cambria Math" w:hAnsi="Cambria Math"/>
                  <w:szCs w:val="20"/>
                  <w:lang w:val="cs-CZ"/>
                </w:rPr>
                <m:t>1,15 ∙177+28,8-8,13</m:t>
              </m:r>
            </m:den>
          </m:f>
          <m:r>
            <w:rPr>
              <w:rFonts w:ascii="Cambria Math" w:hAnsi="Cambria Math"/>
              <w:szCs w:val="20"/>
              <w:lang w:val="cs-CZ"/>
            </w:rPr>
            <m:t xml:space="preserve"> ∙ 5179</m:t>
          </m:r>
        </m:oMath>
      </m:oMathPara>
    </w:p>
    <w:p w:rsidR="003B6E11" w:rsidRPr="003B6E11" w:rsidRDefault="003B6E11" w:rsidP="003B6E11">
      <w:pPr>
        <w:tabs>
          <w:tab w:val="left" w:pos="992"/>
        </w:tabs>
        <w:overflowPunct w:val="0"/>
        <w:adjustRightInd w:val="0"/>
        <w:spacing w:line="240" w:lineRule="atLeast"/>
        <w:ind w:left="992"/>
        <w:textAlignment w:val="baseline"/>
        <w:rPr>
          <w:szCs w:val="20"/>
          <w:lang w:val="cs-CZ"/>
        </w:rPr>
      </w:pPr>
    </w:p>
    <w:p w:rsidR="003B6E11" w:rsidRPr="003B6E11" w:rsidRDefault="002D015D" w:rsidP="003B6E11">
      <w:pPr>
        <w:tabs>
          <w:tab w:val="left" w:pos="992"/>
        </w:tabs>
        <w:overflowPunct w:val="0"/>
        <w:adjustRightInd w:val="0"/>
        <w:spacing w:line="240" w:lineRule="atLeast"/>
        <w:ind w:left="992"/>
        <w:textAlignment w:val="baseline"/>
        <w:rPr>
          <w:szCs w:val="20"/>
          <w:lang w:val="cs-CZ"/>
        </w:rPr>
      </w:pPr>
      <m:oMathPara>
        <m:oMathParaPr>
          <m:jc m:val="left"/>
        </m:oMathParaPr>
        <m:oMath>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IST</m:t>
                  </m:r>
                </m:sub>
              </m:sSub>
            </m:sub>
          </m:sSub>
          <m:r>
            <w:rPr>
              <w:rFonts w:ascii="Cambria Math" w:hAnsi="Cambria Math"/>
              <w:szCs w:val="20"/>
              <w:lang w:val="cs-CZ"/>
            </w:rPr>
            <m:t>=</m:t>
          </m:r>
          <m:r>
            <m:rPr>
              <m:sty m:val="bi"/>
            </m:rPr>
            <w:rPr>
              <w:rFonts w:ascii="Cambria Math" w:hAnsi="Cambria Math"/>
              <w:szCs w:val="20"/>
              <w:lang w:val="cs-CZ"/>
            </w:rPr>
            <m:t>228,9 m</m:t>
          </m:r>
        </m:oMath>
      </m:oMathPara>
    </w:p>
    <w:p w:rsidR="003B6E11" w:rsidRPr="003B6E11" w:rsidRDefault="003B6E11" w:rsidP="003B6E11">
      <w:pPr>
        <w:tabs>
          <w:tab w:val="left" w:pos="992"/>
        </w:tabs>
        <w:overflowPunct w:val="0"/>
        <w:adjustRightInd w:val="0"/>
        <w:spacing w:line="240" w:lineRule="atLeast"/>
        <w:ind w:left="992"/>
        <w:textAlignment w:val="baseline"/>
        <w:rPr>
          <w:szCs w:val="20"/>
          <w:lang w:val="cs-CZ"/>
        </w:rPr>
      </w:pPr>
    </w:p>
    <w:p w:rsidR="003B6E11" w:rsidRPr="003B6E11" w:rsidRDefault="003B6E11" w:rsidP="003B6E11">
      <w:pPr>
        <w:tabs>
          <w:tab w:val="left" w:pos="992"/>
        </w:tabs>
        <w:overflowPunct w:val="0"/>
        <w:adjustRightInd w:val="0"/>
        <w:spacing w:line="240" w:lineRule="atLeast"/>
        <w:ind w:left="992"/>
        <w:textAlignment w:val="baseline"/>
        <w:rPr>
          <w:szCs w:val="20"/>
          <w:lang w:val="cs-CZ"/>
        </w:rPr>
      </w:pPr>
      <w:r w:rsidRPr="003B6E11">
        <w:rPr>
          <w:lang w:val="cs-CZ"/>
        </w:rPr>
        <w:t>h)</w:t>
      </w:r>
      <w:r w:rsidRPr="003B6E11">
        <w:rPr>
          <w:lang w:val="cs-CZ"/>
        </w:rPr>
        <w:tab/>
        <w:t>Výpočet celkové vzdálenosti podle vzorce (3.1)</w:t>
      </w:r>
    </w:p>
    <w:p w:rsidR="003B6E11" w:rsidRPr="003B6E11" w:rsidRDefault="003B6E11" w:rsidP="003B6E11">
      <w:pPr>
        <w:tabs>
          <w:tab w:val="left" w:pos="992"/>
        </w:tabs>
        <w:overflowPunct w:val="0"/>
        <w:adjustRightInd w:val="0"/>
        <w:spacing w:line="240" w:lineRule="atLeast"/>
        <w:ind w:left="992"/>
        <w:textAlignment w:val="baseline"/>
        <w:rPr>
          <w:szCs w:val="20"/>
          <w:lang w:val="cs-CZ"/>
        </w:rPr>
      </w:pPr>
    </w:p>
    <w:p w:rsidR="003B6E11" w:rsidRPr="003B6E11" w:rsidRDefault="002D015D" w:rsidP="003B6E11">
      <w:pPr>
        <w:tabs>
          <w:tab w:val="left" w:pos="992"/>
        </w:tabs>
        <w:overflowPunct w:val="0"/>
        <w:adjustRightInd w:val="0"/>
        <w:spacing w:line="240" w:lineRule="atLeast"/>
        <w:ind w:left="992"/>
        <w:textAlignment w:val="baseline"/>
        <w:rPr>
          <w:szCs w:val="20"/>
          <w:lang w:val="cs-CZ"/>
        </w:rPr>
      </w:pPr>
      <m:oMathPara>
        <m:oMathParaPr>
          <m:jc m:val="left"/>
        </m:oMathParaPr>
        <m:oMath>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m:t>
                  </m:r>
                </m:e>
                <m:sub>
                  <m:r>
                    <w:rPr>
                      <w:rFonts w:ascii="Cambria Math" w:hAnsi="Cambria Math"/>
                      <w:szCs w:val="20"/>
                      <w:lang w:val="cs-CZ"/>
                    </w:rPr>
                    <m:t>IST</m:t>
                  </m:r>
                </m:sub>
              </m:sSub>
            </m:sub>
          </m:sSub>
          <m:r>
            <w:rPr>
              <w:rFonts w:ascii="Cambria Math" w:hAnsi="Cambria Math"/>
              <w:szCs w:val="20"/>
              <w:lang w:val="cs-CZ"/>
            </w:rPr>
            <m:t>=74,51+228,9=</m:t>
          </m:r>
          <m:r>
            <m:rPr>
              <m:sty m:val="bi"/>
            </m:rPr>
            <w:rPr>
              <w:rFonts w:ascii="Cambria Math" w:hAnsi="Cambria Math"/>
              <w:szCs w:val="20"/>
              <w:lang w:val="cs-CZ"/>
            </w:rPr>
            <m:t>303,4 m</m:t>
          </m:r>
        </m:oMath>
      </m:oMathPara>
    </w:p>
    <w:p w:rsidR="003B6E11" w:rsidRPr="003B6E11" w:rsidRDefault="003B6E11" w:rsidP="003B6E11">
      <w:pPr>
        <w:overflowPunct w:val="0"/>
        <w:adjustRightInd w:val="0"/>
        <w:spacing w:line="240" w:lineRule="exact"/>
        <w:ind w:leftChars="283" w:left="624" w:hanging="1"/>
        <w:textAlignment w:val="baseline"/>
        <w:rPr>
          <w:szCs w:val="20"/>
          <w:lang w:val="cs-CZ"/>
        </w:rPr>
      </w:pPr>
    </w:p>
    <w:p w:rsidR="003B6E11" w:rsidRPr="003B6E11" w:rsidRDefault="003B6E11" w:rsidP="003B6E11">
      <w:pPr>
        <w:tabs>
          <w:tab w:val="left" w:pos="454"/>
        </w:tabs>
        <w:overflowPunct w:val="0"/>
        <w:adjustRightInd w:val="0"/>
        <w:spacing w:line="240" w:lineRule="exact"/>
        <w:ind w:left="567"/>
        <w:textAlignment w:val="baseline"/>
        <w:rPr>
          <w:szCs w:val="20"/>
          <w:lang w:val="cs-CZ"/>
        </w:rPr>
      </w:pPr>
      <w:r w:rsidRPr="003B6E11">
        <w:rPr>
          <w:b/>
          <w:lang w:val="cs-CZ"/>
        </w:rPr>
        <w:t>Vysvětlivky</w:t>
      </w:r>
    </w:p>
    <w:p w:rsidR="003B6E11" w:rsidRPr="003B6E11" w:rsidRDefault="003B6E11" w:rsidP="003B6E11">
      <w:pPr>
        <w:tabs>
          <w:tab w:val="left" w:pos="454"/>
        </w:tabs>
        <w:overflowPunct w:val="0"/>
        <w:adjustRightInd w:val="0"/>
        <w:spacing w:line="240" w:lineRule="exact"/>
        <w:ind w:left="567"/>
        <w:textAlignment w:val="baseline"/>
        <w:rPr>
          <w:szCs w:val="20"/>
          <w:lang w:val="cs-CZ"/>
        </w:rPr>
      </w:pPr>
    </w:p>
    <w:p w:rsidR="003B6E11" w:rsidRPr="003B6E11" w:rsidRDefault="003B6E11" w:rsidP="003B6E11">
      <w:pPr>
        <w:tabs>
          <w:tab w:val="left" w:pos="567"/>
        </w:tabs>
        <w:overflowPunct w:val="0"/>
        <w:adjustRightInd w:val="0"/>
        <w:spacing w:line="240" w:lineRule="atLeast"/>
        <w:ind w:left="567"/>
        <w:textAlignment w:val="baseline"/>
        <w:rPr>
          <w:szCs w:val="20"/>
          <w:lang w:val="cs-CZ"/>
        </w:rPr>
      </w:pPr>
      <w:r w:rsidRPr="003B6E11">
        <w:rPr>
          <w:i/>
          <w:noProof/>
          <w:lang w:val="cs-CZ"/>
        </w:rPr>
        <w:t>Poznámka:</w:t>
      </w:r>
      <w:r w:rsidRPr="003B6E11">
        <w:rPr>
          <w:lang w:val="cs-CZ"/>
        </w:rPr>
        <w:t xml:space="preserve"> Rozdíl (</w:t>
      </w:r>
      <m:oMath>
        <m:sSub>
          <m:sSubPr>
            <m:ctrlPr>
              <w:rPr>
                <w:rFonts w:ascii="Cambria Math" w:hAnsi="Cambria Math"/>
                <w:i/>
                <w:noProof/>
                <w:lang w:val="cs-CZ"/>
              </w:rPr>
            </m:ctrlPr>
          </m:sSubPr>
          <m:e>
            <m:r>
              <w:rPr>
                <w:rFonts w:ascii="Cambria Math" w:hAnsi="Cambria Math"/>
                <w:noProof/>
                <w:lang w:val="cs-CZ"/>
              </w:rPr>
              <m:t>R</m:t>
            </m:r>
          </m:e>
          <m:sub>
            <m:r>
              <w:rPr>
                <w:rFonts w:ascii="Cambria Math" w:hAnsi="Cambria Math"/>
                <w:noProof/>
                <w:lang w:val="cs-CZ"/>
              </w:rPr>
              <m:t>TmII</m:t>
            </m:r>
          </m:sub>
        </m:sSub>
        <m:r>
          <w:rPr>
            <w:rFonts w:ascii="Cambria Math" w:hAnsi="Cambria Math"/>
            <w:noProof/>
            <w:lang w:val="cs-CZ"/>
          </w:rPr>
          <m:t xml:space="preserve">- </m:t>
        </m:r>
        <m:sSub>
          <m:sSubPr>
            <m:ctrlPr>
              <w:rPr>
                <w:rFonts w:ascii="Cambria Math" w:hAnsi="Cambria Math"/>
                <w:i/>
                <w:noProof/>
                <w:lang w:val="cs-CZ"/>
              </w:rPr>
            </m:ctrlPr>
          </m:sSubPr>
          <m:e>
            <m:r>
              <w:rPr>
                <w:rFonts w:ascii="Cambria Math" w:hAnsi="Cambria Math"/>
                <w:noProof/>
                <w:lang w:val="cs-CZ"/>
              </w:rPr>
              <m:t>R</m:t>
            </m:r>
          </m:e>
          <m:sub>
            <m:r>
              <w:rPr>
                <w:rFonts w:ascii="Cambria Math" w:hAnsi="Cambria Math"/>
                <w:noProof/>
                <w:lang w:val="cs-CZ"/>
              </w:rPr>
              <m:t>G</m:t>
            </m:r>
          </m:sub>
        </m:sSub>
      </m:oMath>
      <w:r w:rsidRPr="003B6E11">
        <w:rPr>
          <w:lang w:val="cs-CZ"/>
        </w:rPr>
        <w:t xml:space="preserve">), který je funkcí </w:t>
      </w:r>
      <m:oMath>
        <m:r>
          <w:rPr>
            <w:rFonts w:ascii="Cambria Math" w:hAnsi="Cambria Math"/>
            <w:noProof/>
            <w:lang w:val="cs-CZ"/>
          </w:rPr>
          <m:t>D</m:t>
        </m:r>
      </m:oMath>
      <w:r w:rsidRPr="003B6E11">
        <w:rPr>
          <w:lang w:val="cs-CZ"/>
        </w:rPr>
        <w:t xml:space="preserve">, se skutečnou hodnotou 20,67 kN je zjevně relativně malý ve srovnání s </w:t>
      </w:r>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3</m:t>
            </m:r>
          </m:sub>
        </m:sSub>
        <m:r>
          <w:rPr>
            <w:rFonts w:ascii="Cambria Math" w:hAnsi="Cambria Math"/>
            <w:szCs w:val="20"/>
            <w:lang w:val="cs-CZ"/>
          </w:rPr>
          <m:t xml:space="preserve"> ∙ </m:t>
        </m:r>
        <m:sSub>
          <m:sSubPr>
            <m:ctrlPr>
              <w:rPr>
                <w:rFonts w:ascii="Cambria Math" w:hAnsi="Cambria Math"/>
                <w:i/>
                <w:szCs w:val="20"/>
                <w:lang w:val="cs-CZ"/>
              </w:rPr>
            </m:ctrlPr>
          </m:sSubPr>
          <m:e>
            <m:r>
              <w:rPr>
                <w:rFonts w:ascii="Cambria Math" w:hAnsi="Cambria Math"/>
                <w:szCs w:val="20"/>
                <w:lang w:val="cs-CZ"/>
              </w:rPr>
              <m:t>F</m:t>
            </m:r>
          </m:e>
          <m:sub>
            <m:r>
              <w:rPr>
                <w:rFonts w:ascii="Cambria Math" w:hAnsi="Cambria Math"/>
                <w:szCs w:val="20"/>
                <w:lang w:val="cs-CZ"/>
              </w:rPr>
              <m:t>POR</m:t>
            </m:r>
          </m:sub>
        </m:sSub>
      </m:oMath>
      <w:r w:rsidRPr="003B6E11">
        <w:rPr>
          <w:lang w:val="cs-CZ"/>
        </w:rPr>
        <w:t xml:space="preserve"> se skutečnou hodnotou 203,55 kN, proto lze pro účely zjednodušení považovat </w:t>
      </w:r>
      <m:oMath>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II</m:t>
            </m:r>
          </m:sub>
        </m:sSub>
      </m:oMath>
      <w:r w:rsidRPr="003B6E11">
        <w:rPr>
          <w:lang w:val="cs-CZ"/>
        </w:rPr>
        <w:t xml:space="preserve"> za poměrné vůči </w:t>
      </w:r>
      <m:oMath>
        <m:r>
          <w:rPr>
            <w:rFonts w:ascii="Cambria Math" w:hAnsi="Cambria Math"/>
            <w:noProof/>
            <w:lang w:val="cs-CZ"/>
          </w:rPr>
          <m:t>D</m:t>
        </m:r>
      </m:oMath>
      <w:r w:rsidRPr="003B6E11">
        <w:rPr>
          <w:lang w:val="cs-CZ"/>
        </w:rPr>
        <w:t xml:space="preserve">, tj. </w:t>
      </w:r>
      <m:oMath>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II</m:t>
            </m:r>
          </m:sub>
        </m:sSub>
        <m:r>
          <w:rPr>
            <w:rFonts w:ascii="Cambria Math" w:hAnsi="Cambria Math"/>
            <w:szCs w:val="20"/>
            <w:lang w:val="cs-CZ"/>
          </w:rPr>
          <m:t>=Const ∙ D</m:t>
        </m:r>
      </m:oMath>
      <w:r w:rsidRPr="003B6E11">
        <w:rPr>
          <w:lang w:val="cs-CZ"/>
        </w:rPr>
        <w:t>.</w:t>
      </w:r>
    </w:p>
    <w:p w:rsidR="003B6E11" w:rsidRPr="003B6E11" w:rsidRDefault="003B6E11" w:rsidP="003B6E11">
      <w:pPr>
        <w:tabs>
          <w:tab w:val="left" w:pos="454"/>
        </w:tabs>
        <w:overflowPunct w:val="0"/>
        <w:adjustRightInd w:val="0"/>
        <w:spacing w:line="240" w:lineRule="exact"/>
        <w:ind w:leftChars="567" w:left="1701" w:hanging="454"/>
        <w:textAlignment w:val="baseline"/>
        <w:rPr>
          <w:szCs w:val="20"/>
          <w:lang w:val="cs-CZ"/>
        </w:rPr>
      </w:pPr>
      <w:r w:rsidRPr="003B6E11">
        <w:rPr>
          <w:lang w:val="cs-CZ"/>
        </w:rPr>
        <w:br w:type="page"/>
      </w:r>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4.3</w:t>
      </w:r>
      <w:r w:rsidRPr="003B6E11">
        <w:rPr>
          <w:lang w:val="cs-CZ"/>
        </w:rPr>
        <w:tab/>
      </w:r>
      <w:r w:rsidRPr="003B6E11">
        <w:rPr>
          <w:b/>
          <w:noProof/>
          <w:color w:val="000000"/>
          <w:lang w:val="cs-CZ"/>
        </w:rPr>
        <w:t xml:space="preserve">Výpočet </w:t>
      </w:r>
      <m:oMath>
        <m:sSub>
          <m:sSubPr>
            <m:ctrlPr>
              <w:rPr>
                <w:rFonts w:ascii="Cambria Math" w:hAnsi="Cambria Math"/>
                <w:i/>
                <w:noProof/>
                <w:lang w:val="cs-CZ"/>
              </w:rPr>
            </m:ctrlPr>
          </m:sSubPr>
          <m:e>
            <m:r>
              <m:rPr>
                <m:sty m:val="bi"/>
              </m:rPr>
              <w:rPr>
                <w:rFonts w:ascii="Cambria Math" w:hAnsi="Cambria Math" w:cs="Arial"/>
                <w:noProof/>
                <w:color w:val="000000"/>
                <w:szCs w:val="20"/>
                <w:lang w:val="cs-CZ"/>
              </w:rPr>
              <m:t>s</m:t>
            </m:r>
          </m:e>
          <m:sub>
            <m:r>
              <m:rPr>
                <m:sty m:val="bi"/>
              </m:rPr>
              <w:rPr>
                <w:rFonts w:ascii="Cambria Math" w:hAnsi="Cambria Math" w:cs="Arial"/>
                <w:noProof/>
                <w:color w:val="000000"/>
                <w:szCs w:val="20"/>
                <w:lang w:val="cs-CZ"/>
              </w:rPr>
              <m:t>SOLL</m:t>
            </m:r>
          </m:sub>
        </m:sSub>
      </m:oMath>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567"/>
        </w:tabs>
        <w:overflowPunct w:val="0"/>
        <w:adjustRightInd w:val="0"/>
        <w:spacing w:line="240" w:lineRule="atLeast"/>
        <w:ind w:left="567"/>
        <w:textAlignment w:val="baseline"/>
        <w:rPr>
          <w:szCs w:val="20"/>
          <w:lang w:val="cs-CZ"/>
        </w:rPr>
      </w:pPr>
      <w:r w:rsidRPr="003B6E11">
        <w:rPr>
          <w:lang w:val="cs-CZ"/>
        </w:rPr>
        <w:t>Počáteční hodnoty:</w:t>
      </w:r>
    </w:p>
    <w:p w:rsidR="003B6E11" w:rsidRPr="003B6E11" w:rsidRDefault="003B6E11" w:rsidP="003B6E11">
      <w:pPr>
        <w:tabs>
          <w:tab w:val="left" w:pos="567"/>
        </w:tabs>
        <w:overflowPunct w:val="0"/>
        <w:adjustRightInd w:val="0"/>
        <w:spacing w:line="240" w:lineRule="atLeast"/>
        <w:ind w:left="567"/>
        <w:textAlignment w:val="baseline"/>
        <w:rPr>
          <w:szCs w:val="20"/>
          <w:lang w:val="cs-CZ"/>
        </w:rPr>
      </w:pPr>
    </w:p>
    <w:p w:rsidR="003B6E11" w:rsidRPr="003B6E11" w:rsidRDefault="002D015D" w:rsidP="003B6E11">
      <w:pPr>
        <w:tabs>
          <w:tab w:val="left" w:pos="567"/>
          <w:tab w:val="left" w:pos="4962"/>
        </w:tabs>
        <w:overflowPunct w:val="0"/>
        <w:adjustRightInd w:val="0"/>
        <w:spacing w:line="240" w:lineRule="atLeast"/>
        <w:ind w:left="567"/>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STR</m:t>
                </m:r>
              </m:e>
              <m:sub>
                <m:r>
                  <w:rPr>
                    <w:rFonts w:ascii="Cambria Math" w:hAnsi="Cambria Math"/>
                    <w:szCs w:val="20"/>
                    <w:lang w:val="cs-CZ"/>
                  </w:rPr>
                  <m:t>SOLL</m:t>
                </m:r>
              </m:sub>
            </m:sSub>
          </m:sub>
        </m:sSub>
        <m:r>
          <w:rPr>
            <w:rFonts w:ascii="Cambria Math" w:hAnsi="Cambria Math"/>
            <w:szCs w:val="20"/>
            <w:lang w:val="cs-CZ"/>
          </w:rPr>
          <m:t>=1,5 m/s  ≈  5,4  km/h</m:t>
        </m:r>
      </m:oMath>
      <w:r w:rsidR="003B6E11" w:rsidRPr="003B6E11">
        <w:rPr>
          <w:lang w:val="cs-CZ"/>
        </w:rPr>
        <w:tab/>
      </w:r>
      <m:oMath>
        <m:sSub>
          <m:sSubPr>
            <m:ctrlPr>
              <w:rPr>
                <w:rFonts w:ascii="Cambria Math" w:hAnsi="Cambria Math"/>
                <w:i/>
                <w:szCs w:val="20"/>
                <w:lang w:val="cs-CZ"/>
              </w:rPr>
            </m:ctrlPr>
          </m:sSubPr>
          <m:e>
            <m:r>
              <w:rPr>
                <w:rFonts w:ascii="Cambria Math" w:hAnsi="Cambria Math"/>
                <w:szCs w:val="20"/>
                <w:lang w:val="cs-CZ"/>
              </w:rPr>
              <m:t>D</m:t>
            </m:r>
          </m:e>
          <m:sub>
            <m:r>
              <w:rPr>
                <w:rFonts w:ascii="Cambria Math" w:hAnsi="Cambria Math"/>
                <w:szCs w:val="20"/>
                <w:lang w:val="cs-CZ"/>
              </w:rPr>
              <m:t>SOLL</m:t>
            </m:r>
          </m:sub>
        </m:sSub>
      </m:oMath>
      <w:r w:rsidR="003B6E11" w:rsidRPr="003B6E11">
        <w:rPr>
          <w:lang w:val="cs-CZ"/>
        </w:rPr>
        <w:t xml:space="preserve"> = </w:t>
      </w:r>
      <m:oMath>
        <m:sSub>
          <m:sSubPr>
            <m:ctrlPr>
              <w:rPr>
                <w:rFonts w:ascii="Cambria Math" w:hAnsi="Cambria Math"/>
                <w:i/>
                <w:szCs w:val="20"/>
                <w:lang w:val="cs-CZ"/>
              </w:rPr>
            </m:ctrlPr>
          </m:sSubPr>
          <m:e>
            <m:r>
              <w:rPr>
                <w:rFonts w:ascii="Cambria Math" w:hAnsi="Cambria Math"/>
                <w:szCs w:val="20"/>
                <w:lang w:val="cs-CZ"/>
              </w:rPr>
              <m:t>D</m:t>
            </m:r>
          </m:e>
          <m:sub>
            <m:r>
              <w:rPr>
                <w:rFonts w:ascii="Cambria Math" w:hAnsi="Cambria Math"/>
                <w:szCs w:val="20"/>
                <w:lang w:val="cs-CZ"/>
              </w:rPr>
              <m:t>IST</m:t>
            </m:r>
          </m:sub>
        </m:sSub>
        <m:r>
          <w:rPr>
            <w:rFonts w:ascii="Cambria Math" w:hAnsi="Cambria Math"/>
            <w:szCs w:val="20"/>
            <w:lang w:val="cs-CZ"/>
          </w:rPr>
          <m:t xml:space="preserve">=5179 </m:t>
        </m:r>
        <m:sSup>
          <m:sSupPr>
            <m:ctrlPr>
              <w:rPr>
                <w:rFonts w:ascii="Cambria Math" w:hAnsi="Cambria Math"/>
                <w:i/>
                <w:szCs w:val="20"/>
                <w:lang w:val="cs-CZ"/>
              </w:rPr>
            </m:ctrlPr>
          </m:sSupPr>
          <m:e>
            <m:r>
              <w:rPr>
                <w:rFonts w:ascii="Cambria Math" w:hAnsi="Cambria Math"/>
                <w:szCs w:val="20"/>
                <w:lang w:val="cs-CZ"/>
              </w:rPr>
              <m:t>m</m:t>
            </m:r>
          </m:e>
          <m:sup>
            <m:r>
              <w:rPr>
                <w:rFonts w:ascii="Cambria Math" w:hAnsi="Cambria Math"/>
                <w:szCs w:val="20"/>
                <w:lang w:val="cs-CZ"/>
              </w:rPr>
              <m:t>3</m:t>
            </m:r>
          </m:sup>
        </m:sSup>
      </m:oMath>
    </w:p>
    <w:p w:rsidR="003B6E11" w:rsidRPr="003B6E11" w:rsidRDefault="003B6E11" w:rsidP="003B6E11">
      <w:pPr>
        <w:tabs>
          <w:tab w:val="left" w:pos="567"/>
        </w:tabs>
        <w:overflowPunct w:val="0"/>
        <w:adjustRightInd w:val="0"/>
        <w:spacing w:line="240" w:lineRule="atLeast"/>
        <w:ind w:left="567"/>
        <w:textAlignment w:val="baseline"/>
        <w:rPr>
          <w:szCs w:val="20"/>
          <w:lang w:val="cs-CZ"/>
        </w:rPr>
      </w:pPr>
    </w:p>
    <w:p w:rsidR="003B6E11" w:rsidRPr="003B6E11" w:rsidRDefault="002D015D" w:rsidP="003B6E11">
      <w:pPr>
        <w:tabs>
          <w:tab w:val="left" w:pos="567"/>
          <w:tab w:val="left" w:pos="4962"/>
        </w:tabs>
        <w:overflowPunct w:val="0"/>
        <w:adjustRightInd w:val="0"/>
        <w:spacing w:line="240" w:lineRule="atLeast"/>
        <w:ind w:left="567"/>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SOLL</m:t>
                </m:r>
              </m:sub>
            </m:sSub>
          </m:sub>
        </m:sSub>
        <m:r>
          <w:rPr>
            <w:rFonts w:ascii="Cambria Math" w:hAnsi="Cambria Math"/>
            <w:szCs w:val="20"/>
            <w:lang w:val="cs-CZ"/>
          </w:rPr>
          <m:t>=3,6 m/s  ≈  13  km/h</m:t>
        </m:r>
      </m:oMath>
      <w:r w:rsidR="003B6E11" w:rsidRPr="003B6E11">
        <w:rPr>
          <w:lang w:val="cs-CZ"/>
        </w:rPr>
        <w:tab/>
      </w: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SOLL</m:t>
            </m:r>
          </m:sub>
        </m:sSub>
      </m:oMath>
      <w:r w:rsidR="003B6E11" w:rsidRPr="003B6E11">
        <w:rPr>
          <w:lang w:val="cs-CZ"/>
        </w:rPr>
        <w:t xml:space="preserve"> = </w:t>
      </w: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IST</m:t>
            </m:r>
          </m:sub>
        </m:sSub>
        <m:r>
          <w:rPr>
            <w:rFonts w:ascii="Cambria Math" w:hAnsi="Cambria Math"/>
            <w:szCs w:val="20"/>
            <w:lang w:val="cs-CZ"/>
          </w:rPr>
          <m:t>=2,96 m</m:t>
        </m:r>
      </m:oMath>
    </w:p>
    <w:p w:rsidR="003B6E11" w:rsidRPr="003B6E11" w:rsidRDefault="003B6E11" w:rsidP="003B6E11">
      <w:pPr>
        <w:tabs>
          <w:tab w:val="left" w:pos="567"/>
        </w:tabs>
        <w:overflowPunct w:val="0"/>
        <w:adjustRightInd w:val="0"/>
        <w:spacing w:line="240" w:lineRule="atLeast"/>
        <w:ind w:left="567"/>
        <w:textAlignment w:val="baseline"/>
        <w:rPr>
          <w:szCs w:val="20"/>
          <w:lang w:val="cs-CZ"/>
        </w:rPr>
      </w:pPr>
    </w:p>
    <w:p w:rsidR="003B6E11" w:rsidRPr="003B6E11" w:rsidRDefault="002D015D" w:rsidP="003B6E11">
      <w:pPr>
        <w:tabs>
          <w:tab w:val="left" w:pos="567"/>
        </w:tabs>
        <w:overflowPunct w:val="0"/>
        <w:adjustRightInd w:val="0"/>
        <w:spacing w:line="240" w:lineRule="atLeast"/>
        <w:ind w:left="567"/>
        <w:textAlignment w:val="baseline"/>
        <w:rPr>
          <w:szCs w:val="20"/>
          <w:lang w:val="cs-CZ"/>
        </w:rPr>
      </w:pPr>
      <m:oMathPara>
        <m:oMathParaPr>
          <m:jc m:val="left"/>
        </m:oMathParaPr>
        <m:oMath>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L</m:t>
                  </m:r>
                </m:e>
                <m:sub>
                  <m:r>
                    <w:rPr>
                      <w:rFonts w:ascii="Cambria Math" w:hAnsi="Cambria Math"/>
                      <w:szCs w:val="20"/>
                      <w:lang w:val="cs-CZ"/>
                    </w:rPr>
                    <m:t>SOLL</m:t>
                  </m:r>
                </m:sub>
              </m:sSub>
            </m:sub>
          </m:sSub>
          <m:r>
            <w:rPr>
              <w:rFonts w:ascii="Cambria Math" w:hAnsi="Cambria Math"/>
              <w:szCs w:val="20"/>
              <w:lang w:val="cs-CZ"/>
            </w:rPr>
            <m:t>=5,1 m/s  ≈  18,4  km/h</m:t>
          </m:r>
        </m:oMath>
      </m:oMathPara>
    </w:p>
    <w:p w:rsidR="003B6E11" w:rsidRPr="003B6E11" w:rsidRDefault="003B6E11" w:rsidP="003B6E11">
      <w:pPr>
        <w:tabs>
          <w:tab w:val="left" w:pos="567"/>
          <w:tab w:val="left" w:pos="1701"/>
          <w:tab w:val="left" w:pos="1985"/>
          <w:tab w:val="left" w:pos="2835"/>
          <w:tab w:val="left" w:pos="4962"/>
          <w:tab w:val="left" w:pos="5812"/>
          <w:tab w:val="left" w:pos="6096"/>
          <w:tab w:val="left" w:pos="6663"/>
          <w:tab w:val="left" w:pos="7088"/>
        </w:tabs>
        <w:overflowPunct w:val="0"/>
        <w:adjustRightInd w:val="0"/>
        <w:spacing w:line="240" w:lineRule="atLeast"/>
        <w:ind w:left="567"/>
        <w:textAlignment w:val="baseline"/>
        <w:rPr>
          <w:szCs w:val="20"/>
          <w:lang w:val="cs-CZ"/>
        </w:rPr>
      </w:pPr>
    </w:p>
    <w:p w:rsidR="003B6E11" w:rsidRPr="003B6E11" w:rsidRDefault="003B6E11" w:rsidP="003B6E11">
      <w:pPr>
        <w:tabs>
          <w:tab w:val="left" w:pos="992"/>
          <w:tab w:val="left" w:pos="1843"/>
          <w:tab w:val="left" w:pos="2127"/>
        </w:tabs>
        <w:overflowPunct w:val="0"/>
        <w:adjustRightInd w:val="0"/>
        <w:spacing w:line="240" w:lineRule="atLeast"/>
        <w:ind w:left="992"/>
        <w:textAlignment w:val="baseline"/>
        <w:rPr>
          <w:szCs w:val="20"/>
          <w:lang w:val="cs-CZ"/>
        </w:rPr>
      </w:pPr>
      <w:r w:rsidRPr="003B6E11">
        <w:rPr>
          <w:lang w:val="cs-CZ"/>
        </w:rPr>
        <w:t>a)</w:t>
      </w:r>
      <w:r w:rsidRPr="003B6E11">
        <w:rPr>
          <w:lang w:val="cs-CZ"/>
        </w:rPr>
        <w:tab/>
      </w:r>
      <m:oMath>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m:t>
                </m:r>
              </m:e>
              <m:sub>
                <m:r>
                  <w:rPr>
                    <w:rFonts w:ascii="Cambria Math" w:hAnsi="Cambria Math"/>
                    <w:szCs w:val="20"/>
                    <w:lang w:val="cs-CZ"/>
                  </w:rPr>
                  <m:t>SOLL</m:t>
                </m:r>
              </m:sub>
            </m:sSub>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1</m:t>
            </m:r>
          </m:sub>
        </m:sSub>
        <m:r>
          <w:rPr>
            <w:rFonts w:ascii="Cambria Math" w:hAnsi="Cambria Math"/>
            <w:szCs w:val="20"/>
            <w:lang w:val="cs-CZ"/>
          </w:rPr>
          <m:t xml:space="preserve"> ∙ </m:t>
        </m:r>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L</m:t>
                </m:r>
              </m:e>
              <m:sub>
                <m:r>
                  <w:rPr>
                    <w:rFonts w:ascii="Cambria Math" w:hAnsi="Cambria Math"/>
                    <w:szCs w:val="20"/>
                    <w:lang w:val="cs-CZ"/>
                  </w:rPr>
                  <m:t>SOLL</m:t>
                </m:r>
              </m:sub>
            </m:sSub>
          </m:sub>
        </m:sSub>
        <m:r>
          <w:rPr>
            <w:rFonts w:ascii="Cambria Math" w:hAnsi="Cambria Math"/>
            <w:szCs w:val="20"/>
            <w:lang w:val="cs-CZ"/>
          </w:rPr>
          <m:t xml:space="preserve"> ∙ </m:t>
        </m:r>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I</m:t>
            </m:r>
          </m:sub>
        </m:sSub>
      </m:oMath>
    </w:p>
    <w:p w:rsidR="003B6E11" w:rsidRPr="003B6E11" w:rsidRDefault="003B6E11" w:rsidP="003B6E11">
      <w:pPr>
        <w:tabs>
          <w:tab w:val="left" w:pos="992"/>
          <w:tab w:val="left" w:pos="1843"/>
          <w:tab w:val="left" w:pos="2127"/>
        </w:tabs>
        <w:overflowPunct w:val="0"/>
        <w:adjustRightInd w:val="0"/>
        <w:spacing w:line="240" w:lineRule="atLeast"/>
        <w:ind w:left="992"/>
        <w:textAlignment w:val="baseline"/>
        <w:rPr>
          <w:szCs w:val="20"/>
          <w:lang w:val="cs-CZ"/>
        </w:rPr>
      </w:pPr>
    </w:p>
    <w:p w:rsidR="003B6E11" w:rsidRPr="003B6E11" w:rsidRDefault="002D015D" w:rsidP="003B6E11">
      <w:pPr>
        <w:tabs>
          <w:tab w:val="left" w:pos="992"/>
          <w:tab w:val="left" w:pos="1843"/>
          <w:tab w:val="left" w:pos="2127"/>
        </w:tabs>
        <w:overflowPunct w:val="0"/>
        <w:adjustRightInd w:val="0"/>
        <w:spacing w:line="240" w:lineRule="atLeast"/>
        <w:ind w:left="992" w:firstLine="1"/>
        <w:textAlignment w:val="baseline"/>
        <w:rPr>
          <w:szCs w:val="20"/>
          <w:lang w:val="cs-CZ"/>
        </w:rPr>
      </w:pPr>
      <m:oMathPara>
        <m:oMathParaPr>
          <m:jc m:val="left"/>
        </m:oMathParaPr>
        <m:oMath>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m:t>
                  </m:r>
                </m:e>
                <m:sub>
                  <m:r>
                    <w:rPr>
                      <w:rFonts w:ascii="Cambria Math" w:hAnsi="Cambria Math"/>
                      <w:szCs w:val="20"/>
                      <w:lang w:val="cs-CZ"/>
                    </w:rPr>
                    <m:t>SOLL</m:t>
                  </m:r>
                </m:sub>
              </m:sSub>
            </m:sub>
          </m:sSub>
          <m:r>
            <w:rPr>
              <w:rFonts w:ascii="Cambria Math" w:hAnsi="Cambria Math"/>
              <w:szCs w:val="20"/>
              <w:lang w:val="cs-CZ"/>
            </w:rPr>
            <m:t>=0,95 ∙5,1 ∙16=</m:t>
          </m:r>
          <m:r>
            <m:rPr>
              <m:sty m:val="bi"/>
            </m:rPr>
            <w:rPr>
              <w:rFonts w:ascii="Cambria Math" w:hAnsi="Cambria Math"/>
              <w:szCs w:val="20"/>
              <w:lang w:val="cs-CZ"/>
            </w:rPr>
            <m:t>77,50 m</m:t>
          </m:r>
        </m:oMath>
      </m:oMathPara>
    </w:p>
    <w:p w:rsidR="003B6E11" w:rsidRPr="003B6E11" w:rsidRDefault="003B6E11" w:rsidP="003B6E11">
      <w:pPr>
        <w:tabs>
          <w:tab w:val="left" w:pos="284"/>
          <w:tab w:val="left" w:pos="851"/>
          <w:tab w:val="left" w:pos="1134"/>
          <w:tab w:val="left" w:pos="1843"/>
          <w:tab w:val="left" w:pos="2268"/>
          <w:tab w:val="left" w:pos="3261"/>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1843"/>
          <w:tab w:val="left" w:pos="2127"/>
          <w:tab w:val="center" w:pos="5103"/>
          <w:tab w:val="left" w:pos="6804"/>
          <w:tab w:val="center" w:pos="7938"/>
        </w:tabs>
        <w:overflowPunct w:val="0"/>
        <w:adjustRightInd w:val="0"/>
        <w:spacing w:line="240" w:lineRule="atLeast"/>
        <w:ind w:left="992"/>
        <w:textAlignment w:val="baseline"/>
        <w:rPr>
          <w:szCs w:val="20"/>
          <w:lang w:val="cs-CZ"/>
        </w:rPr>
      </w:pPr>
      <w:r w:rsidRPr="003B6E11">
        <w:rPr>
          <w:lang w:val="cs-CZ"/>
        </w:rPr>
        <w:t>b)</w:t>
      </w:r>
      <w:r w:rsidRPr="003B6E11">
        <w:rPr>
          <w:lang w:val="cs-CZ"/>
        </w:rPr>
        <w:tab/>
      </w:r>
      <m:oMath>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SOLL</m:t>
                </m:r>
              </m:sub>
            </m:sSub>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2</m:t>
            </m:r>
          </m:sub>
        </m:sSub>
        <m:r>
          <w:rPr>
            <w:rFonts w:ascii="Cambria Math" w:hAnsi="Cambria Math"/>
            <w:szCs w:val="20"/>
            <w:lang w:val="cs-CZ"/>
          </w:rPr>
          <m:t xml:space="preserve"> ∙ </m:t>
        </m:r>
        <m:sSub>
          <m:sSubPr>
            <m:ctrlPr>
              <w:rPr>
                <w:rFonts w:ascii="Cambria Math" w:hAnsi="Cambria Math"/>
                <w:i/>
                <w:szCs w:val="20"/>
                <w:lang w:val="cs-CZ"/>
              </w:rPr>
            </m:ctrlPr>
          </m:sSubPr>
          <m:e>
            <m:sSup>
              <m:sSupPr>
                <m:ctrlPr>
                  <w:rPr>
                    <w:rFonts w:ascii="Cambria Math" w:hAnsi="Cambria Math"/>
                    <w:i/>
                    <w:szCs w:val="20"/>
                    <w:lang w:val="cs-CZ"/>
                  </w:rPr>
                </m:ctrlPr>
              </m:sSupPr>
              <m:e>
                <m:r>
                  <w:rPr>
                    <w:rFonts w:ascii="Cambria Math" w:hAnsi="Cambria Math"/>
                    <w:szCs w:val="20"/>
                    <w:lang w:val="cs-CZ"/>
                  </w:rPr>
                  <m:t>v</m:t>
                </m:r>
              </m:e>
              <m:sup>
                <m:r>
                  <w:rPr>
                    <w:rFonts w:ascii="Cambria Math" w:hAnsi="Cambria Math"/>
                    <w:szCs w:val="20"/>
                    <w:lang w:val="cs-CZ"/>
                  </w:rPr>
                  <m:t>2</m:t>
                </m:r>
              </m:sup>
            </m:sSup>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SOLL</m:t>
                </m:r>
              </m:sub>
            </m:sSub>
          </m:sub>
        </m:sSub>
        <m:r>
          <w:rPr>
            <w:rFonts w:ascii="Cambria Math" w:hAnsi="Cambria Math"/>
            <w:szCs w:val="20"/>
            <w:lang w:val="cs-CZ"/>
          </w:rPr>
          <m:t xml:space="preserve"> ∙ </m:t>
        </m:r>
        <m:f>
          <m:fPr>
            <m:ctrlPr>
              <w:rPr>
                <w:rFonts w:ascii="Cambria Math" w:hAnsi="Cambria Math"/>
                <w:i/>
                <w:szCs w:val="20"/>
                <w:lang w:val="cs-CZ"/>
              </w:rPr>
            </m:ctrlPr>
          </m:fPr>
          <m:num>
            <m:sSub>
              <m:sSubPr>
                <m:ctrlPr>
                  <w:rPr>
                    <w:rFonts w:ascii="Cambria Math" w:hAnsi="Cambria Math"/>
                    <w:i/>
                    <w:szCs w:val="20"/>
                    <w:lang w:val="cs-CZ"/>
                  </w:rPr>
                </m:ctrlPr>
              </m:sSubPr>
              <m:e>
                <m:r>
                  <w:rPr>
                    <w:rFonts w:ascii="Cambria Math" w:hAnsi="Cambria Math"/>
                    <w:szCs w:val="20"/>
                    <w:lang w:val="cs-CZ"/>
                  </w:rPr>
                  <m:t>D</m:t>
                </m:r>
              </m:e>
              <m:sub>
                <m:r>
                  <w:rPr>
                    <w:rFonts w:ascii="Cambria Math" w:hAnsi="Cambria Math"/>
                    <w:szCs w:val="20"/>
                    <w:lang w:val="cs-CZ"/>
                  </w:rPr>
                  <m:t>SOLL</m:t>
                </m:r>
              </m:sub>
            </m:sSub>
            <m:r>
              <w:rPr>
                <w:rFonts w:ascii="Cambria Math" w:hAnsi="Cambria Math"/>
                <w:szCs w:val="20"/>
                <w:lang w:val="cs-CZ"/>
              </w:rPr>
              <m:t xml:space="preserve"> ∙  g</m:t>
            </m:r>
          </m:num>
          <m:den>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3</m:t>
                </m:r>
              </m:sub>
            </m:sSub>
            <m:r>
              <w:rPr>
                <w:rFonts w:ascii="Cambria Math" w:hAnsi="Cambria Math"/>
                <w:szCs w:val="20"/>
                <w:lang w:val="cs-CZ"/>
              </w:rPr>
              <m:t xml:space="preserve"> ∙ </m:t>
            </m:r>
            <m:sSub>
              <m:sSubPr>
                <m:ctrlPr>
                  <w:rPr>
                    <w:rFonts w:ascii="Cambria Math" w:hAnsi="Cambria Math"/>
                    <w:i/>
                    <w:szCs w:val="20"/>
                    <w:lang w:val="cs-CZ"/>
                  </w:rPr>
                </m:ctrlPr>
              </m:sSubPr>
              <m:e>
                <m:r>
                  <w:rPr>
                    <w:rFonts w:ascii="Cambria Math" w:hAnsi="Cambria Math"/>
                    <w:szCs w:val="20"/>
                    <w:lang w:val="cs-CZ"/>
                  </w:rPr>
                  <m:t>F</m:t>
                </m:r>
              </m:e>
              <m:sub>
                <m:r>
                  <w:rPr>
                    <w:rFonts w:ascii="Cambria Math" w:hAnsi="Cambria Math"/>
                    <w:szCs w:val="20"/>
                    <w:lang w:val="cs-CZ"/>
                  </w:rPr>
                  <m:t>POR</m:t>
                </m:r>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R</m:t>
                </m:r>
              </m:e>
              <m:sub>
                <m:sSub>
                  <m:sSubPr>
                    <m:ctrlPr>
                      <w:rPr>
                        <w:rFonts w:ascii="Cambria Math" w:hAnsi="Cambria Math"/>
                        <w:i/>
                        <w:szCs w:val="20"/>
                        <w:lang w:val="cs-CZ"/>
                      </w:rPr>
                    </m:ctrlPr>
                  </m:sSubPr>
                  <m:e>
                    <m:r>
                      <w:rPr>
                        <w:rFonts w:ascii="Cambria Math" w:hAnsi="Cambria Math"/>
                        <w:szCs w:val="20"/>
                        <w:lang w:val="cs-CZ"/>
                      </w:rPr>
                      <m:t>TmII</m:t>
                    </m:r>
                  </m:e>
                  <m:sub>
                    <m:r>
                      <w:rPr>
                        <w:rFonts w:ascii="Cambria Math" w:hAnsi="Cambria Math"/>
                        <w:szCs w:val="20"/>
                        <w:lang w:val="cs-CZ"/>
                      </w:rPr>
                      <m:t>SOLL</m:t>
                    </m:r>
                  </m:sub>
                </m:sSub>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G</m:t>
                </m:r>
              </m:sub>
            </m:sSub>
          </m:den>
        </m:f>
        <m:r>
          <w:rPr>
            <w:rFonts w:ascii="Cambria Math" w:hAnsi="Cambria Math"/>
            <w:szCs w:val="20"/>
            <w:lang w:val="cs-CZ"/>
          </w:rPr>
          <m:t xml:space="preserve"> ∙ </m:t>
        </m:r>
        <m:d>
          <m:dPr>
            <m:ctrlPr>
              <w:rPr>
                <w:rFonts w:ascii="Cambria Math" w:hAnsi="Cambria Math"/>
                <w:i/>
                <w:szCs w:val="20"/>
                <w:lang w:val="cs-CZ"/>
              </w:rPr>
            </m:ctrlPr>
          </m:dPr>
          <m:e>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4</m:t>
                </m:r>
              </m:sub>
            </m:sSub>
            <m:r>
              <w:rPr>
                <w:rFonts w:ascii="Cambria Math" w:hAnsi="Cambria Math"/>
                <w:szCs w:val="20"/>
                <w:lang w:val="cs-CZ"/>
              </w:rPr>
              <m:t xml:space="preserve">+ </m:t>
            </m:r>
            <m:f>
              <m:fPr>
                <m:ctrlPr>
                  <w:rPr>
                    <w:rFonts w:ascii="Cambria Math" w:hAnsi="Cambria Math"/>
                    <w:i/>
                    <w:szCs w:val="20"/>
                    <w:lang w:val="cs-CZ"/>
                  </w:rPr>
                </m:ctrlPr>
              </m:fPr>
              <m:num>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STR</m:t>
                        </m:r>
                      </m:e>
                      <m:sub>
                        <m:r>
                          <w:rPr>
                            <w:rFonts w:ascii="Cambria Math" w:hAnsi="Cambria Math"/>
                            <w:szCs w:val="20"/>
                            <w:lang w:val="cs-CZ"/>
                          </w:rPr>
                          <m:t>SOLL</m:t>
                        </m:r>
                      </m:sub>
                    </m:sSub>
                  </m:sub>
                </m:sSub>
              </m:num>
              <m:den>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SOLL</m:t>
                        </m:r>
                      </m:sub>
                    </m:sSub>
                  </m:sub>
                </m:sSub>
              </m:den>
            </m:f>
          </m:e>
        </m:d>
      </m:oMath>
    </w:p>
    <w:p w:rsidR="003B6E11" w:rsidRPr="003B6E11" w:rsidRDefault="003B6E11" w:rsidP="003B6E11">
      <w:pPr>
        <w:tabs>
          <w:tab w:val="left" w:pos="1843"/>
          <w:tab w:val="left" w:pos="2127"/>
          <w:tab w:val="center" w:pos="5103"/>
          <w:tab w:val="left" w:pos="6804"/>
          <w:tab w:val="center" w:pos="7938"/>
        </w:tabs>
        <w:overflowPunct w:val="0"/>
        <w:adjustRightInd w:val="0"/>
        <w:spacing w:line="240" w:lineRule="atLeast"/>
        <w:ind w:left="992"/>
        <w:textAlignment w:val="baseline"/>
        <w:rPr>
          <w:szCs w:val="20"/>
          <w:lang w:val="cs-CZ"/>
        </w:rPr>
      </w:pPr>
    </w:p>
    <w:p w:rsidR="003B6E11" w:rsidRPr="003B6E11" w:rsidRDefault="003B6E11" w:rsidP="003B6E11">
      <w:pPr>
        <w:tabs>
          <w:tab w:val="left" w:pos="992"/>
        </w:tabs>
        <w:overflowPunct w:val="0"/>
        <w:adjustRightInd w:val="0"/>
        <w:spacing w:before="60" w:line="240" w:lineRule="atLeast"/>
        <w:ind w:left="992"/>
        <w:textAlignment w:val="baseline"/>
        <w:rPr>
          <w:szCs w:val="20"/>
          <w:lang w:val="cs-CZ"/>
        </w:rPr>
      </w:pPr>
      <w:r w:rsidRPr="003B6E11">
        <w:rPr>
          <w:lang w:val="cs-CZ"/>
        </w:rPr>
        <w:t>c)</w:t>
      </w:r>
      <w:r w:rsidRPr="003B6E11">
        <w:rPr>
          <w:lang w:val="cs-CZ"/>
        </w:rPr>
        <w:tab/>
        <w:t xml:space="preserve">výpočet </w:t>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R</m:t>
                </m:r>
              </m:e>
              <m:sub>
                <m:r>
                  <w:rPr>
                    <w:rFonts w:ascii="Cambria Math" w:hAnsi="Cambria Math"/>
                    <w:noProof/>
                    <w:lang w:val="cs-CZ"/>
                  </w:rPr>
                  <m:t>TmII</m:t>
                </m:r>
              </m:sub>
            </m:sSub>
          </m:e>
          <m:sub>
            <m:r>
              <w:rPr>
                <w:rFonts w:ascii="Cambria Math" w:hAnsi="Cambria Math"/>
                <w:noProof/>
                <w:lang w:val="cs-CZ"/>
              </w:rPr>
              <m:t>SOLL</m:t>
            </m:r>
          </m:sub>
        </m:sSub>
      </m:oMath>
    </w:p>
    <w:p w:rsidR="003B6E11" w:rsidRPr="003B6E11" w:rsidRDefault="003B6E11" w:rsidP="003B6E11">
      <w:pPr>
        <w:overflowPunct w:val="0"/>
        <w:adjustRightInd w:val="0"/>
        <w:spacing w:line="240" w:lineRule="atLeast"/>
        <w:ind w:left="993"/>
        <w:textAlignment w:val="baseline"/>
        <w:rPr>
          <w:szCs w:val="20"/>
          <w:lang w:val="cs-CZ"/>
        </w:rPr>
      </w:pPr>
    </w:p>
    <w:p w:rsidR="003B6E11" w:rsidRPr="003B6E11" w:rsidRDefault="002D015D" w:rsidP="003B6E11">
      <w:pPr>
        <w:overflowPunct w:val="0"/>
        <w:adjustRightInd w:val="0"/>
        <w:spacing w:line="240" w:lineRule="atLeast"/>
        <w:ind w:left="993"/>
        <w:textAlignment w:val="baseline"/>
        <w:rPr>
          <w:szCs w:val="20"/>
          <w:lang w:val="cs-CZ"/>
        </w:rPr>
      </w:pPr>
      <m:oMath>
        <m:f>
          <m:fPr>
            <m:ctrlPr>
              <w:rPr>
                <w:rFonts w:ascii="Cambria Math" w:hAnsi="Cambria Math"/>
                <w:i/>
                <w:szCs w:val="20"/>
                <w:lang w:val="cs-CZ"/>
              </w:rPr>
            </m:ctrlPr>
          </m:fPr>
          <m:num>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T</m:t>
                </m:r>
              </m:sub>
            </m:sSub>
          </m:num>
          <m:den>
            <m:sSup>
              <m:sSupPr>
                <m:ctrlPr>
                  <w:rPr>
                    <w:rFonts w:ascii="Cambria Math" w:hAnsi="Cambria Math"/>
                    <w:i/>
                    <w:szCs w:val="20"/>
                    <w:lang w:val="cs-CZ"/>
                  </w:rPr>
                </m:ctrlPr>
              </m:sSupPr>
              <m:e>
                <m:r>
                  <w:rPr>
                    <w:rFonts w:ascii="Cambria Math" w:hAnsi="Cambria Math"/>
                    <w:szCs w:val="20"/>
                    <w:lang w:val="cs-CZ"/>
                  </w:rPr>
                  <m:t>v</m:t>
                </m:r>
              </m:e>
              <m:sup>
                <m:r>
                  <w:rPr>
                    <w:rFonts w:ascii="Cambria Math" w:hAnsi="Cambria Math"/>
                    <w:szCs w:val="20"/>
                    <w:lang w:val="cs-CZ"/>
                  </w:rPr>
                  <m:t>2</m:t>
                </m:r>
              </m:sup>
            </m:sSup>
          </m:den>
        </m:f>
        <m:r>
          <w:rPr>
            <w:rFonts w:ascii="Cambria Math" w:hAnsi="Cambria Math"/>
            <w:szCs w:val="20"/>
            <w:lang w:val="cs-CZ"/>
          </w:rPr>
          <m:t xml:space="preserve">=10,8 </m:t>
        </m:r>
        <m:d>
          <m:dPr>
            <m:ctrlPr>
              <w:rPr>
                <w:rFonts w:ascii="Cambria Math" w:hAnsi="Cambria Math"/>
                <w:i/>
                <w:szCs w:val="20"/>
                <w:lang w:val="cs-CZ"/>
              </w:rPr>
            </m:ctrlPr>
          </m:dPr>
          <m:e>
            <m:f>
              <m:fPr>
                <m:ctrlPr>
                  <w:rPr>
                    <w:rFonts w:ascii="Cambria Math" w:hAnsi="Cambria Math"/>
                    <w:i/>
                    <w:szCs w:val="20"/>
                    <w:lang w:val="cs-CZ"/>
                  </w:rPr>
                </m:ctrlPr>
              </m:fPr>
              <m:num>
                <m:r>
                  <w:rPr>
                    <w:rFonts w:ascii="Cambria Math" w:hAnsi="Cambria Math"/>
                    <w:szCs w:val="20"/>
                    <w:lang w:val="cs-CZ"/>
                  </w:rPr>
                  <m:t xml:space="preserve">kN ∙ </m:t>
                </m:r>
                <m:sSup>
                  <m:sSupPr>
                    <m:ctrlPr>
                      <w:rPr>
                        <w:rFonts w:ascii="Cambria Math" w:hAnsi="Cambria Math"/>
                        <w:i/>
                        <w:szCs w:val="20"/>
                        <w:lang w:val="cs-CZ"/>
                      </w:rPr>
                    </m:ctrlPr>
                  </m:sSupPr>
                  <m:e>
                    <m:r>
                      <w:rPr>
                        <w:rFonts w:ascii="Cambria Math" w:hAnsi="Cambria Math"/>
                        <w:szCs w:val="20"/>
                        <w:lang w:val="cs-CZ"/>
                      </w:rPr>
                      <m:t>s</m:t>
                    </m:r>
                  </m:e>
                  <m:sup>
                    <m:r>
                      <w:rPr>
                        <w:rFonts w:ascii="Cambria Math" w:hAnsi="Cambria Math"/>
                        <w:szCs w:val="20"/>
                        <w:lang w:val="cs-CZ"/>
                      </w:rPr>
                      <m:t>2</m:t>
                    </m:r>
                  </m:sup>
                </m:sSup>
              </m:num>
              <m:den>
                <m:sSup>
                  <m:sSupPr>
                    <m:ctrlPr>
                      <w:rPr>
                        <w:rFonts w:ascii="Cambria Math" w:hAnsi="Cambria Math"/>
                        <w:i/>
                        <w:szCs w:val="20"/>
                        <w:lang w:val="cs-CZ"/>
                      </w:rPr>
                    </m:ctrlPr>
                  </m:sSupPr>
                  <m:e>
                    <m:r>
                      <w:rPr>
                        <w:rFonts w:ascii="Cambria Math" w:hAnsi="Cambria Math"/>
                        <w:szCs w:val="20"/>
                        <w:lang w:val="cs-CZ"/>
                      </w:rPr>
                      <m:t>m</m:t>
                    </m:r>
                  </m:e>
                  <m:sup>
                    <m:r>
                      <w:rPr>
                        <w:rFonts w:ascii="Cambria Math" w:hAnsi="Cambria Math"/>
                        <w:szCs w:val="20"/>
                        <w:lang w:val="cs-CZ"/>
                      </w:rPr>
                      <m:t>2</m:t>
                    </m:r>
                  </m:sup>
                </m:sSup>
              </m:den>
            </m:f>
          </m:e>
        </m:d>
      </m:oMath>
      <w:r w:rsidR="003B6E11" w:rsidRPr="003B6E11">
        <w:rPr>
          <w:lang w:val="cs-CZ"/>
        </w:rPr>
        <w:tab/>
        <w:t xml:space="preserve">jako v bodě 4.2, protože </w:t>
      </w:r>
      <m:oMath>
        <m:r>
          <w:rPr>
            <w:rFonts w:ascii="Cambria Math" w:hAnsi="Cambria Math"/>
            <w:szCs w:val="20"/>
            <w:lang w:val="cs-CZ"/>
          </w:rPr>
          <m:t>B</m:t>
        </m:r>
      </m:oMath>
      <w:r w:rsidR="003B6E11" w:rsidRPr="003B6E11">
        <w:rPr>
          <w:lang w:val="cs-CZ"/>
        </w:rPr>
        <w:t xml:space="preserve">, </w:t>
      </w:r>
      <m:oMath>
        <m:r>
          <w:rPr>
            <w:rFonts w:ascii="Cambria Math" w:hAnsi="Cambria Math"/>
            <w:szCs w:val="20"/>
            <w:lang w:val="cs-CZ"/>
          </w:rPr>
          <m:t>D</m:t>
        </m:r>
      </m:oMath>
      <w:r w:rsidR="003B6E11" w:rsidRPr="003B6E11">
        <w:rPr>
          <w:lang w:val="cs-CZ"/>
        </w:rPr>
        <w:t xml:space="preserve"> a </w:t>
      </w:r>
      <m:oMath>
        <m:r>
          <w:rPr>
            <w:rFonts w:ascii="Cambria Math" w:hAnsi="Cambria Math"/>
            <w:szCs w:val="20"/>
            <w:lang w:val="cs-CZ"/>
          </w:rPr>
          <m:t>T</m:t>
        </m:r>
      </m:oMath>
      <w:r w:rsidR="003B6E11" w:rsidRPr="003B6E11">
        <w:rPr>
          <w:lang w:val="cs-CZ"/>
        </w:rPr>
        <w:t xml:space="preserve"> jsou nezměněny</w:t>
      </w:r>
    </w:p>
    <w:p w:rsidR="003B6E11" w:rsidRPr="003B6E11" w:rsidRDefault="003B6E11" w:rsidP="003B6E11">
      <w:pPr>
        <w:overflowPunct w:val="0"/>
        <w:adjustRightInd w:val="0"/>
        <w:spacing w:line="240" w:lineRule="exact"/>
        <w:textAlignment w:val="baseline"/>
        <w:rPr>
          <w:szCs w:val="20"/>
          <w:lang w:val="cs-CZ"/>
        </w:rPr>
      </w:pPr>
    </w:p>
    <w:p w:rsidR="003B6E11" w:rsidRPr="003B6E11" w:rsidRDefault="002D015D" w:rsidP="003B6E11">
      <w:pPr>
        <w:overflowPunct w:val="0"/>
        <w:adjustRightInd w:val="0"/>
        <w:spacing w:line="240" w:lineRule="atLeast"/>
        <w:ind w:left="992"/>
        <w:textAlignment w:val="baseline"/>
        <w:rPr>
          <w:szCs w:val="20"/>
          <w:lang w:val="cs-CZ"/>
        </w:rPr>
      </w:pPr>
      <m:oMathPara>
        <m:oMathParaPr>
          <m:jc m:val="left"/>
        </m:oMathParaPr>
        <m:oMath>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L</m:t>
                  </m:r>
                </m:e>
                <m:sub>
                  <m:r>
                    <w:rPr>
                      <w:rFonts w:ascii="Cambria Math" w:hAnsi="Cambria Math"/>
                      <w:szCs w:val="20"/>
                      <w:lang w:val="cs-CZ"/>
                    </w:rPr>
                    <m:t>SOLL</m:t>
                  </m:r>
                </m:sub>
              </m:sSub>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STR</m:t>
                  </m:r>
                </m:e>
                <m:sub>
                  <m:r>
                    <w:rPr>
                      <w:rFonts w:ascii="Cambria Math" w:hAnsi="Cambria Math"/>
                      <w:szCs w:val="20"/>
                      <w:lang w:val="cs-CZ"/>
                    </w:rPr>
                    <m:t>SOLL</m:t>
                  </m:r>
                </m:sub>
              </m:sSub>
            </m:sub>
          </m:sSub>
          <m:r>
            <w:rPr>
              <w:rFonts w:ascii="Cambria Math" w:hAnsi="Cambria Math"/>
              <w:szCs w:val="20"/>
              <w:lang w:val="cs-CZ"/>
            </w:rPr>
            <m:t xml:space="preserve">=3,6 </m:t>
          </m:r>
          <m:d>
            <m:dPr>
              <m:begChr m:val="["/>
              <m:endChr m:val="]"/>
              <m:ctrlPr>
                <w:rPr>
                  <w:rFonts w:ascii="Cambria Math" w:hAnsi="Cambria Math"/>
                  <w:i/>
                  <w:szCs w:val="20"/>
                  <w:lang w:val="cs-CZ"/>
                </w:rPr>
              </m:ctrlPr>
            </m:dPr>
            <m:e>
              <m:r>
                <w:rPr>
                  <w:rFonts w:ascii="Cambria Math" w:hAnsi="Cambria Math"/>
                  <w:szCs w:val="20"/>
                  <w:lang w:val="cs-CZ"/>
                </w:rPr>
                <m:t>m/s</m:t>
              </m:r>
            </m:e>
          </m:d>
        </m:oMath>
      </m:oMathPara>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2D015D" w:rsidP="003B6E11">
      <w:pPr>
        <w:overflowPunct w:val="0"/>
        <w:adjustRightInd w:val="0"/>
        <w:spacing w:line="240" w:lineRule="atLeast"/>
        <w:ind w:left="851"/>
        <w:textAlignment w:val="baseline"/>
        <w:rPr>
          <w:szCs w:val="20"/>
          <w:lang w:val="cs-CZ"/>
        </w:rPr>
      </w:pPr>
      <m:oMathPara>
        <m:oMathParaPr>
          <m:jc m:val="left"/>
        </m:oMathParaP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R</m:t>
                  </m:r>
                </m:e>
                <m:sub>
                  <m:r>
                    <w:rPr>
                      <w:rFonts w:ascii="Cambria Math" w:hAnsi="Cambria Math"/>
                      <w:noProof/>
                      <w:lang w:val="cs-CZ"/>
                    </w:rPr>
                    <m:t>TmII</m:t>
                  </m:r>
                </m:sub>
              </m:sSub>
            </m:e>
            <m:sub>
              <m:r>
                <w:rPr>
                  <w:rFonts w:ascii="Cambria Math" w:hAnsi="Cambria Math"/>
                  <w:noProof/>
                  <w:lang w:val="cs-CZ"/>
                </w:rPr>
                <m:t>SOLL</m:t>
              </m:r>
            </m:sub>
          </m:sSub>
          <m:r>
            <w:rPr>
              <w:rFonts w:ascii="Cambria Math" w:hAnsi="Cambria Math"/>
              <w:noProof/>
              <w:lang w:val="cs-CZ"/>
            </w:rPr>
            <m:t xml:space="preserve">= </m:t>
          </m:r>
          <m:f>
            <m:fPr>
              <m:ctrlPr>
                <w:rPr>
                  <w:rFonts w:ascii="Cambria Math" w:hAnsi="Cambria Math"/>
                  <w:i/>
                  <w:noProof/>
                  <w:lang w:val="cs-CZ"/>
                </w:rPr>
              </m:ctrlPr>
            </m:fPr>
            <m:num>
              <m:sSub>
                <m:sSubPr>
                  <m:ctrlPr>
                    <w:rPr>
                      <w:rFonts w:ascii="Cambria Math" w:hAnsi="Cambria Math"/>
                      <w:i/>
                      <w:noProof/>
                      <w:lang w:val="cs-CZ"/>
                    </w:rPr>
                  </m:ctrlPr>
                </m:sSubPr>
                <m:e>
                  <m:r>
                    <w:rPr>
                      <w:rFonts w:ascii="Cambria Math" w:hAnsi="Cambria Math"/>
                      <w:noProof/>
                      <w:lang w:val="cs-CZ"/>
                    </w:rPr>
                    <m:t>R</m:t>
                  </m:r>
                </m:e>
                <m:sub>
                  <m:r>
                    <w:rPr>
                      <w:rFonts w:ascii="Cambria Math" w:hAnsi="Cambria Math"/>
                      <w:noProof/>
                      <w:lang w:val="cs-CZ"/>
                    </w:rPr>
                    <m:t>T</m:t>
                  </m:r>
                </m:sub>
              </m:sSub>
            </m:num>
            <m:den>
              <m:sSup>
                <m:sSupPr>
                  <m:ctrlPr>
                    <w:rPr>
                      <w:rFonts w:ascii="Cambria Math" w:hAnsi="Cambria Math"/>
                      <w:i/>
                      <w:noProof/>
                      <w:lang w:val="cs-CZ"/>
                    </w:rPr>
                  </m:ctrlPr>
                </m:sSupPr>
                <m:e>
                  <m:r>
                    <w:rPr>
                      <w:rFonts w:ascii="Cambria Math" w:hAnsi="Cambria Math"/>
                      <w:noProof/>
                      <w:lang w:val="cs-CZ"/>
                    </w:rPr>
                    <m:t>v</m:t>
                  </m:r>
                </m:e>
                <m:sup>
                  <m:r>
                    <w:rPr>
                      <w:rFonts w:ascii="Cambria Math" w:hAnsi="Cambria Math"/>
                      <w:noProof/>
                      <w:lang w:val="cs-CZ"/>
                    </w:rPr>
                    <m:t>2</m:t>
                  </m:r>
                </m:sup>
              </m:sSup>
            </m:den>
          </m:f>
          <m:r>
            <w:rPr>
              <w:rFonts w:ascii="Cambria Math" w:hAnsi="Cambria Math"/>
              <w:noProof/>
              <w:lang w:val="cs-CZ"/>
            </w:rPr>
            <m:t xml:space="preserve"> ∙ </m:t>
          </m:r>
          <m:sSup>
            <m:sSupPr>
              <m:ctrlPr>
                <w:rPr>
                  <w:rFonts w:ascii="Cambria Math" w:hAnsi="Cambria Math"/>
                  <w:i/>
                  <w:noProof/>
                  <w:lang w:val="cs-CZ"/>
                </w:rPr>
              </m:ctrlPr>
            </m:sSupPr>
            <m:e>
              <m:d>
                <m:dPr>
                  <m:ctrlPr>
                    <w:rPr>
                      <w:rFonts w:ascii="Cambria Math" w:hAnsi="Cambria Math"/>
                      <w:i/>
                      <w:noProof/>
                      <w:lang w:val="cs-CZ"/>
                    </w:rPr>
                  </m:ctrlPr>
                </m:dPr>
                <m:e>
                  <m:sSub>
                    <m:sSubPr>
                      <m:ctrlPr>
                        <w:rPr>
                          <w:rFonts w:ascii="Cambria Math" w:hAnsi="Cambria Math"/>
                          <w:i/>
                          <w:noProof/>
                          <w:lang w:val="cs-CZ"/>
                        </w:rPr>
                      </m:ctrlPr>
                    </m:sSubPr>
                    <m:e>
                      <m:r>
                        <w:rPr>
                          <w:rFonts w:ascii="Cambria Math" w:hAnsi="Cambria Math"/>
                          <w:noProof/>
                          <w:lang w:val="cs-CZ"/>
                        </w:rPr>
                        <m:t>k</m:t>
                      </m:r>
                    </m:e>
                    <m:sub>
                      <m:r>
                        <w:rPr>
                          <w:rFonts w:ascii="Cambria Math" w:hAnsi="Cambria Math"/>
                          <w:noProof/>
                          <w:lang w:val="cs-CZ"/>
                        </w:rPr>
                        <m:t>7</m:t>
                      </m:r>
                    </m:sub>
                  </m:sSub>
                  <m:r>
                    <w:rPr>
                      <w:rFonts w:ascii="Cambria Math" w:hAnsi="Cambria Math"/>
                      <w:noProof/>
                      <w:lang w:val="cs-CZ"/>
                    </w:rPr>
                    <m:t xml:space="preserve"> ∙ </m:t>
                  </m:r>
                  <m:sSub>
                    <m:sSubPr>
                      <m:ctrlPr>
                        <w:rPr>
                          <w:rFonts w:ascii="Cambria Math" w:hAnsi="Cambria Math"/>
                          <w:i/>
                          <w:noProof/>
                          <w:lang w:val="cs-CZ"/>
                        </w:rPr>
                      </m:ctrlPr>
                    </m:sSubPr>
                    <m:e>
                      <m:r>
                        <w:rPr>
                          <w:rFonts w:ascii="Cambria Math" w:hAnsi="Cambria Math"/>
                          <w:noProof/>
                          <w:lang w:val="cs-CZ"/>
                        </w:rPr>
                        <m:t>k</m:t>
                      </m:r>
                    </m:e>
                    <m:sub>
                      <m:r>
                        <w:rPr>
                          <w:rFonts w:ascii="Cambria Math" w:hAnsi="Cambria Math"/>
                          <w:noProof/>
                          <w:lang w:val="cs-CZ"/>
                        </w:rPr>
                        <m:t>6</m:t>
                      </m:r>
                    </m:sub>
                  </m:sSub>
                  <m:r>
                    <w:rPr>
                      <w:rFonts w:ascii="Cambria Math" w:hAnsi="Cambria Math"/>
                      <w:noProof/>
                      <w:lang w:val="cs-CZ"/>
                    </w:rPr>
                    <m:t xml:space="preserve"> ∙ </m:t>
                  </m:r>
                  <m:d>
                    <m:dPr>
                      <m:ctrlPr>
                        <w:rPr>
                          <w:rFonts w:ascii="Cambria Math" w:hAnsi="Cambria Math"/>
                          <w:i/>
                          <w:noProof/>
                          <w:lang w:val="cs-CZ"/>
                        </w:rPr>
                      </m:ctrlPr>
                    </m:dPr>
                    <m:e>
                      <m:sSub>
                        <m:sSubPr>
                          <m:ctrlPr>
                            <w:rPr>
                              <w:rFonts w:ascii="Cambria Math" w:hAnsi="Cambria Math"/>
                              <w:i/>
                              <w:noProof/>
                              <w:lang w:val="cs-CZ"/>
                            </w:rPr>
                          </m:ctrlPr>
                        </m:sSubPr>
                        <m:e>
                          <m:r>
                            <w:rPr>
                              <w:rFonts w:ascii="Cambria Math" w:hAnsi="Cambria Math"/>
                              <w:noProof/>
                              <w:lang w:val="cs-CZ"/>
                            </w:rPr>
                            <m:t>v</m:t>
                          </m:r>
                        </m:e>
                        <m:sub>
                          <m:sSub>
                            <m:sSubPr>
                              <m:ctrlPr>
                                <w:rPr>
                                  <w:rFonts w:ascii="Cambria Math" w:hAnsi="Cambria Math"/>
                                  <w:i/>
                                  <w:noProof/>
                                  <w:lang w:val="cs-CZ"/>
                                </w:rPr>
                              </m:ctrlPr>
                            </m:sSubPr>
                            <m:e>
                              <m:r>
                                <w:rPr>
                                  <w:rFonts w:ascii="Cambria Math" w:hAnsi="Cambria Math"/>
                                  <w:noProof/>
                                  <w:lang w:val="cs-CZ"/>
                                </w:rPr>
                                <m:t>L</m:t>
                              </m:r>
                            </m:e>
                            <m:sub>
                              <m:r>
                                <w:rPr>
                                  <w:rFonts w:ascii="Cambria Math" w:hAnsi="Cambria Math"/>
                                  <w:noProof/>
                                  <w:lang w:val="cs-CZ"/>
                                </w:rPr>
                                <m:t>SOLL</m:t>
                              </m:r>
                            </m:sub>
                          </m:sSub>
                        </m:sub>
                      </m:sSub>
                      <m:r>
                        <w:rPr>
                          <w:rFonts w:ascii="Cambria Math" w:hAnsi="Cambria Math"/>
                          <w:noProof/>
                          <w:lang w:val="cs-CZ"/>
                        </w:rPr>
                        <m:t xml:space="preserve">- </m:t>
                      </m:r>
                      <m:sSub>
                        <m:sSubPr>
                          <m:ctrlPr>
                            <w:rPr>
                              <w:rFonts w:ascii="Cambria Math" w:hAnsi="Cambria Math"/>
                              <w:i/>
                              <w:noProof/>
                              <w:lang w:val="cs-CZ"/>
                            </w:rPr>
                          </m:ctrlPr>
                        </m:sSubPr>
                        <m:e>
                          <m:r>
                            <w:rPr>
                              <w:rFonts w:ascii="Cambria Math" w:hAnsi="Cambria Math"/>
                              <w:noProof/>
                              <w:lang w:val="cs-CZ"/>
                            </w:rPr>
                            <m:t>v</m:t>
                          </m:r>
                        </m:e>
                        <m:sub>
                          <m:sSub>
                            <m:sSubPr>
                              <m:ctrlPr>
                                <w:rPr>
                                  <w:rFonts w:ascii="Cambria Math" w:hAnsi="Cambria Math"/>
                                  <w:i/>
                                  <w:noProof/>
                                  <w:lang w:val="cs-CZ"/>
                                </w:rPr>
                              </m:ctrlPr>
                            </m:sSubPr>
                            <m:e>
                              <m:r>
                                <w:rPr>
                                  <w:rFonts w:ascii="Cambria Math" w:hAnsi="Cambria Math"/>
                                  <w:noProof/>
                                  <w:lang w:val="cs-CZ"/>
                                </w:rPr>
                                <m:t>STR</m:t>
                              </m:r>
                            </m:e>
                            <m:sub>
                              <m:r>
                                <w:rPr>
                                  <w:rFonts w:ascii="Cambria Math" w:hAnsi="Cambria Math"/>
                                  <w:noProof/>
                                  <w:lang w:val="cs-CZ"/>
                                </w:rPr>
                                <m:t>SOLL</m:t>
                              </m:r>
                            </m:sub>
                          </m:sSub>
                        </m:sub>
                      </m:sSub>
                    </m:e>
                  </m:d>
                </m:e>
              </m:d>
            </m:e>
            <m:sup>
              <m:r>
                <w:rPr>
                  <w:rFonts w:ascii="Cambria Math" w:hAnsi="Cambria Math"/>
                  <w:noProof/>
                  <w:lang w:val="cs-CZ"/>
                </w:rPr>
                <m:t>2</m:t>
              </m:r>
            </m:sup>
          </m:sSup>
          <m:r>
            <w:rPr>
              <w:rFonts w:ascii="Cambria Math" w:hAnsi="Cambria Math"/>
              <w:noProof/>
              <w:lang w:val="cs-CZ"/>
            </w:rPr>
            <m:t xml:space="preserve">=10,8 ∙ </m:t>
          </m:r>
          <m:sSup>
            <m:sSupPr>
              <m:ctrlPr>
                <w:rPr>
                  <w:rFonts w:ascii="Cambria Math" w:hAnsi="Cambria Math"/>
                  <w:i/>
                  <w:noProof/>
                  <w:lang w:val="cs-CZ"/>
                </w:rPr>
              </m:ctrlPr>
            </m:sSupPr>
            <m:e>
              <m:d>
                <m:dPr>
                  <m:ctrlPr>
                    <w:rPr>
                      <w:rFonts w:ascii="Cambria Math" w:hAnsi="Cambria Math"/>
                      <w:i/>
                      <w:noProof/>
                      <w:lang w:val="cs-CZ"/>
                    </w:rPr>
                  </m:ctrlPr>
                </m:dPr>
                <m:e>
                  <m:r>
                    <w:rPr>
                      <w:rFonts w:ascii="Cambria Math" w:hAnsi="Cambria Math"/>
                      <w:noProof/>
                      <w:lang w:val="cs-CZ"/>
                    </w:rPr>
                    <m:t>0,55 ∙0,85 ∙3,6</m:t>
                  </m:r>
                </m:e>
              </m:d>
            </m:e>
            <m:sup>
              <m:r>
                <w:rPr>
                  <w:rFonts w:ascii="Cambria Math" w:hAnsi="Cambria Math"/>
                  <w:noProof/>
                  <w:lang w:val="cs-CZ"/>
                </w:rPr>
                <m:t>2</m:t>
              </m:r>
            </m:sup>
          </m:sSup>
          <m:r>
            <w:rPr>
              <w:rFonts w:ascii="Cambria Math" w:hAnsi="Cambria Math"/>
              <w:noProof/>
              <w:lang w:val="cs-CZ"/>
            </w:rPr>
            <m:t>=</m:t>
          </m:r>
          <m:r>
            <m:rPr>
              <m:sty m:val="bi"/>
            </m:rPr>
            <w:rPr>
              <w:rFonts w:ascii="Cambria Math" w:hAnsi="Cambria Math"/>
              <w:noProof/>
              <w:lang w:val="cs-CZ"/>
            </w:rPr>
            <m:t xml:space="preserve">30,99 </m:t>
          </m:r>
          <m:d>
            <m:dPr>
              <m:begChr m:val="["/>
              <m:endChr m:val="]"/>
              <m:ctrlPr>
                <w:rPr>
                  <w:rFonts w:ascii="Cambria Math" w:hAnsi="Cambria Math"/>
                  <w:b/>
                  <w:i/>
                  <w:noProof/>
                  <w:lang w:val="cs-CZ"/>
                </w:rPr>
              </m:ctrlPr>
            </m:dPr>
            <m:e>
              <m:r>
                <m:rPr>
                  <m:sty m:val="bi"/>
                </m:rPr>
                <w:rPr>
                  <w:rFonts w:ascii="Cambria Math" w:hAnsi="Cambria Math"/>
                  <w:noProof/>
                  <w:lang w:val="cs-CZ"/>
                </w:rPr>
                <m:t>kN</m:t>
              </m:r>
            </m:e>
          </m:d>
        </m:oMath>
      </m:oMathPara>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992"/>
        </w:tabs>
        <w:overflowPunct w:val="0"/>
        <w:adjustRightInd w:val="0"/>
        <w:spacing w:before="60" w:line="240" w:lineRule="atLeast"/>
        <w:ind w:left="992"/>
        <w:textAlignment w:val="baseline"/>
        <w:rPr>
          <w:szCs w:val="20"/>
          <w:lang w:val="cs-CZ"/>
        </w:rPr>
      </w:pPr>
      <w:r w:rsidRPr="003B6E11">
        <w:rPr>
          <w:lang w:val="cs-CZ"/>
        </w:rPr>
        <w:t>d)</w:t>
      </w:r>
      <w:r w:rsidRPr="003B6E11">
        <w:rPr>
          <w:lang w:val="cs-CZ"/>
        </w:rPr>
        <w:tab/>
        <w:t xml:space="preserve">odpor sklonu </w:t>
      </w:r>
      <m:oMath>
        <m:sSub>
          <m:sSubPr>
            <m:ctrlPr>
              <w:rPr>
                <w:rFonts w:ascii="Cambria Math" w:hAnsi="Cambria Math"/>
                <w:i/>
                <w:noProof/>
                <w:lang w:val="cs-CZ"/>
              </w:rPr>
            </m:ctrlPr>
          </m:sSubPr>
          <m:e>
            <m:r>
              <w:rPr>
                <w:rFonts w:ascii="Cambria Math" w:hAnsi="Cambria Math"/>
                <w:noProof/>
                <w:lang w:val="cs-CZ"/>
              </w:rPr>
              <m:t>R</m:t>
            </m:r>
          </m:e>
          <m:sub>
            <m:r>
              <w:rPr>
                <w:rFonts w:ascii="Cambria Math" w:hAnsi="Cambria Math"/>
                <w:noProof/>
                <w:lang w:val="cs-CZ"/>
              </w:rPr>
              <m:t>G</m:t>
            </m:r>
          </m:sub>
        </m:sSub>
      </m:oMath>
      <w:r w:rsidRPr="003B6E11">
        <w:rPr>
          <w:lang w:val="cs-CZ"/>
        </w:rPr>
        <w:t xml:space="preserve"> jako v bodě 4.2</w:t>
      </w:r>
    </w:p>
    <w:p w:rsidR="003B6E11" w:rsidRPr="003B6E11" w:rsidRDefault="003B6E11" w:rsidP="003B6E11">
      <w:pPr>
        <w:tabs>
          <w:tab w:val="left" w:pos="992"/>
        </w:tabs>
        <w:overflowPunct w:val="0"/>
        <w:adjustRightInd w:val="0"/>
        <w:spacing w:line="240" w:lineRule="atLeast"/>
        <w:ind w:left="992"/>
        <w:textAlignment w:val="baseline"/>
        <w:rPr>
          <w:szCs w:val="20"/>
          <w:lang w:val="cs-CZ"/>
        </w:rPr>
      </w:pPr>
    </w:p>
    <w:p w:rsidR="003B6E11" w:rsidRPr="003B6E11" w:rsidRDefault="003B6E11" w:rsidP="003B6E11">
      <w:pPr>
        <w:tabs>
          <w:tab w:val="left" w:pos="992"/>
        </w:tabs>
        <w:overflowPunct w:val="0"/>
        <w:adjustRightInd w:val="0"/>
        <w:spacing w:before="60" w:line="240" w:lineRule="atLeast"/>
        <w:ind w:left="992"/>
        <w:textAlignment w:val="baseline"/>
        <w:rPr>
          <w:szCs w:val="20"/>
          <w:lang w:val="cs-CZ"/>
        </w:rPr>
      </w:pPr>
      <w:r w:rsidRPr="003B6E11">
        <w:rPr>
          <w:lang w:val="cs-CZ"/>
        </w:rPr>
        <w:t>e)</w:t>
      </w:r>
      <w:r w:rsidRPr="003B6E11">
        <w:rPr>
          <w:lang w:val="cs-CZ"/>
        </w:rPr>
        <w:tab/>
        <w:t xml:space="preserve">výpočet </w:t>
      </w:r>
      <m:oMath>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SOLL</m:t>
                </m:r>
              </m:sub>
            </m:sSub>
          </m:sub>
        </m:sSub>
      </m:oMath>
    </w:p>
    <w:p w:rsidR="003B6E11" w:rsidRPr="003B6E11" w:rsidRDefault="003B6E11" w:rsidP="003B6E11">
      <w:pPr>
        <w:tabs>
          <w:tab w:val="left" w:pos="454"/>
        </w:tabs>
        <w:overflowPunct w:val="0"/>
        <w:adjustRightInd w:val="0"/>
        <w:spacing w:line="240" w:lineRule="atLeast"/>
        <w:ind w:left="454" w:firstLine="539"/>
        <w:textAlignment w:val="baseline"/>
        <w:rPr>
          <w:szCs w:val="20"/>
          <w:lang w:val="cs-CZ"/>
        </w:rPr>
      </w:pPr>
    </w:p>
    <w:p w:rsidR="003B6E11" w:rsidRPr="003B6E11" w:rsidRDefault="002D015D" w:rsidP="003B6E11">
      <w:pPr>
        <w:overflowPunct w:val="0"/>
        <w:adjustRightInd w:val="0"/>
        <w:spacing w:line="240" w:lineRule="atLeast"/>
        <w:ind w:left="993"/>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SOLL</m:t>
                </m:r>
              </m:sub>
            </m:sSub>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6</m:t>
            </m:r>
          </m:sub>
        </m:sSub>
        <m:r>
          <w:rPr>
            <w:rFonts w:ascii="Cambria Math" w:hAnsi="Cambria Math"/>
            <w:szCs w:val="20"/>
            <w:lang w:val="cs-CZ"/>
          </w:rPr>
          <m:t xml:space="preserve"> ∙ </m:t>
        </m:r>
        <m:d>
          <m:dPr>
            <m:ctrlPr>
              <w:rPr>
                <w:rFonts w:ascii="Cambria Math" w:hAnsi="Cambria Math"/>
                <w:i/>
                <w:szCs w:val="20"/>
                <w:lang w:val="cs-CZ"/>
              </w:rPr>
            </m:ctrlPr>
          </m:dPr>
          <m:e>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L</m:t>
                    </m:r>
                  </m:e>
                  <m:sub>
                    <m:r>
                      <w:rPr>
                        <w:rFonts w:ascii="Cambria Math" w:hAnsi="Cambria Math"/>
                        <w:szCs w:val="20"/>
                        <w:lang w:val="cs-CZ"/>
                      </w:rPr>
                      <m:t>SOLL</m:t>
                    </m:r>
                  </m:sub>
                </m:sSub>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STR</m:t>
                    </m:r>
                  </m:e>
                  <m:sub>
                    <m:r>
                      <w:rPr>
                        <w:rFonts w:ascii="Cambria Math" w:hAnsi="Cambria Math"/>
                        <w:szCs w:val="20"/>
                        <w:lang w:val="cs-CZ"/>
                      </w:rPr>
                      <m:t>SOLL</m:t>
                    </m:r>
                  </m:sub>
                </m:sSub>
              </m:sub>
            </m:sSub>
          </m:e>
        </m:d>
        <m:r>
          <w:rPr>
            <w:rFonts w:ascii="Cambria Math" w:hAnsi="Cambria Math"/>
            <w:szCs w:val="20"/>
            <w:lang w:val="cs-CZ"/>
          </w:rPr>
          <m:t>=0,85 ∙3,6=</m:t>
        </m:r>
        <m:r>
          <m:rPr>
            <m:sty m:val="bi"/>
          </m:rPr>
          <w:rPr>
            <w:rFonts w:ascii="Cambria Math" w:hAnsi="Cambria Math"/>
            <w:szCs w:val="20"/>
            <w:lang w:val="cs-CZ"/>
          </w:rPr>
          <m:t>3,06</m:t>
        </m:r>
        <m:r>
          <w:rPr>
            <w:rFonts w:ascii="Cambria Math" w:hAnsi="Cambria Math"/>
            <w:szCs w:val="20"/>
            <w:lang w:val="cs-CZ"/>
          </w:rPr>
          <m:t xml:space="preserve"> </m:t>
        </m:r>
        <m:d>
          <m:dPr>
            <m:begChr m:val="["/>
            <m:endChr m:val="]"/>
            <m:ctrlPr>
              <w:rPr>
                <w:rFonts w:ascii="Cambria Math" w:hAnsi="Cambria Math"/>
                <w:i/>
                <w:szCs w:val="20"/>
                <w:lang w:val="cs-CZ"/>
              </w:rPr>
            </m:ctrlPr>
          </m:dPr>
          <m:e>
            <m:r>
              <w:rPr>
                <w:rFonts w:ascii="Cambria Math" w:hAnsi="Cambria Math"/>
                <w:szCs w:val="20"/>
                <w:lang w:val="cs-CZ"/>
              </w:rPr>
              <m:t>m/s</m:t>
            </m:r>
          </m:e>
        </m:d>
        <m:r>
          <w:rPr>
            <w:rFonts w:ascii="Cambria Math" w:hAnsi="Cambria Math"/>
            <w:szCs w:val="20"/>
            <w:lang w:val="cs-CZ"/>
          </w:rPr>
          <m:t>,</m:t>
        </m:r>
      </m:oMath>
      <w:r w:rsidR="003B6E11" w:rsidRPr="003B6E11">
        <w:rPr>
          <w:lang w:val="cs-CZ"/>
        </w:rPr>
        <w:t xml:space="preserve">  </w:t>
      </w:r>
      <m:oMath>
        <m:sSub>
          <m:sSubPr>
            <m:ctrlPr>
              <w:rPr>
                <w:rFonts w:ascii="Cambria Math" w:hAnsi="Cambria Math"/>
                <w:i/>
                <w:szCs w:val="20"/>
                <w:lang w:val="cs-CZ"/>
              </w:rPr>
            </m:ctrlPr>
          </m:sSubPr>
          <m:e>
            <m:sSup>
              <m:sSupPr>
                <m:ctrlPr>
                  <w:rPr>
                    <w:rFonts w:ascii="Cambria Math" w:hAnsi="Cambria Math"/>
                    <w:i/>
                    <w:szCs w:val="20"/>
                    <w:lang w:val="cs-CZ"/>
                  </w:rPr>
                </m:ctrlPr>
              </m:sSupPr>
              <m:e>
                <m:r>
                  <w:rPr>
                    <w:rFonts w:ascii="Cambria Math" w:hAnsi="Cambria Math"/>
                    <w:szCs w:val="20"/>
                    <w:lang w:val="cs-CZ"/>
                  </w:rPr>
                  <m:t>v</m:t>
                </m:r>
              </m:e>
              <m:sup>
                <m:r>
                  <w:rPr>
                    <w:rFonts w:ascii="Cambria Math" w:hAnsi="Cambria Math"/>
                    <w:szCs w:val="20"/>
                    <w:lang w:val="cs-CZ"/>
                  </w:rPr>
                  <m:t>2</m:t>
                </m:r>
              </m:sup>
            </m:sSup>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SOLL</m:t>
                </m:r>
              </m:sub>
            </m:sSub>
          </m:sub>
        </m:sSub>
        <m:r>
          <w:rPr>
            <w:rFonts w:ascii="Cambria Math" w:hAnsi="Cambria Math"/>
            <w:szCs w:val="20"/>
            <w:lang w:val="cs-CZ"/>
          </w:rPr>
          <m:t xml:space="preserve">=9,36 </m:t>
        </m:r>
        <m:sSup>
          <m:sSupPr>
            <m:ctrlPr>
              <w:rPr>
                <w:rFonts w:ascii="Cambria Math" w:hAnsi="Cambria Math"/>
                <w:i/>
                <w:szCs w:val="20"/>
                <w:lang w:val="cs-CZ"/>
              </w:rPr>
            </m:ctrlPr>
          </m:sSupPr>
          <m:e>
            <m:d>
              <m:dPr>
                <m:begChr m:val="["/>
                <m:endChr m:val="]"/>
                <m:ctrlPr>
                  <w:rPr>
                    <w:rFonts w:ascii="Cambria Math" w:hAnsi="Cambria Math"/>
                    <w:i/>
                    <w:szCs w:val="20"/>
                    <w:lang w:val="cs-CZ"/>
                  </w:rPr>
                </m:ctrlPr>
              </m:dPr>
              <m:e>
                <m:r>
                  <w:rPr>
                    <w:rFonts w:ascii="Cambria Math" w:hAnsi="Cambria Math"/>
                    <w:szCs w:val="20"/>
                    <w:lang w:val="cs-CZ"/>
                  </w:rPr>
                  <m:t>m/s</m:t>
                </m:r>
              </m:e>
            </m:d>
          </m:e>
          <m:sup>
            <m:r>
              <w:rPr>
                <w:rFonts w:ascii="Cambria Math" w:hAnsi="Cambria Math"/>
                <w:szCs w:val="20"/>
                <w:lang w:val="cs-CZ"/>
              </w:rPr>
              <m:t>2</m:t>
            </m:r>
          </m:sup>
        </m:sSup>
      </m:oMath>
    </w:p>
    <w:p w:rsidR="003B6E11" w:rsidRPr="003B6E11" w:rsidRDefault="003B6E11" w:rsidP="003B6E11">
      <w:pPr>
        <w:tabs>
          <w:tab w:val="left" w:pos="0"/>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992"/>
        </w:tabs>
        <w:overflowPunct w:val="0"/>
        <w:adjustRightInd w:val="0"/>
        <w:spacing w:before="60" w:line="240" w:lineRule="atLeast"/>
        <w:ind w:left="992"/>
        <w:textAlignment w:val="baseline"/>
        <w:rPr>
          <w:szCs w:val="20"/>
          <w:lang w:val="cs-CZ"/>
        </w:rPr>
      </w:pPr>
      <w:r w:rsidRPr="003B6E11">
        <w:rPr>
          <w:lang w:val="cs-CZ"/>
        </w:rPr>
        <w:t>f)</w:t>
      </w:r>
      <w:r w:rsidRPr="003B6E11">
        <w:rPr>
          <w:lang w:val="cs-CZ"/>
        </w:rPr>
        <w:tab/>
      </w:r>
      <m:oMath>
        <m:sSub>
          <m:sSubPr>
            <m:ctrlPr>
              <w:rPr>
                <w:rFonts w:ascii="Cambria Math" w:hAnsi="Cambria Math"/>
                <w:i/>
                <w:szCs w:val="20"/>
                <w:lang w:val="cs-CZ"/>
              </w:rPr>
            </m:ctrlPr>
          </m:sSubPr>
          <m:e>
            <m:r>
              <w:rPr>
                <w:rFonts w:ascii="Cambria Math" w:hAnsi="Cambria Math"/>
                <w:szCs w:val="20"/>
                <w:lang w:val="cs-CZ"/>
              </w:rPr>
              <m:t>F</m:t>
            </m:r>
          </m:e>
          <m:sub>
            <m:r>
              <w:rPr>
                <w:rFonts w:ascii="Cambria Math" w:hAnsi="Cambria Math"/>
                <w:szCs w:val="20"/>
                <w:lang w:val="cs-CZ"/>
              </w:rPr>
              <m:t>POR</m:t>
            </m:r>
          </m:sub>
        </m:sSub>
      </m:oMath>
      <w:r w:rsidRPr="003B6E11">
        <w:rPr>
          <w:lang w:val="cs-CZ"/>
        </w:rPr>
        <w:t xml:space="preserve"> jako v bodě 4.2</w:t>
      </w:r>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284"/>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992"/>
        </w:tabs>
        <w:overflowPunct w:val="0"/>
        <w:adjustRightInd w:val="0"/>
        <w:spacing w:line="240" w:lineRule="atLeast"/>
        <w:ind w:left="992"/>
        <w:textAlignment w:val="baseline"/>
        <w:rPr>
          <w:szCs w:val="20"/>
          <w:lang w:val="cs-CZ"/>
        </w:rPr>
      </w:pPr>
      <w:r w:rsidRPr="003B6E11">
        <w:rPr>
          <w:lang w:val="cs-CZ"/>
        </w:rPr>
        <w:br w:type="page"/>
      </w:r>
    </w:p>
    <w:p w:rsidR="003B6E11" w:rsidRPr="003B6E11" w:rsidRDefault="003B6E11" w:rsidP="003B6E11">
      <w:pPr>
        <w:tabs>
          <w:tab w:val="left" w:pos="992"/>
        </w:tabs>
        <w:overflowPunct w:val="0"/>
        <w:adjustRightInd w:val="0"/>
        <w:spacing w:before="60" w:line="240" w:lineRule="atLeast"/>
        <w:ind w:left="992"/>
        <w:textAlignment w:val="baseline"/>
        <w:rPr>
          <w:szCs w:val="20"/>
          <w:lang w:val="cs-CZ"/>
        </w:rPr>
      </w:pPr>
      <w:r w:rsidRPr="003B6E11">
        <w:rPr>
          <w:lang w:val="cs-CZ"/>
        </w:rPr>
        <w:t>g)</w:t>
      </w:r>
      <w:r w:rsidRPr="003B6E11">
        <w:rPr>
          <w:lang w:val="cs-CZ"/>
        </w:rPr>
        <w:tab/>
        <w:t xml:space="preserve">výpočet </w:t>
      </w:r>
      <m:oMath>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SOLL</m:t>
                </m:r>
              </m:sub>
            </m:sSub>
          </m:sub>
        </m:sSub>
      </m:oMath>
      <w:r w:rsidRPr="003B6E11">
        <w:rPr>
          <w:lang w:val="cs-CZ"/>
        </w:rPr>
        <w:t xml:space="preserve"> pomocí vzorce v písmenu b) a výsledků podle písmen c) až f)</w:t>
      </w:r>
    </w:p>
    <w:p w:rsidR="003B6E11" w:rsidRPr="003B6E11" w:rsidRDefault="003B6E11" w:rsidP="003B6E11">
      <w:pPr>
        <w:overflowPunct w:val="0"/>
        <w:adjustRightInd w:val="0"/>
        <w:spacing w:line="240" w:lineRule="exact"/>
        <w:ind w:left="993"/>
        <w:textAlignment w:val="baseline"/>
        <w:rPr>
          <w:szCs w:val="20"/>
          <w:lang w:val="cs-CZ"/>
        </w:rPr>
      </w:pPr>
    </w:p>
    <w:p w:rsidR="003B6E11" w:rsidRPr="003B6E11" w:rsidRDefault="002D015D" w:rsidP="003B6E11">
      <w:pPr>
        <w:overflowPunct w:val="0"/>
        <w:adjustRightInd w:val="0"/>
        <w:spacing w:line="240" w:lineRule="atLeast"/>
        <w:ind w:left="992"/>
        <w:textAlignment w:val="baseline"/>
        <w:rPr>
          <w:szCs w:val="20"/>
          <w:lang w:val="cs-CZ"/>
        </w:rPr>
      </w:pPr>
      <m:oMathPara>
        <m:oMathParaPr>
          <m:jc m:val="left"/>
        </m:oMathParaPr>
        <m:oMath>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SOLL</m:t>
                  </m:r>
                </m:sub>
              </m:sSub>
            </m:sub>
          </m:sSub>
          <m:r>
            <w:rPr>
              <w:rFonts w:ascii="Cambria Math" w:hAnsi="Cambria Math"/>
              <w:szCs w:val="20"/>
              <w:lang w:val="cs-CZ"/>
            </w:rPr>
            <m:t xml:space="preserve">=  </m:t>
          </m:r>
          <m:f>
            <m:fPr>
              <m:ctrlPr>
                <w:rPr>
                  <w:rFonts w:ascii="Cambria Math" w:hAnsi="Cambria Math"/>
                  <w:i/>
                  <w:szCs w:val="20"/>
                  <w:lang w:val="cs-CZ"/>
                </w:rPr>
              </m:ctrlPr>
            </m:fPr>
            <m:num>
              <m:r>
                <w:rPr>
                  <w:rFonts w:ascii="Cambria Math" w:hAnsi="Cambria Math"/>
                  <w:szCs w:val="20"/>
                  <w:lang w:val="cs-CZ"/>
                </w:rPr>
                <m:t xml:space="preserve">0,12 ∙9,36 ∙9,81 ∙ </m:t>
              </m:r>
              <m:d>
                <m:dPr>
                  <m:ctrlPr>
                    <w:rPr>
                      <w:rFonts w:ascii="Cambria Math" w:hAnsi="Cambria Math"/>
                      <w:i/>
                      <w:szCs w:val="20"/>
                      <w:lang w:val="cs-CZ"/>
                    </w:rPr>
                  </m:ctrlPr>
                </m:dPr>
                <m:e>
                  <m:r>
                    <w:rPr>
                      <w:rFonts w:ascii="Cambria Math" w:hAnsi="Cambria Math"/>
                      <w:szCs w:val="20"/>
                      <w:lang w:val="cs-CZ"/>
                    </w:rPr>
                    <m:t xml:space="preserve">0,48+ </m:t>
                  </m:r>
                  <m:f>
                    <m:fPr>
                      <m:ctrlPr>
                        <w:rPr>
                          <w:rFonts w:ascii="Cambria Math" w:hAnsi="Cambria Math"/>
                          <w:i/>
                          <w:szCs w:val="20"/>
                          <w:lang w:val="cs-CZ"/>
                        </w:rPr>
                      </m:ctrlPr>
                    </m:fPr>
                    <m:num>
                      <m:r>
                        <w:rPr>
                          <w:rFonts w:ascii="Cambria Math" w:hAnsi="Cambria Math"/>
                          <w:szCs w:val="20"/>
                          <w:lang w:val="cs-CZ"/>
                        </w:rPr>
                        <m:t>1,5</m:t>
                      </m:r>
                    </m:num>
                    <m:den>
                      <m:r>
                        <w:rPr>
                          <w:rFonts w:ascii="Cambria Math" w:hAnsi="Cambria Math"/>
                          <w:szCs w:val="20"/>
                          <w:lang w:val="cs-CZ"/>
                        </w:rPr>
                        <m:t>3,06</m:t>
                      </m:r>
                    </m:den>
                  </m:f>
                </m:e>
              </m:d>
            </m:num>
            <m:den>
              <m:r>
                <w:rPr>
                  <w:rFonts w:ascii="Cambria Math" w:hAnsi="Cambria Math"/>
                  <w:szCs w:val="20"/>
                  <w:lang w:val="cs-CZ"/>
                </w:rPr>
                <m:t>1,15 ∙177+30,99-8,13</m:t>
              </m:r>
            </m:den>
          </m:f>
          <m:r>
            <w:rPr>
              <w:rFonts w:ascii="Cambria Math" w:hAnsi="Cambria Math"/>
              <w:szCs w:val="20"/>
              <w:lang w:val="cs-CZ"/>
            </w:rPr>
            <m:t xml:space="preserve"> ∙5179</m:t>
          </m:r>
        </m:oMath>
      </m:oMathPara>
    </w:p>
    <w:p w:rsidR="003B6E11" w:rsidRPr="003B6E11" w:rsidRDefault="003B6E11" w:rsidP="003B6E11">
      <w:pPr>
        <w:tabs>
          <w:tab w:val="left" w:pos="454"/>
        </w:tabs>
        <w:overflowPunct w:val="0"/>
        <w:adjustRightInd w:val="0"/>
        <w:spacing w:line="240" w:lineRule="atLeast"/>
        <w:ind w:left="454" w:hanging="454"/>
        <w:textAlignment w:val="baseline"/>
        <w:rPr>
          <w:szCs w:val="20"/>
          <w:lang w:val="cs-CZ"/>
        </w:rPr>
      </w:pPr>
      <w:r w:rsidRPr="003B6E11">
        <w:rPr>
          <w:noProof/>
          <w:szCs w:val="20"/>
          <w:lang w:eastAsia="en-GB"/>
        </w:rPr>
        <mc:AlternateContent>
          <mc:Choice Requires="wps">
            <w:drawing>
              <wp:anchor distT="0" distB="0" distL="114300" distR="114300" simplePos="0" relativeHeight="251684864" behindDoc="0" locked="0" layoutInCell="1" allowOverlap="1" wp14:anchorId="4AA19EC1" wp14:editId="35543CBD">
                <wp:simplePos x="0" y="0"/>
                <wp:positionH relativeFrom="column">
                  <wp:posOffset>898221</wp:posOffset>
                </wp:positionH>
                <wp:positionV relativeFrom="paragraph">
                  <wp:posOffset>138430</wp:posOffset>
                </wp:positionV>
                <wp:extent cx="90807" cy="413785"/>
                <wp:effectExtent l="0" t="8890" r="14605" b="14605"/>
                <wp:wrapNone/>
                <wp:docPr id="155"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7" cy="413785"/>
                        </a:xfrm>
                        <a:prstGeom prst="rightBrace">
                          <a:avLst>
                            <a:gd name="adj1" fmla="val 4195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7" o:spid="_x0000_s1026" type="#_x0000_t88" style="position:absolute;margin-left:70.75pt;margin-top:10.9pt;width:7.15pt;height:32.6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" adj="1989"/>
            </w:pict>
          </mc:Fallback>
        </mc:AlternateContent>
      </w:r>
    </w:p>
    <w:p w:rsidR="003B6E11" w:rsidRPr="003B6E11" w:rsidRDefault="003B6E11" w:rsidP="003B6E11">
      <w:pPr>
        <w:overflowPunct w:val="0"/>
        <w:adjustRightInd w:val="0"/>
        <w:spacing w:line="240" w:lineRule="exact"/>
        <w:ind w:left="993"/>
        <w:textAlignment w:val="baseline"/>
        <w:rPr>
          <w:szCs w:val="20"/>
          <w:lang w:val="cs-CZ"/>
        </w:rPr>
      </w:pPr>
      <m:oMathPara>
        <m:oMathParaPr>
          <m:jc m:val="left"/>
        </m:oMathParaPr>
        <m:oMath>
          <m:r>
            <w:rPr>
              <w:rFonts w:ascii="Cambria Math" w:hAnsi="Cambria Math"/>
              <w:szCs w:val="20"/>
              <w:lang w:val="cs-CZ"/>
            </w:rPr>
            <m:t>=0,0472 ∙5179=</m:t>
          </m:r>
          <m:r>
            <m:rPr>
              <m:sty m:val="bi"/>
            </m:rPr>
            <w:rPr>
              <w:rFonts w:ascii="Cambria Math" w:hAnsi="Cambria Math"/>
              <w:szCs w:val="20"/>
              <w:lang w:val="cs-CZ"/>
            </w:rPr>
            <m:t>244,5 m</m:t>
          </m:r>
        </m:oMath>
      </m:oMathPara>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2D015D" w:rsidP="003B6E11">
      <w:pPr>
        <w:overflowPunct w:val="0"/>
        <w:adjustRightInd w:val="0"/>
        <w:spacing w:line="240" w:lineRule="atLeast"/>
        <w:ind w:left="993" w:hanging="1"/>
        <w:textAlignment w:val="baseline"/>
        <w:rPr>
          <w:szCs w:val="20"/>
          <w:lang w:val="cs-CZ"/>
        </w:rPr>
      </w:pPr>
      <m:oMathPara>
        <m:oMathParaPr>
          <m:jc m:val="left"/>
        </m:oMathParaPr>
        <m:oMath>
          <m:sSub>
            <m:sSubPr>
              <m:ctrlPr>
                <w:rPr>
                  <w:rFonts w:ascii="Cambria Math" w:hAnsi="Cambria Math"/>
                  <w:i/>
                  <w:szCs w:val="20"/>
                  <w:lang w:val="cs-CZ"/>
                </w:rPr>
              </m:ctrlPr>
            </m:sSubPr>
            <m:e>
              <m:r>
                <w:rPr>
                  <w:rFonts w:ascii="Cambria Math" w:hAnsi="Cambria Math"/>
                  <w:szCs w:val="20"/>
                  <w:lang w:val="cs-CZ"/>
                </w:rPr>
                <m:t>Const</m:t>
              </m:r>
            </m:e>
            <m:sub>
              <m:r>
                <w:rPr>
                  <w:rFonts w:ascii="Cambria Math" w:hAnsi="Cambria Math"/>
                  <w:szCs w:val="20"/>
                  <w:lang w:val="cs-CZ"/>
                </w:rPr>
                <m:t>SOLL</m:t>
              </m:r>
            </m:sub>
          </m:sSub>
        </m:oMath>
      </m:oMathPara>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992"/>
        </w:tabs>
        <w:overflowPunct w:val="0"/>
        <w:adjustRightInd w:val="0"/>
        <w:spacing w:before="60" w:line="240" w:lineRule="atLeast"/>
        <w:ind w:left="992"/>
        <w:textAlignment w:val="baseline"/>
        <w:rPr>
          <w:szCs w:val="20"/>
          <w:lang w:val="cs-CZ"/>
        </w:rPr>
      </w:pPr>
      <w:r w:rsidRPr="003B6E11">
        <w:rPr>
          <w:lang w:val="cs-CZ"/>
        </w:rPr>
        <w:t>h)</w:t>
      </w:r>
      <w:r w:rsidRPr="003B6E11">
        <w:rPr>
          <w:lang w:val="cs-CZ"/>
        </w:rPr>
        <w:tab/>
        <w:t>Výpočet celkové vzdálenosti</w:t>
      </w:r>
    </w:p>
    <w:p w:rsidR="003B6E11" w:rsidRPr="003B6E11" w:rsidRDefault="003B6E11" w:rsidP="003B6E11">
      <w:pPr>
        <w:tabs>
          <w:tab w:val="left" w:pos="992"/>
        </w:tabs>
        <w:overflowPunct w:val="0"/>
        <w:adjustRightInd w:val="0"/>
        <w:spacing w:line="240" w:lineRule="atLeast"/>
        <w:ind w:left="992"/>
        <w:textAlignment w:val="baseline"/>
        <w:rPr>
          <w:szCs w:val="20"/>
          <w:lang w:val="cs-CZ"/>
        </w:rPr>
      </w:pPr>
    </w:p>
    <w:p w:rsidR="003B6E11" w:rsidRPr="003B6E11" w:rsidRDefault="002D015D" w:rsidP="003B6E11">
      <w:pPr>
        <w:tabs>
          <w:tab w:val="left" w:pos="992"/>
        </w:tabs>
        <w:overflowPunct w:val="0"/>
        <w:adjustRightInd w:val="0"/>
        <w:spacing w:line="240" w:lineRule="atLeast"/>
        <w:ind w:left="992"/>
        <w:textAlignment w:val="baseline"/>
        <w:rPr>
          <w:szCs w:val="20"/>
          <w:lang w:val="cs-CZ"/>
        </w:rPr>
      </w:pPr>
      <m:oMathPara>
        <m:oMathParaPr>
          <m:jc m:val="left"/>
        </m:oMathParaPr>
        <m:oMath>
          <m:sSub>
            <m:sSubPr>
              <m:ctrlPr>
                <w:rPr>
                  <w:rFonts w:ascii="Cambria Math" w:hAnsi="Cambria Math"/>
                  <w:b/>
                  <w:i/>
                  <w:szCs w:val="20"/>
                  <w:lang w:val="cs-CZ"/>
                </w:rPr>
              </m:ctrlPr>
            </m:sSubPr>
            <m:e>
              <m:r>
                <m:rPr>
                  <m:sty m:val="bi"/>
                </m:rPr>
                <w:rPr>
                  <w:rFonts w:ascii="Cambria Math" w:hAnsi="Cambria Math"/>
                  <w:szCs w:val="20"/>
                  <w:lang w:val="cs-CZ"/>
                </w:rPr>
                <m:t>s</m:t>
              </m:r>
            </m:e>
            <m:sub>
              <m:r>
                <m:rPr>
                  <m:sty m:val="bi"/>
                </m:rPr>
                <w:rPr>
                  <w:rFonts w:ascii="Cambria Math" w:hAnsi="Cambria Math"/>
                  <w:szCs w:val="20"/>
                  <w:lang w:val="cs-CZ"/>
                </w:rPr>
                <m:t>SOLL</m:t>
              </m:r>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m:t>
                  </m:r>
                </m:e>
                <m:sub>
                  <m:r>
                    <w:rPr>
                      <w:rFonts w:ascii="Cambria Math" w:hAnsi="Cambria Math"/>
                      <w:szCs w:val="20"/>
                      <w:lang w:val="cs-CZ"/>
                    </w:rPr>
                    <m:t>SOLL</m:t>
                  </m:r>
                </m:sub>
              </m:sSub>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SOLL</m:t>
                  </m:r>
                </m:sub>
              </m:sSub>
            </m:sub>
          </m:sSub>
          <m:r>
            <w:rPr>
              <w:rFonts w:ascii="Cambria Math" w:hAnsi="Cambria Math"/>
              <w:szCs w:val="20"/>
              <w:lang w:val="cs-CZ"/>
            </w:rPr>
            <m:t>=77,5+244,5=</m:t>
          </m:r>
          <m:r>
            <m:rPr>
              <m:sty m:val="bi"/>
            </m:rPr>
            <w:rPr>
              <w:rFonts w:ascii="Cambria Math" w:hAnsi="Cambria Math"/>
              <w:szCs w:val="20"/>
              <w:lang w:val="cs-CZ"/>
            </w:rPr>
            <m:t>322 m</m:t>
          </m:r>
        </m:oMath>
      </m:oMathPara>
    </w:p>
    <w:p w:rsidR="003B6E11" w:rsidRPr="003B6E11" w:rsidRDefault="003B6E11" w:rsidP="003B6E11">
      <w:pPr>
        <w:overflowPunct w:val="0"/>
        <w:adjustRightInd w:val="0"/>
        <w:spacing w:line="240" w:lineRule="exact"/>
        <w:ind w:left="567" w:hanging="567"/>
        <w:textAlignment w:val="baseline"/>
        <w:rPr>
          <w:position w:val="6"/>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4.4</w:t>
      </w:r>
      <w:r w:rsidRPr="003B6E11">
        <w:rPr>
          <w:lang w:val="cs-CZ"/>
        </w:rPr>
        <w:tab/>
      </w:r>
      <w:r w:rsidRPr="003B6E11">
        <w:rPr>
          <w:b/>
          <w:color w:val="000000"/>
          <w:lang w:val="cs-CZ"/>
        </w:rPr>
        <w:t xml:space="preserve">Ověření dodržení přípustné brzdné dráhy podle standardních podmínek </w:t>
      </w:r>
      <m:oMath>
        <m:sSub>
          <m:sSubPr>
            <m:ctrlPr>
              <w:rPr>
                <w:rFonts w:ascii="Cambria Math" w:hAnsi="Cambria Math" w:cs="Arial"/>
                <w:b/>
                <w:i/>
                <w:color w:val="000000"/>
                <w:szCs w:val="20"/>
                <w:lang w:val="cs-CZ"/>
              </w:rPr>
            </m:ctrlPr>
          </m:sSubPr>
          <m:e>
            <m:r>
              <m:rPr>
                <m:sty m:val="bi"/>
              </m:rPr>
              <w:rPr>
                <w:rFonts w:ascii="Cambria Math" w:hAnsi="Cambria Math" w:cs="Arial"/>
                <w:color w:val="000000"/>
                <w:szCs w:val="20"/>
                <w:lang w:val="cs-CZ"/>
              </w:rPr>
              <m:t>s</m:t>
            </m:r>
          </m:e>
          <m:sub>
            <m:r>
              <m:rPr>
                <m:sty m:val="bi"/>
              </m:rPr>
              <w:rPr>
                <w:rFonts w:ascii="Cambria Math" w:hAnsi="Cambria Math" w:cs="Arial"/>
                <w:color w:val="000000"/>
                <w:szCs w:val="20"/>
                <w:lang w:val="cs-CZ"/>
              </w:rPr>
              <m:t>NORM</m:t>
            </m:r>
          </m:sub>
        </m:sSub>
      </m:oMath>
      <w:r w:rsidRPr="003B6E11">
        <w:rPr>
          <w:b/>
          <w:color w:val="000000"/>
          <w:lang w:val="cs-CZ"/>
        </w:rPr>
        <w:t xml:space="preserve"> </w:t>
      </w:r>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567"/>
        </w:tabs>
        <w:overflowPunct w:val="0"/>
        <w:adjustRightInd w:val="0"/>
        <w:spacing w:line="240" w:lineRule="atLeast"/>
        <w:ind w:left="567"/>
        <w:textAlignment w:val="baseline"/>
        <w:rPr>
          <w:szCs w:val="20"/>
          <w:lang w:val="cs-CZ"/>
        </w:rPr>
      </w:pPr>
      <w:r w:rsidRPr="003B6E11">
        <w:rPr>
          <w:lang w:val="cs-CZ"/>
        </w:rPr>
        <w:t>podle vzorce (2.1) v příloze 2</w:t>
      </w:r>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2D015D" w:rsidP="003B6E11">
      <w:pPr>
        <w:overflowPunct w:val="0"/>
        <w:adjustRightInd w:val="0"/>
        <w:spacing w:line="240" w:lineRule="atLeast"/>
        <w:ind w:left="567"/>
        <w:textAlignment w:val="baseline"/>
        <w:rPr>
          <w:szCs w:val="20"/>
          <w:lang w:val="cs-CZ"/>
        </w:rPr>
      </w:pPr>
      <m:oMathPara>
        <m:oMathParaPr>
          <m:jc m:val="left"/>
        </m:oMathParaPr>
        <m:oMath>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NORM</m:t>
              </m:r>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MESSUNG</m:t>
              </m:r>
            </m:sub>
          </m:sSub>
          <m:r>
            <w:rPr>
              <w:rFonts w:ascii="Cambria Math" w:hAnsi="Cambria Math"/>
              <w:szCs w:val="20"/>
              <w:lang w:val="cs-CZ"/>
            </w:rPr>
            <m:t xml:space="preserve"> ∙ </m:t>
          </m:r>
          <m:f>
            <m:fPr>
              <m:ctrlPr>
                <w:rPr>
                  <w:rFonts w:ascii="Cambria Math" w:hAnsi="Cambria Math"/>
                  <w:i/>
                  <w:szCs w:val="20"/>
                  <w:lang w:val="cs-CZ"/>
                </w:rPr>
              </m:ctrlPr>
            </m:fPr>
            <m:num>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SOLL</m:t>
                  </m:r>
                </m:sub>
              </m:sSub>
            </m:num>
            <m:den>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IST</m:t>
                  </m:r>
                </m:sub>
              </m:sSub>
            </m:den>
          </m:f>
          <m:r>
            <w:rPr>
              <w:rFonts w:ascii="Cambria Math" w:hAnsi="Cambria Math"/>
              <w:szCs w:val="20"/>
              <w:lang w:val="cs-CZ"/>
            </w:rPr>
            <m:t xml:space="preserve">=340 ∙ </m:t>
          </m:r>
          <m:f>
            <m:fPr>
              <m:ctrlPr>
                <w:rPr>
                  <w:rFonts w:ascii="Cambria Math" w:hAnsi="Cambria Math"/>
                  <w:i/>
                  <w:szCs w:val="20"/>
                  <w:lang w:val="cs-CZ"/>
                </w:rPr>
              </m:ctrlPr>
            </m:fPr>
            <m:num>
              <m:r>
                <w:rPr>
                  <w:rFonts w:ascii="Cambria Math" w:hAnsi="Cambria Math"/>
                  <w:szCs w:val="20"/>
                  <w:lang w:val="cs-CZ"/>
                </w:rPr>
                <m:t>322</m:t>
              </m:r>
            </m:num>
            <m:den>
              <m:r>
                <w:rPr>
                  <w:rFonts w:ascii="Cambria Math" w:hAnsi="Cambria Math"/>
                  <w:szCs w:val="20"/>
                  <w:lang w:val="cs-CZ"/>
                </w:rPr>
                <m:t>303,4</m:t>
              </m:r>
            </m:den>
          </m:f>
          <m:r>
            <w:rPr>
              <w:rFonts w:ascii="Cambria Math" w:hAnsi="Cambria Math"/>
              <w:szCs w:val="20"/>
              <w:lang w:val="cs-CZ"/>
            </w:rPr>
            <m:t>=</m:t>
          </m:r>
          <m:r>
            <m:rPr>
              <m:sty m:val="bi"/>
            </m:rPr>
            <w:rPr>
              <w:rFonts w:ascii="Cambria Math" w:hAnsi="Cambria Math"/>
              <w:szCs w:val="20"/>
              <w:lang w:val="cs-CZ"/>
            </w:rPr>
            <m:t>360,8 m &lt;550 m</m:t>
          </m:r>
        </m:oMath>
      </m:oMathPara>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567"/>
        </w:tabs>
        <w:overflowPunct w:val="0"/>
        <w:adjustRightInd w:val="0"/>
        <w:spacing w:line="240" w:lineRule="atLeast"/>
        <w:ind w:left="1134" w:hanging="567"/>
        <w:textAlignment w:val="baseline"/>
        <w:rPr>
          <w:b/>
          <w:bCs/>
          <w:szCs w:val="20"/>
          <w:lang w:val="cs-CZ"/>
        </w:rPr>
      </w:pPr>
      <w:r w:rsidRPr="003B6E11">
        <w:rPr>
          <w:b/>
          <w:lang w:val="cs-CZ"/>
        </w:rPr>
        <w:t>Závěr:</w:t>
      </w:r>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567"/>
        </w:tabs>
        <w:overflowPunct w:val="0"/>
        <w:adjustRightInd w:val="0"/>
        <w:spacing w:line="240" w:lineRule="atLeast"/>
        <w:ind w:left="567"/>
        <w:textAlignment w:val="baseline"/>
        <w:rPr>
          <w:szCs w:val="20"/>
          <w:lang w:val="cs-CZ"/>
        </w:rPr>
      </w:pPr>
      <w:r w:rsidRPr="003B6E11">
        <w:rPr>
          <w:lang w:val="cs-CZ"/>
        </w:rPr>
        <w:t>Přípustná mezní hodnota není zdaleka dosažena, tj.:</w:t>
      </w:r>
    </w:p>
    <w:p w:rsidR="003B6E11" w:rsidRPr="003B6E11" w:rsidRDefault="003B6E11" w:rsidP="003B6E11">
      <w:pPr>
        <w:tabs>
          <w:tab w:val="left" w:pos="992"/>
        </w:tabs>
        <w:overflowPunct w:val="0"/>
        <w:adjustRightInd w:val="0"/>
        <w:spacing w:before="60" w:line="240" w:lineRule="atLeast"/>
        <w:ind w:left="992"/>
        <w:textAlignment w:val="baseline"/>
        <w:rPr>
          <w:szCs w:val="20"/>
          <w:lang w:val="cs-CZ"/>
        </w:rPr>
      </w:pPr>
      <w:r w:rsidRPr="003B6E11">
        <w:rPr>
          <w:lang w:val="cs-CZ"/>
        </w:rPr>
        <w:t>–</w:t>
      </w:r>
      <w:r w:rsidRPr="003B6E11">
        <w:rPr>
          <w:lang w:val="cs-CZ"/>
        </w:rPr>
        <w:tab/>
        <w:t>přijetí pro plavbu po proudu při skutečném zatížení (</w:t>
      </w:r>
      <m:oMath>
        <m:r>
          <w:rPr>
            <w:rFonts w:ascii="Cambria Math" w:hAnsi="Cambria Math"/>
            <w:szCs w:val="20"/>
            <w:lang w:val="cs-CZ"/>
          </w:rPr>
          <m:t xml:space="preserve">0,8 ∙ </m:t>
        </m:r>
        <m:sSub>
          <m:sSubPr>
            <m:ctrlPr>
              <w:rPr>
                <w:rFonts w:ascii="Cambria Math" w:hAnsi="Cambria Math"/>
                <w:i/>
                <w:szCs w:val="20"/>
                <w:lang w:val="cs-CZ"/>
              </w:rPr>
            </m:ctrlPr>
          </m:sSubPr>
          <m:e>
            <m:r>
              <w:rPr>
                <w:rFonts w:ascii="Cambria Math" w:hAnsi="Cambria Math"/>
                <w:szCs w:val="20"/>
                <w:lang w:val="cs-CZ"/>
              </w:rPr>
              <m:t>D</m:t>
            </m:r>
          </m:e>
          <m:sub>
            <m:r>
              <w:rPr>
                <w:rFonts w:ascii="Cambria Math" w:hAnsi="Cambria Math"/>
                <w:szCs w:val="20"/>
                <w:lang w:val="cs-CZ"/>
              </w:rPr>
              <m:t>max</m:t>
            </m:r>
          </m:sub>
        </m:sSub>
      </m:oMath>
      <w:r w:rsidRPr="003B6E11">
        <w:rPr>
          <w:lang w:val="cs-CZ"/>
        </w:rPr>
        <w:t>) je bez problémů možné,</w:t>
      </w:r>
    </w:p>
    <w:p w:rsidR="003B6E11" w:rsidRPr="003B6E11" w:rsidRDefault="003B6E11" w:rsidP="003B6E11">
      <w:pPr>
        <w:tabs>
          <w:tab w:val="left" w:pos="992"/>
        </w:tabs>
        <w:overflowPunct w:val="0"/>
        <w:adjustRightInd w:val="0"/>
        <w:spacing w:before="60" w:line="240" w:lineRule="atLeast"/>
        <w:ind w:left="992"/>
        <w:textAlignment w:val="baseline"/>
        <w:rPr>
          <w:szCs w:val="20"/>
          <w:lang w:val="cs-CZ"/>
        </w:rPr>
      </w:pPr>
      <w:r w:rsidRPr="003B6E11">
        <w:rPr>
          <w:lang w:val="cs-CZ"/>
        </w:rPr>
        <w:t>–</w:t>
      </w:r>
      <w:r w:rsidRPr="003B6E11">
        <w:rPr>
          <w:lang w:val="cs-CZ"/>
        </w:rPr>
        <w:tab/>
        <w:t>vyšší zatížení je možné a lze jej vypočítat podle bodu 5 níže.</w:t>
      </w:r>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r w:rsidRPr="003B6E11">
        <w:rPr>
          <w:lang w:val="cs-CZ"/>
        </w:rPr>
        <w:br w:type="page"/>
      </w: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5.</w:t>
      </w:r>
      <w:r w:rsidRPr="003B6E11">
        <w:rPr>
          <w:lang w:val="cs-CZ"/>
        </w:rPr>
        <w:tab/>
      </w:r>
      <w:r w:rsidRPr="003B6E11">
        <w:rPr>
          <w:b/>
          <w:color w:val="000000"/>
          <w:lang w:val="cs-CZ"/>
        </w:rPr>
        <w:t xml:space="preserve">Možné zvýšení </w:t>
      </w:r>
      <m:oMath>
        <m:sSub>
          <m:sSubPr>
            <m:ctrlPr>
              <w:rPr>
                <w:rFonts w:ascii="Cambria Math" w:hAnsi="Cambria Math" w:cs="Arial"/>
                <w:b/>
                <w:i/>
                <w:color w:val="000000"/>
                <w:szCs w:val="20"/>
                <w:lang w:val="cs-CZ"/>
              </w:rPr>
            </m:ctrlPr>
          </m:sSubPr>
          <m:e>
            <m:r>
              <m:rPr>
                <m:sty m:val="bi"/>
              </m:rPr>
              <w:rPr>
                <w:rFonts w:ascii="Cambria Math" w:hAnsi="Cambria Math" w:cs="Arial"/>
                <w:color w:val="000000"/>
                <w:szCs w:val="20"/>
                <w:lang w:val="cs-CZ"/>
              </w:rPr>
              <m:t>D</m:t>
            </m:r>
          </m:e>
          <m:sub>
            <m:r>
              <m:rPr>
                <m:sty m:val="bi"/>
              </m:rPr>
              <w:rPr>
                <w:rFonts w:ascii="Cambria Math" w:hAnsi="Cambria Math" w:cs="Arial"/>
                <w:color w:val="000000"/>
                <w:szCs w:val="20"/>
                <w:lang w:val="cs-CZ"/>
              </w:rPr>
              <m:t>IST</m:t>
            </m:r>
          </m:sub>
        </m:sSub>
      </m:oMath>
      <w:r w:rsidRPr="003B6E11">
        <w:rPr>
          <w:b/>
          <w:color w:val="000000"/>
          <w:lang w:val="cs-CZ"/>
        </w:rPr>
        <w:t xml:space="preserve"> při plavbě po proudu</w:t>
      </w:r>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2D015D" w:rsidP="003B6E11">
      <w:pPr>
        <w:overflowPunct w:val="0"/>
        <w:adjustRightInd w:val="0"/>
        <w:spacing w:line="240" w:lineRule="atLeast"/>
        <w:ind w:left="567"/>
        <w:textAlignment w:val="baseline"/>
        <w:rPr>
          <w:szCs w:val="20"/>
          <w:lang w:val="cs-CZ"/>
        </w:rPr>
      </w:pPr>
      <m:oMathPara>
        <m:oMathParaPr>
          <m:jc m:val="left"/>
        </m:oMathParaPr>
        <m:oMath>
          <m:sSub>
            <m:sSubPr>
              <m:ctrlPr>
                <w:rPr>
                  <w:rFonts w:ascii="Cambria Math" w:hAnsi="Cambria Math"/>
                  <w:i/>
                  <w:szCs w:val="20"/>
                  <w:lang w:val="cs-CZ"/>
                </w:rPr>
              </m:ctrlPr>
            </m:sSubPr>
            <m:e>
              <m:d>
                <m:dPr>
                  <m:ctrlPr>
                    <w:rPr>
                      <w:rFonts w:ascii="Cambria Math" w:hAnsi="Cambria Math"/>
                      <w:i/>
                      <w:szCs w:val="20"/>
                      <w:lang w:val="cs-CZ"/>
                    </w:rPr>
                  </m:ctrlPr>
                </m:dPr>
                <m:e>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NORM</m:t>
                      </m:r>
                    </m:sub>
                  </m:sSub>
                </m:e>
              </m:d>
            </m:e>
            <m:sub>
              <m:r>
                <w:rPr>
                  <w:rFonts w:ascii="Cambria Math" w:hAnsi="Cambria Math"/>
                  <w:szCs w:val="20"/>
                  <w:lang w:val="cs-CZ"/>
                </w:rPr>
                <m:t>Limite</m:t>
              </m:r>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MESSUNG</m:t>
              </m:r>
            </m:sub>
          </m:sSub>
          <m:r>
            <w:rPr>
              <w:rFonts w:ascii="Cambria Math" w:hAnsi="Cambria Math"/>
              <w:szCs w:val="20"/>
              <w:lang w:val="cs-CZ"/>
            </w:rPr>
            <m:t xml:space="preserve"> ∙ </m:t>
          </m:r>
          <m:f>
            <m:fPr>
              <m:ctrlPr>
                <w:rPr>
                  <w:rFonts w:ascii="Cambria Math" w:hAnsi="Cambria Math"/>
                  <w:i/>
                  <w:szCs w:val="20"/>
                  <w:lang w:val="cs-CZ"/>
                </w:rPr>
              </m:ctrlPr>
            </m:fPr>
            <m:num>
              <m:sSub>
                <m:sSubPr>
                  <m:ctrlPr>
                    <w:rPr>
                      <w:rFonts w:ascii="Cambria Math" w:hAnsi="Cambria Math"/>
                      <w:i/>
                      <w:szCs w:val="20"/>
                      <w:lang w:val="cs-CZ"/>
                    </w:rPr>
                  </m:ctrlPr>
                </m:sSubPr>
                <m:e>
                  <m:d>
                    <m:dPr>
                      <m:ctrlPr>
                        <w:rPr>
                          <w:rFonts w:ascii="Cambria Math" w:hAnsi="Cambria Math"/>
                          <w:i/>
                          <w:szCs w:val="20"/>
                          <w:lang w:val="cs-CZ"/>
                        </w:rPr>
                      </m:ctrlPr>
                    </m:dPr>
                    <m:e>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SOLL</m:t>
                          </m:r>
                        </m:sub>
                      </m:sSub>
                    </m:e>
                  </m:d>
                </m:e>
                <m:sub>
                  <m:r>
                    <w:rPr>
                      <w:rFonts w:ascii="Cambria Math" w:hAnsi="Cambria Math"/>
                      <w:szCs w:val="20"/>
                      <w:lang w:val="cs-CZ"/>
                    </w:rPr>
                    <m:t>Limite</m:t>
                  </m:r>
                </m:sub>
              </m:sSub>
            </m:num>
            <m:den>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IST</m:t>
                  </m:r>
                </m:sub>
              </m:sSub>
            </m:den>
          </m:f>
          <m:r>
            <w:rPr>
              <w:rFonts w:ascii="Cambria Math" w:hAnsi="Cambria Math"/>
              <w:szCs w:val="20"/>
              <w:lang w:val="cs-CZ"/>
            </w:rPr>
            <m:t>=550 m</m:t>
          </m:r>
        </m:oMath>
      </m:oMathPara>
    </w:p>
    <w:p w:rsidR="003B6E11" w:rsidRPr="003B6E11" w:rsidRDefault="003B6E11" w:rsidP="003B6E11">
      <w:pPr>
        <w:tabs>
          <w:tab w:val="left" w:pos="454"/>
        </w:tabs>
        <w:overflowPunct w:val="0"/>
        <w:adjustRightInd w:val="0"/>
        <w:spacing w:line="240" w:lineRule="atLeast"/>
        <w:ind w:left="454" w:hanging="454"/>
        <w:textAlignment w:val="baseline"/>
        <w:rPr>
          <w:szCs w:val="20"/>
          <w:lang w:val="cs-CZ"/>
        </w:rPr>
      </w:pPr>
    </w:p>
    <w:p w:rsidR="003B6E11" w:rsidRPr="003B6E11" w:rsidRDefault="002D015D" w:rsidP="003B6E11">
      <w:pPr>
        <w:overflowPunct w:val="0"/>
        <w:adjustRightInd w:val="0"/>
        <w:spacing w:line="240" w:lineRule="atLeast"/>
        <w:ind w:left="567"/>
        <w:textAlignment w:val="baseline"/>
        <w:rPr>
          <w:szCs w:val="20"/>
          <w:lang w:val="cs-CZ"/>
        </w:rPr>
      </w:pPr>
      <m:oMathPara>
        <m:oMathParaPr>
          <m:jc m:val="left"/>
        </m:oMathParaPr>
        <m:oMath>
          <m:sSub>
            <m:sSubPr>
              <m:ctrlPr>
                <w:rPr>
                  <w:rFonts w:ascii="Cambria Math" w:hAnsi="Cambria Math"/>
                  <w:i/>
                  <w:szCs w:val="20"/>
                  <w:lang w:val="cs-CZ"/>
                </w:rPr>
              </m:ctrlPr>
            </m:sSubPr>
            <m:e>
              <m:d>
                <m:dPr>
                  <m:ctrlPr>
                    <w:rPr>
                      <w:rFonts w:ascii="Cambria Math" w:hAnsi="Cambria Math"/>
                      <w:i/>
                      <w:szCs w:val="20"/>
                      <w:lang w:val="cs-CZ"/>
                    </w:rPr>
                  </m:ctrlPr>
                </m:dPr>
                <m:e>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SOLL</m:t>
                      </m:r>
                    </m:sub>
                  </m:sSub>
                </m:e>
              </m:d>
            </m:e>
            <m:sub>
              <m:r>
                <w:rPr>
                  <w:rFonts w:ascii="Cambria Math" w:hAnsi="Cambria Math"/>
                  <w:szCs w:val="20"/>
                  <w:lang w:val="cs-CZ"/>
                </w:rPr>
                <m:t>Limite</m:t>
              </m:r>
            </m:sub>
          </m:sSub>
          <m:r>
            <w:rPr>
              <w:rFonts w:ascii="Cambria Math" w:hAnsi="Cambria Math"/>
              <w:szCs w:val="20"/>
              <w:lang w:val="cs-CZ"/>
            </w:rPr>
            <m:t xml:space="preserve">=550  ∙ </m:t>
          </m:r>
          <m:f>
            <m:fPr>
              <m:ctrlPr>
                <w:rPr>
                  <w:rFonts w:ascii="Cambria Math" w:hAnsi="Cambria Math"/>
                  <w:i/>
                  <w:szCs w:val="20"/>
                  <w:lang w:val="cs-CZ"/>
                </w:rPr>
              </m:ctrlPr>
            </m:fPr>
            <m:num>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IST</m:t>
                  </m:r>
                </m:sub>
              </m:sSub>
            </m:num>
            <m:den>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MESSUNG</m:t>
                  </m:r>
                </m:sub>
              </m:sSub>
            </m:den>
          </m:f>
          <m:r>
            <w:rPr>
              <w:rFonts w:ascii="Cambria Math" w:hAnsi="Cambria Math"/>
              <w:szCs w:val="20"/>
              <w:lang w:val="cs-CZ"/>
            </w:rPr>
            <m:t xml:space="preserve">=550 ∙ </m:t>
          </m:r>
          <m:f>
            <m:fPr>
              <m:ctrlPr>
                <w:rPr>
                  <w:rFonts w:ascii="Cambria Math" w:hAnsi="Cambria Math"/>
                  <w:i/>
                  <w:szCs w:val="20"/>
                  <w:lang w:val="cs-CZ"/>
                </w:rPr>
              </m:ctrlPr>
            </m:fPr>
            <m:num>
              <m:r>
                <w:rPr>
                  <w:rFonts w:ascii="Cambria Math" w:hAnsi="Cambria Math"/>
                  <w:szCs w:val="20"/>
                  <w:lang w:val="cs-CZ"/>
                </w:rPr>
                <m:t>303,4</m:t>
              </m:r>
            </m:num>
            <m:den>
              <m:r>
                <w:rPr>
                  <w:rFonts w:ascii="Cambria Math" w:hAnsi="Cambria Math"/>
                  <w:szCs w:val="20"/>
                  <w:lang w:val="cs-CZ"/>
                </w:rPr>
                <m:t>340</m:t>
              </m:r>
            </m:den>
          </m:f>
          <m:r>
            <w:rPr>
              <w:rFonts w:ascii="Cambria Math" w:hAnsi="Cambria Math"/>
              <w:szCs w:val="20"/>
              <w:lang w:val="cs-CZ"/>
            </w:rPr>
            <m:t>=490,8 m</m:t>
          </m:r>
        </m:oMath>
      </m:oMathPara>
    </w:p>
    <w:p w:rsidR="003B6E11" w:rsidRPr="003B6E11" w:rsidRDefault="003B6E11" w:rsidP="003B6E11">
      <w:pPr>
        <w:tabs>
          <w:tab w:val="left" w:pos="454"/>
        </w:tabs>
        <w:overflowPunct w:val="0"/>
        <w:adjustRightInd w:val="0"/>
        <w:spacing w:line="240" w:lineRule="atLeast"/>
        <w:ind w:left="454" w:hanging="454"/>
        <w:textAlignment w:val="baseline"/>
        <w:rPr>
          <w:szCs w:val="20"/>
          <w:lang w:val="cs-CZ"/>
        </w:rPr>
      </w:pPr>
    </w:p>
    <w:p w:rsidR="003B6E11" w:rsidRPr="003B6E11" w:rsidRDefault="003B6E11" w:rsidP="003B6E11">
      <w:pPr>
        <w:tabs>
          <w:tab w:val="left" w:pos="567"/>
          <w:tab w:val="left" w:pos="2127"/>
          <w:tab w:val="left" w:pos="2410"/>
        </w:tabs>
        <w:overflowPunct w:val="0"/>
        <w:adjustRightInd w:val="0"/>
        <w:spacing w:line="240" w:lineRule="atLeast"/>
        <w:ind w:left="567" w:hanging="567"/>
        <w:textAlignment w:val="baseline"/>
        <w:rPr>
          <w:szCs w:val="20"/>
          <w:lang w:val="cs-CZ"/>
        </w:rPr>
      </w:pPr>
      <w:r w:rsidRPr="003B6E11">
        <w:rPr>
          <w:lang w:val="cs-CZ"/>
        </w:rPr>
        <w:tab/>
        <w:t xml:space="preserve">Platí, že </w:t>
      </w:r>
      <m:oMath>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SOLL</m:t>
                </m:r>
              </m:sub>
            </m:sSub>
          </m:sub>
        </m:sSub>
        <m:r>
          <w:rPr>
            <w:rFonts w:ascii="Cambria Math" w:hAnsi="Cambria Math"/>
            <w:szCs w:val="20"/>
            <w:lang w:val="cs-CZ"/>
          </w:rPr>
          <m:t>=</m:t>
        </m:r>
        <m:sSub>
          <m:sSubPr>
            <m:ctrlPr>
              <w:rPr>
                <w:rFonts w:ascii="Cambria Math" w:hAnsi="Cambria Math"/>
                <w:i/>
                <w:szCs w:val="20"/>
                <w:lang w:val="cs-CZ"/>
              </w:rPr>
            </m:ctrlPr>
          </m:sSubPr>
          <m:e>
            <m:r>
              <w:rPr>
                <w:rFonts w:ascii="Cambria Math" w:hAnsi="Cambria Math"/>
                <w:szCs w:val="20"/>
                <w:lang w:val="cs-CZ"/>
              </w:rPr>
              <m:t>Const</m:t>
            </m:r>
          </m:e>
          <m:sub>
            <m:r>
              <w:rPr>
                <w:rFonts w:ascii="Cambria Math" w:hAnsi="Cambria Math"/>
                <w:szCs w:val="20"/>
                <w:lang w:val="cs-CZ"/>
              </w:rPr>
              <m:t>SOLL</m:t>
            </m:r>
          </m:sub>
        </m:sSub>
        <m:r>
          <w:rPr>
            <w:rFonts w:ascii="Cambria Math" w:hAnsi="Cambria Math"/>
            <w:szCs w:val="20"/>
            <w:lang w:val="cs-CZ"/>
          </w:rPr>
          <m:t xml:space="preserve"> ∙D</m:t>
        </m:r>
      </m:oMath>
      <w:r w:rsidRPr="003B6E11">
        <w:rPr>
          <w:lang w:val="cs-CZ"/>
        </w:rPr>
        <w:t xml:space="preserve"> podle poznámky v bodě 4.2:</w:t>
      </w:r>
    </w:p>
    <w:p w:rsidR="003B6E11" w:rsidRPr="003B6E11" w:rsidRDefault="003B6E11" w:rsidP="003B6E11">
      <w:pPr>
        <w:tabs>
          <w:tab w:val="left" w:pos="454"/>
        </w:tabs>
        <w:overflowPunct w:val="0"/>
        <w:adjustRightInd w:val="0"/>
        <w:spacing w:line="240" w:lineRule="atLeast"/>
        <w:ind w:left="454" w:hanging="454"/>
        <w:textAlignment w:val="baseline"/>
        <w:rPr>
          <w:szCs w:val="20"/>
          <w:lang w:val="cs-CZ"/>
        </w:rPr>
      </w:pPr>
    </w:p>
    <w:p w:rsidR="003B6E11" w:rsidRPr="003B6E11" w:rsidRDefault="002D015D" w:rsidP="003B6E11">
      <w:pPr>
        <w:overflowPunct w:val="0"/>
        <w:adjustRightInd w:val="0"/>
        <w:spacing w:line="240" w:lineRule="atLeast"/>
        <w:ind w:left="567"/>
        <w:textAlignment w:val="baseline"/>
        <w:rPr>
          <w:szCs w:val="20"/>
          <w:lang w:val="cs-CZ"/>
        </w:rPr>
      </w:pPr>
      <m:oMathPara>
        <m:oMathParaPr>
          <m:jc m:val="left"/>
        </m:oMathParaPr>
        <m:oMath>
          <m:sSub>
            <m:sSubPr>
              <m:ctrlPr>
                <w:rPr>
                  <w:rFonts w:ascii="Cambria Math" w:hAnsi="Cambria Math"/>
                  <w:i/>
                  <w:szCs w:val="20"/>
                  <w:lang w:val="cs-CZ"/>
                </w:rPr>
              </m:ctrlPr>
            </m:sSubPr>
            <m:e>
              <m:d>
                <m:dPr>
                  <m:ctrlPr>
                    <w:rPr>
                      <w:rFonts w:ascii="Cambria Math" w:hAnsi="Cambria Math"/>
                      <w:i/>
                      <w:szCs w:val="20"/>
                      <w:lang w:val="cs-CZ"/>
                    </w:rPr>
                  </m:ctrlPr>
                </m:dPr>
                <m:e>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SOLL</m:t>
                      </m:r>
                    </m:sub>
                  </m:sSub>
                </m:e>
              </m:d>
            </m:e>
            <m:sub>
              <m:r>
                <w:rPr>
                  <w:rFonts w:ascii="Cambria Math" w:hAnsi="Cambria Math"/>
                  <w:szCs w:val="20"/>
                  <w:lang w:val="cs-CZ"/>
                </w:rPr>
                <m:t>Limite</m:t>
              </m:r>
            </m:sub>
          </m:sSub>
          <m:r>
            <w:rPr>
              <w:rFonts w:ascii="Cambria Math" w:hAnsi="Cambria Math"/>
              <w:szCs w:val="20"/>
              <w:lang w:val="cs-CZ"/>
            </w:rPr>
            <m:t xml:space="preserve">= </m:t>
          </m:r>
          <m:sSub>
            <m:sSubPr>
              <m:ctrlPr>
                <w:rPr>
                  <w:rFonts w:ascii="Cambria Math" w:hAnsi="Cambria Math"/>
                  <w:i/>
                  <w:szCs w:val="20"/>
                  <w:lang w:val="cs-CZ"/>
                </w:rPr>
              </m:ctrlPr>
            </m:sSubPr>
            <m:e>
              <m:d>
                <m:dPr>
                  <m:ctrlPr>
                    <w:rPr>
                      <w:rFonts w:ascii="Cambria Math" w:hAnsi="Cambria Math"/>
                      <w:i/>
                      <w:szCs w:val="20"/>
                      <w:lang w:val="cs-CZ"/>
                    </w:rPr>
                  </m:ctrlPr>
                </m:dPr>
                <m:e>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m:t>
                          </m:r>
                        </m:e>
                        <m:sub>
                          <m:r>
                            <w:rPr>
                              <w:rFonts w:ascii="Cambria Math" w:hAnsi="Cambria Math"/>
                              <w:szCs w:val="20"/>
                              <w:lang w:val="cs-CZ"/>
                            </w:rPr>
                            <m:t>SOLL</m:t>
                          </m:r>
                        </m:sub>
                      </m:sSub>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SOLL</m:t>
                          </m:r>
                        </m:sub>
                      </m:sSub>
                    </m:sub>
                  </m:sSub>
                </m:e>
              </m:d>
            </m:e>
            <m:sub>
              <m:r>
                <w:rPr>
                  <w:rFonts w:ascii="Cambria Math" w:hAnsi="Cambria Math"/>
                  <w:szCs w:val="20"/>
                  <w:lang w:val="cs-CZ"/>
                </w:rPr>
                <m:t>Limite</m:t>
              </m:r>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m:t>
                  </m:r>
                </m:e>
                <m:sub>
                  <m:r>
                    <w:rPr>
                      <w:rFonts w:ascii="Cambria Math" w:hAnsi="Cambria Math"/>
                      <w:szCs w:val="20"/>
                      <w:lang w:val="cs-CZ"/>
                    </w:rPr>
                    <m:t>SOLL</m:t>
                  </m:r>
                </m:sub>
              </m:sSub>
            </m:sub>
          </m:sSub>
          <m:r>
            <w:rPr>
              <w:rFonts w:ascii="Cambria Math" w:hAnsi="Cambria Math"/>
              <w:szCs w:val="20"/>
              <w:lang w:val="cs-CZ"/>
            </w:rPr>
            <m:t xml:space="preserve">+0,0472 ∙ </m:t>
          </m:r>
          <m:sSub>
            <m:sSubPr>
              <m:ctrlPr>
                <w:rPr>
                  <w:rFonts w:ascii="Cambria Math" w:hAnsi="Cambria Math"/>
                  <w:i/>
                  <w:szCs w:val="20"/>
                  <w:lang w:val="cs-CZ"/>
                </w:rPr>
              </m:ctrlPr>
            </m:sSubPr>
            <m:e>
              <m:d>
                <m:dPr>
                  <m:ctrlPr>
                    <w:rPr>
                      <w:rFonts w:ascii="Cambria Math" w:hAnsi="Cambria Math"/>
                      <w:i/>
                      <w:szCs w:val="20"/>
                      <w:lang w:val="cs-CZ"/>
                    </w:rPr>
                  </m:ctrlPr>
                </m:dPr>
                <m:e>
                  <m:sSub>
                    <m:sSubPr>
                      <m:ctrlPr>
                        <w:rPr>
                          <w:rFonts w:ascii="Cambria Math" w:hAnsi="Cambria Math"/>
                          <w:i/>
                          <w:szCs w:val="20"/>
                          <w:lang w:val="cs-CZ"/>
                        </w:rPr>
                      </m:ctrlPr>
                    </m:sSubPr>
                    <m:e>
                      <m:r>
                        <w:rPr>
                          <w:rFonts w:ascii="Cambria Math" w:hAnsi="Cambria Math"/>
                          <w:szCs w:val="20"/>
                          <w:lang w:val="cs-CZ"/>
                        </w:rPr>
                        <m:t>D</m:t>
                      </m:r>
                    </m:e>
                    <m:sub>
                      <m:r>
                        <w:rPr>
                          <w:rFonts w:ascii="Cambria Math" w:hAnsi="Cambria Math"/>
                          <w:szCs w:val="20"/>
                          <w:lang w:val="cs-CZ"/>
                        </w:rPr>
                        <m:t>SOLL</m:t>
                      </m:r>
                    </m:sub>
                  </m:sSub>
                </m:e>
              </m:d>
            </m:e>
            <m:sub>
              <m:r>
                <w:rPr>
                  <w:rFonts w:ascii="Cambria Math" w:hAnsi="Cambria Math"/>
                  <w:szCs w:val="20"/>
                  <w:lang w:val="cs-CZ"/>
                </w:rPr>
                <m:t>Limite</m:t>
              </m:r>
            </m:sub>
          </m:sSub>
        </m:oMath>
      </m:oMathPara>
    </w:p>
    <w:p w:rsidR="003B6E11" w:rsidRPr="003B6E11" w:rsidRDefault="003B6E11" w:rsidP="003B6E11">
      <w:pPr>
        <w:tabs>
          <w:tab w:val="left" w:pos="454"/>
        </w:tabs>
        <w:overflowPunct w:val="0"/>
        <w:adjustRightInd w:val="0"/>
        <w:spacing w:line="240" w:lineRule="atLeast"/>
        <w:ind w:left="454" w:hanging="454"/>
        <w:textAlignment w:val="baseline"/>
        <w:rPr>
          <w:position w:val="6"/>
          <w:szCs w:val="20"/>
          <w:lang w:val="cs-CZ"/>
        </w:rPr>
      </w:pPr>
    </w:p>
    <w:p w:rsidR="003B6E11" w:rsidRPr="003B6E11" w:rsidRDefault="003B6E11" w:rsidP="003B6E11">
      <w:pPr>
        <w:tabs>
          <w:tab w:val="left" w:pos="567"/>
        </w:tabs>
        <w:overflowPunct w:val="0"/>
        <w:adjustRightInd w:val="0"/>
        <w:spacing w:line="240" w:lineRule="atLeast"/>
        <w:ind w:left="567" w:hanging="567"/>
        <w:textAlignment w:val="baseline"/>
        <w:rPr>
          <w:szCs w:val="20"/>
          <w:lang w:val="cs-CZ"/>
        </w:rPr>
      </w:pPr>
      <w:r w:rsidRPr="003B6E11">
        <w:rPr>
          <w:lang w:val="cs-CZ"/>
        </w:rPr>
        <w:tab/>
        <w:t>a tudíž</w:t>
      </w:r>
    </w:p>
    <w:p w:rsidR="003B6E11" w:rsidRPr="003B6E11" w:rsidRDefault="003B6E11" w:rsidP="003B6E11">
      <w:pPr>
        <w:overflowPunct w:val="0"/>
        <w:adjustRightInd w:val="0"/>
        <w:spacing w:line="240" w:lineRule="atLeast"/>
        <w:ind w:left="567"/>
        <w:textAlignment w:val="baseline"/>
        <w:rPr>
          <w:szCs w:val="20"/>
          <w:lang w:val="cs-CZ"/>
        </w:rPr>
      </w:pPr>
    </w:p>
    <w:p w:rsidR="003B6E11" w:rsidRPr="003B6E11" w:rsidRDefault="002D015D" w:rsidP="003B6E11">
      <w:pPr>
        <w:overflowPunct w:val="0"/>
        <w:adjustRightInd w:val="0"/>
        <w:spacing w:line="240" w:lineRule="atLeast"/>
        <w:ind w:left="567"/>
        <w:textAlignment w:val="baseline"/>
        <w:rPr>
          <w:szCs w:val="20"/>
          <w:lang w:val="cs-CZ"/>
        </w:rPr>
      </w:pPr>
      <m:oMathPara>
        <m:oMathParaPr>
          <m:jc m:val="left"/>
        </m:oMathParaPr>
        <m:oMath>
          <m:sSub>
            <m:sSubPr>
              <m:ctrlPr>
                <w:rPr>
                  <w:rFonts w:ascii="Cambria Math" w:hAnsi="Cambria Math"/>
                  <w:i/>
                  <w:szCs w:val="20"/>
                  <w:lang w:val="cs-CZ"/>
                </w:rPr>
              </m:ctrlPr>
            </m:sSubPr>
            <m:e>
              <m:d>
                <m:dPr>
                  <m:ctrlPr>
                    <w:rPr>
                      <w:rFonts w:ascii="Cambria Math" w:hAnsi="Cambria Math"/>
                      <w:i/>
                      <w:szCs w:val="20"/>
                      <w:lang w:val="cs-CZ"/>
                    </w:rPr>
                  </m:ctrlPr>
                </m:dPr>
                <m:e>
                  <m:sSub>
                    <m:sSubPr>
                      <m:ctrlPr>
                        <w:rPr>
                          <w:rFonts w:ascii="Cambria Math" w:hAnsi="Cambria Math"/>
                          <w:i/>
                          <w:szCs w:val="20"/>
                          <w:lang w:val="cs-CZ"/>
                        </w:rPr>
                      </m:ctrlPr>
                    </m:sSubPr>
                    <m:e>
                      <m:r>
                        <w:rPr>
                          <w:rFonts w:ascii="Cambria Math" w:hAnsi="Cambria Math"/>
                          <w:szCs w:val="20"/>
                          <w:lang w:val="cs-CZ"/>
                        </w:rPr>
                        <m:t>D</m:t>
                      </m:r>
                    </m:e>
                    <m:sub>
                      <m:r>
                        <w:rPr>
                          <w:rFonts w:ascii="Cambria Math" w:hAnsi="Cambria Math"/>
                          <w:szCs w:val="20"/>
                          <w:lang w:val="cs-CZ"/>
                        </w:rPr>
                        <m:t>SOLL</m:t>
                      </m:r>
                    </m:sub>
                  </m:sSub>
                </m:e>
              </m:d>
            </m:e>
            <m:sub>
              <m:r>
                <w:rPr>
                  <w:rFonts w:ascii="Cambria Math" w:hAnsi="Cambria Math"/>
                  <w:szCs w:val="20"/>
                  <w:lang w:val="cs-CZ"/>
                </w:rPr>
                <m:t>Limite</m:t>
              </m:r>
            </m:sub>
          </m:sSub>
          <m:r>
            <w:rPr>
              <w:rFonts w:ascii="Cambria Math" w:hAnsi="Cambria Math"/>
              <w:szCs w:val="20"/>
              <w:lang w:val="cs-CZ"/>
            </w:rPr>
            <m:t xml:space="preserve">= </m:t>
          </m:r>
          <m:f>
            <m:fPr>
              <m:ctrlPr>
                <w:rPr>
                  <w:rFonts w:ascii="Cambria Math" w:hAnsi="Cambria Math"/>
                  <w:i/>
                  <w:szCs w:val="20"/>
                  <w:lang w:val="cs-CZ"/>
                </w:rPr>
              </m:ctrlPr>
            </m:fPr>
            <m:num>
              <m:sSub>
                <m:sSubPr>
                  <m:ctrlPr>
                    <w:rPr>
                      <w:rFonts w:ascii="Cambria Math" w:hAnsi="Cambria Math"/>
                      <w:i/>
                      <w:szCs w:val="20"/>
                      <w:lang w:val="cs-CZ"/>
                    </w:rPr>
                  </m:ctrlPr>
                </m:sSubPr>
                <m:e>
                  <m:d>
                    <m:dPr>
                      <m:ctrlPr>
                        <w:rPr>
                          <w:rFonts w:ascii="Cambria Math" w:hAnsi="Cambria Math"/>
                          <w:i/>
                          <w:szCs w:val="20"/>
                          <w:lang w:val="cs-CZ"/>
                        </w:rPr>
                      </m:ctrlPr>
                    </m:dPr>
                    <m:e>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SOLL</m:t>
                          </m:r>
                        </m:sub>
                      </m:sSub>
                    </m:e>
                  </m:d>
                </m:e>
                <m:sub>
                  <m:r>
                    <w:rPr>
                      <w:rFonts w:ascii="Cambria Math" w:hAnsi="Cambria Math"/>
                      <w:szCs w:val="20"/>
                      <w:lang w:val="cs-CZ"/>
                    </w:rPr>
                    <m:t>Limite</m:t>
                  </m:r>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m:t>
                      </m:r>
                    </m:e>
                    <m:sub>
                      <m:r>
                        <w:rPr>
                          <w:rFonts w:ascii="Cambria Math" w:hAnsi="Cambria Math"/>
                          <w:szCs w:val="20"/>
                          <w:lang w:val="cs-CZ"/>
                        </w:rPr>
                        <m:t>SOLL</m:t>
                      </m:r>
                    </m:sub>
                  </m:sSub>
                </m:sub>
              </m:sSub>
            </m:num>
            <m:den>
              <m:r>
                <w:rPr>
                  <w:rFonts w:ascii="Cambria Math" w:hAnsi="Cambria Math"/>
                  <w:szCs w:val="20"/>
                  <w:lang w:val="cs-CZ"/>
                </w:rPr>
                <m:t>0,0472</m:t>
              </m:r>
            </m:den>
          </m:f>
          <m:r>
            <w:rPr>
              <w:rFonts w:ascii="Cambria Math" w:hAnsi="Cambria Math"/>
              <w:szCs w:val="20"/>
              <w:lang w:val="cs-CZ"/>
            </w:rPr>
            <m:t xml:space="preserve">= </m:t>
          </m:r>
          <m:f>
            <m:fPr>
              <m:ctrlPr>
                <w:rPr>
                  <w:rFonts w:ascii="Cambria Math" w:hAnsi="Cambria Math"/>
                  <w:i/>
                  <w:szCs w:val="20"/>
                  <w:lang w:val="cs-CZ"/>
                </w:rPr>
              </m:ctrlPr>
            </m:fPr>
            <m:num>
              <m:r>
                <w:rPr>
                  <w:rFonts w:ascii="Cambria Math" w:hAnsi="Cambria Math"/>
                  <w:szCs w:val="20"/>
                  <w:lang w:val="cs-CZ"/>
                </w:rPr>
                <m:t>490,8-77,5</m:t>
              </m:r>
            </m:num>
            <m:den>
              <m:r>
                <w:rPr>
                  <w:rFonts w:ascii="Cambria Math" w:hAnsi="Cambria Math"/>
                  <w:szCs w:val="20"/>
                  <w:lang w:val="cs-CZ"/>
                </w:rPr>
                <m:t>0,0472</m:t>
              </m:r>
            </m:den>
          </m:f>
          <m:r>
            <w:rPr>
              <w:rFonts w:ascii="Cambria Math" w:hAnsi="Cambria Math"/>
              <w:szCs w:val="20"/>
              <w:lang w:val="cs-CZ"/>
            </w:rPr>
            <m:t>=</m:t>
          </m:r>
          <m:r>
            <m:rPr>
              <m:sty m:val="bi"/>
            </m:rPr>
            <w:rPr>
              <w:rFonts w:ascii="Cambria Math" w:hAnsi="Cambria Math"/>
              <w:szCs w:val="20"/>
              <w:lang w:val="cs-CZ"/>
            </w:rPr>
            <m:t xml:space="preserve">8756 </m:t>
          </m:r>
          <m:sSup>
            <m:sSupPr>
              <m:ctrlPr>
                <w:rPr>
                  <w:rFonts w:ascii="Cambria Math" w:hAnsi="Cambria Math"/>
                  <w:b/>
                  <w:i/>
                  <w:szCs w:val="20"/>
                  <w:lang w:val="cs-CZ"/>
                </w:rPr>
              </m:ctrlPr>
            </m:sSupPr>
            <m:e>
              <m:r>
                <m:rPr>
                  <m:sty m:val="bi"/>
                </m:rPr>
                <w:rPr>
                  <w:rFonts w:ascii="Cambria Math" w:hAnsi="Cambria Math"/>
                  <w:szCs w:val="20"/>
                  <w:lang w:val="cs-CZ"/>
                </w:rPr>
                <m:t>m</m:t>
              </m:r>
            </m:e>
            <m:sup>
              <m:r>
                <m:rPr>
                  <m:sty m:val="bi"/>
                </m:rPr>
                <w:rPr>
                  <w:rFonts w:ascii="Cambria Math" w:hAnsi="Cambria Math"/>
                  <w:szCs w:val="20"/>
                  <w:lang w:val="cs-CZ"/>
                </w:rPr>
                <m:t>3</m:t>
              </m:r>
            </m:sup>
          </m:sSup>
        </m:oMath>
      </m:oMathPara>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567"/>
        </w:tabs>
        <w:overflowPunct w:val="0"/>
        <w:adjustRightInd w:val="0"/>
        <w:spacing w:line="240" w:lineRule="exact"/>
        <w:ind w:left="567" w:hanging="567"/>
        <w:textAlignment w:val="baseline"/>
        <w:rPr>
          <w:szCs w:val="20"/>
          <w:lang w:val="cs-CZ"/>
        </w:rPr>
      </w:pPr>
      <w:r w:rsidRPr="003B6E11">
        <w:rPr>
          <w:lang w:val="cs-CZ"/>
        </w:rPr>
        <w:tab/>
      </w:r>
      <w:r w:rsidRPr="003B6E11">
        <w:rPr>
          <w:b/>
          <w:lang w:val="cs-CZ"/>
        </w:rPr>
        <w:t>Z toho vyplývá, že</w:t>
      </w:r>
      <w:r w:rsidRPr="003B6E11">
        <w:rPr>
          <w:lang w:val="cs-CZ"/>
        </w:rPr>
        <w:t>:</w:t>
      </w:r>
    </w:p>
    <w:p w:rsidR="003B6E11" w:rsidRPr="003B6E11" w:rsidRDefault="003B6E11" w:rsidP="003B6E11">
      <w:pPr>
        <w:tabs>
          <w:tab w:val="left" w:pos="567"/>
        </w:tabs>
        <w:overflowPunct w:val="0"/>
        <w:adjustRightInd w:val="0"/>
        <w:spacing w:line="240" w:lineRule="exact"/>
        <w:ind w:left="567" w:hanging="567"/>
        <w:textAlignment w:val="baseline"/>
        <w:rPr>
          <w:szCs w:val="20"/>
          <w:lang w:val="cs-CZ"/>
        </w:rPr>
      </w:pPr>
    </w:p>
    <w:p w:rsidR="003B6E11" w:rsidRPr="003B6E11" w:rsidRDefault="003B6E11" w:rsidP="003B6E11">
      <w:pPr>
        <w:spacing w:line="240" w:lineRule="atLeast"/>
        <w:ind w:left="567"/>
        <w:rPr>
          <w:lang w:val="cs-CZ"/>
        </w:rPr>
      </w:pPr>
      <w:r w:rsidRPr="003B6E11">
        <w:rPr>
          <w:lang w:val="cs-CZ"/>
        </w:rPr>
        <w:t xml:space="preserve">Vzhledem k tomu, že </w:t>
      </w:r>
      <m:oMath>
        <m:sSub>
          <m:sSubPr>
            <m:ctrlPr>
              <w:rPr>
                <w:rFonts w:ascii="Cambria Math" w:hAnsi="Cambria Math"/>
                <w:i/>
                <w:szCs w:val="20"/>
                <w:lang w:val="cs-CZ"/>
              </w:rPr>
            </m:ctrlPr>
          </m:sSubPr>
          <m:e>
            <m:d>
              <m:dPr>
                <m:ctrlPr>
                  <w:rPr>
                    <w:rFonts w:ascii="Cambria Math" w:hAnsi="Cambria Math"/>
                    <w:i/>
                    <w:szCs w:val="20"/>
                    <w:lang w:val="cs-CZ"/>
                  </w:rPr>
                </m:ctrlPr>
              </m:dPr>
              <m:e>
                <m:sSub>
                  <m:sSubPr>
                    <m:ctrlPr>
                      <w:rPr>
                        <w:rFonts w:ascii="Cambria Math" w:hAnsi="Cambria Math"/>
                        <w:i/>
                        <w:szCs w:val="20"/>
                        <w:lang w:val="cs-CZ"/>
                      </w:rPr>
                    </m:ctrlPr>
                  </m:sSubPr>
                  <m:e>
                    <m:r>
                      <w:rPr>
                        <w:rFonts w:ascii="Cambria Math" w:hAnsi="Cambria Math"/>
                        <w:szCs w:val="20"/>
                        <w:lang w:val="cs-CZ"/>
                      </w:rPr>
                      <m:t>D</m:t>
                    </m:r>
                  </m:e>
                  <m:sub>
                    <m:r>
                      <w:rPr>
                        <w:rFonts w:ascii="Cambria Math" w:hAnsi="Cambria Math"/>
                        <w:szCs w:val="20"/>
                        <w:lang w:val="cs-CZ"/>
                      </w:rPr>
                      <m:t>SOLL</m:t>
                    </m:r>
                  </m:sub>
                </m:sSub>
              </m:e>
            </m:d>
          </m:e>
          <m:sub>
            <m:r>
              <w:rPr>
                <w:rFonts w:ascii="Cambria Math" w:hAnsi="Cambria Math"/>
                <w:szCs w:val="20"/>
                <w:lang w:val="cs-CZ"/>
              </w:rPr>
              <m:t>Limite</m:t>
            </m:r>
          </m:sub>
        </m:sSub>
        <m:r>
          <w:rPr>
            <w:rFonts w:ascii="Cambria Math" w:hAnsi="Cambria Math"/>
            <w:szCs w:val="20"/>
            <w:lang w:val="cs-CZ"/>
          </w:rPr>
          <m:t xml:space="preserve">&gt;  </m:t>
        </m:r>
        <m:sSub>
          <m:sSubPr>
            <m:ctrlPr>
              <w:rPr>
                <w:rFonts w:ascii="Cambria Math" w:hAnsi="Cambria Math"/>
                <w:i/>
                <w:szCs w:val="20"/>
                <w:lang w:val="cs-CZ"/>
              </w:rPr>
            </m:ctrlPr>
          </m:sSubPr>
          <m:e>
            <m:r>
              <w:rPr>
                <w:rFonts w:ascii="Cambria Math" w:hAnsi="Cambria Math"/>
                <w:szCs w:val="20"/>
                <w:lang w:val="cs-CZ"/>
              </w:rPr>
              <m:t>D</m:t>
            </m:r>
          </m:e>
          <m:sub>
            <m:r>
              <w:rPr>
                <w:rFonts w:ascii="Cambria Math" w:hAnsi="Cambria Math"/>
                <w:szCs w:val="20"/>
                <w:lang w:val="cs-CZ"/>
              </w:rPr>
              <m:t>max</m:t>
            </m:r>
          </m:sub>
        </m:sSub>
        <m:r>
          <w:rPr>
            <w:rFonts w:ascii="Cambria Math" w:hAnsi="Cambria Math"/>
            <w:szCs w:val="20"/>
            <w:lang w:val="cs-CZ"/>
          </w:rPr>
          <m:t xml:space="preserve"> </m:t>
        </m:r>
        <m:d>
          <m:dPr>
            <m:ctrlPr>
              <w:rPr>
                <w:rFonts w:ascii="Cambria Math" w:hAnsi="Cambria Math"/>
                <w:i/>
                <w:szCs w:val="20"/>
                <w:lang w:val="cs-CZ"/>
              </w:rPr>
            </m:ctrlPr>
          </m:dPr>
          <m:e>
            <m:r>
              <w:rPr>
                <w:rFonts w:ascii="Cambria Math" w:hAnsi="Cambria Math"/>
                <w:szCs w:val="20"/>
                <w:lang w:val="cs-CZ"/>
              </w:rPr>
              <m:t>8756 &gt;6474</m:t>
            </m:r>
          </m:e>
        </m:d>
      </m:oMath>
      <w:r w:rsidRPr="003B6E11">
        <w:rPr>
          <w:lang w:val="cs-CZ"/>
        </w:rPr>
        <w:t>, může být pro tento tvar sestavy (viz bod 1) povolena plavba po proudu při plném zatížení.</w:t>
      </w:r>
    </w:p>
    <w:p w:rsidR="003B6E11" w:rsidRPr="003B6E11" w:rsidRDefault="003B6E11" w:rsidP="003B6E11">
      <w:pPr>
        <w:tabs>
          <w:tab w:val="left" w:pos="454"/>
        </w:tabs>
        <w:overflowPunct w:val="0"/>
        <w:adjustRightInd w:val="0"/>
        <w:spacing w:line="240" w:lineRule="atLeast"/>
        <w:ind w:left="454" w:hanging="454"/>
        <w:textAlignment w:val="baseline"/>
        <w:rPr>
          <w:szCs w:val="20"/>
          <w:lang w:val="cs-CZ"/>
        </w:rPr>
      </w:pPr>
    </w:p>
    <w:p w:rsidR="003B6E11" w:rsidRPr="003B6E11" w:rsidRDefault="003B6E11" w:rsidP="003B6E11">
      <w:pPr>
        <w:tabs>
          <w:tab w:val="left" w:pos="454"/>
        </w:tabs>
        <w:overflowPunct w:val="0"/>
        <w:adjustRightInd w:val="0"/>
        <w:spacing w:line="240" w:lineRule="atLeast"/>
        <w:ind w:left="454" w:hanging="454"/>
        <w:textAlignment w:val="baseline"/>
        <w:rPr>
          <w:szCs w:val="20"/>
          <w:lang w:val="cs-CZ"/>
        </w:rPr>
      </w:pPr>
    </w:p>
    <w:p w:rsidR="003B6E11" w:rsidRPr="003B6E11" w:rsidRDefault="003B6E11" w:rsidP="003B6E11">
      <w:pPr>
        <w:spacing w:line="240" w:lineRule="atLeast"/>
        <w:ind w:left="567" w:hanging="567"/>
        <w:rPr>
          <w:lang w:val="cs-CZ"/>
        </w:rPr>
        <w:sectPr w:rsidR="003B6E11" w:rsidRPr="003B6E11" w:rsidSect="00D45887">
          <w:headerReference w:type="default" r:id="rId126"/>
          <w:headerReference w:type="first" r:id="rId127"/>
          <w:pgSz w:w="11907" w:h="16840" w:code="9"/>
          <w:pgMar w:top="1418" w:right="1418" w:bottom="1418" w:left="1418" w:header="680" w:footer="680" w:gutter="0"/>
          <w:cols w:space="720"/>
          <w:noEndnote/>
          <w:titlePg/>
        </w:sectPr>
      </w:pPr>
    </w:p>
    <w:p w:rsidR="003B6E11" w:rsidRPr="003B6E11" w:rsidRDefault="003B6E11" w:rsidP="003B6E11">
      <w:pPr>
        <w:pStyle w:val="ES-Titre4prESIexple"/>
      </w:pPr>
      <w:r w:rsidRPr="003B6E11">
        <w:t>Příklad II</w:t>
      </w:r>
    </w:p>
    <w:p w:rsidR="003B6E11" w:rsidRPr="003B6E11" w:rsidRDefault="003B6E11" w:rsidP="003B6E11">
      <w:pPr>
        <w:spacing w:line="240" w:lineRule="atLeast"/>
        <w:ind w:left="567" w:hanging="567"/>
        <w:rPr>
          <w:lang w:val="cs-CZ"/>
        </w:rPr>
      </w:pPr>
    </w:p>
    <w:p w:rsidR="003B6E11" w:rsidRPr="003B6E11" w:rsidRDefault="003B6E11" w:rsidP="003B6E11">
      <w:pPr>
        <w:tabs>
          <w:tab w:val="left" w:pos="567"/>
        </w:tabs>
        <w:overflowPunct w:val="0"/>
        <w:adjustRightInd w:val="0"/>
        <w:spacing w:line="240" w:lineRule="exact"/>
        <w:ind w:left="567" w:hanging="567"/>
        <w:textAlignment w:val="baseline"/>
        <w:rPr>
          <w:b/>
          <w:szCs w:val="20"/>
          <w:lang w:val="cs-CZ"/>
        </w:rPr>
      </w:pPr>
      <w:r w:rsidRPr="003B6E11">
        <w:rPr>
          <w:b/>
          <w:lang w:val="cs-CZ"/>
        </w:rPr>
        <w:t>1.</w:t>
      </w:r>
      <w:r w:rsidRPr="003B6E11">
        <w:rPr>
          <w:lang w:val="cs-CZ"/>
        </w:rPr>
        <w:tab/>
      </w:r>
      <w:r w:rsidRPr="003B6E11">
        <w:rPr>
          <w:b/>
          <w:lang w:val="cs-CZ"/>
        </w:rPr>
        <w:t>Údaje o lodích a sestavě</w:t>
      </w:r>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567"/>
          <w:tab w:val="left" w:pos="1843"/>
        </w:tabs>
        <w:overflowPunct w:val="0"/>
        <w:adjustRightInd w:val="0"/>
        <w:spacing w:line="240" w:lineRule="atLeast"/>
        <w:ind w:left="567"/>
        <w:textAlignment w:val="baseline"/>
        <w:rPr>
          <w:szCs w:val="20"/>
          <w:lang w:val="cs-CZ"/>
        </w:rPr>
      </w:pPr>
      <w:r w:rsidRPr="003B6E11">
        <w:rPr>
          <w:lang w:val="cs-CZ"/>
        </w:rPr>
        <w:t>Tvar sestavy: velká motorová loď zajišťující pohyb sestavy</w:t>
      </w:r>
    </w:p>
    <w:p w:rsidR="003B6E11" w:rsidRPr="003B6E11" w:rsidRDefault="003B6E11" w:rsidP="003B6E11">
      <w:pPr>
        <w:tabs>
          <w:tab w:val="left" w:pos="567"/>
          <w:tab w:val="left" w:pos="1843"/>
        </w:tabs>
        <w:overflowPunct w:val="0"/>
        <w:adjustRightInd w:val="0"/>
        <w:spacing w:line="240" w:lineRule="atLeast"/>
        <w:ind w:left="567"/>
        <w:textAlignment w:val="baseline"/>
        <w:rPr>
          <w:szCs w:val="20"/>
          <w:lang w:val="cs-CZ"/>
        </w:rPr>
      </w:pPr>
      <w:r w:rsidRPr="003B6E11">
        <w:rPr>
          <w:lang w:val="cs-CZ"/>
        </w:rPr>
        <w:t>2 tlačné čluny vedle sebe vpředu a</w:t>
      </w:r>
    </w:p>
    <w:p w:rsidR="003B6E11" w:rsidRPr="003B6E11" w:rsidRDefault="003B6E11" w:rsidP="003B6E11">
      <w:pPr>
        <w:tabs>
          <w:tab w:val="left" w:pos="567"/>
          <w:tab w:val="left" w:pos="1843"/>
        </w:tabs>
        <w:overflowPunct w:val="0"/>
        <w:adjustRightInd w:val="0"/>
        <w:spacing w:line="240" w:lineRule="atLeast"/>
        <w:ind w:left="567"/>
        <w:textAlignment w:val="baseline"/>
        <w:rPr>
          <w:szCs w:val="20"/>
          <w:lang w:val="cs-CZ"/>
        </w:rPr>
      </w:pPr>
      <w:r w:rsidRPr="003B6E11">
        <w:rPr>
          <w:lang w:val="cs-CZ"/>
        </w:rPr>
        <w:t>1 bočně svázaný tlačný člun</w:t>
      </w:r>
    </w:p>
    <w:p w:rsidR="003B6E11" w:rsidRPr="003B6E11" w:rsidRDefault="003B6E11" w:rsidP="003B6E11">
      <w:pPr>
        <w:overflowPunct w:val="0"/>
        <w:adjustRightInd w:val="0"/>
        <w:textAlignment w:val="baseline"/>
        <w:rPr>
          <w:szCs w:val="20"/>
          <w:lang w:val="cs-CZ"/>
        </w:rPr>
      </w:pPr>
    </w:p>
    <w:tbl>
      <w:tblPr>
        <w:tblW w:w="9527" w:type="dxa"/>
        <w:tblInd w:w="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61"/>
        <w:gridCol w:w="1361"/>
        <w:gridCol w:w="1361"/>
        <w:gridCol w:w="1361"/>
        <w:gridCol w:w="1361"/>
        <w:gridCol w:w="1361"/>
        <w:gridCol w:w="1361"/>
      </w:tblGrid>
      <w:tr w:rsidR="003B6E11" w:rsidRPr="003B6E11" w:rsidTr="002D015D">
        <w:tc>
          <w:tcPr>
            <w:tcW w:w="1361" w:type="dxa"/>
          </w:tcPr>
          <w:p w:rsidR="003B6E11" w:rsidRPr="003B6E11" w:rsidRDefault="003B6E11" w:rsidP="002D015D">
            <w:pPr>
              <w:overflowPunct w:val="0"/>
              <w:adjustRightInd w:val="0"/>
              <w:spacing w:before="80" w:after="80"/>
              <w:jc w:val="center"/>
              <w:textAlignment w:val="baseline"/>
              <w:rPr>
                <w:sz w:val="18"/>
                <w:szCs w:val="18"/>
                <w:lang w:val="cs-CZ"/>
              </w:rPr>
            </w:pPr>
          </w:p>
        </w:tc>
        <w:tc>
          <w:tcPr>
            <w:tcW w:w="1361" w:type="dxa"/>
          </w:tcPr>
          <w:p w:rsidR="003B6E11" w:rsidRPr="003B6E11" w:rsidRDefault="003B6E11" w:rsidP="002D015D">
            <w:pPr>
              <w:overflowPunct w:val="0"/>
              <w:adjustRightInd w:val="0"/>
              <w:spacing w:before="80" w:after="80"/>
              <w:jc w:val="center"/>
              <w:textAlignment w:val="baseline"/>
              <w:rPr>
                <w:sz w:val="18"/>
                <w:szCs w:val="18"/>
                <w:lang w:val="cs-CZ"/>
              </w:rPr>
            </w:pPr>
            <m:oMath>
              <m:r>
                <w:rPr>
                  <w:rFonts w:ascii="Cambria Math" w:hAnsi="Cambria Math"/>
                  <w:sz w:val="18"/>
                  <w:szCs w:val="18"/>
                  <w:lang w:val="cs-CZ"/>
                </w:rPr>
                <m:t>L</m:t>
              </m:r>
            </m:oMath>
            <w:r w:rsidRPr="003B6E11">
              <w:rPr>
                <w:sz w:val="18"/>
                <w:lang w:val="cs-CZ"/>
              </w:rPr>
              <w:t xml:space="preserve"> [m]</w:t>
            </w:r>
          </w:p>
        </w:tc>
        <w:tc>
          <w:tcPr>
            <w:tcW w:w="1361" w:type="dxa"/>
          </w:tcPr>
          <w:p w:rsidR="003B6E11" w:rsidRPr="003B6E11" w:rsidRDefault="003B6E11" w:rsidP="002D015D">
            <w:pPr>
              <w:overflowPunct w:val="0"/>
              <w:adjustRightInd w:val="0"/>
              <w:spacing w:before="80" w:after="80"/>
              <w:jc w:val="center"/>
              <w:textAlignment w:val="baseline"/>
              <w:rPr>
                <w:sz w:val="18"/>
                <w:szCs w:val="18"/>
                <w:lang w:val="cs-CZ"/>
              </w:rPr>
            </w:pPr>
            <m:oMath>
              <m:r>
                <w:rPr>
                  <w:rFonts w:ascii="Cambria Math" w:hAnsi="Cambria Math"/>
                  <w:sz w:val="18"/>
                  <w:szCs w:val="18"/>
                  <w:lang w:val="cs-CZ"/>
                </w:rPr>
                <m:t>B</m:t>
              </m:r>
            </m:oMath>
            <w:r w:rsidRPr="003B6E11">
              <w:rPr>
                <w:sz w:val="18"/>
                <w:lang w:val="cs-CZ"/>
              </w:rPr>
              <w:t xml:space="preserve"> [m]</w:t>
            </w:r>
          </w:p>
        </w:tc>
        <w:tc>
          <w:tcPr>
            <w:tcW w:w="1361" w:type="dxa"/>
          </w:tcPr>
          <w:p w:rsidR="003B6E11" w:rsidRPr="003B6E11" w:rsidRDefault="003B6E11" w:rsidP="002D015D">
            <w:pPr>
              <w:overflowPunct w:val="0"/>
              <w:adjustRightInd w:val="0"/>
              <w:spacing w:before="80" w:after="80"/>
              <w:jc w:val="center"/>
              <w:textAlignment w:val="baseline"/>
              <w:rPr>
                <w:sz w:val="18"/>
                <w:szCs w:val="18"/>
                <w:lang w:val="cs-CZ"/>
              </w:rPr>
            </w:pPr>
            <m:oMath>
              <m:r>
                <w:rPr>
                  <w:rFonts w:ascii="Cambria Math" w:hAnsi="Cambria Math"/>
                  <w:sz w:val="18"/>
                  <w:szCs w:val="18"/>
                  <w:lang w:val="cs-CZ"/>
                </w:rPr>
                <m:t>T</m:t>
              </m:r>
              <m:r>
                <w:rPr>
                  <w:rFonts w:ascii="Cambria Math" w:hAnsi="Cambria Math"/>
                  <w:position w:val="-6"/>
                  <w:sz w:val="16"/>
                  <w:szCs w:val="18"/>
                  <w:lang w:val="cs-CZ"/>
                </w:rPr>
                <m:t>max</m:t>
              </m:r>
            </m:oMath>
            <w:r w:rsidRPr="003B6E11">
              <w:rPr>
                <w:sz w:val="18"/>
                <w:lang w:val="cs-CZ"/>
              </w:rPr>
              <w:t xml:space="preserve"> [m]</w:t>
            </w:r>
          </w:p>
        </w:tc>
        <w:tc>
          <w:tcPr>
            <w:tcW w:w="1361" w:type="dxa"/>
          </w:tcPr>
          <w:p w:rsidR="003B6E11" w:rsidRPr="003B6E11" w:rsidRDefault="003B6E11" w:rsidP="002D015D">
            <w:pPr>
              <w:overflowPunct w:val="0"/>
              <w:adjustRightInd w:val="0"/>
              <w:spacing w:before="80" w:after="80"/>
              <w:jc w:val="center"/>
              <w:textAlignment w:val="baseline"/>
              <w:rPr>
                <w:sz w:val="18"/>
                <w:szCs w:val="18"/>
                <w:lang w:val="cs-CZ"/>
              </w:rPr>
            </w:pPr>
            <m:oMath>
              <m:r>
                <w:rPr>
                  <w:rFonts w:ascii="Cambria Math" w:hAnsi="Cambria Math"/>
                  <w:szCs w:val="20"/>
                  <w:lang w:val="cs-CZ"/>
                </w:rPr>
                <m:t>Tgf</m:t>
              </m:r>
              <m:r>
                <w:rPr>
                  <w:rFonts w:ascii="Cambria Math" w:hAnsi="Cambria Math"/>
                  <w:position w:val="6"/>
                  <w:sz w:val="18"/>
                  <w:szCs w:val="18"/>
                  <w:lang w:val="cs-CZ"/>
                </w:rPr>
                <m:t>*</m:t>
              </m:r>
              <m:r>
                <w:rPr>
                  <w:rFonts w:ascii="Cambria Math" w:hAnsi="Cambria Math"/>
                  <w:position w:val="-6"/>
                  <w:sz w:val="16"/>
                  <w:szCs w:val="18"/>
                  <w:lang w:val="cs-CZ"/>
                </w:rPr>
                <m:t>max</m:t>
              </m:r>
            </m:oMath>
            <w:r w:rsidRPr="003B6E11">
              <w:rPr>
                <w:sz w:val="18"/>
                <w:lang w:val="cs-CZ"/>
              </w:rPr>
              <w:t xml:space="preserve"> [t]</w:t>
            </w:r>
          </w:p>
        </w:tc>
        <w:tc>
          <w:tcPr>
            <w:tcW w:w="1361" w:type="dxa"/>
          </w:tcPr>
          <w:p w:rsidR="003B6E11" w:rsidRPr="003B6E11" w:rsidRDefault="003B6E11" w:rsidP="002D015D">
            <w:pPr>
              <w:overflowPunct w:val="0"/>
              <w:adjustRightInd w:val="0"/>
              <w:spacing w:before="80" w:after="80"/>
              <w:jc w:val="center"/>
              <w:textAlignment w:val="baseline"/>
              <w:rPr>
                <w:sz w:val="18"/>
                <w:szCs w:val="18"/>
                <w:lang w:val="cs-CZ"/>
              </w:rPr>
            </w:pPr>
            <m:oMath>
              <m:r>
                <w:rPr>
                  <w:rFonts w:ascii="Cambria Math" w:hAnsi="Cambria Math"/>
                  <w:sz w:val="18"/>
                  <w:szCs w:val="18"/>
                  <w:lang w:val="cs-CZ"/>
                </w:rPr>
                <m:t>D</m:t>
              </m:r>
              <m:r>
                <w:rPr>
                  <w:rFonts w:ascii="Cambria Math" w:hAnsi="Cambria Math"/>
                  <w:position w:val="-6"/>
                  <w:sz w:val="16"/>
                  <w:szCs w:val="18"/>
                  <w:lang w:val="cs-CZ"/>
                </w:rPr>
                <m:t>max</m:t>
              </m:r>
            </m:oMath>
            <w:r w:rsidRPr="003B6E11">
              <w:rPr>
                <w:sz w:val="18"/>
                <w:lang w:val="cs-CZ"/>
              </w:rPr>
              <w:t xml:space="preserve"> [m</w:t>
            </w:r>
            <w:r w:rsidRPr="003B6E11">
              <w:rPr>
                <w:position w:val="6"/>
                <w:sz w:val="16"/>
                <w:lang w:val="cs-CZ"/>
              </w:rPr>
              <w:t>3</w:t>
            </w:r>
            <w:r w:rsidRPr="003B6E11">
              <w:rPr>
                <w:sz w:val="18"/>
                <w:lang w:val="cs-CZ"/>
              </w:rPr>
              <w:t>]</w:t>
            </w:r>
          </w:p>
        </w:tc>
        <w:tc>
          <w:tcPr>
            <w:tcW w:w="1361" w:type="dxa"/>
          </w:tcPr>
          <w:p w:rsidR="003B6E11" w:rsidRPr="003B6E11" w:rsidRDefault="003B6E11" w:rsidP="002D015D">
            <w:pPr>
              <w:overflowPunct w:val="0"/>
              <w:adjustRightInd w:val="0"/>
              <w:spacing w:before="80" w:after="80"/>
              <w:jc w:val="center"/>
              <w:textAlignment w:val="baseline"/>
              <w:rPr>
                <w:sz w:val="18"/>
                <w:szCs w:val="18"/>
                <w:lang w:val="cs-CZ"/>
              </w:rPr>
            </w:pPr>
            <w:r w:rsidRPr="003B6E11">
              <w:rPr>
                <w:sz w:val="18"/>
                <w:lang w:val="cs-CZ"/>
              </w:rPr>
              <w:t>P</w:t>
            </w:r>
            <w:r w:rsidRPr="003B6E11">
              <w:rPr>
                <w:position w:val="-6"/>
                <w:sz w:val="16"/>
                <w:lang w:val="cs-CZ"/>
              </w:rPr>
              <w:t>B</w:t>
            </w:r>
            <w:r w:rsidRPr="003B6E11">
              <w:rPr>
                <w:sz w:val="18"/>
                <w:lang w:val="cs-CZ"/>
              </w:rPr>
              <w:t xml:space="preserve"> [kW]</w:t>
            </w:r>
          </w:p>
        </w:tc>
      </w:tr>
      <w:tr w:rsidR="003B6E11" w:rsidRPr="003B6E11" w:rsidTr="002D015D">
        <w:tc>
          <w:tcPr>
            <w:tcW w:w="1361" w:type="dxa"/>
          </w:tcPr>
          <w:p w:rsidR="003B6E11" w:rsidRPr="003B6E11" w:rsidRDefault="003B6E11" w:rsidP="002D015D">
            <w:pPr>
              <w:overflowPunct w:val="0"/>
              <w:adjustRightInd w:val="0"/>
              <w:spacing w:before="80" w:after="80"/>
              <w:ind w:left="57"/>
              <w:textAlignment w:val="baseline"/>
              <w:rPr>
                <w:sz w:val="18"/>
                <w:szCs w:val="18"/>
                <w:lang w:val="cs-CZ"/>
              </w:rPr>
            </w:pPr>
            <w:r w:rsidRPr="003B6E11">
              <w:rPr>
                <w:sz w:val="18"/>
                <w:lang w:val="cs-CZ"/>
              </w:rPr>
              <w:t>Motorová loď</w:t>
            </w:r>
          </w:p>
        </w:tc>
        <w:tc>
          <w:tcPr>
            <w:tcW w:w="1361" w:type="dxa"/>
          </w:tcPr>
          <w:p w:rsidR="003B6E11" w:rsidRPr="003B6E11" w:rsidRDefault="003B6E11" w:rsidP="002D015D">
            <w:pPr>
              <w:tabs>
                <w:tab w:val="decimal" w:pos="709"/>
              </w:tabs>
              <w:overflowPunct w:val="0"/>
              <w:adjustRightInd w:val="0"/>
              <w:spacing w:before="80" w:after="80"/>
              <w:ind w:left="113" w:right="113"/>
              <w:textAlignment w:val="baseline"/>
              <w:rPr>
                <w:sz w:val="18"/>
                <w:szCs w:val="18"/>
                <w:lang w:val="cs-CZ"/>
              </w:rPr>
            </w:pPr>
            <w:r w:rsidRPr="003B6E11">
              <w:rPr>
                <w:sz w:val="18"/>
                <w:lang w:val="cs-CZ"/>
              </w:rPr>
              <w:t>110</w:t>
            </w:r>
          </w:p>
        </w:tc>
        <w:tc>
          <w:tcPr>
            <w:tcW w:w="1361" w:type="dxa"/>
          </w:tcPr>
          <w:p w:rsidR="003B6E11" w:rsidRPr="003B6E11" w:rsidRDefault="003B6E11" w:rsidP="002D015D">
            <w:pPr>
              <w:tabs>
                <w:tab w:val="decimal" w:pos="708"/>
              </w:tabs>
              <w:overflowPunct w:val="0"/>
              <w:adjustRightInd w:val="0"/>
              <w:spacing w:before="80" w:after="80"/>
              <w:ind w:left="113" w:right="113"/>
              <w:textAlignment w:val="baseline"/>
              <w:rPr>
                <w:sz w:val="18"/>
                <w:szCs w:val="18"/>
                <w:lang w:val="cs-CZ"/>
              </w:rPr>
            </w:pPr>
            <w:r w:rsidRPr="003B6E11">
              <w:rPr>
                <w:sz w:val="18"/>
                <w:lang w:val="cs-CZ"/>
              </w:rPr>
              <w:t>11,4</w:t>
            </w:r>
          </w:p>
        </w:tc>
        <w:tc>
          <w:tcPr>
            <w:tcW w:w="1361" w:type="dxa"/>
          </w:tcPr>
          <w:p w:rsidR="003B6E11" w:rsidRPr="003B6E11" w:rsidRDefault="003B6E11" w:rsidP="002D015D">
            <w:pPr>
              <w:tabs>
                <w:tab w:val="decimal" w:pos="737"/>
              </w:tabs>
              <w:overflowPunct w:val="0"/>
              <w:adjustRightInd w:val="0"/>
              <w:spacing w:before="80" w:after="80"/>
              <w:ind w:left="113" w:right="113"/>
              <w:textAlignment w:val="baseline"/>
              <w:rPr>
                <w:sz w:val="18"/>
                <w:szCs w:val="18"/>
                <w:lang w:val="cs-CZ"/>
              </w:rPr>
            </w:pPr>
            <w:r w:rsidRPr="003B6E11">
              <w:rPr>
                <w:sz w:val="18"/>
                <w:lang w:val="cs-CZ"/>
              </w:rPr>
              <w:t>3,5</w:t>
            </w:r>
          </w:p>
        </w:tc>
        <w:tc>
          <w:tcPr>
            <w:tcW w:w="1361" w:type="dxa"/>
          </w:tcPr>
          <w:p w:rsidR="003B6E11" w:rsidRPr="003B6E11" w:rsidRDefault="003B6E11" w:rsidP="002D015D">
            <w:pPr>
              <w:tabs>
                <w:tab w:val="decimal" w:pos="849"/>
              </w:tabs>
              <w:overflowPunct w:val="0"/>
              <w:adjustRightInd w:val="0"/>
              <w:spacing w:before="80" w:after="80"/>
              <w:ind w:left="113" w:right="113"/>
              <w:textAlignment w:val="baseline"/>
              <w:rPr>
                <w:sz w:val="18"/>
                <w:szCs w:val="18"/>
                <w:lang w:val="cs-CZ"/>
              </w:rPr>
            </w:pPr>
            <w:r w:rsidRPr="003B6E11">
              <w:rPr>
                <w:sz w:val="18"/>
                <w:lang w:val="cs-CZ"/>
              </w:rPr>
              <w:t>2900</w:t>
            </w:r>
          </w:p>
        </w:tc>
        <w:tc>
          <w:tcPr>
            <w:tcW w:w="1361" w:type="dxa"/>
          </w:tcPr>
          <w:p w:rsidR="003B6E11" w:rsidRPr="003B6E11" w:rsidRDefault="003B6E11" w:rsidP="002D015D">
            <w:pPr>
              <w:tabs>
                <w:tab w:val="decimal" w:pos="990"/>
              </w:tabs>
              <w:overflowPunct w:val="0"/>
              <w:adjustRightInd w:val="0"/>
              <w:spacing w:before="80" w:after="80"/>
              <w:ind w:left="113" w:right="113"/>
              <w:textAlignment w:val="baseline"/>
              <w:rPr>
                <w:sz w:val="18"/>
                <w:szCs w:val="18"/>
                <w:lang w:val="cs-CZ"/>
              </w:rPr>
            </w:pPr>
            <w:r w:rsidRPr="003B6E11">
              <w:rPr>
                <w:sz w:val="18"/>
                <w:lang w:val="cs-CZ"/>
              </w:rPr>
              <w:t>3731</w:t>
            </w:r>
          </w:p>
        </w:tc>
        <w:tc>
          <w:tcPr>
            <w:tcW w:w="1361" w:type="dxa"/>
          </w:tcPr>
          <w:p w:rsidR="003B6E11" w:rsidRPr="003B6E11" w:rsidRDefault="003B6E11" w:rsidP="002D015D">
            <w:pPr>
              <w:tabs>
                <w:tab w:val="decimal" w:pos="848"/>
              </w:tabs>
              <w:overflowPunct w:val="0"/>
              <w:adjustRightInd w:val="0"/>
              <w:spacing w:before="80" w:after="80"/>
              <w:ind w:left="113" w:right="113"/>
              <w:textAlignment w:val="baseline"/>
              <w:rPr>
                <w:sz w:val="18"/>
                <w:szCs w:val="18"/>
                <w:lang w:val="cs-CZ"/>
              </w:rPr>
            </w:pPr>
            <w:r w:rsidRPr="003B6E11">
              <w:rPr>
                <w:sz w:val="18"/>
                <w:lang w:val="cs-CZ"/>
              </w:rPr>
              <w:t>1500</w:t>
            </w:r>
          </w:p>
        </w:tc>
      </w:tr>
      <w:tr w:rsidR="003B6E11" w:rsidRPr="003B6E11" w:rsidTr="002D015D">
        <w:tc>
          <w:tcPr>
            <w:tcW w:w="1361" w:type="dxa"/>
          </w:tcPr>
          <w:p w:rsidR="003B6E11" w:rsidRPr="003B6E11" w:rsidRDefault="003B6E11" w:rsidP="002D015D">
            <w:pPr>
              <w:overflowPunct w:val="0"/>
              <w:adjustRightInd w:val="0"/>
              <w:spacing w:before="80" w:after="80"/>
              <w:ind w:left="57"/>
              <w:textAlignment w:val="baseline"/>
              <w:rPr>
                <w:sz w:val="18"/>
                <w:szCs w:val="18"/>
                <w:lang w:val="cs-CZ"/>
              </w:rPr>
            </w:pPr>
            <w:r w:rsidRPr="003B6E11">
              <w:rPr>
                <w:sz w:val="18"/>
                <w:lang w:val="cs-CZ"/>
              </w:rPr>
              <w:t>Každý tlačný člun</w:t>
            </w:r>
          </w:p>
        </w:tc>
        <w:tc>
          <w:tcPr>
            <w:tcW w:w="1361" w:type="dxa"/>
          </w:tcPr>
          <w:p w:rsidR="003B6E11" w:rsidRPr="003B6E11" w:rsidRDefault="003B6E11" w:rsidP="002D015D">
            <w:pPr>
              <w:tabs>
                <w:tab w:val="decimal" w:pos="709"/>
              </w:tabs>
              <w:overflowPunct w:val="0"/>
              <w:adjustRightInd w:val="0"/>
              <w:spacing w:before="80" w:after="80"/>
              <w:ind w:left="113" w:right="113"/>
              <w:textAlignment w:val="baseline"/>
              <w:rPr>
                <w:sz w:val="18"/>
                <w:szCs w:val="18"/>
                <w:lang w:val="cs-CZ"/>
              </w:rPr>
            </w:pPr>
            <w:r w:rsidRPr="003B6E11">
              <w:rPr>
                <w:sz w:val="18"/>
                <w:lang w:val="cs-CZ"/>
              </w:rPr>
              <w:t>76,5</w:t>
            </w:r>
          </w:p>
        </w:tc>
        <w:tc>
          <w:tcPr>
            <w:tcW w:w="1361" w:type="dxa"/>
          </w:tcPr>
          <w:p w:rsidR="003B6E11" w:rsidRPr="003B6E11" w:rsidRDefault="003B6E11" w:rsidP="002D015D">
            <w:pPr>
              <w:tabs>
                <w:tab w:val="decimal" w:pos="708"/>
              </w:tabs>
              <w:overflowPunct w:val="0"/>
              <w:adjustRightInd w:val="0"/>
              <w:spacing w:before="80" w:after="80"/>
              <w:ind w:left="113" w:right="113"/>
              <w:textAlignment w:val="baseline"/>
              <w:rPr>
                <w:sz w:val="18"/>
                <w:szCs w:val="18"/>
                <w:lang w:val="cs-CZ"/>
              </w:rPr>
            </w:pPr>
            <w:r w:rsidRPr="003B6E11">
              <w:rPr>
                <w:sz w:val="18"/>
                <w:lang w:val="cs-CZ"/>
              </w:rPr>
              <w:t>11,4</w:t>
            </w:r>
          </w:p>
        </w:tc>
        <w:tc>
          <w:tcPr>
            <w:tcW w:w="1361" w:type="dxa"/>
          </w:tcPr>
          <w:p w:rsidR="003B6E11" w:rsidRPr="003B6E11" w:rsidRDefault="003B6E11" w:rsidP="002D015D">
            <w:pPr>
              <w:tabs>
                <w:tab w:val="decimal" w:pos="737"/>
              </w:tabs>
              <w:overflowPunct w:val="0"/>
              <w:adjustRightInd w:val="0"/>
              <w:spacing w:before="80" w:after="80"/>
              <w:ind w:left="113" w:right="113"/>
              <w:textAlignment w:val="baseline"/>
              <w:rPr>
                <w:sz w:val="18"/>
                <w:szCs w:val="18"/>
                <w:lang w:val="cs-CZ"/>
              </w:rPr>
            </w:pPr>
            <w:r w:rsidRPr="003B6E11">
              <w:rPr>
                <w:sz w:val="18"/>
                <w:lang w:val="cs-CZ"/>
              </w:rPr>
              <w:t>3,7</w:t>
            </w:r>
          </w:p>
        </w:tc>
        <w:tc>
          <w:tcPr>
            <w:tcW w:w="1361" w:type="dxa"/>
          </w:tcPr>
          <w:p w:rsidR="003B6E11" w:rsidRPr="003B6E11" w:rsidRDefault="003B6E11" w:rsidP="002D015D">
            <w:pPr>
              <w:tabs>
                <w:tab w:val="decimal" w:pos="849"/>
              </w:tabs>
              <w:overflowPunct w:val="0"/>
              <w:adjustRightInd w:val="0"/>
              <w:spacing w:before="80" w:after="80"/>
              <w:ind w:left="113" w:right="113"/>
              <w:textAlignment w:val="baseline"/>
              <w:rPr>
                <w:sz w:val="18"/>
                <w:szCs w:val="18"/>
                <w:lang w:val="cs-CZ"/>
              </w:rPr>
            </w:pPr>
            <w:r w:rsidRPr="003B6E11">
              <w:rPr>
                <w:sz w:val="18"/>
                <w:lang w:val="cs-CZ"/>
              </w:rPr>
              <w:t>2600</w:t>
            </w:r>
          </w:p>
        </w:tc>
        <w:tc>
          <w:tcPr>
            <w:tcW w:w="1361" w:type="dxa"/>
          </w:tcPr>
          <w:p w:rsidR="003B6E11" w:rsidRPr="003B6E11" w:rsidRDefault="003B6E11" w:rsidP="002D015D">
            <w:pPr>
              <w:tabs>
                <w:tab w:val="decimal" w:pos="990"/>
              </w:tabs>
              <w:overflowPunct w:val="0"/>
              <w:adjustRightInd w:val="0"/>
              <w:spacing w:before="80" w:after="80"/>
              <w:ind w:left="113" w:right="113"/>
              <w:textAlignment w:val="baseline"/>
              <w:rPr>
                <w:sz w:val="18"/>
                <w:szCs w:val="18"/>
                <w:lang w:val="cs-CZ"/>
              </w:rPr>
            </w:pPr>
            <w:r w:rsidRPr="003B6E11">
              <w:rPr>
                <w:sz w:val="18"/>
                <w:lang w:val="cs-CZ"/>
              </w:rPr>
              <w:t>2743</w:t>
            </w:r>
          </w:p>
        </w:tc>
        <w:tc>
          <w:tcPr>
            <w:tcW w:w="1361" w:type="dxa"/>
          </w:tcPr>
          <w:p w:rsidR="003B6E11" w:rsidRPr="003B6E11" w:rsidRDefault="003B6E11" w:rsidP="002D015D">
            <w:pPr>
              <w:tabs>
                <w:tab w:val="decimal" w:pos="198"/>
              </w:tabs>
              <w:overflowPunct w:val="0"/>
              <w:adjustRightInd w:val="0"/>
              <w:spacing w:before="80" w:after="80"/>
              <w:ind w:left="113" w:right="113"/>
              <w:jc w:val="center"/>
              <w:textAlignment w:val="baseline"/>
              <w:rPr>
                <w:sz w:val="18"/>
                <w:szCs w:val="18"/>
                <w:lang w:val="cs-CZ"/>
              </w:rPr>
            </w:pPr>
            <w:r w:rsidRPr="003B6E11">
              <w:rPr>
                <w:sz w:val="18"/>
                <w:lang w:val="cs-CZ"/>
              </w:rPr>
              <w:t>-</w:t>
            </w:r>
          </w:p>
        </w:tc>
      </w:tr>
      <w:tr w:rsidR="003B6E11" w:rsidRPr="003B6E11" w:rsidTr="002D015D">
        <w:tc>
          <w:tcPr>
            <w:tcW w:w="1361" w:type="dxa"/>
          </w:tcPr>
          <w:p w:rsidR="003B6E11" w:rsidRPr="003B6E11" w:rsidRDefault="003B6E11" w:rsidP="002D015D">
            <w:pPr>
              <w:overflowPunct w:val="0"/>
              <w:adjustRightInd w:val="0"/>
              <w:spacing w:before="80" w:after="80"/>
              <w:ind w:left="57"/>
              <w:textAlignment w:val="baseline"/>
              <w:rPr>
                <w:sz w:val="18"/>
                <w:szCs w:val="18"/>
                <w:lang w:val="cs-CZ"/>
              </w:rPr>
            </w:pPr>
            <w:r w:rsidRPr="003B6E11">
              <w:rPr>
                <w:sz w:val="18"/>
                <w:lang w:val="cs-CZ"/>
              </w:rPr>
              <w:t>Sestava</w:t>
            </w:r>
          </w:p>
        </w:tc>
        <w:tc>
          <w:tcPr>
            <w:tcW w:w="1361" w:type="dxa"/>
          </w:tcPr>
          <w:p w:rsidR="003B6E11" w:rsidRPr="003B6E11" w:rsidRDefault="003B6E11" w:rsidP="002D015D">
            <w:pPr>
              <w:tabs>
                <w:tab w:val="decimal" w:pos="709"/>
              </w:tabs>
              <w:overflowPunct w:val="0"/>
              <w:adjustRightInd w:val="0"/>
              <w:spacing w:before="80" w:after="80"/>
              <w:ind w:left="113" w:right="113"/>
              <w:textAlignment w:val="baseline"/>
              <w:rPr>
                <w:sz w:val="18"/>
                <w:szCs w:val="18"/>
                <w:lang w:val="cs-CZ"/>
              </w:rPr>
            </w:pPr>
            <w:r w:rsidRPr="003B6E11">
              <w:rPr>
                <w:sz w:val="18"/>
                <w:lang w:val="cs-CZ"/>
              </w:rPr>
              <w:t>186,5</w:t>
            </w:r>
          </w:p>
        </w:tc>
        <w:tc>
          <w:tcPr>
            <w:tcW w:w="1361" w:type="dxa"/>
          </w:tcPr>
          <w:p w:rsidR="003B6E11" w:rsidRPr="003B6E11" w:rsidRDefault="003B6E11" w:rsidP="002D015D">
            <w:pPr>
              <w:tabs>
                <w:tab w:val="decimal" w:pos="708"/>
              </w:tabs>
              <w:overflowPunct w:val="0"/>
              <w:adjustRightInd w:val="0"/>
              <w:spacing w:before="80" w:after="80"/>
              <w:ind w:left="113" w:right="113"/>
              <w:textAlignment w:val="baseline"/>
              <w:rPr>
                <w:sz w:val="18"/>
                <w:szCs w:val="18"/>
                <w:lang w:val="cs-CZ"/>
              </w:rPr>
            </w:pPr>
            <w:r w:rsidRPr="003B6E11">
              <w:rPr>
                <w:sz w:val="18"/>
                <w:lang w:val="cs-CZ"/>
              </w:rPr>
              <w:t>22,8</w:t>
            </w:r>
          </w:p>
        </w:tc>
        <w:tc>
          <w:tcPr>
            <w:tcW w:w="1361" w:type="dxa"/>
          </w:tcPr>
          <w:p w:rsidR="003B6E11" w:rsidRPr="003B6E11" w:rsidRDefault="003B6E11" w:rsidP="002D015D">
            <w:pPr>
              <w:tabs>
                <w:tab w:val="decimal" w:pos="737"/>
              </w:tabs>
              <w:overflowPunct w:val="0"/>
              <w:adjustRightInd w:val="0"/>
              <w:spacing w:before="80" w:after="80"/>
              <w:ind w:left="113" w:right="113"/>
              <w:textAlignment w:val="baseline"/>
              <w:rPr>
                <w:sz w:val="18"/>
                <w:szCs w:val="18"/>
                <w:lang w:val="cs-CZ"/>
              </w:rPr>
            </w:pPr>
            <w:r w:rsidRPr="003B6E11">
              <w:rPr>
                <w:sz w:val="18"/>
                <w:lang w:val="cs-CZ"/>
              </w:rPr>
              <w:t>3,7</w:t>
            </w:r>
          </w:p>
        </w:tc>
        <w:tc>
          <w:tcPr>
            <w:tcW w:w="1361" w:type="dxa"/>
          </w:tcPr>
          <w:p w:rsidR="003B6E11" w:rsidRPr="003B6E11" w:rsidRDefault="003B6E11" w:rsidP="002D015D">
            <w:pPr>
              <w:tabs>
                <w:tab w:val="decimal" w:pos="849"/>
              </w:tabs>
              <w:overflowPunct w:val="0"/>
              <w:adjustRightInd w:val="0"/>
              <w:spacing w:before="80" w:after="80"/>
              <w:ind w:left="113" w:right="113"/>
              <w:textAlignment w:val="baseline"/>
              <w:rPr>
                <w:sz w:val="18"/>
                <w:szCs w:val="18"/>
                <w:lang w:val="cs-CZ"/>
              </w:rPr>
            </w:pPr>
            <w:r w:rsidRPr="003B6E11">
              <w:rPr>
                <w:sz w:val="18"/>
                <w:lang w:val="cs-CZ"/>
              </w:rPr>
              <w:t>10700</w:t>
            </w:r>
          </w:p>
        </w:tc>
        <w:tc>
          <w:tcPr>
            <w:tcW w:w="1361" w:type="dxa"/>
          </w:tcPr>
          <w:p w:rsidR="003B6E11" w:rsidRPr="003B6E11" w:rsidRDefault="003B6E11" w:rsidP="002D015D">
            <w:pPr>
              <w:tabs>
                <w:tab w:val="decimal" w:pos="990"/>
              </w:tabs>
              <w:overflowPunct w:val="0"/>
              <w:adjustRightInd w:val="0"/>
              <w:spacing w:before="80" w:after="80"/>
              <w:ind w:left="113" w:right="113"/>
              <w:textAlignment w:val="baseline"/>
              <w:rPr>
                <w:sz w:val="18"/>
                <w:szCs w:val="18"/>
                <w:lang w:val="cs-CZ"/>
              </w:rPr>
            </w:pPr>
            <w:r w:rsidRPr="003B6E11">
              <w:rPr>
                <w:sz w:val="18"/>
                <w:lang w:val="cs-CZ"/>
              </w:rPr>
              <w:t>11960</w:t>
            </w:r>
          </w:p>
        </w:tc>
        <w:tc>
          <w:tcPr>
            <w:tcW w:w="1361" w:type="dxa"/>
          </w:tcPr>
          <w:p w:rsidR="003B6E11" w:rsidRPr="003B6E11" w:rsidRDefault="003B6E11" w:rsidP="002D015D">
            <w:pPr>
              <w:tabs>
                <w:tab w:val="decimal" w:pos="848"/>
              </w:tabs>
              <w:overflowPunct w:val="0"/>
              <w:adjustRightInd w:val="0"/>
              <w:spacing w:before="80" w:after="80"/>
              <w:ind w:left="113" w:right="113"/>
              <w:textAlignment w:val="baseline"/>
              <w:rPr>
                <w:sz w:val="18"/>
                <w:szCs w:val="18"/>
                <w:lang w:val="cs-CZ"/>
              </w:rPr>
            </w:pPr>
            <w:r w:rsidRPr="003B6E11">
              <w:rPr>
                <w:sz w:val="18"/>
                <w:lang w:val="cs-CZ"/>
              </w:rPr>
              <w:t>1500</w:t>
            </w:r>
          </w:p>
        </w:tc>
      </w:tr>
    </w:tbl>
    <w:p w:rsidR="003B6E11" w:rsidRPr="003B6E11" w:rsidRDefault="003B6E11" w:rsidP="003B6E11">
      <w:pPr>
        <w:overflowPunct w:val="0"/>
        <w:adjustRightInd w:val="0"/>
        <w:textAlignment w:val="baseline"/>
        <w:rPr>
          <w:szCs w:val="20"/>
          <w:lang w:val="cs-CZ"/>
        </w:rPr>
      </w:pPr>
    </w:p>
    <w:p w:rsidR="003B6E11" w:rsidRPr="003B6E11" w:rsidRDefault="003B6E11" w:rsidP="003B6E11">
      <w:pPr>
        <w:tabs>
          <w:tab w:val="left" w:pos="960"/>
          <w:tab w:val="left" w:pos="1344"/>
          <w:tab w:val="left" w:pos="7680"/>
        </w:tabs>
        <w:overflowPunct w:val="0"/>
        <w:adjustRightInd w:val="0"/>
        <w:spacing w:line="240" w:lineRule="exact"/>
        <w:ind w:left="567"/>
        <w:textAlignment w:val="baseline"/>
        <w:rPr>
          <w:szCs w:val="20"/>
          <w:lang w:val="cs-CZ"/>
        </w:rPr>
      </w:pPr>
      <w:r w:rsidRPr="003B6E11">
        <w:rPr>
          <w:lang w:val="cs-CZ"/>
        </w:rPr>
        <w:t>Pohonný systém lodi s vlastním pohonem: moderní dýzy se zaoblenou zadní hranou</w:t>
      </w:r>
    </w:p>
    <w:p w:rsidR="003B6E11" w:rsidRPr="003B6E11" w:rsidRDefault="003B6E11" w:rsidP="003B6E11">
      <w:pPr>
        <w:tabs>
          <w:tab w:val="left" w:pos="960"/>
          <w:tab w:val="left" w:pos="1344"/>
          <w:tab w:val="left" w:pos="7680"/>
        </w:tabs>
        <w:overflowPunct w:val="0"/>
        <w:adjustRightInd w:val="0"/>
        <w:spacing w:line="240" w:lineRule="exact"/>
        <w:ind w:left="567"/>
        <w:textAlignment w:val="baseline"/>
        <w:rPr>
          <w:position w:val="6"/>
          <w:szCs w:val="20"/>
          <w:lang w:val="cs-CZ"/>
        </w:rPr>
      </w:pPr>
    </w:p>
    <w:p w:rsidR="003B6E11" w:rsidRPr="003B6E11" w:rsidRDefault="003B6E11" w:rsidP="003B6E11">
      <w:pPr>
        <w:tabs>
          <w:tab w:val="left" w:pos="960"/>
          <w:tab w:val="left" w:pos="1344"/>
          <w:tab w:val="left" w:pos="7680"/>
        </w:tabs>
        <w:overflowPunct w:val="0"/>
        <w:adjustRightInd w:val="0"/>
        <w:spacing w:line="240" w:lineRule="exact"/>
        <w:ind w:left="567"/>
        <w:textAlignment w:val="baseline"/>
        <w:rPr>
          <w:szCs w:val="20"/>
          <w:lang w:val="cs-CZ"/>
        </w:rPr>
      </w:pPr>
      <w:r w:rsidRPr="003B6E11">
        <w:rPr>
          <w:lang w:val="cs-CZ"/>
        </w:rPr>
        <w:t xml:space="preserve">* </w:t>
      </w:r>
      <m:oMath>
        <m:r>
          <w:rPr>
            <w:rFonts w:ascii="Cambria Math" w:hAnsi="Cambria Math"/>
            <w:szCs w:val="20"/>
            <w:lang w:val="cs-CZ"/>
          </w:rPr>
          <m:t xml:space="preserve"> Tgf</m:t>
        </m:r>
      </m:oMath>
      <w:r w:rsidRPr="003B6E11">
        <w:rPr>
          <w:lang w:val="cs-CZ"/>
        </w:rPr>
        <w:t xml:space="preserve"> = nosnost</w:t>
      </w:r>
    </w:p>
    <w:p w:rsidR="003B6E11" w:rsidRPr="003B6E11" w:rsidRDefault="003B6E11" w:rsidP="003B6E11">
      <w:pPr>
        <w:tabs>
          <w:tab w:val="left" w:pos="960"/>
          <w:tab w:val="left" w:pos="1344"/>
          <w:tab w:val="left" w:pos="7680"/>
        </w:tabs>
        <w:overflowPunct w:val="0"/>
        <w:adjustRightInd w:val="0"/>
        <w:spacing w:line="240" w:lineRule="exact"/>
        <w:textAlignment w:val="baseline"/>
        <w:rPr>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2.</w:t>
      </w:r>
      <w:r w:rsidRPr="003B6E11">
        <w:rPr>
          <w:lang w:val="cs-CZ"/>
        </w:rPr>
        <w:tab/>
      </w:r>
      <w:r w:rsidRPr="003B6E11">
        <w:rPr>
          <w:b/>
          <w:color w:val="000000"/>
          <w:lang w:val="cs-CZ"/>
        </w:rPr>
        <w:t>Hodnoty naměřené během zastavovacího manévru</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tabs>
          <w:tab w:val="left" w:pos="5387"/>
          <w:tab w:val="left" w:pos="6379"/>
          <w:tab w:val="left" w:pos="6663"/>
          <w:tab w:val="left" w:pos="7513"/>
        </w:tabs>
        <w:overflowPunct w:val="0"/>
        <w:adjustRightInd w:val="0"/>
        <w:spacing w:line="240" w:lineRule="atLeast"/>
        <w:ind w:left="567"/>
        <w:textAlignment w:val="baseline"/>
        <w:rPr>
          <w:szCs w:val="20"/>
          <w:lang w:val="cs-CZ"/>
        </w:rPr>
      </w:pPr>
      <w:r w:rsidRPr="003B6E11">
        <w:rPr>
          <w:lang w:val="cs-CZ"/>
        </w:rPr>
        <w:t>Rychlost proudu:</w:t>
      </w:r>
      <w:r w:rsidRPr="003B6E11">
        <w:rPr>
          <w:lang w:val="cs-CZ"/>
        </w:rPr>
        <w:tab/>
      </w:r>
      <m:oMath>
        <m:sSub>
          <m:sSubPr>
            <m:ctrlPr>
              <w:rPr>
                <w:rFonts w:ascii="Cambria Math" w:hAnsi="Cambria Math"/>
                <w:i/>
                <w:szCs w:val="20"/>
                <w:lang w:val="cs-CZ"/>
              </w:rPr>
            </m:ctrlPr>
          </m:sSubPr>
          <m:e>
            <m:sSub>
              <m:sSubPr>
                <m:ctrlPr>
                  <w:rPr>
                    <w:rFonts w:ascii="Cambria Math" w:hAnsi="Cambria Math"/>
                    <w:i/>
                    <w:szCs w:val="20"/>
                    <w:lang w:val="cs-CZ"/>
                  </w:rPr>
                </m:ctrlPr>
              </m:sSubPr>
              <m:e>
                <m:r>
                  <w:rPr>
                    <w:rFonts w:ascii="Cambria Math" w:hAnsi="Cambria Math"/>
                    <w:szCs w:val="20"/>
                    <w:lang w:val="cs-CZ"/>
                  </w:rPr>
                  <m:t>v</m:t>
                </m:r>
              </m:e>
              <m:sub>
                <m:r>
                  <w:rPr>
                    <w:rFonts w:ascii="Cambria Math" w:hAnsi="Cambria Math"/>
                    <w:szCs w:val="20"/>
                    <w:lang w:val="cs-CZ"/>
                  </w:rPr>
                  <m:t>STR</m:t>
                </m:r>
              </m:sub>
            </m:sSub>
          </m:e>
          <m:sub>
            <m:r>
              <w:rPr>
                <w:rFonts w:ascii="Cambria Math" w:hAnsi="Cambria Math"/>
                <w:szCs w:val="20"/>
                <w:lang w:val="cs-CZ"/>
              </w:rPr>
              <m:t>IST</m:t>
            </m:r>
          </m:sub>
        </m:sSub>
      </m:oMath>
      <w:r w:rsidRPr="003B6E11">
        <w:rPr>
          <w:lang w:val="cs-CZ"/>
        </w:rPr>
        <w:tab/>
        <w:t>=</w:t>
      </w:r>
      <w:r w:rsidRPr="003B6E11">
        <w:rPr>
          <w:lang w:val="cs-CZ"/>
        </w:rPr>
        <w:tab/>
        <w:t>1,4 m/s</w:t>
      </w:r>
      <w:r w:rsidRPr="003B6E11">
        <w:rPr>
          <w:lang w:val="cs-CZ"/>
        </w:rPr>
        <w:tab/>
      </w:r>
      <w:r w:rsidRPr="003B6E11">
        <w:rPr>
          <w:szCs w:val="20"/>
          <w:lang w:val="cs-CZ"/>
        </w:rPr>
        <w:sym w:font="Symbol" w:char="F0BB"/>
      </w:r>
      <w:r w:rsidRPr="003B6E11">
        <w:rPr>
          <w:lang w:val="cs-CZ"/>
        </w:rPr>
        <w:t xml:space="preserve"> 5,1 km/h</w:t>
      </w:r>
    </w:p>
    <w:p w:rsidR="003B6E11" w:rsidRPr="003B6E11" w:rsidRDefault="003B6E11" w:rsidP="003B6E11">
      <w:pPr>
        <w:tabs>
          <w:tab w:val="left" w:pos="5387"/>
          <w:tab w:val="left" w:pos="6379"/>
          <w:tab w:val="left" w:pos="6663"/>
          <w:tab w:val="left" w:pos="7513"/>
        </w:tabs>
        <w:overflowPunct w:val="0"/>
        <w:adjustRightInd w:val="0"/>
        <w:spacing w:line="240" w:lineRule="atLeast"/>
        <w:ind w:left="567"/>
        <w:textAlignment w:val="baseline"/>
        <w:rPr>
          <w:szCs w:val="20"/>
          <w:lang w:val="cs-CZ"/>
        </w:rPr>
      </w:pPr>
    </w:p>
    <w:p w:rsidR="003B6E11" w:rsidRPr="003B6E11" w:rsidRDefault="003B6E11" w:rsidP="003B6E11">
      <w:pPr>
        <w:tabs>
          <w:tab w:val="left" w:pos="5387"/>
          <w:tab w:val="left" w:pos="6379"/>
          <w:tab w:val="left" w:pos="6663"/>
          <w:tab w:val="left" w:pos="7513"/>
        </w:tabs>
        <w:overflowPunct w:val="0"/>
        <w:adjustRightInd w:val="0"/>
        <w:spacing w:line="240" w:lineRule="atLeast"/>
        <w:ind w:left="567"/>
        <w:textAlignment w:val="baseline"/>
        <w:rPr>
          <w:szCs w:val="20"/>
          <w:lang w:val="cs-CZ"/>
        </w:rPr>
      </w:pPr>
      <w:r w:rsidRPr="003B6E11">
        <w:rPr>
          <w:lang w:val="cs-CZ"/>
        </w:rPr>
        <w:t xml:space="preserve">Rychlost lodi (vzhledem k vodní hladině): </w:t>
      </w:r>
      <w:r w:rsidRPr="003B6E11">
        <w:rPr>
          <w:lang w:val="cs-CZ"/>
        </w:rPr>
        <w:tab/>
      </w:r>
      <m:oMath>
        <m:sSub>
          <m:sSubPr>
            <m:ctrlPr>
              <w:rPr>
                <w:rFonts w:ascii="Cambria Math" w:hAnsi="Cambria Math"/>
                <w:i/>
                <w:szCs w:val="20"/>
                <w:lang w:val="cs-CZ"/>
              </w:rPr>
            </m:ctrlPr>
          </m:sSubPr>
          <m:e>
            <m:sSub>
              <m:sSubPr>
                <m:ctrlPr>
                  <w:rPr>
                    <w:rFonts w:ascii="Cambria Math" w:hAnsi="Cambria Math"/>
                    <w:i/>
                    <w:szCs w:val="20"/>
                    <w:lang w:val="cs-CZ"/>
                  </w:rPr>
                </m:ctrlPr>
              </m:sSubPr>
              <m:e>
                <m:r>
                  <w:rPr>
                    <w:rFonts w:ascii="Cambria Math" w:hAnsi="Cambria Math"/>
                    <w:szCs w:val="20"/>
                    <w:lang w:val="cs-CZ"/>
                  </w:rPr>
                  <m:t>v</m:t>
                </m:r>
              </m:e>
              <m:sub>
                <m:r>
                  <w:rPr>
                    <w:rFonts w:ascii="Cambria Math" w:hAnsi="Cambria Math"/>
                    <w:szCs w:val="20"/>
                    <w:lang w:val="cs-CZ"/>
                  </w:rPr>
                  <m:t>S</m:t>
                </m:r>
              </m:sub>
            </m:sSub>
          </m:e>
          <m:sub>
            <m:r>
              <w:rPr>
                <w:rFonts w:ascii="Cambria Math" w:hAnsi="Cambria Math"/>
                <w:szCs w:val="20"/>
                <w:lang w:val="cs-CZ"/>
              </w:rPr>
              <m:t>IST</m:t>
            </m:r>
          </m:sub>
        </m:sSub>
      </m:oMath>
      <w:r w:rsidRPr="003B6E11">
        <w:rPr>
          <w:lang w:val="cs-CZ"/>
        </w:rPr>
        <w:tab/>
        <w:t>=</w:t>
      </w:r>
      <w:r w:rsidRPr="003B6E11">
        <w:rPr>
          <w:lang w:val="cs-CZ"/>
        </w:rPr>
        <w:tab/>
        <w:t>3,5 m/s</w:t>
      </w:r>
      <w:r w:rsidRPr="003B6E11">
        <w:rPr>
          <w:lang w:val="cs-CZ"/>
        </w:rPr>
        <w:tab/>
      </w:r>
      <w:r w:rsidRPr="003B6E11">
        <w:rPr>
          <w:szCs w:val="20"/>
          <w:lang w:val="cs-CZ"/>
        </w:rPr>
        <w:sym w:font="Symbol" w:char="F0BB"/>
      </w:r>
      <w:r w:rsidRPr="003B6E11">
        <w:rPr>
          <w:lang w:val="cs-CZ"/>
        </w:rPr>
        <w:t xml:space="preserve"> 12,5 km/h</w:t>
      </w:r>
    </w:p>
    <w:p w:rsidR="003B6E11" w:rsidRPr="003B6E11" w:rsidRDefault="003B6E11" w:rsidP="003B6E11">
      <w:pPr>
        <w:tabs>
          <w:tab w:val="left" w:pos="5387"/>
          <w:tab w:val="left" w:pos="6379"/>
          <w:tab w:val="left" w:pos="6663"/>
          <w:tab w:val="left" w:pos="7513"/>
        </w:tabs>
        <w:overflowPunct w:val="0"/>
        <w:adjustRightInd w:val="0"/>
        <w:spacing w:line="240" w:lineRule="atLeast"/>
        <w:ind w:left="567"/>
        <w:textAlignment w:val="baseline"/>
        <w:rPr>
          <w:szCs w:val="20"/>
          <w:lang w:val="cs-CZ"/>
        </w:rPr>
      </w:pPr>
    </w:p>
    <w:p w:rsidR="003B6E11" w:rsidRPr="003B6E11" w:rsidRDefault="003B6E11" w:rsidP="003B6E11">
      <w:pPr>
        <w:tabs>
          <w:tab w:val="left" w:pos="5387"/>
          <w:tab w:val="left" w:pos="6379"/>
          <w:tab w:val="left" w:pos="6663"/>
          <w:tab w:val="left" w:pos="7513"/>
        </w:tabs>
        <w:overflowPunct w:val="0"/>
        <w:adjustRightInd w:val="0"/>
        <w:spacing w:line="240" w:lineRule="atLeast"/>
        <w:ind w:left="567"/>
        <w:textAlignment w:val="baseline"/>
        <w:rPr>
          <w:szCs w:val="20"/>
          <w:lang w:val="cs-CZ"/>
        </w:rPr>
      </w:pPr>
      <w:r w:rsidRPr="003B6E11">
        <w:rPr>
          <w:lang w:val="cs-CZ"/>
        </w:rPr>
        <w:t>Rychlost lodi (vzhledem ke břehu):</w:t>
      </w:r>
      <w:r w:rsidRPr="003B6E11">
        <w:rPr>
          <w:lang w:val="cs-CZ"/>
        </w:rPr>
        <w:tab/>
      </w:r>
      <m:oMath>
        <m:sSub>
          <m:sSubPr>
            <m:ctrlPr>
              <w:rPr>
                <w:rFonts w:ascii="Cambria Math" w:hAnsi="Cambria Math"/>
                <w:i/>
                <w:szCs w:val="20"/>
                <w:lang w:val="cs-CZ"/>
              </w:rPr>
            </m:ctrlPr>
          </m:sSubPr>
          <m:e>
            <m:sSub>
              <m:sSubPr>
                <m:ctrlPr>
                  <w:rPr>
                    <w:rFonts w:ascii="Cambria Math" w:hAnsi="Cambria Math"/>
                    <w:i/>
                    <w:szCs w:val="20"/>
                    <w:lang w:val="cs-CZ"/>
                  </w:rPr>
                </m:ctrlPr>
              </m:sSubPr>
              <m:e>
                <m:r>
                  <w:rPr>
                    <w:rFonts w:ascii="Cambria Math" w:hAnsi="Cambria Math"/>
                    <w:szCs w:val="20"/>
                    <w:lang w:val="cs-CZ"/>
                  </w:rPr>
                  <m:t>v</m:t>
                </m:r>
              </m:e>
              <m:sub>
                <m:r>
                  <w:rPr>
                    <w:rFonts w:ascii="Cambria Math" w:hAnsi="Cambria Math"/>
                    <w:szCs w:val="20"/>
                    <w:lang w:val="cs-CZ"/>
                  </w:rPr>
                  <m:t>L</m:t>
                </m:r>
              </m:sub>
            </m:sSub>
          </m:e>
          <m:sub>
            <m:r>
              <w:rPr>
                <w:rFonts w:ascii="Cambria Math" w:hAnsi="Cambria Math"/>
                <w:szCs w:val="20"/>
                <w:lang w:val="cs-CZ"/>
              </w:rPr>
              <m:t>IST</m:t>
            </m:r>
          </m:sub>
        </m:sSub>
      </m:oMath>
      <w:r w:rsidRPr="003B6E11">
        <w:rPr>
          <w:lang w:val="cs-CZ"/>
        </w:rPr>
        <w:tab/>
        <w:t>=</w:t>
      </w:r>
      <w:r w:rsidRPr="003B6E11">
        <w:rPr>
          <w:lang w:val="cs-CZ"/>
        </w:rPr>
        <w:tab/>
        <w:t>4,9 m/s</w:t>
      </w:r>
      <w:r w:rsidRPr="003B6E11">
        <w:rPr>
          <w:lang w:val="cs-CZ"/>
        </w:rPr>
        <w:tab/>
      </w:r>
      <w:r w:rsidRPr="003B6E11">
        <w:rPr>
          <w:szCs w:val="20"/>
          <w:lang w:val="cs-CZ"/>
        </w:rPr>
        <w:sym w:font="Symbol" w:char="F0BB"/>
      </w:r>
      <w:r w:rsidRPr="003B6E11">
        <w:rPr>
          <w:lang w:val="cs-CZ"/>
        </w:rPr>
        <w:t xml:space="preserve"> 17,6 km/h</w:t>
      </w:r>
    </w:p>
    <w:p w:rsidR="003B6E11" w:rsidRPr="003B6E11" w:rsidRDefault="003B6E11" w:rsidP="003B6E11">
      <w:pPr>
        <w:tabs>
          <w:tab w:val="left" w:pos="5387"/>
          <w:tab w:val="left" w:pos="6379"/>
          <w:tab w:val="left" w:pos="6663"/>
          <w:tab w:val="left" w:pos="7513"/>
        </w:tabs>
        <w:overflowPunct w:val="0"/>
        <w:adjustRightInd w:val="0"/>
        <w:spacing w:line="240" w:lineRule="atLeast"/>
        <w:ind w:left="567"/>
        <w:textAlignment w:val="baseline"/>
        <w:rPr>
          <w:szCs w:val="20"/>
          <w:lang w:val="cs-CZ"/>
        </w:rPr>
      </w:pPr>
    </w:p>
    <w:p w:rsidR="003B6E11" w:rsidRPr="003B6E11" w:rsidRDefault="003B6E11" w:rsidP="003B6E11">
      <w:pPr>
        <w:tabs>
          <w:tab w:val="left" w:pos="5387"/>
          <w:tab w:val="left" w:pos="6379"/>
          <w:tab w:val="left" w:pos="6663"/>
          <w:tab w:val="left" w:pos="7513"/>
        </w:tabs>
        <w:overflowPunct w:val="0"/>
        <w:adjustRightInd w:val="0"/>
        <w:spacing w:line="240" w:lineRule="atLeast"/>
        <w:ind w:left="567"/>
        <w:textAlignment w:val="baseline"/>
        <w:rPr>
          <w:szCs w:val="20"/>
          <w:lang w:val="cs-CZ"/>
        </w:rPr>
      </w:pPr>
      <w:r w:rsidRPr="003B6E11">
        <w:rPr>
          <w:lang w:val="cs-CZ"/>
        </w:rPr>
        <w:t xml:space="preserve">Čas změny směru (naměřený) (bod </w:t>
      </w:r>
      <m:oMath>
        <m:r>
          <w:rPr>
            <w:rFonts w:ascii="Cambria Math" w:hAnsi="Cambria Math"/>
            <w:szCs w:val="20"/>
            <w:lang w:val="cs-CZ"/>
          </w:rPr>
          <m:t>A</m:t>
        </m:r>
      </m:oMath>
      <w:r w:rsidRPr="003B6E11">
        <w:rPr>
          <w:lang w:val="cs-CZ"/>
        </w:rPr>
        <w:t xml:space="preserve"> až </w:t>
      </w:r>
      <m:oMath>
        <m:r>
          <w:rPr>
            <w:rFonts w:ascii="Cambria Math" w:hAnsi="Cambria Math"/>
            <w:szCs w:val="20"/>
            <w:lang w:val="cs-CZ"/>
          </w:rPr>
          <m:t>C</m:t>
        </m:r>
      </m:oMath>
      <w:r w:rsidRPr="003B6E11">
        <w:rPr>
          <w:lang w:val="cs-CZ"/>
        </w:rPr>
        <w:t>):</w:t>
      </w:r>
      <w:r w:rsidRPr="003B6E11">
        <w:rPr>
          <w:lang w:val="cs-CZ"/>
        </w:rPr>
        <w:tab/>
      </w:r>
      <m:oMath>
        <m:r>
          <w:rPr>
            <w:rFonts w:ascii="Cambria Math" w:hAnsi="Cambria Math"/>
            <w:szCs w:val="20"/>
            <w:lang w:val="cs-CZ"/>
          </w:rPr>
          <m:t>t</m:t>
        </m:r>
        <m:r>
          <w:rPr>
            <w:rFonts w:ascii="Cambria Math" w:hAnsi="Cambria Math"/>
            <w:position w:val="-6"/>
            <w:sz w:val="16"/>
            <w:szCs w:val="20"/>
            <w:lang w:val="cs-CZ"/>
          </w:rPr>
          <m:t>I</m:t>
        </m:r>
      </m:oMath>
      <w:r w:rsidRPr="003B6E11">
        <w:rPr>
          <w:lang w:val="cs-CZ"/>
        </w:rPr>
        <w:tab/>
        <w:t>=</w:t>
      </w:r>
      <w:r w:rsidRPr="003B6E11">
        <w:rPr>
          <w:lang w:val="cs-CZ"/>
        </w:rPr>
        <w:tab/>
        <w:t>16 s</w:t>
      </w:r>
    </w:p>
    <w:p w:rsidR="003B6E11" w:rsidRPr="003B6E11" w:rsidRDefault="003B6E11" w:rsidP="003B6E11">
      <w:pPr>
        <w:tabs>
          <w:tab w:val="left" w:pos="5387"/>
          <w:tab w:val="left" w:pos="6379"/>
          <w:tab w:val="left" w:pos="6663"/>
          <w:tab w:val="left" w:pos="7513"/>
        </w:tabs>
        <w:overflowPunct w:val="0"/>
        <w:adjustRightInd w:val="0"/>
        <w:spacing w:line="240" w:lineRule="atLeast"/>
        <w:ind w:left="567"/>
        <w:textAlignment w:val="baseline"/>
        <w:rPr>
          <w:szCs w:val="20"/>
          <w:lang w:val="cs-CZ"/>
        </w:rPr>
      </w:pPr>
    </w:p>
    <w:p w:rsidR="003B6E11" w:rsidRPr="003B6E11" w:rsidRDefault="003B6E11" w:rsidP="003B6E11">
      <w:pPr>
        <w:tabs>
          <w:tab w:val="left" w:pos="5387"/>
          <w:tab w:val="left" w:pos="6379"/>
          <w:tab w:val="left" w:pos="6663"/>
          <w:tab w:val="left" w:pos="7513"/>
        </w:tabs>
        <w:overflowPunct w:val="0"/>
        <w:adjustRightInd w:val="0"/>
        <w:spacing w:line="240" w:lineRule="atLeast"/>
        <w:ind w:left="567"/>
        <w:textAlignment w:val="baseline"/>
        <w:rPr>
          <w:szCs w:val="20"/>
          <w:lang w:val="cs-CZ"/>
        </w:rPr>
      </w:pPr>
      <w:r w:rsidRPr="003B6E11">
        <w:rPr>
          <w:lang w:val="cs-CZ"/>
        </w:rPr>
        <w:t xml:space="preserve">Brzdná dráha vzhledem k vodní hladině (bod </w:t>
      </w:r>
      <m:oMath>
        <m:r>
          <w:rPr>
            <w:rFonts w:ascii="Cambria Math" w:hAnsi="Cambria Math"/>
            <w:szCs w:val="20"/>
            <w:lang w:val="cs-CZ"/>
          </w:rPr>
          <m:t>A</m:t>
        </m:r>
      </m:oMath>
      <w:r w:rsidRPr="003B6E11">
        <w:rPr>
          <w:lang w:val="cs-CZ"/>
        </w:rPr>
        <w:t xml:space="preserve"> až </w:t>
      </w:r>
      <m:oMath>
        <m:r>
          <w:rPr>
            <w:rFonts w:ascii="Cambria Math" w:hAnsi="Cambria Math"/>
            <w:szCs w:val="20"/>
            <w:lang w:val="cs-CZ"/>
          </w:rPr>
          <m:t>D</m:t>
        </m:r>
      </m:oMath>
      <w:r w:rsidRPr="003B6E11">
        <w:rPr>
          <w:lang w:val="cs-CZ"/>
        </w:rPr>
        <w:t>):</w:t>
      </w:r>
      <w:r w:rsidRPr="003B6E11">
        <w:rPr>
          <w:lang w:val="cs-CZ"/>
        </w:rPr>
        <w:tab/>
      </w:r>
      <m:oMath>
        <m:r>
          <w:rPr>
            <w:rFonts w:ascii="Cambria Math" w:hAnsi="Cambria Math"/>
            <w:szCs w:val="20"/>
            <w:lang w:val="cs-CZ"/>
          </w:rPr>
          <m:t>s</m:t>
        </m:r>
        <m:r>
          <w:rPr>
            <w:rFonts w:ascii="Cambria Math" w:hAnsi="Cambria Math"/>
            <w:position w:val="-6"/>
            <w:sz w:val="16"/>
            <w:szCs w:val="20"/>
            <w:lang w:val="cs-CZ"/>
          </w:rPr>
          <m:t>MESSUNG</m:t>
        </m:r>
      </m:oMath>
      <w:r w:rsidRPr="003B6E11">
        <w:rPr>
          <w:lang w:val="cs-CZ"/>
        </w:rPr>
        <w:tab/>
        <w:t>=</w:t>
      </w:r>
      <w:r w:rsidRPr="003B6E11">
        <w:rPr>
          <w:lang w:val="cs-CZ"/>
        </w:rPr>
        <w:tab/>
        <w:t>580 m</w:t>
      </w:r>
    </w:p>
    <w:p w:rsidR="003B6E11" w:rsidRPr="003B6E11" w:rsidRDefault="003B6E11" w:rsidP="003B6E11">
      <w:pPr>
        <w:tabs>
          <w:tab w:val="left" w:pos="5387"/>
          <w:tab w:val="left" w:pos="6379"/>
          <w:tab w:val="left" w:pos="6663"/>
          <w:tab w:val="left" w:pos="7513"/>
        </w:tabs>
        <w:overflowPunct w:val="0"/>
        <w:adjustRightInd w:val="0"/>
        <w:spacing w:line="240" w:lineRule="atLeast"/>
        <w:ind w:left="567"/>
        <w:textAlignment w:val="baseline"/>
        <w:rPr>
          <w:szCs w:val="20"/>
          <w:lang w:val="cs-CZ"/>
        </w:rPr>
      </w:pPr>
    </w:p>
    <w:p w:rsidR="003B6E11" w:rsidRPr="003B6E11" w:rsidRDefault="003B6E11" w:rsidP="003B6E11">
      <w:pPr>
        <w:tabs>
          <w:tab w:val="left" w:pos="5387"/>
          <w:tab w:val="left" w:pos="6379"/>
          <w:tab w:val="left" w:pos="6663"/>
          <w:tab w:val="left" w:pos="7513"/>
        </w:tabs>
        <w:overflowPunct w:val="0"/>
        <w:adjustRightInd w:val="0"/>
        <w:spacing w:line="240" w:lineRule="atLeast"/>
        <w:ind w:left="567"/>
        <w:textAlignment w:val="baseline"/>
        <w:rPr>
          <w:szCs w:val="20"/>
          <w:lang w:val="cs-CZ"/>
        </w:rPr>
      </w:pPr>
      <w:r w:rsidRPr="003B6E11">
        <w:rPr>
          <w:lang w:val="cs-CZ"/>
        </w:rPr>
        <w:t xml:space="preserve">Podmínky zatížení (popř. odhad): </w:t>
      </w:r>
      <w:r w:rsidRPr="003B6E11">
        <w:rPr>
          <w:lang w:val="cs-CZ"/>
        </w:rPr>
        <w:tab/>
      </w:r>
      <m:oMath>
        <m:r>
          <w:rPr>
            <w:rFonts w:ascii="Cambria Math" w:hAnsi="Cambria Math"/>
            <w:szCs w:val="20"/>
            <w:lang w:val="cs-CZ"/>
          </w:rPr>
          <m:t>D</m:t>
        </m:r>
        <m:r>
          <w:rPr>
            <w:rFonts w:ascii="Cambria Math" w:hAnsi="Cambria Math"/>
            <w:position w:val="-6"/>
            <w:sz w:val="16"/>
            <w:szCs w:val="20"/>
            <w:lang w:val="cs-CZ"/>
          </w:rPr>
          <m:t>IST</m:t>
        </m:r>
      </m:oMath>
      <w:r w:rsidRPr="003B6E11">
        <w:rPr>
          <w:lang w:val="cs-CZ"/>
        </w:rPr>
        <w:tab/>
        <w:t>=</w:t>
      </w:r>
      <w:r w:rsidRPr="003B6E11">
        <w:rPr>
          <w:lang w:val="cs-CZ"/>
        </w:rPr>
        <w:tab/>
        <w:t>9568 m</w:t>
      </w:r>
      <w:r w:rsidRPr="003B6E11">
        <w:rPr>
          <w:position w:val="6"/>
          <w:sz w:val="16"/>
          <w:lang w:val="cs-CZ"/>
        </w:rPr>
        <w:t>3</w:t>
      </w:r>
      <w:r w:rsidRPr="003B6E11">
        <w:rPr>
          <w:lang w:val="cs-CZ"/>
        </w:rPr>
        <w:tab/>
      </w:r>
      <w:r w:rsidRPr="003B6E11">
        <w:rPr>
          <w:szCs w:val="20"/>
          <w:lang w:val="cs-CZ"/>
        </w:rPr>
        <w:sym w:font="Symbol" w:char="F0BB"/>
      </w:r>
      <w:r w:rsidRPr="003B6E11">
        <w:rPr>
          <w:lang w:val="cs-CZ"/>
        </w:rPr>
        <w:t xml:space="preserve"> 0,8 </w:t>
      </w:r>
      <m:oMath>
        <m:sSub>
          <m:sSubPr>
            <m:ctrlPr>
              <w:rPr>
                <w:rFonts w:ascii="Cambria Math" w:hAnsi="Cambria Math"/>
                <w:i/>
                <w:szCs w:val="20"/>
                <w:lang w:val="cs-CZ"/>
              </w:rPr>
            </m:ctrlPr>
          </m:sSubPr>
          <m:e>
            <m:r>
              <w:rPr>
                <w:rFonts w:ascii="Cambria Math" w:hAnsi="Cambria Math"/>
                <w:szCs w:val="20"/>
                <w:lang w:val="cs-CZ"/>
              </w:rPr>
              <m:t>D</m:t>
            </m:r>
          </m:e>
          <m:sub>
            <m:r>
              <w:rPr>
                <w:rFonts w:ascii="Cambria Math" w:hAnsi="Cambria Math"/>
                <w:szCs w:val="20"/>
                <w:lang w:val="cs-CZ"/>
              </w:rPr>
              <m:t>max</m:t>
            </m:r>
          </m:sub>
        </m:sSub>
      </m:oMath>
    </w:p>
    <w:p w:rsidR="003B6E11" w:rsidRPr="003B6E11" w:rsidRDefault="003B6E11" w:rsidP="003B6E11">
      <w:pPr>
        <w:tabs>
          <w:tab w:val="left" w:pos="5387"/>
          <w:tab w:val="left" w:pos="6379"/>
          <w:tab w:val="left" w:pos="6663"/>
          <w:tab w:val="left" w:pos="7230"/>
          <w:tab w:val="left" w:pos="7513"/>
        </w:tabs>
        <w:overflowPunct w:val="0"/>
        <w:adjustRightInd w:val="0"/>
        <w:spacing w:line="240" w:lineRule="atLeast"/>
        <w:ind w:left="567"/>
        <w:textAlignment w:val="baseline"/>
        <w:rPr>
          <w:szCs w:val="20"/>
          <w:lang w:val="cs-CZ"/>
        </w:rPr>
      </w:pPr>
    </w:p>
    <w:p w:rsidR="003B6E11" w:rsidRPr="003B6E11" w:rsidRDefault="003B6E11" w:rsidP="003B6E11">
      <w:pPr>
        <w:tabs>
          <w:tab w:val="left" w:pos="5387"/>
          <w:tab w:val="left" w:pos="6379"/>
          <w:tab w:val="left" w:pos="6663"/>
          <w:tab w:val="left" w:pos="7513"/>
        </w:tabs>
        <w:overflowPunct w:val="0"/>
        <w:adjustRightInd w:val="0"/>
        <w:spacing w:line="240" w:lineRule="atLeast"/>
        <w:ind w:left="567"/>
        <w:textAlignment w:val="baseline"/>
        <w:rPr>
          <w:szCs w:val="20"/>
          <w:lang w:val="cs-CZ"/>
        </w:rPr>
      </w:pPr>
      <w:r w:rsidRPr="003B6E11">
        <w:rPr>
          <w:lang w:val="cs-CZ"/>
        </w:rPr>
        <w:t>Skutečný ponor sestavy:</w:t>
      </w:r>
      <w:r w:rsidRPr="003B6E11">
        <w:rPr>
          <w:lang w:val="cs-CZ"/>
        </w:rPr>
        <w:tab/>
      </w:r>
      <m:oMath>
        <m:r>
          <w:rPr>
            <w:rFonts w:ascii="Cambria Math" w:hAnsi="Cambria Math"/>
            <w:szCs w:val="20"/>
            <w:lang w:val="cs-CZ"/>
          </w:rPr>
          <m:t>T</m:t>
        </m:r>
        <m:r>
          <w:rPr>
            <w:rFonts w:ascii="Cambria Math" w:hAnsi="Cambria Math"/>
            <w:position w:val="-6"/>
            <w:sz w:val="16"/>
            <w:szCs w:val="20"/>
            <w:lang w:val="cs-CZ"/>
          </w:rPr>
          <m:t>I</m:t>
        </m:r>
        <m:r>
          <w:rPr>
            <w:rFonts w:ascii="Cambria Math" w:hAnsi="Cambria Math"/>
            <w:position w:val="-6"/>
            <w:sz w:val="16"/>
            <w:szCs w:val="20"/>
            <w:lang w:val="cs-CZ"/>
          </w:rPr>
          <m:t>ST</m:t>
        </m:r>
      </m:oMath>
      <w:r w:rsidRPr="003B6E11">
        <w:rPr>
          <w:lang w:val="cs-CZ"/>
        </w:rPr>
        <w:tab/>
        <w:t>=</w:t>
      </w:r>
      <w:r w:rsidRPr="003B6E11">
        <w:rPr>
          <w:lang w:val="cs-CZ"/>
        </w:rPr>
        <w:tab/>
        <w:t>2,96 m</w:t>
      </w:r>
      <w:r w:rsidRPr="003B6E11">
        <w:rPr>
          <w:lang w:val="cs-CZ"/>
        </w:rPr>
        <w:tab/>
      </w:r>
      <w:r w:rsidRPr="003B6E11">
        <w:rPr>
          <w:szCs w:val="20"/>
          <w:lang w:val="cs-CZ"/>
        </w:rPr>
        <w:sym w:font="Symbol" w:char="F0BB"/>
      </w:r>
      <w:r w:rsidRPr="003B6E11">
        <w:rPr>
          <w:lang w:val="cs-CZ"/>
        </w:rPr>
        <w:t xml:space="preserve"> 0,8 </w:t>
      </w: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max</m:t>
            </m:r>
          </m:sub>
        </m:sSub>
      </m:oMath>
    </w:p>
    <w:p w:rsidR="003B6E11" w:rsidRPr="003B6E11" w:rsidRDefault="003B6E11" w:rsidP="003B6E11">
      <w:pPr>
        <w:overflowPunct w:val="0"/>
        <w:adjustRightInd w:val="0"/>
        <w:textAlignment w:val="baseline"/>
        <w:rPr>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3.</w:t>
      </w:r>
      <w:r w:rsidRPr="003B6E11">
        <w:rPr>
          <w:lang w:val="cs-CZ"/>
        </w:rPr>
        <w:tab/>
      </w:r>
      <w:r w:rsidRPr="003B6E11">
        <w:rPr>
          <w:b/>
          <w:color w:val="000000"/>
          <w:lang w:val="cs-CZ"/>
        </w:rPr>
        <w:t xml:space="preserve">Mezní hodnota podle bodu 2.1 písm. a) nebo b) pokynu se porovná se </w:t>
      </w:r>
      <m:oMath>
        <m:sSub>
          <m:sSubPr>
            <m:ctrlPr>
              <w:rPr>
                <w:rFonts w:ascii="Cambria Math" w:hAnsi="Cambria Math"/>
                <w:i/>
                <w:noProof/>
                <w:lang w:val="cs-CZ"/>
              </w:rPr>
            </m:ctrlPr>
          </m:sSubPr>
          <m:e>
            <m:r>
              <m:rPr>
                <m:sty m:val="bi"/>
              </m:rPr>
              <w:rPr>
                <w:rFonts w:ascii="Cambria Math" w:hAnsi="Cambria Math" w:cs="Arial"/>
                <w:noProof/>
                <w:color w:val="000000"/>
                <w:szCs w:val="20"/>
                <w:lang w:val="cs-CZ"/>
              </w:rPr>
              <m:t>s</m:t>
            </m:r>
          </m:e>
          <m:sub>
            <m:r>
              <m:rPr>
                <m:sty m:val="bi"/>
              </m:rPr>
              <w:rPr>
                <w:rFonts w:ascii="Cambria Math" w:hAnsi="Cambria Math" w:cs="Arial"/>
                <w:noProof/>
                <w:color w:val="000000"/>
                <w:szCs w:val="20"/>
                <w:lang w:val="cs-CZ"/>
              </w:rPr>
              <m:t>NORM</m:t>
            </m:r>
          </m:sub>
        </m:sSub>
      </m:oMath>
    </w:p>
    <w:p w:rsidR="003B6E11" w:rsidRPr="003B6E11" w:rsidRDefault="003B6E11" w:rsidP="003B6E11">
      <w:pPr>
        <w:tabs>
          <w:tab w:val="left" w:pos="567"/>
        </w:tabs>
        <w:overflowPunct w:val="0"/>
        <w:adjustRightInd w:val="0"/>
        <w:ind w:left="567" w:hanging="567"/>
        <w:textAlignment w:val="baseline"/>
        <w:rPr>
          <w:szCs w:val="20"/>
          <w:lang w:val="cs-CZ"/>
        </w:rPr>
      </w:pPr>
    </w:p>
    <w:p w:rsidR="003B6E11" w:rsidRPr="003B6E11" w:rsidRDefault="003B6E11" w:rsidP="003B6E11">
      <w:pPr>
        <w:overflowPunct w:val="0"/>
        <w:adjustRightInd w:val="0"/>
        <w:spacing w:line="240" w:lineRule="exact"/>
        <w:ind w:left="567"/>
        <w:textAlignment w:val="baseline"/>
        <w:rPr>
          <w:szCs w:val="20"/>
          <w:lang w:val="cs-CZ"/>
        </w:rPr>
      </w:pPr>
      <w:r w:rsidRPr="003B6E11">
        <w:rPr>
          <w:lang w:val="cs-CZ"/>
        </w:rPr>
        <w:t xml:space="preserve">Jelikož </w:t>
      </w:r>
      <m:oMath>
        <m:r>
          <w:rPr>
            <w:rFonts w:ascii="Cambria Math" w:hAnsi="Cambria Math"/>
            <w:szCs w:val="20"/>
            <w:lang w:val="cs-CZ"/>
          </w:rPr>
          <m:t>B &gt; 11,45 m</m:t>
        </m:r>
      </m:oMath>
      <w:r w:rsidRPr="003B6E11">
        <w:rPr>
          <w:lang w:val="cs-CZ"/>
        </w:rPr>
        <w:t xml:space="preserve"> a sestava je v tekoucí vodě, platí pro tuto sestavu v souladu s bodem 2.1 písm. a) následující:</w:t>
      </w:r>
    </w:p>
    <w:p w:rsidR="003B6E11" w:rsidRPr="003B6E11" w:rsidRDefault="003B6E11" w:rsidP="003B6E11">
      <w:pPr>
        <w:tabs>
          <w:tab w:val="left" w:pos="567"/>
        </w:tabs>
        <w:overflowPunct w:val="0"/>
        <w:adjustRightInd w:val="0"/>
        <w:ind w:left="567" w:hanging="567"/>
        <w:textAlignment w:val="baseline"/>
        <w:rPr>
          <w:szCs w:val="20"/>
          <w:lang w:val="cs-CZ"/>
        </w:rPr>
      </w:pPr>
    </w:p>
    <w:p w:rsidR="003B6E11" w:rsidRPr="003B6E11" w:rsidRDefault="003B6E11" w:rsidP="003B6E11">
      <w:pPr>
        <w:tabs>
          <w:tab w:val="left" w:pos="567"/>
          <w:tab w:val="left" w:pos="3402"/>
        </w:tabs>
        <w:overflowPunct w:val="0"/>
        <w:adjustRightInd w:val="0"/>
        <w:spacing w:line="240" w:lineRule="atLeast"/>
        <w:ind w:left="567"/>
        <w:textAlignment w:val="baseline"/>
        <w:rPr>
          <w:szCs w:val="20"/>
          <w:lang w:val="cs-CZ"/>
        </w:rPr>
      </w:pPr>
      <m:oMathPara>
        <m:oMath>
          <m:r>
            <w:rPr>
              <w:rFonts w:ascii="Cambria Math" w:hAnsi="Cambria Math"/>
              <w:szCs w:val="20"/>
              <w:lang w:val="cs-CZ"/>
            </w:rPr>
            <m:t>s</m:t>
          </m:r>
          <m:r>
            <w:rPr>
              <w:rFonts w:ascii="Cambria Math" w:hAnsi="Cambria Math"/>
              <w:position w:val="-6"/>
              <w:sz w:val="16"/>
              <w:szCs w:val="20"/>
              <w:lang w:val="cs-CZ"/>
            </w:rPr>
            <m:t>NORM</m:t>
          </m:r>
          <m:r>
            <w:rPr>
              <w:rFonts w:ascii="Cambria Math" w:hAnsi="Cambria Math"/>
              <w:szCs w:val="20"/>
              <w:lang w:val="cs-CZ"/>
            </w:rPr>
            <m:t xml:space="preserve">  </m:t>
          </m:r>
          <m:r>
            <w:rPr>
              <w:rFonts w:ascii="Cambria Math" w:hAnsi="Cambria Math"/>
              <w:i/>
              <w:szCs w:val="20"/>
              <w:lang w:val="cs-CZ"/>
            </w:rPr>
            <w:sym w:font="Symbol" w:char="F0A3"/>
          </m:r>
          <m:r>
            <w:rPr>
              <w:rFonts w:ascii="Cambria Math" w:hAnsi="Cambria Math"/>
              <w:szCs w:val="20"/>
              <w:lang w:val="cs-CZ"/>
            </w:rPr>
            <m:t xml:space="preserve">  550 m</m:t>
          </m:r>
        </m:oMath>
      </m:oMathPara>
    </w:p>
    <w:p w:rsidR="003B6E11" w:rsidRPr="003B6E11" w:rsidRDefault="003B6E11" w:rsidP="003B6E11">
      <w:pPr>
        <w:tabs>
          <w:tab w:val="left" w:pos="454"/>
          <w:tab w:val="left" w:pos="567"/>
        </w:tabs>
        <w:overflowPunct w:val="0"/>
        <w:adjustRightInd w:val="0"/>
        <w:spacing w:line="240" w:lineRule="exact"/>
        <w:ind w:left="567" w:hanging="567"/>
        <w:textAlignment w:val="baseline"/>
        <w:rPr>
          <w:szCs w:val="20"/>
          <w:lang w:val="cs-CZ"/>
        </w:rPr>
      </w:pPr>
    </w:p>
    <w:p w:rsidR="003B6E11" w:rsidRPr="003B6E11" w:rsidRDefault="003B6E11" w:rsidP="003B6E11">
      <w:pPr>
        <w:tabs>
          <w:tab w:val="left" w:pos="454"/>
          <w:tab w:val="left" w:pos="567"/>
        </w:tabs>
        <w:overflowPunct w:val="0"/>
        <w:adjustRightInd w:val="0"/>
        <w:spacing w:line="240" w:lineRule="exact"/>
        <w:ind w:left="567" w:hanging="567"/>
        <w:textAlignment w:val="baseline"/>
        <w:rPr>
          <w:szCs w:val="20"/>
          <w:lang w:val="cs-CZ"/>
        </w:rPr>
      </w:pPr>
      <w:r w:rsidRPr="003B6E11">
        <w:rPr>
          <w:lang w:val="cs-CZ"/>
        </w:rPr>
        <w:br w:type="page"/>
      </w: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4.</w:t>
      </w:r>
      <w:r w:rsidRPr="003B6E11">
        <w:rPr>
          <w:lang w:val="cs-CZ"/>
        </w:rPr>
        <w:tab/>
      </w:r>
      <w:r w:rsidRPr="003B6E11">
        <w:rPr>
          <w:b/>
          <w:color w:val="000000"/>
          <w:lang w:val="cs-CZ"/>
        </w:rPr>
        <w:t>Stanovení korigované brzdné dráhy ve srovnání se standardními podmínkami</w:t>
      </w:r>
    </w:p>
    <w:p w:rsidR="003B6E11" w:rsidRPr="003B6E11" w:rsidRDefault="003B6E11" w:rsidP="003B6E11">
      <w:pPr>
        <w:overflowPunct w:val="0"/>
        <w:adjustRightInd w:val="0"/>
        <w:spacing w:line="240" w:lineRule="exact"/>
        <w:ind w:left="567" w:hanging="567"/>
        <w:textAlignment w:val="baseline"/>
        <w:rPr>
          <w:szCs w:val="20"/>
          <w:lang w:val="cs-CZ"/>
        </w:rPr>
      </w:pPr>
    </w:p>
    <w:p w:rsidR="003B6E11" w:rsidRPr="003B6E11" w:rsidRDefault="003B6E11" w:rsidP="003B6E11">
      <w:pPr>
        <w:tabs>
          <w:tab w:val="left" w:pos="567"/>
        </w:tabs>
        <w:overflowPunct w:val="0"/>
        <w:adjustRightInd w:val="0"/>
        <w:spacing w:line="240" w:lineRule="exact"/>
        <w:ind w:left="992"/>
        <w:textAlignment w:val="baseline"/>
        <w:rPr>
          <w:szCs w:val="20"/>
          <w:lang w:val="cs-CZ"/>
        </w:rPr>
      </w:pPr>
      <w:r w:rsidRPr="003B6E11">
        <w:rPr>
          <w:lang w:val="cs-CZ"/>
        </w:rPr>
        <w:t>-</w:t>
      </w:r>
      <w:r w:rsidRPr="003B6E11">
        <w:rPr>
          <w:lang w:val="cs-CZ"/>
        </w:rPr>
        <w:tab/>
      </w:r>
      <w:r w:rsidRPr="003B6E11">
        <w:rPr>
          <w:b/>
          <w:lang w:val="cs-CZ"/>
        </w:rPr>
        <w:t>Naměřená hodnota</w:t>
      </w:r>
      <w:r w:rsidRPr="003B6E11">
        <w:rPr>
          <w:lang w:val="cs-CZ"/>
        </w:rPr>
        <w:t>:</w:t>
      </w:r>
    </w:p>
    <w:p w:rsidR="003B6E11" w:rsidRPr="003B6E11" w:rsidRDefault="003B6E11" w:rsidP="003B6E11">
      <w:pPr>
        <w:tabs>
          <w:tab w:val="left" w:pos="284"/>
        </w:tabs>
        <w:overflowPunct w:val="0"/>
        <w:adjustRightInd w:val="0"/>
        <w:spacing w:line="240" w:lineRule="exact"/>
        <w:ind w:left="992"/>
        <w:textAlignment w:val="baseline"/>
        <w:rPr>
          <w:szCs w:val="20"/>
          <w:lang w:val="cs-CZ"/>
        </w:rPr>
      </w:pPr>
    </w:p>
    <w:p w:rsidR="003B6E11" w:rsidRPr="003B6E11" w:rsidRDefault="003B6E11" w:rsidP="003B6E11">
      <w:pPr>
        <w:tabs>
          <w:tab w:val="left" w:pos="454"/>
          <w:tab w:val="left" w:pos="3402"/>
        </w:tabs>
        <w:overflowPunct w:val="0"/>
        <w:adjustRightInd w:val="0"/>
        <w:spacing w:line="240" w:lineRule="exact"/>
        <w:ind w:left="992"/>
        <w:textAlignment w:val="baseline"/>
        <w:rPr>
          <w:szCs w:val="20"/>
          <w:lang w:val="cs-CZ"/>
        </w:rPr>
      </w:pPr>
      <m:oMathPara>
        <m:oMath>
          <m:r>
            <w:rPr>
              <w:rFonts w:ascii="Cambria Math" w:hAnsi="Cambria Math"/>
              <w:szCs w:val="20"/>
              <w:lang w:val="cs-CZ"/>
            </w:rPr>
            <m:t>s</m:t>
          </m:r>
          <m:r>
            <w:rPr>
              <w:rFonts w:ascii="Cambria Math" w:hAnsi="Cambria Math"/>
              <w:position w:val="-6"/>
              <w:sz w:val="16"/>
              <w:szCs w:val="20"/>
              <w:lang w:val="cs-CZ"/>
            </w:rPr>
            <m:t>MESSUNG</m:t>
          </m:r>
          <m:r>
            <w:rPr>
              <w:rFonts w:ascii="Cambria Math" w:hAnsi="Cambria Math"/>
              <w:szCs w:val="20"/>
              <w:lang w:val="cs-CZ"/>
            </w:rPr>
            <m:t xml:space="preserve"> = 580 m</m:t>
          </m:r>
        </m:oMath>
      </m:oMathPara>
    </w:p>
    <w:p w:rsidR="003B6E11" w:rsidRPr="003B6E11" w:rsidRDefault="003B6E11" w:rsidP="003B6E11">
      <w:pPr>
        <w:tabs>
          <w:tab w:val="left" w:pos="454"/>
        </w:tabs>
        <w:overflowPunct w:val="0"/>
        <w:adjustRightInd w:val="0"/>
        <w:spacing w:line="240" w:lineRule="exact"/>
        <w:ind w:left="992"/>
        <w:textAlignment w:val="baseline"/>
        <w:rPr>
          <w:szCs w:val="20"/>
          <w:lang w:val="cs-CZ"/>
        </w:rPr>
      </w:pPr>
    </w:p>
    <w:p w:rsidR="003B6E11" w:rsidRPr="003B6E11" w:rsidRDefault="003B6E11" w:rsidP="003B6E11">
      <w:pPr>
        <w:tabs>
          <w:tab w:val="left" w:pos="284"/>
          <w:tab w:val="left" w:pos="567"/>
        </w:tabs>
        <w:overflowPunct w:val="0"/>
        <w:adjustRightInd w:val="0"/>
        <w:spacing w:line="240" w:lineRule="exact"/>
        <w:ind w:left="992"/>
        <w:textAlignment w:val="baseline"/>
        <w:rPr>
          <w:b/>
          <w:szCs w:val="20"/>
          <w:lang w:val="cs-CZ"/>
        </w:rPr>
      </w:pPr>
      <w:r w:rsidRPr="003B6E11">
        <w:rPr>
          <w:b/>
          <w:lang w:val="cs-CZ"/>
        </w:rPr>
        <w:t>-</w:t>
      </w:r>
      <w:r w:rsidRPr="003B6E11">
        <w:rPr>
          <w:lang w:val="cs-CZ"/>
        </w:rPr>
        <w:tab/>
      </w:r>
      <w:r w:rsidRPr="003B6E11">
        <w:rPr>
          <w:b/>
          <w:lang w:val="cs-CZ"/>
        </w:rPr>
        <w:t>požadované výpočty:</w:t>
      </w:r>
    </w:p>
    <w:p w:rsidR="003B6E11" w:rsidRPr="003B6E11" w:rsidRDefault="003B6E11" w:rsidP="003B6E11">
      <w:pPr>
        <w:tabs>
          <w:tab w:val="left" w:pos="567"/>
        </w:tabs>
        <w:overflowPunct w:val="0"/>
        <w:adjustRightInd w:val="0"/>
        <w:spacing w:line="240" w:lineRule="exact"/>
        <w:ind w:left="992"/>
        <w:textAlignment w:val="baseline"/>
        <w:rPr>
          <w:szCs w:val="20"/>
          <w:lang w:val="cs-CZ"/>
        </w:rPr>
      </w:pPr>
    </w:p>
    <w:p w:rsidR="003B6E11" w:rsidRPr="003B6E11" w:rsidRDefault="002D015D" w:rsidP="003B6E11">
      <w:pPr>
        <w:tabs>
          <w:tab w:val="left" w:pos="567"/>
          <w:tab w:val="left" w:pos="1276"/>
          <w:tab w:val="left" w:pos="4111"/>
        </w:tabs>
        <w:overflowPunct w:val="0"/>
        <w:adjustRightInd w:val="0"/>
        <w:spacing w:line="240" w:lineRule="atLeast"/>
        <w:ind w:left="3402" w:hanging="2410"/>
        <w:textAlignment w:val="baseline"/>
        <w:rPr>
          <w:szCs w:val="20"/>
          <w:lang w:val="cs-CZ"/>
        </w:rPr>
      </w:pPr>
      <m:oMath>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IST</m:t>
            </m:r>
          </m:sub>
        </m:sSub>
      </m:oMath>
      <w:r w:rsidR="003B6E11" w:rsidRPr="003B6E11">
        <w:rPr>
          <w:lang w:val="cs-CZ"/>
        </w:rPr>
        <w:t xml:space="preserve"> jako součet</w:t>
      </w:r>
    </w:p>
    <w:p w:rsidR="003B6E11" w:rsidRPr="003B6E11" w:rsidRDefault="003B6E11" w:rsidP="003B6E11">
      <w:pPr>
        <w:tabs>
          <w:tab w:val="left" w:pos="567"/>
          <w:tab w:val="left" w:pos="1276"/>
          <w:tab w:val="left" w:pos="4111"/>
        </w:tabs>
        <w:overflowPunct w:val="0"/>
        <w:adjustRightInd w:val="0"/>
        <w:spacing w:line="240" w:lineRule="atLeast"/>
        <w:ind w:left="3402" w:hanging="2410"/>
        <w:textAlignment w:val="baseline"/>
        <w:rPr>
          <w:szCs w:val="20"/>
          <w:lang w:val="cs-CZ"/>
        </w:rPr>
      </w:pPr>
    </w:p>
    <w:p w:rsidR="003B6E11" w:rsidRPr="003B6E11" w:rsidRDefault="002D015D" w:rsidP="003B6E11">
      <w:pPr>
        <w:tabs>
          <w:tab w:val="left" w:pos="567"/>
          <w:tab w:val="left" w:pos="4111"/>
        </w:tabs>
        <w:overflowPunct w:val="0"/>
        <w:adjustRightInd w:val="0"/>
        <w:spacing w:line="240" w:lineRule="atLeast"/>
        <w:ind w:left="3402" w:hanging="2410"/>
        <w:textAlignment w:val="baseline"/>
        <w:rPr>
          <w:szCs w:val="20"/>
          <w:lang w:val="cs-CZ"/>
        </w:rPr>
      </w:pP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m:t>
                </m:r>
              </m:sub>
            </m:sSub>
          </m:e>
          <m:sub>
            <m:r>
              <w:rPr>
                <w:rFonts w:ascii="Cambria Math" w:hAnsi="Cambria Math"/>
                <w:noProof/>
                <w:lang w:val="cs-CZ"/>
              </w:rPr>
              <m:t>IST</m:t>
            </m:r>
          </m:sub>
        </m:sSub>
      </m:oMath>
      <w:r w:rsidR="003B6E11" w:rsidRPr="003B6E11">
        <w:rPr>
          <w:lang w:val="cs-CZ"/>
        </w:rPr>
        <w:t xml:space="preserve"> </w:t>
      </w:r>
      <w:r w:rsidR="003B6E11" w:rsidRPr="003B6E11">
        <w:rPr>
          <w:lang w:val="cs-CZ"/>
        </w:rPr>
        <w:tab/>
        <w:t xml:space="preserve">(podle vzorce (4.1) v příloze 2 s </w:t>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v</m:t>
                </m:r>
              </m:e>
              <m:sub>
                <m:r>
                  <w:rPr>
                    <w:rFonts w:ascii="Cambria Math" w:hAnsi="Cambria Math"/>
                    <w:noProof/>
                    <w:lang w:val="cs-CZ"/>
                  </w:rPr>
                  <m:t>L</m:t>
                </m:r>
              </m:sub>
            </m:sSub>
          </m:e>
          <m:sub>
            <m:r>
              <w:rPr>
                <w:rFonts w:ascii="Cambria Math" w:hAnsi="Cambria Math"/>
                <w:noProof/>
                <w:lang w:val="cs-CZ"/>
              </w:rPr>
              <m:t>IST</m:t>
            </m:r>
          </m:sub>
        </m:sSub>
      </m:oMath>
      <w:r w:rsidR="003B6E11" w:rsidRPr="003B6E11">
        <w:rPr>
          <w:lang w:val="cs-CZ"/>
        </w:rPr>
        <w:t>)</w:t>
      </w:r>
    </w:p>
    <w:p w:rsidR="003B6E11" w:rsidRPr="003B6E11" w:rsidRDefault="003B6E11" w:rsidP="003B6E11">
      <w:pPr>
        <w:tabs>
          <w:tab w:val="left" w:pos="567"/>
          <w:tab w:val="left" w:pos="1276"/>
          <w:tab w:val="left" w:pos="4111"/>
        </w:tabs>
        <w:overflowPunct w:val="0"/>
        <w:adjustRightInd w:val="0"/>
        <w:spacing w:line="240" w:lineRule="atLeast"/>
        <w:ind w:left="3402" w:hanging="2410"/>
        <w:textAlignment w:val="baseline"/>
        <w:rPr>
          <w:szCs w:val="20"/>
          <w:lang w:val="cs-CZ"/>
        </w:rPr>
      </w:pPr>
    </w:p>
    <w:p w:rsidR="003B6E11" w:rsidRPr="003B6E11" w:rsidRDefault="003B6E11" w:rsidP="003B6E11">
      <w:pPr>
        <w:tabs>
          <w:tab w:val="left" w:pos="567"/>
          <w:tab w:val="left" w:pos="1276"/>
          <w:tab w:val="left" w:pos="4111"/>
        </w:tabs>
        <w:overflowPunct w:val="0"/>
        <w:adjustRightInd w:val="0"/>
        <w:spacing w:line="240" w:lineRule="atLeast"/>
        <w:ind w:left="3402" w:hanging="2410"/>
        <w:textAlignment w:val="baseline"/>
        <w:rPr>
          <w:szCs w:val="20"/>
          <w:lang w:val="cs-CZ"/>
        </w:rPr>
      </w:pPr>
      <w:r w:rsidRPr="003B6E11">
        <w:rPr>
          <w:lang w:val="cs-CZ"/>
        </w:rPr>
        <w:t xml:space="preserve">a </w:t>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II</m:t>
                </m:r>
              </m:sub>
            </m:sSub>
          </m:e>
          <m:sub>
            <m:r>
              <w:rPr>
                <w:rFonts w:ascii="Cambria Math" w:hAnsi="Cambria Math"/>
                <w:noProof/>
                <w:lang w:val="cs-CZ"/>
              </w:rPr>
              <m:t>IST</m:t>
            </m:r>
          </m:sub>
        </m:sSub>
      </m:oMath>
      <w:r w:rsidRPr="003B6E11">
        <w:rPr>
          <w:lang w:val="cs-CZ"/>
        </w:rPr>
        <w:tab/>
        <w:t xml:space="preserve">(podle vzorců (4.2), (4.3), (4.4), (4.5) a (4.6) v příloze 2 se skutečnými rychlostmi </w:t>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v</m:t>
                </m:r>
              </m:e>
              <m:sub>
                <m:r>
                  <w:rPr>
                    <w:rFonts w:ascii="Cambria Math" w:hAnsi="Cambria Math"/>
                    <w:noProof/>
                    <w:lang w:val="cs-CZ"/>
                  </w:rPr>
                  <m:t>L</m:t>
                </m:r>
              </m:sub>
            </m:sSub>
          </m:e>
          <m:sub>
            <m:r>
              <w:rPr>
                <w:rFonts w:ascii="Cambria Math" w:hAnsi="Cambria Math"/>
                <w:noProof/>
                <w:lang w:val="cs-CZ"/>
              </w:rPr>
              <m:t>IST</m:t>
            </m:r>
          </m:sub>
        </m:sSub>
      </m:oMath>
      <w:r w:rsidRPr="003B6E11">
        <w:rPr>
          <w:lang w:val="cs-CZ"/>
        </w:rPr>
        <w:t>, (viz bod 2 výše)</w:t>
      </w:r>
      <w:r w:rsidRPr="003B6E11">
        <w:rPr>
          <w:i/>
          <w:noProof/>
          <w:lang w:val="cs-CZ"/>
        </w:rPr>
        <w:t xml:space="preserve"> </w:t>
      </w:r>
      <w:r w:rsidRPr="003B6E11">
        <w:rPr>
          <w:lang w:val="cs-CZ"/>
        </w:rPr>
        <w:t xml:space="preserve">a </w:t>
      </w:r>
      <m:oMath>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IST</m:t>
            </m:r>
          </m:sub>
        </m:sSub>
      </m:oMath>
      <w:r w:rsidRPr="003B6E11">
        <w:rPr>
          <w:lang w:val="cs-CZ"/>
        </w:rPr>
        <w:t>)</w:t>
      </w:r>
    </w:p>
    <w:p w:rsidR="003B6E11" w:rsidRPr="003B6E11" w:rsidRDefault="003B6E11" w:rsidP="003B6E11">
      <w:pPr>
        <w:tabs>
          <w:tab w:val="left" w:pos="454"/>
        </w:tabs>
        <w:overflowPunct w:val="0"/>
        <w:adjustRightInd w:val="0"/>
        <w:spacing w:line="240" w:lineRule="atLeast"/>
        <w:ind w:left="3402" w:hanging="2410"/>
        <w:textAlignment w:val="baseline"/>
        <w:rPr>
          <w:szCs w:val="20"/>
          <w:lang w:val="cs-CZ"/>
        </w:rPr>
      </w:pPr>
    </w:p>
    <w:p w:rsidR="003B6E11" w:rsidRPr="003B6E11" w:rsidRDefault="002D015D" w:rsidP="003B6E11">
      <w:pPr>
        <w:tabs>
          <w:tab w:val="left" w:pos="567"/>
          <w:tab w:val="left" w:pos="1560"/>
          <w:tab w:val="left" w:pos="4111"/>
        </w:tabs>
        <w:overflowPunct w:val="0"/>
        <w:adjustRightInd w:val="0"/>
        <w:spacing w:line="240" w:lineRule="atLeast"/>
        <w:ind w:left="3402" w:hanging="2410"/>
        <w:textAlignment w:val="baseline"/>
        <w:rPr>
          <w:szCs w:val="20"/>
          <w:lang w:val="cs-CZ"/>
        </w:rPr>
      </w:pPr>
      <m:oMath>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SOLL</m:t>
            </m:r>
          </m:sub>
        </m:sSub>
      </m:oMath>
      <w:r w:rsidR="003B6E11" w:rsidRPr="003B6E11">
        <w:rPr>
          <w:lang w:val="cs-CZ"/>
        </w:rPr>
        <w:t>:</w:t>
      </w:r>
      <w:r w:rsidR="003B6E11" w:rsidRPr="003B6E11">
        <w:rPr>
          <w:lang w:val="cs-CZ"/>
        </w:rPr>
        <w:tab/>
        <w:t xml:space="preserve">součet </w:t>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m:t>
                </m:r>
              </m:sub>
            </m:sSub>
          </m:e>
          <m:sub>
            <m:r>
              <w:rPr>
                <w:rFonts w:ascii="Cambria Math" w:hAnsi="Cambria Math"/>
                <w:noProof/>
                <w:lang w:val="cs-CZ"/>
              </w:rPr>
              <m:t>SOLL</m:t>
            </m:r>
          </m:sub>
        </m:sSub>
        <m:r>
          <w:rPr>
            <w:rFonts w:ascii="Cambria Math" w:hAnsi="Cambria Math"/>
            <w:lang w:val="cs-CZ"/>
          </w:rPr>
          <m:t xml:space="preserve">+ </m:t>
        </m:r>
        <m:sSub>
          <m:sSubPr>
            <m:ctrlPr>
              <w:rPr>
                <w:rFonts w:ascii="Cambria Math" w:hAnsi="Cambria Math"/>
                <w:i/>
                <w:lang w:val="cs-CZ"/>
              </w:rPr>
            </m:ctrlPr>
          </m:sSubPr>
          <m:e>
            <m:r>
              <w:rPr>
                <w:rFonts w:ascii="Cambria Math" w:hAnsi="Cambria Math"/>
                <w:lang w:val="cs-CZ"/>
              </w:rPr>
              <m:t>s</m:t>
            </m:r>
          </m:e>
          <m:sub>
            <m:sSub>
              <m:sSubPr>
                <m:ctrlPr>
                  <w:rPr>
                    <w:rFonts w:ascii="Cambria Math" w:hAnsi="Cambria Math"/>
                    <w:i/>
                    <w:lang w:val="cs-CZ"/>
                  </w:rPr>
                </m:ctrlPr>
              </m:sSubPr>
              <m:e>
                <m:r>
                  <w:rPr>
                    <w:rFonts w:ascii="Cambria Math" w:hAnsi="Cambria Math"/>
                    <w:lang w:val="cs-CZ"/>
                  </w:rPr>
                  <m:t>II</m:t>
                </m:r>
              </m:e>
              <m:sub>
                <m:r>
                  <w:rPr>
                    <w:rFonts w:ascii="Cambria Math" w:hAnsi="Cambria Math"/>
                    <w:lang w:val="cs-CZ"/>
                  </w:rPr>
                  <m:t>SOLL</m:t>
                </m:r>
              </m:sub>
            </m:sSub>
          </m:sub>
        </m:sSub>
      </m:oMath>
      <w:r w:rsidR="003B6E11" w:rsidRPr="003B6E11">
        <w:rPr>
          <w:lang w:val="cs-CZ"/>
        </w:rPr>
        <w:tab/>
        <w:t>(podle vzorců (4.1) až (4.6) v příloze 2 s referenčními rychlostmi a v souladu s přílohou 2, protože zatížení &gt; 70 % maxima,</w:t>
      </w:r>
    </w:p>
    <w:p w:rsidR="003B6E11" w:rsidRPr="003B6E11" w:rsidRDefault="003B6E11" w:rsidP="003B6E11">
      <w:pPr>
        <w:tabs>
          <w:tab w:val="left" w:pos="567"/>
          <w:tab w:val="left" w:pos="4111"/>
        </w:tabs>
        <w:overflowPunct w:val="0"/>
        <w:adjustRightInd w:val="0"/>
        <w:spacing w:line="240" w:lineRule="atLeast"/>
        <w:ind w:left="3402" w:hanging="2410"/>
        <w:textAlignment w:val="baseline"/>
        <w:rPr>
          <w:szCs w:val="20"/>
          <w:lang w:val="cs-CZ"/>
        </w:rPr>
      </w:pPr>
      <w:r w:rsidRPr="003B6E11">
        <w:rPr>
          <w:lang w:val="cs-CZ"/>
        </w:rPr>
        <w:tab/>
        <w:t xml:space="preserve">kde </w:t>
      </w:r>
      <m:oMath>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SOLL</m:t>
            </m:r>
          </m:sub>
        </m:sSub>
        <m:r>
          <w:rPr>
            <w:rFonts w:ascii="Cambria Math" w:hAnsi="Cambria Math"/>
            <w:noProof/>
            <w:lang w:val="cs-CZ"/>
          </w:rPr>
          <m:t xml:space="preserve">= </m:t>
        </m:r>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IST</m:t>
            </m:r>
          </m:sub>
        </m:sSub>
      </m:oMath>
      <w:r w:rsidRPr="003B6E11">
        <w:rPr>
          <w:lang w:val="cs-CZ"/>
        </w:rPr>
        <w:t xml:space="preserve"> a </w:t>
      </w:r>
      <m:oMath>
        <m:sSub>
          <m:sSubPr>
            <m:ctrlPr>
              <w:rPr>
                <w:rFonts w:ascii="Cambria Math" w:hAnsi="Cambria Math"/>
                <w:i/>
                <w:noProof/>
                <w:lang w:val="cs-CZ"/>
              </w:rPr>
            </m:ctrlPr>
          </m:sSubPr>
          <m:e>
            <m:r>
              <w:rPr>
                <w:rFonts w:ascii="Cambria Math" w:hAnsi="Cambria Math"/>
                <w:noProof/>
                <w:lang w:val="cs-CZ"/>
              </w:rPr>
              <m:t>T</m:t>
            </m:r>
          </m:e>
          <m:sub>
            <m:r>
              <w:rPr>
                <w:rFonts w:ascii="Cambria Math" w:hAnsi="Cambria Math"/>
                <w:noProof/>
                <w:lang w:val="cs-CZ"/>
              </w:rPr>
              <m:t>SOLL</m:t>
            </m:r>
          </m:sub>
        </m:sSub>
        <m:r>
          <w:rPr>
            <w:rFonts w:ascii="Cambria Math" w:hAnsi="Cambria Math"/>
            <w:noProof/>
            <w:lang w:val="cs-CZ"/>
          </w:rPr>
          <m:t xml:space="preserve">= </m:t>
        </m:r>
        <m:sSub>
          <m:sSubPr>
            <m:ctrlPr>
              <w:rPr>
                <w:rFonts w:ascii="Cambria Math" w:hAnsi="Cambria Math"/>
                <w:i/>
                <w:noProof/>
                <w:lang w:val="cs-CZ"/>
              </w:rPr>
            </m:ctrlPr>
          </m:sSubPr>
          <m:e>
            <m:r>
              <w:rPr>
                <w:rFonts w:ascii="Cambria Math" w:hAnsi="Cambria Math"/>
                <w:noProof/>
                <w:lang w:val="cs-CZ"/>
              </w:rPr>
              <m:t>T</m:t>
            </m:r>
          </m:e>
          <m:sub>
            <m:r>
              <w:rPr>
                <w:rFonts w:ascii="Cambria Math" w:hAnsi="Cambria Math"/>
                <w:noProof/>
                <w:lang w:val="cs-CZ"/>
              </w:rPr>
              <m:t>IST</m:t>
            </m:r>
          </m:sub>
        </m:sSub>
      </m:oMath>
      <w:r w:rsidRPr="003B6E11">
        <w:rPr>
          <w:lang w:val="cs-CZ"/>
        </w:rPr>
        <w:t>)</w:t>
      </w:r>
    </w:p>
    <w:p w:rsidR="003B6E11" w:rsidRPr="003B6E11" w:rsidRDefault="003B6E11" w:rsidP="003B6E11">
      <w:pPr>
        <w:tabs>
          <w:tab w:val="left" w:pos="454"/>
        </w:tabs>
        <w:overflowPunct w:val="0"/>
        <w:adjustRightInd w:val="0"/>
        <w:spacing w:line="240" w:lineRule="atLeast"/>
        <w:ind w:left="454" w:hanging="454"/>
        <w:textAlignment w:val="baseline"/>
        <w:rPr>
          <w:szCs w:val="20"/>
          <w:lang w:val="cs-CZ"/>
        </w:rPr>
      </w:pPr>
    </w:p>
    <w:p w:rsidR="003B6E11" w:rsidRPr="003B6E11" w:rsidRDefault="003B6E11" w:rsidP="003B6E11">
      <w:pPr>
        <w:tabs>
          <w:tab w:val="left" w:pos="284"/>
        </w:tabs>
        <w:overflowPunct w:val="0"/>
        <w:adjustRightInd w:val="0"/>
        <w:spacing w:line="240" w:lineRule="atLeast"/>
        <w:ind w:left="992"/>
        <w:textAlignment w:val="baseline"/>
        <w:rPr>
          <w:szCs w:val="20"/>
          <w:lang w:val="cs-CZ"/>
        </w:rPr>
      </w:pPr>
      <w:r w:rsidRPr="003B6E11">
        <w:rPr>
          <w:lang w:val="cs-CZ"/>
        </w:rPr>
        <w:t>-</w:t>
      </w:r>
      <w:r w:rsidRPr="003B6E11">
        <w:rPr>
          <w:lang w:val="cs-CZ"/>
        </w:rPr>
        <w:tab/>
      </w:r>
      <w:r w:rsidRPr="003B6E11">
        <w:rPr>
          <w:b/>
          <w:lang w:val="cs-CZ"/>
        </w:rPr>
        <w:t>nutno ověřit:</w:t>
      </w:r>
    </w:p>
    <w:p w:rsidR="003B6E11" w:rsidRPr="003B6E11" w:rsidRDefault="003B6E11" w:rsidP="003B6E11">
      <w:pPr>
        <w:tabs>
          <w:tab w:val="left" w:pos="454"/>
        </w:tabs>
        <w:overflowPunct w:val="0"/>
        <w:adjustRightInd w:val="0"/>
        <w:spacing w:line="240" w:lineRule="atLeast"/>
        <w:ind w:left="454" w:hanging="454"/>
        <w:textAlignment w:val="baseline"/>
        <w:rPr>
          <w:szCs w:val="20"/>
          <w:lang w:val="cs-CZ"/>
        </w:rPr>
      </w:pPr>
    </w:p>
    <w:p w:rsidR="003B6E11" w:rsidRPr="003B6E11" w:rsidRDefault="002D015D" w:rsidP="003B6E11">
      <w:pPr>
        <w:tabs>
          <w:tab w:val="left" w:pos="454"/>
        </w:tabs>
        <w:overflowPunct w:val="0"/>
        <w:adjustRightInd w:val="0"/>
        <w:spacing w:line="240" w:lineRule="atLeast"/>
        <w:ind w:left="454" w:hanging="454"/>
        <w:jc w:val="center"/>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NORM</m:t>
            </m:r>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MESSUNG</m:t>
            </m:r>
          </m:sub>
        </m:sSub>
        <m:r>
          <w:rPr>
            <w:rFonts w:ascii="Cambria Math" w:hAnsi="Cambria Math"/>
            <w:szCs w:val="20"/>
            <w:lang w:val="cs-CZ"/>
          </w:rPr>
          <m:t xml:space="preserve"> ∙ </m:t>
        </m:r>
        <m:f>
          <m:fPr>
            <m:ctrlPr>
              <w:rPr>
                <w:rFonts w:ascii="Cambria Math" w:hAnsi="Cambria Math"/>
                <w:i/>
                <w:szCs w:val="20"/>
                <w:lang w:val="cs-CZ"/>
              </w:rPr>
            </m:ctrlPr>
          </m:fPr>
          <m:num>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SOLL</m:t>
                </m:r>
              </m:sub>
            </m:sSub>
          </m:num>
          <m:den>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IST</m:t>
                </m:r>
              </m:sub>
            </m:sSub>
          </m:den>
        </m:f>
        <m:r>
          <w:rPr>
            <w:rFonts w:ascii="Cambria Math" w:hAnsi="Cambria Math"/>
            <w:szCs w:val="20"/>
            <w:lang w:val="cs-CZ"/>
          </w:rPr>
          <m:t xml:space="preserve"> ≤550 m</m:t>
        </m:r>
      </m:oMath>
      <w:r w:rsidR="003B6E11" w:rsidRPr="003B6E11">
        <w:rPr>
          <w:lang w:val="cs-CZ"/>
        </w:rPr>
        <w:t xml:space="preserve"> jinak</w:t>
      </w:r>
    </w:p>
    <w:p w:rsidR="003B6E11" w:rsidRPr="003B6E11" w:rsidRDefault="003B6E11" w:rsidP="003B6E11">
      <w:pPr>
        <w:tabs>
          <w:tab w:val="left" w:pos="454"/>
          <w:tab w:val="center" w:pos="3828"/>
        </w:tabs>
        <w:overflowPunct w:val="0"/>
        <w:adjustRightInd w:val="0"/>
        <w:spacing w:line="240" w:lineRule="atLeast"/>
        <w:ind w:left="454" w:hanging="454"/>
        <w:textAlignment w:val="baseline"/>
        <w:rPr>
          <w:szCs w:val="20"/>
          <w:lang w:val="cs-CZ"/>
        </w:rPr>
      </w:pPr>
    </w:p>
    <w:p w:rsidR="003B6E11" w:rsidRPr="003B6E11" w:rsidRDefault="003B6E11" w:rsidP="003B6E11">
      <w:pPr>
        <w:tabs>
          <w:tab w:val="left" w:pos="284"/>
        </w:tabs>
        <w:overflowPunct w:val="0"/>
        <w:adjustRightInd w:val="0"/>
        <w:spacing w:line="240" w:lineRule="atLeast"/>
        <w:ind w:left="992"/>
        <w:textAlignment w:val="baseline"/>
        <w:rPr>
          <w:b/>
          <w:szCs w:val="20"/>
          <w:lang w:val="cs-CZ"/>
        </w:rPr>
      </w:pPr>
      <w:r w:rsidRPr="003B6E11">
        <w:rPr>
          <w:b/>
          <w:lang w:val="cs-CZ"/>
        </w:rPr>
        <w:t>-</w:t>
      </w:r>
      <w:r w:rsidRPr="003B6E11">
        <w:rPr>
          <w:lang w:val="cs-CZ"/>
        </w:rPr>
        <w:tab/>
      </w:r>
      <w:r w:rsidRPr="003B6E11">
        <w:rPr>
          <w:b/>
          <w:lang w:val="cs-CZ"/>
        </w:rPr>
        <w:t>vypočítat:</w:t>
      </w:r>
    </w:p>
    <w:p w:rsidR="003B6E11" w:rsidRPr="003B6E11" w:rsidRDefault="003B6E11" w:rsidP="003B6E11">
      <w:pPr>
        <w:tabs>
          <w:tab w:val="left" w:pos="454"/>
        </w:tabs>
        <w:overflowPunct w:val="0"/>
        <w:adjustRightInd w:val="0"/>
        <w:spacing w:line="240" w:lineRule="atLeast"/>
        <w:ind w:left="454" w:hanging="454"/>
        <w:textAlignment w:val="baseline"/>
        <w:rPr>
          <w:szCs w:val="20"/>
          <w:lang w:val="cs-CZ"/>
        </w:rPr>
      </w:pPr>
    </w:p>
    <w:p w:rsidR="003B6E11" w:rsidRPr="003B6E11" w:rsidRDefault="002D015D" w:rsidP="003B6E11">
      <w:pPr>
        <w:tabs>
          <w:tab w:val="left" w:pos="454"/>
          <w:tab w:val="left" w:pos="1418"/>
          <w:tab w:val="left" w:pos="1843"/>
        </w:tabs>
        <w:overflowPunct w:val="0"/>
        <w:adjustRightInd w:val="0"/>
        <w:spacing w:line="240" w:lineRule="atLeast"/>
        <w:ind w:left="992"/>
        <w:textAlignment w:val="baseline"/>
        <w:rPr>
          <w:szCs w:val="20"/>
          <w:lang w:val="cs-CZ"/>
        </w:rPr>
      </w:pPr>
      <m:oMath>
        <m:sSub>
          <m:sSubPr>
            <m:ctrlPr>
              <w:rPr>
                <w:rFonts w:ascii="Cambria Math" w:hAnsi="Cambria Math"/>
                <w:i/>
                <w:szCs w:val="20"/>
                <w:lang w:val="cs-CZ"/>
              </w:rPr>
            </m:ctrlPr>
          </m:sSubPr>
          <m:e>
            <m:sSup>
              <m:sSupPr>
                <m:ctrlPr>
                  <w:rPr>
                    <w:rFonts w:ascii="Cambria Math" w:hAnsi="Cambria Math"/>
                    <w:i/>
                    <w:szCs w:val="20"/>
                    <w:lang w:val="cs-CZ"/>
                  </w:rPr>
                </m:ctrlPr>
              </m:sSupPr>
              <m:e>
                <m:r>
                  <w:rPr>
                    <w:rFonts w:ascii="Cambria Math" w:hAnsi="Cambria Math"/>
                    <w:szCs w:val="20"/>
                    <w:lang w:val="cs-CZ"/>
                  </w:rPr>
                  <m:t>s</m:t>
                </m:r>
              </m:e>
              <m:sup>
                <m:r>
                  <w:rPr>
                    <w:rFonts w:ascii="Cambria Math" w:hAnsi="Cambria Math"/>
                    <w:szCs w:val="20"/>
                    <w:lang w:val="cs-CZ"/>
                  </w:rPr>
                  <m:t>*</m:t>
                </m:r>
              </m:sup>
            </m:sSup>
          </m:e>
          <m:sub>
            <m:r>
              <w:rPr>
                <w:rFonts w:ascii="Cambria Math" w:hAnsi="Cambria Math"/>
                <w:szCs w:val="20"/>
                <w:lang w:val="cs-CZ"/>
              </w:rPr>
              <m:t>NORM</m:t>
            </m:r>
          </m:sub>
        </m:sSub>
      </m:oMath>
      <w:r w:rsidR="003B6E11" w:rsidRPr="003B6E11">
        <w:rPr>
          <w:lang w:val="cs-CZ"/>
        </w:rPr>
        <w:tab/>
        <w:t>=</w:t>
      </w:r>
      <w:r w:rsidR="003B6E11" w:rsidRPr="003B6E11">
        <w:rPr>
          <w:lang w:val="cs-CZ"/>
        </w:rPr>
        <w:tab/>
        <w:t xml:space="preserve">550 m snížením </w:t>
      </w:r>
      <m:oMath>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IST</m:t>
            </m:r>
          </m:sub>
        </m:sSub>
      </m:oMath>
      <w:r w:rsidR="003B6E11" w:rsidRPr="003B6E11">
        <w:rPr>
          <w:lang w:val="cs-CZ"/>
        </w:rPr>
        <w:t xml:space="preserve"> na </w:t>
      </w:r>
      <m:oMath>
        <m:sSup>
          <m:sSupPr>
            <m:ctrlPr>
              <w:rPr>
                <w:rFonts w:ascii="Cambria Math" w:hAnsi="Cambria Math"/>
                <w:i/>
                <w:szCs w:val="20"/>
                <w:lang w:val="cs-CZ"/>
              </w:rPr>
            </m:ctrlPr>
          </m:sSupPr>
          <m:e>
            <m:r>
              <w:rPr>
                <w:rFonts w:ascii="Cambria Math" w:hAnsi="Cambria Math"/>
                <w:szCs w:val="20"/>
                <w:lang w:val="cs-CZ"/>
              </w:rPr>
              <m:t>D</m:t>
            </m:r>
          </m:e>
          <m:sup>
            <m:r>
              <w:rPr>
                <w:rFonts w:ascii="Cambria Math" w:hAnsi="Cambria Math"/>
                <w:szCs w:val="20"/>
                <w:lang w:val="cs-CZ"/>
              </w:rPr>
              <m:t>*</m:t>
            </m:r>
          </m:sup>
        </m:sSup>
      </m:oMath>
    </w:p>
    <w:p w:rsidR="003B6E11" w:rsidRPr="003B6E11" w:rsidRDefault="003B6E11" w:rsidP="003B6E11">
      <w:pPr>
        <w:tabs>
          <w:tab w:val="left" w:pos="454"/>
        </w:tabs>
        <w:overflowPunct w:val="0"/>
        <w:adjustRightInd w:val="0"/>
        <w:spacing w:line="240" w:lineRule="atLeast"/>
        <w:ind w:left="454" w:hanging="454"/>
        <w:textAlignment w:val="baseline"/>
        <w:rPr>
          <w:szCs w:val="20"/>
          <w:lang w:val="cs-CZ"/>
        </w:rPr>
      </w:pPr>
    </w:p>
    <w:p w:rsidR="003B6E11" w:rsidRPr="003B6E11" w:rsidRDefault="003B6E11" w:rsidP="003B6E11">
      <w:pPr>
        <w:tabs>
          <w:tab w:val="left" w:pos="454"/>
        </w:tabs>
        <w:overflowPunct w:val="0"/>
        <w:adjustRightInd w:val="0"/>
        <w:spacing w:line="240" w:lineRule="atLeast"/>
        <w:ind w:left="454" w:hanging="454"/>
        <w:textAlignment w:val="baseline"/>
        <w:rPr>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4.1</w:t>
      </w:r>
      <w:r w:rsidRPr="003B6E11">
        <w:rPr>
          <w:lang w:val="cs-CZ"/>
        </w:rPr>
        <w:tab/>
      </w:r>
      <w:r w:rsidRPr="003B6E11">
        <w:rPr>
          <w:b/>
          <w:color w:val="000000"/>
          <w:lang w:val="cs-CZ"/>
        </w:rPr>
        <w:t>Koeficienty pro výpočet podle přílohy 2</w:t>
      </w:r>
    </w:p>
    <w:p w:rsidR="003B6E11" w:rsidRPr="003B6E11" w:rsidRDefault="003B6E11" w:rsidP="003B6E11">
      <w:pPr>
        <w:tabs>
          <w:tab w:val="left" w:pos="284"/>
          <w:tab w:val="left" w:pos="567"/>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567"/>
        </w:tabs>
        <w:overflowPunct w:val="0"/>
        <w:adjustRightInd w:val="0"/>
        <w:spacing w:line="240" w:lineRule="atLeast"/>
        <w:ind w:left="567"/>
        <w:textAlignment w:val="baseline"/>
        <w:rPr>
          <w:szCs w:val="20"/>
          <w:lang w:val="cs-CZ"/>
        </w:rPr>
      </w:pPr>
      <w:r w:rsidRPr="003B6E11">
        <w:rPr>
          <w:lang w:val="cs-CZ"/>
        </w:rPr>
        <w:t>Tabulka 1</w:t>
      </w:r>
    </w:p>
    <w:p w:rsidR="003B6E11" w:rsidRPr="003B6E11" w:rsidRDefault="003B6E11" w:rsidP="003B6E11">
      <w:pPr>
        <w:tabs>
          <w:tab w:val="left" w:pos="0"/>
          <w:tab w:val="left" w:pos="284"/>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567"/>
          <w:tab w:val="left" w:pos="2694"/>
          <w:tab w:val="left" w:pos="3119"/>
          <w:tab w:val="left" w:pos="3544"/>
        </w:tabs>
        <w:overflowPunct w:val="0"/>
        <w:adjustRightInd w:val="0"/>
        <w:spacing w:line="240" w:lineRule="atLeast"/>
        <w:ind w:left="567"/>
        <w:textAlignment w:val="baseline"/>
        <w:rPr>
          <w:szCs w:val="20"/>
          <w:lang w:val="cs-CZ"/>
        </w:rPr>
      </w:pPr>
      <w:r w:rsidRPr="003B6E11">
        <w:rPr>
          <w:lang w:val="cs-CZ"/>
        </w:rPr>
        <w:t xml:space="preserve">Pro </w:t>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m:t>
                </m:r>
              </m:sub>
            </m:sSub>
          </m:e>
          <m:sub>
            <m:r>
              <w:rPr>
                <w:rFonts w:ascii="Cambria Math" w:hAnsi="Cambria Math"/>
                <w:noProof/>
                <w:lang w:val="cs-CZ"/>
              </w:rPr>
              <m:t>IST</m:t>
            </m:r>
          </m:sub>
        </m:sSub>
      </m:oMath>
      <w:r w:rsidRPr="003B6E11">
        <w:rPr>
          <w:lang w:val="cs-CZ"/>
        </w:rPr>
        <w:t xml:space="preserve"> a </w:t>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m:t>
                </m:r>
              </m:sub>
            </m:sSub>
          </m:e>
          <m:sub>
            <m:r>
              <w:rPr>
                <w:rFonts w:ascii="Cambria Math" w:hAnsi="Cambria Math"/>
                <w:noProof/>
                <w:lang w:val="cs-CZ"/>
              </w:rPr>
              <m:t>SOLL</m:t>
            </m:r>
          </m:sub>
        </m:sSub>
      </m:oMath>
      <w:r w:rsidRPr="003B6E11">
        <w:rPr>
          <w:lang w:val="cs-CZ"/>
        </w:rPr>
        <w:t xml:space="preserve"> </w:t>
      </w:r>
      <w:r w:rsidRPr="003B6E11">
        <w:rPr>
          <w:lang w:val="cs-CZ"/>
        </w:rPr>
        <w:tab/>
      </w:r>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1</m:t>
            </m:r>
          </m:sub>
        </m:sSub>
      </m:oMath>
      <w:r w:rsidRPr="003B6E11">
        <w:rPr>
          <w:lang w:val="cs-CZ"/>
        </w:rPr>
        <w:tab/>
        <w:t>=</w:t>
      </w:r>
      <w:r w:rsidRPr="003B6E11">
        <w:rPr>
          <w:lang w:val="cs-CZ"/>
        </w:rPr>
        <w:tab/>
        <w:t>0,95</w:t>
      </w:r>
    </w:p>
    <w:p w:rsidR="003B6E11" w:rsidRPr="003B6E11" w:rsidRDefault="003B6E11" w:rsidP="003B6E11">
      <w:pPr>
        <w:tabs>
          <w:tab w:val="left" w:pos="567"/>
        </w:tabs>
        <w:overflowPunct w:val="0"/>
        <w:adjustRightInd w:val="0"/>
        <w:spacing w:line="240" w:lineRule="atLeast"/>
        <w:ind w:left="567"/>
        <w:textAlignment w:val="baseline"/>
        <w:rPr>
          <w:szCs w:val="20"/>
          <w:lang w:val="cs-CZ"/>
        </w:rPr>
      </w:pPr>
    </w:p>
    <w:p w:rsidR="003B6E11" w:rsidRPr="003B6E11" w:rsidRDefault="003B6E11" w:rsidP="003B6E11">
      <w:pPr>
        <w:tabs>
          <w:tab w:val="left" w:pos="567"/>
        </w:tabs>
        <w:overflowPunct w:val="0"/>
        <w:adjustRightInd w:val="0"/>
        <w:spacing w:line="240" w:lineRule="atLeast"/>
        <w:ind w:left="567"/>
        <w:textAlignment w:val="baseline"/>
        <w:rPr>
          <w:szCs w:val="20"/>
          <w:lang w:val="cs-CZ"/>
        </w:rPr>
      </w:pPr>
      <w:r w:rsidRPr="003B6E11">
        <w:rPr>
          <w:lang w:val="cs-CZ"/>
        </w:rPr>
        <w:t xml:space="preserve">Pro </w:t>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II</m:t>
                </m:r>
              </m:sub>
            </m:sSub>
          </m:e>
          <m:sub>
            <m:r>
              <w:rPr>
                <w:rFonts w:ascii="Cambria Math" w:hAnsi="Cambria Math"/>
                <w:noProof/>
                <w:lang w:val="cs-CZ"/>
              </w:rPr>
              <m:t>IST</m:t>
            </m:r>
          </m:sub>
        </m:sSub>
      </m:oMath>
      <w:r w:rsidRPr="003B6E11">
        <w:rPr>
          <w:lang w:val="cs-CZ"/>
        </w:rPr>
        <w:t xml:space="preserve"> a </w:t>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II</m:t>
                </m:r>
              </m:sub>
            </m:sSub>
          </m:e>
          <m:sub>
            <m:r>
              <w:rPr>
                <w:rFonts w:ascii="Cambria Math" w:hAnsi="Cambria Math"/>
                <w:noProof/>
                <w:lang w:val="cs-CZ"/>
              </w:rPr>
              <m:t>SOLL</m:t>
            </m:r>
          </m:sub>
        </m:sSub>
      </m:oMath>
    </w:p>
    <w:p w:rsidR="003B6E11" w:rsidRPr="003B6E11" w:rsidRDefault="002D015D" w:rsidP="003B6E11">
      <w:pPr>
        <w:tabs>
          <w:tab w:val="left" w:pos="2694"/>
          <w:tab w:val="left" w:pos="3119"/>
          <w:tab w:val="left" w:pos="3544"/>
        </w:tabs>
        <w:overflowPunct w:val="0"/>
        <w:adjustRightInd w:val="0"/>
        <w:spacing w:line="240" w:lineRule="atLeast"/>
        <w:ind w:left="2694"/>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2</m:t>
            </m:r>
          </m:sub>
        </m:sSub>
      </m:oMath>
      <w:r w:rsidR="003B6E11" w:rsidRPr="003B6E11">
        <w:rPr>
          <w:lang w:val="cs-CZ"/>
        </w:rPr>
        <w:tab/>
        <w:t>=</w:t>
      </w:r>
      <w:r w:rsidR="003B6E11" w:rsidRPr="003B6E11">
        <w:rPr>
          <w:lang w:val="cs-CZ"/>
        </w:rPr>
        <w:tab/>
        <w:t>0,12</w:t>
      </w:r>
    </w:p>
    <w:p w:rsidR="003B6E11" w:rsidRPr="003B6E11" w:rsidRDefault="002D015D" w:rsidP="003B6E11">
      <w:pPr>
        <w:tabs>
          <w:tab w:val="left" w:pos="2694"/>
          <w:tab w:val="left" w:pos="3119"/>
          <w:tab w:val="left" w:pos="3544"/>
        </w:tabs>
        <w:overflowPunct w:val="0"/>
        <w:adjustRightInd w:val="0"/>
        <w:spacing w:line="240" w:lineRule="atLeast"/>
        <w:ind w:left="2694"/>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3</m:t>
            </m:r>
          </m:sub>
        </m:sSub>
      </m:oMath>
      <w:r w:rsidR="003B6E11" w:rsidRPr="003B6E11">
        <w:rPr>
          <w:lang w:val="cs-CZ"/>
        </w:rPr>
        <w:tab/>
        <w:t>=</w:t>
      </w:r>
      <w:r w:rsidR="003B6E11" w:rsidRPr="003B6E11">
        <w:rPr>
          <w:lang w:val="cs-CZ"/>
        </w:rPr>
        <w:tab/>
        <w:t>1,15</w:t>
      </w:r>
    </w:p>
    <w:p w:rsidR="003B6E11" w:rsidRPr="003B6E11" w:rsidRDefault="002D015D" w:rsidP="003B6E11">
      <w:pPr>
        <w:tabs>
          <w:tab w:val="left" w:pos="2694"/>
          <w:tab w:val="left" w:pos="3119"/>
          <w:tab w:val="left" w:pos="3544"/>
        </w:tabs>
        <w:overflowPunct w:val="0"/>
        <w:adjustRightInd w:val="0"/>
        <w:spacing w:line="240" w:lineRule="atLeast"/>
        <w:ind w:left="2694"/>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4</m:t>
            </m:r>
          </m:sub>
        </m:sSub>
      </m:oMath>
      <w:r w:rsidR="003B6E11" w:rsidRPr="003B6E11">
        <w:rPr>
          <w:lang w:val="cs-CZ"/>
        </w:rPr>
        <w:tab/>
        <w:t>=</w:t>
      </w:r>
      <w:r w:rsidR="003B6E11" w:rsidRPr="003B6E11">
        <w:rPr>
          <w:lang w:val="cs-CZ"/>
        </w:rPr>
        <w:tab/>
        <w:t>0,48</w:t>
      </w:r>
    </w:p>
    <w:p w:rsidR="003B6E11" w:rsidRPr="003B6E11" w:rsidRDefault="002D015D" w:rsidP="003B6E11">
      <w:pPr>
        <w:tabs>
          <w:tab w:val="left" w:pos="2694"/>
          <w:tab w:val="left" w:pos="3119"/>
          <w:tab w:val="left" w:pos="3544"/>
        </w:tabs>
        <w:overflowPunct w:val="0"/>
        <w:adjustRightInd w:val="0"/>
        <w:spacing w:line="240" w:lineRule="atLeast"/>
        <w:ind w:left="2694"/>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6</m:t>
            </m:r>
          </m:sub>
        </m:sSub>
      </m:oMath>
      <w:r w:rsidR="003B6E11" w:rsidRPr="003B6E11">
        <w:rPr>
          <w:lang w:val="cs-CZ"/>
        </w:rPr>
        <w:tab/>
        <w:t>=</w:t>
      </w:r>
      <w:r w:rsidR="003B6E11" w:rsidRPr="003B6E11">
        <w:rPr>
          <w:lang w:val="cs-CZ"/>
        </w:rPr>
        <w:tab/>
        <w:t>0,85</w:t>
      </w:r>
    </w:p>
    <w:p w:rsidR="003B6E11" w:rsidRPr="003B6E11" w:rsidRDefault="002D015D" w:rsidP="003B6E11">
      <w:pPr>
        <w:tabs>
          <w:tab w:val="left" w:pos="2694"/>
          <w:tab w:val="left" w:pos="3119"/>
          <w:tab w:val="left" w:pos="3544"/>
        </w:tabs>
        <w:overflowPunct w:val="0"/>
        <w:adjustRightInd w:val="0"/>
        <w:spacing w:line="240" w:lineRule="atLeast"/>
        <w:ind w:left="2694"/>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7</m:t>
            </m:r>
          </m:sub>
        </m:sSub>
      </m:oMath>
      <w:r w:rsidR="003B6E11" w:rsidRPr="003B6E11">
        <w:rPr>
          <w:lang w:val="cs-CZ"/>
        </w:rPr>
        <w:tab/>
        <w:t>=</w:t>
      </w:r>
      <w:r w:rsidR="003B6E11" w:rsidRPr="003B6E11">
        <w:rPr>
          <w:lang w:val="cs-CZ"/>
        </w:rPr>
        <w:tab/>
        <w:t>0,55</w:t>
      </w:r>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567"/>
        </w:tabs>
        <w:overflowPunct w:val="0"/>
        <w:adjustRightInd w:val="0"/>
        <w:spacing w:line="240" w:lineRule="atLeast"/>
        <w:ind w:left="567"/>
        <w:textAlignment w:val="baseline"/>
        <w:rPr>
          <w:szCs w:val="20"/>
          <w:lang w:val="cs-CZ"/>
        </w:rPr>
      </w:pPr>
      <w:r w:rsidRPr="003B6E11">
        <w:rPr>
          <w:lang w:val="cs-CZ"/>
        </w:rPr>
        <w:t>Tabulka 2 (pro moderní dýzy se zaoblenou zadní hranou)</w:t>
      </w:r>
    </w:p>
    <w:p w:rsidR="003B6E11" w:rsidRPr="003B6E11" w:rsidRDefault="003B6E11" w:rsidP="003B6E11">
      <w:pPr>
        <w:tabs>
          <w:tab w:val="left" w:pos="567"/>
        </w:tabs>
        <w:overflowPunct w:val="0"/>
        <w:adjustRightInd w:val="0"/>
        <w:spacing w:line="240" w:lineRule="atLeast"/>
        <w:ind w:left="567"/>
        <w:textAlignment w:val="baseline"/>
        <w:rPr>
          <w:szCs w:val="20"/>
          <w:lang w:val="cs-CZ"/>
        </w:rPr>
      </w:pPr>
    </w:p>
    <w:p w:rsidR="003B6E11" w:rsidRPr="003B6E11" w:rsidRDefault="003B6E11" w:rsidP="003B6E11">
      <w:pPr>
        <w:tabs>
          <w:tab w:val="left" w:pos="567"/>
        </w:tabs>
        <w:overflowPunct w:val="0"/>
        <w:adjustRightInd w:val="0"/>
        <w:spacing w:line="240" w:lineRule="atLeast"/>
        <w:ind w:left="567"/>
        <w:textAlignment w:val="baseline"/>
        <w:rPr>
          <w:szCs w:val="20"/>
          <w:lang w:val="cs-CZ"/>
        </w:rPr>
      </w:pPr>
      <m:oMath>
        <m:r>
          <w:rPr>
            <w:rFonts w:ascii="Cambria Math" w:hAnsi="Cambria Math"/>
            <w:szCs w:val="20"/>
            <w:lang w:val="cs-CZ"/>
          </w:rPr>
          <m:t>f</m:t>
        </m:r>
      </m:oMath>
      <w:r w:rsidRPr="003B6E11">
        <w:rPr>
          <w:lang w:val="cs-CZ"/>
        </w:rPr>
        <w:t xml:space="preserve"> = 0,118</w:t>
      </w:r>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r w:rsidRPr="003B6E11">
        <w:rPr>
          <w:lang w:val="cs-CZ"/>
        </w:rPr>
        <w:br w:type="page"/>
      </w: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4.2</w:t>
      </w:r>
      <w:r w:rsidRPr="003B6E11">
        <w:rPr>
          <w:lang w:val="cs-CZ"/>
        </w:rPr>
        <w:tab/>
      </w:r>
      <w:r w:rsidRPr="003B6E11">
        <w:rPr>
          <w:b/>
          <w:color w:val="000000"/>
          <w:lang w:val="cs-CZ"/>
        </w:rPr>
        <w:t xml:space="preserve">Výpočet </w:t>
      </w:r>
      <m:oMath>
        <m:sSub>
          <m:sSubPr>
            <m:ctrlPr>
              <w:rPr>
                <w:rFonts w:ascii="Cambria Math" w:hAnsi="Cambria Math" w:cs="Arial"/>
                <w:b/>
                <w:i/>
                <w:noProof/>
                <w:color w:val="000000"/>
                <w:szCs w:val="20"/>
                <w:lang w:val="cs-CZ"/>
              </w:rPr>
            </m:ctrlPr>
          </m:sSubPr>
          <m:e>
            <m:r>
              <m:rPr>
                <m:sty m:val="bi"/>
              </m:rPr>
              <w:rPr>
                <w:rFonts w:ascii="Cambria Math" w:hAnsi="Cambria Math" w:cs="Arial"/>
                <w:noProof/>
                <w:color w:val="000000"/>
                <w:szCs w:val="20"/>
                <w:lang w:val="cs-CZ"/>
              </w:rPr>
              <m:t>s</m:t>
            </m:r>
          </m:e>
          <m:sub>
            <m:r>
              <m:rPr>
                <m:sty m:val="bi"/>
              </m:rPr>
              <w:rPr>
                <w:rFonts w:ascii="Cambria Math" w:hAnsi="Cambria Math" w:cs="Arial"/>
                <w:noProof/>
                <w:color w:val="000000"/>
                <w:szCs w:val="20"/>
                <w:lang w:val="cs-CZ"/>
              </w:rPr>
              <m:t>IST</m:t>
            </m:r>
          </m:sub>
        </m:sSub>
      </m:oMath>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992"/>
        </w:tabs>
        <w:overflowPunct w:val="0"/>
        <w:adjustRightInd w:val="0"/>
        <w:spacing w:line="240" w:lineRule="atLeast"/>
        <w:ind w:left="992"/>
        <w:textAlignment w:val="baseline"/>
        <w:rPr>
          <w:szCs w:val="20"/>
          <w:lang w:val="cs-CZ"/>
        </w:rPr>
      </w:pPr>
      <w:r w:rsidRPr="003B6E11">
        <w:rPr>
          <w:lang w:val="cs-CZ"/>
        </w:rPr>
        <w:t>a)</w:t>
      </w:r>
      <w:r w:rsidRPr="003B6E11">
        <w:rPr>
          <w:lang w:val="cs-CZ"/>
        </w:rPr>
        <w:tab/>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II</m:t>
                </m:r>
              </m:sub>
            </m:sSub>
          </m:e>
          <m:sub>
            <m:r>
              <w:rPr>
                <w:rFonts w:ascii="Cambria Math" w:hAnsi="Cambria Math"/>
                <w:noProof/>
                <w:lang w:val="cs-CZ"/>
              </w:rPr>
              <m:t>IST</m:t>
            </m:r>
          </m:sub>
        </m:sSub>
      </m:oMath>
      <w:r w:rsidRPr="003B6E11">
        <w:rPr>
          <w:lang w:val="cs-CZ"/>
        </w:rPr>
        <w:t xml:space="preserve"> S použitím hodnot naměřených během zastavovacích manévrů</w:t>
      </w:r>
    </w:p>
    <w:p w:rsidR="003B6E11" w:rsidRPr="003B6E11" w:rsidRDefault="003B6E11" w:rsidP="003B6E11">
      <w:pPr>
        <w:tabs>
          <w:tab w:val="left" w:pos="284"/>
          <w:tab w:val="left" w:pos="851"/>
          <w:tab w:val="left" w:pos="1134"/>
          <w:tab w:val="left" w:pos="3261"/>
        </w:tabs>
        <w:overflowPunct w:val="0"/>
        <w:adjustRightInd w:val="0"/>
        <w:spacing w:line="240" w:lineRule="exact"/>
        <w:ind w:left="284" w:hanging="284"/>
        <w:textAlignment w:val="baseline"/>
        <w:rPr>
          <w:szCs w:val="20"/>
          <w:lang w:val="cs-CZ"/>
        </w:rPr>
      </w:pPr>
    </w:p>
    <w:p w:rsidR="003B6E11" w:rsidRPr="003B6E11" w:rsidRDefault="002D015D" w:rsidP="003B6E11">
      <w:pPr>
        <w:overflowPunct w:val="0"/>
        <w:adjustRightInd w:val="0"/>
        <w:spacing w:line="240" w:lineRule="atLeast"/>
        <w:ind w:left="993"/>
        <w:textAlignment w:val="baseline"/>
        <w:rPr>
          <w:lang w:val="cs-CZ"/>
        </w:rPr>
      </w:pPr>
      <m:oMathPara>
        <m:oMathParaPr>
          <m:jc m:val="left"/>
        </m:oMathParaP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m:t>
                  </m:r>
                </m:sub>
              </m:sSub>
            </m:e>
            <m:sub>
              <m:r>
                <w:rPr>
                  <w:rFonts w:ascii="Cambria Math" w:hAnsi="Cambria Math"/>
                  <w:noProof/>
                  <w:lang w:val="cs-CZ"/>
                </w:rPr>
                <m:t>IST</m:t>
              </m:r>
            </m:sub>
          </m:sSub>
          <m:r>
            <w:rPr>
              <w:rFonts w:ascii="Cambria Math" w:hAnsi="Cambria Math"/>
              <w:noProof/>
              <w:lang w:val="cs-CZ"/>
            </w:rPr>
            <m:t xml:space="preserve">= </m:t>
          </m:r>
          <m:sSub>
            <m:sSubPr>
              <m:ctrlPr>
                <w:rPr>
                  <w:rFonts w:ascii="Cambria Math" w:hAnsi="Cambria Math"/>
                  <w:i/>
                  <w:noProof/>
                  <w:lang w:val="cs-CZ"/>
                </w:rPr>
              </m:ctrlPr>
            </m:sSubPr>
            <m:e>
              <m:r>
                <w:rPr>
                  <w:rFonts w:ascii="Cambria Math" w:hAnsi="Cambria Math"/>
                  <w:noProof/>
                  <w:lang w:val="cs-CZ"/>
                </w:rPr>
                <m:t>k</m:t>
              </m:r>
            </m:e>
            <m:sub>
              <m:r>
                <w:rPr>
                  <w:rFonts w:ascii="Cambria Math" w:hAnsi="Cambria Math"/>
                  <w:noProof/>
                  <w:lang w:val="cs-CZ"/>
                </w:rPr>
                <m:t>1</m:t>
              </m:r>
            </m:sub>
          </m:sSub>
          <m:r>
            <w:rPr>
              <w:rFonts w:ascii="Cambria Math" w:hAnsi="Cambria Math"/>
              <w:noProof/>
              <w:lang w:val="cs-CZ"/>
            </w:rPr>
            <m:t xml:space="preserve"> ∙ </m:t>
          </m:r>
          <m:sSub>
            <m:sSubPr>
              <m:ctrlPr>
                <w:rPr>
                  <w:rFonts w:ascii="Cambria Math" w:hAnsi="Cambria Math"/>
                  <w:i/>
                  <w:noProof/>
                  <w:lang w:val="cs-CZ"/>
                </w:rPr>
              </m:ctrlPr>
            </m:sSubPr>
            <m:e>
              <m:r>
                <w:rPr>
                  <w:rFonts w:ascii="Cambria Math" w:hAnsi="Cambria Math"/>
                  <w:noProof/>
                  <w:lang w:val="cs-CZ"/>
                </w:rPr>
                <m:t>v</m:t>
              </m:r>
            </m:e>
            <m:sub>
              <m:sSub>
                <m:sSubPr>
                  <m:ctrlPr>
                    <w:rPr>
                      <w:rFonts w:ascii="Cambria Math" w:hAnsi="Cambria Math"/>
                      <w:i/>
                      <w:noProof/>
                      <w:lang w:val="cs-CZ"/>
                    </w:rPr>
                  </m:ctrlPr>
                </m:sSubPr>
                <m:e>
                  <m:r>
                    <w:rPr>
                      <w:rFonts w:ascii="Cambria Math" w:hAnsi="Cambria Math"/>
                      <w:noProof/>
                      <w:lang w:val="cs-CZ"/>
                    </w:rPr>
                    <m:t>L</m:t>
                  </m:r>
                </m:e>
                <m:sub>
                  <m:r>
                    <w:rPr>
                      <w:rFonts w:ascii="Cambria Math" w:hAnsi="Cambria Math"/>
                      <w:noProof/>
                      <w:lang w:val="cs-CZ"/>
                    </w:rPr>
                    <m:t>IST</m:t>
                  </m:r>
                </m:sub>
              </m:sSub>
              <m:r>
                <w:rPr>
                  <w:rFonts w:ascii="Cambria Math" w:hAnsi="Cambria Math"/>
                  <w:noProof/>
                  <w:lang w:val="cs-CZ"/>
                </w:rPr>
                <m:t xml:space="preserve"> </m:t>
              </m:r>
            </m:sub>
          </m:sSub>
          <m:r>
            <w:rPr>
              <w:rFonts w:ascii="Cambria Math" w:hAnsi="Cambria Math"/>
              <w:noProof/>
              <w:lang w:val="cs-CZ"/>
            </w:rPr>
            <m:t xml:space="preserve"> ∙ </m:t>
          </m:r>
          <m:sSub>
            <m:sSubPr>
              <m:ctrlPr>
                <w:rPr>
                  <w:rFonts w:ascii="Cambria Math" w:hAnsi="Cambria Math"/>
                  <w:i/>
                  <w:noProof/>
                  <w:lang w:val="cs-CZ"/>
                </w:rPr>
              </m:ctrlPr>
            </m:sSubPr>
            <m:e>
              <m:r>
                <w:rPr>
                  <w:rFonts w:ascii="Cambria Math" w:hAnsi="Cambria Math"/>
                  <w:noProof/>
                  <w:lang w:val="cs-CZ"/>
                </w:rPr>
                <m:t>t</m:t>
              </m:r>
            </m:e>
            <m:sub>
              <m:sSub>
                <m:sSubPr>
                  <m:ctrlPr>
                    <w:rPr>
                      <w:rFonts w:ascii="Cambria Math" w:hAnsi="Cambria Math"/>
                      <w:i/>
                      <w:noProof/>
                      <w:lang w:val="cs-CZ"/>
                    </w:rPr>
                  </m:ctrlPr>
                </m:sSubPr>
                <m:e>
                  <m:r>
                    <w:rPr>
                      <w:rFonts w:ascii="Cambria Math" w:hAnsi="Cambria Math"/>
                      <w:noProof/>
                      <w:lang w:val="cs-CZ"/>
                    </w:rPr>
                    <m:t>I</m:t>
                  </m:r>
                </m:e>
                <m:sub>
                  <m:r>
                    <w:rPr>
                      <w:rFonts w:ascii="Cambria Math" w:hAnsi="Cambria Math"/>
                      <w:noProof/>
                      <w:lang w:val="cs-CZ"/>
                    </w:rPr>
                    <m:t>IST</m:t>
                  </m:r>
                </m:sub>
              </m:sSub>
            </m:sub>
          </m:sSub>
        </m:oMath>
      </m:oMathPara>
    </w:p>
    <w:p w:rsidR="003B6E11" w:rsidRPr="003B6E11" w:rsidRDefault="002D015D" w:rsidP="003B6E11">
      <w:pPr>
        <w:tabs>
          <w:tab w:val="left" w:pos="992"/>
          <w:tab w:val="left" w:pos="1560"/>
          <w:tab w:val="left" w:pos="1985"/>
        </w:tabs>
        <w:overflowPunct w:val="0"/>
        <w:adjustRightInd w:val="0"/>
        <w:spacing w:before="60" w:line="240" w:lineRule="atLeast"/>
        <w:ind w:left="992" w:firstLine="1"/>
        <w:textAlignment w:val="baseline"/>
        <w:rPr>
          <w:szCs w:val="20"/>
          <w:lang w:val="cs-CZ"/>
        </w:rPr>
      </w:pPr>
      <m:oMathPara>
        <m:oMathParaPr>
          <m:jc m:val="left"/>
        </m:oMathParaP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m:t>
                  </m:r>
                </m:sub>
              </m:sSub>
            </m:e>
            <m:sub>
              <m:r>
                <w:rPr>
                  <w:rFonts w:ascii="Cambria Math" w:hAnsi="Cambria Math"/>
                  <w:noProof/>
                  <w:lang w:val="cs-CZ"/>
                </w:rPr>
                <m:t>IST</m:t>
              </m:r>
            </m:sub>
          </m:sSub>
          <m:r>
            <w:rPr>
              <w:rFonts w:ascii="Cambria Math" w:hAnsi="Cambria Math"/>
              <w:noProof/>
              <w:lang w:val="cs-CZ"/>
            </w:rPr>
            <m:t>=0,95 ∙4,8 ∙16=73 m</m:t>
          </m:r>
        </m:oMath>
      </m:oMathPara>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992"/>
        </w:tabs>
        <w:overflowPunct w:val="0"/>
        <w:adjustRightInd w:val="0"/>
        <w:spacing w:line="240" w:lineRule="atLeast"/>
        <w:ind w:left="992"/>
        <w:textAlignment w:val="baseline"/>
        <w:rPr>
          <w:szCs w:val="20"/>
          <w:lang w:val="cs-CZ"/>
        </w:rPr>
      </w:pPr>
      <w:r w:rsidRPr="003B6E11">
        <w:rPr>
          <w:lang w:val="cs-CZ"/>
        </w:rPr>
        <w:t>b)</w:t>
      </w:r>
      <w:r w:rsidRPr="003B6E11">
        <w:rPr>
          <w:lang w:val="cs-CZ"/>
        </w:rPr>
        <w:tab/>
        <w:t xml:space="preserve">Vzorec pro </w:t>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II</m:t>
                </m:r>
              </m:sub>
            </m:sSub>
          </m:e>
          <m:sub>
            <m:r>
              <w:rPr>
                <w:rFonts w:ascii="Cambria Math" w:hAnsi="Cambria Math"/>
                <w:noProof/>
                <w:lang w:val="cs-CZ"/>
              </w:rPr>
              <m:t>IST</m:t>
            </m:r>
          </m:sub>
        </m:sSub>
      </m:oMath>
    </w:p>
    <w:p w:rsidR="003B6E11" w:rsidRPr="003B6E11" w:rsidRDefault="002D015D" w:rsidP="003B6E11">
      <w:pPr>
        <w:tabs>
          <w:tab w:val="left" w:pos="992"/>
          <w:tab w:val="left" w:pos="1560"/>
          <w:tab w:val="left" w:pos="1985"/>
        </w:tabs>
        <w:overflowPunct w:val="0"/>
        <w:adjustRightInd w:val="0"/>
        <w:spacing w:before="60" w:line="240" w:lineRule="atLeast"/>
        <w:ind w:left="992" w:firstLine="1"/>
        <w:textAlignment w:val="baseline"/>
        <w:rPr>
          <w:szCs w:val="20"/>
          <w:lang w:val="cs-CZ"/>
        </w:rPr>
      </w:pPr>
      <m:oMathPara>
        <m:oMathParaPr>
          <m:jc m:val="left"/>
        </m:oMathParaP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II</m:t>
                  </m:r>
                </m:sub>
              </m:sSub>
            </m:e>
            <m:sub>
              <m:r>
                <w:rPr>
                  <w:rFonts w:ascii="Cambria Math" w:hAnsi="Cambria Math"/>
                  <w:noProof/>
                  <w:lang w:val="cs-CZ"/>
                </w:rPr>
                <m:t>IST</m:t>
              </m:r>
            </m:sub>
          </m:sSub>
          <m:r>
            <w:rPr>
              <w:rFonts w:ascii="Cambria Math" w:hAnsi="Cambria Math"/>
              <w:noProof/>
              <w:lang w:val="cs-CZ"/>
            </w:rPr>
            <m:t xml:space="preserve">= </m:t>
          </m:r>
          <m:sSub>
            <m:sSubPr>
              <m:ctrlPr>
                <w:rPr>
                  <w:rFonts w:ascii="Cambria Math" w:hAnsi="Cambria Math"/>
                  <w:i/>
                  <w:noProof/>
                  <w:lang w:val="cs-CZ"/>
                </w:rPr>
              </m:ctrlPr>
            </m:sSubPr>
            <m:e>
              <m:r>
                <w:rPr>
                  <w:rFonts w:ascii="Cambria Math" w:hAnsi="Cambria Math"/>
                  <w:noProof/>
                  <w:lang w:val="cs-CZ"/>
                </w:rPr>
                <m:t>k</m:t>
              </m:r>
            </m:e>
            <m:sub>
              <m:r>
                <w:rPr>
                  <w:rFonts w:ascii="Cambria Math" w:hAnsi="Cambria Math"/>
                  <w:noProof/>
                  <w:lang w:val="cs-CZ"/>
                </w:rPr>
                <m:t>2</m:t>
              </m:r>
            </m:sub>
          </m:sSub>
          <m:r>
            <w:rPr>
              <w:rFonts w:ascii="Cambria Math" w:hAnsi="Cambria Math"/>
              <w:noProof/>
              <w:lang w:val="cs-CZ"/>
            </w:rPr>
            <m:t xml:space="preserve"> ∙ </m:t>
          </m:r>
          <m:sSub>
            <m:sSubPr>
              <m:ctrlPr>
                <w:rPr>
                  <w:rFonts w:ascii="Cambria Math" w:hAnsi="Cambria Math"/>
                  <w:i/>
                  <w:noProof/>
                  <w:lang w:val="cs-CZ"/>
                </w:rPr>
              </m:ctrlPr>
            </m:sSubPr>
            <m:e>
              <m:sSup>
                <m:sSupPr>
                  <m:ctrlPr>
                    <w:rPr>
                      <w:rFonts w:ascii="Cambria Math" w:hAnsi="Cambria Math"/>
                      <w:i/>
                      <w:noProof/>
                      <w:lang w:val="cs-CZ"/>
                    </w:rPr>
                  </m:ctrlPr>
                </m:sSupPr>
                <m:e>
                  <m:r>
                    <w:rPr>
                      <w:rFonts w:ascii="Cambria Math" w:hAnsi="Cambria Math"/>
                      <w:noProof/>
                      <w:lang w:val="cs-CZ"/>
                    </w:rPr>
                    <m:t>v</m:t>
                  </m:r>
                </m:e>
                <m:sup>
                  <m:r>
                    <w:rPr>
                      <w:rFonts w:ascii="Cambria Math" w:hAnsi="Cambria Math"/>
                      <w:noProof/>
                      <w:lang w:val="cs-CZ"/>
                    </w:rPr>
                    <m:t>2</m:t>
                  </m:r>
                </m:sup>
              </m:sSup>
            </m:e>
            <m:sub>
              <m:sSub>
                <m:sSubPr>
                  <m:ctrlPr>
                    <w:rPr>
                      <w:rFonts w:ascii="Cambria Math" w:hAnsi="Cambria Math"/>
                      <w:i/>
                      <w:noProof/>
                      <w:lang w:val="cs-CZ"/>
                    </w:rPr>
                  </m:ctrlPr>
                </m:sSubPr>
                <m:e>
                  <m:r>
                    <w:rPr>
                      <w:rFonts w:ascii="Cambria Math" w:hAnsi="Cambria Math"/>
                      <w:noProof/>
                      <w:lang w:val="cs-CZ"/>
                    </w:rPr>
                    <m:t>II</m:t>
                  </m:r>
                </m:e>
                <m:sub>
                  <m:r>
                    <w:rPr>
                      <w:rFonts w:ascii="Cambria Math" w:hAnsi="Cambria Math"/>
                      <w:noProof/>
                      <w:lang w:val="cs-CZ"/>
                    </w:rPr>
                    <m:t>IST</m:t>
                  </m:r>
                </m:sub>
              </m:sSub>
              <m:r>
                <w:rPr>
                  <w:rFonts w:ascii="Cambria Math" w:hAnsi="Cambria Math"/>
                  <w:noProof/>
                  <w:lang w:val="cs-CZ"/>
                </w:rPr>
                <m:t xml:space="preserve"> </m:t>
              </m:r>
            </m:sub>
          </m:sSub>
          <m:r>
            <w:rPr>
              <w:rFonts w:ascii="Cambria Math" w:hAnsi="Cambria Math"/>
              <w:noProof/>
              <w:lang w:val="cs-CZ"/>
            </w:rPr>
            <m:t xml:space="preserve"> ∙  </m:t>
          </m:r>
          <m:f>
            <m:fPr>
              <m:ctrlPr>
                <w:rPr>
                  <w:rFonts w:ascii="Cambria Math" w:hAnsi="Cambria Math"/>
                  <w:i/>
                  <w:noProof/>
                  <w:lang w:val="cs-CZ"/>
                </w:rPr>
              </m:ctrlPr>
            </m:fPr>
            <m:num>
              <m:sSub>
                <m:sSubPr>
                  <m:ctrlPr>
                    <w:rPr>
                      <w:rFonts w:ascii="Cambria Math" w:hAnsi="Cambria Math"/>
                      <w:i/>
                      <w:noProof/>
                      <w:lang w:val="cs-CZ"/>
                    </w:rPr>
                  </m:ctrlPr>
                </m:sSubPr>
                <m:e>
                  <m:r>
                    <w:rPr>
                      <w:rFonts w:ascii="Cambria Math" w:hAnsi="Cambria Math"/>
                      <w:noProof/>
                      <w:lang w:val="cs-CZ"/>
                    </w:rPr>
                    <m:t>D</m:t>
                  </m:r>
                </m:e>
                <m:sub>
                  <m:r>
                    <w:rPr>
                      <w:rFonts w:ascii="Cambria Math" w:hAnsi="Cambria Math"/>
                      <w:noProof/>
                      <w:lang w:val="cs-CZ"/>
                    </w:rPr>
                    <m:t>IST</m:t>
                  </m:r>
                </m:sub>
              </m:sSub>
              <m:r>
                <w:rPr>
                  <w:rFonts w:ascii="Cambria Math" w:hAnsi="Cambria Math"/>
                  <w:noProof/>
                  <w:lang w:val="cs-CZ"/>
                </w:rPr>
                <m:t xml:space="preserve"> ∙g</m:t>
              </m:r>
            </m:num>
            <m:den>
              <m:sSub>
                <m:sSubPr>
                  <m:ctrlPr>
                    <w:rPr>
                      <w:rFonts w:ascii="Cambria Math" w:hAnsi="Cambria Math"/>
                      <w:i/>
                      <w:noProof/>
                      <w:lang w:val="cs-CZ"/>
                    </w:rPr>
                  </m:ctrlPr>
                </m:sSubPr>
                <m:e>
                  <m:r>
                    <w:rPr>
                      <w:rFonts w:ascii="Cambria Math" w:hAnsi="Cambria Math"/>
                      <w:noProof/>
                      <w:lang w:val="cs-CZ"/>
                    </w:rPr>
                    <m:t>k</m:t>
                  </m:r>
                </m:e>
                <m:sub>
                  <m:r>
                    <w:rPr>
                      <w:rFonts w:ascii="Cambria Math" w:hAnsi="Cambria Math"/>
                      <w:noProof/>
                      <w:lang w:val="cs-CZ"/>
                    </w:rPr>
                    <m:t>3</m:t>
                  </m:r>
                </m:sub>
              </m:sSub>
              <m:r>
                <w:rPr>
                  <w:rFonts w:ascii="Cambria Math" w:hAnsi="Cambria Math"/>
                  <w:noProof/>
                  <w:lang w:val="cs-CZ"/>
                </w:rPr>
                <m:t xml:space="preserve"> ∙ </m:t>
              </m:r>
              <m:sSub>
                <m:sSubPr>
                  <m:ctrlPr>
                    <w:rPr>
                      <w:rFonts w:ascii="Cambria Math" w:hAnsi="Cambria Math"/>
                      <w:i/>
                      <w:noProof/>
                      <w:lang w:val="cs-CZ"/>
                    </w:rPr>
                  </m:ctrlPr>
                </m:sSubPr>
                <m:e>
                  <m:r>
                    <w:rPr>
                      <w:rFonts w:ascii="Cambria Math" w:hAnsi="Cambria Math"/>
                      <w:noProof/>
                      <w:lang w:val="cs-CZ"/>
                    </w:rPr>
                    <m:t>F</m:t>
                  </m:r>
                </m:e>
                <m:sub>
                  <m:r>
                    <w:rPr>
                      <w:rFonts w:ascii="Cambria Math" w:hAnsi="Cambria Math"/>
                      <w:noProof/>
                      <w:lang w:val="cs-CZ"/>
                    </w:rPr>
                    <m:t>POR</m:t>
                  </m:r>
                </m:sub>
              </m:sSub>
              <m:r>
                <w:rPr>
                  <w:rFonts w:ascii="Cambria Math" w:hAnsi="Cambria Math"/>
                  <w:noProof/>
                  <w:lang w:val="cs-CZ"/>
                </w:rPr>
                <m:t xml:space="preserve">+ </m:t>
              </m:r>
              <m:sSub>
                <m:sSubPr>
                  <m:ctrlPr>
                    <w:rPr>
                      <w:rFonts w:ascii="Cambria Math" w:hAnsi="Cambria Math"/>
                      <w:i/>
                      <w:noProof/>
                      <w:lang w:val="cs-CZ"/>
                    </w:rPr>
                  </m:ctrlPr>
                </m:sSubPr>
                <m:e>
                  <m:r>
                    <w:rPr>
                      <w:rFonts w:ascii="Cambria Math" w:hAnsi="Cambria Math"/>
                      <w:noProof/>
                      <w:lang w:val="cs-CZ"/>
                    </w:rPr>
                    <m:t>R</m:t>
                  </m:r>
                </m:e>
                <m:sub>
                  <m:sSub>
                    <m:sSubPr>
                      <m:ctrlPr>
                        <w:rPr>
                          <w:rFonts w:ascii="Cambria Math" w:hAnsi="Cambria Math"/>
                          <w:i/>
                          <w:noProof/>
                          <w:lang w:val="cs-CZ"/>
                        </w:rPr>
                      </m:ctrlPr>
                    </m:sSubPr>
                    <m:e>
                      <m:r>
                        <w:rPr>
                          <w:rFonts w:ascii="Cambria Math" w:hAnsi="Cambria Math"/>
                          <w:noProof/>
                          <w:lang w:val="cs-CZ"/>
                        </w:rPr>
                        <m:t>TmII</m:t>
                      </m:r>
                    </m:e>
                    <m:sub>
                      <m:r>
                        <w:rPr>
                          <w:rFonts w:ascii="Cambria Math" w:hAnsi="Cambria Math"/>
                          <w:noProof/>
                          <w:lang w:val="cs-CZ"/>
                        </w:rPr>
                        <m:t>IST</m:t>
                      </m:r>
                    </m:sub>
                  </m:sSub>
                </m:sub>
              </m:sSub>
              <m:r>
                <w:rPr>
                  <w:rFonts w:ascii="Cambria Math" w:hAnsi="Cambria Math"/>
                  <w:noProof/>
                  <w:lang w:val="cs-CZ"/>
                </w:rPr>
                <m:t xml:space="preserve"> - </m:t>
              </m:r>
              <m:sSub>
                <m:sSubPr>
                  <m:ctrlPr>
                    <w:rPr>
                      <w:rFonts w:ascii="Cambria Math" w:hAnsi="Cambria Math"/>
                      <w:i/>
                      <w:noProof/>
                      <w:lang w:val="cs-CZ"/>
                    </w:rPr>
                  </m:ctrlPr>
                </m:sSubPr>
                <m:e>
                  <m:r>
                    <w:rPr>
                      <w:rFonts w:ascii="Cambria Math" w:hAnsi="Cambria Math"/>
                      <w:noProof/>
                      <w:lang w:val="cs-CZ"/>
                    </w:rPr>
                    <m:t>R</m:t>
                  </m:r>
                </m:e>
                <m:sub>
                  <m:r>
                    <w:rPr>
                      <w:rFonts w:ascii="Cambria Math" w:hAnsi="Cambria Math"/>
                      <w:noProof/>
                      <w:lang w:val="cs-CZ"/>
                    </w:rPr>
                    <m:t>G</m:t>
                  </m:r>
                </m:sub>
              </m:sSub>
            </m:den>
          </m:f>
          <m:r>
            <w:rPr>
              <w:rFonts w:ascii="Cambria Math" w:hAnsi="Cambria Math"/>
              <w:noProof/>
              <w:lang w:val="cs-CZ"/>
            </w:rPr>
            <m:t xml:space="preserve"> ∙  </m:t>
          </m:r>
          <m:d>
            <m:dPr>
              <m:ctrlPr>
                <w:rPr>
                  <w:rFonts w:ascii="Cambria Math" w:hAnsi="Cambria Math"/>
                  <w:i/>
                  <w:noProof/>
                  <w:lang w:val="cs-CZ"/>
                </w:rPr>
              </m:ctrlPr>
            </m:dPr>
            <m:e>
              <m:sSub>
                <m:sSubPr>
                  <m:ctrlPr>
                    <w:rPr>
                      <w:rFonts w:ascii="Cambria Math" w:hAnsi="Cambria Math"/>
                      <w:i/>
                      <w:noProof/>
                      <w:lang w:val="cs-CZ"/>
                    </w:rPr>
                  </m:ctrlPr>
                </m:sSubPr>
                <m:e>
                  <m:r>
                    <w:rPr>
                      <w:rFonts w:ascii="Cambria Math" w:hAnsi="Cambria Math"/>
                      <w:noProof/>
                      <w:lang w:val="cs-CZ"/>
                    </w:rPr>
                    <m:t>k</m:t>
                  </m:r>
                </m:e>
                <m:sub>
                  <m:r>
                    <w:rPr>
                      <w:rFonts w:ascii="Cambria Math" w:hAnsi="Cambria Math"/>
                      <w:noProof/>
                      <w:lang w:val="cs-CZ"/>
                    </w:rPr>
                    <m:t>4</m:t>
                  </m:r>
                </m:sub>
              </m:sSub>
              <m:r>
                <w:rPr>
                  <w:rFonts w:ascii="Cambria Math" w:hAnsi="Cambria Math"/>
                  <w:noProof/>
                  <w:lang w:val="cs-CZ"/>
                </w:rPr>
                <m:t xml:space="preserve"> + </m:t>
              </m:r>
              <m:f>
                <m:fPr>
                  <m:ctrlPr>
                    <w:rPr>
                      <w:rFonts w:ascii="Cambria Math" w:hAnsi="Cambria Math"/>
                      <w:i/>
                      <w:noProof/>
                      <w:lang w:val="cs-CZ"/>
                    </w:rPr>
                  </m:ctrlPr>
                </m:fPr>
                <m:num>
                  <m:sSub>
                    <m:sSubPr>
                      <m:ctrlPr>
                        <w:rPr>
                          <w:rFonts w:ascii="Cambria Math" w:hAnsi="Cambria Math"/>
                          <w:i/>
                          <w:noProof/>
                          <w:lang w:val="cs-CZ"/>
                        </w:rPr>
                      </m:ctrlPr>
                    </m:sSubPr>
                    <m:e>
                      <m:r>
                        <w:rPr>
                          <w:rFonts w:ascii="Cambria Math" w:hAnsi="Cambria Math"/>
                          <w:noProof/>
                          <w:lang w:val="cs-CZ"/>
                        </w:rPr>
                        <m:t>v</m:t>
                      </m:r>
                    </m:e>
                    <m:sub>
                      <m:sSub>
                        <m:sSubPr>
                          <m:ctrlPr>
                            <w:rPr>
                              <w:rFonts w:ascii="Cambria Math" w:hAnsi="Cambria Math"/>
                              <w:i/>
                              <w:noProof/>
                              <w:lang w:val="cs-CZ"/>
                            </w:rPr>
                          </m:ctrlPr>
                        </m:sSubPr>
                        <m:e>
                          <m:r>
                            <w:rPr>
                              <w:rFonts w:ascii="Cambria Math" w:hAnsi="Cambria Math"/>
                              <w:noProof/>
                              <w:lang w:val="cs-CZ"/>
                            </w:rPr>
                            <m:t>STR</m:t>
                          </m:r>
                        </m:e>
                        <m:sub>
                          <m:r>
                            <w:rPr>
                              <w:rFonts w:ascii="Cambria Math" w:hAnsi="Cambria Math"/>
                              <w:noProof/>
                              <w:lang w:val="cs-CZ"/>
                            </w:rPr>
                            <m:t>IST</m:t>
                          </m:r>
                        </m:sub>
                      </m:sSub>
                    </m:sub>
                  </m:sSub>
                </m:num>
                <m:den>
                  <m:sSub>
                    <m:sSubPr>
                      <m:ctrlPr>
                        <w:rPr>
                          <w:rFonts w:ascii="Cambria Math" w:hAnsi="Cambria Math"/>
                          <w:i/>
                          <w:noProof/>
                          <w:lang w:val="cs-CZ"/>
                        </w:rPr>
                      </m:ctrlPr>
                    </m:sSubPr>
                    <m:e>
                      <m:r>
                        <w:rPr>
                          <w:rFonts w:ascii="Cambria Math" w:hAnsi="Cambria Math"/>
                          <w:noProof/>
                          <w:lang w:val="cs-CZ"/>
                        </w:rPr>
                        <m:t>v</m:t>
                      </m:r>
                    </m:e>
                    <m:sub>
                      <m:sSub>
                        <m:sSubPr>
                          <m:ctrlPr>
                            <w:rPr>
                              <w:rFonts w:ascii="Cambria Math" w:hAnsi="Cambria Math"/>
                              <w:i/>
                              <w:noProof/>
                              <w:lang w:val="cs-CZ"/>
                            </w:rPr>
                          </m:ctrlPr>
                        </m:sSubPr>
                        <m:e>
                          <m:r>
                            <w:rPr>
                              <w:rFonts w:ascii="Cambria Math" w:hAnsi="Cambria Math"/>
                              <w:noProof/>
                              <w:lang w:val="cs-CZ"/>
                            </w:rPr>
                            <m:t>II</m:t>
                          </m:r>
                        </m:e>
                        <m:sub>
                          <m:r>
                            <w:rPr>
                              <w:rFonts w:ascii="Cambria Math" w:hAnsi="Cambria Math"/>
                              <w:noProof/>
                              <w:lang w:val="cs-CZ"/>
                            </w:rPr>
                            <m:t>IST</m:t>
                          </m:r>
                        </m:sub>
                      </m:sSub>
                    </m:sub>
                  </m:sSub>
                </m:den>
              </m:f>
            </m:e>
          </m:d>
        </m:oMath>
      </m:oMathPara>
    </w:p>
    <w:p w:rsidR="003B6E11" w:rsidRPr="003B6E11" w:rsidRDefault="003B6E11" w:rsidP="003B6E11">
      <w:pPr>
        <w:tabs>
          <w:tab w:val="left" w:pos="284"/>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992"/>
        </w:tabs>
        <w:overflowPunct w:val="0"/>
        <w:adjustRightInd w:val="0"/>
        <w:spacing w:line="240" w:lineRule="atLeast"/>
        <w:ind w:left="992"/>
        <w:textAlignment w:val="baseline"/>
        <w:rPr>
          <w:szCs w:val="20"/>
          <w:lang w:val="cs-CZ"/>
        </w:rPr>
      </w:pPr>
      <w:r w:rsidRPr="003B6E11">
        <w:rPr>
          <w:lang w:val="cs-CZ"/>
        </w:rPr>
        <w:t>c)</w:t>
      </w:r>
      <w:r w:rsidRPr="003B6E11">
        <w:rPr>
          <w:lang w:val="cs-CZ"/>
        </w:rPr>
        <w:tab/>
        <w:t xml:space="preserve">Výpočet </w:t>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R</m:t>
                </m:r>
              </m:e>
              <m:sub>
                <m:r>
                  <w:rPr>
                    <w:rFonts w:ascii="Cambria Math" w:hAnsi="Cambria Math"/>
                    <w:noProof/>
                    <w:lang w:val="cs-CZ"/>
                  </w:rPr>
                  <m:t>TmII</m:t>
                </m:r>
              </m:sub>
            </m:sSub>
          </m:e>
          <m:sub>
            <m:r>
              <w:rPr>
                <w:rFonts w:ascii="Cambria Math" w:hAnsi="Cambria Math"/>
                <w:noProof/>
                <w:lang w:val="cs-CZ"/>
              </w:rPr>
              <m:t>IST</m:t>
            </m:r>
          </m:sub>
        </m:sSub>
      </m:oMath>
      <w:r w:rsidRPr="003B6E11">
        <w:rPr>
          <w:lang w:val="cs-CZ"/>
        </w:rPr>
        <w:t xml:space="preserve"> podle tabulky 3 a vzorce (4.3) v příloze 2</w:t>
      </w:r>
    </w:p>
    <w:p w:rsidR="003B6E11" w:rsidRPr="003B6E11" w:rsidRDefault="002D015D" w:rsidP="003B6E11">
      <w:pPr>
        <w:tabs>
          <w:tab w:val="left" w:pos="992"/>
        </w:tabs>
        <w:overflowPunct w:val="0"/>
        <w:adjustRightInd w:val="0"/>
        <w:spacing w:before="120" w:line="240" w:lineRule="atLeast"/>
        <w:ind w:left="992" w:firstLine="1"/>
        <w:textAlignment w:val="baseline"/>
        <w:rPr>
          <w:szCs w:val="20"/>
          <w:lang w:val="cs-CZ"/>
        </w:rPr>
      </w:pPr>
      <m:oMathPara>
        <m:oMathParaPr>
          <m:jc m:val="left"/>
        </m:oMathParaPr>
        <m:oMath>
          <m:sSup>
            <m:sSupPr>
              <m:ctrlPr>
                <w:rPr>
                  <w:rFonts w:ascii="Cambria Math" w:hAnsi="Cambria Math"/>
                  <w:i/>
                  <w:szCs w:val="20"/>
                  <w:lang w:val="cs-CZ"/>
                </w:rPr>
              </m:ctrlPr>
            </m:sSupPr>
            <m:e>
              <m:sSub>
                <m:sSubPr>
                  <m:ctrlPr>
                    <w:rPr>
                      <w:rFonts w:ascii="Cambria Math" w:hAnsi="Cambria Math"/>
                      <w:i/>
                      <w:szCs w:val="20"/>
                      <w:lang w:val="cs-CZ"/>
                    </w:rPr>
                  </m:ctrlPr>
                </m:sSubPr>
                <m:e>
                  <m:r>
                    <w:rPr>
                      <w:rFonts w:ascii="Cambria Math" w:hAnsi="Cambria Math"/>
                      <w:szCs w:val="20"/>
                      <w:lang w:val="cs-CZ"/>
                    </w:rPr>
                    <m:t>D</m:t>
                  </m:r>
                </m:e>
                <m:sub>
                  <m:r>
                    <w:rPr>
                      <w:rFonts w:ascii="Cambria Math" w:hAnsi="Cambria Math"/>
                      <w:szCs w:val="20"/>
                      <w:lang w:val="cs-CZ"/>
                    </w:rPr>
                    <m:t>IST</m:t>
                  </m:r>
                </m:sub>
              </m:sSub>
            </m:e>
            <m:sup>
              <m:r>
                <w:rPr>
                  <w:rFonts w:ascii="Cambria Math" w:hAnsi="Cambria Math"/>
                  <w:szCs w:val="20"/>
                  <w:lang w:val="cs-CZ"/>
                </w:rPr>
                <m:t>1/3</m:t>
              </m:r>
            </m:sup>
          </m:sSup>
          <m:r>
            <w:rPr>
              <w:rFonts w:ascii="Cambria Math" w:hAnsi="Cambria Math"/>
              <w:szCs w:val="20"/>
              <w:lang w:val="cs-CZ"/>
            </w:rPr>
            <m:t xml:space="preserve">= </m:t>
          </m:r>
          <m:sSup>
            <m:sSupPr>
              <m:ctrlPr>
                <w:rPr>
                  <w:rFonts w:ascii="Cambria Math" w:hAnsi="Cambria Math"/>
                  <w:i/>
                  <w:szCs w:val="20"/>
                  <w:lang w:val="cs-CZ"/>
                </w:rPr>
              </m:ctrlPr>
            </m:sSupPr>
            <m:e>
              <m:r>
                <w:rPr>
                  <w:rFonts w:ascii="Cambria Math" w:hAnsi="Cambria Math"/>
                  <w:szCs w:val="20"/>
                  <w:lang w:val="cs-CZ"/>
                </w:rPr>
                <m:t>9568</m:t>
              </m:r>
            </m:e>
            <m:sup>
              <m:r>
                <w:rPr>
                  <w:rFonts w:ascii="Cambria Math" w:hAnsi="Cambria Math"/>
                  <w:szCs w:val="20"/>
                  <w:lang w:val="cs-CZ"/>
                </w:rPr>
                <m:t>1/3</m:t>
              </m:r>
            </m:sup>
          </m:sSup>
          <m:r>
            <w:rPr>
              <w:rFonts w:ascii="Cambria Math" w:hAnsi="Cambria Math"/>
              <w:szCs w:val="20"/>
              <w:lang w:val="cs-CZ"/>
            </w:rPr>
            <m:t xml:space="preserve">=21,2 </m:t>
          </m:r>
          <m:d>
            <m:dPr>
              <m:begChr m:val="["/>
              <m:endChr m:val="]"/>
              <m:ctrlPr>
                <w:rPr>
                  <w:rFonts w:ascii="Cambria Math" w:hAnsi="Cambria Math"/>
                  <w:i/>
                  <w:szCs w:val="20"/>
                  <w:lang w:val="cs-CZ"/>
                </w:rPr>
              </m:ctrlPr>
            </m:dPr>
            <m:e>
              <m:r>
                <w:rPr>
                  <w:rFonts w:ascii="Cambria Math" w:hAnsi="Cambria Math"/>
                  <w:szCs w:val="20"/>
                  <w:lang w:val="cs-CZ"/>
                </w:rPr>
                <m:t>m</m:t>
              </m:r>
            </m:e>
          </m:d>
        </m:oMath>
      </m:oMathPara>
    </w:p>
    <w:p w:rsidR="003B6E11" w:rsidRPr="003B6E11" w:rsidRDefault="002D015D" w:rsidP="003B6E11">
      <w:pPr>
        <w:tabs>
          <w:tab w:val="left" w:pos="992"/>
        </w:tabs>
        <w:overflowPunct w:val="0"/>
        <w:adjustRightInd w:val="0"/>
        <w:spacing w:before="120" w:line="240" w:lineRule="atLeast"/>
        <w:ind w:left="992" w:firstLine="1"/>
        <w:textAlignment w:val="baseline"/>
        <w:rPr>
          <w:szCs w:val="20"/>
          <w:lang w:val="cs-CZ"/>
        </w:rPr>
      </w:pPr>
      <m:oMathPara>
        <m:oMathParaPr>
          <m:jc m:val="left"/>
        </m:oMathParaPr>
        <m:oMath>
          <m:sSup>
            <m:sSupPr>
              <m:ctrlPr>
                <w:rPr>
                  <w:rFonts w:ascii="Cambria Math" w:hAnsi="Cambria Math"/>
                  <w:i/>
                  <w:szCs w:val="20"/>
                  <w:lang w:val="cs-CZ"/>
                </w:rPr>
              </m:ctrlPr>
            </m:sSupPr>
            <m:e>
              <m:sSub>
                <m:sSubPr>
                  <m:ctrlPr>
                    <w:rPr>
                      <w:rFonts w:ascii="Cambria Math" w:hAnsi="Cambria Math"/>
                      <w:i/>
                      <w:szCs w:val="20"/>
                      <w:lang w:val="cs-CZ"/>
                    </w:rPr>
                  </m:ctrlPr>
                </m:sSubPr>
                <m:e>
                  <m:r>
                    <w:rPr>
                      <w:rFonts w:ascii="Cambria Math" w:hAnsi="Cambria Math"/>
                      <w:szCs w:val="20"/>
                      <w:lang w:val="cs-CZ"/>
                    </w:rPr>
                    <m:t>D</m:t>
                  </m:r>
                </m:e>
                <m:sub>
                  <m:r>
                    <w:rPr>
                      <w:rFonts w:ascii="Cambria Math" w:hAnsi="Cambria Math"/>
                      <w:szCs w:val="20"/>
                      <w:lang w:val="cs-CZ"/>
                    </w:rPr>
                    <m:t>IST</m:t>
                  </m:r>
                </m:sub>
              </m:sSub>
            </m:e>
            <m:sup>
              <m:r>
                <w:rPr>
                  <w:rFonts w:ascii="Cambria Math" w:hAnsi="Cambria Math"/>
                  <w:szCs w:val="20"/>
                  <w:lang w:val="cs-CZ"/>
                </w:rPr>
                <m:t>1/3</m:t>
              </m:r>
            </m:sup>
          </m:sSup>
          <m:r>
            <w:rPr>
              <w:rFonts w:ascii="Cambria Math" w:hAnsi="Cambria Math"/>
              <w:szCs w:val="20"/>
              <w:lang w:val="cs-CZ"/>
            </w:rPr>
            <m:t xml:space="preserve">∙ </m:t>
          </m:r>
          <m:d>
            <m:dPr>
              <m:ctrlPr>
                <w:rPr>
                  <w:rFonts w:ascii="Cambria Math" w:hAnsi="Cambria Math"/>
                  <w:i/>
                  <w:szCs w:val="20"/>
                  <w:lang w:val="cs-CZ"/>
                </w:rPr>
              </m:ctrlPr>
            </m:dPr>
            <m:e>
              <m:r>
                <w:rPr>
                  <w:rFonts w:ascii="Cambria Math" w:hAnsi="Cambria Math"/>
                  <w:szCs w:val="20"/>
                  <w:lang w:val="cs-CZ"/>
                </w:rPr>
                <m:t xml:space="preserve">B+2 ∙ </m:t>
              </m:r>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IST</m:t>
                  </m:r>
                </m:sub>
              </m:sSub>
            </m:e>
          </m:d>
          <m:r>
            <w:rPr>
              <w:rFonts w:ascii="Cambria Math" w:hAnsi="Cambria Math"/>
              <w:szCs w:val="20"/>
              <w:lang w:val="cs-CZ"/>
            </w:rPr>
            <m:t xml:space="preserve">=21,2 ∙ </m:t>
          </m:r>
          <m:d>
            <m:dPr>
              <m:ctrlPr>
                <w:rPr>
                  <w:rFonts w:ascii="Cambria Math" w:hAnsi="Cambria Math"/>
                  <w:i/>
                  <w:szCs w:val="20"/>
                  <w:lang w:val="cs-CZ"/>
                </w:rPr>
              </m:ctrlPr>
            </m:dPr>
            <m:e>
              <m:r>
                <w:rPr>
                  <w:rFonts w:ascii="Cambria Math" w:hAnsi="Cambria Math"/>
                  <w:szCs w:val="20"/>
                  <w:lang w:val="cs-CZ"/>
                </w:rPr>
                <m:t>22,8+5,92</m:t>
              </m:r>
            </m:e>
          </m:d>
          <m:r>
            <w:rPr>
              <w:rFonts w:ascii="Cambria Math" w:hAnsi="Cambria Math"/>
              <w:szCs w:val="20"/>
              <w:lang w:val="cs-CZ"/>
            </w:rPr>
            <m:t xml:space="preserve">=609 </m:t>
          </m:r>
          <m:d>
            <m:dPr>
              <m:begChr m:val="["/>
              <m:endChr m:val="]"/>
              <m:ctrlPr>
                <w:rPr>
                  <w:rFonts w:ascii="Cambria Math" w:hAnsi="Cambria Math"/>
                  <w:i/>
                  <w:szCs w:val="20"/>
                  <w:lang w:val="cs-CZ"/>
                </w:rPr>
              </m:ctrlPr>
            </m:dPr>
            <m:e>
              <m:sSup>
                <m:sSupPr>
                  <m:ctrlPr>
                    <w:rPr>
                      <w:rFonts w:ascii="Cambria Math" w:hAnsi="Cambria Math"/>
                      <w:i/>
                      <w:szCs w:val="20"/>
                      <w:lang w:val="cs-CZ"/>
                    </w:rPr>
                  </m:ctrlPr>
                </m:sSupPr>
                <m:e>
                  <m:r>
                    <w:rPr>
                      <w:rFonts w:ascii="Cambria Math" w:hAnsi="Cambria Math"/>
                      <w:szCs w:val="20"/>
                      <w:lang w:val="cs-CZ"/>
                    </w:rPr>
                    <m:t>m</m:t>
                  </m:r>
                </m:e>
                <m:sup>
                  <m:r>
                    <w:rPr>
                      <w:rFonts w:ascii="Cambria Math" w:hAnsi="Cambria Math"/>
                      <w:szCs w:val="20"/>
                      <w:lang w:val="cs-CZ"/>
                    </w:rPr>
                    <m:t>2</m:t>
                  </m:r>
                </m:sup>
              </m:sSup>
            </m:e>
          </m:d>
        </m:oMath>
      </m:oMathPara>
    </w:p>
    <w:p w:rsidR="003B6E11" w:rsidRPr="003B6E11" w:rsidRDefault="003B6E11" w:rsidP="003B6E11">
      <w:pPr>
        <w:tabs>
          <w:tab w:val="left" w:pos="992"/>
          <w:tab w:val="center" w:pos="2552"/>
          <w:tab w:val="left" w:pos="3119"/>
          <w:tab w:val="left" w:pos="3544"/>
          <w:tab w:val="center" w:pos="4536"/>
        </w:tabs>
        <w:overflowPunct w:val="0"/>
        <w:adjustRightInd w:val="0"/>
        <w:spacing w:line="240" w:lineRule="atLeast"/>
        <w:ind w:left="992" w:firstLine="1"/>
        <w:textAlignment w:val="baseline"/>
        <w:rPr>
          <w:szCs w:val="20"/>
          <w:lang w:val="cs-CZ"/>
        </w:rPr>
      </w:pPr>
    </w:p>
    <w:p w:rsidR="003B6E11" w:rsidRPr="003B6E11" w:rsidRDefault="003B6E11" w:rsidP="003B6E11">
      <w:pPr>
        <w:tabs>
          <w:tab w:val="left" w:pos="992"/>
          <w:tab w:val="left" w:pos="2410"/>
        </w:tabs>
        <w:overflowPunct w:val="0"/>
        <w:adjustRightInd w:val="0"/>
        <w:spacing w:line="240" w:lineRule="atLeast"/>
        <w:ind w:left="992"/>
        <w:textAlignment w:val="baseline"/>
        <w:rPr>
          <w:szCs w:val="20"/>
          <w:lang w:val="cs-CZ"/>
        </w:rPr>
      </w:pPr>
      <w:r w:rsidRPr="003B6E11">
        <w:rPr>
          <w:lang w:val="cs-CZ"/>
        </w:rPr>
        <w:t>z tabulky 3</w:t>
      </w:r>
      <w:r w:rsidRPr="003B6E11">
        <w:rPr>
          <w:lang w:val="cs-CZ"/>
        </w:rPr>
        <w:tab/>
      </w:r>
      <m:oMath>
        <m:f>
          <m:fPr>
            <m:ctrlPr>
              <w:rPr>
                <w:rFonts w:ascii="Cambria Math" w:hAnsi="Cambria Math"/>
                <w:i/>
                <w:szCs w:val="20"/>
                <w:lang w:val="cs-CZ"/>
              </w:rPr>
            </m:ctrlPr>
          </m:fPr>
          <m:num>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T</m:t>
                </m:r>
              </m:sub>
            </m:sSub>
          </m:num>
          <m:den>
            <m:sSup>
              <m:sSupPr>
                <m:ctrlPr>
                  <w:rPr>
                    <w:rFonts w:ascii="Cambria Math" w:hAnsi="Cambria Math"/>
                    <w:i/>
                    <w:szCs w:val="20"/>
                    <w:lang w:val="cs-CZ"/>
                  </w:rPr>
                </m:ctrlPr>
              </m:sSupPr>
              <m:e>
                <m:r>
                  <w:rPr>
                    <w:rFonts w:ascii="Cambria Math" w:hAnsi="Cambria Math"/>
                    <w:szCs w:val="20"/>
                    <w:lang w:val="cs-CZ"/>
                  </w:rPr>
                  <m:t>v</m:t>
                </m:r>
              </m:e>
              <m:sup>
                <m:r>
                  <w:rPr>
                    <w:rFonts w:ascii="Cambria Math" w:hAnsi="Cambria Math"/>
                    <w:szCs w:val="20"/>
                    <w:lang w:val="cs-CZ"/>
                  </w:rPr>
                  <m:t>2</m:t>
                </m:r>
              </m:sup>
            </m:sSup>
          </m:den>
        </m:f>
        <m:r>
          <w:rPr>
            <w:rFonts w:ascii="Cambria Math" w:hAnsi="Cambria Math"/>
            <w:szCs w:val="20"/>
            <w:lang w:val="cs-CZ"/>
          </w:rPr>
          <m:t xml:space="preserve">=14 </m:t>
        </m:r>
        <m:d>
          <m:dPr>
            <m:ctrlPr>
              <w:rPr>
                <w:rFonts w:ascii="Cambria Math" w:hAnsi="Cambria Math"/>
                <w:i/>
                <w:szCs w:val="20"/>
                <w:lang w:val="cs-CZ"/>
              </w:rPr>
            </m:ctrlPr>
          </m:dPr>
          <m:e>
            <m:f>
              <m:fPr>
                <m:ctrlPr>
                  <w:rPr>
                    <w:rFonts w:ascii="Cambria Math" w:hAnsi="Cambria Math"/>
                    <w:i/>
                    <w:szCs w:val="20"/>
                    <w:lang w:val="cs-CZ"/>
                  </w:rPr>
                </m:ctrlPr>
              </m:fPr>
              <m:num>
                <m:r>
                  <w:rPr>
                    <w:rFonts w:ascii="Cambria Math" w:hAnsi="Cambria Math"/>
                    <w:szCs w:val="20"/>
                    <w:lang w:val="cs-CZ"/>
                  </w:rPr>
                  <m:t xml:space="preserve">kN ∙ </m:t>
                </m:r>
                <m:sSup>
                  <m:sSupPr>
                    <m:ctrlPr>
                      <w:rPr>
                        <w:rFonts w:ascii="Cambria Math" w:hAnsi="Cambria Math"/>
                        <w:i/>
                        <w:szCs w:val="20"/>
                        <w:lang w:val="cs-CZ"/>
                      </w:rPr>
                    </m:ctrlPr>
                  </m:sSupPr>
                  <m:e>
                    <m:r>
                      <w:rPr>
                        <w:rFonts w:ascii="Cambria Math" w:hAnsi="Cambria Math"/>
                        <w:szCs w:val="20"/>
                        <w:lang w:val="cs-CZ"/>
                      </w:rPr>
                      <m:t>s</m:t>
                    </m:r>
                  </m:e>
                  <m:sup>
                    <m:r>
                      <w:rPr>
                        <w:rFonts w:ascii="Cambria Math" w:hAnsi="Cambria Math"/>
                        <w:szCs w:val="20"/>
                        <w:lang w:val="cs-CZ"/>
                      </w:rPr>
                      <m:t>2</m:t>
                    </m:r>
                  </m:sup>
                </m:sSup>
              </m:num>
              <m:den>
                <m:sSup>
                  <m:sSupPr>
                    <m:ctrlPr>
                      <w:rPr>
                        <w:rFonts w:ascii="Cambria Math" w:hAnsi="Cambria Math"/>
                        <w:i/>
                        <w:szCs w:val="20"/>
                        <w:lang w:val="cs-CZ"/>
                      </w:rPr>
                    </m:ctrlPr>
                  </m:sSupPr>
                  <m:e>
                    <m:r>
                      <w:rPr>
                        <w:rFonts w:ascii="Cambria Math" w:hAnsi="Cambria Math"/>
                        <w:szCs w:val="20"/>
                        <w:lang w:val="cs-CZ"/>
                      </w:rPr>
                      <m:t>m</m:t>
                    </m:r>
                  </m:e>
                  <m:sup>
                    <m:r>
                      <w:rPr>
                        <w:rFonts w:ascii="Cambria Math" w:hAnsi="Cambria Math"/>
                        <w:szCs w:val="20"/>
                        <w:lang w:val="cs-CZ"/>
                      </w:rPr>
                      <m:t>2</m:t>
                    </m:r>
                  </m:sup>
                </m:sSup>
              </m:den>
            </m:f>
          </m:e>
        </m:d>
      </m:oMath>
    </w:p>
    <w:p w:rsidR="003B6E11" w:rsidRPr="003B6E11" w:rsidRDefault="003B6E11" w:rsidP="003B6E11">
      <w:pPr>
        <w:tabs>
          <w:tab w:val="left" w:pos="992"/>
          <w:tab w:val="center" w:pos="2552"/>
          <w:tab w:val="left" w:pos="3119"/>
          <w:tab w:val="left" w:pos="3544"/>
          <w:tab w:val="center" w:pos="4536"/>
        </w:tabs>
        <w:overflowPunct w:val="0"/>
        <w:adjustRightInd w:val="0"/>
        <w:spacing w:line="240" w:lineRule="atLeast"/>
        <w:ind w:left="992"/>
        <w:textAlignment w:val="baseline"/>
        <w:rPr>
          <w:szCs w:val="20"/>
          <w:lang w:val="cs-CZ"/>
        </w:rPr>
      </w:pPr>
    </w:p>
    <w:p w:rsidR="003B6E11" w:rsidRPr="003B6E11" w:rsidRDefault="002D015D" w:rsidP="003B6E11">
      <w:pPr>
        <w:tabs>
          <w:tab w:val="left" w:pos="992"/>
        </w:tabs>
        <w:overflowPunct w:val="0"/>
        <w:adjustRightInd w:val="0"/>
        <w:spacing w:line="240" w:lineRule="atLeast"/>
        <w:ind w:left="992" w:firstLine="1"/>
        <w:textAlignment w:val="baseline"/>
        <w:rPr>
          <w:lang w:val="cs-CZ"/>
        </w:rPr>
      </w:pPr>
      <m:oMathPara>
        <m:oMathParaPr>
          <m:jc m:val="left"/>
        </m:oMathParaP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v</m:t>
                  </m:r>
                </m:e>
                <m:sub>
                  <m:r>
                    <w:rPr>
                      <w:rFonts w:ascii="Cambria Math" w:hAnsi="Cambria Math"/>
                      <w:noProof/>
                      <w:lang w:val="cs-CZ"/>
                    </w:rPr>
                    <m:t>L</m:t>
                  </m:r>
                </m:sub>
              </m:sSub>
            </m:e>
            <m:sub>
              <m:r>
                <w:rPr>
                  <w:rFonts w:ascii="Cambria Math" w:hAnsi="Cambria Math"/>
                  <w:noProof/>
                  <w:lang w:val="cs-CZ"/>
                </w:rPr>
                <m:t>IST</m:t>
              </m:r>
            </m:sub>
          </m:sSub>
          <m:r>
            <w:rPr>
              <w:rFonts w:ascii="Cambria Math" w:hAnsi="Cambria Math"/>
              <w:noProof/>
              <w:lang w:val="cs-CZ"/>
            </w:rPr>
            <m:t xml:space="preserve">- </m:t>
          </m:r>
          <m:sSub>
            <m:sSubPr>
              <m:ctrlPr>
                <w:rPr>
                  <w:rFonts w:ascii="Cambria Math" w:hAnsi="Cambria Math"/>
                  <w:i/>
                  <w:noProof/>
                  <w:lang w:val="cs-CZ"/>
                </w:rPr>
              </m:ctrlPr>
            </m:sSubPr>
            <m:e>
              <m:r>
                <w:rPr>
                  <w:rFonts w:ascii="Cambria Math" w:hAnsi="Cambria Math"/>
                  <w:noProof/>
                  <w:lang w:val="cs-CZ"/>
                </w:rPr>
                <m:t>v</m:t>
              </m:r>
            </m:e>
            <m:sub>
              <m:sSub>
                <m:sSubPr>
                  <m:ctrlPr>
                    <w:rPr>
                      <w:rFonts w:ascii="Cambria Math" w:hAnsi="Cambria Math"/>
                      <w:i/>
                      <w:noProof/>
                      <w:lang w:val="cs-CZ"/>
                    </w:rPr>
                  </m:ctrlPr>
                </m:sSubPr>
                <m:e>
                  <m:r>
                    <w:rPr>
                      <w:rFonts w:ascii="Cambria Math" w:hAnsi="Cambria Math"/>
                      <w:noProof/>
                      <w:lang w:val="cs-CZ"/>
                    </w:rPr>
                    <m:t>STR</m:t>
                  </m:r>
                </m:e>
                <m:sub>
                  <m:r>
                    <w:rPr>
                      <w:rFonts w:ascii="Cambria Math" w:hAnsi="Cambria Math"/>
                      <w:noProof/>
                      <w:lang w:val="cs-CZ"/>
                    </w:rPr>
                    <m:t>IST</m:t>
                  </m:r>
                </m:sub>
              </m:sSub>
            </m:sub>
          </m:sSub>
          <m:r>
            <w:rPr>
              <w:rFonts w:ascii="Cambria Math" w:hAnsi="Cambria Math"/>
              <w:noProof/>
              <w:lang w:val="cs-CZ"/>
            </w:rPr>
            <m:t>=4,8-1,4=3,4 m/s</m:t>
          </m:r>
        </m:oMath>
      </m:oMathPara>
    </w:p>
    <w:p w:rsidR="003B6E11" w:rsidRPr="003B6E11" w:rsidRDefault="003B6E11" w:rsidP="003B6E11">
      <w:pPr>
        <w:tabs>
          <w:tab w:val="left" w:pos="992"/>
          <w:tab w:val="center" w:pos="2552"/>
          <w:tab w:val="left" w:pos="3119"/>
          <w:tab w:val="left" w:pos="3544"/>
          <w:tab w:val="center" w:pos="4536"/>
        </w:tabs>
        <w:overflowPunct w:val="0"/>
        <w:adjustRightInd w:val="0"/>
        <w:spacing w:line="240" w:lineRule="atLeast"/>
        <w:ind w:left="992"/>
        <w:textAlignment w:val="baseline"/>
        <w:rPr>
          <w:szCs w:val="20"/>
          <w:lang w:val="cs-CZ"/>
        </w:rPr>
      </w:pPr>
    </w:p>
    <w:p w:rsidR="003B6E11" w:rsidRPr="003B6E11" w:rsidRDefault="002D015D" w:rsidP="003B6E11">
      <w:pPr>
        <w:tabs>
          <w:tab w:val="left" w:pos="992"/>
        </w:tabs>
        <w:overflowPunct w:val="0"/>
        <w:adjustRightInd w:val="0"/>
        <w:spacing w:line="240" w:lineRule="atLeast"/>
        <w:ind w:left="992" w:firstLine="1"/>
        <w:textAlignment w:val="baseline"/>
        <w:rPr>
          <w:szCs w:val="20"/>
          <w:lang w:val="cs-CZ"/>
        </w:rPr>
      </w:pPr>
      <m:oMathPara>
        <m:oMathParaPr>
          <m:jc m:val="left"/>
        </m:oMathParaP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R</m:t>
                  </m:r>
                </m:e>
                <m:sub>
                  <m:r>
                    <w:rPr>
                      <w:rFonts w:ascii="Cambria Math" w:hAnsi="Cambria Math"/>
                      <w:noProof/>
                      <w:lang w:val="cs-CZ"/>
                    </w:rPr>
                    <m:t>TmII</m:t>
                  </m:r>
                </m:sub>
              </m:sSub>
            </m:e>
            <m:sub>
              <m:r>
                <w:rPr>
                  <w:rFonts w:ascii="Cambria Math" w:hAnsi="Cambria Math"/>
                  <w:noProof/>
                  <w:lang w:val="cs-CZ"/>
                </w:rPr>
                <m:t>IST</m:t>
              </m:r>
            </m:sub>
          </m:sSub>
          <m:r>
            <w:rPr>
              <w:rFonts w:ascii="Cambria Math" w:hAnsi="Cambria Math"/>
              <w:noProof/>
              <w:lang w:val="cs-CZ"/>
            </w:rPr>
            <m:t xml:space="preserve">= </m:t>
          </m:r>
          <m:f>
            <m:fPr>
              <m:ctrlPr>
                <w:rPr>
                  <w:rFonts w:ascii="Cambria Math" w:hAnsi="Cambria Math"/>
                  <w:i/>
                  <w:noProof/>
                  <w:lang w:val="cs-CZ"/>
                </w:rPr>
              </m:ctrlPr>
            </m:fPr>
            <m:num>
              <m:sSub>
                <m:sSubPr>
                  <m:ctrlPr>
                    <w:rPr>
                      <w:rFonts w:ascii="Cambria Math" w:hAnsi="Cambria Math"/>
                      <w:i/>
                      <w:noProof/>
                      <w:lang w:val="cs-CZ"/>
                    </w:rPr>
                  </m:ctrlPr>
                </m:sSubPr>
                <m:e>
                  <m:r>
                    <w:rPr>
                      <w:rFonts w:ascii="Cambria Math" w:hAnsi="Cambria Math"/>
                      <w:noProof/>
                      <w:lang w:val="cs-CZ"/>
                    </w:rPr>
                    <m:t>R</m:t>
                  </m:r>
                </m:e>
                <m:sub>
                  <m:r>
                    <w:rPr>
                      <w:rFonts w:ascii="Cambria Math" w:hAnsi="Cambria Math"/>
                      <w:noProof/>
                      <w:lang w:val="cs-CZ"/>
                    </w:rPr>
                    <m:t>T</m:t>
                  </m:r>
                </m:sub>
              </m:sSub>
            </m:num>
            <m:den>
              <m:sSup>
                <m:sSupPr>
                  <m:ctrlPr>
                    <w:rPr>
                      <w:rFonts w:ascii="Cambria Math" w:hAnsi="Cambria Math"/>
                      <w:i/>
                      <w:noProof/>
                      <w:lang w:val="cs-CZ"/>
                    </w:rPr>
                  </m:ctrlPr>
                </m:sSupPr>
                <m:e>
                  <m:r>
                    <w:rPr>
                      <w:rFonts w:ascii="Cambria Math" w:hAnsi="Cambria Math"/>
                      <w:noProof/>
                      <w:lang w:val="cs-CZ"/>
                    </w:rPr>
                    <m:t>v</m:t>
                  </m:r>
                </m:e>
                <m:sup>
                  <m:r>
                    <w:rPr>
                      <w:rFonts w:ascii="Cambria Math" w:hAnsi="Cambria Math"/>
                      <w:noProof/>
                      <w:lang w:val="cs-CZ"/>
                    </w:rPr>
                    <m:t>2</m:t>
                  </m:r>
                </m:sup>
              </m:sSup>
            </m:den>
          </m:f>
          <m:r>
            <w:rPr>
              <w:rFonts w:ascii="Cambria Math" w:hAnsi="Cambria Math"/>
              <w:noProof/>
              <w:lang w:val="cs-CZ"/>
            </w:rPr>
            <m:t xml:space="preserve"> ∙ </m:t>
          </m:r>
          <m:sSup>
            <m:sSupPr>
              <m:ctrlPr>
                <w:rPr>
                  <w:rFonts w:ascii="Cambria Math" w:hAnsi="Cambria Math"/>
                  <w:i/>
                  <w:noProof/>
                  <w:lang w:val="cs-CZ"/>
                </w:rPr>
              </m:ctrlPr>
            </m:sSupPr>
            <m:e>
              <m:d>
                <m:dPr>
                  <m:ctrlPr>
                    <w:rPr>
                      <w:rFonts w:ascii="Cambria Math" w:hAnsi="Cambria Math"/>
                      <w:i/>
                      <w:noProof/>
                      <w:lang w:val="cs-CZ"/>
                    </w:rPr>
                  </m:ctrlPr>
                </m:dPr>
                <m:e>
                  <m:sSub>
                    <m:sSubPr>
                      <m:ctrlPr>
                        <w:rPr>
                          <w:rFonts w:ascii="Cambria Math" w:hAnsi="Cambria Math"/>
                          <w:i/>
                          <w:noProof/>
                          <w:lang w:val="cs-CZ"/>
                        </w:rPr>
                      </m:ctrlPr>
                    </m:sSubPr>
                    <m:e>
                      <m:r>
                        <w:rPr>
                          <w:rFonts w:ascii="Cambria Math" w:hAnsi="Cambria Math"/>
                          <w:noProof/>
                          <w:lang w:val="cs-CZ"/>
                        </w:rPr>
                        <m:t>k</m:t>
                      </m:r>
                    </m:e>
                    <m:sub>
                      <m:r>
                        <w:rPr>
                          <w:rFonts w:ascii="Cambria Math" w:hAnsi="Cambria Math"/>
                          <w:noProof/>
                          <w:lang w:val="cs-CZ"/>
                        </w:rPr>
                        <m:t>7</m:t>
                      </m:r>
                    </m:sub>
                  </m:sSub>
                  <m:r>
                    <w:rPr>
                      <w:rFonts w:ascii="Cambria Math" w:hAnsi="Cambria Math"/>
                      <w:noProof/>
                      <w:lang w:val="cs-CZ"/>
                    </w:rPr>
                    <m:t xml:space="preserve"> ∙ </m:t>
                  </m:r>
                  <m:sSub>
                    <m:sSubPr>
                      <m:ctrlPr>
                        <w:rPr>
                          <w:rFonts w:ascii="Cambria Math" w:hAnsi="Cambria Math"/>
                          <w:i/>
                          <w:noProof/>
                          <w:lang w:val="cs-CZ"/>
                        </w:rPr>
                      </m:ctrlPr>
                    </m:sSubPr>
                    <m:e>
                      <m:r>
                        <w:rPr>
                          <w:rFonts w:ascii="Cambria Math" w:hAnsi="Cambria Math"/>
                          <w:noProof/>
                          <w:lang w:val="cs-CZ"/>
                        </w:rPr>
                        <m:t>k</m:t>
                      </m:r>
                    </m:e>
                    <m:sub>
                      <m:r>
                        <w:rPr>
                          <w:rFonts w:ascii="Cambria Math" w:hAnsi="Cambria Math"/>
                          <w:noProof/>
                          <w:lang w:val="cs-CZ"/>
                        </w:rPr>
                        <m:t>6</m:t>
                      </m:r>
                    </m:sub>
                  </m:sSub>
                  <m:r>
                    <w:rPr>
                      <w:rFonts w:ascii="Cambria Math" w:hAnsi="Cambria Math"/>
                      <w:noProof/>
                      <w:lang w:val="cs-CZ"/>
                    </w:rPr>
                    <m:t xml:space="preserve"> ∙ </m:t>
                  </m:r>
                  <m:d>
                    <m:dPr>
                      <m:ctrlPr>
                        <w:rPr>
                          <w:rFonts w:ascii="Cambria Math" w:hAnsi="Cambria Math"/>
                          <w:i/>
                          <w:noProof/>
                          <w:lang w:val="cs-CZ"/>
                        </w:rPr>
                      </m:ctrlPr>
                    </m:dPr>
                    <m:e>
                      <m:sSub>
                        <m:sSubPr>
                          <m:ctrlPr>
                            <w:rPr>
                              <w:rFonts w:ascii="Cambria Math" w:hAnsi="Cambria Math"/>
                              <w:i/>
                              <w:noProof/>
                              <w:lang w:val="cs-CZ"/>
                            </w:rPr>
                          </m:ctrlPr>
                        </m:sSubPr>
                        <m:e>
                          <m:r>
                            <w:rPr>
                              <w:rFonts w:ascii="Cambria Math" w:hAnsi="Cambria Math"/>
                              <w:noProof/>
                              <w:lang w:val="cs-CZ"/>
                            </w:rPr>
                            <m:t>v</m:t>
                          </m:r>
                        </m:e>
                        <m:sub>
                          <m:sSub>
                            <m:sSubPr>
                              <m:ctrlPr>
                                <w:rPr>
                                  <w:rFonts w:ascii="Cambria Math" w:hAnsi="Cambria Math"/>
                                  <w:i/>
                                  <w:noProof/>
                                  <w:lang w:val="cs-CZ"/>
                                </w:rPr>
                              </m:ctrlPr>
                            </m:sSubPr>
                            <m:e>
                              <m:r>
                                <w:rPr>
                                  <w:rFonts w:ascii="Cambria Math" w:hAnsi="Cambria Math"/>
                                  <w:noProof/>
                                  <w:lang w:val="cs-CZ"/>
                                </w:rPr>
                                <m:t>L</m:t>
                              </m:r>
                            </m:e>
                            <m:sub>
                              <m:r>
                                <w:rPr>
                                  <w:rFonts w:ascii="Cambria Math" w:hAnsi="Cambria Math"/>
                                  <w:noProof/>
                                  <w:lang w:val="cs-CZ"/>
                                </w:rPr>
                                <m:t>IST</m:t>
                              </m:r>
                            </m:sub>
                          </m:sSub>
                        </m:sub>
                      </m:sSub>
                      <m:r>
                        <w:rPr>
                          <w:rFonts w:ascii="Cambria Math" w:hAnsi="Cambria Math"/>
                          <w:noProof/>
                          <w:lang w:val="cs-CZ"/>
                        </w:rPr>
                        <m:t xml:space="preserve">- </m:t>
                      </m:r>
                      <m:sSub>
                        <m:sSubPr>
                          <m:ctrlPr>
                            <w:rPr>
                              <w:rFonts w:ascii="Cambria Math" w:hAnsi="Cambria Math"/>
                              <w:i/>
                              <w:noProof/>
                              <w:lang w:val="cs-CZ"/>
                            </w:rPr>
                          </m:ctrlPr>
                        </m:sSubPr>
                        <m:e>
                          <m:r>
                            <w:rPr>
                              <w:rFonts w:ascii="Cambria Math" w:hAnsi="Cambria Math"/>
                              <w:noProof/>
                              <w:lang w:val="cs-CZ"/>
                            </w:rPr>
                            <m:t>v</m:t>
                          </m:r>
                        </m:e>
                        <m:sub>
                          <m:sSub>
                            <m:sSubPr>
                              <m:ctrlPr>
                                <w:rPr>
                                  <w:rFonts w:ascii="Cambria Math" w:hAnsi="Cambria Math"/>
                                  <w:i/>
                                  <w:noProof/>
                                  <w:lang w:val="cs-CZ"/>
                                </w:rPr>
                              </m:ctrlPr>
                            </m:sSubPr>
                            <m:e>
                              <m:r>
                                <w:rPr>
                                  <w:rFonts w:ascii="Cambria Math" w:hAnsi="Cambria Math"/>
                                  <w:noProof/>
                                  <w:lang w:val="cs-CZ"/>
                                </w:rPr>
                                <m:t>STR</m:t>
                              </m:r>
                            </m:e>
                            <m:sub>
                              <m:r>
                                <w:rPr>
                                  <w:rFonts w:ascii="Cambria Math" w:hAnsi="Cambria Math"/>
                                  <w:noProof/>
                                  <w:lang w:val="cs-CZ"/>
                                </w:rPr>
                                <m:t>IST</m:t>
                              </m:r>
                            </m:sub>
                          </m:sSub>
                        </m:sub>
                      </m:sSub>
                    </m:e>
                  </m:d>
                </m:e>
              </m:d>
            </m:e>
            <m:sup>
              <m:r>
                <w:rPr>
                  <w:rFonts w:ascii="Cambria Math" w:hAnsi="Cambria Math"/>
                  <w:noProof/>
                  <w:lang w:val="cs-CZ"/>
                </w:rPr>
                <m:t>2</m:t>
              </m:r>
            </m:sup>
          </m:sSup>
          <m:r>
            <w:rPr>
              <w:rFonts w:ascii="Cambria Math" w:hAnsi="Cambria Math"/>
              <w:noProof/>
              <w:lang w:val="cs-CZ"/>
            </w:rPr>
            <m:t xml:space="preserve">= 14 ∙ </m:t>
          </m:r>
          <m:sSup>
            <m:sSupPr>
              <m:ctrlPr>
                <w:rPr>
                  <w:rFonts w:ascii="Cambria Math" w:hAnsi="Cambria Math"/>
                  <w:i/>
                  <w:noProof/>
                  <w:lang w:val="cs-CZ"/>
                </w:rPr>
              </m:ctrlPr>
            </m:sSupPr>
            <m:e>
              <m:d>
                <m:dPr>
                  <m:ctrlPr>
                    <w:rPr>
                      <w:rFonts w:ascii="Cambria Math" w:hAnsi="Cambria Math"/>
                      <w:i/>
                      <w:noProof/>
                      <w:lang w:val="cs-CZ"/>
                    </w:rPr>
                  </m:ctrlPr>
                </m:dPr>
                <m:e>
                  <m:r>
                    <w:rPr>
                      <w:rFonts w:ascii="Cambria Math" w:hAnsi="Cambria Math"/>
                      <w:noProof/>
                      <w:lang w:val="cs-CZ"/>
                    </w:rPr>
                    <m:t>0,55 ∙0,85 ∙3,4</m:t>
                  </m:r>
                </m:e>
              </m:d>
            </m:e>
            <m:sup>
              <m:r>
                <w:rPr>
                  <w:rFonts w:ascii="Cambria Math" w:hAnsi="Cambria Math"/>
                  <w:noProof/>
                  <w:lang w:val="cs-CZ"/>
                </w:rPr>
                <m:t>2</m:t>
              </m:r>
            </m:sup>
          </m:sSup>
          <m:r>
            <w:rPr>
              <w:rFonts w:ascii="Cambria Math" w:hAnsi="Cambria Math"/>
              <w:noProof/>
              <w:lang w:val="cs-CZ"/>
            </w:rPr>
            <m:t>=</m:t>
          </m:r>
          <m:r>
            <m:rPr>
              <m:sty m:val="bi"/>
            </m:rPr>
            <w:rPr>
              <w:rFonts w:ascii="Cambria Math" w:hAnsi="Cambria Math"/>
              <w:noProof/>
              <w:lang w:val="cs-CZ"/>
            </w:rPr>
            <m:t xml:space="preserve">35,4 </m:t>
          </m:r>
          <m:d>
            <m:dPr>
              <m:begChr m:val="["/>
              <m:endChr m:val="]"/>
              <m:ctrlPr>
                <w:rPr>
                  <w:rFonts w:ascii="Cambria Math" w:hAnsi="Cambria Math"/>
                  <w:b/>
                  <w:i/>
                  <w:noProof/>
                  <w:lang w:val="cs-CZ"/>
                </w:rPr>
              </m:ctrlPr>
            </m:dPr>
            <m:e>
              <m:r>
                <m:rPr>
                  <m:sty m:val="bi"/>
                </m:rPr>
                <w:rPr>
                  <w:rFonts w:ascii="Cambria Math" w:hAnsi="Cambria Math"/>
                  <w:noProof/>
                  <w:lang w:val="cs-CZ"/>
                </w:rPr>
                <m:t>kN</m:t>
              </m:r>
            </m:e>
          </m:d>
        </m:oMath>
      </m:oMathPara>
    </w:p>
    <w:p w:rsidR="003B6E11" w:rsidRPr="003B6E11" w:rsidRDefault="003B6E11" w:rsidP="003B6E11">
      <w:pPr>
        <w:tabs>
          <w:tab w:val="left" w:pos="284"/>
          <w:tab w:val="left" w:pos="454"/>
        </w:tabs>
        <w:overflowPunct w:val="0"/>
        <w:adjustRightInd w:val="0"/>
        <w:spacing w:line="240" w:lineRule="atLeast"/>
        <w:ind w:left="284" w:hanging="284"/>
        <w:textAlignment w:val="baseline"/>
        <w:rPr>
          <w:szCs w:val="20"/>
          <w:lang w:val="cs-CZ"/>
        </w:rPr>
      </w:pPr>
    </w:p>
    <w:p w:rsidR="003B6E11" w:rsidRPr="003B6E11" w:rsidRDefault="003B6E11" w:rsidP="003B6E11">
      <w:pPr>
        <w:tabs>
          <w:tab w:val="left" w:pos="284"/>
          <w:tab w:val="left" w:pos="454"/>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992"/>
        </w:tabs>
        <w:overflowPunct w:val="0"/>
        <w:adjustRightInd w:val="0"/>
        <w:spacing w:line="240" w:lineRule="atLeast"/>
        <w:ind w:left="992"/>
        <w:textAlignment w:val="baseline"/>
        <w:rPr>
          <w:szCs w:val="20"/>
          <w:lang w:val="cs-CZ"/>
        </w:rPr>
      </w:pPr>
      <w:r w:rsidRPr="003B6E11">
        <w:rPr>
          <w:lang w:val="cs-CZ"/>
        </w:rPr>
        <w:t>d)</w:t>
      </w:r>
      <w:r w:rsidRPr="003B6E11">
        <w:rPr>
          <w:lang w:val="cs-CZ"/>
        </w:rPr>
        <w:tab/>
        <w:t xml:space="preserve">Výpočet odporu sklonu </w:t>
      </w:r>
      <m:oMath>
        <m:sSub>
          <m:sSubPr>
            <m:ctrlPr>
              <w:rPr>
                <w:rFonts w:ascii="Cambria Math" w:hAnsi="Cambria Math"/>
                <w:i/>
                <w:sz w:val="16"/>
                <w:szCs w:val="20"/>
                <w:lang w:val="cs-CZ"/>
              </w:rPr>
            </m:ctrlPr>
          </m:sSubPr>
          <m:e>
            <m:r>
              <w:rPr>
                <w:rFonts w:ascii="Cambria Math" w:hAnsi="Cambria Math"/>
                <w:sz w:val="16"/>
                <w:szCs w:val="20"/>
                <w:lang w:val="cs-CZ"/>
              </w:rPr>
              <m:t>R</m:t>
            </m:r>
          </m:e>
          <m:sub>
            <m:r>
              <w:rPr>
                <w:rFonts w:ascii="Cambria Math" w:hAnsi="Cambria Math"/>
                <w:sz w:val="16"/>
                <w:szCs w:val="20"/>
                <w:lang w:val="cs-CZ"/>
              </w:rPr>
              <m:t>G</m:t>
            </m:r>
          </m:sub>
        </m:sSub>
      </m:oMath>
      <w:r w:rsidRPr="003B6E11">
        <w:rPr>
          <w:lang w:val="cs-CZ"/>
        </w:rPr>
        <w:t xml:space="preserve"> podle vzorce (4.4) v příloze 2</w:t>
      </w:r>
    </w:p>
    <w:p w:rsidR="003B6E11" w:rsidRPr="003B6E11" w:rsidRDefault="003B6E11" w:rsidP="003B6E11">
      <w:pPr>
        <w:tabs>
          <w:tab w:val="left" w:pos="284"/>
          <w:tab w:val="left" w:pos="454"/>
        </w:tabs>
        <w:overflowPunct w:val="0"/>
        <w:adjustRightInd w:val="0"/>
        <w:spacing w:line="240" w:lineRule="exact"/>
        <w:ind w:left="284" w:hanging="284"/>
        <w:textAlignment w:val="baseline"/>
        <w:rPr>
          <w:szCs w:val="20"/>
          <w:lang w:val="cs-CZ"/>
        </w:rPr>
      </w:pPr>
    </w:p>
    <w:p w:rsidR="003B6E11" w:rsidRPr="003B6E11" w:rsidRDefault="002D015D" w:rsidP="003B6E11">
      <w:pPr>
        <w:overflowPunct w:val="0"/>
        <w:adjustRightInd w:val="0"/>
        <w:spacing w:line="240" w:lineRule="atLeast"/>
        <w:ind w:left="993" w:hanging="1"/>
        <w:textAlignment w:val="baseline"/>
        <w:rPr>
          <w:szCs w:val="20"/>
          <w:lang w:val="cs-CZ"/>
        </w:rPr>
      </w:pPr>
      <m:oMathPara>
        <m:oMathParaPr>
          <m:jc m:val="left"/>
        </m:oMathParaPr>
        <m:oMath>
          <m:sSub>
            <m:sSubPr>
              <m:ctrlPr>
                <w:rPr>
                  <w:rFonts w:ascii="Cambria Math" w:hAnsi="Cambria Math"/>
                  <w:i/>
                  <w:sz w:val="16"/>
                  <w:szCs w:val="20"/>
                  <w:lang w:val="cs-CZ"/>
                </w:rPr>
              </m:ctrlPr>
            </m:sSubPr>
            <m:e>
              <m:r>
                <w:rPr>
                  <w:rFonts w:ascii="Cambria Math" w:hAnsi="Cambria Math"/>
                  <w:sz w:val="16"/>
                  <w:szCs w:val="20"/>
                  <w:lang w:val="cs-CZ"/>
                </w:rPr>
                <m:t>R</m:t>
              </m:r>
            </m:e>
            <m:sub>
              <m:r>
                <w:rPr>
                  <w:rFonts w:ascii="Cambria Math" w:hAnsi="Cambria Math"/>
                  <w:sz w:val="16"/>
                  <w:szCs w:val="20"/>
                  <w:lang w:val="cs-CZ"/>
                </w:rPr>
                <m:t>G</m:t>
              </m:r>
            </m:sub>
          </m:sSub>
          <m:r>
            <w:rPr>
              <w:rFonts w:ascii="Cambria Math" w:hAnsi="Cambria Math"/>
              <w:sz w:val="16"/>
              <w:szCs w:val="20"/>
              <w:lang w:val="cs-CZ"/>
            </w:rPr>
            <m:t xml:space="preserve"> </m:t>
          </m:r>
          <m:r>
            <w:rPr>
              <w:rFonts w:ascii="Cambria Math" w:hAnsi="Cambria Math"/>
              <w:szCs w:val="20"/>
              <w:lang w:val="cs-CZ"/>
            </w:rPr>
            <m:t xml:space="preserve">= </m:t>
          </m:r>
          <m:sSup>
            <m:sSupPr>
              <m:ctrlPr>
                <w:rPr>
                  <w:rFonts w:ascii="Cambria Math" w:hAnsi="Cambria Math"/>
                  <w:i/>
                  <w:szCs w:val="20"/>
                  <w:lang w:val="cs-CZ"/>
                </w:rPr>
              </m:ctrlPr>
            </m:sSupPr>
            <m:e>
              <m:r>
                <w:rPr>
                  <w:rFonts w:ascii="Cambria Math" w:hAnsi="Cambria Math"/>
                  <w:szCs w:val="20"/>
                  <w:lang w:val="cs-CZ"/>
                </w:rPr>
                <m:t>10</m:t>
              </m:r>
            </m:e>
            <m:sup>
              <m:r>
                <w:rPr>
                  <w:rFonts w:ascii="Cambria Math" w:hAnsi="Cambria Math"/>
                  <w:szCs w:val="20"/>
                  <w:lang w:val="cs-CZ"/>
                </w:rPr>
                <m:t>-6</m:t>
              </m:r>
            </m:sup>
          </m:sSup>
          <m:r>
            <w:rPr>
              <w:rFonts w:ascii="Cambria Math" w:hAnsi="Cambria Math"/>
              <w:szCs w:val="20"/>
              <w:lang w:val="cs-CZ"/>
            </w:rPr>
            <m:t xml:space="preserve"> ∙ </m:t>
          </m:r>
          <m:d>
            <m:dPr>
              <m:ctrlPr>
                <w:rPr>
                  <w:rFonts w:ascii="Cambria Math" w:hAnsi="Cambria Math"/>
                  <w:i/>
                  <w:szCs w:val="20"/>
                  <w:lang w:val="cs-CZ"/>
                </w:rPr>
              </m:ctrlPr>
            </m:dPr>
            <m:e>
              <m:r>
                <w:rPr>
                  <w:rFonts w:ascii="Cambria Math" w:hAnsi="Cambria Math"/>
                  <w:szCs w:val="20"/>
                  <w:lang w:val="cs-CZ"/>
                </w:rPr>
                <m:t xml:space="preserve">0,16 ∙ </m:t>
              </m:r>
              <m:sSub>
                <m:sSubPr>
                  <m:ctrlPr>
                    <w:rPr>
                      <w:rFonts w:ascii="Cambria Math" w:hAnsi="Cambria Math"/>
                      <w:i/>
                      <w:szCs w:val="20"/>
                      <w:lang w:val="cs-CZ"/>
                    </w:rPr>
                  </m:ctrlPr>
                </m:sSubPr>
                <m:e>
                  <m:r>
                    <w:rPr>
                      <w:rFonts w:ascii="Cambria Math" w:hAnsi="Cambria Math"/>
                      <w:szCs w:val="20"/>
                      <w:lang w:val="cs-CZ"/>
                    </w:rPr>
                    <m:t>D</m:t>
                  </m:r>
                </m:e>
                <m:sub>
                  <m:r>
                    <w:rPr>
                      <w:rFonts w:ascii="Cambria Math" w:hAnsi="Cambria Math"/>
                      <w:szCs w:val="20"/>
                      <w:lang w:val="cs-CZ"/>
                    </w:rPr>
                    <m:t>IST</m:t>
                  </m:r>
                </m:sub>
              </m:sSub>
              <m:r>
                <w:rPr>
                  <w:rFonts w:ascii="Cambria Math" w:hAnsi="Cambria Math"/>
                  <w:szCs w:val="20"/>
                  <w:lang w:val="cs-CZ"/>
                </w:rPr>
                <m:t xml:space="preserve"> ∙ ρ ∙g</m:t>
              </m:r>
            </m:e>
          </m:d>
          <m:r>
            <w:rPr>
              <w:rFonts w:ascii="Cambria Math" w:hAnsi="Cambria Math"/>
              <w:szCs w:val="20"/>
              <w:lang w:val="cs-CZ"/>
            </w:rPr>
            <m:t>=</m:t>
          </m:r>
          <m:sSup>
            <m:sSupPr>
              <m:ctrlPr>
                <w:rPr>
                  <w:rFonts w:ascii="Cambria Math" w:hAnsi="Cambria Math"/>
                  <w:i/>
                  <w:szCs w:val="20"/>
                  <w:lang w:val="cs-CZ"/>
                </w:rPr>
              </m:ctrlPr>
            </m:sSupPr>
            <m:e>
              <m:r>
                <w:rPr>
                  <w:rFonts w:ascii="Cambria Math" w:hAnsi="Cambria Math"/>
                  <w:szCs w:val="20"/>
                  <w:lang w:val="cs-CZ"/>
                </w:rPr>
                <m:t>10</m:t>
              </m:r>
            </m:e>
            <m:sup>
              <m:r>
                <w:rPr>
                  <w:rFonts w:ascii="Cambria Math" w:hAnsi="Cambria Math"/>
                  <w:szCs w:val="20"/>
                  <w:lang w:val="cs-CZ"/>
                </w:rPr>
                <m:t>-6</m:t>
              </m:r>
            </m:sup>
          </m:sSup>
          <m:r>
            <w:rPr>
              <w:rFonts w:ascii="Cambria Math" w:hAnsi="Cambria Math"/>
              <w:szCs w:val="20"/>
              <w:lang w:val="cs-CZ"/>
            </w:rPr>
            <m:t xml:space="preserve"> ∙</m:t>
          </m:r>
          <m:d>
            <m:dPr>
              <m:ctrlPr>
                <w:rPr>
                  <w:rFonts w:ascii="Cambria Math" w:hAnsi="Cambria Math"/>
                  <w:i/>
                  <w:szCs w:val="20"/>
                  <w:lang w:val="cs-CZ"/>
                </w:rPr>
              </m:ctrlPr>
            </m:dPr>
            <m:e>
              <m:r>
                <w:rPr>
                  <w:rFonts w:ascii="Cambria Math" w:hAnsi="Cambria Math"/>
                  <w:szCs w:val="20"/>
                  <w:lang w:val="cs-CZ"/>
                </w:rPr>
                <m:t>0,16 ∙</m:t>
              </m:r>
              <m:r>
                <m:rPr>
                  <m:sty m:val="bi"/>
                </m:rPr>
                <w:rPr>
                  <w:rFonts w:ascii="Cambria Math" w:hAnsi="Cambria Math"/>
                  <w:position w:val="6"/>
                  <w:szCs w:val="20"/>
                  <w:lang w:val="cs-CZ"/>
                </w:rPr>
                <m:t xml:space="preserve"> </m:t>
              </m:r>
              <m:r>
                <w:rPr>
                  <w:rFonts w:ascii="Cambria Math" w:hAnsi="Cambria Math"/>
                  <w:szCs w:val="20"/>
                  <w:lang w:val="cs-CZ"/>
                </w:rPr>
                <m:t>9568 ∙ 1000 ∙ 9,81</m:t>
              </m:r>
            </m:e>
          </m:d>
          <m:r>
            <w:rPr>
              <w:rFonts w:ascii="Cambria Math" w:hAnsi="Cambria Math"/>
              <w:szCs w:val="20"/>
              <w:lang w:val="cs-CZ"/>
            </w:rPr>
            <m:t xml:space="preserve">= </m:t>
          </m:r>
          <m:r>
            <m:rPr>
              <m:sty m:val="bi"/>
            </m:rPr>
            <w:rPr>
              <w:rFonts w:ascii="Cambria Math" w:hAnsi="Cambria Math"/>
              <w:szCs w:val="20"/>
              <w:u w:val="single"/>
              <w:lang w:val="cs-CZ"/>
            </w:rPr>
            <m:t>15,02</m:t>
          </m:r>
          <m:r>
            <m:rPr>
              <m:sty m:val="bi"/>
            </m:rPr>
            <w:rPr>
              <w:rFonts w:ascii="Cambria Math" w:hAnsi="Cambria Math"/>
              <w:szCs w:val="20"/>
              <w:lang w:val="cs-CZ"/>
            </w:rPr>
            <m:t xml:space="preserve">  [kN]</m:t>
          </m:r>
        </m:oMath>
      </m:oMathPara>
    </w:p>
    <w:p w:rsidR="003B6E11" w:rsidRPr="003B6E11" w:rsidRDefault="003B6E11" w:rsidP="003B6E11">
      <w:pPr>
        <w:tabs>
          <w:tab w:val="left" w:pos="284"/>
          <w:tab w:val="left" w:pos="454"/>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284"/>
          <w:tab w:val="left" w:pos="454"/>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992"/>
        </w:tabs>
        <w:overflowPunct w:val="0"/>
        <w:adjustRightInd w:val="0"/>
        <w:spacing w:line="240" w:lineRule="atLeast"/>
        <w:ind w:left="992"/>
        <w:textAlignment w:val="baseline"/>
        <w:rPr>
          <w:szCs w:val="20"/>
          <w:lang w:val="cs-CZ"/>
        </w:rPr>
      </w:pPr>
      <w:r w:rsidRPr="003B6E11">
        <w:rPr>
          <w:lang w:val="cs-CZ"/>
        </w:rPr>
        <w:t>e)</w:t>
      </w:r>
      <w:r w:rsidRPr="003B6E11">
        <w:rPr>
          <w:lang w:val="cs-CZ"/>
        </w:rPr>
        <w:tab/>
        <w:t xml:space="preserve">Výpočet </w:t>
      </w:r>
      <m:oMath>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IST</m:t>
                </m:r>
              </m:sub>
            </m:sSub>
          </m:sub>
        </m:sSub>
      </m:oMath>
      <w:r w:rsidRPr="003B6E11">
        <w:rPr>
          <w:lang w:val="cs-CZ"/>
        </w:rPr>
        <w:t xml:space="preserve"> podle vzorce (4.5) v příloze 2</w:t>
      </w:r>
    </w:p>
    <w:p w:rsidR="003B6E11" w:rsidRPr="003B6E11" w:rsidRDefault="003B6E11" w:rsidP="003B6E11">
      <w:pPr>
        <w:tabs>
          <w:tab w:val="left" w:pos="284"/>
          <w:tab w:val="left" w:pos="454"/>
        </w:tabs>
        <w:overflowPunct w:val="0"/>
        <w:adjustRightInd w:val="0"/>
        <w:spacing w:line="240" w:lineRule="exact"/>
        <w:ind w:left="284" w:hanging="284"/>
        <w:textAlignment w:val="baseline"/>
        <w:rPr>
          <w:szCs w:val="20"/>
          <w:lang w:val="cs-CZ"/>
        </w:rPr>
      </w:pPr>
    </w:p>
    <w:p w:rsidR="003B6E11" w:rsidRPr="003B6E11" w:rsidRDefault="002D015D" w:rsidP="003B6E11">
      <w:pPr>
        <w:overflowPunct w:val="0"/>
        <w:adjustRightInd w:val="0"/>
        <w:spacing w:line="240" w:lineRule="atLeast"/>
        <w:ind w:left="992"/>
        <w:textAlignment w:val="baseline"/>
        <w:rPr>
          <w:szCs w:val="20"/>
          <w:lang w:val="cs-CZ"/>
        </w:rPr>
      </w:pPr>
      <m:oMathPara>
        <m:oMathParaPr>
          <m:jc m:val="left"/>
        </m:oMathParaPr>
        <m:oMath>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IST</m:t>
                  </m:r>
                </m:sub>
              </m:sSub>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6</m:t>
              </m:r>
            </m:sub>
          </m:sSub>
          <m:r>
            <w:rPr>
              <w:rFonts w:ascii="Cambria Math" w:hAnsi="Cambria Math"/>
              <w:szCs w:val="20"/>
              <w:lang w:val="cs-CZ"/>
            </w:rPr>
            <m:t xml:space="preserve"> ∙  </m:t>
          </m:r>
          <m:d>
            <m:dPr>
              <m:ctrlPr>
                <w:rPr>
                  <w:rFonts w:ascii="Cambria Math" w:hAnsi="Cambria Math"/>
                  <w:i/>
                  <w:szCs w:val="20"/>
                  <w:lang w:val="cs-CZ"/>
                </w:rPr>
              </m:ctrlPr>
            </m:dPr>
            <m:e>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L</m:t>
                      </m:r>
                    </m:e>
                    <m:sub>
                      <m:r>
                        <w:rPr>
                          <w:rFonts w:ascii="Cambria Math" w:hAnsi="Cambria Math"/>
                          <w:szCs w:val="20"/>
                          <w:lang w:val="cs-CZ"/>
                        </w:rPr>
                        <m:t>IST</m:t>
                      </m:r>
                    </m:sub>
                  </m:sSub>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STR</m:t>
                      </m:r>
                    </m:e>
                    <m:sub>
                      <m:r>
                        <w:rPr>
                          <w:rFonts w:ascii="Cambria Math" w:hAnsi="Cambria Math"/>
                          <w:szCs w:val="20"/>
                          <w:lang w:val="cs-CZ"/>
                        </w:rPr>
                        <m:t>IST</m:t>
                      </m:r>
                    </m:sub>
                  </m:sSub>
                </m:sub>
              </m:sSub>
            </m:e>
          </m:d>
          <m:r>
            <w:rPr>
              <w:rFonts w:ascii="Cambria Math" w:hAnsi="Cambria Math"/>
              <w:szCs w:val="20"/>
              <w:lang w:val="cs-CZ"/>
            </w:rPr>
            <m:t xml:space="preserve">= 2,89 </m:t>
          </m:r>
          <m:d>
            <m:dPr>
              <m:begChr m:val="["/>
              <m:endChr m:val="]"/>
              <m:ctrlPr>
                <w:rPr>
                  <w:rFonts w:ascii="Cambria Math" w:hAnsi="Cambria Math"/>
                  <w:i/>
                  <w:szCs w:val="20"/>
                  <w:lang w:val="cs-CZ"/>
                </w:rPr>
              </m:ctrlPr>
            </m:dPr>
            <m:e>
              <m:r>
                <w:rPr>
                  <w:rFonts w:ascii="Cambria Math" w:hAnsi="Cambria Math"/>
                  <w:szCs w:val="20"/>
                  <w:lang w:val="cs-CZ"/>
                </w:rPr>
                <m:t>m/s</m:t>
              </m:r>
            </m:e>
          </m:d>
        </m:oMath>
      </m:oMathPara>
    </w:p>
    <w:p w:rsidR="003B6E11" w:rsidRPr="003B6E11" w:rsidRDefault="003B6E11" w:rsidP="003B6E11">
      <w:pPr>
        <w:tabs>
          <w:tab w:val="left" w:pos="284"/>
          <w:tab w:val="left" w:pos="454"/>
        </w:tabs>
        <w:overflowPunct w:val="0"/>
        <w:adjustRightInd w:val="0"/>
        <w:spacing w:line="240" w:lineRule="exact"/>
        <w:ind w:left="284" w:hanging="284"/>
        <w:textAlignment w:val="baseline"/>
        <w:rPr>
          <w:szCs w:val="20"/>
          <w:lang w:val="cs-CZ"/>
        </w:rPr>
      </w:pPr>
    </w:p>
    <w:p w:rsidR="003B6E11" w:rsidRPr="003B6E11" w:rsidRDefault="002D015D" w:rsidP="003B6E11">
      <w:pPr>
        <w:overflowPunct w:val="0"/>
        <w:adjustRightInd w:val="0"/>
        <w:spacing w:line="240" w:lineRule="atLeast"/>
        <w:ind w:left="993" w:hanging="1"/>
        <w:textAlignment w:val="baseline"/>
        <w:rPr>
          <w:szCs w:val="20"/>
          <w:lang w:val="cs-CZ"/>
        </w:rPr>
      </w:pPr>
      <m:oMathPara>
        <m:oMathParaPr>
          <m:jc m:val="left"/>
        </m:oMathParaPr>
        <m:oMath>
          <m:sSub>
            <m:sSubPr>
              <m:ctrlPr>
                <w:rPr>
                  <w:rFonts w:ascii="Cambria Math" w:hAnsi="Cambria Math"/>
                  <w:i/>
                  <w:szCs w:val="20"/>
                  <w:lang w:val="cs-CZ"/>
                </w:rPr>
              </m:ctrlPr>
            </m:sSubPr>
            <m:e>
              <m:sSup>
                <m:sSupPr>
                  <m:ctrlPr>
                    <w:rPr>
                      <w:rFonts w:ascii="Cambria Math" w:hAnsi="Cambria Math"/>
                      <w:i/>
                      <w:szCs w:val="20"/>
                      <w:lang w:val="cs-CZ"/>
                    </w:rPr>
                  </m:ctrlPr>
                </m:sSupPr>
                <m:e>
                  <m:r>
                    <w:rPr>
                      <w:rFonts w:ascii="Cambria Math" w:hAnsi="Cambria Math"/>
                      <w:szCs w:val="20"/>
                      <w:lang w:val="cs-CZ"/>
                    </w:rPr>
                    <m:t>v</m:t>
                  </m:r>
                </m:e>
                <m:sup>
                  <m:r>
                    <w:rPr>
                      <w:rFonts w:ascii="Cambria Math" w:hAnsi="Cambria Math"/>
                      <w:szCs w:val="20"/>
                      <w:lang w:val="cs-CZ"/>
                    </w:rPr>
                    <m:t>2</m:t>
                  </m:r>
                </m:sup>
              </m:sSup>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IST</m:t>
                  </m:r>
                </m:sub>
              </m:sSub>
            </m:sub>
          </m:sSub>
          <m:r>
            <w:rPr>
              <w:rFonts w:ascii="Cambria Math" w:hAnsi="Cambria Math"/>
              <w:szCs w:val="20"/>
              <w:lang w:val="cs-CZ"/>
            </w:rPr>
            <m:t xml:space="preserve">=8,35 </m:t>
          </m:r>
          <m:sSup>
            <m:sSupPr>
              <m:ctrlPr>
                <w:rPr>
                  <w:rFonts w:ascii="Cambria Math" w:hAnsi="Cambria Math"/>
                  <w:i/>
                  <w:szCs w:val="20"/>
                  <w:lang w:val="cs-CZ"/>
                </w:rPr>
              </m:ctrlPr>
            </m:sSupPr>
            <m:e>
              <m:d>
                <m:dPr>
                  <m:begChr m:val="["/>
                  <m:endChr m:val="]"/>
                  <m:ctrlPr>
                    <w:rPr>
                      <w:rFonts w:ascii="Cambria Math" w:hAnsi="Cambria Math"/>
                      <w:i/>
                      <w:szCs w:val="20"/>
                      <w:lang w:val="cs-CZ"/>
                    </w:rPr>
                  </m:ctrlPr>
                </m:dPr>
                <m:e>
                  <m:r>
                    <w:rPr>
                      <w:rFonts w:ascii="Cambria Math" w:hAnsi="Cambria Math"/>
                      <w:szCs w:val="20"/>
                      <w:lang w:val="cs-CZ"/>
                    </w:rPr>
                    <m:t>m/s</m:t>
                  </m:r>
                </m:e>
              </m:d>
            </m:e>
            <m:sup>
              <m:r>
                <w:rPr>
                  <w:rFonts w:ascii="Cambria Math" w:hAnsi="Cambria Math"/>
                  <w:szCs w:val="20"/>
                  <w:lang w:val="cs-CZ"/>
                </w:rPr>
                <m:t>2</m:t>
              </m:r>
            </m:sup>
          </m:sSup>
        </m:oMath>
      </m:oMathPara>
    </w:p>
    <w:p w:rsidR="003B6E11" w:rsidRPr="003B6E11" w:rsidRDefault="003B6E11" w:rsidP="003B6E11">
      <w:pPr>
        <w:tabs>
          <w:tab w:val="left" w:pos="284"/>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284"/>
          <w:tab w:val="left" w:pos="454"/>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284"/>
          <w:tab w:val="left" w:pos="454"/>
        </w:tabs>
        <w:overflowPunct w:val="0"/>
        <w:adjustRightInd w:val="0"/>
        <w:spacing w:line="240" w:lineRule="exact"/>
        <w:ind w:left="284" w:hanging="284"/>
        <w:textAlignment w:val="baseline"/>
        <w:rPr>
          <w:szCs w:val="20"/>
          <w:lang w:val="cs-CZ"/>
        </w:rPr>
      </w:pPr>
      <w:r w:rsidRPr="003B6E11">
        <w:rPr>
          <w:lang w:val="cs-CZ"/>
        </w:rPr>
        <w:br w:type="page"/>
      </w:r>
    </w:p>
    <w:p w:rsidR="003B6E11" w:rsidRPr="003B6E11" w:rsidRDefault="003B6E11" w:rsidP="003B6E11">
      <w:pPr>
        <w:tabs>
          <w:tab w:val="left" w:pos="992"/>
        </w:tabs>
        <w:overflowPunct w:val="0"/>
        <w:adjustRightInd w:val="0"/>
        <w:spacing w:line="240" w:lineRule="atLeast"/>
        <w:ind w:left="992"/>
        <w:textAlignment w:val="baseline"/>
        <w:rPr>
          <w:szCs w:val="20"/>
          <w:lang w:val="cs-CZ"/>
        </w:rPr>
      </w:pPr>
      <w:r w:rsidRPr="003B6E11">
        <w:rPr>
          <w:lang w:val="cs-CZ"/>
        </w:rPr>
        <w:t>f)</w:t>
      </w:r>
      <w:r w:rsidRPr="003B6E11">
        <w:rPr>
          <w:lang w:val="cs-CZ"/>
        </w:rPr>
        <w:tab/>
        <w:t xml:space="preserve">Výpočet </w:t>
      </w:r>
      <m:oMath>
        <m:sSub>
          <m:sSubPr>
            <m:ctrlPr>
              <w:rPr>
                <w:rFonts w:ascii="Cambria Math" w:hAnsi="Cambria Math"/>
                <w:i/>
                <w:szCs w:val="20"/>
                <w:lang w:val="cs-CZ"/>
              </w:rPr>
            </m:ctrlPr>
          </m:sSubPr>
          <m:e>
            <m:r>
              <w:rPr>
                <w:rFonts w:ascii="Cambria Math" w:hAnsi="Cambria Math"/>
                <w:szCs w:val="20"/>
                <w:lang w:val="cs-CZ"/>
              </w:rPr>
              <m:t>F</m:t>
            </m:r>
          </m:e>
          <m:sub>
            <m:r>
              <w:rPr>
                <w:rFonts w:ascii="Cambria Math" w:hAnsi="Cambria Math"/>
                <w:szCs w:val="20"/>
                <w:lang w:val="cs-CZ"/>
              </w:rPr>
              <m:t>POR</m:t>
            </m:r>
          </m:sub>
        </m:sSub>
      </m:oMath>
      <w:r w:rsidRPr="003B6E11">
        <w:rPr>
          <w:lang w:val="cs-CZ"/>
        </w:rPr>
        <w:t xml:space="preserve"> podle vzorce (4.6) a tabulky 2</w:t>
      </w:r>
    </w:p>
    <w:p w:rsidR="003B6E11" w:rsidRPr="003B6E11" w:rsidRDefault="003B6E11" w:rsidP="003B6E11">
      <w:pPr>
        <w:tabs>
          <w:tab w:val="left" w:pos="284"/>
          <w:tab w:val="left" w:pos="454"/>
        </w:tabs>
        <w:overflowPunct w:val="0"/>
        <w:adjustRightInd w:val="0"/>
        <w:spacing w:line="240" w:lineRule="exact"/>
        <w:ind w:left="284" w:hanging="284"/>
        <w:textAlignment w:val="baseline"/>
        <w:rPr>
          <w:szCs w:val="20"/>
          <w:lang w:val="cs-CZ"/>
        </w:rPr>
      </w:pPr>
    </w:p>
    <w:p w:rsidR="003B6E11" w:rsidRPr="003B6E11" w:rsidRDefault="002D015D" w:rsidP="003B6E11">
      <w:pPr>
        <w:overflowPunct w:val="0"/>
        <w:adjustRightInd w:val="0"/>
        <w:spacing w:line="240" w:lineRule="atLeast"/>
        <w:ind w:left="992"/>
        <w:textAlignment w:val="baseline"/>
        <w:rPr>
          <w:szCs w:val="20"/>
          <w:lang w:val="cs-CZ"/>
        </w:rPr>
      </w:pPr>
      <m:oMathPara>
        <m:oMathParaPr>
          <m:jc m:val="left"/>
        </m:oMathParaPr>
        <m:oMath>
          <m:sSub>
            <m:sSubPr>
              <m:ctrlPr>
                <w:rPr>
                  <w:rFonts w:ascii="Cambria Math" w:hAnsi="Cambria Math"/>
                  <w:i/>
                  <w:szCs w:val="20"/>
                  <w:lang w:val="cs-CZ"/>
                </w:rPr>
              </m:ctrlPr>
            </m:sSubPr>
            <m:e>
              <m:r>
                <w:rPr>
                  <w:rFonts w:ascii="Cambria Math" w:hAnsi="Cambria Math"/>
                  <w:szCs w:val="20"/>
                  <w:lang w:val="cs-CZ"/>
                </w:rPr>
                <m:t>F</m:t>
              </m:r>
            </m:e>
            <m:sub>
              <m:r>
                <w:rPr>
                  <w:rFonts w:ascii="Cambria Math" w:hAnsi="Cambria Math"/>
                  <w:szCs w:val="20"/>
                  <w:lang w:val="cs-CZ"/>
                </w:rPr>
                <m:t>POR</m:t>
              </m:r>
            </m:sub>
          </m:sSub>
          <m:r>
            <w:rPr>
              <w:rFonts w:ascii="Cambria Math" w:hAnsi="Cambria Math"/>
              <w:szCs w:val="20"/>
              <w:lang w:val="cs-CZ"/>
            </w:rPr>
            <m:t>=0,118 ∙1500=</m:t>
          </m:r>
          <m:r>
            <m:rPr>
              <m:sty m:val="bi"/>
            </m:rPr>
            <w:rPr>
              <w:rFonts w:ascii="Cambria Math" w:hAnsi="Cambria Math"/>
              <w:szCs w:val="20"/>
              <w:lang w:val="cs-CZ"/>
            </w:rPr>
            <m:t xml:space="preserve">177 </m:t>
          </m:r>
          <m:d>
            <m:dPr>
              <m:begChr m:val="["/>
              <m:endChr m:val="]"/>
              <m:ctrlPr>
                <w:rPr>
                  <w:rFonts w:ascii="Cambria Math" w:hAnsi="Cambria Math"/>
                  <w:b/>
                  <w:i/>
                  <w:szCs w:val="20"/>
                  <w:lang w:val="cs-CZ"/>
                </w:rPr>
              </m:ctrlPr>
            </m:dPr>
            <m:e>
              <m:r>
                <m:rPr>
                  <m:sty m:val="bi"/>
                </m:rPr>
                <w:rPr>
                  <w:rFonts w:ascii="Cambria Math" w:hAnsi="Cambria Math"/>
                  <w:szCs w:val="20"/>
                  <w:lang w:val="cs-CZ"/>
                </w:rPr>
                <m:t>kN</m:t>
              </m:r>
            </m:e>
          </m:d>
        </m:oMath>
      </m:oMathPara>
    </w:p>
    <w:p w:rsidR="003B6E11" w:rsidRPr="003B6E11" w:rsidRDefault="003B6E11" w:rsidP="003B6E11">
      <w:pPr>
        <w:tabs>
          <w:tab w:val="left" w:pos="284"/>
          <w:tab w:val="left" w:pos="454"/>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992"/>
        </w:tabs>
        <w:overflowPunct w:val="0"/>
        <w:adjustRightInd w:val="0"/>
        <w:spacing w:line="240" w:lineRule="atLeast"/>
        <w:ind w:left="992"/>
        <w:textAlignment w:val="baseline"/>
        <w:rPr>
          <w:szCs w:val="20"/>
          <w:lang w:val="cs-CZ"/>
        </w:rPr>
      </w:pPr>
      <w:r w:rsidRPr="003B6E11">
        <w:rPr>
          <w:lang w:val="cs-CZ"/>
        </w:rPr>
        <w:t>g)</w:t>
      </w:r>
      <w:r w:rsidRPr="003B6E11">
        <w:rPr>
          <w:lang w:val="cs-CZ"/>
        </w:rPr>
        <w:tab/>
        <w:t xml:space="preserve">Výpočet </w:t>
      </w:r>
      <m:oMath>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IST</m:t>
                </m:r>
              </m:sub>
            </m:sSub>
          </m:sub>
        </m:sSub>
      </m:oMath>
      <w:r w:rsidRPr="003B6E11">
        <w:rPr>
          <w:lang w:val="cs-CZ"/>
        </w:rPr>
        <w:t xml:space="preserve"> pomocí vzorce v písmenu b) a výsledků podle písmen c), d), e) a f) </w:t>
      </w:r>
    </w:p>
    <w:p w:rsidR="003B6E11" w:rsidRPr="003B6E11" w:rsidRDefault="003B6E11" w:rsidP="003B6E11">
      <w:pPr>
        <w:tabs>
          <w:tab w:val="left" w:pos="284"/>
          <w:tab w:val="left" w:pos="454"/>
        </w:tabs>
        <w:overflowPunct w:val="0"/>
        <w:adjustRightInd w:val="0"/>
        <w:spacing w:line="240" w:lineRule="exact"/>
        <w:ind w:left="284" w:hanging="284"/>
        <w:textAlignment w:val="baseline"/>
        <w:rPr>
          <w:szCs w:val="20"/>
          <w:lang w:val="cs-CZ"/>
        </w:rPr>
      </w:pPr>
    </w:p>
    <w:p w:rsidR="003B6E11" w:rsidRPr="003B6E11" w:rsidRDefault="002D015D" w:rsidP="003B6E11">
      <w:pPr>
        <w:tabs>
          <w:tab w:val="left" w:pos="992"/>
        </w:tabs>
        <w:overflowPunct w:val="0"/>
        <w:adjustRightInd w:val="0"/>
        <w:spacing w:line="240" w:lineRule="atLeast"/>
        <w:ind w:left="992" w:firstLine="1"/>
        <w:textAlignment w:val="baseline"/>
        <w:rPr>
          <w:szCs w:val="20"/>
          <w:lang w:val="cs-CZ"/>
        </w:rPr>
      </w:pPr>
      <m:oMathPara>
        <m:oMathParaPr>
          <m:jc m:val="left"/>
        </m:oMathParaPr>
        <m:oMath>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IST</m:t>
                  </m:r>
                </m:sub>
              </m:sSub>
            </m:sub>
          </m:sSub>
          <m:r>
            <w:rPr>
              <w:rFonts w:ascii="Cambria Math" w:hAnsi="Cambria Math"/>
              <w:szCs w:val="20"/>
              <w:lang w:val="cs-CZ"/>
            </w:rPr>
            <m:t xml:space="preserve">= </m:t>
          </m:r>
          <m:f>
            <m:fPr>
              <m:ctrlPr>
                <w:rPr>
                  <w:rFonts w:ascii="Cambria Math" w:hAnsi="Cambria Math"/>
                  <w:i/>
                  <w:szCs w:val="20"/>
                  <w:lang w:val="cs-CZ"/>
                </w:rPr>
              </m:ctrlPr>
            </m:fPr>
            <m:num>
              <m:r>
                <w:rPr>
                  <w:rFonts w:ascii="Cambria Math" w:hAnsi="Cambria Math"/>
                  <w:szCs w:val="20"/>
                  <w:lang w:val="cs-CZ"/>
                </w:rPr>
                <m:t xml:space="preserve">0,12 ∙8,35 ∙9,81 ∙  </m:t>
              </m:r>
              <m:d>
                <m:dPr>
                  <m:ctrlPr>
                    <w:rPr>
                      <w:rFonts w:ascii="Cambria Math" w:hAnsi="Cambria Math"/>
                      <w:i/>
                      <w:szCs w:val="20"/>
                      <w:lang w:val="cs-CZ"/>
                    </w:rPr>
                  </m:ctrlPr>
                </m:dPr>
                <m:e>
                  <m:r>
                    <w:rPr>
                      <w:rFonts w:ascii="Cambria Math" w:hAnsi="Cambria Math"/>
                      <w:szCs w:val="20"/>
                      <w:lang w:val="cs-CZ"/>
                    </w:rPr>
                    <m:t xml:space="preserve">0,48+ </m:t>
                  </m:r>
                  <m:f>
                    <m:fPr>
                      <m:ctrlPr>
                        <w:rPr>
                          <w:rFonts w:ascii="Cambria Math" w:hAnsi="Cambria Math"/>
                          <w:i/>
                          <w:szCs w:val="20"/>
                          <w:lang w:val="cs-CZ"/>
                        </w:rPr>
                      </m:ctrlPr>
                    </m:fPr>
                    <m:num>
                      <m:r>
                        <w:rPr>
                          <w:rFonts w:ascii="Cambria Math" w:hAnsi="Cambria Math"/>
                          <w:szCs w:val="20"/>
                          <w:lang w:val="cs-CZ"/>
                        </w:rPr>
                        <m:t>1,4</m:t>
                      </m:r>
                    </m:num>
                    <m:den>
                      <m:r>
                        <w:rPr>
                          <w:rFonts w:ascii="Cambria Math" w:hAnsi="Cambria Math"/>
                          <w:szCs w:val="20"/>
                          <w:lang w:val="cs-CZ"/>
                        </w:rPr>
                        <m:t>2,89</m:t>
                      </m:r>
                    </m:den>
                  </m:f>
                </m:e>
              </m:d>
            </m:num>
            <m:den>
              <m:r>
                <w:rPr>
                  <w:rFonts w:ascii="Cambria Math" w:hAnsi="Cambria Math"/>
                  <w:szCs w:val="20"/>
                  <w:lang w:val="cs-CZ"/>
                </w:rPr>
                <m:t>1,15 ∙177+35,4-15,02</m:t>
              </m:r>
            </m:den>
          </m:f>
          <m:r>
            <w:rPr>
              <w:rFonts w:ascii="Cambria Math" w:hAnsi="Cambria Math"/>
              <w:szCs w:val="20"/>
              <w:lang w:val="cs-CZ"/>
            </w:rPr>
            <m:t xml:space="preserve"> ∙ 9568</m:t>
          </m:r>
        </m:oMath>
      </m:oMathPara>
    </w:p>
    <w:p w:rsidR="003B6E11" w:rsidRPr="003B6E11" w:rsidRDefault="003B6E11" w:rsidP="003B6E11">
      <w:pPr>
        <w:tabs>
          <w:tab w:val="left" w:pos="1418"/>
        </w:tabs>
        <w:overflowPunct w:val="0"/>
        <w:adjustRightInd w:val="0"/>
        <w:spacing w:line="240" w:lineRule="atLeast"/>
        <w:ind w:left="1417"/>
        <w:textAlignment w:val="baseline"/>
        <w:rPr>
          <w:szCs w:val="20"/>
          <w:lang w:val="cs-CZ"/>
        </w:rPr>
      </w:pPr>
    </w:p>
    <w:p w:rsidR="003B6E11" w:rsidRPr="003B6E11" w:rsidRDefault="002D015D" w:rsidP="003B6E11">
      <w:pPr>
        <w:tabs>
          <w:tab w:val="left" w:pos="992"/>
        </w:tabs>
        <w:overflowPunct w:val="0"/>
        <w:adjustRightInd w:val="0"/>
        <w:spacing w:line="240" w:lineRule="atLeast"/>
        <w:ind w:left="992"/>
        <w:textAlignment w:val="baseline"/>
        <w:rPr>
          <w:szCs w:val="20"/>
          <w:lang w:val="cs-CZ"/>
        </w:rPr>
      </w:pPr>
      <m:oMathPara>
        <m:oMathParaPr>
          <m:jc m:val="left"/>
        </m:oMathParaPr>
        <m:oMath>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IST</m:t>
                  </m:r>
                </m:sub>
              </m:sSub>
            </m:sub>
          </m:sSub>
          <m:r>
            <w:rPr>
              <w:rFonts w:ascii="Cambria Math" w:hAnsi="Cambria Math"/>
              <w:szCs w:val="20"/>
              <w:lang w:val="cs-CZ"/>
            </w:rPr>
            <m:t>=</m:t>
          </m:r>
          <m:r>
            <m:rPr>
              <m:sty m:val="bi"/>
            </m:rPr>
            <w:rPr>
              <w:rFonts w:ascii="Cambria Math" w:hAnsi="Cambria Math"/>
              <w:szCs w:val="20"/>
              <w:lang w:val="cs-CZ"/>
            </w:rPr>
            <m:t>402 m</m:t>
          </m:r>
        </m:oMath>
      </m:oMathPara>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992"/>
        </w:tabs>
        <w:overflowPunct w:val="0"/>
        <w:adjustRightInd w:val="0"/>
        <w:spacing w:line="240" w:lineRule="atLeast"/>
        <w:ind w:left="992"/>
        <w:textAlignment w:val="baseline"/>
        <w:rPr>
          <w:szCs w:val="20"/>
          <w:lang w:val="cs-CZ"/>
        </w:rPr>
      </w:pPr>
      <w:r w:rsidRPr="003B6E11">
        <w:rPr>
          <w:lang w:val="cs-CZ"/>
        </w:rPr>
        <w:t>h)</w:t>
      </w:r>
      <w:r w:rsidRPr="003B6E11">
        <w:rPr>
          <w:lang w:val="cs-CZ"/>
        </w:rPr>
        <w:tab/>
        <w:t>Výpočet celkové vzdálenosti podle vzorce (3.1)</w:t>
      </w:r>
    </w:p>
    <w:p w:rsidR="003B6E11" w:rsidRPr="003B6E11" w:rsidRDefault="003B6E11" w:rsidP="003B6E11">
      <w:pPr>
        <w:tabs>
          <w:tab w:val="left" w:pos="284"/>
        </w:tabs>
        <w:overflowPunct w:val="0"/>
        <w:adjustRightInd w:val="0"/>
        <w:spacing w:line="240" w:lineRule="exact"/>
        <w:ind w:left="284" w:hanging="284"/>
        <w:textAlignment w:val="baseline"/>
        <w:rPr>
          <w:szCs w:val="20"/>
          <w:lang w:val="cs-CZ"/>
        </w:rPr>
      </w:pPr>
    </w:p>
    <w:p w:rsidR="003B6E11" w:rsidRPr="003B6E11" w:rsidRDefault="002D015D" w:rsidP="003B6E11">
      <w:pPr>
        <w:tabs>
          <w:tab w:val="left" w:pos="992"/>
        </w:tabs>
        <w:overflowPunct w:val="0"/>
        <w:adjustRightInd w:val="0"/>
        <w:spacing w:line="240" w:lineRule="atLeast"/>
        <w:ind w:left="992"/>
        <w:textAlignment w:val="baseline"/>
        <w:rPr>
          <w:szCs w:val="20"/>
          <w:lang w:val="cs-CZ"/>
        </w:rPr>
      </w:pPr>
      <m:oMathPara>
        <m:oMathParaPr>
          <m:jc m:val="left"/>
        </m:oMathParaPr>
        <m:oMath>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m:t>
                  </m:r>
                </m:e>
                <m:sub>
                  <m:r>
                    <w:rPr>
                      <w:rFonts w:ascii="Cambria Math" w:hAnsi="Cambria Math"/>
                      <w:szCs w:val="20"/>
                      <w:lang w:val="cs-CZ"/>
                    </w:rPr>
                    <m:t>IST</m:t>
                  </m:r>
                </m:sub>
              </m:sSub>
            </m:sub>
          </m:sSub>
          <m:r>
            <w:rPr>
              <w:rFonts w:ascii="Cambria Math" w:hAnsi="Cambria Math"/>
              <w:szCs w:val="20"/>
              <w:lang w:val="cs-CZ"/>
            </w:rPr>
            <m:t>=73+402=</m:t>
          </m:r>
          <m:r>
            <m:rPr>
              <m:sty m:val="bi"/>
            </m:rPr>
            <w:rPr>
              <w:rFonts w:ascii="Cambria Math" w:hAnsi="Cambria Math"/>
              <w:szCs w:val="20"/>
              <w:lang w:val="cs-CZ"/>
            </w:rPr>
            <m:t>475 m</m:t>
          </m:r>
        </m:oMath>
      </m:oMathPara>
    </w:p>
    <w:p w:rsidR="003B6E11" w:rsidRPr="003B6E11" w:rsidRDefault="003B6E11" w:rsidP="003B6E11">
      <w:pPr>
        <w:tabs>
          <w:tab w:val="left" w:pos="284"/>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567"/>
        </w:tabs>
        <w:overflowPunct w:val="0"/>
        <w:adjustRightInd w:val="0"/>
        <w:spacing w:line="240" w:lineRule="atLeast"/>
        <w:ind w:left="567" w:hanging="567"/>
        <w:textAlignment w:val="baseline"/>
        <w:rPr>
          <w:b/>
          <w:bCs/>
          <w:position w:val="6"/>
          <w:szCs w:val="20"/>
          <w:lang w:val="cs-CZ"/>
        </w:rPr>
      </w:pPr>
      <w:r w:rsidRPr="003B6E11">
        <w:rPr>
          <w:b/>
          <w:lang w:val="cs-CZ"/>
        </w:rPr>
        <w:t>4.3</w:t>
      </w:r>
      <w:r w:rsidRPr="003B6E11">
        <w:rPr>
          <w:lang w:val="cs-CZ"/>
        </w:rPr>
        <w:tab/>
      </w:r>
      <w:r w:rsidRPr="003B6E11">
        <w:rPr>
          <w:b/>
          <w:lang w:val="cs-CZ"/>
        </w:rPr>
        <w:t xml:space="preserve">Výpočet </w:t>
      </w:r>
      <m:oMath>
        <m:sSub>
          <m:sSubPr>
            <m:ctrlPr>
              <w:rPr>
                <w:rFonts w:ascii="Cambria Math" w:hAnsi="Cambria Math"/>
                <w:i/>
                <w:noProof/>
                <w:lang w:val="cs-CZ"/>
              </w:rPr>
            </m:ctrlPr>
          </m:sSubPr>
          <m:e>
            <m:r>
              <w:rPr>
                <w:rFonts w:ascii="Cambria Math" w:hAnsi="Cambria Math"/>
                <w:noProof/>
                <w:lang w:val="cs-CZ"/>
              </w:rPr>
              <m:t>s</m:t>
            </m:r>
          </m:e>
          <m:sub>
            <m:r>
              <w:rPr>
                <w:rFonts w:ascii="Cambria Math" w:hAnsi="Cambria Math"/>
                <w:noProof/>
                <w:lang w:val="cs-CZ"/>
              </w:rPr>
              <m:t>SOLL</m:t>
            </m:r>
          </m:sub>
        </m:sSub>
      </m:oMath>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567"/>
        </w:tabs>
        <w:overflowPunct w:val="0"/>
        <w:adjustRightInd w:val="0"/>
        <w:spacing w:line="240" w:lineRule="atLeast"/>
        <w:ind w:left="567"/>
        <w:textAlignment w:val="baseline"/>
        <w:rPr>
          <w:szCs w:val="20"/>
          <w:lang w:val="cs-CZ"/>
        </w:rPr>
      </w:pPr>
      <w:r w:rsidRPr="003B6E11">
        <w:rPr>
          <w:lang w:val="cs-CZ"/>
        </w:rPr>
        <w:t xml:space="preserve">Počáteční hodnoty: </w:t>
      </w:r>
    </w:p>
    <w:p w:rsidR="003B6E11" w:rsidRPr="003B6E11" w:rsidRDefault="003B6E11" w:rsidP="003B6E11">
      <w:pPr>
        <w:tabs>
          <w:tab w:val="left" w:pos="284"/>
        </w:tabs>
        <w:overflowPunct w:val="0"/>
        <w:adjustRightInd w:val="0"/>
        <w:spacing w:line="240" w:lineRule="exact"/>
        <w:ind w:left="284" w:hanging="284"/>
        <w:textAlignment w:val="baseline"/>
        <w:rPr>
          <w:szCs w:val="20"/>
          <w:lang w:val="cs-CZ"/>
        </w:rPr>
      </w:pPr>
    </w:p>
    <w:p w:rsidR="003B6E11" w:rsidRPr="003B6E11" w:rsidRDefault="002D015D" w:rsidP="003B6E11">
      <w:pPr>
        <w:tabs>
          <w:tab w:val="left" w:pos="567"/>
          <w:tab w:val="left" w:pos="1701"/>
          <w:tab w:val="left" w:pos="1985"/>
          <w:tab w:val="left" w:pos="2835"/>
          <w:tab w:val="left" w:pos="4962"/>
          <w:tab w:val="left" w:pos="5812"/>
          <w:tab w:val="left" w:pos="6096"/>
          <w:tab w:val="left" w:pos="6663"/>
          <w:tab w:val="left" w:pos="7088"/>
        </w:tabs>
        <w:overflowPunct w:val="0"/>
        <w:adjustRightInd w:val="0"/>
        <w:spacing w:line="240" w:lineRule="atLeast"/>
        <w:ind w:left="567"/>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STR</m:t>
                </m:r>
              </m:e>
              <m:sub>
                <m:r>
                  <w:rPr>
                    <w:rFonts w:ascii="Cambria Math" w:hAnsi="Cambria Math"/>
                    <w:szCs w:val="20"/>
                    <w:lang w:val="cs-CZ"/>
                  </w:rPr>
                  <m:t>SOLL</m:t>
                </m:r>
              </m:sub>
            </m:sSub>
          </m:sub>
        </m:sSub>
        <m:r>
          <w:rPr>
            <w:rFonts w:ascii="Cambria Math" w:hAnsi="Cambria Math"/>
            <w:szCs w:val="20"/>
            <w:lang w:val="cs-CZ"/>
          </w:rPr>
          <m:t>=1,5 m/s  ≈  5,4  km/h</m:t>
        </m:r>
      </m:oMath>
      <w:r w:rsidR="003B6E11" w:rsidRPr="003B6E11">
        <w:rPr>
          <w:lang w:val="cs-CZ"/>
        </w:rPr>
        <w:tab/>
      </w:r>
      <m:oMath>
        <m:sSub>
          <m:sSubPr>
            <m:ctrlPr>
              <w:rPr>
                <w:rFonts w:ascii="Cambria Math" w:hAnsi="Cambria Math"/>
                <w:i/>
                <w:szCs w:val="20"/>
                <w:lang w:val="cs-CZ"/>
              </w:rPr>
            </m:ctrlPr>
          </m:sSubPr>
          <m:e>
            <m:r>
              <w:rPr>
                <w:rFonts w:ascii="Cambria Math" w:hAnsi="Cambria Math"/>
                <w:szCs w:val="20"/>
                <w:lang w:val="cs-CZ"/>
              </w:rPr>
              <m:t>D</m:t>
            </m:r>
          </m:e>
          <m:sub>
            <m:r>
              <w:rPr>
                <w:rFonts w:ascii="Cambria Math" w:hAnsi="Cambria Math"/>
                <w:szCs w:val="20"/>
                <w:lang w:val="cs-CZ"/>
              </w:rPr>
              <m:t>SOLL</m:t>
            </m:r>
          </m:sub>
        </m:sSub>
      </m:oMath>
      <w:r w:rsidR="003B6E11" w:rsidRPr="003B6E11">
        <w:rPr>
          <w:lang w:val="cs-CZ"/>
        </w:rPr>
        <w:t xml:space="preserve"> = </w:t>
      </w:r>
      <m:oMath>
        <m:sSub>
          <m:sSubPr>
            <m:ctrlPr>
              <w:rPr>
                <w:rFonts w:ascii="Cambria Math" w:hAnsi="Cambria Math"/>
                <w:i/>
                <w:szCs w:val="20"/>
                <w:lang w:val="cs-CZ"/>
              </w:rPr>
            </m:ctrlPr>
          </m:sSubPr>
          <m:e>
            <m:r>
              <w:rPr>
                <w:rFonts w:ascii="Cambria Math" w:hAnsi="Cambria Math"/>
                <w:szCs w:val="20"/>
                <w:lang w:val="cs-CZ"/>
              </w:rPr>
              <m:t>D</m:t>
            </m:r>
          </m:e>
          <m:sub>
            <m:r>
              <w:rPr>
                <w:rFonts w:ascii="Cambria Math" w:hAnsi="Cambria Math"/>
                <w:szCs w:val="20"/>
                <w:lang w:val="cs-CZ"/>
              </w:rPr>
              <m:t>IST</m:t>
            </m:r>
          </m:sub>
        </m:sSub>
        <m:r>
          <w:rPr>
            <w:rFonts w:ascii="Cambria Math" w:hAnsi="Cambria Math"/>
            <w:szCs w:val="20"/>
            <w:lang w:val="cs-CZ"/>
          </w:rPr>
          <m:t xml:space="preserve">=9568 </m:t>
        </m:r>
        <m:sSup>
          <m:sSupPr>
            <m:ctrlPr>
              <w:rPr>
                <w:rFonts w:ascii="Cambria Math" w:hAnsi="Cambria Math"/>
                <w:i/>
                <w:szCs w:val="20"/>
                <w:lang w:val="cs-CZ"/>
              </w:rPr>
            </m:ctrlPr>
          </m:sSupPr>
          <m:e>
            <m:r>
              <w:rPr>
                <w:rFonts w:ascii="Cambria Math" w:hAnsi="Cambria Math"/>
                <w:szCs w:val="20"/>
                <w:lang w:val="cs-CZ"/>
              </w:rPr>
              <m:t>m</m:t>
            </m:r>
          </m:e>
          <m:sup>
            <m:r>
              <w:rPr>
                <w:rFonts w:ascii="Cambria Math" w:hAnsi="Cambria Math"/>
                <w:szCs w:val="20"/>
                <w:lang w:val="cs-CZ"/>
              </w:rPr>
              <m:t>3</m:t>
            </m:r>
          </m:sup>
        </m:sSup>
      </m:oMath>
    </w:p>
    <w:p w:rsidR="003B6E11" w:rsidRPr="003B6E11" w:rsidRDefault="003B6E11" w:rsidP="003B6E11">
      <w:pPr>
        <w:tabs>
          <w:tab w:val="left" w:pos="284"/>
          <w:tab w:val="left" w:pos="1418"/>
          <w:tab w:val="left" w:pos="2552"/>
        </w:tabs>
        <w:overflowPunct w:val="0"/>
        <w:adjustRightInd w:val="0"/>
        <w:spacing w:line="240" w:lineRule="exact"/>
        <w:textAlignment w:val="baseline"/>
        <w:rPr>
          <w:szCs w:val="20"/>
          <w:lang w:val="cs-CZ"/>
        </w:rPr>
      </w:pPr>
    </w:p>
    <w:p w:rsidR="003B6E11" w:rsidRPr="003B6E11" w:rsidRDefault="002D015D" w:rsidP="003B6E11">
      <w:pPr>
        <w:tabs>
          <w:tab w:val="left" w:pos="567"/>
          <w:tab w:val="left" w:pos="1701"/>
          <w:tab w:val="left" w:pos="1985"/>
          <w:tab w:val="left" w:pos="2835"/>
          <w:tab w:val="left" w:pos="4962"/>
          <w:tab w:val="left" w:pos="5812"/>
          <w:tab w:val="left" w:pos="6096"/>
          <w:tab w:val="left" w:pos="6663"/>
          <w:tab w:val="left" w:pos="7088"/>
        </w:tabs>
        <w:overflowPunct w:val="0"/>
        <w:adjustRightInd w:val="0"/>
        <w:spacing w:line="240" w:lineRule="atLeast"/>
        <w:ind w:left="567"/>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SOLL</m:t>
                </m:r>
              </m:sub>
            </m:sSub>
          </m:sub>
        </m:sSub>
        <m:r>
          <w:rPr>
            <w:rFonts w:ascii="Cambria Math" w:hAnsi="Cambria Math"/>
            <w:szCs w:val="20"/>
            <w:lang w:val="cs-CZ"/>
          </w:rPr>
          <m:t>=3,6 m/s  ≈  13  km/h</m:t>
        </m:r>
      </m:oMath>
      <w:r w:rsidR="003B6E11" w:rsidRPr="003B6E11">
        <w:rPr>
          <w:lang w:val="cs-CZ"/>
        </w:rPr>
        <w:tab/>
      </w: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SOLL</m:t>
            </m:r>
          </m:sub>
        </m:sSub>
      </m:oMath>
      <w:r w:rsidR="003B6E11" w:rsidRPr="003B6E11">
        <w:rPr>
          <w:lang w:val="cs-CZ"/>
        </w:rPr>
        <w:t xml:space="preserve"> = </w:t>
      </w: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IST</m:t>
            </m:r>
          </m:sub>
        </m:sSub>
        <m:r>
          <w:rPr>
            <w:rFonts w:ascii="Cambria Math" w:hAnsi="Cambria Math"/>
            <w:szCs w:val="20"/>
            <w:lang w:val="cs-CZ"/>
          </w:rPr>
          <m:t>=2,96 m</m:t>
        </m:r>
      </m:oMath>
    </w:p>
    <w:p w:rsidR="003B6E11" w:rsidRPr="003B6E11" w:rsidRDefault="003B6E11" w:rsidP="003B6E11">
      <w:pPr>
        <w:tabs>
          <w:tab w:val="left" w:pos="567"/>
          <w:tab w:val="left" w:pos="1701"/>
          <w:tab w:val="left" w:pos="1985"/>
          <w:tab w:val="left" w:pos="2835"/>
          <w:tab w:val="left" w:pos="4962"/>
          <w:tab w:val="left" w:pos="5812"/>
          <w:tab w:val="left" w:pos="6096"/>
          <w:tab w:val="left" w:pos="6663"/>
          <w:tab w:val="left" w:pos="7088"/>
        </w:tabs>
        <w:overflowPunct w:val="0"/>
        <w:adjustRightInd w:val="0"/>
        <w:spacing w:line="240" w:lineRule="atLeast"/>
        <w:ind w:left="567"/>
        <w:textAlignment w:val="baseline"/>
        <w:rPr>
          <w:szCs w:val="20"/>
          <w:lang w:val="cs-CZ"/>
        </w:rPr>
      </w:pPr>
    </w:p>
    <w:p w:rsidR="003B6E11" w:rsidRPr="003B6E11" w:rsidRDefault="002D015D" w:rsidP="003B6E11">
      <w:pPr>
        <w:tabs>
          <w:tab w:val="left" w:pos="567"/>
        </w:tabs>
        <w:overflowPunct w:val="0"/>
        <w:adjustRightInd w:val="0"/>
        <w:spacing w:line="240" w:lineRule="atLeast"/>
        <w:ind w:left="567"/>
        <w:textAlignment w:val="baseline"/>
        <w:rPr>
          <w:szCs w:val="20"/>
          <w:lang w:val="cs-CZ"/>
        </w:rPr>
      </w:pPr>
      <m:oMathPara>
        <m:oMathParaPr>
          <m:jc m:val="left"/>
        </m:oMathParaPr>
        <m:oMath>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L</m:t>
                  </m:r>
                </m:e>
                <m:sub>
                  <m:r>
                    <w:rPr>
                      <w:rFonts w:ascii="Cambria Math" w:hAnsi="Cambria Math"/>
                      <w:szCs w:val="20"/>
                      <w:lang w:val="cs-CZ"/>
                    </w:rPr>
                    <m:t>SOLL</m:t>
                  </m:r>
                </m:sub>
              </m:sSub>
            </m:sub>
          </m:sSub>
          <m:r>
            <w:rPr>
              <w:rFonts w:ascii="Cambria Math" w:hAnsi="Cambria Math"/>
              <w:szCs w:val="20"/>
              <w:lang w:val="cs-CZ"/>
            </w:rPr>
            <m:t>=5,1 m/s  ≈  18,4  km/h</m:t>
          </m:r>
        </m:oMath>
      </m:oMathPara>
    </w:p>
    <w:p w:rsidR="003B6E11" w:rsidRPr="003B6E11" w:rsidRDefault="003B6E11" w:rsidP="003B6E11">
      <w:pPr>
        <w:tabs>
          <w:tab w:val="left" w:pos="567"/>
          <w:tab w:val="left" w:pos="1701"/>
          <w:tab w:val="left" w:pos="1985"/>
          <w:tab w:val="left" w:pos="2835"/>
          <w:tab w:val="left" w:pos="4962"/>
          <w:tab w:val="left" w:pos="5812"/>
          <w:tab w:val="left" w:pos="6096"/>
          <w:tab w:val="left" w:pos="6663"/>
          <w:tab w:val="left" w:pos="7088"/>
        </w:tabs>
        <w:overflowPunct w:val="0"/>
        <w:adjustRightInd w:val="0"/>
        <w:spacing w:line="240" w:lineRule="atLeast"/>
        <w:ind w:left="567"/>
        <w:textAlignment w:val="baseline"/>
        <w:rPr>
          <w:szCs w:val="20"/>
          <w:lang w:val="cs-CZ"/>
        </w:rPr>
      </w:pPr>
    </w:p>
    <w:p w:rsidR="003B6E11" w:rsidRPr="003B6E11" w:rsidRDefault="003B6E11" w:rsidP="003B6E11">
      <w:pPr>
        <w:tabs>
          <w:tab w:val="left" w:pos="992"/>
          <w:tab w:val="left" w:pos="1843"/>
          <w:tab w:val="left" w:pos="2127"/>
        </w:tabs>
        <w:overflowPunct w:val="0"/>
        <w:adjustRightInd w:val="0"/>
        <w:spacing w:line="240" w:lineRule="atLeast"/>
        <w:ind w:left="992"/>
        <w:textAlignment w:val="baseline"/>
        <w:rPr>
          <w:szCs w:val="20"/>
          <w:lang w:val="cs-CZ"/>
        </w:rPr>
      </w:pPr>
      <w:r w:rsidRPr="003B6E11">
        <w:rPr>
          <w:lang w:val="cs-CZ"/>
        </w:rPr>
        <w:t>a)</w:t>
      </w:r>
      <w:r w:rsidRPr="003B6E11">
        <w:rPr>
          <w:lang w:val="cs-CZ"/>
        </w:rPr>
        <w:tab/>
      </w:r>
      <m:oMath>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m:t>
                </m:r>
              </m:e>
              <m:sub>
                <m:r>
                  <w:rPr>
                    <w:rFonts w:ascii="Cambria Math" w:hAnsi="Cambria Math"/>
                    <w:szCs w:val="20"/>
                    <w:lang w:val="cs-CZ"/>
                  </w:rPr>
                  <m:t>SOLL</m:t>
                </m:r>
              </m:sub>
            </m:sSub>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1</m:t>
            </m:r>
          </m:sub>
        </m:sSub>
        <m:r>
          <w:rPr>
            <w:rFonts w:ascii="Cambria Math" w:hAnsi="Cambria Math"/>
            <w:szCs w:val="20"/>
            <w:lang w:val="cs-CZ"/>
          </w:rPr>
          <m:t xml:space="preserve"> ∙ </m:t>
        </m:r>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L</m:t>
                </m:r>
              </m:e>
              <m:sub>
                <m:r>
                  <w:rPr>
                    <w:rFonts w:ascii="Cambria Math" w:hAnsi="Cambria Math"/>
                    <w:szCs w:val="20"/>
                    <w:lang w:val="cs-CZ"/>
                  </w:rPr>
                  <m:t>SOLL</m:t>
                </m:r>
              </m:sub>
            </m:sSub>
          </m:sub>
        </m:sSub>
        <m:r>
          <w:rPr>
            <w:rFonts w:ascii="Cambria Math" w:hAnsi="Cambria Math"/>
            <w:szCs w:val="20"/>
            <w:lang w:val="cs-CZ"/>
          </w:rPr>
          <m:t xml:space="preserve"> ∙ </m:t>
        </m:r>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I</m:t>
            </m:r>
          </m:sub>
        </m:sSub>
      </m:oMath>
    </w:p>
    <w:p w:rsidR="003B6E11" w:rsidRPr="003B6E11" w:rsidRDefault="003B6E11" w:rsidP="003B6E11">
      <w:pPr>
        <w:tabs>
          <w:tab w:val="left" w:pos="284"/>
          <w:tab w:val="left" w:pos="851"/>
          <w:tab w:val="left" w:pos="1134"/>
          <w:tab w:val="left" w:pos="3261"/>
        </w:tabs>
        <w:overflowPunct w:val="0"/>
        <w:adjustRightInd w:val="0"/>
        <w:spacing w:line="240" w:lineRule="exact"/>
        <w:ind w:left="284" w:hanging="284"/>
        <w:textAlignment w:val="baseline"/>
        <w:rPr>
          <w:szCs w:val="20"/>
          <w:lang w:val="cs-CZ"/>
        </w:rPr>
      </w:pPr>
    </w:p>
    <w:p w:rsidR="003B6E11" w:rsidRPr="003B6E11" w:rsidRDefault="002D015D" w:rsidP="003B6E11">
      <w:pPr>
        <w:tabs>
          <w:tab w:val="left" w:pos="992"/>
          <w:tab w:val="left" w:pos="1843"/>
          <w:tab w:val="left" w:pos="2127"/>
        </w:tabs>
        <w:overflowPunct w:val="0"/>
        <w:adjustRightInd w:val="0"/>
        <w:spacing w:line="240" w:lineRule="atLeast"/>
        <w:ind w:left="992" w:firstLine="1"/>
        <w:textAlignment w:val="baseline"/>
        <w:rPr>
          <w:szCs w:val="20"/>
          <w:lang w:val="cs-CZ"/>
        </w:rPr>
      </w:pPr>
      <m:oMathPara>
        <m:oMathParaPr>
          <m:jc m:val="left"/>
        </m:oMathParaPr>
        <m:oMath>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m:t>
                  </m:r>
                </m:e>
                <m:sub>
                  <m:r>
                    <w:rPr>
                      <w:rFonts w:ascii="Cambria Math" w:hAnsi="Cambria Math"/>
                      <w:szCs w:val="20"/>
                      <w:lang w:val="cs-CZ"/>
                    </w:rPr>
                    <m:t>SOLL</m:t>
                  </m:r>
                </m:sub>
              </m:sSub>
            </m:sub>
          </m:sSub>
          <m:r>
            <w:rPr>
              <w:rFonts w:ascii="Cambria Math" w:hAnsi="Cambria Math"/>
              <w:szCs w:val="20"/>
              <w:lang w:val="cs-CZ"/>
            </w:rPr>
            <m:t>=0,95 ∙5,1 ∙16=</m:t>
          </m:r>
          <m:r>
            <m:rPr>
              <m:sty m:val="bi"/>
            </m:rPr>
            <w:rPr>
              <w:rFonts w:ascii="Cambria Math" w:hAnsi="Cambria Math"/>
              <w:szCs w:val="20"/>
              <w:lang w:val="cs-CZ"/>
            </w:rPr>
            <m:t>77,50 m</m:t>
          </m:r>
        </m:oMath>
      </m:oMathPara>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1843"/>
          <w:tab w:val="left" w:pos="2127"/>
          <w:tab w:val="center" w:pos="5103"/>
          <w:tab w:val="left" w:pos="6804"/>
          <w:tab w:val="center" w:pos="7938"/>
        </w:tabs>
        <w:overflowPunct w:val="0"/>
        <w:adjustRightInd w:val="0"/>
        <w:spacing w:line="240" w:lineRule="atLeast"/>
        <w:ind w:left="992"/>
        <w:textAlignment w:val="baseline"/>
        <w:rPr>
          <w:szCs w:val="20"/>
          <w:lang w:val="cs-CZ"/>
        </w:rPr>
      </w:pPr>
      <w:r w:rsidRPr="003B6E11">
        <w:rPr>
          <w:lang w:val="cs-CZ"/>
        </w:rPr>
        <w:t>b)</w:t>
      </w:r>
      <w:r w:rsidRPr="003B6E11">
        <w:rPr>
          <w:lang w:val="cs-CZ"/>
        </w:rPr>
        <w:tab/>
      </w:r>
      <m:oMath>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SOLL</m:t>
                </m:r>
              </m:sub>
            </m:sSub>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2</m:t>
            </m:r>
          </m:sub>
        </m:sSub>
        <m:r>
          <w:rPr>
            <w:rFonts w:ascii="Cambria Math" w:hAnsi="Cambria Math"/>
            <w:szCs w:val="20"/>
            <w:lang w:val="cs-CZ"/>
          </w:rPr>
          <m:t xml:space="preserve"> ∙ </m:t>
        </m:r>
        <m:sSub>
          <m:sSubPr>
            <m:ctrlPr>
              <w:rPr>
                <w:rFonts w:ascii="Cambria Math" w:hAnsi="Cambria Math"/>
                <w:i/>
                <w:szCs w:val="20"/>
                <w:lang w:val="cs-CZ"/>
              </w:rPr>
            </m:ctrlPr>
          </m:sSubPr>
          <m:e>
            <m:sSup>
              <m:sSupPr>
                <m:ctrlPr>
                  <w:rPr>
                    <w:rFonts w:ascii="Cambria Math" w:hAnsi="Cambria Math"/>
                    <w:i/>
                    <w:szCs w:val="20"/>
                    <w:lang w:val="cs-CZ"/>
                  </w:rPr>
                </m:ctrlPr>
              </m:sSupPr>
              <m:e>
                <m:r>
                  <w:rPr>
                    <w:rFonts w:ascii="Cambria Math" w:hAnsi="Cambria Math"/>
                    <w:szCs w:val="20"/>
                    <w:lang w:val="cs-CZ"/>
                  </w:rPr>
                  <m:t>v</m:t>
                </m:r>
              </m:e>
              <m:sup>
                <m:r>
                  <w:rPr>
                    <w:rFonts w:ascii="Cambria Math" w:hAnsi="Cambria Math"/>
                    <w:szCs w:val="20"/>
                    <w:lang w:val="cs-CZ"/>
                  </w:rPr>
                  <m:t>2</m:t>
                </m:r>
              </m:sup>
            </m:sSup>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SOLL</m:t>
                </m:r>
              </m:sub>
            </m:sSub>
          </m:sub>
        </m:sSub>
        <m:r>
          <w:rPr>
            <w:rFonts w:ascii="Cambria Math" w:hAnsi="Cambria Math"/>
            <w:szCs w:val="20"/>
            <w:lang w:val="cs-CZ"/>
          </w:rPr>
          <m:t xml:space="preserve"> ∙ </m:t>
        </m:r>
        <m:f>
          <m:fPr>
            <m:ctrlPr>
              <w:rPr>
                <w:rFonts w:ascii="Cambria Math" w:hAnsi="Cambria Math"/>
                <w:i/>
                <w:szCs w:val="20"/>
                <w:lang w:val="cs-CZ"/>
              </w:rPr>
            </m:ctrlPr>
          </m:fPr>
          <m:num>
            <m:sSub>
              <m:sSubPr>
                <m:ctrlPr>
                  <w:rPr>
                    <w:rFonts w:ascii="Cambria Math" w:hAnsi="Cambria Math"/>
                    <w:i/>
                    <w:szCs w:val="20"/>
                    <w:lang w:val="cs-CZ"/>
                  </w:rPr>
                </m:ctrlPr>
              </m:sSubPr>
              <m:e>
                <m:r>
                  <w:rPr>
                    <w:rFonts w:ascii="Cambria Math" w:hAnsi="Cambria Math"/>
                    <w:szCs w:val="20"/>
                    <w:lang w:val="cs-CZ"/>
                  </w:rPr>
                  <m:t>D</m:t>
                </m:r>
              </m:e>
              <m:sub>
                <m:r>
                  <w:rPr>
                    <w:rFonts w:ascii="Cambria Math" w:hAnsi="Cambria Math"/>
                    <w:szCs w:val="20"/>
                    <w:lang w:val="cs-CZ"/>
                  </w:rPr>
                  <m:t>SOLL</m:t>
                </m:r>
              </m:sub>
            </m:sSub>
            <m:r>
              <w:rPr>
                <w:rFonts w:ascii="Cambria Math" w:hAnsi="Cambria Math"/>
                <w:szCs w:val="20"/>
                <w:lang w:val="cs-CZ"/>
              </w:rPr>
              <m:t xml:space="preserve"> ∙  g</m:t>
            </m:r>
          </m:num>
          <m:den>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3</m:t>
                </m:r>
              </m:sub>
            </m:sSub>
            <m:r>
              <w:rPr>
                <w:rFonts w:ascii="Cambria Math" w:hAnsi="Cambria Math"/>
                <w:szCs w:val="20"/>
                <w:lang w:val="cs-CZ"/>
              </w:rPr>
              <m:t xml:space="preserve"> ∙ </m:t>
            </m:r>
            <m:sSub>
              <m:sSubPr>
                <m:ctrlPr>
                  <w:rPr>
                    <w:rFonts w:ascii="Cambria Math" w:hAnsi="Cambria Math"/>
                    <w:i/>
                    <w:szCs w:val="20"/>
                    <w:lang w:val="cs-CZ"/>
                  </w:rPr>
                </m:ctrlPr>
              </m:sSubPr>
              <m:e>
                <m:r>
                  <w:rPr>
                    <w:rFonts w:ascii="Cambria Math" w:hAnsi="Cambria Math"/>
                    <w:szCs w:val="20"/>
                    <w:lang w:val="cs-CZ"/>
                  </w:rPr>
                  <m:t>F</m:t>
                </m:r>
              </m:e>
              <m:sub>
                <m:r>
                  <w:rPr>
                    <w:rFonts w:ascii="Cambria Math" w:hAnsi="Cambria Math"/>
                    <w:szCs w:val="20"/>
                    <w:lang w:val="cs-CZ"/>
                  </w:rPr>
                  <m:t>POR</m:t>
                </m:r>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R</m:t>
                </m:r>
              </m:e>
              <m:sub>
                <m:sSub>
                  <m:sSubPr>
                    <m:ctrlPr>
                      <w:rPr>
                        <w:rFonts w:ascii="Cambria Math" w:hAnsi="Cambria Math"/>
                        <w:i/>
                        <w:szCs w:val="20"/>
                        <w:lang w:val="cs-CZ"/>
                      </w:rPr>
                    </m:ctrlPr>
                  </m:sSubPr>
                  <m:e>
                    <m:r>
                      <w:rPr>
                        <w:rFonts w:ascii="Cambria Math" w:hAnsi="Cambria Math"/>
                        <w:szCs w:val="20"/>
                        <w:lang w:val="cs-CZ"/>
                      </w:rPr>
                      <m:t>TmII</m:t>
                    </m:r>
                  </m:e>
                  <m:sub>
                    <m:r>
                      <w:rPr>
                        <w:rFonts w:ascii="Cambria Math" w:hAnsi="Cambria Math"/>
                        <w:szCs w:val="20"/>
                        <w:lang w:val="cs-CZ"/>
                      </w:rPr>
                      <m:t>SOLL</m:t>
                    </m:r>
                  </m:sub>
                </m:sSub>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G</m:t>
                </m:r>
              </m:sub>
            </m:sSub>
          </m:den>
        </m:f>
        <m:r>
          <w:rPr>
            <w:rFonts w:ascii="Cambria Math" w:hAnsi="Cambria Math"/>
            <w:szCs w:val="20"/>
            <w:lang w:val="cs-CZ"/>
          </w:rPr>
          <m:t xml:space="preserve"> ∙ </m:t>
        </m:r>
        <m:d>
          <m:dPr>
            <m:ctrlPr>
              <w:rPr>
                <w:rFonts w:ascii="Cambria Math" w:hAnsi="Cambria Math"/>
                <w:i/>
                <w:szCs w:val="20"/>
                <w:lang w:val="cs-CZ"/>
              </w:rPr>
            </m:ctrlPr>
          </m:dPr>
          <m:e>
            <m:sSub>
              <m:sSubPr>
                <m:ctrlPr>
                  <w:rPr>
                    <w:rFonts w:ascii="Cambria Math" w:hAnsi="Cambria Math"/>
                    <w:i/>
                    <w:szCs w:val="20"/>
                    <w:lang w:val="cs-CZ"/>
                  </w:rPr>
                </m:ctrlPr>
              </m:sSubPr>
              <m:e>
                <m:r>
                  <w:rPr>
                    <w:rFonts w:ascii="Cambria Math" w:hAnsi="Cambria Math"/>
                    <w:szCs w:val="20"/>
                    <w:lang w:val="cs-CZ"/>
                  </w:rPr>
                  <m:t>k</m:t>
                </m:r>
              </m:e>
              <m:sub>
                <m:r>
                  <w:rPr>
                    <w:rFonts w:ascii="Cambria Math" w:hAnsi="Cambria Math"/>
                    <w:szCs w:val="20"/>
                    <w:lang w:val="cs-CZ"/>
                  </w:rPr>
                  <m:t>4</m:t>
                </m:r>
              </m:sub>
            </m:sSub>
            <m:r>
              <w:rPr>
                <w:rFonts w:ascii="Cambria Math" w:hAnsi="Cambria Math"/>
                <w:szCs w:val="20"/>
                <w:lang w:val="cs-CZ"/>
              </w:rPr>
              <m:t xml:space="preserve">+ </m:t>
            </m:r>
            <m:f>
              <m:fPr>
                <m:ctrlPr>
                  <w:rPr>
                    <w:rFonts w:ascii="Cambria Math" w:hAnsi="Cambria Math"/>
                    <w:i/>
                    <w:szCs w:val="20"/>
                    <w:lang w:val="cs-CZ"/>
                  </w:rPr>
                </m:ctrlPr>
              </m:fPr>
              <m:num>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STR</m:t>
                        </m:r>
                      </m:e>
                      <m:sub>
                        <m:r>
                          <w:rPr>
                            <w:rFonts w:ascii="Cambria Math" w:hAnsi="Cambria Math"/>
                            <w:szCs w:val="20"/>
                            <w:lang w:val="cs-CZ"/>
                          </w:rPr>
                          <m:t>SOLL</m:t>
                        </m:r>
                      </m:sub>
                    </m:sSub>
                  </m:sub>
                </m:sSub>
              </m:num>
              <m:den>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SOLL</m:t>
                        </m:r>
                      </m:sub>
                    </m:sSub>
                  </m:sub>
                </m:sSub>
              </m:den>
            </m:f>
          </m:e>
        </m:d>
      </m:oMath>
    </w:p>
    <w:p w:rsidR="003B6E11" w:rsidRPr="003B6E11" w:rsidRDefault="003B6E11" w:rsidP="003B6E11">
      <w:pPr>
        <w:tabs>
          <w:tab w:val="left" w:pos="284"/>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284"/>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284"/>
        </w:tabs>
        <w:overflowPunct w:val="0"/>
        <w:adjustRightInd w:val="0"/>
        <w:spacing w:line="240" w:lineRule="exact"/>
        <w:ind w:left="284" w:hanging="284"/>
        <w:textAlignment w:val="baseline"/>
        <w:rPr>
          <w:szCs w:val="20"/>
          <w:lang w:val="cs-CZ"/>
        </w:rPr>
      </w:pPr>
      <w:r w:rsidRPr="003B6E11">
        <w:rPr>
          <w:lang w:val="cs-CZ"/>
        </w:rPr>
        <w:br w:type="page"/>
      </w:r>
    </w:p>
    <w:p w:rsidR="003B6E11" w:rsidRPr="003B6E11" w:rsidRDefault="003B6E11" w:rsidP="003B6E11">
      <w:pPr>
        <w:tabs>
          <w:tab w:val="left" w:pos="992"/>
        </w:tabs>
        <w:overflowPunct w:val="0"/>
        <w:adjustRightInd w:val="0"/>
        <w:spacing w:before="60" w:line="240" w:lineRule="atLeast"/>
        <w:ind w:left="992"/>
        <w:textAlignment w:val="baseline"/>
        <w:rPr>
          <w:szCs w:val="20"/>
          <w:lang w:val="cs-CZ"/>
        </w:rPr>
      </w:pPr>
      <w:r w:rsidRPr="003B6E11">
        <w:rPr>
          <w:lang w:val="cs-CZ"/>
        </w:rPr>
        <w:t>c)</w:t>
      </w:r>
      <w:r w:rsidRPr="003B6E11">
        <w:rPr>
          <w:lang w:val="cs-CZ"/>
        </w:rPr>
        <w:tab/>
        <w:t xml:space="preserve">Výpočet </w:t>
      </w: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R</m:t>
                </m:r>
              </m:e>
              <m:sub>
                <m:r>
                  <w:rPr>
                    <w:rFonts w:ascii="Cambria Math" w:hAnsi="Cambria Math"/>
                    <w:noProof/>
                    <w:lang w:val="cs-CZ"/>
                  </w:rPr>
                  <m:t>TmII</m:t>
                </m:r>
              </m:sub>
            </m:sSub>
          </m:e>
          <m:sub>
            <m:r>
              <w:rPr>
                <w:rFonts w:ascii="Cambria Math" w:hAnsi="Cambria Math"/>
                <w:noProof/>
                <w:lang w:val="cs-CZ"/>
              </w:rPr>
              <m:t>SOLL</m:t>
            </m:r>
          </m:sub>
        </m:sSub>
      </m:oMath>
    </w:p>
    <w:p w:rsidR="003B6E11" w:rsidRPr="003B6E11" w:rsidRDefault="003B6E11" w:rsidP="003B6E11">
      <w:pPr>
        <w:tabs>
          <w:tab w:val="left" w:pos="284"/>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3686"/>
        </w:tabs>
        <w:overflowPunct w:val="0"/>
        <w:adjustRightInd w:val="0"/>
        <w:spacing w:line="240" w:lineRule="atLeast"/>
        <w:ind w:left="993" w:hanging="1"/>
        <w:textAlignment w:val="baseline"/>
        <w:rPr>
          <w:szCs w:val="20"/>
          <w:lang w:val="cs-CZ"/>
        </w:rPr>
      </w:pPr>
      <w:r w:rsidRPr="003B6E11">
        <w:rPr>
          <w:lang w:val="cs-CZ"/>
        </w:rPr>
        <w:tab/>
      </w:r>
      <m:oMath>
        <m:f>
          <m:fPr>
            <m:ctrlPr>
              <w:rPr>
                <w:rFonts w:ascii="Cambria Math" w:hAnsi="Cambria Math"/>
                <w:i/>
                <w:szCs w:val="20"/>
                <w:lang w:val="cs-CZ"/>
              </w:rPr>
            </m:ctrlPr>
          </m:fPr>
          <m:num>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T</m:t>
                </m:r>
              </m:sub>
            </m:sSub>
          </m:num>
          <m:den>
            <m:sSup>
              <m:sSupPr>
                <m:ctrlPr>
                  <w:rPr>
                    <w:rFonts w:ascii="Cambria Math" w:hAnsi="Cambria Math"/>
                    <w:i/>
                    <w:szCs w:val="20"/>
                    <w:lang w:val="cs-CZ"/>
                  </w:rPr>
                </m:ctrlPr>
              </m:sSupPr>
              <m:e>
                <m:r>
                  <w:rPr>
                    <w:rFonts w:ascii="Cambria Math" w:hAnsi="Cambria Math"/>
                    <w:szCs w:val="20"/>
                    <w:lang w:val="cs-CZ"/>
                  </w:rPr>
                  <m:t>v</m:t>
                </m:r>
              </m:e>
              <m:sup>
                <m:r>
                  <w:rPr>
                    <w:rFonts w:ascii="Cambria Math" w:hAnsi="Cambria Math"/>
                    <w:szCs w:val="20"/>
                    <w:lang w:val="cs-CZ"/>
                  </w:rPr>
                  <m:t>2</m:t>
                </m:r>
              </m:sup>
            </m:sSup>
          </m:den>
        </m:f>
        <m:r>
          <w:rPr>
            <w:rFonts w:ascii="Cambria Math" w:hAnsi="Cambria Math"/>
            <w:szCs w:val="20"/>
            <w:lang w:val="cs-CZ"/>
          </w:rPr>
          <m:t xml:space="preserve">=14,0 </m:t>
        </m:r>
        <m:d>
          <m:dPr>
            <m:ctrlPr>
              <w:rPr>
                <w:rFonts w:ascii="Cambria Math" w:hAnsi="Cambria Math"/>
                <w:i/>
                <w:szCs w:val="20"/>
                <w:lang w:val="cs-CZ"/>
              </w:rPr>
            </m:ctrlPr>
          </m:dPr>
          <m:e>
            <m:f>
              <m:fPr>
                <m:ctrlPr>
                  <w:rPr>
                    <w:rFonts w:ascii="Cambria Math" w:hAnsi="Cambria Math"/>
                    <w:i/>
                    <w:szCs w:val="20"/>
                    <w:lang w:val="cs-CZ"/>
                  </w:rPr>
                </m:ctrlPr>
              </m:fPr>
              <m:num>
                <m:r>
                  <w:rPr>
                    <w:rFonts w:ascii="Cambria Math" w:hAnsi="Cambria Math"/>
                    <w:szCs w:val="20"/>
                    <w:lang w:val="cs-CZ"/>
                  </w:rPr>
                  <m:t xml:space="preserve">kN ∙ </m:t>
                </m:r>
                <m:sSup>
                  <m:sSupPr>
                    <m:ctrlPr>
                      <w:rPr>
                        <w:rFonts w:ascii="Cambria Math" w:hAnsi="Cambria Math"/>
                        <w:i/>
                        <w:szCs w:val="20"/>
                        <w:lang w:val="cs-CZ"/>
                      </w:rPr>
                    </m:ctrlPr>
                  </m:sSupPr>
                  <m:e>
                    <m:r>
                      <w:rPr>
                        <w:rFonts w:ascii="Cambria Math" w:hAnsi="Cambria Math"/>
                        <w:szCs w:val="20"/>
                        <w:lang w:val="cs-CZ"/>
                      </w:rPr>
                      <m:t>s</m:t>
                    </m:r>
                  </m:e>
                  <m:sup>
                    <m:r>
                      <w:rPr>
                        <w:rFonts w:ascii="Cambria Math" w:hAnsi="Cambria Math"/>
                        <w:szCs w:val="20"/>
                        <w:lang w:val="cs-CZ"/>
                      </w:rPr>
                      <m:t>2</m:t>
                    </m:r>
                  </m:sup>
                </m:sSup>
              </m:num>
              <m:den>
                <m:sSup>
                  <m:sSupPr>
                    <m:ctrlPr>
                      <w:rPr>
                        <w:rFonts w:ascii="Cambria Math" w:hAnsi="Cambria Math"/>
                        <w:i/>
                        <w:szCs w:val="20"/>
                        <w:lang w:val="cs-CZ"/>
                      </w:rPr>
                    </m:ctrlPr>
                  </m:sSupPr>
                  <m:e>
                    <m:r>
                      <w:rPr>
                        <w:rFonts w:ascii="Cambria Math" w:hAnsi="Cambria Math"/>
                        <w:szCs w:val="20"/>
                        <w:lang w:val="cs-CZ"/>
                      </w:rPr>
                      <m:t>m</m:t>
                    </m:r>
                  </m:e>
                  <m:sup>
                    <m:r>
                      <w:rPr>
                        <w:rFonts w:ascii="Cambria Math" w:hAnsi="Cambria Math"/>
                        <w:szCs w:val="20"/>
                        <w:lang w:val="cs-CZ"/>
                      </w:rPr>
                      <m:t>2</m:t>
                    </m:r>
                  </m:sup>
                </m:sSup>
              </m:den>
            </m:f>
          </m:e>
        </m:d>
      </m:oMath>
      <w:r w:rsidRPr="003B6E11">
        <w:rPr>
          <w:lang w:val="cs-CZ"/>
        </w:rPr>
        <w:tab/>
        <w:t xml:space="preserve">jako v bodě 4.2, protože </w:t>
      </w:r>
      <m:oMath>
        <m:r>
          <w:rPr>
            <w:rFonts w:ascii="Cambria Math" w:hAnsi="Cambria Math"/>
            <w:szCs w:val="20"/>
            <w:lang w:val="cs-CZ"/>
          </w:rPr>
          <m:t>B</m:t>
        </m:r>
      </m:oMath>
      <w:r w:rsidRPr="003B6E11">
        <w:rPr>
          <w:lang w:val="cs-CZ"/>
        </w:rPr>
        <w:t xml:space="preserve">, </w:t>
      </w:r>
      <m:oMath>
        <m:r>
          <w:rPr>
            <w:rFonts w:ascii="Cambria Math" w:hAnsi="Cambria Math"/>
            <w:szCs w:val="20"/>
            <w:lang w:val="cs-CZ"/>
          </w:rPr>
          <m:t>D</m:t>
        </m:r>
      </m:oMath>
      <w:r w:rsidRPr="003B6E11">
        <w:rPr>
          <w:lang w:val="cs-CZ"/>
        </w:rPr>
        <w:t xml:space="preserve"> a </w:t>
      </w:r>
      <m:oMath>
        <m:r>
          <w:rPr>
            <w:rFonts w:ascii="Cambria Math" w:hAnsi="Cambria Math"/>
            <w:szCs w:val="20"/>
            <w:lang w:val="cs-CZ"/>
          </w:rPr>
          <m:t>T</m:t>
        </m:r>
      </m:oMath>
      <w:r w:rsidRPr="003B6E11">
        <w:rPr>
          <w:lang w:val="cs-CZ"/>
        </w:rPr>
        <w:t xml:space="preserve"> jsou nezměněny</w:t>
      </w:r>
    </w:p>
    <w:p w:rsidR="003B6E11" w:rsidRPr="003B6E11" w:rsidRDefault="003B6E11" w:rsidP="003B6E11">
      <w:pPr>
        <w:tabs>
          <w:tab w:val="center" w:pos="3119"/>
        </w:tabs>
        <w:overflowPunct w:val="0"/>
        <w:adjustRightInd w:val="0"/>
        <w:spacing w:line="240" w:lineRule="exact"/>
        <w:textAlignment w:val="baseline"/>
        <w:rPr>
          <w:szCs w:val="20"/>
          <w:lang w:val="cs-CZ"/>
        </w:rPr>
      </w:pPr>
    </w:p>
    <w:p w:rsidR="003B6E11" w:rsidRPr="003B6E11" w:rsidRDefault="002D015D" w:rsidP="003B6E11">
      <w:pPr>
        <w:overflowPunct w:val="0"/>
        <w:adjustRightInd w:val="0"/>
        <w:spacing w:line="240" w:lineRule="atLeast"/>
        <w:ind w:left="992"/>
        <w:textAlignment w:val="baseline"/>
        <w:rPr>
          <w:szCs w:val="20"/>
          <w:lang w:val="cs-CZ"/>
        </w:rPr>
      </w:pPr>
      <m:oMathPara>
        <m:oMathParaPr>
          <m:jc m:val="left"/>
        </m:oMathParaPr>
        <m:oMath>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L</m:t>
                  </m:r>
                </m:e>
                <m:sub>
                  <m:r>
                    <w:rPr>
                      <w:rFonts w:ascii="Cambria Math" w:hAnsi="Cambria Math"/>
                      <w:szCs w:val="20"/>
                      <w:lang w:val="cs-CZ"/>
                    </w:rPr>
                    <m:t>SOLL</m:t>
                  </m:r>
                </m:sub>
              </m:sSub>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STR</m:t>
                  </m:r>
                </m:e>
                <m:sub>
                  <m:r>
                    <w:rPr>
                      <w:rFonts w:ascii="Cambria Math" w:hAnsi="Cambria Math"/>
                      <w:szCs w:val="20"/>
                      <w:lang w:val="cs-CZ"/>
                    </w:rPr>
                    <m:t>SOLL</m:t>
                  </m:r>
                </m:sub>
              </m:sSub>
            </m:sub>
          </m:sSub>
          <m:r>
            <w:rPr>
              <w:rFonts w:ascii="Cambria Math" w:hAnsi="Cambria Math"/>
              <w:szCs w:val="20"/>
              <w:lang w:val="cs-CZ"/>
            </w:rPr>
            <m:t xml:space="preserve">=3,6 </m:t>
          </m:r>
          <m:d>
            <m:dPr>
              <m:begChr m:val="["/>
              <m:endChr m:val="]"/>
              <m:ctrlPr>
                <w:rPr>
                  <w:rFonts w:ascii="Cambria Math" w:hAnsi="Cambria Math"/>
                  <w:i/>
                  <w:szCs w:val="20"/>
                  <w:lang w:val="cs-CZ"/>
                </w:rPr>
              </m:ctrlPr>
            </m:dPr>
            <m:e>
              <m:r>
                <w:rPr>
                  <w:rFonts w:ascii="Cambria Math" w:hAnsi="Cambria Math"/>
                  <w:szCs w:val="20"/>
                  <w:lang w:val="cs-CZ"/>
                </w:rPr>
                <m:t>m/s</m:t>
              </m:r>
            </m:e>
          </m:d>
        </m:oMath>
      </m:oMathPara>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2D015D" w:rsidP="003B6E11">
      <w:pPr>
        <w:overflowPunct w:val="0"/>
        <w:adjustRightInd w:val="0"/>
        <w:spacing w:line="240" w:lineRule="atLeast"/>
        <w:ind w:left="993"/>
        <w:textAlignment w:val="baseline"/>
        <w:rPr>
          <w:szCs w:val="20"/>
          <w:lang w:val="cs-CZ"/>
        </w:rPr>
      </w:pPr>
      <m:oMathPara>
        <m:oMathParaPr>
          <m:jc m:val="left"/>
        </m:oMathParaPr>
        <m:oMath>
          <m:sSub>
            <m:sSubPr>
              <m:ctrlPr>
                <w:rPr>
                  <w:rFonts w:ascii="Cambria Math" w:hAnsi="Cambria Math"/>
                  <w:i/>
                  <w:noProof/>
                  <w:lang w:val="cs-CZ"/>
                </w:rPr>
              </m:ctrlPr>
            </m:sSubPr>
            <m:e>
              <m:sSub>
                <m:sSubPr>
                  <m:ctrlPr>
                    <w:rPr>
                      <w:rFonts w:ascii="Cambria Math" w:hAnsi="Cambria Math"/>
                      <w:i/>
                      <w:noProof/>
                      <w:lang w:val="cs-CZ"/>
                    </w:rPr>
                  </m:ctrlPr>
                </m:sSubPr>
                <m:e>
                  <m:r>
                    <w:rPr>
                      <w:rFonts w:ascii="Cambria Math" w:hAnsi="Cambria Math"/>
                      <w:noProof/>
                      <w:lang w:val="cs-CZ"/>
                    </w:rPr>
                    <m:t>R</m:t>
                  </m:r>
                </m:e>
                <m:sub>
                  <m:r>
                    <w:rPr>
                      <w:rFonts w:ascii="Cambria Math" w:hAnsi="Cambria Math"/>
                      <w:noProof/>
                      <w:lang w:val="cs-CZ"/>
                    </w:rPr>
                    <m:t>TmII</m:t>
                  </m:r>
                </m:sub>
              </m:sSub>
            </m:e>
            <m:sub>
              <m:r>
                <w:rPr>
                  <w:rFonts w:ascii="Cambria Math" w:hAnsi="Cambria Math"/>
                  <w:noProof/>
                  <w:lang w:val="cs-CZ"/>
                </w:rPr>
                <m:t>SOLL</m:t>
              </m:r>
            </m:sub>
          </m:sSub>
          <m:r>
            <w:rPr>
              <w:rFonts w:ascii="Cambria Math" w:hAnsi="Cambria Math"/>
              <w:noProof/>
              <w:lang w:val="cs-CZ"/>
            </w:rPr>
            <m:t xml:space="preserve">= 14,0 ∙ </m:t>
          </m:r>
          <m:sSup>
            <m:sSupPr>
              <m:ctrlPr>
                <w:rPr>
                  <w:rFonts w:ascii="Cambria Math" w:hAnsi="Cambria Math"/>
                  <w:i/>
                  <w:noProof/>
                  <w:lang w:val="cs-CZ"/>
                </w:rPr>
              </m:ctrlPr>
            </m:sSupPr>
            <m:e>
              <m:d>
                <m:dPr>
                  <m:ctrlPr>
                    <w:rPr>
                      <w:rFonts w:ascii="Cambria Math" w:hAnsi="Cambria Math"/>
                      <w:i/>
                      <w:noProof/>
                      <w:lang w:val="cs-CZ"/>
                    </w:rPr>
                  </m:ctrlPr>
                </m:dPr>
                <m:e>
                  <m:r>
                    <w:rPr>
                      <w:rFonts w:ascii="Cambria Math" w:hAnsi="Cambria Math"/>
                      <w:noProof/>
                      <w:lang w:val="cs-CZ"/>
                    </w:rPr>
                    <m:t>0,55 ∙0,85 ∙3,6</m:t>
                  </m:r>
                </m:e>
              </m:d>
            </m:e>
            <m:sup>
              <m:r>
                <w:rPr>
                  <w:rFonts w:ascii="Cambria Math" w:hAnsi="Cambria Math"/>
                  <w:noProof/>
                  <w:lang w:val="cs-CZ"/>
                </w:rPr>
                <m:t>2</m:t>
              </m:r>
            </m:sup>
          </m:sSup>
          <m:r>
            <w:rPr>
              <w:rFonts w:ascii="Cambria Math" w:hAnsi="Cambria Math"/>
              <w:noProof/>
              <w:lang w:val="cs-CZ"/>
            </w:rPr>
            <m:t>=</m:t>
          </m:r>
          <m:r>
            <m:rPr>
              <m:sty m:val="bi"/>
            </m:rPr>
            <w:rPr>
              <w:rFonts w:ascii="Cambria Math" w:hAnsi="Cambria Math"/>
              <w:noProof/>
              <w:lang w:val="cs-CZ"/>
            </w:rPr>
            <m:t xml:space="preserve">39,6 </m:t>
          </m:r>
          <m:d>
            <m:dPr>
              <m:begChr m:val="["/>
              <m:endChr m:val="]"/>
              <m:ctrlPr>
                <w:rPr>
                  <w:rFonts w:ascii="Cambria Math" w:hAnsi="Cambria Math"/>
                  <w:b/>
                  <w:i/>
                  <w:noProof/>
                  <w:lang w:val="cs-CZ"/>
                </w:rPr>
              </m:ctrlPr>
            </m:dPr>
            <m:e>
              <m:r>
                <m:rPr>
                  <m:sty m:val="bi"/>
                </m:rPr>
                <w:rPr>
                  <w:rFonts w:ascii="Cambria Math" w:hAnsi="Cambria Math"/>
                  <w:noProof/>
                  <w:lang w:val="cs-CZ"/>
                </w:rPr>
                <m:t>kN</m:t>
              </m:r>
            </m:e>
          </m:d>
        </m:oMath>
      </m:oMathPara>
    </w:p>
    <w:p w:rsidR="003B6E11" w:rsidRPr="003B6E11" w:rsidRDefault="003B6E11" w:rsidP="003B6E11">
      <w:pPr>
        <w:tabs>
          <w:tab w:val="left" w:pos="454"/>
          <w:tab w:val="left" w:pos="1418"/>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992"/>
        </w:tabs>
        <w:overflowPunct w:val="0"/>
        <w:adjustRightInd w:val="0"/>
        <w:spacing w:before="60" w:line="240" w:lineRule="atLeast"/>
        <w:ind w:left="992"/>
        <w:textAlignment w:val="baseline"/>
        <w:rPr>
          <w:szCs w:val="20"/>
          <w:lang w:val="cs-CZ"/>
        </w:rPr>
      </w:pPr>
      <w:r w:rsidRPr="003B6E11">
        <w:rPr>
          <w:lang w:val="cs-CZ"/>
        </w:rPr>
        <w:t>d)</w:t>
      </w:r>
      <w:r w:rsidRPr="003B6E11">
        <w:rPr>
          <w:lang w:val="cs-CZ"/>
        </w:rPr>
        <w:tab/>
        <w:t xml:space="preserve">Odpor sklonu </w:t>
      </w:r>
      <m:oMath>
        <m:sSub>
          <m:sSubPr>
            <m:ctrlPr>
              <w:rPr>
                <w:rFonts w:ascii="Cambria Math" w:hAnsi="Cambria Math"/>
                <w:i/>
                <w:noProof/>
                <w:lang w:val="cs-CZ"/>
              </w:rPr>
            </m:ctrlPr>
          </m:sSubPr>
          <m:e>
            <m:r>
              <w:rPr>
                <w:rFonts w:ascii="Cambria Math" w:hAnsi="Cambria Math"/>
                <w:noProof/>
                <w:lang w:val="cs-CZ"/>
              </w:rPr>
              <m:t>R</m:t>
            </m:r>
          </m:e>
          <m:sub>
            <m:r>
              <w:rPr>
                <w:rFonts w:ascii="Cambria Math" w:hAnsi="Cambria Math"/>
                <w:noProof/>
                <w:lang w:val="cs-CZ"/>
              </w:rPr>
              <m:t>G</m:t>
            </m:r>
          </m:sub>
        </m:sSub>
      </m:oMath>
      <w:r w:rsidRPr="003B6E11">
        <w:rPr>
          <w:lang w:val="cs-CZ"/>
        </w:rPr>
        <w:t xml:space="preserve"> jako v bodě 4.2</w:t>
      </w:r>
    </w:p>
    <w:p w:rsidR="003B6E11" w:rsidRPr="003B6E11" w:rsidRDefault="003B6E11" w:rsidP="003B6E11">
      <w:pPr>
        <w:tabs>
          <w:tab w:val="left" w:pos="284"/>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992"/>
        </w:tabs>
        <w:overflowPunct w:val="0"/>
        <w:adjustRightInd w:val="0"/>
        <w:spacing w:before="60" w:line="240" w:lineRule="atLeast"/>
        <w:ind w:left="992"/>
        <w:textAlignment w:val="baseline"/>
        <w:rPr>
          <w:szCs w:val="20"/>
          <w:lang w:val="cs-CZ"/>
        </w:rPr>
      </w:pPr>
      <w:r w:rsidRPr="003B6E11">
        <w:rPr>
          <w:lang w:val="cs-CZ"/>
        </w:rPr>
        <w:t>e)</w:t>
      </w:r>
      <w:r w:rsidRPr="003B6E11">
        <w:rPr>
          <w:lang w:val="cs-CZ"/>
        </w:rPr>
        <w:tab/>
        <w:t xml:space="preserve">Výpočet </w:t>
      </w:r>
      <m:oMath>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SOLL</m:t>
                </m:r>
              </m:sub>
            </m:sSub>
          </m:sub>
        </m:sSub>
      </m:oMath>
    </w:p>
    <w:p w:rsidR="003B6E11" w:rsidRPr="003B6E11" w:rsidRDefault="003B6E11" w:rsidP="003B6E11">
      <w:pPr>
        <w:tabs>
          <w:tab w:val="left" w:pos="284"/>
        </w:tabs>
        <w:overflowPunct w:val="0"/>
        <w:adjustRightInd w:val="0"/>
        <w:spacing w:line="240" w:lineRule="exact"/>
        <w:ind w:left="284" w:hanging="284"/>
        <w:textAlignment w:val="baseline"/>
        <w:rPr>
          <w:szCs w:val="20"/>
          <w:lang w:val="cs-CZ"/>
        </w:rPr>
      </w:pPr>
    </w:p>
    <w:p w:rsidR="003B6E11" w:rsidRPr="003B6E11" w:rsidRDefault="002D015D" w:rsidP="003B6E11">
      <w:pPr>
        <w:tabs>
          <w:tab w:val="left" w:pos="993"/>
        </w:tabs>
        <w:overflowPunct w:val="0"/>
        <w:adjustRightInd w:val="0"/>
        <w:spacing w:line="240" w:lineRule="atLeast"/>
        <w:ind w:left="993"/>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v</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SOLL</m:t>
                </m:r>
              </m:sub>
            </m:sSub>
          </m:sub>
        </m:sSub>
        <m:r>
          <w:rPr>
            <w:rFonts w:ascii="Cambria Math" w:hAnsi="Cambria Math"/>
            <w:szCs w:val="20"/>
            <w:lang w:val="cs-CZ"/>
          </w:rPr>
          <m:t>= 0,85 ∙3,6=</m:t>
        </m:r>
        <m:r>
          <m:rPr>
            <m:sty m:val="bi"/>
          </m:rPr>
          <w:rPr>
            <w:rFonts w:ascii="Cambria Math" w:hAnsi="Cambria Math"/>
            <w:szCs w:val="20"/>
            <w:lang w:val="cs-CZ"/>
          </w:rPr>
          <m:t>3,06</m:t>
        </m:r>
        <m:r>
          <w:rPr>
            <w:rFonts w:ascii="Cambria Math" w:hAnsi="Cambria Math"/>
            <w:szCs w:val="20"/>
            <w:lang w:val="cs-CZ"/>
          </w:rPr>
          <m:t xml:space="preserve"> </m:t>
        </m:r>
        <m:d>
          <m:dPr>
            <m:begChr m:val="["/>
            <m:endChr m:val="]"/>
            <m:ctrlPr>
              <w:rPr>
                <w:rFonts w:ascii="Cambria Math" w:hAnsi="Cambria Math"/>
                <w:i/>
                <w:szCs w:val="20"/>
                <w:lang w:val="cs-CZ"/>
              </w:rPr>
            </m:ctrlPr>
          </m:dPr>
          <m:e>
            <m:r>
              <w:rPr>
                <w:rFonts w:ascii="Cambria Math" w:hAnsi="Cambria Math"/>
                <w:szCs w:val="20"/>
                <w:lang w:val="cs-CZ"/>
              </w:rPr>
              <m:t>m/s</m:t>
            </m:r>
          </m:e>
        </m:d>
      </m:oMath>
      <w:r w:rsidR="003B6E11" w:rsidRPr="003B6E11">
        <w:rPr>
          <w:lang w:val="cs-CZ"/>
        </w:rPr>
        <w:t xml:space="preserve">, </w:t>
      </w:r>
      <m:oMath>
        <m:sSub>
          <m:sSubPr>
            <m:ctrlPr>
              <w:rPr>
                <w:rFonts w:ascii="Cambria Math" w:hAnsi="Cambria Math"/>
                <w:i/>
                <w:szCs w:val="20"/>
                <w:lang w:val="cs-CZ"/>
              </w:rPr>
            </m:ctrlPr>
          </m:sSubPr>
          <m:e>
            <m:sSup>
              <m:sSupPr>
                <m:ctrlPr>
                  <w:rPr>
                    <w:rFonts w:ascii="Cambria Math" w:hAnsi="Cambria Math"/>
                    <w:i/>
                    <w:szCs w:val="20"/>
                    <w:lang w:val="cs-CZ"/>
                  </w:rPr>
                </m:ctrlPr>
              </m:sSupPr>
              <m:e>
                <m:r>
                  <w:rPr>
                    <w:rFonts w:ascii="Cambria Math" w:hAnsi="Cambria Math"/>
                    <w:szCs w:val="20"/>
                    <w:lang w:val="cs-CZ"/>
                  </w:rPr>
                  <m:t>v</m:t>
                </m:r>
              </m:e>
              <m:sup>
                <m:r>
                  <w:rPr>
                    <w:rFonts w:ascii="Cambria Math" w:hAnsi="Cambria Math"/>
                    <w:szCs w:val="20"/>
                    <w:lang w:val="cs-CZ"/>
                  </w:rPr>
                  <m:t>2</m:t>
                </m:r>
              </m:sup>
            </m:sSup>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SOLL</m:t>
                </m:r>
              </m:sub>
            </m:sSub>
          </m:sub>
        </m:sSub>
        <m:r>
          <w:rPr>
            <w:rFonts w:ascii="Cambria Math" w:hAnsi="Cambria Math"/>
            <w:szCs w:val="20"/>
            <w:lang w:val="cs-CZ"/>
          </w:rPr>
          <m:t xml:space="preserve">=9,36 </m:t>
        </m:r>
        <m:sSup>
          <m:sSupPr>
            <m:ctrlPr>
              <w:rPr>
                <w:rFonts w:ascii="Cambria Math" w:hAnsi="Cambria Math"/>
                <w:i/>
                <w:szCs w:val="20"/>
                <w:lang w:val="cs-CZ"/>
              </w:rPr>
            </m:ctrlPr>
          </m:sSupPr>
          <m:e>
            <m:d>
              <m:dPr>
                <m:begChr m:val="["/>
                <m:endChr m:val="]"/>
                <m:ctrlPr>
                  <w:rPr>
                    <w:rFonts w:ascii="Cambria Math" w:hAnsi="Cambria Math"/>
                    <w:i/>
                    <w:szCs w:val="20"/>
                    <w:lang w:val="cs-CZ"/>
                  </w:rPr>
                </m:ctrlPr>
              </m:dPr>
              <m:e>
                <m:r>
                  <w:rPr>
                    <w:rFonts w:ascii="Cambria Math" w:hAnsi="Cambria Math"/>
                    <w:szCs w:val="20"/>
                    <w:lang w:val="cs-CZ"/>
                  </w:rPr>
                  <m:t>m/s</m:t>
                </m:r>
              </m:e>
            </m:d>
          </m:e>
          <m:sup>
            <m:r>
              <w:rPr>
                <w:rFonts w:ascii="Cambria Math" w:hAnsi="Cambria Math"/>
                <w:szCs w:val="20"/>
                <w:lang w:val="cs-CZ"/>
              </w:rPr>
              <m:t>2</m:t>
            </m:r>
          </m:sup>
        </m:sSup>
      </m:oMath>
    </w:p>
    <w:p w:rsidR="003B6E11" w:rsidRPr="003B6E11" w:rsidRDefault="003B6E11" w:rsidP="003B6E11">
      <w:pPr>
        <w:tabs>
          <w:tab w:val="left" w:pos="0"/>
        </w:tabs>
        <w:overflowPunct w:val="0"/>
        <w:adjustRightInd w:val="0"/>
        <w:spacing w:line="240" w:lineRule="atLeast"/>
        <w:ind w:left="454" w:hanging="454"/>
        <w:textAlignment w:val="baseline"/>
        <w:rPr>
          <w:szCs w:val="20"/>
          <w:lang w:val="cs-CZ"/>
        </w:rPr>
      </w:pPr>
    </w:p>
    <w:p w:rsidR="003B6E11" w:rsidRPr="003B6E11" w:rsidRDefault="003B6E11" w:rsidP="003B6E11">
      <w:pPr>
        <w:tabs>
          <w:tab w:val="left" w:pos="992"/>
        </w:tabs>
        <w:overflowPunct w:val="0"/>
        <w:adjustRightInd w:val="0"/>
        <w:spacing w:before="60" w:line="240" w:lineRule="atLeast"/>
        <w:ind w:left="992"/>
        <w:textAlignment w:val="baseline"/>
        <w:rPr>
          <w:szCs w:val="20"/>
          <w:lang w:val="cs-CZ"/>
        </w:rPr>
      </w:pPr>
      <w:r w:rsidRPr="003B6E11">
        <w:rPr>
          <w:lang w:val="cs-CZ"/>
        </w:rPr>
        <w:t>f)</w:t>
      </w:r>
      <w:r w:rsidRPr="003B6E11">
        <w:rPr>
          <w:lang w:val="cs-CZ"/>
        </w:rPr>
        <w:tab/>
      </w:r>
      <m:oMath>
        <m:sSub>
          <m:sSubPr>
            <m:ctrlPr>
              <w:rPr>
                <w:rFonts w:ascii="Cambria Math" w:hAnsi="Cambria Math"/>
                <w:i/>
                <w:szCs w:val="20"/>
                <w:lang w:val="cs-CZ"/>
              </w:rPr>
            </m:ctrlPr>
          </m:sSubPr>
          <m:e>
            <m:r>
              <w:rPr>
                <w:rFonts w:ascii="Cambria Math" w:hAnsi="Cambria Math"/>
                <w:szCs w:val="20"/>
                <w:lang w:val="cs-CZ"/>
              </w:rPr>
              <m:t>F</m:t>
            </m:r>
          </m:e>
          <m:sub>
            <m:r>
              <w:rPr>
                <w:rFonts w:ascii="Cambria Math" w:hAnsi="Cambria Math"/>
                <w:szCs w:val="20"/>
                <w:lang w:val="cs-CZ"/>
              </w:rPr>
              <m:t>POR</m:t>
            </m:r>
          </m:sub>
        </m:sSub>
      </m:oMath>
      <w:r w:rsidRPr="003B6E11">
        <w:rPr>
          <w:position w:val="-6"/>
          <w:sz w:val="16"/>
          <w:lang w:val="cs-CZ"/>
        </w:rPr>
        <w:t xml:space="preserve"> </w:t>
      </w:r>
      <w:r w:rsidRPr="003B6E11">
        <w:rPr>
          <w:lang w:val="cs-CZ"/>
        </w:rPr>
        <w:t xml:space="preserve"> jako v bodě 4.2</w:t>
      </w:r>
    </w:p>
    <w:p w:rsidR="003B6E11" w:rsidRPr="003B6E11" w:rsidRDefault="003B6E11" w:rsidP="003B6E11">
      <w:pPr>
        <w:tabs>
          <w:tab w:val="left" w:pos="284"/>
        </w:tabs>
        <w:overflowPunct w:val="0"/>
        <w:adjustRightInd w:val="0"/>
        <w:spacing w:line="240" w:lineRule="exact"/>
        <w:ind w:left="284" w:hanging="284"/>
        <w:textAlignment w:val="baseline"/>
        <w:rPr>
          <w:szCs w:val="20"/>
          <w:lang w:val="cs-CZ"/>
        </w:rPr>
      </w:pPr>
    </w:p>
    <w:p w:rsidR="003B6E11" w:rsidRPr="003B6E11" w:rsidRDefault="003B6E11" w:rsidP="003B6E11">
      <w:pPr>
        <w:tabs>
          <w:tab w:val="left" w:pos="992"/>
        </w:tabs>
        <w:overflowPunct w:val="0"/>
        <w:adjustRightInd w:val="0"/>
        <w:spacing w:before="60" w:line="240" w:lineRule="atLeast"/>
        <w:ind w:left="992"/>
        <w:textAlignment w:val="baseline"/>
        <w:rPr>
          <w:szCs w:val="20"/>
          <w:lang w:val="cs-CZ"/>
        </w:rPr>
      </w:pPr>
      <w:r w:rsidRPr="003B6E11">
        <w:rPr>
          <w:lang w:val="cs-CZ"/>
        </w:rPr>
        <w:t>g)</w:t>
      </w:r>
      <w:r w:rsidRPr="003B6E11">
        <w:rPr>
          <w:lang w:val="cs-CZ"/>
        </w:rPr>
        <w:tab/>
        <w:t xml:space="preserve">Výpočet </w:t>
      </w:r>
      <m:oMath>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SOLL</m:t>
                </m:r>
              </m:sub>
            </m:sSub>
          </m:sub>
        </m:sSub>
      </m:oMath>
      <w:r w:rsidRPr="003B6E11">
        <w:rPr>
          <w:lang w:val="cs-CZ"/>
        </w:rPr>
        <w:t xml:space="preserve"> pomocí vzorce v písmenu b) a výsledků podle písmen c) až f)</w:t>
      </w:r>
    </w:p>
    <w:p w:rsidR="003B6E11" w:rsidRPr="003B6E11" w:rsidRDefault="003B6E11" w:rsidP="003B6E11">
      <w:pPr>
        <w:tabs>
          <w:tab w:val="left" w:pos="284"/>
        </w:tabs>
        <w:overflowPunct w:val="0"/>
        <w:adjustRightInd w:val="0"/>
        <w:spacing w:line="240" w:lineRule="exact"/>
        <w:ind w:left="284" w:hanging="284"/>
        <w:textAlignment w:val="baseline"/>
        <w:rPr>
          <w:szCs w:val="20"/>
          <w:lang w:val="cs-CZ"/>
        </w:rPr>
      </w:pPr>
    </w:p>
    <w:p w:rsidR="003B6E11" w:rsidRPr="003B6E11" w:rsidRDefault="002D015D" w:rsidP="003B6E11">
      <w:pPr>
        <w:overflowPunct w:val="0"/>
        <w:adjustRightInd w:val="0"/>
        <w:spacing w:line="240" w:lineRule="atLeast"/>
        <w:ind w:left="992"/>
        <w:textAlignment w:val="baseline"/>
        <w:rPr>
          <w:szCs w:val="20"/>
          <w:lang w:val="cs-CZ"/>
        </w:rPr>
      </w:pPr>
      <m:oMathPara>
        <m:oMathParaPr>
          <m:jc m:val="left"/>
        </m:oMathParaPr>
        <m:oMath>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SOLL</m:t>
                  </m:r>
                </m:sub>
              </m:sSub>
            </m:sub>
          </m:sSub>
          <m:r>
            <w:rPr>
              <w:rFonts w:ascii="Cambria Math" w:hAnsi="Cambria Math"/>
              <w:szCs w:val="20"/>
              <w:lang w:val="cs-CZ"/>
            </w:rPr>
            <m:t xml:space="preserve">=  </m:t>
          </m:r>
          <m:f>
            <m:fPr>
              <m:ctrlPr>
                <w:rPr>
                  <w:rFonts w:ascii="Cambria Math" w:hAnsi="Cambria Math"/>
                  <w:i/>
                  <w:szCs w:val="20"/>
                  <w:lang w:val="cs-CZ"/>
                </w:rPr>
              </m:ctrlPr>
            </m:fPr>
            <m:num>
              <m:r>
                <w:rPr>
                  <w:rFonts w:ascii="Cambria Math" w:hAnsi="Cambria Math"/>
                  <w:szCs w:val="20"/>
                  <w:lang w:val="cs-CZ"/>
                </w:rPr>
                <m:t xml:space="preserve">0,12 ∙9,36 ∙9,81 ∙ </m:t>
              </m:r>
              <m:d>
                <m:dPr>
                  <m:ctrlPr>
                    <w:rPr>
                      <w:rFonts w:ascii="Cambria Math" w:hAnsi="Cambria Math"/>
                      <w:i/>
                      <w:szCs w:val="20"/>
                      <w:lang w:val="cs-CZ"/>
                    </w:rPr>
                  </m:ctrlPr>
                </m:dPr>
                <m:e>
                  <m:r>
                    <w:rPr>
                      <w:rFonts w:ascii="Cambria Math" w:hAnsi="Cambria Math"/>
                      <w:szCs w:val="20"/>
                      <w:lang w:val="cs-CZ"/>
                    </w:rPr>
                    <m:t xml:space="preserve">0,48+ </m:t>
                  </m:r>
                  <m:f>
                    <m:fPr>
                      <m:ctrlPr>
                        <w:rPr>
                          <w:rFonts w:ascii="Cambria Math" w:hAnsi="Cambria Math"/>
                          <w:i/>
                          <w:szCs w:val="20"/>
                          <w:lang w:val="cs-CZ"/>
                        </w:rPr>
                      </m:ctrlPr>
                    </m:fPr>
                    <m:num>
                      <m:r>
                        <w:rPr>
                          <w:rFonts w:ascii="Cambria Math" w:hAnsi="Cambria Math"/>
                          <w:szCs w:val="20"/>
                          <w:lang w:val="cs-CZ"/>
                        </w:rPr>
                        <m:t>1,5</m:t>
                      </m:r>
                    </m:num>
                    <m:den>
                      <m:r>
                        <w:rPr>
                          <w:rFonts w:ascii="Cambria Math" w:hAnsi="Cambria Math"/>
                          <w:szCs w:val="20"/>
                          <w:lang w:val="cs-CZ"/>
                        </w:rPr>
                        <m:t>3,06</m:t>
                      </m:r>
                    </m:den>
                  </m:f>
                </m:e>
              </m:d>
            </m:num>
            <m:den>
              <m:r>
                <w:rPr>
                  <w:rFonts w:ascii="Cambria Math" w:hAnsi="Cambria Math"/>
                  <w:szCs w:val="20"/>
                  <w:lang w:val="cs-CZ"/>
                </w:rPr>
                <m:t>1,15 ∙177+39,6-15,02</m:t>
              </m:r>
            </m:den>
          </m:f>
          <m:r>
            <w:rPr>
              <w:rFonts w:ascii="Cambria Math" w:hAnsi="Cambria Math"/>
              <w:szCs w:val="20"/>
              <w:lang w:val="cs-CZ"/>
            </w:rPr>
            <m:t xml:space="preserve"> ∙9568</m:t>
          </m:r>
        </m:oMath>
      </m:oMathPara>
    </w:p>
    <w:p w:rsidR="003B6E11" w:rsidRPr="003B6E11" w:rsidRDefault="003B6E11" w:rsidP="003B6E11">
      <w:pPr>
        <w:tabs>
          <w:tab w:val="left" w:pos="993"/>
          <w:tab w:val="left" w:pos="1701"/>
          <w:tab w:val="left" w:pos="2127"/>
        </w:tabs>
        <w:overflowPunct w:val="0"/>
        <w:adjustRightInd w:val="0"/>
        <w:spacing w:line="240" w:lineRule="exact"/>
        <w:ind w:left="993"/>
        <w:textAlignment w:val="baseline"/>
        <w:rPr>
          <w:szCs w:val="20"/>
          <w:lang w:val="cs-CZ"/>
        </w:rPr>
      </w:pPr>
      <w:r w:rsidRPr="003B6E11">
        <w:rPr>
          <w:noProof/>
          <w:szCs w:val="20"/>
          <w:lang w:eastAsia="en-GB"/>
        </w:rPr>
        <mc:AlternateContent>
          <mc:Choice Requires="wps">
            <w:drawing>
              <wp:anchor distT="0" distB="0" distL="114300" distR="114300" simplePos="0" relativeHeight="251685888" behindDoc="0" locked="0" layoutInCell="1" allowOverlap="1" wp14:anchorId="7BAAE457" wp14:editId="6606DAF5">
                <wp:simplePos x="0" y="0"/>
                <wp:positionH relativeFrom="column">
                  <wp:posOffset>958850</wp:posOffset>
                </wp:positionH>
                <wp:positionV relativeFrom="paragraph">
                  <wp:posOffset>124460</wp:posOffset>
                </wp:positionV>
                <wp:extent cx="90805" cy="457200"/>
                <wp:effectExtent l="7303" t="0" r="11747" b="11748"/>
                <wp:wrapNone/>
                <wp:docPr id="293"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457200"/>
                        </a:xfrm>
                        <a:prstGeom prst="rightBrace">
                          <a:avLst>
                            <a:gd name="adj1" fmla="val 4195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26" type="#_x0000_t88" style="position:absolute;margin-left:75.5pt;margin-top:9.8pt;width:7.15pt;height:36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"/>
            </w:pict>
          </mc:Fallback>
        </mc:AlternateContent>
      </w:r>
    </w:p>
    <w:p w:rsidR="003B6E11" w:rsidRPr="003B6E11" w:rsidRDefault="003B6E11" w:rsidP="003B6E11">
      <w:pPr>
        <w:overflowPunct w:val="0"/>
        <w:adjustRightInd w:val="0"/>
        <w:spacing w:line="240" w:lineRule="exact"/>
        <w:ind w:left="993"/>
        <w:textAlignment w:val="baseline"/>
        <w:rPr>
          <w:szCs w:val="20"/>
          <w:lang w:val="cs-CZ"/>
        </w:rPr>
      </w:pPr>
      <m:oMathPara>
        <m:oMathParaPr>
          <m:jc m:val="left"/>
        </m:oMathParaPr>
        <m:oMath>
          <m:r>
            <w:rPr>
              <w:rFonts w:ascii="Cambria Math" w:hAnsi="Cambria Math"/>
              <w:szCs w:val="20"/>
              <w:lang w:val="cs-CZ"/>
            </w:rPr>
            <m:t>=0,04684 ∙9568=</m:t>
          </m:r>
          <m:r>
            <m:rPr>
              <m:sty m:val="bi"/>
            </m:rPr>
            <w:rPr>
              <w:rFonts w:ascii="Cambria Math" w:hAnsi="Cambria Math"/>
              <w:szCs w:val="20"/>
              <w:lang w:val="cs-CZ"/>
            </w:rPr>
            <m:t>448 m</m:t>
          </m:r>
        </m:oMath>
      </m:oMathPara>
    </w:p>
    <w:p w:rsidR="003B6E11" w:rsidRPr="003B6E11" w:rsidRDefault="003B6E11" w:rsidP="003B6E11">
      <w:pPr>
        <w:tabs>
          <w:tab w:val="left" w:pos="993"/>
          <w:tab w:val="left" w:pos="1701"/>
          <w:tab w:val="left" w:pos="2127"/>
        </w:tabs>
        <w:overflowPunct w:val="0"/>
        <w:adjustRightInd w:val="0"/>
        <w:spacing w:line="240" w:lineRule="exact"/>
        <w:ind w:left="993"/>
        <w:textAlignment w:val="baseline"/>
        <w:rPr>
          <w:szCs w:val="20"/>
          <w:lang w:val="cs-CZ"/>
        </w:rPr>
      </w:pPr>
    </w:p>
    <w:p w:rsidR="003B6E11" w:rsidRPr="003B6E11" w:rsidRDefault="002D015D" w:rsidP="003B6E11">
      <w:pPr>
        <w:overflowPunct w:val="0"/>
        <w:adjustRightInd w:val="0"/>
        <w:spacing w:line="240" w:lineRule="atLeast"/>
        <w:ind w:left="993" w:hanging="1"/>
        <w:textAlignment w:val="baseline"/>
        <w:rPr>
          <w:szCs w:val="20"/>
          <w:lang w:val="cs-CZ"/>
        </w:rPr>
      </w:pPr>
      <m:oMathPara>
        <m:oMathParaPr>
          <m:jc m:val="left"/>
        </m:oMathParaPr>
        <m:oMath>
          <m:sSub>
            <m:sSubPr>
              <m:ctrlPr>
                <w:rPr>
                  <w:rFonts w:ascii="Cambria Math" w:hAnsi="Cambria Math"/>
                  <w:i/>
                  <w:szCs w:val="20"/>
                  <w:lang w:val="cs-CZ"/>
                </w:rPr>
              </m:ctrlPr>
            </m:sSubPr>
            <m:e>
              <m:r>
                <w:rPr>
                  <w:rFonts w:ascii="Cambria Math" w:hAnsi="Cambria Math"/>
                  <w:szCs w:val="20"/>
                  <w:lang w:val="cs-CZ"/>
                </w:rPr>
                <m:t>Const</m:t>
              </m:r>
            </m:e>
            <m:sub>
              <m:r>
                <w:rPr>
                  <w:rFonts w:ascii="Cambria Math" w:hAnsi="Cambria Math"/>
                  <w:szCs w:val="20"/>
                  <w:lang w:val="cs-CZ"/>
                </w:rPr>
                <m:t>SOLL</m:t>
              </m:r>
            </m:sub>
          </m:sSub>
        </m:oMath>
      </m:oMathPara>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992"/>
        </w:tabs>
        <w:overflowPunct w:val="0"/>
        <w:adjustRightInd w:val="0"/>
        <w:spacing w:line="240" w:lineRule="atLeast"/>
        <w:ind w:left="992"/>
        <w:textAlignment w:val="baseline"/>
        <w:rPr>
          <w:szCs w:val="20"/>
          <w:lang w:val="cs-CZ"/>
        </w:rPr>
      </w:pPr>
      <w:r w:rsidRPr="003B6E11">
        <w:rPr>
          <w:lang w:val="cs-CZ"/>
        </w:rPr>
        <w:t>h)</w:t>
      </w:r>
      <w:r w:rsidRPr="003B6E11">
        <w:rPr>
          <w:lang w:val="cs-CZ"/>
        </w:rPr>
        <w:tab/>
        <w:t>Výpočet celkové vzdálenosti</w:t>
      </w:r>
    </w:p>
    <w:p w:rsidR="003B6E11" w:rsidRPr="003B6E11" w:rsidRDefault="003B6E11" w:rsidP="003B6E11">
      <w:pPr>
        <w:tabs>
          <w:tab w:val="left" w:pos="284"/>
        </w:tabs>
        <w:overflowPunct w:val="0"/>
        <w:adjustRightInd w:val="0"/>
        <w:spacing w:line="240" w:lineRule="exact"/>
        <w:ind w:left="284" w:hanging="284"/>
        <w:textAlignment w:val="baseline"/>
        <w:rPr>
          <w:szCs w:val="20"/>
          <w:lang w:val="cs-CZ"/>
        </w:rPr>
      </w:pPr>
    </w:p>
    <w:p w:rsidR="003B6E11" w:rsidRPr="003B6E11" w:rsidRDefault="002D015D" w:rsidP="003B6E11">
      <w:pPr>
        <w:tabs>
          <w:tab w:val="left" w:pos="992"/>
        </w:tabs>
        <w:overflowPunct w:val="0"/>
        <w:adjustRightInd w:val="0"/>
        <w:spacing w:line="240" w:lineRule="atLeast"/>
        <w:ind w:left="992"/>
        <w:textAlignment w:val="baseline"/>
        <w:rPr>
          <w:szCs w:val="20"/>
          <w:lang w:val="cs-CZ"/>
        </w:rPr>
      </w:pPr>
      <m:oMathPara>
        <m:oMathParaPr>
          <m:jc m:val="left"/>
        </m:oMathParaPr>
        <m:oMath>
          <m:sSub>
            <m:sSubPr>
              <m:ctrlPr>
                <w:rPr>
                  <w:rFonts w:ascii="Cambria Math" w:hAnsi="Cambria Math"/>
                  <w:b/>
                  <w:i/>
                  <w:szCs w:val="20"/>
                  <w:lang w:val="cs-CZ"/>
                </w:rPr>
              </m:ctrlPr>
            </m:sSubPr>
            <m:e>
              <m:r>
                <m:rPr>
                  <m:sty m:val="bi"/>
                </m:rPr>
                <w:rPr>
                  <w:rFonts w:ascii="Cambria Math" w:hAnsi="Cambria Math"/>
                  <w:szCs w:val="20"/>
                  <w:lang w:val="cs-CZ"/>
                </w:rPr>
                <m:t>s</m:t>
              </m:r>
            </m:e>
            <m:sub>
              <m:r>
                <m:rPr>
                  <m:sty m:val="bi"/>
                </m:rPr>
                <w:rPr>
                  <w:rFonts w:ascii="Cambria Math" w:hAnsi="Cambria Math"/>
                  <w:szCs w:val="20"/>
                  <w:lang w:val="cs-CZ"/>
                </w:rPr>
                <m:t>SOLL</m:t>
              </m:r>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m:t>
                  </m:r>
                </m:e>
                <m:sub>
                  <m:r>
                    <w:rPr>
                      <w:rFonts w:ascii="Cambria Math" w:hAnsi="Cambria Math"/>
                      <w:szCs w:val="20"/>
                      <w:lang w:val="cs-CZ"/>
                    </w:rPr>
                    <m:t>SOLL</m:t>
                  </m:r>
                </m:sub>
              </m:sSub>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SOLL</m:t>
                  </m:r>
                </m:sub>
              </m:sSub>
            </m:sub>
          </m:sSub>
          <m:r>
            <w:rPr>
              <w:rFonts w:ascii="Cambria Math" w:hAnsi="Cambria Math"/>
              <w:szCs w:val="20"/>
              <w:lang w:val="cs-CZ"/>
            </w:rPr>
            <m:t>=77,5+448=</m:t>
          </m:r>
          <m:r>
            <m:rPr>
              <m:sty m:val="bi"/>
            </m:rPr>
            <w:rPr>
              <w:rFonts w:ascii="Cambria Math" w:hAnsi="Cambria Math"/>
              <w:szCs w:val="20"/>
              <w:lang w:val="cs-CZ"/>
            </w:rPr>
            <m:t>525,5 m</m:t>
          </m:r>
        </m:oMath>
      </m:oMathPara>
    </w:p>
    <w:p w:rsidR="003B6E11" w:rsidRPr="003B6E11" w:rsidRDefault="003B6E11" w:rsidP="003B6E11">
      <w:pPr>
        <w:tabs>
          <w:tab w:val="left" w:pos="454"/>
        </w:tabs>
        <w:overflowPunct w:val="0"/>
        <w:adjustRightInd w:val="0"/>
        <w:spacing w:line="240" w:lineRule="atLeast"/>
        <w:ind w:left="454" w:hanging="454"/>
        <w:textAlignment w:val="baseline"/>
        <w:rPr>
          <w:position w:val="6"/>
          <w:szCs w:val="20"/>
          <w:lang w:val="cs-CZ"/>
        </w:rPr>
      </w:pPr>
    </w:p>
    <w:p w:rsidR="003B6E11" w:rsidRPr="003B6E11" w:rsidRDefault="003B6E11" w:rsidP="003B6E11">
      <w:pPr>
        <w:tabs>
          <w:tab w:val="left" w:pos="567"/>
        </w:tabs>
        <w:overflowPunct w:val="0"/>
        <w:adjustRightInd w:val="0"/>
        <w:spacing w:line="240" w:lineRule="atLeast"/>
        <w:ind w:left="567" w:hanging="567"/>
        <w:textAlignment w:val="baseline"/>
        <w:rPr>
          <w:b/>
          <w:bCs/>
          <w:position w:val="6"/>
          <w:szCs w:val="20"/>
          <w:lang w:val="cs-CZ"/>
        </w:rPr>
      </w:pPr>
      <w:r w:rsidRPr="003B6E11">
        <w:rPr>
          <w:b/>
          <w:lang w:val="cs-CZ"/>
        </w:rPr>
        <w:t>4.4</w:t>
      </w:r>
      <w:r w:rsidRPr="003B6E11">
        <w:rPr>
          <w:lang w:val="cs-CZ"/>
        </w:rPr>
        <w:tab/>
      </w:r>
      <w:r w:rsidRPr="003B6E11">
        <w:rPr>
          <w:b/>
          <w:lang w:val="cs-CZ"/>
        </w:rPr>
        <w:t>Ověření dodržení přípustné brzdné dráhy podle standardních podmínek</w:t>
      </w:r>
      <w:r w:rsidRPr="003B6E11">
        <w:rPr>
          <w:b/>
          <w:u w:val="single"/>
          <w:lang w:val="cs-CZ"/>
        </w:rPr>
        <w:t xml:space="preserve"> </w:t>
      </w:r>
      <m:oMath>
        <m:sSub>
          <m:sSubPr>
            <m:ctrlPr>
              <w:rPr>
                <w:rFonts w:ascii="Cambria Math" w:hAnsi="Cambria Math" w:cs="Arial"/>
                <w:b/>
                <w:i/>
                <w:color w:val="000000"/>
                <w:szCs w:val="20"/>
                <w:lang w:val="cs-CZ"/>
              </w:rPr>
            </m:ctrlPr>
          </m:sSubPr>
          <m:e>
            <m:r>
              <m:rPr>
                <m:sty m:val="bi"/>
              </m:rPr>
              <w:rPr>
                <w:rFonts w:ascii="Cambria Math" w:hAnsi="Cambria Math" w:cs="Arial"/>
                <w:color w:val="000000"/>
                <w:szCs w:val="20"/>
                <w:lang w:val="cs-CZ"/>
              </w:rPr>
              <m:t>s</m:t>
            </m:r>
          </m:e>
          <m:sub>
            <m:r>
              <m:rPr>
                <m:sty m:val="bi"/>
              </m:rPr>
              <w:rPr>
                <w:rFonts w:ascii="Cambria Math" w:hAnsi="Cambria Math" w:cs="Arial"/>
                <w:color w:val="000000"/>
                <w:szCs w:val="20"/>
                <w:lang w:val="cs-CZ"/>
              </w:rPr>
              <m:t>NORM</m:t>
            </m:r>
          </m:sub>
        </m:sSub>
      </m:oMath>
    </w:p>
    <w:p w:rsidR="003B6E11" w:rsidRPr="003B6E11" w:rsidRDefault="003B6E11" w:rsidP="003B6E11">
      <w:pPr>
        <w:tabs>
          <w:tab w:val="left" w:pos="454"/>
        </w:tabs>
        <w:overflowPunct w:val="0"/>
        <w:adjustRightInd w:val="0"/>
        <w:spacing w:line="240" w:lineRule="exact"/>
        <w:ind w:left="454" w:hanging="454"/>
        <w:textAlignment w:val="baseline"/>
        <w:rPr>
          <w:b/>
          <w:szCs w:val="20"/>
          <w:lang w:val="cs-CZ"/>
        </w:rPr>
      </w:pPr>
    </w:p>
    <w:p w:rsidR="003B6E11" w:rsidRPr="003B6E11" w:rsidRDefault="003B6E11" w:rsidP="003B6E11">
      <w:pPr>
        <w:overflowPunct w:val="0"/>
        <w:adjustRightInd w:val="0"/>
        <w:spacing w:line="240" w:lineRule="exact"/>
        <w:ind w:left="567"/>
        <w:textAlignment w:val="baseline"/>
        <w:rPr>
          <w:szCs w:val="20"/>
          <w:lang w:val="cs-CZ"/>
        </w:rPr>
      </w:pPr>
      <w:r w:rsidRPr="003B6E11">
        <w:rPr>
          <w:lang w:val="cs-CZ"/>
        </w:rPr>
        <w:t>podle vzorce (2.1) v příloze 2</w:t>
      </w:r>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2D015D" w:rsidP="003B6E11">
      <w:pPr>
        <w:overflowPunct w:val="0"/>
        <w:adjustRightInd w:val="0"/>
        <w:spacing w:line="240" w:lineRule="atLeast"/>
        <w:ind w:left="567"/>
        <w:textAlignment w:val="baseline"/>
        <w:rPr>
          <w:szCs w:val="20"/>
          <w:lang w:val="cs-CZ"/>
        </w:rPr>
      </w:pPr>
      <m:oMathPara>
        <m:oMathParaPr>
          <m:jc m:val="left"/>
        </m:oMathParaPr>
        <m:oMath>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NORM</m:t>
              </m:r>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MESSUNG</m:t>
              </m:r>
            </m:sub>
          </m:sSub>
          <m:r>
            <w:rPr>
              <w:rFonts w:ascii="Cambria Math" w:hAnsi="Cambria Math"/>
              <w:szCs w:val="20"/>
              <w:lang w:val="cs-CZ"/>
            </w:rPr>
            <m:t xml:space="preserve"> ∙ </m:t>
          </m:r>
          <m:f>
            <m:fPr>
              <m:ctrlPr>
                <w:rPr>
                  <w:rFonts w:ascii="Cambria Math" w:hAnsi="Cambria Math"/>
                  <w:i/>
                  <w:szCs w:val="20"/>
                  <w:lang w:val="cs-CZ"/>
                </w:rPr>
              </m:ctrlPr>
            </m:fPr>
            <m:num>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SOLL</m:t>
                  </m:r>
                </m:sub>
              </m:sSub>
            </m:num>
            <m:den>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IST</m:t>
                  </m:r>
                </m:sub>
              </m:sSub>
            </m:den>
          </m:f>
          <m:r>
            <w:rPr>
              <w:rFonts w:ascii="Cambria Math" w:hAnsi="Cambria Math"/>
              <w:szCs w:val="20"/>
              <w:lang w:val="cs-CZ"/>
            </w:rPr>
            <m:t xml:space="preserve">=580 ∙ </m:t>
          </m:r>
          <m:f>
            <m:fPr>
              <m:ctrlPr>
                <w:rPr>
                  <w:rFonts w:ascii="Cambria Math" w:hAnsi="Cambria Math"/>
                  <w:i/>
                  <w:szCs w:val="20"/>
                  <w:lang w:val="cs-CZ"/>
                </w:rPr>
              </m:ctrlPr>
            </m:fPr>
            <m:num>
              <m:r>
                <w:rPr>
                  <w:rFonts w:ascii="Cambria Math" w:hAnsi="Cambria Math"/>
                  <w:szCs w:val="20"/>
                  <w:lang w:val="cs-CZ"/>
                </w:rPr>
                <m:t>525,5</m:t>
              </m:r>
            </m:num>
            <m:den>
              <m:r>
                <w:rPr>
                  <w:rFonts w:ascii="Cambria Math" w:hAnsi="Cambria Math"/>
                  <w:szCs w:val="20"/>
                  <w:lang w:val="cs-CZ"/>
                </w:rPr>
                <m:t>475</m:t>
              </m:r>
            </m:den>
          </m:f>
          <m:r>
            <w:rPr>
              <w:rFonts w:ascii="Cambria Math" w:hAnsi="Cambria Math"/>
              <w:szCs w:val="20"/>
              <w:lang w:val="cs-CZ"/>
            </w:rPr>
            <m:t>=</m:t>
          </m:r>
          <m:r>
            <m:rPr>
              <m:sty m:val="bi"/>
            </m:rPr>
            <w:rPr>
              <w:rFonts w:ascii="Cambria Math" w:hAnsi="Cambria Math"/>
              <w:szCs w:val="20"/>
              <w:lang w:val="cs-CZ"/>
            </w:rPr>
            <m:t>641 m &gt;550 m</m:t>
          </m:r>
        </m:oMath>
      </m:oMathPara>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r w:rsidRPr="003B6E11">
        <w:rPr>
          <w:lang w:val="cs-CZ"/>
        </w:rPr>
        <w:br w:type="page"/>
      </w:r>
    </w:p>
    <w:p w:rsidR="003B6E11" w:rsidRPr="003B6E11" w:rsidRDefault="003B6E11" w:rsidP="003B6E11">
      <w:pPr>
        <w:overflowPunct w:val="0"/>
        <w:adjustRightInd w:val="0"/>
        <w:spacing w:line="240" w:lineRule="exact"/>
        <w:ind w:left="567"/>
        <w:textAlignment w:val="baseline"/>
        <w:rPr>
          <w:szCs w:val="20"/>
          <w:lang w:val="cs-CZ"/>
        </w:rPr>
      </w:pPr>
      <w:r w:rsidRPr="003B6E11">
        <w:rPr>
          <w:b/>
          <w:lang w:val="cs-CZ"/>
        </w:rPr>
        <w:t>Závěr</w:t>
      </w:r>
      <w:r w:rsidRPr="003B6E11">
        <w:rPr>
          <w:lang w:val="cs-CZ"/>
        </w:rPr>
        <w:t>:</w:t>
      </w:r>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overflowPunct w:val="0"/>
        <w:adjustRightInd w:val="0"/>
        <w:spacing w:line="240" w:lineRule="exact"/>
        <w:ind w:left="567"/>
        <w:textAlignment w:val="baseline"/>
        <w:rPr>
          <w:szCs w:val="20"/>
          <w:lang w:val="cs-CZ"/>
        </w:rPr>
      </w:pPr>
      <w:r w:rsidRPr="003B6E11">
        <w:rPr>
          <w:lang w:val="cs-CZ"/>
        </w:rPr>
        <w:t>Mezní hodnota byla evidentně překročena; přijetí pro plavbu po proudu je možné pouze s omezeným nákladem. Tento omezený náklad lze stanovit podle bodu 5 níže.</w:t>
      </w:r>
    </w:p>
    <w:p w:rsidR="003B6E11" w:rsidRPr="003B6E11" w:rsidRDefault="003B6E11" w:rsidP="003B6E11">
      <w:pPr>
        <w:tabs>
          <w:tab w:val="left" w:pos="454"/>
        </w:tabs>
        <w:overflowPunct w:val="0"/>
        <w:adjustRightInd w:val="0"/>
        <w:spacing w:line="240" w:lineRule="exact"/>
        <w:ind w:left="454" w:hanging="454"/>
        <w:textAlignment w:val="baseline"/>
        <w:rPr>
          <w:szCs w:val="20"/>
          <w:lang w:val="cs-CZ"/>
        </w:rPr>
      </w:pPr>
    </w:p>
    <w:p w:rsidR="003B6E11" w:rsidRPr="003B6E11" w:rsidRDefault="003B6E11" w:rsidP="003B6E11">
      <w:pPr>
        <w:tabs>
          <w:tab w:val="left" w:pos="567"/>
        </w:tabs>
        <w:overflowPunct w:val="0"/>
        <w:adjustRightInd w:val="0"/>
        <w:spacing w:line="240" w:lineRule="exact"/>
        <w:ind w:left="567" w:hanging="567"/>
        <w:textAlignment w:val="baseline"/>
        <w:rPr>
          <w:b/>
          <w:szCs w:val="20"/>
          <w:lang w:val="cs-CZ"/>
        </w:rPr>
      </w:pPr>
      <w:r w:rsidRPr="003B6E11">
        <w:rPr>
          <w:b/>
          <w:lang w:val="cs-CZ"/>
        </w:rPr>
        <w:t>5.</w:t>
      </w:r>
      <w:r w:rsidRPr="003B6E11">
        <w:rPr>
          <w:lang w:val="cs-CZ"/>
        </w:rPr>
        <w:tab/>
      </w:r>
      <m:oMath>
        <m:sSup>
          <m:sSupPr>
            <m:ctrlPr>
              <w:rPr>
                <w:rFonts w:ascii="Cambria Math" w:hAnsi="Cambria Math"/>
                <w:b/>
                <w:i/>
                <w:szCs w:val="20"/>
                <w:lang w:val="cs-CZ"/>
              </w:rPr>
            </m:ctrlPr>
          </m:sSupPr>
          <m:e>
            <m:r>
              <m:rPr>
                <m:sty m:val="bi"/>
              </m:rPr>
              <w:rPr>
                <w:rFonts w:ascii="Cambria Math" w:hAnsi="Cambria Math"/>
                <w:szCs w:val="20"/>
                <w:lang w:val="cs-CZ"/>
              </w:rPr>
              <m:t>D</m:t>
            </m:r>
          </m:e>
          <m:sup>
            <m:r>
              <m:rPr>
                <m:sty m:val="bi"/>
              </m:rPr>
              <w:rPr>
                <w:rFonts w:ascii="Cambria Math" w:hAnsi="Cambria Math"/>
                <w:szCs w:val="20"/>
                <w:lang w:val="cs-CZ"/>
              </w:rPr>
              <m:t>*</m:t>
            </m:r>
          </m:sup>
        </m:sSup>
      </m:oMath>
      <w:r w:rsidRPr="003B6E11">
        <w:rPr>
          <w:b/>
          <w:lang w:val="cs-CZ"/>
        </w:rPr>
        <w:t xml:space="preserve"> přípustný při plavbě po proudu </w:t>
      </w:r>
    </w:p>
    <w:p w:rsidR="003B6E11" w:rsidRPr="003B6E11" w:rsidRDefault="003B6E11" w:rsidP="003B6E11">
      <w:pPr>
        <w:tabs>
          <w:tab w:val="left" w:pos="284"/>
        </w:tabs>
        <w:overflowPunct w:val="0"/>
        <w:adjustRightInd w:val="0"/>
        <w:spacing w:line="240" w:lineRule="exact"/>
        <w:ind w:left="454" w:hanging="454"/>
        <w:textAlignment w:val="baseline"/>
        <w:rPr>
          <w:szCs w:val="20"/>
          <w:lang w:val="cs-CZ"/>
        </w:rPr>
      </w:pPr>
    </w:p>
    <w:p w:rsidR="003B6E11" w:rsidRPr="003B6E11" w:rsidRDefault="003B6E11" w:rsidP="003B6E11">
      <w:pPr>
        <w:overflowPunct w:val="0"/>
        <w:adjustRightInd w:val="0"/>
        <w:spacing w:line="240" w:lineRule="exact"/>
        <w:ind w:left="567"/>
        <w:textAlignment w:val="baseline"/>
        <w:rPr>
          <w:szCs w:val="20"/>
          <w:lang w:val="cs-CZ"/>
        </w:rPr>
      </w:pPr>
      <w:r w:rsidRPr="003B6E11">
        <w:rPr>
          <w:lang w:val="cs-CZ"/>
        </w:rPr>
        <w:t>podle vzorce (2.1) v příloze 2</w:t>
      </w:r>
    </w:p>
    <w:p w:rsidR="003B6E11" w:rsidRPr="003B6E11" w:rsidRDefault="003B6E11" w:rsidP="003B6E11">
      <w:pPr>
        <w:tabs>
          <w:tab w:val="left" w:pos="284"/>
        </w:tabs>
        <w:overflowPunct w:val="0"/>
        <w:adjustRightInd w:val="0"/>
        <w:spacing w:line="240" w:lineRule="exact"/>
        <w:ind w:left="454" w:hanging="454"/>
        <w:textAlignment w:val="baseline"/>
        <w:rPr>
          <w:szCs w:val="20"/>
          <w:lang w:val="cs-CZ"/>
        </w:rPr>
      </w:pPr>
    </w:p>
    <w:p w:rsidR="003B6E11" w:rsidRPr="003B6E11" w:rsidRDefault="002D015D" w:rsidP="003B6E11">
      <w:pPr>
        <w:overflowPunct w:val="0"/>
        <w:adjustRightInd w:val="0"/>
        <w:spacing w:line="240" w:lineRule="atLeast"/>
        <w:ind w:left="567"/>
        <w:textAlignment w:val="baseline"/>
        <w:rPr>
          <w:szCs w:val="20"/>
          <w:lang w:val="cs-CZ"/>
        </w:rPr>
      </w:pPr>
      <m:oMathPara>
        <m:oMathParaPr>
          <m:jc m:val="left"/>
        </m:oMathParaPr>
        <m:oMath>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NORM</m:t>
              </m:r>
            </m:sub>
          </m:sSub>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MESSUNG</m:t>
              </m:r>
            </m:sub>
          </m:sSub>
          <m:r>
            <w:rPr>
              <w:rFonts w:ascii="Cambria Math" w:hAnsi="Cambria Math"/>
              <w:szCs w:val="20"/>
              <w:lang w:val="cs-CZ"/>
            </w:rPr>
            <m:t xml:space="preserve"> ∙ </m:t>
          </m:r>
          <m:f>
            <m:fPr>
              <m:ctrlPr>
                <w:rPr>
                  <w:rFonts w:ascii="Cambria Math" w:hAnsi="Cambria Math"/>
                  <w:i/>
                  <w:szCs w:val="20"/>
                  <w:lang w:val="cs-CZ"/>
                </w:rPr>
              </m:ctrlPr>
            </m:fPr>
            <m:num>
              <m:sSub>
                <m:sSubPr>
                  <m:ctrlPr>
                    <w:rPr>
                      <w:rFonts w:ascii="Cambria Math" w:hAnsi="Cambria Math"/>
                      <w:i/>
                      <w:szCs w:val="20"/>
                      <w:lang w:val="cs-CZ"/>
                    </w:rPr>
                  </m:ctrlPr>
                </m:sSubPr>
                <m:e>
                  <m:sSup>
                    <m:sSupPr>
                      <m:ctrlPr>
                        <w:rPr>
                          <w:rFonts w:ascii="Cambria Math" w:hAnsi="Cambria Math"/>
                          <w:i/>
                          <w:szCs w:val="20"/>
                          <w:lang w:val="cs-CZ"/>
                        </w:rPr>
                      </m:ctrlPr>
                    </m:sSupPr>
                    <m:e>
                      <m:r>
                        <w:rPr>
                          <w:rFonts w:ascii="Cambria Math" w:hAnsi="Cambria Math"/>
                          <w:szCs w:val="20"/>
                          <w:lang w:val="cs-CZ"/>
                        </w:rPr>
                        <m:t>s</m:t>
                      </m:r>
                    </m:e>
                    <m:sup>
                      <m:r>
                        <w:rPr>
                          <w:rFonts w:ascii="Cambria Math" w:hAnsi="Cambria Math"/>
                          <w:szCs w:val="20"/>
                          <w:lang w:val="cs-CZ"/>
                        </w:rPr>
                        <m:t>*</m:t>
                      </m:r>
                    </m:sup>
                  </m:sSup>
                </m:e>
                <m:sub>
                  <m:r>
                    <w:rPr>
                      <w:rFonts w:ascii="Cambria Math" w:hAnsi="Cambria Math"/>
                      <w:szCs w:val="20"/>
                      <w:lang w:val="cs-CZ"/>
                    </w:rPr>
                    <m:t>SOLL</m:t>
                  </m:r>
                </m:sub>
              </m:sSub>
            </m:num>
            <m:den>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IST</m:t>
                  </m:r>
                </m:sub>
              </m:sSub>
            </m:den>
          </m:f>
          <m:r>
            <w:rPr>
              <w:rFonts w:ascii="Cambria Math" w:hAnsi="Cambria Math"/>
              <w:szCs w:val="20"/>
              <w:lang w:val="cs-CZ"/>
            </w:rPr>
            <m:t>=550 m</m:t>
          </m:r>
        </m:oMath>
      </m:oMathPara>
    </w:p>
    <w:p w:rsidR="003B6E11" w:rsidRPr="003B6E11" w:rsidRDefault="003B6E11" w:rsidP="003B6E11">
      <w:pPr>
        <w:tabs>
          <w:tab w:val="left" w:pos="284"/>
        </w:tabs>
        <w:overflowPunct w:val="0"/>
        <w:adjustRightInd w:val="0"/>
        <w:spacing w:line="240" w:lineRule="exact"/>
        <w:ind w:left="454" w:hanging="454"/>
        <w:textAlignment w:val="baseline"/>
        <w:rPr>
          <w:szCs w:val="20"/>
          <w:lang w:val="cs-CZ"/>
        </w:rPr>
      </w:pPr>
    </w:p>
    <w:p w:rsidR="003B6E11" w:rsidRPr="003B6E11" w:rsidRDefault="003B6E11" w:rsidP="003B6E11">
      <w:pPr>
        <w:overflowPunct w:val="0"/>
        <w:adjustRightInd w:val="0"/>
        <w:spacing w:line="240" w:lineRule="exact"/>
        <w:ind w:left="567"/>
        <w:textAlignment w:val="baseline"/>
        <w:rPr>
          <w:szCs w:val="20"/>
          <w:lang w:val="cs-CZ"/>
        </w:rPr>
      </w:pPr>
      <w:r w:rsidRPr="003B6E11">
        <w:rPr>
          <w:lang w:val="cs-CZ"/>
        </w:rPr>
        <w:t>Proto:</w:t>
      </w:r>
    </w:p>
    <w:p w:rsidR="003B6E11" w:rsidRPr="003B6E11" w:rsidRDefault="003B6E11" w:rsidP="003B6E11">
      <w:pPr>
        <w:tabs>
          <w:tab w:val="left" w:pos="284"/>
        </w:tabs>
        <w:overflowPunct w:val="0"/>
        <w:adjustRightInd w:val="0"/>
        <w:spacing w:line="240" w:lineRule="exact"/>
        <w:ind w:left="454" w:hanging="454"/>
        <w:textAlignment w:val="baseline"/>
        <w:rPr>
          <w:szCs w:val="20"/>
          <w:lang w:val="cs-CZ"/>
        </w:rPr>
      </w:pPr>
    </w:p>
    <w:p w:rsidR="003B6E11" w:rsidRPr="003B6E11" w:rsidRDefault="002D015D" w:rsidP="003B6E11">
      <w:pPr>
        <w:overflowPunct w:val="0"/>
        <w:adjustRightInd w:val="0"/>
        <w:spacing w:line="240" w:lineRule="atLeast"/>
        <w:ind w:left="567"/>
        <w:textAlignment w:val="baseline"/>
        <w:rPr>
          <w:szCs w:val="20"/>
          <w:lang w:val="cs-CZ"/>
        </w:rPr>
      </w:pPr>
      <m:oMathPara>
        <m:oMathParaPr>
          <m:jc m:val="left"/>
        </m:oMathParaPr>
        <m:oMath>
          <m:sSub>
            <m:sSubPr>
              <m:ctrlPr>
                <w:rPr>
                  <w:rFonts w:ascii="Cambria Math" w:hAnsi="Cambria Math"/>
                  <w:i/>
                  <w:szCs w:val="20"/>
                  <w:lang w:val="cs-CZ"/>
                </w:rPr>
              </m:ctrlPr>
            </m:sSubPr>
            <m:e>
              <m:sSup>
                <m:sSupPr>
                  <m:ctrlPr>
                    <w:rPr>
                      <w:rFonts w:ascii="Cambria Math" w:hAnsi="Cambria Math"/>
                      <w:i/>
                      <w:szCs w:val="20"/>
                      <w:lang w:val="cs-CZ"/>
                    </w:rPr>
                  </m:ctrlPr>
                </m:sSupPr>
                <m:e>
                  <m:r>
                    <w:rPr>
                      <w:rFonts w:ascii="Cambria Math" w:hAnsi="Cambria Math"/>
                      <w:szCs w:val="20"/>
                      <w:lang w:val="cs-CZ"/>
                    </w:rPr>
                    <m:t>s</m:t>
                  </m:r>
                </m:e>
                <m:sup>
                  <m:r>
                    <w:rPr>
                      <w:rFonts w:ascii="Cambria Math" w:hAnsi="Cambria Math"/>
                      <w:szCs w:val="20"/>
                      <w:lang w:val="cs-CZ"/>
                    </w:rPr>
                    <m:t>*</m:t>
                  </m:r>
                </m:sup>
              </m:sSup>
            </m:e>
            <m:sub>
              <m:r>
                <w:rPr>
                  <w:rFonts w:ascii="Cambria Math" w:hAnsi="Cambria Math"/>
                  <w:szCs w:val="20"/>
                  <w:lang w:val="cs-CZ"/>
                </w:rPr>
                <m:t>SOLL</m:t>
              </m:r>
            </m:sub>
          </m:sSub>
          <m:r>
            <w:rPr>
              <w:rFonts w:ascii="Cambria Math" w:hAnsi="Cambria Math"/>
              <w:szCs w:val="20"/>
              <w:lang w:val="cs-CZ"/>
            </w:rPr>
            <m:t xml:space="preserve">=550  ∙ </m:t>
          </m:r>
          <m:f>
            <m:fPr>
              <m:ctrlPr>
                <w:rPr>
                  <w:rFonts w:ascii="Cambria Math" w:hAnsi="Cambria Math"/>
                  <w:i/>
                  <w:szCs w:val="20"/>
                  <w:lang w:val="cs-CZ"/>
                </w:rPr>
              </m:ctrlPr>
            </m:fPr>
            <m:num>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IST</m:t>
                  </m:r>
                </m:sub>
              </m:sSub>
            </m:num>
            <m:den>
              <m:sSub>
                <m:sSubPr>
                  <m:ctrlPr>
                    <w:rPr>
                      <w:rFonts w:ascii="Cambria Math" w:hAnsi="Cambria Math"/>
                      <w:i/>
                      <w:szCs w:val="20"/>
                      <w:lang w:val="cs-CZ"/>
                    </w:rPr>
                  </m:ctrlPr>
                </m:sSubPr>
                <m:e>
                  <m:r>
                    <w:rPr>
                      <w:rFonts w:ascii="Cambria Math" w:hAnsi="Cambria Math"/>
                      <w:szCs w:val="20"/>
                      <w:lang w:val="cs-CZ"/>
                    </w:rPr>
                    <m:t>s</m:t>
                  </m:r>
                </m:e>
                <m:sub>
                  <m:r>
                    <w:rPr>
                      <w:rFonts w:ascii="Cambria Math" w:hAnsi="Cambria Math"/>
                      <w:szCs w:val="20"/>
                      <w:lang w:val="cs-CZ"/>
                    </w:rPr>
                    <m:t>MESSUNG</m:t>
                  </m:r>
                </m:sub>
              </m:sSub>
            </m:den>
          </m:f>
          <m:r>
            <w:rPr>
              <w:rFonts w:ascii="Cambria Math" w:hAnsi="Cambria Math"/>
              <w:szCs w:val="20"/>
              <w:lang w:val="cs-CZ"/>
            </w:rPr>
            <m:t xml:space="preserve">= </m:t>
          </m:r>
          <m:sSub>
            <m:sSubPr>
              <m:ctrlPr>
                <w:rPr>
                  <w:rFonts w:ascii="Cambria Math" w:hAnsi="Cambria Math"/>
                  <w:i/>
                  <w:szCs w:val="20"/>
                  <w:lang w:val="cs-CZ"/>
                </w:rPr>
              </m:ctrlPr>
            </m:sSubPr>
            <m:e>
              <m:r>
                <w:rPr>
                  <w:rFonts w:ascii="Cambria Math" w:hAnsi="Cambria Math"/>
                  <w:szCs w:val="20"/>
                  <w:lang w:val="cs-CZ"/>
                </w:rPr>
                <m:t>s</m:t>
              </m:r>
            </m:e>
            <m:sub>
              <m:sSub>
                <m:sSubPr>
                  <m:ctrlPr>
                    <w:rPr>
                      <w:rFonts w:ascii="Cambria Math" w:hAnsi="Cambria Math"/>
                      <w:i/>
                      <w:szCs w:val="20"/>
                      <w:lang w:val="cs-CZ"/>
                    </w:rPr>
                  </m:ctrlPr>
                </m:sSubPr>
                <m:e>
                  <m:r>
                    <w:rPr>
                      <w:rFonts w:ascii="Cambria Math" w:hAnsi="Cambria Math"/>
                      <w:szCs w:val="20"/>
                      <w:lang w:val="cs-CZ"/>
                    </w:rPr>
                    <m:t>I</m:t>
                  </m:r>
                </m:e>
                <m:sub>
                  <m:r>
                    <w:rPr>
                      <w:rFonts w:ascii="Cambria Math" w:hAnsi="Cambria Math"/>
                      <w:szCs w:val="20"/>
                      <w:lang w:val="cs-CZ"/>
                    </w:rPr>
                    <m:t>SOLL</m:t>
                  </m:r>
                </m:sub>
              </m:sSub>
            </m:sub>
          </m:sSub>
          <m:r>
            <w:rPr>
              <w:rFonts w:ascii="Cambria Math" w:hAnsi="Cambria Math"/>
              <w:szCs w:val="20"/>
              <w:lang w:val="cs-CZ"/>
            </w:rPr>
            <m:t xml:space="preserve">+ </m:t>
          </m:r>
          <m:sSub>
            <m:sSubPr>
              <m:ctrlPr>
                <w:rPr>
                  <w:rFonts w:ascii="Cambria Math" w:hAnsi="Cambria Math"/>
                  <w:i/>
                  <w:szCs w:val="20"/>
                  <w:lang w:val="cs-CZ"/>
                </w:rPr>
              </m:ctrlPr>
            </m:sSubPr>
            <m:e>
              <m:sSup>
                <m:sSupPr>
                  <m:ctrlPr>
                    <w:rPr>
                      <w:rFonts w:ascii="Cambria Math" w:hAnsi="Cambria Math"/>
                      <w:i/>
                      <w:szCs w:val="20"/>
                      <w:lang w:val="cs-CZ"/>
                    </w:rPr>
                  </m:ctrlPr>
                </m:sSupPr>
                <m:e>
                  <m:r>
                    <w:rPr>
                      <w:rFonts w:ascii="Cambria Math" w:hAnsi="Cambria Math"/>
                      <w:szCs w:val="20"/>
                      <w:lang w:val="cs-CZ"/>
                    </w:rPr>
                    <m:t>s</m:t>
                  </m:r>
                </m:e>
                <m:sup>
                  <m:r>
                    <w:rPr>
                      <w:rFonts w:ascii="Cambria Math" w:hAnsi="Cambria Math"/>
                      <w:szCs w:val="20"/>
                      <w:lang w:val="cs-CZ"/>
                    </w:rPr>
                    <m:t>*</m:t>
                  </m:r>
                </m:sup>
              </m:sSup>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SOLL</m:t>
                  </m:r>
                </m:sub>
              </m:sSub>
            </m:sub>
          </m:sSub>
        </m:oMath>
      </m:oMathPara>
    </w:p>
    <w:p w:rsidR="003B6E11" w:rsidRPr="003B6E11" w:rsidRDefault="003B6E11" w:rsidP="003B6E11">
      <w:pPr>
        <w:tabs>
          <w:tab w:val="left" w:pos="284"/>
          <w:tab w:val="left" w:pos="8647"/>
        </w:tabs>
        <w:overflowPunct w:val="0"/>
        <w:adjustRightInd w:val="0"/>
        <w:spacing w:line="240" w:lineRule="exact"/>
        <w:ind w:left="454" w:hanging="454"/>
        <w:textAlignment w:val="baseline"/>
        <w:rPr>
          <w:szCs w:val="20"/>
          <w:lang w:val="cs-CZ"/>
        </w:rPr>
      </w:pPr>
    </w:p>
    <w:p w:rsidR="003B6E11" w:rsidRPr="003B6E11" w:rsidRDefault="002D015D" w:rsidP="003B6E11">
      <w:pPr>
        <w:tabs>
          <w:tab w:val="left" w:pos="567"/>
        </w:tabs>
        <w:overflowPunct w:val="0"/>
        <w:adjustRightInd w:val="0"/>
        <w:spacing w:line="240" w:lineRule="atLeast"/>
        <w:ind w:left="567"/>
        <w:textAlignment w:val="baseline"/>
        <w:rPr>
          <w:szCs w:val="20"/>
          <w:lang w:val="cs-CZ"/>
        </w:rPr>
      </w:pPr>
      <m:oMathPara>
        <m:oMathParaPr>
          <m:jc m:val="left"/>
        </m:oMathParaPr>
        <m:oMath>
          <m:sSub>
            <m:sSubPr>
              <m:ctrlPr>
                <w:rPr>
                  <w:rFonts w:ascii="Cambria Math" w:hAnsi="Cambria Math"/>
                  <w:i/>
                  <w:szCs w:val="20"/>
                  <w:lang w:val="cs-CZ"/>
                </w:rPr>
              </m:ctrlPr>
            </m:sSubPr>
            <m:e>
              <m:sSup>
                <m:sSupPr>
                  <m:ctrlPr>
                    <w:rPr>
                      <w:rFonts w:ascii="Cambria Math" w:hAnsi="Cambria Math"/>
                      <w:i/>
                      <w:szCs w:val="20"/>
                      <w:lang w:val="cs-CZ"/>
                    </w:rPr>
                  </m:ctrlPr>
                </m:sSupPr>
                <m:e>
                  <m:r>
                    <w:rPr>
                      <w:rFonts w:ascii="Cambria Math" w:hAnsi="Cambria Math"/>
                      <w:szCs w:val="20"/>
                      <w:lang w:val="cs-CZ"/>
                    </w:rPr>
                    <m:t>s</m:t>
                  </m:r>
                </m:e>
                <m:sup>
                  <m:r>
                    <w:rPr>
                      <w:rFonts w:ascii="Cambria Math" w:hAnsi="Cambria Math"/>
                      <w:szCs w:val="20"/>
                      <w:lang w:val="cs-CZ"/>
                    </w:rPr>
                    <m:t>*</m:t>
                  </m:r>
                </m:sup>
              </m:sSup>
            </m:e>
            <m:sub>
              <m:sSub>
                <m:sSubPr>
                  <m:ctrlPr>
                    <w:rPr>
                      <w:rFonts w:ascii="Cambria Math" w:hAnsi="Cambria Math"/>
                      <w:i/>
                      <w:szCs w:val="20"/>
                      <w:lang w:val="cs-CZ"/>
                    </w:rPr>
                  </m:ctrlPr>
                </m:sSubPr>
                <m:e>
                  <m:r>
                    <w:rPr>
                      <w:rFonts w:ascii="Cambria Math" w:hAnsi="Cambria Math"/>
                      <w:szCs w:val="20"/>
                      <w:lang w:val="cs-CZ"/>
                    </w:rPr>
                    <m:t>II</m:t>
                  </m:r>
                </m:e>
                <m:sub>
                  <m:r>
                    <w:rPr>
                      <w:rFonts w:ascii="Cambria Math" w:hAnsi="Cambria Math"/>
                      <w:szCs w:val="20"/>
                      <w:lang w:val="cs-CZ"/>
                    </w:rPr>
                    <m:t>SOLL</m:t>
                  </m:r>
                </m:sub>
              </m:sSub>
            </m:sub>
          </m:sSub>
          <m:r>
            <w:rPr>
              <w:rFonts w:ascii="Cambria Math" w:hAnsi="Cambria Math"/>
              <w:szCs w:val="20"/>
              <w:lang w:val="cs-CZ"/>
            </w:rPr>
            <m:t>=</m:t>
          </m:r>
          <m:sSub>
            <m:sSubPr>
              <m:ctrlPr>
                <w:rPr>
                  <w:rFonts w:ascii="Cambria Math" w:hAnsi="Cambria Math"/>
                  <w:i/>
                  <w:szCs w:val="20"/>
                  <w:lang w:val="cs-CZ"/>
                </w:rPr>
              </m:ctrlPr>
            </m:sSubPr>
            <m:e>
              <m:r>
                <w:rPr>
                  <w:rFonts w:ascii="Cambria Math" w:hAnsi="Cambria Math"/>
                  <w:szCs w:val="20"/>
                  <w:lang w:val="cs-CZ"/>
                </w:rPr>
                <m:t>Const</m:t>
              </m:r>
            </m:e>
            <m:sub>
              <m:r>
                <w:rPr>
                  <w:rFonts w:ascii="Cambria Math" w:hAnsi="Cambria Math"/>
                  <w:szCs w:val="20"/>
                  <w:lang w:val="cs-CZ"/>
                </w:rPr>
                <m:t>S</m:t>
              </m:r>
              <m:r>
                <w:rPr>
                  <w:rFonts w:ascii="Cambria Math" w:hAnsi="Cambria Math"/>
                  <w:szCs w:val="20"/>
                  <w:lang w:val="cs-CZ"/>
                </w:rPr>
                <m:t>OLL</m:t>
              </m:r>
            </m:sub>
          </m:sSub>
          <m:r>
            <w:rPr>
              <w:rFonts w:ascii="Cambria Math" w:hAnsi="Cambria Math"/>
              <w:szCs w:val="20"/>
              <w:lang w:val="cs-CZ"/>
            </w:rPr>
            <m:t xml:space="preserve"> ∙ </m:t>
          </m:r>
          <m:sSup>
            <m:sSupPr>
              <m:ctrlPr>
                <w:rPr>
                  <w:rFonts w:ascii="Cambria Math" w:hAnsi="Cambria Math"/>
                  <w:i/>
                  <w:szCs w:val="20"/>
                  <w:lang w:val="cs-CZ"/>
                </w:rPr>
              </m:ctrlPr>
            </m:sSupPr>
            <m:e>
              <m:r>
                <w:rPr>
                  <w:rFonts w:ascii="Cambria Math" w:hAnsi="Cambria Math"/>
                  <w:szCs w:val="20"/>
                  <w:lang w:val="cs-CZ"/>
                </w:rPr>
                <m:t>D</m:t>
              </m:r>
            </m:e>
            <m:sup>
              <m:r>
                <w:rPr>
                  <w:rFonts w:ascii="Cambria Math" w:hAnsi="Cambria Math"/>
                  <w:szCs w:val="20"/>
                  <w:lang w:val="cs-CZ"/>
                </w:rPr>
                <m:t>*</m:t>
              </m:r>
            </m:sup>
          </m:sSup>
          <m:r>
            <w:rPr>
              <w:rFonts w:ascii="Cambria Math" w:hAnsi="Cambria Math"/>
              <w:szCs w:val="20"/>
              <w:lang w:val="cs-CZ"/>
            </w:rPr>
            <m:t xml:space="preserve">=0,04684 ∙ </m:t>
          </m:r>
          <m:sSup>
            <m:sSupPr>
              <m:ctrlPr>
                <w:rPr>
                  <w:rFonts w:ascii="Cambria Math" w:hAnsi="Cambria Math"/>
                  <w:i/>
                  <w:szCs w:val="20"/>
                  <w:lang w:val="cs-CZ"/>
                </w:rPr>
              </m:ctrlPr>
            </m:sSupPr>
            <m:e>
              <m:r>
                <w:rPr>
                  <w:rFonts w:ascii="Cambria Math" w:hAnsi="Cambria Math"/>
                  <w:szCs w:val="20"/>
                  <w:lang w:val="cs-CZ"/>
                </w:rPr>
                <m:t>D</m:t>
              </m:r>
            </m:e>
            <m:sup>
              <m:r>
                <w:rPr>
                  <w:rFonts w:ascii="Cambria Math" w:hAnsi="Cambria Math"/>
                  <w:szCs w:val="20"/>
                  <w:lang w:val="cs-CZ"/>
                </w:rPr>
                <m:t>*</m:t>
              </m:r>
            </m:sup>
          </m:sSup>
        </m:oMath>
      </m:oMathPara>
    </w:p>
    <w:p w:rsidR="003B6E11" w:rsidRPr="003B6E11" w:rsidRDefault="003B6E11" w:rsidP="003B6E11">
      <w:pPr>
        <w:tabs>
          <w:tab w:val="left" w:pos="1843"/>
        </w:tabs>
        <w:overflowPunct w:val="0"/>
        <w:adjustRightInd w:val="0"/>
        <w:spacing w:line="240" w:lineRule="atLeast"/>
        <w:ind w:left="454" w:hanging="454"/>
        <w:textAlignment w:val="baseline"/>
        <w:rPr>
          <w:szCs w:val="20"/>
          <w:lang w:val="cs-CZ"/>
        </w:rPr>
      </w:pPr>
    </w:p>
    <w:p w:rsidR="003B6E11" w:rsidRPr="003B6E11" w:rsidRDefault="002D015D" w:rsidP="003B6E11">
      <w:pPr>
        <w:tabs>
          <w:tab w:val="left" w:pos="567"/>
        </w:tabs>
        <w:overflowPunct w:val="0"/>
        <w:adjustRightInd w:val="0"/>
        <w:spacing w:line="240" w:lineRule="atLeast"/>
        <w:ind w:left="567"/>
        <w:textAlignment w:val="baseline"/>
        <w:rPr>
          <w:szCs w:val="20"/>
          <w:lang w:val="cs-CZ"/>
        </w:rPr>
      </w:pPr>
      <m:oMathPara>
        <m:oMathParaPr>
          <m:jc m:val="left"/>
        </m:oMathParaPr>
        <m:oMath>
          <m:sSup>
            <m:sSupPr>
              <m:ctrlPr>
                <w:rPr>
                  <w:rFonts w:ascii="Cambria Math" w:hAnsi="Cambria Math"/>
                  <w:i/>
                  <w:szCs w:val="20"/>
                  <w:lang w:val="cs-CZ"/>
                </w:rPr>
              </m:ctrlPr>
            </m:sSupPr>
            <m:e>
              <m:r>
                <w:rPr>
                  <w:rFonts w:ascii="Cambria Math" w:hAnsi="Cambria Math"/>
                  <w:szCs w:val="20"/>
                  <w:lang w:val="cs-CZ"/>
                </w:rPr>
                <m:t>D</m:t>
              </m:r>
            </m:e>
            <m:sup>
              <m:r>
                <w:rPr>
                  <w:rFonts w:ascii="Cambria Math" w:hAnsi="Cambria Math"/>
                  <w:szCs w:val="20"/>
                  <w:lang w:val="cs-CZ"/>
                </w:rPr>
                <m:t>*</m:t>
              </m:r>
            </m:sup>
          </m:sSup>
          <m:r>
            <w:rPr>
              <w:rFonts w:ascii="Cambria Math" w:hAnsi="Cambria Math"/>
              <w:szCs w:val="20"/>
              <w:lang w:val="cs-CZ"/>
            </w:rPr>
            <m:t xml:space="preserve">= </m:t>
          </m:r>
          <m:f>
            <m:fPr>
              <m:ctrlPr>
                <w:rPr>
                  <w:rFonts w:ascii="Cambria Math" w:hAnsi="Cambria Math"/>
                  <w:i/>
                  <w:szCs w:val="20"/>
                  <w:lang w:val="cs-CZ"/>
                </w:rPr>
              </m:ctrlPr>
            </m:fPr>
            <m:num>
              <m:r>
                <w:rPr>
                  <w:rFonts w:ascii="Cambria Math" w:hAnsi="Cambria Math"/>
                  <w:szCs w:val="20"/>
                  <w:lang w:val="cs-CZ"/>
                </w:rPr>
                <m:t xml:space="preserve">550 ∙ </m:t>
              </m:r>
              <m:f>
                <m:fPr>
                  <m:ctrlPr>
                    <w:rPr>
                      <w:rFonts w:ascii="Cambria Math" w:hAnsi="Cambria Math"/>
                      <w:i/>
                      <w:szCs w:val="20"/>
                      <w:lang w:val="cs-CZ"/>
                    </w:rPr>
                  </m:ctrlPr>
                </m:fPr>
                <m:num>
                  <m:r>
                    <w:rPr>
                      <w:rFonts w:ascii="Cambria Math" w:hAnsi="Cambria Math"/>
                      <w:szCs w:val="20"/>
                      <w:lang w:val="cs-CZ"/>
                    </w:rPr>
                    <m:t>475</m:t>
                  </m:r>
                </m:num>
                <m:den>
                  <m:r>
                    <w:rPr>
                      <w:rFonts w:ascii="Cambria Math" w:hAnsi="Cambria Math"/>
                      <w:szCs w:val="20"/>
                      <w:lang w:val="cs-CZ"/>
                    </w:rPr>
                    <m:t>580</m:t>
                  </m:r>
                </m:den>
              </m:f>
              <m:r>
                <w:rPr>
                  <w:rFonts w:ascii="Cambria Math" w:hAnsi="Cambria Math"/>
                  <w:szCs w:val="20"/>
                  <w:lang w:val="cs-CZ"/>
                </w:rPr>
                <m:t>-77,5</m:t>
              </m:r>
            </m:num>
            <m:den>
              <m:r>
                <w:rPr>
                  <w:rFonts w:ascii="Cambria Math" w:hAnsi="Cambria Math"/>
                  <w:szCs w:val="20"/>
                  <w:lang w:val="cs-CZ"/>
                </w:rPr>
                <m:t>0,04684</m:t>
              </m:r>
            </m:den>
          </m:f>
          <m:r>
            <w:rPr>
              <w:rFonts w:ascii="Cambria Math" w:hAnsi="Cambria Math"/>
              <w:szCs w:val="20"/>
              <w:lang w:val="cs-CZ"/>
            </w:rPr>
            <m:t xml:space="preserve">=7950 </m:t>
          </m:r>
          <m:d>
            <m:dPr>
              <m:begChr m:val="["/>
              <m:endChr m:val="]"/>
              <m:ctrlPr>
                <w:rPr>
                  <w:rFonts w:ascii="Cambria Math" w:hAnsi="Cambria Math"/>
                  <w:i/>
                  <w:szCs w:val="20"/>
                  <w:lang w:val="cs-CZ"/>
                </w:rPr>
              </m:ctrlPr>
            </m:dPr>
            <m:e>
              <m:sSup>
                <m:sSupPr>
                  <m:ctrlPr>
                    <w:rPr>
                      <w:rFonts w:ascii="Cambria Math" w:hAnsi="Cambria Math"/>
                      <w:i/>
                      <w:szCs w:val="20"/>
                      <w:lang w:val="cs-CZ"/>
                    </w:rPr>
                  </m:ctrlPr>
                </m:sSupPr>
                <m:e>
                  <m:r>
                    <w:rPr>
                      <w:rFonts w:ascii="Cambria Math" w:hAnsi="Cambria Math"/>
                      <w:szCs w:val="20"/>
                      <w:lang w:val="cs-CZ"/>
                    </w:rPr>
                    <m:t>m</m:t>
                  </m:r>
                </m:e>
                <m:sup>
                  <m:r>
                    <w:rPr>
                      <w:rFonts w:ascii="Cambria Math" w:hAnsi="Cambria Math"/>
                      <w:szCs w:val="20"/>
                      <w:lang w:val="cs-CZ"/>
                    </w:rPr>
                    <m:t>3</m:t>
                  </m:r>
                </m:sup>
              </m:sSup>
            </m:e>
          </m:d>
        </m:oMath>
      </m:oMathPara>
    </w:p>
    <w:p w:rsidR="003B6E11" w:rsidRPr="003B6E11" w:rsidRDefault="003B6E11" w:rsidP="003B6E11">
      <w:pPr>
        <w:tabs>
          <w:tab w:val="left" w:pos="284"/>
        </w:tabs>
        <w:overflowPunct w:val="0"/>
        <w:adjustRightInd w:val="0"/>
        <w:spacing w:line="240" w:lineRule="exact"/>
        <w:textAlignment w:val="baseline"/>
        <w:rPr>
          <w:szCs w:val="20"/>
          <w:lang w:val="cs-CZ"/>
        </w:rPr>
      </w:pPr>
    </w:p>
    <w:p w:rsidR="003B6E11" w:rsidRPr="003B6E11" w:rsidRDefault="003B6E11" w:rsidP="003B6E11">
      <w:pPr>
        <w:tabs>
          <w:tab w:val="left" w:pos="284"/>
        </w:tabs>
        <w:overflowPunct w:val="0"/>
        <w:adjustRightInd w:val="0"/>
        <w:spacing w:line="240" w:lineRule="exact"/>
        <w:ind w:left="567"/>
        <w:textAlignment w:val="baseline"/>
        <w:rPr>
          <w:b/>
          <w:szCs w:val="20"/>
          <w:lang w:val="cs-CZ"/>
        </w:rPr>
      </w:pPr>
      <w:r w:rsidRPr="003B6E11">
        <w:rPr>
          <w:b/>
          <w:lang w:val="cs-CZ"/>
        </w:rPr>
        <w:t>Důsledek:</w:t>
      </w:r>
    </w:p>
    <w:p w:rsidR="003B6E11" w:rsidRPr="003B6E11" w:rsidRDefault="003B6E11" w:rsidP="003B6E11">
      <w:pPr>
        <w:tabs>
          <w:tab w:val="left" w:pos="284"/>
        </w:tabs>
        <w:overflowPunct w:val="0"/>
        <w:adjustRightInd w:val="0"/>
        <w:spacing w:line="240" w:lineRule="exact"/>
        <w:ind w:left="454" w:hanging="454"/>
        <w:textAlignment w:val="baseline"/>
        <w:rPr>
          <w:szCs w:val="20"/>
          <w:lang w:val="cs-CZ"/>
        </w:rPr>
      </w:pPr>
    </w:p>
    <w:p w:rsidR="003B6E11" w:rsidRPr="003B6E11" w:rsidRDefault="003B6E11" w:rsidP="003B6E11">
      <w:pPr>
        <w:overflowPunct w:val="0"/>
        <w:adjustRightInd w:val="0"/>
        <w:spacing w:line="240" w:lineRule="exact"/>
        <w:ind w:left="567"/>
        <w:textAlignment w:val="baseline"/>
        <w:rPr>
          <w:szCs w:val="20"/>
          <w:lang w:val="cs-CZ"/>
        </w:rPr>
      </w:pPr>
      <w:r w:rsidRPr="003B6E11">
        <w:rPr>
          <w:lang w:val="cs-CZ"/>
        </w:rPr>
        <w:t xml:space="preserve">Jelikož při plavbě po proudu činí přípustný výtlak </w:t>
      </w:r>
      <m:oMath>
        <m:sSup>
          <m:sSupPr>
            <m:ctrlPr>
              <w:rPr>
                <w:rFonts w:ascii="Cambria Math" w:hAnsi="Cambria Math"/>
                <w:i/>
                <w:szCs w:val="20"/>
                <w:lang w:val="cs-CZ"/>
              </w:rPr>
            </m:ctrlPr>
          </m:sSupPr>
          <m:e>
            <m:r>
              <w:rPr>
                <w:rFonts w:ascii="Cambria Math" w:hAnsi="Cambria Math"/>
                <w:szCs w:val="20"/>
                <w:lang w:val="cs-CZ"/>
              </w:rPr>
              <m:t>D</m:t>
            </m:r>
          </m:e>
          <m:sup>
            <m:r>
              <w:rPr>
                <w:rFonts w:ascii="Cambria Math" w:hAnsi="Cambria Math"/>
                <w:szCs w:val="20"/>
                <w:lang w:val="cs-CZ"/>
              </w:rPr>
              <m:t>*</m:t>
            </m:r>
          </m:sup>
        </m:sSup>
      </m:oMath>
      <w:r w:rsidRPr="003B6E11">
        <w:rPr>
          <w:lang w:val="cs-CZ"/>
        </w:rPr>
        <w:t xml:space="preserve"> pouze 7 950 m</w:t>
      </w:r>
      <w:r w:rsidRPr="003B6E11">
        <w:rPr>
          <w:vertAlign w:val="superscript"/>
          <w:lang w:val="cs-CZ"/>
        </w:rPr>
        <w:t>3</w:t>
      </w:r>
      <w:r w:rsidRPr="003B6E11">
        <w:rPr>
          <w:lang w:val="cs-CZ"/>
        </w:rPr>
        <w:t xml:space="preserve"> (přibližně)</w:t>
      </w:r>
    </w:p>
    <w:p w:rsidR="003B6E11" w:rsidRPr="003B6E11" w:rsidRDefault="003B6E11" w:rsidP="003B6E11">
      <w:pPr>
        <w:overflowPunct w:val="0"/>
        <w:adjustRightInd w:val="0"/>
        <w:spacing w:line="240" w:lineRule="atLeast"/>
        <w:ind w:left="567"/>
        <w:textAlignment w:val="baseline"/>
        <w:rPr>
          <w:szCs w:val="20"/>
          <w:lang w:val="cs-CZ"/>
        </w:rPr>
      </w:pPr>
    </w:p>
    <w:p w:rsidR="003B6E11" w:rsidRPr="003B6E11" w:rsidRDefault="002D015D" w:rsidP="003B6E11">
      <w:pPr>
        <w:overflowPunct w:val="0"/>
        <w:adjustRightInd w:val="0"/>
        <w:spacing w:line="240" w:lineRule="atLeast"/>
        <w:ind w:left="567"/>
        <w:textAlignment w:val="baseline"/>
        <w:rPr>
          <w:szCs w:val="20"/>
          <w:lang w:val="cs-CZ"/>
        </w:rPr>
      </w:pPr>
      <m:oMathPara>
        <m:oMathParaPr>
          <m:jc m:val="left"/>
        </m:oMathParaPr>
        <m:oMath>
          <m:f>
            <m:fPr>
              <m:ctrlPr>
                <w:rPr>
                  <w:rFonts w:ascii="Cambria Math" w:hAnsi="Cambria Math"/>
                  <w:i/>
                  <w:szCs w:val="20"/>
                  <w:lang w:val="cs-CZ"/>
                </w:rPr>
              </m:ctrlPr>
            </m:fPr>
            <m:num>
              <m:r>
                <w:rPr>
                  <w:rFonts w:ascii="Cambria Math" w:hAnsi="Cambria Math"/>
                  <w:szCs w:val="20"/>
                  <w:lang w:val="cs-CZ"/>
                </w:rPr>
                <m:t>zul.  Tgf</m:t>
              </m:r>
            </m:num>
            <m:den>
              <m:func>
                <m:funcPr>
                  <m:ctrlPr>
                    <w:rPr>
                      <w:rFonts w:ascii="Cambria Math" w:hAnsi="Cambria Math"/>
                      <w:i/>
                      <w:szCs w:val="20"/>
                      <w:lang w:val="cs-CZ"/>
                    </w:rPr>
                  </m:ctrlPr>
                </m:funcPr>
                <m:fName>
                  <m:r>
                    <m:rPr>
                      <m:sty m:val="p"/>
                    </m:rPr>
                    <w:rPr>
                      <w:rFonts w:ascii="Cambria Math" w:hAnsi="Cambria Math"/>
                      <w:szCs w:val="20"/>
                      <w:lang w:val="cs-CZ"/>
                    </w:rPr>
                    <m:t>max</m:t>
                  </m:r>
                </m:fName>
                <m:e>
                  <m:r>
                    <w:rPr>
                      <w:rFonts w:ascii="Cambria Math" w:hAnsi="Cambria Math"/>
                      <w:szCs w:val="20"/>
                      <w:lang w:val="cs-CZ"/>
                    </w:rPr>
                    <m:t>.  Tgf</m:t>
                  </m:r>
                </m:e>
              </m:func>
            </m:den>
          </m:f>
          <m:r>
            <w:rPr>
              <w:rFonts w:ascii="Cambria Math" w:hAnsi="Cambria Math"/>
              <w:szCs w:val="20"/>
              <w:lang w:val="cs-CZ"/>
            </w:rPr>
            <m:t xml:space="preserve">= </m:t>
          </m:r>
          <m:f>
            <m:fPr>
              <m:ctrlPr>
                <w:rPr>
                  <w:rFonts w:ascii="Cambria Math" w:hAnsi="Cambria Math"/>
                  <w:i/>
                  <w:szCs w:val="20"/>
                  <w:lang w:val="cs-CZ"/>
                </w:rPr>
              </m:ctrlPr>
            </m:fPr>
            <m:num>
              <m:sSup>
                <m:sSupPr>
                  <m:ctrlPr>
                    <w:rPr>
                      <w:rFonts w:ascii="Cambria Math" w:hAnsi="Cambria Math"/>
                      <w:i/>
                      <w:szCs w:val="20"/>
                      <w:lang w:val="cs-CZ"/>
                    </w:rPr>
                  </m:ctrlPr>
                </m:sSupPr>
                <m:e>
                  <m:r>
                    <w:rPr>
                      <w:rFonts w:ascii="Cambria Math" w:hAnsi="Cambria Math"/>
                      <w:szCs w:val="20"/>
                      <w:lang w:val="cs-CZ"/>
                    </w:rPr>
                    <m:t>D</m:t>
                  </m:r>
                </m:e>
                <m:sup>
                  <m:r>
                    <w:rPr>
                      <w:rFonts w:ascii="Cambria Math" w:hAnsi="Cambria Math"/>
                      <w:szCs w:val="20"/>
                      <w:lang w:val="cs-CZ"/>
                    </w:rPr>
                    <m:t>*</m:t>
                  </m:r>
                </m:sup>
              </m:sSup>
            </m:num>
            <m:den>
              <m:sSub>
                <m:sSubPr>
                  <m:ctrlPr>
                    <w:rPr>
                      <w:rFonts w:ascii="Cambria Math" w:hAnsi="Cambria Math"/>
                      <w:i/>
                      <w:szCs w:val="20"/>
                      <w:lang w:val="cs-CZ"/>
                    </w:rPr>
                  </m:ctrlPr>
                </m:sSubPr>
                <m:e>
                  <m:r>
                    <w:rPr>
                      <w:rFonts w:ascii="Cambria Math" w:hAnsi="Cambria Math"/>
                      <w:szCs w:val="20"/>
                      <w:lang w:val="cs-CZ"/>
                    </w:rPr>
                    <m:t>D</m:t>
                  </m:r>
                </m:e>
                <m:sub>
                  <m:r>
                    <w:rPr>
                      <w:rFonts w:ascii="Cambria Math" w:hAnsi="Cambria Math"/>
                      <w:szCs w:val="20"/>
                      <w:lang w:val="cs-CZ"/>
                    </w:rPr>
                    <m:t>max</m:t>
                  </m:r>
                </m:sub>
              </m:sSub>
            </m:den>
          </m:f>
          <m:r>
            <w:rPr>
              <w:rFonts w:ascii="Cambria Math" w:hAnsi="Cambria Math"/>
              <w:szCs w:val="20"/>
              <w:lang w:val="cs-CZ"/>
            </w:rPr>
            <m:t xml:space="preserve">= </m:t>
          </m:r>
          <m:f>
            <m:fPr>
              <m:ctrlPr>
                <w:rPr>
                  <w:rFonts w:ascii="Cambria Math" w:hAnsi="Cambria Math"/>
                  <w:i/>
                  <w:szCs w:val="20"/>
                  <w:lang w:val="cs-CZ"/>
                </w:rPr>
              </m:ctrlPr>
            </m:fPr>
            <m:num>
              <m:r>
                <w:rPr>
                  <w:rFonts w:ascii="Cambria Math" w:hAnsi="Cambria Math"/>
                  <w:szCs w:val="20"/>
                  <w:lang w:val="cs-CZ"/>
                </w:rPr>
                <m:t>7950</m:t>
              </m:r>
            </m:num>
            <m:den>
              <m:r>
                <w:rPr>
                  <w:rFonts w:ascii="Cambria Math" w:hAnsi="Cambria Math"/>
                  <w:szCs w:val="20"/>
                  <w:lang w:val="cs-CZ"/>
                </w:rPr>
                <m:t>11960</m:t>
              </m:r>
            </m:den>
          </m:f>
          <m:r>
            <w:rPr>
              <w:rFonts w:ascii="Cambria Math" w:hAnsi="Cambria Math"/>
              <w:szCs w:val="20"/>
              <w:lang w:val="cs-CZ"/>
            </w:rPr>
            <m:t>=0,66</m:t>
          </m:r>
        </m:oMath>
      </m:oMathPara>
    </w:p>
    <w:p w:rsidR="003B6E11" w:rsidRPr="003B6E11" w:rsidRDefault="003B6E11" w:rsidP="003B6E11">
      <w:pPr>
        <w:overflowPunct w:val="0"/>
        <w:adjustRightInd w:val="0"/>
        <w:spacing w:line="240" w:lineRule="atLeast"/>
        <w:ind w:left="567"/>
        <w:textAlignment w:val="baseline"/>
        <w:rPr>
          <w:szCs w:val="20"/>
          <w:lang w:val="cs-CZ"/>
        </w:rPr>
      </w:pPr>
    </w:p>
    <w:p w:rsidR="003B6E11" w:rsidRPr="003B6E11" w:rsidRDefault="003B6E11" w:rsidP="003B6E11">
      <w:pPr>
        <w:tabs>
          <w:tab w:val="left" w:pos="284"/>
        </w:tabs>
        <w:overflowPunct w:val="0"/>
        <w:adjustRightInd w:val="0"/>
        <w:spacing w:line="240" w:lineRule="exact"/>
        <w:textAlignment w:val="baseline"/>
        <w:rPr>
          <w:szCs w:val="20"/>
          <w:lang w:val="cs-CZ"/>
        </w:rPr>
      </w:pPr>
    </w:p>
    <w:p w:rsidR="003B6E11" w:rsidRPr="003B6E11" w:rsidRDefault="003B6E11" w:rsidP="003B6E11">
      <w:pPr>
        <w:tabs>
          <w:tab w:val="left" w:pos="284"/>
        </w:tabs>
        <w:overflowPunct w:val="0"/>
        <w:adjustRightInd w:val="0"/>
        <w:spacing w:line="240" w:lineRule="atLeast"/>
        <w:ind w:left="567"/>
        <w:textAlignment w:val="baseline"/>
        <w:rPr>
          <w:szCs w:val="20"/>
          <w:lang w:val="cs-CZ"/>
        </w:rPr>
      </w:pPr>
      <w:r w:rsidRPr="003B6E11">
        <w:rPr>
          <w:lang w:val="cs-CZ"/>
        </w:rPr>
        <w:t>přípustná nosnost pro tento tvar sestavy je (viz bod 1):</w:t>
      </w:r>
    </w:p>
    <w:p w:rsidR="003B6E11" w:rsidRPr="003B6E11" w:rsidRDefault="003B6E11" w:rsidP="003B6E11">
      <w:pPr>
        <w:tabs>
          <w:tab w:val="left" w:pos="284"/>
        </w:tabs>
        <w:overflowPunct w:val="0"/>
        <w:adjustRightInd w:val="0"/>
        <w:spacing w:line="240" w:lineRule="atLeast"/>
        <w:ind w:left="567"/>
        <w:textAlignment w:val="baseline"/>
        <w:rPr>
          <w:szCs w:val="20"/>
          <w:lang w:val="cs-CZ"/>
        </w:rPr>
      </w:pPr>
    </w:p>
    <w:p w:rsidR="003B6E11" w:rsidRPr="003B6E11" w:rsidRDefault="003B6E11" w:rsidP="003B6E11">
      <w:pPr>
        <w:tabs>
          <w:tab w:val="left" w:pos="284"/>
        </w:tabs>
        <w:overflowPunct w:val="0"/>
        <w:adjustRightInd w:val="0"/>
        <w:spacing w:line="240" w:lineRule="atLeast"/>
        <w:ind w:left="567"/>
        <w:textAlignment w:val="baseline"/>
        <w:rPr>
          <w:szCs w:val="20"/>
          <w:lang w:val="cs-CZ"/>
        </w:rPr>
      </w:pPr>
      <m:oMathPara>
        <m:oMathParaPr>
          <m:jc m:val="left"/>
        </m:oMathParaPr>
        <m:oMath>
          <m:r>
            <w:rPr>
              <w:rFonts w:ascii="Cambria Math" w:hAnsi="Cambria Math"/>
              <w:szCs w:val="20"/>
              <w:lang w:val="cs-CZ"/>
            </w:rPr>
            <m:t>0,66 ∙10700=</m:t>
          </m:r>
          <m:r>
            <m:rPr>
              <m:sty m:val="bi"/>
            </m:rPr>
            <w:rPr>
              <w:rFonts w:ascii="Cambria Math" w:hAnsi="Cambria Math"/>
              <w:szCs w:val="20"/>
              <w:lang w:val="cs-CZ"/>
            </w:rPr>
            <m:t>7112 t</m:t>
          </m:r>
        </m:oMath>
      </m:oMathPara>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sectPr w:rsidR="003B6E11" w:rsidRPr="003B6E11" w:rsidSect="00D45887">
          <w:headerReference w:type="first" r:id="rId128"/>
          <w:pgSz w:w="11907" w:h="16840" w:code="9"/>
          <w:pgMar w:top="1418" w:right="1418" w:bottom="1418" w:left="1418" w:header="680" w:footer="680" w:gutter="0"/>
          <w:cols w:space="720"/>
          <w:noEndnote/>
          <w:titlePg/>
        </w:sectPr>
      </w:pPr>
    </w:p>
    <w:p w:rsidR="003B6E11" w:rsidRPr="003B6E11" w:rsidRDefault="003B6E11" w:rsidP="003B6E11">
      <w:pPr>
        <w:pStyle w:val="ESch"/>
        <w:rPr>
          <w:lang w:val="cs-CZ"/>
        </w:rPr>
      </w:pPr>
    </w:p>
    <w:p w:rsidR="003B6E11" w:rsidRPr="003B6E11" w:rsidRDefault="003B6E11" w:rsidP="003B6E11">
      <w:pPr>
        <w:pStyle w:val="ES-Titre2ESI"/>
      </w:pPr>
      <w:bookmarkStart w:id="741" w:name="_Toc491854353"/>
      <w:bookmarkStart w:id="742" w:name="_Toc535417259"/>
      <w:r w:rsidRPr="003B6E11">
        <w:t>ESI-II-4</w:t>
      </w:r>
      <w:r w:rsidRPr="003B6E11">
        <w:br/>
        <w:t>Schopnost provádět vyhýbací manévry a otáčecí manévry</w:t>
      </w:r>
      <w:bookmarkEnd w:id="741"/>
      <w:bookmarkEnd w:id="742"/>
    </w:p>
    <w:p w:rsidR="003B6E11" w:rsidRPr="003B6E11" w:rsidRDefault="003B6E11" w:rsidP="003B6E11">
      <w:pPr>
        <w:overflowPunct w:val="0"/>
        <w:adjustRightInd w:val="0"/>
        <w:jc w:val="center"/>
        <w:textAlignment w:val="baseline"/>
        <w:rPr>
          <w:szCs w:val="20"/>
          <w:lang w:val="cs-CZ"/>
        </w:rPr>
      </w:pPr>
    </w:p>
    <w:p w:rsidR="003B6E11" w:rsidRPr="003B6E11" w:rsidRDefault="003B6E11" w:rsidP="003B6E11">
      <w:pPr>
        <w:tabs>
          <w:tab w:val="center" w:pos="4666"/>
        </w:tabs>
        <w:overflowPunct w:val="0"/>
        <w:adjustRightInd w:val="0"/>
        <w:jc w:val="center"/>
        <w:textAlignment w:val="baseline"/>
        <w:rPr>
          <w:b/>
          <w:szCs w:val="20"/>
          <w:lang w:val="cs-CZ"/>
        </w:rPr>
      </w:pPr>
      <w:r w:rsidRPr="003B6E11">
        <w:rPr>
          <w:b/>
          <w:lang w:val="cs-CZ"/>
        </w:rPr>
        <w:t>(Články 5.09 a 5.10 ve spojení s čl. 5.02 odst. 1, čl. 5.03 odst. 1 a články 5.04 a 21.06)</w:t>
      </w:r>
    </w:p>
    <w:p w:rsidR="003B6E11" w:rsidRPr="003B6E11" w:rsidRDefault="003B6E11" w:rsidP="003B6E11">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textAlignment w:val="baseline"/>
        <w:rPr>
          <w:b/>
          <w:szCs w:val="20"/>
          <w:lang w:val="cs-CZ"/>
        </w:rPr>
      </w:pPr>
    </w:p>
    <w:p w:rsidR="003B6E11" w:rsidRPr="003B6E11" w:rsidRDefault="003B6E11" w:rsidP="003B6E11">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textAlignment w:val="baseline"/>
        <w:rPr>
          <w:b/>
          <w:szCs w:val="20"/>
          <w:lang w:val="cs-CZ"/>
        </w:rPr>
      </w:pPr>
    </w:p>
    <w:p w:rsidR="003B6E11" w:rsidRPr="003B6E11" w:rsidRDefault="003B6E11" w:rsidP="003B6E11">
      <w:pPr>
        <w:tabs>
          <w:tab w:val="left" w:pos="567"/>
        </w:tabs>
        <w:overflowPunct w:val="0"/>
        <w:adjustRightInd w:val="0"/>
        <w:ind w:left="567" w:hanging="567"/>
        <w:textAlignment w:val="baseline"/>
        <w:rPr>
          <w:b/>
          <w:szCs w:val="20"/>
          <w:lang w:val="cs-CZ"/>
        </w:rPr>
      </w:pPr>
      <w:r w:rsidRPr="003B6E11">
        <w:rPr>
          <w:b/>
          <w:lang w:val="cs-CZ"/>
        </w:rPr>
        <w:t>1.</w:t>
      </w:r>
      <w:r w:rsidRPr="003B6E11">
        <w:rPr>
          <w:lang w:val="cs-CZ"/>
        </w:rPr>
        <w:tab/>
      </w:r>
      <w:r w:rsidRPr="003B6E11">
        <w:rPr>
          <w:b/>
          <w:lang w:val="cs-CZ"/>
        </w:rPr>
        <w:t>Všeobecné podmínky a omezení pro testování vyhýbacích manévrů</w:t>
      </w:r>
    </w:p>
    <w:p w:rsidR="003B6E11" w:rsidRPr="003B6E11" w:rsidRDefault="003B6E11" w:rsidP="003B6E11">
      <w:pPr>
        <w:tabs>
          <w:tab w:val="left" w:pos="426"/>
        </w:tabs>
        <w:overflowPunct w:val="0"/>
        <w:adjustRightInd w:val="0"/>
        <w:ind w:left="426" w:hanging="426"/>
        <w:textAlignment w:val="baseline"/>
        <w:rPr>
          <w:szCs w:val="20"/>
          <w:lang w:val="cs-CZ"/>
        </w:rPr>
      </w:pPr>
    </w:p>
    <w:p w:rsidR="003B6E11" w:rsidRPr="003B6E11" w:rsidRDefault="003B6E11" w:rsidP="003B6E11">
      <w:pPr>
        <w:spacing w:line="240" w:lineRule="atLeast"/>
        <w:ind w:left="567" w:hanging="567"/>
        <w:rPr>
          <w:lang w:val="cs-CZ"/>
        </w:rPr>
      </w:pPr>
      <w:r w:rsidRPr="003B6E11">
        <w:rPr>
          <w:lang w:val="cs-CZ"/>
        </w:rPr>
        <w:t>1.1</w:t>
      </w:r>
      <w:r w:rsidRPr="003B6E11">
        <w:rPr>
          <w:lang w:val="cs-CZ"/>
        </w:rPr>
        <w:tab/>
        <w:t>V souladu s článkem 5.09 musí být lodě a sestavy schopné provádět vyhýbací manévry včas a schopnosti těchto manévrů musí být prokázány vyhýbacími manévry ve zkušební oblasti v souladu s článkem 5.03. Tyto schopnosti se musí prokázat simulovanými vyhýbacími manévry orientovanými na levobok a na pravobok při předepsaných hodnotách, přičemž musí být splněny stanovené rychlosti otáčení lodě vzhledem k otočení a následné kontrole kormidla v určitém časovém limitu.</w:t>
      </w:r>
    </w:p>
    <w:p w:rsidR="003B6E11" w:rsidRPr="003B6E11" w:rsidRDefault="003B6E11" w:rsidP="003B6E11">
      <w:pPr>
        <w:tabs>
          <w:tab w:val="left" w:pos="426"/>
        </w:tabs>
        <w:overflowPunct w:val="0"/>
        <w:adjustRightInd w:val="0"/>
        <w:ind w:left="426" w:hanging="426"/>
        <w:textAlignment w:val="baseline"/>
        <w:rPr>
          <w:szCs w:val="20"/>
          <w:lang w:val="cs-CZ"/>
        </w:rPr>
      </w:pPr>
    </w:p>
    <w:p w:rsidR="003B6E11" w:rsidRPr="003B6E11" w:rsidRDefault="003B6E11" w:rsidP="003B6E11">
      <w:pPr>
        <w:spacing w:line="240" w:lineRule="atLeast"/>
        <w:ind w:left="567"/>
        <w:rPr>
          <w:lang w:val="cs-CZ"/>
        </w:rPr>
      </w:pPr>
      <w:r w:rsidRPr="003B6E11">
        <w:rPr>
          <w:lang w:val="cs-CZ"/>
        </w:rPr>
        <w:t>Při zkouškách musí být splněny požadavky oddílu 2 při zachování vzdálenosti kýlu rovnající se alespoň 20 % ponoru, ale ne méně než 0,50 m.</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tabs>
          <w:tab w:val="left" w:pos="567"/>
        </w:tabs>
        <w:overflowPunct w:val="0"/>
        <w:adjustRightInd w:val="0"/>
        <w:ind w:left="567" w:hanging="567"/>
        <w:textAlignment w:val="baseline"/>
        <w:rPr>
          <w:b/>
          <w:szCs w:val="20"/>
          <w:lang w:val="cs-CZ"/>
        </w:rPr>
      </w:pPr>
      <w:r w:rsidRPr="003B6E11">
        <w:rPr>
          <w:b/>
          <w:lang w:val="cs-CZ"/>
        </w:rPr>
        <w:t>2.</w:t>
      </w:r>
      <w:r w:rsidRPr="003B6E11">
        <w:rPr>
          <w:lang w:val="cs-CZ"/>
        </w:rPr>
        <w:tab/>
      </w:r>
      <w:r w:rsidRPr="003B6E11">
        <w:rPr>
          <w:b/>
          <w:lang w:val="cs-CZ"/>
        </w:rPr>
        <w:t>Postup testování vyhýbacích manévrů a zaznamenávání údajů</w:t>
      </w:r>
    </w:p>
    <w:p w:rsidR="003B6E11" w:rsidRPr="003B6E11" w:rsidRDefault="003B6E11" w:rsidP="003B6E11">
      <w:pPr>
        <w:spacing w:line="240" w:lineRule="atLeast"/>
        <w:ind w:left="567"/>
        <w:rPr>
          <w:lang w:val="cs-CZ"/>
        </w:rPr>
      </w:pPr>
      <w:r w:rsidRPr="003B6E11">
        <w:rPr>
          <w:lang w:val="cs-CZ"/>
        </w:rPr>
        <w:t>(Schéma v příloze 1)</w:t>
      </w:r>
    </w:p>
    <w:p w:rsidR="003B6E11" w:rsidRPr="003B6E11" w:rsidRDefault="003B6E11" w:rsidP="003B6E11">
      <w:pPr>
        <w:tabs>
          <w:tab w:val="left" w:pos="426"/>
        </w:tabs>
        <w:overflowPunct w:val="0"/>
        <w:adjustRightInd w:val="0"/>
        <w:ind w:left="426" w:hanging="426"/>
        <w:textAlignment w:val="baseline"/>
        <w:rPr>
          <w:szCs w:val="20"/>
          <w:lang w:val="cs-CZ"/>
        </w:rPr>
      </w:pPr>
    </w:p>
    <w:p w:rsidR="003B6E11" w:rsidRPr="003B6E11" w:rsidRDefault="003B6E11" w:rsidP="003B6E11">
      <w:pPr>
        <w:tabs>
          <w:tab w:val="left" w:pos="567"/>
        </w:tabs>
        <w:overflowPunct w:val="0"/>
        <w:adjustRightInd w:val="0"/>
        <w:ind w:left="567" w:hanging="567"/>
        <w:textAlignment w:val="baseline"/>
        <w:rPr>
          <w:szCs w:val="20"/>
          <w:lang w:val="cs-CZ"/>
        </w:rPr>
      </w:pPr>
      <w:r w:rsidRPr="003B6E11">
        <w:rPr>
          <w:lang w:val="cs-CZ"/>
        </w:rPr>
        <w:t>2.1</w:t>
      </w:r>
      <w:r w:rsidRPr="003B6E11">
        <w:rPr>
          <w:lang w:val="cs-CZ"/>
        </w:rPr>
        <w:tab/>
        <w:t>Vyhýbací manévry se provedou následovně:</w:t>
      </w:r>
    </w:p>
    <w:p w:rsidR="003B6E11" w:rsidRPr="003B6E11" w:rsidRDefault="003B6E11" w:rsidP="003B6E11">
      <w:pPr>
        <w:tabs>
          <w:tab w:val="left" w:pos="426"/>
        </w:tabs>
        <w:overflowPunct w:val="0"/>
        <w:adjustRightInd w:val="0"/>
        <w:ind w:left="426" w:hanging="426"/>
        <w:textAlignment w:val="baseline"/>
        <w:rPr>
          <w:szCs w:val="20"/>
          <w:lang w:val="cs-CZ"/>
        </w:rPr>
      </w:pPr>
    </w:p>
    <w:p w:rsidR="003B6E11" w:rsidRPr="003B6E11" w:rsidRDefault="003B6E11" w:rsidP="003B6E11">
      <w:pPr>
        <w:tabs>
          <w:tab w:val="left" w:pos="567"/>
        </w:tabs>
        <w:overflowPunct w:val="0"/>
        <w:adjustRightInd w:val="0"/>
        <w:ind w:left="567" w:hanging="567"/>
        <w:textAlignment w:val="baseline"/>
        <w:rPr>
          <w:szCs w:val="20"/>
          <w:lang w:val="cs-CZ"/>
        </w:rPr>
      </w:pPr>
      <w:r w:rsidRPr="003B6E11">
        <w:rPr>
          <w:lang w:val="cs-CZ"/>
        </w:rPr>
        <w:tab/>
        <w:t xml:space="preserve">S lodí nebo sestavou plující konstantní rychlostí </w:t>
      </w:r>
      <m:oMath>
        <m:r>
          <w:rPr>
            <w:rFonts w:ascii="Cambria Math" w:hAnsi="Cambria Math" w:cs="Arial"/>
            <w:szCs w:val="20"/>
            <w:lang w:val="cs-CZ"/>
          </w:rPr>
          <m:t>V</m:t>
        </m:r>
        <m:r>
          <w:rPr>
            <w:rFonts w:ascii="Cambria Math" w:hAnsi="Cambria Math" w:cs="Arial"/>
            <w:szCs w:val="20"/>
            <w:vertAlign w:val="subscript"/>
            <w:lang w:val="cs-CZ"/>
          </w:rPr>
          <m:t>o</m:t>
        </m:r>
      </m:oMath>
      <w:r w:rsidRPr="003B6E11">
        <w:rPr>
          <w:lang w:val="cs-CZ"/>
        </w:rPr>
        <w:t xml:space="preserve"> = 13 km/h vzhledem k vodní hladině na začátku manévru (čas </w:t>
      </w:r>
      <m:oMath>
        <m:sSub>
          <m:sSubPr>
            <m:ctrlPr>
              <w:rPr>
                <w:rFonts w:ascii="Cambria Math" w:hAnsi="Cambria Math" w:cs="Arial"/>
                <w:i/>
                <w:szCs w:val="20"/>
                <w:lang w:val="cs-CZ"/>
              </w:rPr>
            </m:ctrlPr>
          </m:sSubPr>
          <m:e>
            <m:r>
              <w:rPr>
                <w:rFonts w:ascii="Cambria Math" w:hAnsi="Cambria Math" w:cs="Arial"/>
                <w:szCs w:val="20"/>
                <w:lang w:val="cs-CZ"/>
              </w:rPr>
              <m:t>t</m:t>
            </m:r>
          </m:e>
          <m:sub>
            <m:r>
              <w:rPr>
                <w:rFonts w:ascii="Cambria Math" w:hAnsi="Cambria Math" w:cs="Arial"/>
                <w:szCs w:val="20"/>
                <w:lang w:val="cs-CZ"/>
              </w:rPr>
              <m:t>0</m:t>
            </m:r>
          </m:sub>
        </m:sSub>
      </m:oMath>
      <w:r w:rsidRPr="003B6E11">
        <w:rPr>
          <w:lang w:val="cs-CZ"/>
        </w:rPr>
        <w:t xml:space="preserve"> = 0 s, rychlost otáčení </w:t>
      </w:r>
      <m:oMath>
        <m:r>
          <w:rPr>
            <w:rFonts w:ascii="Cambria Math" w:hAnsi="Cambria Math"/>
            <w:szCs w:val="20"/>
            <w:lang w:val="cs-CZ"/>
          </w:rPr>
          <m:t>r</m:t>
        </m:r>
      </m:oMath>
      <w:r w:rsidRPr="003B6E11">
        <w:rPr>
          <w:lang w:val="cs-CZ"/>
        </w:rPr>
        <w:t xml:space="preserve"> = 0°/min, úhel kormidla </w:t>
      </w:r>
      <m:oMath>
        <m:sSub>
          <m:sSubPr>
            <m:ctrlPr>
              <w:rPr>
                <w:rFonts w:ascii="Cambria Math" w:hAnsi="Cambria Math"/>
                <w:i/>
                <w:szCs w:val="20"/>
                <w:lang w:val="cs-CZ"/>
              </w:rPr>
            </m:ctrlPr>
          </m:sSubPr>
          <m:e>
            <m:r>
              <w:rPr>
                <w:rFonts w:ascii="Cambria Math" w:hAnsi="Cambria Math"/>
                <w:szCs w:val="20"/>
                <w:lang w:val="cs-CZ"/>
              </w:rPr>
              <m:t>δ</m:t>
            </m:r>
          </m:e>
          <m:sub>
            <m:r>
              <w:rPr>
                <w:rFonts w:ascii="Cambria Math" w:hAnsi="Cambria Math"/>
                <w:szCs w:val="20"/>
                <w:lang w:val="cs-CZ"/>
              </w:rPr>
              <m:t>0</m:t>
            </m:r>
          </m:sub>
        </m:sSub>
      </m:oMath>
      <w:r w:rsidRPr="003B6E11">
        <w:rPr>
          <w:lang w:val="cs-CZ"/>
        </w:rPr>
        <w:t xml:space="preserve"> = 0°, konstantní otáčky motoru) se zahájí vyhýbací manévr na levobok nebo pravobok otočením kormidla. Na začátku manévru se kormidlo nastaví do úhlu </w:t>
      </w:r>
      <m:oMath>
        <m:r>
          <w:rPr>
            <w:rFonts w:ascii="Cambria Math" w:hAnsi="Cambria Math"/>
            <w:szCs w:val="20"/>
            <w:lang w:val="cs-CZ"/>
          </w:rPr>
          <m:t>δ</m:t>
        </m:r>
      </m:oMath>
      <w:r w:rsidRPr="003B6E11">
        <w:rPr>
          <w:lang w:val="cs-CZ"/>
        </w:rPr>
        <w:t xml:space="preserve">, nebo kormidelní jednotka do úhlu </w:t>
      </w:r>
      <m:oMath>
        <m:sSub>
          <m:sSubPr>
            <m:ctrlPr>
              <w:rPr>
                <w:rFonts w:ascii="Cambria Math" w:hAnsi="Cambria Math"/>
                <w:i/>
                <w:szCs w:val="20"/>
                <w:lang w:val="cs-CZ"/>
              </w:rPr>
            </m:ctrlPr>
          </m:sSubPr>
          <m:e>
            <m:r>
              <w:rPr>
                <w:rFonts w:ascii="Cambria Math" w:hAnsi="Cambria Math"/>
                <w:szCs w:val="20"/>
                <w:lang w:val="cs-CZ"/>
              </w:rPr>
              <m:t>δ</m:t>
            </m:r>
          </m:e>
          <m:sub>
            <m:r>
              <w:rPr>
                <w:rFonts w:ascii="Cambria Math" w:hAnsi="Cambria Math"/>
                <w:szCs w:val="20"/>
                <w:lang w:val="cs-CZ"/>
              </w:rPr>
              <m:t>a</m:t>
            </m:r>
          </m:sub>
        </m:sSub>
      </m:oMath>
      <w:r w:rsidRPr="003B6E11">
        <w:rPr>
          <w:lang w:val="cs-CZ"/>
        </w:rPr>
        <w:t xml:space="preserve"> v případě aktivního kormidelního zařízení, v souladu s pokyny uvedenými v bodě 2.3. Úhel kormidla </w:t>
      </w:r>
      <m:oMath>
        <m:r>
          <w:rPr>
            <w:rFonts w:ascii="Cambria Math" w:hAnsi="Cambria Math"/>
            <w:szCs w:val="20"/>
            <w:lang w:val="cs-CZ"/>
          </w:rPr>
          <m:t>δ</m:t>
        </m:r>
      </m:oMath>
      <w:r w:rsidRPr="003B6E11">
        <w:rPr>
          <w:lang w:val="cs-CZ"/>
        </w:rPr>
        <w:t xml:space="preserve"> (např. 20° na pravobok) se musí udržovat, dokud se nedosáhne hodnoty </w:t>
      </w:r>
      <m:oMath>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1</m:t>
            </m:r>
          </m:sub>
        </m:sSub>
      </m:oMath>
      <w:r w:rsidRPr="003B6E11">
        <w:rPr>
          <w:lang w:val="cs-CZ"/>
        </w:rPr>
        <w:t xml:space="preserve"> rychlosti otáčení uvedené v bodě 2.2 pro odpovídající rozměry lodě nebo sestavy. Jakmile je dosaženo rychlosti otáčení </w:t>
      </w:r>
      <m:oMath>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1</m:t>
            </m:r>
          </m:sub>
        </m:sSub>
      </m:oMath>
      <w:r w:rsidRPr="003B6E11">
        <w:rPr>
          <w:lang w:val="cs-CZ"/>
        </w:rPr>
        <w:t xml:space="preserve">, zaznamená se čas </w:t>
      </w: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1</m:t>
            </m:r>
          </m:sub>
        </m:sSub>
      </m:oMath>
      <w:r w:rsidRPr="003B6E11">
        <w:rPr>
          <w:lang w:val="cs-CZ"/>
        </w:rPr>
        <w:t xml:space="preserve"> a kormidlo se nastaví do stejného úhlu na opačnou stranu (např. 20° na levobok) tak, aby se zastavilo otáčení a zahájilo se otáčení na opačnou stranu, tj. aby se snížila rychlost otáčení na </w:t>
      </w:r>
      <m:oMath>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2</m:t>
            </m:r>
          </m:sub>
        </m:sSub>
      </m:oMath>
      <w:r w:rsidRPr="003B6E11">
        <w:rPr>
          <w:lang w:val="cs-CZ"/>
        </w:rPr>
        <w:t xml:space="preserve"> = 0 a potom se znovu zvýšila na hodnotu uvedenou v bodě 2.2. Jakmile je dosaženo rychlosti otáčení </w:t>
      </w:r>
      <m:oMath>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2</m:t>
            </m:r>
          </m:sub>
        </m:sSub>
      </m:oMath>
      <w:r w:rsidRPr="003B6E11">
        <w:rPr>
          <w:lang w:val="cs-CZ"/>
        </w:rPr>
        <w:t xml:space="preserve"> = 0, zaznamená se čas </w:t>
      </w: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2</m:t>
            </m:r>
          </m:sub>
        </m:sSub>
      </m:oMath>
      <w:r w:rsidRPr="003B6E11">
        <w:rPr>
          <w:lang w:val="cs-CZ"/>
        </w:rPr>
        <w:t xml:space="preserve">. Jakmile je dosaženo rychlosti otáčení </w:t>
      </w:r>
      <m:oMath>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3</m:t>
            </m:r>
          </m:sub>
        </m:sSub>
      </m:oMath>
      <w:r w:rsidRPr="003B6E11">
        <w:rPr>
          <w:lang w:val="cs-CZ"/>
        </w:rPr>
        <w:t xml:space="preserve"> uvedené v bodě 2.2, nastaví se kormidlo opačným směrem do stejného úhlu </w:t>
      </w:r>
      <m:oMath>
        <m:r>
          <w:rPr>
            <w:rFonts w:ascii="Cambria Math" w:hAnsi="Cambria Math"/>
            <w:szCs w:val="20"/>
            <w:lang w:val="cs-CZ"/>
          </w:rPr>
          <m:t>δ</m:t>
        </m:r>
      </m:oMath>
      <w:r w:rsidRPr="003B6E11">
        <w:rPr>
          <w:lang w:val="cs-CZ"/>
        </w:rPr>
        <w:t xml:space="preserve"> tak, aby se zastavilo otáčení. Zaznamená se čas </w:t>
      </w: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3</m:t>
            </m:r>
          </m:sub>
        </m:sSub>
      </m:oMath>
      <w:r w:rsidRPr="003B6E11">
        <w:rPr>
          <w:lang w:val="cs-CZ"/>
        </w:rPr>
        <w:t xml:space="preserve">. Po dosažení rychlosti otáčení </w:t>
      </w:r>
      <m:oMath>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4</m:t>
            </m:r>
          </m:sub>
        </m:sSub>
      </m:oMath>
      <w:r w:rsidRPr="003B6E11">
        <w:rPr>
          <w:lang w:val="cs-CZ"/>
        </w:rPr>
        <w:t xml:space="preserve"> = 0 se zaznamená čas </w:t>
      </w: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4</m:t>
            </m:r>
          </m:sub>
        </m:sSub>
      </m:oMath>
      <w:r w:rsidRPr="003B6E11">
        <w:rPr>
          <w:lang w:val="cs-CZ"/>
        </w:rPr>
        <w:t xml:space="preserve"> a loď nebo sestava se vrátí do svého původního kurzu.</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r w:rsidRPr="003B6E11">
        <w:rPr>
          <w:lang w:val="cs-CZ"/>
        </w:rPr>
        <w:br w:type="page"/>
      </w:r>
    </w:p>
    <w:p w:rsidR="003B6E11" w:rsidRPr="003B6E11" w:rsidRDefault="003B6E11" w:rsidP="003B6E11">
      <w:pPr>
        <w:tabs>
          <w:tab w:val="left" w:pos="567"/>
        </w:tabs>
        <w:overflowPunct w:val="0"/>
        <w:adjustRightInd w:val="0"/>
        <w:ind w:left="567" w:hanging="567"/>
        <w:textAlignment w:val="baseline"/>
        <w:rPr>
          <w:szCs w:val="20"/>
          <w:lang w:val="cs-CZ"/>
        </w:rPr>
      </w:pPr>
      <w:r w:rsidRPr="003B6E11">
        <w:rPr>
          <w:lang w:val="cs-CZ"/>
        </w:rPr>
        <w:t>2.2</w:t>
      </w:r>
      <w:r w:rsidRPr="003B6E11">
        <w:rPr>
          <w:lang w:val="cs-CZ"/>
        </w:rPr>
        <w:tab/>
        <w:t xml:space="preserve">Pro dosažení rychlosti otáčení </w:t>
      </w:r>
      <m:oMath>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4</m:t>
            </m:r>
          </m:sub>
        </m:sSub>
      </m:oMath>
      <w:r w:rsidRPr="003B6E11">
        <w:rPr>
          <w:lang w:val="cs-CZ"/>
        </w:rPr>
        <w:t xml:space="preserve"> musí být splněny následující mezní hodnoty v závislosti na rozměrech lodí nebo sestav a na hloubce vody </w:t>
      </w:r>
      <m:oMath>
        <m:r>
          <w:rPr>
            <w:rFonts w:ascii="Cambria Math" w:hAnsi="Cambria Math"/>
            <w:szCs w:val="20"/>
            <w:lang w:val="cs-CZ"/>
          </w:rPr>
          <m:t>h</m:t>
        </m:r>
      </m:oMath>
      <w:r w:rsidRPr="003B6E11">
        <w:rPr>
          <w:lang w:val="cs-CZ"/>
        </w:rPr>
        <w:t>:</w:t>
      </w:r>
    </w:p>
    <w:p w:rsidR="003B6E11" w:rsidRPr="003B6E11" w:rsidRDefault="003B6E11" w:rsidP="003B6E11">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textAlignment w:val="baseline"/>
        <w:rPr>
          <w:szCs w:val="20"/>
          <w:lang w:val="cs-CZ"/>
        </w:rPr>
      </w:pPr>
    </w:p>
    <w:tbl>
      <w:tblPr>
        <w:tblW w:w="998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40"/>
        <w:gridCol w:w="4139"/>
        <w:gridCol w:w="964"/>
        <w:gridCol w:w="964"/>
        <w:gridCol w:w="1191"/>
        <w:gridCol w:w="1191"/>
        <w:gridCol w:w="1191"/>
      </w:tblGrid>
      <w:tr w:rsidR="003B6E11" w:rsidRPr="003B6E11" w:rsidTr="002D015D">
        <w:trPr>
          <w:jc w:val="center"/>
        </w:trPr>
        <w:tc>
          <w:tcPr>
            <w:tcW w:w="340" w:type="dxa"/>
            <w:tcBorders>
              <w:top w:val="single" w:sz="6" w:space="0" w:color="auto"/>
              <w:left w:val="single" w:sz="6" w:space="0" w:color="auto"/>
              <w:bottom w:val="nil"/>
            </w:tcBorders>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20"/>
                <w:lang w:val="cs-CZ"/>
              </w:rPr>
            </w:pPr>
          </w:p>
        </w:tc>
        <w:tc>
          <w:tcPr>
            <w:tcW w:w="4139" w:type="dxa"/>
            <w:tcBorders>
              <w:top w:val="single" w:sz="6" w:space="0" w:color="auto"/>
              <w:bottom w:val="nil"/>
            </w:tcBorders>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20"/>
                <w:lang w:val="cs-CZ"/>
              </w:rPr>
            </w:pPr>
            <w:r w:rsidRPr="003B6E11">
              <w:rPr>
                <w:sz w:val="18"/>
                <w:lang w:val="cs-CZ"/>
              </w:rPr>
              <w:t>Rozměry lodí nebo sestav</w:t>
            </w:r>
            <w:r w:rsidRPr="003B6E11">
              <w:rPr>
                <w:sz w:val="18"/>
                <w:szCs w:val="20"/>
                <w:lang w:val="cs-CZ"/>
              </w:rPr>
              <w:br/>
            </w:r>
            <m:oMath>
              <m:r>
                <w:rPr>
                  <w:rFonts w:ascii="Cambria Math" w:hAnsi="Cambria Math"/>
                  <w:sz w:val="18"/>
                  <w:szCs w:val="20"/>
                  <w:lang w:val="cs-CZ"/>
                </w:rPr>
                <m:t>L</m:t>
              </m:r>
            </m:oMath>
            <w:r w:rsidRPr="003B6E11">
              <w:rPr>
                <w:sz w:val="18"/>
                <w:lang w:val="cs-CZ"/>
              </w:rPr>
              <w:t xml:space="preserve"> x </w:t>
            </w:r>
            <m:oMath>
              <m:r>
                <w:rPr>
                  <w:rFonts w:ascii="Cambria Math" w:hAnsi="Cambria Math"/>
                  <w:sz w:val="18"/>
                  <w:szCs w:val="20"/>
                  <w:lang w:val="cs-CZ"/>
                </w:rPr>
                <m:t>B</m:t>
              </m:r>
            </m:oMath>
          </w:p>
        </w:tc>
        <w:tc>
          <w:tcPr>
            <w:tcW w:w="1928" w:type="dxa"/>
            <w:gridSpan w:val="2"/>
            <w:tcBorders>
              <w:top w:val="single" w:sz="6" w:space="0" w:color="auto"/>
            </w:tcBorders>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20"/>
                <w:lang w:val="cs-CZ"/>
              </w:rPr>
            </w:pPr>
            <w:r w:rsidRPr="003B6E11">
              <w:rPr>
                <w:sz w:val="18"/>
                <w:lang w:val="cs-CZ"/>
              </w:rPr>
              <w:t>Požadovaná rychlost otáčení</w:t>
            </w:r>
            <w:r w:rsidRPr="003B6E11">
              <w:rPr>
                <w:sz w:val="18"/>
                <w:szCs w:val="20"/>
                <w:lang w:val="cs-CZ"/>
              </w:rPr>
              <w:br/>
            </w:r>
            <m:oMath>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1</m:t>
                  </m:r>
                </m:sub>
              </m:sSub>
            </m:oMath>
            <w:r w:rsidRPr="003B6E11">
              <w:rPr>
                <w:lang w:val="cs-CZ"/>
              </w:rPr>
              <w:t xml:space="preserve"> </w:t>
            </w:r>
            <w:r w:rsidRPr="003B6E11">
              <w:rPr>
                <w:sz w:val="18"/>
                <w:lang w:val="cs-CZ"/>
              </w:rPr>
              <w:t xml:space="preserve">= </w:t>
            </w:r>
            <m:oMath>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3</m:t>
                  </m:r>
                </m:sub>
              </m:sSub>
            </m:oMath>
            <w:r w:rsidRPr="003B6E11">
              <w:rPr>
                <w:lang w:val="cs-CZ"/>
              </w:rPr>
              <w:t xml:space="preserve"> </w:t>
            </w:r>
            <w:r w:rsidRPr="003B6E11">
              <w:rPr>
                <w:sz w:val="18"/>
                <w:lang w:val="cs-CZ"/>
              </w:rPr>
              <w:t>[°/min]</w:t>
            </w:r>
          </w:p>
        </w:tc>
        <w:tc>
          <w:tcPr>
            <w:tcW w:w="3573" w:type="dxa"/>
            <w:gridSpan w:val="3"/>
            <w:tcBorders>
              <w:top w:val="single" w:sz="6" w:space="0" w:color="auto"/>
              <w:right w:val="single" w:sz="6" w:space="0" w:color="auto"/>
            </w:tcBorders>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20"/>
                <w:lang w:val="cs-CZ"/>
              </w:rPr>
            </w:pPr>
            <w:r w:rsidRPr="003B6E11">
              <w:rPr>
                <w:sz w:val="18"/>
                <w:lang w:val="cs-CZ"/>
              </w:rPr>
              <w:t xml:space="preserve">Mezní hodnoty pro čas </w:t>
            </w:r>
            <m:oMath>
              <m:sSub>
                <m:sSubPr>
                  <m:ctrlPr>
                    <w:rPr>
                      <w:rFonts w:ascii="Cambria Math" w:hAnsi="Cambria Math"/>
                      <w:i/>
                      <w:sz w:val="18"/>
                      <w:szCs w:val="20"/>
                      <w:lang w:val="cs-CZ"/>
                    </w:rPr>
                  </m:ctrlPr>
                </m:sSubPr>
                <m:e>
                  <m:r>
                    <w:rPr>
                      <w:rFonts w:ascii="Cambria Math" w:hAnsi="Cambria Math"/>
                      <w:sz w:val="18"/>
                      <w:szCs w:val="20"/>
                      <w:lang w:val="cs-CZ"/>
                    </w:rPr>
                    <m:t>t</m:t>
                  </m:r>
                </m:e>
                <m:sub>
                  <m:r>
                    <w:rPr>
                      <w:rFonts w:ascii="Cambria Math" w:hAnsi="Cambria Math"/>
                      <w:sz w:val="18"/>
                      <w:szCs w:val="20"/>
                      <w:lang w:val="cs-CZ"/>
                    </w:rPr>
                    <m:t>4</m:t>
                  </m:r>
                </m:sub>
              </m:sSub>
            </m:oMath>
            <w:r w:rsidRPr="003B6E11">
              <w:rPr>
                <w:sz w:val="18"/>
                <w:lang w:val="cs-CZ"/>
              </w:rPr>
              <w:t xml:space="preserve"> (s) v mělké </w:t>
            </w:r>
            <w:r w:rsidRPr="003B6E11">
              <w:rPr>
                <w:sz w:val="18"/>
                <w:szCs w:val="20"/>
                <w:lang w:val="cs-CZ"/>
              </w:rPr>
              <w:br/>
            </w:r>
            <w:r w:rsidRPr="003B6E11">
              <w:rPr>
                <w:sz w:val="18"/>
                <w:lang w:val="cs-CZ"/>
              </w:rPr>
              <w:t>a hluboké vodě</w:t>
            </w:r>
          </w:p>
        </w:tc>
      </w:tr>
      <w:tr w:rsidR="003B6E11" w:rsidRPr="003B6E11" w:rsidTr="002D015D">
        <w:trPr>
          <w:jc w:val="center"/>
        </w:trPr>
        <w:tc>
          <w:tcPr>
            <w:tcW w:w="340" w:type="dxa"/>
            <w:tcBorders>
              <w:top w:val="nil"/>
              <w:left w:val="single" w:sz="6" w:space="0" w:color="auto"/>
              <w:bottom w:val="single" w:sz="6" w:space="0" w:color="auto"/>
            </w:tcBorders>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Cs w:val="20"/>
                <w:lang w:val="cs-CZ"/>
              </w:rPr>
            </w:pPr>
          </w:p>
        </w:tc>
        <w:tc>
          <w:tcPr>
            <w:tcW w:w="4139" w:type="dxa"/>
            <w:tcBorders>
              <w:top w:val="nil"/>
              <w:bottom w:val="single" w:sz="6" w:space="0" w:color="auto"/>
            </w:tcBorders>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Cs w:val="20"/>
                <w:lang w:val="cs-CZ"/>
              </w:rPr>
            </w:pPr>
          </w:p>
        </w:tc>
        <w:tc>
          <w:tcPr>
            <w:tcW w:w="964" w:type="dxa"/>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20"/>
                <w:lang w:val="cs-CZ"/>
              </w:rPr>
            </w:pPr>
            <m:oMath>
              <m:r>
                <w:rPr>
                  <w:rFonts w:ascii="Cambria Math" w:hAnsi="Cambria Math"/>
                  <w:i/>
                  <w:sz w:val="18"/>
                  <w:szCs w:val="20"/>
                  <w:lang w:val="cs-CZ"/>
                </w:rPr>
                <w:sym w:font="Symbol" w:char="F064"/>
              </m:r>
            </m:oMath>
            <w:r w:rsidRPr="003B6E11">
              <w:rPr>
                <w:sz w:val="18"/>
                <w:lang w:val="cs-CZ"/>
              </w:rPr>
              <w:t xml:space="preserve"> = 20°</w:t>
            </w:r>
          </w:p>
        </w:tc>
        <w:tc>
          <w:tcPr>
            <w:tcW w:w="964" w:type="dxa"/>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20"/>
                <w:lang w:val="cs-CZ"/>
              </w:rPr>
            </w:pPr>
            <m:oMath>
              <m:r>
                <w:rPr>
                  <w:rFonts w:ascii="Cambria Math" w:hAnsi="Cambria Math"/>
                  <w:i/>
                  <w:sz w:val="18"/>
                  <w:szCs w:val="20"/>
                  <w:lang w:val="cs-CZ"/>
                </w:rPr>
                <w:sym w:font="Symbol" w:char="F064"/>
              </m:r>
            </m:oMath>
            <w:r w:rsidRPr="003B6E11">
              <w:rPr>
                <w:sz w:val="18"/>
                <w:lang w:val="cs-CZ"/>
              </w:rPr>
              <w:t xml:space="preserve"> = 45°</w:t>
            </w:r>
          </w:p>
        </w:tc>
        <w:tc>
          <w:tcPr>
            <w:tcW w:w="1191" w:type="dxa"/>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20"/>
                <w:lang w:val="cs-CZ"/>
              </w:rPr>
            </w:pPr>
            <w:r w:rsidRPr="003B6E11">
              <w:rPr>
                <w:sz w:val="18"/>
                <w:lang w:val="cs-CZ"/>
              </w:rPr>
              <w:t xml:space="preserve">1,2 </w:t>
            </w:r>
            <w:r w:rsidRPr="003B6E11">
              <w:rPr>
                <w:sz w:val="18"/>
                <w:szCs w:val="20"/>
                <w:lang w:val="cs-CZ"/>
              </w:rPr>
              <w:sym w:font="Symbol" w:char="F0A3"/>
            </w:r>
            <w:r w:rsidRPr="003B6E11">
              <w:rPr>
                <w:sz w:val="18"/>
                <w:lang w:val="cs-CZ"/>
              </w:rPr>
              <w:t xml:space="preserve"> h/T </w:t>
            </w:r>
            <w:r w:rsidRPr="003B6E11">
              <w:rPr>
                <w:sz w:val="18"/>
                <w:szCs w:val="20"/>
                <w:lang w:val="cs-CZ"/>
              </w:rPr>
              <w:sym w:font="Symbol" w:char="F0A3"/>
            </w:r>
            <w:r w:rsidRPr="003B6E11">
              <w:rPr>
                <w:sz w:val="18"/>
                <w:lang w:val="cs-CZ"/>
              </w:rPr>
              <w:t xml:space="preserve"> 1,4</w:t>
            </w:r>
          </w:p>
        </w:tc>
        <w:tc>
          <w:tcPr>
            <w:tcW w:w="1191" w:type="dxa"/>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20"/>
                <w:lang w:val="cs-CZ"/>
              </w:rPr>
            </w:pPr>
            <w:r w:rsidRPr="003B6E11">
              <w:rPr>
                <w:sz w:val="18"/>
                <w:lang w:val="cs-CZ"/>
              </w:rPr>
              <w:t xml:space="preserve">1,4 &lt; h/T </w:t>
            </w:r>
            <w:r w:rsidRPr="003B6E11">
              <w:rPr>
                <w:sz w:val="18"/>
                <w:szCs w:val="20"/>
                <w:lang w:val="cs-CZ"/>
              </w:rPr>
              <w:sym w:font="Symbol" w:char="F0A3"/>
            </w:r>
            <w:r w:rsidRPr="003B6E11">
              <w:rPr>
                <w:sz w:val="18"/>
                <w:lang w:val="cs-CZ"/>
              </w:rPr>
              <w:t xml:space="preserve"> 2</w:t>
            </w:r>
          </w:p>
        </w:tc>
        <w:tc>
          <w:tcPr>
            <w:tcW w:w="1191" w:type="dxa"/>
            <w:tcBorders>
              <w:bottom w:val="nil"/>
              <w:right w:val="single" w:sz="6" w:space="0" w:color="auto"/>
            </w:tcBorders>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20"/>
                <w:lang w:val="cs-CZ"/>
              </w:rPr>
            </w:pPr>
            <w:r w:rsidRPr="003B6E11">
              <w:rPr>
                <w:sz w:val="18"/>
                <w:lang w:val="cs-CZ"/>
              </w:rPr>
              <w:t>h/T &gt; 2</w:t>
            </w:r>
          </w:p>
        </w:tc>
      </w:tr>
      <w:tr w:rsidR="003B6E11" w:rsidRPr="003B6E11" w:rsidTr="002D015D">
        <w:trPr>
          <w:jc w:val="center"/>
        </w:trPr>
        <w:tc>
          <w:tcPr>
            <w:tcW w:w="340" w:type="dxa"/>
            <w:tcBorders>
              <w:top w:val="nil"/>
              <w:left w:val="single" w:sz="6" w:space="0" w:color="auto"/>
            </w:tcBorders>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1</w:t>
            </w:r>
          </w:p>
        </w:tc>
        <w:tc>
          <w:tcPr>
            <w:tcW w:w="4139" w:type="dxa"/>
            <w:tcBorders>
              <w:top w:val="nil"/>
            </w:tcBorders>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57" w:right="57"/>
              <w:textAlignment w:val="baseline"/>
              <w:rPr>
                <w:sz w:val="18"/>
                <w:szCs w:val="20"/>
                <w:lang w:val="cs-CZ"/>
              </w:rPr>
            </w:pPr>
            <w:r w:rsidRPr="003B6E11">
              <w:rPr>
                <w:sz w:val="18"/>
                <w:lang w:val="cs-CZ"/>
              </w:rPr>
              <w:t>Všechny motorové lodě; jednořadé sestavy ≤ 110 × 11,45</w:t>
            </w:r>
          </w:p>
        </w:tc>
        <w:tc>
          <w:tcPr>
            <w:tcW w:w="964" w:type="dxa"/>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20°/min</w:t>
            </w:r>
          </w:p>
        </w:tc>
        <w:tc>
          <w:tcPr>
            <w:tcW w:w="964" w:type="dxa"/>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28°/min</w:t>
            </w:r>
          </w:p>
        </w:tc>
        <w:tc>
          <w:tcPr>
            <w:tcW w:w="1191" w:type="dxa"/>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150 s</w:t>
            </w:r>
          </w:p>
        </w:tc>
        <w:tc>
          <w:tcPr>
            <w:tcW w:w="1191" w:type="dxa"/>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110 s</w:t>
            </w:r>
          </w:p>
        </w:tc>
        <w:tc>
          <w:tcPr>
            <w:tcW w:w="1191" w:type="dxa"/>
            <w:tcBorders>
              <w:top w:val="single" w:sz="6" w:space="0" w:color="auto"/>
              <w:bottom w:val="nil"/>
              <w:right w:val="single" w:sz="6" w:space="0" w:color="auto"/>
            </w:tcBorders>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110 s</w:t>
            </w:r>
          </w:p>
        </w:tc>
      </w:tr>
      <w:tr w:rsidR="003B6E11" w:rsidRPr="003B6E11" w:rsidTr="002D015D">
        <w:trPr>
          <w:jc w:val="center"/>
        </w:trPr>
        <w:tc>
          <w:tcPr>
            <w:tcW w:w="340" w:type="dxa"/>
            <w:tcBorders>
              <w:left w:val="single" w:sz="6" w:space="0" w:color="auto"/>
            </w:tcBorders>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2</w:t>
            </w:r>
          </w:p>
        </w:tc>
        <w:tc>
          <w:tcPr>
            <w:tcW w:w="4139" w:type="dxa"/>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57" w:right="57"/>
              <w:textAlignment w:val="baseline"/>
              <w:rPr>
                <w:sz w:val="18"/>
                <w:szCs w:val="20"/>
                <w:lang w:val="cs-CZ"/>
              </w:rPr>
            </w:pPr>
            <w:r w:rsidRPr="003B6E11">
              <w:rPr>
                <w:sz w:val="18"/>
                <w:lang w:val="cs-CZ"/>
              </w:rPr>
              <w:t>Jednořadé sestavy do 193 × 11,45 nebo dvouřadé sestavy do 110 × 22,90</w:t>
            </w:r>
          </w:p>
        </w:tc>
        <w:tc>
          <w:tcPr>
            <w:tcW w:w="964" w:type="dxa"/>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12°/min</w:t>
            </w:r>
          </w:p>
        </w:tc>
        <w:tc>
          <w:tcPr>
            <w:tcW w:w="964" w:type="dxa"/>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18°/min</w:t>
            </w:r>
          </w:p>
        </w:tc>
        <w:tc>
          <w:tcPr>
            <w:tcW w:w="1191" w:type="dxa"/>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180 s</w:t>
            </w:r>
          </w:p>
        </w:tc>
        <w:tc>
          <w:tcPr>
            <w:tcW w:w="1191" w:type="dxa"/>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130 s</w:t>
            </w:r>
          </w:p>
        </w:tc>
        <w:tc>
          <w:tcPr>
            <w:tcW w:w="1191" w:type="dxa"/>
            <w:tcBorders>
              <w:top w:val="single" w:sz="6" w:space="0" w:color="auto"/>
              <w:bottom w:val="single" w:sz="6" w:space="0" w:color="auto"/>
              <w:right w:val="single" w:sz="6" w:space="0" w:color="auto"/>
            </w:tcBorders>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110 s</w:t>
            </w:r>
          </w:p>
        </w:tc>
      </w:tr>
      <w:tr w:rsidR="003B6E11" w:rsidRPr="003B6E11" w:rsidTr="002D015D">
        <w:trPr>
          <w:jc w:val="center"/>
        </w:trPr>
        <w:tc>
          <w:tcPr>
            <w:tcW w:w="340" w:type="dxa"/>
            <w:tcBorders>
              <w:left w:val="single" w:sz="6" w:space="0" w:color="auto"/>
            </w:tcBorders>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3</w:t>
            </w:r>
          </w:p>
        </w:tc>
        <w:tc>
          <w:tcPr>
            <w:tcW w:w="4139" w:type="dxa"/>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57" w:right="57"/>
              <w:textAlignment w:val="baseline"/>
              <w:rPr>
                <w:sz w:val="18"/>
                <w:szCs w:val="20"/>
                <w:lang w:val="cs-CZ"/>
              </w:rPr>
            </w:pPr>
            <w:r w:rsidRPr="003B6E11">
              <w:rPr>
                <w:sz w:val="18"/>
                <w:lang w:val="cs-CZ"/>
              </w:rPr>
              <w:t>Dvouřadé sestavy ≤ 193 × 22,90</w:t>
            </w:r>
          </w:p>
        </w:tc>
        <w:tc>
          <w:tcPr>
            <w:tcW w:w="964" w:type="dxa"/>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8°/min</w:t>
            </w:r>
          </w:p>
        </w:tc>
        <w:tc>
          <w:tcPr>
            <w:tcW w:w="964" w:type="dxa"/>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12°/min</w:t>
            </w:r>
          </w:p>
        </w:tc>
        <w:tc>
          <w:tcPr>
            <w:tcW w:w="1191" w:type="dxa"/>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180 s</w:t>
            </w:r>
          </w:p>
        </w:tc>
        <w:tc>
          <w:tcPr>
            <w:tcW w:w="1191" w:type="dxa"/>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130 s</w:t>
            </w:r>
          </w:p>
        </w:tc>
        <w:tc>
          <w:tcPr>
            <w:tcW w:w="1191" w:type="dxa"/>
            <w:tcBorders>
              <w:top w:val="single" w:sz="6" w:space="0" w:color="auto"/>
              <w:bottom w:val="single" w:sz="6" w:space="0" w:color="auto"/>
              <w:right w:val="single" w:sz="6" w:space="0" w:color="auto"/>
            </w:tcBorders>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110 s</w:t>
            </w:r>
          </w:p>
        </w:tc>
      </w:tr>
      <w:tr w:rsidR="003B6E11" w:rsidRPr="003B6E11" w:rsidTr="002D015D">
        <w:trPr>
          <w:jc w:val="center"/>
        </w:trPr>
        <w:tc>
          <w:tcPr>
            <w:tcW w:w="340" w:type="dxa"/>
            <w:tcBorders>
              <w:left w:val="single" w:sz="6" w:space="0" w:color="auto"/>
            </w:tcBorders>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4</w:t>
            </w:r>
          </w:p>
        </w:tc>
        <w:tc>
          <w:tcPr>
            <w:tcW w:w="4139" w:type="dxa"/>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ind w:left="57" w:right="57"/>
              <w:textAlignment w:val="baseline"/>
              <w:rPr>
                <w:sz w:val="18"/>
                <w:szCs w:val="20"/>
                <w:lang w:val="cs-CZ"/>
              </w:rPr>
            </w:pPr>
            <w:r w:rsidRPr="003B6E11">
              <w:rPr>
                <w:sz w:val="18"/>
                <w:lang w:val="cs-CZ"/>
              </w:rPr>
              <w:t>Dvouřadé sestavy do 270 × 22,90 nebo trojřadé sestavy do 193 × 34,35</w:t>
            </w:r>
          </w:p>
        </w:tc>
        <w:tc>
          <w:tcPr>
            <w:tcW w:w="964" w:type="dxa"/>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6°/min</w:t>
            </w:r>
          </w:p>
        </w:tc>
        <w:tc>
          <w:tcPr>
            <w:tcW w:w="964" w:type="dxa"/>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8°/min</w:t>
            </w:r>
          </w:p>
        </w:tc>
        <w:tc>
          <w:tcPr>
            <w:tcW w:w="1191" w:type="dxa"/>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w:t>
            </w:r>
          </w:p>
        </w:tc>
        <w:tc>
          <w:tcPr>
            <w:tcW w:w="1191" w:type="dxa"/>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w:t>
            </w:r>
          </w:p>
        </w:tc>
        <w:tc>
          <w:tcPr>
            <w:tcW w:w="1191" w:type="dxa"/>
            <w:tcBorders>
              <w:top w:val="nil"/>
              <w:bottom w:val="nil"/>
              <w:right w:val="single" w:sz="6" w:space="0" w:color="auto"/>
            </w:tcBorders>
            <w:vAlign w:val="center"/>
          </w:tcPr>
          <w:p w:rsidR="003B6E11" w:rsidRPr="003B6E11" w:rsidRDefault="003B6E11" w:rsidP="002D015D">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40" w:after="40" w:line="240" w:lineRule="atLeast"/>
              <w:jc w:val="center"/>
              <w:textAlignment w:val="baseline"/>
              <w:rPr>
                <w:sz w:val="18"/>
                <w:szCs w:val="18"/>
                <w:lang w:val="cs-CZ"/>
              </w:rPr>
            </w:pPr>
            <w:r w:rsidRPr="003B6E11">
              <w:rPr>
                <w:sz w:val="18"/>
                <w:lang w:val="cs-CZ"/>
              </w:rPr>
              <w:t>*)</w:t>
            </w:r>
          </w:p>
        </w:tc>
      </w:tr>
      <w:tr w:rsidR="003B6E11" w:rsidRPr="003B6E11" w:rsidTr="002D015D">
        <w:trPr>
          <w:jc w:val="center"/>
        </w:trPr>
        <w:tc>
          <w:tcPr>
            <w:tcW w:w="9980" w:type="dxa"/>
            <w:gridSpan w:val="7"/>
            <w:tcBorders>
              <w:left w:val="single" w:sz="6" w:space="0" w:color="auto"/>
              <w:bottom w:val="single" w:sz="6" w:space="0" w:color="auto"/>
              <w:right w:val="single" w:sz="6" w:space="0" w:color="auto"/>
            </w:tcBorders>
            <w:vAlign w:val="center"/>
          </w:tcPr>
          <w:p w:rsidR="003B6E11" w:rsidRPr="003B6E11" w:rsidRDefault="003B6E11" w:rsidP="002D015D">
            <w:pPr>
              <w:tabs>
                <w:tab w:val="left" w:pos="-1440"/>
                <w:tab w:val="left" w:pos="-576"/>
                <w:tab w:val="left" w:pos="-432"/>
                <w:tab w:val="left" w:pos="426"/>
              </w:tabs>
              <w:overflowPunct w:val="0"/>
              <w:adjustRightInd w:val="0"/>
              <w:spacing w:before="40" w:after="40" w:line="240" w:lineRule="atLeast"/>
              <w:textAlignment w:val="baseline"/>
              <w:rPr>
                <w:szCs w:val="20"/>
                <w:lang w:val="cs-CZ"/>
              </w:rPr>
            </w:pPr>
            <w:r w:rsidRPr="003B6E11">
              <w:rPr>
                <w:lang w:val="cs-CZ"/>
              </w:rPr>
              <w:tab/>
            </w:r>
            <w:r w:rsidRPr="003B6E11">
              <w:rPr>
                <w:sz w:val="16"/>
                <w:lang w:val="cs-CZ"/>
              </w:rPr>
              <w:t>*)</w:t>
            </w:r>
            <w:r w:rsidRPr="003B6E11">
              <w:rPr>
                <w:lang w:val="cs-CZ"/>
              </w:rPr>
              <w:tab/>
            </w:r>
            <w:r w:rsidRPr="003B6E11">
              <w:rPr>
                <w:sz w:val="16"/>
                <w:lang w:val="cs-CZ"/>
              </w:rPr>
              <w:t>Podle rozhodnutí odborníka v oblasti plavby.</w:t>
            </w:r>
          </w:p>
        </w:tc>
      </w:tr>
    </w:tbl>
    <w:p w:rsidR="003B6E11" w:rsidRPr="003B6E11" w:rsidRDefault="003B6E11" w:rsidP="003B6E11">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textAlignment w:val="baseline"/>
        <w:rPr>
          <w:szCs w:val="20"/>
          <w:lang w:val="cs-CZ"/>
        </w:rPr>
      </w:pPr>
    </w:p>
    <w:p w:rsidR="003B6E11" w:rsidRPr="003B6E11" w:rsidRDefault="003B6E11" w:rsidP="003B6E11">
      <w:pPr>
        <w:spacing w:line="240" w:lineRule="atLeast"/>
        <w:ind w:left="567"/>
        <w:rPr>
          <w:szCs w:val="20"/>
          <w:lang w:val="cs-CZ"/>
        </w:rPr>
      </w:pPr>
      <w:r w:rsidRPr="003B6E11">
        <w:rPr>
          <w:lang w:val="cs-CZ"/>
        </w:rPr>
        <w:t xml:space="preserve">Časy </w:t>
      </w: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1</m:t>
            </m:r>
          </m:sub>
        </m:sSub>
      </m:oMath>
      <w:r w:rsidRPr="003B6E11">
        <w:rPr>
          <w:lang w:val="cs-CZ"/>
        </w:rPr>
        <w:t xml:space="preserve">, </w:t>
      </w: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2</m:t>
            </m:r>
          </m:sub>
        </m:sSub>
      </m:oMath>
      <w:r w:rsidRPr="003B6E11">
        <w:rPr>
          <w:lang w:val="cs-CZ"/>
        </w:rPr>
        <w:t xml:space="preserve">, </w:t>
      </w: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3</m:t>
            </m:r>
          </m:sub>
        </m:sSub>
      </m:oMath>
      <w:r w:rsidRPr="003B6E11">
        <w:rPr>
          <w:lang w:val="cs-CZ"/>
        </w:rPr>
        <w:t xml:space="preserve"> a </w:t>
      </w: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4</m:t>
            </m:r>
          </m:sub>
        </m:sSub>
      </m:oMath>
      <w:r w:rsidRPr="003B6E11">
        <w:rPr>
          <w:lang w:val="cs-CZ"/>
        </w:rPr>
        <w:t xml:space="preserve"> požadované k dosažení rychlostí otáčení </w:t>
      </w:r>
      <m:oMath>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1</m:t>
            </m:r>
          </m:sub>
        </m:sSub>
      </m:oMath>
      <w:r w:rsidRPr="003B6E11">
        <w:rPr>
          <w:lang w:val="cs-CZ"/>
        </w:rPr>
        <w:t xml:space="preserve">, </w:t>
      </w:r>
      <m:oMath>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2</m:t>
            </m:r>
          </m:sub>
        </m:sSub>
      </m:oMath>
      <w:r w:rsidRPr="003B6E11">
        <w:rPr>
          <w:lang w:val="cs-CZ"/>
        </w:rPr>
        <w:t xml:space="preserve">, </w:t>
      </w:r>
      <m:oMath>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3</m:t>
            </m:r>
          </m:sub>
        </m:sSub>
      </m:oMath>
      <w:r w:rsidRPr="003B6E11">
        <w:rPr>
          <w:lang w:val="cs-CZ"/>
        </w:rPr>
        <w:t xml:space="preserve"> a </w:t>
      </w:r>
      <m:oMath>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4</m:t>
            </m:r>
          </m:sub>
        </m:sSub>
      </m:oMath>
      <w:r w:rsidRPr="003B6E11">
        <w:rPr>
          <w:lang w:val="cs-CZ"/>
        </w:rPr>
        <w:t xml:space="preserve"> se zaznamenají do zprávy o měření v příloze 2. Hodnoty </w:t>
      </w: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4</m:t>
            </m:r>
          </m:sub>
        </m:sSub>
      </m:oMath>
      <w:r w:rsidRPr="003B6E11">
        <w:rPr>
          <w:lang w:val="cs-CZ"/>
        </w:rPr>
        <w:t xml:space="preserve"> nesmí přesáhnout mezní hodnoty uvedené v tabulce.</w:t>
      </w:r>
    </w:p>
    <w:p w:rsidR="003B6E11" w:rsidRPr="003B6E11" w:rsidRDefault="003B6E11" w:rsidP="003B6E11">
      <w:pPr>
        <w:overflowPunct w:val="0"/>
        <w:adjustRightInd w:val="0"/>
        <w:ind w:left="567" w:hanging="567"/>
        <w:textAlignment w:val="baseline"/>
        <w:rPr>
          <w:szCs w:val="20"/>
          <w:lang w:val="cs-CZ"/>
        </w:rPr>
      </w:pPr>
    </w:p>
    <w:p w:rsidR="003B6E11" w:rsidRPr="003B6E11" w:rsidRDefault="003B6E11" w:rsidP="003B6E11">
      <w:pPr>
        <w:spacing w:line="240" w:lineRule="atLeast"/>
        <w:ind w:left="567" w:hanging="567"/>
        <w:rPr>
          <w:lang w:val="cs-CZ"/>
        </w:rPr>
      </w:pPr>
      <w:r w:rsidRPr="003B6E11">
        <w:rPr>
          <w:lang w:val="cs-CZ"/>
        </w:rPr>
        <w:t>2.3</w:t>
      </w:r>
      <w:r w:rsidRPr="003B6E11">
        <w:rPr>
          <w:lang w:val="cs-CZ"/>
        </w:rPr>
        <w:tab/>
        <w:t>Musí být provedeny alespoň čtyři vyhýbací manévry, konkrétně:</w:t>
      </w:r>
    </w:p>
    <w:p w:rsidR="003B6E11" w:rsidRPr="003B6E11" w:rsidRDefault="003B6E11" w:rsidP="003B6E11">
      <w:pPr>
        <w:tabs>
          <w:tab w:val="left" w:pos="-1440"/>
          <w:tab w:val="left" w:pos="-576"/>
          <w:tab w:val="left" w:pos="-432"/>
          <w:tab w:val="left" w:pos="993"/>
          <w:tab w:val="left" w:pos="5387"/>
          <w:tab w:val="left" w:pos="5670"/>
          <w:tab w:val="left" w:pos="5954"/>
        </w:tabs>
        <w:overflowPunct w:val="0"/>
        <w:adjustRightInd w:val="0"/>
        <w:spacing w:before="60"/>
        <w:ind w:left="995" w:hanging="428"/>
        <w:textAlignment w:val="baseline"/>
        <w:rPr>
          <w:szCs w:val="20"/>
          <w:lang w:val="cs-CZ"/>
        </w:rPr>
      </w:pPr>
      <w:r w:rsidRPr="003B6E11">
        <w:rPr>
          <w:lang w:val="cs-CZ"/>
        </w:rPr>
        <w:t>-</w:t>
      </w:r>
      <w:r w:rsidRPr="003B6E11">
        <w:rPr>
          <w:lang w:val="cs-CZ"/>
        </w:rPr>
        <w:tab/>
      </w:r>
      <w:r w:rsidRPr="003B6E11">
        <w:rPr>
          <w:lang w:val="cs-CZ"/>
        </w:rPr>
        <w:tab/>
        <w:t>jeden na pravobok s úhlem kormidla</w:t>
      </w:r>
      <w:r w:rsidRPr="003B6E11">
        <w:rPr>
          <w:lang w:val="cs-CZ"/>
        </w:rPr>
        <w:tab/>
      </w:r>
      <m:oMath>
        <m:r>
          <w:rPr>
            <w:rFonts w:ascii="Cambria Math" w:hAnsi="Cambria Math"/>
            <w:i/>
            <w:szCs w:val="20"/>
            <w:lang w:val="cs-CZ"/>
          </w:rPr>
          <w:sym w:font="Symbol" w:char="F064"/>
        </m:r>
      </m:oMath>
      <w:r w:rsidRPr="003B6E11">
        <w:rPr>
          <w:lang w:val="cs-CZ"/>
        </w:rPr>
        <w:tab/>
        <w:t>=</w:t>
      </w:r>
      <w:r w:rsidRPr="003B6E11">
        <w:rPr>
          <w:lang w:val="cs-CZ"/>
        </w:rPr>
        <w:tab/>
        <w:t xml:space="preserve">20° </w:t>
      </w:r>
    </w:p>
    <w:p w:rsidR="003B6E11" w:rsidRPr="003B6E11" w:rsidRDefault="003B6E11" w:rsidP="003B6E11">
      <w:pPr>
        <w:tabs>
          <w:tab w:val="left" w:pos="-1440"/>
          <w:tab w:val="left" w:pos="-576"/>
          <w:tab w:val="left" w:pos="-432"/>
          <w:tab w:val="left" w:pos="993"/>
          <w:tab w:val="left" w:pos="5387"/>
          <w:tab w:val="left" w:pos="5670"/>
          <w:tab w:val="left" w:pos="5954"/>
        </w:tabs>
        <w:overflowPunct w:val="0"/>
        <w:adjustRightInd w:val="0"/>
        <w:spacing w:before="60"/>
        <w:ind w:left="995" w:hanging="428"/>
        <w:textAlignment w:val="baseline"/>
        <w:rPr>
          <w:szCs w:val="20"/>
          <w:lang w:val="cs-CZ"/>
        </w:rPr>
      </w:pPr>
      <w:r w:rsidRPr="003B6E11">
        <w:rPr>
          <w:lang w:val="cs-CZ"/>
        </w:rPr>
        <w:t>-</w:t>
      </w:r>
      <w:r w:rsidRPr="003B6E11">
        <w:rPr>
          <w:lang w:val="cs-CZ"/>
        </w:rPr>
        <w:tab/>
        <w:t>jeden na levobok s úhlem kormidla</w:t>
      </w:r>
      <w:r w:rsidRPr="003B6E11">
        <w:rPr>
          <w:lang w:val="cs-CZ"/>
        </w:rPr>
        <w:tab/>
      </w:r>
      <m:oMath>
        <m:r>
          <w:rPr>
            <w:rFonts w:ascii="Cambria Math" w:hAnsi="Cambria Math"/>
            <w:i/>
            <w:szCs w:val="20"/>
            <w:lang w:val="cs-CZ"/>
          </w:rPr>
          <w:sym w:font="Symbol" w:char="F064"/>
        </m:r>
      </m:oMath>
      <w:r w:rsidRPr="003B6E11">
        <w:rPr>
          <w:lang w:val="cs-CZ"/>
        </w:rPr>
        <w:tab/>
        <w:t>=</w:t>
      </w:r>
      <w:r w:rsidRPr="003B6E11">
        <w:rPr>
          <w:lang w:val="cs-CZ"/>
        </w:rPr>
        <w:tab/>
        <w:t>20°</w:t>
      </w:r>
    </w:p>
    <w:p w:rsidR="003B6E11" w:rsidRPr="003B6E11" w:rsidRDefault="003B6E11" w:rsidP="003B6E11">
      <w:pPr>
        <w:tabs>
          <w:tab w:val="left" w:pos="-1440"/>
          <w:tab w:val="left" w:pos="-576"/>
          <w:tab w:val="left" w:pos="-432"/>
          <w:tab w:val="left" w:pos="993"/>
          <w:tab w:val="left" w:pos="5387"/>
          <w:tab w:val="left" w:pos="5670"/>
          <w:tab w:val="left" w:pos="5954"/>
        </w:tabs>
        <w:overflowPunct w:val="0"/>
        <w:adjustRightInd w:val="0"/>
        <w:spacing w:before="60"/>
        <w:ind w:left="995" w:hanging="428"/>
        <w:textAlignment w:val="baseline"/>
        <w:rPr>
          <w:szCs w:val="20"/>
          <w:lang w:val="cs-CZ"/>
        </w:rPr>
      </w:pPr>
      <w:r w:rsidRPr="003B6E11">
        <w:rPr>
          <w:lang w:val="cs-CZ"/>
        </w:rPr>
        <w:t>-</w:t>
      </w:r>
      <w:r w:rsidRPr="003B6E11">
        <w:rPr>
          <w:lang w:val="cs-CZ"/>
        </w:rPr>
        <w:tab/>
        <w:t>jeden na pravobok s úhlem kormidla</w:t>
      </w:r>
      <w:r w:rsidRPr="003B6E11">
        <w:rPr>
          <w:lang w:val="cs-CZ"/>
        </w:rPr>
        <w:tab/>
      </w:r>
      <m:oMath>
        <m:r>
          <w:rPr>
            <w:rFonts w:ascii="Cambria Math" w:hAnsi="Cambria Math"/>
            <w:i/>
            <w:szCs w:val="20"/>
            <w:lang w:val="cs-CZ"/>
          </w:rPr>
          <w:sym w:font="Symbol" w:char="F064"/>
        </m:r>
      </m:oMath>
      <w:r w:rsidRPr="003B6E11">
        <w:rPr>
          <w:lang w:val="cs-CZ"/>
        </w:rPr>
        <w:tab/>
        <w:t>=</w:t>
      </w:r>
      <w:r w:rsidRPr="003B6E11">
        <w:rPr>
          <w:lang w:val="cs-CZ"/>
        </w:rPr>
        <w:tab/>
        <w:t>45°</w:t>
      </w:r>
    </w:p>
    <w:p w:rsidR="003B6E11" w:rsidRPr="003B6E11" w:rsidRDefault="003B6E11" w:rsidP="003B6E11">
      <w:pPr>
        <w:tabs>
          <w:tab w:val="left" w:pos="-1440"/>
          <w:tab w:val="left" w:pos="-576"/>
          <w:tab w:val="left" w:pos="-432"/>
          <w:tab w:val="left" w:pos="993"/>
          <w:tab w:val="left" w:pos="5387"/>
          <w:tab w:val="left" w:pos="5670"/>
          <w:tab w:val="left" w:pos="5954"/>
        </w:tabs>
        <w:overflowPunct w:val="0"/>
        <w:adjustRightInd w:val="0"/>
        <w:spacing w:before="60"/>
        <w:ind w:left="995" w:hanging="428"/>
        <w:textAlignment w:val="baseline"/>
        <w:rPr>
          <w:szCs w:val="20"/>
          <w:lang w:val="cs-CZ"/>
        </w:rPr>
      </w:pPr>
      <w:r w:rsidRPr="003B6E11">
        <w:rPr>
          <w:lang w:val="cs-CZ"/>
        </w:rPr>
        <w:t>-</w:t>
      </w:r>
      <w:r w:rsidRPr="003B6E11">
        <w:rPr>
          <w:lang w:val="cs-CZ"/>
        </w:rPr>
        <w:tab/>
        <w:t>jeden na levobok s úhlem kormidla</w:t>
      </w:r>
      <w:r w:rsidRPr="003B6E11">
        <w:rPr>
          <w:lang w:val="cs-CZ"/>
        </w:rPr>
        <w:tab/>
      </w:r>
      <m:oMath>
        <m:r>
          <w:rPr>
            <w:rFonts w:ascii="Cambria Math" w:hAnsi="Cambria Math"/>
            <w:i/>
            <w:szCs w:val="20"/>
            <w:lang w:val="cs-CZ"/>
          </w:rPr>
          <w:sym w:font="Symbol" w:char="F064"/>
        </m:r>
      </m:oMath>
      <w:r w:rsidRPr="003B6E11">
        <w:rPr>
          <w:lang w:val="cs-CZ"/>
        </w:rPr>
        <w:tab/>
        <w:t>=</w:t>
      </w:r>
      <w:r w:rsidRPr="003B6E11">
        <w:rPr>
          <w:lang w:val="cs-CZ"/>
        </w:rPr>
        <w:tab/>
        <w:t>45°.</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spacing w:line="240" w:lineRule="atLeast"/>
        <w:ind w:left="567"/>
        <w:rPr>
          <w:lang w:val="cs-CZ"/>
        </w:rPr>
      </w:pPr>
      <w:r w:rsidRPr="003B6E11">
        <w:rPr>
          <w:lang w:val="cs-CZ"/>
        </w:rPr>
        <w:t xml:space="preserve">V případě potřeby (např. při nejistotě naměřených hodnot nebo při neuspokojivých manévrech) se musí vyhýbací manévry opakovat. Musí být dodrženy rychlosti otáčení uvedené v bodě 2.2 a mezní časové hodnoty. U aktivních kormidelních zařízení nebo zvláštních typů kormidel lze zvolit polohu </w:t>
      </w:r>
      <m:oMath>
        <m:sSub>
          <m:sSubPr>
            <m:ctrlPr>
              <w:rPr>
                <w:rFonts w:ascii="Cambria Math" w:hAnsi="Cambria Math"/>
                <w:i/>
                <w:szCs w:val="20"/>
                <w:lang w:val="cs-CZ"/>
              </w:rPr>
            </m:ctrlPr>
          </m:sSubPr>
          <m:e>
            <m:r>
              <w:rPr>
                <w:rFonts w:ascii="Cambria Math" w:hAnsi="Cambria Math"/>
                <w:szCs w:val="20"/>
                <w:lang w:val="cs-CZ"/>
              </w:rPr>
              <m:t>δ</m:t>
            </m:r>
          </m:e>
          <m:sub>
            <m:r>
              <w:rPr>
                <w:rFonts w:ascii="Cambria Math" w:hAnsi="Cambria Math"/>
                <w:szCs w:val="20"/>
                <w:lang w:val="cs-CZ"/>
              </w:rPr>
              <m:t>a</m:t>
            </m:r>
          </m:sub>
        </m:sSub>
      </m:oMath>
      <w:r w:rsidRPr="003B6E11">
        <w:rPr>
          <w:lang w:val="cs-CZ"/>
        </w:rPr>
        <w:t xml:space="preserve"> kormidelní jednotky nebo úhel kormidla </w:t>
      </w:r>
      <m:oMath>
        <m:sSub>
          <m:sSubPr>
            <m:ctrlPr>
              <w:rPr>
                <w:rFonts w:ascii="Cambria Math" w:hAnsi="Cambria Math"/>
                <w:i/>
                <w:szCs w:val="20"/>
                <w:lang w:val="cs-CZ"/>
              </w:rPr>
            </m:ctrlPr>
          </m:sSubPr>
          <m:e>
            <m:r>
              <w:rPr>
                <w:rFonts w:ascii="Cambria Math" w:hAnsi="Cambria Math"/>
                <w:szCs w:val="20"/>
                <w:lang w:val="cs-CZ"/>
              </w:rPr>
              <m:t>δ</m:t>
            </m:r>
          </m:e>
          <m:sub>
            <m:r>
              <w:rPr>
                <w:rFonts w:ascii="Cambria Math" w:hAnsi="Cambria Math"/>
                <w:szCs w:val="20"/>
                <w:lang w:val="cs-CZ"/>
              </w:rPr>
              <m:t>a</m:t>
            </m:r>
          </m:sub>
        </m:sSub>
      </m:oMath>
      <w:r w:rsidRPr="003B6E11">
        <w:rPr>
          <w:lang w:val="cs-CZ"/>
        </w:rPr>
        <w:t xml:space="preserve"> jiné než </w:t>
      </w:r>
      <m:oMath>
        <m:r>
          <w:rPr>
            <w:rFonts w:ascii="Cambria Math" w:hAnsi="Cambria Math"/>
            <w:noProof/>
            <w:lang w:val="cs-CZ"/>
          </w:rPr>
          <m:t>δ</m:t>
        </m:r>
      </m:oMath>
      <w:r w:rsidRPr="003B6E11">
        <w:rPr>
          <w:lang w:val="cs-CZ"/>
        </w:rPr>
        <w:t xml:space="preserve"> = 20° a </w:t>
      </w:r>
      <m:oMath>
        <m:r>
          <w:rPr>
            <w:rFonts w:ascii="Cambria Math" w:hAnsi="Cambria Math"/>
            <w:noProof/>
            <w:lang w:val="cs-CZ"/>
          </w:rPr>
          <m:t>δ</m:t>
        </m:r>
      </m:oMath>
      <w:r w:rsidRPr="003B6E11">
        <w:rPr>
          <w:lang w:val="cs-CZ"/>
        </w:rPr>
        <w:t xml:space="preserve"> = 45°, a to v souladu s posouzením odborníka a podle typu kormidelního zařízení.</w:t>
      </w:r>
    </w:p>
    <w:p w:rsidR="003B6E11" w:rsidRPr="003B6E11" w:rsidRDefault="003B6E11" w:rsidP="003B6E11">
      <w:pPr>
        <w:tabs>
          <w:tab w:val="left" w:pos="567"/>
        </w:tabs>
        <w:overflowPunct w:val="0"/>
        <w:adjustRightInd w:val="0"/>
        <w:ind w:left="567" w:hanging="567"/>
        <w:textAlignment w:val="baseline"/>
        <w:rPr>
          <w:szCs w:val="20"/>
          <w:lang w:val="cs-CZ"/>
        </w:rPr>
      </w:pPr>
    </w:p>
    <w:p w:rsidR="003B6E11" w:rsidRPr="003B6E11" w:rsidRDefault="003B6E11" w:rsidP="003B6E11">
      <w:pPr>
        <w:spacing w:line="240" w:lineRule="atLeast"/>
        <w:ind w:left="567" w:hanging="567"/>
        <w:rPr>
          <w:szCs w:val="20"/>
          <w:lang w:val="cs-CZ"/>
        </w:rPr>
      </w:pPr>
      <w:r w:rsidRPr="003B6E11">
        <w:rPr>
          <w:lang w:val="cs-CZ"/>
        </w:rPr>
        <w:t>2.4</w:t>
      </w:r>
      <w:r w:rsidRPr="003B6E11">
        <w:rPr>
          <w:lang w:val="cs-CZ"/>
        </w:rPr>
        <w:tab/>
        <w:t>Pro účely stanovení rychlosti otáčení musí být na palubě ukazatel rychlosti otáčení splňující požadavky uvedené v čl. 7.06 odst. 1.</w:t>
      </w:r>
    </w:p>
    <w:p w:rsidR="003B6E11" w:rsidRPr="003B6E11" w:rsidRDefault="003B6E11" w:rsidP="003B6E11">
      <w:pPr>
        <w:tabs>
          <w:tab w:val="left" w:pos="567"/>
        </w:tabs>
        <w:overflowPunct w:val="0"/>
        <w:adjustRightInd w:val="0"/>
        <w:ind w:left="567" w:hanging="567"/>
        <w:textAlignment w:val="baseline"/>
        <w:rPr>
          <w:szCs w:val="20"/>
          <w:lang w:val="cs-CZ"/>
        </w:rPr>
      </w:pPr>
    </w:p>
    <w:p w:rsidR="003B6E11" w:rsidRPr="003B6E11" w:rsidRDefault="003B6E11" w:rsidP="003B6E11">
      <w:pPr>
        <w:spacing w:line="240" w:lineRule="atLeast"/>
        <w:ind w:left="567" w:hanging="567"/>
        <w:rPr>
          <w:lang w:val="cs-CZ"/>
        </w:rPr>
      </w:pPr>
      <w:r w:rsidRPr="003B6E11">
        <w:rPr>
          <w:lang w:val="cs-CZ"/>
        </w:rPr>
        <w:t>2.5</w:t>
      </w:r>
      <w:r w:rsidRPr="003B6E11">
        <w:rPr>
          <w:lang w:val="cs-CZ"/>
        </w:rPr>
        <w:tab/>
        <w:t>V souladu s článkem 5.04 musí být vyhýbací manévr prováděn se zatížením na 70 % až 100 % maximální nosnosti. Provádí-li se zkouška s menším nákladem, omezí se schválení pro plavbu po proudu a proti proudu na danou mezní hodnotu zatížení.</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rPr>
          <w:lang w:val="cs-CZ"/>
        </w:rPr>
      </w:pPr>
      <w:r w:rsidRPr="003B6E11">
        <w:rPr>
          <w:lang w:val="cs-CZ"/>
        </w:rPr>
        <w:t>Postup vyhýbacích manévrů a uplatněné podmínky jsou znázorněny ve schématu v příloze 1.</w:t>
      </w:r>
    </w:p>
    <w:p w:rsidR="003B6E11" w:rsidRPr="003B6E11" w:rsidRDefault="003B6E11" w:rsidP="003B6E11">
      <w:pPr>
        <w:tabs>
          <w:tab w:val="left" w:pos="567"/>
        </w:tabs>
        <w:overflowPunct w:val="0"/>
        <w:adjustRightInd w:val="0"/>
        <w:ind w:left="567" w:hanging="567"/>
        <w:textAlignment w:val="baseline"/>
        <w:rPr>
          <w:szCs w:val="20"/>
          <w:lang w:val="cs-CZ"/>
        </w:rPr>
      </w:pPr>
    </w:p>
    <w:p w:rsidR="003B6E11" w:rsidRPr="003B6E11" w:rsidRDefault="003B6E11" w:rsidP="003B6E11">
      <w:pPr>
        <w:tabs>
          <w:tab w:val="left" w:pos="567"/>
        </w:tabs>
        <w:overflowPunct w:val="0"/>
        <w:adjustRightInd w:val="0"/>
        <w:ind w:left="567" w:hanging="567"/>
        <w:textAlignment w:val="baseline"/>
        <w:rPr>
          <w:b/>
          <w:szCs w:val="20"/>
          <w:lang w:val="cs-CZ"/>
        </w:rPr>
      </w:pPr>
      <w:r w:rsidRPr="003B6E11">
        <w:rPr>
          <w:b/>
          <w:lang w:val="cs-CZ"/>
        </w:rPr>
        <w:t>3.</w:t>
      </w:r>
      <w:r w:rsidRPr="003B6E11">
        <w:rPr>
          <w:lang w:val="cs-CZ"/>
        </w:rPr>
        <w:tab/>
      </w:r>
      <w:r w:rsidRPr="003B6E11">
        <w:rPr>
          <w:b/>
          <w:lang w:val="cs-CZ"/>
        </w:rPr>
        <w:t>Schopnost otáčení</w:t>
      </w:r>
    </w:p>
    <w:p w:rsidR="003B6E11" w:rsidRPr="003B6E11" w:rsidRDefault="003B6E11" w:rsidP="003B6E11">
      <w:pPr>
        <w:tabs>
          <w:tab w:val="left" w:pos="567"/>
        </w:tabs>
        <w:overflowPunct w:val="0"/>
        <w:adjustRightInd w:val="0"/>
        <w:ind w:left="567" w:hanging="567"/>
        <w:textAlignment w:val="baseline"/>
        <w:rPr>
          <w:szCs w:val="20"/>
          <w:lang w:val="cs-CZ"/>
        </w:rPr>
      </w:pPr>
    </w:p>
    <w:p w:rsidR="003B6E11" w:rsidRPr="003B6E11" w:rsidRDefault="003B6E11" w:rsidP="003B6E11">
      <w:pPr>
        <w:spacing w:line="240" w:lineRule="atLeast"/>
        <w:ind w:left="567"/>
        <w:rPr>
          <w:lang w:val="cs-CZ"/>
        </w:rPr>
      </w:pPr>
      <w:r w:rsidRPr="003B6E11">
        <w:rPr>
          <w:lang w:val="cs-CZ"/>
        </w:rPr>
        <w:t>Schopnost otáčení lodí a sestav, jejichž délka (</w:t>
      </w:r>
      <m:oMath>
        <m:r>
          <w:rPr>
            <w:rFonts w:ascii="Cambria Math" w:hAnsi="Cambria Math"/>
            <w:lang w:val="cs-CZ"/>
          </w:rPr>
          <m:t>L</m:t>
        </m:r>
      </m:oMath>
      <w:r w:rsidRPr="003B6E11">
        <w:rPr>
          <w:lang w:val="cs-CZ"/>
        </w:rPr>
        <w:t>) nepřesahuje 86 m a šířka (</w:t>
      </w:r>
      <m:oMath>
        <m:r>
          <w:rPr>
            <w:rFonts w:ascii="Cambria Math" w:hAnsi="Cambria Math"/>
            <w:lang w:val="cs-CZ"/>
          </w:rPr>
          <m:t>B</m:t>
        </m:r>
      </m:oMath>
      <w:r w:rsidRPr="003B6E11">
        <w:rPr>
          <w:lang w:val="cs-CZ"/>
        </w:rPr>
        <w:t>) nepřesahuje 22,90 m, se podle článku 5.10 ve spojení s čl. 5.02 odst. 1 považuje za dostatečnou, jsou-li při otáčecím manévru proti proudu s počáteční rychlostí 13 km/h vzhledem k vodní hladině dodrženy mezní hodnoty pro zastavení směrem po proudu stanovené v pokynu ESI-II-3. Musí být splněny podmínky vzdálenosti kýlu uvedené v bodě 1.1.</w:t>
      </w:r>
    </w:p>
    <w:p w:rsidR="003B6E11" w:rsidRPr="003B6E11" w:rsidRDefault="003B6E11" w:rsidP="003B6E11">
      <w:pPr>
        <w:tabs>
          <w:tab w:val="left" w:pos="426"/>
        </w:tabs>
        <w:overflowPunct w:val="0"/>
        <w:adjustRightInd w:val="0"/>
        <w:ind w:left="426" w:hanging="426"/>
        <w:textAlignment w:val="baseline"/>
        <w:rPr>
          <w:szCs w:val="20"/>
          <w:lang w:val="cs-CZ"/>
        </w:rPr>
      </w:pPr>
      <w:r w:rsidRPr="003B6E11">
        <w:rPr>
          <w:lang w:val="cs-CZ"/>
        </w:rPr>
        <w:br w:type="page"/>
      </w: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4.</w:t>
      </w:r>
      <w:r w:rsidRPr="003B6E11">
        <w:rPr>
          <w:lang w:val="cs-CZ"/>
        </w:rPr>
        <w:tab/>
      </w:r>
      <w:r w:rsidRPr="003B6E11">
        <w:rPr>
          <w:b/>
          <w:color w:val="000000"/>
          <w:lang w:val="cs-CZ"/>
        </w:rPr>
        <w:t>Další požadavky</w:t>
      </w:r>
    </w:p>
    <w:p w:rsidR="003B6E11" w:rsidRPr="003B6E11" w:rsidRDefault="003B6E11" w:rsidP="003B6E11">
      <w:pPr>
        <w:tabs>
          <w:tab w:val="left" w:pos="426"/>
        </w:tabs>
        <w:overflowPunct w:val="0"/>
        <w:adjustRightInd w:val="0"/>
        <w:ind w:left="426" w:hanging="426"/>
        <w:textAlignment w:val="baseline"/>
        <w:rPr>
          <w:szCs w:val="20"/>
          <w:lang w:val="cs-CZ"/>
        </w:rPr>
      </w:pPr>
    </w:p>
    <w:p w:rsidR="003B6E11" w:rsidRPr="003B6E11" w:rsidRDefault="003B6E11" w:rsidP="003B6E11">
      <w:pPr>
        <w:spacing w:line="240" w:lineRule="atLeast"/>
        <w:ind w:left="567" w:hanging="567"/>
        <w:rPr>
          <w:lang w:val="cs-CZ"/>
        </w:rPr>
      </w:pPr>
      <w:r w:rsidRPr="003B6E11">
        <w:rPr>
          <w:lang w:val="cs-CZ"/>
        </w:rPr>
        <w:t>4.1</w:t>
      </w:r>
      <w:r w:rsidRPr="003B6E11">
        <w:rPr>
          <w:lang w:val="cs-CZ"/>
        </w:rPr>
        <w:tab/>
        <w:t>Bez ohledu na body 1 až 3 musí být splněny následující požadavky:</w:t>
      </w:r>
    </w:p>
    <w:p w:rsidR="003B6E11" w:rsidRPr="003B6E11" w:rsidRDefault="003B6E11" w:rsidP="003B6E11">
      <w:pPr>
        <w:spacing w:before="60" w:line="240" w:lineRule="atLeast"/>
        <w:ind w:left="992"/>
        <w:rPr>
          <w:lang w:val="cs-CZ"/>
        </w:rPr>
      </w:pPr>
      <w:r w:rsidRPr="003B6E11">
        <w:rPr>
          <w:lang w:val="cs-CZ"/>
        </w:rPr>
        <w:t>a)</w:t>
      </w:r>
      <w:r w:rsidRPr="003B6E11">
        <w:rPr>
          <w:lang w:val="cs-CZ"/>
        </w:rPr>
        <w:tab/>
        <w:t>U ručně ovládaných kormidelních zařízení musí jedno otočení kolem odpovídat úhlu kormidla nejméně 3°.</w:t>
      </w:r>
    </w:p>
    <w:p w:rsidR="003B6E11" w:rsidRPr="003B6E11" w:rsidRDefault="003B6E11" w:rsidP="003B6E11">
      <w:pPr>
        <w:spacing w:before="60" w:line="240" w:lineRule="atLeast"/>
        <w:ind w:left="992"/>
        <w:rPr>
          <w:lang w:val="cs-CZ"/>
        </w:rPr>
      </w:pPr>
      <w:r w:rsidRPr="003B6E11">
        <w:rPr>
          <w:lang w:val="cs-CZ"/>
        </w:rPr>
        <w:t>b)</w:t>
      </w:r>
      <w:r w:rsidRPr="003B6E11">
        <w:rPr>
          <w:lang w:val="cs-CZ"/>
        </w:rPr>
        <w:tab/>
        <w:t>U poháněných kormidelních zařízení musí být možné při maximálním ponoru kormidla dosáhnout průměrné úhlové rychlosti 4°/s v celém rozsahu otáčení kormidla.</w:t>
      </w:r>
    </w:p>
    <w:p w:rsidR="003B6E11" w:rsidRPr="003B6E11" w:rsidRDefault="003B6E11" w:rsidP="003B6E11">
      <w:pPr>
        <w:spacing w:before="60" w:line="240" w:lineRule="atLeast"/>
        <w:ind w:left="992"/>
        <w:rPr>
          <w:lang w:val="cs-CZ"/>
        </w:rPr>
      </w:pPr>
      <w:r w:rsidRPr="003B6E11">
        <w:rPr>
          <w:lang w:val="cs-CZ"/>
        </w:rPr>
        <w:t>Tento požadavek je třeba kontrolovat i v případě lodi plující plnou rychlostí při posunu kormidla v rozsahu od 35° na levoboku do 35° na pravoboku. Dále se musí ověřit, zda kormidlo drží polohu maximálního úhlu při maximálním výkonu pohonného zařízení. U aktivních kormidelních zařízení nebo zvláštních typů kormidel se toto ustanovení použije obdobně.</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spacing w:line="240" w:lineRule="atLeast"/>
        <w:ind w:left="567" w:hanging="567"/>
        <w:rPr>
          <w:lang w:val="cs-CZ"/>
        </w:rPr>
      </w:pPr>
      <w:r w:rsidRPr="003B6E11">
        <w:rPr>
          <w:lang w:val="cs-CZ"/>
        </w:rPr>
        <w:t>4.2</w:t>
      </w:r>
      <w:r w:rsidRPr="003B6E11">
        <w:rPr>
          <w:lang w:val="cs-CZ"/>
        </w:rPr>
        <w:tab/>
        <w:t>Pokud je k dosažení požadovaných manévrovacích schopností potřebné některé z doplňkových zařízení zmiňovaných v článku 5.05, musí splňovat požadavky kapitoly 6 a v bodě 52 osvědčení plavidla vnitrozemské plavby se uvedou následující údaje:</w:t>
      </w:r>
    </w:p>
    <w:p w:rsidR="003B6E11" w:rsidRPr="003B6E11" w:rsidRDefault="003B6E11" w:rsidP="003B6E11">
      <w:pPr>
        <w:tabs>
          <w:tab w:val="left" w:pos="567"/>
        </w:tabs>
        <w:overflowPunct w:val="0"/>
        <w:adjustRightInd w:val="0"/>
        <w:ind w:left="567" w:hanging="567"/>
        <w:textAlignment w:val="baseline"/>
        <w:rPr>
          <w:szCs w:val="20"/>
          <w:lang w:val="cs-CZ"/>
        </w:rPr>
      </w:pPr>
    </w:p>
    <w:p w:rsidR="003B6E11" w:rsidRPr="003B6E11" w:rsidRDefault="003B6E11" w:rsidP="003B6E11">
      <w:pPr>
        <w:spacing w:line="240" w:lineRule="atLeast"/>
        <w:ind w:left="567"/>
        <w:rPr>
          <w:lang w:val="cs-CZ"/>
        </w:rPr>
      </w:pPr>
      <w:r w:rsidRPr="003B6E11">
        <w:rPr>
          <w:lang w:val="cs-CZ"/>
        </w:rPr>
        <w:t>„Ke splnění požadavků kapitoly 5 na manévrovatelnost jsou nezbytná kormidla chodu zpět</w:t>
      </w:r>
      <w:r w:rsidRPr="003B6E11">
        <w:rPr>
          <w:vertAlign w:val="superscript"/>
          <w:lang w:val="cs-CZ"/>
        </w:rPr>
        <w:footnoteReference w:customMarkFollows="1" w:id="79"/>
        <w:t>*)</w:t>
      </w:r>
      <w:r w:rsidRPr="003B6E11">
        <w:rPr>
          <w:lang w:val="cs-CZ"/>
        </w:rPr>
        <w:t xml:space="preserve"> / příďová kormidelní zařízení* / jiná zařízení* uvedená v bodě 34.“</w:t>
      </w:r>
    </w:p>
    <w:p w:rsidR="003B6E11" w:rsidRPr="003B6E11" w:rsidRDefault="003B6E11" w:rsidP="003B6E11">
      <w:pPr>
        <w:spacing w:line="240" w:lineRule="atLeast"/>
        <w:rPr>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5.</w:t>
      </w:r>
      <w:r w:rsidRPr="003B6E11">
        <w:rPr>
          <w:lang w:val="cs-CZ"/>
        </w:rPr>
        <w:tab/>
      </w:r>
      <w:r w:rsidRPr="003B6E11">
        <w:rPr>
          <w:b/>
          <w:color w:val="000000"/>
          <w:lang w:val="cs-CZ"/>
        </w:rPr>
        <w:t>Zaznamenávání údajů a zprávy</w:t>
      </w:r>
    </w:p>
    <w:p w:rsidR="003B6E11" w:rsidRPr="003B6E11" w:rsidRDefault="003B6E11" w:rsidP="003B6E11">
      <w:pPr>
        <w:tabs>
          <w:tab w:val="left" w:pos="567"/>
        </w:tabs>
        <w:overflowPunct w:val="0"/>
        <w:adjustRightInd w:val="0"/>
        <w:ind w:left="567" w:hanging="567"/>
        <w:textAlignment w:val="baseline"/>
        <w:rPr>
          <w:szCs w:val="20"/>
          <w:lang w:val="cs-CZ"/>
        </w:rPr>
      </w:pPr>
    </w:p>
    <w:p w:rsidR="003B6E11" w:rsidRPr="003B6E11" w:rsidRDefault="003B6E11" w:rsidP="003B6E11">
      <w:pPr>
        <w:spacing w:line="240" w:lineRule="atLeast"/>
        <w:ind w:left="567"/>
        <w:rPr>
          <w:lang w:val="cs-CZ"/>
        </w:rPr>
      </w:pPr>
      <w:r w:rsidRPr="003B6E11">
        <w:rPr>
          <w:lang w:val="cs-CZ"/>
        </w:rPr>
        <w:t>Měření, zprávy a zaznamenávání údajů se provádí v souladu s postupem stanoveným v příloze 2.</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sectPr w:rsidR="003B6E11" w:rsidRPr="003B6E11" w:rsidSect="00D45887">
          <w:headerReference w:type="default" r:id="rId129"/>
          <w:headerReference w:type="first" r:id="rId130"/>
          <w:pgSz w:w="11907" w:h="16840" w:code="9"/>
          <w:pgMar w:top="1418" w:right="1418" w:bottom="1418" w:left="1418" w:header="680" w:footer="680" w:gutter="0"/>
          <w:cols w:space="720"/>
          <w:noEndnote/>
          <w:titlePg/>
        </w:sect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pStyle w:val="ES-Titre4"/>
      </w:pPr>
      <w:r w:rsidRPr="003B6E11">
        <w:t>Příloha 1 k pokynu ESI-II-4</w:t>
      </w:r>
    </w:p>
    <w:p w:rsidR="003B6E11" w:rsidRPr="003B6E11" w:rsidRDefault="003B6E11" w:rsidP="003B6E11">
      <w:pPr>
        <w:pStyle w:val="ES-Titre4a"/>
      </w:pPr>
      <w:r w:rsidRPr="003B6E11">
        <w:t>Schéma vyhýbacího manévru</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jc w:val="center"/>
        <w:textAlignment w:val="baseline"/>
        <w:rPr>
          <w:szCs w:val="20"/>
          <w:lang w:val="cs-CZ"/>
        </w:rPr>
      </w:pPr>
      <w:r w:rsidRPr="003B6E11">
        <w:rPr>
          <w:noProof/>
          <w:szCs w:val="20"/>
          <w:lang w:eastAsia="en-GB"/>
        </w:rPr>
        <w:drawing>
          <wp:inline distT="0" distB="0" distL="0" distR="0" wp14:anchorId="300AE4DD" wp14:editId="2CFAAF6E">
            <wp:extent cx="5286375" cy="2943225"/>
            <wp:effectExtent l="0" t="0" r="9525" b="9525"/>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86375" cy="2943225"/>
                    </a:xfrm>
                    <a:prstGeom prst="rect">
                      <a:avLst/>
                    </a:prstGeom>
                    <a:noFill/>
                    <a:ln>
                      <a:noFill/>
                    </a:ln>
                  </pic:spPr>
                </pic:pic>
              </a:graphicData>
            </a:graphic>
          </wp:inline>
        </w:drawing>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2D015D" w:rsidP="003B6E11">
      <w:pPr>
        <w:tabs>
          <w:tab w:val="left" w:pos="993"/>
          <w:tab w:val="left" w:pos="1418"/>
        </w:tabs>
        <w:overflowPunct w:val="0"/>
        <w:adjustRightInd w:val="0"/>
        <w:ind w:left="567"/>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0</m:t>
            </m:r>
          </m:sub>
        </m:sSub>
      </m:oMath>
      <w:r w:rsidR="003B6E11" w:rsidRPr="003B6E11">
        <w:rPr>
          <w:lang w:val="cs-CZ"/>
        </w:rPr>
        <w:tab/>
        <w:t>=</w:t>
      </w:r>
      <w:r w:rsidR="003B6E11" w:rsidRPr="003B6E11">
        <w:rPr>
          <w:lang w:val="cs-CZ"/>
        </w:rPr>
        <w:tab/>
        <w:t>začátek vyhýbacího manévru</w:t>
      </w:r>
    </w:p>
    <w:p w:rsidR="003B6E11" w:rsidRPr="003B6E11" w:rsidRDefault="002D015D" w:rsidP="003B6E11">
      <w:pPr>
        <w:tabs>
          <w:tab w:val="left" w:pos="993"/>
          <w:tab w:val="left" w:pos="1418"/>
        </w:tabs>
        <w:overflowPunct w:val="0"/>
        <w:adjustRightInd w:val="0"/>
        <w:spacing w:before="60"/>
        <w:ind w:left="567"/>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1</m:t>
            </m:r>
          </m:sub>
        </m:sSub>
      </m:oMath>
      <w:r w:rsidR="003B6E11" w:rsidRPr="003B6E11">
        <w:rPr>
          <w:lang w:val="cs-CZ"/>
        </w:rPr>
        <w:tab/>
        <w:t>=</w:t>
      </w:r>
      <w:r w:rsidR="003B6E11" w:rsidRPr="003B6E11">
        <w:rPr>
          <w:lang w:val="cs-CZ"/>
        </w:rPr>
        <w:tab/>
        <w:t xml:space="preserve">čas k dosažení rychlosti otáčení </w:t>
      </w:r>
      <m:oMath>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1</m:t>
            </m:r>
          </m:sub>
        </m:sSub>
      </m:oMath>
    </w:p>
    <w:p w:rsidR="003B6E11" w:rsidRPr="003B6E11" w:rsidRDefault="002D015D" w:rsidP="003B6E11">
      <w:pPr>
        <w:tabs>
          <w:tab w:val="left" w:pos="993"/>
          <w:tab w:val="left" w:pos="1418"/>
        </w:tabs>
        <w:overflowPunct w:val="0"/>
        <w:adjustRightInd w:val="0"/>
        <w:spacing w:before="60"/>
        <w:ind w:left="567"/>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2</m:t>
            </m:r>
          </m:sub>
        </m:sSub>
      </m:oMath>
      <w:r w:rsidR="003B6E11" w:rsidRPr="003B6E11">
        <w:rPr>
          <w:lang w:val="cs-CZ"/>
        </w:rPr>
        <w:tab/>
        <w:t>=</w:t>
      </w:r>
      <w:r w:rsidR="003B6E11" w:rsidRPr="003B6E11">
        <w:rPr>
          <w:lang w:val="cs-CZ"/>
        </w:rPr>
        <w:tab/>
        <w:t xml:space="preserve">čas k dosažení rychlosti otáčení </w:t>
      </w:r>
      <m:oMath>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2</m:t>
            </m:r>
          </m:sub>
        </m:sSub>
      </m:oMath>
      <w:r w:rsidR="003B6E11" w:rsidRPr="003B6E11">
        <w:rPr>
          <w:lang w:val="cs-CZ"/>
        </w:rPr>
        <w:t xml:space="preserve"> = 0</w:t>
      </w:r>
    </w:p>
    <w:p w:rsidR="003B6E11" w:rsidRPr="003B6E11" w:rsidRDefault="002D015D" w:rsidP="003B6E11">
      <w:pPr>
        <w:tabs>
          <w:tab w:val="left" w:pos="993"/>
          <w:tab w:val="left" w:pos="1418"/>
        </w:tabs>
        <w:overflowPunct w:val="0"/>
        <w:adjustRightInd w:val="0"/>
        <w:spacing w:before="60"/>
        <w:ind w:left="567"/>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3</m:t>
            </m:r>
          </m:sub>
        </m:sSub>
      </m:oMath>
      <w:r w:rsidR="003B6E11" w:rsidRPr="003B6E11">
        <w:rPr>
          <w:lang w:val="cs-CZ"/>
        </w:rPr>
        <w:tab/>
        <w:t>=</w:t>
      </w:r>
      <w:r w:rsidR="003B6E11" w:rsidRPr="003B6E11">
        <w:rPr>
          <w:lang w:val="cs-CZ"/>
        </w:rPr>
        <w:tab/>
        <w:t xml:space="preserve">čas k dosažení rychlosti otáčení </w:t>
      </w:r>
      <m:oMath>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3</m:t>
            </m:r>
          </m:sub>
        </m:sSub>
      </m:oMath>
    </w:p>
    <w:p w:rsidR="003B6E11" w:rsidRPr="003B6E11" w:rsidRDefault="002D015D" w:rsidP="003B6E11">
      <w:pPr>
        <w:tabs>
          <w:tab w:val="left" w:pos="993"/>
          <w:tab w:val="left" w:pos="1418"/>
        </w:tabs>
        <w:overflowPunct w:val="0"/>
        <w:adjustRightInd w:val="0"/>
        <w:spacing w:before="60"/>
        <w:ind w:left="567"/>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4</m:t>
            </m:r>
          </m:sub>
        </m:sSub>
      </m:oMath>
      <w:r w:rsidR="003B6E11" w:rsidRPr="003B6E11">
        <w:rPr>
          <w:lang w:val="cs-CZ"/>
        </w:rPr>
        <w:tab/>
        <w:t>=</w:t>
      </w:r>
      <w:r w:rsidR="003B6E11" w:rsidRPr="003B6E11">
        <w:rPr>
          <w:lang w:val="cs-CZ"/>
        </w:rPr>
        <w:tab/>
        <w:t xml:space="preserve">čas k dosažení rychlosti otáčení </w:t>
      </w:r>
      <m:oMath>
        <m:sSub>
          <m:sSubPr>
            <m:ctrlPr>
              <w:rPr>
                <w:rFonts w:ascii="Cambria Math" w:hAnsi="Cambria Math"/>
                <w:i/>
                <w:szCs w:val="20"/>
                <w:lang w:val="cs-CZ"/>
              </w:rPr>
            </m:ctrlPr>
          </m:sSubPr>
          <m:e>
            <m:r>
              <w:rPr>
                <w:rFonts w:ascii="Cambria Math" w:hAnsi="Cambria Math"/>
                <w:szCs w:val="20"/>
                <w:lang w:val="cs-CZ"/>
              </w:rPr>
              <m:t>r</m:t>
            </m:r>
          </m:e>
          <m:sub>
            <m:r>
              <w:rPr>
                <w:rFonts w:ascii="Cambria Math" w:hAnsi="Cambria Math"/>
                <w:szCs w:val="20"/>
                <w:lang w:val="cs-CZ"/>
              </w:rPr>
              <m:t>4</m:t>
            </m:r>
          </m:sub>
        </m:sSub>
      </m:oMath>
      <w:r w:rsidR="003B6E11" w:rsidRPr="003B6E11">
        <w:rPr>
          <w:vertAlign w:val="subscript"/>
          <w:lang w:val="cs-CZ"/>
        </w:rPr>
        <w:t xml:space="preserve"> </w:t>
      </w:r>
      <w:r w:rsidR="003B6E11" w:rsidRPr="003B6E11">
        <w:rPr>
          <w:lang w:val="cs-CZ"/>
        </w:rPr>
        <w:t>= 0 (konec vyhýbacího manévru)</w:t>
      </w:r>
    </w:p>
    <w:p w:rsidR="003B6E11" w:rsidRPr="003B6E11" w:rsidRDefault="003B6E11" w:rsidP="003B6E11">
      <w:pPr>
        <w:tabs>
          <w:tab w:val="left" w:pos="993"/>
          <w:tab w:val="left" w:pos="1418"/>
        </w:tabs>
        <w:overflowPunct w:val="0"/>
        <w:adjustRightInd w:val="0"/>
        <w:spacing w:before="60"/>
        <w:ind w:left="567"/>
        <w:textAlignment w:val="baseline"/>
        <w:rPr>
          <w:szCs w:val="20"/>
          <w:lang w:val="cs-CZ"/>
        </w:rPr>
      </w:pPr>
      <m:oMath>
        <m:r>
          <w:rPr>
            <w:rFonts w:ascii="Cambria Math" w:hAnsi="Cambria Math"/>
            <w:i/>
            <w:szCs w:val="20"/>
            <w:lang w:val="cs-CZ"/>
          </w:rPr>
          <w:sym w:font="Symbol" w:char="F064"/>
        </m:r>
      </m:oMath>
      <w:r w:rsidRPr="003B6E11">
        <w:rPr>
          <w:lang w:val="cs-CZ"/>
        </w:rPr>
        <w:tab/>
        <w:t>=</w:t>
      </w:r>
      <w:r w:rsidRPr="003B6E11">
        <w:rPr>
          <w:lang w:val="cs-CZ"/>
        </w:rPr>
        <w:tab/>
        <w:t>úhel kormidla [°]</w:t>
      </w:r>
    </w:p>
    <w:p w:rsidR="003B6E11" w:rsidRPr="003B6E11" w:rsidRDefault="003B6E11" w:rsidP="003B6E11">
      <w:pPr>
        <w:tabs>
          <w:tab w:val="left" w:pos="993"/>
          <w:tab w:val="left" w:pos="1418"/>
        </w:tabs>
        <w:overflowPunct w:val="0"/>
        <w:adjustRightInd w:val="0"/>
        <w:spacing w:before="60"/>
        <w:ind w:left="567"/>
        <w:textAlignment w:val="baseline"/>
        <w:rPr>
          <w:szCs w:val="20"/>
          <w:lang w:val="cs-CZ"/>
        </w:rPr>
      </w:pPr>
      <m:oMath>
        <m:r>
          <w:rPr>
            <w:rFonts w:ascii="Cambria Math" w:hAnsi="Cambria Math"/>
            <w:szCs w:val="20"/>
            <w:lang w:val="cs-CZ"/>
          </w:rPr>
          <m:t>r</m:t>
        </m:r>
      </m:oMath>
      <w:r w:rsidRPr="003B6E11">
        <w:rPr>
          <w:lang w:val="cs-CZ"/>
        </w:rPr>
        <w:tab/>
        <w:t>=</w:t>
      </w:r>
      <w:r w:rsidRPr="003B6E11">
        <w:rPr>
          <w:lang w:val="cs-CZ"/>
        </w:rPr>
        <w:tab/>
        <w:t>rychlost otáčení [°/min]</w:t>
      </w:r>
    </w:p>
    <w:p w:rsidR="003B6E11" w:rsidRPr="003B6E11" w:rsidRDefault="003B6E11" w:rsidP="003B6E11">
      <w:pPr>
        <w:tabs>
          <w:tab w:val="left" w:pos="284"/>
          <w:tab w:val="left" w:pos="709"/>
          <w:tab w:val="left" w:pos="993"/>
        </w:tabs>
        <w:overflowPunct w:val="0"/>
        <w:adjustRightInd w:val="0"/>
        <w:textAlignment w:val="baseline"/>
        <w:rPr>
          <w:szCs w:val="20"/>
          <w:lang w:val="cs-CZ"/>
        </w:rPr>
      </w:pPr>
    </w:p>
    <w:p w:rsidR="003B6E11" w:rsidRPr="003B6E11" w:rsidRDefault="003B6E11" w:rsidP="003B6E11">
      <w:pPr>
        <w:tabs>
          <w:tab w:val="left" w:pos="284"/>
          <w:tab w:val="left" w:pos="709"/>
          <w:tab w:val="left" w:pos="993"/>
        </w:tabs>
        <w:overflowPunct w:val="0"/>
        <w:adjustRightInd w:val="0"/>
        <w:textAlignment w:val="baseline"/>
        <w:rPr>
          <w:szCs w:val="20"/>
          <w:lang w:val="cs-CZ"/>
        </w:rPr>
      </w:pPr>
    </w:p>
    <w:p w:rsidR="003B6E11" w:rsidRPr="003B6E11" w:rsidRDefault="003B6E11" w:rsidP="003B6E11">
      <w:pPr>
        <w:tabs>
          <w:tab w:val="left" w:pos="284"/>
          <w:tab w:val="left" w:pos="709"/>
          <w:tab w:val="left" w:pos="993"/>
        </w:tabs>
        <w:overflowPunct w:val="0"/>
        <w:adjustRightInd w:val="0"/>
        <w:textAlignment w:val="baseline"/>
        <w:rPr>
          <w:szCs w:val="20"/>
          <w:lang w:val="cs-CZ"/>
        </w:rPr>
      </w:pPr>
    </w:p>
    <w:p w:rsidR="003B6E11" w:rsidRPr="003B6E11" w:rsidRDefault="003B6E11" w:rsidP="003B6E11">
      <w:pPr>
        <w:tabs>
          <w:tab w:val="left" w:pos="284"/>
          <w:tab w:val="left" w:pos="709"/>
          <w:tab w:val="left" w:pos="993"/>
        </w:tabs>
        <w:overflowPunct w:val="0"/>
        <w:adjustRightInd w:val="0"/>
        <w:textAlignment w:val="baseline"/>
        <w:rPr>
          <w:szCs w:val="20"/>
          <w:lang w:val="cs-CZ"/>
        </w:rPr>
        <w:sectPr w:rsidR="003B6E11" w:rsidRPr="003B6E11" w:rsidSect="00D45887">
          <w:headerReference w:type="default" r:id="rId132"/>
          <w:footerReference w:type="default" r:id="rId133"/>
          <w:headerReference w:type="first" r:id="rId134"/>
          <w:footerReference w:type="first" r:id="rId135"/>
          <w:pgSz w:w="11907" w:h="16840" w:code="9"/>
          <w:pgMar w:top="1418" w:right="1418" w:bottom="1418" w:left="1418" w:header="680" w:footer="680" w:gutter="0"/>
          <w:cols w:space="720"/>
          <w:noEndnote/>
          <w:titlePg/>
        </w:sectPr>
      </w:pPr>
    </w:p>
    <w:p w:rsidR="003B6E11" w:rsidRPr="003B6E11" w:rsidRDefault="003B6E11" w:rsidP="003B6E11">
      <w:pPr>
        <w:pStyle w:val="ES-Titre4"/>
      </w:pPr>
      <w:r w:rsidRPr="003B6E11">
        <w:t>Příloha 2 k pokynu ESI-II-4</w:t>
      </w:r>
    </w:p>
    <w:p w:rsidR="003B6E11" w:rsidRPr="003B6E11" w:rsidRDefault="003B6E11" w:rsidP="003B6E11">
      <w:pPr>
        <w:pStyle w:val="ES-Titre4a"/>
      </w:pPr>
      <w:r w:rsidRPr="003B6E11">
        <w:t>Zpráva o schopnosti provádět vyhýbací a otáčecí manévry</w:t>
      </w:r>
    </w:p>
    <w:p w:rsidR="003B6E11" w:rsidRPr="003B6E11" w:rsidRDefault="003B6E11" w:rsidP="003B6E11">
      <w:pPr>
        <w:tabs>
          <w:tab w:val="left" w:pos="284"/>
          <w:tab w:val="left" w:pos="709"/>
          <w:tab w:val="left" w:pos="993"/>
        </w:tabs>
        <w:overflowPunct w:val="0"/>
        <w:adjustRightInd w:val="0"/>
        <w:textAlignment w:val="baseline"/>
        <w:rPr>
          <w:szCs w:val="20"/>
          <w:lang w:val="cs-CZ"/>
        </w:rPr>
      </w:pPr>
    </w:p>
    <w:p w:rsidR="003B6E11" w:rsidRPr="003B6E11" w:rsidRDefault="003B6E11" w:rsidP="003B6E11">
      <w:pPr>
        <w:tabs>
          <w:tab w:val="left" w:pos="284"/>
          <w:tab w:val="left" w:leader="dot" w:pos="9072"/>
        </w:tabs>
        <w:overflowPunct w:val="0"/>
        <w:adjustRightInd w:val="0"/>
        <w:spacing w:after="120"/>
        <w:textAlignment w:val="baseline"/>
        <w:rPr>
          <w:szCs w:val="20"/>
          <w:lang w:val="cs-CZ"/>
        </w:rPr>
      </w:pPr>
      <w:r w:rsidRPr="003B6E11">
        <w:rPr>
          <w:lang w:val="cs-CZ"/>
        </w:rPr>
        <w:t xml:space="preserve">Subjekt pověřený prohlídkami: </w:t>
      </w:r>
      <w:r w:rsidRPr="003B6E11">
        <w:rPr>
          <w:lang w:val="cs-CZ"/>
        </w:rPr>
        <w:tab/>
      </w:r>
    </w:p>
    <w:p w:rsidR="003B6E11" w:rsidRPr="003B6E11" w:rsidRDefault="003B6E11" w:rsidP="003B6E11">
      <w:pPr>
        <w:tabs>
          <w:tab w:val="left" w:pos="284"/>
          <w:tab w:val="left" w:leader="dot" w:pos="9072"/>
        </w:tabs>
        <w:overflowPunct w:val="0"/>
        <w:adjustRightInd w:val="0"/>
        <w:spacing w:after="120"/>
        <w:textAlignment w:val="baseline"/>
        <w:rPr>
          <w:szCs w:val="20"/>
          <w:lang w:val="cs-CZ"/>
        </w:rPr>
      </w:pPr>
      <w:r w:rsidRPr="003B6E11">
        <w:rPr>
          <w:lang w:val="cs-CZ"/>
        </w:rPr>
        <w:t xml:space="preserve">Datum: </w:t>
      </w:r>
      <w:r w:rsidRPr="003B6E11">
        <w:rPr>
          <w:lang w:val="cs-CZ"/>
        </w:rPr>
        <w:tab/>
      </w:r>
    </w:p>
    <w:p w:rsidR="003B6E11" w:rsidRPr="003B6E11" w:rsidRDefault="003B6E11" w:rsidP="003B6E11">
      <w:pPr>
        <w:tabs>
          <w:tab w:val="left" w:pos="284"/>
          <w:tab w:val="left" w:leader="dot" w:pos="9072"/>
        </w:tabs>
        <w:overflowPunct w:val="0"/>
        <w:adjustRightInd w:val="0"/>
        <w:textAlignment w:val="baseline"/>
        <w:rPr>
          <w:szCs w:val="20"/>
          <w:lang w:val="cs-CZ"/>
        </w:rPr>
      </w:pPr>
      <w:r w:rsidRPr="003B6E11">
        <w:rPr>
          <w:lang w:val="cs-CZ"/>
        </w:rPr>
        <w:t xml:space="preserve">Jméno: </w:t>
      </w:r>
      <w:r w:rsidRPr="003B6E11">
        <w:rPr>
          <w:lang w:val="cs-CZ"/>
        </w:rPr>
        <w:tab/>
      </w:r>
    </w:p>
    <w:p w:rsidR="003B6E11" w:rsidRPr="003B6E11" w:rsidRDefault="003B6E11" w:rsidP="003B6E11">
      <w:pPr>
        <w:tabs>
          <w:tab w:val="left" w:pos="284"/>
          <w:tab w:val="left" w:leader="dot" w:pos="9072"/>
        </w:tabs>
        <w:overflowPunct w:val="0"/>
        <w:adjustRightInd w:val="0"/>
        <w:textAlignment w:val="baseline"/>
        <w:rPr>
          <w:szCs w:val="20"/>
          <w:lang w:val="cs-CZ"/>
        </w:rPr>
      </w:pPr>
    </w:p>
    <w:p w:rsidR="003B6E11" w:rsidRPr="003B6E11" w:rsidRDefault="003B6E11" w:rsidP="003B6E11">
      <w:pPr>
        <w:tabs>
          <w:tab w:val="left" w:pos="284"/>
          <w:tab w:val="left" w:leader="dot" w:pos="9072"/>
        </w:tabs>
        <w:overflowPunct w:val="0"/>
        <w:adjustRightInd w:val="0"/>
        <w:spacing w:after="120"/>
        <w:textAlignment w:val="baseline"/>
        <w:rPr>
          <w:szCs w:val="20"/>
          <w:lang w:val="cs-CZ"/>
        </w:rPr>
      </w:pPr>
      <w:r w:rsidRPr="003B6E11">
        <w:rPr>
          <w:lang w:val="cs-CZ"/>
        </w:rPr>
        <w:t xml:space="preserve">Název plavidla: </w:t>
      </w:r>
      <w:r w:rsidRPr="003B6E11">
        <w:rPr>
          <w:lang w:val="cs-CZ"/>
        </w:rPr>
        <w:tab/>
      </w:r>
    </w:p>
    <w:p w:rsidR="003B6E11" w:rsidRPr="003B6E11" w:rsidRDefault="003B6E11" w:rsidP="003B6E11">
      <w:pPr>
        <w:tabs>
          <w:tab w:val="left" w:pos="284"/>
          <w:tab w:val="left" w:leader="dot" w:pos="9072"/>
        </w:tabs>
        <w:overflowPunct w:val="0"/>
        <w:adjustRightInd w:val="0"/>
        <w:textAlignment w:val="baseline"/>
        <w:rPr>
          <w:szCs w:val="20"/>
          <w:lang w:val="cs-CZ"/>
        </w:rPr>
      </w:pPr>
      <w:r w:rsidRPr="003B6E11">
        <w:rPr>
          <w:lang w:val="cs-CZ"/>
        </w:rPr>
        <w:t xml:space="preserve">Vlastník: </w:t>
      </w:r>
      <w:r w:rsidRPr="003B6E11">
        <w:rPr>
          <w:lang w:val="cs-CZ"/>
        </w:rPr>
        <w:tab/>
      </w:r>
    </w:p>
    <w:p w:rsidR="003B6E11" w:rsidRPr="003B6E11" w:rsidRDefault="003B6E11" w:rsidP="003B6E11">
      <w:pPr>
        <w:tabs>
          <w:tab w:val="left" w:pos="284"/>
          <w:tab w:val="left" w:leader="dot" w:pos="9072"/>
        </w:tabs>
        <w:overflowPunct w:val="0"/>
        <w:adjustRightInd w:val="0"/>
        <w:textAlignment w:val="baseline"/>
        <w:rPr>
          <w:szCs w:val="20"/>
          <w:lang w:val="cs-CZ"/>
        </w:rPr>
      </w:pPr>
    </w:p>
    <w:p w:rsidR="003B6E11" w:rsidRPr="003B6E11" w:rsidRDefault="003B6E11" w:rsidP="003B6E11">
      <w:pPr>
        <w:tabs>
          <w:tab w:val="left" w:pos="284"/>
          <w:tab w:val="left" w:pos="5103"/>
          <w:tab w:val="left" w:leader="dot" w:pos="9072"/>
        </w:tabs>
        <w:overflowPunct w:val="0"/>
        <w:adjustRightInd w:val="0"/>
        <w:spacing w:after="120"/>
        <w:textAlignment w:val="baseline"/>
        <w:rPr>
          <w:szCs w:val="20"/>
          <w:lang w:val="cs-CZ"/>
        </w:rPr>
      </w:pPr>
      <w:r w:rsidRPr="003B6E11">
        <w:rPr>
          <w:lang w:val="cs-CZ"/>
        </w:rPr>
        <w:t>Druh plavidla</w:t>
      </w:r>
      <w:r w:rsidRPr="003B6E11">
        <w:rPr>
          <w:lang w:val="cs-CZ"/>
        </w:rPr>
        <w:tab/>
        <w:t xml:space="preserve">Zkušební oblast: </w:t>
      </w:r>
      <w:r w:rsidRPr="003B6E11">
        <w:rPr>
          <w:lang w:val="cs-CZ"/>
        </w:rPr>
        <w:tab/>
      </w:r>
    </w:p>
    <w:p w:rsidR="003B6E11" w:rsidRPr="003B6E11" w:rsidRDefault="003B6E11" w:rsidP="003B6E11">
      <w:pPr>
        <w:tabs>
          <w:tab w:val="left" w:pos="284"/>
          <w:tab w:val="left" w:leader="dot" w:pos="4536"/>
          <w:tab w:val="left" w:pos="5103"/>
          <w:tab w:val="left" w:leader="dot" w:pos="9072"/>
        </w:tabs>
        <w:overflowPunct w:val="0"/>
        <w:adjustRightInd w:val="0"/>
        <w:spacing w:after="120"/>
        <w:textAlignment w:val="baseline"/>
        <w:rPr>
          <w:szCs w:val="20"/>
          <w:lang w:val="cs-CZ"/>
        </w:rPr>
      </w:pPr>
      <w:r w:rsidRPr="003B6E11">
        <w:rPr>
          <w:lang w:val="cs-CZ"/>
        </w:rPr>
        <w:t xml:space="preserve">nebo sestavy: </w:t>
      </w:r>
      <w:r w:rsidRPr="003B6E11">
        <w:rPr>
          <w:lang w:val="cs-CZ"/>
        </w:rPr>
        <w:tab/>
      </w:r>
      <w:r w:rsidRPr="003B6E11">
        <w:rPr>
          <w:lang w:val="cs-CZ"/>
        </w:rPr>
        <w:tab/>
        <w:t xml:space="preserve">Relevantní hladina vody [m]: </w:t>
      </w:r>
      <w:r w:rsidRPr="003B6E11">
        <w:rPr>
          <w:lang w:val="cs-CZ"/>
        </w:rPr>
        <w:tab/>
      </w:r>
    </w:p>
    <w:p w:rsidR="003B6E11" w:rsidRPr="003B6E11" w:rsidRDefault="003B6E11" w:rsidP="003B6E11">
      <w:pPr>
        <w:tabs>
          <w:tab w:val="left" w:pos="284"/>
          <w:tab w:val="left" w:leader="dot" w:pos="4536"/>
          <w:tab w:val="left" w:pos="5103"/>
          <w:tab w:val="left" w:leader="dot" w:pos="9072"/>
        </w:tabs>
        <w:overflowPunct w:val="0"/>
        <w:adjustRightInd w:val="0"/>
        <w:spacing w:after="120"/>
        <w:textAlignment w:val="baseline"/>
        <w:rPr>
          <w:szCs w:val="20"/>
          <w:lang w:val="cs-CZ"/>
        </w:rPr>
      </w:pPr>
      <m:oMath>
        <m:r>
          <w:rPr>
            <w:rFonts w:ascii="Cambria Math" w:hAnsi="Cambria Math"/>
            <w:szCs w:val="20"/>
            <w:lang w:val="cs-CZ"/>
          </w:rPr>
          <m:t>L</m:t>
        </m:r>
      </m:oMath>
      <w:r w:rsidRPr="003B6E11">
        <w:rPr>
          <w:lang w:val="cs-CZ"/>
        </w:rPr>
        <w:t xml:space="preserve"> x </w:t>
      </w:r>
      <m:oMath>
        <m:r>
          <w:rPr>
            <w:rFonts w:ascii="Cambria Math" w:hAnsi="Cambria Math"/>
            <w:szCs w:val="20"/>
            <w:lang w:val="cs-CZ"/>
          </w:rPr>
          <m:t>B</m:t>
        </m:r>
      </m:oMath>
      <w:r w:rsidRPr="003B6E11">
        <w:rPr>
          <w:lang w:val="cs-CZ"/>
        </w:rPr>
        <w:t xml:space="preserve"> [m x m] : </w:t>
      </w:r>
      <w:r w:rsidRPr="003B6E11">
        <w:rPr>
          <w:lang w:val="cs-CZ"/>
        </w:rPr>
        <w:tab/>
      </w:r>
      <w:r w:rsidRPr="003B6E11">
        <w:rPr>
          <w:lang w:val="cs-CZ"/>
        </w:rPr>
        <w:tab/>
        <w:t xml:space="preserve">Hloubka vody </w:t>
      </w:r>
      <m:oMath>
        <m:r>
          <w:rPr>
            <w:rFonts w:ascii="Cambria Math" w:hAnsi="Cambria Math"/>
            <w:szCs w:val="20"/>
            <w:lang w:val="cs-CZ"/>
          </w:rPr>
          <m:t>h</m:t>
        </m:r>
      </m:oMath>
      <w:r w:rsidRPr="003B6E11">
        <w:rPr>
          <w:lang w:val="cs-CZ"/>
        </w:rPr>
        <w:t xml:space="preserve"> [m]: </w:t>
      </w:r>
      <w:r w:rsidRPr="003B6E11">
        <w:rPr>
          <w:lang w:val="cs-CZ"/>
        </w:rPr>
        <w:tab/>
      </w:r>
    </w:p>
    <w:p w:rsidR="003B6E11" w:rsidRPr="003B6E11" w:rsidRDefault="003B6E11" w:rsidP="003B6E11">
      <w:pPr>
        <w:tabs>
          <w:tab w:val="left" w:pos="284"/>
          <w:tab w:val="left" w:leader="dot" w:pos="4536"/>
          <w:tab w:val="left" w:pos="5103"/>
          <w:tab w:val="left" w:leader="dot" w:pos="9072"/>
        </w:tabs>
        <w:overflowPunct w:val="0"/>
        <w:adjustRightInd w:val="0"/>
        <w:textAlignment w:val="baseline"/>
        <w:rPr>
          <w:szCs w:val="20"/>
          <w:lang w:val="cs-CZ"/>
        </w:rPr>
      </w:pPr>
      <m:oMath>
        <m:r>
          <w:rPr>
            <w:rFonts w:ascii="Cambria Math" w:hAnsi="Cambria Math"/>
            <w:szCs w:val="20"/>
            <w:lang w:val="cs-CZ"/>
          </w:rPr>
          <m:t>T</m:t>
        </m:r>
      </m:oMath>
      <w:r w:rsidRPr="003B6E11">
        <w:rPr>
          <w:lang w:val="cs-CZ"/>
        </w:rPr>
        <w:t xml:space="preserve"> během zkoušky [m]: </w:t>
      </w:r>
      <w:r w:rsidRPr="003B6E11">
        <w:rPr>
          <w:lang w:val="cs-CZ"/>
        </w:rPr>
        <w:tab/>
      </w:r>
      <w:r w:rsidRPr="003B6E11">
        <w:rPr>
          <w:lang w:val="cs-CZ"/>
        </w:rPr>
        <w:tab/>
      </w:r>
      <m:oMath>
        <m:r>
          <w:rPr>
            <w:rFonts w:ascii="Cambria Math" w:hAnsi="Cambria Math"/>
            <w:szCs w:val="20"/>
            <w:lang w:val="cs-CZ"/>
          </w:rPr>
          <m:t>h/T</m:t>
        </m:r>
      </m:oMath>
      <w:r w:rsidRPr="003B6E11">
        <w:rPr>
          <w:lang w:val="cs-CZ"/>
        </w:rPr>
        <w:t xml:space="preserve"> : </w:t>
      </w:r>
      <w:r w:rsidRPr="003B6E11">
        <w:rPr>
          <w:lang w:val="cs-CZ"/>
        </w:rPr>
        <w:tab/>
      </w:r>
    </w:p>
    <w:p w:rsidR="003B6E11" w:rsidRPr="003B6E11" w:rsidRDefault="003B6E11" w:rsidP="003B6E11">
      <w:pPr>
        <w:tabs>
          <w:tab w:val="left" w:pos="5103"/>
          <w:tab w:val="left" w:leader="dot" w:pos="9072"/>
        </w:tabs>
        <w:overflowPunct w:val="0"/>
        <w:adjustRightInd w:val="0"/>
        <w:spacing w:before="120"/>
        <w:textAlignment w:val="baseline"/>
        <w:rPr>
          <w:szCs w:val="20"/>
          <w:lang w:val="cs-CZ"/>
        </w:rPr>
      </w:pPr>
      <w:r w:rsidRPr="003B6E11">
        <w:rPr>
          <w:lang w:val="cs-CZ"/>
        </w:rPr>
        <w:tab/>
        <w:t xml:space="preserve">Rychlost proudu [m/s]: </w:t>
      </w:r>
      <w:r w:rsidRPr="003B6E11">
        <w:rPr>
          <w:lang w:val="cs-CZ"/>
        </w:rPr>
        <w:tab/>
      </w:r>
    </w:p>
    <w:p w:rsidR="003B6E11" w:rsidRPr="003B6E11" w:rsidRDefault="003B6E11" w:rsidP="003B6E11">
      <w:pPr>
        <w:tabs>
          <w:tab w:val="left" w:pos="284"/>
          <w:tab w:val="left" w:leader="dot" w:pos="4536"/>
          <w:tab w:val="left" w:pos="5103"/>
          <w:tab w:val="left" w:leader="dot" w:pos="9072"/>
        </w:tabs>
        <w:overflowPunct w:val="0"/>
        <w:adjustRightInd w:val="0"/>
        <w:textAlignment w:val="baseline"/>
        <w:rPr>
          <w:szCs w:val="20"/>
          <w:lang w:val="cs-CZ"/>
        </w:rPr>
      </w:pPr>
    </w:p>
    <w:p w:rsidR="003B6E11" w:rsidRPr="003B6E11" w:rsidRDefault="003B6E11" w:rsidP="003B6E11">
      <w:pPr>
        <w:tabs>
          <w:tab w:val="left" w:pos="284"/>
          <w:tab w:val="left" w:pos="5103"/>
          <w:tab w:val="left" w:leader="dot" w:pos="9072"/>
        </w:tabs>
        <w:overflowPunct w:val="0"/>
        <w:adjustRightInd w:val="0"/>
        <w:textAlignment w:val="baseline"/>
        <w:rPr>
          <w:szCs w:val="20"/>
          <w:lang w:val="cs-CZ"/>
        </w:rPr>
      </w:pPr>
      <w:r w:rsidRPr="003B6E11">
        <w:rPr>
          <w:lang w:val="cs-CZ"/>
        </w:rPr>
        <w:t>Zatížení</w:t>
      </w:r>
      <w:r w:rsidRPr="003B6E11">
        <w:rPr>
          <w:lang w:val="cs-CZ"/>
        </w:rPr>
        <w:tab/>
        <w:t>% maximální</w:t>
      </w:r>
    </w:p>
    <w:p w:rsidR="003B6E11" w:rsidRPr="003B6E11" w:rsidRDefault="003B6E11" w:rsidP="003B6E11">
      <w:pPr>
        <w:tabs>
          <w:tab w:val="left" w:pos="284"/>
          <w:tab w:val="left" w:leader="dot" w:pos="4536"/>
          <w:tab w:val="left" w:pos="5103"/>
          <w:tab w:val="left" w:leader="dot" w:pos="9072"/>
        </w:tabs>
        <w:overflowPunct w:val="0"/>
        <w:adjustRightInd w:val="0"/>
        <w:textAlignment w:val="baseline"/>
        <w:rPr>
          <w:szCs w:val="20"/>
          <w:lang w:val="cs-CZ"/>
        </w:rPr>
      </w:pPr>
      <w:r w:rsidRPr="003B6E11">
        <w:rPr>
          <w:lang w:val="cs-CZ"/>
        </w:rPr>
        <w:t xml:space="preserve">(během zkoušky) [t]: </w:t>
      </w:r>
      <w:r w:rsidRPr="003B6E11">
        <w:rPr>
          <w:lang w:val="cs-CZ"/>
        </w:rPr>
        <w:tab/>
      </w:r>
      <w:r w:rsidRPr="003B6E11">
        <w:rPr>
          <w:lang w:val="cs-CZ"/>
        </w:rPr>
        <w:tab/>
        <w:t xml:space="preserve">nosnosti: </w:t>
      </w:r>
      <w:r w:rsidRPr="003B6E11">
        <w:rPr>
          <w:lang w:val="cs-CZ"/>
        </w:rPr>
        <w:tab/>
      </w:r>
    </w:p>
    <w:p w:rsidR="003B6E11" w:rsidRPr="003B6E11" w:rsidRDefault="003B6E11" w:rsidP="003B6E11">
      <w:pPr>
        <w:tabs>
          <w:tab w:val="left" w:pos="284"/>
          <w:tab w:val="left" w:leader="dot" w:pos="4536"/>
          <w:tab w:val="left" w:pos="5103"/>
          <w:tab w:val="left" w:leader="dot" w:pos="9072"/>
        </w:tabs>
        <w:overflowPunct w:val="0"/>
        <w:adjustRightInd w:val="0"/>
        <w:textAlignment w:val="baseline"/>
        <w:rPr>
          <w:szCs w:val="20"/>
          <w:lang w:val="cs-CZ"/>
        </w:rPr>
      </w:pPr>
    </w:p>
    <w:p w:rsidR="003B6E11" w:rsidRPr="003B6E11" w:rsidRDefault="003B6E11" w:rsidP="003B6E11">
      <w:pPr>
        <w:tabs>
          <w:tab w:val="left" w:pos="284"/>
          <w:tab w:val="left" w:leader="dot" w:pos="4536"/>
          <w:tab w:val="left" w:pos="5103"/>
          <w:tab w:val="left" w:leader="dot" w:pos="9072"/>
        </w:tabs>
        <w:overflowPunct w:val="0"/>
        <w:adjustRightInd w:val="0"/>
        <w:spacing w:after="80"/>
        <w:textAlignment w:val="baseline"/>
        <w:rPr>
          <w:szCs w:val="20"/>
          <w:lang w:val="cs-CZ"/>
        </w:rPr>
      </w:pPr>
      <w:r w:rsidRPr="003B6E11">
        <w:rPr>
          <w:lang w:val="cs-CZ"/>
        </w:rPr>
        <w:t>Ukazatel rychlosti otáčení</w:t>
      </w:r>
    </w:p>
    <w:p w:rsidR="003B6E11" w:rsidRPr="003B6E11" w:rsidRDefault="003B6E11" w:rsidP="003B6E11">
      <w:pPr>
        <w:tabs>
          <w:tab w:val="left" w:pos="284"/>
          <w:tab w:val="left" w:leader="dot" w:pos="9072"/>
        </w:tabs>
        <w:overflowPunct w:val="0"/>
        <w:adjustRightInd w:val="0"/>
        <w:textAlignment w:val="baseline"/>
        <w:rPr>
          <w:szCs w:val="20"/>
          <w:lang w:val="cs-CZ"/>
        </w:rPr>
      </w:pPr>
      <w:r w:rsidRPr="003B6E11">
        <w:rPr>
          <w:lang w:val="cs-CZ"/>
        </w:rPr>
        <w:t xml:space="preserve">Typ: </w:t>
      </w:r>
      <w:r w:rsidRPr="003B6E11">
        <w:rPr>
          <w:lang w:val="cs-CZ"/>
        </w:rPr>
        <w:tab/>
      </w:r>
    </w:p>
    <w:p w:rsidR="003B6E11" w:rsidRPr="003B6E11" w:rsidRDefault="003B6E11" w:rsidP="003B6E11">
      <w:pPr>
        <w:tabs>
          <w:tab w:val="left" w:pos="284"/>
          <w:tab w:val="left" w:leader="dot" w:pos="9072"/>
        </w:tabs>
        <w:overflowPunct w:val="0"/>
        <w:adjustRightInd w:val="0"/>
        <w:textAlignment w:val="baseline"/>
        <w:rPr>
          <w:szCs w:val="20"/>
          <w:lang w:val="cs-CZ"/>
        </w:rPr>
      </w:pPr>
    </w:p>
    <w:p w:rsidR="003B6E11" w:rsidRPr="003B6E11" w:rsidRDefault="003B6E11" w:rsidP="003B6E11">
      <w:pPr>
        <w:tabs>
          <w:tab w:val="left" w:pos="284"/>
          <w:tab w:val="left" w:leader="dot" w:pos="9072"/>
        </w:tabs>
        <w:overflowPunct w:val="0"/>
        <w:adjustRightInd w:val="0"/>
        <w:textAlignment w:val="baseline"/>
        <w:rPr>
          <w:szCs w:val="20"/>
          <w:lang w:val="cs-CZ"/>
        </w:rPr>
      </w:pPr>
      <w:r w:rsidRPr="003B6E11">
        <w:rPr>
          <w:lang w:val="cs-CZ"/>
        </w:rPr>
        <w:t xml:space="preserve">Typ konstrukce kormidla: běžná konstrukce / zvláštní konstrukce </w:t>
      </w:r>
      <w:r w:rsidRPr="003B6E11">
        <w:rPr>
          <w:vertAlign w:val="superscript"/>
          <w:lang w:val="cs-CZ"/>
        </w:rPr>
        <w:footnoteReference w:customMarkFollows="1" w:id="80"/>
        <w:t>*)</w:t>
      </w:r>
    </w:p>
    <w:p w:rsidR="003B6E11" w:rsidRPr="003B6E11" w:rsidRDefault="003B6E11" w:rsidP="003B6E11">
      <w:pPr>
        <w:tabs>
          <w:tab w:val="left" w:pos="284"/>
          <w:tab w:val="left" w:leader="dot" w:pos="9072"/>
        </w:tabs>
        <w:overflowPunct w:val="0"/>
        <w:adjustRightInd w:val="0"/>
        <w:textAlignment w:val="baseline"/>
        <w:rPr>
          <w:szCs w:val="20"/>
          <w:lang w:val="cs-CZ"/>
        </w:rPr>
      </w:pPr>
      <w:r w:rsidRPr="003B6E11">
        <w:rPr>
          <w:lang w:val="cs-CZ"/>
        </w:rPr>
        <w:t>Aktivní kormidelní zařízení: ano/ne *)</w:t>
      </w:r>
    </w:p>
    <w:p w:rsidR="003B6E11" w:rsidRPr="003B6E11" w:rsidRDefault="003B6E11" w:rsidP="003B6E11">
      <w:pPr>
        <w:tabs>
          <w:tab w:val="left" w:pos="284"/>
          <w:tab w:val="left" w:leader="dot" w:pos="9072"/>
        </w:tabs>
        <w:overflowPunct w:val="0"/>
        <w:adjustRightInd w:val="0"/>
        <w:textAlignment w:val="baseline"/>
        <w:rPr>
          <w:szCs w:val="20"/>
          <w:lang w:val="cs-CZ"/>
        </w:rPr>
      </w:pPr>
    </w:p>
    <w:p w:rsidR="003B6E11" w:rsidRPr="003B6E11" w:rsidRDefault="003B6E11" w:rsidP="003B6E11">
      <w:pPr>
        <w:tabs>
          <w:tab w:val="left" w:pos="284"/>
          <w:tab w:val="left" w:leader="dot" w:pos="9072"/>
        </w:tabs>
        <w:overflowPunct w:val="0"/>
        <w:adjustRightInd w:val="0"/>
        <w:textAlignment w:val="baseline"/>
        <w:rPr>
          <w:szCs w:val="20"/>
          <w:lang w:val="cs-CZ"/>
        </w:rPr>
      </w:pPr>
      <w:r w:rsidRPr="003B6E11">
        <w:rPr>
          <w:lang w:val="cs-CZ"/>
        </w:rPr>
        <w:t>Výsledky vyhýbacích manévrů:</w:t>
      </w:r>
    </w:p>
    <w:p w:rsidR="003B6E11" w:rsidRPr="003B6E11" w:rsidRDefault="003B6E11" w:rsidP="003B6E11">
      <w:pPr>
        <w:tabs>
          <w:tab w:val="left" w:pos="284"/>
          <w:tab w:val="left" w:leader="dot" w:pos="4536"/>
          <w:tab w:val="left" w:pos="5103"/>
          <w:tab w:val="left" w:leader="dot" w:pos="9072"/>
        </w:tabs>
        <w:overflowPunct w:val="0"/>
        <w:adjustRightInd w:val="0"/>
        <w:textAlignment w:val="baseline"/>
        <w:rPr>
          <w:szCs w:val="20"/>
          <w:lang w:val="cs-CZ"/>
        </w:rPr>
      </w:pPr>
    </w:p>
    <w:tbl>
      <w:tblPr>
        <w:tblW w:w="0" w:type="auto"/>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18"/>
        <w:gridCol w:w="1417"/>
        <w:gridCol w:w="1417"/>
        <w:gridCol w:w="1417"/>
        <w:gridCol w:w="1419"/>
        <w:gridCol w:w="2268"/>
      </w:tblGrid>
      <w:tr w:rsidR="003B6E11" w:rsidRPr="003B6E11" w:rsidTr="002D015D">
        <w:tc>
          <w:tcPr>
            <w:tcW w:w="1418" w:type="dxa"/>
            <w:tcBorders>
              <w:top w:val="single" w:sz="6" w:space="0" w:color="auto"/>
              <w:left w:val="single" w:sz="6" w:space="0" w:color="auto"/>
              <w:bottom w:val="nil"/>
            </w:tcBorders>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r w:rsidRPr="003B6E11">
              <w:rPr>
                <w:sz w:val="18"/>
                <w:lang w:val="cs-CZ"/>
              </w:rPr>
              <w:t xml:space="preserve">Čas </w:t>
            </w: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1</m:t>
                  </m:r>
                </m:sub>
              </m:sSub>
            </m:oMath>
            <w:r w:rsidRPr="003B6E11">
              <w:rPr>
                <w:sz w:val="18"/>
                <w:lang w:val="cs-CZ"/>
              </w:rPr>
              <w:t xml:space="preserve"> až t</w:t>
            </w:r>
            <w:r w:rsidRPr="003B6E11">
              <w:rPr>
                <w:sz w:val="18"/>
                <w:vertAlign w:val="subscript"/>
                <w:lang w:val="cs-CZ"/>
              </w:rPr>
              <w:t>4</w:t>
            </w:r>
            <w:r w:rsidRPr="003B6E11">
              <w:rPr>
                <w:sz w:val="18"/>
                <w:lang w:val="cs-CZ"/>
              </w:rPr>
              <w:t xml:space="preserve"> požadovaný </w:t>
            </w:r>
          </w:p>
        </w:tc>
        <w:tc>
          <w:tcPr>
            <w:tcW w:w="5670" w:type="dxa"/>
            <w:gridSpan w:val="4"/>
            <w:tcBorders>
              <w:top w:val="single" w:sz="6" w:space="0" w:color="auto"/>
            </w:tcBorders>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r w:rsidRPr="003B6E11">
              <w:rPr>
                <w:sz w:val="18"/>
                <w:lang w:val="cs-CZ"/>
              </w:rPr>
              <w:t xml:space="preserve">Úhel kormidla </w:t>
            </w:r>
            <w:r w:rsidRPr="003B6E11">
              <w:rPr>
                <w:sz w:val="18"/>
                <w:szCs w:val="20"/>
                <w:lang w:val="cs-CZ"/>
              </w:rPr>
              <w:sym w:font="Symbol" w:char="F064"/>
            </w:r>
            <w:r w:rsidRPr="003B6E11">
              <w:rPr>
                <w:sz w:val="18"/>
                <w:lang w:val="cs-CZ"/>
              </w:rPr>
              <w:t xml:space="preserve"> nebo </w:t>
            </w:r>
            <m:oMath>
              <m:sSub>
                <m:sSubPr>
                  <m:ctrlPr>
                    <w:rPr>
                      <w:rFonts w:ascii="Cambria Math" w:hAnsi="Cambria Math"/>
                      <w:i/>
                      <w:sz w:val="18"/>
                      <w:szCs w:val="20"/>
                      <w:lang w:val="cs-CZ"/>
                    </w:rPr>
                  </m:ctrlPr>
                </m:sSubPr>
                <m:e>
                  <m:r>
                    <w:rPr>
                      <w:rFonts w:ascii="Cambria Math" w:hAnsi="Cambria Math"/>
                      <w:sz w:val="18"/>
                      <w:szCs w:val="20"/>
                      <w:lang w:val="cs-CZ"/>
                    </w:rPr>
                    <m:t>δ</m:t>
                  </m:r>
                </m:e>
                <m:sub>
                  <m:r>
                    <w:rPr>
                      <w:rFonts w:ascii="Cambria Math" w:hAnsi="Cambria Math"/>
                      <w:sz w:val="18"/>
                      <w:szCs w:val="20"/>
                      <w:lang w:val="cs-CZ"/>
                    </w:rPr>
                    <m:t>a</m:t>
                  </m:r>
                </m:sub>
              </m:sSub>
            </m:oMath>
            <w:r w:rsidRPr="003B6E11">
              <w:rPr>
                <w:sz w:val="18"/>
                <w:lang w:val="cs-CZ"/>
              </w:rPr>
              <w:t xml:space="preserve"> *), při kterém je vyhýbací manévr zahájen </w:t>
            </w:r>
            <m:oMath>
              <m:sSub>
                <m:sSubPr>
                  <m:ctrlPr>
                    <w:rPr>
                      <w:rFonts w:ascii="Cambria Math" w:hAnsi="Cambria Math"/>
                      <w:i/>
                      <w:sz w:val="18"/>
                      <w:szCs w:val="20"/>
                      <w:lang w:val="cs-CZ"/>
                    </w:rPr>
                  </m:ctrlPr>
                </m:sSubPr>
                <m:e>
                  <m:r>
                    <w:rPr>
                      <w:rFonts w:ascii="Cambria Math" w:hAnsi="Cambria Math"/>
                      <w:sz w:val="18"/>
                      <w:szCs w:val="20"/>
                      <w:lang w:val="cs-CZ"/>
                    </w:rPr>
                    <m:t>r</m:t>
                  </m:r>
                </m:e>
                <m:sub>
                  <m:r>
                    <w:rPr>
                      <w:rFonts w:ascii="Cambria Math" w:hAnsi="Cambria Math"/>
                      <w:sz w:val="18"/>
                      <w:szCs w:val="20"/>
                      <w:lang w:val="cs-CZ"/>
                    </w:rPr>
                    <m:t>1</m:t>
                  </m:r>
                </m:sub>
              </m:sSub>
            </m:oMath>
            <w:r w:rsidRPr="003B6E11">
              <w:rPr>
                <w:sz w:val="18"/>
                <w:lang w:val="cs-CZ"/>
              </w:rPr>
              <w:t xml:space="preserve"> = </w:t>
            </w:r>
            <m:oMath>
              <m:sSub>
                <m:sSubPr>
                  <m:ctrlPr>
                    <w:rPr>
                      <w:rFonts w:ascii="Cambria Math" w:hAnsi="Cambria Math"/>
                      <w:i/>
                      <w:sz w:val="18"/>
                      <w:szCs w:val="20"/>
                      <w:lang w:val="cs-CZ"/>
                    </w:rPr>
                  </m:ctrlPr>
                </m:sSubPr>
                <m:e>
                  <m:r>
                    <w:rPr>
                      <w:rFonts w:ascii="Cambria Math" w:hAnsi="Cambria Math"/>
                      <w:sz w:val="18"/>
                      <w:szCs w:val="20"/>
                      <w:lang w:val="cs-CZ"/>
                    </w:rPr>
                    <m:t>r</m:t>
                  </m:r>
                </m:e>
                <m:sub>
                  <m:r>
                    <w:rPr>
                      <w:rFonts w:ascii="Cambria Math" w:hAnsi="Cambria Math"/>
                      <w:sz w:val="18"/>
                      <w:szCs w:val="20"/>
                      <w:lang w:val="cs-CZ"/>
                    </w:rPr>
                    <m:t>3</m:t>
                  </m:r>
                </m:sub>
              </m:sSub>
            </m:oMath>
          </w:p>
        </w:tc>
        <w:tc>
          <w:tcPr>
            <w:tcW w:w="2268" w:type="dxa"/>
            <w:tcBorders>
              <w:top w:val="single" w:sz="6" w:space="0" w:color="auto"/>
              <w:bottom w:val="nil"/>
              <w:right w:val="single" w:sz="6" w:space="0" w:color="auto"/>
            </w:tcBorders>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r w:rsidRPr="003B6E11">
              <w:rPr>
                <w:sz w:val="18"/>
                <w:lang w:val="cs-CZ"/>
              </w:rPr>
              <w:t>Poznámky</w:t>
            </w:r>
          </w:p>
        </w:tc>
      </w:tr>
      <w:tr w:rsidR="003B6E11" w:rsidRPr="003B6E11" w:rsidTr="002D015D">
        <w:tc>
          <w:tcPr>
            <w:tcW w:w="1418" w:type="dxa"/>
            <w:tcBorders>
              <w:top w:val="nil"/>
              <w:left w:val="single" w:sz="6" w:space="0" w:color="auto"/>
              <w:bottom w:val="nil"/>
            </w:tcBorders>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r w:rsidRPr="003B6E11">
              <w:rPr>
                <w:sz w:val="18"/>
                <w:lang w:val="cs-CZ"/>
              </w:rPr>
              <w:t>pro vyhýbací manévr</w:t>
            </w:r>
          </w:p>
        </w:tc>
        <w:tc>
          <w:tcPr>
            <w:tcW w:w="1417" w:type="dxa"/>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m:oMath>
              <m:r>
                <w:rPr>
                  <w:rFonts w:ascii="Cambria Math" w:hAnsi="Cambria Math"/>
                  <w:i/>
                  <w:sz w:val="18"/>
                  <w:szCs w:val="20"/>
                  <w:lang w:val="cs-CZ"/>
                </w:rPr>
                <w:sym w:font="Symbol" w:char="F064"/>
              </m:r>
            </m:oMath>
            <w:r w:rsidRPr="003B6E11">
              <w:rPr>
                <w:sz w:val="18"/>
                <w:lang w:val="cs-CZ"/>
              </w:rPr>
              <w:t xml:space="preserve"> = 20° TB*)</w:t>
            </w:r>
            <w:r w:rsidRPr="003B6E11">
              <w:rPr>
                <w:sz w:val="18"/>
                <w:szCs w:val="20"/>
                <w:lang w:val="cs-CZ"/>
              </w:rPr>
              <w:br/>
            </w:r>
            <m:oMath>
              <m:sSub>
                <m:sSubPr>
                  <m:ctrlPr>
                    <w:rPr>
                      <w:rFonts w:ascii="Cambria Math" w:hAnsi="Cambria Math"/>
                      <w:i/>
                      <w:sz w:val="18"/>
                      <w:szCs w:val="20"/>
                      <w:lang w:val="cs-CZ"/>
                    </w:rPr>
                  </m:ctrlPr>
                </m:sSubPr>
                <m:e>
                  <m:r>
                    <w:rPr>
                      <w:rFonts w:ascii="Cambria Math" w:hAnsi="Cambria Math"/>
                      <w:sz w:val="18"/>
                      <w:szCs w:val="20"/>
                      <w:lang w:val="cs-CZ"/>
                    </w:rPr>
                    <m:t>δ</m:t>
                  </m:r>
                </m:e>
                <m:sub>
                  <m:r>
                    <w:rPr>
                      <w:rFonts w:ascii="Cambria Math" w:hAnsi="Cambria Math"/>
                      <w:sz w:val="18"/>
                      <w:szCs w:val="20"/>
                      <w:lang w:val="cs-CZ"/>
                    </w:rPr>
                    <m:t>a</m:t>
                  </m:r>
                </m:sub>
              </m:sSub>
            </m:oMath>
            <w:r w:rsidRPr="003B6E11">
              <w:rPr>
                <w:sz w:val="18"/>
                <w:lang w:val="cs-CZ"/>
              </w:rPr>
              <w:t xml:space="preserve"> = .... TB*)</w:t>
            </w:r>
          </w:p>
        </w:tc>
        <w:tc>
          <w:tcPr>
            <w:tcW w:w="1417" w:type="dxa"/>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m:oMath>
              <m:r>
                <w:rPr>
                  <w:rFonts w:ascii="Cambria Math" w:hAnsi="Cambria Math"/>
                  <w:i/>
                  <w:sz w:val="18"/>
                  <w:szCs w:val="20"/>
                  <w:lang w:val="cs-CZ"/>
                </w:rPr>
                <w:sym w:font="Symbol" w:char="F064"/>
              </m:r>
            </m:oMath>
            <w:r w:rsidRPr="003B6E11">
              <w:rPr>
                <w:sz w:val="18"/>
                <w:lang w:val="cs-CZ"/>
              </w:rPr>
              <w:t xml:space="preserve"> = 20° BB*)</w:t>
            </w:r>
            <w:r w:rsidRPr="003B6E11">
              <w:rPr>
                <w:sz w:val="18"/>
                <w:szCs w:val="20"/>
                <w:lang w:val="cs-CZ"/>
              </w:rPr>
              <w:br/>
            </w:r>
            <m:oMath>
              <m:sSub>
                <m:sSubPr>
                  <m:ctrlPr>
                    <w:rPr>
                      <w:rFonts w:ascii="Cambria Math" w:hAnsi="Cambria Math"/>
                      <w:i/>
                      <w:sz w:val="18"/>
                      <w:szCs w:val="20"/>
                      <w:lang w:val="cs-CZ"/>
                    </w:rPr>
                  </m:ctrlPr>
                </m:sSubPr>
                <m:e>
                  <m:r>
                    <w:rPr>
                      <w:rFonts w:ascii="Cambria Math" w:hAnsi="Cambria Math"/>
                      <w:sz w:val="18"/>
                      <w:szCs w:val="20"/>
                      <w:lang w:val="cs-CZ"/>
                    </w:rPr>
                    <m:t>δ</m:t>
                  </m:r>
                </m:e>
                <m:sub>
                  <m:r>
                    <w:rPr>
                      <w:rFonts w:ascii="Cambria Math" w:hAnsi="Cambria Math"/>
                      <w:sz w:val="18"/>
                      <w:szCs w:val="20"/>
                      <w:lang w:val="cs-CZ"/>
                    </w:rPr>
                    <m:t>a</m:t>
                  </m:r>
                </m:sub>
              </m:sSub>
            </m:oMath>
            <w:r w:rsidRPr="003B6E11">
              <w:rPr>
                <w:sz w:val="18"/>
                <w:lang w:val="cs-CZ"/>
              </w:rPr>
              <w:t xml:space="preserve"> = .... BB*)</w:t>
            </w:r>
          </w:p>
        </w:tc>
        <w:tc>
          <w:tcPr>
            <w:tcW w:w="1417" w:type="dxa"/>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m:oMath>
              <m:r>
                <w:rPr>
                  <w:rFonts w:ascii="Cambria Math" w:hAnsi="Cambria Math"/>
                  <w:i/>
                  <w:sz w:val="18"/>
                  <w:szCs w:val="20"/>
                  <w:lang w:val="cs-CZ"/>
                </w:rPr>
                <w:sym w:font="Symbol" w:char="F064"/>
              </m:r>
            </m:oMath>
            <w:r w:rsidRPr="003B6E11">
              <w:rPr>
                <w:sz w:val="18"/>
                <w:lang w:val="cs-CZ"/>
              </w:rPr>
              <w:t xml:space="preserve"> = 45° TB*)</w:t>
            </w:r>
            <w:r w:rsidRPr="003B6E11">
              <w:rPr>
                <w:sz w:val="18"/>
                <w:szCs w:val="20"/>
                <w:lang w:val="cs-CZ"/>
              </w:rPr>
              <w:br/>
            </w:r>
            <m:oMath>
              <m:sSub>
                <m:sSubPr>
                  <m:ctrlPr>
                    <w:rPr>
                      <w:rFonts w:ascii="Cambria Math" w:hAnsi="Cambria Math"/>
                      <w:i/>
                      <w:sz w:val="18"/>
                      <w:szCs w:val="20"/>
                      <w:lang w:val="cs-CZ"/>
                    </w:rPr>
                  </m:ctrlPr>
                </m:sSubPr>
                <m:e>
                  <m:r>
                    <w:rPr>
                      <w:rFonts w:ascii="Cambria Math" w:hAnsi="Cambria Math"/>
                      <w:sz w:val="18"/>
                      <w:szCs w:val="20"/>
                      <w:lang w:val="cs-CZ"/>
                    </w:rPr>
                    <m:t>δ</m:t>
                  </m:r>
                </m:e>
                <m:sub>
                  <m:r>
                    <w:rPr>
                      <w:rFonts w:ascii="Cambria Math" w:hAnsi="Cambria Math"/>
                      <w:sz w:val="18"/>
                      <w:szCs w:val="20"/>
                      <w:lang w:val="cs-CZ"/>
                    </w:rPr>
                    <m:t>a</m:t>
                  </m:r>
                </m:sub>
              </m:sSub>
            </m:oMath>
            <w:r w:rsidRPr="003B6E11">
              <w:rPr>
                <w:sz w:val="18"/>
                <w:lang w:val="cs-CZ"/>
              </w:rPr>
              <w:t xml:space="preserve"> = ..... TB*)</w:t>
            </w:r>
          </w:p>
        </w:tc>
        <w:tc>
          <w:tcPr>
            <w:tcW w:w="1417" w:type="dxa"/>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m:oMath>
              <m:r>
                <w:rPr>
                  <w:rFonts w:ascii="Cambria Math" w:hAnsi="Cambria Math"/>
                  <w:i/>
                  <w:sz w:val="18"/>
                  <w:szCs w:val="20"/>
                  <w:lang w:val="cs-CZ"/>
                </w:rPr>
                <w:sym w:font="Symbol" w:char="F064"/>
              </m:r>
            </m:oMath>
            <w:r w:rsidRPr="003B6E11">
              <w:rPr>
                <w:sz w:val="18"/>
                <w:lang w:val="cs-CZ"/>
              </w:rPr>
              <w:t xml:space="preserve"> = 45° BB*)</w:t>
            </w:r>
            <w:r w:rsidRPr="003B6E11">
              <w:rPr>
                <w:sz w:val="18"/>
                <w:szCs w:val="20"/>
                <w:lang w:val="cs-CZ"/>
              </w:rPr>
              <w:br/>
            </w:r>
            <m:oMath>
              <m:sSub>
                <m:sSubPr>
                  <m:ctrlPr>
                    <w:rPr>
                      <w:rFonts w:ascii="Cambria Math" w:hAnsi="Cambria Math"/>
                      <w:i/>
                      <w:sz w:val="18"/>
                      <w:szCs w:val="20"/>
                      <w:lang w:val="cs-CZ"/>
                    </w:rPr>
                  </m:ctrlPr>
                </m:sSubPr>
                <m:e>
                  <m:r>
                    <w:rPr>
                      <w:rFonts w:ascii="Cambria Math" w:hAnsi="Cambria Math"/>
                      <w:sz w:val="18"/>
                      <w:szCs w:val="20"/>
                      <w:lang w:val="cs-CZ"/>
                    </w:rPr>
                    <m:t>δ</m:t>
                  </m:r>
                </m:e>
                <m:sub>
                  <m:r>
                    <w:rPr>
                      <w:rFonts w:ascii="Cambria Math" w:hAnsi="Cambria Math"/>
                      <w:sz w:val="18"/>
                      <w:szCs w:val="20"/>
                      <w:lang w:val="cs-CZ"/>
                    </w:rPr>
                    <m:t>a</m:t>
                  </m:r>
                </m:sub>
              </m:sSub>
            </m:oMath>
            <w:r w:rsidRPr="003B6E11">
              <w:rPr>
                <w:sz w:val="18"/>
                <w:lang w:val="cs-CZ"/>
              </w:rPr>
              <w:t xml:space="preserve"> = .... BB*)</w:t>
            </w:r>
          </w:p>
        </w:tc>
        <w:tc>
          <w:tcPr>
            <w:tcW w:w="2268" w:type="dxa"/>
            <w:tcBorders>
              <w:top w:val="nil"/>
              <w:bottom w:val="single" w:sz="6" w:space="0" w:color="auto"/>
              <w:right w:val="single" w:sz="6" w:space="0" w:color="auto"/>
            </w:tcBorders>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p>
        </w:tc>
      </w:tr>
      <w:tr w:rsidR="003B6E11" w:rsidRPr="003B6E11" w:rsidTr="002D015D">
        <w:tc>
          <w:tcPr>
            <w:tcW w:w="1418" w:type="dxa"/>
            <w:tcBorders>
              <w:top w:val="nil"/>
              <w:left w:val="single" w:sz="6" w:space="0" w:color="auto"/>
              <w:bottom w:val="single" w:sz="6" w:space="0" w:color="auto"/>
            </w:tcBorders>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p>
        </w:tc>
        <w:tc>
          <w:tcPr>
            <w:tcW w:w="2834" w:type="dxa"/>
            <w:gridSpan w:val="2"/>
            <w:vAlign w:val="center"/>
          </w:tcPr>
          <w:p w:rsidR="003B6E11" w:rsidRPr="003B6E11" w:rsidRDefault="002D015D" w:rsidP="002D015D">
            <w:pPr>
              <w:tabs>
                <w:tab w:val="left" w:pos="284"/>
                <w:tab w:val="left" w:pos="709"/>
                <w:tab w:val="left" w:pos="993"/>
              </w:tabs>
              <w:overflowPunct w:val="0"/>
              <w:adjustRightInd w:val="0"/>
              <w:spacing w:before="40" w:after="40"/>
              <w:jc w:val="center"/>
              <w:textAlignment w:val="baseline"/>
              <w:rPr>
                <w:sz w:val="18"/>
                <w:szCs w:val="20"/>
                <w:lang w:val="cs-CZ"/>
              </w:rPr>
            </w:pPr>
            <m:oMath>
              <m:sSub>
                <m:sSubPr>
                  <m:ctrlPr>
                    <w:rPr>
                      <w:rFonts w:ascii="Cambria Math" w:hAnsi="Cambria Math"/>
                      <w:i/>
                      <w:sz w:val="18"/>
                      <w:szCs w:val="20"/>
                      <w:lang w:val="cs-CZ"/>
                    </w:rPr>
                  </m:ctrlPr>
                </m:sSubPr>
                <m:e>
                  <m:r>
                    <w:rPr>
                      <w:rFonts w:ascii="Cambria Math" w:hAnsi="Cambria Math"/>
                      <w:sz w:val="18"/>
                      <w:szCs w:val="20"/>
                      <w:lang w:val="cs-CZ"/>
                    </w:rPr>
                    <m:t>r</m:t>
                  </m:r>
                </m:e>
                <m:sub>
                  <m:r>
                    <w:rPr>
                      <w:rFonts w:ascii="Cambria Math" w:hAnsi="Cambria Math"/>
                      <w:sz w:val="18"/>
                      <w:szCs w:val="20"/>
                      <w:lang w:val="cs-CZ"/>
                    </w:rPr>
                    <m:t>1</m:t>
                  </m:r>
                </m:sub>
              </m:sSub>
            </m:oMath>
            <w:r w:rsidR="003B6E11" w:rsidRPr="003B6E11">
              <w:rPr>
                <w:sz w:val="18"/>
                <w:lang w:val="cs-CZ"/>
              </w:rPr>
              <w:t xml:space="preserve"> = </w:t>
            </w:r>
            <m:oMath>
              <m:sSub>
                <m:sSubPr>
                  <m:ctrlPr>
                    <w:rPr>
                      <w:rFonts w:ascii="Cambria Math" w:hAnsi="Cambria Math"/>
                      <w:i/>
                      <w:sz w:val="18"/>
                      <w:szCs w:val="20"/>
                      <w:lang w:val="cs-CZ"/>
                    </w:rPr>
                  </m:ctrlPr>
                </m:sSubPr>
                <m:e>
                  <m:r>
                    <w:rPr>
                      <w:rFonts w:ascii="Cambria Math" w:hAnsi="Cambria Math"/>
                      <w:sz w:val="18"/>
                      <w:szCs w:val="20"/>
                      <w:lang w:val="cs-CZ"/>
                    </w:rPr>
                    <m:t>r</m:t>
                  </m:r>
                </m:e>
                <m:sub>
                  <m:r>
                    <w:rPr>
                      <w:rFonts w:ascii="Cambria Math" w:hAnsi="Cambria Math"/>
                      <w:sz w:val="18"/>
                      <w:szCs w:val="20"/>
                      <w:lang w:val="cs-CZ"/>
                    </w:rPr>
                    <m:t>3</m:t>
                  </m:r>
                </m:sub>
              </m:sSub>
            </m:oMath>
            <w:r w:rsidR="003B6E11" w:rsidRPr="003B6E11">
              <w:rPr>
                <w:sz w:val="18"/>
                <w:lang w:val="cs-CZ"/>
              </w:rPr>
              <w:t xml:space="preserve"> = ........ °/min</w:t>
            </w:r>
          </w:p>
        </w:tc>
        <w:tc>
          <w:tcPr>
            <w:tcW w:w="2834" w:type="dxa"/>
            <w:gridSpan w:val="2"/>
            <w:vAlign w:val="center"/>
          </w:tcPr>
          <w:p w:rsidR="003B6E11" w:rsidRPr="003B6E11" w:rsidRDefault="002D015D" w:rsidP="002D015D">
            <w:pPr>
              <w:tabs>
                <w:tab w:val="left" w:pos="284"/>
                <w:tab w:val="left" w:pos="709"/>
                <w:tab w:val="left" w:pos="993"/>
              </w:tabs>
              <w:overflowPunct w:val="0"/>
              <w:adjustRightInd w:val="0"/>
              <w:spacing w:before="40" w:after="40"/>
              <w:jc w:val="center"/>
              <w:textAlignment w:val="baseline"/>
              <w:rPr>
                <w:sz w:val="18"/>
                <w:szCs w:val="20"/>
                <w:lang w:val="cs-CZ"/>
              </w:rPr>
            </w:pPr>
            <m:oMath>
              <m:sSub>
                <m:sSubPr>
                  <m:ctrlPr>
                    <w:rPr>
                      <w:rFonts w:ascii="Cambria Math" w:hAnsi="Cambria Math"/>
                      <w:i/>
                      <w:sz w:val="18"/>
                      <w:szCs w:val="20"/>
                      <w:lang w:val="cs-CZ"/>
                    </w:rPr>
                  </m:ctrlPr>
                </m:sSubPr>
                <m:e>
                  <m:r>
                    <w:rPr>
                      <w:rFonts w:ascii="Cambria Math" w:hAnsi="Cambria Math"/>
                      <w:sz w:val="18"/>
                      <w:szCs w:val="20"/>
                      <w:lang w:val="cs-CZ"/>
                    </w:rPr>
                    <m:t>r</m:t>
                  </m:r>
                </m:e>
                <m:sub>
                  <m:r>
                    <w:rPr>
                      <w:rFonts w:ascii="Cambria Math" w:hAnsi="Cambria Math"/>
                      <w:sz w:val="18"/>
                      <w:szCs w:val="20"/>
                      <w:lang w:val="cs-CZ"/>
                    </w:rPr>
                    <m:t>1</m:t>
                  </m:r>
                </m:sub>
              </m:sSub>
            </m:oMath>
            <w:r w:rsidR="003B6E11" w:rsidRPr="003B6E11">
              <w:rPr>
                <w:sz w:val="16"/>
                <w:lang w:val="cs-CZ"/>
              </w:rPr>
              <w:t xml:space="preserve"> </w:t>
            </w:r>
            <w:r w:rsidR="003B6E11" w:rsidRPr="003B6E11">
              <w:rPr>
                <w:sz w:val="18"/>
                <w:lang w:val="cs-CZ"/>
              </w:rPr>
              <w:t xml:space="preserve">= </w:t>
            </w:r>
            <m:oMath>
              <m:sSub>
                <m:sSubPr>
                  <m:ctrlPr>
                    <w:rPr>
                      <w:rFonts w:ascii="Cambria Math" w:hAnsi="Cambria Math"/>
                      <w:i/>
                      <w:sz w:val="18"/>
                      <w:szCs w:val="20"/>
                      <w:lang w:val="cs-CZ"/>
                    </w:rPr>
                  </m:ctrlPr>
                </m:sSubPr>
                <m:e>
                  <m:r>
                    <w:rPr>
                      <w:rFonts w:ascii="Cambria Math" w:hAnsi="Cambria Math"/>
                      <w:sz w:val="18"/>
                      <w:szCs w:val="20"/>
                      <w:lang w:val="cs-CZ"/>
                    </w:rPr>
                    <m:t>r</m:t>
                  </m:r>
                </m:e>
                <m:sub>
                  <m:r>
                    <w:rPr>
                      <w:rFonts w:ascii="Cambria Math" w:hAnsi="Cambria Math"/>
                      <w:sz w:val="18"/>
                      <w:szCs w:val="20"/>
                      <w:lang w:val="cs-CZ"/>
                    </w:rPr>
                    <m:t>3</m:t>
                  </m:r>
                </m:sub>
              </m:sSub>
            </m:oMath>
            <w:r w:rsidR="003B6E11" w:rsidRPr="003B6E11">
              <w:rPr>
                <w:sz w:val="18"/>
                <w:lang w:val="cs-CZ"/>
              </w:rPr>
              <w:t xml:space="preserve"> = ........ °/min</w:t>
            </w:r>
          </w:p>
        </w:tc>
        <w:tc>
          <w:tcPr>
            <w:tcW w:w="2268" w:type="dxa"/>
            <w:tcBorders>
              <w:top w:val="nil"/>
              <w:bottom w:val="single" w:sz="6" w:space="0" w:color="auto"/>
              <w:right w:val="single" w:sz="6" w:space="0" w:color="auto"/>
            </w:tcBorders>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p>
        </w:tc>
      </w:tr>
      <w:tr w:rsidR="003B6E11" w:rsidRPr="003B6E11" w:rsidTr="002D015D">
        <w:tc>
          <w:tcPr>
            <w:tcW w:w="1418" w:type="dxa"/>
            <w:tcBorders>
              <w:top w:val="nil"/>
              <w:left w:val="single" w:sz="6" w:space="0" w:color="auto"/>
            </w:tcBorders>
            <w:vAlign w:val="center"/>
          </w:tcPr>
          <w:p w:rsidR="003B6E11" w:rsidRPr="003B6E11" w:rsidRDefault="002D015D" w:rsidP="002D015D">
            <w:pPr>
              <w:tabs>
                <w:tab w:val="left" w:pos="284"/>
                <w:tab w:val="left" w:pos="709"/>
                <w:tab w:val="left" w:pos="993"/>
              </w:tabs>
              <w:overflowPunct w:val="0"/>
              <w:adjustRightInd w:val="0"/>
              <w:spacing w:before="40" w:after="40"/>
              <w:jc w:val="center"/>
              <w:textAlignment w:val="baseline"/>
              <w:rPr>
                <w:sz w:val="18"/>
                <w:szCs w:val="20"/>
                <w:lang w:val="cs-CZ"/>
              </w:rPr>
            </w:pP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1</m:t>
                  </m:r>
                </m:sub>
              </m:sSub>
            </m:oMath>
            <w:r w:rsidR="003B6E11" w:rsidRPr="003B6E11">
              <w:rPr>
                <w:sz w:val="18"/>
                <w:lang w:val="cs-CZ"/>
              </w:rPr>
              <w:t xml:space="preserve"> [s]</w:t>
            </w:r>
          </w:p>
        </w:tc>
        <w:tc>
          <w:tcPr>
            <w:tcW w:w="1417" w:type="dxa"/>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p>
        </w:tc>
        <w:tc>
          <w:tcPr>
            <w:tcW w:w="1417" w:type="dxa"/>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p>
        </w:tc>
        <w:tc>
          <w:tcPr>
            <w:tcW w:w="1417" w:type="dxa"/>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p>
        </w:tc>
        <w:tc>
          <w:tcPr>
            <w:tcW w:w="1417" w:type="dxa"/>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p>
        </w:tc>
        <w:tc>
          <w:tcPr>
            <w:tcW w:w="2268" w:type="dxa"/>
            <w:tcBorders>
              <w:top w:val="nil"/>
              <w:right w:val="single" w:sz="6" w:space="0" w:color="auto"/>
            </w:tcBorders>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p>
        </w:tc>
      </w:tr>
      <w:tr w:rsidR="003B6E11" w:rsidRPr="003B6E11" w:rsidTr="002D015D">
        <w:tc>
          <w:tcPr>
            <w:tcW w:w="1418" w:type="dxa"/>
            <w:tcBorders>
              <w:left w:val="single" w:sz="6" w:space="0" w:color="auto"/>
            </w:tcBorders>
            <w:vAlign w:val="center"/>
          </w:tcPr>
          <w:p w:rsidR="003B6E11" w:rsidRPr="003B6E11" w:rsidRDefault="002D015D" w:rsidP="002D015D">
            <w:pPr>
              <w:tabs>
                <w:tab w:val="left" w:pos="284"/>
                <w:tab w:val="left" w:pos="709"/>
                <w:tab w:val="left" w:pos="993"/>
              </w:tabs>
              <w:overflowPunct w:val="0"/>
              <w:adjustRightInd w:val="0"/>
              <w:spacing w:before="40" w:after="40"/>
              <w:jc w:val="center"/>
              <w:textAlignment w:val="baseline"/>
              <w:rPr>
                <w:sz w:val="18"/>
                <w:szCs w:val="20"/>
                <w:lang w:val="cs-CZ"/>
              </w:rPr>
            </w:pP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2</m:t>
                  </m:r>
                </m:sub>
              </m:sSub>
            </m:oMath>
            <w:r w:rsidR="003B6E11" w:rsidRPr="003B6E11">
              <w:rPr>
                <w:sz w:val="18"/>
                <w:lang w:val="cs-CZ"/>
              </w:rPr>
              <w:t xml:space="preserve"> [s]</w:t>
            </w:r>
          </w:p>
        </w:tc>
        <w:tc>
          <w:tcPr>
            <w:tcW w:w="1417" w:type="dxa"/>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p>
        </w:tc>
        <w:tc>
          <w:tcPr>
            <w:tcW w:w="1417" w:type="dxa"/>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p>
        </w:tc>
        <w:tc>
          <w:tcPr>
            <w:tcW w:w="1417" w:type="dxa"/>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p>
        </w:tc>
        <w:tc>
          <w:tcPr>
            <w:tcW w:w="1417" w:type="dxa"/>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p>
        </w:tc>
        <w:tc>
          <w:tcPr>
            <w:tcW w:w="2268" w:type="dxa"/>
            <w:tcBorders>
              <w:right w:val="single" w:sz="6" w:space="0" w:color="auto"/>
            </w:tcBorders>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p>
        </w:tc>
      </w:tr>
      <w:tr w:rsidR="003B6E11" w:rsidRPr="003B6E11" w:rsidTr="002D015D">
        <w:tc>
          <w:tcPr>
            <w:tcW w:w="1418" w:type="dxa"/>
            <w:tcBorders>
              <w:left w:val="single" w:sz="6" w:space="0" w:color="auto"/>
              <w:bottom w:val="nil"/>
            </w:tcBorders>
            <w:vAlign w:val="center"/>
          </w:tcPr>
          <w:p w:rsidR="003B6E11" w:rsidRPr="003B6E11" w:rsidRDefault="002D015D" w:rsidP="002D015D">
            <w:pPr>
              <w:tabs>
                <w:tab w:val="left" w:pos="284"/>
                <w:tab w:val="left" w:pos="709"/>
                <w:tab w:val="left" w:pos="993"/>
              </w:tabs>
              <w:overflowPunct w:val="0"/>
              <w:adjustRightInd w:val="0"/>
              <w:spacing w:before="40" w:after="40"/>
              <w:jc w:val="center"/>
              <w:textAlignment w:val="baseline"/>
              <w:rPr>
                <w:sz w:val="18"/>
                <w:szCs w:val="20"/>
                <w:lang w:val="cs-CZ"/>
              </w:rPr>
            </w:pP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3</m:t>
                  </m:r>
                </m:sub>
              </m:sSub>
            </m:oMath>
            <w:r w:rsidR="003B6E11" w:rsidRPr="003B6E11">
              <w:rPr>
                <w:sz w:val="18"/>
                <w:lang w:val="cs-CZ"/>
              </w:rPr>
              <w:t xml:space="preserve"> [s]</w:t>
            </w:r>
          </w:p>
        </w:tc>
        <w:tc>
          <w:tcPr>
            <w:tcW w:w="1417" w:type="dxa"/>
            <w:tcBorders>
              <w:bottom w:val="nil"/>
            </w:tcBorders>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p>
        </w:tc>
        <w:tc>
          <w:tcPr>
            <w:tcW w:w="1417" w:type="dxa"/>
            <w:tcBorders>
              <w:bottom w:val="nil"/>
            </w:tcBorders>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p>
        </w:tc>
        <w:tc>
          <w:tcPr>
            <w:tcW w:w="1417" w:type="dxa"/>
            <w:tcBorders>
              <w:bottom w:val="nil"/>
            </w:tcBorders>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p>
        </w:tc>
        <w:tc>
          <w:tcPr>
            <w:tcW w:w="1417" w:type="dxa"/>
            <w:tcBorders>
              <w:bottom w:val="nil"/>
            </w:tcBorders>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p>
        </w:tc>
        <w:tc>
          <w:tcPr>
            <w:tcW w:w="2268" w:type="dxa"/>
            <w:tcBorders>
              <w:bottom w:val="nil"/>
              <w:right w:val="single" w:sz="6" w:space="0" w:color="auto"/>
            </w:tcBorders>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p>
        </w:tc>
      </w:tr>
      <w:tr w:rsidR="003B6E11" w:rsidRPr="003B6E11" w:rsidTr="002D015D">
        <w:tc>
          <w:tcPr>
            <w:tcW w:w="1418" w:type="dxa"/>
            <w:tcBorders>
              <w:top w:val="double" w:sz="6" w:space="0" w:color="auto"/>
              <w:left w:val="single" w:sz="6" w:space="0" w:color="auto"/>
              <w:bottom w:val="single" w:sz="6" w:space="0" w:color="auto"/>
            </w:tcBorders>
            <w:vAlign w:val="center"/>
          </w:tcPr>
          <w:p w:rsidR="003B6E11" w:rsidRPr="003B6E11" w:rsidRDefault="002D015D" w:rsidP="002D015D">
            <w:pPr>
              <w:tabs>
                <w:tab w:val="left" w:pos="284"/>
                <w:tab w:val="left" w:pos="709"/>
                <w:tab w:val="left" w:pos="993"/>
              </w:tabs>
              <w:overflowPunct w:val="0"/>
              <w:adjustRightInd w:val="0"/>
              <w:spacing w:before="40" w:after="40"/>
              <w:jc w:val="center"/>
              <w:textAlignment w:val="baseline"/>
              <w:rPr>
                <w:sz w:val="18"/>
                <w:szCs w:val="20"/>
                <w:lang w:val="cs-CZ"/>
              </w:rPr>
            </w:pP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4</m:t>
                  </m:r>
                </m:sub>
              </m:sSub>
            </m:oMath>
            <w:r w:rsidR="003B6E11" w:rsidRPr="003B6E11">
              <w:rPr>
                <w:sz w:val="18"/>
                <w:lang w:val="cs-CZ"/>
              </w:rPr>
              <w:t xml:space="preserve"> [s]</w:t>
            </w:r>
          </w:p>
        </w:tc>
        <w:tc>
          <w:tcPr>
            <w:tcW w:w="1417" w:type="dxa"/>
            <w:tcBorders>
              <w:top w:val="double" w:sz="6" w:space="0" w:color="auto"/>
              <w:bottom w:val="single" w:sz="6" w:space="0" w:color="auto"/>
            </w:tcBorders>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p>
        </w:tc>
        <w:tc>
          <w:tcPr>
            <w:tcW w:w="1417" w:type="dxa"/>
            <w:tcBorders>
              <w:top w:val="double" w:sz="6" w:space="0" w:color="auto"/>
              <w:bottom w:val="single" w:sz="6" w:space="0" w:color="auto"/>
            </w:tcBorders>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p>
        </w:tc>
        <w:tc>
          <w:tcPr>
            <w:tcW w:w="1417" w:type="dxa"/>
            <w:tcBorders>
              <w:top w:val="double" w:sz="6" w:space="0" w:color="auto"/>
              <w:bottom w:val="single" w:sz="6" w:space="0" w:color="auto"/>
            </w:tcBorders>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p>
        </w:tc>
        <w:tc>
          <w:tcPr>
            <w:tcW w:w="1417" w:type="dxa"/>
            <w:tcBorders>
              <w:top w:val="double" w:sz="6" w:space="0" w:color="auto"/>
              <w:bottom w:val="single" w:sz="6" w:space="0" w:color="auto"/>
            </w:tcBorders>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p>
        </w:tc>
        <w:tc>
          <w:tcPr>
            <w:tcW w:w="2268" w:type="dxa"/>
            <w:tcBorders>
              <w:top w:val="double" w:sz="6" w:space="0" w:color="auto"/>
              <w:bottom w:val="single" w:sz="6" w:space="0" w:color="auto"/>
              <w:right w:val="single" w:sz="6" w:space="0" w:color="auto"/>
            </w:tcBorders>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p>
        </w:tc>
      </w:tr>
      <w:tr w:rsidR="003B6E11" w:rsidRPr="003B6E11" w:rsidTr="002D015D">
        <w:tc>
          <w:tcPr>
            <w:tcW w:w="1418" w:type="dxa"/>
            <w:tcBorders>
              <w:top w:val="double" w:sz="6" w:space="0" w:color="auto"/>
              <w:left w:val="single" w:sz="6" w:space="0" w:color="auto"/>
              <w:bottom w:val="single" w:sz="6" w:space="0" w:color="auto"/>
              <w:right w:val="single" w:sz="6" w:space="0" w:color="auto"/>
            </w:tcBorders>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r w:rsidRPr="003B6E11">
              <w:rPr>
                <w:sz w:val="18"/>
                <w:lang w:val="cs-CZ"/>
              </w:rPr>
              <w:t xml:space="preserve">Mezní hodnota </w:t>
            </w: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4</m:t>
                  </m:r>
                </m:sub>
              </m:sSub>
            </m:oMath>
            <w:r w:rsidRPr="003B6E11">
              <w:rPr>
                <w:sz w:val="18"/>
                <w:lang w:val="cs-CZ"/>
              </w:rPr>
              <w:t xml:space="preserve"> podle bodu 2.2</w:t>
            </w:r>
          </w:p>
        </w:tc>
        <w:tc>
          <w:tcPr>
            <w:tcW w:w="7936" w:type="dxa"/>
            <w:gridSpan w:val="5"/>
            <w:tcBorders>
              <w:top w:val="double" w:sz="6" w:space="0" w:color="auto"/>
              <w:left w:val="single" w:sz="6" w:space="0" w:color="auto"/>
              <w:bottom w:val="single" w:sz="6" w:space="0" w:color="auto"/>
              <w:right w:val="single" w:sz="6" w:space="0" w:color="auto"/>
            </w:tcBorders>
            <w:vAlign w:val="center"/>
          </w:tcPr>
          <w:p w:rsidR="003B6E11" w:rsidRPr="003B6E11" w:rsidRDefault="003B6E11" w:rsidP="002D015D">
            <w:pPr>
              <w:tabs>
                <w:tab w:val="left" w:pos="284"/>
                <w:tab w:val="left" w:pos="709"/>
                <w:tab w:val="left" w:pos="993"/>
              </w:tabs>
              <w:overflowPunct w:val="0"/>
              <w:adjustRightInd w:val="0"/>
              <w:spacing w:before="40" w:after="40"/>
              <w:jc w:val="center"/>
              <w:textAlignment w:val="baseline"/>
              <w:rPr>
                <w:sz w:val="18"/>
                <w:szCs w:val="20"/>
                <w:lang w:val="cs-CZ"/>
              </w:rPr>
            </w:pPr>
            <w:r w:rsidRPr="003B6E11">
              <w:rPr>
                <w:sz w:val="18"/>
                <w:lang w:val="cs-CZ"/>
              </w:rPr>
              <w:t xml:space="preserve">Mezní hodnota </w:t>
            </w:r>
            <m:oMath>
              <m:sSub>
                <m:sSubPr>
                  <m:ctrlPr>
                    <w:rPr>
                      <w:rFonts w:ascii="Cambria Math" w:hAnsi="Cambria Math"/>
                      <w:i/>
                      <w:szCs w:val="20"/>
                      <w:lang w:val="cs-CZ"/>
                    </w:rPr>
                  </m:ctrlPr>
                </m:sSubPr>
                <m:e>
                  <m:r>
                    <w:rPr>
                      <w:rFonts w:ascii="Cambria Math" w:hAnsi="Cambria Math"/>
                      <w:szCs w:val="20"/>
                      <w:lang w:val="cs-CZ"/>
                    </w:rPr>
                    <m:t>t</m:t>
                  </m:r>
                </m:e>
                <m:sub>
                  <m:r>
                    <w:rPr>
                      <w:rFonts w:ascii="Cambria Math" w:hAnsi="Cambria Math"/>
                      <w:szCs w:val="20"/>
                      <w:lang w:val="cs-CZ"/>
                    </w:rPr>
                    <m:t>4</m:t>
                  </m:r>
                </m:sub>
              </m:sSub>
            </m:oMath>
            <w:r w:rsidRPr="003B6E11">
              <w:rPr>
                <w:sz w:val="18"/>
                <w:lang w:val="cs-CZ"/>
              </w:rPr>
              <w:t xml:space="preserve"> = ....................... [s]</w:t>
            </w:r>
          </w:p>
        </w:tc>
      </w:tr>
    </w:tbl>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spacing w:after="120"/>
        <w:textAlignment w:val="baseline"/>
        <w:rPr>
          <w:szCs w:val="20"/>
          <w:lang w:val="cs-CZ"/>
        </w:rPr>
      </w:pPr>
      <w:r w:rsidRPr="003B6E11">
        <w:rPr>
          <w:b/>
          <w:lang w:val="cs-CZ"/>
        </w:rPr>
        <w:t>Schopnost otáčení *)</w:t>
      </w:r>
    </w:p>
    <w:p w:rsidR="003B6E11" w:rsidRPr="003B6E11" w:rsidRDefault="003B6E11" w:rsidP="003B6E11">
      <w:pPr>
        <w:tabs>
          <w:tab w:val="left" w:pos="4678"/>
          <w:tab w:val="left" w:leader="dot" w:pos="6804"/>
        </w:tabs>
        <w:overflowPunct w:val="0"/>
        <w:adjustRightInd w:val="0"/>
        <w:spacing w:after="120"/>
        <w:textAlignment w:val="baseline"/>
        <w:rPr>
          <w:szCs w:val="20"/>
          <w:lang w:val="cs-CZ"/>
        </w:rPr>
      </w:pPr>
      <w:r w:rsidRPr="003B6E11">
        <w:rPr>
          <w:lang w:val="cs-CZ"/>
        </w:rPr>
        <w:t>Geografická poloha na začátku otáčecího manévru:</w:t>
      </w:r>
      <w:r w:rsidRPr="003B6E11">
        <w:rPr>
          <w:lang w:val="cs-CZ"/>
        </w:rPr>
        <w:tab/>
        <w:t xml:space="preserve">p.k. </w:t>
      </w:r>
      <w:r w:rsidRPr="003B6E11">
        <w:rPr>
          <w:lang w:val="cs-CZ"/>
        </w:rPr>
        <w:tab/>
        <w:t xml:space="preserve"> </w:t>
      </w:r>
    </w:p>
    <w:p w:rsidR="003B6E11" w:rsidRPr="003B6E11" w:rsidRDefault="003B6E11" w:rsidP="003B6E11">
      <w:pPr>
        <w:tabs>
          <w:tab w:val="left" w:pos="4678"/>
          <w:tab w:val="left" w:leader="dot" w:pos="6804"/>
        </w:tabs>
        <w:overflowPunct w:val="0"/>
        <w:adjustRightInd w:val="0"/>
        <w:textAlignment w:val="baseline"/>
        <w:rPr>
          <w:szCs w:val="20"/>
          <w:lang w:val="cs-CZ"/>
        </w:rPr>
      </w:pPr>
      <w:r w:rsidRPr="003B6E11">
        <w:rPr>
          <w:lang w:val="cs-CZ"/>
        </w:rPr>
        <w:t>Geografická poloha na konci otáčecího manévru:</w:t>
      </w:r>
      <w:r w:rsidRPr="003B6E11">
        <w:rPr>
          <w:lang w:val="cs-CZ"/>
        </w:rPr>
        <w:tab/>
        <w:t xml:space="preserve">p.k. </w:t>
      </w:r>
      <w:r w:rsidRPr="003B6E11">
        <w:rPr>
          <w:lang w:val="cs-CZ"/>
        </w:rPr>
        <w:tab/>
        <w:t xml:space="preserve"> </w:t>
      </w:r>
    </w:p>
    <w:p w:rsidR="003B6E11" w:rsidRPr="003B6E11" w:rsidRDefault="003B6E11" w:rsidP="003B6E11">
      <w:pPr>
        <w:tabs>
          <w:tab w:val="left" w:leader="dot" w:pos="6804"/>
        </w:tabs>
        <w:overflowPunct w:val="0"/>
        <w:adjustRightInd w:val="0"/>
        <w:textAlignment w:val="baseline"/>
        <w:rPr>
          <w:szCs w:val="20"/>
          <w:lang w:val="cs-CZ"/>
        </w:rPr>
      </w:pPr>
    </w:p>
    <w:p w:rsidR="003B6E11" w:rsidRPr="003B6E11" w:rsidRDefault="003B6E11" w:rsidP="003B6E11">
      <w:pPr>
        <w:tabs>
          <w:tab w:val="left" w:leader="dot" w:pos="6804"/>
        </w:tabs>
        <w:overflowPunct w:val="0"/>
        <w:adjustRightInd w:val="0"/>
        <w:spacing w:after="80"/>
        <w:textAlignment w:val="baseline"/>
        <w:rPr>
          <w:szCs w:val="20"/>
          <w:lang w:val="cs-CZ"/>
        </w:rPr>
      </w:pPr>
      <w:r w:rsidRPr="003B6E11">
        <w:rPr>
          <w:b/>
          <w:lang w:val="cs-CZ"/>
        </w:rPr>
        <w:t>Kormidelní stroj</w:t>
      </w:r>
    </w:p>
    <w:p w:rsidR="003B6E11" w:rsidRPr="003B6E11" w:rsidRDefault="003B6E11" w:rsidP="003B6E11">
      <w:pPr>
        <w:tabs>
          <w:tab w:val="left" w:pos="6804"/>
          <w:tab w:val="left" w:leader="dot" w:pos="8647"/>
        </w:tabs>
        <w:overflowPunct w:val="0"/>
        <w:adjustRightInd w:val="0"/>
        <w:spacing w:after="120"/>
        <w:textAlignment w:val="baseline"/>
        <w:rPr>
          <w:szCs w:val="20"/>
          <w:lang w:val="cs-CZ"/>
        </w:rPr>
      </w:pPr>
      <w:r w:rsidRPr="003B6E11">
        <w:rPr>
          <w:lang w:val="cs-CZ"/>
        </w:rPr>
        <w:t>Druh provozu: ruční / s pohonem*):</w:t>
      </w:r>
    </w:p>
    <w:p w:rsidR="003B6E11" w:rsidRPr="003B6E11" w:rsidRDefault="003B6E11" w:rsidP="003B6E11">
      <w:pPr>
        <w:tabs>
          <w:tab w:val="left" w:pos="6804"/>
          <w:tab w:val="left" w:leader="dot" w:pos="8647"/>
        </w:tabs>
        <w:overflowPunct w:val="0"/>
        <w:adjustRightInd w:val="0"/>
        <w:spacing w:after="120"/>
        <w:textAlignment w:val="baseline"/>
        <w:rPr>
          <w:szCs w:val="20"/>
          <w:lang w:val="cs-CZ"/>
        </w:rPr>
      </w:pPr>
      <w:r w:rsidRPr="003B6E11">
        <w:rPr>
          <w:lang w:val="cs-CZ"/>
        </w:rPr>
        <w:t>Úhel kormidla na jedno otočení kola*):</w:t>
      </w:r>
      <w:r w:rsidRPr="003B6E11">
        <w:rPr>
          <w:lang w:val="cs-CZ"/>
        </w:rPr>
        <w:tab/>
      </w:r>
      <w:r w:rsidRPr="003B6E11">
        <w:rPr>
          <w:lang w:val="cs-CZ"/>
        </w:rPr>
        <w:tab/>
        <w:t xml:space="preserve"> °</w:t>
      </w:r>
    </w:p>
    <w:p w:rsidR="003B6E11" w:rsidRPr="003B6E11" w:rsidRDefault="003B6E11" w:rsidP="003B6E11">
      <w:pPr>
        <w:tabs>
          <w:tab w:val="left" w:pos="6804"/>
          <w:tab w:val="left" w:leader="dot" w:pos="8647"/>
        </w:tabs>
        <w:overflowPunct w:val="0"/>
        <w:adjustRightInd w:val="0"/>
        <w:spacing w:after="120"/>
        <w:textAlignment w:val="baseline"/>
        <w:rPr>
          <w:szCs w:val="20"/>
          <w:lang w:val="cs-CZ"/>
        </w:rPr>
      </w:pPr>
      <w:r w:rsidRPr="003B6E11">
        <w:rPr>
          <w:lang w:val="cs-CZ"/>
        </w:rPr>
        <w:t>Úhlová rychlost kormidla v celém rozsahu*):</w:t>
      </w:r>
      <w:r w:rsidRPr="003B6E11">
        <w:rPr>
          <w:lang w:val="cs-CZ"/>
        </w:rPr>
        <w:tab/>
      </w:r>
      <w:r w:rsidRPr="003B6E11">
        <w:rPr>
          <w:lang w:val="cs-CZ"/>
        </w:rPr>
        <w:tab/>
        <w:t xml:space="preserve"> °/s</w:t>
      </w:r>
    </w:p>
    <w:p w:rsidR="003B6E11" w:rsidRPr="003B6E11" w:rsidRDefault="003B6E11" w:rsidP="003B6E11">
      <w:pPr>
        <w:tabs>
          <w:tab w:val="left" w:pos="6804"/>
          <w:tab w:val="left" w:leader="dot" w:pos="8647"/>
        </w:tabs>
        <w:overflowPunct w:val="0"/>
        <w:adjustRightInd w:val="0"/>
        <w:textAlignment w:val="baseline"/>
        <w:rPr>
          <w:szCs w:val="20"/>
          <w:lang w:val="cs-CZ"/>
        </w:rPr>
      </w:pPr>
      <w:r w:rsidRPr="003B6E11">
        <w:rPr>
          <w:lang w:val="cs-CZ"/>
        </w:rPr>
        <w:t>Úhlová rychlost kormidla v rozsahu od 35° na levoboku do 35° na pravoboku*):</w:t>
      </w:r>
      <w:r w:rsidRPr="003B6E11">
        <w:rPr>
          <w:lang w:val="cs-CZ"/>
        </w:rPr>
        <w:tab/>
      </w:r>
      <w:r w:rsidRPr="003B6E11">
        <w:rPr>
          <w:lang w:val="cs-CZ"/>
        </w:rPr>
        <w:tab/>
        <w:t xml:space="preserve"> °/s</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sectPr w:rsidR="003B6E11" w:rsidRPr="003B6E11" w:rsidSect="00D45887">
          <w:headerReference w:type="default" r:id="rId136"/>
          <w:footerReference w:type="default" r:id="rId137"/>
          <w:headerReference w:type="first" r:id="rId138"/>
          <w:footerReference w:type="first" r:id="rId139"/>
          <w:footnotePr>
            <w:numRestart w:val="eachPage"/>
          </w:footnotePr>
          <w:pgSz w:w="11907" w:h="16840" w:code="9"/>
          <w:pgMar w:top="1418" w:right="1418" w:bottom="1418" w:left="1418" w:header="680" w:footer="680" w:gutter="0"/>
          <w:cols w:space="720"/>
          <w:docGrid w:linePitch="326"/>
        </w:sectPr>
      </w:pPr>
    </w:p>
    <w:p w:rsidR="003B6E11" w:rsidRPr="003B6E11" w:rsidRDefault="003B6E11" w:rsidP="003B6E11">
      <w:pPr>
        <w:pStyle w:val="ES-Titre2ESI"/>
      </w:pPr>
      <w:bookmarkStart w:id="743" w:name="_Toc491854354"/>
      <w:bookmarkStart w:id="744" w:name="_Toc535417260"/>
      <w:r w:rsidRPr="003B6E11">
        <w:t>ESI-II-5</w:t>
      </w:r>
      <w:r w:rsidRPr="003B6E11">
        <w:br/>
        <w:t>Měření hluku</w:t>
      </w:r>
      <w:bookmarkEnd w:id="743"/>
      <w:bookmarkEnd w:id="744"/>
    </w:p>
    <w:p w:rsidR="003B6E11" w:rsidRPr="003B6E11" w:rsidRDefault="003B6E11" w:rsidP="003B6E11">
      <w:pPr>
        <w:jc w:val="center"/>
        <w:rPr>
          <w:rFonts w:cs="Arial"/>
          <w:b/>
          <w:bCs/>
          <w:szCs w:val="20"/>
          <w:lang w:val="cs-CZ"/>
        </w:rPr>
      </w:pPr>
    </w:p>
    <w:p w:rsidR="003B6E11" w:rsidRPr="003B6E11" w:rsidRDefault="003B6E11" w:rsidP="003B6E11">
      <w:pPr>
        <w:ind w:left="426"/>
        <w:jc w:val="center"/>
        <w:rPr>
          <w:rFonts w:cs="Arial"/>
          <w:b/>
          <w:bCs/>
          <w:szCs w:val="20"/>
          <w:lang w:val="cs-CZ"/>
        </w:rPr>
      </w:pPr>
      <w:r w:rsidRPr="003B6E11">
        <w:rPr>
          <w:b/>
          <w:lang w:val="cs-CZ"/>
        </w:rPr>
        <w:t>(Čl. 3.04 odst. 7, čl. 7.01 odst. 2, čl. 7.03 odst. 6, čl. 7.09 odst. 3, článek 8.08, čl. 14.09 odst. 3, čl. 15.02 odst. 5, čl. 22.02 odst. 3 písm. b) a čl. 22.03 odst. 1)</w:t>
      </w:r>
    </w:p>
    <w:p w:rsidR="003B6E11" w:rsidRPr="003B6E11" w:rsidRDefault="003B6E11" w:rsidP="003B6E11">
      <w:pPr>
        <w:rPr>
          <w:rFonts w:cs="Arial"/>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1.</w:t>
      </w:r>
      <w:r w:rsidRPr="003B6E11">
        <w:rPr>
          <w:lang w:val="cs-CZ"/>
        </w:rPr>
        <w:tab/>
      </w:r>
      <w:r w:rsidRPr="003B6E11">
        <w:rPr>
          <w:b/>
          <w:color w:val="000000"/>
          <w:lang w:val="cs-CZ"/>
        </w:rPr>
        <w:t>Obecně</w:t>
      </w:r>
    </w:p>
    <w:p w:rsidR="003B6E11" w:rsidRPr="003B6E11" w:rsidRDefault="003B6E11" w:rsidP="003B6E11">
      <w:pPr>
        <w:tabs>
          <w:tab w:val="left" w:pos="426"/>
          <w:tab w:val="left" w:pos="1021"/>
        </w:tabs>
        <w:ind w:left="426" w:hanging="426"/>
        <w:rPr>
          <w:rFonts w:cs="Arial"/>
          <w:snapToGrid w:val="0"/>
          <w:szCs w:val="20"/>
          <w:lang w:val="cs-CZ"/>
        </w:rPr>
      </w:pPr>
    </w:p>
    <w:p w:rsidR="003B6E11" w:rsidRPr="003B6E11" w:rsidRDefault="003B6E11" w:rsidP="003B6E11">
      <w:pPr>
        <w:spacing w:line="240" w:lineRule="atLeast"/>
        <w:ind w:left="567"/>
        <w:rPr>
          <w:snapToGrid w:val="0"/>
          <w:lang w:val="cs-CZ"/>
        </w:rPr>
      </w:pPr>
      <w:r w:rsidRPr="003B6E11">
        <w:rPr>
          <w:lang w:val="cs-CZ"/>
        </w:rPr>
        <w:t>Pro účely kontroly maximálních hladin akustického tlaku uvedených v normě je třeba určit měřené hodnoty, postupy měření a podmínky pro kvantitativní, opakovatelná zaznamenávání hladin akustického tlaku v souladu s body 2 a 3.</w:t>
      </w:r>
    </w:p>
    <w:p w:rsidR="003B6E11" w:rsidRPr="003B6E11" w:rsidRDefault="003B6E11" w:rsidP="003B6E11">
      <w:pPr>
        <w:tabs>
          <w:tab w:val="left" w:pos="426"/>
        </w:tabs>
        <w:ind w:left="426" w:hanging="426"/>
        <w:rPr>
          <w:rFonts w:cs="Arial"/>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2.</w:t>
      </w:r>
      <w:r w:rsidRPr="003B6E11">
        <w:rPr>
          <w:lang w:val="cs-CZ"/>
        </w:rPr>
        <w:tab/>
      </w:r>
      <w:r w:rsidRPr="003B6E11">
        <w:rPr>
          <w:b/>
          <w:color w:val="000000"/>
          <w:lang w:val="cs-CZ"/>
        </w:rPr>
        <w:t>Měřicí přístroje</w:t>
      </w:r>
    </w:p>
    <w:p w:rsidR="003B6E11" w:rsidRPr="003B6E11" w:rsidRDefault="003B6E11" w:rsidP="003B6E11">
      <w:pPr>
        <w:spacing w:line="240" w:lineRule="atLeast"/>
        <w:ind w:left="567"/>
        <w:rPr>
          <w:snapToGrid w:val="0"/>
          <w:lang w:val="cs-CZ"/>
        </w:rPr>
      </w:pPr>
    </w:p>
    <w:p w:rsidR="003B6E11" w:rsidRPr="003B6E11" w:rsidRDefault="003B6E11" w:rsidP="003B6E11">
      <w:pPr>
        <w:spacing w:line="240" w:lineRule="atLeast"/>
        <w:ind w:left="567"/>
        <w:rPr>
          <w:noProof/>
          <w:lang w:val="cs-CZ"/>
        </w:rPr>
      </w:pPr>
      <w:r w:rsidRPr="003B6E11">
        <w:rPr>
          <w:lang w:val="cs-CZ"/>
        </w:rPr>
        <w:t>Měřicí přístroj musí splňovat požadavky třídy 1 podle evropské normy EN 61672</w:t>
      </w:r>
      <w:r w:rsidRPr="003B6E11">
        <w:rPr>
          <w:lang w:val="cs-CZ"/>
        </w:rPr>
        <w:softHyphen/>
        <w:t>1:2003.</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szCs w:val="20"/>
          <w:lang w:val="cs-CZ"/>
        </w:rPr>
      </w:pPr>
      <w:r w:rsidRPr="003B6E11">
        <w:rPr>
          <w:lang w:val="cs-CZ"/>
        </w:rPr>
        <w:t>Před a po provedení každého souboru měření se za účelem kalibrace měřicího systému musí na mikrofon umístit kalibrátor třídy 1 podle evropské normy EN 60942:2003. Shoda kalibrátoru s požadavky evropské normy EN 60942:2003 se musí kontrolovat jednou ročně. Shoda měřicího přístroje s požadavky normy EN 61672-1:2003 se musí kontrolovat jednou za dva roky.</w:t>
      </w:r>
    </w:p>
    <w:p w:rsidR="003B6E11" w:rsidRPr="003B6E11" w:rsidRDefault="003B6E11" w:rsidP="003B6E11">
      <w:pPr>
        <w:spacing w:line="240" w:lineRule="atLeast"/>
        <w:ind w:left="567"/>
        <w:rPr>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3.</w:t>
      </w:r>
      <w:r w:rsidRPr="003B6E11">
        <w:rPr>
          <w:lang w:val="cs-CZ"/>
        </w:rPr>
        <w:tab/>
      </w:r>
      <w:r w:rsidRPr="003B6E11">
        <w:rPr>
          <w:b/>
          <w:color w:val="000000"/>
          <w:lang w:val="cs-CZ"/>
        </w:rPr>
        <w:t>Měření hluku</w:t>
      </w:r>
    </w:p>
    <w:p w:rsidR="003B6E11" w:rsidRPr="003B6E11" w:rsidRDefault="003B6E11" w:rsidP="003B6E11">
      <w:pPr>
        <w:tabs>
          <w:tab w:val="left" w:pos="426"/>
        </w:tabs>
        <w:rPr>
          <w:rFonts w:cs="Arial"/>
          <w:szCs w:val="20"/>
          <w:lang w:val="cs-CZ"/>
        </w:rPr>
      </w:pPr>
    </w:p>
    <w:p w:rsidR="003B6E11" w:rsidRPr="003B6E11" w:rsidRDefault="003B6E11" w:rsidP="003B6E11">
      <w:pPr>
        <w:spacing w:line="240" w:lineRule="atLeast"/>
        <w:ind w:left="567" w:hanging="567"/>
        <w:rPr>
          <w:lang w:val="cs-CZ"/>
        </w:rPr>
      </w:pPr>
      <w:r w:rsidRPr="003B6E11">
        <w:rPr>
          <w:lang w:val="cs-CZ"/>
        </w:rPr>
        <w:t>3.1</w:t>
      </w:r>
      <w:r w:rsidRPr="003B6E11">
        <w:rPr>
          <w:lang w:val="cs-CZ"/>
        </w:rPr>
        <w:tab/>
        <w:t>Na plavidle (vnitřní hluk plavidla)</w:t>
      </w:r>
    </w:p>
    <w:p w:rsidR="003B6E11" w:rsidRPr="003B6E11" w:rsidRDefault="003B6E11" w:rsidP="003B6E11">
      <w:pPr>
        <w:spacing w:line="240" w:lineRule="atLeast"/>
        <w:ind w:left="567"/>
        <w:rPr>
          <w:lang w:val="cs-CZ"/>
        </w:rPr>
      </w:pPr>
    </w:p>
    <w:p w:rsidR="003B6E11" w:rsidRPr="003B6E11" w:rsidRDefault="003B6E11" w:rsidP="003B6E11">
      <w:pPr>
        <w:spacing w:line="240" w:lineRule="atLeast"/>
        <w:ind w:left="567"/>
        <w:rPr>
          <w:lang w:val="cs-CZ"/>
        </w:rPr>
      </w:pPr>
      <w:r w:rsidRPr="003B6E11">
        <w:rPr>
          <w:lang w:val="cs-CZ"/>
        </w:rPr>
        <w:t>Měření se musí provádět v souladu s mezinárodní normou ISO 2923:2003, oddíly 5 až 8, pro měření pouze hladin akustického tlaku A.</w:t>
      </w:r>
    </w:p>
    <w:p w:rsidR="003B6E11" w:rsidRPr="003B6E11" w:rsidRDefault="003B6E11" w:rsidP="003B6E11">
      <w:pPr>
        <w:spacing w:line="240" w:lineRule="atLeast"/>
        <w:ind w:left="567"/>
        <w:rPr>
          <w:snapToGrid w:val="0"/>
          <w:lang w:val="cs-CZ"/>
        </w:rPr>
      </w:pPr>
    </w:p>
    <w:p w:rsidR="003B6E11" w:rsidRPr="003B6E11" w:rsidRDefault="003B6E11" w:rsidP="003B6E11">
      <w:pPr>
        <w:spacing w:line="240" w:lineRule="atLeast"/>
        <w:ind w:left="567" w:hanging="567"/>
        <w:rPr>
          <w:lang w:val="cs-CZ"/>
        </w:rPr>
      </w:pPr>
      <w:r w:rsidRPr="003B6E11">
        <w:rPr>
          <w:lang w:val="cs-CZ"/>
        </w:rPr>
        <w:t>3.2</w:t>
      </w:r>
      <w:r w:rsidRPr="003B6E11">
        <w:rPr>
          <w:lang w:val="cs-CZ"/>
        </w:rPr>
        <w:tab/>
        <w:t>Hluk vydávaný plavidlem do okolí (vnější hluk plavidla)</w:t>
      </w:r>
    </w:p>
    <w:p w:rsidR="003B6E11" w:rsidRPr="003B6E11" w:rsidRDefault="003B6E11" w:rsidP="003B6E11">
      <w:pPr>
        <w:spacing w:line="240" w:lineRule="atLeast"/>
        <w:ind w:left="567"/>
        <w:rPr>
          <w:snapToGrid w:val="0"/>
          <w:lang w:val="cs-CZ"/>
        </w:rPr>
      </w:pPr>
    </w:p>
    <w:p w:rsidR="003B6E11" w:rsidRPr="003B6E11" w:rsidRDefault="003B6E11" w:rsidP="003B6E11">
      <w:pPr>
        <w:spacing w:line="240" w:lineRule="atLeast"/>
        <w:ind w:left="567"/>
        <w:rPr>
          <w:snapToGrid w:val="0"/>
          <w:lang w:val="cs-CZ"/>
        </w:rPr>
      </w:pPr>
      <w:r w:rsidRPr="003B6E11">
        <w:rPr>
          <w:lang w:val="cs-CZ"/>
        </w:rPr>
        <w:t>Emise hluku z plavidla na vnitrozemských vodních cestách a v přístavech se určují měřeními stanovenými v evropské normě EN ISO 22922:2013, oddílech 7 až 11. Dveře a okna strojoven musí být během měření zavřené.</w:t>
      </w:r>
    </w:p>
    <w:p w:rsidR="003B6E11" w:rsidRPr="003B6E11" w:rsidRDefault="003B6E11" w:rsidP="003B6E11">
      <w:pPr>
        <w:spacing w:line="240" w:lineRule="atLeast"/>
        <w:ind w:left="567"/>
        <w:rPr>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4.</w:t>
      </w:r>
      <w:r w:rsidRPr="003B6E11">
        <w:rPr>
          <w:lang w:val="cs-CZ"/>
        </w:rPr>
        <w:tab/>
      </w:r>
      <w:r w:rsidRPr="003B6E11">
        <w:rPr>
          <w:b/>
          <w:color w:val="000000"/>
          <w:lang w:val="cs-CZ"/>
        </w:rPr>
        <w:t>Dokumentace</w:t>
      </w:r>
    </w:p>
    <w:p w:rsidR="003B6E11" w:rsidRPr="003B6E11" w:rsidRDefault="003B6E11" w:rsidP="003B6E11">
      <w:pPr>
        <w:spacing w:line="240" w:lineRule="atLeast"/>
        <w:ind w:left="567"/>
        <w:rPr>
          <w:lang w:val="cs-CZ"/>
        </w:rPr>
      </w:pPr>
    </w:p>
    <w:p w:rsidR="003B6E11" w:rsidRPr="003B6E11" w:rsidRDefault="003B6E11" w:rsidP="003B6E11">
      <w:pPr>
        <w:spacing w:line="240" w:lineRule="atLeast"/>
        <w:ind w:left="567"/>
        <w:rPr>
          <w:lang w:val="cs-CZ"/>
        </w:rPr>
      </w:pPr>
      <w:r w:rsidRPr="003B6E11">
        <w:rPr>
          <w:lang w:val="cs-CZ"/>
        </w:rPr>
        <w:t>Měření se zaznamenávají způsobem odpovídajícím zprávě o měření hluku (v příloze).</w:t>
      </w:r>
    </w:p>
    <w:p w:rsidR="003B6E11" w:rsidRPr="003B6E11" w:rsidRDefault="003B6E11" w:rsidP="003B6E11">
      <w:pPr>
        <w:spacing w:line="240" w:lineRule="atLeast"/>
        <w:ind w:left="567"/>
        <w:rPr>
          <w:lang w:val="cs-CZ"/>
        </w:rPr>
      </w:pPr>
    </w:p>
    <w:p w:rsidR="003B6E11" w:rsidRPr="003B6E11" w:rsidRDefault="003B6E11" w:rsidP="003B6E11">
      <w:pPr>
        <w:spacing w:before="120" w:after="120"/>
        <w:ind w:left="709"/>
        <w:jc w:val="center"/>
        <w:rPr>
          <w:rFonts w:cs="Arial"/>
          <w:b/>
          <w:bCs/>
          <w:lang w:val="cs-CZ"/>
        </w:rPr>
      </w:pPr>
      <w:r w:rsidRPr="003B6E11">
        <w:rPr>
          <w:lang w:val="cs-CZ"/>
        </w:rPr>
        <w:br w:type="page"/>
      </w:r>
      <w:r w:rsidRPr="003B6E11">
        <w:rPr>
          <w:b/>
          <w:lang w:val="cs-CZ"/>
        </w:rPr>
        <w:t>Zpráva o měření hluku</w:t>
      </w:r>
    </w:p>
    <w:p w:rsidR="003B6E11" w:rsidRPr="003B6E11" w:rsidRDefault="003B6E11" w:rsidP="003B6E11">
      <w:pPr>
        <w:tabs>
          <w:tab w:val="left" w:pos="2127"/>
        </w:tabs>
        <w:spacing w:after="40"/>
        <w:ind w:left="2127" w:hanging="284"/>
        <w:rPr>
          <w:rFonts w:cs="Arial"/>
          <w:szCs w:val="20"/>
          <w:lang w:val="cs-CZ"/>
        </w:rPr>
      </w:pPr>
      <w:r w:rsidRPr="003B6E11">
        <w:rPr>
          <w:b/>
          <w:lang w:val="cs-CZ"/>
        </w:rPr>
        <w:t>-</w:t>
      </w:r>
      <w:r w:rsidRPr="003B6E11">
        <w:rPr>
          <w:lang w:val="cs-CZ"/>
        </w:rPr>
        <w:tab/>
      </w:r>
      <w:r w:rsidRPr="003B6E11">
        <w:rPr>
          <w:b/>
          <w:lang w:val="cs-CZ"/>
        </w:rPr>
        <w:t>na plavidle v souladu s mezinárodní normou ISO 2923:2003</w:t>
      </w:r>
    </w:p>
    <w:p w:rsidR="003B6E11" w:rsidRPr="003B6E11" w:rsidRDefault="003B6E11" w:rsidP="003B6E11">
      <w:pPr>
        <w:tabs>
          <w:tab w:val="left" w:pos="851"/>
          <w:tab w:val="left" w:pos="2127"/>
        </w:tabs>
        <w:ind w:left="2127" w:hanging="284"/>
        <w:rPr>
          <w:rFonts w:cs="Arial"/>
          <w:szCs w:val="20"/>
          <w:lang w:val="cs-CZ"/>
        </w:rPr>
      </w:pPr>
      <w:r w:rsidRPr="003B6E11">
        <w:rPr>
          <w:b/>
          <w:lang w:val="cs-CZ"/>
        </w:rPr>
        <w:t>-</w:t>
      </w:r>
      <w:r w:rsidRPr="003B6E11">
        <w:rPr>
          <w:lang w:val="cs-CZ"/>
        </w:rPr>
        <w:tab/>
      </w:r>
      <w:r w:rsidRPr="003B6E11">
        <w:rPr>
          <w:b/>
          <w:lang w:val="cs-CZ"/>
        </w:rPr>
        <w:t>hluk vydávaný plavidlem do okolí v souladu s evropskou normou EN ISO 2922:2013</w:t>
      </w:r>
      <w:r w:rsidRPr="003B6E11">
        <w:rPr>
          <w:vertAlign w:val="superscript"/>
          <w:lang w:val="cs-CZ"/>
        </w:rPr>
        <w:t>*)</w:t>
      </w:r>
    </w:p>
    <w:p w:rsidR="003B6E11" w:rsidRPr="003B6E11" w:rsidRDefault="003B6E11" w:rsidP="003B6E11">
      <w:pPr>
        <w:spacing w:before="60"/>
        <w:ind w:left="709"/>
        <w:rPr>
          <w:rFonts w:cs="Arial"/>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A</w:t>
      </w:r>
      <w:r w:rsidRPr="003B6E11">
        <w:rPr>
          <w:lang w:val="cs-CZ"/>
        </w:rPr>
        <w:tab/>
      </w:r>
      <w:r w:rsidRPr="003B6E11">
        <w:rPr>
          <w:b/>
          <w:color w:val="000000"/>
          <w:lang w:val="cs-CZ"/>
        </w:rPr>
        <w:t>Údaje o plavidle</w:t>
      </w:r>
    </w:p>
    <w:p w:rsidR="003B6E11" w:rsidRPr="003B6E11" w:rsidRDefault="003B6E11" w:rsidP="003B6E11">
      <w:pPr>
        <w:tabs>
          <w:tab w:val="left" w:pos="567"/>
          <w:tab w:val="left" w:pos="709"/>
          <w:tab w:val="left" w:leader="dot" w:pos="9072"/>
        </w:tabs>
        <w:spacing w:before="120"/>
        <w:ind w:left="567" w:hanging="567"/>
        <w:rPr>
          <w:rFonts w:cs="Arial"/>
          <w:snapToGrid w:val="0"/>
          <w:szCs w:val="20"/>
          <w:lang w:val="cs-CZ"/>
        </w:rPr>
      </w:pPr>
      <w:r w:rsidRPr="003B6E11">
        <w:rPr>
          <w:lang w:val="cs-CZ"/>
        </w:rPr>
        <w:t>1.</w:t>
      </w:r>
      <w:r w:rsidRPr="003B6E11">
        <w:rPr>
          <w:lang w:val="cs-CZ"/>
        </w:rPr>
        <w:tab/>
        <w:t xml:space="preserve">Druh a název plavidla: </w:t>
      </w:r>
      <w:r w:rsidRPr="003B6E11">
        <w:rPr>
          <w:lang w:val="cs-CZ"/>
        </w:rPr>
        <w:tab/>
      </w:r>
    </w:p>
    <w:p w:rsidR="003B6E11" w:rsidRPr="003B6E11" w:rsidRDefault="003B6E11" w:rsidP="003B6E11">
      <w:pPr>
        <w:tabs>
          <w:tab w:val="left" w:pos="567"/>
          <w:tab w:val="left" w:pos="709"/>
          <w:tab w:val="left" w:leader="dot" w:pos="9072"/>
        </w:tabs>
        <w:spacing w:before="120"/>
        <w:ind w:left="567" w:hanging="567"/>
        <w:rPr>
          <w:rFonts w:cs="Arial"/>
          <w:snapToGrid w:val="0"/>
          <w:szCs w:val="20"/>
          <w:lang w:val="cs-CZ"/>
        </w:rPr>
      </w:pPr>
      <w:r w:rsidRPr="003B6E11">
        <w:rPr>
          <w:lang w:val="cs-CZ"/>
        </w:rPr>
        <w:tab/>
        <w:t xml:space="preserve">Jednotné evropské identifikační číslo plavidla: </w:t>
      </w:r>
      <w:r w:rsidRPr="003B6E11">
        <w:rPr>
          <w:lang w:val="cs-CZ"/>
        </w:rPr>
        <w:tab/>
      </w:r>
    </w:p>
    <w:p w:rsidR="003B6E11" w:rsidRPr="003B6E11" w:rsidRDefault="003B6E11" w:rsidP="003B6E11">
      <w:pPr>
        <w:tabs>
          <w:tab w:val="left" w:pos="567"/>
          <w:tab w:val="left" w:pos="709"/>
          <w:tab w:val="left" w:leader="dot" w:pos="9072"/>
        </w:tabs>
        <w:spacing w:before="120"/>
        <w:ind w:left="567" w:hanging="567"/>
        <w:rPr>
          <w:rFonts w:cs="Arial"/>
          <w:szCs w:val="20"/>
          <w:lang w:val="cs-CZ"/>
        </w:rPr>
      </w:pPr>
      <w:r w:rsidRPr="003B6E11">
        <w:rPr>
          <w:lang w:val="cs-CZ"/>
        </w:rPr>
        <w:t>2.</w:t>
      </w:r>
      <w:r w:rsidRPr="003B6E11">
        <w:rPr>
          <w:lang w:val="cs-CZ"/>
        </w:rPr>
        <w:tab/>
        <w:t xml:space="preserve">Vlastník: </w:t>
      </w:r>
      <w:r w:rsidRPr="003B6E11">
        <w:rPr>
          <w:lang w:val="cs-CZ"/>
        </w:rPr>
        <w:tab/>
      </w:r>
    </w:p>
    <w:p w:rsidR="003B6E11" w:rsidRPr="003B6E11" w:rsidRDefault="003B6E11" w:rsidP="003B6E11">
      <w:pPr>
        <w:widowControl w:val="0"/>
        <w:tabs>
          <w:tab w:val="left" w:pos="567"/>
          <w:tab w:val="left" w:leader="dot" w:pos="9072"/>
        </w:tabs>
        <w:spacing w:before="120"/>
        <w:ind w:left="567" w:hanging="567"/>
        <w:rPr>
          <w:rFonts w:cs="Arial"/>
          <w:snapToGrid w:val="0"/>
          <w:szCs w:val="20"/>
          <w:lang w:val="cs-CZ"/>
        </w:rPr>
      </w:pPr>
      <w:r w:rsidRPr="003B6E11">
        <w:rPr>
          <w:lang w:val="cs-CZ"/>
        </w:rPr>
        <w:tab/>
      </w:r>
      <w:r w:rsidRPr="003B6E11">
        <w:rPr>
          <w:lang w:val="cs-CZ"/>
        </w:rPr>
        <w:tab/>
      </w:r>
    </w:p>
    <w:p w:rsidR="003B6E11" w:rsidRPr="003B6E11" w:rsidRDefault="003B6E11" w:rsidP="003B6E11">
      <w:pPr>
        <w:widowControl w:val="0"/>
        <w:tabs>
          <w:tab w:val="left" w:pos="567"/>
        </w:tabs>
        <w:spacing w:before="120"/>
        <w:ind w:left="567" w:hanging="567"/>
        <w:rPr>
          <w:rFonts w:cs="Arial"/>
          <w:snapToGrid w:val="0"/>
          <w:szCs w:val="20"/>
          <w:lang w:val="cs-CZ"/>
        </w:rPr>
      </w:pPr>
      <w:r w:rsidRPr="003B6E11">
        <w:rPr>
          <w:lang w:val="cs-CZ"/>
        </w:rPr>
        <w:t>3.</w:t>
      </w:r>
      <w:r w:rsidRPr="003B6E11">
        <w:rPr>
          <w:lang w:val="cs-CZ"/>
        </w:rPr>
        <w:tab/>
        <w:t>Hlavní pohonný systém</w:t>
      </w:r>
    </w:p>
    <w:p w:rsidR="003B6E11" w:rsidRPr="003B6E11" w:rsidRDefault="003B6E11" w:rsidP="003B6E11">
      <w:pPr>
        <w:tabs>
          <w:tab w:val="left" w:pos="567"/>
        </w:tabs>
        <w:spacing w:before="120"/>
        <w:ind w:left="567" w:hanging="567"/>
        <w:rPr>
          <w:rFonts w:cs="Arial"/>
          <w:szCs w:val="20"/>
          <w:lang w:val="cs-CZ"/>
        </w:rPr>
      </w:pPr>
      <w:r w:rsidRPr="003B6E11">
        <w:rPr>
          <w:lang w:val="cs-CZ"/>
        </w:rPr>
        <w:t>3.1</w:t>
      </w:r>
      <w:r w:rsidRPr="003B6E11">
        <w:rPr>
          <w:lang w:val="cs-CZ"/>
        </w:rPr>
        <w:tab/>
        <w:t>Hlavní motory</w:t>
      </w:r>
    </w:p>
    <w:p w:rsidR="003B6E11" w:rsidRPr="003B6E11" w:rsidRDefault="003B6E11" w:rsidP="003B6E11">
      <w:pPr>
        <w:spacing w:before="120"/>
        <w:rPr>
          <w:rFonts w:cs="Arial"/>
          <w:szCs w:val="20"/>
          <w:lang w:val="cs-CZ"/>
        </w:rPr>
      </w:pPr>
    </w:p>
    <w:tbl>
      <w:tblPr>
        <w:tblW w:w="91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
        <w:gridCol w:w="2555"/>
        <w:gridCol w:w="1022"/>
        <w:gridCol w:w="1022"/>
        <w:gridCol w:w="1022"/>
        <w:gridCol w:w="1022"/>
        <w:gridCol w:w="1022"/>
        <w:gridCol w:w="1022"/>
      </w:tblGrid>
      <w:tr w:rsidR="003B6E11" w:rsidRPr="003B6E11" w:rsidTr="002D015D">
        <w:trPr>
          <w:trHeight w:val="340"/>
          <w:jc w:val="right"/>
        </w:trPr>
        <w:tc>
          <w:tcPr>
            <w:tcW w:w="511"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Číslo</w:t>
            </w:r>
          </w:p>
        </w:tc>
        <w:tc>
          <w:tcPr>
            <w:tcW w:w="2555"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widowControl w:val="0"/>
              <w:spacing w:before="60"/>
              <w:jc w:val="center"/>
              <w:rPr>
                <w:rFonts w:cs="Arial"/>
                <w:snapToGrid w:val="0"/>
                <w:sz w:val="16"/>
                <w:szCs w:val="16"/>
                <w:lang w:val="cs-CZ"/>
              </w:rPr>
            </w:pPr>
            <w:r w:rsidRPr="003B6E11">
              <w:rPr>
                <w:snapToGrid w:val="0"/>
                <w:sz w:val="16"/>
                <w:lang w:val="cs-CZ"/>
              </w:rPr>
              <w:t>Výrobce</w:t>
            </w:r>
          </w:p>
        </w:tc>
        <w:tc>
          <w:tcPr>
            <w:tcW w:w="1022"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Typ</w:t>
            </w:r>
          </w:p>
        </w:tc>
        <w:tc>
          <w:tcPr>
            <w:tcW w:w="1022"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Rok výroby</w:t>
            </w:r>
          </w:p>
        </w:tc>
        <w:tc>
          <w:tcPr>
            <w:tcW w:w="1022"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 xml:space="preserve">Výkon (kW) </w:t>
            </w:r>
          </w:p>
        </w:tc>
        <w:tc>
          <w:tcPr>
            <w:tcW w:w="1022"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 xml:space="preserve">Otáčky motoru </w:t>
            </w:r>
            <w:r w:rsidRPr="003B6E11">
              <w:rPr>
                <w:rFonts w:cs="Arial"/>
                <w:sz w:val="16"/>
                <w:szCs w:val="16"/>
                <w:lang w:val="cs-CZ"/>
              </w:rPr>
              <w:br/>
            </w:r>
            <w:r w:rsidRPr="003B6E11">
              <w:rPr>
                <w:sz w:val="16"/>
                <w:lang w:val="cs-CZ"/>
              </w:rPr>
              <w:t>(min</w:t>
            </w:r>
            <w:r w:rsidRPr="003B6E11">
              <w:rPr>
                <w:sz w:val="16"/>
                <w:vertAlign w:val="superscript"/>
                <w:lang w:val="cs-CZ"/>
              </w:rPr>
              <w:t>-1</w:t>
            </w:r>
            <w:r w:rsidRPr="003B6E11">
              <w:rPr>
                <w:sz w:val="16"/>
                <w:lang w:val="cs-CZ"/>
              </w:rPr>
              <w:t>)</w:t>
            </w:r>
          </w:p>
        </w:tc>
        <w:tc>
          <w:tcPr>
            <w:tcW w:w="1022"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Dvoudobý/čtyřdobý</w:t>
            </w:r>
          </w:p>
        </w:tc>
        <w:tc>
          <w:tcPr>
            <w:tcW w:w="1022"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Turbopohon</w:t>
            </w:r>
            <w:r w:rsidRPr="003B6E11">
              <w:rPr>
                <w:rFonts w:cs="Arial"/>
                <w:sz w:val="16"/>
                <w:szCs w:val="16"/>
                <w:lang w:val="cs-CZ"/>
              </w:rPr>
              <w:br/>
            </w:r>
            <w:r w:rsidRPr="003B6E11">
              <w:rPr>
                <w:sz w:val="16"/>
                <w:lang w:val="cs-CZ"/>
              </w:rPr>
              <w:t>ano/ne</w:t>
            </w:r>
          </w:p>
        </w:tc>
      </w:tr>
      <w:tr w:rsidR="003B6E11" w:rsidRPr="003B6E11" w:rsidTr="002D015D">
        <w:trPr>
          <w:trHeight w:val="340"/>
          <w:jc w:val="right"/>
        </w:trPr>
        <w:tc>
          <w:tcPr>
            <w:tcW w:w="511"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widowControl w:val="0"/>
              <w:spacing w:before="60"/>
              <w:jc w:val="center"/>
              <w:rPr>
                <w:rFonts w:cs="Arial"/>
                <w:snapToGrid w:val="0"/>
                <w:sz w:val="16"/>
                <w:szCs w:val="20"/>
                <w:lang w:val="cs-CZ"/>
              </w:rPr>
            </w:pPr>
            <w:r w:rsidRPr="003B6E11">
              <w:rPr>
                <w:snapToGrid w:val="0"/>
                <w:sz w:val="16"/>
                <w:lang w:val="cs-CZ"/>
              </w:rPr>
              <w:t>1</w:t>
            </w:r>
          </w:p>
        </w:tc>
        <w:tc>
          <w:tcPr>
            <w:tcW w:w="2555"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022"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022"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022"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022"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022"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022"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r>
      <w:tr w:rsidR="003B6E11" w:rsidRPr="003B6E11" w:rsidTr="002D015D">
        <w:trPr>
          <w:trHeight w:val="340"/>
          <w:jc w:val="right"/>
        </w:trPr>
        <w:tc>
          <w:tcPr>
            <w:tcW w:w="511"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2</w:t>
            </w:r>
          </w:p>
        </w:tc>
        <w:tc>
          <w:tcPr>
            <w:tcW w:w="2555"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022"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022"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022"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022"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022"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022"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r>
    </w:tbl>
    <w:p w:rsidR="003B6E11" w:rsidRPr="003B6E11" w:rsidRDefault="003B6E11" w:rsidP="003B6E11">
      <w:pPr>
        <w:widowControl w:val="0"/>
        <w:tabs>
          <w:tab w:val="left" w:pos="567"/>
        </w:tabs>
        <w:spacing w:before="120"/>
        <w:ind w:left="567" w:hanging="567"/>
        <w:rPr>
          <w:rFonts w:cs="Arial"/>
          <w:snapToGrid w:val="0"/>
          <w:szCs w:val="20"/>
          <w:lang w:val="cs-CZ"/>
        </w:rPr>
      </w:pPr>
      <w:r w:rsidRPr="003B6E11">
        <w:rPr>
          <w:lang w:val="cs-CZ"/>
        </w:rPr>
        <w:t>3.2</w:t>
      </w:r>
      <w:r w:rsidRPr="003B6E11">
        <w:rPr>
          <w:lang w:val="cs-CZ"/>
        </w:rPr>
        <w:tab/>
        <w:t>Převodovka</w:t>
      </w:r>
    </w:p>
    <w:p w:rsidR="003B6E11" w:rsidRPr="003B6E11" w:rsidRDefault="003B6E11" w:rsidP="003B6E11">
      <w:pPr>
        <w:tabs>
          <w:tab w:val="left" w:pos="567"/>
          <w:tab w:val="left" w:leader="dot" w:pos="3686"/>
          <w:tab w:val="left" w:pos="3828"/>
          <w:tab w:val="left" w:leader="dot" w:pos="6379"/>
          <w:tab w:val="left" w:pos="6521"/>
          <w:tab w:val="left" w:leader="dot" w:pos="9072"/>
        </w:tabs>
        <w:spacing w:before="120"/>
        <w:ind w:left="567"/>
        <w:rPr>
          <w:rFonts w:cs="Arial"/>
          <w:szCs w:val="20"/>
          <w:lang w:val="cs-CZ"/>
        </w:rPr>
      </w:pPr>
      <w:r w:rsidRPr="003B6E11">
        <w:rPr>
          <w:lang w:val="cs-CZ"/>
        </w:rPr>
        <w:t xml:space="preserve">Výrobce: </w:t>
      </w:r>
      <w:r w:rsidRPr="003B6E11">
        <w:rPr>
          <w:lang w:val="cs-CZ"/>
        </w:rPr>
        <w:tab/>
      </w:r>
      <w:r w:rsidRPr="003B6E11">
        <w:rPr>
          <w:lang w:val="cs-CZ"/>
        </w:rPr>
        <w:tab/>
        <w:t xml:space="preserve">Typ: </w:t>
      </w:r>
      <w:r w:rsidRPr="003B6E11">
        <w:rPr>
          <w:lang w:val="cs-CZ"/>
        </w:rPr>
        <w:tab/>
      </w:r>
      <w:r w:rsidRPr="003B6E11">
        <w:rPr>
          <w:lang w:val="cs-CZ"/>
        </w:rPr>
        <w:tab/>
        <w:t>Redukce: 1</w:t>
      </w:r>
      <w:r w:rsidRPr="003B6E11">
        <w:rPr>
          <w:lang w:val="cs-CZ"/>
        </w:rPr>
        <w:tab/>
      </w:r>
    </w:p>
    <w:p w:rsidR="003B6E11" w:rsidRPr="003B6E11" w:rsidRDefault="003B6E11" w:rsidP="003B6E11">
      <w:pPr>
        <w:widowControl w:val="0"/>
        <w:tabs>
          <w:tab w:val="left" w:pos="567"/>
        </w:tabs>
        <w:spacing w:before="120"/>
        <w:ind w:left="567" w:hanging="567"/>
        <w:rPr>
          <w:rFonts w:cs="Arial"/>
          <w:snapToGrid w:val="0"/>
          <w:szCs w:val="20"/>
          <w:lang w:val="cs-CZ"/>
        </w:rPr>
      </w:pPr>
      <w:r w:rsidRPr="003B6E11">
        <w:rPr>
          <w:lang w:val="cs-CZ"/>
        </w:rPr>
        <w:t>3.3</w:t>
      </w:r>
      <w:r w:rsidRPr="003B6E11">
        <w:rPr>
          <w:lang w:val="cs-CZ"/>
        </w:rPr>
        <w:tab/>
        <w:t>Vrtule</w:t>
      </w:r>
    </w:p>
    <w:p w:rsidR="003B6E11" w:rsidRPr="003B6E11" w:rsidRDefault="003B6E11" w:rsidP="003B6E11">
      <w:pPr>
        <w:tabs>
          <w:tab w:val="left" w:pos="567"/>
          <w:tab w:val="left" w:leader="dot" w:pos="1985"/>
          <w:tab w:val="left" w:pos="2127"/>
          <w:tab w:val="left" w:leader="dot" w:pos="4395"/>
          <w:tab w:val="left" w:pos="4536"/>
          <w:tab w:val="left" w:leader="dot" w:pos="6379"/>
          <w:tab w:val="left" w:pos="6521"/>
          <w:tab w:val="left" w:pos="7230"/>
        </w:tabs>
        <w:spacing w:before="120"/>
        <w:ind w:left="567"/>
        <w:rPr>
          <w:rFonts w:cs="Arial"/>
          <w:szCs w:val="20"/>
          <w:lang w:val="cs-CZ"/>
        </w:rPr>
      </w:pPr>
      <w:r w:rsidRPr="003B6E11">
        <w:rPr>
          <w:lang w:val="cs-CZ"/>
        </w:rPr>
        <w:t xml:space="preserve">Počet: </w:t>
      </w:r>
      <w:r w:rsidRPr="003B6E11">
        <w:rPr>
          <w:lang w:val="cs-CZ"/>
        </w:rPr>
        <w:tab/>
      </w:r>
      <w:r w:rsidRPr="003B6E11">
        <w:rPr>
          <w:lang w:val="cs-CZ"/>
        </w:rPr>
        <w:tab/>
        <w:t xml:space="preserve">Počet listů: </w:t>
      </w:r>
      <w:r w:rsidRPr="003B6E11">
        <w:rPr>
          <w:lang w:val="cs-CZ"/>
        </w:rPr>
        <w:tab/>
      </w:r>
      <w:r w:rsidRPr="003B6E11">
        <w:rPr>
          <w:lang w:val="cs-CZ"/>
        </w:rPr>
        <w:tab/>
        <w:t xml:space="preserve">Průměr: </w:t>
      </w:r>
      <w:r w:rsidRPr="003B6E11">
        <w:rPr>
          <w:lang w:val="cs-CZ"/>
        </w:rPr>
        <w:tab/>
      </w:r>
      <w:r w:rsidRPr="003B6E11">
        <w:rPr>
          <w:lang w:val="cs-CZ"/>
        </w:rPr>
        <w:tab/>
        <w:t xml:space="preserve">mm </w:t>
      </w:r>
      <w:r w:rsidRPr="003B6E11">
        <w:rPr>
          <w:lang w:val="cs-CZ"/>
        </w:rPr>
        <w:tab/>
        <w:t>Tryska: ano/ne</w:t>
      </w:r>
      <w:r w:rsidRPr="003B6E11">
        <w:rPr>
          <w:vertAlign w:val="superscript"/>
          <w:lang w:val="cs-CZ"/>
        </w:rPr>
        <w:footnoteReference w:customMarkFollows="1" w:id="81"/>
        <w:t>*)</w:t>
      </w:r>
    </w:p>
    <w:p w:rsidR="003B6E11" w:rsidRPr="003B6E11" w:rsidRDefault="003B6E11" w:rsidP="003B6E11">
      <w:pPr>
        <w:widowControl w:val="0"/>
        <w:tabs>
          <w:tab w:val="left" w:pos="567"/>
        </w:tabs>
        <w:spacing w:before="120"/>
        <w:ind w:left="567" w:hanging="567"/>
        <w:rPr>
          <w:rFonts w:cs="Arial"/>
          <w:snapToGrid w:val="0"/>
          <w:szCs w:val="20"/>
          <w:lang w:val="cs-CZ"/>
        </w:rPr>
      </w:pPr>
      <w:r w:rsidRPr="003B6E11">
        <w:rPr>
          <w:lang w:val="cs-CZ"/>
        </w:rPr>
        <w:t>3.4</w:t>
      </w:r>
      <w:r w:rsidRPr="003B6E11">
        <w:rPr>
          <w:lang w:val="cs-CZ"/>
        </w:rPr>
        <w:tab/>
        <w:t>Kormidelní zařízení</w:t>
      </w:r>
    </w:p>
    <w:p w:rsidR="003B6E11" w:rsidRPr="003B6E11" w:rsidRDefault="003B6E11" w:rsidP="003B6E11">
      <w:pPr>
        <w:tabs>
          <w:tab w:val="left" w:pos="567"/>
          <w:tab w:val="left" w:leader="dot" w:pos="9072"/>
        </w:tabs>
        <w:spacing w:before="120"/>
        <w:ind w:left="567"/>
        <w:rPr>
          <w:rFonts w:cs="Arial"/>
          <w:szCs w:val="20"/>
          <w:lang w:val="cs-CZ"/>
        </w:rPr>
      </w:pPr>
      <w:r w:rsidRPr="003B6E11">
        <w:rPr>
          <w:lang w:val="cs-CZ"/>
        </w:rPr>
        <w:t xml:space="preserve">Typ: </w:t>
      </w:r>
      <w:r w:rsidRPr="003B6E11">
        <w:rPr>
          <w:lang w:val="cs-CZ"/>
        </w:rPr>
        <w:tab/>
      </w:r>
    </w:p>
    <w:p w:rsidR="003B6E11" w:rsidRPr="003B6E11" w:rsidRDefault="003B6E11" w:rsidP="003B6E11">
      <w:pPr>
        <w:tabs>
          <w:tab w:val="left" w:pos="567"/>
        </w:tabs>
        <w:spacing w:before="120"/>
        <w:ind w:left="567" w:hanging="567"/>
        <w:rPr>
          <w:rFonts w:cs="Arial"/>
          <w:szCs w:val="20"/>
          <w:lang w:val="cs-CZ"/>
        </w:rPr>
      </w:pPr>
      <w:r w:rsidRPr="003B6E11">
        <w:rPr>
          <w:lang w:val="cs-CZ"/>
        </w:rPr>
        <w:t>4.</w:t>
      </w:r>
      <w:r w:rsidRPr="003B6E11">
        <w:rPr>
          <w:lang w:val="cs-CZ"/>
        </w:rPr>
        <w:tab/>
        <w:t>Pomocná zařízení:</w:t>
      </w:r>
    </w:p>
    <w:p w:rsidR="003B6E11" w:rsidRPr="003B6E11" w:rsidRDefault="003B6E11" w:rsidP="003B6E11">
      <w:pPr>
        <w:rPr>
          <w:rFonts w:cs="Arial"/>
          <w:szCs w:val="20"/>
          <w:lang w:val="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4"/>
        <w:gridCol w:w="1599"/>
        <w:gridCol w:w="1277"/>
        <w:gridCol w:w="998"/>
        <w:gridCol w:w="1006"/>
        <w:gridCol w:w="1199"/>
        <w:gridCol w:w="1079"/>
      </w:tblGrid>
      <w:tr w:rsidR="003B6E11" w:rsidRPr="003B6E11" w:rsidTr="002D015D">
        <w:trPr>
          <w:trHeight w:val="340"/>
          <w:jc w:val="center"/>
        </w:trPr>
        <w:tc>
          <w:tcPr>
            <w:tcW w:w="634"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Číslo</w:t>
            </w:r>
          </w:p>
        </w:tc>
        <w:tc>
          <w:tcPr>
            <w:tcW w:w="159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Pohon</w:t>
            </w:r>
          </w:p>
        </w:tc>
        <w:tc>
          <w:tcPr>
            <w:tcW w:w="1277"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Výrobce</w:t>
            </w:r>
          </w:p>
        </w:tc>
        <w:tc>
          <w:tcPr>
            <w:tcW w:w="998"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Typ</w:t>
            </w:r>
          </w:p>
        </w:tc>
        <w:tc>
          <w:tcPr>
            <w:tcW w:w="1006"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Rok výroby</w:t>
            </w:r>
          </w:p>
        </w:tc>
        <w:tc>
          <w:tcPr>
            <w:tcW w:w="119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Výkon (kW)</w:t>
            </w:r>
          </w:p>
        </w:tc>
        <w:tc>
          <w:tcPr>
            <w:tcW w:w="107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Otáčky motoru (min</w:t>
            </w:r>
            <w:r w:rsidRPr="003B6E11">
              <w:rPr>
                <w:sz w:val="16"/>
                <w:vertAlign w:val="superscript"/>
                <w:lang w:val="cs-CZ"/>
              </w:rPr>
              <w:t>-1</w:t>
            </w:r>
            <w:r w:rsidRPr="003B6E11">
              <w:rPr>
                <w:sz w:val="16"/>
                <w:lang w:val="cs-CZ"/>
              </w:rPr>
              <w:t>)</w:t>
            </w:r>
          </w:p>
        </w:tc>
      </w:tr>
      <w:tr w:rsidR="003B6E11" w:rsidRPr="003B6E11" w:rsidTr="002D015D">
        <w:trPr>
          <w:trHeight w:val="340"/>
          <w:jc w:val="center"/>
        </w:trPr>
        <w:tc>
          <w:tcPr>
            <w:tcW w:w="634" w:type="dxa"/>
            <w:tcBorders>
              <w:top w:val="single" w:sz="4" w:space="0" w:color="auto"/>
              <w:left w:val="single" w:sz="4" w:space="0" w:color="auto"/>
              <w:bottom w:val="single" w:sz="4" w:space="0" w:color="auto"/>
              <w:right w:val="single" w:sz="4" w:space="0" w:color="auto"/>
            </w:tcBorders>
            <w:vAlign w:val="center"/>
          </w:tcPr>
          <w:p w:rsidR="003B6E11" w:rsidRPr="003B6E11" w:rsidRDefault="003B6E11" w:rsidP="002D015D">
            <w:pPr>
              <w:widowControl w:val="0"/>
              <w:spacing w:before="60"/>
              <w:jc w:val="center"/>
              <w:rPr>
                <w:rFonts w:cs="Arial"/>
                <w:snapToGrid w:val="0"/>
                <w:sz w:val="16"/>
                <w:szCs w:val="16"/>
                <w:lang w:val="cs-CZ"/>
              </w:rPr>
            </w:pPr>
            <w:r w:rsidRPr="003B6E11">
              <w:rPr>
                <w:snapToGrid w:val="0"/>
                <w:sz w:val="16"/>
                <w:lang w:val="cs-CZ"/>
              </w:rPr>
              <w:t>1</w:t>
            </w:r>
          </w:p>
        </w:tc>
        <w:tc>
          <w:tcPr>
            <w:tcW w:w="159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277"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998"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006"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19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07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r>
      <w:tr w:rsidR="003B6E11" w:rsidRPr="003B6E11" w:rsidTr="002D015D">
        <w:trPr>
          <w:trHeight w:val="340"/>
          <w:jc w:val="center"/>
        </w:trPr>
        <w:tc>
          <w:tcPr>
            <w:tcW w:w="634"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2</w:t>
            </w:r>
          </w:p>
        </w:tc>
        <w:tc>
          <w:tcPr>
            <w:tcW w:w="159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277"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998"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006"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19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07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r>
      <w:tr w:rsidR="003B6E11" w:rsidRPr="003B6E11" w:rsidTr="002D015D">
        <w:trPr>
          <w:trHeight w:val="340"/>
          <w:jc w:val="center"/>
        </w:trPr>
        <w:tc>
          <w:tcPr>
            <w:tcW w:w="634"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3</w:t>
            </w:r>
          </w:p>
        </w:tc>
        <w:tc>
          <w:tcPr>
            <w:tcW w:w="159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277"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998"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006"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19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07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r>
      <w:tr w:rsidR="003B6E11" w:rsidRPr="003B6E11" w:rsidTr="002D015D">
        <w:trPr>
          <w:trHeight w:val="340"/>
          <w:jc w:val="center"/>
        </w:trPr>
        <w:tc>
          <w:tcPr>
            <w:tcW w:w="634"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4</w:t>
            </w:r>
          </w:p>
        </w:tc>
        <w:tc>
          <w:tcPr>
            <w:tcW w:w="159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277"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998"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006"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19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07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r>
      <w:tr w:rsidR="003B6E11" w:rsidRPr="003B6E11" w:rsidTr="002D015D">
        <w:trPr>
          <w:trHeight w:val="340"/>
          <w:jc w:val="center"/>
        </w:trPr>
        <w:tc>
          <w:tcPr>
            <w:tcW w:w="634"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5</w:t>
            </w:r>
          </w:p>
        </w:tc>
        <w:tc>
          <w:tcPr>
            <w:tcW w:w="159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277"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998"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006"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19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c>
          <w:tcPr>
            <w:tcW w:w="107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lang w:val="cs-CZ"/>
              </w:rPr>
            </w:pPr>
          </w:p>
        </w:tc>
      </w:tr>
    </w:tbl>
    <w:p w:rsidR="003B6E11" w:rsidRPr="003B6E11" w:rsidRDefault="003B6E11" w:rsidP="003B6E11">
      <w:pPr>
        <w:ind w:left="1418"/>
        <w:rPr>
          <w:rFonts w:cs="Arial"/>
          <w:sz w:val="16"/>
          <w:szCs w:val="16"/>
          <w:lang w:val="cs-CZ"/>
        </w:rPr>
      </w:pPr>
    </w:p>
    <w:p w:rsidR="003B6E11" w:rsidRPr="003B6E11" w:rsidRDefault="003B6E11" w:rsidP="003B6E11">
      <w:pPr>
        <w:tabs>
          <w:tab w:val="left" w:pos="567"/>
          <w:tab w:val="left" w:leader="dot" w:pos="9072"/>
        </w:tabs>
        <w:ind w:left="567" w:hanging="567"/>
        <w:rPr>
          <w:rFonts w:cs="Arial"/>
          <w:szCs w:val="20"/>
          <w:lang w:val="cs-CZ"/>
        </w:rPr>
      </w:pPr>
      <w:r w:rsidRPr="003B6E11">
        <w:rPr>
          <w:lang w:val="cs-CZ"/>
        </w:rPr>
        <w:t>5.</w:t>
      </w:r>
      <w:r w:rsidRPr="003B6E11">
        <w:rPr>
          <w:lang w:val="cs-CZ"/>
        </w:rPr>
        <w:tab/>
        <w:t xml:space="preserve">Provedená opatření pro snížení hluku: </w:t>
      </w:r>
      <w:r w:rsidRPr="003B6E11">
        <w:rPr>
          <w:lang w:val="cs-CZ"/>
        </w:rPr>
        <w:tab/>
      </w:r>
    </w:p>
    <w:p w:rsidR="003B6E11" w:rsidRPr="003B6E11" w:rsidRDefault="003B6E11" w:rsidP="003B6E11">
      <w:pPr>
        <w:tabs>
          <w:tab w:val="left" w:leader="dot" w:pos="9072"/>
        </w:tabs>
        <w:spacing w:before="120"/>
        <w:ind w:left="567"/>
        <w:rPr>
          <w:rFonts w:cs="Arial"/>
          <w:szCs w:val="20"/>
          <w:lang w:val="cs-CZ"/>
        </w:rPr>
      </w:pPr>
      <w:r w:rsidRPr="003B6E11">
        <w:rPr>
          <w:lang w:val="cs-CZ"/>
        </w:rPr>
        <w:tab/>
      </w:r>
    </w:p>
    <w:p w:rsidR="003B6E11" w:rsidRPr="003B6E11" w:rsidRDefault="003B6E11" w:rsidP="003B6E11">
      <w:pPr>
        <w:tabs>
          <w:tab w:val="left" w:leader="dot" w:pos="9072"/>
        </w:tabs>
        <w:spacing w:before="120"/>
        <w:ind w:left="567"/>
        <w:rPr>
          <w:rFonts w:cs="Arial"/>
          <w:szCs w:val="20"/>
          <w:lang w:val="cs-CZ"/>
        </w:rPr>
      </w:pPr>
      <w:r w:rsidRPr="003B6E11">
        <w:rPr>
          <w:lang w:val="cs-CZ"/>
        </w:rPr>
        <w:tab/>
      </w:r>
    </w:p>
    <w:p w:rsidR="003B6E11" w:rsidRPr="003B6E11" w:rsidRDefault="003B6E11" w:rsidP="003B6E11">
      <w:pPr>
        <w:tabs>
          <w:tab w:val="left" w:pos="567"/>
          <w:tab w:val="left" w:leader="dot" w:pos="9072"/>
        </w:tabs>
        <w:spacing w:before="120"/>
        <w:ind w:left="567" w:hanging="567"/>
        <w:rPr>
          <w:rFonts w:cs="Arial"/>
          <w:szCs w:val="20"/>
          <w:lang w:val="cs-CZ"/>
        </w:rPr>
      </w:pPr>
      <w:r w:rsidRPr="003B6E11">
        <w:rPr>
          <w:lang w:val="cs-CZ"/>
        </w:rPr>
        <w:t>6.</w:t>
      </w:r>
      <w:r w:rsidRPr="003B6E11">
        <w:rPr>
          <w:lang w:val="cs-CZ"/>
        </w:rPr>
        <w:tab/>
        <w:t xml:space="preserve">Poznámky: </w:t>
      </w:r>
      <w:r w:rsidRPr="003B6E11">
        <w:rPr>
          <w:lang w:val="cs-CZ"/>
        </w:rPr>
        <w:tab/>
      </w:r>
    </w:p>
    <w:p w:rsidR="003B6E11" w:rsidRPr="003B6E11" w:rsidRDefault="003B6E11" w:rsidP="003B6E11">
      <w:pPr>
        <w:tabs>
          <w:tab w:val="left" w:leader="dot" w:pos="9072"/>
        </w:tabs>
        <w:spacing w:before="120"/>
        <w:ind w:left="567"/>
        <w:rPr>
          <w:rFonts w:cs="Arial"/>
          <w:szCs w:val="20"/>
          <w:lang w:val="cs-CZ"/>
        </w:rPr>
      </w:pPr>
      <w:r w:rsidRPr="003B6E11">
        <w:rPr>
          <w:lang w:val="cs-CZ"/>
        </w:rPr>
        <w:tab/>
      </w:r>
    </w:p>
    <w:p w:rsidR="003B6E11" w:rsidRPr="003B6E11" w:rsidRDefault="003B6E11" w:rsidP="003B6E11">
      <w:pPr>
        <w:tabs>
          <w:tab w:val="left" w:leader="dot" w:pos="9072"/>
        </w:tabs>
        <w:spacing w:before="120"/>
        <w:ind w:left="567"/>
        <w:rPr>
          <w:rFonts w:cs="Arial"/>
          <w:szCs w:val="20"/>
          <w:lang w:val="cs-CZ"/>
        </w:rPr>
      </w:pPr>
      <w:r w:rsidRPr="003B6E11">
        <w:rPr>
          <w:lang w:val="cs-CZ"/>
        </w:rPr>
        <w:tab/>
      </w:r>
    </w:p>
    <w:p w:rsidR="003B6E11" w:rsidRPr="003B6E11" w:rsidRDefault="003B6E11" w:rsidP="003B6E11">
      <w:pPr>
        <w:tabs>
          <w:tab w:val="left" w:leader="dot" w:pos="9072"/>
        </w:tabs>
        <w:ind w:left="720"/>
        <w:rPr>
          <w:rFonts w:cs="Arial"/>
          <w:szCs w:val="20"/>
          <w:lang w:val="cs-CZ"/>
        </w:rPr>
      </w:pPr>
    </w:p>
    <w:p w:rsidR="003B6E11" w:rsidRPr="003B6E11" w:rsidRDefault="003B6E11" w:rsidP="003B6E11">
      <w:pPr>
        <w:spacing w:before="60"/>
        <w:rPr>
          <w:rFonts w:cs="Arial"/>
          <w:szCs w:val="20"/>
          <w:lang w:val="cs-CZ"/>
        </w:rPr>
      </w:pPr>
      <w:r w:rsidRPr="003B6E11">
        <w:rPr>
          <w:lang w:val="cs-CZ"/>
        </w:rPr>
        <w:br w:type="page"/>
      </w:r>
    </w:p>
    <w:p w:rsidR="003B6E11" w:rsidRPr="003B6E11" w:rsidRDefault="003B6E11" w:rsidP="003B6E11">
      <w:pPr>
        <w:tabs>
          <w:tab w:val="left" w:pos="567"/>
        </w:tabs>
        <w:ind w:left="567" w:hanging="567"/>
        <w:rPr>
          <w:b/>
          <w:lang w:val="cs-CZ"/>
        </w:rPr>
      </w:pPr>
      <w:r w:rsidRPr="003B6E11">
        <w:rPr>
          <w:b/>
          <w:lang w:val="cs-CZ"/>
        </w:rPr>
        <w:t>B</w:t>
      </w:r>
      <w:r w:rsidRPr="003B6E11">
        <w:rPr>
          <w:lang w:val="cs-CZ"/>
        </w:rPr>
        <w:tab/>
      </w:r>
      <w:r w:rsidRPr="003B6E11">
        <w:rPr>
          <w:b/>
          <w:lang w:val="cs-CZ"/>
        </w:rPr>
        <w:t>Použité měřicí přístroje</w:t>
      </w:r>
    </w:p>
    <w:p w:rsidR="003B6E11" w:rsidRPr="003B6E11" w:rsidRDefault="003B6E11" w:rsidP="003B6E11">
      <w:pPr>
        <w:widowControl w:val="0"/>
        <w:tabs>
          <w:tab w:val="left" w:pos="567"/>
          <w:tab w:val="left" w:pos="709"/>
        </w:tabs>
        <w:spacing w:before="120"/>
        <w:ind w:left="567" w:hanging="567"/>
        <w:rPr>
          <w:rFonts w:cs="Arial"/>
          <w:snapToGrid w:val="0"/>
          <w:szCs w:val="20"/>
          <w:lang w:val="cs-CZ"/>
        </w:rPr>
      </w:pPr>
      <w:r w:rsidRPr="003B6E11">
        <w:rPr>
          <w:lang w:val="cs-CZ"/>
        </w:rPr>
        <w:t>1.</w:t>
      </w:r>
      <w:r w:rsidRPr="003B6E11">
        <w:rPr>
          <w:lang w:val="cs-CZ"/>
        </w:rPr>
        <w:tab/>
        <w:t>Měřič hladiny akustického tlaku</w:t>
      </w:r>
    </w:p>
    <w:p w:rsidR="003B6E11" w:rsidRPr="003B6E11" w:rsidRDefault="003B6E11" w:rsidP="003B6E11">
      <w:pPr>
        <w:tabs>
          <w:tab w:val="left" w:pos="567"/>
          <w:tab w:val="left" w:leader="dot" w:pos="4678"/>
          <w:tab w:val="left" w:pos="4962"/>
          <w:tab w:val="left" w:leader="dot" w:pos="6663"/>
          <w:tab w:val="left" w:pos="6804"/>
          <w:tab w:val="left" w:leader="dot" w:pos="9072"/>
        </w:tabs>
        <w:spacing w:before="120"/>
        <w:ind w:left="567"/>
        <w:rPr>
          <w:rFonts w:cs="Arial"/>
          <w:szCs w:val="20"/>
          <w:lang w:val="cs-CZ"/>
        </w:rPr>
      </w:pPr>
      <w:r w:rsidRPr="003B6E11">
        <w:rPr>
          <w:lang w:val="cs-CZ"/>
        </w:rPr>
        <w:t>Výrobce:</w:t>
      </w:r>
      <w:r w:rsidRPr="003B6E11">
        <w:rPr>
          <w:lang w:val="cs-CZ"/>
        </w:rPr>
        <w:tab/>
      </w:r>
      <w:r w:rsidRPr="003B6E11">
        <w:rPr>
          <w:lang w:val="cs-CZ"/>
        </w:rPr>
        <w:tab/>
        <w:t xml:space="preserve">Typ: </w:t>
      </w:r>
      <w:r w:rsidRPr="003B6E11">
        <w:rPr>
          <w:lang w:val="cs-CZ"/>
        </w:rPr>
        <w:tab/>
      </w:r>
      <w:r w:rsidRPr="003B6E11">
        <w:rPr>
          <w:lang w:val="cs-CZ"/>
        </w:rPr>
        <w:tab/>
        <w:t xml:space="preserve">Poslední kontrola: </w:t>
      </w:r>
      <w:r w:rsidRPr="003B6E11">
        <w:rPr>
          <w:lang w:val="cs-CZ"/>
        </w:rPr>
        <w:tab/>
      </w:r>
    </w:p>
    <w:p w:rsidR="003B6E11" w:rsidRPr="003B6E11" w:rsidRDefault="003B6E11" w:rsidP="003B6E11">
      <w:pPr>
        <w:widowControl w:val="0"/>
        <w:tabs>
          <w:tab w:val="left" w:pos="567"/>
          <w:tab w:val="left" w:pos="709"/>
        </w:tabs>
        <w:spacing w:before="120"/>
        <w:ind w:left="567" w:hanging="567"/>
        <w:rPr>
          <w:rFonts w:cs="Arial"/>
          <w:snapToGrid w:val="0"/>
          <w:szCs w:val="20"/>
          <w:lang w:val="cs-CZ"/>
        </w:rPr>
      </w:pPr>
      <w:r w:rsidRPr="003B6E11">
        <w:rPr>
          <w:lang w:val="cs-CZ"/>
        </w:rPr>
        <w:t>2.</w:t>
      </w:r>
      <w:r w:rsidRPr="003B6E11">
        <w:rPr>
          <w:lang w:val="cs-CZ"/>
        </w:rPr>
        <w:tab/>
        <w:t>Analyzátor oktávového/třetinooktávového pásma</w:t>
      </w:r>
    </w:p>
    <w:p w:rsidR="003B6E11" w:rsidRPr="003B6E11" w:rsidRDefault="003B6E11" w:rsidP="003B6E11">
      <w:pPr>
        <w:tabs>
          <w:tab w:val="left" w:pos="567"/>
          <w:tab w:val="left" w:leader="dot" w:pos="4678"/>
          <w:tab w:val="left" w:pos="4962"/>
          <w:tab w:val="left" w:leader="dot" w:pos="6663"/>
          <w:tab w:val="left" w:pos="6804"/>
          <w:tab w:val="left" w:leader="dot" w:pos="9072"/>
        </w:tabs>
        <w:spacing w:before="120"/>
        <w:ind w:left="567"/>
        <w:rPr>
          <w:rFonts w:cs="Arial"/>
          <w:szCs w:val="20"/>
          <w:lang w:val="cs-CZ"/>
        </w:rPr>
      </w:pPr>
      <w:r w:rsidRPr="003B6E11">
        <w:rPr>
          <w:lang w:val="cs-CZ"/>
        </w:rPr>
        <w:t xml:space="preserve">Výrobce: </w:t>
      </w:r>
      <w:r w:rsidRPr="003B6E11">
        <w:rPr>
          <w:lang w:val="cs-CZ"/>
        </w:rPr>
        <w:tab/>
      </w:r>
      <w:r w:rsidRPr="003B6E11">
        <w:rPr>
          <w:lang w:val="cs-CZ"/>
        </w:rPr>
        <w:tab/>
        <w:t xml:space="preserve">Typ: </w:t>
      </w:r>
      <w:r w:rsidRPr="003B6E11">
        <w:rPr>
          <w:lang w:val="cs-CZ"/>
        </w:rPr>
        <w:tab/>
      </w:r>
      <w:r w:rsidRPr="003B6E11">
        <w:rPr>
          <w:lang w:val="cs-CZ"/>
        </w:rPr>
        <w:tab/>
        <w:t xml:space="preserve">Poslední kontrola: </w:t>
      </w:r>
      <w:r w:rsidRPr="003B6E11">
        <w:rPr>
          <w:lang w:val="cs-CZ"/>
        </w:rPr>
        <w:tab/>
      </w:r>
    </w:p>
    <w:p w:rsidR="003B6E11" w:rsidRPr="003B6E11" w:rsidRDefault="003B6E11" w:rsidP="003B6E11">
      <w:pPr>
        <w:tabs>
          <w:tab w:val="left" w:pos="567"/>
          <w:tab w:val="left" w:pos="709"/>
          <w:tab w:val="left" w:leader="dot" w:pos="5245"/>
          <w:tab w:val="left" w:pos="5529"/>
          <w:tab w:val="left" w:leader="dot" w:pos="7230"/>
          <w:tab w:val="left" w:pos="7371"/>
          <w:tab w:val="left" w:leader="dot" w:pos="9356"/>
        </w:tabs>
        <w:spacing w:before="120"/>
        <w:ind w:left="567" w:hanging="567"/>
        <w:rPr>
          <w:rFonts w:cs="Arial"/>
          <w:snapToGrid w:val="0"/>
          <w:szCs w:val="20"/>
          <w:lang w:val="cs-CZ"/>
        </w:rPr>
      </w:pPr>
      <w:r w:rsidRPr="003B6E11">
        <w:rPr>
          <w:lang w:val="cs-CZ"/>
        </w:rPr>
        <w:t>3.</w:t>
      </w:r>
      <w:r w:rsidRPr="003B6E11">
        <w:rPr>
          <w:lang w:val="cs-CZ"/>
        </w:rPr>
        <w:tab/>
        <w:t>Kalibrátor</w:t>
      </w:r>
    </w:p>
    <w:p w:rsidR="003B6E11" w:rsidRPr="003B6E11" w:rsidRDefault="003B6E11" w:rsidP="003B6E11">
      <w:pPr>
        <w:tabs>
          <w:tab w:val="left" w:pos="567"/>
          <w:tab w:val="left" w:leader="dot" w:pos="4678"/>
          <w:tab w:val="left" w:pos="4962"/>
          <w:tab w:val="left" w:leader="dot" w:pos="6663"/>
          <w:tab w:val="left" w:pos="6804"/>
          <w:tab w:val="left" w:leader="dot" w:pos="9072"/>
        </w:tabs>
        <w:spacing w:before="120"/>
        <w:ind w:left="567"/>
        <w:rPr>
          <w:rFonts w:cs="Arial"/>
          <w:szCs w:val="20"/>
          <w:lang w:val="cs-CZ"/>
        </w:rPr>
      </w:pPr>
      <w:r w:rsidRPr="003B6E11">
        <w:rPr>
          <w:lang w:val="cs-CZ"/>
        </w:rPr>
        <w:t xml:space="preserve">Výrobce: </w:t>
      </w:r>
      <w:r w:rsidRPr="003B6E11">
        <w:rPr>
          <w:lang w:val="cs-CZ"/>
        </w:rPr>
        <w:tab/>
      </w:r>
      <w:r w:rsidRPr="003B6E11">
        <w:rPr>
          <w:lang w:val="cs-CZ"/>
        </w:rPr>
        <w:tab/>
        <w:t xml:space="preserve">Typ: </w:t>
      </w:r>
      <w:r w:rsidRPr="003B6E11">
        <w:rPr>
          <w:lang w:val="cs-CZ"/>
        </w:rPr>
        <w:tab/>
      </w:r>
      <w:r w:rsidRPr="003B6E11">
        <w:rPr>
          <w:lang w:val="cs-CZ"/>
        </w:rPr>
        <w:tab/>
        <w:t xml:space="preserve">Poslední kontrola: </w:t>
      </w:r>
      <w:r w:rsidRPr="003B6E11">
        <w:rPr>
          <w:lang w:val="cs-CZ"/>
        </w:rPr>
        <w:tab/>
      </w:r>
    </w:p>
    <w:p w:rsidR="003B6E11" w:rsidRPr="003B6E11" w:rsidRDefault="003B6E11" w:rsidP="003B6E11">
      <w:pPr>
        <w:tabs>
          <w:tab w:val="left" w:pos="567"/>
        </w:tabs>
        <w:spacing w:before="120"/>
        <w:ind w:left="567" w:hanging="567"/>
        <w:rPr>
          <w:rFonts w:cs="Arial"/>
          <w:szCs w:val="20"/>
          <w:lang w:val="cs-CZ"/>
        </w:rPr>
      </w:pPr>
      <w:r w:rsidRPr="003B6E11">
        <w:rPr>
          <w:lang w:val="cs-CZ"/>
        </w:rPr>
        <w:t>4.</w:t>
      </w:r>
      <w:r w:rsidRPr="003B6E11">
        <w:rPr>
          <w:lang w:val="cs-CZ"/>
        </w:rPr>
        <w:tab/>
        <w:t>Příslušenství</w:t>
      </w:r>
    </w:p>
    <w:p w:rsidR="003B6E11" w:rsidRPr="003B6E11" w:rsidRDefault="003B6E11" w:rsidP="003B6E11">
      <w:pPr>
        <w:tabs>
          <w:tab w:val="left" w:pos="567"/>
          <w:tab w:val="left" w:leader="dot" w:pos="9072"/>
        </w:tabs>
        <w:spacing w:before="120"/>
        <w:ind w:left="567"/>
        <w:rPr>
          <w:rFonts w:cs="Arial"/>
          <w:szCs w:val="20"/>
          <w:lang w:val="cs-CZ"/>
        </w:rPr>
      </w:pPr>
      <w:r w:rsidRPr="003B6E11">
        <w:rPr>
          <w:lang w:val="cs-CZ"/>
        </w:rPr>
        <w:tab/>
      </w:r>
    </w:p>
    <w:p w:rsidR="003B6E11" w:rsidRPr="003B6E11" w:rsidRDefault="003B6E11" w:rsidP="003B6E11">
      <w:pPr>
        <w:tabs>
          <w:tab w:val="left" w:pos="567"/>
          <w:tab w:val="left" w:pos="709"/>
          <w:tab w:val="left" w:leader="dot" w:pos="9072"/>
        </w:tabs>
        <w:spacing w:before="120"/>
        <w:ind w:left="567" w:hanging="567"/>
        <w:rPr>
          <w:rFonts w:cs="Arial"/>
          <w:szCs w:val="20"/>
          <w:lang w:val="cs-CZ"/>
        </w:rPr>
      </w:pPr>
      <w:r w:rsidRPr="003B6E11">
        <w:rPr>
          <w:lang w:val="cs-CZ"/>
        </w:rPr>
        <w:t>5.</w:t>
      </w:r>
      <w:r w:rsidRPr="003B6E11">
        <w:rPr>
          <w:lang w:val="cs-CZ"/>
        </w:rPr>
        <w:tab/>
        <w:t xml:space="preserve">Poznámky: </w:t>
      </w:r>
      <w:r w:rsidRPr="003B6E11">
        <w:rPr>
          <w:lang w:val="cs-CZ"/>
        </w:rPr>
        <w:tab/>
      </w:r>
    </w:p>
    <w:p w:rsidR="003B6E11" w:rsidRPr="003B6E11" w:rsidRDefault="003B6E11" w:rsidP="003B6E11">
      <w:pPr>
        <w:tabs>
          <w:tab w:val="left" w:pos="567"/>
          <w:tab w:val="left" w:leader="dot" w:pos="9072"/>
        </w:tabs>
        <w:spacing w:before="120"/>
        <w:ind w:left="567"/>
        <w:rPr>
          <w:rFonts w:cs="Arial"/>
          <w:szCs w:val="20"/>
          <w:lang w:val="cs-CZ"/>
        </w:rPr>
      </w:pPr>
      <w:r w:rsidRPr="003B6E11">
        <w:rPr>
          <w:lang w:val="cs-CZ"/>
        </w:rPr>
        <w:tab/>
      </w:r>
    </w:p>
    <w:p w:rsidR="003B6E11" w:rsidRPr="003B6E11" w:rsidRDefault="003B6E11" w:rsidP="003B6E11">
      <w:pPr>
        <w:tabs>
          <w:tab w:val="left" w:pos="567"/>
          <w:tab w:val="left" w:leader="dot" w:pos="9072"/>
        </w:tabs>
        <w:spacing w:before="120"/>
        <w:ind w:left="567"/>
        <w:rPr>
          <w:rFonts w:cs="Arial"/>
          <w:szCs w:val="20"/>
          <w:lang w:val="cs-CZ"/>
        </w:rPr>
      </w:pPr>
      <w:r w:rsidRPr="003B6E11">
        <w:rPr>
          <w:lang w:val="cs-CZ"/>
        </w:rPr>
        <w:tab/>
      </w:r>
    </w:p>
    <w:p w:rsidR="003B6E11" w:rsidRPr="003B6E11" w:rsidRDefault="003B6E11" w:rsidP="003B6E11">
      <w:pPr>
        <w:tabs>
          <w:tab w:val="left" w:pos="567"/>
        </w:tabs>
        <w:spacing w:before="60"/>
        <w:ind w:left="567" w:hanging="567"/>
        <w:rPr>
          <w:rFonts w:cs="Arial"/>
          <w:szCs w:val="20"/>
          <w:lang w:val="cs-CZ"/>
        </w:rPr>
      </w:pPr>
    </w:p>
    <w:p w:rsidR="003B6E11" w:rsidRPr="003B6E11" w:rsidRDefault="003B6E11" w:rsidP="003B6E11">
      <w:pPr>
        <w:tabs>
          <w:tab w:val="left" w:pos="567"/>
        </w:tabs>
        <w:ind w:left="567" w:hanging="567"/>
        <w:rPr>
          <w:b/>
          <w:lang w:val="cs-CZ"/>
        </w:rPr>
      </w:pPr>
      <w:r w:rsidRPr="003B6E11">
        <w:rPr>
          <w:b/>
          <w:lang w:val="cs-CZ"/>
        </w:rPr>
        <w:t>C</w:t>
      </w:r>
      <w:r w:rsidRPr="003B6E11">
        <w:rPr>
          <w:lang w:val="cs-CZ"/>
        </w:rPr>
        <w:tab/>
      </w:r>
      <w:r w:rsidRPr="003B6E11">
        <w:rPr>
          <w:b/>
          <w:lang w:val="cs-CZ"/>
        </w:rPr>
        <w:t>Podmínky měření – plavidlo</w:t>
      </w:r>
    </w:p>
    <w:p w:rsidR="003B6E11" w:rsidRPr="003B6E11" w:rsidRDefault="003B6E11" w:rsidP="003B6E11">
      <w:pPr>
        <w:tabs>
          <w:tab w:val="left" w:pos="567"/>
          <w:tab w:val="left" w:pos="709"/>
          <w:tab w:val="left" w:leader="dot" w:pos="9072"/>
        </w:tabs>
        <w:spacing w:before="120"/>
        <w:ind w:left="567" w:hanging="567"/>
        <w:rPr>
          <w:rFonts w:cs="Arial"/>
          <w:szCs w:val="20"/>
          <w:lang w:val="cs-CZ"/>
        </w:rPr>
      </w:pPr>
      <w:r w:rsidRPr="003B6E11">
        <w:rPr>
          <w:lang w:val="cs-CZ"/>
        </w:rPr>
        <w:t>1.</w:t>
      </w:r>
      <w:r w:rsidRPr="003B6E11">
        <w:rPr>
          <w:lang w:val="cs-CZ"/>
        </w:rPr>
        <w:tab/>
        <w:t xml:space="preserve">Tvar sestavy během měření: </w:t>
      </w:r>
      <w:r w:rsidRPr="003B6E11">
        <w:rPr>
          <w:lang w:val="cs-CZ"/>
        </w:rPr>
        <w:tab/>
      </w:r>
    </w:p>
    <w:p w:rsidR="003B6E11" w:rsidRPr="003B6E11" w:rsidRDefault="003B6E11" w:rsidP="003B6E11">
      <w:pPr>
        <w:tabs>
          <w:tab w:val="left" w:pos="567"/>
          <w:tab w:val="left" w:pos="709"/>
          <w:tab w:val="left" w:leader="dot" w:pos="4820"/>
          <w:tab w:val="left" w:pos="4962"/>
        </w:tabs>
        <w:spacing w:before="120"/>
        <w:ind w:left="567" w:hanging="567"/>
        <w:rPr>
          <w:rFonts w:cs="Arial"/>
          <w:szCs w:val="20"/>
          <w:lang w:val="cs-CZ"/>
        </w:rPr>
      </w:pPr>
      <w:r w:rsidRPr="003B6E11">
        <w:rPr>
          <w:lang w:val="cs-CZ"/>
        </w:rPr>
        <w:t>2.</w:t>
      </w:r>
      <w:r w:rsidRPr="003B6E11">
        <w:rPr>
          <w:lang w:val="cs-CZ"/>
        </w:rPr>
        <w:tab/>
        <w:t xml:space="preserve">Zatížení/výtlak: </w:t>
      </w:r>
      <w:r w:rsidRPr="003B6E11">
        <w:rPr>
          <w:lang w:val="cs-CZ"/>
        </w:rPr>
        <w:tab/>
      </w:r>
      <w:r w:rsidRPr="003B6E11">
        <w:rPr>
          <w:lang w:val="cs-CZ"/>
        </w:rPr>
        <w:tab/>
        <w:t xml:space="preserve">t/m³ </w:t>
      </w:r>
      <w:r w:rsidRPr="003B6E11">
        <w:rPr>
          <w:vertAlign w:val="superscript"/>
          <w:lang w:val="cs-CZ"/>
        </w:rPr>
        <w:t>*)</w:t>
      </w:r>
      <w:r w:rsidRPr="003B6E11">
        <w:rPr>
          <w:lang w:val="cs-CZ"/>
        </w:rPr>
        <w:t xml:space="preserve"> (přibližně … % maximální hodnoty)</w:t>
      </w:r>
    </w:p>
    <w:p w:rsidR="003B6E11" w:rsidRPr="003B6E11" w:rsidRDefault="003B6E11" w:rsidP="003B6E11">
      <w:pPr>
        <w:tabs>
          <w:tab w:val="left" w:pos="567"/>
          <w:tab w:val="left" w:pos="709"/>
          <w:tab w:val="left" w:leader="dot" w:pos="4820"/>
          <w:tab w:val="left" w:pos="4962"/>
        </w:tabs>
        <w:spacing w:before="120"/>
        <w:ind w:left="567" w:hanging="567"/>
        <w:rPr>
          <w:rFonts w:cs="Arial"/>
          <w:szCs w:val="20"/>
          <w:lang w:val="cs-CZ"/>
        </w:rPr>
      </w:pPr>
      <w:r w:rsidRPr="003B6E11">
        <w:rPr>
          <w:lang w:val="cs-CZ"/>
        </w:rPr>
        <w:t>3.</w:t>
      </w:r>
      <w:r w:rsidRPr="003B6E11">
        <w:rPr>
          <w:lang w:val="cs-CZ"/>
        </w:rPr>
        <w:tab/>
        <w:t>Otáčky hlavního motoru:</w:t>
      </w:r>
      <w:r w:rsidRPr="003B6E11">
        <w:rPr>
          <w:lang w:val="cs-CZ"/>
        </w:rPr>
        <w:tab/>
      </w:r>
      <w:r w:rsidRPr="003B6E11">
        <w:rPr>
          <w:lang w:val="cs-CZ"/>
        </w:rPr>
        <w:tab/>
        <w:t>min</w:t>
      </w:r>
      <w:r w:rsidRPr="003B6E11">
        <w:rPr>
          <w:vertAlign w:val="superscript"/>
          <w:lang w:val="cs-CZ"/>
        </w:rPr>
        <w:t>-1</w:t>
      </w:r>
      <w:r w:rsidRPr="003B6E11">
        <w:rPr>
          <w:lang w:val="cs-CZ"/>
        </w:rPr>
        <w:t xml:space="preserve"> (přibližně … % maximální hodnoty)</w:t>
      </w:r>
    </w:p>
    <w:p w:rsidR="003B6E11" w:rsidRPr="003B6E11" w:rsidRDefault="003B6E11" w:rsidP="003B6E11">
      <w:pPr>
        <w:widowControl w:val="0"/>
        <w:tabs>
          <w:tab w:val="left" w:pos="567"/>
          <w:tab w:val="left" w:pos="709"/>
          <w:tab w:val="left" w:leader="dot" w:pos="5103"/>
          <w:tab w:val="left" w:pos="5670"/>
        </w:tabs>
        <w:spacing w:before="120"/>
        <w:ind w:left="567" w:hanging="567"/>
        <w:rPr>
          <w:rFonts w:cs="Arial"/>
          <w:snapToGrid w:val="0"/>
          <w:szCs w:val="20"/>
          <w:lang w:val="cs-CZ"/>
        </w:rPr>
      </w:pPr>
      <w:r w:rsidRPr="003B6E11">
        <w:rPr>
          <w:lang w:val="cs-CZ"/>
        </w:rPr>
        <w:t>4.</w:t>
      </w:r>
      <w:r w:rsidRPr="003B6E11">
        <w:rPr>
          <w:lang w:val="cs-CZ"/>
        </w:rPr>
        <w:tab/>
        <w:t xml:space="preserve">Počet pomocných zařízení v provozu: </w:t>
      </w:r>
      <w:r w:rsidRPr="003B6E11">
        <w:rPr>
          <w:lang w:val="cs-CZ"/>
        </w:rPr>
        <w:tab/>
      </w:r>
    </w:p>
    <w:p w:rsidR="003B6E11" w:rsidRPr="003B6E11" w:rsidRDefault="003B6E11" w:rsidP="003B6E11">
      <w:pPr>
        <w:tabs>
          <w:tab w:val="left" w:pos="567"/>
          <w:tab w:val="left" w:pos="709"/>
          <w:tab w:val="left" w:leader="dot" w:pos="9072"/>
        </w:tabs>
        <w:spacing w:before="120"/>
        <w:ind w:left="567" w:hanging="567"/>
        <w:rPr>
          <w:rFonts w:cs="Arial"/>
          <w:szCs w:val="20"/>
          <w:lang w:val="cs-CZ"/>
        </w:rPr>
      </w:pPr>
      <w:r w:rsidRPr="003B6E11">
        <w:rPr>
          <w:lang w:val="cs-CZ"/>
        </w:rPr>
        <w:t>5.</w:t>
      </w:r>
      <w:r w:rsidRPr="003B6E11">
        <w:rPr>
          <w:lang w:val="cs-CZ"/>
        </w:rPr>
        <w:tab/>
        <w:t xml:space="preserve">Poznámky: </w:t>
      </w:r>
      <w:r w:rsidRPr="003B6E11">
        <w:rPr>
          <w:lang w:val="cs-CZ"/>
        </w:rPr>
        <w:tab/>
      </w:r>
    </w:p>
    <w:p w:rsidR="003B6E11" w:rsidRPr="003B6E11" w:rsidRDefault="003B6E11" w:rsidP="003B6E11">
      <w:pPr>
        <w:tabs>
          <w:tab w:val="left" w:pos="567"/>
          <w:tab w:val="left" w:leader="dot" w:pos="9072"/>
        </w:tabs>
        <w:spacing w:before="60"/>
        <w:ind w:left="567"/>
        <w:rPr>
          <w:rFonts w:cs="Arial"/>
          <w:szCs w:val="20"/>
          <w:lang w:val="cs-CZ"/>
        </w:rPr>
      </w:pPr>
      <w:r w:rsidRPr="003B6E11">
        <w:rPr>
          <w:lang w:val="cs-CZ"/>
        </w:rPr>
        <w:tab/>
      </w:r>
    </w:p>
    <w:p w:rsidR="003B6E11" w:rsidRPr="003B6E11" w:rsidRDefault="003B6E11" w:rsidP="003B6E11">
      <w:pPr>
        <w:tabs>
          <w:tab w:val="left" w:pos="567"/>
          <w:tab w:val="left" w:leader="dot" w:pos="9072"/>
        </w:tabs>
        <w:spacing w:before="60"/>
        <w:ind w:left="567"/>
        <w:rPr>
          <w:rFonts w:cs="Arial"/>
          <w:szCs w:val="20"/>
          <w:lang w:val="cs-CZ"/>
        </w:rPr>
      </w:pPr>
      <w:r w:rsidRPr="003B6E11">
        <w:rPr>
          <w:lang w:val="cs-CZ"/>
        </w:rPr>
        <w:tab/>
      </w:r>
    </w:p>
    <w:p w:rsidR="003B6E11" w:rsidRPr="003B6E11" w:rsidRDefault="003B6E11" w:rsidP="003B6E11">
      <w:pPr>
        <w:tabs>
          <w:tab w:val="left" w:pos="567"/>
        </w:tabs>
        <w:ind w:left="567" w:hanging="567"/>
        <w:rPr>
          <w:b/>
          <w:lang w:val="cs-CZ"/>
        </w:rPr>
      </w:pPr>
    </w:p>
    <w:p w:rsidR="003B6E11" w:rsidRPr="003B6E11" w:rsidRDefault="003B6E11" w:rsidP="003B6E11">
      <w:pPr>
        <w:tabs>
          <w:tab w:val="left" w:pos="567"/>
        </w:tabs>
        <w:ind w:left="567" w:hanging="567"/>
        <w:rPr>
          <w:b/>
          <w:lang w:val="cs-CZ"/>
        </w:rPr>
      </w:pPr>
      <w:r w:rsidRPr="003B6E11">
        <w:rPr>
          <w:b/>
          <w:lang w:val="cs-CZ"/>
        </w:rPr>
        <w:t>D</w:t>
      </w:r>
      <w:r w:rsidRPr="003B6E11">
        <w:rPr>
          <w:lang w:val="cs-CZ"/>
        </w:rPr>
        <w:tab/>
      </w:r>
      <w:r w:rsidRPr="003B6E11">
        <w:rPr>
          <w:b/>
          <w:lang w:val="cs-CZ"/>
        </w:rPr>
        <w:t>Podmínky měření – okolí</w:t>
      </w:r>
    </w:p>
    <w:p w:rsidR="003B6E11" w:rsidRPr="003B6E11" w:rsidRDefault="003B6E11" w:rsidP="003B6E11">
      <w:pPr>
        <w:tabs>
          <w:tab w:val="left" w:pos="567"/>
          <w:tab w:val="left" w:pos="709"/>
          <w:tab w:val="left" w:leader="dot" w:pos="6663"/>
        </w:tabs>
        <w:spacing w:before="120"/>
        <w:ind w:left="567" w:hanging="567"/>
        <w:rPr>
          <w:rFonts w:cs="Arial"/>
          <w:szCs w:val="20"/>
          <w:lang w:val="cs-CZ"/>
        </w:rPr>
      </w:pPr>
      <w:r w:rsidRPr="003B6E11">
        <w:rPr>
          <w:lang w:val="cs-CZ"/>
        </w:rPr>
        <w:t>1.</w:t>
      </w:r>
      <w:r w:rsidRPr="003B6E11">
        <w:rPr>
          <w:lang w:val="cs-CZ"/>
        </w:rPr>
        <w:tab/>
        <w:t xml:space="preserve">Oblast měření: </w:t>
      </w:r>
      <w:r w:rsidRPr="003B6E11">
        <w:rPr>
          <w:lang w:val="cs-CZ"/>
        </w:rPr>
        <w:tab/>
        <w:t xml:space="preserve"> Proti proudu / po proudu </w:t>
      </w:r>
      <w:r w:rsidRPr="003B6E11">
        <w:rPr>
          <w:vertAlign w:val="superscript"/>
          <w:lang w:val="cs-CZ"/>
        </w:rPr>
        <w:footnoteReference w:id="82"/>
      </w:r>
    </w:p>
    <w:p w:rsidR="003B6E11" w:rsidRPr="003B6E11" w:rsidRDefault="003B6E11" w:rsidP="003B6E11">
      <w:pPr>
        <w:tabs>
          <w:tab w:val="left" w:pos="567"/>
          <w:tab w:val="left" w:pos="709"/>
          <w:tab w:val="left" w:leader="dot" w:pos="3686"/>
          <w:tab w:val="left" w:pos="4111"/>
          <w:tab w:val="left" w:leader="dot" w:pos="7088"/>
          <w:tab w:val="left" w:pos="7230"/>
          <w:tab w:val="left" w:leader="dot" w:pos="8505"/>
        </w:tabs>
        <w:spacing w:before="120"/>
        <w:ind w:left="567" w:hanging="567"/>
        <w:rPr>
          <w:rFonts w:cs="Arial"/>
          <w:szCs w:val="20"/>
          <w:lang w:val="cs-CZ"/>
        </w:rPr>
      </w:pPr>
      <w:r w:rsidRPr="003B6E11">
        <w:rPr>
          <w:lang w:val="cs-CZ"/>
        </w:rPr>
        <w:t>2.</w:t>
      </w:r>
      <w:r w:rsidRPr="003B6E11">
        <w:rPr>
          <w:lang w:val="cs-CZ"/>
        </w:rPr>
        <w:tab/>
        <w:t xml:space="preserve">Hloubka vody: </w:t>
      </w:r>
      <w:r w:rsidRPr="003B6E11">
        <w:rPr>
          <w:lang w:val="cs-CZ"/>
        </w:rPr>
        <w:tab/>
        <w:t xml:space="preserve"> m </w:t>
      </w:r>
      <w:r w:rsidRPr="003B6E11">
        <w:rPr>
          <w:lang w:val="cs-CZ"/>
        </w:rPr>
        <w:tab/>
        <w:t xml:space="preserve">(Relevantní hladina vody </w:t>
      </w:r>
      <w:r w:rsidRPr="003B6E11">
        <w:rPr>
          <w:lang w:val="cs-CZ"/>
        </w:rPr>
        <w:tab/>
      </w:r>
      <w:r w:rsidRPr="003B6E11">
        <w:rPr>
          <w:lang w:val="cs-CZ"/>
        </w:rPr>
        <w:tab/>
        <w:t xml:space="preserve">= </w:t>
      </w:r>
      <w:r w:rsidRPr="003B6E11">
        <w:rPr>
          <w:lang w:val="cs-CZ"/>
        </w:rPr>
        <w:tab/>
        <w:t xml:space="preserve"> m)</w:t>
      </w:r>
    </w:p>
    <w:p w:rsidR="003B6E11" w:rsidRPr="003B6E11" w:rsidRDefault="003B6E11" w:rsidP="003B6E11">
      <w:pPr>
        <w:widowControl w:val="0"/>
        <w:tabs>
          <w:tab w:val="left" w:pos="567"/>
          <w:tab w:val="left" w:pos="709"/>
          <w:tab w:val="left" w:leader="dot" w:pos="4678"/>
          <w:tab w:val="left" w:pos="4820"/>
          <w:tab w:val="left" w:leader="dot" w:pos="6521"/>
          <w:tab w:val="left" w:pos="6663"/>
          <w:tab w:val="left" w:pos="6946"/>
          <w:tab w:val="left" w:leader="dot" w:pos="8647"/>
        </w:tabs>
        <w:spacing w:before="120"/>
        <w:ind w:left="567" w:hanging="567"/>
        <w:rPr>
          <w:rFonts w:cs="Arial"/>
          <w:snapToGrid w:val="0"/>
          <w:szCs w:val="20"/>
          <w:lang w:val="cs-CZ"/>
        </w:rPr>
      </w:pPr>
      <w:r w:rsidRPr="003B6E11">
        <w:rPr>
          <w:lang w:val="cs-CZ"/>
        </w:rPr>
        <w:t>3.</w:t>
      </w:r>
      <w:r w:rsidRPr="003B6E11">
        <w:rPr>
          <w:lang w:val="cs-CZ"/>
        </w:rPr>
        <w:tab/>
        <w:t>Počasí:</w:t>
      </w:r>
      <w:r w:rsidRPr="003B6E11">
        <w:rPr>
          <w:lang w:val="cs-CZ"/>
        </w:rPr>
        <w:tab/>
      </w:r>
      <w:r w:rsidRPr="003B6E11">
        <w:rPr>
          <w:lang w:val="cs-CZ"/>
        </w:rPr>
        <w:tab/>
        <w:t>Teplota:</w:t>
      </w:r>
      <w:r w:rsidRPr="003B6E11">
        <w:rPr>
          <w:lang w:val="cs-CZ"/>
        </w:rPr>
        <w:tab/>
        <w:t>°C</w:t>
      </w:r>
      <w:r w:rsidRPr="003B6E11">
        <w:rPr>
          <w:lang w:val="cs-CZ"/>
        </w:rPr>
        <w:tab/>
        <w:t>Síla větru:</w:t>
      </w:r>
      <w:r w:rsidRPr="003B6E11">
        <w:rPr>
          <w:lang w:val="cs-CZ"/>
        </w:rPr>
        <w:tab/>
        <w:t xml:space="preserve"> BF</w:t>
      </w:r>
    </w:p>
    <w:p w:rsidR="003B6E11" w:rsidRPr="003B6E11" w:rsidRDefault="003B6E11" w:rsidP="003B6E11">
      <w:pPr>
        <w:tabs>
          <w:tab w:val="left" w:pos="567"/>
          <w:tab w:val="left" w:pos="709"/>
          <w:tab w:val="left" w:leader="dot" w:pos="9072"/>
        </w:tabs>
        <w:spacing w:before="120"/>
        <w:ind w:left="567" w:hanging="567"/>
        <w:rPr>
          <w:rFonts w:cs="Arial"/>
          <w:szCs w:val="20"/>
          <w:lang w:val="cs-CZ"/>
        </w:rPr>
      </w:pPr>
      <w:r w:rsidRPr="003B6E11">
        <w:rPr>
          <w:lang w:val="cs-CZ"/>
        </w:rPr>
        <w:t>4.</w:t>
      </w:r>
      <w:r w:rsidRPr="003B6E11">
        <w:rPr>
          <w:lang w:val="cs-CZ"/>
        </w:rPr>
        <w:tab/>
        <w:t>Vnější hlukové interference: ano/ne</w:t>
      </w:r>
      <w:r w:rsidRPr="003B6E11">
        <w:rPr>
          <w:vertAlign w:val="superscript"/>
          <w:lang w:val="cs-CZ"/>
        </w:rPr>
        <w:t>*)</w:t>
      </w:r>
      <w:r w:rsidRPr="003B6E11">
        <w:rPr>
          <w:lang w:val="cs-CZ"/>
        </w:rPr>
        <w:t xml:space="preserve">, pokud ano, upřesněte: </w:t>
      </w:r>
      <w:r w:rsidRPr="003B6E11">
        <w:rPr>
          <w:lang w:val="cs-CZ"/>
        </w:rPr>
        <w:tab/>
      </w:r>
    </w:p>
    <w:p w:rsidR="003B6E11" w:rsidRPr="003B6E11" w:rsidRDefault="003B6E11" w:rsidP="003B6E11">
      <w:pPr>
        <w:tabs>
          <w:tab w:val="left" w:pos="567"/>
          <w:tab w:val="left" w:pos="709"/>
          <w:tab w:val="left" w:pos="1418"/>
          <w:tab w:val="left" w:leader="dot" w:pos="9072"/>
        </w:tabs>
        <w:spacing w:before="120"/>
        <w:ind w:left="567" w:hanging="567"/>
        <w:rPr>
          <w:rFonts w:cs="Arial"/>
          <w:szCs w:val="20"/>
          <w:lang w:val="cs-CZ"/>
        </w:rPr>
      </w:pPr>
      <w:r w:rsidRPr="003B6E11">
        <w:rPr>
          <w:lang w:val="cs-CZ"/>
        </w:rPr>
        <w:t>5.</w:t>
      </w:r>
      <w:r w:rsidRPr="003B6E11">
        <w:rPr>
          <w:lang w:val="cs-CZ"/>
        </w:rPr>
        <w:tab/>
        <w:t xml:space="preserve">Poznámky: </w:t>
      </w:r>
      <w:r w:rsidRPr="003B6E11">
        <w:rPr>
          <w:lang w:val="cs-CZ"/>
        </w:rPr>
        <w:tab/>
      </w:r>
    </w:p>
    <w:p w:rsidR="003B6E11" w:rsidRPr="003B6E11" w:rsidRDefault="003B6E11" w:rsidP="003B6E11">
      <w:pPr>
        <w:tabs>
          <w:tab w:val="left" w:pos="567"/>
          <w:tab w:val="left" w:leader="dot" w:pos="9072"/>
        </w:tabs>
        <w:spacing w:before="120"/>
        <w:ind w:left="567"/>
        <w:rPr>
          <w:rFonts w:cs="Arial"/>
          <w:szCs w:val="20"/>
          <w:lang w:val="cs-CZ"/>
        </w:rPr>
      </w:pPr>
      <w:r w:rsidRPr="003B6E11">
        <w:rPr>
          <w:lang w:val="cs-CZ"/>
        </w:rPr>
        <w:tab/>
      </w:r>
    </w:p>
    <w:p w:rsidR="003B6E11" w:rsidRPr="003B6E11" w:rsidRDefault="003B6E11" w:rsidP="003B6E11">
      <w:pPr>
        <w:tabs>
          <w:tab w:val="left" w:pos="567"/>
          <w:tab w:val="left" w:leader="dot" w:pos="9072"/>
        </w:tabs>
        <w:spacing w:before="120"/>
        <w:ind w:left="567"/>
        <w:rPr>
          <w:rFonts w:cs="Arial"/>
          <w:szCs w:val="20"/>
          <w:lang w:val="cs-CZ"/>
        </w:rPr>
      </w:pPr>
      <w:r w:rsidRPr="003B6E11">
        <w:rPr>
          <w:lang w:val="cs-CZ"/>
        </w:rPr>
        <w:tab/>
      </w:r>
    </w:p>
    <w:p w:rsidR="003B6E11" w:rsidRPr="003B6E11" w:rsidRDefault="003B6E11" w:rsidP="003B6E11">
      <w:pPr>
        <w:tabs>
          <w:tab w:val="left" w:pos="567"/>
        </w:tabs>
        <w:ind w:left="567" w:hanging="567"/>
        <w:rPr>
          <w:b/>
          <w:lang w:val="cs-CZ"/>
        </w:rPr>
      </w:pPr>
    </w:p>
    <w:p w:rsidR="003B6E11" w:rsidRPr="003B6E11" w:rsidRDefault="003B6E11" w:rsidP="003B6E11">
      <w:pPr>
        <w:tabs>
          <w:tab w:val="left" w:pos="567"/>
        </w:tabs>
        <w:ind w:left="567" w:hanging="567"/>
        <w:rPr>
          <w:b/>
          <w:lang w:val="cs-CZ"/>
        </w:rPr>
      </w:pPr>
      <w:r w:rsidRPr="003B6E11">
        <w:rPr>
          <w:b/>
          <w:lang w:val="cs-CZ"/>
        </w:rPr>
        <w:t>E</w:t>
      </w:r>
      <w:r w:rsidRPr="003B6E11">
        <w:rPr>
          <w:lang w:val="cs-CZ"/>
        </w:rPr>
        <w:tab/>
      </w:r>
      <w:r w:rsidRPr="003B6E11">
        <w:rPr>
          <w:b/>
          <w:lang w:val="cs-CZ"/>
        </w:rPr>
        <w:t>Záznam měření</w:t>
      </w:r>
    </w:p>
    <w:p w:rsidR="003B6E11" w:rsidRPr="003B6E11" w:rsidRDefault="003B6E11" w:rsidP="003B6E11">
      <w:pPr>
        <w:tabs>
          <w:tab w:val="left" w:pos="567"/>
          <w:tab w:val="left" w:pos="709"/>
          <w:tab w:val="left" w:pos="1418"/>
          <w:tab w:val="left" w:leader="dot" w:pos="9072"/>
        </w:tabs>
        <w:overflowPunct w:val="0"/>
        <w:adjustRightInd w:val="0"/>
        <w:spacing w:before="120"/>
        <w:ind w:left="567" w:hanging="567"/>
        <w:textAlignment w:val="baseline"/>
        <w:rPr>
          <w:rFonts w:cs="Arial"/>
          <w:snapToGrid w:val="0"/>
          <w:szCs w:val="20"/>
          <w:lang w:val="cs-CZ"/>
        </w:rPr>
      </w:pPr>
      <w:r w:rsidRPr="003B6E11">
        <w:rPr>
          <w:lang w:val="cs-CZ"/>
        </w:rPr>
        <w:t>1.</w:t>
      </w:r>
      <w:r w:rsidRPr="003B6E11">
        <w:rPr>
          <w:lang w:val="cs-CZ"/>
        </w:rPr>
        <w:tab/>
        <w:t xml:space="preserve">Měření provedl(a): </w:t>
      </w:r>
      <w:r w:rsidRPr="003B6E11">
        <w:rPr>
          <w:lang w:val="cs-CZ"/>
        </w:rPr>
        <w:tab/>
      </w:r>
    </w:p>
    <w:p w:rsidR="003B6E11" w:rsidRPr="003B6E11" w:rsidRDefault="003B6E11" w:rsidP="003B6E11">
      <w:pPr>
        <w:tabs>
          <w:tab w:val="left" w:pos="567"/>
          <w:tab w:val="left" w:pos="709"/>
          <w:tab w:val="left" w:leader="dot" w:pos="2268"/>
        </w:tabs>
        <w:spacing w:before="120"/>
        <w:ind w:left="567" w:hanging="567"/>
        <w:rPr>
          <w:rFonts w:cs="Arial"/>
          <w:szCs w:val="20"/>
          <w:lang w:val="cs-CZ"/>
        </w:rPr>
      </w:pPr>
      <w:r w:rsidRPr="003B6E11">
        <w:rPr>
          <w:lang w:val="cs-CZ"/>
        </w:rPr>
        <w:t>2.</w:t>
      </w:r>
      <w:r w:rsidRPr="003B6E11">
        <w:rPr>
          <w:lang w:val="cs-CZ"/>
        </w:rPr>
        <w:tab/>
        <w:t xml:space="preserve">Datum: </w:t>
      </w:r>
      <w:r w:rsidRPr="003B6E11">
        <w:rPr>
          <w:lang w:val="cs-CZ"/>
        </w:rPr>
        <w:tab/>
      </w:r>
    </w:p>
    <w:p w:rsidR="003B6E11" w:rsidRPr="003B6E11" w:rsidRDefault="003B6E11" w:rsidP="003B6E11">
      <w:pPr>
        <w:tabs>
          <w:tab w:val="left" w:pos="567"/>
          <w:tab w:val="left" w:pos="709"/>
          <w:tab w:val="left" w:pos="1418"/>
          <w:tab w:val="left" w:leader="dot" w:pos="9072"/>
        </w:tabs>
        <w:overflowPunct w:val="0"/>
        <w:adjustRightInd w:val="0"/>
        <w:spacing w:before="120"/>
        <w:ind w:left="567" w:hanging="567"/>
        <w:textAlignment w:val="baseline"/>
        <w:rPr>
          <w:rFonts w:cs="Arial"/>
          <w:snapToGrid w:val="0"/>
          <w:szCs w:val="20"/>
          <w:lang w:val="cs-CZ"/>
        </w:rPr>
      </w:pPr>
      <w:r w:rsidRPr="003B6E11">
        <w:rPr>
          <w:lang w:val="cs-CZ"/>
        </w:rPr>
        <w:t>3.</w:t>
      </w:r>
      <w:r w:rsidRPr="003B6E11">
        <w:rPr>
          <w:lang w:val="cs-CZ"/>
        </w:rPr>
        <w:tab/>
        <w:t xml:space="preserve">Poznámky: </w:t>
      </w:r>
      <w:r w:rsidRPr="003B6E11">
        <w:rPr>
          <w:lang w:val="cs-CZ"/>
        </w:rPr>
        <w:tab/>
      </w:r>
    </w:p>
    <w:p w:rsidR="003B6E11" w:rsidRPr="003B6E11" w:rsidRDefault="003B6E11" w:rsidP="003B6E11">
      <w:pPr>
        <w:tabs>
          <w:tab w:val="left" w:pos="567"/>
          <w:tab w:val="left" w:leader="dot" w:pos="9072"/>
        </w:tabs>
        <w:spacing w:before="120"/>
        <w:ind w:left="567"/>
        <w:rPr>
          <w:rFonts w:cs="Arial"/>
          <w:szCs w:val="20"/>
          <w:lang w:val="cs-CZ"/>
        </w:rPr>
      </w:pPr>
      <w:r w:rsidRPr="003B6E11">
        <w:rPr>
          <w:lang w:val="cs-CZ"/>
        </w:rPr>
        <w:tab/>
      </w:r>
    </w:p>
    <w:p w:rsidR="003B6E11" w:rsidRPr="003B6E11" w:rsidRDefault="003B6E11" w:rsidP="003B6E11">
      <w:pPr>
        <w:tabs>
          <w:tab w:val="left" w:pos="567"/>
          <w:tab w:val="left" w:leader="dot" w:pos="9072"/>
        </w:tabs>
        <w:spacing w:before="120"/>
        <w:ind w:left="567"/>
        <w:rPr>
          <w:rFonts w:cs="Arial"/>
          <w:szCs w:val="20"/>
          <w:lang w:val="cs-CZ"/>
        </w:rPr>
      </w:pPr>
      <w:r w:rsidRPr="003B6E11">
        <w:rPr>
          <w:lang w:val="cs-CZ"/>
        </w:rPr>
        <w:tab/>
      </w:r>
    </w:p>
    <w:p w:rsidR="003B6E11" w:rsidRPr="003B6E11" w:rsidRDefault="003B6E11" w:rsidP="003B6E11">
      <w:pPr>
        <w:tabs>
          <w:tab w:val="left" w:pos="567"/>
          <w:tab w:val="left" w:pos="709"/>
          <w:tab w:val="left" w:pos="1418"/>
          <w:tab w:val="left" w:leader="dot" w:pos="4111"/>
        </w:tabs>
        <w:overflowPunct w:val="0"/>
        <w:adjustRightInd w:val="0"/>
        <w:spacing w:before="120"/>
        <w:ind w:left="567" w:hanging="567"/>
        <w:textAlignment w:val="baseline"/>
        <w:rPr>
          <w:rFonts w:cs="Arial"/>
          <w:snapToGrid w:val="0"/>
          <w:szCs w:val="20"/>
          <w:lang w:val="cs-CZ"/>
        </w:rPr>
      </w:pPr>
      <w:r w:rsidRPr="003B6E11">
        <w:rPr>
          <w:lang w:val="cs-CZ"/>
        </w:rPr>
        <w:t>4.</w:t>
      </w:r>
      <w:r w:rsidRPr="003B6E11">
        <w:rPr>
          <w:lang w:val="cs-CZ"/>
        </w:rPr>
        <w:tab/>
        <w:t xml:space="preserve">Podpis: </w:t>
      </w:r>
      <w:r w:rsidRPr="003B6E11">
        <w:rPr>
          <w:lang w:val="cs-CZ"/>
        </w:rPr>
        <w:tab/>
      </w:r>
    </w:p>
    <w:p w:rsidR="003B6E11" w:rsidRPr="003B6E11" w:rsidRDefault="003B6E11" w:rsidP="003B6E11">
      <w:pPr>
        <w:tabs>
          <w:tab w:val="left" w:pos="567"/>
        </w:tabs>
        <w:spacing w:before="120"/>
        <w:ind w:left="567" w:hanging="567"/>
        <w:rPr>
          <w:rFonts w:cs="Arial"/>
          <w:szCs w:val="20"/>
          <w:lang w:val="cs-CZ"/>
        </w:rPr>
      </w:pPr>
    </w:p>
    <w:p w:rsidR="003B6E11" w:rsidRPr="003B6E11" w:rsidRDefault="003B6E11" w:rsidP="003B6E11">
      <w:pPr>
        <w:tabs>
          <w:tab w:val="left" w:pos="567"/>
        </w:tabs>
        <w:spacing w:before="60"/>
        <w:ind w:left="567" w:hanging="567"/>
        <w:rPr>
          <w:rFonts w:cs="Arial"/>
          <w:szCs w:val="20"/>
          <w:lang w:val="cs-CZ"/>
        </w:rPr>
      </w:pPr>
      <w:r w:rsidRPr="003B6E11">
        <w:rPr>
          <w:lang w:val="cs-CZ"/>
        </w:rPr>
        <w:br w:type="page"/>
      </w:r>
      <w:r w:rsidRPr="003B6E11">
        <w:rPr>
          <w:b/>
          <w:lang w:val="cs-CZ"/>
        </w:rPr>
        <w:t>F.1</w:t>
      </w:r>
      <w:r w:rsidRPr="003B6E11">
        <w:rPr>
          <w:lang w:val="cs-CZ"/>
        </w:rPr>
        <w:tab/>
      </w:r>
      <w:r w:rsidRPr="003B6E11">
        <w:rPr>
          <w:b/>
          <w:lang w:val="cs-CZ"/>
        </w:rPr>
        <w:t>Výsledky měření</w:t>
      </w:r>
    </w:p>
    <w:p w:rsidR="003B6E11" w:rsidRPr="003B6E11" w:rsidRDefault="003B6E11" w:rsidP="003B6E11">
      <w:pPr>
        <w:tabs>
          <w:tab w:val="left" w:pos="567"/>
          <w:tab w:val="left" w:pos="1418"/>
        </w:tabs>
        <w:spacing w:before="60"/>
        <w:ind w:left="567"/>
        <w:rPr>
          <w:rFonts w:cs="Arial"/>
          <w:b/>
          <w:bCs/>
          <w:szCs w:val="20"/>
          <w:lang w:val="cs-CZ"/>
        </w:rPr>
      </w:pPr>
      <w:r w:rsidRPr="003B6E11">
        <w:rPr>
          <w:b/>
          <w:lang w:val="cs-CZ"/>
        </w:rPr>
        <w:t>Měření hluku na plavidle</w:t>
      </w:r>
    </w:p>
    <w:p w:rsidR="003B6E11" w:rsidRPr="003B6E11" w:rsidRDefault="003B6E11" w:rsidP="003B6E11">
      <w:pPr>
        <w:tabs>
          <w:tab w:val="left" w:pos="567"/>
          <w:tab w:val="left" w:pos="1418"/>
        </w:tabs>
        <w:spacing w:before="60"/>
        <w:ind w:left="567"/>
        <w:rPr>
          <w:rFonts w:cs="Arial"/>
          <w:b/>
          <w:bCs/>
          <w:szCs w:val="20"/>
          <w:lang w:val="cs-CZ"/>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7"/>
        <w:gridCol w:w="2438"/>
        <w:gridCol w:w="706"/>
        <w:gridCol w:w="630"/>
        <w:gridCol w:w="708"/>
        <w:gridCol w:w="709"/>
        <w:gridCol w:w="680"/>
        <w:gridCol w:w="2211"/>
      </w:tblGrid>
      <w:tr w:rsidR="003B6E11" w:rsidRPr="003B6E11" w:rsidTr="002D015D">
        <w:tc>
          <w:tcPr>
            <w:tcW w:w="397" w:type="dxa"/>
            <w:vMerge w:val="restart"/>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0"/>
                <w:lang w:val="cs-CZ"/>
              </w:rPr>
              <w:t>Číslo</w:t>
            </w:r>
          </w:p>
        </w:tc>
        <w:tc>
          <w:tcPr>
            <w:tcW w:w="2438" w:type="dxa"/>
            <w:vMerge w:val="restart"/>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Místo měření</w:t>
            </w:r>
          </w:p>
        </w:tc>
        <w:tc>
          <w:tcPr>
            <w:tcW w:w="1336" w:type="dxa"/>
            <w:gridSpan w:val="2"/>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Dveře</w:t>
            </w:r>
          </w:p>
        </w:tc>
        <w:tc>
          <w:tcPr>
            <w:tcW w:w="1417" w:type="dxa"/>
            <w:gridSpan w:val="2"/>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Okna</w:t>
            </w:r>
          </w:p>
        </w:tc>
        <w:tc>
          <w:tcPr>
            <w:tcW w:w="680" w:type="dxa"/>
            <w:vMerge w:val="restart"/>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Naměřená hodnota v dB (A)</w:t>
            </w:r>
          </w:p>
        </w:tc>
        <w:tc>
          <w:tcPr>
            <w:tcW w:w="2211" w:type="dxa"/>
            <w:vMerge w:val="restart"/>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Poznámky</w:t>
            </w:r>
          </w:p>
        </w:tc>
      </w:tr>
      <w:tr w:rsidR="003B6E11" w:rsidRPr="003B6E11" w:rsidTr="002D015D">
        <w:trPr>
          <w:trHeight w:val="573"/>
        </w:trPr>
        <w:tc>
          <w:tcPr>
            <w:tcW w:w="397" w:type="dxa"/>
            <w:vMerge/>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2438" w:type="dxa"/>
            <w:vMerge/>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706"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otevřené</w:t>
            </w:r>
          </w:p>
        </w:tc>
        <w:tc>
          <w:tcPr>
            <w:tcW w:w="630"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zavřené</w:t>
            </w:r>
          </w:p>
        </w:tc>
        <w:tc>
          <w:tcPr>
            <w:tcW w:w="708"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otevřená</w:t>
            </w:r>
          </w:p>
        </w:tc>
        <w:tc>
          <w:tcPr>
            <w:tcW w:w="70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zavřená</w:t>
            </w:r>
          </w:p>
        </w:tc>
        <w:tc>
          <w:tcPr>
            <w:tcW w:w="680" w:type="dxa"/>
            <w:vMerge/>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2211" w:type="dxa"/>
            <w:vMerge/>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r>
      <w:tr w:rsidR="003B6E11" w:rsidRPr="003B6E11" w:rsidTr="002D015D">
        <w:trPr>
          <w:trHeight w:val="397"/>
        </w:trPr>
        <w:tc>
          <w:tcPr>
            <w:tcW w:w="397"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2438"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706"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630"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708"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70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680"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2211"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r>
      <w:tr w:rsidR="003B6E11" w:rsidRPr="003B6E11" w:rsidTr="002D015D">
        <w:trPr>
          <w:trHeight w:val="397"/>
        </w:trPr>
        <w:tc>
          <w:tcPr>
            <w:tcW w:w="397"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2438"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706"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630"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708"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70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680"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2211"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r>
      <w:tr w:rsidR="003B6E11" w:rsidRPr="003B6E11" w:rsidTr="002D015D">
        <w:trPr>
          <w:trHeight w:val="397"/>
        </w:trPr>
        <w:tc>
          <w:tcPr>
            <w:tcW w:w="397"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2438"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706"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630"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708"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709"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680"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c>
          <w:tcPr>
            <w:tcW w:w="2211"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rPr>
                <w:rFonts w:cs="Arial"/>
                <w:sz w:val="16"/>
                <w:szCs w:val="16"/>
                <w:lang w:val="cs-CZ"/>
              </w:rPr>
            </w:pPr>
          </w:p>
        </w:tc>
      </w:tr>
    </w:tbl>
    <w:p w:rsidR="003B6E11" w:rsidRPr="003B6E11" w:rsidRDefault="003B6E11" w:rsidP="003B6E11">
      <w:pPr>
        <w:spacing w:before="60"/>
        <w:ind w:left="709"/>
        <w:rPr>
          <w:rFonts w:cs="Arial"/>
          <w:b/>
          <w:bCs/>
          <w:lang w:val="cs-CZ"/>
        </w:rPr>
      </w:pPr>
    </w:p>
    <w:p w:rsidR="003B6E11" w:rsidRPr="003B6E11" w:rsidRDefault="003B6E11" w:rsidP="003B6E11">
      <w:pPr>
        <w:spacing w:before="60"/>
        <w:ind w:left="709"/>
        <w:rPr>
          <w:rFonts w:cs="Arial"/>
          <w:b/>
          <w:bCs/>
          <w:szCs w:val="20"/>
          <w:lang w:val="cs-CZ"/>
        </w:rPr>
      </w:pPr>
    </w:p>
    <w:p w:rsidR="003B6E11" w:rsidRPr="003B6E11" w:rsidRDefault="003B6E11" w:rsidP="003B6E11">
      <w:pPr>
        <w:tabs>
          <w:tab w:val="left" w:pos="567"/>
        </w:tabs>
        <w:spacing w:before="60"/>
        <w:ind w:left="567" w:hanging="567"/>
        <w:rPr>
          <w:rFonts w:cs="Arial"/>
          <w:b/>
          <w:bCs/>
          <w:szCs w:val="20"/>
          <w:lang w:val="cs-CZ"/>
        </w:rPr>
      </w:pPr>
      <w:r w:rsidRPr="003B6E11">
        <w:rPr>
          <w:b/>
          <w:lang w:val="cs-CZ"/>
        </w:rPr>
        <w:t>F.2</w:t>
      </w:r>
      <w:r w:rsidRPr="003B6E11">
        <w:rPr>
          <w:lang w:val="cs-CZ"/>
        </w:rPr>
        <w:tab/>
      </w:r>
      <w:r w:rsidRPr="003B6E11">
        <w:rPr>
          <w:b/>
          <w:lang w:val="cs-CZ"/>
        </w:rPr>
        <w:t>Výsledky měření</w:t>
      </w:r>
    </w:p>
    <w:p w:rsidR="003B6E11" w:rsidRPr="003B6E11" w:rsidRDefault="003B6E11" w:rsidP="003B6E11">
      <w:pPr>
        <w:tabs>
          <w:tab w:val="left" w:pos="567"/>
          <w:tab w:val="left" w:pos="1418"/>
        </w:tabs>
        <w:spacing w:before="60"/>
        <w:ind w:left="567"/>
        <w:rPr>
          <w:rFonts w:cs="Arial"/>
          <w:b/>
          <w:bCs/>
          <w:szCs w:val="20"/>
          <w:lang w:val="cs-CZ"/>
        </w:rPr>
      </w:pPr>
      <w:r w:rsidRPr="003B6E11">
        <w:rPr>
          <w:b/>
          <w:lang w:val="cs-CZ"/>
        </w:rPr>
        <w:t>Měření hluku vydávaného plavidlem do okolí:</w:t>
      </w:r>
    </w:p>
    <w:p w:rsidR="003B6E11" w:rsidRPr="003B6E11" w:rsidRDefault="003B6E11" w:rsidP="003B6E11">
      <w:pPr>
        <w:tabs>
          <w:tab w:val="left" w:pos="567"/>
          <w:tab w:val="left" w:pos="1418"/>
        </w:tabs>
        <w:spacing w:before="60"/>
        <w:ind w:left="567"/>
        <w:rPr>
          <w:rFonts w:cs="Arial"/>
          <w:b/>
          <w:bCs/>
          <w:szCs w:val="20"/>
          <w:lang w:val="cs-CZ"/>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3"/>
        <w:gridCol w:w="3123"/>
        <w:gridCol w:w="1134"/>
        <w:gridCol w:w="3742"/>
      </w:tblGrid>
      <w:tr w:rsidR="003B6E11" w:rsidRPr="003B6E11" w:rsidTr="002D015D">
        <w:trPr>
          <w:trHeight w:val="425"/>
        </w:trPr>
        <w:tc>
          <w:tcPr>
            <w:tcW w:w="563" w:type="dxa"/>
            <w:vMerge w:val="restart"/>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Číslo</w:t>
            </w:r>
          </w:p>
        </w:tc>
        <w:tc>
          <w:tcPr>
            <w:tcW w:w="3123" w:type="dxa"/>
            <w:vMerge w:val="restart"/>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Místo měření</w:t>
            </w:r>
          </w:p>
        </w:tc>
        <w:tc>
          <w:tcPr>
            <w:tcW w:w="1134" w:type="dxa"/>
            <w:vMerge w:val="restart"/>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Naměřené hodnoty v dB (A)</w:t>
            </w:r>
          </w:p>
        </w:tc>
        <w:tc>
          <w:tcPr>
            <w:tcW w:w="3742" w:type="dxa"/>
            <w:vMerge w:val="restart"/>
            <w:tcBorders>
              <w:top w:val="single" w:sz="4" w:space="0" w:color="auto"/>
              <w:left w:val="single" w:sz="4" w:space="0" w:color="auto"/>
              <w:bottom w:val="single" w:sz="4" w:space="0" w:color="auto"/>
              <w:right w:val="single" w:sz="4" w:space="0" w:color="auto"/>
            </w:tcBorders>
          </w:tcPr>
          <w:p w:rsidR="003B6E11" w:rsidRPr="003B6E11" w:rsidRDefault="003B6E11" w:rsidP="002D015D">
            <w:pPr>
              <w:spacing w:before="60"/>
              <w:jc w:val="center"/>
              <w:rPr>
                <w:rFonts w:cs="Arial"/>
                <w:sz w:val="16"/>
                <w:szCs w:val="16"/>
                <w:lang w:val="cs-CZ"/>
              </w:rPr>
            </w:pPr>
            <w:r w:rsidRPr="003B6E11">
              <w:rPr>
                <w:sz w:val="16"/>
                <w:lang w:val="cs-CZ"/>
              </w:rPr>
              <w:t>Poznámky</w:t>
            </w:r>
          </w:p>
        </w:tc>
      </w:tr>
      <w:tr w:rsidR="003B6E11" w:rsidRPr="003B6E11" w:rsidTr="002D015D">
        <w:trPr>
          <w:trHeight w:val="485"/>
        </w:trPr>
        <w:tc>
          <w:tcPr>
            <w:tcW w:w="563" w:type="dxa"/>
            <w:vMerge/>
            <w:tcBorders>
              <w:top w:val="single" w:sz="4" w:space="0" w:color="auto"/>
              <w:left w:val="single" w:sz="4" w:space="0" w:color="auto"/>
              <w:bottom w:val="single" w:sz="4" w:space="0" w:color="auto"/>
              <w:right w:val="single" w:sz="4" w:space="0" w:color="auto"/>
            </w:tcBorders>
          </w:tcPr>
          <w:p w:rsidR="003B6E11" w:rsidRPr="003B6E11" w:rsidRDefault="003B6E11" w:rsidP="002D015D">
            <w:pPr>
              <w:tabs>
                <w:tab w:val="left" w:pos="1418"/>
              </w:tabs>
              <w:spacing w:before="60"/>
              <w:rPr>
                <w:rFonts w:cs="Arial"/>
                <w:sz w:val="16"/>
                <w:szCs w:val="16"/>
                <w:lang w:val="cs-CZ"/>
              </w:rPr>
            </w:pPr>
          </w:p>
        </w:tc>
        <w:tc>
          <w:tcPr>
            <w:tcW w:w="3123" w:type="dxa"/>
            <w:vMerge/>
            <w:tcBorders>
              <w:top w:val="single" w:sz="4" w:space="0" w:color="auto"/>
              <w:left w:val="single" w:sz="4" w:space="0" w:color="auto"/>
              <w:bottom w:val="single" w:sz="4" w:space="0" w:color="auto"/>
              <w:right w:val="single" w:sz="4" w:space="0" w:color="auto"/>
            </w:tcBorders>
          </w:tcPr>
          <w:p w:rsidR="003B6E11" w:rsidRPr="003B6E11" w:rsidRDefault="003B6E11" w:rsidP="002D015D">
            <w:pPr>
              <w:tabs>
                <w:tab w:val="left" w:pos="1418"/>
              </w:tabs>
              <w:spacing w:before="60"/>
              <w:rPr>
                <w:rFonts w:cs="Arial"/>
                <w:sz w:val="16"/>
                <w:szCs w:val="16"/>
                <w:lang w:val="cs-CZ"/>
              </w:rPr>
            </w:pPr>
          </w:p>
        </w:tc>
        <w:tc>
          <w:tcPr>
            <w:tcW w:w="1134" w:type="dxa"/>
            <w:vMerge/>
            <w:tcBorders>
              <w:top w:val="single" w:sz="4" w:space="0" w:color="auto"/>
              <w:left w:val="single" w:sz="4" w:space="0" w:color="auto"/>
              <w:bottom w:val="single" w:sz="4" w:space="0" w:color="auto"/>
              <w:right w:val="single" w:sz="4" w:space="0" w:color="auto"/>
            </w:tcBorders>
          </w:tcPr>
          <w:p w:rsidR="003B6E11" w:rsidRPr="003B6E11" w:rsidRDefault="003B6E11" w:rsidP="002D015D">
            <w:pPr>
              <w:tabs>
                <w:tab w:val="left" w:pos="1418"/>
              </w:tabs>
              <w:spacing w:before="60"/>
              <w:jc w:val="center"/>
              <w:rPr>
                <w:rFonts w:cs="Arial"/>
                <w:sz w:val="16"/>
                <w:szCs w:val="16"/>
                <w:lang w:val="cs-CZ"/>
              </w:rPr>
            </w:pPr>
          </w:p>
        </w:tc>
        <w:tc>
          <w:tcPr>
            <w:tcW w:w="3742" w:type="dxa"/>
            <w:vMerge/>
            <w:tcBorders>
              <w:top w:val="single" w:sz="4" w:space="0" w:color="auto"/>
              <w:left w:val="single" w:sz="4" w:space="0" w:color="auto"/>
              <w:bottom w:val="single" w:sz="4" w:space="0" w:color="auto"/>
              <w:right w:val="single" w:sz="4" w:space="0" w:color="auto"/>
            </w:tcBorders>
          </w:tcPr>
          <w:p w:rsidR="003B6E11" w:rsidRPr="003B6E11" w:rsidRDefault="003B6E11" w:rsidP="002D015D">
            <w:pPr>
              <w:tabs>
                <w:tab w:val="left" w:pos="1418"/>
              </w:tabs>
              <w:spacing w:before="60"/>
              <w:rPr>
                <w:rFonts w:cs="Arial"/>
                <w:sz w:val="16"/>
                <w:szCs w:val="16"/>
                <w:lang w:val="cs-CZ"/>
              </w:rPr>
            </w:pPr>
          </w:p>
        </w:tc>
      </w:tr>
      <w:tr w:rsidR="003B6E11" w:rsidRPr="003B6E11" w:rsidTr="002D015D">
        <w:trPr>
          <w:trHeight w:val="397"/>
        </w:trPr>
        <w:tc>
          <w:tcPr>
            <w:tcW w:w="563"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tabs>
                <w:tab w:val="left" w:pos="1418"/>
              </w:tabs>
              <w:spacing w:before="60"/>
              <w:rPr>
                <w:rFonts w:cs="Arial"/>
                <w:sz w:val="16"/>
                <w:szCs w:val="16"/>
                <w:lang w:val="cs-CZ"/>
              </w:rPr>
            </w:pPr>
          </w:p>
        </w:tc>
        <w:tc>
          <w:tcPr>
            <w:tcW w:w="3123"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tabs>
                <w:tab w:val="left" w:pos="1418"/>
              </w:tabs>
              <w:spacing w:before="60"/>
              <w:rPr>
                <w:rFonts w:cs="Arial"/>
                <w:sz w:val="16"/>
                <w:szCs w:val="16"/>
                <w:lang w:val="cs-CZ"/>
              </w:rPr>
            </w:pPr>
          </w:p>
        </w:tc>
        <w:tc>
          <w:tcPr>
            <w:tcW w:w="1134"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tabs>
                <w:tab w:val="left" w:pos="1418"/>
              </w:tabs>
              <w:spacing w:before="60"/>
              <w:jc w:val="center"/>
              <w:rPr>
                <w:rFonts w:cs="Arial"/>
                <w:sz w:val="16"/>
                <w:szCs w:val="16"/>
                <w:lang w:val="cs-CZ"/>
              </w:rPr>
            </w:pPr>
          </w:p>
        </w:tc>
        <w:tc>
          <w:tcPr>
            <w:tcW w:w="3742"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tabs>
                <w:tab w:val="left" w:pos="1418"/>
              </w:tabs>
              <w:spacing w:before="60"/>
              <w:rPr>
                <w:rFonts w:cs="Arial"/>
                <w:sz w:val="16"/>
                <w:szCs w:val="16"/>
                <w:lang w:val="cs-CZ"/>
              </w:rPr>
            </w:pPr>
          </w:p>
        </w:tc>
      </w:tr>
      <w:tr w:rsidR="003B6E11" w:rsidRPr="003B6E11" w:rsidTr="002D015D">
        <w:trPr>
          <w:trHeight w:val="397"/>
        </w:trPr>
        <w:tc>
          <w:tcPr>
            <w:tcW w:w="563"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tabs>
                <w:tab w:val="left" w:pos="1418"/>
              </w:tabs>
              <w:spacing w:before="60"/>
              <w:rPr>
                <w:rFonts w:cs="Arial"/>
                <w:sz w:val="16"/>
                <w:szCs w:val="16"/>
                <w:lang w:val="cs-CZ"/>
              </w:rPr>
            </w:pPr>
          </w:p>
        </w:tc>
        <w:tc>
          <w:tcPr>
            <w:tcW w:w="3123"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tabs>
                <w:tab w:val="left" w:pos="1418"/>
              </w:tabs>
              <w:spacing w:before="60"/>
              <w:rPr>
                <w:rFonts w:cs="Arial"/>
                <w:sz w:val="16"/>
                <w:szCs w:val="16"/>
                <w:lang w:val="cs-CZ"/>
              </w:rPr>
            </w:pPr>
          </w:p>
        </w:tc>
        <w:tc>
          <w:tcPr>
            <w:tcW w:w="1134"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tabs>
                <w:tab w:val="left" w:pos="1418"/>
              </w:tabs>
              <w:spacing w:before="60"/>
              <w:jc w:val="center"/>
              <w:rPr>
                <w:rFonts w:cs="Arial"/>
                <w:sz w:val="16"/>
                <w:szCs w:val="16"/>
                <w:lang w:val="cs-CZ"/>
              </w:rPr>
            </w:pPr>
          </w:p>
        </w:tc>
        <w:tc>
          <w:tcPr>
            <w:tcW w:w="3742"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tabs>
                <w:tab w:val="left" w:pos="1418"/>
              </w:tabs>
              <w:spacing w:before="60"/>
              <w:rPr>
                <w:rFonts w:cs="Arial"/>
                <w:sz w:val="16"/>
                <w:szCs w:val="16"/>
                <w:lang w:val="cs-CZ"/>
              </w:rPr>
            </w:pPr>
          </w:p>
        </w:tc>
      </w:tr>
      <w:tr w:rsidR="003B6E11" w:rsidRPr="003B6E11" w:rsidTr="002D015D">
        <w:trPr>
          <w:trHeight w:val="397"/>
        </w:trPr>
        <w:tc>
          <w:tcPr>
            <w:tcW w:w="563"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tabs>
                <w:tab w:val="left" w:pos="1418"/>
              </w:tabs>
              <w:spacing w:before="60"/>
              <w:rPr>
                <w:rFonts w:cs="Arial"/>
                <w:sz w:val="16"/>
                <w:szCs w:val="16"/>
                <w:lang w:val="cs-CZ"/>
              </w:rPr>
            </w:pPr>
          </w:p>
        </w:tc>
        <w:tc>
          <w:tcPr>
            <w:tcW w:w="3123"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tabs>
                <w:tab w:val="left" w:pos="1418"/>
              </w:tabs>
              <w:spacing w:before="60"/>
              <w:rPr>
                <w:rFonts w:cs="Arial"/>
                <w:sz w:val="16"/>
                <w:szCs w:val="16"/>
                <w:lang w:val="cs-CZ"/>
              </w:rPr>
            </w:pPr>
          </w:p>
        </w:tc>
        <w:tc>
          <w:tcPr>
            <w:tcW w:w="1134"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tabs>
                <w:tab w:val="left" w:pos="1418"/>
              </w:tabs>
              <w:spacing w:before="60"/>
              <w:jc w:val="center"/>
              <w:rPr>
                <w:rFonts w:cs="Arial"/>
                <w:sz w:val="16"/>
                <w:szCs w:val="16"/>
                <w:lang w:val="cs-CZ"/>
              </w:rPr>
            </w:pPr>
          </w:p>
        </w:tc>
        <w:tc>
          <w:tcPr>
            <w:tcW w:w="3742" w:type="dxa"/>
            <w:tcBorders>
              <w:top w:val="single" w:sz="4" w:space="0" w:color="auto"/>
              <w:left w:val="single" w:sz="4" w:space="0" w:color="auto"/>
              <w:bottom w:val="single" w:sz="4" w:space="0" w:color="auto"/>
              <w:right w:val="single" w:sz="4" w:space="0" w:color="auto"/>
            </w:tcBorders>
          </w:tcPr>
          <w:p w:rsidR="003B6E11" w:rsidRPr="003B6E11" w:rsidRDefault="003B6E11" w:rsidP="002D015D">
            <w:pPr>
              <w:tabs>
                <w:tab w:val="left" w:pos="1418"/>
              </w:tabs>
              <w:spacing w:before="60"/>
              <w:rPr>
                <w:rFonts w:cs="Arial"/>
                <w:sz w:val="16"/>
                <w:szCs w:val="16"/>
                <w:lang w:val="cs-CZ"/>
              </w:rPr>
            </w:pPr>
          </w:p>
        </w:tc>
      </w:tr>
    </w:tbl>
    <w:p w:rsidR="003B6E11" w:rsidRPr="003B6E11" w:rsidRDefault="003B6E11" w:rsidP="003B6E11">
      <w:pPr>
        <w:tabs>
          <w:tab w:val="left" w:pos="1418"/>
        </w:tabs>
        <w:spacing w:before="60"/>
        <w:rPr>
          <w:rFonts w:cs="Arial"/>
          <w:lang w:val="cs-CZ"/>
        </w:rPr>
      </w:pPr>
    </w:p>
    <w:p w:rsidR="003B6E11" w:rsidRPr="003B6E11" w:rsidRDefault="003B6E11" w:rsidP="003B6E11">
      <w:pPr>
        <w:tabs>
          <w:tab w:val="left" w:pos="284"/>
        </w:tabs>
        <w:rPr>
          <w:rFonts w:cs="Arial"/>
          <w:lang w:val="cs-CZ"/>
        </w:rPr>
      </w:pPr>
    </w:p>
    <w:p w:rsidR="003B6E11" w:rsidRPr="003B6E11" w:rsidRDefault="003B6E11" w:rsidP="003B6E11">
      <w:pPr>
        <w:tabs>
          <w:tab w:val="left" w:pos="284"/>
        </w:tabs>
        <w:rPr>
          <w:rFonts w:cs="Arial"/>
          <w:lang w:val="cs-CZ"/>
        </w:rPr>
        <w:sectPr w:rsidR="003B6E11" w:rsidRPr="003B6E11" w:rsidSect="00D45887">
          <w:headerReference w:type="default" r:id="rId140"/>
          <w:footnotePr>
            <w:numRestart w:val="eachPage"/>
          </w:footnotePr>
          <w:pgSz w:w="11907" w:h="16840" w:code="9"/>
          <w:pgMar w:top="1418" w:right="1418" w:bottom="1418" w:left="1418" w:header="680" w:footer="680" w:gutter="0"/>
          <w:cols w:space="720"/>
          <w:docGrid w:linePitch="326"/>
        </w:sectPr>
      </w:pPr>
    </w:p>
    <w:p w:rsidR="003B6E11" w:rsidRPr="003B6E11" w:rsidRDefault="003B6E11" w:rsidP="003B6E11">
      <w:pPr>
        <w:pStyle w:val="ES-Titre2ESI"/>
      </w:pPr>
      <w:bookmarkStart w:id="745" w:name="_Toc491854355"/>
      <w:bookmarkStart w:id="746" w:name="_Toc535417261"/>
      <w:r w:rsidRPr="003B6E11">
        <w:t>ESI-II-6</w:t>
      </w:r>
      <w:r w:rsidRPr="003B6E11">
        <w:br/>
        <w:t>Vhodné pomocné prostředky pro sledování oblasti omezeného výhledu</w:t>
      </w:r>
      <w:bookmarkEnd w:id="745"/>
      <w:bookmarkEnd w:id="746"/>
    </w:p>
    <w:p w:rsidR="003B6E11" w:rsidRPr="003B6E11" w:rsidRDefault="003B6E11" w:rsidP="003B6E11">
      <w:pPr>
        <w:pStyle w:val="ESch"/>
        <w:rPr>
          <w:lang w:val="cs-CZ"/>
        </w:rPr>
      </w:pPr>
    </w:p>
    <w:p w:rsidR="003B6E11" w:rsidRPr="003B6E11" w:rsidRDefault="003B6E11" w:rsidP="003B6E11">
      <w:pPr>
        <w:tabs>
          <w:tab w:val="center" w:pos="4513"/>
        </w:tabs>
        <w:overflowPunct w:val="0"/>
        <w:adjustRightInd w:val="0"/>
        <w:jc w:val="center"/>
        <w:textAlignment w:val="baseline"/>
        <w:rPr>
          <w:b/>
          <w:szCs w:val="20"/>
          <w:lang w:val="cs-CZ"/>
        </w:rPr>
      </w:pPr>
      <w:r w:rsidRPr="003B6E11">
        <w:rPr>
          <w:b/>
          <w:lang w:val="cs-CZ"/>
        </w:rPr>
        <w:t>(Článek 7.02)</w:t>
      </w:r>
    </w:p>
    <w:p w:rsidR="003B6E11" w:rsidRPr="003B6E11" w:rsidRDefault="003B6E11" w:rsidP="003B6E11">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textAlignment w:val="baseline"/>
        <w:rPr>
          <w:szCs w:val="20"/>
          <w:lang w:val="cs-CZ"/>
        </w:rPr>
      </w:pPr>
    </w:p>
    <w:p w:rsidR="003B6E11" w:rsidRPr="003B6E11" w:rsidRDefault="003B6E11" w:rsidP="003B6E11">
      <w:pPr>
        <w:widowControl w:val="0"/>
        <w:spacing w:line="240" w:lineRule="atLeast"/>
        <w:ind w:left="567" w:hanging="567"/>
        <w:rPr>
          <w:rFonts w:cs="Arial"/>
          <w:b/>
          <w:szCs w:val="20"/>
          <w:lang w:val="cs-CZ"/>
        </w:rPr>
      </w:pPr>
      <w:r w:rsidRPr="003B6E11">
        <w:rPr>
          <w:b/>
          <w:lang w:val="cs-CZ"/>
        </w:rPr>
        <w:t>1.</w:t>
      </w:r>
      <w:r w:rsidRPr="003B6E11">
        <w:rPr>
          <w:lang w:val="cs-CZ"/>
        </w:rPr>
        <w:tab/>
      </w:r>
      <w:r w:rsidRPr="003B6E11">
        <w:rPr>
          <w:b/>
          <w:lang w:val="cs-CZ"/>
        </w:rPr>
        <w:t>Úvod</w:t>
      </w:r>
    </w:p>
    <w:p w:rsidR="003B6E11" w:rsidRPr="003B6E11" w:rsidRDefault="003B6E11" w:rsidP="003B6E11">
      <w:pPr>
        <w:widowControl w:val="0"/>
        <w:spacing w:line="240" w:lineRule="atLeast"/>
        <w:rPr>
          <w:rFonts w:cs="Arial"/>
          <w:szCs w:val="20"/>
          <w:lang w:val="cs-CZ"/>
        </w:rPr>
      </w:pPr>
    </w:p>
    <w:p w:rsidR="003B6E11" w:rsidRPr="003B6E11" w:rsidRDefault="003B6E11" w:rsidP="003B6E11">
      <w:pPr>
        <w:widowControl w:val="0"/>
        <w:spacing w:line="240" w:lineRule="atLeast"/>
        <w:ind w:left="567"/>
        <w:rPr>
          <w:rFonts w:cs="Arial"/>
          <w:szCs w:val="20"/>
          <w:lang w:val="cs-CZ"/>
        </w:rPr>
      </w:pPr>
      <w:r w:rsidRPr="003B6E11">
        <w:rPr>
          <w:lang w:val="cs-CZ"/>
        </w:rPr>
        <w:t>Neomezeného výhledu z kormidelny do všech směrů lze nevyhnutelně z různých důvodů, např. v důsledku konstrukce lodi nebo z důvodu nákladu, dosáhnout jen z větší či menší míry. Omezení se týkají úseků ve vodorovné rovině (úhel azimutu 0–360° vůči přední ose lodi) a ve svislé rovině (výškový úhel mezi –90° a +90° vůči vodorovné rovině v úrovni očí kormidelníka).</w:t>
      </w:r>
    </w:p>
    <w:p w:rsidR="003B6E11" w:rsidRPr="003B6E11" w:rsidRDefault="003B6E11" w:rsidP="003B6E11">
      <w:pPr>
        <w:widowControl w:val="0"/>
        <w:spacing w:line="240" w:lineRule="atLeast"/>
        <w:ind w:left="567"/>
        <w:rPr>
          <w:rFonts w:cs="Arial"/>
          <w:szCs w:val="20"/>
          <w:lang w:val="cs-CZ"/>
        </w:rPr>
      </w:pPr>
      <w:r w:rsidRPr="003B6E11">
        <w:rPr>
          <w:lang w:val="cs-CZ"/>
        </w:rPr>
        <w:t>Kormidelník musí mít ve svém zorném poli různé úseky v závislosti na tom, zda lidé nastupují, nebo vystupují, zda je loď zakotvená, nebo vyplouvá, zda manévruje, nebo je v pohybu. Před vyplutím je například důležité, aby mohl zkontrolovat, zda nikdo nezůstal na boční palubě nebo zda je prostor bezprostředně za zádí volný. Je-li loď v pohybu, je důležitější možnost vidět prostor před lodí vzhledem k tomu, že loď pohybující se dopředu rychle mění polohu.</w:t>
      </w:r>
    </w:p>
    <w:p w:rsidR="003B6E11" w:rsidRPr="003B6E11" w:rsidRDefault="003B6E11" w:rsidP="003B6E11">
      <w:pPr>
        <w:widowControl w:val="0"/>
        <w:spacing w:line="240" w:lineRule="atLeast"/>
        <w:rPr>
          <w:rFonts w:cs="Arial"/>
          <w:szCs w:val="20"/>
          <w:lang w:val="cs-CZ"/>
        </w:rPr>
      </w:pPr>
    </w:p>
    <w:p w:rsidR="003B6E11" w:rsidRPr="003B6E11" w:rsidRDefault="003B6E11" w:rsidP="003B6E11">
      <w:pPr>
        <w:widowControl w:val="0"/>
        <w:spacing w:line="240" w:lineRule="atLeast"/>
        <w:ind w:left="567"/>
        <w:rPr>
          <w:rFonts w:cs="Arial"/>
          <w:szCs w:val="20"/>
          <w:lang w:val="cs-CZ"/>
        </w:rPr>
      </w:pPr>
      <w:r w:rsidRPr="003B6E11">
        <w:rPr>
          <w:lang w:val="cs-CZ"/>
        </w:rPr>
        <w:t>Technické pomocné prostředky umožňují nepřímý pohled na úseky, které nelze vidět přímo. Přestože mnohé z jejich vlastností přesahují možnosti lidského oka, nelze je považovat za kompletní náhradu za přímý výhled. Nicméně někdy se používají i jako doplňkový prostředek pro úseky, které lze vidět přímo.</w:t>
      </w:r>
    </w:p>
    <w:p w:rsidR="003B6E11" w:rsidRPr="003B6E11" w:rsidRDefault="003B6E11" w:rsidP="003B6E11">
      <w:pPr>
        <w:widowControl w:val="0"/>
        <w:spacing w:line="240" w:lineRule="atLeast"/>
        <w:ind w:left="567"/>
        <w:rPr>
          <w:rFonts w:cs="Arial"/>
          <w:szCs w:val="20"/>
          <w:lang w:val="cs-CZ"/>
        </w:rPr>
      </w:pPr>
    </w:p>
    <w:p w:rsidR="003B6E11" w:rsidRPr="003B6E11" w:rsidRDefault="003B6E11" w:rsidP="003B6E11">
      <w:pPr>
        <w:widowControl w:val="0"/>
        <w:spacing w:line="240" w:lineRule="atLeast"/>
        <w:ind w:left="567"/>
        <w:rPr>
          <w:rFonts w:cs="Arial"/>
          <w:szCs w:val="20"/>
          <w:lang w:val="cs-CZ"/>
        </w:rPr>
      </w:pPr>
      <w:r w:rsidRPr="003B6E11">
        <w:rPr>
          <w:lang w:val="cs-CZ"/>
        </w:rPr>
        <w:t>Pokud jde o požadované informace o oblastech omezeného výhledu, je nutné rozlišovat, zda je potřebnou informací jen informace o přítomnosti objektu, jeho vizuálních vlastnostech (obrys, barva) či jeho totožnost, nebo zda je důležité z hlediska navigace stanovit vzdálenost, kurz a rychlost objektu. Tato otázka má vliv na výběr druhu technických pomocných prostředků.</w:t>
      </w:r>
    </w:p>
    <w:p w:rsidR="003B6E11" w:rsidRPr="003B6E11" w:rsidRDefault="003B6E11" w:rsidP="003B6E11">
      <w:pPr>
        <w:widowControl w:val="0"/>
        <w:spacing w:line="240" w:lineRule="atLeast"/>
        <w:rPr>
          <w:rFonts w:cs="Arial"/>
          <w:szCs w:val="20"/>
          <w:lang w:val="cs-CZ"/>
        </w:rPr>
      </w:pPr>
    </w:p>
    <w:p w:rsidR="003B6E11" w:rsidRPr="003B6E11" w:rsidRDefault="003B6E11" w:rsidP="003B6E11">
      <w:pPr>
        <w:widowControl w:val="0"/>
        <w:spacing w:line="240" w:lineRule="atLeast"/>
        <w:ind w:left="567"/>
        <w:rPr>
          <w:rFonts w:cs="Arial"/>
          <w:szCs w:val="20"/>
          <w:lang w:val="cs-CZ"/>
        </w:rPr>
      </w:pPr>
      <w:r w:rsidRPr="003B6E11">
        <w:rPr>
          <w:lang w:val="cs-CZ"/>
        </w:rPr>
        <w:t>S ohledem na nižší pořizovací i instalační náklady, mimořádnou výkonnost, všestrannost a možnosti přizpůsobení videosystémů ve srovnání s periskopy se periskopy za technické pomocné prostředky nepovažují.</w:t>
      </w:r>
    </w:p>
    <w:p w:rsidR="003B6E11" w:rsidRPr="003B6E11" w:rsidRDefault="003B6E11" w:rsidP="003B6E11">
      <w:pPr>
        <w:widowControl w:val="0"/>
        <w:spacing w:line="240" w:lineRule="atLeast"/>
        <w:rPr>
          <w:rFonts w:cs="Arial"/>
          <w:szCs w:val="20"/>
          <w:lang w:val="cs-CZ"/>
        </w:rPr>
      </w:pPr>
    </w:p>
    <w:p w:rsidR="003B6E11" w:rsidRPr="003B6E11" w:rsidRDefault="003B6E11" w:rsidP="003B6E11">
      <w:pPr>
        <w:widowControl w:val="0"/>
        <w:spacing w:line="240" w:lineRule="atLeast"/>
        <w:ind w:left="567" w:hanging="567"/>
        <w:rPr>
          <w:rFonts w:cs="Arial"/>
          <w:b/>
          <w:szCs w:val="20"/>
          <w:lang w:val="cs-CZ"/>
        </w:rPr>
      </w:pPr>
      <w:r w:rsidRPr="003B6E11">
        <w:rPr>
          <w:b/>
          <w:lang w:val="cs-CZ"/>
        </w:rPr>
        <w:t>2.</w:t>
      </w:r>
      <w:r w:rsidRPr="003B6E11">
        <w:rPr>
          <w:lang w:val="cs-CZ"/>
        </w:rPr>
        <w:tab/>
      </w:r>
      <w:r w:rsidRPr="003B6E11">
        <w:rPr>
          <w:b/>
          <w:lang w:val="cs-CZ"/>
        </w:rPr>
        <w:t>Přehled vhodných pomocných prostředků</w:t>
      </w:r>
    </w:p>
    <w:p w:rsidR="003B6E11" w:rsidRPr="003B6E11" w:rsidRDefault="003B6E11" w:rsidP="003B6E11">
      <w:pPr>
        <w:widowControl w:val="0"/>
        <w:spacing w:line="240" w:lineRule="atLeast"/>
        <w:rPr>
          <w:rFonts w:cs="Arial"/>
          <w:szCs w:val="20"/>
          <w:lang w:val="cs-CZ"/>
        </w:rPr>
      </w:pPr>
    </w:p>
    <w:p w:rsidR="003B6E11" w:rsidRPr="003B6E11" w:rsidRDefault="003B6E11" w:rsidP="003B6E11">
      <w:pPr>
        <w:widowControl w:val="0"/>
        <w:spacing w:line="240" w:lineRule="atLeast"/>
        <w:ind w:left="567"/>
        <w:rPr>
          <w:rFonts w:cs="Arial"/>
          <w:szCs w:val="20"/>
          <w:lang w:val="cs-CZ"/>
        </w:rPr>
      </w:pPr>
      <w:r w:rsidRPr="003B6E11">
        <w:rPr>
          <w:lang w:val="cs-CZ"/>
        </w:rPr>
        <w:t xml:space="preserve">K pozorování oblastí omezeného výhledu jsou zásadně vhodné tyto pomocné prostředky: </w:t>
      </w:r>
    </w:p>
    <w:p w:rsidR="003B6E11" w:rsidRPr="003B6E11" w:rsidRDefault="003B6E11" w:rsidP="003B6E11">
      <w:pPr>
        <w:widowControl w:val="0"/>
        <w:spacing w:before="60" w:line="240" w:lineRule="atLeast"/>
        <w:ind w:left="992"/>
        <w:rPr>
          <w:rFonts w:cs="Arial"/>
          <w:szCs w:val="20"/>
          <w:lang w:val="cs-CZ"/>
        </w:rPr>
      </w:pPr>
      <w:r w:rsidRPr="003B6E11">
        <w:rPr>
          <w:lang w:val="cs-CZ"/>
        </w:rPr>
        <w:t>-</w:t>
      </w:r>
      <w:r w:rsidRPr="003B6E11">
        <w:rPr>
          <w:lang w:val="cs-CZ"/>
        </w:rPr>
        <w:tab/>
        <w:t>zrcátka,</w:t>
      </w:r>
    </w:p>
    <w:p w:rsidR="003B6E11" w:rsidRPr="003B6E11" w:rsidRDefault="003B6E11" w:rsidP="003B6E11">
      <w:pPr>
        <w:widowControl w:val="0"/>
        <w:spacing w:before="60" w:line="240" w:lineRule="atLeast"/>
        <w:ind w:left="992"/>
        <w:rPr>
          <w:rFonts w:cs="Arial"/>
          <w:szCs w:val="20"/>
          <w:lang w:val="cs-CZ"/>
        </w:rPr>
      </w:pPr>
      <w:r w:rsidRPr="003B6E11">
        <w:rPr>
          <w:lang w:val="cs-CZ"/>
        </w:rPr>
        <w:t>-</w:t>
      </w:r>
      <w:r w:rsidRPr="003B6E11">
        <w:rPr>
          <w:lang w:val="cs-CZ"/>
        </w:rPr>
        <w:tab/>
        <w:t>videosystémy a</w:t>
      </w:r>
    </w:p>
    <w:p w:rsidR="003B6E11" w:rsidRPr="003B6E11" w:rsidRDefault="003B6E11" w:rsidP="003B6E11">
      <w:pPr>
        <w:widowControl w:val="0"/>
        <w:spacing w:before="60" w:line="240" w:lineRule="atLeast"/>
        <w:ind w:left="992"/>
        <w:rPr>
          <w:rFonts w:cs="Arial"/>
          <w:szCs w:val="20"/>
          <w:lang w:val="cs-CZ"/>
        </w:rPr>
      </w:pPr>
      <w:r w:rsidRPr="003B6E11">
        <w:rPr>
          <w:lang w:val="cs-CZ"/>
        </w:rPr>
        <w:t>-</w:t>
      </w:r>
      <w:r w:rsidRPr="003B6E11">
        <w:rPr>
          <w:lang w:val="cs-CZ"/>
        </w:rPr>
        <w:tab/>
        <w:t>radarové systémy.</w:t>
      </w:r>
    </w:p>
    <w:p w:rsidR="003B6E11" w:rsidRPr="003B6E11" w:rsidRDefault="003B6E11" w:rsidP="003B6E11">
      <w:pPr>
        <w:widowControl w:val="0"/>
        <w:spacing w:line="240" w:lineRule="atLeast"/>
        <w:ind w:left="567" w:hanging="27"/>
        <w:rPr>
          <w:rFonts w:cs="Arial"/>
          <w:b/>
          <w:bCs/>
          <w:szCs w:val="20"/>
          <w:lang w:val="cs-CZ"/>
        </w:rPr>
      </w:pPr>
    </w:p>
    <w:p w:rsidR="003B6E11" w:rsidRPr="003B6E11" w:rsidRDefault="003B6E11" w:rsidP="003B6E11">
      <w:pPr>
        <w:widowControl w:val="0"/>
        <w:spacing w:line="240" w:lineRule="atLeast"/>
        <w:ind w:left="567"/>
        <w:rPr>
          <w:rFonts w:cs="Arial"/>
          <w:szCs w:val="20"/>
          <w:lang w:val="cs-CZ"/>
        </w:rPr>
      </w:pPr>
      <w:r w:rsidRPr="003B6E11">
        <w:rPr>
          <w:lang w:val="cs-CZ"/>
        </w:rPr>
        <w:t>Pomocné prostředky, které splňují ustanovení části 4 tohoto správního pokynu, jsou vhodné pro pozorování oblastí omezeného výhledu za předpokladu, že vyhovují konkrétním podmínkám použití. Kontrolní komise povolí jiné pomocné prostředky, pouze pokud je toho názoru, že zajišťují srovnatelný stupeň bezpečnosti.</w:t>
      </w:r>
    </w:p>
    <w:p w:rsidR="003B6E11" w:rsidRPr="003B6E11" w:rsidRDefault="003B6E11" w:rsidP="003B6E11">
      <w:pPr>
        <w:widowControl w:val="0"/>
        <w:spacing w:line="240" w:lineRule="atLeast"/>
        <w:ind w:left="567"/>
        <w:rPr>
          <w:rFonts w:cs="Arial"/>
          <w:szCs w:val="20"/>
          <w:lang w:val="cs-CZ"/>
        </w:rPr>
      </w:pPr>
    </w:p>
    <w:p w:rsidR="003B6E11" w:rsidRPr="003B6E11" w:rsidRDefault="003B6E11" w:rsidP="003B6E11">
      <w:pPr>
        <w:widowControl w:val="0"/>
        <w:spacing w:line="240" w:lineRule="atLeast"/>
        <w:rPr>
          <w:rFonts w:cs="Arial"/>
          <w:b/>
          <w:bCs/>
          <w:szCs w:val="20"/>
          <w:lang w:val="cs-CZ"/>
        </w:rPr>
      </w:pPr>
    </w:p>
    <w:p w:rsidR="003B6E11" w:rsidRPr="003B6E11" w:rsidRDefault="003B6E11" w:rsidP="003B6E11">
      <w:pPr>
        <w:rPr>
          <w:b/>
          <w:szCs w:val="20"/>
          <w:lang w:val="cs-CZ"/>
        </w:rPr>
      </w:pPr>
      <w:r w:rsidRPr="003B6E11">
        <w:rPr>
          <w:lang w:val="cs-CZ"/>
        </w:rPr>
        <w:br w:type="page"/>
      </w:r>
    </w:p>
    <w:p w:rsidR="003B6E11" w:rsidRPr="003B6E11" w:rsidRDefault="003B6E11" w:rsidP="003B6E11">
      <w:pPr>
        <w:widowControl w:val="0"/>
        <w:spacing w:line="250" w:lineRule="atLeast"/>
        <w:ind w:left="567" w:hanging="567"/>
        <w:rPr>
          <w:b/>
          <w:szCs w:val="20"/>
          <w:lang w:val="cs-CZ"/>
        </w:rPr>
      </w:pPr>
    </w:p>
    <w:p w:rsidR="003B6E11" w:rsidRPr="003B6E11" w:rsidRDefault="003B6E11" w:rsidP="003B6E11">
      <w:pPr>
        <w:widowControl w:val="0"/>
        <w:spacing w:line="250" w:lineRule="atLeast"/>
        <w:ind w:left="567" w:hanging="567"/>
        <w:rPr>
          <w:rFonts w:cs="Arial"/>
          <w:b/>
          <w:bCs/>
          <w:szCs w:val="20"/>
          <w:lang w:val="cs-CZ"/>
        </w:rPr>
      </w:pPr>
      <w:r w:rsidRPr="003B6E11">
        <w:rPr>
          <w:b/>
          <w:lang w:val="cs-CZ"/>
        </w:rPr>
        <w:t>3.</w:t>
      </w:r>
      <w:r w:rsidRPr="003B6E11">
        <w:rPr>
          <w:lang w:val="cs-CZ"/>
        </w:rPr>
        <w:tab/>
      </w:r>
      <w:r w:rsidRPr="003B6E11">
        <w:rPr>
          <w:b/>
          <w:lang w:val="cs-CZ"/>
        </w:rPr>
        <w:t>Vlastnosti technických pomocných prostředků</w:t>
      </w:r>
    </w:p>
    <w:p w:rsidR="003B6E11" w:rsidRPr="003B6E11" w:rsidRDefault="003B6E11" w:rsidP="003B6E11">
      <w:pPr>
        <w:widowControl w:val="0"/>
        <w:spacing w:line="250" w:lineRule="atLeast"/>
        <w:ind w:left="567" w:hanging="567"/>
        <w:rPr>
          <w:rFonts w:cs="Arial"/>
          <w:b/>
          <w:bCs/>
          <w:szCs w:val="20"/>
          <w:lang w:val="cs-CZ"/>
        </w:rPr>
      </w:pPr>
    </w:p>
    <w:p w:rsidR="003B6E11" w:rsidRPr="003B6E11" w:rsidRDefault="003B6E11" w:rsidP="003B6E11">
      <w:pPr>
        <w:widowControl w:val="0"/>
        <w:spacing w:line="250" w:lineRule="atLeast"/>
        <w:ind w:left="567" w:hanging="567"/>
        <w:rPr>
          <w:rFonts w:cs="Arial"/>
          <w:b/>
          <w:bCs/>
          <w:szCs w:val="20"/>
          <w:lang w:val="cs-CZ"/>
        </w:rPr>
      </w:pPr>
      <w:r w:rsidRPr="003B6E11">
        <w:rPr>
          <w:b/>
          <w:lang w:val="cs-CZ"/>
        </w:rPr>
        <w:t>3.1</w:t>
      </w:r>
      <w:r w:rsidRPr="003B6E11">
        <w:rPr>
          <w:lang w:val="cs-CZ"/>
        </w:rPr>
        <w:tab/>
      </w:r>
      <w:r w:rsidRPr="003B6E11">
        <w:rPr>
          <w:b/>
          <w:lang w:val="cs-CZ"/>
        </w:rPr>
        <w:t>Vlastnosti zrcátek</w:t>
      </w:r>
    </w:p>
    <w:p w:rsidR="003B6E11" w:rsidRPr="003B6E11" w:rsidRDefault="003B6E11" w:rsidP="003B6E11">
      <w:pPr>
        <w:widowControl w:val="0"/>
        <w:spacing w:line="250" w:lineRule="atLeast"/>
        <w:rPr>
          <w:rFonts w:cs="Arial"/>
          <w:b/>
          <w:szCs w:val="20"/>
          <w:lang w:val="cs-CZ"/>
        </w:rPr>
      </w:pPr>
    </w:p>
    <w:p w:rsidR="003B6E11" w:rsidRPr="003B6E11" w:rsidRDefault="003B6E11" w:rsidP="003B6E11">
      <w:pPr>
        <w:widowControl w:val="0"/>
        <w:spacing w:line="250" w:lineRule="atLeast"/>
        <w:ind w:left="567"/>
        <w:rPr>
          <w:rFonts w:cs="Arial"/>
          <w:szCs w:val="20"/>
          <w:lang w:val="cs-CZ"/>
        </w:rPr>
      </w:pPr>
      <w:r w:rsidRPr="003B6E11">
        <w:rPr>
          <w:lang w:val="cs-CZ"/>
        </w:rPr>
        <w:t xml:space="preserve">Zrcátka jsou v podstatě čidlem a zobrazovacím systémem v jednom. Odrážejí dopadající světlo podle zákona „úhel dopadu = úhel odrazu“ a umožňují nepřímé pozorování požadovaného úseku odkloněním zorného pole kormidelníka. Používají se hlavně k pozorování prostorů bočních palub. </w:t>
      </w:r>
    </w:p>
    <w:p w:rsidR="003B6E11" w:rsidRPr="003B6E11" w:rsidRDefault="003B6E11" w:rsidP="003B6E11">
      <w:pPr>
        <w:widowControl w:val="0"/>
        <w:spacing w:line="250" w:lineRule="atLeast"/>
        <w:ind w:left="567"/>
        <w:rPr>
          <w:rFonts w:cs="Arial"/>
          <w:szCs w:val="20"/>
          <w:lang w:val="cs-CZ"/>
        </w:rPr>
      </w:pPr>
    </w:p>
    <w:p w:rsidR="003B6E11" w:rsidRPr="003B6E11" w:rsidRDefault="003B6E11" w:rsidP="003B6E11">
      <w:pPr>
        <w:widowControl w:val="0"/>
        <w:spacing w:line="250" w:lineRule="atLeast"/>
        <w:ind w:left="567"/>
        <w:rPr>
          <w:rFonts w:cs="Arial"/>
          <w:szCs w:val="20"/>
          <w:lang w:val="cs-CZ"/>
        </w:rPr>
      </w:pPr>
      <w:r w:rsidRPr="003B6E11">
        <w:rPr>
          <w:lang w:val="cs-CZ"/>
        </w:rPr>
        <w:t>Rovinná zrcátka nemění úhel ve středu zorného pole, konvexní jej zvětšují. Zrcátka nelze použít ve tmě a při přímém slunečním svitu mohou oslňovat.</w:t>
      </w:r>
    </w:p>
    <w:p w:rsidR="003B6E11" w:rsidRPr="003B6E11" w:rsidRDefault="003B6E11" w:rsidP="003B6E11">
      <w:pPr>
        <w:widowControl w:val="0"/>
        <w:spacing w:line="250" w:lineRule="atLeast"/>
        <w:ind w:left="567"/>
        <w:rPr>
          <w:rFonts w:cs="Arial"/>
          <w:szCs w:val="20"/>
          <w:lang w:val="cs-CZ"/>
        </w:rPr>
      </w:pPr>
    </w:p>
    <w:p w:rsidR="003B6E11" w:rsidRPr="003B6E11" w:rsidRDefault="003B6E11" w:rsidP="003B6E11">
      <w:pPr>
        <w:widowControl w:val="0"/>
        <w:spacing w:line="250" w:lineRule="atLeast"/>
        <w:ind w:left="567"/>
        <w:rPr>
          <w:rFonts w:cs="Arial"/>
          <w:szCs w:val="20"/>
          <w:lang w:val="cs-CZ"/>
        </w:rPr>
      </w:pPr>
      <w:r w:rsidRPr="003B6E11">
        <w:rPr>
          <w:lang w:val="cs-CZ"/>
        </w:rPr>
        <w:t>Obecně platí, že zrcátka používaná pro vnitrozemskou plavbu jsou sériově vyráběné výrobky určené pro autobusy a těžká nákladní vozidla, jejichž vlastnosti jsou vhodné pro účely plavby.</w:t>
      </w:r>
    </w:p>
    <w:p w:rsidR="003B6E11" w:rsidRPr="003B6E11" w:rsidRDefault="003B6E11" w:rsidP="003B6E11">
      <w:pPr>
        <w:widowControl w:val="0"/>
        <w:spacing w:line="250" w:lineRule="atLeast"/>
        <w:ind w:left="567"/>
        <w:rPr>
          <w:rFonts w:cs="Arial"/>
          <w:szCs w:val="20"/>
          <w:lang w:val="cs-CZ"/>
        </w:rPr>
      </w:pPr>
      <w:r w:rsidRPr="003B6E11">
        <w:rPr>
          <w:lang w:val="cs-CZ"/>
        </w:rPr>
        <w:t>Za ideálních podmínek (zrcátko vysoké kvality, nedochází k foulingu) je rozlišení obrazu zrcadla omezeno rozlišením oka pozorovatele.</w:t>
      </w:r>
    </w:p>
    <w:p w:rsidR="003B6E11" w:rsidRPr="003B6E11" w:rsidRDefault="003B6E11" w:rsidP="003B6E11">
      <w:pPr>
        <w:widowControl w:val="0"/>
        <w:spacing w:line="250" w:lineRule="atLeast"/>
        <w:rPr>
          <w:rFonts w:cs="Arial"/>
          <w:szCs w:val="20"/>
          <w:lang w:val="cs-CZ"/>
        </w:rPr>
      </w:pPr>
    </w:p>
    <w:p w:rsidR="003B6E11" w:rsidRPr="003B6E11" w:rsidRDefault="003B6E11" w:rsidP="003B6E11">
      <w:pPr>
        <w:widowControl w:val="0"/>
        <w:tabs>
          <w:tab w:val="left" w:pos="540"/>
        </w:tabs>
        <w:spacing w:line="250" w:lineRule="atLeast"/>
        <w:rPr>
          <w:rFonts w:cs="Arial"/>
          <w:b/>
          <w:szCs w:val="20"/>
          <w:lang w:val="cs-CZ"/>
        </w:rPr>
      </w:pPr>
      <w:r w:rsidRPr="003B6E11">
        <w:rPr>
          <w:b/>
          <w:lang w:val="cs-CZ"/>
        </w:rPr>
        <w:t>3.2</w:t>
      </w:r>
      <w:r w:rsidRPr="003B6E11">
        <w:rPr>
          <w:lang w:val="cs-CZ"/>
        </w:rPr>
        <w:tab/>
      </w:r>
      <w:r w:rsidRPr="003B6E11">
        <w:rPr>
          <w:b/>
          <w:lang w:val="cs-CZ"/>
        </w:rPr>
        <w:t>Vlastnosti videosystémů</w:t>
      </w:r>
    </w:p>
    <w:p w:rsidR="003B6E11" w:rsidRPr="003B6E11" w:rsidRDefault="003B6E11" w:rsidP="003B6E11">
      <w:pPr>
        <w:widowControl w:val="0"/>
        <w:spacing w:line="250" w:lineRule="atLeast"/>
        <w:rPr>
          <w:rFonts w:cs="Arial"/>
          <w:b/>
          <w:szCs w:val="20"/>
          <w:lang w:val="cs-CZ"/>
        </w:rPr>
      </w:pPr>
    </w:p>
    <w:p w:rsidR="003B6E11" w:rsidRPr="003B6E11" w:rsidRDefault="003B6E11" w:rsidP="003B6E11">
      <w:pPr>
        <w:widowControl w:val="0"/>
        <w:spacing w:line="250" w:lineRule="atLeast"/>
        <w:ind w:left="567"/>
        <w:rPr>
          <w:rFonts w:cs="Arial"/>
          <w:szCs w:val="20"/>
          <w:lang w:val="cs-CZ"/>
        </w:rPr>
      </w:pPr>
      <w:r w:rsidRPr="003B6E11">
        <w:rPr>
          <w:lang w:val="cs-CZ"/>
        </w:rPr>
        <w:t>Díky vysokému opakovacímu kmitočtu poskytují videosystémy aktuální obraz okolí, který by pozorovatel spatřil, kdyby se nacházel v místě, kde je kamera. Sestávají z videokamery, která snímá obraz, a z rastrovací obrazovky (monitoru), na které je zaznamenaný obraz zobrazován.</w:t>
      </w:r>
    </w:p>
    <w:p w:rsidR="003B6E11" w:rsidRPr="003B6E11" w:rsidRDefault="003B6E11" w:rsidP="003B6E11">
      <w:pPr>
        <w:widowControl w:val="0"/>
        <w:spacing w:line="250" w:lineRule="atLeast"/>
        <w:ind w:left="567"/>
        <w:rPr>
          <w:rFonts w:cs="Arial"/>
          <w:szCs w:val="20"/>
          <w:lang w:val="cs-CZ"/>
        </w:rPr>
      </w:pPr>
    </w:p>
    <w:p w:rsidR="003B6E11" w:rsidRPr="003B6E11" w:rsidRDefault="003B6E11" w:rsidP="003B6E11">
      <w:pPr>
        <w:widowControl w:val="0"/>
        <w:spacing w:line="250" w:lineRule="atLeast"/>
        <w:ind w:left="567"/>
        <w:rPr>
          <w:rFonts w:cs="Arial"/>
          <w:szCs w:val="20"/>
          <w:lang w:val="cs-CZ"/>
        </w:rPr>
      </w:pPr>
      <w:r w:rsidRPr="003B6E11">
        <w:rPr>
          <w:lang w:val="cs-CZ"/>
        </w:rPr>
        <w:t>Pro přenos signálu mezi kamerou a monitorem stačí prosté elektrické spojení. Napájení může být zajištěno i signálním kabelem.</w:t>
      </w:r>
    </w:p>
    <w:p w:rsidR="003B6E11" w:rsidRPr="003B6E11" w:rsidRDefault="003B6E11" w:rsidP="003B6E11">
      <w:pPr>
        <w:widowControl w:val="0"/>
        <w:spacing w:line="250" w:lineRule="atLeast"/>
        <w:ind w:left="567"/>
        <w:rPr>
          <w:rFonts w:cs="Arial"/>
          <w:szCs w:val="20"/>
          <w:lang w:val="cs-CZ"/>
        </w:rPr>
      </w:pPr>
    </w:p>
    <w:p w:rsidR="003B6E11" w:rsidRPr="003B6E11" w:rsidRDefault="003B6E11" w:rsidP="003B6E11">
      <w:pPr>
        <w:widowControl w:val="0"/>
        <w:spacing w:line="250" w:lineRule="atLeast"/>
        <w:ind w:left="567"/>
        <w:rPr>
          <w:rFonts w:cs="Arial"/>
          <w:szCs w:val="20"/>
          <w:lang w:val="cs-CZ"/>
        </w:rPr>
      </w:pPr>
      <w:r w:rsidRPr="003B6E11">
        <w:rPr>
          <w:lang w:val="cs-CZ"/>
        </w:rPr>
        <w:t>Kamery mohou mít buď pevnou, nebo proměnlivou ohniskovou vzdálenost (zoom) a mohou být instalovány buď napevno v určité pozici, nebo na otočném a sklopném držáku.</w:t>
      </w:r>
    </w:p>
    <w:p w:rsidR="003B6E11" w:rsidRPr="003B6E11" w:rsidRDefault="003B6E11" w:rsidP="003B6E11">
      <w:pPr>
        <w:widowControl w:val="0"/>
        <w:spacing w:line="250" w:lineRule="atLeast"/>
        <w:ind w:left="567"/>
        <w:rPr>
          <w:rFonts w:cs="Arial"/>
          <w:szCs w:val="20"/>
          <w:lang w:val="cs-CZ"/>
        </w:rPr>
      </w:pPr>
    </w:p>
    <w:p w:rsidR="003B6E11" w:rsidRPr="003B6E11" w:rsidRDefault="003B6E11" w:rsidP="003B6E11">
      <w:pPr>
        <w:widowControl w:val="0"/>
        <w:spacing w:line="250" w:lineRule="atLeast"/>
        <w:ind w:left="567"/>
        <w:rPr>
          <w:rFonts w:cs="Arial"/>
          <w:szCs w:val="20"/>
          <w:lang w:val="cs-CZ"/>
        </w:rPr>
      </w:pPr>
      <w:r w:rsidRPr="003B6E11">
        <w:rPr>
          <w:lang w:val="cs-CZ"/>
        </w:rPr>
        <w:t>Obraz snímaný (jednookými) kamerami se zachycuje a zobrazuje centrálně na obrazovkách stejným způsobem, jakým jej vnímá lidské oko. Hlavní nevýhodou tohoto centrálního zobrazování je to, že neumožňuje určit rozsah zobrazovaného obrazu. Tento efekt je zjevný v případě obrazu nasnímaného pomocí teleobjektivu (dlouhá ohnisková vzdálenost).</w:t>
      </w:r>
    </w:p>
    <w:p w:rsidR="003B6E11" w:rsidRPr="003B6E11" w:rsidRDefault="003B6E11" w:rsidP="003B6E11">
      <w:pPr>
        <w:widowControl w:val="0"/>
        <w:spacing w:line="250" w:lineRule="atLeast"/>
        <w:ind w:left="567"/>
        <w:rPr>
          <w:rFonts w:cs="Arial"/>
          <w:szCs w:val="20"/>
          <w:lang w:val="cs-CZ"/>
        </w:rPr>
      </w:pPr>
    </w:p>
    <w:p w:rsidR="003B6E11" w:rsidRPr="003B6E11" w:rsidRDefault="003B6E11" w:rsidP="003B6E11">
      <w:pPr>
        <w:widowControl w:val="0"/>
        <w:spacing w:line="250" w:lineRule="atLeast"/>
        <w:ind w:left="567"/>
        <w:rPr>
          <w:rFonts w:cs="Arial"/>
          <w:szCs w:val="20"/>
          <w:lang w:val="cs-CZ"/>
        </w:rPr>
      </w:pPr>
      <w:r w:rsidRPr="003B6E11">
        <w:rPr>
          <w:lang w:val="cs-CZ"/>
        </w:rPr>
        <w:t>Směr pohledu a pole pozorování se proto musí dobře přizpůsobit požadovanému použití.</w:t>
      </w:r>
    </w:p>
    <w:p w:rsidR="003B6E11" w:rsidRPr="003B6E11" w:rsidRDefault="003B6E11" w:rsidP="003B6E11">
      <w:pPr>
        <w:widowControl w:val="0"/>
        <w:spacing w:line="250" w:lineRule="atLeast"/>
        <w:ind w:left="567"/>
        <w:rPr>
          <w:rFonts w:cs="Arial"/>
          <w:szCs w:val="20"/>
          <w:lang w:val="cs-CZ"/>
        </w:rPr>
      </w:pPr>
    </w:p>
    <w:p w:rsidR="003B6E11" w:rsidRPr="003B6E11" w:rsidRDefault="003B6E11" w:rsidP="003B6E11">
      <w:pPr>
        <w:widowControl w:val="0"/>
        <w:spacing w:line="250" w:lineRule="atLeast"/>
        <w:ind w:left="567"/>
        <w:rPr>
          <w:rFonts w:cs="Arial"/>
          <w:szCs w:val="20"/>
          <w:lang w:val="cs-CZ"/>
        </w:rPr>
      </w:pPr>
      <w:r w:rsidRPr="003B6E11">
        <w:rPr>
          <w:lang w:val="cs-CZ"/>
        </w:rPr>
        <w:t>V případě videosystémů je nutný nízký jas okolního prostředí. Silné odrazy na vodní hladině a přímé sluneční světlo mohou obraz znehodnotit.</w:t>
      </w:r>
    </w:p>
    <w:p w:rsidR="003B6E11" w:rsidRPr="003B6E11" w:rsidRDefault="003B6E11" w:rsidP="003B6E11">
      <w:pPr>
        <w:widowControl w:val="0"/>
        <w:spacing w:line="250" w:lineRule="atLeast"/>
        <w:ind w:left="567"/>
        <w:rPr>
          <w:rFonts w:cs="Arial"/>
          <w:szCs w:val="20"/>
          <w:lang w:val="cs-CZ"/>
        </w:rPr>
      </w:pPr>
    </w:p>
    <w:p w:rsidR="003B6E11" w:rsidRPr="003B6E11" w:rsidRDefault="003B6E11" w:rsidP="003B6E11">
      <w:pPr>
        <w:widowControl w:val="0"/>
        <w:spacing w:line="250" w:lineRule="atLeast"/>
        <w:ind w:left="567"/>
        <w:rPr>
          <w:rFonts w:cs="Arial"/>
          <w:szCs w:val="20"/>
          <w:lang w:val="cs-CZ"/>
        </w:rPr>
      </w:pPr>
      <w:r w:rsidRPr="003B6E11">
        <w:rPr>
          <w:lang w:val="cs-CZ"/>
        </w:rPr>
        <w:t>Technické vlastnosti monitoru (velikost obrazu, rozlišení, jas) závisí na požadovaném použití.</w:t>
      </w:r>
    </w:p>
    <w:p w:rsidR="003B6E11" w:rsidRPr="003B6E11" w:rsidRDefault="003B6E11" w:rsidP="003B6E11">
      <w:pPr>
        <w:widowControl w:val="0"/>
        <w:spacing w:line="250" w:lineRule="atLeast"/>
        <w:ind w:left="567"/>
        <w:rPr>
          <w:rFonts w:cs="Arial"/>
          <w:szCs w:val="20"/>
          <w:lang w:val="cs-CZ"/>
        </w:rPr>
      </w:pPr>
    </w:p>
    <w:p w:rsidR="003B6E11" w:rsidRPr="003B6E11" w:rsidRDefault="003B6E11" w:rsidP="003B6E11">
      <w:pPr>
        <w:widowControl w:val="0"/>
        <w:spacing w:line="250" w:lineRule="atLeast"/>
        <w:ind w:left="567"/>
        <w:rPr>
          <w:rFonts w:cs="Arial"/>
          <w:szCs w:val="20"/>
          <w:lang w:val="cs-CZ"/>
        </w:rPr>
      </w:pPr>
      <w:r w:rsidRPr="003B6E11">
        <w:rPr>
          <w:lang w:val="cs-CZ"/>
        </w:rPr>
        <w:t>Rozlišení obrazu je dáno počtem pixelů obrazového snímače kamery a počtem pixelů (a šířkou pásma videosignálu) monitoru. Ani kvalitní komerční videosystém nedosahuje maximálního rozlišení lidského oka.</w:t>
      </w:r>
    </w:p>
    <w:p w:rsidR="003B6E11" w:rsidRPr="003B6E11" w:rsidRDefault="003B6E11" w:rsidP="003B6E11">
      <w:pPr>
        <w:widowControl w:val="0"/>
        <w:spacing w:line="250" w:lineRule="atLeast"/>
        <w:rPr>
          <w:rFonts w:cs="Arial"/>
          <w:szCs w:val="20"/>
          <w:lang w:val="cs-CZ"/>
        </w:rPr>
      </w:pPr>
    </w:p>
    <w:p w:rsidR="003B6E11" w:rsidRPr="003B6E11" w:rsidRDefault="003B6E11" w:rsidP="003B6E11">
      <w:pPr>
        <w:widowControl w:val="0"/>
        <w:tabs>
          <w:tab w:val="left" w:pos="540"/>
        </w:tabs>
        <w:spacing w:line="250" w:lineRule="atLeast"/>
        <w:rPr>
          <w:rFonts w:cs="Arial"/>
          <w:b/>
          <w:szCs w:val="20"/>
          <w:lang w:val="cs-CZ"/>
        </w:rPr>
      </w:pPr>
    </w:p>
    <w:p w:rsidR="003B6E11" w:rsidRPr="003B6E11" w:rsidRDefault="003B6E11" w:rsidP="003B6E11">
      <w:pPr>
        <w:rPr>
          <w:b/>
          <w:szCs w:val="20"/>
          <w:lang w:val="cs-CZ"/>
        </w:rPr>
      </w:pPr>
      <w:r w:rsidRPr="003B6E11">
        <w:rPr>
          <w:lang w:val="cs-CZ"/>
        </w:rPr>
        <w:br w:type="page"/>
      </w:r>
    </w:p>
    <w:p w:rsidR="003B6E11" w:rsidRPr="003B6E11" w:rsidRDefault="003B6E11" w:rsidP="003B6E11">
      <w:pPr>
        <w:widowControl w:val="0"/>
        <w:tabs>
          <w:tab w:val="left" w:pos="540"/>
        </w:tabs>
        <w:spacing w:line="240" w:lineRule="atLeast"/>
        <w:rPr>
          <w:rFonts w:cs="Arial"/>
          <w:b/>
          <w:szCs w:val="20"/>
          <w:lang w:val="cs-CZ"/>
        </w:rPr>
      </w:pPr>
      <w:r w:rsidRPr="003B6E11">
        <w:rPr>
          <w:b/>
          <w:lang w:val="cs-CZ"/>
        </w:rPr>
        <w:t>3.3</w:t>
      </w:r>
      <w:r w:rsidRPr="003B6E11">
        <w:rPr>
          <w:lang w:val="cs-CZ"/>
        </w:rPr>
        <w:tab/>
      </w:r>
      <w:r w:rsidRPr="003B6E11">
        <w:rPr>
          <w:b/>
          <w:lang w:val="cs-CZ"/>
        </w:rPr>
        <w:t>Vlastnosti radarových systémů</w:t>
      </w:r>
    </w:p>
    <w:p w:rsidR="003B6E11" w:rsidRPr="003B6E11" w:rsidRDefault="003B6E11" w:rsidP="003B6E11">
      <w:pPr>
        <w:widowControl w:val="0"/>
        <w:spacing w:line="240" w:lineRule="atLeast"/>
        <w:ind w:firstLine="567"/>
        <w:rPr>
          <w:rFonts w:cs="Arial"/>
          <w:b/>
          <w:szCs w:val="20"/>
          <w:lang w:val="cs-CZ"/>
        </w:rPr>
      </w:pPr>
    </w:p>
    <w:p w:rsidR="003B6E11" w:rsidRPr="003B6E11" w:rsidRDefault="003B6E11" w:rsidP="003B6E11">
      <w:pPr>
        <w:widowControl w:val="0"/>
        <w:spacing w:line="240" w:lineRule="atLeast"/>
        <w:ind w:left="567"/>
        <w:rPr>
          <w:rFonts w:cs="Arial"/>
          <w:szCs w:val="20"/>
          <w:lang w:val="cs-CZ"/>
        </w:rPr>
      </w:pPr>
      <w:r w:rsidRPr="003B6E11">
        <w:rPr>
          <w:lang w:val="cs-CZ"/>
        </w:rPr>
        <w:t>Radarové systémy obsahují snímač (otočnou anténu s vysílačem a přijímačem) a zobrazovací jednotku. Snímač využívá vodorovně se otáčející anténu k „osvětlení“ úzkých radiálních výsečí pomocí mikrovlnných pulsů, zachytává ozvěny odrážené objekty a potom je zobrazuje na obrazovce spolu s údaji o vzdálenosti a poloze. Tak vzniká přizpůsobený obraz okolí ve směru plavby lodi. Tento obraz umožňuje určit objekty ve vzdálenosti 15 m a větší s rozlišením přibližně 5 m a jejich polohu s přesností přibližně 0,5°.</w:t>
      </w:r>
    </w:p>
    <w:p w:rsidR="003B6E11" w:rsidRPr="003B6E11" w:rsidRDefault="003B6E11" w:rsidP="003B6E11">
      <w:pPr>
        <w:widowControl w:val="0"/>
        <w:spacing w:line="240" w:lineRule="atLeast"/>
        <w:ind w:left="567"/>
        <w:rPr>
          <w:rFonts w:cs="Arial"/>
          <w:szCs w:val="20"/>
          <w:lang w:val="cs-CZ"/>
        </w:rPr>
      </w:pPr>
    </w:p>
    <w:p w:rsidR="003B6E11" w:rsidRPr="003B6E11" w:rsidRDefault="003B6E11" w:rsidP="003B6E11">
      <w:pPr>
        <w:widowControl w:val="0"/>
        <w:spacing w:line="240" w:lineRule="atLeast"/>
        <w:ind w:left="567"/>
        <w:rPr>
          <w:rFonts w:cs="Arial"/>
          <w:szCs w:val="20"/>
          <w:lang w:val="cs-CZ"/>
        </w:rPr>
      </w:pPr>
      <w:r w:rsidRPr="003B6E11">
        <w:rPr>
          <w:lang w:val="cs-CZ"/>
        </w:rPr>
        <w:t>Vzhledem k tomu, že radarové impulsy fungují na rozdíl od ostatních uvedených technických pomocných prostředků v rámci vlastních přenosových impulsů, nezávisí na jasu okolního prostředí.</w:t>
      </w:r>
    </w:p>
    <w:p w:rsidR="003B6E11" w:rsidRPr="003B6E11" w:rsidRDefault="003B6E11" w:rsidP="003B6E11">
      <w:pPr>
        <w:widowControl w:val="0"/>
        <w:spacing w:line="240" w:lineRule="atLeast"/>
        <w:ind w:left="567"/>
        <w:rPr>
          <w:rFonts w:cs="Arial"/>
          <w:szCs w:val="20"/>
          <w:lang w:val="cs-CZ"/>
        </w:rPr>
      </w:pPr>
    </w:p>
    <w:p w:rsidR="003B6E11" w:rsidRPr="003B6E11" w:rsidRDefault="003B6E11" w:rsidP="003B6E11">
      <w:pPr>
        <w:widowControl w:val="0"/>
        <w:spacing w:line="240" w:lineRule="atLeast"/>
        <w:ind w:left="567"/>
        <w:rPr>
          <w:rFonts w:cs="Arial"/>
          <w:szCs w:val="20"/>
          <w:lang w:val="cs-CZ"/>
        </w:rPr>
      </w:pPr>
      <w:r w:rsidRPr="003B6E11">
        <w:rPr>
          <w:lang w:val="cs-CZ"/>
        </w:rPr>
        <w:t xml:space="preserve">Dokážou však odhalit a určit pouze polohu objektů, které odrážejí ozvěny, a vytvářet obraz okolí připomínající mapu, která věrně zobrazuje polohu a vzdálenost. Radarové systémy rovněž nejsou schopny identifikovat a zobrazovat podrobné údaje o objektech, které by identifikaci umožnily. </w:t>
      </w:r>
    </w:p>
    <w:p w:rsidR="003B6E11" w:rsidRPr="003B6E11" w:rsidRDefault="003B6E11" w:rsidP="003B6E11">
      <w:pPr>
        <w:widowControl w:val="0"/>
        <w:spacing w:line="240" w:lineRule="atLeast"/>
        <w:ind w:left="567" w:hanging="567"/>
        <w:rPr>
          <w:rFonts w:cs="Arial"/>
          <w:b/>
          <w:szCs w:val="20"/>
          <w:lang w:val="cs-CZ"/>
        </w:rPr>
      </w:pPr>
    </w:p>
    <w:p w:rsidR="003B6E11" w:rsidRPr="003B6E11" w:rsidRDefault="003B6E11" w:rsidP="003B6E11">
      <w:pPr>
        <w:widowControl w:val="0"/>
        <w:spacing w:line="240" w:lineRule="atLeast"/>
        <w:ind w:left="567" w:hanging="567"/>
        <w:rPr>
          <w:rFonts w:cs="Arial"/>
          <w:b/>
          <w:szCs w:val="20"/>
          <w:lang w:val="cs-CZ"/>
        </w:rPr>
      </w:pPr>
      <w:r w:rsidRPr="003B6E11">
        <w:rPr>
          <w:b/>
          <w:lang w:val="cs-CZ"/>
        </w:rPr>
        <w:t>4.</w:t>
      </w:r>
      <w:r w:rsidRPr="003B6E11">
        <w:rPr>
          <w:lang w:val="cs-CZ"/>
        </w:rPr>
        <w:tab/>
      </w:r>
      <w:r w:rsidRPr="003B6E11">
        <w:rPr>
          <w:b/>
          <w:lang w:val="cs-CZ"/>
        </w:rPr>
        <w:t>Vhodné pomocné prostředky pro sledování oblasti omezeného výhledu</w:t>
      </w:r>
    </w:p>
    <w:p w:rsidR="003B6E11" w:rsidRPr="003B6E11" w:rsidRDefault="003B6E11" w:rsidP="003B6E11">
      <w:pPr>
        <w:widowControl w:val="0"/>
        <w:spacing w:line="240" w:lineRule="atLeast"/>
        <w:rPr>
          <w:rFonts w:cs="Arial"/>
          <w:szCs w:val="20"/>
          <w:lang w:val="cs-CZ"/>
        </w:rPr>
      </w:pPr>
    </w:p>
    <w:p w:rsidR="003B6E11" w:rsidRPr="003B6E11" w:rsidRDefault="003B6E11" w:rsidP="003B6E11">
      <w:pPr>
        <w:widowControl w:val="0"/>
        <w:spacing w:line="240" w:lineRule="atLeast"/>
        <w:ind w:left="567" w:hanging="567"/>
        <w:rPr>
          <w:rFonts w:cs="Arial"/>
          <w:b/>
          <w:szCs w:val="20"/>
          <w:lang w:val="cs-CZ"/>
        </w:rPr>
      </w:pPr>
      <w:r w:rsidRPr="003B6E11">
        <w:rPr>
          <w:b/>
          <w:lang w:val="cs-CZ"/>
        </w:rPr>
        <w:t>4.1</w:t>
      </w:r>
      <w:r w:rsidRPr="003B6E11">
        <w:rPr>
          <w:lang w:val="cs-CZ"/>
        </w:rPr>
        <w:tab/>
      </w:r>
      <w:r w:rsidRPr="003B6E11">
        <w:rPr>
          <w:b/>
          <w:lang w:val="cs-CZ"/>
        </w:rPr>
        <w:t>Zrcátka</w:t>
      </w:r>
    </w:p>
    <w:p w:rsidR="003B6E11" w:rsidRPr="003B6E11" w:rsidRDefault="003B6E11" w:rsidP="003B6E11">
      <w:pPr>
        <w:widowControl w:val="0"/>
        <w:spacing w:before="60" w:line="240" w:lineRule="atLeast"/>
        <w:ind w:left="992"/>
        <w:rPr>
          <w:rFonts w:cs="Arial"/>
          <w:szCs w:val="20"/>
          <w:lang w:val="cs-CZ"/>
        </w:rPr>
      </w:pPr>
      <w:r w:rsidRPr="003B6E11">
        <w:rPr>
          <w:lang w:val="cs-CZ"/>
        </w:rPr>
        <w:t>1.</w:t>
      </w:r>
      <w:r w:rsidRPr="003B6E11">
        <w:rPr>
          <w:lang w:val="cs-CZ"/>
        </w:rPr>
        <w:tab/>
        <w:t>Tvar</w:t>
      </w:r>
    </w:p>
    <w:p w:rsidR="003B6E11" w:rsidRPr="003B6E11" w:rsidRDefault="003B6E11" w:rsidP="003B6E11">
      <w:pPr>
        <w:widowControl w:val="0"/>
        <w:spacing w:line="240" w:lineRule="atLeast"/>
        <w:ind w:left="992"/>
        <w:rPr>
          <w:rFonts w:cs="Arial"/>
          <w:szCs w:val="20"/>
          <w:lang w:val="cs-CZ"/>
        </w:rPr>
      </w:pPr>
      <w:r w:rsidRPr="003B6E11">
        <w:rPr>
          <w:lang w:val="cs-CZ"/>
        </w:rPr>
        <w:t xml:space="preserve">Tvar zrcátka závisí na tvaru oblasti, která má být sledována. Obdélníková zrcátka jsou vhodná pro sledování bočních palub. </w:t>
      </w:r>
    </w:p>
    <w:p w:rsidR="003B6E11" w:rsidRPr="003B6E11" w:rsidRDefault="003B6E11" w:rsidP="003B6E11">
      <w:pPr>
        <w:widowControl w:val="0"/>
        <w:spacing w:before="60" w:line="240" w:lineRule="atLeast"/>
        <w:ind w:left="992"/>
        <w:rPr>
          <w:rFonts w:cs="Arial"/>
          <w:szCs w:val="20"/>
          <w:lang w:val="cs-CZ"/>
        </w:rPr>
      </w:pPr>
      <w:r w:rsidRPr="003B6E11">
        <w:rPr>
          <w:lang w:val="cs-CZ"/>
        </w:rPr>
        <w:t>2.</w:t>
      </w:r>
      <w:r w:rsidRPr="003B6E11">
        <w:rPr>
          <w:lang w:val="cs-CZ"/>
        </w:rPr>
        <w:tab/>
        <w:t>Velikost</w:t>
      </w:r>
    </w:p>
    <w:p w:rsidR="003B6E11" w:rsidRPr="003B6E11" w:rsidRDefault="003B6E11" w:rsidP="003B6E11">
      <w:pPr>
        <w:widowControl w:val="0"/>
        <w:spacing w:line="240" w:lineRule="atLeast"/>
        <w:ind w:left="992"/>
        <w:rPr>
          <w:rFonts w:cs="Arial"/>
          <w:szCs w:val="20"/>
          <w:lang w:val="cs-CZ"/>
        </w:rPr>
      </w:pPr>
      <w:r w:rsidRPr="003B6E11">
        <w:rPr>
          <w:lang w:val="cs-CZ"/>
        </w:rPr>
        <w:t>Velikost plochy zrcátka závisí na šířce úseku, který má být sledován, a na vzdálenosti mezi kormidelníkem a zrcátkem.</w:t>
      </w:r>
    </w:p>
    <w:p w:rsidR="003B6E11" w:rsidRPr="003B6E11" w:rsidRDefault="003B6E11" w:rsidP="003B6E11">
      <w:pPr>
        <w:widowControl w:val="0"/>
        <w:spacing w:before="60" w:line="240" w:lineRule="atLeast"/>
        <w:ind w:left="992"/>
        <w:rPr>
          <w:rFonts w:cs="Arial"/>
          <w:szCs w:val="20"/>
          <w:lang w:val="cs-CZ"/>
        </w:rPr>
      </w:pPr>
      <w:r w:rsidRPr="003B6E11">
        <w:rPr>
          <w:lang w:val="cs-CZ"/>
        </w:rPr>
        <w:t>3.</w:t>
      </w:r>
      <w:r w:rsidRPr="003B6E11">
        <w:rPr>
          <w:lang w:val="cs-CZ"/>
        </w:rPr>
        <w:tab/>
        <w:t>Kvalita</w:t>
      </w:r>
    </w:p>
    <w:p w:rsidR="003B6E11" w:rsidRPr="003B6E11" w:rsidRDefault="003B6E11" w:rsidP="003B6E11">
      <w:pPr>
        <w:widowControl w:val="0"/>
        <w:spacing w:line="240" w:lineRule="atLeast"/>
        <w:ind w:left="992"/>
        <w:rPr>
          <w:rFonts w:cs="Arial"/>
          <w:szCs w:val="20"/>
          <w:lang w:val="cs-CZ"/>
        </w:rPr>
      </w:pPr>
      <w:r w:rsidRPr="003B6E11">
        <w:rPr>
          <w:lang w:val="cs-CZ"/>
        </w:rPr>
        <w:t>Měly by se používat osvědčené výrobky sériové výroby, například pro silniční vozidla (těžká nákladní vozidla, autobusy).</w:t>
      </w:r>
    </w:p>
    <w:p w:rsidR="003B6E11" w:rsidRPr="003B6E11" w:rsidRDefault="003B6E11" w:rsidP="003B6E11">
      <w:pPr>
        <w:widowControl w:val="0"/>
        <w:spacing w:before="60" w:line="240" w:lineRule="atLeast"/>
        <w:ind w:left="992"/>
        <w:rPr>
          <w:rFonts w:cs="Arial"/>
          <w:szCs w:val="20"/>
          <w:lang w:val="cs-CZ"/>
        </w:rPr>
      </w:pPr>
      <w:r w:rsidRPr="003B6E11">
        <w:rPr>
          <w:lang w:val="cs-CZ"/>
        </w:rPr>
        <w:t>4.</w:t>
      </w:r>
      <w:r w:rsidRPr="003B6E11">
        <w:rPr>
          <w:lang w:val="cs-CZ"/>
        </w:rPr>
        <w:tab/>
        <w:t>Zakřivení</w:t>
      </w:r>
    </w:p>
    <w:p w:rsidR="003B6E11" w:rsidRPr="003B6E11" w:rsidRDefault="003B6E11" w:rsidP="003B6E11">
      <w:pPr>
        <w:widowControl w:val="0"/>
        <w:spacing w:line="240" w:lineRule="atLeast"/>
        <w:ind w:left="992"/>
        <w:rPr>
          <w:rFonts w:cs="Arial"/>
          <w:szCs w:val="20"/>
          <w:lang w:val="cs-CZ"/>
        </w:rPr>
      </w:pPr>
      <w:r w:rsidRPr="003B6E11">
        <w:rPr>
          <w:lang w:val="cs-CZ"/>
        </w:rPr>
        <w:t>Měla by se používat rovinná, nikoli zakřivená zrcátka. Je-li to považováno za užitečné, lze použít i mírně zakřivená zrcátka.</w:t>
      </w:r>
    </w:p>
    <w:p w:rsidR="003B6E11" w:rsidRPr="003B6E11" w:rsidRDefault="003B6E11" w:rsidP="003B6E11">
      <w:pPr>
        <w:widowControl w:val="0"/>
        <w:spacing w:before="60" w:line="240" w:lineRule="atLeast"/>
        <w:ind w:left="992"/>
        <w:rPr>
          <w:rFonts w:cs="Arial"/>
          <w:szCs w:val="20"/>
          <w:lang w:val="cs-CZ"/>
        </w:rPr>
      </w:pPr>
      <w:r w:rsidRPr="003B6E11">
        <w:rPr>
          <w:lang w:val="cs-CZ"/>
        </w:rPr>
        <w:t>5.</w:t>
      </w:r>
      <w:r w:rsidRPr="003B6E11">
        <w:rPr>
          <w:lang w:val="cs-CZ"/>
        </w:rPr>
        <w:tab/>
        <w:t>Držák</w:t>
      </w:r>
    </w:p>
    <w:p w:rsidR="003B6E11" w:rsidRPr="003B6E11" w:rsidRDefault="003B6E11" w:rsidP="003B6E11">
      <w:pPr>
        <w:widowControl w:val="0"/>
        <w:spacing w:line="240" w:lineRule="atLeast"/>
        <w:ind w:left="992"/>
        <w:rPr>
          <w:rFonts w:cs="Arial"/>
          <w:szCs w:val="20"/>
          <w:lang w:val="cs-CZ"/>
        </w:rPr>
      </w:pPr>
      <w:r w:rsidRPr="003B6E11">
        <w:rPr>
          <w:lang w:val="cs-CZ"/>
        </w:rPr>
        <w:t>Zrcátko musí být držákem uchyceno trvalým a pevným způsobem tak, aby setrvávalo ve své poloze (bez vibrací).</w:t>
      </w:r>
    </w:p>
    <w:p w:rsidR="003B6E11" w:rsidRPr="003B6E11" w:rsidRDefault="003B6E11" w:rsidP="003B6E11">
      <w:pPr>
        <w:widowControl w:val="0"/>
        <w:spacing w:before="60" w:line="240" w:lineRule="atLeast"/>
        <w:ind w:left="992"/>
        <w:rPr>
          <w:rFonts w:cs="Arial"/>
          <w:szCs w:val="20"/>
          <w:lang w:val="cs-CZ"/>
        </w:rPr>
      </w:pPr>
      <w:r w:rsidRPr="003B6E11">
        <w:rPr>
          <w:lang w:val="cs-CZ"/>
        </w:rPr>
        <w:t>6.</w:t>
      </w:r>
      <w:r w:rsidRPr="003B6E11">
        <w:rPr>
          <w:lang w:val="cs-CZ"/>
        </w:rPr>
        <w:tab/>
        <w:t>Ochrana proti dešti</w:t>
      </w:r>
    </w:p>
    <w:p w:rsidR="003B6E11" w:rsidRPr="003B6E11" w:rsidRDefault="003B6E11" w:rsidP="003B6E11">
      <w:pPr>
        <w:widowControl w:val="0"/>
        <w:spacing w:line="240" w:lineRule="atLeast"/>
        <w:ind w:left="992"/>
        <w:rPr>
          <w:rFonts w:cs="Arial"/>
          <w:szCs w:val="20"/>
          <w:lang w:val="cs-CZ"/>
        </w:rPr>
      </w:pPr>
      <w:r w:rsidRPr="003B6E11">
        <w:rPr>
          <w:lang w:val="cs-CZ"/>
        </w:rPr>
        <w:t>Zrcátko musí být namontováno tak, aby bylo chráněno proti dešti.</w:t>
      </w:r>
    </w:p>
    <w:p w:rsidR="003B6E11" w:rsidRPr="003B6E11" w:rsidRDefault="003B6E11" w:rsidP="003B6E11">
      <w:pPr>
        <w:widowControl w:val="0"/>
        <w:spacing w:before="60" w:line="240" w:lineRule="atLeast"/>
        <w:ind w:left="992"/>
        <w:rPr>
          <w:rFonts w:cs="Arial"/>
          <w:szCs w:val="20"/>
          <w:lang w:val="cs-CZ"/>
        </w:rPr>
      </w:pPr>
      <w:r w:rsidRPr="003B6E11">
        <w:rPr>
          <w:lang w:val="cs-CZ"/>
        </w:rPr>
        <w:t>7.</w:t>
      </w:r>
      <w:r w:rsidRPr="003B6E11">
        <w:rPr>
          <w:lang w:val="cs-CZ"/>
        </w:rPr>
        <w:tab/>
        <w:t>Ochrana před mrazem</w:t>
      </w:r>
    </w:p>
    <w:p w:rsidR="003B6E11" w:rsidRPr="003B6E11" w:rsidRDefault="003B6E11" w:rsidP="003B6E11">
      <w:pPr>
        <w:widowControl w:val="0"/>
        <w:spacing w:line="240" w:lineRule="atLeast"/>
        <w:ind w:left="992"/>
        <w:rPr>
          <w:rFonts w:cs="Arial"/>
          <w:szCs w:val="20"/>
          <w:lang w:val="cs-CZ"/>
        </w:rPr>
      </w:pPr>
      <w:r w:rsidRPr="003B6E11">
        <w:rPr>
          <w:lang w:val="cs-CZ"/>
        </w:rPr>
        <w:t>Je třeba zamezit tvorbě jinovatky na zrcátku.</w:t>
      </w:r>
    </w:p>
    <w:p w:rsidR="003B6E11" w:rsidRPr="003B6E11" w:rsidRDefault="003B6E11" w:rsidP="003B6E11">
      <w:pPr>
        <w:widowControl w:val="0"/>
        <w:spacing w:before="60" w:line="240" w:lineRule="atLeast"/>
        <w:ind w:left="992"/>
        <w:rPr>
          <w:rFonts w:cs="Arial"/>
          <w:szCs w:val="20"/>
          <w:lang w:val="cs-CZ"/>
        </w:rPr>
      </w:pPr>
      <w:r w:rsidRPr="003B6E11">
        <w:rPr>
          <w:lang w:val="cs-CZ"/>
        </w:rPr>
        <w:t>8.</w:t>
      </w:r>
      <w:r w:rsidRPr="003B6E11">
        <w:rPr>
          <w:lang w:val="cs-CZ"/>
        </w:rPr>
        <w:tab/>
        <w:t>Montážní poloha</w:t>
      </w:r>
    </w:p>
    <w:p w:rsidR="003B6E11" w:rsidRPr="003B6E11" w:rsidRDefault="003B6E11" w:rsidP="003B6E11">
      <w:pPr>
        <w:widowControl w:val="0"/>
        <w:spacing w:line="240" w:lineRule="atLeast"/>
        <w:ind w:left="992"/>
        <w:rPr>
          <w:rFonts w:cs="Arial"/>
          <w:szCs w:val="20"/>
          <w:lang w:val="cs-CZ"/>
        </w:rPr>
      </w:pPr>
      <w:r w:rsidRPr="003B6E11">
        <w:rPr>
          <w:lang w:val="cs-CZ"/>
        </w:rPr>
        <w:t xml:space="preserve">Kormidelník musí na zrcátko vidět, aniž by musel opustit své místo; musí mu stačit jen na zrcátko pohlédnout nebo k němu otočit hlavu. Vhodným místem k upevnění zrcátka jsou proto horní okraje vnějších přepážek (a také vnějších dveří) kormidelny. Kormidelník musí mít na zrcátko neomezený výhled. </w:t>
      </w:r>
    </w:p>
    <w:p w:rsidR="003B6E11" w:rsidRPr="003B6E11" w:rsidRDefault="003B6E11" w:rsidP="003B6E11">
      <w:pPr>
        <w:widowControl w:val="0"/>
        <w:spacing w:before="60" w:line="240" w:lineRule="atLeast"/>
        <w:ind w:left="992"/>
        <w:rPr>
          <w:rFonts w:cs="Arial"/>
          <w:szCs w:val="20"/>
          <w:lang w:val="cs-CZ"/>
        </w:rPr>
      </w:pPr>
      <w:r w:rsidRPr="003B6E11">
        <w:rPr>
          <w:lang w:val="cs-CZ"/>
        </w:rPr>
        <w:t>9.</w:t>
      </w:r>
      <w:r w:rsidRPr="003B6E11">
        <w:rPr>
          <w:lang w:val="cs-CZ"/>
        </w:rPr>
        <w:tab/>
        <w:t>Úprava nastavení</w:t>
      </w:r>
    </w:p>
    <w:p w:rsidR="003B6E11" w:rsidRPr="003B6E11" w:rsidRDefault="003B6E11" w:rsidP="003B6E11">
      <w:pPr>
        <w:widowControl w:val="0"/>
        <w:spacing w:line="240" w:lineRule="atLeast"/>
        <w:ind w:left="992"/>
        <w:rPr>
          <w:rFonts w:cs="Arial"/>
          <w:szCs w:val="20"/>
          <w:lang w:val="cs-CZ"/>
        </w:rPr>
      </w:pPr>
      <w:r w:rsidRPr="003B6E11">
        <w:rPr>
          <w:lang w:val="cs-CZ"/>
        </w:rPr>
        <w:t>Směr zobrazovaných částí lodi (hrany, ochozy) musí odpovídat realitě co nejvěrněji.</w:t>
      </w:r>
    </w:p>
    <w:p w:rsidR="003B6E11" w:rsidRPr="003B6E11" w:rsidRDefault="003B6E11" w:rsidP="003B6E11">
      <w:pPr>
        <w:widowControl w:val="0"/>
        <w:spacing w:line="240" w:lineRule="atLeast"/>
        <w:rPr>
          <w:rFonts w:cs="Arial"/>
          <w:szCs w:val="20"/>
          <w:lang w:val="cs-CZ"/>
        </w:rPr>
      </w:pPr>
    </w:p>
    <w:p w:rsidR="003B6E11" w:rsidRPr="003B6E11" w:rsidRDefault="003B6E11" w:rsidP="003B6E11">
      <w:pPr>
        <w:widowControl w:val="0"/>
        <w:spacing w:line="240" w:lineRule="atLeast"/>
        <w:ind w:left="567" w:hanging="567"/>
        <w:rPr>
          <w:rFonts w:cs="Arial"/>
          <w:b/>
          <w:szCs w:val="20"/>
          <w:lang w:val="cs-CZ"/>
        </w:rPr>
      </w:pPr>
      <w:r w:rsidRPr="003B6E11">
        <w:rPr>
          <w:lang w:val="cs-CZ"/>
        </w:rPr>
        <w:br w:type="page"/>
      </w:r>
      <w:r w:rsidRPr="003B6E11">
        <w:rPr>
          <w:b/>
          <w:lang w:val="cs-CZ"/>
        </w:rPr>
        <w:t>4.2</w:t>
      </w:r>
      <w:r w:rsidRPr="003B6E11">
        <w:rPr>
          <w:lang w:val="cs-CZ"/>
        </w:rPr>
        <w:tab/>
      </w:r>
      <w:r w:rsidRPr="003B6E11">
        <w:rPr>
          <w:b/>
          <w:lang w:val="cs-CZ"/>
        </w:rPr>
        <w:t>Videosystémy</w:t>
      </w:r>
    </w:p>
    <w:p w:rsidR="003B6E11" w:rsidRPr="003B6E11" w:rsidRDefault="003B6E11" w:rsidP="003B6E11">
      <w:pPr>
        <w:widowControl w:val="0"/>
        <w:spacing w:line="240" w:lineRule="atLeast"/>
        <w:ind w:left="567" w:hanging="567"/>
        <w:rPr>
          <w:rFonts w:cs="Arial"/>
          <w:b/>
          <w:szCs w:val="20"/>
          <w:lang w:val="cs-CZ"/>
        </w:rPr>
      </w:pPr>
    </w:p>
    <w:p w:rsidR="003B6E11" w:rsidRPr="003B6E11" w:rsidRDefault="003B6E11" w:rsidP="003B6E11">
      <w:pPr>
        <w:widowControl w:val="0"/>
        <w:spacing w:line="240" w:lineRule="atLeast"/>
        <w:ind w:left="567" w:hanging="567"/>
        <w:rPr>
          <w:rFonts w:cs="Arial"/>
          <w:b/>
          <w:szCs w:val="20"/>
          <w:lang w:val="cs-CZ"/>
        </w:rPr>
      </w:pPr>
      <w:r w:rsidRPr="003B6E11">
        <w:rPr>
          <w:b/>
          <w:lang w:val="cs-CZ"/>
        </w:rPr>
        <w:t>4.2.1</w:t>
      </w:r>
      <w:r w:rsidRPr="003B6E11">
        <w:rPr>
          <w:lang w:val="cs-CZ"/>
        </w:rPr>
        <w:tab/>
      </w:r>
      <w:r w:rsidRPr="003B6E11">
        <w:rPr>
          <w:b/>
          <w:lang w:val="cs-CZ"/>
        </w:rPr>
        <w:t>Kamery</w:t>
      </w:r>
    </w:p>
    <w:p w:rsidR="003B6E11" w:rsidRPr="003B6E11" w:rsidRDefault="003B6E11" w:rsidP="003B6E11">
      <w:pPr>
        <w:widowControl w:val="0"/>
        <w:spacing w:before="60" w:line="240" w:lineRule="atLeast"/>
        <w:ind w:left="992"/>
        <w:rPr>
          <w:rFonts w:cs="Arial"/>
          <w:szCs w:val="20"/>
          <w:lang w:val="cs-CZ"/>
        </w:rPr>
      </w:pPr>
      <w:r w:rsidRPr="003B6E11">
        <w:rPr>
          <w:lang w:val="cs-CZ"/>
        </w:rPr>
        <w:t>1.</w:t>
      </w:r>
      <w:r w:rsidRPr="003B6E11">
        <w:rPr>
          <w:lang w:val="cs-CZ"/>
        </w:rPr>
        <w:tab/>
        <w:t>Typ kamery</w:t>
      </w:r>
    </w:p>
    <w:p w:rsidR="003B6E11" w:rsidRPr="003B6E11" w:rsidRDefault="003B6E11" w:rsidP="003B6E11">
      <w:pPr>
        <w:widowControl w:val="0"/>
        <w:spacing w:line="240" w:lineRule="atLeast"/>
        <w:ind w:left="992"/>
        <w:rPr>
          <w:rFonts w:cs="Arial"/>
          <w:szCs w:val="20"/>
          <w:lang w:val="cs-CZ"/>
        </w:rPr>
      </w:pPr>
      <w:r w:rsidRPr="003B6E11">
        <w:rPr>
          <w:lang w:val="cs-CZ"/>
        </w:rPr>
        <w:t>Barevná videokamera s rastrovým zobrazením, s automatickým přepínáním na černobílý obraz a s obrazovým formátem např. 4:3 („na šířku“) vhodná pro daný monitor.</w:t>
      </w:r>
    </w:p>
    <w:p w:rsidR="003B6E11" w:rsidRPr="003B6E11" w:rsidRDefault="003B6E11" w:rsidP="003B6E11">
      <w:pPr>
        <w:widowControl w:val="0"/>
        <w:spacing w:before="60" w:line="240" w:lineRule="atLeast"/>
        <w:ind w:left="992"/>
        <w:rPr>
          <w:rFonts w:cs="Arial"/>
          <w:szCs w:val="20"/>
          <w:lang w:val="cs-CZ"/>
        </w:rPr>
      </w:pPr>
      <w:r w:rsidRPr="003B6E11">
        <w:rPr>
          <w:lang w:val="cs-CZ"/>
        </w:rPr>
        <w:t>2.</w:t>
      </w:r>
      <w:r w:rsidRPr="003B6E11">
        <w:rPr>
          <w:lang w:val="cs-CZ"/>
        </w:rPr>
        <w:tab/>
        <w:t>Rozlišení</w:t>
      </w:r>
    </w:p>
    <w:p w:rsidR="003B6E11" w:rsidRPr="003B6E11" w:rsidRDefault="003B6E11" w:rsidP="003B6E11">
      <w:pPr>
        <w:widowControl w:val="0"/>
        <w:spacing w:line="240" w:lineRule="atLeast"/>
        <w:ind w:left="992"/>
        <w:rPr>
          <w:rFonts w:cs="Arial"/>
          <w:szCs w:val="20"/>
          <w:lang w:val="cs-CZ"/>
        </w:rPr>
      </w:pPr>
      <w:r w:rsidRPr="003B6E11">
        <w:rPr>
          <w:lang w:val="cs-CZ"/>
        </w:rPr>
        <w:t>Stejně kvalitní rozlišení jak ve vodorovné, tak ve svislé ose, nejlépe minimálně 576 pixelů na úzké straně obrazu, čtvercové pixely.</w:t>
      </w:r>
    </w:p>
    <w:p w:rsidR="003B6E11" w:rsidRPr="003B6E11" w:rsidRDefault="003B6E11" w:rsidP="003B6E11">
      <w:pPr>
        <w:widowControl w:val="0"/>
        <w:spacing w:before="60" w:line="240" w:lineRule="atLeast"/>
        <w:ind w:left="992"/>
        <w:rPr>
          <w:rFonts w:cs="Arial"/>
          <w:szCs w:val="20"/>
          <w:lang w:val="cs-CZ"/>
        </w:rPr>
      </w:pPr>
      <w:r w:rsidRPr="003B6E11">
        <w:rPr>
          <w:lang w:val="cs-CZ"/>
        </w:rPr>
        <w:t>3.</w:t>
      </w:r>
      <w:r w:rsidRPr="003B6E11">
        <w:rPr>
          <w:lang w:val="cs-CZ"/>
        </w:rPr>
        <w:tab/>
        <w:t>Citlivost na světlo</w:t>
      </w:r>
    </w:p>
    <w:p w:rsidR="003B6E11" w:rsidRPr="003B6E11" w:rsidRDefault="003B6E11" w:rsidP="003B6E11">
      <w:pPr>
        <w:widowControl w:val="0"/>
        <w:spacing w:line="240" w:lineRule="atLeast"/>
        <w:ind w:left="992"/>
        <w:rPr>
          <w:rFonts w:cs="Arial"/>
          <w:szCs w:val="20"/>
          <w:lang w:val="cs-CZ"/>
        </w:rPr>
      </w:pPr>
      <w:r w:rsidRPr="003B6E11">
        <w:rPr>
          <w:lang w:val="cs-CZ"/>
        </w:rPr>
        <w:t>0,6 luxu v barevném režimu, 0,1 luxu v černobílém režimu (podle normy EN 61146–1 s odpovídajícím objektivem bez integrace obrazu).</w:t>
      </w:r>
    </w:p>
    <w:p w:rsidR="003B6E11" w:rsidRPr="003B6E11" w:rsidRDefault="003B6E11" w:rsidP="003B6E11">
      <w:pPr>
        <w:widowControl w:val="0"/>
        <w:spacing w:before="60" w:line="240" w:lineRule="atLeast"/>
        <w:ind w:left="992"/>
        <w:rPr>
          <w:rFonts w:cs="Arial"/>
          <w:szCs w:val="20"/>
          <w:lang w:val="cs-CZ"/>
        </w:rPr>
      </w:pPr>
      <w:r w:rsidRPr="003B6E11">
        <w:rPr>
          <w:lang w:val="cs-CZ"/>
        </w:rPr>
        <w:t>4.</w:t>
      </w:r>
      <w:r w:rsidRPr="003B6E11">
        <w:rPr>
          <w:lang w:val="cs-CZ"/>
        </w:rPr>
        <w:tab/>
        <w:t>Frekvence opakování obrazu</w:t>
      </w:r>
    </w:p>
    <w:p w:rsidR="003B6E11" w:rsidRPr="003B6E11" w:rsidRDefault="003B6E11" w:rsidP="003B6E11">
      <w:pPr>
        <w:widowControl w:val="0"/>
        <w:spacing w:line="240" w:lineRule="atLeast"/>
        <w:ind w:left="992"/>
        <w:rPr>
          <w:rFonts w:cs="Arial"/>
          <w:szCs w:val="20"/>
          <w:lang w:val="cs-CZ"/>
        </w:rPr>
      </w:pPr>
      <w:r w:rsidRPr="003B6E11">
        <w:rPr>
          <w:lang w:val="cs-CZ"/>
        </w:rPr>
        <w:t>Frekvence opakování obrazu 25 obrazů/s nebo vyšší.</w:t>
      </w:r>
    </w:p>
    <w:p w:rsidR="003B6E11" w:rsidRPr="003B6E11" w:rsidRDefault="003B6E11" w:rsidP="003B6E11">
      <w:pPr>
        <w:widowControl w:val="0"/>
        <w:spacing w:before="60" w:line="240" w:lineRule="atLeast"/>
        <w:ind w:left="992"/>
        <w:rPr>
          <w:rFonts w:cs="Arial"/>
          <w:szCs w:val="20"/>
          <w:lang w:val="cs-CZ"/>
        </w:rPr>
      </w:pPr>
      <w:r w:rsidRPr="003B6E11">
        <w:rPr>
          <w:lang w:val="cs-CZ"/>
        </w:rPr>
        <w:t>5.</w:t>
      </w:r>
      <w:r w:rsidRPr="003B6E11">
        <w:rPr>
          <w:lang w:val="cs-CZ"/>
        </w:rPr>
        <w:tab/>
        <w:t>Úhel pohledu</w:t>
      </w:r>
    </w:p>
    <w:p w:rsidR="003B6E11" w:rsidRPr="003B6E11" w:rsidRDefault="003B6E11" w:rsidP="003B6E11">
      <w:pPr>
        <w:widowControl w:val="0"/>
        <w:spacing w:line="240" w:lineRule="atLeast"/>
        <w:ind w:left="992"/>
        <w:rPr>
          <w:rFonts w:cs="Arial"/>
          <w:szCs w:val="20"/>
          <w:lang w:val="cs-CZ"/>
        </w:rPr>
      </w:pPr>
      <w:r w:rsidRPr="003B6E11">
        <w:rPr>
          <w:lang w:val="cs-CZ"/>
        </w:rPr>
        <w:t>Úhel pohledu kamery je dán výběrem vhodné ohniskové vzdálenosti. Aby uživatel nemusel překonávat nepřirozenou perspektivu, doporučuje se sladit úhel pohledu kamery s úhlem pohledu lidského oka (přibližně 30° až 45°). Vodorovný úhel pohledu by proto neměl být menší než 30°.</w:t>
      </w:r>
    </w:p>
    <w:p w:rsidR="003B6E11" w:rsidRPr="003B6E11" w:rsidRDefault="003B6E11" w:rsidP="003B6E11">
      <w:pPr>
        <w:widowControl w:val="0"/>
        <w:spacing w:before="60" w:line="240" w:lineRule="atLeast"/>
        <w:ind w:left="992"/>
        <w:rPr>
          <w:rFonts w:cs="Arial"/>
          <w:szCs w:val="20"/>
          <w:lang w:val="cs-CZ"/>
        </w:rPr>
      </w:pPr>
      <w:r w:rsidRPr="003B6E11">
        <w:rPr>
          <w:lang w:val="cs-CZ"/>
        </w:rPr>
        <w:t>6.</w:t>
      </w:r>
      <w:r w:rsidRPr="003B6E11">
        <w:rPr>
          <w:lang w:val="cs-CZ"/>
        </w:rPr>
        <w:tab/>
        <w:t>Transfokátory a otočné mechanismy</w:t>
      </w:r>
    </w:p>
    <w:p w:rsidR="003B6E11" w:rsidRPr="003B6E11" w:rsidRDefault="003B6E11" w:rsidP="003B6E11">
      <w:pPr>
        <w:widowControl w:val="0"/>
        <w:spacing w:line="240" w:lineRule="atLeast"/>
        <w:ind w:left="992"/>
        <w:rPr>
          <w:rFonts w:cs="Arial"/>
          <w:szCs w:val="20"/>
          <w:lang w:val="cs-CZ"/>
        </w:rPr>
      </w:pPr>
      <w:r w:rsidRPr="003B6E11">
        <w:rPr>
          <w:lang w:val="cs-CZ"/>
        </w:rPr>
        <w:t>Jsou-li pro zajištění lepšího výhledu dopředu použity otočné kamery a kamery s transfokátory, mělo by existovat základní nastavení pro optimální ohniskovou vzdálenost a orientaci dopředu, jež lze aktivovat stisknutím tlačítka.</w:t>
      </w:r>
    </w:p>
    <w:p w:rsidR="003B6E11" w:rsidRPr="003B6E11" w:rsidRDefault="003B6E11" w:rsidP="003B6E11">
      <w:pPr>
        <w:widowControl w:val="0"/>
        <w:spacing w:before="60" w:line="240" w:lineRule="atLeast"/>
        <w:ind w:left="992"/>
        <w:rPr>
          <w:rFonts w:cs="Arial"/>
          <w:szCs w:val="20"/>
          <w:lang w:val="cs-CZ"/>
        </w:rPr>
      </w:pPr>
      <w:r w:rsidRPr="003B6E11">
        <w:rPr>
          <w:lang w:val="cs-CZ"/>
        </w:rPr>
        <w:t>7.</w:t>
      </w:r>
      <w:r w:rsidRPr="003B6E11">
        <w:rPr>
          <w:lang w:val="cs-CZ"/>
        </w:rPr>
        <w:tab/>
        <w:t>Poloha kamery</w:t>
      </w:r>
    </w:p>
    <w:p w:rsidR="003B6E11" w:rsidRPr="003B6E11" w:rsidRDefault="003B6E11" w:rsidP="003B6E11">
      <w:pPr>
        <w:widowControl w:val="0"/>
        <w:spacing w:line="240" w:lineRule="atLeast"/>
        <w:ind w:left="992"/>
        <w:rPr>
          <w:rFonts w:cs="Arial"/>
          <w:szCs w:val="20"/>
          <w:lang w:val="cs-CZ"/>
        </w:rPr>
      </w:pPr>
      <w:r w:rsidRPr="003B6E11">
        <w:rPr>
          <w:lang w:val="cs-CZ"/>
        </w:rPr>
        <w:t>Poloha kamery závisí na prostoru, který má být pozorován.</w:t>
      </w:r>
    </w:p>
    <w:p w:rsidR="003B6E11" w:rsidRPr="003B6E11" w:rsidRDefault="003B6E11" w:rsidP="003B6E11">
      <w:pPr>
        <w:widowControl w:val="0"/>
        <w:spacing w:before="60" w:line="240" w:lineRule="atLeast"/>
        <w:ind w:left="992"/>
        <w:rPr>
          <w:rFonts w:cs="Arial"/>
          <w:szCs w:val="20"/>
          <w:lang w:val="cs-CZ"/>
        </w:rPr>
      </w:pPr>
      <w:r w:rsidRPr="003B6E11">
        <w:rPr>
          <w:lang w:val="cs-CZ"/>
        </w:rPr>
        <w:t>8.</w:t>
      </w:r>
      <w:r w:rsidRPr="003B6E11">
        <w:rPr>
          <w:lang w:val="cs-CZ"/>
        </w:rPr>
        <w:tab/>
        <w:t>Montáž kamery</w:t>
      </w:r>
    </w:p>
    <w:p w:rsidR="003B6E11" w:rsidRPr="003B6E11" w:rsidRDefault="003B6E11" w:rsidP="003B6E11">
      <w:pPr>
        <w:widowControl w:val="0"/>
        <w:spacing w:line="240" w:lineRule="atLeast"/>
        <w:ind w:left="992"/>
        <w:rPr>
          <w:rFonts w:cs="Arial"/>
          <w:szCs w:val="20"/>
          <w:lang w:val="cs-CZ"/>
        </w:rPr>
      </w:pPr>
      <w:r w:rsidRPr="003B6E11">
        <w:rPr>
          <w:lang w:val="cs-CZ"/>
        </w:rPr>
        <w:t>Kamera musí být držákem uchycena trvalým a pevným způsobem tak, aby setrvávala ve své poloze (bez vibrací). Součástí držáku může být i ochranný vyhřívaný kryt.</w:t>
      </w:r>
    </w:p>
    <w:p w:rsidR="003B6E11" w:rsidRPr="003B6E11" w:rsidRDefault="003B6E11" w:rsidP="003B6E11">
      <w:pPr>
        <w:widowControl w:val="0"/>
        <w:spacing w:line="240" w:lineRule="atLeast"/>
        <w:rPr>
          <w:rFonts w:cs="Arial"/>
          <w:szCs w:val="20"/>
          <w:lang w:val="cs-CZ"/>
        </w:rPr>
      </w:pPr>
    </w:p>
    <w:p w:rsidR="003B6E11" w:rsidRPr="003B6E11" w:rsidRDefault="003B6E11" w:rsidP="003B6E11">
      <w:pPr>
        <w:widowControl w:val="0"/>
        <w:spacing w:line="240" w:lineRule="atLeast"/>
        <w:ind w:left="567" w:hanging="567"/>
        <w:rPr>
          <w:rFonts w:cs="Arial"/>
          <w:b/>
          <w:szCs w:val="20"/>
          <w:lang w:val="cs-CZ"/>
        </w:rPr>
      </w:pPr>
      <w:r w:rsidRPr="003B6E11">
        <w:rPr>
          <w:b/>
          <w:lang w:val="cs-CZ"/>
        </w:rPr>
        <w:t>4.2.2</w:t>
      </w:r>
      <w:r w:rsidRPr="003B6E11">
        <w:rPr>
          <w:lang w:val="cs-CZ"/>
        </w:rPr>
        <w:tab/>
      </w:r>
      <w:r w:rsidRPr="003B6E11">
        <w:rPr>
          <w:b/>
          <w:lang w:val="cs-CZ"/>
        </w:rPr>
        <w:t>Monitory</w:t>
      </w:r>
    </w:p>
    <w:p w:rsidR="003B6E11" w:rsidRPr="003B6E11" w:rsidRDefault="003B6E11" w:rsidP="003B6E11">
      <w:pPr>
        <w:widowControl w:val="0"/>
        <w:spacing w:before="60" w:line="240" w:lineRule="atLeast"/>
        <w:ind w:left="992"/>
        <w:rPr>
          <w:rFonts w:cs="Arial"/>
          <w:szCs w:val="20"/>
          <w:lang w:val="cs-CZ"/>
        </w:rPr>
      </w:pPr>
      <w:r w:rsidRPr="003B6E11">
        <w:rPr>
          <w:lang w:val="cs-CZ"/>
        </w:rPr>
        <w:t>1.</w:t>
      </w:r>
      <w:r w:rsidRPr="003B6E11">
        <w:rPr>
          <w:lang w:val="cs-CZ"/>
        </w:rPr>
        <w:tab/>
        <w:t>Typ monitoru</w:t>
      </w:r>
    </w:p>
    <w:p w:rsidR="003B6E11" w:rsidRPr="003B6E11" w:rsidRDefault="003B6E11" w:rsidP="003B6E11">
      <w:pPr>
        <w:widowControl w:val="0"/>
        <w:spacing w:line="240" w:lineRule="atLeast"/>
        <w:ind w:left="992"/>
        <w:rPr>
          <w:rFonts w:cs="Arial"/>
          <w:szCs w:val="20"/>
          <w:lang w:val="cs-CZ"/>
        </w:rPr>
      </w:pPr>
      <w:r w:rsidRPr="003B6E11">
        <w:rPr>
          <w:lang w:val="cs-CZ"/>
        </w:rPr>
        <w:t>Obrazovka s rastrovým zobrazením (nejlépe plochá obrazovka TFT), úhlopříčka minimálně 30 cm.</w:t>
      </w:r>
    </w:p>
    <w:p w:rsidR="003B6E11" w:rsidRPr="003B6E11" w:rsidRDefault="003B6E11" w:rsidP="003B6E11">
      <w:pPr>
        <w:widowControl w:val="0"/>
        <w:spacing w:before="60" w:line="240" w:lineRule="atLeast"/>
        <w:ind w:left="992"/>
        <w:rPr>
          <w:rFonts w:cs="Arial"/>
          <w:szCs w:val="20"/>
          <w:lang w:val="cs-CZ"/>
        </w:rPr>
      </w:pPr>
      <w:r w:rsidRPr="003B6E11">
        <w:rPr>
          <w:lang w:val="cs-CZ"/>
        </w:rPr>
        <w:t>2.</w:t>
      </w:r>
      <w:r w:rsidRPr="003B6E11">
        <w:rPr>
          <w:lang w:val="cs-CZ"/>
        </w:rPr>
        <w:tab/>
        <w:t>Umístění monitoru</w:t>
      </w:r>
    </w:p>
    <w:p w:rsidR="003B6E11" w:rsidRPr="003B6E11" w:rsidRDefault="003B6E11" w:rsidP="003B6E11">
      <w:pPr>
        <w:widowControl w:val="0"/>
        <w:spacing w:before="60" w:line="240" w:lineRule="atLeast"/>
        <w:ind w:left="1417"/>
        <w:rPr>
          <w:rFonts w:cs="Arial"/>
          <w:szCs w:val="20"/>
          <w:lang w:val="cs-CZ"/>
        </w:rPr>
      </w:pPr>
      <w:r w:rsidRPr="003B6E11">
        <w:rPr>
          <w:lang w:val="cs-CZ"/>
        </w:rPr>
        <w:t>a)</w:t>
      </w:r>
      <w:r w:rsidRPr="003B6E11">
        <w:rPr>
          <w:lang w:val="cs-CZ"/>
        </w:rPr>
        <w:tab/>
        <w:t xml:space="preserve">Všechny monitory, na nichž je zobrazován obraz z kamer nasměrovaných převážně dopředu, se musí nacházet v zorném poli kormidelníka, tak aby na ně viděl, aniž by musel hlavou provádět neúměrné pohyby. Jejich postupné uspořádání musí odpovídat uspořádání kamer (levobok, střed lodi, pravobok). </w:t>
      </w:r>
    </w:p>
    <w:p w:rsidR="003B6E11" w:rsidRPr="003B6E11" w:rsidRDefault="003B6E11" w:rsidP="003B6E11">
      <w:pPr>
        <w:widowControl w:val="0"/>
        <w:spacing w:before="60" w:line="240" w:lineRule="atLeast"/>
        <w:ind w:left="1417"/>
        <w:rPr>
          <w:rFonts w:cs="Arial"/>
          <w:szCs w:val="20"/>
          <w:lang w:val="cs-CZ"/>
        </w:rPr>
      </w:pPr>
      <w:r w:rsidRPr="003B6E11">
        <w:rPr>
          <w:lang w:val="cs-CZ"/>
        </w:rPr>
        <w:t>b)</w:t>
      </w:r>
      <w:r w:rsidRPr="003B6E11">
        <w:rPr>
          <w:lang w:val="cs-CZ"/>
        </w:rPr>
        <w:tab/>
        <w:t xml:space="preserve">Monitory odpovídající kamerám nasměrovaným na záď mohou být umístěny například i ve druhé řadě, uprostřed a na správné straně, pod nebo nad monitory zmíněnými výše. Zobrazovaný obraz tak odpovídá obrazu ze zrcátek. Pokud je tento obraz vyžadován, pouze pokud loď zakotvuje nebo vyplouvá, je praktické umístit tyto monitory na zadní přepážku kormidelny, neboť kormidelník se v každém případě při výkonu těchto manévrů dívá dozadu nebo se otáčí. Obraz pak již neodpovídá obrazu ze zrcátek. </w:t>
      </w:r>
    </w:p>
    <w:p w:rsidR="003B6E11" w:rsidRPr="003B6E11" w:rsidRDefault="003B6E11" w:rsidP="003B6E11">
      <w:pPr>
        <w:widowControl w:val="0"/>
        <w:spacing w:before="60" w:line="240" w:lineRule="atLeast"/>
        <w:ind w:left="992"/>
        <w:rPr>
          <w:rFonts w:cs="Arial"/>
          <w:szCs w:val="20"/>
          <w:lang w:val="cs-CZ"/>
        </w:rPr>
      </w:pPr>
      <w:r w:rsidRPr="003B6E11">
        <w:rPr>
          <w:lang w:val="cs-CZ"/>
        </w:rPr>
        <w:t>3.</w:t>
      </w:r>
      <w:r w:rsidRPr="003B6E11">
        <w:rPr>
          <w:lang w:val="cs-CZ"/>
        </w:rPr>
        <w:tab/>
        <w:t>Použití několika monitorů</w:t>
      </w:r>
    </w:p>
    <w:p w:rsidR="003B6E11" w:rsidRPr="003B6E11" w:rsidRDefault="003B6E11" w:rsidP="003B6E11">
      <w:pPr>
        <w:widowControl w:val="0"/>
        <w:spacing w:line="240" w:lineRule="atLeast"/>
        <w:ind w:left="992"/>
        <w:rPr>
          <w:rFonts w:cs="Arial"/>
          <w:szCs w:val="20"/>
          <w:lang w:val="cs-CZ"/>
        </w:rPr>
      </w:pPr>
      <w:r w:rsidRPr="003B6E11">
        <w:rPr>
          <w:lang w:val="cs-CZ"/>
        </w:rPr>
        <w:t>Při pohledu dopředu není vhodné používat jediný monitor, který zobrazuje obraz z více kamer (buď současně díky rozdělení obrazovky na dvě nebo více částí nebo postupným přepínáním kamer).</w:t>
      </w:r>
    </w:p>
    <w:p w:rsidR="003B6E11" w:rsidRPr="003B6E11" w:rsidRDefault="003B6E11" w:rsidP="003B6E11">
      <w:pPr>
        <w:widowControl w:val="0"/>
        <w:spacing w:before="60" w:line="240" w:lineRule="atLeast"/>
        <w:ind w:left="992"/>
        <w:rPr>
          <w:rFonts w:cs="Arial"/>
          <w:szCs w:val="20"/>
          <w:lang w:val="cs-CZ"/>
        </w:rPr>
      </w:pPr>
      <w:r w:rsidRPr="003B6E11">
        <w:rPr>
          <w:lang w:val="cs-CZ"/>
        </w:rPr>
        <w:t>4.</w:t>
      </w:r>
      <w:r w:rsidRPr="003B6E11">
        <w:rPr>
          <w:lang w:val="cs-CZ"/>
        </w:rPr>
        <w:tab/>
        <w:t>Rozlišení</w:t>
      </w:r>
    </w:p>
    <w:p w:rsidR="003B6E11" w:rsidRPr="003B6E11" w:rsidRDefault="003B6E11" w:rsidP="003B6E11">
      <w:pPr>
        <w:widowControl w:val="0"/>
        <w:spacing w:line="240" w:lineRule="atLeast"/>
        <w:ind w:left="992"/>
        <w:rPr>
          <w:rFonts w:cs="Arial"/>
          <w:szCs w:val="20"/>
          <w:lang w:val="cs-CZ"/>
        </w:rPr>
      </w:pPr>
      <w:r w:rsidRPr="003B6E11">
        <w:rPr>
          <w:lang w:val="cs-CZ"/>
        </w:rPr>
        <w:t>Minimálně 800 x 600 pixelů.</w:t>
      </w:r>
    </w:p>
    <w:p w:rsidR="003B6E11" w:rsidRPr="003B6E11" w:rsidRDefault="003B6E11" w:rsidP="003B6E11">
      <w:pPr>
        <w:rPr>
          <w:szCs w:val="20"/>
          <w:lang w:val="cs-CZ"/>
        </w:rPr>
      </w:pPr>
      <w:r w:rsidRPr="003B6E11">
        <w:rPr>
          <w:lang w:val="cs-CZ"/>
        </w:rPr>
        <w:br w:type="page"/>
      </w:r>
    </w:p>
    <w:p w:rsidR="003B6E11" w:rsidRPr="003B6E11" w:rsidRDefault="003B6E11" w:rsidP="003B6E11">
      <w:pPr>
        <w:widowControl w:val="0"/>
        <w:spacing w:before="60" w:line="240" w:lineRule="atLeast"/>
        <w:ind w:left="992"/>
        <w:rPr>
          <w:rFonts w:cs="Arial"/>
          <w:szCs w:val="20"/>
          <w:lang w:val="cs-CZ"/>
        </w:rPr>
      </w:pPr>
      <w:r w:rsidRPr="003B6E11">
        <w:rPr>
          <w:lang w:val="cs-CZ"/>
        </w:rPr>
        <w:t>5.</w:t>
      </w:r>
      <w:r w:rsidRPr="003B6E11">
        <w:rPr>
          <w:lang w:val="cs-CZ"/>
        </w:rPr>
        <w:tab/>
        <w:t>Jas</w:t>
      </w:r>
    </w:p>
    <w:p w:rsidR="003B6E11" w:rsidRPr="003B6E11" w:rsidRDefault="003B6E11" w:rsidP="003B6E11">
      <w:pPr>
        <w:widowControl w:val="0"/>
        <w:spacing w:line="240" w:lineRule="atLeast"/>
        <w:ind w:left="992"/>
        <w:rPr>
          <w:rFonts w:cs="Arial"/>
          <w:szCs w:val="20"/>
          <w:lang w:val="cs-CZ"/>
        </w:rPr>
      </w:pPr>
      <w:r w:rsidRPr="003B6E11">
        <w:rPr>
          <w:lang w:val="cs-CZ"/>
        </w:rPr>
        <w:t xml:space="preserve">Minimální jas: FG ≤ 15 cd/m²; BG ≤ 5 cd/m². Maximální jas VG ≥ 5000 cd/m² </w:t>
      </w:r>
      <w:r w:rsidRPr="003B6E11">
        <w:rPr>
          <w:rFonts w:ascii="Times New Roman" w:hAnsi="Times New Roman"/>
          <w:szCs w:val="20"/>
          <w:lang w:val="cs-CZ"/>
        </w:rPr>
        <w:br/>
      </w:r>
      <w:r w:rsidRPr="003B6E11">
        <w:rPr>
          <w:lang w:val="cs-CZ"/>
        </w:rPr>
        <w:t>(FG = popředí; BG = pozadí).</w:t>
      </w:r>
    </w:p>
    <w:p w:rsidR="003B6E11" w:rsidRPr="003B6E11" w:rsidRDefault="003B6E11" w:rsidP="003B6E11">
      <w:pPr>
        <w:widowControl w:val="0"/>
        <w:spacing w:line="240" w:lineRule="atLeast"/>
        <w:rPr>
          <w:rFonts w:cs="Arial"/>
          <w:szCs w:val="20"/>
          <w:lang w:val="cs-CZ"/>
        </w:rPr>
      </w:pPr>
    </w:p>
    <w:p w:rsidR="003B6E11" w:rsidRPr="003B6E11" w:rsidRDefault="003B6E11" w:rsidP="003B6E11">
      <w:pPr>
        <w:widowControl w:val="0"/>
        <w:spacing w:line="240" w:lineRule="atLeast"/>
        <w:ind w:left="567" w:hanging="567"/>
        <w:rPr>
          <w:rFonts w:cs="Arial"/>
          <w:b/>
          <w:szCs w:val="20"/>
          <w:lang w:val="cs-CZ"/>
        </w:rPr>
      </w:pPr>
      <w:r w:rsidRPr="003B6E11">
        <w:rPr>
          <w:b/>
          <w:lang w:val="cs-CZ"/>
        </w:rPr>
        <w:t>4.3</w:t>
      </w:r>
      <w:r w:rsidRPr="003B6E11">
        <w:rPr>
          <w:lang w:val="cs-CZ"/>
        </w:rPr>
        <w:tab/>
      </w:r>
      <w:r w:rsidRPr="003B6E11">
        <w:rPr>
          <w:b/>
          <w:lang w:val="cs-CZ"/>
        </w:rPr>
        <w:t>Radarové systémy</w:t>
      </w:r>
    </w:p>
    <w:p w:rsidR="003B6E11" w:rsidRPr="003B6E11" w:rsidRDefault="003B6E11" w:rsidP="003B6E11">
      <w:pPr>
        <w:widowControl w:val="0"/>
        <w:spacing w:before="60" w:line="240" w:lineRule="atLeast"/>
        <w:ind w:left="992"/>
        <w:rPr>
          <w:rFonts w:cs="Arial"/>
          <w:szCs w:val="20"/>
          <w:lang w:val="cs-CZ"/>
        </w:rPr>
      </w:pPr>
      <w:r w:rsidRPr="003B6E11">
        <w:rPr>
          <w:lang w:val="cs-CZ"/>
        </w:rPr>
        <w:t>1.</w:t>
      </w:r>
      <w:r w:rsidRPr="003B6E11">
        <w:rPr>
          <w:lang w:val="cs-CZ"/>
        </w:rPr>
        <w:tab/>
        <w:t>Radarové systémy</w:t>
      </w:r>
    </w:p>
    <w:p w:rsidR="003B6E11" w:rsidRPr="003B6E11" w:rsidRDefault="003B6E11" w:rsidP="003B6E11">
      <w:pPr>
        <w:widowControl w:val="0"/>
        <w:spacing w:line="240" w:lineRule="atLeast"/>
        <w:ind w:left="992"/>
        <w:rPr>
          <w:rFonts w:cs="Arial"/>
          <w:szCs w:val="20"/>
          <w:lang w:val="cs-CZ"/>
        </w:rPr>
      </w:pPr>
      <w:r w:rsidRPr="003B6E11">
        <w:rPr>
          <w:lang w:val="cs-CZ"/>
        </w:rPr>
        <w:t>Kromě minimálních požadavků a zkušebních podmínek pro navigační radarová zařízení ve vnitrozemské plavbě (ES-TRIN, příloha 5, oddíl I) musí radarový systém splňovat následující požadavky.</w:t>
      </w:r>
    </w:p>
    <w:p w:rsidR="003B6E11" w:rsidRPr="003B6E11" w:rsidRDefault="003B6E11" w:rsidP="003B6E11">
      <w:pPr>
        <w:widowControl w:val="0"/>
        <w:spacing w:before="60" w:line="240" w:lineRule="atLeast"/>
        <w:ind w:left="992"/>
        <w:rPr>
          <w:rFonts w:cs="Arial"/>
          <w:szCs w:val="20"/>
          <w:lang w:val="cs-CZ"/>
        </w:rPr>
      </w:pPr>
      <w:r w:rsidRPr="003B6E11">
        <w:rPr>
          <w:lang w:val="cs-CZ"/>
        </w:rPr>
        <w:t>2.</w:t>
      </w:r>
      <w:r w:rsidRPr="003B6E11">
        <w:rPr>
          <w:lang w:val="cs-CZ"/>
        </w:rPr>
        <w:tab/>
        <w:t>Délka antény</w:t>
      </w:r>
    </w:p>
    <w:p w:rsidR="003B6E11" w:rsidRPr="003B6E11" w:rsidRDefault="003B6E11" w:rsidP="003B6E11">
      <w:pPr>
        <w:widowControl w:val="0"/>
        <w:spacing w:line="240" w:lineRule="atLeast"/>
        <w:ind w:left="992"/>
        <w:rPr>
          <w:rFonts w:cs="Arial"/>
          <w:szCs w:val="20"/>
          <w:lang w:val="cs-CZ"/>
        </w:rPr>
      </w:pPr>
      <w:r w:rsidRPr="003B6E11">
        <w:rPr>
          <w:lang w:val="cs-CZ"/>
        </w:rPr>
        <w:t>Minimálně 1,80 m.</w:t>
      </w:r>
    </w:p>
    <w:p w:rsidR="003B6E11" w:rsidRPr="003B6E11" w:rsidRDefault="003B6E11" w:rsidP="003B6E11">
      <w:pPr>
        <w:widowControl w:val="0"/>
        <w:spacing w:before="60" w:line="240" w:lineRule="atLeast"/>
        <w:ind w:left="992"/>
        <w:rPr>
          <w:rFonts w:cs="Arial"/>
          <w:szCs w:val="20"/>
          <w:lang w:val="cs-CZ"/>
        </w:rPr>
      </w:pPr>
      <w:r w:rsidRPr="003B6E11">
        <w:rPr>
          <w:lang w:val="cs-CZ"/>
        </w:rPr>
        <w:t>3.</w:t>
      </w:r>
      <w:r w:rsidRPr="003B6E11">
        <w:rPr>
          <w:lang w:val="cs-CZ"/>
        </w:rPr>
        <w:tab/>
        <w:t>Rozlišení blízkého pole</w:t>
      </w:r>
    </w:p>
    <w:p w:rsidR="003B6E11" w:rsidRPr="003B6E11" w:rsidRDefault="003B6E11" w:rsidP="003B6E11">
      <w:pPr>
        <w:widowControl w:val="0"/>
        <w:spacing w:line="240" w:lineRule="atLeast"/>
        <w:ind w:left="992"/>
        <w:rPr>
          <w:rFonts w:cs="Arial"/>
          <w:szCs w:val="20"/>
          <w:lang w:val="cs-CZ"/>
        </w:rPr>
      </w:pPr>
      <w:r w:rsidRPr="003B6E11">
        <w:rPr>
          <w:lang w:val="cs-CZ"/>
        </w:rPr>
        <w:t>≤ 15 m.</w:t>
      </w:r>
    </w:p>
    <w:p w:rsidR="003B6E11" w:rsidRPr="003B6E11" w:rsidRDefault="003B6E11" w:rsidP="003B6E11">
      <w:pPr>
        <w:widowControl w:val="0"/>
        <w:spacing w:before="60" w:line="240" w:lineRule="atLeast"/>
        <w:ind w:left="992"/>
        <w:rPr>
          <w:rFonts w:cs="Arial"/>
          <w:szCs w:val="20"/>
          <w:lang w:val="cs-CZ"/>
        </w:rPr>
      </w:pPr>
      <w:r w:rsidRPr="003B6E11">
        <w:rPr>
          <w:lang w:val="cs-CZ"/>
        </w:rPr>
        <w:t>4.</w:t>
      </w:r>
      <w:r w:rsidRPr="003B6E11">
        <w:rPr>
          <w:lang w:val="cs-CZ"/>
        </w:rPr>
        <w:tab/>
        <w:t>Radiální rozlišení</w:t>
      </w:r>
    </w:p>
    <w:p w:rsidR="003B6E11" w:rsidRPr="003B6E11" w:rsidRDefault="003B6E11" w:rsidP="003B6E11">
      <w:pPr>
        <w:widowControl w:val="0"/>
        <w:spacing w:line="240" w:lineRule="atLeast"/>
        <w:ind w:left="992"/>
        <w:rPr>
          <w:rFonts w:cs="Arial"/>
          <w:szCs w:val="20"/>
          <w:lang w:val="cs-CZ"/>
        </w:rPr>
      </w:pPr>
      <w:r w:rsidRPr="003B6E11">
        <w:rPr>
          <w:lang w:val="cs-CZ"/>
        </w:rPr>
        <w:t>Doba trvání pulsu ≤ 5 m; oddělování pulsů ≤ 15 m.</w:t>
      </w:r>
    </w:p>
    <w:p w:rsidR="003B6E11" w:rsidRPr="003B6E11" w:rsidRDefault="003B6E11" w:rsidP="003B6E11">
      <w:pPr>
        <w:widowControl w:val="0"/>
        <w:spacing w:before="60" w:line="240" w:lineRule="atLeast"/>
        <w:ind w:left="992"/>
        <w:rPr>
          <w:rFonts w:cs="Arial"/>
          <w:szCs w:val="20"/>
          <w:lang w:val="cs-CZ"/>
        </w:rPr>
      </w:pPr>
      <w:r w:rsidRPr="003B6E11">
        <w:rPr>
          <w:lang w:val="cs-CZ"/>
        </w:rPr>
        <w:t>5.</w:t>
      </w:r>
      <w:r w:rsidRPr="003B6E11">
        <w:rPr>
          <w:lang w:val="cs-CZ"/>
        </w:rPr>
        <w:tab/>
        <w:t>Rozlišení azimutu</w:t>
      </w:r>
    </w:p>
    <w:p w:rsidR="003B6E11" w:rsidRPr="003B6E11" w:rsidRDefault="003B6E11" w:rsidP="003B6E11">
      <w:pPr>
        <w:widowControl w:val="0"/>
        <w:spacing w:line="240" w:lineRule="atLeast"/>
        <w:ind w:left="992"/>
        <w:rPr>
          <w:rFonts w:cs="Arial"/>
          <w:szCs w:val="20"/>
          <w:lang w:val="cs-CZ"/>
        </w:rPr>
      </w:pPr>
      <w:r w:rsidRPr="003B6E11">
        <w:rPr>
          <w:lang w:val="cs-CZ"/>
        </w:rPr>
        <w:t>≤ 1,2°.</w:t>
      </w:r>
    </w:p>
    <w:p w:rsidR="003B6E11" w:rsidRPr="003B6E11" w:rsidRDefault="003B6E11" w:rsidP="003B6E11">
      <w:pPr>
        <w:widowControl w:val="0"/>
        <w:spacing w:before="60" w:line="240" w:lineRule="atLeast"/>
        <w:ind w:left="992"/>
        <w:rPr>
          <w:rFonts w:cs="Arial"/>
          <w:szCs w:val="20"/>
          <w:lang w:val="cs-CZ"/>
        </w:rPr>
      </w:pPr>
      <w:r w:rsidRPr="003B6E11">
        <w:rPr>
          <w:lang w:val="cs-CZ"/>
        </w:rPr>
        <w:t>6.</w:t>
      </w:r>
      <w:r w:rsidRPr="003B6E11">
        <w:rPr>
          <w:lang w:val="cs-CZ"/>
        </w:rPr>
        <w:tab/>
        <w:t>Výška antény</w:t>
      </w:r>
    </w:p>
    <w:p w:rsidR="003B6E11" w:rsidRPr="003B6E11" w:rsidRDefault="003B6E11" w:rsidP="003B6E11">
      <w:pPr>
        <w:widowControl w:val="0"/>
        <w:spacing w:line="240" w:lineRule="atLeast"/>
        <w:ind w:left="992"/>
        <w:rPr>
          <w:rFonts w:cs="Arial"/>
          <w:szCs w:val="20"/>
          <w:lang w:val="cs-CZ"/>
        </w:rPr>
      </w:pPr>
      <w:r w:rsidRPr="003B6E11">
        <w:rPr>
          <w:lang w:val="cs-CZ"/>
        </w:rPr>
        <w:t>Výška antény závisí na výšce a nákladu lodi. Aby se zabránilo nehodám způsobeným otáčením antény, musí být anténa umístěna ve výšce nejméně 3 m nad úrovní paluby.</w:t>
      </w:r>
    </w:p>
    <w:p w:rsidR="003B6E11" w:rsidRPr="003B6E11" w:rsidRDefault="003B6E11" w:rsidP="003B6E11">
      <w:pPr>
        <w:widowControl w:val="0"/>
        <w:spacing w:before="60" w:line="240" w:lineRule="atLeast"/>
        <w:ind w:left="992"/>
        <w:rPr>
          <w:rFonts w:cs="Arial"/>
          <w:szCs w:val="20"/>
          <w:lang w:val="cs-CZ"/>
        </w:rPr>
      </w:pPr>
      <w:r w:rsidRPr="003B6E11">
        <w:rPr>
          <w:lang w:val="cs-CZ"/>
        </w:rPr>
        <w:t>7.</w:t>
      </w:r>
      <w:r w:rsidRPr="003B6E11">
        <w:rPr>
          <w:lang w:val="cs-CZ"/>
        </w:rPr>
        <w:tab/>
        <w:t>Typ monitoru</w:t>
      </w:r>
    </w:p>
    <w:p w:rsidR="003B6E11" w:rsidRPr="003B6E11" w:rsidRDefault="003B6E11" w:rsidP="003B6E11">
      <w:pPr>
        <w:widowControl w:val="0"/>
        <w:spacing w:line="240" w:lineRule="atLeast"/>
        <w:ind w:left="992"/>
        <w:rPr>
          <w:rFonts w:cs="Arial"/>
          <w:szCs w:val="20"/>
          <w:lang w:val="cs-CZ"/>
        </w:rPr>
      </w:pPr>
      <w:r w:rsidRPr="003B6E11">
        <w:rPr>
          <w:lang w:val="cs-CZ"/>
        </w:rPr>
        <w:t xml:space="preserve">Musí být použit plochý monitor TFT ve formátu na výšku. </w:t>
      </w:r>
    </w:p>
    <w:p w:rsidR="003B6E11" w:rsidRPr="003B6E11" w:rsidRDefault="003B6E11" w:rsidP="003B6E11">
      <w:pPr>
        <w:widowControl w:val="0"/>
        <w:spacing w:before="60" w:line="240" w:lineRule="atLeast"/>
        <w:ind w:left="992"/>
        <w:rPr>
          <w:rFonts w:cs="Arial"/>
          <w:szCs w:val="20"/>
          <w:lang w:val="cs-CZ"/>
        </w:rPr>
      </w:pPr>
      <w:r w:rsidRPr="003B6E11">
        <w:rPr>
          <w:lang w:val="cs-CZ"/>
        </w:rPr>
        <w:t>8.</w:t>
      </w:r>
      <w:r w:rsidRPr="003B6E11">
        <w:rPr>
          <w:lang w:val="cs-CZ"/>
        </w:rPr>
        <w:tab/>
        <w:t>Rozměry obrazu</w:t>
      </w:r>
    </w:p>
    <w:p w:rsidR="003B6E11" w:rsidRPr="003B6E11" w:rsidRDefault="003B6E11" w:rsidP="003B6E11">
      <w:pPr>
        <w:widowControl w:val="0"/>
        <w:spacing w:line="240" w:lineRule="atLeast"/>
        <w:ind w:left="992"/>
        <w:rPr>
          <w:rFonts w:cs="Arial"/>
          <w:szCs w:val="20"/>
          <w:lang w:val="cs-CZ"/>
        </w:rPr>
      </w:pPr>
      <w:r w:rsidRPr="003B6E11">
        <w:rPr>
          <w:lang w:val="cs-CZ"/>
        </w:rPr>
        <w:t>Délka nejkratší strany obrazovky musí být nejméně 270 mm.</w:t>
      </w:r>
    </w:p>
    <w:p w:rsidR="003B6E11" w:rsidRPr="003B6E11" w:rsidRDefault="003B6E11" w:rsidP="003B6E11">
      <w:pPr>
        <w:widowControl w:val="0"/>
        <w:spacing w:before="60" w:line="240" w:lineRule="atLeast"/>
        <w:ind w:left="992"/>
        <w:rPr>
          <w:rFonts w:cs="Arial"/>
          <w:szCs w:val="20"/>
          <w:lang w:val="cs-CZ"/>
        </w:rPr>
      </w:pPr>
      <w:r w:rsidRPr="003B6E11">
        <w:rPr>
          <w:lang w:val="cs-CZ"/>
        </w:rPr>
        <w:t>9.</w:t>
      </w:r>
      <w:r w:rsidRPr="003B6E11">
        <w:rPr>
          <w:lang w:val="cs-CZ"/>
        </w:rPr>
        <w:tab/>
        <w:t>Rozlišení</w:t>
      </w:r>
    </w:p>
    <w:p w:rsidR="003B6E11" w:rsidRPr="003B6E11" w:rsidRDefault="003B6E11" w:rsidP="003B6E11">
      <w:pPr>
        <w:widowControl w:val="0"/>
        <w:spacing w:line="240" w:lineRule="atLeast"/>
        <w:ind w:left="992"/>
        <w:rPr>
          <w:rFonts w:cs="Arial"/>
          <w:szCs w:val="20"/>
          <w:lang w:val="cs-CZ"/>
        </w:rPr>
      </w:pPr>
      <w:r w:rsidRPr="003B6E11">
        <w:rPr>
          <w:lang w:val="cs-CZ"/>
        </w:rPr>
        <w:t>Rozlišení monitoru musí být v obou směrech identické, přičemž pixely musí být čtvercové. Úzká strana musí mít nejméně 1024 pixelů (obvykle 1024 x 1280 pixelů).</w:t>
      </w:r>
    </w:p>
    <w:p w:rsidR="003B6E11" w:rsidRPr="003B6E11" w:rsidRDefault="003B6E11" w:rsidP="003B6E11">
      <w:pPr>
        <w:widowControl w:val="0"/>
        <w:spacing w:before="60" w:line="240" w:lineRule="atLeast"/>
        <w:ind w:left="992"/>
        <w:rPr>
          <w:rFonts w:cs="Arial"/>
          <w:szCs w:val="20"/>
          <w:lang w:val="cs-CZ"/>
        </w:rPr>
      </w:pPr>
      <w:r w:rsidRPr="003B6E11">
        <w:rPr>
          <w:lang w:val="cs-CZ"/>
        </w:rPr>
        <w:t>10.</w:t>
      </w:r>
      <w:r w:rsidRPr="003B6E11">
        <w:rPr>
          <w:lang w:val="cs-CZ"/>
        </w:rPr>
        <w:tab/>
        <w:t>Jas</w:t>
      </w:r>
    </w:p>
    <w:p w:rsidR="003B6E11" w:rsidRPr="003B6E11" w:rsidRDefault="003B6E11" w:rsidP="003B6E11">
      <w:pPr>
        <w:widowControl w:val="0"/>
        <w:spacing w:line="240" w:lineRule="atLeast"/>
        <w:ind w:left="992"/>
        <w:rPr>
          <w:rFonts w:cs="Arial"/>
          <w:szCs w:val="20"/>
          <w:lang w:val="cs-CZ"/>
        </w:rPr>
      </w:pPr>
      <w:r w:rsidRPr="003B6E11">
        <w:rPr>
          <w:lang w:val="cs-CZ"/>
        </w:rPr>
        <w:t>Minimální jas: FG ≤ 15 cd/m²; BG ≤ 5 cd/m².</w:t>
      </w:r>
    </w:p>
    <w:p w:rsidR="003B6E11" w:rsidRPr="003B6E11" w:rsidRDefault="003B6E11" w:rsidP="003B6E11">
      <w:pPr>
        <w:widowControl w:val="0"/>
        <w:spacing w:before="60" w:line="240" w:lineRule="atLeast"/>
        <w:ind w:left="992"/>
        <w:rPr>
          <w:rFonts w:cs="Arial"/>
          <w:szCs w:val="20"/>
          <w:lang w:val="cs-CZ"/>
        </w:rPr>
      </w:pPr>
      <w:r w:rsidRPr="003B6E11">
        <w:rPr>
          <w:lang w:val="cs-CZ"/>
        </w:rPr>
        <w:t>11.</w:t>
      </w:r>
      <w:r w:rsidRPr="003B6E11">
        <w:rPr>
          <w:lang w:val="cs-CZ"/>
        </w:rPr>
        <w:tab/>
        <w:t>Umístění/provoz monitoru</w:t>
      </w:r>
    </w:p>
    <w:p w:rsidR="003B6E11" w:rsidRPr="003B6E11" w:rsidRDefault="003B6E11" w:rsidP="003B6E11">
      <w:pPr>
        <w:spacing w:line="240" w:lineRule="atLeast"/>
        <w:ind w:left="993"/>
        <w:rPr>
          <w:noProof/>
          <w:lang w:val="cs-CZ"/>
        </w:rPr>
      </w:pPr>
      <w:r w:rsidRPr="003B6E11">
        <w:rPr>
          <w:lang w:val="cs-CZ"/>
        </w:rPr>
        <w:t>Obrazovka radaru a její ovládací prvky musí být instalovány v souladu s požadavky na zkoušky montáže a výkonnosti navigačních radarových zařízení a ukazatelů rychlosti otáčení ve vnitrozemské plavbě (ES-TRIN, příloha 5, oddíl III, článek 5).</w:t>
      </w:r>
    </w:p>
    <w:p w:rsidR="003B6E11" w:rsidRPr="003B6E11" w:rsidRDefault="003B6E11" w:rsidP="003B6E11">
      <w:pPr>
        <w:spacing w:line="240" w:lineRule="atLeast"/>
        <w:jc w:val="center"/>
        <w:rPr>
          <w:noProof/>
          <w:lang w:val="cs-CZ"/>
        </w:rPr>
      </w:pPr>
    </w:p>
    <w:p w:rsidR="003B6E11" w:rsidRPr="003B6E11" w:rsidRDefault="003B6E11" w:rsidP="003B6E11">
      <w:pPr>
        <w:spacing w:line="240" w:lineRule="atLeast"/>
        <w:jc w:val="center"/>
        <w:rPr>
          <w:noProof/>
          <w:lang w:val="cs-CZ"/>
        </w:rPr>
      </w:pPr>
      <w:r w:rsidRPr="003B6E11">
        <w:rPr>
          <w:lang w:val="cs-CZ"/>
        </w:rPr>
        <w:br w:type="page"/>
      </w:r>
    </w:p>
    <w:p w:rsidR="003B6E11" w:rsidRPr="003B6E11" w:rsidRDefault="003B6E11" w:rsidP="003B6E11">
      <w:pPr>
        <w:spacing w:line="240" w:lineRule="atLeast"/>
        <w:jc w:val="center"/>
        <w:rPr>
          <w:noProof/>
          <w:lang w:val="cs-CZ"/>
        </w:rPr>
      </w:pPr>
    </w:p>
    <w:p w:rsidR="003B6E11" w:rsidRPr="003B6E11" w:rsidRDefault="003B6E11" w:rsidP="003B6E11">
      <w:pPr>
        <w:spacing w:line="240" w:lineRule="atLeast"/>
        <w:jc w:val="center"/>
        <w:rPr>
          <w:noProof/>
          <w:lang w:val="cs-CZ"/>
        </w:rPr>
      </w:pPr>
    </w:p>
    <w:p w:rsidR="003B6E11" w:rsidRPr="003B6E11" w:rsidRDefault="003B6E11" w:rsidP="003B6E11">
      <w:pPr>
        <w:spacing w:line="240" w:lineRule="atLeast"/>
        <w:jc w:val="center"/>
        <w:rPr>
          <w:noProof/>
          <w:lang w:val="cs-CZ"/>
        </w:rPr>
      </w:pPr>
    </w:p>
    <w:p w:rsidR="003B6E11" w:rsidRPr="003B6E11" w:rsidRDefault="003B6E11" w:rsidP="003B6E11">
      <w:pPr>
        <w:spacing w:line="240" w:lineRule="atLeast"/>
        <w:jc w:val="center"/>
        <w:rPr>
          <w:noProof/>
          <w:lang w:val="cs-CZ"/>
        </w:rPr>
      </w:pPr>
    </w:p>
    <w:p w:rsidR="003B6E11" w:rsidRPr="003B6E11" w:rsidRDefault="003B6E11" w:rsidP="003B6E11">
      <w:pPr>
        <w:overflowPunct w:val="0"/>
        <w:adjustRightInd w:val="0"/>
        <w:textAlignment w:val="baseline"/>
        <w:rPr>
          <w:szCs w:val="20"/>
          <w:lang w:val="cs-CZ"/>
        </w:rPr>
        <w:sectPr w:rsidR="003B6E11" w:rsidRPr="003B6E11" w:rsidSect="00D45887">
          <w:footnotePr>
            <w:numRestart w:val="eachPage"/>
          </w:footnotePr>
          <w:pgSz w:w="11907" w:h="16840" w:code="9"/>
          <w:pgMar w:top="1418" w:right="1418" w:bottom="1418" w:left="1418" w:header="680" w:footer="680" w:gutter="0"/>
          <w:cols w:space="720"/>
          <w:docGrid w:linePitch="326"/>
        </w:sectPr>
      </w:pPr>
    </w:p>
    <w:p w:rsidR="003B6E11" w:rsidRPr="003B6E11" w:rsidRDefault="003B6E11" w:rsidP="003B6E11">
      <w:pPr>
        <w:pStyle w:val="ES-Titre2ESI"/>
      </w:pPr>
      <w:bookmarkStart w:id="747" w:name="_Toc491854356"/>
      <w:bookmarkStart w:id="748" w:name="_Toc535417262"/>
      <w:r w:rsidRPr="003B6E11">
        <w:t>ESI-II-7</w:t>
      </w:r>
      <w:r w:rsidRPr="003B6E11">
        <w:br/>
        <w:t>Zařízení na shromažďování použitého oleje</w:t>
      </w:r>
      <w:bookmarkEnd w:id="747"/>
      <w:bookmarkEnd w:id="748"/>
    </w:p>
    <w:p w:rsidR="003B6E11" w:rsidRPr="003B6E11" w:rsidRDefault="003B6E11" w:rsidP="003B6E11">
      <w:pPr>
        <w:tabs>
          <w:tab w:val="center" w:pos="4513"/>
        </w:tabs>
        <w:overflowPunct w:val="0"/>
        <w:adjustRightInd w:val="0"/>
        <w:jc w:val="center"/>
        <w:textAlignment w:val="baseline"/>
        <w:rPr>
          <w:b/>
          <w:szCs w:val="20"/>
          <w:lang w:val="cs-CZ"/>
        </w:rPr>
      </w:pPr>
    </w:p>
    <w:p w:rsidR="003B6E11" w:rsidRPr="003B6E11" w:rsidRDefault="003B6E11" w:rsidP="003B6E11">
      <w:pPr>
        <w:tabs>
          <w:tab w:val="center" w:pos="4513"/>
        </w:tabs>
        <w:overflowPunct w:val="0"/>
        <w:adjustRightInd w:val="0"/>
        <w:jc w:val="center"/>
        <w:textAlignment w:val="baseline"/>
        <w:rPr>
          <w:b/>
          <w:szCs w:val="20"/>
          <w:lang w:val="cs-CZ"/>
        </w:rPr>
      </w:pPr>
      <w:r w:rsidRPr="003B6E11">
        <w:rPr>
          <w:b/>
          <w:lang w:val="cs-CZ"/>
        </w:rPr>
        <w:t>(Článek 8.09)</w:t>
      </w:r>
    </w:p>
    <w:p w:rsidR="003B6E11" w:rsidRPr="003B6E11" w:rsidRDefault="003B6E11" w:rsidP="003B6E11">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textAlignment w:val="baseline"/>
        <w:rPr>
          <w:szCs w:val="20"/>
          <w:lang w:val="cs-CZ"/>
        </w:rPr>
      </w:pPr>
    </w:p>
    <w:p w:rsidR="003B6E11" w:rsidRPr="003B6E11" w:rsidRDefault="003B6E11" w:rsidP="003B6E11">
      <w:pPr>
        <w:spacing w:line="240" w:lineRule="atLeast"/>
        <w:rPr>
          <w:noProof/>
          <w:lang w:val="cs-CZ"/>
        </w:rPr>
      </w:pPr>
      <w:r w:rsidRPr="003B6E11">
        <w:rPr>
          <w:lang w:val="cs-CZ"/>
        </w:rPr>
        <w:t>Stávající plavidla uvedená v čl. 32.02 odst. 1, jejichž pevně nainstalované odvodňovací a drenážní systémy a statické odlučovače oleje byly odstraněny z příslušných strojoven, již nejsou v souladu s článkem 5.07 RVIR platným k 31. prosinci 1994.</w:t>
      </w:r>
    </w:p>
    <w:p w:rsidR="003B6E11" w:rsidRPr="003B6E11" w:rsidRDefault="003B6E11" w:rsidP="003B6E11">
      <w:pPr>
        <w:spacing w:line="240" w:lineRule="atLeast"/>
        <w:rPr>
          <w:noProof/>
          <w:lang w:val="cs-CZ"/>
        </w:rPr>
      </w:pPr>
    </w:p>
    <w:p w:rsidR="003B6E11" w:rsidRPr="003B6E11" w:rsidRDefault="003B6E11" w:rsidP="003B6E11">
      <w:pPr>
        <w:spacing w:line="240" w:lineRule="atLeast"/>
        <w:rPr>
          <w:noProof/>
          <w:lang w:val="cs-CZ"/>
        </w:rPr>
      </w:pPr>
      <w:r w:rsidRPr="003B6E11">
        <w:rPr>
          <w:lang w:val="cs-CZ"/>
        </w:rPr>
        <w:t>V souladu s přechodnými ustanoveními musí být tyto lodě vybaveny nádrží na shromažďování použitého oleje uvedenou v čl. 8.09 odst. 2, s výjimkou případů uvedených v čl. 8.09 odst. 3.</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r w:rsidRPr="003B6E11">
        <w:rPr>
          <w:lang w:val="cs-CZ"/>
        </w:rPr>
        <w:br w:type="page"/>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sectPr w:rsidR="003B6E11" w:rsidRPr="003B6E11" w:rsidSect="00D45887">
          <w:footnotePr>
            <w:numRestart w:val="eachPage"/>
          </w:footnotePr>
          <w:pgSz w:w="11907" w:h="16840" w:code="9"/>
          <w:pgMar w:top="1418" w:right="1418" w:bottom="1418" w:left="1418" w:header="680" w:footer="680" w:gutter="0"/>
          <w:cols w:space="720"/>
          <w:docGrid w:linePitch="326"/>
        </w:sectPr>
      </w:pPr>
    </w:p>
    <w:p w:rsidR="003B6E11" w:rsidRPr="003B6E11" w:rsidRDefault="003B6E11" w:rsidP="003B6E11">
      <w:pPr>
        <w:pStyle w:val="ES-Titre2ESI"/>
        <w:rPr>
          <w:snapToGrid w:val="0"/>
        </w:rPr>
      </w:pPr>
      <w:bookmarkStart w:id="749" w:name="_Toc491854357"/>
      <w:bookmarkStart w:id="750" w:name="_Toc535417263"/>
      <w:r w:rsidRPr="003B6E11">
        <w:t>ESI-II-8</w:t>
      </w:r>
      <w:r w:rsidRPr="003B6E11">
        <w:br/>
        <w:t>(Ponecháno volné)</w:t>
      </w:r>
      <w:bookmarkEnd w:id="749"/>
      <w:bookmarkEnd w:id="750"/>
    </w:p>
    <w:p w:rsidR="003B6E11" w:rsidRPr="003B6E11" w:rsidRDefault="003B6E11" w:rsidP="003B6E11">
      <w:pPr>
        <w:overflowPunct w:val="0"/>
        <w:adjustRightInd w:val="0"/>
        <w:textAlignment w:val="baseline"/>
        <w:rPr>
          <w:szCs w:val="20"/>
          <w:lang w:val="cs-CZ"/>
        </w:rPr>
      </w:pPr>
    </w:p>
    <w:p w:rsidR="003B6E11" w:rsidRPr="003B6E11" w:rsidRDefault="003B6E11" w:rsidP="003B6E11">
      <w:pPr>
        <w:spacing w:line="240" w:lineRule="atLeast"/>
        <w:rPr>
          <w:rFonts w:cs="Arial"/>
          <w:color w:val="000000"/>
          <w:lang w:val="cs-CZ"/>
        </w:rPr>
      </w:pPr>
    </w:p>
    <w:p w:rsidR="003B6E11" w:rsidRPr="003B6E11" w:rsidRDefault="003B6E11" w:rsidP="003B6E11">
      <w:pPr>
        <w:rPr>
          <w:rFonts w:cs="Arial"/>
          <w:color w:val="000000"/>
          <w:lang w:val="cs-CZ"/>
        </w:rPr>
      </w:pPr>
      <w:r w:rsidRPr="003B6E11">
        <w:rPr>
          <w:lang w:val="cs-CZ"/>
        </w:rPr>
        <w:br w:type="page"/>
      </w: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lang w:val="cs-CZ"/>
        </w:rPr>
      </w:pPr>
    </w:p>
    <w:p w:rsidR="003B6E11" w:rsidRPr="003B6E11" w:rsidRDefault="003B6E11" w:rsidP="003B6E11">
      <w:pPr>
        <w:spacing w:line="240" w:lineRule="atLeast"/>
        <w:rPr>
          <w:rFonts w:cs="Arial"/>
          <w:color w:val="000000"/>
          <w:szCs w:val="20"/>
          <w:lang w:val="cs-CZ"/>
        </w:rPr>
        <w:sectPr w:rsidR="003B6E11" w:rsidRPr="003B6E11" w:rsidSect="00D45887">
          <w:footnotePr>
            <w:numRestart w:val="eachPage"/>
          </w:footnotePr>
          <w:pgSz w:w="11907" w:h="16840" w:code="9"/>
          <w:pgMar w:top="1418" w:right="1418" w:bottom="1418" w:left="1418" w:header="680" w:footer="680" w:gutter="0"/>
          <w:cols w:space="720"/>
          <w:docGrid w:linePitch="326"/>
        </w:sectPr>
      </w:pPr>
    </w:p>
    <w:p w:rsidR="003B6E11" w:rsidRPr="003B6E11" w:rsidRDefault="003B6E11" w:rsidP="003B6E11">
      <w:pPr>
        <w:pStyle w:val="ES-Titre2ESI"/>
      </w:pPr>
      <w:bookmarkStart w:id="751" w:name="_Toc491854358"/>
      <w:bookmarkStart w:id="752" w:name="_Toc535417264"/>
      <w:r w:rsidRPr="003B6E11">
        <w:t>ESI-II-9</w:t>
      </w:r>
      <w:r w:rsidRPr="003B6E11">
        <w:br/>
        <w:t>Zvláštní kotvy se sníženou hmotností</w:t>
      </w:r>
      <w:bookmarkEnd w:id="751"/>
      <w:bookmarkEnd w:id="752"/>
    </w:p>
    <w:p w:rsidR="003B6E11" w:rsidRPr="003B6E11" w:rsidRDefault="003B6E11" w:rsidP="003B6E11">
      <w:pPr>
        <w:overflowPunct w:val="0"/>
        <w:adjustRightInd w:val="0"/>
        <w:textAlignment w:val="baseline"/>
        <w:rPr>
          <w:szCs w:val="20"/>
          <w:lang w:val="cs-CZ"/>
        </w:rPr>
      </w:pPr>
    </w:p>
    <w:p w:rsidR="003B6E11" w:rsidRPr="003B6E11" w:rsidRDefault="003B6E11" w:rsidP="003B6E11">
      <w:pPr>
        <w:tabs>
          <w:tab w:val="left" w:pos="284"/>
          <w:tab w:val="left" w:pos="567"/>
        </w:tabs>
        <w:overflowPunct w:val="0"/>
        <w:adjustRightInd w:val="0"/>
        <w:jc w:val="center"/>
        <w:textAlignment w:val="baseline"/>
        <w:rPr>
          <w:szCs w:val="20"/>
          <w:lang w:val="cs-CZ"/>
        </w:rPr>
      </w:pPr>
      <w:r w:rsidRPr="003B6E11">
        <w:rPr>
          <w:b/>
          <w:lang w:val="cs-CZ"/>
        </w:rPr>
        <w:t>(Čl. 13.01 odst. 5)</w:t>
      </w:r>
    </w:p>
    <w:p w:rsidR="003B6E11" w:rsidRPr="003B6E11" w:rsidRDefault="003B6E11" w:rsidP="003B6E11">
      <w:pPr>
        <w:tabs>
          <w:tab w:val="left" w:pos="284"/>
          <w:tab w:val="left" w:pos="567"/>
        </w:tabs>
        <w:overflowPunct w:val="0"/>
        <w:adjustRightInd w:val="0"/>
        <w:textAlignment w:val="baseline"/>
        <w:rPr>
          <w:szCs w:val="20"/>
          <w:lang w:val="cs-CZ"/>
        </w:rPr>
      </w:pPr>
    </w:p>
    <w:p w:rsidR="003B6E11" w:rsidRPr="003B6E11" w:rsidRDefault="003B6E11" w:rsidP="003B6E11">
      <w:pPr>
        <w:tabs>
          <w:tab w:val="left" w:pos="284"/>
          <w:tab w:val="left" w:pos="567"/>
        </w:tabs>
        <w:overflowPunct w:val="0"/>
        <w:adjustRightInd w:val="0"/>
        <w:ind w:left="284" w:hanging="284"/>
        <w:textAlignment w:val="baseline"/>
        <w:rPr>
          <w:b/>
          <w:szCs w:val="20"/>
          <w:lang w:val="cs-CZ"/>
        </w:rPr>
      </w:pPr>
      <w:r w:rsidRPr="003B6E11">
        <w:rPr>
          <w:b/>
          <w:lang w:val="cs-CZ"/>
        </w:rPr>
        <w:t>Oddíl 1</w:t>
      </w:r>
    </w:p>
    <w:p w:rsidR="003B6E11" w:rsidRPr="003B6E11" w:rsidRDefault="003B6E11" w:rsidP="003B6E11">
      <w:pPr>
        <w:tabs>
          <w:tab w:val="left" w:pos="284"/>
          <w:tab w:val="left" w:pos="567"/>
        </w:tabs>
        <w:overflowPunct w:val="0"/>
        <w:adjustRightInd w:val="0"/>
        <w:ind w:left="284" w:hanging="284"/>
        <w:textAlignment w:val="baseline"/>
        <w:rPr>
          <w:b/>
          <w:szCs w:val="20"/>
          <w:lang w:val="cs-CZ"/>
        </w:rPr>
      </w:pPr>
    </w:p>
    <w:p w:rsidR="003B6E11" w:rsidRPr="003B6E11" w:rsidRDefault="003B6E11" w:rsidP="003B6E11">
      <w:pPr>
        <w:tabs>
          <w:tab w:val="left" w:pos="284"/>
          <w:tab w:val="left" w:pos="567"/>
        </w:tabs>
        <w:overflowPunct w:val="0"/>
        <w:adjustRightInd w:val="0"/>
        <w:ind w:left="284" w:hanging="284"/>
        <w:textAlignment w:val="baseline"/>
        <w:rPr>
          <w:szCs w:val="20"/>
          <w:lang w:val="cs-CZ"/>
        </w:rPr>
      </w:pPr>
      <w:r w:rsidRPr="003B6E11">
        <w:rPr>
          <w:b/>
          <w:lang w:val="cs-CZ"/>
        </w:rPr>
        <w:t>Schválené zvláštní kotvy</w:t>
      </w:r>
    </w:p>
    <w:p w:rsidR="003B6E11" w:rsidRPr="003B6E11" w:rsidRDefault="003B6E11" w:rsidP="003B6E11">
      <w:pPr>
        <w:tabs>
          <w:tab w:val="left" w:pos="284"/>
          <w:tab w:val="left" w:pos="567"/>
        </w:tabs>
        <w:overflowPunct w:val="0"/>
        <w:adjustRightInd w:val="0"/>
        <w:ind w:left="284" w:hanging="284"/>
        <w:textAlignment w:val="baseline"/>
        <w:rPr>
          <w:szCs w:val="20"/>
          <w:lang w:val="cs-CZ"/>
        </w:rPr>
      </w:pPr>
    </w:p>
    <w:p w:rsidR="003B6E11" w:rsidRPr="003B6E11" w:rsidRDefault="003B6E11" w:rsidP="003B6E11">
      <w:pPr>
        <w:tabs>
          <w:tab w:val="left" w:pos="0"/>
          <w:tab w:val="left" w:pos="567"/>
        </w:tabs>
        <w:overflowPunct w:val="0"/>
        <w:adjustRightInd w:val="0"/>
        <w:textAlignment w:val="baseline"/>
        <w:rPr>
          <w:szCs w:val="20"/>
          <w:lang w:val="cs-CZ"/>
        </w:rPr>
      </w:pPr>
      <w:r w:rsidRPr="003B6E11">
        <w:rPr>
          <w:lang w:val="cs-CZ"/>
        </w:rPr>
        <w:t>V následující tabulce jsou uvedeny zvláštní kotvy se sníženou hmotností, které jsou schváleny příslušnými orgány v souladu s čl. 13.01 odst. 5.</w:t>
      </w:r>
    </w:p>
    <w:p w:rsidR="003B6E11" w:rsidRPr="003B6E11" w:rsidRDefault="003B6E11" w:rsidP="003B6E11">
      <w:pPr>
        <w:tabs>
          <w:tab w:val="left" w:pos="284"/>
          <w:tab w:val="left" w:pos="567"/>
        </w:tabs>
        <w:overflowPunct w:val="0"/>
        <w:adjustRightInd w:val="0"/>
        <w:ind w:left="284" w:hanging="284"/>
        <w:textAlignment w:val="baseline"/>
        <w:rPr>
          <w:szCs w:val="20"/>
          <w:lang w:val="cs-CZ"/>
        </w:rPr>
      </w:pPr>
    </w:p>
    <w:tbl>
      <w:tblPr>
        <w:tblW w:w="0" w:type="auto"/>
        <w:jc w:val="center"/>
        <w:tblLayout w:type="fixed"/>
        <w:tblCellMar>
          <w:left w:w="0" w:type="dxa"/>
          <w:right w:w="0" w:type="dxa"/>
        </w:tblCellMar>
        <w:tblLook w:val="0000" w:firstRow="0" w:lastRow="0" w:firstColumn="0" w:lastColumn="0" w:noHBand="0" w:noVBand="0"/>
      </w:tblPr>
      <w:tblGrid>
        <w:gridCol w:w="2948"/>
        <w:gridCol w:w="2778"/>
        <w:gridCol w:w="2552"/>
      </w:tblGrid>
      <w:tr w:rsidR="003B6E11" w:rsidRPr="003B6E11" w:rsidTr="002D015D">
        <w:trPr>
          <w:jc w:val="center"/>
        </w:trPr>
        <w:tc>
          <w:tcPr>
            <w:tcW w:w="2948" w:type="dxa"/>
            <w:tcBorders>
              <w:top w:val="single" w:sz="6" w:space="0" w:color="auto"/>
              <w:left w:val="single" w:sz="6" w:space="0" w:color="auto"/>
              <w:bottom w:val="nil"/>
              <w:right w:val="nil"/>
            </w:tcBorders>
            <w:vAlign w:val="center"/>
          </w:tcPr>
          <w:p w:rsidR="003B6E11" w:rsidRPr="003B6E11" w:rsidRDefault="003B6E11" w:rsidP="002D015D">
            <w:pPr>
              <w:tabs>
                <w:tab w:val="center" w:pos="1464"/>
              </w:tabs>
              <w:overflowPunct w:val="0"/>
              <w:adjustRightInd w:val="0"/>
              <w:spacing w:before="100" w:after="100" w:line="240" w:lineRule="atLeast"/>
              <w:jc w:val="center"/>
              <w:textAlignment w:val="baseline"/>
              <w:rPr>
                <w:sz w:val="18"/>
                <w:szCs w:val="20"/>
                <w:lang w:val="cs-CZ"/>
              </w:rPr>
            </w:pPr>
            <w:r w:rsidRPr="003B6E11">
              <w:rPr>
                <w:sz w:val="18"/>
                <w:lang w:val="cs-CZ"/>
              </w:rPr>
              <w:t>Kotva č.</w:t>
            </w:r>
          </w:p>
        </w:tc>
        <w:tc>
          <w:tcPr>
            <w:tcW w:w="2778" w:type="dxa"/>
            <w:tcBorders>
              <w:top w:val="single" w:sz="6" w:space="0" w:color="auto"/>
              <w:left w:val="single" w:sz="6" w:space="0" w:color="auto"/>
              <w:bottom w:val="nil"/>
              <w:right w:val="nil"/>
            </w:tcBorders>
            <w:vAlign w:val="center"/>
          </w:tcPr>
          <w:p w:rsidR="003B6E11" w:rsidRPr="003B6E11" w:rsidRDefault="003B6E11" w:rsidP="002D015D">
            <w:pPr>
              <w:tabs>
                <w:tab w:val="center" w:pos="1445"/>
              </w:tabs>
              <w:overflowPunct w:val="0"/>
              <w:adjustRightInd w:val="0"/>
              <w:spacing w:before="100" w:after="100" w:line="240" w:lineRule="atLeast"/>
              <w:jc w:val="center"/>
              <w:textAlignment w:val="baseline"/>
              <w:rPr>
                <w:sz w:val="18"/>
                <w:szCs w:val="20"/>
                <w:lang w:val="cs-CZ"/>
              </w:rPr>
            </w:pPr>
            <w:r w:rsidRPr="003B6E11">
              <w:rPr>
                <w:sz w:val="18"/>
                <w:lang w:val="cs-CZ"/>
              </w:rPr>
              <w:t>Přípustné snížení hmotnosti kotvy (%)</w:t>
            </w:r>
          </w:p>
        </w:tc>
        <w:tc>
          <w:tcPr>
            <w:tcW w:w="2552" w:type="dxa"/>
            <w:tcBorders>
              <w:top w:val="single" w:sz="6" w:space="0" w:color="auto"/>
              <w:left w:val="single" w:sz="6" w:space="0" w:color="auto"/>
              <w:bottom w:val="nil"/>
              <w:right w:val="single" w:sz="6" w:space="0" w:color="auto"/>
            </w:tcBorders>
            <w:vAlign w:val="center"/>
          </w:tcPr>
          <w:p w:rsidR="003B6E11" w:rsidRPr="003B6E11" w:rsidRDefault="003B6E11" w:rsidP="002D015D">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lang w:val="cs-CZ"/>
              </w:rPr>
            </w:pPr>
            <w:r w:rsidRPr="003B6E11">
              <w:rPr>
                <w:sz w:val="18"/>
                <w:lang w:val="cs-CZ"/>
              </w:rPr>
              <w:t>Příslušný orgán</w:t>
            </w:r>
          </w:p>
        </w:tc>
      </w:tr>
      <w:tr w:rsidR="003B6E11" w:rsidRPr="003B6E11" w:rsidTr="002D015D">
        <w:trPr>
          <w:jc w:val="center"/>
        </w:trPr>
        <w:tc>
          <w:tcPr>
            <w:tcW w:w="2948" w:type="dxa"/>
            <w:tcBorders>
              <w:top w:val="single" w:sz="6" w:space="0" w:color="auto"/>
              <w:left w:val="single" w:sz="6" w:space="0" w:color="auto"/>
              <w:bottom w:val="nil"/>
              <w:right w:val="nil"/>
            </w:tcBorders>
            <w:vAlign w:val="center"/>
          </w:tcPr>
          <w:p w:rsidR="003B6E11" w:rsidRPr="003B6E11" w:rsidRDefault="003B6E11" w:rsidP="002D015D">
            <w:pPr>
              <w:overflowPunct w:val="0"/>
              <w:adjustRightInd w:val="0"/>
              <w:spacing w:before="100" w:after="100" w:line="240" w:lineRule="atLeast"/>
              <w:ind w:left="538" w:right="113"/>
              <w:textAlignment w:val="baseline"/>
              <w:rPr>
                <w:sz w:val="18"/>
                <w:szCs w:val="20"/>
                <w:lang w:val="cs-CZ"/>
              </w:rPr>
            </w:pPr>
            <w:r w:rsidRPr="003B6E11">
              <w:rPr>
                <w:sz w:val="18"/>
                <w:lang w:val="cs-CZ"/>
              </w:rPr>
              <w:t>1.</w:t>
            </w:r>
            <w:r w:rsidRPr="003B6E11">
              <w:rPr>
                <w:lang w:val="cs-CZ"/>
              </w:rPr>
              <w:tab/>
            </w:r>
            <w:r w:rsidRPr="003B6E11">
              <w:rPr>
                <w:noProof/>
                <w:sz w:val="18"/>
                <w:lang w:val="cs-CZ"/>
              </w:rPr>
              <w:t>HA-DU</w:t>
            </w:r>
          </w:p>
        </w:tc>
        <w:tc>
          <w:tcPr>
            <w:tcW w:w="2778" w:type="dxa"/>
            <w:tcBorders>
              <w:top w:val="single" w:sz="6" w:space="0" w:color="auto"/>
              <w:left w:val="single" w:sz="6" w:space="0" w:color="auto"/>
              <w:bottom w:val="nil"/>
              <w:right w:val="nil"/>
            </w:tcBorders>
            <w:vAlign w:val="center"/>
          </w:tcPr>
          <w:p w:rsidR="003B6E11" w:rsidRPr="003B6E11" w:rsidRDefault="003B6E11" w:rsidP="002D015D">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lang w:val="cs-CZ"/>
              </w:rPr>
            </w:pPr>
            <w:r w:rsidRPr="003B6E11">
              <w:rPr>
                <w:sz w:val="18"/>
                <w:lang w:val="cs-CZ"/>
              </w:rPr>
              <w:t>30 %</w:t>
            </w:r>
          </w:p>
        </w:tc>
        <w:tc>
          <w:tcPr>
            <w:tcW w:w="2552" w:type="dxa"/>
            <w:tcBorders>
              <w:top w:val="single" w:sz="6" w:space="0" w:color="auto"/>
              <w:left w:val="single" w:sz="6" w:space="0" w:color="auto"/>
              <w:bottom w:val="nil"/>
              <w:right w:val="single" w:sz="6" w:space="0" w:color="auto"/>
            </w:tcBorders>
            <w:vAlign w:val="center"/>
          </w:tcPr>
          <w:p w:rsidR="003B6E11" w:rsidRPr="003B6E11" w:rsidRDefault="003B6E11" w:rsidP="002D015D">
            <w:pPr>
              <w:spacing w:before="100" w:after="100" w:line="240" w:lineRule="atLeast"/>
              <w:ind w:left="516" w:right="113" w:hanging="403"/>
              <w:jc w:val="center"/>
              <w:rPr>
                <w:noProof/>
                <w:sz w:val="18"/>
                <w:lang w:val="cs-CZ"/>
              </w:rPr>
            </w:pPr>
            <w:r w:rsidRPr="003B6E11">
              <w:rPr>
                <w:noProof/>
                <w:sz w:val="18"/>
                <w:lang w:val="cs-CZ"/>
              </w:rPr>
              <w:t xml:space="preserve">Německo </w:t>
            </w:r>
          </w:p>
        </w:tc>
      </w:tr>
      <w:tr w:rsidR="003B6E11" w:rsidRPr="003B6E11" w:rsidTr="002D015D">
        <w:trPr>
          <w:jc w:val="center"/>
        </w:trPr>
        <w:tc>
          <w:tcPr>
            <w:tcW w:w="2948" w:type="dxa"/>
            <w:tcBorders>
              <w:top w:val="single" w:sz="6" w:space="0" w:color="auto"/>
              <w:left w:val="single" w:sz="6" w:space="0" w:color="auto"/>
              <w:bottom w:val="nil"/>
              <w:right w:val="nil"/>
            </w:tcBorders>
            <w:vAlign w:val="center"/>
          </w:tcPr>
          <w:p w:rsidR="003B6E11" w:rsidRPr="003B6E11" w:rsidRDefault="003B6E11" w:rsidP="002D015D">
            <w:pPr>
              <w:overflowPunct w:val="0"/>
              <w:adjustRightInd w:val="0"/>
              <w:spacing w:before="100" w:after="100" w:line="240" w:lineRule="atLeast"/>
              <w:ind w:left="538" w:right="113"/>
              <w:textAlignment w:val="baseline"/>
              <w:rPr>
                <w:sz w:val="18"/>
                <w:szCs w:val="20"/>
                <w:lang w:val="cs-CZ"/>
              </w:rPr>
            </w:pPr>
            <w:r w:rsidRPr="003B6E11">
              <w:rPr>
                <w:sz w:val="18"/>
                <w:lang w:val="cs-CZ"/>
              </w:rPr>
              <w:t>2.</w:t>
            </w:r>
            <w:r w:rsidRPr="003B6E11">
              <w:rPr>
                <w:lang w:val="cs-CZ"/>
              </w:rPr>
              <w:tab/>
            </w:r>
            <w:r w:rsidRPr="003B6E11">
              <w:rPr>
                <w:noProof/>
                <w:sz w:val="18"/>
                <w:lang w:val="cs-CZ"/>
              </w:rPr>
              <w:t>D'Hone Spezial</w:t>
            </w:r>
          </w:p>
        </w:tc>
        <w:tc>
          <w:tcPr>
            <w:tcW w:w="2778" w:type="dxa"/>
            <w:tcBorders>
              <w:top w:val="single" w:sz="6" w:space="0" w:color="auto"/>
              <w:left w:val="single" w:sz="6" w:space="0" w:color="auto"/>
              <w:bottom w:val="nil"/>
              <w:right w:val="nil"/>
            </w:tcBorders>
            <w:vAlign w:val="center"/>
          </w:tcPr>
          <w:p w:rsidR="003B6E11" w:rsidRPr="003B6E11" w:rsidRDefault="003B6E11" w:rsidP="002D015D">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lang w:val="cs-CZ"/>
              </w:rPr>
            </w:pPr>
            <w:r w:rsidRPr="003B6E11">
              <w:rPr>
                <w:sz w:val="18"/>
                <w:lang w:val="cs-CZ"/>
              </w:rPr>
              <w:t>30 %</w:t>
            </w:r>
          </w:p>
        </w:tc>
        <w:tc>
          <w:tcPr>
            <w:tcW w:w="2552" w:type="dxa"/>
            <w:tcBorders>
              <w:top w:val="single" w:sz="6" w:space="0" w:color="auto"/>
              <w:left w:val="single" w:sz="6" w:space="0" w:color="auto"/>
              <w:bottom w:val="nil"/>
              <w:right w:val="single" w:sz="6" w:space="0" w:color="auto"/>
            </w:tcBorders>
            <w:vAlign w:val="center"/>
          </w:tcPr>
          <w:p w:rsidR="003B6E11" w:rsidRPr="003B6E11" w:rsidRDefault="003B6E11" w:rsidP="002D015D">
            <w:pPr>
              <w:spacing w:before="100" w:after="100" w:line="240" w:lineRule="atLeast"/>
              <w:ind w:left="516" w:right="113" w:hanging="403"/>
              <w:jc w:val="center"/>
              <w:rPr>
                <w:noProof/>
                <w:sz w:val="18"/>
                <w:lang w:val="cs-CZ"/>
              </w:rPr>
            </w:pPr>
            <w:r w:rsidRPr="003B6E11">
              <w:rPr>
                <w:noProof/>
                <w:sz w:val="18"/>
                <w:lang w:val="cs-CZ"/>
              </w:rPr>
              <w:t xml:space="preserve">Německo </w:t>
            </w:r>
          </w:p>
        </w:tc>
      </w:tr>
      <w:tr w:rsidR="003B6E11" w:rsidRPr="003B6E11" w:rsidTr="002D015D">
        <w:trPr>
          <w:jc w:val="center"/>
        </w:trPr>
        <w:tc>
          <w:tcPr>
            <w:tcW w:w="2948" w:type="dxa"/>
            <w:tcBorders>
              <w:top w:val="single" w:sz="6" w:space="0" w:color="auto"/>
              <w:left w:val="single" w:sz="6" w:space="0" w:color="auto"/>
              <w:bottom w:val="nil"/>
              <w:right w:val="nil"/>
            </w:tcBorders>
            <w:vAlign w:val="center"/>
          </w:tcPr>
          <w:p w:rsidR="003B6E11" w:rsidRPr="003B6E11" w:rsidRDefault="003B6E11" w:rsidP="002D015D">
            <w:pPr>
              <w:overflowPunct w:val="0"/>
              <w:adjustRightInd w:val="0"/>
              <w:spacing w:before="100" w:after="100" w:line="240" w:lineRule="atLeast"/>
              <w:ind w:left="538" w:right="113"/>
              <w:textAlignment w:val="baseline"/>
              <w:rPr>
                <w:sz w:val="18"/>
                <w:szCs w:val="20"/>
                <w:lang w:val="cs-CZ"/>
              </w:rPr>
            </w:pPr>
            <w:r w:rsidRPr="003B6E11">
              <w:rPr>
                <w:sz w:val="18"/>
                <w:lang w:val="cs-CZ"/>
              </w:rPr>
              <w:t>3.</w:t>
            </w:r>
            <w:r w:rsidRPr="003B6E11">
              <w:rPr>
                <w:lang w:val="cs-CZ"/>
              </w:rPr>
              <w:tab/>
            </w:r>
            <w:r w:rsidRPr="003B6E11">
              <w:rPr>
                <w:noProof/>
                <w:sz w:val="18"/>
                <w:lang w:val="cs-CZ"/>
              </w:rPr>
              <w:t>Pool 1 (hol)</w:t>
            </w:r>
          </w:p>
        </w:tc>
        <w:tc>
          <w:tcPr>
            <w:tcW w:w="2778" w:type="dxa"/>
            <w:tcBorders>
              <w:top w:val="single" w:sz="6" w:space="0" w:color="auto"/>
              <w:left w:val="single" w:sz="6" w:space="0" w:color="auto"/>
              <w:bottom w:val="nil"/>
              <w:right w:val="nil"/>
            </w:tcBorders>
            <w:vAlign w:val="center"/>
          </w:tcPr>
          <w:p w:rsidR="003B6E11" w:rsidRPr="003B6E11" w:rsidRDefault="003B6E11" w:rsidP="002D015D">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lang w:val="cs-CZ"/>
              </w:rPr>
            </w:pPr>
            <w:r w:rsidRPr="003B6E11">
              <w:rPr>
                <w:sz w:val="18"/>
                <w:lang w:val="cs-CZ"/>
              </w:rPr>
              <w:t>35 %</w:t>
            </w:r>
          </w:p>
        </w:tc>
        <w:tc>
          <w:tcPr>
            <w:tcW w:w="2552" w:type="dxa"/>
            <w:tcBorders>
              <w:top w:val="single" w:sz="6" w:space="0" w:color="auto"/>
              <w:left w:val="single" w:sz="6" w:space="0" w:color="auto"/>
              <w:bottom w:val="nil"/>
              <w:right w:val="single" w:sz="6" w:space="0" w:color="auto"/>
            </w:tcBorders>
            <w:vAlign w:val="center"/>
          </w:tcPr>
          <w:p w:rsidR="003B6E11" w:rsidRPr="003B6E11" w:rsidRDefault="003B6E11" w:rsidP="002D015D">
            <w:pPr>
              <w:spacing w:before="100" w:after="100" w:line="240" w:lineRule="atLeast"/>
              <w:ind w:left="516" w:right="113" w:hanging="403"/>
              <w:jc w:val="center"/>
              <w:rPr>
                <w:noProof/>
                <w:sz w:val="18"/>
                <w:lang w:val="cs-CZ"/>
              </w:rPr>
            </w:pPr>
            <w:r w:rsidRPr="003B6E11">
              <w:rPr>
                <w:noProof/>
                <w:sz w:val="18"/>
                <w:lang w:val="cs-CZ"/>
              </w:rPr>
              <w:t xml:space="preserve">Německo </w:t>
            </w:r>
          </w:p>
        </w:tc>
      </w:tr>
      <w:tr w:rsidR="003B6E11" w:rsidRPr="003B6E11" w:rsidTr="002D015D">
        <w:trPr>
          <w:jc w:val="center"/>
        </w:trPr>
        <w:tc>
          <w:tcPr>
            <w:tcW w:w="2948" w:type="dxa"/>
            <w:tcBorders>
              <w:top w:val="single" w:sz="6" w:space="0" w:color="auto"/>
              <w:left w:val="single" w:sz="6" w:space="0" w:color="auto"/>
              <w:bottom w:val="nil"/>
              <w:right w:val="nil"/>
            </w:tcBorders>
            <w:vAlign w:val="center"/>
          </w:tcPr>
          <w:p w:rsidR="003B6E11" w:rsidRPr="003B6E11" w:rsidRDefault="003B6E11" w:rsidP="002D015D">
            <w:pPr>
              <w:overflowPunct w:val="0"/>
              <w:adjustRightInd w:val="0"/>
              <w:spacing w:before="100" w:after="100" w:line="240" w:lineRule="atLeast"/>
              <w:ind w:left="538" w:right="113"/>
              <w:textAlignment w:val="baseline"/>
              <w:rPr>
                <w:sz w:val="18"/>
                <w:szCs w:val="20"/>
                <w:lang w:val="cs-CZ"/>
              </w:rPr>
            </w:pPr>
            <w:r w:rsidRPr="003B6E11">
              <w:rPr>
                <w:sz w:val="18"/>
                <w:lang w:val="cs-CZ"/>
              </w:rPr>
              <w:t>4.</w:t>
            </w:r>
            <w:r w:rsidRPr="003B6E11">
              <w:rPr>
                <w:lang w:val="cs-CZ"/>
              </w:rPr>
              <w:tab/>
            </w:r>
            <w:r w:rsidRPr="003B6E11">
              <w:rPr>
                <w:noProof/>
                <w:sz w:val="18"/>
                <w:lang w:val="cs-CZ"/>
              </w:rPr>
              <w:t>Pool 2 (massief)</w:t>
            </w:r>
          </w:p>
        </w:tc>
        <w:tc>
          <w:tcPr>
            <w:tcW w:w="2778" w:type="dxa"/>
            <w:tcBorders>
              <w:top w:val="single" w:sz="6" w:space="0" w:color="auto"/>
              <w:left w:val="single" w:sz="6" w:space="0" w:color="auto"/>
              <w:bottom w:val="nil"/>
              <w:right w:val="nil"/>
            </w:tcBorders>
            <w:vAlign w:val="center"/>
          </w:tcPr>
          <w:p w:rsidR="003B6E11" w:rsidRPr="003B6E11" w:rsidRDefault="003B6E11" w:rsidP="002D015D">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lang w:val="cs-CZ"/>
              </w:rPr>
            </w:pPr>
            <w:r w:rsidRPr="003B6E11">
              <w:rPr>
                <w:sz w:val="18"/>
                <w:lang w:val="cs-CZ"/>
              </w:rPr>
              <w:t>40 %</w:t>
            </w:r>
          </w:p>
        </w:tc>
        <w:tc>
          <w:tcPr>
            <w:tcW w:w="2552" w:type="dxa"/>
            <w:tcBorders>
              <w:top w:val="single" w:sz="6" w:space="0" w:color="auto"/>
              <w:left w:val="single" w:sz="6" w:space="0" w:color="auto"/>
              <w:bottom w:val="nil"/>
              <w:right w:val="single" w:sz="6" w:space="0" w:color="auto"/>
            </w:tcBorders>
            <w:vAlign w:val="center"/>
          </w:tcPr>
          <w:p w:rsidR="003B6E11" w:rsidRPr="003B6E11" w:rsidRDefault="003B6E11" w:rsidP="002D015D">
            <w:pPr>
              <w:spacing w:before="100" w:after="100" w:line="240" w:lineRule="atLeast"/>
              <w:ind w:left="516" w:right="113" w:hanging="403"/>
              <w:jc w:val="center"/>
              <w:rPr>
                <w:noProof/>
                <w:sz w:val="18"/>
                <w:lang w:val="cs-CZ"/>
              </w:rPr>
            </w:pPr>
            <w:r w:rsidRPr="003B6E11">
              <w:rPr>
                <w:noProof/>
                <w:sz w:val="18"/>
                <w:lang w:val="cs-CZ"/>
              </w:rPr>
              <w:t xml:space="preserve">Německo </w:t>
            </w:r>
          </w:p>
        </w:tc>
      </w:tr>
      <w:tr w:rsidR="003B6E11" w:rsidRPr="003B6E11" w:rsidTr="002D015D">
        <w:trPr>
          <w:jc w:val="center"/>
        </w:trPr>
        <w:tc>
          <w:tcPr>
            <w:tcW w:w="2948" w:type="dxa"/>
            <w:tcBorders>
              <w:top w:val="single" w:sz="6" w:space="0" w:color="auto"/>
              <w:left w:val="single" w:sz="6" w:space="0" w:color="auto"/>
              <w:bottom w:val="nil"/>
              <w:right w:val="nil"/>
            </w:tcBorders>
            <w:vAlign w:val="center"/>
          </w:tcPr>
          <w:p w:rsidR="003B6E11" w:rsidRPr="003B6E11" w:rsidRDefault="003B6E11" w:rsidP="002D015D">
            <w:pPr>
              <w:overflowPunct w:val="0"/>
              <w:adjustRightInd w:val="0"/>
              <w:spacing w:before="100" w:after="100" w:line="240" w:lineRule="atLeast"/>
              <w:ind w:left="538" w:right="113"/>
              <w:textAlignment w:val="baseline"/>
              <w:rPr>
                <w:sz w:val="18"/>
                <w:szCs w:val="20"/>
                <w:lang w:val="cs-CZ"/>
              </w:rPr>
            </w:pPr>
            <w:r w:rsidRPr="003B6E11">
              <w:rPr>
                <w:sz w:val="18"/>
                <w:lang w:val="cs-CZ"/>
              </w:rPr>
              <w:t>5.</w:t>
            </w:r>
            <w:r w:rsidRPr="003B6E11">
              <w:rPr>
                <w:lang w:val="cs-CZ"/>
              </w:rPr>
              <w:tab/>
            </w:r>
            <w:r w:rsidRPr="003B6E11">
              <w:rPr>
                <w:noProof/>
                <w:sz w:val="18"/>
                <w:lang w:val="cs-CZ"/>
              </w:rPr>
              <w:t>De Biesbosch-Danforth</w:t>
            </w:r>
          </w:p>
        </w:tc>
        <w:tc>
          <w:tcPr>
            <w:tcW w:w="2778" w:type="dxa"/>
            <w:tcBorders>
              <w:top w:val="single" w:sz="6" w:space="0" w:color="auto"/>
              <w:left w:val="single" w:sz="6" w:space="0" w:color="auto"/>
              <w:bottom w:val="nil"/>
              <w:right w:val="nil"/>
            </w:tcBorders>
            <w:vAlign w:val="center"/>
          </w:tcPr>
          <w:p w:rsidR="003B6E11" w:rsidRPr="003B6E11" w:rsidRDefault="003B6E11" w:rsidP="002D015D">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lang w:val="cs-CZ"/>
              </w:rPr>
            </w:pPr>
            <w:r w:rsidRPr="003B6E11">
              <w:rPr>
                <w:sz w:val="18"/>
                <w:lang w:val="cs-CZ"/>
              </w:rPr>
              <w:t>50 %</w:t>
            </w:r>
          </w:p>
        </w:tc>
        <w:tc>
          <w:tcPr>
            <w:tcW w:w="2552" w:type="dxa"/>
            <w:tcBorders>
              <w:top w:val="single" w:sz="6" w:space="0" w:color="auto"/>
              <w:left w:val="single" w:sz="6" w:space="0" w:color="auto"/>
              <w:bottom w:val="nil"/>
              <w:right w:val="single" w:sz="6" w:space="0" w:color="auto"/>
            </w:tcBorders>
            <w:vAlign w:val="center"/>
          </w:tcPr>
          <w:p w:rsidR="003B6E11" w:rsidRPr="003B6E11" w:rsidRDefault="003B6E11" w:rsidP="002D015D">
            <w:pPr>
              <w:spacing w:before="100" w:after="100" w:line="240" w:lineRule="atLeast"/>
              <w:ind w:left="516" w:right="113" w:hanging="403"/>
              <w:jc w:val="center"/>
              <w:rPr>
                <w:noProof/>
                <w:sz w:val="18"/>
                <w:lang w:val="cs-CZ"/>
              </w:rPr>
            </w:pPr>
            <w:r w:rsidRPr="003B6E11">
              <w:rPr>
                <w:noProof/>
                <w:sz w:val="18"/>
                <w:lang w:val="cs-CZ"/>
              </w:rPr>
              <w:t xml:space="preserve">Německo </w:t>
            </w:r>
          </w:p>
        </w:tc>
      </w:tr>
      <w:tr w:rsidR="003B6E11" w:rsidRPr="003B6E11" w:rsidTr="002D015D">
        <w:trPr>
          <w:jc w:val="center"/>
        </w:trPr>
        <w:tc>
          <w:tcPr>
            <w:tcW w:w="2948" w:type="dxa"/>
            <w:tcBorders>
              <w:top w:val="single" w:sz="6" w:space="0" w:color="auto"/>
              <w:left w:val="single" w:sz="6" w:space="0" w:color="auto"/>
              <w:bottom w:val="nil"/>
              <w:right w:val="nil"/>
            </w:tcBorders>
            <w:vAlign w:val="center"/>
          </w:tcPr>
          <w:p w:rsidR="003B6E11" w:rsidRPr="003B6E11" w:rsidRDefault="003B6E11" w:rsidP="002D015D">
            <w:pPr>
              <w:overflowPunct w:val="0"/>
              <w:adjustRightInd w:val="0"/>
              <w:spacing w:before="100" w:after="100" w:line="240" w:lineRule="atLeast"/>
              <w:ind w:left="538" w:right="113"/>
              <w:textAlignment w:val="baseline"/>
              <w:rPr>
                <w:sz w:val="18"/>
                <w:szCs w:val="20"/>
                <w:lang w:val="cs-CZ"/>
              </w:rPr>
            </w:pPr>
            <w:r w:rsidRPr="003B6E11">
              <w:rPr>
                <w:sz w:val="18"/>
                <w:lang w:val="cs-CZ"/>
              </w:rPr>
              <w:t>6.</w:t>
            </w:r>
            <w:r w:rsidRPr="003B6E11">
              <w:rPr>
                <w:lang w:val="cs-CZ"/>
              </w:rPr>
              <w:tab/>
            </w:r>
            <w:r w:rsidRPr="003B6E11">
              <w:rPr>
                <w:noProof/>
                <w:sz w:val="18"/>
                <w:lang w:val="cs-CZ"/>
              </w:rPr>
              <w:t>Vicinay-Danforth</w:t>
            </w:r>
          </w:p>
        </w:tc>
        <w:tc>
          <w:tcPr>
            <w:tcW w:w="2778" w:type="dxa"/>
            <w:tcBorders>
              <w:top w:val="single" w:sz="6" w:space="0" w:color="auto"/>
              <w:left w:val="single" w:sz="6" w:space="0" w:color="auto"/>
              <w:bottom w:val="nil"/>
              <w:right w:val="nil"/>
            </w:tcBorders>
            <w:vAlign w:val="center"/>
          </w:tcPr>
          <w:p w:rsidR="003B6E11" w:rsidRPr="003B6E11" w:rsidRDefault="003B6E11" w:rsidP="002D015D">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lang w:val="cs-CZ"/>
              </w:rPr>
            </w:pPr>
            <w:r w:rsidRPr="003B6E11">
              <w:rPr>
                <w:sz w:val="18"/>
                <w:lang w:val="cs-CZ"/>
              </w:rPr>
              <w:t>50 %</w:t>
            </w:r>
          </w:p>
        </w:tc>
        <w:tc>
          <w:tcPr>
            <w:tcW w:w="2552" w:type="dxa"/>
            <w:tcBorders>
              <w:top w:val="single" w:sz="6" w:space="0" w:color="auto"/>
              <w:left w:val="single" w:sz="6" w:space="0" w:color="auto"/>
              <w:bottom w:val="nil"/>
              <w:right w:val="single" w:sz="6" w:space="0" w:color="auto"/>
            </w:tcBorders>
            <w:vAlign w:val="center"/>
          </w:tcPr>
          <w:p w:rsidR="003B6E11" w:rsidRPr="003B6E11" w:rsidRDefault="003B6E11" w:rsidP="002D015D">
            <w:pPr>
              <w:spacing w:before="100" w:after="100" w:line="240" w:lineRule="atLeast"/>
              <w:ind w:left="516" w:right="113" w:hanging="403"/>
              <w:jc w:val="center"/>
              <w:rPr>
                <w:noProof/>
                <w:sz w:val="18"/>
                <w:lang w:val="cs-CZ"/>
              </w:rPr>
            </w:pPr>
            <w:r w:rsidRPr="003B6E11">
              <w:rPr>
                <w:noProof/>
                <w:sz w:val="18"/>
                <w:lang w:val="cs-CZ"/>
              </w:rPr>
              <w:t xml:space="preserve">Francie </w:t>
            </w:r>
          </w:p>
        </w:tc>
      </w:tr>
      <w:tr w:rsidR="003B6E11" w:rsidRPr="003B6E11" w:rsidTr="002D015D">
        <w:trPr>
          <w:jc w:val="center"/>
        </w:trPr>
        <w:tc>
          <w:tcPr>
            <w:tcW w:w="2948" w:type="dxa"/>
            <w:tcBorders>
              <w:top w:val="single" w:sz="6" w:space="0" w:color="auto"/>
              <w:left w:val="single" w:sz="6" w:space="0" w:color="auto"/>
              <w:bottom w:val="nil"/>
              <w:right w:val="nil"/>
            </w:tcBorders>
            <w:vAlign w:val="center"/>
          </w:tcPr>
          <w:p w:rsidR="003B6E11" w:rsidRPr="003B6E11" w:rsidRDefault="003B6E11" w:rsidP="002D015D">
            <w:pPr>
              <w:overflowPunct w:val="0"/>
              <w:adjustRightInd w:val="0"/>
              <w:spacing w:before="100" w:after="100" w:line="240" w:lineRule="atLeast"/>
              <w:ind w:left="538" w:right="113"/>
              <w:textAlignment w:val="baseline"/>
              <w:rPr>
                <w:sz w:val="18"/>
                <w:szCs w:val="20"/>
                <w:lang w:val="cs-CZ"/>
              </w:rPr>
            </w:pPr>
            <w:r w:rsidRPr="003B6E11">
              <w:rPr>
                <w:sz w:val="18"/>
                <w:lang w:val="cs-CZ"/>
              </w:rPr>
              <w:t>7.</w:t>
            </w:r>
            <w:r w:rsidRPr="003B6E11">
              <w:rPr>
                <w:lang w:val="cs-CZ"/>
              </w:rPr>
              <w:tab/>
            </w:r>
            <w:r w:rsidRPr="003B6E11">
              <w:rPr>
                <w:noProof/>
                <w:sz w:val="18"/>
                <w:lang w:val="cs-CZ"/>
              </w:rPr>
              <w:t>Vicinay AC 14</w:t>
            </w:r>
          </w:p>
        </w:tc>
        <w:tc>
          <w:tcPr>
            <w:tcW w:w="2778" w:type="dxa"/>
            <w:tcBorders>
              <w:top w:val="single" w:sz="6" w:space="0" w:color="auto"/>
              <w:left w:val="single" w:sz="6" w:space="0" w:color="auto"/>
              <w:bottom w:val="nil"/>
              <w:right w:val="nil"/>
            </w:tcBorders>
            <w:vAlign w:val="center"/>
          </w:tcPr>
          <w:p w:rsidR="003B6E11" w:rsidRPr="003B6E11" w:rsidRDefault="003B6E11" w:rsidP="002D015D">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lang w:val="cs-CZ"/>
              </w:rPr>
            </w:pPr>
            <w:r w:rsidRPr="003B6E11">
              <w:rPr>
                <w:sz w:val="18"/>
                <w:lang w:val="cs-CZ"/>
              </w:rPr>
              <w:t>25 %</w:t>
            </w:r>
          </w:p>
        </w:tc>
        <w:tc>
          <w:tcPr>
            <w:tcW w:w="2552" w:type="dxa"/>
            <w:tcBorders>
              <w:top w:val="single" w:sz="6" w:space="0" w:color="auto"/>
              <w:left w:val="single" w:sz="6" w:space="0" w:color="auto"/>
              <w:bottom w:val="nil"/>
              <w:right w:val="single" w:sz="6" w:space="0" w:color="auto"/>
            </w:tcBorders>
            <w:vAlign w:val="center"/>
          </w:tcPr>
          <w:p w:rsidR="003B6E11" w:rsidRPr="003B6E11" w:rsidRDefault="003B6E11" w:rsidP="002D015D">
            <w:pPr>
              <w:spacing w:before="100" w:after="100" w:line="240" w:lineRule="atLeast"/>
              <w:ind w:left="516" w:right="113" w:hanging="403"/>
              <w:jc w:val="center"/>
              <w:rPr>
                <w:noProof/>
                <w:sz w:val="18"/>
                <w:lang w:val="cs-CZ"/>
              </w:rPr>
            </w:pPr>
            <w:r w:rsidRPr="003B6E11">
              <w:rPr>
                <w:noProof/>
                <w:sz w:val="18"/>
                <w:lang w:val="cs-CZ"/>
              </w:rPr>
              <w:t>Francie</w:t>
            </w:r>
          </w:p>
        </w:tc>
      </w:tr>
      <w:tr w:rsidR="003B6E11" w:rsidRPr="003B6E11" w:rsidTr="002D015D">
        <w:trPr>
          <w:jc w:val="center"/>
        </w:trPr>
        <w:tc>
          <w:tcPr>
            <w:tcW w:w="2948" w:type="dxa"/>
            <w:tcBorders>
              <w:top w:val="single" w:sz="6" w:space="0" w:color="auto"/>
              <w:left w:val="single" w:sz="6" w:space="0" w:color="auto"/>
              <w:bottom w:val="nil"/>
              <w:right w:val="nil"/>
            </w:tcBorders>
            <w:vAlign w:val="center"/>
          </w:tcPr>
          <w:p w:rsidR="003B6E11" w:rsidRPr="003B6E11" w:rsidRDefault="003B6E11" w:rsidP="002D015D">
            <w:pPr>
              <w:overflowPunct w:val="0"/>
              <w:adjustRightInd w:val="0"/>
              <w:spacing w:before="100" w:after="100" w:line="240" w:lineRule="atLeast"/>
              <w:ind w:left="538" w:right="113"/>
              <w:textAlignment w:val="baseline"/>
              <w:rPr>
                <w:sz w:val="18"/>
                <w:szCs w:val="20"/>
                <w:lang w:val="cs-CZ"/>
              </w:rPr>
            </w:pPr>
            <w:r w:rsidRPr="003B6E11">
              <w:rPr>
                <w:sz w:val="18"/>
                <w:lang w:val="cs-CZ"/>
              </w:rPr>
              <w:t>8.</w:t>
            </w:r>
            <w:r w:rsidRPr="003B6E11">
              <w:rPr>
                <w:lang w:val="cs-CZ"/>
              </w:rPr>
              <w:tab/>
            </w:r>
            <w:r w:rsidRPr="003B6E11">
              <w:rPr>
                <w:noProof/>
                <w:sz w:val="18"/>
                <w:lang w:val="cs-CZ"/>
              </w:rPr>
              <w:t>Vicinay typ 1</w:t>
            </w:r>
          </w:p>
        </w:tc>
        <w:tc>
          <w:tcPr>
            <w:tcW w:w="2778" w:type="dxa"/>
            <w:tcBorders>
              <w:top w:val="single" w:sz="6" w:space="0" w:color="auto"/>
              <w:left w:val="single" w:sz="6" w:space="0" w:color="auto"/>
              <w:bottom w:val="nil"/>
              <w:right w:val="nil"/>
            </w:tcBorders>
            <w:vAlign w:val="center"/>
          </w:tcPr>
          <w:p w:rsidR="003B6E11" w:rsidRPr="003B6E11" w:rsidRDefault="003B6E11" w:rsidP="002D015D">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lang w:val="cs-CZ"/>
              </w:rPr>
            </w:pPr>
            <w:r w:rsidRPr="003B6E11">
              <w:rPr>
                <w:sz w:val="18"/>
                <w:lang w:val="cs-CZ"/>
              </w:rPr>
              <w:t>45 %</w:t>
            </w:r>
          </w:p>
        </w:tc>
        <w:tc>
          <w:tcPr>
            <w:tcW w:w="2552" w:type="dxa"/>
            <w:tcBorders>
              <w:top w:val="single" w:sz="6" w:space="0" w:color="auto"/>
              <w:left w:val="single" w:sz="6" w:space="0" w:color="auto"/>
              <w:bottom w:val="nil"/>
              <w:right w:val="single" w:sz="6" w:space="0" w:color="auto"/>
            </w:tcBorders>
            <w:vAlign w:val="center"/>
          </w:tcPr>
          <w:p w:rsidR="003B6E11" w:rsidRPr="003B6E11" w:rsidRDefault="003B6E11" w:rsidP="002D015D">
            <w:pPr>
              <w:spacing w:before="100" w:after="100" w:line="240" w:lineRule="atLeast"/>
              <w:ind w:left="516" w:right="113" w:hanging="403"/>
              <w:jc w:val="center"/>
              <w:rPr>
                <w:noProof/>
                <w:sz w:val="18"/>
                <w:lang w:val="cs-CZ"/>
              </w:rPr>
            </w:pPr>
            <w:r w:rsidRPr="003B6E11">
              <w:rPr>
                <w:noProof/>
                <w:sz w:val="18"/>
                <w:lang w:val="cs-CZ"/>
              </w:rPr>
              <w:t>Francie</w:t>
            </w:r>
          </w:p>
        </w:tc>
      </w:tr>
      <w:tr w:rsidR="003B6E11" w:rsidRPr="003B6E11" w:rsidTr="002D015D">
        <w:trPr>
          <w:jc w:val="center"/>
        </w:trPr>
        <w:tc>
          <w:tcPr>
            <w:tcW w:w="2948" w:type="dxa"/>
            <w:tcBorders>
              <w:top w:val="single" w:sz="6" w:space="0" w:color="auto"/>
              <w:left w:val="single" w:sz="6" w:space="0" w:color="auto"/>
              <w:bottom w:val="nil"/>
              <w:right w:val="nil"/>
            </w:tcBorders>
            <w:vAlign w:val="center"/>
          </w:tcPr>
          <w:p w:rsidR="003B6E11" w:rsidRPr="003B6E11" w:rsidRDefault="003B6E11" w:rsidP="002D015D">
            <w:pPr>
              <w:overflowPunct w:val="0"/>
              <w:adjustRightInd w:val="0"/>
              <w:spacing w:before="100" w:after="100" w:line="240" w:lineRule="atLeast"/>
              <w:ind w:left="538" w:right="113"/>
              <w:textAlignment w:val="baseline"/>
              <w:rPr>
                <w:sz w:val="18"/>
                <w:szCs w:val="20"/>
                <w:lang w:val="cs-CZ"/>
              </w:rPr>
            </w:pPr>
            <w:r w:rsidRPr="003B6E11">
              <w:rPr>
                <w:sz w:val="18"/>
                <w:lang w:val="cs-CZ"/>
              </w:rPr>
              <w:t>9.</w:t>
            </w:r>
            <w:r w:rsidRPr="003B6E11">
              <w:rPr>
                <w:lang w:val="cs-CZ"/>
              </w:rPr>
              <w:tab/>
            </w:r>
            <w:r w:rsidRPr="003B6E11">
              <w:rPr>
                <w:noProof/>
                <w:sz w:val="18"/>
                <w:lang w:val="cs-CZ"/>
              </w:rPr>
              <w:t>Vicinay typ 2</w:t>
            </w:r>
          </w:p>
        </w:tc>
        <w:tc>
          <w:tcPr>
            <w:tcW w:w="2778" w:type="dxa"/>
            <w:tcBorders>
              <w:top w:val="single" w:sz="6" w:space="0" w:color="auto"/>
              <w:left w:val="single" w:sz="6" w:space="0" w:color="auto"/>
              <w:bottom w:val="nil"/>
              <w:right w:val="nil"/>
            </w:tcBorders>
            <w:vAlign w:val="center"/>
          </w:tcPr>
          <w:p w:rsidR="003B6E11" w:rsidRPr="003B6E11" w:rsidRDefault="003B6E11" w:rsidP="002D015D">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lang w:val="cs-CZ"/>
              </w:rPr>
            </w:pPr>
            <w:r w:rsidRPr="003B6E11">
              <w:rPr>
                <w:sz w:val="18"/>
                <w:lang w:val="cs-CZ"/>
              </w:rPr>
              <w:t>45 %</w:t>
            </w:r>
          </w:p>
        </w:tc>
        <w:tc>
          <w:tcPr>
            <w:tcW w:w="2552" w:type="dxa"/>
            <w:tcBorders>
              <w:top w:val="single" w:sz="6" w:space="0" w:color="auto"/>
              <w:left w:val="single" w:sz="6" w:space="0" w:color="auto"/>
              <w:bottom w:val="nil"/>
              <w:right w:val="single" w:sz="6" w:space="0" w:color="auto"/>
            </w:tcBorders>
            <w:vAlign w:val="center"/>
          </w:tcPr>
          <w:p w:rsidR="003B6E11" w:rsidRPr="003B6E11" w:rsidRDefault="003B6E11" w:rsidP="002D015D">
            <w:pPr>
              <w:spacing w:before="100" w:after="100" w:line="240" w:lineRule="atLeast"/>
              <w:ind w:left="516" w:right="113" w:hanging="403"/>
              <w:jc w:val="center"/>
              <w:rPr>
                <w:noProof/>
                <w:sz w:val="18"/>
                <w:lang w:val="cs-CZ"/>
              </w:rPr>
            </w:pPr>
            <w:r w:rsidRPr="003B6E11">
              <w:rPr>
                <w:noProof/>
                <w:sz w:val="18"/>
                <w:lang w:val="cs-CZ"/>
              </w:rPr>
              <w:t>Francie</w:t>
            </w:r>
          </w:p>
        </w:tc>
      </w:tr>
      <w:tr w:rsidR="003B6E11" w:rsidRPr="003B6E11" w:rsidTr="002D015D">
        <w:trPr>
          <w:jc w:val="center"/>
        </w:trPr>
        <w:tc>
          <w:tcPr>
            <w:tcW w:w="2948" w:type="dxa"/>
            <w:tcBorders>
              <w:top w:val="single" w:sz="6" w:space="0" w:color="auto"/>
              <w:left w:val="single" w:sz="6" w:space="0" w:color="auto"/>
              <w:bottom w:val="nil"/>
              <w:right w:val="nil"/>
            </w:tcBorders>
            <w:vAlign w:val="center"/>
          </w:tcPr>
          <w:p w:rsidR="003B6E11" w:rsidRPr="003B6E11" w:rsidRDefault="003B6E11" w:rsidP="002D015D">
            <w:pPr>
              <w:overflowPunct w:val="0"/>
              <w:adjustRightInd w:val="0"/>
              <w:spacing w:before="100" w:after="100" w:line="240" w:lineRule="atLeast"/>
              <w:ind w:left="539" w:right="113" w:hanging="482"/>
              <w:textAlignment w:val="baseline"/>
              <w:rPr>
                <w:sz w:val="18"/>
                <w:szCs w:val="20"/>
                <w:lang w:val="cs-CZ"/>
              </w:rPr>
            </w:pPr>
            <w:r w:rsidRPr="003B6E11">
              <w:rPr>
                <w:sz w:val="18"/>
                <w:lang w:val="cs-CZ"/>
              </w:rPr>
              <w:t>10.</w:t>
            </w:r>
            <w:r w:rsidRPr="003B6E11">
              <w:rPr>
                <w:lang w:val="cs-CZ"/>
              </w:rPr>
              <w:tab/>
            </w:r>
            <w:r w:rsidRPr="003B6E11">
              <w:rPr>
                <w:noProof/>
                <w:sz w:val="18"/>
                <w:lang w:val="cs-CZ"/>
              </w:rPr>
              <w:t>Vicinay typ 3</w:t>
            </w:r>
          </w:p>
        </w:tc>
        <w:tc>
          <w:tcPr>
            <w:tcW w:w="2778" w:type="dxa"/>
            <w:tcBorders>
              <w:top w:val="single" w:sz="6" w:space="0" w:color="auto"/>
              <w:left w:val="single" w:sz="6" w:space="0" w:color="auto"/>
              <w:bottom w:val="nil"/>
              <w:right w:val="nil"/>
            </w:tcBorders>
            <w:vAlign w:val="center"/>
          </w:tcPr>
          <w:p w:rsidR="003B6E11" w:rsidRPr="003B6E11" w:rsidRDefault="003B6E11" w:rsidP="002D015D">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lang w:val="cs-CZ"/>
              </w:rPr>
            </w:pPr>
            <w:r w:rsidRPr="003B6E11">
              <w:rPr>
                <w:sz w:val="18"/>
                <w:lang w:val="cs-CZ"/>
              </w:rPr>
              <w:t>40 %</w:t>
            </w:r>
          </w:p>
        </w:tc>
        <w:tc>
          <w:tcPr>
            <w:tcW w:w="2552" w:type="dxa"/>
            <w:tcBorders>
              <w:top w:val="single" w:sz="6" w:space="0" w:color="auto"/>
              <w:left w:val="single" w:sz="6" w:space="0" w:color="auto"/>
              <w:bottom w:val="nil"/>
              <w:right w:val="single" w:sz="6" w:space="0" w:color="auto"/>
            </w:tcBorders>
            <w:vAlign w:val="center"/>
          </w:tcPr>
          <w:p w:rsidR="003B6E11" w:rsidRPr="003B6E11" w:rsidRDefault="003B6E11" w:rsidP="002D015D">
            <w:pPr>
              <w:spacing w:before="100" w:after="100" w:line="240" w:lineRule="atLeast"/>
              <w:ind w:left="516" w:right="113" w:hanging="403"/>
              <w:jc w:val="center"/>
              <w:rPr>
                <w:noProof/>
                <w:sz w:val="18"/>
                <w:lang w:val="cs-CZ"/>
              </w:rPr>
            </w:pPr>
            <w:r w:rsidRPr="003B6E11">
              <w:rPr>
                <w:noProof/>
                <w:sz w:val="18"/>
                <w:lang w:val="cs-CZ"/>
              </w:rPr>
              <w:t>Francie</w:t>
            </w:r>
          </w:p>
        </w:tc>
      </w:tr>
      <w:tr w:rsidR="003B6E11" w:rsidRPr="003B6E11" w:rsidTr="002D015D">
        <w:trPr>
          <w:jc w:val="center"/>
        </w:trPr>
        <w:tc>
          <w:tcPr>
            <w:tcW w:w="2948" w:type="dxa"/>
            <w:tcBorders>
              <w:top w:val="single" w:sz="6" w:space="0" w:color="auto"/>
              <w:left w:val="single" w:sz="6" w:space="0" w:color="auto"/>
              <w:bottom w:val="nil"/>
              <w:right w:val="nil"/>
            </w:tcBorders>
            <w:vAlign w:val="center"/>
          </w:tcPr>
          <w:p w:rsidR="003B6E11" w:rsidRPr="003B6E11" w:rsidRDefault="003B6E11" w:rsidP="002D015D">
            <w:pPr>
              <w:overflowPunct w:val="0"/>
              <w:adjustRightInd w:val="0"/>
              <w:spacing w:before="100" w:after="100" w:line="240" w:lineRule="atLeast"/>
              <w:ind w:left="539" w:right="113" w:hanging="482"/>
              <w:textAlignment w:val="baseline"/>
              <w:rPr>
                <w:sz w:val="18"/>
                <w:szCs w:val="20"/>
                <w:lang w:val="cs-CZ"/>
              </w:rPr>
            </w:pPr>
            <w:r w:rsidRPr="003B6E11">
              <w:rPr>
                <w:sz w:val="18"/>
                <w:lang w:val="cs-CZ"/>
              </w:rPr>
              <w:t>11.</w:t>
            </w:r>
            <w:r w:rsidRPr="003B6E11">
              <w:rPr>
                <w:lang w:val="cs-CZ"/>
              </w:rPr>
              <w:tab/>
            </w:r>
            <w:r w:rsidRPr="003B6E11">
              <w:rPr>
                <w:noProof/>
                <w:sz w:val="18"/>
                <w:lang w:val="cs-CZ"/>
              </w:rPr>
              <w:t>Stockes</w:t>
            </w:r>
          </w:p>
        </w:tc>
        <w:tc>
          <w:tcPr>
            <w:tcW w:w="2778" w:type="dxa"/>
            <w:tcBorders>
              <w:top w:val="single" w:sz="6" w:space="0" w:color="auto"/>
              <w:left w:val="single" w:sz="6" w:space="0" w:color="auto"/>
              <w:bottom w:val="nil"/>
              <w:right w:val="nil"/>
            </w:tcBorders>
            <w:vAlign w:val="center"/>
          </w:tcPr>
          <w:p w:rsidR="003B6E11" w:rsidRPr="003B6E11" w:rsidRDefault="003B6E11" w:rsidP="002D015D">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lang w:val="cs-CZ"/>
              </w:rPr>
            </w:pPr>
            <w:r w:rsidRPr="003B6E11">
              <w:rPr>
                <w:sz w:val="18"/>
                <w:lang w:val="cs-CZ"/>
              </w:rPr>
              <w:t>35 %</w:t>
            </w:r>
          </w:p>
        </w:tc>
        <w:tc>
          <w:tcPr>
            <w:tcW w:w="2552" w:type="dxa"/>
            <w:tcBorders>
              <w:top w:val="single" w:sz="6" w:space="0" w:color="auto"/>
              <w:left w:val="single" w:sz="6" w:space="0" w:color="auto"/>
              <w:bottom w:val="nil"/>
              <w:right w:val="single" w:sz="6" w:space="0" w:color="auto"/>
            </w:tcBorders>
            <w:vAlign w:val="center"/>
          </w:tcPr>
          <w:p w:rsidR="003B6E11" w:rsidRPr="003B6E11" w:rsidRDefault="003B6E11" w:rsidP="002D015D">
            <w:pPr>
              <w:spacing w:before="100" w:after="100" w:line="240" w:lineRule="atLeast"/>
              <w:ind w:left="516" w:right="113" w:hanging="403"/>
              <w:jc w:val="center"/>
              <w:rPr>
                <w:noProof/>
                <w:sz w:val="18"/>
                <w:lang w:val="cs-CZ"/>
              </w:rPr>
            </w:pPr>
            <w:r w:rsidRPr="003B6E11">
              <w:rPr>
                <w:noProof/>
                <w:sz w:val="18"/>
                <w:lang w:val="cs-CZ"/>
              </w:rPr>
              <w:t>Francie</w:t>
            </w:r>
          </w:p>
        </w:tc>
      </w:tr>
      <w:tr w:rsidR="003B6E11" w:rsidRPr="003B6E11" w:rsidTr="002D015D">
        <w:trPr>
          <w:jc w:val="center"/>
        </w:trPr>
        <w:tc>
          <w:tcPr>
            <w:tcW w:w="2948" w:type="dxa"/>
            <w:tcBorders>
              <w:top w:val="single" w:sz="6" w:space="0" w:color="auto"/>
              <w:left w:val="single" w:sz="6" w:space="0" w:color="auto"/>
              <w:bottom w:val="single" w:sz="4" w:space="0" w:color="auto"/>
              <w:right w:val="nil"/>
            </w:tcBorders>
            <w:vAlign w:val="center"/>
          </w:tcPr>
          <w:p w:rsidR="003B6E11" w:rsidRPr="003B6E11" w:rsidRDefault="003B6E11" w:rsidP="002D015D">
            <w:pPr>
              <w:overflowPunct w:val="0"/>
              <w:adjustRightInd w:val="0"/>
              <w:spacing w:before="100" w:after="100" w:line="240" w:lineRule="atLeast"/>
              <w:ind w:left="539" w:right="113" w:hanging="482"/>
              <w:textAlignment w:val="baseline"/>
              <w:rPr>
                <w:sz w:val="18"/>
                <w:szCs w:val="20"/>
                <w:lang w:val="cs-CZ"/>
              </w:rPr>
            </w:pPr>
            <w:r w:rsidRPr="003B6E11">
              <w:rPr>
                <w:sz w:val="18"/>
                <w:lang w:val="cs-CZ"/>
              </w:rPr>
              <w:t>12.</w:t>
            </w:r>
            <w:r w:rsidRPr="003B6E11">
              <w:rPr>
                <w:lang w:val="cs-CZ"/>
              </w:rPr>
              <w:tab/>
            </w:r>
            <w:r w:rsidRPr="003B6E11">
              <w:rPr>
                <w:noProof/>
                <w:sz w:val="18"/>
                <w:lang w:val="cs-CZ"/>
              </w:rPr>
              <w:t>D'Hone-Danforth</w:t>
            </w:r>
          </w:p>
        </w:tc>
        <w:tc>
          <w:tcPr>
            <w:tcW w:w="2778" w:type="dxa"/>
            <w:tcBorders>
              <w:top w:val="single" w:sz="6" w:space="0" w:color="auto"/>
              <w:left w:val="single" w:sz="6" w:space="0" w:color="auto"/>
              <w:bottom w:val="single" w:sz="4" w:space="0" w:color="auto"/>
              <w:right w:val="nil"/>
            </w:tcBorders>
            <w:vAlign w:val="center"/>
          </w:tcPr>
          <w:p w:rsidR="003B6E11" w:rsidRPr="003B6E11" w:rsidRDefault="003B6E11" w:rsidP="002D015D">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lang w:val="cs-CZ"/>
              </w:rPr>
            </w:pPr>
            <w:r w:rsidRPr="003B6E11">
              <w:rPr>
                <w:sz w:val="18"/>
                <w:lang w:val="cs-CZ"/>
              </w:rPr>
              <w:t>50 %</w:t>
            </w:r>
          </w:p>
        </w:tc>
        <w:tc>
          <w:tcPr>
            <w:tcW w:w="2552" w:type="dxa"/>
            <w:tcBorders>
              <w:top w:val="single" w:sz="6" w:space="0" w:color="auto"/>
              <w:left w:val="single" w:sz="6" w:space="0" w:color="auto"/>
              <w:bottom w:val="single" w:sz="4" w:space="0" w:color="auto"/>
              <w:right w:val="single" w:sz="6" w:space="0" w:color="auto"/>
            </w:tcBorders>
            <w:vAlign w:val="center"/>
          </w:tcPr>
          <w:p w:rsidR="003B6E11" w:rsidRPr="003B6E11" w:rsidRDefault="003B6E11" w:rsidP="002D015D">
            <w:pPr>
              <w:spacing w:before="100" w:after="100" w:line="240" w:lineRule="atLeast"/>
              <w:ind w:left="516" w:right="113" w:hanging="403"/>
              <w:jc w:val="center"/>
              <w:rPr>
                <w:noProof/>
                <w:sz w:val="18"/>
                <w:lang w:val="cs-CZ"/>
              </w:rPr>
            </w:pPr>
            <w:r w:rsidRPr="003B6E11">
              <w:rPr>
                <w:noProof/>
                <w:sz w:val="18"/>
                <w:lang w:val="cs-CZ"/>
              </w:rPr>
              <w:t xml:space="preserve">Německo </w:t>
            </w:r>
          </w:p>
        </w:tc>
      </w:tr>
      <w:tr w:rsidR="003B6E11" w:rsidRPr="003B6E11" w:rsidTr="002D015D">
        <w:trPr>
          <w:jc w:val="center"/>
        </w:trPr>
        <w:tc>
          <w:tcPr>
            <w:tcW w:w="2948" w:type="dxa"/>
            <w:tcBorders>
              <w:top w:val="single" w:sz="4" w:space="0" w:color="auto"/>
              <w:left w:val="single" w:sz="6" w:space="0" w:color="auto"/>
              <w:bottom w:val="single" w:sz="6" w:space="0" w:color="auto"/>
              <w:right w:val="nil"/>
            </w:tcBorders>
            <w:vAlign w:val="center"/>
          </w:tcPr>
          <w:p w:rsidR="003B6E11" w:rsidRPr="003B6E11" w:rsidRDefault="003B6E11" w:rsidP="002D015D">
            <w:pPr>
              <w:overflowPunct w:val="0"/>
              <w:adjustRightInd w:val="0"/>
              <w:spacing w:before="100" w:after="100" w:line="240" w:lineRule="atLeast"/>
              <w:ind w:left="539" w:right="113" w:hanging="482"/>
              <w:textAlignment w:val="baseline"/>
              <w:rPr>
                <w:sz w:val="18"/>
                <w:szCs w:val="20"/>
                <w:lang w:val="cs-CZ"/>
              </w:rPr>
            </w:pPr>
            <w:r w:rsidRPr="003B6E11">
              <w:rPr>
                <w:sz w:val="18"/>
                <w:lang w:val="cs-CZ"/>
              </w:rPr>
              <w:t>13.</w:t>
            </w:r>
            <w:r w:rsidRPr="003B6E11">
              <w:rPr>
                <w:lang w:val="cs-CZ"/>
              </w:rPr>
              <w:tab/>
            </w:r>
            <w:r w:rsidRPr="003B6E11">
              <w:rPr>
                <w:noProof/>
                <w:sz w:val="18"/>
                <w:lang w:val="cs-CZ"/>
              </w:rPr>
              <w:t>Kotva s pevným držením Schmitt</w:t>
            </w:r>
          </w:p>
        </w:tc>
        <w:tc>
          <w:tcPr>
            <w:tcW w:w="2778" w:type="dxa"/>
            <w:tcBorders>
              <w:top w:val="single" w:sz="4" w:space="0" w:color="auto"/>
              <w:left w:val="single" w:sz="6" w:space="0" w:color="auto"/>
              <w:bottom w:val="single" w:sz="6" w:space="0" w:color="auto"/>
              <w:right w:val="nil"/>
            </w:tcBorders>
            <w:vAlign w:val="center"/>
          </w:tcPr>
          <w:p w:rsidR="003B6E11" w:rsidRPr="003B6E11" w:rsidRDefault="003B6E11" w:rsidP="002D015D">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lang w:val="cs-CZ"/>
              </w:rPr>
            </w:pPr>
            <w:r w:rsidRPr="003B6E11">
              <w:rPr>
                <w:sz w:val="18"/>
                <w:lang w:val="cs-CZ"/>
              </w:rPr>
              <w:t>40 %</w:t>
            </w:r>
          </w:p>
        </w:tc>
        <w:tc>
          <w:tcPr>
            <w:tcW w:w="2552" w:type="dxa"/>
            <w:tcBorders>
              <w:top w:val="single" w:sz="4" w:space="0" w:color="auto"/>
              <w:left w:val="single" w:sz="6" w:space="0" w:color="auto"/>
              <w:bottom w:val="single" w:sz="6" w:space="0" w:color="auto"/>
              <w:right w:val="single" w:sz="6" w:space="0" w:color="auto"/>
            </w:tcBorders>
            <w:vAlign w:val="center"/>
          </w:tcPr>
          <w:p w:rsidR="003B6E11" w:rsidRPr="003B6E11" w:rsidRDefault="003B6E11" w:rsidP="002D015D">
            <w:pPr>
              <w:spacing w:before="100" w:after="100" w:line="240" w:lineRule="atLeast"/>
              <w:ind w:left="516" w:right="113" w:hanging="403"/>
              <w:jc w:val="center"/>
              <w:rPr>
                <w:noProof/>
                <w:sz w:val="18"/>
                <w:lang w:val="cs-CZ"/>
              </w:rPr>
            </w:pPr>
            <w:r w:rsidRPr="003B6E11">
              <w:rPr>
                <w:noProof/>
                <w:sz w:val="18"/>
                <w:lang w:val="cs-CZ"/>
              </w:rPr>
              <w:t>Nizozemsko</w:t>
            </w:r>
          </w:p>
        </w:tc>
      </w:tr>
      <w:tr w:rsidR="003B6E11" w:rsidRPr="003B6E11" w:rsidTr="002D015D">
        <w:trPr>
          <w:jc w:val="center"/>
        </w:trPr>
        <w:tc>
          <w:tcPr>
            <w:tcW w:w="2948" w:type="dxa"/>
            <w:tcBorders>
              <w:top w:val="single" w:sz="4" w:space="0" w:color="auto"/>
              <w:left w:val="single" w:sz="6" w:space="0" w:color="auto"/>
              <w:bottom w:val="single" w:sz="6" w:space="0" w:color="auto"/>
              <w:right w:val="nil"/>
            </w:tcBorders>
            <w:vAlign w:val="center"/>
          </w:tcPr>
          <w:p w:rsidR="003B6E11" w:rsidRPr="003B6E11" w:rsidRDefault="003B6E11" w:rsidP="002D015D">
            <w:pPr>
              <w:overflowPunct w:val="0"/>
              <w:adjustRightInd w:val="0"/>
              <w:spacing w:before="100" w:after="100" w:line="240" w:lineRule="atLeast"/>
              <w:ind w:left="539" w:right="113" w:hanging="482"/>
              <w:textAlignment w:val="baseline"/>
              <w:rPr>
                <w:sz w:val="18"/>
                <w:szCs w:val="20"/>
                <w:lang w:val="cs-CZ"/>
              </w:rPr>
            </w:pPr>
            <w:r w:rsidRPr="003B6E11">
              <w:rPr>
                <w:sz w:val="18"/>
                <w:lang w:val="cs-CZ"/>
              </w:rPr>
              <w:t>14.</w:t>
            </w:r>
            <w:r w:rsidRPr="003B6E11">
              <w:rPr>
                <w:lang w:val="cs-CZ"/>
              </w:rPr>
              <w:tab/>
            </w:r>
            <w:r w:rsidRPr="003B6E11">
              <w:rPr>
                <w:noProof/>
                <w:sz w:val="18"/>
                <w:lang w:val="cs-CZ"/>
              </w:rPr>
              <w:t>Kotva s pevným držením SHI, typ ST (standard)</w:t>
            </w:r>
          </w:p>
        </w:tc>
        <w:tc>
          <w:tcPr>
            <w:tcW w:w="2778" w:type="dxa"/>
            <w:tcBorders>
              <w:top w:val="single" w:sz="4" w:space="0" w:color="auto"/>
              <w:left w:val="single" w:sz="6" w:space="0" w:color="auto"/>
              <w:bottom w:val="single" w:sz="6" w:space="0" w:color="auto"/>
              <w:right w:val="nil"/>
            </w:tcBorders>
            <w:vAlign w:val="center"/>
          </w:tcPr>
          <w:p w:rsidR="003B6E11" w:rsidRPr="003B6E11" w:rsidRDefault="003B6E11" w:rsidP="002D015D">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jc w:val="center"/>
              <w:textAlignment w:val="baseline"/>
              <w:rPr>
                <w:sz w:val="18"/>
                <w:szCs w:val="20"/>
                <w:lang w:val="cs-CZ"/>
              </w:rPr>
            </w:pPr>
            <w:r w:rsidRPr="003B6E11">
              <w:rPr>
                <w:sz w:val="18"/>
                <w:lang w:val="cs-CZ"/>
              </w:rPr>
              <w:t>30 %</w:t>
            </w:r>
          </w:p>
        </w:tc>
        <w:tc>
          <w:tcPr>
            <w:tcW w:w="2552" w:type="dxa"/>
            <w:tcBorders>
              <w:top w:val="single" w:sz="4" w:space="0" w:color="auto"/>
              <w:left w:val="single" w:sz="6" w:space="0" w:color="auto"/>
              <w:bottom w:val="single" w:sz="6" w:space="0" w:color="auto"/>
              <w:right w:val="single" w:sz="6" w:space="0" w:color="auto"/>
            </w:tcBorders>
          </w:tcPr>
          <w:p w:rsidR="003B6E11" w:rsidRPr="003B6E11" w:rsidRDefault="003B6E11" w:rsidP="002D015D">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spacing w:before="100" w:after="100"/>
              <w:jc w:val="center"/>
              <w:rPr>
                <w:noProof/>
                <w:sz w:val="18"/>
                <w:lang w:val="cs-CZ"/>
              </w:rPr>
            </w:pPr>
            <w:r w:rsidRPr="003B6E11">
              <w:rPr>
                <w:noProof/>
                <w:sz w:val="18"/>
                <w:lang w:val="cs-CZ"/>
              </w:rPr>
              <w:t xml:space="preserve">Nizozemsko </w:t>
            </w:r>
          </w:p>
        </w:tc>
      </w:tr>
      <w:tr w:rsidR="003B6E11" w:rsidRPr="003B6E11" w:rsidTr="002D015D">
        <w:trPr>
          <w:jc w:val="center"/>
        </w:trPr>
        <w:tc>
          <w:tcPr>
            <w:tcW w:w="2948" w:type="dxa"/>
            <w:tcBorders>
              <w:top w:val="single" w:sz="4" w:space="0" w:color="auto"/>
              <w:left w:val="single" w:sz="6" w:space="0" w:color="auto"/>
              <w:bottom w:val="single" w:sz="6" w:space="0" w:color="auto"/>
              <w:right w:val="nil"/>
            </w:tcBorders>
            <w:vAlign w:val="center"/>
          </w:tcPr>
          <w:p w:rsidR="003B6E11" w:rsidRPr="003B6E11" w:rsidRDefault="003B6E11" w:rsidP="002D015D">
            <w:pPr>
              <w:overflowPunct w:val="0"/>
              <w:adjustRightInd w:val="0"/>
              <w:spacing w:before="100" w:after="100"/>
              <w:ind w:left="539" w:right="113" w:hanging="482"/>
              <w:textAlignment w:val="baseline"/>
              <w:rPr>
                <w:sz w:val="18"/>
                <w:szCs w:val="20"/>
                <w:lang w:val="cs-CZ"/>
              </w:rPr>
            </w:pPr>
            <w:r w:rsidRPr="003B6E11">
              <w:rPr>
                <w:sz w:val="18"/>
                <w:lang w:val="cs-CZ"/>
              </w:rPr>
              <w:t>15.</w:t>
            </w:r>
            <w:r w:rsidRPr="003B6E11">
              <w:rPr>
                <w:lang w:val="cs-CZ"/>
              </w:rPr>
              <w:tab/>
            </w:r>
            <w:r w:rsidRPr="003B6E11">
              <w:rPr>
                <w:noProof/>
                <w:sz w:val="18"/>
                <w:lang w:val="cs-CZ"/>
              </w:rPr>
              <w:t>Kotva s pevným držením SHI, typ FB (plně vyvážená)</w:t>
            </w:r>
          </w:p>
        </w:tc>
        <w:tc>
          <w:tcPr>
            <w:tcW w:w="2778" w:type="dxa"/>
            <w:tcBorders>
              <w:top w:val="single" w:sz="4" w:space="0" w:color="auto"/>
              <w:left w:val="single" w:sz="6" w:space="0" w:color="auto"/>
              <w:bottom w:val="single" w:sz="6" w:space="0" w:color="auto"/>
              <w:right w:val="nil"/>
            </w:tcBorders>
            <w:vAlign w:val="center"/>
          </w:tcPr>
          <w:p w:rsidR="003B6E11" w:rsidRPr="003B6E11" w:rsidRDefault="003B6E11" w:rsidP="002D015D">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jc w:val="center"/>
              <w:textAlignment w:val="baseline"/>
              <w:rPr>
                <w:sz w:val="18"/>
                <w:szCs w:val="20"/>
                <w:lang w:val="cs-CZ"/>
              </w:rPr>
            </w:pPr>
            <w:r w:rsidRPr="003B6E11">
              <w:rPr>
                <w:sz w:val="18"/>
                <w:lang w:val="cs-CZ"/>
              </w:rPr>
              <w:t>30 %</w:t>
            </w:r>
          </w:p>
        </w:tc>
        <w:tc>
          <w:tcPr>
            <w:tcW w:w="2552" w:type="dxa"/>
            <w:tcBorders>
              <w:top w:val="single" w:sz="4" w:space="0" w:color="auto"/>
              <w:left w:val="single" w:sz="6" w:space="0" w:color="auto"/>
              <w:bottom w:val="single" w:sz="6" w:space="0" w:color="auto"/>
              <w:right w:val="single" w:sz="6" w:space="0" w:color="auto"/>
            </w:tcBorders>
          </w:tcPr>
          <w:p w:rsidR="003B6E11" w:rsidRPr="003B6E11" w:rsidRDefault="003B6E11" w:rsidP="002D015D">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spacing w:before="100" w:after="100"/>
              <w:jc w:val="center"/>
              <w:rPr>
                <w:noProof/>
                <w:sz w:val="18"/>
                <w:lang w:val="cs-CZ"/>
              </w:rPr>
            </w:pPr>
            <w:r w:rsidRPr="003B6E11">
              <w:rPr>
                <w:noProof/>
                <w:sz w:val="18"/>
                <w:lang w:val="cs-CZ"/>
              </w:rPr>
              <w:t xml:space="preserve">Nizozemsko </w:t>
            </w:r>
          </w:p>
        </w:tc>
      </w:tr>
      <w:tr w:rsidR="003B6E11" w:rsidRPr="003B6E11" w:rsidTr="002D015D">
        <w:trPr>
          <w:jc w:val="center"/>
        </w:trPr>
        <w:tc>
          <w:tcPr>
            <w:tcW w:w="2948" w:type="dxa"/>
            <w:tcBorders>
              <w:top w:val="single" w:sz="4" w:space="0" w:color="auto"/>
              <w:left w:val="single" w:sz="6" w:space="0" w:color="auto"/>
              <w:bottom w:val="single" w:sz="4" w:space="0" w:color="auto"/>
              <w:right w:val="nil"/>
            </w:tcBorders>
            <w:vAlign w:val="center"/>
          </w:tcPr>
          <w:p w:rsidR="003B6E11" w:rsidRPr="003B6E11" w:rsidRDefault="003B6E11" w:rsidP="002D015D">
            <w:pPr>
              <w:overflowPunct w:val="0"/>
              <w:adjustRightInd w:val="0"/>
              <w:spacing w:before="100" w:after="100"/>
              <w:ind w:left="539" w:right="113" w:hanging="482"/>
              <w:textAlignment w:val="baseline"/>
              <w:rPr>
                <w:sz w:val="18"/>
                <w:szCs w:val="20"/>
                <w:lang w:val="cs-CZ"/>
              </w:rPr>
            </w:pPr>
            <w:r w:rsidRPr="003B6E11">
              <w:rPr>
                <w:sz w:val="18"/>
                <w:lang w:val="cs-CZ"/>
              </w:rPr>
              <w:t>16.</w:t>
            </w:r>
            <w:r w:rsidRPr="003B6E11">
              <w:rPr>
                <w:lang w:val="cs-CZ"/>
              </w:rPr>
              <w:tab/>
            </w:r>
            <w:r w:rsidRPr="003B6E11">
              <w:rPr>
                <w:noProof/>
                <w:sz w:val="18"/>
                <w:lang w:val="cs-CZ"/>
              </w:rPr>
              <w:t>Kotva Klinsmann</w:t>
            </w:r>
          </w:p>
        </w:tc>
        <w:tc>
          <w:tcPr>
            <w:tcW w:w="2778" w:type="dxa"/>
            <w:tcBorders>
              <w:top w:val="single" w:sz="4" w:space="0" w:color="auto"/>
              <w:left w:val="single" w:sz="6" w:space="0" w:color="auto"/>
              <w:bottom w:val="single" w:sz="4" w:space="0" w:color="auto"/>
              <w:right w:val="nil"/>
            </w:tcBorders>
            <w:vAlign w:val="center"/>
          </w:tcPr>
          <w:p w:rsidR="003B6E11" w:rsidRPr="003B6E11" w:rsidRDefault="003B6E11" w:rsidP="002D015D">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jc w:val="center"/>
              <w:textAlignment w:val="baseline"/>
              <w:rPr>
                <w:sz w:val="18"/>
                <w:szCs w:val="20"/>
                <w:lang w:val="cs-CZ"/>
              </w:rPr>
            </w:pPr>
            <w:r w:rsidRPr="003B6E11">
              <w:rPr>
                <w:sz w:val="18"/>
                <w:lang w:val="cs-CZ"/>
              </w:rPr>
              <w:t>30 %</w:t>
            </w:r>
          </w:p>
        </w:tc>
        <w:tc>
          <w:tcPr>
            <w:tcW w:w="2552" w:type="dxa"/>
            <w:tcBorders>
              <w:top w:val="single" w:sz="4" w:space="0" w:color="auto"/>
              <w:left w:val="single" w:sz="6" w:space="0" w:color="auto"/>
              <w:bottom w:val="single" w:sz="4" w:space="0" w:color="auto"/>
              <w:right w:val="single" w:sz="6" w:space="0" w:color="auto"/>
            </w:tcBorders>
          </w:tcPr>
          <w:p w:rsidR="003B6E11" w:rsidRPr="003B6E11" w:rsidRDefault="003B6E11" w:rsidP="002D015D">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spacing w:before="100" w:after="100"/>
              <w:jc w:val="center"/>
              <w:rPr>
                <w:noProof/>
                <w:sz w:val="18"/>
                <w:lang w:val="cs-CZ"/>
              </w:rPr>
            </w:pPr>
            <w:r w:rsidRPr="003B6E11">
              <w:rPr>
                <w:noProof/>
                <w:sz w:val="18"/>
                <w:lang w:val="cs-CZ"/>
              </w:rPr>
              <w:t xml:space="preserve">Nizozemsko </w:t>
            </w:r>
          </w:p>
        </w:tc>
      </w:tr>
      <w:tr w:rsidR="003B6E11" w:rsidRPr="003B6E11" w:rsidTr="002D015D">
        <w:trPr>
          <w:jc w:val="center"/>
        </w:trPr>
        <w:tc>
          <w:tcPr>
            <w:tcW w:w="2948" w:type="dxa"/>
            <w:tcBorders>
              <w:top w:val="single" w:sz="4" w:space="0" w:color="auto"/>
              <w:left w:val="single" w:sz="6" w:space="0" w:color="auto"/>
              <w:bottom w:val="single" w:sz="6" w:space="0" w:color="auto"/>
              <w:right w:val="nil"/>
            </w:tcBorders>
            <w:vAlign w:val="center"/>
          </w:tcPr>
          <w:p w:rsidR="003B6E11" w:rsidRPr="003B6E11" w:rsidRDefault="003B6E11" w:rsidP="002D015D">
            <w:pPr>
              <w:overflowPunct w:val="0"/>
              <w:adjustRightInd w:val="0"/>
              <w:spacing w:before="100" w:after="100"/>
              <w:ind w:left="539" w:right="113" w:hanging="482"/>
              <w:textAlignment w:val="baseline"/>
              <w:rPr>
                <w:sz w:val="18"/>
                <w:szCs w:val="20"/>
                <w:lang w:val="cs-CZ"/>
              </w:rPr>
            </w:pPr>
            <w:r w:rsidRPr="003B6E11">
              <w:rPr>
                <w:sz w:val="18"/>
                <w:lang w:val="cs-CZ"/>
              </w:rPr>
              <w:t>17.</w:t>
            </w:r>
            <w:r w:rsidRPr="003B6E11">
              <w:rPr>
                <w:lang w:val="cs-CZ"/>
              </w:rPr>
              <w:tab/>
            </w:r>
            <w:r w:rsidRPr="003B6E11">
              <w:rPr>
                <w:noProof/>
                <w:sz w:val="18"/>
                <w:lang w:val="cs-CZ"/>
              </w:rPr>
              <w:t>Kotva HA-DU-POWER</w:t>
            </w:r>
          </w:p>
        </w:tc>
        <w:tc>
          <w:tcPr>
            <w:tcW w:w="2778" w:type="dxa"/>
            <w:tcBorders>
              <w:top w:val="single" w:sz="4" w:space="0" w:color="auto"/>
              <w:left w:val="single" w:sz="6" w:space="0" w:color="auto"/>
              <w:bottom w:val="single" w:sz="6" w:space="0" w:color="auto"/>
              <w:right w:val="nil"/>
            </w:tcBorders>
            <w:vAlign w:val="center"/>
          </w:tcPr>
          <w:p w:rsidR="003B6E11" w:rsidRPr="003B6E11" w:rsidRDefault="003B6E11" w:rsidP="002D015D">
            <w:pPr>
              <w:tabs>
                <w:tab w:val="left" w:pos="-1440"/>
                <w:tab w:val="left" w:pos="-576"/>
                <w:tab w:val="left" w:pos="-432"/>
                <w:tab w:val="left" w:pos="0"/>
                <w:tab w:val="left" w:pos="432"/>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before="100" w:after="100" w:line="240" w:lineRule="atLeast"/>
              <w:jc w:val="center"/>
              <w:textAlignment w:val="baseline"/>
              <w:rPr>
                <w:sz w:val="18"/>
                <w:szCs w:val="20"/>
                <w:lang w:val="cs-CZ"/>
              </w:rPr>
            </w:pPr>
            <w:r w:rsidRPr="003B6E11">
              <w:rPr>
                <w:sz w:val="18"/>
                <w:lang w:val="cs-CZ"/>
              </w:rPr>
              <w:t>50 %</w:t>
            </w:r>
          </w:p>
        </w:tc>
        <w:tc>
          <w:tcPr>
            <w:tcW w:w="2552" w:type="dxa"/>
            <w:tcBorders>
              <w:top w:val="single" w:sz="4" w:space="0" w:color="auto"/>
              <w:left w:val="single" w:sz="6" w:space="0" w:color="auto"/>
              <w:bottom w:val="single" w:sz="6" w:space="0" w:color="auto"/>
              <w:right w:val="single" w:sz="6" w:space="0" w:color="auto"/>
            </w:tcBorders>
            <w:vAlign w:val="center"/>
          </w:tcPr>
          <w:p w:rsidR="003B6E11" w:rsidRPr="003B6E11" w:rsidRDefault="003B6E11" w:rsidP="002D015D">
            <w:pPr>
              <w:spacing w:before="100" w:after="100" w:line="240" w:lineRule="atLeast"/>
              <w:ind w:left="516" w:right="113" w:hanging="403"/>
              <w:jc w:val="center"/>
              <w:rPr>
                <w:noProof/>
                <w:sz w:val="18"/>
                <w:lang w:val="cs-CZ"/>
              </w:rPr>
            </w:pPr>
            <w:r w:rsidRPr="003B6E11">
              <w:rPr>
                <w:noProof/>
                <w:sz w:val="18"/>
                <w:lang w:val="cs-CZ"/>
              </w:rPr>
              <w:t xml:space="preserve">Německo </w:t>
            </w:r>
          </w:p>
        </w:tc>
      </w:tr>
    </w:tbl>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rPr>
          <w:b/>
          <w:szCs w:val="20"/>
          <w:lang w:val="cs-CZ"/>
        </w:rPr>
      </w:pPr>
      <w:r w:rsidRPr="003B6E11">
        <w:rPr>
          <w:lang w:val="cs-CZ"/>
        </w:rPr>
        <w:br w:type="page"/>
      </w:r>
      <w:r w:rsidRPr="003B6E11">
        <w:rPr>
          <w:b/>
          <w:lang w:val="cs-CZ"/>
        </w:rPr>
        <w:t>Oddíl 2</w:t>
      </w:r>
    </w:p>
    <w:p w:rsidR="003B6E11" w:rsidRPr="003B6E11" w:rsidRDefault="003B6E11" w:rsidP="003B6E11">
      <w:pPr>
        <w:overflowPunct w:val="0"/>
        <w:adjustRightInd w:val="0"/>
        <w:textAlignment w:val="baseline"/>
        <w:rPr>
          <w:b/>
          <w:szCs w:val="20"/>
          <w:lang w:val="cs-CZ"/>
        </w:rPr>
      </w:pPr>
    </w:p>
    <w:p w:rsidR="003B6E11" w:rsidRPr="003B6E11" w:rsidRDefault="003B6E11" w:rsidP="003B6E11">
      <w:pPr>
        <w:overflowPunct w:val="0"/>
        <w:adjustRightInd w:val="0"/>
        <w:textAlignment w:val="baseline"/>
        <w:rPr>
          <w:b/>
          <w:szCs w:val="20"/>
          <w:lang w:val="cs-CZ"/>
        </w:rPr>
      </w:pPr>
    </w:p>
    <w:p w:rsidR="003B6E11" w:rsidRPr="003B6E11" w:rsidRDefault="003B6E11" w:rsidP="003B6E11">
      <w:pPr>
        <w:overflowPunct w:val="0"/>
        <w:adjustRightInd w:val="0"/>
        <w:jc w:val="center"/>
        <w:textAlignment w:val="baseline"/>
        <w:rPr>
          <w:b/>
          <w:szCs w:val="20"/>
          <w:lang w:val="cs-CZ"/>
        </w:rPr>
      </w:pPr>
      <w:r w:rsidRPr="003B6E11">
        <w:rPr>
          <w:b/>
          <w:lang w:val="cs-CZ"/>
        </w:rPr>
        <w:t>Postup schvalování a zkoušení zvláštních kotev se sníženou hmotností</w:t>
      </w:r>
    </w:p>
    <w:p w:rsidR="003B6E11" w:rsidRPr="003B6E11" w:rsidRDefault="003B6E11" w:rsidP="003B6E11">
      <w:pPr>
        <w:overflowPunct w:val="0"/>
        <w:adjustRightInd w:val="0"/>
        <w:jc w:val="center"/>
        <w:textAlignment w:val="baseline"/>
        <w:rPr>
          <w:b/>
          <w:szCs w:val="20"/>
          <w:lang w:val="cs-CZ"/>
        </w:rPr>
      </w:pPr>
    </w:p>
    <w:p w:rsidR="003B6E11" w:rsidRPr="003B6E11" w:rsidRDefault="003B6E11" w:rsidP="003B6E11">
      <w:pPr>
        <w:overflowPunct w:val="0"/>
        <w:adjustRightInd w:val="0"/>
        <w:jc w:val="center"/>
        <w:textAlignment w:val="baseline"/>
        <w:rPr>
          <w:b/>
          <w:szCs w:val="20"/>
          <w:lang w:val="cs-CZ"/>
        </w:rPr>
      </w:pPr>
      <w:r w:rsidRPr="003B6E11">
        <w:rPr>
          <w:b/>
          <w:lang w:val="cs-CZ"/>
        </w:rPr>
        <w:t xml:space="preserve">Snížení hmotností kotev stanovených </w:t>
      </w:r>
    </w:p>
    <w:p w:rsidR="003B6E11" w:rsidRPr="003B6E11" w:rsidRDefault="003B6E11" w:rsidP="003B6E11">
      <w:pPr>
        <w:overflowPunct w:val="0"/>
        <w:adjustRightInd w:val="0"/>
        <w:jc w:val="center"/>
        <w:textAlignment w:val="baseline"/>
        <w:rPr>
          <w:szCs w:val="20"/>
          <w:lang w:val="cs-CZ"/>
        </w:rPr>
      </w:pPr>
      <w:r w:rsidRPr="003B6E11">
        <w:rPr>
          <w:b/>
          <w:lang w:val="cs-CZ"/>
        </w:rPr>
        <w:t xml:space="preserve">v souladu s čl. 13.01 odst. 1 až 4 </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spacing w:line="240" w:lineRule="atLeast"/>
        <w:ind w:left="567" w:hanging="567"/>
        <w:textAlignment w:val="baseline"/>
        <w:rPr>
          <w:szCs w:val="20"/>
          <w:lang w:val="cs-CZ"/>
        </w:rPr>
      </w:pPr>
      <w:r w:rsidRPr="003B6E11">
        <w:rPr>
          <w:b/>
          <w:lang w:val="cs-CZ"/>
        </w:rPr>
        <w:t>1.</w:t>
      </w:r>
      <w:r w:rsidRPr="003B6E11">
        <w:rPr>
          <w:lang w:val="cs-CZ"/>
        </w:rPr>
        <w:tab/>
      </w:r>
      <w:r w:rsidRPr="003B6E11">
        <w:rPr>
          <w:b/>
          <w:lang w:val="cs-CZ"/>
        </w:rPr>
        <w:t>Kapitola 1 – Postup schvalování</w:t>
      </w:r>
    </w:p>
    <w:p w:rsidR="003B6E11" w:rsidRPr="003B6E11" w:rsidRDefault="003B6E11" w:rsidP="003B6E11">
      <w:pPr>
        <w:overflowPunct w:val="0"/>
        <w:adjustRightInd w:val="0"/>
        <w:spacing w:line="240" w:lineRule="atLeast"/>
        <w:ind w:left="567" w:hanging="567"/>
        <w:textAlignment w:val="baseline"/>
        <w:rPr>
          <w:szCs w:val="20"/>
          <w:lang w:val="cs-CZ"/>
        </w:rPr>
      </w:pPr>
    </w:p>
    <w:p w:rsidR="003B6E11" w:rsidRPr="003B6E11" w:rsidRDefault="003B6E11" w:rsidP="003B6E11">
      <w:pPr>
        <w:overflowPunct w:val="0"/>
        <w:adjustRightInd w:val="0"/>
        <w:spacing w:line="240" w:lineRule="atLeast"/>
        <w:ind w:left="567" w:hanging="567"/>
        <w:textAlignment w:val="baseline"/>
        <w:rPr>
          <w:szCs w:val="20"/>
          <w:lang w:val="cs-CZ"/>
        </w:rPr>
      </w:pPr>
      <w:r w:rsidRPr="003B6E11">
        <w:rPr>
          <w:b/>
          <w:lang w:val="cs-CZ"/>
        </w:rPr>
        <w:t>1.1</w:t>
      </w:r>
      <w:r w:rsidRPr="003B6E11">
        <w:rPr>
          <w:lang w:val="cs-CZ"/>
        </w:rPr>
        <w:tab/>
        <w:t>Zvláštní kotvy se sníženou hmotností v souladu s čl. 13.01 odst. 5 musí být schváleny příslušnými orgány. Příslušný orgán určí povolené snížení hmotnosti kotvy u zvláštních kotev v souladu s postupem uvedeným níže.</w:t>
      </w:r>
    </w:p>
    <w:p w:rsidR="003B6E11" w:rsidRPr="003B6E11" w:rsidRDefault="003B6E11" w:rsidP="003B6E11">
      <w:pPr>
        <w:overflowPunct w:val="0"/>
        <w:adjustRightInd w:val="0"/>
        <w:spacing w:line="240" w:lineRule="atLeast"/>
        <w:ind w:left="567" w:hanging="567"/>
        <w:textAlignment w:val="baseline"/>
        <w:rPr>
          <w:szCs w:val="20"/>
          <w:lang w:val="cs-CZ"/>
        </w:rPr>
      </w:pPr>
    </w:p>
    <w:p w:rsidR="003B6E11" w:rsidRPr="003B6E11" w:rsidRDefault="003B6E11" w:rsidP="003B6E11">
      <w:pPr>
        <w:overflowPunct w:val="0"/>
        <w:adjustRightInd w:val="0"/>
        <w:spacing w:line="240" w:lineRule="atLeast"/>
        <w:ind w:left="567" w:hanging="567"/>
        <w:textAlignment w:val="baseline"/>
        <w:rPr>
          <w:szCs w:val="20"/>
          <w:lang w:val="cs-CZ"/>
        </w:rPr>
      </w:pPr>
      <w:r w:rsidRPr="003B6E11">
        <w:rPr>
          <w:b/>
          <w:lang w:val="cs-CZ"/>
        </w:rPr>
        <w:t>1.2</w:t>
      </w:r>
      <w:r w:rsidRPr="003B6E11">
        <w:rPr>
          <w:lang w:val="cs-CZ"/>
        </w:rPr>
        <w:tab/>
        <w:t>Schválení jako zvláštní kotva je možné pouze tehdy, když je provedené snížení hmotnosti kotvy alespoň 15%.</w:t>
      </w:r>
    </w:p>
    <w:p w:rsidR="003B6E11" w:rsidRPr="003B6E11" w:rsidRDefault="003B6E11" w:rsidP="003B6E11">
      <w:pPr>
        <w:overflowPunct w:val="0"/>
        <w:adjustRightInd w:val="0"/>
        <w:spacing w:line="240" w:lineRule="atLeast"/>
        <w:ind w:left="567" w:hanging="567"/>
        <w:textAlignment w:val="baseline"/>
        <w:rPr>
          <w:szCs w:val="20"/>
          <w:lang w:val="cs-CZ"/>
        </w:rPr>
      </w:pPr>
    </w:p>
    <w:p w:rsidR="003B6E11" w:rsidRPr="003B6E11" w:rsidRDefault="003B6E11" w:rsidP="003B6E11">
      <w:pPr>
        <w:overflowPunct w:val="0"/>
        <w:adjustRightInd w:val="0"/>
        <w:spacing w:line="240" w:lineRule="atLeast"/>
        <w:ind w:left="567" w:hanging="567"/>
        <w:textAlignment w:val="baseline"/>
        <w:rPr>
          <w:szCs w:val="20"/>
          <w:lang w:val="cs-CZ"/>
        </w:rPr>
      </w:pPr>
      <w:r w:rsidRPr="003B6E11">
        <w:rPr>
          <w:b/>
          <w:lang w:val="cs-CZ"/>
        </w:rPr>
        <w:t>1.3</w:t>
      </w:r>
      <w:r w:rsidRPr="003B6E11">
        <w:rPr>
          <w:lang w:val="cs-CZ"/>
        </w:rPr>
        <w:tab/>
        <w:t>Žádosti o schválení zvláštní kotvy podle bodu 1.1 se předkládají příslušnému orgánu členského státu. S každou žádostí se musí předat deset kopií následujících dokumentů:</w:t>
      </w:r>
    </w:p>
    <w:p w:rsidR="003B6E11" w:rsidRPr="003B6E11" w:rsidRDefault="003B6E11" w:rsidP="003B6E11">
      <w:pPr>
        <w:tabs>
          <w:tab w:val="left" w:pos="992"/>
        </w:tabs>
        <w:overflowPunct w:val="0"/>
        <w:adjustRightInd w:val="0"/>
        <w:spacing w:before="60" w:line="240" w:lineRule="atLeast"/>
        <w:ind w:left="992"/>
        <w:textAlignment w:val="baseline"/>
        <w:rPr>
          <w:szCs w:val="20"/>
          <w:lang w:val="cs-CZ"/>
        </w:rPr>
      </w:pPr>
      <w:r w:rsidRPr="003B6E11">
        <w:rPr>
          <w:lang w:val="cs-CZ"/>
        </w:rPr>
        <w:t>a)</w:t>
      </w:r>
      <w:r w:rsidRPr="003B6E11">
        <w:rPr>
          <w:lang w:val="cs-CZ"/>
        </w:rPr>
        <w:tab/>
        <w:t>přehled s rozměry a hmotností zvláštní kotvy obsahující hlavní rozměry a typové označení pro každou dostupnou velikost kotvy;</w:t>
      </w:r>
    </w:p>
    <w:p w:rsidR="003B6E11" w:rsidRPr="003B6E11" w:rsidRDefault="003B6E11" w:rsidP="003B6E11">
      <w:pPr>
        <w:tabs>
          <w:tab w:val="left" w:pos="992"/>
        </w:tabs>
        <w:overflowPunct w:val="0"/>
        <w:adjustRightInd w:val="0"/>
        <w:spacing w:before="60" w:line="240" w:lineRule="atLeast"/>
        <w:ind w:left="992"/>
        <w:textAlignment w:val="baseline"/>
        <w:rPr>
          <w:szCs w:val="20"/>
          <w:lang w:val="cs-CZ"/>
        </w:rPr>
      </w:pPr>
      <w:r w:rsidRPr="003B6E11">
        <w:rPr>
          <w:lang w:val="cs-CZ"/>
        </w:rPr>
        <w:t>b)</w:t>
      </w:r>
      <w:r w:rsidRPr="003B6E11">
        <w:rPr>
          <w:lang w:val="cs-CZ"/>
        </w:rPr>
        <w:tab/>
        <w:t xml:space="preserve">schéma brzdných sil pro referenční kotvu </w:t>
      </w:r>
      <m:oMath>
        <m:r>
          <w:rPr>
            <w:rFonts w:ascii="Cambria Math" w:hAnsi="Cambria Math"/>
            <w:szCs w:val="20"/>
            <w:lang w:val="cs-CZ"/>
          </w:rPr>
          <m:t>A</m:t>
        </m:r>
      </m:oMath>
      <w:r w:rsidRPr="003B6E11">
        <w:rPr>
          <w:lang w:val="cs-CZ"/>
        </w:rPr>
        <w:t xml:space="preserve"> (v souladu s bodem 2.2) a zvláštní kotvu </w:t>
      </w:r>
      <m:oMath>
        <m:r>
          <w:rPr>
            <w:rFonts w:ascii="Cambria Math" w:hAnsi="Cambria Math"/>
            <w:szCs w:val="20"/>
            <w:lang w:val="cs-CZ"/>
          </w:rPr>
          <m:t>B</m:t>
        </m:r>
      </m:oMath>
      <w:r w:rsidRPr="003B6E11">
        <w:rPr>
          <w:lang w:val="cs-CZ"/>
        </w:rPr>
        <w:t>, která má být schválena, které bylo připraveno a posouzeno institucí jmenovanou příslušným orgánem.</w:t>
      </w:r>
    </w:p>
    <w:p w:rsidR="003B6E11" w:rsidRPr="003B6E11" w:rsidRDefault="003B6E11" w:rsidP="003B6E11">
      <w:pPr>
        <w:overflowPunct w:val="0"/>
        <w:adjustRightInd w:val="0"/>
        <w:spacing w:line="240" w:lineRule="atLeast"/>
        <w:ind w:left="567" w:hanging="567"/>
        <w:textAlignment w:val="baseline"/>
        <w:rPr>
          <w:szCs w:val="20"/>
          <w:lang w:val="cs-CZ"/>
        </w:rPr>
      </w:pPr>
    </w:p>
    <w:p w:rsidR="003B6E11" w:rsidRPr="003B6E11" w:rsidRDefault="003B6E11" w:rsidP="003B6E11">
      <w:pPr>
        <w:overflowPunct w:val="0"/>
        <w:adjustRightInd w:val="0"/>
        <w:spacing w:line="240" w:lineRule="atLeast"/>
        <w:ind w:left="567" w:hanging="567"/>
        <w:textAlignment w:val="baseline"/>
        <w:rPr>
          <w:szCs w:val="20"/>
          <w:lang w:val="cs-CZ"/>
        </w:rPr>
      </w:pPr>
      <w:r w:rsidRPr="003B6E11">
        <w:rPr>
          <w:b/>
          <w:lang w:val="cs-CZ"/>
        </w:rPr>
        <w:t>1.4</w:t>
      </w:r>
      <w:r w:rsidRPr="003B6E11">
        <w:rPr>
          <w:lang w:val="cs-CZ"/>
        </w:rPr>
        <w:tab/>
        <w:t xml:space="preserve">Příslušný orgán uvědomí CESNI o všech žádostech o snížení hmotnosti kotev, které se po zkouškách rozhodne schválit. </w:t>
      </w:r>
    </w:p>
    <w:p w:rsidR="003B6E11" w:rsidRPr="003B6E11" w:rsidRDefault="003B6E11" w:rsidP="003B6E11">
      <w:pPr>
        <w:overflowPunct w:val="0"/>
        <w:adjustRightInd w:val="0"/>
        <w:spacing w:line="240" w:lineRule="atLeast"/>
        <w:ind w:left="567" w:hanging="567"/>
        <w:textAlignment w:val="baseline"/>
        <w:rPr>
          <w:szCs w:val="20"/>
          <w:lang w:val="cs-CZ"/>
        </w:rPr>
      </w:pPr>
    </w:p>
    <w:p w:rsidR="003B6E11" w:rsidRPr="003B6E11" w:rsidRDefault="003B6E11" w:rsidP="003B6E11">
      <w:pPr>
        <w:overflowPunct w:val="0"/>
        <w:adjustRightInd w:val="0"/>
        <w:spacing w:line="240" w:lineRule="atLeast"/>
        <w:ind w:left="567" w:hanging="567"/>
        <w:textAlignment w:val="baseline"/>
        <w:rPr>
          <w:szCs w:val="20"/>
          <w:lang w:val="cs-CZ"/>
        </w:rPr>
      </w:pPr>
    </w:p>
    <w:p w:rsidR="003B6E11" w:rsidRPr="003B6E11" w:rsidRDefault="003B6E11" w:rsidP="003B6E11">
      <w:pPr>
        <w:overflowPunct w:val="0"/>
        <w:adjustRightInd w:val="0"/>
        <w:spacing w:line="240" w:lineRule="atLeast"/>
        <w:ind w:left="567" w:hanging="567"/>
        <w:textAlignment w:val="baseline"/>
        <w:rPr>
          <w:b/>
          <w:szCs w:val="20"/>
          <w:lang w:val="cs-CZ"/>
        </w:rPr>
      </w:pPr>
      <w:r w:rsidRPr="003B6E11">
        <w:rPr>
          <w:b/>
          <w:lang w:val="cs-CZ"/>
        </w:rPr>
        <w:t>2.</w:t>
      </w:r>
      <w:r w:rsidRPr="003B6E11">
        <w:rPr>
          <w:lang w:val="cs-CZ"/>
        </w:rPr>
        <w:tab/>
      </w:r>
      <w:r w:rsidRPr="003B6E11">
        <w:rPr>
          <w:b/>
          <w:lang w:val="cs-CZ"/>
        </w:rPr>
        <w:t>Kapitola 2 – Postup zkoušení</w:t>
      </w:r>
    </w:p>
    <w:p w:rsidR="003B6E11" w:rsidRPr="003B6E11" w:rsidRDefault="003B6E11" w:rsidP="003B6E11">
      <w:pPr>
        <w:overflowPunct w:val="0"/>
        <w:adjustRightInd w:val="0"/>
        <w:spacing w:line="240" w:lineRule="atLeast"/>
        <w:ind w:left="567" w:hanging="567"/>
        <w:textAlignment w:val="baseline"/>
        <w:rPr>
          <w:b/>
          <w:szCs w:val="20"/>
          <w:lang w:val="cs-CZ"/>
        </w:rPr>
      </w:pPr>
    </w:p>
    <w:p w:rsidR="003B6E11" w:rsidRPr="003B6E11" w:rsidRDefault="003B6E11" w:rsidP="003B6E11">
      <w:pPr>
        <w:overflowPunct w:val="0"/>
        <w:adjustRightInd w:val="0"/>
        <w:spacing w:line="240" w:lineRule="atLeast"/>
        <w:ind w:left="567" w:hanging="567"/>
        <w:textAlignment w:val="baseline"/>
        <w:rPr>
          <w:szCs w:val="20"/>
          <w:lang w:val="cs-CZ"/>
        </w:rPr>
      </w:pPr>
      <w:r w:rsidRPr="003B6E11">
        <w:rPr>
          <w:b/>
          <w:lang w:val="cs-CZ"/>
        </w:rPr>
        <w:t>2.1</w:t>
      </w:r>
      <w:r w:rsidRPr="003B6E11">
        <w:rPr>
          <w:lang w:val="cs-CZ"/>
        </w:rPr>
        <w:tab/>
        <w:t xml:space="preserve">Schémata brzdných sil podle bodu 1.3 musí znázorňovat brzdné síly jako funkci rychlosti, co se týče referenční kotvy </w:t>
      </w:r>
      <m:oMath>
        <m:r>
          <w:rPr>
            <w:rFonts w:ascii="Cambria Math" w:hAnsi="Cambria Math"/>
            <w:szCs w:val="20"/>
            <w:lang w:val="cs-CZ"/>
          </w:rPr>
          <m:t>A</m:t>
        </m:r>
      </m:oMath>
      <w:r w:rsidRPr="003B6E11">
        <w:rPr>
          <w:lang w:val="cs-CZ"/>
        </w:rPr>
        <w:t xml:space="preserve"> a zvláštní kotvy </w:t>
      </w:r>
      <m:oMath>
        <m:r>
          <w:rPr>
            <w:rFonts w:ascii="Cambria Math" w:hAnsi="Cambria Math"/>
            <w:szCs w:val="20"/>
            <w:lang w:val="cs-CZ"/>
          </w:rPr>
          <m:t>B</m:t>
        </m:r>
      </m:oMath>
      <w:r w:rsidRPr="003B6E11">
        <w:rPr>
          <w:lang w:val="cs-CZ"/>
        </w:rPr>
        <w:t xml:space="preserve"> určené ke schválení, na základě zkoušek provedených podle bodů 2.2 až 2.5 níže. V příloze I je uvedena jedna možná zkouška brzdné síly.</w:t>
      </w:r>
    </w:p>
    <w:p w:rsidR="003B6E11" w:rsidRPr="003B6E11" w:rsidRDefault="003B6E11" w:rsidP="003B6E11">
      <w:pPr>
        <w:overflowPunct w:val="0"/>
        <w:adjustRightInd w:val="0"/>
        <w:spacing w:line="240" w:lineRule="atLeast"/>
        <w:ind w:left="567" w:hanging="567"/>
        <w:textAlignment w:val="baseline"/>
        <w:rPr>
          <w:szCs w:val="20"/>
          <w:lang w:val="cs-CZ"/>
        </w:rPr>
      </w:pPr>
    </w:p>
    <w:p w:rsidR="003B6E11" w:rsidRPr="003B6E11" w:rsidRDefault="003B6E11" w:rsidP="003B6E11">
      <w:pPr>
        <w:overflowPunct w:val="0"/>
        <w:adjustRightInd w:val="0"/>
        <w:spacing w:line="240" w:lineRule="atLeast"/>
        <w:ind w:left="567" w:hanging="567"/>
        <w:textAlignment w:val="baseline"/>
        <w:rPr>
          <w:szCs w:val="20"/>
          <w:lang w:val="cs-CZ"/>
        </w:rPr>
      </w:pPr>
    </w:p>
    <w:p w:rsidR="003B6E11" w:rsidRPr="003B6E11" w:rsidRDefault="003B6E11" w:rsidP="003B6E11">
      <w:pPr>
        <w:overflowPunct w:val="0"/>
        <w:adjustRightInd w:val="0"/>
        <w:spacing w:line="240" w:lineRule="atLeast"/>
        <w:ind w:left="567" w:hanging="567"/>
        <w:textAlignment w:val="baseline"/>
        <w:rPr>
          <w:szCs w:val="20"/>
          <w:lang w:val="cs-CZ"/>
        </w:rPr>
      </w:pPr>
      <w:r w:rsidRPr="003B6E11">
        <w:rPr>
          <w:lang w:val="cs-CZ"/>
        </w:rPr>
        <w:br w:type="page"/>
      </w:r>
    </w:p>
    <w:p w:rsidR="003B6E11" w:rsidRPr="003B6E11" w:rsidRDefault="003B6E11" w:rsidP="003B6E11">
      <w:pPr>
        <w:overflowPunct w:val="0"/>
        <w:adjustRightInd w:val="0"/>
        <w:spacing w:line="240" w:lineRule="atLeast"/>
        <w:ind w:left="567" w:hanging="567"/>
        <w:textAlignment w:val="baseline"/>
        <w:rPr>
          <w:szCs w:val="20"/>
          <w:lang w:val="cs-CZ"/>
        </w:rPr>
      </w:pPr>
      <w:r w:rsidRPr="003B6E11">
        <w:rPr>
          <w:b/>
          <w:lang w:val="cs-CZ"/>
        </w:rPr>
        <w:t>2.2</w:t>
      </w:r>
      <w:r w:rsidRPr="003B6E11">
        <w:rPr>
          <w:lang w:val="cs-CZ"/>
        </w:rPr>
        <w:tab/>
        <w:t xml:space="preserve">Referenční kotva </w:t>
      </w:r>
      <m:oMath>
        <m:r>
          <w:rPr>
            <w:rFonts w:ascii="Cambria Math" w:hAnsi="Cambria Math"/>
            <w:szCs w:val="20"/>
            <w:lang w:val="cs-CZ"/>
          </w:rPr>
          <m:t>A</m:t>
        </m:r>
      </m:oMath>
      <w:r w:rsidRPr="003B6E11">
        <w:rPr>
          <w:lang w:val="cs-CZ"/>
        </w:rPr>
        <w:t xml:space="preserve"> použitá při zkouškách musí být klasická sklopná kotva odpovídající nákresu a popisu níže, mající hmotnost alespoň 400 kg.</w:t>
      </w:r>
    </w:p>
    <w:p w:rsidR="003B6E11" w:rsidRPr="003B6E11" w:rsidRDefault="003B6E11" w:rsidP="003B6E11">
      <w:pPr>
        <w:overflowPunct w:val="0"/>
        <w:adjustRightInd w:val="0"/>
        <w:ind w:left="426" w:hanging="426"/>
        <w:textAlignment w:val="baseline"/>
        <w:rPr>
          <w:szCs w:val="20"/>
          <w:lang w:val="cs-CZ"/>
        </w:rPr>
      </w:pPr>
    </w:p>
    <w:p w:rsidR="003B6E11" w:rsidRPr="003B6E11" w:rsidRDefault="003B6E11" w:rsidP="003B6E11">
      <w:pPr>
        <w:overflowPunct w:val="0"/>
        <w:adjustRightInd w:val="0"/>
        <w:ind w:left="426" w:hanging="426"/>
        <w:textAlignment w:val="baseline"/>
        <w:rPr>
          <w:szCs w:val="20"/>
          <w:lang w:val="cs-CZ"/>
        </w:rPr>
      </w:pPr>
      <w:r w:rsidRPr="003B6E11">
        <w:rPr>
          <w:noProof/>
          <w:sz w:val="16"/>
          <w:szCs w:val="16"/>
          <w:lang w:eastAsia="en-GB"/>
        </w:rPr>
        <w:drawing>
          <wp:inline distT="0" distB="0" distL="0" distR="0" wp14:anchorId="2828CAD5" wp14:editId="3FFA05E0">
            <wp:extent cx="5962650" cy="2971800"/>
            <wp:effectExtent l="0" t="0" r="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62650" cy="2971800"/>
                    </a:xfrm>
                    <a:prstGeom prst="rect">
                      <a:avLst/>
                    </a:prstGeom>
                    <a:solidFill>
                      <a:srgbClr val="FFFFFF"/>
                    </a:solidFill>
                    <a:ln>
                      <a:noFill/>
                    </a:ln>
                  </pic:spPr>
                </pic:pic>
              </a:graphicData>
            </a:graphic>
          </wp:inline>
        </w:drawing>
      </w:r>
    </w:p>
    <w:p w:rsidR="003B6E11" w:rsidRPr="003B6E11" w:rsidRDefault="003B6E11" w:rsidP="003B6E11">
      <w:pPr>
        <w:overflowPunct w:val="0"/>
        <w:adjustRightInd w:val="0"/>
        <w:ind w:left="426" w:hanging="426"/>
        <w:textAlignment w:val="baseline"/>
        <w:rPr>
          <w:szCs w:val="20"/>
          <w:lang w:val="cs-CZ"/>
        </w:rPr>
      </w:pPr>
    </w:p>
    <w:p w:rsidR="003B6E11" w:rsidRPr="003B6E11" w:rsidRDefault="003B6E11" w:rsidP="003B6E11">
      <w:pPr>
        <w:overflowPunct w:val="0"/>
        <w:adjustRightInd w:val="0"/>
        <w:ind w:left="567" w:hanging="567"/>
        <w:textAlignment w:val="baseline"/>
        <w:rPr>
          <w:szCs w:val="20"/>
          <w:lang w:val="cs-CZ"/>
        </w:rPr>
      </w:pPr>
      <w:r w:rsidRPr="003B6E11">
        <w:rPr>
          <w:lang w:val="cs-CZ"/>
        </w:rPr>
        <w:tab/>
        <w:t>Pro uvedené rozměry a hmotnost platí přípustná odchylka ± 5 %. Povrchová plocha každého drápu však musí činit alespoň 0,15 m</w:t>
      </w:r>
      <w:r w:rsidRPr="003B6E11">
        <w:rPr>
          <w:vertAlign w:val="superscript"/>
          <w:lang w:val="cs-CZ"/>
        </w:rPr>
        <w:t>2</w:t>
      </w:r>
      <w:r w:rsidRPr="003B6E11">
        <w:rPr>
          <w:lang w:val="cs-CZ"/>
        </w:rPr>
        <w:t>.</w:t>
      </w:r>
    </w:p>
    <w:p w:rsidR="003B6E11" w:rsidRPr="003B6E11" w:rsidRDefault="003B6E11" w:rsidP="003B6E11">
      <w:pPr>
        <w:overflowPunct w:val="0"/>
        <w:adjustRightInd w:val="0"/>
        <w:ind w:left="567" w:hanging="567"/>
        <w:textAlignment w:val="baseline"/>
        <w:rPr>
          <w:szCs w:val="20"/>
          <w:lang w:val="cs-CZ"/>
        </w:rPr>
      </w:pPr>
    </w:p>
    <w:p w:rsidR="003B6E11" w:rsidRPr="003B6E11" w:rsidRDefault="003B6E11" w:rsidP="003B6E11">
      <w:pPr>
        <w:overflowPunct w:val="0"/>
        <w:adjustRightInd w:val="0"/>
        <w:ind w:left="567" w:hanging="567"/>
        <w:textAlignment w:val="baseline"/>
        <w:rPr>
          <w:szCs w:val="20"/>
          <w:lang w:val="cs-CZ"/>
        </w:rPr>
      </w:pPr>
      <w:r w:rsidRPr="003B6E11">
        <w:rPr>
          <w:b/>
          <w:lang w:val="cs-CZ"/>
        </w:rPr>
        <w:t>2.3</w:t>
      </w:r>
      <w:r w:rsidRPr="003B6E11">
        <w:rPr>
          <w:lang w:val="cs-CZ"/>
        </w:rPr>
        <w:tab/>
        <w:t xml:space="preserve">Hmotnost zvláštní kotvy B použité při zkouškách se nesmí odchylovat od hmotnosti referenční kotvy </w:t>
      </w:r>
      <m:oMath>
        <m:r>
          <w:rPr>
            <w:rFonts w:ascii="Cambria Math" w:hAnsi="Cambria Math"/>
            <w:szCs w:val="20"/>
            <w:lang w:val="cs-CZ"/>
          </w:rPr>
          <m:t>A</m:t>
        </m:r>
      </m:oMath>
      <w:r w:rsidRPr="003B6E11">
        <w:rPr>
          <w:lang w:val="cs-CZ"/>
        </w:rPr>
        <w:t xml:space="preserve"> o více než 10 %. Pokud jsou přípustné odchylky větší, musí se síly přepočítat poměrně k hmotnosti.</w:t>
      </w:r>
    </w:p>
    <w:p w:rsidR="003B6E11" w:rsidRPr="003B6E11" w:rsidRDefault="003B6E11" w:rsidP="003B6E11">
      <w:pPr>
        <w:overflowPunct w:val="0"/>
        <w:adjustRightInd w:val="0"/>
        <w:ind w:left="567" w:hanging="567"/>
        <w:textAlignment w:val="baseline"/>
        <w:rPr>
          <w:szCs w:val="20"/>
          <w:lang w:val="cs-CZ"/>
        </w:rPr>
      </w:pPr>
    </w:p>
    <w:p w:rsidR="003B6E11" w:rsidRPr="003B6E11" w:rsidRDefault="003B6E11" w:rsidP="003B6E11">
      <w:pPr>
        <w:overflowPunct w:val="0"/>
        <w:adjustRightInd w:val="0"/>
        <w:ind w:left="567" w:hanging="567"/>
        <w:textAlignment w:val="baseline"/>
        <w:rPr>
          <w:szCs w:val="20"/>
          <w:lang w:val="cs-CZ"/>
        </w:rPr>
      </w:pPr>
      <w:r w:rsidRPr="003B6E11">
        <w:rPr>
          <w:b/>
          <w:lang w:val="cs-CZ"/>
        </w:rPr>
        <w:t>2.4</w:t>
      </w:r>
      <w:r w:rsidRPr="003B6E11">
        <w:rPr>
          <w:lang w:val="cs-CZ"/>
        </w:rPr>
        <w:tab/>
        <w:t>Ve schématech brzdných sil musí být rychlost (</w:t>
      </w:r>
      <m:oMath>
        <m:r>
          <w:rPr>
            <w:rFonts w:ascii="Cambria Math" w:hAnsi="Cambria Math"/>
            <w:szCs w:val="20"/>
            <w:lang w:val="cs-CZ"/>
          </w:rPr>
          <m:t>v</m:t>
        </m:r>
      </m:oMath>
      <w:r w:rsidRPr="003B6E11">
        <w:rPr>
          <w:lang w:val="cs-CZ"/>
        </w:rPr>
        <w:t xml:space="preserve">) znázorněna lineárně v rozmezí 0 až 5 km/h (rychlost nad zemí). Za tímto účelem se u referenční kotvy </w:t>
      </w:r>
      <m:oMath>
        <m:r>
          <w:rPr>
            <w:rFonts w:ascii="Cambria Math" w:hAnsi="Cambria Math"/>
            <w:szCs w:val="20"/>
            <w:lang w:val="cs-CZ"/>
          </w:rPr>
          <m:t>A</m:t>
        </m:r>
      </m:oMath>
      <w:r w:rsidRPr="003B6E11">
        <w:rPr>
          <w:lang w:val="cs-CZ"/>
        </w:rPr>
        <w:t xml:space="preserve"> a zvláštní kotvy </w:t>
      </w:r>
      <m:oMath>
        <m:r>
          <w:rPr>
            <w:rFonts w:ascii="Cambria Math" w:hAnsi="Cambria Math"/>
            <w:szCs w:val="20"/>
            <w:lang w:val="cs-CZ"/>
          </w:rPr>
          <m:t>B</m:t>
        </m:r>
      </m:oMath>
      <w:r w:rsidRPr="003B6E11">
        <w:rPr>
          <w:lang w:val="cs-CZ"/>
        </w:rPr>
        <w:t xml:space="preserve"> provedou střídavě tři zkoušky ve směru proti proudu, a to ve dvou úsecích řeky stanovených příslušným orgánem, na jednom s hrubým štěrkem a na druhém s jemným pískem. Na řece Rýn lze jako referenční úsek pro zkoušky s hrubým štěrkem použít úsek mezi 401. a 402. km a jako referenční úsek pro zkoušky s jemným pískem úsek mezi 480. a 481. km.</w:t>
      </w:r>
    </w:p>
    <w:p w:rsidR="003B6E11" w:rsidRPr="003B6E11" w:rsidRDefault="003B6E11" w:rsidP="003B6E11">
      <w:pPr>
        <w:overflowPunct w:val="0"/>
        <w:adjustRightInd w:val="0"/>
        <w:ind w:left="567" w:hanging="567"/>
        <w:textAlignment w:val="baseline"/>
        <w:rPr>
          <w:szCs w:val="20"/>
          <w:lang w:val="cs-CZ"/>
        </w:rPr>
      </w:pPr>
    </w:p>
    <w:p w:rsidR="003B6E11" w:rsidRPr="003B6E11" w:rsidRDefault="003B6E11" w:rsidP="003B6E11">
      <w:pPr>
        <w:overflowPunct w:val="0"/>
        <w:adjustRightInd w:val="0"/>
        <w:ind w:left="567" w:hanging="567"/>
        <w:textAlignment w:val="baseline"/>
        <w:rPr>
          <w:szCs w:val="20"/>
          <w:lang w:val="cs-CZ"/>
        </w:rPr>
      </w:pPr>
      <w:r w:rsidRPr="003B6E11">
        <w:rPr>
          <w:b/>
          <w:lang w:val="cs-CZ"/>
        </w:rPr>
        <w:t>2.5</w:t>
      </w:r>
      <w:r w:rsidRPr="003B6E11">
        <w:rPr>
          <w:lang w:val="cs-CZ"/>
        </w:rPr>
        <w:tab/>
        <w:t>U každé zkoušky musí být zkoušená kotva vlečena ocelovým lanem, jehož délka mezi body připojení ke kotvě a k vlečnému plavidlu nebo zařízení je 10násobkem výšky mezi bodem připojení na plavidle a kotevní zemí.</w:t>
      </w:r>
    </w:p>
    <w:p w:rsidR="003B6E11" w:rsidRPr="003B6E11" w:rsidRDefault="003B6E11" w:rsidP="003B6E11">
      <w:pPr>
        <w:overflowPunct w:val="0"/>
        <w:adjustRightInd w:val="0"/>
        <w:ind w:left="567" w:hanging="567"/>
        <w:textAlignment w:val="baseline"/>
        <w:rPr>
          <w:szCs w:val="20"/>
          <w:lang w:val="cs-CZ"/>
        </w:rPr>
      </w:pPr>
    </w:p>
    <w:p w:rsidR="003B6E11" w:rsidRPr="003B6E11" w:rsidRDefault="003B6E11" w:rsidP="003B6E11">
      <w:pPr>
        <w:overflowPunct w:val="0"/>
        <w:adjustRightInd w:val="0"/>
        <w:ind w:left="567" w:hanging="567"/>
        <w:textAlignment w:val="baseline"/>
        <w:rPr>
          <w:szCs w:val="20"/>
          <w:lang w:val="cs-CZ"/>
        </w:rPr>
      </w:pPr>
      <w:r w:rsidRPr="003B6E11">
        <w:rPr>
          <w:lang w:val="cs-CZ"/>
        </w:rPr>
        <w:br w:type="page"/>
      </w:r>
    </w:p>
    <w:p w:rsidR="003B6E11" w:rsidRPr="003B6E11" w:rsidRDefault="003B6E11" w:rsidP="003B6E11">
      <w:pPr>
        <w:overflowPunct w:val="0"/>
        <w:adjustRightInd w:val="0"/>
        <w:ind w:left="567" w:hanging="567"/>
        <w:textAlignment w:val="baseline"/>
        <w:rPr>
          <w:szCs w:val="20"/>
          <w:lang w:val="cs-CZ"/>
        </w:rPr>
      </w:pPr>
      <w:r w:rsidRPr="003B6E11">
        <w:rPr>
          <w:b/>
          <w:lang w:val="cs-CZ"/>
        </w:rPr>
        <w:t>2.6</w:t>
      </w:r>
      <w:r w:rsidRPr="003B6E11">
        <w:rPr>
          <w:lang w:val="cs-CZ"/>
        </w:rPr>
        <w:tab/>
        <w:t>Procento snížení hmotnosti kotvy se vypočítá podle tohoto vzorce:</w:t>
      </w:r>
    </w:p>
    <w:p w:rsidR="003B6E11" w:rsidRPr="003B6E11" w:rsidRDefault="003B6E11" w:rsidP="003B6E11">
      <w:pPr>
        <w:tabs>
          <w:tab w:val="left" w:pos="567"/>
        </w:tabs>
        <w:overflowPunct w:val="0"/>
        <w:adjustRightInd w:val="0"/>
        <w:ind w:left="567" w:hanging="567"/>
        <w:textAlignment w:val="baseline"/>
        <w:rPr>
          <w:szCs w:val="20"/>
          <w:lang w:val="cs-CZ"/>
        </w:rPr>
      </w:pPr>
    </w:p>
    <w:p w:rsidR="003B6E11" w:rsidRPr="003B6E11" w:rsidRDefault="003B6E11" w:rsidP="003B6E11">
      <w:pPr>
        <w:tabs>
          <w:tab w:val="left" w:pos="567"/>
        </w:tabs>
        <w:overflowPunct w:val="0"/>
        <w:adjustRightInd w:val="0"/>
        <w:ind w:left="284" w:hanging="426"/>
        <w:textAlignment w:val="baseline"/>
        <w:rPr>
          <w:szCs w:val="20"/>
          <w:lang w:val="cs-CZ"/>
        </w:rPr>
      </w:pPr>
      <m:oMathPara>
        <m:oMath>
          <m:r>
            <w:rPr>
              <w:rFonts w:ascii="Cambria Math" w:hAnsi="Cambria Math"/>
              <w:szCs w:val="20"/>
              <w:lang w:val="cs-CZ"/>
            </w:rPr>
            <m:t xml:space="preserve">r=75 ∙ </m:t>
          </m:r>
          <m:d>
            <m:dPr>
              <m:ctrlPr>
                <w:rPr>
                  <w:rFonts w:ascii="Cambria Math" w:hAnsi="Cambria Math"/>
                  <w:i/>
                  <w:szCs w:val="20"/>
                  <w:lang w:val="cs-CZ"/>
                </w:rPr>
              </m:ctrlPr>
            </m:dPr>
            <m:e>
              <m:r>
                <w:rPr>
                  <w:rFonts w:ascii="Cambria Math" w:hAnsi="Cambria Math"/>
                  <w:szCs w:val="20"/>
                  <w:lang w:val="cs-CZ"/>
                </w:rPr>
                <m:t xml:space="preserve">1-0,5  </m:t>
              </m:r>
              <m:f>
                <m:fPr>
                  <m:ctrlPr>
                    <w:rPr>
                      <w:rFonts w:ascii="Cambria Math" w:hAnsi="Cambria Math"/>
                      <w:i/>
                      <w:szCs w:val="20"/>
                      <w:lang w:val="cs-CZ"/>
                    </w:rPr>
                  </m:ctrlPr>
                </m:fPr>
                <m:num>
                  <m:r>
                    <w:rPr>
                      <w:rFonts w:ascii="Cambria Math" w:hAnsi="Cambria Math"/>
                      <w:szCs w:val="20"/>
                      <w:lang w:val="cs-CZ"/>
                    </w:rPr>
                    <m:t>PB</m:t>
                  </m:r>
                </m:num>
                <m:den>
                  <m:r>
                    <w:rPr>
                      <w:rFonts w:ascii="Cambria Math" w:hAnsi="Cambria Math"/>
                      <w:szCs w:val="20"/>
                      <w:lang w:val="cs-CZ"/>
                    </w:rPr>
                    <m:t>PA</m:t>
                  </m:r>
                </m:den>
              </m:f>
              <m:r>
                <w:rPr>
                  <w:rFonts w:ascii="Cambria Math" w:hAnsi="Cambria Math"/>
                  <w:szCs w:val="20"/>
                  <w:lang w:val="cs-CZ"/>
                </w:rPr>
                <m:t xml:space="preserve"> </m:t>
              </m:r>
              <m:d>
                <m:dPr>
                  <m:ctrlPr>
                    <w:rPr>
                      <w:rFonts w:ascii="Cambria Math" w:hAnsi="Cambria Math"/>
                      <w:i/>
                      <w:szCs w:val="20"/>
                      <w:lang w:val="cs-CZ"/>
                    </w:rPr>
                  </m:ctrlPr>
                </m:dPr>
                <m:e>
                  <m:f>
                    <m:fPr>
                      <m:ctrlPr>
                        <w:rPr>
                          <w:rFonts w:ascii="Cambria Math" w:hAnsi="Cambria Math"/>
                          <w:i/>
                          <w:szCs w:val="20"/>
                          <w:lang w:val="cs-CZ"/>
                        </w:rPr>
                      </m:ctrlPr>
                    </m:fPr>
                    <m:num>
                      <m:r>
                        <w:rPr>
                          <w:rFonts w:ascii="Cambria Math" w:hAnsi="Cambria Math"/>
                          <w:szCs w:val="20"/>
                          <w:lang w:val="cs-CZ"/>
                        </w:rPr>
                        <m:t>FA</m:t>
                      </m:r>
                    </m:num>
                    <m:den>
                      <m:r>
                        <w:rPr>
                          <w:rFonts w:ascii="Cambria Math" w:hAnsi="Cambria Math"/>
                          <w:szCs w:val="20"/>
                          <w:lang w:val="cs-CZ"/>
                        </w:rPr>
                        <m:t>FB</m:t>
                      </m:r>
                    </m:den>
                  </m:f>
                  <m:r>
                    <w:rPr>
                      <w:rFonts w:ascii="Cambria Math" w:hAnsi="Cambria Math"/>
                      <w:szCs w:val="20"/>
                      <w:lang w:val="cs-CZ"/>
                    </w:rPr>
                    <m:t xml:space="preserve">+ </m:t>
                  </m:r>
                  <m:f>
                    <m:fPr>
                      <m:ctrlPr>
                        <w:rPr>
                          <w:rFonts w:ascii="Cambria Math" w:hAnsi="Cambria Math"/>
                          <w:i/>
                          <w:szCs w:val="20"/>
                          <w:lang w:val="cs-CZ"/>
                        </w:rPr>
                      </m:ctrlPr>
                    </m:fPr>
                    <m:num>
                      <m:r>
                        <w:rPr>
                          <w:rFonts w:ascii="Cambria Math" w:hAnsi="Cambria Math"/>
                          <w:szCs w:val="20"/>
                          <w:lang w:val="cs-CZ"/>
                        </w:rPr>
                        <m:t>AA</m:t>
                      </m:r>
                    </m:num>
                    <m:den>
                      <m:r>
                        <w:rPr>
                          <w:rFonts w:ascii="Cambria Math" w:hAnsi="Cambria Math"/>
                          <w:szCs w:val="20"/>
                          <w:lang w:val="cs-CZ"/>
                        </w:rPr>
                        <m:t>AB</m:t>
                      </m:r>
                    </m:den>
                  </m:f>
                </m:e>
              </m:d>
            </m:e>
          </m:d>
          <m:r>
            <w:rPr>
              <w:rFonts w:ascii="Cambria Math" w:hAnsi="Cambria Math"/>
              <w:szCs w:val="20"/>
              <w:lang w:val="cs-CZ"/>
            </w:rPr>
            <m:t xml:space="preserve"> </m:t>
          </m:r>
          <m:d>
            <m:dPr>
              <m:begChr m:val="["/>
              <m:endChr m:val="]"/>
              <m:ctrlPr>
                <w:rPr>
                  <w:rFonts w:ascii="Cambria Math" w:hAnsi="Cambria Math"/>
                  <w:i/>
                  <w:szCs w:val="20"/>
                  <w:lang w:val="cs-CZ"/>
                </w:rPr>
              </m:ctrlPr>
            </m:dPr>
            <m:e>
              <m:r>
                <w:rPr>
                  <w:rFonts w:ascii="Cambria Math" w:hAnsi="Cambria Math"/>
                  <w:szCs w:val="20"/>
                  <w:lang w:val="cs-CZ"/>
                </w:rPr>
                <m:t>%</m:t>
              </m:r>
            </m:e>
          </m:d>
        </m:oMath>
      </m:oMathPara>
    </w:p>
    <w:p w:rsidR="003B6E11" w:rsidRPr="003B6E11" w:rsidRDefault="003B6E11" w:rsidP="003B6E11">
      <w:pPr>
        <w:tabs>
          <w:tab w:val="left" w:pos="567"/>
        </w:tabs>
        <w:overflowPunct w:val="0"/>
        <w:adjustRightInd w:val="0"/>
        <w:ind w:left="284" w:hanging="426"/>
        <w:textAlignment w:val="baseline"/>
        <w:rPr>
          <w:szCs w:val="20"/>
          <w:lang w:val="cs-CZ"/>
        </w:rPr>
      </w:pPr>
    </w:p>
    <w:p w:rsidR="003B6E11" w:rsidRPr="003B6E11" w:rsidRDefault="003B6E11" w:rsidP="003B6E11">
      <w:pPr>
        <w:tabs>
          <w:tab w:val="left" w:pos="567"/>
        </w:tabs>
        <w:overflowPunct w:val="0"/>
        <w:adjustRightInd w:val="0"/>
        <w:ind w:left="567"/>
        <w:textAlignment w:val="baseline"/>
        <w:rPr>
          <w:szCs w:val="20"/>
          <w:lang w:val="cs-CZ"/>
        </w:rPr>
      </w:pPr>
      <w:r w:rsidRPr="003B6E11">
        <w:rPr>
          <w:lang w:val="cs-CZ"/>
        </w:rPr>
        <w:t>kde</w:t>
      </w:r>
    </w:p>
    <w:p w:rsidR="003B6E11" w:rsidRPr="003B6E11" w:rsidRDefault="003B6E11" w:rsidP="003B6E11">
      <w:pPr>
        <w:tabs>
          <w:tab w:val="left" w:pos="567"/>
        </w:tabs>
        <w:overflowPunct w:val="0"/>
        <w:adjustRightInd w:val="0"/>
        <w:ind w:left="567"/>
        <w:textAlignment w:val="baseline"/>
        <w:rPr>
          <w:szCs w:val="20"/>
          <w:lang w:val="cs-CZ"/>
        </w:rPr>
      </w:pPr>
    </w:p>
    <w:p w:rsidR="003B6E11" w:rsidRPr="003B6E11" w:rsidRDefault="003B6E11" w:rsidP="003B6E11">
      <w:pPr>
        <w:tabs>
          <w:tab w:val="left" w:pos="1134"/>
          <w:tab w:val="left" w:pos="1559"/>
        </w:tabs>
        <w:overflowPunct w:val="0"/>
        <w:adjustRightInd w:val="0"/>
        <w:spacing w:before="60"/>
        <w:ind w:left="1559" w:hanging="992"/>
        <w:textAlignment w:val="baseline"/>
        <w:rPr>
          <w:szCs w:val="20"/>
          <w:lang w:val="cs-CZ"/>
        </w:rPr>
      </w:pPr>
      <m:oMath>
        <m:r>
          <w:rPr>
            <w:rFonts w:ascii="Cambria Math" w:hAnsi="Cambria Math"/>
            <w:szCs w:val="20"/>
            <w:lang w:val="cs-CZ"/>
          </w:rPr>
          <m:t>r</m:t>
        </m:r>
      </m:oMath>
      <w:r w:rsidRPr="003B6E11">
        <w:rPr>
          <w:lang w:val="cs-CZ"/>
        </w:rPr>
        <w:tab/>
        <w:t>=</w:t>
      </w:r>
      <w:r w:rsidRPr="003B6E11">
        <w:rPr>
          <w:lang w:val="cs-CZ"/>
        </w:rPr>
        <w:tab/>
        <w:t xml:space="preserve">procento snížení hmotnosti zvláštní kotvy </w:t>
      </w:r>
      <m:oMath>
        <m:r>
          <w:rPr>
            <w:rFonts w:ascii="Cambria Math" w:hAnsi="Cambria Math"/>
            <w:szCs w:val="20"/>
            <w:lang w:val="cs-CZ"/>
          </w:rPr>
          <m:t>B</m:t>
        </m:r>
      </m:oMath>
      <w:r w:rsidRPr="003B6E11">
        <w:rPr>
          <w:lang w:val="cs-CZ"/>
        </w:rPr>
        <w:t xml:space="preserve"> vzhledem k referenční kotvě </w:t>
      </w:r>
      <m:oMath>
        <m:r>
          <w:rPr>
            <w:rFonts w:ascii="Cambria Math" w:hAnsi="Cambria Math"/>
            <w:szCs w:val="20"/>
            <w:lang w:val="cs-CZ"/>
          </w:rPr>
          <m:t>A</m:t>
        </m:r>
      </m:oMath>
      <w:r w:rsidRPr="003B6E11">
        <w:rPr>
          <w:lang w:val="cs-CZ"/>
        </w:rPr>
        <w:t>;</w:t>
      </w:r>
    </w:p>
    <w:p w:rsidR="003B6E11" w:rsidRPr="003B6E11" w:rsidRDefault="003B6E11" w:rsidP="003B6E11">
      <w:pPr>
        <w:tabs>
          <w:tab w:val="left" w:pos="1134"/>
          <w:tab w:val="left" w:pos="1559"/>
        </w:tabs>
        <w:overflowPunct w:val="0"/>
        <w:adjustRightInd w:val="0"/>
        <w:spacing w:before="60"/>
        <w:ind w:left="1559" w:hanging="992"/>
        <w:textAlignment w:val="baseline"/>
        <w:rPr>
          <w:szCs w:val="20"/>
          <w:lang w:val="cs-CZ"/>
        </w:rPr>
      </w:pPr>
      <m:oMath>
        <m:r>
          <w:rPr>
            <w:rFonts w:ascii="Cambria Math" w:hAnsi="Cambria Math"/>
            <w:szCs w:val="20"/>
            <w:lang w:val="cs-CZ"/>
          </w:rPr>
          <m:t>PA</m:t>
        </m:r>
      </m:oMath>
      <w:r w:rsidRPr="003B6E11">
        <w:rPr>
          <w:lang w:val="cs-CZ"/>
        </w:rPr>
        <w:tab/>
        <w:t>=</w:t>
      </w:r>
      <w:r w:rsidRPr="003B6E11">
        <w:rPr>
          <w:lang w:val="cs-CZ"/>
        </w:rPr>
        <w:tab/>
        <w:t xml:space="preserve">hmotnost referenční kotvy </w:t>
      </w:r>
      <m:oMath>
        <m:r>
          <w:rPr>
            <w:rFonts w:ascii="Cambria Math" w:hAnsi="Cambria Math"/>
            <w:szCs w:val="20"/>
            <w:lang w:val="cs-CZ"/>
          </w:rPr>
          <m:t>A</m:t>
        </m:r>
      </m:oMath>
      <w:r w:rsidRPr="003B6E11">
        <w:rPr>
          <w:lang w:val="cs-CZ"/>
        </w:rPr>
        <w:t>;</w:t>
      </w:r>
    </w:p>
    <w:p w:rsidR="003B6E11" w:rsidRPr="003B6E11" w:rsidRDefault="003B6E11" w:rsidP="003B6E11">
      <w:pPr>
        <w:tabs>
          <w:tab w:val="left" w:pos="1134"/>
          <w:tab w:val="left" w:pos="1559"/>
        </w:tabs>
        <w:overflowPunct w:val="0"/>
        <w:adjustRightInd w:val="0"/>
        <w:spacing w:before="60"/>
        <w:ind w:left="1559" w:hanging="992"/>
        <w:textAlignment w:val="baseline"/>
        <w:rPr>
          <w:szCs w:val="20"/>
          <w:lang w:val="cs-CZ"/>
        </w:rPr>
      </w:pPr>
      <m:oMath>
        <m:r>
          <w:rPr>
            <w:rFonts w:ascii="Cambria Math" w:hAnsi="Cambria Math"/>
            <w:szCs w:val="20"/>
            <w:lang w:val="cs-CZ"/>
          </w:rPr>
          <m:t>PB</m:t>
        </m:r>
      </m:oMath>
      <w:r w:rsidRPr="003B6E11">
        <w:rPr>
          <w:lang w:val="cs-CZ"/>
        </w:rPr>
        <w:tab/>
        <w:t>=</w:t>
      </w:r>
      <w:r w:rsidRPr="003B6E11">
        <w:rPr>
          <w:lang w:val="cs-CZ"/>
        </w:rPr>
        <w:tab/>
        <w:t xml:space="preserve">hmotnost zvláštní kotvy </w:t>
      </w:r>
      <m:oMath>
        <m:r>
          <w:rPr>
            <w:rFonts w:ascii="Cambria Math" w:hAnsi="Cambria Math"/>
            <w:szCs w:val="20"/>
            <w:lang w:val="cs-CZ"/>
          </w:rPr>
          <m:t>B</m:t>
        </m:r>
      </m:oMath>
      <w:r w:rsidRPr="003B6E11">
        <w:rPr>
          <w:lang w:val="cs-CZ"/>
        </w:rPr>
        <w:t>;</w:t>
      </w:r>
    </w:p>
    <w:p w:rsidR="003B6E11" w:rsidRPr="003B6E11" w:rsidRDefault="003B6E11" w:rsidP="003B6E11">
      <w:pPr>
        <w:tabs>
          <w:tab w:val="left" w:pos="1134"/>
          <w:tab w:val="left" w:pos="1559"/>
        </w:tabs>
        <w:overflowPunct w:val="0"/>
        <w:adjustRightInd w:val="0"/>
        <w:spacing w:before="60"/>
        <w:ind w:left="1559" w:hanging="992"/>
        <w:textAlignment w:val="baseline"/>
        <w:rPr>
          <w:szCs w:val="20"/>
          <w:lang w:val="cs-CZ"/>
        </w:rPr>
      </w:pPr>
      <m:oMath>
        <m:r>
          <w:rPr>
            <w:rFonts w:ascii="Cambria Math" w:hAnsi="Cambria Math"/>
            <w:szCs w:val="20"/>
            <w:lang w:val="cs-CZ"/>
          </w:rPr>
          <m:t>FA</m:t>
        </m:r>
      </m:oMath>
      <w:r w:rsidRPr="003B6E11">
        <w:rPr>
          <w:lang w:val="cs-CZ"/>
        </w:rPr>
        <w:tab/>
        <w:t>=</w:t>
      </w:r>
      <w:r w:rsidRPr="003B6E11">
        <w:rPr>
          <w:lang w:val="cs-CZ"/>
        </w:rPr>
        <w:tab/>
        <w:t xml:space="preserve">přídržná síla referenční kotvy </w:t>
      </w:r>
      <m:oMath>
        <m:r>
          <w:rPr>
            <w:rFonts w:ascii="Cambria Math" w:hAnsi="Cambria Math"/>
            <w:szCs w:val="20"/>
            <w:lang w:val="cs-CZ"/>
          </w:rPr>
          <m:t>A</m:t>
        </m:r>
      </m:oMath>
      <w:r w:rsidRPr="003B6E11">
        <w:rPr>
          <w:lang w:val="cs-CZ"/>
        </w:rPr>
        <w:t xml:space="preserve"> při </w:t>
      </w:r>
      <m:oMath>
        <m:r>
          <w:rPr>
            <w:rFonts w:ascii="Cambria Math" w:hAnsi="Cambria Math"/>
            <w:szCs w:val="20"/>
            <w:lang w:val="cs-CZ"/>
          </w:rPr>
          <m:t>v</m:t>
        </m:r>
      </m:oMath>
      <w:r w:rsidRPr="003B6E11">
        <w:rPr>
          <w:lang w:val="cs-CZ"/>
        </w:rPr>
        <w:t xml:space="preserve"> = 0,5 km/h;</w:t>
      </w:r>
    </w:p>
    <w:p w:rsidR="003B6E11" w:rsidRPr="003B6E11" w:rsidRDefault="003B6E11" w:rsidP="003B6E11">
      <w:pPr>
        <w:tabs>
          <w:tab w:val="left" w:pos="1134"/>
          <w:tab w:val="left" w:pos="1559"/>
        </w:tabs>
        <w:overflowPunct w:val="0"/>
        <w:adjustRightInd w:val="0"/>
        <w:spacing w:before="60"/>
        <w:ind w:left="1559" w:hanging="992"/>
        <w:textAlignment w:val="baseline"/>
        <w:rPr>
          <w:szCs w:val="20"/>
          <w:lang w:val="cs-CZ"/>
        </w:rPr>
      </w:pPr>
      <m:oMath>
        <m:r>
          <w:rPr>
            <w:rFonts w:ascii="Cambria Math" w:hAnsi="Cambria Math"/>
            <w:szCs w:val="20"/>
            <w:lang w:val="cs-CZ"/>
          </w:rPr>
          <m:t>FB</m:t>
        </m:r>
      </m:oMath>
      <w:r w:rsidRPr="003B6E11">
        <w:rPr>
          <w:lang w:val="cs-CZ"/>
        </w:rPr>
        <w:tab/>
        <w:t>=</w:t>
      </w:r>
      <w:r w:rsidRPr="003B6E11">
        <w:rPr>
          <w:lang w:val="cs-CZ"/>
        </w:rPr>
        <w:tab/>
        <w:t xml:space="preserve">přídržná síla zvláštní kotvy </w:t>
      </w:r>
      <m:oMath>
        <m:r>
          <w:rPr>
            <w:rFonts w:ascii="Cambria Math" w:hAnsi="Cambria Math"/>
            <w:szCs w:val="20"/>
            <w:lang w:val="cs-CZ"/>
          </w:rPr>
          <m:t>B</m:t>
        </m:r>
      </m:oMath>
      <w:r w:rsidRPr="003B6E11">
        <w:rPr>
          <w:lang w:val="cs-CZ"/>
        </w:rPr>
        <w:t xml:space="preserve"> při </w:t>
      </w:r>
      <m:oMath>
        <m:r>
          <w:rPr>
            <w:rFonts w:ascii="Cambria Math" w:hAnsi="Cambria Math"/>
            <w:szCs w:val="20"/>
            <w:lang w:val="cs-CZ"/>
          </w:rPr>
          <m:t>v</m:t>
        </m:r>
      </m:oMath>
      <w:r w:rsidRPr="003B6E11">
        <w:rPr>
          <w:lang w:val="cs-CZ"/>
        </w:rPr>
        <w:t xml:space="preserve"> = 0,5 km/h;</w:t>
      </w:r>
    </w:p>
    <w:p w:rsidR="003B6E11" w:rsidRPr="003B6E11" w:rsidRDefault="003B6E11" w:rsidP="003B6E11">
      <w:pPr>
        <w:tabs>
          <w:tab w:val="left" w:pos="1134"/>
          <w:tab w:val="left" w:pos="1559"/>
        </w:tabs>
        <w:overflowPunct w:val="0"/>
        <w:adjustRightInd w:val="0"/>
        <w:spacing w:before="60"/>
        <w:ind w:left="1559" w:hanging="992"/>
        <w:textAlignment w:val="baseline"/>
        <w:rPr>
          <w:szCs w:val="20"/>
          <w:lang w:val="cs-CZ"/>
        </w:rPr>
      </w:pPr>
      <m:oMath>
        <m:r>
          <w:rPr>
            <w:rFonts w:ascii="Cambria Math" w:hAnsi="Cambria Math"/>
            <w:szCs w:val="20"/>
            <w:lang w:val="cs-CZ"/>
          </w:rPr>
          <m:t>AA</m:t>
        </m:r>
      </m:oMath>
      <w:r w:rsidRPr="003B6E11">
        <w:rPr>
          <w:lang w:val="cs-CZ"/>
        </w:rPr>
        <w:tab/>
        <w:t>=</w:t>
      </w:r>
      <w:r w:rsidRPr="003B6E11">
        <w:rPr>
          <w:lang w:val="cs-CZ"/>
        </w:rPr>
        <w:tab/>
        <w:t>povrchová plocha na schématu brzdných sil vymezená:</w:t>
      </w:r>
    </w:p>
    <w:p w:rsidR="003B6E11" w:rsidRPr="003B6E11" w:rsidRDefault="003B6E11" w:rsidP="003B6E11">
      <w:pPr>
        <w:tabs>
          <w:tab w:val="left" w:pos="1985"/>
        </w:tabs>
        <w:overflowPunct w:val="0"/>
        <w:adjustRightInd w:val="0"/>
        <w:spacing w:before="60"/>
        <w:ind w:left="1984"/>
        <w:textAlignment w:val="baseline"/>
        <w:rPr>
          <w:szCs w:val="20"/>
          <w:lang w:val="cs-CZ"/>
        </w:rPr>
      </w:pPr>
      <w:r w:rsidRPr="003B6E11">
        <w:rPr>
          <w:lang w:val="cs-CZ"/>
        </w:rPr>
        <w:t>-</w:t>
      </w:r>
      <w:r w:rsidRPr="003B6E11">
        <w:rPr>
          <w:lang w:val="cs-CZ"/>
        </w:rPr>
        <w:tab/>
        <w:t xml:space="preserve">čárou rovnoběžnou s osou y při </w:t>
      </w:r>
      <m:oMath>
        <m:r>
          <w:rPr>
            <w:rFonts w:ascii="Cambria Math" w:hAnsi="Cambria Math"/>
            <w:szCs w:val="20"/>
            <w:lang w:val="cs-CZ"/>
          </w:rPr>
          <m:t>v</m:t>
        </m:r>
      </m:oMath>
      <w:r w:rsidRPr="003B6E11">
        <w:rPr>
          <w:lang w:val="cs-CZ"/>
        </w:rPr>
        <w:t xml:space="preserve"> = 0,</w:t>
      </w:r>
    </w:p>
    <w:p w:rsidR="003B6E11" w:rsidRPr="003B6E11" w:rsidRDefault="003B6E11" w:rsidP="003B6E11">
      <w:pPr>
        <w:tabs>
          <w:tab w:val="left" w:pos="1985"/>
        </w:tabs>
        <w:overflowPunct w:val="0"/>
        <w:adjustRightInd w:val="0"/>
        <w:spacing w:before="60"/>
        <w:ind w:left="1984"/>
        <w:textAlignment w:val="baseline"/>
        <w:rPr>
          <w:szCs w:val="20"/>
          <w:lang w:val="cs-CZ"/>
        </w:rPr>
      </w:pPr>
      <w:r w:rsidRPr="003B6E11">
        <w:rPr>
          <w:lang w:val="cs-CZ"/>
        </w:rPr>
        <w:t>-</w:t>
      </w:r>
      <w:r w:rsidRPr="003B6E11">
        <w:rPr>
          <w:lang w:val="cs-CZ"/>
        </w:rPr>
        <w:tab/>
        <w:t xml:space="preserve">čárou rovnoběžnou s osou y při </w:t>
      </w:r>
      <m:oMath>
        <m:r>
          <w:rPr>
            <w:rFonts w:ascii="Cambria Math" w:hAnsi="Cambria Math"/>
            <w:szCs w:val="20"/>
            <w:lang w:val="cs-CZ"/>
          </w:rPr>
          <m:t>v</m:t>
        </m:r>
      </m:oMath>
      <w:r w:rsidRPr="003B6E11">
        <w:rPr>
          <w:lang w:val="cs-CZ"/>
        </w:rPr>
        <w:t xml:space="preserve"> = 5 km/h,</w:t>
      </w:r>
    </w:p>
    <w:p w:rsidR="003B6E11" w:rsidRPr="003B6E11" w:rsidRDefault="003B6E11" w:rsidP="003B6E11">
      <w:pPr>
        <w:tabs>
          <w:tab w:val="left" w:pos="1985"/>
        </w:tabs>
        <w:overflowPunct w:val="0"/>
        <w:adjustRightInd w:val="0"/>
        <w:spacing w:before="60"/>
        <w:ind w:left="1984"/>
        <w:textAlignment w:val="baseline"/>
        <w:rPr>
          <w:szCs w:val="20"/>
          <w:lang w:val="cs-CZ"/>
        </w:rPr>
      </w:pPr>
      <w:r w:rsidRPr="003B6E11">
        <w:rPr>
          <w:lang w:val="cs-CZ"/>
        </w:rPr>
        <w:t>-</w:t>
      </w:r>
      <w:r w:rsidRPr="003B6E11">
        <w:rPr>
          <w:lang w:val="cs-CZ"/>
        </w:rPr>
        <w:tab/>
        <w:t xml:space="preserve">čárou rovnoběžnou s osou x při přídržné síle </w:t>
      </w:r>
      <m:oMath>
        <m:r>
          <w:rPr>
            <w:rFonts w:ascii="Cambria Math" w:hAnsi="Cambria Math"/>
            <w:szCs w:val="20"/>
            <w:lang w:val="cs-CZ"/>
          </w:rPr>
          <m:t>F</m:t>
        </m:r>
      </m:oMath>
      <w:r w:rsidRPr="003B6E11">
        <w:rPr>
          <w:lang w:val="cs-CZ"/>
        </w:rPr>
        <w:t xml:space="preserve"> = 0,</w:t>
      </w:r>
    </w:p>
    <w:p w:rsidR="003B6E11" w:rsidRPr="003B6E11" w:rsidRDefault="003B6E11" w:rsidP="003B6E11">
      <w:pPr>
        <w:tabs>
          <w:tab w:val="left" w:pos="1985"/>
        </w:tabs>
        <w:overflowPunct w:val="0"/>
        <w:adjustRightInd w:val="0"/>
        <w:spacing w:before="60"/>
        <w:ind w:left="1984"/>
        <w:textAlignment w:val="baseline"/>
        <w:rPr>
          <w:szCs w:val="20"/>
          <w:lang w:val="cs-CZ"/>
        </w:rPr>
      </w:pPr>
      <w:r w:rsidRPr="003B6E11">
        <w:rPr>
          <w:lang w:val="cs-CZ"/>
        </w:rPr>
        <w:t>-</w:t>
      </w:r>
      <w:r w:rsidRPr="003B6E11">
        <w:rPr>
          <w:lang w:val="cs-CZ"/>
        </w:rPr>
        <w:tab/>
        <w:t xml:space="preserve">křivkou brzdné síly pro referenční kotvu </w:t>
      </w:r>
      <m:oMath>
        <m:r>
          <w:rPr>
            <w:rFonts w:ascii="Cambria Math" w:hAnsi="Cambria Math"/>
            <w:szCs w:val="20"/>
            <w:lang w:val="cs-CZ"/>
          </w:rPr>
          <m:t>A</m:t>
        </m:r>
      </m:oMath>
      <w:r w:rsidRPr="003B6E11">
        <w:rPr>
          <w:lang w:val="cs-CZ"/>
        </w:rPr>
        <w:t>;</w:t>
      </w:r>
    </w:p>
    <w:p w:rsidR="003B6E11" w:rsidRPr="003B6E11" w:rsidRDefault="003B6E11" w:rsidP="003B6E11">
      <w:pPr>
        <w:tabs>
          <w:tab w:val="left" w:pos="1134"/>
          <w:tab w:val="left" w:pos="1559"/>
        </w:tabs>
        <w:overflowPunct w:val="0"/>
        <w:adjustRightInd w:val="0"/>
        <w:spacing w:before="60"/>
        <w:ind w:left="1559" w:hanging="992"/>
        <w:textAlignment w:val="baseline"/>
        <w:rPr>
          <w:szCs w:val="20"/>
          <w:lang w:val="cs-CZ"/>
        </w:rPr>
      </w:pPr>
      <m:oMath>
        <m:r>
          <w:rPr>
            <w:rFonts w:ascii="Cambria Math" w:hAnsi="Cambria Math"/>
            <w:szCs w:val="20"/>
            <w:lang w:val="cs-CZ"/>
          </w:rPr>
          <m:t>AB</m:t>
        </m:r>
      </m:oMath>
      <w:r w:rsidRPr="003B6E11">
        <w:rPr>
          <w:lang w:val="cs-CZ"/>
        </w:rPr>
        <w:tab/>
        <w:t>=</w:t>
      </w:r>
      <w:r w:rsidRPr="003B6E11">
        <w:rPr>
          <w:lang w:val="cs-CZ"/>
        </w:rPr>
        <w:tab/>
        <w:t xml:space="preserve">stejná definice jako pro </w:t>
      </w:r>
      <m:oMath>
        <m:r>
          <w:rPr>
            <w:rFonts w:ascii="Cambria Math" w:hAnsi="Cambria Math"/>
            <w:szCs w:val="20"/>
            <w:lang w:val="cs-CZ"/>
          </w:rPr>
          <m:t>AA</m:t>
        </m:r>
      </m:oMath>
      <w:r w:rsidRPr="003B6E11">
        <w:rPr>
          <w:lang w:val="cs-CZ"/>
        </w:rPr>
        <w:t xml:space="preserve"> s výjimkou toho, že je použita křivka brzdné síly zvláštní kotvy </w:t>
      </w:r>
      <m:oMath>
        <m:r>
          <w:rPr>
            <w:rFonts w:ascii="Cambria Math" w:hAnsi="Cambria Math"/>
            <w:szCs w:val="20"/>
            <w:lang w:val="cs-CZ"/>
          </w:rPr>
          <m:t>B</m:t>
        </m:r>
      </m:oMath>
      <w:r w:rsidRPr="003B6E11">
        <w:rPr>
          <w:lang w:val="cs-CZ"/>
        </w:rPr>
        <w:t>.</w:t>
      </w:r>
    </w:p>
    <w:p w:rsidR="003B6E11" w:rsidRPr="003B6E11" w:rsidRDefault="003B6E11" w:rsidP="003B6E11">
      <w:pPr>
        <w:tabs>
          <w:tab w:val="left" w:pos="284"/>
        </w:tabs>
        <w:overflowPunct w:val="0"/>
        <w:adjustRightInd w:val="0"/>
        <w:textAlignment w:val="baseline"/>
        <w:rPr>
          <w:szCs w:val="20"/>
          <w:lang w:val="cs-CZ"/>
        </w:rPr>
      </w:pPr>
    </w:p>
    <w:p w:rsidR="003B6E11" w:rsidRPr="003B6E11" w:rsidRDefault="003B6E11" w:rsidP="003B6E11">
      <w:pPr>
        <w:tabs>
          <w:tab w:val="left" w:pos="284"/>
        </w:tabs>
        <w:overflowPunct w:val="0"/>
        <w:adjustRightInd w:val="0"/>
        <w:textAlignment w:val="baseline"/>
        <w:rPr>
          <w:szCs w:val="20"/>
          <w:lang w:val="cs-CZ"/>
        </w:rPr>
      </w:pPr>
    </w:p>
    <w:p w:rsidR="003B6E11" w:rsidRPr="003B6E11" w:rsidRDefault="003B6E11" w:rsidP="003B6E11">
      <w:pPr>
        <w:tabs>
          <w:tab w:val="left" w:pos="284"/>
        </w:tabs>
        <w:overflowPunct w:val="0"/>
        <w:adjustRightInd w:val="0"/>
        <w:jc w:val="center"/>
        <w:textAlignment w:val="baseline"/>
        <w:rPr>
          <w:b/>
          <w:szCs w:val="20"/>
          <w:lang w:val="cs-CZ"/>
        </w:rPr>
      </w:pPr>
      <w:r w:rsidRPr="003B6E11">
        <w:rPr>
          <w:b/>
          <w:lang w:val="cs-CZ"/>
        </w:rPr>
        <w:t>Modelové schéma brzdných sil</w:t>
      </w:r>
    </w:p>
    <w:p w:rsidR="003B6E11" w:rsidRPr="003B6E11" w:rsidRDefault="003B6E11" w:rsidP="003B6E11">
      <w:pPr>
        <w:tabs>
          <w:tab w:val="left" w:pos="284"/>
        </w:tabs>
        <w:overflowPunct w:val="0"/>
        <w:adjustRightInd w:val="0"/>
        <w:jc w:val="center"/>
        <w:textAlignment w:val="baseline"/>
        <w:rPr>
          <w:b/>
          <w:szCs w:val="20"/>
          <w:lang w:val="cs-CZ"/>
        </w:rPr>
      </w:pPr>
      <w:r w:rsidRPr="003B6E11">
        <w:rPr>
          <w:b/>
          <w:lang w:val="cs-CZ"/>
        </w:rPr>
        <w:t xml:space="preserve">(Určení povrchových ploch </w:t>
      </w:r>
      <m:oMath>
        <m:r>
          <m:rPr>
            <m:sty m:val="bi"/>
          </m:rPr>
          <w:rPr>
            <w:rFonts w:ascii="Cambria Math" w:hAnsi="Cambria Math"/>
            <w:szCs w:val="20"/>
            <w:lang w:val="cs-CZ"/>
          </w:rPr>
          <m:t>AA</m:t>
        </m:r>
      </m:oMath>
      <w:r w:rsidRPr="003B6E11">
        <w:rPr>
          <w:b/>
          <w:lang w:val="cs-CZ"/>
        </w:rPr>
        <w:t xml:space="preserve"> a </w:t>
      </w:r>
      <m:oMath>
        <m:r>
          <m:rPr>
            <m:sty m:val="bi"/>
          </m:rPr>
          <w:rPr>
            <w:rFonts w:ascii="Cambria Math" w:hAnsi="Cambria Math"/>
            <w:szCs w:val="20"/>
            <w:lang w:val="cs-CZ"/>
          </w:rPr>
          <m:t xml:space="preserve"> AB</m:t>
        </m:r>
      </m:oMath>
      <w:r w:rsidRPr="003B6E11">
        <w:rPr>
          <w:b/>
          <w:lang w:val="cs-CZ"/>
        </w:rPr>
        <w:t>)</w:t>
      </w:r>
    </w:p>
    <w:p w:rsidR="003B6E11" w:rsidRPr="003B6E11" w:rsidRDefault="003B6E11" w:rsidP="003B6E11">
      <w:pPr>
        <w:tabs>
          <w:tab w:val="left" w:pos="284"/>
        </w:tabs>
        <w:overflowPunct w:val="0"/>
        <w:adjustRightInd w:val="0"/>
        <w:ind w:left="1134" w:hanging="1276"/>
        <w:jc w:val="center"/>
        <w:textAlignment w:val="baseline"/>
        <w:rPr>
          <w:noProof/>
          <w:szCs w:val="20"/>
          <w:lang w:val="cs-CZ"/>
        </w:rPr>
      </w:pPr>
      <w:r w:rsidRPr="003B6E11">
        <w:rPr>
          <w:rFonts w:cs="Arial"/>
          <w:noProof/>
          <w:szCs w:val="20"/>
          <w:lang w:eastAsia="en-GB"/>
        </w:rPr>
        <w:drawing>
          <wp:anchor distT="0" distB="0" distL="114300" distR="114300" simplePos="0" relativeHeight="251692032" behindDoc="0" locked="0" layoutInCell="1" allowOverlap="1" wp14:anchorId="75C03A90" wp14:editId="6A939E7F">
            <wp:simplePos x="0" y="0"/>
            <wp:positionH relativeFrom="column">
              <wp:posOffset>533400</wp:posOffset>
            </wp:positionH>
            <wp:positionV relativeFrom="paragraph">
              <wp:posOffset>213360</wp:posOffset>
            </wp:positionV>
            <wp:extent cx="5114290" cy="2333625"/>
            <wp:effectExtent l="0" t="0" r="0" b="9525"/>
            <wp:wrapTopAndBottom/>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11429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E11" w:rsidRPr="003B6E11" w:rsidRDefault="003B6E11" w:rsidP="003B6E11">
      <w:pPr>
        <w:tabs>
          <w:tab w:val="left" w:pos="284"/>
        </w:tabs>
        <w:overflowPunct w:val="0"/>
        <w:adjustRightInd w:val="0"/>
        <w:ind w:left="1134" w:hanging="1276"/>
        <w:jc w:val="center"/>
        <w:textAlignment w:val="baseline"/>
        <w:rPr>
          <w:szCs w:val="20"/>
          <w:lang w:val="cs-CZ"/>
        </w:rPr>
      </w:pPr>
    </w:p>
    <w:p w:rsidR="003B6E11" w:rsidRPr="003B6E11" w:rsidRDefault="003B6E11" w:rsidP="003B6E11">
      <w:pPr>
        <w:tabs>
          <w:tab w:val="left" w:pos="284"/>
        </w:tabs>
        <w:overflowPunct w:val="0"/>
        <w:adjustRightInd w:val="0"/>
        <w:ind w:left="1134" w:hanging="1276"/>
        <w:textAlignment w:val="baseline"/>
        <w:rPr>
          <w:szCs w:val="20"/>
          <w:lang w:val="cs-CZ"/>
        </w:rPr>
      </w:pPr>
    </w:p>
    <w:p w:rsidR="003B6E11" w:rsidRPr="003B6E11" w:rsidRDefault="003B6E11" w:rsidP="003B6E11">
      <w:pPr>
        <w:tabs>
          <w:tab w:val="left" w:pos="567"/>
        </w:tabs>
        <w:overflowPunct w:val="0"/>
        <w:adjustRightInd w:val="0"/>
        <w:ind w:left="567" w:hanging="567"/>
        <w:textAlignment w:val="baseline"/>
        <w:rPr>
          <w:szCs w:val="20"/>
          <w:lang w:val="cs-CZ"/>
        </w:rPr>
      </w:pPr>
      <w:r w:rsidRPr="003B6E11">
        <w:rPr>
          <w:b/>
          <w:lang w:val="cs-CZ"/>
        </w:rPr>
        <w:t>2.7</w:t>
      </w:r>
      <w:r w:rsidRPr="003B6E11">
        <w:rPr>
          <w:lang w:val="cs-CZ"/>
        </w:rPr>
        <w:tab/>
        <w:t xml:space="preserve">Přijatelné procento je průměrem šesti hodnot </w:t>
      </w:r>
      <m:oMath>
        <m:r>
          <w:rPr>
            <w:rFonts w:ascii="Cambria Math" w:hAnsi="Cambria Math"/>
            <w:szCs w:val="20"/>
            <w:lang w:val="cs-CZ"/>
          </w:rPr>
          <m:t>r</m:t>
        </m:r>
      </m:oMath>
      <w:r w:rsidRPr="003B6E11">
        <w:rPr>
          <w:lang w:val="cs-CZ"/>
        </w:rPr>
        <w:t xml:space="preserve"> vypočítaných podle bodu 2.6.</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sectPr w:rsidR="003B6E11" w:rsidRPr="003B6E11" w:rsidSect="00D45887">
          <w:footnotePr>
            <w:numRestart w:val="eachPage"/>
          </w:footnotePr>
          <w:pgSz w:w="11907" w:h="16840" w:code="9"/>
          <w:pgMar w:top="1418" w:right="1418" w:bottom="1418" w:left="1418" w:header="680" w:footer="680" w:gutter="0"/>
          <w:cols w:space="720"/>
          <w:docGrid w:linePitch="326"/>
        </w:sectPr>
      </w:pPr>
    </w:p>
    <w:p w:rsidR="003B6E11" w:rsidRPr="003B6E11" w:rsidRDefault="003B6E11" w:rsidP="003B6E11">
      <w:pPr>
        <w:pStyle w:val="ES-Titre4"/>
      </w:pPr>
      <w:r w:rsidRPr="003B6E11">
        <w:t>Příloha 1 k pokynu ESI-II-9</w:t>
      </w:r>
    </w:p>
    <w:p w:rsidR="003B6E11" w:rsidRPr="003B6E11" w:rsidRDefault="003B6E11" w:rsidP="003B6E11">
      <w:pPr>
        <w:pStyle w:val="ES-Titre4a"/>
      </w:pPr>
      <w:r w:rsidRPr="003B6E11">
        <w:t>Příklad zkušební metody pro kotvu u jednořadé dvoudílné tlačené sestavy</w:t>
      </w:r>
    </w:p>
    <w:p w:rsidR="003B6E11" w:rsidRPr="003B6E11" w:rsidRDefault="003B6E11" w:rsidP="003B6E11">
      <w:pPr>
        <w:tabs>
          <w:tab w:val="left" w:pos="284"/>
          <w:tab w:val="left" w:pos="567"/>
        </w:tabs>
        <w:overflowPunct w:val="0"/>
        <w:adjustRightInd w:val="0"/>
        <w:ind w:left="284" w:hanging="426"/>
        <w:textAlignment w:val="baseline"/>
        <w:rPr>
          <w:szCs w:val="20"/>
          <w:lang w:val="cs-CZ"/>
        </w:rPr>
      </w:pPr>
    </w:p>
    <w:p w:rsidR="003B6E11" w:rsidRPr="003B6E11" w:rsidRDefault="003B6E11" w:rsidP="003B6E11">
      <w:pPr>
        <w:tabs>
          <w:tab w:val="left" w:pos="284"/>
          <w:tab w:val="left" w:pos="567"/>
        </w:tabs>
        <w:overflowPunct w:val="0"/>
        <w:adjustRightInd w:val="0"/>
        <w:ind w:left="284" w:hanging="426"/>
        <w:textAlignment w:val="baseline"/>
        <w:rPr>
          <w:szCs w:val="20"/>
          <w:lang w:val="cs-CZ"/>
        </w:rPr>
      </w:pPr>
    </w:p>
    <w:p w:rsidR="003B6E11" w:rsidRPr="003B6E11" w:rsidRDefault="003B6E11" w:rsidP="003B6E11">
      <w:pPr>
        <w:tabs>
          <w:tab w:val="left" w:pos="567"/>
        </w:tabs>
        <w:overflowPunct w:val="0"/>
        <w:adjustRightInd w:val="0"/>
        <w:ind w:left="284" w:hanging="426"/>
        <w:textAlignment w:val="baseline"/>
        <w:rPr>
          <w:szCs w:val="20"/>
          <w:lang w:val="cs-CZ"/>
        </w:rPr>
      </w:pPr>
    </w:p>
    <w:p w:rsidR="003B6E11" w:rsidRPr="003B6E11" w:rsidRDefault="003B6E11" w:rsidP="003B6E11">
      <w:pPr>
        <w:tabs>
          <w:tab w:val="left" w:pos="567"/>
        </w:tabs>
        <w:overflowPunct w:val="0"/>
        <w:adjustRightInd w:val="0"/>
        <w:ind w:left="284" w:hanging="426"/>
        <w:textAlignment w:val="baseline"/>
        <w:rPr>
          <w:szCs w:val="20"/>
          <w:lang w:val="cs-CZ"/>
        </w:rPr>
      </w:pPr>
    </w:p>
    <w:tbl>
      <w:tblPr>
        <w:tblW w:w="0" w:type="auto"/>
        <w:jc w:val="center"/>
        <w:tblLayout w:type="fixed"/>
        <w:tblLook w:val="0000" w:firstRow="0" w:lastRow="0" w:firstColumn="0" w:lastColumn="0" w:noHBand="0" w:noVBand="0"/>
      </w:tblPr>
      <w:tblGrid>
        <w:gridCol w:w="1240"/>
        <w:gridCol w:w="1268"/>
        <w:gridCol w:w="293"/>
        <w:gridCol w:w="945"/>
        <w:gridCol w:w="529"/>
        <w:gridCol w:w="765"/>
        <w:gridCol w:w="69"/>
        <w:gridCol w:w="752"/>
        <w:gridCol w:w="1476"/>
        <w:gridCol w:w="483"/>
        <w:gridCol w:w="998"/>
        <w:gridCol w:w="1082"/>
      </w:tblGrid>
      <w:tr w:rsidR="003B6E11" w:rsidRPr="003B6E11" w:rsidTr="002D015D">
        <w:trPr>
          <w:jc w:val="center"/>
        </w:trPr>
        <w:tc>
          <w:tcPr>
            <w:tcW w:w="2801" w:type="dxa"/>
            <w:gridSpan w:val="3"/>
          </w:tcPr>
          <w:p w:rsidR="003B6E11" w:rsidRPr="003B6E11" w:rsidRDefault="003B6E11" w:rsidP="002D015D">
            <w:pPr>
              <w:suppressAutoHyphens/>
              <w:snapToGrid w:val="0"/>
              <w:spacing w:before="120" w:after="120"/>
              <w:rPr>
                <w:rFonts w:cs="Arial"/>
                <w:sz w:val="18"/>
                <w:szCs w:val="18"/>
                <w:lang w:val="cs-CZ"/>
              </w:rPr>
            </w:pPr>
            <w:r w:rsidRPr="003B6E11">
              <w:rPr>
                <w:sz w:val="18"/>
                <w:lang w:val="cs-CZ"/>
              </w:rPr>
              <w:t>Tlačný remorkér</w:t>
            </w:r>
          </w:p>
        </w:tc>
        <w:tc>
          <w:tcPr>
            <w:tcW w:w="1474" w:type="dxa"/>
            <w:gridSpan w:val="2"/>
          </w:tcPr>
          <w:p w:rsidR="003B6E11" w:rsidRPr="003B6E11" w:rsidRDefault="003B6E11" w:rsidP="002D015D">
            <w:pPr>
              <w:suppressAutoHyphens/>
              <w:snapToGrid w:val="0"/>
              <w:spacing w:before="120" w:after="120"/>
              <w:rPr>
                <w:rFonts w:cs="Arial"/>
                <w:sz w:val="18"/>
                <w:szCs w:val="18"/>
                <w:lang w:val="cs-CZ"/>
              </w:rPr>
            </w:pPr>
            <w:r w:rsidRPr="003B6E11">
              <w:rPr>
                <w:sz w:val="18"/>
                <w:lang w:val="cs-CZ"/>
              </w:rPr>
              <w:t>Druhý tlačný člun</w:t>
            </w:r>
          </w:p>
        </w:tc>
        <w:tc>
          <w:tcPr>
            <w:tcW w:w="1586" w:type="dxa"/>
            <w:gridSpan w:val="3"/>
          </w:tcPr>
          <w:p w:rsidR="003B6E11" w:rsidRPr="003B6E11" w:rsidRDefault="003B6E11" w:rsidP="002D015D">
            <w:pPr>
              <w:suppressAutoHyphens/>
              <w:snapToGrid w:val="0"/>
              <w:spacing w:before="120" w:after="120"/>
              <w:rPr>
                <w:rFonts w:cs="Arial"/>
                <w:sz w:val="18"/>
                <w:szCs w:val="18"/>
                <w:lang w:val="cs-CZ"/>
              </w:rPr>
            </w:pPr>
          </w:p>
        </w:tc>
        <w:tc>
          <w:tcPr>
            <w:tcW w:w="1476" w:type="dxa"/>
          </w:tcPr>
          <w:p w:rsidR="003B6E11" w:rsidRPr="003B6E11" w:rsidRDefault="003B6E11" w:rsidP="002D015D">
            <w:pPr>
              <w:suppressAutoHyphens/>
              <w:snapToGrid w:val="0"/>
              <w:spacing w:before="120" w:after="120"/>
              <w:rPr>
                <w:rFonts w:cs="Arial"/>
                <w:sz w:val="18"/>
                <w:szCs w:val="18"/>
                <w:lang w:val="cs-CZ"/>
              </w:rPr>
            </w:pPr>
          </w:p>
        </w:tc>
        <w:tc>
          <w:tcPr>
            <w:tcW w:w="1481" w:type="dxa"/>
            <w:gridSpan w:val="2"/>
          </w:tcPr>
          <w:p w:rsidR="003B6E11" w:rsidRPr="003B6E11" w:rsidRDefault="003B6E11" w:rsidP="002D015D">
            <w:pPr>
              <w:suppressAutoHyphens/>
              <w:snapToGrid w:val="0"/>
              <w:spacing w:before="120" w:after="120"/>
              <w:rPr>
                <w:rFonts w:cs="Arial"/>
                <w:sz w:val="18"/>
                <w:szCs w:val="18"/>
                <w:lang w:val="cs-CZ"/>
              </w:rPr>
            </w:pPr>
            <w:r w:rsidRPr="003B6E11">
              <w:rPr>
                <w:sz w:val="18"/>
                <w:lang w:val="cs-CZ"/>
              </w:rPr>
              <w:t>První tlačný člun</w:t>
            </w:r>
          </w:p>
        </w:tc>
        <w:tc>
          <w:tcPr>
            <w:tcW w:w="1082" w:type="dxa"/>
          </w:tcPr>
          <w:p w:rsidR="003B6E11" w:rsidRPr="003B6E11" w:rsidRDefault="003B6E11" w:rsidP="002D015D">
            <w:pPr>
              <w:suppressAutoHyphens/>
              <w:snapToGrid w:val="0"/>
              <w:spacing w:before="120" w:after="120"/>
              <w:rPr>
                <w:rFonts w:cs="Arial"/>
                <w:sz w:val="18"/>
                <w:szCs w:val="18"/>
                <w:lang w:val="cs-CZ"/>
              </w:rPr>
            </w:pPr>
          </w:p>
        </w:tc>
      </w:tr>
      <w:tr w:rsidR="003B6E11" w:rsidRPr="003B6E11" w:rsidTr="002D015D">
        <w:trPr>
          <w:jc w:val="center"/>
        </w:trPr>
        <w:tc>
          <w:tcPr>
            <w:tcW w:w="9900" w:type="dxa"/>
            <w:gridSpan w:val="12"/>
          </w:tcPr>
          <w:p w:rsidR="003B6E11" w:rsidRPr="003B6E11" w:rsidRDefault="003B6E11" w:rsidP="002D015D">
            <w:pPr>
              <w:suppressAutoHyphens/>
              <w:snapToGrid w:val="0"/>
              <w:rPr>
                <w:rFonts w:ascii="Times New Roman" w:hAnsi="Times New Roman"/>
                <w:sz w:val="2"/>
                <w:szCs w:val="2"/>
                <w:lang w:val="cs-CZ"/>
              </w:rPr>
            </w:pPr>
            <w:r w:rsidRPr="003B6E11">
              <w:rPr>
                <w:rFonts w:ascii="Times New Roman" w:hAnsi="Times New Roman"/>
                <w:noProof/>
                <w:sz w:val="24"/>
                <w:lang w:eastAsia="en-GB"/>
              </w:rPr>
              <w:drawing>
                <wp:anchor distT="0" distB="0" distL="114935" distR="114935" simplePos="0" relativeHeight="251686912" behindDoc="0" locked="0" layoutInCell="1" allowOverlap="1" wp14:anchorId="3C345577" wp14:editId="3EBF7C37">
                  <wp:simplePos x="0" y="0"/>
                  <wp:positionH relativeFrom="column">
                    <wp:posOffset>-70485</wp:posOffset>
                  </wp:positionH>
                  <wp:positionV relativeFrom="paragraph">
                    <wp:posOffset>-1298575</wp:posOffset>
                  </wp:positionV>
                  <wp:extent cx="6282690" cy="1290320"/>
                  <wp:effectExtent l="0" t="0" r="3810" b="5080"/>
                  <wp:wrapTopAndBottom/>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282690" cy="12903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3B6E11" w:rsidRPr="003B6E11" w:rsidTr="002D015D">
        <w:trPr>
          <w:jc w:val="center"/>
        </w:trPr>
        <w:tc>
          <w:tcPr>
            <w:tcW w:w="1240" w:type="dxa"/>
          </w:tcPr>
          <w:p w:rsidR="003B6E11" w:rsidRPr="003B6E11" w:rsidRDefault="003B6E11" w:rsidP="002D015D">
            <w:pPr>
              <w:suppressAutoHyphens/>
              <w:snapToGrid w:val="0"/>
              <w:spacing w:before="120" w:after="120"/>
              <w:jc w:val="center"/>
              <w:rPr>
                <w:rFonts w:cs="Arial"/>
                <w:sz w:val="18"/>
                <w:szCs w:val="18"/>
                <w:lang w:val="cs-CZ"/>
              </w:rPr>
            </w:pPr>
            <w:r w:rsidRPr="003B6E11">
              <w:rPr>
                <w:sz w:val="18"/>
                <w:lang w:val="cs-CZ"/>
              </w:rPr>
              <w:t>Kotva</w:t>
            </w:r>
          </w:p>
        </w:tc>
        <w:tc>
          <w:tcPr>
            <w:tcW w:w="1268" w:type="dxa"/>
          </w:tcPr>
          <w:p w:rsidR="003B6E11" w:rsidRPr="003B6E11" w:rsidRDefault="003B6E11" w:rsidP="002D015D">
            <w:pPr>
              <w:suppressAutoHyphens/>
              <w:snapToGrid w:val="0"/>
              <w:spacing w:before="120" w:after="120"/>
              <w:jc w:val="center"/>
              <w:rPr>
                <w:rFonts w:cs="Arial"/>
                <w:sz w:val="18"/>
                <w:szCs w:val="18"/>
                <w:lang w:val="cs-CZ"/>
              </w:rPr>
            </w:pPr>
            <w:r w:rsidRPr="003B6E11">
              <w:rPr>
                <w:sz w:val="18"/>
                <w:lang w:val="cs-CZ"/>
              </w:rPr>
              <w:t>Jeřáb</w:t>
            </w:r>
          </w:p>
        </w:tc>
        <w:tc>
          <w:tcPr>
            <w:tcW w:w="1238" w:type="dxa"/>
            <w:gridSpan w:val="2"/>
          </w:tcPr>
          <w:p w:rsidR="003B6E11" w:rsidRPr="003B6E11" w:rsidRDefault="003B6E11" w:rsidP="002D015D">
            <w:pPr>
              <w:suppressAutoHyphens/>
              <w:snapToGrid w:val="0"/>
              <w:spacing w:before="120" w:after="120"/>
              <w:jc w:val="center"/>
              <w:rPr>
                <w:rFonts w:cs="Arial"/>
                <w:sz w:val="18"/>
                <w:szCs w:val="18"/>
                <w:lang w:val="cs-CZ"/>
              </w:rPr>
            </w:pPr>
            <w:r w:rsidRPr="003B6E11">
              <w:rPr>
                <w:sz w:val="18"/>
                <w:lang w:val="cs-CZ"/>
              </w:rPr>
              <w:t>Uvazovací lano</w:t>
            </w:r>
          </w:p>
        </w:tc>
        <w:tc>
          <w:tcPr>
            <w:tcW w:w="1363" w:type="dxa"/>
            <w:gridSpan w:val="3"/>
          </w:tcPr>
          <w:p w:rsidR="003B6E11" w:rsidRPr="003B6E11" w:rsidRDefault="003B6E11" w:rsidP="002D015D">
            <w:pPr>
              <w:suppressAutoHyphens/>
              <w:snapToGrid w:val="0"/>
              <w:spacing w:before="120" w:after="120"/>
              <w:jc w:val="center"/>
              <w:rPr>
                <w:rFonts w:cs="Arial"/>
                <w:sz w:val="18"/>
                <w:szCs w:val="18"/>
                <w:lang w:val="cs-CZ"/>
              </w:rPr>
            </w:pPr>
            <w:r w:rsidRPr="003B6E11">
              <w:rPr>
                <w:sz w:val="18"/>
                <w:lang w:val="cs-CZ"/>
              </w:rPr>
              <w:t>Vlečné lano</w:t>
            </w:r>
          </w:p>
        </w:tc>
        <w:tc>
          <w:tcPr>
            <w:tcW w:w="2711" w:type="dxa"/>
            <w:gridSpan w:val="3"/>
          </w:tcPr>
          <w:p w:rsidR="003B6E11" w:rsidRPr="003B6E11" w:rsidRDefault="003B6E11" w:rsidP="002D015D">
            <w:pPr>
              <w:suppressAutoHyphens/>
              <w:snapToGrid w:val="0"/>
              <w:spacing w:before="120" w:after="120"/>
              <w:jc w:val="center"/>
              <w:rPr>
                <w:rFonts w:cs="Arial"/>
                <w:sz w:val="18"/>
                <w:szCs w:val="18"/>
                <w:lang w:val="cs-CZ"/>
              </w:rPr>
            </w:pPr>
            <w:r w:rsidRPr="003B6E11">
              <w:rPr>
                <w:sz w:val="18"/>
                <w:lang w:val="cs-CZ"/>
              </w:rPr>
              <w:t>Dynamometr pevnosti v tahu</w:t>
            </w:r>
          </w:p>
        </w:tc>
        <w:tc>
          <w:tcPr>
            <w:tcW w:w="2080" w:type="dxa"/>
            <w:gridSpan w:val="2"/>
          </w:tcPr>
          <w:p w:rsidR="003B6E11" w:rsidRPr="003B6E11" w:rsidRDefault="003B6E11" w:rsidP="002D015D">
            <w:pPr>
              <w:suppressAutoHyphens/>
              <w:snapToGrid w:val="0"/>
              <w:spacing w:before="120" w:after="120"/>
              <w:jc w:val="center"/>
              <w:rPr>
                <w:rFonts w:cs="Arial"/>
                <w:sz w:val="18"/>
                <w:szCs w:val="18"/>
                <w:lang w:val="cs-CZ"/>
              </w:rPr>
            </w:pPr>
            <w:r w:rsidRPr="003B6E11">
              <w:rPr>
                <w:sz w:val="18"/>
                <w:lang w:val="cs-CZ"/>
              </w:rPr>
              <w:t>Říční dno</w:t>
            </w:r>
          </w:p>
        </w:tc>
      </w:tr>
      <w:tr w:rsidR="003B6E11" w:rsidRPr="003B6E11" w:rsidTr="002D015D">
        <w:trPr>
          <w:jc w:val="center"/>
        </w:trPr>
        <w:tc>
          <w:tcPr>
            <w:tcW w:w="1240" w:type="dxa"/>
          </w:tcPr>
          <w:p w:rsidR="003B6E11" w:rsidRPr="003B6E11" w:rsidRDefault="003B6E11" w:rsidP="002D015D">
            <w:pPr>
              <w:suppressAutoHyphens/>
              <w:snapToGrid w:val="0"/>
              <w:spacing w:before="120" w:after="120"/>
              <w:jc w:val="center"/>
              <w:rPr>
                <w:rFonts w:cs="Arial"/>
                <w:sz w:val="18"/>
                <w:szCs w:val="18"/>
                <w:lang w:val="cs-CZ"/>
              </w:rPr>
            </w:pPr>
            <w:r w:rsidRPr="003B6E11">
              <w:rPr>
                <w:sz w:val="18"/>
                <w:lang w:val="cs-CZ"/>
              </w:rPr>
              <w:t>500 kg</w:t>
            </w:r>
          </w:p>
        </w:tc>
        <w:tc>
          <w:tcPr>
            <w:tcW w:w="1268" w:type="dxa"/>
          </w:tcPr>
          <w:p w:rsidR="003B6E11" w:rsidRPr="003B6E11" w:rsidRDefault="003B6E11" w:rsidP="002D015D">
            <w:pPr>
              <w:suppressAutoHyphens/>
              <w:snapToGrid w:val="0"/>
              <w:spacing w:before="120" w:after="120"/>
              <w:jc w:val="center"/>
              <w:rPr>
                <w:rFonts w:cs="Arial"/>
                <w:sz w:val="18"/>
                <w:szCs w:val="18"/>
                <w:lang w:val="cs-CZ"/>
              </w:rPr>
            </w:pPr>
            <w:r w:rsidRPr="003B6E11">
              <w:rPr>
                <w:sz w:val="18"/>
                <w:lang w:val="cs-CZ"/>
              </w:rPr>
              <w:t>750 kg</w:t>
            </w:r>
          </w:p>
        </w:tc>
        <w:tc>
          <w:tcPr>
            <w:tcW w:w="1238" w:type="dxa"/>
            <w:gridSpan w:val="2"/>
          </w:tcPr>
          <w:p w:rsidR="003B6E11" w:rsidRPr="003B6E11" w:rsidRDefault="003B6E11" w:rsidP="002D015D">
            <w:pPr>
              <w:suppressAutoHyphens/>
              <w:snapToGrid w:val="0"/>
              <w:spacing w:before="120" w:after="120"/>
              <w:jc w:val="center"/>
              <w:rPr>
                <w:rFonts w:ascii="Symbol" w:hAnsi="Symbol"/>
                <w:sz w:val="18"/>
                <w:szCs w:val="18"/>
                <w:lang w:val="cs-CZ"/>
              </w:rPr>
            </w:pPr>
            <w:r w:rsidRPr="003B6E11">
              <w:rPr>
                <w:sz w:val="18"/>
                <w:lang w:val="cs-CZ"/>
              </w:rPr>
              <w:t>12 mm</w:t>
            </w:r>
            <w:r w:rsidRPr="003B6E11">
              <w:rPr>
                <w:rFonts w:ascii="Times New Roman" w:hAnsi="Times New Roman"/>
                <w:sz w:val="18"/>
                <w:lang w:val="cs-CZ"/>
              </w:rPr>
              <w:t xml:space="preserve"> </w:t>
            </w:r>
          </w:p>
        </w:tc>
        <w:tc>
          <w:tcPr>
            <w:tcW w:w="1363" w:type="dxa"/>
            <w:gridSpan w:val="3"/>
          </w:tcPr>
          <w:p w:rsidR="003B6E11" w:rsidRPr="003B6E11" w:rsidRDefault="003B6E11" w:rsidP="002D015D">
            <w:pPr>
              <w:suppressAutoHyphens/>
              <w:snapToGrid w:val="0"/>
              <w:spacing w:before="120" w:after="120"/>
              <w:jc w:val="center"/>
              <w:rPr>
                <w:rFonts w:ascii="Symbol" w:hAnsi="Symbol"/>
                <w:sz w:val="18"/>
                <w:szCs w:val="18"/>
                <w:lang w:val="cs-CZ"/>
              </w:rPr>
            </w:pPr>
            <w:r w:rsidRPr="003B6E11">
              <w:rPr>
                <w:sz w:val="18"/>
                <w:lang w:val="cs-CZ"/>
              </w:rPr>
              <w:t>24 mm</w:t>
            </w:r>
            <w:r w:rsidRPr="003B6E11">
              <w:rPr>
                <w:rFonts w:ascii="Times New Roman" w:hAnsi="Times New Roman"/>
                <w:sz w:val="18"/>
                <w:lang w:val="cs-CZ"/>
              </w:rPr>
              <w:t xml:space="preserve"> </w:t>
            </w:r>
          </w:p>
        </w:tc>
        <w:tc>
          <w:tcPr>
            <w:tcW w:w="2711" w:type="dxa"/>
            <w:gridSpan w:val="3"/>
          </w:tcPr>
          <w:p w:rsidR="003B6E11" w:rsidRPr="003B6E11" w:rsidRDefault="003B6E11" w:rsidP="002D015D">
            <w:pPr>
              <w:suppressAutoHyphens/>
              <w:snapToGrid w:val="0"/>
              <w:spacing w:before="120" w:after="120"/>
              <w:jc w:val="center"/>
              <w:rPr>
                <w:rFonts w:ascii="Symbol" w:hAnsi="Symbol" w:cs="Arial"/>
                <w:sz w:val="18"/>
                <w:szCs w:val="18"/>
                <w:lang w:val="cs-CZ"/>
              </w:rPr>
            </w:pPr>
            <w:r w:rsidRPr="003B6E11">
              <w:rPr>
                <w:sz w:val="18"/>
                <w:lang w:val="cs-CZ"/>
              </w:rPr>
              <w:t>20 t</w:t>
            </w:r>
          </w:p>
        </w:tc>
        <w:tc>
          <w:tcPr>
            <w:tcW w:w="2080" w:type="dxa"/>
            <w:gridSpan w:val="2"/>
          </w:tcPr>
          <w:p w:rsidR="003B6E11" w:rsidRPr="003B6E11" w:rsidRDefault="003B6E11" w:rsidP="002D015D">
            <w:pPr>
              <w:suppressAutoHyphens/>
              <w:snapToGrid w:val="0"/>
              <w:spacing w:before="120" w:after="120"/>
              <w:jc w:val="center"/>
              <w:rPr>
                <w:rFonts w:cs="Arial"/>
                <w:sz w:val="18"/>
                <w:szCs w:val="18"/>
                <w:lang w:val="cs-CZ"/>
              </w:rPr>
            </w:pPr>
            <w:r w:rsidRPr="003B6E11">
              <w:rPr>
                <w:sz w:val="18"/>
                <w:lang w:val="cs-CZ"/>
              </w:rPr>
              <w:t>písek/štěrk</w:t>
            </w:r>
          </w:p>
        </w:tc>
      </w:tr>
      <w:tr w:rsidR="003B6E11" w:rsidRPr="003B6E11" w:rsidTr="002D015D">
        <w:trPr>
          <w:jc w:val="center"/>
        </w:trPr>
        <w:tc>
          <w:tcPr>
            <w:tcW w:w="5040" w:type="dxa"/>
            <w:gridSpan w:val="6"/>
          </w:tcPr>
          <w:p w:rsidR="003B6E11" w:rsidRPr="003B6E11" w:rsidRDefault="003B6E11" w:rsidP="002D015D">
            <w:pPr>
              <w:suppressAutoHyphens/>
              <w:snapToGrid w:val="0"/>
              <w:spacing w:before="120" w:after="120"/>
              <w:jc w:val="center"/>
              <w:rPr>
                <w:rFonts w:ascii="Times New Roman" w:hAnsi="Times New Roman" w:cs="Arial"/>
                <w:sz w:val="18"/>
                <w:szCs w:val="18"/>
                <w:lang w:val="cs-CZ"/>
              </w:rPr>
            </w:pPr>
            <w:r w:rsidRPr="003B6E11">
              <w:rPr>
                <w:sz w:val="18"/>
                <w:lang w:val="cs-CZ"/>
              </w:rPr>
              <w:t>Rychlost vlečení: 0</w:t>
            </w:r>
            <w:r w:rsidRPr="003B6E11">
              <w:rPr>
                <w:rFonts w:ascii="Times New Roman" w:hAnsi="Times New Roman"/>
                <w:sz w:val="18"/>
                <w:lang w:val="cs-CZ"/>
              </w:rPr>
              <w:t xml:space="preserve"> </w:t>
            </w:r>
            <w:r w:rsidRPr="003B6E11">
              <w:rPr>
                <w:rFonts w:ascii="Times New Roman" w:hAnsi="Times New Roman"/>
                <w:sz w:val="18"/>
                <w:szCs w:val="18"/>
                <w:lang w:val="cs-CZ"/>
              </w:rPr>
              <w:t xml:space="preserve"> </w:t>
            </w:r>
            <w:r w:rsidRPr="003B6E11">
              <w:rPr>
                <w:sz w:val="18"/>
                <w:lang w:val="cs-CZ"/>
              </w:rPr>
              <w:t>5 km/h</w:t>
            </w:r>
          </w:p>
        </w:tc>
        <w:tc>
          <w:tcPr>
            <w:tcW w:w="4860" w:type="dxa"/>
            <w:gridSpan w:val="6"/>
          </w:tcPr>
          <w:p w:rsidR="003B6E11" w:rsidRPr="003B6E11" w:rsidRDefault="003B6E11" w:rsidP="002D015D">
            <w:pPr>
              <w:suppressAutoHyphens/>
              <w:snapToGrid w:val="0"/>
              <w:spacing w:before="120" w:after="120"/>
              <w:jc w:val="center"/>
              <w:rPr>
                <w:rFonts w:ascii="Times New Roman" w:hAnsi="Times New Roman" w:cs="Arial"/>
                <w:sz w:val="18"/>
                <w:szCs w:val="18"/>
                <w:lang w:val="cs-CZ"/>
              </w:rPr>
            </w:pPr>
            <w:r w:rsidRPr="003B6E11">
              <w:rPr>
                <w:sz w:val="18"/>
                <w:lang w:val="cs-CZ"/>
              </w:rPr>
              <w:t xml:space="preserve">Úhel sklonu vlečného lana </w:t>
            </w:r>
            <w:r w:rsidRPr="003B6E11">
              <w:rPr>
                <w:rFonts w:ascii="Times New Roman" w:hAnsi="Times New Roman"/>
                <w:sz w:val="18"/>
                <w:szCs w:val="18"/>
                <w:lang w:val="cs-CZ"/>
              </w:rPr>
              <w:t xml:space="preserve"> </w:t>
            </w:r>
            <w:r w:rsidRPr="003B6E11">
              <w:rPr>
                <w:sz w:val="18"/>
                <w:lang w:val="cs-CZ"/>
              </w:rPr>
              <w:t>1:10</w:t>
            </w:r>
          </w:p>
        </w:tc>
      </w:tr>
    </w:tbl>
    <w:p w:rsidR="003B6E11" w:rsidRPr="003B6E11" w:rsidRDefault="003B6E11" w:rsidP="003B6E11">
      <w:pPr>
        <w:tabs>
          <w:tab w:val="left" w:pos="567"/>
        </w:tabs>
        <w:overflowPunct w:val="0"/>
        <w:adjustRightInd w:val="0"/>
        <w:ind w:left="284" w:hanging="426"/>
        <w:textAlignment w:val="baseline"/>
        <w:rPr>
          <w:szCs w:val="20"/>
          <w:lang w:val="cs-CZ"/>
        </w:rPr>
      </w:pPr>
    </w:p>
    <w:p w:rsidR="003B6E11" w:rsidRPr="003B6E11" w:rsidRDefault="003B6E11" w:rsidP="003B6E11">
      <w:pPr>
        <w:tabs>
          <w:tab w:val="left" w:pos="567"/>
        </w:tabs>
        <w:overflowPunct w:val="0"/>
        <w:adjustRightInd w:val="0"/>
        <w:ind w:left="284" w:hanging="426"/>
        <w:jc w:val="center"/>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r w:rsidRPr="003B6E11">
        <w:rPr>
          <w:lang w:val="cs-CZ"/>
        </w:rPr>
        <w:br w:type="page"/>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sectPr w:rsidR="003B6E11" w:rsidRPr="003B6E11" w:rsidSect="00D45887">
          <w:headerReference w:type="default" r:id="rId144"/>
          <w:footerReference w:type="default" r:id="rId145"/>
          <w:footnotePr>
            <w:numRestart w:val="eachPage"/>
          </w:footnotePr>
          <w:pgSz w:w="16840" w:h="11907" w:orient="landscape" w:code="9"/>
          <w:pgMar w:top="1418" w:right="1418" w:bottom="1418" w:left="1418" w:header="680" w:footer="680" w:gutter="0"/>
          <w:cols w:space="720"/>
          <w:docGrid w:linePitch="326"/>
        </w:sectPr>
      </w:pPr>
    </w:p>
    <w:p w:rsidR="003B6E11" w:rsidRPr="003B6E11" w:rsidRDefault="003B6E11" w:rsidP="003B6E11">
      <w:pPr>
        <w:pStyle w:val="ES-Titre2ESI"/>
      </w:pPr>
      <w:bookmarkStart w:id="753" w:name="_Toc491854359"/>
      <w:bookmarkStart w:id="754" w:name="_Toc535417265"/>
      <w:r w:rsidRPr="003B6E11">
        <w:t>ESI-II-10</w:t>
      </w:r>
      <w:r w:rsidRPr="003B6E11">
        <w:br/>
        <w:t>Automatické sprinklerové protipožární systémy s tlakovou vodou</w:t>
      </w:r>
      <w:bookmarkEnd w:id="753"/>
      <w:bookmarkEnd w:id="754"/>
    </w:p>
    <w:p w:rsidR="003B6E11" w:rsidRPr="003B6E11" w:rsidRDefault="003B6E11" w:rsidP="003B6E11">
      <w:pPr>
        <w:jc w:val="center"/>
        <w:rPr>
          <w:rFonts w:cs="Arial"/>
          <w:b/>
          <w:bCs/>
          <w:lang w:val="cs-CZ"/>
        </w:rPr>
      </w:pPr>
    </w:p>
    <w:p w:rsidR="003B6E11" w:rsidRPr="003B6E11" w:rsidRDefault="003B6E11" w:rsidP="003B6E11">
      <w:pPr>
        <w:jc w:val="center"/>
        <w:rPr>
          <w:rFonts w:cs="Arial"/>
          <w:b/>
          <w:bCs/>
          <w:lang w:val="cs-CZ"/>
        </w:rPr>
      </w:pPr>
      <w:r w:rsidRPr="003B6E11">
        <w:rPr>
          <w:b/>
          <w:noProof/>
          <w:lang w:val="cs-CZ"/>
        </w:rPr>
        <w:t>(Čl. 13.04 odst. 1 a 4)</w:t>
      </w:r>
    </w:p>
    <w:p w:rsidR="003B6E11" w:rsidRPr="003B6E11" w:rsidRDefault="003B6E11" w:rsidP="003B6E11">
      <w:pPr>
        <w:rPr>
          <w:rFonts w:cs="Arial"/>
          <w:lang w:val="cs-CZ"/>
        </w:rPr>
      </w:pPr>
    </w:p>
    <w:p w:rsidR="003B6E11" w:rsidRPr="003B6E11" w:rsidRDefault="003B6E11" w:rsidP="003B6E11">
      <w:pPr>
        <w:spacing w:line="240" w:lineRule="atLeast"/>
        <w:rPr>
          <w:noProof/>
          <w:lang w:val="cs-CZ"/>
        </w:rPr>
      </w:pPr>
      <w:r w:rsidRPr="003B6E11">
        <w:rPr>
          <w:lang w:val="cs-CZ"/>
        </w:rPr>
        <w:t>Vhodné automatické sprinklerové protipožární systémy s tlakovou vodou uvedené v čl. 13.04 odst. 1 a 4 musí splňovat následující požadavky:</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1.</w:t>
      </w:r>
      <w:r w:rsidRPr="003B6E11">
        <w:rPr>
          <w:lang w:val="cs-CZ"/>
        </w:rPr>
        <w:tab/>
        <w:t>Automatický sprinklerový protipožární systém s tlakovou vodou musí být připraven k provozu vždy, když jsou na plavidle osoby. Ke spuštění jeho provozu nesmí být vyžadován žádný dodatečný zásah členů posádky.</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2.</w:t>
      </w:r>
      <w:r w:rsidRPr="003B6E11">
        <w:rPr>
          <w:lang w:val="cs-CZ"/>
        </w:rPr>
        <w:tab/>
        <w:t>Systém musí být neustále udržován pod potřebným tlakem. Potrubí musí být vždy naplněno vodou až k rozstřikovacím tryskám. Systém musí být vybaven nepřetržitě funkčním přívodem vody. Systém musí být zabezpečen proti průniku nečistot škodlivých jeho provozu. Pro účely monitorování a kontroly systému musí být instalovány příslušné kontrolní přístroje a zkušební systémy (např. manometry, ukazatele hladiny v nádržích s tlakovou vodou, zkušební potrubí čerpadla). Sprinklerové protipožární systémy s tlakovou vodou nacházející se v chladírnách a mrazicích místnostech by neměly být trvale plněny vodou. Tyto místnosti mohou být chráněny suchými sprinklery.</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3.</w:t>
      </w:r>
      <w:r w:rsidRPr="003B6E11">
        <w:rPr>
          <w:lang w:val="cs-CZ"/>
        </w:rPr>
        <w:tab/>
        <w:t>Čerpadlo přívodu vody k rozstřikovacím tryskám se musí aktivovat automaticky po poklesu tlaku v systému. Čerpadlo musí být dimenzováno tak, aby mohlo nepřetržitě zajišťovat dostatečný přívod vody o potřebném tlaku, dojde-li k současnému spuštění všech rozstřikovacích trysek nezbytných k pokrytí prostoru největší chráněné místnosti. Čerpadlo musí zásobovat výlučně automatický sprinklerový protipožární systém s tlakovou vodou. Dojde-li k poruše čerpadla, musí být možné zásobovat rozstřikovací trysky dostatečným přívodem vody z jiného palubního čerpadla.</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4.</w:t>
      </w:r>
      <w:r w:rsidRPr="003B6E11">
        <w:rPr>
          <w:lang w:val="cs-CZ"/>
        </w:rPr>
        <w:tab/>
        <w:t>Systém musí být rozdělen na úseky, z nichž žádný nesmí mít více než 50 rozstřikovacích trysek. Subjekt pověřený prohlídkami může povolit větší počet rozstřikovacích trysek na základě odpovídajícího potvrzení, zejména hydraulického výpočtu.</w:t>
      </w:r>
    </w:p>
    <w:p w:rsidR="003B6E11" w:rsidRPr="003B6E11" w:rsidRDefault="003B6E11" w:rsidP="003B6E11">
      <w:pPr>
        <w:spacing w:line="240" w:lineRule="atLeast"/>
        <w:ind w:left="567" w:hanging="567"/>
        <w:rPr>
          <w:noProof/>
          <w:lang w:val="cs-CZ"/>
        </w:rPr>
      </w:pPr>
    </w:p>
    <w:p w:rsidR="003B6E11" w:rsidRPr="003B6E11" w:rsidRDefault="003B6E11" w:rsidP="003B6E11">
      <w:pPr>
        <w:spacing w:line="240" w:lineRule="atLeast"/>
        <w:ind w:left="567" w:hanging="567"/>
        <w:rPr>
          <w:lang w:val="cs-CZ"/>
        </w:rPr>
      </w:pPr>
      <w:r w:rsidRPr="003B6E11">
        <w:rPr>
          <w:lang w:val="cs-CZ"/>
        </w:rPr>
        <w:t>5.</w:t>
      </w:r>
      <w:r w:rsidRPr="003B6E11">
        <w:rPr>
          <w:lang w:val="cs-CZ"/>
        </w:rPr>
        <w:tab/>
        <w:t>Počet a rozmístění rozstřikovacích trysek musí zajišťovat účinný rozvod vody do místností určených k ochraně.</w:t>
      </w:r>
    </w:p>
    <w:p w:rsidR="003B6E11" w:rsidRPr="003B6E11" w:rsidRDefault="003B6E11" w:rsidP="003B6E11">
      <w:pPr>
        <w:spacing w:line="240" w:lineRule="atLeast"/>
        <w:ind w:left="567" w:hanging="567"/>
        <w:rPr>
          <w:noProof/>
          <w:lang w:val="cs-CZ"/>
        </w:rPr>
      </w:pPr>
    </w:p>
    <w:p w:rsidR="003B6E11" w:rsidRPr="003B6E11" w:rsidRDefault="003B6E11" w:rsidP="003B6E11">
      <w:pPr>
        <w:spacing w:line="240" w:lineRule="atLeast"/>
        <w:ind w:left="567" w:hanging="567"/>
        <w:rPr>
          <w:noProof/>
          <w:lang w:val="cs-CZ"/>
        </w:rPr>
      </w:pPr>
      <w:r w:rsidRPr="003B6E11">
        <w:rPr>
          <w:lang w:val="cs-CZ"/>
        </w:rPr>
        <w:t>6.</w:t>
      </w:r>
      <w:r w:rsidRPr="003B6E11">
        <w:rPr>
          <w:lang w:val="cs-CZ"/>
        </w:rPr>
        <w:tab/>
        <w:t>Rozstřikovací trysky se musí spustit při teplotě mezi 68 °C a 79 °C, v prostorech kuchyní při maximální teplotě 93 °C a v saunách při maximální teplotě 141 °C.</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7.</w:t>
      </w:r>
      <w:r w:rsidRPr="003B6E11">
        <w:rPr>
          <w:lang w:val="cs-CZ"/>
        </w:rPr>
        <w:tab/>
        <w:t>Instalace součástí automatických sprinklerových protipožárních systémů s tlakovou vodou v místnostech určených k ochraně se omezí na nezbytné minimum. V hlavních strojovnách se nesmí instalovat žádné součásti těchto systémů.</w:t>
      </w:r>
    </w:p>
    <w:p w:rsidR="003B6E11" w:rsidRPr="003B6E11" w:rsidRDefault="003B6E11" w:rsidP="003B6E11">
      <w:pPr>
        <w:spacing w:line="240" w:lineRule="atLeast"/>
        <w:ind w:left="567" w:hanging="567"/>
        <w:rPr>
          <w:noProof/>
          <w:lang w:val="cs-CZ"/>
        </w:rPr>
      </w:pPr>
    </w:p>
    <w:p w:rsidR="003B6E11" w:rsidRPr="003B6E11" w:rsidRDefault="003B6E11" w:rsidP="003B6E11">
      <w:pPr>
        <w:spacing w:line="240" w:lineRule="atLeast"/>
        <w:ind w:left="567" w:hanging="567"/>
        <w:rPr>
          <w:noProof/>
          <w:lang w:val="cs-CZ"/>
        </w:rPr>
      </w:pPr>
      <w:r w:rsidRPr="003B6E11">
        <w:rPr>
          <w:lang w:val="cs-CZ"/>
        </w:rPr>
        <w:t>8.</w:t>
      </w:r>
      <w:r w:rsidRPr="003B6E11">
        <w:rPr>
          <w:lang w:val="cs-CZ"/>
        </w:rPr>
        <w:tab/>
        <w:t>Na jednom nebo více vhodných místech, z nichž alespoň v jednom musí být stálá obsluha, musí být umístěny vizuální a akustické indikátory signalizující aktivaci automatických sprinklerových protipožárních systémů s tlakovou vodou v každém úseku.</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9.</w:t>
      </w:r>
      <w:r w:rsidRPr="003B6E11">
        <w:rPr>
          <w:lang w:val="cs-CZ"/>
        </w:rPr>
        <w:tab/>
        <w:t>Dodávku energie do automatických sprinklerových protipožárních systémů s tlakovou vodou musí zajišťovat dva nezávislé zdroje energie, které nesmí být instalovány na stejném místě. Každý zdroj energie musí být schopen samostatně napájet celý systém.</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br w:type="page"/>
      </w:r>
    </w:p>
    <w:p w:rsidR="003B6E11" w:rsidRPr="003B6E11" w:rsidRDefault="003B6E11" w:rsidP="003B6E11">
      <w:pPr>
        <w:spacing w:line="240" w:lineRule="atLeast"/>
        <w:ind w:left="567" w:hanging="567"/>
        <w:rPr>
          <w:lang w:val="cs-CZ"/>
        </w:rPr>
      </w:pPr>
      <w:r w:rsidRPr="003B6E11">
        <w:rPr>
          <w:lang w:val="cs-CZ"/>
        </w:rPr>
        <w:t>10.</w:t>
      </w:r>
      <w:r w:rsidRPr="003B6E11">
        <w:rPr>
          <w:lang w:val="cs-CZ"/>
        </w:rPr>
        <w:tab/>
        <w:t>Před instalací systému se musí subjektu pověřenému prohlídkami předložit ke kontrole instalační plán automatického sprinklerového protipožárního systému s tlakovou vodou. Plán musí obsahovat typy a provozní parametry použitých strojů a zařízení. Instalaci, která byla přezkoušena a certifikována schválenou klasifikační společností a splňuje přinejmenším výše uvedené předpisy, lze schválit bez dalších zkoušek.</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noProof/>
          <w:lang w:val="cs-CZ"/>
        </w:rPr>
      </w:pPr>
      <w:r w:rsidRPr="003B6E11">
        <w:rPr>
          <w:lang w:val="cs-CZ"/>
        </w:rPr>
        <w:t>11.</w:t>
      </w:r>
      <w:r w:rsidRPr="003B6E11">
        <w:rPr>
          <w:lang w:val="cs-CZ"/>
        </w:rPr>
        <w:tab/>
        <w:t>Skutečnost, že je nainstalován automatický sprinklerový protipožární systém s tlakovou vodou, se uvede v bodě 43 osvědčení plavidla vnitrozemské plavby.</w:t>
      </w:r>
    </w:p>
    <w:p w:rsidR="003B6E11" w:rsidRPr="003B6E11" w:rsidRDefault="003B6E11" w:rsidP="003B6E11">
      <w:pPr>
        <w:spacing w:line="240" w:lineRule="atLeast"/>
        <w:ind w:left="567" w:hanging="567"/>
        <w:rPr>
          <w:noProof/>
          <w:lang w:val="cs-CZ"/>
        </w:rPr>
      </w:pPr>
    </w:p>
    <w:p w:rsidR="003B6E11" w:rsidRPr="003B6E11" w:rsidRDefault="003B6E11" w:rsidP="003B6E11">
      <w:pPr>
        <w:spacing w:line="240" w:lineRule="atLeast"/>
        <w:ind w:left="567" w:hanging="567"/>
        <w:rPr>
          <w:noProof/>
          <w:lang w:val="cs-CZ"/>
        </w:rPr>
      </w:pPr>
    </w:p>
    <w:p w:rsidR="003B6E11" w:rsidRPr="003B6E11" w:rsidRDefault="003B6E11" w:rsidP="003B6E11">
      <w:pPr>
        <w:spacing w:line="240" w:lineRule="atLeast"/>
        <w:ind w:left="567" w:hanging="567"/>
        <w:rPr>
          <w:noProof/>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sectPr w:rsidR="003B6E11" w:rsidRPr="003B6E11" w:rsidSect="00D45887">
          <w:headerReference w:type="default" r:id="rId146"/>
          <w:footerReference w:type="default" r:id="rId147"/>
          <w:footnotePr>
            <w:numRestart w:val="eachPage"/>
          </w:footnotePr>
          <w:pgSz w:w="11907" w:h="16840" w:code="9"/>
          <w:pgMar w:top="1418" w:right="1418" w:bottom="1418" w:left="1418" w:header="680" w:footer="680" w:gutter="0"/>
          <w:cols w:space="720"/>
          <w:docGrid w:linePitch="326"/>
        </w:sectPr>
      </w:pPr>
    </w:p>
    <w:p w:rsidR="003B6E11" w:rsidRPr="003B6E11" w:rsidRDefault="003B6E11" w:rsidP="003B6E11">
      <w:pPr>
        <w:pStyle w:val="ES-Titre2ESI"/>
      </w:pPr>
      <w:bookmarkStart w:id="755" w:name="_Toc491854360"/>
      <w:bookmarkStart w:id="756" w:name="_Toc535417266"/>
      <w:r w:rsidRPr="003B6E11">
        <w:t>ESI-II-11</w:t>
      </w:r>
      <w:r w:rsidRPr="003B6E11">
        <w:br/>
        <w:t>Kormidlovací rychlost plavidla s vlastním pohonem</w:t>
      </w:r>
      <w:bookmarkEnd w:id="755"/>
      <w:bookmarkEnd w:id="756"/>
    </w:p>
    <w:p w:rsidR="003B6E11" w:rsidRPr="003B6E11" w:rsidRDefault="003B6E11" w:rsidP="003B6E11">
      <w:pPr>
        <w:tabs>
          <w:tab w:val="center" w:pos="4513"/>
        </w:tabs>
        <w:overflowPunct w:val="0"/>
        <w:adjustRightInd w:val="0"/>
        <w:jc w:val="center"/>
        <w:textAlignment w:val="baseline"/>
        <w:rPr>
          <w:rFonts w:cs="Arial"/>
          <w:b/>
          <w:szCs w:val="20"/>
          <w:lang w:val="cs-CZ"/>
        </w:rPr>
      </w:pPr>
    </w:p>
    <w:p w:rsidR="003B6E11" w:rsidRPr="003B6E11" w:rsidRDefault="003B6E11" w:rsidP="003B6E11">
      <w:pPr>
        <w:tabs>
          <w:tab w:val="center" w:pos="4513"/>
        </w:tabs>
        <w:overflowPunct w:val="0"/>
        <w:adjustRightInd w:val="0"/>
        <w:jc w:val="center"/>
        <w:textAlignment w:val="baseline"/>
        <w:rPr>
          <w:rFonts w:cs="Arial"/>
          <w:b/>
          <w:szCs w:val="20"/>
          <w:lang w:val="cs-CZ"/>
        </w:rPr>
      </w:pPr>
      <w:r w:rsidRPr="003B6E11">
        <w:rPr>
          <w:b/>
          <w:lang w:val="cs-CZ"/>
        </w:rPr>
        <w:t>(Čl. 13.05 odst. 2 písm. a), čl. 19.07 odst. 1, čl. 28.04 odst. 1 písm. a))</w:t>
      </w:r>
    </w:p>
    <w:p w:rsidR="003B6E11" w:rsidRPr="003B6E11" w:rsidRDefault="003B6E11" w:rsidP="003B6E11">
      <w:pPr>
        <w:tabs>
          <w:tab w:val="left" w:pos="567"/>
        </w:tabs>
        <w:overflowPunct w:val="0"/>
        <w:adjustRightInd w:val="0"/>
        <w:spacing w:line="240" w:lineRule="atLeast"/>
        <w:ind w:left="567" w:hanging="567"/>
        <w:textAlignment w:val="baseline"/>
        <w:rPr>
          <w:rFonts w:cs="Arial"/>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1.</w:t>
      </w:r>
      <w:r w:rsidRPr="003B6E11">
        <w:rPr>
          <w:lang w:val="cs-CZ"/>
        </w:rPr>
        <w:tab/>
      </w:r>
      <w:r w:rsidRPr="003B6E11">
        <w:rPr>
          <w:b/>
          <w:color w:val="000000"/>
          <w:lang w:val="cs-CZ"/>
        </w:rPr>
        <w:t>Minimální požadavky na plavbu lodi</w:t>
      </w:r>
    </w:p>
    <w:p w:rsidR="003B6E11" w:rsidRPr="003B6E11" w:rsidRDefault="003B6E11" w:rsidP="003B6E11">
      <w:pPr>
        <w:tabs>
          <w:tab w:val="left" w:pos="567"/>
        </w:tabs>
        <w:overflowPunct w:val="0"/>
        <w:adjustRightInd w:val="0"/>
        <w:spacing w:line="240" w:lineRule="atLeast"/>
        <w:ind w:left="567" w:hanging="567"/>
        <w:textAlignment w:val="baseline"/>
        <w:rPr>
          <w:rFonts w:cs="Arial"/>
          <w:szCs w:val="20"/>
          <w:lang w:val="cs-CZ"/>
        </w:rPr>
      </w:pPr>
    </w:p>
    <w:p w:rsidR="003B6E11" w:rsidRPr="003B6E11" w:rsidRDefault="003B6E11" w:rsidP="003B6E11">
      <w:pPr>
        <w:spacing w:line="240" w:lineRule="atLeast"/>
        <w:ind w:left="567"/>
        <w:rPr>
          <w:lang w:val="cs-CZ"/>
        </w:rPr>
      </w:pPr>
      <w:r w:rsidRPr="003B6E11">
        <w:rPr>
          <w:lang w:val="cs-CZ"/>
        </w:rPr>
        <w:t>Kormidlovací rychlost plavidla s vlastním pohonem (nejmenší rychlost plavidla, při které je kormidlo ještě účinné) v souladu s čl. 13.05 odst. 2 písm. a), čl. 19.07 odst. 1 a čl. 28.04 odst. 1 písm. a) je považována za dostatečnou, pokud při použití příďového dokormidlovacího zařízení loď nebo sestava poháněná lodí dosáhne rychlosti 6,5 km/h vzhledem k vodní hladině a když lze při plavbě touto rychlostí dosáhnout a udržet rychlost otáčení lodi 20°/min.</w:t>
      </w:r>
    </w:p>
    <w:p w:rsidR="003B6E11" w:rsidRPr="003B6E11" w:rsidRDefault="003B6E11" w:rsidP="003B6E11">
      <w:pPr>
        <w:tabs>
          <w:tab w:val="left" w:pos="567"/>
        </w:tabs>
        <w:overflowPunct w:val="0"/>
        <w:adjustRightInd w:val="0"/>
        <w:spacing w:line="240" w:lineRule="atLeast"/>
        <w:ind w:left="567" w:hanging="567"/>
        <w:textAlignment w:val="baseline"/>
        <w:rPr>
          <w:rFonts w:cs="Arial"/>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2.</w:t>
      </w:r>
      <w:r w:rsidRPr="003B6E11">
        <w:rPr>
          <w:lang w:val="cs-CZ"/>
        </w:rPr>
        <w:tab/>
      </w:r>
      <w:r w:rsidRPr="003B6E11">
        <w:rPr>
          <w:b/>
          <w:color w:val="000000"/>
          <w:lang w:val="cs-CZ"/>
        </w:rPr>
        <w:t>Zkušební plavby</w:t>
      </w:r>
    </w:p>
    <w:p w:rsidR="003B6E11" w:rsidRPr="003B6E11" w:rsidRDefault="003B6E11" w:rsidP="003B6E11">
      <w:pPr>
        <w:tabs>
          <w:tab w:val="left" w:pos="567"/>
        </w:tabs>
        <w:overflowPunct w:val="0"/>
        <w:adjustRightInd w:val="0"/>
        <w:spacing w:line="240" w:lineRule="atLeast"/>
        <w:ind w:left="567" w:hanging="567"/>
        <w:textAlignment w:val="baseline"/>
        <w:rPr>
          <w:rFonts w:cs="Arial"/>
          <w:szCs w:val="20"/>
          <w:lang w:val="cs-CZ"/>
        </w:rPr>
      </w:pPr>
    </w:p>
    <w:p w:rsidR="003B6E11" w:rsidRPr="003B6E11" w:rsidRDefault="003B6E11" w:rsidP="003B6E11">
      <w:pPr>
        <w:spacing w:line="240" w:lineRule="atLeast"/>
        <w:ind w:left="567"/>
        <w:rPr>
          <w:lang w:val="cs-CZ"/>
        </w:rPr>
      </w:pPr>
      <w:r w:rsidRPr="003B6E11">
        <w:rPr>
          <w:lang w:val="cs-CZ"/>
        </w:rPr>
        <w:t>Při ověření musí být dosaženo shody s minimálními požadavky článků 5.03 a 5.04.</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r w:rsidRPr="003B6E11">
        <w:rPr>
          <w:lang w:val="cs-CZ"/>
        </w:rPr>
        <w:br w:type="page"/>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sectPr w:rsidR="003B6E11" w:rsidRPr="003B6E11" w:rsidSect="00D45887">
          <w:headerReference w:type="default" r:id="rId148"/>
          <w:footnotePr>
            <w:numRestart w:val="eachPage"/>
          </w:footnotePr>
          <w:pgSz w:w="11907" w:h="16840" w:code="9"/>
          <w:pgMar w:top="1418" w:right="1418" w:bottom="1418" w:left="1418" w:header="680" w:footer="680" w:gutter="0"/>
          <w:cols w:space="720"/>
          <w:docGrid w:linePitch="326"/>
        </w:sectPr>
      </w:pPr>
    </w:p>
    <w:p w:rsidR="003B6E11" w:rsidRPr="003B6E11" w:rsidRDefault="003B6E11" w:rsidP="003B6E11">
      <w:pPr>
        <w:pStyle w:val="ES-Titre2ESI"/>
      </w:pPr>
      <w:bookmarkStart w:id="757" w:name="_Toc491854361"/>
      <w:bookmarkStart w:id="758" w:name="_Toc535417267"/>
      <w:r w:rsidRPr="003B6E11">
        <w:t>ESI-II-12</w:t>
      </w:r>
      <w:r w:rsidRPr="003B6E11">
        <w:br/>
        <w:t>Vhodný požární poplašný systém</w:t>
      </w:r>
      <w:bookmarkEnd w:id="757"/>
      <w:bookmarkEnd w:id="758"/>
    </w:p>
    <w:p w:rsidR="003B6E11" w:rsidRPr="003B6E11" w:rsidRDefault="003B6E11" w:rsidP="003B6E11">
      <w:pPr>
        <w:jc w:val="center"/>
        <w:rPr>
          <w:rFonts w:cs="Arial"/>
          <w:b/>
          <w:bCs/>
          <w:lang w:val="cs-CZ"/>
        </w:rPr>
      </w:pPr>
    </w:p>
    <w:p w:rsidR="003B6E11" w:rsidRPr="003B6E11" w:rsidRDefault="003B6E11" w:rsidP="003B6E11">
      <w:pPr>
        <w:tabs>
          <w:tab w:val="left" w:pos="426"/>
          <w:tab w:val="left" w:pos="709"/>
        </w:tabs>
        <w:spacing w:line="240" w:lineRule="atLeast"/>
        <w:ind w:left="709" w:hanging="709"/>
        <w:jc w:val="center"/>
        <w:rPr>
          <w:b/>
          <w:bCs/>
          <w:szCs w:val="20"/>
          <w:lang w:val="cs-CZ"/>
        </w:rPr>
      </w:pPr>
      <w:r w:rsidRPr="003B6E11">
        <w:rPr>
          <w:b/>
          <w:noProof/>
          <w:lang w:val="cs-CZ"/>
        </w:rPr>
        <w:t>(Čl. 13.05 odst. 3, čl. 19.11 odst. 18, čl. 29.10 odst. 1)</w:t>
      </w:r>
    </w:p>
    <w:p w:rsidR="003B6E11" w:rsidRPr="003B6E11" w:rsidRDefault="003B6E11" w:rsidP="003B6E11">
      <w:pPr>
        <w:tabs>
          <w:tab w:val="left" w:pos="426"/>
          <w:tab w:val="left" w:pos="709"/>
        </w:tabs>
        <w:spacing w:line="240" w:lineRule="atLeast"/>
        <w:ind w:left="709" w:hanging="709"/>
        <w:rPr>
          <w:szCs w:val="20"/>
          <w:lang w:val="cs-CZ"/>
        </w:rPr>
      </w:pPr>
    </w:p>
    <w:p w:rsidR="003B6E11" w:rsidRPr="003B6E11" w:rsidRDefault="003B6E11" w:rsidP="003B6E11">
      <w:pPr>
        <w:tabs>
          <w:tab w:val="left" w:pos="426"/>
          <w:tab w:val="left" w:pos="709"/>
        </w:tabs>
        <w:spacing w:line="240" w:lineRule="atLeast"/>
        <w:rPr>
          <w:szCs w:val="20"/>
          <w:lang w:val="cs-CZ"/>
        </w:rPr>
      </w:pPr>
      <w:r w:rsidRPr="003B6E11">
        <w:rPr>
          <w:lang w:val="cs-CZ"/>
        </w:rPr>
        <w:t>Požární poplašné systémy se považují za vhodné, pokud splňují následující podmínky.</w:t>
      </w:r>
    </w:p>
    <w:p w:rsidR="003B6E11" w:rsidRPr="003B6E11" w:rsidRDefault="003B6E11" w:rsidP="003B6E11">
      <w:pPr>
        <w:tabs>
          <w:tab w:val="left" w:pos="426"/>
          <w:tab w:val="left" w:pos="709"/>
        </w:tabs>
        <w:spacing w:line="240" w:lineRule="atLeast"/>
        <w:ind w:left="709" w:hanging="709"/>
        <w:rPr>
          <w:szCs w:val="20"/>
          <w:lang w:val="cs-CZ"/>
        </w:rPr>
      </w:pPr>
    </w:p>
    <w:p w:rsidR="003B6E11" w:rsidRPr="003B6E11" w:rsidRDefault="003B6E11" w:rsidP="003B6E11">
      <w:pPr>
        <w:tabs>
          <w:tab w:val="num" w:pos="709"/>
        </w:tabs>
        <w:spacing w:line="240" w:lineRule="atLeast"/>
        <w:ind w:left="709" w:hanging="709"/>
        <w:rPr>
          <w:b/>
          <w:bCs/>
          <w:szCs w:val="20"/>
          <w:lang w:val="cs-CZ"/>
        </w:rPr>
      </w:pPr>
      <w:r w:rsidRPr="003B6E11">
        <w:rPr>
          <w:b/>
          <w:lang w:val="cs-CZ"/>
        </w:rPr>
        <w:t>0.</w:t>
      </w:r>
      <w:r w:rsidRPr="003B6E11">
        <w:rPr>
          <w:lang w:val="cs-CZ"/>
        </w:rPr>
        <w:tab/>
      </w:r>
      <w:r w:rsidRPr="003B6E11">
        <w:rPr>
          <w:b/>
          <w:noProof/>
          <w:lang w:val="cs-CZ"/>
        </w:rPr>
        <w:t>Konstrukční části</w:t>
      </w:r>
    </w:p>
    <w:p w:rsidR="003B6E11" w:rsidRPr="003B6E11" w:rsidRDefault="003B6E11" w:rsidP="003B6E11">
      <w:pPr>
        <w:tabs>
          <w:tab w:val="num" w:pos="709"/>
        </w:tabs>
        <w:spacing w:line="240" w:lineRule="atLeast"/>
        <w:ind w:left="709" w:hanging="709"/>
        <w:rPr>
          <w:szCs w:val="20"/>
          <w:lang w:val="cs-CZ"/>
        </w:rPr>
      </w:pPr>
    </w:p>
    <w:p w:rsidR="003B6E11" w:rsidRPr="003B6E11" w:rsidRDefault="003B6E11" w:rsidP="003B6E11">
      <w:pPr>
        <w:tabs>
          <w:tab w:val="num" w:pos="709"/>
        </w:tabs>
        <w:spacing w:line="240" w:lineRule="atLeast"/>
        <w:ind w:left="709" w:hanging="709"/>
        <w:rPr>
          <w:szCs w:val="20"/>
          <w:lang w:val="cs-CZ"/>
        </w:rPr>
      </w:pPr>
      <w:r w:rsidRPr="003B6E11">
        <w:rPr>
          <w:lang w:val="cs-CZ"/>
        </w:rPr>
        <w:t>0.1</w:t>
      </w:r>
      <w:r w:rsidRPr="003B6E11">
        <w:rPr>
          <w:lang w:val="cs-CZ"/>
        </w:rPr>
        <w:tab/>
        <w:t>Požární poplašné systémy se skládají z:</w:t>
      </w:r>
    </w:p>
    <w:p w:rsidR="003B6E11" w:rsidRPr="003B6E11" w:rsidRDefault="003B6E11" w:rsidP="003B6E11">
      <w:pPr>
        <w:tabs>
          <w:tab w:val="num" w:pos="1134"/>
        </w:tabs>
        <w:spacing w:before="60" w:line="240" w:lineRule="atLeast"/>
        <w:ind w:left="1134"/>
        <w:rPr>
          <w:szCs w:val="20"/>
          <w:lang w:val="cs-CZ"/>
        </w:rPr>
      </w:pPr>
      <w:r w:rsidRPr="003B6E11">
        <w:rPr>
          <w:lang w:val="cs-CZ"/>
        </w:rPr>
        <w:t>a)</w:t>
      </w:r>
      <w:r w:rsidRPr="003B6E11">
        <w:rPr>
          <w:lang w:val="cs-CZ"/>
        </w:rPr>
        <w:tab/>
        <w:t>požárního detekčního systému;</w:t>
      </w:r>
    </w:p>
    <w:p w:rsidR="003B6E11" w:rsidRPr="003B6E11" w:rsidRDefault="003B6E11" w:rsidP="003B6E11">
      <w:pPr>
        <w:tabs>
          <w:tab w:val="num" w:pos="1134"/>
        </w:tabs>
        <w:spacing w:before="60" w:line="240" w:lineRule="atLeast"/>
        <w:ind w:left="1134"/>
        <w:rPr>
          <w:szCs w:val="20"/>
          <w:lang w:val="cs-CZ"/>
        </w:rPr>
      </w:pPr>
      <w:r w:rsidRPr="003B6E11">
        <w:rPr>
          <w:lang w:val="cs-CZ"/>
        </w:rPr>
        <w:t>b)</w:t>
      </w:r>
      <w:r w:rsidRPr="003B6E11">
        <w:rPr>
          <w:lang w:val="cs-CZ"/>
        </w:rPr>
        <w:tab/>
        <w:t>požárního signalizačního systému;</w:t>
      </w:r>
    </w:p>
    <w:p w:rsidR="003B6E11" w:rsidRPr="003B6E11" w:rsidRDefault="003B6E11" w:rsidP="003B6E11">
      <w:pPr>
        <w:tabs>
          <w:tab w:val="num" w:pos="1134"/>
        </w:tabs>
        <w:spacing w:before="60" w:line="240" w:lineRule="atLeast"/>
        <w:ind w:left="1134"/>
        <w:rPr>
          <w:szCs w:val="20"/>
          <w:lang w:val="cs-CZ"/>
        </w:rPr>
      </w:pPr>
      <w:r w:rsidRPr="003B6E11">
        <w:rPr>
          <w:lang w:val="cs-CZ"/>
        </w:rPr>
        <w:t>c)</w:t>
      </w:r>
      <w:r w:rsidRPr="003B6E11">
        <w:rPr>
          <w:lang w:val="cs-CZ"/>
        </w:rPr>
        <w:tab/>
        <w:t>ovládacího panelu</w:t>
      </w:r>
    </w:p>
    <w:p w:rsidR="003B6E11" w:rsidRPr="003B6E11" w:rsidRDefault="003B6E11" w:rsidP="003B6E11">
      <w:pPr>
        <w:tabs>
          <w:tab w:val="num" w:pos="709"/>
        </w:tabs>
        <w:spacing w:before="60" w:line="240" w:lineRule="atLeast"/>
        <w:ind w:left="709"/>
        <w:rPr>
          <w:noProof/>
          <w:szCs w:val="20"/>
          <w:lang w:val="cs-CZ"/>
        </w:rPr>
      </w:pPr>
      <w:r w:rsidRPr="003B6E11">
        <w:rPr>
          <w:lang w:val="cs-CZ"/>
        </w:rPr>
        <w:t>a napájení z externího zdroje napájení.</w:t>
      </w:r>
    </w:p>
    <w:p w:rsidR="003B6E11" w:rsidRPr="003B6E11" w:rsidRDefault="003B6E11" w:rsidP="003B6E11">
      <w:pPr>
        <w:tabs>
          <w:tab w:val="num" w:pos="709"/>
        </w:tabs>
        <w:spacing w:line="240" w:lineRule="atLeast"/>
        <w:ind w:left="709" w:hanging="709"/>
        <w:rPr>
          <w:szCs w:val="20"/>
          <w:lang w:val="cs-CZ"/>
        </w:rPr>
      </w:pPr>
    </w:p>
    <w:p w:rsidR="003B6E11" w:rsidRPr="003B6E11" w:rsidRDefault="003B6E11" w:rsidP="003B6E11">
      <w:pPr>
        <w:tabs>
          <w:tab w:val="num" w:pos="709"/>
        </w:tabs>
        <w:spacing w:line="240" w:lineRule="atLeast"/>
        <w:ind w:left="709" w:hanging="709"/>
        <w:rPr>
          <w:szCs w:val="20"/>
          <w:lang w:val="cs-CZ"/>
        </w:rPr>
      </w:pPr>
      <w:r w:rsidRPr="003B6E11">
        <w:rPr>
          <w:lang w:val="cs-CZ"/>
        </w:rPr>
        <w:t>0.2</w:t>
      </w:r>
      <w:r w:rsidRPr="003B6E11">
        <w:rPr>
          <w:lang w:val="cs-CZ"/>
        </w:rPr>
        <w:tab/>
        <w:t>Požární detekční systém lze rozdělit do jedné nebo více požárních zón.</w:t>
      </w:r>
    </w:p>
    <w:p w:rsidR="003B6E11" w:rsidRPr="003B6E11" w:rsidRDefault="003B6E11" w:rsidP="003B6E11">
      <w:pPr>
        <w:tabs>
          <w:tab w:val="num" w:pos="709"/>
        </w:tabs>
        <w:spacing w:line="240" w:lineRule="atLeast"/>
        <w:ind w:left="709" w:hanging="709"/>
        <w:rPr>
          <w:szCs w:val="20"/>
          <w:lang w:val="cs-CZ"/>
        </w:rPr>
      </w:pPr>
    </w:p>
    <w:p w:rsidR="003B6E11" w:rsidRPr="003B6E11" w:rsidRDefault="003B6E11" w:rsidP="003B6E11">
      <w:pPr>
        <w:tabs>
          <w:tab w:val="num" w:pos="709"/>
        </w:tabs>
        <w:spacing w:line="240" w:lineRule="atLeast"/>
        <w:ind w:left="709" w:hanging="709"/>
        <w:rPr>
          <w:szCs w:val="20"/>
          <w:lang w:val="cs-CZ"/>
        </w:rPr>
      </w:pPr>
      <w:r w:rsidRPr="003B6E11">
        <w:rPr>
          <w:lang w:val="cs-CZ"/>
        </w:rPr>
        <w:t>0.3</w:t>
      </w:r>
      <w:r w:rsidRPr="003B6E11">
        <w:rPr>
          <w:lang w:val="cs-CZ"/>
        </w:rPr>
        <w:tab/>
        <w:t>Požární signalizační systém může obsahovat jedno nebo více signalizačních zařízení.</w:t>
      </w:r>
    </w:p>
    <w:p w:rsidR="003B6E11" w:rsidRPr="003B6E11" w:rsidRDefault="003B6E11" w:rsidP="003B6E11">
      <w:pPr>
        <w:tabs>
          <w:tab w:val="num" w:pos="709"/>
        </w:tabs>
        <w:spacing w:line="240" w:lineRule="atLeast"/>
        <w:ind w:left="709" w:hanging="709"/>
        <w:rPr>
          <w:szCs w:val="20"/>
          <w:lang w:val="cs-CZ"/>
        </w:rPr>
      </w:pPr>
    </w:p>
    <w:p w:rsidR="003B6E11" w:rsidRPr="003B6E11" w:rsidRDefault="003B6E11" w:rsidP="003B6E11">
      <w:pPr>
        <w:tabs>
          <w:tab w:val="num" w:pos="709"/>
        </w:tabs>
        <w:spacing w:line="240" w:lineRule="atLeast"/>
        <w:ind w:left="709" w:hanging="709"/>
        <w:rPr>
          <w:szCs w:val="20"/>
          <w:lang w:val="cs-CZ"/>
        </w:rPr>
      </w:pPr>
      <w:r w:rsidRPr="003B6E11">
        <w:rPr>
          <w:lang w:val="cs-CZ"/>
        </w:rPr>
        <w:t>0.4</w:t>
      </w:r>
      <w:r w:rsidRPr="003B6E11">
        <w:rPr>
          <w:lang w:val="cs-CZ"/>
        </w:rPr>
        <w:tab/>
        <w:t>Ovládací panel je centrální řídicí jednotkou požárního poplašného systému. Zahrnuje i součásti požárního signalizačního systému (tj. signalizační zařízení).</w:t>
      </w:r>
    </w:p>
    <w:p w:rsidR="003B6E11" w:rsidRPr="003B6E11" w:rsidRDefault="003B6E11" w:rsidP="003B6E11">
      <w:pPr>
        <w:tabs>
          <w:tab w:val="num" w:pos="709"/>
        </w:tabs>
        <w:spacing w:line="240" w:lineRule="atLeast"/>
        <w:ind w:left="709" w:hanging="709"/>
        <w:rPr>
          <w:szCs w:val="20"/>
          <w:lang w:val="cs-CZ"/>
        </w:rPr>
      </w:pPr>
    </w:p>
    <w:p w:rsidR="003B6E11" w:rsidRPr="003B6E11" w:rsidRDefault="003B6E11" w:rsidP="003B6E11">
      <w:pPr>
        <w:tabs>
          <w:tab w:val="num" w:pos="709"/>
        </w:tabs>
        <w:spacing w:line="240" w:lineRule="atLeast"/>
        <w:ind w:left="709" w:hanging="709"/>
        <w:rPr>
          <w:szCs w:val="20"/>
          <w:lang w:val="cs-CZ"/>
        </w:rPr>
      </w:pPr>
      <w:r w:rsidRPr="003B6E11">
        <w:rPr>
          <w:lang w:val="cs-CZ"/>
        </w:rPr>
        <w:t>0.5</w:t>
      </w:r>
      <w:r w:rsidRPr="003B6E11">
        <w:rPr>
          <w:lang w:val="cs-CZ"/>
        </w:rPr>
        <w:tab/>
        <w:t>Požární detekční zóna může obsahovat jeden nebo více požárních hlásičů.</w:t>
      </w:r>
    </w:p>
    <w:p w:rsidR="003B6E11" w:rsidRPr="003B6E11" w:rsidRDefault="003B6E11" w:rsidP="003B6E11">
      <w:pPr>
        <w:tabs>
          <w:tab w:val="num" w:pos="709"/>
        </w:tabs>
        <w:spacing w:line="240" w:lineRule="atLeast"/>
        <w:ind w:left="709" w:hanging="709"/>
        <w:rPr>
          <w:szCs w:val="20"/>
          <w:lang w:val="cs-CZ"/>
        </w:rPr>
      </w:pPr>
    </w:p>
    <w:p w:rsidR="003B6E11" w:rsidRPr="003B6E11" w:rsidRDefault="003B6E11" w:rsidP="003B6E11">
      <w:pPr>
        <w:tabs>
          <w:tab w:val="num" w:pos="709"/>
        </w:tabs>
        <w:spacing w:line="240" w:lineRule="atLeast"/>
        <w:ind w:left="709" w:hanging="709"/>
        <w:rPr>
          <w:szCs w:val="20"/>
          <w:lang w:val="cs-CZ"/>
        </w:rPr>
      </w:pPr>
      <w:r w:rsidRPr="003B6E11">
        <w:rPr>
          <w:lang w:val="cs-CZ"/>
        </w:rPr>
        <w:t>0.6</w:t>
      </w:r>
      <w:r w:rsidRPr="003B6E11">
        <w:rPr>
          <w:lang w:val="cs-CZ"/>
        </w:rPr>
        <w:tab/>
        <w:t>Požárními hlásiči mohou být</w:t>
      </w:r>
    </w:p>
    <w:p w:rsidR="003B6E11" w:rsidRPr="003B6E11" w:rsidRDefault="003B6E11" w:rsidP="003B6E11">
      <w:pPr>
        <w:tabs>
          <w:tab w:val="num" w:pos="1134"/>
        </w:tabs>
        <w:spacing w:before="60" w:line="240" w:lineRule="atLeast"/>
        <w:ind w:left="1134"/>
        <w:rPr>
          <w:szCs w:val="20"/>
          <w:lang w:val="cs-CZ"/>
        </w:rPr>
      </w:pPr>
      <w:r w:rsidRPr="003B6E11">
        <w:rPr>
          <w:lang w:val="cs-CZ"/>
        </w:rPr>
        <w:t>a)</w:t>
      </w:r>
      <w:r w:rsidRPr="003B6E11">
        <w:rPr>
          <w:lang w:val="cs-CZ"/>
        </w:rPr>
        <w:tab/>
        <w:t>detektory tepla;</w:t>
      </w:r>
    </w:p>
    <w:p w:rsidR="003B6E11" w:rsidRPr="003B6E11" w:rsidRDefault="003B6E11" w:rsidP="003B6E11">
      <w:pPr>
        <w:tabs>
          <w:tab w:val="num" w:pos="1134"/>
        </w:tabs>
        <w:spacing w:before="60" w:line="240" w:lineRule="atLeast"/>
        <w:ind w:left="1134"/>
        <w:rPr>
          <w:szCs w:val="20"/>
          <w:lang w:val="cs-CZ"/>
        </w:rPr>
      </w:pPr>
      <w:r w:rsidRPr="003B6E11">
        <w:rPr>
          <w:lang w:val="cs-CZ"/>
        </w:rPr>
        <w:t>b)</w:t>
      </w:r>
      <w:r w:rsidRPr="003B6E11">
        <w:rPr>
          <w:lang w:val="cs-CZ"/>
        </w:rPr>
        <w:tab/>
        <w:t>detektory kouře;</w:t>
      </w:r>
    </w:p>
    <w:p w:rsidR="003B6E11" w:rsidRPr="003B6E11" w:rsidRDefault="003B6E11" w:rsidP="003B6E11">
      <w:pPr>
        <w:tabs>
          <w:tab w:val="num" w:pos="1134"/>
        </w:tabs>
        <w:spacing w:before="60" w:line="240" w:lineRule="atLeast"/>
        <w:ind w:left="1134"/>
        <w:rPr>
          <w:szCs w:val="20"/>
          <w:lang w:val="cs-CZ"/>
        </w:rPr>
      </w:pPr>
      <w:r w:rsidRPr="003B6E11">
        <w:rPr>
          <w:lang w:val="cs-CZ"/>
        </w:rPr>
        <w:t>c)</w:t>
      </w:r>
      <w:r w:rsidRPr="003B6E11">
        <w:rPr>
          <w:lang w:val="cs-CZ"/>
        </w:rPr>
        <w:tab/>
        <w:t>iontové detektory;</w:t>
      </w:r>
    </w:p>
    <w:p w:rsidR="003B6E11" w:rsidRPr="003B6E11" w:rsidRDefault="003B6E11" w:rsidP="003B6E11">
      <w:pPr>
        <w:tabs>
          <w:tab w:val="num" w:pos="1134"/>
        </w:tabs>
        <w:spacing w:before="60" w:line="240" w:lineRule="atLeast"/>
        <w:ind w:left="1134"/>
        <w:rPr>
          <w:szCs w:val="20"/>
          <w:lang w:val="cs-CZ"/>
        </w:rPr>
      </w:pPr>
      <w:r w:rsidRPr="003B6E11">
        <w:rPr>
          <w:lang w:val="cs-CZ"/>
        </w:rPr>
        <w:t>d)</w:t>
      </w:r>
      <w:r w:rsidRPr="003B6E11">
        <w:rPr>
          <w:lang w:val="cs-CZ"/>
        </w:rPr>
        <w:tab/>
        <w:t>detektory plamene;</w:t>
      </w:r>
    </w:p>
    <w:p w:rsidR="003B6E11" w:rsidRPr="003B6E11" w:rsidRDefault="003B6E11" w:rsidP="003B6E11">
      <w:pPr>
        <w:tabs>
          <w:tab w:val="num" w:pos="1134"/>
        </w:tabs>
        <w:spacing w:before="60" w:line="240" w:lineRule="atLeast"/>
        <w:ind w:left="1134"/>
        <w:rPr>
          <w:szCs w:val="20"/>
          <w:lang w:val="cs-CZ"/>
        </w:rPr>
      </w:pPr>
      <w:r w:rsidRPr="003B6E11">
        <w:rPr>
          <w:lang w:val="cs-CZ"/>
        </w:rPr>
        <w:t>e)</w:t>
      </w:r>
      <w:r w:rsidRPr="003B6E11">
        <w:rPr>
          <w:lang w:val="cs-CZ"/>
        </w:rPr>
        <w:tab/>
        <w:t>kombinované detektory (požární hlásiče ve spojení s dvěma nebo více detektory uvedenými v písmenech a) až d)).</w:t>
      </w:r>
    </w:p>
    <w:p w:rsidR="003B6E11" w:rsidRPr="003B6E11" w:rsidRDefault="003B6E11" w:rsidP="003B6E11">
      <w:pPr>
        <w:tabs>
          <w:tab w:val="num" w:pos="709"/>
        </w:tabs>
        <w:spacing w:line="240" w:lineRule="atLeast"/>
        <w:ind w:left="709" w:hanging="709"/>
        <w:rPr>
          <w:szCs w:val="20"/>
          <w:lang w:val="cs-CZ"/>
        </w:rPr>
      </w:pPr>
    </w:p>
    <w:p w:rsidR="003B6E11" w:rsidRPr="003B6E11" w:rsidRDefault="003B6E11" w:rsidP="003B6E11">
      <w:pPr>
        <w:tabs>
          <w:tab w:val="num" w:pos="709"/>
        </w:tabs>
        <w:spacing w:line="240" w:lineRule="atLeast"/>
        <w:ind w:left="709"/>
        <w:rPr>
          <w:szCs w:val="20"/>
          <w:lang w:val="cs-CZ"/>
        </w:rPr>
      </w:pPr>
      <w:r w:rsidRPr="003B6E11">
        <w:rPr>
          <w:lang w:val="cs-CZ"/>
        </w:rPr>
        <w:t>Požární hlásiče reagující na jiné faktory signalizující vypuknutí požáru mohou být schváleny subjektem pověřeným prohlídkami za předpokladu, že nejsou citlivé méně než detektory uvedené v písmenech a) až e).</w:t>
      </w:r>
    </w:p>
    <w:p w:rsidR="003B6E11" w:rsidRPr="003B6E11" w:rsidRDefault="003B6E11" w:rsidP="003B6E11">
      <w:pPr>
        <w:tabs>
          <w:tab w:val="num" w:pos="709"/>
        </w:tabs>
        <w:spacing w:line="240" w:lineRule="atLeast"/>
        <w:ind w:left="709" w:hanging="709"/>
        <w:rPr>
          <w:szCs w:val="20"/>
          <w:lang w:val="cs-CZ"/>
        </w:rPr>
      </w:pPr>
    </w:p>
    <w:p w:rsidR="003B6E11" w:rsidRPr="003B6E11" w:rsidRDefault="003B6E11" w:rsidP="003B6E11">
      <w:pPr>
        <w:tabs>
          <w:tab w:val="num" w:pos="709"/>
        </w:tabs>
        <w:spacing w:line="240" w:lineRule="atLeast"/>
        <w:rPr>
          <w:szCs w:val="20"/>
          <w:lang w:val="cs-CZ"/>
        </w:rPr>
      </w:pPr>
      <w:r w:rsidRPr="003B6E11">
        <w:rPr>
          <w:lang w:val="cs-CZ"/>
        </w:rPr>
        <w:t>0.7</w:t>
      </w:r>
      <w:r w:rsidRPr="003B6E11">
        <w:rPr>
          <w:lang w:val="cs-CZ"/>
        </w:rPr>
        <w:tab/>
        <w:t>Požární hlásiče mohou být instalovány</w:t>
      </w:r>
    </w:p>
    <w:p w:rsidR="003B6E11" w:rsidRPr="003B6E11" w:rsidRDefault="003B6E11" w:rsidP="003B6E11">
      <w:pPr>
        <w:tabs>
          <w:tab w:val="num" w:pos="1134"/>
        </w:tabs>
        <w:spacing w:before="60" w:line="240" w:lineRule="atLeast"/>
        <w:ind w:left="1134"/>
        <w:rPr>
          <w:szCs w:val="20"/>
          <w:lang w:val="cs-CZ"/>
        </w:rPr>
      </w:pPr>
      <w:r w:rsidRPr="003B6E11">
        <w:rPr>
          <w:lang w:val="cs-CZ"/>
        </w:rPr>
        <w:t>a)</w:t>
      </w:r>
      <w:r w:rsidRPr="003B6E11">
        <w:rPr>
          <w:lang w:val="cs-CZ"/>
        </w:rPr>
        <w:tab/>
        <w:t>s nebo</w:t>
      </w:r>
    </w:p>
    <w:p w:rsidR="003B6E11" w:rsidRPr="003B6E11" w:rsidRDefault="003B6E11" w:rsidP="003B6E11">
      <w:pPr>
        <w:tabs>
          <w:tab w:val="num" w:pos="1134"/>
        </w:tabs>
        <w:spacing w:before="60" w:line="240" w:lineRule="atLeast"/>
        <w:ind w:left="1134"/>
        <w:rPr>
          <w:szCs w:val="20"/>
          <w:lang w:val="cs-CZ"/>
        </w:rPr>
      </w:pPr>
      <w:r w:rsidRPr="003B6E11">
        <w:rPr>
          <w:lang w:val="cs-CZ"/>
        </w:rPr>
        <w:t>b)</w:t>
      </w:r>
      <w:r w:rsidRPr="003B6E11">
        <w:rPr>
          <w:lang w:val="cs-CZ"/>
        </w:rPr>
        <w:tab/>
        <w:t>bez</w:t>
      </w:r>
    </w:p>
    <w:p w:rsidR="003B6E11" w:rsidRPr="003B6E11" w:rsidRDefault="003B6E11" w:rsidP="003B6E11">
      <w:pPr>
        <w:tabs>
          <w:tab w:val="num" w:pos="709"/>
        </w:tabs>
        <w:spacing w:before="60" w:line="240" w:lineRule="atLeast"/>
        <w:ind w:left="709"/>
        <w:rPr>
          <w:noProof/>
          <w:szCs w:val="20"/>
          <w:lang w:val="cs-CZ"/>
        </w:rPr>
      </w:pPr>
      <w:r w:rsidRPr="003B6E11">
        <w:rPr>
          <w:lang w:val="cs-CZ"/>
        </w:rPr>
        <w:t>individuální identifikace.</w:t>
      </w:r>
    </w:p>
    <w:p w:rsidR="003B6E11" w:rsidRPr="003B6E11" w:rsidRDefault="003B6E11" w:rsidP="003B6E11">
      <w:pPr>
        <w:tabs>
          <w:tab w:val="left" w:pos="426"/>
          <w:tab w:val="left" w:pos="709"/>
        </w:tabs>
        <w:spacing w:line="240" w:lineRule="atLeast"/>
        <w:ind w:left="709" w:hanging="709"/>
        <w:rPr>
          <w:szCs w:val="20"/>
          <w:lang w:val="cs-CZ"/>
        </w:rPr>
      </w:pPr>
    </w:p>
    <w:p w:rsidR="003B6E11" w:rsidRPr="003B6E11" w:rsidRDefault="003B6E11" w:rsidP="003B6E11">
      <w:pPr>
        <w:tabs>
          <w:tab w:val="left" w:pos="426"/>
          <w:tab w:val="left" w:pos="709"/>
        </w:tabs>
        <w:spacing w:line="240" w:lineRule="atLeast"/>
        <w:ind w:left="709" w:hanging="709"/>
        <w:rPr>
          <w:szCs w:val="20"/>
          <w:lang w:val="cs-CZ"/>
        </w:rPr>
      </w:pPr>
      <w:r w:rsidRPr="003B6E11">
        <w:rPr>
          <w:lang w:val="cs-CZ"/>
        </w:rPr>
        <w:br w:type="page"/>
      </w:r>
    </w:p>
    <w:p w:rsidR="003B6E11" w:rsidRPr="003B6E11" w:rsidRDefault="003B6E11" w:rsidP="003B6E11">
      <w:pPr>
        <w:tabs>
          <w:tab w:val="left" w:pos="709"/>
        </w:tabs>
        <w:spacing w:line="240" w:lineRule="atLeast"/>
        <w:ind w:left="709" w:hanging="709"/>
        <w:rPr>
          <w:szCs w:val="20"/>
          <w:lang w:val="cs-CZ"/>
        </w:rPr>
      </w:pPr>
      <w:r w:rsidRPr="003B6E11">
        <w:rPr>
          <w:b/>
          <w:lang w:val="cs-CZ"/>
        </w:rPr>
        <w:t>1.</w:t>
      </w:r>
      <w:r w:rsidRPr="003B6E11">
        <w:rPr>
          <w:lang w:val="cs-CZ"/>
        </w:rPr>
        <w:tab/>
      </w:r>
      <w:r w:rsidRPr="003B6E11">
        <w:rPr>
          <w:b/>
          <w:noProof/>
          <w:lang w:val="cs-CZ"/>
        </w:rPr>
        <w:t>Konstrukční požadavky</w:t>
      </w:r>
    </w:p>
    <w:p w:rsidR="003B6E11" w:rsidRPr="003B6E11" w:rsidRDefault="003B6E11" w:rsidP="003B6E11">
      <w:pPr>
        <w:tabs>
          <w:tab w:val="left" w:pos="709"/>
        </w:tabs>
        <w:spacing w:line="240" w:lineRule="atLeast"/>
        <w:ind w:left="709" w:hanging="709"/>
        <w:rPr>
          <w:szCs w:val="20"/>
          <w:lang w:val="cs-CZ"/>
        </w:rPr>
      </w:pPr>
    </w:p>
    <w:p w:rsidR="003B6E11" w:rsidRPr="003B6E11" w:rsidRDefault="003B6E11" w:rsidP="003B6E11">
      <w:pPr>
        <w:tabs>
          <w:tab w:val="left" w:pos="709"/>
        </w:tabs>
        <w:spacing w:line="240" w:lineRule="atLeast"/>
        <w:ind w:left="709" w:hanging="709"/>
        <w:rPr>
          <w:szCs w:val="20"/>
          <w:lang w:val="cs-CZ"/>
        </w:rPr>
      </w:pPr>
      <w:r w:rsidRPr="003B6E11">
        <w:rPr>
          <w:lang w:val="cs-CZ"/>
        </w:rPr>
        <w:t>1.1</w:t>
      </w:r>
      <w:r w:rsidRPr="003B6E11">
        <w:rPr>
          <w:lang w:val="cs-CZ"/>
        </w:rPr>
        <w:tab/>
        <w:t>Obecně</w:t>
      </w:r>
    </w:p>
    <w:p w:rsidR="003B6E11" w:rsidRPr="003B6E11" w:rsidRDefault="003B6E11" w:rsidP="003B6E11">
      <w:pPr>
        <w:tabs>
          <w:tab w:val="left" w:pos="426"/>
          <w:tab w:val="left" w:pos="709"/>
        </w:tabs>
        <w:spacing w:line="240" w:lineRule="atLeast"/>
        <w:rPr>
          <w:szCs w:val="20"/>
          <w:lang w:val="cs-CZ"/>
        </w:rPr>
      </w:pPr>
    </w:p>
    <w:p w:rsidR="003B6E11" w:rsidRPr="003B6E11" w:rsidRDefault="003B6E11" w:rsidP="003B6E11">
      <w:pPr>
        <w:tabs>
          <w:tab w:val="left" w:pos="426"/>
          <w:tab w:val="left" w:pos="709"/>
        </w:tabs>
        <w:spacing w:line="240" w:lineRule="atLeast"/>
        <w:ind w:left="709" w:hanging="709"/>
        <w:rPr>
          <w:szCs w:val="20"/>
          <w:lang w:val="cs-CZ"/>
        </w:rPr>
      </w:pPr>
      <w:r w:rsidRPr="003B6E11">
        <w:rPr>
          <w:lang w:val="cs-CZ"/>
        </w:rPr>
        <w:t>1.1.1</w:t>
      </w:r>
      <w:r w:rsidRPr="003B6E11">
        <w:rPr>
          <w:lang w:val="cs-CZ"/>
        </w:rPr>
        <w:tab/>
        <w:t>Povinné požární poplašné systémy musí být vždy funkční.</w:t>
      </w:r>
    </w:p>
    <w:p w:rsidR="003B6E11" w:rsidRPr="003B6E11" w:rsidRDefault="003B6E11" w:rsidP="003B6E11">
      <w:pPr>
        <w:tabs>
          <w:tab w:val="left" w:pos="426"/>
          <w:tab w:val="left" w:pos="709"/>
        </w:tabs>
        <w:spacing w:line="240" w:lineRule="atLeast"/>
        <w:ind w:left="709" w:hanging="709"/>
        <w:rPr>
          <w:szCs w:val="20"/>
          <w:lang w:val="cs-CZ"/>
        </w:rPr>
      </w:pPr>
    </w:p>
    <w:p w:rsidR="003B6E11" w:rsidRPr="003B6E11" w:rsidRDefault="003B6E11" w:rsidP="003B6E11">
      <w:pPr>
        <w:tabs>
          <w:tab w:val="left" w:pos="426"/>
          <w:tab w:val="left" w:pos="709"/>
        </w:tabs>
        <w:spacing w:after="80" w:line="240" w:lineRule="atLeast"/>
        <w:ind w:left="709" w:hanging="709"/>
        <w:rPr>
          <w:szCs w:val="20"/>
          <w:lang w:val="cs-CZ"/>
        </w:rPr>
      </w:pPr>
      <w:r w:rsidRPr="003B6E11">
        <w:rPr>
          <w:lang w:val="cs-CZ"/>
        </w:rPr>
        <w:t>1.1.2</w:t>
      </w:r>
      <w:r w:rsidRPr="003B6E11">
        <w:rPr>
          <w:lang w:val="cs-CZ"/>
        </w:rPr>
        <w:tab/>
        <w:t>Požární hlásiče požadované podle bodu 2.2 musí být automatické. Lze nainstalovat dodatečné manuálně obsluhované požární hlásiče.</w:t>
      </w:r>
    </w:p>
    <w:p w:rsidR="003B6E11" w:rsidRPr="003B6E11" w:rsidRDefault="003B6E11" w:rsidP="003B6E11">
      <w:pPr>
        <w:tabs>
          <w:tab w:val="left" w:pos="709"/>
        </w:tabs>
        <w:spacing w:line="240" w:lineRule="atLeast"/>
        <w:ind w:left="709" w:hanging="709"/>
        <w:rPr>
          <w:szCs w:val="20"/>
          <w:lang w:val="cs-CZ"/>
        </w:rPr>
      </w:pPr>
      <w:r w:rsidRPr="003B6E11">
        <w:rPr>
          <w:lang w:val="cs-CZ"/>
        </w:rPr>
        <w:t>1.1.3</w:t>
      </w:r>
      <w:r w:rsidRPr="003B6E11">
        <w:rPr>
          <w:lang w:val="cs-CZ"/>
        </w:rPr>
        <w:tab/>
        <w:t>Systém a jeho součásti musí být schopny vydržet kolísání a náhlé zvýšení napětí, změny okolní teploty, vibrace, vlhkost, otřesy, nárazy a korozi v takové míře, v jaké se na lodích běžně vyskytují.</w:t>
      </w:r>
    </w:p>
    <w:p w:rsidR="003B6E11" w:rsidRPr="003B6E11" w:rsidRDefault="003B6E11" w:rsidP="003B6E11">
      <w:pPr>
        <w:tabs>
          <w:tab w:val="left" w:pos="426"/>
          <w:tab w:val="left" w:pos="709"/>
        </w:tabs>
        <w:spacing w:line="240" w:lineRule="atLeast"/>
        <w:rPr>
          <w:szCs w:val="20"/>
          <w:lang w:val="cs-CZ"/>
        </w:rPr>
      </w:pPr>
    </w:p>
    <w:p w:rsidR="003B6E11" w:rsidRPr="003B6E11" w:rsidRDefault="003B6E11" w:rsidP="003B6E11">
      <w:pPr>
        <w:tabs>
          <w:tab w:val="num" w:pos="709"/>
        </w:tabs>
        <w:spacing w:after="80" w:line="240" w:lineRule="atLeast"/>
        <w:ind w:left="709" w:hanging="709"/>
        <w:rPr>
          <w:b/>
          <w:bCs/>
          <w:szCs w:val="20"/>
          <w:lang w:val="cs-CZ"/>
        </w:rPr>
      </w:pPr>
      <w:r w:rsidRPr="003B6E11">
        <w:rPr>
          <w:b/>
          <w:noProof/>
          <w:lang w:val="cs-CZ"/>
        </w:rPr>
        <w:t>1.2</w:t>
      </w:r>
      <w:r w:rsidRPr="003B6E11">
        <w:rPr>
          <w:lang w:val="cs-CZ"/>
        </w:rPr>
        <w:tab/>
      </w:r>
      <w:r w:rsidRPr="003B6E11">
        <w:rPr>
          <w:b/>
          <w:noProof/>
          <w:lang w:val="cs-CZ"/>
        </w:rPr>
        <w:t>Dodávka energie</w:t>
      </w:r>
    </w:p>
    <w:p w:rsidR="003B6E11" w:rsidRPr="003B6E11" w:rsidRDefault="003B6E11" w:rsidP="003B6E11">
      <w:pPr>
        <w:tabs>
          <w:tab w:val="left" w:pos="709"/>
        </w:tabs>
        <w:spacing w:after="80" w:line="240" w:lineRule="atLeast"/>
        <w:ind w:left="709" w:hanging="709"/>
        <w:rPr>
          <w:szCs w:val="20"/>
          <w:lang w:val="cs-CZ"/>
        </w:rPr>
      </w:pPr>
      <w:r w:rsidRPr="003B6E11">
        <w:rPr>
          <w:lang w:val="cs-CZ"/>
        </w:rPr>
        <w:t>1.2.1</w:t>
      </w:r>
      <w:r w:rsidRPr="003B6E11">
        <w:rPr>
          <w:lang w:val="cs-CZ"/>
        </w:rPr>
        <w:tab/>
        <w:t>Zdroje energie a elektrické obvody nezbytné pro provoz požárního poplašného systému musí být schopny kontrolovat samy sebe. Výskyt jakékoli poruchy musí aktivovat vizuální a akustický signál na ovládacím panelu, který je odlišný od signálu požárního poplachu.</w:t>
      </w:r>
    </w:p>
    <w:p w:rsidR="003B6E11" w:rsidRPr="003B6E11" w:rsidRDefault="003B6E11" w:rsidP="003B6E11">
      <w:pPr>
        <w:tabs>
          <w:tab w:val="left" w:pos="709"/>
        </w:tabs>
        <w:spacing w:line="240" w:lineRule="atLeast"/>
        <w:ind w:left="709" w:hanging="709"/>
        <w:rPr>
          <w:szCs w:val="20"/>
          <w:lang w:val="cs-CZ"/>
        </w:rPr>
      </w:pPr>
      <w:r w:rsidRPr="003B6E11">
        <w:rPr>
          <w:lang w:val="cs-CZ"/>
        </w:rPr>
        <w:t>1.2.2</w:t>
      </w:r>
      <w:r w:rsidRPr="003B6E11">
        <w:rPr>
          <w:lang w:val="cs-CZ"/>
        </w:rPr>
        <w:tab/>
        <w:t xml:space="preserve">Elektrická část požárního poplašného systému musí mít alespoň dva zdroje energie, z nichž jeden musí fungovat jako nouzový napájecí systém (tj. nouzový napájecí zdroj a nouzový rozvaděč). Výhradně za tímto účelem musí být k dispozici dvě samostatná napájení. Ta musí vést do automatického spínače v ovládacím panelu požárního poplašného systému nebo v jeho blízkosti. U výletních osobních lodí do délky 25 m </w:t>
      </w:r>
      <m:oMath>
        <m:sSub>
          <m:sSubPr>
            <m:ctrlPr>
              <w:rPr>
                <w:rFonts w:ascii="Cambria Math" w:hAnsi="Cambria Math"/>
                <w:i/>
                <w:noProof/>
                <w:szCs w:val="20"/>
                <w:lang w:val="cs-CZ"/>
              </w:rPr>
            </m:ctrlPr>
          </m:sSubPr>
          <m:e>
            <m:r>
              <w:rPr>
                <w:rFonts w:ascii="Cambria Math" w:hAnsi="Cambria Math"/>
                <w:noProof/>
                <w:szCs w:val="20"/>
                <w:lang w:val="cs-CZ"/>
              </w:rPr>
              <m:t>L</m:t>
            </m:r>
          </m:e>
          <m:sub>
            <m:r>
              <w:rPr>
                <w:rFonts w:ascii="Cambria Math" w:hAnsi="Cambria Math"/>
                <w:noProof/>
                <w:szCs w:val="20"/>
                <w:lang w:val="cs-CZ"/>
              </w:rPr>
              <m:t>WL</m:t>
            </m:r>
          </m:sub>
        </m:sSub>
      </m:oMath>
      <w:r w:rsidRPr="003B6E11">
        <w:rPr>
          <w:lang w:val="cs-CZ"/>
        </w:rPr>
        <w:t xml:space="preserve"> a u motorových lodí postačuje samostatný nouzový zdroj napájení.</w:t>
      </w:r>
    </w:p>
    <w:p w:rsidR="003B6E11" w:rsidRPr="003B6E11" w:rsidRDefault="003B6E11" w:rsidP="003B6E11">
      <w:pPr>
        <w:tabs>
          <w:tab w:val="left" w:pos="709"/>
        </w:tabs>
        <w:spacing w:line="240" w:lineRule="atLeast"/>
        <w:ind w:left="426" w:hanging="426"/>
        <w:rPr>
          <w:szCs w:val="20"/>
          <w:lang w:val="cs-CZ"/>
        </w:rPr>
      </w:pPr>
    </w:p>
    <w:p w:rsidR="003B6E11" w:rsidRPr="003B6E11" w:rsidRDefault="003B6E11" w:rsidP="003B6E11">
      <w:pPr>
        <w:tabs>
          <w:tab w:val="num" w:pos="709"/>
        </w:tabs>
        <w:spacing w:line="240" w:lineRule="atLeast"/>
        <w:ind w:left="709" w:hanging="709"/>
        <w:rPr>
          <w:b/>
          <w:bCs/>
          <w:szCs w:val="20"/>
          <w:lang w:val="cs-CZ"/>
        </w:rPr>
      </w:pPr>
      <w:r w:rsidRPr="003B6E11">
        <w:rPr>
          <w:b/>
          <w:noProof/>
          <w:lang w:val="cs-CZ"/>
        </w:rPr>
        <w:t>1.3</w:t>
      </w:r>
      <w:r w:rsidRPr="003B6E11">
        <w:rPr>
          <w:lang w:val="cs-CZ"/>
        </w:rPr>
        <w:tab/>
      </w:r>
      <w:r w:rsidRPr="003B6E11">
        <w:rPr>
          <w:b/>
          <w:noProof/>
          <w:lang w:val="cs-CZ"/>
        </w:rPr>
        <w:t>Požární detekční systém</w:t>
      </w:r>
    </w:p>
    <w:p w:rsidR="003B6E11" w:rsidRPr="003B6E11" w:rsidRDefault="003B6E11" w:rsidP="003B6E11">
      <w:pPr>
        <w:tabs>
          <w:tab w:val="left" w:pos="709"/>
        </w:tabs>
        <w:spacing w:before="140" w:line="240" w:lineRule="atLeast"/>
        <w:ind w:left="709" w:hanging="709"/>
        <w:rPr>
          <w:szCs w:val="20"/>
          <w:lang w:val="cs-CZ"/>
        </w:rPr>
      </w:pPr>
      <w:r w:rsidRPr="003B6E11">
        <w:rPr>
          <w:lang w:val="cs-CZ"/>
        </w:rPr>
        <w:t>1.3.1</w:t>
      </w:r>
      <w:r w:rsidRPr="003B6E11">
        <w:rPr>
          <w:lang w:val="cs-CZ"/>
        </w:rPr>
        <w:tab/>
        <w:t>Požární hlásiče musí být seskupeny v požárních detekčních zónách.</w:t>
      </w:r>
    </w:p>
    <w:p w:rsidR="003B6E11" w:rsidRPr="003B6E11" w:rsidRDefault="003B6E11" w:rsidP="003B6E11">
      <w:pPr>
        <w:tabs>
          <w:tab w:val="left" w:pos="709"/>
        </w:tabs>
        <w:spacing w:before="140" w:line="240" w:lineRule="atLeast"/>
        <w:ind w:left="709" w:hanging="709"/>
        <w:rPr>
          <w:szCs w:val="20"/>
          <w:lang w:val="cs-CZ"/>
        </w:rPr>
      </w:pPr>
      <w:r w:rsidRPr="003B6E11">
        <w:rPr>
          <w:lang w:val="cs-CZ"/>
        </w:rPr>
        <w:t>1.3.2</w:t>
      </w:r>
      <w:r w:rsidRPr="003B6E11">
        <w:rPr>
          <w:lang w:val="cs-CZ"/>
        </w:rPr>
        <w:tab/>
        <w:t>Požární detekční systémy se nesmí používat pro žádné jiné účely. Avšak zavírání dveří podle čl. 19.11 odst. 9 a podobné funkce mohou být aktivovány a signalizovány na ovládacím panelu.</w:t>
      </w:r>
    </w:p>
    <w:p w:rsidR="003B6E11" w:rsidRPr="003B6E11" w:rsidRDefault="003B6E11" w:rsidP="003B6E11">
      <w:pPr>
        <w:tabs>
          <w:tab w:val="left" w:pos="426"/>
          <w:tab w:val="left" w:pos="709"/>
        </w:tabs>
        <w:spacing w:line="240" w:lineRule="atLeast"/>
        <w:ind w:left="709" w:hanging="568"/>
        <w:rPr>
          <w:szCs w:val="20"/>
          <w:lang w:val="cs-CZ"/>
        </w:rPr>
      </w:pPr>
    </w:p>
    <w:p w:rsidR="003B6E11" w:rsidRPr="003B6E11" w:rsidRDefault="003B6E11" w:rsidP="003B6E11">
      <w:pPr>
        <w:tabs>
          <w:tab w:val="left" w:pos="709"/>
        </w:tabs>
        <w:spacing w:line="240" w:lineRule="atLeast"/>
        <w:ind w:left="709" w:hanging="709"/>
        <w:rPr>
          <w:szCs w:val="20"/>
          <w:lang w:val="cs-CZ"/>
        </w:rPr>
      </w:pPr>
      <w:r w:rsidRPr="003B6E11">
        <w:rPr>
          <w:lang w:val="cs-CZ"/>
        </w:rPr>
        <w:t>1.3.3</w:t>
      </w:r>
      <w:r w:rsidRPr="003B6E11">
        <w:rPr>
          <w:lang w:val="cs-CZ"/>
        </w:rPr>
        <w:tab/>
        <w:t>Požární detekční systémy musí být konstruovány takovým způsobem, aby první signalizovaný požární poplach nezabránil požárním poplachům aktivovaným dalšími detektory.</w:t>
      </w:r>
    </w:p>
    <w:p w:rsidR="003B6E11" w:rsidRPr="003B6E11" w:rsidRDefault="003B6E11" w:rsidP="003B6E11">
      <w:pPr>
        <w:tabs>
          <w:tab w:val="left" w:pos="709"/>
        </w:tabs>
        <w:spacing w:line="240" w:lineRule="atLeast"/>
        <w:rPr>
          <w:szCs w:val="20"/>
          <w:lang w:val="cs-CZ"/>
        </w:rPr>
      </w:pPr>
    </w:p>
    <w:p w:rsidR="003B6E11" w:rsidRPr="003B6E11" w:rsidRDefault="003B6E11" w:rsidP="003B6E11">
      <w:pPr>
        <w:tabs>
          <w:tab w:val="num" w:pos="709"/>
        </w:tabs>
        <w:spacing w:line="240" w:lineRule="atLeast"/>
        <w:rPr>
          <w:b/>
          <w:bCs/>
          <w:szCs w:val="20"/>
          <w:lang w:val="cs-CZ"/>
        </w:rPr>
      </w:pPr>
      <w:r w:rsidRPr="003B6E11">
        <w:rPr>
          <w:b/>
          <w:noProof/>
          <w:lang w:val="cs-CZ"/>
        </w:rPr>
        <w:t>1.4</w:t>
      </w:r>
      <w:r w:rsidRPr="003B6E11">
        <w:rPr>
          <w:lang w:val="cs-CZ"/>
        </w:rPr>
        <w:tab/>
      </w:r>
      <w:r w:rsidRPr="003B6E11">
        <w:rPr>
          <w:b/>
          <w:noProof/>
          <w:lang w:val="cs-CZ"/>
        </w:rPr>
        <w:t>Požární detekční zóny</w:t>
      </w:r>
    </w:p>
    <w:p w:rsidR="003B6E11" w:rsidRPr="003B6E11" w:rsidRDefault="003B6E11" w:rsidP="003B6E11">
      <w:pPr>
        <w:tabs>
          <w:tab w:val="left" w:pos="709"/>
        </w:tabs>
        <w:spacing w:line="240" w:lineRule="atLeast"/>
        <w:rPr>
          <w:szCs w:val="20"/>
          <w:lang w:val="cs-CZ"/>
        </w:rPr>
      </w:pPr>
    </w:p>
    <w:p w:rsidR="003B6E11" w:rsidRPr="003B6E11" w:rsidRDefault="003B6E11" w:rsidP="003B6E11">
      <w:pPr>
        <w:tabs>
          <w:tab w:val="left" w:pos="709"/>
        </w:tabs>
        <w:spacing w:line="240" w:lineRule="atLeast"/>
        <w:ind w:left="709" w:hanging="709"/>
        <w:rPr>
          <w:szCs w:val="20"/>
          <w:lang w:val="cs-CZ"/>
        </w:rPr>
      </w:pPr>
      <w:r w:rsidRPr="003B6E11">
        <w:rPr>
          <w:lang w:val="cs-CZ"/>
        </w:rPr>
        <w:t>1.4.1</w:t>
      </w:r>
      <w:r w:rsidRPr="003B6E11">
        <w:rPr>
          <w:lang w:val="cs-CZ"/>
        </w:rPr>
        <w:tab/>
        <w:t>Pokud požární hlásiče nelze jednotlivě na dálku identifikovat, nesmí požární detekční zóna monitorovat více než jednu palubu. To neplatí pro požární detekční zónu, která monitoruje uzavřenou schodišťovou šachtu.</w:t>
      </w:r>
    </w:p>
    <w:p w:rsidR="003B6E11" w:rsidRPr="003B6E11" w:rsidRDefault="003B6E11" w:rsidP="003B6E11">
      <w:pPr>
        <w:tabs>
          <w:tab w:val="left" w:pos="709"/>
        </w:tabs>
        <w:spacing w:line="240" w:lineRule="atLeast"/>
        <w:ind w:left="709" w:hanging="709"/>
        <w:rPr>
          <w:szCs w:val="20"/>
          <w:lang w:val="cs-CZ"/>
        </w:rPr>
      </w:pPr>
    </w:p>
    <w:p w:rsidR="003B6E11" w:rsidRPr="003B6E11" w:rsidRDefault="003B6E11" w:rsidP="003B6E11">
      <w:pPr>
        <w:tabs>
          <w:tab w:val="left" w:pos="709"/>
        </w:tabs>
        <w:spacing w:line="240" w:lineRule="atLeast"/>
        <w:ind w:left="709"/>
        <w:rPr>
          <w:szCs w:val="20"/>
          <w:lang w:val="cs-CZ"/>
        </w:rPr>
      </w:pPr>
      <w:r w:rsidRPr="003B6E11">
        <w:rPr>
          <w:lang w:val="cs-CZ"/>
        </w:rPr>
        <w:t>Aby se zamezilo zpožděním při detekci zdroje požáru, musí být omezen počet uzavřených prostorů v každé požární detekční zóně. V jedné požární detekční zóně nesmí být více než padesát uzavřených prostorů.</w:t>
      </w:r>
    </w:p>
    <w:p w:rsidR="003B6E11" w:rsidRPr="003B6E11" w:rsidRDefault="003B6E11" w:rsidP="003B6E11">
      <w:pPr>
        <w:tabs>
          <w:tab w:val="left" w:pos="709"/>
        </w:tabs>
        <w:spacing w:line="240" w:lineRule="atLeast"/>
        <w:ind w:left="709"/>
        <w:rPr>
          <w:szCs w:val="20"/>
          <w:lang w:val="cs-CZ"/>
        </w:rPr>
      </w:pPr>
    </w:p>
    <w:p w:rsidR="003B6E11" w:rsidRPr="003B6E11" w:rsidRDefault="003B6E11" w:rsidP="003B6E11">
      <w:pPr>
        <w:tabs>
          <w:tab w:val="left" w:pos="709"/>
        </w:tabs>
        <w:spacing w:line="240" w:lineRule="atLeast"/>
        <w:ind w:left="709"/>
        <w:rPr>
          <w:szCs w:val="20"/>
          <w:lang w:val="cs-CZ"/>
        </w:rPr>
      </w:pPr>
      <w:r w:rsidRPr="003B6E11">
        <w:rPr>
          <w:lang w:val="cs-CZ"/>
        </w:rPr>
        <w:br w:type="page"/>
      </w:r>
    </w:p>
    <w:p w:rsidR="003B6E11" w:rsidRPr="003B6E11" w:rsidRDefault="003B6E11" w:rsidP="003B6E11">
      <w:pPr>
        <w:tabs>
          <w:tab w:val="left" w:pos="709"/>
        </w:tabs>
        <w:spacing w:line="240" w:lineRule="atLeast"/>
        <w:ind w:left="709"/>
        <w:rPr>
          <w:szCs w:val="20"/>
          <w:lang w:val="cs-CZ"/>
        </w:rPr>
      </w:pPr>
      <w:r w:rsidRPr="003B6E11">
        <w:rPr>
          <w:lang w:val="cs-CZ"/>
        </w:rPr>
        <w:t>Pokud požární detekční systém disponuje identifikací jednotlivých požárních hlásičů na dálku, mohou požární detekční zóny monitorovat několik palub a libovolný počet uzavřených prostorů.</w:t>
      </w:r>
    </w:p>
    <w:p w:rsidR="003B6E11" w:rsidRPr="003B6E11" w:rsidRDefault="003B6E11" w:rsidP="003B6E11">
      <w:pPr>
        <w:tabs>
          <w:tab w:val="left" w:pos="709"/>
        </w:tabs>
        <w:spacing w:line="240" w:lineRule="atLeast"/>
        <w:ind w:left="709"/>
        <w:rPr>
          <w:szCs w:val="20"/>
          <w:lang w:val="cs-CZ"/>
        </w:rPr>
      </w:pPr>
    </w:p>
    <w:p w:rsidR="003B6E11" w:rsidRPr="003B6E11" w:rsidRDefault="003B6E11" w:rsidP="003B6E11">
      <w:pPr>
        <w:tabs>
          <w:tab w:val="left" w:pos="709"/>
        </w:tabs>
        <w:spacing w:line="240" w:lineRule="atLeast"/>
        <w:ind w:left="709" w:hanging="709"/>
        <w:rPr>
          <w:szCs w:val="20"/>
          <w:lang w:val="cs-CZ"/>
        </w:rPr>
      </w:pPr>
      <w:r w:rsidRPr="003B6E11">
        <w:rPr>
          <w:lang w:val="cs-CZ"/>
        </w:rPr>
        <w:t>1.4.2</w:t>
      </w:r>
      <w:r w:rsidRPr="003B6E11">
        <w:rPr>
          <w:lang w:val="cs-CZ"/>
        </w:rPr>
        <w:tab/>
        <w:t>U osobních lodí, které nemají požární detekční systém s identifikací jednotlivých požárních hlásičů na dálku, nesmí požární detekční zóna obsahovat více než oblast stanovenou v souladu s čl. 19.11 odst. 11. Aktivace požárního hlásiče v jedné kabině patřící do této požární detekční zóny musí spustit vizuální a akustický signál v průchodu mimo tuto kabinu.</w:t>
      </w:r>
    </w:p>
    <w:p w:rsidR="003B6E11" w:rsidRPr="003B6E11" w:rsidRDefault="003B6E11" w:rsidP="003B6E11">
      <w:pPr>
        <w:tabs>
          <w:tab w:val="left" w:pos="426"/>
          <w:tab w:val="left" w:pos="709"/>
        </w:tabs>
        <w:spacing w:line="240" w:lineRule="atLeast"/>
        <w:ind w:left="709" w:hanging="568"/>
        <w:rPr>
          <w:szCs w:val="20"/>
          <w:lang w:val="cs-CZ"/>
        </w:rPr>
      </w:pPr>
    </w:p>
    <w:p w:rsidR="003B6E11" w:rsidRPr="003B6E11" w:rsidRDefault="003B6E11" w:rsidP="003B6E11">
      <w:pPr>
        <w:tabs>
          <w:tab w:val="left" w:pos="709"/>
        </w:tabs>
        <w:spacing w:line="240" w:lineRule="atLeast"/>
        <w:ind w:left="709" w:hanging="709"/>
        <w:rPr>
          <w:szCs w:val="20"/>
          <w:lang w:val="cs-CZ"/>
        </w:rPr>
      </w:pPr>
      <w:r w:rsidRPr="003B6E11">
        <w:rPr>
          <w:lang w:val="cs-CZ"/>
        </w:rPr>
        <w:t>1.4.3</w:t>
      </w:r>
      <w:r w:rsidRPr="003B6E11">
        <w:rPr>
          <w:lang w:val="cs-CZ"/>
        </w:rPr>
        <w:tab/>
        <w:t>Kuchyně, strojovny a kotelny musí tvořit samostatné požární detekční zóny.</w:t>
      </w:r>
    </w:p>
    <w:p w:rsidR="003B6E11" w:rsidRPr="003B6E11" w:rsidRDefault="003B6E11" w:rsidP="003B6E11">
      <w:pPr>
        <w:tabs>
          <w:tab w:val="left" w:pos="426"/>
          <w:tab w:val="left" w:pos="709"/>
        </w:tabs>
        <w:spacing w:line="240" w:lineRule="atLeast"/>
        <w:ind w:left="-142"/>
        <w:rPr>
          <w:szCs w:val="20"/>
          <w:lang w:val="cs-CZ"/>
        </w:rPr>
      </w:pPr>
    </w:p>
    <w:p w:rsidR="003B6E11" w:rsidRPr="003B6E11" w:rsidRDefault="003B6E11" w:rsidP="003B6E11">
      <w:pPr>
        <w:tabs>
          <w:tab w:val="left" w:pos="709"/>
        </w:tabs>
        <w:spacing w:line="240" w:lineRule="atLeast"/>
        <w:rPr>
          <w:b/>
          <w:bCs/>
          <w:szCs w:val="20"/>
          <w:lang w:val="cs-CZ"/>
        </w:rPr>
      </w:pPr>
      <w:r w:rsidRPr="003B6E11">
        <w:rPr>
          <w:b/>
          <w:lang w:val="cs-CZ"/>
        </w:rPr>
        <w:t>1.5</w:t>
      </w:r>
      <w:r w:rsidRPr="003B6E11">
        <w:rPr>
          <w:lang w:val="cs-CZ"/>
        </w:rPr>
        <w:tab/>
      </w:r>
      <w:r w:rsidRPr="003B6E11">
        <w:rPr>
          <w:b/>
          <w:lang w:val="cs-CZ"/>
        </w:rPr>
        <w:t>Požární hlásiče</w:t>
      </w:r>
    </w:p>
    <w:p w:rsidR="003B6E11" w:rsidRPr="003B6E11" w:rsidRDefault="003B6E11" w:rsidP="003B6E11">
      <w:pPr>
        <w:tabs>
          <w:tab w:val="left" w:pos="426"/>
          <w:tab w:val="left" w:pos="709"/>
        </w:tabs>
        <w:spacing w:line="240" w:lineRule="atLeast"/>
        <w:rPr>
          <w:szCs w:val="20"/>
          <w:lang w:val="cs-CZ"/>
        </w:rPr>
      </w:pPr>
    </w:p>
    <w:p w:rsidR="003B6E11" w:rsidRPr="003B6E11" w:rsidRDefault="003B6E11" w:rsidP="003B6E11">
      <w:pPr>
        <w:tabs>
          <w:tab w:val="left" w:pos="709"/>
        </w:tabs>
        <w:spacing w:line="240" w:lineRule="atLeast"/>
        <w:ind w:left="709" w:hanging="709"/>
        <w:rPr>
          <w:szCs w:val="20"/>
          <w:lang w:val="cs-CZ"/>
        </w:rPr>
      </w:pPr>
      <w:r w:rsidRPr="003B6E11">
        <w:rPr>
          <w:lang w:val="cs-CZ"/>
        </w:rPr>
        <w:t>1.5.1</w:t>
      </w:r>
      <w:r w:rsidRPr="003B6E11">
        <w:rPr>
          <w:lang w:val="cs-CZ"/>
        </w:rPr>
        <w:tab/>
        <w:t>Jako požární hlásiče lze používat pouze detektory tepla, kouře nebo iontové detektory. Jiné typy lze používat pouze jako doplňkové detektory.</w:t>
      </w:r>
    </w:p>
    <w:p w:rsidR="003B6E11" w:rsidRPr="003B6E11" w:rsidRDefault="003B6E11" w:rsidP="003B6E11">
      <w:pPr>
        <w:tabs>
          <w:tab w:val="left" w:pos="709"/>
        </w:tabs>
        <w:spacing w:line="240" w:lineRule="atLeast"/>
        <w:rPr>
          <w:szCs w:val="20"/>
          <w:lang w:val="cs-CZ"/>
        </w:rPr>
      </w:pPr>
    </w:p>
    <w:p w:rsidR="003B6E11" w:rsidRPr="003B6E11" w:rsidRDefault="003B6E11" w:rsidP="003B6E11">
      <w:pPr>
        <w:tabs>
          <w:tab w:val="left" w:pos="709"/>
        </w:tabs>
        <w:spacing w:line="240" w:lineRule="atLeast"/>
        <w:ind w:left="709" w:hanging="709"/>
        <w:rPr>
          <w:szCs w:val="20"/>
          <w:lang w:val="cs-CZ"/>
        </w:rPr>
      </w:pPr>
      <w:r w:rsidRPr="003B6E11">
        <w:rPr>
          <w:lang w:val="cs-CZ"/>
        </w:rPr>
        <w:t>1.5.2</w:t>
      </w:r>
      <w:r w:rsidRPr="003B6E11">
        <w:rPr>
          <w:lang w:val="cs-CZ"/>
        </w:rPr>
        <w:tab/>
        <w:t>Požární hlásiče musí být schváleného typu.</w:t>
      </w:r>
    </w:p>
    <w:p w:rsidR="003B6E11" w:rsidRPr="003B6E11" w:rsidRDefault="003B6E11" w:rsidP="003B6E11">
      <w:pPr>
        <w:tabs>
          <w:tab w:val="left" w:pos="426"/>
          <w:tab w:val="left" w:pos="709"/>
        </w:tabs>
        <w:spacing w:line="240" w:lineRule="atLeast"/>
        <w:ind w:left="426" w:hanging="568"/>
        <w:rPr>
          <w:szCs w:val="20"/>
          <w:lang w:val="cs-CZ"/>
        </w:rPr>
      </w:pPr>
    </w:p>
    <w:p w:rsidR="003B6E11" w:rsidRPr="003B6E11" w:rsidRDefault="003B6E11" w:rsidP="003B6E11">
      <w:pPr>
        <w:tabs>
          <w:tab w:val="left" w:pos="709"/>
        </w:tabs>
        <w:spacing w:line="240" w:lineRule="atLeast"/>
        <w:ind w:left="709" w:hanging="709"/>
        <w:rPr>
          <w:szCs w:val="20"/>
          <w:lang w:val="cs-CZ"/>
        </w:rPr>
      </w:pPr>
      <w:r w:rsidRPr="003B6E11">
        <w:rPr>
          <w:lang w:val="cs-CZ"/>
        </w:rPr>
        <w:t>1.5.3</w:t>
      </w:r>
      <w:r w:rsidRPr="003B6E11">
        <w:rPr>
          <w:lang w:val="cs-CZ"/>
        </w:rPr>
        <w:tab/>
        <w:t>Všechny automatické požární hlásiče musí být konstruovány tak, aby mohla být přezkoušena jejich správná funkčnost a aby mohly být znovu uvedeny do provozu bez potřeby výměny jakýchkoli konstrukčních částí.</w:t>
      </w:r>
    </w:p>
    <w:p w:rsidR="003B6E11" w:rsidRPr="003B6E11" w:rsidRDefault="003B6E11" w:rsidP="003B6E11">
      <w:pPr>
        <w:tabs>
          <w:tab w:val="left" w:pos="426"/>
          <w:tab w:val="left" w:pos="709"/>
        </w:tabs>
        <w:spacing w:line="240" w:lineRule="atLeast"/>
        <w:ind w:left="-142" w:firstLine="709"/>
        <w:rPr>
          <w:szCs w:val="20"/>
          <w:lang w:val="cs-CZ"/>
        </w:rPr>
      </w:pPr>
    </w:p>
    <w:p w:rsidR="003B6E11" w:rsidRPr="003B6E11" w:rsidRDefault="003B6E11" w:rsidP="003B6E11">
      <w:pPr>
        <w:tabs>
          <w:tab w:val="left" w:pos="709"/>
        </w:tabs>
        <w:spacing w:line="240" w:lineRule="atLeast"/>
        <w:ind w:left="709" w:hanging="709"/>
        <w:rPr>
          <w:szCs w:val="20"/>
          <w:lang w:val="cs-CZ"/>
        </w:rPr>
      </w:pPr>
      <w:r w:rsidRPr="003B6E11">
        <w:rPr>
          <w:lang w:val="cs-CZ"/>
        </w:rPr>
        <w:t>1.5.4</w:t>
      </w:r>
      <w:r w:rsidRPr="003B6E11">
        <w:rPr>
          <w:lang w:val="cs-CZ"/>
        </w:rPr>
        <w:tab/>
        <w:t>Detektory kouře musí být nastaveny tak, aby reagovaly na snížení viditelnosti na metr způsobené kouřem o více než 2 % až 12,5 %. Detektory kouře umístěné v kuchyních, strojovnách a kotelnách musí reagovat v mezích citlivosti splňujících požadavky subjektu pověřeného prohlídkami, přičemž je třeba vyvarovat se příliš nízké nebo příliš vysoké citlivosti detektorů.</w:t>
      </w:r>
    </w:p>
    <w:p w:rsidR="003B6E11" w:rsidRPr="003B6E11" w:rsidRDefault="003B6E11" w:rsidP="003B6E11">
      <w:pPr>
        <w:tabs>
          <w:tab w:val="left" w:pos="426"/>
          <w:tab w:val="left" w:pos="709"/>
        </w:tabs>
        <w:spacing w:line="240" w:lineRule="atLeast"/>
        <w:ind w:left="426" w:hanging="426"/>
        <w:rPr>
          <w:szCs w:val="20"/>
          <w:lang w:val="cs-CZ"/>
        </w:rPr>
      </w:pPr>
    </w:p>
    <w:p w:rsidR="003B6E11" w:rsidRPr="003B6E11" w:rsidRDefault="003B6E11" w:rsidP="003B6E11">
      <w:pPr>
        <w:tabs>
          <w:tab w:val="left" w:pos="709"/>
        </w:tabs>
        <w:spacing w:after="120" w:line="240" w:lineRule="atLeast"/>
        <w:ind w:left="709" w:hanging="719"/>
        <w:rPr>
          <w:szCs w:val="20"/>
          <w:lang w:val="cs-CZ"/>
        </w:rPr>
      </w:pPr>
      <w:r w:rsidRPr="003B6E11">
        <w:rPr>
          <w:lang w:val="cs-CZ"/>
        </w:rPr>
        <w:t>1.5.5</w:t>
      </w:r>
      <w:r w:rsidRPr="003B6E11">
        <w:rPr>
          <w:lang w:val="cs-CZ"/>
        </w:rPr>
        <w:tab/>
        <w:t>Detektory tepla musí být nastaveny tak, aby při přírůstcích teploty menších než 1 °C/min reagovaly při teplotách mezi 54 °C a 78 °C.</w:t>
      </w:r>
    </w:p>
    <w:p w:rsidR="003B6E11" w:rsidRPr="003B6E11" w:rsidRDefault="003B6E11" w:rsidP="003B6E11">
      <w:pPr>
        <w:tabs>
          <w:tab w:val="left" w:pos="709"/>
        </w:tabs>
        <w:spacing w:line="240" w:lineRule="atLeast"/>
        <w:ind w:left="709"/>
        <w:rPr>
          <w:szCs w:val="20"/>
          <w:lang w:val="cs-CZ"/>
        </w:rPr>
      </w:pPr>
      <w:r w:rsidRPr="003B6E11">
        <w:rPr>
          <w:lang w:val="cs-CZ"/>
        </w:rPr>
        <w:t>Při vyšších mírách přírůstku teploty musí detektor tepla reagovat v rozmezí teplotních limitů, při kterých je vyloučena příliš nízká nebo příliš vysoká citlivost detektoru tepla.</w:t>
      </w:r>
    </w:p>
    <w:p w:rsidR="003B6E11" w:rsidRPr="003B6E11" w:rsidRDefault="003B6E11" w:rsidP="003B6E11">
      <w:pPr>
        <w:tabs>
          <w:tab w:val="left" w:pos="426"/>
          <w:tab w:val="left" w:pos="709"/>
        </w:tabs>
        <w:spacing w:line="240" w:lineRule="atLeast"/>
        <w:ind w:left="426" w:hanging="426"/>
        <w:rPr>
          <w:szCs w:val="20"/>
          <w:lang w:val="cs-CZ"/>
        </w:rPr>
      </w:pPr>
    </w:p>
    <w:p w:rsidR="003B6E11" w:rsidRPr="003B6E11" w:rsidRDefault="003B6E11" w:rsidP="003B6E11">
      <w:pPr>
        <w:tabs>
          <w:tab w:val="left" w:pos="709"/>
        </w:tabs>
        <w:spacing w:line="240" w:lineRule="atLeast"/>
        <w:ind w:left="709" w:hanging="709"/>
        <w:rPr>
          <w:szCs w:val="20"/>
          <w:lang w:val="cs-CZ"/>
        </w:rPr>
      </w:pPr>
      <w:r w:rsidRPr="003B6E11">
        <w:rPr>
          <w:lang w:val="cs-CZ"/>
        </w:rPr>
        <w:t>1.5.6</w:t>
      </w:r>
      <w:r w:rsidRPr="003B6E11">
        <w:rPr>
          <w:lang w:val="cs-CZ"/>
        </w:rPr>
        <w:tab/>
        <w:t>Se souhlasem subjektu pověřeného prohlídkami lze v horní části strojoven a kotelen zvýšit přípustnou provozní teplotu detektorů tepla na 30 °C nad maximální teplotou.</w:t>
      </w:r>
    </w:p>
    <w:p w:rsidR="003B6E11" w:rsidRPr="003B6E11" w:rsidRDefault="003B6E11" w:rsidP="003B6E11">
      <w:pPr>
        <w:tabs>
          <w:tab w:val="left" w:pos="426"/>
          <w:tab w:val="left" w:pos="709"/>
        </w:tabs>
        <w:spacing w:line="240" w:lineRule="atLeast"/>
        <w:ind w:left="709" w:hanging="709"/>
        <w:rPr>
          <w:szCs w:val="20"/>
          <w:lang w:val="cs-CZ"/>
        </w:rPr>
      </w:pPr>
    </w:p>
    <w:p w:rsidR="003B6E11" w:rsidRPr="003B6E11" w:rsidRDefault="003B6E11" w:rsidP="003B6E11">
      <w:pPr>
        <w:tabs>
          <w:tab w:val="left" w:pos="709"/>
        </w:tabs>
        <w:spacing w:line="240" w:lineRule="atLeast"/>
        <w:ind w:left="709" w:hanging="719"/>
        <w:rPr>
          <w:szCs w:val="20"/>
          <w:lang w:val="cs-CZ"/>
        </w:rPr>
      </w:pPr>
      <w:r w:rsidRPr="003B6E11">
        <w:rPr>
          <w:lang w:val="cs-CZ"/>
        </w:rPr>
        <w:t>1.5.7</w:t>
      </w:r>
      <w:r w:rsidRPr="003B6E11">
        <w:rPr>
          <w:lang w:val="cs-CZ"/>
        </w:rPr>
        <w:tab/>
        <w:t>Citlivost detektorů plamene musí být dostatečná k detekci plamenů oproti osvětlenému pozadí. Detektory plamene musí být rovněž vybaveny systémem pro identifikaci falešných poplachů.</w:t>
      </w:r>
    </w:p>
    <w:p w:rsidR="003B6E11" w:rsidRPr="003B6E11" w:rsidRDefault="003B6E11" w:rsidP="003B6E11">
      <w:pPr>
        <w:tabs>
          <w:tab w:val="left" w:pos="709"/>
        </w:tabs>
        <w:spacing w:line="240" w:lineRule="atLeast"/>
        <w:ind w:left="-10"/>
        <w:rPr>
          <w:szCs w:val="20"/>
          <w:lang w:val="cs-CZ"/>
        </w:rPr>
      </w:pPr>
    </w:p>
    <w:p w:rsidR="003B6E11" w:rsidRPr="003B6E11" w:rsidRDefault="003B6E11" w:rsidP="003B6E11">
      <w:pPr>
        <w:tabs>
          <w:tab w:val="left" w:pos="709"/>
        </w:tabs>
        <w:spacing w:line="240" w:lineRule="atLeast"/>
        <w:ind w:left="-10"/>
        <w:rPr>
          <w:szCs w:val="20"/>
          <w:lang w:val="cs-CZ"/>
        </w:rPr>
      </w:pPr>
      <w:r w:rsidRPr="003B6E11">
        <w:rPr>
          <w:lang w:val="cs-CZ"/>
        </w:rPr>
        <w:br w:type="page"/>
      </w:r>
    </w:p>
    <w:p w:rsidR="003B6E11" w:rsidRPr="003B6E11" w:rsidRDefault="003B6E11" w:rsidP="003B6E11">
      <w:pPr>
        <w:tabs>
          <w:tab w:val="left" w:pos="709"/>
        </w:tabs>
        <w:spacing w:line="240" w:lineRule="atLeast"/>
        <w:ind w:left="709" w:hanging="709"/>
        <w:rPr>
          <w:b/>
          <w:bCs/>
          <w:szCs w:val="20"/>
          <w:lang w:val="cs-CZ"/>
        </w:rPr>
      </w:pPr>
      <w:r w:rsidRPr="003B6E11">
        <w:rPr>
          <w:b/>
          <w:noProof/>
          <w:lang w:val="cs-CZ"/>
        </w:rPr>
        <w:t>1.6</w:t>
      </w:r>
      <w:r w:rsidRPr="003B6E11">
        <w:rPr>
          <w:lang w:val="cs-CZ"/>
        </w:rPr>
        <w:tab/>
      </w:r>
      <w:r w:rsidRPr="003B6E11">
        <w:rPr>
          <w:b/>
          <w:noProof/>
          <w:lang w:val="cs-CZ"/>
        </w:rPr>
        <w:t>Požární detekční systém a ovládací panel</w:t>
      </w:r>
    </w:p>
    <w:p w:rsidR="003B6E11" w:rsidRPr="003B6E11" w:rsidRDefault="003B6E11" w:rsidP="003B6E11">
      <w:pPr>
        <w:tabs>
          <w:tab w:val="left" w:pos="709"/>
        </w:tabs>
        <w:spacing w:line="240" w:lineRule="atLeast"/>
        <w:ind w:left="709" w:hanging="709"/>
        <w:rPr>
          <w:szCs w:val="20"/>
          <w:lang w:val="cs-CZ"/>
        </w:rPr>
      </w:pPr>
    </w:p>
    <w:p w:rsidR="003B6E11" w:rsidRPr="003B6E11" w:rsidRDefault="003B6E11" w:rsidP="003B6E11">
      <w:pPr>
        <w:tabs>
          <w:tab w:val="left" w:pos="709"/>
        </w:tabs>
        <w:spacing w:line="240" w:lineRule="atLeast"/>
        <w:ind w:left="709" w:hanging="709"/>
        <w:rPr>
          <w:szCs w:val="20"/>
          <w:lang w:val="cs-CZ"/>
        </w:rPr>
      </w:pPr>
      <w:r w:rsidRPr="003B6E11">
        <w:rPr>
          <w:lang w:val="cs-CZ"/>
        </w:rPr>
        <w:t>1.6.1</w:t>
      </w:r>
      <w:r w:rsidRPr="003B6E11">
        <w:rPr>
          <w:lang w:val="cs-CZ"/>
        </w:rPr>
        <w:tab/>
        <w:t>Aktivace požárního detektoru musí spustit vizuální a akustický požární poplašný signál u ovládacího panelu a signalizačních zařízení.</w:t>
      </w:r>
    </w:p>
    <w:p w:rsidR="003B6E11" w:rsidRPr="003B6E11" w:rsidRDefault="003B6E11" w:rsidP="003B6E11">
      <w:pPr>
        <w:tabs>
          <w:tab w:val="left" w:pos="709"/>
        </w:tabs>
        <w:spacing w:line="240" w:lineRule="atLeast"/>
        <w:ind w:left="709" w:hanging="709"/>
        <w:rPr>
          <w:szCs w:val="20"/>
          <w:lang w:val="cs-CZ"/>
        </w:rPr>
      </w:pPr>
    </w:p>
    <w:p w:rsidR="003B6E11" w:rsidRPr="003B6E11" w:rsidRDefault="003B6E11" w:rsidP="003B6E11">
      <w:pPr>
        <w:tabs>
          <w:tab w:val="left" w:pos="709"/>
        </w:tabs>
        <w:spacing w:line="240" w:lineRule="atLeast"/>
        <w:ind w:left="709" w:hanging="709"/>
        <w:rPr>
          <w:szCs w:val="20"/>
          <w:lang w:val="cs-CZ"/>
        </w:rPr>
      </w:pPr>
      <w:r w:rsidRPr="003B6E11">
        <w:rPr>
          <w:lang w:val="cs-CZ"/>
        </w:rPr>
        <w:t>1.6.2</w:t>
      </w:r>
      <w:r w:rsidRPr="003B6E11">
        <w:rPr>
          <w:lang w:val="cs-CZ"/>
        </w:rPr>
        <w:tab/>
        <w:t>Ovládací panel a signalizační zařízení se musí nacházet na stanovišti, které je trvale obsazeno posádkou nebo lodním personálem. Jedno signalizační zařízení musí být u ovládacího stanoviště plavidla.</w:t>
      </w:r>
    </w:p>
    <w:p w:rsidR="003B6E11" w:rsidRPr="003B6E11" w:rsidRDefault="003B6E11" w:rsidP="003B6E11">
      <w:pPr>
        <w:tabs>
          <w:tab w:val="left" w:pos="709"/>
        </w:tabs>
        <w:spacing w:line="240" w:lineRule="atLeast"/>
        <w:ind w:left="709" w:hanging="709"/>
        <w:rPr>
          <w:szCs w:val="20"/>
          <w:lang w:val="cs-CZ"/>
        </w:rPr>
      </w:pPr>
    </w:p>
    <w:p w:rsidR="003B6E11" w:rsidRPr="003B6E11" w:rsidRDefault="003B6E11" w:rsidP="003B6E11">
      <w:pPr>
        <w:tabs>
          <w:tab w:val="left" w:pos="709"/>
        </w:tabs>
        <w:spacing w:line="240" w:lineRule="atLeast"/>
        <w:ind w:left="709" w:hanging="709"/>
        <w:rPr>
          <w:szCs w:val="20"/>
          <w:lang w:val="cs-CZ"/>
        </w:rPr>
      </w:pPr>
      <w:r w:rsidRPr="003B6E11">
        <w:rPr>
          <w:lang w:val="cs-CZ"/>
        </w:rPr>
        <w:t>1.6.3</w:t>
      </w:r>
      <w:r w:rsidRPr="003B6E11">
        <w:rPr>
          <w:lang w:val="cs-CZ"/>
        </w:rPr>
        <w:tab/>
        <w:t>Signalizační zařízení musí signalizovat alespoň požární detekční zónu, ve které byl spuštěn požární hlásič.</w:t>
      </w:r>
    </w:p>
    <w:p w:rsidR="003B6E11" w:rsidRPr="003B6E11" w:rsidRDefault="003B6E11" w:rsidP="003B6E11">
      <w:pPr>
        <w:tabs>
          <w:tab w:val="left" w:pos="709"/>
        </w:tabs>
        <w:spacing w:line="240" w:lineRule="atLeast"/>
        <w:ind w:left="709" w:hanging="709"/>
        <w:rPr>
          <w:szCs w:val="20"/>
          <w:lang w:val="cs-CZ"/>
        </w:rPr>
      </w:pPr>
    </w:p>
    <w:p w:rsidR="003B6E11" w:rsidRPr="003B6E11" w:rsidRDefault="003B6E11" w:rsidP="003B6E11">
      <w:pPr>
        <w:tabs>
          <w:tab w:val="left" w:pos="709"/>
        </w:tabs>
        <w:spacing w:line="240" w:lineRule="atLeast"/>
        <w:ind w:left="709" w:hanging="709"/>
        <w:rPr>
          <w:szCs w:val="20"/>
          <w:lang w:val="cs-CZ"/>
        </w:rPr>
      </w:pPr>
      <w:r w:rsidRPr="003B6E11">
        <w:rPr>
          <w:lang w:val="cs-CZ"/>
        </w:rPr>
        <w:t>1.6.4</w:t>
      </w:r>
      <w:r w:rsidRPr="003B6E11">
        <w:rPr>
          <w:lang w:val="cs-CZ"/>
        </w:rPr>
        <w:tab/>
        <w:t>Na každém signalizačním zařízení nebo v jeho blízkosti musí být zřetelné informace o monitorovaných oblastech a o umístění požárních detekčních zón.</w:t>
      </w:r>
    </w:p>
    <w:p w:rsidR="003B6E11" w:rsidRPr="003B6E11" w:rsidRDefault="003B6E11" w:rsidP="003B6E11">
      <w:pPr>
        <w:tabs>
          <w:tab w:val="left" w:pos="426"/>
          <w:tab w:val="left" w:pos="709"/>
        </w:tabs>
        <w:spacing w:line="240" w:lineRule="atLeast"/>
        <w:ind w:left="426" w:hanging="568"/>
        <w:rPr>
          <w:szCs w:val="20"/>
          <w:lang w:val="cs-CZ"/>
        </w:rPr>
      </w:pPr>
    </w:p>
    <w:p w:rsidR="003B6E11" w:rsidRPr="003B6E11" w:rsidRDefault="003B6E11" w:rsidP="003B6E11">
      <w:pPr>
        <w:tabs>
          <w:tab w:val="left" w:pos="709"/>
        </w:tabs>
        <w:spacing w:line="240" w:lineRule="atLeast"/>
        <w:ind w:left="709" w:hanging="709"/>
        <w:rPr>
          <w:szCs w:val="20"/>
          <w:lang w:val="cs-CZ"/>
        </w:rPr>
      </w:pPr>
      <w:r w:rsidRPr="003B6E11">
        <w:rPr>
          <w:b/>
          <w:lang w:val="cs-CZ"/>
        </w:rPr>
        <w:t>2.</w:t>
      </w:r>
      <w:r w:rsidRPr="003B6E11">
        <w:rPr>
          <w:lang w:val="cs-CZ"/>
        </w:rPr>
        <w:tab/>
      </w:r>
      <w:r w:rsidRPr="003B6E11">
        <w:rPr>
          <w:b/>
          <w:noProof/>
          <w:lang w:val="cs-CZ"/>
        </w:rPr>
        <w:t>Požadavky na instalaci</w:t>
      </w:r>
    </w:p>
    <w:p w:rsidR="003B6E11" w:rsidRPr="003B6E11" w:rsidRDefault="003B6E11" w:rsidP="003B6E11">
      <w:pPr>
        <w:tabs>
          <w:tab w:val="left" w:pos="426"/>
          <w:tab w:val="left" w:pos="709"/>
        </w:tabs>
        <w:spacing w:line="240" w:lineRule="atLeast"/>
        <w:ind w:left="426" w:hanging="568"/>
        <w:rPr>
          <w:szCs w:val="20"/>
          <w:lang w:val="cs-CZ"/>
        </w:rPr>
      </w:pPr>
    </w:p>
    <w:p w:rsidR="003B6E11" w:rsidRPr="003B6E11" w:rsidRDefault="003B6E11" w:rsidP="003B6E11">
      <w:pPr>
        <w:tabs>
          <w:tab w:val="left" w:pos="709"/>
        </w:tabs>
        <w:spacing w:line="240" w:lineRule="atLeast"/>
        <w:ind w:left="709" w:hanging="709"/>
        <w:rPr>
          <w:szCs w:val="20"/>
          <w:lang w:val="cs-CZ"/>
        </w:rPr>
      </w:pPr>
      <w:r w:rsidRPr="003B6E11">
        <w:rPr>
          <w:lang w:val="cs-CZ"/>
        </w:rPr>
        <w:t>2.1</w:t>
      </w:r>
      <w:r w:rsidRPr="003B6E11">
        <w:rPr>
          <w:lang w:val="cs-CZ"/>
        </w:rPr>
        <w:tab/>
        <w:t>Požární hlásiče se musí instalovat tak, aby zajišťovaly nejlepší možnou funkčnost systému. Je třeba vyvarovat se umístění v blízkosti palubních nosníků, větracích šachet nebo jiných míst, kde by mohly vzdušné proudy negativně ovlivnit funkčnost systému, a míst pravděpodobných nárazů nebo mechanických poškození.</w:t>
      </w:r>
    </w:p>
    <w:p w:rsidR="003B6E11" w:rsidRPr="003B6E11" w:rsidRDefault="003B6E11" w:rsidP="003B6E11">
      <w:pPr>
        <w:tabs>
          <w:tab w:val="left" w:pos="426"/>
          <w:tab w:val="left" w:pos="709"/>
        </w:tabs>
        <w:spacing w:line="240" w:lineRule="atLeast"/>
        <w:ind w:left="426" w:hanging="710"/>
        <w:rPr>
          <w:szCs w:val="20"/>
          <w:lang w:val="cs-CZ"/>
        </w:rPr>
      </w:pPr>
    </w:p>
    <w:p w:rsidR="003B6E11" w:rsidRPr="003B6E11" w:rsidRDefault="003B6E11" w:rsidP="003B6E11">
      <w:pPr>
        <w:tabs>
          <w:tab w:val="left" w:pos="709"/>
        </w:tabs>
        <w:spacing w:line="240" w:lineRule="atLeast"/>
        <w:ind w:left="709" w:hanging="709"/>
        <w:rPr>
          <w:szCs w:val="20"/>
          <w:lang w:val="cs-CZ"/>
        </w:rPr>
      </w:pPr>
      <w:r w:rsidRPr="003B6E11">
        <w:rPr>
          <w:lang w:val="cs-CZ"/>
        </w:rPr>
        <w:t>2.2</w:t>
      </w:r>
      <w:r w:rsidRPr="003B6E11">
        <w:rPr>
          <w:lang w:val="cs-CZ"/>
        </w:rPr>
        <w:tab/>
        <w:t>Požární hlásiče umístěné na stropě se obecně musí nacházet ve vzdálenosti alespoň 0,5 m od přepážek. Maximální vzdálenost mezi požárními hlásiči a přepážkami musí být v souladu s následující tabulkou:</w:t>
      </w:r>
    </w:p>
    <w:p w:rsidR="003B6E11" w:rsidRPr="003B6E11" w:rsidRDefault="003B6E11" w:rsidP="003B6E11">
      <w:pPr>
        <w:tabs>
          <w:tab w:val="left" w:pos="426"/>
          <w:tab w:val="left" w:pos="709"/>
        </w:tabs>
        <w:spacing w:line="240" w:lineRule="atLeast"/>
        <w:ind w:left="709" w:hanging="709"/>
        <w:rPr>
          <w:szCs w:val="20"/>
          <w:lang w:val="cs-CZ"/>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18"/>
        <w:gridCol w:w="2041"/>
        <w:gridCol w:w="2041"/>
        <w:gridCol w:w="2041"/>
      </w:tblGrid>
      <w:tr w:rsidR="003B6E11" w:rsidRPr="003B6E11" w:rsidTr="002D015D">
        <w:trPr>
          <w:jc w:val="center"/>
        </w:trPr>
        <w:tc>
          <w:tcPr>
            <w:tcW w:w="1418" w:type="dxa"/>
          </w:tcPr>
          <w:p w:rsidR="003B6E11" w:rsidRPr="003B6E11" w:rsidRDefault="003B6E11" w:rsidP="002D015D">
            <w:pPr>
              <w:tabs>
                <w:tab w:val="left" w:pos="426"/>
                <w:tab w:val="left" w:pos="709"/>
              </w:tabs>
              <w:spacing w:before="60" w:after="60" w:line="240" w:lineRule="atLeast"/>
              <w:jc w:val="center"/>
              <w:rPr>
                <w:noProof/>
                <w:sz w:val="18"/>
                <w:szCs w:val="18"/>
                <w:lang w:val="cs-CZ"/>
              </w:rPr>
            </w:pPr>
            <w:r w:rsidRPr="003B6E11">
              <w:rPr>
                <w:noProof/>
                <w:sz w:val="18"/>
                <w:lang w:val="cs-CZ"/>
              </w:rPr>
              <w:t>Typ požárního hlásiče</w:t>
            </w:r>
          </w:p>
        </w:tc>
        <w:tc>
          <w:tcPr>
            <w:tcW w:w="2041" w:type="dxa"/>
          </w:tcPr>
          <w:p w:rsidR="003B6E11" w:rsidRPr="003B6E11" w:rsidRDefault="003B6E11" w:rsidP="002D015D">
            <w:pPr>
              <w:tabs>
                <w:tab w:val="left" w:pos="426"/>
                <w:tab w:val="left" w:pos="709"/>
              </w:tabs>
              <w:spacing w:before="60" w:after="60" w:line="240" w:lineRule="atLeast"/>
              <w:jc w:val="center"/>
              <w:rPr>
                <w:noProof/>
                <w:sz w:val="18"/>
                <w:szCs w:val="18"/>
                <w:lang w:val="cs-CZ"/>
              </w:rPr>
            </w:pPr>
            <w:r w:rsidRPr="003B6E11">
              <w:rPr>
                <w:noProof/>
                <w:sz w:val="18"/>
                <w:lang w:val="cs-CZ"/>
              </w:rPr>
              <w:t>Max. podlahová plocha na požární hlásič</w:t>
            </w:r>
          </w:p>
        </w:tc>
        <w:tc>
          <w:tcPr>
            <w:tcW w:w="2041" w:type="dxa"/>
          </w:tcPr>
          <w:p w:rsidR="003B6E11" w:rsidRPr="003B6E11" w:rsidRDefault="003B6E11" w:rsidP="002D015D">
            <w:pPr>
              <w:tabs>
                <w:tab w:val="left" w:pos="426"/>
                <w:tab w:val="left" w:pos="709"/>
              </w:tabs>
              <w:spacing w:before="60" w:after="60" w:line="240" w:lineRule="atLeast"/>
              <w:jc w:val="center"/>
              <w:rPr>
                <w:noProof/>
                <w:sz w:val="18"/>
                <w:szCs w:val="18"/>
                <w:lang w:val="cs-CZ"/>
              </w:rPr>
            </w:pPr>
            <w:r w:rsidRPr="003B6E11">
              <w:rPr>
                <w:noProof/>
                <w:sz w:val="18"/>
                <w:lang w:val="cs-CZ"/>
              </w:rPr>
              <w:t>Max. vzdálenost mezi požárními hlásiči</w:t>
            </w:r>
          </w:p>
        </w:tc>
        <w:tc>
          <w:tcPr>
            <w:tcW w:w="2041" w:type="dxa"/>
          </w:tcPr>
          <w:p w:rsidR="003B6E11" w:rsidRPr="003B6E11" w:rsidRDefault="003B6E11" w:rsidP="002D015D">
            <w:pPr>
              <w:tabs>
                <w:tab w:val="left" w:pos="426"/>
                <w:tab w:val="left" w:pos="709"/>
              </w:tabs>
              <w:spacing w:before="60" w:after="60" w:line="240" w:lineRule="atLeast"/>
              <w:jc w:val="center"/>
              <w:rPr>
                <w:noProof/>
                <w:sz w:val="18"/>
                <w:szCs w:val="18"/>
                <w:lang w:val="cs-CZ"/>
              </w:rPr>
            </w:pPr>
            <w:r w:rsidRPr="003B6E11">
              <w:rPr>
                <w:noProof/>
                <w:sz w:val="18"/>
                <w:lang w:val="cs-CZ"/>
              </w:rPr>
              <w:t>Max. vzdálenost požárních hlásičů od přepážek</w:t>
            </w:r>
          </w:p>
        </w:tc>
      </w:tr>
      <w:tr w:rsidR="003B6E11" w:rsidRPr="003B6E11" w:rsidTr="002D015D">
        <w:trPr>
          <w:jc w:val="center"/>
        </w:trPr>
        <w:tc>
          <w:tcPr>
            <w:tcW w:w="1418" w:type="dxa"/>
            <w:vAlign w:val="center"/>
          </w:tcPr>
          <w:p w:rsidR="003B6E11" w:rsidRPr="003B6E11" w:rsidRDefault="003B6E11" w:rsidP="002D015D">
            <w:pPr>
              <w:tabs>
                <w:tab w:val="left" w:pos="426"/>
                <w:tab w:val="left" w:pos="709"/>
              </w:tabs>
              <w:spacing w:before="60" w:after="60" w:line="240" w:lineRule="atLeast"/>
              <w:ind w:left="709" w:hanging="709"/>
              <w:jc w:val="center"/>
              <w:rPr>
                <w:sz w:val="18"/>
                <w:szCs w:val="18"/>
                <w:lang w:val="cs-CZ"/>
              </w:rPr>
            </w:pPr>
            <w:r w:rsidRPr="003B6E11">
              <w:rPr>
                <w:noProof/>
                <w:sz w:val="18"/>
                <w:lang w:val="cs-CZ"/>
              </w:rPr>
              <w:t>Tepelný</w:t>
            </w:r>
          </w:p>
        </w:tc>
        <w:tc>
          <w:tcPr>
            <w:tcW w:w="2041" w:type="dxa"/>
            <w:vAlign w:val="center"/>
          </w:tcPr>
          <w:p w:rsidR="003B6E11" w:rsidRPr="003B6E11" w:rsidRDefault="003B6E11" w:rsidP="002D015D">
            <w:pPr>
              <w:tabs>
                <w:tab w:val="left" w:pos="426"/>
                <w:tab w:val="left" w:pos="709"/>
              </w:tabs>
              <w:spacing w:before="60" w:after="60" w:line="240" w:lineRule="atLeast"/>
              <w:ind w:left="709" w:hanging="709"/>
              <w:jc w:val="center"/>
              <w:rPr>
                <w:sz w:val="18"/>
                <w:szCs w:val="18"/>
                <w:lang w:val="cs-CZ"/>
              </w:rPr>
            </w:pPr>
            <w:r w:rsidRPr="003B6E11">
              <w:rPr>
                <w:noProof/>
                <w:sz w:val="18"/>
                <w:lang w:val="cs-CZ"/>
              </w:rPr>
              <w:t>37 m</w:t>
            </w:r>
            <w:r w:rsidRPr="003B6E11">
              <w:rPr>
                <w:noProof/>
                <w:position w:val="6"/>
                <w:sz w:val="14"/>
                <w:lang w:val="cs-CZ"/>
              </w:rPr>
              <w:t>2</w:t>
            </w:r>
          </w:p>
        </w:tc>
        <w:tc>
          <w:tcPr>
            <w:tcW w:w="2041" w:type="dxa"/>
            <w:vAlign w:val="center"/>
          </w:tcPr>
          <w:p w:rsidR="003B6E11" w:rsidRPr="003B6E11" w:rsidRDefault="003B6E11" w:rsidP="002D015D">
            <w:pPr>
              <w:tabs>
                <w:tab w:val="left" w:pos="426"/>
                <w:tab w:val="left" w:pos="709"/>
              </w:tabs>
              <w:spacing w:before="60" w:after="60" w:line="240" w:lineRule="atLeast"/>
              <w:ind w:left="709" w:hanging="709"/>
              <w:jc w:val="center"/>
              <w:rPr>
                <w:sz w:val="18"/>
                <w:szCs w:val="18"/>
                <w:lang w:val="cs-CZ"/>
              </w:rPr>
            </w:pPr>
            <w:r w:rsidRPr="003B6E11">
              <w:rPr>
                <w:noProof/>
                <w:sz w:val="18"/>
                <w:lang w:val="cs-CZ"/>
              </w:rPr>
              <w:t>9 m</w:t>
            </w:r>
          </w:p>
        </w:tc>
        <w:tc>
          <w:tcPr>
            <w:tcW w:w="2041" w:type="dxa"/>
            <w:vAlign w:val="center"/>
          </w:tcPr>
          <w:p w:rsidR="003B6E11" w:rsidRPr="003B6E11" w:rsidRDefault="003B6E11" w:rsidP="002D015D">
            <w:pPr>
              <w:tabs>
                <w:tab w:val="left" w:pos="426"/>
                <w:tab w:val="left" w:pos="709"/>
              </w:tabs>
              <w:spacing w:before="60" w:after="60" w:line="240" w:lineRule="atLeast"/>
              <w:ind w:left="709" w:hanging="709"/>
              <w:jc w:val="center"/>
              <w:rPr>
                <w:sz w:val="18"/>
                <w:szCs w:val="18"/>
                <w:lang w:val="cs-CZ"/>
              </w:rPr>
            </w:pPr>
            <w:r w:rsidRPr="003B6E11">
              <w:rPr>
                <w:noProof/>
                <w:sz w:val="18"/>
                <w:lang w:val="cs-CZ"/>
              </w:rPr>
              <w:t>4,5 m</w:t>
            </w:r>
          </w:p>
        </w:tc>
      </w:tr>
      <w:tr w:rsidR="003B6E11" w:rsidRPr="003B6E11" w:rsidTr="002D015D">
        <w:trPr>
          <w:jc w:val="center"/>
        </w:trPr>
        <w:tc>
          <w:tcPr>
            <w:tcW w:w="1418" w:type="dxa"/>
            <w:vAlign w:val="center"/>
          </w:tcPr>
          <w:p w:rsidR="003B6E11" w:rsidRPr="003B6E11" w:rsidRDefault="003B6E11" w:rsidP="002D015D">
            <w:pPr>
              <w:tabs>
                <w:tab w:val="left" w:pos="426"/>
                <w:tab w:val="left" w:pos="709"/>
              </w:tabs>
              <w:spacing w:before="60" w:after="60" w:line="240" w:lineRule="atLeast"/>
              <w:ind w:left="709" w:hanging="709"/>
              <w:jc w:val="center"/>
              <w:rPr>
                <w:sz w:val="18"/>
                <w:szCs w:val="18"/>
                <w:lang w:val="cs-CZ"/>
              </w:rPr>
            </w:pPr>
            <w:r w:rsidRPr="003B6E11">
              <w:rPr>
                <w:noProof/>
                <w:sz w:val="18"/>
                <w:lang w:val="cs-CZ"/>
              </w:rPr>
              <w:t>Kouřový</w:t>
            </w:r>
          </w:p>
        </w:tc>
        <w:tc>
          <w:tcPr>
            <w:tcW w:w="2041" w:type="dxa"/>
            <w:vAlign w:val="center"/>
          </w:tcPr>
          <w:p w:rsidR="003B6E11" w:rsidRPr="003B6E11" w:rsidRDefault="003B6E11" w:rsidP="002D015D">
            <w:pPr>
              <w:tabs>
                <w:tab w:val="left" w:pos="426"/>
                <w:tab w:val="left" w:pos="709"/>
              </w:tabs>
              <w:spacing w:before="60" w:after="60" w:line="240" w:lineRule="atLeast"/>
              <w:ind w:left="709" w:hanging="709"/>
              <w:jc w:val="center"/>
              <w:rPr>
                <w:sz w:val="18"/>
                <w:szCs w:val="18"/>
                <w:lang w:val="cs-CZ"/>
              </w:rPr>
            </w:pPr>
            <w:r w:rsidRPr="003B6E11">
              <w:rPr>
                <w:noProof/>
                <w:sz w:val="18"/>
                <w:lang w:val="cs-CZ"/>
              </w:rPr>
              <w:t>74 m</w:t>
            </w:r>
            <w:r w:rsidRPr="003B6E11">
              <w:rPr>
                <w:noProof/>
                <w:position w:val="6"/>
                <w:sz w:val="14"/>
                <w:lang w:val="cs-CZ"/>
              </w:rPr>
              <w:t>2</w:t>
            </w:r>
          </w:p>
        </w:tc>
        <w:tc>
          <w:tcPr>
            <w:tcW w:w="2041" w:type="dxa"/>
            <w:vAlign w:val="center"/>
          </w:tcPr>
          <w:p w:rsidR="003B6E11" w:rsidRPr="003B6E11" w:rsidRDefault="003B6E11" w:rsidP="002D015D">
            <w:pPr>
              <w:tabs>
                <w:tab w:val="left" w:pos="426"/>
                <w:tab w:val="left" w:pos="709"/>
              </w:tabs>
              <w:spacing w:before="60" w:after="60" w:line="240" w:lineRule="atLeast"/>
              <w:ind w:left="709" w:hanging="709"/>
              <w:jc w:val="center"/>
              <w:rPr>
                <w:sz w:val="18"/>
                <w:szCs w:val="18"/>
                <w:lang w:val="cs-CZ"/>
              </w:rPr>
            </w:pPr>
            <w:r w:rsidRPr="003B6E11">
              <w:rPr>
                <w:noProof/>
                <w:sz w:val="18"/>
                <w:lang w:val="cs-CZ"/>
              </w:rPr>
              <w:t>11 m</w:t>
            </w:r>
          </w:p>
        </w:tc>
        <w:tc>
          <w:tcPr>
            <w:tcW w:w="2041" w:type="dxa"/>
            <w:vAlign w:val="center"/>
          </w:tcPr>
          <w:p w:rsidR="003B6E11" w:rsidRPr="003B6E11" w:rsidRDefault="003B6E11" w:rsidP="002D015D">
            <w:pPr>
              <w:tabs>
                <w:tab w:val="left" w:pos="426"/>
                <w:tab w:val="left" w:pos="709"/>
              </w:tabs>
              <w:spacing w:before="60" w:after="60" w:line="240" w:lineRule="atLeast"/>
              <w:ind w:left="709" w:hanging="709"/>
              <w:jc w:val="center"/>
              <w:rPr>
                <w:sz w:val="18"/>
                <w:szCs w:val="18"/>
                <w:lang w:val="cs-CZ"/>
              </w:rPr>
            </w:pPr>
            <w:r w:rsidRPr="003B6E11">
              <w:rPr>
                <w:noProof/>
                <w:sz w:val="18"/>
                <w:lang w:val="cs-CZ"/>
              </w:rPr>
              <w:t>5,5 m</w:t>
            </w:r>
          </w:p>
        </w:tc>
      </w:tr>
    </w:tbl>
    <w:p w:rsidR="003B6E11" w:rsidRPr="003B6E11" w:rsidRDefault="003B6E11" w:rsidP="003B6E11">
      <w:pPr>
        <w:tabs>
          <w:tab w:val="left" w:pos="426"/>
          <w:tab w:val="left" w:pos="709"/>
        </w:tabs>
        <w:spacing w:line="240" w:lineRule="atLeast"/>
        <w:ind w:left="709" w:hanging="709"/>
        <w:rPr>
          <w:szCs w:val="20"/>
          <w:lang w:val="cs-CZ"/>
        </w:rPr>
      </w:pPr>
    </w:p>
    <w:p w:rsidR="003B6E11" w:rsidRPr="003B6E11" w:rsidRDefault="003B6E11" w:rsidP="003B6E11">
      <w:pPr>
        <w:tabs>
          <w:tab w:val="left" w:pos="709"/>
        </w:tabs>
        <w:spacing w:line="240" w:lineRule="atLeast"/>
        <w:ind w:left="709"/>
        <w:rPr>
          <w:szCs w:val="20"/>
          <w:lang w:val="cs-CZ"/>
        </w:rPr>
      </w:pPr>
      <w:r w:rsidRPr="003B6E11">
        <w:rPr>
          <w:lang w:val="cs-CZ"/>
        </w:rPr>
        <w:t>Na základě zkoušek prokazujících vlastnosti detektorů může subjekt pověřený prohlídkami stanovit nebo schválit jiné vzdálenosti.</w:t>
      </w:r>
    </w:p>
    <w:p w:rsidR="003B6E11" w:rsidRPr="003B6E11" w:rsidRDefault="003B6E11" w:rsidP="003B6E11">
      <w:pPr>
        <w:tabs>
          <w:tab w:val="left" w:pos="426"/>
          <w:tab w:val="left" w:pos="709"/>
        </w:tabs>
        <w:spacing w:line="240" w:lineRule="atLeast"/>
        <w:ind w:left="709" w:hanging="709"/>
        <w:rPr>
          <w:szCs w:val="20"/>
          <w:lang w:val="cs-CZ"/>
        </w:rPr>
      </w:pPr>
    </w:p>
    <w:p w:rsidR="003B6E11" w:rsidRPr="003B6E11" w:rsidRDefault="003B6E11" w:rsidP="003B6E11">
      <w:pPr>
        <w:tabs>
          <w:tab w:val="left" w:pos="709"/>
        </w:tabs>
        <w:spacing w:line="240" w:lineRule="atLeast"/>
        <w:ind w:left="709" w:hanging="709"/>
        <w:rPr>
          <w:szCs w:val="20"/>
          <w:lang w:val="cs-CZ"/>
        </w:rPr>
      </w:pPr>
      <w:r w:rsidRPr="003B6E11">
        <w:rPr>
          <w:lang w:val="cs-CZ"/>
        </w:rPr>
        <w:t>2.3</w:t>
      </w:r>
      <w:r w:rsidRPr="003B6E11">
        <w:rPr>
          <w:lang w:val="cs-CZ"/>
        </w:rPr>
        <w:tab/>
        <w:t>Vedení elektrických kabelů pro požární poplašný systém přes strojovny a kotelny nebo jiné oblasti s vysokým rizikem požáru není povoleno, pokud to není nezbytné pro detekci požáru v těchto oblastech nebo pro připojení k odpovídajícímu zdroji napájení.</w:t>
      </w:r>
    </w:p>
    <w:p w:rsidR="003B6E11" w:rsidRPr="003B6E11" w:rsidRDefault="003B6E11" w:rsidP="003B6E11">
      <w:pPr>
        <w:tabs>
          <w:tab w:val="left" w:pos="426"/>
          <w:tab w:val="left" w:pos="709"/>
        </w:tabs>
        <w:spacing w:line="240" w:lineRule="atLeast"/>
        <w:ind w:left="709" w:hanging="709"/>
        <w:rPr>
          <w:b/>
          <w:bCs/>
          <w:szCs w:val="20"/>
          <w:lang w:val="cs-CZ"/>
        </w:rPr>
      </w:pPr>
    </w:p>
    <w:p w:rsidR="003B6E11" w:rsidRPr="003B6E11" w:rsidRDefault="003B6E11" w:rsidP="003B6E11">
      <w:pPr>
        <w:tabs>
          <w:tab w:val="left" w:pos="426"/>
          <w:tab w:val="left" w:pos="709"/>
        </w:tabs>
        <w:spacing w:line="240" w:lineRule="atLeast"/>
        <w:ind w:left="709" w:hanging="709"/>
        <w:rPr>
          <w:b/>
          <w:bCs/>
          <w:szCs w:val="20"/>
          <w:lang w:val="cs-CZ"/>
        </w:rPr>
      </w:pPr>
      <w:r w:rsidRPr="003B6E11">
        <w:rPr>
          <w:lang w:val="cs-CZ"/>
        </w:rPr>
        <w:br w:type="page"/>
      </w:r>
    </w:p>
    <w:p w:rsidR="003B6E11" w:rsidRPr="003B6E11" w:rsidRDefault="003B6E11" w:rsidP="003B6E11">
      <w:pPr>
        <w:tabs>
          <w:tab w:val="left" w:pos="709"/>
        </w:tabs>
        <w:spacing w:line="240" w:lineRule="atLeast"/>
        <w:ind w:left="709" w:hanging="709"/>
        <w:rPr>
          <w:b/>
          <w:bCs/>
          <w:szCs w:val="20"/>
          <w:lang w:val="cs-CZ"/>
        </w:rPr>
      </w:pPr>
      <w:r w:rsidRPr="003B6E11">
        <w:rPr>
          <w:b/>
          <w:lang w:val="cs-CZ"/>
        </w:rPr>
        <w:t>3.</w:t>
      </w:r>
      <w:r w:rsidRPr="003B6E11">
        <w:rPr>
          <w:lang w:val="cs-CZ"/>
        </w:rPr>
        <w:tab/>
      </w:r>
      <w:r w:rsidRPr="003B6E11">
        <w:rPr>
          <w:b/>
          <w:lang w:val="cs-CZ"/>
        </w:rPr>
        <w:t>Přejímací zkouška</w:t>
      </w:r>
    </w:p>
    <w:p w:rsidR="003B6E11" w:rsidRPr="003B6E11" w:rsidRDefault="003B6E11" w:rsidP="003B6E11">
      <w:pPr>
        <w:tabs>
          <w:tab w:val="left" w:pos="1559"/>
        </w:tabs>
        <w:spacing w:line="240" w:lineRule="atLeast"/>
        <w:ind w:left="1560" w:hanging="709"/>
        <w:rPr>
          <w:szCs w:val="20"/>
          <w:lang w:val="cs-CZ"/>
        </w:rPr>
      </w:pPr>
    </w:p>
    <w:p w:rsidR="003B6E11" w:rsidRPr="003B6E11" w:rsidRDefault="003B6E11" w:rsidP="003B6E11">
      <w:pPr>
        <w:tabs>
          <w:tab w:val="left" w:pos="709"/>
        </w:tabs>
        <w:spacing w:line="240" w:lineRule="atLeast"/>
        <w:ind w:left="709" w:hanging="709"/>
        <w:rPr>
          <w:szCs w:val="20"/>
          <w:lang w:val="cs-CZ"/>
        </w:rPr>
      </w:pPr>
      <w:r w:rsidRPr="003B6E11">
        <w:rPr>
          <w:lang w:val="cs-CZ"/>
        </w:rPr>
        <w:t>3.1</w:t>
      </w:r>
      <w:r w:rsidRPr="003B6E11">
        <w:rPr>
          <w:lang w:val="cs-CZ"/>
        </w:rPr>
        <w:tab/>
        <w:t>Požární poplašné systémy musí zkontrolovat odborník:</w:t>
      </w:r>
    </w:p>
    <w:p w:rsidR="003B6E11" w:rsidRPr="003B6E11" w:rsidRDefault="003B6E11" w:rsidP="003B6E11">
      <w:pPr>
        <w:spacing w:before="60" w:line="240" w:lineRule="atLeast"/>
        <w:ind w:left="1134"/>
        <w:rPr>
          <w:szCs w:val="20"/>
          <w:lang w:val="cs-CZ"/>
        </w:rPr>
      </w:pPr>
      <w:r w:rsidRPr="003B6E11">
        <w:rPr>
          <w:lang w:val="cs-CZ"/>
        </w:rPr>
        <w:t>a)</w:t>
      </w:r>
      <w:r w:rsidRPr="003B6E11">
        <w:rPr>
          <w:lang w:val="cs-CZ"/>
        </w:rPr>
        <w:tab/>
        <w:t>před prvním uvedením do provozu;</w:t>
      </w:r>
    </w:p>
    <w:p w:rsidR="003B6E11" w:rsidRPr="003B6E11" w:rsidRDefault="003B6E11" w:rsidP="003B6E11">
      <w:pPr>
        <w:spacing w:before="60" w:line="240" w:lineRule="atLeast"/>
        <w:ind w:left="1134"/>
        <w:rPr>
          <w:szCs w:val="20"/>
          <w:lang w:val="cs-CZ"/>
        </w:rPr>
      </w:pPr>
      <w:r w:rsidRPr="003B6E11">
        <w:rPr>
          <w:lang w:val="cs-CZ"/>
        </w:rPr>
        <w:t>b)</w:t>
      </w:r>
      <w:r w:rsidRPr="003B6E11">
        <w:rPr>
          <w:lang w:val="cs-CZ"/>
        </w:rPr>
        <w:tab/>
        <w:t>před opětovným uvedením do provozu po jakékoli závažnější úpravě nebo opravě;</w:t>
      </w:r>
    </w:p>
    <w:p w:rsidR="003B6E11" w:rsidRPr="003B6E11" w:rsidRDefault="003B6E11" w:rsidP="003B6E11">
      <w:pPr>
        <w:spacing w:before="60" w:line="240" w:lineRule="atLeast"/>
        <w:ind w:left="1134"/>
        <w:rPr>
          <w:szCs w:val="20"/>
          <w:lang w:val="cs-CZ"/>
        </w:rPr>
      </w:pPr>
      <w:r w:rsidRPr="003B6E11">
        <w:rPr>
          <w:lang w:val="cs-CZ"/>
        </w:rPr>
        <w:t>c)</w:t>
      </w:r>
      <w:r w:rsidRPr="003B6E11">
        <w:rPr>
          <w:lang w:val="cs-CZ"/>
        </w:rPr>
        <w:tab/>
        <w:t>pravidelně nejméně jednou za dva roky.</w:t>
      </w:r>
    </w:p>
    <w:p w:rsidR="003B6E11" w:rsidRPr="003B6E11" w:rsidRDefault="003B6E11" w:rsidP="003B6E11">
      <w:pPr>
        <w:tabs>
          <w:tab w:val="left" w:pos="709"/>
        </w:tabs>
        <w:spacing w:before="60" w:line="240" w:lineRule="atLeast"/>
        <w:ind w:left="709"/>
        <w:rPr>
          <w:szCs w:val="20"/>
          <w:lang w:val="cs-CZ"/>
        </w:rPr>
      </w:pPr>
      <w:r w:rsidRPr="003B6E11">
        <w:rPr>
          <w:lang w:val="cs-CZ"/>
        </w:rPr>
        <w:t>V případě strojoven a kotelen musí být tyto kontroly prováděny za různých podmínek provozu stroje a větrání. Kontroly uvedené v písmenu c) výše může rovněž provádět odborně způsobilá osoba z příslušné firmy specializované na protipožární systémy.</w:t>
      </w:r>
    </w:p>
    <w:p w:rsidR="003B6E11" w:rsidRPr="003B6E11" w:rsidRDefault="003B6E11" w:rsidP="003B6E11">
      <w:pPr>
        <w:tabs>
          <w:tab w:val="left" w:pos="709"/>
        </w:tabs>
        <w:spacing w:line="240" w:lineRule="atLeast"/>
        <w:ind w:left="709" w:hanging="709"/>
        <w:rPr>
          <w:szCs w:val="20"/>
          <w:lang w:val="cs-CZ"/>
        </w:rPr>
      </w:pPr>
    </w:p>
    <w:p w:rsidR="003B6E11" w:rsidRPr="003B6E11" w:rsidRDefault="003B6E11" w:rsidP="003B6E11">
      <w:pPr>
        <w:tabs>
          <w:tab w:val="left" w:pos="709"/>
        </w:tabs>
        <w:spacing w:line="240" w:lineRule="atLeast"/>
        <w:ind w:left="709" w:hanging="709"/>
        <w:rPr>
          <w:szCs w:val="20"/>
          <w:lang w:val="cs-CZ"/>
        </w:rPr>
      </w:pPr>
      <w:r w:rsidRPr="003B6E11">
        <w:rPr>
          <w:lang w:val="cs-CZ"/>
        </w:rPr>
        <w:t>3.2</w:t>
      </w:r>
      <w:r w:rsidRPr="003B6E11">
        <w:rPr>
          <w:lang w:val="cs-CZ"/>
        </w:rPr>
        <w:tab/>
        <w:t>Musí být vystaveno osvědčení o prohlídce podepsané odborníkem nebo odborně způsobilou osobou, na němž je uvedeno datum kontroly.</w:t>
      </w:r>
    </w:p>
    <w:p w:rsidR="003B6E11" w:rsidRPr="003B6E11" w:rsidRDefault="003B6E11" w:rsidP="003B6E11">
      <w:pPr>
        <w:tabs>
          <w:tab w:val="left" w:pos="709"/>
        </w:tabs>
        <w:ind w:left="709" w:hanging="709"/>
        <w:rPr>
          <w:rFonts w:cs="Arial"/>
          <w:noProof/>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r w:rsidRPr="003B6E11">
        <w:rPr>
          <w:lang w:val="cs-CZ"/>
        </w:rPr>
        <w:br w:type="page"/>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sectPr w:rsidR="003B6E11" w:rsidRPr="003B6E11" w:rsidSect="00D45887">
          <w:footnotePr>
            <w:numRestart w:val="eachPage"/>
          </w:footnotePr>
          <w:pgSz w:w="11907" w:h="16840" w:code="9"/>
          <w:pgMar w:top="1418" w:right="1418" w:bottom="1418" w:left="1418" w:header="680" w:footer="680" w:gutter="0"/>
          <w:cols w:space="720"/>
          <w:docGrid w:linePitch="326"/>
        </w:sectPr>
      </w:pPr>
    </w:p>
    <w:p w:rsidR="003B6E11" w:rsidRPr="003B6E11" w:rsidRDefault="003B6E11" w:rsidP="003B6E11">
      <w:pPr>
        <w:pStyle w:val="ES-Titre2ESI"/>
      </w:pPr>
      <w:bookmarkStart w:id="759" w:name="_Toc491854362"/>
      <w:bookmarkStart w:id="760" w:name="_Toc535417268"/>
      <w:r w:rsidRPr="003B6E11">
        <w:t>ESI-II-13</w:t>
      </w:r>
      <w:r w:rsidRPr="003B6E11">
        <w:br/>
        <w:t>(Ponecháno volné)</w:t>
      </w:r>
      <w:bookmarkEnd w:id="759"/>
      <w:bookmarkEnd w:id="760"/>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r w:rsidRPr="003B6E11">
        <w:rPr>
          <w:lang w:val="cs-CZ"/>
        </w:rPr>
        <w:br w:type="page"/>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sectPr w:rsidR="003B6E11" w:rsidRPr="003B6E11" w:rsidSect="00D45887">
          <w:footnotePr>
            <w:numRestart w:val="eachPage"/>
          </w:footnotePr>
          <w:pgSz w:w="11907" w:h="16840" w:code="9"/>
          <w:pgMar w:top="1418" w:right="1418" w:bottom="1418" w:left="1418" w:header="680" w:footer="680" w:gutter="0"/>
          <w:cols w:space="720"/>
          <w:docGrid w:linePitch="326"/>
        </w:sectPr>
      </w:pPr>
    </w:p>
    <w:p w:rsidR="003B6E11" w:rsidRPr="003B6E11" w:rsidRDefault="003B6E11" w:rsidP="003B6E11">
      <w:pPr>
        <w:pStyle w:val="ES-Titre1"/>
      </w:pPr>
      <w:bookmarkStart w:id="761" w:name="_Toc491854363"/>
      <w:bookmarkStart w:id="762" w:name="_Toc535417269"/>
      <w:r w:rsidRPr="003B6E11">
        <w:t>ČÁST III</w:t>
      </w:r>
      <w:r w:rsidRPr="003B6E11">
        <w:br/>
        <w:t>ZVLÁŠTNÍ USTANOVENÍ</w:t>
      </w:r>
      <w:bookmarkEnd w:id="761"/>
      <w:bookmarkEnd w:id="762"/>
    </w:p>
    <w:p w:rsidR="003B6E11" w:rsidRPr="003B6E11" w:rsidRDefault="003B6E11" w:rsidP="003B6E11">
      <w:pPr>
        <w:overflowPunct w:val="0"/>
        <w:adjustRightInd w:val="0"/>
        <w:textAlignment w:val="baseline"/>
        <w:rPr>
          <w:szCs w:val="20"/>
          <w:lang w:val="cs-CZ"/>
        </w:rPr>
      </w:pPr>
    </w:p>
    <w:p w:rsidR="003B6E11" w:rsidRPr="003B6E11" w:rsidRDefault="003B6E11" w:rsidP="003B6E11">
      <w:pPr>
        <w:pStyle w:val="ES-Titre2ESI"/>
        <w:rPr>
          <w:szCs w:val="20"/>
        </w:rPr>
      </w:pPr>
      <w:bookmarkStart w:id="763" w:name="_Toc491854364"/>
      <w:bookmarkStart w:id="764" w:name="_Toc535417270"/>
      <w:r w:rsidRPr="003B6E11">
        <w:t>ESI-III-1</w:t>
      </w:r>
      <w:r w:rsidRPr="003B6E11">
        <w:br/>
        <w:t>Uplatňování požadavků kapitoly 19</w:t>
      </w:r>
      <w:bookmarkEnd w:id="763"/>
      <w:bookmarkEnd w:id="764"/>
    </w:p>
    <w:p w:rsidR="003B6E11" w:rsidRPr="003B6E11" w:rsidRDefault="003B6E11" w:rsidP="003B6E11">
      <w:pPr>
        <w:overflowPunct w:val="0"/>
        <w:adjustRightInd w:val="0"/>
        <w:ind w:left="1843"/>
        <w:textAlignment w:val="baseline"/>
        <w:rPr>
          <w:b/>
          <w:bCs/>
          <w:i/>
          <w:noProof/>
          <w:sz w:val="24"/>
          <w:lang w:val="cs-CZ"/>
        </w:rPr>
      </w:pPr>
      <w:r w:rsidRPr="003B6E11">
        <w:rPr>
          <w:b/>
          <w:i/>
          <w:sz w:val="24"/>
          <w:lang w:val="cs-CZ"/>
        </w:rPr>
        <w:t>-</w:t>
      </w:r>
      <w:r w:rsidRPr="003B6E11">
        <w:rPr>
          <w:lang w:val="cs-CZ"/>
        </w:rPr>
        <w:tab/>
      </w:r>
      <w:r w:rsidRPr="003B6E11">
        <w:rPr>
          <w:b/>
          <w:i/>
          <w:noProof/>
          <w:sz w:val="24"/>
          <w:lang w:val="cs-CZ"/>
        </w:rPr>
        <w:t>Místní dělení</w:t>
      </w:r>
    </w:p>
    <w:p w:rsidR="003B6E11" w:rsidRPr="003B6E11" w:rsidRDefault="003B6E11" w:rsidP="003B6E11">
      <w:pPr>
        <w:overflowPunct w:val="0"/>
        <w:adjustRightInd w:val="0"/>
        <w:ind w:left="1843"/>
        <w:textAlignment w:val="baseline"/>
        <w:rPr>
          <w:b/>
          <w:i/>
          <w:sz w:val="24"/>
          <w:szCs w:val="20"/>
          <w:lang w:val="cs-CZ"/>
        </w:rPr>
      </w:pPr>
      <w:r w:rsidRPr="003B6E11">
        <w:rPr>
          <w:b/>
          <w:i/>
          <w:noProof/>
          <w:sz w:val="24"/>
          <w:lang w:val="cs-CZ"/>
        </w:rPr>
        <w:t>-</w:t>
      </w:r>
      <w:r w:rsidRPr="003B6E11">
        <w:rPr>
          <w:lang w:val="cs-CZ"/>
        </w:rPr>
        <w:tab/>
      </w:r>
      <w:r w:rsidRPr="003B6E11">
        <w:rPr>
          <w:b/>
          <w:i/>
          <w:noProof/>
          <w:sz w:val="24"/>
          <w:lang w:val="cs-CZ"/>
        </w:rPr>
        <w:t>Přechodná ustanovení pro obestavění vytvořená pomocí ochranných plachet nebo podobných mobilních zařízení</w:t>
      </w:r>
    </w:p>
    <w:p w:rsidR="003B6E11" w:rsidRPr="003B6E11" w:rsidRDefault="003B6E11" w:rsidP="003B6E11">
      <w:pPr>
        <w:spacing w:line="240" w:lineRule="atLeast"/>
        <w:ind w:left="567" w:hanging="567"/>
        <w:rPr>
          <w:lang w:val="cs-CZ"/>
        </w:rPr>
      </w:pPr>
    </w:p>
    <w:p w:rsidR="003B6E11" w:rsidRPr="003B6E11" w:rsidRDefault="003B6E11" w:rsidP="003B6E11">
      <w:pPr>
        <w:suppressAutoHyphens/>
        <w:spacing w:line="240" w:lineRule="atLeast"/>
        <w:jc w:val="center"/>
        <w:rPr>
          <w:rFonts w:cs="Arial"/>
          <w:b/>
          <w:lang w:val="cs-CZ"/>
        </w:rPr>
      </w:pPr>
      <w:r w:rsidRPr="003B6E11">
        <w:rPr>
          <w:b/>
          <w:noProof/>
          <w:lang w:val="cs-CZ"/>
        </w:rPr>
        <w:t xml:space="preserve">(Čl. 19.02 odst. 5, čl. 19.03 odst. 5) </w:t>
      </w:r>
    </w:p>
    <w:p w:rsidR="003B6E11" w:rsidRPr="003B6E11" w:rsidRDefault="003B6E11" w:rsidP="003B6E11">
      <w:pPr>
        <w:suppressAutoHyphens/>
        <w:rPr>
          <w:rFonts w:cs="Arial"/>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1.</w:t>
      </w:r>
      <w:r w:rsidRPr="003B6E11">
        <w:rPr>
          <w:lang w:val="cs-CZ"/>
        </w:rPr>
        <w:tab/>
      </w:r>
      <w:r w:rsidRPr="003B6E11">
        <w:rPr>
          <w:b/>
          <w:noProof/>
          <w:color w:val="000000"/>
          <w:lang w:val="cs-CZ"/>
        </w:rPr>
        <w:t>Místní dělení (čl. 19.02 odst. 5)</w:t>
      </w:r>
    </w:p>
    <w:p w:rsidR="003B6E11" w:rsidRPr="003B6E11" w:rsidRDefault="003B6E11" w:rsidP="003B6E11">
      <w:pPr>
        <w:suppressAutoHyphens/>
        <w:spacing w:line="240" w:lineRule="atLeast"/>
        <w:rPr>
          <w:rFonts w:cs="Arial"/>
          <w:szCs w:val="20"/>
          <w:lang w:val="cs-CZ"/>
        </w:rPr>
      </w:pPr>
    </w:p>
    <w:p w:rsidR="003B6E11" w:rsidRPr="003B6E11" w:rsidRDefault="003B6E11" w:rsidP="003B6E11">
      <w:pPr>
        <w:spacing w:line="240" w:lineRule="atLeast"/>
        <w:ind w:left="567"/>
        <w:rPr>
          <w:lang w:val="cs-CZ"/>
        </w:rPr>
      </w:pPr>
      <w:r w:rsidRPr="003B6E11">
        <w:rPr>
          <w:lang w:val="cs-CZ"/>
        </w:rPr>
        <w:t>Uplatnění čl. 19.02 odst. 5 může vést k tomu, že do hodnocení nebudou zahrnuta místní vodotěsná dělení, jako jsou příčně rozdělené nádrže s dvojitým dnem o délce větší, než je uvažovaná délka poškození. V takovém případě by eventuálně nebylo možné vzít v úvahu příčné dělení, není-li prodlouženo až k přepážkové palubě. To by mohlo vést k nevhodnému dělení přepážek.</w:t>
      </w:r>
    </w:p>
    <w:p w:rsidR="003B6E11" w:rsidRPr="003B6E11" w:rsidRDefault="003B6E11" w:rsidP="003B6E11">
      <w:pPr>
        <w:suppressAutoHyphens/>
        <w:spacing w:line="240" w:lineRule="atLeast"/>
        <w:ind w:left="357"/>
        <w:rPr>
          <w:rFonts w:cs="Arial"/>
          <w:b/>
          <w:lang w:val="cs-CZ"/>
        </w:rPr>
      </w:pPr>
    </w:p>
    <w:p w:rsidR="003B6E11" w:rsidRPr="003B6E11" w:rsidRDefault="002D015D" w:rsidP="003B6E11">
      <w:pPr>
        <w:suppressAutoHyphens/>
        <w:spacing w:line="240" w:lineRule="atLeast"/>
        <w:ind w:left="357"/>
        <w:rPr>
          <w:rFonts w:cs="Arial"/>
          <w:b/>
          <w:lang w:val="cs-CZ"/>
        </w:rPr>
      </w:pPr>
      <w:r>
        <w:rPr>
          <w:rFonts w:cs="Arial"/>
          <w:b/>
          <w:noProof/>
          <w:lang w:val="cs-CZ"/>
        </w:rPr>
      </w:r>
      <w:r>
        <w:rPr>
          <w:rFonts w:cs="Arial"/>
          <w:b/>
          <w:noProof/>
          <w:lang w:val="cs-CZ"/>
        </w:rPr>
        <w:pict>
          <v:group id="_x0000_s1026" editas="canvas" style="width:387pt;height:162pt;mso-position-horizontal-relative:char;mso-position-vertical-relative:line" coordorigin="2198,3570" coordsize="6192,259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198;top:3570;width:6192;height:2592" o:preferrelative="f">
              <v:fill o:detectmouseclick="t"/>
              <v:path o:extrusionok="t" o:connecttype="none"/>
              <o:lock v:ext="edit" text="t"/>
            </v:shape>
            <v:line id="_x0000_s1028" style="position:absolute" from="3062,5442" to="8102,5442" strokeweight="1.5pt"/>
            <v:line id="_x0000_s1029" style="position:absolute" from="3062,5154" to="8102,5154" strokeweight="1.5pt"/>
            <v:line id="_x0000_s1030" style="position:absolute;flip:y" from="3494,4002" to="3494,5442" strokeweight="1.5pt"/>
            <v:line id="_x0000_s1031" style="position:absolute;flip:y" from="7238,4002" to="7238,5442" strokeweight="1.5pt"/>
            <v:line id="_x0000_s1032" style="position:absolute" from="3062,4002" to="8102,4003" strokeweight="1.5pt"/>
            <v:line id="_x0000_s1033" style="position:absolute;flip:y" from="4790,5154" to="4790,5442" strokeweight="1.5pt"/>
            <v:line id="_x0000_s1034" style="position:absolute;flip:y" from="3494,5154" to="4790,5442">
              <v:stroke dashstyle="dash"/>
            </v:line>
            <v:line id="_x0000_s1035" style="position:absolute" from="3494,5154" to="4790,5442">
              <v:stroke dashstyle="dash"/>
            </v:line>
            <v:line id="_x0000_s1036" style="position:absolute;flip:x y" from="4790,5154" to="7238,5442">
              <v:stroke dashstyle="dash"/>
            </v:line>
            <v:line id="_x0000_s1037" style="position:absolute;flip:y" from="4790,5154" to="7238,5442">
              <v:stroke dashstyle="dash"/>
            </v:line>
            <v:line id="_x0000_s1038" style="position:absolute" from="3494,5586" to="4790,5586">
              <v:stroke startarrow="block" endarrow="block"/>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left:3782;top:5730;width:1116;height:180" fillcolor="black">
              <v:shadow color="#868686"/>
              <v:textpath style="font-family:&quot;Arial&quot;;font-size:9pt;v-text-kern:t" trim="t" fitpath="t" string="&amp;gt; délka poškození"/>
            </v:shape>
            <v:line id="_x0000_s1040" style="position:absolute;flip:y" from="4790,4002" to="4790,5154" strokecolor="#969696" strokeweight="1.5pt"/>
            <v:shape id="_x0000_s1041" type="#_x0000_t136" style="position:absolute;left:4934;top:4578;width:1752;height:180" fillcolor="#969696" stroked="f" strokecolor="#969696">
              <v:shadow color="#868686"/>
              <v:textpath style="font-family:&quot;Arial&quot;;font-size:9pt;font-weight:bold;v-text-kern:t" trim="t" fitpath="t" string="dle požadavku v čl. 19.02 odst. 5"/>
            </v:shape>
            <v:shape id="_x0000_s1042" type="#_x0000_t136" style="position:absolute;left:5222;top:3714;width:972;height:180" fillcolor="black">
              <v:shadow color="#868686"/>
              <v:textpath style="font-family:&quot;Arial&quot;;font-size:9pt;v-text-kern:t" trim="t" fitpath="t" string="Přepážková paluba"/>
            </v:shape>
            <w10:wrap type="none"/>
            <w10:anchorlock/>
          </v:group>
        </w:pict>
      </w:r>
    </w:p>
    <w:p w:rsidR="003B6E11" w:rsidRPr="003B6E11" w:rsidRDefault="003B6E11" w:rsidP="003B6E11">
      <w:pPr>
        <w:spacing w:line="240" w:lineRule="atLeast"/>
        <w:ind w:left="567"/>
        <w:rPr>
          <w:rFonts w:cs="Arial"/>
          <w:b/>
          <w:noProof/>
          <w:color w:val="000000"/>
          <w:szCs w:val="20"/>
          <w:lang w:val="cs-CZ"/>
        </w:rPr>
      </w:pPr>
      <w:r w:rsidRPr="003B6E11">
        <w:rPr>
          <w:b/>
          <w:noProof/>
          <w:color w:val="000000"/>
          <w:lang w:val="cs-CZ"/>
        </w:rPr>
        <w:t>Výklad požadavku:</w:t>
      </w:r>
    </w:p>
    <w:p w:rsidR="003B6E11" w:rsidRPr="003B6E11" w:rsidRDefault="003B6E11" w:rsidP="003B6E11">
      <w:pPr>
        <w:spacing w:line="240" w:lineRule="atLeast"/>
        <w:ind w:left="567"/>
        <w:rPr>
          <w:lang w:val="cs-CZ"/>
        </w:rPr>
      </w:pPr>
    </w:p>
    <w:p w:rsidR="003B6E11" w:rsidRPr="003B6E11" w:rsidRDefault="003B6E11" w:rsidP="003B6E11">
      <w:pPr>
        <w:spacing w:line="240" w:lineRule="atLeast"/>
        <w:ind w:left="567"/>
        <w:rPr>
          <w:lang w:val="cs-CZ"/>
        </w:rPr>
      </w:pPr>
      <w:r w:rsidRPr="003B6E11">
        <w:rPr>
          <w:lang w:val="cs-CZ"/>
        </w:rPr>
        <w:t>Pokud je vodotěsné oddělení delší, než je požadováno v čl. 19.03 odst. 9, a zahrnuje místní dělení, která vytvářejí vodotěsná pododdělení a která mohou pojmout minimální délku poškození, mohou být tato dělení vzata v úvahu při výpočtu stability v narušeném stavu.</w:t>
      </w:r>
    </w:p>
    <w:p w:rsidR="003B6E11" w:rsidRPr="003B6E11" w:rsidRDefault="003B6E11" w:rsidP="003B6E11">
      <w:pPr>
        <w:tabs>
          <w:tab w:val="left" w:pos="425"/>
        </w:tabs>
        <w:suppressAutoHyphens/>
        <w:spacing w:line="240" w:lineRule="atLeast"/>
        <w:rPr>
          <w:rFonts w:cs="Arial"/>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2.</w:t>
      </w:r>
      <w:r w:rsidRPr="003B6E11">
        <w:rPr>
          <w:lang w:val="cs-CZ"/>
        </w:rPr>
        <w:tab/>
      </w:r>
      <w:r w:rsidRPr="003B6E11">
        <w:rPr>
          <w:b/>
          <w:noProof/>
          <w:color w:val="000000"/>
          <w:lang w:val="cs-CZ"/>
        </w:rPr>
        <w:t>Přechodná ustanovení na obestavění vytvořená pomocí ochranných plachet nebo podobných mobilních zařízení s ohledem na stabilitu (čl. 19.03 odst. 5)</w:t>
      </w:r>
    </w:p>
    <w:p w:rsidR="003B6E11" w:rsidRPr="003B6E11" w:rsidRDefault="003B6E11" w:rsidP="003B6E11">
      <w:pPr>
        <w:spacing w:line="240" w:lineRule="atLeast"/>
        <w:ind w:left="567"/>
        <w:rPr>
          <w:lang w:val="cs-CZ"/>
        </w:rPr>
      </w:pPr>
    </w:p>
    <w:p w:rsidR="003B6E11" w:rsidRPr="003B6E11" w:rsidRDefault="003B6E11" w:rsidP="003B6E11">
      <w:pPr>
        <w:spacing w:line="240" w:lineRule="atLeast"/>
        <w:ind w:left="567"/>
        <w:rPr>
          <w:lang w:val="cs-CZ"/>
        </w:rPr>
      </w:pPr>
      <w:r w:rsidRPr="003B6E11">
        <w:rPr>
          <w:lang w:val="cs-CZ"/>
        </w:rPr>
        <w:t>Obestavění vytvořená pomocí ochranných plachet nebo podobných mobilních zařízení mohou způsobit problémy se stabilitou lodi, protože jsou-li na to dostatečně velká, mohou ovlivňovat klopný moment způsobený tlakem větru.</w:t>
      </w:r>
    </w:p>
    <w:p w:rsidR="003B6E11" w:rsidRPr="003B6E11" w:rsidRDefault="003B6E11" w:rsidP="003B6E11">
      <w:pPr>
        <w:tabs>
          <w:tab w:val="left" w:pos="425"/>
        </w:tabs>
        <w:suppressAutoHyphens/>
        <w:spacing w:line="240" w:lineRule="atLeast"/>
        <w:rPr>
          <w:rFonts w:cs="Arial"/>
          <w:lang w:val="cs-CZ"/>
        </w:rPr>
      </w:pPr>
    </w:p>
    <w:p w:rsidR="003B6E11" w:rsidRPr="003B6E11" w:rsidRDefault="003B6E11" w:rsidP="003B6E11">
      <w:pPr>
        <w:tabs>
          <w:tab w:val="left" w:pos="425"/>
        </w:tabs>
        <w:suppressAutoHyphens/>
        <w:spacing w:line="240" w:lineRule="atLeast"/>
        <w:rPr>
          <w:rFonts w:cs="Arial"/>
          <w:lang w:val="cs-CZ"/>
        </w:rPr>
      </w:pPr>
      <w:r w:rsidRPr="003B6E11">
        <w:rPr>
          <w:lang w:val="cs-CZ"/>
        </w:rPr>
        <w:br w:type="page"/>
      </w:r>
    </w:p>
    <w:p w:rsidR="003B6E11" w:rsidRPr="003B6E11" w:rsidRDefault="003B6E11" w:rsidP="003B6E11">
      <w:pPr>
        <w:spacing w:line="240" w:lineRule="atLeast"/>
        <w:ind w:left="567"/>
        <w:rPr>
          <w:rFonts w:cs="Arial"/>
          <w:b/>
          <w:noProof/>
          <w:color w:val="000000"/>
          <w:szCs w:val="20"/>
          <w:lang w:val="cs-CZ"/>
        </w:rPr>
      </w:pPr>
      <w:r w:rsidRPr="003B6E11">
        <w:rPr>
          <w:b/>
          <w:noProof/>
          <w:color w:val="000000"/>
          <w:lang w:val="cs-CZ"/>
        </w:rPr>
        <w:t>Výklad požadavku:</w:t>
      </w:r>
    </w:p>
    <w:p w:rsidR="003B6E11" w:rsidRPr="003B6E11" w:rsidRDefault="003B6E11" w:rsidP="003B6E11">
      <w:pPr>
        <w:suppressAutoHyphens/>
        <w:spacing w:line="240" w:lineRule="atLeast"/>
        <w:rPr>
          <w:rFonts w:cs="Arial"/>
          <w:lang w:val="cs-CZ"/>
        </w:rPr>
      </w:pPr>
    </w:p>
    <w:p w:rsidR="003B6E11" w:rsidRPr="003B6E11" w:rsidRDefault="003B6E11" w:rsidP="003B6E11">
      <w:pPr>
        <w:spacing w:line="240" w:lineRule="atLeast"/>
        <w:ind w:left="567"/>
        <w:rPr>
          <w:lang w:val="cs-CZ"/>
        </w:rPr>
      </w:pPr>
      <w:r w:rsidRPr="003B6E11">
        <w:rPr>
          <w:lang w:val="cs-CZ"/>
        </w:rPr>
        <w:t xml:space="preserve">V případě osobních lodí, jimž bylo osvědčení plavidla poprvé vydáno před 1. lednem 2006 v souladu s RVIR nebo na něž se uplatní čl. 32.05 odst. 2 druhá věta, je nutno po vztyčení obestavění vytvořených pomocí ochranných plachet nebo podobných mobilních zařízení provést nový výpočet stability v souladu s článkem 19.04 této normy, jestliže jejichž boční plocha </w:t>
      </w:r>
      <m:oMath>
        <m:sSub>
          <m:sSubPr>
            <m:ctrlPr>
              <w:rPr>
                <w:rFonts w:ascii="Cambria Math" w:hAnsi="Cambria Math"/>
                <w:i/>
                <w:noProof/>
                <w:lang w:val="cs-CZ"/>
              </w:rPr>
            </m:ctrlPr>
          </m:sSubPr>
          <m:e>
            <m:r>
              <w:rPr>
                <w:rFonts w:ascii="Cambria Math" w:hAnsi="Cambria Math"/>
                <w:noProof/>
                <w:lang w:val="cs-CZ"/>
              </w:rPr>
              <m:t>A</m:t>
            </m:r>
          </m:e>
          <m:sub>
            <m:r>
              <w:rPr>
                <w:rFonts w:ascii="Cambria Math" w:hAnsi="Cambria Math"/>
                <w:noProof/>
                <w:lang w:val="cs-CZ"/>
              </w:rPr>
              <m:t>wz</m:t>
            </m:r>
          </m:sub>
        </m:sSub>
      </m:oMath>
      <w:r w:rsidRPr="003B6E11">
        <w:rPr>
          <w:lang w:val="cs-CZ"/>
        </w:rPr>
        <w:t xml:space="preserve"> přesahuje 5 % z celkové boční plochy </w:t>
      </w:r>
      <m:oMath>
        <m:sSub>
          <m:sSubPr>
            <m:ctrlPr>
              <w:rPr>
                <w:rFonts w:ascii="Cambria Math" w:hAnsi="Cambria Math"/>
                <w:i/>
                <w:noProof/>
                <w:lang w:val="cs-CZ"/>
              </w:rPr>
            </m:ctrlPr>
          </m:sSubPr>
          <m:e>
            <m:r>
              <w:rPr>
                <w:rFonts w:ascii="Cambria Math" w:hAnsi="Cambria Math"/>
                <w:noProof/>
                <w:lang w:val="cs-CZ"/>
              </w:rPr>
              <m:t>A</m:t>
            </m:r>
          </m:e>
          <m:sub>
            <m:r>
              <w:rPr>
                <w:rFonts w:ascii="Cambria Math" w:hAnsi="Cambria Math"/>
                <w:noProof/>
                <w:lang w:val="cs-CZ"/>
              </w:rPr>
              <m:t>w</m:t>
            </m:r>
          </m:sub>
        </m:sSub>
      </m:oMath>
      <w:r w:rsidRPr="003B6E11">
        <w:rPr>
          <w:lang w:val="cs-CZ"/>
        </w:rPr>
        <w:t>, již je třeba v každém případě vzít v úvahu.</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sectPr w:rsidR="003B6E11" w:rsidRPr="003B6E11" w:rsidSect="00D45887">
          <w:footnotePr>
            <w:numRestart w:val="eachPage"/>
          </w:footnotePr>
          <w:pgSz w:w="11907" w:h="16840" w:code="9"/>
          <w:pgMar w:top="1418" w:right="1418" w:bottom="1418" w:left="1418" w:header="680" w:footer="680" w:gutter="0"/>
          <w:cols w:space="720"/>
          <w:docGrid w:linePitch="326"/>
        </w:sectPr>
      </w:pPr>
    </w:p>
    <w:p w:rsidR="003B6E11" w:rsidRPr="003B6E11" w:rsidRDefault="003B6E11" w:rsidP="003B6E11">
      <w:pPr>
        <w:pStyle w:val="ES-Titre2ESI"/>
      </w:pPr>
      <w:bookmarkStart w:id="765" w:name="_Toc491854365"/>
      <w:bookmarkStart w:id="766" w:name="_Toc535417271"/>
      <w:r w:rsidRPr="003B6E11">
        <w:t>ESI-III-2</w:t>
      </w:r>
      <w:r w:rsidRPr="003B6E11">
        <w:br/>
        <w:t>Zvláštní bezpečnostní potřeby osob s omezenou schopností pohybu a orientace</w:t>
      </w:r>
      <w:bookmarkEnd w:id="765"/>
      <w:bookmarkEnd w:id="766"/>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jc w:val="center"/>
        <w:textAlignment w:val="baseline"/>
        <w:rPr>
          <w:rFonts w:cs="Arial"/>
          <w:b/>
          <w:bCs/>
          <w:snapToGrid w:val="0"/>
          <w:szCs w:val="20"/>
          <w:lang w:val="cs-CZ"/>
        </w:rPr>
      </w:pPr>
      <w:r w:rsidRPr="003B6E11">
        <w:rPr>
          <w:b/>
          <w:noProof/>
          <w:snapToGrid w:val="0"/>
          <w:lang w:val="cs-CZ"/>
        </w:rPr>
        <w:t>(Čl. 1.01 odst. 12.2, čl. 19.01 odst. 4, čl. 19.06 odst. 3 až 5, 9, 10, 13 a 17, čl. 19.08 odst. 3, čl. 19.10 odst. 3, čl. 19.13 odst. 1 až 4)</w:t>
      </w:r>
    </w:p>
    <w:p w:rsidR="003B6E11" w:rsidRPr="003B6E11" w:rsidRDefault="003B6E11" w:rsidP="003B6E11">
      <w:pPr>
        <w:ind w:left="567" w:hanging="567"/>
        <w:rPr>
          <w:rFonts w:cs="Arial"/>
          <w:snapToGrid w:val="0"/>
          <w:szCs w:val="20"/>
          <w:lang w:val="cs-CZ"/>
        </w:rPr>
      </w:pPr>
    </w:p>
    <w:p w:rsidR="003B6E11" w:rsidRPr="003B6E11" w:rsidRDefault="003B6E11" w:rsidP="003B6E11">
      <w:pPr>
        <w:spacing w:line="240" w:lineRule="atLeast"/>
        <w:ind w:left="567" w:hanging="567"/>
        <w:rPr>
          <w:rFonts w:cs="Arial"/>
          <w:b/>
          <w:snapToGrid w:val="0"/>
          <w:color w:val="000000"/>
          <w:szCs w:val="20"/>
          <w:lang w:val="cs-CZ"/>
        </w:rPr>
      </w:pPr>
      <w:r w:rsidRPr="003B6E11">
        <w:rPr>
          <w:b/>
          <w:snapToGrid w:val="0"/>
          <w:color w:val="000000"/>
          <w:lang w:val="cs-CZ"/>
        </w:rPr>
        <w:t>1.</w:t>
      </w:r>
      <w:r w:rsidRPr="003B6E11">
        <w:rPr>
          <w:lang w:val="cs-CZ"/>
        </w:rPr>
        <w:tab/>
      </w:r>
      <w:r w:rsidRPr="003B6E11">
        <w:rPr>
          <w:b/>
          <w:noProof/>
          <w:snapToGrid w:val="0"/>
          <w:color w:val="000000"/>
          <w:lang w:val="cs-CZ"/>
        </w:rPr>
        <w:t>Úvod</w:t>
      </w:r>
    </w:p>
    <w:p w:rsidR="003B6E11" w:rsidRPr="003B6E11" w:rsidRDefault="003B6E11" w:rsidP="003B6E11">
      <w:pPr>
        <w:spacing w:line="240" w:lineRule="atLeast"/>
        <w:ind w:left="567" w:hanging="567"/>
        <w:rPr>
          <w:snapToGrid w:val="0"/>
          <w:lang w:val="cs-CZ"/>
        </w:rPr>
      </w:pPr>
    </w:p>
    <w:p w:rsidR="003B6E11" w:rsidRPr="003B6E11" w:rsidRDefault="003B6E11" w:rsidP="003B6E11">
      <w:pPr>
        <w:spacing w:line="240" w:lineRule="atLeast"/>
        <w:ind w:left="567"/>
        <w:rPr>
          <w:snapToGrid w:val="0"/>
          <w:lang w:val="cs-CZ"/>
        </w:rPr>
      </w:pPr>
      <w:r w:rsidRPr="003B6E11">
        <w:rPr>
          <w:lang w:val="cs-CZ"/>
        </w:rPr>
        <w:t>Bezpečnostní potřeby osob s omezenou schopností pohybu a orientace převyšují potřeby ostatních cestujících. Tyto potřeby jsou uvažovány v požadavcích kapitoly 19, které se vykládají následovně.</w:t>
      </w:r>
    </w:p>
    <w:p w:rsidR="003B6E11" w:rsidRPr="003B6E11" w:rsidRDefault="003B6E11" w:rsidP="003B6E11">
      <w:pPr>
        <w:spacing w:line="240" w:lineRule="atLeast"/>
        <w:ind w:left="567"/>
        <w:rPr>
          <w:snapToGrid w:val="0"/>
          <w:lang w:val="cs-CZ"/>
        </w:rPr>
      </w:pPr>
    </w:p>
    <w:p w:rsidR="003B6E11" w:rsidRPr="003B6E11" w:rsidRDefault="003B6E11" w:rsidP="003B6E11">
      <w:pPr>
        <w:spacing w:line="240" w:lineRule="atLeast"/>
        <w:ind w:left="567"/>
        <w:rPr>
          <w:snapToGrid w:val="0"/>
          <w:lang w:val="cs-CZ"/>
        </w:rPr>
      </w:pPr>
      <w:r w:rsidRPr="003B6E11">
        <w:rPr>
          <w:lang w:val="cs-CZ"/>
        </w:rPr>
        <w:t>Smyslem těchto požadavků je zajistit, aby osoby s omezenou schopností pohybu a orientace mohly bezpečně pobývat na lodích a pohybovat se na nich. Také v nouzových situacích by tyto osoby měly mít stejnou úroveň bezpečnosti jako ostatní cestující.</w:t>
      </w:r>
    </w:p>
    <w:p w:rsidR="003B6E11" w:rsidRPr="003B6E11" w:rsidRDefault="003B6E11" w:rsidP="003B6E11">
      <w:pPr>
        <w:spacing w:line="240" w:lineRule="atLeast"/>
        <w:ind w:left="567"/>
        <w:rPr>
          <w:snapToGrid w:val="0"/>
          <w:lang w:val="cs-CZ"/>
        </w:rPr>
      </w:pPr>
    </w:p>
    <w:p w:rsidR="003B6E11" w:rsidRPr="003B6E11" w:rsidRDefault="003B6E11" w:rsidP="003B6E11">
      <w:pPr>
        <w:spacing w:line="240" w:lineRule="atLeast"/>
        <w:ind w:left="567"/>
        <w:rPr>
          <w:snapToGrid w:val="0"/>
          <w:lang w:val="cs-CZ"/>
        </w:rPr>
      </w:pPr>
      <w:r w:rsidRPr="003B6E11">
        <w:rPr>
          <w:lang w:val="cs-CZ"/>
        </w:rPr>
        <w:t xml:space="preserve">Stanovené požadavky pro osoby s omezenou schopností pohybu a orientace nemusí nezbytně splňovat všechny prostory pro cestující. Tyto požadavky platí pouze pro určité prostory. Nicméně dotyčné osoby musí být informovány o prostorech, které jsou pro ně zvláštně upraveny z hlediska bezpečnosti, tak aby tomu mohly odpovídajícím způsobem přizpůsobit svůj pobyt na lodi. Zpřístupnění, označení a oznámení odpovídajících prostorů osobám s omezenou schopností pohybu a orientace je odpovědností vlastníka lodi. </w:t>
      </w:r>
    </w:p>
    <w:p w:rsidR="003B6E11" w:rsidRPr="003B6E11" w:rsidRDefault="003B6E11" w:rsidP="003B6E11">
      <w:pPr>
        <w:spacing w:line="240" w:lineRule="atLeast"/>
        <w:ind w:left="567"/>
        <w:rPr>
          <w:snapToGrid w:val="0"/>
          <w:lang w:val="cs-CZ"/>
        </w:rPr>
      </w:pPr>
    </w:p>
    <w:p w:rsidR="003B6E11" w:rsidRPr="003B6E11" w:rsidRDefault="003B6E11" w:rsidP="003B6E11">
      <w:pPr>
        <w:spacing w:line="240" w:lineRule="atLeast"/>
        <w:ind w:left="567"/>
        <w:rPr>
          <w:snapToGrid w:val="0"/>
          <w:lang w:val="cs-CZ"/>
        </w:rPr>
      </w:pPr>
      <w:r w:rsidRPr="003B6E11">
        <w:rPr>
          <w:lang w:val="cs-CZ"/>
        </w:rPr>
        <w:t>Ustanovení týkající se osob s omezenou schopností pohybu a orientace odkazují na:</w:t>
      </w:r>
    </w:p>
    <w:p w:rsidR="003B6E11" w:rsidRPr="003B6E11" w:rsidRDefault="003B6E11" w:rsidP="003B6E11">
      <w:pPr>
        <w:tabs>
          <w:tab w:val="left" w:pos="992"/>
        </w:tabs>
        <w:spacing w:before="60" w:line="240" w:lineRule="atLeast"/>
        <w:ind w:left="992"/>
        <w:rPr>
          <w:rFonts w:cs="Arial"/>
          <w:snapToGrid w:val="0"/>
          <w:szCs w:val="20"/>
          <w:lang w:val="cs-CZ"/>
        </w:rPr>
      </w:pPr>
      <w:r w:rsidRPr="003B6E11">
        <w:rPr>
          <w:rFonts w:cs="Arial"/>
          <w:snapToGrid w:val="0"/>
          <w:szCs w:val="20"/>
          <w:shd w:val="clear" w:color="auto" w:fill="FFFFFF"/>
          <w:lang w:val="cs-CZ"/>
        </w:rPr>
        <w:sym w:font="Symbol" w:char="F0B7"/>
      </w:r>
      <w:r w:rsidRPr="003B6E11">
        <w:rPr>
          <w:lang w:val="cs-CZ"/>
        </w:rPr>
        <w:tab/>
        <w:t>směrnici 2009/45/ES</w:t>
      </w:r>
      <w:r w:rsidRPr="003B6E11">
        <w:rPr>
          <w:noProof/>
          <w:vertAlign w:val="superscript"/>
          <w:lang w:val="cs-CZ"/>
        </w:rPr>
        <w:footnoteReference w:id="83"/>
      </w:r>
      <w:r w:rsidRPr="003B6E11">
        <w:rPr>
          <w:lang w:val="cs-CZ"/>
        </w:rPr>
        <w:t xml:space="preserve"> a</w:t>
      </w:r>
    </w:p>
    <w:p w:rsidR="003B6E11" w:rsidRPr="003B6E11" w:rsidRDefault="003B6E11" w:rsidP="003B6E11">
      <w:pPr>
        <w:tabs>
          <w:tab w:val="left" w:pos="992"/>
        </w:tabs>
        <w:spacing w:before="60" w:line="240" w:lineRule="atLeast"/>
        <w:ind w:left="992"/>
        <w:rPr>
          <w:rFonts w:cs="Arial"/>
          <w:snapToGrid w:val="0"/>
          <w:szCs w:val="20"/>
          <w:lang w:val="cs-CZ"/>
        </w:rPr>
      </w:pPr>
      <w:r w:rsidRPr="003B6E11">
        <w:rPr>
          <w:rFonts w:cs="Arial"/>
          <w:snapToGrid w:val="0"/>
          <w:szCs w:val="20"/>
          <w:shd w:val="clear" w:color="auto" w:fill="FFFFFF"/>
          <w:lang w:val="cs-CZ"/>
        </w:rPr>
        <w:sym w:font="Symbol" w:char="F0B7"/>
      </w:r>
      <w:r w:rsidRPr="003B6E11">
        <w:rPr>
          <w:lang w:val="cs-CZ"/>
        </w:rPr>
        <w:tab/>
        <w:t>průvodce pro přizpůsobení osobních plavidel vnitrozemské plavby osobám se zdravotním postižením v souladu s rezolucí Evropské hospodářské komise OSN č. 69</w:t>
      </w:r>
      <w:r w:rsidRPr="003B6E11">
        <w:rPr>
          <w:noProof/>
          <w:vertAlign w:val="superscript"/>
          <w:lang w:val="cs-CZ"/>
        </w:rPr>
        <w:footnoteReference w:id="84"/>
      </w:r>
      <w:r w:rsidRPr="003B6E11">
        <w:rPr>
          <w:lang w:val="cs-CZ"/>
        </w:rPr>
        <w:t>.</w:t>
      </w:r>
    </w:p>
    <w:p w:rsidR="003B6E11" w:rsidRPr="003B6E11" w:rsidRDefault="003B6E11" w:rsidP="003B6E11">
      <w:pPr>
        <w:tabs>
          <w:tab w:val="left" w:pos="567"/>
        </w:tabs>
        <w:spacing w:line="240" w:lineRule="atLeast"/>
        <w:ind w:left="567" w:hanging="567"/>
        <w:rPr>
          <w:rFonts w:cs="Arial"/>
          <w:snapToGrid w:val="0"/>
          <w:szCs w:val="20"/>
          <w:lang w:val="cs-CZ"/>
        </w:rPr>
      </w:pPr>
    </w:p>
    <w:p w:rsidR="003B6E11" w:rsidRPr="003B6E11" w:rsidRDefault="003B6E11" w:rsidP="003B6E11">
      <w:pPr>
        <w:spacing w:line="240" w:lineRule="atLeast"/>
        <w:ind w:left="567"/>
        <w:rPr>
          <w:bCs/>
          <w:snapToGrid w:val="0"/>
          <w:lang w:val="cs-CZ"/>
        </w:rPr>
      </w:pPr>
      <w:r w:rsidRPr="003B6E11">
        <w:rPr>
          <w:lang w:val="cs-CZ"/>
        </w:rPr>
        <w:t>Definice pojmu „osoby s omezenou schopností pohybu a orientace“ použitého v této normě je do značné míry shodná s pojmem použitým ve směrnici a většina technických požadavků vychází z výše uvedeného průvodce. V případě pochybností se tak lze při rozhodování odkazovat na oba zdroje. Obecně požadavky směrnice a průvodce převyšují požadavky uvedené v této normě.</w:t>
      </w:r>
    </w:p>
    <w:p w:rsidR="003B6E11" w:rsidRPr="003B6E11" w:rsidRDefault="003B6E11" w:rsidP="003B6E11">
      <w:pPr>
        <w:spacing w:line="240" w:lineRule="atLeast"/>
        <w:ind w:left="567"/>
        <w:rPr>
          <w:bCs/>
          <w:snapToGrid w:val="0"/>
          <w:lang w:val="cs-CZ"/>
        </w:rPr>
      </w:pPr>
    </w:p>
    <w:p w:rsidR="003B6E11" w:rsidRPr="003B6E11" w:rsidRDefault="003B6E11" w:rsidP="003B6E11">
      <w:pPr>
        <w:spacing w:line="240" w:lineRule="atLeast"/>
        <w:ind w:left="567"/>
        <w:rPr>
          <w:snapToGrid w:val="0"/>
          <w:lang w:val="cs-CZ"/>
        </w:rPr>
      </w:pPr>
      <w:r w:rsidRPr="003B6E11">
        <w:rPr>
          <w:lang w:val="cs-CZ"/>
        </w:rPr>
        <w:t>Požadavky této normy se nezabývají lůžky a podobnými zařízeními. Tyto podléhají vnitrostátním předpisům.</w:t>
      </w:r>
    </w:p>
    <w:p w:rsidR="003B6E11" w:rsidRPr="003B6E11" w:rsidRDefault="003B6E11" w:rsidP="003B6E11">
      <w:pPr>
        <w:tabs>
          <w:tab w:val="left" w:pos="567"/>
        </w:tabs>
        <w:spacing w:line="240" w:lineRule="atLeast"/>
        <w:ind w:left="567" w:hanging="567"/>
        <w:rPr>
          <w:rFonts w:cs="Arial"/>
          <w:snapToGrid w:val="0"/>
          <w:szCs w:val="20"/>
          <w:lang w:val="cs-CZ"/>
        </w:rPr>
      </w:pPr>
    </w:p>
    <w:p w:rsidR="003B6E11" w:rsidRPr="003B6E11" w:rsidRDefault="003B6E11" w:rsidP="003B6E11">
      <w:pPr>
        <w:spacing w:line="240" w:lineRule="atLeast"/>
        <w:ind w:left="567" w:hanging="567"/>
        <w:rPr>
          <w:rFonts w:cs="Arial"/>
          <w:b/>
          <w:snapToGrid w:val="0"/>
          <w:color w:val="000000"/>
          <w:szCs w:val="20"/>
          <w:lang w:val="cs-CZ"/>
        </w:rPr>
      </w:pPr>
      <w:r w:rsidRPr="003B6E11">
        <w:rPr>
          <w:b/>
          <w:snapToGrid w:val="0"/>
          <w:color w:val="000000"/>
          <w:lang w:val="cs-CZ"/>
        </w:rPr>
        <w:t>2.</w:t>
      </w:r>
      <w:r w:rsidRPr="003B6E11">
        <w:rPr>
          <w:lang w:val="cs-CZ"/>
        </w:rPr>
        <w:tab/>
      </w:r>
      <w:r w:rsidRPr="003B6E11">
        <w:rPr>
          <w:b/>
          <w:noProof/>
          <w:snapToGrid w:val="0"/>
          <w:color w:val="000000"/>
          <w:lang w:val="cs-CZ"/>
        </w:rPr>
        <w:t>Čl. 1.01 odst. 12.2 – Pojem „osoba s omezenou schopností pohybu a orientace“</w:t>
      </w:r>
    </w:p>
    <w:p w:rsidR="003B6E11" w:rsidRPr="003B6E11" w:rsidRDefault="003B6E11" w:rsidP="003B6E11">
      <w:pPr>
        <w:tabs>
          <w:tab w:val="left" w:pos="567"/>
        </w:tabs>
        <w:spacing w:line="240" w:lineRule="atLeast"/>
        <w:ind w:left="567" w:hanging="567"/>
        <w:rPr>
          <w:rFonts w:cs="Arial"/>
          <w:b/>
          <w:bCs/>
          <w:snapToGrid w:val="0"/>
          <w:szCs w:val="20"/>
          <w:lang w:val="cs-CZ"/>
        </w:rPr>
      </w:pPr>
    </w:p>
    <w:p w:rsidR="003B6E11" w:rsidRPr="003B6E11" w:rsidRDefault="003B6E11" w:rsidP="003B6E11">
      <w:pPr>
        <w:tabs>
          <w:tab w:val="left" w:pos="567"/>
        </w:tabs>
        <w:spacing w:line="240" w:lineRule="atLeast"/>
        <w:ind w:left="567" w:hanging="567"/>
        <w:rPr>
          <w:rFonts w:cs="Arial"/>
          <w:snapToGrid w:val="0"/>
          <w:szCs w:val="20"/>
          <w:lang w:val="cs-CZ"/>
        </w:rPr>
      </w:pPr>
      <w:r w:rsidRPr="003B6E11">
        <w:rPr>
          <w:lang w:val="cs-CZ"/>
        </w:rPr>
        <w:tab/>
        <w:t>„Osobou s omezenou schopností pohybu a orientace“ se rozumí každý, kdo se v důsledku tělesného postižení nemůže pohybovat nebo rozeznávat své okolí stejným způsobem jako ostatní cestující. Tato definice zahrnuje osoby s postižením zraku nebo sluchu nebo osoby doprovázející děti v kočárcích nebo osoby nesoucí děti. Pro účely těchto ustanovení se však mezi osoby s omezenou schopností pohybu a orientace nepočítají osoby s duševním postižením.</w:t>
      </w:r>
    </w:p>
    <w:p w:rsidR="003B6E11" w:rsidRPr="003B6E11" w:rsidRDefault="003B6E11" w:rsidP="003B6E11">
      <w:pPr>
        <w:tabs>
          <w:tab w:val="left" w:pos="567"/>
        </w:tabs>
        <w:spacing w:line="240" w:lineRule="atLeast"/>
        <w:ind w:left="567" w:hanging="567"/>
        <w:rPr>
          <w:rFonts w:cs="Arial"/>
          <w:b/>
          <w:bCs/>
          <w:snapToGrid w:val="0"/>
          <w:szCs w:val="20"/>
          <w:lang w:val="cs-CZ"/>
        </w:rPr>
      </w:pPr>
      <w:r w:rsidRPr="003B6E11">
        <w:rPr>
          <w:lang w:val="cs-CZ"/>
        </w:rPr>
        <w:br w:type="page"/>
      </w:r>
    </w:p>
    <w:p w:rsidR="003B6E11" w:rsidRPr="003B6E11" w:rsidRDefault="003B6E11" w:rsidP="003B6E11">
      <w:pPr>
        <w:spacing w:line="240" w:lineRule="atLeast"/>
        <w:ind w:left="567" w:hanging="567"/>
        <w:rPr>
          <w:rFonts w:cs="Arial"/>
          <w:b/>
          <w:snapToGrid w:val="0"/>
          <w:color w:val="000000"/>
          <w:szCs w:val="20"/>
          <w:lang w:val="cs-CZ"/>
        </w:rPr>
      </w:pPr>
      <w:r w:rsidRPr="003B6E11">
        <w:rPr>
          <w:b/>
          <w:snapToGrid w:val="0"/>
          <w:color w:val="000000"/>
          <w:lang w:val="cs-CZ"/>
        </w:rPr>
        <w:t>3.</w:t>
      </w:r>
      <w:r w:rsidRPr="003B6E11">
        <w:rPr>
          <w:lang w:val="cs-CZ"/>
        </w:rPr>
        <w:tab/>
      </w:r>
      <w:r w:rsidRPr="003B6E11">
        <w:rPr>
          <w:b/>
          <w:snapToGrid w:val="0"/>
          <w:color w:val="000000"/>
          <w:lang w:val="cs-CZ"/>
        </w:rPr>
        <w:t xml:space="preserve">Čl. 19.15 odst. 4 – Prostory určené osobám s omezenou schopností pohybu a orientace </w:t>
      </w:r>
    </w:p>
    <w:p w:rsidR="003B6E11" w:rsidRPr="003B6E11" w:rsidRDefault="003B6E11" w:rsidP="003B6E11">
      <w:pPr>
        <w:tabs>
          <w:tab w:val="left" w:pos="567"/>
        </w:tabs>
        <w:spacing w:line="240" w:lineRule="atLeast"/>
        <w:ind w:left="567" w:hanging="567"/>
        <w:rPr>
          <w:rFonts w:cs="Arial"/>
          <w:snapToGrid w:val="0"/>
          <w:szCs w:val="20"/>
          <w:lang w:val="cs-CZ"/>
        </w:rPr>
      </w:pPr>
    </w:p>
    <w:p w:rsidR="003B6E11" w:rsidRPr="003B6E11" w:rsidRDefault="003B6E11" w:rsidP="003B6E11">
      <w:pPr>
        <w:spacing w:line="240" w:lineRule="atLeast"/>
        <w:ind w:left="567"/>
        <w:rPr>
          <w:snapToGrid w:val="0"/>
          <w:lang w:val="cs-CZ"/>
        </w:rPr>
      </w:pPr>
      <w:r w:rsidRPr="003B6E11">
        <w:rPr>
          <w:lang w:val="cs-CZ"/>
        </w:rPr>
        <w:t>Prostory určené k používání osobami s omezenou schopností pohybu a orientace sahají – v nejjednodušším případě – od vstupního prostoru až po místa, odkud se provádí evakuace v nouzových situacích. Patří mezi ně:</w:t>
      </w:r>
    </w:p>
    <w:p w:rsidR="003B6E11" w:rsidRPr="003B6E11" w:rsidRDefault="003B6E11" w:rsidP="003B6E11">
      <w:pPr>
        <w:tabs>
          <w:tab w:val="left" w:pos="992"/>
        </w:tabs>
        <w:spacing w:before="60" w:line="240" w:lineRule="atLeast"/>
        <w:ind w:left="992"/>
        <w:rPr>
          <w:rFonts w:cs="Arial"/>
          <w:snapToGrid w:val="0"/>
          <w:szCs w:val="20"/>
          <w:lang w:val="cs-CZ"/>
        </w:rPr>
      </w:pPr>
      <w:r w:rsidRPr="003B6E11">
        <w:rPr>
          <w:rFonts w:cs="Arial"/>
          <w:snapToGrid w:val="0"/>
          <w:szCs w:val="20"/>
          <w:shd w:val="clear" w:color="auto" w:fill="FFFFFF"/>
          <w:lang w:val="cs-CZ"/>
        </w:rPr>
        <w:sym w:font="Symbol" w:char="F0B7"/>
      </w:r>
      <w:r w:rsidRPr="003B6E11">
        <w:rPr>
          <w:lang w:val="cs-CZ"/>
        </w:rPr>
        <w:tab/>
        <w:t>místo, kde jsou uloženy nebo vydávány záchranné prostředky v případě nouze,</w:t>
      </w:r>
    </w:p>
    <w:p w:rsidR="003B6E11" w:rsidRPr="003B6E11" w:rsidRDefault="003B6E11" w:rsidP="003B6E11">
      <w:pPr>
        <w:tabs>
          <w:tab w:val="left" w:pos="992"/>
        </w:tabs>
        <w:spacing w:before="60" w:line="240" w:lineRule="atLeast"/>
        <w:ind w:left="992"/>
        <w:rPr>
          <w:rFonts w:cs="Arial"/>
          <w:snapToGrid w:val="0"/>
          <w:szCs w:val="20"/>
          <w:lang w:val="cs-CZ"/>
        </w:rPr>
      </w:pPr>
      <w:r w:rsidRPr="003B6E11">
        <w:rPr>
          <w:rFonts w:cs="Arial"/>
          <w:snapToGrid w:val="0"/>
          <w:szCs w:val="20"/>
          <w:shd w:val="clear" w:color="auto" w:fill="FFFFFF"/>
          <w:lang w:val="cs-CZ"/>
        </w:rPr>
        <w:sym w:font="Symbol" w:char="F0B7"/>
      </w:r>
      <w:r w:rsidRPr="003B6E11">
        <w:rPr>
          <w:lang w:val="cs-CZ"/>
        </w:rPr>
        <w:tab/>
        <w:t>sedadla,</w:t>
      </w:r>
    </w:p>
    <w:p w:rsidR="003B6E11" w:rsidRPr="003B6E11" w:rsidRDefault="003B6E11" w:rsidP="003B6E11">
      <w:pPr>
        <w:tabs>
          <w:tab w:val="left" w:pos="992"/>
        </w:tabs>
        <w:spacing w:before="60" w:line="240" w:lineRule="atLeast"/>
        <w:ind w:left="992"/>
        <w:rPr>
          <w:rFonts w:cs="Arial"/>
          <w:snapToGrid w:val="0"/>
          <w:szCs w:val="20"/>
          <w:lang w:val="cs-CZ"/>
        </w:rPr>
      </w:pPr>
      <w:r w:rsidRPr="003B6E11">
        <w:rPr>
          <w:rFonts w:cs="Arial"/>
          <w:snapToGrid w:val="0"/>
          <w:szCs w:val="20"/>
          <w:shd w:val="clear" w:color="auto" w:fill="FFFFFF"/>
          <w:lang w:val="cs-CZ"/>
        </w:rPr>
        <w:sym w:font="Symbol" w:char="F0B7"/>
      </w:r>
      <w:r w:rsidRPr="003B6E11">
        <w:rPr>
          <w:lang w:val="cs-CZ"/>
        </w:rPr>
        <w:tab/>
        <w:t>vhodně přizpůsobená toaleta (viz bod 10 tohoto pokynu) a</w:t>
      </w:r>
    </w:p>
    <w:p w:rsidR="003B6E11" w:rsidRPr="003B6E11" w:rsidRDefault="003B6E11" w:rsidP="003B6E11">
      <w:pPr>
        <w:tabs>
          <w:tab w:val="left" w:pos="992"/>
        </w:tabs>
        <w:spacing w:before="60" w:line="240" w:lineRule="atLeast"/>
        <w:ind w:left="992"/>
        <w:rPr>
          <w:rFonts w:cs="Arial"/>
          <w:snapToGrid w:val="0"/>
          <w:szCs w:val="20"/>
          <w:lang w:val="cs-CZ"/>
        </w:rPr>
      </w:pPr>
      <w:r w:rsidRPr="003B6E11">
        <w:rPr>
          <w:rFonts w:cs="Arial"/>
          <w:snapToGrid w:val="0"/>
          <w:szCs w:val="20"/>
          <w:shd w:val="clear" w:color="auto" w:fill="FFFFFF"/>
          <w:lang w:val="cs-CZ"/>
        </w:rPr>
        <w:sym w:font="Symbol" w:char="F0B7"/>
      </w:r>
      <w:r w:rsidRPr="003B6E11">
        <w:rPr>
          <w:lang w:val="cs-CZ"/>
        </w:rPr>
        <w:tab/>
        <w:t>spojovací chodby.</w:t>
      </w:r>
    </w:p>
    <w:p w:rsidR="003B6E11" w:rsidRPr="003B6E11" w:rsidRDefault="003B6E11" w:rsidP="003B6E11">
      <w:pPr>
        <w:tabs>
          <w:tab w:val="left" w:pos="425"/>
        </w:tabs>
        <w:spacing w:line="240" w:lineRule="atLeast"/>
        <w:rPr>
          <w:rFonts w:cs="Arial"/>
          <w:snapToGrid w:val="0"/>
          <w:szCs w:val="20"/>
          <w:lang w:val="cs-CZ"/>
        </w:rPr>
      </w:pPr>
    </w:p>
    <w:p w:rsidR="003B6E11" w:rsidRPr="003B6E11" w:rsidRDefault="003B6E11" w:rsidP="003B6E11">
      <w:pPr>
        <w:spacing w:line="240" w:lineRule="atLeast"/>
        <w:ind w:left="567"/>
        <w:rPr>
          <w:snapToGrid w:val="0"/>
          <w:lang w:val="cs-CZ"/>
        </w:rPr>
      </w:pPr>
      <w:r w:rsidRPr="003B6E11">
        <w:rPr>
          <w:lang w:val="cs-CZ"/>
        </w:rPr>
        <w:t>Počet sedadel odpovídá alespoň přibližně počtu osob s omezenou schopností pohybu a orientace, které jsou po delší dobu převážně současně na plavidle. Tento počet stanoví vlastník lodi na základě svých zkušeností, protože tato skutečnost spadá mimo znalosti příslušného orgánu.</w:t>
      </w:r>
    </w:p>
    <w:p w:rsidR="003B6E11" w:rsidRPr="003B6E11" w:rsidRDefault="003B6E11" w:rsidP="003B6E11">
      <w:pPr>
        <w:spacing w:line="240" w:lineRule="atLeast"/>
        <w:ind w:left="567"/>
        <w:rPr>
          <w:snapToGrid w:val="0"/>
          <w:lang w:val="cs-CZ"/>
        </w:rPr>
      </w:pPr>
    </w:p>
    <w:p w:rsidR="003B6E11" w:rsidRPr="003B6E11" w:rsidRDefault="003B6E11" w:rsidP="003B6E11">
      <w:pPr>
        <w:spacing w:line="240" w:lineRule="atLeast"/>
        <w:ind w:left="567"/>
        <w:rPr>
          <w:snapToGrid w:val="0"/>
          <w:lang w:val="cs-CZ"/>
        </w:rPr>
      </w:pPr>
      <w:r w:rsidRPr="003B6E11">
        <w:rPr>
          <w:lang w:val="cs-CZ"/>
        </w:rPr>
        <w:t>U kajutových osobních lodí se musí brát ohled i na spojovací chodby vedoucí ke kajutám pro cestující používaným osobami s omezenou schopností pohybu a orientace. Počet takových kajut stanoví vlastník plavidla stejným způsobem jako počet sedadel. Kromě šířky dveří nejsou stanoveny žádné požadavky na zvláštní uspořádání kajut. Vlastník nese odpovědnost za realizaci jakýchkoli dalších potřebných opatření.</w:t>
      </w:r>
    </w:p>
    <w:p w:rsidR="003B6E11" w:rsidRPr="003B6E11" w:rsidRDefault="003B6E11" w:rsidP="003B6E11">
      <w:pPr>
        <w:spacing w:line="240" w:lineRule="atLeast"/>
        <w:ind w:left="567"/>
        <w:rPr>
          <w:snapToGrid w:val="0"/>
          <w:lang w:val="cs-CZ"/>
        </w:rPr>
      </w:pPr>
    </w:p>
    <w:p w:rsidR="003B6E11" w:rsidRPr="003B6E11" w:rsidRDefault="003B6E11" w:rsidP="003B6E11">
      <w:pPr>
        <w:tabs>
          <w:tab w:val="left" w:pos="567"/>
        </w:tabs>
        <w:spacing w:line="240" w:lineRule="atLeast"/>
        <w:ind w:left="567" w:hanging="567"/>
        <w:rPr>
          <w:rFonts w:cs="Arial"/>
          <w:b/>
          <w:bCs/>
          <w:snapToGrid w:val="0"/>
          <w:szCs w:val="20"/>
          <w:lang w:val="cs-CZ"/>
        </w:rPr>
      </w:pPr>
    </w:p>
    <w:p w:rsidR="003B6E11" w:rsidRPr="003B6E11" w:rsidRDefault="003B6E11" w:rsidP="003B6E11">
      <w:pPr>
        <w:spacing w:line="240" w:lineRule="atLeast"/>
        <w:ind w:left="567" w:hanging="567"/>
        <w:rPr>
          <w:rFonts w:cs="Arial"/>
          <w:b/>
          <w:snapToGrid w:val="0"/>
          <w:color w:val="000000"/>
          <w:szCs w:val="20"/>
          <w:lang w:val="cs-CZ"/>
        </w:rPr>
      </w:pPr>
      <w:r w:rsidRPr="003B6E11">
        <w:rPr>
          <w:b/>
          <w:snapToGrid w:val="0"/>
          <w:color w:val="000000"/>
          <w:lang w:val="cs-CZ"/>
        </w:rPr>
        <w:t>4.</w:t>
      </w:r>
      <w:r w:rsidRPr="003B6E11">
        <w:rPr>
          <w:lang w:val="cs-CZ"/>
        </w:rPr>
        <w:tab/>
      </w:r>
      <w:r w:rsidRPr="003B6E11">
        <w:rPr>
          <w:b/>
          <w:noProof/>
          <w:snapToGrid w:val="0"/>
          <w:color w:val="000000"/>
          <w:lang w:val="cs-CZ"/>
        </w:rPr>
        <w:t>Čl. 19.06 odst. 3 písm. g) – Východy z místností</w:t>
      </w:r>
    </w:p>
    <w:p w:rsidR="003B6E11" w:rsidRPr="003B6E11" w:rsidRDefault="003B6E11" w:rsidP="003B6E11">
      <w:pPr>
        <w:tabs>
          <w:tab w:val="left" w:pos="567"/>
        </w:tabs>
        <w:spacing w:line="240" w:lineRule="atLeast"/>
        <w:ind w:left="567" w:hanging="567"/>
        <w:rPr>
          <w:rFonts w:cs="Arial"/>
          <w:b/>
          <w:bCs/>
          <w:snapToGrid w:val="0"/>
          <w:szCs w:val="20"/>
          <w:lang w:val="cs-CZ"/>
        </w:rPr>
      </w:pPr>
    </w:p>
    <w:p w:rsidR="003B6E11" w:rsidRPr="003B6E11" w:rsidRDefault="003B6E11" w:rsidP="003B6E11">
      <w:pPr>
        <w:spacing w:line="240" w:lineRule="atLeast"/>
        <w:ind w:left="567"/>
        <w:rPr>
          <w:snapToGrid w:val="0"/>
          <w:lang w:val="cs-CZ"/>
        </w:rPr>
      </w:pPr>
      <w:r w:rsidRPr="003B6E11">
        <w:rPr>
          <w:lang w:val="cs-CZ"/>
        </w:rPr>
        <w:t>S ohledem na požadavky týkající se šířky spojovacích chodeb, východů a otvorů ve štítnicích nebo zábradlích určených k používání osobami s omezenou schopností pohybu a orientace nebo zpravidla používaných pro nalodění nebo vylodění osob s omezenou schopností pohybu a orientace, se musí brát ohled na kočárky a na skutečnost, že lidé mohou být závislí na různých typech chodicích pomůcek nebo invalidních vozíků. U východů nebo otvorů určených pro nalodění nebo vylodění se musí brát v potaz i dodatečný prostor pro zaměstnance poskytující pomoc.</w:t>
      </w:r>
    </w:p>
    <w:p w:rsidR="003B6E11" w:rsidRPr="003B6E11" w:rsidRDefault="003B6E11" w:rsidP="003B6E11">
      <w:pPr>
        <w:tabs>
          <w:tab w:val="left" w:pos="567"/>
        </w:tabs>
        <w:spacing w:line="240" w:lineRule="atLeast"/>
        <w:ind w:left="567" w:hanging="567"/>
        <w:rPr>
          <w:rFonts w:cs="Arial"/>
          <w:snapToGrid w:val="0"/>
          <w:szCs w:val="20"/>
          <w:lang w:val="cs-CZ"/>
        </w:rPr>
      </w:pPr>
    </w:p>
    <w:p w:rsidR="003B6E11" w:rsidRPr="003B6E11" w:rsidRDefault="003B6E11" w:rsidP="003B6E11">
      <w:pPr>
        <w:spacing w:line="240" w:lineRule="atLeast"/>
        <w:ind w:left="567" w:hanging="567"/>
        <w:rPr>
          <w:rFonts w:cs="Arial"/>
          <w:b/>
          <w:snapToGrid w:val="0"/>
          <w:color w:val="000000"/>
          <w:szCs w:val="20"/>
          <w:lang w:val="cs-CZ"/>
        </w:rPr>
      </w:pPr>
      <w:r w:rsidRPr="003B6E11">
        <w:rPr>
          <w:b/>
          <w:snapToGrid w:val="0"/>
          <w:color w:val="000000"/>
          <w:lang w:val="cs-CZ"/>
        </w:rPr>
        <w:t>5.</w:t>
      </w:r>
      <w:r w:rsidRPr="003B6E11">
        <w:rPr>
          <w:lang w:val="cs-CZ"/>
        </w:rPr>
        <w:tab/>
      </w:r>
      <w:r w:rsidRPr="003B6E11">
        <w:rPr>
          <w:b/>
          <w:noProof/>
          <w:snapToGrid w:val="0"/>
          <w:color w:val="000000"/>
          <w:lang w:val="cs-CZ"/>
        </w:rPr>
        <w:t>Čl. 19.06 odst. 4 písm. d) – Dveře</w:t>
      </w:r>
    </w:p>
    <w:p w:rsidR="003B6E11" w:rsidRPr="003B6E11" w:rsidRDefault="003B6E11" w:rsidP="003B6E11">
      <w:pPr>
        <w:tabs>
          <w:tab w:val="left" w:pos="567"/>
        </w:tabs>
        <w:spacing w:line="240" w:lineRule="atLeast"/>
        <w:ind w:left="567" w:hanging="567"/>
        <w:rPr>
          <w:rFonts w:cs="Arial"/>
          <w:b/>
          <w:bCs/>
          <w:snapToGrid w:val="0"/>
          <w:szCs w:val="20"/>
          <w:lang w:val="cs-CZ"/>
        </w:rPr>
      </w:pPr>
    </w:p>
    <w:p w:rsidR="003B6E11" w:rsidRPr="003B6E11" w:rsidRDefault="003B6E11" w:rsidP="003B6E11">
      <w:pPr>
        <w:spacing w:line="240" w:lineRule="atLeast"/>
        <w:ind w:left="567"/>
        <w:rPr>
          <w:snapToGrid w:val="0"/>
          <w:lang w:val="cs-CZ"/>
        </w:rPr>
      </w:pPr>
      <w:r w:rsidRPr="003B6E11">
        <w:rPr>
          <w:lang w:val="cs-CZ"/>
        </w:rPr>
        <w:t>Požadavky na uspořádání prostoru kolem dveří určených pro osoby s omezenou schopností pohybu a orientace musí zajistit, aby osoby závislé například na chodicích pomůckách mohly tyto dveře bezpečně otevírat.</w:t>
      </w:r>
    </w:p>
    <w:p w:rsidR="003B6E11" w:rsidRPr="003B6E11" w:rsidRDefault="003B6E11" w:rsidP="003B6E11">
      <w:pPr>
        <w:tabs>
          <w:tab w:val="left" w:pos="567"/>
        </w:tabs>
        <w:spacing w:line="240" w:lineRule="atLeast"/>
        <w:ind w:left="567" w:hanging="567"/>
        <w:rPr>
          <w:rFonts w:cs="Arial"/>
          <w:snapToGrid w:val="0"/>
          <w:szCs w:val="20"/>
          <w:lang w:val="cs-CZ"/>
        </w:rPr>
      </w:pPr>
    </w:p>
    <w:p w:rsidR="003B6E11" w:rsidRPr="003B6E11" w:rsidRDefault="003B6E11" w:rsidP="003B6E11">
      <w:pPr>
        <w:spacing w:line="240" w:lineRule="atLeast"/>
        <w:ind w:left="567" w:hanging="567"/>
        <w:rPr>
          <w:rFonts w:cs="Arial"/>
          <w:b/>
          <w:snapToGrid w:val="0"/>
          <w:color w:val="000000"/>
          <w:szCs w:val="20"/>
          <w:lang w:val="cs-CZ"/>
        </w:rPr>
      </w:pPr>
      <w:r w:rsidRPr="003B6E11">
        <w:rPr>
          <w:b/>
          <w:snapToGrid w:val="0"/>
          <w:color w:val="000000"/>
          <w:lang w:val="cs-CZ"/>
        </w:rPr>
        <w:t>6.</w:t>
      </w:r>
      <w:r w:rsidRPr="003B6E11">
        <w:rPr>
          <w:lang w:val="cs-CZ"/>
        </w:rPr>
        <w:tab/>
      </w:r>
      <w:r w:rsidRPr="003B6E11">
        <w:rPr>
          <w:b/>
          <w:noProof/>
          <w:snapToGrid w:val="0"/>
          <w:color w:val="000000"/>
          <w:lang w:val="cs-CZ"/>
        </w:rPr>
        <w:t>Čl. 19.06 odst. 5 písm. c) – Spojovací chodby</w:t>
      </w:r>
    </w:p>
    <w:p w:rsidR="003B6E11" w:rsidRPr="003B6E11" w:rsidRDefault="003B6E11" w:rsidP="003B6E11">
      <w:pPr>
        <w:tabs>
          <w:tab w:val="left" w:pos="567"/>
        </w:tabs>
        <w:spacing w:line="240" w:lineRule="atLeast"/>
        <w:ind w:left="567" w:hanging="567"/>
        <w:rPr>
          <w:rFonts w:cs="Arial"/>
          <w:snapToGrid w:val="0"/>
          <w:szCs w:val="20"/>
          <w:lang w:val="cs-CZ"/>
        </w:rPr>
      </w:pPr>
    </w:p>
    <w:p w:rsidR="003B6E11" w:rsidRPr="003B6E11" w:rsidRDefault="003B6E11" w:rsidP="003B6E11">
      <w:pPr>
        <w:spacing w:line="240" w:lineRule="atLeast"/>
        <w:ind w:left="567"/>
        <w:rPr>
          <w:snapToGrid w:val="0"/>
          <w:lang w:val="cs-CZ"/>
        </w:rPr>
      </w:pPr>
      <w:r w:rsidRPr="003B6E11">
        <w:rPr>
          <w:lang w:val="cs-CZ"/>
        </w:rPr>
        <w:t>Viz bod 4 tohoto pokynu.</w:t>
      </w:r>
    </w:p>
    <w:p w:rsidR="003B6E11" w:rsidRPr="003B6E11" w:rsidRDefault="003B6E11" w:rsidP="003B6E11">
      <w:pPr>
        <w:tabs>
          <w:tab w:val="left" w:pos="567"/>
        </w:tabs>
        <w:spacing w:line="240" w:lineRule="atLeast"/>
        <w:ind w:left="567" w:hanging="567"/>
        <w:rPr>
          <w:rFonts w:cs="Arial"/>
          <w:b/>
          <w:bCs/>
          <w:snapToGrid w:val="0"/>
          <w:szCs w:val="20"/>
          <w:lang w:val="cs-CZ"/>
        </w:rPr>
      </w:pPr>
    </w:p>
    <w:p w:rsidR="003B6E11" w:rsidRPr="003B6E11" w:rsidRDefault="003B6E11" w:rsidP="003B6E11">
      <w:pPr>
        <w:spacing w:line="240" w:lineRule="atLeast"/>
        <w:ind w:left="567" w:hanging="567"/>
        <w:rPr>
          <w:rFonts w:cs="Arial"/>
          <w:b/>
          <w:snapToGrid w:val="0"/>
          <w:color w:val="000000"/>
          <w:szCs w:val="20"/>
          <w:lang w:val="cs-CZ"/>
        </w:rPr>
      </w:pPr>
      <w:r w:rsidRPr="003B6E11">
        <w:rPr>
          <w:b/>
          <w:snapToGrid w:val="0"/>
          <w:color w:val="000000"/>
          <w:lang w:val="cs-CZ"/>
        </w:rPr>
        <w:t>7.</w:t>
      </w:r>
      <w:r w:rsidRPr="003B6E11">
        <w:rPr>
          <w:lang w:val="cs-CZ"/>
        </w:rPr>
        <w:tab/>
      </w:r>
      <w:r w:rsidRPr="003B6E11">
        <w:rPr>
          <w:b/>
          <w:noProof/>
          <w:snapToGrid w:val="0"/>
          <w:color w:val="000000"/>
          <w:lang w:val="cs-CZ"/>
        </w:rPr>
        <w:t>Čl. 19.06 odst. 9 – Schodiště a výtahy</w:t>
      </w:r>
    </w:p>
    <w:p w:rsidR="003B6E11" w:rsidRPr="003B6E11" w:rsidRDefault="003B6E11" w:rsidP="003B6E11">
      <w:pPr>
        <w:tabs>
          <w:tab w:val="left" w:pos="567"/>
        </w:tabs>
        <w:spacing w:line="240" w:lineRule="atLeast"/>
        <w:ind w:left="567" w:hanging="567"/>
        <w:rPr>
          <w:rFonts w:cs="Arial"/>
          <w:snapToGrid w:val="0"/>
          <w:szCs w:val="20"/>
          <w:lang w:val="cs-CZ"/>
        </w:rPr>
      </w:pPr>
    </w:p>
    <w:p w:rsidR="003B6E11" w:rsidRPr="003B6E11" w:rsidRDefault="003B6E11" w:rsidP="003B6E11">
      <w:pPr>
        <w:spacing w:line="240" w:lineRule="atLeast"/>
        <w:ind w:left="567"/>
        <w:rPr>
          <w:snapToGrid w:val="0"/>
          <w:lang w:val="cs-CZ"/>
        </w:rPr>
      </w:pPr>
      <w:r w:rsidRPr="003B6E11">
        <w:rPr>
          <w:lang w:val="cs-CZ"/>
        </w:rPr>
        <w:t>Požadavky na uspořádání schodišť musí brát kromě omezené schopnosti pohybu a orientace v potaz i zrakové vady.</w:t>
      </w:r>
    </w:p>
    <w:p w:rsidR="003B6E11" w:rsidRPr="003B6E11" w:rsidRDefault="003B6E11" w:rsidP="003B6E11">
      <w:pPr>
        <w:tabs>
          <w:tab w:val="left" w:pos="567"/>
        </w:tabs>
        <w:spacing w:line="240" w:lineRule="atLeast"/>
        <w:ind w:left="567" w:hanging="567"/>
        <w:rPr>
          <w:rFonts w:cs="Arial"/>
          <w:snapToGrid w:val="0"/>
          <w:szCs w:val="20"/>
          <w:lang w:val="cs-CZ"/>
        </w:rPr>
      </w:pPr>
    </w:p>
    <w:p w:rsidR="003B6E11" w:rsidRPr="003B6E11" w:rsidRDefault="003B6E11" w:rsidP="003B6E11">
      <w:pPr>
        <w:tabs>
          <w:tab w:val="left" w:pos="567"/>
        </w:tabs>
        <w:spacing w:line="240" w:lineRule="atLeast"/>
        <w:ind w:left="567" w:hanging="567"/>
        <w:rPr>
          <w:rFonts w:cs="Arial"/>
          <w:snapToGrid w:val="0"/>
          <w:szCs w:val="20"/>
          <w:lang w:val="cs-CZ"/>
        </w:rPr>
      </w:pPr>
      <w:r w:rsidRPr="003B6E11">
        <w:rPr>
          <w:lang w:val="cs-CZ"/>
        </w:rPr>
        <w:br w:type="page"/>
      </w:r>
    </w:p>
    <w:p w:rsidR="003B6E11" w:rsidRPr="003B6E11" w:rsidRDefault="003B6E11" w:rsidP="003B6E11">
      <w:pPr>
        <w:tabs>
          <w:tab w:val="left" w:pos="567"/>
        </w:tabs>
        <w:spacing w:line="240" w:lineRule="atLeast"/>
        <w:ind w:left="567" w:hanging="567"/>
        <w:rPr>
          <w:rFonts w:cs="Arial"/>
          <w:b/>
          <w:bCs/>
          <w:snapToGrid w:val="0"/>
          <w:szCs w:val="20"/>
          <w:lang w:val="cs-CZ"/>
        </w:rPr>
      </w:pPr>
      <w:r w:rsidRPr="003B6E11">
        <w:rPr>
          <w:b/>
          <w:snapToGrid w:val="0"/>
          <w:lang w:val="cs-CZ"/>
        </w:rPr>
        <w:t>8.</w:t>
      </w:r>
      <w:r w:rsidRPr="003B6E11">
        <w:rPr>
          <w:lang w:val="cs-CZ"/>
        </w:rPr>
        <w:tab/>
      </w:r>
      <w:r w:rsidRPr="003B6E11">
        <w:rPr>
          <w:b/>
          <w:noProof/>
          <w:snapToGrid w:val="0"/>
          <w:lang w:val="cs-CZ"/>
        </w:rPr>
        <w:t>Čl. 19.06 odst. 10 písm. a) a b) – Štítnice a zábradlí</w:t>
      </w:r>
    </w:p>
    <w:p w:rsidR="003B6E11" w:rsidRPr="003B6E11" w:rsidRDefault="003B6E11" w:rsidP="003B6E11">
      <w:pPr>
        <w:tabs>
          <w:tab w:val="left" w:pos="567"/>
        </w:tabs>
        <w:spacing w:line="240" w:lineRule="atLeast"/>
        <w:ind w:left="567" w:hanging="567"/>
        <w:rPr>
          <w:rFonts w:cs="Arial"/>
          <w:snapToGrid w:val="0"/>
          <w:szCs w:val="20"/>
          <w:lang w:val="cs-CZ"/>
        </w:rPr>
      </w:pPr>
    </w:p>
    <w:p w:rsidR="003B6E11" w:rsidRPr="003B6E11" w:rsidRDefault="003B6E11" w:rsidP="003B6E11">
      <w:pPr>
        <w:spacing w:line="240" w:lineRule="atLeast"/>
        <w:ind w:left="567"/>
        <w:rPr>
          <w:snapToGrid w:val="0"/>
          <w:lang w:val="cs-CZ"/>
        </w:rPr>
      </w:pPr>
      <w:r w:rsidRPr="003B6E11">
        <w:rPr>
          <w:lang w:val="cs-CZ"/>
        </w:rPr>
        <w:t>Požadavky na štítnice a zábradlí palub určených k používání osobami s omezenou schopností pohybu a orientace vyžadují větší výšku, protože u těchto osob je pravděpodobnější, že ztratí rovnováhu nebo nebudou schopny se samy udržet.</w:t>
      </w:r>
    </w:p>
    <w:p w:rsidR="003B6E11" w:rsidRPr="003B6E11" w:rsidRDefault="003B6E11" w:rsidP="003B6E11">
      <w:pPr>
        <w:spacing w:line="240" w:lineRule="atLeast"/>
        <w:ind w:left="567"/>
        <w:rPr>
          <w:snapToGrid w:val="0"/>
          <w:lang w:val="cs-CZ"/>
        </w:rPr>
      </w:pPr>
    </w:p>
    <w:p w:rsidR="003B6E11" w:rsidRPr="003B6E11" w:rsidRDefault="003B6E11" w:rsidP="003B6E11">
      <w:pPr>
        <w:spacing w:line="240" w:lineRule="atLeast"/>
        <w:ind w:left="567"/>
        <w:rPr>
          <w:snapToGrid w:val="0"/>
          <w:lang w:val="cs-CZ"/>
        </w:rPr>
      </w:pPr>
      <w:r w:rsidRPr="003B6E11">
        <w:rPr>
          <w:lang w:val="cs-CZ"/>
        </w:rPr>
        <w:t>Viz také bod 4 tohoto pokynu.</w:t>
      </w:r>
    </w:p>
    <w:p w:rsidR="003B6E11" w:rsidRPr="003B6E11" w:rsidRDefault="003B6E11" w:rsidP="003B6E11">
      <w:pPr>
        <w:tabs>
          <w:tab w:val="left" w:pos="567"/>
        </w:tabs>
        <w:spacing w:line="240" w:lineRule="atLeast"/>
        <w:ind w:left="567" w:hanging="567"/>
        <w:rPr>
          <w:rFonts w:cs="Arial"/>
          <w:snapToGrid w:val="0"/>
          <w:szCs w:val="20"/>
          <w:lang w:val="cs-CZ"/>
        </w:rPr>
      </w:pPr>
    </w:p>
    <w:p w:rsidR="003B6E11" w:rsidRPr="003B6E11" w:rsidRDefault="003B6E11" w:rsidP="003B6E11">
      <w:pPr>
        <w:tabs>
          <w:tab w:val="left" w:pos="567"/>
        </w:tabs>
        <w:spacing w:line="240" w:lineRule="atLeast"/>
        <w:ind w:left="567" w:hanging="567"/>
        <w:rPr>
          <w:rFonts w:cs="Arial"/>
          <w:b/>
          <w:bCs/>
          <w:snapToGrid w:val="0"/>
          <w:szCs w:val="20"/>
          <w:lang w:val="cs-CZ"/>
        </w:rPr>
      </w:pPr>
      <w:r w:rsidRPr="003B6E11">
        <w:rPr>
          <w:b/>
          <w:snapToGrid w:val="0"/>
          <w:lang w:val="cs-CZ"/>
        </w:rPr>
        <w:t>9.</w:t>
      </w:r>
      <w:r w:rsidRPr="003B6E11">
        <w:rPr>
          <w:lang w:val="cs-CZ"/>
        </w:rPr>
        <w:tab/>
      </w:r>
      <w:r w:rsidRPr="003B6E11">
        <w:rPr>
          <w:b/>
          <w:noProof/>
          <w:snapToGrid w:val="0"/>
          <w:lang w:val="cs-CZ"/>
        </w:rPr>
        <w:t>Čl. 19.06 odst. 13 – Průchody</w:t>
      </w:r>
    </w:p>
    <w:p w:rsidR="003B6E11" w:rsidRPr="003B6E11" w:rsidRDefault="003B6E11" w:rsidP="003B6E11">
      <w:pPr>
        <w:tabs>
          <w:tab w:val="left" w:pos="567"/>
        </w:tabs>
        <w:spacing w:line="240" w:lineRule="atLeast"/>
        <w:ind w:left="567" w:hanging="567"/>
        <w:rPr>
          <w:rFonts w:cs="Arial"/>
          <w:b/>
          <w:bCs/>
          <w:snapToGrid w:val="0"/>
          <w:szCs w:val="20"/>
          <w:lang w:val="cs-CZ"/>
        </w:rPr>
      </w:pPr>
    </w:p>
    <w:p w:rsidR="003B6E11" w:rsidRPr="003B6E11" w:rsidRDefault="003B6E11" w:rsidP="003B6E11">
      <w:pPr>
        <w:spacing w:line="240" w:lineRule="atLeast"/>
        <w:ind w:left="567"/>
        <w:rPr>
          <w:snapToGrid w:val="0"/>
          <w:lang w:val="cs-CZ"/>
        </w:rPr>
      </w:pPr>
      <w:r w:rsidRPr="003B6E11">
        <w:rPr>
          <w:lang w:val="cs-CZ"/>
        </w:rPr>
        <w:t>Osoby s omezenou schopností pohybu a orientace se z různých důvodů potřebují častěji opírat nebo držet, proto musí být stěny v průchodech určených pro osoby s omezenou schopností pohybu a orientace vybaveny madly ve vhodné výšce.</w:t>
      </w:r>
    </w:p>
    <w:p w:rsidR="003B6E11" w:rsidRPr="003B6E11" w:rsidRDefault="003B6E11" w:rsidP="003B6E11">
      <w:pPr>
        <w:spacing w:line="240" w:lineRule="atLeast"/>
        <w:ind w:left="567"/>
        <w:rPr>
          <w:snapToGrid w:val="0"/>
          <w:lang w:val="cs-CZ"/>
        </w:rPr>
      </w:pPr>
    </w:p>
    <w:p w:rsidR="003B6E11" w:rsidRPr="003B6E11" w:rsidRDefault="003B6E11" w:rsidP="003B6E11">
      <w:pPr>
        <w:spacing w:line="240" w:lineRule="atLeast"/>
        <w:ind w:left="567"/>
        <w:rPr>
          <w:snapToGrid w:val="0"/>
          <w:lang w:val="cs-CZ"/>
        </w:rPr>
      </w:pPr>
      <w:r w:rsidRPr="003B6E11">
        <w:rPr>
          <w:lang w:val="cs-CZ"/>
        </w:rPr>
        <w:t>Viz také bod 4 tohoto pokynu.</w:t>
      </w:r>
    </w:p>
    <w:p w:rsidR="003B6E11" w:rsidRPr="003B6E11" w:rsidRDefault="003B6E11" w:rsidP="003B6E11">
      <w:pPr>
        <w:spacing w:line="240" w:lineRule="atLeast"/>
        <w:ind w:left="567"/>
        <w:rPr>
          <w:snapToGrid w:val="0"/>
          <w:lang w:val="cs-CZ"/>
        </w:rPr>
      </w:pPr>
    </w:p>
    <w:p w:rsidR="003B6E11" w:rsidRPr="003B6E11" w:rsidRDefault="003B6E11" w:rsidP="003B6E11">
      <w:pPr>
        <w:tabs>
          <w:tab w:val="left" w:pos="567"/>
        </w:tabs>
        <w:spacing w:line="240" w:lineRule="atLeast"/>
        <w:ind w:left="567" w:hanging="567"/>
        <w:rPr>
          <w:rFonts w:cs="Arial"/>
          <w:b/>
          <w:bCs/>
          <w:snapToGrid w:val="0"/>
          <w:szCs w:val="20"/>
          <w:lang w:val="cs-CZ"/>
        </w:rPr>
      </w:pPr>
      <w:r w:rsidRPr="003B6E11">
        <w:rPr>
          <w:b/>
          <w:snapToGrid w:val="0"/>
          <w:lang w:val="cs-CZ"/>
        </w:rPr>
        <w:t>10.</w:t>
      </w:r>
      <w:r w:rsidRPr="003B6E11">
        <w:rPr>
          <w:lang w:val="cs-CZ"/>
        </w:rPr>
        <w:tab/>
      </w:r>
      <w:r w:rsidRPr="003B6E11">
        <w:rPr>
          <w:b/>
          <w:noProof/>
          <w:snapToGrid w:val="0"/>
          <w:lang w:val="cs-CZ"/>
        </w:rPr>
        <w:t>Čl. 19.06 odst. 17 – Toalety</w:t>
      </w:r>
    </w:p>
    <w:p w:rsidR="003B6E11" w:rsidRPr="003B6E11" w:rsidRDefault="003B6E11" w:rsidP="003B6E11">
      <w:pPr>
        <w:tabs>
          <w:tab w:val="left" w:pos="567"/>
        </w:tabs>
        <w:spacing w:line="240" w:lineRule="atLeast"/>
        <w:ind w:left="567" w:hanging="567"/>
        <w:rPr>
          <w:rFonts w:cs="Arial"/>
          <w:snapToGrid w:val="0"/>
          <w:szCs w:val="20"/>
          <w:lang w:val="cs-CZ"/>
        </w:rPr>
      </w:pPr>
    </w:p>
    <w:p w:rsidR="003B6E11" w:rsidRPr="003B6E11" w:rsidRDefault="003B6E11" w:rsidP="003B6E11">
      <w:pPr>
        <w:spacing w:line="240" w:lineRule="atLeast"/>
        <w:ind w:left="567"/>
        <w:rPr>
          <w:snapToGrid w:val="0"/>
          <w:lang w:val="cs-CZ"/>
        </w:rPr>
      </w:pPr>
      <w:r w:rsidRPr="003B6E11">
        <w:rPr>
          <w:lang w:val="cs-CZ"/>
        </w:rPr>
        <w:t>Osobám s omezenou schopností pohybu a orientace musí být rovněž umožněn bezpečný pobyt a pohyb na toaletách, proto musí být alespoň jedna toaleta náležitě přizpůsobena.</w:t>
      </w:r>
    </w:p>
    <w:p w:rsidR="003B6E11" w:rsidRPr="003B6E11" w:rsidRDefault="003B6E11" w:rsidP="003B6E11">
      <w:pPr>
        <w:tabs>
          <w:tab w:val="left" w:pos="567"/>
        </w:tabs>
        <w:spacing w:line="240" w:lineRule="atLeast"/>
        <w:ind w:left="567" w:hanging="567"/>
        <w:rPr>
          <w:rFonts w:cs="Arial"/>
          <w:snapToGrid w:val="0"/>
          <w:szCs w:val="20"/>
          <w:lang w:val="cs-CZ"/>
        </w:rPr>
      </w:pPr>
    </w:p>
    <w:p w:rsidR="003B6E11" w:rsidRPr="003B6E11" w:rsidRDefault="003B6E11" w:rsidP="003B6E11">
      <w:pPr>
        <w:tabs>
          <w:tab w:val="left" w:pos="567"/>
        </w:tabs>
        <w:spacing w:line="240" w:lineRule="atLeast"/>
        <w:ind w:left="567" w:hanging="567"/>
        <w:rPr>
          <w:rFonts w:cs="Arial"/>
          <w:b/>
          <w:bCs/>
          <w:snapToGrid w:val="0"/>
          <w:szCs w:val="20"/>
          <w:lang w:val="cs-CZ"/>
        </w:rPr>
      </w:pPr>
      <w:r w:rsidRPr="003B6E11">
        <w:rPr>
          <w:b/>
          <w:snapToGrid w:val="0"/>
          <w:lang w:val="cs-CZ"/>
        </w:rPr>
        <w:t>11.</w:t>
      </w:r>
      <w:r w:rsidRPr="003B6E11">
        <w:rPr>
          <w:lang w:val="cs-CZ"/>
        </w:rPr>
        <w:tab/>
      </w:r>
      <w:r w:rsidRPr="003B6E11">
        <w:rPr>
          <w:b/>
          <w:noProof/>
          <w:snapToGrid w:val="0"/>
          <w:lang w:val="cs-CZ"/>
        </w:rPr>
        <w:t>Čl. 19.08 odst. 3 písm. a) a b) – Poplašný systém</w:t>
      </w:r>
    </w:p>
    <w:p w:rsidR="003B6E11" w:rsidRPr="003B6E11" w:rsidRDefault="003B6E11" w:rsidP="003B6E11">
      <w:pPr>
        <w:tabs>
          <w:tab w:val="left" w:pos="567"/>
        </w:tabs>
        <w:spacing w:line="240" w:lineRule="atLeast"/>
        <w:ind w:left="567" w:hanging="567"/>
        <w:rPr>
          <w:rFonts w:cs="Arial"/>
          <w:snapToGrid w:val="0"/>
          <w:szCs w:val="20"/>
          <w:lang w:val="cs-CZ"/>
        </w:rPr>
      </w:pPr>
    </w:p>
    <w:p w:rsidR="003B6E11" w:rsidRPr="003B6E11" w:rsidRDefault="003B6E11" w:rsidP="003B6E11">
      <w:pPr>
        <w:spacing w:line="240" w:lineRule="atLeast"/>
        <w:ind w:left="567"/>
        <w:rPr>
          <w:snapToGrid w:val="0"/>
          <w:lang w:val="cs-CZ"/>
        </w:rPr>
      </w:pPr>
      <w:r w:rsidRPr="003B6E11">
        <w:rPr>
          <w:lang w:val="cs-CZ"/>
        </w:rPr>
        <w:t>Osoby s omezenou schopností pohybu a orientace se častěji dostávají do situací, kdy jsou závislé na pomoci ostatních. V místnostech, ve kterých je zpravidla nemohou vidět členové posádky, lodní personál nebo cestující, by proto mělo být možné spustit poplach. To platí pro toalety určené pro osoby s omezenou schopností pohybu a orientace.</w:t>
      </w:r>
    </w:p>
    <w:p w:rsidR="003B6E11" w:rsidRPr="003B6E11" w:rsidRDefault="003B6E11" w:rsidP="003B6E11">
      <w:pPr>
        <w:spacing w:line="240" w:lineRule="atLeast"/>
        <w:ind w:left="567"/>
        <w:rPr>
          <w:snapToGrid w:val="0"/>
          <w:lang w:val="cs-CZ"/>
        </w:rPr>
      </w:pPr>
    </w:p>
    <w:p w:rsidR="003B6E11" w:rsidRPr="003B6E11" w:rsidRDefault="003B6E11" w:rsidP="003B6E11">
      <w:pPr>
        <w:spacing w:line="240" w:lineRule="atLeast"/>
        <w:ind w:left="567"/>
        <w:rPr>
          <w:snapToGrid w:val="0"/>
          <w:lang w:val="cs-CZ"/>
        </w:rPr>
      </w:pPr>
      <w:r w:rsidRPr="003B6E11">
        <w:rPr>
          <w:lang w:val="cs-CZ"/>
        </w:rPr>
        <w:t xml:space="preserve">Mezi osoby s omezenou schopností pohybu a orientace patří osoby s vadami zraku nebo sluchu. Z tohoto důvodu musí být alespoň v prostorech určených pro osoby s omezenou schopností pohybu a orientace instalován poplašný systém pro cestující v podobě vhodných vizuálních a akustických poplašných signálů. </w:t>
      </w:r>
    </w:p>
    <w:p w:rsidR="003B6E11" w:rsidRPr="003B6E11" w:rsidRDefault="003B6E11" w:rsidP="003B6E11">
      <w:pPr>
        <w:tabs>
          <w:tab w:val="left" w:pos="567"/>
        </w:tabs>
        <w:spacing w:line="240" w:lineRule="atLeast"/>
        <w:ind w:left="567" w:hanging="567"/>
        <w:rPr>
          <w:rFonts w:cs="Arial"/>
          <w:b/>
          <w:bCs/>
          <w:snapToGrid w:val="0"/>
          <w:szCs w:val="20"/>
          <w:lang w:val="cs-CZ"/>
        </w:rPr>
      </w:pPr>
    </w:p>
    <w:p w:rsidR="003B6E11" w:rsidRPr="003B6E11" w:rsidRDefault="003B6E11" w:rsidP="003B6E11">
      <w:pPr>
        <w:tabs>
          <w:tab w:val="left" w:pos="567"/>
        </w:tabs>
        <w:spacing w:line="240" w:lineRule="atLeast"/>
        <w:ind w:left="567" w:hanging="567"/>
        <w:rPr>
          <w:rFonts w:cs="Arial"/>
          <w:snapToGrid w:val="0"/>
          <w:szCs w:val="20"/>
          <w:lang w:val="cs-CZ"/>
        </w:rPr>
      </w:pPr>
      <w:r w:rsidRPr="003B6E11">
        <w:rPr>
          <w:b/>
          <w:snapToGrid w:val="0"/>
          <w:lang w:val="cs-CZ"/>
        </w:rPr>
        <w:t>12.</w:t>
      </w:r>
      <w:r w:rsidRPr="003B6E11">
        <w:rPr>
          <w:lang w:val="cs-CZ"/>
        </w:rPr>
        <w:tab/>
      </w:r>
      <w:r w:rsidRPr="003B6E11">
        <w:rPr>
          <w:b/>
          <w:noProof/>
          <w:snapToGrid w:val="0"/>
          <w:lang w:val="cs-CZ"/>
        </w:rPr>
        <w:t>Čl. 19.10 odst. 3 písm. d) – Dostatečné osvětlení</w:t>
      </w:r>
    </w:p>
    <w:p w:rsidR="003B6E11" w:rsidRPr="003B6E11" w:rsidRDefault="003B6E11" w:rsidP="003B6E11">
      <w:pPr>
        <w:tabs>
          <w:tab w:val="left" w:pos="567"/>
        </w:tabs>
        <w:spacing w:line="240" w:lineRule="atLeast"/>
        <w:ind w:left="567" w:hanging="567"/>
        <w:rPr>
          <w:rFonts w:cs="Arial"/>
          <w:snapToGrid w:val="0"/>
          <w:szCs w:val="20"/>
          <w:lang w:val="cs-CZ"/>
        </w:rPr>
      </w:pPr>
    </w:p>
    <w:p w:rsidR="003B6E11" w:rsidRPr="003B6E11" w:rsidRDefault="003B6E11" w:rsidP="003B6E11">
      <w:pPr>
        <w:spacing w:line="240" w:lineRule="atLeast"/>
        <w:ind w:left="567"/>
        <w:rPr>
          <w:snapToGrid w:val="0"/>
          <w:lang w:val="cs-CZ"/>
        </w:rPr>
      </w:pPr>
      <w:r w:rsidRPr="003B6E11">
        <w:rPr>
          <w:lang w:val="cs-CZ"/>
        </w:rPr>
        <w:t>Mezi osoby s omezenou schopností pohybu a orientace patří i osoby s vadami zraku. Proto je nezbytné zajistit dostatečné osvětlení prostorů určených pro osoby s omezenou schopností pohybu a orientace, které musí splňovat vyšší požadavky než osvětlení pro prostory určených pro ostatních cestujících.</w:t>
      </w:r>
    </w:p>
    <w:p w:rsidR="003B6E11" w:rsidRPr="003B6E11" w:rsidRDefault="003B6E11" w:rsidP="003B6E11">
      <w:pPr>
        <w:tabs>
          <w:tab w:val="left" w:pos="567"/>
        </w:tabs>
        <w:spacing w:line="240" w:lineRule="atLeast"/>
        <w:ind w:left="567" w:hanging="567"/>
        <w:rPr>
          <w:rFonts w:cs="Arial"/>
          <w:b/>
          <w:bCs/>
          <w:snapToGrid w:val="0"/>
          <w:szCs w:val="20"/>
          <w:lang w:val="cs-CZ"/>
        </w:rPr>
      </w:pPr>
    </w:p>
    <w:p w:rsidR="003B6E11" w:rsidRPr="003B6E11" w:rsidRDefault="003B6E11" w:rsidP="003B6E11">
      <w:pPr>
        <w:tabs>
          <w:tab w:val="left" w:pos="567"/>
        </w:tabs>
        <w:spacing w:line="240" w:lineRule="atLeast"/>
        <w:ind w:left="567" w:hanging="567"/>
        <w:rPr>
          <w:rFonts w:cs="Arial"/>
          <w:b/>
          <w:bCs/>
          <w:snapToGrid w:val="0"/>
          <w:szCs w:val="20"/>
          <w:lang w:val="cs-CZ"/>
        </w:rPr>
      </w:pPr>
      <w:r w:rsidRPr="003B6E11">
        <w:rPr>
          <w:b/>
          <w:snapToGrid w:val="0"/>
          <w:lang w:val="cs-CZ"/>
        </w:rPr>
        <w:t>13.</w:t>
      </w:r>
      <w:r w:rsidRPr="003B6E11">
        <w:rPr>
          <w:lang w:val="cs-CZ"/>
        </w:rPr>
        <w:tab/>
      </w:r>
      <w:r w:rsidRPr="003B6E11">
        <w:rPr>
          <w:b/>
          <w:noProof/>
          <w:snapToGrid w:val="0"/>
          <w:lang w:val="cs-CZ"/>
        </w:rPr>
        <w:t>Čl. 19.13 odst. 1 – Bezpečnostní rozpis</w:t>
      </w:r>
    </w:p>
    <w:p w:rsidR="003B6E11" w:rsidRPr="003B6E11" w:rsidRDefault="003B6E11" w:rsidP="003B6E11">
      <w:pPr>
        <w:tabs>
          <w:tab w:val="left" w:pos="567"/>
        </w:tabs>
        <w:spacing w:line="240" w:lineRule="atLeast"/>
        <w:ind w:left="567" w:hanging="567"/>
        <w:rPr>
          <w:rFonts w:cs="Arial"/>
          <w:snapToGrid w:val="0"/>
          <w:szCs w:val="20"/>
          <w:lang w:val="cs-CZ"/>
        </w:rPr>
      </w:pPr>
    </w:p>
    <w:p w:rsidR="003B6E11" w:rsidRPr="003B6E11" w:rsidRDefault="003B6E11" w:rsidP="003B6E11">
      <w:pPr>
        <w:spacing w:line="240" w:lineRule="atLeast"/>
        <w:ind w:left="567"/>
        <w:rPr>
          <w:snapToGrid w:val="0"/>
          <w:lang w:val="cs-CZ"/>
        </w:rPr>
      </w:pPr>
      <w:r w:rsidRPr="003B6E11">
        <w:rPr>
          <w:lang w:val="cs-CZ"/>
        </w:rPr>
        <w:t>V bezpečnostním rozpisu musí být uvedena zvláštní bezpečnostní opatření pro osoby s omezenou schopností pohybu a orientace, která berou v potaz jak možnost omezené schopnosti pohybu a orientace, tak i zrakového nebo sluchového postižení. U těchto osob se musí jednat o opatření pro běžný provoz i pro případy nouzových situací.</w:t>
      </w:r>
    </w:p>
    <w:p w:rsidR="003B6E11" w:rsidRPr="003B6E11" w:rsidRDefault="003B6E11" w:rsidP="003B6E11">
      <w:pPr>
        <w:tabs>
          <w:tab w:val="left" w:pos="567"/>
        </w:tabs>
        <w:spacing w:line="240" w:lineRule="atLeast"/>
        <w:ind w:left="567" w:hanging="567"/>
        <w:rPr>
          <w:rFonts w:cs="Arial"/>
          <w:b/>
          <w:bCs/>
          <w:snapToGrid w:val="0"/>
          <w:szCs w:val="20"/>
          <w:lang w:val="cs-CZ"/>
        </w:rPr>
      </w:pPr>
    </w:p>
    <w:p w:rsidR="003B6E11" w:rsidRPr="003B6E11" w:rsidRDefault="003B6E11" w:rsidP="003B6E11">
      <w:pPr>
        <w:tabs>
          <w:tab w:val="left" w:pos="567"/>
        </w:tabs>
        <w:spacing w:line="240" w:lineRule="atLeast"/>
        <w:ind w:left="567" w:hanging="567"/>
        <w:rPr>
          <w:rFonts w:cs="Arial"/>
          <w:b/>
          <w:bCs/>
          <w:snapToGrid w:val="0"/>
          <w:szCs w:val="20"/>
          <w:lang w:val="cs-CZ"/>
        </w:rPr>
      </w:pPr>
      <w:r w:rsidRPr="003B6E11">
        <w:rPr>
          <w:lang w:val="cs-CZ"/>
        </w:rPr>
        <w:br w:type="page"/>
      </w:r>
    </w:p>
    <w:p w:rsidR="003B6E11" w:rsidRPr="003B6E11" w:rsidRDefault="003B6E11" w:rsidP="003B6E11">
      <w:pPr>
        <w:tabs>
          <w:tab w:val="left" w:pos="567"/>
        </w:tabs>
        <w:spacing w:line="240" w:lineRule="atLeast"/>
        <w:ind w:left="567" w:hanging="567"/>
        <w:rPr>
          <w:rFonts w:cs="Arial"/>
          <w:b/>
          <w:bCs/>
          <w:snapToGrid w:val="0"/>
          <w:szCs w:val="20"/>
          <w:lang w:val="cs-CZ"/>
        </w:rPr>
      </w:pPr>
      <w:r w:rsidRPr="003B6E11">
        <w:rPr>
          <w:b/>
          <w:snapToGrid w:val="0"/>
          <w:lang w:val="cs-CZ"/>
        </w:rPr>
        <w:t>14.</w:t>
      </w:r>
      <w:r w:rsidRPr="003B6E11">
        <w:rPr>
          <w:lang w:val="cs-CZ"/>
        </w:rPr>
        <w:tab/>
      </w:r>
      <w:r w:rsidRPr="003B6E11">
        <w:rPr>
          <w:b/>
          <w:noProof/>
          <w:snapToGrid w:val="0"/>
          <w:lang w:val="cs-CZ"/>
        </w:rPr>
        <w:t>Čl. 19.13 odst. 2 – Bezpečnostní plán</w:t>
      </w:r>
    </w:p>
    <w:p w:rsidR="003B6E11" w:rsidRPr="003B6E11" w:rsidRDefault="003B6E11" w:rsidP="003B6E11">
      <w:pPr>
        <w:tabs>
          <w:tab w:val="left" w:pos="567"/>
        </w:tabs>
        <w:spacing w:line="240" w:lineRule="atLeast"/>
        <w:ind w:left="567" w:hanging="567"/>
        <w:rPr>
          <w:rFonts w:cs="Arial"/>
          <w:snapToGrid w:val="0"/>
          <w:szCs w:val="20"/>
          <w:lang w:val="cs-CZ"/>
        </w:rPr>
      </w:pPr>
    </w:p>
    <w:p w:rsidR="003B6E11" w:rsidRPr="003B6E11" w:rsidRDefault="003B6E11" w:rsidP="003B6E11">
      <w:pPr>
        <w:spacing w:line="240" w:lineRule="atLeast"/>
        <w:ind w:left="567"/>
        <w:rPr>
          <w:snapToGrid w:val="0"/>
          <w:lang w:val="cs-CZ"/>
        </w:rPr>
      </w:pPr>
      <w:r w:rsidRPr="003B6E11">
        <w:rPr>
          <w:lang w:val="cs-CZ"/>
        </w:rPr>
        <w:t>Prostory, na které se vztahuje bod 3 tohoto pokynu, musí být označeny.</w:t>
      </w:r>
    </w:p>
    <w:p w:rsidR="003B6E11" w:rsidRPr="003B6E11" w:rsidRDefault="003B6E11" w:rsidP="003B6E11">
      <w:pPr>
        <w:tabs>
          <w:tab w:val="left" w:pos="567"/>
        </w:tabs>
        <w:spacing w:line="240" w:lineRule="atLeast"/>
        <w:ind w:left="567" w:hanging="567"/>
        <w:rPr>
          <w:rFonts w:cs="Arial"/>
          <w:b/>
          <w:bCs/>
          <w:snapToGrid w:val="0"/>
          <w:szCs w:val="20"/>
          <w:lang w:val="cs-CZ"/>
        </w:rPr>
      </w:pPr>
    </w:p>
    <w:p w:rsidR="003B6E11" w:rsidRPr="003B6E11" w:rsidRDefault="003B6E11" w:rsidP="003B6E11">
      <w:pPr>
        <w:tabs>
          <w:tab w:val="left" w:pos="567"/>
        </w:tabs>
        <w:spacing w:line="240" w:lineRule="atLeast"/>
        <w:ind w:left="567" w:hanging="567"/>
        <w:rPr>
          <w:rFonts w:cs="Arial"/>
          <w:b/>
          <w:bCs/>
          <w:snapToGrid w:val="0"/>
          <w:szCs w:val="20"/>
          <w:lang w:val="cs-CZ"/>
        </w:rPr>
      </w:pPr>
      <w:r w:rsidRPr="003B6E11">
        <w:rPr>
          <w:b/>
          <w:snapToGrid w:val="0"/>
          <w:lang w:val="cs-CZ"/>
        </w:rPr>
        <w:t>15.</w:t>
      </w:r>
      <w:r w:rsidRPr="003B6E11">
        <w:rPr>
          <w:lang w:val="cs-CZ"/>
        </w:rPr>
        <w:tab/>
      </w:r>
      <w:r w:rsidRPr="003B6E11">
        <w:rPr>
          <w:b/>
          <w:noProof/>
          <w:snapToGrid w:val="0"/>
          <w:lang w:val="cs-CZ"/>
        </w:rPr>
        <w:t>Čl. 19.13 odst. 3 písm. b) – Vystavení bezpečnostního rozpisu a bezpečnostního plánu</w:t>
      </w:r>
    </w:p>
    <w:p w:rsidR="003B6E11" w:rsidRPr="003B6E11" w:rsidRDefault="003B6E11" w:rsidP="003B6E11">
      <w:pPr>
        <w:tabs>
          <w:tab w:val="left" w:pos="567"/>
        </w:tabs>
        <w:spacing w:line="240" w:lineRule="atLeast"/>
        <w:ind w:left="567" w:hanging="567"/>
        <w:rPr>
          <w:rFonts w:cs="Arial"/>
          <w:snapToGrid w:val="0"/>
          <w:szCs w:val="20"/>
          <w:lang w:val="cs-CZ"/>
        </w:rPr>
      </w:pPr>
    </w:p>
    <w:p w:rsidR="003B6E11" w:rsidRPr="003B6E11" w:rsidRDefault="003B6E11" w:rsidP="003B6E11">
      <w:pPr>
        <w:spacing w:line="240" w:lineRule="atLeast"/>
        <w:ind w:left="567"/>
        <w:rPr>
          <w:snapToGrid w:val="0"/>
          <w:lang w:val="cs-CZ"/>
        </w:rPr>
      </w:pPr>
      <w:r w:rsidRPr="003B6E11">
        <w:rPr>
          <w:lang w:val="cs-CZ"/>
        </w:rPr>
        <w:t>Alespoň výtisky bezpečnostního rozpisu a bezpečnostního plánu vystavené v prostorech určených pro osoby s omezenou schopností pohybu a orientace musí být takového charakteru, aby byly pokud možno čitelné i pro osoby s vadami zraku. Toho lze dosáhnout například vhodným použitím kontrastu a velikosti znaků.</w:t>
      </w:r>
    </w:p>
    <w:p w:rsidR="003B6E11" w:rsidRPr="003B6E11" w:rsidRDefault="003B6E11" w:rsidP="003B6E11">
      <w:pPr>
        <w:spacing w:line="240" w:lineRule="atLeast"/>
        <w:ind w:left="567"/>
        <w:rPr>
          <w:snapToGrid w:val="0"/>
          <w:lang w:val="cs-CZ"/>
        </w:rPr>
      </w:pPr>
    </w:p>
    <w:p w:rsidR="003B6E11" w:rsidRPr="003B6E11" w:rsidRDefault="003B6E11" w:rsidP="003B6E11">
      <w:pPr>
        <w:spacing w:line="240" w:lineRule="atLeast"/>
        <w:ind w:left="567"/>
        <w:rPr>
          <w:snapToGrid w:val="0"/>
          <w:lang w:val="cs-CZ"/>
        </w:rPr>
      </w:pPr>
      <w:r w:rsidRPr="003B6E11">
        <w:rPr>
          <w:lang w:val="cs-CZ"/>
        </w:rPr>
        <w:t>Plány musí být navíc vystaveny v takové výšce, aby je mohly přečíst i osoby na invalidním vozíku.</w:t>
      </w:r>
    </w:p>
    <w:p w:rsidR="003B6E11" w:rsidRPr="003B6E11" w:rsidRDefault="003B6E11" w:rsidP="003B6E11">
      <w:pPr>
        <w:tabs>
          <w:tab w:val="left" w:pos="567"/>
        </w:tabs>
        <w:spacing w:line="240" w:lineRule="atLeast"/>
        <w:ind w:left="567" w:hanging="567"/>
        <w:rPr>
          <w:rFonts w:cs="Arial"/>
          <w:snapToGrid w:val="0"/>
          <w:szCs w:val="20"/>
          <w:lang w:val="cs-CZ"/>
        </w:rPr>
      </w:pPr>
    </w:p>
    <w:p w:rsidR="003B6E11" w:rsidRPr="003B6E11" w:rsidRDefault="003B6E11" w:rsidP="003B6E11">
      <w:pPr>
        <w:tabs>
          <w:tab w:val="left" w:pos="567"/>
        </w:tabs>
        <w:spacing w:line="240" w:lineRule="atLeast"/>
        <w:ind w:left="567" w:hanging="567"/>
        <w:rPr>
          <w:rFonts w:cs="Arial"/>
          <w:b/>
          <w:bCs/>
          <w:snapToGrid w:val="0"/>
          <w:szCs w:val="20"/>
          <w:lang w:val="cs-CZ"/>
        </w:rPr>
      </w:pPr>
      <w:r w:rsidRPr="003B6E11">
        <w:rPr>
          <w:b/>
          <w:snapToGrid w:val="0"/>
          <w:lang w:val="cs-CZ"/>
        </w:rPr>
        <w:t>16.</w:t>
      </w:r>
      <w:r w:rsidRPr="003B6E11">
        <w:rPr>
          <w:lang w:val="cs-CZ"/>
        </w:rPr>
        <w:tab/>
      </w:r>
      <w:r w:rsidRPr="003B6E11">
        <w:rPr>
          <w:b/>
          <w:noProof/>
          <w:snapToGrid w:val="0"/>
          <w:lang w:val="cs-CZ"/>
        </w:rPr>
        <w:t>Čl. 19.13 odst. 4 – Pravidla chování pro cestující</w:t>
      </w:r>
    </w:p>
    <w:p w:rsidR="003B6E11" w:rsidRPr="003B6E11" w:rsidRDefault="003B6E11" w:rsidP="003B6E11">
      <w:pPr>
        <w:tabs>
          <w:tab w:val="left" w:pos="567"/>
        </w:tabs>
        <w:spacing w:line="240" w:lineRule="atLeast"/>
        <w:ind w:left="567" w:hanging="567"/>
        <w:rPr>
          <w:rFonts w:cs="Arial"/>
          <w:snapToGrid w:val="0"/>
          <w:szCs w:val="20"/>
          <w:lang w:val="cs-CZ"/>
        </w:rPr>
      </w:pPr>
    </w:p>
    <w:p w:rsidR="003B6E11" w:rsidRPr="003B6E11" w:rsidRDefault="003B6E11" w:rsidP="003B6E11">
      <w:pPr>
        <w:spacing w:line="240" w:lineRule="atLeast"/>
        <w:ind w:left="567"/>
        <w:rPr>
          <w:snapToGrid w:val="0"/>
          <w:lang w:val="cs-CZ"/>
        </w:rPr>
      </w:pPr>
      <w:r w:rsidRPr="003B6E11">
        <w:rPr>
          <w:lang w:val="cs-CZ"/>
        </w:rPr>
        <w:t>Přiměřeně se použije bod 15 tohoto pokynu.</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sectPr w:rsidR="003B6E11" w:rsidRPr="003B6E11" w:rsidSect="00D45887">
          <w:footnotePr>
            <w:numRestart w:val="eachPage"/>
          </w:footnotePr>
          <w:pgSz w:w="11907" w:h="16840" w:code="9"/>
          <w:pgMar w:top="1418" w:right="1418" w:bottom="1418" w:left="1418" w:header="680" w:footer="680" w:gutter="0"/>
          <w:cols w:space="720"/>
          <w:docGrid w:linePitch="326"/>
        </w:sectPr>
      </w:pPr>
    </w:p>
    <w:p w:rsidR="003B6E11" w:rsidRPr="003B6E11" w:rsidRDefault="003B6E11" w:rsidP="003B6E11">
      <w:pPr>
        <w:pStyle w:val="ES-Titre2ESI"/>
        <w:rPr>
          <w:szCs w:val="20"/>
        </w:rPr>
      </w:pPr>
      <w:bookmarkStart w:id="767" w:name="_Toc491854366"/>
      <w:bookmarkStart w:id="768" w:name="_Toc535417272"/>
      <w:r w:rsidRPr="003B6E11">
        <w:t>ESI-III-3</w:t>
      </w:r>
      <w:r w:rsidRPr="003B6E11">
        <w:br/>
        <w:t>Pevnost vodotěsných oken</w:t>
      </w:r>
      <w:bookmarkEnd w:id="767"/>
      <w:bookmarkEnd w:id="768"/>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jc w:val="center"/>
        <w:textAlignment w:val="baseline"/>
        <w:rPr>
          <w:b/>
          <w:szCs w:val="20"/>
          <w:lang w:val="cs-CZ"/>
        </w:rPr>
      </w:pPr>
      <w:r w:rsidRPr="003B6E11">
        <w:rPr>
          <w:b/>
          <w:lang w:val="cs-CZ"/>
        </w:rPr>
        <w:t>(Čl. 19.02 odst. 16)</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1.</w:t>
      </w:r>
      <w:r w:rsidRPr="003B6E11">
        <w:rPr>
          <w:lang w:val="cs-CZ"/>
        </w:rPr>
        <w:tab/>
      </w:r>
      <w:r w:rsidRPr="003B6E11">
        <w:rPr>
          <w:b/>
          <w:color w:val="000000"/>
          <w:lang w:val="cs-CZ"/>
        </w:rPr>
        <w:t>Obecně</w:t>
      </w:r>
    </w:p>
    <w:p w:rsidR="003B6E11" w:rsidRPr="003B6E11" w:rsidRDefault="003B6E11" w:rsidP="003B6E11">
      <w:pPr>
        <w:tabs>
          <w:tab w:val="left" w:pos="567"/>
        </w:tabs>
        <w:overflowPunct w:val="0"/>
        <w:adjustRightInd w:val="0"/>
        <w:spacing w:line="240" w:lineRule="atLeast"/>
        <w:ind w:left="567" w:hanging="567"/>
        <w:textAlignment w:val="baseline"/>
        <w:rPr>
          <w:szCs w:val="20"/>
          <w:lang w:val="cs-CZ"/>
        </w:rPr>
      </w:pPr>
    </w:p>
    <w:p w:rsidR="003B6E11" w:rsidRPr="003B6E11" w:rsidRDefault="003B6E11" w:rsidP="003B6E11">
      <w:pPr>
        <w:spacing w:line="240" w:lineRule="atLeast"/>
        <w:ind w:left="567"/>
        <w:rPr>
          <w:lang w:val="cs-CZ"/>
        </w:rPr>
      </w:pPr>
      <w:r w:rsidRPr="003B6E11">
        <w:rPr>
          <w:lang w:val="cs-CZ"/>
        </w:rPr>
        <w:t>Podle čl. 19.02 odst. 16 mohou být vodotěsná okna umístěna pod rovinou zbytkového výtlaku, jsou-li vodotěsná, nelze je otevírat, jsou dostatečně pevná a odpovídají požadavkům čl. 19.06 odst. 14.</w:t>
      </w:r>
    </w:p>
    <w:p w:rsidR="003B6E11" w:rsidRPr="003B6E11" w:rsidRDefault="003B6E11" w:rsidP="003B6E11">
      <w:pPr>
        <w:tabs>
          <w:tab w:val="left" w:pos="567"/>
        </w:tabs>
        <w:overflowPunct w:val="0"/>
        <w:adjustRightInd w:val="0"/>
        <w:spacing w:line="240" w:lineRule="atLeast"/>
        <w:ind w:left="567" w:hanging="567"/>
        <w:textAlignment w:val="baseline"/>
        <w:rPr>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2.</w:t>
      </w:r>
      <w:r w:rsidRPr="003B6E11">
        <w:rPr>
          <w:lang w:val="cs-CZ"/>
        </w:rPr>
        <w:tab/>
      </w:r>
      <w:r w:rsidRPr="003B6E11">
        <w:rPr>
          <w:b/>
          <w:color w:val="000000"/>
          <w:lang w:val="cs-CZ"/>
        </w:rPr>
        <w:t>Konstrukce vodotěsných oken</w:t>
      </w:r>
    </w:p>
    <w:p w:rsidR="003B6E11" w:rsidRPr="003B6E11" w:rsidRDefault="003B6E11" w:rsidP="003B6E11">
      <w:pPr>
        <w:tabs>
          <w:tab w:val="left" w:pos="567"/>
        </w:tabs>
        <w:overflowPunct w:val="0"/>
        <w:adjustRightInd w:val="0"/>
        <w:spacing w:line="240" w:lineRule="atLeast"/>
        <w:ind w:left="567" w:hanging="567"/>
        <w:textAlignment w:val="baseline"/>
        <w:rPr>
          <w:szCs w:val="20"/>
          <w:lang w:val="cs-CZ"/>
        </w:rPr>
      </w:pPr>
    </w:p>
    <w:p w:rsidR="003B6E11" w:rsidRPr="003B6E11" w:rsidRDefault="003B6E11" w:rsidP="003B6E11">
      <w:pPr>
        <w:spacing w:line="240" w:lineRule="atLeast"/>
        <w:ind w:left="567"/>
        <w:rPr>
          <w:lang w:val="cs-CZ"/>
        </w:rPr>
      </w:pPr>
      <w:r w:rsidRPr="003B6E11">
        <w:rPr>
          <w:lang w:val="cs-CZ"/>
        </w:rPr>
        <w:t>Požadavky čl. 19.02 odst. 16 se považují za splněné, pokud konstrukce vodotěsných oken splňuje následující ustanovení.</w:t>
      </w:r>
    </w:p>
    <w:p w:rsidR="003B6E11" w:rsidRPr="003B6E11" w:rsidRDefault="003B6E11" w:rsidP="003B6E11">
      <w:pPr>
        <w:tabs>
          <w:tab w:val="left" w:pos="425"/>
        </w:tabs>
        <w:overflowPunct w:val="0"/>
        <w:adjustRightInd w:val="0"/>
        <w:textAlignment w:val="baseline"/>
        <w:rPr>
          <w:szCs w:val="20"/>
          <w:lang w:val="cs-CZ"/>
        </w:rPr>
      </w:pPr>
    </w:p>
    <w:p w:rsidR="003B6E11" w:rsidRPr="003B6E11" w:rsidRDefault="003B6E11" w:rsidP="003B6E11">
      <w:pPr>
        <w:spacing w:line="240" w:lineRule="atLeast"/>
        <w:ind w:left="567" w:hanging="567"/>
        <w:rPr>
          <w:lang w:val="cs-CZ"/>
        </w:rPr>
      </w:pPr>
      <w:r w:rsidRPr="003B6E11">
        <w:rPr>
          <w:lang w:val="cs-CZ"/>
        </w:rPr>
        <w:t>2.1</w:t>
      </w:r>
      <w:r w:rsidRPr="003B6E11">
        <w:rPr>
          <w:lang w:val="cs-CZ"/>
        </w:rPr>
        <w:tab/>
        <w:t>Musí být použito pouze předpjaté sklo, které je v souladu</w:t>
      </w:r>
    </w:p>
    <w:p w:rsidR="003B6E11" w:rsidRPr="003B6E11" w:rsidRDefault="003B6E11" w:rsidP="003B6E11">
      <w:pPr>
        <w:spacing w:line="240" w:lineRule="atLeast"/>
        <w:ind w:left="567"/>
        <w:rPr>
          <w:lang w:val="cs-CZ"/>
        </w:rPr>
      </w:pPr>
      <w:r w:rsidRPr="003B6E11">
        <w:rPr>
          <w:lang w:val="cs-CZ"/>
        </w:rPr>
        <w:t xml:space="preserve">s </w:t>
      </w:r>
      <w:r w:rsidRPr="003B6E11">
        <w:rPr>
          <w:rFonts w:ascii="ArialMT" w:hAnsi="ArialMT"/>
          <w:lang w:val="cs-CZ"/>
        </w:rPr>
        <w:t>mezinárodní normou</w:t>
      </w:r>
      <w:r w:rsidRPr="003B6E11">
        <w:rPr>
          <w:lang w:val="cs-CZ"/>
        </w:rPr>
        <w:t xml:space="preserve"> </w:t>
      </w:r>
    </w:p>
    <w:p w:rsidR="003B6E11" w:rsidRPr="003B6E11" w:rsidRDefault="003B6E11" w:rsidP="003B6E11">
      <w:pPr>
        <w:spacing w:line="240" w:lineRule="atLeast"/>
        <w:ind w:left="567"/>
        <w:rPr>
          <w:lang w:val="cs-CZ"/>
        </w:rPr>
      </w:pPr>
      <w:r w:rsidRPr="003B6E11">
        <w:rPr>
          <w:lang w:val="cs-CZ"/>
        </w:rPr>
        <w:t>ISO 614:2012.</w:t>
      </w:r>
    </w:p>
    <w:p w:rsidR="003B6E11" w:rsidRPr="003B6E11" w:rsidRDefault="003B6E11" w:rsidP="003B6E11">
      <w:pPr>
        <w:tabs>
          <w:tab w:val="left" w:pos="992"/>
        </w:tabs>
        <w:overflowPunct w:val="0"/>
        <w:adjustRightInd w:val="0"/>
        <w:spacing w:line="240" w:lineRule="atLeast"/>
        <w:ind w:left="567" w:hanging="567"/>
        <w:textAlignment w:val="baseline"/>
        <w:rPr>
          <w:szCs w:val="20"/>
          <w:lang w:val="cs-CZ"/>
        </w:rPr>
      </w:pPr>
    </w:p>
    <w:p w:rsidR="003B6E11" w:rsidRPr="003B6E11" w:rsidRDefault="003B6E11" w:rsidP="003B6E11">
      <w:pPr>
        <w:spacing w:line="240" w:lineRule="atLeast"/>
        <w:ind w:left="567" w:hanging="567"/>
        <w:rPr>
          <w:lang w:val="cs-CZ"/>
        </w:rPr>
      </w:pPr>
      <w:r w:rsidRPr="003B6E11">
        <w:rPr>
          <w:lang w:val="cs-CZ"/>
        </w:rPr>
        <w:t>2.2</w:t>
      </w:r>
      <w:r w:rsidRPr="003B6E11">
        <w:rPr>
          <w:lang w:val="cs-CZ"/>
        </w:rPr>
        <w:tab/>
        <w:t>Kulatá okna musí splňovat</w:t>
      </w:r>
      <w:r w:rsidRPr="003B6E11">
        <w:rPr>
          <w:rFonts w:ascii="ArialMT" w:hAnsi="ArialMT"/>
          <w:lang w:val="cs-CZ"/>
        </w:rPr>
        <w:t xml:space="preserve"> mezinárodní normu</w:t>
      </w:r>
    </w:p>
    <w:p w:rsidR="003B6E11" w:rsidRPr="003B6E11" w:rsidRDefault="003B6E11" w:rsidP="003B6E11">
      <w:pPr>
        <w:spacing w:line="240" w:lineRule="atLeast"/>
        <w:ind w:left="567"/>
        <w:rPr>
          <w:lang w:val="cs-CZ"/>
        </w:rPr>
      </w:pPr>
      <w:r w:rsidRPr="003B6E11">
        <w:rPr>
          <w:lang w:val="cs-CZ"/>
        </w:rPr>
        <w:t xml:space="preserve">ISO 1751:2012,  </w:t>
      </w:r>
    </w:p>
    <w:p w:rsidR="003B6E11" w:rsidRPr="003B6E11" w:rsidRDefault="003B6E11" w:rsidP="003B6E11">
      <w:pPr>
        <w:spacing w:line="240" w:lineRule="atLeast"/>
        <w:ind w:left="567"/>
        <w:rPr>
          <w:lang w:val="cs-CZ"/>
        </w:rPr>
      </w:pPr>
      <w:r w:rsidRPr="003B6E11">
        <w:rPr>
          <w:lang w:val="cs-CZ"/>
        </w:rPr>
        <w:t xml:space="preserve">řady B: okna pro středně velké zatížení, </w:t>
      </w:r>
    </w:p>
    <w:p w:rsidR="003B6E11" w:rsidRPr="003B6E11" w:rsidRDefault="003B6E11" w:rsidP="003B6E11">
      <w:pPr>
        <w:spacing w:line="240" w:lineRule="atLeast"/>
        <w:ind w:left="567"/>
        <w:rPr>
          <w:lang w:val="cs-CZ"/>
        </w:rPr>
      </w:pPr>
      <w:r w:rsidRPr="003B6E11">
        <w:rPr>
          <w:lang w:val="cs-CZ"/>
        </w:rPr>
        <w:t>typ: neotevírací okno.</w:t>
      </w:r>
    </w:p>
    <w:p w:rsidR="003B6E11" w:rsidRPr="003B6E11" w:rsidRDefault="003B6E11" w:rsidP="003B6E11">
      <w:pPr>
        <w:tabs>
          <w:tab w:val="left" w:pos="992"/>
        </w:tabs>
        <w:overflowPunct w:val="0"/>
        <w:adjustRightInd w:val="0"/>
        <w:spacing w:line="240" w:lineRule="atLeast"/>
        <w:ind w:left="567" w:hanging="567"/>
        <w:textAlignment w:val="baseline"/>
        <w:rPr>
          <w:szCs w:val="20"/>
          <w:lang w:val="cs-CZ"/>
        </w:rPr>
      </w:pPr>
    </w:p>
    <w:p w:rsidR="003B6E11" w:rsidRPr="003B6E11" w:rsidRDefault="003B6E11" w:rsidP="003B6E11">
      <w:pPr>
        <w:spacing w:line="240" w:lineRule="atLeast"/>
        <w:ind w:left="567" w:hanging="567"/>
        <w:rPr>
          <w:lang w:val="cs-CZ"/>
        </w:rPr>
      </w:pPr>
      <w:r w:rsidRPr="003B6E11">
        <w:rPr>
          <w:lang w:val="cs-CZ"/>
        </w:rPr>
        <w:t>2.3</w:t>
      </w:r>
      <w:r w:rsidRPr="003B6E11">
        <w:rPr>
          <w:lang w:val="cs-CZ"/>
        </w:rPr>
        <w:tab/>
        <w:t>Hranatá okna musí splňovat</w:t>
      </w:r>
      <w:r w:rsidRPr="003B6E11">
        <w:rPr>
          <w:rFonts w:ascii="ArialMT" w:hAnsi="ArialMT"/>
          <w:lang w:val="cs-CZ"/>
        </w:rPr>
        <w:t xml:space="preserve"> mezinárodní normu</w:t>
      </w:r>
    </w:p>
    <w:p w:rsidR="003B6E11" w:rsidRPr="003B6E11" w:rsidRDefault="003B6E11" w:rsidP="003B6E11">
      <w:pPr>
        <w:spacing w:line="240" w:lineRule="atLeast"/>
        <w:ind w:left="567"/>
        <w:rPr>
          <w:lang w:val="cs-CZ"/>
        </w:rPr>
      </w:pPr>
      <w:r w:rsidRPr="003B6E11">
        <w:rPr>
          <w:lang w:val="cs-CZ"/>
        </w:rPr>
        <w:t xml:space="preserve">ISO 3903:2012,  </w:t>
      </w:r>
    </w:p>
    <w:p w:rsidR="003B6E11" w:rsidRPr="003B6E11" w:rsidRDefault="003B6E11" w:rsidP="003B6E11">
      <w:pPr>
        <w:spacing w:line="240" w:lineRule="atLeast"/>
        <w:ind w:left="567"/>
        <w:rPr>
          <w:lang w:val="cs-CZ"/>
        </w:rPr>
      </w:pPr>
      <w:r w:rsidRPr="003B6E11">
        <w:rPr>
          <w:lang w:val="cs-CZ"/>
        </w:rPr>
        <w:t xml:space="preserve">řady E: okna pro velké zatížení, </w:t>
      </w:r>
    </w:p>
    <w:p w:rsidR="003B6E11" w:rsidRPr="003B6E11" w:rsidRDefault="003B6E11" w:rsidP="003B6E11">
      <w:pPr>
        <w:spacing w:line="240" w:lineRule="atLeast"/>
        <w:ind w:left="567"/>
        <w:rPr>
          <w:lang w:val="cs-CZ"/>
        </w:rPr>
      </w:pPr>
      <w:r w:rsidRPr="003B6E11">
        <w:rPr>
          <w:lang w:val="cs-CZ"/>
        </w:rPr>
        <w:t>typ: neotevírací okno.</w:t>
      </w:r>
    </w:p>
    <w:p w:rsidR="003B6E11" w:rsidRPr="003B6E11" w:rsidRDefault="003B6E11" w:rsidP="003B6E11">
      <w:pPr>
        <w:tabs>
          <w:tab w:val="left" w:pos="992"/>
        </w:tabs>
        <w:overflowPunct w:val="0"/>
        <w:adjustRightInd w:val="0"/>
        <w:spacing w:line="240" w:lineRule="atLeast"/>
        <w:ind w:left="567" w:hanging="567"/>
        <w:textAlignment w:val="baseline"/>
        <w:rPr>
          <w:szCs w:val="20"/>
          <w:lang w:val="cs-CZ"/>
        </w:rPr>
      </w:pPr>
    </w:p>
    <w:p w:rsidR="003B6E11" w:rsidRPr="003B6E11" w:rsidRDefault="003B6E11" w:rsidP="003B6E11">
      <w:pPr>
        <w:spacing w:line="240" w:lineRule="atLeast"/>
        <w:ind w:left="567" w:hanging="567"/>
        <w:rPr>
          <w:lang w:val="cs-CZ"/>
        </w:rPr>
      </w:pPr>
      <w:r w:rsidRPr="003B6E11">
        <w:rPr>
          <w:lang w:val="cs-CZ"/>
        </w:rPr>
        <w:t>2.4</w:t>
      </w:r>
      <w:r w:rsidRPr="003B6E11">
        <w:rPr>
          <w:lang w:val="cs-CZ"/>
        </w:rPr>
        <w:tab/>
        <w:t>Okna splňující normu ISO lze nahradit okny, jejichž konstrukce je alespoň rovnocenná požadavkům uvedeným v bodech 2.1 až 2.3.</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r w:rsidRPr="003B6E11">
        <w:rPr>
          <w:lang w:val="cs-CZ"/>
        </w:rPr>
        <w:br w:type="page"/>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sectPr w:rsidR="003B6E11" w:rsidRPr="003B6E11" w:rsidSect="00D45887">
          <w:footnotePr>
            <w:numRestart w:val="eachPage"/>
          </w:footnotePr>
          <w:pgSz w:w="11907" w:h="16840" w:code="9"/>
          <w:pgMar w:top="1418" w:right="1418" w:bottom="1418" w:left="1418" w:header="680" w:footer="680" w:gutter="0"/>
          <w:cols w:space="720"/>
          <w:docGrid w:linePitch="326"/>
        </w:sectPr>
      </w:pPr>
    </w:p>
    <w:p w:rsidR="003B6E11" w:rsidRPr="003B6E11" w:rsidRDefault="003B6E11" w:rsidP="003B6E11">
      <w:pPr>
        <w:pStyle w:val="ES-Titre2ESI"/>
        <w:rPr>
          <w:szCs w:val="20"/>
        </w:rPr>
      </w:pPr>
      <w:bookmarkStart w:id="769" w:name="_Toc491854367"/>
      <w:bookmarkStart w:id="770" w:name="_Toc535417273"/>
      <w:r w:rsidRPr="003B6E11">
        <w:t>ESI-III-4</w:t>
      </w:r>
      <w:r w:rsidRPr="003B6E11">
        <w:br/>
        <w:t>Bezpečnostní naváděcí systém</w:t>
      </w:r>
      <w:bookmarkEnd w:id="769"/>
      <w:bookmarkEnd w:id="770"/>
      <w:r w:rsidRPr="003B6E11">
        <w:t xml:space="preserve"> </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adjustRightInd w:val="0"/>
        <w:spacing w:line="240" w:lineRule="atLeast"/>
        <w:jc w:val="center"/>
        <w:rPr>
          <w:rFonts w:cs="Arial"/>
          <w:b/>
          <w:szCs w:val="20"/>
          <w:lang w:val="cs-CZ"/>
        </w:rPr>
      </w:pPr>
      <w:r w:rsidRPr="003B6E11">
        <w:rPr>
          <w:b/>
          <w:lang w:val="cs-CZ"/>
        </w:rPr>
        <w:t>(Čl. 19.06 odst. 7; čl. 29.09 písm. d))</w:t>
      </w:r>
    </w:p>
    <w:p w:rsidR="003B6E11" w:rsidRPr="003B6E11" w:rsidRDefault="003B6E11" w:rsidP="003B6E11">
      <w:pPr>
        <w:tabs>
          <w:tab w:val="left" w:pos="425"/>
        </w:tabs>
        <w:spacing w:line="240" w:lineRule="atLeast"/>
        <w:rPr>
          <w:rFonts w:cs="Arial"/>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1.</w:t>
      </w:r>
      <w:r w:rsidRPr="003B6E11">
        <w:rPr>
          <w:lang w:val="cs-CZ"/>
        </w:rPr>
        <w:tab/>
      </w:r>
      <w:r w:rsidRPr="003B6E11">
        <w:rPr>
          <w:b/>
          <w:color w:val="000000"/>
          <w:lang w:val="cs-CZ"/>
        </w:rPr>
        <w:t>Obecně</w:t>
      </w:r>
    </w:p>
    <w:p w:rsidR="003B6E11" w:rsidRPr="003B6E11" w:rsidRDefault="003B6E11" w:rsidP="003B6E11">
      <w:pPr>
        <w:tabs>
          <w:tab w:val="left" w:pos="425"/>
        </w:tabs>
        <w:spacing w:line="240" w:lineRule="atLeast"/>
        <w:rPr>
          <w:rFonts w:cs="Arial"/>
          <w:lang w:val="cs-CZ"/>
        </w:rPr>
      </w:pPr>
    </w:p>
    <w:p w:rsidR="003B6E11" w:rsidRPr="003B6E11" w:rsidRDefault="003B6E11" w:rsidP="003B6E11">
      <w:pPr>
        <w:spacing w:line="240" w:lineRule="atLeast"/>
        <w:ind w:left="567" w:hanging="567"/>
        <w:rPr>
          <w:snapToGrid w:val="0"/>
          <w:lang w:val="cs-CZ"/>
        </w:rPr>
      </w:pPr>
      <w:r w:rsidRPr="003B6E11">
        <w:rPr>
          <w:lang w:val="cs-CZ"/>
        </w:rPr>
        <w:t>1.1</w:t>
      </w:r>
      <w:r w:rsidRPr="003B6E11">
        <w:rPr>
          <w:lang w:val="cs-CZ"/>
        </w:rPr>
        <w:tab/>
        <w:t>Podle výše uvedených ustanovení musí mít osobní lodě a rychlé lodě vhodné naváděcí systémy pro zřetelnou identifikaci únikových cest a nouzových východů, pokud je běžné nouzové osvětlení méně účinné kvůli kouři. Takovéto naváděcí systémy musí mít podobu nízko umístěného osvětlení (LLL). Tento pokyn zahrnuje schválení, instalaci a údržbu těchto naváděcích systémů.</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1.2</w:t>
      </w:r>
      <w:r w:rsidRPr="003B6E11">
        <w:rPr>
          <w:lang w:val="cs-CZ"/>
        </w:rPr>
        <w:tab/>
        <w:t>Kromě požadavků na nouzové osvětlení podle čl. 19.10 odst. 3 musí být únikové cesty včetně schodišť, východů a nouzových východů označeny nízko umístěným osvětlením (LLL) po celé délce únikové cesty, zejména v rozích a kříženích.</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1.3</w:t>
      </w:r>
      <w:r w:rsidRPr="003B6E11">
        <w:rPr>
          <w:lang w:val="cs-CZ"/>
        </w:rPr>
        <w:tab/>
        <w:t>Systém LLL musí fungovat nejméně 30 minut od jeho spuštění.</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1.4</w:t>
      </w:r>
      <w:r w:rsidRPr="003B6E11">
        <w:rPr>
          <w:lang w:val="cs-CZ"/>
        </w:rPr>
        <w:tab/>
        <w:t>Výrobky LLL nesmí být ani radioaktivní, ani toxické.</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1.5</w:t>
      </w:r>
      <w:r w:rsidRPr="003B6E11">
        <w:rPr>
          <w:lang w:val="cs-CZ"/>
        </w:rPr>
        <w:tab/>
        <w:t>Pokyny pro systém LLL musí být vystaveny spolu s bezpečnostním plánem podle čl. 19.13 odst. 2 a v každé kajutě.</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2.</w:t>
      </w:r>
      <w:r w:rsidRPr="003B6E11">
        <w:rPr>
          <w:lang w:val="cs-CZ"/>
        </w:rPr>
        <w:tab/>
      </w:r>
      <w:r w:rsidRPr="003B6E11">
        <w:rPr>
          <w:b/>
          <w:color w:val="000000"/>
          <w:lang w:val="cs-CZ"/>
        </w:rPr>
        <w:t>Definice</w:t>
      </w:r>
    </w:p>
    <w:p w:rsidR="003B6E11" w:rsidRPr="003B6E11" w:rsidRDefault="003B6E11" w:rsidP="003B6E11">
      <w:pPr>
        <w:tabs>
          <w:tab w:val="left" w:pos="425"/>
        </w:tabs>
        <w:spacing w:line="240" w:lineRule="atLeast"/>
        <w:rPr>
          <w:rFonts w:cs="Arial"/>
          <w:lang w:val="cs-CZ"/>
        </w:rPr>
      </w:pPr>
    </w:p>
    <w:p w:rsidR="003B6E11" w:rsidRPr="003B6E11" w:rsidRDefault="003B6E11" w:rsidP="003B6E11">
      <w:pPr>
        <w:spacing w:line="240" w:lineRule="atLeast"/>
        <w:ind w:left="567" w:hanging="567"/>
        <w:rPr>
          <w:lang w:val="cs-CZ"/>
        </w:rPr>
      </w:pPr>
      <w:r w:rsidRPr="003B6E11">
        <w:rPr>
          <w:lang w:val="cs-CZ"/>
        </w:rPr>
        <w:t>2.1</w:t>
      </w:r>
      <w:r w:rsidRPr="003B6E11">
        <w:rPr>
          <w:lang w:val="cs-CZ"/>
        </w:rPr>
        <w:tab/>
        <w:t>Nízko umístěné osvětlení (LLL) – elektricky napájené osvětlení nebo fotoluminiscenční ukazatele umístěné podél únikových cest tak, aby byla zajištěna snadná identifikace všech těchto cest.</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2.2</w:t>
      </w:r>
      <w:r w:rsidRPr="003B6E11">
        <w:rPr>
          <w:lang w:val="cs-CZ"/>
        </w:rPr>
        <w:tab/>
        <w:t>Fotoluminiscenční (PL) systém – systém LLL používající materiál PL. Fotoluminiscenční materiál obsahuje chemickou látku (např. sulfid zinečnatý), která má schopnost uchovat energii po nasvícení viditelným světlem. Materiál PL vyzařuje světlo, které je viditelné při zeslabení okolního světelného zdroje. Bez znovunabití světelným zdrojem vypouští materiál PL uloženou energii po určitou dobu se snižující se svítivostí.</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2.3</w:t>
      </w:r>
      <w:r w:rsidRPr="003B6E11">
        <w:rPr>
          <w:lang w:val="cs-CZ"/>
        </w:rPr>
        <w:tab/>
        <w:t>Elektricky napájený (EP) systém – systém LLL, který pro svůj provoz vyžaduje elektrické napájení, např. systémy používající žárovky, LED diody, elektroluminiscenční proužky nebo lampy, elektrofluorescenční lampy apod.</w:t>
      </w:r>
    </w:p>
    <w:p w:rsidR="003B6E11" w:rsidRPr="003B6E11" w:rsidRDefault="003B6E11" w:rsidP="003B6E11">
      <w:pPr>
        <w:tabs>
          <w:tab w:val="left" w:pos="425"/>
        </w:tabs>
        <w:spacing w:line="240" w:lineRule="atLeast"/>
        <w:rPr>
          <w:rFonts w:cs="Arial"/>
          <w:lang w:val="cs-CZ"/>
        </w:rPr>
      </w:pPr>
    </w:p>
    <w:p w:rsidR="003B6E11" w:rsidRPr="003B6E11" w:rsidRDefault="003B6E11" w:rsidP="003B6E11">
      <w:pPr>
        <w:tabs>
          <w:tab w:val="left" w:pos="425"/>
        </w:tabs>
        <w:spacing w:line="240" w:lineRule="atLeast"/>
        <w:rPr>
          <w:rFonts w:cs="Arial"/>
          <w:lang w:val="cs-CZ"/>
        </w:rPr>
      </w:pPr>
      <w:r w:rsidRPr="003B6E11">
        <w:rPr>
          <w:lang w:val="cs-CZ"/>
        </w:rPr>
        <w:br w:type="page"/>
      </w:r>
    </w:p>
    <w:p w:rsidR="003B6E11" w:rsidRPr="003B6E11" w:rsidRDefault="003B6E11" w:rsidP="003B6E11">
      <w:pPr>
        <w:tabs>
          <w:tab w:val="left" w:pos="567"/>
        </w:tabs>
        <w:spacing w:line="240" w:lineRule="atLeast"/>
        <w:ind w:left="567" w:hanging="567"/>
        <w:rPr>
          <w:rFonts w:cs="Arial"/>
          <w:b/>
          <w:lang w:val="cs-CZ"/>
        </w:rPr>
      </w:pPr>
      <w:r w:rsidRPr="003B6E11">
        <w:rPr>
          <w:b/>
          <w:lang w:val="cs-CZ"/>
        </w:rPr>
        <w:t>3.</w:t>
      </w:r>
      <w:r w:rsidRPr="003B6E11">
        <w:rPr>
          <w:lang w:val="cs-CZ"/>
        </w:rPr>
        <w:tab/>
      </w:r>
      <w:r w:rsidRPr="003B6E11">
        <w:rPr>
          <w:b/>
          <w:lang w:val="cs-CZ"/>
        </w:rPr>
        <w:t>Průchody a schodiště</w:t>
      </w:r>
    </w:p>
    <w:p w:rsidR="003B6E11" w:rsidRPr="003B6E11" w:rsidRDefault="003B6E11" w:rsidP="003B6E11">
      <w:pPr>
        <w:tabs>
          <w:tab w:val="left" w:pos="425"/>
        </w:tabs>
        <w:spacing w:line="240" w:lineRule="atLeast"/>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3.1</w:t>
      </w:r>
      <w:r w:rsidRPr="003B6E11">
        <w:rPr>
          <w:lang w:val="cs-CZ"/>
        </w:rPr>
        <w:tab/>
        <w:t>Ve všech průchodech musí být nepřetržité systémy LLL zajišťující viditelné vymezení únikové cesty, s výjimkou míst přerušených chodbami a dveřmi kabin. Jsou přijatelné i systémy LLL splňující mezinárodní normu, které zajišťují viditelné vymezení, ale nejsou nepřetržité. Systém LLL musí být instalován alespoň na jedné straně chodby, buď na stěně ve výšce maximálně 0,3 m od podlahy, anebo na podlaze ve vzdálenosti maximálně 0,15 m od stěny. Na chodbách širších než dva metry musí být systém LLL instalovaný na obou stranách.</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szCs w:val="20"/>
          <w:lang w:val="cs-CZ"/>
        </w:rPr>
      </w:pPr>
      <w:r w:rsidRPr="003B6E11">
        <w:rPr>
          <w:lang w:val="cs-CZ"/>
        </w:rPr>
        <w:t>3.2</w:t>
      </w:r>
      <w:r w:rsidRPr="003B6E11">
        <w:rPr>
          <w:lang w:val="cs-CZ"/>
        </w:rPr>
        <w:tab/>
        <w:t>Ve slepých chodbách musí být systém LLL ve formě šipek umístěných v rozmezí ne větším než 1 m nebo ve formě rovnocenných směrových ukazatelů, které ukazují směr k únikové cestě.</w:t>
      </w:r>
    </w:p>
    <w:p w:rsidR="003B6E11" w:rsidRPr="003B6E11" w:rsidRDefault="003B6E11" w:rsidP="003B6E11">
      <w:pPr>
        <w:tabs>
          <w:tab w:val="left" w:pos="567"/>
        </w:tabs>
        <w:spacing w:line="240" w:lineRule="atLeast"/>
        <w:ind w:left="567" w:hanging="567"/>
        <w:rPr>
          <w:rFonts w:cs="Arial"/>
          <w:szCs w:val="20"/>
          <w:lang w:val="cs-CZ"/>
        </w:rPr>
      </w:pPr>
    </w:p>
    <w:p w:rsidR="003B6E11" w:rsidRPr="003B6E11" w:rsidRDefault="003B6E11" w:rsidP="003B6E11">
      <w:pPr>
        <w:tabs>
          <w:tab w:val="left" w:pos="567"/>
        </w:tabs>
        <w:spacing w:line="240" w:lineRule="atLeast"/>
        <w:ind w:left="567" w:hanging="567"/>
        <w:rPr>
          <w:rFonts w:cs="Arial"/>
          <w:iCs/>
          <w:szCs w:val="20"/>
          <w:lang w:val="cs-CZ"/>
        </w:rPr>
      </w:pPr>
      <w:r w:rsidRPr="003B6E11">
        <w:rPr>
          <w:lang w:val="cs-CZ"/>
        </w:rPr>
        <w:t>3.3</w:t>
      </w:r>
      <w:r w:rsidRPr="003B6E11">
        <w:rPr>
          <w:lang w:val="cs-CZ"/>
        </w:rPr>
        <w:tab/>
        <w:t>Na všech schodištích musí být systém LLL instalován alespoň na jedné straně ve výšce maximálně 0,3 m nad schody tak, aby zviditelnil polohu každého schodu všem osobám stojícím nad a pod tímto schodem. Pokud je šířka schodiště 2 metry nebo více, musí se systém LLL instalovat na obou stranách. První a poslední schod schodiště musí být označeny tak, aby bylo zřetelné, že dále již schody nejsou.</w:t>
      </w:r>
    </w:p>
    <w:p w:rsidR="003B6E11" w:rsidRPr="003B6E11" w:rsidRDefault="003B6E11" w:rsidP="003B6E11">
      <w:pPr>
        <w:tabs>
          <w:tab w:val="left" w:pos="567"/>
        </w:tabs>
        <w:spacing w:line="240" w:lineRule="atLeast"/>
        <w:ind w:left="567" w:hanging="567"/>
        <w:rPr>
          <w:rFonts w:cs="Arial"/>
          <w:i/>
          <w:iCs/>
          <w:szCs w:val="20"/>
          <w:lang w:val="cs-CZ"/>
        </w:rPr>
      </w:pPr>
    </w:p>
    <w:p w:rsidR="003B6E11" w:rsidRPr="003B6E11" w:rsidRDefault="003B6E11" w:rsidP="003B6E11">
      <w:pPr>
        <w:tabs>
          <w:tab w:val="left" w:pos="567"/>
        </w:tabs>
        <w:spacing w:line="240" w:lineRule="atLeast"/>
        <w:ind w:left="567" w:hanging="567"/>
        <w:rPr>
          <w:rFonts w:cs="Arial"/>
          <w:b/>
          <w:lang w:val="cs-CZ"/>
        </w:rPr>
      </w:pPr>
      <w:r w:rsidRPr="003B6E11">
        <w:rPr>
          <w:b/>
          <w:lang w:val="cs-CZ"/>
        </w:rPr>
        <w:t>4.</w:t>
      </w:r>
      <w:r w:rsidRPr="003B6E11">
        <w:rPr>
          <w:lang w:val="cs-CZ"/>
        </w:rPr>
        <w:tab/>
      </w:r>
      <w:r w:rsidRPr="003B6E11">
        <w:rPr>
          <w:b/>
          <w:lang w:val="cs-CZ"/>
        </w:rPr>
        <w:t>Dveře</w:t>
      </w:r>
    </w:p>
    <w:p w:rsidR="003B6E11" w:rsidRPr="003B6E11" w:rsidRDefault="003B6E11" w:rsidP="003B6E11">
      <w:pPr>
        <w:tabs>
          <w:tab w:val="left" w:pos="425"/>
        </w:tabs>
        <w:spacing w:line="240" w:lineRule="atLeast"/>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4.1</w:t>
      </w:r>
      <w:r w:rsidRPr="003B6E11">
        <w:rPr>
          <w:lang w:val="cs-CZ"/>
        </w:rPr>
        <w:tab/>
        <w:t>Nízko umístěné osvětlení musí vést k madlu únikových dveří. Aby nedošlo k záměně, nesmí být takto označeny žádné jiné dveře.</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4.2</w:t>
      </w:r>
      <w:r w:rsidRPr="003B6E11">
        <w:rPr>
          <w:lang w:val="cs-CZ"/>
        </w:rPr>
        <w:tab/>
        <w:t>Pokud jsou v dělicích stěnách podle čl. 19.11 odst. 2 a přepážkách podle čl. 19.02 odst. 5 umístěny posuvné dveře, musí být vyznačen směr otevírání.</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b/>
          <w:lang w:val="cs-CZ"/>
        </w:rPr>
      </w:pPr>
      <w:r w:rsidRPr="003B6E11">
        <w:rPr>
          <w:b/>
          <w:lang w:val="cs-CZ"/>
        </w:rPr>
        <w:t>5.</w:t>
      </w:r>
      <w:r w:rsidRPr="003B6E11">
        <w:rPr>
          <w:lang w:val="cs-CZ"/>
        </w:rPr>
        <w:tab/>
      </w:r>
      <w:r w:rsidRPr="003B6E11">
        <w:rPr>
          <w:b/>
          <w:lang w:val="cs-CZ"/>
        </w:rPr>
        <w:t>Značky a označení</w:t>
      </w:r>
    </w:p>
    <w:p w:rsidR="003B6E11" w:rsidRPr="003B6E11" w:rsidRDefault="003B6E11" w:rsidP="003B6E11">
      <w:pPr>
        <w:tabs>
          <w:tab w:val="left" w:pos="425"/>
        </w:tabs>
        <w:spacing w:line="240" w:lineRule="atLeast"/>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5.1</w:t>
      </w:r>
      <w:r w:rsidRPr="003B6E11">
        <w:rPr>
          <w:lang w:val="cs-CZ"/>
        </w:rPr>
        <w:tab/>
        <w:t>Všechny značky únikových cest musí být z fotoluminiscenčního materiálu nebo být označeny elektrickým osvětlením. Rozměry těchto značek a označení musí být odpovídající celému systému LLL.</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5.2</w:t>
      </w:r>
      <w:r w:rsidRPr="003B6E11">
        <w:rPr>
          <w:lang w:val="cs-CZ"/>
        </w:rPr>
        <w:tab/>
        <w:t>Únikové značky nízko umístěných osvětlení musí být umístěny u všech východů. Značky musí být umístěny v předepsaném prostoru na straně únikových dveří, kde se nachází madlo.</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 xml:space="preserve">5.3 </w:t>
      </w:r>
      <w:r w:rsidRPr="003B6E11">
        <w:rPr>
          <w:lang w:val="cs-CZ"/>
        </w:rPr>
        <w:tab/>
        <w:t>Všechny značky musí mít kontrastní barvu vzhledem k pozadí (stěny nebo podlahy), na kterém jsou umístěny.</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5.4</w:t>
      </w:r>
      <w:r w:rsidRPr="003B6E11">
        <w:rPr>
          <w:lang w:val="cs-CZ"/>
        </w:rPr>
        <w:tab/>
        <w:t>Pro systém LLL musí být použity standardizované symboly (např. symboly popsané v rozhodnutí Mezinárodní námořní organizace IMO A.760(18)).</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b/>
          <w:lang w:val="cs-CZ"/>
        </w:rPr>
      </w:pPr>
      <w:r w:rsidRPr="003B6E11">
        <w:rPr>
          <w:b/>
          <w:lang w:val="cs-CZ"/>
        </w:rPr>
        <w:t>6.</w:t>
      </w:r>
      <w:r w:rsidRPr="003B6E11">
        <w:rPr>
          <w:lang w:val="cs-CZ"/>
        </w:rPr>
        <w:tab/>
      </w:r>
      <w:r w:rsidRPr="003B6E11">
        <w:rPr>
          <w:b/>
          <w:lang w:val="cs-CZ"/>
        </w:rPr>
        <w:t>Fotoluminiscenční systémy</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6.1</w:t>
      </w:r>
      <w:r w:rsidRPr="003B6E11">
        <w:rPr>
          <w:lang w:val="cs-CZ"/>
        </w:rPr>
        <w:tab/>
        <w:t>Proužky PL musí být široké nejméně 0,075 m. Lze použít i užší proužky, pokud je jejich svítivost úměrně zvýšena tak, aby kompenzovala jejich šířku.</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6.2</w:t>
      </w:r>
      <w:r w:rsidRPr="003B6E11">
        <w:rPr>
          <w:lang w:val="cs-CZ"/>
        </w:rPr>
        <w:tab/>
        <w:t>Fotoluminiscenční materiály musí mít svítivost nejméně 15 mcd/m</w:t>
      </w:r>
      <w:r w:rsidRPr="003B6E11">
        <w:rPr>
          <w:noProof/>
          <w:vertAlign w:val="superscript"/>
          <w:lang w:val="cs-CZ"/>
        </w:rPr>
        <w:t>2</w:t>
      </w:r>
      <w:r w:rsidRPr="003B6E11">
        <w:rPr>
          <w:lang w:val="cs-CZ"/>
        </w:rPr>
        <w:t xml:space="preserve"> při měření 10 minut po odstranění všech externích zdrojů osvětlení. Poté musí mít systém nadále svítivost vyšší než 2 mcd/m</w:t>
      </w:r>
      <w:r w:rsidRPr="003B6E11">
        <w:rPr>
          <w:noProof/>
          <w:vertAlign w:val="superscript"/>
          <w:lang w:val="cs-CZ"/>
        </w:rPr>
        <w:t>2</w:t>
      </w:r>
      <w:r w:rsidRPr="003B6E11">
        <w:rPr>
          <w:lang w:val="cs-CZ"/>
        </w:rPr>
        <w:t xml:space="preserve"> po dobu 20 minut.</w:t>
      </w:r>
    </w:p>
    <w:p w:rsidR="003B6E11" w:rsidRPr="003B6E11" w:rsidRDefault="003B6E11" w:rsidP="003B6E11">
      <w:pPr>
        <w:tabs>
          <w:tab w:val="left" w:pos="567"/>
        </w:tabs>
        <w:spacing w:line="240" w:lineRule="atLeast"/>
        <w:ind w:left="567" w:hanging="567"/>
        <w:rPr>
          <w:rFonts w:cs="Arial"/>
          <w:lang w:val="cs-CZ"/>
        </w:rPr>
      </w:pPr>
      <w:r w:rsidRPr="003B6E11">
        <w:rPr>
          <w:lang w:val="cs-CZ"/>
        </w:rPr>
        <w:br w:type="page"/>
      </w:r>
    </w:p>
    <w:p w:rsidR="003B6E11" w:rsidRPr="003B6E11" w:rsidRDefault="003B6E11" w:rsidP="003B6E11">
      <w:pPr>
        <w:tabs>
          <w:tab w:val="left" w:pos="567"/>
        </w:tabs>
        <w:spacing w:line="240" w:lineRule="atLeast"/>
        <w:ind w:left="567" w:hanging="567"/>
        <w:rPr>
          <w:rFonts w:cs="Arial"/>
          <w:lang w:val="cs-CZ"/>
        </w:rPr>
      </w:pPr>
      <w:r w:rsidRPr="003B6E11">
        <w:rPr>
          <w:lang w:val="cs-CZ"/>
        </w:rPr>
        <w:t>6.3</w:t>
      </w:r>
      <w:r w:rsidRPr="003B6E11">
        <w:rPr>
          <w:lang w:val="cs-CZ"/>
        </w:rPr>
        <w:tab/>
        <w:t>Veškeré materiály pro systémy PL nesmí být vystaveny menší než minimální úrovni okolního světla nezbytné k nabití materiálu PL, aby byly splněny výše uvedené požadavky na svítivost.</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b/>
          <w:lang w:val="cs-CZ"/>
        </w:rPr>
      </w:pPr>
      <w:r w:rsidRPr="003B6E11">
        <w:rPr>
          <w:b/>
          <w:lang w:val="cs-CZ"/>
        </w:rPr>
        <w:t>7.</w:t>
      </w:r>
      <w:r w:rsidRPr="003B6E11">
        <w:rPr>
          <w:lang w:val="cs-CZ"/>
        </w:rPr>
        <w:tab/>
      </w:r>
      <w:r w:rsidRPr="003B6E11">
        <w:rPr>
          <w:b/>
          <w:lang w:val="cs-CZ"/>
        </w:rPr>
        <w:t>Elektricky napájené systémy</w:t>
      </w:r>
    </w:p>
    <w:p w:rsidR="003B6E11" w:rsidRPr="003B6E11" w:rsidRDefault="003B6E11" w:rsidP="003B6E11">
      <w:pPr>
        <w:tabs>
          <w:tab w:val="left" w:pos="567"/>
        </w:tabs>
        <w:spacing w:line="240" w:lineRule="atLeast"/>
        <w:ind w:left="567" w:hanging="567"/>
        <w:rPr>
          <w:rFonts w:cs="Arial"/>
          <w:b/>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7.1</w:t>
      </w:r>
      <w:r w:rsidRPr="003B6E11">
        <w:rPr>
          <w:lang w:val="cs-CZ"/>
        </w:rPr>
        <w:tab/>
        <w:t>Elektricky napájené systémy musí být připojeny k nouzovému rozvaděči požadovanému podle čl. 19.10 odst. 4 tak, aby byly za běžných okolností napájeny hlavním zdrojem elektrické energie a po přepnutí na nouzový zdroj elektrické energie nouzovým zdrojem energie. Pro účely dimenzování kapacity nouzového zdroje elektrické energie musí být elektricky napájené systémy uvedeny na seznamu nouzových spotřebičů.</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7.2</w:t>
      </w:r>
      <w:r w:rsidRPr="003B6E11">
        <w:rPr>
          <w:lang w:val="cs-CZ"/>
        </w:rPr>
        <w:tab/>
        <w:t>Elektricky napájené systémy se musí přepnout buď automaticky, nebo je musí být možno aktivovat jedinou operací na ovládacím stanovišti.</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7.3</w:t>
      </w:r>
      <w:r w:rsidRPr="003B6E11">
        <w:rPr>
          <w:lang w:val="cs-CZ"/>
        </w:rPr>
        <w:tab/>
        <w:t xml:space="preserve">V případě instalovaných elektricky napájených systémů platí následující normy svítivosti: </w:t>
      </w:r>
    </w:p>
    <w:p w:rsidR="003B6E11" w:rsidRPr="003B6E11" w:rsidRDefault="003B6E11" w:rsidP="003B6E11">
      <w:pPr>
        <w:tabs>
          <w:tab w:val="left" w:pos="567"/>
          <w:tab w:val="left" w:pos="992"/>
        </w:tabs>
        <w:spacing w:before="60" w:line="240" w:lineRule="atLeast"/>
        <w:ind w:left="992"/>
        <w:rPr>
          <w:rFonts w:cs="Arial"/>
          <w:lang w:val="cs-CZ"/>
        </w:rPr>
      </w:pPr>
      <w:r w:rsidRPr="003B6E11">
        <w:rPr>
          <w:lang w:val="cs-CZ"/>
        </w:rPr>
        <w:t>1.</w:t>
      </w:r>
      <w:r w:rsidRPr="003B6E11">
        <w:rPr>
          <w:lang w:val="cs-CZ"/>
        </w:rPr>
        <w:tab/>
        <w:t>aktivní součásti elektricky napájených systémů musí mít minimální hodnotu svítivosti 10 cd/m</w:t>
      </w:r>
      <w:r w:rsidRPr="003B6E11">
        <w:rPr>
          <w:noProof/>
          <w:vertAlign w:val="superscript"/>
          <w:lang w:val="cs-CZ"/>
        </w:rPr>
        <w:t>2</w:t>
      </w:r>
      <w:r w:rsidRPr="003B6E11">
        <w:rPr>
          <w:lang w:val="cs-CZ"/>
        </w:rPr>
        <w:t>;</w:t>
      </w:r>
    </w:p>
    <w:p w:rsidR="003B6E11" w:rsidRPr="003B6E11" w:rsidRDefault="003B6E11" w:rsidP="003B6E11">
      <w:pPr>
        <w:tabs>
          <w:tab w:val="left" w:pos="567"/>
          <w:tab w:val="left" w:pos="992"/>
        </w:tabs>
        <w:spacing w:before="60" w:line="240" w:lineRule="atLeast"/>
        <w:ind w:left="992"/>
        <w:rPr>
          <w:rFonts w:cs="Arial"/>
          <w:lang w:val="cs-CZ"/>
        </w:rPr>
      </w:pPr>
      <w:r w:rsidRPr="003B6E11">
        <w:rPr>
          <w:lang w:val="cs-CZ"/>
        </w:rPr>
        <w:t>2.</w:t>
      </w:r>
      <w:r w:rsidRPr="003B6E11">
        <w:rPr>
          <w:lang w:val="cs-CZ"/>
        </w:rPr>
        <w:tab/>
        <w:t>bodové zdroje miniaturních žárovek musí vyzařovat hodnotu nejméně 150 mcd střední prostorové svítivosti s mezerami maximálně 0,1 m mezi žárovkami;</w:t>
      </w:r>
    </w:p>
    <w:p w:rsidR="003B6E11" w:rsidRPr="003B6E11" w:rsidRDefault="003B6E11" w:rsidP="003B6E11">
      <w:pPr>
        <w:tabs>
          <w:tab w:val="left" w:pos="567"/>
          <w:tab w:val="left" w:pos="992"/>
        </w:tabs>
        <w:spacing w:before="60" w:line="240" w:lineRule="atLeast"/>
        <w:ind w:left="992"/>
        <w:rPr>
          <w:rFonts w:cs="Arial"/>
          <w:lang w:val="cs-CZ"/>
        </w:rPr>
      </w:pPr>
      <w:r w:rsidRPr="003B6E11">
        <w:rPr>
          <w:lang w:val="cs-CZ"/>
        </w:rPr>
        <w:t>3.</w:t>
      </w:r>
      <w:r w:rsidRPr="003B6E11">
        <w:rPr>
          <w:lang w:val="cs-CZ"/>
        </w:rPr>
        <w:tab/>
        <w:t>bodové zdroje systémů LED diod musí mít hodnotu nejvyšší svítivosti nejméně 35 mcd. Úhel kuželu při poloviční svítivosti musí být odpovídající pravděpodobným směrům dráhy přiblížení a pohledu. Mezery mezi žárovkami nesmí být větší než 0,3 m a</w:t>
      </w:r>
    </w:p>
    <w:p w:rsidR="003B6E11" w:rsidRPr="003B6E11" w:rsidRDefault="003B6E11" w:rsidP="003B6E11">
      <w:pPr>
        <w:tabs>
          <w:tab w:val="left" w:pos="567"/>
          <w:tab w:val="left" w:pos="992"/>
        </w:tabs>
        <w:spacing w:before="60" w:line="240" w:lineRule="atLeast"/>
        <w:ind w:left="992"/>
        <w:rPr>
          <w:rFonts w:cs="Arial"/>
          <w:lang w:val="cs-CZ"/>
        </w:rPr>
      </w:pPr>
      <w:r w:rsidRPr="003B6E11">
        <w:rPr>
          <w:lang w:val="cs-CZ"/>
        </w:rPr>
        <w:t>4.</w:t>
      </w:r>
      <w:r w:rsidRPr="003B6E11">
        <w:rPr>
          <w:lang w:val="cs-CZ"/>
        </w:rPr>
        <w:tab/>
        <w:t>elektroluminiscenční systémy musí fungovat po dobu 30 minut od okamžiku selhání hlavního zdroje napájení, ke kterému byl systém připojen podle požadavku bodu 7.1.</w:t>
      </w:r>
    </w:p>
    <w:p w:rsidR="003B6E11" w:rsidRPr="003B6E11" w:rsidRDefault="003B6E11" w:rsidP="003B6E11">
      <w:pPr>
        <w:tabs>
          <w:tab w:val="left" w:pos="425"/>
        </w:tabs>
        <w:spacing w:line="240" w:lineRule="atLeast"/>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7.4</w:t>
      </w:r>
      <w:r w:rsidRPr="003B6E11">
        <w:rPr>
          <w:lang w:val="cs-CZ"/>
        </w:rPr>
        <w:tab/>
        <w:t>Všechny elektricky napájené systémy musí být uspořádány tak, aby porucha jednoho světla, světelného proužku nebo baterie nezpůsobila nefunkčnost označení.</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7.5</w:t>
      </w:r>
      <w:r w:rsidRPr="003B6E11">
        <w:rPr>
          <w:lang w:val="cs-CZ"/>
        </w:rPr>
        <w:tab/>
        <w:t>Elektricky napájené systémy musí splňovat požadavky článku 10.19, pokud jde o vibrace a tepelné zkoušky. Odchylně od čl. 10.19 odst. 2 písm. c) může být tepelná zkouška prováděna při referenční okolní teplotě 40 °C.</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7.6</w:t>
      </w:r>
      <w:r w:rsidRPr="003B6E11">
        <w:rPr>
          <w:lang w:val="cs-CZ"/>
        </w:rPr>
        <w:tab/>
        <w:t>Elektricky napájené systémy musí splňovat požadavky na elektromagnetickou kompatibilitu uvedené v článku 10.20.</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7.7</w:t>
      </w:r>
      <w:r w:rsidRPr="003B6E11">
        <w:rPr>
          <w:lang w:val="cs-CZ"/>
        </w:rPr>
        <w:tab/>
        <w:t>Elektricky napájené systémy musí mít minimální krytí IP 55 v souladu s evropskou normou EN 60529:2014.</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br w:type="page"/>
      </w:r>
    </w:p>
    <w:p w:rsidR="003B6E11" w:rsidRPr="003B6E11" w:rsidRDefault="003B6E11" w:rsidP="003B6E11">
      <w:pPr>
        <w:tabs>
          <w:tab w:val="left" w:pos="567"/>
        </w:tabs>
        <w:spacing w:line="240" w:lineRule="atLeast"/>
        <w:ind w:left="567" w:hanging="567"/>
        <w:rPr>
          <w:rFonts w:cs="Arial"/>
          <w:b/>
          <w:lang w:val="cs-CZ"/>
        </w:rPr>
      </w:pPr>
      <w:r w:rsidRPr="003B6E11">
        <w:rPr>
          <w:b/>
          <w:lang w:val="cs-CZ"/>
        </w:rPr>
        <w:t>8.</w:t>
      </w:r>
      <w:r w:rsidRPr="003B6E11">
        <w:rPr>
          <w:lang w:val="cs-CZ"/>
        </w:rPr>
        <w:tab/>
      </w:r>
      <w:r w:rsidRPr="003B6E11">
        <w:rPr>
          <w:b/>
          <w:lang w:val="cs-CZ"/>
        </w:rPr>
        <w:t>Přejímací zkouška</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8.1</w:t>
      </w:r>
      <w:r w:rsidRPr="003B6E11">
        <w:rPr>
          <w:lang w:val="cs-CZ"/>
        </w:rPr>
        <w:tab/>
        <w:t>Svítivost systémů LLL musí zkontrolovat odborník</w:t>
      </w:r>
    </w:p>
    <w:p w:rsidR="003B6E11" w:rsidRPr="003B6E11" w:rsidRDefault="003B6E11" w:rsidP="003B6E11">
      <w:pPr>
        <w:tabs>
          <w:tab w:val="left" w:pos="567"/>
        </w:tabs>
        <w:spacing w:before="60" w:line="240" w:lineRule="atLeast"/>
        <w:ind w:left="992"/>
        <w:rPr>
          <w:rFonts w:cs="Arial"/>
          <w:lang w:val="cs-CZ"/>
        </w:rPr>
      </w:pPr>
      <w:r w:rsidRPr="003B6E11">
        <w:rPr>
          <w:lang w:val="cs-CZ"/>
        </w:rPr>
        <w:t>a)</w:t>
      </w:r>
      <w:r w:rsidRPr="003B6E11">
        <w:rPr>
          <w:lang w:val="cs-CZ"/>
        </w:rPr>
        <w:tab/>
        <w:t>před prvním uvedením do provozu;</w:t>
      </w:r>
    </w:p>
    <w:p w:rsidR="003B6E11" w:rsidRPr="003B6E11" w:rsidRDefault="003B6E11" w:rsidP="003B6E11">
      <w:pPr>
        <w:tabs>
          <w:tab w:val="left" w:pos="567"/>
        </w:tabs>
        <w:spacing w:before="60" w:line="240" w:lineRule="atLeast"/>
        <w:ind w:left="992"/>
        <w:rPr>
          <w:rFonts w:cs="Arial"/>
          <w:lang w:val="cs-CZ"/>
        </w:rPr>
      </w:pPr>
      <w:r w:rsidRPr="003B6E11">
        <w:rPr>
          <w:lang w:val="cs-CZ"/>
        </w:rPr>
        <w:t>b)</w:t>
      </w:r>
      <w:r w:rsidRPr="003B6E11">
        <w:rPr>
          <w:lang w:val="cs-CZ"/>
        </w:rPr>
        <w:tab/>
        <w:t>před opětovným uvedením do provozu po jakékoli závažnější úpravě nebo opravě;</w:t>
      </w:r>
    </w:p>
    <w:p w:rsidR="003B6E11" w:rsidRPr="003B6E11" w:rsidRDefault="003B6E11" w:rsidP="003B6E11">
      <w:pPr>
        <w:tabs>
          <w:tab w:val="left" w:pos="567"/>
        </w:tabs>
        <w:spacing w:before="60" w:line="240" w:lineRule="atLeast"/>
        <w:ind w:left="992"/>
        <w:rPr>
          <w:rFonts w:cs="Arial"/>
          <w:lang w:val="cs-CZ"/>
        </w:rPr>
      </w:pPr>
      <w:r w:rsidRPr="003B6E11">
        <w:rPr>
          <w:lang w:val="cs-CZ"/>
        </w:rPr>
        <w:t>c)</w:t>
      </w:r>
      <w:r w:rsidRPr="003B6E11">
        <w:rPr>
          <w:lang w:val="cs-CZ"/>
        </w:rPr>
        <w:tab/>
        <w:t>pravidelně nejméně jednou za pět let.</w:t>
      </w:r>
    </w:p>
    <w:p w:rsidR="003B6E11" w:rsidRPr="003B6E11" w:rsidRDefault="003B6E11" w:rsidP="003B6E11">
      <w:pPr>
        <w:tabs>
          <w:tab w:val="left" w:pos="567"/>
        </w:tabs>
        <w:spacing w:before="60" w:line="240" w:lineRule="atLeast"/>
        <w:ind w:left="567"/>
        <w:rPr>
          <w:rFonts w:cs="Arial"/>
          <w:lang w:val="cs-CZ"/>
        </w:rPr>
      </w:pPr>
      <w:r w:rsidRPr="003B6E11">
        <w:rPr>
          <w:lang w:val="cs-CZ"/>
        </w:rPr>
        <w:t>Kontroly uvedené v písmenu c) může rovněž provádět odborně způsobilá osoba vyškolená v oblasti bezpečnostních naváděcích systémů.</w:t>
      </w:r>
    </w:p>
    <w:p w:rsidR="003B6E11" w:rsidRPr="003B6E11" w:rsidRDefault="003B6E11" w:rsidP="003B6E11">
      <w:pPr>
        <w:tabs>
          <w:tab w:val="left" w:pos="567"/>
        </w:tabs>
        <w:spacing w:before="60"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8.2</w:t>
      </w:r>
      <w:r w:rsidRPr="003B6E11">
        <w:rPr>
          <w:lang w:val="cs-CZ"/>
        </w:rPr>
        <w:tab/>
        <w:t>Musí být vystaveno osvědčení o prohlídce podepsané odborníkem nebo odborně způsobilou osobou, na němž je uvedeno datum kontroly.</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8.3</w:t>
      </w:r>
      <w:r w:rsidRPr="003B6E11">
        <w:rPr>
          <w:lang w:val="cs-CZ"/>
        </w:rPr>
        <w:tab/>
        <w:t>Pokud po jediném měření nesplňuje hodnota svítivosti požadavky stanovené v tomto pokynu, je třeba hodnoty změřit nejméně na deseti místech při rovnoměrných vzdálenostech. V případě, že více než 30 % naměřených hodnot nesplňuje požadavky stanovené v tomto pokynu, musí být bezpečnostní naváděcí systémy vyměněny. V případě, že požadavky stanovené v tomto pokynu nesplňuje 20 až 30 % naměřených hodnot, musí se bezpečnostní naváděcí systémy do jednoho roku znovu zkontrolovat.</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sectPr w:rsidR="003B6E11" w:rsidRPr="003B6E11" w:rsidSect="00D45887">
          <w:footnotePr>
            <w:numRestart w:val="eachPage"/>
          </w:footnotePr>
          <w:pgSz w:w="11907" w:h="16840" w:code="9"/>
          <w:pgMar w:top="1418" w:right="1418" w:bottom="1418" w:left="1418" w:header="680" w:footer="680" w:gutter="0"/>
          <w:cols w:space="720"/>
          <w:docGrid w:linePitch="326"/>
        </w:sectPr>
      </w:pPr>
    </w:p>
    <w:p w:rsidR="003B6E11" w:rsidRPr="003B6E11" w:rsidRDefault="003B6E11" w:rsidP="003B6E11">
      <w:pPr>
        <w:pStyle w:val="ES-Titre2ESI"/>
        <w:rPr>
          <w:szCs w:val="20"/>
        </w:rPr>
      </w:pPr>
      <w:bookmarkStart w:id="771" w:name="_Toc491854368"/>
      <w:bookmarkStart w:id="772" w:name="_Toc535417274"/>
      <w:r w:rsidRPr="003B6E11">
        <w:t>ESI-III-5</w:t>
      </w:r>
      <w:r w:rsidRPr="003B6E11">
        <w:br/>
        <w:t>Vhodné zařízení pro varování před únikem plynu</w:t>
      </w:r>
      <w:bookmarkEnd w:id="771"/>
      <w:bookmarkEnd w:id="772"/>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jc w:val="center"/>
        <w:rPr>
          <w:b/>
          <w:lang w:val="cs-CZ"/>
        </w:rPr>
      </w:pPr>
      <w:r w:rsidRPr="003B6E11">
        <w:rPr>
          <w:b/>
          <w:noProof/>
          <w:lang w:val="cs-CZ"/>
        </w:rPr>
        <w:t>(Čl. 19.15 odst. 8)</w:t>
      </w:r>
    </w:p>
    <w:p w:rsidR="003B6E11" w:rsidRPr="003B6E11" w:rsidRDefault="003B6E11" w:rsidP="003B6E11">
      <w:pPr>
        <w:overflowPunct w:val="0"/>
        <w:adjustRightInd w:val="0"/>
        <w:rPr>
          <w:lang w:val="cs-CZ"/>
        </w:rPr>
      </w:pPr>
    </w:p>
    <w:p w:rsidR="003B6E11" w:rsidRPr="003B6E11" w:rsidRDefault="003B6E11" w:rsidP="003B6E11">
      <w:pPr>
        <w:tabs>
          <w:tab w:val="left" w:pos="709"/>
        </w:tabs>
        <w:overflowPunct w:val="0"/>
        <w:adjustRightInd w:val="0"/>
        <w:spacing w:line="240" w:lineRule="atLeast"/>
        <w:ind w:left="709" w:hanging="709"/>
        <w:rPr>
          <w:lang w:val="cs-CZ"/>
        </w:rPr>
      </w:pPr>
      <w:r w:rsidRPr="003B6E11">
        <w:rPr>
          <w:lang w:val="cs-CZ"/>
        </w:rPr>
        <w:t>1.</w:t>
      </w:r>
      <w:r w:rsidRPr="003B6E11">
        <w:rPr>
          <w:lang w:val="cs-CZ"/>
        </w:rPr>
        <w:tab/>
        <w:t>V souladu s čl. 32.02 odst. 2 a 32.05 odst. 5 (v obou případech přechodná ustanovení k čl. 19.01 odst. 2 písm. e)) mohou být zařízení na zkapalněný plyn pro domácí účely na stávajících osobních lodích provozována do prvního obnovení osvědčení plavidla vnitrozemské plavby po 1. lednu 2045 pouze za předpokladu, že je k dispozici zařízení pro varování před únikem plynu podle čl. 19.15 odst. 8. Podle čl. 19.15 odst. 9 mohou být zařízení na zkapalněný plyn pro domácí účely v budoucnu rovněž instalována na osobní lodě, které jsou poprvé uváděny do provozu a jejichž délka nepřesahuje 45 m, pokud bude současně instalováno i zařízení pro varování před únikem plynu.</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2.</w:t>
      </w:r>
      <w:r w:rsidRPr="003B6E11">
        <w:rPr>
          <w:lang w:val="cs-CZ"/>
        </w:rPr>
        <w:tab/>
        <w:t>Podle čl. 32.02 odst. 2 a čl. 32.05 odst. 5 (v obou případech přechodná ustanovení k čl. 19.15 odst. 8) musí být toto zařízení pro varování před únikem plynu nainstalováno do prvního obnovení osvědčení v souladu s článkem 17.15.</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3.</w:t>
      </w:r>
      <w:r w:rsidRPr="003B6E11">
        <w:rPr>
          <w:lang w:val="cs-CZ"/>
        </w:rPr>
        <w:tab/>
        <w:t>Zařízení pro varování před únikem plynu se skládá ze snímačů, zařízení a trubek a považuje se za dostatečné, pokud splňuje alespoň následující předepsané požadavky:</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3.1</w:t>
      </w:r>
      <w:r w:rsidRPr="003B6E11">
        <w:rPr>
          <w:lang w:val="cs-CZ"/>
        </w:rPr>
        <w:tab/>
        <w:t>Požadavky na systém (snímače, zařízení, trubky):</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noProof/>
          <w:snapToGrid w:val="0"/>
          <w:lang w:val="cs-CZ"/>
        </w:rPr>
      </w:pPr>
      <w:r w:rsidRPr="003B6E11">
        <w:rPr>
          <w:lang w:val="cs-CZ"/>
        </w:rPr>
        <w:t>3.1.1</w:t>
      </w:r>
      <w:r w:rsidRPr="003B6E11">
        <w:rPr>
          <w:lang w:val="cs-CZ"/>
        </w:rPr>
        <w:tab/>
        <w:t>Varování před únikem plynu se musí spustit nejpozději při dosažení nebo překročení jedné z následujících hodnot:</w:t>
      </w:r>
    </w:p>
    <w:p w:rsidR="003B6E11" w:rsidRPr="003B6E11" w:rsidRDefault="003B6E11" w:rsidP="003B6E11">
      <w:pPr>
        <w:tabs>
          <w:tab w:val="left" w:pos="1134"/>
        </w:tabs>
        <w:overflowPunct w:val="0"/>
        <w:adjustRightInd w:val="0"/>
        <w:spacing w:before="60" w:line="240" w:lineRule="atLeast"/>
        <w:ind w:left="1134"/>
        <w:rPr>
          <w:noProof/>
          <w:snapToGrid w:val="0"/>
          <w:lang w:val="cs-CZ"/>
        </w:rPr>
      </w:pPr>
      <w:r w:rsidRPr="003B6E11">
        <w:rPr>
          <w:lang w:val="cs-CZ"/>
        </w:rPr>
        <w:t>a)</w:t>
      </w:r>
      <w:r w:rsidRPr="003B6E11">
        <w:rPr>
          <w:lang w:val="cs-CZ"/>
        </w:rPr>
        <w:tab/>
        <w:t>10 % spodní meze výbušnosti (LEL) směsi propanu se vzduchem a</w:t>
      </w:r>
    </w:p>
    <w:p w:rsidR="003B6E11" w:rsidRPr="003B6E11" w:rsidRDefault="003B6E11" w:rsidP="003B6E11">
      <w:pPr>
        <w:tabs>
          <w:tab w:val="left" w:pos="1134"/>
        </w:tabs>
        <w:overflowPunct w:val="0"/>
        <w:adjustRightInd w:val="0"/>
        <w:spacing w:before="60" w:line="240" w:lineRule="atLeast"/>
        <w:ind w:left="1134"/>
        <w:rPr>
          <w:noProof/>
          <w:snapToGrid w:val="0"/>
          <w:lang w:val="cs-CZ"/>
        </w:rPr>
      </w:pPr>
      <w:r w:rsidRPr="003B6E11">
        <w:rPr>
          <w:lang w:val="cs-CZ"/>
        </w:rPr>
        <w:t>b)</w:t>
      </w:r>
      <w:r w:rsidRPr="003B6E11">
        <w:rPr>
          <w:lang w:val="cs-CZ"/>
        </w:rPr>
        <w:tab/>
        <w:t>30 ppm CO (oxid uhelnatý).</w:t>
      </w:r>
    </w:p>
    <w:p w:rsidR="003B6E11" w:rsidRPr="003B6E11" w:rsidRDefault="003B6E11" w:rsidP="003B6E11">
      <w:pPr>
        <w:tabs>
          <w:tab w:val="left" w:pos="709"/>
        </w:tabs>
        <w:overflowPunct w:val="0"/>
        <w:adjustRightInd w:val="0"/>
        <w:spacing w:line="240" w:lineRule="atLeast"/>
        <w:ind w:left="709" w:hanging="709"/>
        <w:rPr>
          <w:noProof/>
          <w:snapToGrid w:val="0"/>
          <w:lang w:val="cs-CZ"/>
        </w:rPr>
      </w:pPr>
    </w:p>
    <w:p w:rsidR="003B6E11" w:rsidRPr="003B6E11" w:rsidRDefault="003B6E11" w:rsidP="003B6E11">
      <w:pPr>
        <w:overflowPunct w:val="0"/>
        <w:adjustRightInd w:val="0"/>
        <w:ind w:left="709" w:hanging="709"/>
        <w:rPr>
          <w:rFonts w:cs="Arial"/>
          <w:szCs w:val="20"/>
          <w:lang w:val="cs-CZ"/>
        </w:rPr>
      </w:pPr>
      <w:r w:rsidRPr="003B6E11">
        <w:rPr>
          <w:lang w:val="cs-CZ"/>
        </w:rPr>
        <w:t>3.1.2</w:t>
      </w:r>
      <w:r w:rsidRPr="003B6E11">
        <w:rPr>
          <w:lang w:val="cs-CZ"/>
        </w:rPr>
        <w:tab/>
        <w:t>Doba do aktivace poplachu v celém systému nesmí být delší než 20 s.</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3.1.3</w:t>
      </w:r>
      <w:r w:rsidRPr="003B6E11">
        <w:rPr>
          <w:lang w:val="cs-CZ"/>
        </w:rPr>
        <w:tab/>
        <w:t>Mezní hodnoty uvedené v bodech 3.1.1 a 3.1.2 nesmí být možné změnit.</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3.1.4</w:t>
      </w:r>
      <w:r w:rsidRPr="003B6E11">
        <w:rPr>
          <w:lang w:val="cs-CZ"/>
        </w:rPr>
        <w:tab/>
        <w:t>Produkce zkušebního plynu musí být navržena tak, aby bylo detekováno jakékoli přerušení nebo ucpání. Je třeba zamezit jakýmkoli zkreslením způsobeným přívodem vzduchu nebo ztrátou zkušebního plynu v důsledku úniku nebo je nutné taková zkreslení odhalit a nahlásit je.</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3.1.5</w:t>
      </w:r>
      <w:r w:rsidRPr="003B6E11">
        <w:rPr>
          <w:lang w:val="cs-CZ"/>
        </w:rPr>
        <w:tab/>
        <w:t>Zařízení musí být zkonstruováno pro teploty v rozmezí –10 až 40 °C a pro vlhkost vzduchu v rozmezí 20 až 100 %.</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3.1.6</w:t>
      </w:r>
      <w:r w:rsidRPr="003B6E11">
        <w:rPr>
          <w:lang w:val="cs-CZ"/>
        </w:rPr>
        <w:tab/>
        <w:t>Zařízení pro varování před únikem plynu musí být schopno kontrolovat samo sebe. Zařízení nesmí být možné neoprávněně vypnout.</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3.1.7</w:t>
      </w:r>
      <w:r w:rsidRPr="003B6E11">
        <w:rPr>
          <w:lang w:val="cs-CZ"/>
        </w:rPr>
        <w:tab/>
        <w:t>Zařízení pro varování před únikem plynu napájené z palubního zdroje napájení musí být zajištěno proti výpadku napájení. Baterií napájené přístroje musí být vybaveny výstražným zařízením signalizujícím snížení napětí baterie.</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br w:type="page"/>
      </w: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3.2</w:t>
      </w:r>
      <w:r w:rsidRPr="003B6E11">
        <w:rPr>
          <w:lang w:val="cs-CZ"/>
        </w:rPr>
        <w:tab/>
        <w:t>Požadavky na zařízení:</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3.2.1</w:t>
      </w:r>
      <w:r w:rsidRPr="003B6E11">
        <w:rPr>
          <w:lang w:val="cs-CZ"/>
        </w:rPr>
        <w:tab/>
        <w:t>Zařízení se musí skládat z vyhodnocovací a zobrazovací jednotky.</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3.2.2</w:t>
      </w:r>
      <w:r w:rsidRPr="003B6E11">
        <w:rPr>
          <w:lang w:val="cs-CZ"/>
        </w:rPr>
        <w:tab/>
        <w:t>Poplach upozorňující na dosažení nebo překročení mezních hodnot uvedených v bodě 3.1.1 písm. a) a b) musí být signalizován opticky a akusticky, a to jak v monitorované místnosti, tak i v kormidelně nebo na jakémkoli jiném místě trvale osazeném posádkou. Musí být zřetelně viditelný a slyšitelný i za provozních podmínek, při nichž dochází k největšímu hluku. Musí být jednoznačně rozeznatelný od jiných akustických a optických signálů v místnosti, která má být chráněna. Akustický poplach musí být zřetelně slyšitelný i při zavřených spojovacích dveřích u vstupních prostorů a v sousedících místnostech.</w:t>
      </w: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ab/>
        <w:t xml:space="preserve">Akustický poplach smí být po aktivaci vypnut, nicméně optický poplach smí být zrušen až poté, kdy mezní hodnoty klesnou pod hodnoty uvedené v bodě 3.1.1. </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noProof/>
          <w:snapToGrid w:val="0"/>
          <w:lang w:val="cs-CZ"/>
        </w:rPr>
      </w:pPr>
      <w:r w:rsidRPr="003B6E11">
        <w:rPr>
          <w:lang w:val="cs-CZ"/>
        </w:rPr>
        <w:t>3.2.3</w:t>
      </w:r>
      <w:r w:rsidRPr="003B6E11">
        <w:rPr>
          <w:lang w:val="cs-CZ"/>
        </w:rPr>
        <w:tab/>
        <w:t>Musí být možné samostatně detekovat a zřetelně přiřadit zprávy označující dosažení nebo překročení mezních hodnot uvedených v bodě 3.1.1 písm. a) a b).</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3.2.4</w:t>
      </w:r>
      <w:r w:rsidRPr="003B6E11">
        <w:rPr>
          <w:lang w:val="cs-CZ"/>
        </w:rPr>
        <w:tab/>
        <w:t>Pokud je přístroj ve zvláštním stavu (spouštění, porucha, kalibrace, parametrizace, údržba atd.), musí to být signalizováno. Porucha celého systému nebo jedné z jeho součástí musí být signalizována poplachem obdobným jako v bodě 3.2.2. Akustický poplach smí být po aktivaci vypnut, nicméně optický poplach smí být zrušen až po odstranění poruchy.</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3.2.5</w:t>
      </w:r>
      <w:r w:rsidRPr="003B6E11">
        <w:rPr>
          <w:lang w:val="cs-CZ"/>
        </w:rPr>
        <w:tab/>
        <w:t>Pokud lze vydávat různé zprávy (mezní hodnoty, zvláštní stav), musí být i jednotlivě rozlišitelné a jednoznačně přiřaditelné. V případě potřeby se zobrazí hromadný signál, který upozorní, že není možné vydávat všechny zprávy. V takovém případě budou zprávy vydávány v pořadí podle priority, počínaje zprávami s nejvyšší důležitostí z hlediska bezpečnosti. Zprávy, které nelze vydat, musí být zobrazitelné stiskem tlačítka. Pořadí priorit musí být zjevné z dokumentace přístroje.</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noProof/>
          <w:snapToGrid w:val="0"/>
          <w:lang w:val="cs-CZ"/>
        </w:rPr>
      </w:pPr>
      <w:r w:rsidRPr="003B6E11">
        <w:rPr>
          <w:lang w:val="cs-CZ"/>
        </w:rPr>
        <w:t>3.2.6</w:t>
      </w:r>
      <w:r w:rsidRPr="003B6E11">
        <w:rPr>
          <w:lang w:val="cs-CZ"/>
        </w:rPr>
        <w:tab/>
        <w:t>Zařízení musí být konstruováno tak, aby neumožňovalo neoprávněné zásahy.</w:t>
      </w:r>
    </w:p>
    <w:p w:rsidR="003B6E11" w:rsidRPr="003B6E11" w:rsidRDefault="003B6E11" w:rsidP="003B6E11">
      <w:pPr>
        <w:tabs>
          <w:tab w:val="left" w:pos="709"/>
        </w:tabs>
        <w:overflowPunct w:val="0"/>
        <w:adjustRightInd w:val="0"/>
        <w:spacing w:line="240" w:lineRule="atLeast"/>
        <w:ind w:left="709" w:hanging="709"/>
        <w:rPr>
          <w:noProof/>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3.2.7</w:t>
      </w:r>
      <w:r w:rsidRPr="003B6E11">
        <w:rPr>
          <w:lang w:val="cs-CZ"/>
        </w:rPr>
        <w:tab/>
        <w:t>Ve všech případech použití detekčního a poplašného zařízení musí být řídicí jednotka poplachu a signalizační zařízení obsluhovatelné z místa situovaného mimo prostory obsahující zařízení pro skladování plynu a spotřebiče.</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3.3</w:t>
      </w:r>
      <w:r w:rsidRPr="003B6E11">
        <w:rPr>
          <w:lang w:val="cs-CZ"/>
        </w:rPr>
        <w:tab/>
        <w:t>Požadavky na snímače / odběrová zařízení:</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3.3.1</w:t>
      </w:r>
      <w:r w:rsidRPr="003B6E11">
        <w:rPr>
          <w:lang w:val="cs-CZ"/>
        </w:rPr>
        <w:tab/>
        <w:t>V každé místnosti se spotřebiči se musí v jejich blízkosti nacházet snímače zařízení pro varování před únikem plynu. Snímače / odběrová zařízení musí být nainstalovány tak, aby bylo hromadění plynu detekováno ještě před dosažením mezních hodnot uvedených v bodě 3.1.1. Uspořádání a instalace snímačů se musí zdokumentovat. Výběr umístění závisí na výrobci nebo na specializované firmě instalující zařízení. Trubky odběrového zařízení by měly být co nejkratší.</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3.3.2</w:t>
      </w:r>
      <w:r w:rsidRPr="003B6E11">
        <w:rPr>
          <w:lang w:val="cs-CZ"/>
        </w:rPr>
        <w:tab/>
        <w:t>Snímače musí být snadno přístupné, aby se mohly provádět pravidelné kalibrace, údržba a bezpečnostní kontroly.</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3.4</w:t>
      </w:r>
      <w:r w:rsidRPr="003B6E11">
        <w:rPr>
          <w:lang w:val="cs-CZ"/>
        </w:rPr>
        <w:tab/>
        <w:t>Požadavky na instalaci:</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3.4.1</w:t>
      </w:r>
      <w:r w:rsidRPr="003B6E11">
        <w:rPr>
          <w:lang w:val="cs-CZ"/>
        </w:rPr>
        <w:tab/>
        <w:t>Instalaci celého zařízení pro varování před únikem plynu musí provést specializovaná firma.</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br w:type="page"/>
      </w:r>
    </w:p>
    <w:p w:rsidR="003B6E11" w:rsidRPr="003B6E11" w:rsidRDefault="003B6E11" w:rsidP="003B6E11">
      <w:pPr>
        <w:tabs>
          <w:tab w:val="left" w:pos="709"/>
        </w:tabs>
        <w:overflowPunct w:val="0"/>
        <w:adjustRightInd w:val="0"/>
        <w:spacing w:line="240" w:lineRule="atLeast"/>
        <w:ind w:left="709" w:hanging="709"/>
        <w:rPr>
          <w:noProof/>
          <w:snapToGrid w:val="0"/>
          <w:lang w:val="cs-CZ"/>
        </w:rPr>
      </w:pPr>
      <w:r w:rsidRPr="003B6E11">
        <w:rPr>
          <w:lang w:val="cs-CZ"/>
        </w:rPr>
        <w:t>3.4.2</w:t>
      </w:r>
      <w:r w:rsidRPr="003B6E11">
        <w:rPr>
          <w:lang w:val="cs-CZ"/>
        </w:rPr>
        <w:tab/>
        <w:t>Při účely instalace musí být zohledněny tyto aspekty:</w:t>
      </w:r>
    </w:p>
    <w:p w:rsidR="003B6E11" w:rsidRPr="003B6E11" w:rsidRDefault="003B6E11" w:rsidP="003B6E11">
      <w:pPr>
        <w:tabs>
          <w:tab w:val="left" w:pos="1134"/>
        </w:tabs>
        <w:overflowPunct w:val="0"/>
        <w:adjustRightInd w:val="0"/>
        <w:spacing w:before="60" w:line="240" w:lineRule="atLeast"/>
        <w:ind w:left="1134"/>
        <w:rPr>
          <w:noProof/>
          <w:snapToGrid w:val="0"/>
          <w:lang w:val="cs-CZ"/>
        </w:rPr>
      </w:pPr>
      <w:r w:rsidRPr="003B6E11">
        <w:rPr>
          <w:lang w:val="cs-CZ"/>
        </w:rPr>
        <w:t>a)</w:t>
      </w:r>
      <w:r w:rsidRPr="003B6E11">
        <w:rPr>
          <w:lang w:val="cs-CZ"/>
        </w:rPr>
        <w:tab/>
        <w:t>místní ventilační systémy;</w:t>
      </w:r>
    </w:p>
    <w:p w:rsidR="003B6E11" w:rsidRPr="003B6E11" w:rsidRDefault="003B6E11" w:rsidP="003B6E11">
      <w:pPr>
        <w:tabs>
          <w:tab w:val="left" w:pos="1134"/>
        </w:tabs>
        <w:overflowPunct w:val="0"/>
        <w:adjustRightInd w:val="0"/>
        <w:spacing w:before="60" w:line="240" w:lineRule="atLeast"/>
        <w:ind w:left="1134"/>
        <w:rPr>
          <w:noProof/>
          <w:snapToGrid w:val="0"/>
          <w:lang w:val="cs-CZ"/>
        </w:rPr>
      </w:pPr>
      <w:r w:rsidRPr="003B6E11">
        <w:rPr>
          <w:lang w:val="cs-CZ"/>
        </w:rPr>
        <w:t>b)</w:t>
      </w:r>
      <w:r w:rsidRPr="003B6E11">
        <w:rPr>
          <w:lang w:val="cs-CZ"/>
        </w:rPr>
        <w:tab/>
        <w:t>konstrukční uspořádání (uspořádání stěn, dělicích stěn atd.) usnadňující nebo ztěžující hromadění plynů a</w:t>
      </w:r>
    </w:p>
    <w:p w:rsidR="003B6E11" w:rsidRPr="003B6E11" w:rsidRDefault="003B6E11" w:rsidP="003B6E11">
      <w:pPr>
        <w:tabs>
          <w:tab w:val="left" w:pos="1134"/>
        </w:tabs>
        <w:overflowPunct w:val="0"/>
        <w:adjustRightInd w:val="0"/>
        <w:spacing w:before="60" w:line="240" w:lineRule="atLeast"/>
        <w:ind w:left="1134"/>
        <w:rPr>
          <w:noProof/>
          <w:snapToGrid w:val="0"/>
          <w:lang w:val="cs-CZ"/>
        </w:rPr>
      </w:pPr>
      <w:r w:rsidRPr="003B6E11">
        <w:rPr>
          <w:lang w:val="cs-CZ"/>
        </w:rPr>
        <w:t>c)</w:t>
      </w:r>
      <w:r w:rsidRPr="003B6E11">
        <w:rPr>
          <w:lang w:val="cs-CZ"/>
        </w:rPr>
        <w:tab/>
        <w:t>prevence nepříznivých účinků způsobených mechanickým poškozením a poškozením vodou nebo teplem.</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3.4.3</w:t>
      </w:r>
      <w:r w:rsidRPr="003B6E11">
        <w:rPr>
          <w:lang w:val="cs-CZ"/>
        </w:rPr>
        <w:tab/>
        <w:t>Všechny trubky odběrového zařízení musí být uspořádány tak, aby se nemohl vytvářet kondenzát.</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3.4.4</w:t>
      </w:r>
      <w:r w:rsidRPr="003B6E11">
        <w:rPr>
          <w:lang w:val="cs-CZ"/>
        </w:rPr>
        <w:tab/>
        <w:t>Instalace musí být provedena tak, aby neumožňovala neoprávněné zásahy.</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4.</w:t>
      </w:r>
      <w:r w:rsidRPr="003B6E11">
        <w:rPr>
          <w:lang w:val="cs-CZ"/>
        </w:rPr>
        <w:tab/>
        <w:t>Kalibrace a kontrola detektorů úniku plynu, výměna součástí s omezenou životností</w:t>
      </w:r>
    </w:p>
    <w:p w:rsidR="003B6E11" w:rsidRPr="003B6E11" w:rsidRDefault="003B6E11" w:rsidP="003B6E11">
      <w:pPr>
        <w:overflowPunct w:val="0"/>
        <w:adjustRightInd w:val="0"/>
        <w:spacing w:line="240" w:lineRule="atLeast"/>
        <w:rPr>
          <w:b/>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4.1</w:t>
      </w:r>
      <w:r w:rsidRPr="003B6E11">
        <w:rPr>
          <w:lang w:val="cs-CZ"/>
        </w:rPr>
        <w:tab/>
        <w:t>Detektory úniku plynu musí být kalibrovány a kontrolovány odborníkem nebo odborně způsobilou osobou podle pokynů výrobce:</w:t>
      </w:r>
    </w:p>
    <w:p w:rsidR="003B6E11" w:rsidRPr="003B6E11" w:rsidRDefault="003B6E11" w:rsidP="003B6E11">
      <w:pPr>
        <w:tabs>
          <w:tab w:val="left" w:pos="1134"/>
        </w:tabs>
        <w:overflowPunct w:val="0"/>
        <w:adjustRightInd w:val="0"/>
        <w:spacing w:before="60" w:line="240" w:lineRule="atLeast"/>
        <w:ind w:left="1134"/>
        <w:rPr>
          <w:noProof/>
          <w:snapToGrid w:val="0"/>
          <w:lang w:val="cs-CZ"/>
        </w:rPr>
      </w:pPr>
      <w:r w:rsidRPr="003B6E11">
        <w:rPr>
          <w:lang w:val="cs-CZ"/>
        </w:rPr>
        <w:t>a)</w:t>
      </w:r>
      <w:r w:rsidRPr="003B6E11">
        <w:rPr>
          <w:lang w:val="cs-CZ"/>
        </w:rPr>
        <w:tab/>
        <w:t>před prvním uvedením do provozu;</w:t>
      </w:r>
    </w:p>
    <w:p w:rsidR="003B6E11" w:rsidRPr="003B6E11" w:rsidRDefault="003B6E11" w:rsidP="003B6E11">
      <w:pPr>
        <w:tabs>
          <w:tab w:val="left" w:pos="1134"/>
        </w:tabs>
        <w:overflowPunct w:val="0"/>
        <w:adjustRightInd w:val="0"/>
        <w:spacing w:before="60" w:line="240" w:lineRule="atLeast"/>
        <w:ind w:left="1134"/>
        <w:rPr>
          <w:noProof/>
          <w:snapToGrid w:val="0"/>
          <w:lang w:val="cs-CZ"/>
        </w:rPr>
      </w:pPr>
      <w:r w:rsidRPr="003B6E11">
        <w:rPr>
          <w:lang w:val="cs-CZ"/>
        </w:rPr>
        <w:t>b)</w:t>
      </w:r>
      <w:r w:rsidRPr="003B6E11">
        <w:rPr>
          <w:lang w:val="cs-CZ"/>
        </w:rPr>
        <w:tab/>
        <w:t>před opětovným uvedením do provozu po jakékoli závažnější úpravě nebo opravě;</w:t>
      </w:r>
    </w:p>
    <w:p w:rsidR="003B6E11" w:rsidRPr="003B6E11" w:rsidRDefault="003B6E11" w:rsidP="003B6E11">
      <w:pPr>
        <w:tabs>
          <w:tab w:val="left" w:pos="1134"/>
        </w:tabs>
        <w:overflowPunct w:val="0"/>
        <w:adjustRightInd w:val="0"/>
        <w:spacing w:before="60" w:line="240" w:lineRule="atLeast"/>
        <w:ind w:left="1134"/>
        <w:rPr>
          <w:noProof/>
          <w:snapToGrid w:val="0"/>
          <w:lang w:val="cs-CZ"/>
        </w:rPr>
      </w:pPr>
      <w:r w:rsidRPr="003B6E11">
        <w:rPr>
          <w:lang w:val="cs-CZ"/>
        </w:rPr>
        <w:t>c)</w:t>
      </w:r>
      <w:r w:rsidRPr="003B6E11">
        <w:rPr>
          <w:lang w:val="cs-CZ"/>
        </w:rPr>
        <w:tab/>
        <w:t>pravidelně.</w:t>
      </w:r>
    </w:p>
    <w:p w:rsidR="003B6E11" w:rsidRPr="003B6E11" w:rsidRDefault="003B6E11" w:rsidP="003B6E11">
      <w:pPr>
        <w:tabs>
          <w:tab w:val="left" w:pos="1134"/>
        </w:tabs>
        <w:overflowPunct w:val="0"/>
        <w:adjustRightInd w:val="0"/>
        <w:spacing w:before="60" w:line="240" w:lineRule="atLeast"/>
        <w:ind w:left="709"/>
        <w:rPr>
          <w:noProof/>
          <w:snapToGrid w:val="0"/>
          <w:lang w:val="cs-CZ"/>
        </w:rPr>
      </w:pPr>
      <w:r w:rsidRPr="003B6E11">
        <w:rPr>
          <w:lang w:val="cs-CZ"/>
        </w:rPr>
        <w:t>Musí být vystaveno osvědčení o prohlídce a kalibraci podepsané odborníkem nebo odborně způsobilou osobou, na němž je uvedeno datum kontroly.</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4.2</w:t>
      </w:r>
      <w:r w:rsidRPr="003B6E11">
        <w:rPr>
          <w:lang w:val="cs-CZ"/>
        </w:rPr>
        <w:tab/>
        <w:t>Součásti zařízení pro varování před únikem plynu, které mají omezenou životnost, musí být vyměněny před skončením jejich stanovené provozní životnosti.</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5</w:t>
      </w:r>
      <w:r w:rsidRPr="003B6E11">
        <w:rPr>
          <w:lang w:val="cs-CZ"/>
        </w:rPr>
        <w:tab/>
        <w:t>Označení</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noProof/>
          <w:snapToGrid w:val="0"/>
          <w:lang w:val="cs-CZ"/>
        </w:rPr>
      </w:pPr>
      <w:r w:rsidRPr="003B6E11">
        <w:rPr>
          <w:lang w:val="cs-CZ"/>
        </w:rPr>
        <w:t>5.1</w:t>
      </w:r>
      <w:r w:rsidRPr="003B6E11">
        <w:rPr>
          <w:lang w:val="cs-CZ"/>
        </w:rPr>
        <w:tab/>
        <w:t>Na všech přístrojích musí být v dobře čitelné a nesmazatelné podobě uvedeny alespoň tyto údaje:</w:t>
      </w:r>
    </w:p>
    <w:p w:rsidR="003B6E11" w:rsidRPr="003B6E11" w:rsidRDefault="003B6E11" w:rsidP="003B6E11">
      <w:pPr>
        <w:tabs>
          <w:tab w:val="left" w:pos="1134"/>
        </w:tabs>
        <w:overflowPunct w:val="0"/>
        <w:adjustRightInd w:val="0"/>
        <w:spacing w:before="60" w:line="240" w:lineRule="atLeast"/>
        <w:ind w:left="1134"/>
        <w:rPr>
          <w:noProof/>
          <w:snapToGrid w:val="0"/>
          <w:lang w:val="cs-CZ"/>
        </w:rPr>
      </w:pPr>
      <w:r w:rsidRPr="003B6E11">
        <w:rPr>
          <w:lang w:val="cs-CZ"/>
        </w:rPr>
        <w:t>a)</w:t>
      </w:r>
      <w:r w:rsidRPr="003B6E11">
        <w:rPr>
          <w:lang w:val="cs-CZ"/>
        </w:rPr>
        <w:tab/>
        <w:t>název a adresa výrobce;</w:t>
      </w:r>
    </w:p>
    <w:p w:rsidR="003B6E11" w:rsidRPr="003B6E11" w:rsidRDefault="003B6E11" w:rsidP="003B6E11">
      <w:pPr>
        <w:tabs>
          <w:tab w:val="left" w:pos="1134"/>
        </w:tabs>
        <w:overflowPunct w:val="0"/>
        <w:adjustRightInd w:val="0"/>
        <w:spacing w:before="60" w:line="240" w:lineRule="atLeast"/>
        <w:ind w:left="1134"/>
        <w:rPr>
          <w:noProof/>
          <w:snapToGrid w:val="0"/>
          <w:lang w:val="cs-CZ"/>
        </w:rPr>
      </w:pPr>
      <w:r w:rsidRPr="003B6E11">
        <w:rPr>
          <w:lang w:val="cs-CZ"/>
        </w:rPr>
        <w:t>b)</w:t>
      </w:r>
      <w:r w:rsidRPr="003B6E11">
        <w:rPr>
          <w:lang w:val="cs-CZ"/>
        </w:rPr>
        <w:tab/>
        <w:t>zákonné označení;</w:t>
      </w:r>
    </w:p>
    <w:p w:rsidR="003B6E11" w:rsidRPr="003B6E11" w:rsidRDefault="003B6E11" w:rsidP="003B6E11">
      <w:pPr>
        <w:tabs>
          <w:tab w:val="left" w:pos="1134"/>
        </w:tabs>
        <w:overflowPunct w:val="0"/>
        <w:adjustRightInd w:val="0"/>
        <w:spacing w:before="60" w:line="240" w:lineRule="atLeast"/>
        <w:ind w:left="1134"/>
        <w:rPr>
          <w:noProof/>
          <w:snapToGrid w:val="0"/>
          <w:lang w:val="cs-CZ"/>
        </w:rPr>
      </w:pPr>
      <w:r w:rsidRPr="003B6E11">
        <w:rPr>
          <w:lang w:val="cs-CZ"/>
        </w:rPr>
        <w:t>c)</w:t>
      </w:r>
      <w:r w:rsidRPr="003B6E11">
        <w:rPr>
          <w:lang w:val="cs-CZ"/>
        </w:rPr>
        <w:tab/>
        <w:t>označení série a typu;</w:t>
      </w:r>
    </w:p>
    <w:p w:rsidR="003B6E11" w:rsidRPr="003B6E11" w:rsidRDefault="003B6E11" w:rsidP="003B6E11">
      <w:pPr>
        <w:tabs>
          <w:tab w:val="left" w:pos="1134"/>
        </w:tabs>
        <w:overflowPunct w:val="0"/>
        <w:adjustRightInd w:val="0"/>
        <w:spacing w:before="60" w:line="240" w:lineRule="atLeast"/>
        <w:ind w:left="1134"/>
        <w:rPr>
          <w:noProof/>
          <w:snapToGrid w:val="0"/>
          <w:lang w:val="cs-CZ"/>
        </w:rPr>
      </w:pPr>
      <w:r w:rsidRPr="003B6E11">
        <w:rPr>
          <w:lang w:val="cs-CZ"/>
        </w:rPr>
        <w:t>d)</w:t>
      </w:r>
      <w:r w:rsidRPr="003B6E11">
        <w:rPr>
          <w:lang w:val="cs-CZ"/>
        </w:rPr>
        <w:tab/>
        <w:t>sériové číslo, je-li to možné;</w:t>
      </w:r>
    </w:p>
    <w:p w:rsidR="003B6E11" w:rsidRPr="003B6E11" w:rsidRDefault="003B6E11" w:rsidP="003B6E11">
      <w:pPr>
        <w:tabs>
          <w:tab w:val="left" w:pos="1134"/>
        </w:tabs>
        <w:overflowPunct w:val="0"/>
        <w:adjustRightInd w:val="0"/>
        <w:spacing w:before="60" w:line="240" w:lineRule="atLeast"/>
        <w:ind w:left="1134"/>
        <w:rPr>
          <w:noProof/>
          <w:snapToGrid w:val="0"/>
          <w:lang w:val="cs-CZ"/>
        </w:rPr>
      </w:pPr>
      <w:r w:rsidRPr="003B6E11">
        <w:rPr>
          <w:lang w:val="cs-CZ"/>
        </w:rPr>
        <w:t>e)</w:t>
      </w:r>
      <w:r w:rsidRPr="003B6E11">
        <w:rPr>
          <w:lang w:val="cs-CZ"/>
        </w:rPr>
        <w:tab/>
        <w:t>v případě potřeby rady nezbytné pro bezpečné použití a</w:t>
      </w:r>
    </w:p>
    <w:p w:rsidR="003B6E11" w:rsidRPr="003B6E11" w:rsidRDefault="003B6E11" w:rsidP="003B6E11">
      <w:pPr>
        <w:tabs>
          <w:tab w:val="left" w:pos="1134"/>
        </w:tabs>
        <w:overflowPunct w:val="0"/>
        <w:adjustRightInd w:val="0"/>
        <w:spacing w:before="60" w:line="240" w:lineRule="atLeast"/>
        <w:ind w:left="1134"/>
        <w:rPr>
          <w:noProof/>
          <w:snapToGrid w:val="0"/>
          <w:lang w:val="cs-CZ"/>
        </w:rPr>
      </w:pPr>
      <w:r w:rsidRPr="003B6E11">
        <w:rPr>
          <w:lang w:val="cs-CZ"/>
        </w:rPr>
        <w:t>f)</w:t>
      </w:r>
      <w:r w:rsidRPr="003B6E11">
        <w:rPr>
          <w:lang w:val="cs-CZ"/>
        </w:rPr>
        <w:tab/>
        <w:t>u každého snímače označení kalibračního plynu.</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5.2</w:t>
      </w:r>
      <w:r w:rsidRPr="003B6E11">
        <w:rPr>
          <w:lang w:val="cs-CZ"/>
        </w:rPr>
        <w:tab/>
        <w:t>Součásti zařízení pro varování před únikem plynu, které mají omezenou životnost, musí být jako takové jasně označeny.</w:t>
      </w:r>
    </w:p>
    <w:p w:rsidR="003B6E11" w:rsidRPr="003B6E11" w:rsidRDefault="003B6E11" w:rsidP="003B6E11">
      <w:pPr>
        <w:tabs>
          <w:tab w:val="left" w:pos="709"/>
        </w:tabs>
        <w:overflowPunct w:val="0"/>
        <w:adjustRightInd w:val="0"/>
        <w:spacing w:line="240" w:lineRule="atLeast"/>
        <w:ind w:left="709" w:hanging="709"/>
        <w:rPr>
          <w:snapToGrid w:val="0"/>
          <w:lang w:val="cs-CZ"/>
        </w:rPr>
      </w:pP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br w:type="page"/>
      </w:r>
    </w:p>
    <w:p w:rsidR="003B6E11" w:rsidRPr="003B6E11" w:rsidRDefault="003B6E11" w:rsidP="003B6E11">
      <w:pPr>
        <w:tabs>
          <w:tab w:val="left" w:pos="709"/>
        </w:tabs>
        <w:overflowPunct w:val="0"/>
        <w:adjustRightInd w:val="0"/>
        <w:spacing w:line="240" w:lineRule="atLeast"/>
        <w:ind w:left="709" w:hanging="709"/>
        <w:rPr>
          <w:snapToGrid w:val="0"/>
          <w:lang w:val="cs-CZ"/>
        </w:rPr>
      </w:pPr>
      <w:r w:rsidRPr="003B6E11">
        <w:rPr>
          <w:lang w:val="cs-CZ"/>
        </w:rPr>
        <w:t>6.</w:t>
      </w:r>
      <w:r w:rsidRPr="003B6E11">
        <w:rPr>
          <w:lang w:val="cs-CZ"/>
        </w:rPr>
        <w:tab/>
        <w:t>Pokyny výrobce týkající se zařízení pro varování před únikem plynu:</w:t>
      </w:r>
    </w:p>
    <w:p w:rsidR="003B6E11" w:rsidRPr="003B6E11" w:rsidRDefault="003B6E11" w:rsidP="003B6E11">
      <w:pPr>
        <w:tabs>
          <w:tab w:val="left" w:pos="1134"/>
        </w:tabs>
        <w:overflowPunct w:val="0"/>
        <w:adjustRightInd w:val="0"/>
        <w:spacing w:before="60" w:line="240" w:lineRule="atLeast"/>
        <w:ind w:left="1134"/>
        <w:rPr>
          <w:noProof/>
          <w:snapToGrid w:val="0"/>
          <w:lang w:val="cs-CZ"/>
        </w:rPr>
      </w:pPr>
      <w:r w:rsidRPr="003B6E11">
        <w:rPr>
          <w:lang w:val="cs-CZ"/>
        </w:rPr>
        <w:t>a)</w:t>
      </w:r>
      <w:r w:rsidRPr="003B6E11">
        <w:rPr>
          <w:lang w:val="cs-CZ"/>
        </w:rPr>
        <w:tab/>
        <w:t>kompletní pokyny, nákresy a schémata týkající se bezpečnosti a správného provozu, jakož i instalace, spuštění a údržby zařízení pro varování před únikem plynu;</w:t>
      </w:r>
    </w:p>
    <w:p w:rsidR="003B6E11" w:rsidRPr="003B6E11" w:rsidRDefault="003B6E11" w:rsidP="003B6E11">
      <w:pPr>
        <w:tabs>
          <w:tab w:val="left" w:pos="1134"/>
        </w:tabs>
        <w:overflowPunct w:val="0"/>
        <w:adjustRightInd w:val="0"/>
        <w:spacing w:before="60" w:line="240" w:lineRule="atLeast"/>
        <w:ind w:left="1134"/>
        <w:rPr>
          <w:noProof/>
          <w:snapToGrid w:val="0"/>
          <w:lang w:val="cs-CZ"/>
        </w:rPr>
      </w:pPr>
      <w:r w:rsidRPr="003B6E11">
        <w:rPr>
          <w:lang w:val="cs-CZ"/>
        </w:rPr>
        <w:t>b)</w:t>
      </w:r>
      <w:r w:rsidRPr="003B6E11">
        <w:rPr>
          <w:lang w:val="cs-CZ"/>
        </w:rPr>
        <w:tab/>
        <w:t>provozní pokyny obsahující alespoň:</w:t>
      </w:r>
    </w:p>
    <w:p w:rsidR="003B6E11" w:rsidRPr="003B6E11" w:rsidRDefault="003B6E11" w:rsidP="003B6E11">
      <w:pPr>
        <w:tabs>
          <w:tab w:val="left" w:pos="1134"/>
        </w:tabs>
        <w:overflowPunct w:val="0"/>
        <w:adjustRightInd w:val="0"/>
        <w:spacing w:before="60" w:line="240" w:lineRule="atLeast"/>
        <w:ind w:left="1559"/>
        <w:rPr>
          <w:noProof/>
          <w:snapToGrid w:val="0"/>
          <w:lang w:val="cs-CZ"/>
        </w:rPr>
      </w:pPr>
      <w:r w:rsidRPr="003B6E11">
        <w:rPr>
          <w:lang w:val="cs-CZ"/>
        </w:rPr>
        <w:t>aa)</w:t>
      </w:r>
      <w:r w:rsidRPr="003B6E11">
        <w:rPr>
          <w:lang w:val="cs-CZ"/>
        </w:rPr>
        <w:tab/>
        <w:t>opatření, která je třeba učinit při signalizaci poplachu nebo chyby;</w:t>
      </w:r>
    </w:p>
    <w:p w:rsidR="003B6E11" w:rsidRPr="003B6E11" w:rsidRDefault="003B6E11" w:rsidP="003B6E11">
      <w:pPr>
        <w:tabs>
          <w:tab w:val="left" w:pos="1134"/>
        </w:tabs>
        <w:overflowPunct w:val="0"/>
        <w:adjustRightInd w:val="0"/>
        <w:spacing w:before="60" w:line="240" w:lineRule="atLeast"/>
        <w:ind w:left="1559"/>
        <w:rPr>
          <w:noProof/>
          <w:snapToGrid w:val="0"/>
          <w:lang w:val="cs-CZ"/>
        </w:rPr>
      </w:pPr>
      <w:r w:rsidRPr="003B6E11">
        <w:rPr>
          <w:lang w:val="cs-CZ"/>
        </w:rPr>
        <w:t>bb)</w:t>
      </w:r>
      <w:r w:rsidRPr="003B6E11">
        <w:rPr>
          <w:lang w:val="cs-CZ"/>
        </w:rPr>
        <w:tab/>
        <w:t>bezpečnostní opatření pro případ nedostupnosti (např. kalibrace, kontrola, přerušení) a</w:t>
      </w:r>
    </w:p>
    <w:p w:rsidR="003B6E11" w:rsidRPr="003B6E11" w:rsidRDefault="003B6E11" w:rsidP="003B6E11">
      <w:pPr>
        <w:tabs>
          <w:tab w:val="left" w:pos="1134"/>
        </w:tabs>
        <w:overflowPunct w:val="0"/>
        <w:adjustRightInd w:val="0"/>
        <w:spacing w:before="60" w:line="240" w:lineRule="atLeast"/>
        <w:ind w:left="1559"/>
        <w:rPr>
          <w:noProof/>
          <w:snapToGrid w:val="0"/>
          <w:lang w:val="cs-CZ"/>
        </w:rPr>
      </w:pPr>
      <w:r w:rsidRPr="003B6E11">
        <w:rPr>
          <w:lang w:val="cs-CZ"/>
        </w:rPr>
        <w:t>cc)</w:t>
      </w:r>
      <w:r w:rsidRPr="003B6E11">
        <w:rPr>
          <w:lang w:val="cs-CZ"/>
        </w:rPr>
        <w:tab/>
        <w:t>osoby odpovědné za instalaci a údržbu;</w:t>
      </w:r>
    </w:p>
    <w:p w:rsidR="003B6E11" w:rsidRPr="003B6E11" w:rsidRDefault="003B6E11" w:rsidP="003B6E11">
      <w:pPr>
        <w:tabs>
          <w:tab w:val="left" w:pos="1134"/>
        </w:tabs>
        <w:overflowPunct w:val="0"/>
        <w:adjustRightInd w:val="0"/>
        <w:spacing w:before="60" w:line="240" w:lineRule="atLeast"/>
        <w:ind w:left="1134"/>
        <w:rPr>
          <w:noProof/>
          <w:snapToGrid w:val="0"/>
          <w:lang w:val="cs-CZ"/>
        </w:rPr>
      </w:pPr>
      <w:r w:rsidRPr="003B6E11">
        <w:rPr>
          <w:lang w:val="cs-CZ"/>
        </w:rPr>
        <w:t>c)</w:t>
      </w:r>
      <w:r w:rsidRPr="003B6E11">
        <w:rPr>
          <w:lang w:val="cs-CZ"/>
        </w:rPr>
        <w:tab/>
        <w:t>pokyny pro kalibraci před spuštěním a pro běžnou kalibraci včetně předepsaných časových intervalů;</w:t>
      </w:r>
    </w:p>
    <w:p w:rsidR="003B6E11" w:rsidRPr="003B6E11" w:rsidRDefault="003B6E11" w:rsidP="003B6E11">
      <w:pPr>
        <w:tabs>
          <w:tab w:val="left" w:pos="1134"/>
        </w:tabs>
        <w:overflowPunct w:val="0"/>
        <w:adjustRightInd w:val="0"/>
        <w:spacing w:before="60" w:line="240" w:lineRule="atLeast"/>
        <w:ind w:left="1134"/>
        <w:rPr>
          <w:noProof/>
          <w:snapToGrid w:val="0"/>
          <w:lang w:val="cs-CZ"/>
        </w:rPr>
      </w:pPr>
      <w:r w:rsidRPr="003B6E11">
        <w:rPr>
          <w:lang w:val="cs-CZ"/>
        </w:rPr>
        <w:t>d)</w:t>
      </w:r>
      <w:r w:rsidRPr="003B6E11">
        <w:rPr>
          <w:lang w:val="cs-CZ"/>
        </w:rPr>
        <w:tab/>
        <w:t>napájecí napětí;</w:t>
      </w:r>
    </w:p>
    <w:p w:rsidR="003B6E11" w:rsidRPr="003B6E11" w:rsidRDefault="003B6E11" w:rsidP="003B6E11">
      <w:pPr>
        <w:tabs>
          <w:tab w:val="left" w:pos="1134"/>
        </w:tabs>
        <w:overflowPunct w:val="0"/>
        <w:adjustRightInd w:val="0"/>
        <w:spacing w:before="60" w:line="240" w:lineRule="atLeast"/>
        <w:ind w:left="1134"/>
        <w:rPr>
          <w:noProof/>
          <w:snapToGrid w:val="0"/>
          <w:lang w:val="cs-CZ"/>
        </w:rPr>
      </w:pPr>
      <w:r w:rsidRPr="003B6E11">
        <w:rPr>
          <w:lang w:val="cs-CZ"/>
        </w:rPr>
        <w:t>e)</w:t>
      </w:r>
      <w:r w:rsidRPr="003B6E11">
        <w:rPr>
          <w:lang w:val="cs-CZ"/>
        </w:rPr>
        <w:tab/>
        <w:t>typ a význam poplachů a zobrazení (např. zvláštní stav);</w:t>
      </w:r>
    </w:p>
    <w:p w:rsidR="003B6E11" w:rsidRPr="003B6E11" w:rsidRDefault="003B6E11" w:rsidP="003B6E11">
      <w:pPr>
        <w:tabs>
          <w:tab w:val="left" w:pos="1134"/>
        </w:tabs>
        <w:overflowPunct w:val="0"/>
        <w:adjustRightInd w:val="0"/>
        <w:spacing w:before="60" w:line="240" w:lineRule="atLeast"/>
        <w:ind w:left="1134"/>
        <w:rPr>
          <w:noProof/>
          <w:snapToGrid w:val="0"/>
          <w:lang w:val="cs-CZ"/>
        </w:rPr>
      </w:pPr>
      <w:r w:rsidRPr="003B6E11">
        <w:rPr>
          <w:lang w:val="cs-CZ"/>
        </w:rPr>
        <w:t>f)</w:t>
      </w:r>
      <w:r w:rsidRPr="003B6E11">
        <w:rPr>
          <w:lang w:val="cs-CZ"/>
        </w:rPr>
        <w:tab/>
        <w:t>informace o detekci provozních problémů a o odstraňování závad;</w:t>
      </w:r>
    </w:p>
    <w:p w:rsidR="003B6E11" w:rsidRPr="003B6E11" w:rsidRDefault="003B6E11" w:rsidP="003B6E11">
      <w:pPr>
        <w:tabs>
          <w:tab w:val="left" w:pos="1134"/>
        </w:tabs>
        <w:overflowPunct w:val="0"/>
        <w:adjustRightInd w:val="0"/>
        <w:spacing w:before="60" w:line="240" w:lineRule="atLeast"/>
        <w:ind w:left="1134"/>
        <w:rPr>
          <w:noProof/>
          <w:snapToGrid w:val="0"/>
          <w:lang w:val="cs-CZ"/>
        </w:rPr>
      </w:pPr>
      <w:r w:rsidRPr="003B6E11">
        <w:rPr>
          <w:lang w:val="cs-CZ"/>
        </w:rPr>
        <w:t>g)</w:t>
      </w:r>
      <w:r w:rsidRPr="003B6E11">
        <w:rPr>
          <w:lang w:val="cs-CZ"/>
        </w:rPr>
        <w:tab/>
        <w:t>typ a rozsah výměny součástí s omezenou životností a</w:t>
      </w:r>
    </w:p>
    <w:p w:rsidR="003B6E11" w:rsidRPr="003B6E11" w:rsidRDefault="003B6E11" w:rsidP="003B6E11">
      <w:pPr>
        <w:tabs>
          <w:tab w:val="left" w:pos="1134"/>
        </w:tabs>
        <w:overflowPunct w:val="0"/>
        <w:adjustRightInd w:val="0"/>
        <w:spacing w:before="60" w:line="240" w:lineRule="atLeast"/>
        <w:ind w:left="1134"/>
        <w:rPr>
          <w:noProof/>
          <w:snapToGrid w:val="0"/>
          <w:lang w:val="cs-CZ"/>
        </w:rPr>
      </w:pPr>
      <w:r w:rsidRPr="003B6E11">
        <w:rPr>
          <w:lang w:val="cs-CZ"/>
        </w:rPr>
        <w:t>h)</w:t>
      </w:r>
      <w:r w:rsidRPr="003B6E11">
        <w:rPr>
          <w:lang w:val="cs-CZ"/>
        </w:rPr>
        <w:tab/>
        <w:t>typ, zaměření a časový interval kontrol.</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sectPr w:rsidR="003B6E11" w:rsidRPr="003B6E11" w:rsidSect="00D45887">
          <w:footnotePr>
            <w:numRestart w:val="eachPage"/>
          </w:footnotePr>
          <w:pgSz w:w="11907" w:h="16840" w:code="9"/>
          <w:pgMar w:top="1418" w:right="1418" w:bottom="1418" w:left="1418" w:header="680" w:footer="680" w:gutter="0"/>
          <w:cols w:space="720"/>
          <w:docGrid w:linePitch="326"/>
        </w:sectPr>
      </w:pPr>
    </w:p>
    <w:p w:rsidR="003B6E11" w:rsidRPr="003B6E11" w:rsidRDefault="003B6E11" w:rsidP="003B6E11">
      <w:pPr>
        <w:pStyle w:val="ES-Titre2ESI"/>
        <w:rPr>
          <w:szCs w:val="20"/>
        </w:rPr>
      </w:pPr>
      <w:bookmarkStart w:id="773" w:name="_Toc491854369"/>
      <w:bookmarkStart w:id="774" w:name="_Toc535417275"/>
      <w:r w:rsidRPr="003B6E11">
        <w:t>ESI-III-6</w:t>
      </w:r>
      <w:r w:rsidRPr="003B6E11">
        <w:br/>
        <w:t>Spojovací (spřahovací) systémy a spřahovací zařízení pro plavidlo vhodné k pohonu nebo pro poháněné plavidlo v pevně svázané sestavě</w:t>
      </w:r>
      <w:bookmarkEnd w:id="773"/>
      <w:bookmarkEnd w:id="774"/>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jc w:val="center"/>
        <w:textAlignment w:val="baseline"/>
        <w:rPr>
          <w:b/>
          <w:szCs w:val="20"/>
          <w:lang w:val="cs-CZ"/>
        </w:rPr>
      </w:pPr>
      <w:r w:rsidRPr="003B6E11">
        <w:rPr>
          <w:b/>
          <w:lang w:val="cs-CZ"/>
        </w:rPr>
        <w:t>(Články 21.01, 21.02, 21.06, 21.07)</w:t>
      </w:r>
    </w:p>
    <w:p w:rsidR="003B6E11" w:rsidRPr="003B6E11" w:rsidRDefault="003B6E11" w:rsidP="003B6E11">
      <w:pPr>
        <w:overflowPunct w:val="0"/>
        <w:adjustRightInd w:val="0"/>
        <w:jc w:val="center"/>
        <w:textAlignment w:val="baseline"/>
        <w:rPr>
          <w:szCs w:val="20"/>
          <w:lang w:val="cs-CZ"/>
        </w:rPr>
      </w:pPr>
    </w:p>
    <w:p w:rsidR="003B6E11" w:rsidRPr="003B6E11" w:rsidRDefault="003B6E11" w:rsidP="003B6E11">
      <w:pPr>
        <w:overflowPunct w:val="0"/>
        <w:adjustRightInd w:val="0"/>
        <w:textAlignment w:val="baseline"/>
        <w:rPr>
          <w:szCs w:val="20"/>
          <w:lang w:val="cs-CZ"/>
        </w:rPr>
      </w:pPr>
      <w:r w:rsidRPr="003B6E11">
        <w:rPr>
          <w:lang w:val="cs-CZ"/>
        </w:rPr>
        <w:t>Kromě požadavků kapitoly 21 musí být dodržena i příslušná ustanovení předpisů plavebních orgánů platných v členských státech.</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tabs>
          <w:tab w:val="left" w:pos="709"/>
        </w:tabs>
        <w:overflowPunct w:val="0"/>
        <w:adjustRightInd w:val="0"/>
        <w:ind w:left="709" w:hanging="709"/>
        <w:textAlignment w:val="baseline"/>
        <w:rPr>
          <w:b/>
          <w:szCs w:val="20"/>
          <w:lang w:val="cs-CZ"/>
        </w:rPr>
      </w:pPr>
      <w:r w:rsidRPr="003B6E11">
        <w:rPr>
          <w:b/>
          <w:lang w:val="cs-CZ"/>
        </w:rPr>
        <w:t>1.</w:t>
      </w:r>
      <w:r w:rsidRPr="003B6E11">
        <w:rPr>
          <w:lang w:val="cs-CZ"/>
        </w:rPr>
        <w:tab/>
      </w:r>
      <w:r w:rsidRPr="003B6E11">
        <w:rPr>
          <w:b/>
          <w:lang w:val="cs-CZ"/>
        </w:rPr>
        <w:t>Obecné požadavky</w:t>
      </w:r>
    </w:p>
    <w:p w:rsidR="003B6E11" w:rsidRPr="003B6E11" w:rsidRDefault="003B6E11" w:rsidP="003B6E11">
      <w:pPr>
        <w:tabs>
          <w:tab w:val="left" w:pos="709"/>
        </w:tabs>
        <w:overflowPunct w:val="0"/>
        <w:adjustRightInd w:val="0"/>
        <w:ind w:left="709" w:hanging="709"/>
        <w:textAlignment w:val="baseline"/>
        <w:rPr>
          <w:szCs w:val="20"/>
          <w:lang w:val="cs-CZ"/>
        </w:rPr>
      </w:pPr>
    </w:p>
    <w:p w:rsidR="003B6E11" w:rsidRPr="003B6E11" w:rsidRDefault="003B6E11" w:rsidP="003B6E11">
      <w:pPr>
        <w:tabs>
          <w:tab w:val="left" w:pos="709"/>
        </w:tabs>
        <w:overflowPunct w:val="0"/>
        <w:adjustRightInd w:val="0"/>
        <w:ind w:left="709" w:hanging="709"/>
        <w:textAlignment w:val="baseline"/>
        <w:rPr>
          <w:szCs w:val="20"/>
          <w:lang w:val="cs-CZ"/>
        </w:rPr>
      </w:pPr>
      <w:r w:rsidRPr="003B6E11">
        <w:rPr>
          <w:lang w:val="cs-CZ"/>
        </w:rPr>
        <w:t>1.1</w:t>
      </w:r>
      <w:r w:rsidRPr="003B6E11">
        <w:rPr>
          <w:lang w:val="cs-CZ"/>
        </w:rPr>
        <w:tab/>
        <w:t>Každý spojovací (spřahovací) systém musí zaručovat pevné spojení všech plavidel v sestavě, tj. při předpokládaných provozních podmínkách musí spřahovací zařízení zamezit podélnému nebo příčnému pohybu mezi loděmi tak, aby sestava byla považována za „lodní jednotku“.</w:t>
      </w:r>
    </w:p>
    <w:p w:rsidR="003B6E11" w:rsidRPr="003B6E11" w:rsidRDefault="003B6E11" w:rsidP="003B6E11">
      <w:pPr>
        <w:tabs>
          <w:tab w:val="left" w:pos="709"/>
        </w:tabs>
        <w:overflowPunct w:val="0"/>
        <w:adjustRightInd w:val="0"/>
        <w:ind w:left="709" w:hanging="709"/>
        <w:textAlignment w:val="baseline"/>
        <w:rPr>
          <w:szCs w:val="20"/>
          <w:lang w:val="cs-CZ"/>
        </w:rPr>
      </w:pPr>
    </w:p>
    <w:p w:rsidR="003B6E11" w:rsidRPr="003B6E11" w:rsidRDefault="003B6E11" w:rsidP="003B6E11">
      <w:pPr>
        <w:tabs>
          <w:tab w:val="left" w:pos="709"/>
        </w:tabs>
        <w:overflowPunct w:val="0"/>
        <w:adjustRightInd w:val="0"/>
        <w:ind w:left="709" w:hanging="709"/>
        <w:textAlignment w:val="baseline"/>
        <w:rPr>
          <w:szCs w:val="20"/>
          <w:lang w:val="cs-CZ"/>
        </w:rPr>
      </w:pPr>
      <w:r w:rsidRPr="003B6E11">
        <w:rPr>
          <w:lang w:val="cs-CZ"/>
        </w:rPr>
        <w:t>1.2</w:t>
      </w:r>
      <w:r w:rsidRPr="003B6E11">
        <w:rPr>
          <w:lang w:val="cs-CZ"/>
        </w:rPr>
        <w:tab/>
        <w:t>Spřahovací systém a jeho součásti musí být bezpečné a snadno použitelné, aby umožňovaly rychlé zapojení plavidla bez ohrožení osob.</w:t>
      </w:r>
    </w:p>
    <w:p w:rsidR="003B6E11" w:rsidRPr="003B6E11" w:rsidRDefault="003B6E11" w:rsidP="003B6E11">
      <w:pPr>
        <w:tabs>
          <w:tab w:val="left" w:pos="709"/>
        </w:tabs>
        <w:overflowPunct w:val="0"/>
        <w:adjustRightInd w:val="0"/>
        <w:ind w:left="709" w:hanging="709"/>
        <w:textAlignment w:val="baseline"/>
        <w:rPr>
          <w:szCs w:val="20"/>
          <w:lang w:val="cs-CZ"/>
        </w:rPr>
      </w:pPr>
    </w:p>
    <w:p w:rsidR="003B6E11" w:rsidRPr="003B6E11" w:rsidRDefault="003B6E11" w:rsidP="003B6E11">
      <w:pPr>
        <w:tabs>
          <w:tab w:val="left" w:pos="709"/>
        </w:tabs>
        <w:overflowPunct w:val="0"/>
        <w:adjustRightInd w:val="0"/>
        <w:ind w:left="709" w:hanging="709"/>
        <w:textAlignment w:val="baseline"/>
        <w:rPr>
          <w:szCs w:val="20"/>
          <w:lang w:val="cs-CZ"/>
        </w:rPr>
      </w:pPr>
      <w:r w:rsidRPr="003B6E11">
        <w:rPr>
          <w:lang w:val="cs-CZ"/>
        </w:rPr>
        <w:t>1.3</w:t>
      </w:r>
      <w:r w:rsidRPr="003B6E11">
        <w:rPr>
          <w:lang w:val="cs-CZ"/>
        </w:rPr>
        <w:tab/>
        <w:t>Síly vznikající při předpokládaných provozních podmínkách musí být spřahovacím systémem a jeho součástmi řádně zachyceny a bezpečně přenášeny do konstrukce lodi.</w:t>
      </w:r>
    </w:p>
    <w:p w:rsidR="003B6E11" w:rsidRPr="003B6E11" w:rsidRDefault="003B6E11" w:rsidP="003B6E11">
      <w:pPr>
        <w:tabs>
          <w:tab w:val="left" w:pos="709"/>
        </w:tabs>
        <w:overflowPunct w:val="0"/>
        <w:adjustRightInd w:val="0"/>
        <w:ind w:left="709" w:hanging="709"/>
        <w:textAlignment w:val="baseline"/>
        <w:rPr>
          <w:szCs w:val="20"/>
          <w:lang w:val="cs-CZ"/>
        </w:rPr>
      </w:pPr>
    </w:p>
    <w:p w:rsidR="003B6E11" w:rsidRPr="003B6E11" w:rsidRDefault="003B6E11" w:rsidP="003B6E11">
      <w:pPr>
        <w:tabs>
          <w:tab w:val="left" w:pos="709"/>
        </w:tabs>
        <w:overflowPunct w:val="0"/>
        <w:adjustRightInd w:val="0"/>
        <w:ind w:left="709" w:hanging="709"/>
        <w:textAlignment w:val="baseline"/>
        <w:rPr>
          <w:szCs w:val="20"/>
          <w:lang w:val="cs-CZ"/>
        </w:rPr>
      </w:pPr>
      <w:r w:rsidRPr="003B6E11">
        <w:rPr>
          <w:lang w:val="cs-CZ"/>
        </w:rPr>
        <w:t>1.4</w:t>
      </w:r>
      <w:r w:rsidRPr="003B6E11">
        <w:rPr>
          <w:lang w:val="cs-CZ"/>
        </w:rPr>
        <w:tab/>
        <w:t>Musí být dispozici dostatečný počet spojovacích bodů.</w:t>
      </w:r>
    </w:p>
    <w:p w:rsidR="003B6E11" w:rsidRPr="003B6E11" w:rsidRDefault="003B6E11" w:rsidP="003B6E11">
      <w:pPr>
        <w:tabs>
          <w:tab w:val="left" w:pos="709"/>
        </w:tabs>
        <w:overflowPunct w:val="0"/>
        <w:adjustRightInd w:val="0"/>
        <w:ind w:left="709" w:hanging="709"/>
        <w:textAlignment w:val="baseline"/>
        <w:rPr>
          <w:szCs w:val="20"/>
          <w:lang w:val="cs-CZ"/>
        </w:rPr>
      </w:pPr>
    </w:p>
    <w:p w:rsidR="003B6E11" w:rsidRPr="003B6E11" w:rsidRDefault="003B6E11" w:rsidP="003B6E11">
      <w:pPr>
        <w:tabs>
          <w:tab w:val="left" w:pos="709"/>
        </w:tabs>
        <w:overflowPunct w:val="0"/>
        <w:adjustRightInd w:val="0"/>
        <w:ind w:left="709" w:hanging="709"/>
        <w:textAlignment w:val="baseline"/>
        <w:rPr>
          <w:b/>
          <w:szCs w:val="20"/>
          <w:lang w:val="cs-CZ"/>
        </w:rPr>
      </w:pPr>
      <w:r w:rsidRPr="003B6E11">
        <w:rPr>
          <w:b/>
          <w:lang w:val="cs-CZ"/>
        </w:rPr>
        <w:t>2.</w:t>
      </w:r>
      <w:r w:rsidRPr="003B6E11">
        <w:rPr>
          <w:lang w:val="cs-CZ"/>
        </w:rPr>
        <w:tab/>
      </w:r>
      <w:r w:rsidRPr="003B6E11">
        <w:rPr>
          <w:b/>
          <w:lang w:val="cs-CZ"/>
        </w:rPr>
        <w:t>Spojovací síly a dimenzování spřahovacích zařízení</w:t>
      </w:r>
    </w:p>
    <w:p w:rsidR="003B6E11" w:rsidRPr="003B6E11" w:rsidRDefault="003B6E11" w:rsidP="003B6E11">
      <w:pPr>
        <w:tabs>
          <w:tab w:val="left" w:pos="709"/>
        </w:tabs>
        <w:overflowPunct w:val="0"/>
        <w:adjustRightInd w:val="0"/>
        <w:ind w:left="709" w:hanging="709"/>
        <w:textAlignment w:val="baseline"/>
        <w:rPr>
          <w:szCs w:val="20"/>
          <w:lang w:val="cs-CZ"/>
        </w:rPr>
      </w:pPr>
    </w:p>
    <w:p w:rsidR="003B6E11" w:rsidRPr="003B6E11" w:rsidRDefault="003B6E11" w:rsidP="003B6E11">
      <w:pPr>
        <w:tabs>
          <w:tab w:val="left" w:pos="709"/>
        </w:tabs>
        <w:overflowPunct w:val="0"/>
        <w:adjustRightInd w:val="0"/>
        <w:ind w:left="709" w:hanging="709"/>
        <w:textAlignment w:val="baseline"/>
        <w:rPr>
          <w:szCs w:val="20"/>
          <w:lang w:val="cs-CZ"/>
        </w:rPr>
      </w:pPr>
      <w:r w:rsidRPr="003B6E11">
        <w:rPr>
          <w:lang w:val="cs-CZ"/>
        </w:rPr>
        <w:tab/>
        <w:t>Spřahovací zařízení sestav lodí určená ke schválení musí být dimenzována tak, aby zaručovala dostatečné úrovně bezpečnosti. Tato podmínka se považuje za splněnou, jestliže se jako pevnost v tahu pro dimenzování podélných spojovacích součástí použijí spojovací síly stanovené podle bodů 2.1, 2.2 nebo 2.3.</w:t>
      </w:r>
    </w:p>
    <w:p w:rsidR="003B6E11" w:rsidRPr="003B6E11" w:rsidRDefault="003B6E11" w:rsidP="003B6E11">
      <w:pPr>
        <w:tabs>
          <w:tab w:val="left" w:pos="709"/>
        </w:tabs>
        <w:overflowPunct w:val="0"/>
        <w:adjustRightInd w:val="0"/>
        <w:ind w:left="709" w:hanging="709"/>
        <w:textAlignment w:val="baseline"/>
        <w:rPr>
          <w:szCs w:val="20"/>
          <w:lang w:val="cs-CZ"/>
        </w:rPr>
      </w:pPr>
    </w:p>
    <w:p w:rsidR="003B6E11" w:rsidRPr="003B6E11" w:rsidRDefault="003B6E11" w:rsidP="003B6E11">
      <w:pPr>
        <w:tabs>
          <w:tab w:val="left" w:pos="709"/>
        </w:tabs>
        <w:overflowPunct w:val="0"/>
        <w:adjustRightInd w:val="0"/>
        <w:ind w:left="709" w:hanging="709"/>
        <w:textAlignment w:val="baseline"/>
        <w:rPr>
          <w:szCs w:val="20"/>
          <w:lang w:val="cs-CZ"/>
        </w:rPr>
      </w:pPr>
      <w:r w:rsidRPr="003B6E11">
        <w:rPr>
          <w:lang w:val="cs-CZ"/>
        </w:rPr>
        <w:t>2.1</w:t>
      </w:r>
      <w:r w:rsidRPr="003B6E11">
        <w:rPr>
          <w:lang w:val="cs-CZ"/>
        </w:rPr>
        <w:tab/>
        <w:t>Spojovací body mezi tlačným remorkérem a tlačenými čluny nebo jiným plavidlem:</w:t>
      </w:r>
    </w:p>
    <w:p w:rsidR="003B6E11" w:rsidRPr="003B6E11" w:rsidRDefault="003B6E11" w:rsidP="003B6E11">
      <w:pPr>
        <w:tabs>
          <w:tab w:val="left" w:pos="709"/>
        </w:tabs>
        <w:overflowPunct w:val="0"/>
        <w:adjustRightInd w:val="0"/>
        <w:ind w:left="709" w:hanging="709"/>
        <w:textAlignment w:val="baseline"/>
        <w:rPr>
          <w:szCs w:val="20"/>
          <w:lang w:val="cs-CZ"/>
        </w:rPr>
      </w:pPr>
    </w:p>
    <w:p w:rsidR="003B6E11" w:rsidRPr="003B6E11" w:rsidRDefault="002D015D" w:rsidP="003B6E11">
      <w:pPr>
        <w:tabs>
          <w:tab w:val="left" w:pos="709"/>
        </w:tabs>
        <w:overflowPunct w:val="0"/>
        <w:adjustRightInd w:val="0"/>
        <w:ind w:left="709" w:hanging="709"/>
        <w:textAlignment w:val="baseline"/>
        <w:rPr>
          <w:szCs w:val="20"/>
          <w:lang w:val="cs-CZ"/>
        </w:rPr>
      </w:pPr>
      <m:oMathPara>
        <m:oMath>
          <m:sSub>
            <m:sSubPr>
              <m:ctrlPr>
                <w:rPr>
                  <w:rFonts w:ascii="Cambria Math" w:hAnsi="Cambria Math"/>
                  <w:i/>
                  <w:szCs w:val="20"/>
                  <w:lang w:val="cs-CZ"/>
                </w:rPr>
              </m:ctrlPr>
            </m:sSubPr>
            <m:e>
              <m:r>
                <w:rPr>
                  <w:rFonts w:ascii="Cambria Math" w:hAnsi="Cambria Math"/>
                  <w:szCs w:val="20"/>
                  <w:lang w:val="cs-CZ"/>
                </w:rPr>
                <m:t>F</m:t>
              </m:r>
            </m:e>
            <m:sub>
              <m:r>
                <w:rPr>
                  <w:rFonts w:ascii="Cambria Math" w:hAnsi="Cambria Math"/>
                  <w:szCs w:val="20"/>
                  <w:lang w:val="cs-CZ"/>
                </w:rPr>
                <m:t>SB</m:t>
              </m:r>
            </m:sub>
          </m:sSub>
          <m:r>
            <w:rPr>
              <w:rFonts w:ascii="Cambria Math" w:hAnsi="Cambria Math"/>
              <w:szCs w:val="20"/>
              <w:lang w:val="cs-CZ"/>
            </w:rPr>
            <m:t xml:space="preserve">=270∙ </m:t>
          </m:r>
          <m:sSub>
            <m:sSubPr>
              <m:ctrlPr>
                <w:rPr>
                  <w:rFonts w:ascii="Cambria Math" w:hAnsi="Cambria Math"/>
                  <w:i/>
                  <w:szCs w:val="20"/>
                  <w:lang w:val="cs-CZ"/>
                </w:rPr>
              </m:ctrlPr>
            </m:sSubPr>
            <m:e>
              <m:r>
                <w:rPr>
                  <w:rFonts w:ascii="Cambria Math" w:hAnsi="Cambria Math"/>
                  <w:szCs w:val="20"/>
                  <w:lang w:val="cs-CZ"/>
                </w:rPr>
                <m:t>P</m:t>
              </m:r>
            </m:e>
            <m:sub>
              <m:r>
                <w:rPr>
                  <w:rFonts w:ascii="Cambria Math" w:hAnsi="Cambria Math"/>
                  <w:szCs w:val="20"/>
                  <w:lang w:val="cs-CZ"/>
                </w:rPr>
                <m:t>B</m:t>
              </m:r>
            </m:sub>
          </m:sSub>
          <m:r>
            <w:rPr>
              <w:rFonts w:ascii="Cambria Math" w:hAnsi="Cambria Math"/>
              <w:szCs w:val="20"/>
              <w:lang w:val="cs-CZ"/>
            </w:rPr>
            <m:t xml:space="preserve"> ∙ </m:t>
          </m:r>
          <m:f>
            <m:fPr>
              <m:ctrlPr>
                <w:rPr>
                  <w:rFonts w:ascii="Cambria Math" w:hAnsi="Cambria Math"/>
                  <w:i/>
                  <w:szCs w:val="20"/>
                  <w:lang w:val="cs-CZ"/>
                </w:rPr>
              </m:ctrlPr>
            </m:fPr>
            <m:num>
              <m:sSub>
                <m:sSubPr>
                  <m:ctrlPr>
                    <w:rPr>
                      <w:rFonts w:ascii="Cambria Math" w:hAnsi="Cambria Math"/>
                      <w:i/>
                      <w:szCs w:val="20"/>
                      <w:lang w:val="cs-CZ"/>
                    </w:rPr>
                  </m:ctrlPr>
                </m:sSubPr>
                <m:e>
                  <m:r>
                    <w:rPr>
                      <w:rFonts w:ascii="Cambria Math" w:hAnsi="Cambria Math"/>
                      <w:szCs w:val="20"/>
                      <w:lang w:val="cs-CZ"/>
                    </w:rPr>
                    <m:t>L</m:t>
                  </m:r>
                </m:e>
                <m:sub>
                  <m:r>
                    <w:rPr>
                      <w:rFonts w:ascii="Cambria Math" w:hAnsi="Cambria Math"/>
                      <w:szCs w:val="20"/>
                      <w:lang w:val="cs-CZ"/>
                    </w:rPr>
                    <m:t>S</m:t>
                  </m:r>
                </m:sub>
              </m:sSub>
            </m:num>
            <m:den>
              <m:sSub>
                <m:sSubPr>
                  <m:ctrlPr>
                    <w:rPr>
                      <w:rFonts w:ascii="Cambria Math" w:hAnsi="Cambria Math"/>
                      <w:i/>
                      <w:szCs w:val="20"/>
                      <w:lang w:val="cs-CZ"/>
                    </w:rPr>
                  </m:ctrlPr>
                </m:sSubPr>
                <m:e>
                  <m:r>
                    <w:rPr>
                      <w:rFonts w:ascii="Cambria Math" w:hAnsi="Cambria Math"/>
                      <w:szCs w:val="20"/>
                      <w:lang w:val="cs-CZ"/>
                    </w:rPr>
                    <m:t>B</m:t>
                  </m:r>
                </m:e>
                <m:sub>
                  <m:r>
                    <w:rPr>
                      <w:rFonts w:ascii="Cambria Math" w:hAnsi="Cambria Math"/>
                      <w:szCs w:val="20"/>
                      <w:lang w:val="cs-CZ"/>
                    </w:rPr>
                    <m:t>S</m:t>
                  </m:r>
                </m:sub>
              </m:sSub>
            </m:den>
          </m:f>
          <m:r>
            <w:rPr>
              <w:rFonts w:ascii="Cambria Math" w:hAnsi="Cambria Math"/>
              <w:szCs w:val="20"/>
              <w:lang w:val="cs-CZ"/>
            </w:rPr>
            <m:t xml:space="preserve"> ∙ </m:t>
          </m:r>
          <m:sSup>
            <m:sSupPr>
              <m:ctrlPr>
                <w:rPr>
                  <w:rFonts w:ascii="Cambria Math" w:hAnsi="Cambria Math"/>
                  <w:i/>
                  <w:szCs w:val="20"/>
                  <w:lang w:val="cs-CZ"/>
                </w:rPr>
              </m:ctrlPr>
            </m:sSupPr>
            <m:e>
              <m:r>
                <w:rPr>
                  <w:rFonts w:ascii="Cambria Math" w:hAnsi="Cambria Math"/>
                  <w:szCs w:val="20"/>
                  <w:lang w:val="cs-CZ"/>
                </w:rPr>
                <m:t>10</m:t>
              </m:r>
            </m:e>
            <m:sup>
              <m:r>
                <w:rPr>
                  <w:rFonts w:ascii="Cambria Math" w:hAnsi="Cambria Math"/>
                  <w:szCs w:val="20"/>
                  <w:lang w:val="cs-CZ"/>
                </w:rPr>
                <m:t>-3</m:t>
              </m:r>
            </m:sup>
          </m:sSup>
          <m:r>
            <w:rPr>
              <w:rFonts w:ascii="Cambria Math" w:hAnsi="Cambria Math"/>
              <w:szCs w:val="20"/>
              <w:lang w:val="cs-CZ"/>
            </w:rPr>
            <m:t xml:space="preserve"> </m:t>
          </m:r>
          <m:d>
            <m:dPr>
              <m:begChr m:val="["/>
              <m:endChr m:val="]"/>
              <m:ctrlPr>
                <w:rPr>
                  <w:rFonts w:ascii="Cambria Math" w:hAnsi="Cambria Math"/>
                  <w:i/>
                  <w:szCs w:val="20"/>
                  <w:lang w:val="cs-CZ"/>
                </w:rPr>
              </m:ctrlPr>
            </m:dPr>
            <m:e>
              <m:r>
                <w:rPr>
                  <w:rFonts w:ascii="Cambria Math" w:hAnsi="Cambria Math"/>
                  <w:szCs w:val="20"/>
                  <w:lang w:val="cs-CZ"/>
                </w:rPr>
                <m:t>kN</m:t>
              </m:r>
            </m:e>
          </m:d>
        </m:oMath>
      </m:oMathPara>
    </w:p>
    <w:p w:rsidR="003B6E11" w:rsidRPr="003B6E11" w:rsidRDefault="003B6E11" w:rsidP="003B6E11">
      <w:pPr>
        <w:tabs>
          <w:tab w:val="left" w:pos="284"/>
          <w:tab w:val="left" w:pos="454"/>
          <w:tab w:val="left" w:pos="567"/>
        </w:tabs>
        <w:overflowPunct w:val="0"/>
        <w:adjustRightInd w:val="0"/>
        <w:ind w:left="284" w:hanging="284"/>
        <w:textAlignment w:val="baseline"/>
        <w:rPr>
          <w:szCs w:val="20"/>
          <w:lang w:val="cs-CZ"/>
        </w:rPr>
      </w:pPr>
    </w:p>
    <w:p w:rsidR="003B6E11" w:rsidRPr="003B6E11" w:rsidRDefault="003B6E11" w:rsidP="003B6E11">
      <w:pPr>
        <w:tabs>
          <w:tab w:val="left" w:pos="709"/>
        </w:tabs>
        <w:overflowPunct w:val="0"/>
        <w:adjustRightInd w:val="0"/>
        <w:ind w:left="709" w:hanging="709"/>
        <w:textAlignment w:val="baseline"/>
        <w:rPr>
          <w:szCs w:val="20"/>
          <w:lang w:val="cs-CZ"/>
        </w:rPr>
      </w:pPr>
      <w:r w:rsidRPr="003B6E11">
        <w:rPr>
          <w:lang w:val="cs-CZ"/>
        </w:rPr>
        <w:t>2.2</w:t>
      </w:r>
      <w:r w:rsidRPr="003B6E11">
        <w:rPr>
          <w:lang w:val="cs-CZ"/>
        </w:rPr>
        <w:tab/>
        <w:t>Spojovací body mezi tlačnou motorovou lodí a tlačeným plavidlem:</w:t>
      </w:r>
    </w:p>
    <w:p w:rsidR="003B6E11" w:rsidRPr="003B6E11" w:rsidRDefault="003B6E11" w:rsidP="003B6E11">
      <w:pPr>
        <w:tabs>
          <w:tab w:val="left" w:pos="284"/>
          <w:tab w:val="left" w:pos="454"/>
          <w:tab w:val="left" w:pos="567"/>
        </w:tabs>
        <w:overflowPunct w:val="0"/>
        <w:adjustRightInd w:val="0"/>
        <w:ind w:left="284" w:hanging="284"/>
        <w:textAlignment w:val="baseline"/>
        <w:rPr>
          <w:szCs w:val="20"/>
          <w:lang w:val="cs-CZ"/>
        </w:rPr>
      </w:pPr>
    </w:p>
    <w:p w:rsidR="003B6E11" w:rsidRPr="003B6E11" w:rsidRDefault="002D015D" w:rsidP="003B6E11">
      <w:pPr>
        <w:tabs>
          <w:tab w:val="left" w:pos="709"/>
        </w:tabs>
        <w:overflowPunct w:val="0"/>
        <w:adjustRightInd w:val="0"/>
        <w:ind w:left="709" w:hanging="709"/>
        <w:textAlignment w:val="baseline"/>
        <w:rPr>
          <w:szCs w:val="20"/>
          <w:lang w:val="cs-CZ"/>
        </w:rPr>
      </w:pPr>
      <m:oMathPara>
        <m:oMath>
          <m:sSub>
            <m:sSubPr>
              <m:ctrlPr>
                <w:rPr>
                  <w:rFonts w:ascii="Cambria Math" w:hAnsi="Cambria Math"/>
                  <w:i/>
                  <w:szCs w:val="20"/>
                  <w:lang w:val="cs-CZ"/>
                </w:rPr>
              </m:ctrlPr>
            </m:sSubPr>
            <m:e>
              <m:r>
                <w:rPr>
                  <w:rFonts w:ascii="Cambria Math" w:hAnsi="Cambria Math"/>
                  <w:szCs w:val="20"/>
                  <w:lang w:val="cs-CZ"/>
                </w:rPr>
                <m:t>F</m:t>
              </m:r>
            </m:e>
            <m:sub>
              <m:r>
                <w:rPr>
                  <w:rFonts w:ascii="Cambria Math" w:hAnsi="Cambria Math"/>
                  <w:szCs w:val="20"/>
                  <w:lang w:val="cs-CZ"/>
                </w:rPr>
                <m:t>SF</m:t>
              </m:r>
            </m:sub>
          </m:sSub>
          <m:r>
            <w:rPr>
              <w:rFonts w:ascii="Cambria Math" w:hAnsi="Cambria Math"/>
              <w:szCs w:val="20"/>
              <w:lang w:val="cs-CZ"/>
            </w:rPr>
            <m:t xml:space="preserve">=80∙ </m:t>
          </m:r>
          <m:sSub>
            <m:sSubPr>
              <m:ctrlPr>
                <w:rPr>
                  <w:rFonts w:ascii="Cambria Math" w:hAnsi="Cambria Math"/>
                  <w:i/>
                  <w:szCs w:val="20"/>
                  <w:lang w:val="cs-CZ"/>
                </w:rPr>
              </m:ctrlPr>
            </m:sSubPr>
            <m:e>
              <m:r>
                <w:rPr>
                  <w:rFonts w:ascii="Cambria Math" w:hAnsi="Cambria Math"/>
                  <w:szCs w:val="20"/>
                  <w:lang w:val="cs-CZ"/>
                </w:rPr>
                <m:t>P</m:t>
              </m:r>
            </m:e>
            <m:sub>
              <m:r>
                <w:rPr>
                  <w:rFonts w:ascii="Cambria Math" w:hAnsi="Cambria Math"/>
                  <w:szCs w:val="20"/>
                  <w:lang w:val="cs-CZ"/>
                </w:rPr>
                <m:t>B</m:t>
              </m:r>
            </m:sub>
          </m:sSub>
          <m:r>
            <w:rPr>
              <w:rFonts w:ascii="Cambria Math" w:hAnsi="Cambria Math"/>
              <w:szCs w:val="20"/>
              <w:lang w:val="cs-CZ"/>
            </w:rPr>
            <m:t xml:space="preserve"> ∙ </m:t>
          </m:r>
          <m:f>
            <m:fPr>
              <m:ctrlPr>
                <w:rPr>
                  <w:rFonts w:ascii="Cambria Math" w:hAnsi="Cambria Math"/>
                  <w:i/>
                  <w:szCs w:val="20"/>
                  <w:lang w:val="cs-CZ"/>
                </w:rPr>
              </m:ctrlPr>
            </m:fPr>
            <m:num>
              <m:sSub>
                <m:sSubPr>
                  <m:ctrlPr>
                    <w:rPr>
                      <w:rFonts w:ascii="Cambria Math" w:hAnsi="Cambria Math"/>
                      <w:i/>
                      <w:szCs w:val="20"/>
                      <w:lang w:val="cs-CZ"/>
                    </w:rPr>
                  </m:ctrlPr>
                </m:sSubPr>
                <m:e>
                  <m:r>
                    <w:rPr>
                      <w:rFonts w:ascii="Cambria Math" w:hAnsi="Cambria Math"/>
                      <w:szCs w:val="20"/>
                      <w:lang w:val="cs-CZ"/>
                    </w:rPr>
                    <m:t>L</m:t>
                  </m:r>
                </m:e>
                <m:sub>
                  <m:r>
                    <w:rPr>
                      <w:rFonts w:ascii="Cambria Math" w:hAnsi="Cambria Math"/>
                      <w:szCs w:val="20"/>
                      <w:lang w:val="cs-CZ"/>
                    </w:rPr>
                    <m:t>S</m:t>
                  </m:r>
                </m:sub>
              </m:sSub>
            </m:num>
            <m:den>
              <m:sSub>
                <m:sSubPr>
                  <m:ctrlPr>
                    <w:rPr>
                      <w:rFonts w:ascii="Cambria Math" w:hAnsi="Cambria Math"/>
                      <w:i/>
                      <w:szCs w:val="20"/>
                      <w:lang w:val="cs-CZ"/>
                    </w:rPr>
                  </m:ctrlPr>
                </m:sSubPr>
                <m:e>
                  <m:r>
                    <w:rPr>
                      <w:rFonts w:ascii="Cambria Math" w:hAnsi="Cambria Math"/>
                      <w:szCs w:val="20"/>
                      <w:lang w:val="cs-CZ"/>
                    </w:rPr>
                    <m:t>h</m:t>
                  </m:r>
                </m:e>
                <m:sub>
                  <m:r>
                    <w:rPr>
                      <w:rFonts w:ascii="Cambria Math" w:hAnsi="Cambria Math"/>
                      <w:szCs w:val="20"/>
                      <w:lang w:val="cs-CZ"/>
                    </w:rPr>
                    <m:t>K</m:t>
                  </m:r>
                </m:sub>
              </m:sSub>
            </m:den>
          </m:f>
          <m:r>
            <w:rPr>
              <w:rFonts w:ascii="Cambria Math" w:hAnsi="Cambria Math"/>
              <w:szCs w:val="20"/>
              <w:lang w:val="cs-CZ"/>
            </w:rPr>
            <m:t xml:space="preserve"> ∙ </m:t>
          </m:r>
          <m:sSup>
            <m:sSupPr>
              <m:ctrlPr>
                <w:rPr>
                  <w:rFonts w:ascii="Cambria Math" w:hAnsi="Cambria Math"/>
                  <w:i/>
                  <w:szCs w:val="20"/>
                  <w:lang w:val="cs-CZ"/>
                </w:rPr>
              </m:ctrlPr>
            </m:sSupPr>
            <m:e>
              <m:r>
                <w:rPr>
                  <w:rFonts w:ascii="Cambria Math" w:hAnsi="Cambria Math"/>
                  <w:szCs w:val="20"/>
                  <w:lang w:val="cs-CZ"/>
                </w:rPr>
                <m:t>10</m:t>
              </m:r>
            </m:e>
            <m:sup>
              <m:r>
                <w:rPr>
                  <w:rFonts w:ascii="Cambria Math" w:hAnsi="Cambria Math"/>
                  <w:szCs w:val="20"/>
                  <w:lang w:val="cs-CZ"/>
                </w:rPr>
                <m:t>-3</m:t>
              </m:r>
            </m:sup>
          </m:sSup>
          <m:r>
            <w:rPr>
              <w:rFonts w:ascii="Cambria Math" w:hAnsi="Cambria Math"/>
              <w:szCs w:val="20"/>
              <w:lang w:val="cs-CZ"/>
            </w:rPr>
            <m:t xml:space="preserve"> </m:t>
          </m:r>
          <m:d>
            <m:dPr>
              <m:begChr m:val="["/>
              <m:endChr m:val="]"/>
              <m:ctrlPr>
                <w:rPr>
                  <w:rFonts w:ascii="Cambria Math" w:hAnsi="Cambria Math"/>
                  <w:i/>
                  <w:szCs w:val="20"/>
                  <w:lang w:val="cs-CZ"/>
                </w:rPr>
              </m:ctrlPr>
            </m:dPr>
            <m:e>
              <m:r>
                <w:rPr>
                  <w:rFonts w:ascii="Cambria Math" w:hAnsi="Cambria Math"/>
                  <w:szCs w:val="20"/>
                  <w:lang w:val="cs-CZ"/>
                </w:rPr>
                <m:t>kN</m:t>
              </m:r>
            </m:e>
          </m:d>
        </m:oMath>
      </m:oMathPara>
    </w:p>
    <w:p w:rsidR="003B6E11" w:rsidRPr="003B6E11" w:rsidRDefault="003B6E11" w:rsidP="003B6E11">
      <w:pPr>
        <w:tabs>
          <w:tab w:val="left" w:pos="284"/>
          <w:tab w:val="left" w:pos="454"/>
          <w:tab w:val="left" w:pos="567"/>
        </w:tabs>
        <w:overflowPunct w:val="0"/>
        <w:adjustRightInd w:val="0"/>
        <w:ind w:left="284" w:hanging="284"/>
        <w:textAlignment w:val="baseline"/>
        <w:rPr>
          <w:szCs w:val="20"/>
          <w:lang w:val="cs-CZ"/>
        </w:rPr>
      </w:pPr>
    </w:p>
    <w:p w:rsidR="003B6E11" w:rsidRPr="003B6E11" w:rsidRDefault="003B6E11" w:rsidP="003B6E11">
      <w:pPr>
        <w:tabs>
          <w:tab w:val="left" w:pos="709"/>
        </w:tabs>
        <w:overflowPunct w:val="0"/>
        <w:adjustRightInd w:val="0"/>
        <w:ind w:left="709" w:hanging="709"/>
        <w:textAlignment w:val="baseline"/>
        <w:rPr>
          <w:szCs w:val="20"/>
          <w:lang w:val="cs-CZ"/>
        </w:rPr>
      </w:pPr>
      <w:r w:rsidRPr="003B6E11">
        <w:rPr>
          <w:lang w:val="cs-CZ"/>
        </w:rPr>
        <w:t>2.3</w:t>
      </w:r>
      <w:r w:rsidRPr="003B6E11">
        <w:rPr>
          <w:lang w:val="cs-CZ"/>
        </w:rPr>
        <w:tab/>
        <w:t>Spojovací body mezi tlačeným plavidlem:</w:t>
      </w:r>
    </w:p>
    <w:p w:rsidR="003B6E11" w:rsidRPr="003B6E11" w:rsidRDefault="003B6E11" w:rsidP="003B6E11">
      <w:pPr>
        <w:tabs>
          <w:tab w:val="left" w:pos="284"/>
          <w:tab w:val="left" w:pos="454"/>
          <w:tab w:val="left" w:pos="567"/>
        </w:tabs>
        <w:overflowPunct w:val="0"/>
        <w:adjustRightInd w:val="0"/>
        <w:ind w:left="284" w:hanging="284"/>
        <w:textAlignment w:val="baseline"/>
        <w:rPr>
          <w:szCs w:val="20"/>
          <w:lang w:val="cs-CZ"/>
        </w:rPr>
      </w:pPr>
    </w:p>
    <w:p w:rsidR="003B6E11" w:rsidRPr="003B6E11" w:rsidRDefault="002D015D" w:rsidP="003B6E11">
      <w:pPr>
        <w:tabs>
          <w:tab w:val="left" w:pos="709"/>
        </w:tabs>
        <w:overflowPunct w:val="0"/>
        <w:adjustRightInd w:val="0"/>
        <w:ind w:left="709" w:hanging="709"/>
        <w:textAlignment w:val="baseline"/>
        <w:rPr>
          <w:szCs w:val="20"/>
          <w:lang w:val="cs-CZ"/>
        </w:rPr>
      </w:pPr>
      <m:oMathPara>
        <m:oMath>
          <m:sSub>
            <m:sSubPr>
              <m:ctrlPr>
                <w:rPr>
                  <w:rFonts w:ascii="Cambria Math" w:hAnsi="Cambria Math"/>
                  <w:i/>
                  <w:szCs w:val="20"/>
                  <w:lang w:val="cs-CZ"/>
                </w:rPr>
              </m:ctrlPr>
            </m:sSubPr>
            <m:e>
              <m:r>
                <w:rPr>
                  <w:rFonts w:ascii="Cambria Math" w:hAnsi="Cambria Math"/>
                  <w:szCs w:val="20"/>
                  <w:lang w:val="cs-CZ"/>
                </w:rPr>
                <m:t>F</m:t>
              </m:r>
            </m:e>
            <m:sub>
              <m:r>
                <w:rPr>
                  <w:rFonts w:ascii="Cambria Math" w:hAnsi="Cambria Math"/>
                  <w:szCs w:val="20"/>
                  <w:lang w:val="cs-CZ"/>
                </w:rPr>
                <m:t>SL</m:t>
              </m:r>
            </m:sub>
          </m:sSub>
          <m:r>
            <w:rPr>
              <w:rFonts w:ascii="Cambria Math" w:hAnsi="Cambria Math"/>
              <w:szCs w:val="20"/>
              <w:lang w:val="cs-CZ"/>
            </w:rPr>
            <m:t xml:space="preserve">=80∙ </m:t>
          </m:r>
          <m:sSub>
            <m:sSubPr>
              <m:ctrlPr>
                <w:rPr>
                  <w:rFonts w:ascii="Cambria Math" w:hAnsi="Cambria Math"/>
                  <w:i/>
                  <w:szCs w:val="20"/>
                  <w:lang w:val="cs-CZ"/>
                </w:rPr>
              </m:ctrlPr>
            </m:sSubPr>
            <m:e>
              <m:r>
                <w:rPr>
                  <w:rFonts w:ascii="Cambria Math" w:hAnsi="Cambria Math"/>
                  <w:szCs w:val="20"/>
                  <w:lang w:val="cs-CZ"/>
                </w:rPr>
                <m:t>P</m:t>
              </m:r>
            </m:e>
            <m:sub>
              <m:r>
                <w:rPr>
                  <w:rFonts w:ascii="Cambria Math" w:hAnsi="Cambria Math"/>
                  <w:szCs w:val="20"/>
                  <w:lang w:val="cs-CZ"/>
                </w:rPr>
                <m:t>B</m:t>
              </m:r>
            </m:sub>
          </m:sSub>
          <m:r>
            <w:rPr>
              <w:rFonts w:ascii="Cambria Math" w:hAnsi="Cambria Math"/>
              <w:szCs w:val="20"/>
              <w:lang w:val="cs-CZ"/>
            </w:rPr>
            <m:t xml:space="preserve"> ∙ </m:t>
          </m:r>
          <m:f>
            <m:fPr>
              <m:ctrlPr>
                <w:rPr>
                  <w:rFonts w:ascii="Cambria Math" w:hAnsi="Cambria Math"/>
                  <w:i/>
                  <w:szCs w:val="20"/>
                  <w:lang w:val="cs-CZ"/>
                </w:rPr>
              </m:ctrlPr>
            </m:fPr>
            <m:num>
              <m:sSub>
                <m:sSubPr>
                  <m:ctrlPr>
                    <w:rPr>
                      <w:rFonts w:ascii="Cambria Math" w:hAnsi="Cambria Math"/>
                      <w:i/>
                      <w:szCs w:val="20"/>
                      <w:lang w:val="cs-CZ"/>
                    </w:rPr>
                  </m:ctrlPr>
                </m:sSubPr>
                <m:e>
                  <m:r>
                    <w:rPr>
                      <w:rFonts w:ascii="Cambria Math" w:hAnsi="Cambria Math"/>
                      <w:szCs w:val="20"/>
                      <w:lang w:val="cs-CZ"/>
                    </w:rPr>
                    <m:t>L'</m:t>
                  </m:r>
                </m:e>
                <m:sub>
                  <m:r>
                    <w:rPr>
                      <w:rFonts w:ascii="Cambria Math" w:hAnsi="Cambria Math"/>
                      <w:szCs w:val="20"/>
                      <w:lang w:val="cs-CZ"/>
                    </w:rPr>
                    <m:t>S</m:t>
                  </m:r>
                </m:sub>
              </m:sSub>
            </m:num>
            <m:den>
              <m:sSub>
                <m:sSubPr>
                  <m:ctrlPr>
                    <w:rPr>
                      <w:rFonts w:ascii="Cambria Math" w:hAnsi="Cambria Math"/>
                      <w:i/>
                      <w:szCs w:val="20"/>
                      <w:lang w:val="cs-CZ"/>
                    </w:rPr>
                  </m:ctrlPr>
                </m:sSubPr>
                <m:e>
                  <m:r>
                    <w:rPr>
                      <w:rFonts w:ascii="Cambria Math" w:hAnsi="Cambria Math"/>
                      <w:szCs w:val="20"/>
                      <w:lang w:val="cs-CZ"/>
                    </w:rPr>
                    <m:t>h'</m:t>
                  </m:r>
                </m:e>
                <m:sub>
                  <m:r>
                    <w:rPr>
                      <w:rFonts w:ascii="Cambria Math" w:hAnsi="Cambria Math"/>
                      <w:szCs w:val="20"/>
                      <w:lang w:val="cs-CZ"/>
                    </w:rPr>
                    <m:t>K</m:t>
                  </m:r>
                </m:sub>
              </m:sSub>
            </m:den>
          </m:f>
          <m:r>
            <w:rPr>
              <w:rFonts w:ascii="Cambria Math" w:hAnsi="Cambria Math"/>
              <w:szCs w:val="20"/>
              <w:lang w:val="cs-CZ"/>
            </w:rPr>
            <m:t xml:space="preserve"> ∙ </m:t>
          </m:r>
          <m:sSup>
            <m:sSupPr>
              <m:ctrlPr>
                <w:rPr>
                  <w:rFonts w:ascii="Cambria Math" w:hAnsi="Cambria Math"/>
                  <w:i/>
                  <w:szCs w:val="20"/>
                  <w:lang w:val="cs-CZ"/>
                </w:rPr>
              </m:ctrlPr>
            </m:sSupPr>
            <m:e>
              <m:r>
                <w:rPr>
                  <w:rFonts w:ascii="Cambria Math" w:hAnsi="Cambria Math"/>
                  <w:szCs w:val="20"/>
                  <w:lang w:val="cs-CZ"/>
                </w:rPr>
                <m:t>10</m:t>
              </m:r>
            </m:e>
            <m:sup>
              <m:r>
                <w:rPr>
                  <w:rFonts w:ascii="Cambria Math" w:hAnsi="Cambria Math"/>
                  <w:szCs w:val="20"/>
                  <w:lang w:val="cs-CZ"/>
                </w:rPr>
                <m:t>-3</m:t>
              </m:r>
            </m:sup>
          </m:sSup>
          <m:r>
            <w:rPr>
              <w:rFonts w:ascii="Cambria Math" w:hAnsi="Cambria Math"/>
              <w:szCs w:val="20"/>
              <w:lang w:val="cs-CZ"/>
            </w:rPr>
            <m:t xml:space="preserve"> </m:t>
          </m:r>
          <m:d>
            <m:dPr>
              <m:begChr m:val="["/>
              <m:endChr m:val="]"/>
              <m:ctrlPr>
                <w:rPr>
                  <w:rFonts w:ascii="Cambria Math" w:hAnsi="Cambria Math"/>
                  <w:i/>
                  <w:szCs w:val="20"/>
                  <w:lang w:val="cs-CZ"/>
                </w:rPr>
              </m:ctrlPr>
            </m:dPr>
            <m:e>
              <m:r>
                <w:rPr>
                  <w:rFonts w:ascii="Cambria Math" w:hAnsi="Cambria Math"/>
                  <w:szCs w:val="20"/>
                  <w:lang w:val="cs-CZ"/>
                </w:rPr>
                <m:t>kN</m:t>
              </m:r>
            </m:e>
          </m:d>
        </m:oMath>
      </m:oMathPara>
    </w:p>
    <w:p w:rsidR="003B6E11" w:rsidRPr="003B6E11" w:rsidRDefault="003B6E11" w:rsidP="003B6E11">
      <w:pPr>
        <w:tabs>
          <w:tab w:val="left" w:pos="284"/>
          <w:tab w:val="left" w:pos="454"/>
          <w:tab w:val="left" w:pos="567"/>
        </w:tabs>
        <w:overflowPunct w:val="0"/>
        <w:adjustRightInd w:val="0"/>
        <w:ind w:left="284" w:hanging="284"/>
        <w:textAlignment w:val="baseline"/>
        <w:rPr>
          <w:szCs w:val="20"/>
          <w:lang w:val="cs-CZ"/>
        </w:rPr>
      </w:pPr>
    </w:p>
    <w:p w:rsidR="003B6E11" w:rsidRPr="003B6E11" w:rsidRDefault="003B6E11" w:rsidP="003B6E11">
      <w:pPr>
        <w:tabs>
          <w:tab w:val="left" w:pos="284"/>
          <w:tab w:val="left" w:pos="454"/>
          <w:tab w:val="left" w:pos="567"/>
        </w:tabs>
        <w:overflowPunct w:val="0"/>
        <w:adjustRightInd w:val="0"/>
        <w:ind w:left="709"/>
        <w:textAlignment w:val="baseline"/>
        <w:rPr>
          <w:szCs w:val="20"/>
          <w:lang w:val="cs-CZ"/>
        </w:rPr>
      </w:pPr>
      <w:r w:rsidRPr="003B6E11">
        <w:rPr>
          <w:lang w:val="cs-CZ"/>
        </w:rPr>
        <w:br w:type="page"/>
      </w:r>
    </w:p>
    <w:p w:rsidR="003B6E11" w:rsidRPr="003B6E11" w:rsidRDefault="003B6E11" w:rsidP="003B6E11">
      <w:pPr>
        <w:tabs>
          <w:tab w:val="left" w:pos="284"/>
          <w:tab w:val="left" w:pos="454"/>
          <w:tab w:val="left" w:pos="567"/>
        </w:tabs>
        <w:overflowPunct w:val="0"/>
        <w:adjustRightInd w:val="0"/>
        <w:ind w:left="709"/>
        <w:textAlignment w:val="baseline"/>
        <w:rPr>
          <w:szCs w:val="20"/>
          <w:lang w:val="cs-CZ"/>
        </w:rPr>
      </w:pPr>
      <w:r w:rsidRPr="003B6E11">
        <w:rPr>
          <w:lang w:val="cs-CZ"/>
        </w:rPr>
        <w:t>Hodnota 1200 kN je považována za dostatečnou pro maximální spojovací sílu pro tlačné plavidlo ve spojovacím bodu mezi prvním tlačeným plavidlem a plavidlem zapojeným před ním, i když je výsledkem výpočtu podle vzorce v bodě 2.3 vyšší hodnota.</w:t>
      </w:r>
    </w:p>
    <w:p w:rsidR="003B6E11" w:rsidRPr="003B6E11" w:rsidRDefault="003B6E11" w:rsidP="003B6E11">
      <w:pPr>
        <w:tabs>
          <w:tab w:val="left" w:pos="284"/>
          <w:tab w:val="left" w:pos="454"/>
          <w:tab w:val="left" w:pos="567"/>
        </w:tabs>
        <w:overflowPunct w:val="0"/>
        <w:adjustRightInd w:val="0"/>
        <w:ind w:left="709"/>
        <w:textAlignment w:val="baseline"/>
        <w:rPr>
          <w:szCs w:val="20"/>
          <w:lang w:val="cs-CZ"/>
        </w:rPr>
      </w:pPr>
    </w:p>
    <w:p w:rsidR="003B6E11" w:rsidRPr="003B6E11" w:rsidRDefault="003B6E11" w:rsidP="003B6E11">
      <w:pPr>
        <w:tabs>
          <w:tab w:val="left" w:pos="284"/>
          <w:tab w:val="left" w:pos="454"/>
          <w:tab w:val="left" w:pos="567"/>
        </w:tabs>
        <w:overflowPunct w:val="0"/>
        <w:adjustRightInd w:val="0"/>
        <w:ind w:left="709"/>
        <w:textAlignment w:val="baseline"/>
        <w:rPr>
          <w:szCs w:val="20"/>
          <w:lang w:val="cs-CZ"/>
        </w:rPr>
      </w:pPr>
      <w:r w:rsidRPr="003B6E11">
        <w:rPr>
          <w:lang w:val="cs-CZ"/>
        </w:rPr>
        <w:t>U spojovacích bodů všech ostatních podélných připojení mezi tlačeným plavidlem musí dimenzování spřahovacích zařízení vycházet ze spojovací síly stanovené podle vzorce v bodě 2.3.</w:t>
      </w:r>
    </w:p>
    <w:p w:rsidR="003B6E11" w:rsidRPr="003B6E11" w:rsidRDefault="003B6E11" w:rsidP="003B6E11">
      <w:pPr>
        <w:tabs>
          <w:tab w:val="left" w:pos="284"/>
          <w:tab w:val="left" w:pos="454"/>
          <w:tab w:val="left" w:pos="567"/>
        </w:tabs>
        <w:overflowPunct w:val="0"/>
        <w:adjustRightInd w:val="0"/>
        <w:ind w:left="284" w:hanging="284"/>
        <w:textAlignment w:val="baseline"/>
        <w:rPr>
          <w:szCs w:val="20"/>
          <w:lang w:val="cs-CZ"/>
        </w:rPr>
      </w:pPr>
    </w:p>
    <w:p w:rsidR="003B6E11" w:rsidRPr="003B6E11" w:rsidRDefault="003B6E11" w:rsidP="003B6E11">
      <w:pPr>
        <w:tabs>
          <w:tab w:val="left" w:pos="284"/>
          <w:tab w:val="left" w:pos="454"/>
          <w:tab w:val="left" w:pos="567"/>
        </w:tabs>
        <w:overflowPunct w:val="0"/>
        <w:adjustRightInd w:val="0"/>
        <w:ind w:left="284" w:hanging="284"/>
        <w:textAlignment w:val="baseline"/>
        <w:rPr>
          <w:szCs w:val="20"/>
          <w:lang w:val="cs-CZ"/>
        </w:rPr>
      </w:pPr>
      <w:r w:rsidRPr="003B6E11">
        <w:rPr>
          <w:noProof/>
          <w:szCs w:val="20"/>
          <w:lang w:eastAsia="en-GB"/>
        </w:rPr>
        <mc:AlternateContent>
          <mc:Choice Requires="wps">
            <w:drawing>
              <wp:anchor distT="0" distB="0" distL="114300" distR="114300" simplePos="0" relativeHeight="251691008" behindDoc="0" locked="0" layoutInCell="1" allowOverlap="1" wp14:anchorId="530D167B" wp14:editId="382457FB">
                <wp:simplePos x="0" y="0"/>
                <wp:positionH relativeFrom="column">
                  <wp:posOffset>3760470</wp:posOffset>
                </wp:positionH>
                <wp:positionV relativeFrom="paragraph">
                  <wp:posOffset>5767070</wp:posOffset>
                </wp:positionV>
                <wp:extent cx="981710" cy="208280"/>
                <wp:effectExtent l="0" t="0" r="0" b="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15D" w:rsidRPr="002A7EC3" w:rsidRDefault="002D015D" w:rsidP="003B6E11">
                            <w:pPr>
                              <w:rPr>
                                <w:sz w:val="16"/>
                              </w:rPr>
                            </w:pPr>
                            <w:r>
                              <w:rPr>
                                <w:sz w:val="16"/>
                              </w:rPr>
                              <w:t>tlačené plavidlo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44" type="#_x0000_t202" style="position:absolute;left:0;text-align:left;margin-left:296.1pt;margin-top:454.1pt;width:77.3pt;height:16.4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" stroked="f">
                <v:textbox style="mso-fit-shape-to-text:t">
                  <w:txbxContent>
                    <w:p w:rsidR="002D015D" w:rsidRPr="002A7EC3" w:rsidRDefault="002D015D" w:rsidP="003B6E11">
                      <w:pPr>
                        <w:rPr>
                          <w:sz w:val="16"/>
                        </w:rPr>
                      </w:pPr>
                      <w:r>
                        <w:rPr>
                          <w:sz w:val="16"/>
                        </w:rPr>
                        <w:t>tlačené plavidlo</w:t>
                      </w:r>
                    </w:p>
                  </w:txbxContent>
                </v:textbox>
              </v:shape>
            </w:pict>
          </mc:Fallback>
        </mc:AlternateContent>
      </w:r>
      <w:r w:rsidRPr="003B6E11">
        <w:rPr>
          <w:noProof/>
          <w:szCs w:val="20"/>
          <w:lang w:eastAsia="en-GB"/>
        </w:rPr>
        <mc:AlternateContent>
          <mc:Choice Requires="wps">
            <w:drawing>
              <wp:anchor distT="0" distB="0" distL="114300" distR="114300" simplePos="0" relativeHeight="251689984" behindDoc="0" locked="0" layoutInCell="1" allowOverlap="1" wp14:anchorId="65501637" wp14:editId="4C713A9C">
                <wp:simplePos x="0" y="0"/>
                <wp:positionH relativeFrom="column">
                  <wp:posOffset>1445895</wp:posOffset>
                </wp:positionH>
                <wp:positionV relativeFrom="paragraph">
                  <wp:posOffset>5786120</wp:posOffset>
                </wp:positionV>
                <wp:extent cx="981710" cy="208280"/>
                <wp:effectExtent l="0" t="0" r="0" b="0"/>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15D" w:rsidRPr="002A7EC3" w:rsidRDefault="002D015D" w:rsidP="003B6E11">
                            <w:pPr>
                              <w:rPr>
                                <w:sz w:val="16"/>
                              </w:rPr>
                            </w:pPr>
                            <w:r>
                              <w:rPr>
                                <w:sz w:val="16"/>
                              </w:rPr>
                              <w:t>tlačné plavidlo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113.85pt;margin-top:455.6pt;width:77.3pt;height:16.4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" stroked="f">
                <v:textbox style="mso-fit-shape-to-text:t">
                  <w:txbxContent>
                    <w:p w:rsidR="002D015D" w:rsidRPr="002A7EC3" w:rsidRDefault="002D015D" w:rsidP="003B6E11">
                      <w:pPr>
                        <w:rPr>
                          <w:sz w:val="16"/>
                        </w:rPr>
                      </w:pPr>
                      <w:r>
                        <w:rPr>
                          <w:sz w:val="16"/>
                        </w:rPr>
                        <w:t>tlačné plavidlo</w:t>
                      </w:r>
                    </w:p>
                  </w:txbxContent>
                </v:textbox>
              </v:shape>
            </w:pict>
          </mc:Fallback>
        </mc:AlternateContent>
      </w:r>
      <w:r w:rsidRPr="003B6E11">
        <w:rPr>
          <w:noProof/>
          <w:szCs w:val="20"/>
          <w:lang w:eastAsia="en-GB"/>
        </w:rPr>
        <mc:AlternateContent>
          <mc:Choice Requires="wps">
            <w:drawing>
              <wp:anchor distT="0" distB="0" distL="114300" distR="114300" simplePos="0" relativeHeight="251688960" behindDoc="0" locked="0" layoutInCell="1" allowOverlap="1" wp14:anchorId="2EE24B77" wp14:editId="3A75D113">
                <wp:simplePos x="0" y="0"/>
                <wp:positionH relativeFrom="column">
                  <wp:posOffset>3760470</wp:posOffset>
                </wp:positionH>
                <wp:positionV relativeFrom="paragraph">
                  <wp:posOffset>4319270</wp:posOffset>
                </wp:positionV>
                <wp:extent cx="981710" cy="208280"/>
                <wp:effectExtent l="0" t="0" r="0" b="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15D" w:rsidRPr="002A7EC3" w:rsidRDefault="002D015D" w:rsidP="003B6E11">
                            <w:pPr>
                              <w:rPr>
                                <w:sz w:val="16"/>
                              </w:rPr>
                            </w:pPr>
                            <w:r>
                              <w:rPr>
                                <w:sz w:val="16"/>
                              </w:rPr>
                              <w:t>tlačené plavidlo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296.1pt;margin-top:340.1pt;width:77.3pt;height:16.4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" stroked="f">
                <v:textbox style="mso-fit-shape-to-text:t">
                  <w:txbxContent>
                    <w:p w:rsidR="002D015D" w:rsidRPr="002A7EC3" w:rsidRDefault="002D015D" w:rsidP="003B6E11">
                      <w:pPr>
                        <w:rPr>
                          <w:sz w:val="16"/>
                        </w:rPr>
                      </w:pPr>
                      <w:r>
                        <w:rPr>
                          <w:sz w:val="16"/>
                        </w:rPr>
                        <w:t>tlačené plavidlo</w:t>
                      </w:r>
                    </w:p>
                  </w:txbxContent>
                </v:textbox>
              </v:shape>
            </w:pict>
          </mc:Fallback>
        </mc:AlternateContent>
      </w:r>
      <w:r w:rsidRPr="003B6E11">
        <w:rPr>
          <w:noProof/>
          <w:lang w:eastAsia="en-GB"/>
        </w:rPr>
        <mc:AlternateContent>
          <mc:Choice Requires="wps">
            <w:drawing>
              <wp:anchor distT="0" distB="0" distL="114300" distR="114300" simplePos="0" relativeHeight="251687936" behindDoc="0" locked="0" layoutInCell="1" allowOverlap="1" wp14:anchorId="54E28C42" wp14:editId="122BAF53">
                <wp:simplePos x="0" y="0"/>
                <wp:positionH relativeFrom="column">
                  <wp:posOffset>1455420</wp:posOffset>
                </wp:positionH>
                <wp:positionV relativeFrom="paragraph">
                  <wp:posOffset>4319270</wp:posOffset>
                </wp:positionV>
                <wp:extent cx="981710" cy="208280"/>
                <wp:effectExtent l="0" t="0" r="0" b="0"/>
                <wp:wrapNone/>
                <wp:docPr id="2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15D" w:rsidRPr="002A7EC3" w:rsidRDefault="002D015D" w:rsidP="003B6E11">
                            <w:pPr>
                              <w:rPr>
                                <w:sz w:val="16"/>
                              </w:rPr>
                            </w:pPr>
                            <w:r>
                              <w:rPr>
                                <w:sz w:val="16"/>
                              </w:rPr>
                              <w:t>tlačné plavidlo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114.6pt;margin-top:340.1pt;width:77.3pt;height:16.4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" stroked="f">
                <v:textbox style="mso-fit-shape-to-text:t">
                  <w:txbxContent>
                    <w:p w:rsidR="002D015D" w:rsidRPr="002A7EC3" w:rsidRDefault="002D015D" w:rsidP="003B6E11">
                      <w:pPr>
                        <w:rPr>
                          <w:sz w:val="16"/>
                        </w:rPr>
                      </w:pPr>
                      <w:r>
                        <w:rPr>
                          <w:sz w:val="16"/>
                        </w:rPr>
                        <w:t>tlačné plavidlo</w:t>
                      </w:r>
                    </w:p>
                  </w:txbxContent>
                </v:textbox>
              </v:shape>
            </w:pict>
          </mc:Fallback>
        </mc:AlternateContent>
      </w:r>
      <w:r w:rsidRPr="003B6E11">
        <w:rPr>
          <w:rFonts w:ascii="Times New Roman" w:hAnsi="Times New Roman"/>
          <w:noProof/>
          <w:szCs w:val="20"/>
          <w:lang w:eastAsia="en-GB"/>
        </w:rPr>
        <w:drawing>
          <wp:inline distT="0" distB="0" distL="0" distR="0" wp14:anchorId="30F1B37B" wp14:editId="437F5598">
            <wp:extent cx="5219700" cy="7000875"/>
            <wp:effectExtent l="0" t="0" r="0" b="9525"/>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19700" cy="7000875"/>
                    </a:xfrm>
                    <a:prstGeom prst="rect">
                      <a:avLst/>
                    </a:prstGeom>
                    <a:solidFill>
                      <a:srgbClr val="FFFFFF"/>
                    </a:solidFill>
                    <a:ln>
                      <a:noFill/>
                    </a:ln>
                  </pic:spPr>
                </pic:pic>
              </a:graphicData>
            </a:graphic>
          </wp:inline>
        </w:drawing>
      </w:r>
    </w:p>
    <w:p w:rsidR="003B6E11" w:rsidRPr="003B6E11" w:rsidRDefault="003B6E11" w:rsidP="003B6E11">
      <w:pPr>
        <w:tabs>
          <w:tab w:val="left" w:pos="284"/>
          <w:tab w:val="left" w:pos="454"/>
          <w:tab w:val="left" w:pos="567"/>
        </w:tabs>
        <w:overflowPunct w:val="0"/>
        <w:adjustRightInd w:val="0"/>
        <w:ind w:left="284" w:hanging="284"/>
        <w:textAlignment w:val="baseline"/>
        <w:rPr>
          <w:szCs w:val="20"/>
          <w:lang w:val="cs-CZ"/>
        </w:rPr>
      </w:pPr>
    </w:p>
    <w:p w:rsidR="003B6E11" w:rsidRPr="003B6E11" w:rsidRDefault="003B6E11" w:rsidP="003B6E11">
      <w:pPr>
        <w:tabs>
          <w:tab w:val="left" w:pos="284"/>
          <w:tab w:val="left" w:pos="454"/>
          <w:tab w:val="left" w:pos="567"/>
        </w:tabs>
        <w:overflowPunct w:val="0"/>
        <w:adjustRightInd w:val="0"/>
        <w:ind w:left="284" w:hanging="284"/>
        <w:textAlignment w:val="baseline"/>
        <w:rPr>
          <w:szCs w:val="20"/>
          <w:lang w:val="cs-CZ"/>
        </w:rPr>
      </w:pPr>
      <w:r w:rsidRPr="003B6E11">
        <w:rPr>
          <w:lang w:val="cs-CZ"/>
        </w:rPr>
        <w:br w:type="page"/>
      </w:r>
    </w:p>
    <w:p w:rsidR="003B6E11" w:rsidRPr="003B6E11" w:rsidRDefault="003B6E11" w:rsidP="003B6E11">
      <w:pPr>
        <w:overflowPunct w:val="0"/>
        <w:adjustRightInd w:val="0"/>
        <w:ind w:left="709"/>
        <w:textAlignment w:val="baseline"/>
        <w:rPr>
          <w:szCs w:val="20"/>
          <w:lang w:val="cs-CZ"/>
        </w:rPr>
      </w:pPr>
      <w:r w:rsidRPr="003B6E11">
        <w:rPr>
          <w:lang w:val="cs-CZ"/>
        </w:rPr>
        <w:t>Kde:</w:t>
      </w:r>
    </w:p>
    <w:p w:rsidR="003B6E11" w:rsidRPr="003B6E11" w:rsidRDefault="003B6E11" w:rsidP="003B6E11">
      <w:pPr>
        <w:tabs>
          <w:tab w:val="left" w:pos="284"/>
          <w:tab w:val="left" w:pos="454"/>
          <w:tab w:val="left" w:pos="567"/>
        </w:tabs>
        <w:overflowPunct w:val="0"/>
        <w:adjustRightInd w:val="0"/>
        <w:ind w:left="284" w:hanging="284"/>
        <w:textAlignment w:val="baseline"/>
        <w:rPr>
          <w:szCs w:val="20"/>
          <w:lang w:val="cs-CZ"/>
        </w:rPr>
      </w:pPr>
    </w:p>
    <w:p w:rsidR="003B6E11" w:rsidRPr="003B6E11" w:rsidRDefault="002D015D" w:rsidP="003B6E11">
      <w:pPr>
        <w:tabs>
          <w:tab w:val="left" w:pos="284"/>
          <w:tab w:val="left" w:pos="2127"/>
          <w:tab w:val="left" w:pos="2977"/>
        </w:tabs>
        <w:overflowPunct w:val="0"/>
        <w:adjustRightInd w:val="0"/>
        <w:ind w:left="2977" w:hanging="2268"/>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F</m:t>
            </m:r>
          </m:e>
          <m:sub>
            <m:r>
              <w:rPr>
                <w:rFonts w:ascii="Cambria Math" w:hAnsi="Cambria Math"/>
                <w:szCs w:val="20"/>
                <w:lang w:val="cs-CZ"/>
              </w:rPr>
              <m:t>SB</m:t>
            </m:r>
          </m:sub>
        </m:sSub>
      </m:oMath>
      <w:r w:rsidR="003B6E11" w:rsidRPr="003B6E11">
        <w:rPr>
          <w:lang w:val="cs-CZ"/>
        </w:rPr>
        <w:t xml:space="preserve">, </w:t>
      </w:r>
      <m:oMath>
        <m:sSub>
          <m:sSubPr>
            <m:ctrlPr>
              <w:rPr>
                <w:rFonts w:ascii="Cambria Math" w:hAnsi="Cambria Math"/>
                <w:i/>
                <w:szCs w:val="20"/>
                <w:lang w:val="cs-CZ"/>
              </w:rPr>
            </m:ctrlPr>
          </m:sSubPr>
          <m:e>
            <m:r>
              <w:rPr>
                <w:rFonts w:ascii="Cambria Math" w:hAnsi="Cambria Math"/>
                <w:szCs w:val="20"/>
                <w:lang w:val="cs-CZ"/>
              </w:rPr>
              <m:t>F</m:t>
            </m:r>
          </m:e>
          <m:sub>
            <m:r>
              <w:rPr>
                <w:rFonts w:ascii="Cambria Math" w:hAnsi="Cambria Math"/>
                <w:szCs w:val="20"/>
                <w:lang w:val="cs-CZ"/>
              </w:rPr>
              <m:t>SF</m:t>
            </m:r>
          </m:sub>
        </m:sSub>
      </m:oMath>
      <w:r w:rsidR="003B6E11" w:rsidRPr="003B6E11">
        <w:rPr>
          <w:lang w:val="cs-CZ"/>
        </w:rPr>
        <w:t xml:space="preserve">, </w:t>
      </w:r>
      <m:oMath>
        <m:sSub>
          <m:sSubPr>
            <m:ctrlPr>
              <w:rPr>
                <w:rFonts w:ascii="Cambria Math" w:hAnsi="Cambria Math"/>
                <w:i/>
                <w:szCs w:val="20"/>
                <w:lang w:val="cs-CZ"/>
              </w:rPr>
            </m:ctrlPr>
          </m:sSubPr>
          <m:e>
            <m:r>
              <w:rPr>
                <w:rFonts w:ascii="Cambria Math" w:hAnsi="Cambria Math"/>
                <w:szCs w:val="20"/>
                <w:lang w:val="cs-CZ"/>
              </w:rPr>
              <m:t>F</m:t>
            </m:r>
          </m:e>
          <m:sub>
            <m:r>
              <w:rPr>
                <w:rFonts w:ascii="Cambria Math" w:hAnsi="Cambria Math"/>
                <w:szCs w:val="20"/>
                <w:lang w:val="cs-CZ"/>
              </w:rPr>
              <m:t>SL</m:t>
            </m:r>
          </m:sub>
        </m:sSub>
      </m:oMath>
      <w:r w:rsidR="003B6E11" w:rsidRPr="003B6E11">
        <w:rPr>
          <w:lang w:val="cs-CZ"/>
        </w:rPr>
        <w:tab/>
        <w:t>[kN]</w:t>
      </w:r>
      <w:r w:rsidR="003B6E11" w:rsidRPr="003B6E11">
        <w:rPr>
          <w:lang w:val="cs-CZ"/>
        </w:rPr>
        <w:tab/>
        <w:t>spojovací síla podélného připojení,</w:t>
      </w:r>
    </w:p>
    <w:p w:rsidR="003B6E11" w:rsidRPr="003B6E11" w:rsidRDefault="003B6E11" w:rsidP="003B6E11">
      <w:pPr>
        <w:tabs>
          <w:tab w:val="left" w:pos="284"/>
          <w:tab w:val="left" w:pos="2127"/>
          <w:tab w:val="left" w:pos="2977"/>
        </w:tabs>
        <w:overflowPunct w:val="0"/>
        <w:adjustRightInd w:val="0"/>
        <w:ind w:left="2977" w:hanging="2268"/>
        <w:textAlignment w:val="baseline"/>
        <w:rPr>
          <w:szCs w:val="20"/>
          <w:lang w:val="cs-CZ"/>
        </w:rPr>
      </w:pPr>
    </w:p>
    <w:p w:rsidR="003B6E11" w:rsidRPr="003B6E11" w:rsidRDefault="002D015D" w:rsidP="003B6E11">
      <w:pPr>
        <w:tabs>
          <w:tab w:val="left" w:pos="284"/>
          <w:tab w:val="left" w:pos="2127"/>
          <w:tab w:val="left" w:pos="2977"/>
        </w:tabs>
        <w:overflowPunct w:val="0"/>
        <w:adjustRightInd w:val="0"/>
        <w:ind w:left="2977" w:hanging="2268"/>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P</m:t>
            </m:r>
          </m:e>
          <m:sub>
            <m:r>
              <w:rPr>
                <w:rFonts w:ascii="Cambria Math" w:hAnsi="Cambria Math"/>
                <w:szCs w:val="20"/>
                <w:lang w:val="cs-CZ"/>
              </w:rPr>
              <m:t>B</m:t>
            </m:r>
          </m:sub>
        </m:sSub>
      </m:oMath>
      <w:r w:rsidR="003B6E11" w:rsidRPr="003B6E11">
        <w:rPr>
          <w:lang w:val="cs-CZ"/>
        </w:rPr>
        <w:tab/>
        <w:t>[kW]</w:t>
      </w:r>
      <w:r w:rsidR="003B6E11" w:rsidRPr="003B6E11">
        <w:rPr>
          <w:lang w:val="cs-CZ"/>
        </w:rPr>
        <w:tab/>
        <w:t>instalovaný výkon hnacího motoru,</w:t>
      </w:r>
    </w:p>
    <w:p w:rsidR="003B6E11" w:rsidRPr="003B6E11" w:rsidRDefault="003B6E11" w:rsidP="003B6E11">
      <w:pPr>
        <w:tabs>
          <w:tab w:val="left" w:pos="284"/>
          <w:tab w:val="left" w:pos="2127"/>
          <w:tab w:val="left" w:pos="2977"/>
        </w:tabs>
        <w:overflowPunct w:val="0"/>
        <w:adjustRightInd w:val="0"/>
        <w:ind w:left="2977" w:hanging="2268"/>
        <w:textAlignment w:val="baseline"/>
        <w:rPr>
          <w:szCs w:val="20"/>
          <w:lang w:val="cs-CZ"/>
        </w:rPr>
      </w:pPr>
    </w:p>
    <w:p w:rsidR="003B6E11" w:rsidRPr="003B6E11" w:rsidRDefault="002D015D" w:rsidP="003B6E11">
      <w:pPr>
        <w:tabs>
          <w:tab w:val="left" w:pos="284"/>
          <w:tab w:val="left" w:pos="2127"/>
          <w:tab w:val="left" w:pos="2977"/>
        </w:tabs>
        <w:overflowPunct w:val="0"/>
        <w:adjustRightInd w:val="0"/>
        <w:ind w:left="2977" w:hanging="2268"/>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L</m:t>
            </m:r>
          </m:e>
          <m:sub>
            <m:r>
              <w:rPr>
                <w:rFonts w:ascii="Cambria Math" w:hAnsi="Cambria Math"/>
                <w:szCs w:val="20"/>
                <w:lang w:val="cs-CZ"/>
              </w:rPr>
              <m:t>S</m:t>
            </m:r>
          </m:sub>
        </m:sSub>
      </m:oMath>
      <w:r w:rsidR="003B6E11" w:rsidRPr="003B6E11">
        <w:rPr>
          <w:lang w:val="cs-CZ"/>
        </w:rPr>
        <w:tab/>
        <w:t>[m]</w:t>
      </w:r>
      <w:r w:rsidR="003B6E11" w:rsidRPr="003B6E11">
        <w:rPr>
          <w:lang w:val="cs-CZ"/>
        </w:rPr>
        <w:tab/>
        <w:t>vzdálenost od zádě tlačného remorkéru nebo tlačného plavidla ke spojovacímu bodu,</w:t>
      </w:r>
    </w:p>
    <w:p w:rsidR="003B6E11" w:rsidRPr="003B6E11" w:rsidRDefault="003B6E11" w:rsidP="003B6E11">
      <w:pPr>
        <w:tabs>
          <w:tab w:val="left" w:pos="284"/>
          <w:tab w:val="left" w:pos="2127"/>
          <w:tab w:val="left" w:pos="2977"/>
        </w:tabs>
        <w:overflowPunct w:val="0"/>
        <w:adjustRightInd w:val="0"/>
        <w:ind w:left="2977" w:hanging="2268"/>
        <w:textAlignment w:val="baseline"/>
        <w:rPr>
          <w:szCs w:val="20"/>
          <w:lang w:val="cs-CZ"/>
        </w:rPr>
      </w:pPr>
    </w:p>
    <w:p w:rsidR="003B6E11" w:rsidRPr="003B6E11" w:rsidRDefault="002D015D" w:rsidP="003B6E11">
      <w:pPr>
        <w:tabs>
          <w:tab w:val="left" w:pos="284"/>
          <w:tab w:val="left" w:pos="2127"/>
          <w:tab w:val="left" w:pos="2977"/>
        </w:tabs>
        <w:overflowPunct w:val="0"/>
        <w:adjustRightInd w:val="0"/>
        <w:ind w:left="2977" w:hanging="2268"/>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L'</m:t>
            </m:r>
          </m:e>
          <m:sub>
            <m:r>
              <w:rPr>
                <w:rFonts w:ascii="Cambria Math" w:hAnsi="Cambria Math"/>
                <w:szCs w:val="20"/>
                <w:lang w:val="cs-CZ"/>
              </w:rPr>
              <m:t>S</m:t>
            </m:r>
          </m:sub>
        </m:sSub>
      </m:oMath>
      <w:r w:rsidR="003B6E11" w:rsidRPr="003B6E11">
        <w:rPr>
          <w:lang w:val="cs-CZ"/>
        </w:rPr>
        <w:tab/>
        <w:t>[m]</w:t>
      </w:r>
      <w:r w:rsidR="003B6E11" w:rsidRPr="003B6E11">
        <w:rPr>
          <w:lang w:val="cs-CZ"/>
        </w:rPr>
        <w:tab/>
        <w:t>vzdálenost od zádě tlačného plavidla ke spojovacímu bodu mezi prvním tlačeným plavidlem a plavidlem zapojeným před ním,</w:t>
      </w:r>
    </w:p>
    <w:p w:rsidR="003B6E11" w:rsidRPr="003B6E11" w:rsidRDefault="003B6E11" w:rsidP="003B6E11">
      <w:pPr>
        <w:tabs>
          <w:tab w:val="left" w:pos="284"/>
          <w:tab w:val="left" w:pos="2127"/>
          <w:tab w:val="left" w:pos="2977"/>
        </w:tabs>
        <w:overflowPunct w:val="0"/>
        <w:adjustRightInd w:val="0"/>
        <w:ind w:left="2977" w:hanging="2268"/>
        <w:textAlignment w:val="baseline"/>
        <w:rPr>
          <w:szCs w:val="20"/>
          <w:lang w:val="cs-CZ"/>
        </w:rPr>
      </w:pPr>
    </w:p>
    <w:p w:rsidR="003B6E11" w:rsidRPr="003B6E11" w:rsidRDefault="002D015D" w:rsidP="003B6E11">
      <w:pPr>
        <w:tabs>
          <w:tab w:val="left" w:pos="284"/>
          <w:tab w:val="left" w:pos="2127"/>
          <w:tab w:val="left" w:pos="2977"/>
        </w:tabs>
        <w:overflowPunct w:val="0"/>
        <w:adjustRightInd w:val="0"/>
        <w:ind w:left="2977" w:hanging="2268"/>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h</m:t>
            </m:r>
          </m:e>
          <m:sub>
            <m:r>
              <w:rPr>
                <w:rFonts w:ascii="Cambria Math" w:hAnsi="Cambria Math"/>
                <w:szCs w:val="20"/>
                <w:lang w:val="cs-CZ"/>
              </w:rPr>
              <m:t>K</m:t>
            </m:r>
          </m:sub>
        </m:sSub>
      </m:oMath>
      <w:r w:rsidR="003B6E11" w:rsidRPr="003B6E11">
        <w:rPr>
          <w:lang w:val="cs-CZ"/>
        </w:rPr>
        <w:t xml:space="preserve">, </w:t>
      </w:r>
      <m:oMath>
        <m:sSub>
          <m:sSubPr>
            <m:ctrlPr>
              <w:rPr>
                <w:rFonts w:ascii="Cambria Math" w:hAnsi="Cambria Math"/>
                <w:i/>
                <w:szCs w:val="20"/>
                <w:lang w:val="cs-CZ"/>
              </w:rPr>
            </m:ctrlPr>
          </m:sSubPr>
          <m:e>
            <m:r>
              <w:rPr>
                <w:rFonts w:ascii="Cambria Math" w:hAnsi="Cambria Math"/>
                <w:szCs w:val="20"/>
                <w:lang w:val="cs-CZ"/>
              </w:rPr>
              <m:t>h'</m:t>
            </m:r>
          </m:e>
          <m:sub>
            <m:r>
              <w:rPr>
                <w:rFonts w:ascii="Cambria Math" w:hAnsi="Cambria Math"/>
                <w:szCs w:val="20"/>
                <w:lang w:val="cs-CZ"/>
              </w:rPr>
              <m:t>K</m:t>
            </m:r>
          </m:sub>
        </m:sSub>
      </m:oMath>
      <w:r w:rsidR="003B6E11" w:rsidRPr="003B6E11">
        <w:rPr>
          <w:lang w:val="cs-CZ"/>
        </w:rPr>
        <w:tab/>
        <w:t>[m]</w:t>
      </w:r>
      <w:r w:rsidR="003B6E11" w:rsidRPr="003B6E11">
        <w:rPr>
          <w:lang w:val="cs-CZ"/>
        </w:rPr>
        <w:tab/>
        <w:t>příslušné rameno páky podélného připojení,</w:t>
      </w:r>
    </w:p>
    <w:p w:rsidR="003B6E11" w:rsidRPr="003B6E11" w:rsidRDefault="003B6E11" w:rsidP="003B6E11">
      <w:pPr>
        <w:tabs>
          <w:tab w:val="left" w:pos="284"/>
          <w:tab w:val="left" w:pos="2127"/>
          <w:tab w:val="left" w:pos="2977"/>
        </w:tabs>
        <w:overflowPunct w:val="0"/>
        <w:adjustRightInd w:val="0"/>
        <w:ind w:left="2977" w:hanging="2268"/>
        <w:textAlignment w:val="baseline"/>
        <w:rPr>
          <w:szCs w:val="20"/>
          <w:lang w:val="cs-CZ"/>
        </w:rPr>
      </w:pPr>
    </w:p>
    <w:p w:rsidR="003B6E11" w:rsidRPr="003B6E11" w:rsidRDefault="002D015D" w:rsidP="003B6E11">
      <w:pPr>
        <w:tabs>
          <w:tab w:val="left" w:pos="284"/>
          <w:tab w:val="left" w:pos="2127"/>
          <w:tab w:val="left" w:pos="2977"/>
        </w:tabs>
        <w:overflowPunct w:val="0"/>
        <w:adjustRightInd w:val="0"/>
        <w:ind w:left="2977" w:hanging="2268"/>
        <w:textAlignment w:val="baseline"/>
        <w:rPr>
          <w:szCs w:val="20"/>
          <w:lang w:val="cs-CZ"/>
        </w:rPr>
      </w:pPr>
      <m:oMath>
        <m:sSub>
          <m:sSubPr>
            <m:ctrlPr>
              <w:rPr>
                <w:rFonts w:ascii="Cambria Math" w:hAnsi="Cambria Math"/>
                <w:i/>
                <w:szCs w:val="20"/>
                <w:lang w:val="cs-CZ"/>
              </w:rPr>
            </m:ctrlPr>
          </m:sSubPr>
          <m:e>
            <m:r>
              <w:rPr>
                <w:rFonts w:ascii="Cambria Math" w:hAnsi="Cambria Math"/>
                <w:szCs w:val="20"/>
                <w:lang w:val="cs-CZ"/>
              </w:rPr>
              <m:t>B</m:t>
            </m:r>
          </m:e>
          <m:sub>
            <m:r>
              <w:rPr>
                <w:rFonts w:ascii="Cambria Math" w:hAnsi="Cambria Math"/>
                <w:szCs w:val="20"/>
                <w:lang w:val="cs-CZ"/>
              </w:rPr>
              <m:t>S</m:t>
            </m:r>
          </m:sub>
        </m:sSub>
      </m:oMath>
      <w:r w:rsidR="003B6E11" w:rsidRPr="003B6E11">
        <w:rPr>
          <w:lang w:val="cs-CZ"/>
        </w:rPr>
        <w:tab/>
        <w:t>[m]</w:t>
      </w:r>
      <w:r w:rsidR="003B6E11" w:rsidRPr="003B6E11">
        <w:rPr>
          <w:lang w:val="cs-CZ"/>
        </w:rPr>
        <w:tab/>
        <w:t>šířka tlačného plavidla,</w:t>
      </w:r>
    </w:p>
    <w:p w:rsidR="003B6E11" w:rsidRPr="003B6E11" w:rsidRDefault="003B6E11" w:rsidP="003B6E11">
      <w:pPr>
        <w:tabs>
          <w:tab w:val="left" w:pos="284"/>
          <w:tab w:val="left" w:pos="2127"/>
          <w:tab w:val="left" w:pos="2977"/>
        </w:tabs>
        <w:overflowPunct w:val="0"/>
        <w:adjustRightInd w:val="0"/>
        <w:ind w:left="2977" w:hanging="2268"/>
        <w:textAlignment w:val="baseline"/>
        <w:rPr>
          <w:szCs w:val="20"/>
          <w:lang w:val="cs-CZ"/>
        </w:rPr>
      </w:pPr>
    </w:p>
    <w:p w:rsidR="003B6E11" w:rsidRPr="003B6E11" w:rsidRDefault="003B6E11" w:rsidP="003B6E11">
      <w:pPr>
        <w:tabs>
          <w:tab w:val="left" w:pos="284"/>
          <w:tab w:val="left" w:pos="2127"/>
          <w:tab w:val="left" w:pos="2977"/>
        </w:tabs>
        <w:overflowPunct w:val="0"/>
        <w:adjustRightInd w:val="0"/>
        <w:ind w:left="2977" w:hanging="2268"/>
        <w:textAlignment w:val="baseline"/>
        <w:rPr>
          <w:szCs w:val="20"/>
          <w:lang w:val="cs-CZ"/>
        </w:rPr>
      </w:pPr>
    </w:p>
    <w:p w:rsidR="003B6E11" w:rsidRPr="003B6E11" w:rsidRDefault="003B6E11" w:rsidP="003B6E11">
      <w:pPr>
        <w:tabs>
          <w:tab w:val="left" w:pos="0"/>
          <w:tab w:val="left" w:pos="284"/>
          <w:tab w:val="left" w:pos="2127"/>
          <w:tab w:val="left" w:pos="2977"/>
        </w:tabs>
        <w:overflowPunct w:val="0"/>
        <w:adjustRightInd w:val="0"/>
        <w:ind w:left="2977" w:hanging="2268"/>
        <w:textAlignment w:val="baseline"/>
        <w:rPr>
          <w:szCs w:val="20"/>
          <w:lang w:val="cs-CZ"/>
        </w:rPr>
      </w:pPr>
      <w:r w:rsidRPr="003B6E11">
        <w:rPr>
          <w:lang w:val="cs-CZ"/>
        </w:rPr>
        <w:t>270 a 80</w:t>
      </w:r>
      <w:r w:rsidRPr="003B6E11">
        <w:rPr>
          <w:lang w:val="cs-CZ"/>
        </w:rPr>
        <w:tab/>
      </w:r>
      <m:oMath>
        <m:d>
          <m:dPr>
            <m:begChr m:val="["/>
            <m:endChr m:val="]"/>
            <m:ctrlPr>
              <w:rPr>
                <w:rFonts w:ascii="Cambria Math" w:hAnsi="Cambria Math"/>
                <w:i/>
                <w:szCs w:val="20"/>
                <w:lang w:val="cs-CZ"/>
              </w:rPr>
            </m:ctrlPr>
          </m:dPr>
          <m:e>
            <m:f>
              <m:fPr>
                <m:ctrlPr>
                  <w:rPr>
                    <w:rFonts w:ascii="Cambria Math" w:hAnsi="Cambria Math"/>
                    <w:i/>
                    <w:szCs w:val="20"/>
                    <w:lang w:val="cs-CZ"/>
                  </w:rPr>
                </m:ctrlPr>
              </m:fPr>
              <m:num>
                <m:r>
                  <w:rPr>
                    <w:rFonts w:ascii="Cambria Math" w:hAnsi="Cambria Math"/>
                    <w:szCs w:val="20"/>
                    <w:lang w:val="cs-CZ"/>
                  </w:rPr>
                  <m:t>kN</m:t>
                </m:r>
              </m:num>
              <m:den>
                <m:r>
                  <w:rPr>
                    <w:rFonts w:ascii="Cambria Math" w:hAnsi="Cambria Math"/>
                    <w:szCs w:val="20"/>
                    <w:lang w:val="cs-CZ"/>
                  </w:rPr>
                  <m:t>kW</m:t>
                </m:r>
              </m:den>
            </m:f>
          </m:e>
        </m:d>
      </m:oMath>
      <w:r w:rsidRPr="003B6E11">
        <w:rPr>
          <w:lang w:val="cs-CZ"/>
        </w:rPr>
        <w:tab/>
        <w:t>empiricky stanovené hodnoty pro přeměnu instalovaného výkonu na tlakovou sílu při zajištění přiměřených úrovní bezpečnosti.</w:t>
      </w:r>
    </w:p>
    <w:p w:rsidR="003B6E11" w:rsidRPr="003B6E11" w:rsidRDefault="003B6E11" w:rsidP="003B6E11">
      <w:pPr>
        <w:tabs>
          <w:tab w:val="left" w:pos="1985"/>
          <w:tab w:val="left" w:pos="2835"/>
        </w:tabs>
        <w:overflowPunct w:val="0"/>
        <w:adjustRightInd w:val="0"/>
        <w:textAlignment w:val="baseline"/>
        <w:rPr>
          <w:szCs w:val="20"/>
          <w:lang w:val="cs-CZ"/>
        </w:rPr>
      </w:pPr>
    </w:p>
    <w:p w:rsidR="003B6E11" w:rsidRPr="003B6E11" w:rsidRDefault="003B6E11" w:rsidP="003B6E11">
      <w:pPr>
        <w:tabs>
          <w:tab w:val="left" w:pos="680"/>
        </w:tabs>
        <w:overflowPunct w:val="0"/>
        <w:adjustRightInd w:val="0"/>
        <w:ind w:left="680" w:hanging="680"/>
        <w:textAlignment w:val="baseline"/>
        <w:rPr>
          <w:szCs w:val="20"/>
          <w:lang w:val="cs-CZ"/>
        </w:rPr>
      </w:pPr>
      <w:r w:rsidRPr="003B6E11">
        <w:rPr>
          <w:lang w:val="cs-CZ"/>
        </w:rPr>
        <w:t>2.4.1</w:t>
      </w:r>
      <w:r w:rsidRPr="003B6E11">
        <w:rPr>
          <w:lang w:val="cs-CZ"/>
        </w:rPr>
        <w:tab/>
        <w:t>Pro podélné spojení jednoho plavidla se musí použít alespoň dva spojovací body. Každý spojovací bod musí být dimenzován na spojovací sílu stanovenou podle bodu 2.1, 2.2 nebo 2.3. Při použití pevných spojovacích součástí může být povolen jeden spojovací bod, pokud tento bod zajišťuje bezpečně pevné připojení plavidla.</w:t>
      </w:r>
    </w:p>
    <w:p w:rsidR="003B6E11" w:rsidRPr="003B6E11" w:rsidRDefault="003B6E11" w:rsidP="003B6E11">
      <w:pPr>
        <w:tabs>
          <w:tab w:val="left" w:pos="680"/>
        </w:tabs>
        <w:overflowPunct w:val="0"/>
        <w:adjustRightInd w:val="0"/>
        <w:ind w:left="680" w:hanging="680"/>
        <w:textAlignment w:val="baseline"/>
        <w:rPr>
          <w:szCs w:val="20"/>
          <w:lang w:val="cs-CZ"/>
        </w:rPr>
      </w:pPr>
    </w:p>
    <w:p w:rsidR="003B6E11" w:rsidRPr="003B6E11" w:rsidRDefault="003B6E11" w:rsidP="003B6E11">
      <w:pPr>
        <w:tabs>
          <w:tab w:val="left" w:pos="680"/>
        </w:tabs>
        <w:overflowPunct w:val="0"/>
        <w:adjustRightInd w:val="0"/>
        <w:ind w:left="680" w:hanging="680"/>
        <w:textAlignment w:val="baseline"/>
        <w:rPr>
          <w:szCs w:val="20"/>
          <w:lang w:val="cs-CZ"/>
        </w:rPr>
      </w:pPr>
      <w:r w:rsidRPr="003B6E11">
        <w:rPr>
          <w:lang w:val="cs-CZ"/>
        </w:rPr>
        <w:tab/>
        <w:t>Pevnost lan v tahu musí být zvolena podle předpokládaného počtu ovinutí. Na spojovacím bodu nesmí být více než tři ovinutí. Lana je třeba volit podle jejich určeného použití.</w:t>
      </w:r>
    </w:p>
    <w:p w:rsidR="003B6E11" w:rsidRPr="003B6E11" w:rsidRDefault="003B6E11" w:rsidP="003B6E11">
      <w:pPr>
        <w:tabs>
          <w:tab w:val="left" w:pos="680"/>
        </w:tabs>
        <w:overflowPunct w:val="0"/>
        <w:adjustRightInd w:val="0"/>
        <w:ind w:left="680" w:hanging="680"/>
        <w:textAlignment w:val="baseline"/>
        <w:rPr>
          <w:szCs w:val="20"/>
          <w:lang w:val="cs-CZ"/>
        </w:rPr>
      </w:pPr>
    </w:p>
    <w:p w:rsidR="003B6E11" w:rsidRPr="003B6E11" w:rsidRDefault="003B6E11" w:rsidP="003B6E11">
      <w:pPr>
        <w:tabs>
          <w:tab w:val="left" w:pos="680"/>
        </w:tabs>
        <w:overflowPunct w:val="0"/>
        <w:adjustRightInd w:val="0"/>
        <w:ind w:left="680" w:hanging="680"/>
        <w:textAlignment w:val="baseline"/>
        <w:rPr>
          <w:szCs w:val="20"/>
          <w:lang w:val="cs-CZ"/>
        </w:rPr>
      </w:pPr>
      <w:r w:rsidRPr="003B6E11">
        <w:rPr>
          <w:lang w:val="cs-CZ"/>
        </w:rPr>
        <w:t>2.4.2</w:t>
      </w:r>
      <w:r w:rsidRPr="003B6E11">
        <w:rPr>
          <w:lang w:val="cs-CZ"/>
        </w:rPr>
        <w:tab/>
        <w:t>U tlačných remorkérů s jedním tlačeným člunem lze ke stanovení spojovací síly použít vzorec z bodu 2.2, pokud tyto tlačné remorkéry byly schváleny k pohonu několika takových člunů.</w:t>
      </w:r>
    </w:p>
    <w:p w:rsidR="003B6E11" w:rsidRPr="003B6E11" w:rsidRDefault="003B6E11" w:rsidP="003B6E11">
      <w:pPr>
        <w:tabs>
          <w:tab w:val="left" w:pos="680"/>
        </w:tabs>
        <w:overflowPunct w:val="0"/>
        <w:adjustRightInd w:val="0"/>
        <w:ind w:left="680" w:hanging="680"/>
        <w:textAlignment w:val="baseline"/>
        <w:rPr>
          <w:szCs w:val="20"/>
          <w:lang w:val="cs-CZ"/>
        </w:rPr>
      </w:pPr>
    </w:p>
    <w:p w:rsidR="003B6E11" w:rsidRPr="003B6E11" w:rsidRDefault="003B6E11" w:rsidP="003B6E11">
      <w:pPr>
        <w:tabs>
          <w:tab w:val="left" w:pos="680"/>
        </w:tabs>
        <w:overflowPunct w:val="0"/>
        <w:adjustRightInd w:val="0"/>
        <w:ind w:left="680" w:hanging="680"/>
        <w:textAlignment w:val="baseline"/>
        <w:rPr>
          <w:szCs w:val="20"/>
          <w:lang w:val="cs-CZ"/>
        </w:rPr>
      </w:pPr>
      <w:r w:rsidRPr="003B6E11">
        <w:rPr>
          <w:lang w:val="cs-CZ"/>
        </w:rPr>
        <w:t>2.4.3</w:t>
      </w:r>
      <w:r w:rsidRPr="003B6E11">
        <w:rPr>
          <w:lang w:val="cs-CZ"/>
        </w:rPr>
        <w:tab/>
        <w:t>Musí existovat dostatečný počet pacholat nebo podobných zařízení schopných absorbovat vzniklé spojovací síly.</w:t>
      </w:r>
    </w:p>
    <w:p w:rsidR="003B6E11" w:rsidRPr="003B6E11" w:rsidRDefault="003B6E11" w:rsidP="003B6E11">
      <w:pPr>
        <w:tabs>
          <w:tab w:val="left" w:pos="680"/>
        </w:tabs>
        <w:overflowPunct w:val="0"/>
        <w:adjustRightInd w:val="0"/>
        <w:ind w:left="680" w:hanging="680"/>
        <w:textAlignment w:val="baseline"/>
        <w:rPr>
          <w:szCs w:val="20"/>
          <w:lang w:val="cs-CZ"/>
        </w:rPr>
      </w:pPr>
    </w:p>
    <w:p w:rsidR="003B6E11" w:rsidRPr="003B6E11" w:rsidRDefault="003B6E11" w:rsidP="003B6E11">
      <w:pPr>
        <w:tabs>
          <w:tab w:val="left" w:pos="680"/>
        </w:tabs>
        <w:overflowPunct w:val="0"/>
        <w:adjustRightInd w:val="0"/>
        <w:ind w:left="680" w:hanging="680"/>
        <w:textAlignment w:val="baseline"/>
        <w:rPr>
          <w:b/>
          <w:szCs w:val="20"/>
          <w:lang w:val="cs-CZ"/>
        </w:rPr>
      </w:pPr>
      <w:r w:rsidRPr="003B6E11">
        <w:rPr>
          <w:b/>
          <w:lang w:val="cs-CZ"/>
        </w:rPr>
        <w:t>3.</w:t>
      </w:r>
      <w:r w:rsidRPr="003B6E11">
        <w:rPr>
          <w:lang w:val="cs-CZ"/>
        </w:rPr>
        <w:tab/>
      </w:r>
      <w:r w:rsidRPr="003B6E11">
        <w:rPr>
          <w:b/>
          <w:lang w:val="cs-CZ"/>
        </w:rPr>
        <w:t>Zvláštní požadavky pro kloubová spojení</w:t>
      </w:r>
    </w:p>
    <w:p w:rsidR="003B6E11" w:rsidRPr="003B6E11" w:rsidRDefault="003B6E11" w:rsidP="003B6E11">
      <w:pPr>
        <w:tabs>
          <w:tab w:val="left" w:pos="680"/>
        </w:tabs>
        <w:overflowPunct w:val="0"/>
        <w:adjustRightInd w:val="0"/>
        <w:ind w:left="680" w:hanging="680"/>
        <w:textAlignment w:val="baseline"/>
        <w:rPr>
          <w:szCs w:val="20"/>
          <w:lang w:val="cs-CZ"/>
        </w:rPr>
      </w:pPr>
    </w:p>
    <w:p w:rsidR="003B6E11" w:rsidRPr="003B6E11" w:rsidRDefault="003B6E11" w:rsidP="003B6E11">
      <w:pPr>
        <w:tabs>
          <w:tab w:val="left" w:pos="680"/>
        </w:tabs>
        <w:overflowPunct w:val="0"/>
        <w:adjustRightInd w:val="0"/>
        <w:ind w:left="680" w:hanging="680"/>
        <w:textAlignment w:val="baseline"/>
        <w:rPr>
          <w:szCs w:val="20"/>
          <w:lang w:val="cs-CZ"/>
        </w:rPr>
      </w:pPr>
      <w:r w:rsidRPr="003B6E11">
        <w:rPr>
          <w:lang w:val="cs-CZ"/>
        </w:rPr>
        <w:tab/>
        <w:t>Kloubová spojení (otočný závěs) musí být konstruována tak, aby zároveň zajišťovala i pevné spojení mezi plavidly. Během zkušebních plaveb s pevnou sestavou v souladu s článkem 21.06 se musí ověřit shoda s požadavky kapitoly 5.</w:t>
      </w:r>
    </w:p>
    <w:p w:rsidR="003B6E11" w:rsidRPr="003B6E11" w:rsidRDefault="003B6E11" w:rsidP="003B6E11">
      <w:pPr>
        <w:tabs>
          <w:tab w:val="left" w:pos="680"/>
        </w:tabs>
        <w:overflowPunct w:val="0"/>
        <w:adjustRightInd w:val="0"/>
        <w:ind w:left="680" w:hanging="680"/>
        <w:textAlignment w:val="baseline"/>
        <w:rPr>
          <w:szCs w:val="20"/>
          <w:lang w:val="cs-CZ"/>
        </w:rPr>
      </w:pPr>
    </w:p>
    <w:p w:rsidR="003B6E11" w:rsidRPr="003B6E11" w:rsidRDefault="003B6E11" w:rsidP="003B6E11">
      <w:pPr>
        <w:tabs>
          <w:tab w:val="left" w:pos="680"/>
        </w:tabs>
        <w:overflowPunct w:val="0"/>
        <w:adjustRightInd w:val="0"/>
        <w:ind w:left="680" w:hanging="680"/>
        <w:textAlignment w:val="baseline"/>
        <w:rPr>
          <w:szCs w:val="20"/>
          <w:lang w:val="cs-CZ"/>
        </w:rPr>
      </w:pPr>
      <w:r w:rsidRPr="003B6E11">
        <w:rPr>
          <w:lang w:val="cs-CZ"/>
        </w:rPr>
        <w:tab/>
        <w:t>Pohonná jednotka kloubového spojení musí umožňovat uspokojivý návrat z natočené polohy. Požadavky článků 6.02 až 6.04 se použijí obdobně, protože při použití motorové pohonné jednotky musí být v případě poruchy k dispozici druhá nezávislá pohonná jednotka a zdroj energie.</w:t>
      </w:r>
    </w:p>
    <w:p w:rsidR="003B6E11" w:rsidRPr="003B6E11" w:rsidRDefault="003B6E11" w:rsidP="003B6E11">
      <w:pPr>
        <w:tabs>
          <w:tab w:val="left" w:pos="680"/>
        </w:tabs>
        <w:overflowPunct w:val="0"/>
        <w:adjustRightInd w:val="0"/>
        <w:ind w:left="680" w:hanging="680"/>
        <w:textAlignment w:val="baseline"/>
        <w:rPr>
          <w:szCs w:val="20"/>
          <w:lang w:val="cs-CZ"/>
        </w:rPr>
      </w:pPr>
    </w:p>
    <w:p w:rsidR="003B6E11" w:rsidRPr="003B6E11" w:rsidRDefault="003B6E11" w:rsidP="003B6E11">
      <w:pPr>
        <w:tabs>
          <w:tab w:val="left" w:pos="680"/>
        </w:tabs>
        <w:overflowPunct w:val="0"/>
        <w:adjustRightInd w:val="0"/>
        <w:ind w:left="680" w:hanging="680"/>
        <w:textAlignment w:val="baseline"/>
        <w:rPr>
          <w:szCs w:val="20"/>
          <w:lang w:val="cs-CZ"/>
        </w:rPr>
      </w:pPr>
      <w:r w:rsidRPr="003B6E11">
        <w:rPr>
          <w:lang w:val="cs-CZ"/>
        </w:rPr>
        <w:tab/>
        <w:t>Kloubové spojení musí být možné obsluhovat a sledovat (alespoň jeho kloubové pohyby) z kormidelny, požadavky článků 7.03 a 7.05 se použijí obdobně.</w:t>
      </w:r>
    </w:p>
    <w:p w:rsidR="003B6E11" w:rsidRPr="003B6E11" w:rsidRDefault="003B6E11" w:rsidP="003B6E11">
      <w:pPr>
        <w:tabs>
          <w:tab w:val="left" w:pos="680"/>
        </w:tabs>
        <w:overflowPunct w:val="0"/>
        <w:adjustRightInd w:val="0"/>
        <w:ind w:left="680" w:hanging="680"/>
        <w:textAlignment w:val="baseline"/>
        <w:rPr>
          <w:szCs w:val="20"/>
          <w:lang w:val="cs-CZ"/>
        </w:rPr>
      </w:pPr>
      <w:r w:rsidRPr="003B6E11">
        <w:rPr>
          <w:lang w:val="cs-CZ"/>
        </w:rPr>
        <w:br w:type="page"/>
      </w:r>
    </w:p>
    <w:p w:rsidR="003B6E11" w:rsidRPr="003B6E11" w:rsidRDefault="003B6E11" w:rsidP="003B6E11">
      <w:pPr>
        <w:tabs>
          <w:tab w:val="left" w:pos="680"/>
        </w:tabs>
        <w:overflowPunct w:val="0"/>
        <w:adjustRightInd w:val="0"/>
        <w:ind w:left="680" w:hanging="680"/>
        <w:textAlignment w:val="baseline"/>
        <w:rPr>
          <w:szCs w:val="20"/>
          <w:lang w:val="cs-CZ"/>
        </w:rPr>
      </w:pPr>
    </w:p>
    <w:p w:rsidR="003B6E11" w:rsidRPr="003B6E11" w:rsidRDefault="003B6E11" w:rsidP="003B6E11">
      <w:pPr>
        <w:tabs>
          <w:tab w:val="left" w:pos="680"/>
        </w:tabs>
        <w:overflowPunct w:val="0"/>
        <w:adjustRightInd w:val="0"/>
        <w:ind w:left="680" w:hanging="680"/>
        <w:textAlignment w:val="baseline"/>
        <w:rPr>
          <w:szCs w:val="20"/>
          <w:lang w:val="cs-CZ"/>
        </w:rPr>
      </w:pPr>
    </w:p>
    <w:p w:rsidR="003B6E11" w:rsidRPr="003B6E11" w:rsidRDefault="003B6E11" w:rsidP="003B6E11">
      <w:pPr>
        <w:tabs>
          <w:tab w:val="left" w:pos="680"/>
        </w:tabs>
        <w:overflowPunct w:val="0"/>
        <w:adjustRightInd w:val="0"/>
        <w:ind w:left="680" w:hanging="680"/>
        <w:textAlignment w:val="baseline"/>
        <w:rPr>
          <w:szCs w:val="20"/>
          <w:lang w:val="cs-CZ"/>
        </w:rPr>
      </w:pPr>
    </w:p>
    <w:p w:rsidR="003B6E11" w:rsidRPr="003B6E11" w:rsidRDefault="003B6E11" w:rsidP="003B6E11">
      <w:pPr>
        <w:tabs>
          <w:tab w:val="left" w:pos="680"/>
        </w:tabs>
        <w:overflowPunct w:val="0"/>
        <w:adjustRightInd w:val="0"/>
        <w:ind w:left="680" w:hanging="68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spacing w:line="240" w:lineRule="atLeast"/>
        <w:jc w:val="center"/>
        <w:textAlignment w:val="baseline"/>
        <w:rPr>
          <w:rFonts w:eastAsia="Calibri" w:cs="Arial"/>
          <w:b/>
          <w:i/>
          <w:caps/>
          <w:sz w:val="24"/>
          <w:szCs w:val="20"/>
          <w:lang w:val="cs-CZ"/>
        </w:rPr>
        <w:sectPr w:rsidR="003B6E11" w:rsidRPr="003B6E11" w:rsidSect="00D45887">
          <w:footnotePr>
            <w:numRestart w:val="eachPage"/>
          </w:footnotePr>
          <w:pgSz w:w="11907" w:h="16840" w:code="9"/>
          <w:pgMar w:top="1418" w:right="1418" w:bottom="1418" w:left="1418" w:header="680" w:footer="680" w:gutter="0"/>
          <w:cols w:space="720"/>
          <w:docGrid w:linePitch="326"/>
        </w:sectPr>
      </w:pPr>
    </w:p>
    <w:p w:rsidR="003B6E11" w:rsidRPr="003B6E11" w:rsidRDefault="003B6E11" w:rsidP="003B6E11">
      <w:pPr>
        <w:pStyle w:val="ES-Titre2ESI"/>
        <w:rPr>
          <w:szCs w:val="20"/>
        </w:rPr>
      </w:pPr>
      <w:bookmarkStart w:id="775" w:name="_Toc491854370"/>
      <w:bookmarkStart w:id="776" w:name="_Toc535417276"/>
      <w:r w:rsidRPr="003B6E11">
        <w:t>ESI-III-7</w:t>
      </w:r>
      <w:r w:rsidRPr="003B6E11">
        <w:br/>
        <w:t>Palivové nádrže na plovoucích strojích</w:t>
      </w:r>
      <w:bookmarkEnd w:id="775"/>
      <w:bookmarkEnd w:id="776"/>
    </w:p>
    <w:p w:rsidR="003B6E11" w:rsidRPr="003B6E11" w:rsidRDefault="003B6E11" w:rsidP="003B6E11">
      <w:pPr>
        <w:overflowPunct w:val="0"/>
        <w:adjustRightInd w:val="0"/>
        <w:textAlignment w:val="baseline"/>
        <w:rPr>
          <w:szCs w:val="20"/>
          <w:lang w:val="cs-CZ"/>
        </w:rPr>
      </w:pPr>
    </w:p>
    <w:p w:rsidR="003B6E11" w:rsidRPr="003B6E11" w:rsidRDefault="003B6E11" w:rsidP="003B6E11">
      <w:pPr>
        <w:tabs>
          <w:tab w:val="left" w:pos="284"/>
          <w:tab w:val="left" w:pos="567"/>
        </w:tabs>
        <w:overflowPunct w:val="0"/>
        <w:adjustRightInd w:val="0"/>
        <w:ind w:left="284" w:hanging="284"/>
        <w:jc w:val="center"/>
        <w:textAlignment w:val="baseline"/>
        <w:rPr>
          <w:b/>
          <w:szCs w:val="20"/>
          <w:lang w:val="cs-CZ"/>
        </w:rPr>
      </w:pPr>
      <w:r w:rsidRPr="003B6E11">
        <w:rPr>
          <w:b/>
          <w:lang w:val="cs-CZ"/>
        </w:rPr>
        <w:t>(Čl. 8.05 odst. 1 a čl. 22.02 odst. 1 písm. d))</w:t>
      </w:r>
    </w:p>
    <w:p w:rsidR="003B6E11" w:rsidRPr="003B6E11" w:rsidRDefault="003B6E11" w:rsidP="003B6E11">
      <w:pPr>
        <w:tabs>
          <w:tab w:val="left" w:pos="284"/>
          <w:tab w:val="left" w:pos="567"/>
        </w:tabs>
        <w:overflowPunct w:val="0"/>
        <w:adjustRightInd w:val="0"/>
        <w:ind w:left="284" w:hanging="284"/>
        <w:textAlignment w:val="baseline"/>
        <w:rPr>
          <w:szCs w:val="20"/>
          <w:lang w:val="cs-CZ"/>
        </w:rPr>
      </w:pPr>
    </w:p>
    <w:p w:rsidR="003B6E11" w:rsidRPr="003B6E11" w:rsidRDefault="003B6E11" w:rsidP="003B6E11">
      <w:pPr>
        <w:spacing w:line="240" w:lineRule="atLeast"/>
        <w:rPr>
          <w:noProof/>
          <w:lang w:val="cs-CZ"/>
        </w:rPr>
      </w:pPr>
      <w:r w:rsidRPr="003B6E11">
        <w:rPr>
          <w:lang w:val="cs-CZ"/>
        </w:rPr>
        <w:t>Podle čl. 8.05 odst. 1 musí palivové nádrže tvořit nedílnou součást trupu nebo k němu musí být pevně uchycené.</w:t>
      </w:r>
    </w:p>
    <w:p w:rsidR="003B6E11" w:rsidRPr="003B6E11" w:rsidRDefault="003B6E11" w:rsidP="003B6E11">
      <w:pPr>
        <w:spacing w:line="240" w:lineRule="atLeast"/>
        <w:rPr>
          <w:noProof/>
          <w:lang w:val="cs-CZ"/>
        </w:rPr>
      </w:pPr>
    </w:p>
    <w:p w:rsidR="003B6E11" w:rsidRPr="003B6E11" w:rsidRDefault="003B6E11" w:rsidP="003B6E11">
      <w:pPr>
        <w:spacing w:line="240" w:lineRule="atLeast"/>
        <w:rPr>
          <w:noProof/>
          <w:lang w:val="cs-CZ"/>
        </w:rPr>
      </w:pPr>
      <w:r w:rsidRPr="003B6E11">
        <w:rPr>
          <w:lang w:val="cs-CZ"/>
        </w:rPr>
        <w:t>Palivové nádrže pro motory pracovních zařízení na plovoucím stroji nemusí tvořit nedílnou součást trupu nebo k němu být pevně uchycené. Lze používat mobilní nádrže, pokud splňují tyto podmínky:</w:t>
      </w:r>
    </w:p>
    <w:p w:rsidR="003B6E11" w:rsidRPr="003B6E11" w:rsidRDefault="003B6E11" w:rsidP="003B6E11">
      <w:pPr>
        <w:tabs>
          <w:tab w:val="left" w:pos="0"/>
          <w:tab w:val="left" w:pos="454"/>
          <w:tab w:val="left" w:pos="567"/>
          <w:tab w:val="left" w:pos="851"/>
        </w:tabs>
        <w:overflowPunct w:val="0"/>
        <w:adjustRightInd w:val="0"/>
        <w:ind w:left="454" w:hanging="454"/>
        <w:textAlignment w:val="baseline"/>
        <w:rPr>
          <w:szCs w:val="20"/>
          <w:lang w:val="cs-CZ"/>
        </w:rPr>
      </w:pPr>
    </w:p>
    <w:p w:rsidR="003B6E11" w:rsidRPr="003B6E11" w:rsidRDefault="003B6E11" w:rsidP="003B6E11">
      <w:pPr>
        <w:spacing w:line="240" w:lineRule="atLeast"/>
        <w:ind w:left="567" w:hanging="567"/>
        <w:rPr>
          <w:lang w:val="cs-CZ"/>
        </w:rPr>
      </w:pPr>
      <w:r w:rsidRPr="003B6E11">
        <w:rPr>
          <w:lang w:val="cs-CZ"/>
        </w:rPr>
        <w:t>1.</w:t>
      </w:r>
      <w:r w:rsidRPr="003B6E11">
        <w:rPr>
          <w:lang w:val="cs-CZ"/>
        </w:rPr>
        <w:tab/>
        <w:t>Objem těchto nádrží nesmí překročit 1000 l.</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2.</w:t>
      </w:r>
      <w:r w:rsidRPr="003B6E11">
        <w:rPr>
          <w:lang w:val="cs-CZ"/>
        </w:rPr>
        <w:tab/>
        <w:t>Musí být možné nádrže dostatečně pevně uchytit a ukostřit je.</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3.</w:t>
      </w:r>
      <w:r w:rsidRPr="003B6E11">
        <w:rPr>
          <w:lang w:val="cs-CZ"/>
        </w:rPr>
        <w:tab/>
        <w:t>Nádrže musí být vyrobeny z oceli s dostatečnou tloušťkou stěny a musí se instalovat na odkapávací vanu. Odkapávací vana musí mít konstrukci zamezující úniku paliva a znečištění vodních cest. Od odkapávací vany lze upustit, pokud jsou použity nádrže s dvojitým pláštěm s ochranou proti úniku nebo se systémem varování před únikem, přičemž tyto nádrže musí být plněny pouze přes automatický přívodní ventil. Ustanovení bodu 3 se považují za splněná, jestliže byla konstrukce nádrže certifikována a schválena podle předpisů členského státu.</w:t>
      </w:r>
    </w:p>
    <w:p w:rsidR="003B6E11" w:rsidRPr="003B6E11" w:rsidRDefault="003B6E11" w:rsidP="003B6E11">
      <w:pPr>
        <w:tabs>
          <w:tab w:val="left" w:pos="567"/>
          <w:tab w:val="left" w:pos="851"/>
          <w:tab w:val="left" w:pos="1701"/>
          <w:tab w:val="left" w:pos="7088"/>
        </w:tabs>
        <w:overflowPunct w:val="0"/>
        <w:adjustRightInd w:val="0"/>
        <w:spacing w:line="240" w:lineRule="atLeast"/>
        <w:textAlignment w:val="baseline"/>
        <w:rPr>
          <w:szCs w:val="20"/>
          <w:lang w:val="cs-CZ"/>
        </w:rPr>
      </w:pPr>
    </w:p>
    <w:p w:rsidR="003B6E11" w:rsidRPr="003B6E11" w:rsidRDefault="003B6E11" w:rsidP="003B6E11">
      <w:pPr>
        <w:spacing w:line="240" w:lineRule="atLeast"/>
        <w:rPr>
          <w:noProof/>
          <w:lang w:val="cs-CZ"/>
        </w:rPr>
      </w:pPr>
      <w:r w:rsidRPr="003B6E11">
        <w:rPr>
          <w:lang w:val="cs-CZ"/>
        </w:rPr>
        <w:t>V osvědčení plavidla vnitrozemské plavby musí být proveden odpovídající záznam.</w:t>
      </w:r>
    </w:p>
    <w:p w:rsidR="003B6E11" w:rsidRPr="003B6E11" w:rsidRDefault="003B6E11" w:rsidP="003B6E11">
      <w:pPr>
        <w:tabs>
          <w:tab w:val="left" w:pos="0"/>
          <w:tab w:val="left" w:pos="567"/>
          <w:tab w:val="left" w:pos="851"/>
          <w:tab w:val="left" w:pos="1701"/>
          <w:tab w:val="left" w:pos="7088"/>
        </w:tabs>
        <w:overflowPunct w:val="0"/>
        <w:adjustRightInd w:val="0"/>
        <w:ind w:left="567" w:hanging="567"/>
        <w:textAlignment w:val="baseline"/>
        <w:rPr>
          <w:szCs w:val="20"/>
          <w:lang w:val="cs-CZ"/>
        </w:rPr>
      </w:pPr>
    </w:p>
    <w:p w:rsidR="003B6E11" w:rsidRPr="003B6E11" w:rsidRDefault="003B6E11" w:rsidP="003B6E11">
      <w:pPr>
        <w:tabs>
          <w:tab w:val="left" w:pos="0"/>
          <w:tab w:val="left" w:pos="567"/>
          <w:tab w:val="left" w:pos="851"/>
          <w:tab w:val="left" w:pos="1701"/>
          <w:tab w:val="left" w:pos="7088"/>
        </w:tabs>
        <w:overflowPunct w:val="0"/>
        <w:adjustRightInd w:val="0"/>
        <w:ind w:left="567" w:hanging="567"/>
        <w:textAlignment w:val="baseline"/>
        <w:rPr>
          <w:szCs w:val="20"/>
          <w:lang w:val="cs-CZ"/>
        </w:rPr>
      </w:pPr>
      <w:r w:rsidRPr="003B6E11">
        <w:rPr>
          <w:lang w:val="cs-CZ"/>
        </w:rPr>
        <w:br w:type="page"/>
      </w:r>
    </w:p>
    <w:p w:rsidR="003B6E11" w:rsidRPr="003B6E11" w:rsidRDefault="003B6E11" w:rsidP="003B6E11">
      <w:pPr>
        <w:tabs>
          <w:tab w:val="left" w:pos="0"/>
          <w:tab w:val="left" w:pos="567"/>
          <w:tab w:val="left" w:pos="851"/>
          <w:tab w:val="left" w:pos="1701"/>
          <w:tab w:val="left" w:pos="7088"/>
        </w:tabs>
        <w:overflowPunct w:val="0"/>
        <w:adjustRightInd w:val="0"/>
        <w:ind w:left="567" w:hanging="567"/>
        <w:textAlignment w:val="baseline"/>
        <w:rPr>
          <w:szCs w:val="20"/>
          <w:lang w:val="cs-CZ"/>
        </w:rPr>
      </w:pPr>
    </w:p>
    <w:p w:rsidR="003B6E11" w:rsidRPr="003B6E11" w:rsidRDefault="003B6E11" w:rsidP="003B6E11">
      <w:pPr>
        <w:tabs>
          <w:tab w:val="left" w:pos="0"/>
          <w:tab w:val="left" w:pos="567"/>
          <w:tab w:val="left" w:pos="851"/>
          <w:tab w:val="left" w:pos="1701"/>
          <w:tab w:val="left" w:pos="7088"/>
        </w:tabs>
        <w:overflowPunct w:val="0"/>
        <w:adjustRightInd w:val="0"/>
        <w:ind w:left="567" w:hanging="567"/>
        <w:textAlignment w:val="baseline"/>
        <w:rPr>
          <w:szCs w:val="20"/>
          <w:lang w:val="cs-CZ"/>
        </w:rPr>
      </w:pPr>
    </w:p>
    <w:p w:rsidR="003B6E11" w:rsidRPr="003B6E11" w:rsidRDefault="003B6E11" w:rsidP="003B6E11">
      <w:pPr>
        <w:tabs>
          <w:tab w:val="left" w:pos="0"/>
          <w:tab w:val="left" w:pos="567"/>
          <w:tab w:val="left" w:pos="851"/>
          <w:tab w:val="left" w:pos="1701"/>
          <w:tab w:val="left" w:pos="7088"/>
        </w:tabs>
        <w:overflowPunct w:val="0"/>
        <w:adjustRightInd w:val="0"/>
        <w:ind w:left="567" w:hanging="567"/>
        <w:textAlignment w:val="baseline"/>
        <w:rPr>
          <w:szCs w:val="20"/>
          <w:lang w:val="cs-CZ"/>
        </w:rPr>
      </w:pPr>
    </w:p>
    <w:p w:rsidR="003B6E11" w:rsidRPr="003B6E11" w:rsidRDefault="003B6E11" w:rsidP="003B6E11">
      <w:pPr>
        <w:tabs>
          <w:tab w:val="left" w:pos="0"/>
          <w:tab w:val="left" w:pos="567"/>
          <w:tab w:val="left" w:pos="851"/>
          <w:tab w:val="left" w:pos="1701"/>
          <w:tab w:val="left" w:pos="7088"/>
        </w:tabs>
        <w:overflowPunct w:val="0"/>
        <w:adjustRightInd w:val="0"/>
        <w:ind w:left="567" w:hanging="567"/>
        <w:textAlignment w:val="baseline"/>
        <w:rPr>
          <w:szCs w:val="20"/>
          <w:lang w:val="cs-CZ"/>
        </w:rPr>
      </w:pPr>
    </w:p>
    <w:p w:rsidR="003B6E11" w:rsidRPr="003B6E11" w:rsidRDefault="003B6E11" w:rsidP="003B6E11">
      <w:pPr>
        <w:tabs>
          <w:tab w:val="left" w:pos="0"/>
          <w:tab w:val="left" w:pos="567"/>
          <w:tab w:val="left" w:pos="851"/>
          <w:tab w:val="left" w:pos="1701"/>
          <w:tab w:val="left" w:pos="7088"/>
        </w:tabs>
        <w:overflowPunct w:val="0"/>
        <w:adjustRightInd w:val="0"/>
        <w:ind w:left="567" w:hanging="567"/>
        <w:textAlignment w:val="baseline"/>
        <w:rPr>
          <w:szCs w:val="20"/>
          <w:lang w:val="cs-CZ"/>
        </w:rPr>
      </w:pPr>
    </w:p>
    <w:p w:rsidR="003B6E11" w:rsidRPr="003B6E11" w:rsidRDefault="003B6E11" w:rsidP="003B6E11">
      <w:pPr>
        <w:tabs>
          <w:tab w:val="left" w:pos="0"/>
          <w:tab w:val="left" w:pos="567"/>
          <w:tab w:val="left" w:pos="851"/>
          <w:tab w:val="left" w:pos="1701"/>
          <w:tab w:val="left" w:pos="7088"/>
        </w:tabs>
        <w:overflowPunct w:val="0"/>
        <w:adjustRightInd w:val="0"/>
        <w:ind w:left="567" w:hanging="567"/>
        <w:textAlignment w:val="baseline"/>
        <w:rPr>
          <w:szCs w:val="20"/>
          <w:lang w:val="cs-CZ"/>
        </w:rPr>
        <w:sectPr w:rsidR="003B6E11" w:rsidRPr="003B6E11" w:rsidSect="00D45887">
          <w:footnotePr>
            <w:numRestart w:val="eachPage"/>
          </w:footnotePr>
          <w:pgSz w:w="11907" w:h="16840" w:code="9"/>
          <w:pgMar w:top="1418" w:right="1418" w:bottom="1418" w:left="1418" w:header="680" w:footer="680" w:gutter="0"/>
          <w:cols w:space="720"/>
          <w:docGrid w:linePitch="326"/>
        </w:sectPr>
      </w:pPr>
    </w:p>
    <w:p w:rsidR="003B6E11" w:rsidRPr="003B6E11" w:rsidRDefault="003B6E11" w:rsidP="003B6E11">
      <w:pPr>
        <w:pStyle w:val="ES-Titre2ESI"/>
        <w:rPr>
          <w:noProof/>
        </w:rPr>
      </w:pPr>
      <w:bookmarkStart w:id="777" w:name="_Toc491854371"/>
      <w:bookmarkStart w:id="778" w:name="_Toc535417277"/>
      <w:r w:rsidRPr="003B6E11">
        <w:t>ESI-III-8</w:t>
      </w:r>
      <w:r w:rsidRPr="003B6E11">
        <w:br/>
        <w:t>Rekreační plavidla</w:t>
      </w:r>
      <w:bookmarkEnd w:id="777"/>
      <w:bookmarkEnd w:id="778"/>
    </w:p>
    <w:p w:rsidR="003B6E11" w:rsidRPr="003B6E11" w:rsidRDefault="003B6E11" w:rsidP="003B6E11">
      <w:pPr>
        <w:spacing w:line="240" w:lineRule="atLeast"/>
        <w:ind w:left="567" w:hanging="567"/>
        <w:rPr>
          <w:noProof/>
          <w:lang w:val="cs-CZ"/>
        </w:rPr>
      </w:pPr>
    </w:p>
    <w:p w:rsidR="003B6E11" w:rsidRPr="003B6E11" w:rsidRDefault="003B6E11" w:rsidP="003B6E11">
      <w:pPr>
        <w:spacing w:line="240" w:lineRule="atLeast"/>
        <w:jc w:val="center"/>
        <w:rPr>
          <w:b/>
          <w:noProof/>
          <w:lang w:val="cs-CZ"/>
        </w:rPr>
      </w:pPr>
      <w:r w:rsidRPr="003B6E11">
        <w:rPr>
          <w:b/>
          <w:noProof/>
          <w:lang w:val="cs-CZ"/>
        </w:rPr>
        <w:t>(Čl. 26.01 odst. 2 ve spojení s článkem 7.02, čl. 8.05 odst. 5, čl. 8.08 odst. 2 a článkem 8.10)</w:t>
      </w:r>
    </w:p>
    <w:p w:rsidR="003B6E11" w:rsidRPr="003B6E11" w:rsidRDefault="003B6E11" w:rsidP="003B6E11">
      <w:pPr>
        <w:spacing w:line="240" w:lineRule="atLeast"/>
        <w:ind w:left="567" w:hanging="567"/>
        <w:rPr>
          <w:rFonts w:cs="Arial"/>
          <w:b/>
          <w:noProof/>
          <w:color w:val="000000"/>
          <w:szCs w:val="20"/>
          <w:lang w:val="cs-CZ"/>
        </w:rPr>
      </w:pP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1.</w:t>
      </w:r>
      <w:r w:rsidRPr="003B6E11">
        <w:rPr>
          <w:lang w:val="cs-CZ"/>
        </w:rPr>
        <w:tab/>
      </w:r>
      <w:r w:rsidRPr="003B6E11">
        <w:rPr>
          <w:b/>
          <w:noProof/>
          <w:color w:val="000000"/>
          <w:lang w:val="cs-CZ"/>
        </w:rPr>
        <w:t>Obecně</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Rekreační plavidla o délce do 24 metrů, která jsou uváděna na trh, musí být v souladu s požadavky směrnice 2013/53/EU. Podle článku 3 ve spojení s článkem 2 uvedené směrnice musí mít rekreační plavidla o délce 20 metrů a více osvědčení plavidla vnitrozemské plavby potvrzující, že plavidlo splňuje technické požadavky této normy. Vzhledem k tomu, že by se mělo předejít dvojímu provádění prohlídek nebo dvojímu vydávání osvědčení, pokud jde o některá zařízení, uspořádání a vybavení nových rekreačních plavidel, k čemuž může dojít v důsledku určitých ustanovení článku 26.01 této normy, poskytuje tento pokyn informace o požadavcích uvedených v článku 26.01, které jsou již dostatečně upraveny směrnicí 2013/53/EU.</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hanging="567"/>
        <w:rPr>
          <w:rFonts w:cs="Arial"/>
          <w:b/>
          <w:noProof/>
          <w:color w:val="000000"/>
          <w:szCs w:val="20"/>
          <w:lang w:val="cs-CZ"/>
        </w:rPr>
      </w:pPr>
      <w:r w:rsidRPr="003B6E11">
        <w:rPr>
          <w:b/>
          <w:noProof/>
          <w:color w:val="000000"/>
          <w:lang w:val="cs-CZ"/>
        </w:rPr>
        <w:t>2.</w:t>
      </w:r>
      <w:r w:rsidRPr="003B6E11">
        <w:rPr>
          <w:lang w:val="cs-CZ"/>
        </w:rPr>
        <w:tab/>
      </w:r>
      <w:r w:rsidRPr="003B6E11">
        <w:rPr>
          <w:b/>
          <w:noProof/>
          <w:color w:val="000000"/>
          <w:lang w:val="cs-CZ"/>
        </w:rPr>
        <w:t>Požadavky uvedené v čl. 26.01, které jsou již upraveny směrnicí 2013/53/EU</w:t>
      </w:r>
    </w:p>
    <w:p w:rsidR="003B6E11" w:rsidRPr="003B6E11" w:rsidRDefault="003B6E11" w:rsidP="003B6E11">
      <w:pPr>
        <w:spacing w:line="240" w:lineRule="atLeast"/>
        <w:ind w:left="567"/>
        <w:rPr>
          <w:noProof/>
          <w:lang w:val="cs-CZ"/>
        </w:rPr>
      </w:pPr>
    </w:p>
    <w:p w:rsidR="003B6E11" w:rsidRPr="003B6E11" w:rsidRDefault="003B6E11" w:rsidP="003B6E11">
      <w:pPr>
        <w:spacing w:line="240" w:lineRule="atLeast"/>
        <w:ind w:left="567"/>
        <w:rPr>
          <w:noProof/>
          <w:lang w:val="cs-CZ"/>
        </w:rPr>
      </w:pPr>
      <w:r w:rsidRPr="003B6E11">
        <w:rPr>
          <w:lang w:val="cs-CZ"/>
        </w:rPr>
        <w:t>U rekreačních plavidel, na něž se vztahuje směrnice 2013/53/EU, nesmí subjekt pověřený prohlídkami, pokud jde o vydávání osvědčení plavidla vnitrozemské plavby (první prohlídka), požadovat žádnou další prohlídku v souvislosti s níže uvedenými požadavky stanovenými v čl. 26.01 odst. 2 nebo osvědčení jejich splnění za předpokladu, že plavidlo přistavené k prohlídce nebylo uvedeno na trh dříve než 3 roky před přistavením subjektu pověřenému prohlídkami, nebylo nijak upravováno a prohlášení o shodě se vztahuje na následující harmonizované normy nebo jim rovnocenné předpisy:</w:t>
      </w:r>
    </w:p>
    <w:p w:rsidR="003B6E11" w:rsidRPr="003B6E11" w:rsidRDefault="003B6E11" w:rsidP="003B6E11">
      <w:pPr>
        <w:tabs>
          <w:tab w:val="left" w:pos="4253"/>
        </w:tabs>
        <w:spacing w:before="60" w:line="240" w:lineRule="atLeast"/>
        <w:ind w:left="2127" w:hanging="1560"/>
        <w:rPr>
          <w:noProof/>
          <w:lang w:val="cs-CZ"/>
        </w:rPr>
      </w:pPr>
      <w:r w:rsidRPr="003B6E11">
        <w:rPr>
          <w:lang w:val="cs-CZ"/>
        </w:rPr>
        <w:t>Článek 7.02:</w:t>
      </w:r>
      <w:r w:rsidRPr="003B6E11">
        <w:rPr>
          <w:lang w:val="cs-CZ"/>
        </w:rPr>
        <w:tab/>
        <w:t>EN ISO 11591:2000</w:t>
      </w:r>
      <w:r w:rsidRPr="003B6E11">
        <w:rPr>
          <w:lang w:val="cs-CZ"/>
        </w:rPr>
        <w:tab/>
        <w:t>(Neomezený výhled)</w:t>
      </w:r>
    </w:p>
    <w:p w:rsidR="003B6E11" w:rsidRPr="003B6E11" w:rsidRDefault="003B6E11" w:rsidP="003B6E11">
      <w:pPr>
        <w:tabs>
          <w:tab w:val="left" w:pos="4253"/>
        </w:tabs>
        <w:spacing w:before="60" w:line="240" w:lineRule="atLeast"/>
        <w:ind w:left="2127" w:hanging="1560"/>
        <w:rPr>
          <w:noProof/>
          <w:lang w:val="cs-CZ"/>
        </w:rPr>
      </w:pPr>
      <w:r w:rsidRPr="003B6E11">
        <w:rPr>
          <w:lang w:val="cs-CZ"/>
        </w:rPr>
        <w:t>Čl. 8.05 odst. 5:</w:t>
      </w:r>
      <w:r w:rsidRPr="003B6E11">
        <w:rPr>
          <w:lang w:val="cs-CZ"/>
        </w:rPr>
        <w:tab/>
        <w:t>EN ISO 10088:2013</w:t>
      </w:r>
      <w:r w:rsidRPr="003B6E11">
        <w:rPr>
          <w:lang w:val="cs-CZ"/>
        </w:rPr>
        <w:tab/>
        <w:t>(Palivové nádrže a potrubí)</w:t>
      </w:r>
    </w:p>
    <w:p w:rsidR="003B6E11" w:rsidRPr="003B6E11" w:rsidRDefault="003B6E11" w:rsidP="003B6E11">
      <w:pPr>
        <w:tabs>
          <w:tab w:val="left" w:pos="4253"/>
        </w:tabs>
        <w:spacing w:before="60" w:line="240" w:lineRule="atLeast"/>
        <w:ind w:left="2127" w:hanging="1560"/>
        <w:rPr>
          <w:noProof/>
          <w:lang w:val="cs-CZ"/>
        </w:rPr>
      </w:pPr>
      <w:r w:rsidRPr="003B6E11">
        <w:rPr>
          <w:lang w:val="cs-CZ"/>
        </w:rPr>
        <w:t>Čl. 8.08 odst. 2:</w:t>
      </w:r>
      <w:r w:rsidRPr="003B6E11">
        <w:rPr>
          <w:lang w:val="cs-CZ"/>
        </w:rPr>
        <w:tab/>
        <w:t>EN ISO 15083:2003</w:t>
      </w:r>
      <w:r w:rsidRPr="003B6E11">
        <w:rPr>
          <w:lang w:val="cs-CZ"/>
        </w:rPr>
        <w:tab/>
        <w:t>(Odvodnění)</w:t>
      </w:r>
    </w:p>
    <w:p w:rsidR="003B6E11" w:rsidRPr="003B6E11" w:rsidRDefault="003B6E11" w:rsidP="003B6E11">
      <w:pPr>
        <w:tabs>
          <w:tab w:val="left" w:pos="4253"/>
        </w:tabs>
        <w:spacing w:before="60" w:line="240" w:lineRule="atLeast"/>
        <w:ind w:left="2127" w:hanging="1560"/>
        <w:rPr>
          <w:noProof/>
          <w:lang w:val="cs-CZ"/>
        </w:rPr>
      </w:pPr>
      <w:r w:rsidRPr="003B6E11">
        <w:rPr>
          <w:lang w:val="cs-CZ"/>
        </w:rPr>
        <w:t>Článek 8.10:</w:t>
      </w:r>
      <w:r w:rsidRPr="003B6E11">
        <w:rPr>
          <w:lang w:val="cs-CZ"/>
        </w:rPr>
        <w:tab/>
        <w:t>EN ISO 14509-1:2008 a EN ISO 14509-3:2009 (Emise hluku)</w:t>
      </w:r>
    </w:p>
    <w:p w:rsidR="003B6E11" w:rsidRPr="003B6E11" w:rsidRDefault="003B6E11" w:rsidP="003B6E11">
      <w:pPr>
        <w:spacing w:line="240" w:lineRule="atLeast"/>
        <w:ind w:left="567" w:hanging="567"/>
        <w:rPr>
          <w:lang w:val="cs-CZ"/>
        </w:rPr>
      </w:pPr>
      <w:r w:rsidRPr="003B6E11">
        <w:rPr>
          <w:lang w:val="cs-CZ"/>
        </w:rPr>
        <w:t xml:space="preserve"> </w:t>
      </w:r>
    </w:p>
    <w:p w:rsidR="003B6E11" w:rsidRPr="003B6E11" w:rsidRDefault="003B6E11" w:rsidP="003B6E11">
      <w:pPr>
        <w:spacing w:line="240" w:lineRule="atLeast"/>
        <w:ind w:left="567" w:hanging="567"/>
        <w:rPr>
          <w:lang w:val="cs-CZ"/>
        </w:rPr>
      </w:pPr>
      <w:r w:rsidRPr="003B6E11">
        <w:rPr>
          <w:lang w:val="cs-CZ"/>
        </w:rPr>
        <w:br w:type="page"/>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p>
    <w:p w:rsidR="003B6E11" w:rsidRPr="003B6E11" w:rsidRDefault="003B6E11" w:rsidP="003B6E11">
      <w:pPr>
        <w:tabs>
          <w:tab w:val="left" w:pos="0"/>
          <w:tab w:val="left" w:pos="567"/>
          <w:tab w:val="left" w:pos="851"/>
          <w:tab w:val="left" w:pos="1701"/>
          <w:tab w:val="left" w:pos="7088"/>
        </w:tabs>
        <w:overflowPunct w:val="0"/>
        <w:adjustRightInd w:val="0"/>
        <w:ind w:left="567" w:hanging="567"/>
        <w:textAlignment w:val="baseline"/>
        <w:rPr>
          <w:szCs w:val="20"/>
          <w:lang w:val="cs-CZ"/>
        </w:rPr>
      </w:pPr>
    </w:p>
    <w:p w:rsidR="003B6E11" w:rsidRPr="003B6E11" w:rsidRDefault="003B6E11" w:rsidP="003B6E11">
      <w:pPr>
        <w:tabs>
          <w:tab w:val="left" w:pos="0"/>
          <w:tab w:val="left" w:pos="567"/>
          <w:tab w:val="left" w:pos="851"/>
          <w:tab w:val="left" w:pos="1701"/>
          <w:tab w:val="left" w:pos="7088"/>
        </w:tabs>
        <w:overflowPunct w:val="0"/>
        <w:adjustRightInd w:val="0"/>
        <w:ind w:left="567" w:hanging="567"/>
        <w:textAlignment w:val="baseline"/>
        <w:rPr>
          <w:szCs w:val="20"/>
          <w:lang w:val="cs-CZ"/>
        </w:rPr>
        <w:sectPr w:rsidR="003B6E11" w:rsidRPr="003B6E11" w:rsidSect="00D45887">
          <w:footnotePr>
            <w:numRestart w:val="eachPage"/>
          </w:footnotePr>
          <w:pgSz w:w="11907" w:h="16840" w:code="9"/>
          <w:pgMar w:top="1418" w:right="1418" w:bottom="1418" w:left="1418" w:header="680" w:footer="680" w:gutter="0"/>
          <w:cols w:space="720"/>
          <w:docGrid w:linePitch="326"/>
        </w:sectPr>
      </w:pPr>
    </w:p>
    <w:p w:rsidR="003B6E11" w:rsidRPr="003B6E11" w:rsidRDefault="003B6E11" w:rsidP="003B6E11">
      <w:pPr>
        <w:pStyle w:val="ES-Titre2ESI"/>
        <w:rPr>
          <w:szCs w:val="20"/>
        </w:rPr>
      </w:pPr>
      <w:bookmarkStart w:id="779" w:name="_Toc491854372"/>
      <w:bookmarkStart w:id="780" w:name="_Toc535417278"/>
      <w:r w:rsidRPr="003B6E11">
        <w:t>ESI-III-9</w:t>
      </w:r>
      <w:r w:rsidRPr="003B6E11">
        <w:br/>
        <w:t>Prokázání plovatelnosti, sklonu a stability oddělených částí lodi</w:t>
      </w:r>
      <w:bookmarkEnd w:id="779"/>
      <w:bookmarkEnd w:id="780"/>
    </w:p>
    <w:p w:rsidR="003B6E11" w:rsidRPr="003B6E11" w:rsidRDefault="003B6E11" w:rsidP="003B6E11">
      <w:pPr>
        <w:tabs>
          <w:tab w:val="left" w:pos="0"/>
          <w:tab w:val="left" w:pos="567"/>
          <w:tab w:val="left" w:pos="851"/>
          <w:tab w:val="left" w:pos="1701"/>
          <w:tab w:val="left" w:pos="7088"/>
        </w:tabs>
        <w:overflowPunct w:val="0"/>
        <w:adjustRightInd w:val="0"/>
        <w:ind w:left="567" w:hanging="567"/>
        <w:textAlignment w:val="baseline"/>
        <w:rPr>
          <w:szCs w:val="20"/>
          <w:lang w:val="cs-CZ"/>
        </w:rPr>
      </w:pPr>
    </w:p>
    <w:p w:rsidR="003B6E11" w:rsidRPr="003B6E11" w:rsidRDefault="003B6E11" w:rsidP="003B6E11">
      <w:pPr>
        <w:jc w:val="center"/>
        <w:rPr>
          <w:rFonts w:cs="Arial"/>
          <w:b/>
          <w:bCs/>
          <w:lang w:val="cs-CZ"/>
        </w:rPr>
      </w:pPr>
      <w:r w:rsidRPr="003B6E11">
        <w:rPr>
          <w:b/>
          <w:noProof/>
          <w:lang w:val="cs-CZ"/>
        </w:rPr>
        <w:t>(Čl. 28.04 ve spojení s články 27.02 a 27.03)</w:t>
      </w:r>
    </w:p>
    <w:p w:rsidR="003B6E11" w:rsidRPr="003B6E11" w:rsidRDefault="003B6E11" w:rsidP="003B6E11">
      <w:pPr>
        <w:rPr>
          <w:rFonts w:cs="Arial"/>
          <w:lang w:val="cs-CZ"/>
        </w:rPr>
      </w:pPr>
    </w:p>
    <w:p w:rsidR="003B6E11" w:rsidRPr="003B6E11" w:rsidRDefault="003B6E11" w:rsidP="003B6E11">
      <w:pPr>
        <w:spacing w:line="240" w:lineRule="atLeast"/>
        <w:ind w:left="567" w:hanging="567"/>
        <w:rPr>
          <w:strike/>
          <w:lang w:val="cs-CZ"/>
        </w:rPr>
      </w:pPr>
      <w:r w:rsidRPr="003B6E11">
        <w:rPr>
          <w:lang w:val="cs-CZ"/>
        </w:rPr>
        <w:t>1.</w:t>
      </w:r>
      <w:r w:rsidRPr="003B6E11">
        <w:rPr>
          <w:lang w:val="cs-CZ"/>
        </w:rPr>
        <w:tab/>
        <w:t>Při prokazování plovatelnosti, sklonu a stability částí lodi, které jsou odděleny v souladu s čl. 28.04 odst. 2 písm. a), se předpokládá, že obě části byly předtím částečně nebo zcela vyloženy a že kontejnery přesahující jícnový sil byly vhodně zabezpečeny proti posunu.</w:t>
      </w:r>
    </w:p>
    <w:p w:rsidR="003B6E11" w:rsidRPr="003B6E11" w:rsidRDefault="003B6E11" w:rsidP="003B6E11">
      <w:pPr>
        <w:spacing w:line="240" w:lineRule="atLeast"/>
        <w:ind w:left="567" w:hanging="567"/>
        <w:rPr>
          <w:strike/>
          <w:szCs w:val="20"/>
          <w:lang w:val="cs-CZ"/>
        </w:rPr>
      </w:pPr>
    </w:p>
    <w:p w:rsidR="003B6E11" w:rsidRPr="003B6E11" w:rsidRDefault="003B6E11" w:rsidP="003B6E11">
      <w:pPr>
        <w:spacing w:line="240" w:lineRule="atLeast"/>
        <w:ind w:left="567" w:hanging="567"/>
        <w:rPr>
          <w:lang w:val="cs-CZ"/>
        </w:rPr>
      </w:pPr>
      <w:r w:rsidRPr="003B6E11">
        <w:rPr>
          <w:lang w:val="cs-CZ"/>
        </w:rPr>
        <w:t>2.</w:t>
      </w:r>
      <w:r w:rsidRPr="003B6E11">
        <w:rPr>
          <w:lang w:val="cs-CZ"/>
        </w:rPr>
        <w:tab/>
        <w:t>Pro každou z obou částí je proto potřeba při výpočtu stability podle článku 27.03 (Mezní podmínky pro způsob výpočtu k potvrzení stability při přepravě zajištěných kontejnerů) splnit následující požadavky:</w:t>
      </w:r>
    </w:p>
    <w:p w:rsidR="003B6E11" w:rsidRPr="003B6E11" w:rsidRDefault="003B6E11" w:rsidP="003B6E11">
      <w:pPr>
        <w:tabs>
          <w:tab w:val="left" w:pos="567"/>
        </w:tabs>
        <w:spacing w:before="60" w:line="240" w:lineRule="atLeast"/>
        <w:ind w:left="992"/>
        <w:rPr>
          <w:rFonts w:cs="Arial"/>
          <w:lang w:val="cs-CZ"/>
        </w:rPr>
      </w:pPr>
      <w:r w:rsidRPr="003B6E11">
        <w:rPr>
          <w:rFonts w:cs="Arial"/>
          <w:noProof/>
          <w:lang w:val="cs-CZ"/>
        </w:rPr>
        <w:sym w:font="Symbol" w:char="F0B7"/>
      </w:r>
      <w:r w:rsidRPr="003B6E11">
        <w:rPr>
          <w:lang w:val="cs-CZ"/>
        </w:rPr>
        <w:tab/>
        <w:t xml:space="preserve">metacentrická výška </w:t>
      </w:r>
      <m:oMath>
        <m:acc>
          <m:accPr>
            <m:chr m:val="̅"/>
            <m:ctrlPr>
              <w:rPr>
                <w:rFonts w:ascii="Cambria Math" w:hAnsi="Cambria Math"/>
                <w:i/>
                <w:lang w:val="cs-CZ"/>
              </w:rPr>
            </m:ctrlPr>
          </m:accPr>
          <m:e>
            <m:r>
              <w:rPr>
                <w:rFonts w:ascii="Cambria Math" w:hAnsi="Cambria Math"/>
                <w:lang w:val="cs-CZ"/>
              </w:rPr>
              <m:t>MG</m:t>
            </m:r>
          </m:e>
        </m:acc>
      </m:oMath>
      <w:r w:rsidRPr="003B6E11">
        <w:rPr>
          <w:lang w:val="cs-CZ"/>
        </w:rPr>
        <w:t xml:space="preserve"> nesmí být menší než 0,50 m,</w:t>
      </w:r>
    </w:p>
    <w:p w:rsidR="003B6E11" w:rsidRPr="003B6E11" w:rsidRDefault="003B6E11" w:rsidP="003B6E11">
      <w:pPr>
        <w:tabs>
          <w:tab w:val="left" w:pos="567"/>
        </w:tabs>
        <w:spacing w:before="60" w:line="240" w:lineRule="atLeast"/>
        <w:ind w:left="992"/>
        <w:rPr>
          <w:rFonts w:cs="Arial"/>
          <w:lang w:val="cs-CZ"/>
        </w:rPr>
      </w:pPr>
      <w:r w:rsidRPr="003B6E11">
        <w:rPr>
          <w:rFonts w:cs="Arial"/>
          <w:noProof/>
          <w:lang w:val="cs-CZ"/>
        </w:rPr>
        <w:sym w:font="Symbol" w:char="F0B7"/>
      </w:r>
      <w:r w:rsidRPr="003B6E11">
        <w:rPr>
          <w:lang w:val="cs-CZ"/>
        </w:rPr>
        <w:tab/>
        <w:t>zbývající bezpečnostní vzdálenost musí být 100 mm,</w:t>
      </w:r>
    </w:p>
    <w:p w:rsidR="003B6E11" w:rsidRPr="003B6E11" w:rsidRDefault="003B6E11" w:rsidP="003B6E11">
      <w:pPr>
        <w:tabs>
          <w:tab w:val="left" w:pos="567"/>
        </w:tabs>
        <w:spacing w:before="60" w:line="240" w:lineRule="atLeast"/>
        <w:ind w:left="992"/>
        <w:rPr>
          <w:rFonts w:cs="Arial"/>
          <w:lang w:val="cs-CZ"/>
        </w:rPr>
      </w:pPr>
      <w:r w:rsidRPr="003B6E11">
        <w:rPr>
          <w:rFonts w:cs="Arial"/>
          <w:noProof/>
          <w:lang w:val="cs-CZ"/>
        </w:rPr>
        <w:sym w:font="Symbol" w:char="F0B7"/>
      </w:r>
      <w:r w:rsidRPr="003B6E11">
        <w:rPr>
          <w:lang w:val="cs-CZ"/>
        </w:rPr>
        <w:tab/>
        <w:t>uvažovaná rychlost musí být 7 km/h,</w:t>
      </w:r>
    </w:p>
    <w:p w:rsidR="003B6E11" w:rsidRPr="003B6E11" w:rsidRDefault="003B6E11" w:rsidP="003B6E11">
      <w:pPr>
        <w:tabs>
          <w:tab w:val="left" w:pos="567"/>
        </w:tabs>
        <w:spacing w:before="60" w:line="240" w:lineRule="atLeast"/>
        <w:ind w:left="992"/>
        <w:rPr>
          <w:rFonts w:cs="Arial"/>
          <w:strike/>
          <w:szCs w:val="20"/>
          <w:lang w:val="cs-CZ"/>
        </w:rPr>
      </w:pPr>
      <w:r w:rsidRPr="003B6E11">
        <w:rPr>
          <w:rFonts w:cs="Arial"/>
          <w:noProof/>
          <w:szCs w:val="20"/>
          <w:lang w:val="cs-CZ"/>
        </w:rPr>
        <w:sym w:font="Symbol" w:char="F0B7"/>
      </w:r>
      <w:r w:rsidRPr="003B6E11">
        <w:rPr>
          <w:lang w:val="cs-CZ"/>
        </w:rPr>
        <w:tab/>
        <w:t>uvažovaný tlak větru musí být 0,01 t/m</w:t>
      </w:r>
      <w:r w:rsidRPr="003B6E11">
        <w:rPr>
          <w:noProof/>
          <w:vertAlign w:val="superscript"/>
          <w:lang w:val="cs-CZ"/>
        </w:rPr>
        <w:t>2</w:t>
      </w:r>
      <w:r w:rsidRPr="003B6E11">
        <w:rPr>
          <w:lang w:val="cs-CZ"/>
        </w:rPr>
        <w:t>.</w:t>
      </w:r>
    </w:p>
    <w:p w:rsidR="003B6E11" w:rsidRPr="003B6E11" w:rsidRDefault="003B6E11" w:rsidP="003B6E11">
      <w:pPr>
        <w:tabs>
          <w:tab w:val="left" w:pos="567"/>
        </w:tabs>
        <w:spacing w:line="240" w:lineRule="atLeast"/>
        <w:ind w:left="567" w:hanging="567"/>
        <w:rPr>
          <w:rFonts w:cs="Arial"/>
          <w:szCs w:val="20"/>
          <w:lang w:val="cs-CZ"/>
        </w:rPr>
      </w:pPr>
    </w:p>
    <w:p w:rsidR="003B6E11" w:rsidRPr="003B6E11" w:rsidRDefault="003B6E11" w:rsidP="003B6E11">
      <w:pPr>
        <w:spacing w:line="240" w:lineRule="atLeast"/>
        <w:ind w:left="567" w:hanging="567"/>
        <w:rPr>
          <w:lang w:val="cs-CZ"/>
        </w:rPr>
      </w:pPr>
      <w:r w:rsidRPr="003B6E11">
        <w:rPr>
          <w:lang w:val="cs-CZ"/>
        </w:rPr>
        <w:t>3.</w:t>
      </w:r>
      <w:r w:rsidRPr="003B6E11">
        <w:rPr>
          <w:lang w:val="cs-CZ"/>
        </w:rPr>
        <w:tab/>
        <w:t>Úhel náklonu (≤ 5°) nemusí být u částí lodi oddělených podle čl. 28.04 odst. 2 splněn, protože tento úhel, odvozený od koeficientu tření, byl stanoven pro nezajištěné kontejnery.</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rPr>
          <w:lang w:val="cs-CZ"/>
        </w:rPr>
      </w:pPr>
      <w:r w:rsidRPr="003B6E11">
        <w:rPr>
          <w:lang w:val="cs-CZ"/>
        </w:rPr>
        <w:t>Rameno náklonu vycházející z volných hladin kapalin musí být uvažováno podle vzorce uvedeného v čl. 27.02 odst. 1 písm. e).</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4.</w:t>
      </w:r>
      <w:r w:rsidRPr="003B6E11">
        <w:rPr>
          <w:lang w:val="cs-CZ"/>
        </w:rPr>
        <w:tab/>
        <w:t>Požadavky stanovené v bodech 2 a 3 se rovněž považují za splněné, pokud jsou u každé z obou částí splněny požadavky na stabilitu uvedené v oddílu 9.1.0.95.2 nařízení o přepravě nebezpečných látek na Rýnu (ADNR).</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5.</w:t>
      </w:r>
      <w:r w:rsidRPr="003B6E11">
        <w:rPr>
          <w:lang w:val="cs-CZ"/>
        </w:rPr>
        <w:tab/>
        <w:t>Prokázání stability oddělených částí lodě může být založeno na předpokladu, že náklad v těchto částech je rovnoměrně rozložen, protože – pokud tomu tak již není –  toho lze dosáhnout před oddělením, nebo – v opačném případě – bude loď z velké části vyložena.</w:t>
      </w:r>
    </w:p>
    <w:p w:rsidR="003B6E11" w:rsidRPr="003B6E11" w:rsidRDefault="003B6E11" w:rsidP="003B6E11">
      <w:pPr>
        <w:tabs>
          <w:tab w:val="left" w:pos="0"/>
          <w:tab w:val="left" w:pos="567"/>
          <w:tab w:val="left" w:pos="851"/>
          <w:tab w:val="left" w:pos="1701"/>
          <w:tab w:val="left" w:pos="7088"/>
        </w:tabs>
        <w:overflowPunct w:val="0"/>
        <w:adjustRightInd w:val="0"/>
        <w:ind w:left="567" w:hanging="567"/>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r w:rsidRPr="003B6E11">
        <w:rPr>
          <w:lang w:val="cs-CZ"/>
        </w:rPr>
        <w:br w:type="page"/>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sectPr w:rsidR="003B6E11" w:rsidRPr="003B6E11" w:rsidSect="00D45887">
          <w:footnotePr>
            <w:numRestart w:val="eachPage"/>
          </w:footnotePr>
          <w:pgSz w:w="11907" w:h="16840" w:code="9"/>
          <w:pgMar w:top="1418" w:right="1418" w:bottom="1418" w:left="1418" w:header="680" w:footer="680" w:gutter="0"/>
          <w:cols w:space="720"/>
          <w:docGrid w:linePitch="326"/>
        </w:sectPr>
      </w:pPr>
    </w:p>
    <w:p w:rsidR="003B6E11" w:rsidRPr="003B6E11" w:rsidRDefault="003B6E11" w:rsidP="003B6E11">
      <w:pPr>
        <w:pStyle w:val="ES-Titre2ESI"/>
        <w:rPr>
          <w:szCs w:val="20"/>
        </w:rPr>
      </w:pPr>
      <w:bookmarkStart w:id="781" w:name="_Toc491854373"/>
      <w:bookmarkStart w:id="782" w:name="_Toc535417279"/>
      <w:r w:rsidRPr="003B6E11">
        <w:t>ESI-III-10</w:t>
      </w:r>
      <w:r w:rsidRPr="003B6E11">
        <w:br/>
        <w:t>Vybavení pro lodě provozované v souladu se standardem S1 nebo S2</w:t>
      </w:r>
      <w:bookmarkEnd w:id="781"/>
      <w:bookmarkEnd w:id="782"/>
    </w:p>
    <w:p w:rsidR="003B6E11" w:rsidRPr="003B6E11" w:rsidRDefault="003B6E11" w:rsidP="003B6E11">
      <w:pPr>
        <w:overflowPunct w:val="0"/>
        <w:adjustRightInd w:val="0"/>
        <w:textAlignment w:val="baseline"/>
        <w:rPr>
          <w:szCs w:val="20"/>
          <w:lang w:val="cs-CZ"/>
        </w:rPr>
      </w:pPr>
    </w:p>
    <w:p w:rsidR="003B6E11" w:rsidRPr="003B6E11" w:rsidRDefault="003B6E11" w:rsidP="003B6E11">
      <w:pPr>
        <w:jc w:val="center"/>
        <w:rPr>
          <w:rFonts w:cs="Arial"/>
          <w:b/>
          <w:bCs/>
          <w:snapToGrid w:val="0"/>
          <w:szCs w:val="20"/>
          <w:lang w:val="cs-CZ"/>
        </w:rPr>
      </w:pPr>
      <w:r w:rsidRPr="003B6E11">
        <w:rPr>
          <w:b/>
          <w:noProof/>
          <w:snapToGrid w:val="0"/>
          <w:lang w:val="cs-CZ"/>
        </w:rPr>
        <w:t>(Články 31.01, 31.02 a 31.03)</w:t>
      </w:r>
    </w:p>
    <w:p w:rsidR="003B6E11" w:rsidRPr="003B6E11" w:rsidRDefault="003B6E11" w:rsidP="003B6E11">
      <w:pPr>
        <w:tabs>
          <w:tab w:val="left" w:pos="567"/>
        </w:tabs>
        <w:ind w:left="567" w:hanging="567"/>
        <w:rPr>
          <w:rFonts w:cs="Arial"/>
          <w:snapToGrid w:val="0"/>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1.</w:t>
      </w:r>
      <w:r w:rsidRPr="003B6E11">
        <w:rPr>
          <w:lang w:val="cs-CZ"/>
        </w:rPr>
        <w:tab/>
      </w:r>
      <w:r w:rsidRPr="003B6E11">
        <w:rPr>
          <w:b/>
          <w:color w:val="000000"/>
          <w:lang w:val="cs-CZ"/>
        </w:rPr>
        <w:t>Obecný úvod</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spacing w:line="240" w:lineRule="atLeast"/>
        <w:ind w:left="567"/>
        <w:rPr>
          <w:lang w:val="cs-CZ"/>
        </w:rPr>
      </w:pPr>
      <w:r w:rsidRPr="003B6E11">
        <w:rPr>
          <w:lang w:val="cs-CZ"/>
        </w:rPr>
        <w:t>Podle článku 31.01 musí lodě určené k provozu v souladu se standardy S1 a S2 splňovat ustanovení kapitoly 31. Subjekt pověřený prohlídkami je povinen v osvědčení plavidla vnitrozemské plavby potvrdit, že loď tato ustanovení splňuje.</w:t>
      </w:r>
    </w:p>
    <w:p w:rsidR="003B6E11" w:rsidRPr="003B6E11" w:rsidRDefault="003B6E11" w:rsidP="003B6E11">
      <w:pPr>
        <w:spacing w:line="240" w:lineRule="atLeast"/>
        <w:ind w:left="567"/>
        <w:rPr>
          <w:snapToGrid w:val="0"/>
          <w:lang w:val="cs-CZ"/>
        </w:rPr>
      </w:pPr>
    </w:p>
    <w:p w:rsidR="003B6E11" w:rsidRPr="003B6E11" w:rsidRDefault="003B6E11" w:rsidP="003B6E11">
      <w:pPr>
        <w:spacing w:line="240" w:lineRule="atLeast"/>
        <w:ind w:left="567"/>
        <w:rPr>
          <w:snapToGrid w:val="0"/>
          <w:lang w:val="cs-CZ"/>
        </w:rPr>
      </w:pPr>
      <w:r w:rsidRPr="003B6E11">
        <w:rPr>
          <w:lang w:val="cs-CZ"/>
        </w:rPr>
        <w:t xml:space="preserve">Tato ustanovení jsou doplňkovými požadavky na vybavení, které se použijí jako dodatek k požadavkům, jež musí loď splňovat, aby jí mohlo být vydáno osvědčení plavidla vnitrozemské plavby. V tomto pokynu jsou objasněna ustanovení kapitoly 31, která by mohla být interpretována rozdílnými způsoby. </w:t>
      </w:r>
    </w:p>
    <w:p w:rsidR="003B6E11" w:rsidRPr="003B6E11" w:rsidRDefault="003B6E11" w:rsidP="003B6E11">
      <w:pPr>
        <w:tabs>
          <w:tab w:val="left" w:pos="567"/>
        </w:tabs>
        <w:spacing w:line="240" w:lineRule="atLeast"/>
        <w:ind w:left="567" w:hanging="567"/>
        <w:rPr>
          <w:rFonts w:cs="Arial"/>
          <w:snapToGrid w:val="0"/>
          <w:szCs w:val="20"/>
          <w:lang w:val="cs-CZ"/>
        </w:rPr>
      </w:pPr>
    </w:p>
    <w:p w:rsidR="003B6E11" w:rsidRPr="003B6E11" w:rsidRDefault="003B6E11" w:rsidP="003B6E11">
      <w:pPr>
        <w:spacing w:line="240" w:lineRule="atLeast"/>
        <w:ind w:left="567" w:hanging="567"/>
        <w:rPr>
          <w:b/>
          <w:lang w:val="cs-CZ"/>
        </w:rPr>
      </w:pPr>
      <w:r w:rsidRPr="003B6E11">
        <w:rPr>
          <w:b/>
          <w:lang w:val="cs-CZ"/>
        </w:rPr>
        <w:t>2.</w:t>
      </w:r>
      <w:r w:rsidRPr="003B6E11">
        <w:rPr>
          <w:lang w:val="cs-CZ"/>
        </w:rPr>
        <w:tab/>
      </w:r>
      <w:r w:rsidRPr="003B6E11">
        <w:rPr>
          <w:b/>
          <w:lang w:val="cs-CZ"/>
        </w:rPr>
        <w:t>Článek 31.02 – Standard S1</w:t>
      </w:r>
    </w:p>
    <w:p w:rsidR="003B6E11" w:rsidRPr="003B6E11" w:rsidRDefault="003B6E11" w:rsidP="003B6E11">
      <w:pPr>
        <w:spacing w:line="240" w:lineRule="atLeast"/>
        <w:ind w:left="567" w:hanging="567"/>
        <w:rPr>
          <w:b/>
          <w:lang w:val="cs-CZ"/>
        </w:rPr>
      </w:pPr>
    </w:p>
    <w:p w:rsidR="003B6E11" w:rsidRPr="003B6E11" w:rsidRDefault="003B6E11" w:rsidP="003B6E11">
      <w:pPr>
        <w:spacing w:line="240" w:lineRule="atLeast"/>
        <w:ind w:left="567" w:hanging="567"/>
        <w:rPr>
          <w:b/>
          <w:lang w:val="cs-CZ"/>
        </w:rPr>
      </w:pPr>
      <w:r w:rsidRPr="003B6E11">
        <w:rPr>
          <w:b/>
          <w:lang w:val="cs-CZ"/>
        </w:rPr>
        <w:t>2.1</w:t>
      </w:r>
      <w:r w:rsidRPr="003B6E11">
        <w:rPr>
          <w:lang w:val="cs-CZ"/>
        </w:rPr>
        <w:tab/>
      </w:r>
      <w:r w:rsidRPr="003B6E11">
        <w:rPr>
          <w:b/>
          <w:lang w:val="cs-CZ"/>
        </w:rPr>
        <w:t>Odstavec 1 – Uspořádání pohonného systému</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ab/>
        <w:t>Pokud je loď vybavena vratným (reverzibilním) hlavním motorem, potom systém stlačeného vzduchu vyžadovaný pro změnu směru otáček musí:</w:t>
      </w:r>
    </w:p>
    <w:p w:rsidR="003B6E11" w:rsidRPr="003B6E11" w:rsidRDefault="003B6E11" w:rsidP="003B6E11">
      <w:pPr>
        <w:tabs>
          <w:tab w:val="left" w:pos="992"/>
        </w:tabs>
        <w:spacing w:before="60" w:line="240" w:lineRule="atLeast"/>
        <w:ind w:left="992"/>
        <w:rPr>
          <w:rFonts w:cs="Arial"/>
          <w:lang w:val="cs-CZ"/>
        </w:rPr>
      </w:pPr>
      <w:r w:rsidRPr="003B6E11">
        <w:rPr>
          <w:lang w:val="cs-CZ"/>
        </w:rPr>
        <w:t>a)</w:t>
      </w:r>
      <w:r w:rsidRPr="003B6E11">
        <w:rPr>
          <w:lang w:val="cs-CZ"/>
        </w:rPr>
        <w:tab/>
        <w:t>být trvale udržován pod tlakem pomocí automaticky nastavitelného kompresoru nebo</w:t>
      </w:r>
    </w:p>
    <w:p w:rsidR="003B6E11" w:rsidRPr="003B6E11" w:rsidRDefault="003B6E11" w:rsidP="003B6E11">
      <w:pPr>
        <w:tabs>
          <w:tab w:val="left" w:pos="992"/>
        </w:tabs>
        <w:spacing w:before="60" w:line="240" w:lineRule="atLeast"/>
        <w:ind w:left="992"/>
        <w:rPr>
          <w:rFonts w:cs="Arial"/>
          <w:lang w:val="cs-CZ"/>
        </w:rPr>
      </w:pPr>
      <w:r w:rsidRPr="003B6E11">
        <w:rPr>
          <w:lang w:val="cs-CZ"/>
        </w:rPr>
        <w:t>b)</w:t>
      </w:r>
      <w:r w:rsidRPr="003B6E11">
        <w:rPr>
          <w:lang w:val="cs-CZ"/>
        </w:rPr>
        <w:tab/>
        <w:t>pokud je spuštěn poplach v kormidelně, být udržován pod tlakem pomocným motorem, který lze spustit z ovládacího stanoviště. Pokud má pomocný motor svou vlastní palivovou nádrž, musí se v souladu s čl. 8.05 odst. 13 v kormidelně nacházet výstražné zařízení signalizující nedostatečnou hladinu paliva pro zajištění bezpečného provozu.</w:t>
      </w:r>
    </w:p>
    <w:p w:rsidR="003B6E11" w:rsidRPr="003B6E11" w:rsidRDefault="003B6E11" w:rsidP="003B6E11">
      <w:pPr>
        <w:spacing w:line="240" w:lineRule="atLeast"/>
        <w:ind w:left="567" w:hanging="567"/>
        <w:rPr>
          <w:b/>
          <w:lang w:val="cs-CZ"/>
        </w:rPr>
      </w:pPr>
    </w:p>
    <w:p w:rsidR="003B6E11" w:rsidRPr="003B6E11" w:rsidRDefault="003B6E11" w:rsidP="003B6E11">
      <w:pPr>
        <w:spacing w:line="240" w:lineRule="atLeast"/>
        <w:ind w:left="567" w:hanging="567"/>
        <w:rPr>
          <w:b/>
          <w:lang w:val="cs-CZ"/>
        </w:rPr>
      </w:pPr>
      <w:r w:rsidRPr="003B6E11">
        <w:rPr>
          <w:b/>
          <w:lang w:val="cs-CZ"/>
        </w:rPr>
        <w:t>2.2</w:t>
      </w:r>
      <w:r w:rsidRPr="003B6E11">
        <w:rPr>
          <w:lang w:val="cs-CZ"/>
        </w:rPr>
        <w:tab/>
      </w:r>
      <w:r w:rsidRPr="003B6E11">
        <w:rPr>
          <w:b/>
          <w:lang w:val="cs-CZ"/>
        </w:rPr>
        <w:t>Odstavec 2 – Stav hladiny sběrných prostor v hlavní strojovně</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ab/>
        <w:t>Pokud je pro splnění požadavků na manévrování podle kapitoly 5 nezbytné příďové dokormidlovací zařízení, považuje se místnost obsahující toto zařízení za hlavní strojovnu.</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spacing w:line="240" w:lineRule="atLeast"/>
        <w:ind w:left="567" w:hanging="567"/>
        <w:rPr>
          <w:b/>
          <w:lang w:val="cs-CZ"/>
        </w:rPr>
      </w:pPr>
      <w:r w:rsidRPr="003B6E11">
        <w:rPr>
          <w:b/>
          <w:lang w:val="cs-CZ"/>
        </w:rPr>
        <w:t>2.3</w:t>
      </w:r>
      <w:r w:rsidRPr="003B6E11">
        <w:rPr>
          <w:lang w:val="cs-CZ"/>
        </w:rPr>
        <w:tab/>
      </w:r>
      <w:r w:rsidRPr="003B6E11">
        <w:rPr>
          <w:b/>
          <w:lang w:val="cs-CZ"/>
        </w:rPr>
        <w:t>Odstavec 3 – Automatická dodávka paliva</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2.3.1</w:t>
      </w:r>
      <w:r w:rsidRPr="003B6E11">
        <w:rPr>
          <w:lang w:val="cs-CZ"/>
        </w:rPr>
        <w:tab/>
        <w:t>Pokud má pohonný systém nádrž plněnou pro denní spotřebu, platí, že</w:t>
      </w:r>
    </w:p>
    <w:p w:rsidR="003B6E11" w:rsidRPr="003B6E11" w:rsidRDefault="003B6E11" w:rsidP="003B6E11">
      <w:pPr>
        <w:tabs>
          <w:tab w:val="left" w:pos="993"/>
        </w:tabs>
        <w:spacing w:before="60" w:line="240" w:lineRule="atLeast"/>
        <w:ind w:left="992"/>
        <w:rPr>
          <w:rFonts w:cs="Arial"/>
          <w:lang w:val="cs-CZ"/>
        </w:rPr>
      </w:pPr>
      <w:r w:rsidRPr="003B6E11">
        <w:rPr>
          <w:lang w:val="cs-CZ"/>
        </w:rPr>
        <w:t>a)</w:t>
      </w:r>
      <w:r w:rsidRPr="003B6E11">
        <w:rPr>
          <w:lang w:val="cs-CZ"/>
        </w:rPr>
        <w:tab/>
        <w:t>její obsah musí být dostatečný k zajištění provozu pohonného systému po dobu 24 hodin, při předpokládané spotřebě 0,25 l na kW za hodinu;</w:t>
      </w:r>
    </w:p>
    <w:p w:rsidR="003B6E11" w:rsidRPr="003B6E11" w:rsidRDefault="003B6E11" w:rsidP="003B6E11">
      <w:pPr>
        <w:tabs>
          <w:tab w:val="left" w:pos="993"/>
        </w:tabs>
        <w:spacing w:before="60" w:line="240" w:lineRule="atLeast"/>
        <w:ind w:left="992"/>
        <w:rPr>
          <w:rFonts w:cs="Arial"/>
          <w:lang w:val="cs-CZ"/>
        </w:rPr>
      </w:pPr>
      <w:r w:rsidRPr="003B6E11">
        <w:rPr>
          <w:lang w:val="cs-CZ"/>
        </w:rPr>
        <w:t>b)</w:t>
      </w:r>
      <w:r w:rsidRPr="003B6E11">
        <w:rPr>
          <w:lang w:val="cs-CZ"/>
        </w:rPr>
        <w:tab/>
        <w:t>palivové čerpadlo pro doplňování nádrže plněné pro denní spotřebu musí být nepřetržitě v provozu nebo</w:t>
      </w:r>
    </w:p>
    <w:p w:rsidR="003B6E11" w:rsidRPr="003B6E11" w:rsidRDefault="003B6E11" w:rsidP="003B6E11">
      <w:pPr>
        <w:tabs>
          <w:tab w:val="left" w:pos="993"/>
        </w:tabs>
        <w:spacing w:before="60" w:line="240" w:lineRule="atLeast"/>
        <w:ind w:left="992"/>
        <w:rPr>
          <w:rFonts w:cs="Arial"/>
          <w:lang w:val="cs-CZ"/>
        </w:rPr>
      </w:pPr>
      <w:r w:rsidRPr="003B6E11">
        <w:rPr>
          <w:lang w:val="cs-CZ"/>
        </w:rPr>
        <w:t>c)</w:t>
      </w:r>
      <w:r w:rsidRPr="003B6E11">
        <w:rPr>
          <w:lang w:val="cs-CZ"/>
        </w:rPr>
        <w:tab/>
        <w:t>palivové čerpadlo musí být vybaveno:</w:t>
      </w:r>
    </w:p>
    <w:p w:rsidR="003B6E11" w:rsidRPr="003B6E11" w:rsidRDefault="003B6E11" w:rsidP="003B6E11">
      <w:pPr>
        <w:tabs>
          <w:tab w:val="left" w:pos="1418"/>
        </w:tabs>
        <w:spacing w:before="60" w:line="240" w:lineRule="atLeast"/>
        <w:ind w:left="1418"/>
        <w:rPr>
          <w:rFonts w:cs="Arial"/>
          <w:lang w:val="cs-CZ"/>
        </w:rPr>
      </w:pPr>
      <w:r w:rsidRPr="003B6E11">
        <w:rPr>
          <w:rFonts w:cs="Arial"/>
          <w:lang w:val="cs-CZ"/>
        </w:rPr>
        <w:sym w:font="Symbol" w:char="F0B7"/>
      </w:r>
      <w:r w:rsidRPr="003B6E11">
        <w:rPr>
          <w:lang w:val="cs-CZ"/>
        </w:rPr>
        <w:tab/>
        <w:t>spínačem, který automaticky zapne palivové čerpadlo v době, kdy nádrž plněná pro denní spotřebu dosáhne stanovené nízké hladiny, a</w:t>
      </w:r>
    </w:p>
    <w:p w:rsidR="003B6E11" w:rsidRPr="003B6E11" w:rsidRDefault="003B6E11" w:rsidP="003B6E11">
      <w:pPr>
        <w:widowControl w:val="0"/>
        <w:tabs>
          <w:tab w:val="left" w:pos="426"/>
          <w:tab w:val="left" w:pos="1418"/>
        </w:tabs>
        <w:overflowPunct w:val="0"/>
        <w:adjustRightInd w:val="0"/>
        <w:spacing w:before="60" w:line="240" w:lineRule="atLeast"/>
        <w:ind w:left="1418"/>
        <w:textAlignment w:val="baseline"/>
        <w:rPr>
          <w:rFonts w:cs="Arial"/>
          <w:snapToGrid w:val="0"/>
          <w:lang w:val="cs-CZ"/>
        </w:rPr>
      </w:pPr>
      <w:r w:rsidRPr="003B6E11">
        <w:rPr>
          <w:rFonts w:cs="Arial"/>
          <w:snapToGrid w:val="0"/>
          <w:lang w:val="cs-CZ"/>
        </w:rPr>
        <w:sym w:font="Symbol" w:char="F0B7"/>
      </w:r>
      <w:r w:rsidRPr="003B6E11">
        <w:rPr>
          <w:lang w:val="cs-CZ"/>
        </w:rPr>
        <w:tab/>
        <w:t>spínačem, který automaticky vypne palivové čerpadlo v době, kdy je nádrž plněná pro denní spotřebu plná.</w:t>
      </w:r>
    </w:p>
    <w:p w:rsidR="003B6E11" w:rsidRPr="003B6E11" w:rsidRDefault="003B6E11" w:rsidP="003B6E11">
      <w:pPr>
        <w:tabs>
          <w:tab w:val="left" w:pos="567"/>
        </w:tabs>
        <w:spacing w:line="240" w:lineRule="atLeast"/>
        <w:ind w:left="567" w:hanging="567"/>
        <w:rPr>
          <w:rFonts w:cs="Arial"/>
          <w:lang w:val="cs-CZ"/>
        </w:rPr>
      </w:pPr>
      <w:r w:rsidRPr="003B6E11">
        <w:rPr>
          <w:lang w:val="cs-CZ"/>
        </w:rPr>
        <w:br w:type="page"/>
      </w:r>
    </w:p>
    <w:p w:rsidR="003B6E11" w:rsidRPr="003B6E11" w:rsidRDefault="003B6E11" w:rsidP="003B6E11">
      <w:pPr>
        <w:tabs>
          <w:tab w:val="left" w:pos="567"/>
        </w:tabs>
        <w:spacing w:line="240" w:lineRule="atLeast"/>
        <w:ind w:left="567" w:hanging="567"/>
        <w:rPr>
          <w:rFonts w:cs="Arial"/>
          <w:lang w:val="cs-CZ"/>
        </w:rPr>
      </w:pPr>
      <w:r w:rsidRPr="003B6E11">
        <w:rPr>
          <w:lang w:val="cs-CZ"/>
        </w:rPr>
        <w:t>2.3.2</w:t>
      </w:r>
      <w:r w:rsidRPr="003B6E11">
        <w:rPr>
          <w:lang w:val="cs-CZ"/>
        </w:rPr>
        <w:tab/>
        <w:t>Nádrž plněná pro denní spotřebu musí mít výstražný hladinový snímač splňující požadavky čl. 8.05 odst. 13.</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b/>
          <w:lang w:val="cs-CZ"/>
        </w:rPr>
        <w:t>2.4.</w:t>
      </w:r>
      <w:r w:rsidRPr="003B6E11">
        <w:rPr>
          <w:lang w:val="cs-CZ"/>
        </w:rPr>
        <w:tab/>
      </w:r>
      <w:r w:rsidRPr="003B6E11">
        <w:rPr>
          <w:b/>
          <w:lang w:val="cs-CZ"/>
        </w:rPr>
        <w:t>Odstavec 4 – Provoz kormidelního zařízení nevyžaduje mimořádnou sílu</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rPr>
          <w:rFonts w:cs="Arial"/>
          <w:lang w:val="cs-CZ"/>
        </w:rPr>
      </w:pPr>
      <w:r w:rsidRPr="003B6E11">
        <w:rPr>
          <w:lang w:val="cs-CZ"/>
        </w:rPr>
        <w:t>Hydraulická kormidelní zařízení tento požadavek splňují. Ručně ovládaná kormidelní zařízení nesmí ke své obsluze vyžadovat sílu větší než 160 N.</w:t>
      </w:r>
    </w:p>
    <w:p w:rsidR="003B6E11" w:rsidRPr="003B6E11" w:rsidRDefault="003B6E11" w:rsidP="003B6E11">
      <w:pPr>
        <w:tabs>
          <w:tab w:val="left" w:pos="567"/>
        </w:tabs>
        <w:spacing w:line="240" w:lineRule="atLeast"/>
        <w:ind w:left="567"/>
        <w:rPr>
          <w:rFonts w:cs="Arial"/>
          <w:lang w:val="cs-CZ"/>
        </w:rPr>
      </w:pPr>
    </w:p>
    <w:p w:rsidR="003B6E11" w:rsidRPr="003B6E11" w:rsidRDefault="003B6E11" w:rsidP="003B6E11">
      <w:pPr>
        <w:tabs>
          <w:tab w:val="left" w:pos="567"/>
        </w:tabs>
        <w:spacing w:line="240" w:lineRule="atLeast"/>
        <w:ind w:left="567" w:hanging="567"/>
        <w:rPr>
          <w:rFonts w:cs="Arial"/>
          <w:b/>
          <w:bCs/>
          <w:lang w:val="cs-CZ"/>
        </w:rPr>
      </w:pPr>
      <w:r w:rsidRPr="003B6E11">
        <w:rPr>
          <w:b/>
          <w:lang w:val="cs-CZ"/>
        </w:rPr>
        <w:t>2.5</w:t>
      </w:r>
      <w:r w:rsidRPr="003B6E11">
        <w:rPr>
          <w:lang w:val="cs-CZ"/>
        </w:rPr>
        <w:tab/>
      </w:r>
      <w:r w:rsidRPr="003B6E11">
        <w:rPr>
          <w:b/>
          <w:lang w:val="cs-CZ"/>
        </w:rPr>
        <w:t>Odstavec 5 – Vizuální a akustické signály vyžadované při plavbě</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ab/>
        <w:t>Vizuální signály nezahrnují válce, balony, kužely nebo dvojité kužely vyžadované podle vnitrostátních nebo mezinárodních předpisů plavebních orgánů.</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b/>
          <w:bCs/>
          <w:lang w:val="cs-CZ"/>
        </w:rPr>
      </w:pPr>
      <w:r w:rsidRPr="003B6E11">
        <w:rPr>
          <w:b/>
          <w:lang w:val="cs-CZ"/>
        </w:rPr>
        <w:t>2.6</w:t>
      </w:r>
      <w:r w:rsidRPr="003B6E11">
        <w:rPr>
          <w:lang w:val="cs-CZ"/>
        </w:rPr>
        <w:tab/>
      </w:r>
      <w:r w:rsidRPr="003B6E11">
        <w:rPr>
          <w:b/>
          <w:lang w:val="cs-CZ"/>
        </w:rPr>
        <w:t>Odstavec 6 – Přímá komunikace a komunikace se strojovnou</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2.6.1</w:t>
      </w:r>
      <w:r w:rsidRPr="003B6E11">
        <w:rPr>
          <w:lang w:val="cs-CZ"/>
        </w:rPr>
        <w:tab/>
        <w:t>Přímá komunikace se považuje za zajištěnou, jestliže:</w:t>
      </w:r>
    </w:p>
    <w:p w:rsidR="003B6E11" w:rsidRPr="003B6E11" w:rsidRDefault="003B6E11" w:rsidP="003B6E11">
      <w:pPr>
        <w:tabs>
          <w:tab w:val="left" w:pos="993"/>
        </w:tabs>
        <w:spacing w:before="60" w:line="240" w:lineRule="atLeast"/>
        <w:ind w:left="992"/>
        <w:rPr>
          <w:rFonts w:cs="Arial"/>
          <w:lang w:val="cs-CZ"/>
        </w:rPr>
      </w:pPr>
      <w:r w:rsidRPr="003B6E11">
        <w:rPr>
          <w:lang w:val="cs-CZ"/>
        </w:rPr>
        <w:t>a)</w:t>
      </w:r>
      <w:r w:rsidRPr="003B6E11">
        <w:rPr>
          <w:lang w:val="cs-CZ"/>
        </w:rPr>
        <w:tab/>
        <w:t>je možný přímý vizuální kontakt mezi kormidelnou a stanovišti obsluhy navijáků a pacholat v přední nebo zadní části lodi a pokud vzdálenost od kormidelny k těmto stanovištím obsluhy není větší než 35 m a</w:t>
      </w:r>
    </w:p>
    <w:p w:rsidR="003B6E11" w:rsidRPr="003B6E11" w:rsidRDefault="003B6E11" w:rsidP="003B6E11">
      <w:pPr>
        <w:tabs>
          <w:tab w:val="left" w:pos="993"/>
        </w:tabs>
        <w:spacing w:before="60" w:line="240" w:lineRule="atLeast"/>
        <w:ind w:left="992"/>
        <w:rPr>
          <w:rFonts w:cs="Arial"/>
          <w:lang w:val="cs-CZ"/>
        </w:rPr>
      </w:pPr>
      <w:r w:rsidRPr="003B6E11">
        <w:rPr>
          <w:lang w:val="cs-CZ"/>
        </w:rPr>
        <w:t>b)</w:t>
      </w:r>
      <w:r w:rsidRPr="003B6E11">
        <w:rPr>
          <w:lang w:val="cs-CZ"/>
        </w:rPr>
        <w:tab/>
        <w:t>obytné prostory jsou přímo přístupné z kormidelny.</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2.6.2</w:t>
      </w:r>
      <w:r w:rsidRPr="003B6E11">
        <w:rPr>
          <w:lang w:val="cs-CZ"/>
        </w:rPr>
        <w:tab/>
        <w:t>Komunikace se strojovnou se považuje za zajištěnou, jestliže signál uvedený v čl. 7.09 odst. 3 druhé větě lze ovládat nezávisle na spínači uvedeném v čl. 7.09 odst. 2.</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b/>
          <w:bCs/>
          <w:lang w:val="cs-CZ"/>
        </w:rPr>
      </w:pPr>
      <w:r w:rsidRPr="003B6E11">
        <w:rPr>
          <w:b/>
          <w:lang w:val="cs-CZ"/>
        </w:rPr>
        <w:t>2.7</w:t>
      </w:r>
      <w:r w:rsidRPr="003B6E11">
        <w:rPr>
          <w:lang w:val="cs-CZ"/>
        </w:rPr>
        <w:tab/>
      </w:r>
      <w:r w:rsidRPr="003B6E11">
        <w:rPr>
          <w:b/>
          <w:lang w:val="cs-CZ"/>
        </w:rPr>
        <w:t>Odstavec 7 – Kliky a podobné rotační provozní prostředky</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spacing w:line="240" w:lineRule="atLeast"/>
        <w:ind w:left="567"/>
        <w:rPr>
          <w:lang w:val="cs-CZ"/>
        </w:rPr>
      </w:pPr>
      <w:r w:rsidRPr="003B6E11">
        <w:rPr>
          <w:lang w:val="cs-CZ"/>
        </w:rPr>
        <w:t xml:space="preserve">Jsou zde zahrnuty: </w:t>
      </w:r>
    </w:p>
    <w:p w:rsidR="003B6E11" w:rsidRPr="003B6E11" w:rsidRDefault="003B6E11" w:rsidP="003B6E11">
      <w:pPr>
        <w:tabs>
          <w:tab w:val="left" w:pos="992"/>
        </w:tabs>
        <w:spacing w:before="60" w:line="240" w:lineRule="atLeast"/>
        <w:ind w:left="992"/>
        <w:rPr>
          <w:rFonts w:cs="Arial"/>
          <w:lang w:val="cs-CZ"/>
        </w:rPr>
      </w:pPr>
      <w:r w:rsidRPr="003B6E11">
        <w:rPr>
          <w:lang w:val="cs-CZ"/>
        </w:rPr>
        <w:t>a)</w:t>
      </w:r>
      <w:r w:rsidRPr="003B6E11">
        <w:rPr>
          <w:lang w:val="cs-CZ"/>
        </w:rPr>
        <w:tab/>
        <w:t>ručně ovládané kotevní navijáky (jako maximální potřebná síla platí síla potřebná při volném zavěšení kotev);</w:t>
      </w:r>
    </w:p>
    <w:p w:rsidR="003B6E11" w:rsidRPr="003B6E11" w:rsidRDefault="003B6E11" w:rsidP="003B6E11">
      <w:pPr>
        <w:tabs>
          <w:tab w:val="left" w:pos="992"/>
        </w:tabs>
        <w:spacing w:before="60" w:line="240" w:lineRule="atLeast"/>
        <w:ind w:left="992"/>
        <w:rPr>
          <w:rFonts w:cs="Arial"/>
          <w:lang w:val="cs-CZ"/>
        </w:rPr>
      </w:pPr>
      <w:r w:rsidRPr="003B6E11">
        <w:rPr>
          <w:lang w:val="cs-CZ"/>
        </w:rPr>
        <w:t>b)</w:t>
      </w:r>
      <w:r w:rsidRPr="003B6E11">
        <w:rPr>
          <w:lang w:val="cs-CZ"/>
        </w:rPr>
        <w:tab/>
        <w:t>kliky pro zvedání krytů jícnů;</w:t>
      </w:r>
    </w:p>
    <w:p w:rsidR="003B6E11" w:rsidRPr="003B6E11" w:rsidRDefault="003B6E11" w:rsidP="003B6E11">
      <w:pPr>
        <w:tabs>
          <w:tab w:val="left" w:pos="992"/>
        </w:tabs>
        <w:spacing w:before="60" w:line="240" w:lineRule="atLeast"/>
        <w:ind w:left="992"/>
        <w:rPr>
          <w:rFonts w:cs="Arial"/>
          <w:lang w:val="cs-CZ"/>
        </w:rPr>
      </w:pPr>
      <w:r w:rsidRPr="003B6E11">
        <w:rPr>
          <w:lang w:val="cs-CZ"/>
        </w:rPr>
        <w:t>c)</w:t>
      </w:r>
      <w:r w:rsidRPr="003B6E11">
        <w:rPr>
          <w:lang w:val="cs-CZ"/>
        </w:rPr>
        <w:tab/>
        <w:t>kliky pro stěžňové a komínové navijáky.</w:t>
      </w:r>
    </w:p>
    <w:p w:rsidR="003B6E11" w:rsidRPr="003B6E11" w:rsidRDefault="003B6E11" w:rsidP="003B6E11">
      <w:pPr>
        <w:tabs>
          <w:tab w:val="left" w:pos="851"/>
        </w:tabs>
        <w:spacing w:line="240" w:lineRule="atLeast"/>
        <w:ind w:left="851" w:hanging="284"/>
        <w:rPr>
          <w:rFonts w:cs="Arial"/>
          <w:lang w:val="cs-CZ"/>
        </w:rPr>
      </w:pPr>
    </w:p>
    <w:p w:rsidR="003B6E11" w:rsidRPr="003B6E11" w:rsidRDefault="003B6E11" w:rsidP="003B6E11">
      <w:pPr>
        <w:spacing w:line="240" w:lineRule="atLeast"/>
        <w:ind w:left="567"/>
        <w:rPr>
          <w:snapToGrid w:val="0"/>
          <w:lang w:val="cs-CZ"/>
        </w:rPr>
      </w:pPr>
      <w:r w:rsidRPr="003B6E11">
        <w:rPr>
          <w:lang w:val="cs-CZ"/>
        </w:rPr>
        <w:t>Nejsou zde zahrnuty:</w:t>
      </w:r>
    </w:p>
    <w:p w:rsidR="003B6E11" w:rsidRPr="003B6E11" w:rsidRDefault="003B6E11" w:rsidP="003B6E11">
      <w:pPr>
        <w:tabs>
          <w:tab w:val="left" w:pos="992"/>
        </w:tabs>
        <w:spacing w:before="60" w:line="240" w:lineRule="atLeast"/>
        <w:ind w:left="992"/>
        <w:rPr>
          <w:rFonts w:cs="Arial"/>
          <w:lang w:val="cs-CZ"/>
        </w:rPr>
      </w:pPr>
      <w:r w:rsidRPr="003B6E11">
        <w:rPr>
          <w:lang w:val="cs-CZ"/>
        </w:rPr>
        <w:t>a)</w:t>
      </w:r>
      <w:r w:rsidRPr="003B6E11">
        <w:rPr>
          <w:lang w:val="cs-CZ"/>
        </w:rPr>
        <w:tab/>
        <w:t>přetahovací a spřahovací navijáky;</w:t>
      </w:r>
    </w:p>
    <w:p w:rsidR="003B6E11" w:rsidRPr="003B6E11" w:rsidRDefault="003B6E11" w:rsidP="003B6E11">
      <w:pPr>
        <w:tabs>
          <w:tab w:val="left" w:pos="992"/>
        </w:tabs>
        <w:spacing w:before="60" w:line="240" w:lineRule="atLeast"/>
        <w:ind w:left="992"/>
        <w:rPr>
          <w:rFonts w:cs="Arial"/>
          <w:lang w:val="cs-CZ"/>
        </w:rPr>
      </w:pPr>
      <w:r w:rsidRPr="003B6E11">
        <w:rPr>
          <w:lang w:val="cs-CZ"/>
        </w:rPr>
        <w:t>b)</w:t>
      </w:r>
      <w:r w:rsidRPr="003B6E11">
        <w:rPr>
          <w:lang w:val="cs-CZ"/>
        </w:rPr>
        <w:tab/>
        <w:t>kliky na jeřábech, pokud nejsou určeny pro lodní čluny.</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b/>
          <w:bCs/>
          <w:lang w:val="cs-CZ"/>
        </w:rPr>
      </w:pPr>
      <w:r w:rsidRPr="003B6E11">
        <w:rPr>
          <w:b/>
          <w:lang w:val="cs-CZ"/>
        </w:rPr>
        <w:t>2.8</w:t>
      </w:r>
      <w:r w:rsidRPr="003B6E11">
        <w:rPr>
          <w:lang w:val="cs-CZ"/>
        </w:rPr>
        <w:tab/>
      </w:r>
      <w:r w:rsidRPr="003B6E11">
        <w:rPr>
          <w:b/>
          <w:lang w:val="cs-CZ"/>
        </w:rPr>
        <w:t>Odstavec 10 – Ergonomické uspořádání</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spacing w:line="240" w:lineRule="atLeast"/>
        <w:ind w:left="567"/>
        <w:rPr>
          <w:snapToGrid w:val="0"/>
          <w:lang w:val="cs-CZ"/>
        </w:rPr>
      </w:pPr>
      <w:r w:rsidRPr="003B6E11">
        <w:rPr>
          <w:lang w:val="cs-CZ"/>
        </w:rPr>
        <w:t>Ustanovení se považují za splněná, pokud:</w:t>
      </w:r>
    </w:p>
    <w:p w:rsidR="003B6E11" w:rsidRPr="003B6E11" w:rsidRDefault="003B6E11" w:rsidP="003B6E11">
      <w:pPr>
        <w:tabs>
          <w:tab w:val="left" w:pos="993"/>
        </w:tabs>
        <w:spacing w:before="60" w:line="240" w:lineRule="atLeast"/>
        <w:ind w:left="993" w:hanging="426"/>
        <w:rPr>
          <w:rFonts w:cs="Arial"/>
          <w:lang w:val="cs-CZ"/>
        </w:rPr>
      </w:pPr>
      <w:r w:rsidRPr="003B6E11">
        <w:rPr>
          <w:lang w:val="cs-CZ"/>
        </w:rPr>
        <w:t>a)</w:t>
      </w:r>
      <w:r w:rsidRPr="003B6E11">
        <w:rPr>
          <w:lang w:val="cs-CZ"/>
        </w:rPr>
        <w:tab/>
        <w:t>je kormidelna uspořádána v souladu s evropskou normou EN 1864:2008 nebo</w:t>
      </w:r>
    </w:p>
    <w:p w:rsidR="003B6E11" w:rsidRPr="003B6E11" w:rsidRDefault="003B6E11" w:rsidP="003B6E11">
      <w:pPr>
        <w:tabs>
          <w:tab w:val="left" w:pos="993"/>
        </w:tabs>
        <w:spacing w:before="60" w:line="240" w:lineRule="atLeast"/>
        <w:ind w:left="993" w:hanging="426"/>
        <w:rPr>
          <w:rFonts w:cs="Arial"/>
          <w:lang w:val="cs-CZ"/>
        </w:rPr>
      </w:pPr>
      <w:r w:rsidRPr="003B6E11">
        <w:rPr>
          <w:lang w:val="cs-CZ"/>
        </w:rPr>
        <w:t>b)</w:t>
      </w:r>
      <w:r w:rsidRPr="003B6E11">
        <w:rPr>
          <w:lang w:val="cs-CZ"/>
        </w:rPr>
        <w:tab/>
        <w:t>je kormidelna uspořádána k vedení plavidla pomocí radaru jednou osobou nebo</w:t>
      </w:r>
    </w:p>
    <w:p w:rsidR="003B6E11" w:rsidRPr="003B6E11" w:rsidRDefault="003B6E11" w:rsidP="003B6E11">
      <w:pPr>
        <w:tabs>
          <w:tab w:val="left" w:pos="993"/>
        </w:tabs>
        <w:spacing w:before="60" w:line="240" w:lineRule="atLeast"/>
        <w:ind w:left="993" w:hanging="426"/>
        <w:rPr>
          <w:rFonts w:cs="Arial"/>
          <w:lang w:val="cs-CZ"/>
        </w:rPr>
      </w:pPr>
      <w:r w:rsidRPr="003B6E11">
        <w:rPr>
          <w:lang w:val="cs-CZ"/>
        </w:rPr>
        <w:t>c)</w:t>
      </w:r>
      <w:r w:rsidRPr="003B6E11">
        <w:rPr>
          <w:lang w:val="cs-CZ"/>
        </w:rPr>
        <w:tab/>
        <w:t>kormidelna splňuje tyto požadavky:</w:t>
      </w:r>
    </w:p>
    <w:p w:rsidR="003B6E11" w:rsidRPr="003B6E11" w:rsidRDefault="003B6E11" w:rsidP="003B6E11">
      <w:pPr>
        <w:widowControl w:val="0"/>
        <w:tabs>
          <w:tab w:val="left" w:pos="1418"/>
        </w:tabs>
        <w:overflowPunct w:val="0"/>
        <w:adjustRightInd w:val="0"/>
        <w:spacing w:before="60" w:line="240" w:lineRule="atLeast"/>
        <w:ind w:left="1418"/>
        <w:textAlignment w:val="baseline"/>
        <w:rPr>
          <w:rFonts w:cs="Arial"/>
          <w:snapToGrid w:val="0"/>
          <w:lang w:val="cs-CZ"/>
        </w:rPr>
      </w:pPr>
      <w:r w:rsidRPr="003B6E11">
        <w:rPr>
          <w:lang w:val="cs-CZ"/>
        </w:rPr>
        <w:t>aa)</w:t>
      </w:r>
      <w:r w:rsidRPr="003B6E11">
        <w:rPr>
          <w:lang w:val="cs-CZ"/>
        </w:rPr>
        <w:tab/>
        <w:t>Řídicí jednotky a monitorovací přístroje jsou v popředí pole výhledu a v úhlu ne větším než 180° (90° na pravobok a 90° na levobok), včetně podlahy a stropu. Musí být zřetelně čitelné a viditelné z běžné pozice kormidelníka.</w:t>
      </w:r>
    </w:p>
    <w:p w:rsidR="003B6E11" w:rsidRPr="003B6E11" w:rsidRDefault="003B6E11" w:rsidP="003B6E11">
      <w:pPr>
        <w:widowControl w:val="0"/>
        <w:tabs>
          <w:tab w:val="left" w:pos="1418"/>
        </w:tabs>
        <w:overflowPunct w:val="0"/>
        <w:adjustRightInd w:val="0"/>
        <w:spacing w:line="240" w:lineRule="atLeast"/>
        <w:ind w:left="1418"/>
        <w:textAlignment w:val="baseline"/>
        <w:rPr>
          <w:rFonts w:cs="Arial"/>
          <w:snapToGrid w:val="0"/>
          <w:lang w:val="cs-CZ"/>
        </w:rPr>
      </w:pPr>
      <w:r w:rsidRPr="003B6E11">
        <w:rPr>
          <w:lang w:val="cs-CZ"/>
        </w:rPr>
        <w:br w:type="page"/>
      </w:r>
    </w:p>
    <w:p w:rsidR="003B6E11" w:rsidRPr="003B6E11" w:rsidRDefault="003B6E11" w:rsidP="003B6E11">
      <w:pPr>
        <w:widowControl w:val="0"/>
        <w:tabs>
          <w:tab w:val="left" w:pos="1418"/>
        </w:tabs>
        <w:overflowPunct w:val="0"/>
        <w:adjustRightInd w:val="0"/>
        <w:spacing w:line="240" w:lineRule="atLeast"/>
        <w:ind w:left="1417"/>
        <w:textAlignment w:val="baseline"/>
        <w:rPr>
          <w:rFonts w:cs="Arial"/>
          <w:snapToGrid w:val="0"/>
          <w:lang w:val="cs-CZ"/>
        </w:rPr>
      </w:pPr>
      <w:r w:rsidRPr="003B6E11">
        <w:rPr>
          <w:lang w:val="cs-CZ"/>
        </w:rPr>
        <w:t>bb)</w:t>
      </w:r>
      <w:r w:rsidRPr="003B6E11">
        <w:rPr>
          <w:lang w:val="cs-CZ"/>
        </w:rPr>
        <w:tab/>
        <w:t>Hlavní řídicí jednotky jako kormidelní kolo nebo kormidelní páka, ovládací prvky motoru, ovladače rádia a ovladače akustických, výstražných a manévrovacích signálů požadovaných vnitrostátními, případně mezinárodními předpisy plavebních orgánů musí být uspořádány takovým způsobem, aby vzdálenost mezi ovládacími prvky na pravoboku a na levoboku nebyla větší než 3 m. Kormidelník musí být schopen ovládat motory bez nutnosti opuštění ovládacích prvků kormidelního zařízení a zároveň být schopen stále obsluhovat ostatní ovladače, např. rádiový systém a ovladače akustických, výstražných a manévrovacích signálů vyžadovaných vnitrostátními, případně mezinárodními předpisy plavebních orgánů.</w:t>
      </w:r>
    </w:p>
    <w:p w:rsidR="003B6E11" w:rsidRPr="003B6E11" w:rsidRDefault="003B6E11" w:rsidP="003B6E11">
      <w:pPr>
        <w:widowControl w:val="0"/>
        <w:tabs>
          <w:tab w:val="left" w:pos="1418"/>
        </w:tabs>
        <w:overflowPunct w:val="0"/>
        <w:adjustRightInd w:val="0"/>
        <w:spacing w:before="60" w:line="240" w:lineRule="atLeast"/>
        <w:ind w:left="1417"/>
        <w:textAlignment w:val="baseline"/>
        <w:rPr>
          <w:rFonts w:cs="Arial"/>
          <w:snapToGrid w:val="0"/>
          <w:lang w:val="cs-CZ"/>
        </w:rPr>
      </w:pPr>
      <w:r w:rsidRPr="003B6E11">
        <w:rPr>
          <w:lang w:val="cs-CZ"/>
        </w:rPr>
        <w:t>cc)</w:t>
      </w:r>
      <w:r w:rsidRPr="003B6E11">
        <w:rPr>
          <w:lang w:val="cs-CZ"/>
        </w:rPr>
        <w:tab/>
        <w:t>Výstražné a manévrovací signály vyžadované vnitrostátními, případně mezinárodními předpisy plavebních orgánů jsou obsluhovány elektricky, pneumaticky, hydraulicky nebo mechanicky. Naproti tomu ovládání pomocí napínacího lanka je možné pouze tehdy, pokud je při tomto způsobu možné bezpečné ovládání z kormidelního stanoviště.</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b/>
          <w:bCs/>
          <w:lang w:val="cs-CZ"/>
        </w:rPr>
      </w:pPr>
      <w:r w:rsidRPr="003B6E11">
        <w:rPr>
          <w:b/>
          <w:lang w:val="cs-CZ"/>
        </w:rPr>
        <w:t>3.</w:t>
      </w:r>
      <w:r w:rsidRPr="003B6E11">
        <w:rPr>
          <w:lang w:val="cs-CZ"/>
        </w:rPr>
        <w:tab/>
      </w:r>
      <w:r w:rsidRPr="003B6E11">
        <w:rPr>
          <w:b/>
          <w:lang w:val="cs-CZ"/>
        </w:rPr>
        <w:t>Článek 31.03 – Standard S2</w:t>
      </w:r>
    </w:p>
    <w:p w:rsidR="003B6E11" w:rsidRPr="003B6E11" w:rsidRDefault="003B6E11" w:rsidP="003B6E11">
      <w:pPr>
        <w:tabs>
          <w:tab w:val="left" w:pos="567"/>
        </w:tabs>
        <w:spacing w:line="240" w:lineRule="atLeast"/>
        <w:ind w:left="567" w:hanging="567"/>
        <w:rPr>
          <w:rFonts w:cs="Arial"/>
          <w:b/>
          <w:bCs/>
          <w:lang w:val="cs-CZ"/>
        </w:rPr>
      </w:pPr>
    </w:p>
    <w:p w:rsidR="003B6E11" w:rsidRPr="003B6E11" w:rsidRDefault="003B6E11" w:rsidP="003B6E11">
      <w:pPr>
        <w:tabs>
          <w:tab w:val="left" w:pos="567"/>
          <w:tab w:val="right" w:pos="9071"/>
        </w:tabs>
        <w:spacing w:line="240" w:lineRule="atLeast"/>
        <w:ind w:left="567" w:hanging="567"/>
        <w:rPr>
          <w:rFonts w:cs="Arial"/>
          <w:b/>
          <w:bCs/>
          <w:lang w:val="cs-CZ"/>
        </w:rPr>
      </w:pPr>
      <w:r w:rsidRPr="003B6E11">
        <w:rPr>
          <w:b/>
          <w:lang w:val="cs-CZ"/>
        </w:rPr>
        <w:t>3.1</w:t>
      </w:r>
      <w:r w:rsidRPr="003B6E11">
        <w:rPr>
          <w:lang w:val="cs-CZ"/>
        </w:rPr>
        <w:tab/>
      </w:r>
      <w:r w:rsidRPr="003B6E11">
        <w:rPr>
          <w:b/>
          <w:lang w:val="cs-CZ"/>
        </w:rPr>
        <w:t>Odstavec 1 – Motorová loď plující samostatně</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spacing w:line="240" w:lineRule="atLeast"/>
        <w:ind w:left="567"/>
        <w:rPr>
          <w:snapToGrid w:val="0"/>
          <w:lang w:val="cs-CZ"/>
        </w:rPr>
      </w:pPr>
      <w:r w:rsidRPr="003B6E11">
        <w:rPr>
          <w:lang w:val="cs-CZ"/>
        </w:rPr>
        <w:t>Motorové lodě, které jsou podle osvědčení plavidla vnitrozemské plavby rovněž způsobilé pro tlačení, ale:</w:t>
      </w:r>
    </w:p>
    <w:p w:rsidR="003B6E11" w:rsidRPr="003B6E11" w:rsidRDefault="003B6E11" w:rsidP="003B6E11">
      <w:pPr>
        <w:tabs>
          <w:tab w:val="left" w:pos="993"/>
        </w:tabs>
        <w:spacing w:before="60" w:line="240" w:lineRule="atLeast"/>
        <w:ind w:left="993" w:hanging="426"/>
        <w:rPr>
          <w:rFonts w:cs="Arial"/>
          <w:lang w:val="cs-CZ"/>
        </w:rPr>
      </w:pPr>
      <w:r w:rsidRPr="003B6E11">
        <w:rPr>
          <w:lang w:val="cs-CZ"/>
        </w:rPr>
        <w:t>a)</w:t>
      </w:r>
      <w:r w:rsidRPr="003B6E11">
        <w:rPr>
          <w:lang w:val="cs-CZ"/>
        </w:rPr>
        <w:tab/>
        <w:t>které nemají hydraulicky nebo elektricky ovládané spřahovací navijáky nebo</w:t>
      </w:r>
    </w:p>
    <w:p w:rsidR="003B6E11" w:rsidRPr="003B6E11" w:rsidRDefault="003B6E11" w:rsidP="003B6E11">
      <w:pPr>
        <w:tabs>
          <w:tab w:val="left" w:pos="993"/>
        </w:tabs>
        <w:spacing w:before="60" w:line="240" w:lineRule="atLeast"/>
        <w:ind w:left="992"/>
        <w:rPr>
          <w:rFonts w:cs="Arial"/>
          <w:lang w:val="cs-CZ"/>
        </w:rPr>
      </w:pPr>
      <w:r w:rsidRPr="003B6E11">
        <w:rPr>
          <w:lang w:val="cs-CZ"/>
        </w:rPr>
        <w:t>b)</w:t>
      </w:r>
      <w:r w:rsidRPr="003B6E11">
        <w:rPr>
          <w:lang w:val="cs-CZ"/>
        </w:rPr>
        <w:tab/>
        <w:t>jejichž hydraulicky nebo elektricky ovládané spřahovací navijáky nesplňují požadavky bodu 3.3 tohoto pokynu,</w:t>
      </w:r>
    </w:p>
    <w:p w:rsidR="003B6E11" w:rsidRPr="003B6E11" w:rsidRDefault="003B6E11" w:rsidP="003B6E11">
      <w:pPr>
        <w:tabs>
          <w:tab w:val="left" w:pos="567"/>
        </w:tabs>
        <w:spacing w:before="60" w:line="240" w:lineRule="atLeast"/>
        <w:ind w:left="567" w:hanging="567"/>
        <w:rPr>
          <w:rFonts w:cs="Arial"/>
          <w:snapToGrid w:val="0"/>
          <w:szCs w:val="20"/>
          <w:lang w:val="cs-CZ"/>
        </w:rPr>
      </w:pPr>
      <w:r w:rsidRPr="003B6E11">
        <w:rPr>
          <w:lang w:val="cs-CZ"/>
        </w:rPr>
        <w:tab/>
        <w:t>získají standard S2 jako motorová loď plující samostatně. V bodě 47 osvědčení plavidla vnitrozemské plavby se uvede „Standard S2 neplatí pro motorovou loď při tlačení“.</w:t>
      </w:r>
    </w:p>
    <w:p w:rsidR="003B6E11" w:rsidRPr="003B6E11" w:rsidRDefault="003B6E11" w:rsidP="003B6E11">
      <w:pPr>
        <w:tabs>
          <w:tab w:val="left" w:pos="567"/>
        </w:tabs>
        <w:spacing w:line="240" w:lineRule="atLeast"/>
        <w:ind w:left="567" w:hanging="567"/>
        <w:rPr>
          <w:rFonts w:cs="Arial"/>
          <w:b/>
          <w:bCs/>
          <w:lang w:val="cs-CZ"/>
        </w:rPr>
      </w:pPr>
    </w:p>
    <w:p w:rsidR="003B6E11" w:rsidRPr="003B6E11" w:rsidRDefault="003B6E11" w:rsidP="003B6E11">
      <w:pPr>
        <w:tabs>
          <w:tab w:val="left" w:pos="567"/>
        </w:tabs>
        <w:spacing w:line="240" w:lineRule="atLeast"/>
        <w:ind w:left="567" w:hanging="567"/>
        <w:rPr>
          <w:rFonts w:cs="Arial"/>
          <w:b/>
          <w:bCs/>
          <w:lang w:val="cs-CZ"/>
        </w:rPr>
      </w:pPr>
      <w:r w:rsidRPr="003B6E11">
        <w:rPr>
          <w:b/>
          <w:lang w:val="cs-CZ"/>
        </w:rPr>
        <w:t>3.2</w:t>
      </w:r>
      <w:r w:rsidRPr="003B6E11">
        <w:rPr>
          <w:lang w:val="cs-CZ"/>
        </w:rPr>
        <w:tab/>
      </w:r>
      <w:r w:rsidRPr="003B6E11">
        <w:rPr>
          <w:b/>
          <w:lang w:val="cs-CZ"/>
        </w:rPr>
        <w:t>Odstavec 3 – Tlačené sestavy</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after="120" w:line="240" w:lineRule="atLeast"/>
        <w:ind w:left="567" w:hanging="567"/>
        <w:rPr>
          <w:rFonts w:cs="Arial"/>
          <w:snapToGrid w:val="0"/>
          <w:szCs w:val="20"/>
          <w:lang w:val="cs-CZ"/>
        </w:rPr>
      </w:pPr>
      <w:r w:rsidRPr="003B6E11">
        <w:rPr>
          <w:lang w:val="cs-CZ"/>
        </w:rPr>
        <w:tab/>
        <w:t>Motorové lodě, které jsou podle jejich osvědčení plavidla vnitrozemské plavby způsobilé pro tlačení a jsou vybaveny hydraulicky nebo elektricky ovládanými spřahovacími navijáky splňujícími požadavky bodu 3.3 tohoto pokynu, ale které nemají vlastní příďové dokormidlovací zařízení, získají standard S2 jako motorová loď vhodná k tlačení tlačné sestavy. V bodě 47 osvědčení plavidla vnitrozemské plavby se uvede „Standard S2 neplatí pro motorovou plující samostatně“.</w:t>
      </w:r>
    </w:p>
    <w:p w:rsidR="003B6E11" w:rsidRPr="003B6E11" w:rsidRDefault="003B6E11" w:rsidP="003B6E11">
      <w:pPr>
        <w:tabs>
          <w:tab w:val="left" w:pos="567"/>
        </w:tabs>
        <w:spacing w:line="240" w:lineRule="atLeast"/>
        <w:ind w:left="567" w:hanging="567"/>
        <w:rPr>
          <w:rFonts w:cs="Arial"/>
          <w:b/>
          <w:bCs/>
          <w:lang w:val="cs-CZ"/>
        </w:rPr>
      </w:pPr>
    </w:p>
    <w:p w:rsidR="003B6E11" w:rsidRPr="003B6E11" w:rsidRDefault="003B6E11" w:rsidP="003B6E11">
      <w:pPr>
        <w:tabs>
          <w:tab w:val="left" w:pos="567"/>
        </w:tabs>
        <w:spacing w:line="240" w:lineRule="atLeast"/>
        <w:ind w:left="567" w:hanging="567"/>
        <w:rPr>
          <w:rFonts w:cs="Arial"/>
          <w:b/>
          <w:bCs/>
          <w:lang w:val="cs-CZ"/>
        </w:rPr>
      </w:pPr>
      <w:r w:rsidRPr="003B6E11">
        <w:rPr>
          <w:b/>
          <w:lang w:val="cs-CZ"/>
        </w:rPr>
        <w:t>3.3</w:t>
      </w:r>
      <w:r w:rsidRPr="003B6E11">
        <w:rPr>
          <w:lang w:val="cs-CZ"/>
        </w:rPr>
        <w:tab/>
      </w:r>
      <w:r w:rsidRPr="003B6E11">
        <w:rPr>
          <w:b/>
          <w:lang w:val="cs-CZ"/>
        </w:rPr>
        <w:t>Odst. 3 první věta a odst. 4 písm. d) první věta – Speciální navijáky nebo podobná zařízení pro napínání lan (spřahovací zařízení)</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ab/>
        <w:t>Požadovanými spřahovacími zařízeními jsou minimální požadovaná zařízení stanovená v čl. 21.01 odst. 2, jež podle bodů 2.1 a 2.2 pokynu ESI-III-6 (podélná připojení) slouží k zachycení spojovacích sil a která splňují tyto požadavky:</w:t>
      </w:r>
    </w:p>
    <w:p w:rsidR="003B6E11" w:rsidRPr="003B6E11" w:rsidRDefault="003B6E11" w:rsidP="003B6E11">
      <w:pPr>
        <w:tabs>
          <w:tab w:val="left" w:pos="993"/>
        </w:tabs>
        <w:spacing w:before="60" w:line="240" w:lineRule="atLeast"/>
        <w:ind w:left="993" w:hanging="426"/>
        <w:rPr>
          <w:rFonts w:cs="Arial"/>
          <w:lang w:val="cs-CZ"/>
        </w:rPr>
      </w:pPr>
      <w:r w:rsidRPr="003B6E11">
        <w:rPr>
          <w:lang w:val="cs-CZ"/>
        </w:rPr>
        <w:t>a)</w:t>
      </w:r>
      <w:r w:rsidRPr="003B6E11">
        <w:rPr>
          <w:lang w:val="cs-CZ"/>
        </w:rPr>
        <w:tab/>
        <w:t>Zařízení musí poskytovat napínací sílu vyžadovanou pro spojení pouze mechanickými prostředky.</w:t>
      </w:r>
    </w:p>
    <w:p w:rsidR="003B6E11" w:rsidRPr="003B6E11" w:rsidRDefault="003B6E11" w:rsidP="003B6E11">
      <w:pPr>
        <w:tabs>
          <w:tab w:val="left" w:pos="993"/>
        </w:tabs>
        <w:spacing w:before="60" w:line="240" w:lineRule="atLeast"/>
        <w:ind w:left="992"/>
        <w:rPr>
          <w:rFonts w:cs="Arial"/>
          <w:lang w:val="cs-CZ"/>
        </w:rPr>
      </w:pPr>
      <w:r w:rsidRPr="003B6E11">
        <w:rPr>
          <w:lang w:val="cs-CZ"/>
        </w:rPr>
        <w:t>b)</w:t>
      </w:r>
      <w:r w:rsidRPr="003B6E11">
        <w:rPr>
          <w:lang w:val="cs-CZ"/>
        </w:rPr>
        <w:tab/>
        <w:t>Ovládací prvky zařízení musí být umístěny přímo na něm samotném. Nicméně dálkové ovládání je povoleno, pokud:</w:t>
      </w:r>
    </w:p>
    <w:p w:rsidR="003B6E11" w:rsidRPr="003B6E11" w:rsidRDefault="003B6E11" w:rsidP="003B6E11">
      <w:pPr>
        <w:tabs>
          <w:tab w:val="left" w:pos="1418"/>
        </w:tabs>
        <w:spacing w:before="60" w:line="240" w:lineRule="atLeast"/>
        <w:ind w:left="1418"/>
        <w:rPr>
          <w:rFonts w:cs="Arial"/>
          <w:lang w:val="cs-CZ"/>
        </w:rPr>
      </w:pPr>
      <w:r w:rsidRPr="003B6E11">
        <w:rPr>
          <w:rFonts w:cs="Arial"/>
          <w:lang w:val="cs-CZ"/>
        </w:rPr>
        <w:sym w:font="Symbol" w:char="F0B7"/>
      </w:r>
      <w:r w:rsidRPr="003B6E11">
        <w:rPr>
          <w:lang w:val="cs-CZ"/>
        </w:rPr>
        <w:tab/>
        <w:t>osoba obsluhující zařízení má neomezený přímý výhled na zařízení ze stanoviště obsluhy,</w:t>
      </w:r>
    </w:p>
    <w:p w:rsidR="003B6E11" w:rsidRPr="003B6E11" w:rsidRDefault="003B6E11" w:rsidP="003B6E11">
      <w:pPr>
        <w:tabs>
          <w:tab w:val="left" w:pos="1418"/>
        </w:tabs>
        <w:spacing w:before="60" w:line="240" w:lineRule="atLeast"/>
        <w:ind w:left="1418"/>
        <w:rPr>
          <w:rFonts w:cs="Arial"/>
          <w:lang w:val="cs-CZ"/>
        </w:rPr>
      </w:pPr>
      <w:r w:rsidRPr="003B6E11">
        <w:rPr>
          <w:lang w:val="cs-CZ"/>
        </w:rPr>
        <w:br w:type="page"/>
      </w:r>
      <w:r w:rsidRPr="003B6E11">
        <w:rPr>
          <w:rFonts w:cs="Arial"/>
          <w:lang w:val="cs-CZ"/>
        </w:rPr>
        <w:sym w:font="Symbol" w:char="F0B7"/>
      </w:r>
      <w:r w:rsidRPr="003B6E11">
        <w:rPr>
          <w:lang w:val="cs-CZ"/>
        </w:rPr>
        <w:tab/>
        <w:t>se na stanovišti obsluhy nachází zařízení bránící neúmyslné aktivaci,</w:t>
      </w:r>
    </w:p>
    <w:p w:rsidR="003B6E11" w:rsidRPr="003B6E11" w:rsidRDefault="003B6E11" w:rsidP="003B6E11">
      <w:pPr>
        <w:tabs>
          <w:tab w:val="left" w:pos="1418"/>
        </w:tabs>
        <w:spacing w:before="60" w:line="240" w:lineRule="atLeast"/>
        <w:ind w:left="1418"/>
        <w:rPr>
          <w:rFonts w:cs="Arial"/>
          <w:lang w:val="cs-CZ"/>
        </w:rPr>
      </w:pPr>
      <w:r w:rsidRPr="003B6E11">
        <w:rPr>
          <w:rFonts w:cs="Arial"/>
          <w:lang w:val="cs-CZ"/>
        </w:rPr>
        <w:sym w:font="Symbol" w:char="F0B7"/>
      </w:r>
      <w:r w:rsidRPr="003B6E11">
        <w:rPr>
          <w:lang w:val="cs-CZ"/>
        </w:rPr>
        <w:tab/>
        <w:t>zařízení má nouzový vypínač.</w:t>
      </w:r>
    </w:p>
    <w:p w:rsidR="003B6E11" w:rsidRPr="003B6E11" w:rsidRDefault="003B6E11" w:rsidP="003B6E11">
      <w:pPr>
        <w:tabs>
          <w:tab w:val="left" w:pos="993"/>
        </w:tabs>
        <w:spacing w:before="60" w:line="240" w:lineRule="atLeast"/>
        <w:ind w:left="992"/>
        <w:rPr>
          <w:rFonts w:cs="Arial"/>
          <w:lang w:val="cs-CZ"/>
        </w:rPr>
      </w:pPr>
      <w:r w:rsidRPr="003B6E11">
        <w:rPr>
          <w:lang w:val="cs-CZ"/>
        </w:rPr>
        <w:t>c)</w:t>
      </w:r>
      <w:r w:rsidRPr="003B6E11">
        <w:rPr>
          <w:lang w:val="cs-CZ"/>
        </w:rPr>
        <w:tab/>
        <w:t>Zařízení musí být vybaveno brzdným zařízením, které reaguje okamžitě po spuštění ovládacích prvků nebo po selhání pohonné síly.</w:t>
      </w:r>
    </w:p>
    <w:p w:rsidR="003B6E11" w:rsidRPr="003B6E11" w:rsidRDefault="003B6E11" w:rsidP="003B6E11">
      <w:pPr>
        <w:tabs>
          <w:tab w:val="left" w:pos="993"/>
        </w:tabs>
        <w:spacing w:before="60" w:line="240" w:lineRule="atLeast"/>
        <w:ind w:left="992"/>
        <w:rPr>
          <w:rFonts w:cs="Arial"/>
          <w:lang w:val="cs-CZ"/>
        </w:rPr>
      </w:pPr>
      <w:r w:rsidRPr="003B6E11">
        <w:rPr>
          <w:lang w:val="cs-CZ"/>
        </w:rPr>
        <w:t>d)</w:t>
      </w:r>
      <w:r w:rsidRPr="003B6E11">
        <w:rPr>
          <w:lang w:val="cs-CZ"/>
        </w:rPr>
        <w:tab/>
        <w:t>Spojovací lano musí být možné při selhání pohonné síly uvolnit ručně.</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b/>
          <w:bCs/>
          <w:lang w:val="cs-CZ"/>
        </w:rPr>
      </w:pPr>
      <w:r w:rsidRPr="003B6E11">
        <w:rPr>
          <w:b/>
          <w:lang w:val="cs-CZ"/>
        </w:rPr>
        <w:t>3.4</w:t>
      </w:r>
      <w:r w:rsidRPr="003B6E11">
        <w:rPr>
          <w:lang w:val="cs-CZ"/>
        </w:rPr>
        <w:tab/>
      </w:r>
      <w:r w:rsidRPr="003B6E11">
        <w:rPr>
          <w:b/>
          <w:lang w:val="cs-CZ"/>
        </w:rPr>
        <w:t>Odst. 3 druhá věta a odst. 4 písm. d) druhá věta – Obsluha příďového dokormidlovacího zařízení</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tabs>
          <w:tab w:val="left" w:pos="567"/>
        </w:tabs>
        <w:spacing w:line="240" w:lineRule="atLeast"/>
        <w:ind w:left="567" w:hanging="567"/>
        <w:rPr>
          <w:rFonts w:cs="Arial"/>
          <w:lang w:val="cs-CZ"/>
        </w:rPr>
      </w:pPr>
      <w:r w:rsidRPr="003B6E11">
        <w:rPr>
          <w:lang w:val="cs-CZ"/>
        </w:rPr>
        <w:tab/>
        <w:t>Ovládání pro obsluhu příďového dokormidlovacího zařízení musí být trvale nainstalováno v kormidelně. Musí být splněny požadavky čl. 7.04 odst. 8. Elektrická kabeláž pro provoz příďového dokormidlovacího zařízení musí být trvale nainstalována v přední části tlačného motorové lodi nebo tlačného remorkéru.</w:t>
      </w:r>
    </w:p>
    <w:p w:rsidR="003B6E11" w:rsidRPr="003B6E11" w:rsidRDefault="003B6E11" w:rsidP="003B6E11">
      <w:pPr>
        <w:tabs>
          <w:tab w:val="left" w:pos="567"/>
        </w:tabs>
        <w:spacing w:line="240" w:lineRule="atLeast"/>
        <w:ind w:left="567" w:hanging="567"/>
        <w:rPr>
          <w:rFonts w:cs="Arial"/>
          <w:snapToGrid w:val="0"/>
          <w:szCs w:val="20"/>
          <w:lang w:val="cs-CZ"/>
        </w:rPr>
      </w:pPr>
    </w:p>
    <w:p w:rsidR="003B6E11" w:rsidRPr="003B6E11" w:rsidRDefault="003B6E11" w:rsidP="003B6E11">
      <w:pPr>
        <w:tabs>
          <w:tab w:val="left" w:pos="567"/>
        </w:tabs>
        <w:spacing w:line="240" w:lineRule="atLeast"/>
        <w:ind w:left="567" w:hanging="567"/>
        <w:rPr>
          <w:rFonts w:cs="Arial"/>
          <w:b/>
          <w:bCs/>
          <w:lang w:val="cs-CZ"/>
        </w:rPr>
      </w:pPr>
      <w:r w:rsidRPr="003B6E11">
        <w:rPr>
          <w:b/>
          <w:lang w:val="cs-CZ"/>
        </w:rPr>
        <w:t>3.5</w:t>
      </w:r>
      <w:r w:rsidRPr="003B6E11">
        <w:rPr>
          <w:lang w:val="cs-CZ"/>
        </w:rPr>
        <w:tab/>
      </w:r>
      <w:r w:rsidRPr="003B6E11">
        <w:rPr>
          <w:b/>
          <w:lang w:val="cs-CZ"/>
        </w:rPr>
        <w:t>Odstavec 4 – Rovnocenná manévrovatelnost</w:t>
      </w:r>
    </w:p>
    <w:p w:rsidR="003B6E11" w:rsidRPr="003B6E11" w:rsidRDefault="003B6E11" w:rsidP="003B6E11">
      <w:pPr>
        <w:tabs>
          <w:tab w:val="left" w:pos="567"/>
        </w:tabs>
        <w:spacing w:line="240" w:lineRule="atLeast"/>
        <w:ind w:left="567" w:hanging="567"/>
        <w:rPr>
          <w:rFonts w:cs="Arial"/>
          <w:lang w:val="cs-CZ"/>
        </w:rPr>
      </w:pPr>
    </w:p>
    <w:p w:rsidR="003B6E11" w:rsidRPr="003B6E11" w:rsidRDefault="003B6E11" w:rsidP="003B6E11">
      <w:pPr>
        <w:spacing w:line="240" w:lineRule="atLeast"/>
        <w:ind w:left="567"/>
        <w:rPr>
          <w:rFonts w:cs="Arial"/>
          <w:lang w:val="cs-CZ"/>
        </w:rPr>
      </w:pPr>
      <w:r w:rsidRPr="003B6E11">
        <w:rPr>
          <w:lang w:val="cs-CZ"/>
        </w:rPr>
        <w:t>Rovnocenná manévrovatelnost je zajištěna pohonným systémem skládajícím se z:</w:t>
      </w:r>
    </w:p>
    <w:p w:rsidR="003B6E11" w:rsidRPr="003B6E11" w:rsidRDefault="003B6E11" w:rsidP="003B6E11">
      <w:pPr>
        <w:tabs>
          <w:tab w:val="left" w:pos="993"/>
        </w:tabs>
        <w:spacing w:before="60" w:line="240" w:lineRule="atLeast"/>
        <w:ind w:left="992"/>
        <w:rPr>
          <w:rFonts w:cs="Arial"/>
          <w:lang w:val="cs-CZ"/>
        </w:rPr>
      </w:pPr>
      <w:r w:rsidRPr="003B6E11">
        <w:rPr>
          <w:lang w:val="cs-CZ"/>
        </w:rPr>
        <w:t>a)</w:t>
      </w:r>
      <w:r w:rsidRPr="003B6E11">
        <w:rPr>
          <w:lang w:val="cs-CZ"/>
        </w:rPr>
        <w:tab/>
        <w:t>pohonu s několika lodními vrtulemi a nejméně dvou nezávislých pohonných systémů s podobným výkonem;</w:t>
      </w:r>
    </w:p>
    <w:p w:rsidR="003B6E11" w:rsidRPr="003B6E11" w:rsidRDefault="003B6E11" w:rsidP="003B6E11">
      <w:pPr>
        <w:tabs>
          <w:tab w:val="left" w:pos="993"/>
        </w:tabs>
        <w:spacing w:before="60" w:line="240" w:lineRule="atLeast"/>
        <w:ind w:left="992"/>
        <w:rPr>
          <w:rFonts w:cs="Arial"/>
          <w:lang w:val="cs-CZ"/>
        </w:rPr>
      </w:pPr>
      <w:r w:rsidRPr="003B6E11">
        <w:rPr>
          <w:lang w:val="cs-CZ"/>
        </w:rPr>
        <w:t>b)</w:t>
      </w:r>
      <w:r w:rsidRPr="003B6E11">
        <w:rPr>
          <w:lang w:val="cs-CZ"/>
        </w:rPr>
        <w:tab/>
        <w:t>nejméně jedné cykloidní lodní vrtule;</w:t>
      </w:r>
    </w:p>
    <w:p w:rsidR="003B6E11" w:rsidRPr="003B6E11" w:rsidRDefault="003B6E11" w:rsidP="003B6E11">
      <w:pPr>
        <w:tabs>
          <w:tab w:val="left" w:pos="993"/>
        </w:tabs>
        <w:spacing w:before="60" w:line="240" w:lineRule="atLeast"/>
        <w:ind w:left="992"/>
        <w:rPr>
          <w:rFonts w:cs="Arial"/>
          <w:lang w:val="cs-CZ"/>
        </w:rPr>
      </w:pPr>
      <w:r w:rsidRPr="003B6E11">
        <w:rPr>
          <w:lang w:val="cs-CZ"/>
        </w:rPr>
        <w:t>c)</w:t>
      </w:r>
      <w:r w:rsidRPr="003B6E11">
        <w:rPr>
          <w:lang w:val="cs-CZ"/>
        </w:rPr>
        <w:tab/>
        <w:t>nejméně jedné kormidlovací lodní vrtule nebo</w:t>
      </w:r>
    </w:p>
    <w:p w:rsidR="003B6E11" w:rsidRPr="003B6E11" w:rsidRDefault="003B6E11" w:rsidP="003B6E11">
      <w:pPr>
        <w:tabs>
          <w:tab w:val="left" w:pos="993"/>
        </w:tabs>
        <w:spacing w:before="60" w:line="240" w:lineRule="atLeast"/>
        <w:ind w:left="992"/>
        <w:rPr>
          <w:rFonts w:cs="Arial"/>
          <w:lang w:val="cs-CZ"/>
        </w:rPr>
      </w:pPr>
      <w:r w:rsidRPr="003B6E11">
        <w:rPr>
          <w:lang w:val="cs-CZ"/>
        </w:rPr>
        <w:t>d)</w:t>
      </w:r>
      <w:r w:rsidRPr="003B6E11">
        <w:rPr>
          <w:lang w:val="cs-CZ"/>
        </w:rPr>
        <w:tab/>
        <w:t>nejméně jednoho vodometného tryskového pohonného systému 360° (water-jet).</w:t>
      </w: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textAlignment w:val="baseline"/>
        <w:rPr>
          <w:szCs w:val="20"/>
          <w:lang w:val="cs-CZ"/>
        </w:rPr>
        <w:sectPr w:rsidR="003B6E11" w:rsidRPr="003B6E11" w:rsidSect="00D45887">
          <w:footnotePr>
            <w:numRestart w:val="eachPage"/>
          </w:footnotePr>
          <w:pgSz w:w="11907" w:h="16840" w:code="9"/>
          <w:pgMar w:top="1418" w:right="1418" w:bottom="1418" w:left="1418" w:header="680" w:footer="680" w:gutter="0"/>
          <w:cols w:space="720"/>
          <w:docGrid w:linePitch="326"/>
        </w:sectPr>
      </w:pPr>
    </w:p>
    <w:p w:rsidR="003B6E11" w:rsidRPr="003B6E11" w:rsidRDefault="003B6E11" w:rsidP="003B6E11">
      <w:pPr>
        <w:pStyle w:val="ES-Titre1"/>
      </w:pPr>
      <w:bookmarkStart w:id="783" w:name="_Toc491854374"/>
      <w:bookmarkStart w:id="784" w:name="_Toc535417280"/>
      <w:r w:rsidRPr="003B6E11">
        <w:t>ČÁST IV</w:t>
      </w:r>
      <w:r w:rsidRPr="003B6E11">
        <w:br/>
        <w:t>PŘECHODNÁ USTANOVENÍ</w:t>
      </w:r>
      <w:bookmarkEnd w:id="783"/>
      <w:bookmarkEnd w:id="784"/>
    </w:p>
    <w:p w:rsidR="003B6E11" w:rsidRPr="003B6E11" w:rsidRDefault="003B6E11" w:rsidP="003B6E11">
      <w:pPr>
        <w:tabs>
          <w:tab w:val="left" w:pos="425"/>
        </w:tabs>
        <w:rPr>
          <w:lang w:val="cs-CZ"/>
        </w:rPr>
      </w:pPr>
    </w:p>
    <w:p w:rsidR="003B6E11" w:rsidRPr="003B6E11" w:rsidRDefault="003B6E11" w:rsidP="003B6E11">
      <w:pPr>
        <w:pStyle w:val="ES-Titre2ESI"/>
      </w:pPr>
      <w:bookmarkStart w:id="785" w:name="_Toc491854375"/>
      <w:bookmarkStart w:id="786" w:name="_Toc535417281"/>
      <w:r w:rsidRPr="003B6E11">
        <w:t>ESI-IV-1</w:t>
      </w:r>
      <w:r w:rsidRPr="003B6E11">
        <w:br/>
        <w:t>Uplatňování přechodných ustanovení</w:t>
      </w:r>
      <w:bookmarkEnd w:id="785"/>
      <w:bookmarkEnd w:id="786"/>
    </w:p>
    <w:p w:rsidR="003B6E11" w:rsidRPr="003B6E11" w:rsidRDefault="003B6E11" w:rsidP="003B6E11">
      <w:pPr>
        <w:overflowPunct w:val="0"/>
        <w:adjustRightInd w:val="0"/>
        <w:textAlignment w:val="baseline"/>
        <w:rPr>
          <w:szCs w:val="20"/>
          <w:lang w:val="cs-CZ"/>
        </w:rPr>
      </w:pPr>
    </w:p>
    <w:p w:rsidR="003B6E11" w:rsidRPr="003B6E11" w:rsidRDefault="003B6E11" w:rsidP="003B6E11">
      <w:pPr>
        <w:overflowPunct w:val="0"/>
        <w:adjustRightInd w:val="0"/>
        <w:spacing w:line="240" w:lineRule="atLeast"/>
        <w:jc w:val="center"/>
        <w:rPr>
          <w:rFonts w:cs="Arial"/>
          <w:b/>
          <w:szCs w:val="20"/>
          <w:lang w:val="cs-CZ"/>
        </w:rPr>
      </w:pPr>
      <w:r w:rsidRPr="003B6E11">
        <w:rPr>
          <w:b/>
          <w:lang w:val="cs-CZ"/>
        </w:rPr>
        <w:t>(Kapitoly 19 až 30, 32 a 33)</w:t>
      </w:r>
    </w:p>
    <w:p w:rsidR="003B6E11" w:rsidRPr="003B6E11" w:rsidRDefault="003B6E11" w:rsidP="003B6E11">
      <w:pPr>
        <w:tabs>
          <w:tab w:val="left" w:pos="709"/>
        </w:tabs>
        <w:spacing w:line="240" w:lineRule="atLeast"/>
        <w:ind w:left="709" w:hanging="709"/>
        <w:rPr>
          <w:rFonts w:cs="Arial"/>
          <w:b/>
          <w:bCs/>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1.</w:t>
      </w:r>
      <w:r w:rsidRPr="003B6E11">
        <w:rPr>
          <w:lang w:val="cs-CZ"/>
        </w:rPr>
        <w:tab/>
      </w:r>
      <w:r w:rsidRPr="003B6E11">
        <w:rPr>
          <w:b/>
          <w:color w:val="000000"/>
          <w:lang w:val="cs-CZ"/>
        </w:rPr>
        <w:t>Uplatňování přechodných ustanovení v případě spojování částí plavidel</w:t>
      </w:r>
    </w:p>
    <w:p w:rsidR="003B6E11" w:rsidRPr="003B6E11" w:rsidRDefault="003B6E11" w:rsidP="003B6E11">
      <w:pPr>
        <w:spacing w:line="240" w:lineRule="atLeast"/>
        <w:ind w:left="567" w:hanging="567"/>
        <w:rPr>
          <w:rFonts w:cs="Arial"/>
          <w:b/>
          <w:color w:val="000000"/>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1.1</w:t>
      </w:r>
      <w:r w:rsidRPr="003B6E11">
        <w:rPr>
          <w:lang w:val="cs-CZ"/>
        </w:rPr>
        <w:tab/>
      </w:r>
      <w:r w:rsidRPr="003B6E11">
        <w:rPr>
          <w:b/>
          <w:color w:val="000000"/>
          <w:lang w:val="cs-CZ"/>
        </w:rPr>
        <w:t>Zásady</w:t>
      </w:r>
    </w:p>
    <w:p w:rsidR="003B6E11" w:rsidRPr="003B6E11" w:rsidRDefault="003B6E11" w:rsidP="003B6E11">
      <w:pPr>
        <w:spacing w:line="240" w:lineRule="atLeast"/>
        <w:ind w:left="567" w:hanging="567"/>
        <w:rPr>
          <w:rFonts w:cs="Arial"/>
          <w:b/>
          <w:color w:val="000000"/>
          <w:szCs w:val="20"/>
          <w:lang w:val="cs-CZ"/>
        </w:rPr>
      </w:pPr>
    </w:p>
    <w:p w:rsidR="003B6E11" w:rsidRPr="003B6E11" w:rsidRDefault="003B6E11" w:rsidP="003B6E11">
      <w:pPr>
        <w:spacing w:line="240" w:lineRule="atLeast"/>
        <w:ind w:left="567"/>
        <w:rPr>
          <w:lang w:val="cs-CZ"/>
        </w:rPr>
      </w:pPr>
      <w:r w:rsidRPr="003B6E11">
        <w:rPr>
          <w:lang w:val="cs-CZ"/>
        </w:rPr>
        <w:t>Jsou-li spojeny jednotlivé části různých lodí, týká se ochrana současného stavu (status quo) pouze částí náležících lodi, které je ponecháno její osvědčení plavidla vnitrozemské plavby. Přechodná opatření lze tedy uplatnit pouze na tyto části. S ostatními částmi se nakládá jako s novou lodí.</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1.2</w:t>
      </w:r>
      <w:r w:rsidRPr="003B6E11">
        <w:rPr>
          <w:lang w:val="cs-CZ"/>
        </w:rPr>
        <w:tab/>
      </w:r>
      <w:r w:rsidRPr="003B6E11">
        <w:rPr>
          <w:b/>
          <w:color w:val="000000"/>
          <w:lang w:val="cs-CZ"/>
        </w:rPr>
        <w:t>Podrobné údaje o uplatňování přechodných opatření</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1.2.1</w:t>
      </w:r>
      <w:r w:rsidRPr="003B6E11">
        <w:rPr>
          <w:lang w:val="cs-CZ"/>
        </w:rPr>
        <w:tab/>
        <w:t>Jsou-li spojeny jednotlivé části různých lodí, lze přechodná opatření uplatnit pouze na části patřící lodi, které je ponecháno její osvědčení plavidla vnitrozemské plavby.</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1.2.2</w:t>
      </w:r>
      <w:r w:rsidRPr="003B6E11">
        <w:rPr>
          <w:lang w:val="cs-CZ"/>
        </w:rPr>
        <w:tab/>
        <w:t>S částmi, jež nepatří lodi, které je ponecháno její osvědčení plavidla vnitrozemské plavby, se nakládá jako s novou lodí.</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1.2.3</w:t>
      </w:r>
      <w:r w:rsidRPr="003B6E11">
        <w:rPr>
          <w:lang w:val="cs-CZ"/>
        </w:rPr>
        <w:tab/>
        <w:t>Po připojení části jiné lodi obdrží loď, k níž byla tato část připojena, číslo ENI plavidla, jemuž je ponecháno jeho osvědčení plavidla vnitrozemské plavby jako přestavěnému plavidlu.</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1.2.4</w:t>
      </w:r>
      <w:r w:rsidRPr="003B6E11">
        <w:rPr>
          <w:lang w:val="cs-CZ"/>
        </w:rPr>
        <w:tab/>
        <w:t>V případě, že je stávající osvědčení plavidla vnitrozemské plavby plavidlu po přestavbě ponecháno nebo je mu vydáno nové osvědčení plavidla vnitrozemské plavby, zaznamená se do osvědčení plavidla vnitrozemské plavby dodatečně rok výroby nejstarší části plavidla.</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1.2.5</w:t>
      </w:r>
      <w:r w:rsidRPr="003B6E11">
        <w:rPr>
          <w:lang w:val="cs-CZ"/>
        </w:rPr>
        <w:tab/>
        <w:t>Je-li k plavidlu připojena nová příďová část, musí stávajícím požadavkům vyhovovat i motor příďového dokormidlovacího zařízení umístěný v této příďové části.</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1.2.6</w:t>
      </w:r>
      <w:r w:rsidRPr="003B6E11">
        <w:rPr>
          <w:lang w:val="cs-CZ"/>
        </w:rPr>
        <w:tab/>
        <w:t>Je-li k plavidlu připojena nová záďová část, musí stávajícím požadavkům vyhovovat i motory umístěné v této záďové části.</w:t>
      </w:r>
    </w:p>
    <w:p w:rsidR="003B6E11" w:rsidRPr="003B6E11" w:rsidRDefault="003B6E11" w:rsidP="003B6E11">
      <w:pPr>
        <w:spacing w:line="240" w:lineRule="atLeast"/>
        <w:ind w:left="567" w:hanging="567"/>
        <w:rPr>
          <w:b/>
          <w:bCs/>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1.3</w:t>
      </w:r>
      <w:r w:rsidRPr="003B6E11">
        <w:rPr>
          <w:lang w:val="cs-CZ"/>
        </w:rPr>
        <w:tab/>
      </w:r>
      <w:r w:rsidRPr="003B6E11">
        <w:rPr>
          <w:b/>
          <w:color w:val="000000"/>
          <w:lang w:val="cs-CZ"/>
        </w:rPr>
        <w:t xml:space="preserve">Příklady </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1.3.1</w:t>
      </w:r>
      <w:r w:rsidRPr="003B6E11">
        <w:rPr>
          <w:lang w:val="cs-CZ"/>
        </w:rPr>
        <w:tab/>
        <w:t>Loď je sestavena ze dvou starších lodí (rok výroby lodi 1: 1968, rok výroby lodi 2: 1972). Loď 1 se použije celá kromě příďové části, z lodi 2 se použije příďová část. Takto sestavená loď obdrží osvědčení plavidla vnitrozemské plavby vydané pro loď 1. Příďová část takto sestavené lodi musí být nyní mimo jiné vybavena výklenky pro kotvu.</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br w:type="page"/>
      </w:r>
    </w:p>
    <w:p w:rsidR="003B6E11" w:rsidRPr="003B6E11" w:rsidRDefault="003B6E11" w:rsidP="003B6E11">
      <w:pPr>
        <w:spacing w:line="240" w:lineRule="atLeast"/>
        <w:ind w:left="567" w:hanging="567"/>
        <w:rPr>
          <w:lang w:val="cs-CZ"/>
        </w:rPr>
      </w:pPr>
      <w:r w:rsidRPr="003B6E11">
        <w:rPr>
          <w:lang w:val="cs-CZ"/>
        </w:rPr>
        <w:t>1.3.2</w:t>
      </w:r>
      <w:r w:rsidRPr="003B6E11">
        <w:rPr>
          <w:lang w:val="cs-CZ"/>
        </w:rPr>
        <w:tab/>
        <w:t>Loď je sestavena ze dvou starších lodí (rok výroby lodi 1: 1975, rok výroby lodi 2: 1958, nejstarší součást: 1952). Loď 1 se použije celá kromě příďové části, z lodi 2 se použije příďová část. Takto sestavená loď obdrží osvědčení plavidla vnitrozemské plavby vydané pro loď 1. Příďová část takto sestavené lodi musí být nyní mimo jiné vybavena výklenky pro kotvu. Nejstarší součást z původní lodi 2 s rokem výroby 1952 je dodatečně zapsána do osvědčení plavidla vnitrozemské plavby.</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b/>
          <w:bCs/>
          <w:lang w:val="cs-CZ"/>
        </w:rPr>
      </w:pPr>
      <w:r w:rsidRPr="003B6E11">
        <w:rPr>
          <w:lang w:val="cs-CZ"/>
        </w:rPr>
        <w:t>1.3.3</w:t>
      </w:r>
      <w:r w:rsidRPr="003B6E11">
        <w:rPr>
          <w:lang w:val="cs-CZ"/>
        </w:rPr>
        <w:tab/>
        <w:t>Záďová část lodi s rokem výroby 2001 je připojena k lodi s rokem výroby 1988. Na lodi má zůstat motor lodi s rokem výroby 1988. V takovém případě musí být motor typově schválený. Motoru by musel být typově schválený i v případě, že by se jednalo o motor ze záďové části z roku 2001.</w:t>
      </w:r>
    </w:p>
    <w:p w:rsidR="003B6E11" w:rsidRPr="003B6E11" w:rsidRDefault="003B6E11" w:rsidP="003B6E11">
      <w:pPr>
        <w:spacing w:line="240" w:lineRule="atLeast"/>
        <w:ind w:left="567" w:hanging="567"/>
        <w:rPr>
          <w:b/>
          <w:bCs/>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2.</w:t>
      </w:r>
      <w:r w:rsidRPr="003B6E11">
        <w:rPr>
          <w:lang w:val="cs-CZ"/>
        </w:rPr>
        <w:tab/>
      </w:r>
      <w:r w:rsidRPr="003B6E11">
        <w:rPr>
          <w:b/>
          <w:color w:val="000000"/>
          <w:lang w:val="cs-CZ"/>
        </w:rPr>
        <w:t>Uplatňování přechodných ustanovení v případě změny druhu plavidla (zamýšleného použití plavidla)</w:t>
      </w:r>
    </w:p>
    <w:p w:rsidR="003B6E11" w:rsidRPr="003B6E11" w:rsidRDefault="003B6E11" w:rsidP="003B6E11">
      <w:pPr>
        <w:spacing w:line="240" w:lineRule="atLeast"/>
        <w:ind w:left="567" w:hanging="567"/>
        <w:rPr>
          <w:rFonts w:cs="Arial"/>
          <w:b/>
          <w:color w:val="000000"/>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2.1</w:t>
      </w:r>
      <w:r w:rsidRPr="003B6E11">
        <w:rPr>
          <w:lang w:val="cs-CZ"/>
        </w:rPr>
        <w:tab/>
      </w:r>
      <w:r w:rsidRPr="003B6E11">
        <w:rPr>
          <w:b/>
          <w:color w:val="000000"/>
          <w:lang w:val="cs-CZ"/>
        </w:rPr>
        <w:t>Zásady</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2.1.1</w:t>
      </w:r>
      <w:r w:rsidRPr="003B6E11">
        <w:rPr>
          <w:lang w:val="cs-CZ"/>
        </w:rPr>
        <w:tab/>
      </w:r>
      <w:r w:rsidRPr="003B6E11">
        <w:rPr>
          <w:color w:val="000000"/>
          <w:lang w:val="cs-CZ"/>
        </w:rPr>
        <w:t>Při veškerém rozhodování o uplatnění přechodných ustanovení v případě změny druhu plavidla (druh lodi; zamýšlené použití lodi) podle této normy jsou stěžejní bezpečnostní hlediska.</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2.1.2</w:t>
      </w:r>
      <w:r w:rsidRPr="003B6E11">
        <w:rPr>
          <w:lang w:val="cs-CZ"/>
        </w:rPr>
        <w:tab/>
        <w:t>O změnu druhu plavidla se jedná, pokud se bezpečnostní požadavky platné pro nový druh plavidla liší od požadavků na starý druh plavidla, tj. pokud se na nový druh vztahují zvláštní ustanovení kapitol 19 až 30 této normy, které se nevztahovaly na druh starý.</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2.1.3</w:t>
      </w:r>
      <w:r w:rsidRPr="003B6E11">
        <w:rPr>
          <w:lang w:val="cs-CZ"/>
        </w:rPr>
        <w:tab/>
        <w:t>V případě změny druhu plavidla musí být v plném rozsahu dodržena všechna zvláštní ustanovení a všechny požadavky specifické pro tento druh plavidla; přechodná ustanovení nelze na tyto požadavky uplatnit. Týká se to i částí, jež byly převzaty ze stávajícího plavidla a vztahují se na ně uvedené zvláštní požadavky.</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2.1.4</w:t>
      </w:r>
      <w:r w:rsidRPr="003B6E11">
        <w:rPr>
          <w:lang w:val="cs-CZ"/>
        </w:rPr>
        <w:tab/>
        <w:t>Přestavba cisternové lodi na nákladní loď pro přepravu suchého nákladu nepředstavuje změnu, jak je definována v bodě 2.1.2.</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2.1.5</w:t>
      </w:r>
      <w:r w:rsidRPr="003B6E11">
        <w:rPr>
          <w:lang w:val="cs-CZ"/>
        </w:rPr>
        <w:tab/>
        <w:t>V případě přestavby kajutové osobní lodi na výletní osobní loď musí být všechny nové části plně v souladu se stávajícími požadavky.</w:t>
      </w:r>
    </w:p>
    <w:p w:rsidR="003B6E11" w:rsidRPr="003B6E11" w:rsidRDefault="003B6E11" w:rsidP="003B6E11">
      <w:pPr>
        <w:spacing w:line="240" w:lineRule="atLeast"/>
        <w:ind w:left="567" w:hanging="567"/>
        <w:rPr>
          <w:b/>
          <w:bCs/>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2.2</w:t>
      </w:r>
      <w:r w:rsidRPr="003B6E11">
        <w:rPr>
          <w:lang w:val="cs-CZ"/>
        </w:rPr>
        <w:tab/>
      </w:r>
      <w:r w:rsidRPr="003B6E11">
        <w:rPr>
          <w:b/>
          <w:color w:val="000000"/>
          <w:lang w:val="cs-CZ"/>
        </w:rPr>
        <w:t>Podrobné údaje o uplatňování přechodných opatření</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2.2.1</w:t>
      </w:r>
      <w:r w:rsidRPr="003B6E11">
        <w:rPr>
          <w:lang w:val="cs-CZ"/>
        </w:rPr>
        <w:tab/>
        <w:t>Ustanovení čl. 32.02 odst. 2 (N.V.P.), resp. čl. 33.02 odst. 2 se vztahuje na ty části plavidla, které jsou obnoveny; nové části plavidla tedy nemohou být předmětem přechodných ustanovení.</w:t>
      </w:r>
    </w:p>
    <w:p w:rsidR="003B6E11" w:rsidRPr="003B6E11" w:rsidRDefault="003B6E11" w:rsidP="003B6E11">
      <w:pPr>
        <w:spacing w:line="240" w:lineRule="atLeast"/>
        <w:ind w:left="567" w:hanging="567"/>
        <w:rPr>
          <w:color w:val="000000"/>
          <w:lang w:val="cs-CZ"/>
        </w:rPr>
      </w:pPr>
    </w:p>
    <w:p w:rsidR="003B6E11" w:rsidRPr="003B6E11" w:rsidRDefault="003B6E11" w:rsidP="003B6E11">
      <w:pPr>
        <w:spacing w:line="240" w:lineRule="atLeast"/>
        <w:ind w:left="567" w:hanging="567"/>
        <w:rPr>
          <w:color w:val="000000"/>
          <w:lang w:val="cs-CZ"/>
        </w:rPr>
      </w:pPr>
      <w:r w:rsidRPr="003B6E11">
        <w:rPr>
          <w:color w:val="000000"/>
          <w:lang w:val="cs-CZ"/>
        </w:rPr>
        <w:t>2.2.2</w:t>
      </w:r>
      <w:r w:rsidRPr="003B6E11">
        <w:rPr>
          <w:lang w:val="cs-CZ"/>
        </w:rPr>
        <w:tab/>
      </w:r>
      <w:r w:rsidRPr="003B6E11">
        <w:rPr>
          <w:color w:val="000000"/>
          <w:lang w:val="cs-CZ"/>
        </w:rPr>
        <w:t>Na části plavidla, které nejsou přestavěny, se nadále vztahují přechodná ustanovení, s výjimkou částí podle bodu 2.1.3 druhé věty.</w:t>
      </w:r>
    </w:p>
    <w:p w:rsidR="003B6E11" w:rsidRPr="003B6E11" w:rsidRDefault="003B6E11" w:rsidP="003B6E11">
      <w:pPr>
        <w:spacing w:line="240" w:lineRule="atLeast"/>
        <w:ind w:left="567" w:hanging="567"/>
        <w:rPr>
          <w:color w:val="000000"/>
          <w:lang w:val="cs-CZ"/>
        </w:rPr>
      </w:pPr>
    </w:p>
    <w:p w:rsidR="003B6E11" w:rsidRPr="003B6E11" w:rsidRDefault="003B6E11" w:rsidP="003B6E11">
      <w:pPr>
        <w:spacing w:line="240" w:lineRule="atLeast"/>
        <w:ind w:left="567" w:hanging="567"/>
        <w:rPr>
          <w:color w:val="000000"/>
          <w:lang w:val="cs-CZ"/>
        </w:rPr>
      </w:pPr>
      <w:r w:rsidRPr="003B6E11">
        <w:rPr>
          <w:color w:val="000000"/>
          <w:lang w:val="cs-CZ"/>
        </w:rPr>
        <w:t>2.2.3</w:t>
      </w:r>
      <w:r w:rsidRPr="003B6E11">
        <w:rPr>
          <w:lang w:val="cs-CZ"/>
        </w:rPr>
        <w:tab/>
      </w:r>
      <w:r w:rsidRPr="003B6E11">
        <w:rPr>
          <w:color w:val="000000"/>
          <w:lang w:val="cs-CZ"/>
        </w:rPr>
        <w:t>Dojde-li k úpravě rozměrů plavidla, přechodná ustanovení se již nevztahují na ty části plavidla, které jsou touto úpravou dotčeny (např. vzdálenost kolizní přepážky, volného boku a kotvy).</w:t>
      </w:r>
    </w:p>
    <w:p w:rsidR="003B6E11" w:rsidRPr="003B6E11" w:rsidRDefault="003B6E11" w:rsidP="003B6E11">
      <w:pPr>
        <w:spacing w:line="240" w:lineRule="atLeast"/>
        <w:ind w:left="567" w:hanging="567"/>
        <w:rPr>
          <w:color w:val="000000"/>
          <w:lang w:val="cs-CZ"/>
        </w:rPr>
      </w:pPr>
    </w:p>
    <w:p w:rsidR="003B6E11" w:rsidRPr="003B6E11" w:rsidRDefault="003B6E11" w:rsidP="003B6E11">
      <w:pPr>
        <w:spacing w:line="240" w:lineRule="atLeast"/>
        <w:ind w:left="567" w:hanging="567"/>
        <w:rPr>
          <w:lang w:val="cs-CZ"/>
        </w:rPr>
      </w:pPr>
      <w:r w:rsidRPr="003B6E11">
        <w:rPr>
          <w:lang w:val="cs-CZ"/>
        </w:rPr>
        <w:br w:type="page"/>
      </w:r>
    </w:p>
    <w:p w:rsidR="003B6E11" w:rsidRPr="003B6E11" w:rsidRDefault="003B6E11" w:rsidP="003B6E11">
      <w:pPr>
        <w:spacing w:line="240" w:lineRule="atLeast"/>
        <w:ind w:left="567" w:hanging="567"/>
        <w:rPr>
          <w:lang w:val="cs-CZ"/>
        </w:rPr>
      </w:pPr>
      <w:r w:rsidRPr="003B6E11">
        <w:rPr>
          <w:lang w:val="cs-CZ"/>
        </w:rPr>
        <w:t>2.2.4</w:t>
      </w:r>
      <w:r w:rsidRPr="003B6E11">
        <w:rPr>
          <w:lang w:val="cs-CZ"/>
        </w:rPr>
        <w:tab/>
        <w:t>V případě změny druhu plavidla se použijí zvláštní požadavky, které se vztahují pouze na nový druh plavidla. Všechna zařízení a části výstroje, které jsou ovlivněny přestavbou plavidla, musí splňovat stávající požadavky uvedené v částech II a III této normy.</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2.2.5</w:t>
      </w:r>
      <w:r w:rsidRPr="003B6E11">
        <w:rPr>
          <w:lang w:val="cs-CZ"/>
        </w:rPr>
        <w:tab/>
        <w:t>Plavidlu se potom udělí nové nebo pozměněné osvědčení plavidla vnitrozemské plavby a v polích 7 a 8 tohoto osvědčení se uvedou údaje o původní stavbě i přestavbě.</w:t>
      </w:r>
    </w:p>
    <w:p w:rsidR="003B6E11" w:rsidRPr="003B6E11" w:rsidRDefault="003B6E11" w:rsidP="003B6E11">
      <w:pPr>
        <w:spacing w:line="240" w:lineRule="atLeast"/>
        <w:ind w:left="567" w:hanging="567"/>
        <w:rPr>
          <w:b/>
          <w:bCs/>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2.3</w:t>
      </w:r>
      <w:r w:rsidRPr="003B6E11">
        <w:rPr>
          <w:lang w:val="cs-CZ"/>
        </w:rPr>
        <w:tab/>
      </w:r>
      <w:r w:rsidRPr="003B6E11">
        <w:rPr>
          <w:b/>
          <w:color w:val="000000"/>
          <w:lang w:val="cs-CZ"/>
        </w:rPr>
        <w:t xml:space="preserve">Příklady </w:t>
      </w:r>
    </w:p>
    <w:p w:rsidR="003B6E11" w:rsidRPr="003B6E11" w:rsidRDefault="003B6E11" w:rsidP="003B6E11">
      <w:pPr>
        <w:tabs>
          <w:tab w:val="left" w:pos="1134"/>
        </w:tabs>
        <w:spacing w:line="240" w:lineRule="atLeast"/>
        <w:ind w:left="1134" w:hanging="709"/>
        <w:rPr>
          <w:rFonts w:cs="Arial"/>
          <w:szCs w:val="20"/>
          <w:lang w:val="cs-CZ"/>
        </w:rPr>
      </w:pPr>
    </w:p>
    <w:p w:rsidR="003B6E11" w:rsidRPr="003B6E11" w:rsidRDefault="003B6E11" w:rsidP="003B6E11">
      <w:pPr>
        <w:spacing w:line="240" w:lineRule="atLeast"/>
        <w:ind w:left="567" w:hanging="567"/>
        <w:rPr>
          <w:lang w:val="cs-CZ"/>
        </w:rPr>
      </w:pPr>
      <w:r w:rsidRPr="003B6E11">
        <w:rPr>
          <w:lang w:val="cs-CZ"/>
        </w:rPr>
        <w:t>2.3.1</w:t>
      </w:r>
      <w:r w:rsidRPr="003B6E11">
        <w:rPr>
          <w:lang w:val="cs-CZ"/>
        </w:rPr>
        <w:tab/>
        <w:t>Nákladní loď (rok výroby 1996) je přestavěna na osobní loď. Kapitola 19 této normy se pak vztahuje na celou loď, aniž by se použila přechodná ustanovení. Není-li příďová část upravena buď podle plánů přestavby, nebo v souladu s kapitolou 19, nemusí být loď vybavena výklenky pro kotvu v souladu s článkem 3.03.</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2.3.2</w:t>
      </w:r>
      <w:r w:rsidRPr="003B6E11">
        <w:rPr>
          <w:lang w:val="cs-CZ"/>
        </w:rPr>
        <w:tab/>
        <w:t>Remorkér (rok výroby 1970) je přestavěn na tlačný remorkér. Fyzická přestavba spočívá pouze ve výměně vybavení na palubě a instalaci tlačného zařízení. Pro loď z roku 1970 jsou nadále platná všechna přechodná ustanovení, kromě kapitol 5 a 7 (z části) a článků 13.01 a 21.01.</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2.3.3</w:t>
      </w:r>
      <w:r w:rsidRPr="003B6E11">
        <w:rPr>
          <w:lang w:val="cs-CZ"/>
        </w:rPr>
        <w:tab/>
        <w:t>Tanková motorová loď (rok výroby 1970) je přestavěna na tlačný remorkér. Fyzická přestavba spočívá v oddělení příďové části a nákladní části, jakož i ve výměně vybavení na palubě a instalaci tlačného zařízení. Pro loď z roku 1970 jsou nadále platná všechna přechodná ustanovení, s výjimkou ustanovení kapitol 5 a 7 (z části) a článků 13.01 a 21.01.</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2.3.4</w:t>
      </w:r>
      <w:r w:rsidRPr="003B6E11">
        <w:rPr>
          <w:lang w:val="cs-CZ"/>
        </w:rPr>
        <w:tab/>
        <w:t>Tanková motorová loď je přestavěna na nákladní motorovou loď. Nákladní motorová loď musí být v souladu se stávajícími požadavky na bezpečnost práce, a to zejména požadavky uvedenými v článku 14.04 kapitoly 14 této normy.</w:t>
      </w:r>
    </w:p>
    <w:p w:rsidR="003B6E11" w:rsidRPr="003B6E11" w:rsidRDefault="003B6E11" w:rsidP="003B6E11">
      <w:pPr>
        <w:spacing w:line="240" w:lineRule="atLeast"/>
        <w:ind w:left="567" w:hanging="567"/>
        <w:rPr>
          <w:rFonts w:cs="Arial"/>
          <w:b/>
          <w:color w:val="000000"/>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3.</w:t>
      </w:r>
      <w:r w:rsidRPr="003B6E11">
        <w:rPr>
          <w:lang w:val="cs-CZ"/>
        </w:rPr>
        <w:tab/>
      </w:r>
      <w:r w:rsidRPr="003B6E11">
        <w:rPr>
          <w:b/>
          <w:color w:val="000000"/>
          <w:lang w:val="cs-CZ"/>
        </w:rPr>
        <w:t>Uplatňování přechodných ustanovení v případě přestavby osobních lodí</w:t>
      </w:r>
    </w:p>
    <w:p w:rsidR="003B6E11" w:rsidRPr="003B6E11" w:rsidRDefault="003B6E11" w:rsidP="003B6E11">
      <w:pPr>
        <w:spacing w:line="240" w:lineRule="atLeast"/>
        <w:ind w:left="567" w:hanging="567"/>
        <w:rPr>
          <w:rFonts w:cs="Arial"/>
          <w:b/>
          <w:color w:val="000000"/>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3.1</w:t>
      </w:r>
      <w:r w:rsidRPr="003B6E11">
        <w:rPr>
          <w:lang w:val="cs-CZ"/>
        </w:rPr>
        <w:tab/>
      </w:r>
      <w:r w:rsidRPr="003B6E11">
        <w:rPr>
          <w:b/>
          <w:color w:val="000000"/>
          <w:lang w:val="cs-CZ"/>
        </w:rPr>
        <w:t>Uplatňování přechodných ustanovení</w:t>
      </w:r>
    </w:p>
    <w:p w:rsidR="003B6E11" w:rsidRPr="003B6E11" w:rsidRDefault="003B6E11" w:rsidP="003B6E11">
      <w:pPr>
        <w:tabs>
          <w:tab w:val="left" w:pos="1134"/>
        </w:tabs>
        <w:spacing w:line="240" w:lineRule="atLeast"/>
        <w:ind w:left="1134" w:hanging="709"/>
        <w:rPr>
          <w:rFonts w:cs="Arial"/>
          <w:color w:val="000000"/>
          <w:szCs w:val="20"/>
          <w:lang w:val="cs-CZ"/>
        </w:rPr>
      </w:pPr>
    </w:p>
    <w:p w:rsidR="003B6E11" w:rsidRPr="003B6E11" w:rsidRDefault="003B6E11" w:rsidP="003B6E11">
      <w:pPr>
        <w:spacing w:line="240" w:lineRule="atLeast"/>
        <w:ind w:left="567" w:hanging="567"/>
        <w:rPr>
          <w:lang w:val="cs-CZ"/>
        </w:rPr>
      </w:pPr>
      <w:r w:rsidRPr="003B6E11">
        <w:rPr>
          <w:lang w:val="cs-CZ"/>
        </w:rPr>
        <w:t>3.1.1</w:t>
      </w:r>
      <w:r w:rsidRPr="003B6E11">
        <w:rPr>
          <w:lang w:val="cs-CZ"/>
        </w:rPr>
        <w:tab/>
        <w:t>Opatření týkající se přestavby, která jsou nezbytná pro dosažení souladu s požadavky kapitoly 19, bez ohledu na to, kdy jsou prováděna, nepředstavují přestavbu „C“ ve smyslu čl. 32.02 odst. 2, čl. 32.03 odst. 1 nebo čl. 32.05 odst. 5, resp. článků 33.02 a 33.03 této normy.</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3.1.2</w:t>
      </w:r>
      <w:r w:rsidRPr="003B6E11">
        <w:rPr>
          <w:lang w:val="cs-CZ"/>
        </w:rPr>
        <w:tab/>
        <w:t>V případě přestavby kajutové osobní lodi na výletní osobní loď musí být všechny nové části plně v souladu se stávajícími požadavky.</w:t>
      </w:r>
    </w:p>
    <w:p w:rsidR="003B6E11" w:rsidRPr="003B6E11" w:rsidRDefault="003B6E11" w:rsidP="003B6E11">
      <w:pPr>
        <w:spacing w:line="240" w:lineRule="atLeast"/>
        <w:ind w:left="567" w:hanging="567"/>
        <w:rPr>
          <w:rFonts w:cs="Arial"/>
          <w:b/>
          <w:color w:val="000000"/>
          <w:szCs w:val="20"/>
          <w:lang w:val="cs-CZ"/>
        </w:rPr>
      </w:pPr>
    </w:p>
    <w:p w:rsidR="003B6E11" w:rsidRPr="003B6E11" w:rsidRDefault="003B6E11" w:rsidP="003B6E11">
      <w:pPr>
        <w:spacing w:line="240" w:lineRule="atLeast"/>
        <w:ind w:left="567" w:hanging="567"/>
        <w:rPr>
          <w:rFonts w:cs="Arial"/>
          <w:b/>
          <w:color w:val="000000"/>
          <w:szCs w:val="20"/>
          <w:lang w:val="cs-CZ"/>
        </w:rPr>
      </w:pPr>
      <w:r w:rsidRPr="003B6E11">
        <w:rPr>
          <w:b/>
          <w:color w:val="000000"/>
          <w:lang w:val="cs-CZ"/>
        </w:rPr>
        <w:t>3.2</w:t>
      </w:r>
      <w:r w:rsidRPr="003B6E11">
        <w:rPr>
          <w:lang w:val="cs-CZ"/>
        </w:rPr>
        <w:tab/>
      </w:r>
      <w:r w:rsidRPr="003B6E11">
        <w:rPr>
          <w:b/>
          <w:color w:val="000000"/>
          <w:lang w:val="cs-CZ"/>
        </w:rPr>
        <w:t xml:space="preserve">Příklady </w:t>
      </w:r>
    </w:p>
    <w:p w:rsidR="003B6E11" w:rsidRPr="003B6E11" w:rsidRDefault="003B6E11" w:rsidP="003B6E11">
      <w:pPr>
        <w:tabs>
          <w:tab w:val="left" w:pos="1134"/>
        </w:tabs>
        <w:spacing w:line="240" w:lineRule="atLeast"/>
        <w:ind w:left="1134" w:hanging="709"/>
        <w:rPr>
          <w:rFonts w:cs="Arial"/>
          <w:color w:val="000000"/>
          <w:szCs w:val="20"/>
          <w:lang w:val="cs-CZ"/>
        </w:rPr>
      </w:pPr>
    </w:p>
    <w:p w:rsidR="003B6E11" w:rsidRPr="003B6E11" w:rsidRDefault="003B6E11" w:rsidP="003B6E11">
      <w:pPr>
        <w:spacing w:line="240" w:lineRule="atLeast"/>
        <w:ind w:left="567" w:hanging="567"/>
        <w:rPr>
          <w:lang w:val="cs-CZ"/>
        </w:rPr>
      </w:pPr>
      <w:r w:rsidRPr="003B6E11">
        <w:rPr>
          <w:lang w:val="cs-CZ"/>
        </w:rPr>
        <w:t>3.2.1</w:t>
      </w:r>
      <w:r w:rsidRPr="003B6E11">
        <w:rPr>
          <w:lang w:val="cs-CZ"/>
        </w:rPr>
        <w:tab/>
        <w:t>Osobní loď (rok výroby 1995) musí být vybavena druhým nezávislým pohonným systémem, který je nutno nainstalovat nejpozději do 1. ledna 2015. Neprovede-li se na této osobní lodi žádná jiná nepovinná přestavba, není nutné provádět výpočet stability podle nových požadavků, avšak pokud je k provedení výpočtu stability objektivní důvod, může být proveden podle původních požadavků na stabilitu uvedených v RVIR nebo stanovených některým členským státem.</w:t>
      </w:r>
    </w:p>
    <w:p w:rsidR="003B6E11" w:rsidRPr="003B6E11" w:rsidRDefault="003B6E11" w:rsidP="003B6E11">
      <w:pPr>
        <w:tabs>
          <w:tab w:val="left" w:pos="1134"/>
        </w:tabs>
        <w:spacing w:line="240" w:lineRule="atLeast"/>
        <w:ind w:left="1134" w:hanging="709"/>
        <w:rPr>
          <w:rFonts w:cs="Arial"/>
          <w:color w:val="000000"/>
          <w:szCs w:val="20"/>
          <w:lang w:val="cs-CZ"/>
        </w:rPr>
      </w:pPr>
      <w:r w:rsidRPr="003B6E11">
        <w:rPr>
          <w:lang w:val="cs-CZ"/>
        </w:rPr>
        <w:br w:type="page"/>
      </w:r>
    </w:p>
    <w:p w:rsidR="003B6E11" w:rsidRPr="003B6E11" w:rsidRDefault="003B6E11" w:rsidP="003B6E11">
      <w:pPr>
        <w:spacing w:line="240" w:lineRule="atLeast"/>
        <w:ind w:left="567" w:hanging="567"/>
        <w:rPr>
          <w:lang w:val="cs-CZ"/>
        </w:rPr>
      </w:pPr>
      <w:r w:rsidRPr="003B6E11">
        <w:rPr>
          <w:lang w:val="cs-CZ"/>
        </w:rPr>
        <w:t>3.2.2</w:t>
      </w:r>
      <w:r w:rsidRPr="003B6E11">
        <w:rPr>
          <w:lang w:val="cs-CZ"/>
        </w:rPr>
        <w:tab/>
        <w:t>Osobní loď (rok výroby 1994, osvědčení plavidla vnitrozemské plavby naposledy obnoveno v roce 2012) bude v roce 2016 prodloužena o 10 m. Kromě toho musí být toto plavidlo vybaveno druhým nezávislým pohonným systémem. Bude rovněž nutné provést nový výpočet stability v souladu s kapitolou 19 pro status 1 oddělení a status 2 oddělení.</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r w:rsidRPr="003B6E11">
        <w:rPr>
          <w:lang w:val="cs-CZ"/>
        </w:rPr>
        <w:t>3.2.3</w:t>
      </w:r>
      <w:r w:rsidRPr="003B6E11">
        <w:rPr>
          <w:lang w:val="cs-CZ"/>
        </w:rPr>
        <w:tab/>
        <w:t>Osobní loď (rok výroby 1988) je opatřena silnějším pohonným systémem, včetně lodních vrtulí. Jedná se o tak zásadní přestavbu, že je nutné provést výpočet stability. Výpočet musí být proveden v souladu se stávajícími požadavky.</w:t>
      </w:r>
    </w:p>
    <w:p w:rsidR="003B6E11" w:rsidRPr="003B6E11" w:rsidRDefault="003B6E11" w:rsidP="003B6E11">
      <w:pPr>
        <w:spacing w:line="240" w:lineRule="atLeast"/>
        <w:ind w:left="567" w:hanging="567"/>
        <w:rPr>
          <w:lang w:val="cs-CZ"/>
        </w:rPr>
      </w:pPr>
    </w:p>
    <w:p w:rsidR="003B6E11" w:rsidRPr="003B6E11" w:rsidRDefault="003B6E11" w:rsidP="003B6E11">
      <w:pPr>
        <w:spacing w:line="240" w:lineRule="atLeast"/>
        <w:ind w:left="567" w:hanging="567"/>
        <w:rPr>
          <w:lang w:val="cs-CZ"/>
        </w:rPr>
      </w:pPr>
    </w:p>
    <w:p w:rsidR="003B6E11" w:rsidRPr="003B6E11" w:rsidRDefault="003B6E11" w:rsidP="003B6E11">
      <w:pPr>
        <w:widowControl w:val="0"/>
        <w:overflowPunct w:val="0"/>
        <w:adjustRightInd w:val="0"/>
        <w:spacing w:line="240" w:lineRule="atLeast"/>
        <w:textAlignment w:val="baseline"/>
        <w:rPr>
          <w:rFonts w:cs="Arial"/>
          <w:snapToGrid w:val="0"/>
          <w:szCs w:val="20"/>
          <w:lang w:val="cs-CZ"/>
        </w:rPr>
      </w:pPr>
    </w:p>
    <w:p w:rsidR="003B6E11" w:rsidRPr="003B6E11" w:rsidRDefault="003B6E11" w:rsidP="003B6E11">
      <w:pPr>
        <w:spacing w:line="240" w:lineRule="atLeast"/>
        <w:ind w:left="567" w:hanging="567"/>
        <w:rPr>
          <w:lang w:val="cs-CZ"/>
        </w:rPr>
      </w:pPr>
    </w:p>
    <w:p w:rsidR="003B6E11" w:rsidRPr="003B6E11" w:rsidRDefault="003B6E11" w:rsidP="003B6E11">
      <w:pPr>
        <w:overflowPunct w:val="0"/>
        <w:adjustRightInd w:val="0"/>
        <w:textAlignment w:val="baseline"/>
        <w:rPr>
          <w:rFonts w:cs="Arial"/>
          <w:szCs w:val="20"/>
          <w:lang w:val="cs-CZ"/>
        </w:rPr>
      </w:pPr>
    </w:p>
    <w:p w:rsidR="003B6E11" w:rsidRPr="003B6E11" w:rsidRDefault="003B6E11" w:rsidP="003B6E11">
      <w:pPr>
        <w:spacing w:line="240" w:lineRule="atLeast"/>
        <w:rPr>
          <w:rFonts w:cs="Arial"/>
          <w:noProof/>
          <w:szCs w:val="20"/>
          <w:lang w:val="cs-CZ"/>
        </w:rPr>
      </w:pPr>
    </w:p>
    <w:p w:rsidR="003B6E11" w:rsidRPr="003B6E11" w:rsidRDefault="003B6E11" w:rsidP="003B6E11">
      <w:pPr>
        <w:tabs>
          <w:tab w:val="center" w:pos="7797"/>
        </w:tabs>
        <w:ind w:right="288"/>
        <w:rPr>
          <w:lang w:val="cs-CZ"/>
        </w:rPr>
      </w:pPr>
    </w:p>
    <w:p w:rsidR="003B6E11" w:rsidRPr="003B6E11" w:rsidRDefault="003B6E11" w:rsidP="003B6E11">
      <w:pPr>
        <w:pStyle w:val="ESgauche"/>
        <w:rPr>
          <w:lang w:val="cs-CZ"/>
        </w:rPr>
      </w:pPr>
    </w:p>
    <w:p w:rsidR="003B6E11" w:rsidRPr="003B6E11" w:rsidRDefault="003B6E11" w:rsidP="003B6E11">
      <w:pPr>
        <w:pStyle w:val="ESgauche"/>
        <w:rPr>
          <w:lang w:val="cs-CZ"/>
        </w:rPr>
      </w:pPr>
    </w:p>
    <w:p w:rsidR="003B6E11" w:rsidRPr="003B6E11" w:rsidRDefault="003B6E11" w:rsidP="003B6E11">
      <w:pPr>
        <w:pStyle w:val="ESgauche"/>
        <w:rPr>
          <w:lang w:val="cs-CZ"/>
        </w:rPr>
      </w:pPr>
    </w:p>
    <w:p w:rsidR="003B6E11" w:rsidRPr="003B6E11" w:rsidRDefault="003B6E11" w:rsidP="003B6E11">
      <w:pPr>
        <w:pStyle w:val="ESch"/>
        <w:rPr>
          <w:lang w:val="cs-CZ"/>
        </w:rPr>
      </w:pPr>
    </w:p>
    <w:p w:rsidR="00A2046F" w:rsidRPr="003B6E11" w:rsidRDefault="00A2046F" w:rsidP="003B6E11">
      <w:pPr>
        <w:overflowPunct w:val="0"/>
        <w:adjustRightInd w:val="0"/>
        <w:spacing w:line="240" w:lineRule="exact"/>
        <w:jc w:val="center"/>
        <w:textAlignment w:val="baseline"/>
        <w:rPr>
          <w:lang w:val="cs-CZ"/>
        </w:rPr>
      </w:pPr>
    </w:p>
    <w:sectPr w:rsidR="00A2046F" w:rsidRPr="003B6E11" w:rsidSect="00AC5CC1">
      <w:headerReference w:type="first" r:id="rId150"/>
      <w:footnotePr>
        <w:numRestart w:val="eachPage"/>
      </w:footnotePr>
      <w:pgSz w:w="11906" w:h="16838" w:code="9"/>
      <w:pgMar w:top="1418" w:right="1418" w:bottom="1418" w:left="1418" w:header="709" w:footer="709" w:gutter="0"/>
      <w:cols w:space="709"/>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15D" w:rsidRDefault="002D015D">
      <w:r>
        <w:separator/>
      </w:r>
    </w:p>
  </w:endnote>
  <w:endnote w:type="continuationSeparator" w:id="0">
    <w:p w:rsidR="002D015D" w:rsidRDefault="002D0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Gras">
    <w:panose1 w:val="00000000000000000000"/>
    <w:charset w:val="00"/>
    <w:family w:val="roman"/>
    <w:notTrueType/>
    <w:pitch w:val="default"/>
  </w:font>
  <w:font w:name="CG Times">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charset w:val="00"/>
    <w:family w:val="roman"/>
    <w:pitch w:val="variable"/>
  </w:font>
  <w:font w:name="Times">
    <w:panose1 w:val="02020603050405020304"/>
    <w:charset w:val="00"/>
    <w:family w:val="roman"/>
    <w:pitch w:val="variable"/>
    <w:sig w:usb0="E0002EFF" w:usb1="C000785B" w:usb2="00000009" w:usb3="00000000" w:csb0="000001FF" w:csb1="00000000"/>
  </w:font>
  <w:font w:name="Liberation Sans">
    <w:altName w:val="Arial"/>
    <w:charset w:val="00"/>
    <w:family w:val="swiss"/>
    <w:pitch w:val="default"/>
  </w:font>
  <w:font w:name="Lucida Sans Unicode">
    <w:panose1 w:val="020B0602030504020204"/>
    <w:charset w:val="00"/>
    <w:family w:val="swiss"/>
    <w:pitch w:val="variable"/>
    <w:sig w:usb0="80000AFF" w:usb1="0000396B" w:usb2="00000000" w:usb3="00000000" w:csb0="000000BF" w:csb1="00000000"/>
  </w:font>
  <w:font w:name="EU 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
    <w:altName w:val="Arial Unicode MS"/>
    <w:panose1 w:val="00000000000000000000"/>
    <w:charset w:val="80"/>
    <w:family w:val="auto"/>
    <w:notTrueType/>
    <w:pitch w:val="default"/>
    <w:sig w:usb0="00000000" w:usb1="08070000" w:usb2="00000010" w:usb3="00000000" w:csb0="00020001"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E1027C">
    <w:pPr>
      <w:widowControl w:val="0"/>
      <w:pBdr>
        <w:top w:val="single" w:sz="6" w:space="1" w:color="auto"/>
      </w:pBdr>
      <w:tabs>
        <w:tab w:val="right" w:pos="9000"/>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iii</w:t>
    </w:r>
    <w:r w:rsidRPr="006B1D78">
      <w:rPr>
        <w:sz w:val="16"/>
        <w:szCs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9C13A9">
    <w:pPr>
      <w:widowControl w:val="0"/>
      <w:pBdr>
        <w:top w:val="single" w:sz="6" w:space="1" w:color="auto"/>
      </w:pBdr>
      <w:tabs>
        <w:tab w:val="right" w:pos="9072"/>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446</w:t>
    </w:r>
    <w:r w:rsidRPr="006B1D78">
      <w:rPr>
        <w:sz w:val="16"/>
        <w:szCs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DC4D54">
    <w:pPr>
      <w:widowControl w:val="0"/>
      <w:pBdr>
        <w:top w:val="single" w:sz="6" w:space="1" w:color="auto"/>
      </w:pBdr>
      <w:tabs>
        <w:tab w:val="right" w:pos="9000"/>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474</w:t>
    </w:r>
    <w:r w:rsidRPr="006B1D78">
      <w:rPr>
        <w:sz w:val="16"/>
        <w:szCs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9C13A9">
    <w:pPr>
      <w:widowControl w:val="0"/>
      <w:pBdr>
        <w:top w:val="single" w:sz="6" w:space="1" w:color="auto"/>
      </w:pBdr>
      <w:tabs>
        <w:tab w:val="right" w:pos="9072"/>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493</w:t>
    </w:r>
    <w:r w:rsidRPr="006B1D78">
      <w:rPr>
        <w:sz w:val="16"/>
        <w:szCs w:val="1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1865DF">
    <w:pPr>
      <w:widowControl w:val="0"/>
      <w:pBdr>
        <w:top w:val="single" w:sz="6" w:space="1" w:color="auto"/>
      </w:pBdr>
      <w:tabs>
        <w:tab w:val="right" w:pos="14034"/>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498</w:t>
    </w:r>
    <w:r w:rsidRPr="006B1D78">
      <w:rPr>
        <w:sz w:val="16"/>
        <w:szCs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9C13A9">
    <w:pPr>
      <w:widowControl w:val="0"/>
      <w:pBdr>
        <w:top w:val="single" w:sz="6" w:space="1" w:color="auto"/>
      </w:pBdr>
      <w:tabs>
        <w:tab w:val="right" w:pos="9072"/>
      </w:tabs>
      <w:spacing w:line="240" w:lineRule="atLeast"/>
      <w:rPr>
        <w:sz w:val="16"/>
        <w:szCs w:val="16"/>
      </w:rPr>
    </w:pPr>
    <w:r>
      <w:rPr>
        <w:sz w:val="16"/>
      </w:rPr>
      <w:t>Vydání 1.0 – září 2014</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Pr>
        <w:noProof/>
        <w:sz w:val="16"/>
        <w:szCs w:val="16"/>
      </w:rPr>
      <w:t>23</w:t>
    </w:r>
    <w:r w:rsidRPr="006B1D78">
      <w:rPr>
        <w:sz w:val="16"/>
        <w:szCs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DC4D54">
    <w:pPr>
      <w:widowControl w:val="0"/>
      <w:pBdr>
        <w:top w:val="single" w:sz="6" w:space="1" w:color="auto"/>
      </w:pBdr>
      <w:tabs>
        <w:tab w:val="right" w:pos="9000"/>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507</w:t>
    </w:r>
    <w:r w:rsidRPr="006B1D78">
      <w:rPr>
        <w:sz w:val="16"/>
        <w:szCs w:val="1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DC4D54">
    <w:pPr>
      <w:widowControl w:val="0"/>
      <w:pBdr>
        <w:top w:val="single" w:sz="6" w:space="1" w:color="auto"/>
      </w:pBdr>
      <w:tabs>
        <w:tab w:val="right" w:pos="9000"/>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558</w:t>
    </w:r>
    <w:r w:rsidRPr="006B1D78">
      <w:rPr>
        <w:sz w:val="16"/>
        <w:szCs w:val="16"/>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DC4D54">
    <w:pPr>
      <w:widowControl w:val="0"/>
      <w:pBdr>
        <w:top w:val="single" w:sz="6" w:space="1" w:color="auto"/>
      </w:pBdr>
      <w:tabs>
        <w:tab w:val="right" w:pos="9000"/>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564</w:t>
    </w:r>
    <w:r w:rsidRPr="006B1D78">
      <w:rPr>
        <w:sz w:val="16"/>
        <w:szCs w:val="16"/>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DC4D54">
    <w:pPr>
      <w:widowControl w:val="0"/>
      <w:pBdr>
        <w:top w:val="single" w:sz="6" w:space="1" w:color="auto"/>
      </w:pBdr>
      <w:tabs>
        <w:tab w:val="right" w:pos="9000"/>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588</w:t>
    </w:r>
    <w:r w:rsidRPr="006B1D78">
      <w:rPr>
        <w:sz w:val="16"/>
        <w:szCs w:val="16"/>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Default="002D015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2C44F2">
    <w:pPr>
      <w:widowControl w:val="0"/>
      <w:pBdr>
        <w:top w:val="single" w:sz="6" w:space="1" w:color="auto"/>
      </w:pBdr>
      <w:tabs>
        <w:tab w:val="right" w:pos="9000"/>
      </w:tabs>
      <w:spacing w:line="240" w:lineRule="atLeast"/>
      <w:rPr>
        <w:sz w:val="16"/>
        <w:szCs w:val="16"/>
      </w:rPr>
    </w:pPr>
    <w:r>
      <w:rPr>
        <w:sz w:val="16"/>
      </w:rPr>
      <w:t>Vydání 2017/1</w:t>
    </w:r>
    <w: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9C13A9">
    <w:pPr>
      <w:widowControl w:val="0"/>
      <w:pBdr>
        <w:top w:val="single" w:sz="6" w:space="1" w:color="auto"/>
      </w:pBdr>
      <w:tabs>
        <w:tab w:val="right" w:pos="13892"/>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591</w:t>
    </w:r>
    <w:r w:rsidRPr="006B1D78">
      <w:rPr>
        <w:sz w:val="16"/>
        <w:szCs w:val="16"/>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Default="002D015D"/>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Default="002D015D"/>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9C13A9">
    <w:pPr>
      <w:widowControl w:val="0"/>
      <w:pBdr>
        <w:top w:val="single" w:sz="6" w:space="1" w:color="auto"/>
      </w:pBdr>
      <w:tabs>
        <w:tab w:val="right" w:pos="9000"/>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594</w:t>
    </w:r>
    <w:r w:rsidRPr="006B1D78">
      <w:rPr>
        <w:sz w:val="16"/>
        <w:szCs w:val="16"/>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Default="002D015D"/>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Default="002D015D"/>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9C13A9">
    <w:pPr>
      <w:widowControl w:val="0"/>
      <w:pBdr>
        <w:top w:val="single" w:sz="6" w:space="1" w:color="auto"/>
      </w:pBdr>
      <w:tabs>
        <w:tab w:val="right" w:pos="13892"/>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597</w:t>
    </w:r>
    <w:r w:rsidRPr="006B1D78">
      <w:rPr>
        <w:sz w:val="16"/>
        <w:szCs w:val="16"/>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Default="002D015D"/>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9C13A9">
    <w:pPr>
      <w:widowControl w:val="0"/>
      <w:pBdr>
        <w:top w:val="single" w:sz="6" w:space="1" w:color="auto"/>
      </w:pBdr>
      <w:tabs>
        <w:tab w:val="right" w:pos="9000"/>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604</w:t>
    </w:r>
    <w:r w:rsidRPr="006B1D78">
      <w:rPr>
        <w:sz w:val="16"/>
        <w:szCs w:val="16"/>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9C13A9">
    <w:pPr>
      <w:widowControl w:val="0"/>
      <w:pBdr>
        <w:top w:val="single" w:sz="6" w:space="1" w:color="auto"/>
      </w:pBdr>
      <w:tabs>
        <w:tab w:val="right" w:pos="9000"/>
      </w:tabs>
      <w:spacing w:line="240" w:lineRule="atLeast"/>
      <w:rPr>
        <w:sz w:val="16"/>
        <w:szCs w:val="16"/>
      </w:rPr>
    </w:pPr>
    <w:r>
      <w:rPr>
        <w:sz w:val="16"/>
      </w:rPr>
      <w:t>Vydání 1.0 – září 2014</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Pr>
        <w:noProof/>
        <w:sz w:val="16"/>
        <w:szCs w:val="16"/>
      </w:rPr>
      <w:t>95</w:t>
    </w:r>
    <w:r w:rsidRPr="006B1D78">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DC4D54">
    <w:pPr>
      <w:widowControl w:val="0"/>
      <w:pBdr>
        <w:top w:val="single" w:sz="6" w:space="1" w:color="auto"/>
      </w:pBdr>
      <w:tabs>
        <w:tab w:val="right" w:pos="9000"/>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5</w:t>
    </w:r>
    <w:r w:rsidRPr="006B1D78">
      <w:rPr>
        <w:sz w:val="16"/>
        <w:szCs w:val="16"/>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DC4D54">
    <w:pPr>
      <w:widowControl w:val="0"/>
      <w:pBdr>
        <w:top w:val="single" w:sz="6" w:space="1" w:color="auto"/>
      </w:pBdr>
      <w:tabs>
        <w:tab w:val="right" w:pos="9000"/>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657</w:t>
    </w:r>
    <w:r w:rsidRPr="006B1D78">
      <w:rPr>
        <w:sz w:val="16"/>
        <w:szCs w:val="16"/>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EF4E24">
    <w:pPr>
      <w:widowControl w:val="0"/>
      <w:pBdr>
        <w:top w:val="single" w:sz="6" w:space="1" w:color="auto"/>
      </w:pBdr>
      <w:tabs>
        <w:tab w:val="right" w:pos="9000"/>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658</w:t>
    </w:r>
    <w:r w:rsidRPr="006B1D78">
      <w:rPr>
        <w:sz w:val="16"/>
        <w:szCs w:val="16"/>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D45887">
    <w:pPr>
      <w:widowControl w:val="0"/>
      <w:pBdr>
        <w:top w:val="single" w:sz="6" w:space="1" w:color="auto"/>
      </w:pBdr>
      <w:tabs>
        <w:tab w:val="right" w:pos="9000"/>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465</w:t>
    </w:r>
    <w:r w:rsidRPr="006B1D78">
      <w:rPr>
        <w:sz w:val="16"/>
        <w:szCs w:val="16"/>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D45887">
    <w:pPr>
      <w:widowControl w:val="0"/>
      <w:pBdr>
        <w:top w:val="single" w:sz="6" w:space="1" w:color="auto"/>
      </w:pBdr>
      <w:tabs>
        <w:tab w:val="right" w:pos="9000"/>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397</w:t>
    </w:r>
    <w:r w:rsidRPr="006B1D78">
      <w:rPr>
        <w:sz w:val="16"/>
        <w:szCs w:val="16"/>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D45887">
    <w:pPr>
      <w:widowControl w:val="0"/>
      <w:pBdr>
        <w:top w:val="single" w:sz="6" w:space="1" w:color="auto"/>
      </w:pBdr>
      <w:tabs>
        <w:tab w:val="right" w:pos="9000"/>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399</w:t>
    </w:r>
    <w:r w:rsidRPr="006B1D78">
      <w:rPr>
        <w:sz w:val="16"/>
        <w:szCs w:val="16"/>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D45887">
    <w:pPr>
      <w:widowControl w:val="0"/>
      <w:pBdr>
        <w:top w:val="single" w:sz="6" w:space="0" w:color="auto"/>
      </w:pBdr>
      <w:tabs>
        <w:tab w:val="right" w:pos="9000"/>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410</w:t>
    </w:r>
    <w:r w:rsidRPr="006B1D78">
      <w:rPr>
        <w:sz w:val="16"/>
        <w:szCs w:val="16"/>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D45887">
    <w:pPr>
      <w:widowControl w:val="0"/>
      <w:pBdr>
        <w:top w:val="single" w:sz="6" w:space="1" w:color="auto"/>
      </w:pBdr>
      <w:tabs>
        <w:tab w:val="right" w:pos="9000"/>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423</w:t>
    </w:r>
    <w:r w:rsidRPr="006B1D78">
      <w:rPr>
        <w:sz w:val="16"/>
        <w:szCs w:val="16"/>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D45887">
    <w:pPr>
      <w:widowControl w:val="0"/>
      <w:pBdr>
        <w:top w:val="single" w:sz="6" w:space="1" w:color="auto"/>
      </w:pBdr>
      <w:tabs>
        <w:tab w:val="right" w:pos="14034"/>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427</w:t>
    </w:r>
    <w:r w:rsidRPr="006B1D78">
      <w:rPr>
        <w:sz w:val="16"/>
        <w:szCs w:val="16"/>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D45887">
    <w:pPr>
      <w:widowControl w:val="0"/>
      <w:pBdr>
        <w:top w:val="single" w:sz="6" w:space="1" w:color="auto"/>
      </w:pBdr>
      <w:tabs>
        <w:tab w:val="right" w:pos="9000"/>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461</w:t>
    </w:r>
    <w:r w:rsidRPr="006B1D78">
      <w:rPr>
        <w:sz w:val="16"/>
        <w:szCs w:val="16"/>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D45887">
    <w:pPr>
      <w:widowControl w:val="0"/>
      <w:pBdr>
        <w:top w:val="single" w:sz="6" w:space="1" w:color="auto"/>
      </w:pBdr>
      <w:tabs>
        <w:tab w:val="right" w:pos="9000"/>
      </w:tabs>
      <w:spacing w:line="240" w:lineRule="atLeast"/>
      <w:rPr>
        <w:sz w:val="16"/>
        <w:szCs w:val="16"/>
      </w:rPr>
    </w:pPr>
    <w:r>
      <w:rPr>
        <w:sz w:val="16"/>
      </w:rPr>
      <w:t>Vydání 1.1 – prosinec 2014</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Pr>
        <w:noProof/>
        <w:sz w:val="16"/>
        <w:szCs w:val="16"/>
      </w:rPr>
      <w:t>43</w:t>
    </w:r>
    <w:r w:rsidRPr="006B1D78">
      <w:rPr>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EF4E24">
    <w:pPr>
      <w:widowControl w:val="0"/>
      <w:pBdr>
        <w:top w:val="single" w:sz="6" w:space="1" w:color="auto"/>
      </w:pBdr>
      <w:tabs>
        <w:tab w:val="right" w:pos="9000"/>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1</w:t>
    </w:r>
    <w:r w:rsidRPr="006B1D78">
      <w:rPr>
        <w:sz w:val="16"/>
        <w:szCs w:val="16"/>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D45887">
    <w:pPr>
      <w:widowControl w:val="0"/>
      <w:pBdr>
        <w:top w:val="single" w:sz="6" w:space="1" w:color="auto"/>
      </w:pBdr>
      <w:tabs>
        <w:tab w:val="right" w:pos="9000"/>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466</w:t>
    </w:r>
    <w:r w:rsidRPr="006B1D78">
      <w:rPr>
        <w:sz w:val="16"/>
        <w:szCs w:val="16"/>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6B1D78" w:rsidRDefault="002D015D" w:rsidP="00D45887">
    <w:pPr>
      <w:widowControl w:val="0"/>
      <w:pBdr>
        <w:top w:val="single" w:sz="6" w:space="1" w:color="auto"/>
      </w:pBdr>
      <w:tabs>
        <w:tab w:val="right" w:pos="9072"/>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9C7A31">
      <w:rPr>
        <w:sz w:val="16"/>
        <w:szCs w:val="16"/>
      </w:rPr>
      <w:instrText xml:space="preserve"> PAGE </w:instrText>
    </w:r>
    <w:r w:rsidRPr="006B1D78">
      <w:rPr>
        <w:sz w:val="16"/>
        <w:szCs w:val="16"/>
      </w:rPr>
      <w:fldChar w:fldCharType="separate"/>
    </w:r>
    <w:r w:rsidR="00B25B1A">
      <w:rPr>
        <w:noProof/>
        <w:sz w:val="16"/>
        <w:szCs w:val="16"/>
      </w:rPr>
      <w:t>498</w:t>
    </w:r>
    <w:r w:rsidRPr="006B1D78">
      <w:rPr>
        <w:sz w:val="16"/>
        <w:szCs w:val="16"/>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EF4E24">
    <w:pPr>
      <w:widowControl w:val="0"/>
      <w:pBdr>
        <w:top w:val="single" w:sz="6" w:space="1" w:color="auto"/>
      </w:pBdr>
      <w:tabs>
        <w:tab w:val="right" w:pos="9000"/>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566</w:t>
    </w:r>
    <w:r w:rsidRPr="006B1D78">
      <w:rPr>
        <w:sz w:val="16"/>
        <w:szCs w:val="16"/>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6B1D78" w:rsidRDefault="002D015D" w:rsidP="00D45887">
    <w:pPr>
      <w:widowControl w:val="0"/>
      <w:pBdr>
        <w:top w:val="single" w:sz="6" w:space="1" w:color="auto"/>
      </w:pBdr>
      <w:tabs>
        <w:tab w:val="right" w:pos="14034"/>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9C7A31">
      <w:rPr>
        <w:sz w:val="16"/>
        <w:szCs w:val="16"/>
      </w:rPr>
      <w:instrText xml:space="preserve"> PAGE </w:instrText>
    </w:r>
    <w:r w:rsidRPr="006B1D78">
      <w:rPr>
        <w:sz w:val="16"/>
        <w:szCs w:val="16"/>
      </w:rPr>
      <w:fldChar w:fldCharType="separate"/>
    </w:r>
    <w:r w:rsidR="00B25B1A">
      <w:rPr>
        <w:noProof/>
        <w:sz w:val="16"/>
        <w:szCs w:val="16"/>
      </w:rPr>
      <w:t>501</w:t>
    </w:r>
    <w:r w:rsidRPr="006B1D78">
      <w:rPr>
        <w:sz w:val="16"/>
        <w:szCs w:val="16"/>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6B1D78" w:rsidRDefault="002D015D" w:rsidP="00D45887">
    <w:pPr>
      <w:widowControl w:val="0"/>
      <w:pBdr>
        <w:top w:val="single" w:sz="6" w:space="1" w:color="auto"/>
      </w:pBdr>
      <w:tabs>
        <w:tab w:val="right" w:pos="9072"/>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9C7A31">
      <w:rPr>
        <w:sz w:val="16"/>
        <w:szCs w:val="16"/>
      </w:rPr>
      <w:instrText xml:space="preserve"> PAGE </w:instrText>
    </w:r>
    <w:r w:rsidRPr="006B1D78">
      <w:rPr>
        <w:sz w:val="16"/>
        <w:szCs w:val="16"/>
      </w:rPr>
      <w:fldChar w:fldCharType="separate"/>
    </w:r>
    <w:r w:rsidR="00B25B1A">
      <w:rPr>
        <w:noProof/>
        <w:sz w:val="16"/>
        <w:szCs w:val="16"/>
      </w:rPr>
      <w:t>572</w:t>
    </w:r>
    <w:r w:rsidRPr="006B1D78">
      <w:rPr>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A30C54" w:rsidRDefault="002D015D" w:rsidP="001E2331">
    <w:pPr>
      <w:widowControl w:val="0"/>
      <w:pBdr>
        <w:top w:val="single" w:sz="6" w:space="1" w:color="auto"/>
      </w:pBdr>
      <w:tabs>
        <w:tab w:val="right" w:pos="13892"/>
      </w:tabs>
      <w:spacing w:line="240" w:lineRule="atLeast"/>
      <w:rPr>
        <w:sz w:val="16"/>
        <w:szCs w:val="16"/>
      </w:rPr>
    </w:pPr>
    <w:r>
      <w:rPr>
        <w:sz w:val="16"/>
      </w:rPr>
      <w:t>Vydání 2017/1</w:t>
    </w:r>
    <w:r>
      <w:tab/>
    </w:r>
    <w:r>
      <w:rPr>
        <w:sz w:val="16"/>
      </w:rPr>
      <w:t xml:space="preserve">Strana </w:t>
    </w:r>
    <w:r w:rsidRPr="00A30C54">
      <w:rPr>
        <w:sz w:val="16"/>
        <w:szCs w:val="16"/>
      </w:rPr>
      <w:fldChar w:fldCharType="begin"/>
    </w:r>
    <w:r w:rsidRPr="00A30C54">
      <w:rPr>
        <w:sz w:val="16"/>
        <w:szCs w:val="16"/>
      </w:rPr>
      <w:instrText xml:space="preserve"> PAGE </w:instrText>
    </w:r>
    <w:r w:rsidRPr="00A30C54">
      <w:rPr>
        <w:sz w:val="16"/>
        <w:szCs w:val="16"/>
      </w:rPr>
      <w:fldChar w:fldCharType="separate"/>
    </w:r>
    <w:r w:rsidR="00B25B1A">
      <w:rPr>
        <w:noProof/>
        <w:sz w:val="16"/>
        <w:szCs w:val="16"/>
      </w:rPr>
      <w:t>437</w:t>
    </w:r>
    <w:r w:rsidRPr="00A30C54">
      <w:rPr>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A30C54" w:rsidRDefault="002D015D" w:rsidP="001E2331">
    <w:pPr>
      <w:widowControl w:val="0"/>
      <w:pBdr>
        <w:top w:val="single" w:sz="6" w:space="1" w:color="auto"/>
      </w:pBdr>
      <w:tabs>
        <w:tab w:val="right" w:pos="13892"/>
      </w:tabs>
      <w:spacing w:line="240" w:lineRule="atLeast"/>
      <w:rPr>
        <w:sz w:val="16"/>
        <w:szCs w:val="16"/>
      </w:rPr>
    </w:pPr>
    <w:r>
      <w:rPr>
        <w:sz w:val="16"/>
      </w:rPr>
      <w:t>Vydání 2017/1</w:t>
    </w:r>
    <w:r>
      <w:tab/>
    </w:r>
    <w:r>
      <w:rPr>
        <w:sz w:val="16"/>
      </w:rPr>
      <w:t xml:space="preserve">Strana </w:t>
    </w:r>
    <w:r w:rsidRPr="00A30C54">
      <w:rPr>
        <w:sz w:val="16"/>
        <w:szCs w:val="16"/>
      </w:rPr>
      <w:fldChar w:fldCharType="begin"/>
    </w:r>
    <w:r w:rsidRPr="00A30C54">
      <w:rPr>
        <w:sz w:val="16"/>
        <w:szCs w:val="16"/>
      </w:rPr>
      <w:instrText xml:space="preserve"> PAGE </w:instrText>
    </w:r>
    <w:r w:rsidRPr="00A30C54">
      <w:rPr>
        <w:sz w:val="16"/>
        <w:szCs w:val="16"/>
      </w:rPr>
      <w:fldChar w:fldCharType="separate"/>
    </w:r>
    <w:r w:rsidR="00B25B1A">
      <w:rPr>
        <w:noProof/>
        <w:sz w:val="16"/>
        <w:szCs w:val="16"/>
      </w:rPr>
      <w:t>413</w:t>
    </w:r>
    <w:r w:rsidRPr="00A30C54">
      <w:rPr>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B405CE">
    <w:pPr>
      <w:widowControl w:val="0"/>
      <w:pBdr>
        <w:top w:val="single" w:sz="6" w:space="1" w:color="auto"/>
      </w:pBdr>
      <w:tabs>
        <w:tab w:val="right" w:pos="13892"/>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416</w:t>
    </w:r>
    <w:r w:rsidRPr="006B1D78">
      <w:rPr>
        <w:sz w:val="16"/>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DC4D54">
    <w:pPr>
      <w:widowControl w:val="0"/>
      <w:pBdr>
        <w:top w:val="single" w:sz="6" w:space="1" w:color="auto"/>
      </w:pBdr>
      <w:tabs>
        <w:tab w:val="right" w:pos="9000"/>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439</w:t>
    </w:r>
    <w:r w:rsidRPr="006B1D78">
      <w:rPr>
        <w:sz w:val="16"/>
        <w:szCs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B8070E" w:rsidRDefault="002D015D" w:rsidP="00EF4E24">
    <w:pPr>
      <w:widowControl w:val="0"/>
      <w:pBdr>
        <w:top w:val="single" w:sz="6" w:space="1" w:color="auto"/>
      </w:pBdr>
      <w:tabs>
        <w:tab w:val="right" w:pos="9000"/>
      </w:tabs>
      <w:spacing w:line="240" w:lineRule="atLeast"/>
      <w:rPr>
        <w:sz w:val="16"/>
        <w:szCs w:val="16"/>
      </w:rPr>
    </w:pPr>
    <w:r>
      <w:rPr>
        <w:sz w:val="16"/>
      </w:rPr>
      <w:t>Vydání 2017/1</w:t>
    </w:r>
    <w:r>
      <w:tab/>
    </w:r>
    <w:r>
      <w:rPr>
        <w:sz w:val="16"/>
      </w:rPr>
      <w:t xml:space="preserve">Strana </w:t>
    </w:r>
    <w:r w:rsidRPr="006B1D78">
      <w:rPr>
        <w:sz w:val="16"/>
        <w:szCs w:val="16"/>
      </w:rPr>
      <w:fldChar w:fldCharType="begin"/>
    </w:r>
    <w:r w:rsidRPr="00B8070E">
      <w:rPr>
        <w:sz w:val="16"/>
        <w:szCs w:val="16"/>
      </w:rPr>
      <w:instrText xml:space="preserve"> PAGE </w:instrText>
    </w:r>
    <w:r w:rsidRPr="006B1D78">
      <w:rPr>
        <w:sz w:val="16"/>
        <w:szCs w:val="16"/>
      </w:rPr>
      <w:fldChar w:fldCharType="separate"/>
    </w:r>
    <w:r w:rsidR="00B25B1A">
      <w:rPr>
        <w:noProof/>
        <w:sz w:val="16"/>
        <w:szCs w:val="16"/>
      </w:rPr>
      <w:t>438</w:t>
    </w:r>
    <w:r w:rsidRPr="006B1D78">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15D" w:rsidRDefault="002D015D">
      <w:r>
        <w:separator/>
      </w:r>
    </w:p>
  </w:footnote>
  <w:footnote w:type="continuationSeparator" w:id="0">
    <w:p w:rsidR="002D015D" w:rsidRDefault="002D015D">
      <w:r>
        <w:continuationSeparator/>
      </w:r>
    </w:p>
  </w:footnote>
  <w:footnote w:id="1">
    <w:p w:rsidR="002D015D" w:rsidRPr="00EB1C21" w:rsidRDefault="002D015D" w:rsidP="00881510">
      <w:pPr>
        <w:pStyle w:val="FootnoteText"/>
        <w:ind w:left="284" w:hanging="284"/>
        <w:rPr>
          <w:sz w:val="16"/>
          <w:szCs w:val="16"/>
          <w:lang w:val="en-US"/>
        </w:rPr>
      </w:pPr>
      <w:r>
        <w:rPr>
          <w:rStyle w:val="FootnoteReference"/>
          <w:sz w:val="16"/>
        </w:rPr>
        <w:footnoteRef/>
      </w:r>
      <w:r>
        <w:rPr>
          <w:sz w:val="16"/>
        </w:rPr>
        <w:t xml:space="preserve"> </w:t>
      </w:r>
      <w:r>
        <w:tab/>
      </w:r>
      <w:r>
        <w:rPr>
          <w:sz w:val="16"/>
        </w:rPr>
        <w:t>MSC.307 (88) přijaté dne 3. prosince 2010 – Mezinárodní předpis pro použití postupů požárních zkoušek.</w:t>
      </w:r>
    </w:p>
  </w:footnote>
  <w:footnote w:id="2">
    <w:p w:rsidR="002D015D" w:rsidRPr="00FA4437" w:rsidRDefault="002D015D" w:rsidP="00881510">
      <w:pPr>
        <w:pStyle w:val="FootnoteText"/>
        <w:spacing w:before="20" w:line="220" w:lineRule="atLeast"/>
        <w:ind w:left="284" w:hanging="284"/>
        <w:rPr>
          <w:rFonts w:cs="Arial"/>
          <w:sz w:val="16"/>
          <w:szCs w:val="16"/>
          <w:lang w:val="en-US"/>
        </w:rPr>
      </w:pPr>
      <w:r>
        <w:rPr>
          <w:rStyle w:val="FootnoteReference"/>
          <w:sz w:val="16"/>
        </w:rPr>
        <w:footnoteRef/>
      </w:r>
      <w:r>
        <w:rPr>
          <w:sz w:val="16"/>
          <w:vertAlign w:val="superscript"/>
        </w:rPr>
        <w:t xml:space="preserve"> </w:t>
      </w:r>
      <w:r>
        <w:tab/>
      </w:r>
      <w:r>
        <w:rPr>
          <w:sz w:val="16"/>
        </w:rPr>
        <w:t>Norma pro sledování polohy a pohybu plavidel pro vnitrozemskou plavbu, vydání 1.2; usnesení CCNR 2013-I-23 ze dne 29. května 2013.</w:t>
      </w:r>
    </w:p>
  </w:footnote>
  <w:footnote w:id="3">
    <w:p w:rsidR="002D015D" w:rsidRPr="00FA4437" w:rsidRDefault="002D015D" w:rsidP="00881510">
      <w:pPr>
        <w:pStyle w:val="FootnoteText"/>
        <w:spacing w:before="20" w:line="220" w:lineRule="atLeast"/>
        <w:ind w:left="284" w:hanging="284"/>
        <w:rPr>
          <w:sz w:val="16"/>
          <w:szCs w:val="16"/>
          <w:lang w:val="en-US"/>
        </w:rPr>
      </w:pPr>
      <w:r>
        <w:rPr>
          <w:rStyle w:val="FootnoteReference"/>
          <w:sz w:val="16"/>
        </w:rPr>
        <w:footnoteRef/>
      </w:r>
      <w:r>
        <w:rPr>
          <w:sz w:val="16"/>
          <w:vertAlign w:val="superscript"/>
        </w:rPr>
        <w:t xml:space="preserve"> </w:t>
      </w:r>
      <w:r>
        <w:tab/>
      </w:r>
      <w:r>
        <w:rPr>
          <w:sz w:val="16"/>
        </w:rPr>
        <w:t>Prováděcí nařízení Komise (EU) č. 689/2012 ze dne 27. července 2012, kterým se mění nařízení (ES) č. 415/2007 o technických specifikacích pro systémy sledování polohy a pohybu plavidel podle článku 5 směrnice Evropského parlamentu a Rady 2005/44/ES o harmonizovaných říčních informačních službách (RIS) na vnitrozemských vodních cestách ve Společenství (Úř. věst. L 202, 28.7.2012).</w:t>
      </w:r>
    </w:p>
  </w:footnote>
  <w:footnote w:id="4">
    <w:p w:rsidR="002D015D" w:rsidRPr="00FA4437" w:rsidRDefault="002D015D" w:rsidP="00881510">
      <w:pPr>
        <w:pStyle w:val="FootnoteText"/>
        <w:spacing w:before="20" w:line="220" w:lineRule="atLeast"/>
        <w:ind w:left="284" w:hanging="284"/>
        <w:rPr>
          <w:rFonts w:cs="Arial"/>
          <w:sz w:val="16"/>
          <w:szCs w:val="16"/>
          <w:lang w:val="en-US"/>
        </w:rPr>
      </w:pPr>
      <w:r>
        <w:rPr>
          <w:rStyle w:val="FootnoteReference"/>
          <w:sz w:val="16"/>
        </w:rPr>
        <w:footnoteRef/>
      </w:r>
      <w:r>
        <w:rPr>
          <w:sz w:val="16"/>
          <w:vertAlign w:val="superscript"/>
        </w:rPr>
        <w:t xml:space="preserve"> </w:t>
      </w:r>
      <w:r>
        <w:tab/>
      </w:r>
      <w:r>
        <w:rPr>
          <w:sz w:val="16"/>
        </w:rPr>
        <w:t>Systém k zobrazování elektronických plavebních map a informací pro vnitrozemskou plavbu (vnitrozemský ECDIS), vydání 2.3; usnesení CCNR 2012</w:t>
      </w:r>
      <w:r>
        <w:softHyphen/>
      </w:r>
      <w:r>
        <w:rPr>
          <w:sz w:val="16"/>
        </w:rPr>
        <w:t>II-20 ze dne 29. listopadu 2012.</w:t>
      </w:r>
    </w:p>
  </w:footnote>
  <w:footnote w:id="5">
    <w:p w:rsidR="002D015D" w:rsidRPr="00FA4437" w:rsidRDefault="002D015D" w:rsidP="00881510">
      <w:pPr>
        <w:pStyle w:val="FootnoteText"/>
        <w:spacing w:before="40" w:line="220" w:lineRule="atLeast"/>
        <w:ind w:left="284" w:hanging="284"/>
        <w:rPr>
          <w:rFonts w:cs="Arial"/>
          <w:sz w:val="16"/>
          <w:szCs w:val="16"/>
          <w:lang w:val="en-US"/>
        </w:rPr>
      </w:pPr>
      <w:r>
        <w:rPr>
          <w:rStyle w:val="FootnoteReference"/>
          <w:sz w:val="16"/>
        </w:rPr>
        <w:footnoteRef/>
      </w:r>
      <w:r>
        <w:rPr>
          <w:sz w:val="16"/>
          <w:vertAlign w:val="superscript"/>
        </w:rPr>
        <w:t xml:space="preserve"> </w:t>
      </w:r>
      <w:r>
        <w:tab/>
      </w:r>
      <w:r>
        <w:rPr>
          <w:sz w:val="16"/>
        </w:rPr>
        <w:t>Prováděcí nařízení Komise (EU) č. 909/2013 ze dne 10. září 2013 o technických specifikacích pro systém k zobrazování elektronických plavebních map a informací pro vnitrozemskou plavbu (vnitrozemský ECDIS) podle směrnice Evropského parlamentu a Rady 2005/44/ES (Úř. věst. L 258, 28.9.2013).</w:t>
      </w:r>
    </w:p>
  </w:footnote>
  <w:footnote w:id="6">
    <w:p w:rsidR="002D015D" w:rsidRPr="00EB1C21" w:rsidRDefault="002D015D" w:rsidP="00FA4437">
      <w:pPr>
        <w:pStyle w:val="FootnoteText"/>
        <w:spacing w:before="40" w:line="220" w:lineRule="atLeast"/>
        <w:ind w:left="284" w:hanging="284"/>
        <w:rPr>
          <w:rFonts w:cs="Arial"/>
          <w:sz w:val="16"/>
          <w:szCs w:val="16"/>
          <w:highlight w:val="lightGray"/>
          <w:lang w:val="en-US"/>
        </w:rPr>
      </w:pPr>
      <w:r>
        <w:rPr>
          <w:rStyle w:val="FootnoteReference"/>
          <w:sz w:val="16"/>
        </w:rPr>
        <w:footnoteRef/>
      </w:r>
      <w:r>
        <w:rPr>
          <w:sz w:val="16"/>
          <w:vertAlign w:val="superscript"/>
        </w:rPr>
        <w:t xml:space="preserve"> </w:t>
      </w:r>
      <w:r>
        <w:tab/>
      </w:r>
      <w:r>
        <w:rPr>
          <w:sz w:val="16"/>
        </w:rPr>
        <w:t>Zkušební norma pro vnitrozemský AIS, vydání 2.0; usnesení CESNI 2017-II-2 ze dne 6. července 2017.</w:t>
      </w:r>
    </w:p>
  </w:footnote>
  <w:footnote w:id="7">
    <w:p w:rsidR="002D015D" w:rsidRPr="00664236" w:rsidRDefault="002D015D" w:rsidP="00DD67C0">
      <w:pPr>
        <w:pStyle w:val="FootnoteText"/>
        <w:spacing w:before="40"/>
        <w:ind w:left="284" w:hanging="284"/>
        <w:rPr>
          <w:rFonts w:cs="Arial"/>
          <w:sz w:val="16"/>
          <w:szCs w:val="16"/>
          <w:lang w:val="en-US"/>
        </w:rPr>
      </w:pPr>
      <w:r>
        <w:rPr>
          <w:rStyle w:val="FootnoteReference"/>
          <w:sz w:val="16"/>
        </w:rPr>
        <w:footnoteRef/>
      </w:r>
      <w:r>
        <w:rPr>
          <w:sz w:val="16"/>
        </w:rPr>
        <w:t xml:space="preserve"> </w:t>
      </w:r>
      <w:r>
        <w:tab/>
      </w:r>
      <w:r>
        <w:rPr>
          <w:sz w:val="16"/>
        </w:rPr>
        <w:t>Směrnice Evropského parlamentu a Rady 2014/90/EU ze dne 23. července 2014 o lodní výstroji a o zrušení směrnice Rady 96/98/ES (Úř. věst. L 257, 28.8.2014).</w:t>
      </w:r>
    </w:p>
  </w:footnote>
  <w:footnote w:id="8">
    <w:p w:rsidR="002D015D" w:rsidRPr="002B6B2C" w:rsidRDefault="002D015D" w:rsidP="002B6B2C">
      <w:pPr>
        <w:pStyle w:val="FootnoteText"/>
        <w:ind w:left="284" w:hanging="284"/>
        <w:rPr>
          <w:lang w:val="en-US"/>
        </w:rPr>
      </w:pPr>
      <w:r>
        <w:rPr>
          <w:rStyle w:val="FootnoteReference"/>
        </w:rPr>
        <w:footnoteRef/>
      </w:r>
      <w:r>
        <w:tab/>
      </w:r>
      <w:hyperlink r:id="rId1">
        <w:r>
          <w:rPr>
            <w:color w:val="000000"/>
            <w:sz w:val="16"/>
          </w:rPr>
          <w:t>nařízení Evropského parlamentu a Rady (EU) 2016/1628 ze dne 14. září 2016 o požadavcích na mezní hodnoty emisí plynných a tuhých znečišťujících látek a schválení typu spalovacích motorů v nesilničních mobilních strojích, o změně nařízení (EU) č. 1024/2012 a (EU) č. 167/2013 a o změně a zrušení směrnice 97/68/ES</w:t>
        </w:r>
      </w:hyperlink>
      <w:r>
        <w:rPr>
          <w:color w:val="444444"/>
          <w:sz w:val="16"/>
        </w:rPr>
        <w:t xml:space="preserve"> </w:t>
      </w:r>
      <w:r>
        <w:rPr>
          <w:sz w:val="16"/>
        </w:rPr>
        <w:t>(Úř. věst. L 252, 16.9.2016).</w:t>
      </w:r>
    </w:p>
  </w:footnote>
  <w:footnote w:id="9">
    <w:p w:rsidR="002D015D" w:rsidRPr="000E1F46" w:rsidRDefault="002D015D" w:rsidP="000E1F46">
      <w:pPr>
        <w:pStyle w:val="FootnoteText"/>
        <w:ind w:left="284" w:hanging="284"/>
        <w:rPr>
          <w:lang w:val="en-US"/>
        </w:rPr>
      </w:pPr>
      <w:r>
        <w:rPr>
          <w:rStyle w:val="FootnoteReference"/>
        </w:rPr>
        <w:footnoteRef/>
      </w:r>
      <w:r>
        <w:t xml:space="preserve"> </w:t>
      </w:r>
      <w:r>
        <w:tab/>
      </w:r>
      <w:r>
        <w:rPr>
          <w:sz w:val="16"/>
        </w:rPr>
        <w:t>Rezoluce IMO A.800 (19) přijatá dne 23. listopadu 1995 – Revidované pokyny pro schvalování sprinklerových soustav odpovídajících soustavám podle pravidel II-2/12 úmluvy SOLAS.</w:t>
      </w:r>
    </w:p>
  </w:footnote>
  <w:footnote w:id="10">
    <w:p w:rsidR="002D015D" w:rsidRPr="00712DDD" w:rsidRDefault="002D015D" w:rsidP="00C44D3C">
      <w:pPr>
        <w:pStyle w:val="FootnoteText"/>
        <w:ind w:left="284" w:hanging="284"/>
        <w:rPr>
          <w:rFonts w:cs="Arial"/>
          <w:sz w:val="16"/>
          <w:szCs w:val="16"/>
          <w:lang w:val="en-US"/>
        </w:rPr>
      </w:pPr>
      <w:r>
        <w:rPr>
          <w:rStyle w:val="FootnoteReference"/>
          <w:sz w:val="16"/>
        </w:rPr>
        <w:footnoteRef/>
      </w:r>
      <w:r>
        <w:rPr>
          <w:sz w:val="16"/>
        </w:rPr>
        <w:t xml:space="preserve"> </w:t>
      </w:r>
      <w:r>
        <w:tab/>
      </w:r>
      <w:r>
        <w:rPr>
          <w:sz w:val="16"/>
        </w:rPr>
        <w:t>Oběžník MSC/Circ. 1165 – Revidované pokyny pro schvalování rovnocenných vodních hasicích systémů pro strojovny a strojovny nákladových čerpadel – přijatý dne 10. června 2005, ve znění MSC/Circ. 1269 , MSC/Circ. 1386 a MSC/Circ. 1385.</w:t>
      </w:r>
    </w:p>
  </w:footnote>
  <w:footnote w:id="11">
    <w:p w:rsidR="002D015D" w:rsidRPr="000E1F46" w:rsidRDefault="002D015D" w:rsidP="00E82B25">
      <w:pPr>
        <w:pStyle w:val="FootnoteText"/>
        <w:ind w:left="284" w:hanging="284"/>
        <w:rPr>
          <w:lang w:val="en-US"/>
        </w:rPr>
      </w:pPr>
      <w:r>
        <w:rPr>
          <w:rStyle w:val="FootnoteReference"/>
        </w:rPr>
        <w:footnoteRef/>
      </w:r>
      <w:r>
        <w:t xml:space="preserve"> </w:t>
      </w:r>
      <w:r>
        <w:tab/>
      </w:r>
      <w:r>
        <w:rPr>
          <w:sz w:val="16"/>
        </w:rPr>
        <w:t>Rezoluce IMO A.266 (VIII) přijatá dne 20. listopadu 1973 – Doporučení o standardní metodě pro stanovení souladu s požadavky na zařízení pro příčné zaplavení u osobních lodí.</w:t>
      </w:r>
    </w:p>
  </w:footnote>
  <w:footnote w:id="12">
    <w:p w:rsidR="002D015D" w:rsidRPr="00101CB2" w:rsidRDefault="002D015D" w:rsidP="00E82B25">
      <w:pPr>
        <w:pStyle w:val="FootnoteText"/>
        <w:ind w:left="284" w:hanging="284"/>
        <w:rPr>
          <w:sz w:val="16"/>
          <w:szCs w:val="16"/>
          <w:lang w:val="en-US"/>
        </w:rPr>
      </w:pPr>
      <w:r>
        <w:rPr>
          <w:rStyle w:val="FootnoteReference"/>
          <w:sz w:val="16"/>
        </w:rPr>
        <w:footnoteRef/>
      </w:r>
      <w:r>
        <w:tab/>
      </w:r>
      <w:r>
        <w:rPr>
          <w:sz w:val="16"/>
        </w:rPr>
        <w:t>Vzdálenost od stěžňového kříže k palubě.</w:t>
      </w:r>
    </w:p>
  </w:footnote>
  <w:footnote w:id="13">
    <w:p w:rsidR="002D015D" w:rsidRPr="000323C7" w:rsidRDefault="002D015D" w:rsidP="00E82B25">
      <w:pPr>
        <w:pStyle w:val="FootnoteText"/>
        <w:ind w:left="284" w:hanging="284"/>
        <w:rPr>
          <w:lang w:val="en-US"/>
        </w:rPr>
      </w:pPr>
      <w:r>
        <w:rPr>
          <w:rStyle w:val="FootnoteReference"/>
          <w:sz w:val="16"/>
        </w:rPr>
        <w:footnoteRef/>
      </w:r>
      <w:r>
        <w:t xml:space="preserve"> </w:t>
      </w:r>
      <w:r>
        <w:tab/>
      </w:r>
      <w:r>
        <w:rPr>
          <w:sz w:val="16"/>
        </w:rPr>
        <w:t>Celková délka košové čnělky bez vrcholu stěžně.</w:t>
      </w:r>
    </w:p>
  </w:footnote>
  <w:footnote w:id="14">
    <w:p w:rsidR="002D015D" w:rsidRPr="00101CB2" w:rsidRDefault="002D015D" w:rsidP="00E82B25">
      <w:pPr>
        <w:pStyle w:val="FootnoteText"/>
        <w:ind w:left="284" w:hanging="284"/>
        <w:rPr>
          <w:sz w:val="16"/>
          <w:szCs w:val="16"/>
          <w:lang w:val="en-US"/>
        </w:rPr>
      </w:pPr>
      <w:r>
        <w:rPr>
          <w:rStyle w:val="FootnoteReference"/>
          <w:sz w:val="16"/>
        </w:rPr>
        <w:footnoteRef/>
      </w:r>
      <w:r>
        <w:tab/>
      </w:r>
      <w:r>
        <w:rPr>
          <w:sz w:val="16"/>
        </w:rPr>
        <w:t>Průměr košové čnělky na úrovni kování vrcholu stěžně.</w:t>
      </w:r>
    </w:p>
  </w:footnote>
  <w:footnote w:id="15">
    <w:p w:rsidR="002D015D" w:rsidRPr="00101CB2" w:rsidRDefault="002D015D" w:rsidP="00E82B25">
      <w:pPr>
        <w:pStyle w:val="FootnoteText"/>
        <w:ind w:left="284" w:hanging="284"/>
        <w:rPr>
          <w:sz w:val="16"/>
          <w:szCs w:val="16"/>
          <w:lang w:val="en-US"/>
        </w:rPr>
      </w:pPr>
      <w:r>
        <w:rPr>
          <w:rStyle w:val="FootnoteReference"/>
          <w:sz w:val="16"/>
        </w:rPr>
        <w:footnoteRef/>
      </w:r>
      <w:r>
        <w:tab/>
      </w:r>
      <w:r>
        <w:rPr>
          <w:sz w:val="16"/>
        </w:rPr>
        <w:t>Celková délka příďového čelenu.</w:t>
      </w:r>
    </w:p>
  </w:footnote>
  <w:footnote w:id="16">
    <w:p w:rsidR="002D015D" w:rsidRPr="00101CB2" w:rsidRDefault="002D015D" w:rsidP="00E82B25">
      <w:pPr>
        <w:pStyle w:val="FootnoteText"/>
        <w:ind w:left="284" w:hanging="284"/>
        <w:rPr>
          <w:sz w:val="16"/>
          <w:szCs w:val="16"/>
          <w:lang w:val="en-US"/>
        </w:rPr>
      </w:pPr>
      <w:r>
        <w:rPr>
          <w:rStyle w:val="FootnoteReference"/>
          <w:sz w:val="16"/>
        </w:rPr>
        <w:footnoteRef/>
      </w:r>
      <w:r>
        <w:tab/>
      </w:r>
      <w:r>
        <w:rPr>
          <w:sz w:val="16"/>
        </w:rPr>
        <w:t>Celková délka čelenní čnělky.</w:t>
      </w:r>
    </w:p>
  </w:footnote>
  <w:footnote w:id="17">
    <w:p w:rsidR="002D015D" w:rsidRPr="00101CB2" w:rsidRDefault="002D015D" w:rsidP="00E82B25">
      <w:pPr>
        <w:pStyle w:val="FootnoteText"/>
        <w:ind w:left="284" w:hanging="284"/>
        <w:rPr>
          <w:sz w:val="16"/>
          <w:szCs w:val="16"/>
          <w:lang w:val="en-US"/>
        </w:rPr>
      </w:pPr>
      <w:r>
        <w:rPr>
          <w:rStyle w:val="FootnoteReference"/>
          <w:sz w:val="16"/>
        </w:rPr>
        <w:footnoteRef/>
      </w:r>
      <w:r>
        <w:tab/>
      </w:r>
      <w:r>
        <w:rPr>
          <w:sz w:val="16"/>
        </w:rPr>
        <w:t>Celková délka hlavního vratipně.</w:t>
      </w:r>
    </w:p>
  </w:footnote>
  <w:footnote w:id="18">
    <w:p w:rsidR="002D015D" w:rsidRPr="00101CB2" w:rsidRDefault="002D015D" w:rsidP="00E82B25">
      <w:pPr>
        <w:pStyle w:val="FootnoteText"/>
        <w:ind w:left="284" w:hanging="284"/>
        <w:rPr>
          <w:sz w:val="16"/>
          <w:szCs w:val="16"/>
          <w:lang w:val="en-US"/>
        </w:rPr>
      </w:pPr>
      <w:r>
        <w:rPr>
          <w:rStyle w:val="FootnoteReference"/>
          <w:sz w:val="16"/>
        </w:rPr>
        <w:footnoteRef/>
      </w:r>
      <w:r>
        <w:tab/>
      </w:r>
      <w:r>
        <w:rPr>
          <w:sz w:val="16"/>
        </w:rPr>
        <w:t>Celková délka vratiráhna.</w:t>
      </w:r>
    </w:p>
  </w:footnote>
  <w:footnote w:id="19">
    <w:p w:rsidR="002D015D" w:rsidRPr="00101CB2" w:rsidRDefault="002D015D" w:rsidP="00E82B25">
      <w:pPr>
        <w:pStyle w:val="FootnoteText"/>
        <w:ind w:left="284" w:hanging="284"/>
        <w:rPr>
          <w:sz w:val="16"/>
          <w:szCs w:val="16"/>
          <w:lang w:val="en-US"/>
        </w:rPr>
      </w:pPr>
      <w:r>
        <w:rPr>
          <w:rStyle w:val="FootnoteReference"/>
          <w:sz w:val="16"/>
        </w:rPr>
        <w:footnoteRef/>
      </w:r>
      <w:r>
        <w:tab/>
      </w:r>
      <w:r>
        <w:rPr>
          <w:sz w:val="16"/>
        </w:rPr>
        <w:t>Vzdálenost od stěžňového koše nebo stěžňového kříže k palubě.</w:t>
      </w:r>
    </w:p>
  </w:footnote>
  <w:footnote w:id="20">
    <w:p w:rsidR="002D015D" w:rsidRPr="00101CB2" w:rsidRDefault="002D015D" w:rsidP="00E82B25">
      <w:pPr>
        <w:pStyle w:val="FootnoteText"/>
        <w:ind w:left="284" w:hanging="284"/>
        <w:rPr>
          <w:sz w:val="16"/>
          <w:szCs w:val="16"/>
          <w:lang w:val="en-US"/>
        </w:rPr>
      </w:pPr>
      <w:r>
        <w:rPr>
          <w:rStyle w:val="FootnoteReference"/>
          <w:sz w:val="16"/>
        </w:rPr>
        <w:footnoteRef/>
      </w:r>
      <w:r>
        <w:tab/>
      </w:r>
      <w:r>
        <w:rPr>
          <w:sz w:val="16"/>
        </w:rPr>
        <w:t>Vzdálenost od stěžňového koše nebo stěžňového kříže k palubě.</w:t>
      </w:r>
    </w:p>
  </w:footnote>
  <w:footnote w:id="21">
    <w:p w:rsidR="002D015D" w:rsidRPr="00E70B9F" w:rsidRDefault="002D015D" w:rsidP="00E82B25">
      <w:pPr>
        <w:pStyle w:val="FootnoteText"/>
        <w:ind w:left="284" w:hanging="284"/>
        <w:rPr>
          <w:sz w:val="16"/>
          <w:szCs w:val="16"/>
        </w:rPr>
      </w:pPr>
      <w:r>
        <w:rPr>
          <w:rStyle w:val="FootnoteReference"/>
          <w:sz w:val="16"/>
        </w:rPr>
        <w:footnoteRef/>
      </w:r>
      <w:r>
        <w:tab/>
      </w:r>
      <w:r>
        <w:rPr>
          <w:sz w:val="16"/>
        </w:rPr>
        <w:t>Směrnice Evropského parlamentu a Rady 2006/42/ES ze dne 17. května 2006 o strojních zařízeních a o změně směrnice 95/16/ES (Úř. věst. L 157, 9.6.2006).</w:t>
      </w:r>
    </w:p>
  </w:footnote>
  <w:footnote w:id="22">
    <w:p w:rsidR="002D015D" w:rsidRPr="00E70B9F" w:rsidRDefault="002D015D" w:rsidP="00E82B25">
      <w:pPr>
        <w:pStyle w:val="FootnoteText"/>
        <w:ind w:left="284" w:hanging="284"/>
        <w:rPr>
          <w:sz w:val="16"/>
          <w:szCs w:val="16"/>
        </w:rPr>
      </w:pPr>
      <w:r>
        <w:rPr>
          <w:rStyle w:val="FootnoteReference"/>
        </w:rPr>
        <w:footnoteRef/>
      </w:r>
      <w:r>
        <w:t xml:space="preserve"> </w:t>
      </w:r>
      <w:r>
        <w:tab/>
      </w:r>
      <w:r>
        <w:rPr>
          <w:sz w:val="16"/>
        </w:rPr>
        <w:t>Směrnice Evropského parlamentu a Rady 2013/53/ES ze dne 20. listopadu 2013 o rekreačních plavidlech a vodních skútrech a o zrušení směrnice 94/25/ES (Úř. věst. L 354, 28.12.2013).</w:t>
      </w:r>
    </w:p>
  </w:footnote>
  <w:footnote w:id="23">
    <w:p w:rsidR="002D015D" w:rsidRPr="00E70B9F" w:rsidRDefault="002D015D" w:rsidP="00E82B25">
      <w:pPr>
        <w:pStyle w:val="FootnoteText"/>
        <w:ind w:left="284" w:hanging="284"/>
        <w:rPr>
          <w:sz w:val="16"/>
          <w:szCs w:val="16"/>
        </w:rPr>
      </w:pPr>
      <w:r>
        <w:rPr>
          <w:rStyle w:val="FootnoteReference"/>
        </w:rPr>
        <w:t>*</w:t>
      </w:r>
      <w:r>
        <w:t xml:space="preserve"> </w:t>
      </w:r>
      <w:r>
        <w:tab/>
      </w:r>
      <w:r>
        <w:rPr>
          <w:sz w:val="16"/>
        </w:rPr>
        <w:t>Úseky nákladových prostorů s volnými plochami vystavenými vodě vyplývají z vodotěsného podélného nebo příčného rozdělení, kterým vznikají samostatné úseky.</w:t>
      </w:r>
    </w:p>
  </w:footnote>
  <w:footnote w:id="24">
    <w:p w:rsidR="002D015D" w:rsidRPr="00E70B9F" w:rsidRDefault="002D015D" w:rsidP="00E82B25">
      <w:pPr>
        <w:pStyle w:val="FootnoteText"/>
        <w:ind w:left="284" w:hanging="284"/>
      </w:pPr>
      <w:r>
        <w:rPr>
          <w:rStyle w:val="FootnoteReference"/>
        </w:rPr>
        <w:footnoteRef/>
      </w:r>
      <w:r>
        <w:t xml:space="preserve"> </w:t>
      </w:r>
      <w:r>
        <w:tab/>
      </w:r>
      <w:r>
        <w:rPr>
          <w:sz w:val="16"/>
        </w:rPr>
        <w:t>MSC.267 (85) přijatá dne 4. prosince 2008 – Mezinárodní předpis o stabilitě v neporušeném stavu.</w:t>
      </w:r>
    </w:p>
  </w:footnote>
  <w:footnote w:id="25">
    <w:p w:rsidR="002D015D" w:rsidRPr="00E70B9F" w:rsidRDefault="002D015D" w:rsidP="00E82B25">
      <w:pPr>
        <w:pStyle w:val="FootnoteText"/>
        <w:spacing w:before="20"/>
        <w:ind w:left="284" w:hanging="284"/>
        <w:rPr>
          <w:rFonts w:cs="Arial"/>
          <w:sz w:val="16"/>
          <w:szCs w:val="16"/>
        </w:rPr>
      </w:pPr>
      <w:r>
        <w:rPr>
          <w:rStyle w:val="FootnoteReference"/>
        </w:rPr>
        <w:footnoteRef/>
      </w:r>
      <w:r>
        <w:t xml:space="preserve"> </w:t>
      </w:r>
      <w:r>
        <w:tab/>
      </w:r>
      <w:r>
        <w:rPr>
          <w:sz w:val="16"/>
        </w:rPr>
        <w:t>Směrnice Evropského parlamentu a Rady 2006/87/ES ze dne 12. prosince 2006, kterou se stanoví technické požadavky pro plavidla vnitrozemské plavby a zrušuje směrnice Rady 82/714/EHS (Úř. věst. L 389, 30.12.2006).</w:t>
      </w:r>
    </w:p>
  </w:footnote>
  <w:footnote w:id="26">
    <w:p w:rsidR="002D015D" w:rsidRPr="00E70B9F" w:rsidRDefault="002D015D" w:rsidP="00E82B25">
      <w:pPr>
        <w:pStyle w:val="FootnoteText"/>
        <w:spacing w:before="40"/>
        <w:ind w:left="284" w:hanging="284"/>
        <w:rPr>
          <w:rFonts w:cs="Arial"/>
          <w:sz w:val="16"/>
          <w:szCs w:val="16"/>
        </w:rPr>
      </w:pPr>
      <w:r>
        <w:rPr>
          <w:rStyle w:val="FootnoteReference"/>
          <w:sz w:val="16"/>
        </w:rPr>
        <w:footnoteRef/>
      </w:r>
      <w:r>
        <w:rPr>
          <w:sz w:val="16"/>
        </w:rPr>
        <w:t xml:space="preserve"> </w:t>
      </w:r>
      <w:r>
        <w:tab/>
      </w:r>
      <w:r>
        <w:rPr>
          <w:sz w:val="16"/>
        </w:rPr>
        <w:t>Přechodné ustanovení použitelné pro čl. 8.10 odst. 3 je dočasným požadavkem s platností do 31. prosince 2019. Do 1. prosince 2014 platilo toto přechodné ustanovení: „8.10 odst. 3</w:t>
      </w:r>
      <w:r>
        <w:rPr>
          <w:i/>
          <w:sz w:val="16"/>
        </w:rPr>
        <w:t xml:space="preserve"> / Mezní hodnota emisí 65 dB(A) pro nepohybující se plavidla / N.V.P., nejpozději při obnovení osvědčení plavidla vnitrozemské plavby po 1.1.2015“.</w:t>
      </w:r>
    </w:p>
  </w:footnote>
  <w:footnote w:id="27">
    <w:p w:rsidR="002D015D" w:rsidRPr="00E70B9F" w:rsidRDefault="002D015D" w:rsidP="00E82B25">
      <w:pPr>
        <w:pStyle w:val="FootnoteText"/>
        <w:spacing w:before="40"/>
        <w:ind w:left="284" w:hanging="284"/>
      </w:pPr>
      <w:r>
        <w:rPr>
          <w:rStyle w:val="FootnoteReference"/>
          <w:sz w:val="16"/>
        </w:rPr>
        <w:footnoteRef/>
      </w:r>
      <w:r>
        <w:rPr>
          <w:sz w:val="16"/>
        </w:rPr>
        <w:t xml:space="preserve"> </w:t>
      </w:r>
      <w:r>
        <w:tab/>
      </w:r>
      <w:r>
        <w:rPr>
          <w:sz w:val="16"/>
        </w:rPr>
        <w:t>Přechodné ustanovení použitelné pro článek 13.07 je dočasným požadavkem s platností do 31. prosince 2019. Do 1. prosince 2014 platilo toto přechodné ustanovení: „</w:t>
      </w:r>
      <w:r>
        <w:rPr>
          <w:i/>
          <w:sz w:val="16"/>
        </w:rPr>
        <w:t>13.07 / Použití evropské normy na lodní člun / N.V.P., nejpozději při obnovení osvědčení plavidla vnitrozemské plavby po 1.1.2015“.</w:t>
      </w:r>
    </w:p>
  </w:footnote>
  <w:footnote w:id="28">
    <w:p w:rsidR="002D015D" w:rsidRPr="00E70B9F" w:rsidRDefault="002D015D" w:rsidP="00E82B25">
      <w:pPr>
        <w:pStyle w:val="FootnoteText"/>
        <w:ind w:left="284" w:hanging="284"/>
        <w:rPr>
          <w:sz w:val="16"/>
          <w:szCs w:val="16"/>
        </w:rPr>
      </w:pPr>
      <w:r>
        <w:rPr>
          <w:rStyle w:val="FootnoteReference"/>
        </w:rPr>
        <w:footnoteRef/>
      </w:r>
      <w:r>
        <w:t xml:space="preserve"> </w:t>
      </w:r>
      <w:r>
        <w:tab/>
      </w:r>
      <w:r>
        <w:rPr>
          <w:sz w:val="16"/>
        </w:rPr>
        <w:t>Avšak nejpozději při obnovení osvědčení plavidla vnitrozemské plavby po 1. 1. 2015 musí plavidla splňovat tyto požadavky:</w:t>
      </w:r>
    </w:p>
    <w:p w:rsidR="002D015D" w:rsidRPr="00E70B9F" w:rsidRDefault="002D015D" w:rsidP="00E82B25">
      <w:pPr>
        <w:pStyle w:val="FootnoteText"/>
        <w:spacing w:before="40"/>
        <w:ind w:left="568" w:hanging="284"/>
        <w:rPr>
          <w:rFonts w:cs="Arial"/>
          <w:sz w:val="16"/>
          <w:szCs w:val="16"/>
        </w:rPr>
      </w:pPr>
      <w:r>
        <w:rPr>
          <w:sz w:val="16"/>
        </w:rPr>
        <w:t>–</w:t>
      </w:r>
      <w:r>
        <w:tab/>
      </w:r>
      <w:r>
        <w:rPr>
          <w:sz w:val="16"/>
        </w:rPr>
        <w:t xml:space="preserve">Vnější okraje palub i pracoviště, z nichž mohou osoby spadnout z výšky více než 1 m, musí být opatřeny zábradlím nebo sily s výškou nejméně 0,70 m nebo průběžným zábradlím podle evropské normy EN 711: 1995, včetně madla, středového zábradlí ve výšce kolen a ochranného profilu u paty zábradlí. </w:t>
      </w:r>
    </w:p>
    <w:p w:rsidR="002D015D" w:rsidRPr="00E70B9F" w:rsidRDefault="002D015D" w:rsidP="00E82B25">
      <w:pPr>
        <w:pStyle w:val="FootnoteText"/>
        <w:spacing w:before="40"/>
        <w:ind w:left="568" w:hanging="284"/>
        <w:rPr>
          <w:rFonts w:cs="Arial"/>
          <w:sz w:val="16"/>
          <w:szCs w:val="16"/>
        </w:rPr>
      </w:pPr>
      <w:r>
        <w:rPr>
          <w:sz w:val="16"/>
        </w:rPr>
        <w:t>–</w:t>
      </w:r>
      <w:r>
        <w:tab/>
      </w:r>
      <w:r>
        <w:rPr>
          <w:sz w:val="16"/>
        </w:rPr>
        <w:t>Boční paluby musí být opatřeny ochranným profilem u paty zábradlí a průběžným madlem připevněným k silu. Madla na silu nejsou zapotřebí, jsou-li boční paluby opatřeny zábradlím na boku lodi, které nelze sklopit.</w:t>
      </w:r>
    </w:p>
  </w:footnote>
  <w:footnote w:id="29">
    <w:p w:rsidR="002D015D" w:rsidRPr="003B6E11" w:rsidRDefault="002D015D" w:rsidP="00E82B25">
      <w:pPr>
        <w:pStyle w:val="FootnoteText"/>
        <w:ind w:left="284" w:hanging="284"/>
        <w:rPr>
          <w:rFonts w:cs="Arial"/>
          <w:sz w:val="16"/>
          <w:szCs w:val="16"/>
          <w:lang w:val="pl-PL"/>
        </w:rPr>
      </w:pPr>
      <w:r>
        <w:rPr>
          <w:rStyle w:val="FootnoteReference"/>
        </w:rPr>
        <w:footnoteRef/>
      </w:r>
      <w:r w:rsidRPr="003B6E11">
        <w:rPr>
          <w:lang w:val="pl-PL"/>
        </w:rPr>
        <w:tab/>
      </w:r>
      <w:r w:rsidRPr="003B6E11">
        <w:rPr>
          <w:sz w:val="16"/>
          <w:lang w:val="pl-PL"/>
        </w:rPr>
        <w:t>U lodí, jejichž kýl byl položen po 31. 12. 1994, a pro lodě v provozu se požadavek použije za těchto podmínek:</w:t>
      </w:r>
    </w:p>
    <w:p w:rsidR="002D015D" w:rsidRPr="003B6E11" w:rsidRDefault="002D015D" w:rsidP="00E82B25">
      <w:pPr>
        <w:pStyle w:val="FootnoteText"/>
        <w:spacing w:before="40"/>
        <w:ind w:left="284"/>
        <w:rPr>
          <w:rFonts w:cs="Arial"/>
          <w:sz w:val="16"/>
          <w:szCs w:val="16"/>
          <w:lang w:val="pl-PL"/>
        </w:rPr>
      </w:pPr>
      <w:r w:rsidRPr="003B6E11">
        <w:rPr>
          <w:sz w:val="16"/>
          <w:lang w:val="pl-PL"/>
        </w:rPr>
        <w:t>Má-li být vyměněn celý podpalubní nákladový prostor, musí být splněny požadavky článku 14.04. Pokud se úpravy týkají celé délky boční paluby a mění se světlá šířka boční paluby,</w:t>
      </w:r>
    </w:p>
    <w:p w:rsidR="002D015D" w:rsidRPr="003B6E11" w:rsidRDefault="002D015D" w:rsidP="00E82B25">
      <w:pPr>
        <w:pStyle w:val="FootnoteText"/>
        <w:tabs>
          <w:tab w:val="left" w:pos="567"/>
        </w:tabs>
        <w:spacing w:before="40"/>
        <w:ind w:left="567" w:hanging="283"/>
        <w:rPr>
          <w:rFonts w:cs="Arial"/>
          <w:sz w:val="16"/>
          <w:szCs w:val="16"/>
          <w:lang w:val="pl-PL"/>
        </w:rPr>
      </w:pPr>
      <w:r w:rsidRPr="003B6E11">
        <w:rPr>
          <w:sz w:val="16"/>
          <w:lang w:val="pl-PL"/>
        </w:rPr>
        <w:t>a)</w:t>
      </w:r>
      <w:r w:rsidRPr="003B6E11">
        <w:rPr>
          <w:lang w:val="pl-PL"/>
        </w:rPr>
        <w:tab/>
      </w:r>
      <w:r w:rsidRPr="003B6E11">
        <w:rPr>
          <w:sz w:val="16"/>
          <w:lang w:val="pl-PL"/>
        </w:rPr>
        <w:t>musí být dodrženo ustanovení článku 14.04, je-li třeba světlou šířku boční paluby snížit na výšku 0,90 m, jež existovala před úpravou;</w:t>
      </w:r>
    </w:p>
    <w:p w:rsidR="002D015D" w:rsidRPr="003B6E11" w:rsidRDefault="002D015D" w:rsidP="00E82B25">
      <w:pPr>
        <w:ind w:left="567" w:hanging="283"/>
        <w:rPr>
          <w:lang w:val="pl-PL"/>
        </w:rPr>
      </w:pPr>
      <w:r w:rsidRPr="003B6E11">
        <w:rPr>
          <w:sz w:val="16"/>
          <w:lang w:val="pl-PL"/>
        </w:rPr>
        <w:t>b)</w:t>
      </w:r>
      <w:r w:rsidRPr="003B6E11">
        <w:rPr>
          <w:lang w:val="pl-PL"/>
        </w:rPr>
        <w:tab/>
      </w:r>
      <w:r w:rsidRPr="003B6E11">
        <w:rPr>
          <w:sz w:val="16"/>
          <w:lang w:val="pl-PL"/>
        </w:rPr>
        <w:t>světlou šířku boční paluby do výšky 0,90 m nebo světlou šířku nad touto výškou, které existovaly před úpravou, nelze snížit, jsou-li jejich rozměry menší než je uvedeno v článku 14.04.</w:t>
      </w:r>
    </w:p>
  </w:footnote>
  <w:footnote w:id="30">
    <w:p w:rsidR="002D015D" w:rsidRPr="003B6E11" w:rsidRDefault="002D015D" w:rsidP="00E82B25">
      <w:pPr>
        <w:pStyle w:val="FootnoteText"/>
        <w:ind w:left="284" w:hanging="284"/>
        <w:rPr>
          <w:rFonts w:cs="Arial"/>
          <w:sz w:val="16"/>
          <w:szCs w:val="16"/>
          <w:lang w:val="pl-PL"/>
        </w:rPr>
      </w:pPr>
      <w:r>
        <w:rPr>
          <w:rStyle w:val="FootnoteReference"/>
          <w:sz w:val="16"/>
        </w:rPr>
        <w:footnoteRef/>
      </w:r>
      <w:r w:rsidRPr="003B6E11">
        <w:rPr>
          <w:lang w:val="pl-PL"/>
        </w:rPr>
        <w:tab/>
      </w:r>
      <w:r w:rsidRPr="003B6E11">
        <w:rPr>
          <w:sz w:val="16"/>
          <w:lang w:val="pl-PL"/>
        </w:rPr>
        <w:t>Přechodné ustanovení použitelné pro čl. 19.06 odst. 6 písm. c) je dočasným požadavkem s platností do 31. prosince 2019. Do 1. prosince 2014 platilo toto přechodné ustanovení: „</w:t>
      </w:r>
      <w:r w:rsidRPr="003B6E11">
        <w:rPr>
          <w:i/>
          <w:color w:val="000000"/>
          <w:sz w:val="16"/>
          <w:lang w:val="pl-PL"/>
        </w:rPr>
        <w:t>19.06 odst. 6 písm. c)</w:t>
      </w:r>
      <w:r w:rsidRPr="003B6E11">
        <w:rPr>
          <w:i/>
          <w:sz w:val="16"/>
          <w:lang w:val="pl-PL"/>
        </w:rPr>
        <w:t xml:space="preserve"> / Žádné únikové cesty přes kuchyně / N.V.P., nejpozději při obnově osvědčení plavidla vnitrozemské plavby po 1. 1. 2015“.</w:t>
      </w:r>
    </w:p>
  </w:footnote>
  <w:footnote w:id="31">
    <w:p w:rsidR="002D015D" w:rsidRPr="003B6E11" w:rsidRDefault="002D015D" w:rsidP="00E82B25">
      <w:pPr>
        <w:pStyle w:val="FootnoteText"/>
        <w:spacing w:before="40"/>
        <w:ind w:left="284" w:hanging="284"/>
        <w:rPr>
          <w:rFonts w:cs="Arial"/>
          <w:sz w:val="16"/>
          <w:szCs w:val="16"/>
          <w:lang w:val="pl-PL"/>
        </w:rPr>
      </w:pPr>
      <w:r>
        <w:rPr>
          <w:rStyle w:val="FootnoteReference"/>
          <w:sz w:val="16"/>
        </w:rPr>
        <w:footnoteRef/>
      </w:r>
      <w:r w:rsidRPr="003B6E11">
        <w:rPr>
          <w:sz w:val="16"/>
          <w:lang w:val="pl-PL"/>
        </w:rPr>
        <w:t xml:space="preserve"> </w:t>
      </w:r>
      <w:r w:rsidRPr="003B6E11">
        <w:rPr>
          <w:lang w:val="pl-PL"/>
        </w:rPr>
        <w:tab/>
      </w:r>
      <w:r w:rsidRPr="003B6E11">
        <w:rPr>
          <w:sz w:val="16"/>
          <w:lang w:val="pl-PL"/>
        </w:rPr>
        <w:t>Přechodné ustanovení použitelné pro článek 19.07 je dočasným požadavkem s platností do 31. prosince 2019. Do 1. prosince 2014 platilo toto přechodné ustanovení: „</w:t>
      </w:r>
      <w:r w:rsidRPr="003B6E11">
        <w:rPr>
          <w:i/>
          <w:color w:val="000000"/>
          <w:sz w:val="16"/>
          <w:lang w:val="pl-PL"/>
        </w:rPr>
        <w:t>19.07</w:t>
      </w:r>
      <w:r w:rsidRPr="003B6E11">
        <w:rPr>
          <w:i/>
          <w:sz w:val="16"/>
          <w:lang w:val="pl-PL"/>
        </w:rPr>
        <w:t xml:space="preserve"> / Požadavky na pohonný systém / N.V.P., nejpozději při obnově osvědčení plavidla vnitrozemské plavby po 1. 1. 2015“.</w:t>
      </w:r>
    </w:p>
  </w:footnote>
  <w:footnote w:id="32">
    <w:p w:rsidR="002D015D" w:rsidRPr="003B6E11" w:rsidRDefault="002D015D" w:rsidP="00E82B25">
      <w:pPr>
        <w:pStyle w:val="FootnoteText"/>
        <w:spacing w:before="40"/>
        <w:ind w:left="284" w:hanging="284"/>
        <w:rPr>
          <w:lang w:val="pl-PL"/>
        </w:rPr>
      </w:pPr>
      <w:r>
        <w:rPr>
          <w:rStyle w:val="FootnoteReference"/>
          <w:sz w:val="16"/>
        </w:rPr>
        <w:footnoteRef/>
      </w:r>
      <w:r w:rsidRPr="003B6E11">
        <w:rPr>
          <w:sz w:val="16"/>
          <w:lang w:val="pl-PL"/>
        </w:rPr>
        <w:t xml:space="preserve"> </w:t>
      </w:r>
      <w:r w:rsidRPr="003B6E11">
        <w:rPr>
          <w:lang w:val="pl-PL"/>
        </w:rPr>
        <w:tab/>
      </w:r>
      <w:r w:rsidRPr="003B6E11">
        <w:rPr>
          <w:sz w:val="16"/>
          <w:lang w:val="pl-PL"/>
        </w:rPr>
        <w:t>Přechodné ustanovení použitelné pro čl. 19.08 odst. 3 je dočasným požadavkem s platností do 31. prosince 2019. Do 1. prosince 2014 platilo toto přechodné ustanovení: „19.08 odst. 3 / Požadavky na poplašné systémy / N.V.P. nejpozději při obnově osvědčení plavidla vnitrozemské plavby po 1. 1. 2015“ a „19.08 odst. 3 písm. c) / Poplašný systém pro upozornění posádky a lodního personálu velením lodi / U lodí pro osobní dopravu se předpis použije N.V.P., nejpozději při obnově osvědčení plavidla vnitrozemské plavby po 1. 1. 2007“.</w:t>
      </w:r>
    </w:p>
  </w:footnote>
  <w:footnote w:id="33">
    <w:p w:rsidR="002D015D" w:rsidRPr="003B6E11" w:rsidRDefault="002D015D" w:rsidP="00E82B25">
      <w:pPr>
        <w:pStyle w:val="FootnoteText"/>
        <w:spacing w:before="40"/>
        <w:ind w:left="284" w:hanging="284"/>
        <w:rPr>
          <w:sz w:val="16"/>
          <w:szCs w:val="16"/>
          <w:lang w:val="pl-PL"/>
        </w:rPr>
      </w:pPr>
      <w:r>
        <w:rPr>
          <w:rStyle w:val="FootnoteReference"/>
          <w:sz w:val="16"/>
        </w:rPr>
        <w:footnoteRef/>
      </w:r>
      <w:r w:rsidRPr="003B6E11">
        <w:rPr>
          <w:sz w:val="16"/>
          <w:lang w:val="pl-PL"/>
        </w:rPr>
        <w:t xml:space="preserve"> </w:t>
      </w:r>
      <w:r w:rsidRPr="003B6E11">
        <w:rPr>
          <w:lang w:val="pl-PL"/>
        </w:rPr>
        <w:tab/>
      </w:r>
      <w:r w:rsidRPr="003B6E11">
        <w:rPr>
          <w:sz w:val="16"/>
          <w:lang w:val="pl-PL"/>
        </w:rPr>
        <w:t>MSC.61 (67) přijatá dne 5. prosince 1996 – Mezinárodní předpis pro použití postupů požárních zkoušek.</w:t>
      </w:r>
    </w:p>
  </w:footnote>
  <w:footnote w:id="34">
    <w:p w:rsidR="002D015D" w:rsidRPr="003B6E11" w:rsidRDefault="002D015D" w:rsidP="00E82B25">
      <w:pPr>
        <w:pStyle w:val="FootnoteText"/>
        <w:spacing w:before="40"/>
        <w:ind w:left="284" w:hanging="284"/>
        <w:rPr>
          <w:rFonts w:cs="Arial"/>
          <w:sz w:val="16"/>
          <w:szCs w:val="16"/>
          <w:lang w:val="pl-PL"/>
        </w:rPr>
      </w:pPr>
      <w:r>
        <w:rPr>
          <w:rStyle w:val="FootnoteReference"/>
          <w:sz w:val="16"/>
        </w:rPr>
        <w:footnoteRef/>
      </w:r>
      <w:r w:rsidRPr="003B6E11">
        <w:rPr>
          <w:lang w:val="pl-PL"/>
        </w:rPr>
        <w:tab/>
      </w:r>
      <w:r w:rsidRPr="003B6E11">
        <w:rPr>
          <w:sz w:val="16"/>
          <w:lang w:val="pl-PL"/>
        </w:rPr>
        <w:t>Přechodné ustanovení použitelné pro čl. 3.04 odst. 7 je dočasným požadavkem s platností do 31. prosince 2019. Do 1. prosince 2014 platilo toto přechodné ustanovení: „3.04 odst. 7</w:t>
      </w:r>
      <w:r w:rsidRPr="003B6E11">
        <w:rPr>
          <w:i/>
          <w:sz w:val="16"/>
          <w:lang w:val="pl-PL"/>
        </w:rPr>
        <w:t xml:space="preserve"> / Nejvyšší přípustná hladina akustického tlaku / V.P., nejpozději při obnově osvědčení plavidla vnitrozemské plavby po 1.1.2015“.</w:t>
      </w:r>
    </w:p>
  </w:footnote>
  <w:footnote w:id="35">
    <w:p w:rsidR="002D015D" w:rsidRPr="003B6E11" w:rsidRDefault="002D015D" w:rsidP="00E82B25">
      <w:pPr>
        <w:pStyle w:val="FootnoteText"/>
        <w:spacing w:before="40"/>
        <w:ind w:left="284" w:hanging="284"/>
        <w:rPr>
          <w:rFonts w:cs="Arial"/>
          <w:sz w:val="16"/>
          <w:szCs w:val="16"/>
          <w:lang w:val="pl-PL"/>
        </w:rPr>
      </w:pPr>
      <w:r>
        <w:rPr>
          <w:rStyle w:val="FootnoteReference"/>
          <w:sz w:val="16"/>
        </w:rPr>
        <w:footnoteRef/>
      </w:r>
      <w:r w:rsidRPr="003B6E11">
        <w:rPr>
          <w:lang w:val="pl-PL"/>
        </w:rPr>
        <w:tab/>
      </w:r>
      <w:r w:rsidRPr="003B6E11">
        <w:rPr>
          <w:sz w:val="16"/>
          <w:lang w:val="pl-PL"/>
        </w:rPr>
        <w:t>Přechodné ustanovení použitelné pro čl. 7.01 odst. 2 je dočasným požadavkem s platností do 31. prosince 2019. Do 1. prosince 2014 platilo toto přechodné ustanovení: „7.01 odst. 2</w:t>
      </w:r>
      <w:r w:rsidRPr="003B6E11">
        <w:rPr>
          <w:i/>
          <w:sz w:val="16"/>
          <w:lang w:val="pl-PL"/>
        </w:rPr>
        <w:t xml:space="preserve"> / Akustický tlak vytvářený lodí / V.P., nejpozději při obnovení osvědčení plavidla vnitrozemské plavby po 1.1.2015“.</w:t>
      </w:r>
    </w:p>
  </w:footnote>
  <w:footnote w:id="36">
    <w:p w:rsidR="002D015D" w:rsidRPr="003B6E11" w:rsidRDefault="002D015D" w:rsidP="00E82B25">
      <w:pPr>
        <w:pStyle w:val="FootnoteText"/>
        <w:spacing w:before="40"/>
        <w:ind w:left="284" w:hanging="284"/>
        <w:rPr>
          <w:rFonts w:cs="Arial"/>
          <w:sz w:val="16"/>
          <w:szCs w:val="16"/>
          <w:lang w:val="pl-PL"/>
        </w:rPr>
      </w:pPr>
      <w:r>
        <w:rPr>
          <w:rStyle w:val="FootnoteReference"/>
          <w:sz w:val="16"/>
        </w:rPr>
        <w:footnoteRef/>
      </w:r>
      <w:r w:rsidRPr="003B6E11">
        <w:rPr>
          <w:lang w:val="pl-PL"/>
        </w:rPr>
        <w:tab/>
      </w:r>
      <w:r w:rsidRPr="003B6E11">
        <w:rPr>
          <w:sz w:val="16"/>
          <w:lang w:val="pl-PL"/>
        </w:rPr>
        <w:t>Přechodné ustanovení použitelné pro čl. 8.10 odst. 2 je dočasným požadavkem s platností do 31. prosince 2019. Do 1. prosince 2014 platilo toto přechodné ustanovení: „8.10 odst. 2</w:t>
      </w:r>
      <w:r w:rsidRPr="003B6E11">
        <w:rPr>
          <w:i/>
          <w:sz w:val="16"/>
          <w:lang w:val="pl-PL"/>
        </w:rPr>
        <w:t xml:space="preserve"> / Hluk vydávaný lodí během plavby / V.P., nejpozději při obnovení osvědčení plavidla vnitrozemské plavby po 1.1.2015“.</w:t>
      </w:r>
    </w:p>
  </w:footnote>
  <w:footnote w:id="37">
    <w:p w:rsidR="002D015D" w:rsidRPr="003B6E11" w:rsidRDefault="002D015D" w:rsidP="00E82B25">
      <w:pPr>
        <w:pStyle w:val="FootnoteText"/>
        <w:spacing w:before="40"/>
        <w:ind w:left="284" w:hanging="284"/>
        <w:rPr>
          <w:rFonts w:cs="Arial"/>
          <w:sz w:val="16"/>
          <w:szCs w:val="16"/>
          <w:lang w:val="pl-PL"/>
        </w:rPr>
      </w:pPr>
      <w:r>
        <w:rPr>
          <w:rStyle w:val="FootnoteReference"/>
          <w:sz w:val="16"/>
        </w:rPr>
        <w:footnoteRef/>
      </w:r>
      <w:r w:rsidRPr="003B6E11">
        <w:rPr>
          <w:sz w:val="16"/>
          <w:lang w:val="pl-PL"/>
        </w:rPr>
        <w:t xml:space="preserve"> </w:t>
      </w:r>
      <w:r w:rsidRPr="003B6E11">
        <w:rPr>
          <w:lang w:val="pl-PL"/>
        </w:rPr>
        <w:tab/>
      </w:r>
      <w:r w:rsidRPr="003B6E11">
        <w:rPr>
          <w:sz w:val="16"/>
          <w:lang w:val="pl-PL"/>
        </w:rPr>
        <w:t>Přechodné ustanovení použitelné pro článek 10.01 je dočasným požadavkem s platností do 31. prosince 2019. Do 1. prosince 2014 platilo toto přechodné ustanovení: „10.01</w:t>
      </w:r>
      <w:r w:rsidRPr="003B6E11">
        <w:rPr>
          <w:i/>
          <w:sz w:val="16"/>
          <w:lang w:val="pl-PL"/>
        </w:rPr>
        <w:t xml:space="preserve"> / Požadavky na elektrická zařízení / V.P., nejpozději při obnovení osvědčení plavidla vnitrozemské plavby po 1.1.2015“.</w:t>
      </w:r>
    </w:p>
  </w:footnote>
  <w:footnote w:id="38">
    <w:p w:rsidR="002D015D" w:rsidRPr="003B6E11" w:rsidRDefault="002D015D" w:rsidP="00E82B25">
      <w:pPr>
        <w:pStyle w:val="FootnoteText"/>
        <w:spacing w:before="40"/>
        <w:ind w:left="284" w:hanging="284"/>
        <w:rPr>
          <w:lang w:val="pl-PL"/>
        </w:rPr>
      </w:pPr>
      <w:r>
        <w:rPr>
          <w:rStyle w:val="FootnoteReference"/>
          <w:sz w:val="16"/>
        </w:rPr>
        <w:footnoteRef/>
      </w:r>
      <w:r w:rsidRPr="003B6E11">
        <w:rPr>
          <w:lang w:val="pl-PL"/>
        </w:rPr>
        <w:tab/>
      </w:r>
      <w:r w:rsidRPr="003B6E11">
        <w:rPr>
          <w:sz w:val="16"/>
          <w:lang w:val="pl-PL"/>
        </w:rPr>
        <w:t xml:space="preserve">Přechodné ustanovení použitelné pro čl. 15.02 odst. 5 je dočasným požadavkem s platností do 31. prosince 2019. Do 1. prosince 2014 platilo toto přechodné ustanovení: </w:t>
      </w:r>
      <w:r w:rsidRPr="003B6E11">
        <w:rPr>
          <w:i/>
          <w:sz w:val="16"/>
          <w:lang w:val="pl-PL"/>
        </w:rPr>
        <w:t>„15.02 odst. 5 / Hluk a vibrace v obytných prostorech / obnovení osvědčení plavidla vnitrozemské plavby po 1.1.2015“.</w:t>
      </w:r>
    </w:p>
  </w:footnote>
  <w:footnote w:id="39">
    <w:p w:rsidR="002D015D" w:rsidRPr="003B6E11" w:rsidRDefault="002D015D" w:rsidP="00E82B25">
      <w:pPr>
        <w:pStyle w:val="FootnoteText"/>
        <w:ind w:left="284" w:hanging="284"/>
        <w:rPr>
          <w:rFonts w:cs="Arial"/>
          <w:sz w:val="16"/>
          <w:szCs w:val="16"/>
          <w:lang w:val="pl-PL"/>
        </w:rPr>
      </w:pPr>
      <w:r>
        <w:rPr>
          <w:rStyle w:val="FootnoteReference"/>
        </w:rPr>
        <w:footnoteRef/>
      </w:r>
      <w:r w:rsidRPr="003B6E11">
        <w:rPr>
          <w:lang w:val="pl-PL"/>
        </w:rPr>
        <w:t xml:space="preserve"> </w:t>
      </w:r>
      <w:r w:rsidRPr="003B6E11">
        <w:rPr>
          <w:lang w:val="pl-PL"/>
        </w:rPr>
        <w:tab/>
      </w:r>
      <w:r w:rsidRPr="003B6E11">
        <w:rPr>
          <w:sz w:val="16"/>
          <w:lang w:val="pl-PL"/>
        </w:rPr>
        <w:t>Směrnice Evropského parlamentu a Rady 2006/87/ES ze dne 12. prosince 2006, kterou se stanoví technické požadavky pro plavidla vnitrozemské plavby a zrušuje směrnice Rady 82/714/EHS (Úř. věst. L 389, 30.12.2006).</w:t>
      </w:r>
    </w:p>
  </w:footnote>
  <w:footnote w:id="40">
    <w:p w:rsidR="002D015D" w:rsidRPr="00E70B9F" w:rsidRDefault="002D015D" w:rsidP="00E82B25">
      <w:pPr>
        <w:shd w:val="clear" w:color="auto" w:fill="FFFFFF"/>
        <w:tabs>
          <w:tab w:val="left" w:pos="284"/>
        </w:tabs>
        <w:ind w:left="567" w:hanging="567"/>
        <w:rPr>
          <w:rFonts w:cs="Arial"/>
          <w:sz w:val="16"/>
          <w:szCs w:val="16"/>
          <w:lang w:val="pl-PL"/>
        </w:rPr>
      </w:pPr>
      <w:r>
        <w:rPr>
          <w:rStyle w:val="FootnoteReference"/>
          <w:sz w:val="16"/>
        </w:rPr>
        <w:footnoteRef/>
      </w:r>
      <w:r w:rsidRPr="003B6E11">
        <w:rPr>
          <w:sz w:val="16"/>
          <w:lang w:val="pl-PL"/>
        </w:rPr>
        <w:t xml:space="preserve"> </w:t>
      </w:r>
      <w:r w:rsidRPr="003B6E11">
        <w:rPr>
          <w:lang w:val="pl-PL"/>
        </w:rPr>
        <w:tab/>
      </w:r>
      <w:r w:rsidRPr="003B6E11">
        <w:rPr>
          <w:sz w:val="16"/>
          <w:lang w:val="pl-PL"/>
        </w:rPr>
        <w:t>a)</w:t>
      </w:r>
      <w:r w:rsidRPr="003B6E11">
        <w:rPr>
          <w:lang w:val="pl-PL"/>
        </w:rPr>
        <w:tab/>
      </w:r>
      <w:r w:rsidRPr="003B6E11">
        <w:rPr>
          <w:sz w:val="16"/>
          <w:lang w:val="pl-PL"/>
        </w:rPr>
        <w:t>zabudované hasicí systémy na bázi CO</w:t>
      </w:r>
      <w:r w:rsidRPr="003B6E11">
        <w:rPr>
          <w:sz w:val="16"/>
          <w:vertAlign w:val="subscript"/>
          <w:lang w:val="pl-PL"/>
        </w:rPr>
        <w:t>2</w:t>
      </w:r>
      <w:r w:rsidRPr="003B6E11">
        <w:rPr>
          <w:sz w:val="16"/>
          <w:lang w:val="pl-PL"/>
        </w:rPr>
        <w:t xml:space="preserve"> namontované mezi 1. lednem 1995  a 31. březnem 2003 se nadále přijímají až do obnovení osvědčení plavidla vnitrozemské plavby po 1.1.2035 za předpokladu, že jsou v souladu s čl. 10.03 odst. 5 nařízení o inspekci plavby na Rýně ve znění ze dne 31. března 2002;</w:t>
      </w:r>
    </w:p>
    <w:p w:rsidR="002D015D" w:rsidRPr="003B6E11" w:rsidRDefault="002D015D" w:rsidP="00E82B25">
      <w:pPr>
        <w:shd w:val="clear" w:color="auto" w:fill="FFFFFF"/>
        <w:tabs>
          <w:tab w:val="left" w:pos="284"/>
        </w:tabs>
        <w:ind w:left="567" w:hanging="283"/>
        <w:rPr>
          <w:rFonts w:cs="Arial"/>
          <w:sz w:val="16"/>
          <w:szCs w:val="16"/>
          <w:lang w:val="pl-PL"/>
        </w:rPr>
      </w:pPr>
      <w:r w:rsidRPr="003B6E11">
        <w:rPr>
          <w:sz w:val="16"/>
          <w:lang w:val="pl-PL"/>
        </w:rPr>
        <w:t>b)</w:t>
      </w:r>
      <w:r w:rsidRPr="003B6E11">
        <w:rPr>
          <w:lang w:val="pl-PL"/>
        </w:rPr>
        <w:tab/>
      </w:r>
      <w:r w:rsidRPr="003B6E11">
        <w:rPr>
          <w:sz w:val="16"/>
          <w:lang w:val="pl-PL"/>
        </w:rPr>
        <w:t>doporučení Ústřední komise pro plavbu na Rýně týkající se čl. 10.03 odst. 5 nařízení o inspekci lodní plavby na Rýně ve znění ze dne 31. března 2002, která byla vydána od 1. ledna 1995 do 31. března 2002, zůstávají v platnosti až do obnovení osvědčení plavidla vnitrozemské plavby po 1. 1. 2035;</w:t>
      </w:r>
    </w:p>
    <w:p w:rsidR="002D015D" w:rsidRPr="003B6E11" w:rsidRDefault="002D015D" w:rsidP="00E82B25">
      <w:pPr>
        <w:pStyle w:val="FootnoteText"/>
        <w:tabs>
          <w:tab w:val="left" w:pos="284"/>
        </w:tabs>
        <w:ind w:left="567" w:hanging="283"/>
        <w:rPr>
          <w:rFonts w:cs="Arial"/>
          <w:lang w:val="pl-PL"/>
        </w:rPr>
      </w:pPr>
      <w:r w:rsidRPr="003B6E11">
        <w:rPr>
          <w:sz w:val="16"/>
          <w:lang w:val="pl-PL"/>
        </w:rPr>
        <w:t>c)</w:t>
      </w:r>
      <w:r w:rsidRPr="003B6E11">
        <w:rPr>
          <w:lang w:val="pl-PL"/>
        </w:rPr>
        <w:tab/>
      </w:r>
      <w:r w:rsidRPr="003B6E11">
        <w:rPr>
          <w:sz w:val="16"/>
          <w:lang w:val="pl-PL"/>
        </w:rPr>
        <w:t>Ustanovení čl. 13.05 odst. 2 písm. a) se použijí pouze na palubní systémy lodí, jejichž kýl byl položen po 1. říjnu 1992, a až do obnovení osvědčení plavidla vnitrozemské plavby po 1. 1. 2035.</w:t>
      </w:r>
    </w:p>
  </w:footnote>
  <w:footnote w:id="41">
    <w:p w:rsidR="002D015D" w:rsidRPr="003B6E11" w:rsidRDefault="002D015D" w:rsidP="00E82B25">
      <w:pPr>
        <w:pStyle w:val="FootnoteText"/>
        <w:ind w:left="284" w:hanging="284"/>
        <w:rPr>
          <w:lang w:val="pl-PL"/>
        </w:rPr>
      </w:pPr>
      <w:r>
        <w:rPr>
          <w:rStyle w:val="FootnoteReference"/>
          <w:sz w:val="16"/>
        </w:rPr>
        <w:footnoteRef/>
      </w:r>
      <w:r w:rsidRPr="003B6E11">
        <w:rPr>
          <w:sz w:val="16"/>
          <w:lang w:val="pl-PL"/>
        </w:rPr>
        <w:t xml:space="preserve"> </w:t>
      </w:r>
      <w:r w:rsidRPr="003B6E11">
        <w:rPr>
          <w:lang w:val="pl-PL"/>
        </w:rPr>
        <w:tab/>
      </w:r>
      <w:r w:rsidRPr="003B6E11">
        <w:rPr>
          <w:sz w:val="16"/>
          <w:lang w:val="pl-PL"/>
        </w:rPr>
        <w:t>Přechodné ustanovení použitelné pro článek 13.07 je dočasným požadavkem s platností do 31. prosince 2019. Do 1. prosince 2014 platilo toto přechodné ustanovení: „</w:t>
      </w:r>
      <w:r w:rsidRPr="003B6E11">
        <w:rPr>
          <w:i/>
          <w:sz w:val="16"/>
          <w:lang w:val="pl-PL"/>
        </w:rPr>
        <w:t>13.07 / Použití evropské normy na lodní člun / N.V.P., nejpozději při obnovení osvědčení plavidla vnitrozemské plavby po 1.1.2015 / 1.10.2003“.</w:t>
      </w:r>
    </w:p>
  </w:footnote>
  <w:footnote w:id="42">
    <w:p w:rsidR="002D015D" w:rsidRPr="003B6E11" w:rsidRDefault="002D015D" w:rsidP="00E82B25">
      <w:pPr>
        <w:pStyle w:val="FootnoteText"/>
        <w:ind w:left="284" w:hanging="284"/>
        <w:rPr>
          <w:rFonts w:cs="Arial"/>
          <w:sz w:val="16"/>
          <w:szCs w:val="16"/>
          <w:lang w:val="pl-PL"/>
        </w:rPr>
      </w:pPr>
      <w:r>
        <w:rPr>
          <w:rStyle w:val="FootnoteReference"/>
          <w:sz w:val="16"/>
        </w:rPr>
        <w:footnoteRef/>
      </w:r>
      <w:r w:rsidRPr="003B6E11">
        <w:rPr>
          <w:lang w:val="pl-PL"/>
        </w:rPr>
        <w:tab/>
      </w:r>
      <w:r w:rsidRPr="003B6E11">
        <w:rPr>
          <w:sz w:val="16"/>
          <w:lang w:val="pl-PL"/>
        </w:rPr>
        <w:t>Přechodné ustanovení použitelné pro čl. 19.06 odst. 6 písm. c) je dočasným požadavkem s platností do 31. prosince 2019. Do 1. prosince 2014 platilo toto přechodné ustanovení: „</w:t>
      </w:r>
      <w:r w:rsidRPr="003B6E11">
        <w:rPr>
          <w:i/>
          <w:color w:val="000000"/>
          <w:sz w:val="16"/>
          <w:lang w:val="pl-PL"/>
        </w:rPr>
        <w:t>19.06 odst. 6 písm. c)</w:t>
      </w:r>
      <w:r w:rsidRPr="003B6E11">
        <w:rPr>
          <w:i/>
          <w:sz w:val="16"/>
          <w:lang w:val="pl-PL"/>
        </w:rPr>
        <w:t xml:space="preserve"> / Žádné únikové cesty přes kuchyně / N.V.P., nejpozději po prvním obnovení osvědčení plavidla vnitrozemské plavby po 1. 1. 2015 / 1. 1. 2006“.</w:t>
      </w:r>
    </w:p>
  </w:footnote>
  <w:footnote w:id="43">
    <w:p w:rsidR="002D015D" w:rsidRPr="003B6E11" w:rsidRDefault="002D015D" w:rsidP="00E82B25">
      <w:pPr>
        <w:pStyle w:val="FootnoteText"/>
        <w:spacing w:before="40"/>
        <w:ind w:left="284" w:hanging="284"/>
        <w:rPr>
          <w:rFonts w:cs="Arial"/>
          <w:sz w:val="16"/>
          <w:szCs w:val="16"/>
          <w:lang w:val="pl-PL"/>
        </w:rPr>
      </w:pPr>
      <w:r>
        <w:rPr>
          <w:rStyle w:val="FootnoteReference"/>
          <w:sz w:val="16"/>
        </w:rPr>
        <w:footnoteRef/>
      </w:r>
      <w:r w:rsidRPr="003B6E11">
        <w:rPr>
          <w:sz w:val="16"/>
          <w:lang w:val="pl-PL"/>
        </w:rPr>
        <w:t xml:space="preserve"> </w:t>
      </w:r>
      <w:r w:rsidRPr="003B6E11">
        <w:rPr>
          <w:lang w:val="pl-PL"/>
        </w:rPr>
        <w:tab/>
      </w:r>
      <w:r w:rsidRPr="003B6E11">
        <w:rPr>
          <w:sz w:val="16"/>
          <w:lang w:val="pl-PL"/>
        </w:rPr>
        <w:t>Přechodné ustanovení použitelné pro článek 19.07 je dočasným požadavkem s platností do 31. prosince 2019. Do 1. prosince 2014 platilo toto přechodné ustanovení: „</w:t>
      </w:r>
      <w:r w:rsidRPr="003B6E11">
        <w:rPr>
          <w:i/>
          <w:color w:val="000000"/>
          <w:sz w:val="16"/>
          <w:lang w:val="pl-PL"/>
        </w:rPr>
        <w:t>19.07</w:t>
      </w:r>
      <w:r w:rsidRPr="003B6E11">
        <w:rPr>
          <w:i/>
          <w:sz w:val="16"/>
          <w:lang w:val="pl-PL"/>
        </w:rPr>
        <w:t xml:space="preserve"> / Požadavky na pohonný systém / N.V.P., nejpozději při obnově osvědčení plavidla vnitrozemské plavby po 1. 1. 2015 / 1. 1. 2006“.</w:t>
      </w:r>
    </w:p>
  </w:footnote>
  <w:footnote w:id="44">
    <w:p w:rsidR="002D015D" w:rsidRPr="003B6E11" w:rsidRDefault="002D015D" w:rsidP="00E82B25">
      <w:pPr>
        <w:pStyle w:val="FootnoteText"/>
        <w:spacing w:before="40"/>
        <w:ind w:left="284" w:hanging="284"/>
        <w:rPr>
          <w:lang w:val="pl-PL"/>
        </w:rPr>
      </w:pPr>
      <w:r>
        <w:rPr>
          <w:rStyle w:val="FootnoteReference"/>
          <w:sz w:val="16"/>
        </w:rPr>
        <w:footnoteRef/>
      </w:r>
      <w:r w:rsidRPr="003B6E11">
        <w:rPr>
          <w:sz w:val="16"/>
          <w:lang w:val="pl-PL"/>
        </w:rPr>
        <w:t xml:space="preserve"> </w:t>
      </w:r>
      <w:r w:rsidRPr="003B6E11">
        <w:rPr>
          <w:lang w:val="pl-PL"/>
        </w:rPr>
        <w:tab/>
      </w:r>
      <w:r w:rsidRPr="003B6E11">
        <w:rPr>
          <w:sz w:val="16"/>
          <w:lang w:val="pl-PL"/>
        </w:rPr>
        <w:t>Přechodné ustanovení použitelné pro čl. 19.08 odst. 3 je dočasným požadavkem s platností do 31. prosince 2019. Do 1. prosince 2014 platilo toto přechodné ustanovení: „19.08 odst. 3 / Požadavky na poplašné systémy / N.V.P. nejpozději při obnově osvědčení plavidla vnitrozemské plavby po 1. 1. 2015 / 1. 1. 2006“ a „19.08 odst. 3 písm. c) / Poplašný systém pro upozornění posádky a lodního personálu velením lodi / U lodí pro osobní dopravu se předpis použije N.V.P., nejpozději při obnově osvědčení plavidla vnitrozemské plavby po 1. 1. 2007 / 1. 1. 2006“.</w:t>
      </w:r>
    </w:p>
  </w:footnote>
  <w:footnote w:id="45">
    <w:p w:rsidR="002D015D" w:rsidRPr="003B6E11" w:rsidRDefault="002D015D" w:rsidP="00E82B25">
      <w:pPr>
        <w:pStyle w:val="FootnoteText"/>
        <w:spacing w:before="40"/>
        <w:ind w:left="284" w:hanging="284"/>
        <w:rPr>
          <w:lang w:val="pl-PL"/>
        </w:rPr>
      </w:pPr>
      <w:r>
        <w:rPr>
          <w:rStyle w:val="FootnoteReference"/>
          <w:sz w:val="16"/>
        </w:rPr>
        <w:footnoteRef/>
      </w:r>
      <w:r w:rsidRPr="003B6E11">
        <w:rPr>
          <w:sz w:val="16"/>
          <w:lang w:val="pl-PL"/>
        </w:rPr>
        <w:t xml:space="preserve"> </w:t>
      </w:r>
      <w:r w:rsidRPr="003B6E11">
        <w:rPr>
          <w:lang w:val="pl-PL"/>
        </w:rPr>
        <w:tab/>
      </w:r>
      <w:r w:rsidRPr="003B6E11">
        <w:rPr>
          <w:sz w:val="16"/>
          <w:lang w:val="pl-PL"/>
        </w:rPr>
        <w:t>MSC.61 (67) přijatá dne 5. prosince 1996 – Mezinárodní předpis pro použití postupů požárních zkoušek.</w:t>
      </w:r>
    </w:p>
  </w:footnote>
  <w:footnote w:id="46">
    <w:p w:rsidR="002D015D" w:rsidRPr="003B6E11" w:rsidRDefault="002D015D" w:rsidP="00E82B25">
      <w:pPr>
        <w:pStyle w:val="FootnoteText"/>
        <w:ind w:left="284" w:hanging="284"/>
        <w:rPr>
          <w:sz w:val="16"/>
          <w:szCs w:val="16"/>
          <w:lang w:val="pl-PL"/>
        </w:rPr>
      </w:pPr>
      <w:r>
        <w:rPr>
          <w:rStyle w:val="FootnoteReference"/>
        </w:rPr>
        <w:footnoteRef/>
      </w:r>
      <w:r w:rsidRPr="003B6E11">
        <w:rPr>
          <w:lang w:val="pl-PL"/>
        </w:rPr>
        <w:t xml:space="preserve"> </w:t>
      </w:r>
      <w:r w:rsidRPr="003B6E11">
        <w:rPr>
          <w:lang w:val="pl-PL"/>
        </w:rPr>
        <w:tab/>
      </w:r>
      <w:r w:rsidRPr="003B6E11">
        <w:rPr>
          <w:sz w:val="16"/>
          <w:lang w:val="pl-PL"/>
        </w:rPr>
        <w:t>Avšak nejpozději při obnovení osvědčení plavidla vnitrozemské plavby po 1. 1. 2015 musí plavidla splňovat tyto požadavky:</w:t>
      </w:r>
    </w:p>
    <w:p w:rsidR="002D015D" w:rsidRPr="003B6E11" w:rsidRDefault="002D015D" w:rsidP="00E82B25">
      <w:pPr>
        <w:pStyle w:val="FootnoteText"/>
        <w:spacing w:before="40"/>
        <w:ind w:left="568" w:hanging="284"/>
        <w:rPr>
          <w:rFonts w:cs="Arial"/>
          <w:sz w:val="16"/>
          <w:szCs w:val="16"/>
          <w:lang w:val="pl-PL"/>
        </w:rPr>
      </w:pPr>
      <w:r w:rsidRPr="003B6E11">
        <w:rPr>
          <w:sz w:val="16"/>
          <w:lang w:val="pl-PL"/>
        </w:rPr>
        <w:t>–</w:t>
      </w:r>
      <w:r w:rsidRPr="003B6E11">
        <w:rPr>
          <w:lang w:val="pl-PL"/>
        </w:rPr>
        <w:tab/>
      </w:r>
      <w:r w:rsidRPr="003B6E11">
        <w:rPr>
          <w:sz w:val="16"/>
          <w:lang w:val="pl-PL"/>
        </w:rPr>
        <w:t xml:space="preserve">Vnější okraje palub i pracoviště, z nichž mohou osoby spadnout z výšky více než 1 m, musí být opatřeny zábradlím nebo sily s výškou nejméně 0,70 m nebo průběžným zábradlím podle evropské normy EN 711: 1995, včetně madla, středového zábradlí ve výšce kolen a ochranného profilu u paty zábradlí. </w:t>
      </w:r>
    </w:p>
    <w:p w:rsidR="002D015D" w:rsidRPr="003B6E11" w:rsidRDefault="002D015D" w:rsidP="00E82B25">
      <w:pPr>
        <w:pStyle w:val="FootnoteText"/>
        <w:spacing w:before="40"/>
        <w:ind w:left="568" w:hanging="284"/>
        <w:rPr>
          <w:rFonts w:cs="Arial"/>
          <w:sz w:val="16"/>
          <w:szCs w:val="16"/>
          <w:lang w:val="pl-PL"/>
        </w:rPr>
      </w:pPr>
      <w:r w:rsidRPr="003B6E11">
        <w:rPr>
          <w:sz w:val="16"/>
          <w:lang w:val="pl-PL"/>
        </w:rPr>
        <w:t>–</w:t>
      </w:r>
      <w:r w:rsidRPr="003B6E11">
        <w:rPr>
          <w:lang w:val="pl-PL"/>
        </w:rPr>
        <w:tab/>
      </w:r>
      <w:r w:rsidRPr="003B6E11">
        <w:rPr>
          <w:sz w:val="16"/>
          <w:lang w:val="pl-PL"/>
        </w:rPr>
        <w:t>Boční paluby musí být opatřeny ochranným profilem u paty zábradlí a průběžným madlem připevněným k silu. Madla na silu nejsou zapotřebí, jsou-li boční paluby opatřeny zábradlím na boku lodi, které nelze sklopit.</w:t>
      </w:r>
    </w:p>
  </w:footnote>
  <w:footnote w:id="47">
    <w:p w:rsidR="002D015D" w:rsidRPr="003B6E11" w:rsidRDefault="002D015D" w:rsidP="00E82B25">
      <w:pPr>
        <w:pStyle w:val="FootnoteText"/>
        <w:ind w:left="284" w:hanging="284"/>
        <w:rPr>
          <w:rFonts w:cs="Arial"/>
          <w:sz w:val="16"/>
          <w:szCs w:val="16"/>
          <w:lang w:val="pl-PL"/>
        </w:rPr>
      </w:pPr>
      <w:r>
        <w:rPr>
          <w:rStyle w:val="FootnoteReference"/>
        </w:rPr>
        <w:footnoteRef/>
      </w:r>
      <w:r w:rsidRPr="003B6E11">
        <w:rPr>
          <w:lang w:val="pl-PL"/>
        </w:rPr>
        <w:tab/>
      </w:r>
      <w:r w:rsidRPr="003B6E11">
        <w:rPr>
          <w:sz w:val="16"/>
          <w:lang w:val="pl-PL"/>
        </w:rPr>
        <w:t>U lodí, jejichž kýl byl položen po 31. 12. 1994, a pro lodě v provozu se požadavek použije za těchto podmínek:</w:t>
      </w:r>
    </w:p>
    <w:p w:rsidR="002D015D" w:rsidRPr="003B6E11" w:rsidRDefault="002D015D" w:rsidP="00E82B25">
      <w:pPr>
        <w:pStyle w:val="FootnoteText"/>
        <w:spacing w:before="40"/>
        <w:ind w:left="284"/>
        <w:rPr>
          <w:rFonts w:cs="Arial"/>
          <w:sz w:val="16"/>
          <w:szCs w:val="16"/>
          <w:lang w:val="pl-PL"/>
        </w:rPr>
      </w:pPr>
      <w:r w:rsidRPr="003B6E11">
        <w:rPr>
          <w:sz w:val="16"/>
          <w:lang w:val="pl-PL"/>
        </w:rPr>
        <w:t>Má-li být vyměněn celý podpalubní nákladový prostor, musí být splněny požadavky článku 14.04. Pokud se úpravy týkají celé délky boční paluby a mění se světlá šířka boční paluby,</w:t>
      </w:r>
    </w:p>
    <w:p w:rsidR="002D015D" w:rsidRPr="003B6E11" w:rsidRDefault="002D015D" w:rsidP="00E82B25">
      <w:pPr>
        <w:pStyle w:val="FootnoteText"/>
        <w:tabs>
          <w:tab w:val="left" w:pos="567"/>
        </w:tabs>
        <w:spacing w:before="40"/>
        <w:ind w:left="567" w:hanging="283"/>
        <w:rPr>
          <w:rFonts w:cs="Arial"/>
          <w:sz w:val="16"/>
          <w:szCs w:val="16"/>
          <w:lang w:val="pl-PL"/>
        </w:rPr>
      </w:pPr>
      <w:r w:rsidRPr="003B6E11">
        <w:rPr>
          <w:sz w:val="16"/>
          <w:lang w:val="pl-PL"/>
        </w:rPr>
        <w:t>a)</w:t>
      </w:r>
      <w:r w:rsidRPr="003B6E11">
        <w:rPr>
          <w:lang w:val="pl-PL"/>
        </w:rPr>
        <w:tab/>
      </w:r>
      <w:r w:rsidRPr="003B6E11">
        <w:rPr>
          <w:sz w:val="16"/>
          <w:lang w:val="pl-PL"/>
        </w:rPr>
        <w:t>musí být dodrženo ustanovení článku 14.04, je-li třeba světlou šířku boční paluby snížit na výšku 0,90 m, jež existovala před úpravou;</w:t>
      </w:r>
    </w:p>
    <w:p w:rsidR="002D015D" w:rsidRPr="003B6E11" w:rsidRDefault="002D015D" w:rsidP="00E82B25">
      <w:pPr>
        <w:ind w:left="567" w:hanging="283"/>
        <w:rPr>
          <w:lang w:val="pl-PL"/>
        </w:rPr>
      </w:pPr>
      <w:r w:rsidRPr="003B6E11">
        <w:rPr>
          <w:sz w:val="16"/>
          <w:lang w:val="pl-PL"/>
        </w:rPr>
        <w:t>b)</w:t>
      </w:r>
      <w:r w:rsidRPr="003B6E11">
        <w:rPr>
          <w:lang w:val="pl-PL"/>
        </w:rPr>
        <w:tab/>
      </w:r>
      <w:r w:rsidRPr="003B6E11">
        <w:rPr>
          <w:sz w:val="16"/>
          <w:lang w:val="pl-PL"/>
        </w:rPr>
        <w:t>světlou šířku boční paluby do výšky 0,90 m nebo světlou šířku nad touto výškou, které existovaly před úpravou, nelze snížit, jsou-li jejich rozměry menší než je uvedeno v článku 14.04.</w:t>
      </w:r>
    </w:p>
  </w:footnote>
  <w:footnote w:id="48">
    <w:p w:rsidR="002D015D" w:rsidRPr="003B6E11" w:rsidRDefault="002D015D" w:rsidP="00E82B25">
      <w:pPr>
        <w:pStyle w:val="FootnoteText"/>
        <w:ind w:left="284" w:hanging="284"/>
        <w:rPr>
          <w:sz w:val="16"/>
          <w:szCs w:val="16"/>
          <w:lang w:val="pl-PL"/>
        </w:rPr>
      </w:pPr>
      <w:r>
        <w:rPr>
          <w:rStyle w:val="FootnoteReference"/>
        </w:rPr>
        <w:footnoteRef/>
      </w:r>
      <w:r w:rsidRPr="003B6E11">
        <w:rPr>
          <w:sz w:val="16"/>
          <w:lang w:val="pl-PL"/>
        </w:rPr>
        <w:t xml:space="preserve"> </w:t>
      </w:r>
      <w:r w:rsidRPr="003B6E11">
        <w:rPr>
          <w:lang w:val="pl-PL"/>
        </w:rPr>
        <w:tab/>
      </w:r>
      <w:r w:rsidRPr="003B6E11">
        <w:rPr>
          <w:sz w:val="16"/>
          <w:lang w:val="pl-PL"/>
        </w:rPr>
        <w:t>MSC.61 (67) přijatá dne 5. prosince 1996 – Mezinárodní předpis pro použití postupů požárních zkoušek.</w:t>
      </w:r>
    </w:p>
  </w:footnote>
  <w:footnote w:id="49">
    <w:p w:rsidR="002D015D" w:rsidRPr="003B6E11" w:rsidRDefault="002D015D" w:rsidP="003B6E11">
      <w:pPr>
        <w:pStyle w:val="FootnoteText"/>
        <w:spacing w:line="180" w:lineRule="exact"/>
        <w:ind w:left="284" w:hanging="284"/>
        <w:rPr>
          <w:rFonts w:cs="Arial"/>
          <w:sz w:val="16"/>
          <w:szCs w:val="16"/>
          <w:lang w:val="pl-PL"/>
        </w:rPr>
      </w:pPr>
      <w:r>
        <w:rPr>
          <w:rStyle w:val="FootnoteReference"/>
          <w:sz w:val="16"/>
        </w:rPr>
        <w:footnoteRef/>
      </w:r>
      <w:r w:rsidRPr="003B6E11">
        <w:rPr>
          <w:sz w:val="16"/>
          <w:lang w:val="pl-PL"/>
        </w:rPr>
        <w:t xml:space="preserve"> </w:t>
      </w:r>
      <w:r w:rsidRPr="003B6E11">
        <w:rPr>
          <w:lang w:val="pl-PL"/>
        </w:rPr>
        <w:tab/>
      </w:r>
      <w:r w:rsidRPr="003B6E11">
        <w:rPr>
          <w:sz w:val="16"/>
          <w:lang w:val="pl-PL"/>
        </w:rPr>
        <w:t>Osvědčení o inspekci plavidla pro plavbu na Rýně se vztahuje na: lodníka, lodníka nahrazeného lodním strojníkem; provozní režimy A1, A2 a B.</w:t>
      </w:r>
    </w:p>
  </w:footnote>
  <w:footnote w:id="50">
    <w:p w:rsidR="002D015D" w:rsidRPr="003B6E11" w:rsidRDefault="002D015D" w:rsidP="003B6E11">
      <w:pPr>
        <w:pStyle w:val="FootnoteText"/>
        <w:spacing w:line="180" w:lineRule="exact"/>
        <w:ind w:left="284" w:hanging="284"/>
        <w:rPr>
          <w:rFonts w:cs="Arial"/>
          <w:sz w:val="16"/>
          <w:szCs w:val="16"/>
          <w:lang w:val="pl-PL"/>
        </w:rPr>
      </w:pPr>
      <w:r>
        <w:rPr>
          <w:rStyle w:val="FootnoteReference"/>
          <w:sz w:val="16"/>
        </w:rPr>
        <w:footnoteRef/>
      </w:r>
      <w:r w:rsidRPr="003B6E11">
        <w:rPr>
          <w:sz w:val="16"/>
          <w:lang w:val="pl-PL"/>
        </w:rPr>
        <w:t xml:space="preserve"> </w:t>
      </w:r>
      <w:r w:rsidRPr="003B6E11">
        <w:rPr>
          <w:lang w:val="pl-PL"/>
        </w:rPr>
        <w:tab/>
      </w:r>
      <w:r w:rsidRPr="003B6E11">
        <w:rPr>
          <w:sz w:val="16"/>
          <w:lang w:val="pl-PL"/>
        </w:rPr>
        <w:t>Osvědčení o inspekci plavidla pro plavbu na Rýně se vztahuje na: vůdce plavidla / kapitána, kormidelníka, lodníka I. třídy, lodníka, lodníka-učně, lodního strojníka, lodního technika/inženýra: provozní režimy A1, A2 a B.</w:t>
      </w:r>
    </w:p>
  </w:footnote>
  <w:footnote w:id="51">
    <w:p w:rsidR="002D015D" w:rsidRPr="003B6E11" w:rsidRDefault="002D015D" w:rsidP="003B6E11">
      <w:pPr>
        <w:ind w:left="284" w:hanging="284"/>
        <w:rPr>
          <w:lang w:val="pl-PL"/>
        </w:rPr>
      </w:pPr>
      <w:r>
        <w:rPr>
          <w:rStyle w:val="FootnoteReference"/>
        </w:rPr>
        <w:footnoteRef/>
      </w:r>
      <w:r w:rsidRPr="003B6E11">
        <w:rPr>
          <w:lang w:val="pl-PL"/>
        </w:rPr>
        <w:t xml:space="preserve"> </w:t>
      </w:r>
      <w:r w:rsidRPr="003B6E11">
        <w:rPr>
          <w:lang w:val="pl-PL"/>
        </w:rPr>
        <w:tab/>
      </w:r>
      <w:r w:rsidRPr="003B6E11">
        <w:rPr>
          <w:spacing w:val="-2"/>
          <w:sz w:val="16"/>
          <w:lang w:val="pl-PL"/>
        </w:rPr>
        <w:t>Osvědčení o inspekci plavidla pro plavbu na Rýně se vztahuje na: lodníka, lodníka nahrazeného lodním strojníkem; provozní režimy A1, A2 a B.</w:t>
      </w:r>
    </w:p>
  </w:footnote>
  <w:footnote w:id="52">
    <w:p w:rsidR="002D015D" w:rsidRPr="003B6E11" w:rsidRDefault="002D015D" w:rsidP="003B6E11">
      <w:pPr>
        <w:pStyle w:val="FootnoteText"/>
        <w:ind w:left="284" w:hanging="284"/>
        <w:rPr>
          <w:sz w:val="16"/>
          <w:szCs w:val="16"/>
          <w:lang w:val="pl-PL"/>
        </w:rPr>
      </w:pPr>
      <w:r>
        <w:rPr>
          <w:rStyle w:val="FootnoteReference"/>
        </w:rPr>
        <w:footnoteRef/>
      </w:r>
      <w:r w:rsidRPr="003B6E11">
        <w:rPr>
          <w:lang w:val="pl-PL"/>
        </w:rPr>
        <w:t xml:space="preserve"> </w:t>
      </w:r>
      <w:r w:rsidRPr="003B6E11">
        <w:rPr>
          <w:lang w:val="pl-PL"/>
        </w:rPr>
        <w:tab/>
      </w:r>
      <w:r w:rsidRPr="003B6E11">
        <w:rPr>
          <w:sz w:val="16"/>
          <w:lang w:val="pl-PL"/>
        </w:rPr>
        <w:t>Směrnice 2014/53/EU Evropského parlamentu a Rady ze dne 16. dubna 2014 o harmonizaci právních předpisů členských států týkajících se dodávání rádiových zařízení na trh a zrušení směrnice 1999/5/ES (Úř. věst. L 153, 22.5.2014).</w:t>
      </w:r>
    </w:p>
  </w:footnote>
  <w:footnote w:id="53">
    <w:p w:rsidR="002D015D" w:rsidRPr="003B6E11" w:rsidRDefault="002D015D" w:rsidP="003B6E11">
      <w:pPr>
        <w:pStyle w:val="FootnoteText"/>
        <w:ind w:left="284" w:hanging="284"/>
        <w:rPr>
          <w:sz w:val="16"/>
          <w:szCs w:val="16"/>
          <w:lang w:val="pl-PL"/>
        </w:rPr>
      </w:pPr>
      <w:r>
        <w:rPr>
          <w:rStyle w:val="FootnoteReference"/>
        </w:rPr>
        <w:footnoteRef/>
      </w:r>
      <w:r w:rsidRPr="003B6E11">
        <w:rPr>
          <w:lang w:val="pl-PL"/>
        </w:rPr>
        <w:t xml:space="preserve"> </w:t>
      </w:r>
      <w:r w:rsidRPr="003B6E11">
        <w:rPr>
          <w:lang w:val="pl-PL"/>
        </w:rPr>
        <w:tab/>
      </w:r>
      <w:r w:rsidRPr="003B6E11">
        <w:rPr>
          <w:sz w:val="16"/>
          <w:lang w:val="pl-PL"/>
        </w:rPr>
        <w:t>Směrnice Evropského parlamentu a Rady 2014/30/EU ze dne 26. února 2014 o harmonizaci právních předpisů členských států týkajících se elektromagnetické kompatibility (Úř. věst. L 96, 29.3.2014).</w:t>
      </w:r>
    </w:p>
  </w:footnote>
  <w:footnote w:id="54">
    <w:p w:rsidR="002D015D" w:rsidRPr="003B6E11" w:rsidRDefault="002D015D" w:rsidP="003B6E11">
      <w:pPr>
        <w:pStyle w:val="FootnoteText"/>
        <w:spacing w:line="240" w:lineRule="atLeast"/>
        <w:ind w:left="284" w:hanging="284"/>
        <w:rPr>
          <w:rFonts w:cs="Arial"/>
          <w:lang w:val="pl-PL"/>
        </w:rPr>
      </w:pPr>
      <w:r>
        <w:rPr>
          <w:rStyle w:val="FootnoteReference"/>
        </w:rPr>
        <w:footnoteRef/>
      </w:r>
      <w:r w:rsidRPr="003B6E11">
        <w:rPr>
          <w:lang w:val="pl-PL"/>
        </w:rPr>
        <w:t xml:space="preserve"> </w:t>
      </w:r>
      <w:r w:rsidRPr="003B6E11">
        <w:rPr>
          <w:lang w:val="pl-PL"/>
        </w:rPr>
        <w:tab/>
      </w:r>
      <w:r w:rsidRPr="003B6E11">
        <w:rPr>
          <w:sz w:val="16"/>
          <w:lang w:val="pl-PL"/>
        </w:rPr>
        <w:t>Norma MSC.112(73) přijatá dne 1. prosince 2000 – Revised Performance Standards for Shipborne Global Positioning System (GPS) Receiver Equipment [Revidované výkonnostní normy pro přijímače GPS na palubách lodí].</w:t>
      </w:r>
    </w:p>
  </w:footnote>
  <w:footnote w:id="55">
    <w:p w:rsidR="002D015D" w:rsidRPr="003B6E11" w:rsidRDefault="002D015D" w:rsidP="003B6E11">
      <w:pPr>
        <w:pStyle w:val="FootnoteText"/>
        <w:spacing w:line="240" w:lineRule="atLeast"/>
        <w:ind w:left="284" w:hanging="284"/>
        <w:rPr>
          <w:rFonts w:cs="Arial"/>
          <w:lang w:val="pl-PL"/>
        </w:rPr>
      </w:pPr>
      <w:r>
        <w:rPr>
          <w:rStyle w:val="FootnoteReference"/>
        </w:rPr>
        <w:footnoteRef/>
      </w:r>
      <w:r w:rsidRPr="003B6E11">
        <w:rPr>
          <w:vertAlign w:val="superscript"/>
          <w:lang w:val="pl-PL"/>
        </w:rPr>
        <w:t xml:space="preserve"> </w:t>
      </w:r>
      <w:r w:rsidRPr="003B6E11">
        <w:rPr>
          <w:lang w:val="pl-PL"/>
        </w:rPr>
        <w:tab/>
      </w:r>
      <w:r w:rsidRPr="003B6E11">
        <w:rPr>
          <w:sz w:val="16"/>
          <w:lang w:val="pl-PL"/>
        </w:rPr>
        <w:t>Norma MSC.114(73) přijatá dne 1. prosince 2000 – Revised Performance Standards for Shipborne DGPS and DGLONASS Maritime Radio Beacon Receiver Equipment [Revidované výkonnostní normy pro přijímače námořních radiomajáků DGPS a DGLONASS na palubách lodí].</w:t>
      </w:r>
    </w:p>
  </w:footnote>
  <w:footnote w:id="56">
    <w:p w:rsidR="002D015D" w:rsidRPr="003B6E11" w:rsidRDefault="002D015D" w:rsidP="003B6E11">
      <w:pPr>
        <w:pStyle w:val="FootnoteText"/>
        <w:spacing w:line="240" w:lineRule="atLeast"/>
        <w:ind w:left="284" w:hanging="284"/>
        <w:rPr>
          <w:rFonts w:cs="Arial"/>
          <w:lang w:val="pl-PL"/>
        </w:rPr>
      </w:pPr>
      <w:r>
        <w:rPr>
          <w:rStyle w:val="FootnoteReference"/>
        </w:rPr>
        <w:footnoteRef/>
      </w:r>
      <w:r w:rsidRPr="003B6E11">
        <w:rPr>
          <w:lang w:val="pl-PL"/>
        </w:rPr>
        <w:t xml:space="preserve"> </w:t>
      </w:r>
      <w:r w:rsidRPr="003B6E11">
        <w:rPr>
          <w:lang w:val="pl-PL"/>
        </w:rPr>
        <w:tab/>
      </w:r>
      <w:r w:rsidRPr="003B6E11">
        <w:rPr>
          <w:sz w:val="16"/>
          <w:lang w:val="pl-PL"/>
        </w:rPr>
        <w:t>Norma MSC.233(82) přijatá dne 5. prosince 2006 – Performance Standards for Shipborne Galileo Receiver Equipment [Výkonnostní normy pro přijímače Galileo na palubách lodí].</w:t>
      </w:r>
    </w:p>
  </w:footnote>
  <w:footnote w:id="57">
    <w:p w:rsidR="002D015D" w:rsidRPr="003B6E11" w:rsidRDefault="002D015D" w:rsidP="003B6E11">
      <w:pPr>
        <w:pStyle w:val="FootnoteText"/>
        <w:spacing w:line="240" w:lineRule="atLeast"/>
        <w:ind w:left="284" w:hanging="284"/>
        <w:rPr>
          <w:lang w:val="pl-PL"/>
        </w:rPr>
      </w:pPr>
      <w:r>
        <w:rPr>
          <w:rStyle w:val="FootnoteReference"/>
        </w:rPr>
        <w:footnoteRef/>
      </w:r>
      <w:r w:rsidRPr="003B6E11">
        <w:rPr>
          <w:vertAlign w:val="superscript"/>
          <w:lang w:val="pl-PL"/>
        </w:rPr>
        <w:t xml:space="preserve"> </w:t>
      </w:r>
      <w:r w:rsidRPr="003B6E11">
        <w:rPr>
          <w:lang w:val="pl-PL"/>
        </w:rPr>
        <w:tab/>
      </w:r>
      <w:r w:rsidRPr="003B6E11">
        <w:rPr>
          <w:sz w:val="16"/>
          <w:lang w:val="pl-PL"/>
        </w:rPr>
        <w:t>Norma MSC.116(73) přijatá dne 1. prosince 2000 – Performance Standards for marine transmitting heading devices (THDs) [Výkonnostní normy pro námořní zařízení předávající kurz (THD)].</w:t>
      </w:r>
    </w:p>
  </w:footnote>
  <w:footnote w:id="58">
    <w:p w:rsidR="002D015D" w:rsidRPr="003B6E11" w:rsidRDefault="002D015D" w:rsidP="003B6E11">
      <w:pPr>
        <w:pStyle w:val="FootnoteText"/>
        <w:ind w:left="284" w:hanging="284"/>
        <w:rPr>
          <w:rFonts w:cs="Arial"/>
          <w:lang w:val="pl-PL"/>
        </w:rPr>
      </w:pPr>
      <w:r>
        <w:rPr>
          <w:rStyle w:val="FootnoteReference"/>
        </w:rPr>
        <w:footnoteRef/>
      </w:r>
      <w:r w:rsidRPr="003B6E11">
        <w:rPr>
          <w:lang w:val="pl-PL"/>
        </w:rPr>
        <w:t xml:space="preserve"> </w:t>
      </w:r>
      <w:r w:rsidRPr="003B6E11">
        <w:rPr>
          <w:lang w:val="pl-PL"/>
        </w:rPr>
        <w:tab/>
      </w:r>
      <w:r w:rsidRPr="003B6E11">
        <w:rPr>
          <w:sz w:val="16"/>
          <w:lang w:val="pl-PL"/>
        </w:rPr>
        <w:t>Norma MSC.112(73) přijatá dne 1. prosince 2000 – Revised Performance Standards for Shipborne Global Positioning System (GPS) Receiver Equipment [Revidované výkonnostní normy pro přijímače GPS na palubách lodí].</w:t>
      </w:r>
    </w:p>
  </w:footnote>
  <w:footnote w:id="59">
    <w:p w:rsidR="002D015D" w:rsidRPr="003B6E11" w:rsidRDefault="002D015D" w:rsidP="003B6E11">
      <w:pPr>
        <w:pStyle w:val="FootnoteText"/>
        <w:ind w:left="284" w:hanging="284"/>
        <w:rPr>
          <w:rFonts w:cs="Arial"/>
          <w:lang w:val="pl-PL"/>
        </w:rPr>
      </w:pPr>
      <w:r>
        <w:rPr>
          <w:rStyle w:val="FootnoteReference"/>
        </w:rPr>
        <w:footnoteRef/>
      </w:r>
      <w:r w:rsidRPr="003B6E11">
        <w:rPr>
          <w:vertAlign w:val="superscript"/>
          <w:lang w:val="pl-PL"/>
        </w:rPr>
        <w:t xml:space="preserve"> </w:t>
      </w:r>
      <w:r w:rsidRPr="003B6E11">
        <w:rPr>
          <w:lang w:val="pl-PL"/>
        </w:rPr>
        <w:tab/>
      </w:r>
      <w:r w:rsidRPr="003B6E11">
        <w:rPr>
          <w:sz w:val="16"/>
          <w:lang w:val="pl-PL"/>
        </w:rPr>
        <w:t>Norma MSC.114(73) přijatá dne 1. prosince 2000 – Revised Performance Standards for Shipborne DGPS and DGLONASS Maritime Radio Beacon Receiver Equipment [Revidované výkonnostní normy pro přijímače námořních radiomajáků DGPS a DGLONASS na palubách lodí].</w:t>
      </w:r>
    </w:p>
  </w:footnote>
  <w:footnote w:id="60">
    <w:p w:rsidR="002D015D" w:rsidRPr="003B6E11" w:rsidRDefault="002D015D" w:rsidP="003B6E11">
      <w:pPr>
        <w:pStyle w:val="FootnoteText"/>
        <w:ind w:left="284" w:hanging="284"/>
        <w:rPr>
          <w:rFonts w:cs="Arial"/>
          <w:lang w:val="pl-PL"/>
        </w:rPr>
      </w:pPr>
      <w:r>
        <w:rPr>
          <w:rStyle w:val="FootnoteReference"/>
        </w:rPr>
        <w:footnoteRef/>
      </w:r>
      <w:r w:rsidRPr="003B6E11">
        <w:rPr>
          <w:lang w:val="pl-PL"/>
        </w:rPr>
        <w:t xml:space="preserve"> </w:t>
      </w:r>
      <w:r w:rsidRPr="003B6E11">
        <w:rPr>
          <w:lang w:val="pl-PL"/>
        </w:rPr>
        <w:tab/>
      </w:r>
      <w:r w:rsidRPr="003B6E11">
        <w:rPr>
          <w:sz w:val="16"/>
          <w:lang w:val="pl-PL"/>
        </w:rPr>
        <w:t>Norma MSC.233(82) přijatá dne 5. prosince 2006 – Performance Standards for Shipborne Galileo Receiver Equipment [Výkonnostní normy pro přijímače Galileo na palubách lodí].</w:t>
      </w:r>
    </w:p>
  </w:footnote>
  <w:footnote w:id="61">
    <w:p w:rsidR="002D015D" w:rsidRPr="003B6E11" w:rsidRDefault="002D015D" w:rsidP="003B6E11">
      <w:pPr>
        <w:pStyle w:val="FootnoteText"/>
        <w:ind w:left="284" w:hanging="284"/>
        <w:rPr>
          <w:lang w:val="pl-PL"/>
        </w:rPr>
      </w:pPr>
      <w:r>
        <w:rPr>
          <w:rStyle w:val="FootnoteReference"/>
        </w:rPr>
        <w:footnoteRef/>
      </w:r>
      <w:r w:rsidRPr="003B6E11">
        <w:rPr>
          <w:vertAlign w:val="superscript"/>
          <w:lang w:val="pl-PL"/>
        </w:rPr>
        <w:t xml:space="preserve"> </w:t>
      </w:r>
      <w:r w:rsidRPr="003B6E11">
        <w:rPr>
          <w:lang w:val="pl-PL"/>
        </w:rPr>
        <w:tab/>
      </w:r>
      <w:r w:rsidRPr="003B6E11">
        <w:rPr>
          <w:sz w:val="16"/>
          <w:lang w:val="pl-PL"/>
        </w:rPr>
        <w:t>Norma MSC.116(73) přijatá dne 1. prosince 2000 – Performance Standards for marine transmitting heading devices (THDs) [Výkonnostní normy pro námořní zařízení předávající kurz (THD)].</w:t>
      </w:r>
    </w:p>
  </w:footnote>
  <w:footnote w:id="62">
    <w:p w:rsidR="002D015D" w:rsidRPr="003B6E11" w:rsidRDefault="002D015D" w:rsidP="003B6E11">
      <w:pPr>
        <w:pStyle w:val="FootnoteText"/>
        <w:ind w:left="284" w:hanging="284"/>
        <w:rPr>
          <w:sz w:val="16"/>
          <w:szCs w:val="16"/>
          <w:lang w:val="pl-PL"/>
        </w:rPr>
      </w:pPr>
      <w:r>
        <w:rPr>
          <w:rStyle w:val="FootnoteReference"/>
        </w:rPr>
        <w:footnoteRef/>
      </w:r>
      <w:r w:rsidRPr="003B6E11">
        <w:rPr>
          <w:lang w:val="pl-PL"/>
        </w:rPr>
        <w:t xml:space="preserve"> </w:t>
      </w:r>
      <w:r w:rsidRPr="003B6E11">
        <w:rPr>
          <w:lang w:val="pl-PL"/>
        </w:rPr>
        <w:tab/>
      </w:r>
      <w:r w:rsidRPr="003B6E11">
        <w:rPr>
          <w:sz w:val="16"/>
          <w:lang w:val="pl-PL"/>
        </w:rPr>
        <w:t>Označte křížkem příslušnou kolonku.</w:t>
      </w:r>
    </w:p>
    <w:p w:rsidR="002D015D" w:rsidRPr="003B6E11" w:rsidRDefault="002D015D" w:rsidP="003B6E11">
      <w:pPr>
        <w:pStyle w:val="FootnoteText"/>
        <w:ind w:left="284" w:hanging="284"/>
        <w:rPr>
          <w:lang w:val="pl-PL"/>
        </w:rPr>
      </w:pPr>
    </w:p>
  </w:footnote>
  <w:footnote w:id="63">
    <w:p w:rsidR="002D015D" w:rsidRPr="003B6E11" w:rsidRDefault="002D015D" w:rsidP="003B6E11">
      <w:pPr>
        <w:ind w:left="284" w:hanging="284"/>
        <w:rPr>
          <w:sz w:val="18"/>
          <w:lang w:val="pl-PL"/>
        </w:rPr>
      </w:pPr>
      <w:r>
        <w:rPr>
          <w:rStyle w:val="FootnoteReference"/>
        </w:rPr>
        <w:footnoteRef/>
      </w:r>
      <w:r w:rsidRPr="003B6E11">
        <w:rPr>
          <w:lang w:val="pl-PL"/>
        </w:rPr>
        <w:t xml:space="preserve"> </w:t>
      </w:r>
      <w:r w:rsidRPr="003B6E11">
        <w:rPr>
          <w:lang w:val="pl-PL"/>
        </w:rPr>
        <w:tab/>
      </w:r>
      <w:r w:rsidRPr="003B6E11">
        <w:rPr>
          <w:sz w:val="16"/>
          <w:lang w:val="pl-PL"/>
        </w:rPr>
        <w:t>Referenční číslo informačního dokumentu přiděluje příslušný orgán.</w:t>
      </w:r>
    </w:p>
  </w:footnote>
  <w:footnote w:id="64">
    <w:p w:rsidR="002D015D" w:rsidRPr="003B6E11" w:rsidRDefault="002D015D" w:rsidP="003B6E11">
      <w:pPr>
        <w:pStyle w:val="FootnoteText"/>
        <w:ind w:left="284" w:hanging="284"/>
        <w:rPr>
          <w:sz w:val="16"/>
          <w:szCs w:val="16"/>
          <w:lang w:val="pl-PL"/>
        </w:rPr>
      </w:pPr>
      <w:r>
        <w:rPr>
          <w:rStyle w:val="FootnoteReference"/>
          <w:sz w:val="16"/>
        </w:rPr>
        <w:footnoteRef/>
      </w:r>
      <w:r w:rsidRPr="003B6E11">
        <w:rPr>
          <w:sz w:val="16"/>
          <w:lang w:val="pl-PL"/>
        </w:rPr>
        <w:t xml:space="preserve"> </w:t>
      </w:r>
      <w:r w:rsidRPr="003B6E11">
        <w:rPr>
          <w:lang w:val="pl-PL"/>
        </w:rPr>
        <w:tab/>
      </w:r>
      <w:r w:rsidRPr="003B6E11">
        <w:rPr>
          <w:sz w:val="16"/>
          <w:lang w:val="pl-PL"/>
        </w:rPr>
        <w:t>Fáze provozu</w:t>
      </w:r>
    </w:p>
    <w:p w:rsidR="002D015D" w:rsidRPr="003B6E11" w:rsidRDefault="002D015D" w:rsidP="003B6E11">
      <w:pPr>
        <w:pStyle w:val="FootnoteText"/>
        <w:ind w:left="284"/>
        <w:rPr>
          <w:sz w:val="16"/>
          <w:szCs w:val="16"/>
          <w:lang w:val="pl-PL"/>
        </w:rPr>
      </w:pPr>
      <w:r w:rsidRPr="003B6E11">
        <w:rPr>
          <w:sz w:val="16"/>
          <w:lang w:val="pl-PL"/>
        </w:rPr>
        <w:t>Pro účely testování jsou definovány tyto fáze provozu:</w:t>
      </w:r>
    </w:p>
    <w:p w:rsidR="002D015D" w:rsidRPr="003B6E11" w:rsidRDefault="002D015D" w:rsidP="003B6E11">
      <w:pPr>
        <w:pStyle w:val="FootnoteText"/>
        <w:ind w:left="709"/>
        <w:rPr>
          <w:sz w:val="16"/>
          <w:szCs w:val="16"/>
          <w:lang w:val="pl-PL"/>
        </w:rPr>
      </w:pPr>
      <w:r w:rsidRPr="003B6E11">
        <w:rPr>
          <w:sz w:val="16"/>
          <w:lang w:val="pl-PL"/>
        </w:rPr>
        <w:t>a)</w:t>
      </w:r>
      <w:r w:rsidRPr="003B6E11">
        <w:rPr>
          <w:lang w:val="pl-PL"/>
        </w:rPr>
        <w:tab/>
      </w:r>
      <w:r w:rsidRPr="003B6E11">
        <w:rPr>
          <w:sz w:val="16"/>
          <w:lang w:val="pl-PL"/>
        </w:rPr>
        <w:t xml:space="preserve">Pohotovostní režim znamená, že je palubní čistírna odpadních vod v provozu, avšak po dobu více než jednoho dne do ní nebyly napuštěny odpadní vody. Palubní čistírna odpadních vod může být v pohotovostním režimu například tehdy, když osobní loď není po delší dobu v provozu a čeká v kotvišti. </w:t>
      </w:r>
    </w:p>
    <w:p w:rsidR="002D015D" w:rsidRPr="003B6E11" w:rsidRDefault="002D015D" w:rsidP="003B6E11">
      <w:pPr>
        <w:pStyle w:val="FootnoteText"/>
        <w:ind w:left="709"/>
        <w:rPr>
          <w:sz w:val="16"/>
          <w:szCs w:val="16"/>
          <w:lang w:val="pl-PL"/>
        </w:rPr>
      </w:pPr>
      <w:r w:rsidRPr="003B6E11">
        <w:rPr>
          <w:sz w:val="16"/>
          <w:lang w:val="pl-PL"/>
        </w:rPr>
        <w:t>b)</w:t>
      </w:r>
      <w:r w:rsidRPr="003B6E11">
        <w:rPr>
          <w:lang w:val="pl-PL"/>
        </w:rPr>
        <w:tab/>
      </w:r>
      <w:r w:rsidRPr="003B6E11">
        <w:rPr>
          <w:sz w:val="16"/>
          <w:lang w:val="pl-PL"/>
        </w:rPr>
        <w:t>Nouzový provoz znamená, že jednotlivé podsestavy palubní čistírny odpadních vod selhaly, takže odpadní vody nelze čistit tak, jak bylo zamýšleno.</w:t>
      </w:r>
    </w:p>
    <w:p w:rsidR="002D015D" w:rsidRPr="003B6E11" w:rsidRDefault="002D015D" w:rsidP="003B6E11">
      <w:pPr>
        <w:pStyle w:val="FootnoteText"/>
        <w:ind w:left="709"/>
        <w:rPr>
          <w:sz w:val="16"/>
          <w:szCs w:val="16"/>
          <w:lang w:val="pl-PL"/>
        </w:rPr>
      </w:pPr>
      <w:r w:rsidRPr="003B6E11">
        <w:rPr>
          <w:sz w:val="16"/>
          <w:lang w:val="pl-PL"/>
        </w:rPr>
        <w:t>c)</w:t>
      </w:r>
      <w:r w:rsidRPr="003B6E11">
        <w:rPr>
          <w:lang w:val="pl-PL"/>
        </w:rPr>
        <w:tab/>
      </w:r>
      <w:r w:rsidRPr="003B6E11">
        <w:rPr>
          <w:sz w:val="16"/>
          <w:lang w:val="pl-PL"/>
        </w:rPr>
        <w:t>Omezený provoz, zastavení a znovuspuštění nastávají tehdy, když je provoz palubní čistírny odpadních vod na delší dobu přerušen (zimní kotvení) a elektrické napájení je vypnuto nebo když je palubní čistírna odpadních vod na začátku sezóny opět uvedena do provozu.</w:t>
      </w:r>
    </w:p>
    <w:p w:rsidR="002D015D" w:rsidRPr="003B6E11" w:rsidRDefault="002D015D" w:rsidP="003B6E11">
      <w:pPr>
        <w:pStyle w:val="FootnoteText"/>
        <w:rPr>
          <w:sz w:val="14"/>
          <w:lang w:val="pl-PL"/>
        </w:rPr>
      </w:pPr>
    </w:p>
  </w:footnote>
  <w:footnote w:id="65">
    <w:p w:rsidR="002D015D" w:rsidRPr="003B6E11" w:rsidRDefault="002D015D" w:rsidP="003B6E11">
      <w:pPr>
        <w:pStyle w:val="FootnoteText"/>
        <w:ind w:left="284" w:hanging="284"/>
        <w:rPr>
          <w:lang w:val="pl-PL"/>
        </w:rPr>
      </w:pPr>
      <w:r>
        <w:rPr>
          <w:rStyle w:val="FootnoteReference"/>
        </w:rPr>
        <w:footnoteRef/>
      </w:r>
      <w:r w:rsidRPr="003B6E11">
        <w:rPr>
          <w:lang w:val="pl-PL"/>
        </w:rPr>
        <w:t xml:space="preserve"> </w:t>
      </w:r>
      <w:r w:rsidRPr="003B6E11">
        <w:rPr>
          <w:lang w:val="pl-PL"/>
        </w:rPr>
        <w:tab/>
      </w:r>
      <w:r w:rsidRPr="003B6E11">
        <w:rPr>
          <w:sz w:val="16"/>
          <w:lang w:val="pl-PL"/>
        </w:rPr>
        <w:t>Nehodící se škrtněte.</w:t>
      </w:r>
    </w:p>
  </w:footnote>
  <w:footnote w:id="66">
    <w:p w:rsidR="002D015D" w:rsidRPr="003B6E11" w:rsidRDefault="002D015D" w:rsidP="003B6E11">
      <w:pPr>
        <w:pStyle w:val="FootnoteText"/>
        <w:ind w:left="284" w:hanging="284"/>
        <w:rPr>
          <w:sz w:val="16"/>
          <w:szCs w:val="16"/>
          <w:lang w:val="pl-PL"/>
        </w:rPr>
      </w:pPr>
      <w:r>
        <w:rPr>
          <w:rStyle w:val="FootnoteReference"/>
        </w:rPr>
        <w:footnoteRef/>
      </w:r>
      <w:r w:rsidRPr="003B6E11">
        <w:rPr>
          <w:lang w:val="pl-PL"/>
        </w:rPr>
        <w:tab/>
      </w:r>
      <w:r w:rsidRPr="003B6E11">
        <w:rPr>
          <w:sz w:val="16"/>
          <w:lang w:val="pl-PL"/>
        </w:rPr>
        <w:t>Nehodící se škrtněte.</w:t>
      </w:r>
    </w:p>
  </w:footnote>
  <w:footnote w:id="67">
    <w:p w:rsidR="002D015D" w:rsidRPr="003B6E11" w:rsidRDefault="002D015D" w:rsidP="003B6E11">
      <w:pPr>
        <w:pStyle w:val="FootnoteText"/>
        <w:ind w:left="284" w:hanging="284"/>
        <w:rPr>
          <w:sz w:val="16"/>
          <w:lang w:val="pl-PL"/>
        </w:rPr>
      </w:pPr>
      <w:r>
        <w:rPr>
          <w:rStyle w:val="FootnoteReference"/>
        </w:rPr>
        <w:footnoteRef/>
      </w:r>
      <w:r w:rsidRPr="003B6E11">
        <w:rPr>
          <w:lang w:val="pl-PL"/>
        </w:rPr>
        <w:tab/>
      </w:r>
      <w:r w:rsidRPr="003B6E11">
        <w:rPr>
          <w:sz w:val="16"/>
          <w:lang w:val="pl-PL"/>
        </w:rPr>
        <w:t>V případě, že zkoušky provádí příslušný orgán, uveďte „není relevantní“.</w:t>
      </w:r>
    </w:p>
  </w:footnote>
  <w:footnote w:id="68">
    <w:p w:rsidR="002D015D" w:rsidRPr="003B6E11" w:rsidRDefault="002D015D" w:rsidP="003B6E11">
      <w:pPr>
        <w:pStyle w:val="FootnoteText"/>
        <w:ind w:left="284" w:hanging="284"/>
        <w:rPr>
          <w:sz w:val="16"/>
          <w:lang w:val="pl-PL"/>
        </w:rPr>
      </w:pPr>
      <w:r>
        <w:rPr>
          <w:rStyle w:val="FootnoteReference"/>
        </w:rPr>
        <w:footnoteRef/>
      </w:r>
      <w:r w:rsidRPr="003B6E11">
        <w:rPr>
          <w:lang w:val="pl-PL"/>
        </w:rPr>
        <w:tab/>
      </w:r>
      <w:r w:rsidRPr="003B6E11">
        <w:rPr>
          <w:sz w:val="16"/>
          <w:lang w:val="pl-PL"/>
        </w:rPr>
        <w:t>Nehodící se škrtněte.</w:t>
      </w:r>
    </w:p>
  </w:footnote>
  <w:footnote w:id="69">
    <w:p w:rsidR="002D015D" w:rsidRPr="003B6E11" w:rsidRDefault="002D015D" w:rsidP="003B6E11">
      <w:pPr>
        <w:pStyle w:val="FootnoteText"/>
        <w:ind w:left="284" w:hanging="284"/>
        <w:rPr>
          <w:sz w:val="16"/>
          <w:lang w:val="pl-PL"/>
        </w:rPr>
      </w:pPr>
      <w:r>
        <w:rPr>
          <w:rStyle w:val="FootnoteReference"/>
        </w:rPr>
        <w:footnoteRef/>
      </w:r>
      <w:r w:rsidRPr="003B6E11">
        <w:rPr>
          <w:lang w:val="pl-PL"/>
        </w:rPr>
        <w:tab/>
      </w:r>
      <w:r w:rsidRPr="003B6E11">
        <w:rPr>
          <w:sz w:val="16"/>
          <w:lang w:val="pl-PL"/>
        </w:rPr>
        <w:t>V případě, že bylo provedeno více cyklů zkoušek, uveďte údaje pro každý cyklus.</w:t>
      </w:r>
    </w:p>
  </w:footnote>
  <w:footnote w:id="70">
    <w:p w:rsidR="002D015D" w:rsidRPr="003B6E11" w:rsidRDefault="002D015D" w:rsidP="003B6E11">
      <w:pPr>
        <w:pStyle w:val="FootnoteText"/>
        <w:ind w:left="284" w:hanging="284"/>
        <w:rPr>
          <w:lang w:val="pl-PL"/>
        </w:rPr>
      </w:pPr>
      <w:r>
        <w:rPr>
          <w:rStyle w:val="FootnoteReference"/>
        </w:rPr>
        <w:footnoteRef/>
      </w:r>
      <w:r w:rsidRPr="003B6E11">
        <w:rPr>
          <w:lang w:val="pl-PL"/>
        </w:rPr>
        <w:t xml:space="preserve"> </w:t>
      </w:r>
      <w:r w:rsidRPr="003B6E11">
        <w:rPr>
          <w:lang w:val="pl-PL"/>
        </w:rPr>
        <w:tab/>
      </w:r>
      <w:r w:rsidRPr="003B6E11">
        <w:rPr>
          <w:sz w:val="16"/>
          <w:lang w:val="pl-PL"/>
        </w:rPr>
        <w:t>Podle certifikátu schválení typu.</w:t>
      </w:r>
    </w:p>
  </w:footnote>
  <w:footnote w:id="71">
    <w:p w:rsidR="002D015D" w:rsidRPr="003B6E11" w:rsidRDefault="002D015D" w:rsidP="003B6E11">
      <w:pPr>
        <w:pStyle w:val="FootnoteText"/>
        <w:ind w:left="284" w:hanging="284"/>
        <w:rPr>
          <w:lang w:val="pl-PL"/>
        </w:rPr>
      </w:pPr>
      <w:r>
        <w:rPr>
          <w:rStyle w:val="FootnoteReference"/>
        </w:rPr>
        <w:footnoteRef/>
      </w:r>
      <w:r w:rsidRPr="003B6E11">
        <w:rPr>
          <w:lang w:val="pl-PL"/>
        </w:rPr>
        <w:t xml:space="preserve"> </w:t>
      </w:r>
      <w:r w:rsidRPr="003B6E11">
        <w:rPr>
          <w:lang w:val="pl-PL"/>
        </w:rPr>
        <w:tab/>
      </w:r>
      <w:r w:rsidRPr="003B6E11">
        <w:rPr>
          <w:sz w:val="16"/>
          <w:lang w:val="pl-PL"/>
        </w:rPr>
        <w:t>Nehodící se škrtněte.</w:t>
      </w:r>
    </w:p>
  </w:footnote>
  <w:footnote w:id="72">
    <w:p w:rsidR="002D015D" w:rsidRPr="003B6E11" w:rsidRDefault="002D015D" w:rsidP="003B6E11">
      <w:pPr>
        <w:pStyle w:val="FootnoteText"/>
        <w:ind w:left="284" w:hanging="284"/>
        <w:rPr>
          <w:sz w:val="16"/>
          <w:szCs w:val="16"/>
          <w:lang w:val="pl-PL"/>
        </w:rPr>
      </w:pPr>
      <w:r>
        <w:rPr>
          <w:rStyle w:val="FootnoteReference"/>
        </w:rPr>
        <w:footnoteRef/>
      </w:r>
      <w:r w:rsidRPr="003B6E11">
        <w:rPr>
          <w:lang w:val="pl-PL"/>
        </w:rPr>
        <w:tab/>
      </w:r>
      <w:r w:rsidRPr="003B6E11">
        <w:rPr>
          <w:sz w:val="16"/>
          <w:lang w:val="pl-PL"/>
        </w:rPr>
        <w:t>Doplní osoba provádějící zkoušku.</w:t>
      </w:r>
    </w:p>
  </w:footnote>
  <w:footnote w:id="73">
    <w:p w:rsidR="002D015D" w:rsidRPr="003B6E11" w:rsidRDefault="002D015D" w:rsidP="003B6E11">
      <w:pPr>
        <w:pStyle w:val="FootnoteText"/>
        <w:ind w:left="284" w:hanging="284"/>
        <w:rPr>
          <w:sz w:val="16"/>
          <w:szCs w:val="16"/>
          <w:lang w:val="pl-PL"/>
        </w:rPr>
      </w:pPr>
      <w:r>
        <w:rPr>
          <w:rStyle w:val="FootnoteReference"/>
        </w:rPr>
        <w:footnoteRef/>
      </w:r>
      <w:r w:rsidRPr="003B6E11">
        <w:rPr>
          <w:lang w:val="pl-PL"/>
        </w:rPr>
        <w:tab/>
      </w:r>
      <w:r w:rsidRPr="003B6E11">
        <w:rPr>
          <w:sz w:val="16"/>
          <w:lang w:val="pl-PL"/>
        </w:rPr>
        <w:t>Nehodící se škrtněte.</w:t>
      </w:r>
    </w:p>
  </w:footnote>
  <w:footnote w:id="74">
    <w:p w:rsidR="002D015D" w:rsidRPr="003B6E11" w:rsidRDefault="002D015D" w:rsidP="003B6E11">
      <w:pPr>
        <w:pStyle w:val="FootnoteText"/>
        <w:ind w:left="284" w:hanging="284"/>
        <w:rPr>
          <w:lang w:val="pl-PL"/>
        </w:rPr>
      </w:pPr>
      <w:r>
        <w:rPr>
          <w:rStyle w:val="FootnoteReference"/>
        </w:rPr>
        <w:footnoteRef/>
      </w:r>
      <w:r w:rsidRPr="003B6E11">
        <w:rPr>
          <w:lang w:val="pl-PL"/>
        </w:rPr>
        <w:t xml:space="preserve"> </w:t>
      </w:r>
      <w:r w:rsidRPr="003B6E11">
        <w:rPr>
          <w:lang w:val="pl-PL"/>
        </w:rPr>
        <w:tab/>
      </w:r>
      <w:r w:rsidRPr="003B6E11">
        <w:rPr>
          <w:sz w:val="16"/>
          <w:lang w:val="pl-PL"/>
        </w:rPr>
        <w:t>Nehodící se škrtněte.</w:t>
      </w:r>
    </w:p>
  </w:footnote>
  <w:footnote w:id="75">
    <w:p w:rsidR="002D015D" w:rsidRPr="003B6E11" w:rsidRDefault="002D015D" w:rsidP="003B6E11">
      <w:pPr>
        <w:pStyle w:val="FootnoteText"/>
        <w:ind w:left="284" w:hanging="284"/>
        <w:rPr>
          <w:sz w:val="18"/>
          <w:szCs w:val="18"/>
          <w:lang w:val="pl-PL"/>
        </w:rPr>
      </w:pPr>
      <w:r w:rsidRPr="003B6E11">
        <w:rPr>
          <w:sz w:val="18"/>
          <w:vertAlign w:val="superscript"/>
          <w:lang w:val="pl-PL"/>
        </w:rPr>
        <w:t>(</w:t>
      </w:r>
      <w:r>
        <w:rPr>
          <w:rStyle w:val="Caractresdenotedebasdepage"/>
          <w:sz w:val="18"/>
        </w:rPr>
        <w:footnoteRef/>
      </w:r>
      <w:r w:rsidRPr="003B6E11">
        <w:rPr>
          <w:sz w:val="18"/>
          <w:vertAlign w:val="superscript"/>
          <w:lang w:val="pl-PL"/>
        </w:rPr>
        <w:t>)</w:t>
      </w:r>
      <w:r w:rsidRPr="003B6E11">
        <w:rPr>
          <w:lang w:val="pl-PL"/>
        </w:rPr>
        <w:tab/>
      </w:r>
      <w:r w:rsidRPr="003B6E11">
        <w:rPr>
          <w:sz w:val="16"/>
          <w:lang w:val="pl-PL"/>
        </w:rPr>
        <w:t>Hodnota TOC (celkový organický uhlík) bude monitorována až od etapy II maximálních hodnot v čl. 18.01 odst. 2 tabulce 2.</w:t>
      </w:r>
    </w:p>
  </w:footnote>
  <w:footnote w:id="76">
    <w:p w:rsidR="002D015D" w:rsidRPr="00101CB2" w:rsidRDefault="002D015D" w:rsidP="003B6E11">
      <w:pPr>
        <w:pStyle w:val="FootnoteText"/>
        <w:ind w:left="284" w:hanging="284"/>
        <w:rPr>
          <w:sz w:val="16"/>
          <w:szCs w:val="18"/>
          <w:lang w:val="en-US"/>
        </w:rPr>
      </w:pPr>
      <w:r w:rsidRPr="003B6E11">
        <w:rPr>
          <w:sz w:val="18"/>
          <w:vertAlign w:val="superscript"/>
          <w:lang w:val="pl-PL"/>
        </w:rPr>
        <w:t>(</w:t>
      </w:r>
      <w:r>
        <w:rPr>
          <w:rStyle w:val="Caractresdenotedebasdepage"/>
          <w:sz w:val="18"/>
        </w:rPr>
        <w:footnoteRef/>
      </w:r>
      <w:r w:rsidRPr="003B6E11">
        <w:rPr>
          <w:sz w:val="18"/>
          <w:vertAlign w:val="superscript"/>
          <w:lang w:val="pl-PL"/>
        </w:rPr>
        <w:t>)</w:t>
      </w:r>
      <w:r w:rsidRPr="003B6E11">
        <w:rPr>
          <w:lang w:val="pl-PL"/>
        </w:rPr>
        <w:tab/>
      </w:r>
      <w:r w:rsidRPr="003B6E11">
        <w:rPr>
          <w:sz w:val="16"/>
          <w:lang w:val="pl-PL"/>
        </w:rPr>
        <w:t xml:space="preserve">Hodnota TOC (celkový organický uhlík) bude monitorována až od etapy II maximálních hodnot v čl. 18.01 odst. </w:t>
      </w:r>
      <w:r>
        <w:rPr>
          <w:sz w:val="16"/>
        </w:rPr>
        <w:t>2 tabulce 2.</w:t>
      </w:r>
    </w:p>
  </w:footnote>
  <w:footnote w:id="77">
    <w:p w:rsidR="002D015D" w:rsidRPr="004F47BB" w:rsidRDefault="002D015D" w:rsidP="003B6E11">
      <w:pPr>
        <w:pStyle w:val="FootnoteText"/>
        <w:ind w:left="284" w:hanging="284"/>
        <w:rPr>
          <w:lang w:val="en-US"/>
        </w:rPr>
      </w:pPr>
      <w:r>
        <w:rPr>
          <w:rStyle w:val="FootnoteReference"/>
        </w:rPr>
        <w:t>(*)</w:t>
      </w:r>
      <w:r>
        <w:t xml:space="preserve"> </w:t>
      </w:r>
      <w:r>
        <w:tab/>
      </w:r>
      <w:r>
        <w:rPr>
          <w:sz w:val="16"/>
        </w:rPr>
        <w:t>Nehodící se škrtněte.</w:t>
      </w:r>
    </w:p>
  </w:footnote>
  <w:footnote w:id="78">
    <w:p w:rsidR="002D015D" w:rsidRPr="004F47BB" w:rsidRDefault="002D015D" w:rsidP="003B6E11">
      <w:pPr>
        <w:pStyle w:val="FootnoteText"/>
        <w:ind w:left="284" w:hanging="284"/>
        <w:rPr>
          <w:sz w:val="16"/>
          <w:lang w:val="en-US"/>
        </w:rPr>
      </w:pPr>
      <w:r>
        <w:rPr>
          <w:rStyle w:val="FootnoteReference"/>
        </w:rPr>
        <w:footnoteRef/>
      </w:r>
      <w:r>
        <w:tab/>
      </w:r>
      <w:r>
        <w:rPr>
          <w:sz w:val="16"/>
        </w:rPr>
        <w:t>Nehodící se škrtněte.</w:t>
      </w:r>
    </w:p>
  </w:footnote>
  <w:footnote w:id="79">
    <w:p w:rsidR="002D015D" w:rsidRPr="004F47BB" w:rsidRDefault="002D015D" w:rsidP="003B6E11">
      <w:pPr>
        <w:pStyle w:val="FootnoteText"/>
        <w:tabs>
          <w:tab w:val="left" w:pos="284"/>
        </w:tabs>
        <w:rPr>
          <w:lang w:val="en-US"/>
        </w:rPr>
      </w:pPr>
      <w:r>
        <w:rPr>
          <w:rStyle w:val="FootnoteReference"/>
        </w:rPr>
        <w:t>*)</w:t>
      </w:r>
      <w:r>
        <w:t xml:space="preserve"> </w:t>
      </w:r>
      <w:r>
        <w:tab/>
      </w:r>
      <w:r>
        <w:rPr>
          <w:sz w:val="16"/>
        </w:rPr>
        <w:t>Nehodící se škrtněte.</w:t>
      </w:r>
    </w:p>
  </w:footnote>
  <w:footnote w:id="80">
    <w:p w:rsidR="002D015D" w:rsidRPr="004F47BB" w:rsidRDefault="002D015D" w:rsidP="003B6E11">
      <w:pPr>
        <w:pStyle w:val="FootnoteText"/>
        <w:tabs>
          <w:tab w:val="left" w:pos="284"/>
        </w:tabs>
        <w:rPr>
          <w:lang w:val="en-US"/>
        </w:rPr>
      </w:pPr>
      <w:r>
        <w:rPr>
          <w:rStyle w:val="FootnoteReference"/>
        </w:rPr>
        <w:t>*)</w:t>
      </w:r>
      <w:r>
        <w:t xml:space="preserve"> </w:t>
      </w:r>
      <w:r>
        <w:tab/>
      </w:r>
      <w:r>
        <w:rPr>
          <w:sz w:val="16"/>
        </w:rPr>
        <w:t>Nehodící se škrtněte.</w:t>
      </w:r>
    </w:p>
  </w:footnote>
  <w:footnote w:id="81">
    <w:p w:rsidR="002D015D" w:rsidRPr="004F47BB" w:rsidRDefault="002D015D" w:rsidP="003B6E11">
      <w:pPr>
        <w:pStyle w:val="FootnoteText"/>
        <w:ind w:left="284" w:hanging="284"/>
        <w:rPr>
          <w:lang w:val="en-US"/>
        </w:rPr>
      </w:pPr>
      <w:r>
        <w:rPr>
          <w:rStyle w:val="FootnoteReference"/>
        </w:rPr>
        <w:t>*)</w:t>
      </w:r>
      <w:r>
        <w:t xml:space="preserve"> </w:t>
      </w:r>
      <w:r>
        <w:tab/>
      </w:r>
      <w:r>
        <w:rPr>
          <w:sz w:val="16"/>
        </w:rPr>
        <w:t>Nehodící se škrtněte.</w:t>
      </w:r>
    </w:p>
  </w:footnote>
  <w:footnote w:id="82">
    <w:p w:rsidR="002D015D" w:rsidRPr="004F47BB" w:rsidRDefault="002D015D" w:rsidP="003B6E11">
      <w:pPr>
        <w:pStyle w:val="FootnoteText"/>
        <w:tabs>
          <w:tab w:val="left" w:pos="284"/>
        </w:tabs>
        <w:rPr>
          <w:lang w:val="en-US"/>
        </w:rPr>
      </w:pPr>
      <w:r>
        <w:rPr>
          <w:rStyle w:val="FootnoteReference"/>
        </w:rPr>
        <w:footnoteRef/>
      </w:r>
      <w:r>
        <w:t xml:space="preserve"> </w:t>
      </w:r>
      <w:r>
        <w:tab/>
      </w:r>
      <w:r>
        <w:rPr>
          <w:sz w:val="16"/>
        </w:rPr>
        <w:t>Nehodící se škrtněte.</w:t>
      </w:r>
    </w:p>
  </w:footnote>
  <w:footnote w:id="83">
    <w:p w:rsidR="002D015D" w:rsidRPr="005A25B4" w:rsidRDefault="002D015D" w:rsidP="003B6E11">
      <w:pPr>
        <w:pStyle w:val="FootnoteText"/>
        <w:ind w:left="284" w:hanging="284"/>
        <w:rPr>
          <w:rFonts w:cs="Arial"/>
          <w:sz w:val="16"/>
          <w:szCs w:val="16"/>
        </w:rPr>
      </w:pPr>
      <w:r>
        <w:rPr>
          <w:rStyle w:val="FootnoteReference"/>
          <w:sz w:val="18"/>
        </w:rPr>
        <w:footnoteRef/>
      </w:r>
      <w:r>
        <w:rPr>
          <w:sz w:val="18"/>
        </w:rPr>
        <w:t xml:space="preserve"> </w:t>
      </w:r>
      <w:r>
        <w:tab/>
      </w:r>
      <w:r>
        <w:rPr>
          <w:sz w:val="16"/>
        </w:rPr>
        <w:t>Směrnice Evropského parlamentu a Rady 2009/45/ES ze dne 6. května 2009 o bezpečnostních pravidlech a normách pro osobní lodě (Úř. věst. L 163, 25.6.2009).</w:t>
      </w:r>
    </w:p>
  </w:footnote>
  <w:footnote w:id="84">
    <w:p w:rsidR="002D015D" w:rsidRPr="005A25B4" w:rsidRDefault="002D015D" w:rsidP="003B6E11">
      <w:pPr>
        <w:pStyle w:val="FootnoteText"/>
        <w:ind w:left="284" w:hanging="284"/>
        <w:rPr>
          <w:rFonts w:cs="Arial"/>
          <w:sz w:val="16"/>
          <w:szCs w:val="16"/>
        </w:rPr>
      </w:pPr>
      <w:r>
        <w:rPr>
          <w:rStyle w:val="FootnoteReference"/>
          <w:sz w:val="18"/>
        </w:rPr>
        <w:footnoteRef/>
      </w:r>
      <w:r>
        <w:rPr>
          <w:sz w:val="18"/>
        </w:rPr>
        <w:t xml:space="preserve"> </w:t>
      </w:r>
      <w:r>
        <w:tab/>
      </w:r>
      <w:r>
        <w:rPr>
          <w:sz w:val="16"/>
        </w:rPr>
        <w:t>Pokyny pro osobní lodě, které jsou rovněž vhodné pro přepravu osob s omezenou schopností pohybu a orientace – Evropská hospodářská komise Organizace spojených národů, Výbor pro vnitrozemskou dopravu, Pracovní skupina pro vnitrozemskou vodní dopravu – přijaté dne 15. října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226A59" w:rsidRDefault="002D015D" w:rsidP="00226A59">
    <w:pPr>
      <w:widowControl w:val="0"/>
      <w:rPr>
        <w:sz w:val="16"/>
        <w:szCs w:val="16"/>
      </w:rPr>
    </w:pPr>
    <w:r>
      <w:rPr>
        <w:sz w:val="16"/>
      </w:rPr>
      <w:t>Evropský výbor pro vypracování norem pro vnitrozemskou plavbu (CESNI)</w:t>
    </w:r>
  </w:p>
  <w:p w:rsidR="002D015D" w:rsidRPr="00226A59" w:rsidRDefault="002D015D" w:rsidP="00226A59">
    <w:pPr>
      <w:widowControl w:val="0"/>
      <w:pBdr>
        <w:bottom w:val="single" w:sz="6" w:space="1" w:color="auto"/>
      </w:pBdr>
      <w:tabs>
        <w:tab w:val="right" w:pos="9070"/>
        <w:tab w:val="right" w:pos="14034"/>
      </w:tabs>
      <w:rPr>
        <w:sz w:val="16"/>
        <w:szCs w:val="16"/>
      </w:rPr>
    </w:pPr>
    <w:r>
      <w:rPr>
        <w:sz w:val="16"/>
      </w:rPr>
      <w:t xml:space="preserve">Evropská norma, kterou se stanoví technické požadavky </w:t>
    </w:r>
  </w:p>
  <w:p w:rsidR="002D015D" w:rsidRPr="00226A59" w:rsidRDefault="002D015D" w:rsidP="00226A59">
    <w:pPr>
      <w:widowControl w:val="0"/>
      <w:pBdr>
        <w:bottom w:val="single" w:sz="6" w:space="1" w:color="auto"/>
      </w:pBdr>
      <w:tabs>
        <w:tab w:val="right" w:pos="9070"/>
        <w:tab w:val="right" w:pos="14034"/>
      </w:tabs>
      <w:rPr>
        <w:sz w:val="16"/>
        <w:szCs w:val="16"/>
      </w:rPr>
    </w:pPr>
    <w:r>
      <w:rPr>
        <w:sz w:val="16"/>
      </w:rPr>
      <w:t>pro plavidla vnitrozemské plavby (ES-TRIN)</w:t>
    </w: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C62373" w:rsidRDefault="002D015D" w:rsidP="00C62373">
    <w:pPr>
      <w:widowControl w:val="0"/>
      <w:pBdr>
        <w:bottom w:val="single" w:sz="4" w:space="1" w:color="auto"/>
      </w:pBdr>
      <w:tabs>
        <w:tab w:val="right" w:pos="9072"/>
      </w:tabs>
      <w:jc w:val="right"/>
      <w:rPr>
        <w:rFonts w:cs="Arial"/>
        <w:noProof/>
        <w:sz w:val="16"/>
        <w:szCs w:val="16"/>
      </w:rPr>
    </w:pPr>
    <w:r>
      <w:rPr>
        <w:sz w:val="16"/>
      </w:rPr>
      <w:t>ES-TRIN</w:t>
    </w:r>
    <w:r>
      <w:tab/>
    </w:r>
    <w:r>
      <w:rPr>
        <w:rFonts w:cs="Arial"/>
        <w:noProof/>
        <w:sz w:val="16"/>
        <w:szCs w:val="16"/>
      </w:rPr>
      <w:fldChar w:fldCharType="begin"/>
    </w:r>
    <w:r w:rsidRPr="00F46C3C">
      <w:rPr>
        <w:rFonts w:cs="Arial"/>
        <w:noProof/>
        <w:sz w:val="16"/>
        <w:szCs w:val="16"/>
      </w:rPr>
      <w:instrText xml:space="preserve"> STYLEREF  ES-Titre2  \* MERGEFORMAT </w:instrText>
    </w:r>
    <w:r>
      <w:rPr>
        <w:rFonts w:cs="Arial"/>
        <w:noProof/>
        <w:sz w:val="16"/>
        <w:szCs w:val="16"/>
      </w:rPr>
      <w:fldChar w:fldCharType="separate"/>
    </w:r>
    <w:r w:rsidR="00B25B1A">
      <w:rPr>
        <w:rFonts w:cs="Arial"/>
        <w:noProof/>
        <w:sz w:val="16"/>
        <w:szCs w:val="16"/>
      </w:rPr>
      <w:t>Kapitola 19</w:t>
    </w:r>
    <w:r w:rsidR="00B25B1A">
      <w:rPr>
        <w:rFonts w:cs="Arial"/>
        <w:noProof/>
        <w:sz w:val="16"/>
        <w:szCs w:val="16"/>
      </w:rPr>
      <w:br/>
      <w:t>Zvláštní ustanovení pro osobní lodě</w:t>
    </w:r>
    <w:r>
      <w:rPr>
        <w:rFonts w:cs="Arial"/>
        <w:noProof/>
        <w:sz w:val="16"/>
        <w:szCs w:val="16"/>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C20E00" w:rsidRDefault="002D015D" w:rsidP="00DD1033">
    <w:pPr>
      <w:widowControl w:val="0"/>
      <w:pBdr>
        <w:bottom w:val="single" w:sz="6" w:space="1" w:color="auto"/>
      </w:pBdr>
      <w:tabs>
        <w:tab w:val="right" w:pos="14034"/>
      </w:tabs>
      <w:jc w:val="right"/>
      <w:rPr>
        <w:sz w:val="16"/>
        <w:szCs w:val="16"/>
      </w:rPr>
    </w:pPr>
    <w:r>
      <w:rPr>
        <w:sz w:val="16"/>
      </w:rPr>
      <w:t>ES-TRIN</w:t>
    </w:r>
    <w:r>
      <w:tab/>
    </w:r>
    <w:r w:rsidRPr="00C20E00">
      <w:rPr>
        <w:sz w:val="16"/>
        <w:szCs w:val="16"/>
      </w:rPr>
      <w:fldChar w:fldCharType="begin"/>
    </w:r>
    <w:r w:rsidRPr="00C20E00">
      <w:rPr>
        <w:sz w:val="16"/>
        <w:szCs w:val="16"/>
      </w:rPr>
      <w:instrText xml:space="preserve"> STYLEREF  ES-Titre2  \* MERGEFORMAT </w:instrText>
    </w:r>
    <w:r w:rsidRPr="00C20E00">
      <w:rPr>
        <w:sz w:val="16"/>
        <w:szCs w:val="16"/>
      </w:rPr>
      <w:fldChar w:fldCharType="separate"/>
    </w:r>
    <w:r w:rsidR="00B25B1A">
      <w:rPr>
        <w:noProof/>
        <w:sz w:val="16"/>
        <w:szCs w:val="16"/>
      </w:rPr>
      <w:t>Kapitola 32</w:t>
    </w:r>
    <w:r w:rsidR="00B25B1A">
      <w:rPr>
        <w:noProof/>
        <w:sz w:val="16"/>
        <w:szCs w:val="16"/>
      </w:rPr>
      <w:br/>
      <w:t>Přechodná ustanovení pro plavidla provozovaná na Rýně (zóna R)</w:t>
    </w:r>
    <w:r w:rsidRPr="00C20E00">
      <w:rPr>
        <w:noProof/>
        <w:sz w:val="16"/>
        <w:szCs w:val="16"/>
      </w:rPr>
      <w:fldChar w:fldCharType="end"/>
    </w:r>
    <w:r>
      <w:rPr>
        <w:sz w:val="16"/>
      </w:rPr>
      <w:t xml:space="preserve"> - </w:t>
    </w:r>
    <w:r>
      <w:rPr>
        <w:sz w:val="16"/>
        <w:szCs w:val="16"/>
      </w:rPr>
      <w:fldChar w:fldCharType="begin"/>
    </w:r>
    <w:r>
      <w:rPr>
        <w:sz w:val="16"/>
        <w:szCs w:val="16"/>
      </w:rPr>
      <w:instrText xml:space="preserve"> STYLEREF  ES-Titre3  \* MERGEFORMAT </w:instrText>
    </w:r>
    <w:r>
      <w:rPr>
        <w:sz w:val="16"/>
        <w:szCs w:val="16"/>
      </w:rPr>
      <w:fldChar w:fldCharType="separate"/>
    </w:r>
    <w:r w:rsidR="00B25B1A">
      <w:rPr>
        <w:noProof/>
        <w:sz w:val="16"/>
        <w:szCs w:val="16"/>
      </w:rPr>
      <w:t>Článek 32.02</w:t>
    </w:r>
    <w:r>
      <w:rPr>
        <w:sz w:val="16"/>
        <w:szCs w:val="16"/>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C859BD" w:rsidRDefault="002D015D" w:rsidP="001E2331">
    <w:pPr>
      <w:widowControl w:val="0"/>
      <w:pBdr>
        <w:bottom w:val="single" w:sz="6" w:space="1" w:color="auto"/>
      </w:pBdr>
      <w:tabs>
        <w:tab w:val="right" w:pos="14034"/>
      </w:tabs>
      <w:rPr>
        <w:sz w:val="16"/>
        <w:szCs w:val="16"/>
      </w:rPr>
    </w:pPr>
    <w:r>
      <w:rPr>
        <w:sz w:val="16"/>
      </w:rPr>
      <w:t>ES-TRIN</w:t>
    </w:r>
    <w:r>
      <w:tab/>
    </w:r>
    <w:r>
      <w:rPr>
        <w:sz w:val="16"/>
      </w:rPr>
      <w:t>Kapitola 32</w:t>
    </w:r>
  </w:p>
  <w:p w:rsidR="002D015D" w:rsidRPr="00AE58CD" w:rsidRDefault="002D015D" w:rsidP="001E2331">
    <w:pPr>
      <w:widowControl w:val="0"/>
      <w:pBdr>
        <w:bottom w:val="single" w:sz="6" w:space="1" w:color="auto"/>
      </w:pBdr>
      <w:tabs>
        <w:tab w:val="right" w:pos="9070"/>
      </w:tabs>
      <w:jc w:val="right"/>
      <w:rPr>
        <w:sz w:val="16"/>
        <w:szCs w:val="16"/>
      </w:rPr>
    </w:pPr>
    <w:r>
      <w:rPr>
        <w:sz w:val="16"/>
      </w:rPr>
      <w:t>Přechodná ustanovení pro plavidla provozovaná na Rýně (zóna R) -</w:t>
    </w:r>
    <w:r>
      <w:rPr>
        <w:sz w:val="16"/>
        <w:szCs w:val="16"/>
      </w:rPr>
      <w:fldChar w:fldCharType="begin"/>
    </w:r>
    <w:r>
      <w:rPr>
        <w:sz w:val="16"/>
        <w:szCs w:val="16"/>
      </w:rPr>
      <w:instrText xml:space="preserve"> STYLEREF  ES-Titre3_pr_chap32  \* MERGEFORMAT </w:instrText>
    </w:r>
    <w:r>
      <w:rPr>
        <w:sz w:val="16"/>
        <w:szCs w:val="16"/>
      </w:rPr>
      <w:fldChar w:fldCharType="separate"/>
    </w:r>
    <w:r w:rsidR="00B25B1A">
      <w:rPr>
        <w:noProof/>
        <w:sz w:val="16"/>
        <w:szCs w:val="16"/>
      </w:rPr>
      <w:t>Článek 32.01</w:t>
    </w:r>
    <w:r>
      <w:rPr>
        <w:sz w:val="16"/>
        <w:szCs w:val="16"/>
      </w:rPr>
      <w:fldChar w:fldCharType="end"/>
    </w:r>
    <w:r>
      <w:rPr>
        <w:sz w:val="16"/>
      </w:rPr>
      <w:t xml:space="preserve"> - </w:t>
    </w:r>
    <w:r>
      <w:rPr>
        <w:sz w:val="16"/>
        <w:szCs w:val="16"/>
      </w:rPr>
      <w:fldChar w:fldCharType="begin"/>
    </w:r>
    <w:r>
      <w:rPr>
        <w:sz w:val="16"/>
        <w:szCs w:val="16"/>
      </w:rPr>
      <w:instrText xml:space="preserve"> STYLEREF  ES-Titre3  \* MERGEFORMAT </w:instrText>
    </w:r>
    <w:r>
      <w:rPr>
        <w:sz w:val="16"/>
        <w:szCs w:val="16"/>
      </w:rPr>
      <w:fldChar w:fldCharType="separate"/>
    </w:r>
    <w:r w:rsidR="00B25B1A">
      <w:rPr>
        <w:noProof/>
        <w:sz w:val="16"/>
        <w:szCs w:val="16"/>
      </w:rPr>
      <w:t>Článek 32.02</w:t>
    </w:r>
    <w:r>
      <w:rPr>
        <w:sz w:val="16"/>
        <w:szCs w:val="16"/>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DD1033" w:rsidRDefault="002D015D" w:rsidP="00DD1033">
    <w:pPr>
      <w:widowControl w:val="0"/>
      <w:pBdr>
        <w:bottom w:val="single" w:sz="6" w:space="1" w:color="auto"/>
      </w:pBdr>
      <w:tabs>
        <w:tab w:val="right" w:pos="14034"/>
      </w:tabs>
      <w:jc w:val="right"/>
      <w:rPr>
        <w:sz w:val="16"/>
        <w:szCs w:val="16"/>
      </w:rPr>
    </w:pPr>
    <w:r>
      <w:rPr>
        <w:sz w:val="16"/>
      </w:rPr>
      <w:t>ES-TRIN</w:t>
    </w:r>
    <w:r>
      <w:tab/>
    </w:r>
    <w:fldSimple w:instr=" STYLEREF  ES-Titre2  \* MERGEFORMAT ">
      <w:r w:rsidR="00B25B1A" w:rsidRPr="00B25B1A">
        <w:rPr>
          <w:noProof/>
          <w:sz w:val="16"/>
          <w:szCs w:val="16"/>
        </w:rPr>
        <w:t>Kapitola 32</w:t>
      </w:r>
      <w:r w:rsidR="00B25B1A" w:rsidRPr="00B25B1A">
        <w:rPr>
          <w:noProof/>
          <w:sz w:val="16"/>
          <w:szCs w:val="16"/>
        </w:rPr>
        <w:br/>
        <w:t>Přechodná ustanovení pro plavidla provozovaná na Rýně (zóna R)</w:t>
      </w:r>
    </w:fldSimple>
    <w:r>
      <w:rPr>
        <w:sz w:val="16"/>
      </w:rPr>
      <w:t xml:space="preserve"> - </w:t>
    </w:r>
    <w:r>
      <w:rPr>
        <w:sz w:val="16"/>
        <w:szCs w:val="16"/>
      </w:rPr>
      <w:fldChar w:fldCharType="begin"/>
    </w:r>
    <w:r>
      <w:rPr>
        <w:sz w:val="16"/>
        <w:szCs w:val="16"/>
      </w:rPr>
      <w:instrText xml:space="preserve"> STYLEREF  ES-Titre3  \* MERGEFORMAT </w:instrText>
    </w:r>
    <w:r>
      <w:rPr>
        <w:sz w:val="16"/>
        <w:szCs w:val="16"/>
      </w:rPr>
      <w:fldChar w:fldCharType="separate"/>
    </w:r>
    <w:r w:rsidR="00B25B1A">
      <w:rPr>
        <w:noProof/>
        <w:sz w:val="16"/>
        <w:szCs w:val="16"/>
      </w:rPr>
      <w:t>Článek 32.05</w:t>
    </w:r>
    <w:r>
      <w:rPr>
        <w:sz w:val="16"/>
        <w:szCs w:val="16"/>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AE58CD" w:rsidRDefault="002D015D" w:rsidP="001E2331">
    <w:pPr>
      <w:widowControl w:val="0"/>
      <w:pBdr>
        <w:bottom w:val="single" w:sz="6" w:space="1" w:color="auto"/>
      </w:pBdr>
      <w:tabs>
        <w:tab w:val="right" w:pos="14034"/>
      </w:tabs>
      <w:rPr>
        <w:sz w:val="16"/>
        <w:szCs w:val="16"/>
      </w:rPr>
    </w:pPr>
    <w:r>
      <w:rPr>
        <w:sz w:val="16"/>
      </w:rPr>
      <w:t>ES-TRIN</w:t>
    </w:r>
    <w:r>
      <w:tab/>
    </w:r>
    <w:r>
      <w:rPr>
        <w:sz w:val="16"/>
      </w:rPr>
      <w:t>Kapitola 32</w:t>
    </w:r>
  </w:p>
  <w:p w:rsidR="002D015D" w:rsidRPr="00AE58CD" w:rsidRDefault="002D015D" w:rsidP="001E2331">
    <w:pPr>
      <w:widowControl w:val="0"/>
      <w:pBdr>
        <w:bottom w:val="single" w:sz="6" w:space="1" w:color="auto"/>
      </w:pBdr>
      <w:tabs>
        <w:tab w:val="right" w:pos="9070"/>
      </w:tabs>
      <w:jc w:val="right"/>
      <w:rPr>
        <w:sz w:val="16"/>
        <w:szCs w:val="16"/>
      </w:rPr>
    </w:pPr>
    <w:r>
      <w:rPr>
        <w:sz w:val="16"/>
      </w:rPr>
      <w:t xml:space="preserve">Přechodná ustanovení pro plavidla provozovaná na Rýně (zóna R) - </w:t>
    </w:r>
    <w:r>
      <w:rPr>
        <w:sz w:val="16"/>
        <w:szCs w:val="16"/>
      </w:rPr>
      <w:fldChar w:fldCharType="begin"/>
    </w:r>
    <w:r>
      <w:rPr>
        <w:sz w:val="16"/>
        <w:szCs w:val="16"/>
      </w:rPr>
      <w:instrText xml:space="preserve"> STYLEREF  ES-Titre3  \* MERGEFORMAT </w:instrText>
    </w:r>
    <w:r>
      <w:rPr>
        <w:sz w:val="16"/>
        <w:szCs w:val="16"/>
      </w:rPr>
      <w:fldChar w:fldCharType="separate"/>
    </w:r>
    <w:r w:rsidR="00B25B1A">
      <w:rPr>
        <w:noProof/>
        <w:sz w:val="16"/>
        <w:szCs w:val="16"/>
      </w:rPr>
      <w:t>Článek 32.03</w:t>
    </w:r>
    <w:r>
      <w:rPr>
        <w:sz w:val="16"/>
        <w:szCs w:val="16"/>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DD1033" w:rsidRDefault="002D015D" w:rsidP="00DD1033">
    <w:pPr>
      <w:widowControl w:val="0"/>
      <w:pBdr>
        <w:bottom w:val="single" w:sz="6" w:space="1" w:color="auto"/>
      </w:pBdr>
      <w:tabs>
        <w:tab w:val="right" w:pos="14034"/>
      </w:tabs>
      <w:jc w:val="right"/>
      <w:rPr>
        <w:sz w:val="16"/>
        <w:szCs w:val="16"/>
      </w:rPr>
    </w:pPr>
    <w:r>
      <w:rPr>
        <w:sz w:val="16"/>
      </w:rPr>
      <w:t>ES-TRIN</w:t>
    </w:r>
    <w:r>
      <w:tab/>
    </w:r>
    <w:r w:rsidRPr="00F46C3C">
      <w:rPr>
        <w:sz w:val="16"/>
        <w:szCs w:val="16"/>
      </w:rPr>
      <w:fldChar w:fldCharType="begin"/>
    </w:r>
    <w:r w:rsidRPr="00F46C3C">
      <w:rPr>
        <w:sz w:val="16"/>
        <w:szCs w:val="16"/>
      </w:rPr>
      <w:instrText xml:space="preserve"> STYLEREF  ES-Titre2  \* MERGEFORMAT </w:instrText>
    </w:r>
    <w:r w:rsidRPr="00F46C3C">
      <w:rPr>
        <w:sz w:val="16"/>
        <w:szCs w:val="16"/>
      </w:rPr>
      <w:fldChar w:fldCharType="separate"/>
    </w:r>
    <w:r w:rsidR="00B25B1A">
      <w:rPr>
        <w:noProof/>
        <w:sz w:val="16"/>
        <w:szCs w:val="16"/>
      </w:rPr>
      <w:t>Kapitola 33</w:t>
    </w:r>
    <w:r w:rsidR="00B25B1A">
      <w:rPr>
        <w:noProof/>
        <w:sz w:val="16"/>
        <w:szCs w:val="16"/>
      </w:rPr>
      <w:br/>
      <w:t>Přechodná ustanovení pro plavidla provozovaná výhradně na vodních cestách mimo Rýn (Zóna R)</w:t>
    </w:r>
    <w:r w:rsidRPr="00F46C3C">
      <w:rPr>
        <w:noProof/>
        <w:sz w:val="16"/>
        <w:szCs w:val="16"/>
      </w:rPr>
      <w:fldChar w:fldCharType="end"/>
    </w:r>
    <w:r>
      <w:rPr>
        <w:sz w:val="16"/>
      </w:rPr>
      <w:t xml:space="preserve"> - </w:t>
    </w:r>
    <w:r>
      <w:rPr>
        <w:sz w:val="16"/>
        <w:szCs w:val="16"/>
      </w:rPr>
      <w:fldChar w:fldCharType="begin"/>
    </w:r>
    <w:r>
      <w:rPr>
        <w:sz w:val="16"/>
        <w:szCs w:val="16"/>
      </w:rPr>
      <w:instrText xml:space="preserve"> STYLEREF  ES-Titre3  \* MERGEFORMAT </w:instrText>
    </w:r>
    <w:r>
      <w:rPr>
        <w:sz w:val="16"/>
        <w:szCs w:val="16"/>
      </w:rPr>
      <w:fldChar w:fldCharType="separate"/>
    </w:r>
    <w:r w:rsidR="00B25B1A">
      <w:rPr>
        <w:noProof/>
        <w:sz w:val="16"/>
        <w:szCs w:val="16"/>
      </w:rPr>
      <w:t>Článek 33.03</w:t>
    </w:r>
    <w:r>
      <w:rPr>
        <w:sz w:val="16"/>
        <w:szCs w:val="16"/>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C20E00" w:rsidRDefault="002D015D" w:rsidP="008E26B9">
    <w:pPr>
      <w:widowControl w:val="0"/>
      <w:pBdr>
        <w:bottom w:val="single" w:sz="6" w:space="1" w:color="auto"/>
      </w:pBdr>
      <w:tabs>
        <w:tab w:val="right" w:pos="14034"/>
      </w:tabs>
      <w:jc w:val="right"/>
      <w:rPr>
        <w:sz w:val="16"/>
        <w:szCs w:val="16"/>
      </w:rPr>
    </w:pPr>
    <w:r>
      <w:rPr>
        <w:sz w:val="16"/>
      </w:rPr>
      <w:t>ES-TRIN</w:t>
    </w:r>
    <w:r>
      <w:tab/>
    </w:r>
    <w:r w:rsidRPr="00C20E00">
      <w:rPr>
        <w:sz w:val="16"/>
        <w:szCs w:val="16"/>
      </w:rPr>
      <w:fldChar w:fldCharType="begin"/>
    </w:r>
    <w:r w:rsidRPr="009C40EF">
      <w:rPr>
        <w:sz w:val="16"/>
        <w:szCs w:val="16"/>
      </w:rPr>
      <w:instrText xml:space="preserve"> STYLEREF  ES-Titre2  \* MERGEFORMAT </w:instrText>
    </w:r>
    <w:r w:rsidRPr="00C20E00">
      <w:rPr>
        <w:sz w:val="16"/>
        <w:szCs w:val="16"/>
      </w:rPr>
      <w:fldChar w:fldCharType="separate"/>
    </w:r>
    <w:r w:rsidR="00B25B1A">
      <w:rPr>
        <w:noProof/>
        <w:sz w:val="16"/>
        <w:szCs w:val="16"/>
      </w:rPr>
      <w:t>Kapitola 33</w:t>
    </w:r>
    <w:r w:rsidR="00B25B1A">
      <w:rPr>
        <w:noProof/>
        <w:sz w:val="16"/>
        <w:szCs w:val="16"/>
      </w:rPr>
      <w:br/>
      <w:t>Přechodná ustanovení pro plavidla provozovaná výhradně na vodních cestách mimo Rýn (Zóna R)</w:t>
    </w:r>
    <w:r w:rsidRPr="00C20E00">
      <w:rPr>
        <w:noProof/>
        <w:sz w:val="16"/>
        <w:szCs w:val="16"/>
      </w:rPr>
      <w:fldChar w:fldCharType="end"/>
    </w:r>
    <w:r>
      <w:rPr>
        <w:sz w:val="16"/>
      </w:rPr>
      <w:t xml:space="preserve"> -</w:t>
    </w:r>
    <w:r>
      <w:rPr>
        <w:sz w:val="16"/>
        <w:szCs w:val="16"/>
      </w:rPr>
      <w:fldChar w:fldCharType="begin"/>
    </w:r>
    <w:r>
      <w:rPr>
        <w:sz w:val="16"/>
        <w:szCs w:val="16"/>
      </w:rPr>
      <w:instrText xml:space="preserve"> STYLEREF  ES-Titre3_pr_chap32  \* MERGEFORMAT </w:instrText>
    </w:r>
    <w:r>
      <w:rPr>
        <w:sz w:val="16"/>
        <w:szCs w:val="16"/>
      </w:rPr>
      <w:fldChar w:fldCharType="separate"/>
    </w:r>
    <w:r w:rsidR="00B25B1A">
      <w:rPr>
        <w:noProof/>
        <w:sz w:val="16"/>
        <w:szCs w:val="16"/>
      </w:rPr>
      <w:t>Článek 33.01</w:t>
    </w:r>
    <w:r>
      <w:rPr>
        <w:sz w:val="16"/>
        <w:szCs w:val="16"/>
      </w:rPr>
      <w:fldChar w:fldCharType="end"/>
    </w:r>
    <w:r>
      <w:rPr>
        <w:sz w:val="16"/>
      </w:rPr>
      <w:t xml:space="preserve"> - </w:t>
    </w:r>
    <w:r>
      <w:rPr>
        <w:sz w:val="16"/>
        <w:szCs w:val="16"/>
      </w:rPr>
      <w:fldChar w:fldCharType="begin"/>
    </w:r>
    <w:r>
      <w:rPr>
        <w:sz w:val="16"/>
        <w:szCs w:val="16"/>
      </w:rPr>
      <w:instrText xml:space="preserve"> STYLEREF  ES-Titre3  \* MERGEFORMAT </w:instrText>
    </w:r>
    <w:r>
      <w:rPr>
        <w:sz w:val="16"/>
        <w:szCs w:val="16"/>
      </w:rPr>
      <w:fldChar w:fldCharType="separate"/>
    </w:r>
    <w:r w:rsidR="00B25B1A">
      <w:rPr>
        <w:noProof/>
        <w:sz w:val="16"/>
        <w:szCs w:val="16"/>
      </w:rPr>
      <w:t>Článek 33.02</w:t>
    </w:r>
    <w:r>
      <w:rPr>
        <w:sz w:val="16"/>
        <w:szCs w:val="16"/>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C62373" w:rsidRDefault="002D015D" w:rsidP="008446C0">
    <w:pPr>
      <w:widowControl w:val="0"/>
      <w:pBdr>
        <w:bottom w:val="single" w:sz="4" w:space="1" w:color="auto"/>
      </w:pBdr>
      <w:tabs>
        <w:tab w:val="right" w:pos="13892"/>
      </w:tabs>
      <w:jc w:val="right"/>
      <w:rPr>
        <w:rFonts w:cs="Arial"/>
        <w:sz w:val="16"/>
        <w:szCs w:val="16"/>
      </w:rPr>
    </w:pPr>
    <w:r>
      <w:rPr>
        <w:sz w:val="16"/>
      </w:rPr>
      <w:t>ES-TRIN</w:t>
    </w:r>
    <w:r>
      <w:tab/>
    </w:r>
    <w:r w:rsidRPr="00F46C3C">
      <w:rPr>
        <w:rFonts w:cs="Times New Roman"/>
        <w:sz w:val="16"/>
        <w:szCs w:val="16"/>
      </w:rPr>
      <w:fldChar w:fldCharType="begin"/>
    </w:r>
    <w:r w:rsidRPr="00F46C3C">
      <w:rPr>
        <w:sz w:val="16"/>
        <w:szCs w:val="16"/>
      </w:rPr>
      <w:instrText xml:space="preserve"> STYLEREF  ES-Titre2  \* MERGEFORMAT </w:instrText>
    </w:r>
    <w:r w:rsidRPr="00F46C3C">
      <w:rPr>
        <w:rFonts w:cs="Times New Roman"/>
        <w:sz w:val="16"/>
        <w:szCs w:val="16"/>
      </w:rPr>
      <w:fldChar w:fldCharType="separate"/>
    </w:r>
    <w:r w:rsidR="00B25B1A" w:rsidRPr="00B25B1A">
      <w:rPr>
        <w:rFonts w:cs="Arial"/>
        <w:noProof/>
        <w:sz w:val="16"/>
        <w:szCs w:val="16"/>
      </w:rPr>
      <w:t>Kapitola 33</w:t>
    </w:r>
    <w:r w:rsidR="00B25B1A" w:rsidRPr="00B25B1A">
      <w:rPr>
        <w:rFonts w:cs="Arial"/>
        <w:noProof/>
        <w:sz w:val="16"/>
        <w:szCs w:val="16"/>
      </w:rPr>
      <w:br/>
      <w:t>Přechodná ustanovení pro plavidla provozovaná výhradně na vodních cestách mimo Rýn (</w:t>
    </w:r>
    <w:r w:rsidR="00B25B1A">
      <w:rPr>
        <w:noProof/>
        <w:sz w:val="16"/>
        <w:szCs w:val="16"/>
      </w:rPr>
      <w:t>Zóna R)</w:t>
    </w:r>
    <w:r w:rsidRPr="00F46C3C">
      <w:rPr>
        <w:rFonts w:cs="Arial"/>
        <w:noProof/>
        <w:sz w:val="16"/>
        <w:szCs w:val="16"/>
      </w:rPr>
      <w:fldChar w:fldCharType="end"/>
    </w:r>
    <w:r>
      <w:rPr>
        <w:sz w:val="16"/>
      </w:rPr>
      <w:t xml:space="preserve"> - </w:t>
    </w:r>
    <w:r>
      <w:rPr>
        <w:rFonts w:cs="Arial"/>
        <w:sz w:val="16"/>
        <w:szCs w:val="16"/>
      </w:rPr>
      <w:fldChar w:fldCharType="begin"/>
    </w:r>
    <w:r>
      <w:rPr>
        <w:rFonts w:cs="Arial"/>
        <w:sz w:val="16"/>
        <w:szCs w:val="16"/>
      </w:rPr>
      <w:instrText xml:space="preserve"> STYLEREF  ES-Titre3  \* MERGEFORMAT </w:instrText>
    </w:r>
    <w:r>
      <w:rPr>
        <w:rFonts w:cs="Arial"/>
        <w:sz w:val="16"/>
        <w:szCs w:val="16"/>
      </w:rPr>
      <w:fldChar w:fldCharType="separate"/>
    </w:r>
    <w:r w:rsidR="00B25B1A">
      <w:rPr>
        <w:rFonts w:cs="Arial"/>
        <w:noProof/>
        <w:sz w:val="16"/>
        <w:szCs w:val="16"/>
      </w:rPr>
      <w:t>Článek 33.02</w:t>
    </w:r>
    <w:r>
      <w:rPr>
        <w:rFonts w:cs="Arial"/>
        <w:sz w:val="16"/>
        <w:szCs w:val="16"/>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Default="002D015D" w:rsidP="001E2331">
    <w:pPr>
      <w:widowControl w:val="0"/>
      <w:pBdr>
        <w:bottom w:val="single" w:sz="6" w:space="1" w:color="auto"/>
      </w:pBdr>
      <w:tabs>
        <w:tab w:val="right" w:pos="9072"/>
      </w:tabs>
      <w:jc w:val="right"/>
      <w:rPr>
        <w:sz w:val="16"/>
        <w:szCs w:val="16"/>
      </w:rPr>
    </w:pPr>
    <w:r>
      <w:rPr>
        <w:sz w:val="16"/>
      </w:rPr>
      <w:t xml:space="preserve">ES-TRIN </w:t>
    </w:r>
    <w:r>
      <w:tab/>
    </w:r>
    <w:fldSimple w:instr=" STYLEREF  Es-Titre_annexes  \* MERGEFORMAT ">
      <w:r w:rsidR="00B25B1A" w:rsidRPr="00B25B1A">
        <w:rPr>
          <w:noProof/>
          <w:sz w:val="16"/>
          <w:szCs w:val="16"/>
        </w:rPr>
        <w:t>Přílohy evropské normy</w:t>
      </w:r>
    </w:fldSimple>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Default="002D015D" w:rsidP="001E2331">
    <w:pPr>
      <w:widowControl w:val="0"/>
      <w:pBdr>
        <w:bottom w:val="single" w:sz="6" w:space="1" w:color="auto"/>
      </w:pBdr>
      <w:tabs>
        <w:tab w:val="right" w:pos="9072"/>
      </w:tabs>
      <w:jc w:val="right"/>
      <w:rPr>
        <w:sz w:val="16"/>
        <w:szCs w:val="16"/>
      </w:rPr>
    </w:pPr>
    <w:r>
      <w:rPr>
        <w:sz w:val="16"/>
      </w:rPr>
      <w:t xml:space="preserve">ES-TRIN </w:t>
    </w:r>
    <w:r>
      <w:tab/>
    </w:r>
    <w:fldSimple w:instr=" STYLEREF  Es-Titre_annexes  \* MERGEFORMAT ">
      <w:r w:rsidR="00B25B1A" w:rsidRPr="00B25B1A">
        <w:rPr>
          <w:noProof/>
          <w:sz w:val="16"/>
          <w:szCs w:val="16"/>
        </w:rPr>
        <w:t>Přílohy evropské normy</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226A59" w:rsidRDefault="002D015D" w:rsidP="00226A59">
    <w:pPr>
      <w:widowControl w:val="0"/>
      <w:rPr>
        <w:sz w:val="16"/>
        <w:szCs w:val="16"/>
      </w:rPr>
    </w:pPr>
    <w:r>
      <w:rPr>
        <w:sz w:val="16"/>
      </w:rPr>
      <w:t>Evropský výbor pro vypracování norem pro vnitrozemskou plavbu (CESNI)</w:t>
    </w:r>
  </w:p>
  <w:p w:rsidR="002D015D" w:rsidRPr="00226A59" w:rsidRDefault="002D015D" w:rsidP="00226A59">
    <w:pPr>
      <w:widowControl w:val="0"/>
      <w:pBdr>
        <w:bottom w:val="single" w:sz="6" w:space="1" w:color="auto"/>
      </w:pBdr>
      <w:tabs>
        <w:tab w:val="right" w:pos="9070"/>
        <w:tab w:val="right" w:pos="14034"/>
      </w:tabs>
      <w:rPr>
        <w:sz w:val="16"/>
        <w:szCs w:val="16"/>
      </w:rPr>
    </w:pPr>
    <w:r>
      <w:rPr>
        <w:sz w:val="16"/>
      </w:rPr>
      <w:t>Evropská norma, kterou se stanoví technické požadavky</w:t>
    </w:r>
  </w:p>
  <w:p w:rsidR="002D015D" w:rsidRPr="00B60D5F" w:rsidRDefault="002D015D" w:rsidP="00226A59">
    <w:pPr>
      <w:widowControl w:val="0"/>
      <w:pBdr>
        <w:bottom w:val="single" w:sz="6" w:space="1" w:color="auto"/>
      </w:pBdr>
      <w:tabs>
        <w:tab w:val="right" w:pos="9070"/>
        <w:tab w:val="right" w:pos="14034"/>
      </w:tabs>
      <w:rPr>
        <w:sz w:val="16"/>
        <w:szCs w:val="16"/>
      </w:rPr>
    </w:pPr>
    <w:r>
      <w:rPr>
        <w:sz w:val="16"/>
      </w:rPr>
      <w:t>pro plavidla vnitrozemské plavby (ES-TRIN)</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FD13C1" w:rsidRDefault="002D015D" w:rsidP="009C13A9">
    <w:pPr>
      <w:widowControl w:val="0"/>
      <w:pBdr>
        <w:bottom w:val="single" w:sz="6" w:space="1" w:color="auto"/>
      </w:pBdr>
      <w:tabs>
        <w:tab w:val="right" w:pos="9072"/>
      </w:tabs>
      <w:jc w:val="right"/>
      <w:rPr>
        <w:sz w:val="16"/>
        <w:szCs w:val="16"/>
      </w:rPr>
    </w:pPr>
    <w:r>
      <w:rPr>
        <w:sz w:val="16"/>
      </w:rPr>
      <w:t xml:space="preserve">ES-TRIN </w:t>
    </w:r>
    <w:r>
      <w:tab/>
    </w:r>
    <w:r w:rsidRPr="00FD13C1">
      <w:rPr>
        <w:sz w:val="16"/>
        <w:szCs w:val="16"/>
      </w:rPr>
      <w:fldChar w:fldCharType="begin"/>
    </w:r>
    <w:r w:rsidRPr="00FD13C1">
      <w:rPr>
        <w:sz w:val="16"/>
        <w:szCs w:val="16"/>
      </w:rPr>
      <w:instrText xml:space="preserve"> STYLEREF  ES-Titre2 \l  \* MERGEFORMAT </w:instrText>
    </w:r>
    <w:r w:rsidRPr="00FD13C1">
      <w:rPr>
        <w:sz w:val="16"/>
        <w:szCs w:val="16"/>
      </w:rPr>
      <w:fldChar w:fldCharType="separate"/>
    </w:r>
    <w:r w:rsidR="00B25B1A">
      <w:rPr>
        <w:noProof/>
        <w:sz w:val="16"/>
        <w:szCs w:val="16"/>
      </w:rPr>
      <w:t>Příloha 2</w:t>
    </w:r>
    <w:r w:rsidR="00B25B1A">
      <w:rPr>
        <w:noProof/>
        <w:sz w:val="16"/>
        <w:szCs w:val="16"/>
      </w:rPr>
      <w:br/>
      <w:t>Údaje pro identifikaci plavidla</w:t>
    </w:r>
    <w:r w:rsidRPr="00FD13C1">
      <w:rPr>
        <w:noProof/>
        <w:sz w:val="16"/>
        <w:szCs w:val="16"/>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395A9E" w:rsidRDefault="002D015D" w:rsidP="009C13A9">
    <w:pPr>
      <w:widowControl w:val="0"/>
      <w:pBdr>
        <w:bottom w:val="single" w:sz="6" w:space="1" w:color="auto"/>
      </w:pBdr>
      <w:tabs>
        <w:tab w:val="right" w:pos="9070"/>
      </w:tabs>
      <w:ind w:left="3600" w:hanging="3600"/>
      <w:rPr>
        <w:sz w:val="16"/>
        <w:szCs w:val="16"/>
      </w:rPr>
    </w:pPr>
    <w:r>
      <w:rPr>
        <w:sz w:val="16"/>
      </w:rPr>
      <w:t>ES-TRIN</w:t>
    </w:r>
    <w:r>
      <w:tab/>
    </w:r>
    <w:r>
      <w:tab/>
    </w:r>
    <w:r>
      <w:rPr>
        <w:sz w:val="20"/>
        <w:szCs w:val="24"/>
      </w:rPr>
      <w:fldChar w:fldCharType="begin"/>
    </w:r>
    <w:r w:rsidRPr="00101CB2">
      <w:instrText xml:space="preserve"> STYLEREF  ES-Titre2 \l  \* MERGEFORMAT </w:instrText>
    </w:r>
    <w:r>
      <w:rPr>
        <w:sz w:val="20"/>
        <w:szCs w:val="24"/>
      </w:rPr>
      <w:fldChar w:fldCharType="separate"/>
    </w:r>
    <w:r w:rsidRPr="00801F1F">
      <w:rPr>
        <w:noProof/>
        <w:sz w:val="16"/>
        <w:szCs w:val="16"/>
      </w:rPr>
      <w:t>Chapter 33</w:t>
    </w:r>
    <w:r w:rsidRPr="00801F1F">
      <w:rPr>
        <w:noProof/>
        <w:sz w:val="16"/>
        <w:szCs w:val="16"/>
      </w:rPr>
      <w:br/>
      <w:t>Transitional provisions for craft operating exclusively on waterways outside the Rhine (</w:t>
    </w:r>
    <w:r>
      <w:rPr>
        <w:noProof/>
      </w:rPr>
      <w:t>Zone R)</w:t>
    </w:r>
    <w:r>
      <w:rPr>
        <w:noProof/>
        <w:sz w:val="16"/>
        <w:szCs w:val="16"/>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5777D8" w:rsidRDefault="002D015D" w:rsidP="009C13A9">
    <w:pPr>
      <w:widowControl w:val="0"/>
      <w:pBdr>
        <w:bottom w:val="single" w:sz="6" w:space="1" w:color="auto"/>
      </w:pBdr>
      <w:tabs>
        <w:tab w:val="right" w:pos="9072"/>
      </w:tabs>
      <w:jc w:val="right"/>
      <w:rPr>
        <w:sz w:val="16"/>
        <w:szCs w:val="16"/>
      </w:rPr>
    </w:pPr>
    <w:r>
      <w:rPr>
        <w:sz w:val="16"/>
      </w:rPr>
      <w:t xml:space="preserve">ES-TRIN </w:t>
    </w:r>
    <w:r>
      <w:tab/>
    </w:r>
    <w:r>
      <w:rPr>
        <w:sz w:val="20"/>
        <w:szCs w:val="24"/>
      </w:rPr>
      <w:fldChar w:fldCharType="begin"/>
    </w:r>
    <w:r w:rsidRPr="00101CB2">
      <w:instrText xml:space="preserve"> STYLEREF  ES-Titre2 \l  \* MERGEFORMAT </w:instrText>
    </w:r>
    <w:r>
      <w:rPr>
        <w:sz w:val="20"/>
        <w:szCs w:val="24"/>
      </w:rPr>
      <w:fldChar w:fldCharType="separate"/>
    </w:r>
    <w:r w:rsidR="00B25B1A" w:rsidRPr="00B25B1A">
      <w:rPr>
        <w:noProof/>
        <w:sz w:val="16"/>
        <w:szCs w:val="16"/>
      </w:rPr>
      <w:t>Příloha 3</w:t>
    </w:r>
    <w:r w:rsidR="00B25B1A" w:rsidRPr="00B25B1A">
      <w:rPr>
        <w:noProof/>
        <w:sz w:val="16"/>
        <w:szCs w:val="16"/>
      </w:rPr>
      <w:br/>
      <w:t>Vzory osvědčení plavidla vnitrozemské plavby a vzor</w:t>
    </w:r>
    <w:r w:rsidR="00B25B1A">
      <w:rPr>
        <w:noProof/>
      </w:rPr>
      <w:t xml:space="preserve"> rejstříku osvědčení plavidla vnitrozemské plavby</w:t>
    </w:r>
    <w:r>
      <w:rPr>
        <w:noProof/>
        <w:sz w:val="16"/>
        <w:szCs w:val="16"/>
      </w:rPr>
      <w:fldChar w:fldCharType="end"/>
    </w:r>
  </w:p>
  <w:p w:rsidR="002D015D" w:rsidRPr="00D229DB" w:rsidRDefault="002D015D" w:rsidP="009C13A9">
    <w:pPr>
      <w:widowControl w:val="0"/>
      <w:pBdr>
        <w:bottom w:val="single" w:sz="6" w:space="1" w:color="auto"/>
      </w:pBdr>
      <w:tabs>
        <w:tab w:val="right" w:pos="9072"/>
      </w:tabs>
      <w:jc w:val="right"/>
      <w:rPr>
        <w:sz w:val="16"/>
        <w:szCs w:val="16"/>
      </w:rPr>
    </w:pPr>
    <w:r>
      <w:rPr>
        <w:sz w:val="16"/>
        <w:szCs w:val="16"/>
      </w:rPr>
      <w:fldChar w:fldCharType="begin"/>
    </w:r>
    <w:r>
      <w:rPr>
        <w:sz w:val="16"/>
        <w:szCs w:val="16"/>
      </w:rPr>
      <w:instrText xml:space="preserve"> STYLEREF  ES-Titre3  \* MERGEFORMAT </w:instrText>
    </w:r>
    <w:r>
      <w:rPr>
        <w:sz w:val="16"/>
        <w:szCs w:val="16"/>
      </w:rPr>
      <w:fldChar w:fldCharType="separate"/>
    </w:r>
    <w:r w:rsidR="00B25B1A">
      <w:rPr>
        <w:noProof/>
        <w:sz w:val="16"/>
        <w:szCs w:val="16"/>
      </w:rPr>
      <w:t>Oddíl I</w:t>
    </w:r>
    <w:r>
      <w:rPr>
        <w:sz w:val="16"/>
        <w:szCs w:val="16"/>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6B7368" w:rsidRDefault="002D015D" w:rsidP="009C13A9">
    <w:pPr>
      <w:widowControl w:val="0"/>
      <w:pBdr>
        <w:bottom w:val="single" w:sz="6" w:space="1" w:color="auto"/>
      </w:pBdr>
      <w:tabs>
        <w:tab w:val="right" w:pos="9072"/>
      </w:tabs>
      <w:jc w:val="right"/>
      <w:rPr>
        <w:sz w:val="16"/>
        <w:szCs w:val="16"/>
      </w:rPr>
    </w:pPr>
    <w:r>
      <w:rPr>
        <w:sz w:val="16"/>
      </w:rPr>
      <w:t xml:space="preserve">ES-TRIN </w:t>
    </w:r>
    <w:r>
      <w:tab/>
    </w:r>
    <w:r w:rsidRPr="006B7368">
      <w:rPr>
        <w:sz w:val="16"/>
        <w:szCs w:val="16"/>
      </w:rPr>
      <w:fldChar w:fldCharType="begin"/>
    </w:r>
    <w:r w:rsidRPr="006B7368">
      <w:rPr>
        <w:sz w:val="16"/>
        <w:szCs w:val="16"/>
      </w:rPr>
      <w:instrText xml:space="preserve"> STYLEREF  ES-Titre2 \l  \* MERGEFORMAT </w:instrText>
    </w:r>
    <w:r w:rsidRPr="006B7368">
      <w:rPr>
        <w:sz w:val="16"/>
        <w:szCs w:val="16"/>
      </w:rPr>
      <w:fldChar w:fldCharType="separate"/>
    </w:r>
    <w:r w:rsidR="00B25B1A">
      <w:rPr>
        <w:noProof/>
        <w:sz w:val="16"/>
        <w:szCs w:val="16"/>
      </w:rPr>
      <w:t>Příloha 3</w:t>
    </w:r>
    <w:r w:rsidR="00B25B1A">
      <w:rPr>
        <w:noProof/>
        <w:sz w:val="16"/>
        <w:szCs w:val="16"/>
      </w:rPr>
      <w:br/>
      <w:t>Vzory osvědčení plavidla vnitrozemské plavby a vzor rejstříku osvědčení plavidla vnitrozemské plavby</w:t>
    </w:r>
    <w:r w:rsidRPr="006B7368">
      <w:rPr>
        <w:noProof/>
        <w:sz w:val="16"/>
        <w:szCs w:val="16"/>
      </w:rPr>
      <w:fldChar w:fldCharType="end"/>
    </w:r>
  </w:p>
  <w:p w:rsidR="002D015D" w:rsidRPr="002352BD" w:rsidRDefault="002D015D" w:rsidP="009C13A9">
    <w:pPr>
      <w:widowControl w:val="0"/>
      <w:pBdr>
        <w:bottom w:val="single" w:sz="6" w:space="1" w:color="auto"/>
      </w:pBdr>
      <w:tabs>
        <w:tab w:val="right" w:pos="9072"/>
      </w:tabs>
      <w:jc w:val="right"/>
      <w:rPr>
        <w:sz w:val="16"/>
        <w:szCs w:val="16"/>
      </w:rPr>
    </w:pPr>
    <w:r>
      <w:rPr>
        <w:sz w:val="16"/>
        <w:szCs w:val="16"/>
      </w:rPr>
      <w:fldChar w:fldCharType="begin"/>
    </w:r>
    <w:r>
      <w:rPr>
        <w:sz w:val="16"/>
        <w:szCs w:val="16"/>
      </w:rPr>
      <w:instrText xml:space="preserve"> STYLEREF  ES-Titre3  \* MERGEFORMAT </w:instrText>
    </w:r>
    <w:r>
      <w:rPr>
        <w:sz w:val="16"/>
        <w:szCs w:val="16"/>
      </w:rPr>
      <w:fldChar w:fldCharType="separate"/>
    </w:r>
    <w:r w:rsidR="00B25B1A">
      <w:rPr>
        <w:noProof/>
        <w:sz w:val="16"/>
        <w:szCs w:val="16"/>
      </w:rPr>
      <w:t>Oddíl VI</w:t>
    </w:r>
    <w:r>
      <w:rPr>
        <w:sz w:val="16"/>
        <w:szCs w:val="16"/>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2352BD" w:rsidRDefault="002D015D" w:rsidP="009C13A9">
    <w:pPr>
      <w:widowControl w:val="0"/>
      <w:pBdr>
        <w:bottom w:val="single" w:sz="6" w:space="1" w:color="auto"/>
      </w:pBdr>
      <w:tabs>
        <w:tab w:val="right" w:pos="9072"/>
      </w:tabs>
      <w:jc w:val="right"/>
      <w:rPr>
        <w:sz w:val="16"/>
        <w:szCs w:val="16"/>
      </w:rPr>
    </w:pPr>
    <w:r>
      <w:rPr>
        <w:sz w:val="16"/>
      </w:rPr>
      <w:t xml:space="preserve">ES-TRIN </w:t>
    </w:r>
    <w:r>
      <w:tab/>
    </w:r>
    <w:r>
      <w:rPr>
        <w:sz w:val="20"/>
        <w:szCs w:val="24"/>
      </w:rPr>
      <w:fldChar w:fldCharType="begin"/>
    </w:r>
    <w:r w:rsidRPr="00101CB2">
      <w:instrText xml:space="preserve"> STYLEREF  ES-Titre2  \* MERGEFORMAT </w:instrText>
    </w:r>
    <w:r>
      <w:rPr>
        <w:sz w:val="20"/>
        <w:szCs w:val="24"/>
      </w:rPr>
      <w:fldChar w:fldCharType="separate"/>
    </w:r>
    <w:r w:rsidR="00B25B1A" w:rsidRPr="00B25B1A">
      <w:rPr>
        <w:noProof/>
        <w:sz w:val="16"/>
        <w:szCs w:val="16"/>
      </w:rPr>
      <w:t>Příloha 3</w:t>
    </w:r>
    <w:r w:rsidR="00B25B1A" w:rsidRPr="00B25B1A">
      <w:rPr>
        <w:noProof/>
        <w:sz w:val="16"/>
        <w:szCs w:val="16"/>
      </w:rPr>
      <w:br/>
      <w:t>Vzory osvědčení plavidla vnitrozemské</w:t>
    </w:r>
    <w:r w:rsidR="00B25B1A">
      <w:rPr>
        <w:noProof/>
      </w:rPr>
      <w:t xml:space="preserve"> plavby a vzor rejstříku osvědčení plavidla vnitrozemské plavby</w:t>
    </w:r>
    <w:r>
      <w:rPr>
        <w:noProof/>
        <w:sz w:val="16"/>
        <w:szCs w:val="16"/>
      </w:rPr>
      <w:fldChar w:fldCharType="end"/>
    </w:r>
  </w:p>
  <w:p w:rsidR="002D015D" w:rsidRDefault="002D015D" w:rsidP="009C13A9">
    <w:pPr>
      <w:widowControl w:val="0"/>
      <w:pBdr>
        <w:bottom w:val="single" w:sz="6" w:space="1" w:color="auto"/>
      </w:pBdr>
      <w:tabs>
        <w:tab w:val="right" w:pos="9072"/>
      </w:tabs>
      <w:jc w:val="right"/>
      <w:rPr>
        <w:sz w:val="16"/>
        <w:szCs w:val="16"/>
      </w:rPr>
    </w:pPr>
    <w:r>
      <w:rPr>
        <w:sz w:val="16"/>
        <w:szCs w:val="16"/>
      </w:rPr>
      <w:fldChar w:fldCharType="begin"/>
    </w:r>
    <w:r>
      <w:rPr>
        <w:sz w:val="16"/>
        <w:szCs w:val="16"/>
      </w:rPr>
      <w:instrText xml:space="preserve"> STYLEREF  ES-Titre3  \* MERGEFORMAT </w:instrText>
    </w:r>
    <w:r>
      <w:rPr>
        <w:sz w:val="16"/>
        <w:szCs w:val="16"/>
      </w:rPr>
      <w:fldChar w:fldCharType="separate"/>
    </w:r>
    <w:r w:rsidR="00B25B1A">
      <w:rPr>
        <w:noProof/>
        <w:sz w:val="16"/>
        <w:szCs w:val="16"/>
      </w:rPr>
      <w:t>Oddíl VI</w:t>
    </w:r>
    <w:r>
      <w:rPr>
        <w:sz w:val="16"/>
        <w:szCs w:val="16"/>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42206B" w:rsidRDefault="002D015D" w:rsidP="009C13A9">
    <w:pPr>
      <w:widowControl w:val="0"/>
      <w:pBdr>
        <w:bottom w:val="single" w:sz="6" w:space="1" w:color="auto"/>
      </w:pBdr>
      <w:tabs>
        <w:tab w:val="right" w:pos="9072"/>
      </w:tabs>
      <w:jc w:val="right"/>
      <w:rPr>
        <w:sz w:val="16"/>
        <w:szCs w:val="16"/>
      </w:rPr>
    </w:pPr>
    <w:r>
      <w:rPr>
        <w:sz w:val="16"/>
      </w:rPr>
      <w:t xml:space="preserve">ES-TRIN </w:t>
    </w:r>
    <w:r>
      <w:tab/>
    </w:r>
    <w:r w:rsidRPr="0042206B">
      <w:rPr>
        <w:sz w:val="16"/>
        <w:szCs w:val="16"/>
      </w:rPr>
      <w:fldChar w:fldCharType="begin"/>
    </w:r>
    <w:r w:rsidRPr="0042206B">
      <w:rPr>
        <w:sz w:val="16"/>
        <w:szCs w:val="16"/>
      </w:rPr>
      <w:instrText xml:space="preserve"> STYLEREF  ES-Titre2  \* MERGEFORMAT </w:instrText>
    </w:r>
    <w:r w:rsidRPr="0042206B">
      <w:rPr>
        <w:sz w:val="16"/>
        <w:szCs w:val="16"/>
      </w:rPr>
      <w:fldChar w:fldCharType="separate"/>
    </w:r>
    <w:r w:rsidR="00B25B1A">
      <w:rPr>
        <w:noProof/>
        <w:sz w:val="16"/>
        <w:szCs w:val="16"/>
      </w:rPr>
      <w:t>Příloha 5</w:t>
    </w:r>
    <w:r w:rsidR="00B25B1A">
      <w:rPr>
        <w:noProof/>
        <w:sz w:val="16"/>
        <w:szCs w:val="16"/>
      </w:rPr>
      <w:br/>
      <w:t>Navigační a informační zařízení</w:t>
    </w:r>
    <w:r w:rsidRPr="0042206B">
      <w:rPr>
        <w:noProof/>
        <w:sz w:val="16"/>
        <w:szCs w:val="16"/>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2352BD" w:rsidRDefault="002D015D" w:rsidP="009C13A9">
    <w:pPr>
      <w:widowControl w:val="0"/>
      <w:pBdr>
        <w:bottom w:val="single" w:sz="6" w:space="1" w:color="auto"/>
      </w:pBdr>
      <w:tabs>
        <w:tab w:val="right" w:pos="9072"/>
      </w:tabs>
      <w:jc w:val="right"/>
      <w:rPr>
        <w:sz w:val="16"/>
        <w:szCs w:val="16"/>
      </w:rPr>
    </w:pPr>
    <w:r>
      <w:rPr>
        <w:sz w:val="16"/>
      </w:rPr>
      <w:t xml:space="preserve">ES-TRIN </w:t>
    </w:r>
    <w:r>
      <w:tab/>
    </w:r>
    <w:r>
      <w:rPr>
        <w:sz w:val="20"/>
        <w:szCs w:val="24"/>
      </w:rPr>
      <w:fldChar w:fldCharType="begin"/>
    </w:r>
    <w:r w:rsidRPr="00101CB2">
      <w:instrText xml:space="preserve"> STYLEREF  ES-Titre2  \* MERGEFORMAT </w:instrText>
    </w:r>
    <w:r>
      <w:rPr>
        <w:sz w:val="20"/>
        <w:szCs w:val="24"/>
      </w:rPr>
      <w:fldChar w:fldCharType="separate"/>
    </w:r>
    <w:r w:rsidR="00B25B1A" w:rsidRPr="00B25B1A">
      <w:rPr>
        <w:noProof/>
        <w:sz w:val="16"/>
        <w:szCs w:val="16"/>
      </w:rPr>
      <w:t>Příloha 5</w:t>
    </w:r>
    <w:r w:rsidR="00B25B1A" w:rsidRPr="00B25B1A">
      <w:rPr>
        <w:noProof/>
        <w:sz w:val="16"/>
        <w:szCs w:val="16"/>
      </w:rPr>
      <w:br/>
      <w:t>Navigační a informační zařízení</w:t>
    </w:r>
    <w:r>
      <w:rPr>
        <w:noProof/>
        <w:sz w:val="16"/>
        <w:szCs w:val="16"/>
      </w:rPr>
      <w:fldChar w:fldCharType="end"/>
    </w:r>
  </w:p>
  <w:p w:rsidR="002D015D" w:rsidRDefault="002D015D" w:rsidP="009C13A9">
    <w:pPr>
      <w:widowControl w:val="0"/>
      <w:pBdr>
        <w:bottom w:val="single" w:sz="6" w:space="1" w:color="auto"/>
      </w:pBdr>
      <w:tabs>
        <w:tab w:val="right" w:pos="9072"/>
      </w:tabs>
      <w:jc w:val="right"/>
      <w:rPr>
        <w:sz w:val="16"/>
        <w:szCs w:val="16"/>
      </w:rPr>
    </w:pPr>
    <w:r>
      <w:rPr>
        <w:sz w:val="16"/>
        <w:szCs w:val="16"/>
      </w:rPr>
      <w:fldChar w:fldCharType="begin"/>
    </w:r>
    <w:r>
      <w:rPr>
        <w:sz w:val="16"/>
        <w:szCs w:val="16"/>
      </w:rPr>
      <w:instrText xml:space="preserve"> STYLEREF  ES-Titre3  \* MERGEFORMAT </w:instrText>
    </w:r>
    <w:r>
      <w:rPr>
        <w:sz w:val="16"/>
        <w:szCs w:val="16"/>
      </w:rPr>
      <w:fldChar w:fldCharType="separate"/>
    </w:r>
    <w:r w:rsidR="00B25B1A">
      <w:rPr>
        <w:noProof/>
        <w:sz w:val="16"/>
        <w:szCs w:val="16"/>
      </w:rPr>
      <w:t>Oddíl VI</w:t>
    </w:r>
    <w:r>
      <w:rPr>
        <w:sz w:val="16"/>
        <w:szCs w:val="16"/>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C859BD" w:rsidRDefault="002D015D" w:rsidP="00652F98">
    <w:pPr>
      <w:widowControl w:val="0"/>
      <w:pBdr>
        <w:bottom w:val="single" w:sz="6" w:space="1" w:color="auto"/>
      </w:pBdr>
      <w:tabs>
        <w:tab w:val="right" w:pos="9072"/>
      </w:tabs>
      <w:jc w:val="right"/>
      <w:rPr>
        <w:sz w:val="16"/>
        <w:szCs w:val="16"/>
      </w:rPr>
    </w:pPr>
    <w:r>
      <w:rPr>
        <w:sz w:val="16"/>
      </w:rPr>
      <w:t xml:space="preserve">ES-TRIN </w:t>
    </w:r>
    <w:r>
      <w:tab/>
    </w:r>
    <w:r w:rsidRPr="00C859BD">
      <w:rPr>
        <w:sz w:val="16"/>
        <w:szCs w:val="16"/>
      </w:rPr>
      <w:fldChar w:fldCharType="begin"/>
    </w:r>
    <w:r w:rsidRPr="00C859BD">
      <w:rPr>
        <w:sz w:val="16"/>
        <w:szCs w:val="16"/>
      </w:rPr>
      <w:instrText xml:space="preserve"> STYLEREF  ES-Titre2  \* MERGEFORMAT </w:instrText>
    </w:r>
    <w:r w:rsidRPr="00C859BD">
      <w:rPr>
        <w:sz w:val="16"/>
        <w:szCs w:val="16"/>
      </w:rPr>
      <w:fldChar w:fldCharType="separate"/>
    </w:r>
    <w:r w:rsidR="00B25B1A">
      <w:rPr>
        <w:noProof/>
        <w:sz w:val="16"/>
        <w:szCs w:val="16"/>
      </w:rPr>
      <w:t>Příloha 6</w:t>
    </w:r>
    <w:r w:rsidR="00B25B1A">
      <w:rPr>
        <w:noProof/>
        <w:sz w:val="16"/>
        <w:szCs w:val="16"/>
      </w:rPr>
      <w:br/>
      <w:t>Protokol o parametrech motoru</w:t>
    </w:r>
    <w:r w:rsidRPr="00C859BD">
      <w:rPr>
        <w:noProof/>
        <w:sz w:val="16"/>
        <w:szCs w:val="16"/>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42206B" w:rsidRDefault="002D015D" w:rsidP="009C13A9">
    <w:pPr>
      <w:widowControl w:val="0"/>
      <w:pBdr>
        <w:bottom w:val="single" w:sz="6" w:space="1" w:color="auto"/>
      </w:pBdr>
      <w:tabs>
        <w:tab w:val="right" w:pos="9072"/>
      </w:tabs>
      <w:jc w:val="right"/>
      <w:rPr>
        <w:sz w:val="16"/>
        <w:szCs w:val="16"/>
      </w:rPr>
    </w:pPr>
    <w:r>
      <w:rPr>
        <w:sz w:val="16"/>
      </w:rPr>
      <w:t xml:space="preserve">ES-TRIN </w:t>
    </w:r>
    <w:r>
      <w:tab/>
    </w:r>
    <w:r w:rsidRPr="0042206B">
      <w:rPr>
        <w:sz w:val="16"/>
        <w:szCs w:val="16"/>
      </w:rPr>
      <w:fldChar w:fldCharType="begin"/>
    </w:r>
    <w:r w:rsidRPr="0042206B">
      <w:rPr>
        <w:sz w:val="16"/>
        <w:szCs w:val="16"/>
      </w:rPr>
      <w:instrText xml:space="preserve"> STYLEREF  ES-Titre2  \* MERGEFORMAT </w:instrText>
    </w:r>
    <w:r w:rsidRPr="0042206B">
      <w:rPr>
        <w:sz w:val="16"/>
        <w:szCs w:val="16"/>
      </w:rPr>
      <w:fldChar w:fldCharType="separate"/>
    </w:r>
    <w:r w:rsidR="00B25B1A">
      <w:rPr>
        <w:noProof/>
        <w:sz w:val="16"/>
        <w:szCs w:val="16"/>
      </w:rPr>
      <w:t>Příloha 7</w:t>
    </w:r>
    <w:r w:rsidR="00B25B1A">
      <w:rPr>
        <w:noProof/>
        <w:sz w:val="16"/>
        <w:szCs w:val="16"/>
      </w:rPr>
      <w:br/>
      <w:t>Palubní čistírny odpadních vod</w:t>
    </w:r>
    <w:r w:rsidRPr="0042206B">
      <w:rPr>
        <w:noProof/>
        <w:sz w:val="16"/>
        <w:szCs w:val="16"/>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2352BD" w:rsidRDefault="002D015D" w:rsidP="009C13A9">
    <w:pPr>
      <w:widowControl w:val="0"/>
      <w:pBdr>
        <w:bottom w:val="single" w:sz="6" w:space="1" w:color="auto"/>
      </w:pBdr>
      <w:tabs>
        <w:tab w:val="right" w:pos="9072"/>
      </w:tabs>
      <w:jc w:val="right"/>
      <w:rPr>
        <w:sz w:val="16"/>
        <w:szCs w:val="16"/>
      </w:rPr>
    </w:pPr>
    <w:r>
      <w:rPr>
        <w:sz w:val="16"/>
      </w:rPr>
      <w:t xml:space="preserve">ES-TRIN </w:t>
    </w:r>
    <w:r>
      <w:tab/>
    </w:r>
    <w:r>
      <w:rPr>
        <w:sz w:val="20"/>
        <w:szCs w:val="24"/>
      </w:rPr>
      <w:fldChar w:fldCharType="begin"/>
    </w:r>
    <w:r w:rsidRPr="00101CB2">
      <w:instrText xml:space="preserve"> STYLEREF  ES-Titre2  \* MERGEFORMAT </w:instrText>
    </w:r>
    <w:r>
      <w:rPr>
        <w:sz w:val="20"/>
        <w:szCs w:val="24"/>
      </w:rPr>
      <w:fldChar w:fldCharType="separate"/>
    </w:r>
    <w:r w:rsidR="00B25B1A" w:rsidRPr="00B25B1A">
      <w:rPr>
        <w:noProof/>
        <w:sz w:val="16"/>
        <w:szCs w:val="16"/>
      </w:rPr>
      <w:t>Příloha 7</w:t>
    </w:r>
    <w:r w:rsidR="00B25B1A" w:rsidRPr="00B25B1A">
      <w:rPr>
        <w:noProof/>
        <w:sz w:val="16"/>
        <w:szCs w:val="16"/>
      </w:rPr>
      <w:br/>
      <w:t>Palubní čistírny odpadních vod</w:t>
    </w:r>
    <w:r>
      <w:rPr>
        <w:noProof/>
        <w:sz w:val="16"/>
        <w:szCs w:val="16"/>
      </w:rPr>
      <w:fldChar w:fldCharType="end"/>
    </w:r>
  </w:p>
  <w:p w:rsidR="002D015D" w:rsidRDefault="002D015D" w:rsidP="009C13A9">
    <w:pPr>
      <w:widowControl w:val="0"/>
      <w:pBdr>
        <w:bottom w:val="single" w:sz="6" w:space="1" w:color="auto"/>
      </w:pBdr>
      <w:tabs>
        <w:tab w:val="right" w:pos="9072"/>
      </w:tabs>
      <w:jc w:val="right"/>
      <w:rPr>
        <w:sz w:val="16"/>
        <w:szCs w:val="16"/>
      </w:rPr>
    </w:pPr>
    <w:r>
      <w:rPr>
        <w:sz w:val="16"/>
        <w:szCs w:val="16"/>
      </w:rPr>
      <w:fldChar w:fldCharType="begin"/>
    </w:r>
    <w:r>
      <w:rPr>
        <w:sz w:val="16"/>
        <w:szCs w:val="16"/>
      </w:rPr>
      <w:instrText xml:space="preserve"> STYLEREF  ES-Titre3  \* MERGEFORMAT </w:instrText>
    </w:r>
    <w:r>
      <w:rPr>
        <w:sz w:val="16"/>
        <w:szCs w:val="16"/>
      </w:rPr>
      <w:fldChar w:fldCharType="separate"/>
    </w:r>
    <w:r w:rsidR="00B25B1A">
      <w:rPr>
        <w:noProof/>
        <w:sz w:val="16"/>
        <w:szCs w:val="16"/>
      </w:rPr>
      <w:t>Oddíl IV</w:t>
    </w:r>
    <w:r>
      <w:rPr>
        <w:sz w:val="16"/>
        <w:szCs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226A59" w:rsidRDefault="002D015D" w:rsidP="00226A59">
    <w:pPr>
      <w:widowControl w:val="0"/>
      <w:rPr>
        <w:sz w:val="16"/>
        <w:szCs w:val="16"/>
      </w:rPr>
    </w:pPr>
    <w:r>
      <w:rPr>
        <w:sz w:val="16"/>
      </w:rPr>
      <w:t>Evropský výbor pro vypracování norem pro vnitrozemskou plavbu (CESNI)</w:t>
    </w:r>
  </w:p>
  <w:p w:rsidR="002D015D" w:rsidRPr="00226A59" w:rsidRDefault="002D015D" w:rsidP="00226A59">
    <w:pPr>
      <w:widowControl w:val="0"/>
      <w:pBdr>
        <w:bottom w:val="single" w:sz="6" w:space="1" w:color="auto"/>
      </w:pBdr>
      <w:tabs>
        <w:tab w:val="right" w:pos="9070"/>
        <w:tab w:val="right" w:pos="14034"/>
      </w:tabs>
      <w:rPr>
        <w:sz w:val="16"/>
        <w:szCs w:val="16"/>
      </w:rPr>
    </w:pPr>
    <w:r>
      <w:rPr>
        <w:sz w:val="16"/>
      </w:rPr>
      <w:t xml:space="preserve">Evropská norma, kterou se stanoví technické požadavky </w:t>
    </w:r>
  </w:p>
  <w:p w:rsidR="002D015D" w:rsidRPr="00DE4417" w:rsidRDefault="002D015D" w:rsidP="00226A59">
    <w:pPr>
      <w:widowControl w:val="0"/>
      <w:pBdr>
        <w:bottom w:val="single" w:sz="6" w:space="1" w:color="auto"/>
      </w:pBdr>
      <w:tabs>
        <w:tab w:val="right" w:pos="9070"/>
        <w:tab w:val="right" w:pos="14034"/>
      </w:tabs>
      <w:rPr>
        <w:sz w:val="16"/>
        <w:szCs w:val="16"/>
      </w:rPr>
    </w:pPr>
    <w:r>
      <w:rPr>
        <w:sz w:val="16"/>
      </w:rPr>
      <w:t>pro plavidla vnitrozemské plavby (ES-TRIN)</w:t>
    </w:r>
    <w:r>
      <w:tab/>
    </w:r>
    <w:r>
      <w:rPr>
        <w:sz w:val="16"/>
      </w:rPr>
      <w:t>Obsah</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Default="002D015D"/>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2352BD" w:rsidRDefault="002D015D" w:rsidP="009C13A9">
    <w:pPr>
      <w:widowControl w:val="0"/>
      <w:pBdr>
        <w:bottom w:val="single" w:sz="6" w:space="1" w:color="auto"/>
      </w:pBdr>
      <w:tabs>
        <w:tab w:val="right" w:pos="14033"/>
      </w:tabs>
      <w:jc w:val="right"/>
      <w:rPr>
        <w:sz w:val="16"/>
        <w:szCs w:val="16"/>
      </w:rPr>
    </w:pPr>
    <w:r>
      <w:rPr>
        <w:sz w:val="16"/>
      </w:rPr>
      <w:t xml:space="preserve">ES-TRIN </w:t>
    </w:r>
    <w:r>
      <w:tab/>
    </w:r>
    <w:r>
      <w:rPr>
        <w:sz w:val="20"/>
        <w:szCs w:val="24"/>
      </w:rPr>
      <w:fldChar w:fldCharType="begin"/>
    </w:r>
    <w:r w:rsidRPr="00101CB2">
      <w:instrText xml:space="preserve"> STYLEREF  ES-Titre2  \* MERGEFORMAT </w:instrText>
    </w:r>
    <w:r>
      <w:rPr>
        <w:sz w:val="20"/>
        <w:szCs w:val="24"/>
      </w:rPr>
      <w:fldChar w:fldCharType="separate"/>
    </w:r>
    <w:r w:rsidR="00B25B1A" w:rsidRPr="00B25B1A">
      <w:rPr>
        <w:noProof/>
        <w:sz w:val="16"/>
        <w:szCs w:val="16"/>
      </w:rPr>
      <w:t>Příloha 7</w:t>
    </w:r>
    <w:r w:rsidR="00B25B1A" w:rsidRPr="00B25B1A">
      <w:rPr>
        <w:noProof/>
        <w:sz w:val="16"/>
        <w:szCs w:val="16"/>
      </w:rPr>
      <w:br/>
      <w:t>Palubní čistírny odpadních vod</w:t>
    </w:r>
    <w:r>
      <w:rPr>
        <w:noProof/>
        <w:sz w:val="16"/>
        <w:szCs w:val="16"/>
      </w:rPr>
      <w:fldChar w:fldCharType="end"/>
    </w:r>
  </w:p>
  <w:p w:rsidR="002D015D" w:rsidRDefault="002D015D" w:rsidP="009C13A9">
    <w:pPr>
      <w:widowControl w:val="0"/>
      <w:pBdr>
        <w:bottom w:val="single" w:sz="6" w:space="1" w:color="auto"/>
      </w:pBdr>
      <w:tabs>
        <w:tab w:val="right" w:pos="14033"/>
      </w:tabs>
      <w:jc w:val="right"/>
      <w:rPr>
        <w:sz w:val="16"/>
        <w:szCs w:val="16"/>
      </w:rPr>
    </w:pPr>
    <w:r>
      <w:rPr>
        <w:sz w:val="16"/>
        <w:szCs w:val="16"/>
      </w:rPr>
      <w:fldChar w:fldCharType="begin"/>
    </w:r>
    <w:r>
      <w:rPr>
        <w:sz w:val="16"/>
        <w:szCs w:val="16"/>
      </w:rPr>
      <w:instrText xml:space="preserve"> STYLEREF  ES-Titre3  \* MERGEFORMAT </w:instrText>
    </w:r>
    <w:r>
      <w:rPr>
        <w:sz w:val="16"/>
        <w:szCs w:val="16"/>
      </w:rPr>
      <w:fldChar w:fldCharType="separate"/>
    </w:r>
    <w:r w:rsidR="00B25B1A">
      <w:rPr>
        <w:noProof/>
        <w:sz w:val="16"/>
        <w:szCs w:val="16"/>
      </w:rPr>
      <w:t>Oddíl V</w:t>
    </w:r>
    <w:r>
      <w:rPr>
        <w:sz w:val="16"/>
        <w:szCs w:val="16"/>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Default="002D015D"/>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Default="002D015D"/>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2352BD" w:rsidRDefault="002D015D" w:rsidP="009C13A9">
    <w:pPr>
      <w:widowControl w:val="0"/>
      <w:pBdr>
        <w:bottom w:val="single" w:sz="6" w:space="1" w:color="auto"/>
      </w:pBdr>
      <w:tabs>
        <w:tab w:val="right" w:pos="9072"/>
      </w:tabs>
      <w:jc w:val="right"/>
      <w:rPr>
        <w:sz w:val="16"/>
        <w:szCs w:val="16"/>
      </w:rPr>
    </w:pPr>
    <w:r>
      <w:rPr>
        <w:sz w:val="16"/>
      </w:rPr>
      <w:t xml:space="preserve">ES-TRIN </w:t>
    </w:r>
    <w:r>
      <w:tab/>
    </w:r>
    <w:r>
      <w:rPr>
        <w:sz w:val="20"/>
        <w:szCs w:val="24"/>
      </w:rPr>
      <w:fldChar w:fldCharType="begin"/>
    </w:r>
    <w:r w:rsidRPr="00101CB2">
      <w:instrText xml:space="preserve"> STYLEREF  ES-Titre2  \* MERGEFORMAT </w:instrText>
    </w:r>
    <w:r>
      <w:rPr>
        <w:sz w:val="20"/>
        <w:szCs w:val="24"/>
      </w:rPr>
      <w:fldChar w:fldCharType="separate"/>
    </w:r>
    <w:r w:rsidR="00B25B1A" w:rsidRPr="00B25B1A">
      <w:rPr>
        <w:noProof/>
        <w:sz w:val="16"/>
        <w:szCs w:val="16"/>
      </w:rPr>
      <w:t>Příloha 7</w:t>
    </w:r>
    <w:r w:rsidR="00B25B1A" w:rsidRPr="00B25B1A">
      <w:rPr>
        <w:noProof/>
        <w:sz w:val="16"/>
        <w:szCs w:val="16"/>
      </w:rPr>
      <w:br/>
      <w:t>Palubní čistírny odpadních vod</w:t>
    </w:r>
    <w:r>
      <w:rPr>
        <w:noProof/>
        <w:sz w:val="16"/>
        <w:szCs w:val="16"/>
      </w:rPr>
      <w:fldChar w:fldCharType="end"/>
    </w:r>
  </w:p>
  <w:p w:rsidR="002D015D" w:rsidRDefault="002D015D" w:rsidP="009C13A9">
    <w:pPr>
      <w:widowControl w:val="0"/>
      <w:pBdr>
        <w:bottom w:val="single" w:sz="6" w:space="1" w:color="auto"/>
      </w:pBdr>
      <w:tabs>
        <w:tab w:val="right" w:pos="9072"/>
      </w:tabs>
      <w:jc w:val="right"/>
      <w:rPr>
        <w:sz w:val="16"/>
        <w:szCs w:val="16"/>
      </w:rPr>
    </w:pPr>
    <w:r>
      <w:rPr>
        <w:sz w:val="16"/>
        <w:szCs w:val="16"/>
      </w:rPr>
      <w:fldChar w:fldCharType="begin"/>
    </w:r>
    <w:r>
      <w:rPr>
        <w:sz w:val="16"/>
        <w:szCs w:val="16"/>
      </w:rPr>
      <w:instrText xml:space="preserve"> STYLEREF  ES-Titre3  \* MERGEFORMAT </w:instrText>
    </w:r>
    <w:r>
      <w:rPr>
        <w:sz w:val="16"/>
        <w:szCs w:val="16"/>
      </w:rPr>
      <w:fldChar w:fldCharType="separate"/>
    </w:r>
    <w:r w:rsidR="00B25B1A">
      <w:rPr>
        <w:noProof/>
        <w:sz w:val="16"/>
        <w:szCs w:val="16"/>
      </w:rPr>
      <w:t>Oddíl VI</w:t>
    </w:r>
    <w:r>
      <w:rPr>
        <w:sz w:val="16"/>
        <w:szCs w:val="16"/>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Default="002D015D"/>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Default="002D015D"/>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2352BD" w:rsidRDefault="002D015D" w:rsidP="009C13A9">
    <w:pPr>
      <w:widowControl w:val="0"/>
      <w:pBdr>
        <w:bottom w:val="single" w:sz="6" w:space="1" w:color="auto"/>
      </w:pBdr>
      <w:tabs>
        <w:tab w:val="right" w:pos="14033"/>
      </w:tabs>
      <w:jc w:val="right"/>
      <w:rPr>
        <w:sz w:val="16"/>
        <w:szCs w:val="16"/>
      </w:rPr>
    </w:pPr>
    <w:r>
      <w:rPr>
        <w:sz w:val="16"/>
      </w:rPr>
      <w:t xml:space="preserve">ES-TRIN </w:t>
    </w:r>
    <w:r>
      <w:tab/>
    </w:r>
    <w:r>
      <w:rPr>
        <w:sz w:val="20"/>
        <w:szCs w:val="24"/>
      </w:rPr>
      <w:fldChar w:fldCharType="begin"/>
    </w:r>
    <w:r w:rsidRPr="00101CB2">
      <w:instrText xml:space="preserve"> STYLEREF  ES-Titre2  \* MERGEFORMAT </w:instrText>
    </w:r>
    <w:r>
      <w:rPr>
        <w:sz w:val="20"/>
        <w:szCs w:val="24"/>
      </w:rPr>
      <w:fldChar w:fldCharType="separate"/>
    </w:r>
    <w:r w:rsidR="00B25B1A" w:rsidRPr="00B25B1A">
      <w:rPr>
        <w:noProof/>
        <w:sz w:val="16"/>
        <w:szCs w:val="16"/>
      </w:rPr>
      <w:t>Příloha 7</w:t>
    </w:r>
    <w:r w:rsidR="00B25B1A" w:rsidRPr="00B25B1A">
      <w:rPr>
        <w:noProof/>
        <w:sz w:val="16"/>
        <w:szCs w:val="16"/>
      </w:rPr>
      <w:br/>
      <w:t>Palubní čistírny odpadních vod</w:t>
    </w:r>
    <w:r>
      <w:rPr>
        <w:noProof/>
        <w:sz w:val="16"/>
        <w:szCs w:val="16"/>
      </w:rPr>
      <w:fldChar w:fldCharType="end"/>
    </w:r>
  </w:p>
  <w:p w:rsidR="002D015D" w:rsidRDefault="002D015D" w:rsidP="009C13A9">
    <w:pPr>
      <w:widowControl w:val="0"/>
      <w:pBdr>
        <w:bottom w:val="single" w:sz="6" w:space="1" w:color="auto"/>
      </w:pBdr>
      <w:tabs>
        <w:tab w:val="right" w:pos="14033"/>
      </w:tabs>
      <w:jc w:val="right"/>
      <w:rPr>
        <w:sz w:val="16"/>
        <w:szCs w:val="16"/>
      </w:rPr>
    </w:pPr>
    <w:r>
      <w:rPr>
        <w:sz w:val="16"/>
        <w:szCs w:val="16"/>
      </w:rPr>
      <w:fldChar w:fldCharType="begin"/>
    </w:r>
    <w:r>
      <w:rPr>
        <w:sz w:val="16"/>
        <w:szCs w:val="16"/>
      </w:rPr>
      <w:instrText xml:space="preserve"> STYLEREF  ES-Titre3  \* MERGEFORMAT </w:instrText>
    </w:r>
    <w:r>
      <w:rPr>
        <w:sz w:val="16"/>
        <w:szCs w:val="16"/>
      </w:rPr>
      <w:fldChar w:fldCharType="separate"/>
    </w:r>
    <w:r w:rsidR="00B25B1A">
      <w:rPr>
        <w:noProof/>
        <w:sz w:val="16"/>
        <w:szCs w:val="16"/>
      </w:rPr>
      <w:t>Oddíl VII</w:t>
    </w:r>
    <w:r>
      <w:rPr>
        <w:sz w:val="16"/>
        <w:szCs w:val="16"/>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Default="002D015D"/>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C23950" w:rsidRDefault="002D015D" w:rsidP="009C13A9">
    <w:pPr>
      <w:widowControl w:val="0"/>
      <w:pBdr>
        <w:bottom w:val="single" w:sz="6" w:space="1" w:color="auto"/>
      </w:pBdr>
      <w:tabs>
        <w:tab w:val="right" w:pos="9072"/>
      </w:tabs>
      <w:jc w:val="right"/>
      <w:rPr>
        <w:sz w:val="16"/>
        <w:szCs w:val="16"/>
      </w:rPr>
    </w:pPr>
    <w:r>
      <w:rPr>
        <w:sz w:val="16"/>
      </w:rPr>
      <w:t xml:space="preserve">ES-TRIN </w:t>
    </w:r>
    <w:r>
      <w:tab/>
    </w:r>
    <w:r>
      <w:rPr>
        <w:sz w:val="20"/>
        <w:szCs w:val="24"/>
      </w:rPr>
      <w:fldChar w:fldCharType="begin"/>
    </w:r>
    <w:r w:rsidRPr="00101CB2">
      <w:instrText xml:space="preserve"> STYLEREF  ES-Titre2  \* MERGEFORMAT </w:instrText>
    </w:r>
    <w:r>
      <w:rPr>
        <w:sz w:val="20"/>
        <w:szCs w:val="24"/>
      </w:rPr>
      <w:fldChar w:fldCharType="separate"/>
    </w:r>
    <w:r w:rsidR="00B25B1A" w:rsidRPr="00B25B1A">
      <w:rPr>
        <w:noProof/>
        <w:sz w:val="16"/>
        <w:szCs w:val="16"/>
      </w:rPr>
      <w:t>Příloha 7</w:t>
    </w:r>
    <w:r w:rsidR="00B25B1A" w:rsidRPr="00B25B1A">
      <w:rPr>
        <w:noProof/>
        <w:sz w:val="16"/>
        <w:szCs w:val="16"/>
      </w:rPr>
      <w:br/>
      <w:t>Palubní čistírny odpadních vod</w:t>
    </w:r>
    <w:r>
      <w:rPr>
        <w:noProof/>
        <w:sz w:val="16"/>
        <w:szCs w:val="16"/>
      </w:rPr>
      <w:fldChar w:fldCharType="end"/>
    </w:r>
  </w:p>
  <w:p w:rsidR="002D015D" w:rsidRDefault="002D015D" w:rsidP="009C13A9">
    <w:pPr>
      <w:widowControl w:val="0"/>
      <w:pBdr>
        <w:bottom w:val="single" w:sz="6" w:space="1" w:color="auto"/>
      </w:pBdr>
      <w:tabs>
        <w:tab w:val="right" w:pos="9072"/>
      </w:tabs>
      <w:jc w:val="right"/>
      <w:rPr>
        <w:sz w:val="16"/>
        <w:szCs w:val="16"/>
      </w:rPr>
    </w:pPr>
    <w:r>
      <w:rPr>
        <w:sz w:val="16"/>
        <w:szCs w:val="16"/>
      </w:rPr>
      <w:fldChar w:fldCharType="begin"/>
    </w:r>
    <w:r>
      <w:rPr>
        <w:sz w:val="16"/>
        <w:szCs w:val="16"/>
      </w:rPr>
      <w:instrText xml:space="preserve"> STYLEREF  ES-Titre3  \* MERGEFORMAT </w:instrText>
    </w:r>
    <w:r>
      <w:rPr>
        <w:sz w:val="16"/>
        <w:szCs w:val="16"/>
      </w:rPr>
      <w:fldChar w:fldCharType="separate"/>
    </w:r>
    <w:r w:rsidR="00B25B1A">
      <w:rPr>
        <w:noProof/>
        <w:sz w:val="16"/>
        <w:szCs w:val="16"/>
      </w:rPr>
      <w:t>Oddíl VIII</w:t>
    </w:r>
    <w:r>
      <w:rPr>
        <w:sz w:val="16"/>
        <w:szCs w:val="16"/>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226A59" w:rsidRDefault="002D015D" w:rsidP="00226A59">
    <w:pPr>
      <w:widowControl w:val="0"/>
      <w:rPr>
        <w:sz w:val="16"/>
        <w:szCs w:val="16"/>
      </w:rPr>
    </w:pPr>
    <w:r>
      <w:rPr>
        <w:sz w:val="16"/>
      </w:rPr>
      <w:t>Evropský výbor pro vypracování norem pro vnitrozemskou plavbu (CESNI)</w:t>
    </w:r>
  </w:p>
  <w:p w:rsidR="002D015D" w:rsidRPr="00226A59" w:rsidRDefault="002D015D" w:rsidP="00226A59">
    <w:pPr>
      <w:widowControl w:val="0"/>
      <w:pBdr>
        <w:bottom w:val="single" w:sz="6" w:space="1" w:color="auto"/>
      </w:pBdr>
      <w:tabs>
        <w:tab w:val="right" w:pos="9070"/>
        <w:tab w:val="right" w:pos="14034"/>
      </w:tabs>
      <w:rPr>
        <w:sz w:val="16"/>
        <w:szCs w:val="16"/>
      </w:rPr>
    </w:pPr>
    <w:r>
      <w:rPr>
        <w:sz w:val="16"/>
      </w:rPr>
      <w:t xml:space="preserve">Evropská norma, kterou se stanoví technické požadavky </w:t>
    </w:r>
  </w:p>
  <w:p w:rsidR="002D015D" w:rsidRPr="00226A59" w:rsidRDefault="002D015D" w:rsidP="00226A59">
    <w:pPr>
      <w:widowControl w:val="0"/>
      <w:pBdr>
        <w:bottom w:val="single" w:sz="6" w:space="1" w:color="auto"/>
      </w:pBdr>
      <w:tabs>
        <w:tab w:val="right" w:pos="9070"/>
      </w:tabs>
      <w:rPr>
        <w:sz w:val="16"/>
        <w:szCs w:val="16"/>
      </w:rPr>
    </w:pPr>
    <w:r>
      <w:rPr>
        <w:sz w:val="16"/>
      </w:rPr>
      <w:t>pro plavidla vnitrozemské plavby (ES-TRIN)</w:t>
    </w:r>
    <w:r>
      <w:tab/>
    </w:r>
    <w:r>
      <w:rPr>
        <w:sz w:val="16"/>
      </w:rPr>
      <w:t>Obsah</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2352BD" w:rsidRDefault="002D015D" w:rsidP="009C13A9">
    <w:pPr>
      <w:widowControl w:val="0"/>
      <w:pBdr>
        <w:bottom w:val="single" w:sz="6" w:space="1" w:color="auto"/>
      </w:pBdr>
      <w:tabs>
        <w:tab w:val="right" w:pos="9072"/>
      </w:tabs>
      <w:jc w:val="right"/>
      <w:rPr>
        <w:sz w:val="16"/>
        <w:szCs w:val="16"/>
      </w:rPr>
    </w:pPr>
    <w:r>
      <w:rPr>
        <w:sz w:val="16"/>
      </w:rPr>
      <w:t xml:space="preserve">ES-TRIN </w:t>
    </w:r>
    <w:r>
      <w:tab/>
    </w:r>
    <w:r>
      <w:rPr>
        <w:sz w:val="20"/>
        <w:szCs w:val="24"/>
      </w:rPr>
      <w:fldChar w:fldCharType="begin"/>
    </w:r>
    <w:r w:rsidRPr="00101CB2">
      <w:instrText xml:space="preserve"> STYLEREF  ES-Titre2  \* MERGEFORMAT </w:instrText>
    </w:r>
    <w:r>
      <w:rPr>
        <w:sz w:val="20"/>
        <w:szCs w:val="24"/>
      </w:rPr>
      <w:fldChar w:fldCharType="separate"/>
    </w:r>
    <w:r w:rsidRPr="00801F1F">
      <w:rPr>
        <w:noProof/>
        <w:sz w:val="16"/>
        <w:szCs w:val="16"/>
      </w:rPr>
      <w:t>Annex 7</w:t>
    </w:r>
    <w:r w:rsidRPr="00801F1F">
      <w:rPr>
        <w:noProof/>
        <w:sz w:val="16"/>
        <w:szCs w:val="16"/>
      </w:rPr>
      <w:br/>
      <w:t>On-board sewage treatment plants</w:t>
    </w:r>
    <w:r>
      <w:rPr>
        <w:noProof/>
        <w:sz w:val="16"/>
        <w:szCs w:val="16"/>
      </w:rPr>
      <w:fldChar w:fldCharType="end"/>
    </w:r>
  </w:p>
  <w:p w:rsidR="002D015D" w:rsidRPr="003B6E11" w:rsidRDefault="002D015D" w:rsidP="009C13A9">
    <w:pPr>
      <w:widowControl w:val="0"/>
      <w:pBdr>
        <w:bottom w:val="single" w:sz="6" w:space="1" w:color="auto"/>
      </w:pBdr>
      <w:tabs>
        <w:tab w:val="right" w:pos="9072"/>
      </w:tabs>
      <w:jc w:val="right"/>
      <w:rPr>
        <w:sz w:val="16"/>
        <w:szCs w:val="16"/>
        <w:lang w:val="fr-BE"/>
      </w:rPr>
    </w:pPr>
    <w:r>
      <w:fldChar w:fldCharType="begin"/>
    </w:r>
    <w:r w:rsidRPr="003B6E11">
      <w:rPr>
        <w:lang w:val="fr-BE"/>
      </w:rPr>
      <w:instrText xml:space="preserve"> STYLEREF  "ES-Titre 3"  \* MERGEFORMAT </w:instrText>
    </w:r>
    <w:r>
      <w:fldChar w:fldCharType="separate"/>
    </w:r>
    <w:r w:rsidRPr="003B6E11">
      <w:rPr>
        <w:b/>
        <w:bCs/>
        <w:noProof/>
        <w:lang w:val="fr-BE"/>
      </w:rPr>
      <w:t>Erreur ! Utilisez l'onglet Accueil pour appliquer ES-Titre 3 au texte que vous souhaitez faire apparaître ici.</w:t>
    </w:r>
    <w:r>
      <w:rPr>
        <w:b/>
        <w:bCs/>
        <w:noProof/>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F46C3C" w:rsidRDefault="002D015D" w:rsidP="001E2331">
    <w:pPr>
      <w:widowControl w:val="0"/>
      <w:pBdr>
        <w:bottom w:val="single" w:sz="6" w:space="1" w:color="auto"/>
      </w:pBdr>
      <w:tabs>
        <w:tab w:val="right" w:pos="9072"/>
      </w:tabs>
      <w:jc w:val="right"/>
      <w:rPr>
        <w:sz w:val="16"/>
        <w:szCs w:val="16"/>
      </w:rPr>
    </w:pPr>
    <w:r>
      <w:rPr>
        <w:sz w:val="16"/>
      </w:rPr>
      <w:t xml:space="preserve">ES-TRIN </w:t>
    </w:r>
    <w:r>
      <w:tab/>
    </w:r>
    <w:r w:rsidRPr="00F46C3C">
      <w:rPr>
        <w:sz w:val="16"/>
        <w:szCs w:val="16"/>
      </w:rPr>
      <w:fldChar w:fldCharType="begin"/>
    </w:r>
    <w:r w:rsidRPr="00F46C3C">
      <w:rPr>
        <w:sz w:val="16"/>
        <w:szCs w:val="16"/>
      </w:rPr>
      <w:instrText xml:space="preserve"> STYLEREF  ES-Titre2  \* MERGEFORMAT </w:instrText>
    </w:r>
    <w:r w:rsidRPr="00F46C3C">
      <w:rPr>
        <w:sz w:val="16"/>
        <w:szCs w:val="16"/>
      </w:rPr>
      <w:fldChar w:fldCharType="separate"/>
    </w:r>
    <w:r w:rsidR="00B25B1A">
      <w:rPr>
        <w:noProof/>
        <w:sz w:val="16"/>
        <w:szCs w:val="16"/>
      </w:rPr>
      <w:t>Příloha 8</w:t>
    </w:r>
    <w:r w:rsidR="00B25B1A">
      <w:rPr>
        <w:noProof/>
        <w:sz w:val="16"/>
        <w:szCs w:val="16"/>
      </w:rPr>
      <w:br/>
      <w:t>Doplňková ustanovení pro plavidla na palivo</w:t>
    </w:r>
    <w:r w:rsidR="00B25B1A">
      <w:rPr>
        <w:noProof/>
        <w:sz w:val="16"/>
        <w:szCs w:val="16"/>
      </w:rPr>
      <w:br/>
      <w:t>s bodem vzplanutí rovným nebo nižším 55  C</w:t>
    </w:r>
    <w:r w:rsidRPr="00F46C3C">
      <w:rPr>
        <w:noProof/>
        <w:sz w:val="16"/>
        <w:szCs w:val="16"/>
      </w:rPr>
      <w:fldChar w:fldCharType="end"/>
    </w:r>
  </w:p>
  <w:p w:rsidR="002D015D" w:rsidRDefault="002D015D" w:rsidP="001E2331">
    <w:pPr>
      <w:widowControl w:val="0"/>
      <w:pBdr>
        <w:bottom w:val="single" w:sz="6" w:space="1" w:color="auto"/>
      </w:pBdr>
      <w:tabs>
        <w:tab w:val="right" w:pos="9072"/>
      </w:tabs>
      <w:jc w:val="right"/>
      <w:rPr>
        <w:sz w:val="16"/>
        <w:szCs w:val="16"/>
      </w:rPr>
    </w:pPr>
    <w:r>
      <w:rPr>
        <w:sz w:val="16"/>
        <w:szCs w:val="16"/>
      </w:rPr>
      <w:fldChar w:fldCharType="begin"/>
    </w:r>
    <w:r>
      <w:rPr>
        <w:sz w:val="16"/>
        <w:szCs w:val="16"/>
      </w:rPr>
      <w:instrText xml:space="preserve"> STYLEREF  ES-Titre3  \* MERGEFORMAT </w:instrText>
    </w:r>
    <w:r>
      <w:rPr>
        <w:sz w:val="16"/>
        <w:szCs w:val="16"/>
      </w:rPr>
      <w:fldChar w:fldCharType="separate"/>
    </w:r>
    <w:r w:rsidR="00B25B1A">
      <w:rPr>
        <w:noProof/>
        <w:sz w:val="16"/>
        <w:szCs w:val="16"/>
      </w:rPr>
      <w:t>Oddíl I</w:t>
    </w:r>
    <w:r>
      <w:rPr>
        <w:sz w:val="16"/>
        <w:szCs w:val="16"/>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395A9E" w:rsidRDefault="002D015D" w:rsidP="001E2331">
    <w:pPr>
      <w:widowControl w:val="0"/>
      <w:pBdr>
        <w:bottom w:val="single" w:sz="6" w:space="1" w:color="auto"/>
      </w:pBdr>
      <w:tabs>
        <w:tab w:val="right" w:pos="9072"/>
      </w:tabs>
      <w:jc w:val="right"/>
      <w:rPr>
        <w:sz w:val="16"/>
        <w:szCs w:val="16"/>
      </w:rPr>
    </w:pPr>
    <w:r>
      <w:rPr>
        <w:sz w:val="16"/>
      </w:rPr>
      <w:t xml:space="preserve">ES-TRIN </w:t>
    </w:r>
    <w:r>
      <w:tab/>
    </w:r>
    <w:r>
      <w:rPr>
        <w:sz w:val="20"/>
        <w:szCs w:val="24"/>
      </w:rPr>
      <w:fldChar w:fldCharType="begin"/>
    </w:r>
    <w:r w:rsidRPr="00101CB2">
      <w:instrText xml:space="preserve"> STYLEREF  ES-Titre2  \* MERGEFORMAT </w:instrText>
    </w:r>
    <w:r>
      <w:rPr>
        <w:sz w:val="20"/>
        <w:szCs w:val="24"/>
      </w:rPr>
      <w:fldChar w:fldCharType="separate"/>
    </w:r>
    <w:r w:rsidR="00B25B1A" w:rsidRPr="00B25B1A">
      <w:rPr>
        <w:noProof/>
        <w:sz w:val="16"/>
        <w:szCs w:val="16"/>
      </w:rPr>
      <w:t>Příloha 7</w:t>
    </w:r>
    <w:r w:rsidR="00B25B1A" w:rsidRPr="00B25B1A">
      <w:rPr>
        <w:noProof/>
        <w:sz w:val="16"/>
        <w:szCs w:val="16"/>
      </w:rPr>
      <w:br/>
      <w:t>Palubní čistírny odpadních vod</w:t>
    </w:r>
    <w:r>
      <w:rPr>
        <w:noProof/>
        <w:sz w:val="16"/>
        <w:szCs w:val="16"/>
      </w:rPr>
      <w:fldChar w:fldCharType="end"/>
    </w:r>
  </w:p>
  <w:p w:rsidR="002D015D" w:rsidRDefault="002D015D" w:rsidP="001E2331">
    <w:pPr>
      <w:widowControl w:val="0"/>
      <w:pBdr>
        <w:bottom w:val="single" w:sz="6" w:space="1" w:color="auto"/>
      </w:pBdr>
      <w:tabs>
        <w:tab w:val="right" w:pos="9072"/>
      </w:tabs>
      <w:jc w:val="right"/>
      <w:rPr>
        <w:sz w:val="16"/>
        <w:szCs w:val="16"/>
      </w:rPr>
    </w:pPr>
    <w:r>
      <w:rPr>
        <w:sz w:val="16"/>
        <w:szCs w:val="16"/>
      </w:rPr>
      <w:fldChar w:fldCharType="begin"/>
    </w:r>
    <w:r>
      <w:rPr>
        <w:sz w:val="16"/>
        <w:szCs w:val="16"/>
      </w:rPr>
      <w:instrText xml:space="preserve"> STYLEREF  ES-Titre3  \* MERGEFORMAT </w:instrText>
    </w:r>
    <w:r>
      <w:rPr>
        <w:sz w:val="16"/>
        <w:szCs w:val="16"/>
      </w:rPr>
      <w:fldChar w:fldCharType="separate"/>
    </w:r>
    <w:r w:rsidR="00B25B1A">
      <w:rPr>
        <w:noProof/>
        <w:sz w:val="16"/>
        <w:szCs w:val="16"/>
      </w:rPr>
      <w:t>Oddíl IX</w:t>
    </w:r>
    <w:r>
      <w:rPr>
        <w:sz w:val="16"/>
        <w:szCs w:val="16"/>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F46C3C" w:rsidRDefault="002D015D" w:rsidP="001E2331">
    <w:pPr>
      <w:widowControl w:val="0"/>
      <w:pBdr>
        <w:bottom w:val="single" w:sz="6" w:space="1" w:color="auto"/>
      </w:pBdr>
      <w:tabs>
        <w:tab w:val="right" w:pos="9072"/>
      </w:tabs>
      <w:jc w:val="right"/>
      <w:rPr>
        <w:sz w:val="16"/>
        <w:szCs w:val="16"/>
      </w:rPr>
    </w:pPr>
    <w:r>
      <w:rPr>
        <w:sz w:val="16"/>
      </w:rPr>
      <w:t xml:space="preserve">ES-TRIN </w:t>
    </w:r>
    <w:r>
      <w:tab/>
    </w:r>
    <w:r w:rsidRPr="00F46C3C">
      <w:rPr>
        <w:sz w:val="16"/>
        <w:szCs w:val="16"/>
      </w:rPr>
      <w:fldChar w:fldCharType="begin"/>
    </w:r>
    <w:r w:rsidRPr="00F46C3C">
      <w:rPr>
        <w:sz w:val="16"/>
        <w:szCs w:val="16"/>
      </w:rPr>
      <w:instrText xml:space="preserve"> STYLEREF  ES-Titre2  \* MERGEFORMAT </w:instrText>
    </w:r>
    <w:r w:rsidRPr="00F46C3C">
      <w:rPr>
        <w:sz w:val="16"/>
        <w:szCs w:val="16"/>
      </w:rPr>
      <w:fldChar w:fldCharType="separate"/>
    </w:r>
    <w:r w:rsidR="00B25B1A">
      <w:rPr>
        <w:noProof/>
        <w:sz w:val="16"/>
        <w:szCs w:val="16"/>
      </w:rPr>
      <w:t>Příloha 8</w:t>
    </w:r>
    <w:r w:rsidR="00B25B1A">
      <w:rPr>
        <w:noProof/>
        <w:sz w:val="16"/>
        <w:szCs w:val="16"/>
      </w:rPr>
      <w:br/>
      <w:t>Doplňková ustanovení pro plavidla na palivo</w:t>
    </w:r>
    <w:r w:rsidR="00B25B1A">
      <w:rPr>
        <w:noProof/>
        <w:sz w:val="16"/>
        <w:szCs w:val="16"/>
      </w:rPr>
      <w:br/>
      <w:t>s bodem vzplanutí rovným nebo nižším 55  C</w:t>
    </w:r>
    <w:r w:rsidRPr="00F46C3C">
      <w:rPr>
        <w:noProof/>
        <w:sz w:val="16"/>
        <w:szCs w:val="16"/>
      </w:rPr>
      <w:fldChar w:fldCharType="end"/>
    </w:r>
    <w:r>
      <w:rPr>
        <w:noProof/>
        <w:sz w:val="16"/>
      </w:rPr>
      <w:t xml:space="preserve"> - </w:t>
    </w:r>
    <w:r>
      <w:rPr>
        <w:noProof/>
        <w:sz w:val="16"/>
        <w:szCs w:val="16"/>
      </w:rPr>
      <w:fldChar w:fldCharType="begin"/>
    </w:r>
    <w:r>
      <w:rPr>
        <w:noProof/>
        <w:sz w:val="16"/>
        <w:szCs w:val="16"/>
      </w:rPr>
      <w:instrText xml:space="preserve"> STYLEREF  ES-Titre3  \* MERGEFORMAT </w:instrText>
    </w:r>
    <w:r>
      <w:rPr>
        <w:noProof/>
        <w:sz w:val="16"/>
        <w:szCs w:val="16"/>
      </w:rPr>
      <w:fldChar w:fldCharType="separate"/>
    </w:r>
    <w:r w:rsidR="00B25B1A">
      <w:rPr>
        <w:noProof/>
        <w:sz w:val="16"/>
        <w:szCs w:val="16"/>
      </w:rPr>
      <w:t>Oddíl I</w:t>
    </w:r>
    <w:r>
      <w:rPr>
        <w:noProof/>
        <w:sz w:val="16"/>
        <w:szCs w:val="16"/>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767CBB" w:rsidRDefault="002D015D" w:rsidP="00D45887">
    <w:pPr>
      <w:widowControl w:val="0"/>
      <w:pBdr>
        <w:bottom w:val="single" w:sz="6" w:space="1" w:color="auto"/>
      </w:pBdr>
      <w:tabs>
        <w:tab w:val="right" w:pos="9072"/>
      </w:tabs>
      <w:jc w:val="right"/>
      <w:rPr>
        <w:sz w:val="16"/>
        <w:szCs w:val="16"/>
      </w:rPr>
    </w:pPr>
    <w:r>
      <w:rPr>
        <w:sz w:val="16"/>
      </w:rPr>
      <w:t xml:space="preserve">ES-TRIN </w:t>
    </w:r>
    <w:r>
      <w:tab/>
    </w:r>
    <w:r>
      <w:rPr>
        <w:sz w:val="16"/>
        <w:szCs w:val="16"/>
      </w:rPr>
      <w:fldChar w:fldCharType="begin"/>
    </w:r>
    <w:r w:rsidRPr="00767CBB">
      <w:rPr>
        <w:sz w:val="16"/>
        <w:szCs w:val="16"/>
      </w:rPr>
      <w:instrText xml:space="preserve"> STYLEREF  Es-Titre_annexes  \* MERGEFORMAT </w:instrText>
    </w:r>
    <w:r>
      <w:rPr>
        <w:sz w:val="16"/>
        <w:szCs w:val="16"/>
      </w:rPr>
      <w:fldChar w:fldCharType="separate"/>
    </w:r>
    <w:r w:rsidR="00B25B1A">
      <w:rPr>
        <w:noProof/>
        <w:sz w:val="16"/>
        <w:szCs w:val="16"/>
      </w:rPr>
      <w:t>Pokyny pro použití této technické normy</w:t>
    </w:r>
    <w:r>
      <w:rPr>
        <w:sz w:val="16"/>
        <w:szCs w:val="16"/>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767CBB" w:rsidRDefault="002D015D" w:rsidP="00D45887">
    <w:pPr>
      <w:widowControl w:val="0"/>
      <w:pBdr>
        <w:bottom w:val="single" w:sz="6" w:space="1" w:color="auto"/>
      </w:pBdr>
      <w:tabs>
        <w:tab w:val="right" w:pos="9072"/>
      </w:tabs>
      <w:jc w:val="right"/>
      <w:rPr>
        <w:sz w:val="16"/>
        <w:szCs w:val="16"/>
      </w:rPr>
    </w:pPr>
    <w:r>
      <w:rPr>
        <w:sz w:val="16"/>
      </w:rPr>
      <w:t xml:space="preserve">ES-TRIN </w:t>
    </w:r>
    <w:r>
      <w:tab/>
    </w:r>
    <w:r>
      <w:rPr>
        <w:sz w:val="16"/>
        <w:szCs w:val="16"/>
      </w:rPr>
      <w:fldChar w:fldCharType="begin"/>
    </w:r>
    <w:r w:rsidRPr="00767CBB">
      <w:rPr>
        <w:sz w:val="16"/>
        <w:szCs w:val="16"/>
      </w:rPr>
      <w:instrText xml:space="preserve"> STYLEREF  Es-Titre_annexes  \* MERGEFORMAT </w:instrText>
    </w:r>
    <w:r>
      <w:rPr>
        <w:sz w:val="16"/>
        <w:szCs w:val="16"/>
      </w:rPr>
      <w:fldChar w:fldCharType="separate"/>
    </w:r>
    <w:r w:rsidR="00B25B1A">
      <w:rPr>
        <w:noProof/>
        <w:sz w:val="16"/>
        <w:szCs w:val="16"/>
      </w:rPr>
      <w:t>Pokyny pro použití této technické normy</w:t>
    </w:r>
    <w:r>
      <w:rPr>
        <w:sz w:val="16"/>
        <w:szCs w:val="16"/>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5B46C9" w:rsidRDefault="002D015D" w:rsidP="00D45887">
    <w:pPr>
      <w:widowControl w:val="0"/>
      <w:pBdr>
        <w:bottom w:val="single" w:sz="6" w:space="1" w:color="auto"/>
      </w:pBdr>
      <w:tabs>
        <w:tab w:val="right" w:pos="9072"/>
      </w:tabs>
      <w:jc w:val="right"/>
      <w:rPr>
        <w:sz w:val="16"/>
        <w:szCs w:val="16"/>
      </w:rPr>
    </w:pPr>
    <w:r>
      <w:rPr>
        <w:sz w:val="16"/>
      </w:rPr>
      <w:t xml:space="preserve">ES-TRIN </w:t>
    </w:r>
    <w:r>
      <w:tab/>
    </w:r>
    <w:r w:rsidRPr="00A84512">
      <w:rPr>
        <w:sz w:val="16"/>
        <w:szCs w:val="16"/>
      </w:rPr>
      <w:fldChar w:fldCharType="begin"/>
    </w:r>
    <w:r w:rsidRPr="00A84512">
      <w:rPr>
        <w:sz w:val="16"/>
        <w:szCs w:val="16"/>
      </w:rPr>
      <w:instrText xml:space="preserve"> STYLEREF  ES-Titre2_ESI  \* MERGEFORMAT </w:instrText>
    </w:r>
    <w:r w:rsidRPr="00A84512">
      <w:rPr>
        <w:sz w:val="16"/>
        <w:szCs w:val="16"/>
      </w:rPr>
      <w:fldChar w:fldCharType="separate"/>
    </w:r>
    <w:r w:rsidR="00B25B1A" w:rsidRPr="00B25B1A">
      <w:rPr>
        <w:bCs/>
        <w:noProof/>
        <w:sz w:val="16"/>
        <w:szCs w:val="16"/>
      </w:rPr>
      <w:t>ESI-II-3</w:t>
    </w:r>
    <w:r w:rsidR="00B25B1A" w:rsidRPr="00B25B1A">
      <w:rPr>
        <w:bCs/>
        <w:noProof/>
        <w:sz w:val="16"/>
        <w:szCs w:val="16"/>
      </w:rPr>
      <w:br/>
      <w:t>Minimální předepsaná dopředná rychlost</w:t>
    </w:r>
    <w:r w:rsidR="00B25B1A">
      <w:rPr>
        <w:noProof/>
        <w:sz w:val="16"/>
        <w:szCs w:val="16"/>
      </w:rPr>
      <w:t xml:space="preserve"> plavby, schopnost zastavení a schopnost plavby vzad</w:t>
    </w:r>
    <w:r w:rsidRPr="00A84512">
      <w:rPr>
        <w:sz w:val="16"/>
        <w:szCs w:val="16"/>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A84512" w:rsidRDefault="002D015D" w:rsidP="00D45887">
    <w:pPr>
      <w:widowControl w:val="0"/>
      <w:pBdr>
        <w:bottom w:val="single" w:sz="6" w:space="1" w:color="auto"/>
      </w:pBdr>
      <w:tabs>
        <w:tab w:val="right" w:pos="9072"/>
      </w:tabs>
      <w:jc w:val="right"/>
      <w:rPr>
        <w:sz w:val="16"/>
        <w:szCs w:val="16"/>
      </w:rPr>
    </w:pPr>
    <w:r>
      <w:rPr>
        <w:sz w:val="16"/>
      </w:rPr>
      <w:t xml:space="preserve">ES-TRIN </w:t>
    </w:r>
    <w:r>
      <w:tab/>
    </w:r>
    <w:r w:rsidRPr="00A84512">
      <w:rPr>
        <w:sz w:val="16"/>
        <w:szCs w:val="16"/>
      </w:rPr>
      <w:fldChar w:fldCharType="begin"/>
    </w:r>
    <w:r w:rsidRPr="00A84512">
      <w:rPr>
        <w:sz w:val="16"/>
        <w:szCs w:val="16"/>
      </w:rPr>
      <w:instrText xml:space="preserve"> STYLEREF  ES-Titre2_ESI  \* MERGEFORMAT </w:instrText>
    </w:r>
    <w:r w:rsidRPr="00A84512">
      <w:rPr>
        <w:sz w:val="16"/>
        <w:szCs w:val="16"/>
      </w:rPr>
      <w:fldChar w:fldCharType="separate"/>
    </w:r>
    <w:r w:rsidR="00B25B1A" w:rsidRPr="00B25B1A">
      <w:rPr>
        <w:bCs/>
        <w:noProof/>
        <w:sz w:val="16"/>
        <w:szCs w:val="16"/>
      </w:rPr>
      <w:t>ESI-II-3</w:t>
    </w:r>
    <w:r w:rsidR="00B25B1A" w:rsidRPr="00B25B1A">
      <w:rPr>
        <w:bCs/>
        <w:noProof/>
        <w:sz w:val="16"/>
        <w:szCs w:val="16"/>
      </w:rPr>
      <w:br/>
      <w:t>Minimální předepsaná dopředná rychlost</w:t>
    </w:r>
    <w:r w:rsidR="00B25B1A">
      <w:rPr>
        <w:noProof/>
        <w:sz w:val="16"/>
        <w:szCs w:val="16"/>
      </w:rPr>
      <w:t xml:space="preserve"> plavby, schopnost zastavení a schopnost plavby vzad</w:t>
    </w:r>
    <w:r w:rsidRPr="00A84512">
      <w:rPr>
        <w:sz w:val="16"/>
        <w:szCs w:val="16"/>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5B46C9" w:rsidRDefault="002D015D" w:rsidP="00D45887">
    <w:pPr>
      <w:widowControl w:val="0"/>
      <w:pBdr>
        <w:bottom w:val="single" w:sz="6" w:space="1" w:color="auto"/>
      </w:pBdr>
      <w:tabs>
        <w:tab w:val="right" w:pos="9072"/>
      </w:tabs>
      <w:jc w:val="right"/>
      <w:rPr>
        <w:sz w:val="16"/>
        <w:szCs w:val="16"/>
      </w:rPr>
    </w:pPr>
    <w:r>
      <w:rPr>
        <w:sz w:val="16"/>
      </w:rPr>
      <w:t xml:space="preserve">ES-TRIN </w:t>
    </w:r>
    <w:r>
      <w:tab/>
    </w:r>
    <w:r>
      <w:rPr>
        <w:sz w:val="16"/>
        <w:szCs w:val="16"/>
      </w:rPr>
      <w:fldChar w:fldCharType="begin"/>
    </w:r>
    <w:r w:rsidRPr="005B46C9">
      <w:rPr>
        <w:sz w:val="16"/>
        <w:szCs w:val="16"/>
      </w:rPr>
      <w:instrText xml:space="preserve"> STYLEREF  ES-Titre2_ESI  \* MERGEFORMAT </w:instrText>
    </w:r>
    <w:r>
      <w:rPr>
        <w:sz w:val="16"/>
        <w:szCs w:val="16"/>
      </w:rPr>
      <w:fldChar w:fldCharType="separate"/>
    </w:r>
    <w:r w:rsidR="00B25B1A" w:rsidRPr="00B25B1A">
      <w:rPr>
        <w:bCs/>
        <w:noProof/>
        <w:sz w:val="16"/>
        <w:szCs w:val="16"/>
      </w:rPr>
      <w:t>ESI-II-3</w:t>
    </w:r>
    <w:r w:rsidR="00B25B1A" w:rsidRPr="00B25B1A">
      <w:rPr>
        <w:bCs/>
        <w:noProof/>
        <w:sz w:val="16"/>
        <w:szCs w:val="16"/>
      </w:rPr>
      <w:br/>
      <w:t xml:space="preserve">Minimální předepsaná dopředná rychlost </w:t>
    </w:r>
    <w:r w:rsidR="00B25B1A" w:rsidRPr="00B25B1A">
      <w:rPr>
        <w:b/>
        <w:bCs/>
        <w:noProof/>
        <w:sz w:val="16"/>
        <w:szCs w:val="16"/>
      </w:rPr>
      <w:t>plavby</w:t>
    </w:r>
    <w:r w:rsidR="00B25B1A">
      <w:rPr>
        <w:noProof/>
        <w:sz w:val="16"/>
        <w:szCs w:val="16"/>
      </w:rPr>
      <w:t>, schopnost zastavení a schopnost plavby vzad</w:t>
    </w:r>
    <w:r>
      <w:rPr>
        <w:sz w:val="16"/>
        <w:szCs w:val="16"/>
      </w:rPr>
      <w:fldChar w:fldCharType="end"/>
    </w:r>
    <w:r>
      <w:rPr>
        <w:sz w:val="16"/>
      </w:rPr>
      <w:t xml:space="preserve"> -</w:t>
    </w:r>
  </w:p>
  <w:p w:rsidR="002D015D" w:rsidRPr="004F47BB" w:rsidRDefault="002D015D" w:rsidP="00D45887">
    <w:pPr>
      <w:widowControl w:val="0"/>
      <w:pBdr>
        <w:bottom w:val="single" w:sz="6" w:space="1" w:color="auto"/>
      </w:pBdr>
      <w:tabs>
        <w:tab w:val="right" w:pos="9072"/>
      </w:tabs>
      <w:jc w:val="right"/>
      <w:rPr>
        <w:sz w:val="16"/>
        <w:szCs w:val="16"/>
      </w:rPr>
    </w:pPr>
    <w:r>
      <w:rPr>
        <w:sz w:val="16"/>
        <w:szCs w:val="16"/>
      </w:rPr>
      <w:fldChar w:fldCharType="begin"/>
    </w:r>
    <w:r>
      <w:rPr>
        <w:sz w:val="16"/>
        <w:szCs w:val="16"/>
      </w:rPr>
      <w:instrText xml:space="preserve"> STYLEREF  ES-Titre4  \* MERGEFORMAT </w:instrText>
    </w:r>
    <w:r>
      <w:rPr>
        <w:sz w:val="16"/>
        <w:szCs w:val="16"/>
      </w:rPr>
      <w:fldChar w:fldCharType="separate"/>
    </w:r>
    <w:r w:rsidR="00B25B1A">
      <w:rPr>
        <w:noProof/>
        <w:sz w:val="16"/>
        <w:szCs w:val="16"/>
      </w:rPr>
      <w:t>Příloha 1 k pokynu ESI-II-3</w:t>
    </w:r>
    <w:r>
      <w:rPr>
        <w:sz w:val="16"/>
        <w:szCs w:val="16"/>
      </w:rPr>
      <w:fldChar w:fldCharType="end"/>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5B46C9" w:rsidRDefault="002D015D" w:rsidP="00D45887">
    <w:pPr>
      <w:widowControl w:val="0"/>
      <w:pBdr>
        <w:bottom w:val="single" w:sz="6" w:space="1" w:color="auto"/>
      </w:pBdr>
      <w:tabs>
        <w:tab w:val="right" w:pos="9072"/>
      </w:tabs>
      <w:jc w:val="right"/>
      <w:rPr>
        <w:sz w:val="16"/>
        <w:szCs w:val="16"/>
      </w:rPr>
    </w:pPr>
    <w:r>
      <w:rPr>
        <w:sz w:val="16"/>
      </w:rPr>
      <w:t xml:space="preserve">ES-TRIN </w:t>
    </w:r>
    <w:r>
      <w:tab/>
    </w:r>
    <w:r>
      <w:rPr>
        <w:sz w:val="16"/>
        <w:szCs w:val="16"/>
      </w:rPr>
      <w:fldChar w:fldCharType="begin"/>
    </w:r>
    <w:r w:rsidRPr="005B46C9">
      <w:rPr>
        <w:sz w:val="16"/>
        <w:szCs w:val="16"/>
      </w:rPr>
      <w:instrText xml:space="preserve"> STYLEREF  ES-Titre2_ESI  \* MERGEFORMAT </w:instrText>
    </w:r>
    <w:r>
      <w:rPr>
        <w:sz w:val="16"/>
        <w:szCs w:val="16"/>
      </w:rPr>
      <w:fldChar w:fldCharType="separate"/>
    </w:r>
    <w:r w:rsidR="00B25B1A" w:rsidRPr="00B25B1A">
      <w:rPr>
        <w:bCs/>
        <w:noProof/>
        <w:sz w:val="16"/>
        <w:szCs w:val="16"/>
      </w:rPr>
      <w:t>ESI-II-3</w:t>
    </w:r>
    <w:r w:rsidR="00B25B1A" w:rsidRPr="00B25B1A">
      <w:rPr>
        <w:bCs/>
        <w:noProof/>
        <w:sz w:val="16"/>
        <w:szCs w:val="16"/>
      </w:rPr>
      <w:br/>
      <w:t>Minimální předepsaná dopředná rychlost plavby</w:t>
    </w:r>
    <w:r w:rsidR="00B25B1A">
      <w:rPr>
        <w:noProof/>
        <w:sz w:val="16"/>
        <w:szCs w:val="16"/>
      </w:rPr>
      <w:t>, schopnost zastavení a schopnost plavby vzad</w:t>
    </w:r>
    <w:r>
      <w:rPr>
        <w:sz w:val="16"/>
        <w:szCs w:val="16"/>
      </w:rPr>
      <w:fldChar w:fldCharType="end"/>
    </w:r>
    <w:r>
      <w:rPr>
        <w:sz w:val="16"/>
      </w:rPr>
      <w:t xml:space="preserve"> -</w:t>
    </w:r>
  </w:p>
  <w:p w:rsidR="002D015D" w:rsidRPr="004F47BB" w:rsidRDefault="002D015D" w:rsidP="00D45887">
    <w:pPr>
      <w:widowControl w:val="0"/>
      <w:pBdr>
        <w:bottom w:val="single" w:sz="6" w:space="1" w:color="auto"/>
      </w:pBdr>
      <w:tabs>
        <w:tab w:val="right" w:pos="9072"/>
      </w:tabs>
      <w:jc w:val="right"/>
      <w:rPr>
        <w:sz w:val="16"/>
        <w:szCs w:val="16"/>
      </w:rPr>
    </w:pPr>
    <w:r>
      <w:rPr>
        <w:sz w:val="16"/>
        <w:szCs w:val="16"/>
      </w:rPr>
      <w:fldChar w:fldCharType="begin"/>
    </w:r>
    <w:r>
      <w:rPr>
        <w:sz w:val="16"/>
        <w:szCs w:val="16"/>
      </w:rPr>
      <w:instrText xml:space="preserve"> STYLEREF  ES-Titre4  \* MERGEFORMAT </w:instrText>
    </w:r>
    <w:r>
      <w:rPr>
        <w:sz w:val="16"/>
        <w:szCs w:val="16"/>
      </w:rPr>
      <w:fldChar w:fldCharType="separate"/>
    </w:r>
    <w:r w:rsidR="00B25B1A">
      <w:rPr>
        <w:noProof/>
        <w:sz w:val="16"/>
        <w:szCs w:val="16"/>
      </w:rPr>
      <w:t>Příloha 1 k pokynu ESI-II-3</w:t>
    </w:r>
    <w:r>
      <w:rPr>
        <w:sz w:val="16"/>
        <w:szCs w:val="16"/>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CA2865" w:rsidRDefault="002D015D" w:rsidP="004B2505">
    <w:pPr>
      <w:widowControl w:val="0"/>
      <w:pBdr>
        <w:bottom w:val="single" w:sz="4" w:space="1" w:color="auto"/>
      </w:pBdr>
      <w:tabs>
        <w:tab w:val="right" w:pos="9072"/>
      </w:tabs>
      <w:jc w:val="right"/>
      <w:rPr>
        <w:sz w:val="16"/>
        <w:szCs w:val="16"/>
      </w:rPr>
    </w:pPr>
    <w:r>
      <w:rPr>
        <w:sz w:val="16"/>
      </w:rPr>
      <w:t>ES-TRIN</w:t>
    </w:r>
    <w:r>
      <w:tab/>
    </w:r>
    <w:fldSimple w:instr=" STYLEREF  ES-Titre2  \* MERGEFORMAT ">
      <w:r w:rsidR="00B25B1A" w:rsidRPr="00B25B1A">
        <w:rPr>
          <w:noProof/>
          <w:sz w:val="16"/>
          <w:szCs w:val="16"/>
        </w:rPr>
        <w:t>Kapitola 1</w:t>
      </w:r>
      <w:r w:rsidR="00B25B1A" w:rsidRPr="00B25B1A">
        <w:rPr>
          <w:noProof/>
          <w:sz w:val="16"/>
          <w:szCs w:val="16"/>
        </w:rPr>
        <w:br/>
        <w:t>Obecně</w:t>
      </w:r>
    </w:fldSimple>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5B46C9" w:rsidRDefault="002D015D" w:rsidP="005B46C9">
    <w:pPr>
      <w:widowControl w:val="0"/>
      <w:pBdr>
        <w:bottom w:val="single" w:sz="6" w:space="1" w:color="auto"/>
      </w:pBdr>
      <w:tabs>
        <w:tab w:val="right" w:pos="13892"/>
      </w:tabs>
      <w:jc w:val="right"/>
      <w:rPr>
        <w:sz w:val="16"/>
        <w:szCs w:val="16"/>
      </w:rPr>
    </w:pPr>
    <w:r>
      <w:rPr>
        <w:sz w:val="16"/>
      </w:rPr>
      <w:t xml:space="preserve">ES-TRIN </w:t>
    </w:r>
    <w:r>
      <w:tab/>
    </w:r>
    <w:r>
      <w:rPr>
        <w:sz w:val="16"/>
        <w:szCs w:val="16"/>
      </w:rPr>
      <w:fldChar w:fldCharType="begin"/>
    </w:r>
    <w:r w:rsidRPr="005B46C9">
      <w:rPr>
        <w:sz w:val="16"/>
        <w:szCs w:val="16"/>
      </w:rPr>
      <w:instrText xml:space="preserve"> STYLEREF  ES-Titre2_ESI  \* MERGEFORMAT </w:instrText>
    </w:r>
    <w:r>
      <w:rPr>
        <w:sz w:val="16"/>
        <w:szCs w:val="16"/>
      </w:rPr>
      <w:fldChar w:fldCharType="separate"/>
    </w:r>
    <w:r w:rsidR="00B25B1A" w:rsidRPr="00B25B1A">
      <w:rPr>
        <w:bCs/>
        <w:noProof/>
        <w:sz w:val="16"/>
        <w:szCs w:val="16"/>
      </w:rPr>
      <w:t>ESI-II-3</w:t>
    </w:r>
    <w:r w:rsidR="00B25B1A" w:rsidRPr="00B25B1A">
      <w:rPr>
        <w:bCs/>
        <w:noProof/>
        <w:sz w:val="16"/>
        <w:szCs w:val="16"/>
      </w:rPr>
      <w:br/>
      <w:t>Minimální předepsaná dopředná rychlost plavby</w:t>
    </w:r>
    <w:r w:rsidR="00B25B1A">
      <w:rPr>
        <w:noProof/>
        <w:sz w:val="16"/>
        <w:szCs w:val="16"/>
      </w:rPr>
      <w:t>, schopnost zastavení a schopnost plavby vzad</w:t>
    </w:r>
    <w:r>
      <w:rPr>
        <w:sz w:val="16"/>
        <w:szCs w:val="16"/>
      </w:rPr>
      <w:fldChar w:fldCharType="end"/>
    </w:r>
    <w:r>
      <w:rPr>
        <w:sz w:val="16"/>
      </w:rPr>
      <w:t xml:space="preserve"> -</w:t>
    </w:r>
  </w:p>
  <w:p w:rsidR="002D015D" w:rsidRPr="004F47BB" w:rsidRDefault="002D015D" w:rsidP="00D45887">
    <w:pPr>
      <w:widowControl w:val="0"/>
      <w:pBdr>
        <w:bottom w:val="single" w:sz="6" w:space="1" w:color="auto"/>
      </w:pBdr>
      <w:tabs>
        <w:tab w:val="right" w:pos="9072"/>
      </w:tabs>
      <w:jc w:val="right"/>
      <w:rPr>
        <w:sz w:val="16"/>
        <w:szCs w:val="16"/>
      </w:rPr>
    </w:pPr>
    <w:r>
      <w:rPr>
        <w:sz w:val="16"/>
        <w:szCs w:val="16"/>
      </w:rPr>
      <w:fldChar w:fldCharType="begin"/>
    </w:r>
    <w:r>
      <w:rPr>
        <w:sz w:val="16"/>
        <w:szCs w:val="16"/>
      </w:rPr>
      <w:instrText xml:space="preserve"> STYLEREF  ES-Titre4  \* MERGEFORMAT </w:instrText>
    </w:r>
    <w:r>
      <w:rPr>
        <w:sz w:val="16"/>
        <w:szCs w:val="16"/>
      </w:rPr>
      <w:fldChar w:fldCharType="separate"/>
    </w:r>
    <w:r w:rsidR="00B25B1A">
      <w:rPr>
        <w:noProof/>
        <w:sz w:val="16"/>
        <w:szCs w:val="16"/>
      </w:rPr>
      <w:t>Příloha 1 k pokynu ESI-II-3</w:t>
    </w:r>
    <w:r>
      <w:rPr>
        <w:sz w:val="16"/>
        <w:szCs w:val="16"/>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5B46C9" w:rsidRDefault="002D015D" w:rsidP="00D45887">
    <w:pPr>
      <w:widowControl w:val="0"/>
      <w:pBdr>
        <w:bottom w:val="single" w:sz="6" w:space="1" w:color="auto"/>
      </w:pBdr>
      <w:tabs>
        <w:tab w:val="right" w:pos="9072"/>
      </w:tabs>
      <w:jc w:val="right"/>
      <w:rPr>
        <w:sz w:val="16"/>
        <w:szCs w:val="16"/>
      </w:rPr>
    </w:pPr>
    <w:r>
      <w:rPr>
        <w:sz w:val="16"/>
      </w:rPr>
      <w:t xml:space="preserve">ES-TRIN </w:t>
    </w:r>
    <w:r>
      <w:tab/>
    </w:r>
    <w:r w:rsidRPr="00CD0739">
      <w:rPr>
        <w:sz w:val="16"/>
        <w:szCs w:val="16"/>
      </w:rPr>
      <w:fldChar w:fldCharType="begin"/>
    </w:r>
    <w:r w:rsidRPr="005B46C9">
      <w:rPr>
        <w:sz w:val="16"/>
        <w:szCs w:val="16"/>
      </w:rPr>
      <w:instrText xml:space="preserve"> STYLEREF  ES-Titre2_ESI  \* MERGEFORMAT </w:instrText>
    </w:r>
    <w:r w:rsidRPr="00CD0739">
      <w:rPr>
        <w:sz w:val="16"/>
        <w:szCs w:val="16"/>
      </w:rPr>
      <w:fldChar w:fldCharType="separate"/>
    </w:r>
    <w:r w:rsidR="00B25B1A" w:rsidRPr="00B25B1A">
      <w:rPr>
        <w:bCs/>
        <w:noProof/>
        <w:sz w:val="16"/>
        <w:szCs w:val="16"/>
      </w:rPr>
      <w:t>ESI-II-3</w:t>
    </w:r>
    <w:r w:rsidR="00B25B1A" w:rsidRPr="00B25B1A">
      <w:rPr>
        <w:bCs/>
        <w:noProof/>
        <w:sz w:val="16"/>
        <w:szCs w:val="16"/>
      </w:rPr>
      <w:br/>
      <w:t>Minimální předepsaná dopředná rychlost plavby</w:t>
    </w:r>
    <w:r w:rsidR="00B25B1A">
      <w:rPr>
        <w:noProof/>
        <w:sz w:val="16"/>
        <w:szCs w:val="16"/>
      </w:rPr>
      <w:t>, schopnost zastavení a schopnost plavby vzad</w:t>
    </w:r>
    <w:r w:rsidRPr="00CD0739">
      <w:rPr>
        <w:sz w:val="16"/>
        <w:szCs w:val="16"/>
      </w:rPr>
      <w:fldChar w:fldCharType="end"/>
    </w:r>
    <w:r>
      <w:rPr>
        <w:sz w:val="16"/>
      </w:rPr>
      <w:t xml:space="preserve"> –</w:t>
    </w:r>
  </w:p>
  <w:p w:rsidR="002D015D" w:rsidRPr="004F47BB" w:rsidRDefault="002D015D" w:rsidP="00D45887">
    <w:pPr>
      <w:widowControl w:val="0"/>
      <w:pBdr>
        <w:bottom w:val="single" w:sz="6" w:space="1" w:color="auto"/>
      </w:pBdr>
      <w:tabs>
        <w:tab w:val="right" w:pos="9072"/>
      </w:tabs>
      <w:jc w:val="right"/>
      <w:rPr>
        <w:sz w:val="16"/>
        <w:szCs w:val="16"/>
      </w:rPr>
    </w:pPr>
    <w:r>
      <w:rPr>
        <w:sz w:val="16"/>
        <w:szCs w:val="16"/>
      </w:rPr>
      <w:fldChar w:fldCharType="begin"/>
    </w:r>
    <w:r>
      <w:rPr>
        <w:sz w:val="16"/>
        <w:szCs w:val="16"/>
      </w:rPr>
      <w:instrText xml:space="preserve"> STYLEREF  ES-Titre4  \* MERGEFORMAT </w:instrText>
    </w:r>
    <w:r>
      <w:rPr>
        <w:sz w:val="16"/>
        <w:szCs w:val="16"/>
      </w:rPr>
      <w:fldChar w:fldCharType="separate"/>
    </w:r>
    <w:r w:rsidR="00B25B1A">
      <w:rPr>
        <w:noProof/>
        <w:sz w:val="16"/>
        <w:szCs w:val="16"/>
      </w:rPr>
      <w:t>Příloha 2 k pokynu ESI-II-3</w:t>
    </w:r>
    <w:r>
      <w:rPr>
        <w:sz w:val="16"/>
        <w:szCs w:val="16"/>
      </w:rPr>
      <w:fldChar w:fldCharType="end"/>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5B46C9" w:rsidRDefault="002D015D" w:rsidP="00D45887">
    <w:pPr>
      <w:widowControl w:val="0"/>
      <w:pBdr>
        <w:bottom w:val="single" w:sz="6" w:space="1" w:color="auto"/>
      </w:pBdr>
      <w:tabs>
        <w:tab w:val="right" w:pos="9072"/>
      </w:tabs>
      <w:jc w:val="right"/>
      <w:rPr>
        <w:sz w:val="16"/>
        <w:szCs w:val="16"/>
      </w:rPr>
    </w:pPr>
    <w:r>
      <w:rPr>
        <w:sz w:val="16"/>
      </w:rPr>
      <w:t xml:space="preserve">ES-TRIN </w:t>
    </w:r>
    <w:r>
      <w:tab/>
    </w:r>
    <w:r>
      <w:rPr>
        <w:sz w:val="16"/>
        <w:szCs w:val="16"/>
      </w:rPr>
      <w:fldChar w:fldCharType="begin"/>
    </w:r>
    <w:r w:rsidRPr="005B46C9">
      <w:rPr>
        <w:sz w:val="16"/>
        <w:szCs w:val="16"/>
      </w:rPr>
      <w:instrText xml:space="preserve"> STYLEREF  ES-Titre2_ESI  \* MERGEFORMAT </w:instrText>
    </w:r>
    <w:r>
      <w:rPr>
        <w:sz w:val="16"/>
        <w:szCs w:val="16"/>
      </w:rPr>
      <w:fldChar w:fldCharType="separate"/>
    </w:r>
    <w:r w:rsidR="00B25B1A" w:rsidRPr="00B25B1A">
      <w:rPr>
        <w:bCs/>
        <w:noProof/>
        <w:sz w:val="16"/>
        <w:szCs w:val="16"/>
      </w:rPr>
      <w:t>ESI-II-3</w:t>
    </w:r>
    <w:r w:rsidR="00B25B1A" w:rsidRPr="00B25B1A">
      <w:rPr>
        <w:bCs/>
        <w:noProof/>
        <w:sz w:val="16"/>
        <w:szCs w:val="16"/>
      </w:rPr>
      <w:br/>
      <w:t>Minimální předepsaná dopředná rychlost plavby</w:t>
    </w:r>
    <w:r w:rsidR="00B25B1A">
      <w:rPr>
        <w:noProof/>
        <w:sz w:val="16"/>
        <w:szCs w:val="16"/>
      </w:rPr>
      <w:t>, schopnost zastavení a schopnost plavby vzad</w:t>
    </w:r>
    <w:r>
      <w:rPr>
        <w:sz w:val="16"/>
        <w:szCs w:val="16"/>
      </w:rPr>
      <w:fldChar w:fldCharType="end"/>
    </w:r>
    <w:r>
      <w:rPr>
        <w:sz w:val="16"/>
      </w:rPr>
      <w:t xml:space="preserve"> -</w:t>
    </w:r>
  </w:p>
  <w:p w:rsidR="002D015D" w:rsidRPr="004F47BB" w:rsidRDefault="002D015D" w:rsidP="00D45887">
    <w:pPr>
      <w:widowControl w:val="0"/>
      <w:pBdr>
        <w:bottom w:val="single" w:sz="6" w:space="1" w:color="auto"/>
      </w:pBdr>
      <w:tabs>
        <w:tab w:val="right" w:pos="9072"/>
      </w:tabs>
      <w:jc w:val="right"/>
      <w:rPr>
        <w:sz w:val="16"/>
        <w:szCs w:val="16"/>
      </w:rPr>
    </w:pPr>
    <w:r>
      <w:rPr>
        <w:sz w:val="16"/>
        <w:szCs w:val="16"/>
      </w:rPr>
      <w:fldChar w:fldCharType="begin"/>
    </w:r>
    <w:r>
      <w:rPr>
        <w:sz w:val="16"/>
        <w:szCs w:val="16"/>
      </w:rPr>
      <w:instrText xml:space="preserve"> STYLEREF  ES-Titre4  \* MERGEFORMAT </w:instrText>
    </w:r>
    <w:r>
      <w:rPr>
        <w:sz w:val="16"/>
        <w:szCs w:val="16"/>
      </w:rPr>
      <w:fldChar w:fldCharType="separate"/>
    </w:r>
    <w:r w:rsidR="00B25B1A">
      <w:rPr>
        <w:noProof/>
        <w:sz w:val="16"/>
        <w:szCs w:val="16"/>
      </w:rPr>
      <w:t>Příloha 2 k pokynu ESI-II-3</w:t>
    </w:r>
    <w:r>
      <w:rPr>
        <w:sz w:val="16"/>
        <w:szCs w:val="16"/>
      </w:rPr>
      <w:fldChar w:fldCharType="end"/>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5B46C9" w:rsidRDefault="002D015D" w:rsidP="00D45887">
    <w:pPr>
      <w:widowControl w:val="0"/>
      <w:pBdr>
        <w:bottom w:val="single" w:sz="6" w:space="1" w:color="auto"/>
      </w:pBdr>
      <w:tabs>
        <w:tab w:val="right" w:pos="9072"/>
      </w:tabs>
      <w:jc w:val="right"/>
      <w:rPr>
        <w:sz w:val="16"/>
        <w:szCs w:val="16"/>
      </w:rPr>
    </w:pPr>
    <w:r>
      <w:rPr>
        <w:sz w:val="16"/>
      </w:rPr>
      <w:t xml:space="preserve">ES-TRIN </w:t>
    </w:r>
    <w:r>
      <w:tab/>
    </w:r>
    <w:r>
      <w:rPr>
        <w:sz w:val="16"/>
        <w:szCs w:val="16"/>
      </w:rPr>
      <w:fldChar w:fldCharType="begin"/>
    </w:r>
    <w:r w:rsidRPr="005B46C9">
      <w:rPr>
        <w:sz w:val="16"/>
        <w:szCs w:val="16"/>
      </w:rPr>
      <w:instrText xml:space="preserve"> STYLEREF  ES-Titre2_ESI  \* MERGEFORMAT </w:instrText>
    </w:r>
    <w:r>
      <w:rPr>
        <w:sz w:val="16"/>
        <w:szCs w:val="16"/>
      </w:rPr>
      <w:fldChar w:fldCharType="separate"/>
    </w:r>
    <w:r w:rsidR="00B25B1A" w:rsidRPr="00B25B1A">
      <w:rPr>
        <w:bCs/>
        <w:noProof/>
        <w:sz w:val="16"/>
        <w:szCs w:val="16"/>
      </w:rPr>
      <w:t>ESI-II-3</w:t>
    </w:r>
    <w:r w:rsidR="00B25B1A" w:rsidRPr="00B25B1A">
      <w:rPr>
        <w:bCs/>
        <w:noProof/>
        <w:sz w:val="16"/>
        <w:szCs w:val="16"/>
      </w:rPr>
      <w:br/>
      <w:t>Minimální předepsaná dopředná rychlost plavby</w:t>
    </w:r>
    <w:r w:rsidR="00B25B1A">
      <w:rPr>
        <w:noProof/>
        <w:sz w:val="16"/>
        <w:szCs w:val="16"/>
      </w:rPr>
      <w:t>, schopnost zastavení a schopnost plavby vzad</w:t>
    </w:r>
    <w:r>
      <w:rPr>
        <w:sz w:val="16"/>
        <w:szCs w:val="16"/>
      </w:rPr>
      <w:fldChar w:fldCharType="end"/>
    </w:r>
    <w:r>
      <w:rPr>
        <w:sz w:val="16"/>
      </w:rPr>
      <w:t xml:space="preserve"> – </w:t>
    </w:r>
  </w:p>
  <w:p w:rsidR="002D015D" w:rsidRPr="009E63BD" w:rsidRDefault="002D015D" w:rsidP="00D45887">
    <w:pPr>
      <w:widowControl w:val="0"/>
      <w:pBdr>
        <w:bottom w:val="single" w:sz="6" w:space="1" w:color="auto"/>
      </w:pBdr>
      <w:tabs>
        <w:tab w:val="right" w:pos="9072"/>
      </w:tabs>
      <w:jc w:val="right"/>
      <w:rPr>
        <w:sz w:val="16"/>
        <w:szCs w:val="16"/>
      </w:rPr>
    </w:pPr>
    <w:r>
      <w:rPr>
        <w:sz w:val="16"/>
        <w:szCs w:val="16"/>
      </w:rPr>
      <w:fldChar w:fldCharType="begin"/>
    </w:r>
    <w:r w:rsidRPr="009E63BD">
      <w:rPr>
        <w:sz w:val="16"/>
        <w:szCs w:val="16"/>
      </w:rPr>
      <w:instrText xml:space="preserve"> STYLEREF  ES-Titre4  \* MERGEFORMAT </w:instrText>
    </w:r>
    <w:r>
      <w:rPr>
        <w:sz w:val="16"/>
        <w:szCs w:val="16"/>
      </w:rPr>
      <w:fldChar w:fldCharType="separate"/>
    </w:r>
    <w:r w:rsidR="00B25B1A">
      <w:rPr>
        <w:noProof/>
        <w:sz w:val="16"/>
        <w:szCs w:val="16"/>
      </w:rPr>
      <w:t>Dodatek k příloze 2 pokynu ESI-II-3</w:t>
    </w:r>
    <w:r>
      <w:rPr>
        <w:sz w:val="16"/>
        <w:szCs w:val="16"/>
      </w:rPr>
      <w:fldChar w:fldCharType="end"/>
    </w:r>
    <w:r>
      <w:rPr>
        <w:sz w:val="16"/>
      </w:rPr>
      <w:t xml:space="preserve"> - </w:t>
    </w:r>
    <w:r>
      <w:rPr>
        <w:sz w:val="16"/>
        <w:szCs w:val="16"/>
      </w:rPr>
      <w:fldChar w:fldCharType="begin"/>
    </w:r>
    <w:r w:rsidRPr="009E63BD">
      <w:rPr>
        <w:sz w:val="16"/>
        <w:szCs w:val="16"/>
      </w:rPr>
      <w:instrText xml:space="preserve"> STYLEREF  ES-Titre4_pr_ESI_exple  \* MERGEFORMAT </w:instrText>
    </w:r>
    <w:r>
      <w:rPr>
        <w:sz w:val="16"/>
        <w:szCs w:val="16"/>
      </w:rPr>
      <w:fldChar w:fldCharType="separate"/>
    </w:r>
    <w:r w:rsidR="00B25B1A">
      <w:rPr>
        <w:noProof/>
        <w:sz w:val="16"/>
        <w:szCs w:val="16"/>
      </w:rPr>
      <w:t>Příklad II</w:t>
    </w:r>
    <w:r>
      <w:rPr>
        <w:sz w:val="16"/>
        <w:szCs w:val="16"/>
      </w:rP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5B46C9" w:rsidRDefault="002D015D" w:rsidP="00D45887">
    <w:pPr>
      <w:widowControl w:val="0"/>
      <w:pBdr>
        <w:bottom w:val="single" w:sz="6" w:space="1" w:color="auto"/>
      </w:pBdr>
      <w:tabs>
        <w:tab w:val="right" w:pos="9072"/>
      </w:tabs>
      <w:jc w:val="right"/>
      <w:rPr>
        <w:sz w:val="16"/>
        <w:szCs w:val="16"/>
      </w:rPr>
    </w:pPr>
    <w:r>
      <w:rPr>
        <w:sz w:val="16"/>
      </w:rPr>
      <w:t xml:space="preserve">ES-TRIN </w:t>
    </w:r>
    <w:r>
      <w:tab/>
    </w:r>
    <w:r>
      <w:rPr>
        <w:sz w:val="16"/>
        <w:szCs w:val="16"/>
      </w:rPr>
      <w:fldChar w:fldCharType="begin"/>
    </w:r>
    <w:r w:rsidRPr="005B46C9">
      <w:rPr>
        <w:sz w:val="16"/>
        <w:szCs w:val="16"/>
      </w:rPr>
      <w:instrText xml:space="preserve"> STYLEREF  ES-Titre2_ESI  \* MERGEFORMAT </w:instrText>
    </w:r>
    <w:r>
      <w:rPr>
        <w:sz w:val="16"/>
        <w:szCs w:val="16"/>
      </w:rPr>
      <w:fldChar w:fldCharType="separate"/>
    </w:r>
    <w:r w:rsidR="00B25B1A" w:rsidRPr="00B25B1A">
      <w:rPr>
        <w:bCs/>
        <w:noProof/>
        <w:sz w:val="16"/>
        <w:szCs w:val="16"/>
      </w:rPr>
      <w:t>ESI-II-3</w:t>
    </w:r>
    <w:r w:rsidR="00B25B1A" w:rsidRPr="00B25B1A">
      <w:rPr>
        <w:bCs/>
        <w:noProof/>
        <w:sz w:val="16"/>
        <w:szCs w:val="16"/>
      </w:rPr>
      <w:br/>
      <w:t>Minimální předepsaná dopředná rychlost plavby</w:t>
    </w:r>
    <w:r w:rsidR="00B25B1A">
      <w:rPr>
        <w:noProof/>
        <w:sz w:val="16"/>
        <w:szCs w:val="16"/>
      </w:rPr>
      <w:t>, schopnost zastavení a schopnost plavby vzad</w:t>
    </w:r>
    <w:r>
      <w:rPr>
        <w:sz w:val="16"/>
        <w:szCs w:val="16"/>
      </w:rPr>
      <w:fldChar w:fldCharType="end"/>
    </w:r>
    <w:r>
      <w:rPr>
        <w:sz w:val="16"/>
      </w:rPr>
      <w:t xml:space="preserve"> -</w:t>
    </w:r>
  </w:p>
  <w:p w:rsidR="002D015D" w:rsidRPr="00E846E9" w:rsidRDefault="002D015D" w:rsidP="00D45887">
    <w:pPr>
      <w:widowControl w:val="0"/>
      <w:pBdr>
        <w:bottom w:val="single" w:sz="6" w:space="1" w:color="auto"/>
      </w:pBdr>
      <w:tabs>
        <w:tab w:val="right" w:pos="9072"/>
      </w:tabs>
      <w:jc w:val="right"/>
      <w:rPr>
        <w:sz w:val="16"/>
        <w:szCs w:val="16"/>
      </w:rPr>
    </w:pPr>
    <w:r>
      <w:rPr>
        <w:sz w:val="16"/>
        <w:szCs w:val="16"/>
      </w:rPr>
      <w:fldChar w:fldCharType="begin"/>
    </w:r>
    <w:r>
      <w:rPr>
        <w:sz w:val="16"/>
        <w:szCs w:val="16"/>
      </w:rPr>
      <w:instrText xml:space="preserve"> STYLEREF  ES-Titre4  \* MERGEFORMAT </w:instrText>
    </w:r>
    <w:r>
      <w:rPr>
        <w:sz w:val="16"/>
        <w:szCs w:val="16"/>
      </w:rPr>
      <w:fldChar w:fldCharType="separate"/>
    </w:r>
    <w:r w:rsidR="00B25B1A">
      <w:rPr>
        <w:noProof/>
        <w:sz w:val="16"/>
        <w:szCs w:val="16"/>
      </w:rPr>
      <w:t>Dodatek k příloze 2 pokynu ESI-II-3</w:t>
    </w:r>
    <w:r>
      <w:rPr>
        <w:sz w:val="16"/>
        <w:szCs w:val="16"/>
      </w:rPr>
      <w:fldChar w:fldCharType="end"/>
    </w:r>
    <w:r>
      <w:rPr>
        <w:sz w:val="16"/>
      </w:rPr>
      <w:t>–</w:t>
    </w:r>
    <w:r>
      <w:rPr>
        <w:sz w:val="16"/>
        <w:szCs w:val="16"/>
      </w:rPr>
      <w:fldChar w:fldCharType="begin"/>
    </w:r>
    <w:r>
      <w:rPr>
        <w:sz w:val="16"/>
        <w:szCs w:val="16"/>
      </w:rPr>
      <w:instrText xml:space="preserve"> STYLEREF  ES-Titre4_pr_ESI_exple  \* MERGEFORMAT </w:instrText>
    </w:r>
    <w:r>
      <w:rPr>
        <w:sz w:val="16"/>
        <w:szCs w:val="16"/>
      </w:rPr>
      <w:fldChar w:fldCharType="separate"/>
    </w:r>
    <w:r w:rsidR="00B25B1A">
      <w:rPr>
        <w:noProof/>
        <w:sz w:val="16"/>
        <w:szCs w:val="16"/>
      </w:rPr>
      <w:t>Příklad I</w:t>
    </w:r>
    <w:r>
      <w:rPr>
        <w:sz w:val="16"/>
        <w:szCs w:val="16"/>
      </w:rPr>
      <w:fldChar w:fldCharType="end"/>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5B46C9" w:rsidRDefault="002D015D" w:rsidP="00D45887">
    <w:pPr>
      <w:widowControl w:val="0"/>
      <w:pBdr>
        <w:bottom w:val="single" w:sz="6" w:space="1" w:color="auto"/>
      </w:pBdr>
      <w:tabs>
        <w:tab w:val="right" w:pos="9072"/>
      </w:tabs>
      <w:jc w:val="right"/>
      <w:rPr>
        <w:sz w:val="16"/>
        <w:szCs w:val="16"/>
      </w:rPr>
    </w:pPr>
    <w:r>
      <w:rPr>
        <w:sz w:val="16"/>
      </w:rPr>
      <w:t xml:space="preserve">ES-TRIN </w:t>
    </w:r>
    <w:r>
      <w:tab/>
    </w:r>
    <w:r>
      <w:rPr>
        <w:sz w:val="16"/>
        <w:szCs w:val="16"/>
      </w:rPr>
      <w:fldChar w:fldCharType="begin"/>
    </w:r>
    <w:r w:rsidRPr="005B46C9">
      <w:rPr>
        <w:sz w:val="16"/>
        <w:szCs w:val="16"/>
      </w:rPr>
      <w:instrText xml:space="preserve"> STYLEREF  ES-Titre2_ESI  \* MERGEFORMAT </w:instrText>
    </w:r>
    <w:r>
      <w:rPr>
        <w:sz w:val="16"/>
        <w:szCs w:val="16"/>
      </w:rPr>
      <w:fldChar w:fldCharType="separate"/>
    </w:r>
    <w:r w:rsidR="00B25B1A" w:rsidRPr="00B25B1A">
      <w:rPr>
        <w:bCs/>
        <w:noProof/>
        <w:sz w:val="16"/>
        <w:szCs w:val="16"/>
      </w:rPr>
      <w:t>ESI-II-3</w:t>
    </w:r>
    <w:r w:rsidR="00B25B1A" w:rsidRPr="00B25B1A">
      <w:rPr>
        <w:bCs/>
        <w:noProof/>
        <w:sz w:val="16"/>
        <w:szCs w:val="16"/>
      </w:rPr>
      <w:br/>
      <w:t>Minimální předepsaná dopředná rychlost plavby</w:t>
    </w:r>
    <w:r w:rsidR="00B25B1A">
      <w:rPr>
        <w:noProof/>
        <w:sz w:val="16"/>
        <w:szCs w:val="16"/>
      </w:rPr>
      <w:t>, schopnost zastavení a schopnost plavby vzad</w:t>
    </w:r>
    <w:r>
      <w:rPr>
        <w:sz w:val="16"/>
        <w:szCs w:val="16"/>
      </w:rPr>
      <w:fldChar w:fldCharType="end"/>
    </w:r>
    <w:r>
      <w:rPr>
        <w:sz w:val="16"/>
      </w:rPr>
      <w:t xml:space="preserve"> – </w:t>
    </w:r>
  </w:p>
  <w:p w:rsidR="002D015D" w:rsidRPr="006B7368" w:rsidRDefault="002D015D" w:rsidP="00D45887">
    <w:pPr>
      <w:widowControl w:val="0"/>
      <w:pBdr>
        <w:bottom w:val="single" w:sz="6" w:space="1" w:color="auto"/>
      </w:pBdr>
      <w:tabs>
        <w:tab w:val="right" w:pos="9072"/>
      </w:tabs>
      <w:jc w:val="right"/>
      <w:rPr>
        <w:sz w:val="16"/>
        <w:szCs w:val="16"/>
      </w:rPr>
    </w:pPr>
    <w:r>
      <w:rPr>
        <w:sz w:val="16"/>
        <w:szCs w:val="16"/>
      </w:rPr>
      <w:fldChar w:fldCharType="begin"/>
    </w:r>
    <w:r w:rsidRPr="006B7368">
      <w:rPr>
        <w:sz w:val="16"/>
        <w:szCs w:val="16"/>
      </w:rPr>
      <w:instrText xml:space="preserve"> STYLEREF  ES-Titre4  \* MERGEFORMAT </w:instrText>
    </w:r>
    <w:r>
      <w:rPr>
        <w:sz w:val="16"/>
        <w:szCs w:val="16"/>
      </w:rPr>
      <w:fldChar w:fldCharType="separate"/>
    </w:r>
    <w:r w:rsidR="00B25B1A">
      <w:rPr>
        <w:noProof/>
        <w:sz w:val="16"/>
        <w:szCs w:val="16"/>
      </w:rPr>
      <w:t>Dodatek k příloze 2 pokynu ESI-II-3</w:t>
    </w:r>
    <w:r>
      <w:rPr>
        <w:sz w:val="16"/>
        <w:szCs w:val="16"/>
      </w:rPr>
      <w:fldChar w:fldCharType="end"/>
    </w:r>
    <w:r>
      <w:rPr>
        <w:sz w:val="16"/>
      </w:rPr>
      <w:t xml:space="preserve"> - </w:t>
    </w:r>
    <w:r>
      <w:rPr>
        <w:sz w:val="16"/>
        <w:szCs w:val="16"/>
      </w:rPr>
      <w:fldChar w:fldCharType="begin"/>
    </w:r>
    <w:r w:rsidRPr="006B7368">
      <w:rPr>
        <w:sz w:val="16"/>
        <w:szCs w:val="16"/>
      </w:rPr>
      <w:instrText xml:space="preserve"> STYLEREF  ES-Titre4_pr_ESI_exple  \* MERGEFORMAT </w:instrText>
    </w:r>
    <w:r>
      <w:rPr>
        <w:sz w:val="16"/>
        <w:szCs w:val="16"/>
      </w:rPr>
      <w:fldChar w:fldCharType="separate"/>
    </w:r>
    <w:r w:rsidR="00B25B1A">
      <w:rPr>
        <w:noProof/>
        <w:sz w:val="16"/>
        <w:szCs w:val="16"/>
      </w:rPr>
      <w:t>Příklad II</w:t>
    </w:r>
    <w:r>
      <w:rPr>
        <w:sz w:val="16"/>
        <w:szCs w:val="16"/>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9025E1" w:rsidRDefault="002D015D" w:rsidP="00D45887">
    <w:pPr>
      <w:widowControl w:val="0"/>
      <w:pBdr>
        <w:bottom w:val="single" w:sz="6" w:space="1" w:color="auto"/>
      </w:pBdr>
      <w:tabs>
        <w:tab w:val="right" w:pos="9072"/>
      </w:tabs>
      <w:jc w:val="right"/>
      <w:rPr>
        <w:sz w:val="16"/>
        <w:szCs w:val="16"/>
      </w:rPr>
    </w:pPr>
    <w:r>
      <w:rPr>
        <w:sz w:val="16"/>
      </w:rPr>
      <w:t xml:space="preserve">ES-TRIN </w:t>
    </w:r>
    <w:r>
      <w:tab/>
    </w:r>
    <w:r w:rsidRPr="005B46C9">
      <w:rPr>
        <w:sz w:val="16"/>
        <w:szCs w:val="16"/>
      </w:rPr>
      <w:fldChar w:fldCharType="begin"/>
    </w:r>
    <w:r w:rsidRPr="005B46C9">
      <w:rPr>
        <w:sz w:val="16"/>
        <w:szCs w:val="16"/>
      </w:rPr>
      <w:instrText xml:space="preserve"> STYLEREF  ES-Titre2_ESI  \* MERGEFORMAT </w:instrText>
    </w:r>
    <w:r w:rsidRPr="005B46C9">
      <w:rPr>
        <w:sz w:val="16"/>
        <w:szCs w:val="16"/>
      </w:rPr>
      <w:fldChar w:fldCharType="separate"/>
    </w:r>
    <w:r w:rsidR="00B25B1A" w:rsidRPr="00B25B1A">
      <w:rPr>
        <w:bCs/>
        <w:noProof/>
        <w:sz w:val="16"/>
        <w:szCs w:val="16"/>
      </w:rPr>
      <w:t>ESI-II-4</w:t>
    </w:r>
    <w:r w:rsidR="00B25B1A" w:rsidRPr="00B25B1A">
      <w:rPr>
        <w:bCs/>
        <w:noProof/>
        <w:sz w:val="16"/>
        <w:szCs w:val="16"/>
      </w:rPr>
      <w:br/>
      <w:t>Schopnost provádět vyhýbací manévry a</w:t>
    </w:r>
    <w:r w:rsidR="00B25B1A">
      <w:rPr>
        <w:noProof/>
        <w:sz w:val="16"/>
        <w:szCs w:val="16"/>
      </w:rPr>
      <w:t xml:space="preserve"> otáčecí manévry</w:t>
    </w:r>
    <w:r w:rsidRPr="005B46C9">
      <w:rPr>
        <w:sz w:val="16"/>
        <w:szCs w:val="16"/>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5B46C9" w:rsidRDefault="002D015D" w:rsidP="00D45887">
    <w:pPr>
      <w:widowControl w:val="0"/>
      <w:pBdr>
        <w:bottom w:val="single" w:sz="6" w:space="1" w:color="auto"/>
      </w:pBdr>
      <w:tabs>
        <w:tab w:val="right" w:pos="9072"/>
      </w:tabs>
      <w:jc w:val="right"/>
      <w:rPr>
        <w:sz w:val="16"/>
        <w:szCs w:val="16"/>
      </w:rPr>
    </w:pPr>
    <w:r>
      <w:rPr>
        <w:sz w:val="16"/>
      </w:rPr>
      <w:t xml:space="preserve">ES-TRIN </w:t>
    </w:r>
    <w:r>
      <w:tab/>
    </w:r>
    <w:r w:rsidRPr="005B46C9">
      <w:rPr>
        <w:sz w:val="16"/>
        <w:szCs w:val="16"/>
      </w:rPr>
      <w:fldChar w:fldCharType="begin"/>
    </w:r>
    <w:r w:rsidRPr="005B46C9">
      <w:rPr>
        <w:sz w:val="16"/>
        <w:szCs w:val="16"/>
      </w:rPr>
      <w:instrText xml:space="preserve"> STYLEREF  ES-Titre2_ESI  \* MERGEFORMAT </w:instrText>
    </w:r>
    <w:r w:rsidRPr="005B46C9">
      <w:rPr>
        <w:sz w:val="16"/>
        <w:szCs w:val="16"/>
      </w:rPr>
      <w:fldChar w:fldCharType="separate"/>
    </w:r>
    <w:r w:rsidR="00B25B1A" w:rsidRPr="00B25B1A">
      <w:rPr>
        <w:bCs/>
        <w:noProof/>
        <w:sz w:val="16"/>
        <w:szCs w:val="16"/>
      </w:rPr>
      <w:t>ESI-II-4</w:t>
    </w:r>
    <w:r w:rsidR="00B25B1A" w:rsidRPr="00B25B1A">
      <w:rPr>
        <w:bCs/>
        <w:noProof/>
        <w:sz w:val="16"/>
        <w:szCs w:val="16"/>
      </w:rPr>
      <w:br/>
      <w:t>Schopnost provádět vyhýbací manévry a</w:t>
    </w:r>
    <w:r w:rsidR="00B25B1A">
      <w:rPr>
        <w:noProof/>
        <w:sz w:val="16"/>
        <w:szCs w:val="16"/>
      </w:rPr>
      <w:t xml:space="preserve"> otáčecí manévry</w:t>
    </w:r>
    <w:r w:rsidRPr="005B46C9">
      <w:rPr>
        <w:sz w:val="16"/>
        <w:szCs w:val="16"/>
      </w:rPr>
      <w:fldChar w:fldCharType="end"/>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9025E1" w:rsidRDefault="002D015D" w:rsidP="00D45887">
    <w:pPr>
      <w:widowControl w:val="0"/>
      <w:pBdr>
        <w:bottom w:val="single" w:sz="6" w:space="1" w:color="auto"/>
      </w:pBdr>
      <w:tabs>
        <w:tab w:val="right" w:pos="9072"/>
      </w:tabs>
      <w:jc w:val="right"/>
      <w:rPr>
        <w:sz w:val="16"/>
        <w:szCs w:val="16"/>
      </w:rPr>
    </w:pPr>
    <w:r>
      <w:rPr>
        <w:sz w:val="16"/>
      </w:rPr>
      <w:t xml:space="preserve">ES-TRIN </w:t>
    </w:r>
    <w:r>
      <w:tab/>
    </w:r>
    <w:r>
      <w:rPr>
        <w:sz w:val="16"/>
        <w:szCs w:val="16"/>
      </w:rPr>
      <w:fldChar w:fldCharType="begin"/>
    </w:r>
    <w:r w:rsidRPr="009025E1">
      <w:rPr>
        <w:sz w:val="16"/>
        <w:szCs w:val="16"/>
      </w:rPr>
      <w:instrText xml:space="preserve"> STYLEREF  ES-Titre2  \* MERGEFORMAT </w:instrText>
    </w:r>
    <w:r>
      <w:rPr>
        <w:sz w:val="16"/>
        <w:szCs w:val="16"/>
      </w:rPr>
      <w:fldChar w:fldCharType="separate"/>
    </w:r>
    <w:r>
      <w:rPr>
        <w:noProof/>
        <w:sz w:val="16"/>
        <w:szCs w:val="16"/>
      </w:rPr>
      <w:t>Annex 8</w:t>
    </w:r>
    <w:r>
      <w:rPr>
        <w:noProof/>
        <w:sz w:val="16"/>
        <w:szCs w:val="16"/>
      </w:rPr>
      <w:br/>
      <w:t>Supplementary provisions applicable to craft operating</w:t>
    </w:r>
    <w:r>
      <w:rPr>
        <w:noProof/>
        <w:sz w:val="16"/>
        <w:szCs w:val="16"/>
      </w:rPr>
      <w:br/>
      <w:t>on fuels with a flashpoint equal to or lower than 55  C</w:t>
    </w:r>
    <w:r>
      <w:rPr>
        <w:sz w:val="16"/>
        <w:szCs w:val="16"/>
      </w:rPr>
      <w:fldChar w:fldCharType="end"/>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5B46C9" w:rsidRDefault="002D015D" w:rsidP="00D45887">
    <w:pPr>
      <w:widowControl w:val="0"/>
      <w:pBdr>
        <w:bottom w:val="single" w:sz="6" w:space="1" w:color="auto"/>
      </w:pBdr>
      <w:tabs>
        <w:tab w:val="right" w:pos="9072"/>
      </w:tabs>
      <w:jc w:val="right"/>
      <w:rPr>
        <w:sz w:val="16"/>
        <w:szCs w:val="16"/>
      </w:rPr>
    </w:pPr>
    <w:r>
      <w:rPr>
        <w:sz w:val="16"/>
      </w:rPr>
      <w:t xml:space="preserve">ES-TRIN </w:t>
    </w:r>
    <w:r>
      <w:tab/>
    </w:r>
    <w:r w:rsidRPr="005B46C9">
      <w:rPr>
        <w:sz w:val="16"/>
        <w:szCs w:val="16"/>
      </w:rPr>
      <w:fldChar w:fldCharType="begin"/>
    </w:r>
    <w:r w:rsidRPr="005B46C9">
      <w:rPr>
        <w:sz w:val="16"/>
        <w:szCs w:val="16"/>
      </w:rPr>
      <w:instrText xml:space="preserve"> STYLEREF  ES-Titre2_ESI  \* MERGEFORMAT </w:instrText>
    </w:r>
    <w:r w:rsidRPr="005B46C9">
      <w:rPr>
        <w:sz w:val="16"/>
        <w:szCs w:val="16"/>
      </w:rPr>
      <w:fldChar w:fldCharType="separate"/>
    </w:r>
    <w:r w:rsidR="00B25B1A" w:rsidRPr="00B25B1A">
      <w:rPr>
        <w:bCs/>
        <w:noProof/>
        <w:sz w:val="16"/>
        <w:szCs w:val="16"/>
      </w:rPr>
      <w:t>ESI-II-4</w:t>
    </w:r>
    <w:r w:rsidR="00B25B1A" w:rsidRPr="00B25B1A">
      <w:rPr>
        <w:bCs/>
        <w:noProof/>
        <w:sz w:val="16"/>
        <w:szCs w:val="16"/>
      </w:rPr>
      <w:br/>
      <w:t>Schopnost provádět vyhýbací manévry a</w:t>
    </w:r>
    <w:r w:rsidR="00B25B1A">
      <w:rPr>
        <w:noProof/>
        <w:sz w:val="16"/>
        <w:szCs w:val="16"/>
      </w:rPr>
      <w:t xml:space="preserve"> otáčecí manévry</w:t>
    </w:r>
    <w:r w:rsidRPr="005B46C9">
      <w:rPr>
        <w:sz w:val="16"/>
        <w:szCs w:val="16"/>
      </w:rPr>
      <w:fldChar w:fldCharType="end"/>
    </w:r>
    <w:r>
      <w:rPr>
        <w:sz w:val="16"/>
      </w:rPr>
      <w:t xml:space="preserve"> - </w:t>
    </w:r>
    <w:r>
      <w:rPr>
        <w:sz w:val="16"/>
        <w:szCs w:val="16"/>
      </w:rPr>
      <w:fldChar w:fldCharType="begin"/>
    </w:r>
    <w:r>
      <w:rPr>
        <w:sz w:val="16"/>
        <w:szCs w:val="16"/>
      </w:rPr>
      <w:instrText xml:space="preserve"> STYLEREF  ES-Titre4  \* MERGEFORMAT </w:instrText>
    </w:r>
    <w:r>
      <w:rPr>
        <w:sz w:val="16"/>
        <w:szCs w:val="16"/>
      </w:rPr>
      <w:fldChar w:fldCharType="separate"/>
    </w:r>
    <w:r w:rsidR="00B25B1A">
      <w:rPr>
        <w:noProof/>
        <w:sz w:val="16"/>
        <w:szCs w:val="16"/>
      </w:rPr>
      <w:t>Příloha 1 k pokynu ESI-II-4</w:t>
    </w:r>
    <w:r>
      <w:rPr>
        <w:sz w:val="16"/>
        <w:szCs w:val="16"/>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9A1D30" w:rsidRDefault="002D015D" w:rsidP="0010389F">
    <w:pPr>
      <w:pStyle w:val="Header"/>
      <w:pBdr>
        <w:bottom w:val="single" w:sz="4" w:space="1" w:color="auto"/>
      </w:pBdr>
      <w:tabs>
        <w:tab w:val="clear" w:pos="8306"/>
        <w:tab w:val="right" w:pos="9072"/>
      </w:tabs>
      <w:rPr>
        <w:sz w:val="16"/>
        <w:szCs w:val="16"/>
      </w:rPr>
    </w:pPr>
    <w:r>
      <w:rPr>
        <w:sz w:val="16"/>
      </w:rPr>
      <w:t>ES-TRIN</w:t>
    </w:r>
    <w:r>
      <w:tab/>
    </w:r>
    <w:r>
      <w:rPr>
        <w:sz w:val="16"/>
      </w:rPr>
      <w:t>Kapitola 1</w:t>
    </w:r>
  </w:p>
  <w:p w:rsidR="002D015D" w:rsidRPr="009A1D30" w:rsidRDefault="002D015D" w:rsidP="0010389F">
    <w:pPr>
      <w:pStyle w:val="Header"/>
      <w:pBdr>
        <w:bottom w:val="single" w:sz="4" w:space="1" w:color="auto"/>
      </w:pBdr>
      <w:jc w:val="right"/>
      <w:rPr>
        <w:sz w:val="16"/>
        <w:szCs w:val="16"/>
      </w:rPr>
    </w:pPr>
    <w:r>
      <w:rPr>
        <w:sz w:val="16"/>
      </w:rPr>
      <w:t>Obecně</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5B46C9" w:rsidRDefault="002D015D" w:rsidP="00D45887">
    <w:pPr>
      <w:widowControl w:val="0"/>
      <w:pBdr>
        <w:bottom w:val="single" w:sz="6" w:space="1" w:color="auto"/>
      </w:pBdr>
      <w:tabs>
        <w:tab w:val="right" w:pos="9072"/>
      </w:tabs>
      <w:jc w:val="right"/>
      <w:rPr>
        <w:sz w:val="16"/>
        <w:szCs w:val="16"/>
      </w:rPr>
    </w:pPr>
    <w:r>
      <w:rPr>
        <w:sz w:val="16"/>
      </w:rPr>
      <w:t xml:space="preserve">ES-TRIN </w:t>
    </w:r>
    <w:r>
      <w:tab/>
    </w:r>
    <w:r w:rsidRPr="005B46C9">
      <w:rPr>
        <w:sz w:val="16"/>
        <w:szCs w:val="16"/>
      </w:rPr>
      <w:fldChar w:fldCharType="begin"/>
    </w:r>
    <w:r w:rsidRPr="005B46C9">
      <w:rPr>
        <w:sz w:val="16"/>
        <w:szCs w:val="16"/>
      </w:rPr>
      <w:instrText xml:space="preserve"> STYLEREF  ES-Titre2_ESI  \* MERGEFORMAT </w:instrText>
    </w:r>
    <w:r w:rsidRPr="005B46C9">
      <w:rPr>
        <w:sz w:val="16"/>
        <w:szCs w:val="16"/>
      </w:rPr>
      <w:fldChar w:fldCharType="separate"/>
    </w:r>
    <w:r w:rsidR="00B25B1A" w:rsidRPr="00B25B1A">
      <w:rPr>
        <w:bCs/>
        <w:noProof/>
        <w:sz w:val="16"/>
        <w:szCs w:val="16"/>
      </w:rPr>
      <w:t>ESI-II-4</w:t>
    </w:r>
    <w:r w:rsidR="00B25B1A" w:rsidRPr="00B25B1A">
      <w:rPr>
        <w:bCs/>
        <w:noProof/>
        <w:sz w:val="16"/>
        <w:szCs w:val="16"/>
      </w:rPr>
      <w:br/>
      <w:t>Schopnost provádět vyhýbací manévry a</w:t>
    </w:r>
    <w:r w:rsidR="00B25B1A">
      <w:rPr>
        <w:noProof/>
        <w:sz w:val="16"/>
        <w:szCs w:val="16"/>
      </w:rPr>
      <w:t xml:space="preserve"> otáčecí manévry</w:t>
    </w:r>
    <w:r w:rsidRPr="005B46C9">
      <w:rPr>
        <w:sz w:val="16"/>
        <w:szCs w:val="16"/>
      </w:rPr>
      <w:fldChar w:fldCharType="end"/>
    </w:r>
    <w:r>
      <w:rPr>
        <w:sz w:val="16"/>
      </w:rPr>
      <w:t xml:space="preserve"> - </w:t>
    </w:r>
    <w:r>
      <w:rPr>
        <w:sz w:val="16"/>
        <w:szCs w:val="16"/>
      </w:rPr>
      <w:fldChar w:fldCharType="begin"/>
    </w:r>
    <w:r>
      <w:rPr>
        <w:sz w:val="16"/>
        <w:szCs w:val="16"/>
      </w:rPr>
      <w:instrText xml:space="preserve"> STYLEREF  ES-Titre4  \* MERGEFORMAT </w:instrText>
    </w:r>
    <w:r>
      <w:rPr>
        <w:sz w:val="16"/>
        <w:szCs w:val="16"/>
      </w:rPr>
      <w:fldChar w:fldCharType="separate"/>
    </w:r>
    <w:r w:rsidR="00B25B1A">
      <w:rPr>
        <w:noProof/>
        <w:sz w:val="16"/>
        <w:szCs w:val="16"/>
      </w:rPr>
      <w:t>Příloha 2 k pokynu ESI-II-4</w:t>
    </w:r>
    <w:r>
      <w:rPr>
        <w:sz w:val="16"/>
        <w:szCs w:val="16"/>
      </w:rPr>
      <w:fldChar w:fldCharType="end"/>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9025E1" w:rsidRDefault="002D015D" w:rsidP="00D45887">
    <w:pPr>
      <w:widowControl w:val="0"/>
      <w:pBdr>
        <w:bottom w:val="single" w:sz="6" w:space="1" w:color="auto"/>
      </w:pBdr>
      <w:tabs>
        <w:tab w:val="right" w:pos="9070"/>
      </w:tabs>
      <w:jc w:val="right"/>
      <w:rPr>
        <w:sz w:val="16"/>
        <w:szCs w:val="16"/>
      </w:rPr>
    </w:pPr>
    <w:r>
      <w:rPr>
        <w:sz w:val="16"/>
      </w:rPr>
      <w:t>ES-TRIN</w:t>
    </w:r>
    <w:r>
      <w:tab/>
    </w:r>
    <w:r>
      <w:rPr>
        <w:sz w:val="16"/>
        <w:szCs w:val="16"/>
      </w:rPr>
      <w:fldChar w:fldCharType="begin"/>
    </w:r>
    <w:r w:rsidRPr="009025E1">
      <w:rPr>
        <w:sz w:val="16"/>
        <w:szCs w:val="16"/>
      </w:rPr>
      <w:instrText xml:space="preserve"> STYLEREF  ES-Titre2  \* MERGEFORMAT </w:instrText>
    </w:r>
    <w:r>
      <w:rPr>
        <w:sz w:val="16"/>
        <w:szCs w:val="16"/>
      </w:rPr>
      <w:fldChar w:fldCharType="separate"/>
    </w:r>
    <w:r>
      <w:rPr>
        <w:noProof/>
        <w:sz w:val="16"/>
        <w:szCs w:val="16"/>
      </w:rPr>
      <w:t>Annex 8</w:t>
    </w:r>
    <w:r>
      <w:rPr>
        <w:noProof/>
        <w:sz w:val="16"/>
        <w:szCs w:val="16"/>
      </w:rPr>
      <w:br/>
      <w:t>Supplementary provisions applicable to craft operating</w:t>
    </w:r>
    <w:r>
      <w:rPr>
        <w:noProof/>
        <w:sz w:val="16"/>
        <w:szCs w:val="16"/>
      </w:rPr>
      <w:br/>
      <w:t>on fuels with a flashpoint equal to or lower than 55  C</w:t>
    </w:r>
    <w:r>
      <w:rPr>
        <w:sz w:val="16"/>
        <w:szCs w:val="16"/>
      </w:rP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C30168" w:rsidRDefault="002D015D" w:rsidP="00D45887">
    <w:pPr>
      <w:widowControl w:val="0"/>
      <w:pBdr>
        <w:bottom w:val="single" w:sz="6" w:space="1" w:color="auto"/>
      </w:pBdr>
      <w:tabs>
        <w:tab w:val="right" w:pos="9072"/>
      </w:tabs>
      <w:jc w:val="right"/>
      <w:rPr>
        <w:sz w:val="16"/>
        <w:szCs w:val="16"/>
      </w:rPr>
    </w:pPr>
    <w:r>
      <w:rPr>
        <w:sz w:val="16"/>
      </w:rPr>
      <w:t xml:space="preserve">ES-TRIN </w:t>
    </w:r>
    <w:r>
      <w:tab/>
    </w:r>
    <w:r>
      <w:rPr>
        <w:sz w:val="16"/>
        <w:szCs w:val="16"/>
      </w:rPr>
      <w:fldChar w:fldCharType="begin"/>
    </w:r>
    <w:r w:rsidRPr="00E846E9">
      <w:rPr>
        <w:sz w:val="16"/>
        <w:szCs w:val="16"/>
      </w:rPr>
      <w:instrText xml:space="preserve"> STYLEREF  ES-Titre2_ESI  \* MERGEFORMAT </w:instrText>
    </w:r>
    <w:r>
      <w:rPr>
        <w:sz w:val="16"/>
        <w:szCs w:val="16"/>
      </w:rPr>
      <w:fldChar w:fldCharType="separate"/>
    </w:r>
    <w:r w:rsidR="00B25B1A">
      <w:rPr>
        <w:noProof/>
        <w:sz w:val="16"/>
        <w:szCs w:val="16"/>
      </w:rPr>
      <w:t>ESI-II-9</w:t>
    </w:r>
    <w:r w:rsidR="00B25B1A">
      <w:rPr>
        <w:noProof/>
        <w:sz w:val="16"/>
        <w:szCs w:val="16"/>
      </w:rPr>
      <w:br/>
      <w:t>Zvláštní kotvy se sníženou hmotností</w:t>
    </w:r>
    <w:r>
      <w:rPr>
        <w:sz w:val="16"/>
        <w:szCs w:val="16"/>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9025E1" w:rsidRDefault="002D015D" w:rsidP="00D45887">
    <w:pPr>
      <w:widowControl w:val="0"/>
      <w:pBdr>
        <w:bottom w:val="single" w:sz="6" w:space="1" w:color="auto"/>
      </w:pBdr>
      <w:tabs>
        <w:tab w:val="right" w:pos="13892"/>
      </w:tabs>
      <w:jc w:val="right"/>
      <w:rPr>
        <w:sz w:val="16"/>
        <w:szCs w:val="16"/>
      </w:rPr>
    </w:pPr>
    <w:r>
      <w:rPr>
        <w:sz w:val="16"/>
      </w:rPr>
      <w:t xml:space="preserve">ES-TRIN </w:t>
    </w:r>
    <w:r>
      <w:tab/>
    </w:r>
    <w:r>
      <w:rPr>
        <w:sz w:val="16"/>
        <w:szCs w:val="16"/>
      </w:rPr>
      <w:fldChar w:fldCharType="begin"/>
    </w:r>
    <w:r w:rsidRPr="00E846E9">
      <w:rPr>
        <w:sz w:val="16"/>
        <w:szCs w:val="16"/>
      </w:rPr>
      <w:instrText xml:space="preserve"> STYLEREF  ES-Titre2_ESI  \* MERGEFORMAT </w:instrText>
    </w:r>
    <w:r>
      <w:rPr>
        <w:sz w:val="16"/>
        <w:szCs w:val="16"/>
      </w:rPr>
      <w:fldChar w:fldCharType="separate"/>
    </w:r>
    <w:r w:rsidR="00B25B1A">
      <w:rPr>
        <w:noProof/>
        <w:sz w:val="16"/>
        <w:szCs w:val="16"/>
      </w:rPr>
      <w:t>ESI-II-9</w:t>
    </w:r>
    <w:r w:rsidR="00B25B1A">
      <w:rPr>
        <w:noProof/>
        <w:sz w:val="16"/>
        <w:szCs w:val="16"/>
      </w:rPr>
      <w:br/>
      <w:t>Zvláštní kotvy se sníženou hmotností</w:t>
    </w:r>
    <w:r>
      <w:rPr>
        <w:sz w:val="16"/>
        <w:szCs w:val="16"/>
      </w:rPr>
      <w:fldChar w:fldCharType="end"/>
    </w:r>
    <w:r>
      <w:rPr>
        <w:sz w:val="16"/>
      </w:rPr>
      <w:t xml:space="preserve"> - </w:t>
    </w:r>
    <w:r>
      <w:rPr>
        <w:sz w:val="16"/>
        <w:szCs w:val="16"/>
      </w:rPr>
      <w:fldChar w:fldCharType="begin"/>
    </w:r>
    <w:r>
      <w:rPr>
        <w:sz w:val="16"/>
        <w:szCs w:val="16"/>
      </w:rPr>
      <w:instrText xml:space="preserve"> STYLEREF  ES-Titre4  \* MERGEFORMAT </w:instrText>
    </w:r>
    <w:r>
      <w:rPr>
        <w:sz w:val="16"/>
        <w:szCs w:val="16"/>
      </w:rPr>
      <w:fldChar w:fldCharType="separate"/>
    </w:r>
    <w:r w:rsidR="00B25B1A">
      <w:rPr>
        <w:noProof/>
        <w:sz w:val="16"/>
        <w:szCs w:val="16"/>
      </w:rPr>
      <w:t>Příloha 1 k pokynu ESI-II-9</w:t>
    </w:r>
    <w:r>
      <w:rPr>
        <w:sz w:val="16"/>
        <w:szCs w:val="16"/>
      </w:rPr>
      <w:fldChar w:fldCharType="end"/>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9025E1" w:rsidRDefault="002D015D" w:rsidP="00D45887">
    <w:pPr>
      <w:widowControl w:val="0"/>
      <w:pBdr>
        <w:bottom w:val="single" w:sz="6" w:space="1" w:color="auto"/>
      </w:pBdr>
      <w:tabs>
        <w:tab w:val="right" w:pos="9072"/>
      </w:tabs>
      <w:jc w:val="right"/>
      <w:rPr>
        <w:sz w:val="16"/>
        <w:szCs w:val="16"/>
      </w:rPr>
    </w:pPr>
    <w:r>
      <w:rPr>
        <w:sz w:val="16"/>
      </w:rPr>
      <w:t xml:space="preserve">ES-TRIN </w:t>
    </w:r>
    <w:r>
      <w:tab/>
    </w:r>
    <w:r>
      <w:rPr>
        <w:sz w:val="16"/>
        <w:szCs w:val="16"/>
      </w:rPr>
      <w:fldChar w:fldCharType="begin"/>
    </w:r>
    <w:r w:rsidRPr="00E846E9">
      <w:rPr>
        <w:sz w:val="16"/>
        <w:szCs w:val="16"/>
      </w:rPr>
      <w:instrText xml:space="preserve"> STYLEREF  ES-Titre2_ESI  \* MERGEFORMAT </w:instrText>
    </w:r>
    <w:r>
      <w:rPr>
        <w:sz w:val="16"/>
        <w:szCs w:val="16"/>
      </w:rPr>
      <w:fldChar w:fldCharType="separate"/>
    </w:r>
    <w:r w:rsidR="00B25B1A">
      <w:rPr>
        <w:noProof/>
        <w:sz w:val="16"/>
        <w:szCs w:val="16"/>
      </w:rPr>
      <w:t>ESI-II-10</w:t>
    </w:r>
    <w:r w:rsidR="00B25B1A">
      <w:rPr>
        <w:noProof/>
        <w:sz w:val="16"/>
        <w:szCs w:val="16"/>
      </w:rPr>
      <w:br/>
      <w:t>Automatické sprinklerové protipožární systémy s tlakovou vodou</w:t>
    </w:r>
    <w:r>
      <w:rPr>
        <w:sz w:val="16"/>
        <w:szCs w:val="16"/>
      </w:rPr>
      <w:fldChar w:fldCharType="end"/>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C64DB8" w:rsidRDefault="002D015D" w:rsidP="00D45887">
    <w:pPr>
      <w:widowControl w:val="0"/>
      <w:pBdr>
        <w:bottom w:val="single" w:sz="6" w:space="1" w:color="auto"/>
      </w:pBdr>
      <w:tabs>
        <w:tab w:val="right" w:pos="9072"/>
      </w:tabs>
      <w:jc w:val="right"/>
      <w:rPr>
        <w:sz w:val="16"/>
        <w:szCs w:val="16"/>
      </w:rPr>
    </w:pPr>
    <w:r>
      <w:rPr>
        <w:sz w:val="16"/>
      </w:rPr>
      <w:t xml:space="preserve">ES-TRIN </w:t>
    </w:r>
    <w:r>
      <w:tab/>
    </w:r>
    <w:r>
      <w:rPr>
        <w:sz w:val="16"/>
        <w:szCs w:val="16"/>
      </w:rPr>
      <w:fldChar w:fldCharType="begin"/>
    </w:r>
    <w:r>
      <w:rPr>
        <w:sz w:val="16"/>
        <w:szCs w:val="16"/>
      </w:rPr>
      <w:instrText xml:space="preserve"> STYLEREF  ES-Titre2_ESI  \* MERGEFORMAT </w:instrText>
    </w:r>
    <w:r>
      <w:rPr>
        <w:sz w:val="16"/>
        <w:szCs w:val="16"/>
      </w:rPr>
      <w:fldChar w:fldCharType="separate"/>
    </w:r>
    <w:r w:rsidR="00B25B1A">
      <w:rPr>
        <w:noProof/>
        <w:sz w:val="16"/>
        <w:szCs w:val="16"/>
      </w:rPr>
      <w:t>ESI-IV-1</w:t>
    </w:r>
    <w:r w:rsidR="00B25B1A">
      <w:rPr>
        <w:noProof/>
        <w:sz w:val="16"/>
        <w:szCs w:val="16"/>
      </w:rPr>
      <w:br/>
      <w:t>Uplatňování přechodných ustanovení</w:t>
    </w:r>
    <w:r>
      <w:rPr>
        <w:sz w:val="16"/>
        <w:szCs w:val="16"/>
      </w:rPr>
      <w:fldChar w:fldCharType="end"/>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9025E1" w:rsidRDefault="002D015D" w:rsidP="00D45887">
    <w:pPr>
      <w:widowControl w:val="0"/>
      <w:pBdr>
        <w:bottom w:val="single" w:sz="6" w:space="1" w:color="auto"/>
      </w:pBdr>
      <w:tabs>
        <w:tab w:val="right" w:pos="9070"/>
      </w:tabs>
      <w:jc w:val="right"/>
      <w:rPr>
        <w:sz w:val="16"/>
        <w:szCs w:val="16"/>
      </w:rPr>
    </w:pPr>
    <w:r>
      <w:rPr>
        <w:sz w:val="16"/>
      </w:rPr>
      <w:t>ES-TRIN</w:t>
    </w:r>
    <w:r>
      <w:tab/>
    </w:r>
    <w:r>
      <w:rPr>
        <w:sz w:val="16"/>
        <w:szCs w:val="16"/>
      </w:rPr>
      <w:fldChar w:fldCharType="begin"/>
    </w:r>
    <w:r>
      <w:rPr>
        <w:sz w:val="16"/>
        <w:szCs w:val="16"/>
      </w:rPr>
      <w:instrText xml:space="preserve"> STYLEREF  ES-Titre2_ESI  \* MERGEFORMAT </w:instrText>
    </w:r>
    <w:r>
      <w:rPr>
        <w:sz w:val="16"/>
        <w:szCs w:val="16"/>
      </w:rPr>
      <w:fldChar w:fldCharType="separate"/>
    </w:r>
    <w:r w:rsidR="00B25B1A" w:rsidRPr="00B25B1A">
      <w:rPr>
        <w:b/>
        <w:bCs/>
        <w:noProof/>
        <w:sz w:val="16"/>
        <w:szCs w:val="16"/>
      </w:rPr>
      <w:t>ESI-IV-1</w:t>
    </w:r>
    <w:r w:rsidR="00B25B1A" w:rsidRPr="00B25B1A">
      <w:rPr>
        <w:b/>
        <w:bCs/>
        <w:noProof/>
        <w:sz w:val="16"/>
        <w:szCs w:val="16"/>
      </w:rPr>
      <w:br/>
      <w:t>Uplatňování přechodných ustanovení</w:t>
    </w:r>
    <w:r>
      <w:rPr>
        <w:sz w:val="16"/>
        <w:szCs w:val="16"/>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7957F9" w:rsidRDefault="002D015D" w:rsidP="004B2505">
    <w:pPr>
      <w:widowControl w:val="0"/>
      <w:pBdr>
        <w:bottom w:val="single" w:sz="4" w:space="1" w:color="auto"/>
      </w:pBdr>
      <w:tabs>
        <w:tab w:val="right" w:pos="9072"/>
      </w:tabs>
      <w:jc w:val="right"/>
      <w:rPr>
        <w:rFonts w:cs="Arial"/>
        <w:sz w:val="16"/>
        <w:szCs w:val="16"/>
      </w:rPr>
    </w:pPr>
    <w:r>
      <w:rPr>
        <w:sz w:val="16"/>
      </w:rPr>
      <w:t>ES-TRIN</w:t>
    </w:r>
    <w:r>
      <w:tab/>
    </w:r>
    <w:r w:rsidRPr="007957F9">
      <w:rPr>
        <w:rFonts w:cs="Times New Roman"/>
        <w:sz w:val="16"/>
        <w:szCs w:val="16"/>
      </w:rPr>
      <w:fldChar w:fldCharType="begin"/>
    </w:r>
    <w:r w:rsidRPr="007957F9">
      <w:rPr>
        <w:sz w:val="16"/>
        <w:szCs w:val="16"/>
      </w:rPr>
      <w:instrText xml:space="preserve"> STYLEREF  ES-Titre2  \* MERGEFORMAT </w:instrText>
    </w:r>
    <w:r w:rsidRPr="007957F9">
      <w:rPr>
        <w:rFonts w:cs="Times New Roman"/>
        <w:sz w:val="16"/>
        <w:szCs w:val="16"/>
      </w:rPr>
      <w:fldChar w:fldCharType="separate"/>
    </w:r>
    <w:r w:rsidR="00B25B1A" w:rsidRPr="00B25B1A">
      <w:rPr>
        <w:rFonts w:cs="Arial"/>
        <w:noProof/>
        <w:sz w:val="16"/>
        <w:szCs w:val="16"/>
      </w:rPr>
      <w:t>Kapitola 31</w:t>
    </w:r>
    <w:r w:rsidR="00B25B1A" w:rsidRPr="00B25B1A">
      <w:rPr>
        <w:rFonts w:cs="Arial"/>
        <w:noProof/>
        <w:sz w:val="16"/>
        <w:szCs w:val="16"/>
      </w:rPr>
      <w:br/>
    </w:r>
    <w:r w:rsidR="00B25B1A">
      <w:rPr>
        <w:noProof/>
        <w:sz w:val="16"/>
        <w:szCs w:val="16"/>
      </w:rPr>
      <w:t>Zvláštní ustanovení pro lodě plavící se s minimální posádkou</w:t>
    </w:r>
    <w:r w:rsidRPr="007957F9">
      <w:rPr>
        <w:rFonts w:cs="Arial"/>
        <w:noProof/>
        <w:sz w:val="16"/>
        <w:szCs w:val="16"/>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3B6E11" w:rsidRDefault="002D015D" w:rsidP="00D71B1A">
    <w:pPr>
      <w:widowControl w:val="0"/>
      <w:pBdr>
        <w:bottom w:val="single" w:sz="6" w:space="1" w:color="auto"/>
      </w:pBdr>
      <w:tabs>
        <w:tab w:val="left" w:pos="8250"/>
        <w:tab w:val="right" w:pos="9070"/>
      </w:tabs>
      <w:rPr>
        <w:sz w:val="16"/>
        <w:szCs w:val="16"/>
        <w:lang w:val="sv-SE"/>
      </w:rPr>
    </w:pPr>
    <w:r w:rsidRPr="003B6E11">
      <w:rPr>
        <w:sz w:val="16"/>
        <w:lang w:val="sv-SE"/>
      </w:rPr>
      <w:t>ES-TRIN</w:t>
    </w:r>
    <w:r w:rsidRPr="003B6E11">
      <w:rPr>
        <w:lang w:val="sv-SE"/>
      </w:rPr>
      <w:tab/>
    </w:r>
    <w:r w:rsidRPr="003B6E11">
      <w:rPr>
        <w:sz w:val="16"/>
        <w:lang w:val="sv-SE"/>
      </w:rPr>
      <w:t>Kapitola 3</w:t>
    </w:r>
  </w:p>
  <w:p w:rsidR="002D015D" w:rsidRPr="003B6E11" w:rsidRDefault="002D015D" w:rsidP="00AE58CD">
    <w:pPr>
      <w:widowControl w:val="0"/>
      <w:pBdr>
        <w:bottom w:val="single" w:sz="6" w:space="1" w:color="auto"/>
      </w:pBdr>
      <w:tabs>
        <w:tab w:val="right" w:pos="9070"/>
      </w:tabs>
      <w:jc w:val="right"/>
      <w:rPr>
        <w:sz w:val="16"/>
        <w:szCs w:val="16"/>
        <w:lang w:val="sv-SE"/>
      </w:rPr>
    </w:pPr>
    <w:r w:rsidRPr="003B6E11">
      <w:rPr>
        <w:sz w:val="16"/>
        <w:lang w:val="sv-SE"/>
      </w:rPr>
      <w:t>Požadavky na stavbu lodí</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5D" w:rsidRPr="00C62373" w:rsidRDefault="002D015D" w:rsidP="00C62373">
    <w:pPr>
      <w:widowControl w:val="0"/>
      <w:pBdr>
        <w:bottom w:val="single" w:sz="4" w:space="1" w:color="auto"/>
      </w:pBdr>
      <w:tabs>
        <w:tab w:val="right" w:pos="9072"/>
      </w:tabs>
      <w:jc w:val="right"/>
      <w:rPr>
        <w:rFonts w:cs="Arial"/>
        <w:noProof/>
        <w:sz w:val="16"/>
        <w:szCs w:val="16"/>
      </w:rPr>
    </w:pPr>
    <w:r>
      <w:rPr>
        <w:sz w:val="16"/>
      </w:rPr>
      <w:t>ES-TRIN</w:t>
    </w:r>
    <w:r>
      <w:tab/>
    </w:r>
    <w:r>
      <w:rPr>
        <w:rFonts w:cs="Arial"/>
        <w:noProof/>
        <w:sz w:val="16"/>
        <w:szCs w:val="16"/>
      </w:rPr>
      <w:fldChar w:fldCharType="begin"/>
    </w:r>
    <w:r w:rsidRPr="00F46C3C">
      <w:rPr>
        <w:rFonts w:cs="Arial"/>
        <w:noProof/>
        <w:sz w:val="16"/>
        <w:szCs w:val="16"/>
      </w:rPr>
      <w:instrText xml:space="preserve"> STYLEREF  ES-Titre2  \* MERGEFORMAT </w:instrText>
    </w:r>
    <w:r>
      <w:rPr>
        <w:rFonts w:cs="Arial"/>
        <w:noProof/>
        <w:sz w:val="16"/>
        <w:szCs w:val="16"/>
      </w:rPr>
      <w:fldChar w:fldCharType="separate"/>
    </w:r>
    <w:r w:rsidR="00B25B1A">
      <w:rPr>
        <w:rFonts w:cs="Arial"/>
        <w:noProof/>
        <w:sz w:val="16"/>
        <w:szCs w:val="16"/>
      </w:rPr>
      <w:t>Kapitola 6</w:t>
    </w:r>
    <w:r w:rsidR="00B25B1A">
      <w:rPr>
        <w:rFonts w:cs="Arial"/>
        <w:noProof/>
        <w:sz w:val="16"/>
        <w:szCs w:val="16"/>
      </w:rPr>
      <w:br/>
      <w:t>Kormidelní zařízení</w:t>
    </w:r>
    <w:r>
      <w:rPr>
        <w:rFonts w:cs="Arial"/>
        <w:noProof/>
        <w:sz w:val="16"/>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416"/>
        </w:tabs>
        <w:ind w:left="1416" w:hanging="708"/>
      </w:pPr>
      <w:rPr>
        <w:rFonts w:ascii="Times New Roman" w:hAnsi="Times New Roman" w:cs="Times New Roman"/>
      </w:rPr>
    </w:lvl>
  </w:abstractNum>
  <w:abstractNum w:abstractNumId="1">
    <w:nsid w:val="00000004"/>
    <w:multiLevelType w:val="multilevel"/>
    <w:tmpl w:val="00000004"/>
    <w:name w:val="WW8Num4"/>
    <w:lvl w:ilvl="0">
      <w:start w:val="2"/>
      <w:numFmt w:val="decimal"/>
      <w:pStyle w:val="jeveux"/>
      <w:lvlText w:val="%1."/>
      <w:lvlJc w:val="left"/>
      <w:pPr>
        <w:tabs>
          <w:tab w:val="num" w:pos="794"/>
        </w:tabs>
        <w:ind w:left="720" w:hanging="692"/>
      </w:pPr>
    </w:lvl>
    <w:lvl w:ilvl="1">
      <w:start w:val="9"/>
      <w:numFmt w:val="bullet"/>
      <w:lvlText w:val="-"/>
      <w:lvlJc w:val="left"/>
      <w:pPr>
        <w:tabs>
          <w:tab w:val="num" w:pos="794"/>
        </w:tabs>
        <w:ind w:left="1440" w:hanging="1412"/>
      </w:pPr>
      <w:rPr>
        <w:rFonts w:ascii="Times New Roman" w:hAnsi="Times New Roman" w:cs="Times New Roman"/>
      </w:rPr>
    </w:lvl>
    <w:lvl w:ilvl="2">
      <w:start w:val="1"/>
      <w:numFmt w:val="lowerRoman"/>
      <w:lvlText w:val="%3."/>
      <w:lvlJc w:val="left"/>
      <w:pPr>
        <w:tabs>
          <w:tab w:val="num" w:pos="794"/>
        </w:tabs>
        <w:ind w:left="2160" w:hanging="2132"/>
      </w:pPr>
    </w:lvl>
    <w:lvl w:ilvl="3">
      <w:start w:val="1"/>
      <w:numFmt w:val="decimal"/>
      <w:lvlText w:val="%4."/>
      <w:lvlJc w:val="left"/>
      <w:pPr>
        <w:tabs>
          <w:tab w:val="num" w:pos="794"/>
        </w:tabs>
        <w:ind w:left="2880" w:hanging="2852"/>
      </w:pPr>
    </w:lvl>
    <w:lvl w:ilvl="4">
      <w:start w:val="1"/>
      <w:numFmt w:val="lowerLetter"/>
      <w:lvlText w:val="%5."/>
      <w:lvlJc w:val="left"/>
      <w:pPr>
        <w:tabs>
          <w:tab w:val="num" w:pos="794"/>
        </w:tabs>
        <w:ind w:left="3600" w:hanging="3572"/>
      </w:pPr>
    </w:lvl>
    <w:lvl w:ilvl="5">
      <w:start w:val="1"/>
      <w:numFmt w:val="lowerRoman"/>
      <w:lvlText w:val="%6."/>
      <w:lvlJc w:val="left"/>
      <w:pPr>
        <w:tabs>
          <w:tab w:val="num" w:pos="794"/>
        </w:tabs>
        <w:ind w:left="4320" w:hanging="4292"/>
      </w:pPr>
    </w:lvl>
    <w:lvl w:ilvl="6">
      <w:start w:val="1"/>
      <w:numFmt w:val="decimal"/>
      <w:lvlText w:val="%7."/>
      <w:lvlJc w:val="left"/>
      <w:pPr>
        <w:tabs>
          <w:tab w:val="num" w:pos="794"/>
        </w:tabs>
        <w:ind w:left="5040" w:hanging="5012"/>
      </w:pPr>
    </w:lvl>
    <w:lvl w:ilvl="7">
      <w:start w:val="1"/>
      <w:numFmt w:val="lowerLetter"/>
      <w:lvlText w:val="%8."/>
      <w:lvlJc w:val="left"/>
      <w:pPr>
        <w:tabs>
          <w:tab w:val="num" w:pos="794"/>
        </w:tabs>
        <w:ind w:left="5760" w:hanging="5732"/>
      </w:pPr>
    </w:lvl>
    <w:lvl w:ilvl="8">
      <w:start w:val="1"/>
      <w:numFmt w:val="lowerRoman"/>
      <w:lvlText w:val="%9."/>
      <w:lvlJc w:val="left"/>
      <w:pPr>
        <w:tabs>
          <w:tab w:val="num" w:pos="794"/>
        </w:tabs>
        <w:ind w:left="6480" w:hanging="6452"/>
      </w:pPr>
    </w:lvl>
  </w:abstractNum>
  <w:abstractNum w:abstractNumId="2">
    <w:nsid w:val="0AFD4894"/>
    <w:multiLevelType w:val="singleLevel"/>
    <w:tmpl w:val="FAC02758"/>
    <w:name w:val="Tiret 0"/>
    <w:lvl w:ilvl="0">
      <w:start w:val="1"/>
      <w:numFmt w:val="bullet"/>
      <w:lvlRestart w:val="0"/>
      <w:lvlText w:val="–"/>
      <w:lvlJc w:val="left"/>
      <w:pPr>
        <w:tabs>
          <w:tab w:val="num" w:pos="850"/>
        </w:tabs>
        <w:ind w:left="850" w:hanging="850"/>
      </w:pPr>
    </w:lvl>
  </w:abstractNum>
  <w:abstractNum w:abstractNumId="3">
    <w:nsid w:val="137A65C0"/>
    <w:multiLevelType w:val="hybridMultilevel"/>
    <w:tmpl w:val="95C29EC0"/>
    <w:lvl w:ilvl="0" w:tplc="D292A33A">
      <w:numFmt w:val="bullet"/>
      <w:lvlText w:val=""/>
      <w:lvlJc w:val="left"/>
      <w:pPr>
        <w:ind w:left="720" w:hanging="360"/>
      </w:pPr>
      <w:rPr>
        <w:rFonts w:ascii="Symbol" w:eastAsia="Times New Roman" w:hAnsi="Symbol" w:cs="Arial"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0A057E8"/>
    <w:multiLevelType w:val="hybridMultilevel"/>
    <w:tmpl w:val="97A87118"/>
    <w:lvl w:ilvl="0" w:tplc="C61CCFA6">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3633AA5"/>
    <w:multiLevelType w:val="singleLevel"/>
    <w:tmpl w:val="43740D98"/>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6">
    <w:nsid w:val="274F3331"/>
    <w:multiLevelType w:val="hybridMultilevel"/>
    <w:tmpl w:val="4B6CC5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DA1323F"/>
    <w:multiLevelType w:val="hybridMultilevel"/>
    <w:tmpl w:val="424A924C"/>
    <w:lvl w:ilvl="0" w:tplc="FFFFFFFF">
      <w:start w:val="14"/>
      <w:numFmt w:val="bullet"/>
      <w:lvlText w:val="-"/>
      <w:lvlJc w:val="left"/>
      <w:pPr>
        <w:ind w:left="720" w:hanging="360"/>
      </w:pPr>
      <w:rPr>
        <w:rFonts w:ascii="Arial" w:eastAsia="Times New Roman" w:hAnsi="Aria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
    <w:nsid w:val="375E5176"/>
    <w:multiLevelType w:val="hybridMultilevel"/>
    <w:tmpl w:val="06228422"/>
    <w:lvl w:ilvl="0" w:tplc="F3F6B24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D5233CE"/>
    <w:multiLevelType w:val="hybridMultilevel"/>
    <w:tmpl w:val="77BC0B34"/>
    <w:lvl w:ilvl="0" w:tplc="50424CEC">
      <w:start w:val="1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F8043E9"/>
    <w:multiLevelType w:val="hybridMultilevel"/>
    <w:tmpl w:val="CBCA938C"/>
    <w:lvl w:ilvl="0" w:tplc="25A807C0">
      <w:start w:val="1"/>
      <w:numFmt w:val="decimal"/>
      <w:lvlText w:val="%1."/>
      <w:lvlJc w:val="left"/>
      <w:pPr>
        <w:ind w:left="930" w:hanging="57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0665587"/>
    <w:multiLevelType w:val="hybridMultilevel"/>
    <w:tmpl w:val="ABDA506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13">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5CBB3924"/>
    <w:multiLevelType w:val="multilevel"/>
    <w:tmpl w:val="7F4CFBBA"/>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6FFF5257"/>
    <w:multiLevelType w:val="singleLevel"/>
    <w:tmpl w:val="659A5DB2"/>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6">
    <w:nsid w:val="762A79C9"/>
    <w:multiLevelType w:val="hybridMultilevel"/>
    <w:tmpl w:val="0A4E9D96"/>
    <w:lvl w:ilvl="0" w:tplc="9BBCF40C">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84B2BA1"/>
    <w:multiLevelType w:val="singleLevel"/>
    <w:tmpl w:val="17AC9850"/>
    <w:name w:val="Bullet 1"/>
    <w:lvl w:ilvl="0">
      <w:start w:val="1"/>
      <w:numFmt w:val="lowerLetter"/>
      <w:lvlRestart w:val="0"/>
      <w:pStyle w:val="Bullet1"/>
      <w:lvlText w:val="%1)"/>
      <w:lvlJc w:val="left"/>
      <w:pPr>
        <w:tabs>
          <w:tab w:val="num" w:pos="1417"/>
        </w:tabs>
        <w:ind w:left="1417" w:hanging="567"/>
      </w:pPr>
      <w:rPr>
        <w:rFonts w:ascii="Times New Roman" w:eastAsia="Times New Roman" w:hAnsi="Times New Roman" w:cs="Times New Roman"/>
      </w:rPr>
    </w:lvl>
  </w:abstractNum>
  <w:abstractNum w:abstractNumId="18">
    <w:nsid w:val="7A61200C"/>
    <w:multiLevelType w:val="multilevel"/>
    <w:tmpl w:val="CC7C38C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7C7C61AB"/>
    <w:multiLevelType w:val="multilevel"/>
    <w:tmpl w:val="3F04EE72"/>
    <w:name w:val="0,5280224"/>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4"/>
  </w:num>
  <w:num w:numId="2">
    <w:abstractNumId w:val="13"/>
  </w:num>
  <w:num w:numId="3">
    <w:abstractNumId w:val="12"/>
  </w:num>
  <w:num w:numId="4">
    <w:abstractNumId w:val="15"/>
  </w:num>
  <w:num w:numId="5">
    <w:abstractNumId w:val="17"/>
  </w:num>
  <w:num w:numId="6">
    <w:abstractNumId w:val="5"/>
  </w:num>
  <w:num w:numId="7">
    <w:abstractNumId w:val="9"/>
  </w:num>
  <w:num w:numId="8">
    <w:abstractNumId w:val="4"/>
  </w:num>
  <w:num w:numId="9">
    <w:abstractNumId w:val="1"/>
  </w:num>
  <w:num w:numId="10">
    <w:abstractNumId w:val="18"/>
  </w:num>
  <w:num w:numId="11">
    <w:abstractNumId w:val="3"/>
  </w:num>
  <w:num w:numId="12">
    <w:abstractNumId w:val="6"/>
  </w:num>
  <w:num w:numId="13">
    <w:abstractNumId w:val="16"/>
  </w:num>
  <w:num w:numId="14">
    <w:abstractNumId w:val="8"/>
  </w:num>
  <w:num w:numId="15">
    <w:abstractNumId w:val="11"/>
  </w:num>
  <w:num w:numId="16">
    <w:abstractNumId w:val="7"/>
  </w:num>
  <w:num w:numId="17">
    <w:abstractNumId w:val="10"/>
  </w:num>
  <w:num w:numId="18">
    <w:abstractNumId w:val="0"/>
  </w:num>
  <w:num w:numId="19">
    <w:abstractNumId w:val="1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linkStyles/>
  <w:doNotTrackFormatting/>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4097"/>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612D96"/>
    <w:rsid w:val="000009AC"/>
    <w:rsid w:val="00001079"/>
    <w:rsid w:val="00001650"/>
    <w:rsid w:val="00002CF3"/>
    <w:rsid w:val="00003903"/>
    <w:rsid w:val="00006207"/>
    <w:rsid w:val="00007D56"/>
    <w:rsid w:val="00011E41"/>
    <w:rsid w:val="00014931"/>
    <w:rsid w:val="00014FF4"/>
    <w:rsid w:val="000153B3"/>
    <w:rsid w:val="00016542"/>
    <w:rsid w:val="00016B72"/>
    <w:rsid w:val="00017B11"/>
    <w:rsid w:val="00017C69"/>
    <w:rsid w:val="00020374"/>
    <w:rsid w:val="00020D02"/>
    <w:rsid w:val="000222E9"/>
    <w:rsid w:val="000225FB"/>
    <w:rsid w:val="000228A4"/>
    <w:rsid w:val="00022DFD"/>
    <w:rsid w:val="0002366B"/>
    <w:rsid w:val="000236CB"/>
    <w:rsid w:val="00025E87"/>
    <w:rsid w:val="000265D0"/>
    <w:rsid w:val="00031119"/>
    <w:rsid w:val="000323C7"/>
    <w:rsid w:val="000323F4"/>
    <w:rsid w:val="00033E56"/>
    <w:rsid w:val="00034331"/>
    <w:rsid w:val="00034977"/>
    <w:rsid w:val="00034CAA"/>
    <w:rsid w:val="00035837"/>
    <w:rsid w:val="0003592A"/>
    <w:rsid w:val="00035FE4"/>
    <w:rsid w:val="000403EC"/>
    <w:rsid w:val="000403F6"/>
    <w:rsid w:val="000418C9"/>
    <w:rsid w:val="00043377"/>
    <w:rsid w:val="00044E4F"/>
    <w:rsid w:val="00051641"/>
    <w:rsid w:val="000525EE"/>
    <w:rsid w:val="000526B5"/>
    <w:rsid w:val="000532D6"/>
    <w:rsid w:val="000536A6"/>
    <w:rsid w:val="000544E4"/>
    <w:rsid w:val="00054791"/>
    <w:rsid w:val="0005522B"/>
    <w:rsid w:val="00055419"/>
    <w:rsid w:val="000562CE"/>
    <w:rsid w:val="00056313"/>
    <w:rsid w:val="0005658E"/>
    <w:rsid w:val="00057037"/>
    <w:rsid w:val="0006083D"/>
    <w:rsid w:val="00060F09"/>
    <w:rsid w:val="00061B86"/>
    <w:rsid w:val="00063D84"/>
    <w:rsid w:val="00064BFC"/>
    <w:rsid w:val="00065064"/>
    <w:rsid w:val="00065CEE"/>
    <w:rsid w:val="00066459"/>
    <w:rsid w:val="000672C2"/>
    <w:rsid w:val="0006780B"/>
    <w:rsid w:val="00067BB9"/>
    <w:rsid w:val="00071AAC"/>
    <w:rsid w:val="00072882"/>
    <w:rsid w:val="0007393A"/>
    <w:rsid w:val="00074639"/>
    <w:rsid w:val="00074C87"/>
    <w:rsid w:val="00074E15"/>
    <w:rsid w:val="00077A58"/>
    <w:rsid w:val="00077A7F"/>
    <w:rsid w:val="000804D1"/>
    <w:rsid w:val="00080F6D"/>
    <w:rsid w:val="000813F1"/>
    <w:rsid w:val="00083340"/>
    <w:rsid w:val="00083603"/>
    <w:rsid w:val="00086CF5"/>
    <w:rsid w:val="00090862"/>
    <w:rsid w:val="00090EDC"/>
    <w:rsid w:val="0009266E"/>
    <w:rsid w:val="000928CC"/>
    <w:rsid w:val="00092AD1"/>
    <w:rsid w:val="00092FA7"/>
    <w:rsid w:val="00095462"/>
    <w:rsid w:val="0009596F"/>
    <w:rsid w:val="000A105C"/>
    <w:rsid w:val="000A13AD"/>
    <w:rsid w:val="000A15B3"/>
    <w:rsid w:val="000A1609"/>
    <w:rsid w:val="000A290B"/>
    <w:rsid w:val="000A2F1D"/>
    <w:rsid w:val="000A2F7F"/>
    <w:rsid w:val="000A399F"/>
    <w:rsid w:val="000A3F57"/>
    <w:rsid w:val="000A52E4"/>
    <w:rsid w:val="000A7601"/>
    <w:rsid w:val="000B2B59"/>
    <w:rsid w:val="000B35AC"/>
    <w:rsid w:val="000B4123"/>
    <w:rsid w:val="000B44A5"/>
    <w:rsid w:val="000B4982"/>
    <w:rsid w:val="000B4A23"/>
    <w:rsid w:val="000B4F66"/>
    <w:rsid w:val="000B60B9"/>
    <w:rsid w:val="000B68E7"/>
    <w:rsid w:val="000C0499"/>
    <w:rsid w:val="000C0B7A"/>
    <w:rsid w:val="000C1DB3"/>
    <w:rsid w:val="000C41E0"/>
    <w:rsid w:val="000C6892"/>
    <w:rsid w:val="000D0F00"/>
    <w:rsid w:val="000D24E1"/>
    <w:rsid w:val="000D2654"/>
    <w:rsid w:val="000D3267"/>
    <w:rsid w:val="000D326E"/>
    <w:rsid w:val="000D3586"/>
    <w:rsid w:val="000D44AE"/>
    <w:rsid w:val="000D613C"/>
    <w:rsid w:val="000D7607"/>
    <w:rsid w:val="000E1628"/>
    <w:rsid w:val="000E1B99"/>
    <w:rsid w:val="000E1F46"/>
    <w:rsid w:val="000E2CDC"/>
    <w:rsid w:val="000E30BB"/>
    <w:rsid w:val="000E49C3"/>
    <w:rsid w:val="000E4A73"/>
    <w:rsid w:val="000E5F8A"/>
    <w:rsid w:val="000E732C"/>
    <w:rsid w:val="000E7E11"/>
    <w:rsid w:val="000F09D4"/>
    <w:rsid w:val="000F1B69"/>
    <w:rsid w:val="000F215E"/>
    <w:rsid w:val="000F3425"/>
    <w:rsid w:val="000F3AFD"/>
    <w:rsid w:val="000F41DF"/>
    <w:rsid w:val="000F42F5"/>
    <w:rsid w:val="000F53DA"/>
    <w:rsid w:val="000F600A"/>
    <w:rsid w:val="000F6553"/>
    <w:rsid w:val="000F6FCC"/>
    <w:rsid w:val="000F7006"/>
    <w:rsid w:val="00100EF1"/>
    <w:rsid w:val="00101CB2"/>
    <w:rsid w:val="00101D20"/>
    <w:rsid w:val="0010389F"/>
    <w:rsid w:val="0010666B"/>
    <w:rsid w:val="00106E92"/>
    <w:rsid w:val="001077F3"/>
    <w:rsid w:val="00107B2C"/>
    <w:rsid w:val="001107BF"/>
    <w:rsid w:val="001108EB"/>
    <w:rsid w:val="00110BC9"/>
    <w:rsid w:val="00111867"/>
    <w:rsid w:val="00113730"/>
    <w:rsid w:val="00116526"/>
    <w:rsid w:val="001171AE"/>
    <w:rsid w:val="001179E7"/>
    <w:rsid w:val="00117BDC"/>
    <w:rsid w:val="0012395A"/>
    <w:rsid w:val="001243C3"/>
    <w:rsid w:val="00124738"/>
    <w:rsid w:val="00124817"/>
    <w:rsid w:val="00124E9C"/>
    <w:rsid w:val="00125490"/>
    <w:rsid w:val="001257FE"/>
    <w:rsid w:val="001267B1"/>
    <w:rsid w:val="0012747B"/>
    <w:rsid w:val="0012781A"/>
    <w:rsid w:val="001317E7"/>
    <w:rsid w:val="00133108"/>
    <w:rsid w:val="00133F19"/>
    <w:rsid w:val="00135E26"/>
    <w:rsid w:val="001363D1"/>
    <w:rsid w:val="00136542"/>
    <w:rsid w:val="00136BFD"/>
    <w:rsid w:val="00137A45"/>
    <w:rsid w:val="00140690"/>
    <w:rsid w:val="00141B17"/>
    <w:rsid w:val="001427DF"/>
    <w:rsid w:val="0014563E"/>
    <w:rsid w:val="00145B96"/>
    <w:rsid w:val="001469B0"/>
    <w:rsid w:val="00147283"/>
    <w:rsid w:val="001476EC"/>
    <w:rsid w:val="00151656"/>
    <w:rsid w:val="00151AEA"/>
    <w:rsid w:val="00153AB4"/>
    <w:rsid w:val="001542BC"/>
    <w:rsid w:val="00154B30"/>
    <w:rsid w:val="00155AB8"/>
    <w:rsid w:val="00155D5C"/>
    <w:rsid w:val="00156207"/>
    <w:rsid w:val="00157062"/>
    <w:rsid w:val="001575C2"/>
    <w:rsid w:val="0016074C"/>
    <w:rsid w:val="00160E19"/>
    <w:rsid w:val="001610C7"/>
    <w:rsid w:val="00161AB6"/>
    <w:rsid w:val="00161BF6"/>
    <w:rsid w:val="0016282C"/>
    <w:rsid w:val="0016317F"/>
    <w:rsid w:val="0016337E"/>
    <w:rsid w:val="00163956"/>
    <w:rsid w:val="001640EF"/>
    <w:rsid w:val="00165024"/>
    <w:rsid w:val="00165F82"/>
    <w:rsid w:val="001662DB"/>
    <w:rsid w:val="00166C9D"/>
    <w:rsid w:val="00166DDA"/>
    <w:rsid w:val="0016731B"/>
    <w:rsid w:val="0016750C"/>
    <w:rsid w:val="001705E4"/>
    <w:rsid w:val="0017082D"/>
    <w:rsid w:val="00171478"/>
    <w:rsid w:val="00172F8E"/>
    <w:rsid w:val="001749C4"/>
    <w:rsid w:val="0017546E"/>
    <w:rsid w:val="00176095"/>
    <w:rsid w:val="0017630F"/>
    <w:rsid w:val="0017699E"/>
    <w:rsid w:val="00176B5A"/>
    <w:rsid w:val="00177969"/>
    <w:rsid w:val="00177CE4"/>
    <w:rsid w:val="001807CA"/>
    <w:rsid w:val="00181116"/>
    <w:rsid w:val="00181BB6"/>
    <w:rsid w:val="0018270B"/>
    <w:rsid w:val="0018359A"/>
    <w:rsid w:val="00183609"/>
    <w:rsid w:val="00183D1F"/>
    <w:rsid w:val="001851F8"/>
    <w:rsid w:val="001853EE"/>
    <w:rsid w:val="001856B5"/>
    <w:rsid w:val="001865DF"/>
    <w:rsid w:val="00190746"/>
    <w:rsid w:val="00190B8A"/>
    <w:rsid w:val="00191DB0"/>
    <w:rsid w:val="00192ED9"/>
    <w:rsid w:val="00194498"/>
    <w:rsid w:val="001958C0"/>
    <w:rsid w:val="00195D93"/>
    <w:rsid w:val="001964F8"/>
    <w:rsid w:val="00196FBC"/>
    <w:rsid w:val="00197723"/>
    <w:rsid w:val="00197F7A"/>
    <w:rsid w:val="001A16CD"/>
    <w:rsid w:val="001A19C2"/>
    <w:rsid w:val="001A409D"/>
    <w:rsid w:val="001A583E"/>
    <w:rsid w:val="001A6B1D"/>
    <w:rsid w:val="001A723F"/>
    <w:rsid w:val="001A7DAB"/>
    <w:rsid w:val="001B09F1"/>
    <w:rsid w:val="001B1AA7"/>
    <w:rsid w:val="001B2673"/>
    <w:rsid w:val="001B4203"/>
    <w:rsid w:val="001B4DBC"/>
    <w:rsid w:val="001B500F"/>
    <w:rsid w:val="001B543F"/>
    <w:rsid w:val="001B5ABA"/>
    <w:rsid w:val="001B62AD"/>
    <w:rsid w:val="001B6FDF"/>
    <w:rsid w:val="001B7F10"/>
    <w:rsid w:val="001C1441"/>
    <w:rsid w:val="001C15FF"/>
    <w:rsid w:val="001C29FD"/>
    <w:rsid w:val="001C46BB"/>
    <w:rsid w:val="001C47D9"/>
    <w:rsid w:val="001C4EBD"/>
    <w:rsid w:val="001C4EBE"/>
    <w:rsid w:val="001C566A"/>
    <w:rsid w:val="001C5E10"/>
    <w:rsid w:val="001C7F2E"/>
    <w:rsid w:val="001D0FFC"/>
    <w:rsid w:val="001D190F"/>
    <w:rsid w:val="001D2AF7"/>
    <w:rsid w:val="001D2DFD"/>
    <w:rsid w:val="001D61F0"/>
    <w:rsid w:val="001D67AA"/>
    <w:rsid w:val="001D6819"/>
    <w:rsid w:val="001D71AA"/>
    <w:rsid w:val="001E1E3E"/>
    <w:rsid w:val="001E2331"/>
    <w:rsid w:val="001E24E0"/>
    <w:rsid w:val="001E2A58"/>
    <w:rsid w:val="001E33AF"/>
    <w:rsid w:val="001E4DDC"/>
    <w:rsid w:val="001E571A"/>
    <w:rsid w:val="001E577F"/>
    <w:rsid w:val="001E59A4"/>
    <w:rsid w:val="001E6F07"/>
    <w:rsid w:val="001E7C77"/>
    <w:rsid w:val="001F02E6"/>
    <w:rsid w:val="001F14D0"/>
    <w:rsid w:val="001F173C"/>
    <w:rsid w:val="001F199D"/>
    <w:rsid w:val="001F1A9D"/>
    <w:rsid w:val="001F1AC2"/>
    <w:rsid w:val="001F1CE5"/>
    <w:rsid w:val="001F4463"/>
    <w:rsid w:val="001F4766"/>
    <w:rsid w:val="001F7283"/>
    <w:rsid w:val="002004C3"/>
    <w:rsid w:val="00200817"/>
    <w:rsid w:val="00201BA8"/>
    <w:rsid w:val="00202533"/>
    <w:rsid w:val="002025EC"/>
    <w:rsid w:val="00203319"/>
    <w:rsid w:val="00203A7C"/>
    <w:rsid w:val="002043D6"/>
    <w:rsid w:val="00204E05"/>
    <w:rsid w:val="002052A6"/>
    <w:rsid w:val="00210A11"/>
    <w:rsid w:val="00211AAA"/>
    <w:rsid w:val="0021540A"/>
    <w:rsid w:val="0021687F"/>
    <w:rsid w:val="00216BFB"/>
    <w:rsid w:val="00217AA8"/>
    <w:rsid w:val="00220FB5"/>
    <w:rsid w:val="00221291"/>
    <w:rsid w:val="00222FDC"/>
    <w:rsid w:val="002233AD"/>
    <w:rsid w:val="00223F08"/>
    <w:rsid w:val="00225A33"/>
    <w:rsid w:val="00226293"/>
    <w:rsid w:val="00226336"/>
    <w:rsid w:val="00226353"/>
    <w:rsid w:val="00226A59"/>
    <w:rsid w:val="0022701F"/>
    <w:rsid w:val="00230288"/>
    <w:rsid w:val="00230625"/>
    <w:rsid w:val="00234B95"/>
    <w:rsid w:val="0023703A"/>
    <w:rsid w:val="0023707F"/>
    <w:rsid w:val="00237080"/>
    <w:rsid w:val="002404BE"/>
    <w:rsid w:val="00241CDC"/>
    <w:rsid w:val="002424B9"/>
    <w:rsid w:val="00242D8C"/>
    <w:rsid w:val="00242E51"/>
    <w:rsid w:val="002433BB"/>
    <w:rsid w:val="00243762"/>
    <w:rsid w:val="00243A81"/>
    <w:rsid w:val="00245091"/>
    <w:rsid w:val="00246883"/>
    <w:rsid w:val="002470D6"/>
    <w:rsid w:val="002506E7"/>
    <w:rsid w:val="00250DD7"/>
    <w:rsid w:val="00251454"/>
    <w:rsid w:val="0025243A"/>
    <w:rsid w:val="00253FD8"/>
    <w:rsid w:val="00254134"/>
    <w:rsid w:val="00256F6F"/>
    <w:rsid w:val="00257F0E"/>
    <w:rsid w:val="00260F40"/>
    <w:rsid w:val="002614C4"/>
    <w:rsid w:val="00261847"/>
    <w:rsid w:val="00262467"/>
    <w:rsid w:val="00263BAB"/>
    <w:rsid w:val="002647C0"/>
    <w:rsid w:val="0026577D"/>
    <w:rsid w:val="00266522"/>
    <w:rsid w:val="00270FEE"/>
    <w:rsid w:val="0027136B"/>
    <w:rsid w:val="00271B3E"/>
    <w:rsid w:val="00271E61"/>
    <w:rsid w:val="002722AA"/>
    <w:rsid w:val="002723EF"/>
    <w:rsid w:val="00274DBA"/>
    <w:rsid w:val="00274EE8"/>
    <w:rsid w:val="00275065"/>
    <w:rsid w:val="00275ADD"/>
    <w:rsid w:val="00275FCF"/>
    <w:rsid w:val="00276993"/>
    <w:rsid w:val="00277E12"/>
    <w:rsid w:val="00277E63"/>
    <w:rsid w:val="002808E4"/>
    <w:rsid w:val="002816B8"/>
    <w:rsid w:val="002828C5"/>
    <w:rsid w:val="00283317"/>
    <w:rsid w:val="002836CA"/>
    <w:rsid w:val="00283723"/>
    <w:rsid w:val="00283BC6"/>
    <w:rsid w:val="00283D5F"/>
    <w:rsid w:val="00283E41"/>
    <w:rsid w:val="00284D7D"/>
    <w:rsid w:val="00286D03"/>
    <w:rsid w:val="00290108"/>
    <w:rsid w:val="00290368"/>
    <w:rsid w:val="002908AA"/>
    <w:rsid w:val="00290EF0"/>
    <w:rsid w:val="00291A42"/>
    <w:rsid w:val="00292101"/>
    <w:rsid w:val="00293067"/>
    <w:rsid w:val="002938DE"/>
    <w:rsid w:val="0029395D"/>
    <w:rsid w:val="00293D2C"/>
    <w:rsid w:val="0029453D"/>
    <w:rsid w:val="0029618E"/>
    <w:rsid w:val="002A0558"/>
    <w:rsid w:val="002A2E8E"/>
    <w:rsid w:val="002A3799"/>
    <w:rsid w:val="002A434E"/>
    <w:rsid w:val="002A46AD"/>
    <w:rsid w:val="002A624E"/>
    <w:rsid w:val="002A6D89"/>
    <w:rsid w:val="002A778C"/>
    <w:rsid w:val="002A7BC6"/>
    <w:rsid w:val="002B1925"/>
    <w:rsid w:val="002B1E93"/>
    <w:rsid w:val="002B22A4"/>
    <w:rsid w:val="002B2F9A"/>
    <w:rsid w:val="002B3AE0"/>
    <w:rsid w:val="002B4577"/>
    <w:rsid w:val="002B6B2C"/>
    <w:rsid w:val="002B715D"/>
    <w:rsid w:val="002C0BA5"/>
    <w:rsid w:val="002C0EB8"/>
    <w:rsid w:val="002C0F5F"/>
    <w:rsid w:val="002C32DD"/>
    <w:rsid w:val="002C3798"/>
    <w:rsid w:val="002C3FF7"/>
    <w:rsid w:val="002C44F2"/>
    <w:rsid w:val="002C527C"/>
    <w:rsid w:val="002C64B3"/>
    <w:rsid w:val="002D015D"/>
    <w:rsid w:val="002D0F03"/>
    <w:rsid w:val="002D1826"/>
    <w:rsid w:val="002D2D76"/>
    <w:rsid w:val="002D3A91"/>
    <w:rsid w:val="002D3F17"/>
    <w:rsid w:val="002D46BA"/>
    <w:rsid w:val="002D4B83"/>
    <w:rsid w:val="002D4CEF"/>
    <w:rsid w:val="002D6150"/>
    <w:rsid w:val="002D7949"/>
    <w:rsid w:val="002E100D"/>
    <w:rsid w:val="002E24E2"/>
    <w:rsid w:val="002E3EAE"/>
    <w:rsid w:val="002E50EF"/>
    <w:rsid w:val="002E6352"/>
    <w:rsid w:val="002E65C8"/>
    <w:rsid w:val="002E6F15"/>
    <w:rsid w:val="002E752A"/>
    <w:rsid w:val="002E78A3"/>
    <w:rsid w:val="002F426E"/>
    <w:rsid w:val="002F5184"/>
    <w:rsid w:val="002F5DD8"/>
    <w:rsid w:val="002F6118"/>
    <w:rsid w:val="002F6788"/>
    <w:rsid w:val="0030176A"/>
    <w:rsid w:val="00302C3E"/>
    <w:rsid w:val="003032D6"/>
    <w:rsid w:val="00305C85"/>
    <w:rsid w:val="00305CA8"/>
    <w:rsid w:val="003062AF"/>
    <w:rsid w:val="00310312"/>
    <w:rsid w:val="00311A98"/>
    <w:rsid w:val="003122DE"/>
    <w:rsid w:val="00312819"/>
    <w:rsid w:val="00312D29"/>
    <w:rsid w:val="00312E1A"/>
    <w:rsid w:val="00313B91"/>
    <w:rsid w:val="0031453E"/>
    <w:rsid w:val="00314706"/>
    <w:rsid w:val="0031552A"/>
    <w:rsid w:val="00316CE7"/>
    <w:rsid w:val="00320866"/>
    <w:rsid w:val="00320B64"/>
    <w:rsid w:val="00320EDC"/>
    <w:rsid w:val="003216FC"/>
    <w:rsid w:val="00321E38"/>
    <w:rsid w:val="003230FD"/>
    <w:rsid w:val="003232B5"/>
    <w:rsid w:val="00324388"/>
    <w:rsid w:val="00325D34"/>
    <w:rsid w:val="00326518"/>
    <w:rsid w:val="00326590"/>
    <w:rsid w:val="00327A49"/>
    <w:rsid w:val="0033095A"/>
    <w:rsid w:val="00330D4B"/>
    <w:rsid w:val="00330FC4"/>
    <w:rsid w:val="00332197"/>
    <w:rsid w:val="00333A30"/>
    <w:rsid w:val="0033732B"/>
    <w:rsid w:val="00337F85"/>
    <w:rsid w:val="0034036D"/>
    <w:rsid w:val="0034064A"/>
    <w:rsid w:val="00340C95"/>
    <w:rsid w:val="00340F35"/>
    <w:rsid w:val="00342E23"/>
    <w:rsid w:val="00343FC4"/>
    <w:rsid w:val="00344E11"/>
    <w:rsid w:val="003462BA"/>
    <w:rsid w:val="0034719E"/>
    <w:rsid w:val="003501F9"/>
    <w:rsid w:val="00350277"/>
    <w:rsid w:val="00350554"/>
    <w:rsid w:val="0035095C"/>
    <w:rsid w:val="0035236A"/>
    <w:rsid w:val="00354286"/>
    <w:rsid w:val="00354D10"/>
    <w:rsid w:val="003552BC"/>
    <w:rsid w:val="00355EBF"/>
    <w:rsid w:val="00356281"/>
    <w:rsid w:val="00357056"/>
    <w:rsid w:val="003604EF"/>
    <w:rsid w:val="00360C91"/>
    <w:rsid w:val="00360D41"/>
    <w:rsid w:val="00360E7D"/>
    <w:rsid w:val="00363591"/>
    <w:rsid w:val="00363895"/>
    <w:rsid w:val="00363D0C"/>
    <w:rsid w:val="00363D4F"/>
    <w:rsid w:val="00364496"/>
    <w:rsid w:val="00364497"/>
    <w:rsid w:val="00367B28"/>
    <w:rsid w:val="003712DE"/>
    <w:rsid w:val="00372479"/>
    <w:rsid w:val="0037277F"/>
    <w:rsid w:val="00373D7A"/>
    <w:rsid w:val="00374BB2"/>
    <w:rsid w:val="00375641"/>
    <w:rsid w:val="003765F8"/>
    <w:rsid w:val="00377B97"/>
    <w:rsid w:val="00380358"/>
    <w:rsid w:val="00380DE8"/>
    <w:rsid w:val="00382B0C"/>
    <w:rsid w:val="00383DE0"/>
    <w:rsid w:val="00384DFB"/>
    <w:rsid w:val="003854B9"/>
    <w:rsid w:val="003872C5"/>
    <w:rsid w:val="00390107"/>
    <w:rsid w:val="0039092B"/>
    <w:rsid w:val="003915AC"/>
    <w:rsid w:val="00391A9D"/>
    <w:rsid w:val="00392C41"/>
    <w:rsid w:val="00392DAE"/>
    <w:rsid w:val="00392E68"/>
    <w:rsid w:val="003930DB"/>
    <w:rsid w:val="00393255"/>
    <w:rsid w:val="00393E27"/>
    <w:rsid w:val="00394AE4"/>
    <w:rsid w:val="00395A9E"/>
    <w:rsid w:val="00396448"/>
    <w:rsid w:val="003968E4"/>
    <w:rsid w:val="003971A3"/>
    <w:rsid w:val="0039774B"/>
    <w:rsid w:val="00397B3B"/>
    <w:rsid w:val="00397B6A"/>
    <w:rsid w:val="00397C6F"/>
    <w:rsid w:val="003A01A0"/>
    <w:rsid w:val="003A3ED2"/>
    <w:rsid w:val="003A44F2"/>
    <w:rsid w:val="003A47CF"/>
    <w:rsid w:val="003A635F"/>
    <w:rsid w:val="003A6400"/>
    <w:rsid w:val="003A6543"/>
    <w:rsid w:val="003A66B6"/>
    <w:rsid w:val="003B0440"/>
    <w:rsid w:val="003B0801"/>
    <w:rsid w:val="003B3A1A"/>
    <w:rsid w:val="003B6E11"/>
    <w:rsid w:val="003B7663"/>
    <w:rsid w:val="003B7C0C"/>
    <w:rsid w:val="003C13A6"/>
    <w:rsid w:val="003C34F5"/>
    <w:rsid w:val="003C7766"/>
    <w:rsid w:val="003D0163"/>
    <w:rsid w:val="003D0171"/>
    <w:rsid w:val="003D2554"/>
    <w:rsid w:val="003D29D8"/>
    <w:rsid w:val="003D2D08"/>
    <w:rsid w:val="003D2E2F"/>
    <w:rsid w:val="003D32C2"/>
    <w:rsid w:val="003D3AAC"/>
    <w:rsid w:val="003D4399"/>
    <w:rsid w:val="003D4DBF"/>
    <w:rsid w:val="003D5828"/>
    <w:rsid w:val="003D632C"/>
    <w:rsid w:val="003D6C19"/>
    <w:rsid w:val="003D6C36"/>
    <w:rsid w:val="003D7271"/>
    <w:rsid w:val="003D7B4A"/>
    <w:rsid w:val="003E0735"/>
    <w:rsid w:val="003E15C0"/>
    <w:rsid w:val="003E245C"/>
    <w:rsid w:val="003E3E06"/>
    <w:rsid w:val="003E4FF5"/>
    <w:rsid w:val="003E54E3"/>
    <w:rsid w:val="003E5D67"/>
    <w:rsid w:val="003E6750"/>
    <w:rsid w:val="003E6AE7"/>
    <w:rsid w:val="003E7493"/>
    <w:rsid w:val="003F06B0"/>
    <w:rsid w:val="003F0FEF"/>
    <w:rsid w:val="003F11EC"/>
    <w:rsid w:val="003F1736"/>
    <w:rsid w:val="003F1CB4"/>
    <w:rsid w:val="003F2595"/>
    <w:rsid w:val="003F30FB"/>
    <w:rsid w:val="003F3DE1"/>
    <w:rsid w:val="003F4728"/>
    <w:rsid w:val="003F4F82"/>
    <w:rsid w:val="003F558E"/>
    <w:rsid w:val="003F5E4D"/>
    <w:rsid w:val="003F616C"/>
    <w:rsid w:val="004004C5"/>
    <w:rsid w:val="00401300"/>
    <w:rsid w:val="00402237"/>
    <w:rsid w:val="00404915"/>
    <w:rsid w:val="00404D6F"/>
    <w:rsid w:val="004055EA"/>
    <w:rsid w:val="00405894"/>
    <w:rsid w:val="004060E5"/>
    <w:rsid w:val="00406EDB"/>
    <w:rsid w:val="004076F6"/>
    <w:rsid w:val="00410582"/>
    <w:rsid w:val="00410C5D"/>
    <w:rsid w:val="00411A7D"/>
    <w:rsid w:val="004133CD"/>
    <w:rsid w:val="00413EA1"/>
    <w:rsid w:val="0041418C"/>
    <w:rsid w:val="00414479"/>
    <w:rsid w:val="004151B7"/>
    <w:rsid w:val="00415ECE"/>
    <w:rsid w:val="004171D0"/>
    <w:rsid w:val="00417419"/>
    <w:rsid w:val="0042206B"/>
    <w:rsid w:val="00422169"/>
    <w:rsid w:val="00424CE8"/>
    <w:rsid w:val="004262AC"/>
    <w:rsid w:val="004271FC"/>
    <w:rsid w:val="00430B47"/>
    <w:rsid w:val="00431542"/>
    <w:rsid w:val="00431553"/>
    <w:rsid w:val="004316CC"/>
    <w:rsid w:val="00433D99"/>
    <w:rsid w:val="00434691"/>
    <w:rsid w:val="00434B2A"/>
    <w:rsid w:val="00436033"/>
    <w:rsid w:val="00436930"/>
    <w:rsid w:val="00436EAF"/>
    <w:rsid w:val="00437A24"/>
    <w:rsid w:val="004405C3"/>
    <w:rsid w:val="00441E77"/>
    <w:rsid w:val="0044336D"/>
    <w:rsid w:val="0044416E"/>
    <w:rsid w:val="004446A0"/>
    <w:rsid w:val="0044624D"/>
    <w:rsid w:val="00447377"/>
    <w:rsid w:val="00450DA2"/>
    <w:rsid w:val="00451B55"/>
    <w:rsid w:val="00451D26"/>
    <w:rsid w:val="0045354D"/>
    <w:rsid w:val="004535B7"/>
    <w:rsid w:val="00454061"/>
    <w:rsid w:val="00455657"/>
    <w:rsid w:val="00460742"/>
    <w:rsid w:val="00461781"/>
    <w:rsid w:val="0046196E"/>
    <w:rsid w:val="00464998"/>
    <w:rsid w:val="0046569B"/>
    <w:rsid w:val="00465BBB"/>
    <w:rsid w:val="004678C0"/>
    <w:rsid w:val="004706D2"/>
    <w:rsid w:val="004734B5"/>
    <w:rsid w:val="00474A9B"/>
    <w:rsid w:val="00475311"/>
    <w:rsid w:val="00480E5E"/>
    <w:rsid w:val="00481591"/>
    <w:rsid w:val="00481A0E"/>
    <w:rsid w:val="004859E8"/>
    <w:rsid w:val="00486A70"/>
    <w:rsid w:val="00486EE9"/>
    <w:rsid w:val="00487BDA"/>
    <w:rsid w:val="00491AE4"/>
    <w:rsid w:val="004923DB"/>
    <w:rsid w:val="00493339"/>
    <w:rsid w:val="00493D4C"/>
    <w:rsid w:val="00495307"/>
    <w:rsid w:val="00495E37"/>
    <w:rsid w:val="00496E97"/>
    <w:rsid w:val="00496E9B"/>
    <w:rsid w:val="00497622"/>
    <w:rsid w:val="00497A37"/>
    <w:rsid w:val="004A0B6A"/>
    <w:rsid w:val="004A2F59"/>
    <w:rsid w:val="004A33BD"/>
    <w:rsid w:val="004A35FF"/>
    <w:rsid w:val="004A3862"/>
    <w:rsid w:val="004A6AD8"/>
    <w:rsid w:val="004A75F7"/>
    <w:rsid w:val="004A76B4"/>
    <w:rsid w:val="004B107C"/>
    <w:rsid w:val="004B1399"/>
    <w:rsid w:val="004B2505"/>
    <w:rsid w:val="004B26E2"/>
    <w:rsid w:val="004B5897"/>
    <w:rsid w:val="004B62D6"/>
    <w:rsid w:val="004B6F54"/>
    <w:rsid w:val="004B73D1"/>
    <w:rsid w:val="004B7750"/>
    <w:rsid w:val="004C02DF"/>
    <w:rsid w:val="004C123A"/>
    <w:rsid w:val="004C209B"/>
    <w:rsid w:val="004C2C5D"/>
    <w:rsid w:val="004C32BE"/>
    <w:rsid w:val="004C3399"/>
    <w:rsid w:val="004C4825"/>
    <w:rsid w:val="004C6446"/>
    <w:rsid w:val="004D1500"/>
    <w:rsid w:val="004D15B0"/>
    <w:rsid w:val="004D1B5D"/>
    <w:rsid w:val="004D26B9"/>
    <w:rsid w:val="004D2B3E"/>
    <w:rsid w:val="004D2C3E"/>
    <w:rsid w:val="004D3A30"/>
    <w:rsid w:val="004D4299"/>
    <w:rsid w:val="004D440A"/>
    <w:rsid w:val="004D727A"/>
    <w:rsid w:val="004E04FD"/>
    <w:rsid w:val="004E1AD0"/>
    <w:rsid w:val="004E2C9F"/>
    <w:rsid w:val="004E389F"/>
    <w:rsid w:val="004E3A15"/>
    <w:rsid w:val="004E3A98"/>
    <w:rsid w:val="004E499A"/>
    <w:rsid w:val="004E6822"/>
    <w:rsid w:val="004F0FED"/>
    <w:rsid w:val="004F13FC"/>
    <w:rsid w:val="004F159E"/>
    <w:rsid w:val="004F47BB"/>
    <w:rsid w:val="004F5E7B"/>
    <w:rsid w:val="004F634C"/>
    <w:rsid w:val="004F7EC9"/>
    <w:rsid w:val="00500018"/>
    <w:rsid w:val="005034E6"/>
    <w:rsid w:val="005038C1"/>
    <w:rsid w:val="00505D66"/>
    <w:rsid w:val="0050629F"/>
    <w:rsid w:val="00511351"/>
    <w:rsid w:val="00511BF6"/>
    <w:rsid w:val="005123FE"/>
    <w:rsid w:val="005128B5"/>
    <w:rsid w:val="0051422F"/>
    <w:rsid w:val="005144F5"/>
    <w:rsid w:val="0051525C"/>
    <w:rsid w:val="005157A0"/>
    <w:rsid w:val="00521221"/>
    <w:rsid w:val="00522B8C"/>
    <w:rsid w:val="0052504A"/>
    <w:rsid w:val="00530062"/>
    <w:rsid w:val="005306C4"/>
    <w:rsid w:val="00533048"/>
    <w:rsid w:val="00533929"/>
    <w:rsid w:val="005344DA"/>
    <w:rsid w:val="00535E7C"/>
    <w:rsid w:val="005373DE"/>
    <w:rsid w:val="00537DD3"/>
    <w:rsid w:val="00540178"/>
    <w:rsid w:val="0054038A"/>
    <w:rsid w:val="00540EF2"/>
    <w:rsid w:val="0054153F"/>
    <w:rsid w:val="00541EB6"/>
    <w:rsid w:val="005420AD"/>
    <w:rsid w:val="00542260"/>
    <w:rsid w:val="00543E74"/>
    <w:rsid w:val="00544563"/>
    <w:rsid w:val="00546775"/>
    <w:rsid w:val="00546ED7"/>
    <w:rsid w:val="005475FE"/>
    <w:rsid w:val="00547F83"/>
    <w:rsid w:val="00550E01"/>
    <w:rsid w:val="00551E44"/>
    <w:rsid w:val="00552318"/>
    <w:rsid w:val="00553616"/>
    <w:rsid w:val="00554C94"/>
    <w:rsid w:val="00555661"/>
    <w:rsid w:val="00557306"/>
    <w:rsid w:val="00560299"/>
    <w:rsid w:val="0056114C"/>
    <w:rsid w:val="005612D9"/>
    <w:rsid w:val="00561878"/>
    <w:rsid w:val="00561953"/>
    <w:rsid w:val="0056242B"/>
    <w:rsid w:val="005625CE"/>
    <w:rsid w:val="00562D2E"/>
    <w:rsid w:val="0056385B"/>
    <w:rsid w:val="005645A5"/>
    <w:rsid w:val="00564EFE"/>
    <w:rsid w:val="005662C0"/>
    <w:rsid w:val="00567453"/>
    <w:rsid w:val="00570639"/>
    <w:rsid w:val="00570A92"/>
    <w:rsid w:val="005714D9"/>
    <w:rsid w:val="005716BB"/>
    <w:rsid w:val="00572BD3"/>
    <w:rsid w:val="00573261"/>
    <w:rsid w:val="005737CD"/>
    <w:rsid w:val="005739AB"/>
    <w:rsid w:val="00574385"/>
    <w:rsid w:val="00574D04"/>
    <w:rsid w:val="00576124"/>
    <w:rsid w:val="0057768B"/>
    <w:rsid w:val="005777D8"/>
    <w:rsid w:val="00577ECC"/>
    <w:rsid w:val="005833A6"/>
    <w:rsid w:val="005849A9"/>
    <w:rsid w:val="005852BA"/>
    <w:rsid w:val="0058606C"/>
    <w:rsid w:val="005901F3"/>
    <w:rsid w:val="00590CC7"/>
    <w:rsid w:val="00591E2F"/>
    <w:rsid w:val="005924FC"/>
    <w:rsid w:val="00594D75"/>
    <w:rsid w:val="00595AD9"/>
    <w:rsid w:val="00595EEB"/>
    <w:rsid w:val="0059704F"/>
    <w:rsid w:val="00597218"/>
    <w:rsid w:val="00597427"/>
    <w:rsid w:val="005A10B1"/>
    <w:rsid w:val="005A1994"/>
    <w:rsid w:val="005A25B4"/>
    <w:rsid w:val="005A3B52"/>
    <w:rsid w:val="005A3E0D"/>
    <w:rsid w:val="005A3F3C"/>
    <w:rsid w:val="005A3FE1"/>
    <w:rsid w:val="005A4E3E"/>
    <w:rsid w:val="005A6C74"/>
    <w:rsid w:val="005A78A5"/>
    <w:rsid w:val="005B0563"/>
    <w:rsid w:val="005B0967"/>
    <w:rsid w:val="005B0BB8"/>
    <w:rsid w:val="005B1B49"/>
    <w:rsid w:val="005B1BE0"/>
    <w:rsid w:val="005B2022"/>
    <w:rsid w:val="005B2F7E"/>
    <w:rsid w:val="005B46C9"/>
    <w:rsid w:val="005B594A"/>
    <w:rsid w:val="005B59CC"/>
    <w:rsid w:val="005B6102"/>
    <w:rsid w:val="005B6108"/>
    <w:rsid w:val="005B697A"/>
    <w:rsid w:val="005B79A9"/>
    <w:rsid w:val="005C1A91"/>
    <w:rsid w:val="005C1DF0"/>
    <w:rsid w:val="005C2A80"/>
    <w:rsid w:val="005C3492"/>
    <w:rsid w:val="005C3F09"/>
    <w:rsid w:val="005C5181"/>
    <w:rsid w:val="005C69BE"/>
    <w:rsid w:val="005C7859"/>
    <w:rsid w:val="005C7DB3"/>
    <w:rsid w:val="005D13EF"/>
    <w:rsid w:val="005D6684"/>
    <w:rsid w:val="005E15D4"/>
    <w:rsid w:val="005E285C"/>
    <w:rsid w:val="005E31C6"/>
    <w:rsid w:val="005E325D"/>
    <w:rsid w:val="005E4B2A"/>
    <w:rsid w:val="005E4CF8"/>
    <w:rsid w:val="005E4D81"/>
    <w:rsid w:val="005E5D49"/>
    <w:rsid w:val="005E7B71"/>
    <w:rsid w:val="005E7B83"/>
    <w:rsid w:val="005E7FBB"/>
    <w:rsid w:val="005F0AA2"/>
    <w:rsid w:val="005F2D46"/>
    <w:rsid w:val="005F5F39"/>
    <w:rsid w:val="005F6042"/>
    <w:rsid w:val="0060057A"/>
    <w:rsid w:val="00600BEE"/>
    <w:rsid w:val="00600FBC"/>
    <w:rsid w:val="00601459"/>
    <w:rsid w:val="00601723"/>
    <w:rsid w:val="0060175E"/>
    <w:rsid w:val="0060199F"/>
    <w:rsid w:val="006025D0"/>
    <w:rsid w:val="0060301E"/>
    <w:rsid w:val="006045A6"/>
    <w:rsid w:val="006058B1"/>
    <w:rsid w:val="00605BA5"/>
    <w:rsid w:val="00611BF5"/>
    <w:rsid w:val="00611E1B"/>
    <w:rsid w:val="00612D96"/>
    <w:rsid w:val="00613092"/>
    <w:rsid w:val="00613599"/>
    <w:rsid w:val="006136F0"/>
    <w:rsid w:val="006137DC"/>
    <w:rsid w:val="00615071"/>
    <w:rsid w:val="00615E63"/>
    <w:rsid w:val="006161E9"/>
    <w:rsid w:val="00620783"/>
    <w:rsid w:val="00620A37"/>
    <w:rsid w:val="00620CE7"/>
    <w:rsid w:val="00622329"/>
    <w:rsid w:val="00623DA7"/>
    <w:rsid w:val="0062583C"/>
    <w:rsid w:val="00626316"/>
    <w:rsid w:val="006316A9"/>
    <w:rsid w:val="006327E3"/>
    <w:rsid w:val="006329B6"/>
    <w:rsid w:val="00633C91"/>
    <w:rsid w:val="00633CC5"/>
    <w:rsid w:val="0063454C"/>
    <w:rsid w:val="0063563D"/>
    <w:rsid w:val="006371F5"/>
    <w:rsid w:val="00637424"/>
    <w:rsid w:val="00637A28"/>
    <w:rsid w:val="00640E02"/>
    <w:rsid w:val="00642E70"/>
    <w:rsid w:val="0064343D"/>
    <w:rsid w:val="006435E7"/>
    <w:rsid w:val="00643C51"/>
    <w:rsid w:val="00647244"/>
    <w:rsid w:val="00647B13"/>
    <w:rsid w:val="006506DE"/>
    <w:rsid w:val="00650FA6"/>
    <w:rsid w:val="00651EFD"/>
    <w:rsid w:val="00652389"/>
    <w:rsid w:val="00652561"/>
    <w:rsid w:val="00652F98"/>
    <w:rsid w:val="00655841"/>
    <w:rsid w:val="00655F84"/>
    <w:rsid w:val="006560F0"/>
    <w:rsid w:val="00660718"/>
    <w:rsid w:val="00661999"/>
    <w:rsid w:val="00663421"/>
    <w:rsid w:val="0066397A"/>
    <w:rsid w:val="00665E41"/>
    <w:rsid w:val="00666810"/>
    <w:rsid w:val="00666A95"/>
    <w:rsid w:val="00666CE2"/>
    <w:rsid w:val="00666FAB"/>
    <w:rsid w:val="00670DA2"/>
    <w:rsid w:val="00671520"/>
    <w:rsid w:val="00672DB1"/>
    <w:rsid w:val="006753AE"/>
    <w:rsid w:val="0067550D"/>
    <w:rsid w:val="00675651"/>
    <w:rsid w:val="006757B1"/>
    <w:rsid w:val="00676205"/>
    <w:rsid w:val="00676E87"/>
    <w:rsid w:val="00676F45"/>
    <w:rsid w:val="00677052"/>
    <w:rsid w:val="006777B9"/>
    <w:rsid w:val="00680C50"/>
    <w:rsid w:val="00681851"/>
    <w:rsid w:val="0068347D"/>
    <w:rsid w:val="0068402B"/>
    <w:rsid w:val="00684B1D"/>
    <w:rsid w:val="00684D07"/>
    <w:rsid w:val="00685350"/>
    <w:rsid w:val="00687B32"/>
    <w:rsid w:val="00690BD5"/>
    <w:rsid w:val="006919F7"/>
    <w:rsid w:val="006934E2"/>
    <w:rsid w:val="00694E6B"/>
    <w:rsid w:val="006953F9"/>
    <w:rsid w:val="006971A7"/>
    <w:rsid w:val="006A0231"/>
    <w:rsid w:val="006A1046"/>
    <w:rsid w:val="006A364B"/>
    <w:rsid w:val="006A4701"/>
    <w:rsid w:val="006A4BCB"/>
    <w:rsid w:val="006A5083"/>
    <w:rsid w:val="006A5337"/>
    <w:rsid w:val="006A5CDC"/>
    <w:rsid w:val="006A6A3E"/>
    <w:rsid w:val="006A6DF3"/>
    <w:rsid w:val="006A72C4"/>
    <w:rsid w:val="006B0330"/>
    <w:rsid w:val="006B0963"/>
    <w:rsid w:val="006B1D78"/>
    <w:rsid w:val="006B3499"/>
    <w:rsid w:val="006B3771"/>
    <w:rsid w:val="006B5BE0"/>
    <w:rsid w:val="006B6215"/>
    <w:rsid w:val="006B7368"/>
    <w:rsid w:val="006B754E"/>
    <w:rsid w:val="006B78FD"/>
    <w:rsid w:val="006C043E"/>
    <w:rsid w:val="006C0C67"/>
    <w:rsid w:val="006C0C6B"/>
    <w:rsid w:val="006C1428"/>
    <w:rsid w:val="006C1A8C"/>
    <w:rsid w:val="006C6A9E"/>
    <w:rsid w:val="006C7BF8"/>
    <w:rsid w:val="006D01EA"/>
    <w:rsid w:val="006D1BF5"/>
    <w:rsid w:val="006D32EE"/>
    <w:rsid w:val="006D37CC"/>
    <w:rsid w:val="006D5A2D"/>
    <w:rsid w:val="006D617E"/>
    <w:rsid w:val="006D6907"/>
    <w:rsid w:val="006E0BD7"/>
    <w:rsid w:val="006E12A3"/>
    <w:rsid w:val="006E2B32"/>
    <w:rsid w:val="006E472A"/>
    <w:rsid w:val="006E6F5E"/>
    <w:rsid w:val="006E6FB5"/>
    <w:rsid w:val="006E79EB"/>
    <w:rsid w:val="006F1CB2"/>
    <w:rsid w:val="006F2A90"/>
    <w:rsid w:val="006F3490"/>
    <w:rsid w:val="006F3EE0"/>
    <w:rsid w:val="006F454C"/>
    <w:rsid w:val="006F45C2"/>
    <w:rsid w:val="006F46CE"/>
    <w:rsid w:val="006F55F5"/>
    <w:rsid w:val="00700D97"/>
    <w:rsid w:val="00701289"/>
    <w:rsid w:val="00701407"/>
    <w:rsid w:val="0070366C"/>
    <w:rsid w:val="00703E84"/>
    <w:rsid w:val="00703EC3"/>
    <w:rsid w:val="00704BED"/>
    <w:rsid w:val="00705506"/>
    <w:rsid w:val="007105A9"/>
    <w:rsid w:val="0071452F"/>
    <w:rsid w:val="007146BE"/>
    <w:rsid w:val="007161AA"/>
    <w:rsid w:val="00716655"/>
    <w:rsid w:val="007168AF"/>
    <w:rsid w:val="00716BAB"/>
    <w:rsid w:val="00716DF3"/>
    <w:rsid w:val="0071721E"/>
    <w:rsid w:val="007209AB"/>
    <w:rsid w:val="00720A75"/>
    <w:rsid w:val="007233FE"/>
    <w:rsid w:val="0072529F"/>
    <w:rsid w:val="0072538D"/>
    <w:rsid w:val="00725CA7"/>
    <w:rsid w:val="00725CFD"/>
    <w:rsid w:val="00725D4A"/>
    <w:rsid w:val="007261E0"/>
    <w:rsid w:val="00726252"/>
    <w:rsid w:val="007272E6"/>
    <w:rsid w:val="00727539"/>
    <w:rsid w:val="00727AB6"/>
    <w:rsid w:val="007304B2"/>
    <w:rsid w:val="007319C6"/>
    <w:rsid w:val="00731C25"/>
    <w:rsid w:val="00731F17"/>
    <w:rsid w:val="00731F7D"/>
    <w:rsid w:val="00732D8B"/>
    <w:rsid w:val="00733121"/>
    <w:rsid w:val="007331B9"/>
    <w:rsid w:val="00734E85"/>
    <w:rsid w:val="00736797"/>
    <w:rsid w:val="00740060"/>
    <w:rsid w:val="00740370"/>
    <w:rsid w:val="007406CD"/>
    <w:rsid w:val="007407E1"/>
    <w:rsid w:val="00744CAC"/>
    <w:rsid w:val="00745362"/>
    <w:rsid w:val="00745DD2"/>
    <w:rsid w:val="007502D9"/>
    <w:rsid w:val="00750B56"/>
    <w:rsid w:val="00751A5B"/>
    <w:rsid w:val="00751C8D"/>
    <w:rsid w:val="007527F6"/>
    <w:rsid w:val="00752E3A"/>
    <w:rsid w:val="0075351F"/>
    <w:rsid w:val="00754A0C"/>
    <w:rsid w:val="0075615D"/>
    <w:rsid w:val="00756D4B"/>
    <w:rsid w:val="0075795F"/>
    <w:rsid w:val="00757CA5"/>
    <w:rsid w:val="00757DD1"/>
    <w:rsid w:val="0076247E"/>
    <w:rsid w:val="00763ADA"/>
    <w:rsid w:val="00765C6B"/>
    <w:rsid w:val="007670C0"/>
    <w:rsid w:val="00767591"/>
    <w:rsid w:val="00767E47"/>
    <w:rsid w:val="00770BDD"/>
    <w:rsid w:val="007711D6"/>
    <w:rsid w:val="007715DE"/>
    <w:rsid w:val="00771FEA"/>
    <w:rsid w:val="007720D9"/>
    <w:rsid w:val="00772341"/>
    <w:rsid w:val="007724B5"/>
    <w:rsid w:val="0077255B"/>
    <w:rsid w:val="00773703"/>
    <w:rsid w:val="00776215"/>
    <w:rsid w:val="0077688D"/>
    <w:rsid w:val="00777BB9"/>
    <w:rsid w:val="00780CD7"/>
    <w:rsid w:val="0078121C"/>
    <w:rsid w:val="007828F7"/>
    <w:rsid w:val="00785862"/>
    <w:rsid w:val="00785C25"/>
    <w:rsid w:val="007873EA"/>
    <w:rsid w:val="007874ED"/>
    <w:rsid w:val="00790B09"/>
    <w:rsid w:val="00790FAC"/>
    <w:rsid w:val="00791104"/>
    <w:rsid w:val="00793782"/>
    <w:rsid w:val="007937E9"/>
    <w:rsid w:val="00794C91"/>
    <w:rsid w:val="007957F9"/>
    <w:rsid w:val="00795953"/>
    <w:rsid w:val="007A07BC"/>
    <w:rsid w:val="007A1B68"/>
    <w:rsid w:val="007A22A9"/>
    <w:rsid w:val="007A3786"/>
    <w:rsid w:val="007A4F84"/>
    <w:rsid w:val="007A54F0"/>
    <w:rsid w:val="007A75B1"/>
    <w:rsid w:val="007A7CC3"/>
    <w:rsid w:val="007B1046"/>
    <w:rsid w:val="007B4A3D"/>
    <w:rsid w:val="007B4EE9"/>
    <w:rsid w:val="007B50A6"/>
    <w:rsid w:val="007B5186"/>
    <w:rsid w:val="007B5B9D"/>
    <w:rsid w:val="007B6BC4"/>
    <w:rsid w:val="007C1DAC"/>
    <w:rsid w:val="007C20B4"/>
    <w:rsid w:val="007C381E"/>
    <w:rsid w:val="007C39F8"/>
    <w:rsid w:val="007C3DA3"/>
    <w:rsid w:val="007C7C40"/>
    <w:rsid w:val="007C7F1D"/>
    <w:rsid w:val="007D2255"/>
    <w:rsid w:val="007D2961"/>
    <w:rsid w:val="007D2A57"/>
    <w:rsid w:val="007D30F6"/>
    <w:rsid w:val="007D3F2F"/>
    <w:rsid w:val="007D4191"/>
    <w:rsid w:val="007E0A8B"/>
    <w:rsid w:val="007E11B9"/>
    <w:rsid w:val="007E1288"/>
    <w:rsid w:val="007E1D94"/>
    <w:rsid w:val="007E2368"/>
    <w:rsid w:val="007E2A1F"/>
    <w:rsid w:val="007E2E18"/>
    <w:rsid w:val="007E2EA9"/>
    <w:rsid w:val="007E3C4A"/>
    <w:rsid w:val="007E4031"/>
    <w:rsid w:val="007E5F4E"/>
    <w:rsid w:val="007E5FD5"/>
    <w:rsid w:val="007E6DEB"/>
    <w:rsid w:val="007E73DF"/>
    <w:rsid w:val="007F01CB"/>
    <w:rsid w:val="007F15F5"/>
    <w:rsid w:val="007F2627"/>
    <w:rsid w:val="007F3C26"/>
    <w:rsid w:val="007F3ED6"/>
    <w:rsid w:val="007F43E9"/>
    <w:rsid w:val="007F6CB7"/>
    <w:rsid w:val="008002BA"/>
    <w:rsid w:val="008011FF"/>
    <w:rsid w:val="00801D26"/>
    <w:rsid w:val="00801F1F"/>
    <w:rsid w:val="008029BC"/>
    <w:rsid w:val="00803B00"/>
    <w:rsid w:val="008041DE"/>
    <w:rsid w:val="00804611"/>
    <w:rsid w:val="00810360"/>
    <w:rsid w:val="00811428"/>
    <w:rsid w:val="0081172D"/>
    <w:rsid w:val="00813060"/>
    <w:rsid w:val="00814AF4"/>
    <w:rsid w:val="00815AA4"/>
    <w:rsid w:val="00816AA6"/>
    <w:rsid w:val="008204A2"/>
    <w:rsid w:val="00820E6F"/>
    <w:rsid w:val="00821291"/>
    <w:rsid w:val="0082144D"/>
    <w:rsid w:val="00822C1C"/>
    <w:rsid w:val="008230FC"/>
    <w:rsid w:val="00823792"/>
    <w:rsid w:val="00824063"/>
    <w:rsid w:val="0082441A"/>
    <w:rsid w:val="00826B65"/>
    <w:rsid w:val="00826BEA"/>
    <w:rsid w:val="00830A4C"/>
    <w:rsid w:val="00830FC3"/>
    <w:rsid w:val="00831E50"/>
    <w:rsid w:val="008336A2"/>
    <w:rsid w:val="00833FB2"/>
    <w:rsid w:val="008355EA"/>
    <w:rsid w:val="00836164"/>
    <w:rsid w:val="008373D8"/>
    <w:rsid w:val="00837421"/>
    <w:rsid w:val="00837508"/>
    <w:rsid w:val="00840579"/>
    <w:rsid w:val="008415E3"/>
    <w:rsid w:val="0084166A"/>
    <w:rsid w:val="00841719"/>
    <w:rsid w:val="008418DC"/>
    <w:rsid w:val="00843010"/>
    <w:rsid w:val="008433CF"/>
    <w:rsid w:val="00843DE4"/>
    <w:rsid w:val="00843FFC"/>
    <w:rsid w:val="008446C0"/>
    <w:rsid w:val="00844E91"/>
    <w:rsid w:val="00845644"/>
    <w:rsid w:val="008456D8"/>
    <w:rsid w:val="00847826"/>
    <w:rsid w:val="00850AFF"/>
    <w:rsid w:val="00851A17"/>
    <w:rsid w:val="008525B2"/>
    <w:rsid w:val="00853731"/>
    <w:rsid w:val="0085414C"/>
    <w:rsid w:val="00857FC2"/>
    <w:rsid w:val="008612A9"/>
    <w:rsid w:val="008632BC"/>
    <w:rsid w:val="0086493E"/>
    <w:rsid w:val="00865CF5"/>
    <w:rsid w:val="0087027F"/>
    <w:rsid w:val="0087516F"/>
    <w:rsid w:val="00875A5A"/>
    <w:rsid w:val="008761B8"/>
    <w:rsid w:val="008761D9"/>
    <w:rsid w:val="008776B5"/>
    <w:rsid w:val="00877ACC"/>
    <w:rsid w:val="00877D5D"/>
    <w:rsid w:val="00880D4D"/>
    <w:rsid w:val="00881510"/>
    <w:rsid w:val="00884328"/>
    <w:rsid w:val="0088585A"/>
    <w:rsid w:val="00886F89"/>
    <w:rsid w:val="008872E2"/>
    <w:rsid w:val="00887B58"/>
    <w:rsid w:val="0089015B"/>
    <w:rsid w:val="00891292"/>
    <w:rsid w:val="0089219A"/>
    <w:rsid w:val="00893D5B"/>
    <w:rsid w:val="008941C5"/>
    <w:rsid w:val="00894579"/>
    <w:rsid w:val="00894C4D"/>
    <w:rsid w:val="008968E9"/>
    <w:rsid w:val="008A0873"/>
    <w:rsid w:val="008A12E7"/>
    <w:rsid w:val="008A1C93"/>
    <w:rsid w:val="008A2D08"/>
    <w:rsid w:val="008A3163"/>
    <w:rsid w:val="008A3881"/>
    <w:rsid w:val="008A407A"/>
    <w:rsid w:val="008A4941"/>
    <w:rsid w:val="008A5402"/>
    <w:rsid w:val="008A5ADA"/>
    <w:rsid w:val="008A6837"/>
    <w:rsid w:val="008A7C86"/>
    <w:rsid w:val="008B09D7"/>
    <w:rsid w:val="008B1036"/>
    <w:rsid w:val="008B1EFB"/>
    <w:rsid w:val="008B32A7"/>
    <w:rsid w:val="008B398D"/>
    <w:rsid w:val="008B4AC1"/>
    <w:rsid w:val="008B57A8"/>
    <w:rsid w:val="008B75F9"/>
    <w:rsid w:val="008B7A80"/>
    <w:rsid w:val="008C0D48"/>
    <w:rsid w:val="008C2125"/>
    <w:rsid w:val="008C2B5C"/>
    <w:rsid w:val="008C2B7E"/>
    <w:rsid w:val="008C2C15"/>
    <w:rsid w:val="008C3BC2"/>
    <w:rsid w:val="008C3FE7"/>
    <w:rsid w:val="008C6F28"/>
    <w:rsid w:val="008C73B3"/>
    <w:rsid w:val="008D121C"/>
    <w:rsid w:val="008D134C"/>
    <w:rsid w:val="008D24FF"/>
    <w:rsid w:val="008D2608"/>
    <w:rsid w:val="008D2F29"/>
    <w:rsid w:val="008D2FD5"/>
    <w:rsid w:val="008D5508"/>
    <w:rsid w:val="008D5C11"/>
    <w:rsid w:val="008D5C65"/>
    <w:rsid w:val="008D7EA6"/>
    <w:rsid w:val="008E00AD"/>
    <w:rsid w:val="008E03B4"/>
    <w:rsid w:val="008E24ED"/>
    <w:rsid w:val="008E26B9"/>
    <w:rsid w:val="008E51B7"/>
    <w:rsid w:val="008E5D74"/>
    <w:rsid w:val="008E6308"/>
    <w:rsid w:val="008E7459"/>
    <w:rsid w:val="008E7AC7"/>
    <w:rsid w:val="008F109E"/>
    <w:rsid w:val="008F13FA"/>
    <w:rsid w:val="008F19E2"/>
    <w:rsid w:val="008F1AD2"/>
    <w:rsid w:val="008F1C00"/>
    <w:rsid w:val="008F266D"/>
    <w:rsid w:val="008F2A25"/>
    <w:rsid w:val="008F3331"/>
    <w:rsid w:val="008F4ECC"/>
    <w:rsid w:val="008F61AD"/>
    <w:rsid w:val="008F61C4"/>
    <w:rsid w:val="008F6CE0"/>
    <w:rsid w:val="008F7396"/>
    <w:rsid w:val="008F79A4"/>
    <w:rsid w:val="008F7E38"/>
    <w:rsid w:val="0090137B"/>
    <w:rsid w:val="00901928"/>
    <w:rsid w:val="00901A3D"/>
    <w:rsid w:val="00901D19"/>
    <w:rsid w:val="00902C47"/>
    <w:rsid w:val="00902FF6"/>
    <w:rsid w:val="00903243"/>
    <w:rsid w:val="009037F9"/>
    <w:rsid w:val="00903AFC"/>
    <w:rsid w:val="00903B0F"/>
    <w:rsid w:val="009058C5"/>
    <w:rsid w:val="009068C8"/>
    <w:rsid w:val="009069D6"/>
    <w:rsid w:val="0090753B"/>
    <w:rsid w:val="00910878"/>
    <w:rsid w:val="0091173E"/>
    <w:rsid w:val="00911763"/>
    <w:rsid w:val="00911CA4"/>
    <w:rsid w:val="00914055"/>
    <w:rsid w:val="0091718D"/>
    <w:rsid w:val="00917628"/>
    <w:rsid w:val="00924267"/>
    <w:rsid w:val="00925755"/>
    <w:rsid w:val="009258CC"/>
    <w:rsid w:val="00925D41"/>
    <w:rsid w:val="0092687B"/>
    <w:rsid w:val="00927089"/>
    <w:rsid w:val="00930803"/>
    <w:rsid w:val="0093091E"/>
    <w:rsid w:val="00930A86"/>
    <w:rsid w:val="00931546"/>
    <w:rsid w:val="009315AF"/>
    <w:rsid w:val="009336F5"/>
    <w:rsid w:val="00934A8A"/>
    <w:rsid w:val="00935328"/>
    <w:rsid w:val="0093727C"/>
    <w:rsid w:val="00937459"/>
    <w:rsid w:val="00937D25"/>
    <w:rsid w:val="00937FBE"/>
    <w:rsid w:val="00940616"/>
    <w:rsid w:val="009413B2"/>
    <w:rsid w:val="0094200F"/>
    <w:rsid w:val="00943724"/>
    <w:rsid w:val="00943EAD"/>
    <w:rsid w:val="00944893"/>
    <w:rsid w:val="009448A3"/>
    <w:rsid w:val="0094532F"/>
    <w:rsid w:val="00946CF6"/>
    <w:rsid w:val="00947639"/>
    <w:rsid w:val="00947C5D"/>
    <w:rsid w:val="0095069D"/>
    <w:rsid w:val="009528A2"/>
    <w:rsid w:val="009538C7"/>
    <w:rsid w:val="00953E89"/>
    <w:rsid w:val="00954259"/>
    <w:rsid w:val="00955727"/>
    <w:rsid w:val="009614D4"/>
    <w:rsid w:val="009615E1"/>
    <w:rsid w:val="009616BC"/>
    <w:rsid w:val="00961889"/>
    <w:rsid w:val="0096207F"/>
    <w:rsid w:val="009622D2"/>
    <w:rsid w:val="00962A6A"/>
    <w:rsid w:val="009635C7"/>
    <w:rsid w:val="00963883"/>
    <w:rsid w:val="00963DA5"/>
    <w:rsid w:val="009667A5"/>
    <w:rsid w:val="00966FCF"/>
    <w:rsid w:val="00967046"/>
    <w:rsid w:val="009675EE"/>
    <w:rsid w:val="00971243"/>
    <w:rsid w:val="009732A1"/>
    <w:rsid w:val="00973DAA"/>
    <w:rsid w:val="0097552D"/>
    <w:rsid w:val="00975DEB"/>
    <w:rsid w:val="0097624C"/>
    <w:rsid w:val="00976343"/>
    <w:rsid w:val="009774A3"/>
    <w:rsid w:val="00977812"/>
    <w:rsid w:val="009805F2"/>
    <w:rsid w:val="00980973"/>
    <w:rsid w:val="00980F0D"/>
    <w:rsid w:val="0098261A"/>
    <w:rsid w:val="009827B2"/>
    <w:rsid w:val="00984930"/>
    <w:rsid w:val="00986505"/>
    <w:rsid w:val="00986EBC"/>
    <w:rsid w:val="009870AF"/>
    <w:rsid w:val="009879C7"/>
    <w:rsid w:val="009942A5"/>
    <w:rsid w:val="00994EB3"/>
    <w:rsid w:val="00995717"/>
    <w:rsid w:val="00995B32"/>
    <w:rsid w:val="00995D3E"/>
    <w:rsid w:val="00996A5E"/>
    <w:rsid w:val="00996AC9"/>
    <w:rsid w:val="00996AD3"/>
    <w:rsid w:val="00997C0D"/>
    <w:rsid w:val="009A04A8"/>
    <w:rsid w:val="009A1D30"/>
    <w:rsid w:val="009A2117"/>
    <w:rsid w:val="009A25DA"/>
    <w:rsid w:val="009A3584"/>
    <w:rsid w:val="009A42BD"/>
    <w:rsid w:val="009A4333"/>
    <w:rsid w:val="009A4813"/>
    <w:rsid w:val="009A5D0A"/>
    <w:rsid w:val="009A628D"/>
    <w:rsid w:val="009A62D1"/>
    <w:rsid w:val="009B3495"/>
    <w:rsid w:val="009B46F3"/>
    <w:rsid w:val="009C0D3E"/>
    <w:rsid w:val="009C13A9"/>
    <w:rsid w:val="009C2468"/>
    <w:rsid w:val="009C2B58"/>
    <w:rsid w:val="009C3666"/>
    <w:rsid w:val="009C3A41"/>
    <w:rsid w:val="009C40EF"/>
    <w:rsid w:val="009C48EE"/>
    <w:rsid w:val="009C6A75"/>
    <w:rsid w:val="009C732E"/>
    <w:rsid w:val="009C7A31"/>
    <w:rsid w:val="009D025E"/>
    <w:rsid w:val="009D157A"/>
    <w:rsid w:val="009D1E89"/>
    <w:rsid w:val="009D3C72"/>
    <w:rsid w:val="009D3F76"/>
    <w:rsid w:val="009D7055"/>
    <w:rsid w:val="009E183E"/>
    <w:rsid w:val="009E1A19"/>
    <w:rsid w:val="009E2139"/>
    <w:rsid w:val="009E319F"/>
    <w:rsid w:val="009E363E"/>
    <w:rsid w:val="009E470B"/>
    <w:rsid w:val="009E63BD"/>
    <w:rsid w:val="009E6EE8"/>
    <w:rsid w:val="009E7498"/>
    <w:rsid w:val="009F0C0C"/>
    <w:rsid w:val="009F1809"/>
    <w:rsid w:val="009F1B50"/>
    <w:rsid w:val="009F1B54"/>
    <w:rsid w:val="009F1B9A"/>
    <w:rsid w:val="009F29CE"/>
    <w:rsid w:val="009F3675"/>
    <w:rsid w:val="009F398B"/>
    <w:rsid w:val="009F3E19"/>
    <w:rsid w:val="009F4DEA"/>
    <w:rsid w:val="009F4F31"/>
    <w:rsid w:val="009F52D9"/>
    <w:rsid w:val="009F642E"/>
    <w:rsid w:val="009F7329"/>
    <w:rsid w:val="00A00E58"/>
    <w:rsid w:val="00A012BC"/>
    <w:rsid w:val="00A01308"/>
    <w:rsid w:val="00A014D4"/>
    <w:rsid w:val="00A01DB8"/>
    <w:rsid w:val="00A02D3E"/>
    <w:rsid w:val="00A02E28"/>
    <w:rsid w:val="00A040C6"/>
    <w:rsid w:val="00A04850"/>
    <w:rsid w:val="00A0619C"/>
    <w:rsid w:val="00A06CEC"/>
    <w:rsid w:val="00A07DE6"/>
    <w:rsid w:val="00A104E3"/>
    <w:rsid w:val="00A11759"/>
    <w:rsid w:val="00A12356"/>
    <w:rsid w:val="00A14A3A"/>
    <w:rsid w:val="00A14F7B"/>
    <w:rsid w:val="00A151FE"/>
    <w:rsid w:val="00A15D4D"/>
    <w:rsid w:val="00A16748"/>
    <w:rsid w:val="00A167FC"/>
    <w:rsid w:val="00A174D5"/>
    <w:rsid w:val="00A17B2A"/>
    <w:rsid w:val="00A20258"/>
    <w:rsid w:val="00A2046F"/>
    <w:rsid w:val="00A2073E"/>
    <w:rsid w:val="00A21D74"/>
    <w:rsid w:val="00A22998"/>
    <w:rsid w:val="00A23DA0"/>
    <w:rsid w:val="00A240BC"/>
    <w:rsid w:val="00A2468B"/>
    <w:rsid w:val="00A24E4C"/>
    <w:rsid w:val="00A25015"/>
    <w:rsid w:val="00A26CDA"/>
    <w:rsid w:val="00A26ED8"/>
    <w:rsid w:val="00A31C24"/>
    <w:rsid w:val="00A31E1B"/>
    <w:rsid w:val="00A33E33"/>
    <w:rsid w:val="00A358D5"/>
    <w:rsid w:val="00A35901"/>
    <w:rsid w:val="00A35CE6"/>
    <w:rsid w:val="00A35D13"/>
    <w:rsid w:val="00A377FA"/>
    <w:rsid w:val="00A379E7"/>
    <w:rsid w:val="00A40841"/>
    <w:rsid w:val="00A4153D"/>
    <w:rsid w:val="00A4271F"/>
    <w:rsid w:val="00A43F3C"/>
    <w:rsid w:val="00A44AC2"/>
    <w:rsid w:val="00A455C7"/>
    <w:rsid w:val="00A45A5D"/>
    <w:rsid w:val="00A46FFC"/>
    <w:rsid w:val="00A5038C"/>
    <w:rsid w:val="00A50F11"/>
    <w:rsid w:val="00A52415"/>
    <w:rsid w:val="00A525C5"/>
    <w:rsid w:val="00A5301C"/>
    <w:rsid w:val="00A5358D"/>
    <w:rsid w:val="00A535DE"/>
    <w:rsid w:val="00A53A13"/>
    <w:rsid w:val="00A547C6"/>
    <w:rsid w:val="00A54EF9"/>
    <w:rsid w:val="00A56366"/>
    <w:rsid w:val="00A56F16"/>
    <w:rsid w:val="00A57982"/>
    <w:rsid w:val="00A60727"/>
    <w:rsid w:val="00A60E37"/>
    <w:rsid w:val="00A610BD"/>
    <w:rsid w:val="00A61699"/>
    <w:rsid w:val="00A6196F"/>
    <w:rsid w:val="00A646F2"/>
    <w:rsid w:val="00A6484E"/>
    <w:rsid w:val="00A64FDC"/>
    <w:rsid w:val="00A6678B"/>
    <w:rsid w:val="00A667BC"/>
    <w:rsid w:val="00A669D0"/>
    <w:rsid w:val="00A66FB3"/>
    <w:rsid w:val="00A71E4D"/>
    <w:rsid w:val="00A71FF0"/>
    <w:rsid w:val="00A727D8"/>
    <w:rsid w:val="00A746FA"/>
    <w:rsid w:val="00A74B09"/>
    <w:rsid w:val="00A74BA8"/>
    <w:rsid w:val="00A76137"/>
    <w:rsid w:val="00A764BB"/>
    <w:rsid w:val="00A77DA6"/>
    <w:rsid w:val="00A8005B"/>
    <w:rsid w:val="00A83A54"/>
    <w:rsid w:val="00A84512"/>
    <w:rsid w:val="00A8532D"/>
    <w:rsid w:val="00A85C3D"/>
    <w:rsid w:val="00A86379"/>
    <w:rsid w:val="00A867CE"/>
    <w:rsid w:val="00A90B64"/>
    <w:rsid w:val="00A90F88"/>
    <w:rsid w:val="00A91702"/>
    <w:rsid w:val="00A936D2"/>
    <w:rsid w:val="00A938EB"/>
    <w:rsid w:val="00A94102"/>
    <w:rsid w:val="00A9523F"/>
    <w:rsid w:val="00A953D4"/>
    <w:rsid w:val="00A95D65"/>
    <w:rsid w:val="00A9660C"/>
    <w:rsid w:val="00A970F9"/>
    <w:rsid w:val="00A9727A"/>
    <w:rsid w:val="00AA0C8A"/>
    <w:rsid w:val="00AA2D9E"/>
    <w:rsid w:val="00AA3519"/>
    <w:rsid w:val="00AA4542"/>
    <w:rsid w:val="00AA5614"/>
    <w:rsid w:val="00AA5633"/>
    <w:rsid w:val="00AA6581"/>
    <w:rsid w:val="00AA6660"/>
    <w:rsid w:val="00AA6D97"/>
    <w:rsid w:val="00AB0F3C"/>
    <w:rsid w:val="00AB18EA"/>
    <w:rsid w:val="00AB1EBE"/>
    <w:rsid w:val="00AB2265"/>
    <w:rsid w:val="00AB2748"/>
    <w:rsid w:val="00AB2818"/>
    <w:rsid w:val="00AB3847"/>
    <w:rsid w:val="00AB38CE"/>
    <w:rsid w:val="00AB4321"/>
    <w:rsid w:val="00AB5CA0"/>
    <w:rsid w:val="00AB6D23"/>
    <w:rsid w:val="00AC00ED"/>
    <w:rsid w:val="00AC2B23"/>
    <w:rsid w:val="00AC39F0"/>
    <w:rsid w:val="00AC3F9A"/>
    <w:rsid w:val="00AC5510"/>
    <w:rsid w:val="00AC5CC1"/>
    <w:rsid w:val="00AC658E"/>
    <w:rsid w:val="00AC6621"/>
    <w:rsid w:val="00AD0020"/>
    <w:rsid w:val="00AD0736"/>
    <w:rsid w:val="00AD0A30"/>
    <w:rsid w:val="00AD0BF7"/>
    <w:rsid w:val="00AD0DF4"/>
    <w:rsid w:val="00AD176C"/>
    <w:rsid w:val="00AD18F9"/>
    <w:rsid w:val="00AD249E"/>
    <w:rsid w:val="00AD352C"/>
    <w:rsid w:val="00AD3773"/>
    <w:rsid w:val="00AD3E75"/>
    <w:rsid w:val="00AD5D50"/>
    <w:rsid w:val="00AD768F"/>
    <w:rsid w:val="00AD76BF"/>
    <w:rsid w:val="00AE0DE6"/>
    <w:rsid w:val="00AE2BF1"/>
    <w:rsid w:val="00AE3640"/>
    <w:rsid w:val="00AE3F86"/>
    <w:rsid w:val="00AE4667"/>
    <w:rsid w:val="00AE4E9D"/>
    <w:rsid w:val="00AE58CD"/>
    <w:rsid w:val="00AE65C4"/>
    <w:rsid w:val="00AE6FFC"/>
    <w:rsid w:val="00AE7B53"/>
    <w:rsid w:val="00AF03FB"/>
    <w:rsid w:val="00AF0659"/>
    <w:rsid w:val="00AF190A"/>
    <w:rsid w:val="00AF353E"/>
    <w:rsid w:val="00AF4AE5"/>
    <w:rsid w:val="00AF4C79"/>
    <w:rsid w:val="00AF5985"/>
    <w:rsid w:val="00B006DB"/>
    <w:rsid w:val="00B012F3"/>
    <w:rsid w:val="00B021F4"/>
    <w:rsid w:val="00B0223D"/>
    <w:rsid w:val="00B02D51"/>
    <w:rsid w:val="00B030F8"/>
    <w:rsid w:val="00B0363E"/>
    <w:rsid w:val="00B04264"/>
    <w:rsid w:val="00B04291"/>
    <w:rsid w:val="00B04711"/>
    <w:rsid w:val="00B0625C"/>
    <w:rsid w:val="00B065DF"/>
    <w:rsid w:val="00B0682F"/>
    <w:rsid w:val="00B079AF"/>
    <w:rsid w:val="00B1298D"/>
    <w:rsid w:val="00B1384D"/>
    <w:rsid w:val="00B15090"/>
    <w:rsid w:val="00B15951"/>
    <w:rsid w:val="00B16341"/>
    <w:rsid w:val="00B165F6"/>
    <w:rsid w:val="00B165F7"/>
    <w:rsid w:val="00B17374"/>
    <w:rsid w:val="00B17F06"/>
    <w:rsid w:val="00B238CB"/>
    <w:rsid w:val="00B239F2"/>
    <w:rsid w:val="00B24980"/>
    <w:rsid w:val="00B25B1A"/>
    <w:rsid w:val="00B2613D"/>
    <w:rsid w:val="00B2629C"/>
    <w:rsid w:val="00B267B5"/>
    <w:rsid w:val="00B2696E"/>
    <w:rsid w:val="00B27DE2"/>
    <w:rsid w:val="00B307EF"/>
    <w:rsid w:val="00B3156B"/>
    <w:rsid w:val="00B3315E"/>
    <w:rsid w:val="00B33A01"/>
    <w:rsid w:val="00B33A41"/>
    <w:rsid w:val="00B35C66"/>
    <w:rsid w:val="00B405CE"/>
    <w:rsid w:val="00B413A5"/>
    <w:rsid w:val="00B41586"/>
    <w:rsid w:val="00B430B9"/>
    <w:rsid w:val="00B4337C"/>
    <w:rsid w:val="00B45E42"/>
    <w:rsid w:val="00B50368"/>
    <w:rsid w:val="00B51484"/>
    <w:rsid w:val="00B51D33"/>
    <w:rsid w:val="00B534F4"/>
    <w:rsid w:val="00B54011"/>
    <w:rsid w:val="00B54C65"/>
    <w:rsid w:val="00B563E6"/>
    <w:rsid w:val="00B56EBB"/>
    <w:rsid w:val="00B56F4C"/>
    <w:rsid w:val="00B570E3"/>
    <w:rsid w:val="00B5757A"/>
    <w:rsid w:val="00B57D82"/>
    <w:rsid w:val="00B6033F"/>
    <w:rsid w:val="00B60D03"/>
    <w:rsid w:val="00B60D5F"/>
    <w:rsid w:val="00B61A40"/>
    <w:rsid w:val="00B628FA"/>
    <w:rsid w:val="00B6381D"/>
    <w:rsid w:val="00B6459E"/>
    <w:rsid w:val="00B65E04"/>
    <w:rsid w:val="00B66648"/>
    <w:rsid w:val="00B66E8F"/>
    <w:rsid w:val="00B6729C"/>
    <w:rsid w:val="00B70293"/>
    <w:rsid w:val="00B70FC2"/>
    <w:rsid w:val="00B722AB"/>
    <w:rsid w:val="00B72823"/>
    <w:rsid w:val="00B73D19"/>
    <w:rsid w:val="00B74390"/>
    <w:rsid w:val="00B75A70"/>
    <w:rsid w:val="00B760BB"/>
    <w:rsid w:val="00B761F2"/>
    <w:rsid w:val="00B769C2"/>
    <w:rsid w:val="00B8070E"/>
    <w:rsid w:val="00B80F57"/>
    <w:rsid w:val="00B814B8"/>
    <w:rsid w:val="00B81C6D"/>
    <w:rsid w:val="00B82B38"/>
    <w:rsid w:val="00B82C8E"/>
    <w:rsid w:val="00B82F01"/>
    <w:rsid w:val="00B86957"/>
    <w:rsid w:val="00B9093D"/>
    <w:rsid w:val="00B909CF"/>
    <w:rsid w:val="00B90A00"/>
    <w:rsid w:val="00B92309"/>
    <w:rsid w:val="00B92395"/>
    <w:rsid w:val="00B93114"/>
    <w:rsid w:val="00B95396"/>
    <w:rsid w:val="00B956B5"/>
    <w:rsid w:val="00B9641A"/>
    <w:rsid w:val="00BA0485"/>
    <w:rsid w:val="00BA0670"/>
    <w:rsid w:val="00BA095D"/>
    <w:rsid w:val="00BA1181"/>
    <w:rsid w:val="00BA2A05"/>
    <w:rsid w:val="00BA60E9"/>
    <w:rsid w:val="00BA6806"/>
    <w:rsid w:val="00BB1E7F"/>
    <w:rsid w:val="00BB2312"/>
    <w:rsid w:val="00BB3A91"/>
    <w:rsid w:val="00BB3D8E"/>
    <w:rsid w:val="00BB70D1"/>
    <w:rsid w:val="00BB7B04"/>
    <w:rsid w:val="00BB7C3F"/>
    <w:rsid w:val="00BC0C4F"/>
    <w:rsid w:val="00BC4D9C"/>
    <w:rsid w:val="00BC63D4"/>
    <w:rsid w:val="00BC7661"/>
    <w:rsid w:val="00BD3403"/>
    <w:rsid w:val="00BD3872"/>
    <w:rsid w:val="00BD4F1D"/>
    <w:rsid w:val="00BE2487"/>
    <w:rsid w:val="00BE2EE8"/>
    <w:rsid w:val="00BE4DE6"/>
    <w:rsid w:val="00BE7CE4"/>
    <w:rsid w:val="00BF049A"/>
    <w:rsid w:val="00BF0D6E"/>
    <w:rsid w:val="00BF3595"/>
    <w:rsid w:val="00BF43F6"/>
    <w:rsid w:val="00BF58F6"/>
    <w:rsid w:val="00BF5E65"/>
    <w:rsid w:val="00BF6FF9"/>
    <w:rsid w:val="00BF7CC1"/>
    <w:rsid w:val="00BF7ECB"/>
    <w:rsid w:val="00C00B6D"/>
    <w:rsid w:val="00C01A86"/>
    <w:rsid w:val="00C01A94"/>
    <w:rsid w:val="00C036E3"/>
    <w:rsid w:val="00C0534F"/>
    <w:rsid w:val="00C05B51"/>
    <w:rsid w:val="00C05BD4"/>
    <w:rsid w:val="00C05CA2"/>
    <w:rsid w:val="00C07595"/>
    <w:rsid w:val="00C076AB"/>
    <w:rsid w:val="00C1044D"/>
    <w:rsid w:val="00C13278"/>
    <w:rsid w:val="00C14847"/>
    <w:rsid w:val="00C1490B"/>
    <w:rsid w:val="00C1740E"/>
    <w:rsid w:val="00C209A2"/>
    <w:rsid w:val="00C20E00"/>
    <w:rsid w:val="00C213FE"/>
    <w:rsid w:val="00C22BDF"/>
    <w:rsid w:val="00C22EEA"/>
    <w:rsid w:val="00C24D40"/>
    <w:rsid w:val="00C253AA"/>
    <w:rsid w:val="00C26BCA"/>
    <w:rsid w:val="00C26EBD"/>
    <w:rsid w:val="00C34F3E"/>
    <w:rsid w:val="00C36F08"/>
    <w:rsid w:val="00C40483"/>
    <w:rsid w:val="00C408A4"/>
    <w:rsid w:val="00C413F3"/>
    <w:rsid w:val="00C41535"/>
    <w:rsid w:val="00C421C8"/>
    <w:rsid w:val="00C42516"/>
    <w:rsid w:val="00C44D3C"/>
    <w:rsid w:val="00C45ABB"/>
    <w:rsid w:val="00C50120"/>
    <w:rsid w:val="00C509E3"/>
    <w:rsid w:val="00C50DA9"/>
    <w:rsid w:val="00C50E46"/>
    <w:rsid w:val="00C5222B"/>
    <w:rsid w:val="00C5225E"/>
    <w:rsid w:val="00C52DCC"/>
    <w:rsid w:val="00C5514F"/>
    <w:rsid w:val="00C551C2"/>
    <w:rsid w:val="00C55ACE"/>
    <w:rsid w:val="00C6177E"/>
    <w:rsid w:val="00C61B17"/>
    <w:rsid w:val="00C62043"/>
    <w:rsid w:val="00C62373"/>
    <w:rsid w:val="00C62508"/>
    <w:rsid w:val="00C62D50"/>
    <w:rsid w:val="00C67B25"/>
    <w:rsid w:val="00C7029E"/>
    <w:rsid w:val="00C712D1"/>
    <w:rsid w:val="00C713F3"/>
    <w:rsid w:val="00C73999"/>
    <w:rsid w:val="00C77CDB"/>
    <w:rsid w:val="00C81966"/>
    <w:rsid w:val="00C825ED"/>
    <w:rsid w:val="00C83149"/>
    <w:rsid w:val="00C8379C"/>
    <w:rsid w:val="00C84555"/>
    <w:rsid w:val="00C859BD"/>
    <w:rsid w:val="00C85C55"/>
    <w:rsid w:val="00C8674F"/>
    <w:rsid w:val="00C903F8"/>
    <w:rsid w:val="00C919D5"/>
    <w:rsid w:val="00C92875"/>
    <w:rsid w:val="00C92BD2"/>
    <w:rsid w:val="00C973E6"/>
    <w:rsid w:val="00CA1BCB"/>
    <w:rsid w:val="00CA2865"/>
    <w:rsid w:val="00CA40AB"/>
    <w:rsid w:val="00CA6E56"/>
    <w:rsid w:val="00CA7493"/>
    <w:rsid w:val="00CA7A6A"/>
    <w:rsid w:val="00CB03D0"/>
    <w:rsid w:val="00CB1C9C"/>
    <w:rsid w:val="00CB2AB9"/>
    <w:rsid w:val="00CB331B"/>
    <w:rsid w:val="00CB42C8"/>
    <w:rsid w:val="00CB4403"/>
    <w:rsid w:val="00CB46B8"/>
    <w:rsid w:val="00CB6B47"/>
    <w:rsid w:val="00CB6F16"/>
    <w:rsid w:val="00CC1FBB"/>
    <w:rsid w:val="00CC355E"/>
    <w:rsid w:val="00CC3810"/>
    <w:rsid w:val="00CC5991"/>
    <w:rsid w:val="00CC63E4"/>
    <w:rsid w:val="00CC6BC0"/>
    <w:rsid w:val="00CD00A1"/>
    <w:rsid w:val="00CD00A7"/>
    <w:rsid w:val="00CD1CE4"/>
    <w:rsid w:val="00CD247D"/>
    <w:rsid w:val="00CD2A33"/>
    <w:rsid w:val="00CD35C5"/>
    <w:rsid w:val="00CD383A"/>
    <w:rsid w:val="00CD5388"/>
    <w:rsid w:val="00CD654F"/>
    <w:rsid w:val="00CE138A"/>
    <w:rsid w:val="00CE1CF7"/>
    <w:rsid w:val="00CE26A4"/>
    <w:rsid w:val="00CE2A05"/>
    <w:rsid w:val="00CE2B61"/>
    <w:rsid w:val="00CE3053"/>
    <w:rsid w:val="00CE374D"/>
    <w:rsid w:val="00CE37AE"/>
    <w:rsid w:val="00CE39BD"/>
    <w:rsid w:val="00CE3DCA"/>
    <w:rsid w:val="00CE3F9F"/>
    <w:rsid w:val="00CE405E"/>
    <w:rsid w:val="00CE452F"/>
    <w:rsid w:val="00CE497A"/>
    <w:rsid w:val="00CE7004"/>
    <w:rsid w:val="00CF24C2"/>
    <w:rsid w:val="00CF2764"/>
    <w:rsid w:val="00CF356B"/>
    <w:rsid w:val="00CF42AA"/>
    <w:rsid w:val="00CF4561"/>
    <w:rsid w:val="00CF4770"/>
    <w:rsid w:val="00CF4CA9"/>
    <w:rsid w:val="00CF5E0F"/>
    <w:rsid w:val="00CF6849"/>
    <w:rsid w:val="00CF6BAA"/>
    <w:rsid w:val="00CF6DA5"/>
    <w:rsid w:val="00D03A68"/>
    <w:rsid w:val="00D043A7"/>
    <w:rsid w:val="00D052FA"/>
    <w:rsid w:val="00D1009D"/>
    <w:rsid w:val="00D101D1"/>
    <w:rsid w:val="00D11A51"/>
    <w:rsid w:val="00D13599"/>
    <w:rsid w:val="00D1381D"/>
    <w:rsid w:val="00D14634"/>
    <w:rsid w:val="00D15054"/>
    <w:rsid w:val="00D170C0"/>
    <w:rsid w:val="00D17D4D"/>
    <w:rsid w:val="00D20B98"/>
    <w:rsid w:val="00D2125E"/>
    <w:rsid w:val="00D21324"/>
    <w:rsid w:val="00D229DB"/>
    <w:rsid w:val="00D2321E"/>
    <w:rsid w:val="00D24A21"/>
    <w:rsid w:val="00D24BFE"/>
    <w:rsid w:val="00D255D3"/>
    <w:rsid w:val="00D2598D"/>
    <w:rsid w:val="00D2603A"/>
    <w:rsid w:val="00D275BC"/>
    <w:rsid w:val="00D302B4"/>
    <w:rsid w:val="00D30332"/>
    <w:rsid w:val="00D30C93"/>
    <w:rsid w:val="00D321F1"/>
    <w:rsid w:val="00D329B3"/>
    <w:rsid w:val="00D33F1C"/>
    <w:rsid w:val="00D34747"/>
    <w:rsid w:val="00D376CF"/>
    <w:rsid w:val="00D429D9"/>
    <w:rsid w:val="00D45887"/>
    <w:rsid w:val="00D46600"/>
    <w:rsid w:val="00D47C81"/>
    <w:rsid w:val="00D5230C"/>
    <w:rsid w:val="00D52D51"/>
    <w:rsid w:val="00D52D91"/>
    <w:rsid w:val="00D5367C"/>
    <w:rsid w:val="00D542D3"/>
    <w:rsid w:val="00D55E4A"/>
    <w:rsid w:val="00D5731E"/>
    <w:rsid w:val="00D639C2"/>
    <w:rsid w:val="00D64000"/>
    <w:rsid w:val="00D6489E"/>
    <w:rsid w:val="00D653B7"/>
    <w:rsid w:val="00D66948"/>
    <w:rsid w:val="00D71B1A"/>
    <w:rsid w:val="00D740C8"/>
    <w:rsid w:val="00D74433"/>
    <w:rsid w:val="00D750D4"/>
    <w:rsid w:val="00D80B34"/>
    <w:rsid w:val="00D81C05"/>
    <w:rsid w:val="00D81FCA"/>
    <w:rsid w:val="00D83801"/>
    <w:rsid w:val="00D84823"/>
    <w:rsid w:val="00D857F8"/>
    <w:rsid w:val="00D858AA"/>
    <w:rsid w:val="00D85981"/>
    <w:rsid w:val="00D85F67"/>
    <w:rsid w:val="00D86408"/>
    <w:rsid w:val="00D87E14"/>
    <w:rsid w:val="00D90C81"/>
    <w:rsid w:val="00D93FF7"/>
    <w:rsid w:val="00D94043"/>
    <w:rsid w:val="00D94C10"/>
    <w:rsid w:val="00D95E4A"/>
    <w:rsid w:val="00D96486"/>
    <w:rsid w:val="00DA0D55"/>
    <w:rsid w:val="00DA132B"/>
    <w:rsid w:val="00DA19EF"/>
    <w:rsid w:val="00DA2B2D"/>
    <w:rsid w:val="00DA3E23"/>
    <w:rsid w:val="00DA4114"/>
    <w:rsid w:val="00DA47A0"/>
    <w:rsid w:val="00DA53FD"/>
    <w:rsid w:val="00DA5DCE"/>
    <w:rsid w:val="00DA647E"/>
    <w:rsid w:val="00DA7C23"/>
    <w:rsid w:val="00DB01FA"/>
    <w:rsid w:val="00DB089C"/>
    <w:rsid w:val="00DB0A19"/>
    <w:rsid w:val="00DB3812"/>
    <w:rsid w:val="00DB419A"/>
    <w:rsid w:val="00DB447C"/>
    <w:rsid w:val="00DB5653"/>
    <w:rsid w:val="00DB6111"/>
    <w:rsid w:val="00DB6EC2"/>
    <w:rsid w:val="00DB7EFD"/>
    <w:rsid w:val="00DC065B"/>
    <w:rsid w:val="00DC11E8"/>
    <w:rsid w:val="00DC3959"/>
    <w:rsid w:val="00DC4D54"/>
    <w:rsid w:val="00DC50ED"/>
    <w:rsid w:val="00DC64E2"/>
    <w:rsid w:val="00DC7384"/>
    <w:rsid w:val="00DD1033"/>
    <w:rsid w:val="00DD1826"/>
    <w:rsid w:val="00DD2FE8"/>
    <w:rsid w:val="00DD3260"/>
    <w:rsid w:val="00DD3335"/>
    <w:rsid w:val="00DD4D9C"/>
    <w:rsid w:val="00DD58BC"/>
    <w:rsid w:val="00DD67C0"/>
    <w:rsid w:val="00DD67E3"/>
    <w:rsid w:val="00DD69FE"/>
    <w:rsid w:val="00DD7924"/>
    <w:rsid w:val="00DD7C92"/>
    <w:rsid w:val="00DE01A2"/>
    <w:rsid w:val="00DE21D8"/>
    <w:rsid w:val="00DE2419"/>
    <w:rsid w:val="00DE404B"/>
    <w:rsid w:val="00DE4362"/>
    <w:rsid w:val="00DE4417"/>
    <w:rsid w:val="00DE454B"/>
    <w:rsid w:val="00DE524A"/>
    <w:rsid w:val="00DE66D2"/>
    <w:rsid w:val="00DE69C7"/>
    <w:rsid w:val="00DF02F2"/>
    <w:rsid w:val="00DF0694"/>
    <w:rsid w:val="00DF0B9E"/>
    <w:rsid w:val="00DF19D3"/>
    <w:rsid w:val="00DF2560"/>
    <w:rsid w:val="00DF5C3B"/>
    <w:rsid w:val="00DF6200"/>
    <w:rsid w:val="00DF6838"/>
    <w:rsid w:val="00E0003E"/>
    <w:rsid w:val="00E000F9"/>
    <w:rsid w:val="00E004CF"/>
    <w:rsid w:val="00E0050D"/>
    <w:rsid w:val="00E00F5E"/>
    <w:rsid w:val="00E01453"/>
    <w:rsid w:val="00E02548"/>
    <w:rsid w:val="00E02B7F"/>
    <w:rsid w:val="00E0338E"/>
    <w:rsid w:val="00E04086"/>
    <w:rsid w:val="00E04714"/>
    <w:rsid w:val="00E1027C"/>
    <w:rsid w:val="00E1060C"/>
    <w:rsid w:val="00E113D0"/>
    <w:rsid w:val="00E11F4C"/>
    <w:rsid w:val="00E1635F"/>
    <w:rsid w:val="00E17E0C"/>
    <w:rsid w:val="00E17E96"/>
    <w:rsid w:val="00E22349"/>
    <w:rsid w:val="00E223C8"/>
    <w:rsid w:val="00E23CED"/>
    <w:rsid w:val="00E24808"/>
    <w:rsid w:val="00E24BA6"/>
    <w:rsid w:val="00E24BFD"/>
    <w:rsid w:val="00E26B8F"/>
    <w:rsid w:val="00E30D59"/>
    <w:rsid w:val="00E3172D"/>
    <w:rsid w:val="00E31A5D"/>
    <w:rsid w:val="00E31D91"/>
    <w:rsid w:val="00E31E3E"/>
    <w:rsid w:val="00E32E30"/>
    <w:rsid w:val="00E35772"/>
    <w:rsid w:val="00E357FD"/>
    <w:rsid w:val="00E3601E"/>
    <w:rsid w:val="00E36B0E"/>
    <w:rsid w:val="00E370BE"/>
    <w:rsid w:val="00E41D8E"/>
    <w:rsid w:val="00E43E4C"/>
    <w:rsid w:val="00E44793"/>
    <w:rsid w:val="00E45F42"/>
    <w:rsid w:val="00E46F58"/>
    <w:rsid w:val="00E47CBC"/>
    <w:rsid w:val="00E5028E"/>
    <w:rsid w:val="00E51316"/>
    <w:rsid w:val="00E52B0E"/>
    <w:rsid w:val="00E53EE2"/>
    <w:rsid w:val="00E54523"/>
    <w:rsid w:val="00E54654"/>
    <w:rsid w:val="00E5665A"/>
    <w:rsid w:val="00E56841"/>
    <w:rsid w:val="00E56A84"/>
    <w:rsid w:val="00E60D45"/>
    <w:rsid w:val="00E61447"/>
    <w:rsid w:val="00E6144D"/>
    <w:rsid w:val="00E61C17"/>
    <w:rsid w:val="00E61D20"/>
    <w:rsid w:val="00E630F7"/>
    <w:rsid w:val="00E64406"/>
    <w:rsid w:val="00E65F26"/>
    <w:rsid w:val="00E66500"/>
    <w:rsid w:val="00E66C5C"/>
    <w:rsid w:val="00E67DA4"/>
    <w:rsid w:val="00E75A70"/>
    <w:rsid w:val="00E767BB"/>
    <w:rsid w:val="00E777ED"/>
    <w:rsid w:val="00E77F1F"/>
    <w:rsid w:val="00E82B25"/>
    <w:rsid w:val="00E834CD"/>
    <w:rsid w:val="00E836FE"/>
    <w:rsid w:val="00E846E9"/>
    <w:rsid w:val="00E852A7"/>
    <w:rsid w:val="00E865A1"/>
    <w:rsid w:val="00E86B69"/>
    <w:rsid w:val="00E87BD8"/>
    <w:rsid w:val="00E90895"/>
    <w:rsid w:val="00E91938"/>
    <w:rsid w:val="00E9195A"/>
    <w:rsid w:val="00E92F73"/>
    <w:rsid w:val="00E959CB"/>
    <w:rsid w:val="00E9735B"/>
    <w:rsid w:val="00E976ED"/>
    <w:rsid w:val="00EA03BA"/>
    <w:rsid w:val="00EA1478"/>
    <w:rsid w:val="00EA2183"/>
    <w:rsid w:val="00EA62EB"/>
    <w:rsid w:val="00EA770F"/>
    <w:rsid w:val="00EB3292"/>
    <w:rsid w:val="00EB36FC"/>
    <w:rsid w:val="00EB50AB"/>
    <w:rsid w:val="00EB56AC"/>
    <w:rsid w:val="00EB5848"/>
    <w:rsid w:val="00EB6D1A"/>
    <w:rsid w:val="00EB78D3"/>
    <w:rsid w:val="00EB7F5F"/>
    <w:rsid w:val="00EC07E8"/>
    <w:rsid w:val="00EC0A82"/>
    <w:rsid w:val="00EC0E7D"/>
    <w:rsid w:val="00EC1301"/>
    <w:rsid w:val="00EC2B81"/>
    <w:rsid w:val="00EC68C9"/>
    <w:rsid w:val="00ED0C30"/>
    <w:rsid w:val="00ED1418"/>
    <w:rsid w:val="00ED1CB3"/>
    <w:rsid w:val="00ED1EFF"/>
    <w:rsid w:val="00ED22AF"/>
    <w:rsid w:val="00ED26E0"/>
    <w:rsid w:val="00ED26ED"/>
    <w:rsid w:val="00ED2F51"/>
    <w:rsid w:val="00ED32CF"/>
    <w:rsid w:val="00ED3ED8"/>
    <w:rsid w:val="00ED4701"/>
    <w:rsid w:val="00ED4C15"/>
    <w:rsid w:val="00ED7069"/>
    <w:rsid w:val="00EE0BE4"/>
    <w:rsid w:val="00EE1038"/>
    <w:rsid w:val="00EE2CD3"/>
    <w:rsid w:val="00EE3555"/>
    <w:rsid w:val="00EE4183"/>
    <w:rsid w:val="00EE4E3D"/>
    <w:rsid w:val="00EE5AAD"/>
    <w:rsid w:val="00EE658F"/>
    <w:rsid w:val="00EE69C0"/>
    <w:rsid w:val="00EE7E64"/>
    <w:rsid w:val="00EF09D4"/>
    <w:rsid w:val="00EF2D8E"/>
    <w:rsid w:val="00EF2F61"/>
    <w:rsid w:val="00EF32EE"/>
    <w:rsid w:val="00EF34B7"/>
    <w:rsid w:val="00EF49C3"/>
    <w:rsid w:val="00EF4E24"/>
    <w:rsid w:val="00F01F72"/>
    <w:rsid w:val="00F02F7A"/>
    <w:rsid w:val="00F0412C"/>
    <w:rsid w:val="00F0431F"/>
    <w:rsid w:val="00F04611"/>
    <w:rsid w:val="00F0492F"/>
    <w:rsid w:val="00F04CAF"/>
    <w:rsid w:val="00F06174"/>
    <w:rsid w:val="00F11663"/>
    <w:rsid w:val="00F11EA9"/>
    <w:rsid w:val="00F12269"/>
    <w:rsid w:val="00F1380E"/>
    <w:rsid w:val="00F13BF9"/>
    <w:rsid w:val="00F14E8B"/>
    <w:rsid w:val="00F15337"/>
    <w:rsid w:val="00F15601"/>
    <w:rsid w:val="00F164D6"/>
    <w:rsid w:val="00F22A09"/>
    <w:rsid w:val="00F244EB"/>
    <w:rsid w:val="00F25585"/>
    <w:rsid w:val="00F26734"/>
    <w:rsid w:val="00F30085"/>
    <w:rsid w:val="00F33226"/>
    <w:rsid w:val="00F33F55"/>
    <w:rsid w:val="00F35B3D"/>
    <w:rsid w:val="00F36844"/>
    <w:rsid w:val="00F37017"/>
    <w:rsid w:val="00F40BDA"/>
    <w:rsid w:val="00F41CBD"/>
    <w:rsid w:val="00F421ED"/>
    <w:rsid w:val="00F424D4"/>
    <w:rsid w:val="00F44F66"/>
    <w:rsid w:val="00F451B9"/>
    <w:rsid w:val="00F452A9"/>
    <w:rsid w:val="00F46634"/>
    <w:rsid w:val="00F46772"/>
    <w:rsid w:val="00F46C3C"/>
    <w:rsid w:val="00F47726"/>
    <w:rsid w:val="00F50AA4"/>
    <w:rsid w:val="00F50FB5"/>
    <w:rsid w:val="00F51060"/>
    <w:rsid w:val="00F51304"/>
    <w:rsid w:val="00F5473D"/>
    <w:rsid w:val="00F548A5"/>
    <w:rsid w:val="00F551E2"/>
    <w:rsid w:val="00F55D2A"/>
    <w:rsid w:val="00F601C0"/>
    <w:rsid w:val="00F611DE"/>
    <w:rsid w:val="00F6236E"/>
    <w:rsid w:val="00F62C54"/>
    <w:rsid w:val="00F6371D"/>
    <w:rsid w:val="00F64273"/>
    <w:rsid w:val="00F645F6"/>
    <w:rsid w:val="00F64DF2"/>
    <w:rsid w:val="00F65D96"/>
    <w:rsid w:val="00F66147"/>
    <w:rsid w:val="00F6695F"/>
    <w:rsid w:val="00F670A2"/>
    <w:rsid w:val="00F67253"/>
    <w:rsid w:val="00F67D58"/>
    <w:rsid w:val="00F71051"/>
    <w:rsid w:val="00F71681"/>
    <w:rsid w:val="00F716DC"/>
    <w:rsid w:val="00F72ACC"/>
    <w:rsid w:val="00F73EE2"/>
    <w:rsid w:val="00F742D5"/>
    <w:rsid w:val="00F7449C"/>
    <w:rsid w:val="00F759D4"/>
    <w:rsid w:val="00F76783"/>
    <w:rsid w:val="00F76D36"/>
    <w:rsid w:val="00F7713D"/>
    <w:rsid w:val="00F77872"/>
    <w:rsid w:val="00F83422"/>
    <w:rsid w:val="00F83FA6"/>
    <w:rsid w:val="00F84244"/>
    <w:rsid w:val="00F84742"/>
    <w:rsid w:val="00F87682"/>
    <w:rsid w:val="00F90F15"/>
    <w:rsid w:val="00F9107C"/>
    <w:rsid w:val="00F91288"/>
    <w:rsid w:val="00F91AFF"/>
    <w:rsid w:val="00F92563"/>
    <w:rsid w:val="00F935C7"/>
    <w:rsid w:val="00F9422E"/>
    <w:rsid w:val="00F9609C"/>
    <w:rsid w:val="00F9734D"/>
    <w:rsid w:val="00FA096B"/>
    <w:rsid w:val="00FA1840"/>
    <w:rsid w:val="00FA2A5B"/>
    <w:rsid w:val="00FA2BFC"/>
    <w:rsid w:val="00FA4437"/>
    <w:rsid w:val="00FA47C1"/>
    <w:rsid w:val="00FA4ADC"/>
    <w:rsid w:val="00FA4C58"/>
    <w:rsid w:val="00FA4DE2"/>
    <w:rsid w:val="00FA5168"/>
    <w:rsid w:val="00FA61F4"/>
    <w:rsid w:val="00FB0A98"/>
    <w:rsid w:val="00FB0DBF"/>
    <w:rsid w:val="00FB16BC"/>
    <w:rsid w:val="00FB3089"/>
    <w:rsid w:val="00FB4201"/>
    <w:rsid w:val="00FB55E9"/>
    <w:rsid w:val="00FB64C5"/>
    <w:rsid w:val="00FC00FF"/>
    <w:rsid w:val="00FC013F"/>
    <w:rsid w:val="00FC0393"/>
    <w:rsid w:val="00FC0ED4"/>
    <w:rsid w:val="00FC2E1B"/>
    <w:rsid w:val="00FC3016"/>
    <w:rsid w:val="00FC3759"/>
    <w:rsid w:val="00FC52C1"/>
    <w:rsid w:val="00FC574B"/>
    <w:rsid w:val="00FC5BBF"/>
    <w:rsid w:val="00FC5FF6"/>
    <w:rsid w:val="00FC64E2"/>
    <w:rsid w:val="00FC6C7F"/>
    <w:rsid w:val="00FC746F"/>
    <w:rsid w:val="00FD13C1"/>
    <w:rsid w:val="00FD1E75"/>
    <w:rsid w:val="00FD55F0"/>
    <w:rsid w:val="00FD5887"/>
    <w:rsid w:val="00FD6754"/>
    <w:rsid w:val="00FD7D54"/>
    <w:rsid w:val="00FE10D2"/>
    <w:rsid w:val="00FE3EAB"/>
    <w:rsid w:val="00FE3FE9"/>
    <w:rsid w:val="00FE4BA1"/>
    <w:rsid w:val="00FE79CB"/>
    <w:rsid w:val="00FE7BE7"/>
    <w:rsid w:val="00FE7D73"/>
    <w:rsid w:val="00FF03A3"/>
    <w:rsid w:val="00FF0E37"/>
    <w:rsid w:val="00FF18B9"/>
    <w:rsid w:val="00FF4813"/>
    <w:rsid w:val="00FF4A81"/>
    <w:rsid w:val="00FF5044"/>
    <w:rsid w:val="00FF6A33"/>
    <w:rsid w:val="00FF7340"/>
    <w:rsid w:val="00FF7869"/>
  </w:rsids>
  <m:mathPr>
    <m:mathFont m:val="Cambria Math"/>
    <m:brkBin m:val="before"/>
    <m:brkBinSub m:val="--"/>
    <m:smallFrac m:val="0"/>
    <m:dispDef/>
    <m:lMargin m:val="0"/>
    <m:rMargin m:val="0"/>
    <m:defJc m:val="centerGroup"/>
    <m:wrapIndent m:val="1440"/>
    <m:intLim m:val="subSup"/>
    <m:naryLim m:val="undOvr"/>
  </m:mathPr>
  <w:themeFontLang w:val="fr-FR"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cs-CZ" w:bidi="cs-CZ"/>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header" w:uiPriority="0"/>
    <w:lsdException w:name="footer" w:uiPriority="0"/>
    <w:lsdException w:name="caption" w:semiHidden="0" w:qFormat="1"/>
    <w:lsdException w:name="footnote reference" w:uiPriority="0" w:qFormat="1"/>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qFormat/>
    <w:rsid w:val="002D015D"/>
    <w:pPr>
      <w:spacing w:after="200" w:line="276" w:lineRule="auto"/>
    </w:pPr>
    <w:rPr>
      <w:rFonts w:asciiTheme="minorHAnsi" w:eastAsiaTheme="minorHAnsi" w:hAnsiTheme="minorHAnsi" w:cstheme="minorBidi"/>
      <w:sz w:val="22"/>
      <w:szCs w:val="22"/>
      <w:lang w:val="en-GB" w:eastAsia="en-US" w:bidi="ar-SA"/>
    </w:rPr>
  </w:style>
  <w:style w:type="paragraph" w:styleId="Heading1">
    <w:name w:val="heading 1"/>
    <w:basedOn w:val="Normal"/>
    <w:next w:val="Text1"/>
    <w:link w:val="Heading1Char"/>
    <w:qFormat/>
    <w:rsid w:val="00475311"/>
    <w:pPr>
      <w:keepNext/>
      <w:numPr>
        <w:numId w:val="1"/>
      </w:numPr>
      <w:spacing w:before="360"/>
      <w:outlineLvl w:val="0"/>
    </w:pPr>
    <w:rPr>
      <w:rFonts w:ascii="Cambria" w:hAnsi="Cambria"/>
      <w:b/>
      <w:bCs/>
      <w:kern w:val="32"/>
      <w:sz w:val="32"/>
      <w:szCs w:val="32"/>
    </w:rPr>
  </w:style>
  <w:style w:type="paragraph" w:styleId="Heading2">
    <w:name w:val="heading 2"/>
    <w:basedOn w:val="Normal"/>
    <w:next w:val="Text2"/>
    <w:link w:val="Heading2Char"/>
    <w:qFormat/>
    <w:rsid w:val="00475311"/>
    <w:pPr>
      <w:keepNext/>
      <w:numPr>
        <w:ilvl w:val="1"/>
        <w:numId w:val="1"/>
      </w:numPr>
      <w:outlineLvl w:val="1"/>
    </w:pPr>
    <w:rPr>
      <w:rFonts w:ascii="Cambria" w:hAnsi="Cambria"/>
      <w:b/>
      <w:bCs/>
      <w:i/>
      <w:iCs/>
      <w:sz w:val="28"/>
    </w:rPr>
  </w:style>
  <w:style w:type="paragraph" w:styleId="Heading3">
    <w:name w:val="heading 3"/>
    <w:basedOn w:val="Normal"/>
    <w:next w:val="Text3"/>
    <w:link w:val="Heading3Char"/>
    <w:qFormat/>
    <w:rsid w:val="00475311"/>
    <w:pPr>
      <w:keepNext/>
      <w:numPr>
        <w:ilvl w:val="2"/>
        <w:numId w:val="1"/>
      </w:numPr>
      <w:outlineLvl w:val="2"/>
    </w:pPr>
    <w:rPr>
      <w:rFonts w:ascii="Cambria" w:hAnsi="Cambria"/>
      <w:b/>
      <w:bCs/>
      <w:sz w:val="26"/>
      <w:szCs w:val="26"/>
    </w:rPr>
  </w:style>
  <w:style w:type="paragraph" w:styleId="Heading4">
    <w:name w:val="heading 4"/>
    <w:basedOn w:val="Normal"/>
    <w:next w:val="Text4"/>
    <w:link w:val="Heading4Char"/>
    <w:qFormat/>
    <w:rsid w:val="00475311"/>
    <w:pPr>
      <w:keepNext/>
      <w:numPr>
        <w:ilvl w:val="3"/>
        <w:numId w:val="1"/>
      </w:numPr>
      <w:outlineLvl w:val="3"/>
    </w:pPr>
    <w:rPr>
      <w:rFonts w:ascii="Calibri" w:hAnsi="Calibri"/>
      <w:b/>
      <w:bCs/>
      <w:sz w:val="28"/>
    </w:rPr>
  </w:style>
  <w:style w:type="paragraph" w:styleId="Heading5">
    <w:name w:val="heading 5"/>
    <w:basedOn w:val="Normal"/>
    <w:next w:val="Normal"/>
    <w:link w:val="Heading5Char"/>
    <w:qFormat/>
    <w:rsid w:val="00475311"/>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475311"/>
    <w:pPr>
      <w:spacing w:before="240" w:after="60"/>
      <w:outlineLvl w:val="5"/>
    </w:pPr>
    <w:rPr>
      <w:rFonts w:ascii="Calibri" w:hAnsi="Calibri"/>
      <w:b/>
      <w:bCs/>
      <w:szCs w:val="20"/>
    </w:rPr>
  </w:style>
  <w:style w:type="paragraph" w:styleId="Heading7">
    <w:name w:val="heading 7"/>
    <w:basedOn w:val="Normal"/>
    <w:next w:val="Normal"/>
    <w:link w:val="Heading7Char"/>
    <w:qFormat/>
    <w:rsid w:val="00475311"/>
    <w:pPr>
      <w:spacing w:before="240" w:after="60"/>
      <w:outlineLvl w:val="6"/>
    </w:pPr>
    <w:rPr>
      <w:rFonts w:ascii="Calibri" w:hAnsi="Calibri"/>
    </w:rPr>
  </w:style>
  <w:style w:type="paragraph" w:styleId="Heading8">
    <w:name w:val="heading 8"/>
    <w:basedOn w:val="Normal"/>
    <w:next w:val="Normal"/>
    <w:link w:val="Heading8Char"/>
    <w:qFormat/>
    <w:rsid w:val="00475311"/>
    <w:pPr>
      <w:spacing w:before="240" w:after="60"/>
      <w:outlineLvl w:val="7"/>
    </w:pPr>
    <w:rPr>
      <w:rFonts w:ascii="Calibri" w:hAnsi="Calibri"/>
      <w:i/>
      <w:iCs/>
    </w:rPr>
  </w:style>
  <w:style w:type="paragraph" w:styleId="Heading9">
    <w:name w:val="heading 9"/>
    <w:basedOn w:val="Normal"/>
    <w:next w:val="Normal"/>
    <w:link w:val="Heading9Char"/>
    <w:qFormat/>
    <w:rsid w:val="00475311"/>
    <w:pPr>
      <w:spacing w:before="240" w:after="60"/>
      <w:outlineLvl w:val="8"/>
    </w:pPr>
    <w:rPr>
      <w:rFonts w:ascii="Cambria" w:hAnsi="Cambria"/>
      <w:szCs w:val="20"/>
    </w:rPr>
  </w:style>
  <w:style w:type="character" w:default="1" w:styleId="DefaultParagraphFont">
    <w:name w:val="Default Paragraph Font"/>
    <w:uiPriority w:val="1"/>
    <w:semiHidden/>
    <w:unhideWhenUsed/>
    <w:rsid w:val="002D015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D015D"/>
  </w:style>
  <w:style w:type="character" w:customStyle="1" w:styleId="Heading1Char">
    <w:name w:val="Heading 1 Char"/>
    <w:link w:val="Heading1"/>
    <w:rsid w:val="00475311"/>
    <w:rPr>
      <w:rFonts w:ascii="Cambria" w:hAnsi="Cambria"/>
      <w:b/>
      <w:bCs/>
      <w:kern w:val="32"/>
      <w:sz w:val="32"/>
      <w:szCs w:val="32"/>
    </w:rPr>
  </w:style>
  <w:style w:type="character" w:customStyle="1" w:styleId="Heading2Char">
    <w:name w:val="Heading 2 Char"/>
    <w:link w:val="Heading2"/>
    <w:rsid w:val="00475311"/>
    <w:rPr>
      <w:rFonts w:ascii="Cambria" w:hAnsi="Cambria"/>
      <w:b/>
      <w:bCs/>
      <w:i/>
      <w:iCs/>
      <w:sz w:val="28"/>
      <w:szCs w:val="28"/>
    </w:rPr>
  </w:style>
  <w:style w:type="character" w:customStyle="1" w:styleId="Heading3Char">
    <w:name w:val="Heading 3 Char"/>
    <w:link w:val="Heading3"/>
    <w:rsid w:val="00475311"/>
    <w:rPr>
      <w:rFonts w:ascii="Cambria" w:hAnsi="Cambria"/>
      <w:b/>
      <w:bCs/>
      <w:sz w:val="26"/>
      <w:szCs w:val="26"/>
    </w:rPr>
  </w:style>
  <w:style w:type="character" w:customStyle="1" w:styleId="Heading4Char">
    <w:name w:val="Heading 4 Char"/>
    <w:link w:val="Heading4"/>
    <w:rsid w:val="00475311"/>
    <w:rPr>
      <w:b/>
      <w:bCs/>
      <w:sz w:val="28"/>
      <w:szCs w:val="28"/>
    </w:rPr>
  </w:style>
  <w:style w:type="character" w:customStyle="1" w:styleId="Heading5Char">
    <w:name w:val="Heading 5 Char"/>
    <w:link w:val="Heading5"/>
    <w:uiPriority w:val="9"/>
    <w:rsid w:val="00475311"/>
    <w:rPr>
      <w:b/>
      <w:bCs/>
      <w:i/>
      <w:iCs/>
      <w:sz w:val="26"/>
      <w:szCs w:val="26"/>
    </w:rPr>
  </w:style>
  <w:style w:type="character" w:customStyle="1" w:styleId="Heading6Char">
    <w:name w:val="Heading 6 Char"/>
    <w:link w:val="Heading6"/>
    <w:uiPriority w:val="9"/>
    <w:rsid w:val="00475311"/>
    <w:rPr>
      <w:b/>
      <w:bCs/>
    </w:rPr>
  </w:style>
  <w:style w:type="character" w:customStyle="1" w:styleId="Heading7Char">
    <w:name w:val="Heading 7 Char"/>
    <w:link w:val="Heading7"/>
    <w:uiPriority w:val="9"/>
    <w:rsid w:val="00475311"/>
    <w:rPr>
      <w:sz w:val="24"/>
      <w:szCs w:val="24"/>
    </w:rPr>
  </w:style>
  <w:style w:type="character" w:customStyle="1" w:styleId="Heading8Char">
    <w:name w:val="Heading 8 Char"/>
    <w:link w:val="Heading8"/>
    <w:uiPriority w:val="9"/>
    <w:rsid w:val="00475311"/>
    <w:rPr>
      <w:i/>
      <w:iCs/>
      <w:sz w:val="24"/>
      <w:szCs w:val="24"/>
    </w:rPr>
  </w:style>
  <w:style w:type="character" w:customStyle="1" w:styleId="Heading9Char">
    <w:name w:val="Heading 9 Char"/>
    <w:link w:val="Heading9"/>
    <w:uiPriority w:val="9"/>
    <w:rsid w:val="00475311"/>
    <w:rPr>
      <w:rFonts w:ascii="Cambria" w:eastAsia="Times New Roman" w:hAnsi="Cambria" w:cs="Times New Roman"/>
    </w:rPr>
  </w:style>
  <w:style w:type="paragraph" w:customStyle="1" w:styleId="Text1">
    <w:name w:val="Text 1"/>
    <w:basedOn w:val="Normal"/>
    <w:rsid w:val="00475311"/>
    <w:pPr>
      <w:ind w:left="851"/>
    </w:pPr>
  </w:style>
  <w:style w:type="paragraph" w:customStyle="1" w:styleId="Text2">
    <w:name w:val="Text 2"/>
    <w:basedOn w:val="Normal"/>
    <w:uiPriority w:val="99"/>
    <w:rsid w:val="00475311"/>
    <w:pPr>
      <w:ind w:left="851"/>
    </w:pPr>
  </w:style>
  <w:style w:type="paragraph" w:customStyle="1" w:styleId="Text3">
    <w:name w:val="Text 3"/>
    <w:basedOn w:val="Normal"/>
    <w:uiPriority w:val="99"/>
    <w:rsid w:val="00475311"/>
    <w:pPr>
      <w:ind w:left="851"/>
    </w:pPr>
  </w:style>
  <w:style w:type="paragraph" w:customStyle="1" w:styleId="Text4">
    <w:name w:val="Text 4"/>
    <w:basedOn w:val="Normal"/>
    <w:uiPriority w:val="99"/>
    <w:rsid w:val="00475311"/>
    <w:pPr>
      <w:ind w:left="851"/>
    </w:pPr>
  </w:style>
  <w:style w:type="paragraph" w:customStyle="1" w:styleId="Annexetitreacte">
    <w:name w:val="Annexe titre (acte)"/>
    <w:basedOn w:val="Normal"/>
    <w:next w:val="Normal"/>
    <w:rsid w:val="00475311"/>
    <w:pPr>
      <w:jc w:val="center"/>
    </w:pPr>
    <w:rPr>
      <w:b/>
      <w:bCs/>
      <w:u w:val="single"/>
    </w:rPr>
  </w:style>
  <w:style w:type="paragraph" w:customStyle="1" w:styleId="Annexetitreexposglobal">
    <w:name w:val="Annexe titre (exposé global)"/>
    <w:basedOn w:val="Normal"/>
    <w:next w:val="Normal"/>
    <w:uiPriority w:val="99"/>
    <w:rsid w:val="00475311"/>
    <w:pPr>
      <w:jc w:val="center"/>
    </w:pPr>
    <w:rPr>
      <w:b/>
      <w:bCs/>
      <w:u w:val="single"/>
    </w:rPr>
  </w:style>
  <w:style w:type="paragraph" w:customStyle="1" w:styleId="Annexetitreexpos">
    <w:name w:val="Annexe titre (exposé)"/>
    <w:basedOn w:val="Normal"/>
    <w:next w:val="Normal"/>
    <w:uiPriority w:val="99"/>
    <w:rsid w:val="00475311"/>
    <w:pPr>
      <w:jc w:val="center"/>
    </w:pPr>
    <w:rPr>
      <w:b/>
      <w:bCs/>
      <w:u w:val="single"/>
    </w:rPr>
  </w:style>
  <w:style w:type="paragraph" w:customStyle="1" w:styleId="Annexetitrefichefinacte">
    <w:name w:val="Annexe titre (fiche fin. acte)"/>
    <w:basedOn w:val="Normal"/>
    <w:next w:val="Normal"/>
    <w:uiPriority w:val="99"/>
    <w:rsid w:val="00475311"/>
    <w:pPr>
      <w:jc w:val="center"/>
    </w:pPr>
    <w:rPr>
      <w:b/>
      <w:bCs/>
      <w:u w:val="single"/>
    </w:rPr>
  </w:style>
  <w:style w:type="paragraph" w:customStyle="1" w:styleId="Annexetitrefichefinglobale">
    <w:name w:val="Annexe titre (fiche fin. globale)"/>
    <w:basedOn w:val="Normal"/>
    <w:next w:val="Normal"/>
    <w:uiPriority w:val="99"/>
    <w:rsid w:val="00475311"/>
    <w:pPr>
      <w:jc w:val="center"/>
    </w:pPr>
    <w:rPr>
      <w:b/>
      <w:bCs/>
      <w:u w:val="single"/>
    </w:rPr>
  </w:style>
  <w:style w:type="paragraph" w:customStyle="1" w:styleId="Annexetitreglobale">
    <w:name w:val="Annexe titre (globale)"/>
    <w:basedOn w:val="Normal"/>
    <w:next w:val="Normal"/>
    <w:uiPriority w:val="99"/>
    <w:rsid w:val="00475311"/>
    <w:pPr>
      <w:jc w:val="center"/>
    </w:pPr>
    <w:rPr>
      <w:b/>
      <w:bCs/>
      <w:u w:val="single"/>
    </w:rPr>
  </w:style>
  <w:style w:type="paragraph" w:customStyle="1" w:styleId="Applicationdirecte">
    <w:name w:val="Application directe"/>
    <w:basedOn w:val="Normal"/>
    <w:next w:val="Fait"/>
    <w:uiPriority w:val="99"/>
    <w:rsid w:val="00475311"/>
    <w:pPr>
      <w:spacing w:before="480"/>
    </w:pPr>
  </w:style>
  <w:style w:type="paragraph" w:customStyle="1" w:styleId="Fait">
    <w:name w:val="Fait à"/>
    <w:basedOn w:val="Normal"/>
    <w:next w:val="Institutionquisigne"/>
    <w:uiPriority w:val="99"/>
    <w:rsid w:val="00475311"/>
    <w:pPr>
      <w:keepNext/>
    </w:pPr>
  </w:style>
  <w:style w:type="paragraph" w:customStyle="1" w:styleId="Institutionquisigne">
    <w:name w:val="Institution qui signe"/>
    <w:basedOn w:val="Normal"/>
    <w:next w:val="Personnequisigne"/>
    <w:uiPriority w:val="99"/>
    <w:rsid w:val="00475311"/>
    <w:pPr>
      <w:keepNext/>
      <w:tabs>
        <w:tab w:val="left" w:pos="4253"/>
      </w:tabs>
      <w:spacing w:before="720"/>
    </w:pPr>
    <w:rPr>
      <w:i/>
      <w:iCs/>
    </w:rPr>
  </w:style>
  <w:style w:type="paragraph" w:customStyle="1" w:styleId="Personnequisigne">
    <w:name w:val="Personne qui signe"/>
    <w:basedOn w:val="Normal"/>
    <w:next w:val="Institutionquisigne"/>
    <w:uiPriority w:val="99"/>
    <w:rsid w:val="00475311"/>
    <w:pPr>
      <w:tabs>
        <w:tab w:val="left" w:pos="4253"/>
      </w:tabs>
    </w:pPr>
    <w:rPr>
      <w:i/>
      <w:iCs/>
    </w:rPr>
  </w:style>
  <w:style w:type="paragraph" w:styleId="Caption">
    <w:name w:val="caption"/>
    <w:basedOn w:val="Normal"/>
    <w:next w:val="Normal"/>
    <w:uiPriority w:val="99"/>
    <w:qFormat/>
    <w:rsid w:val="00475311"/>
    <w:rPr>
      <w:b/>
      <w:bCs/>
    </w:rPr>
  </w:style>
  <w:style w:type="paragraph" w:customStyle="1" w:styleId="ChapterTitle">
    <w:name w:val="ChapterTitle"/>
    <w:basedOn w:val="Normal"/>
    <w:next w:val="Normal"/>
    <w:uiPriority w:val="99"/>
    <w:rsid w:val="00475311"/>
    <w:pPr>
      <w:keepNext/>
      <w:spacing w:after="360"/>
      <w:jc w:val="center"/>
    </w:pPr>
    <w:rPr>
      <w:b/>
      <w:bCs/>
      <w:sz w:val="32"/>
      <w:szCs w:val="32"/>
    </w:rPr>
  </w:style>
  <w:style w:type="character" w:styleId="CommentReference">
    <w:name w:val="annotation reference"/>
    <w:uiPriority w:val="99"/>
    <w:rsid w:val="00475311"/>
    <w:rPr>
      <w:sz w:val="16"/>
      <w:szCs w:val="16"/>
    </w:rPr>
  </w:style>
  <w:style w:type="paragraph" w:styleId="CommentText">
    <w:name w:val="annotation text"/>
    <w:basedOn w:val="Normal"/>
    <w:link w:val="CommentTextChar"/>
    <w:uiPriority w:val="99"/>
    <w:rsid w:val="00475311"/>
    <w:rPr>
      <w:szCs w:val="20"/>
    </w:rPr>
  </w:style>
  <w:style w:type="character" w:customStyle="1" w:styleId="CommentTextChar">
    <w:name w:val="Comment Text Char"/>
    <w:link w:val="CommentText"/>
    <w:uiPriority w:val="99"/>
    <w:rsid w:val="00475311"/>
    <w:rPr>
      <w:rFonts w:ascii="Times New Roman" w:hAnsi="Times New Roman" w:cs="Times New Roman"/>
      <w:sz w:val="20"/>
      <w:szCs w:val="20"/>
    </w:rPr>
  </w:style>
  <w:style w:type="paragraph" w:customStyle="1" w:styleId="Confidence">
    <w:name w:val="Confidence"/>
    <w:basedOn w:val="Normal"/>
    <w:next w:val="Normal"/>
    <w:uiPriority w:val="99"/>
    <w:rsid w:val="00475311"/>
    <w:pPr>
      <w:spacing w:before="360"/>
      <w:jc w:val="center"/>
    </w:pPr>
  </w:style>
  <w:style w:type="paragraph" w:customStyle="1" w:styleId="Corrigendum">
    <w:name w:val="Corrigendum"/>
    <w:basedOn w:val="Normal"/>
    <w:next w:val="Normal"/>
    <w:uiPriority w:val="99"/>
    <w:rsid w:val="00475311"/>
    <w:pPr>
      <w:spacing w:after="240"/>
    </w:pPr>
  </w:style>
  <w:style w:type="paragraph" w:customStyle="1" w:styleId="Emission">
    <w:name w:val="Emission"/>
    <w:basedOn w:val="Normal"/>
    <w:next w:val="Rfrenceinstitutionelle"/>
    <w:uiPriority w:val="99"/>
    <w:rsid w:val="00475311"/>
    <w:pPr>
      <w:ind w:left="5103"/>
    </w:pPr>
  </w:style>
  <w:style w:type="paragraph" w:customStyle="1" w:styleId="Rfrenceinstitutionelle">
    <w:name w:val="Référence institutionelle"/>
    <w:basedOn w:val="Normal"/>
    <w:next w:val="Statut"/>
    <w:uiPriority w:val="99"/>
    <w:rsid w:val="00475311"/>
    <w:pPr>
      <w:spacing w:after="240"/>
      <w:ind w:left="5103"/>
    </w:pPr>
  </w:style>
  <w:style w:type="paragraph" w:customStyle="1" w:styleId="Statut">
    <w:name w:val="Statut"/>
    <w:basedOn w:val="Normal"/>
    <w:next w:val="Typedudocument"/>
    <w:uiPriority w:val="99"/>
    <w:rsid w:val="00475311"/>
    <w:pPr>
      <w:spacing w:before="360"/>
      <w:jc w:val="center"/>
    </w:pPr>
  </w:style>
  <w:style w:type="paragraph" w:customStyle="1" w:styleId="Typedudocument">
    <w:name w:val="Type du document"/>
    <w:basedOn w:val="Normal"/>
    <w:next w:val="Datedadoption"/>
    <w:uiPriority w:val="99"/>
    <w:rsid w:val="00475311"/>
    <w:pPr>
      <w:spacing w:before="360"/>
      <w:jc w:val="center"/>
    </w:pPr>
    <w:rPr>
      <w:b/>
      <w:bCs/>
    </w:rPr>
  </w:style>
  <w:style w:type="paragraph" w:customStyle="1" w:styleId="Datedadoption">
    <w:name w:val="Date d'adoption"/>
    <w:basedOn w:val="Normal"/>
    <w:next w:val="Titreobjet"/>
    <w:uiPriority w:val="99"/>
    <w:rsid w:val="00475311"/>
    <w:pPr>
      <w:spacing w:before="360"/>
      <w:jc w:val="center"/>
    </w:pPr>
    <w:rPr>
      <w:b/>
      <w:bCs/>
    </w:rPr>
  </w:style>
  <w:style w:type="paragraph" w:customStyle="1" w:styleId="Titreobjet">
    <w:name w:val="Titre objet"/>
    <w:basedOn w:val="Normal"/>
    <w:next w:val="Sous-titreobjet"/>
    <w:uiPriority w:val="99"/>
    <w:rsid w:val="00475311"/>
    <w:pPr>
      <w:spacing w:before="360" w:after="360"/>
      <w:jc w:val="center"/>
    </w:pPr>
    <w:rPr>
      <w:b/>
      <w:bCs/>
    </w:rPr>
  </w:style>
  <w:style w:type="paragraph" w:customStyle="1" w:styleId="Sous-titreobjet">
    <w:name w:val="Sous-titre objet"/>
    <w:basedOn w:val="Titreobjet"/>
    <w:uiPriority w:val="99"/>
    <w:rsid w:val="00475311"/>
    <w:pPr>
      <w:spacing w:before="0" w:after="0"/>
    </w:pPr>
  </w:style>
  <w:style w:type="paragraph" w:customStyle="1" w:styleId="Exposdesmotifstitre">
    <w:name w:val="Exposé des motifs titre"/>
    <w:basedOn w:val="Normal"/>
    <w:next w:val="Normal"/>
    <w:uiPriority w:val="99"/>
    <w:rsid w:val="00475311"/>
    <w:pPr>
      <w:jc w:val="center"/>
    </w:pPr>
    <w:rPr>
      <w:b/>
      <w:bCs/>
      <w:u w:val="single"/>
    </w:rPr>
  </w:style>
  <w:style w:type="paragraph" w:customStyle="1" w:styleId="Exposdesmotifstitreglobal">
    <w:name w:val="Exposé des motifs titre (global)"/>
    <w:basedOn w:val="Normal"/>
    <w:next w:val="Normal"/>
    <w:uiPriority w:val="99"/>
    <w:rsid w:val="00475311"/>
    <w:pPr>
      <w:jc w:val="center"/>
    </w:pPr>
    <w:rPr>
      <w:b/>
      <w:bCs/>
      <w:u w:val="single"/>
    </w:rPr>
  </w:style>
  <w:style w:type="paragraph" w:customStyle="1" w:styleId="FichedimpactPMEtitre">
    <w:name w:val="Fiche d'impact PME titre"/>
    <w:basedOn w:val="Normal"/>
    <w:next w:val="Normal"/>
    <w:uiPriority w:val="99"/>
    <w:rsid w:val="00475311"/>
    <w:pPr>
      <w:jc w:val="center"/>
    </w:pPr>
    <w:rPr>
      <w:b/>
      <w:bCs/>
    </w:rPr>
  </w:style>
  <w:style w:type="paragraph" w:customStyle="1" w:styleId="Fichefinanciretextetable">
    <w:name w:val="Fiche financière texte (table)"/>
    <w:basedOn w:val="Normal"/>
    <w:uiPriority w:val="99"/>
    <w:rsid w:val="00475311"/>
    <w:rPr>
      <w:szCs w:val="20"/>
    </w:rPr>
  </w:style>
  <w:style w:type="paragraph" w:customStyle="1" w:styleId="Fichefinanciretitre">
    <w:name w:val="Fiche financière titre"/>
    <w:basedOn w:val="Normal"/>
    <w:next w:val="Normal"/>
    <w:uiPriority w:val="99"/>
    <w:rsid w:val="00475311"/>
    <w:pPr>
      <w:jc w:val="center"/>
    </w:pPr>
    <w:rPr>
      <w:b/>
      <w:bCs/>
      <w:u w:val="single"/>
    </w:rPr>
  </w:style>
  <w:style w:type="paragraph" w:customStyle="1" w:styleId="Fichefinanciretitreactetable">
    <w:name w:val="Fiche financière titre (acte table)"/>
    <w:basedOn w:val="Normal"/>
    <w:next w:val="Normal"/>
    <w:uiPriority w:val="99"/>
    <w:rsid w:val="00475311"/>
    <w:pPr>
      <w:jc w:val="center"/>
    </w:pPr>
    <w:rPr>
      <w:b/>
      <w:bCs/>
      <w:sz w:val="40"/>
      <w:szCs w:val="40"/>
    </w:rPr>
  </w:style>
  <w:style w:type="paragraph" w:customStyle="1" w:styleId="Fichefinanciretitreacte">
    <w:name w:val="Fiche financière titre (acte)"/>
    <w:basedOn w:val="Normal"/>
    <w:next w:val="Normal"/>
    <w:uiPriority w:val="99"/>
    <w:rsid w:val="00475311"/>
    <w:pPr>
      <w:jc w:val="center"/>
    </w:pPr>
    <w:rPr>
      <w:b/>
      <w:bCs/>
      <w:u w:val="single"/>
    </w:rPr>
  </w:style>
  <w:style w:type="paragraph" w:customStyle="1" w:styleId="Fichefinanciretitretable">
    <w:name w:val="Fiche financière titre (table)"/>
    <w:basedOn w:val="Normal"/>
    <w:uiPriority w:val="99"/>
    <w:rsid w:val="00475311"/>
    <w:pPr>
      <w:jc w:val="center"/>
    </w:pPr>
    <w:rPr>
      <w:b/>
      <w:bCs/>
      <w:sz w:val="40"/>
      <w:szCs w:val="40"/>
    </w:rPr>
  </w:style>
  <w:style w:type="paragraph" w:styleId="Footer">
    <w:name w:val="footer"/>
    <w:basedOn w:val="Normal"/>
    <w:link w:val="FooterChar"/>
    <w:rsid w:val="00475311"/>
    <w:pPr>
      <w:tabs>
        <w:tab w:val="center" w:pos="4536"/>
        <w:tab w:val="right" w:pos="9072"/>
      </w:tabs>
      <w:spacing w:before="360"/>
    </w:pPr>
  </w:style>
  <w:style w:type="character" w:customStyle="1" w:styleId="FooterChar">
    <w:name w:val="Footer Char"/>
    <w:link w:val="Footer"/>
    <w:rsid w:val="00475311"/>
    <w:rPr>
      <w:rFonts w:ascii="Times New Roman" w:hAnsi="Times New Roman" w:cs="Times New Roman"/>
      <w:sz w:val="24"/>
      <w:szCs w:val="24"/>
    </w:rPr>
  </w:style>
  <w:style w:type="character" w:styleId="FootnoteReference">
    <w:name w:val="footnote reference"/>
    <w:qFormat/>
    <w:rsid w:val="00475311"/>
    <w:rPr>
      <w:vertAlign w:val="superscript"/>
    </w:rPr>
  </w:style>
  <w:style w:type="paragraph" w:styleId="FootnoteText">
    <w:name w:val="footnote text"/>
    <w:basedOn w:val="Normal"/>
    <w:link w:val="FootnoteTextChar"/>
    <w:qFormat/>
    <w:rsid w:val="00475311"/>
    <w:rPr>
      <w:szCs w:val="20"/>
    </w:rPr>
  </w:style>
  <w:style w:type="character" w:customStyle="1" w:styleId="FootnoteTextChar">
    <w:name w:val="Footnote Text Char"/>
    <w:link w:val="FootnoteText"/>
    <w:rsid w:val="00475311"/>
    <w:rPr>
      <w:rFonts w:ascii="Times New Roman" w:hAnsi="Times New Roman" w:cs="Times New Roman"/>
      <w:sz w:val="20"/>
      <w:szCs w:val="20"/>
    </w:rPr>
  </w:style>
  <w:style w:type="paragraph" w:customStyle="1" w:styleId="Formuledadoption">
    <w:name w:val="Formule d'adoption"/>
    <w:basedOn w:val="Normal"/>
    <w:next w:val="Titrearticle"/>
    <w:uiPriority w:val="99"/>
    <w:rsid w:val="00475311"/>
    <w:pPr>
      <w:keepNext/>
    </w:pPr>
  </w:style>
  <w:style w:type="paragraph" w:customStyle="1" w:styleId="Titrearticle">
    <w:name w:val="Titre article"/>
    <w:basedOn w:val="Normal"/>
    <w:next w:val="Normal"/>
    <w:rsid w:val="00475311"/>
    <w:pPr>
      <w:keepNext/>
      <w:spacing w:before="360"/>
      <w:jc w:val="center"/>
    </w:pPr>
    <w:rPr>
      <w:i/>
      <w:iCs/>
    </w:rPr>
  </w:style>
  <w:style w:type="paragraph" w:styleId="Header">
    <w:name w:val="header"/>
    <w:aliases w:val="numéro de page"/>
    <w:basedOn w:val="Normal"/>
    <w:link w:val="HeaderChar"/>
    <w:rsid w:val="00475311"/>
    <w:pPr>
      <w:tabs>
        <w:tab w:val="right" w:pos="8306"/>
      </w:tabs>
    </w:pPr>
  </w:style>
  <w:style w:type="character" w:customStyle="1" w:styleId="HeaderChar">
    <w:name w:val="Header Char"/>
    <w:aliases w:val="numéro de page Char"/>
    <w:link w:val="Header"/>
    <w:rsid w:val="00475311"/>
    <w:rPr>
      <w:rFonts w:ascii="Times New Roman" w:hAnsi="Times New Roman" w:cs="Times New Roman"/>
      <w:sz w:val="24"/>
      <w:szCs w:val="24"/>
    </w:rPr>
  </w:style>
  <w:style w:type="paragraph" w:customStyle="1" w:styleId="Institutionquiagit">
    <w:name w:val="Institution qui agit"/>
    <w:basedOn w:val="Normal"/>
    <w:next w:val="Normal"/>
    <w:uiPriority w:val="99"/>
    <w:rsid w:val="00475311"/>
    <w:pPr>
      <w:keepNext/>
      <w:spacing w:before="600"/>
    </w:pPr>
  </w:style>
  <w:style w:type="paragraph" w:customStyle="1" w:styleId="Langue">
    <w:name w:val="Langue"/>
    <w:basedOn w:val="Normal"/>
    <w:next w:val="Rfrenceinterne"/>
    <w:uiPriority w:val="99"/>
    <w:rsid w:val="00475311"/>
    <w:pPr>
      <w:spacing w:after="600"/>
      <w:jc w:val="center"/>
    </w:pPr>
    <w:rPr>
      <w:b/>
      <w:bCs/>
      <w:caps/>
    </w:rPr>
  </w:style>
  <w:style w:type="paragraph" w:customStyle="1" w:styleId="Rfrenceinterne">
    <w:name w:val="Référence interne"/>
    <w:basedOn w:val="Normal"/>
    <w:next w:val="Nomdelinstitution"/>
    <w:uiPriority w:val="99"/>
    <w:rsid w:val="00475311"/>
    <w:pPr>
      <w:spacing w:after="600"/>
      <w:jc w:val="center"/>
    </w:pPr>
    <w:rPr>
      <w:b/>
      <w:bCs/>
    </w:rPr>
  </w:style>
  <w:style w:type="paragraph" w:customStyle="1" w:styleId="Nomdelinstitution">
    <w:name w:val="Nom de l'institution"/>
    <w:basedOn w:val="Normal"/>
    <w:next w:val="Emission"/>
    <w:uiPriority w:val="99"/>
    <w:rsid w:val="00475311"/>
    <w:rPr>
      <w:rFonts w:cs="Arial"/>
    </w:rPr>
  </w:style>
  <w:style w:type="paragraph" w:customStyle="1" w:styleId="Langueoriginale">
    <w:name w:val="Langue originale"/>
    <w:basedOn w:val="Normal"/>
    <w:next w:val="Phrasefinale"/>
    <w:uiPriority w:val="99"/>
    <w:rsid w:val="00475311"/>
    <w:pPr>
      <w:spacing w:before="360"/>
      <w:jc w:val="center"/>
    </w:pPr>
    <w:rPr>
      <w:caps/>
    </w:rPr>
  </w:style>
  <w:style w:type="paragraph" w:customStyle="1" w:styleId="Phrasefinale">
    <w:name w:val="Phrase finale"/>
    <w:basedOn w:val="Normal"/>
    <w:next w:val="Normal"/>
    <w:uiPriority w:val="99"/>
    <w:rsid w:val="00475311"/>
    <w:pPr>
      <w:spacing w:before="360"/>
      <w:jc w:val="center"/>
    </w:pPr>
  </w:style>
  <w:style w:type="paragraph" w:customStyle="1" w:styleId="ManualHeading1">
    <w:name w:val="Manual Heading 1"/>
    <w:basedOn w:val="Heading1"/>
    <w:next w:val="Text1"/>
    <w:uiPriority w:val="99"/>
    <w:rsid w:val="00475311"/>
    <w:pPr>
      <w:tabs>
        <w:tab w:val="clear" w:pos="850"/>
        <w:tab w:val="num" w:pos="851"/>
      </w:tabs>
      <w:ind w:left="851" w:hanging="851"/>
    </w:pPr>
  </w:style>
  <w:style w:type="paragraph" w:customStyle="1" w:styleId="ManualHeading2">
    <w:name w:val="Manual Heading 2"/>
    <w:basedOn w:val="Heading2"/>
    <w:next w:val="Text2"/>
    <w:uiPriority w:val="99"/>
    <w:rsid w:val="00475311"/>
    <w:pPr>
      <w:tabs>
        <w:tab w:val="clear" w:pos="850"/>
        <w:tab w:val="num" w:pos="851"/>
      </w:tabs>
      <w:ind w:left="851" w:hanging="851"/>
    </w:pPr>
  </w:style>
  <w:style w:type="paragraph" w:customStyle="1" w:styleId="ManualHeading3">
    <w:name w:val="Manual Heading 3"/>
    <w:basedOn w:val="Heading3"/>
    <w:next w:val="Text3"/>
    <w:uiPriority w:val="99"/>
    <w:rsid w:val="00475311"/>
    <w:pPr>
      <w:tabs>
        <w:tab w:val="clear" w:pos="850"/>
        <w:tab w:val="num" w:pos="851"/>
      </w:tabs>
    </w:pPr>
  </w:style>
  <w:style w:type="paragraph" w:customStyle="1" w:styleId="ManualHeading4">
    <w:name w:val="Manual Heading 4"/>
    <w:basedOn w:val="Heading4"/>
    <w:next w:val="Text4"/>
    <w:uiPriority w:val="99"/>
    <w:rsid w:val="00475311"/>
    <w:pPr>
      <w:tabs>
        <w:tab w:val="clear" w:pos="850"/>
        <w:tab w:val="num" w:pos="851"/>
      </w:tabs>
    </w:pPr>
  </w:style>
  <w:style w:type="paragraph" w:customStyle="1" w:styleId="ManualNumPar1">
    <w:name w:val="Manual NumPar 1"/>
    <w:basedOn w:val="Normal"/>
    <w:next w:val="Text1"/>
    <w:rsid w:val="00475311"/>
    <w:pPr>
      <w:ind w:left="851" w:hanging="851"/>
    </w:pPr>
  </w:style>
  <w:style w:type="paragraph" w:customStyle="1" w:styleId="ManualNumPar2">
    <w:name w:val="Manual NumPar 2"/>
    <w:basedOn w:val="Normal"/>
    <w:next w:val="Text2"/>
    <w:uiPriority w:val="99"/>
    <w:rsid w:val="00475311"/>
    <w:pPr>
      <w:ind w:left="851" w:hanging="851"/>
    </w:pPr>
  </w:style>
  <w:style w:type="paragraph" w:customStyle="1" w:styleId="ManualNumPar3">
    <w:name w:val="Manual NumPar 3"/>
    <w:basedOn w:val="Normal"/>
    <w:next w:val="Text3"/>
    <w:uiPriority w:val="99"/>
    <w:rsid w:val="00475311"/>
    <w:pPr>
      <w:ind w:left="851" w:hanging="851"/>
    </w:pPr>
  </w:style>
  <w:style w:type="paragraph" w:customStyle="1" w:styleId="ManualNumPar4">
    <w:name w:val="Manual NumPar 4"/>
    <w:basedOn w:val="Normal"/>
    <w:next w:val="Text4"/>
    <w:uiPriority w:val="99"/>
    <w:rsid w:val="00475311"/>
    <w:pPr>
      <w:ind w:left="851" w:hanging="851"/>
    </w:pPr>
  </w:style>
  <w:style w:type="character" w:customStyle="1" w:styleId="Marker">
    <w:name w:val="Marker"/>
    <w:uiPriority w:val="99"/>
    <w:rsid w:val="00475311"/>
    <w:rPr>
      <w:color w:val="0000FF"/>
    </w:rPr>
  </w:style>
  <w:style w:type="paragraph" w:customStyle="1" w:styleId="NormalCentered">
    <w:name w:val="Normal Centered"/>
    <w:basedOn w:val="Normal"/>
    <w:rsid w:val="00475311"/>
    <w:pPr>
      <w:jc w:val="center"/>
    </w:pPr>
  </w:style>
  <w:style w:type="paragraph" w:customStyle="1" w:styleId="NormalLeft">
    <w:name w:val="Normal Left"/>
    <w:basedOn w:val="Normal"/>
    <w:rsid w:val="00475311"/>
  </w:style>
  <w:style w:type="paragraph" w:customStyle="1" w:styleId="NormalRight">
    <w:name w:val="Normal Right"/>
    <w:basedOn w:val="Normal"/>
    <w:uiPriority w:val="99"/>
    <w:rsid w:val="00475311"/>
    <w:pPr>
      <w:jc w:val="right"/>
    </w:pPr>
  </w:style>
  <w:style w:type="paragraph" w:customStyle="1" w:styleId="NumPar1">
    <w:name w:val="NumPar 1"/>
    <w:basedOn w:val="Normal"/>
    <w:next w:val="Text1"/>
    <w:rsid w:val="00475311"/>
    <w:pPr>
      <w:numPr>
        <w:numId w:val="2"/>
      </w:numPr>
    </w:pPr>
  </w:style>
  <w:style w:type="paragraph" w:customStyle="1" w:styleId="NumPar2">
    <w:name w:val="NumPar 2"/>
    <w:basedOn w:val="Normal"/>
    <w:next w:val="Text2"/>
    <w:rsid w:val="00475311"/>
    <w:pPr>
      <w:numPr>
        <w:ilvl w:val="1"/>
        <w:numId w:val="2"/>
      </w:numPr>
    </w:pPr>
  </w:style>
  <w:style w:type="paragraph" w:customStyle="1" w:styleId="NumPar3">
    <w:name w:val="NumPar 3"/>
    <w:basedOn w:val="Normal"/>
    <w:next w:val="Text3"/>
    <w:rsid w:val="00475311"/>
    <w:pPr>
      <w:numPr>
        <w:ilvl w:val="2"/>
        <w:numId w:val="2"/>
      </w:numPr>
    </w:pPr>
  </w:style>
  <w:style w:type="paragraph" w:customStyle="1" w:styleId="NumPar4">
    <w:name w:val="NumPar 4"/>
    <w:basedOn w:val="Normal"/>
    <w:next w:val="Text4"/>
    <w:rsid w:val="00475311"/>
    <w:pPr>
      <w:numPr>
        <w:ilvl w:val="3"/>
        <w:numId w:val="2"/>
      </w:numPr>
    </w:pPr>
  </w:style>
  <w:style w:type="paragraph" w:customStyle="1" w:styleId="Objetexterne">
    <w:name w:val="Objet externe"/>
    <w:basedOn w:val="Normal"/>
    <w:next w:val="Normal"/>
    <w:uiPriority w:val="99"/>
    <w:rsid w:val="00475311"/>
    <w:rPr>
      <w:i/>
      <w:iCs/>
      <w:caps/>
    </w:rPr>
  </w:style>
  <w:style w:type="character" w:styleId="PageNumber">
    <w:name w:val="page number"/>
    <w:rsid w:val="00475311"/>
  </w:style>
  <w:style w:type="paragraph" w:customStyle="1" w:styleId="PartTitle">
    <w:name w:val="PartTitle"/>
    <w:basedOn w:val="Normal"/>
    <w:next w:val="ChapterTitle"/>
    <w:uiPriority w:val="99"/>
    <w:rsid w:val="00475311"/>
    <w:pPr>
      <w:keepNext/>
      <w:pageBreakBefore/>
      <w:spacing w:after="360"/>
      <w:jc w:val="center"/>
    </w:pPr>
    <w:rPr>
      <w:b/>
      <w:bCs/>
      <w:sz w:val="36"/>
      <w:szCs w:val="36"/>
    </w:rPr>
  </w:style>
  <w:style w:type="paragraph" w:customStyle="1" w:styleId="Point0">
    <w:name w:val="Point 0"/>
    <w:basedOn w:val="Normal"/>
    <w:uiPriority w:val="99"/>
    <w:rsid w:val="00475311"/>
    <w:pPr>
      <w:ind w:left="851" w:hanging="851"/>
    </w:pPr>
  </w:style>
  <w:style w:type="paragraph" w:customStyle="1" w:styleId="Point1">
    <w:name w:val="Point 1"/>
    <w:basedOn w:val="Normal"/>
    <w:rsid w:val="00475311"/>
    <w:pPr>
      <w:ind w:left="1418" w:hanging="567"/>
    </w:pPr>
  </w:style>
  <w:style w:type="paragraph" w:customStyle="1" w:styleId="Point2">
    <w:name w:val="Point 2"/>
    <w:basedOn w:val="Normal"/>
    <w:uiPriority w:val="99"/>
    <w:rsid w:val="00475311"/>
    <w:pPr>
      <w:ind w:left="1985" w:hanging="567"/>
    </w:pPr>
  </w:style>
  <w:style w:type="paragraph" w:customStyle="1" w:styleId="Point3">
    <w:name w:val="Point 3"/>
    <w:basedOn w:val="Normal"/>
    <w:uiPriority w:val="99"/>
    <w:rsid w:val="00475311"/>
    <w:pPr>
      <w:ind w:left="2552" w:hanging="567"/>
    </w:pPr>
  </w:style>
  <w:style w:type="paragraph" w:customStyle="1" w:styleId="Point4">
    <w:name w:val="Point 4"/>
    <w:basedOn w:val="Normal"/>
    <w:uiPriority w:val="99"/>
    <w:rsid w:val="00475311"/>
    <w:pPr>
      <w:ind w:left="3119" w:hanging="567"/>
    </w:pPr>
  </w:style>
  <w:style w:type="paragraph" w:customStyle="1" w:styleId="PointDouble0">
    <w:name w:val="PointDouble 0"/>
    <w:basedOn w:val="Normal"/>
    <w:uiPriority w:val="99"/>
    <w:rsid w:val="00475311"/>
    <w:pPr>
      <w:tabs>
        <w:tab w:val="left" w:pos="851"/>
      </w:tabs>
      <w:ind w:left="1418" w:hanging="1418"/>
    </w:pPr>
  </w:style>
  <w:style w:type="paragraph" w:customStyle="1" w:styleId="PointDouble1">
    <w:name w:val="PointDouble 1"/>
    <w:basedOn w:val="Normal"/>
    <w:uiPriority w:val="99"/>
    <w:rsid w:val="00475311"/>
    <w:pPr>
      <w:tabs>
        <w:tab w:val="left" w:pos="1418"/>
      </w:tabs>
      <w:ind w:left="1985" w:hanging="1134"/>
    </w:pPr>
  </w:style>
  <w:style w:type="paragraph" w:customStyle="1" w:styleId="PointDouble2">
    <w:name w:val="PointDouble 2"/>
    <w:basedOn w:val="Normal"/>
    <w:uiPriority w:val="99"/>
    <w:rsid w:val="00475311"/>
    <w:pPr>
      <w:tabs>
        <w:tab w:val="left" w:pos="1985"/>
      </w:tabs>
      <w:ind w:left="2552" w:hanging="1134"/>
    </w:pPr>
  </w:style>
  <w:style w:type="paragraph" w:customStyle="1" w:styleId="PointDouble3">
    <w:name w:val="PointDouble 3"/>
    <w:basedOn w:val="Normal"/>
    <w:uiPriority w:val="99"/>
    <w:rsid w:val="00475311"/>
    <w:pPr>
      <w:tabs>
        <w:tab w:val="left" w:pos="2552"/>
      </w:tabs>
      <w:ind w:left="3119" w:hanging="1134"/>
    </w:pPr>
  </w:style>
  <w:style w:type="paragraph" w:customStyle="1" w:styleId="PointDouble4">
    <w:name w:val="PointDouble 4"/>
    <w:basedOn w:val="Normal"/>
    <w:uiPriority w:val="99"/>
    <w:rsid w:val="00475311"/>
    <w:pPr>
      <w:tabs>
        <w:tab w:val="left" w:pos="3119"/>
      </w:tabs>
      <w:ind w:left="3686" w:hanging="1134"/>
    </w:pPr>
  </w:style>
  <w:style w:type="paragraph" w:customStyle="1" w:styleId="PointTriple0">
    <w:name w:val="PointTriple 0"/>
    <w:basedOn w:val="Normal"/>
    <w:uiPriority w:val="99"/>
    <w:rsid w:val="00475311"/>
    <w:pPr>
      <w:tabs>
        <w:tab w:val="left" w:pos="851"/>
        <w:tab w:val="left" w:pos="1418"/>
      </w:tabs>
      <w:ind w:left="1985" w:hanging="1985"/>
    </w:pPr>
  </w:style>
  <w:style w:type="paragraph" w:customStyle="1" w:styleId="PointTriple1">
    <w:name w:val="PointTriple 1"/>
    <w:basedOn w:val="Normal"/>
    <w:uiPriority w:val="99"/>
    <w:rsid w:val="00475311"/>
    <w:pPr>
      <w:tabs>
        <w:tab w:val="left" w:pos="1418"/>
        <w:tab w:val="left" w:pos="1985"/>
      </w:tabs>
      <w:ind w:left="2552" w:hanging="1701"/>
    </w:pPr>
  </w:style>
  <w:style w:type="paragraph" w:customStyle="1" w:styleId="PointTriple2">
    <w:name w:val="PointTriple 2"/>
    <w:basedOn w:val="Normal"/>
    <w:uiPriority w:val="99"/>
    <w:rsid w:val="00475311"/>
    <w:pPr>
      <w:tabs>
        <w:tab w:val="left" w:pos="1985"/>
        <w:tab w:val="left" w:pos="2552"/>
      </w:tabs>
      <w:ind w:left="3119" w:hanging="1701"/>
    </w:pPr>
  </w:style>
  <w:style w:type="paragraph" w:customStyle="1" w:styleId="PointTriple3">
    <w:name w:val="PointTriple 3"/>
    <w:basedOn w:val="Normal"/>
    <w:uiPriority w:val="99"/>
    <w:rsid w:val="00475311"/>
    <w:pPr>
      <w:tabs>
        <w:tab w:val="left" w:pos="2552"/>
        <w:tab w:val="left" w:pos="3119"/>
      </w:tabs>
      <w:ind w:left="3686" w:hanging="1701"/>
    </w:pPr>
  </w:style>
  <w:style w:type="paragraph" w:customStyle="1" w:styleId="PointTriple4">
    <w:name w:val="PointTriple 4"/>
    <w:basedOn w:val="Normal"/>
    <w:uiPriority w:val="99"/>
    <w:rsid w:val="00475311"/>
    <w:pPr>
      <w:tabs>
        <w:tab w:val="left" w:pos="3119"/>
        <w:tab w:val="left" w:pos="3686"/>
      </w:tabs>
      <w:ind w:left="4253" w:hanging="1701"/>
    </w:pPr>
  </w:style>
  <w:style w:type="paragraph" w:customStyle="1" w:styleId="Prliminairetitre">
    <w:name w:val="Préliminaire titre"/>
    <w:basedOn w:val="Normal"/>
    <w:next w:val="Normal"/>
    <w:uiPriority w:val="99"/>
    <w:rsid w:val="00475311"/>
    <w:pPr>
      <w:spacing w:before="360" w:after="360"/>
      <w:jc w:val="center"/>
    </w:pPr>
    <w:rPr>
      <w:b/>
      <w:bCs/>
    </w:rPr>
  </w:style>
  <w:style w:type="paragraph" w:customStyle="1" w:styleId="Prliminairetype">
    <w:name w:val="Préliminaire type"/>
    <w:basedOn w:val="Normal"/>
    <w:next w:val="Normal"/>
    <w:uiPriority w:val="99"/>
    <w:rsid w:val="00475311"/>
    <w:pPr>
      <w:spacing w:before="360"/>
      <w:jc w:val="center"/>
    </w:pPr>
    <w:rPr>
      <w:b/>
      <w:bCs/>
    </w:rPr>
  </w:style>
  <w:style w:type="paragraph" w:customStyle="1" w:styleId="QuotedNumPar">
    <w:name w:val="Quoted NumPar"/>
    <w:basedOn w:val="Normal"/>
    <w:uiPriority w:val="99"/>
    <w:rsid w:val="00475311"/>
    <w:pPr>
      <w:ind w:left="1418" w:hanging="567"/>
    </w:pPr>
  </w:style>
  <w:style w:type="paragraph" w:customStyle="1" w:styleId="QuotedText">
    <w:name w:val="Quoted Text"/>
    <w:basedOn w:val="Normal"/>
    <w:uiPriority w:val="99"/>
    <w:rsid w:val="00475311"/>
    <w:pPr>
      <w:ind w:left="1418"/>
    </w:pPr>
  </w:style>
  <w:style w:type="paragraph" w:customStyle="1" w:styleId="Rfrenceinterinstitutionelle">
    <w:name w:val="Référence interinstitutionelle"/>
    <w:basedOn w:val="Normal"/>
    <w:next w:val="Statut"/>
    <w:uiPriority w:val="99"/>
    <w:rsid w:val="00475311"/>
    <w:pPr>
      <w:ind w:left="5103"/>
    </w:pPr>
  </w:style>
  <w:style w:type="paragraph" w:customStyle="1" w:styleId="SectionTitle">
    <w:name w:val="SectionTitle"/>
    <w:basedOn w:val="Normal"/>
    <w:next w:val="Heading1"/>
    <w:uiPriority w:val="99"/>
    <w:rsid w:val="00475311"/>
    <w:pPr>
      <w:keepNext/>
      <w:spacing w:after="360"/>
      <w:jc w:val="center"/>
    </w:pPr>
    <w:rPr>
      <w:b/>
      <w:bCs/>
      <w:smallCaps/>
      <w:sz w:val="28"/>
    </w:rPr>
  </w:style>
  <w:style w:type="paragraph" w:customStyle="1" w:styleId="TableTitle">
    <w:name w:val="Table Title"/>
    <w:basedOn w:val="Normal"/>
    <w:next w:val="Normal"/>
    <w:uiPriority w:val="99"/>
    <w:rsid w:val="00475311"/>
    <w:pPr>
      <w:jc w:val="center"/>
    </w:pPr>
    <w:rPr>
      <w:b/>
      <w:bCs/>
    </w:rPr>
  </w:style>
  <w:style w:type="paragraph" w:customStyle="1" w:styleId="Tiret0">
    <w:name w:val="Tiret 0"/>
    <w:basedOn w:val="Point0"/>
    <w:uiPriority w:val="99"/>
    <w:rsid w:val="00475311"/>
  </w:style>
  <w:style w:type="paragraph" w:customStyle="1" w:styleId="Tiret1">
    <w:name w:val="Tiret 1"/>
    <w:basedOn w:val="Point1"/>
    <w:uiPriority w:val="99"/>
    <w:rsid w:val="00475311"/>
  </w:style>
  <w:style w:type="paragraph" w:customStyle="1" w:styleId="Tiret2">
    <w:name w:val="Tiret 2"/>
    <w:basedOn w:val="Point2"/>
    <w:uiPriority w:val="99"/>
    <w:rsid w:val="00475311"/>
  </w:style>
  <w:style w:type="paragraph" w:customStyle="1" w:styleId="Tiret3">
    <w:name w:val="Tiret 3"/>
    <w:basedOn w:val="Point3"/>
    <w:uiPriority w:val="99"/>
    <w:rsid w:val="00475311"/>
  </w:style>
  <w:style w:type="paragraph" w:customStyle="1" w:styleId="Tiret4">
    <w:name w:val="Tiret 4"/>
    <w:basedOn w:val="Point4"/>
    <w:uiPriority w:val="99"/>
    <w:rsid w:val="00475311"/>
  </w:style>
  <w:style w:type="paragraph" w:styleId="TOAHeading">
    <w:name w:val="toa heading"/>
    <w:basedOn w:val="Normal"/>
    <w:next w:val="Normal"/>
    <w:uiPriority w:val="99"/>
    <w:rsid w:val="00475311"/>
    <w:rPr>
      <w:rFonts w:cs="Arial"/>
      <w:b/>
      <w:bCs/>
    </w:rPr>
  </w:style>
  <w:style w:type="paragraph" w:styleId="TOC1">
    <w:name w:val="toc 1"/>
    <w:next w:val="Normal"/>
    <w:uiPriority w:val="39"/>
    <w:qFormat/>
    <w:rsid w:val="00FC3016"/>
    <w:pPr>
      <w:tabs>
        <w:tab w:val="right" w:leader="dot" w:pos="9072"/>
      </w:tabs>
      <w:spacing w:before="200" w:after="100"/>
      <w:ind w:left="-142" w:right="567" w:hanging="142"/>
      <w:jc w:val="both"/>
    </w:pPr>
    <w:rPr>
      <w:rFonts w:ascii="Arial" w:hAnsi="Arial"/>
      <w:b/>
      <w:bCs/>
      <w:caps/>
    </w:rPr>
  </w:style>
  <w:style w:type="paragraph" w:styleId="TOC2">
    <w:name w:val="toc 2"/>
    <w:next w:val="Normal"/>
    <w:uiPriority w:val="39"/>
    <w:qFormat/>
    <w:rsid w:val="00FC3016"/>
    <w:pPr>
      <w:spacing w:before="100"/>
      <w:ind w:left="85" w:right="567" w:hanging="142"/>
      <w:jc w:val="both"/>
    </w:pPr>
    <w:rPr>
      <w:rFonts w:ascii="Arial" w:hAnsi="Arial"/>
      <w:smallCaps/>
    </w:rPr>
  </w:style>
  <w:style w:type="paragraph" w:styleId="TOC3">
    <w:name w:val="toc 3"/>
    <w:next w:val="Normal"/>
    <w:uiPriority w:val="39"/>
    <w:qFormat/>
    <w:rsid w:val="00FC3016"/>
    <w:pPr>
      <w:tabs>
        <w:tab w:val="right" w:leader="dot" w:pos="9072"/>
      </w:tabs>
      <w:ind w:left="142" w:right="567" w:hanging="142"/>
      <w:jc w:val="both"/>
    </w:pPr>
    <w:rPr>
      <w:rFonts w:ascii="Arial" w:hAnsi="Arial"/>
      <w:i/>
      <w:iCs/>
    </w:rPr>
  </w:style>
  <w:style w:type="paragraph" w:styleId="TOC4">
    <w:name w:val="toc 4"/>
    <w:basedOn w:val="Normal"/>
    <w:next w:val="Normal"/>
    <w:uiPriority w:val="39"/>
    <w:rsid w:val="00980F0D"/>
    <w:pPr>
      <w:ind w:left="600"/>
    </w:pPr>
    <w:rPr>
      <w:szCs w:val="18"/>
    </w:rPr>
  </w:style>
  <w:style w:type="paragraph" w:styleId="TOC5">
    <w:name w:val="toc 5"/>
    <w:basedOn w:val="Normal"/>
    <w:next w:val="Normal"/>
    <w:uiPriority w:val="39"/>
    <w:rsid w:val="00475311"/>
    <w:pPr>
      <w:ind w:left="800"/>
    </w:pPr>
    <w:rPr>
      <w:rFonts w:ascii="Calibri" w:hAnsi="Calibri"/>
      <w:sz w:val="18"/>
      <w:szCs w:val="18"/>
    </w:rPr>
  </w:style>
  <w:style w:type="paragraph" w:styleId="TOC6">
    <w:name w:val="toc 6"/>
    <w:basedOn w:val="Normal"/>
    <w:next w:val="Normal"/>
    <w:uiPriority w:val="39"/>
    <w:rsid w:val="00475311"/>
    <w:pPr>
      <w:ind w:left="1000"/>
    </w:pPr>
    <w:rPr>
      <w:rFonts w:ascii="Calibri" w:hAnsi="Calibri"/>
      <w:sz w:val="18"/>
      <w:szCs w:val="18"/>
    </w:rPr>
  </w:style>
  <w:style w:type="paragraph" w:styleId="TOC7">
    <w:name w:val="toc 7"/>
    <w:basedOn w:val="Normal"/>
    <w:next w:val="Normal"/>
    <w:uiPriority w:val="39"/>
    <w:rsid w:val="00475311"/>
    <w:pPr>
      <w:ind w:left="1200"/>
    </w:pPr>
    <w:rPr>
      <w:rFonts w:ascii="Calibri" w:hAnsi="Calibri"/>
      <w:sz w:val="18"/>
      <w:szCs w:val="18"/>
    </w:rPr>
  </w:style>
  <w:style w:type="paragraph" w:styleId="TOC8">
    <w:name w:val="toc 8"/>
    <w:basedOn w:val="Normal"/>
    <w:next w:val="Normal"/>
    <w:uiPriority w:val="39"/>
    <w:rsid w:val="00475311"/>
    <w:pPr>
      <w:ind w:left="1400"/>
    </w:pPr>
    <w:rPr>
      <w:rFonts w:ascii="Calibri" w:hAnsi="Calibri"/>
      <w:sz w:val="18"/>
      <w:szCs w:val="18"/>
    </w:rPr>
  </w:style>
  <w:style w:type="paragraph" w:styleId="TOC9">
    <w:name w:val="toc 9"/>
    <w:basedOn w:val="Normal"/>
    <w:next w:val="Normal"/>
    <w:uiPriority w:val="39"/>
    <w:rsid w:val="00475311"/>
    <w:pPr>
      <w:ind w:left="1600"/>
    </w:pPr>
    <w:rPr>
      <w:rFonts w:ascii="Calibri" w:hAnsi="Calibri"/>
      <w:sz w:val="18"/>
      <w:szCs w:val="18"/>
    </w:rPr>
  </w:style>
  <w:style w:type="paragraph" w:styleId="TOCHeading">
    <w:name w:val="TOC Heading"/>
    <w:basedOn w:val="Normal"/>
    <w:next w:val="Normal"/>
    <w:uiPriority w:val="39"/>
    <w:qFormat/>
    <w:rsid w:val="00475311"/>
    <w:pPr>
      <w:spacing w:after="240"/>
      <w:jc w:val="center"/>
    </w:pPr>
    <w:rPr>
      <w:b/>
      <w:bCs/>
      <w:sz w:val="28"/>
    </w:rPr>
  </w:style>
  <w:style w:type="paragraph" w:customStyle="1" w:styleId="Considrant">
    <w:name w:val="Considérant"/>
    <w:basedOn w:val="Normal"/>
    <w:rsid w:val="00475311"/>
    <w:pPr>
      <w:numPr>
        <w:numId w:val="3"/>
      </w:numPr>
    </w:pPr>
  </w:style>
  <w:style w:type="paragraph" w:customStyle="1" w:styleId="Confidentialit">
    <w:name w:val="Confidentialité"/>
    <w:basedOn w:val="Normal"/>
    <w:next w:val="Statut"/>
    <w:uiPriority w:val="99"/>
    <w:rsid w:val="00475311"/>
    <w:pPr>
      <w:spacing w:before="240" w:after="240"/>
      <w:ind w:left="5103"/>
    </w:pPr>
    <w:rPr>
      <w:u w:val="single"/>
    </w:rPr>
  </w:style>
  <w:style w:type="paragraph" w:customStyle="1" w:styleId="ManualConsidrant">
    <w:name w:val="Manual Considérant"/>
    <w:basedOn w:val="Normal"/>
    <w:uiPriority w:val="99"/>
    <w:rsid w:val="00475311"/>
    <w:pPr>
      <w:ind w:left="709" w:hanging="709"/>
    </w:pPr>
  </w:style>
  <w:style w:type="paragraph" w:customStyle="1" w:styleId="FooterLandscape">
    <w:name w:val="FooterLandscape"/>
    <w:basedOn w:val="Footer"/>
    <w:uiPriority w:val="99"/>
    <w:rsid w:val="00475311"/>
    <w:pPr>
      <w:tabs>
        <w:tab w:val="clear" w:pos="4536"/>
        <w:tab w:val="clear" w:pos="9072"/>
        <w:tab w:val="center" w:pos="7002"/>
        <w:tab w:val="right" w:pos="14005"/>
      </w:tabs>
    </w:pPr>
  </w:style>
  <w:style w:type="paragraph" w:customStyle="1" w:styleId="Titredumodificateur">
    <w:name w:val="Titre du modificateur"/>
    <w:basedOn w:val="Normal"/>
    <w:next w:val="Annexetitrefichefinacte"/>
    <w:uiPriority w:val="99"/>
    <w:rsid w:val="00475311"/>
    <w:pPr>
      <w:spacing w:before="240" w:after="60"/>
    </w:pPr>
    <w:rPr>
      <w:b/>
      <w:bCs/>
      <w:lang w:val="cs-CZ"/>
    </w:rPr>
  </w:style>
  <w:style w:type="paragraph" w:customStyle="1" w:styleId="Referencedumodificateur">
    <w:name w:val="Reference du modificateur"/>
    <w:basedOn w:val="Normal"/>
    <w:next w:val="Annexetitrefichefinglobale"/>
    <w:uiPriority w:val="99"/>
    <w:rsid w:val="00475311"/>
    <w:rPr>
      <w:lang w:val="cs-CZ"/>
    </w:rPr>
  </w:style>
  <w:style w:type="character" w:styleId="Hyperlink">
    <w:name w:val="Hyperlink"/>
    <w:uiPriority w:val="99"/>
    <w:unhideWhenUsed/>
    <w:rsid w:val="00225A33"/>
    <w:rPr>
      <w:b/>
      <w:bCs/>
      <w:color w:val="002579"/>
      <w:u w:val="single"/>
    </w:rPr>
  </w:style>
  <w:style w:type="paragraph" w:styleId="BodyText">
    <w:name w:val="Body Text"/>
    <w:basedOn w:val="Normal"/>
    <w:link w:val="BodyTextChar"/>
    <w:rsid w:val="00225A33"/>
    <w:pPr>
      <w:keepNext/>
      <w:tabs>
        <w:tab w:val="left" w:pos="709"/>
      </w:tabs>
      <w:spacing w:line="360" w:lineRule="auto"/>
    </w:pPr>
    <w:rPr>
      <w:lang w:eastAsia="cs-CZ"/>
    </w:rPr>
  </w:style>
  <w:style w:type="character" w:customStyle="1" w:styleId="BodyTextChar">
    <w:name w:val="Body Text Char"/>
    <w:link w:val="BodyText"/>
    <w:rsid w:val="00225A33"/>
    <w:rPr>
      <w:rFonts w:ascii="Arial" w:hAnsi="Arial"/>
      <w:szCs w:val="24"/>
      <w:lang w:val="cs-CZ" w:eastAsia="cs-CZ"/>
    </w:rPr>
  </w:style>
  <w:style w:type="paragraph" w:styleId="CommentSubject">
    <w:name w:val="annotation subject"/>
    <w:basedOn w:val="CommentText"/>
    <w:next w:val="CommentText"/>
    <w:link w:val="CommentSubjectChar"/>
    <w:unhideWhenUsed/>
    <w:rsid w:val="00034CAA"/>
    <w:rPr>
      <w:b/>
      <w:bCs/>
    </w:rPr>
  </w:style>
  <w:style w:type="character" w:customStyle="1" w:styleId="CommentSubjectChar">
    <w:name w:val="Comment Subject Char"/>
    <w:link w:val="CommentSubject"/>
    <w:rsid w:val="00034CAA"/>
    <w:rPr>
      <w:rFonts w:ascii="Times New Roman" w:hAnsi="Times New Roman" w:cs="Times New Roman"/>
      <w:b/>
      <w:bCs/>
      <w:sz w:val="20"/>
      <w:szCs w:val="20"/>
    </w:rPr>
  </w:style>
  <w:style w:type="paragraph" w:styleId="Revision">
    <w:name w:val="Revision"/>
    <w:hidden/>
    <w:uiPriority w:val="99"/>
    <w:semiHidden/>
    <w:rsid w:val="00034CAA"/>
    <w:rPr>
      <w:rFonts w:ascii="Times New Roman" w:hAnsi="Times New Roman"/>
      <w:sz w:val="24"/>
      <w:szCs w:val="24"/>
    </w:rPr>
  </w:style>
  <w:style w:type="paragraph" w:styleId="BalloonText">
    <w:name w:val="Balloon Text"/>
    <w:basedOn w:val="Normal"/>
    <w:link w:val="BalloonTextChar"/>
    <w:unhideWhenUsed/>
    <w:rsid w:val="00034CAA"/>
    <w:rPr>
      <w:rFonts w:ascii="Tahoma" w:hAnsi="Tahoma"/>
      <w:sz w:val="16"/>
      <w:szCs w:val="16"/>
    </w:rPr>
  </w:style>
  <w:style w:type="character" w:customStyle="1" w:styleId="BalloonTextChar">
    <w:name w:val="Balloon Text Char"/>
    <w:link w:val="BalloonText"/>
    <w:rsid w:val="00034CAA"/>
    <w:rPr>
      <w:rFonts w:ascii="Tahoma" w:hAnsi="Tahoma" w:cs="Tahoma"/>
      <w:sz w:val="16"/>
      <w:szCs w:val="16"/>
    </w:rPr>
  </w:style>
  <w:style w:type="paragraph" w:styleId="BodyText3">
    <w:name w:val="Body Text 3"/>
    <w:basedOn w:val="Normal"/>
    <w:link w:val="BodyText3Char"/>
    <w:unhideWhenUsed/>
    <w:rsid w:val="00B5757A"/>
    <w:rPr>
      <w:sz w:val="16"/>
      <w:szCs w:val="16"/>
    </w:rPr>
  </w:style>
  <w:style w:type="character" w:customStyle="1" w:styleId="BodyText3Char">
    <w:name w:val="Body Text 3 Char"/>
    <w:link w:val="BodyText3"/>
    <w:uiPriority w:val="99"/>
    <w:rsid w:val="00B5757A"/>
    <w:rPr>
      <w:rFonts w:ascii="Times New Roman" w:hAnsi="Times New Roman"/>
      <w:sz w:val="16"/>
      <w:szCs w:val="16"/>
    </w:rPr>
  </w:style>
  <w:style w:type="paragraph" w:styleId="BodyTextIndent3">
    <w:name w:val="Body Text Indent 3"/>
    <w:basedOn w:val="Normal"/>
    <w:link w:val="BodyTextIndent3Char"/>
    <w:unhideWhenUsed/>
    <w:rsid w:val="00364497"/>
    <w:pPr>
      <w:ind w:left="283"/>
    </w:pPr>
    <w:rPr>
      <w:sz w:val="16"/>
      <w:szCs w:val="16"/>
    </w:rPr>
  </w:style>
  <w:style w:type="character" w:customStyle="1" w:styleId="BodyTextIndent3Char">
    <w:name w:val="Body Text Indent 3 Char"/>
    <w:link w:val="BodyTextIndent3"/>
    <w:uiPriority w:val="99"/>
    <w:rsid w:val="00364497"/>
    <w:rPr>
      <w:rFonts w:ascii="Times New Roman" w:hAnsi="Times New Roman"/>
      <w:sz w:val="16"/>
      <w:szCs w:val="16"/>
    </w:rPr>
  </w:style>
  <w:style w:type="paragraph" w:styleId="ListParagraph">
    <w:name w:val="List Paragraph"/>
    <w:basedOn w:val="Normal"/>
    <w:uiPriority w:val="34"/>
    <w:qFormat/>
    <w:rsid w:val="00F0492F"/>
    <w:pPr>
      <w:ind w:left="720"/>
    </w:pPr>
    <w:rPr>
      <w:rFonts w:ascii="Calibri" w:eastAsia="Calibri" w:hAnsi="Calibri" w:cs="Calibri"/>
    </w:rPr>
  </w:style>
  <w:style w:type="paragraph" w:customStyle="1" w:styleId="ES-intro">
    <w:name w:val="ES-intro"/>
    <w:basedOn w:val="Normal"/>
    <w:link w:val="ES-introCar"/>
    <w:qFormat/>
    <w:rsid w:val="00465BBB"/>
    <w:pPr>
      <w:overflowPunct w:val="0"/>
      <w:adjustRightInd w:val="0"/>
      <w:spacing w:line="360" w:lineRule="auto"/>
      <w:textAlignment w:val="baseline"/>
    </w:pPr>
    <w:rPr>
      <w:rFonts w:eastAsia="Calibri"/>
      <w:szCs w:val="20"/>
      <w:lang w:val="cs-CZ"/>
    </w:rPr>
  </w:style>
  <w:style w:type="character" w:customStyle="1" w:styleId="ES-introCar">
    <w:name w:val="ES-intro Car"/>
    <w:link w:val="ES-intro"/>
    <w:rsid w:val="00465BBB"/>
    <w:rPr>
      <w:rFonts w:ascii="Arial" w:eastAsia="Calibri" w:hAnsi="Arial"/>
      <w:lang w:val="cs-CZ" w:eastAsia="cs-CZ"/>
    </w:rPr>
  </w:style>
  <w:style w:type="paragraph" w:customStyle="1" w:styleId="ES-Titre1">
    <w:name w:val="ES-Titre1"/>
    <w:basedOn w:val="Normal"/>
    <w:link w:val="ES-Titre1Car"/>
    <w:qFormat/>
    <w:rsid w:val="00A84512"/>
    <w:pPr>
      <w:overflowPunct w:val="0"/>
      <w:adjustRightInd w:val="0"/>
      <w:spacing w:line="240" w:lineRule="atLeast"/>
      <w:jc w:val="center"/>
      <w:textAlignment w:val="baseline"/>
    </w:pPr>
    <w:rPr>
      <w:rFonts w:eastAsia="Calibri" w:cs="Arial"/>
      <w:b/>
      <w:color w:val="000000"/>
      <w:sz w:val="28"/>
      <w:szCs w:val="32"/>
      <w:lang w:val="cs-CZ"/>
    </w:rPr>
  </w:style>
  <w:style w:type="paragraph" w:customStyle="1" w:styleId="ES-Titre2">
    <w:name w:val="ES-Titre2"/>
    <w:basedOn w:val="Normal"/>
    <w:link w:val="ES-Titre2Car"/>
    <w:qFormat/>
    <w:rsid w:val="009C13A9"/>
    <w:pPr>
      <w:pageBreakBefore/>
      <w:overflowPunct w:val="0"/>
      <w:adjustRightInd w:val="0"/>
      <w:spacing w:line="240" w:lineRule="atLeast"/>
      <w:jc w:val="center"/>
      <w:textAlignment w:val="baseline"/>
    </w:pPr>
    <w:rPr>
      <w:rFonts w:eastAsia="Calibri" w:cs="Arial"/>
      <w:b/>
      <w:i/>
      <w:caps/>
      <w:sz w:val="24"/>
      <w:lang w:val="cs-CZ"/>
    </w:rPr>
  </w:style>
  <w:style w:type="character" w:customStyle="1" w:styleId="ES-Titre1Car">
    <w:name w:val="ES-Titre1 Car"/>
    <w:link w:val="ES-Titre1"/>
    <w:rsid w:val="00A84512"/>
    <w:rPr>
      <w:rFonts w:ascii="Arial" w:eastAsia="Calibri" w:hAnsi="Arial" w:cs="Arial"/>
      <w:b/>
      <w:color w:val="000000"/>
      <w:sz w:val="28"/>
      <w:szCs w:val="32"/>
      <w:lang w:val="cs-CZ" w:eastAsia="cs-CZ"/>
    </w:rPr>
  </w:style>
  <w:style w:type="paragraph" w:customStyle="1" w:styleId="ES-Titre3">
    <w:name w:val="ES-Titre3"/>
    <w:basedOn w:val="Normal"/>
    <w:link w:val="ES-Titre3Car"/>
    <w:qFormat/>
    <w:rsid w:val="00944893"/>
    <w:pPr>
      <w:overflowPunct w:val="0"/>
      <w:adjustRightInd w:val="0"/>
      <w:spacing w:line="240" w:lineRule="exact"/>
      <w:jc w:val="center"/>
      <w:textAlignment w:val="baseline"/>
    </w:pPr>
    <w:rPr>
      <w:rFonts w:eastAsia="Calibri"/>
      <w:b/>
    </w:rPr>
  </w:style>
  <w:style w:type="character" w:customStyle="1" w:styleId="ES-Titre2Car">
    <w:name w:val="ES-Titre2 Car"/>
    <w:link w:val="ES-Titre2"/>
    <w:rsid w:val="009C13A9"/>
    <w:rPr>
      <w:rFonts w:ascii="Arial" w:eastAsia="Calibri" w:hAnsi="Arial" w:cs="Arial"/>
      <w:b/>
      <w:i/>
      <w:caps/>
      <w:sz w:val="24"/>
      <w:szCs w:val="28"/>
      <w:lang w:val="cs-CZ" w:eastAsia="cs-CZ"/>
    </w:rPr>
  </w:style>
  <w:style w:type="character" w:customStyle="1" w:styleId="ES-Titre3Car">
    <w:name w:val="ES-Titre3 Car"/>
    <w:link w:val="ES-Titre3"/>
    <w:rsid w:val="00944893"/>
    <w:rPr>
      <w:rFonts w:ascii="Arial" w:eastAsia="Calibri" w:hAnsi="Arial"/>
      <w:b/>
      <w:sz w:val="22"/>
      <w:szCs w:val="22"/>
      <w:lang w:eastAsia="cs-CZ"/>
    </w:rPr>
  </w:style>
  <w:style w:type="paragraph" w:customStyle="1" w:styleId="TNR1">
    <w:name w:val="TNR1"/>
    <w:basedOn w:val="Normal"/>
    <w:rsid w:val="00A06CEC"/>
    <w:pPr>
      <w:tabs>
        <w:tab w:val="left" w:pos="284"/>
        <w:tab w:val="left" w:pos="454"/>
        <w:tab w:val="left" w:pos="680"/>
        <w:tab w:val="left" w:pos="907"/>
      </w:tabs>
      <w:overflowPunct w:val="0"/>
      <w:adjustRightInd w:val="0"/>
      <w:ind w:hanging="284"/>
      <w:textAlignment w:val="baseline"/>
    </w:pPr>
    <w:rPr>
      <w:rFonts w:ascii="Times New Roman" w:hAnsi="Times New Roman"/>
      <w:sz w:val="24"/>
      <w:szCs w:val="20"/>
    </w:rPr>
  </w:style>
  <w:style w:type="paragraph" w:customStyle="1" w:styleId="N1">
    <w:name w:val="N1"/>
    <w:basedOn w:val="Normal"/>
    <w:rsid w:val="00A06CEC"/>
    <w:pPr>
      <w:tabs>
        <w:tab w:val="left" w:pos="284"/>
        <w:tab w:val="left" w:pos="454"/>
        <w:tab w:val="left" w:pos="680"/>
      </w:tabs>
      <w:overflowPunct w:val="0"/>
      <w:adjustRightInd w:val="0"/>
      <w:spacing w:line="240" w:lineRule="exact"/>
      <w:ind w:hanging="284"/>
      <w:textAlignment w:val="baseline"/>
    </w:pPr>
    <w:rPr>
      <w:rFonts w:ascii="Times New Roman" w:hAnsi="Times New Roman"/>
      <w:sz w:val="24"/>
      <w:szCs w:val="20"/>
    </w:rPr>
  </w:style>
  <w:style w:type="paragraph" w:customStyle="1" w:styleId="EStiret">
    <w:name w:val="ES_tiret"/>
    <w:basedOn w:val="Normal"/>
    <w:qFormat/>
    <w:rsid w:val="00E65F26"/>
    <w:pPr>
      <w:spacing w:before="60" w:line="240" w:lineRule="atLeast"/>
      <w:ind w:left="1417"/>
    </w:pPr>
    <w:rPr>
      <w:noProof/>
      <w:snapToGrid w:val="0"/>
      <w:color w:val="000000"/>
      <w:lang w:bidi="cs-CZ"/>
    </w:rPr>
  </w:style>
  <w:style w:type="paragraph" w:customStyle="1" w:styleId="TNRA">
    <w:name w:val="TNRA"/>
    <w:basedOn w:val="TNR1"/>
    <w:rsid w:val="000B4F66"/>
    <w:pPr>
      <w:ind w:left="284"/>
    </w:pPr>
  </w:style>
  <w:style w:type="numbering" w:customStyle="1" w:styleId="Aucuneliste1">
    <w:name w:val="Aucune liste1"/>
    <w:next w:val="NoList"/>
    <w:semiHidden/>
    <w:unhideWhenUsed/>
    <w:rsid w:val="00973DAA"/>
  </w:style>
  <w:style w:type="paragraph" w:styleId="BodyTextIndent">
    <w:name w:val="Body Text Indent"/>
    <w:basedOn w:val="Normal"/>
    <w:link w:val="BodyTextIndentChar"/>
    <w:unhideWhenUsed/>
    <w:rsid w:val="00F51060"/>
    <w:pPr>
      <w:spacing w:after="120"/>
      <w:ind w:left="283"/>
    </w:pPr>
  </w:style>
  <w:style w:type="character" w:customStyle="1" w:styleId="BodyTextIndentChar">
    <w:name w:val="Body Text Indent Char"/>
    <w:link w:val="BodyTextIndent"/>
    <w:uiPriority w:val="99"/>
    <w:rsid w:val="00F51060"/>
    <w:rPr>
      <w:rFonts w:ascii="Arial" w:hAnsi="Arial"/>
      <w:szCs w:val="24"/>
    </w:rPr>
  </w:style>
  <w:style w:type="paragraph" w:customStyle="1" w:styleId="Retraitcorpsdetexte22">
    <w:name w:val="Retrait corps de texte 22"/>
    <w:basedOn w:val="Normal"/>
    <w:rsid w:val="00B73D19"/>
    <w:pPr>
      <w:widowControl w:val="0"/>
      <w:tabs>
        <w:tab w:val="left" w:pos="709"/>
      </w:tabs>
      <w:suppressAutoHyphens/>
      <w:spacing w:line="240" w:lineRule="atLeast"/>
      <w:ind w:left="426"/>
    </w:pPr>
    <w:rPr>
      <w:rFonts w:cs="Arial"/>
      <w:szCs w:val="20"/>
      <w:lang w:val="cs-CZ" w:eastAsia="cs-CZ"/>
    </w:rPr>
  </w:style>
  <w:style w:type="table" w:styleId="TableGrid">
    <w:name w:val="Table Grid"/>
    <w:basedOn w:val="TableNormal"/>
    <w:uiPriority w:val="59"/>
    <w:rsid w:val="00083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1rp">
    <w:name w:val="T1_rp"/>
    <w:basedOn w:val="Normal"/>
    <w:rsid w:val="00226A59"/>
    <w:pPr>
      <w:widowControl w:val="0"/>
      <w:tabs>
        <w:tab w:val="left" w:pos="567"/>
      </w:tabs>
      <w:adjustRightInd w:val="0"/>
      <w:spacing w:line="240" w:lineRule="atLeast"/>
      <w:ind w:left="567" w:hanging="567"/>
    </w:pPr>
    <w:rPr>
      <w:rFonts w:ascii="Times New Roman" w:eastAsia="Batang" w:hAnsi="Times New Roman" w:cs="Arial"/>
      <w:sz w:val="24"/>
      <w:szCs w:val="20"/>
      <w:lang w:val="cs-CZ" w:eastAsia="cs-CZ"/>
    </w:rPr>
  </w:style>
  <w:style w:type="paragraph" w:customStyle="1" w:styleId="ESchgras">
    <w:name w:val="ES_ch_gras"/>
    <w:basedOn w:val="Normal"/>
    <w:qFormat/>
    <w:rsid w:val="00151656"/>
    <w:pPr>
      <w:spacing w:line="240" w:lineRule="atLeast"/>
      <w:ind w:left="567" w:hanging="567"/>
    </w:pPr>
    <w:rPr>
      <w:rFonts w:cs="Arial"/>
      <w:b/>
      <w:color w:val="000000"/>
      <w:szCs w:val="20"/>
    </w:rPr>
  </w:style>
  <w:style w:type="paragraph" w:customStyle="1" w:styleId="ESch">
    <w:name w:val="ES_ch"/>
    <w:basedOn w:val="Normal"/>
    <w:qFormat/>
    <w:rsid w:val="00AE4E9D"/>
    <w:pPr>
      <w:spacing w:line="240" w:lineRule="atLeast"/>
      <w:ind w:left="567" w:hanging="567"/>
    </w:pPr>
  </w:style>
  <w:style w:type="paragraph" w:customStyle="1" w:styleId="ESlet">
    <w:name w:val="ES_let"/>
    <w:basedOn w:val="Normal"/>
    <w:qFormat/>
    <w:rsid w:val="00511BF6"/>
    <w:pPr>
      <w:spacing w:before="60" w:line="240" w:lineRule="atLeast"/>
      <w:ind w:left="992"/>
    </w:pPr>
  </w:style>
  <w:style w:type="paragraph" w:customStyle="1" w:styleId="ESletpar">
    <w:name w:val="ES_let_par"/>
    <w:basedOn w:val="Normal"/>
    <w:qFormat/>
    <w:rsid w:val="009058C5"/>
    <w:pPr>
      <w:spacing w:before="60" w:line="240" w:lineRule="atLeast"/>
      <w:ind w:left="992"/>
    </w:pPr>
    <w:rPr>
      <w:lang w:eastAsia="cs-CZ"/>
    </w:rPr>
  </w:style>
  <w:style w:type="paragraph" w:customStyle="1" w:styleId="ESchpar">
    <w:name w:val="ES_ch_par"/>
    <w:basedOn w:val="Normal"/>
    <w:qFormat/>
    <w:rsid w:val="00321E38"/>
    <w:pPr>
      <w:spacing w:line="240" w:lineRule="atLeast"/>
      <w:ind w:left="567"/>
    </w:pPr>
  </w:style>
  <w:style w:type="paragraph" w:customStyle="1" w:styleId="ESgauche">
    <w:name w:val="ES_gauche"/>
    <w:basedOn w:val="Normal"/>
    <w:qFormat/>
    <w:rsid w:val="00111867"/>
    <w:pPr>
      <w:spacing w:line="240" w:lineRule="atLeast"/>
    </w:pPr>
    <w:rPr>
      <w:noProof/>
      <w:lang w:bidi="cs-CZ"/>
    </w:rPr>
  </w:style>
  <w:style w:type="paragraph" w:customStyle="1" w:styleId="ESletgauche">
    <w:name w:val="ES_let_gauche"/>
    <w:basedOn w:val="ESch"/>
    <w:qFormat/>
    <w:rsid w:val="001F173C"/>
    <w:pPr>
      <w:spacing w:before="60"/>
    </w:pPr>
  </w:style>
  <w:style w:type="paragraph" w:customStyle="1" w:styleId="ESletlong">
    <w:name w:val="ES_let_long"/>
    <w:basedOn w:val="ESlet"/>
    <w:qFormat/>
    <w:rsid w:val="00BD4F1D"/>
    <w:pPr>
      <w:spacing w:before="0"/>
    </w:pPr>
  </w:style>
  <w:style w:type="table" w:customStyle="1" w:styleId="Grilledutableau1">
    <w:name w:val="Grille du tableau1"/>
    <w:basedOn w:val="TableNormal"/>
    <w:next w:val="TableGrid"/>
    <w:uiPriority w:val="59"/>
    <w:rsid w:val="00973DA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Marker">
    <w:name w:val="CR Marker"/>
    <w:uiPriority w:val="99"/>
    <w:rsid w:val="00973DAA"/>
    <w:rPr>
      <w:rFonts w:ascii="Wingdings" w:hAnsi="Wingdings" w:cs="Wingdings"/>
    </w:rPr>
  </w:style>
  <w:style w:type="character" w:customStyle="1" w:styleId="CRRefNum">
    <w:name w:val="CR RefNum"/>
    <w:uiPriority w:val="99"/>
    <w:rsid w:val="00973DAA"/>
    <w:rPr>
      <w:vertAlign w:val="subscript"/>
    </w:rPr>
  </w:style>
  <w:style w:type="paragraph" w:customStyle="1" w:styleId="CRSeparator">
    <w:name w:val="CR Separator"/>
    <w:basedOn w:val="Normal"/>
    <w:next w:val="Normal"/>
    <w:uiPriority w:val="99"/>
    <w:rsid w:val="00973DAA"/>
    <w:pPr>
      <w:keepNext/>
      <w:pBdr>
        <w:top w:val="single" w:sz="4" w:space="1" w:color="auto"/>
      </w:pBdr>
    </w:pPr>
    <w:rPr>
      <w:rFonts w:ascii="Times New Roman" w:hAnsi="Times New Roman"/>
      <w:sz w:val="24"/>
      <w:lang w:eastAsia="cs-CZ"/>
    </w:rPr>
  </w:style>
  <w:style w:type="paragraph" w:customStyle="1" w:styleId="CM1">
    <w:name w:val="CM1"/>
    <w:basedOn w:val="Normal"/>
    <w:next w:val="Normal"/>
    <w:uiPriority w:val="99"/>
    <w:rsid w:val="00973DAA"/>
    <w:pPr>
      <w:adjustRightInd w:val="0"/>
    </w:pPr>
    <w:rPr>
      <w:rFonts w:ascii="Times New Roman" w:eastAsia="Calibri" w:hAnsi="Times New Roman"/>
      <w:sz w:val="24"/>
    </w:rPr>
  </w:style>
  <w:style w:type="paragraph" w:customStyle="1" w:styleId="CM3">
    <w:name w:val="CM3"/>
    <w:basedOn w:val="Normal"/>
    <w:next w:val="Normal"/>
    <w:uiPriority w:val="99"/>
    <w:rsid w:val="00973DAA"/>
    <w:pPr>
      <w:adjustRightInd w:val="0"/>
    </w:pPr>
    <w:rPr>
      <w:rFonts w:ascii="Times New Roman" w:eastAsia="Calibri" w:hAnsi="Times New Roman"/>
      <w:sz w:val="24"/>
    </w:rPr>
  </w:style>
  <w:style w:type="paragraph" w:customStyle="1" w:styleId="CM4">
    <w:name w:val="CM4"/>
    <w:basedOn w:val="Normal"/>
    <w:next w:val="Normal"/>
    <w:uiPriority w:val="99"/>
    <w:rsid w:val="00973DAA"/>
    <w:pPr>
      <w:adjustRightInd w:val="0"/>
    </w:pPr>
    <w:rPr>
      <w:rFonts w:ascii="Times New Roman" w:eastAsia="Calibri" w:hAnsi="Times New Roman"/>
      <w:sz w:val="24"/>
    </w:rPr>
  </w:style>
  <w:style w:type="paragraph" w:customStyle="1" w:styleId="EStiretpar">
    <w:name w:val="ES_tiret_par"/>
    <w:basedOn w:val="EStiret"/>
    <w:qFormat/>
    <w:rsid w:val="00124738"/>
    <w:pPr>
      <w:ind w:left="1418"/>
    </w:pPr>
  </w:style>
  <w:style w:type="paragraph" w:customStyle="1" w:styleId="Esletgauchepar">
    <w:name w:val="Es_let_gauche_par"/>
    <w:basedOn w:val="ESletgauche"/>
    <w:qFormat/>
    <w:rsid w:val="00BF049A"/>
    <w:pPr>
      <w:ind w:firstLine="0"/>
    </w:pPr>
    <w:rPr>
      <w:lang w:val="cs-CZ"/>
    </w:rPr>
  </w:style>
  <w:style w:type="paragraph" w:styleId="PlainText">
    <w:name w:val="Plain Text"/>
    <w:basedOn w:val="Normal"/>
    <w:link w:val="PlainTextChar"/>
    <w:unhideWhenUsed/>
    <w:rsid w:val="00E0050D"/>
    <w:rPr>
      <w:rFonts w:ascii="Calibri" w:eastAsia="Calibri" w:hAnsi="Calibri"/>
      <w:szCs w:val="21"/>
    </w:rPr>
  </w:style>
  <w:style w:type="character" w:customStyle="1" w:styleId="PlainTextChar">
    <w:name w:val="Plain Text Char"/>
    <w:link w:val="PlainText"/>
    <w:rsid w:val="00E0050D"/>
    <w:rPr>
      <w:rFonts w:eastAsia="Calibri"/>
      <w:sz w:val="22"/>
      <w:szCs w:val="21"/>
      <w:lang w:eastAsia="cs-CZ"/>
    </w:rPr>
  </w:style>
  <w:style w:type="paragraph" w:customStyle="1" w:styleId="ES-Titre3a">
    <w:name w:val="ES-Titre3a"/>
    <w:basedOn w:val="ES-Titre3"/>
    <w:qFormat/>
    <w:rsid w:val="001E2331"/>
    <w:rPr>
      <w:i/>
    </w:rPr>
  </w:style>
  <w:style w:type="paragraph" w:customStyle="1" w:styleId="Es-Titreannexes">
    <w:name w:val="Es-Titre_annexes"/>
    <w:basedOn w:val="Normal"/>
    <w:qFormat/>
    <w:rsid w:val="001E2331"/>
    <w:pPr>
      <w:spacing w:before="40" w:line="220" w:lineRule="atLeast"/>
      <w:jc w:val="center"/>
    </w:pPr>
    <w:rPr>
      <w:rFonts w:ascii="Arial Gras" w:hAnsi="Arial Gras" w:cs="Arial"/>
      <w:b/>
      <w:caps/>
      <w:color w:val="000000"/>
      <w:sz w:val="40"/>
    </w:rPr>
  </w:style>
  <w:style w:type="paragraph" w:customStyle="1" w:styleId="ESintro">
    <w:name w:val="ES_intro"/>
    <w:basedOn w:val="Normal"/>
    <w:qFormat/>
    <w:rsid w:val="001E2331"/>
    <w:pPr>
      <w:spacing w:line="240" w:lineRule="atLeast"/>
      <w:jc w:val="center"/>
    </w:pPr>
    <w:rPr>
      <w:b/>
      <w:caps/>
      <w:sz w:val="24"/>
    </w:rPr>
  </w:style>
  <w:style w:type="paragraph" w:customStyle="1" w:styleId="ESletgauche075">
    <w:name w:val="ES_let_gauche0_75"/>
    <w:basedOn w:val="ESletgauche"/>
    <w:qFormat/>
    <w:rsid w:val="001E2331"/>
    <w:pPr>
      <w:ind w:left="426" w:hanging="426"/>
    </w:pPr>
  </w:style>
  <w:style w:type="character" w:customStyle="1" w:styleId="msoins0">
    <w:name w:val="msoins0"/>
    <w:rsid w:val="001E2331"/>
  </w:style>
  <w:style w:type="paragraph" w:customStyle="1" w:styleId="BlockQuotation">
    <w:name w:val="Block Quotation"/>
    <w:basedOn w:val="Normal"/>
    <w:rsid w:val="001E2331"/>
    <w:pPr>
      <w:widowControl w:val="0"/>
      <w:tabs>
        <w:tab w:val="left" w:pos="1701"/>
        <w:tab w:val="left" w:pos="2694"/>
      </w:tabs>
      <w:ind w:left="284" w:right="-482" w:hanging="284"/>
    </w:pPr>
    <w:rPr>
      <w:rFonts w:ascii="Times New Roman" w:hAnsi="Times New Roman"/>
      <w:b/>
      <w:bCs/>
      <w:i/>
      <w:iCs/>
      <w:snapToGrid w:val="0"/>
      <w:szCs w:val="20"/>
      <w:lang w:val="cs-CZ"/>
    </w:rPr>
  </w:style>
  <w:style w:type="paragraph" w:customStyle="1" w:styleId="ES-Titre3prchap32">
    <w:name w:val="ES-Titre3_pr_chap32"/>
    <w:basedOn w:val="ES-Titre3"/>
    <w:qFormat/>
    <w:rsid w:val="001E2331"/>
    <w:rPr>
      <w:lang w:val="cs-CZ"/>
    </w:rPr>
  </w:style>
  <w:style w:type="paragraph" w:styleId="NormalIndent">
    <w:name w:val="Normal Indent"/>
    <w:basedOn w:val="Normal"/>
    <w:rsid w:val="009C13A9"/>
    <w:pPr>
      <w:overflowPunct w:val="0"/>
      <w:adjustRightInd w:val="0"/>
      <w:spacing w:line="240" w:lineRule="exact"/>
      <w:ind w:left="708"/>
      <w:textAlignment w:val="baseline"/>
    </w:pPr>
    <w:rPr>
      <w:rFonts w:ascii="Times New Roman" w:hAnsi="Times New Roman"/>
      <w:sz w:val="24"/>
    </w:rPr>
  </w:style>
  <w:style w:type="paragraph" w:customStyle="1" w:styleId="N4">
    <w:name w:val="N4"/>
    <w:basedOn w:val="Normal"/>
    <w:rsid w:val="009C13A9"/>
    <w:pPr>
      <w:tabs>
        <w:tab w:val="left" w:pos="284"/>
        <w:tab w:val="left" w:pos="454"/>
        <w:tab w:val="left" w:pos="680"/>
        <w:tab w:val="left" w:pos="1021"/>
      </w:tabs>
      <w:overflowPunct w:val="0"/>
      <w:adjustRightInd w:val="0"/>
      <w:textAlignment w:val="baseline"/>
    </w:pPr>
    <w:rPr>
      <w:rFonts w:ascii="Times New Roman" w:hAnsi="Times New Roman"/>
      <w:szCs w:val="20"/>
    </w:rPr>
  </w:style>
  <w:style w:type="paragraph" w:customStyle="1" w:styleId="N2">
    <w:name w:val="N2"/>
    <w:basedOn w:val="Normal"/>
    <w:rsid w:val="009C13A9"/>
    <w:pPr>
      <w:tabs>
        <w:tab w:val="left" w:pos="-340"/>
        <w:tab w:val="left" w:pos="284"/>
        <w:tab w:val="left" w:pos="454"/>
        <w:tab w:val="left" w:pos="680"/>
        <w:tab w:val="left" w:pos="1418"/>
      </w:tabs>
      <w:overflowPunct w:val="0"/>
      <w:adjustRightInd w:val="0"/>
      <w:ind w:hanging="1134"/>
      <w:textAlignment w:val="baseline"/>
    </w:pPr>
    <w:rPr>
      <w:rFonts w:ascii="Times New Roman" w:hAnsi="Times New Roman"/>
      <w:szCs w:val="20"/>
    </w:rPr>
  </w:style>
  <w:style w:type="paragraph" w:customStyle="1" w:styleId="N3">
    <w:name w:val="N3"/>
    <w:basedOn w:val="Normal"/>
    <w:rsid w:val="009C13A9"/>
    <w:pPr>
      <w:tabs>
        <w:tab w:val="left" w:pos="170"/>
      </w:tabs>
      <w:overflowPunct w:val="0"/>
      <w:adjustRightInd w:val="0"/>
      <w:spacing w:line="240" w:lineRule="exact"/>
      <w:textAlignment w:val="baseline"/>
    </w:pPr>
    <w:rPr>
      <w:rFonts w:ascii="Times New Roman" w:hAnsi="Times New Roman"/>
      <w:szCs w:val="20"/>
    </w:rPr>
  </w:style>
  <w:style w:type="character" w:customStyle="1" w:styleId="En-tte">
    <w:name w:val="En-tête"/>
    <w:rsid w:val="009C13A9"/>
    <w:rPr>
      <w:lang w:val="cs-CZ" w:eastAsia="cs-CZ" w:bidi="cs-CZ"/>
    </w:rPr>
  </w:style>
  <w:style w:type="character" w:styleId="Strong">
    <w:name w:val="Strong"/>
    <w:qFormat/>
    <w:rsid w:val="009C13A9"/>
    <w:rPr>
      <w:b/>
      <w:bCs/>
    </w:rPr>
  </w:style>
  <w:style w:type="paragraph" w:styleId="EndnoteText">
    <w:name w:val="endnote text"/>
    <w:basedOn w:val="Normal"/>
    <w:link w:val="EndnoteTextChar"/>
    <w:rsid w:val="009C13A9"/>
    <w:rPr>
      <w:snapToGrid w:val="0"/>
      <w:szCs w:val="20"/>
      <w:lang w:val="cs-CZ"/>
    </w:rPr>
  </w:style>
  <w:style w:type="character" w:customStyle="1" w:styleId="EndnoteTextChar">
    <w:name w:val="Endnote Text Char"/>
    <w:link w:val="EndnoteText"/>
    <w:rsid w:val="009C13A9"/>
    <w:rPr>
      <w:rFonts w:ascii="Arial" w:hAnsi="Arial"/>
      <w:snapToGrid w:val="0"/>
      <w:lang w:val="cs-CZ"/>
    </w:rPr>
  </w:style>
  <w:style w:type="paragraph" w:customStyle="1" w:styleId="Annex2Nummer">
    <w:name w:val="Annex2_Nummer"/>
    <w:basedOn w:val="Normal"/>
    <w:rsid w:val="009C13A9"/>
    <w:pPr>
      <w:tabs>
        <w:tab w:val="left" w:pos="425"/>
        <w:tab w:val="left" w:pos="851"/>
        <w:tab w:val="left" w:pos="1276"/>
        <w:tab w:val="left" w:pos="1701"/>
        <w:tab w:val="left" w:pos="2126"/>
      </w:tabs>
      <w:overflowPunct w:val="0"/>
      <w:adjustRightInd w:val="0"/>
      <w:spacing w:before="240"/>
      <w:textAlignment w:val="baseline"/>
    </w:pPr>
    <w:rPr>
      <w:rFonts w:ascii="Times New Roman" w:hAnsi="Times New Roman"/>
      <w:sz w:val="24"/>
      <w:lang w:val="cs-CZ"/>
    </w:rPr>
  </w:style>
  <w:style w:type="paragraph" w:customStyle="1" w:styleId="Normal0">
    <w:name w:val="[Normal]"/>
    <w:rsid w:val="009C13A9"/>
    <w:pPr>
      <w:autoSpaceDE w:val="0"/>
      <w:autoSpaceDN w:val="0"/>
      <w:adjustRightInd w:val="0"/>
    </w:pPr>
    <w:rPr>
      <w:rFonts w:ascii="Arial" w:hAnsi="Arial" w:cs="Arial"/>
      <w:snapToGrid w:val="0"/>
    </w:rPr>
  </w:style>
  <w:style w:type="paragraph" w:customStyle="1" w:styleId="Annex2Texteng">
    <w:name w:val="Annex2_Text_eng"/>
    <w:basedOn w:val="Annex2Nummer"/>
    <w:rsid w:val="009C13A9"/>
    <w:pPr>
      <w:tabs>
        <w:tab w:val="clear" w:pos="425"/>
        <w:tab w:val="clear" w:pos="851"/>
        <w:tab w:val="clear" w:pos="1276"/>
        <w:tab w:val="clear" w:pos="1701"/>
        <w:tab w:val="clear" w:pos="2126"/>
        <w:tab w:val="left" w:pos="454"/>
        <w:tab w:val="left" w:pos="907"/>
        <w:tab w:val="left" w:pos="1361"/>
        <w:tab w:val="left" w:pos="1814"/>
      </w:tabs>
      <w:spacing w:before="0"/>
    </w:pPr>
    <w:rPr>
      <w:snapToGrid w:val="0"/>
    </w:rPr>
  </w:style>
  <w:style w:type="paragraph" w:customStyle="1" w:styleId="Titres">
    <w:name w:val="Titres"/>
    <w:basedOn w:val="Normal"/>
    <w:rsid w:val="009C13A9"/>
    <w:pPr>
      <w:overflowPunct w:val="0"/>
      <w:adjustRightInd w:val="0"/>
      <w:spacing w:line="240" w:lineRule="exact"/>
      <w:jc w:val="center"/>
      <w:textAlignment w:val="baseline"/>
    </w:pPr>
    <w:rPr>
      <w:rFonts w:ascii="Times New Roman" w:hAnsi="Times New Roman"/>
      <w:snapToGrid w:val="0"/>
      <w:sz w:val="24"/>
      <w:szCs w:val="20"/>
    </w:rPr>
  </w:style>
  <w:style w:type="paragraph" w:customStyle="1" w:styleId="N7">
    <w:name w:val="N7"/>
    <w:basedOn w:val="Normal"/>
    <w:rsid w:val="009C13A9"/>
    <w:pPr>
      <w:tabs>
        <w:tab w:val="left" w:pos="284"/>
      </w:tabs>
      <w:overflowPunct w:val="0"/>
      <w:adjustRightInd w:val="0"/>
      <w:ind w:hanging="397"/>
      <w:textAlignment w:val="baseline"/>
    </w:pPr>
    <w:rPr>
      <w:rFonts w:ascii="Times New Roman" w:hAnsi="Times New Roman"/>
      <w:snapToGrid w:val="0"/>
      <w:szCs w:val="20"/>
    </w:rPr>
  </w:style>
  <w:style w:type="table" w:customStyle="1" w:styleId="Grilledutableau11">
    <w:name w:val="Grille du tableau11"/>
    <w:basedOn w:val="TableNormal"/>
    <w:next w:val="TableGrid"/>
    <w:rsid w:val="009C13A9"/>
    <w:pPr>
      <w:overflowPunct w:val="0"/>
      <w:autoSpaceDE w:val="0"/>
      <w:autoSpaceDN w:val="0"/>
      <w:adjustRightInd w:val="0"/>
      <w:spacing w:line="240" w:lineRule="exact"/>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_"/>
    <w:basedOn w:val="BodyTextIndent2"/>
    <w:rsid w:val="009C13A9"/>
    <w:pPr>
      <w:tabs>
        <w:tab w:val="left" w:pos="426"/>
      </w:tabs>
      <w:spacing w:after="0" w:line="240" w:lineRule="atLeast"/>
      <w:ind w:left="426" w:hanging="426"/>
      <w:jc w:val="both"/>
    </w:pPr>
    <w:rPr>
      <w:rFonts w:ascii="Arial" w:hAnsi="Arial" w:cs="Arial"/>
      <w:sz w:val="20"/>
      <w:szCs w:val="20"/>
    </w:rPr>
  </w:style>
  <w:style w:type="paragraph" w:styleId="BodyTextIndent2">
    <w:name w:val="Body Text Indent 2"/>
    <w:basedOn w:val="Normal"/>
    <w:link w:val="BodyTextIndent2Char"/>
    <w:rsid w:val="009C13A9"/>
    <w:pPr>
      <w:spacing w:after="120" w:line="480" w:lineRule="auto"/>
      <w:ind w:left="283"/>
    </w:pPr>
    <w:rPr>
      <w:rFonts w:ascii="Times New Roman" w:hAnsi="Times New Roman"/>
      <w:snapToGrid w:val="0"/>
      <w:sz w:val="24"/>
      <w:lang w:val="cs-CZ"/>
    </w:rPr>
  </w:style>
  <w:style w:type="character" w:customStyle="1" w:styleId="BodyTextIndent2Char">
    <w:name w:val="Body Text Indent 2 Char"/>
    <w:link w:val="BodyTextIndent2"/>
    <w:rsid w:val="009C13A9"/>
    <w:rPr>
      <w:rFonts w:ascii="Times New Roman" w:hAnsi="Times New Roman"/>
      <w:snapToGrid w:val="0"/>
      <w:sz w:val="24"/>
      <w:szCs w:val="24"/>
      <w:lang w:val="cs-CZ"/>
    </w:rPr>
  </w:style>
  <w:style w:type="paragraph" w:styleId="Title">
    <w:name w:val="Title"/>
    <w:basedOn w:val="Normal"/>
    <w:link w:val="TitleChar"/>
    <w:qFormat/>
    <w:rsid w:val="009C13A9"/>
    <w:pPr>
      <w:jc w:val="center"/>
    </w:pPr>
    <w:rPr>
      <w:b/>
      <w:bCs/>
      <w:snapToGrid w:val="0"/>
      <w:lang w:val="cs-CZ"/>
    </w:rPr>
  </w:style>
  <w:style w:type="character" w:customStyle="1" w:styleId="TitleChar">
    <w:name w:val="Title Char"/>
    <w:link w:val="Title"/>
    <w:rsid w:val="009C13A9"/>
    <w:rPr>
      <w:rFonts w:ascii="Arial" w:hAnsi="Arial"/>
      <w:b/>
      <w:bCs/>
      <w:snapToGrid w:val="0"/>
      <w:sz w:val="22"/>
      <w:szCs w:val="22"/>
      <w:lang w:val="cs-CZ"/>
    </w:rPr>
  </w:style>
  <w:style w:type="paragraph" w:customStyle="1" w:styleId="bijschrift">
    <w:name w:val="bijschrift"/>
    <w:basedOn w:val="Normal"/>
    <w:rsid w:val="009C13A9"/>
    <w:pPr>
      <w:widowControl w:val="0"/>
      <w:overflowPunct w:val="0"/>
      <w:adjustRightInd w:val="0"/>
      <w:textAlignment w:val="baseline"/>
    </w:pPr>
    <w:rPr>
      <w:rFonts w:ascii="Times New Roman" w:hAnsi="Times New Roman"/>
      <w:snapToGrid w:val="0"/>
      <w:sz w:val="24"/>
      <w:lang w:val="cs-CZ"/>
    </w:rPr>
  </w:style>
  <w:style w:type="paragraph" w:customStyle="1" w:styleId="TNRa0">
    <w:name w:val="TNRa"/>
    <w:basedOn w:val="TNR1"/>
    <w:rsid w:val="009C13A9"/>
    <w:pPr>
      <w:widowControl w:val="0"/>
      <w:tabs>
        <w:tab w:val="clear" w:pos="284"/>
        <w:tab w:val="clear" w:pos="454"/>
        <w:tab w:val="clear" w:pos="680"/>
        <w:tab w:val="clear" w:pos="907"/>
      </w:tabs>
      <w:ind w:left="284"/>
    </w:pPr>
    <w:rPr>
      <w:snapToGrid w:val="0"/>
      <w:szCs w:val="24"/>
      <w:lang w:val="cs-CZ"/>
    </w:rPr>
  </w:style>
  <w:style w:type="paragraph" w:customStyle="1" w:styleId="abstab">
    <w:name w:val="abstab"/>
    <w:basedOn w:val="Normal"/>
    <w:rsid w:val="009C13A9"/>
    <w:pPr>
      <w:overflowPunct w:val="0"/>
      <w:adjustRightInd w:val="0"/>
      <w:textAlignment w:val="baseline"/>
    </w:pPr>
    <w:rPr>
      <w:rFonts w:ascii="CG Times" w:hAnsi="CG Times" w:cs="CG Times"/>
      <w:snapToGrid w:val="0"/>
      <w:sz w:val="16"/>
      <w:szCs w:val="16"/>
      <w:lang w:val="cs-CZ"/>
    </w:rPr>
  </w:style>
  <w:style w:type="character" w:customStyle="1" w:styleId="DONOTTRANSLATE">
    <w:name w:val="DO_NOT_TRANSLATE"/>
    <w:rsid w:val="009C13A9"/>
    <w:rPr>
      <w:rFonts w:ascii="Courier New" w:hAnsi="Courier New" w:cs="Courier New"/>
      <w:noProof/>
      <w:color w:val="800000"/>
    </w:rPr>
  </w:style>
  <w:style w:type="paragraph" w:customStyle="1" w:styleId="Brieftext11">
    <w:name w:val="Brieftext_11"/>
    <w:basedOn w:val="Normal"/>
    <w:rsid w:val="009C13A9"/>
    <w:pPr>
      <w:widowControl w:val="0"/>
      <w:spacing w:line="360" w:lineRule="auto"/>
    </w:pPr>
    <w:rPr>
      <w:rFonts w:ascii="Times New Roman" w:hAnsi="Times New Roman"/>
      <w:snapToGrid w:val="0"/>
      <w:sz w:val="24"/>
      <w:lang w:val="cs-CZ"/>
    </w:rPr>
  </w:style>
  <w:style w:type="paragraph" w:customStyle="1" w:styleId="Res1">
    <w:name w:val="Res_1"/>
    <w:basedOn w:val="Normal"/>
    <w:rsid w:val="009C13A9"/>
    <w:pPr>
      <w:overflowPunct w:val="0"/>
      <w:adjustRightInd w:val="0"/>
      <w:spacing w:line="240" w:lineRule="exact"/>
      <w:textAlignment w:val="baseline"/>
    </w:pPr>
    <w:rPr>
      <w:rFonts w:cs="Arial"/>
      <w:i/>
      <w:iCs/>
      <w:snapToGrid w:val="0"/>
      <w:lang w:val="cs-CZ"/>
    </w:rPr>
  </w:style>
  <w:style w:type="paragraph" w:customStyle="1" w:styleId="Res1texttmnr">
    <w:name w:val="Res_1_text_tmnr"/>
    <w:basedOn w:val="Normal"/>
    <w:rsid w:val="009C13A9"/>
    <w:pPr>
      <w:tabs>
        <w:tab w:val="left" w:pos="851"/>
      </w:tabs>
      <w:overflowPunct w:val="0"/>
      <w:adjustRightInd w:val="0"/>
      <w:spacing w:line="240" w:lineRule="atLeast"/>
      <w:ind w:left="850"/>
      <w:textAlignment w:val="baseline"/>
    </w:pPr>
    <w:rPr>
      <w:rFonts w:ascii="Times New Roman" w:hAnsi="Times New Roman"/>
      <w:snapToGrid w:val="0"/>
      <w:sz w:val="24"/>
      <w:lang w:val="cs-CZ"/>
    </w:rPr>
  </w:style>
  <w:style w:type="paragraph" w:customStyle="1" w:styleId="Liege">
    <w:name w:val="Liege"/>
    <w:basedOn w:val="Res1texttmnr"/>
    <w:rsid w:val="009C13A9"/>
    <w:pPr>
      <w:ind w:left="1134"/>
    </w:pPr>
  </w:style>
  <w:style w:type="paragraph" w:customStyle="1" w:styleId="10">
    <w:name w:val="1"/>
    <w:rsid w:val="009C13A9"/>
    <w:pPr>
      <w:tabs>
        <w:tab w:val="left" w:pos="454"/>
      </w:tabs>
      <w:overflowPunct w:val="0"/>
      <w:autoSpaceDE w:val="0"/>
      <w:autoSpaceDN w:val="0"/>
      <w:adjustRightInd w:val="0"/>
      <w:spacing w:line="240" w:lineRule="exact"/>
      <w:ind w:left="454" w:hanging="454"/>
      <w:textAlignment w:val="baseline"/>
    </w:pPr>
    <w:rPr>
      <w:rFonts w:ascii="Times New Roman" w:hAnsi="Times New Roman"/>
      <w:sz w:val="24"/>
      <w:szCs w:val="24"/>
    </w:rPr>
  </w:style>
  <w:style w:type="paragraph" w:customStyle="1" w:styleId="3">
    <w:name w:val="3"/>
    <w:rsid w:val="009C13A9"/>
    <w:pPr>
      <w:tabs>
        <w:tab w:val="left" w:pos="680"/>
      </w:tabs>
      <w:overflowPunct w:val="0"/>
      <w:autoSpaceDE w:val="0"/>
      <w:autoSpaceDN w:val="0"/>
      <w:adjustRightInd w:val="0"/>
      <w:spacing w:line="240" w:lineRule="exact"/>
      <w:ind w:left="680" w:hanging="680"/>
      <w:textAlignment w:val="baseline"/>
    </w:pPr>
    <w:rPr>
      <w:rFonts w:ascii="Times New Roman" w:hAnsi="Times New Roman"/>
      <w:sz w:val="24"/>
      <w:szCs w:val="24"/>
    </w:rPr>
  </w:style>
  <w:style w:type="paragraph" w:customStyle="1" w:styleId="4">
    <w:name w:val="4"/>
    <w:rsid w:val="009C13A9"/>
    <w:pPr>
      <w:tabs>
        <w:tab w:val="left" w:pos="907"/>
      </w:tabs>
      <w:overflowPunct w:val="0"/>
      <w:autoSpaceDE w:val="0"/>
      <w:autoSpaceDN w:val="0"/>
      <w:adjustRightInd w:val="0"/>
      <w:spacing w:line="240" w:lineRule="exact"/>
      <w:ind w:left="907" w:hanging="907"/>
      <w:textAlignment w:val="baseline"/>
    </w:pPr>
    <w:rPr>
      <w:rFonts w:ascii="Times New Roman" w:hAnsi="Times New Roman"/>
      <w:sz w:val="24"/>
      <w:szCs w:val="24"/>
    </w:rPr>
  </w:style>
  <w:style w:type="paragraph" w:customStyle="1" w:styleId="5">
    <w:name w:val="5"/>
    <w:rsid w:val="009C13A9"/>
    <w:pPr>
      <w:tabs>
        <w:tab w:val="left" w:pos="1134"/>
      </w:tabs>
      <w:overflowPunct w:val="0"/>
      <w:autoSpaceDE w:val="0"/>
      <w:autoSpaceDN w:val="0"/>
      <w:adjustRightInd w:val="0"/>
      <w:spacing w:line="240" w:lineRule="exact"/>
      <w:ind w:left="1134" w:hanging="1134"/>
      <w:textAlignment w:val="baseline"/>
    </w:pPr>
    <w:rPr>
      <w:rFonts w:ascii="Times New Roman" w:hAnsi="Times New Roman"/>
      <w:sz w:val="24"/>
      <w:szCs w:val="24"/>
    </w:rPr>
  </w:style>
  <w:style w:type="paragraph" w:customStyle="1" w:styleId="6">
    <w:name w:val="6"/>
    <w:rsid w:val="009C13A9"/>
    <w:pPr>
      <w:tabs>
        <w:tab w:val="left" w:pos="284"/>
      </w:tabs>
      <w:overflowPunct w:val="0"/>
      <w:autoSpaceDE w:val="0"/>
      <w:autoSpaceDN w:val="0"/>
      <w:adjustRightInd w:val="0"/>
      <w:spacing w:line="240" w:lineRule="exact"/>
      <w:ind w:left="284" w:hanging="284"/>
      <w:textAlignment w:val="baseline"/>
    </w:pPr>
    <w:rPr>
      <w:rFonts w:ascii="Times New Roman" w:hAnsi="Times New Roman"/>
      <w:sz w:val="24"/>
      <w:szCs w:val="24"/>
    </w:rPr>
  </w:style>
  <w:style w:type="paragraph" w:customStyle="1" w:styleId="7">
    <w:name w:val="7"/>
    <w:rsid w:val="009C13A9"/>
    <w:pPr>
      <w:tabs>
        <w:tab w:val="left" w:pos="454"/>
        <w:tab w:val="left" w:pos="907"/>
      </w:tabs>
      <w:overflowPunct w:val="0"/>
      <w:autoSpaceDE w:val="0"/>
      <w:autoSpaceDN w:val="0"/>
      <w:adjustRightInd w:val="0"/>
      <w:spacing w:line="240" w:lineRule="exact"/>
      <w:ind w:left="907" w:hanging="454"/>
      <w:textAlignment w:val="baseline"/>
    </w:pPr>
    <w:rPr>
      <w:rFonts w:ascii="Times New Roman" w:hAnsi="Times New Roman"/>
      <w:sz w:val="24"/>
      <w:szCs w:val="24"/>
    </w:rPr>
  </w:style>
  <w:style w:type="paragraph" w:customStyle="1" w:styleId="8">
    <w:name w:val="8"/>
    <w:rsid w:val="009C13A9"/>
    <w:pPr>
      <w:tabs>
        <w:tab w:val="left" w:pos="907"/>
        <w:tab w:val="left" w:pos="1361"/>
      </w:tabs>
      <w:overflowPunct w:val="0"/>
      <w:autoSpaceDE w:val="0"/>
      <w:autoSpaceDN w:val="0"/>
      <w:adjustRightInd w:val="0"/>
      <w:spacing w:line="240" w:lineRule="exact"/>
      <w:ind w:left="1361" w:hanging="454"/>
      <w:textAlignment w:val="baseline"/>
    </w:pPr>
    <w:rPr>
      <w:rFonts w:ascii="Times New Roman" w:hAnsi="Times New Roman"/>
      <w:sz w:val="24"/>
      <w:szCs w:val="24"/>
    </w:rPr>
  </w:style>
  <w:style w:type="paragraph" w:customStyle="1" w:styleId="Paragraphe11">
    <w:name w:val="Paragraphe 11"/>
    <w:rsid w:val="009C13A9"/>
    <w:pPr>
      <w:tabs>
        <w:tab w:val="left" w:pos="454"/>
      </w:tabs>
      <w:overflowPunct w:val="0"/>
      <w:autoSpaceDE w:val="0"/>
      <w:autoSpaceDN w:val="0"/>
      <w:adjustRightInd w:val="0"/>
      <w:spacing w:line="240" w:lineRule="exact"/>
      <w:ind w:left="454" w:hanging="454"/>
      <w:textAlignment w:val="baseline"/>
    </w:pPr>
    <w:rPr>
      <w:rFonts w:ascii="Times New Roman" w:hAnsi="Times New Roman"/>
      <w:sz w:val="24"/>
      <w:szCs w:val="24"/>
    </w:rPr>
  </w:style>
  <w:style w:type="paragraph" w:customStyle="1" w:styleId="Paragraphe12">
    <w:name w:val="Paragraphe 12"/>
    <w:rsid w:val="009C13A9"/>
    <w:pPr>
      <w:tabs>
        <w:tab w:val="left" w:pos="454"/>
      </w:tabs>
      <w:overflowPunct w:val="0"/>
      <w:autoSpaceDE w:val="0"/>
      <w:autoSpaceDN w:val="0"/>
      <w:adjustRightInd w:val="0"/>
      <w:spacing w:line="240" w:lineRule="exact"/>
      <w:ind w:left="454" w:hanging="454"/>
      <w:textAlignment w:val="baseline"/>
    </w:pPr>
    <w:rPr>
      <w:rFonts w:ascii="Times New Roman" w:hAnsi="Times New Roman"/>
      <w:sz w:val="24"/>
      <w:szCs w:val="24"/>
    </w:rPr>
  </w:style>
  <w:style w:type="paragraph" w:customStyle="1" w:styleId="I1">
    <w:name w:val="I1"/>
    <w:rsid w:val="009C13A9"/>
    <w:pPr>
      <w:tabs>
        <w:tab w:val="left" w:pos="57"/>
        <w:tab w:val="left" w:pos="1077"/>
      </w:tabs>
      <w:overflowPunct w:val="0"/>
      <w:autoSpaceDE w:val="0"/>
      <w:autoSpaceDN w:val="0"/>
      <w:adjustRightInd w:val="0"/>
      <w:spacing w:line="240" w:lineRule="exact"/>
      <w:ind w:left="1077" w:hanging="340"/>
      <w:textAlignment w:val="baseline"/>
    </w:pPr>
    <w:rPr>
      <w:rFonts w:ascii="Times New Roman" w:hAnsi="Times New Roman"/>
      <w:sz w:val="24"/>
      <w:szCs w:val="24"/>
    </w:rPr>
  </w:style>
  <w:style w:type="paragraph" w:customStyle="1" w:styleId="I2">
    <w:name w:val="I2"/>
    <w:rsid w:val="009C13A9"/>
    <w:pPr>
      <w:tabs>
        <w:tab w:val="left" w:pos="1077"/>
      </w:tabs>
      <w:overflowPunct w:val="0"/>
      <w:autoSpaceDE w:val="0"/>
      <w:autoSpaceDN w:val="0"/>
      <w:adjustRightInd w:val="0"/>
      <w:spacing w:line="240" w:lineRule="exact"/>
      <w:ind w:left="1077" w:hanging="454"/>
      <w:textAlignment w:val="baseline"/>
    </w:pPr>
    <w:rPr>
      <w:rFonts w:ascii="Times New Roman" w:hAnsi="Times New Roman"/>
      <w:sz w:val="24"/>
      <w:szCs w:val="24"/>
    </w:rPr>
  </w:style>
  <w:style w:type="paragraph" w:customStyle="1" w:styleId="I3">
    <w:name w:val="I3"/>
    <w:rsid w:val="009C13A9"/>
    <w:pPr>
      <w:tabs>
        <w:tab w:val="left" w:pos="1077"/>
      </w:tabs>
      <w:overflowPunct w:val="0"/>
      <w:autoSpaceDE w:val="0"/>
      <w:autoSpaceDN w:val="0"/>
      <w:adjustRightInd w:val="0"/>
      <w:spacing w:line="240" w:lineRule="exact"/>
      <w:ind w:left="1077" w:hanging="510"/>
      <w:textAlignment w:val="baseline"/>
    </w:pPr>
    <w:rPr>
      <w:rFonts w:ascii="Times New Roman" w:hAnsi="Times New Roman"/>
      <w:sz w:val="24"/>
      <w:szCs w:val="24"/>
    </w:rPr>
  </w:style>
  <w:style w:type="paragraph" w:customStyle="1" w:styleId="GT">
    <w:name w:val="GT"/>
    <w:rsid w:val="009C13A9"/>
    <w:pPr>
      <w:tabs>
        <w:tab w:val="left" w:pos="1344"/>
      </w:tabs>
      <w:overflowPunct w:val="0"/>
      <w:autoSpaceDE w:val="0"/>
      <w:autoSpaceDN w:val="0"/>
      <w:adjustRightInd w:val="0"/>
      <w:spacing w:line="240" w:lineRule="exact"/>
      <w:ind w:left="1344" w:hanging="1344"/>
      <w:textAlignment w:val="baseline"/>
    </w:pPr>
    <w:rPr>
      <w:rFonts w:ascii="Times New Roman" w:hAnsi="Times New Roman"/>
      <w:sz w:val="24"/>
      <w:szCs w:val="24"/>
    </w:rPr>
  </w:style>
  <w:style w:type="paragraph" w:customStyle="1" w:styleId="GF">
    <w:name w:val="GF"/>
    <w:rsid w:val="009C13A9"/>
    <w:pPr>
      <w:tabs>
        <w:tab w:val="left" w:pos="1824"/>
      </w:tabs>
      <w:overflowPunct w:val="0"/>
      <w:autoSpaceDE w:val="0"/>
      <w:autoSpaceDN w:val="0"/>
      <w:adjustRightInd w:val="0"/>
      <w:spacing w:line="240" w:lineRule="exact"/>
      <w:ind w:left="1826" w:hanging="1826"/>
      <w:jc w:val="both"/>
      <w:textAlignment w:val="baseline"/>
    </w:pPr>
    <w:rPr>
      <w:rFonts w:ascii="Times New Roman" w:hAnsi="Times New Roman"/>
      <w:sz w:val="24"/>
      <w:szCs w:val="24"/>
    </w:rPr>
  </w:style>
  <w:style w:type="paragraph" w:customStyle="1" w:styleId="Paragraphe19">
    <w:name w:val="Paragraphe 19"/>
    <w:rsid w:val="009C13A9"/>
    <w:pPr>
      <w:tabs>
        <w:tab w:val="left" w:pos="1344"/>
        <w:tab w:val="left" w:pos="1632"/>
      </w:tabs>
      <w:overflowPunct w:val="0"/>
      <w:autoSpaceDE w:val="0"/>
      <w:autoSpaceDN w:val="0"/>
      <w:adjustRightInd w:val="0"/>
      <w:spacing w:line="300" w:lineRule="exact"/>
      <w:ind w:left="1344" w:right="38" w:hanging="576"/>
      <w:jc w:val="both"/>
      <w:textAlignment w:val="baseline"/>
    </w:pPr>
    <w:rPr>
      <w:rFonts w:ascii="Times New Roman" w:hAnsi="Times New Roman"/>
      <w:sz w:val="24"/>
      <w:szCs w:val="24"/>
    </w:rPr>
  </w:style>
  <w:style w:type="paragraph" w:customStyle="1" w:styleId="TNR7">
    <w:name w:val="TNR7"/>
    <w:basedOn w:val="TNR1"/>
    <w:rsid w:val="009C13A9"/>
    <w:pPr>
      <w:tabs>
        <w:tab w:val="clear" w:pos="907"/>
        <w:tab w:val="left" w:pos="-284"/>
        <w:tab w:val="left" w:pos="1021"/>
      </w:tabs>
      <w:spacing w:line="240" w:lineRule="exact"/>
      <w:ind w:hanging="397"/>
    </w:pPr>
    <w:rPr>
      <w:szCs w:val="24"/>
    </w:rPr>
  </w:style>
  <w:style w:type="paragraph" w:customStyle="1" w:styleId="a">
    <w:name w:val="a_"/>
    <w:basedOn w:val="BodyTextIndent2"/>
    <w:rsid w:val="009C13A9"/>
    <w:pPr>
      <w:tabs>
        <w:tab w:val="left" w:pos="426"/>
        <w:tab w:val="left" w:pos="709"/>
      </w:tabs>
      <w:spacing w:after="0" w:line="240" w:lineRule="atLeast"/>
      <w:ind w:left="709" w:hanging="709"/>
      <w:jc w:val="both"/>
    </w:pPr>
    <w:rPr>
      <w:rFonts w:ascii="Arial" w:hAnsi="Arial" w:cs="Arial"/>
      <w:snapToGrid/>
      <w:sz w:val="20"/>
      <w:szCs w:val="20"/>
    </w:rPr>
  </w:style>
  <w:style w:type="paragraph" w:styleId="ListBullet">
    <w:name w:val="List Bullet"/>
    <w:basedOn w:val="Normal"/>
    <w:autoRedefine/>
    <w:rsid w:val="009C13A9"/>
    <w:pPr>
      <w:widowControl w:val="0"/>
      <w:tabs>
        <w:tab w:val="left" w:pos="851"/>
      </w:tabs>
      <w:spacing w:before="40"/>
      <w:ind w:left="850"/>
    </w:pPr>
    <w:rPr>
      <w:rFonts w:cs="Arial"/>
      <w:szCs w:val="20"/>
      <w:lang w:val="cs-CZ"/>
    </w:rPr>
  </w:style>
  <w:style w:type="paragraph" w:customStyle="1" w:styleId="en-ttes">
    <w:name w:val="en-têtes"/>
    <w:basedOn w:val="Header"/>
    <w:rsid w:val="009C13A9"/>
    <w:pPr>
      <w:tabs>
        <w:tab w:val="clear" w:pos="8306"/>
        <w:tab w:val="right" w:pos="851"/>
        <w:tab w:val="center" w:pos="4252"/>
        <w:tab w:val="right" w:pos="8504"/>
      </w:tabs>
      <w:overflowPunct w:val="0"/>
      <w:adjustRightInd w:val="0"/>
      <w:ind w:hanging="397"/>
      <w:jc w:val="center"/>
      <w:textAlignment w:val="baseline"/>
    </w:pPr>
    <w:rPr>
      <w:rFonts w:ascii="Times New Roman" w:hAnsi="Times New Roman"/>
    </w:rPr>
  </w:style>
  <w:style w:type="paragraph" w:customStyle="1" w:styleId="N5">
    <w:name w:val="N5"/>
    <w:basedOn w:val="Normal"/>
    <w:rsid w:val="009C13A9"/>
    <w:pPr>
      <w:tabs>
        <w:tab w:val="left" w:pos="284"/>
      </w:tabs>
      <w:overflowPunct w:val="0"/>
      <w:adjustRightInd w:val="0"/>
      <w:textAlignment w:val="baseline"/>
    </w:pPr>
    <w:rPr>
      <w:rFonts w:ascii="Times New Roman" w:hAnsi="Times New Roman"/>
    </w:rPr>
  </w:style>
  <w:style w:type="paragraph" w:customStyle="1" w:styleId="N6">
    <w:name w:val="N6"/>
    <w:basedOn w:val="N5"/>
    <w:rsid w:val="009C13A9"/>
    <w:pPr>
      <w:tabs>
        <w:tab w:val="left" w:pos="794"/>
        <w:tab w:val="left" w:pos="1191"/>
        <w:tab w:val="left" w:leader="dot" w:pos="7371"/>
      </w:tabs>
    </w:pPr>
  </w:style>
  <w:style w:type="paragraph" w:customStyle="1" w:styleId="N8">
    <w:name w:val="N8"/>
    <w:basedOn w:val="N7"/>
    <w:rsid w:val="009C13A9"/>
    <w:pPr>
      <w:ind w:firstLine="0"/>
      <w:jc w:val="center"/>
    </w:pPr>
    <w:rPr>
      <w:snapToGrid/>
      <w:sz w:val="20"/>
    </w:rPr>
  </w:style>
  <w:style w:type="paragraph" w:customStyle="1" w:styleId="T1">
    <w:name w:val="T1"/>
    <w:basedOn w:val="Normal"/>
    <w:rsid w:val="009C13A9"/>
    <w:pPr>
      <w:tabs>
        <w:tab w:val="left" w:pos="425"/>
      </w:tabs>
      <w:overflowPunct w:val="0"/>
      <w:adjustRightInd w:val="0"/>
      <w:spacing w:line="240" w:lineRule="atLeast"/>
      <w:textAlignment w:val="baseline"/>
    </w:pPr>
    <w:rPr>
      <w:rFonts w:ascii="Times New Roman" w:hAnsi="Times New Roman"/>
      <w:sz w:val="24"/>
      <w:lang w:val="cs-CZ"/>
    </w:rPr>
  </w:style>
  <w:style w:type="paragraph" w:customStyle="1" w:styleId="Style1">
    <w:name w:val="Style1"/>
    <w:basedOn w:val="T1"/>
    <w:rsid w:val="009C13A9"/>
    <w:pPr>
      <w:tabs>
        <w:tab w:val="left" w:pos="851"/>
      </w:tabs>
      <w:spacing w:before="80"/>
      <w:ind w:left="850"/>
    </w:pPr>
  </w:style>
  <w:style w:type="paragraph" w:customStyle="1" w:styleId="T1a">
    <w:name w:val="T1a"/>
    <w:basedOn w:val="T1"/>
    <w:next w:val="Style1"/>
    <w:rsid w:val="009C13A9"/>
    <w:pPr>
      <w:tabs>
        <w:tab w:val="left" w:pos="851"/>
      </w:tabs>
      <w:spacing w:before="80"/>
      <w:ind w:left="850"/>
    </w:pPr>
  </w:style>
  <w:style w:type="paragraph" w:customStyle="1" w:styleId="To">
    <w:name w:val="To"/>
    <w:basedOn w:val="Normal"/>
    <w:rsid w:val="009C13A9"/>
    <w:pPr>
      <w:overflowPunct w:val="0"/>
      <w:adjustRightInd w:val="0"/>
      <w:spacing w:line="240" w:lineRule="atLeast"/>
      <w:textAlignment w:val="baseline"/>
    </w:pPr>
    <w:rPr>
      <w:rFonts w:ascii="Times New Roman" w:hAnsi="Times New Roman"/>
      <w:sz w:val="24"/>
      <w:lang w:val="cs-CZ"/>
    </w:rPr>
  </w:style>
  <w:style w:type="paragraph" w:styleId="BlockText">
    <w:name w:val="Block Text"/>
    <w:basedOn w:val="Normal"/>
    <w:rsid w:val="009C13A9"/>
    <w:pPr>
      <w:pBdr>
        <w:top w:val="double" w:sz="6" w:space="3" w:color="auto"/>
        <w:left w:val="double" w:sz="6" w:space="3" w:color="auto"/>
        <w:bottom w:val="double" w:sz="6" w:space="3" w:color="auto"/>
        <w:right w:val="double" w:sz="6" w:space="3" w:color="auto"/>
      </w:pBdr>
      <w:shd w:val="pct10" w:color="auto" w:fill="auto"/>
      <w:overflowPunct w:val="0"/>
      <w:adjustRightInd w:val="0"/>
      <w:ind w:left="2410" w:right="2125"/>
      <w:jc w:val="center"/>
    </w:pPr>
    <w:rPr>
      <w:rFonts w:cs="Arial"/>
      <w:b/>
      <w:bCs/>
      <w:lang w:val="cs-CZ"/>
    </w:rPr>
  </w:style>
  <w:style w:type="paragraph" w:customStyle="1" w:styleId="c1">
    <w:name w:val="c1"/>
    <w:basedOn w:val="Normal"/>
    <w:rsid w:val="009C13A9"/>
    <w:pPr>
      <w:spacing w:line="240" w:lineRule="atLeast"/>
      <w:jc w:val="center"/>
    </w:pPr>
    <w:rPr>
      <w:rFonts w:ascii="Times New Roman" w:hAnsi="Times New Roman"/>
      <w:sz w:val="24"/>
      <w:lang w:val="cs-CZ"/>
    </w:rPr>
  </w:style>
  <w:style w:type="paragraph" w:customStyle="1" w:styleId="Brieftext10">
    <w:name w:val="Brieftext_10"/>
    <w:basedOn w:val="Normal"/>
    <w:rsid w:val="009C13A9"/>
    <w:pPr>
      <w:widowControl w:val="0"/>
      <w:suppressAutoHyphens/>
      <w:spacing w:line="360" w:lineRule="auto"/>
    </w:pPr>
    <w:rPr>
      <w:rFonts w:ascii="Times New Roman" w:hAnsi="Times New Roman"/>
      <w:szCs w:val="20"/>
      <w:lang w:val="cs-CZ"/>
    </w:rPr>
  </w:style>
  <w:style w:type="paragraph" w:customStyle="1" w:styleId="Retraitcorpsdetexte21">
    <w:name w:val="Retrait corps de texte 21"/>
    <w:basedOn w:val="Normal"/>
    <w:rsid w:val="009C13A9"/>
    <w:pPr>
      <w:tabs>
        <w:tab w:val="left" w:pos="1418"/>
      </w:tabs>
      <w:suppressAutoHyphens/>
      <w:spacing w:before="120"/>
      <w:ind w:left="1418" w:hanging="1418"/>
    </w:pPr>
    <w:rPr>
      <w:rFonts w:ascii="Times New Roman" w:hAnsi="Times New Roman"/>
      <w:snapToGrid w:val="0"/>
      <w:szCs w:val="20"/>
      <w:lang w:val="cs-CZ"/>
    </w:rPr>
  </w:style>
  <w:style w:type="paragraph" w:customStyle="1" w:styleId="N10">
    <w:name w:val="N10"/>
    <w:basedOn w:val="Normal"/>
    <w:rsid w:val="009C13A9"/>
    <w:pPr>
      <w:tabs>
        <w:tab w:val="left" w:pos="284"/>
        <w:tab w:val="left" w:pos="567"/>
        <w:tab w:val="left" w:pos="680"/>
        <w:tab w:val="left" w:pos="1021"/>
      </w:tabs>
      <w:overflowPunct w:val="0"/>
      <w:adjustRightInd w:val="0"/>
      <w:ind w:left="568" w:hanging="284"/>
      <w:textAlignment w:val="baseline"/>
    </w:pPr>
    <w:rPr>
      <w:rFonts w:ascii="Tms Rmn" w:hAnsi="Tms Rmn" w:cs="Tms Rmn"/>
      <w:snapToGrid w:val="0"/>
    </w:rPr>
  </w:style>
  <w:style w:type="paragraph" w:customStyle="1" w:styleId="titr1">
    <w:name w:val="titr1"/>
    <w:basedOn w:val="BodyTextIndent"/>
    <w:rsid w:val="009C13A9"/>
    <w:pPr>
      <w:tabs>
        <w:tab w:val="left" w:pos="425"/>
      </w:tabs>
      <w:spacing w:after="0" w:line="240" w:lineRule="atLeast"/>
      <w:ind w:left="425"/>
      <w:outlineLvl w:val="0"/>
    </w:pPr>
    <w:rPr>
      <w:rFonts w:cs="Arial"/>
      <w:b/>
      <w:bCs/>
      <w:snapToGrid w:val="0"/>
    </w:rPr>
  </w:style>
  <w:style w:type="paragraph" w:customStyle="1" w:styleId="Titra">
    <w:name w:val="Titr_a"/>
    <w:basedOn w:val="BodyTextIndent"/>
    <w:rsid w:val="009C13A9"/>
    <w:pPr>
      <w:tabs>
        <w:tab w:val="left" w:pos="851"/>
      </w:tabs>
      <w:spacing w:after="0" w:line="240" w:lineRule="atLeast"/>
      <w:ind w:left="850"/>
      <w:outlineLvl w:val="0"/>
    </w:pPr>
    <w:rPr>
      <w:rFonts w:cs="Arial"/>
      <w:snapToGrid w:val="0"/>
      <w:szCs w:val="20"/>
    </w:rPr>
  </w:style>
  <w:style w:type="paragraph" w:customStyle="1" w:styleId="Titrtiret">
    <w:name w:val="Titr_tiret"/>
    <w:basedOn w:val="BodyTextIndent"/>
    <w:rsid w:val="009C13A9"/>
    <w:pPr>
      <w:tabs>
        <w:tab w:val="left" w:pos="1276"/>
      </w:tabs>
      <w:spacing w:before="80" w:after="0" w:line="240" w:lineRule="atLeast"/>
      <w:ind w:left="1276"/>
    </w:pPr>
    <w:rPr>
      <w:rFonts w:cs="Arial"/>
      <w:snapToGrid w:val="0"/>
      <w:szCs w:val="20"/>
    </w:rPr>
  </w:style>
  <w:style w:type="paragraph" w:customStyle="1" w:styleId="Taa">
    <w:name w:val="Taa"/>
    <w:basedOn w:val="Normal"/>
    <w:rsid w:val="009C13A9"/>
    <w:pPr>
      <w:tabs>
        <w:tab w:val="left" w:pos="1276"/>
      </w:tabs>
      <w:overflowPunct w:val="0"/>
      <w:adjustRightInd w:val="0"/>
      <w:spacing w:line="240" w:lineRule="exact"/>
      <w:ind w:left="1276"/>
      <w:textAlignment w:val="baseline"/>
    </w:pPr>
    <w:rPr>
      <w:rFonts w:ascii="Times New Roman" w:hAnsi="Times New Roman"/>
      <w:sz w:val="24"/>
      <w:lang w:val="cs-CZ"/>
    </w:rPr>
  </w:style>
  <w:style w:type="paragraph" w:customStyle="1" w:styleId="Ta">
    <w:name w:val="Ta"/>
    <w:basedOn w:val="Normal"/>
    <w:rsid w:val="009C13A9"/>
    <w:pPr>
      <w:tabs>
        <w:tab w:val="left" w:pos="851"/>
      </w:tabs>
      <w:spacing w:line="240" w:lineRule="atLeast"/>
      <w:ind w:left="850"/>
    </w:pPr>
    <w:rPr>
      <w:rFonts w:cs="Arial"/>
      <w:i/>
      <w:iCs/>
      <w:lang w:val="cs-CZ"/>
    </w:rPr>
  </w:style>
  <w:style w:type="paragraph" w:customStyle="1" w:styleId="Annex2Artikel">
    <w:name w:val="Annex2_Artikel"/>
    <w:basedOn w:val="Normal"/>
    <w:rsid w:val="009C13A9"/>
    <w:pPr>
      <w:widowControl w:val="0"/>
      <w:tabs>
        <w:tab w:val="left" w:pos="454"/>
        <w:tab w:val="left" w:pos="907"/>
        <w:tab w:val="left" w:pos="1361"/>
        <w:tab w:val="left" w:pos="1814"/>
      </w:tabs>
      <w:overflowPunct w:val="0"/>
      <w:adjustRightInd w:val="0"/>
      <w:spacing w:before="480" w:line="240" w:lineRule="exact"/>
      <w:jc w:val="center"/>
      <w:textAlignment w:val="baseline"/>
    </w:pPr>
    <w:rPr>
      <w:rFonts w:ascii="Times New Roman" w:hAnsi="Times New Roman"/>
      <w:b/>
      <w:bCs/>
      <w:sz w:val="24"/>
      <w:lang w:val="cs-CZ"/>
    </w:rPr>
  </w:style>
  <w:style w:type="paragraph" w:customStyle="1" w:styleId="Annex2Artikelberschrift">
    <w:name w:val="Annex2_Artikel_Überschrift"/>
    <w:basedOn w:val="Normal"/>
    <w:rsid w:val="009C13A9"/>
    <w:pPr>
      <w:widowControl w:val="0"/>
      <w:tabs>
        <w:tab w:val="left" w:pos="454"/>
        <w:tab w:val="left" w:pos="907"/>
        <w:tab w:val="left" w:pos="1361"/>
        <w:tab w:val="left" w:pos="1814"/>
      </w:tabs>
      <w:overflowPunct w:val="0"/>
      <w:adjustRightInd w:val="0"/>
      <w:spacing w:before="240" w:line="240" w:lineRule="exact"/>
      <w:jc w:val="center"/>
      <w:textAlignment w:val="baseline"/>
    </w:pPr>
    <w:rPr>
      <w:rFonts w:ascii="Times New Roman" w:hAnsi="Times New Roman"/>
      <w:i/>
      <w:iCs/>
      <w:sz w:val="24"/>
      <w:lang w:val="cs-CZ"/>
    </w:rPr>
  </w:style>
  <w:style w:type="paragraph" w:customStyle="1" w:styleId="T1fr">
    <w:name w:val="T1fr"/>
    <w:basedOn w:val="T1"/>
    <w:rsid w:val="009C13A9"/>
    <w:pPr>
      <w:tabs>
        <w:tab w:val="clear" w:pos="425"/>
        <w:tab w:val="left" w:pos="851"/>
      </w:tabs>
      <w:overflowPunct/>
      <w:adjustRightInd/>
      <w:ind w:left="850"/>
      <w:textAlignment w:val="auto"/>
    </w:pPr>
  </w:style>
  <w:style w:type="paragraph" w:customStyle="1" w:styleId="Tafr">
    <w:name w:val="Ta_fr"/>
    <w:basedOn w:val="T1"/>
    <w:rsid w:val="009C13A9"/>
    <w:pPr>
      <w:tabs>
        <w:tab w:val="clear" w:pos="425"/>
        <w:tab w:val="left" w:pos="851"/>
      </w:tabs>
      <w:overflowPunct/>
      <w:adjustRightInd/>
      <w:spacing w:before="60"/>
      <w:ind w:left="1276"/>
      <w:textAlignment w:val="auto"/>
    </w:pPr>
  </w:style>
  <w:style w:type="paragraph" w:customStyle="1" w:styleId="T1n">
    <w:name w:val="T1n"/>
    <w:basedOn w:val="T1"/>
    <w:rsid w:val="009C13A9"/>
    <w:pPr>
      <w:tabs>
        <w:tab w:val="clear" w:pos="425"/>
        <w:tab w:val="left" w:pos="851"/>
      </w:tabs>
      <w:ind w:left="850"/>
    </w:pPr>
  </w:style>
  <w:style w:type="paragraph" w:customStyle="1" w:styleId="T1gr">
    <w:name w:val="T_1gr"/>
    <w:basedOn w:val="Normal"/>
    <w:rsid w:val="009C13A9"/>
    <w:pPr>
      <w:tabs>
        <w:tab w:val="left" w:pos="567"/>
      </w:tabs>
      <w:spacing w:line="240" w:lineRule="atLeast"/>
      <w:ind w:left="567" w:hanging="567"/>
    </w:pPr>
    <w:rPr>
      <w:rFonts w:cs="Arial"/>
      <w:b/>
      <w:bCs/>
      <w:snapToGrid w:val="0"/>
      <w:szCs w:val="20"/>
    </w:rPr>
  </w:style>
  <w:style w:type="paragraph" w:customStyle="1" w:styleId="T1rent">
    <w:name w:val="T_1rent"/>
    <w:basedOn w:val="Normal"/>
    <w:rsid w:val="009C13A9"/>
    <w:pPr>
      <w:spacing w:line="240" w:lineRule="atLeast"/>
      <w:ind w:left="567"/>
    </w:pPr>
    <w:rPr>
      <w:rFonts w:cs="Arial"/>
      <w:snapToGrid w:val="0"/>
      <w:szCs w:val="20"/>
    </w:rPr>
  </w:style>
  <w:style w:type="paragraph" w:customStyle="1" w:styleId="textetableau">
    <w:name w:val="texte tableau"/>
    <w:basedOn w:val="Normal"/>
    <w:rsid w:val="009C13A9"/>
    <w:pPr>
      <w:tabs>
        <w:tab w:val="left" w:pos="1418"/>
      </w:tabs>
      <w:spacing w:before="40" w:after="40" w:line="220" w:lineRule="exact"/>
    </w:pPr>
    <w:rPr>
      <w:bCs/>
      <w:iCs/>
      <w:szCs w:val="20"/>
    </w:rPr>
  </w:style>
  <w:style w:type="paragraph" w:customStyle="1" w:styleId="Lignedobjet">
    <w:name w:val="Ligne d'objet"/>
    <w:basedOn w:val="Normal"/>
    <w:rsid w:val="009C13A9"/>
    <w:pPr>
      <w:tabs>
        <w:tab w:val="left" w:pos="284"/>
      </w:tabs>
      <w:overflowPunct w:val="0"/>
      <w:adjustRightInd w:val="0"/>
      <w:textAlignment w:val="baseline"/>
    </w:pPr>
    <w:rPr>
      <w:szCs w:val="20"/>
    </w:rPr>
  </w:style>
  <w:style w:type="paragraph" w:styleId="NormalWeb">
    <w:name w:val="Normal (Web)"/>
    <w:basedOn w:val="Normal"/>
    <w:rsid w:val="009C13A9"/>
    <w:pPr>
      <w:spacing w:before="101" w:after="101"/>
      <w:ind w:left="453" w:right="352"/>
    </w:pPr>
    <w:rPr>
      <w:rFonts w:ascii="Times New Roman" w:eastAsia="Batang" w:hAnsi="Times New Roman"/>
      <w:sz w:val="19"/>
      <w:szCs w:val="19"/>
      <w:lang w:eastAsia="cs-CZ"/>
    </w:rPr>
  </w:style>
  <w:style w:type="paragraph" w:styleId="BodyText2">
    <w:name w:val="Body Text 2"/>
    <w:basedOn w:val="Normal"/>
    <w:link w:val="BodyText2Char"/>
    <w:rsid w:val="009C13A9"/>
    <w:pPr>
      <w:spacing w:after="120" w:line="480" w:lineRule="auto"/>
    </w:pPr>
    <w:rPr>
      <w:rFonts w:ascii="Times New Roman" w:hAnsi="Times New Roman"/>
      <w:snapToGrid w:val="0"/>
      <w:sz w:val="24"/>
      <w:lang w:val="cs-CZ"/>
    </w:rPr>
  </w:style>
  <w:style w:type="character" w:customStyle="1" w:styleId="BodyText2Char">
    <w:name w:val="Body Text 2 Char"/>
    <w:link w:val="BodyText2"/>
    <w:rsid w:val="009C13A9"/>
    <w:rPr>
      <w:rFonts w:ascii="Times New Roman" w:hAnsi="Times New Roman"/>
      <w:snapToGrid w:val="0"/>
      <w:sz w:val="24"/>
      <w:szCs w:val="24"/>
      <w:lang w:val="cs-CZ"/>
    </w:rPr>
  </w:style>
  <w:style w:type="paragraph" w:customStyle="1" w:styleId="Textkrper-Einzug3">
    <w:name w:val="Textkörper-Einzug 3"/>
    <w:basedOn w:val="Normal"/>
    <w:rsid w:val="009C13A9"/>
    <w:pPr>
      <w:widowControl w:val="0"/>
      <w:tabs>
        <w:tab w:val="left" w:pos="426"/>
      </w:tabs>
      <w:overflowPunct w:val="0"/>
      <w:adjustRightInd w:val="0"/>
      <w:ind w:left="426" w:hanging="426"/>
      <w:textAlignment w:val="baseline"/>
    </w:pPr>
    <w:rPr>
      <w:rFonts w:cs="Arial"/>
      <w:i/>
      <w:iCs/>
      <w:szCs w:val="20"/>
    </w:rPr>
  </w:style>
  <w:style w:type="paragraph" w:customStyle="1" w:styleId="a1">
    <w:name w:val="a1"/>
    <w:basedOn w:val="Normal"/>
    <w:rsid w:val="009C13A9"/>
    <w:pPr>
      <w:tabs>
        <w:tab w:val="left" w:pos="851"/>
      </w:tabs>
      <w:spacing w:line="240" w:lineRule="atLeast"/>
      <w:ind w:left="850"/>
    </w:pPr>
    <w:rPr>
      <w:rFonts w:ascii="Times New Roman" w:hAnsi="Times New Roman"/>
      <w:snapToGrid w:val="0"/>
      <w:sz w:val="24"/>
      <w:lang w:val="cs-CZ"/>
    </w:rPr>
  </w:style>
  <w:style w:type="paragraph" w:customStyle="1" w:styleId="1berschriftTF">
    <w:name w:val="1.Überschrift TF"/>
    <w:basedOn w:val="Normal"/>
    <w:rsid w:val="009C13A9"/>
    <w:rPr>
      <w:rFonts w:ascii="Arial Narrow" w:hAnsi="Arial Narrow"/>
      <w:snapToGrid w:val="0"/>
      <w:lang w:val="cs-CZ"/>
    </w:rPr>
  </w:style>
  <w:style w:type="paragraph" w:styleId="Subtitle">
    <w:name w:val="Subtitle"/>
    <w:basedOn w:val="Normal"/>
    <w:link w:val="SubtitleChar"/>
    <w:qFormat/>
    <w:rsid w:val="009C13A9"/>
    <w:pPr>
      <w:tabs>
        <w:tab w:val="left" w:pos="851"/>
        <w:tab w:val="left" w:pos="1560"/>
      </w:tabs>
      <w:spacing w:line="240" w:lineRule="atLeast"/>
      <w:jc w:val="center"/>
    </w:pPr>
    <w:rPr>
      <w:b/>
      <w:bCs/>
      <w:snapToGrid w:val="0"/>
      <w:sz w:val="28"/>
      <w:lang w:val="cs-CZ"/>
    </w:rPr>
  </w:style>
  <w:style w:type="character" w:customStyle="1" w:styleId="SubtitleChar">
    <w:name w:val="Subtitle Char"/>
    <w:link w:val="Subtitle"/>
    <w:rsid w:val="009C13A9"/>
    <w:rPr>
      <w:rFonts w:ascii="Arial" w:hAnsi="Arial"/>
      <w:b/>
      <w:bCs/>
      <w:snapToGrid w:val="0"/>
      <w:sz w:val="28"/>
      <w:szCs w:val="28"/>
      <w:lang w:val="cs-CZ"/>
    </w:rPr>
  </w:style>
  <w:style w:type="paragraph" w:customStyle="1" w:styleId="t60">
    <w:name w:val="t60"/>
    <w:basedOn w:val="Normal"/>
    <w:rsid w:val="009C13A9"/>
    <w:pPr>
      <w:spacing w:line="200" w:lineRule="atLeast"/>
    </w:pPr>
    <w:rPr>
      <w:rFonts w:ascii="Times New Roman" w:hAnsi="Times New Roman"/>
      <w:snapToGrid w:val="0"/>
      <w:sz w:val="24"/>
      <w:lang w:val="cs-CZ"/>
    </w:rPr>
  </w:style>
  <w:style w:type="character" w:styleId="LineNumber">
    <w:name w:val="line number"/>
    <w:basedOn w:val="DefaultParagraphFont"/>
    <w:rsid w:val="009C13A9"/>
  </w:style>
  <w:style w:type="paragraph" w:customStyle="1" w:styleId="Annex2Buchstabe">
    <w:name w:val="Annex2_Buchstabe"/>
    <w:basedOn w:val="Normal"/>
    <w:rsid w:val="009C13A9"/>
    <w:pPr>
      <w:tabs>
        <w:tab w:val="left" w:pos="454"/>
        <w:tab w:val="left" w:pos="907"/>
        <w:tab w:val="left" w:pos="1361"/>
        <w:tab w:val="left" w:pos="1814"/>
      </w:tabs>
      <w:overflowPunct w:val="0"/>
      <w:adjustRightInd w:val="0"/>
      <w:spacing w:after="80"/>
      <w:ind w:left="908" w:hanging="454"/>
      <w:textAlignment w:val="baseline"/>
    </w:pPr>
    <w:rPr>
      <w:rFonts w:ascii="Times New Roman" w:hAnsi="Times New Roman"/>
      <w:sz w:val="24"/>
    </w:rPr>
  </w:style>
  <w:style w:type="paragraph" w:customStyle="1" w:styleId="aa">
    <w:name w:val="aa"/>
    <w:basedOn w:val="Annex2Buchstabe"/>
    <w:rsid w:val="009C13A9"/>
    <w:pPr>
      <w:tabs>
        <w:tab w:val="clear" w:pos="454"/>
        <w:tab w:val="clear" w:pos="907"/>
        <w:tab w:val="clear" w:pos="1361"/>
        <w:tab w:val="clear" w:pos="1814"/>
        <w:tab w:val="left" w:pos="425"/>
        <w:tab w:val="left" w:pos="851"/>
        <w:tab w:val="left" w:pos="1276"/>
        <w:tab w:val="left" w:pos="1701"/>
        <w:tab w:val="left" w:pos="2126"/>
      </w:tabs>
      <w:spacing w:before="120" w:after="0" w:line="240" w:lineRule="atLeast"/>
      <w:ind w:left="850" w:hanging="425"/>
    </w:pPr>
  </w:style>
  <w:style w:type="paragraph" w:customStyle="1" w:styleId="Standard">
    <w:name w:val="Standard"/>
    <w:rsid w:val="009C13A9"/>
    <w:pPr>
      <w:widowControl w:val="0"/>
      <w:overflowPunct w:val="0"/>
      <w:autoSpaceDE w:val="0"/>
      <w:autoSpaceDN w:val="0"/>
      <w:adjustRightInd w:val="0"/>
      <w:jc w:val="both"/>
      <w:textAlignment w:val="baseline"/>
    </w:pPr>
    <w:rPr>
      <w:rFonts w:ascii="CG Times (W1)" w:hAnsi="CG Times (W1)"/>
      <w:snapToGrid w:val="0"/>
      <w:sz w:val="24"/>
      <w:szCs w:val="24"/>
    </w:rPr>
  </w:style>
  <w:style w:type="paragraph" w:customStyle="1" w:styleId="rad111">
    <w:name w:val="rad1.11"/>
    <w:basedOn w:val="Normal"/>
    <w:rsid w:val="009C13A9"/>
    <w:pPr>
      <w:tabs>
        <w:tab w:val="left" w:pos="284"/>
        <w:tab w:val="left" w:pos="454"/>
        <w:tab w:val="left" w:pos="709"/>
      </w:tabs>
      <w:spacing w:line="240" w:lineRule="exact"/>
      <w:ind w:hanging="567"/>
    </w:pPr>
    <w:rPr>
      <w:rFonts w:ascii="Times New Roman" w:hAnsi="Times New Roman"/>
      <w:snapToGrid w:val="0"/>
      <w:sz w:val="24"/>
    </w:rPr>
  </w:style>
  <w:style w:type="paragraph" w:customStyle="1" w:styleId="rad1">
    <w:name w:val="rad1"/>
    <w:aliases w:val="11"/>
    <w:basedOn w:val="Normal"/>
    <w:rsid w:val="009C13A9"/>
    <w:pPr>
      <w:tabs>
        <w:tab w:val="left" w:pos="284"/>
        <w:tab w:val="left" w:pos="454"/>
        <w:tab w:val="left" w:pos="709"/>
      </w:tabs>
      <w:spacing w:line="240" w:lineRule="exact"/>
      <w:ind w:hanging="567"/>
    </w:pPr>
    <w:rPr>
      <w:rFonts w:ascii="Times New Roman" w:hAnsi="Times New Roman"/>
      <w:sz w:val="24"/>
    </w:rPr>
  </w:style>
  <w:style w:type="paragraph" w:customStyle="1" w:styleId="N12">
    <w:name w:val="N12"/>
    <w:basedOn w:val="Normal"/>
    <w:rsid w:val="009C13A9"/>
    <w:pPr>
      <w:tabs>
        <w:tab w:val="left" w:pos="284"/>
      </w:tabs>
      <w:overflowPunct w:val="0"/>
      <w:adjustRightInd w:val="0"/>
      <w:spacing w:line="240" w:lineRule="atLeast"/>
      <w:jc w:val="center"/>
      <w:textAlignment w:val="baseline"/>
    </w:pPr>
    <w:rPr>
      <w:rFonts w:ascii="Times New Roman" w:hAnsi="Times New Roman"/>
      <w:sz w:val="16"/>
      <w:szCs w:val="20"/>
    </w:rPr>
  </w:style>
  <w:style w:type="paragraph" w:customStyle="1" w:styleId="rad1note">
    <w:name w:val="rad1.note"/>
    <w:basedOn w:val="Normal"/>
    <w:rsid w:val="009C13A9"/>
    <w:pPr>
      <w:tabs>
        <w:tab w:val="left" w:pos="284"/>
        <w:tab w:val="left" w:pos="454"/>
        <w:tab w:val="left" w:pos="709"/>
      </w:tabs>
      <w:overflowPunct w:val="0"/>
      <w:adjustRightInd w:val="0"/>
      <w:spacing w:line="240" w:lineRule="exact"/>
      <w:ind w:left="284" w:hanging="284"/>
      <w:textAlignment w:val="baseline"/>
    </w:pPr>
    <w:rPr>
      <w:rFonts w:ascii="Times New Roman" w:hAnsi="Times New Roman"/>
      <w:sz w:val="24"/>
      <w:szCs w:val="20"/>
    </w:rPr>
  </w:style>
  <w:style w:type="paragraph" w:customStyle="1" w:styleId="Hoofdgedeelte">
    <w:name w:val="Hoofdgedeelte"/>
    <w:basedOn w:val="Normal"/>
    <w:rsid w:val="009C13A9"/>
    <w:pPr>
      <w:widowControl w:val="0"/>
    </w:pPr>
    <w:rPr>
      <w:rFonts w:ascii="Times" w:hAnsi="Times"/>
      <w:sz w:val="24"/>
      <w:lang w:val="cs-CZ"/>
    </w:rPr>
  </w:style>
  <w:style w:type="numbering" w:customStyle="1" w:styleId="Aucuneliste11">
    <w:name w:val="Aucune liste11"/>
    <w:next w:val="NoList"/>
    <w:uiPriority w:val="99"/>
    <w:semiHidden/>
    <w:unhideWhenUsed/>
    <w:rsid w:val="009C13A9"/>
  </w:style>
  <w:style w:type="character" w:customStyle="1" w:styleId="WW8Num1z0">
    <w:name w:val="WW8Num1z0"/>
    <w:rsid w:val="009C13A9"/>
    <w:rPr>
      <w:rFonts w:cs="Times New Roman"/>
    </w:rPr>
  </w:style>
  <w:style w:type="character" w:customStyle="1" w:styleId="WW8Num2z0">
    <w:name w:val="WW8Num2z0"/>
    <w:rsid w:val="009C13A9"/>
    <w:rPr>
      <w:rFonts w:cs="Times New Roman"/>
    </w:rPr>
  </w:style>
  <w:style w:type="character" w:customStyle="1" w:styleId="Absatz-Standardschriftart1">
    <w:name w:val="Absatz-Standardschriftart1"/>
    <w:rsid w:val="009C13A9"/>
  </w:style>
  <w:style w:type="character" w:customStyle="1" w:styleId="WW-Absatz-Standardschriftart">
    <w:name w:val="WW-Absatz-Standardschriftart"/>
    <w:rsid w:val="009C13A9"/>
  </w:style>
  <w:style w:type="character" w:customStyle="1" w:styleId="WW-Absatz-Standardschriftart1">
    <w:name w:val="WW-Absatz-Standardschriftart1"/>
    <w:rsid w:val="009C13A9"/>
  </w:style>
  <w:style w:type="character" w:customStyle="1" w:styleId="WW-Absatz-Standardschriftart11">
    <w:name w:val="WW-Absatz-Standardschriftart11"/>
    <w:rsid w:val="009C13A9"/>
  </w:style>
  <w:style w:type="character" w:customStyle="1" w:styleId="WW-Absatz-Standardschriftart111">
    <w:name w:val="WW-Absatz-Standardschriftart111"/>
    <w:rsid w:val="009C13A9"/>
  </w:style>
  <w:style w:type="character" w:customStyle="1" w:styleId="WW-Absatz-Standardschriftart1111">
    <w:name w:val="WW-Absatz-Standardschriftart1111"/>
    <w:rsid w:val="009C13A9"/>
  </w:style>
  <w:style w:type="character" w:customStyle="1" w:styleId="WW-Absatz-Standardschriftart11111">
    <w:name w:val="WW-Absatz-Standardschriftart11111"/>
    <w:rsid w:val="009C13A9"/>
  </w:style>
  <w:style w:type="character" w:customStyle="1" w:styleId="WW-Absatz-Standardschriftart111111">
    <w:name w:val="WW-Absatz-Standardschriftart111111"/>
    <w:rsid w:val="009C13A9"/>
  </w:style>
  <w:style w:type="character" w:customStyle="1" w:styleId="WW-Absatz-Standardschriftart1111111">
    <w:name w:val="WW-Absatz-Standardschriftart1111111"/>
    <w:rsid w:val="009C13A9"/>
  </w:style>
  <w:style w:type="character" w:customStyle="1" w:styleId="WW-Absatz-Standardschriftart11111111">
    <w:name w:val="WW-Absatz-Standardschriftart11111111"/>
    <w:rsid w:val="009C13A9"/>
  </w:style>
  <w:style w:type="character" w:customStyle="1" w:styleId="WW-Absatz-Standardschriftart111111111">
    <w:name w:val="WW-Absatz-Standardschriftart111111111"/>
    <w:rsid w:val="009C13A9"/>
  </w:style>
  <w:style w:type="character" w:customStyle="1" w:styleId="WW8Num3z0">
    <w:name w:val="WW8Num3z0"/>
    <w:rsid w:val="009C13A9"/>
    <w:rPr>
      <w:rFonts w:cs="Times New Roman"/>
    </w:rPr>
  </w:style>
  <w:style w:type="character" w:customStyle="1" w:styleId="WW8Num4z0">
    <w:name w:val="WW8Num4z0"/>
    <w:rsid w:val="009C13A9"/>
    <w:rPr>
      <w:rFonts w:ascii="Times New Roman" w:eastAsia="Times New Roman" w:hAnsi="Times New Roman"/>
    </w:rPr>
  </w:style>
  <w:style w:type="character" w:customStyle="1" w:styleId="WW8Num4z1">
    <w:name w:val="WW8Num4z1"/>
    <w:rsid w:val="009C13A9"/>
    <w:rPr>
      <w:rFonts w:ascii="Courier New" w:hAnsi="Courier New"/>
    </w:rPr>
  </w:style>
  <w:style w:type="character" w:customStyle="1" w:styleId="WW8Num4z2">
    <w:name w:val="WW8Num4z2"/>
    <w:rsid w:val="009C13A9"/>
    <w:rPr>
      <w:rFonts w:ascii="Wingdings" w:hAnsi="Wingdings"/>
    </w:rPr>
  </w:style>
  <w:style w:type="character" w:customStyle="1" w:styleId="WW8Num4z3">
    <w:name w:val="WW8Num4z3"/>
    <w:rsid w:val="009C13A9"/>
    <w:rPr>
      <w:rFonts w:ascii="Symbol" w:hAnsi="Symbol"/>
    </w:rPr>
  </w:style>
  <w:style w:type="character" w:customStyle="1" w:styleId="WW8Num5z0">
    <w:name w:val="WW8Num5z0"/>
    <w:rsid w:val="009C13A9"/>
    <w:rPr>
      <w:rFonts w:ascii="Arial" w:eastAsia="Times New Roman" w:hAnsi="Arial"/>
    </w:rPr>
  </w:style>
  <w:style w:type="character" w:customStyle="1" w:styleId="WW8Num5z1">
    <w:name w:val="WW8Num5z1"/>
    <w:rsid w:val="009C13A9"/>
    <w:rPr>
      <w:rFonts w:ascii="Courier New" w:hAnsi="Courier New"/>
    </w:rPr>
  </w:style>
  <w:style w:type="character" w:customStyle="1" w:styleId="WW8Num5z2">
    <w:name w:val="WW8Num5z2"/>
    <w:rsid w:val="009C13A9"/>
    <w:rPr>
      <w:rFonts w:ascii="Wingdings" w:hAnsi="Wingdings"/>
    </w:rPr>
  </w:style>
  <w:style w:type="character" w:customStyle="1" w:styleId="WW8Num5z3">
    <w:name w:val="WW8Num5z3"/>
    <w:rsid w:val="009C13A9"/>
    <w:rPr>
      <w:rFonts w:ascii="Symbol" w:hAnsi="Symbol"/>
    </w:rPr>
  </w:style>
  <w:style w:type="character" w:customStyle="1" w:styleId="Policepardfaut1">
    <w:name w:val="Police par défaut1"/>
    <w:rsid w:val="009C13A9"/>
  </w:style>
  <w:style w:type="character" w:customStyle="1" w:styleId="Caractresdenotedebasdepage">
    <w:name w:val="Caractères de note de bas de page"/>
    <w:rsid w:val="009C13A9"/>
    <w:rPr>
      <w:rFonts w:cs="Times New Roman"/>
      <w:vertAlign w:val="superscript"/>
    </w:rPr>
  </w:style>
  <w:style w:type="character" w:customStyle="1" w:styleId="Marquedecommentaire1">
    <w:name w:val="Marque de commentaire1"/>
    <w:rsid w:val="009C13A9"/>
    <w:rPr>
      <w:rFonts w:cs="Times New Roman"/>
      <w:sz w:val="16"/>
      <w:szCs w:val="16"/>
    </w:rPr>
  </w:style>
  <w:style w:type="character" w:customStyle="1" w:styleId="VO-Text-AbsnachNrChar">
    <w:name w:val="VO-Text-Abs nach Nr Char"/>
    <w:rsid w:val="009C13A9"/>
    <w:rPr>
      <w:rFonts w:ascii="Arial" w:hAnsi="Arial" w:cs="Times New Roman"/>
      <w:b/>
      <w:bCs/>
      <w:sz w:val="24"/>
      <w:szCs w:val="24"/>
      <w:lang w:val="cs-CZ" w:eastAsia="cs-CZ" w:bidi="cs-CZ"/>
    </w:rPr>
  </w:style>
  <w:style w:type="character" w:styleId="Emphasis">
    <w:name w:val="Emphasis"/>
    <w:qFormat/>
    <w:rsid w:val="009C13A9"/>
    <w:rPr>
      <w:rFonts w:cs="Times New Roman"/>
      <w:i/>
      <w:iCs/>
    </w:rPr>
  </w:style>
  <w:style w:type="character" w:customStyle="1" w:styleId="error">
    <w:name w:val="error"/>
    <w:rsid w:val="009C13A9"/>
    <w:rPr>
      <w:rFonts w:cs="Times New Roman"/>
    </w:rPr>
  </w:style>
  <w:style w:type="character" w:customStyle="1" w:styleId="longtext1">
    <w:name w:val="long_text1"/>
    <w:rsid w:val="009C13A9"/>
    <w:rPr>
      <w:rFonts w:cs="Times New Roman"/>
      <w:sz w:val="20"/>
      <w:szCs w:val="20"/>
    </w:rPr>
  </w:style>
  <w:style w:type="character" w:customStyle="1" w:styleId="WW-Caractresdenotedebasdepage">
    <w:name w:val="WW-Caractères de note de bas de page"/>
    <w:rsid w:val="009C13A9"/>
    <w:rPr>
      <w:rFonts w:cs="Times New Roman"/>
      <w:vertAlign w:val="superscript"/>
    </w:rPr>
  </w:style>
  <w:style w:type="character" w:customStyle="1" w:styleId="Caractresdenotedefin">
    <w:name w:val="Caractères de note de fin"/>
    <w:rsid w:val="009C13A9"/>
    <w:rPr>
      <w:vertAlign w:val="superscript"/>
    </w:rPr>
  </w:style>
  <w:style w:type="character" w:customStyle="1" w:styleId="WW-Caractresdenotedefin">
    <w:name w:val="WW-Caractères de note de fin"/>
    <w:rsid w:val="009C13A9"/>
  </w:style>
  <w:style w:type="character" w:styleId="EndnoteReference">
    <w:name w:val="endnote reference"/>
    <w:rsid w:val="009C13A9"/>
    <w:rPr>
      <w:vertAlign w:val="superscript"/>
    </w:rPr>
  </w:style>
  <w:style w:type="character" w:customStyle="1" w:styleId="Caractresdenumrotation">
    <w:name w:val="Caractères de numérotation"/>
    <w:rsid w:val="009C13A9"/>
  </w:style>
  <w:style w:type="paragraph" w:customStyle="1" w:styleId="Titre1">
    <w:name w:val="Titre1"/>
    <w:basedOn w:val="Normal"/>
    <w:next w:val="BodyText"/>
    <w:rsid w:val="009C13A9"/>
    <w:pPr>
      <w:keepNext/>
      <w:suppressAutoHyphens/>
      <w:spacing w:before="240" w:after="120"/>
    </w:pPr>
    <w:rPr>
      <w:rFonts w:ascii="Liberation Sans" w:eastAsia="Lucida Sans Unicode" w:hAnsi="Liberation Sans" w:cs="Tahoma"/>
      <w:sz w:val="28"/>
      <w:lang w:val="cs-CZ" w:eastAsia="cs-CZ"/>
    </w:rPr>
  </w:style>
  <w:style w:type="paragraph" w:styleId="List">
    <w:name w:val="List"/>
    <w:basedOn w:val="BodyText"/>
    <w:rsid w:val="009C13A9"/>
    <w:pPr>
      <w:keepNext w:val="0"/>
      <w:tabs>
        <w:tab w:val="clear" w:pos="709"/>
      </w:tabs>
      <w:suppressAutoHyphens/>
    </w:pPr>
    <w:rPr>
      <w:rFonts w:ascii="Liberation Sans" w:hAnsi="Liberation Sans" w:cs="Tahoma"/>
      <w:b/>
      <w:sz w:val="24"/>
      <w:lang w:val="cs-CZ"/>
    </w:rPr>
  </w:style>
  <w:style w:type="paragraph" w:customStyle="1" w:styleId="Lgende1">
    <w:name w:val="Légende1"/>
    <w:basedOn w:val="Normal"/>
    <w:next w:val="Normal"/>
    <w:rsid w:val="009C13A9"/>
    <w:pPr>
      <w:suppressAutoHyphens/>
      <w:spacing w:before="120" w:after="120"/>
    </w:pPr>
    <w:rPr>
      <w:rFonts w:ascii="Times New Roman" w:hAnsi="Times New Roman"/>
      <w:b/>
      <w:bCs/>
      <w:szCs w:val="20"/>
      <w:lang w:val="cs-CZ" w:eastAsia="cs-CZ"/>
    </w:rPr>
  </w:style>
  <w:style w:type="paragraph" w:customStyle="1" w:styleId="Index">
    <w:name w:val="Index"/>
    <w:basedOn w:val="Normal"/>
    <w:rsid w:val="009C13A9"/>
    <w:pPr>
      <w:suppressLineNumbers/>
      <w:suppressAutoHyphens/>
    </w:pPr>
    <w:rPr>
      <w:rFonts w:ascii="Liberation Sans" w:hAnsi="Liberation Sans" w:cs="Tahoma"/>
      <w:sz w:val="24"/>
      <w:lang w:val="cs-CZ" w:eastAsia="cs-CZ"/>
    </w:rPr>
  </w:style>
  <w:style w:type="paragraph" w:customStyle="1" w:styleId="Explorateurdedocument1">
    <w:name w:val="Explorateur de document1"/>
    <w:basedOn w:val="Normal"/>
    <w:rsid w:val="009C13A9"/>
    <w:pPr>
      <w:shd w:val="clear" w:color="auto" w:fill="000080"/>
      <w:suppressAutoHyphens/>
    </w:pPr>
    <w:rPr>
      <w:rFonts w:ascii="Times New Roman" w:hAnsi="Times New Roman"/>
      <w:szCs w:val="20"/>
      <w:lang w:val="cs-CZ" w:eastAsia="cs-CZ"/>
    </w:rPr>
  </w:style>
  <w:style w:type="paragraph" w:customStyle="1" w:styleId="Anlage">
    <w:name w:val="Anlage"/>
    <w:basedOn w:val="Normal"/>
    <w:rsid w:val="009C13A9"/>
    <w:pPr>
      <w:suppressAutoHyphens/>
      <w:spacing w:before="240"/>
      <w:ind w:left="1134" w:hanging="1134"/>
    </w:pPr>
    <w:rPr>
      <w:rFonts w:ascii="Times New Roman" w:hAnsi="Times New Roman"/>
      <w:sz w:val="24"/>
      <w:lang w:val="cs-CZ" w:eastAsia="cs-CZ"/>
    </w:rPr>
  </w:style>
  <w:style w:type="paragraph" w:customStyle="1" w:styleId="Betrifft">
    <w:name w:val="Betrifft"/>
    <w:basedOn w:val="Normal"/>
    <w:rsid w:val="009C13A9"/>
    <w:pPr>
      <w:suppressAutoHyphens/>
      <w:spacing w:before="480"/>
    </w:pPr>
    <w:rPr>
      <w:rFonts w:ascii="Times New Roman" w:hAnsi="Times New Roman"/>
      <w:sz w:val="24"/>
      <w:lang w:val="cs-CZ" w:eastAsia="cs-CZ"/>
    </w:rPr>
  </w:style>
  <w:style w:type="paragraph" w:customStyle="1" w:styleId="Bezug">
    <w:name w:val="Bezug"/>
    <w:basedOn w:val="Normal"/>
    <w:rsid w:val="009C13A9"/>
    <w:pPr>
      <w:suppressAutoHyphens/>
      <w:spacing w:before="240"/>
    </w:pPr>
    <w:rPr>
      <w:rFonts w:ascii="Times New Roman" w:hAnsi="Times New Roman"/>
      <w:sz w:val="24"/>
      <w:lang w:val="cs-CZ" w:eastAsia="cs-CZ"/>
    </w:rPr>
  </w:style>
  <w:style w:type="paragraph" w:customStyle="1" w:styleId="Hier">
    <w:name w:val="Hier"/>
    <w:basedOn w:val="Normal"/>
    <w:rsid w:val="009C13A9"/>
    <w:pPr>
      <w:tabs>
        <w:tab w:val="left" w:pos="284"/>
      </w:tabs>
      <w:suppressAutoHyphens/>
      <w:ind w:left="284" w:hanging="284"/>
    </w:pPr>
    <w:rPr>
      <w:rFonts w:ascii="Times New Roman" w:hAnsi="Times New Roman"/>
      <w:sz w:val="24"/>
      <w:lang w:val="cs-CZ" w:eastAsia="cs-CZ"/>
    </w:rPr>
  </w:style>
  <w:style w:type="paragraph" w:customStyle="1" w:styleId="yyx">
    <w:name w:val="yyx"/>
    <w:basedOn w:val="Normal"/>
    <w:rsid w:val="009C13A9"/>
    <w:pPr>
      <w:suppressAutoHyphens/>
      <w:spacing w:line="360" w:lineRule="auto"/>
    </w:pPr>
    <w:rPr>
      <w:rFonts w:ascii="Times New Roman" w:hAnsi="Times New Roman"/>
      <w:b/>
      <w:sz w:val="24"/>
      <w:lang w:val="cs-CZ" w:eastAsia="cs-CZ"/>
    </w:rPr>
  </w:style>
  <w:style w:type="paragraph" w:customStyle="1" w:styleId="Nverborgen">
    <w:name w:val="Nverborgen"/>
    <w:basedOn w:val="Normal"/>
    <w:next w:val="Normal"/>
    <w:rsid w:val="009C13A9"/>
    <w:pPr>
      <w:suppressAutoHyphens/>
      <w:spacing w:line="360" w:lineRule="auto"/>
      <w:ind w:hanging="567"/>
    </w:pPr>
    <w:rPr>
      <w:rFonts w:ascii="Times New Roman" w:hAnsi="Times New Roman"/>
      <w:sz w:val="24"/>
      <w:lang w:val="cs-CZ" w:eastAsia="cs-CZ"/>
    </w:rPr>
  </w:style>
  <w:style w:type="paragraph" w:customStyle="1" w:styleId="Verborgen">
    <w:name w:val="Verborgen"/>
    <w:basedOn w:val="Normal"/>
    <w:next w:val="Normal"/>
    <w:rsid w:val="009C13A9"/>
    <w:pPr>
      <w:suppressAutoHyphens/>
      <w:spacing w:after="360" w:line="360" w:lineRule="auto"/>
      <w:ind w:hanging="567"/>
    </w:pPr>
    <w:rPr>
      <w:rFonts w:ascii="Times New Roman" w:hAnsi="Times New Roman"/>
      <w:vanish/>
      <w:color w:val="0000FF"/>
      <w:sz w:val="24"/>
      <w:lang w:val="cs-CZ" w:eastAsia="cs-CZ"/>
    </w:rPr>
  </w:style>
  <w:style w:type="paragraph" w:customStyle="1" w:styleId="Salutations1">
    <w:name w:val="Salutations1"/>
    <w:basedOn w:val="Normal"/>
    <w:next w:val="Normal"/>
    <w:rsid w:val="009C13A9"/>
    <w:pPr>
      <w:suppressAutoHyphens/>
      <w:spacing w:before="720" w:line="360" w:lineRule="auto"/>
    </w:pPr>
    <w:rPr>
      <w:rFonts w:ascii="Times New Roman" w:hAnsi="Times New Roman"/>
      <w:sz w:val="24"/>
      <w:lang w:val="cs-CZ" w:eastAsia="cs-CZ"/>
    </w:rPr>
  </w:style>
  <w:style w:type="paragraph" w:customStyle="1" w:styleId="c4">
    <w:name w:val="c4"/>
    <w:basedOn w:val="Normal"/>
    <w:rsid w:val="009C13A9"/>
    <w:pPr>
      <w:suppressAutoHyphens/>
      <w:spacing w:line="240" w:lineRule="atLeast"/>
      <w:jc w:val="center"/>
    </w:pPr>
    <w:rPr>
      <w:rFonts w:ascii="Times New Roman" w:hAnsi="Times New Roman"/>
      <w:sz w:val="24"/>
      <w:szCs w:val="20"/>
      <w:lang w:val="cs-CZ" w:eastAsia="cs-CZ"/>
    </w:rPr>
  </w:style>
  <w:style w:type="paragraph" w:customStyle="1" w:styleId="p4">
    <w:name w:val="p4"/>
    <w:basedOn w:val="Normal"/>
    <w:rsid w:val="009C13A9"/>
    <w:pPr>
      <w:tabs>
        <w:tab w:val="left" w:pos="720"/>
      </w:tabs>
      <w:suppressAutoHyphens/>
      <w:spacing w:line="220" w:lineRule="atLeast"/>
    </w:pPr>
    <w:rPr>
      <w:rFonts w:ascii="Times New Roman" w:hAnsi="Times New Roman"/>
      <w:sz w:val="24"/>
      <w:szCs w:val="20"/>
      <w:lang w:val="cs-CZ" w:eastAsia="cs-CZ"/>
    </w:rPr>
  </w:style>
  <w:style w:type="paragraph" w:customStyle="1" w:styleId="c2">
    <w:name w:val="c2"/>
    <w:basedOn w:val="Normal"/>
    <w:rsid w:val="009C13A9"/>
    <w:pPr>
      <w:suppressAutoHyphens/>
      <w:spacing w:line="240" w:lineRule="atLeast"/>
      <w:jc w:val="center"/>
    </w:pPr>
    <w:rPr>
      <w:rFonts w:ascii="Times New Roman" w:hAnsi="Times New Roman"/>
      <w:sz w:val="24"/>
      <w:szCs w:val="20"/>
      <w:lang w:val="cs-CZ" w:eastAsia="cs-CZ"/>
    </w:rPr>
  </w:style>
  <w:style w:type="paragraph" w:customStyle="1" w:styleId="p9">
    <w:name w:val="p9"/>
    <w:basedOn w:val="Normal"/>
    <w:rsid w:val="009C13A9"/>
    <w:pPr>
      <w:tabs>
        <w:tab w:val="left" w:pos="1060"/>
      </w:tabs>
      <w:suppressAutoHyphens/>
      <w:spacing w:line="240" w:lineRule="atLeast"/>
      <w:ind w:left="1440" w:firstLine="1008"/>
    </w:pPr>
    <w:rPr>
      <w:rFonts w:ascii="Times New Roman" w:hAnsi="Times New Roman"/>
      <w:sz w:val="24"/>
      <w:szCs w:val="20"/>
      <w:lang w:val="cs-CZ" w:eastAsia="cs-CZ"/>
    </w:rPr>
  </w:style>
  <w:style w:type="paragraph" w:customStyle="1" w:styleId="p5">
    <w:name w:val="p5"/>
    <w:basedOn w:val="Normal"/>
    <w:rsid w:val="009C13A9"/>
    <w:pPr>
      <w:tabs>
        <w:tab w:val="left" w:pos="720"/>
      </w:tabs>
      <w:suppressAutoHyphens/>
      <w:spacing w:line="240" w:lineRule="atLeast"/>
    </w:pPr>
    <w:rPr>
      <w:rFonts w:ascii="Times New Roman" w:hAnsi="Times New Roman"/>
      <w:sz w:val="24"/>
      <w:szCs w:val="20"/>
      <w:lang w:val="cs-CZ" w:eastAsia="cs-CZ"/>
    </w:rPr>
  </w:style>
  <w:style w:type="paragraph" w:customStyle="1" w:styleId="p10">
    <w:name w:val="p10"/>
    <w:basedOn w:val="Normal"/>
    <w:rsid w:val="009C13A9"/>
    <w:pPr>
      <w:tabs>
        <w:tab w:val="left" w:pos="240"/>
        <w:tab w:val="left" w:pos="500"/>
      </w:tabs>
      <w:suppressAutoHyphens/>
      <w:spacing w:line="240" w:lineRule="atLeast"/>
      <w:ind w:left="1440" w:firstLine="288"/>
    </w:pPr>
    <w:rPr>
      <w:rFonts w:ascii="Times New Roman" w:hAnsi="Times New Roman"/>
      <w:sz w:val="24"/>
      <w:szCs w:val="20"/>
      <w:lang w:val="cs-CZ" w:eastAsia="cs-CZ"/>
    </w:rPr>
  </w:style>
  <w:style w:type="paragraph" w:customStyle="1" w:styleId="p11">
    <w:name w:val="p11"/>
    <w:basedOn w:val="Normal"/>
    <w:rsid w:val="009C13A9"/>
    <w:pPr>
      <w:tabs>
        <w:tab w:val="left" w:pos="720"/>
      </w:tabs>
      <w:suppressAutoHyphens/>
      <w:spacing w:line="220" w:lineRule="atLeast"/>
    </w:pPr>
    <w:rPr>
      <w:rFonts w:ascii="Times New Roman" w:hAnsi="Times New Roman"/>
      <w:sz w:val="24"/>
      <w:szCs w:val="20"/>
      <w:lang w:val="cs-CZ" w:eastAsia="cs-CZ"/>
    </w:rPr>
  </w:style>
  <w:style w:type="paragraph" w:customStyle="1" w:styleId="p12">
    <w:name w:val="p12"/>
    <w:basedOn w:val="Normal"/>
    <w:rsid w:val="009C13A9"/>
    <w:pPr>
      <w:tabs>
        <w:tab w:val="left" w:pos="720"/>
      </w:tabs>
      <w:suppressAutoHyphens/>
      <w:spacing w:line="240" w:lineRule="atLeast"/>
    </w:pPr>
    <w:rPr>
      <w:rFonts w:ascii="Times New Roman" w:hAnsi="Times New Roman"/>
      <w:sz w:val="24"/>
      <w:szCs w:val="20"/>
      <w:lang w:val="cs-CZ" w:eastAsia="cs-CZ"/>
    </w:rPr>
  </w:style>
  <w:style w:type="paragraph" w:customStyle="1" w:styleId="p14">
    <w:name w:val="p14"/>
    <w:basedOn w:val="Normal"/>
    <w:rsid w:val="009C13A9"/>
    <w:pPr>
      <w:tabs>
        <w:tab w:val="left" w:pos="260"/>
        <w:tab w:val="left" w:pos="540"/>
      </w:tabs>
      <w:suppressAutoHyphens/>
      <w:spacing w:line="220" w:lineRule="atLeast"/>
      <w:ind w:left="864" w:hanging="576"/>
    </w:pPr>
    <w:rPr>
      <w:rFonts w:ascii="Times New Roman" w:hAnsi="Times New Roman"/>
      <w:sz w:val="24"/>
      <w:szCs w:val="20"/>
      <w:lang w:val="cs-CZ" w:eastAsia="cs-CZ"/>
    </w:rPr>
  </w:style>
  <w:style w:type="paragraph" w:customStyle="1" w:styleId="p15">
    <w:name w:val="p15"/>
    <w:basedOn w:val="Normal"/>
    <w:rsid w:val="009C13A9"/>
    <w:pPr>
      <w:tabs>
        <w:tab w:val="left" w:pos="260"/>
      </w:tabs>
      <w:suppressAutoHyphens/>
      <w:spacing w:line="240" w:lineRule="atLeast"/>
      <w:ind w:left="1152" w:hanging="288"/>
    </w:pPr>
    <w:rPr>
      <w:rFonts w:ascii="Times New Roman" w:hAnsi="Times New Roman"/>
      <w:sz w:val="24"/>
      <w:szCs w:val="20"/>
      <w:lang w:val="cs-CZ" w:eastAsia="cs-CZ"/>
    </w:rPr>
  </w:style>
  <w:style w:type="paragraph" w:customStyle="1" w:styleId="p7">
    <w:name w:val="p7"/>
    <w:basedOn w:val="Normal"/>
    <w:rsid w:val="009C13A9"/>
    <w:pPr>
      <w:tabs>
        <w:tab w:val="left" w:pos="260"/>
      </w:tabs>
      <w:suppressAutoHyphens/>
      <w:spacing w:line="220" w:lineRule="atLeast"/>
      <w:ind w:left="1152" w:hanging="288"/>
    </w:pPr>
    <w:rPr>
      <w:rFonts w:ascii="Times New Roman" w:hAnsi="Times New Roman"/>
      <w:sz w:val="24"/>
      <w:szCs w:val="20"/>
      <w:lang w:val="cs-CZ" w:eastAsia="cs-CZ"/>
    </w:rPr>
  </w:style>
  <w:style w:type="paragraph" w:customStyle="1" w:styleId="p16">
    <w:name w:val="p16"/>
    <w:basedOn w:val="Normal"/>
    <w:rsid w:val="009C13A9"/>
    <w:pPr>
      <w:tabs>
        <w:tab w:val="left" w:pos="520"/>
      </w:tabs>
      <w:suppressAutoHyphens/>
      <w:spacing w:line="240" w:lineRule="atLeast"/>
      <w:ind w:left="1440" w:firstLine="576"/>
    </w:pPr>
    <w:rPr>
      <w:rFonts w:ascii="Times New Roman" w:hAnsi="Times New Roman"/>
      <w:sz w:val="24"/>
      <w:szCs w:val="20"/>
      <w:lang w:val="cs-CZ" w:eastAsia="cs-CZ"/>
    </w:rPr>
  </w:style>
  <w:style w:type="paragraph" w:customStyle="1" w:styleId="c18">
    <w:name w:val="c18"/>
    <w:basedOn w:val="Normal"/>
    <w:rsid w:val="009C13A9"/>
    <w:pPr>
      <w:suppressAutoHyphens/>
      <w:spacing w:line="240" w:lineRule="atLeast"/>
      <w:jc w:val="center"/>
    </w:pPr>
    <w:rPr>
      <w:rFonts w:ascii="Times New Roman" w:hAnsi="Times New Roman"/>
      <w:sz w:val="24"/>
      <w:szCs w:val="20"/>
      <w:lang w:val="cs-CZ" w:eastAsia="cs-CZ"/>
    </w:rPr>
  </w:style>
  <w:style w:type="paragraph" w:customStyle="1" w:styleId="t17">
    <w:name w:val="t17"/>
    <w:basedOn w:val="Normal"/>
    <w:rsid w:val="009C13A9"/>
    <w:pPr>
      <w:suppressAutoHyphens/>
      <w:spacing w:line="240" w:lineRule="atLeast"/>
    </w:pPr>
    <w:rPr>
      <w:rFonts w:ascii="Times New Roman" w:hAnsi="Times New Roman"/>
      <w:sz w:val="24"/>
      <w:szCs w:val="20"/>
      <w:lang w:val="cs-CZ" w:eastAsia="cs-CZ"/>
    </w:rPr>
  </w:style>
  <w:style w:type="paragraph" w:customStyle="1" w:styleId="p19">
    <w:name w:val="p19"/>
    <w:basedOn w:val="Normal"/>
    <w:rsid w:val="009C13A9"/>
    <w:pPr>
      <w:tabs>
        <w:tab w:val="left" w:pos="280"/>
        <w:tab w:val="left" w:pos="520"/>
      </w:tabs>
      <w:suppressAutoHyphens/>
      <w:spacing w:line="220" w:lineRule="atLeast"/>
      <w:ind w:left="1152" w:hanging="288"/>
    </w:pPr>
    <w:rPr>
      <w:rFonts w:ascii="Times New Roman" w:hAnsi="Times New Roman"/>
      <w:sz w:val="24"/>
      <w:szCs w:val="20"/>
      <w:lang w:val="cs-CZ" w:eastAsia="cs-CZ"/>
    </w:rPr>
  </w:style>
  <w:style w:type="paragraph" w:customStyle="1" w:styleId="p21">
    <w:name w:val="p21"/>
    <w:basedOn w:val="Normal"/>
    <w:rsid w:val="009C13A9"/>
    <w:pPr>
      <w:tabs>
        <w:tab w:val="left" w:pos="2480"/>
      </w:tabs>
      <w:suppressAutoHyphens/>
      <w:spacing w:line="240" w:lineRule="atLeast"/>
      <w:ind w:left="1040"/>
    </w:pPr>
    <w:rPr>
      <w:rFonts w:ascii="Times New Roman" w:hAnsi="Times New Roman"/>
      <w:sz w:val="24"/>
      <w:szCs w:val="20"/>
      <w:lang w:val="cs-CZ" w:eastAsia="cs-CZ"/>
    </w:rPr>
  </w:style>
  <w:style w:type="paragraph" w:customStyle="1" w:styleId="p8">
    <w:name w:val="p8"/>
    <w:basedOn w:val="Normal"/>
    <w:rsid w:val="009C13A9"/>
    <w:pPr>
      <w:tabs>
        <w:tab w:val="left" w:pos="520"/>
      </w:tabs>
      <w:suppressAutoHyphens/>
      <w:spacing w:line="220" w:lineRule="atLeast"/>
      <w:ind w:left="864" w:hanging="576"/>
    </w:pPr>
    <w:rPr>
      <w:rFonts w:ascii="Times New Roman" w:hAnsi="Times New Roman"/>
      <w:sz w:val="24"/>
      <w:szCs w:val="20"/>
      <w:lang w:val="cs-CZ" w:eastAsia="cs-CZ"/>
    </w:rPr>
  </w:style>
  <w:style w:type="paragraph" w:customStyle="1" w:styleId="c3">
    <w:name w:val="c3"/>
    <w:basedOn w:val="Normal"/>
    <w:rsid w:val="009C13A9"/>
    <w:pPr>
      <w:suppressAutoHyphens/>
      <w:spacing w:line="240" w:lineRule="atLeast"/>
      <w:jc w:val="center"/>
    </w:pPr>
    <w:rPr>
      <w:rFonts w:ascii="Times New Roman" w:hAnsi="Times New Roman"/>
      <w:sz w:val="24"/>
      <w:szCs w:val="20"/>
      <w:lang w:val="cs-CZ" w:eastAsia="cs-CZ"/>
    </w:rPr>
  </w:style>
  <w:style w:type="paragraph" w:customStyle="1" w:styleId="p13">
    <w:name w:val="p13"/>
    <w:basedOn w:val="Normal"/>
    <w:rsid w:val="009C13A9"/>
    <w:pPr>
      <w:tabs>
        <w:tab w:val="left" w:pos="260"/>
      </w:tabs>
      <w:suppressAutoHyphens/>
      <w:spacing w:line="220" w:lineRule="atLeast"/>
      <w:ind w:left="1180"/>
    </w:pPr>
    <w:rPr>
      <w:rFonts w:ascii="Times New Roman" w:hAnsi="Times New Roman"/>
      <w:sz w:val="24"/>
      <w:szCs w:val="20"/>
      <w:lang w:val="cs-CZ" w:eastAsia="cs-CZ"/>
    </w:rPr>
  </w:style>
  <w:style w:type="paragraph" w:customStyle="1" w:styleId="p20">
    <w:name w:val="p20"/>
    <w:basedOn w:val="Normal"/>
    <w:rsid w:val="009C13A9"/>
    <w:pPr>
      <w:tabs>
        <w:tab w:val="left" w:pos="780"/>
      </w:tabs>
      <w:suppressAutoHyphens/>
      <w:spacing w:line="220" w:lineRule="atLeast"/>
    </w:pPr>
    <w:rPr>
      <w:rFonts w:ascii="Times New Roman" w:hAnsi="Times New Roman"/>
      <w:sz w:val="24"/>
      <w:szCs w:val="20"/>
      <w:lang w:val="cs-CZ" w:eastAsia="cs-CZ"/>
    </w:rPr>
  </w:style>
  <w:style w:type="paragraph" w:customStyle="1" w:styleId="c15">
    <w:name w:val="c15"/>
    <w:basedOn w:val="Normal"/>
    <w:rsid w:val="009C13A9"/>
    <w:pPr>
      <w:suppressAutoHyphens/>
      <w:spacing w:line="240" w:lineRule="atLeast"/>
      <w:jc w:val="center"/>
    </w:pPr>
    <w:rPr>
      <w:rFonts w:ascii="Times New Roman" w:hAnsi="Times New Roman"/>
      <w:sz w:val="24"/>
      <w:szCs w:val="20"/>
      <w:lang w:val="cs-CZ" w:eastAsia="cs-CZ"/>
    </w:rPr>
  </w:style>
  <w:style w:type="paragraph" w:customStyle="1" w:styleId="p22">
    <w:name w:val="p22"/>
    <w:basedOn w:val="Normal"/>
    <w:rsid w:val="009C13A9"/>
    <w:pPr>
      <w:tabs>
        <w:tab w:val="left" w:pos="520"/>
        <w:tab w:val="left" w:pos="1060"/>
      </w:tabs>
      <w:suppressAutoHyphens/>
      <w:spacing w:line="220" w:lineRule="atLeast"/>
      <w:ind w:left="432" w:hanging="432"/>
    </w:pPr>
    <w:rPr>
      <w:rFonts w:ascii="Times New Roman" w:hAnsi="Times New Roman"/>
      <w:sz w:val="24"/>
      <w:szCs w:val="20"/>
      <w:lang w:val="cs-CZ" w:eastAsia="cs-CZ"/>
    </w:rPr>
  </w:style>
  <w:style w:type="paragraph" w:customStyle="1" w:styleId="p26">
    <w:name w:val="p26"/>
    <w:basedOn w:val="Normal"/>
    <w:rsid w:val="009C13A9"/>
    <w:pPr>
      <w:tabs>
        <w:tab w:val="left" w:pos="520"/>
      </w:tabs>
      <w:suppressAutoHyphens/>
      <w:spacing w:line="240" w:lineRule="atLeast"/>
      <w:ind w:left="864" w:hanging="576"/>
    </w:pPr>
    <w:rPr>
      <w:rFonts w:ascii="Times New Roman" w:hAnsi="Times New Roman"/>
      <w:sz w:val="24"/>
      <w:szCs w:val="20"/>
      <w:lang w:val="cs-CZ" w:eastAsia="cs-CZ"/>
    </w:rPr>
  </w:style>
  <w:style w:type="paragraph" w:customStyle="1" w:styleId="p31">
    <w:name w:val="p31"/>
    <w:basedOn w:val="Normal"/>
    <w:rsid w:val="009C13A9"/>
    <w:pPr>
      <w:tabs>
        <w:tab w:val="left" w:pos="260"/>
        <w:tab w:val="left" w:pos="540"/>
      </w:tabs>
      <w:suppressAutoHyphens/>
      <w:spacing w:line="220" w:lineRule="atLeast"/>
      <w:ind w:left="1440" w:firstLine="288"/>
    </w:pPr>
    <w:rPr>
      <w:rFonts w:ascii="Times New Roman" w:hAnsi="Times New Roman"/>
      <w:sz w:val="24"/>
      <w:szCs w:val="20"/>
      <w:lang w:val="cs-CZ" w:eastAsia="cs-CZ"/>
    </w:rPr>
  </w:style>
  <w:style w:type="paragraph" w:customStyle="1" w:styleId="p32">
    <w:name w:val="p32"/>
    <w:basedOn w:val="Normal"/>
    <w:rsid w:val="009C13A9"/>
    <w:pPr>
      <w:tabs>
        <w:tab w:val="left" w:pos="280"/>
      </w:tabs>
      <w:suppressAutoHyphens/>
      <w:spacing w:line="220" w:lineRule="atLeast"/>
      <w:ind w:left="1152" w:hanging="288"/>
    </w:pPr>
    <w:rPr>
      <w:rFonts w:ascii="Times New Roman" w:hAnsi="Times New Roman"/>
      <w:sz w:val="24"/>
      <w:szCs w:val="20"/>
      <w:lang w:val="cs-CZ" w:eastAsia="cs-CZ"/>
    </w:rPr>
  </w:style>
  <w:style w:type="paragraph" w:customStyle="1" w:styleId="p33">
    <w:name w:val="p33"/>
    <w:basedOn w:val="Normal"/>
    <w:rsid w:val="009C13A9"/>
    <w:pPr>
      <w:tabs>
        <w:tab w:val="left" w:pos="260"/>
      </w:tabs>
      <w:suppressAutoHyphens/>
      <w:spacing w:line="240" w:lineRule="atLeast"/>
      <w:ind w:left="1440" w:firstLine="288"/>
    </w:pPr>
    <w:rPr>
      <w:rFonts w:ascii="Times New Roman" w:hAnsi="Times New Roman"/>
      <w:sz w:val="24"/>
      <w:szCs w:val="20"/>
      <w:lang w:val="cs-CZ" w:eastAsia="cs-CZ"/>
    </w:rPr>
  </w:style>
  <w:style w:type="paragraph" w:customStyle="1" w:styleId="p36">
    <w:name w:val="p36"/>
    <w:basedOn w:val="Normal"/>
    <w:rsid w:val="009C13A9"/>
    <w:pPr>
      <w:tabs>
        <w:tab w:val="left" w:pos="280"/>
      </w:tabs>
      <w:suppressAutoHyphens/>
      <w:spacing w:line="220" w:lineRule="atLeast"/>
      <w:ind w:left="1152" w:hanging="288"/>
    </w:pPr>
    <w:rPr>
      <w:rFonts w:ascii="Times New Roman" w:hAnsi="Times New Roman"/>
      <w:sz w:val="24"/>
      <w:szCs w:val="20"/>
      <w:lang w:val="cs-CZ" w:eastAsia="cs-CZ"/>
    </w:rPr>
  </w:style>
  <w:style w:type="paragraph" w:customStyle="1" w:styleId="p39">
    <w:name w:val="p39"/>
    <w:basedOn w:val="Normal"/>
    <w:rsid w:val="009C13A9"/>
    <w:pPr>
      <w:tabs>
        <w:tab w:val="left" w:pos="280"/>
      </w:tabs>
      <w:suppressAutoHyphens/>
      <w:spacing w:line="220" w:lineRule="atLeast"/>
      <w:ind w:left="1152" w:hanging="288"/>
    </w:pPr>
    <w:rPr>
      <w:rFonts w:ascii="Times New Roman" w:hAnsi="Times New Roman"/>
      <w:sz w:val="24"/>
      <w:szCs w:val="20"/>
      <w:lang w:val="cs-CZ" w:eastAsia="cs-CZ"/>
    </w:rPr>
  </w:style>
  <w:style w:type="paragraph" w:customStyle="1" w:styleId="c6">
    <w:name w:val="c6"/>
    <w:basedOn w:val="Normal"/>
    <w:rsid w:val="009C13A9"/>
    <w:pPr>
      <w:suppressAutoHyphens/>
      <w:spacing w:line="240" w:lineRule="atLeast"/>
      <w:jc w:val="center"/>
    </w:pPr>
    <w:rPr>
      <w:rFonts w:ascii="Times New Roman" w:hAnsi="Times New Roman"/>
      <w:sz w:val="24"/>
      <w:szCs w:val="20"/>
      <w:lang w:val="cs-CZ" w:eastAsia="cs-CZ"/>
    </w:rPr>
  </w:style>
  <w:style w:type="paragraph" w:customStyle="1" w:styleId="p28">
    <w:name w:val="p28"/>
    <w:basedOn w:val="Normal"/>
    <w:rsid w:val="009C13A9"/>
    <w:pPr>
      <w:tabs>
        <w:tab w:val="left" w:pos="720"/>
      </w:tabs>
      <w:suppressAutoHyphens/>
      <w:spacing w:line="220" w:lineRule="atLeast"/>
    </w:pPr>
    <w:rPr>
      <w:rFonts w:ascii="Times New Roman" w:hAnsi="Times New Roman"/>
      <w:sz w:val="24"/>
      <w:szCs w:val="20"/>
      <w:lang w:val="cs-CZ" w:eastAsia="cs-CZ"/>
    </w:rPr>
  </w:style>
  <w:style w:type="paragraph" w:customStyle="1" w:styleId="c56">
    <w:name w:val="c56"/>
    <w:basedOn w:val="Normal"/>
    <w:rsid w:val="009C13A9"/>
    <w:pPr>
      <w:suppressAutoHyphens/>
      <w:spacing w:line="240" w:lineRule="atLeast"/>
      <w:jc w:val="center"/>
    </w:pPr>
    <w:rPr>
      <w:rFonts w:ascii="Times New Roman" w:hAnsi="Times New Roman"/>
      <w:sz w:val="24"/>
      <w:szCs w:val="20"/>
      <w:lang w:val="cs-CZ" w:eastAsia="cs-CZ"/>
    </w:rPr>
  </w:style>
  <w:style w:type="paragraph" w:customStyle="1" w:styleId="c66">
    <w:name w:val="c66"/>
    <w:basedOn w:val="Normal"/>
    <w:rsid w:val="009C13A9"/>
    <w:pPr>
      <w:suppressAutoHyphens/>
      <w:spacing w:line="240" w:lineRule="atLeast"/>
      <w:jc w:val="center"/>
    </w:pPr>
    <w:rPr>
      <w:rFonts w:ascii="Times New Roman" w:hAnsi="Times New Roman"/>
      <w:sz w:val="24"/>
      <w:szCs w:val="20"/>
      <w:lang w:val="cs-CZ" w:eastAsia="cs-CZ"/>
    </w:rPr>
  </w:style>
  <w:style w:type="paragraph" w:customStyle="1" w:styleId="p52">
    <w:name w:val="p52"/>
    <w:basedOn w:val="Normal"/>
    <w:rsid w:val="009C13A9"/>
    <w:pPr>
      <w:tabs>
        <w:tab w:val="left" w:pos="720"/>
      </w:tabs>
      <w:suppressAutoHyphens/>
      <w:spacing w:line="220" w:lineRule="atLeast"/>
    </w:pPr>
    <w:rPr>
      <w:rFonts w:ascii="Times New Roman" w:hAnsi="Times New Roman"/>
      <w:sz w:val="24"/>
      <w:szCs w:val="20"/>
      <w:lang w:val="cs-CZ" w:eastAsia="cs-CZ"/>
    </w:rPr>
  </w:style>
  <w:style w:type="paragraph" w:customStyle="1" w:styleId="c62">
    <w:name w:val="c62"/>
    <w:basedOn w:val="Normal"/>
    <w:rsid w:val="009C13A9"/>
    <w:pPr>
      <w:suppressAutoHyphens/>
      <w:spacing w:line="240" w:lineRule="atLeast"/>
      <w:jc w:val="center"/>
    </w:pPr>
    <w:rPr>
      <w:rFonts w:ascii="Times New Roman" w:hAnsi="Times New Roman"/>
      <w:sz w:val="24"/>
      <w:szCs w:val="20"/>
      <w:lang w:val="cs-CZ" w:eastAsia="cs-CZ"/>
    </w:rPr>
  </w:style>
  <w:style w:type="paragraph" w:customStyle="1" w:styleId="c84">
    <w:name w:val="c84"/>
    <w:basedOn w:val="Normal"/>
    <w:rsid w:val="009C13A9"/>
    <w:pPr>
      <w:suppressAutoHyphens/>
      <w:spacing w:line="240" w:lineRule="atLeast"/>
      <w:jc w:val="center"/>
    </w:pPr>
    <w:rPr>
      <w:rFonts w:ascii="Times New Roman" w:hAnsi="Times New Roman"/>
      <w:sz w:val="24"/>
      <w:szCs w:val="20"/>
      <w:lang w:val="cs-CZ" w:eastAsia="cs-CZ"/>
    </w:rPr>
  </w:style>
  <w:style w:type="paragraph" w:customStyle="1" w:styleId="p1">
    <w:name w:val="p1"/>
    <w:basedOn w:val="Normal"/>
    <w:rsid w:val="009C13A9"/>
    <w:pPr>
      <w:tabs>
        <w:tab w:val="left" w:pos="280"/>
      </w:tabs>
      <w:suppressAutoHyphens/>
      <w:spacing w:line="220" w:lineRule="atLeast"/>
      <w:ind w:left="1440" w:firstLine="288"/>
    </w:pPr>
    <w:rPr>
      <w:rFonts w:ascii="Times New Roman" w:hAnsi="Times New Roman"/>
      <w:sz w:val="24"/>
      <w:szCs w:val="20"/>
      <w:lang w:val="cs-CZ" w:eastAsia="cs-CZ"/>
    </w:rPr>
  </w:style>
  <w:style w:type="paragraph" w:customStyle="1" w:styleId="p2">
    <w:name w:val="p2"/>
    <w:basedOn w:val="Normal"/>
    <w:rsid w:val="009C13A9"/>
    <w:pPr>
      <w:tabs>
        <w:tab w:val="left" w:pos="1700"/>
      </w:tabs>
      <w:suppressAutoHyphens/>
      <w:spacing w:line="340" w:lineRule="atLeast"/>
      <w:ind w:left="288" w:hanging="1728"/>
    </w:pPr>
    <w:rPr>
      <w:rFonts w:ascii="Times New Roman" w:hAnsi="Times New Roman"/>
      <w:sz w:val="24"/>
      <w:szCs w:val="20"/>
      <w:lang w:val="cs-CZ" w:eastAsia="cs-CZ"/>
    </w:rPr>
  </w:style>
  <w:style w:type="paragraph" w:customStyle="1" w:styleId="VO-Textohne">
    <w:name w:val="VO-Text ohne"/>
    <w:basedOn w:val="Normal"/>
    <w:rsid w:val="009C13A9"/>
    <w:pPr>
      <w:suppressAutoHyphens/>
      <w:spacing w:before="120"/>
    </w:pPr>
    <w:rPr>
      <w:bCs/>
      <w:szCs w:val="20"/>
      <w:lang w:val="cs-CZ" w:eastAsia="cs-CZ"/>
    </w:rPr>
  </w:style>
  <w:style w:type="paragraph" w:customStyle="1" w:styleId="Commentaire2">
    <w:name w:val="Commentaire2"/>
    <w:basedOn w:val="Normal"/>
    <w:rsid w:val="009C13A9"/>
    <w:pPr>
      <w:suppressAutoHyphens/>
    </w:pPr>
    <w:rPr>
      <w:szCs w:val="20"/>
      <w:lang w:val="cs-CZ" w:eastAsia="cs-CZ"/>
    </w:rPr>
  </w:style>
  <w:style w:type="paragraph" w:customStyle="1" w:styleId="VO-Text-AbsnachNr">
    <w:name w:val="VO-Text-Abs nach Nr"/>
    <w:basedOn w:val="Normal"/>
    <w:rsid w:val="009C13A9"/>
    <w:pPr>
      <w:tabs>
        <w:tab w:val="left" w:pos="992"/>
        <w:tab w:val="left" w:pos="1418"/>
      </w:tabs>
      <w:suppressAutoHyphens/>
      <w:spacing w:before="120"/>
      <w:ind w:left="992" w:hanging="567"/>
    </w:pPr>
    <w:rPr>
      <w:b/>
      <w:bCs/>
      <w:lang w:val="cs-CZ" w:eastAsia="cs-CZ"/>
    </w:rPr>
  </w:style>
  <w:style w:type="paragraph" w:customStyle="1" w:styleId="VO-TextEinzug">
    <w:name w:val="VO-Text Einzug"/>
    <w:basedOn w:val="VO-Text-AbsnachNr"/>
    <w:rsid w:val="009C13A9"/>
    <w:pPr>
      <w:ind w:firstLine="0"/>
    </w:pPr>
  </w:style>
  <w:style w:type="paragraph" w:customStyle="1" w:styleId="TNR1Tab">
    <w:name w:val="TNR1Tab"/>
    <w:basedOn w:val="TNR1"/>
    <w:rsid w:val="009C13A9"/>
    <w:pPr>
      <w:widowControl w:val="0"/>
      <w:tabs>
        <w:tab w:val="clear" w:pos="907"/>
        <w:tab w:val="left" w:pos="1021"/>
      </w:tabs>
      <w:suppressAutoHyphens/>
      <w:overflowPunct/>
      <w:adjustRightInd/>
      <w:spacing w:line="240" w:lineRule="exact"/>
      <w:ind w:left="284" w:right="57"/>
      <w:textAlignment w:val="auto"/>
    </w:pPr>
    <w:rPr>
      <w:sz w:val="20"/>
      <w:lang w:val="cs-CZ" w:eastAsia="cs-CZ"/>
    </w:rPr>
  </w:style>
  <w:style w:type="paragraph" w:customStyle="1" w:styleId="TNRATab">
    <w:name w:val="TNRATab"/>
    <w:basedOn w:val="TNR1Tab"/>
    <w:rsid w:val="009C13A9"/>
    <w:pPr>
      <w:tabs>
        <w:tab w:val="left" w:pos="568"/>
      </w:tabs>
      <w:ind w:left="568" w:hanging="283"/>
    </w:pPr>
  </w:style>
  <w:style w:type="paragraph" w:customStyle="1" w:styleId="Corpsdetexte21">
    <w:name w:val="Corps de texte 21"/>
    <w:basedOn w:val="Normal"/>
    <w:rsid w:val="009C13A9"/>
    <w:pPr>
      <w:widowControl w:val="0"/>
      <w:tabs>
        <w:tab w:val="left" w:pos="851"/>
      </w:tabs>
      <w:suppressAutoHyphens/>
      <w:overflowPunct w:val="0"/>
      <w:ind w:left="365"/>
      <w:textAlignment w:val="baseline"/>
    </w:pPr>
    <w:rPr>
      <w:rFonts w:ascii="CG Times (W1)" w:hAnsi="CG Times (W1)"/>
      <w:sz w:val="24"/>
      <w:szCs w:val="20"/>
      <w:lang w:val="cs-CZ" w:eastAsia="cs-CZ"/>
    </w:rPr>
  </w:style>
  <w:style w:type="paragraph" w:customStyle="1" w:styleId="Retraitcorpsdetexte31">
    <w:name w:val="Retrait corps de texte 31"/>
    <w:basedOn w:val="Normal"/>
    <w:rsid w:val="009C13A9"/>
    <w:pPr>
      <w:suppressAutoHyphens/>
      <w:spacing w:after="120" w:line="360" w:lineRule="auto"/>
      <w:ind w:left="283"/>
    </w:pPr>
    <w:rPr>
      <w:rFonts w:ascii="Times New Roman" w:hAnsi="Times New Roman"/>
      <w:sz w:val="16"/>
      <w:szCs w:val="16"/>
      <w:lang w:val="cs-CZ" w:eastAsia="cs-CZ"/>
    </w:rPr>
  </w:style>
  <w:style w:type="paragraph" w:customStyle="1" w:styleId="u1">
    <w:name w:val="u1"/>
    <w:basedOn w:val="Normal"/>
    <w:rsid w:val="009C13A9"/>
    <w:pPr>
      <w:keepNext/>
      <w:keepLines/>
      <w:tabs>
        <w:tab w:val="left" w:pos="851"/>
        <w:tab w:val="left" w:pos="1134"/>
        <w:tab w:val="left" w:pos="1418"/>
      </w:tabs>
      <w:suppressAutoHyphens/>
      <w:spacing w:before="720" w:line="240" w:lineRule="atLeast"/>
      <w:ind w:left="851" w:hanging="851"/>
    </w:pPr>
    <w:rPr>
      <w:rFonts w:ascii="Times New Roman" w:hAnsi="Times New Roman"/>
      <w:b/>
      <w:sz w:val="24"/>
      <w:szCs w:val="20"/>
      <w:lang w:val="cs-CZ" w:eastAsia="cs-CZ"/>
    </w:rPr>
  </w:style>
  <w:style w:type="paragraph" w:customStyle="1" w:styleId="u2">
    <w:name w:val="u2"/>
    <w:basedOn w:val="Normal"/>
    <w:rsid w:val="009C13A9"/>
    <w:pPr>
      <w:keepNext/>
      <w:keepLines/>
      <w:tabs>
        <w:tab w:val="left" w:pos="851"/>
        <w:tab w:val="left" w:pos="1134"/>
        <w:tab w:val="left" w:pos="1418"/>
      </w:tabs>
      <w:suppressAutoHyphens/>
      <w:spacing w:before="240" w:line="240" w:lineRule="atLeast"/>
      <w:ind w:left="851" w:hanging="851"/>
    </w:pPr>
    <w:rPr>
      <w:rFonts w:ascii="Times New Roman" w:hAnsi="Times New Roman"/>
      <w:b/>
      <w:sz w:val="24"/>
      <w:szCs w:val="20"/>
      <w:lang w:val="cs-CZ" w:eastAsia="cs-CZ"/>
    </w:rPr>
  </w:style>
  <w:style w:type="paragraph" w:customStyle="1" w:styleId="Retraitcorpsdetexte23">
    <w:name w:val="Retrait corps de texte 23"/>
    <w:basedOn w:val="Normal"/>
    <w:rsid w:val="009C13A9"/>
    <w:pPr>
      <w:widowControl w:val="0"/>
      <w:tabs>
        <w:tab w:val="left" w:pos="284"/>
      </w:tabs>
      <w:suppressAutoHyphens/>
      <w:ind w:left="284" w:hanging="284"/>
    </w:pPr>
    <w:rPr>
      <w:rFonts w:ascii="Times New Roman" w:hAnsi="Times New Roman"/>
      <w:i/>
      <w:sz w:val="24"/>
      <w:szCs w:val="20"/>
      <w:lang w:val="cs-CZ" w:eastAsia="cs-CZ"/>
    </w:rPr>
  </w:style>
  <w:style w:type="paragraph" w:customStyle="1" w:styleId="Formatvorlage1">
    <w:name w:val="Formatvorlage1"/>
    <w:basedOn w:val="Normal"/>
    <w:rsid w:val="009C13A9"/>
    <w:pPr>
      <w:tabs>
        <w:tab w:val="left" w:pos="851"/>
      </w:tabs>
      <w:suppressAutoHyphens/>
      <w:overflowPunct w:val="0"/>
      <w:spacing w:before="120"/>
      <w:ind w:left="850"/>
      <w:textAlignment w:val="baseline"/>
    </w:pPr>
    <w:rPr>
      <w:bCs/>
      <w:iCs/>
      <w:szCs w:val="20"/>
      <w:lang w:eastAsia="cs-CZ"/>
    </w:rPr>
  </w:style>
  <w:style w:type="paragraph" w:customStyle="1" w:styleId="Corpsdetexte31">
    <w:name w:val="Corps de texte 31"/>
    <w:basedOn w:val="Normal"/>
    <w:rsid w:val="009C13A9"/>
    <w:pPr>
      <w:suppressAutoHyphens/>
      <w:overflowPunct w:val="0"/>
      <w:spacing w:before="40" w:after="40"/>
      <w:textAlignment w:val="baseline"/>
    </w:pPr>
    <w:rPr>
      <w:szCs w:val="20"/>
      <w:lang w:val="cs-CZ" w:eastAsia="cs-CZ"/>
    </w:rPr>
  </w:style>
  <w:style w:type="paragraph" w:customStyle="1" w:styleId="Grundtext">
    <w:name w:val="Grundtext"/>
    <w:rsid w:val="009C13A9"/>
    <w:pPr>
      <w:tabs>
        <w:tab w:val="left" w:pos="720"/>
        <w:tab w:val="left" w:pos="1440"/>
        <w:tab w:val="left" w:pos="2160"/>
        <w:tab w:val="left" w:pos="2880"/>
        <w:tab w:val="left" w:pos="3600"/>
        <w:tab w:val="left" w:pos="4320"/>
        <w:tab w:val="left" w:pos="5040"/>
        <w:tab w:val="left" w:pos="5760"/>
      </w:tabs>
      <w:suppressAutoHyphens/>
      <w:spacing w:after="240" w:line="240" w:lineRule="atLeast"/>
    </w:pPr>
    <w:rPr>
      <w:rFonts w:ascii="Times New Roman" w:eastAsia="Arial" w:hAnsi="Times New Roman"/>
      <w:color w:val="000000"/>
      <w:sz w:val="24"/>
    </w:rPr>
  </w:style>
  <w:style w:type="paragraph" w:customStyle="1" w:styleId="Normalcentr1">
    <w:name w:val="Normal centré1"/>
    <w:basedOn w:val="Normal"/>
    <w:rsid w:val="009C13A9"/>
    <w:pPr>
      <w:suppressAutoHyphens/>
      <w:spacing w:before="60" w:after="60"/>
      <w:ind w:left="427" w:right="57" w:hanging="370"/>
    </w:pPr>
    <w:rPr>
      <w:szCs w:val="20"/>
      <w:lang w:val="cs-CZ" w:eastAsia="cs-CZ"/>
    </w:rPr>
  </w:style>
  <w:style w:type="paragraph" w:customStyle="1" w:styleId="BlockText2">
    <w:name w:val="Block Text2"/>
    <w:basedOn w:val="Normal"/>
    <w:rsid w:val="009C13A9"/>
    <w:pPr>
      <w:widowControl w:val="0"/>
      <w:tabs>
        <w:tab w:val="left" w:pos="648"/>
      </w:tabs>
      <w:suppressAutoHyphens/>
      <w:overflowPunct w:val="0"/>
      <w:ind w:left="709" w:right="142" w:hanging="567"/>
      <w:textAlignment w:val="baseline"/>
    </w:pPr>
    <w:rPr>
      <w:rFonts w:ascii="CG Times (W1)" w:hAnsi="CG Times (W1)"/>
      <w:sz w:val="24"/>
      <w:szCs w:val="20"/>
      <w:lang w:val="cs-CZ" w:eastAsia="cs-CZ"/>
    </w:rPr>
  </w:style>
  <w:style w:type="paragraph" w:customStyle="1" w:styleId="BlockText3">
    <w:name w:val="Block Text3"/>
    <w:basedOn w:val="Normal"/>
    <w:rsid w:val="009C13A9"/>
    <w:pPr>
      <w:widowControl w:val="0"/>
      <w:tabs>
        <w:tab w:val="left" w:pos="648"/>
      </w:tabs>
      <w:suppressAutoHyphens/>
      <w:overflowPunct w:val="0"/>
      <w:ind w:left="648" w:right="143" w:hanging="506"/>
      <w:textAlignment w:val="baseline"/>
    </w:pPr>
    <w:rPr>
      <w:rFonts w:ascii="CG Times (W1)" w:hAnsi="CG Times (W1)"/>
      <w:sz w:val="24"/>
      <w:szCs w:val="20"/>
      <w:lang w:val="cs-CZ" w:eastAsia="cs-CZ"/>
    </w:rPr>
  </w:style>
  <w:style w:type="paragraph" w:customStyle="1" w:styleId="BlockText1">
    <w:name w:val="Block Text1"/>
    <w:basedOn w:val="Normal"/>
    <w:rsid w:val="009C13A9"/>
    <w:pPr>
      <w:widowControl w:val="0"/>
      <w:tabs>
        <w:tab w:val="left" w:pos="720"/>
      </w:tabs>
      <w:suppressAutoHyphens/>
      <w:overflowPunct w:val="0"/>
      <w:ind w:left="360" w:right="143"/>
      <w:textAlignment w:val="baseline"/>
    </w:pPr>
    <w:rPr>
      <w:rFonts w:ascii="CG Times (W1)" w:hAnsi="CG Times (W1)"/>
      <w:sz w:val="24"/>
      <w:szCs w:val="20"/>
      <w:lang w:val="cs-CZ" w:eastAsia="cs-CZ"/>
    </w:rPr>
  </w:style>
  <w:style w:type="paragraph" w:customStyle="1" w:styleId="berschrift71">
    <w:name w:val="Überschrift 71"/>
    <w:basedOn w:val="Normal"/>
    <w:next w:val="Normal"/>
    <w:rsid w:val="009C13A9"/>
    <w:pPr>
      <w:keepNext/>
      <w:widowControl w:val="0"/>
      <w:suppressAutoHyphens/>
      <w:overflowPunct w:val="0"/>
      <w:ind w:left="81" w:right="143" w:firstLine="61"/>
      <w:jc w:val="center"/>
      <w:textAlignment w:val="baseline"/>
    </w:pPr>
    <w:rPr>
      <w:rFonts w:ascii="CG Times (W1)" w:hAnsi="CG Times (W1)"/>
      <w:b/>
      <w:sz w:val="24"/>
      <w:szCs w:val="20"/>
      <w:u w:val="single"/>
      <w:lang w:val="cs-CZ" w:eastAsia="cs-CZ"/>
    </w:rPr>
  </w:style>
  <w:style w:type="paragraph" w:customStyle="1" w:styleId="Corpsdetexte2">
    <w:name w:val="Corps de texte2"/>
    <w:basedOn w:val="Normal"/>
    <w:rsid w:val="009C13A9"/>
    <w:pPr>
      <w:widowControl w:val="0"/>
      <w:suppressAutoHyphens/>
      <w:overflowPunct w:val="0"/>
      <w:spacing w:line="340" w:lineRule="atLeast"/>
      <w:textAlignment w:val="baseline"/>
    </w:pPr>
    <w:rPr>
      <w:rFonts w:ascii="Times New Roman" w:hAnsi="Times New Roman"/>
      <w:sz w:val="24"/>
      <w:szCs w:val="20"/>
      <w:lang w:val="cs-CZ" w:eastAsia="cs-CZ"/>
    </w:rPr>
  </w:style>
  <w:style w:type="paragraph" w:customStyle="1" w:styleId="Pres1">
    <w:name w:val="P_res1"/>
    <w:basedOn w:val="TNR1"/>
    <w:rsid w:val="009C13A9"/>
    <w:pPr>
      <w:tabs>
        <w:tab w:val="clear" w:pos="907"/>
        <w:tab w:val="left" w:pos="851"/>
        <w:tab w:val="left" w:pos="1021"/>
      </w:tabs>
      <w:suppressAutoHyphens/>
      <w:overflowPunct/>
      <w:adjustRightInd/>
      <w:spacing w:after="80"/>
      <w:ind w:left="851" w:hanging="425"/>
      <w:textAlignment w:val="auto"/>
    </w:pPr>
    <w:rPr>
      <w:lang w:val="cs-CZ" w:eastAsia="cs-CZ"/>
    </w:rPr>
  </w:style>
  <w:style w:type="paragraph" w:customStyle="1" w:styleId="Presa">
    <w:name w:val="P_res_a"/>
    <w:basedOn w:val="TNRA"/>
    <w:rsid w:val="009C13A9"/>
    <w:pPr>
      <w:tabs>
        <w:tab w:val="clear" w:pos="907"/>
        <w:tab w:val="left" w:pos="1021"/>
        <w:tab w:val="left" w:pos="1276"/>
      </w:tabs>
      <w:suppressAutoHyphens/>
      <w:adjustRightInd/>
      <w:spacing w:after="80" w:line="240" w:lineRule="exact"/>
      <w:ind w:left="1276" w:hanging="425"/>
    </w:pPr>
    <w:rPr>
      <w:lang w:val="cs-CZ" w:eastAsia="cs-CZ"/>
    </w:rPr>
  </w:style>
  <w:style w:type="paragraph" w:customStyle="1" w:styleId="Prestiret">
    <w:name w:val="P_res_tiret"/>
    <w:basedOn w:val="TNRA"/>
    <w:rsid w:val="009C13A9"/>
    <w:pPr>
      <w:tabs>
        <w:tab w:val="clear" w:pos="907"/>
        <w:tab w:val="left" w:pos="1021"/>
        <w:tab w:val="left" w:pos="1560"/>
      </w:tabs>
      <w:suppressAutoHyphens/>
      <w:adjustRightInd/>
      <w:spacing w:line="240" w:lineRule="exact"/>
      <w:ind w:left="1560"/>
    </w:pPr>
    <w:rPr>
      <w:lang w:val="cs-CZ" w:eastAsia="cs-CZ"/>
    </w:rPr>
  </w:style>
  <w:style w:type="paragraph" w:customStyle="1" w:styleId="Corpsdetexte1">
    <w:name w:val="Corps de texte1"/>
    <w:basedOn w:val="Normal"/>
    <w:rsid w:val="009C13A9"/>
    <w:pPr>
      <w:widowControl w:val="0"/>
      <w:suppressAutoHyphens/>
      <w:overflowPunct w:val="0"/>
      <w:spacing w:line="340" w:lineRule="atLeast"/>
      <w:textAlignment w:val="baseline"/>
    </w:pPr>
    <w:rPr>
      <w:rFonts w:ascii="Times New Roman" w:hAnsi="Times New Roman"/>
      <w:sz w:val="24"/>
      <w:szCs w:val="20"/>
      <w:lang w:val="cs-CZ" w:eastAsia="cs-CZ"/>
    </w:rPr>
  </w:style>
  <w:style w:type="paragraph" w:customStyle="1" w:styleId="Sty1">
    <w:name w:val="Sty_1"/>
    <w:basedOn w:val="BodyText"/>
    <w:rsid w:val="009C13A9"/>
    <w:pPr>
      <w:keepNext w:val="0"/>
      <w:tabs>
        <w:tab w:val="clear" w:pos="709"/>
        <w:tab w:val="left" w:pos="567"/>
      </w:tabs>
      <w:suppressAutoHyphens/>
      <w:autoSpaceDE w:val="0"/>
      <w:spacing w:line="240" w:lineRule="auto"/>
      <w:ind w:left="567" w:hanging="567"/>
      <w:jc w:val="both"/>
    </w:pPr>
    <w:rPr>
      <w:rFonts w:cs="Arial"/>
      <w:lang w:val="cs-CZ"/>
    </w:rPr>
  </w:style>
  <w:style w:type="paragraph" w:customStyle="1" w:styleId="Standard1">
    <w:name w:val="Standard1"/>
    <w:rsid w:val="009C13A9"/>
    <w:pPr>
      <w:widowControl w:val="0"/>
      <w:suppressAutoHyphens/>
      <w:overflowPunct w:val="0"/>
      <w:autoSpaceDE w:val="0"/>
      <w:jc w:val="both"/>
      <w:textAlignment w:val="baseline"/>
    </w:pPr>
    <w:rPr>
      <w:rFonts w:ascii="CG Times (W1)" w:eastAsia="Arial" w:hAnsi="CG Times (W1)"/>
      <w:sz w:val="24"/>
    </w:rPr>
  </w:style>
  <w:style w:type="paragraph" w:customStyle="1" w:styleId="Kopfzeile1">
    <w:name w:val="Kopfzeile1"/>
    <w:basedOn w:val="Standard1"/>
    <w:rsid w:val="009C13A9"/>
    <w:pPr>
      <w:tabs>
        <w:tab w:val="center" w:pos="4819"/>
        <w:tab w:val="right" w:pos="9071"/>
      </w:tabs>
    </w:pPr>
  </w:style>
  <w:style w:type="paragraph" w:customStyle="1" w:styleId="BodyTextIndent21">
    <w:name w:val="Body Text Indent 21"/>
    <w:basedOn w:val="Normal"/>
    <w:rsid w:val="009C13A9"/>
    <w:pPr>
      <w:widowControl w:val="0"/>
      <w:tabs>
        <w:tab w:val="left" w:pos="426"/>
      </w:tabs>
      <w:suppressAutoHyphens/>
      <w:spacing w:line="240" w:lineRule="atLeast"/>
      <w:ind w:left="426" w:hanging="426"/>
    </w:pPr>
    <w:rPr>
      <w:szCs w:val="20"/>
      <w:lang w:val="cs-CZ" w:eastAsia="cs-CZ"/>
    </w:rPr>
  </w:style>
  <w:style w:type="paragraph" w:customStyle="1" w:styleId="FreytagText">
    <w:name w:val="FreytagText"/>
    <w:basedOn w:val="Normal"/>
    <w:rsid w:val="009C13A9"/>
    <w:pPr>
      <w:tabs>
        <w:tab w:val="left" w:pos="709"/>
        <w:tab w:val="left" w:pos="1134"/>
        <w:tab w:val="left" w:pos="1559"/>
        <w:tab w:val="left" w:pos="2126"/>
        <w:tab w:val="left" w:pos="2835"/>
        <w:tab w:val="left" w:pos="3544"/>
        <w:tab w:val="left" w:pos="4253"/>
        <w:tab w:val="left" w:pos="4961"/>
        <w:tab w:val="left" w:pos="5670"/>
        <w:tab w:val="left" w:pos="6379"/>
        <w:tab w:val="left" w:pos="7088"/>
      </w:tabs>
      <w:suppressAutoHyphens/>
      <w:spacing w:line="360" w:lineRule="auto"/>
    </w:pPr>
    <w:rPr>
      <w:spacing w:val="8"/>
      <w:szCs w:val="20"/>
      <w:lang w:val="cs-CZ" w:eastAsia="cs-CZ"/>
    </w:rPr>
  </w:style>
  <w:style w:type="paragraph" w:customStyle="1" w:styleId="Rad11">
    <w:name w:val="Rad1.1"/>
    <w:basedOn w:val="Normal"/>
    <w:rsid w:val="009C13A9"/>
    <w:pPr>
      <w:tabs>
        <w:tab w:val="left" w:pos="284"/>
        <w:tab w:val="left" w:pos="454"/>
        <w:tab w:val="left" w:pos="709"/>
      </w:tabs>
      <w:suppressAutoHyphens/>
      <w:spacing w:line="240" w:lineRule="exact"/>
      <w:ind w:hanging="426"/>
    </w:pPr>
    <w:rPr>
      <w:rFonts w:ascii="Times New Roman" w:hAnsi="Times New Roman"/>
      <w:sz w:val="24"/>
      <w:szCs w:val="20"/>
      <w:lang w:eastAsia="cs-CZ"/>
    </w:rPr>
  </w:style>
  <w:style w:type="paragraph" w:customStyle="1" w:styleId="Par1">
    <w:name w:val="Par_1"/>
    <w:basedOn w:val="Normal"/>
    <w:rsid w:val="009C13A9"/>
    <w:pPr>
      <w:tabs>
        <w:tab w:val="left" w:pos="482"/>
      </w:tabs>
      <w:suppressAutoHyphens/>
      <w:spacing w:before="40" w:after="40"/>
      <w:ind w:left="482" w:right="57"/>
    </w:pPr>
    <w:rPr>
      <w:szCs w:val="20"/>
      <w:lang w:val="cs-CZ" w:eastAsia="cs-CZ"/>
    </w:rPr>
  </w:style>
  <w:style w:type="paragraph" w:customStyle="1" w:styleId="t62">
    <w:name w:val="t62"/>
    <w:basedOn w:val="Normal"/>
    <w:rsid w:val="009C13A9"/>
    <w:pPr>
      <w:suppressAutoHyphens/>
      <w:spacing w:line="240" w:lineRule="atLeast"/>
    </w:pPr>
    <w:rPr>
      <w:rFonts w:ascii="Times New Roman" w:hAnsi="Times New Roman"/>
      <w:sz w:val="24"/>
      <w:szCs w:val="20"/>
      <w:lang w:val="cs-CZ" w:eastAsia="cs-CZ"/>
    </w:rPr>
  </w:style>
  <w:style w:type="paragraph" w:customStyle="1" w:styleId="p17">
    <w:name w:val="p17"/>
    <w:basedOn w:val="Normal"/>
    <w:rsid w:val="009C13A9"/>
    <w:pPr>
      <w:tabs>
        <w:tab w:val="left" w:pos="280"/>
      </w:tabs>
      <w:suppressAutoHyphens/>
      <w:spacing w:line="200" w:lineRule="atLeast"/>
      <w:ind w:left="1440" w:firstLine="288"/>
    </w:pPr>
    <w:rPr>
      <w:rFonts w:ascii="Times New Roman" w:hAnsi="Times New Roman"/>
      <w:sz w:val="24"/>
      <w:szCs w:val="20"/>
      <w:lang w:val="cs-CZ" w:eastAsia="cs-CZ"/>
    </w:rPr>
  </w:style>
  <w:style w:type="paragraph" w:customStyle="1" w:styleId="p67">
    <w:name w:val="p67"/>
    <w:basedOn w:val="Normal"/>
    <w:rsid w:val="009C13A9"/>
    <w:pPr>
      <w:tabs>
        <w:tab w:val="left" w:pos="660"/>
      </w:tabs>
      <w:suppressAutoHyphens/>
      <w:spacing w:line="200" w:lineRule="atLeast"/>
      <w:ind w:left="780"/>
    </w:pPr>
    <w:rPr>
      <w:rFonts w:ascii="Times New Roman" w:hAnsi="Times New Roman"/>
      <w:sz w:val="24"/>
      <w:szCs w:val="20"/>
      <w:lang w:val="cs-CZ" w:eastAsia="cs-CZ"/>
    </w:rPr>
  </w:style>
  <w:style w:type="paragraph" w:customStyle="1" w:styleId="ai">
    <w:name w:val="ai"/>
    <w:basedOn w:val="Normal"/>
    <w:rsid w:val="009C13A9"/>
    <w:pPr>
      <w:tabs>
        <w:tab w:val="left" w:pos="425"/>
      </w:tabs>
      <w:suppressAutoHyphens/>
      <w:spacing w:line="240" w:lineRule="atLeast"/>
    </w:pPr>
    <w:rPr>
      <w:rFonts w:cs="Arial"/>
      <w:bCs/>
      <w:i/>
      <w:lang w:val="cs-CZ" w:eastAsia="cs-CZ"/>
    </w:rPr>
  </w:style>
  <w:style w:type="paragraph" w:customStyle="1" w:styleId="aai">
    <w:name w:val="aai"/>
    <w:basedOn w:val="Normal"/>
    <w:rsid w:val="009C13A9"/>
    <w:pPr>
      <w:tabs>
        <w:tab w:val="left" w:pos="851"/>
      </w:tabs>
      <w:suppressAutoHyphens/>
      <w:spacing w:line="240" w:lineRule="atLeast"/>
      <w:ind w:left="850"/>
    </w:pPr>
    <w:rPr>
      <w:rFonts w:cs="Arial"/>
      <w:bCs/>
      <w:i/>
      <w:lang w:val="cs-CZ" w:eastAsia="cs-CZ"/>
    </w:rPr>
  </w:style>
  <w:style w:type="paragraph" w:customStyle="1" w:styleId="achi">
    <w:name w:val="achi"/>
    <w:basedOn w:val="aa"/>
    <w:rsid w:val="009C13A9"/>
    <w:pPr>
      <w:widowControl w:val="0"/>
      <w:tabs>
        <w:tab w:val="clear" w:pos="425"/>
        <w:tab w:val="clear" w:pos="851"/>
        <w:tab w:val="clear" w:pos="1701"/>
        <w:tab w:val="clear" w:pos="2126"/>
        <w:tab w:val="left" w:pos="284"/>
        <w:tab w:val="left" w:pos="454"/>
        <w:tab w:val="left" w:pos="680"/>
        <w:tab w:val="left" w:pos="1021"/>
        <w:tab w:val="left" w:pos="1559"/>
      </w:tabs>
      <w:suppressAutoHyphens/>
      <w:adjustRightInd/>
      <w:spacing w:before="0"/>
      <w:ind w:left="1560" w:hanging="709"/>
    </w:pPr>
    <w:rPr>
      <w:szCs w:val="20"/>
      <w:lang w:val="cs-CZ" w:eastAsia="cs-CZ"/>
    </w:rPr>
  </w:style>
  <w:style w:type="paragraph" w:customStyle="1" w:styleId="xl39">
    <w:name w:val="xl39"/>
    <w:basedOn w:val="Normal"/>
    <w:rsid w:val="009C13A9"/>
    <w:pPr>
      <w:suppressAutoHyphens/>
      <w:spacing w:before="100" w:after="100"/>
      <w:jc w:val="center"/>
    </w:pPr>
    <w:rPr>
      <w:rFonts w:cs="Arial"/>
      <w:b/>
      <w:bCs/>
      <w:sz w:val="24"/>
      <w:lang w:eastAsia="cs-CZ"/>
    </w:rPr>
  </w:style>
  <w:style w:type="paragraph" w:customStyle="1" w:styleId="Textedebulles1">
    <w:name w:val="Texte de bulles1"/>
    <w:basedOn w:val="Normal"/>
    <w:rsid w:val="009C13A9"/>
    <w:pPr>
      <w:suppressAutoHyphens/>
      <w:overflowPunct w:val="0"/>
      <w:textAlignment w:val="baseline"/>
    </w:pPr>
    <w:rPr>
      <w:rFonts w:ascii="Times New Roman" w:hAnsi="Times New Roman"/>
      <w:sz w:val="16"/>
      <w:szCs w:val="16"/>
      <w:lang w:eastAsia="cs-CZ"/>
    </w:rPr>
  </w:style>
  <w:style w:type="paragraph" w:customStyle="1" w:styleId="Text10">
    <w:name w:val="Text1"/>
    <w:basedOn w:val="Normal"/>
    <w:rsid w:val="009C13A9"/>
    <w:pPr>
      <w:suppressAutoHyphens/>
      <w:spacing w:after="120" w:line="360" w:lineRule="auto"/>
    </w:pPr>
    <w:rPr>
      <w:rFonts w:ascii="Arial Narrow" w:hAnsi="Arial Narrow"/>
      <w:lang w:val="cs-CZ" w:eastAsia="cs-CZ"/>
    </w:rPr>
  </w:style>
  <w:style w:type="paragraph" w:customStyle="1" w:styleId="Default">
    <w:name w:val="Default"/>
    <w:rsid w:val="009C13A9"/>
    <w:pPr>
      <w:widowControl w:val="0"/>
      <w:suppressAutoHyphens/>
      <w:autoSpaceDE w:val="0"/>
    </w:pPr>
    <w:rPr>
      <w:rFonts w:ascii="EU Albertina" w:eastAsia="Arial" w:hAnsi="EU Albertina" w:cs="EU Albertina"/>
      <w:color w:val="000000"/>
      <w:sz w:val="24"/>
      <w:szCs w:val="24"/>
    </w:rPr>
  </w:style>
  <w:style w:type="paragraph" w:customStyle="1" w:styleId="CM204">
    <w:name w:val="CM204"/>
    <w:basedOn w:val="Default"/>
    <w:next w:val="Default"/>
    <w:rsid w:val="009C13A9"/>
    <w:pPr>
      <w:spacing w:after="173"/>
    </w:pPr>
    <w:rPr>
      <w:color w:val="auto"/>
    </w:rPr>
  </w:style>
  <w:style w:type="paragraph" w:customStyle="1" w:styleId="CM202">
    <w:name w:val="CM202"/>
    <w:basedOn w:val="Default"/>
    <w:next w:val="Default"/>
    <w:rsid w:val="009C13A9"/>
    <w:pPr>
      <w:spacing w:after="298"/>
    </w:pPr>
    <w:rPr>
      <w:color w:val="auto"/>
    </w:rPr>
  </w:style>
  <w:style w:type="paragraph" w:customStyle="1" w:styleId="CM209">
    <w:name w:val="CM209"/>
    <w:basedOn w:val="Normal"/>
    <w:next w:val="Normal"/>
    <w:rsid w:val="009C13A9"/>
    <w:pPr>
      <w:widowControl w:val="0"/>
      <w:suppressAutoHyphens/>
      <w:spacing w:after="513"/>
    </w:pPr>
    <w:rPr>
      <w:rFonts w:ascii="EU Albertina" w:hAnsi="EU Albertina"/>
      <w:sz w:val="24"/>
      <w:lang w:val="cs-CZ" w:eastAsia="cs-CZ"/>
    </w:rPr>
  </w:style>
  <w:style w:type="paragraph" w:customStyle="1" w:styleId="CM208">
    <w:name w:val="CM208"/>
    <w:basedOn w:val="Default"/>
    <w:next w:val="Default"/>
    <w:rsid w:val="009C13A9"/>
    <w:pPr>
      <w:spacing w:after="240"/>
    </w:pPr>
    <w:rPr>
      <w:color w:val="auto"/>
    </w:rPr>
  </w:style>
  <w:style w:type="paragraph" w:customStyle="1" w:styleId="CM62">
    <w:name w:val="CM62"/>
    <w:basedOn w:val="Default"/>
    <w:next w:val="Default"/>
    <w:rsid w:val="009C13A9"/>
    <w:pPr>
      <w:spacing w:line="188" w:lineRule="atLeast"/>
    </w:pPr>
    <w:rPr>
      <w:color w:val="auto"/>
    </w:rPr>
  </w:style>
  <w:style w:type="paragraph" w:customStyle="1" w:styleId="CM215">
    <w:name w:val="CM215"/>
    <w:basedOn w:val="Default"/>
    <w:next w:val="Default"/>
    <w:rsid w:val="009C13A9"/>
    <w:pPr>
      <w:spacing w:after="613"/>
    </w:pPr>
    <w:rPr>
      <w:color w:val="auto"/>
    </w:rPr>
  </w:style>
  <w:style w:type="paragraph" w:customStyle="1" w:styleId="Formatvorlageberschrift212ptNichtKursivLinks0cmErsteZeil">
    <w:name w:val="Formatvorlage Überschrift 2 + 12 pt Nicht Kursiv Links:  0 cm Erste Zeil..."/>
    <w:basedOn w:val="Heading2"/>
    <w:rsid w:val="009C13A9"/>
    <w:pPr>
      <w:numPr>
        <w:ilvl w:val="0"/>
        <w:numId w:val="0"/>
      </w:numPr>
      <w:tabs>
        <w:tab w:val="left" w:pos="720"/>
      </w:tabs>
      <w:suppressAutoHyphens/>
      <w:spacing w:before="240" w:after="120"/>
      <w:ind w:left="720" w:hanging="720"/>
    </w:pPr>
    <w:rPr>
      <w:rFonts w:ascii="Arial" w:hAnsi="Arial"/>
      <w:i w:val="0"/>
      <w:iCs w:val="0"/>
      <w:sz w:val="24"/>
      <w:szCs w:val="20"/>
      <w:lang w:val="cs-CZ" w:eastAsia="cs-CZ"/>
    </w:rPr>
  </w:style>
  <w:style w:type="paragraph" w:customStyle="1" w:styleId="Bo1">
    <w:name w:val="Bo1"/>
    <w:basedOn w:val="Normal"/>
    <w:rsid w:val="009C13A9"/>
    <w:pPr>
      <w:suppressAutoHyphens/>
      <w:spacing w:line="240" w:lineRule="atLeast"/>
      <w:ind w:left="1134" w:hanging="709"/>
    </w:pPr>
    <w:rPr>
      <w:rFonts w:ascii="Times New Roman" w:hAnsi="Times New Roman"/>
      <w:b/>
      <w:lang w:val="cs-CZ" w:eastAsia="cs-CZ"/>
    </w:rPr>
  </w:style>
  <w:style w:type="paragraph" w:customStyle="1" w:styleId="Bo11">
    <w:name w:val="Bo1_1"/>
    <w:basedOn w:val="Normal"/>
    <w:rsid w:val="009C13A9"/>
    <w:pPr>
      <w:tabs>
        <w:tab w:val="left" w:pos="1134"/>
      </w:tabs>
      <w:suppressAutoHyphens/>
      <w:overflowPunct w:val="0"/>
      <w:spacing w:line="240" w:lineRule="atLeast"/>
      <w:ind w:left="1134" w:hanging="709"/>
      <w:textAlignment w:val="baseline"/>
    </w:pPr>
    <w:rPr>
      <w:rFonts w:ascii="Times New Roman" w:hAnsi="Times New Roman"/>
      <w:sz w:val="24"/>
      <w:lang w:val="cs-CZ" w:eastAsia="cs-CZ"/>
    </w:rPr>
  </w:style>
  <w:style w:type="paragraph" w:customStyle="1" w:styleId="RetraitPremireligne">
    <w:name w:val="Retrait_Première_ligne"/>
    <w:basedOn w:val="Normal"/>
    <w:rsid w:val="009C13A9"/>
    <w:pPr>
      <w:suppressAutoHyphens/>
      <w:spacing w:line="240" w:lineRule="atLeast"/>
      <w:ind w:firstLine="425"/>
    </w:pPr>
    <w:rPr>
      <w:rFonts w:cs="Arial"/>
      <w:szCs w:val="20"/>
      <w:lang w:eastAsia="cs-CZ"/>
    </w:rPr>
  </w:style>
  <w:style w:type="paragraph" w:customStyle="1" w:styleId="Textebrut1">
    <w:name w:val="Texte brut1"/>
    <w:basedOn w:val="Normal"/>
    <w:rsid w:val="009C13A9"/>
    <w:pPr>
      <w:suppressAutoHyphens/>
    </w:pPr>
    <w:rPr>
      <w:rFonts w:ascii="Consolas" w:hAnsi="Consolas"/>
      <w:sz w:val="21"/>
      <w:szCs w:val="21"/>
      <w:lang w:val="cs-CZ" w:eastAsia="cs-CZ"/>
    </w:rPr>
  </w:style>
  <w:style w:type="paragraph" w:customStyle="1" w:styleId="ED1">
    <w:name w:val="ED1"/>
    <w:basedOn w:val="Normal"/>
    <w:rsid w:val="009C13A9"/>
    <w:pPr>
      <w:suppressAutoHyphens/>
    </w:pPr>
    <w:rPr>
      <w:rFonts w:ascii="Times New Roman" w:hAnsi="Times New Roman"/>
      <w:sz w:val="24"/>
      <w:lang w:eastAsia="cs-CZ"/>
    </w:rPr>
  </w:style>
  <w:style w:type="paragraph" w:customStyle="1" w:styleId="Commentaire1">
    <w:name w:val="Commentaire1"/>
    <w:basedOn w:val="Normal"/>
    <w:rsid w:val="009C13A9"/>
    <w:pPr>
      <w:suppressAutoHyphens/>
    </w:pPr>
    <w:rPr>
      <w:szCs w:val="20"/>
      <w:lang w:val="cs-CZ" w:eastAsia="cs-CZ"/>
    </w:rPr>
  </w:style>
  <w:style w:type="paragraph" w:customStyle="1" w:styleId="Contenudetableau">
    <w:name w:val="Contenu de tableau"/>
    <w:basedOn w:val="Normal"/>
    <w:rsid w:val="009C13A9"/>
    <w:pPr>
      <w:suppressLineNumbers/>
      <w:suppressAutoHyphens/>
    </w:pPr>
    <w:rPr>
      <w:rFonts w:ascii="Times New Roman" w:hAnsi="Times New Roman"/>
      <w:sz w:val="24"/>
      <w:lang w:val="cs-CZ" w:eastAsia="cs-CZ"/>
    </w:rPr>
  </w:style>
  <w:style w:type="paragraph" w:customStyle="1" w:styleId="Titredetableau">
    <w:name w:val="Titre de tableau"/>
    <w:basedOn w:val="Contenudetableau"/>
    <w:rsid w:val="009C13A9"/>
    <w:pPr>
      <w:jc w:val="center"/>
    </w:pPr>
    <w:rPr>
      <w:b/>
      <w:bCs/>
    </w:rPr>
  </w:style>
  <w:style w:type="numbering" w:customStyle="1" w:styleId="Aucuneliste111">
    <w:name w:val="Aucune liste111"/>
    <w:next w:val="NoList"/>
    <w:semiHidden/>
    <w:rsid w:val="009C13A9"/>
  </w:style>
  <w:style w:type="paragraph" w:styleId="DocumentMap">
    <w:name w:val="Document Map"/>
    <w:basedOn w:val="Normal"/>
    <w:link w:val="DocumentMapChar"/>
    <w:rsid w:val="009C13A9"/>
    <w:pPr>
      <w:shd w:val="clear" w:color="auto" w:fill="000080"/>
    </w:pPr>
    <w:rPr>
      <w:rFonts w:ascii="Tahoma" w:hAnsi="Tahoma"/>
      <w:szCs w:val="20"/>
    </w:rPr>
  </w:style>
  <w:style w:type="character" w:customStyle="1" w:styleId="DocumentMapChar">
    <w:name w:val="Document Map Char"/>
    <w:link w:val="DocumentMap"/>
    <w:rsid w:val="009C13A9"/>
    <w:rPr>
      <w:rFonts w:ascii="Tahoma" w:hAnsi="Tahoma"/>
      <w:shd w:val="clear" w:color="auto" w:fill="000080"/>
    </w:rPr>
  </w:style>
  <w:style w:type="numbering" w:customStyle="1" w:styleId="Aucuneliste2">
    <w:name w:val="Aucune liste2"/>
    <w:next w:val="NoList"/>
    <w:semiHidden/>
    <w:rsid w:val="009C13A9"/>
  </w:style>
  <w:style w:type="paragraph" w:customStyle="1" w:styleId="Sprechblasentext">
    <w:name w:val="Sprechblasentext"/>
    <w:basedOn w:val="Normal"/>
    <w:rsid w:val="009C13A9"/>
    <w:rPr>
      <w:rFonts w:ascii="Tahoma" w:hAnsi="Tahoma" w:cs="Tahoma"/>
      <w:snapToGrid w:val="0"/>
      <w:sz w:val="16"/>
      <w:szCs w:val="16"/>
      <w:lang w:val="cs-CZ"/>
    </w:rPr>
  </w:style>
  <w:style w:type="paragraph" w:styleId="List2">
    <w:name w:val="List 2"/>
    <w:basedOn w:val="Normal"/>
    <w:rsid w:val="009C13A9"/>
    <w:pPr>
      <w:ind w:left="566" w:hanging="283"/>
    </w:pPr>
    <w:rPr>
      <w:rFonts w:ascii="Times New Roman" w:hAnsi="Times New Roman"/>
      <w:sz w:val="24"/>
    </w:rPr>
  </w:style>
  <w:style w:type="paragraph" w:styleId="List3">
    <w:name w:val="List 3"/>
    <w:basedOn w:val="Normal"/>
    <w:rsid w:val="009C13A9"/>
    <w:pPr>
      <w:ind w:left="849" w:hanging="283"/>
    </w:pPr>
    <w:rPr>
      <w:rFonts w:ascii="Times New Roman" w:hAnsi="Times New Roman"/>
      <w:sz w:val="24"/>
    </w:rPr>
  </w:style>
  <w:style w:type="paragraph" w:styleId="ListContinue2">
    <w:name w:val="List Continue 2"/>
    <w:basedOn w:val="Normal"/>
    <w:rsid w:val="009C13A9"/>
    <w:pPr>
      <w:spacing w:after="120"/>
      <w:ind w:left="566"/>
    </w:pPr>
    <w:rPr>
      <w:rFonts w:ascii="Times New Roman" w:hAnsi="Times New Roman"/>
      <w:sz w:val="24"/>
    </w:rPr>
  </w:style>
  <w:style w:type="table" w:customStyle="1" w:styleId="Grilledutableau111">
    <w:name w:val="Grille du tableau111"/>
    <w:basedOn w:val="TableNormal"/>
    <w:next w:val="TableGrid"/>
    <w:rsid w:val="009C13A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rechblasentext1">
    <w:name w:val="Sprechblasentext1"/>
    <w:basedOn w:val="Normal"/>
    <w:semiHidden/>
    <w:rsid w:val="009C13A9"/>
    <w:rPr>
      <w:rFonts w:ascii="Tahoma" w:hAnsi="Tahoma"/>
      <w:sz w:val="16"/>
      <w:szCs w:val="16"/>
      <w:lang w:val="cs-CZ" w:eastAsia="cs-CZ"/>
    </w:rPr>
  </w:style>
  <w:style w:type="paragraph" w:customStyle="1" w:styleId="sprechblasentext0">
    <w:name w:val="sprechblasentext"/>
    <w:basedOn w:val="Normal"/>
    <w:rsid w:val="009C13A9"/>
    <w:pPr>
      <w:snapToGrid w:val="0"/>
    </w:pPr>
    <w:rPr>
      <w:rFonts w:ascii="Tahoma" w:hAnsi="Tahoma" w:cs="Tahoma"/>
      <w:sz w:val="16"/>
      <w:szCs w:val="16"/>
    </w:rPr>
  </w:style>
  <w:style w:type="character" w:customStyle="1" w:styleId="msoins1">
    <w:name w:val="msoins"/>
    <w:rsid w:val="009C13A9"/>
  </w:style>
  <w:style w:type="numbering" w:customStyle="1" w:styleId="Aucuneliste1111">
    <w:name w:val="Aucune liste1111"/>
    <w:next w:val="NoList"/>
    <w:semiHidden/>
    <w:rsid w:val="009C13A9"/>
  </w:style>
  <w:style w:type="paragraph" w:customStyle="1" w:styleId="Sprechblasentext2">
    <w:name w:val="Sprechblasentext2"/>
    <w:basedOn w:val="Normal"/>
    <w:rsid w:val="009C13A9"/>
    <w:rPr>
      <w:rFonts w:ascii="Times New Roman" w:hAnsi="Times New Roman"/>
      <w:sz w:val="16"/>
      <w:szCs w:val="16"/>
      <w:lang w:val="cs-CZ"/>
    </w:rPr>
  </w:style>
  <w:style w:type="table" w:customStyle="1" w:styleId="Grilledutableau1111">
    <w:name w:val="Grille du tableau1111"/>
    <w:basedOn w:val="TableNormal"/>
    <w:next w:val="TableGrid"/>
    <w:rsid w:val="009C13A9"/>
    <w:rPr>
      <w:rFonts w:ascii="Times New Roman" w:hAnsi="Times New Roman"/>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basedOn w:val="Normal"/>
    <w:next w:val="Normal"/>
    <w:rsid w:val="009C13A9"/>
    <w:pPr>
      <w:spacing w:after="160" w:line="240" w:lineRule="exact"/>
    </w:pPr>
    <w:rPr>
      <w:rFonts w:ascii="Times New Roman" w:hAnsi="Times New Roman"/>
      <w:snapToGrid w:val="0"/>
      <w:sz w:val="24"/>
      <w:lang w:val="cs-CZ"/>
    </w:rPr>
  </w:style>
  <w:style w:type="numbering" w:customStyle="1" w:styleId="Aucuneliste3">
    <w:name w:val="Aucune liste3"/>
    <w:next w:val="NoList"/>
    <w:semiHidden/>
    <w:rsid w:val="009C13A9"/>
  </w:style>
  <w:style w:type="paragraph" w:customStyle="1" w:styleId="Normal1">
    <w:name w:val="Normal1"/>
    <w:basedOn w:val="Normal"/>
    <w:rsid w:val="009C13A9"/>
    <w:rPr>
      <w:rFonts w:ascii="Times New Roman" w:hAnsi="Times New Roman"/>
      <w:color w:val="000000"/>
      <w:szCs w:val="20"/>
      <w:lang w:val="cs-CZ" w:eastAsia="cs-CZ"/>
    </w:rPr>
  </w:style>
  <w:style w:type="numbering" w:customStyle="1" w:styleId="Aucuneliste4">
    <w:name w:val="Aucune liste4"/>
    <w:next w:val="NoList"/>
    <w:semiHidden/>
    <w:rsid w:val="009C13A9"/>
  </w:style>
  <w:style w:type="table" w:customStyle="1" w:styleId="Grilledutableau2">
    <w:name w:val="Grille du tableau2"/>
    <w:basedOn w:val="TableNormal"/>
    <w:next w:val="TableGrid"/>
    <w:rsid w:val="009C13A9"/>
    <w:pPr>
      <w:overflowPunct w:val="0"/>
      <w:autoSpaceDE w:val="0"/>
      <w:autoSpaceDN w:val="0"/>
      <w:adjustRightInd w:val="0"/>
      <w:spacing w:line="240" w:lineRule="exact"/>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
    <w:name w:val="Aucune liste12"/>
    <w:next w:val="NoList"/>
    <w:uiPriority w:val="99"/>
    <w:semiHidden/>
    <w:unhideWhenUsed/>
    <w:rsid w:val="009C13A9"/>
  </w:style>
  <w:style w:type="numbering" w:customStyle="1" w:styleId="Aucuneliste112">
    <w:name w:val="Aucune liste112"/>
    <w:next w:val="NoList"/>
    <w:semiHidden/>
    <w:rsid w:val="009C13A9"/>
  </w:style>
  <w:style w:type="numbering" w:customStyle="1" w:styleId="Aucuneliste21">
    <w:name w:val="Aucune liste21"/>
    <w:next w:val="NoList"/>
    <w:semiHidden/>
    <w:rsid w:val="009C13A9"/>
  </w:style>
  <w:style w:type="table" w:customStyle="1" w:styleId="Grilledutableau12">
    <w:name w:val="Grille du tableau12"/>
    <w:basedOn w:val="TableNormal"/>
    <w:next w:val="TableGrid"/>
    <w:rsid w:val="009C13A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2">
    <w:name w:val="Aucune liste1112"/>
    <w:next w:val="NoList"/>
    <w:semiHidden/>
    <w:rsid w:val="009C13A9"/>
  </w:style>
  <w:style w:type="table" w:customStyle="1" w:styleId="Grilledutableau112">
    <w:name w:val="Grille du tableau112"/>
    <w:basedOn w:val="TableNormal"/>
    <w:next w:val="TableGrid"/>
    <w:rsid w:val="009C13A9"/>
    <w:rPr>
      <w:rFonts w:ascii="Times New Roman" w:hAnsi="Times New Roman"/>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NoList"/>
    <w:semiHidden/>
    <w:rsid w:val="009C13A9"/>
  </w:style>
  <w:style w:type="numbering" w:customStyle="1" w:styleId="Aucuneliste5">
    <w:name w:val="Aucune liste5"/>
    <w:next w:val="NoList"/>
    <w:semiHidden/>
    <w:rsid w:val="009C13A9"/>
  </w:style>
  <w:style w:type="table" w:customStyle="1" w:styleId="Grilledutableau3">
    <w:name w:val="Grille du tableau3"/>
    <w:basedOn w:val="TableNormal"/>
    <w:next w:val="TableGrid"/>
    <w:rsid w:val="009C13A9"/>
    <w:pPr>
      <w:overflowPunct w:val="0"/>
      <w:autoSpaceDE w:val="0"/>
      <w:autoSpaceDN w:val="0"/>
      <w:adjustRightInd w:val="0"/>
      <w:spacing w:line="240" w:lineRule="exact"/>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3">
    <w:name w:val="Aucune liste13"/>
    <w:next w:val="NoList"/>
    <w:uiPriority w:val="99"/>
    <w:semiHidden/>
    <w:unhideWhenUsed/>
    <w:rsid w:val="009C13A9"/>
  </w:style>
  <w:style w:type="numbering" w:customStyle="1" w:styleId="Aucuneliste113">
    <w:name w:val="Aucune liste113"/>
    <w:next w:val="NoList"/>
    <w:semiHidden/>
    <w:rsid w:val="009C13A9"/>
  </w:style>
  <w:style w:type="numbering" w:customStyle="1" w:styleId="Aucuneliste22">
    <w:name w:val="Aucune liste22"/>
    <w:next w:val="NoList"/>
    <w:semiHidden/>
    <w:rsid w:val="009C13A9"/>
  </w:style>
  <w:style w:type="table" w:customStyle="1" w:styleId="Grilledutableau13">
    <w:name w:val="Grille du tableau13"/>
    <w:basedOn w:val="TableNormal"/>
    <w:next w:val="TableGrid"/>
    <w:rsid w:val="009C13A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3">
    <w:name w:val="Aucune liste1113"/>
    <w:next w:val="NoList"/>
    <w:semiHidden/>
    <w:rsid w:val="009C13A9"/>
  </w:style>
  <w:style w:type="table" w:customStyle="1" w:styleId="Grilledutableau113">
    <w:name w:val="Grille du tableau113"/>
    <w:basedOn w:val="TableNormal"/>
    <w:next w:val="TableGrid"/>
    <w:rsid w:val="009C13A9"/>
    <w:rPr>
      <w:rFonts w:ascii="Times New Roman" w:hAnsi="Times New Roman"/>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2">
    <w:name w:val="Aucune liste32"/>
    <w:next w:val="NoList"/>
    <w:semiHidden/>
    <w:rsid w:val="009C13A9"/>
  </w:style>
  <w:style w:type="paragraph" w:customStyle="1" w:styleId="Esannch">
    <w:name w:val="Es_ann_ch"/>
    <w:basedOn w:val="Normal"/>
    <w:qFormat/>
    <w:rsid w:val="009C13A9"/>
    <w:pPr>
      <w:spacing w:line="240" w:lineRule="atLeast"/>
    </w:pPr>
    <w:rPr>
      <w:rFonts w:cs="Arial"/>
      <w:color w:val="000000"/>
      <w:lang w:val="cs-CZ"/>
    </w:rPr>
  </w:style>
  <w:style w:type="paragraph" w:customStyle="1" w:styleId="Esanngauche">
    <w:name w:val="Es_ann_gauche"/>
    <w:basedOn w:val="Normal"/>
    <w:qFormat/>
    <w:rsid w:val="009C13A9"/>
    <w:pPr>
      <w:tabs>
        <w:tab w:val="left" w:leader="dot" w:pos="9072"/>
      </w:tabs>
      <w:spacing w:line="240" w:lineRule="atLeast"/>
    </w:pPr>
    <w:rPr>
      <w:rFonts w:cs="Arial"/>
      <w:lang w:val="cs-CZ"/>
    </w:rPr>
  </w:style>
  <w:style w:type="paragraph" w:customStyle="1" w:styleId="ESannexetitrearticle">
    <w:name w:val="ES_annexe_titre_article"/>
    <w:basedOn w:val="Normal"/>
    <w:qFormat/>
    <w:rsid w:val="009C13A9"/>
    <w:pPr>
      <w:spacing w:line="240" w:lineRule="atLeast"/>
      <w:jc w:val="center"/>
    </w:pPr>
    <w:rPr>
      <w:rFonts w:cs="Arial"/>
      <w:b/>
      <w:noProof/>
      <w:lang w:val="cs-CZ"/>
    </w:rPr>
  </w:style>
  <w:style w:type="paragraph" w:customStyle="1" w:styleId="ESannexelet">
    <w:name w:val="ES_annexe_let"/>
    <w:basedOn w:val="Normal"/>
    <w:qFormat/>
    <w:rsid w:val="009C13A9"/>
    <w:pPr>
      <w:spacing w:before="60" w:line="240" w:lineRule="atLeast"/>
      <w:ind w:left="851"/>
    </w:pPr>
    <w:rPr>
      <w:rFonts w:cs="Arial"/>
      <w:noProof/>
      <w:lang w:val="cs-CZ" w:eastAsia="cs-CZ"/>
    </w:rPr>
  </w:style>
  <w:style w:type="paragraph" w:customStyle="1" w:styleId="ESannexechpar">
    <w:name w:val="ES_annexe_ch_par"/>
    <w:basedOn w:val="ESchpar"/>
    <w:qFormat/>
    <w:rsid w:val="009C13A9"/>
    <w:pPr>
      <w:ind w:left="426"/>
    </w:pPr>
    <w:rPr>
      <w:lang w:eastAsia="cs-CZ"/>
    </w:rPr>
  </w:style>
  <w:style w:type="paragraph" w:customStyle="1" w:styleId="Esannexeletgauch">
    <w:name w:val="Es_annexe_let_gauch"/>
    <w:basedOn w:val="Normal"/>
    <w:qFormat/>
    <w:rsid w:val="009C13A9"/>
    <w:pPr>
      <w:spacing w:before="60" w:line="240" w:lineRule="atLeast"/>
    </w:pPr>
    <w:rPr>
      <w:rFonts w:cs="Arial"/>
      <w:noProof/>
      <w:lang w:val="cs-CZ"/>
    </w:rPr>
  </w:style>
  <w:style w:type="table" w:styleId="MediumGrid1-Accent2">
    <w:name w:val="Medium Grid 1 Accent 2"/>
    <w:basedOn w:val="TableNormal"/>
    <w:uiPriority w:val="67"/>
    <w:rsid w:val="009C13A9"/>
    <w:rPr>
      <w:rFonts w:eastAsia="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Bullet0">
    <w:name w:val="Bullet 0"/>
    <w:basedOn w:val="Normal"/>
    <w:rsid w:val="009C13A9"/>
    <w:pPr>
      <w:numPr>
        <w:numId w:val="4"/>
      </w:numPr>
      <w:spacing w:before="120" w:after="120"/>
    </w:pPr>
    <w:rPr>
      <w:rFonts w:ascii="Times New Roman" w:hAnsi="Times New Roman"/>
      <w:sz w:val="24"/>
    </w:rPr>
  </w:style>
  <w:style w:type="paragraph" w:customStyle="1" w:styleId="Bullet1">
    <w:name w:val="Bullet 1"/>
    <w:basedOn w:val="Normal"/>
    <w:rsid w:val="009C13A9"/>
    <w:pPr>
      <w:numPr>
        <w:numId w:val="5"/>
      </w:numPr>
      <w:spacing w:before="120" w:after="120"/>
    </w:pPr>
    <w:rPr>
      <w:rFonts w:ascii="Times New Roman" w:hAnsi="Times New Roman"/>
      <w:sz w:val="24"/>
    </w:rPr>
  </w:style>
  <w:style w:type="paragraph" w:customStyle="1" w:styleId="Bullet2">
    <w:name w:val="Bullet 2"/>
    <w:basedOn w:val="Normal"/>
    <w:rsid w:val="009C13A9"/>
    <w:pPr>
      <w:numPr>
        <w:numId w:val="6"/>
      </w:numPr>
      <w:spacing w:before="120" w:after="120"/>
    </w:pPr>
    <w:rPr>
      <w:rFonts w:ascii="Times New Roman" w:hAnsi="Times New Roman"/>
      <w:sz w:val="24"/>
    </w:rPr>
  </w:style>
  <w:style w:type="character" w:styleId="PlaceholderText">
    <w:name w:val="Placeholder Text"/>
    <w:basedOn w:val="DefaultParagraphFont"/>
    <w:uiPriority w:val="99"/>
    <w:semiHidden/>
    <w:rsid w:val="00395A9E"/>
    <w:rPr>
      <w:color w:val="808080"/>
    </w:rPr>
  </w:style>
  <w:style w:type="numbering" w:customStyle="1" w:styleId="Aucuneliste6">
    <w:name w:val="Aucune liste6"/>
    <w:next w:val="NoList"/>
    <w:uiPriority w:val="99"/>
    <w:semiHidden/>
    <w:unhideWhenUsed/>
    <w:rsid w:val="005C7DB3"/>
  </w:style>
  <w:style w:type="paragraph" w:customStyle="1" w:styleId="jeveux">
    <w:name w:val="je_veux"/>
    <w:basedOn w:val="Normal"/>
    <w:rsid w:val="005C7DB3"/>
    <w:pPr>
      <w:numPr>
        <w:numId w:val="9"/>
      </w:numPr>
      <w:tabs>
        <w:tab w:val="left" w:pos="425"/>
        <w:tab w:val="left" w:pos="6237"/>
      </w:tabs>
      <w:suppressAutoHyphens/>
      <w:spacing w:before="120"/>
    </w:pPr>
    <w:rPr>
      <w:rFonts w:ascii="Times New Roman" w:hAnsi="Times New Roman"/>
      <w:snapToGrid w:val="0"/>
      <w:sz w:val="24"/>
      <w:lang w:val="cs-CZ"/>
    </w:rPr>
  </w:style>
  <w:style w:type="paragraph" w:customStyle="1" w:styleId="Gemiddeldraster1-accent21">
    <w:name w:val="Gemiddeld raster 1 - accent 21"/>
    <w:basedOn w:val="Normal"/>
    <w:uiPriority w:val="99"/>
    <w:qFormat/>
    <w:rsid w:val="005C7DB3"/>
    <w:pPr>
      <w:ind w:left="720"/>
      <w:contextualSpacing/>
    </w:pPr>
    <w:rPr>
      <w:rFonts w:ascii="Calibri" w:eastAsia="Calibri" w:hAnsi="Calibri"/>
      <w:lang w:val="cs-CZ"/>
    </w:rPr>
  </w:style>
  <w:style w:type="paragraph" w:customStyle="1" w:styleId="Chiffregras">
    <w:name w:val="Chiffre_gras"/>
    <w:basedOn w:val="Normal"/>
    <w:qFormat/>
    <w:rsid w:val="005C7DB3"/>
    <w:pPr>
      <w:adjustRightInd w:val="0"/>
      <w:spacing w:line="240" w:lineRule="atLeast"/>
      <w:ind w:left="709" w:hanging="709"/>
      <w:outlineLvl w:val="0"/>
    </w:pPr>
    <w:rPr>
      <w:rFonts w:ascii="Times New Roman" w:eastAsia="Calibri" w:hAnsi="Times New Roman"/>
      <w:b/>
      <w:bCs/>
      <w:sz w:val="24"/>
      <w:lang w:val="cs-CZ"/>
    </w:rPr>
  </w:style>
  <w:style w:type="paragraph" w:customStyle="1" w:styleId="Chiffrepar">
    <w:name w:val="Chiffre_par"/>
    <w:basedOn w:val="Normal"/>
    <w:qFormat/>
    <w:rsid w:val="005C7DB3"/>
    <w:pPr>
      <w:adjustRightInd w:val="0"/>
      <w:spacing w:line="240" w:lineRule="atLeast"/>
      <w:ind w:left="709"/>
    </w:pPr>
    <w:rPr>
      <w:rFonts w:ascii="Times New Roman" w:eastAsia="Calibri" w:hAnsi="Times New Roman"/>
      <w:sz w:val="24"/>
      <w:lang w:val="cs-CZ"/>
    </w:rPr>
  </w:style>
  <w:style w:type="paragraph" w:customStyle="1" w:styleId="Chiffre">
    <w:name w:val="Chiffre"/>
    <w:basedOn w:val="Normal"/>
    <w:qFormat/>
    <w:rsid w:val="005C7DB3"/>
    <w:pPr>
      <w:adjustRightInd w:val="0"/>
      <w:spacing w:line="240" w:lineRule="atLeast"/>
      <w:ind w:left="709" w:hanging="709"/>
    </w:pPr>
    <w:rPr>
      <w:rFonts w:ascii="Times New Roman" w:eastAsia="Calibri" w:hAnsi="Times New Roman"/>
      <w:sz w:val="24"/>
      <w:lang w:val="cs-CZ"/>
    </w:rPr>
  </w:style>
  <w:style w:type="paragraph" w:customStyle="1" w:styleId="chiffrelettre">
    <w:name w:val="chiffre_lettre"/>
    <w:basedOn w:val="Normal"/>
    <w:qFormat/>
    <w:rsid w:val="005C7DB3"/>
    <w:pPr>
      <w:adjustRightInd w:val="0"/>
      <w:spacing w:before="60" w:line="240" w:lineRule="atLeast"/>
      <w:ind w:left="1134"/>
    </w:pPr>
    <w:rPr>
      <w:rFonts w:ascii="Times New Roman" w:eastAsia="Calibri" w:hAnsi="Times New Roman"/>
      <w:sz w:val="24"/>
      <w:lang w:val="cs-CZ"/>
    </w:rPr>
  </w:style>
  <w:style w:type="paragraph" w:customStyle="1" w:styleId="Esann8ch">
    <w:name w:val="Es_ann8_ch"/>
    <w:basedOn w:val="Normal"/>
    <w:qFormat/>
    <w:rsid w:val="00A94102"/>
    <w:pPr>
      <w:spacing w:line="240" w:lineRule="atLeast"/>
      <w:ind w:left="851" w:hanging="851"/>
    </w:pPr>
    <w:rPr>
      <w:rFonts w:eastAsia="Calibri" w:cs="Arial"/>
      <w:color w:val="000000"/>
      <w:szCs w:val="20"/>
    </w:rPr>
  </w:style>
  <w:style w:type="paragraph" w:customStyle="1" w:styleId="Esann8chgras">
    <w:name w:val="Es_ann8_ch_gras"/>
    <w:basedOn w:val="ESchgras"/>
    <w:qFormat/>
    <w:rsid w:val="00A94102"/>
    <w:pPr>
      <w:ind w:left="851" w:hanging="851"/>
    </w:pPr>
  </w:style>
  <w:style w:type="paragraph" w:customStyle="1" w:styleId="Esann8titrechap">
    <w:name w:val="Es_ann8_titre_chap"/>
    <w:basedOn w:val="Esann8chgras"/>
    <w:qFormat/>
    <w:rsid w:val="00A94102"/>
    <w:pPr>
      <w:jc w:val="center"/>
    </w:pPr>
  </w:style>
  <w:style w:type="paragraph" w:customStyle="1" w:styleId="Esann8let">
    <w:name w:val="Es_ann8_let"/>
    <w:basedOn w:val="Esann8ch"/>
    <w:qFormat/>
    <w:rsid w:val="008632BC"/>
    <w:pPr>
      <w:spacing w:before="60"/>
      <w:ind w:left="1276" w:hanging="425"/>
    </w:pPr>
  </w:style>
  <w:style w:type="paragraph" w:customStyle="1" w:styleId="Esann8chpar">
    <w:name w:val="Es_ann8_ch_par"/>
    <w:basedOn w:val="Esann8ch"/>
    <w:qFormat/>
    <w:rsid w:val="00ED22AF"/>
    <w:pPr>
      <w:ind w:firstLine="0"/>
    </w:pPr>
  </w:style>
  <w:style w:type="character" w:customStyle="1" w:styleId="hps">
    <w:name w:val="hps"/>
    <w:basedOn w:val="DefaultParagraphFont"/>
    <w:rsid w:val="00A26ED8"/>
  </w:style>
  <w:style w:type="character" w:customStyle="1" w:styleId="atn">
    <w:name w:val="atn"/>
    <w:basedOn w:val="DefaultParagraphFont"/>
    <w:rsid w:val="00A26ED8"/>
  </w:style>
  <w:style w:type="numbering" w:customStyle="1" w:styleId="Aucuneliste7">
    <w:name w:val="Aucune liste7"/>
    <w:next w:val="NoList"/>
    <w:uiPriority w:val="99"/>
    <w:semiHidden/>
    <w:unhideWhenUsed/>
    <w:rsid w:val="001D0FFC"/>
  </w:style>
  <w:style w:type="paragraph" w:customStyle="1" w:styleId="tbl-norm">
    <w:name w:val="tbl-norm"/>
    <w:basedOn w:val="Normal"/>
    <w:rsid w:val="003D29D8"/>
    <w:pPr>
      <w:spacing w:before="100" w:beforeAutospacing="1" w:after="100" w:afterAutospacing="1"/>
    </w:pPr>
    <w:rPr>
      <w:rFonts w:ascii="Times New Roman" w:hAnsi="Times New Roman"/>
      <w:sz w:val="24"/>
    </w:rPr>
  </w:style>
  <w:style w:type="paragraph" w:customStyle="1" w:styleId="norm">
    <w:name w:val="norm"/>
    <w:basedOn w:val="Normal"/>
    <w:rsid w:val="003D29D8"/>
    <w:pPr>
      <w:spacing w:before="100" w:beforeAutospacing="1" w:after="100" w:afterAutospacing="1"/>
    </w:pPr>
    <w:rPr>
      <w:rFonts w:ascii="Times New Roman" w:hAnsi="Times New Roman"/>
      <w:sz w:val="24"/>
    </w:rPr>
  </w:style>
  <w:style w:type="table" w:customStyle="1" w:styleId="Grilledutableau14">
    <w:name w:val="Grille du tableau14"/>
    <w:basedOn w:val="TableNormal"/>
    <w:next w:val="TableGrid"/>
    <w:rsid w:val="004F47BB"/>
    <w:pPr>
      <w:overflowPunct w:val="0"/>
      <w:autoSpaceDE w:val="0"/>
      <w:autoSpaceDN w:val="0"/>
      <w:adjustRightInd w:val="0"/>
      <w:spacing w:line="240" w:lineRule="exact"/>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4">
    <w:name w:val="Grille du tableau114"/>
    <w:basedOn w:val="TableNormal"/>
    <w:next w:val="TableGrid"/>
    <w:rsid w:val="004F47B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2">
    <w:name w:val="Grille du tableau1112"/>
    <w:basedOn w:val="TableNormal"/>
    <w:next w:val="TableGrid"/>
    <w:rsid w:val="004F47BB"/>
    <w:rPr>
      <w:rFonts w:ascii="Times New Roman" w:hAnsi="Times New Roman"/>
      <w:snapToGrid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chdecale">
    <w:name w:val="ES_ch_decale"/>
    <w:basedOn w:val="Normal"/>
    <w:qFormat/>
    <w:rsid w:val="004F47BB"/>
    <w:pPr>
      <w:tabs>
        <w:tab w:val="left" w:pos="567"/>
        <w:tab w:val="left" w:pos="1418"/>
      </w:tabs>
      <w:spacing w:line="240" w:lineRule="atLeast"/>
      <w:ind w:left="1418" w:hanging="851"/>
    </w:pPr>
  </w:style>
  <w:style w:type="paragraph" w:customStyle="1" w:styleId="ESchdecalepar">
    <w:name w:val="ES_ch_decale_par"/>
    <w:basedOn w:val="ESchdecale"/>
    <w:qFormat/>
    <w:rsid w:val="004F47BB"/>
    <w:pPr>
      <w:tabs>
        <w:tab w:val="clear" w:pos="567"/>
      </w:tabs>
      <w:ind w:firstLine="0"/>
    </w:pPr>
    <w:rPr>
      <w:noProof/>
    </w:rPr>
  </w:style>
  <w:style w:type="paragraph" w:customStyle="1" w:styleId="ESletparettab">
    <w:name w:val="ES_let_par_et_tab"/>
    <w:basedOn w:val="ESletpar"/>
    <w:qFormat/>
    <w:rsid w:val="004F47BB"/>
    <w:pPr>
      <w:tabs>
        <w:tab w:val="left" w:pos="2552"/>
        <w:tab w:val="left" w:pos="2977"/>
        <w:tab w:val="left" w:pos="3402"/>
      </w:tabs>
      <w:ind w:left="1418" w:hanging="426"/>
    </w:pPr>
  </w:style>
  <w:style w:type="paragraph" w:customStyle="1" w:styleId="IS1cm">
    <w:name w:val="IS_1cm"/>
    <w:basedOn w:val="Normal"/>
    <w:link w:val="IS1cmCar"/>
    <w:rsid w:val="004F47BB"/>
    <w:pPr>
      <w:tabs>
        <w:tab w:val="left" w:pos="567"/>
      </w:tabs>
      <w:overflowPunct w:val="0"/>
      <w:adjustRightInd w:val="0"/>
      <w:spacing w:line="240" w:lineRule="atLeast"/>
      <w:ind w:left="567" w:hanging="567"/>
      <w:textAlignment w:val="baseline"/>
    </w:pPr>
    <w:rPr>
      <w:szCs w:val="20"/>
      <w:lang w:val="cs-CZ"/>
    </w:rPr>
  </w:style>
  <w:style w:type="character" w:customStyle="1" w:styleId="IS1cmCar">
    <w:name w:val="IS_1cm Car"/>
    <w:link w:val="IS1cm"/>
    <w:rsid w:val="004F47BB"/>
    <w:rPr>
      <w:rFonts w:ascii="Arial" w:hAnsi="Arial"/>
      <w:lang w:val="cs-CZ"/>
    </w:rPr>
  </w:style>
  <w:style w:type="paragraph" w:customStyle="1" w:styleId="IS1cmg075cm">
    <w:name w:val="IS_1cmg_0_75cm"/>
    <w:basedOn w:val="IS1cm"/>
    <w:rsid w:val="004F47BB"/>
    <w:pPr>
      <w:tabs>
        <w:tab w:val="clear" w:pos="567"/>
        <w:tab w:val="left" w:pos="992"/>
      </w:tabs>
      <w:ind w:left="992" w:hanging="425"/>
    </w:pPr>
  </w:style>
  <w:style w:type="paragraph" w:customStyle="1" w:styleId="IS175cm">
    <w:name w:val="IS_175cm"/>
    <w:basedOn w:val="Normal"/>
    <w:rsid w:val="004F47BB"/>
    <w:pPr>
      <w:tabs>
        <w:tab w:val="left" w:pos="1418"/>
      </w:tabs>
      <w:overflowPunct w:val="0"/>
      <w:adjustRightInd w:val="0"/>
      <w:spacing w:line="240" w:lineRule="atLeast"/>
      <w:ind w:left="1417"/>
      <w:textAlignment w:val="baseline"/>
    </w:pPr>
    <w:rPr>
      <w:szCs w:val="20"/>
      <w:lang w:val="cs-CZ"/>
    </w:rPr>
  </w:style>
  <w:style w:type="paragraph" w:customStyle="1" w:styleId="ES-Titre2ESI">
    <w:name w:val="ES-Titre2_ESI"/>
    <w:basedOn w:val="ES-Titre2"/>
    <w:qFormat/>
    <w:rsid w:val="004F47BB"/>
    <w:pPr>
      <w:pageBreakBefore w:val="0"/>
    </w:pPr>
  </w:style>
  <w:style w:type="paragraph" w:customStyle="1" w:styleId="ES-Titre4prESIexple">
    <w:name w:val="ES-Titre4_pr_ESI_exple"/>
    <w:basedOn w:val="ES-Titre3prchap32"/>
    <w:qFormat/>
    <w:rsid w:val="005B46C9"/>
  </w:style>
  <w:style w:type="paragraph" w:customStyle="1" w:styleId="ES-Titre4">
    <w:name w:val="ES-Titre4"/>
    <w:basedOn w:val="ES-Titre3"/>
    <w:qFormat/>
    <w:rsid w:val="00C859BD"/>
    <w:rPr>
      <w:lang w:val="cs-CZ"/>
    </w:rPr>
  </w:style>
  <w:style w:type="paragraph" w:customStyle="1" w:styleId="ES-Titre4a">
    <w:name w:val="ES-Titre4a"/>
    <w:basedOn w:val="ES-Titre3a"/>
    <w:qFormat/>
    <w:rsid w:val="00C859BD"/>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cs-CZ" w:bidi="cs-CZ"/>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header" w:uiPriority="0"/>
    <w:lsdException w:name="footer" w:uiPriority="0"/>
    <w:lsdException w:name="caption" w:semiHidden="0" w:qFormat="1"/>
    <w:lsdException w:name="footnote reference" w:uiPriority="0" w:qFormat="1"/>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qFormat/>
    <w:rsid w:val="002D015D"/>
    <w:pPr>
      <w:spacing w:after="200" w:line="276" w:lineRule="auto"/>
    </w:pPr>
    <w:rPr>
      <w:rFonts w:asciiTheme="minorHAnsi" w:eastAsiaTheme="minorHAnsi" w:hAnsiTheme="minorHAnsi" w:cstheme="minorBidi"/>
      <w:sz w:val="22"/>
      <w:szCs w:val="22"/>
      <w:lang w:val="en-GB" w:eastAsia="en-US" w:bidi="ar-SA"/>
    </w:rPr>
  </w:style>
  <w:style w:type="paragraph" w:styleId="Heading1">
    <w:name w:val="heading 1"/>
    <w:basedOn w:val="Normal"/>
    <w:next w:val="Text1"/>
    <w:link w:val="Heading1Char"/>
    <w:qFormat/>
    <w:rsid w:val="00475311"/>
    <w:pPr>
      <w:keepNext/>
      <w:numPr>
        <w:numId w:val="1"/>
      </w:numPr>
      <w:spacing w:before="360"/>
      <w:outlineLvl w:val="0"/>
    </w:pPr>
    <w:rPr>
      <w:rFonts w:ascii="Cambria" w:hAnsi="Cambria"/>
      <w:b/>
      <w:bCs/>
      <w:kern w:val="32"/>
      <w:sz w:val="32"/>
      <w:szCs w:val="32"/>
    </w:rPr>
  </w:style>
  <w:style w:type="paragraph" w:styleId="Heading2">
    <w:name w:val="heading 2"/>
    <w:basedOn w:val="Normal"/>
    <w:next w:val="Text2"/>
    <w:link w:val="Heading2Char"/>
    <w:qFormat/>
    <w:rsid w:val="00475311"/>
    <w:pPr>
      <w:keepNext/>
      <w:numPr>
        <w:ilvl w:val="1"/>
        <w:numId w:val="1"/>
      </w:numPr>
      <w:outlineLvl w:val="1"/>
    </w:pPr>
    <w:rPr>
      <w:rFonts w:ascii="Cambria" w:hAnsi="Cambria"/>
      <w:b/>
      <w:bCs/>
      <w:i/>
      <w:iCs/>
      <w:sz w:val="28"/>
    </w:rPr>
  </w:style>
  <w:style w:type="paragraph" w:styleId="Heading3">
    <w:name w:val="heading 3"/>
    <w:basedOn w:val="Normal"/>
    <w:next w:val="Text3"/>
    <w:link w:val="Heading3Char"/>
    <w:qFormat/>
    <w:rsid w:val="00475311"/>
    <w:pPr>
      <w:keepNext/>
      <w:numPr>
        <w:ilvl w:val="2"/>
        <w:numId w:val="1"/>
      </w:numPr>
      <w:outlineLvl w:val="2"/>
    </w:pPr>
    <w:rPr>
      <w:rFonts w:ascii="Cambria" w:hAnsi="Cambria"/>
      <w:b/>
      <w:bCs/>
      <w:sz w:val="26"/>
      <w:szCs w:val="26"/>
    </w:rPr>
  </w:style>
  <w:style w:type="paragraph" w:styleId="Heading4">
    <w:name w:val="heading 4"/>
    <w:basedOn w:val="Normal"/>
    <w:next w:val="Text4"/>
    <w:link w:val="Heading4Char"/>
    <w:qFormat/>
    <w:rsid w:val="00475311"/>
    <w:pPr>
      <w:keepNext/>
      <w:numPr>
        <w:ilvl w:val="3"/>
        <w:numId w:val="1"/>
      </w:numPr>
      <w:outlineLvl w:val="3"/>
    </w:pPr>
    <w:rPr>
      <w:rFonts w:ascii="Calibri" w:hAnsi="Calibri"/>
      <w:b/>
      <w:bCs/>
      <w:sz w:val="28"/>
    </w:rPr>
  </w:style>
  <w:style w:type="paragraph" w:styleId="Heading5">
    <w:name w:val="heading 5"/>
    <w:basedOn w:val="Normal"/>
    <w:next w:val="Normal"/>
    <w:link w:val="Heading5Char"/>
    <w:qFormat/>
    <w:rsid w:val="00475311"/>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475311"/>
    <w:pPr>
      <w:spacing w:before="240" w:after="60"/>
      <w:outlineLvl w:val="5"/>
    </w:pPr>
    <w:rPr>
      <w:rFonts w:ascii="Calibri" w:hAnsi="Calibri"/>
      <w:b/>
      <w:bCs/>
      <w:szCs w:val="20"/>
    </w:rPr>
  </w:style>
  <w:style w:type="paragraph" w:styleId="Heading7">
    <w:name w:val="heading 7"/>
    <w:basedOn w:val="Normal"/>
    <w:next w:val="Normal"/>
    <w:link w:val="Heading7Char"/>
    <w:qFormat/>
    <w:rsid w:val="00475311"/>
    <w:pPr>
      <w:spacing w:before="240" w:after="60"/>
      <w:outlineLvl w:val="6"/>
    </w:pPr>
    <w:rPr>
      <w:rFonts w:ascii="Calibri" w:hAnsi="Calibri"/>
    </w:rPr>
  </w:style>
  <w:style w:type="paragraph" w:styleId="Heading8">
    <w:name w:val="heading 8"/>
    <w:basedOn w:val="Normal"/>
    <w:next w:val="Normal"/>
    <w:link w:val="Heading8Char"/>
    <w:qFormat/>
    <w:rsid w:val="00475311"/>
    <w:pPr>
      <w:spacing w:before="240" w:after="60"/>
      <w:outlineLvl w:val="7"/>
    </w:pPr>
    <w:rPr>
      <w:rFonts w:ascii="Calibri" w:hAnsi="Calibri"/>
      <w:i/>
      <w:iCs/>
    </w:rPr>
  </w:style>
  <w:style w:type="paragraph" w:styleId="Heading9">
    <w:name w:val="heading 9"/>
    <w:basedOn w:val="Normal"/>
    <w:next w:val="Normal"/>
    <w:link w:val="Heading9Char"/>
    <w:qFormat/>
    <w:rsid w:val="00475311"/>
    <w:pPr>
      <w:spacing w:before="240" w:after="60"/>
      <w:outlineLvl w:val="8"/>
    </w:pPr>
    <w:rPr>
      <w:rFonts w:ascii="Cambria" w:hAnsi="Cambria"/>
      <w:szCs w:val="20"/>
    </w:rPr>
  </w:style>
  <w:style w:type="character" w:default="1" w:styleId="DefaultParagraphFont">
    <w:name w:val="Default Paragraph Font"/>
    <w:uiPriority w:val="1"/>
    <w:semiHidden/>
    <w:unhideWhenUsed/>
    <w:rsid w:val="002D015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D015D"/>
  </w:style>
  <w:style w:type="character" w:customStyle="1" w:styleId="Heading1Char">
    <w:name w:val="Heading 1 Char"/>
    <w:link w:val="Heading1"/>
    <w:rsid w:val="00475311"/>
    <w:rPr>
      <w:rFonts w:ascii="Cambria" w:hAnsi="Cambria"/>
      <w:b/>
      <w:bCs/>
      <w:kern w:val="32"/>
      <w:sz w:val="32"/>
      <w:szCs w:val="32"/>
    </w:rPr>
  </w:style>
  <w:style w:type="character" w:customStyle="1" w:styleId="Heading2Char">
    <w:name w:val="Heading 2 Char"/>
    <w:link w:val="Heading2"/>
    <w:rsid w:val="00475311"/>
    <w:rPr>
      <w:rFonts w:ascii="Cambria" w:hAnsi="Cambria"/>
      <w:b/>
      <w:bCs/>
      <w:i/>
      <w:iCs/>
      <w:sz w:val="28"/>
      <w:szCs w:val="28"/>
    </w:rPr>
  </w:style>
  <w:style w:type="character" w:customStyle="1" w:styleId="Heading3Char">
    <w:name w:val="Heading 3 Char"/>
    <w:link w:val="Heading3"/>
    <w:rsid w:val="00475311"/>
    <w:rPr>
      <w:rFonts w:ascii="Cambria" w:hAnsi="Cambria"/>
      <w:b/>
      <w:bCs/>
      <w:sz w:val="26"/>
      <w:szCs w:val="26"/>
    </w:rPr>
  </w:style>
  <w:style w:type="character" w:customStyle="1" w:styleId="Heading4Char">
    <w:name w:val="Heading 4 Char"/>
    <w:link w:val="Heading4"/>
    <w:rsid w:val="00475311"/>
    <w:rPr>
      <w:b/>
      <w:bCs/>
      <w:sz w:val="28"/>
      <w:szCs w:val="28"/>
    </w:rPr>
  </w:style>
  <w:style w:type="character" w:customStyle="1" w:styleId="Heading5Char">
    <w:name w:val="Heading 5 Char"/>
    <w:link w:val="Heading5"/>
    <w:uiPriority w:val="9"/>
    <w:rsid w:val="00475311"/>
    <w:rPr>
      <w:b/>
      <w:bCs/>
      <w:i/>
      <w:iCs/>
      <w:sz w:val="26"/>
      <w:szCs w:val="26"/>
    </w:rPr>
  </w:style>
  <w:style w:type="character" w:customStyle="1" w:styleId="Heading6Char">
    <w:name w:val="Heading 6 Char"/>
    <w:link w:val="Heading6"/>
    <w:uiPriority w:val="9"/>
    <w:rsid w:val="00475311"/>
    <w:rPr>
      <w:b/>
      <w:bCs/>
    </w:rPr>
  </w:style>
  <w:style w:type="character" w:customStyle="1" w:styleId="Heading7Char">
    <w:name w:val="Heading 7 Char"/>
    <w:link w:val="Heading7"/>
    <w:uiPriority w:val="9"/>
    <w:rsid w:val="00475311"/>
    <w:rPr>
      <w:sz w:val="24"/>
      <w:szCs w:val="24"/>
    </w:rPr>
  </w:style>
  <w:style w:type="character" w:customStyle="1" w:styleId="Heading8Char">
    <w:name w:val="Heading 8 Char"/>
    <w:link w:val="Heading8"/>
    <w:uiPriority w:val="9"/>
    <w:rsid w:val="00475311"/>
    <w:rPr>
      <w:i/>
      <w:iCs/>
      <w:sz w:val="24"/>
      <w:szCs w:val="24"/>
    </w:rPr>
  </w:style>
  <w:style w:type="character" w:customStyle="1" w:styleId="Heading9Char">
    <w:name w:val="Heading 9 Char"/>
    <w:link w:val="Heading9"/>
    <w:uiPriority w:val="9"/>
    <w:rsid w:val="00475311"/>
    <w:rPr>
      <w:rFonts w:ascii="Cambria" w:eastAsia="Times New Roman" w:hAnsi="Cambria" w:cs="Times New Roman"/>
    </w:rPr>
  </w:style>
  <w:style w:type="paragraph" w:customStyle="1" w:styleId="Text1">
    <w:name w:val="Text 1"/>
    <w:basedOn w:val="Normal"/>
    <w:rsid w:val="00475311"/>
    <w:pPr>
      <w:ind w:left="851"/>
    </w:pPr>
  </w:style>
  <w:style w:type="paragraph" w:customStyle="1" w:styleId="Text2">
    <w:name w:val="Text 2"/>
    <w:basedOn w:val="Normal"/>
    <w:uiPriority w:val="99"/>
    <w:rsid w:val="00475311"/>
    <w:pPr>
      <w:ind w:left="851"/>
    </w:pPr>
  </w:style>
  <w:style w:type="paragraph" w:customStyle="1" w:styleId="Text3">
    <w:name w:val="Text 3"/>
    <w:basedOn w:val="Normal"/>
    <w:uiPriority w:val="99"/>
    <w:rsid w:val="00475311"/>
    <w:pPr>
      <w:ind w:left="851"/>
    </w:pPr>
  </w:style>
  <w:style w:type="paragraph" w:customStyle="1" w:styleId="Text4">
    <w:name w:val="Text 4"/>
    <w:basedOn w:val="Normal"/>
    <w:uiPriority w:val="99"/>
    <w:rsid w:val="00475311"/>
    <w:pPr>
      <w:ind w:left="851"/>
    </w:pPr>
  </w:style>
  <w:style w:type="paragraph" w:customStyle="1" w:styleId="Annexetitreacte">
    <w:name w:val="Annexe titre (acte)"/>
    <w:basedOn w:val="Normal"/>
    <w:next w:val="Normal"/>
    <w:rsid w:val="00475311"/>
    <w:pPr>
      <w:jc w:val="center"/>
    </w:pPr>
    <w:rPr>
      <w:b/>
      <w:bCs/>
      <w:u w:val="single"/>
    </w:rPr>
  </w:style>
  <w:style w:type="paragraph" w:customStyle="1" w:styleId="Annexetitreexposglobal">
    <w:name w:val="Annexe titre (exposé global)"/>
    <w:basedOn w:val="Normal"/>
    <w:next w:val="Normal"/>
    <w:uiPriority w:val="99"/>
    <w:rsid w:val="00475311"/>
    <w:pPr>
      <w:jc w:val="center"/>
    </w:pPr>
    <w:rPr>
      <w:b/>
      <w:bCs/>
      <w:u w:val="single"/>
    </w:rPr>
  </w:style>
  <w:style w:type="paragraph" w:customStyle="1" w:styleId="Annexetitreexpos">
    <w:name w:val="Annexe titre (exposé)"/>
    <w:basedOn w:val="Normal"/>
    <w:next w:val="Normal"/>
    <w:uiPriority w:val="99"/>
    <w:rsid w:val="00475311"/>
    <w:pPr>
      <w:jc w:val="center"/>
    </w:pPr>
    <w:rPr>
      <w:b/>
      <w:bCs/>
      <w:u w:val="single"/>
    </w:rPr>
  </w:style>
  <w:style w:type="paragraph" w:customStyle="1" w:styleId="Annexetitrefichefinacte">
    <w:name w:val="Annexe titre (fiche fin. acte)"/>
    <w:basedOn w:val="Normal"/>
    <w:next w:val="Normal"/>
    <w:uiPriority w:val="99"/>
    <w:rsid w:val="00475311"/>
    <w:pPr>
      <w:jc w:val="center"/>
    </w:pPr>
    <w:rPr>
      <w:b/>
      <w:bCs/>
      <w:u w:val="single"/>
    </w:rPr>
  </w:style>
  <w:style w:type="paragraph" w:customStyle="1" w:styleId="Annexetitrefichefinglobale">
    <w:name w:val="Annexe titre (fiche fin. globale)"/>
    <w:basedOn w:val="Normal"/>
    <w:next w:val="Normal"/>
    <w:uiPriority w:val="99"/>
    <w:rsid w:val="00475311"/>
    <w:pPr>
      <w:jc w:val="center"/>
    </w:pPr>
    <w:rPr>
      <w:b/>
      <w:bCs/>
      <w:u w:val="single"/>
    </w:rPr>
  </w:style>
  <w:style w:type="paragraph" w:customStyle="1" w:styleId="Annexetitreglobale">
    <w:name w:val="Annexe titre (globale)"/>
    <w:basedOn w:val="Normal"/>
    <w:next w:val="Normal"/>
    <w:uiPriority w:val="99"/>
    <w:rsid w:val="00475311"/>
    <w:pPr>
      <w:jc w:val="center"/>
    </w:pPr>
    <w:rPr>
      <w:b/>
      <w:bCs/>
      <w:u w:val="single"/>
    </w:rPr>
  </w:style>
  <w:style w:type="paragraph" w:customStyle="1" w:styleId="Applicationdirecte">
    <w:name w:val="Application directe"/>
    <w:basedOn w:val="Normal"/>
    <w:next w:val="Fait"/>
    <w:uiPriority w:val="99"/>
    <w:rsid w:val="00475311"/>
    <w:pPr>
      <w:spacing w:before="480"/>
    </w:pPr>
  </w:style>
  <w:style w:type="paragraph" w:customStyle="1" w:styleId="Fait">
    <w:name w:val="Fait à"/>
    <w:basedOn w:val="Normal"/>
    <w:next w:val="Institutionquisigne"/>
    <w:uiPriority w:val="99"/>
    <w:rsid w:val="00475311"/>
    <w:pPr>
      <w:keepNext/>
    </w:pPr>
  </w:style>
  <w:style w:type="paragraph" w:customStyle="1" w:styleId="Institutionquisigne">
    <w:name w:val="Institution qui signe"/>
    <w:basedOn w:val="Normal"/>
    <w:next w:val="Personnequisigne"/>
    <w:uiPriority w:val="99"/>
    <w:rsid w:val="00475311"/>
    <w:pPr>
      <w:keepNext/>
      <w:tabs>
        <w:tab w:val="left" w:pos="4253"/>
      </w:tabs>
      <w:spacing w:before="720"/>
    </w:pPr>
    <w:rPr>
      <w:i/>
      <w:iCs/>
    </w:rPr>
  </w:style>
  <w:style w:type="paragraph" w:customStyle="1" w:styleId="Personnequisigne">
    <w:name w:val="Personne qui signe"/>
    <w:basedOn w:val="Normal"/>
    <w:next w:val="Institutionquisigne"/>
    <w:uiPriority w:val="99"/>
    <w:rsid w:val="00475311"/>
    <w:pPr>
      <w:tabs>
        <w:tab w:val="left" w:pos="4253"/>
      </w:tabs>
    </w:pPr>
    <w:rPr>
      <w:i/>
      <w:iCs/>
    </w:rPr>
  </w:style>
  <w:style w:type="paragraph" w:styleId="Caption">
    <w:name w:val="caption"/>
    <w:basedOn w:val="Normal"/>
    <w:next w:val="Normal"/>
    <w:uiPriority w:val="99"/>
    <w:qFormat/>
    <w:rsid w:val="00475311"/>
    <w:rPr>
      <w:b/>
      <w:bCs/>
    </w:rPr>
  </w:style>
  <w:style w:type="paragraph" w:customStyle="1" w:styleId="ChapterTitle">
    <w:name w:val="ChapterTitle"/>
    <w:basedOn w:val="Normal"/>
    <w:next w:val="Normal"/>
    <w:uiPriority w:val="99"/>
    <w:rsid w:val="00475311"/>
    <w:pPr>
      <w:keepNext/>
      <w:spacing w:after="360"/>
      <w:jc w:val="center"/>
    </w:pPr>
    <w:rPr>
      <w:b/>
      <w:bCs/>
      <w:sz w:val="32"/>
      <w:szCs w:val="32"/>
    </w:rPr>
  </w:style>
  <w:style w:type="character" w:styleId="CommentReference">
    <w:name w:val="annotation reference"/>
    <w:uiPriority w:val="99"/>
    <w:rsid w:val="00475311"/>
    <w:rPr>
      <w:sz w:val="16"/>
      <w:szCs w:val="16"/>
    </w:rPr>
  </w:style>
  <w:style w:type="paragraph" w:styleId="CommentText">
    <w:name w:val="annotation text"/>
    <w:basedOn w:val="Normal"/>
    <w:link w:val="CommentTextChar"/>
    <w:uiPriority w:val="99"/>
    <w:rsid w:val="00475311"/>
    <w:rPr>
      <w:szCs w:val="20"/>
    </w:rPr>
  </w:style>
  <w:style w:type="character" w:customStyle="1" w:styleId="CommentTextChar">
    <w:name w:val="Comment Text Char"/>
    <w:link w:val="CommentText"/>
    <w:uiPriority w:val="99"/>
    <w:rsid w:val="00475311"/>
    <w:rPr>
      <w:rFonts w:ascii="Times New Roman" w:hAnsi="Times New Roman" w:cs="Times New Roman"/>
      <w:sz w:val="20"/>
      <w:szCs w:val="20"/>
    </w:rPr>
  </w:style>
  <w:style w:type="paragraph" w:customStyle="1" w:styleId="Confidence">
    <w:name w:val="Confidence"/>
    <w:basedOn w:val="Normal"/>
    <w:next w:val="Normal"/>
    <w:uiPriority w:val="99"/>
    <w:rsid w:val="00475311"/>
    <w:pPr>
      <w:spacing w:before="360"/>
      <w:jc w:val="center"/>
    </w:pPr>
  </w:style>
  <w:style w:type="paragraph" w:customStyle="1" w:styleId="Corrigendum">
    <w:name w:val="Corrigendum"/>
    <w:basedOn w:val="Normal"/>
    <w:next w:val="Normal"/>
    <w:uiPriority w:val="99"/>
    <w:rsid w:val="00475311"/>
    <w:pPr>
      <w:spacing w:after="240"/>
    </w:pPr>
  </w:style>
  <w:style w:type="paragraph" w:customStyle="1" w:styleId="Emission">
    <w:name w:val="Emission"/>
    <w:basedOn w:val="Normal"/>
    <w:next w:val="Rfrenceinstitutionelle"/>
    <w:uiPriority w:val="99"/>
    <w:rsid w:val="00475311"/>
    <w:pPr>
      <w:ind w:left="5103"/>
    </w:pPr>
  </w:style>
  <w:style w:type="paragraph" w:customStyle="1" w:styleId="Rfrenceinstitutionelle">
    <w:name w:val="Référence institutionelle"/>
    <w:basedOn w:val="Normal"/>
    <w:next w:val="Statut"/>
    <w:uiPriority w:val="99"/>
    <w:rsid w:val="00475311"/>
    <w:pPr>
      <w:spacing w:after="240"/>
      <w:ind w:left="5103"/>
    </w:pPr>
  </w:style>
  <w:style w:type="paragraph" w:customStyle="1" w:styleId="Statut">
    <w:name w:val="Statut"/>
    <w:basedOn w:val="Normal"/>
    <w:next w:val="Typedudocument"/>
    <w:uiPriority w:val="99"/>
    <w:rsid w:val="00475311"/>
    <w:pPr>
      <w:spacing w:before="360"/>
      <w:jc w:val="center"/>
    </w:pPr>
  </w:style>
  <w:style w:type="paragraph" w:customStyle="1" w:styleId="Typedudocument">
    <w:name w:val="Type du document"/>
    <w:basedOn w:val="Normal"/>
    <w:next w:val="Datedadoption"/>
    <w:uiPriority w:val="99"/>
    <w:rsid w:val="00475311"/>
    <w:pPr>
      <w:spacing w:before="360"/>
      <w:jc w:val="center"/>
    </w:pPr>
    <w:rPr>
      <w:b/>
      <w:bCs/>
    </w:rPr>
  </w:style>
  <w:style w:type="paragraph" w:customStyle="1" w:styleId="Datedadoption">
    <w:name w:val="Date d'adoption"/>
    <w:basedOn w:val="Normal"/>
    <w:next w:val="Titreobjet"/>
    <w:uiPriority w:val="99"/>
    <w:rsid w:val="00475311"/>
    <w:pPr>
      <w:spacing w:before="360"/>
      <w:jc w:val="center"/>
    </w:pPr>
    <w:rPr>
      <w:b/>
      <w:bCs/>
    </w:rPr>
  </w:style>
  <w:style w:type="paragraph" w:customStyle="1" w:styleId="Titreobjet">
    <w:name w:val="Titre objet"/>
    <w:basedOn w:val="Normal"/>
    <w:next w:val="Sous-titreobjet"/>
    <w:uiPriority w:val="99"/>
    <w:rsid w:val="00475311"/>
    <w:pPr>
      <w:spacing w:before="360" w:after="360"/>
      <w:jc w:val="center"/>
    </w:pPr>
    <w:rPr>
      <w:b/>
      <w:bCs/>
    </w:rPr>
  </w:style>
  <w:style w:type="paragraph" w:customStyle="1" w:styleId="Sous-titreobjet">
    <w:name w:val="Sous-titre objet"/>
    <w:basedOn w:val="Titreobjet"/>
    <w:uiPriority w:val="99"/>
    <w:rsid w:val="00475311"/>
    <w:pPr>
      <w:spacing w:before="0" w:after="0"/>
    </w:pPr>
  </w:style>
  <w:style w:type="paragraph" w:customStyle="1" w:styleId="Exposdesmotifstitre">
    <w:name w:val="Exposé des motifs titre"/>
    <w:basedOn w:val="Normal"/>
    <w:next w:val="Normal"/>
    <w:uiPriority w:val="99"/>
    <w:rsid w:val="00475311"/>
    <w:pPr>
      <w:jc w:val="center"/>
    </w:pPr>
    <w:rPr>
      <w:b/>
      <w:bCs/>
      <w:u w:val="single"/>
    </w:rPr>
  </w:style>
  <w:style w:type="paragraph" w:customStyle="1" w:styleId="Exposdesmotifstitreglobal">
    <w:name w:val="Exposé des motifs titre (global)"/>
    <w:basedOn w:val="Normal"/>
    <w:next w:val="Normal"/>
    <w:uiPriority w:val="99"/>
    <w:rsid w:val="00475311"/>
    <w:pPr>
      <w:jc w:val="center"/>
    </w:pPr>
    <w:rPr>
      <w:b/>
      <w:bCs/>
      <w:u w:val="single"/>
    </w:rPr>
  </w:style>
  <w:style w:type="paragraph" w:customStyle="1" w:styleId="FichedimpactPMEtitre">
    <w:name w:val="Fiche d'impact PME titre"/>
    <w:basedOn w:val="Normal"/>
    <w:next w:val="Normal"/>
    <w:uiPriority w:val="99"/>
    <w:rsid w:val="00475311"/>
    <w:pPr>
      <w:jc w:val="center"/>
    </w:pPr>
    <w:rPr>
      <w:b/>
      <w:bCs/>
    </w:rPr>
  </w:style>
  <w:style w:type="paragraph" w:customStyle="1" w:styleId="Fichefinanciretextetable">
    <w:name w:val="Fiche financière texte (table)"/>
    <w:basedOn w:val="Normal"/>
    <w:uiPriority w:val="99"/>
    <w:rsid w:val="00475311"/>
    <w:rPr>
      <w:szCs w:val="20"/>
    </w:rPr>
  </w:style>
  <w:style w:type="paragraph" w:customStyle="1" w:styleId="Fichefinanciretitre">
    <w:name w:val="Fiche financière titre"/>
    <w:basedOn w:val="Normal"/>
    <w:next w:val="Normal"/>
    <w:uiPriority w:val="99"/>
    <w:rsid w:val="00475311"/>
    <w:pPr>
      <w:jc w:val="center"/>
    </w:pPr>
    <w:rPr>
      <w:b/>
      <w:bCs/>
      <w:u w:val="single"/>
    </w:rPr>
  </w:style>
  <w:style w:type="paragraph" w:customStyle="1" w:styleId="Fichefinanciretitreactetable">
    <w:name w:val="Fiche financière titre (acte table)"/>
    <w:basedOn w:val="Normal"/>
    <w:next w:val="Normal"/>
    <w:uiPriority w:val="99"/>
    <w:rsid w:val="00475311"/>
    <w:pPr>
      <w:jc w:val="center"/>
    </w:pPr>
    <w:rPr>
      <w:b/>
      <w:bCs/>
      <w:sz w:val="40"/>
      <w:szCs w:val="40"/>
    </w:rPr>
  </w:style>
  <w:style w:type="paragraph" w:customStyle="1" w:styleId="Fichefinanciretitreacte">
    <w:name w:val="Fiche financière titre (acte)"/>
    <w:basedOn w:val="Normal"/>
    <w:next w:val="Normal"/>
    <w:uiPriority w:val="99"/>
    <w:rsid w:val="00475311"/>
    <w:pPr>
      <w:jc w:val="center"/>
    </w:pPr>
    <w:rPr>
      <w:b/>
      <w:bCs/>
      <w:u w:val="single"/>
    </w:rPr>
  </w:style>
  <w:style w:type="paragraph" w:customStyle="1" w:styleId="Fichefinanciretitretable">
    <w:name w:val="Fiche financière titre (table)"/>
    <w:basedOn w:val="Normal"/>
    <w:uiPriority w:val="99"/>
    <w:rsid w:val="00475311"/>
    <w:pPr>
      <w:jc w:val="center"/>
    </w:pPr>
    <w:rPr>
      <w:b/>
      <w:bCs/>
      <w:sz w:val="40"/>
      <w:szCs w:val="40"/>
    </w:rPr>
  </w:style>
  <w:style w:type="paragraph" w:styleId="Footer">
    <w:name w:val="footer"/>
    <w:basedOn w:val="Normal"/>
    <w:link w:val="FooterChar"/>
    <w:rsid w:val="00475311"/>
    <w:pPr>
      <w:tabs>
        <w:tab w:val="center" w:pos="4536"/>
        <w:tab w:val="right" w:pos="9072"/>
      </w:tabs>
      <w:spacing w:before="360"/>
    </w:pPr>
  </w:style>
  <w:style w:type="character" w:customStyle="1" w:styleId="FooterChar">
    <w:name w:val="Footer Char"/>
    <w:link w:val="Footer"/>
    <w:rsid w:val="00475311"/>
    <w:rPr>
      <w:rFonts w:ascii="Times New Roman" w:hAnsi="Times New Roman" w:cs="Times New Roman"/>
      <w:sz w:val="24"/>
      <w:szCs w:val="24"/>
    </w:rPr>
  </w:style>
  <w:style w:type="character" w:styleId="FootnoteReference">
    <w:name w:val="footnote reference"/>
    <w:qFormat/>
    <w:rsid w:val="00475311"/>
    <w:rPr>
      <w:vertAlign w:val="superscript"/>
    </w:rPr>
  </w:style>
  <w:style w:type="paragraph" w:styleId="FootnoteText">
    <w:name w:val="footnote text"/>
    <w:basedOn w:val="Normal"/>
    <w:link w:val="FootnoteTextChar"/>
    <w:qFormat/>
    <w:rsid w:val="00475311"/>
    <w:rPr>
      <w:szCs w:val="20"/>
    </w:rPr>
  </w:style>
  <w:style w:type="character" w:customStyle="1" w:styleId="FootnoteTextChar">
    <w:name w:val="Footnote Text Char"/>
    <w:link w:val="FootnoteText"/>
    <w:rsid w:val="00475311"/>
    <w:rPr>
      <w:rFonts w:ascii="Times New Roman" w:hAnsi="Times New Roman" w:cs="Times New Roman"/>
      <w:sz w:val="20"/>
      <w:szCs w:val="20"/>
    </w:rPr>
  </w:style>
  <w:style w:type="paragraph" w:customStyle="1" w:styleId="Formuledadoption">
    <w:name w:val="Formule d'adoption"/>
    <w:basedOn w:val="Normal"/>
    <w:next w:val="Titrearticle"/>
    <w:uiPriority w:val="99"/>
    <w:rsid w:val="00475311"/>
    <w:pPr>
      <w:keepNext/>
    </w:pPr>
  </w:style>
  <w:style w:type="paragraph" w:customStyle="1" w:styleId="Titrearticle">
    <w:name w:val="Titre article"/>
    <w:basedOn w:val="Normal"/>
    <w:next w:val="Normal"/>
    <w:rsid w:val="00475311"/>
    <w:pPr>
      <w:keepNext/>
      <w:spacing w:before="360"/>
      <w:jc w:val="center"/>
    </w:pPr>
    <w:rPr>
      <w:i/>
      <w:iCs/>
    </w:rPr>
  </w:style>
  <w:style w:type="paragraph" w:styleId="Header">
    <w:name w:val="header"/>
    <w:aliases w:val="numéro de page"/>
    <w:basedOn w:val="Normal"/>
    <w:link w:val="HeaderChar"/>
    <w:rsid w:val="00475311"/>
    <w:pPr>
      <w:tabs>
        <w:tab w:val="right" w:pos="8306"/>
      </w:tabs>
    </w:pPr>
  </w:style>
  <w:style w:type="character" w:customStyle="1" w:styleId="HeaderChar">
    <w:name w:val="Header Char"/>
    <w:aliases w:val="numéro de page Char"/>
    <w:link w:val="Header"/>
    <w:rsid w:val="00475311"/>
    <w:rPr>
      <w:rFonts w:ascii="Times New Roman" w:hAnsi="Times New Roman" w:cs="Times New Roman"/>
      <w:sz w:val="24"/>
      <w:szCs w:val="24"/>
    </w:rPr>
  </w:style>
  <w:style w:type="paragraph" w:customStyle="1" w:styleId="Institutionquiagit">
    <w:name w:val="Institution qui agit"/>
    <w:basedOn w:val="Normal"/>
    <w:next w:val="Normal"/>
    <w:uiPriority w:val="99"/>
    <w:rsid w:val="00475311"/>
    <w:pPr>
      <w:keepNext/>
      <w:spacing w:before="600"/>
    </w:pPr>
  </w:style>
  <w:style w:type="paragraph" w:customStyle="1" w:styleId="Langue">
    <w:name w:val="Langue"/>
    <w:basedOn w:val="Normal"/>
    <w:next w:val="Rfrenceinterne"/>
    <w:uiPriority w:val="99"/>
    <w:rsid w:val="00475311"/>
    <w:pPr>
      <w:spacing w:after="600"/>
      <w:jc w:val="center"/>
    </w:pPr>
    <w:rPr>
      <w:b/>
      <w:bCs/>
      <w:caps/>
    </w:rPr>
  </w:style>
  <w:style w:type="paragraph" w:customStyle="1" w:styleId="Rfrenceinterne">
    <w:name w:val="Référence interne"/>
    <w:basedOn w:val="Normal"/>
    <w:next w:val="Nomdelinstitution"/>
    <w:uiPriority w:val="99"/>
    <w:rsid w:val="00475311"/>
    <w:pPr>
      <w:spacing w:after="600"/>
      <w:jc w:val="center"/>
    </w:pPr>
    <w:rPr>
      <w:b/>
      <w:bCs/>
    </w:rPr>
  </w:style>
  <w:style w:type="paragraph" w:customStyle="1" w:styleId="Nomdelinstitution">
    <w:name w:val="Nom de l'institution"/>
    <w:basedOn w:val="Normal"/>
    <w:next w:val="Emission"/>
    <w:uiPriority w:val="99"/>
    <w:rsid w:val="00475311"/>
    <w:rPr>
      <w:rFonts w:cs="Arial"/>
    </w:rPr>
  </w:style>
  <w:style w:type="paragraph" w:customStyle="1" w:styleId="Langueoriginale">
    <w:name w:val="Langue originale"/>
    <w:basedOn w:val="Normal"/>
    <w:next w:val="Phrasefinale"/>
    <w:uiPriority w:val="99"/>
    <w:rsid w:val="00475311"/>
    <w:pPr>
      <w:spacing w:before="360"/>
      <w:jc w:val="center"/>
    </w:pPr>
    <w:rPr>
      <w:caps/>
    </w:rPr>
  </w:style>
  <w:style w:type="paragraph" w:customStyle="1" w:styleId="Phrasefinale">
    <w:name w:val="Phrase finale"/>
    <w:basedOn w:val="Normal"/>
    <w:next w:val="Normal"/>
    <w:uiPriority w:val="99"/>
    <w:rsid w:val="00475311"/>
    <w:pPr>
      <w:spacing w:before="360"/>
      <w:jc w:val="center"/>
    </w:pPr>
  </w:style>
  <w:style w:type="paragraph" w:customStyle="1" w:styleId="ManualHeading1">
    <w:name w:val="Manual Heading 1"/>
    <w:basedOn w:val="Heading1"/>
    <w:next w:val="Text1"/>
    <w:uiPriority w:val="99"/>
    <w:rsid w:val="00475311"/>
    <w:pPr>
      <w:tabs>
        <w:tab w:val="clear" w:pos="850"/>
        <w:tab w:val="num" w:pos="851"/>
      </w:tabs>
      <w:ind w:left="851" w:hanging="851"/>
    </w:pPr>
  </w:style>
  <w:style w:type="paragraph" w:customStyle="1" w:styleId="ManualHeading2">
    <w:name w:val="Manual Heading 2"/>
    <w:basedOn w:val="Heading2"/>
    <w:next w:val="Text2"/>
    <w:uiPriority w:val="99"/>
    <w:rsid w:val="00475311"/>
    <w:pPr>
      <w:tabs>
        <w:tab w:val="clear" w:pos="850"/>
        <w:tab w:val="num" w:pos="851"/>
      </w:tabs>
      <w:ind w:left="851" w:hanging="851"/>
    </w:pPr>
  </w:style>
  <w:style w:type="paragraph" w:customStyle="1" w:styleId="ManualHeading3">
    <w:name w:val="Manual Heading 3"/>
    <w:basedOn w:val="Heading3"/>
    <w:next w:val="Text3"/>
    <w:uiPriority w:val="99"/>
    <w:rsid w:val="00475311"/>
    <w:pPr>
      <w:tabs>
        <w:tab w:val="clear" w:pos="850"/>
        <w:tab w:val="num" w:pos="851"/>
      </w:tabs>
    </w:pPr>
  </w:style>
  <w:style w:type="paragraph" w:customStyle="1" w:styleId="ManualHeading4">
    <w:name w:val="Manual Heading 4"/>
    <w:basedOn w:val="Heading4"/>
    <w:next w:val="Text4"/>
    <w:uiPriority w:val="99"/>
    <w:rsid w:val="00475311"/>
    <w:pPr>
      <w:tabs>
        <w:tab w:val="clear" w:pos="850"/>
        <w:tab w:val="num" w:pos="851"/>
      </w:tabs>
    </w:pPr>
  </w:style>
  <w:style w:type="paragraph" w:customStyle="1" w:styleId="ManualNumPar1">
    <w:name w:val="Manual NumPar 1"/>
    <w:basedOn w:val="Normal"/>
    <w:next w:val="Text1"/>
    <w:rsid w:val="00475311"/>
    <w:pPr>
      <w:ind w:left="851" w:hanging="851"/>
    </w:pPr>
  </w:style>
  <w:style w:type="paragraph" w:customStyle="1" w:styleId="ManualNumPar2">
    <w:name w:val="Manual NumPar 2"/>
    <w:basedOn w:val="Normal"/>
    <w:next w:val="Text2"/>
    <w:uiPriority w:val="99"/>
    <w:rsid w:val="00475311"/>
    <w:pPr>
      <w:ind w:left="851" w:hanging="851"/>
    </w:pPr>
  </w:style>
  <w:style w:type="paragraph" w:customStyle="1" w:styleId="ManualNumPar3">
    <w:name w:val="Manual NumPar 3"/>
    <w:basedOn w:val="Normal"/>
    <w:next w:val="Text3"/>
    <w:uiPriority w:val="99"/>
    <w:rsid w:val="00475311"/>
    <w:pPr>
      <w:ind w:left="851" w:hanging="851"/>
    </w:pPr>
  </w:style>
  <w:style w:type="paragraph" w:customStyle="1" w:styleId="ManualNumPar4">
    <w:name w:val="Manual NumPar 4"/>
    <w:basedOn w:val="Normal"/>
    <w:next w:val="Text4"/>
    <w:uiPriority w:val="99"/>
    <w:rsid w:val="00475311"/>
    <w:pPr>
      <w:ind w:left="851" w:hanging="851"/>
    </w:pPr>
  </w:style>
  <w:style w:type="character" w:customStyle="1" w:styleId="Marker">
    <w:name w:val="Marker"/>
    <w:uiPriority w:val="99"/>
    <w:rsid w:val="00475311"/>
    <w:rPr>
      <w:color w:val="0000FF"/>
    </w:rPr>
  </w:style>
  <w:style w:type="paragraph" w:customStyle="1" w:styleId="NormalCentered">
    <w:name w:val="Normal Centered"/>
    <w:basedOn w:val="Normal"/>
    <w:rsid w:val="00475311"/>
    <w:pPr>
      <w:jc w:val="center"/>
    </w:pPr>
  </w:style>
  <w:style w:type="paragraph" w:customStyle="1" w:styleId="NormalLeft">
    <w:name w:val="Normal Left"/>
    <w:basedOn w:val="Normal"/>
    <w:rsid w:val="00475311"/>
  </w:style>
  <w:style w:type="paragraph" w:customStyle="1" w:styleId="NormalRight">
    <w:name w:val="Normal Right"/>
    <w:basedOn w:val="Normal"/>
    <w:uiPriority w:val="99"/>
    <w:rsid w:val="00475311"/>
    <w:pPr>
      <w:jc w:val="right"/>
    </w:pPr>
  </w:style>
  <w:style w:type="paragraph" w:customStyle="1" w:styleId="NumPar1">
    <w:name w:val="NumPar 1"/>
    <w:basedOn w:val="Normal"/>
    <w:next w:val="Text1"/>
    <w:rsid w:val="00475311"/>
    <w:pPr>
      <w:numPr>
        <w:numId w:val="2"/>
      </w:numPr>
    </w:pPr>
  </w:style>
  <w:style w:type="paragraph" w:customStyle="1" w:styleId="NumPar2">
    <w:name w:val="NumPar 2"/>
    <w:basedOn w:val="Normal"/>
    <w:next w:val="Text2"/>
    <w:rsid w:val="00475311"/>
    <w:pPr>
      <w:numPr>
        <w:ilvl w:val="1"/>
        <w:numId w:val="2"/>
      </w:numPr>
    </w:pPr>
  </w:style>
  <w:style w:type="paragraph" w:customStyle="1" w:styleId="NumPar3">
    <w:name w:val="NumPar 3"/>
    <w:basedOn w:val="Normal"/>
    <w:next w:val="Text3"/>
    <w:rsid w:val="00475311"/>
    <w:pPr>
      <w:numPr>
        <w:ilvl w:val="2"/>
        <w:numId w:val="2"/>
      </w:numPr>
    </w:pPr>
  </w:style>
  <w:style w:type="paragraph" w:customStyle="1" w:styleId="NumPar4">
    <w:name w:val="NumPar 4"/>
    <w:basedOn w:val="Normal"/>
    <w:next w:val="Text4"/>
    <w:rsid w:val="00475311"/>
    <w:pPr>
      <w:numPr>
        <w:ilvl w:val="3"/>
        <w:numId w:val="2"/>
      </w:numPr>
    </w:pPr>
  </w:style>
  <w:style w:type="paragraph" w:customStyle="1" w:styleId="Objetexterne">
    <w:name w:val="Objet externe"/>
    <w:basedOn w:val="Normal"/>
    <w:next w:val="Normal"/>
    <w:uiPriority w:val="99"/>
    <w:rsid w:val="00475311"/>
    <w:rPr>
      <w:i/>
      <w:iCs/>
      <w:caps/>
    </w:rPr>
  </w:style>
  <w:style w:type="character" w:styleId="PageNumber">
    <w:name w:val="page number"/>
    <w:rsid w:val="00475311"/>
  </w:style>
  <w:style w:type="paragraph" w:customStyle="1" w:styleId="PartTitle">
    <w:name w:val="PartTitle"/>
    <w:basedOn w:val="Normal"/>
    <w:next w:val="ChapterTitle"/>
    <w:uiPriority w:val="99"/>
    <w:rsid w:val="00475311"/>
    <w:pPr>
      <w:keepNext/>
      <w:pageBreakBefore/>
      <w:spacing w:after="360"/>
      <w:jc w:val="center"/>
    </w:pPr>
    <w:rPr>
      <w:b/>
      <w:bCs/>
      <w:sz w:val="36"/>
      <w:szCs w:val="36"/>
    </w:rPr>
  </w:style>
  <w:style w:type="paragraph" w:customStyle="1" w:styleId="Point0">
    <w:name w:val="Point 0"/>
    <w:basedOn w:val="Normal"/>
    <w:uiPriority w:val="99"/>
    <w:rsid w:val="00475311"/>
    <w:pPr>
      <w:ind w:left="851" w:hanging="851"/>
    </w:pPr>
  </w:style>
  <w:style w:type="paragraph" w:customStyle="1" w:styleId="Point1">
    <w:name w:val="Point 1"/>
    <w:basedOn w:val="Normal"/>
    <w:rsid w:val="00475311"/>
    <w:pPr>
      <w:ind w:left="1418" w:hanging="567"/>
    </w:pPr>
  </w:style>
  <w:style w:type="paragraph" w:customStyle="1" w:styleId="Point2">
    <w:name w:val="Point 2"/>
    <w:basedOn w:val="Normal"/>
    <w:uiPriority w:val="99"/>
    <w:rsid w:val="00475311"/>
    <w:pPr>
      <w:ind w:left="1985" w:hanging="567"/>
    </w:pPr>
  </w:style>
  <w:style w:type="paragraph" w:customStyle="1" w:styleId="Point3">
    <w:name w:val="Point 3"/>
    <w:basedOn w:val="Normal"/>
    <w:uiPriority w:val="99"/>
    <w:rsid w:val="00475311"/>
    <w:pPr>
      <w:ind w:left="2552" w:hanging="567"/>
    </w:pPr>
  </w:style>
  <w:style w:type="paragraph" w:customStyle="1" w:styleId="Point4">
    <w:name w:val="Point 4"/>
    <w:basedOn w:val="Normal"/>
    <w:uiPriority w:val="99"/>
    <w:rsid w:val="00475311"/>
    <w:pPr>
      <w:ind w:left="3119" w:hanging="567"/>
    </w:pPr>
  </w:style>
  <w:style w:type="paragraph" w:customStyle="1" w:styleId="PointDouble0">
    <w:name w:val="PointDouble 0"/>
    <w:basedOn w:val="Normal"/>
    <w:uiPriority w:val="99"/>
    <w:rsid w:val="00475311"/>
    <w:pPr>
      <w:tabs>
        <w:tab w:val="left" w:pos="851"/>
      </w:tabs>
      <w:ind w:left="1418" w:hanging="1418"/>
    </w:pPr>
  </w:style>
  <w:style w:type="paragraph" w:customStyle="1" w:styleId="PointDouble1">
    <w:name w:val="PointDouble 1"/>
    <w:basedOn w:val="Normal"/>
    <w:uiPriority w:val="99"/>
    <w:rsid w:val="00475311"/>
    <w:pPr>
      <w:tabs>
        <w:tab w:val="left" w:pos="1418"/>
      </w:tabs>
      <w:ind w:left="1985" w:hanging="1134"/>
    </w:pPr>
  </w:style>
  <w:style w:type="paragraph" w:customStyle="1" w:styleId="PointDouble2">
    <w:name w:val="PointDouble 2"/>
    <w:basedOn w:val="Normal"/>
    <w:uiPriority w:val="99"/>
    <w:rsid w:val="00475311"/>
    <w:pPr>
      <w:tabs>
        <w:tab w:val="left" w:pos="1985"/>
      </w:tabs>
      <w:ind w:left="2552" w:hanging="1134"/>
    </w:pPr>
  </w:style>
  <w:style w:type="paragraph" w:customStyle="1" w:styleId="PointDouble3">
    <w:name w:val="PointDouble 3"/>
    <w:basedOn w:val="Normal"/>
    <w:uiPriority w:val="99"/>
    <w:rsid w:val="00475311"/>
    <w:pPr>
      <w:tabs>
        <w:tab w:val="left" w:pos="2552"/>
      </w:tabs>
      <w:ind w:left="3119" w:hanging="1134"/>
    </w:pPr>
  </w:style>
  <w:style w:type="paragraph" w:customStyle="1" w:styleId="PointDouble4">
    <w:name w:val="PointDouble 4"/>
    <w:basedOn w:val="Normal"/>
    <w:uiPriority w:val="99"/>
    <w:rsid w:val="00475311"/>
    <w:pPr>
      <w:tabs>
        <w:tab w:val="left" w:pos="3119"/>
      </w:tabs>
      <w:ind w:left="3686" w:hanging="1134"/>
    </w:pPr>
  </w:style>
  <w:style w:type="paragraph" w:customStyle="1" w:styleId="PointTriple0">
    <w:name w:val="PointTriple 0"/>
    <w:basedOn w:val="Normal"/>
    <w:uiPriority w:val="99"/>
    <w:rsid w:val="00475311"/>
    <w:pPr>
      <w:tabs>
        <w:tab w:val="left" w:pos="851"/>
        <w:tab w:val="left" w:pos="1418"/>
      </w:tabs>
      <w:ind w:left="1985" w:hanging="1985"/>
    </w:pPr>
  </w:style>
  <w:style w:type="paragraph" w:customStyle="1" w:styleId="PointTriple1">
    <w:name w:val="PointTriple 1"/>
    <w:basedOn w:val="Normal"/>
    <w:uiPriority w:val="99"/>
    <w:rsid w:val="00475311"/>
    <w:pPr>
      <w:tabs>
        <w:tab w:val="left" w:pos="1418"/>
        <w:tab w:val="left" w:pos="1985"/>
      </w:tabs>
      <w:ind w:left="2552" w:hanging="1701"/>
    </w:pPr>
  </w:style>
  <w:style w:type="paragraph" w:customStyle="1" w:styleId="PointTriple2">
    <w:name w:val="PointTriple 2"/>
    <w:basedOn w:val="Normal"/>
    <w:uiPriority w:val="99"/>
    <w:rsid w:val="00475311"/>
    <w:pPr>
      <w:tabs>
        <w:tab w:val="left" w:pos="1985"/>
        <w:tab w:val="left" w:pos="2552"/>
      </w:tabs>
      <w:ind w:left="3119" w:hanging="1701"/>
    </w:pPr>
  </w:style>
  <w:style w:type="paragraph" w:customStyle="1" w:styleId="PointTriple3">
    <w:name w:val="PointTriple 3"/>
    <w:basedOn w:val="Normal"/>
    <w:uiPriority w:val="99"/>
    <w:rsid w:val="00475311"/>
    <w:pPr>
      <w:tabs>
        <w:tab w:val="left" w:pos="2552"/>
        <w:tab w:val="left" w:pos="3119"/>
      </w:tabs>
      <w:ind w:left="3686" w:hanging="1701"/>
    </w:pPr>
  </w:style>
  <w:style w:type="paragraph" w:customStyle="1" w:styleId="PointTriple4">
    <w:name w:val="PointTriple 4"/>
    <w:basedOn w:val="Normal"/>
    <w:uiPriority w:val="99"/>
    <w:rsid w:val="00475311"/>
    <w:pPr>
      <w:tabs>
        <w:tab w:val="left" w:pos="3119"/>
        <w:tab w:val="left" w:pos="3686"/>
      </w:tabs>
      <w:ind w:left="4253" w:hanging="1701"/>
    </w:pPr>
  </w:style>
  <w:style w:type="paragraph" w:customStyle="1" w:styleId="Prliminairetitre">
    <w:name w:val="Préliminaire titre"/>
    <w:basedOn w:val="Normal"/>
    <w:next w:val="Normal"/>
    <w:uiPriority w:val="99"/>
    <w:rsid w:val="00475311"/>
    <w:pPr>
      <w:spacing w:before="360" w:after="360"/>
      <w:jc w:val="center"/>
    </w:pPr>
    <w:rPr>
      <w:b/>
      <w:bCs/>
    </w:rPr>
  </w:style>
  <w:style w:type="paragraph" w:customStyle="1" w:styleId="Prliminairetype">
    <w:name w:val="Préliminaire type"/>
    <w:basedOn w:val="Normal"/>
    <w:next w:val="Normal"/>
    <w:uiPriority w:val="99"/>
    <w:rsid w:val="00475311"/>
    <w:pPr>
      <w:spacing w:before="360"/>
      <w:jc w:val="center"/>
    </w:pPr>
    <w:rPr>
      <w:b/>
      <w:bCs/>
    </w:rPr>
  </w:style>
  <w:style w:type="paragraph" w:customStyle="1" w:styleId="QuotedNumPar">
    <w:name w:val="Quoted NumPar"/>
    <w:basedOn w:val="Normal"/>
    <w:uiPriority w:val="99"/>
    <w:rsid w:val="00475311"/>
    <w:pPr>
      <w:ind w:left="1418" w:hanging="567"/>
    </w:pPr>
  </w:style>
  <w:style w:type="paragraph" w:customStyle="1" w:styleId="QuotedText">
    <w:name w:val="Quoted Text"/>
    <w:basedOn w:val="Normal"/>
    <w:uiPriority w:val="99"/>
    <w:rsid w:val="00475311"/>
    <w:pPr>
      <w:ind w:left="1418"/>
    </w:pPr>
  </w:style>
  <w:style w:type="paragraph" w:customStyle="1" w:styleId="Rfrenceinterinstitutionelle">
    <w:name w:val="Référence interinstitutionelle"/>
    <w:basedOn w:val="Normal"/>
    <w:next w:val="Statut"/>
    <w:uiPriority w:val="99"/>
    <w:rsid w:val="00475311"/>
    <w:pPr>
      <w:ind w:left="5103"/>
    </w:pPr>
  </w:style>
  <w:style w:type="paragraph" w:customStyle="1" w:styleId="SectionTitle">
    <w:name w:val="SectionTitle"/>
    <w:basedOn w:val="Normal"/>
    <w:next w:val="Heading1"/>
    <w:uiPriority w:val="99"/>
    <w:rsid w:val="00475311"/>
    <w:pPr>
      <w:keepNext/>
      <w:spacing w:after="360"/>
      <w:jc w:val="center"/>
    </w:pPr>
    <w:rPr>
      <w:b/>
      <w:bCs/>
      <w:smallCaps/>
      <w:sz w:val="28"/>
    </w:rPr>
  </w:style>
  <w:style w:type="paragraph" w:customStyle="1" w:styleId="TableTitle">
    <w:name w:val="Table Title"/>
    <w:basedOn w:val="Normal"/>
    <w:next w:val="Normal"/>
    <w:uiPriority w:val="99"/>
    <w:rsid w:val="00475311"/>
    <w:pPr>
      <w:jc w:val="center"/>
    </w:pPr>
    <w:rPr>
      <w:b/>
      <w:bCs/>
    </w:rPr>
  </w:style>
  <w:style w:type="paragraph" w:customStyle="1" w:styleId="Tiret0">
    <w:name w:val="Tiret 0"/>
    <w:basedOn w:val="Point0"/>
    <w:uiPriority w:val="99"/>
    <w:rsid w:val="00475311"/>
  </w:style>
  <w:style w:type="paragraph" w:customStyle="1" w:styleId="Tiret1">
    <w:name w:val="Tiret 1"/>
    <w:basedOn w:val="Point1"/>
    <w:uiPriority w:val="99"/>
    <w:rsid w:val="00475311"/>
  </w:style>
  <w:style w:type="paragraph" w:customStyle="1" w:styleId="Tiret2">
    <w:name w:val="Tiret 2"/>
    <w:basedOn w:val="Point2"/>
    <w:uiPriority w:val="99"/>
    <w:rsid w:val="00475311"/>
  </w:style>
  <w:style w:type="paragraph" w:customStyle="1" w:styleId="Tiret3">
    <w:name w:val="Tiret 3"/>
    <w:basedOn w:val="Point3"/>
    <w:uiPriority w:val="99"/>
    <w:rsid w:val="00475311"/>
  </w:style>
  <w:style w:type="paragraph" w:customStyle="1" w:styleId="Tiret4">
    <w:name w:val="Tiret 4"/>
    <w:basedOn w:val="Point4"/>
    <w:uiPriority w:val="99"/>
    <w:rsid w:val="00475311"/>
  </w:style>
  <w:style w:type="paragraph" w:styleId="TOAHeading">
    <w:name w:val="toa heading"/>
    <w:basedOn w:val="Normal"/>
    <w:next w:val="Normal"/>
    <w:uiPriority w:val="99"/>
    <w:rsid w:val="00475311"/>
    <w:rPr>
      <w:rFonts w:cs="Arial"/>
      <w:b/>
      <w:bCs/>
    </w:rPr>
  </w:style>
  <w:style w:type="paragraph" w:styleId="TOC1">
    <w:name w:val="toc 1"/>
    <w:next w:val="Normal"/>
    <w:uiPriority w:val="39"/>
    <w:qFormat/>
    <w:rsid w:val="00FC3016"/>
    <w:pPr>
      <w:tabs>
        <w:tab w:val="right" w:leader="dot" w:pos="9072"/>
      </w:tabs>
      <w:spacing w:before="200" w:after="100"/>
      <w:ind w:left="-142" w:right="567" w:hanging="142"/>
      <w:jc w:val="both"/>
    </w:pPr>
    <w:rPr>
      <w:rFonts w:ascii="Arial" w:hAnsi="Arial"/>
      <w:b/>
      <w:bCs/>
      <w:caps/>
    </w:rPr>
  </w:style>
  <w:style w:type="paragraph" w:styleId="TOC2">
    <w:name w:val="toc 2"/>
    <w:next w:val="Normal"/>
    <w:uiPriority w:val="39"/>
    <w:qFormat/>
    <w:rsid w:val="00FC3016"/>
    <w:pPr>
      <w:spacing w:before="100"/>
      <w:ind w:left="85" w:right="567" w:hanging="142"/>
      <w:jc w:val="both"/>
    </w:pPr>
    <w:rPr>
      <w:rFonts w:ascii="Arial" w:hAnsi="Arial"/>
      <w:smallCaps/>
    </w:rPr>
  </w:style>
  <w:style w:type="paragraph" w:styleId="TOC3">
    <w:name w:val="toc 3"/>
    <w:next w:val="Normal"/>
    <w:uiPriority w:val="39"/>
    <w:qFormat/>
    <w:rsid w:val="00FC3016"/>
    <w:pPr>
      <w:tabs>
        <w:tab w:val="right" w:leader="dot" w:pos="9072"/>
      </w:tabs>
      <w:ind w:left="142" w:right="567" w:hanging="142"/>
      <w:jc w:val="both"/>
    </w:pPr>
    <w:rPr>
      <w:rFonts w:ascii="Arial" w:hAnsi="Arial"/>
      <w:i/>
      <w:iCs/>
    </w:rPr>
  </w:style>
  <w:style w:type="paragraph" w:styleId="TOC4">
    <w:name w:val="toc 4"/>
    <w:basedOn w:val="Normal"/>
    <w:next w:val="Normal"/>
    <w:uiPriority w:val="39"/>
    <w:rsid w:val="00980F0D"/>
    <w:pPr>
      <w:ind w:left="600"/>
    </w:pPr>
    <w:rPr>
      <w:szCs w:val="18"/>
    </w:rPr>
  </w:style>
  <w:style w:type="paragraph" w:styleId="TOC5">
    <w:name w:val="toc 5"/>
    <w:basedOn w:val="Normal"/>
    <w:next w:val="Normal"/>
    <w:uiPriority w:val="39"/>
    <w:rsid w:val="00475311"/>
    <w:pPr>
      <w:ind w:left="800"/>
    </w:pPr>
    <w:rPr>
      <w:rFonts w:ascii="Calibri" w:hAnsi="Calibri"/>
      <w:sz w:val="18"/>
      <w:szCs w:val="18"/>
    </w:rPr>
  </w:style>
  <w:style w:type="paragraph" w:styleId="TOC6">
    <w:name w:val="toc 6"/>
    <w:basedOn w:val="Normal"/>
    <w:next w:val="Normal"/>
    <w:uiPriority w:val="39"/>
    <w:rsid w:val="00475311"/>
    <w:pPr>
      <w:ind w:left="1000"/>
    </w:pPr>
    <w:rPr>
      <w:rFonts w:ascii="Calibri" w:hAnsi="Calibri"/>
      <w:sz w:val="18"/>
      <w:szCs w:val="18"/>
    </w:rPr>
  </w:style>
  <w:style w:type="paragraph" w:styleId="TOC7">
    <w:name w:val="toc 7"/>
    <w:basedOn w:val="Normal"/>
    <w:next w:val="Normal"/>
    <w:uiPriority w:val="39"/>
    <w:rsid w:val="00475311"/>
    <w:pPr>
      <w:ind w:left="1200"/>
    </w:pPr>
    <w:rPr>
      <w:rFonts w:ascii="Calibri" w:hAnsi="Calibri"/>
      <w:sz w:val="18"/>
      <w:szCs w:val="18"/>
    </w:rPr>
  </w:style>
  <w:style w:type="paragraph" w:styleId="TOC8">
    <w:name w:val="toc 8"/>
    <w:basedOn w:val="Normal"/>
    <w:next w:val="Normal"/>
    <w:uiPriority w:val="39"/>
    <w:rsid w:val="00475311"/>
    <w:pPr>
      <w:ind w:left="1400"/>
    </w:pPr>
    <w:rPr>
      <w:rFonts w:ascii="Calibri" w:hAnsi="Calibri"/>
      <w:sz w:val="18"/>
      <w:szCs w:val="18"/>
    </w:rPr>
  </w:style>
  <w:style w:type="paragraph" w:styleId="TOC9">
    <w:name w:val="toc 9"/>
    <w:basedOn w:val="Normal"/>
    <w:next w:val="Normal"/>
    <w:uiPriority w:val="39"/>
    <w:rsid w:val="00475311"/>
    <w:pPr>
      <w:ind w:left="1600"/>
    </w:pPr>
    <w:rPr>
      <w:rFonts w:ascii="Calibri" w:hAnsi="Calibri"/>
      <w:sz w:val="18"/>
      <w:szCs w:val="18"/>
    </w:rPr>
  </w:style>
  <w:style w:type="paragraph" w:styleId="TOCHeading">
    <w:name w:val="TOC Heading"/>
    <w:basedOn w:val="Normal"/>
    <w:next w:val="Normal"/>
    <w:uiPriority w:val="39"/>
    <w:qFormat/>
    <w:rsid w:val="00475311"/>
    <w:pPr>
      <w:spacing w:after="240"/>
      <w:jc w:val="center"/>
    </w:pPr>
    <w:rPr>
      <w:b/>
      <w:bCs/>
      <w:sz w:val="28"/>
    </w:rPr>
  </w:style>
  <w:style w:type="paragraph" w:customStyle="1" w:styleId="Considrant">
    <w:name w:val="Considérant"/>
    <w:basedOn w:val="Normal"/>
    <w:rsid w:val="00475311"/>
    <w:pPr>
      <w:numPr>
        <w:numId w:val="3"/>
      </w:numPr>
    </w:pPr>
  </w:style>
  <w:style w:type="paragraph" w:customStyle="1" w:styleId="Confidentialit">
    <w:name w:val="Confidentialité"/>
    <w:basedOn w:val="Normal"/>
    <w:next w:val="Statut"/>
    <w:uiPriority w:val="99"/>
    <w:rsid w:val="00475311"/>
    <w:pPr>
      <w:spacing w:before="240" w:after="240"/>
      <w:ind w:left="5103"/>
    </w:pPr>
    <w:rPr>
      <w:u w:val="single"/>
    </w:rPr>
  </w:style>
  <w:style w:type="paragraph" w:customStyle="1" w:styleId="ManualConsidrant">
    <w:name w:val="Manual Considérant"/>
    <w:basedOn w:val="Normal"/>
    <w:uiPriority w:val="99"/>
    <w:rsid w:val="00475311"/>
    <w:pPr>
      <w:ind w:left="709" w:hanging="709"/>
    </w:pPr>
  </w:style>
  <w:style w:type="paragraph" w:customStyle="1" w:styleId="FooterLandscape">
    <w:name w:val="FooterLandscape"/>
    <w:basedOn w:val="Footer"/>
    <w:uiPriority w:val="99"/>
    <w:rsid w:val="00475311"/>
    <w:pPr>
      <w:tabs>
        <w:tab w:val="clear" w:pos="4536"/>
        <w:tab w:val="clear" w:pos="9072"/>
        <w:tab w:val="center" w:pos="7002"/>
        <w:tab w:val="right" w:pos="14005"/>
      </w:tabs>
    </w:pPr>
  </w:style>
  <w:style w:type="paragraph" w:customStyle="1" w:styleId="Titredumodificateur">
    <w:name w:val="Titre du modificateur"/>
    <w:basedOn w:val="Normal"/>
    <w:next w:val="Annexetitrefichefinacte"/>
    <w:uiPriority w:val="99"/>
    <w:rsid w:val="00475311"/>
    <w:pPr>
      <w:spacing w:before="240" w:after="60"/>
    </w:pPr>
    <w:rPr>
      <w:b/>
      <w:bCs/>
      <w:lang w:val="cs-CZ"/>
    </w:rPr>
  </w:style>
  <w:style w:type="paragraph" w:customStyle="1" w:styleId="Referencedumodificateur">
    <w:name w:val="Reference du modificateur"/>
    <w:basedOn w:val="Normal"/>
    <w:next w:val="Annexetitrefichefinglobale"/>
    <w:uiPriority w:val="99"/>
    <w:rsid w:val="00475311"/>
    <w:rPr>
      <w:lang w:val="cs-CZ"/>
    </w:rPr>
  </w:style>
  <w:style w:type="character" w:styleId="Hyperlink">
    <w:name w:val="Hyperlink"/>
    <w:uiPriority w:val="99"/>
    <w:unhideWhenUsed/>
    <w:rsid w:val="00225A33"/>
    <w:rPr>
      <w:b/>
      <w:bCs/>
      <w:color w:val="002579"/>
      <w:u w:val="single"/>
    </w:rPr>
  </w:style>
  <w:style w:type="paragraph" w:styleId="BodyText">
    <w:name w:val="Body Text"/>
    <w:basedOn w:val="Normal"/>
    <w:link w:val="BodyTextChar"/>
    <w:rsid w:val="00225A33"/>
    <w:pPr>
      <w:keepNext/>
      <w:tabs>
        <w:tab w:val="left" w:pos="709"/>
      </w:tabs>
      <w:spacing w:line="360" w:lineRule="auto"/>
    </w:pPr>
    <w:rPr>
      <w:lang w:eastAsia="cs-CZ"/>
    </w:rPr>
  </w:style>
  <w:style w:type="character" w:customStyle="1" w:styleId="BodyTextChar">
    <w:name w:val="Body Text Char"/>
    <w:link w:val="BodyText"/>
    <w:rsid w:val="00225A33"/>
    <w:rPr>
      <w:rFonts w:ascii="Arial" w:hAnsi="Arial"/>
      <w:szCs w:val="24"/>
      <w:lang w:val="cs-CZ" w:eastAsia="cs-CZ"/>
    </w:rPr>
  </w:style>
  <w:style w:type="paragraph" w:styleId="CommentSubject">
    <w:name w:val="annotation subject"/>
    <w:basedOn w:val="CommentText"/>
    <w:next w:val="CommentText"/>
    <w:link w:val="CommentSubjectChar"/>
    <w:unhideWhenUsed/>
    <w:rsid w:val="00034CAA"/>
    <w:rPr>
      <w:b/>
      <w:bCs/>
    </w:rPr>
  </w:style>
  <w:style w:type="character" w:customStyle="1" w:styleId="CommentSubjectChar">
    <w:name w:val="Comment Subject Char"/>
    <w:link w:val="CommentSubject"/>
    <w:rsid w:val="00034CAA"/>
    <w:rPr>
      <w:rFonts w:ascii="Times New Roman" w:hAnsi="Times New Roman" w:cs="Times New Roman"/>
      <w:b/>
      <w:bCs/>
      <w:sz w:val="20"/>
      <w:szCs w:val="20"/>
    </w:rPr>
  </w:style>
  <w:style w:type="paragraph" w:styleId="Revision">
    <w:name w:val="Revision"/>
    <w:hidden/>
    <w:uiPriority w:val="99"/>
    <w:semiHidden/>
    <w:rsid w:val="00034CAA"/>
    <w:rPr>
      <w:rFonts w:ascii="Times New Roman" w:hAnsi="Times New Roman"/>
      <w:sz w:val="24"/>
      <w:szCs w:val="24"/>
    </w:rPr>
  </w:style>
  <w:style w:type="paragraph" w:styleId="BalloonText">
    <w:name w:val="Balloon Text"/>
    <w:basedOn w:val="Normal"/>
    <w:link w:val="BalloonTextChar"/>
    <w:unhideWhenUsed/>
    <w:rsid w:val="00034CAA"/>
    <w:rPr>
      <w:rFonts w:ascii="Tahoma" w:hAnsi="Tahoma"/>
      <w:sz w:val="16"/>
      <w:szCs w:val="16"/>
    </w:rPr>
  </w:style>
  <w:style w:type="character" w:customStyle="1" w:styleId="BalloonTextChar">
    <w:name w:val="Balloon Text Char"/>
    <w:link w:val="BalloonText"/>
    <w:rsid w:val="00034CAA"/>
    <w:rPr>
      <w:rFonts w:ascii="Tahoma" w:hAnsi="Tahoma" w:cs="Tahoma"/>
      <w:sz w:val="16"/>
      <w:szCs w:val="16"/>
    </w:rPr>
  </w:style>
  <w:style w:type="paragraph" w:styleId="BodyText3">
    <w:name w:val="Body Text 3"/>
    <w:basedOn w:val="Normal"/>
    <w:link w:val="BodyText3Char"/>
    <w:unhideWhenUsed/>
    <w:rsid w:val="00B5757A"/>
    <w:rPr>
      <w:sz w:val="16"/>
      <w:szCs w:val="16"/>
    </w:rPr>
  </w:style>
  <w:style w:type="character" w:customStyle="1" w:styleId="BodyText3Char">
    <w:name w:val="Body Text 3 Char"/>
    <w:link w:val="BodyText3"/>
    <w:uiPriority w:val="99"/>
    <w:rsid w:val="00B5757A"/>
    <w:rPr>
      <w:rFonts w:ascii="Times New Roman" w:hAnsi="Times New Roman"/>
      <w:sz w:val="16"/>
      <w:szCs w:val="16"/>
    </w:rPr>
  </w:style>
  <w:style w:type="paragraph" w:styleId="BodyTextIndent3">
    <w:name w:val="Body Text Indent 3"/>
    <w:basedOn w:val="Normal"/>
    <w:link w:val="BodyTextIndent3Char"/>
    <w:unhideWhenUsed/>
    <w:rsid w:val="00364497"/>
    <w:pPr>
      <w:ind w:left="283"/>
    </w:pPr>
    <w:rPr>
      <w:sz w:val="16"/>
      <w:szCs w:val="16"/>
    </w:rPr>
  </w:style>
  <w:style w:type="character" w:customStyle="1" w:styleId="BodyTextIndent3Char">
    <w:name w:val="Body Text Indent 3 Char"/>
    <w:link w:val="BodyTextIndent3"/>
    <w:uiPriority w:val="99"/>
    <w:rsid w:val="00364497"/>
    <w:rPr>
      <w:rFonts w:ascii="Times New Roman" w:hAnsi="Times New Roman"/>
      <w:sz w:val="16"/>
      <w:szCs w:val="16"/>
    </w:rPr>
  </w:style>
  <w:style w:type="paragraph" w:styleId="ListParagraph">
    <w:name w:val="List Paragraph"/>
    <w:basedOn w:val="Normal"/>
    <w:uiPriority w:val="34"/>
    <w:qFormat/>
    <w:rsid w:val="00F0492F"/>
    <w:pPr>
      <w:ind w:left="720"/>
    </w:pPr>
    <w:rPr>
      <w:rFonts w:ascii="Calibri" w:eastAsia="Calibri" w:hAnsi="Calibri" w:cs="Calibri"/>
    </w:rPr>
  </w:style>
  <w:style w:type="paragraph" w:customStyle="1" w:styleId="ES-intro">
    <w:name w:val="ES-intro"/>
    <w:basedOn w:val="Normal"/>
    <w:link w:val="ES-introCar"/>
    <w:qFormat/>
    <w:rsid w:val="00465BBB"/>
    <w:pPr>
      <w:overflowPunct w:val="0"/>
      <w:adjustRightInd w:val="0"/>
      <w:spacing w:line="360" w:lineRule="auto"/>
      <w:textAlignment w:val="baseline"/>
    </w:pPr>
    <w:rPr>
      <w:rFonts w:eastAsia="Calibri"/>
      <w:szCs w:val="20"/>
      <w:lang w:val="cs-CZ"/>
    </w:rPr>
  </w:style>
  <w:style w:type="character" w:customStyle="1" w:styleId="ES-introCar">
    <w:name w:val="ES-intro Car"/>
    <w:link w:val="ES-intro"/>
    <w:rsid w:val="00465BBB"/>
    <w:rPr>
      <w:rFonts w:ascii="Arial" w:eastAsia="Calibri" w:hAnsi="Arial"/>
      <w:lang w:val="cs-CZ" w:eastAsia="cs-CZ"/>
    </w:rPr>
  </w:style>
  <w:style w:type="paragraph" w:customStyle="1" w:styleId="ES-Titre1">
    <w:name w:val="ES-Titre1"/>
    <w:basedOn w:val="Normal"/>
    <w:link w:val="ES-Titre1Car"/>
    <w:qFormat/>
    <w:rsid w:val="00A84512"/>
    <w:pPr>
      <w:overflowPunct w:val="0"/>
      <w:adjustRightInd w:val="0"/>
      <w:spacing w:line="240" w:lineRule="atLeast"/>
      <w:jc w:val="center"/>
      <w:textAlignment w:val="baseline"/>
    </w:pPr>
    <w:rPr>
      <w:rFonts w:eastAsia="Calibri" w:cs="Arial"/>
      <w:b/>
      <w:color w:val="000000"/>
      <w:sz w:val="28"/>
      <w:szCs w:val="32"/>
      <w:lang w:val="cs-CZ"/>
    </w:rPr>
  </w:style>
  <w:style w:type="paragraph" w:customStyle="1" w:styleId="ES-Titre2">
    <w:name w:val="ES-Titre2"/>
    <w:basedOn w:val="Normal"/>
    <w:link w:val="ES-Titre2Car"/>
    <w:qFormat/>
    <w:rsid w:val="009C13A9"/>
    <w:pPr>
      <w:pageBreakBefore/>
      <w:overflowPunct w:val="0"/>
      <w:adjustRightInd w:val="0"/>
      <w:spacing w:line="240" w:lineRule="atLeast"/>
      <w:jc w:val="center"/>
      <w:textAlignment w:val="baseline"/>
    </w:pPr>
    <w:rPr>
      <w:rFonts w:eastAsia="Calibri" w:cs="Arial"/>
      <w:b/>
      <w:i/>
      <w:caps/>
      <w:sz w:val="24"/>
      <w:lang w:val="cs-CZ"/>
    </w:rPr>
  </w:style>
  <w:style w:type="character" w:customStyle="1" w:styleId="ES-Titre1Car">
    <w:name w:val="ES-Titre1 Car"/>
    <w:link w:val="ES-Titre1"/>
    <w:rsid w:val="00A84512"/>
    <w:rPr>
      <w:rFonts w:ascii="Arial" w:eastAsia="Calibri" w:hAnsi="Arial" w:cs="Arial"/>
      <w:b/>
      <w:color w:val="000000"/>
      <w:sz w:val="28"/>
      <w:szCs w:val="32"/>
      <w:lang w:val="cs-CZ" w:eastAsia="cs-CZ"/>
    </w:rPr>
  </w:style>
  <w:style w:type="paragraph" w:customStyle="1" w:styleId="ES-Titre3">
    <w:name w:val="ES-Titre3"/>
    <w:basedOn w:val="Normal"/>
    <w:link w:val="ES-Titre3Car"/>
    <w:qFormat/>
    <w:rsid w:val="00944893"/>
    <w:pPr>
      <w:overflowPunct w:val="0"/>
      <w:adjustRightInd w:val="0"/>
      <w:spacing w:line="240" w:lineRule="exact"/>
      <w:jc w:val="center"/>
      <w:textAlignment w:val="baseline"/>
    </w:pPr>
    <w:rPr>
      <w:rFonts w:eastAsia="Calibri"/>
      <w:b/>
    </w:rPr>
  </w:style>
  <w:style w:type="character" w:customStyle="1" w:styleId="ES-Titre2Car">
    <w:name w:val="ES-Titre2 Car"/>
    <w:link w:val="ES-Titre2"/>
    <w:rsid w:val="009C13A9"/>
    <w:rPr>
      <w:rFonts w:ascii="Arial" w:eastAsia="Calibri" w:hAnsi="Arial" w:cs="Arial"/>
      <w:b/>
      <w:i/>
      <w:caps/>
      <w:sz w:val="24"/>
      <w:szCs w:val="28"/>
      <w:lang w:val="cs-CZ" w:eastAsia="cs-CZ"/>
    </w:rPr>
  </w:style>
  <w:style w:type="character" w:customStyle="1" w:styleId="ES-Titre3Car">
    <w:name w:val="ES-Titre3 Car"/>
    <w:link w:val="ES-Titre3"/>
    <w:rsid w:val="00944893"/>
    <w:rPr>
      <w:rFonts w:ascii="Arial" w:eastAsia="Calibri" w:hAnsi="Arial"/>
      <w:b/>
      <w:sz w:val="22"/>
      <w:szCs w:val="22"/>
      <w:lang w:eastAsia="cs-CZ"/>
    </w:rPr>
  </w:style>
  <w:style w:type="paragraph" w:customStyle="1" w:styleId="TNR1">
    <w:name w:val="TNR1"/>
    <w:basedOn w:val="Normal"/>
    <w:rsid w:val="00A06CEC"/>
    <w:pPr>
      <w:tabs>
        <w:tab w:val="left" w:pos="284"/>
        <w:tab w:val="left" w:pos="454"/>
        <w:tab w:val="left" w:pos="680"/>
        <w:tab w:val="left" w:pos="907"/>
      </w:tabs>
      <w:overflowPunct w:val="0"/>
      <w:adjustRightInd w:val="0"/>
      <w:ind w:hanging="284"/>
      <w:textAlignment w:val="baseline"/>
    </w:pPr>
    <w:rPr>
      <w:rFonts w:ascii="Times New Roman" w:hAnsi="Times New Roman"/>
      <w:sz w:val="24"/>
      <w:szCs w:val="20"/>
    </w:rPr>
  </w:style>
  <w:style w:type="paragraph" w:customStyle="1" w:styleId="N1">
    <w:name w:val="N1"/>
    <w:basedOn w:val="Normal"/>
    <w:rsid w:val="00A06CEC"/>
    <w:pPr>
      <w:tabs>
        <w:tab w:val="left" w:pos="284"/>
        <w:tab w:val="left" w:pos="454"/>
        <w:tab w:val="left" w:pos="680"/>
      </w:tabs>
      <w:overflowPunct w:val="0"/>
      <w:adjustRightInd w:val="0"/>
      <w:spacing w:line="240" w:lineRule="exact"/>
      <w:ind w:hanging="284"/>
      <w:textAlignment w:val="baseline"/>
    </w:pPr>
    <w:rPr>
      <w:rFonts w:ascii="Times New Roman" w:hAnsi="Times New Roman"/>
      <w:sz w:val="24"/>
      <w:szCs w:val="20"/>
    </w:rPr>
  </w:style>
  <w:style w:type="paragraph" w:customStyle="1" w:styleId="EStiret">
    <w:name w:val="ES_tiret"/>
    <w:basedOn w:val="Normal"/>
    <w:qFormat/>
    <w:rsid w:val="00E65F26"/>
    <w:pPr>
      <w:spacing w:before="60" w:line="240" w:lineRule="atLeast"/>
      <w:ind w:left="1417"/>
    </w:pPr>
    <w:rPr>
      <w:noProof/>
      <w:snapToGrid w:val="0"/>
      <w:color w:val="000000"/>
      <w:lang w:bidi="cs-CZ"/>
    </w:rPr>
  </w:style>
  <w:style w:type="paragraph" w:customStyle="1" w:styleId="TNRA">
    <w:name w:val="TNRA"/>
    <w:basedOn w:val="TNR1"/>
    <w:rsid w:val="000B4F66"/>
    <w:pPr>
      <w:ind w:left="284"/>
    </w:pPr>
  </w:style>
  <w:style w:type="numbering" w:customStyle="1" w:styleId="Aucuneliste1">
    <w:name w:val="Aucune liste1"/>
    <w:next w:val="NoList"/>
    <w:semiHidden/>
    <w:unhideWhenUsed/>
    <w:rsid w:val="00973DAA"/>
  </w:style>
  <w:style w:type="paragraph" w:styleId="BodyTextIndent">
    <w:name w:val="Body Text Indent"/>
    <w:basedOn w:val="Normal"/>
    <w:link w:val="BodyTextIndentChar"/>
    <w:unhideWhenUsed/>
    <w:rsid w:val="00F51060"/>
    <w:pPr>
      <w:spacing w:after="120"/>
      <w:ind w:left="283"/>
    </w:pPr>
  </w:style>
  <w:style w:type="character" w:customStyle="1" w:styleId="BodyTextIndentChar">
    <w:name w:val="Body Text Indent Char"/>
    <w:link w:val="BodyTextIndent"/>
    <w:uiPriority w:val="99"/>
    <w:rsid w:val="00F51060"/>
    <w:rPr>
      <w:rFonts w:ascii="Arial" w:hAnsi="Arial"/>
      <w:szCs w:val="24"/>
    </w:rPr>
  </w:style>
  <w:style w:type="paragraph" w:customStyle="1" w:styleId="Retraitcorpsdetexte22">
    <w:name w:val="Retrait corps de texte 22"/>
    <w:basedOn w:val="Normal"/>
    <w:rsid w:val="00B73D19"/>
    <w:pPr>
      <w:widowControl w:val="0"/>
      <w:tabs>
        <w:tab w:val="left" w:pos="709"/>
      </w:tabs>
      <w:suppressAutoHyphens/>
      <w:spacing w:line="240" w:lineRule="atLeast"/>
      <w:ind w:left="426"/>
    </w:pPr>
    <w:rPr>
      <w:rFonts w:cs="Arial"/>
      <w:szCs w:val="20"/>
      <w:lang w:val="cs-CZ" w:eastAsia="cs-CZ"/>
    </w:rPr>
  </w:style>
  <w:style w:type="table" w:styleId="TableGrid">
    <w:name w:val="Table Grid"/>
    <w:basedOn w:val="TableNormal"/>
    <w:uiPriority w:val="59"/>
    <w:rsid w:val="00083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1rp">
    <w:name w:val="T1_rp"/>
    <w:basedOn w:val="Normal"/>
    <w:rsid w:val="00226A59"/>
    <w:pPr>
      <w:widowControl w:val="0"/>
      <w:tabs>
        <w:tab w:val="left" w:pos="567"/>
      </w:tabs>
      <w:adjustRightInd w:val="0"/>
      <w:spacing w:line="240" w:lineRule="atLeast"/>
      <w:ind w:left="567" w:hanging="567"/>
    </w:pPr>
    <w:rPr>
      <w:rFonts w:ascii="Times New Roman" w:eastAsia="Batang" w:hAnsi="Times New Roman" w:cs="Arial"/>
      <w:sz w:val="24"/>
      <w:szCs w:val="20"/>
      <w:lang w:val="cs-CZ" w:eastAsia="cs-CZ"/>
    </w:rPr>
  </w:style>
  <w:style w:type="paragraph" w:customStyle="1" w:styleId="ESchgras">
    <w:name w:val="ES_ch_gras"/>
    <w:basedOn w:val="Normal"/>
    <w:qFormat/>
    <w:rsid w:val="00151656"/>
    <w:pPr>
      <w:spacing w:line="240" w:lineRule="atLeast"/>
      <w:ind w:left="567" w:hanging="567"/>
    </w:pPr>
    <w:rPr>
      <w:rFonts w:cs="Arial"/>
      <w:b/>
      <w:color w:val="000000"/>
      <w:szCs w:val="20"/>
    </w:rPr>
  </w:style>
  <w:style w:type="paragraph" w:customStyle="1" w:styleId="ESch">
    <w:name w:val="ES_ch"/>
    <w:basedOn w:val="Normal"/>
    <w:qFormat/>
    <w:rsid w:val="00AE4E9D"/>
    <w:pPr>
      <w:spacing w:line="240" w:lineRule="atLeast"/>
      <w:ind w:left="567" w:hanging="567"/>
    </w:pPr>
  </w:style>
  <w:style w:type="paragraph" w:customStyle="1" w:styleId="ESlet">
    <w:name w:val="ES_let"/>
    <w:basedOn w:val="Normal"/>
    <w:qFormat/>
    <w:rsid w:val="00511BF6"/>
    <w:pPr>
      <w:spacing w:before="60" w:line="240" w:lineRule="atLeast"/>
      <w:ind w:left="992"/>
    </w:pPr>
  </w:style>
  <w:style w:type="paragraph" w:customStyle="1" w:styleId="ESletpar">
    <w:name w:val="ES_let_par"/>
    <w:basedOn w:val="Normal"/>
    <w:qFormat/>
    <w:rsid w:val="009058C5"/>
    <w:pPr>
      <w:spacing w:before="60" w:line="240" w:lineRule="atLeast"/>
      <w:ind w:left="992"/>
    </w:pPr>
    <w:rPr>
      <w:lang w:eastAsia="cs-CZ"/>
    </w:rPr>
  </w:style>
  <w:style w:type="paragraph" w:customStyle="1" w:styleId="ESchpar">
    <w:name w:val="ES_ch_par"/>
    <w:basedOn w:val="Normal"/>
    <w:qFormat/>
    <w:rsid w:val="00321E38"/>
    <w:pPr>
      <w:spacing w:line="240" w:lineRule="atLeast"/>
      <w:ind w:left="567"/>
    </w:pPr>
  </w:style>
  <w:style w:type="paragraph" w:customStyle="1" w:styleId="ESgauche">
    <w:name w:val="ES_gauche"/>
    <w:basedOn w:val="Normal"/>
    <w:qFormat/>
    <w:rsid w:val="00111867"/>
    <w:pPr>
      <w:spacing w:line="240" w:lineRule="atLeast"/>
    </w:pPr>
    <w:rPr>
      <w:noProof/>
      <w:lang w:bidi="cs-CZ"/>
    </w:rPr>
  </w:style>
  <w:style w:type="paragraph" w:customStyle="1" w:styleId="ESletgauche">
    <w:name w:val="ES_let_gauche"/>
    <w:basedOn w:val="ESch"/>
    <w:qFormat/>
    <w:rsid w:val="001F173C"/>
    <w:pPr>
      <w:spacing w:before="60"/>
    </w:pPr>
  </w:style>
  <w:style w:type="paragraph" w:customStyle="1" w:styleId="ESletlong">
    <w:name w:val="ES_let_long"/>
    <w:basedOn w:val="ESlet"/>
    <w:qFormat/>
    <w:rsid w:val="00BD4F1D"/>
    <w:pPr>
      <w:spacing w:before="0"/>
    </w:pPr>
  </w:style>
  <w:style w:type="table" w:customStyle="1" w:styleId="Grilledutableau1">
    <w:name w:val="Grille du tableau1"/>
    <w:basedOn w:val="TableNormal"/>
    <w:next w:val="TableGrid"/>
    <w:uiPriority w:val="59"/>
    <w:rsid w:val="00973DA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Marker">
    <w:name w:val="CR Marker"/>
    <w:uiPriority w:val="99"/>
    <w:rsid w:val="00973DAA"/>
    <w:rPr>
      <w:rFonts w:ascii="Wingdings" w:hAnsi="Wingdings" w:cs="Wingdings"/>
    </w:rPr>
  </w:style>
  <w:style w:type="character" w:customStyle="1" w:styleId="CRRefNum">
    <w:name w:val="CR RefNum"/>
    <w:uiPriority w:val="99"/>
    <w:rsid w:val="00973DAA"/>
    <w:rPr>
      <w:vertAlign w:val="subscript"/>
    </w:rPr>
  </w:style>
  <w:style w:type="paragraph" w:customStyle="1" w:styleId="CRSeparator">
    <w:name w:val="CR Separator"/>
    <w:basedOn w:val="Normal"/>
    <w:next w:val="Normal"/>
    <w:uiPriority w:val="99"/>
    <w:rsid w:val="00973DAA"/>
    <w:pPr>
      <w:keepNext/>
      <w:pBdr>
        <w:top w:val="single" w:sz="4" w:space="1" w:color="auto"/>
      </w:pBdr>
    </w:pPr>
    <w:rPr>
      <w:rFonts w:ascii="Times New Roman" w:hAnsi="Times New Roman"/>
      <w:sz w:val="24"/>
      <w:lang w:eastAsia="cs-CZ"/>
    </w:rPr>
  </w:style>
  <w:style w:type="paragraph" w:customStyle="1" w:styleId="CM1">
    <w:name w:val="CM1"/>
    <w:basedOn w:val="Normal"/>
    <w:next w:val="Normal"/>
    <w:uiPriority w:val="99"/>
    <w:rsid w:val="00973DAA"/>
    <w:pPr>
      <w:adjustRightInd w:val="0"/>
    </w:pPr>
    <w:rPr>
      <w:rFonts w:ascii="Times New Roman" w:eastAsia="Calibri" w:hAnsi="Times New Roman"/>
      <w:sz w:val="24"/>
    </w:rPr>
  </w:style>
  <w:style w:type="paragraph" w:customStyle="1" w:styleId="CM3">
    <w:name w:val="CM3"/>
    <w:basedOn w:val="Normal"/>
    <w:next w:val="Normal"/>
    <w:uiPriority w:val="99"/>
    <w:rsid w:val="00973DAA"/>
    <w:pPr>
      <w:adjustRightInd w:val="0"/>
    </w:pPr>
    <w:rPr>
      <w:rFonts w:ascii="Times New Roman" w:eastAsia="Calibri" w:hAnsi="Times New Roman"/>
      <w:sz w:val="24"/>
    </w:rPr>
  </w:style>
  <w:style w:type="paragraph" w:customStyle="1" w:styleId="CM4">
    <w:name w:val="CM4"/>
    <w:basedOn w:val="Normal"/>
    <w:next w:val="Normal"/>
    <w:uiPriority w:val="99"/>
    <w:rsid w:val="00973DAA"/>
    <w:pPr>
      <w:adjustRightInd w:val="0"/>
    </w:pPr>
    <w:rPr>
      <w:rFonts w:ascii="Times New Roman" w:eastAsia="Calibri" w:hAnsi="Times New Roman"/>
      <w:sz w:val="24"/>
    </w:rPr>
  </w:style>
  <w:style w:type="paragraph" w:customStyle="1" w:styleId="EStiretpar">
    <w:name w:val="ES_tiret_par"/>
    <w:basedOn w:val="EStiret"/>
    <w:qFormat/>
    <w:rsid w:val="00124738"/>
    <w:pPr>
      <w:ind w:left="1418"/>
    </w:pPr>
  </w:style>
  <w:style w:type="paragraph" w:customStyle="1" w:styleId="Esletgauchepar">
    <w:name w:val="Es_let_gauche_par"/>
    <w:basedOn w:val="ESletgauche"/>
    <w:qFormat/>
    <w:rsid w:val="00BF049A"/>
    <w:pPr>
      <w:ind w:firstLine="0"/>
    </w:pPr>
    <w:rPr>
      <w:lang w:val="cs-CZ"/>
    </w:rPr>
  </w:style>
  <w:style w:type="paragraph" w:styleId="PlainText">
    <w:name w:val="Plain Text"/>
    <w:basedOn w:val="Normal"/>
    <w:link w:val="PlainTextChar"/>
    <w:unhideWhenUsed/>
    <w:rsid w:val="00E0050D"/>
    <w:rPr>
      <w:rFonts w:ascii="Calibri" w:eastAsia="Calibri" w:hAnsi="Calibri"/>
      <w:szCs w:val="21"/>
    </w:rPr>
  </w:style>
  <w:style w:type="character" w:customStyle="1" w:styleId="PlainTextChar">
    <w:name w:val="Plain Text Char"/>
    <w:link w:val="PlainText"/>
    <w:rsid w:val="00E0050D"/>
    <w:rPr>
      <w:rFonts w:eastAsia="Calibri"/>
      <w:sz w:val="22"/>
      <w:szCs w:val="21"/>
      <w:lang w:eastAsia="cs-CZ"/>
    </w:rPr>
  </w:style>
  <w:style w:type="paragraph" w:customStyle="1" w:styleId="ES-Titre3a">
    <w:name w:val="ES-Titre3a"/>
    <w:basedOn w:val="ES-Titre3"/>
    <w:qFormat/>
    <w:rsid w:val="001E2331"/>
    <w:rPr>
      <w:i/>
    </w:rPr>
  </w:style>
  <w:style w:type="paragraph" w:customStyle="1" w:styleId="Es-Titreannexes">
    <w:name w:val="Es-Titre_annexes"/>
    <w:basedOn w:val="Normal"/>
    <w:qFormat/>
    <w:rsid w:val="001E2331"/>
    <w:pPr>
      <w:spacing w:before="40" w:line="220" w:lineRule="atLeast"/>
      <w:jc w:val="center"/>
    </w:pPr>
    <w:rPr>
      <w:rFonts w:ascii="Arial Gras" w:hAnsi="Arial Gras" w:cs="Arial"/>
      <w:b/>
      <w:caps/>
      <w:color w:val="000000"/>
      <w:sz w:val="40"/>
    </w:rPr>
  </w:style>
  <w:style w:type="paragraph" w:customStyle="1" w:styleId="ESintro">
    <w:name w:val="ES_intro"/>
    <w:basedOn w:val="Normal"/>
    <w:qFormat/>
    <w:rsid w:val="001E2331"/>
    <w:pPr>
      <w:spacing w:line="240" w:lineRule="atLeast"/>
      <w:jc w:val="center"/>
    </w:pPr>
    <w:rPr>
      <w:b/>
      <w:caps/>
      <w:sz w:val="24"/>
    </w:rPr>
  </w:style>
  <w:style w:type="paragraph" w:customStyle="1" w:styleId="ESletgauche075">
    <w:name w:val="ES_let_gauche0_75"/>
    <w:basedOn w:val="ESletgauche"/>
    <w:qFormat/>
    <w:rsid w:val="001E2331"/>
    <w:pPr>
      <w:ind w:left="426" w:hanging="426"/>
    </w:pPr>
  </w:style>
  <w:style w:type="character" w:customStyle="1" w:styleId="msoins0">
    <w:name w:val="msoins0"/>
    <w:rsid w:val="001E2331"/>
  </w:style>
  <w:style w:type="paragraph" w:customStyle="1" w:styleId="BlockQuotation">
    <w:name w:val="Block Quotation"/>
    <w:basedOn w:val="Normal"/>
    <w:rsid w:val="001E2331"/>
    <w:pPr>
      <w:widowControl w:val="0"/>
      <w:tabs>
        <w:tab w:val="left" w:pos="1701"/>
        <w:tab w:val="left" w:pos="2694"/>
      </w:tabs>
      <w:ind w:left="284" w:right="-482" w:hanging="284"/>
    </w:pPr>
    <w:rPr>
      <w:rFonts w:ascii="Times New Roman" w:hAnsi="Times New Roman"/>
      <w:b/>
      <w:bCs/>
      <w:i/>
      <w:iCs/>
      <w:snapToGrid w:val="0"/>
      <w:szCs w:val="20"/>
      <w:lang w:val="cs-CZ"/>
    </w:rPr>
  </w:style>
  <w:style w:type="paragraph" w:customStyle="1" w:styleId="ES-Titre3prchap32">
    <w:name w:val="ES-Titre3_pr_chap32"/>
    <w:basedOn w:val="ES-Titre3"/>
    <w:qFormat/>
    <w:rsid w:val="001E2331"/>
    <w:rPr>
      <w:lang w:val="cs-CZ"/>
    </w:rPr>
  </w:style>
  <w:style w:type="paragraph" w:styleId="NormalIndent">
    <w:name w:val="Normal Indent"/>
    <w:basedOn w:val="Normal"/>
    <w:rsid w:val="009C13A9"/>
    <w:pPr>
      <w:overflowPunct w:val="0"/>
      <w:adjustRightInd w:val="0"/>
      <w:spacing w:line="240" w:lineRule="exact"/>
      <w:ind w:left="708"/>
      <w:textAlignment w:val="baseline"/>
    </w:pPr>
    <w:rPr>
      <w:rFonts w:ascii="Times New Roman" w:hAnsi="Times New Roman"/>
      <w:sz w:val="24"/>
    </w:rPr>
  </w:style>
  <w:style w:type="paragraph" w:customStyle="1" w:styleId="N4">
    <w:name w:val="N4"/>
    <w:basedOn w:val="Normal"/>
    <w:rsid w:val="009C13A9"/>
    <w:pPr>
      <w:tabs>
        <w:tab w:val="left" w:pos="284"/>
        <w:tab w:val="left" w:pos="454"/>
        <w:tab w:val="left" w:pos="680"/>
        <w:tab w:val="left" w:pos="1021"/>
      </w:tabs>
      <w:overflowPunct w:val="0"/>
      <w:adjustRightInd w:val="0"/>
      <w:textAlignment w:val="baseline"/>
    </w:pPr>
    <w:rPr>
      <w:rFonts w:ascii="Times New Roman" w:hAnsi="Times New Roman"/>
      <w:szCs w:val="20"/>
    </w:rPr>
  </w:style>
  <w:style w:type="paragraph" w:customStyle="1" w:styleId="N2">
    <w:name w:val="N2"/>
    <w:basedOn w:val="Normal"/>
    <w:rsid w:val="009C13A9"/>
    <w:pPr>
      <w:tabs>
        <w:tab w:val="left" w:pos="-340"/>
        <w:tab w:val="left" w:pos="284"/>
        <w:tab w:val="left" w:pos="454"/>
        <w:tab w:val="left" w:pos="680"/>
        <w:tab w:val="left" w:pos="1418"/>
      </w:tabs>
      <w:overflowPunct w:val="0"/>
      <w:adjustRightInd w:val="0"/>
      <w:ind w:hanging="1134"/>
      <w:textAlignment w:val="baseline"/>
    </w:pPr>
    <w:rPr>
      <w:rFonts w:ascii="Times New Roman" w:hAnsi="Times New Roman"/>
      <w:szCs w:val="20"/>
    </w:rPr>
  </w:style>
  <w:style w:type="paragraph" w:customStyle="1" w:styleId="N3">
    <w:name w:val="N3"/>
    <w:basedOn w:val="Normal"/>
    <w:rsid w:val="009C13A9"/>
    <w:pPr>
      <w:tabs>
        <w:tab w:val="left" w:pos="170"/>
      </w:tabs>
      <w:overflowPunct w:val="0"/>
      <w:adjustRightInd w:val="0"/>
      <w:spacing w:line="240" w:lineRule="exact"/>
      <w:textAlignment w:val="baseline"/>
    </w:pPr>
    <w:rPr>
      <w:rFonts w:ascii="Times New Roman" w:hAnsi="Times New Roman"/>
      <w:szCs w:val="20"/>
    </w:rPr>
  </w:style>
  <w:style w:type="character" w:customStyle="1" w:styleId="En-tte">
    <w:name w:val="En-tête"/>
    <w:rsid w:val="009C13A9"/>
    <w:rPr>
      <w:lang w:val="cs-CZ" w:eastAsia="cs-CZ" w:bidi="cs-CZ"/>
    </w:rPr>
  </w:style>
  <w:style w:type="character" w:styleId="Strong">
    <w:name w:val="Strong"/>
    <w:qFormat/>
    <w:rsid w:val="009C13A9"/>
    <w:rPr>
      <w:b/>
      <w:bCs/>
    </w:rPr>
  </w:style>
  <w:style w:type="paragraph" w:styleId="EndnoteText">
    <w:name w:val="endnote text"/>
    <w:basedOn w:val="Normal"/>
    <w:link w:val="EndnoteTextChar"/>
    <w:rsid w:val="009C13A9"/>
    <w:rPr>
      <w:snapToGrid w:val="0"/>
      <w:szCs w:val="20"/>
      <w:lang w:val="cs-CZ"/>
    </w:rPr>
  </w:style>
  <w:style w:type="character" w:customStyle="1" w:styleId="EndnoteTextChar">
    <w:name w:val="Endnote Text Char"/>
    <w:link w:val="EndnoteText"/>
    <w:rsid w:val="009C13A9"/>
    <w:rPr>
      <w:rFonts w:ascii="Arial" w:hAnsi="Arial"/>
      <w:snapToGrid w:val="0"/>
      <w:lang w:val="cs-CZ"/>
    </w:rPr>
  </w:style>
  <w:style w:type="paragraph" w:customStyle="1" w:styleId="Annex2Nummer">
    <w:name w:val="Annex2_Nummer"/>
    <w:basedOn w:val="Normal"/>
    <w:rsid w:val="009C13A9"/>
    <w:pPr>
      <w:tabs>
        <w:tab w:val="left" w:pos="425"/>
        <w:tab w:val="left" w:pos="851"/>
        <w:tab w:val="left" w:pos="1276"/>
        <w:tab w:val="left" w:pos="1701"/>
        <w:tab w:val="left" w:pos="2126"/>
      </w:tabs>
      <w:overflowPunct w:val="0"/>
      <w:adjustRightInd w:val="0"/>
      <w:spacing w:before="240"/>
      <w:textAlignment w:val="baseline"/>
    </w:pPr>
    <w:rPr>
      <w:rFonts w:ascii="Times New Roman" w:hAnsi="Times New Roman"/>
      <w:sz w:val="24"/>
      <w:lang w:val="cs-CZ"/>
    </w:rPr>
  </w:style>
  <w:style w:type="paragraph" w:customStyle="1" w:styleId="Normal0">
    <w:name w:val="[Normal]"/>
    <w:rsid w:val="009C13A9"/>
    <w:pPr>
      <w:autoSpaceDE w:val="0"/>
      <w:autoSpaceDN w:val="0"/>
      <w:adjustRightInd w:val="0"/>
    </w:pPr>
    <w:rPr>
      <w:rFonts w:ascii="Arial" w:hAnsi="Arial" w:cs="Arial"/>
      <w:snapToGrid w:val="0"/>
    </w:rPr>
  </w:style>
  <w:style w:type="paragraph" w:customStyle="1" w:styleId="Annex2Texteng">
    <w:name w:val="Annex2_Text_eng"/>
    <w:basedOn w:val="Annex2Nummer"/>
    <w:rsid w:val="009C13A9"/>
    <w:pPr>
      <w:tabs>
        <w:tab w:val="clear" w:pos="425"/>
        <w:tab w:val="clear" w:pos="851"/>
        <w:tab w:val="clear" w:pos="1276"/>
        <w:tab w:val="clear" w:pos="1701"/>
        <w:tab w:val="clear" w:pos="2126"/>
        <w:tab w:val="left" w:pos="454"/>
        <w:tab w:val="left" w:pos="907"/>
        <w:tab w:val="left" w:pos="1361"/>
        <w:tab w:val="left" w:pos="1814"/>
      </w:tabs>
      <w:spacing w:before="0"/>
    </w:pPr>
    <w:rPr>
      <w:snapToGrid w:val="0"/>
    </w:rPr>
  </w:style>
  <w:style w:type="paragraph" w:customStyle="1" w:styleId="Titres">
    <w:name w:val="Titres"/>
    <w:basedOn w:val="Normal"/>
    <w:rsid w:val="009C13A9"/>
    <w:pPr>
      <w:overflowPunct w:val="0"/>
      <w:adjustRightInd w:val="0"/>
      <w:spacing w:line="240" w:lineRule="exact"/>
      <w:jc w:val="center"/>
      <w:textAlignment w:val="baseline"/>
    </w:pPr>
    <w:rPr>
      <w:rFonts w:ascii="Times New Roman" w:hAnsi="Times New Roman"/>
      <w:snapToGrid w:val="0"/>
      <w:sz w:val="24"/>
      <w:szCs w:val="20"/>
    </w:rPr>
  </w:style>
  <w:style w:type="paragraph" w:customStyle="1" w:styleId="N7">
    <w:name w:val="N7"/>
    <w:basedOn w:val="Normal"/>
    <w:rsid w:val="009C13A9"/>
    <w:pPr>
      <w:tabs>
        <w:tab w:val="left" w:pos="284"/>
      </w:tabs>
      <w:overflowPunct w:val="0"/>
      <w:adjustRightInd w:val="0"/>
      <w:ind w:hanging="397"/>
      <w:textAlignment w:val="baseline"/>
    </w:pPr>
    <w:rPr>
      <w:rFonts w:ascii="Times New Roman" w:hAnsi="Times New Roman"/>
      <w:snapToGrid w:val="0"/>
      <w:szCs w:val="20"/>
    </w:rPr>
  </w:style>
  <w:style w:type="table" w:customStyle="1" w:styleId="Grilledutableau11">
    <w:name w:val="Grille du tableau11"/>
    <w:basedOn w:val="TableNormal"/>
    <w:next w:val="TableGrid"/>
    <w:rsid w:val="009C13A9"/>
    <w:pPr>
      <w:overflowPunct w:val="0"/>
      <w:autoSpaceDE w:val="0"/>
      <w:autoSpaceDN w:val="0"/>
      <w:adjustRightInd w:val="0"/>
      <w:spacing w:line="240" w:lineRule="exact"/>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_"/>
    <w:basedOn w:val="BodyTextIndent2"/>
    <w:rsid w:val="009C13A9"/>
    <w:pPr>
      <w:tabs>
        <w:tab w:val="left" w:pos="426"/>
      </w:tabs>
      <w:spacing w:after="0" w:line="240" w:lineRule="atLeast"/>
      <w:ind w:left="426" w:hanging="426"/>
      <w:jc w:val="both"/>
    </w:pPr>
    <w:rPr>
      <w:rFonts w:ascii="Arial" w:hAnsi="Arial" w:cs="Arial"/>
      <w:sz w:val="20"/>
      <w:szCs w:val="20"/>
    </w:rPr>
  </w:style>
  <w:style w:type="paragraph" w:styleId="BodyTextIndent2">
    <w:name w:val="Body Text Indent 2"/>
    <w:basedOn w:val="Normal"/>
    <w:link w:val="BodyTextIndent2Char"/>
    <w:rsid w:val="009C13A9"/>
    <w:pPr>
      <w:spacing w:after="120" w:line="480" w:lineRule="auto"/>
      <w:ind w:left="283"/>
    </w:pPr>
    <w:rPr>
      <w:rFonts w:ascii="Times New Roman" w:hAnsi="Times New Roman"/>
      <w:snapToGrid w:val="0"/>
      <w:sz w:val="24"/>
      <w:lang w:val="cs-CZ"/>
    </w:rPr>
  </w:style>
  <w:style w:type="character" w:customStyle="1" w:styleId="BodyTextIndent2Char">
    <w:name w:val="Body Text Indent 2 Char"/>
    <w:link w:val="BodyTextIndent2"/>
    <w:rsid w:val="009C13A9"/>
    <w:rPr>
      <w:rFonts w:ascii="Times New Roman" w:hAnsi="Times New Roman"/>
      <w:snapToGrid w:val="0"/>
      <w:sz w:val="24"/>
      <w:szCs w:val="24"/>
      <w:lang w:val="cs-CZ"/>
    </w:rPr>
  </w:style>
  <w:style w:type="paragraph" w:styleId="Title">
    <w:name w:val="Title"/>
    <w:basedOn w:val="Normal"/>
    <w:link w:val="TitleChar"/>
    <w:qFormat/>
    <w:rsid w:val="009C13A9"/>
    <w:pPr>
      <w:jc w:val="center"/>
    </w:pPr>
    <w:rPr>
      <w:b/>
      <w:bCs/>
      <w:snapToGrid w:val="0"/>
      <w:lang w:val="cs-CZ"/>
    </w:rPr>
  </w:style>
  <w:style w:type="character" w:customStyle="1" w:styleId="TitleChar">
    <w:name w:val="Title Char"/>
    <w:link w:val="Title"/>
    <w:rsid w:val="009C13A9"/>
    <w:rPr>
      <w:rFonts w:ascii="Arial" w:hAnsi="Arial"/>
      <w:b/>
      <w:bCs/>
      <w:snapToGrid w:val="0"/>
      <w:sz w:val="22"/>
      <w:szCs w:val="22"/>
      <w:lang w:val="cs-CZ"/>
    </w:rPr>
  </w:style>
  <w:style w:type="paragraph" w:customStyle="1" w:styleId="bijschrift">
    <w:name w:val="bijschrift"/>
    <w:basedOn w:val="Normal"/>
    <w:rsid w:val="009C13A9"/>
    <w:pPr>
      <w:widowControl w:val="0"/>
      <w:overflowPunct w:val="0"/>
      <w:adjustRightInd w:val="0"/>
      <w:textAlignment w:val="baseline"/>
    </w:pPr>
    <w:rPr>
      <w:rFonts w:ascii="Times New Roman" w:hAnsi="Times New Roman"/>
      <w:snapToGrid w:val="0"/>
      <w:sz w:val="24"/>
      <w:lang w:val="cs-CZ"/>
    </w:rPr>
  </w:style>
  <w:style w:type="paragraph" w:customStyle="1" w:styleId="TNRa0">
    <w:name w:val="TNRa"/>
    <w:basedOn w:val="TNR1"/>
    <w:rsid w:val="009C13A9"/>
    <w:pPr>
      <w:widowControl w:val="0"/>
      <w:tabs>
        <w:tab w:val="clear" w:pos="284"/>
        <w:tab w:val="clear" w:pos="454"/>
        <w:tab w:val="clear" w:pos="680"/>
        <w:tab w:val="clear" w:pos="907"/>
      </w:tabs>
      <w:ind w:left="284"/>
    </w:pPr>
    <w:rPr>
      <w:snapToGrid w:val="0"/>
      <w:szCs w:val="24"/>
      <w:lang w:val="cs-CZ"/>
    </w:rPr>
  </w:style>
  <w:style w:type="paragraph" w:customStyle="1" w:styleId="abstab">
    <w:name w:val="abstab"/>
    <w:basedOn w:val="Normal"/>
    <w:rsid w:val="009C13A9"/>
    <w:pPr>
      <w:overflowPunct w:val="0"/>
      <w:adjustRightInd w:val="0"/>
      <w:textAlignment w:val="baseline"/>
    </w:pPr>
    <w:rPr>
      <w:rFonts w:ascii="CG Times" w:hAnsi="CG Times" w:cs="CG Times"/>
      <w:snapToGrid w:val="0"/>
      <w:sz w:val="16"/>
      <w:szCs w:val="16"/>
      <w:lang w:val="cs-CZ"/>
    </w:rPr>
  </w:style>
  <w:style w:type="character" w:customStyle="1" w:styleId="DONOTTRANSLATE">
    <w:name w:val="DO_NOT_TRANSLATE"/>
    <w:rsid w:val="009C13A9"/>
    <w:rPr>
      <w:rFonts w:ascii="Courier New" w:hAnsi="Courier New" w:cs="Courier New"/>
      <w:noProof/>
      <w:color w:val="800000"/>
    </w:rPr>
  </w:style>
  <w:style w:type="paragraph" w:customStyle="1" w:styleId="Brieftext11">
    <w:name w:val="Brieftext_11"/>
    <w:basedOn w:val="Normal"/>
    <w:rsid w:val="009C13A9"/>
    <w:pPr>
      <w:widowControl w:val="0"/>
      <w:spacing w:line="360" w:lineRule="auto"/>
    </w:pPr>
    <w:rPr>
      <w:rFonts w:ascii="Times New Roman" w:hAnsi="Times New Roman"/>
      <w:snapToGrid w:val="0"/>
      <w:sz w:val="24"/>
      <w:lang w:val="cs-CZ"/>
    </w:rPr>
  </w:style>
  <w:style w:type="paragraph" w:customStyle="1" w:styleId="Res1">
    <w:name w:val="Res_1"/>
    <w:basedOn w:val="Normal"/>
    <w:rsid w:val="009C13A9"/>
    <w:pPr>
      <w:overflowPunct w:val="0"/>
      <w:adjustRightInd w:val="0"/>
      <w:spacing w:line="240" w:lineRule="exact"/>
      <w:textAlignment w:val="baseline"/>
    </w:pPr>
    <w:rPr>
      <w:rFonts w:cs="Arial"/>
      <w:i/>
      <w:iCs/>
      <w:snapToGrid w:val="0"/>
      <w:lang w:val="cs-CZ"/>
    </w:rPr>
  </w:style>
  <w:style w:type="paragraph" w:customStyle="1" w:styleId="Res1texttmnr">
    <w:name w:val="Res_1_text_tmnr"/>
    <w:basedOn w:val="Normal"/>
    <w:rsid w:val="009C13A9"/>
    <w:pPr>
      <w:tabs>
        <w:tab w:val="left" w:pos="851"/>
      </w:tabs>
      <w:overflowPunct w:val="0"/>
      <w:adjustRightInd w:val="0"/>
      <w:spacing w:line="240" w:lineRule="atLeast"/>
      <w:ind w:left="850"/>
      <w:textAlignment w:val="baseline"/>
    </w:pPr>
    <w:rPr>
      <w:rFonts w:ascii="Times New Roman" w:hAnsi="Times New Roman"/>
      <w:snapToGrid w:val="0"/>
      <w:sz w:val="24"/>
      <w:lang w:val="cs-CZ"/>
    </w:rPr>
  </w:style>
  <w:style w:type="paragraph" w:customStyle="1" w:styleId="Liege">
    <w:name w:val="Liege"/>
    <w:basedOn w:val="Res1texttmnr"/>
    <w:rsid w:val="009C13A9"/>
    <w:pPr>
      <w:ind w:left="1134"/>
    </w:pPr>
  </w:style>
  <w:style w:type="paragraph" w:customStyle="1" w:styleId="10">
    <w:name w:val="1"/>
    <w:rsid w:val="009C13A9"/>
    <w:pPr>
      <w:tabs>
        <w:tab w:val="left" w:pos="454"/>
      </w:tabs>
      <w:overflowPunct w:val="0"/>
      <w:autoSpaceDE w:val="0"/>
      <w:autoSpaceDN w:val="0"/>
      <w:adjustRightInd w:val="0"/>
      <w:spacing w:line="240" w:lineRule="exact"/>
      <w:ind w:left="454" w:hanging="454"/>
      <w:textAlignment w:val="baseline"/>
    </w:pPr>
    <w:rPr>
      <w:rFonts w:ascii="Times New Roman" w:hAnsi="Times New Roman"/>
      <w:sz w:val="24"/>
      <w:szCs w:val="24"/>
    </w:rPr>
  </w:style>
  <w:style w:type="paragraph" w:customStyle="1" w:styleId="3">
    <w:name w:val="3"/>
    <w:rsid w:val="009C13A9"/>
    <w:pPr>
      <w:tabs>
        <w:tab w:val="left" w:pos="680"/>
      </w:tabs>
      <w:overflowPunct w:val="0"/>
      <w:autoSpaceDE w:val="0"/>
      <w:autoSpaceDN w:val="0"/>
      <w:adjustRightInd w:val="0"/>
      <w:spacing w:line="240" w:lineRule="exact"/>
      <w:ind w:left="680" w:hanging="680"/>
      <w:textAlignment w:val="baseline"/>
    </w:pPr>
    <w:rPr>
      <w:rFonts w:ascii="Times New Roman" w:hAnsi="Times New Roman"/>
      <w:sz w:val="24"/>
      <w:szCs w:val="24"/>
    </w:rPr>
  </w:style>
  <w:style w:type="paragraph" w:customStyle="1" w:styleId="4">
    <w:name w:val="4"/>
    <w:rsid w:val="009C13A9"/>
    <w:pPr>
      <w:tabs>
        <w:tab w:val="left" w:pos="907"/>
      </w:tabs>
      <w:overflowPunct w:val="0"/>
      <w:autoSpaceDE w:val="0"/>
      <w:autoSpaceDN w:val="0"/>
      <w:adjustRightInd w:val="0"/>
      <w:spacing w:line="240" w:lineRule="exact"/>
      <w:ind w:left="907" w:hanging="907"/>
      <w:textAlignment w:val="baseline"/>
    </w:pPr>
    <w:rPr>
      <w:rFonts w:ascii="Times New Roman" w:hAnsi="Times New Roman"/>
      <w:sz w:val="24"/>
      <w:szCs w:val="24"/>
    </w:rPr>
  </w:style>
  <w:style w:type="paragraph" w:customStyle="1" w:styleId="5">
    <w:name w:val="5"/>
    <w:rsid w:val="009C13A9"/>
    <w:pPr>
      <w:tabs>
        <w:tab w:val="left" w:pos="1134"/>
      </w:tabs>
      <w:overflowPunct w:val="0"/>
      <w:autoSpaceDE w:val="0"/>
      <w:autoSpaceDN w:val="0"/>
      <w:adjustRightInd w:val="0"/>
      <w:spacing w:line="240" w:lineRule="exact"/>
      <w:ind w:left="1134" w:hanging="1134"/>
      <w:textAlignment w:val="baseline"/>
    </w:pPr>
    <w:rPr>
      <w:rFonts w:ascii="Times New Roman" w:hAnsi="Times New Roman"/>
      <w:sz w:val="24"/>
      <w:szCs w:val="24"/>
    </w:rPr>
  </w:style>
  <w:style w:type="paragraph" w:customStyle="1" w:styleId="6">
    <w:name w:val="6"/>
    <w:rsid w:val="009C13A9"/>
    <w:pPr>
      <w:tabs>
        <w:tab w:val="left" w:pos="284"/>
      </w:tabs>
      <w:overflowPunct w:val="0"/>
      <w:autoSpaceDE w:val="0"/>
      <w:autoSpaceDN w:val="0"/>
      <w:adjustRightInd w:val="0"/>
      <w:spacing w:line="240" w:lineRule="exact"/>
      <w:ind w:left="284" w:hanging="284"/>
      <w:textAlignment w:val="baseline"/>
    </w:pPr>
    <w:rPr>
      <w:rFonts w:ascii="Times New Roman" w:hAnsi="Times New Roman"/>
      <w:sz w:val="24"/>
      <w:szCs w:val="24"/>
    </w:rPr>
  </w:style>
  <w:style w:type="paragraph" w:customStyle="1" w:styleId="7">
    <w:name w:val="7"/>
    <w:rsid w:val="009C13A9"/>
    <w:pPr>
      <w:tabs>
        <w:tab w:val="left" w:pos="454"/>
        <w:tab w:val="left" w:pos="907"/>
      </w:tabs>
      <w:overflowPunct w:val="0"/>
      <w:autoSpaceDE w:val="0"/>
      <w:autoSpaceDN w:val="0"/>
      <w:adjustRightInd w:val="0"/>
      <w:spacing w:line="240" w:lineRule="exact"/>
      <w:ind w:left="907" w:hanging="454"/>
      <w:textAlignment w:val="baseline"/>
    </w:pPr>
    <w:rPr>
      <w:rFonts w:ascii="Times New Roman" w:hAnsi="Times New Roman"/>
      <w:sz w:val="24"/>
      <w:szCs w:val="24"/>
    </w:rPr>
  </w:style>
  <w:style w:type="paragraph" w:customStyle="1" w:styleId="8">
    <w:name w:val="8"/>
    <w:rsid w:val="009C13A9"/>
    <w:pPr>
      <w:tabs>
        <w:tab w:val="left" w:pos="907"/>
        <w:tab w:val="left" w:pos="1361"/>
      </w:tabs>
      <w:overflowPunct w:val="0"/>
      <w:autoSpaceDE w:val="0"/>
      <w:autoSpaceDN w:val="0"/>
      <w:adjustRightInd w:val="0"/>
      <w:spacing w:line="240" w:lineRule="exact"/>
      <w:ind w:left="1361" w:hanging="454"/>
      <w:textAlignment w:val="baseline"/>
    </w:pPr>
    <w:rPr>
      <w:rFonts w:ascii="Times New Roman" w:hAnsi="Times New Roman"/>
      <w:sz w:val="24"/>
      <w:szCs w:val="24"/>
    </w:rPr>
  </w:style>
  <w:style w:type="paragraph" w:customStyle="1" w:styleId="Paragraphe11">
    <w:name w:val="Paragraphe 11"/>
    <w:rsid w:val="009C13A9"/>
    <w:pPr>
      <w:tabs>
        <w:tab w:val="left" w:pos="454"/>
      </w:tabs>
      <w:overflowPunct w:val="0"/>
      <w:autoSpaceDE w:val="0"/>
      <w:autoSpaceDN w:val="0"/>
      <w:adjustRightInd w:val="0"/>
      <w:spacing w:line="240" w:lineRule="exact"/>
      <w:ind w:left="454" w:hanging="454"/>
      <w:textAlignment w:val="baseline"/>
    </w:pPr>
    <w:rPr>
      <w:rFonts w:ascii="Times New Roman" w:hAnsi="Times New Roman"/>
      <w:sz w:val="24"/>
      <w:szCs w:val="24"/>
    </w:rPr>
  </w:style>
  <w:style w:type="paragraph" w:customStyle="1" w:styleId="Paragraphe12">
    <w:name w:val="Paragraphe 12"/>
    <w:rsid w:val="009C13A9"/>
    <w:pPr>
      <w:tabs>
        <w:tab w:val="left" w:pos="454"/>
      </w:tabs>
      <w:overflowPunct w:val="0"/>
      <w:autoSpaceDE w:val="0"/>
      <w:autoSpaceDN w:val="0"/>
      <w:adjustRightInd w:val="0"/>
      <w:spacing w:line="240" w:lineRule="exact"/>
      <w:ind w:left="454" w:hanging="454"/>
      <w:textAlignment w:val="baseline"/>
    </w:pPr>
    <w:rPr>
      <w:rFonts w:ascii="Times New Roman" w:hAnsi="Times New Roman"/>
      <w:sz w:val="24"/>
      <w:szCs w:val="24"/>
    </w:rPr>
  </w:style>
  <w:style w:type="paragraph" w:customStyle="1" w:styleId="I1">
    <w:name w:val="I1"/>
    <w:rsid w:val="009C13A9"/>
    <w:pPr>
      <w:tabs>
        <w:tab w:val="left" w:pos="57"/>
        <w:tab w:val="left" w:pos="1077"/>
      </w:tabs>
      <w:overflowPunct w:val="0"/>
      <w:autoSpaceDE w:val="0"/>
      <w:autoSpaceDN w:val="0"/>
      <w:adjustRightInd w:val="0"/>
      <w:spacing w:line="240" w:lineRule="exact"/>
      <w:ind w:left="1077" w:hanging="340"/>
      <w:textAlignment w:val="baseline"/>
    </w:pPr>
    <w:rPr>
      <w:rFonts w:ascii="Times New Roman" w:hAnsi="Times New Roman"/>
      <w:sz w:val="24"/>
      <w:szCs w:val="24"/>
    </w:rPr>
  </w:style>
  <w:style w:type="paragraph" w:customStyle="1" w:styleId="I2">
    <w:name w:val="I2"/>
    <w:rsid w:val="009C13A9"/>
    <w:pPr>
      <w:tabs>
        <w:tab w:val="left" w:pos="1077"/>
      </w:tabs>
      <w:overflowPunct w:val="0"/>
      <w:autoSpaceDE w:val="0"/>
      <w:autoSpaceDN w:val="0"/>
      <w:adjustRightInd w:val="0"/>
      <w:spacing w:line="240" w:lineRule="exact"/>
      <w:ind w:left="1077" w:hanging="454"/>
      <w:textAlignment w:val="baseline"/>
    </w:pPr>
    <w:rPr>
      <w:rFonts w:ascii="Times New Roman" w:hAnsi="Times New Roman"/>
      <w:sz w:val="24"/>
      <w:szCs w:val="24"/>
    </w:rPr>
  </w:style>
  <w:style w:type="paragraph" w:customStyle="1" w:styleId="I3">
    <w:name w:val="I3"/>
    <w:rsid w:val="009C13A9"/>
    <w:pPr>
      <w:tabs>
        <w:tab w:val="left" w:pos="1077"/>
      </w:tabs>
      <w:overflowPunct w:val="0"/>
      <w:autoSpaceDE w:val="0"/>
      <w:autoSpaceDN w:val="0"/>
      <w:adjustRightInd w:val="0"/>
      <w:spacing w:line="240" w:lineRule="exact"/>
      <w:ind w:left="1077" w:hanging="510"/>
      <w:textAlignment w:val="baseline"/>
    </w:pPr>
    <w:rPr>
      <w:rFonts w:ascii="Times New Roman" w:hAnsi="Times New Roman"/>
      <w:sz w:val="24"/>
      <w:szCs w:val="24"/>
    </w:rPr>
  </w:style>
  <w:style w:type="paragraph" w:customStyle="1" w:styleId="GT">
    <w:name w:val="GT"/>
    <w:rsid w:val="009C13A9"/>
    <w:pPr>
      <w:tabs>
        <w:tab w:val="left" w:pos="1344"/>
      </w:tabs>
      <w:overflowPunct w:val="0"/>
      <w:autoSpaceDE w:val="0"/>
      <w:autoSpaceDN w:val="0"/>
      <w:adjustRightInd w:val="0"/>
      <w:spacing w:line="240" w:lineRule="exact"/>
      <w:ind w:left="1344" w:hanging="1344"/>
      <w:textAlignment w:val="baseline"/>
    </w:pPr>
    <w:rPr>
      <w:rFonts w:ascii="Times New Roman" w:hAnsi="Times New Roman"/>
      <w:sz w:val="24"/>
      <w:szCs w:val="24"/>
    </w:rPr>
  </w:style>
  <w:style w:type="paragraph" w:customStyle="1" w:styleId="GF">
    <w:name w:val="GF"/>
    <w:rsid w:val="009C13A9"/>
    <w:pPr>
      <w:tabs>
        <w:tab w:val="left" w:pos="1824"/>
      </w:tabs>
      <w:overflowPunct w:val="0"/>
      <w:autoSpaceDE w:val="0"/>
      <w:autoSpaceDN w:val="0"/>
      <w:adjustRightInd w:val="0"/>
      <w:spacing w:line="240" w:lineRule="exact"/>
      <w:ind w:left="1826" w:hanging="1826"/>
      <w:jc w:val="both"/>
      <w:textAlignment w:val="baseline"/>
    </w:pPr>
    <w:rPr>
      <w:rFonts w:ascii="Times New Roman" w:hAnsi="Times New Roman"/>
      <w:sz w:val="24"/>
      <w:szCs w:val="24"/>
    </w:rPr>
  </w:style>
  <w:style w:type="paragraph" w:customStyle="1" w:styleId="Paragraphe19">
    <w:name w:val="Paragraphe 19"/>
    <w:rsid w:val="009C13A9"/>
    <w:pPr>
      <w:tabs>
        <w:tab w:val="left" w:pos="1344"/>
        <w:tab w:val="left" w:pos="1632"/>
      </w:tabs>
      <w:overflowPunct w:val="0"/>
      <w:autoSpaceDE w:val="0"/>
      <w:autoSpaceDN w:val="0"/>
      <w:adjustRightInd w:val="0"/>
      <w:spacing w:line="300" w:lineRule="exact"/>
      <w:ind w:left="1344" w:right="38" w:hanging="576"/>
      <w:jc w:val="both"/>
      <w:textAlignment w:val="baseline"/>
    </w:pPr>
    <w:rPr>
      <w:rFonts w:ascii="Times New Roman" w:hAnsi="Times New Roman"/>
      <w:sz w:val="24"/>
      <w:szCs w:val="24"/>
    </w:rPr>
  </w:style>
  <w:style w:type="paragraph" w:customStyle="1" w:styleId="TNR7">
    <w:name w:val="TNR7"/>
    <w:basedOn w:val="TNR1"/>
    <w:rsid w:val="009C13A9"/>
    <w:pPr>
      <w:tabs>
        <w:tab w:val="clear" w:pos="907"/>
        <w:tab w:val="left" w:pos="-284"/>
        <w:tab w:val="left" w:pos="1021"/>
      </w:tabs>
      <w:spacing w:line="240" w:lineRule="exact"/>
      <w:ind w:hanging="397"/>
    </w:pPr>
    <w:rPr>
      <w:szCs w:val="24"/>
    </w:rPr>
  </w:style>
  <w:style w:type="paragraph" w:customStyle="1" w:styleId="a">
    <w:name w:val="a_"/>
    <w:basedOn w:val="BodyTextIndent2"/>
    <w:rsid w:val="009C13A9"/>
    <w:pPr>
      <w:tabs>
        <w:tab w:val="left" w:pos="426"/>
        <w:tab w:val="left" w:pos="709"/>
      </w:tabs>
      <w:spacing w:after="0" w:line="240" w:lineRule="atLeast"/>
      <w:ind w:left="709" w:hanging="709"/>
      <w:jc w:val="both"/>
    </w:pPr>
    <w:rPr>
      <w:rFonts w:ascii="Arial" w:hAnsi="Arial" w:cs="Arial"/>
      <w:snapToGrid/>
      <w:sz w:val="20"/>
      <w:szCs w:val="20"/>
    </w:rPr>
  </w:style>
  <w:style w:type="paragraph" w:styleId="ListBullet">
    <w:name w:val="List Bullet"/>
    <w:basedOn w:val="Normal"/>
    <w:autoRedefine/>
    <w:rsid w:val="009C13A9"/>
    <w:pPr>
      <w:widowControl w:val="0"/>
      <w:tabs>
        <w:tab w:val="left" w:pos="851"/>
      </w:tabs>
      <w:spacing w:before="40"/>
      <w:ind w:left="850"/>
    </w:pPr>
    <w:rPr>
      <w:rFonts w:cs="Arial"/>
      <w:szCs w:val="20"/>
      <w:lang w:val="cs-CZ"/>
    </w:rPr>
  </w:style>
  <w:style w:type="paragraph" w:customStyle="1" w:styleId="en-ttes">
    <w:name w:val="en-têtes"/>
    <w:basedOn w:val="Header"/>
    <w:rsid w:val="009C13A9"/>
    <w:pPr>
      <w:tabs>
        <w:tab w:val="clear" w:pos="8306"/>
        <w:tab w:val="right" w:pos="851"/>
        <w:tab w:val="center" w:pos="4252"/>
        <w:tab w:val="right" w:pos="8504"/>
      </w:tabs>
      <w:overflowPunct w:val="0"/>
      <w:adjustRightInd w:val="0"/>
      <w:ind w:hanging="397"/>
      <w:jc w:val="center"/>
      <w:textAlignment w:val="baseline"/>
    </w:pPr>
    <w:rPr>
      <w:rFonts w:ascii="Times New Roman" w:hAnsi="Times New Roman"/>
    </w:rPr>
  </w:style>
  <w:style w:type="paragraph" w:customStyle="1" w:styleId="N5">
    <w:name w:val="N5"/>
    <w:basedOn w:val="Normal"/>
    <w:rsid w:val="009C13A9"/>
    <w:pPr>
      <w:tabs>
        <w:tab w:val="left" w:pos="284"/>
      </w:tabs>
      <w:overflowPunct w:val="0"/>
      <w:adjustRightInd w:val="0"/>
      <w:textAlignment w:val="baseline"/>
    </w:pPr>
    <w:rPr>
      <w:rFonts w:ascii="Times New Roman" w:hAnsi="Times New Roman"/>
    </w:rPr>
  </w:style>
  <w:style w:type="paragraph" w:customStyle="1" w:styleId="N6">
    <w:name w:val="N6"/>
    <w:basedOn w:val="N5"/>
    <w:rsid w:val="009C13A9"/>
    <w:pPr>
      <w:tabs>
        <w:tab w:val="left" w:pos="794"/>
        <w:tab w:val="left" w:pos="1191"/>
        <w:tab w:val="left" w:leader="dot" w:pos="7371"/>
      </w:tabs>
    </w:pPr>
  </w:style>
  <w:style w:type="paragraph" w:customStyle="1" w:styleId="N8">
    <w:name w:val="N8"/>
    <w:basedOn w:val="N7"/>
    <w:rsid w:val="009C13A9"/>
    <w:pPr>
      <w:ind w:firstLine="0"/>
      <w:jc w:val="center"/>
    </w:pPr>
    <w:rPr>
      <w:snapToGrid/>
      <w:sz w:val="20"/>
    </w:rPr>
  </w:style>
  <w:style w:type="paragraph" w:customStyle="1" w:styleId="T1">
    <w:name w:val="T1"/>
    <w:basedOn w:val="Normal"/>
    <w:rsid w:val="009C13A9"/>
    <w:pPr>
      <w:tabs>
        <w:tab w:val="left" w:pos="425"/>
      </w:tabs>
      <w:overflowPunct w:val="0"/>
      <w:adjustRightInd w:val="0"/>
      <w:spacing w:line="240" w:lineRule="atLeast"/>
      <w:textAlignment w:val="baseline"/>
    </w:pPr>
    <w:rPr>
      <w:rFonts w:ascii="Times New Roman" w:hAnsi="Times New Roman"/>
      <w:sz w:val="24"/>
      <w:lang w:val="cs-CZ"/>
    </w:rPr>
  </w:style>
  <w:style w:type="paragraph" w:customStyle="1" w:styleId="Style1">
    <w:name w:val="Style1"/>
    <w:basedOn w:val="T1"/>
    <w:rsid w:val="009C13A9"/>
    <w:pPr>
      <w:tabs>
        <w:tab w:val="left" w:pos="851"/>
      </w:tabs>
      <w:spacing w:before="80"/>
      <w:ind w:left="850"/>
    </w:pPr>
  </w:style>
  <w:style w:type="paragraph" w:customStyle="1" w:styleId="T1a">
    <w:name w:val="T1a"/>
    <w:basedOn w:val="T1"/>
    <w:next w:val="Style1"/>
    <w:rsid w:val="009C13A9"/>
    <w:pPr>
      <w:tabs>
        <w:tab w:val="left" w:pos="851"/>
      </w:tabs>
      <w:spacing w:before="80"/>
      <w:ind w:left="850"/>
    </w:pPr>
  </w:style>
  <w:style w:type="paragraph" w:customStyle="1" w:styleId="To">
    <w:name w:val="To"/>
    <w:basedOn w:val="Normal"/>
    <w:rsid w:val="009C13A9"/>
    <w:pPr>
      <w:overflowPunct w:val="0"/>
      <w:adjustRightInd w:val="0"/>
      <w:spacing w:line="240" w:lineRule="atLeast"/>
      <w:textAlignment w:val="baseline"/>
    </w:pPr>
    <w:rPr>
      <w:rFonts w:ascii="Times New Roman" w:hAnsi="Times New Roman"/>
      <w:sz w:val="24"/>
      <w:lang w:val="cs-CZ"/>
    </w:rPr>
  </w:style>
  <w:style w:type="paragraph" w:styleId="BlockText">
    <w:name w:val="Block Text"/>
    <w:basedOn w:val="Normal"/>
    <w:rsid w:val="009C13A9"/>
    <w:pPr>
      <w:pBdr>
        <w:top w:val="double" w:sz="6" w:space="3" w:color="auto"/>
        <w:left w:val="double" w:sz="6" w:space="3" w:color="auto"/>
        <w:bottom w:val="double" w:sz="6" w:space="3" w:color="auto"/>
        <w:right w:val="double" w:sz="6" w:space="3" w:color="auto"/>
      </w:pBdr>
      <w:shd w:val="pct10" w:color="auto" w:fill="auto"/>
      <w:overflowPunct w:val="0"/>
      <w:adjustRightInd w:val="0"/>
      <w:ind w:left="2410" w:right="2125"/>
      <w:jc w:val="center"/>
    </w:pPr>
    <w:rPr>
      <w:rFonts w:cs="Arial"/>
      <w:b/>
      <w:bCs/>
      <w:lang w:val="cs-CZ"/>
    </w:rPr>
  </w:style>
  <w:style w:type="paragraph" w:customStyle="1" w:styleId="c1">
    <w:name w:val="c1"/>
    <w:basedOn w:val="Normal"/>
    <w:rsid w:val="009C13A9"/>
    <w:pPr>
      <w:spacing w:line="240" w:lineRule="atLeast"/>
      <w:jc w:val="center"/>
    </w:pPr>
    <w:rPr>
      <w:rFonts w:ascii="Times New Roman" w:hAnsi="Times New Roman"/>
      <w:sz w:val="24"/>
      <w:lang w:val="cs-CZ"/>
    </w:rPr>
  </w:style>
  <w:style w:type="paragraph" w:customStyle="1" w:styleId="Brieftext10">
    <w:name w:val="Brieftext_10"/>
    <w:basedOn w:val="Normal"/>
    <w:rsid w:val="009C13A9"/>
    <w:pPr>
      <w:widowControl w:val="0"/>
      <w:suppressAutoHyphens/>
      <w:spacing w:line="360" w:lineRule="auto"/>
    </w:pPr>
    <w:rPr>
      <w:rFonts w:ascii="Times New Roman" w:hAnsi="Times New Roman"/>
      <w:szCs w:val="20"/>
      <w:lang w:val="cs-CZ"/>
    </w:rPr>
  </w:style>
  <w:style w:type="paragraph" w:customStyle="1" w:styleId="Retraitcorpsdetexte21">
    <w:name w:val="Retrait corps de texte 21"/>
    <w:basedOn w:val="Normal"/>
    <w:rsid w:val="009C13A9"/>
    <w:pPr>
      <w:tabs>
        <w:tab w:val="left" w:pos="1418"/>
      </w:tabs>
      <w:suppressAutoHyphens/>
      <w:spacing w:before="120"/>
      <w:ind w:left="1418" w:hanging="1418"/>
    </w:pPr>
    <w:rPr>
      <w:rFonts w:ascii="Times New Roman" w:hAnsi="Times New Roman"/>
      <w:snapToGrid w:val="0"/>
      <w:szCs w:val="20"/>
      <w:lang w:val="cs-CZ"/>
    </w:rPr>
  </w:style>
  <w:style w:type="paragraph" w:customStyle="1" w:styleId="N10">
    <w:name w:val="N10"/>
    <w:basedOn w:val="Normal"/>
    <w:rsid w:val="009C13A9"/>
    <w:pPr>
      <w:tabs>
        <w:tab w:val="left" w:pos="284"/>
        <w:tab w:val="left" w:pos="567"/>
        <w:tab w:val="left" w:pos="680"/>
        <w:tab w:val="left" w:pos="1021"/>
      </w:tabs>
      <w:overflowPunct w:val="0"/>
      <w:adjustRightInd w:val="0"/>
      <w:ind w:left="568" w:hanging="284"/>
      <w:textAlignment w:val="baseline"/>
    </w:pPr>
    <w:rPr>
      <w:rFonts w:ascii="Tms Rmn" w:hAnsi="Tms Rmn" w:cs="Tms Rmn"/>
      <w:snapToGrid w:val="0"/>
    </w:rPr>
  </w:style>
  <w:style w:type="paragraph" w:customStyle="1" w:styleId="titr1">
    <w:name w:val="titr1"/>
    <w:basedOn w:val="BodyTextIndent"/>
    <w:rsid w:val="009C13A9"/>
    <w:pPr>
      <w:tabs>
        <w:tab w:val="left" w:pos="425"/>
      </w:tabs>
      <w:spacing w:after="0" w:line="240" w:lineRule="atLeast"/>
      <w:ind w:left="425"/>
      <w:outlineLvl w:val="0"/>
    </w:pPr>
    <w:rPr>
      <w:rFonts w:cs="Arial"/>
      <w:b/>
      <w:bCs/>
      <w:snapToGrid w:val="0"/>
    </w:rPr>
  </w:style>
  <w:style w:type="paragraph" w:customStyle="1" w:styleId="Titra">
    <w:name w:val="Titr_a"/>
    <w:basedOn w:val="BodyTextIndent"/>
    <w:rsid w:val="009C13A9"/>
    <w:pPr>
      <w:tabs>
        <w:tab w:val="left" w:pos="851"/>
      </w:tabs>
      <w:spacing w:after="0" w:line="240" w:lineRule="atLeast"/>
      <w:ind w:left="850"/>
      <w:outlineLvl w:val="0"/>
    </w:pPr>
    <w:rPr>
      <w:rFonts w:cs="Arial"/>
      <w:snapToGrid w:val="0"/>
      <w:szCs w:val="20"/>
    </w:rPr>
  </w:style>
  <w:style w:type="paragraph" w:customStyle="1" w:styleId="Titrtiret">
    <w:name w:val="Titr_tiret"/>
    <w:basedOn w:val="BodyTextIndent"/>
    <w:rsid w:val="009C13A9"/>
    <w:pPr>
      <w:tabs>
        <w:tab w:val="left" w:pos="1276"/>
      </w:tabs>
      <w:spacing w:before="80" w:after="0" w:line="240" w:lineRule="atLeast"/>
      <w:ind w:left="1276"/>
    </w:pPr>
    <w:rPr>
      <w:rFonts w:cs="Arial"/>
      <w:snapToGrid w:val="0"/>
      <w:szCs w:val="20"/>
    </w:rPr>
  </w:style>
  <w:style w:type="paragraph" w:customStyle="1" w:styleId="Taa">
    <w:name w:val="Taa"/>
    <w:basedOn w:val="Normal"/>
    <w:rsid w:val="009C13A9"/>
    <w:pPr>
      <w:tabs>
        <w:tab w:val="left" w:pos="1276"/>
      </w:tabs>
      <w:overflowPunct w:val="0"/>
      <w:adjustRightInd w:val="0"/>
      <w:spacing w:line="240" w:lineRule="exact"/>
      <w:ind w:left="1276"/>
      <w:textAlignment w:val="baseline"/>
    </w:pPr>
    <w:rPr>
      <w:rFonts w:ascii="Times New Roman" w:hAnsi="Times New Roman"/>
      <w:sz w:val="24"/>
      <w:lang w:val="cs-CZ"/>
    </w:rPr>
  </w:style>
  <w:style w:type="paragraph" w:customStyle="1" w:styleId="Ta">
    <w:name w:val="Ta"/>
    <w:basedOn w:val="Normal"/>
    <w:rsid w:val="009C13A9"/>
    <w:pPr>
      <w:tabs>
        <w:tab w:val="left" w:pos="851"/>
      </w:tabs>
      <w:spacing w:line="240" w:lineRule="atLeast"/>
      <w:ind w:left="850"/>
    </w:pPr>
    <w:rPr>
      <w:rFonts w:cs="Arial"/>
      <w:i/>
      <w:iCs/>
      <w:lang w:val="cs-CZ"/>
    </w:rPr>
  </w:style>
  <w:style w:type="paragraph" w:customStyle="1" w:styleId="Annex2Artikel">
    <w:name w:val="Annex2_Artikel"/>
    <w:basedOn w:val="Normal"/>
    <w:rsid w:val="009C13A9"/>
    <w:pPr>
      <w:widowControl w:val="0"/>
      <w:tabs>
        <w:tab w:val="left" w:pos="454"/>
        <w:tab w:val="left" w:pos="907"/>
        <w:tab w:val="left" w:pos="1361"/>
        <w:tab w:val="left" w:pos="1814"/>
      </w:tabs>
      <w:overflowPunct w:val="0"/>
      <w:adjustRightInd w:val="0"/>
      <w:spacing w:before="480" w:line="240" w:lineRule="exact"/>
      <w:jc w:val="center"/>
      <w:textAlignment w:val="baseline"/>
    </w:pPr>
    <w:rPr>
      <w:rFonts w:ascii="Times New Roman" w:hAnsi="Times New Roman"/>
      <w:b/>
      <w:bCs/>
      <w:sz w:val="24"/>
      <w:lang w:val="cs-CZ"/>
    </w:rPr>
  </w:style>
  <w:style w:type="paragraph" w:customStyle="1" w:styleId="Annex2Artikelberschrift">
    <w:name w:val="Annex2_Artikel_Überschrift"/>
    <w:basedOn w:val="Normal"/>
    <w:rsid w:val="009C13A9"/>
    <w:pPr>
      <w:widowControl w:val="0"/>
      <w:tabs>
        <w:tab w:val="left" w:pos="454"/>
        <w:tab w:val="left" w:pos="907"/>
        <w:tab w:val="left" w:pos="1361"/>
        <w:tab w:val="left" w:pos="1814"/>
      </w:tabs>
      <w:overflowPunct w:val="0"/>
      <w:adjustRightInd w:val="0"/>
      <w:spacing w:before="240" w:line="240" w:lineRule="exact"/>
      <w:jc w:val="center"/>
      <w:textAlignment w:val="baseline"/>
    </w:pPr>
    <w:rPr>
      <w:rFonts w:ascii="Times New Roman" w:hAnsi="Times New Roman"/>
      <w:i/>
      <w:iCs/>
      <w:sz w:val="24"/>
      <w:lang w:val="cs-CZ"/>
    </w:rPr>
  </w:style>
  <w:style w:type="paragraph" w:customStyle="1" w:styleId="T1fr">
    <w:name w:val="T1fr"/>
    <w:basedOn w:val="T1"/>
    <w:rsid w:val="009C13A9"/>
    <w:pPr>
      <w:tabs>
        <w:tab w:val="clear" w:pos="425"/>
        <w:tab w:val="left" w:pos="851"/>
      </w:tabs>
      <w:overflowPunct/>
      <w:adjustRightInd/>
      <w:ind w:left="850"/>
      <w:textAlignment w:val="auto"/>
    </w:pPr>
  </w:style>
  <w:style w:type="paragraph" w:customStyle="1" w:styleId="Tafr">
    <w:name w:val="Ta_fr"/>
    <w:basedOn w:val="T1"/>
    <w:rsid w:val="009C13A9"/>
    <w:pPr>
      <w:tabs>
        <w:tab w:val="clear" w:pos="425"/>
        <w:tab w:val="left" w:pos="851"/>
      </w:tabs>
      <w:overflowPunct/>
      <w:adjustRightInd/>
      <w:spacing w:before="60"/>
      <w:ind w:left="1276"/>
      <w:textAlignment w:val="auto"/>
    </w:pPr>
  </w:style>
  <w:style w:type="paragraph" w:customStyle="1" w:styleId="T1n">
    <w:name w:val="T1n"/>
    <w:basedOn w:val="T1"/>
    <w:rsid w:val="009C13A9"/>
    <w:pPr>
      <w:tabs>
        <w:tab w:val="clear" w:pos="425"/>
        <w:tab w:val="left" w:pos="851"/>
      </w:tabs>
      <w:ind w:left="850"/>
    </w:pPr>
  </w:style>
  <w:style w:type="paragraph" w:customStyle="1" w:styleId="T1gr">
    <w:name w:val="T_1gr"/>
    <w:basedOn w:val="Normal"/>
    <w:rsid w:val="009C13A9"/>
    <w:pPr>
      <w:tabs>
        <w:tab w:val="left" w:pos="567"/>
      </w:tabs>
      <w:spacing w:line="240" w:lineRule="atLeast"/>
      <w:ind w:left="567" w:hanging="567"/>
    </w:pPr>
    <w:rPr>
      <w:rFonts w:cs="Arial"/>
      <w:b/>
      <w:bCs/>
      <w:snapToGrid w:val="0"/>
      <w:szCs w:val="20"/>
    </w:rPr>
  </w:style>
  <w:style w:type="paragraph" w:customStyle="1" w:styleId="T1rent">
    <w:name w:val="T_1rent"/>
    <w:basedOn w:val="Normal"/>
    <w:rsid w:val="009C13A9"/>
    <w:pPr>
      <w:spacing w:line="240" w:lineRule="atLeast"/>
      <w:ind w:left="567"/>
    </w:pPr>
    <w:rPr>
      <w:rFonts w:cs="Arial"/>
      <w:snapToGrid w:val="0"/>
      <w:szCs w:val="20"/>
    </w:rPr>
  </w:style>
  <w:style w:type="paragraph" w:customStyle="1" w:styleId="textetableau">
    <w:name w:val="texte tableau"/>
    <w:basedOn w:val="Normal"/>
    <w:rsid w:val="009C13A9"/>
    <w:pPr>
      <w:tabs>
        <w:tab w:val="left" w:pos="1418"/>
      </w:tabs>
      <w:spacing w:before="40" w:after="40" w:line="220" w:lineRule="exact"/>
    </w:pPr>
    <w:rPr>
      <w:bCs/>
      <w:iCs/>
      <w:szCs w:val="20"/>
    </w:rPr>
  </w:style>
  <w:style w:type="paragraph" w:customStyle="1" w:styleId="Lignedobjet">
    <w:name w:val="Ligne d'objet"/>
    <w:basedOn w:val="Normal"/>
    <w:rsid w:val="009C13A9"/>
    <w:pPr>
      <w:tabs>
        <w:tab w:val="left" w:pos="284"/>
      </w:tabs>
      <w:overflowPunct w:val="0"/>
      <w:adjustRightInd w:val="0"/>
      <w:textAlignment w:val="baseline"/>
    </w:pPr>
    <w:rPr>
      <w:szCs w:val="20"/>
    </w:rPr>
  </w:style>
  <w:style w:type="paragraph" w:styleId="NormalWeb">
    <w:name w:val="Normal (Web)"/>
    <w:basedOn w:val="Normal"/>
    <w:rsid w:val="009C13A9"/>
    <w:pPr>
      <w:spacing w:before="101" w:after="101"/>
      <w:ind w:left="453" w:right="352"/>
    </w:pPr>
    <w:rPr>
      <w:rFonts w:ascii="Times New Roman" w:eastAsia="Batang" w:hAnsi="Times New Roman"/>
      <w:sz w:val="19"/>
      <w:szCs w:val="19"/>
      <w:lang w:eastAsia="cs-CZ"/>
    </w:rPr>
  </w:style>
  <w:style w:type="paragraph" w:styleId="BodyText2">
    <w:name w:val="Body Text 2"/>
    <w:basedOn w:val="Normal"/>
    <w:link w:val="BodyText2Char"/>
    <w:rsid w:val="009C13A9"/>
    <w:pPr>
      <w:spacing w:after="120" w:line="480" w:lineRule="auto"/>
    </w:pPr>
    <w:rPr>
      <w:rFonts w:ascii="Times New Roman" w:hAnsi="Times New Roman"/>
      <w:snapToGrid w:val="0"/>
      <w:sz w:val="24"/>
      <w:lang w:val="cs-CZ"/>
    </w:rPr>
  </w:style>
  <w:style w:type="character" w:customStyle="1" w:styleId="BodyText2Char">
    <w:name w:val="Body Text 2 Char"/>
    <w:link w:val="BodyText2"/>
    <w:rsid w:val="009C13A9"/>
    <w:rPr>
      <w:rFonts w:ascii="Times New Roman" w:hAnsi="Times New Roman"/>
      <w:snapToGrid w:val="0"/>
      <w:sz w:val="24"/>
      <w:szCs w:val="24"/>
      <w:lang w:val="cs-CZ"/>
    </w:rPr>
  </w:style>
  <w:style w:type="paragraph" w:customStyle="1" w:styleId="Textkrper-Einzug3">
    <w:name w:val="Textkörper-Einzug 3"/>
    <w:basedOn w:val="Normal"/>
    <w:rsid w:val="009C13A9"/>
    <w:pPr>
      <w:widowControl w:val="0"/>
      <w:tabs>
        <w:tab w:val="left" w:pos="426"/>
      </w:tabs>
      <w:overflowPunct w:val="0"/>
      <w:adjustRightInd w:val="0"/>
      <w:ind w:left="426" w:hanging="426"/>
      <w:textAlignment w:val="baseline"/>
    </w:pPr>
    <w:rPr>
      <w:rFonts w:cs="Arial"/>
      <w:i/>
      <w:iCs/>
      <w:szCs w:val="20"/>
    </w:rPr>
  </w:style>
  <w:style w:type="paragraph" w:customStyle="1" w:styleId="a1">
    <w:name w:val="a1"/>
    <w:basedOn w:val="Normal"/>
    <w:rsid w:val="009C13A9"/>
    <w:pPr>
      <w:tabs>
        <w:tab w:val="left" w:pos="851"/>
      </w:tabs>
      <w:spacing w:line="240" w:lineRule="atLeast"/>
      <w:ind w:left="850"/>
    </w:pPr>
    <w:rPr>
      <w:rFonts w:ascii="Times New Roman" w:hAnsi="Times New Roman"/>
      <w:snapToGrid w:val="0"/>
      <w:sz w:val="24"/>
      <w:lang w:val="cs-CZ"/>
    </w:rPr>
  </w:style>
  <w:style w:type="paragraph" w:customStyle="1" w:styleId="1berschriftTF">
    <w:name w:val="1.Überschrift TF"/>
    <w:basedOn w:val="Normal"/>
    <w:rsid w:val="009C13A9"/>
    <w:rPr>
      <w:rFonts w:ascii="Arial Narrow" w:hAnsi="Arial Narrow"/>
      <w:snapToGrid w:val="0"/>
      <w:lang w:val="cs-CZ"/>
    </w:rPr>
  </w:style>
  <w:style w:type="paragraph" w:styleId="Subtitle">
    <w:name w:val="Subtitle"/>
    <w:basedOn w:val="Normal"/>
    <w:link w:val="SubtitleChar"/>
    <w:qFormat/>
    <w:rsid w:val="009C13A9"/>
    <w:pPr>
      <w:tabs>
        <w:tab w:val="left" w:pos="851"/>
        <w:tab w:val="left" w:pos="1560"/>
      </w:tabs>
      <w:spacing w:line="240" w:lineRule="atLeast"/>
      <w:jc w:val="center"/>
    </w:pPr>
    <w:rPr>
      <w:b/>
      <w:bCs/>
      <w:snapToGrid w:val="0"/>
      <w:sz w:val="28"/>
      <w:lang w:val="cs-CZ"/>
    </w:rPr>
  </w:style>
  <w:style w:type="character" w:customStyle="1" w:styleId="SubtitleChar">
    <w:name w:val="Subtitle Char"/>
    <w:link w:val="Subtitle"/>
    <w:rsid w:val="009C13A9"/>
    <w:rPr>
      <w:rFonts w:ascii="Arial" w:hAnsi="Arial"/>
      <w:b/>
      <w:bCs/>
      <w:snapToGrid w:val="0"/>
      <w:sz w:val="28"/>
      <w:szCs w:val="28"/>
      <w:lang w:val="cs-CZ"/>
    </w:rPr>
  </w:style>
  <w:style w:type="paragraph" w:customStyle="1" w:styleId="t60">
    <w:name w:val="t60"/>
    <w:basedOn w:val="Normal"/>
    <w:rsid w:val="009C13A9"/>
    <w:pPr>
      <w:spacing w:line="200" w:lineRule="atLeast"/>
    </w:pPr>
    <w:rPr>
      <w:rFonts w:ascii="Times New Roman" w:hAnsi="Times New Roman"/>
      <w:snapToGrid w:val="0"/>
      <w:sz w:val="24"/>
      <w:lang w:val="cs-CZ"/>
    </w:rPr>
  </w:style>
  <w:style w:type="character" w:styleId="LineNumber">
    <w:name w:val="line number"/>
    <w:basedOn w:val="DefaultParagraphFont"/>
    <w:rsid w:val="009C13A9"/>
  </w:style>
  <w:style w:type="paragraph" w:customStyle="1" w:styleId="Annex2Buchstabe">
    <w:name w:val="Annex2_Buchstabe"/>
    <w:basedOn w:val="Normal"/>
    <w:rsid w:val="009C13A9"/>
    <w:pPr>
      <w:tabs>
        <w:tab w:val="left" w:pos="454"/>
        <w:tab w:val="left" w:pos="907"/>
        <w:tab w:val="left" w:pos="1361"/>
        <w:tab w:val="left" w:pos="1814"/>
      </w:tabs>
      <w:overflowPunct w:val="0"/>
      <w:adjustRightInd w:val="0"/>
      <w:spacing w:after="80"/>
      <w:ind w:left="908" w:hanging="454"/>
      <w:textAlignment w:val="baseline"/>
    </w:pPr>
    <w:rPr>
      <w:rFonts w:ascii="Times New Roman" w:hAnsi="Times New Roman"/>
      <w:sz w:val="24"/>
    </w:rPr>
  </w:style>
  <w:style w:type="paragraph" w:customStyle="1" w:styleId="aa">
    <w:name w:val="aa"/>
    <w:basedOn w:val="Annex2Buchstabe"/>
    <w:rsid w:val="009C13A9"/>
    <w:pPr>
      <w:tabs>
        <w:tab w:val="clear" w:pos="454"/>
        <w:tab w:val="clear" w:pos="907"/>
        <w:tab w:val="clear" w:pos="1361"/>
        <w:tab w:val="clear" w:pos="1814"/>
        <w:tab w:val="left" w:pos="425"/>
        <w:tab w:val="left" w:pos="851"/>
        <w:tab w:val="left" w:pos="1276"/>
        <w:tab w:val="left" w:pos="1701"/>
        <w:tab w:val="left" w:pos="2126"/>
      </w:tabs>
      <w:spacing w:before="120" w:after="0" w:line="240" w:lineRule="atLeast"/>
      <w:ind w:left="850" w:hanging="425"/>
    </w:pPr>
  </w:style>
  <w:style w:type="paragraph" w:customStyle="1" w:styleId="Standard">
    <w:name w:val="Standard"/>
    <w:rsid w:val="009C13A9"/>
    <w:pPr>
      <w:widowControl w:val="0"/>
      <w:overflowPunct w:val="0"/>
      <w:autoSpaceDE w:val="0"/>
      <w:autoSpaceDN w:val="0"/>
      <w:adjustRightInd w:val="0"/>
      <w:jc w:val="both"/>
      <w:textAlignment w:val="baseline"/>
    </w:pPr>
    <w:rPr>
      <w:rFonts w:ascii="CG Times (W1)" w:hAnsi="CG Times (W1)"/>
      <w:snapToGrid w:val="0"/>
      <w:sz w:val="24"/>
      <w:szCs w:val="24"/>
    </w:rPr>
  </w:style>
  <w:style w:type="paragraph" w:customStyle="1" w:styleId="rad111">
    <w:name w:val="rad1.11"/>
    <w:basedOn w:val="Normal"/>
    <w:rsid w:val="009C13A9"/>
    <w:pPr>
      <w:tabs>
        <w:tab w:val="left" w:pos="284"/>
        <w:tab w:val="left" w:pos="454"/>
        <w:tab w:val="left" w:pos="709"/>
      </w:tabs>
      <w:spacing w:line="240" w:lineRule="exact"/>
      <w:ind w:hanging="567"/>
    </w:pPr>
    <w:rPr>
      <w:rFonts w:ascii="Times New Roman" w:hAnsi="Times New Roman"/>
      <w:snapToGrid w:val="0"/>
      <w:sz w:val="24"/>
    </w:rPr>
  </w:style>
  <w:style w:type="paragraph" w:customStyle="1" w:styleId="rad1">
    <w:name w:val="rad1"/>
    <w:aliases w:val="11"/>
    <w:basedOn w:val="Normal"/>
    <w:rsid w:val="009C13A9"/>
    <w:pPr>
      <w:tabs>
        <w:tab w:val="left" w:pos="284"/>
        <w:tab w:val="left" w:pos="454"/>
        <w:tab w:val="left" w:pos="709"/>
      </w:tabs>
      <w:spacing w:line="240" w:lineRule="exact"/>
      <w:ind w:hanging="567"/>
    </w:pPr>
    <w:rPr>
      <w:rFonts w:ascii="Times New Roman" w:hAnsi="Times New Roman"/>
      <w:sz w:val="24"/>
    </w:rPr>
  </w:style>
  <w:style w:type="paragraph" w:customStyle="1" w:styleId="N12">
    <w:name w:val="N12"/>
    <w:basedOn w:val="Normal"/>
    <w:rsid w:val="009C13A9"/>
    <w:pPr>
      <w:tabs>
        <w:tab w:val="left" w:pos="284"/>
      </w:tabs>
      <w:overflowPunct w:val="0"/>
      <w:adjustRightInd w:val="0"/>
      <w:spacing w:line="240" w:lineRule="atLeast"/>
      <w:jc w:val="center"/>
      <w:textAlignment w:val="baseline"/>
    </w:pPr>
    <w:rPr>
      <w:rFonts w:ascii="Times New Roman" w:hAnsi="Times New Roman"/>
      <w:sz w:val="16"/>
      <w:szCs w:val="20"/>
    </w:rPr>
  </w:style>
  <w:style w:type="paragraph" w:customStyle="1" w:styleId="rad1note">
    <w:name w:val="rad1.note"/>
    <w:basedOn w:val="Normal"/>
    <w:rsid w:val="009C13A9"/>
    <w:pPr>
      <w:tabs>
        <w:tab w:val="left" w:pos="284"/>
        <w:tab w:val="left" w:pos="454"/>
        <w:tab w:val="left" w:pos="709"/>
      </w:tabs>
      <w:overflowPunct w:val="0"/>
      <w:adjustRightInd w:val="0"/>
      <w:spacing w:line="240" w:lineRule="exact"/>
      <w:ind w:left="284" w:hanging="284"/>
      <w:textAlignment w:val="baseline"/>
    </w:pPr>
    <w:rPr>
      <w:rFonts w:ascii="Times New Roman" w:hAnsi="Times New Roman"/>
      <w:sz w:val="24"/>
      <w:szCs w:val="20"/>
    </w:rPr>
  </w:style>
  <w:style w:type="paragraph" w:customStyle="1" w:styleId="Hoofdgedeelte">
    <w:name w:val="Hoofdgedeelte"/>
    <w:basedOn w:val="Normal"/>
    <w:rsid w:val="009C13A9"/>
    <w:pPr>
      <w:widowControl w:val="0"/>
    </w:pPr>
    <w:rPr>
      <w:rFonts w:ascii="Times" w:hAnsi="Times"/>
      <w:sz w:val="24"/>
      <w:lang w:val="cs-CZ"/>
    </w:rPr>
  </w:style>
  <w:style w:type="numbering" w:customStyle="1" w:styleId="Aucuneliste11">
    <w:name w:val="Aucune liste11"/>
    <w:next w:val="NoList"/>
    <w:uiPriority w:val="99"/>
    <w:semiHidden/>
    <w:unhideWhenUsed/>
    <w:rsid w:val="009C13A9"/>
  </w:style>
  <w:style w:type="character" w:customStyle="1" w:styleId="WW8Num1z0">
    <w:name w:val="WW8Num1z0"/>
    <w:rsid w:val="009C13A9"/>
    <w:rPr>
      <w:rFonts w:cs="Times New Roman"/>
    </w:rPr>
  </w:style>
  <w:style w:type="character" w:customStyle="1" w:styleId="WW8Num2z0">
    <w:name w:val="WW8Num2z0"/>
    <w:rsid w:val="009C13A9"/>
    <w:rPr>
      <w:rFonts w:cs="Times New Roman"/>
    </w:rPr>
  </w:style>
  <w:style w:type="character" w:customStyle="1" w:styleId="Absatz-Standardschriftart1">
    <w:name w:val="Absatz-Standardschriftart1"/>
    <w:rsid w:val="009C13A9"/>
  </w:style>
  <w:style w:type="character" w:customStyle="1" w:styleId="WW-Absatz-Standardschriftart">
    <w:name w:val="WW-Absatz-Standardschriftart"/>
    <w:rsid w:val="009C13A9"/>
  </w:style>
  <w:style w:type="character" w:customStyle="1" w:styleId="WW-Absatz-Standardschriftart1">
    <w:name w:val="WW-Absatz-Standardschriftart1"/>
    <w:rsid w:val="009C13A9"/>
  </w:style>
  <w:style w:type="character" w:customStyle="1" w:styleId="WW-Absatz-Standardschriftart11">
    <w:name w:val="WW-Absatz-Standardschriftart11"/>
    <w:rsid w:val="009C13A9"/>
  </w:style>
  <w:style w:type="character" w:customStyle="1" w:styleId="WW-Absatz-Standardschriftart111">
    <w:name w:val="WW-Absatz-Standardschriftart111"/>
    <w:rsid w:val="009C13A9"/>
  </w:style>
  <w:style w:type="character" w:customStyle="1" w:styleId="WW-Absatz-Standardschriftart1111">
    <w:name w:val="WW-Absatz-Standardschriftart1111"/>
    <w:rsid w:val="009C13A9"/>
  </w:style>
  <w:style w:type="character" w:customStyle="1" w:styleId="WW-Absatz-Standardschriftart11111">
    <w:name w:val="WW-Absatz-Standardschriftart11111"/>
    <w:rsid w:val="009C13A9"/>
  </w:style>
  <w:style w:type="character" w:customStyle="1" w:styleId="WW-Absatz-Standardschriftart111111">
    <w:name w:val="WW-Absatz-Standardschriftart111111"/>
    <w:rsid w:val="009C13A9"/>
  </w:style>
  <w:style w:type="character" w:customStyle="1" w:styleId="WW-Absatz-Standardschriftart1111111">
    <w:name w:val="WW-Absatz-Standardschriftart1111111"/>
    <w:rsid w:val="009C13A9"/>
  </w:style>
  <w:style w:type="character" w:customStyle="1" w:styleId="WW-Absatz-Standardschriftart11111111">
    <w:name w:val="WW-Absatz-Standardschriftart11111111"/>
    <w:rsid w:val="009C13A9"/>
  </w:style>
  <w:style w:type="character" w:customStyle="1" w:styleId="WW-Absatz-Standardschriftart111111111">
    <w:name w:val="WW-Absatz-Standardschriftart111111111"/>
    <w:rsid w:val="009C13A9"/>
  </w:style>
  <w:style w:type="character" w:customStyle="1" w:styleId="WW8Num3z0">
    <w:name w:val="WW8Num3z0"/>
    <w:rsid w:val="009C13A9"/>
    <w:rPr>
      <w:rFonts w:cs="Times New Roman"/>
    </w:rPr>
  </w:style>
  <w:style w:type="character" w:customStyle="1" w:styleId="WW8Num4z0">
    <w:name w:val="WW8Num4z0"/>
    <w:rsid w:val="009C13A9"/>
    <w:rPr>
      <w:rFonts w:ascii="Times New Roman" w:eastAsia="Times New Roman" w:hAnsi="Times New Roman"/>
    </w:rPr>
  </w:style>
  <w:style w:type="character" w:customStyle="1" w:styleId="WW8Num4z1">
    <w:name w:val="WW8Num4z1"/>
    <w:rsid w:val="009C13A9"/>
    <w:rPr>
      <w:rFonts w:ascii="Courier New" w:hAnsi="Courier New"/>
    </w:rPr>
  </w:style>
  <w:style w:type="character" w:customStyle="1" w:styleId="WW8Num4z2">
    <w:name w:val="WW8Num4z2"/>
    <w:rsid w:val="009C13A9"/>
    <w:rPr>
      <w:rFonts w:ascii="Wingdings" w:hAnsi="Wingdings"/>
    </w:rPr>
  </w:style>
  <w:style w:type="character" w:customStyle="1" w:styleId="WW8Num4z3">
    <w:name w:val="WW8Num4z3"/>
    <w:rsid w:val="009C13A9"/>
    <w:rPr>
      <w:rFonts w:ascii="Symbol" w:hAnsi="Symbol"/>
    </w:rPr>
  </w:style>
  <w:style w:type="character" w:customStyle="1" w:styleId="WW8Num5z0">
    <w:name w:val="WW8Num5z0"/>
    <w:rsid w:val="009C13A9"/>
    <w:rPr>
      <w:rFonts w:ascii="Arial" w:eastAsia="Times New Roman" w:hAnsi="Arial"/>
    </w:rPr>
  </w:style>
  <w:style w:type="character" w:customStyle="1" w:styleId="WW8Num5z1">
    <w:name w:val="WW8Num5z1"/>
    <w:rsid w:val="009C13A9"/>
    <w:rPr>
      <w:rFonts w:ascii="Courier New" w:hAnsi="Courier New"/>
    </w:rPr>
  </w:style>
  <w:style w:type="character" w:customStyle="1" w:styleId="WW8Num5z2">
    <w:name w:val="WW8Num5z2"/>
    <w:rsid w:val="009C13A9"/>
    <w:rPr>
      <w:rFonts w:ascii="Wingdings" w:hAnsi="Wingdings"/>
    </w:rPr>
  </w:style>
  <w:style w:type="character" w:customStyle="1" w:styleId="WW8Num5z3">
    <w:name w:val="WW8Num5z3"/>
    <w:rsid w:val="009C13A9"/>
    <w:rPr>
      <w:rFonts w:ascii="Symbol" w:hAnsi="Symbol"/>
    </w:rPr>
  </w:style>
  <w:style w:type="character" w:customStyle="1" w:styleId="Policepardfaut1">
    <w:name w:val="Police par défaut1"/>
    <w:rsid w:val="009C13A9"/>
  </w:style>
  <w:style w:type="character" w:customStyle="1" w:styleId="Caractresdenotedebasdepage">
    <w:name w:val="Caractères de note de bas de page"/>
    <w:rsid w:val="009C13A9"/>
    <w:rPr>
      <w:rFonts w:cs="Times New Roman"/>
      <w:vertAlign w:val="superscript"/>
    </w:rPr>
  </w:style>
  <w:style w:type="character" w:customStyle="1" w:styleId="Marquedecommentaire1">
    <w:name w:val="Marque de commentaire1"/>
    <w:rsid w:val="009C13A9"/>
    <w:rPr>
      <w:rFonts w:cs="Times New Roman"/>
      <w:sz w:val="16"/>
      <w:szCs w:val="16"/>
    </w:rPr>
  </w:style>
  <w:style w:type="character" w:customStyle="1" w:styleId="VO-Text-AbsnachNrChar">
    <w:name w:val="VO-Text-Abs nach Nr Char"/>
    <w:rsid w:val="009C13A9"/>
    <w:rPr>
      <w:rFonts w:ascii="Arial" w:hAnsi="Arial" w:cs="Times New Roman"/>
      <w:b/>
      <w:bCs/>
      <w:sz w:val="24"/>
      <w:szCs w:val="24"/>
      <w:lang w:val="cs-CZ" w:eastAsia="cs-CZ" w:bidi="cs-CZ"/>
    </w:rPr>
  </w:style>
  <w:style w:type="character" w:styleId="Emphasis">
    <w:name w:val="Emphasis"/>
    <w:qFormat/>
    <w:rsid w:val="009C13A9"/>
    <w:rPr>
      <w:rFonts w:cs="Times New Roman"/>
      <w:i/>
      <w:iCs/>
    </w:rPr>
  </w:style>
  <w:style w:type="character" w:customStyle="1" w:styleId="error">
    <w:name w:val="error"/>
    <w:rsid w:val="009C13A9"/>
    <w:rPr>
      <w:rFonts w:cs="Times New Roman"/>
    </w:rPr>
  </w:style>
  <w:style w:type="character" w:customStyle="1" w:styleId="longtext1">
    <w:name w:val="long_text1"/>
    <w:rsid w:val="009C13A9"/>
    <w:rPr>
      <w:rFonts w:cs="Times New Roman"/>
      <w:sz w:val="20"/>
      <w:szCs w:val="20"/>
    </w:rPr>
  </w:style>
  <w:style w:type="character" w:customStyle="1" w:styleId="WW-Caractresdenotedebasdepage">
    <w:name w:val="WW-Caractères de note de bas de page"/>
    <w:rsid w:val="009C13A9"/>
    <w:rPr>
      <w:rFonts w:cs="Times New Roman"/>
      <w:vertAlign w:val="superscript"/>
    </w:rPr>
  </w:style>
  <w:style w:type="character" w:customStyle="1" w:styleId="Caractresdenotedefin">
    <w:name w:val="Caractères de note de fin"/>
    <w:rsid w:val="009C13A9"/>
    <w:rPr>
      <w:vertAlign w:val="superscript"/>
    </w:rPr>
  </w:style>
  <w:style w:type="character" w:customStyle="1" w:styleId="WW-Caractresdenotedefin">
    <w:name w:val="WW-Caractères de note de fin"/>
    <w:rsid w:val="009C13A9"/>
  </w:style>
  <w:style w:type="character" w:styleId="EndnoteReference">
    <w:name w:val="endnote reference"/>
    <w:rsid w:val="009C13A9"/>
    <w:rPr>
      <w:vertAlign w:val="superscript"/>
    </w:rPr>
  </w:style>
  <w:style w:type="character" w:customStyle="1" w:styleId="Caractresdenumrotation">
    <w:name w:val="Caractères de numérotation"/>
    <w:rsid w:val="009C13A9"/>
  </w:style>
  <w:style w:type="paragraph" w:customStyle="1" w:styleId="Titre1">
    <w:name w:val="Titre1"/>
    <w:basedOn w:val="Normal"/>
    <w:next w:val="BodyText"/>
    <w:rsid w:val="009C13A9"/>
    <w:pPr>
      <w:keepNext/>
      <w:suppressAutoHyphens/>
      <w:spacing w:before="240" w:after="120"/>
    </w:pPr>
    <w:rPr>
      <w:rFonts w:ascii="Liberation Sans" w:eastAsia="Lucida Sans Unicode" w:hAnsi="Liberation Sans" w:cs="Tahoma"/>
      <w:sz w:val="28"/>
      <w:lang w:val="cs-CZ" w:eastAsia="cs-CZ"/>
    </w:rPr>
  </w:style>
  <w:style w:type="paragraph" w:styleId="List">
    <w:name w:val="List"/>
    <w:basedOn w:val="BodyText"/>
    <w:rsid w:val="009C13A9"/>
    <w:pPr>
      <w:keepNext w:val="0"/>
      <w:tabs>
        <w:tab w:val="clear" w:pos="709"/>
      </w:tabs>
      <w:suppressAutoHyphens/>
    </w:pPr>
    <w:rPr>
      <w:rFonts w:ascii="Liberation Sans" w:hAnsi="Liberation Sans" w:cs="Tahoma"/>
      <w:b/>
      <w:sz w:val="24"/>
      <w:lang w:val="cs-CZ"/>
    </w:rPr>
  </w:style>
  <w:style w:type="paragraph" w:customStyle="1" w:styleId="Lgende1">
    <w:name w:val="Légende1"/>
    <w:basedOn w:val="Normal"/>
    <w:next w:val="Normal"/>
    <w:rsid w:val="009C13A9"/>
    <w:pPr>
      <w:suppressAutoHyphens/>
      <w:spacing w:before="120" w:after="120"/>
    </w:pPr>
    <w:rPr>
      <w:rFonts w:ascii="Times New Roman" w:hAnsi="Times New Roman"/>
      <w:b/>
      <w:bCs/>
      <w:szCs w:val="20"/>
      <w:lang w:val="cs-CZ" w:eastAsia="cs-CZ"/>
    </w:rPr>
  </w:style>
  <w:style w:type="paragraph" w:customStyle="1" w:styleId="Index">
    <w:name w:val="Index"/>
    <w:basedOn w:val="Normal"/>
    <w:rsid w:val="009C13A9"/>
    <w:pPr>
      <w:suppressLineNumbers/>
      <w:suppressAutoHyphens/>
    </w:pPr>
    <w:rPr>
      <w:rFonts w:ascii="Liberation Sans" w:hAnsi="Liberation Sans" w:cs="Tahoma"/>
      <w:sz w:val="24"/>
      <w:lang w:val="cs-CZ" w:eastAsia="cs-CZ"/>
    </w:rPr>
  </w:style>
  <w:style w:type="paragraph" w:customStyle="1" w:styleId="Explorateurdedocument1">
    <w:name w:val="Explorateur de document1"/>
    <w:basedOn w:val="Normal"/>
    <w:rsid w:val="009C13A9"/>
    <w:pPr>
      <w:shd w:val="clear" w:color="auto" w:fill="000080"/>
      <w:suppressAutoHyphens/>
    </w:pPr>
    <w:rPr>
      <w:rFonts w:ascii="Times New Roman" w:hAnsi="Times New Roman"/>
      <w:szCs w:val="20"/>
      <w:lang w:val="cs-CZ" w:eastAsia="cs-CZ"/>
    </w:rPr>
  </w:style>
  <w:style w:type="paragraph" w:customStyle="1" w:styleId="Anlage">
    <w:name w:val="Anlage"/>
    <w:basedOn w:val="Normal"/>
    <w:rsid w:val="009C13A9"/>
    <w:pPr>
      <w:suppressAutoHyphens/>
      <w:spacing w:before="240"/>
      <w:ind w:left="1134" w:hanging="1134"/>
    </w:pPr>
    <w:rPr>
      <w:rFonts w:ascii="Times New Roman" w:hAnsi="Times New Roman"/>
      <w:sz w:val="24"/>
      <w:lang w:val="cs-CZ" w:eastAsia="cs-CZ"/>
    </w:rPr>
  </w:style>
  <w:style w:type="paragraph" w:customStyle="1" w:styleId="Betrifft">
    <w:name w:val="Betrifft"/>
    <w:basedOn w:val="Normal"/>
    <w:rsid w:val="009C13A9"/>
    <w:pPr>
      <w:suppressAutoHyphens/>
      <w:spacing w:before="480"/>
    </w:pPr>
    <w:rPr>
      <w:rFonts w:ascii="Times New Roman" w:hAnsi="Times New Roman"/>
      <w:sz w:val="24"/>
      <w:lang w:val="cs-CZ" w:eastAsia="cs-CZ"/>
    </w:rPr>
  </w:style>
  <w:style w:type="paragraph" w:customStyle="1" w:styleId="Bezug">
    <w:name w:val="Bezug"/>
    <w:basedOn w:val="Normal"/>
    <w:rsid w:val="009C13A9"/>
    <w:pPr>
      <w:suppressAutoHyphens/>
      <w:spacing w:before="240"/>
    </w:pPr>
    <w:rPr>
      <w:rFonts w:ascii="Times New Roman" w:hAnsi="Times New Roman"/>
      <w:sz w:val="24"/>
      <w:lang w:val="cs-CZ" w:eastAsia="cs-CZ"/>
    </w:rPr>
  </w:style>
  <w:style w:type="paragraph" w:customStyle="1" w:styleId="Hier">
    <w:name w:val="Hier"/>
    <w:basedOn w:val="Normal"/>
    <w:rsid w:val="009C13A9"/>
    <w:pPr>
      <w:tabs>
        <w:tab w:val="left" w:pos="284"/>
      </w:tabs>
      <w:suppressAutoHyphens/>
      <w:ind w:left="284" w:hanging="284"/>
    </w:pPr>
    <w:rPr>
      <w:rFonts w:ascii="Times New Roman" w:hAnsi="Times New Roman"/>
      <w:sz w:val="24"/>
      <w:lang w:val="cs-CZ" w:eastAsia="cs-CZ"/>
    </w:rPr>
  </w:style>
  <w:style w:type="paragraph" w:customStyle="1" w:styleId="yyx">
    <w:name w:val="yyx"/>
    <w:basedOn w:val="Normal"/>
    <w:rsid w:val="009C13A9"/>
    <w:pPr>
      <w:suppressAutoHyphens/>
      <w:spacing w:line="360" w:lineRule="auto"/>
    </w:pPr>
    <w:rPr>
      <w:rFonts w:ascii="Times New Roman" w:hAnsi="Times New Roman"/>
      <w:b/>
      <w:sz w:val="24"/>
      <w:lang w:val="cs-CZ" w:eastAsia="cs-CZ"/>
    </w:rPr>
  </w:style>
  <w:style w:type="paragraph" w:customStyle="1" w:styleId="Nverborgen">
    <w:name w:val="Nverborgen"/>
    <w:basedOn w:val="Normal"/>
    <w:next w:val="Normal"/>
    <w:rsid w:val="009C13A9"/>
    <w:pPr>
      <w:suppressAutoHyphens/>
      <w:spacing w:line="360" w:lineRule="auto"/>
      <w:ind w:hanging="567"/>
    </w:pPr>
    <w:rPr>
      <w:rFonts w:ascii="Times New Roman" w:hAnsi="Times New Roman"/>
      <w:sz w:val="24"/>
      <w:lang w:val="cs-CZ" w:eastAsia="cs-CZ"/>
    </w:rPr>
  </w:style>
  <w:style w:type="paragraph" w:customStyle="1" w:styleId="Verborgen">
    <w:name w:val="Verborgen"/>
    <w:basedOn w:val="Normal"/>
    <w:next w:val="Normal"/>
    <w:rsid w:val="009C13A9"/>
    <w:pPr>
      <w:suppressAutoHyphens/>
      <w:spacing w:after="360" w:line="360" w:lineRule="auto"/>
      <w:ind w:hanging="567"/>
    </w:pPr>
    <w:rPr>
      <w:rFonts w:ascii="Times New Roman" w:hAnsi="Times New Roman"/>
      <w:vanish/>
      <w:color w:val="0000FF"/>
      <w:sz w:val="24"/>
      <w:lang w:val="cs-CZ" w:eastAsia="cs-CZ"/>
    </w:rPr>
  </w:style>
  <w:style w:type="paragraph" w:customStyle="1" w:styleId="Salutations1">
    <w:name w:val="Salutations1"/>
    <w:basedOn w:val="Normal"/>
    <w:next w:val="Normal"/>
    <w:rsid w:val="009C13A9"/>
    <w:pPr>
      <w:suppressAutoHyphens/>
      <w:spacing w:before="720" w:line="360" w:lineRule="auto"/>
    </w:pPr>
    <w:rPr>
      <w:rFonts w:ascii="Times New Roman" w:hAnsi="Times New Roman"/>
      <w:sz w:val="24"/>
      <w:lang w:val="cs-CZ" w:eastAsia="cs-CZ"/>
    </w:rPr>
  </w:style>
  <w:style w:type="paragraph" w:customStyle="1" w:styleId="c4">
    <w:name w:val="c4"/>
    <w:basedOn w:val="Normal"/>
    <w:rsid w:val="009C13A9"/>
    <w:pPr>
      <w:suppressAutoHyphens/>
      <w:spacing w:line="240" w:lineRule="atLeast"/>
      <w:jc w:val="center"/>
    </w:pPr>
    <w:rPr>
      <w:rFonts w:ascii="Times New Roman" w:hAnsi="Times New Roman"/>
      <w:sz w:val="24"/>
      <w:szCs w:val="20"/>
      <w:lang w:val="cs-CZ" w:eastAsia="cs-CZ"/>
    </w:rPr>
  </w:style>
  <w:style w:type="paragraph" w:customStyle="1" w:styleId="p4">
    <w:name w:val="p4"/>
    <w:basedOn w:val="Normal"/>
    <w:rsid w:val="009C13A9"/>
    <w:pPr>
      <w:tabs>
        <w:tab w:val="left" w:pos="720"/>
      </w:tabs>
      <w:suppressAutoHyphens/>
      <w:spacing w:line="220" w:lineRule="atLeast"/>
    </w:pPr>
    <w:rPr>
      <w:rFonts w:ascii="Times New Roman" w:hAnsi="Times New Roman"/>
      <w:sz w:val="24"/>
      <w:szCs w:val="20"/>
      <w:lang w:val="cs-CZ" w:eastAsia="cs-CZ"/>
    </w:rPr>
  </w:style>
  <w:style w:type="paragraph" w:customStyle="1" w:styleId="c2">
    <w:name w:val="c2"/>
    <w:basedOn w:val="Normal"/>
    <w:rsid w:val="009C13A9"/>
    <w:pPr>
      <w:suppressAutoHyphens/>
      <w:spacing w:line="240" w:lineRule="atLeast"/>
      <w:jc w:val="center"/>
    </w:pPr>
    <w:rPr>
      <w:rFonts w:ascii="Times New Roman" w:hAnsi="Times New Roman"/>
      <w:sz w:val="24"/>
      <w:szCs w:val="20"/>
      <w:lang w:val="cs-CZ" w:eastAsia="cs-CZ"/>
    </w:rPr>
  </w:style>
  <w:style w:type="paragraph" w:customStyle="1" w:styleId="p9">
    <w:name w:val="p9"/>
    <w:basedOn w:val="Normal"/>
    <w:rsid w:val="009C13A9"/>
    <w:pPr>
      <w:tabs>
        <w:tab w:val="left" w:pos="1060"/>
      </w:tabs>
      <w:suppressAutoHyphens/>
      <w:spacing w:line="240" w:lineRule="atLeast"/>
      <w:ind w:left="1440" w:firstLine="1008"/>
    </w:pPr>
    <w:rPr>
      <w:rFonts w:ascii="Times New Roman" w:hAnsi="Times New Roman"/>
      <w:sz w:val="24"/>
      <w:szCs w:val="20"/>
      <w:lang w:val="cs-CZ" w:eastAsia="cs-CZ"/>
    </w:rPr>
  </w:style>
  <w:style w:type="paragraph" w:customStyle="1" w:styleId="p5">
    <w:name w:val="p5"/>
    <w:basedOn w:val="Normal"/>
    <w:rsid w:val="009C13A9"/>
    <w:pPr>
      <w:tabs>
        <w:tab w:val="left" w:pos="720"/>
      </w:tabs>
      <w:suppressAutoHyphens/>
      <w:spacing w:line="240" w:lineRule="atLeast"/>
    </w:pPr>
    <w:rPr>
      <w:rFonts w:ascii="Times New Roman" w:hAnsi="Times New Roman"/>
      <w:sz w:val="24"/>
      <w:szCs w:val="20"/>
      <w:lang w:val="cs-CZ" w:eastAsia="cs-CZ"/>
    </w:rPr>
  </w:style>
  <w:style w:type="paragraph" w:customStyle="1" w:styleId="p10">
    <w:name w:val="p10"/>
    <w:basedOn w:val="Normal"/>
    <w:rsid w:val="009C13A9"/>
    <w:pPr>
      <w:tabs>
        <w:tab w:val="left" w:pos="240"/>
        <w:tab w:val="left" w:pos="500"/>
      </w:tabs>
      <w:suppressAutoHyphens/>
      <w:spacing w:line="240" w:lineRule="atLeast"/>
      <w:ind w:left="1440" w:firstLine="288"/>
    </w:pPr>
    <w:rPr>
      <w:rFonts w:ascii="Times New Roman" w:hAnsi="Times New Roman"/>
      <w:sz w:val="24"/>
      <w:szCs w:val="20"/>
      <w:lang w:val="cs-CZ" w:eastAsia="cs-CZ"/>
    </w:rPr>
  </w:style>
  <w:style w:type="paragraph" w:customStyle="1" w:styleId="p11">
    <w:name w:val="p11"/>
    <w:basedOn w:val="Normal"/>
    <w:rsid w:val="009C13A9"/>
    <w:pPr>
      <w:tabs>
        <w:tab w:val="left" w:pos="720"/>
      </w:tabs>
      <w:suppressAutoHyphens/>
      <w:spacing w:line="220" w:lineRule="atLeast"/>
    </w:pPr>
    <w:rPr>
      <w:rFonts w:ascii="Times New Roman" w:hAnsi="Times New Roman"/>
      <w:sz w:val="24"/>
      <w:szCs w:val="20"/>
      <w:lang w:val="cs-CZ" w:eastAsia="cs-CZ"/>
    </w:rPr>
  </w:style>
  <w:style w:type="paragraph" w:customStyle="1" w:styleId="p12">
    <w:name w:val="p12"/>
    <w:basedOn w:val="Normal"/>
    <w:rsid w:val="009C13A9"/>
    <w:pPr>
      <w:tabs>
        <w:tab w:val="left" w:pos="720"/>
      </w:tabs>
      <w:suppressAutoHyphens/>
      <w:spacing w:line="240" w:lineRule="atLeast"/>
    </w:pPr>
    <w:rPr>
      <w:rFonts w:ascii="Times New Roman" w:hAnsi="Times New Roman"/>
      <w:sz w:val="24"/>
      <w:szCs w:val="20"/>
      <w:lang w:val="cs-CZ" w:eastAsia="cs-CZ"/>
    </w:rPr>
  </w:style>
  <w:style w:type="paragraph" w:customStyle="1" w:styleId="p14">
    <w:name w:val="p14"/>
    <w:basedOn w:val="Normal"/>
    <w:rsid w:val="009C13A9"/>
    <w:pPr>
      <w:tabs>
        <w:tab w:val="left" w:pos="260"/>
        <w:tab w:val="left" w:pos="540"/>
      </w:tabs>
      <w:suppressAutoHyphens/>
      <w:spacing w:line="220" w:lineRule="atLeast"/>
      <w:ind w:left="864" w:hanging="576"/>
    </w:pPr>
    <w:rPr>
      <w:rFonts w:ascii="Times New Roman" w:hAnsi="Times New Roman"/>
      <w:sz w:val="24"/>
      <w:szCs w:val="20"/>
      <w:lang w:val="cs-CZ" w:eastAsia="cs-CZ"/>
    </w:rPr>
  </w:style>
  <w:style w:type="paragraph" w:customStyle="1" w:styleId="p15">
    <w:name w:val="p15"/>
    <w:basedOn w:val="Normal"/>
    <w:rsid w:val="009C13A9"/>
    <w:pPr>
      <w:tabs>
        <w:tab w:val="left" w:pos="260"/>
      </w:tabs>
      <w:suppressAutoHyphens/>
      <w:spacing w:line="240" w:lineRule="atLeast"/>
      <w:ind w:left="1152" w:hanging="288"/>
    </w:pPr>
    <w:rPr>
      <w:rFonts w:ascii="Times New Roman" w:hAnsi="Times New Roman"/>
      <w:sz w:val="24"/>
      <w:szCs w:val="20"/>
      <w:lang w:val="cs-CZ" w:eastAsia="cs-CZ"/>
    </w:rPr>
  </w:style>
  <w:style w:type="paragraph" w:customStyle="1" w:styleId="p7">
    <w:name w:val="p7"/>
    <w:basedOn w:val="Normal"/>
    <w:rsid w:val="009C13A9"/>
    <w:pPr>
      <w:tabs>
        <w:tab w:val="left" w:pos="260"/>
      </w:tabs>
      <w:suppressAutoHyphens/>
      <w:spacing w:line="220" w:lineRule="atLeast"/>
      <w:ind w:left="1152" w:hanging="288"/>
    </w:pPr>
    <w:rPr>
      <w:rFonts w:ascii="Times New Roman" w:hAnsi="Times New Roman"/>
      <w:sz w:val="24"/>
      <w:szCs w:val="20"/>
      <w:lang w:val="cs-CZ" w:eastAsia="cs-CZ"/>
    </w:rPr>
  </w:style>
  <w:style w:type="paragraph" w:customStyle="1" w:styleId="p16">
    <w:name w:val="p16"/>
    <w:basedOn w:val="Normal"/>
    <w:rsid w:val="009C13A9"/>
    <w:pPr>
      <w:tabs>
        <w:tab w:val="left" w:pos="520"/>
      </w:tabs>
      <w:suppressAutoHyphens/>
      <w:spacing w:line="240" w:lineRule="atLeast"/>
      <w:ind w:left="1440" w:firstLine="576"/>
    </w:pPr>
    <w:rPr>
      <w:rFonts w:ascii="Times New Roman" w:hAnsi="Times New Roman"/>
      <w:sz w:val="24"/>
      <w:szCs w:val="20"/>
      <w:lang w:val="cs-CZ" w:eastAsia="cs-CZ"/>
    </w:rPr>
  </w:style>
  <w:style w:type="paragraph" w:customStyle="1" w:styleId="c18">
    <w:name w:val="c18"/>
    <w:basedOn w:val="Normal"/>
    <w:rsid w:val="009C13A9"/>
    <w:pPr>
      <w:suppressAutoHyphens/>
      <w:spacing w:line="240" w:lineRule="atLeast"/>
      <w:jc w:val="center"/>
    </w:pPr>
    <w:rPr>
      <w:rFonts w:ascii="Times New Roman" w:hAnsi="Times New Roman"/>
      <w:sz w:val="24"/>
      <w:szCs w:val="20"/>
      <w:lang w:val="cs-CZ" w:eastAsia="cs-CZ"/>
    </w:rPr>
  </w:style>
  <w:style w:type="paragraph" w:customStyle="1" w:styleId="t17">
    <w:name w:val="t17"/>
    <w:basedOn w:val="Normal"/>
    <w:rsid w:val="009C13A9"/>
    <w:pPr>
      <w:suppressAutoHyphens/>
      <w:spacing w:line="240" w:lineRule="atLeast"/>
    </w:pPr>
    <w:rPr>
      <w:rFonts w:ascii="Times New Roman" w:hAnsi="Times New Roman"/>
      <w:sz w:val="24"/>
      <w:szCs w:val="20"/>
      <w:lang w:val="cs-CZ" w:eastAsia="cs-CZ"/>
    </w:rPr>
  </w:style>
  <w:style w:type="paragraph" w:customStyle="1" w:styleId="p19">
    <w:name w:val="p19"/>
    <w:basedOn w:val="Normal"/>
    <w:rsid w:val="009C13A9"/>
    <w:pPr>
      <w:tabs>
        <w:tab w:val="left" w:pos="280"/>
        <w:tab w:val="left" w:pos="520"/>
      </w:tabs>
      <w:suppressAutoHyphens/>
      <w:spacing w:line="220" w:lineRule="atLeast"/>
      <w:ind w:left="1152" w:hanging="288"/>
    </w:pPr>
    <w:rPr>
      <w:rFonts w:ascii="Times New Roman" w:hAnsi="Times New Roman"/>
      <w:sz w:val="24"/>
      <w:szCs w:val="20"/>
      <w:lang w:val="cs-CZ" w:eastAsia="cs-CZ"/>
    </w:rPr>
  </w:style>
  <w:style w:type="paragraph" w:customStyle="1" w:styleId="p21">
    <w:name w:val="p21"/>
    <w:basedOn w:val="Normal"/>
    <w:rsid w:val="009C13A9"/>
    <w:pPr>
      <w:tabs>
        <w:tab w:val="left" w:pos="2480"/>
      </w:tabs>
      <w:suppressAutoHyphens/>
      <w:spacing w:line="240" w:lineRule="atLeast"/>
      <w:ind w:left="1040"/>
    </w:pPr>
    <w:rPr>
      <w:rFonts w:ascii="Times New Roman" w:hAnsi="Times New Roman"/>
      <w:sz w:val="24"/>
      <w:szCs w:val="20"/>
      <w:lang w:val="cs-CZ" w:eastAsia="cs-CZ"/>
    </w:rPr>
  </w:style>
  <w:style w:type="paragraph" w:customStyle="1" w:styleId="p8">
    <w:name w:val="p8"/>
    <w:basedOn w:val="Normal"/>
    <w:rsid w:val="009C13A9"/>
    <w:pPr>
      <w:tabs>
        <w:tab w:val="left" w:pos="520"/>
      </w:tabs>
      <w:suppressAutoHyphens/>
      <w:spacing w:line="220" w:lineRule="atLeast"/>
      <w:ind w:left="864" w:hanging="576"/>
    </w:pPr>
    <w:rPr>
      <w:rFonts w:ascii="Times New Roman" w:hAnsi="Times New Roman"/>
      <w:sz w:val="24"/>
      <w:szCs w:val="20"/>
      <w:lang w:val="cs-CZ" w:eastAsia="cs-CZ"/>
    </w:rPr>
  </w:style>
  <w:style w:type="paragraph" w:customStyle="1" w:styleId="c3">
    <w:name w:val="c3"/>
    <w:basedOn w:val="Normal"/>
    <w:rsid w:val="009C13A9"/>
    <w:pPr>
      <w:suppressAutoHyphens/>
      <w:spacing w:line="240" w:lineRule="atLeast"/>
      <w:jc w:val="center"/>
    </w:pPr>
    <w:rPr>
      <w:rFonts w:ascii="Times New Roman" w:hAnsi="Times New Roman"/>
      <w:sz w:val="24"/>
      <w:szCs w:val="20"/>
      <w:lang w:val="cs-CZ" w:eastAsia="cs-CZ"/>
    </w:rPr>
  </w:style>
  <w:style w:type="paragraph" w:customStyle="1" w:styleId="p13">
    <w:name w:val="p13"/>
    <w:basedOn w:val="Normal"/>
    <w:rsid w:val="009C13A9"/>
    <w:pPr>
      <w:tabs>
        <w:tab w:val="left" w:pos="260"/>
      </w:tabs>
      <w:suppressAutoHyphens/>
      <w:spacing w:line="220" w:lineRule="atLeast"/>
      <w:ind w:left="1180"/>
    </w:pPr>
    <w:rPr>
      <w:rFonts w:ascii="Times New Roman" w:hAnsi="Times New Roman"/>
      <w:sz w:val="24"/>
      <w:szCs w:val="20"/>
      <w:lang w:val="cs-CZ" w:eastAsia="cs-CZ"/>
    </w:rPr>
  </w:style>
  <w:style w:type="paragraph" w:customStyle="1" w:styleId="p20">
    <w:name w:val="p20"/>
    <w:basedOn w:val="Normal"/>
    <w:rsid w:val="009C13A9"/>
    <w:pPr>
      <w:tabs>
        <w:tab w:val="left" w:pos="780"/>
      </w:tabs>
      <w:suppressAutoHyphens/>
      <w:spacing w:line="220" w:lineRule="atLeast"/>
    </w:pPr>
    <w:rPr>
      <w:rFonts w:ascii="Times New Roman" w:hAnsi="Times New Roman"/>
      <w:sz w:val="24"/>
      <w:szCs w:val="20"/>
      <w:lang w:val="cs-CZ" w:eastAsia="cs-CZ"/>
    </w:rPr>
  </w:style>
  <w:style w:type="paragraph" w:customStyle="1" w:styleId="c15">
    <w:name w:val="c15"/>
    <w:basedOn w:val="Normal"/>
    <w:rsid w:val="009C13A9"/>
    <w:pPr>
      <w:suppressAutoHyphens/>
      <w:spacing w:line="240" w:lineRule="atLeast"/>
      <w:jc w:val="center"/>
    </w:pPr>
    <w:rPr>
      <w:rFonts w:ascii="Times New Roman" w:hAnsi="Times New Roman"/>
      <w:sz w:val="24"/>
      <w:szCs w:val="20"/>
      <w:lang w:val="cs-CZ" w:eastAsia="cs-CZ"/>
    </w:rPr>
  </w:style>
  <w:style w:type="paragraph" w:customStyle="1" w:styleId="p22">
    <w:name w:val="p22"/>
    <w:basedOn w:val="Normal"/>
    <w:rsid w:val="009C13A9"/>
    <w:pPr>
      <w:tabs>
        <w:tab w:val="left" w:pos="520"/>
        <w:tab w:val="left" w:pos="1060"/>
      </w:tabs>
      <w:suppressAutoHyphens/>
      <w:spacing w:line="220" w:lineRule="atLeast"/>
      <w:ind w:left="432" w:hanging="432"/>
    </w:pPr>
    <w:rPr>
      <w:rFonts w:ascii="Times New Roman" w:hAnsi="Times New Roman"/>
      <w:sz w:val="24"/>
      <w:szCs w:val="20"/>
      <w:lang w:val="cs-CZ" w:eastAsia="cs-CZ"/>
    </w:rPr>
  </w:style>
  <w:style w:type="paragraph" w:customStyle="1" w:styleId="p26">
    <w:name w:val="p26"/>
    <w:basedOn w:val="Normal"/>
    <w:rsid w:val="009C13A9"/>
    <w:pPr>
      <w:tabs>
        <w:tab w:val="left" w:pos="520"/>
      </w:tabs>
      <w:suppressAutoHyphens/>
      <w:spacing w:line="240" w:lineRule="atLeast"/>
      <w:ind w:left="864" w:hanging="576"/>
    </w:pPr>
    <w:rPr>
      <w:rFonts w:ascii="Times New Roman" w:hAnsi="Times New Roman"/>
      <w:sz w:val="24"/>
      <w:szCs w:val="20"/>
      <w:lang w:val="cs-CZ" w:eastAsia="cs-CZ"/>
    </w:rPr>
  </w:style>
  <w:style w:type="paragraph" w:customStyle="1" w:styleId="p31">
    <w:name w:val="p31"/>
    <w:basedOn w:val="Normal"/>
    <w:rsid w:val="009C13A9"/>
    <w:pPr>
      <w:tabs>
        <w:tab w:val="left" w:pos="260"/>
        <w:tab w:val="left" w:pos="540"/>
      </w:tabs>
      <w:suppressAutoHyphens/>
      <w:spacing w:line="220" w:lineRule="atLeast"/>
      <w:ind w:left="1440" w:firstLine="288"/>
    </w:pPr>
    <w:rPr>
      <w:rFonts w:ascii="Times New Roman" w:hAnsi="Times New Roman"/>
      <w:sz w:val="24"/>
      <w:szCs w:val="20"/>
      <w:lang w:val="cs-CZ" w:eastAsia="cs-CZ"/>
    </w:rPr>
  </w:style>
  <w:style w:type="paragraph" w:customStyle="1" w:styleId="p32">
    <w:name w:val="p32"/>
    <w:basedOn w:val="Normal"/>
    <w:rsid w:val="009C13A9"/>
    <w:pPr>
      <w:tabs>
        <w:tab w:val="left" w:pos="280"/>
      </w:tabs>
      <w:suppressAutoHyphens/>
      <w:spacing w:line="220" w:lineRule="atLeast"/>
      <w:ind w:left="1152" w:hanging="288"/>
    </w:pPr>
    <w:rPr>
      <w:rFonts w:ascii="Times New Roman" w:hAnsi="Times New Roman"/>
      <w:sz w:val="24"/>
      <w:szCs w:val="20"/>
      <w:lang w:val="cs-CZ" w:eastAsia="cs-CZ"/>
    </w:rPr>
  </w:style>
  <w:style w:type="paragraph" w:customStyle="1" w:styleId="p33">
    <w:name w:val="p33"/>
    <w:basedOn w:val="Normal"/>
    <w:rsid w:val="009C13A9"/>
    <w:pPr>
      <w:tabs>
        <w:tab w:val="left" w:pos="260"/>
      </w:tabs>
      <w:suppressAutoHyphens/>
      <w:spacing w:line="240" w:lineRule="atLeast"/>
      <w:ind w:left="1440" w:firstLine="288"/>
    </w:pPr>
    <w:rPr>
      <w:rFonts w:ascii="Times New Roman" w:hAnsi="Times New Roman"/>
      <w:sz w:val="24"/>
      <w:szCs w:val="20"/>
      <w:lang w:val="cs-CZ" w:eastAsia="cs-CZ"/>
    </w:rPr>
  </w:style>
  <w:style w:type="paragraph" w:customStyle="1" w:styleId="p36">
    <w:name w:val="p36"/>
    <w:basedOn w:val="Normal"/>
    <w:rsid w:val="009C13A9"/>
    <w:pPr>
      <w:tabs>
        <w:tab w:val="left" w:pos="280"/>
      </w:tabs>
      <w:suppressAutoHyphens/>
      <w:spacing w:line="220" w:lineRule="atLeast"/>
      <w:ind w:left="1152" w:hanging="288"/>
    </w:pPr>
    <w:rPr>
      <w:rFonts w:ascii="Times New Roman" w:hAnsi="Times New Roman"/>
      <w:sz w:val="24"/>
      <w:szCs w:val="20"/>
      <w:lang w:val="cs-CZ" w:eastAsia="cs-CZ"/>
    </w:rPr>
  </w:style>
  <w:style w:type="paragraph" w:customStyle="1" w:styleId="p39">
    <w:name w:val="p39"/>
    <w:basedOn w:val="Normal"/>
    <w:rsid w:val="009C13A9"/>
    <w:pPr>
      <w:tabs>
        <w:tab w:val="left" w:pos="280"/>
      </w:tabs>
      <w:suppressAutoHyphens/>
      <w:spacing w:line="220" w:lineRule="atLeast"/>
      <w:ind w:left="1152" w:hanging="288"/>
    </w:pPr>
    <w:rPr>
      <w:rFonts w:ascii="Times New Roman" w:hAnsi="Times New Roman"/>
      <w:sz w:val="24"/>
      <w:szCs w:val="20"/>
      <w:lang w:val="cs-CZ" w:eastAsia="cs-CZ"/>
    </w:rPr>
  </w:style>
  <w:style w:type="paragraph" w:customStyle="1" w:styleId="c6">
    <w:name w:val="c6"/>
    <w:basedOn w:val="Normal"/>
    <w:rsid w:val="009C13A9"/>
    <w:pPr>
      <w:suppressAutoHyphens/>
      <w:spacing w:line="240" w:lineRule="atLeast"/>
      <w:jc w:val="center"/>
    </w:pPr>
    <w:rPr>
      <w:rFonts w:ascii="Times New Roman" w:hAnsi="Times New Roman"/>
      <w:sz w:val="24"/>
      <w:szCs w:val="20"/>
      <w:lang w:val="cs-CZ" w:eastAsia="cs-CZ"/>
    </w:rPr>
  </w:style>
  <w:style w:type="paragraph" w:customStyle="1" w:styleId="p28">
    <w:name w:val="p28"/>
    <w:basedOn w:val="Normal"/>
    <w:rsid w:val="009C13A9"/>
    <w:pPr>
      <w:tabs>
        <w:tab w:val="left" w:pos="720"/>
      </w:tabs>
      <w:suppressAutoHyphens/>
      <w:spacing w:line="220" w:lineRule="atLeast"/>
    </w:pPr>
    <w:rPr>
      <w:rFonts w:ascii="Times New Roman" w:hAnsi="Times New Roman"/>
      <w:sz w:val="24"/>
      <w:szCs w:val="20"/>
      <w:lang w:val="cs-CZ" w:eastAsia="cs-CZ"/>
    </w:rPr>
  </w:style>
  <w:style w:type="paragraph" w:customStyle="1" w:styleId="c56">
    <w:name w:val="c56"/>
    <w:basedOn w:val="Normal"/>
    <w:rsid w:val="009C13A9"/>
    <w:pPr>
      <w:suppressAutoHyphens/>
      <w:spacing w:line="240" w:lineRule="atLeast"/>
      <w:jc w:val="center"/>
    </w:pPr>
    <w:rPr>
      <w:rFonts w:ascii="Times New Roman" w:hAnsi="Times New Roman"/>
      <w:sz w:val="24"/>
      <w:szCs w:val="20"/>
      <w:lang w:val="cs-CZ" w:eastAsia="cs-CZ"/>
    </w:rPr>
  </w:style>
  <w:style w:type="paragraph" w:customStyle="1" w:styleId="c66">
    <w:name w:val="c66"/>
    <w:basedOn w:val="Normal"/>
    <w:rsid w:val="009C13A9"/>
    <w:pPr>
      <w:suppressAutoHyphens/>
      <w:spacing w:line="240" w:lineRule="atLeast"/>
      <w:jc w:val="center"/>
    </w:pPr>
    <w:rPr>
      <w:rFonts w:ascii="Times New Roman" w:hAnsi="Times New Roman"/>
      <w:sz w:val="24"/>
      <w:szCs w:val="20"/>
      <w:lang w:val="cs-CZ" w:eastAsia="cs-CZ"/>
    </w:rPr>
  </w:style>
  <w:style w:type="paragraph" w:customStyle="1" w:styleId="p52">
    <w:name w:val="p52"/>
    <w:basedOn w:val="Normal"/>
    <w:rsid w:val="009C13A9"/>
    <w:pPr>
      <w:tabs>
        <w:tab w:val="left" w:pos="720"/>
      </w:tabs>
      <w:suppressAutoHyphens/>
      <w:spacing w:line="220" w:lineRule="atLeast"/>
    </w:pPr>
    <w:rPr>
      <w:rFonts w:ascii="Times New Roman" w:hAnsi="Times New Roman"/>
      <w:sz w:val="24"/>
      <w:szCs w:val="20"/>
      <w:lang w:val="cs-CZ" w:eastAsia="cs-CZ"/>
    </w:rPr>
  </w:style>
  <w:style w:type="paragraph" w:customStyle="1" w:styleId="c62">
    <w:name w:val="c62"/>
    <w:basedOn w:val="Normal"/>
    <w:rsid w:val="009C13A9"/>
    <w:pPr>
      <w:suppressAutoHyphens/>
      <w:spacing w:line="240" w:lineRule="atLeast"/>
      <w:jc w:val="center"/>
    </w:pPr>
    <w:rPr>
      <w:rFonts w:ascii="Times New Roman" w:hAnsi="Times New Roman"/>
      <w:sz w:val="24"/>
      <w:szCs w:val="20"/>
      <w:lang w:val="cs-CZ" w:eastAsia="cs-CZ"/>
    </w:rPr>
  </w:style>
  <w:style w:type="paragraph" w:customStyle="1" w:styleId="c84">
    <w:name w:val="c84"/>
    <w:basedOn w:val="Normal"/>
    <w:rsid w:val="009C13A9"/>
    <w:pPr>
      <w:suppressAutoHyphens/>
      <w:spacing w:line="240" w:lineRule="atLeast"/>
      <w:jc w:val="center"/>
    </w:pPr>
    <w:rPr>
      <w:rFonts w:ascii="Times New Roman" w:hAnsi="Times New Roman"/>
      <w:sz w:val="24"/>
      <w:szCs w:val="20"/>
      <w:lang w:val="cs-CZ" w:eastAsia="cs-CZ"/>
    </w:rPr>
  </w:style>
  <w:style w:type="paragraph" w:customStyle="1" w:styleId="p1">
    <w:name w:val="p1"/>
    <w:basedOn w:val="Normal"/>
    <w:rsid w:val="009C13A9"/>
    <w:pPr>
      <w:tabs>
        <w:tab w:val="left" w:pos="280"/>
      </w:tabs>
      <w:suppressAutoHyphens/>
      <w:spacing w:line="220" w:lineRule="atLeast"/>
      <w:ind w:left="1440" w:firstLine="288"/>
    </w:pPr>
    <w:rPr>
      <w:rFonts w:ascii="Times New Roman" w:hAnsi="Times New Roman"/>
      <w:sz w:val="24"/>
      <w:szCs w:val="20"/>
      <w:lang w:val="cs-CZ" w:eastAsia="cs-CZ"/>
    </w:rPr>
  </w:style>
  <w:style w:type="paragraph" w:customStyle="1" w:styleId="p2">
    <w:name w:val="p2"/>
    <w:basedOn w:val="Normal"/>
    <w:rsid w:val="009C13A9"/>
    <w:pPr>
      <w:tabs>
        <w:tab w:val="left" w:pos="1700"/>
      </w:tabs>
      <w:suppressAutoHyphens/>
      <w:spacing w:line="340" w:lineRule="atLeast"/>
      <w:ind w:left="288" w:hanging="1728"/>
    </w:pPr>
    <w:rPr>
      <w:rFonts w:ascii="Times New Roman" w:hAnsi="Times New Roman"/>
      <w:sz w:val="24"/>
      <w:szCs w:val="20"/>
      <w:lang w:val="cs-CZ" w:eastAsia="cs-CZ"/>
    </w:rPr>
  </w:style>
  <w:style w:type="paragraph" w:customStyle="1" w:styleId="VO-Textohne">
    <w:name w:val="VO-Text ohne"/>
    <w:basedOn w:val="Normal"/>
    <w:rsid w:val="009C13A9"/>
    <w:pPr>
      <w:suppressAutoHyphens/>
      <w:spacing w:before="120"/>
    </w:pPr>
    <w:rPr>
      <w:bCs/>
      <w:szCs w:val="20"/>
      <w:lang w:val="cs-CZ" w:eastAsia="cs-CZ"/>
    </w:rPr>
  </w:style>
  <w:style w:type="paragraph" w:customStyle="1" w:styleId="Commentaire2">
    <w:name w:val="Commentaire2"/>
    <w:basedOn w:val="Normal"/>
    <w:rsid w:val="009C13A9"/>
    <w:pPr>
      <w:suppressAutoHyphens/>
    </w:pPr>
    <w:rPr>
      <w:szCs w:val="20"/>
      <w:lang w:val="cs-CZ" w:eastAsia="cs-CZ"/>
    </w:rPr>
  </w:style>
  <w:style w:type="paragraph" w:customStyle="1" w:styleId="VO-Text-AbsnachNr">
    <w:name w:val="VO-Text-Abs nach Nr"/>
    <w:basedOn w:val="Normal"/>
    <w:rsid w:val="009C13A9"/>
    <w:pPr>
      <w:tabs>
        <w:tab w:val="left" w:pos="992"/>
        <w:tab w:val="left" w:pos="1418"/>
      </w:tabs>
      <w:suppressAutoHyphens/>
      <w:spacing w:before="120"/>
      <w:ind w:left="992" w:hanging="567"/>
    </w:pPr>
    <w:rPr>
      <w:b/>
      <w:bCs/>
      <w:lang w:val="cs-CZ" w:eastAsia="cs-CZ"/>
    </w:rPr>
  </w:style>
  <w:style w:type="paragraph" w:customStyle="1" w:styleId="VO-TextEinzug">
    <w:name w:val="VO-Text Einzug"/>
    <w:basedOn w:val="VO-Text-AbsnachNr"/>
    <w:rsid w:val="009C13A9"/>
    <w:pPr>
      <w:ind w:firstLine="0"/>
    </w:pPr>
  </w:style>
  <w:style w:type="paragraph" w:customStyle="1" w:styleId="TNR1Tab">
    <w:name w:val="TNR1Tab"/>
    <w:basedOn w:val="TNR1"/>
    <w:rsid w:val="009C13A9"/>
    <w:pPr>
      <w:widowControl w:val="0"/>
      <w:tabs>
        <w:tab w:val="clear" w:pos="907"/>
        <w:tab w:val="left" w:pos="1021"/>
      </w:tabs>
      <w:suppressAutoHyphens/>
      <w:overflowPunct/>
      <w:adjustRightInd/>
      <w:spacing w:line="240" w:lineRule="exact"/>
      <w:ind w:left="284" w:right="57"/>
      <w:textAlignment w:val="auto"/>
    </w:pPr>
    <w:rPr>
      <w:sz w:val="20"/>
      <w:lang w:val="cs-CZ" w:eastAsia="cs-CZ"/>
    </w:rPr>
  </w:style>
  <w:style w:type="paragraph" w:customStyle="1" w:styleId="TNRATab">
    <w:name w:val="TNRATab"/>
    <w:basedOn w:val="TNR1Tab"/>
    <w:rsid w:val="009C13A9"/>
    <w:pPr>
      <w:tabs>
        <w:tab w:val="left" w:pos="568"/>
      </w:tabs>
      <w:ind w:left="568" w:hanging="283"/>
    </w:pPr>
  </w:style>
  <w:style w:type="paragraph" w:customStyle="1" w:styleId="Corpsdetexte21">
    <w:name w:val="Corps de texte 21"/>
    <w:basedOn w:val="Normal"/>
    <w:rsid w:val="009C13A9"/>
    <w:pPr>
      <w:widowControl w:val="0"/>
      <w:tabs>
        <w:tab w:val="left" w:pos="851"/>
      </w:tabs>
      <w:suppressAutoHyphens/>
      <w:overflowPunct w:val="0"/>
      <w:ind w:left="365"/>
      <w:textAlignment w:val="baseline"/>
    </w:pPr>
    <w:rPr>
      <w:rFonts w:ascii="CG Times (W1)" w:hAnsi="CG Times (W1)"/>
      <w:sz w:val="24"/>
      <w:szCs w:val="20"/>
      <w:lang w:val="cs-CZ" w:eastAsia="cs-CZ"/>
    </w:rPr>
  </w:style>
  <w:style w:type="paragraph" w:customStyle="1" w:styleId="Retraitcorpsdetexte31">
    <w:name w:val="Retrait corps de texte 31"/>
    <w:basedOn w:val="Normal"/>
    <w:rsid w:val="009C13A9"/>
    <w:pPr>
      <w:suppressAutoHyphens/>
      <w:spacing w:after="120" w:line="360" w:lineRule="auto"/>
      <w:ind w:left="283"/>
    </w:pPr>
    <w:rPr>
      <w:rFonts w:ascii="Times New Roman" w:hAnsi="Times New Roman"/>
      <w:sz w:val="16"/>
      <w:szCs w:val="16"/>
      <w:lang w:val="cs-CZ" w:eastAsia="cs-CZ"/>
    </w:rPr>
  </w:style>
  <w:style w:type="paragraph" w:customStyle="1" w:styleId="u1">
    <w:name w:val="u1"/>
    <w:basedOn w:val="Normal"/>
    <w:rsid w:val="009C13A9"/>
    <w:pPr>
      <w:keepNext/>
      <w:keepLines/>
      <w:tabs>
        <w:tab w:val="left" w:pos="851"/>
        <w:tab w:val="left" w:pos="1134"/>
        <w:tab w:val="left" w:pos="1418"/>
      </w:tabs>
      <w:suppressAutoHyphens/>
      <w:spacing w:before="720" w:line="240" w:lineRule="atLeast"/>
      <w:ind w:left="851" w:hanging="851"/>
    </w:pPr>
    <w:rPr>
      <w:rFonts w:ascii="Times New Roman" w:hAnsi="Times New Roman"/>
      <w:b/>
      <w:sz w:val="24"/>
      <w:szCs w:val="20"/>
      <w:lang w:val="cs-CZ" w:eastAsia="cs-CZ"/>
    </w:rPr>
  </w:style>
  <w:style w:type="paragraph" w:customStyle="1" w:styleId="u2">
    <w:name w:val="u2"/>
    <w:basedOn w:val="Normal"/>
    <w:rsid w:val="009C13A9"/>
    <w:pPr>
      <w:keepNext/>
      <w:keepLines/>
      <w:tabs>
        <w:tab w:val="left" w:pos="851"/>
        <w:tab w:val="left" w:pos="1134"/>
        <w:tab w:val="left" w:pos="1418"/>
      </w:tabs>
      <w:suppressAutoHyphens/>
      <w:spacing w:before="240" w:line="240" w:lineRule="atLeast"/>
      <w:ind w:left="851" w:hanging="851"/>
    </w:pPr>
    <w:rPr>
      <w:rFonts w:ascii="Times New Roman" w:hAnsi="Times New Roman"/>
      <w:b/>
      <w:sz w:val="24"/>
      <w:szCs w:val="20"/>
      <w:lang w:val="cs-CZ" w:eastAsia="cs-CZ"/>
    </w:rPr>
  </w:style>
  <w:style w:type="paragraph" w:customStyle="1" w:styleId="Retraitcorpsdetexte23">
    <w:name w:val="Retrait corps de texte 23"/>
    <w:basedOn w:val="Normal"/>
    <w:rsid w:val="009C13A9"/>
    <w:pPr>
      <w:widowControl w:val="0"/>
      <w:tabs>
        <w:tab w:val="left" w:pos="284"/>
      </w:tabs>
      <w:suppressAutoHyphens/>
      <w:ind w:left="284" w:hanging="284"/>
    </w:pPr>
    <w:rPr>
      <w:rFonts w:ascii="Times New Roman" w:hAnsi="Times New Roman"/>
      <w:i/>
      <w:sz w:val="24"/>
      <w:szCs w:val="20"/>
      <w:lang w:val="cs-CZ" w:eastAsia="cs-CZ"/>
    </w:rPr>
  </w:style>
  <w:style w:type="paragraph" w:customStyle="1" w:styleId="Formatvorlage1">
    <w:name w:val="Formatvorlage1"/>
    <w:basedOn w:val="Normal"/>
    <w:rsid w:val="009C13A9"/>
    <w:pPr>
      <w:tabs>
        <w:tab w:val="left" w:pos="851"/>
      </w:tabs>
      <w:suppressAutoHyphens/>
      <w:overflowPunct w:val="0"/>
      <w:spacing w:before="120"/>
      <w:ind w:left="850"/>
      <w:textAlignment w:val="baseline"/>
    </w:pPr>
    <w:rPr>
      <w:bCs/>
      <w:iCs/>
      <w:szCs w:val="20"/>
      <w:lang w:eastAsia="cs-CZ"/>
    </w:rPr>
  </w:style>
  <w:style w:type="paragraph" w:customStyle="1" w:styleId="Corpsdetexte31">
    <w:name w:val="Corps de texte 31"/>
    <w:basedOn w:val="Normal"/>
    <w:rsid w:val="009C13A9"/>
    <w:pPr>
      <w:suppressAutoHyphens/>
      <w:overflowPunct w:val="0"/>
      <w:spacing w:before="40" w:after="40"/>
      <w:textAlignment w:val="baseline"/>
    </w:pPr>
    <w:rPr>
      <w:szCs w:val="20"/>
      <w:lang w:val="cs-CZ" w:eastAsia="cs-CZ"/>
    </w:rPr>
  </w:style>
  <w:style w:type="paragraph" w:customStyle="1" w:styleId="Grundtext">
    <w:name w:val="Grundtext"/>
    <w:rsid w:val="009C13A9"/>
    <w:pPr>
      <w:tabs>
        <w:tab w:val="left" w:pos="720"/>
        <w:tab w:val="left" w:pos="1440"/>
        <w:tab w:val="left" w:pos="2160"/>
        <w:tab w:val="left" w:pos="2880"/>
        <w:tab w:val="left" w:pos="3600"/>
        <w:tab w:val="left" w:pos="4320"/>
        <w:tab w:val="left" w:pos="5040"/>
        <w:tab w:val="left" w:pos="5760"/>
      </w:tabs>
      <w:suppressAutoHyphens/>
      <w:spacing w:after="240" w:line="240" w:lineRule="atLeast"/>
    </w:pPr>
    <w:rPr>
      <w:rFonts w:ascii="Times New Roman" w:eastAsia="Arial" w:hAnsi="Times New Roman"/>
      <w:color w:val="000000"/>
      <w:sz w:val="24"/>
    </w:rPr>
  </w:style>
  <w:style w:type="paragraph" w:customStyle="1" w:styleId="Normalcentr1">
    <w:name w:val="Normal centré1"/>
    <w:basedOn w:val="Normal"/>
    <w:rsid w:val="009C13A9"/>
    <w:pPr>
      <w:suppressAutoHyphens/>
      <w:spacing w:before="60" w:after="60"/>
      <w:ind w:left="427" w:right="57" w:hanging="370"/>
    </w:pPr>
    <w:rPr>
      <w:szCs w:val="20"/>
      <w:lang w:val="cs-CZ" w:eastAsia="cs-CZ"/>
    </w:rPr>
  </w:style>
  <w:style w:type="paragraph" w:customStyle="1" w:styleId="BlockText2">
    <w:name w:val="Block Text2"/>
    <w:basedOn w:val="Normal"/>
    <w:rsid w:val="009C13A9"/>
    <w:pPr>
      <w:widowControl w:val="0"/>
      <w:tabs>
        <w:tab w:val="left" w:pos="648"/>
      </w:tabs>
      <w:suppressAutoHyphens/>
      <w:overflowPunct w:val="0"/>
      <w:ind w:left="709" w:right="142" w:hanging="567"/>
      <w:textAlignment w:val="baseline"/>
    </w:pPr>
    <w:rPr>
      <w:rFonts w:ascii="CG Times (W1)" w:hAnsi="CG Times (W1)"/>
      <w:sz w:val="24"/>
      <w:szCs w:val="20"/>
      <w:lang w:val="cs-CZ" w:eastAsia="cs-CZ"/>
    </w:rPr>
  </w:style>
  <w:style w:type="paragraph" w:customStyle="1" w:styleId="BlockText3">
    <w:name w:val="Block Text3"/>
    <w:basedOn w:val="Normal"/>
    <w:rsid w:val="009C13A9"/>
    <w:pPr>
      <w:widowControl w:val="0"/>
      <w:tabs>
        <w:tab w:val="left" w:pos="648"/>
      </w:tabs>
      <w:suppressAutoHyphens/>
      <w:overflowPunct w:val="0"/>
      <w:ind w:left="648" w:right="143" w:hanging="506"/>
      <w:textAlignment w:val="baseline"/>
    </w:pPr>
    <w:rPr>
      <w:rFonts w:ascii="CG Times (W1)" w:hAnsi="CG Times (W1)"/>
      <w:sz w:val="24"/>
      <w:szCs w:val="20"/>
      <w:lang w:val="cs-CZ" w:eastAsia="cs-CZ"/>
    </w:rPr>
  </w:style>
  <w:style w:type="paragraph" w:customStyle="1" w:styleId="BlockText1">
    <w:name w:val="Block Text1"/>
    <w:basedOn w:val="Normal"/>
    <w:rsid w:val="009C13A9"/>
    <w:pPr>
      <w:widowControl w:val="0"/>
      <w:tabs>
        <w:tab w:val="left" w:pos="720"/>
      </w:tabs>
      <w:suppressAutoHyphens/>
      <w:overflowPunct w:val="0"/>
      <w:ind w:left="360" w:right="143"/>
      <w:textAlignment w:val="baseline"/>
    </w:pPr>
    <w:rPr>
      <w:rFonts w:ascii="CG Times (W1)" w:hAnsi="CG Times (W1)"/>
      <w:sz w:val="24"/>
      <w:szCs w:val="20"/>
      <w:lang w:val="cs-CZ" w:eastAsia="cs-CZ"/>
    </w:rPr>
  </w:style>
  <w:style w:type="paragraph" w:customStyle="1" w:styleId="berschrift71">
    <w:name w:val="Überschrift 71"/>
    <w:basedOn w:val="Normal"/>
    <w:next w:val="Normal"/>
    <w:rsid w:val="009C13A9"/>
    <w:pPr>
      <w:keepNext/>
      <w:widowControl w:val="0"/>
      <w:suppressAutoHyphens/>
      <w:overflowPunct w:val="0"/>
      <w:ind w:left="81" w:right="143" w:firstLine="61"/>
      <w:jc w:val="center"/>
      <w:textAlignment w:val="baseline"/>
    </w:pPr>
    <w:rPr>
      <w:rFonts w:ascii="CG Times (W1)" w:hAnsi="CG Times (W1)"/>
      <w:b/>
      <w:sz w:val="24"/>
      <w:szCs w:val="20"/>
      <w:u w:val="single"/>
      <w:lang w:val="cs-CZ" w:eastAsia="cs-CZ"/>
    </w:rPr>
  </w:style>
  <w:style w:type="paragraph" w:customStyle="1" w:styleId="Corpsdetexte2">
    <w:name w:val="Corps de texte2"/>
    <w:basedOn w:val="Normal"/>
    <w:rsid w:val="009C13A9"/>
    <w:pPr>
      <w:widowControl w:val="0"/>
      <w:suppressAutoHyphens/>
      <w:overflowPunct w:val="0"/>
      <w:spacing w:line="340" w:lineRule="atLeast"/>
      <w:textAlignment w:val="baseline"/>
    </w:pPr>
    <w:rPr>
      <w:rFonts w:ascii="Times New Roman" w:hAnsi="Times New Roman"/>
      <w:sz w:val="24"/>
      <w:szCs w:val="20"/>
      <w:lang w:val="cs-CZ" w:eastAsia="cs-CZ"/>
    </w:rPr>
  </w:style>
  <w:style w:type="paragraph" w:customStyle="1" w:styleId="Pres1">
    <w:name w:val="P_res1"/>
    <w:basedOn w:val="TNR1"/>
    <w:rsid w:val="009C13A9"/>
    <w:pPr>
      <w:tabs>
        <w:tab w:val="clear" w:pos="907"/>
        <w:tab w:val="left" w:pos="851"/>
        <w:tab w:val="left" w:pos="1021"/>
      </w:tabs>
      <w:suppressAutoHyphens/>
      <w:overflowPunct/>
      <w:adjustRightInd/>
      <w:spacing w:after="80"/>
      <w:ind w:left="851" w:hanging="425"/>
      <w:textAlignment w:val="auto"/>
    </w:pPr>
    <w:rPr>
      <w:lang w:val="cs-CZ" w:eastAsia="cs-CZ"/>
    </w:rPr>
  </w:style>
  <w:style w:type="paragraph" w:customStyle="1" w:styleId="Presa">
    <w:name w:val="P_res_a"/>
    <w:basedOn w:val="TNRA"/>
    <w:rsid w:val="009C13A9"/>
    <w:pPr>
      <w:tabs>
        <w:tab w:val="clear" w:pos="907"/>
        <w:tab w:val="left" w:pos="1021"/>
        <w:tab w:val="left" w:pos="1276"/>
      </w:tabs>
      <w:suppressAutoHyphens/>
      <w:adjustRightInd/>
      <w:spacing w:after="80" w:line="240" w:lineRule="exact"/>
      <w:ind w:left="1276" w:hanging="425"/>
    </w:pPr>
    <w:rPr>
      <w:lang w:val="cs-CZ" w:eastAsia="cs-CZ"/>
    </w:rPr>
  </w:style>
  <w:style w:type="paragraph" w:customStyle="1" w:styleId="Prestiret">
    <w:name w:val="P_res_tiret"/>
    <w:basedOn w:val="TNRA"/>
    <w:rsid w:val="009C13A9"/>
    <w:pPr>
      <w:tabs>
        <w:tab w:val="clear" w:pos="907"/>
        <w:tab w:val="left" w:pos="1021"/>
        <w:tab w:val="left" w:pos="1560"/>
      </w:tabs>
      <w:suppressAutoHyphens/>
      <w:adjustRightInd/>
      <w:spacing w:line="240" w:lineRule="exact"/>
      <w:ind w:left="1560"/>
    </w:pPr>
    <w:rPr>
      <w:lang w:val="cs-CZ" w:eastAsia="cs-CZ"/>
    </w:rPr>
  </w:style>
  <w:style w:type="paragraph" w:customStyle="1" w:styleId="Corpsdetexte1">
    <w:name w:val="Corps de texte1"/>
    <w:basedOn w:val="Normal"/>
    <w:rsid w:val="009C13A9"/>
    <w:pPr>
      <w:widowControl w:val="0"/>
      <w:suppressAutoHyphens/>
      <w:overflowPunct w:val="0"/>
      <w:spacing w:line="340" w:lineRule="atLeast"/>
      <w:textAlignment w:val="baseline"/>
    </w:pPr>
    <w:rPr>
      <w:rFonts w:ascii="Times New Roman" w:hAnsi="Times New Roman"/>
      <w:sz w:val="24"/>
      <w:szCs w:val="20"/>
      <w:lang w:val="cs-CZ" w:eastAsia="cs-CZ"/>
    </w:rPr>
  </w:style>
  <w:style w:type="paragraph" w:customStyle="1" w:styleId="Sty1">
    <w:name w:val="Sty_1"/>
    <w:basedOn w:val="BodyText"/>
    <w:rsid w:val="009C13A9"/>
    <w:pPr>
      <w:keepNext w:val="0"/>
      <w:tabs>
        <w:tab w:val="clear" w:pos="709"/>
        <w:tab w:val="left" w:pos="567"/>
      </w:tabs>
      <w:suppressAutoHyphens/>
      <w:autoSpaceDE w:val="0"/>
      <w:spacing w:line="240" w:lineRule="auto"/>
      <w:ind w:left="567" w:hanging="567"/>
      <w:jc w:val="both"/>
    </w:pPr>
    <w:rPr>
      <w:rFonts w:cs="Arial"/>
      <w:lang w:val="cs-CZ"/>
    </w:rPr>
  </w:style>
  <w:style w:type="paragraph" w:customStyle="1" w:styleId="Standard1">
    <w:name w:val="Standard1"/>
    <w:rsid w:val="009C13A9"/>
    <w:pPr>
      <w:widowControl w:val="0"/>
      <w:suppressAutoHyphens/>
      <w:overflowPunct w:val="0"/>
      <w:autoSpaceDE w:val="0"/>
      <w:jc w:val="both"/>
      <w:textAlignment w:val="baseline"/>
    </w:pPr>
    <w:rPr>
      <w:rFonts w:ascii="CG Times (W1)" w:eastAsia="Arial" w:hAnsi="CG Times (W1)"/>
      <w:sz w:val="24"/>
    </w:rPr>
  </w:style>
  <w:style w:type="paragraph" w:customStyle="1" w:styleId="Kopfzeile1">
    <w:name w:val="Kopfzeile1"/>
    <w:basedOn w:val="Standard1"/>
    <w:rsid w:val="009C13A9"/>
    <w:pPr>
      <w:tabs>
        <w:tab w:val="center" w:pos="4819"/>
        <w:tab w:val="right" w:pos="9071"/>
      </w:tabs>
    </w:pPr>
  </w:style>
  <w:style w:type="paragraph" w:customStyle="1" w:styleId="BodyTextIndent21">
    <w:name w:val="Body Text Indent 21"/>
    <w:basedOn w:val="Normal"/>
    <w:rsid w:val="009C13A9"/>
    <w:pPr>
      <w:widowControl w:val="0"/>
      <w:tabs>
        <w:tab w:val="left" w:pos="426"/>
      </w:tabs>
      <w:suppressAutoHyphens/>
      <w:spacing w:line="240" w:lineRule="atLeast"/>
      <w:ind w:left="426" w:hanging="426"/>
    </w:pPr>
    <w:rPr>
      <w:szCs w:val="20"/>
      <w:lang w:val="cs-CZ" w:eastAsia="cs-CZ"/>
    </w:rPr>
  </w:style>
  <w:style w:type="paragraph" w:customStyle="1" w:styleId="FreytagText">
    <w:name w:val="FreytagText"/>
    <w:basedOn w:val="Normal"/>
    <w:rsid w:val="009C13A9"/>
    <w:pPr>
      <w:tabs>
        <w:tab w:val="left" w:pos="709"/>
        <w:tab w:val="left" w:pos="1134"/>
        <w:tab w:val="left" w:pos="1559"/>
        <w:tab w:val="left" w:pos="2126"/>
        <w:tab w:val="left" w:pos="2835"/>
        <w:tab w:val="left" w:pos="3544"/>
        <w:tab w:val="left" w:pos="4253"/>
        <w:tab w:val="left" w:pos="4961"/>
        <w:tab w:val="left" w:pos="5670"/>
        <w:tab w:val="left" w:pos="6379"/>
        <w:tab w:val="left" w:pos="7088"/>
      </w:tabs>
      <w:suppressAutoHyphens/>
      <w:spacing w:line="360" w:lineRule="auto"/>
    </w:pPr>
    <w:rPr>
      <w:spacing w:val="8"/>
      <w:szCs w:val="20"/>
      <w:lang w:val="cs-CZ" w:eastAsia="cs-CZ"/>
    </w:rPr>
  </w:style>
  <w:style w:type="paragraph" w:customStyle="1" w:styleId="Rad11">
    <w:name w:val="Rad1.1"/>
    <w:basedOn w:val="Normal"/>
    <w:rsid w:val="009C13A9"/>
    <w:pPr>
      <w:tabs>
        <w:tab w:val="left" w:pos="284"/>
        <w:tab w:val="left" w:pos="454"/>
        <w:tab w:val="left" w:pos="709"/>
      </w:tabs>
      <w:suppressAutoHyphens/>
      <w:spacing w:line="240" w:lineRule="exact"/>
      <w:ind w:hanging="426"/>
    </w:pPr>
    <w:rPr>
      <w:rFonts w:ascii="Times New Roman" w:hAnsi="Times New Roman"/>
      <w:sz w:val="24"/>
      <w:szCs w:val="20"/>
      <w:lang w:eastAsia="cs-CZ"/>
    </w:rPr>
  </w:style>
  <w:style w:type="paragraph" w:customStyle="1" w:styleId="Par1">
    <w:name w:val="Par_1"/>
    <w:basedOn w:val="Normal"/>
    <w:rsid w:val="009C13A9"/>
    <w:pPr>
      <w:tabs>
        <w:tab w:val="left" w:pos="482"/>
      </w:tabs>
      <w:suppressAutoHyphens/>
      <w:spacing w:before="40" w:after="40"/>
      <w:ind w:left="482" w:right="57"/>
    </w:pPr>
    <w:rPr>
      <w:szCs w:val="20"/>
      <w:lang w:val="cs-CZ" w:eastAsia="cs-CZ"/>
    </w:rPr>
  </w:style>
  <w:style w:type="paragraph" w:customStyle="1" w:styleId="t62">
    <w:name w:val="t62"/>
    <w:basedOn w:val="Normal"/>
    <w:rsid w:val="009C13A9"/>
    <w:pPr>
      <w:suppressAutoHyphens/>
      <w:spacing w:line="240" w:lineRule="atLeast"/>
    </w:pPr>
    <w:rPr>
      <w:rFonts w:ascii="Times New Roman" w:hAnsi="Times New Roman"/>
      <w:sz w:val="24"/>
      <w:szCs w:val="20"/>
      <w:lang w:val="cs-CZ" w:eastAsia="cs-CZ"/>
    </w:rPr>
  </w:style>
  <w:style w:type="paragraph" w:customStyle="1" w:styleId="p17">
    <w:name w:val="p17"/>
    <w:basedOn w:val="Normal"/>
    <w:rsid w:val="009C13A9"/>
    <w:pPr>
      <w:tabs>
        <w:tab w:val="left" w:pos="280"/>
      </w:tabs>
      <w:suppressAutoHyphens/>
      <w:spacing w:line="200" w:lineRule="atLeast"/>
      <w:ind w:left="1440" w:firstLine="288"/>
    </w:pPr>
    <w:rPr>
      <w:rFonts w:ascii="Times New Roman" w:hAnsi="Times New Roman"/>
      <w:sz w:val="24"/>
      <w:szCs w:val="20"/>
      <w:lang w:val="cs-CZ" w:eastAsia="cs-CZ"/>
    </w:rPr>
  </w:style>
  <w:style w:type="paragraph" w:customStyle="1" w:styleId="p67">
    <w:name w:val="p67"/>
    <w:basedOn w:val="Normal"/>
    <w:rsid w:val="009C13A9"/>
    <w:pPr>
      <w:tabs>
        <w:tab w:val="left" w:pos="660"/>
      </w:tabs>
      <w:suppressAutoHyphens/>
      <w:spacing w:line="200" w:lineRule="atLeast"/>
      <w:ind w:left="780"/>
    </w:pPr>
    <w:rPr>
      <w:rFonts w:ascii="Times New Roman" w:hAnsi="Times New Roman"/>
      <w:sz w:val="24"/>
      <w:szCs w:val="20"/>
      <w:lang w:val="cs-CZ" w:eastAsia="cs-CZ"/>
    </w:rPr>
  </w:style>
  <w:style w:type="paragraph" w:customStyle="1" w:styleId="ai">
    <w:name w:val="ai"/>
    <w:basedOn w:val="Normal"/>
    <w:rsid w:val="009C13A9"/>
    <w:pPr>
      <w:tabs>
        <w:tab w:val="left" w:pos="425"/>
      </w:tabs>
      <w:suppressAutoHyphens/>
      <w:spacing w:line="240" w:lineRule="atLeast"/>
    </w:pPr>
    <w:rPr>
      <w:rFonts w:cs="Arial"/>
      <w:bCs/>
      <w:i/>
      <w:lang w:val="cs-CZ" w:eastAsia="cs-CZ"/>
    </w:rPr>
  </w:style>
  <w:style w:type="paragraph" w:customStyle="1" w:styleId="aai">
    <w:name w:val="aai"/>
    <w:basedOn w:val="Normal"/>
    <w:rsid w:val="009C13A9"/>
    <w:pPr>
      <w:tabs>
        <w:tab w:val="left" w:pos="851"/>
      </w:tabs>
      <w:suppressAutoHyphens/>
      <w:spacing w:line="240" w:lineRule="atLeast"/>
      <w:ind w:left="850"/>
    </w:pPr>
    <w:rPr>
      <w:rFonts w:cs="Arial"/>
      <w:bCs/>
      <w:i/>
      <w:lang w:val="cs-CZ" w:eastAsia="cs-CZ"/>
    </w:rPr>
  </w:style>
  <w:style w:type="paragraph" w:customStyle="1" w:styleId="achi">
    <w:name w:val="achi"/>
    <w:basedOn w:val="aa"/>
    <w:rsid w:val="009C13A9"/>
    <w:pPr>
      <w:widowControl w:val="0"/>
      <w:tabs>
        <w:tab w:val="clear" w:pos="425"/>
        <w:tab w:val="clear" w:pos="851"/>
        <w:tab w:val="clear" w:pos="1701"/>
        <w:tab w:val="clear" w:pos="2126"/>
        <w:tab w:val="left" w:pos="284"/>
        <w:tab w:val="left" w:pos="454"/>
        <w:tab w:val="left" w:pos="680"/>
        <w:tab w:val="left" w:pos="1021"/>
        <w:tab w:val="left" w:pos="1559"/>
      </w:tabs>
      <w:suppressAutoHyphens/>
      <w:adjustRightInd/>
      <w:spacing w:before="0"/>
      <w:ind w:left="1560" w:hanging="709"/>
    </w:pPr>
    <w:rPr>
      <w:szCs w:val="20"/>
      <w:lang w:val="cs-CZ" w:eastAsia="cs-CZ"/>
    </w:rPr>
  </w:style>
  <w:style w:type="paragraph" w:customStyle="1" w:styleId="xl39">
    <w:name w:val="xl39"/>
    <w:basedOn w:val="Normal"/>
    <w:rsid w:val="009C13A9"/>
    <w:pPr>
      <w:suppressAutoHyphens/>
      <w:spacing w:before="100" w:after="100"/>
      <w:jc w:val="center"/>
    </w:pPr>
    <w:rPr>
      <w:rFonts w:cs="Arial"/>
      <w:b/>
      <w:bCs/>
      <w:sz w:val="24"/>
      <w:lang w:eastAsia="cs-CZ"/>
    </w:rPr>
  </w:style>
  <w:style w:type="paragraph" w:customStyle="1" w:styleId="Textedebulles1">
    <w:name w:val="Texte de bulles1"/>
    <w:basedOn w:val="Normal"/>
    <w:rsid w:val="009C13A9"/>
    <w:pPr>
      <w:suppressAutoHyphens/>
      <w:overflowPunct w:val="0"/>
      <w:textAlignment w:val="baseline"/>
    </w:pPr>
    <w:rPr>
      <w:rFonts w:ascii="Times New Roman" w:hAnsi="Times New Roman"/>
      <w:sz w:val="16"/>
      <w:szCs w:val="16"/>
      <w:lang w:eastAsia="cs-CZ"/>
    </w:rPr>
  </w:style>
  <w:style w:type="paragraph" w:customStyle="1" w:styleId="Text10">
    <w:name w:val="Text1"/>
    <w:basedOn w:val="Normal"/>
    <w:rsid w:val="009C13A9"/>
    <w:pPr>
      <w:suppressAutoHyphens/>
      <w:spacing w:after="120" w:line="360" w:lineRule="auto"/>
    </w:pPr>
    <w:rPr>
      <w:rFonts w:ascii="Arial Narrow" w:hAnsi="Arial Narrow"/>
      <w:lang w:val="cs-CZ" w:eastAsia="cs-CZ"/>
    </w:rPr>
  </w:style>
  <w:style w:type="paragraph" w:customStyle="1" w:styleId="Default">
    <w:name w:val="Default"/>
    <w:rsid w:val="009C13A9"/>
    <w:pPr>
      <w:widowControl w:val="0"/>
      <w:suppressAutoHyphens/>
      <w:autoSpaceDE w:val="0"/>
    </w:pPr>
    <w:rPr>
      <w:rFonts w:ascii="EU Albertina" w:eastAsia="Arial" w:hAnsi="EU Albertina" w:cs="EU Albertina"/>
      <w:color w:val="000000"/>
      <w:sz w:val="24"/>
      <w:szCs w:val="24"/>
    </w:rPr>
  </w:style>
  <w:style w:type="paragraph" w:customStyle="1" w:styleId="CM204">
    <w:name w:val="CM204"/>
    <w:basedOn w:val="Default"/>
    <w:next w:val="Default"/>
    <w:rsid w:val="009C13A9"/>
    <w:pPr>
      <w:spacing w:after="173"/>
    </w:pPr>
    <w:rPr>
      <w:color w:val="auto"/>
    </w:rPr>
  </w:style>
  <w:style w:type="paragraph" w:customStyle="1" w:styleId="CM202">
    <w:name w:val="CM202"/>
    <w:basedOn w:val="Default"/>
    <w:next w:val="Default"/>
    <w:rsid w:val="009C13A9"/>
    <w:pPr>
      <w:spacing w:after="298"/>
    </w:pPr>
    <w:rPr>
      <w:color w:val="auto"/>
    </w:rPr>
  </w:style>
  <w:style w:type="paragraph" w:customStyle="1" w:styleId="CM209">
    <w:name w:val="CM209"/>
    <w:basedOn w:val="Normal"/>
    <w:next w:val="Normal"/>
    <w:rsid w:val="009C13A9"/>
    <w:pPr>
      <w:widowControl w:val="0"/>
      <w:suppressAutoHyphens/>
      <w:spacing w:after="513"/>
    </w:pPr>
    <w:rPr>
      <w:rFonts w:ascii="EU Albertina" w:hAnsi="EU Albertina"/>
      <w:sz w:val="24"/>
      <w:lang w:val="cs-CZ" w:eastAsia="cs-CZ"/>
    </w:rPr>
  </w:style>
  <w:style w:type="paragraph" w:customStyle="1" w:styleId="CM208">
    <w:name w:val="CM208"/>
    <w:basedOn w:val="Default"/>
    <w:next w:val="Default"/>
    <w:rsid w:val="009C13A9"/>
    <w:pPr>
      <w:spacing w:after="240"/>
    </w:pPr>
    <w:rPr>
      <w:color w:val="auto"/>
    </w:rPr>
  </w:style>
  <w:style w:type="paragraph" w:customStyle="1" w:styleId="CM62">
    <w:name w:val="CM62"/>
    <w:basedOn w:val="Default"/>
    <w:next w:val="Default"/>
    <w:rsid w:val="009C13A9"/>
    <w:pPr>
      <w:spacing w:line="188" w:lineRule="atLeast"/>
    </w:pPr>
    <w:rPr>
      <w:color w:val="auto"/>
    </w:rPr>
  </w:style>
  <w:style w:type="paragraph" w:customStyle="1" w:styleId="CM215">
    <w:name w:val="CM215"/>
    <w:basedOn w:val="Default"/>
    <w:next w:val="Default"/>
    <w:rsid w:val="009C13A9"/>
    <w:pPr>
      <w:spacing w:after="613"/>
    </w:pPr>
    <w:rPr>
      <w:color w:val="auto"/>
    </w:rPr>
  </w:style>
  <w:style w:type="paragraph" w:customStyle="1" w:styleId="Formatvorlageberschrift212ptNichtKursivLinks0cmErsteZeil">
    <w:name w:val="Formatvorlage Überschrift 2 + 12 pt Nicht Kursiv Links:  0 cm Erste Zeil..."/>
    <w:basedOn w:val="Heading2"/>
    <w:rsid w:val="009C13A9"/>
    <w:pPr>
      <w:numPr>
        <w:ilvl w:val="0"/>
        <w:numId w:val="0"/>
      </w:numPr>
      <w:tabs>
        <w:tab w:val="left" w:pos="720"/>
      </w:tabs>
      <w:suppressAutoHyphens/>
      <w:spacing w:before="240" w:after="120"/>
      <w:ind w:left="720" w:hanging="720"/>
    </w:pPr>
    <w:rPr>
      <w:rFonts w:ascii="Arial" w:hAnsi="Arial"/>
      <w:i w:val="0"/>
      <w:iCs w:val="0"/>
      <w:sz w:val="24"/>
      <w:szCs w:val="20"/>
      <w:lang w:val="cs-CZ" w:eastAsia="cs-CZ"/>
    </w:rPr>
  </w:style>
  <w:style w:type="paragraph" w:customStyle="1" w:styleId="Bo1">
    <w:name w:val="Bo1"/>
    <w:basedOn w:val="Normal"/>
    <w:rsid w:val="009C13A9"/>
    <w:pPr>
      <w:suppressAutoHyphens/>
      <w:spacing w:line="240" w:lineRule="atLeast"/>
      <w:ind w:left="1134" w:hanging="709"/>
    </w:pPr>
    <w:rPr>
      <w:rFonts w:ascii="Times New Roman" w:hAnsi="Times New Roman"/>
      <w:b/>
      <w:lang w:val="cs-CZ" w:eastAsia="cs-CZ"/>
    </w:rPr>
  </w:style>
  <w:style w:type="paragraph" w:customStyle="1" w:styleId="Bo11">
    <w:name w:val="Bo1_1"/>
    <w:basedOn w:val="Normal"/>
    <w:rsid w:val="009C13A9"/>
    <w:pPr>
      <w:tabs>
        <w:tab w:val="left" w:pos="1134"/>
      </w:tabs>
      <w:suppressAutoHyphens/>
      <w:overflowPunct w:val="0"/>
      <w:spacing w:line="240" w:lineRule="atLeast"/>
      <w:ind w:left="1134" w:hanging="709"/>
      <w:textAlignment w:val="baseline"/>
    </w:pPr>
    <w:rPr>
      <w:rFonts w:ascii="Times New Roman" w:hAnsi="Times New Roman"/>
      <w:sz w:val="24"/>
      <w:lang w:val="cs-CZ" w:eastAsia="cs-CZ"/>
    </w:rPr>
  </w:style>
  <w:style w:type="paragraph" w:customStyle="1" w:styleId="RetraitPremireligne">
    <w:name w:val="Retrait_Première_ligne"/>
    <w:basedOn w:val="Normal"/>
    <w:rsid w:val="009C13A9"/>
    <w:pPr>
      <w:suppressAutoHyphens/>
      <w:spacing w:line="240" w:lineRule="atLeast"/>
      <w:ind w:firstLine="425"/>
    </w:pPr>
    <w:rPr>
      <w:rFonts w:cs="Arial"/>
      <w:szCs w:val="20"/>
      <w:lang w:eastAsia="cs-CZ"/>
    </w:rPr>
  </w:style>
  <w:style w:type="paragraph" w:customStyle="1" w:styleId="Textebrut1">
    <w:name w:val="Texte brut1"/>
    <w:basedOn w:val="Normal"/>
    <w:rsid w:val="009C13A9"/>
    <w:pPr>
      <w:suppressAutoHyphens/>
    </w:pPr>
    <w:rPr>
      <w:rFonts w:ascii="Consolas" w:hAnsi="Consolas"/>
      <w:sz w:val="21"/>
      <w:szCs w:val="21"/>
      <w:lang w:val="cs-CZ" w:eastAsia="cs-CZ"/>
    </w:rPr>
  </w:style>
  <w:style w:type="paragraph" w:customStyle="1" w:styleId="ED1">
    <w:name w:val="ED1"/>
    <w:basedOn w:val="Normal"/>
    <w:rsid w:val="009C13A9"/>
    <w:pPr>
      <w:suppressAutoHyphens/>
    </w:pPr>
    <w:rPr>
      <w:rFonts w:ascii="Times New Roman" w:hAnsi="Times New Roman"/>
      <w:sz w:val="24"/>
      <w:lang w:eastAsia="cs-CZ"/>
    </w:rPr>
  </w:style>
  <w:style w:type="paragraph" w:customStyle="1" w:styleId="Commentaire1">
    <w:name w:val="Commentaire1"/>
    <w:basedOn w:val="Normal"/>
    <w:rsid w:val="009C13A9"/>
    <w:pPr>
      <w:suppressAutoHyphens/>
    </w:pPr>
    <w:rPr>
      <w:szCs w:val="20"/>
      <w:lang w:val="cs-CZ" w:eastAsia="cs-CZ"/>
    </w:rPr>
  </w:style>
  <w:style w:type="paragraph" w:customStyle="1" w:styleId="Contenudetableau">
    <w:name w:val="Contenu de tableau"/>
    <w:basedOn w:val="Normal"/>
    <w:rsid w:val="009C13A9"/>
    <w:pPr>
      <w:suppressLineNumbers/>
      <w:suppressAutoHyphens/>
    </w:pPr>
    <w:rPr>
      <w:rFonts w:ascii="Times New Roman" w:hAnsi="Times New Roman"/>
      <w:sz w:val="24"/>
      <w:lang w:val="cs-CZ" w:eastAsia="cs-CZ"/>
    </w:rPr>
  </w:style>
  <w:style w:type="paragraph" w:customStyle="1" w:styleId="Titredetableau">
    <w:name w:val="Titre de tableau"/>
    <w:basedOn w:val="Contenudetableau"/>
    <w:rsid w:val="009C13A9"/>
    <w:pPr>
      <w:jc w:val="center"/>
    </w:pPr>
    <w:rPr>
      <w:b/>
      <w:bCs/>
    </w:rPr>
  </w:style>
  <w:style w:type="numbering" w:customStyle="1" w:styleId="Aucuneliste111">
    <w:name w:val="Aucune liste111"/>
    <w:next w:val="NoList"/>
    <w:semiHidden/>
    <w:rsid w:val="009C13A9"/>
  </w:style>
  <w:style w:type="paragraph" w:styleId="DocumentMap">
    <w:name w:val="Document Map"/>
    <w:basedOn w:val="Normal"/>
    <w:link w:val="DocumentMapChar"/>
    <w:rsid w:val="009C13A9"/>
    <w:pPr>
      <w:shd w:val="clear" w:color="auto" w:fill="000080"/>
    </w:pPr>
    <w:rPr>
      <w:rFonts w:ascii="Tahoma" w:hAnsi="Tahoma"/>
      <w:szCs w:val="20"/>
    </w:rPr>
  </w:style>
  <w:style w:type="character" w:customStyle="1" w:styleId="DocumentMapChar">
    <w:name w:val="Document Map Char"/>
    <w:link w:val="DocumentMap"/>
    <w:rsid w:val="009C13A9"/>
    <w:rPr>
      <w:rFonts w:ascii="Tahoma" w:hAnsi="Tahoma"/>
      <w:shd w:val="clear" w:color="auto" w:fill="000080"/>
    </w:rPr>
  </w:style>
  <w:style w:type="numbering" w:customStyle="1" w:styleId="Aucuneliste2">
    <w:name w:val="Aucune liste2"/>
    <w:next w:val="NoList"/>
    <w:semiHidden/>
    <w:rsid w:val="009C13A9"/>
  </w:style>
  <w:style w:type="paragraph" w:customStyle="1" w:styleId="Sprechblasentext">
    <w:name w:val="Sprechblasentext"/>
    <w:basedOn w:val="Normal"/>
    <w:rsid w:val="009C13A9"/>
    <w:rPr>
      <w:rFonts w:ascii="Tahoma" w:hAnsi="Tahoma" w:cs="Tahoma"/>
      <w:snapToGrid w:val="0"/>
      <w:sz w:val="16"/>
      <w:szCs w:val="16"/>
      <w:lang w:val="cs-CZ"/>
    </w:rPr>
  </w:style>
  <w:style w:type="paragraph" w:styleId="List2">
    <w:name w:val="List 2"/>
    <w:basedOn w:val="Normal"/>
    <w:rsid w:val="009C13A9"/>
    <w:pPr>
      <w:ind w:left="566" w:hanging="283"/>
    </w:pPr>
    <w:rPr>
      <w:rFonts w:ascii="Times New Roman" w:hAnsi="Times New Roman"/>
      <w:sz w:val="24"/>
    </w:rPr>
  </w:style>
  <w:style w:type="paragraph" w:styleId="List3">
    <w:name w:val="List 3"/>
    <w:basedOn w:val="Normal"/>
    <w:rsid w:val="009C13A9"/>
    <w:pPr>
      <w:ind w:left="849" w:hanging="283"/>
    </w:pPr>
    <w:rPr>
      <w:rFonts w:ascii="Times New Roman" w:hAnsi="Times New Roman"/>
      <w:sz w:val="24"/>
    </w:rPr>
  </w:style>
  <w:style w:type="paragraph" w:styleId="ListContinue2">
    <w:name w:val="List Continue 2"/>
    <w:basedOn w:val="Normal"/>
    <w:rsid w:val="009C13A9"/>
    <w:pPr>
      <w:spacing w:after="120"/>
      <w:ind w:left="566"/>
    </w:pPr>
    <w:rPr>
      <w:rFonts w:ascii="Times New Roman" w:hAnsi="Times New Roman"/>
      <w:sz w:val="24"/>
    </w:rPr>
  </w:style>
  <w:style w:type="table" w:customStyle="1" w:styleId="Grilledutableau111">
    <w:name w:val="Grille du tableau111"/>
    <w:basedOn w:val="TableNormal"/>
    <w:next w:val="TableGrid"/>
    <w:rsid w:val="009C13A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rechblasentext1">
    <w:name w:val="Sprechblasentext1"/>
    <w:basedOn w:val="Normal"/>
    <w:semiHidden/>
    <w:rsid w:val="009C13A9"/>
    <w:rPr>
      <w:rFonts w:ascii="Tahoma" w:hAnsi="Tahoma"/>
      <w:sz w:val="16"/>
      <w:szCs w:val="16"/>
      <w:lang w:val="cs-CZ" w:eastAsia="cs-CZ"/>
    </w:rPr>
  </w:style>
  <w:style w:type="paragraph" w:customStyle="1" w:styleId="sprechblasentext0">
    <w:name w:val="sprechblasentext"/>
    <w:basedOn w:val="Normal"/>
    <w:rsid w:val="009C13A9"/>
    <w:pPr>
      <w:snapToGrid w:val="0"/>
    </w:pPr>
    <w:rPr>
      <w:rFonts w:ascii="Tahoma" w:hAnsi="Tahoma" w:cs="Tahoma"/>
      <w:sz w:val="16"/>
      <w:szCs w:val="16"/>
    </w:rPr>
  </w:style>
  <w:style w:type="character" w:customStyle="1" w:styleId="msoins1">
    <w:name w:val="msoins"/>
    <w:rsid w:val="009C13A9"/>
  </w:style>
  <w:style w:type="numbering" w:customStyle="1" w:styleId="Aucuneliste1111">
    <w:name w:val="Aucune liste1111"/>
    <w:next w:val="NoList"/>
    <w:semiHidden/>
    <w:rsid w:val="009C13A9"/>
  </w:style>
  <w:style w:type="paragraph" w:customStyle="1" w:styleId="Sprechblasentext2">
    <w:name w:val="Sprechblasentext2"/>
    <w:basedOn w:val="Normal"/>
    <w:rsid w:val="009C13A9"/>
    <w:rPr>
      <w:rFonts w:ascii="Times New Roman" w:hAnsi="Times New Roman"/>
      <w:sz w:val="16"/>
      <w:szCs w:val="16"/>
      <w:lang w:val="cs-CZ"/>
    </w:rPr>
  </w:style>
  <w:style w:type="table" w:customStyle="1" w:styleId="Grilledutableau1111">
    <w:name w:val="Grille du tableau1111"/>
    <w:basedOn w:val="TableNormal"/>
    <w:next w:val="TableGrid"/>
    <w:rsid w:val="009C13A9"/>
    <w:rPr>
      <w:rFonts w:ascii="Times New Roman" w:hAnsi="Times New Roman"/>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basedOn w:val="Normal"/>
    <w:next w:val="Normal"/>
    <w:rsid w:val="009C13A9"/>
    <w:pPr>
      <w:spacing w:after="160" w:line="240" w:lineRule="exact"/>
    </w:pPr>
    <w:rPr>
      <w:rFonts w:ascii="Times New Roman" w:hAnsi="Times New Roman"/>
      <w:snapToGrid w:val="0"/>
      <w:sz w:val="24"/>
      <w:lang w:val="cs-CZ"/>
    </w:rPr>
  </w:style>
  <w:style w:type="numbering" w:customStyle="1" w:styleId="Aucuneliste3">
    <w:name w:val="Aucune liste3"/>
    <w:next w:val="NoList"/>
    <w:semiHidden/>
    <w:rsid w:val="009C13A9"/>
  </w:style>
  <w:style w:type="paragraph" w:customStyle="1" w:styleId="Normal1">
    <w:name w:val="Normal1"/>
    <w:basedOn w:val="Normal"/>
    <w:rsid w:val="009C13A9"/>
    <w:rPr>
      <w:rFonts w:ascii="Times New Roman" w:hAnsi="Times New Roman"/>
      <w:color w:val="000000"/>
      <w:szCs w:val="20"/>
      <w:lang w:val="cs-CZ" w:eastAsia="cs-CZ"/>
    </w:rPr>
  </w:style>
  <w:style w:type="numbering" w:customStyle="1" w:styleId="Aucuneliste4">
    <w:name w:val="Aucune liste4"/>
    <w:next w:val="NoList"/>
    <w:semiHidden/>
    <w:rsid w:val="009C13A9"/>
  </w:style>
  <w:style w:type="table" w:customStyle="1" w:styleId="Grilledutableau2">
    <w:name w:val="Grille du tableau2"/>
    <w:basedOn w:val="TableNormal"/>
    <w:next w:val="TableGrid"/>
    <w:rsid w:val="009C13A9"/>
    <w:pPr>
      <w:overflowPunct w:val="0"/>
      <w:autoSpaceDE w:val="0"/>
      <w:autoSpaceDN w:val="0"/>
      <w:adjustRightInd w:val="0"/>
      <w:spacing w:line="240" w:lineRule="exact"/>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
    <w:name w:val="Aucune liste12"/>
    <w:next w:val="NoList"/>
    <w:uiPriority w:val="99"/>
    <w:semiHidden/>
    <w:unhideWhenUsed/>
    <w:rsid w:val="009C13A9"/>
  </w:style>
  <w:style w:type="numbering" w:customStyle="1" w:styleId="Aucuneliste112">
    <w:name w:val="Aucune liste112"/>
    <w:next w:val="NoList"/>
    <w:semiHidden/>
    <w:rsid w:val="009C13A9"/>
  </w:style>
  <w:style w:type="numbering" w:customStyle="1" w:styleId="Aucuneliste21">
    <w:name w:val="Aucune liste21"/>
    <w:next w:val="NoList"/>
    <w:semiHidden/>
    <w:rsid w:val="009C13A9"/>
  </w:style>
  <w:style w:type="table" w:customStyle="1" w:styleId="Grilledutableau12">
    <w:name w:val="Grille du tableau12"/>
    <w:basedOn w:val="TableNormal"/>
    <w:next w:val="TableGrid"/>
    <w:rsid w:val="009C13A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2">
    <w:name w:val="Aucune liste1112"/>
    <w:next w:val="NoList"/>
    <w:semiHidden/>
    <w:rsid w:val="009C13A9"/>
  </w:style>
  <w:style w:type="table" w:customStyle="1" w:styleId="Grilledutableau112">
    <w:name w:val="Grille du tableau112"/>
    <w:basedOn w:val="TableNormal"/>
    <w:next w:val="TableGrid"/>
    <w:rsid w:val="009C13A9"/>
    <w:rPr>
      <w:rFonts w:ascii="Times New Roman" w:hAnsi="Times New Roman"/>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NoList"/>
    <w:semiHidden/>
    <w:rsid w:val="009C13A9"/>
  </w:style>
  <w:style w:type="numbering" w:customStyle="1" w:styleId="Aucuneliste5">
    <w:name w:val="Aucune liste5"/>
    <w:next w:val="NoList"/>
    <w:semiHidden/>
    <w:rsid w:val="009C13A9"/>
  </w:style>
  <w:style w:type="table" w:customStyle="1" w:styleId="Grilledutableau3">
    <w:name w:val="Grille du tableau3"/>
    <w:basedOn w:val="TableNormal"/>
    <w:next w:val="TableGrid"/>
    <w:rsid w:val="009C13A9"/>
    <w:pPr>
      <w:overflowPunct w:val="0"/>
      <w:autoSpaceDE w:val="0"/>
      <w:autoSpaceDN w:val="0"/>
      <w:adjustRightInd w:val="0"/>
      <w:spacing w:line="240" w:lineRule="exact"/>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3">
    <w:name w:val="Aucune liste13"/>
    <w:next w:val="NoList"/>
    <w:uiPriority w:val="99"/>
    <w:semiHidden/>
    <w:unhideWhenUsed/>
    <w:rsid w:val="009C13A9"/>
  </w:style>
  <w:style w:type="numbering" w:customStyle="1" w:styleId="Aucuneliste113">
    <w:name w:val="Aucune liste113"/>
    <w:next w:val="NoList"/>
    <w:semiHidden/>
    <w:rsid w:val="009C13A9"/>
  </w:style>
  <w:style w:type="numbering" w:customStyle="1" w:styleId="Aucuneliste22">
    <w:name w:val="Aucune liste22"/>
    <w:next w:val="NoList"/>
    <w:semiHidden/>
    <w:rsid w:val="009C13A9"/>
  </w:style>
  <w:style w:type="table" w:customStyle="1" w:styleId="Grilledutableau13">
    <w:name w:val="Grille du tableau13"/>
    <w:basedOn w:val="TableNormal"/>
    <w:next w:val="TableGrid"/>
    <w:rsid w:val="009C13A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3">
    <w:name w:val="Aucune liste1113"/>
    <w:next w:val="NoList"/>
    <w:semiHidden/>
    <w:rsid w:val="009C13A9"/>
  </w:style>
  <w:style w:type="table" w:customStyle="1" w:styleId="Grilledutableau113">
    <w:name w:val="Grille du tableau113"/>
    <w:basedOn w:val="TableNormal"/>
    <w:next w:val="TableGrid"/>
    <w:rsid w:val="009C13A9"/>
    <w:rPr>
      <w:rFonts w:ascii="Times New Roman" w:hAnsi="Times New Roman"/>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2">
    <w:name w:val="Aucune liste32"/>
    <w:next w:val="NoList"/>
    <w:semiHidden/>
    <w:rsid w:val="009C13A9"/>
  </w:style>
  <w:style w:type="paragraph" w:customStyle="1" w:styleId="Esannch">
    <w:name w:val="Es_ann_ch"/>
    <w:basedOn w:val="Normal"/>
    <w:qFormat/>
    <w:rsid w:val="009C13A9"/>
    <w:pPr>
      <w:spacing w:line="240" w:lineRule="atLeast"/>
    </w:pPr>
    <w:rPr>
      <w:rFonts w:cs="Arial"/>
      <w:color w:val="000000"/>
      <w:lang w:val="cs-CZ"/>
    </w:rPr>
  </w:style>
  <w:style w:type="paragraph" w:customStyle="1" w:styleId="Esanngauche">
    <w:name w:val="Es_ann_gauche"/>
    <w:basedOn w:val="Normal"/>
    <w:qFormat/>
    <w:rsid w:val="009C13A9"/>
    <w:pPr>
      <w:tabs>
        <w:tab w:val="left" w:leader="dot" w:pos="9072"/>
      </w:tabs>
      <w:spacing w:line="240" w:lineRule="atLeast"/>
    </w:pPr>
    <w:rPr>
      <w:rFonts w:cs="Arial"/>
      <w:lang w:val="cs-CZ"/>
    </w:rPr>
  </w:style>
  <w:style w:type="paragraph" w:customStyle="1" w:styleId="ESannexetitrearticle">
    <w:name w:val="ES_annexe_titre_article"/>
    <w:basedOn w:val="Normal"/>
    <w:qFormat/>
    <w:rsid w:val="009C13A9"/>
    <w:pPr>
      <w:spacing w:line="240" w:lineRule="atLeast"/>
      <w:jc w:val="center"/>
    </w:pPr>
    <w:rPr>
      <w:rFonts w:cs="Arial"/>
      <w:b/>
      <w:noProof/>
      <w:lang w:val="cs-CZ"/>
    </w:rPr>
  </w:style>
  <w:style w:type="paragraph" w:customStyle="1" w:styleId="ESannexelet">
    <w:name w:val="ES_annexe_let"/>
    <w:basedOn w:val="Normal"/>
    <w:qFormat/>
    <w:rsid w:val="009C13A9"/>
    <w:pPr>
      <w:spacing w:before="60" w:line="240" w:lineRule="atLeast"/>
      <w:ind w:left="851"/>
    </w:pPr>
    <w:rPr>
      <w:rFonts w:cs="Arial"/>
      <w:noProof/>
      <w:lang w:val="cs-CZ" w:eastAsia="cs-CZ"/>
    </w:rPr>
  </w:style>
  <w:style w:type="paragraph" w:customStyle="1" w:styleId="ESannexechpar">
    <w:name w:val="ES_annexe_ch_par"/>
    <w:basedOn w:val="ESchpar"/>
    <w:qFormat/>
    <w:rsid w:val="009C13A9"/>
    <w:pPr>
      <w:ind w:left="426"/>
    </w:pPr>
    <w:rPr>
      <w:lang w:eastAsia="cs-CZ"/>
    </w:rPr>
  </w:style>
  <w:style w:type="paragraph" w:customStyle="1" w:styleId="Esannexeletgauch">
    <w:name w:val="Es_annexe_let_gauch"/>
    <w:basedOn w:val="Normal"/>
    <w:qFormat/>
    <w:rsid w:val="009C13A9"/>
    <w:pPr>
      <w:spacing w:before="60" w:line="240" w:lineRule="atLeast"/>
    </w:pPr>
    <w:rPr>
      <w:rFonts w:cs="Arial"/>
      <w:noProof/>
      <w:lang w:val="cs-CZ"/>
    </w:rPr>
  </w:style>
  <w:style w:type="table" w:styleId="MediumGrid1-Accent2">
    <w:name w:val="Medium Grid 1 Accent 2"/>
    <w:basedOn w:val="TableNormal"/>
    <w:uiPriority w:val="67"/>
    <w:rsid w:val="009C13A9"/>
    <w:rPr>
      <w:rFonts w:eastAsia="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Bullet0">
    <w:name w:val="Bullet 0"/>
    <w:basedOn w:val="Normal"/>
    <w:rsid w:val="009C13A9"/>
    <w:pPr>
      <w:numPr>
        <w:numId w:val="4"/>
      </w:numPr>
      <w:spacing w:before="120" w:after="120"/>
    </w:pPr>
    <w:rPr>
      <w:rFonts w:ascii="Times New Roman" w:hAnsi="Times New Roman"/>
      <w:sz w:val="24"/>
    </w:rPr>
  </w:style>
  <w:style w:type="paragraph" w:customStyle="1" w:styleId="Bullet1">
    <w:name w:val="Bullet 1"/>
    <w:basedOn w:val="Normal"/>
    <w:rsid w:val="009C13A9"/>
    <w:pPr>
      <w:numPr>
        <w:numId w:val="5"/>
      </w:numPr>
      <w:spacing w:before="120" w:after="120"/>
    </w:pPr>
    <w:rPr>
      <w:rFonts w:ascii="Times New Roman" w:hAnsi="Times New Roman"/>
      <w:sz w:val="24"/>
    </w:rPr>
  </w:style>
  <w:style w:type="paragraph" w:customStyle="1" w:styleId="Bullet2">
    <w:name w:val="Bullet 2"/>
    <w:basedOn w:val="Normal"/>
    <w:rsid w:val="009C13A9"/>
    <w:pPr>
      <w:numPr>
        <w:numId w:val="6"/>
      </w:numPr>
      <w:spacing w:before="120" w:after="120"/>
    </w:pPr>
    <w:rPr>
      <w:rFonts w:ascii="Times New Roman" w:hAnsi="Times New Roman"/>
      <w:sz w:val="24"/>
    </w:rPr>
  </w:style>
  <w:style w:type="character" w:styleId="PlaceholderText">
    <w:name w:val="Placeholder Text"/>
    <w:basedOn w:val="DefaultParagraphFont"/>
    <w:uiPriority w:val="99"/>
    <w:semiHidden/>
    <w:rsid w:val="00395A9E"/>
    <w:rPr>
      <w:color w:val="808080"/>
    </w:rPr>
  </w:style>
  <w:style w:type="numbering" w:customStyle="1" w:styleId="Aucuneliste6">
    <w:name w:val="Aucune liste6"/>
    <w:next w:val="NoList"/>
    <w:uiPriority w:val="99"/>
    <w:semiHidden/>
    <w:unhideWhenUsed/>
    <w:rsid w:val="005C7DB3"/>
  </w:style>
  <w:style w:type="paragraph" w:customStyle="1" w:styleId="jeveux">
    <w:name w:val="je_veux"/>
    <w:basedOn w:val="Normal"/>
    <w:rsid w:val="005C7DB3"/>
    <w:pPr>
      <w:numPr>
        <w:numId w:val="9"/>
      </w:numPr>
      <w:tabs>
        <w:tab w:val="left" w:pos="425"/>
        <w:tab w:val="left" w:pos="6237"/>
      </w:tabs>
      <w:suppressAutoHyphens/>
      <w:spacing w:before="120"/>
    </w:pPr>
    <w:rPr>
      <w:rFonts w:ascii="Times New Roman" w:hAnsi="Times New Roman"/>
      <w:snapToGrid w:val="0"/>
      <w:sz w:val="24"/>
      <w:lang w:val="cs-CZ"/>
    </w:rPr>
  </w:style>
  <w:style w:type="paragraph" w:customStyle="1" w:styleId="Gemiddeldraster1-accent21">
    <w:name w:val="Gemiddeld raster 1 - accent 21"/>
    <w:basedOn w:val="Normal"/>
    <w:uiPriority w:val="99"/>
    <w:qFormat/>
    <w:rsid w:val="005C7DB3"/>
    <w:pPr>
      <w:ind w:left="720"/>
      <w:contextualSpacing/>
    </w:pPr>
    <w:rPr>
      <w:rFonts w:ascii="Calibri" w:eastAsia="Calibri" w:hAnsi="Calibri"/>
      <w:lang w:val="cs-CZ"/>
    </w:rPr>
  </w:style>
  <w:style w:type="paragraph" w:customStyle="1" w:styleId="Chiffregras">
    <w:name w:val="Chiffre_gras"/>
    <w:basedOn w:val="Normal"/>
    <w:qFormat/>
    <w:rsid w:val="005C7DB3"/>
    <w:pPr>
      <w:adjustRightInd w:val="0"/>
      <w:spacing w:line="240" w:lineRule="atLeast"/>
      <w:ind w:left="709" w:hanging="709"/>
      <w:outlineLvl w:val="0"/>
    </w:pPr>
    <w:rPr>
      <w:rFonts w:ascii="Times New Roman" w:eastAsia="Calibri" w:hAnsi="Times New Roman"/>
      <w:b/>
      <w:bCs/>
      <w:sz w:val="24"/>
      <w:lang w:val="cs-CZ"/>
    </w:rPr>
  </w:style>
  <w:style w:type="paragraph" w:customStyle="1" w:styleId="Chiffrepar">
    <w:name w:val="Chiffre_par"/>
    <w:basedOn w:val="Normal"/>
    <w:qFormat/>
    <w:rsid w:val="005C7DB3"/>
    <w:pPr>
      <w:adjustRightInd w:val="0"/>
      <w:spacing w:line="240" w:lineRule="atLeast"/>
      <w:ind w:left="709"/>
    </w:pPr>
    <w:rPr>
      <w:rFonts w:ascii="Times New Roman" w:eastAsia="Calibri" w:hAnsi="Times New Roman"/>
      <w:sz w:val="24"/>
      <w:lang w:val="cs-CZ"/>
    </w:rPr>
  </w:style>
  <w:style w:type="paragraph" w:customStyle="1" w:styleId="Chiffre">
    <w:name w:val="Chiffre"/>
    <w:basedOn w:val="Normal"/>
    <w:qFormat/>
    <w:rsid w:val="005C7DB3"/>
    <w:pPr>
      <w:adjustRightInd w:val="0"/>
      <w:spacing w:line="240" w:lineRule="atLeast"/>
      <w:ind w:left="709" w:hanging="709"/>
    </w:pPr>
    <w:rPr>
      <w:rFonts w:ascii="Times New Roman" w:eastAsia="Calibri" w:hAnsi="Times New Roman"/>
      <w:sz w:val="24"/>
      <w:lang w:val="cs-CZ"/>
    </w:rPr>
  </w:style>
  <w:style w:type="paragraph" w:customStyle="1" w:styleId="chiffrelettre">
    <w:name w:val="chiffre_lettre"/>
    <w:basedOn w:val="Normal"/>
    <w:qFormat/>
    <w:rsid w:val="005C7DB3"/>
    <w:pPr>
      <w:adjustRightInd w:val="0"/>
      <w:spacing w:before="60" w:line="240" w:lineRule="atLeast"/>
      <w:ind w:left="1134"/>
    </w:pPr>
    <w:rPr>
      <w:rFonts w:ascii="Times New Roman" w:eastAsia="Calibri" w:hAnsi="Times New Roman"/>
      <w:sz w:val="24"/>
      <w:lang w:val="cs-CZ"/>
    </w:rPr>
  </w:style>
  <w:style w:type="paragraph" w:customStyle="1" w:styleId="Esann8ch">
    <w:name w:val="Es_ann8_ch"/>
    <w:basedOn w:val="Normal"/>
    <w:qFormat/>
    <w:rsid w:val="00A94102"/>
    <w:pPr>
      <w:spacing w:line="240" w:lineRule="atLeast"/>
      <w:ind w:left="851" w:hanging="851"/>
    </w:pPr>
    <w:rPr>
      <w:rFonts w:eastAsia="Calibri" w:cs="Arial"/>
      <w:color w:val="000000"/>
      <w:szCs w:val="20"/>
    </w:rPr>
  </w:style>
  <w:style w:type="paragraph" w:customStyle="1" w:styleId="Esann8chgras">
    <w:name w:val="Es_ann8_ch_gras"/>
    <w:basedOn w:val="ESchgras"/>
    <w:qFormat/>
    <w:rsid w:val="00A94102"/>
    <w:pPr>
      <w:ind w:left="851" w:hanging="851"/>
    </w:pPr>
  </w:style>
  <w:style w:type="paragraph" w:customStyle="1" w:styleId="Esann8titrechap">
    <w:name w:val="Es_ann8_titre_chap"/>
    <w:basedOn w:val="Esann8chgras"/>
    <w:qFormat/>
    <w:rsid w:val="00A94102"/>
    <w:pPr>
      <w:jc w:val="center"/>
    </w:pPr>
  </w:style>
  <w:style w:type="paragraph" w:customStyle="1" w:styleId="Esann8let">
    <w:name w:val="Es_ann8_let"/>
    <w:basedOn w:val="Esann8ch"/>
    <w:qFormat/>
    <w:rsid w:val="008632BC"/>
    <w:pPr>
      <w:spacing w:before="60"/>
      <w:ind w:left="1276" w:hanging="425"/>
    </w:pPr>
  </w:style>
  <w:style w:type="paragraph" w:customStyle="1" w:styleId="Esann8chpar">
    <w:name w:val="Es_ann8_ch_par"/>
    <w:basedOn w:val="Esann8ch"/>
    <w:qFormat/>
    <w:rsid w:val="00ED22AF"/>
    <w:pPr>
      <w:ind w:firstLine="0"/>
    </w:pPr>
  </w:style>
  <w:style w:type="character" w:customStyle="1" w:styleId="hps">
    <w:name w:val="hps"/>
    <w:basedOn w:val="DefaultParagraphFont"/>
    <w:rsid w:val="00A26ED8"/>
  </w:style>
  <w:style w:type="character" w:customStyle="1" w:styleId="atn">
    <w:name w:val="atn"/>
    <w:basedOn w:val="DefaultParagraphFont"/>
    <w:rsid w:val="00A26ED8"/>
  </w:style>
  <w:style w:type="numbering" w:customStyle="1" w:styleId="Aucuneliste7">
    <w:name w:val="Aucune liste7"/>
    <w:next w:val="NoList"/>
    <w:uiPriority w:val="99"/>
    <w:semiHidden/>
    <w:unhideWhenUsed/>
    <w:rsid w:val="001D0FFC"/>
  </w:style>
  <w:style w:type="paragraph" w:customStyle="1" w:styleId="tbl-norm">
    <w:name w:val="tbl-norm"/>
    <w:basedOn w:val="Normal"/>
    <w:rsid w:val="003D29D8"/>
    <w:pPr>
      <w:spacing w:before="100" w:beforeAutospacing="1" w:after="100" w:afterAutospacing="1"/>
    </w:pPr>
    <w:rPr>
      <w:rFonts w:ascii="Times New Roman" w:hAnsi="Times New Roman"/>
      <w:sz w:val="24"/>
    </w:rPr>
  </w:style>
  <w:style w:type="paragraph" w:customStyle="1" w:styleId="norm">
    <w:name w:val="norm"/>
    <w:basedOn w:val="Normal"/>
    <w:rsid w:val="003D29D8"/>
    <w:pPr>
      <w:spacing w:before="100" w:beforeAutospacing="1" w:after="100" w:afterAutospacing="1"/>
    </w:pPr>
    <w:rPr>
      <w:rFonts w:ascii="Times New Roman" w:hAnsi="Times New Roman"/>
      <w:sz w:val="24"/>
    </w:rPr>
  </w:style>
  <w:style w:type="table" w:customStyle="1" w:styleId="Grilledutableau14">
    <w:name w:val="Grille du tableau14"/>
    <w:basedOn w:val="TableNormal"/>
    <w:next w:val="TableGrid"/>
    <w:rsid w:val="004F47BB"/>
    <w:pPr>
      <w:overflowPunct w:val="0"/>
      <w:autoSpaceDE w:val="0"/>
      <w:autoSpaceDN w:val="0"/>
      <w:adjustRightInd w:val="0"/>
      <w:spacing w:line="240" w:lineRule="exact"/>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4">
    <w:name w:val="Grille du tableau114"/>
    <w:basedOn w:val="TableNormal"/>
    <w:next w:val="TableGrid"/>
    <w:rsid w:val="004F47B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2">
    <w:name w:val="Grille du tableau1112"/>
    <w:basedOn w:val="TableNormal"/>
    <w:next w:val="TableGrid"/>
    <w:rsid w:val="004F47BB"/>
    <w:rPr>
      <w:rFonts w:ascii="Times New Roman" w:hAnsi="Times New Roman"/>
      <w:snapToGrid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chdecale">
    <w:name w:val="ES_ch_decale"/>
    <w:basedOn w:val="Normal"/>
    <w:qFormat/>
    <w:rsid w:val="004F47BB"/>
    <w:pPr>
      <w:tabs>
        <w:tab w:val="left" w:pos="567"/>
        <w:tab w:val="left" w:pos="1418"/>
      </w:tabs>
      <w:spacing w:line="240" w:lineRule="atLeast"/>
      <w:ind w:left="1418" w:hanging="851"/>
    </w:pPr>
  </w:style>
  <w:style w:type="paragraph" w:customStyle="1" w:styleId="ESchdecalepar">
    <w:name w:val="ES_ch_decale_par"/>
    <w:basedOn w:val="ESchdecale"/>
    <w:qFormat/>
    <w:rsid w:val="004F47BB"/>
    <w:pPr>
      <w:tabs>
        <w:tab w:val="clear" w:pos="567"/>
      </w:tabs>
      <w:ind w:firstLine="0"/>
    </w:pPr>
    <w:rPr>
      <w:noProof/>
    </w:rPr>
  </w:style>
  <w:style w:type="paragraph" w:customStyle="1" w:styleId="ESletparettab">
    <w:name w:val="ES_let_par_et_tab"/>
    <w:basedOn w:val="ESletpar"/>
    <w:qFormat/>
    <w:rsid w:val="004F47BB"/>
    <w:pPr>
      <w:tabs>
        <w:tab w:val="left" w:pos="2552"/>
        <w:tab w:val="left" w:pos="2977"/>
        <w:tab w:val="left" w:pos="3402"/>
      </w:tabs>
      <w:ind w:left="1418" w:hanging="426"/>
    </w:pPr>
  </w:style>
  <w:style w:type="paragraph" w:customStyle="1" w:styleId="IS1cm">
    <w:name w:val="IS_1cm"/>
    <w:basedOn w:val="Normal"/>
    <w:link w:val="IS1cmCar"/>
    <w:rsid w:val="004F47BB"/>
    <w:pPr>
      <w:tabs>
        <w:tab w:val="left" w:pos="567"/>
      </w:tabs>
      <w:overflowPunct w:val="0"/>
      <w:adjustRightInd w:val="0"/>
      <w:spacing w:line="240" w:lineRule="atLeast"/>
      <w:ind w:left="567" w:hanging="567"/>
      <w:textAlignment w:val="baseline"/>
    </w:pPr>
    <w:rPr>
      <w:szCs w:val="20"/>
      <w:lang w:val="cs-CZ"/>
    </w:rPr>
  </w:style>
  <w:style w:type="character" w:customStyle="1" w:styleId="IS1cmCar">
    <w:name w:val="IS_1cm Car"/>
    <w:link w:val="IS1cm"/>
    <w:rsid w:val="004F47BB"/>
    <w:rPr>
      <w:rFonts w:ascii="Arial" w:hAnsi="Arial"/>
      <w:lang w:val="cs-CZ"/>
    </w:rPr>
  </w:style>
  <w:style w:type="paragraph" w:customStyle="1" w:styleId="IS1cmg075cm">
    <w:name w:val="IS_1cmg_0_75cm"/>
    <w:basedOn w:val="IS1cm"/>
    <w:rsid w:val="004F47BB"/>
    <w:pPr>
      <w:tabs>
        <w:tab w:val="clear" w:pos="567"/>
        <w:tab w:val="left" w:pos="992"/>
      </w:tabs>
      <w:ind w:left="992" w:hanging="425"/>
    </w:pPr>
  </w:style>
  <w:style w:type="paragraph" w:customStyle="1" w:styleId="IS175cm">
    <w:name w:val="IS_175cm"/>
    <w:basedOn w:val="Normal"/>
    <w:rsid w:val="004F47BB"/>
    <w:pPr>
      <w:tabs>
        <w:tab w:val="left" w:pos="1418"/>
      </w:tabs>
      <w:overflowPunct w:val="0"/>
      <w:adjustRightInd w:val="0"/>
      <w:spacing w:line="240" w:lineRule="atLeast"/>
      <w:ind w:left="1417"/>
      <w:textAlignment w:val="baseline"/>
    </w:pPr>
    <w:rPr>
      <w:szCs w:val="20"/>
      <w:lang w:val="cs-CZ"/>
    </w:rPr>
  </w:style>
  <w:style w:type="paragraph" w:customStyle="1" w:styleId="ES-Titre2ESI">
    <w:name w:val="ES-Titre2_ESI"/>
    <w:basedOn w:val="ES-Titre2"/>
    <w:qFormat/>
    <w:rsid w:val="004F47BB"/>
    <w:pPr>
      <w:pageBreakBefore w:val="0"/>
    </w:pPr>
  </w:style>
  <w:style w:type="paragraph" w:customStyle="1" w:styleId="ES-Titre4prESIexple">
    <w:name w:val="ES-Titre4_pr_ESI_exple"/>
    <w:basedOn w:val="ES-Titre3prchap32"/>
    <w:qFormat/>
    <w:rsid w:val="005B46C9"/>
  </w:style>
  <w:style w:type="paragraph" w:customStyle="1" w:styleId="ES-Titre4">
    <w:name w:val="ES-Titre4"/>
    <w:basedOn w:val="ES-Titre3"/>
    <w:qFormat/>
    <w:rsid w:val="00C859BD"/>
    <w:rPr>
      <w:lang w:val="cs-CZ"/>
    </w:rPr>
  </w:style>
  <w:style w:type="paragraph" w:customStyle="1" w:styleId="ES-Titre4a">
    <w:name w:val="ES-Titre4a"/>
    <w:basedOn w:val="ES-Titre3a"/>
    <w:qFormat/>
    <w:rsid w:val="00C859BD"/>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72696">
      <w:bodyDiv w:val="1"/>
      <w:marLeft w:val="0"/>
      <w:marRight w:val="0"/>
      <w:marTop w:val="0"/>
      <w:marBottom w:val="0"/>
      <w:divBdr>
        <w:top w:val="none" w:sz="0" w:space="0" w:color="auto"/>
        <w:left w:val="none" w:sz="0" w:space="0" w:color="auto"/>
        <w:bottom w:val="none" w:sz="0" w:space="0" w:color="auto"/>
        <w:right w:val="none" w:sz="0" w:space="0" w:color="auto"/>
      </w:divBdr>
    </w:div>
    <w:div w:id="116535451">
      <w:bodyDiv w:val="1"/>
      <w:marLeft w:val="0"/>
      <w:marRight w:val="0"/>
      <w:marTop w:val="0"/>
      <w:marBottom w:val="0"/>
      <w:divBdr>
        <w:top w:val="none" w:sz="0" w:space="0" w:color="auto"/>
        <w:left w:val="none" w:sz="0" w:space="0" w:color="auto"/>
        <w:bottom w:val="none" w:sz="0" w:space="0" w:color="auto"/>
        <w:right w:val="none" w:sz="0" w:space="0" w:color="auto"/>
      </w:divBdr>
    </w:div>
    <w:div w:id="444081102">
      <w:bodyDiv w:val="1"/>
      <w:marLeft w:val="0"/>
      <w:marRight w:val="0"/>
      <w:marTop w:val="0"/>
      <w:marBottom w:val="0"/>
      <w:divBdr>
        <w:top w:val="none" w:sz="0" w:space="0" w:color="auto"/>
        <w:left w:val="none" w:sz="0" w:space="0" w:color="auto"/>
        <w:bottom w:val="none" w:sz="0" w:space="0" w:color="auto"/>
        <w:right w:val="none" w:sz="0" w:space="0" w:color="auto"/>
      </w:divBdr>
    </w:div>
    <w:div w:id="877932533">
      <w:bodyDiv w:val="1"/>
      <w:marLeft w:val="0"/>
      <w:marRight w:val="0"/>
      <w:marTop w:val="0"/>
      <w:marBottom w:val="0"/>
      <w:divBdr>
        <w:top w:val="none" w:sz="0" w:space="0" w:color="auto"/>
        <w:left w:val="none" w:sz="0" w:space="0" w:color="auto"/>
        <w:bottom w:val="none" w:sz="0" w:space="0" w:color="auto"/>
        <w:right w:val="none" w:sz="0" w:space="0" w:color="auto"/>
      </w:divBdr>
    </w:div>
    <w:div w:id="920331382">
      <w:bodyDiv w:val="1"/>
      <w:marLeft w:val="0"/>
      <w:marRight w:val="0"/>
      <w:marTop w:val="0"/>
      <w:marBottom w:val="0"/>
      <w:divBdr>
        <w:top w:val="none" w:sz="0" w:space="0" w:color="auto"/>
        <w:left w:val="none" w:sz="0" w:space="0" w:color="auto"/>
        <w:bottom w:val="none" w:sz="0" w:space="0" w:color="auto"/>
        <w:right w:val="none" w:sz="0" w:space="0" w:color="auto"/>
      </w:divBdr>
    </w:div>
    <w:div w:id="959919701">
      <w:bodyDiv w:val="1"/>
      <w:marLeft w:val="0"/>
      <w:marRight w:val="0"/>
      <w:marTop w:val="0"/>
      <w:marBottom w:val="0"/>
      <w:divBdr>
        <w:top w:val="none" w:sz="0" w:space="0" w:color="auto"/>
        <w:left w:val="none" w:sz="0" w:space="0" w:color="auto"/>
        <w:bottom w:val="none" w:sz="0" w:space="0" w:color="auto"/>
        <w:right w:val="none" w:sz="0" w:space="0" w:color="auto"/>
      </w:divBdr>
    </w:div>
    <w:div w:id="1067725200">
      <w:bodyDiv w:val="1"/>
      <w:marLeft w:val="0"/>
      <w:marRight w:val="0"/>
      <w:marTop w:val="0"/>
      <w:marBottom w:val="0"/>
      <w:divBdr>
        <w:top w:val="none" w:sz="0" w:space="0" w:color="auto"/>
        <w:left w:val="none" w:sz="0" w:space="0" w:color="auto"/>
        <w:bottom w:val="none" w:sz="0" w:space="0" w:color="auto"/>
        <w:right w:val="none" w:sz="0" w:space="0" w:color="auto"/>
      </w:divBdr>
    </w:div>
    <w:div w:id="1841234259">
      <w:bodyDiv w:val="1"/>
      <w:marLeft w:val="0"/>
      <w:marRight w:val="0"/>
      <w:marTop w:val="0"/>
      <w:marBottom w:val="0"/>
      <w:divBdr>
        <w:top w:val="none" w:sz="0" w:space="0" w:color="auto"/>
        <w:left w:val="none" w:sz="0" w:space="0" w:color="auto"/>
        <w:bottom w:val="none" w:sz="0" w:space="0" w:color="auto"/>
        <w:right w:val="none" w:sz="0" w:space="0" w:color="auto"/>
      </w:divBdr>
    </w:div>
    <w:div w:id="1843202567">
      <w:bodyDiv w:val="1"/>
      <w:marLeft w:val="0"/>
      <w:marRight w:val="0"/>
      <w:marTop w:val="0"/>
      <w:marBottom w:val="0"/>
      <w:divBdr>
        <w:top w:val="none" w:sz="0" w:space="0" w:color="auto"/>
        <w:left w:val="none" w:sz="0" w:space="0" w:color="auto"/>
        <w:bottom w:val="none" w:sz="0" w:space="0" w:color="auto"/>
        <w:right w:val="none" w:sz="0" w:space="0" w:color="auto"/>
      </w:divBdr>
    </w:div>
    <w:div w:id="1918395660">
      <w:bodyDiv w:val="1"/>
      <w:marLeft w:val="0"/>
      <w:marRight w:val="0"/>
      <w:marTop w:val="0"/>
      <w:marBottom w:val="0"/>
      <w:divBdr>
        <w:top w:val="none" w:sz="0" w:space="0" w:color="auto"/>
        <w:left w:val="none" w:sz="0" w:space="0" w:color="auto"/>
        <w:bottom w:val="none" w:sz="0" w:space="0" w:color="auto"/>
        <w:right w:val="none" w:sz="0" w:space="0" w:color="auto"/>
      </w:divBdr>
    </w:div>
    <w:div w:id="2120025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eader" Target="header48.xml"/><Relationship Id="rId21" Type="http://schemas.openxmlformats.org/officeDocument/2006/relationships/header" Target="header8.xml"/><Relationship Id="rId42" Type="http://schemas.openxmlformats.org/officeDocument/2006/relationships/header" Target="header20.xml"/><Relationship Id="rId47" Type="http://schemas.openxmlformats.org/officeDocument/2006/relationships/footer" Target="footer11.xml"/><Relationship Id="rId63" Type="http://schemas.openxmlformats.org/officeDocument/2006/relationships/image" Target="media/image17.png"/><Relationship Id="rId68" Type="http://schemas.openxmlformats.org/officeDocument/2006/relationships/image" Target="media/image20.emf"/><Relationship Id="rId84" Type="http://schemas.openxmlformats.org/officeDocument/2006/relationships/footer" Target="footer22.xml"/><Relationship Id="rId89" Type="http://schemas.openxmlformats.org/officeDocument/2006/relationships/header" Target="header37.xml"/><Relationship Id="rId112" Type="http://schemas.openxmlformats.org/officeDocument/2006/relationships/header" Target="header47.xml"/><Relationship Id="rId133" Type="http://schemas.openxmlformats.org/officeDocument/2006/relationships/footer" Target="footer39.xml"/><Relationship Id="rId138" Type="http://schemas.openxmlformats.org/officeDocument/2006/relationships/header" Target="header61.xml"/><Relationship Id="rId16" Type="http://schemas.openxmlformats.org/officeDocument/2006/relationships/footer" Target="footer4.xml"/><Relationship Id="rId107" Type="http://schemas.openxmlformats.org/officeDocument/2006/relationships/header" Target="header44.xml"/><Relationship Id="rId11" Type="http://schemas.openxmlformats.org/officeDocument/2006/relationships/header" Target="header2.xml"/><Relationship Id="rId32" Type="http://schemas.openxmlformats.org/officeDocument/2006/relationships/header" Target="header13.xml"/><Relationship Id="rId37" Type="http://schemas.openxmlformats.org/officeDocument/2006/relationships/footer" Target="footer7.xml"/><Relationship Id="rId53" Type="http://schemas.openxmlformats.org/officeDocument/2006/relationships/image" Target="media/image7.wmf"/><Relationship Id="rId58" Type="http://schemas.openxmlformats.org/officeDocument/2006/relationships/image" Target="media/image12.wmf"/><Relationship Id="rId74" Type="http://schemas.openxmlformats.org/officeDocument/2006/relationships/header" Target="header29.xml"/><Relationship Id="rId79" Type="http://schemas.openxmlformats.org/officeDocument/2006/relationships/footer" Target="footer20.xml"/><Relationship Id="rId102" Type="http://schemas.openxmlformats.org/officeDocument/2006/relationships/header" Target="header41.xml"/><Relationship Id="rId123" Type="http://schemas.openxmlformats.org/officeDocument/2006/relationships/header" Target="header51.xml"/><Relationship Id="rId128" Type="http://schemas.openxmlformats.org/officeDocument/2006/relationships/header" Target="header55.xml"/><Relationship Id="rId144" Type="http://schemas.openxmlformats.org/officeDocument/2006/relationships/header" Target="header63.xml"/><Relationship Id="rId149" Type="http://schemas.openxmlformats.org/officeDocument/2006/relationships/image" Target="media/image32.jpeg"/><Relationship Id="rId5" Type="http://schemas.openxmlformats.org/officeDocument/2006/relationships/settings" Target="settings.xml"/><Relationship Id="rId90" Type="http://schemas.openxmlformats.org/officeDocument/2006/relationships/footer" Target="footer25.xml"/><Relationship Id="rId95" Type="http://schemas.openxmlformats.org/officeDocument/2006/relationships/footer" Target="footer28.xml"/><Relationship Id="rId22" Type="http://schemas.openxmlformats.org/officeDocument/2006/relationships/image" Target="media/image2.jpeg"/><Relationship Id="rId27" Type="http://schemas.openxmlformats.org/officeDocument/2006/relationships/header" Target="header10.xml"/><Relationship Id="rId43" Type="http://schemas.openxmlformats.org/officeDocument/2006/relationships/footer" Target="footer10.xml"/><Relationship Id="rId48" Type="http://schemas.openxmlformats.org/officeDocument/2006/relationships/header" Target="header23.xml"/><Relationship Id="rId64" Type="http://schemas.openxmlformats.org/officeDocument/2006/relationships/header" Target="header25.xml"/><Relationship Id="rId69" Type="http://schemas.openxmlformats.org/officeDocument/2006/relationships/header" Target="header26.xml"/><Relationship Id="rId113" Type="http://schemas.openxmlformats.org/officeDocument/2006/relationships/footer" Target="footer34.xml"/><Relationship Id="rId118" Type="http://schemas.openxmlformats.org/officeDocument/2006/relationships/header" Target="header49.xml"/><Relationship Id="rId134" Type="http://schemas.openxmlformats.org/officeDocument/2006/relationships/header" Target="header59.xml"/><Relationship Id="rId139" Type="http://schemas.openxmlformats.org/officeDocument/2006/relationships/footer" Target="footer42.xml"/><Relationship Id="rId80" Type="http://schemas.openxmlformats.org/officeDocument/2006/relationships/header" Target="header32.xml"/><Relationship Id="rId85" Type="http://schemas.openxmlformats.org/officeDocument/2006/relationships/footer" Target="footer23.xml"/><Relationship Id="rId150" Type="http://schemas.openxmlformats.org/officeDocument/2006/relationships/header" Target="header66.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4.jpeg"/><Relationship Id="rId33" Type="http://schemas.openxmlformats.org/officeDocument/2006/relationships/header" Target="header14.xml"/><Relationship Id="rId38" Type="http://schemas.openxmlformats.org/officeDocument/2006/relationships/header" Target="header18.xml"/><Relationship Id="rId46" Type="http://schemas.openxmlformats.org/officeDocument/2006/relationships/header" Target="header22.xml"/><Relationship Id="rId59" Type="http://schemas.openxmlformats.org/officeDocument/2006/relationships/image" Target="media/image13.wmf"/><Relationship Id="rId67" Type="http://schemas.openxmlformats.org/officeDocument/2006/relationships/image" Target="media/image19.png"/><Relationship Id="rId103" Type="http://schemas.openxmlformats.org/officeDocument/2006/relationships/footer" Target="footer30.xml"/><Relationship Id="rId108" Type="http://schemas.openxmlformats.org/officeDocument/2006/relationships/footer" Target="footer32.xml"/><Relationship Id="rId116" Type="http://schemas.openxmlformats.org/officeDocument/2006/relationships/image" Target="media/image25.wmf"/><Relationship Id="rId124" Type="http://schemas.openxmlformats.org/officeDocument/2006/relationships/header" Target="header52.xml"/><Relationship Id="rId129" Type="http://schemas.openxmlformats.org/officeDocument/2006/relationships/header" Target="header56.xml"/><Relationship Id="rId137" Type="http://schemas.openxmlformats.org/officeDocument/2006/relationships/footer" Target="footer41.xml"/><Relationship Id="rId20" Type="http://schemas.openxmlformats.org/officeDocument/2006/relationships/header" Target="header7.xml"/><Relationship Id="rId41" Type="http://schemas.openxmlformats.org/officeDocument/2006/relationships/footer" Target="footer9.xml"/><Relationship Id="rId54" Type="http://schemas.openxmlformats.org/officeDocument/2006/relationships/image" Target="media/image8.wmf"/><Relationship Id="rId62" Type="http://schemas.openxmlformats.org/officeDocument/2006/relationships/image" Target="media/image16.png"/><Relationship Id="rId70" Type="http://schemas.openxmlformats.org/officeDocument/2006/relationships/footer" Target="footer16.xml"/><Relationship Id="rId75" Type="http://schemas.openxmlformats.org/officeDocument/2006/relationships/footer" Target="footer18.xml"/><Relationship Id="rId83" Type="http://schemas.openxmlformats.org/officeDocument/2006/relationships/header" Target="header34.xml"/><Relationship Id="rId88" Type="http://schemas.openxmlformats.org/officeDocument/2006/relationships/header" Target="header36.xml"/><Relationship Id="rId91" Type="http://schemas.openxmlformats.org/officeDocument/2006/relationships/footer" Target="footer26.xml"/><Relationship Id="rId96" Type="http://schemas.openxmlformats.org/officeDocument/2006/relationships/header" Target="header40.xml"/><Relationship Id="rId111" Type="http://schemas.openxmlformats.org/officeDocument/2006/relationships/header" Target="header46.xml"/><Relationship Id="rId132" Type="http://schemas.openxmlformats.org/officeDocument/2006/relationships/header" Target="header58.xml"/><Relationship Id="rId140" Type="http://schemas.openxmlformats.org/officeDocument/2006/relationships/header" Target="header62.xml"/><Relationship Id="rId145" Type="http://schemas.openxmlformats.org/officeDocument/2006/relationships/footer" Target="footer4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footer" Target="footer12.xml"/><Relationship Id="rId57" Type="http://schemas.openxmlformats.org/officeDocument/2006/relationships/image" Target="media/image11.wmf"/><Relationship Id="rId106" Type="http://schemas.openxmlformats.org/officeDocument/2006/relationships/header" Target="header43.xml"/><Relationship Id="rId114" Type="http://schemas.openxmlformats.org/officeDocument/2006/relationships/footer" Target="footer35.xml"/><Relationship Id="rId119" Type="http://schemas.openxmlformats.org/officeDocument/2006/relationships/header" Target="header50.xml"/><Relationship Id="rId127" Type="http://schemas.openxmlformats.org/officeDocument/2006/relationships/header" Target="header54.xml"/><Relationship Id="rId10" Type="http://schemas.openxmlformats.org/officeDocument/2006/relationships/footer" Target="footer1.xml"/><Relationship Id="rId31" Type="http://schemas.openxmlformats.org/officeDocument/2006/relationships/footer" Target="footer6.xml"/><Relationship Id="rId44" Type="http://schemas.openxmlformats.org/officeDocument/2006/relationships/header" Target="header21.xml"/><Relationship Id="rId52" Type="http://schemas.openxmlformats.org/officeDocument/2006/relationships/footer" Target="footer14.xml"/><Relationship Id="rId60" Type="http://schemas.openxmlformats.org/officeDocument/2006/relationships/image" Target="media/image14.jpeg"/><Relationship Id="rId65" Type="http://schemas.openxmlformats.org/officeDocument/2006/relationships/footer" Target="footer15.xml"/><Relationship Id="rId73" Type="http://schemas.openxmlformats.org/officeDocument/2006/relationships/footer" Target="footer17.xml"/><Relationship Id="rId78" Type="http://schemas.openxmlformats.org/officeDocument/2006/relationships/footer" Target="footer19.xml"/><Relationship Id="rId81" Type="http://schemas.openxmlformats.org/officeDocument/2006/relationships/footer" Target="footer21.xml"/><Relationship Id="rId86" Type="http://schemas.openxmlformats.org/officeDocument/2006/relationships/header" Target="header35.xml"/><Relationship Id="rId94" Type="http://schemas.openxmlformats.org/officeDocument/2006/relationships/header" Target="header39.xml"/><Relationship Id="rId99" Type="http://schemas.openxmlformats.org/officeDocument/2006/relationships/image" Target="media/image22.jpg"/><Relationship Id="rId101" Type="http://schemas.openxmlformats.org/officeDocument/2006/relationships/image" Target="media/image24.png"/><Relationship Id="rId122" Type="http://schemas.openxmlformats.org/officeDocument/2006/relationships/image" Target="media/image27.wmf"/><Relationship Id="rId130" Type="http://schemas.openxmlformats.org/officeDocument/2006/relationships/header" Target="header57.xml"/><Relationship Id="rId135" Type="http://schemas.openxmlformats.org/officeDocument/2006/relationships/footer" Target="footer40.xml"/><Relationship Id="rId143" Type="http://schemas.openxmlformats.org/officeDocument/2006/relationships/image" Target="media/image31.png"/><Relationship Id="rId148" Type="http://schemas.openxmlformats.org/officeDocument/2006/relationships/header" Target="header65.xml"/><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footer" Target="footer8.xml"/><Relationship Id="rId109" Type="http://schemas.openxmlformats.org/officeDocument/2006/relationships/header" Target="header45.xml"/><Relationship Id="rId34" Type="http://schemas.openxmlformats.org/officeDocument/2006/relationships/header" Target="header15.xml"/><Relationship Id="rId50" Type="http://schemas.openxmlformats.org/officeDocument/2006/relationships/header" Target="header24.xml"/><Relationship Id="rId55" Type="http://schemas.openxmlformats.org/officeDocument/2006/relationships/image" Target="media/image9.wmf"/><Relationship Id="rId76" Type="http://schemas.openxmlformats.org/officeDocument/2006/relationships/header" Target="header30.xml"/><Relationship Id="rId97" Type="http://schemas.openxmlformats.org/officeDocument/2006/relationships/footer" Target="footer29.xml"/><Relationship Id="rId104" Type="http://schemas.openxmlformats.org/officeDocument/2006/relationships/header" Target="header42.xml"/><Relationship Id="rId120" Type="http://schemas.openxmlformats.org/officeDocument/2006/relationships/footer" Target="footer37.xml"/><Relationship Id="rId125" Type="http://schemas.openxmlformats.org/officeDocument/2006/relationships/footer" Target="footer38.xml"/><Relationship Id="rId141" Type="http://schemas.openxmlformats.org/officeDocument/2006/relationships/image" Target="media/image29.jpeg"/><Relationship Id="rId146" Type="http://schemas.openxmlformats.org/officeDocument/2006/relationships/header" Target="header64.xml"/><Relationship Id="rId7" Type="http://schemas.openxmlformats.org/officeDocument/2006/relationships/footnotes" Target="footnotes.xml"/><Relationship Id="rId71" Type="http://schemas.openxmlformats.org/officeDocument/2006/relationships/header" Target="header27.xml"/><Relationship Id="rId92" Type="http://schemas.openxmlformats.org/officeDocument/2006/relationships/header" Target="header38.xm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header" Target="header9.xml"/><Relationship Id="rId40" Type="http://schemas.openxmlformats.org/officeDocument/2006/relationships/header" Target="header19.xml"/><Relationship Id="rId45" Type="http://schemas.openxmlformats.org/officeDocument/2006/relationships/image" Target="media/image6.wmf"/><Relationship Id="rId66" Type="http://schemas.openxmlformats.org/officeDocument/2006/relationships/image" Target="media/image18.png"/><Relationship Id="rId87" Type="http://schemas.openxmlformats.org/officeDocument/2006/relationships/footer" Target="footer24.xml"/><Relationship Id="rId110" Type="http://schemas.openxmlformats.org/officeDocument/2006/relationships/footer" Target="footer33.xml"/><Relationship Id="rId115" Type="http://schemas.openxmlformats.org/officeDocument/2006/relationships/footer" Target="footer36.xml"/><Relationship Id="rId131" Type="http://schemas.openxmlformats.org/officeDocument/2006/relationships/image" Target="media/image28.wmf"/><Relationship Id="rId136" Type="http://schemas.openxmlformats.org/officeDocument/2006/relationships/header" Target="header60.xml"/><Relationship Id="rId61" Type="http://schemas.openxmlformats.org/officeDocument/2006/relationships/image" Target="media/image15.jpeg"/><Relationship Id="rId82" Type="http://schemas.openxmlformats.org/officeDocument/2006/relationships/header" Target="header33.xml"/><Relationship Id="rId152" Type="http://schemas.openxmlformats.org/officeDocument/2006/relationships/theme" Target="theme/theme1.xml"/><Relationship Id="rId19" Type="http://schemas.openxmlformats.org/officeDocument/2006/relationships/image" Target="media/image1.wmf"/><Relationship Id="rId14" Type="http://schemas.openxmlformats.org/officeDocument/2006/relationships/footer" Target="footer3.xml"/><Relationship Id="rId30" Type="http://schemas.openxmlformats.org/officeDocument/2006/relationships/header" Target="header12.xml"/><Relationship Id="rId35" Type="http://schemas.openxmlformats.org/officeDocument/2006/relationships/header" Target="header16.xml"/><Relationship Id="rId56" Type="http://schemas.openxmlformats.org/officeDocument/2006/relationships/image" Target="media/image10.wmf"/><Relationship Id="rId77" Type="http://schemas.openxmlformats.org/officeDocument/2006/relationships/header" Target="header31.xml"/><Relationship Id="rId100" Type="http://schemas.openxmlformats.org/officeDocument/2006/relationships/image" Target="media/image23.png"/><Relationship Id="rId105" Type="http://schemas.openxmlformats.org/officeDocument/2006/relationships/footer" Target="footer31.xml"/><Relationship Id="rId126" Type="http://schemas.openxmlformats.org/officeDocument/2006/relationships/header" Target="header53.xml"/><Relationship Id="rId147" Type="http://schemas.openxmlformats.org/officeDocument/2006/relationships/footer" Target="footer44.xml"/><Relationship Id="rId8" Type="http://schemas.openxmlformats.org/officeDocument/2006/relationships/endnotes" Target="endnotes.xml"/><Relationship Id="rId51" Type="http://schemas.openxmlformats.org/officeDocument/2006/relationships/footer" Target="footer13.xml"/><Relationship Id="rId72" Type="http://schemas.openxmlformats.org/officeDocument/2006/relationships/header" Target="header28.xml"/><Relationship Id="rId93" Type="http://schemas.openxmlformats.org/officeDocument/2006/relationships/footer" Target="footer27.xml"/><Relationship Id="rId98" Type="http://schemas.openxmlformats.org/officeDocument/2006/relationships/image" Target="media/image21.jpg"/><Relationship Id="rId121" Type="http://schemas.openxmlformats.org/officeDocument/2006/relationships/image" Target="media/image26.emf"/><Relationship Id="rId142" Type="http://schemas.openxmlformats.org/officeDocument/2006/relationships/image" Target="media/image30.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CS/TXT/?uri=uriserv:OJ.L_.2016.252.01.0053.01.ENG&amp;toc=OJ:L:2016:252:TO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C1CAE-7C29-481E-8AC9-C25FF5B7A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849</Pages>
  <Words>114297</Words>
  <Characters>651497</Characters>
  <Application>Microsoft Office Word</Application>
  <DocSecurity>0</DocSecurity>
  <Lines>25057</Lines>
  <Paragraphs>13434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752360</CharactersWithSpaces>
  <SharedDoc>false</SharedDoc>
  <HLinks>
    <vt:vector size="1992" baseType="variant">
      <vt:variant>
        <vt:i4>1179700</vt:i4>
      </vt:variant>
      <vt:variant>
        <vt:i4>1988</vt:i4>
      </vt:variant>
      <vt:variant>
        <vt:i4>0</vt:i4>
      </vt:variant>
      <vt:variant>
        <vt:i4>5</vt:i4>
      </vt:variant>
      <vt:variant>
        <vt:lpwstr/>
      </vt:variant>
      <vt:variant>
        <vt:lpwstr>_Toc413918250</vt:lpwstr>
      </vt:variant>
      <vt:variant>
        <vt:i4>1245236</vt:i4>
      </vt:variant>
      <vt:variant>
        <vt:i4>1982</vt:i4>
      </vt:variant>
      <vt:variant>
        <vt:i4>0</vt:i4>
      </vt:variant>
      <vt:variant>
        <vt:i4>5</vt:i4>
      </vt:variant>
      <vt:variant>
        <vt:lpwstr/>
      </vt:variant>
      <vt:variant>
        <vt:lpwstr>_Toc413918249</vt:lpwstr>
      </vt:variant>
      <vt:variant>
        <vt:i4>1245236</vt:i4>
      </vt:variant>
      <vt:variant>
        <vt:i4>1976</vt:i4>
      </vt:variant>
      <vt:variant>
        <vt:i4>0</vt:i4>
      </vt:variant>
      <vt:variant>
        <vt:i4>5</vt:i4>
      </vt:variant>
      <vt:variant>
        <vt:lpwstr/>
      </vt:variant>
      <vt:variant>
        <vt:lpwstr>_Toc413918248</vt:lpwstr>
      </vt:variant>
      <vt:variant>
        <vt:i4>1245236</vt:i4>
      </vt:variant>
      <vt:variant>
        <vt:i4>1970</vt:i4>
      </vt:variant>
      <vt:variant>
        <vt:i4>0</vt:i4>
      </vt:variant>
      <vt:variant>
        <vt:i4>5</vt:i4>
      </vt:variant>
      <vt:variant>
        <vt:lpwstr/>
      </vt:variant>
      <vt:variant>
        <vt:lpwstr>_Toc413918247</vt:lpwstr>
      </vt:variant>
      <vt:variant>
        <vt:i4>1245236</vt:i4>
      </vt:variant>
      <vt:variant>
        <vt:i4>1964</vt:i4>
      </vt:variant>
      <vt:variant>
        <vt:i4>0</vt:i4>
      </vt:variant>
      <vt:variant>
        <vt:i4>5</vt:i4>
      </vt:variant>
      <vt:variant>
        <vt:lpwstr/>
      </vt:variant>
      <vt:variant>
        <vt:lpwstr>_Toc413918246</vt:lpwstr>
      </vt:variant>
      <vt:variant>
        <vt:i4>1245236</vt:i4>
      </vt:variant>
      <vt:variant>
        <vt:i4>1958</vt:i4>
      </vt:variant>
      <vt:variant>
        <vt:i4>0</vt:i4>
      </vt:variant>
      <vt:variant>
        <vt:i4>5</vt:i4>
      </vt:variant>
      <vt:variant>
        <vt:lpwstr/>
      </vt:variant>
      <vt:variant>
        <vt:lpwstr>_Toc413918245</vt:lpwstr>
      </vt:variant>
      <vt:variant>
        <vt:i4>1245236</vt:i4>
      </vt:variant>
      <vt:variant>
        <vt:i4>1952</vt:i4>
      </vt:variant>
      <vt:variant>
        <vt:i4>0</vt:i4>
      </vt:variant>
      <vt:variant>
        <vt:i4>5</vt:i4>
      </vt:variant>
      <vt:variant>
        <vt:lpwstr/>
      </vt:variant>
      <vt:variant>
        <vt:lpwstr>_Toc413918244</vt:lpwstr>
      </vt:variant>
      <vt:variant>
        <vt:i4>1245236</vt:i4>
      </vt:variant>
      <vt:variant>
        <vt:i4>1946</vt:i4>
      </vt:variant>
      <vt:variant>
        <vt:i4>0</vt:i4>
      </vt:variant>
      <vt:variant>
        <vt:i4>5</vt:i4>
      </vt:variant>
      <vt:variant>
        <vt:lpwstr/>
      </vt:variant>
      <vt:variant>
        <vt:lpwstr>_Toc413918243</vt:lpwstr>
      </vt:variant>
      <vt:variant>
        <vt:i4>1245236</vt:i4>
      </vt:variant>
      <vt:variant>
        <vt:i4>1940</vt:i4>
      </vt:variant>
      <vt:variant>
        <vt:i4>0</vt:i4>
      </vt:variant>
      <vt:variant>
        <vt:i4>5</vt:i4>
      </vt:variant>
      <vt:variant>
        <vt:lpwstr/>
      </vt:variant>
      <vt:variant>
        <vt:lpwstr>_Toc413918242</vt:lpwstr>
      </vt:variant>
      <vt:variant>
        <vt:i4>1245236</vt:i4>
      </vt:variant>
      <vt:variant>
        <vt:i4>1934</vt:i4>
      </vt:variant>
      <vt:variant>
        <vt:i4>0</vt:i4>
      </vt:variant>
      <vt:variant>
        <vt:i4>5</vt:i4>
      </vt:variant>
      <vt:variant>
        <vt:lpwstr/>
      </vt:variant>
      <vt:variant>
        <vt:lpwstr>_Toc413918241</vt:lpwstr>
      </vt:variant>
      <vt:variant>
        <vt:i4>1245236</vt:i4>
      </vt:variant>
      <vt:variant>
        <vt:i4>1928</vt:i4>
      </vt:variant>
      <vt:variant>
        <vt:i4>0</vt:i4>
      </vt:variant>
      <vt:variant>
        <vt:i4>5</vt:i4>
      </vt:variant>
      <vt:variant>
        <vt:lpwstr/>
      </vt:variant>
      <vt:variant>
        <vt:lpwstr>_Toc413918240</vt:lpwstr>
      </vt:variant>
      <vt:variant>
        <vt:i4>1310772</vt:i4>
      </vt:variant>
      <vt:variant>
        <vt:i4>1922</vt:i4>
      </vt:variant>
      <vt:variant>
        <vt:i4>0</vt:i4>
      </vt:variant>
      <vt:variant>
        <vt:i4>5</vt:i4>
      </vt:variant>
      <vt:variant>
        <vt:lpwstr/>
      </vt:variant>
      <vt:variant>
        <vt:lpwstr>_Toc413918239</vt:lpwstr>
      </vt:variant>
      <vt:variant>
        <vt:i4>1310772</vt:i4>
      </vt:variant>
      <vt:variant>
        <vt:i4>1916</vt:i4>
      </vt:variant>
      <vt:variant>
        <vt:i4>0</vt:i4>
      </vt:variant>
      <vt:variant>
        <vt:i4>5</vt:i4>
      </vt:variant>
      <vt:variant>
        <vt:lpwstr/>
      </vt:variant>
      <vt:variant>
        <vt:lpwstr>_Toc413918238</vt:lpwstr>
      </vt:variant>
      <vt:variant>
        <vt:i4>1310772</vt:i4>
      </vt:variant>
      <vt:variant>
        <vt:i4>1910</vt:i4>
      </vt:variant>
      <vt:variant>
        <vt:i4>0</vt:i4>
      </vt:variant>
      <vt:variant>
        <vt:i4>5</vt:i4>
      </vt:variant>
      <vt:variant>
        <vt:lpwstr/>
      </vt:variant>
      <vt:variant>
        <vt:lpwstr>_Toc413918237</vt:lpwstr>
      </vt:variant>
      <vt:variant>
        <vt:i4>1310772</vt:i4>
      </vt:variant>
      <vt:variant>
        <vt:i4>1904</vt:i4>
      </vt:variant>
      <vt:variant>
        <vt:i4>0</vt:i4>
      </vt:variant>
      <vt:variant>
        <vt:i4>5</vt:i4>
      </vt:variant>
      <vt:variant>
        <vt:lpwstr/>
      </vt:variant>
      <vt:variant>
        <vt:lpwstr>_Toc413918236</vt:lpwstr>
      </vt:variant>
      <vt:variant>
        <vt:i4>1310772</vt:i4>
      </vt:variant>
      <vt:variant>
        <vt:i4>1898</vt:i4>
      </vt:variant>
      <vt:variant>
        <vt:i4>0</vt:i4>
      </vt:variant>
      <vt:variant>
        <vt:i4>5</vt:i4>
      </vt:variant>
      <vt:variant>
        <vt:lpwstr/>
      </vt:variant>
      <vt:variant>
        <vt:lpwstr>_Toc413918235</vt:lpwstr>
      </vt:variant>
      <vt:variant>
        <vt:i4>1310772</vt:i4>
      </vt:variant>
      <vt:variant>
        <vt:i4>1892</vt:i4>
      </vt:variant>
      <vt:variant>
        <vt:i4>0</vt:i4>
      </vt:variant>
      <vt:variant>
        <vt:i4>5</vt:i4>
      </vt:variant>
      <vt:variant>
        <vt:lpwstr/>
      </vt:variant>
      <vt:variant>
        <vt:lpwstr>_Toc413918234</vt:lpwstr>
      </vt:variant>
      <vt:variant>
        <vt:i4>1310772</vt:i4>
      </vt:variant>
      <vt:variant>
        <vt:i4>1886</vt:i4>
      </vt:variant>
      <vt:variant>
        <vt:i4>0</vt:i4>
      </vt:variant>
      <vt:variant>
        <vt:i4>5</vt:i4>
      </vt:variant>
      <vt:variant>
        <vt:lpwstr/>
      </vt:variant>
      <vt:variant>
        <vt:lpwstr>_Toc413918233</vt:lpwstr>
      </vt:variant>
      <vt:variant>
        <vt:i4>1310772</vt:i4>
      </vt:variant>
      <vt:variant>
        <vt:i4>1880</vt:i4>
      </vt:variant>
      <vt:variant>
        <vt:i4>0</vt:i4>
      </vt:variant>
      <vt:variant>
        <vt:i4>5</vt:i4>
      </vt:variant>
      <vt:variant>
        <vt:lpwstr/>
      </vt:variant>
      <vt:variant>
        <vt:lpwstr>_Toc413918232</vt:lpwstr>
      </vt:variant>
      <vt:variant>
        <vt:i4>1310772</vt:i4>
      </vt:variant>
      <vt:variant>
        <vt:i4>1874</vt:i4>
      </vt:variant>
      <vt:variant>
        <vt:i4>0</vt:i4>
      </vt:variant>
      <vt:variant>
        <vt:i4>5</vt:i4>
      </vt:variant>
      <vt:variant>
        <vt:lpwstr/>
      </vt:variant>
      <vt:variant>
        <vt:lpwstr>_Toc413918231</vt:lpwstr>
      </vt:variant>
      <vt:variant>
        <vt:i4>1310772</vt:i4>
      </vt:variant>
      <vt:variant>
        <vt:i4>1868</vt:i4>
      </vt:variant>
      <vt:variant>
        <vt:i4>0</vt:i4>
      </vt:variant>
      <vt:variant>
        <vt:i4>5</vt:i4>
      </vt:variant>
      <vt:variant>
        <vt:lpwstr/>
      </vt:variant>
      <vt:variant>
        <vt:lpwstr>_Toc413918230</vt:lpwstr>
      </vt:variant>
      <vt:variant>
        <vt:i4>1376308</vt:i4>
      </vt:variant>
      <vt:variant>
        <vt:i4>1862</vt:i4>
      </vt:variant>
      <vt:variant>
        <vt:i4>0</vt:i4>
      </vt:variant>
      <vt:variant>
        <vt:i4>5</vt:i4>
      </vt:variant>
      <vt:variant>
        <vt:lpwstr/>
      </vt:variant>
      <vt:variant>
        <vt:lpwstr>_Toc413918229</vt:lpwstr>
      </vt:variant>
      <vt:variant>
        <vt:i4>1376308</vt:i4>
      </vt:variant>
      <vt:variant>
        <vt:i4>1856</vt:i4>
      </vt:variant>
      <vt:variant>
        <vt:i4>0</vt:i4>
      </vt:variant>
      <vt:variant>
        <vt:i4>5</vt:i4>
      </vt:variant>
      <vt:variant>
        <vt:lpwstr/>
      </vt:variant>
      <vt:variant>
        <vt:lpwstr>_Toc413918228</vt:lpwstr>
      </vt:variant>
      <vt:variant>
        <vt:i4>1376308</vt:i4>
      </vt:variant>
      <vt:variant>
        <vt:i4>1850</vt:i4>
      </vt:variant>
      <vt:variant>
        <vt:i4>0</vt:i4>
      </vt:variant>
      <vt:variant>
        <vt:i4>5</vt:i4>
      </vt:variant>
      <vt:variant>
        <vt:lpwstr/>
      </vt:variant>
      <vt:variant>
        <vt:lpwstr>_Toc413918227</vt:lpwstr>
      </vt:variant>
      <vt:variant>
        <vt:i4>1376308</vt:i4>
      </vt:variant>
      <vt:variant>
        <vt:i4>1844</vt:i4>
      </vt:variant>
      <vt:variant>
        <vt:i4>0</vt:i4>
      </vt:variant>
      <vt:variant>
        <vt:i4>5</vt:i4>
      </vt:variant>
      <vt:variant>
        <vt:lpwstr/>
      </vt:variant>
      <vt:variant>
        <vt:lpwstr>_Toc413918226</vt:lpwstr>
      </vt:variant>
      <vt:variant>
        <vt:i4>1376308</vt:i4>
      </vt:variant>
      <vt:variant>
        <vt:i4>1838</vt:i4>
      </vt:variant>
      <vt:variant>
        <vt:i4>0</vt:i4>
      </vt:variant>
      <vt:variant>
        <vt:i4>5</vt:i4>
      </vt:variant>
      <vt:variant>
        <vt:lpwstr/>
      </vt:variant>
      <vt:variant>
        <vt:lpwstr>_Toc413918225</vt:lpwstr>
      </vt:variant>
      <vt:variant>
        <vt:i4>1376308</vt:i4>
      </vt:variant>
      <vt:variant>
        <vt:i4>1832</vt:i4>
      </vt:variant>
      <vt:variant>
        <vt:i4>0</vt:i4>
      </vt:variant>
      <vt:variant>
        <vt:i4>5</vt:i4>
      </vt:variant>
      <vt:variant>
        <vt:lpwstr/>
      </vt:variant>
      <vt:variant>
        <vt:lpwstr>_Toc413918224</vt:lpwstr>
      </vt:variant>
      <vt:variant>
        <vt:i4>1376308</vt:i4>
      </vt:variant>
      <vt:variant>
        <vt:i4>1826</vt:i4>
      </vt:variant>
      <vt:variant>
        <vt:i4>0</vt:i4>
      </vt:variant>
      <vt:variant>
        <vt:i4>5</vt:i4>
      </vt:variant>
      <vt:variant>
        <vt:lpwstr/>
      </vt:variant>
      <vt:variant>
        <vt:lpwstr>_Toc413918223</vt:lpwstr>
      </vt:variant>
      <vt:variant>
        <vt:i4>1376308</vt:i4>
      </vt:variant>
      <vt:variant>
        <vt:i4>1820</vt:i4>
      </vt:variant>
      <vt:variant>
        <vt:i4>0</vt:i4>
      </vt:variant>
      <vt:variant>
        <vt:i4>5</vt:i4>
      </vt:variant>
      <vt:variant>
        <vt:lpwstr/>
      </vt:variant>
      <vt:variant>
        <vt:lpwstr>_Toc413918222</vt:lpwstr>
      </vt:variant>
      <vt:variant>
        <vt:i4>1376308</vt:i4>
      </vt:variant>
      <vt:variant>
        <vt:i4>1814</vt:i4>
      </vt:variant>
      <vt:variant>
        <vt:i4>0</vt:i4>
      </vt:variant>
      <vt:variant>
        <vt:i4>5</vt:i4>
      </vt:variant>
      <vt:variant>
        <vt:lpwstr/>
      </vt:variant>
      <vt:variant>
        <vt:lpwstr>_Toc413918221</vt:lpwstr>
      </vt:variant>
      <vt:variant>
        <vt:i4>1376308</vt:i4>
      </vt:variant>
      <vt:variant>
        <vt:i4>1808</vt:i4>
      </vt:variant>
      <vt:variant>
        <vt:i4>0</vt:i4>
      </vt:variant>
      <vt:variant>
        <vt:i4>5</vt:i4>
      </vt:variant>
      <vt:variant>
        <vt:lpwstr/>
      </vt:variant>
      <vt:variant>
        <vt:lpwstr>_Toc413918220</vt:lpwstr>
      </vt:variant>
      <vt:variant>
        <vt:i4>1441844</vt:i4>
      </vt:variant>
      <vt:variant>
        <vt:i4>1802</vt:i4>
      </vt:variant>
      <vt:variant>
        <vt:i4>0</vt:i4>
      </vt:variant>
      <vt:variant>
        <vt:i4>5</vt:i4>
      </vt:variant>
      <vt:variant>
        <vt:lpwstr/>
      </vt:variant>
      <vt:variant>
        <vt:lpwstr>_Toc413918219</vt:lpwstr>
      </vt:variant>
      <vt:variant>
        <vt:i4>1441844</vt:i4>
      </vt:variant>
      <vt:variant>
        <vt:i4>1796</vt:i4>
      </vt:variant>
      <vt:variant>
        <vt:i4>0</vt:i4>
      </vt:variant>
      <vt:variant>
        <vt:i4>5</vt:i4>
      </vt:variant>
      <vt:variant>
        <vt:lpwstr/>
      </vt:variant>
      <vt:variant>
        <vt:lpwstr>_Toc413918218</vt:lpwstr>
      </vt:variant>
      <vt:variant>
        <vt:i4>1441844</vt:i4>
      </vt:variant>
      <vt:variant>
        <vt:i4>1790</vt:i4>
      </vt:variant>
      <vt:variant>
        <vt:i4>0</vt:i4>
      </vt:variant>
      <vt:variant>
        <vt:i4>5</vt:i4>
      </vt:variant>
      <vt:variant>
        <vt:lpwstr/>
      </vt:variant>
      <vt:variant>
        <vt:lpwstr>_Toc413918217</vt:lpwstr>
      </vt:variant>
      <vt:variant>
        <vt:i4>1441844</vt:i4>
      </vt:variant>
      <vt:variant>
        <vt:i4>1784</vt:i4>
      </vt:variant>
      <vt:variant>
        <vt:i4>0</vt:i4>
      </vt:variant>
      <vt:variant>
        <vt:i4>5</vt:i4>
      </vt:variant>
      <vt:variant>
        <vt:lpwstr/>
      </vt:variant>
      <vt:variant>
        <vt:lpwstr>_Toc413918216</vt:lpwstr>
      </vt:variant>
      <vt:variant>
        <vt:i4>1441844</vt:i4>
      </vt:variant>
      <vt:variant>
        <vt:i4>1778</vt:i4>
      </vt:variant>
      <vt:variant>
        <vt:i4>0</vt:i4>
      </vt:variant>
      <vt:variant>
        <vt:i4>5</vt:i4>
      </vt:variant>
      <vt:variant>
        <vt:lpwstr/>
      </vt:variant>
      <vt:variant>
        <vt:lpwstr>_Toc413918215</vt:lpwstr>
      </vt:variant>
      <vt:variant>
        <vt:i4>1441844</vt:i4>
      </vt:variant>
      <vt:variant>
        <vt:i4>1772</vt:i4>
      </vt:variant>
      <vt:variant>
        <vt:i4>0</vt:i4>
      </vt:variant>
      <vt:variant>
        <vt:i4>5</vt:i4>
      </vt:variant>
      <vt:variant>
        <vt:lpwstr/>
      </vt:variant>
      <vt:variant>
        <vt:lpwstr>_Toc413918214</vt:lpwstr>
      </vt:variant>
      <vt:variant>
        <vt:i4>1441844</vt:i4>
      </vt:variant>
      <vt:variant>
        <vt:i4>1766</vt:i4>
      </vt:variant>
      <vt:variant>
        <vt:i4>0</vt:i4>
      </vt:variant>
      <vt:variant>
        <vt:i4>5</vt:i4>
      </vt:variant>
      <vt:variant>
        <vt:lpwstr/>
      </vt:variant>
      <vt:variant>
        <vt:lpwstr>_Toc413918213</vt:lpwstr>
      </vt:variant>
      <vt:variant>
        <vt:i4>1441844</vt:i4>
      </vt:variant>
      <vt:variant>
        <vt:i4>1760</vt:i4>
      </vt:variant>
      <vt:variant>
        <vt:i4>0</vt:i4>
      </vt:variant>
      <vt:variant>
        <vt:i4>5</vt:i4>
      </vt:variant>
      <vt:variant>
        <vt:lpwstr/>
      </vt:variant>
      <vt:variant>
        <vt:lpwstr>_Toc413918212</vt:lpwstr>
      </vt:variant>
      <vt:variant>
        <vt:i4>1441844</vt:i4>
      </vt:variant>
      <vt:variant>
        <vt:i4>1754</vt:i4>
      </vt:variant>
      <vt:variant>
        <vt:i4>0</vt:i4>
      </vt:variant>
      <vt:variant>
        <vt:i4>5</vt:i4>
      </vt:variant>
      <vt:variant>
        <vt:lpwstr/>
      </vt:variant>
      <vt:variant>
        <vt:lpwstr>_Toc413918211</vt:lpwstr>
      </vt:variant>
      <vt:variant>
        <vt:i4>1441844</vt:i4>
      </vt:variant>
      <vt:variant>
        <vt:i4>1748</vt:i4>
      </vt:variant>
      <vt:variant>
        <vt:i4>0</vt:i4>
      </vt:variant>
      <vt:variant>
        <vt:i4>5</vt:i4>
      </vt:variant>
      <vt:variant>
        <vt:lpwstr/>
      </vt:variant>
      <vt:variant>
        <vt:lpwstr>_Toc413918210</vt:lpwstr>
      </vt:variant>
      <vt:variant>
        <vt:i4>1507380</vt:i4>
      </vt:variant>
      <vt:variant>
        <vt:i4>1742</vt:i4>
      </vt:variant>
      <vt:variant>
        <vt:i4>0</vt:i4>
      </vt:variant>
      <vt:variant>
        <vt:i4>5</vt:i4>
      </vt:variant>
      <vt:variant>
        <vt:lpwstr/>
      </vt:variant>
      <vt:variant>
        <vt:lpwstr>_Toc413918209</vt:lpwstr>
      </vt:variant>
      <vt:variant>
        <vt:i4>1507380</vt:i4>
      </vt:variant>
      <vt:variant>
        <vt:i4>1736</vt:i4>
      </vt:variant>
      <vt:variant>
        <vt:i4>0</vt:i4>
      </vt:variant>
      <vt:variant>
        <vt:i4>5</vt:i4>
      </vt:variant>
      <vt:variant>
        <vt:lpwstr/>
      </vt:variant>
      <vt:variant>
        <vt:lpwstr>_Toc413918208</vt:lpwstr>
      </vt:variant>
      <vt:variant>
        <vt:i4>1507380</vt:i4>
      </vt:variant>
      <vt:variant>
        <vt:i4>1730</vt:i4>
      </vt:variant>
      <vt:variant>
        <vt:i4>0</vt:i4>
      </vt:variant>
      <vt:variant>
        <vt:i4>5</vt:i4>
      </vt:variant>
      <vt:variant>
        <vt:lpwstr/>
      </vt:variant>
      <vt:variant>
        <vt:lpwstr>_Toc413918207</vt:lpwstr>
      </vt:variant>
      <vt:variant>
        <vt:i4>1507380</vt:i4>
      </vt:variant>
      <vt:variant>
        <vt:i4>1724</vt:i4>
      </vt:variant>
      <vt:variant>
        <vt:i4>0</vt:i4>
      </vt:variant>
      <vt:variant>
        <vt:i4>5</vt:i4>
      </vt:variant>
      <vt:variant>
        <vt:lpwstr/>
      </vt:variant>
      <vt:variant>
        <vt:lpwstr>_Toc413918206</vt:lpwstr>
      </vt:variant>
      <vt:variant>
        <vt:i4>1507380</vt:i4>
      </vt:variant>
      <vt:variant>
        <vt:i4>1718</vt:i4>
      </vt:variant>
      <vt:variant>
        <vt:i4>0</vt:i4>
      </vt:variant>
      <vt:variant>
        <vt:i4>5</vt:i4>
      </vt:variant>
      <vt:variant>
        <vt:lpwstr/>
      </vt:variant>
      <vt:variant>
        <vt:lpwstr>_Toc413918205</vt:lpwstr>
      </vt:variant>
      <vt:variant>
        <vt:i4>1507380</vt:i4>
      </vt:variant>
      <vt:variant>
        <vt:i4>1712</vt:i4>
      </vt:variant>
      <vt:variant>
        <vt:i4>0</vt:i4>
      </vt:variant>
      <vt:variant>
        <vt:i4>5</vt:i4>
      </vt:variant>
      <vt:variant>
        <vt:lpwstr/>
      </vt:variant>
      <vt:variant>
        <vt:lpwstr>_Toc413918204</vt:lpwstr>
      </vt:variant>
      <vt:variant>
        <vt:i4>1507380</vt:i4>
      </vt:variant>
      <vt:variant>
        <vt:i4>1706</vt:i4>
      </vt:variant>
      <vt:variant>
        <vt:i4>0</vt:i4>
      </vt:variant>
      <vt:variant>
        <vt:i4>5</vt:i4>
      </vt:variant>
      <vt:variant>
        <vt:lpwstr/>
      </vt:variant>
      <vt:variant>
        <vt:lpwstr>_Toc413918203</vt:lpwstr>
      </vt:variant>
      <vt:variant>
        <vt:i4>1507380</vt:i4>
      </vt:variant>
      <vt:variant>
        <vt:i4>1700</vt:i4>
      </vt:variant>
      <vt:variant>
        <vt:i4>0</vt:i4>
      </vt:variant>
      <vt:variant>
        <vt:i4>5</vt:i4>
      </vt:variant>
      <vt:variant>
        <vt:lpwstr/>
      </vt:variant>
      <vt:variant>
        <vt:lpwstr>_Toc413918202</vt:lpwstr>
      </vt:variant>
      <vt:variant>
        <vt:i4>1507380</vt:i4>
      </vt:variant>
      <vt:variant>
        <vt:i4>1694</vt:i4>
      </vt:variant>
      <vt:variant>
        <vt:i4>0</vt:i4>
      </vt:variant>
      <vt:variant>
        <vt:i4>5</vt:i4>
      </vt:variant>
      <vt:variant>
        <vt:lpwstr/>
      </vt:variant>
      <vt:variant>
        <vt:lpwstr>_Toc413918201</vt:lpwstr>
      </vt:variant>
      <vt:variant>
        <vt:i4>1507380</vt:i4>
      </vt:variant>
      <vt:variant>
        <vt:i4>1688</vt:i4>
      </vt:variant>
      <vt:variant>
        <vt:i4>0</vt:i4>
      </vt:variant>
      <vt:variant>
        <vt:i4>5</vt:i4>
      </vt:variant>
      <vt:variant>
        <vt:lpwstr/>
      </vt:variant>
      <vt:variant>
        <vt:lpwstr>_Toc413918200</vt:lpwstr>
      </vt:variant>
      <vt:variant>
        <vt:i4>1966135</vt:i4>
      </vt:variant>
      <vt:variant>
        <vt:i4>1682</vt:i4>
      </vt:variant>
      <vt:variant>
        <vt:i4>0</vt:i4>
      </vt:variant>
      <vt:variant>
        <vt:i4>5</vt:i4>
      </vt:variant>
      <vt:variant>
        <vt:lpwstr/>
      </vt:variant>
      <vt:variant>
        <vt:lpwstr>_Toc413918199</vt:lpwstr>
      </vt:variant>
      <vt:variant>
        <vt:i4>1966135</vt:i4>
      </vt:variant>
      <vt:variant>
        <vt:i4>1676</vt:i4>
      </vt:variant>
      <vt:variant>
        <vt:i4>0</vt:i4>
      </vt:variant>
      <vt:variant>
        <vt:i4>5</vt:i4>
      </vt:variant>
      <vt:variant>
        <vt:lpwstr/>
      </vt:variant>
      <vt:variant>
        <vt:lpwstr>_Toc413918198</vt:lpwstr>
      </vt:variant>
      <vt:variant>
        <vt:i4>1966135</vt:i4>
      </vt:variant>
      <vt:variant>
        <vt:i4>1670</vt:i4>
      </vt:variant>
      <vt:variant>
        <vt:i4>0</vt:i4>
      </vt:variant>
      <vt:variant>
        <vt:i4>5</vt:i4>
      </vt:variant>
      <vt:variant>
        <vt:lpwstr/>
      </vt:variant>
      <vt:variant>
        <vt:lpwstr>_Toc413918197</vt:lpwstr>
      </vt:variant>
      <vt:variant>
        <vt:i4>1966135</vt:i4>
      </vt:variant>
      <vt:variant>
        <vt:i4>1664</vt:i4>
      </vt:variant>
      <vt:variant>
        <vt:i4>0</vt:i4>
      </vt:variant>
      <vt:variant>
        <vt:i4>5</vt:i4>
      </vt:variant>
      <vt:variant>
        <vt:lpwstr/>
      </vt:variant>
      <vt:variant>
        <vt:lpwstr>_Toc413918196</vt:lpwstr>
      </vt:variant>
      <vt:variant>
        <vt:i4>1966135</vt:i4>
      </vt:variant>
      <vt:variant>
        <vt:i4>1658</vt:i4>
      </vt:variant>
      <vt:variant>
        <vt:i4>0</vt:i4>
      </vt:variant>
      <vt:variant>
        <vt:i4>5</vt:i4>
      </vt:variant>
      <vt:variant>
        <vt:lpwstr/>
      </vt:variant>
      <vt:variant>
        <vt:lpwstr>_Toc413918195</vt:lpwstr>
      </vt:variant>
      <vt:variant>
        <vt:i4>1966135</vt:i4>
      </vt:variant>
      <vt:variant>
        <vt:i4>1652</vt:i4>
      </vt:variant>
      <vt:variant>
        <vt:i4>0</vt:i4>
      </vt:variant>
      <vt:variant>
        <vt:i4>5</vt:i4>
      </vt:variant>
      <vt:variant>
        <vt:lpwstr/>
      </vt:variant>
      <vt:variant>
        <vt:lpwstr>_Toc413918194</vt:lpwstr>
      </vt:variant>
      <vt:variant>
        <vt:i4>1966135</vt:i4>
      </vt:variant>
      <vt:variant>
        <vt:i4>1646</vt:i4>
      </vt:variant>
      <vt:variant>
        <vt:i4>0</vt:i4>
      </vt:variant>
      <vt:variant>
        <vt:i4>5</vt:i4>
      </vt:variant>
      <vt:variant>
        <vt:lpwstr/>
      </vt:variant>
      <vt:variant>
        <vt:lpwstr>_Toc413918193</vt:lpwstr>
      </vt:variant>
      <vt:variant>
        <vt:i4>1966135</vt:i4>
      </vt:variant>
      <vt:variant>
        <vt:i4>1640</vt:i4>
      </vt:variant>
      <vt:variant>
        <vt:i4>0</vt:i4>
      </vt:variant>
      <vt:variant>
        <vt:i4>5</vt:i4>
      </vt:variant>
      <vt:variant>
        <vt:lpwstr/>
      </vt:variant>
      <vt:variant>
        <vt:lpwstr>_Toc413918192</vt:lpwstr>
      </vt:variant>
      <vt:variant>
        <vt:i4>1966135</vt:i4>
      </vt:variant>
      <vt:variant>
        <vt:i4>1634</vt:i4>
      </vt:variant>
      <vt:variant>
        <vt:i4>0</vt:i4>
      </vt:variant>
      <vt:variant>
        <vt:i4>5</vt:i4>
      </vt:variant>
      <vt:variant>
        <vt:lpwstr/>
      </vt:variant>
      <vt:variant>
        <vt:lpwstr>_Toc413918191</vt:lpwstr>
      </vt:variant>
      <vt:variant>
        <vt:i4>1966135</vt:i4>
      </vt:variant>
      <vt:variant>
        <vt:i4>1628</vt:i4>
      </vt:variant>
      <vt:variant>
        <vt:i4>0</vt:i4>
      </vt:variant>
      <vt:variant>
        <vt:i4>5</vt:i4>
      </vt:variant>
      <vt:variant>
        <vt:lpwstr/>
      </vt:variant>
      <vt:variant>
        <vt:lpwstr>_Toc413918190</vt:lpwstr>
      </vt:variant>
      <vt:variant>
        <vt:i4>2031671</vt:i4>
      </vt:variant>
      <vt:variant>
        <vt:i4>1622</vt:i4>
      </vt:variant>
      <vt:variant>
        <vt:i4>0</vt:i4>
      </vt:variant>
      <vt:variant>
        <vt:i4>5</vt:i4>
      </vt:variant>
      <vt:variant>
        <vt:lpwstr/>
      </vt:variant>
      <vt:variant>
        <vt:lpwstr>_Toc413918189</vt:lpwstr>
      </vt:variant>
      <vt:variant>
        <vt:i4>2031671</vt:i4>
      </vt:variant>
      <vt:variant>
        <vt:i4>1616</vt:i4>
      </vt:variant>
      <vt:variant>
        <vt:i4>0</vt:i4>
      </vt:variant>
      <vt:variant>
        <vt:i4>5</vt:i4>
      </vt:variant>
      <vt:variant>
        <vt:lpwstr/>
      </vt:variant>
      <vt:variant>
        <vt:lpwstr>_Toc413918188</vt:lpwstr>
      </vt:variant>
      <vt:variant>
        <vt:i4>2031671</vt:i4>
      </vt:variant>
      <vt:variant>
        <vt:i4>1610</vt:i4>
      </vt:variant>
      <vt:variant>
        <vt:i4>0</vt:i4>
      </vt:variant>
      <vt:variant>
        <vt:i4>5</vt:i4>
      </vt:variant>
      <vt:variant>
        <vt:lpwstr/>
      </vt:variant>
      <vt:variant>
        <vt:lpwstr>_Toc413918187</vt:lpwstr>
      </vt:variant>
      <vt:variant>
        <vt:i4>2031671</vt:i4>
      </vt:variant>
      <vt:variant>
        <vt:i4>1604</vt:i4>
      </vt:variant>
      <vt:variant>
        <vt:i4>0</vt:i4>
      </vt:variant>
      <vt:variant>
        <vt:i4>5</vt:i4>
      </vt:variant>
      <vt:variant>
        <vt:lpwstr/>
      </vt:variant>
      <vt:variant>
        <vt:lpwstr>_Toc413918186</vt:lpwstr>
      </vt:variant>
      <vt:variant>
        <vt:i4>2031671</vt:i4>
      </vt:variant>
      <vt:variant>
        <vt:i4>1598</vt:i4>
      </vt:variant>
      <vt:variant>
        <vt:i4>0</vt:i4>
      </vt:variant>
      <vt:variant>
        <vt:i4>5</vt:i4>
      </vt:variant>
      <vt:variant>
        <vt:lpwstr/>
      </vt:variant>
      <vt:variant>
        <vt:lpwstr>_Toc413918185</vt:lpwstr>
      </vt:variant>
      <vt:variant>
        <vt:i4>2031671</vt:i4>
      </vt:variant>
      <vt:variant>
        <vt:i4>1592</vt:i4>
      </vt:variant>
      <vt:variant>
        <vt:i4>0</vt:i4>
      </vt:variant>
      <vt:variant>
        <vt:i4>5</vt:i4>
      </vt:variant>
      <vt:variant>
        <vt:lpwstr/>
      </vt:variant>
      <vt:variant>
        <vt:lpwstr>_Toc413918184</vt:lpwstr>
      </vt:variant>
      <vt:variant>
        <vt:i4>2031671</vt:i4>
      </vt:variant>
      <vt:variant>
        <vt:i4>1586</vt:i4>
      </vt:variant>
      <vt:variant>
        <vt:i4>0</vt:i4>
      </vt:variant>
      <vt:variant>
        <vt:i4>5</vt:i4>
      </vt:variant>
      <vt:variant>
        <vt:lpwstr/>
      </vt:variant>
      <vt:variant>
        <vt:lpwstr>_Toc413918183</vt:lpwstr>
      </vt:variant>
      <vt:variant>
        <vt:i4>2031671</vt:i4>
      </vt:variant>
      <vt:variant>
        <vt:i4>1580</vt:i4>
      </vt:variant>
      <vt:variant>
        <vt:i4>0</vt:i4>
      </vt:variant>
      <vt:variant>
        <vt:i4>5</vt:i4>
      </vt:variant>
      <vt:variant>
        <vt:lpwstr/>
      </vt:variant>
      <vt:variant>
        <vt:lpwstr>_Toc413918182</vt:lpwstr>
      </vt:variant>
      <vt:variant>
        <vt:i4>2031671</vt:i4>
      </vt:variant>
      <vt:variant>
        <vt:i4>1574</vt:i4>
      </vt:variant>
      <vt:variant>
        <vt:i4>0</vt:i4>
      </vt:variant>
      <vt:variant>
        <vt:i4>5</vt:i4>
      </vt:variant>
      <vt:variant>
        <vt:lpwstr/>
      </vt:variant>
      <vt:variant>
        <vt:lpwstr>_Toc413918181</vt:lpwstr>
      </vt:variant>
      <vt:variant>
        <vt:i4>2031671</vt:i4>
      </vt:variant>
      <vt:variant>
        <vt:i4>1568</vt:i4>
      </vt:variant>
      <vt:variant>
        <vt:i4>0</vt:i4>
      </vt:variant>
      <vt:variant>
        <vt:i4>5</vt:i4>
      </vt:variant>
      <vt:variant>
        <vt:lpwstr/>
      </vt:variant>
      <vt:variant>
        <vt:lpwstr>_Toc413918180</vt:lpwstr>
      </vt:variant>
      <vt:variant>
        <vt:i4>1048631</vt:i4>
      </vt:variant>
      <vt:variant>
        <vt:i4>1562</vt:i4>
      </vt:variant>
      <vt:variant>
        <vt:i4>0</vt:i4>
      </vt:variant>
      <vt:variant>
        <vt:i4>5</vt:i4>
      </vt:variant>
      <vt:variant>
        <vt:lpwstr/>
      </vt:variant>
      <vt:variant>
        <vt:lpwstr>_Toc413918179</vt:lpwstr>
      </vt:variant>
      <vt:variant>
        <vt:i4>1048631</vt:i4>
      </vt:variant>
      <vt:variant>
        <vt:i4>1556</vt:i4>
      </vt:variant>
      <vt:variant>
        <vt:i4>0</vt:i4>
      </vt:variant>
      <vt:variant>
        <vt:i4>5</vt:i4>
      </vt:variant>
      <vt:variant>
        <vt:lpwstr/>
      </vt:variant>
      <vt:variant>
        <vt:lpwstr>_Toc413918178</vt:lpwstr>
      </vt:variant>
      <vt:variant>
        <vt:i4>1048631</vt:i4>
      </vt:variant>
      <vt:variant>
        <vt:i4>1550</vt:i4>
      </vt:variant>
      <vt:variant>
        <vt:i4>0</vt:i4>
      </vt:variant>
      <vt:variant>
        <vt:i4>5</vt:i4>
      </vt:variant>
      <vt:variant>
        <vt:lpwstr/>
      </vt:variant>
      <vt:variant>
        <vt:lpwstr>_Toc413918177</vt:lpwstr>
      </vt:variant>
      <vt:variant>
        <vt:i4>1048631</vt:i4>
      </vt:variant>
      <vt:variant>
        <vt:i4>1544</vt:i4>
      </vt:variant>
      <vt:variant>
        <vt:i4>0</vt:i4>
      </vt:variant>
      <vt:variant>
        <vt:i4>5</vt:i4>
      </vt:variant>
      <vt:variant>
        <vt:lpwstr/>
      </vt:variant>
      <vt:variant>
        <vt:lpwstr>_Toc413918176</vt:lpwstr>
      </vt:variant>
      <vt:variant>
        <vt:i4>1048631</vt:i4>
      </vt:variant>
      <vt:variant>
        <vt:i4>1538</vt:i4>
      </vt:variant>
      <vt:variant>
        <vt:i4>0</vt:i4>
      </vt:variant>
      <vt:variant>
        <vt:i4>5</vt:i4>
      </vt:variant>
      <vt:variant>
        <vt:lpwstr/>
      </vt:variant>
      <vt:variant>
        <vt:lpwstr>_Toc413918175</vt:lpwstr>
      </vt:variant>
      <vt:variant>
        <vt:i4>1048631</vt:i4>
      </vt:variant>
      <vt:variant>
        <vt:i4>1532</vt:i4>
      </vt:variant>
      <vt:variant>
        <vt:i4>0</vt:i4>
      </vt:variant>
      <vt:variant>
        <vt:i4>5</vt:i4>
      </vt:variant>
      <vt:variant>
        <vt:lpwstr/>
      </vt:variant>
      <vt:variant>
        <vt:lpwstr>_Toc413918174</vt:lpwstr>
      </vt:variant>
      <vt:variant>
        <vt:i4>1048631</vt:i4>
      </vt:variant>
      <vt:variant>
        <vt:i4>1526</vt:i4>
      </vt:variant>
      <vt:variant>
        <vt:i4>0</vt:i4>
      </vt:variant>
      <vt:variant>
        <vt:i4>5</vt:i4>
      </vt:variant>
      <vt:variant>
        <vt:lpwstr/>
      </vt:variant>
      <vt:variant>
        <vt:lpwstr>_Toc413918173</vt:lpwstr>
      </vt:variant>
      <vt:variant>
        <vt:i4>1048631</vt:i4>
      </vt:variant>
      <vt:variant>
        <vt:i4>1520</vt:i4>
      </vt:variant>
      <vt:variant>
        <vt:i4>0</vt:i4>
      </vt:variant>
      <vt:variant>
        <vt:i4>5</vt:i4>
      </vt:variant>
      <vt:variant>
        <vt:lpwstr/>
      </vt:variant>
      <vt:variant>
        <vt:lpwstr>_Toc413918172</vt:lpwstr>
      </vt:variant>
      <vt:variant>
        <vt:i4>1048631</vt:i4>
      </vt:variant>
      <vt:variant>
        <vt:i4>1514</vt:i4>
      </vt:variant>
      <vt:variant>
        <vt:i4>0</vt:i4>
      </vt:variant>
      <vt:variant>
        <vt:i4>5</vt:i4>
      </vt:variant>
      <vt:variant>
        <vt:lpwstr/>
      </vt:variant>
      <vt:variant>
        <vt:lpwstr>_Toc413918171</vt:lpwstr>
      </vt:variant>
      <vt:variant>
        <vt:i4>1048631</vt:i4>
      </vt:variant>
      <vt:variant>
        <vt:i4>1508</vt:i4>
      </vt:variant>
      <vt:variant>
        <vt:i4>0</vt:i4>
      </vt:variant>
      <vt:variant>
        <vt:i4>5</vt:i4>
      </vt:variant>
      <vt:variant>
        <vt:lpwstr/>
      </vt:variant>
      <vt:variant>
        <vt:lpwstr>_Toc413918170</vt:lpwstr>
      </vt:variant>
      <vt:variant>
        <vt:i4>1114167</vt:i4>
      </vt:variant>
      <vt:variant>
        <vt:i4>1502</vt:i4>
      </vt:variant>
      <vt:variant>
        <vt:i4>0</vt:i4>
      </vt:variant>
      <vt:variant>
        <vt:i4>5</vt:i4>
      </vt:variant>
      <vt:variant>
        <vt:lpwstr/>
      </vt:variant>
      <vt:variant>
        <vt:lpwstr>_Toc413918169</vt:lpwstr>
      </vt:variant>
      <vt:variant>
        <vt:i4>1114167</vt:i4>
      </vt:variant>
      <vt:variant>
        <vt:i4>1496</vt:i4>
      </vt:variant>
      <vt:variant>
        <vt:i4>0</vt:i4>
      </vt:variant>
      <vt:variant>
        <vt:i4>5</vt:i4>
      </vt:variant>
      <vt:variant>
        <vt:lpwstr/>
      </vt:variant>
      <vt:variant>
        <vt:lpwstr>_Toc413918168</vt:lpwstr>
      </vt:variant>
      <vt:variant>
        <vt:i4>1114167</vt:i4>
      </vt:variant>
      <vt:variant>
        <vt:i4>1490</vt:i4>
      </vt:variant>
      <vt:variant>
        <vt:i4>0</vt:i4>
      </vt:variant>
      <vt:variant>
        <vt:i4>5</vt:i4>
      </vt:variant>
      <vt:variant>
        <vt:lpwstr/>
      </vt:variant>
      <vt:variant>
        <vt:lpwstr>_Toc413918167</vt:lpwstr>
      </vt:variant>
      <vt:variant>
        <vt:i4>1114167</vt:i4>
      </vt:variant>
      <vt:variant>
        <vt:i4>1484</vt:i4>
      </vt:variant>
      <vt:variant>
        <vt:i4>0</vt:i4>
      </vt:variant>
      <vt:variant>
        <vt:i4>5</vt:i4>
      </vt:variant>
      <vt:variant>
        <vt:lpwstr/>
      </vt:variant>
      <vt:variant>
        <vt:lpwstr>_Toc413918166</vt:lpwstr>
      </vt:variant>
      <vt:variant>
        <vt:i4>1114167</vt:i4>
      </vt:variant>
      <vt:variant>
        <vt:i4>1478</vt:i4>
      </vt:variant>
      <vt:variant>
        <vt:i4>0</vt:i4>
      </vt:variant>
      <vt:variant>
        <vt:i4>5</vt:i4>
      </vt:variant>
      <vt:variant>
        <vt:lpwstr/>
      </vt:variant>
      <vt:variant>
        <vt:lpwstr>_Toc413918165</vt:lpwstr>
      </vt:variant>
      <vt:variant>
        <vt:i4>1114167</vt:i4>
      </vt:variant>
      <vt:variant>
        <vt:i4>1472</vt:i4>
      </vt:variant>
      <vt:variant>
        <vt:i4>0</vt:i4>
      </vt:variant>
      <vt:variant>
        <vt:i4>5</vt:i4>
      </vt:variant>
      <vt:variant>
        <vt:lpwstr/>
      </vt:variant>
      <vt:variant>
        <vt:lpwstr>_Toc413918164</vt:lpwstr>
      </vt:variant>
      <vt:variant>
        <vt:i4>1114167</vt:i4>
      </vt:variant>
      <vt:variant>
        <vt:i4>1466</vt:i4>
      </vt:variant>
      <vt:variant>
        <vt:i4>0</vt:i4>
      </vt:variant>
      <vt:variant>
        <vt:i4>5</vt:i4>
      </vt:variant>
      <vt:variant>
        <vt:lpwstr/>
      </vt:variant>
      <vt:variant>
        <vt:lpwstr>_Toc413918163</vt:lpwstr>
      </vt:variant>
      <vt:variant>
        <vt:i4>1114167</vt:i4>
      </vt:variant>
      <vt:variant>
        <vt:i4>1460</vt:i4>
      </vt:variant>
      <vt:variant>
        <vt:i4>0</vt:i4>
      </vt:variant>
      <vt:variant>
        <vt:i4>5</vt:i4>
      </vt:variant>
      <vt:variant>
        <vt:lpwstr/>
      </vt:variant>
      <vt:variant>
        <vt:lpwstr>_Toc413918162</vt:lpwstr>
      </vt:variant>
      <vt:variant>
        <vt:i4>1114167</vt:i4>
      </vt:variant>
      <vt:variant>
        <vt:i4>1454</vt:i4>
      </vt:variant>
      <vt:variant>
        <vt:i4>0</vt:i4>
      </vt:variant>
      <vt:variant>
        <vt:i4>5</vt:i4>
      </vt:variant>
      <vt:variant>
        <vt:lpwstr/>
      </vt:variant>
      <vt:variant>
        <vt:lpwstr>_Toc413918161</vt:lpwstr>
      </vt:variant>
      <vt:variant>
        <vt:i4>1114167</vt:i4>
      </vt:variant>
      <vt:variant>
        <vt:i4>1448</vt:i4>
      </vt:variant>
      <vt:variant>
        <vt:i4>0</vt:i4>
      </vt:variant>
      <vt:variant>
        <vt:i4>5</vt:i4>
      </vt:variant>
      <vt:variant>
        <vt:lpwstr/>
      </vt:variant>
      <vt:variant>
        <vt:lpwstr>_Toc413918160</vt:lpwstr>
      </vt:variant>
      <vt:variant>
        <vt:i4>1179703</vt:i4>
      </vt:variant>
      <vt:variant>
        <vt:i4>1442</vt:i4>
      </vt:variant>
      <vt:variant>
        <vt:i4>0</vt:i4>
      </vt:variant>
      <vt:variant>
        <vt:i4>5</vt:i4>
      </vt:variant>
      <vt:variant>
        <vt:lpwstr/>
      </vt:variant>
      <vt:variant>
        <vt:lpwstr>_Toc413918159</vt:lpwstr>
      </vt:variant>
      <vt:variant>
        <vt:i4>1179703</vt:i4>
      </vt:variant>
      <vt:variant>
        <vt:i4>1436</vt:i4>
      </vt:variant>
      <vt:variant>
        <vt:i4>0</vt:i4>
      </vt:variant>
      <vt:variant>
        <vt:i4>5</vt:i4>
      </vt:variant>
      <vt:variant>
        <vt:lpwstr/>
      </vt:variant>
      <vt:variant>
        <vt:lpwstr>_Toc413918158</vt:lpwstr>
      </vt:variant>
      <vt:variant>
        <vt:i4>1179703</vt:i4>
      </vt:variant>
      <vt:variant>
        <vt:i4>1430</vt:i4>
      </vt:variant>
      <vt:variant>
        <vt:i4>0</vt:i4>
      </vt:variant>
      <vt:variant>
        <vt:i4>5</vt:i4>
      </vt:variant>
      <vt:variant>
        <vt:lpwstr/>
      </vt:variant>
      <vt:variant>
        <vt:lpwstr>_Toc413918157</vt:lpwstr>
      </vt:variant>
      <vt:variant>
        <vt:i4>1179703</vt:i4>
      </vt:variant>
      <vt:variant>
        <vt:i4>1424</vt:i4>
      </vt:variant>
      <vt:variant>
        <vt:i4>0</vt:i4>
      </vt:variant>
      <vt:variant>
        <vt:i4>5</vt:i4>
      </vt:variant>
      <vt:variant>
        <vt:lpwstr/>
      </vt:variant>
      <vt:variant>
        <vt:lpwstr>_Toc413918156</vt:lpwstr>
      </vt:variant>
      <vt:variant>
        <vt:i4>1179703</vt:i4>
      </vt:variant>
      <vt:variant>
        <vt:i4>1418</vt:i4>
      </vt:variant>
      <vt:variant>
        <vt:i4>0</vt:i4>
      </vt:variant>
      <vt:variant>
        <vt:i4>5</vt:i4>
      </vt:variant>
      <vt:variant>
        <vt:lpwstr/>
      </vt:variant>
      <vt:variant>
        <vt:lpwstr>_Toc413918155</vt:lpwstr>
      </vt:variant>
      <vt:variant>
        <vt:i4>1179703</vt:i4>
      </vt:variant>
      <vt:variant>
        <vt:i4>1412</vt:i4>
      </vt:variant>
      <vt:variant>
        <vt:i4>0</vt:i4>
      </vt:variant>
      <vt:variant>
        <vt:i4>5</vt:i4>
      </vt:variant>
      <vt:variant>
        <vt:lpwstr/>
      </vt:variant>
      <vt:variant>
        <vt:lpwstr>_Toc413918154</vt:lpwstr>
      </vt:variant>
      <vt:variant>
        <vt:i4>1179703</vt:i4>
      </vt:variant>
      <vt:variant>
        <vt:i4>1406</vt:i4>
      </vt:variant>
      <vt:variant>
        <vt:i4>0</vt:i4>
      </vt:variant>
      <vt:variant>
        <vt:i4>5</vt:i4>
      </vt:variant>
      <vt:variant>
        <vt:lpwstr/>
      </vt:variant>
      <vt:variant>
        <vt:lpwstr>_Toc413918153</vt:lpwstr>
      </vt:variant>
      <vt:variant>
        <vt:i4>1179703</vt:i4>
      </vt:variant>
      <vt:variant>
        <vt:i4>1400</vt:i4>
      </vt:variant>
      <vt:variant>
        <vt:i4>0</vt:i4>
      </vt:variant>
      <vt:variant>
        <vt:i4>5</vt:i4>
      </vt:variant>
      <vt:variant>
        <vt:lpwstr/>
      </vt:variant>
      <vt:variant>
        <vt:lpwstr>_Toc413918152</vt:lpwstr>
      </vt:variant>
      <vt:variant>
        <vt:i4>1179703</vt:i4>
      </vt:variant>
      <vt:variant>
        <vt:i4>1394</vt:i4>
      </vt:variant>
      <vt:variant>
        <vt:i4>0</vt:i4>
      </vt:variant>
      <vt:variant>
        <vt:i4>5</vt:i4>
      </vt:variant>
      <vt:variant>
        <vt:lpwstr/>
      </vt:variant>
      <vt:variant>
        <vt:lpwstr>_Toc413918151</vt:lpwstr>
      </vt:variant>
      <vt:variant>
        <vt:i4>1179703</vt:i4>
      </vt:variant>
      <vt:variant>
        <vt:i4>1388</vt:i4>
      </vt:variant>
      <vt:variant>
        <vt:i4>0</vt:i4>
      </vt:variant>
      <vt:variant>
        <vt:i4>5</vt:i4>
      </vt:variant>
      <vt:variant>
        <vt:lpwstr/>
      </vt:variant>
      <vt:variant>
        <vt:lpwstr>_Toc413918150</vt:lpwstr>
      </vt:variant>
      <vt:variant>
        <vt:i4>1245239</vt:i4>
      </vt:variant>
      <vt:variant>
        <vt:i4>1382</vt:i4>
      </vt:variant>
      <vt:variant>
        <vt:i4>0</vt:i4>
      </vt:variant>
      <vt:variant>
        <vt:i4>5</vt:i4>
      </vt:variant>
      <vt:variant>
        <vt:lpwstr/>
      </vt:variant>
      <vt:variant>
        <vt:lpwstr>_Toc413918149</vt:lpwstr>
      </vt:variant>
      <vt:variant>
        <vt:i4>1245239</vt:i4>
      </vt:variant>
      <vt:variant>
        <vt:i4>1376</vt:i4>
      </vt:variant>
      <vt:variant>
        <vt:i4>0</vt:i4>
      </vt:variant>
      <vt:variant>
        <vt:i4>5</vt:i4>
      </vt:variant>
      <vt:variant>
        <vt:lpwstr/>
      </vt:variant>
      <vt:variant>
        <vt:lpwstr>_Toc413918148</vt:lpwstr>
      </vt:variant>
      <vt:variant>
        <vt:i4>1245239</vt:i4>
      </vt:variant>
      <vt:variant>
        <vt:i4>1370</vt:i4>
      </vt:variant>
      <vt:variant>
        <vt:i4>0</vt:i4>
      </vt:variant>
      <vt:variant>
        <vt:i4>5</vt:i4>
      </vt:variant>
      <vt:variant>
        <vt:lpwstr/>
      </vt:variant>
      <vt:variant>
        <vt:lpwstr>_Toc413918147</vt:lpwstr>
      </vt:variant>
      <vt:variant>
        <vt:i4>1245239</vt:i4>
      </vt:variant>
      <vt:variant>
        <vt:i4>1364</vt:i4>
      </vt:variant>
      <vt:variant>
        <vt:i4>0</vt:i4>
      </vt:variant>
      <vt:variant>
        <vt:i4>5</vt:i4>
      </vt:variant>
      <vt:variant>
        <vt:lpwstr/>
      </vt:variant>
      <vt:variant>
        <vt:lpwstr>_Toc413918146</vt:lpwstr>
      </vt:variant>
      <vt:variant>
        <vt:i4>1245239</vt:i4>
      </vt:variant>
      <vt:variant>
        <vt:i4>1358</vt:i4>
      </vt:variant>
      <vt:variant>
        <vt:i4>0</vt:i4>
      </vt:variant>
      <vt:variant>
        <vt:i4>5</vt:i4>
      </vt:variant>
      <vt:variant>
        <vt:lpwstr/>
      </vt:variant>
      <vt:variant>
        <vt:lpwstr>_Toc413918145</vt:lpwstr>
      </vt:variant>
      <vt:variant>
        <vt:i4>1245239</vt:i4>
      </vt:variant>
      <vt:variant>
        <vt:i4>1352</vt:i4>
      </vt:variant>
      <vt:variant>
        <vt:i4>0</vt:i4>
      </vt:variant>
      <vt:variant>
        <vt:i4>5</vt:i4>
      </vt:variant>
      <vt:variant>
        <vt:lpwstr/>
      </vt:variant>
      <vt:variant>
        <vt:lpwstr>_Toc413918144</vt:lpwstr>
      </vt:variant>
      <vt:variant>
        <vt:i4>1245239</vt:i4>
      </vt:variant>
      <vt:variant>
        <vt:i4>1346</vt:i4>
      </vt:variant>
      <vt:variant>
        <vt:i4>0</vt:i4>
      </vt:variant>
      <vt:variant>
        <vt:i4>5</vt:i4>
      </vt:variant>
      <vt:variant>
        <vt:lpwstr/>
      </vt:variant>
      <vt:variant>
        <vt:lpwstr>_Toc413918143</vt:lpwstr>
      </vt:variant>
      <vt:variant>
        <vt:i4>1245239</vt:i4>
      </vt:variant>
      <vt:variant>
        <vt:i4>1340</vt:i4>
      </vt:variant>
      <vt:variant>
        <vt:i4>0</vt:i4>
      </vt:variant>
      <vt:variant>
        <vt:i4>5</vt:i4>
      </vt:variant>
      <vt:variant>
        <vt:lpwstr/>
      </vt:variant>
      <vt:variant>
        <vt:lpwstr>_Toc413918142</vt:lpwstr>
      </vt:variant>
      <vt:variant>
        <vt:i4>1245239</vt:i4>
      </vt:variant>
      <vt:variant>
        <vt:i4>1334</vt:i4>
      </vt:variant>
      <vt:variant>
        <vt:i4>0</vt:i4>
      </vt:variant>
      <vt:variant>
        <vt:i4>5</vt:i4>
      </vt:variant>
      <vt:variant>
        <vt:lpwstr/>
      </vt:variant>
      <vt:variant>
        <vt:lpwstr>_Toc413918141</vt:lpwstr>
      </vt:variant>
      <vt:variant>
        <vt:i4>1245239</vt:i4>
      </vt:variant>
      <vt:variant>
        <vt:i4>1328</vt:i4>
      </vt:variant>
      <vt:variant>
        <vt:i4>0</vt:i4>
      </vt:variant>
      <vt:variant>
        <vt:i4>5</vt:i4>
      </vt:variant>
      <vt:variant>
        <vt:lpwstr/>
      </vt:variant>
      <vt:variant>
        <vt:lpwstr>_Toc413918140</vt:lpwstr>
      </vt:variant>
      <vt:variant>
        <vt:i4>1310775</vt:i4>
      </vt:variant>
      <vt:variant>
        <vt:i4>1322</vt:i4>
      </vt:variant>
      <vt:variant>
        <vt:i4>0</vt:i4>
      </vt:variant>
      <vt:variant>
        <vt:i4>5</vt:i4>
      </vt:variant>
      <vt:variant>
        <vt:lpwstr/>
      </vt:variant>
      <vt:variant>
        <vt:lpwstr>_Toc413918139</vt:lpwstr>
      </vt:variant>
      <vt:variant>
        <vt:i4>1310775</vt:i4>
      </vt:variant>
      <vt:variant>
        <vt:i4>1316</vt:i4>
      </vt:variant>
      <vt:variant>
        <vt:i4>0</vt:i4>
      </vt:variant>
      <vt:variant>
        <vt:i4>5</vt:i4>
      </vt:variant>
      <vt:variant>
        <vt:lpwstr/>
      </vt:variant>
      <vt:variant>
        <vt:lpwstr>_Toc413918138</vt:lpwstr>
      </vt:variant>
      <vt:variant>
        <vt:i4>1310775</vt:i4>
      </vt:variant>
      <vt:variant>
        <vt:i4>1310</vt:i4>
      </vt:variant>
      <vt:variant>
        <vt:i4>0</vt:i4>
      </vt:variant>
      <vt:variant>
        <vt:i4>5</vt:i4>
      </vt:variant>
      <vt:variant>
        <vt:lpwstr/>
      </vt:variant>
      <vt:variant>
        <vt:lpwstr>_Toc413918137</vt:lpwstr>
      </vt:variant>
      <vt:variant>
        <vt:i4>1310775</vt:i4>
      </vt:variant>
      <vt:variant>
        <vt:i4>1304</vt:i4>
      </vt:variant>
      <vt:variant>
        <vt:i4>0</vt:i4>
      </vt:variant>
      <vt:variant>
        <vt:i4>5</vt:i4>
      </vt:variant>
      <vt:variant>
        <vt:lpwstr/>
      </vt:variant>
      <vt:variant>
        <vt:lpwstr>_Toc413918136</vt:lpwstr>
      </vt:variant>
      <vt:variant>
        <vt:i4>1310775</vt:i4>
      </vt:variant>
      <vt:variant>
        <vt:i4>1298</vt:i4>
      </vt:variant>
      <vt:variant>
        <vt:i4>0</vt:i4>
      </vt:variant>
      <vt:variant>
        <vt:i4>5</vt:i4>
      </vt:variant>
      <vt:variant>
        <vt:lpwstr/>
      </vt:variant>
      <vt:variant>
        <vt:lpwstr>_Toc413918135</vt:lpwstr>
      </vt:variant>
      <vt:variant>
        <vt:i4>1310775</vt:i4>
      </vt:variant>
      <vt:variant>
        <vt:i4>1292</vt:i4>
      </vt:variant>
      <vt:variant>
        <vt:i4>0</vt:i4>
      </vt:variant>
      <vt:variant>
        <vt:i4>5</vt:i4>
      </vt:variant>
      <vt:variant>
        <vt:lpwstr/>
      </vt:variant>
      <vt:variant>
        <vt:lpwstr>_Toc413918134</vt:lpwstr>
      </vt:variant>
      <vt:variant>
        <vt:i4>1310775</vt:i4>
      </vt:variant>
      <vt:variant>
        <vt:i4>1286</vt:i4>
      </vt:variant>
      <vt:variant>
        <vt:i4>0</vt:i4>
      </vt:variant>
      <vt:variant>
        <vt:i4>5</vt:i4>
      </vt:variant>
      <vt:variant>
        <vt:lpwstr/>
      </vt:variant>
      <vt:variant>
        <vt:lpwstr>_Toc413918133</vt:lpwstr>
      </vt:variant>
      <vt:variant>
        <vt:i4>1310775</vt:i4>
      </vt:variant>
      <vt:variant>
        <vt:i4>1280</vt:i4>
      </vt:variant>
      <vt:variant>
        <vt:i4>0</vt:i4>
      </vt:variant>
      <vt:variant>
        <vt:i4>5</vt:i4>
      </vt:variant>
      <vt:variant>
        <vt:lpwstr/>
      </vt:variant>
      <vt:variant>
        <vt:lpwstr>_Toc413918132</vt:lpwstr>
      </vt:variant>
      <vt:variant>
        <vt:i4>1310775</vt:i4>
      </vt:variant>
      <vt:variant>
        <vt:i4>1274</vt:i4>
      </vt:variant>
      <vt:variant>
        <vt:i4>0</vt:i4>
      </vt:variant>
      <vt:variant>
        <vt:i4>5</vt:i4>
      </vt:variant>
      <vt:variant>
        <vt:lpwstr/>
      </vt:variant>
      <vt:variant>
        <vt:lpwstr>_Toc413918131</vt:lpwstr>
      </vt:variant>
      <vt:variant>
        <vt:i4>1310775</vt:i4>
      </vt:variant>
      <vt:variant>
        <vt:i4>1268</vt:i4>
      </vt:variant>
      <vt:variant>
        <vt:i4>0</vt:i4>
      </vt:variant>
      <vt:variant>
        <vt:i4>5</vt:i4>
      </vt:variant>
      <vt:variant>
        <vt:lpwstr/>
      </vt:variant>
      <vt:variant>
        <vt:lpwstr>_Toc413918130</vt:lpwstr>
      </vt:variant>
      <vt:variant>
        <vt:i4>1376311</vt:i4>
      </vt:variant>
      <vt:variant>
        <vt:i4>1262</vt:i4>
      </vt:variant>
      <vt:variant>
        <vt:i4>0</vt:i4>
      </vt:variant>
      <vt:variant>
        <vt:i4>5</vt:i4>
      </vt:variant>
      <vt:variant>
        <vt:lpwstr/>
      </vt:variant>
      <vt:variant>
        <vt:lpwstr>_Toc413918129</vt:lpwstr>
      </vt:variant>
      <vt:variant>
        <vt:i4>1376311</vt:i4>
      </vt:variant>
      <vt:variant>
        <vt:i4>1256</vt:i4>
      </vt:variant>
      <vt:variant>
        <vt:i4>0</vt:i4>
      </vt:variant>
      <vt:variant>
        <vt:i4>5</vt:i4>
      </vt:variant>
      <vt:variant>
        <vt:lpwstr/>
      </vt:variant>
      <vt:variant>
        <vt:lpwstr>_Toc413918128</vt:lpwstr>
      </vt:variant>
      <vt:variant>
        <vt:i4>1376311</vt:i4>
      </vt:variant>
      <vt:variant>
        <vt:i4>1250</vt:i4>
      </vt:variant>
      <vt:variant>
        <vt:i4>0</vt:i4>
      </vt:variant>
      <vt:variant>
        <vt:i4>5</vt:i4>
      </vt:variant>
      <vt:variant>
        <vt:lpwstr/>
      </vt:variant>
      <vt:variant>
        <vt:lpwstr>_Toc413918127</vt:lpwstr>
      </vt:variant>
      <vt:variant>
        <vt:i4>1376311</vt:i4>
      </vt:variant>
      <vt:variant>
        <vt:i4>1244</vt:i4>
      </vt:variant>
      <vt:variant>
        <vt:i4>0</vt:i4>
      </vt:variant>
      <vt:variant>
        <vt:i4>5</vt:i4>
      </vt:variant>
      <vt:variant>
        <vt:lpwstr/>
      </vt:variant>
      <vt:variant>
        <vt:lpwstr>_Toc413918126</vt:lpwstr>
      </vt:variant>
      <vt:variant>
        <vt:i4>1376311</vt:i4>
      </vt:variant>
      <vt:variant>
        <vt:i4>1238</vt:i4>
      </vt:variant>
      <vt:variant>
        <vt:i4>0</vt:i4>
      </vt:variant>
      <vt:variant>
        <vt:i4>5</vt:i4>
      </vt:variant>
      <vt:variant>
        <vt:lpwstr/>
      </vt:variant>
      <vt:variant>
        <vt:lpwstr>_Toc413918125</vt:lpwstr>
      </vt:variant>
      <vt:variant>
        <vt:i4>1376311</vt:i4>
      </vt:variant>
      <vt:variant>
        <vt:i4>1232</vt:i4>
      </vt:variant>
      <vt:variant>
        <vt:i4>0</vt:i4>
      </vt:variant>
      <vt:variant>
        <vt:i4>5</vt:i4>
      </vt:variant>
      <vt:variant>
        <vt:lpwstr/>
      </vt:variant>
      <vt:variant>
        <vt:lpwstr>_Toc413918124</vt:lpwstr>
      </vt:variant>
      <vt:variant>
        <vt:i4>1376311</vt:i4>
      </vt:variant>
      <vt:variant>
        <vt:i4>1226</vt:i4>
      </vt:variant>
      <vt:variant>
        <vt:i4>0</vt:i4>
      </vt:variant>
      <vt:variant>
        <vt:i4>5</vt:i4>
      </vt:variant>
      <vt:variant>
        <vt:lpwstr/>
      </vt:variant>
      <vt:variant>
        <vt:lpwstr>_Toc413918123</vt:lpwstr>
      </vt:variant>
      <vt:variant>
        <vt:i4>1376311</vt:i4>
      </vt:variant>
      <vt:variant>
        <vt:i4>1220</vt:i4>
      </vt:variant>
      <vt:variant>
        <vt:i4>0</vt:i4>
      </vt:variant>
      <vt:variant>
        <vt:i4>5</vt:i4>
      </vt:variant>
      <vt:variant>
        <vt:lpwstr/>
      </vt:variant>
      <vt:variant>
        <vt:lpwstr>_Toc413918122</vt:lpwstr>
      </vt:variant>
      <vt:variant>
        <vt:i4>1376311</vt:i4>
      </vt:variant>
      <vt:variant>
        <vt:i4>1214</vt:i4>
      </vt:variant>
      <vt:variant>
        <vt:i4>0</vt:i4>
      </vt:variant>
      <vt:variant>
        <vt:i4>5</vt:i4>
      </vt:variant>
      <vt:variant>
        <vt:lpwstr/>
      </vt:variant>
      <vt:variant>
        <vt:lpwstr>_Toc413918121</vt:lpwstr>
      </vt:variant>
      <vt:variant>
        <vt:i4>1376311</vt:i4>
      </vt:variant>
      <vt:variant>
        <vt:i4>1208</vt:i4>
      </vt:variant>
      <vt:variant>
        <vt:i4>0</vt:i4>
      </vt:variant>
      <vt:variant>
        <vt:i4>5</vt:i4>
      </vt:variant>
      <vt:variant>
        <vt:lpwstr/>
      </vt:variant>
      <vt:variant>
        <vt:lpwstr>_Toc413918120</vt:lpwstr>
      </vt:variant>
      <vt:variant>
        <vt:i4>1441847</vt:i4>
      </vt:variant>
      <vt:variant>
        <vt:i4>1202</vt:i4>
      </vt:variant>
      <vt:variant>
        <vt:i4>0</vt:i4>
      </vt:variant>
      <vt:variant>
        <vt:i4>5</vt:i4>
      </vt:variant>
      <vt:variant>
        <vt:lpwstr/>
      </vt:variant>
      <vt:variant>
        <vt:lpwstr>_Toc413918119</vt:lpwstr>
      </vt:variant>
      <vt:variant>
        <vt:i4>1441847</vt:i4>
      </vt:variant>
      <vt:variant>
        <vt:i4>1196</vt:i4>
      </vt:variant>
      <vt:variant>
        <vt:i4>0</vt:i4>
      </vt:variant>
      <vt:variant>
        <vt:i4>5</vt:i4>
      </vt:variant>
      <vt:variant>
        <vt:lpwstr/>
      </vt:variant>
      <vt:variant>
        <vt:lpwstr>_Toc413918118</vt:lpwstr>
      </vt:variant>
      <vt:variant>
        <vt:i4>1441847</vt:i4>
      </vt:variant>
      <vt:variant>
        <vt:i4>1190</vt:i4>
      </vt:variant>
      <vt:variant>
        <vt:i4>0</vt:i4>
      </vt:variant>
      <vt:variant>
        <vt:i4>5</vt:i4>
      </vt:variant>
      <vt:variant>
        <vt:lpwstr/>
      </vt:variant>
      <vt:variant>
        <vt:lpwstr>_Toc413918117</vt:lpwstr>
      </vt:variant>
      <vt:variant>
        <vt:i4>1441847</vt:i4>
      </vt:variant>
      <vt:variant>
        <vt:i4>1184</vt:i4>
      </vt:variant>
      <vt:variant>
        <vt:i4>0</vt:i4>
      </vt:variant>
      <vt:variant>
        <vt:i4>5</vt:i4>
      </vt:variant>
      <vt:variant>
        <vt:lpwstr/>
      </vt:variant>
      <vt:variant>
        <vt:lpwstr>_Toc413918116</vt:lpwstr>
      </vt:variant>
      <vt:variant>
        <vt:i4>1441847</vt:i4>
      </vt:variant>
      <vt:variant>
        <vt:i4>1178</vt:i4>
      </vt:variant>
      <vt:variant>
        <vt:i4>0</vt:i4>
      </vt:variant>
      <vt:variant>
        <vt:i4>5</vt:i4>
      </vt:variant>
      <vt:variant>
        <vt:lpwstr/>
      </vt:variant>
      <vt:variant>
        <vt:lpwstr>_Toc413918115</vt:lpwstr>
      </vt:variant>
      <vt:variant>
        <vt:i4>1441847</vt:i4>
      </vt:variant>
      <vt:variant>
        <vt:i4>1172</vt:i4>
      </vt:variant>
      <vt:variant>
        <vt:i4>0</vt:i4>
      </vt:variant>
      <vt:variant>
        <vt:i4>5</vt:i4>
      </vt:variant>
      <vt:variant>
        <vt:lpwstr/>
      </vt:variant>
      <vt:variant>
        <vt:lpwstr>_Toc413918114</vt:lpwstr>
      </vt:variant>
      <vt:variant>
        <vt:i4>1441847</vt:i4>
      </vt:variant>
      <vt:variant>
        <vt:i4>1166</vt:i4>
      </vt:variant>
      <vt:variant>
        <vt:i4>0</vt:i4>
      </vt:variant>
      <vt:variant>
        <vt:i4>5</vt:i4>
      </vt:variant>
      <vt:variant>
        <vt:lpwstr/>
      </vt:variant>
      <vt:variant>
        <vt:lpwstr>_Toc413918113</vt:lpwstr>
      </vt:variant>
      <vt:variant>
        <vt:i4>1441847</vt:i4>
      </vt:variant>
      <vt:variant>
        <vt:i4>1160</vt:i4>
      </vt:variant>
      <vt:variant>
        <vt:i4>0</vt:i4>
      </vt:variant>
      <vt:variant>
        <vt:i4>5</vt:i4>
      </vt:variant>
      <vt:variant>
        <vt:lpwstr/>
      </vt:variant>
      <vt:variant>
        <vt:lpwstr>_Toc413918112</vt:lpwstr>
      </vt:variant>
      <vt:variant>
        <vt:i4>1441847</vt:i4>
      </vt:variant>
      <vt:variant>
        <vt:i4>1154</vt:i4>
      </vt:variant>
      <vt:variant>
        <vt:i4>0</vt:i4>
      </vt:variant>
      <vt:variant>
        <vt:i4>5</vt:i4>
      </vt:variant>
      <vt:variant>
        <vt:lpwstr/>
      </vt:variant>
      <vt:variant>
        <vt:lpwstr>_Toc413918111</vt:lpwstr>
      </vt:variant>
      <vt:variant>
        <vt:i4>1441847</vt:i4>
      </vt:variant>
      <vt:variant>
        <vt:i4>1148</vt:i4>
      </vt:variant>
      <vt:variant>
        <vt:i4>0</vt:i4>
      </vt:variant>
      <vt:variant>
        <vt:i4>5</vt:i4>
      </vt:variant>
      <vt:variant>
        <vt:lpwstr/>
      </vt:variant>
      <vt:variant>
        <vt:lpwstr>_Toc413918110</vt:lpwstr>
      </vt:variant>
      <vt:variant>
        <vt:i4>1507383</vt:i4>
      </vt:variant>
      <vt:variant>
        <vt:i4>1142</vt:i4>
      </vt:variant>
      <vt:variant>
        <vt:i4>0</vt:i4>
      </vt:variant>
      <vt:variant>
        <vt:i4>5</vt:i4>
      </vt:variant>
      <vt:variant>
        <vt:lpwstr/>
      </vt:variant>
      <vt:variant>
        <vt:lpwstr>_Toc413918109</vt:lpwstr>
      </vt:variant>
      <vt:variant>
        <vt:i4>1507383</vt:i4>
      </vt:variant>
      <vt:variant>
        <vt:i4>1136</vt:i4>
      </vt:variant>
      <vt:variant>
        <vt:i4>0</vt:i4>
      </vt:variant>
      <vt:variant>
        <vt:i4>5</vt:i4>
      </vt:variant>
      <vt:variant>
        <vt:lpwstr/>
      </vt:variant>
      <vt:variant>
        <vt:lpwstr>_Toc413918108</vt:lpwstr>
      </vt:variant>
      <vt:variant>
        <vt:i4>1507383</vt:i4>
      </vt:variant>
      <vt:variant>
        <vt:i4>1130</vt:i4>
      </vt:variant>
      <vt:variant>
        <vt:i4>0</vt:i4>
      </vt:variant>
      <vt:variant>
        <vt:i4>5</vt:i4>
      </vt:variant>
      <vt:variant>
        <vt:lpwstr/>
      </vt:variant>
      <vt:variant>
        <vt:lpwstr>_Toc413918107</vt:lpwstr>
      </vt:variant>
      <vt:variant>
        <vt:i4>1507383</vt:i4>
      </vt:variant>
      <vt:variant>
        <vt:i4>1124</vt:i4>
      </vt:variant>
      <vt:variant>
        <vt:i4>0</vt:i4>
      </vt:variant>
      <vt:variant>
        <vt:i4>5</vt:i4>
      </vt:variant>
      <vt:variant>
        <vt:lpwstr/>
      </vt:variant>
      <vt:variant>
        <vt:lpwstr>_Toc413918106</vt:lpwstr>
      </vt:variant>
      <vt:variant>
        <vt:i4>1507383</vt:i4>
      </vt:variant>
      <vt:variant>
        <vt:i4>1118</vt:i4>
      </vt:variant>
      <vt:variant>
        <vt:i4>0</vt:i4>
      </vt:variant>
      <vt:variant>
        <vt:i4>5</vt:i4>
      </vt:variant>
      <vt:variant>
        <vt:lpwstr/>
      </vt:variant>
      <vt:variant>
        <vt:lpwstr>_Toc413918105</vt:lpwstr>
      </vt:variant>
      <vt:variant>
        <vt:i4>1507383</vt:i4>
      </vt:variant>
      <vt:variant>
        <vt:i4>1112</vt:i4>
      </vt:variant>
      <vt:variant>
        <vt:i4>0</vt:i4>
      </vt:variant>
      <vt:variant>
        <vt:i4>5</vt:i4>
      </vt:variant>
      <vt:variant>
        <vt:lpwstr/>
      </vt:variant>
      <vt:variant>
        <vt:lpwstr>_Toc413918104</vt:lpwstr>
      </vt:variant>
      <vt:variant>
        <vt:i4>1507383</vt:i4>
      </vt:variant>
      <vt:variant>
        <vt:i4>1106</vt:i4>
      </vt:variant>
      <vt:variant>
        <vt:i4>0</vt:i4>
      </vt:variant>
      <vt:variant>
        <vt:i4>5</vt:i4>
      </vt:variant>
      <vt:variant>
        <vt:lpwstr/>
      </vt:variant>
      <vt:variant>
        <vt:lpwstr>_Toc413918103</vt:lpwstr>
      </vt:variant>
      <vt:variant>
        <vt:i4>1507383</vt:i4>
      </vt:variant>
      <vt:variant>
        <vt:i4>1100</vt:i4>
      </vt:variant>
      <vt:variant>
        <vt:i4>0</vt:i4>
      </vt:variant>
      <vt:variant>
        <vt:i4>5</vt:i4>
      </vt:variant>
      <vt:variant>
        <vt:lpwstr/>
      </vt:variant>
      <vt:variant>
        <vt:lpwstr>_Toc413918102</vt:lpwstr>
      </vt:variant>
      <vt:variant>
        <vt:i4>1507383</vt:i4>
      </vt:variant>
      <vt:variant>
        <vt:i4>1094</vt:i4>
      </vt:variant>
      <vt:variant>
        <vt:i4>0</vt:i4>
      </vt:variant>
      <vt:variant>
        <vt:i4>5</vt:i4>
      </vt:variant>
      <vt:variant>
        <vt:lpwstr/>
      </vt:variant>
      <vt:variant>
        <vt:lpwstr>_Toc413918101</vt:lpwstr>
      </vt:variant>
      <vt:variant>
        <vt:i4>1507383</vt:i4>
      </vt:variant>
      <vt:variant>
        <vt:i4>1088</vt:i4>
      </vt:variant>
      <vt:variant>
        <vt:i4>0</vt:i4>
      </vt:variant>
      <vt:variant>
        <vt:i4>5</vt:i4>
      </vt:variant>
      <vt:variant>
        <vt:lpwstr/>
      </vt:variant>
      <vt:variant>
        <vt:lpwstr>_Toc413918100</vt:lpwstr>
      </vt:variant>
      <vt:variant>
        <vt:i4>1966134</vt:i4>
      </vt:variant>
      <vt:variant>
        <vt:i4>1082</vt:i4>
      </vt:variant>
      <vt:variant>
        <vt:i4>0</vt:i4>
      </vt:variant>
      <vt:variant>
        <vt:i4>5</vt:i4>
      </vt:variant>
      <vt:variant>
        <vt:lpwstr/>
      </vt:variant>
      <vt:variant>
        <vt:lpwstr>_Toc413918099</vt:lpwstr>
      </vt:variant>
      <vt:variant>
        <vt:i4>1966134</vt:i4>
      </vt:variant>
      <vt:variant>
        <vt:i4>1076</vt:i4>
      </vt:variant>
      <vt:variant>
        <vt:i4>0</vt:i4>
      </vt:variant>
      <vt:variant>
        <vt:i4>5</vt:i4>
      </vt:variant>
      <vt:variant>
        <vt:lpwstr/>
      </vt:variant>
      <vt:variant>
        <vt:lpwstr>_Toc413918098</vt:lpwstr>
      </vt:variant>
      <vt:variant>
        <vt:i4>1966134</vt:i4>
      </vt:variant>
      <vt:variant>
        <vt:i4>1070</vt:i4>
      </vt:variant>
      <vt:variant>
        <vt:i4>0</vt:i4>
      </vt:variant>
      <vt:variant>
        <vt:i4>5</vt:i4>
      </vt:variant>
      <vt:variant>
        <vt:lpwstr/>
      </vt:variant>
      <vt:variant>
        <vt:lpwstr>_Toc413918097</vt:lpwstr>
      </vt:variant>
      <vt:variant>
        <vt:i4>1966134</vt:i4>
      </vt:variant>
      <vt:variant>
        <vt:i4>1064</vt:i4>
      </vt:variant>
      <vt:variant>
        <vt:i4>0</vt:i4>
      </vt:variant>
      <vt:variant>
        <vt:i4>5</vt:i4>
      </vt:variant>
      <vt:variant>
        <vt:lpwstr/>
      </vt:variant>
      <vt:variant>
        <vt:lpwstr>_Toc413918096</vt:lpwstr>
      </vt:variant>
      <vt:variant>
        <vt:i4>1966134</vt:i4>
      </vt:variant>
      <vt:variant>
        <vt:i4>1058</vt:i4>
      </vt:variant>
      <vt:variant>
        <vt:i4>0</vt:i4>
      </vt:variant>
      <vt:variant>
        <vt:i4>5</vt:i4>
      </vt:variant>
      <vt:variant>
        <vt:lpwstr/>
      </vt:variant>
      <vt:variant>
        <vt:lpwstr>_Toc413918095</vt:lpwstr>
      </vt:variant>
      <vt:variant>
        <vt:i4>1966134</vt:i4>
      </vt:variant>
      <vt:variant>
        <vt:i4>1052</vt:i4>
      </vt:variant>
      <vt:variant>
        <vt:i4>0</vt:i4>
      </vt:variant>
      <vt:variant>
        <vt:i4>5</vt:i4>
      </vt:variant>
      <vt:variant>
        <vt:lpwstr/>
      </vt:variant>
      <vt:variant>
        <vt:lpwstr>_Toc413918094</vt:lpwstr>
      </vt:variant>
      <vt:variant>
        <vt:i4>1966134</vt:i4>
      </vt:variant>
      <vt:variant>
        <vt:i4>1046</vt:i4>
      </vt:variant>
      <vt:variant>
        <vt:i4>0</vt:i4>
      </vt:variant>
      <vt:variant>
        <vt:i4>5</vt:i4>
      </vt:variant>
      <vt:variant>
        <vt:lpwstr/>
      </vt:variant>
      <vt:variant>
        <vt:lpwstr>_Toc413918093</vt:lpwstr>
      </vt:variant>
      <vt:variant>
        <vt:i4>1966134</vt:i4>
      </vt:variant>
      <vt:variant>
        <vt:i4>1040</vt:i4>
      </vt:variant>
      <vt:variant>
        <vt:i4>0</vt:i4>
      </vt:variant>
      <vt:variant>
        <vt:i4>5</vt:i4>
      </vt:variant>
      <vt:variant>
        <vt:lpwstr/>
      </vt:variant>
      <vt:variant>
        <vt:lpwstr>_Toc413918092</vt:lpwstr>
      </vt:variant>
      <vt:variant>
        <vt:i4>1966134</vt:i4>
      </vt:variant>
      <vt:variant>
        <vt:i4>1034</vt:i4>
      </vt:variant>
      <vt:variant>
        <vt:i4>0</vt:i4>
      </vt:variant>
      <vt:variant>
        <vt:i4>5</vt:i4>
      </vt:variant>
      <vt:variant>
        <vt:lpwstr/>
      </vt:variant>
      <vt:variant>
        <vt:lpwstr>_Toc413918091</vt:lpwstr>
      </vt:variant>
      <vt:variant>
        <vt:i4>1966134</vt:i4>
      </vt:variant>
      <vt:variant>
        <vt:i4>1028</vt:i4>
      </vt:variant>
      <vt:variant>
        <vt:i4>0</vt:i4>
      </vt:variant>
      <vt:variant>
        <vt:i4>5</vt:i4>
      </vt:variant>
      <vt:variant>
        <vt:lpwstr/>
      </vt:variant>
      <vt:variant>
        <vt:lpwstr>_Toc413918090</vt:lpwstr>
      </vt:variant>
      <vt:variant>
        <vt:i4>2031670</vt:i4>
      </vt:variant>
      <vt:variant>
        <vt:i4>1022</vt:i4>
      </vt:variant>
      <vt:variant>
        <vt:i4>0</vt:i4>
      </vt:variant>
      <vt:variant>
        <vt:i4>5</vt:i4>
      </vt:variant>
      <vt:variant>
        <vt:lpwstr/>
      </vt:variant>
      <vt:variant>
        <vt:lpwstr>_Toc413918089</vt:lpwstr>
      </vt:variant>
      <vt:variant>
        <vt:i4>2031670</vt:i4>
      </vt:variant>
      <vt:variant>
        <vt:i4>1016</vt:i4>
      </vt:variant>
      <vt:variant>
        <vt:i4>0</vt:i4>
      </vt:variant>
      <vt:variant>
        <vt:i4>5</vt:i4>
      </vt:variant>
      <vt:variant>
        <vt:lpwstr/>
      </vt:variant>
      <vt:variant>
        <vt:lpwstr>_Toc413918088</vt:lpwstr>
      </vt:variant>
      <vt:variant>
        <vt:i4>2031670</vt:i4>
      </vt:variant>
      <vt:variant>
        <vt:i4>1010</vt:i4>
      </vt:variant>
      <vt:variant>
        <vt:i4>0</vt:i4>
      </vt:variant>
      <vt:variant>
        <vt:i4>5</vt:i4>
      </vt:variant>
      <vt:variant>
        <vt:lpwstr/>
      </vt:variant>
      <vt:variant>
        <vt:lpwstr>_Toc413918087</vt:lpwstr>
      </vt:variant>
      <vt:variant>
        <vt:i4>2031670</vt:i4>
      </vt:variant>
      <vt:variant>
        <vt:i4>1004</vt:i4>
      </vt:variant>
      <vt:variant>
        <vt:i4>0</vt:i4>
      </vt:variant>
      <vt:variant>
        <vt:i4>5</vt:i4>
      </vt:variant>
      <vt:variant>
        <vt:lpwstr/>
      </vt:variant>
      <vt:variant>
        <vt:lpwstr>_Toc413918086</vt:lpwstr>
      </vt:variant>
      <vt:variant>
        <vt:i4>2031670</vt:i4>
      </vt:variant>
      <vt:variant>
        <vt:i4>998</vt:i4>
      </vt:variant>
      <vt:variant>
        <vt:i4>0</vt:i4>
      </vt:variant>
      <vt:variant>
        <vt:i4>5</vt:i4>
      </vt:variant>
      <vt:variant>
        <vt:lpwstr/>
      </vt:variant>
      <vt:variant>
        <vt:lpwstr>_Toc413918085</vt:lpwstr>
      </vt:variant>
      <vt:variant>
        <vt:i4>2031670</vt:i4>
      </vt:variant>
      <vt:variant>
        <vt:i4>992</vt:i4>
      </vt:variant>
      <vt:variant>
        <vt:i4>0</vt:i4>
      </vt:variant>
      <vt:variant>
        <vt:i4>5</vt:i4>
      </vt:variant>
      <vt:variant>
        <vt:lpwstr/>
      </vt:variant>
      <vt:variant>
        <vt:lpwstr>_Toc413918084</vt:lpwstr>
      </vt:variant>
      <vt:variant>
        <vt:i4>2031670</vt:i4>
      </vt:variant>
      <vt:variant>
        <vt:i4>986</vt:i4>
      </vt:variant>
      <vt:variant>
        <vt:i4>0</vt:i4>
      </vt:variant>
      <vt:variant>
        <vt:i4>5</vt:i4>
      </vt:variant>
      <vt:variant>
        <vt:lpwstr/>
      </vt:variant>
      <vt:variant>
        <vt:lpwstr>_Toc413918083</vt:lpwstr>
      </vt:variant>
      <vt:variant>
        <vt:i4>2031670</vt:i4>
      </vt:variant>
      <vt:variant>
        <vt:i4>980</vt:i4>
      </vt:variant>
      <vt:variant>
        <vt:i4>0</vt:i4>
      </vt:variant>
      <vt:variant>
        <vt:i4>5</vt:i4>
      </vt:variant>
      <vt:variant>
        <vt:lpwstr/>
      </vt:variant>
      <vt:variant>
        <vt:lpwstr>_Toc413918082</vt:lpwstr>
      </vt:variant>
      <vt:variant>
        <vt:i4>2031670</vt:i4>
      </vt:variant>
      <vt:variant>
        <vt:i4>974</vt:i4>
      </vt:variant>
      <vt:variant>
        <vt:i4>0</vt:i4>
      </vt:variant>
      <vt:variant>
        <vt:i4>5</vt:i4>
      </vt:variant>
      <vt:variant>
        <vt:lpwstr/>
      </vt:variant>
      <vt:variant>
        <vt:lpwstr>_Toc413918081</vt:lpwstr>
      </vt:variant>
      <vt:variant>
        <vt:i4>2031670</vt:i4>
      </vt:variant>
      <vt:variant>
        <vt:i4>968</vt:i4>
      </vt:variant>
      <vt:variant>
        <vt:i4>0</vt:i4>
      </vt:variant>
      <vt:variant>
        <vt:i4>5</vt:i4>
      </vt:variant>
      <vt:variant>
        <vt:lpwstr/>
      </vt:variant>
      <vt:variant>
        <vt:lpwstr>_Toc413918080</vt:lpwstr>
      </vt:variant>
      <vt:variant>
        <vt:i4>1048630</vt:i4>
      </vt:variant>
      <vt:variant>
        <vt:i4>962</vt:i4>
      </vt:variant>
      <vt:variant>
        <vt:i4>0</vt:i4>
      </vt:variant>
      <vt:variant>
        <vt:i4>5</vt:i4>
      </vt:variant>
      <vt:variant>
        <vt:lpwstr/>
      </vt:variant>
      <vt:variant>
        <vt:lpwstr>_Toc413918079</vt:lpwstr>
      </vt:variant>
      <vt:variant>
        <vt:i4>1048630</vt:i4>
      </vt:variant>
      <vt:variant>
        <vt:i4>956</vt:i4>
      </vt:variant>
      <vt:variant>
        <vt:i4>0</vt:i4>
      </vt:variant>
      <vt:variant>
        <vt:i4>5</vt:i4>
      </vt:variant>
      <vt:variant>
        <vt:lpwstr/>
      </vt:variant>
      <vt:variant>
        <vt:lpwstr>_Toc413918078</vt:lpwstr>
      </vt:variant>
      <vt:variant>
        <vt:i4>1048630</vt:i4>
      </vt:variant>
      <vt:variant>
        <vt:i4>950</vt:i4>
      </vt:variant>
      <vt:variant>
        <vt:i4>0</vt:i4>
      </vt:variant>
      <vt:variant>
        <vt:i4>5</vt:i4>
      </vt:variant>
      <vt:variant>
        <vt:lpwstr/>
      </vt:variant>
      <vt:variant>
        <vt:lpwstr>_Toc413918077</vt:lpwstr>
      </vt:variant>
      <vt:variant>
        <vt:i4>1048630</vt:i4>
      </vt:variant>
      <vt:variant>
        <vt:i4>944</vt:i4>
      </vt:variant>
      <vt:variant>
        <vt:i4>0</vt:i4>
      </vt:variant>
      <vt:variant>
        <vt:i4>5</vt:i4>
      </vt:variant>
      <vt:variant>
        <vt:lpwstr/>
      </vt:variant>
      <vt:variant>
        <vt:lpwstr>_Toc413918076</vt:lpwstr>
      </vt:variant>
      <vt:variant>
        <vt:i4>1048630</vt:i4>
      </vt:variant>
      <vt:variant>
        <vt:i4>938</vt:i4>
      </vt:variant>
      <vt:variant>
        <vt:i4>0</vt:i4>
      </vt:variant>
      <vt:variant>
        <vt:i4>5</vt:i4>
      </vt:variant>
      <vt:variant>
        <vt:lpwstr/>
      </vt:variant>
      <vt:variant>
        <vt:lpwstr>_Toc413918075</vt:lpwstr>
      </vt:variant>
      <vt:variant>
        <vt:i4>1048630</vt:i4>
      </vt:variant>
      <vt:variant>
        <vt:i4>932</vt:i4>
      </vt:variant>
      <vt:variant>
        <vt:i4>0</vt:i4>
      </vt:variant>
      <vt:variant>
        <vt:i4>5</vt:i4>
      </vt:variant>
      <vt:variant>
        <vt:lpwstr/>
      </vt:variant>
      <vt:variant>
        <vt:lpwstr>_Toc413918074</vt:lpwstr>
      </vt:variant>
      <vt:variant>
        <vt:i4>1048630</vt:i4>
      </vt:variant>
      <vt:variant>
        <vt:i4>926</vt:i4>
      </vt:variant>
      <vt:variant>
        <vt:i4>0</vt:i4>
      </vt:variant>
      <vt:variant>
        <vt:i4>5</vt:i4>
      </vt:variant>
      <vt:variant>
        <vt:lpwstr/>
      </vt:variant>
      <vt:variant>
        <vt:lpwstr>_Toc413918073</vt:lpwstr>
      </vt:variant>
      <vt:variant>
        <vt:i4>1048630</vt:i4>
      </vt:variant>
      <vt:variant>
        <vt:i4>920</vt:i4>
      </vt:variant>
      <vt:variant>
        <vt:i4>0</vt:i4>
      </vt:variant>
      <vt:variant>
        <vt:i4>5</vt:i4>
      </vt:variant>
      <vt:variant>
        <vt:lpwstr/>
      </vt:variant>
      <vt:variant>
        <vt:lpwstr>_Toc413918072</vt:lpwstr>
      </vt:variant>
      <vt:variant>
        <vt:i4>1048630</vt:i4>
      </vt:variant>
      <vt:variant>
        <vt:i4>914</vt:i4>
      </vt:variant>
      <vt:variant>
        <vt:i4>0</vt:i4>
      </vt:variant>
      <vt:variant>
        <vt:i4>5</vt:i4>
      </vt:variant>
      <vt:variant>
        <vt:lpwstr/>
      </vt:variant>
      <vt:variant>
        <vt:lpwstr>_Toc413918071</vt:lpwstr>
      </vt:variant>
      <vt:variant>
        <vt:i4>1048630</vt:i4>
      </vt:variant>
      <vt:variant>
        <vt:i4>908</vt:i4>
      </vt:variant>
      <vt:variant>
        <vt:i4>0</vt:i4>
      </vt:variant>
      <vt:variant>
        <vt:i4>5</vt:i4>
      </vt:variant>
      <vt:variant>
        <vt:lpwstr/>
      </vt:variant>
      <vt:variant>
        <vt:lpwstr>_Toc413918070</vt:lpwstr>
      </vt:variant>
      <vt:variant>
        <vt:i4>1114166</vt:i4>
      </vt:variant>
      <vt:variant>
        <vt:i4>902</vt:i4>
      </vt:variant>
      <vt:variant>
        <vt:i4>0</vt:i4>
      </vt:variant>
      <vt:variant>
        <vt:i4>5</vt:i4>
      </vt:variant>
      <vt:variant>
        <vt:lpwstr/>
      </vt:variant>
      <vt:variant>
        <vt:lpwstr>_Toc413918069</vt:lpwstr>
      </vt:variant>
      <vt:variant>
        <vt:i4>1114166</vt:i4>
      </vt:variant>
      <vt:variant>
        <vt:i4>896</vt:i4>
      </vt:variant>
      <vt:variant>
        <vt:i4>0</vt:i4>
      </vt:variant>
      <vt:variant>
        <vt:i4>5</vt:i4>
      </vt:variant>
      <vt:variant>
        <vt:lpwstr/>
      </vt:variant>
      <vt:variant>
        <vt:lpwstr>_Toc413918068</vt:lpwstr>
      </vt:variant>
      <vt:variant>
        <vt:i4>1114166</vt:i4>
      </vt:variant>
      <vt:variant>
        <vt:i4>890</vt:i4>
      </vt:variant>
      <vt:variant>
        <vt:i4>0</vt:i4>
      </vt:variant>
      <vt:variant>
        <vt:i4>5</vt:i4>
      </vt:variant>
      <vt:variant>
        <vt:lpwstr/>
      </vt:variant>
      <vt:variant>
        <vt:lpwstr>_Toc413918067</vt:lpwstr>
      </vt:variant>
      <vt:variant>
        <vt:i4>1114166</vt:i4>
      </vt:variant>
      <vt:variant>
        <vt:i4>884</vt:i4>
      </vt:variant>
      <vt:variant>
        <vt:i4>0</vt:i4>
      </vt:variant>
      <vt:variant>
        <vt:i4>5</vt:i4>
      </vt:variant>
      <vt:variant>
        <vt:lpwstr/>
      </vt:variant>
      <vt:variant>
        <vt:lpwstr>_Toc413918066</vt:lpwstr>
      </vt:variant>
      <vt:variant>
        <vt:i4>1114166</vt:i4>
      </vt:variant>
      <vt:variant>
        <vt:i4>878</vt:i4>
      </vt:variant>
      <vt:variant>
        <vt:i4>0</vt:i4>
      </vt:variant>
      <vt:variant>
        <vt:i4>5</vt:i4>
      </vt:variant>
      <vt:variant>
        <vt:lpwstr/>
      </vt:variant>
      <vt:variant>
        <vt:lpwstr>_Toc413918065</vt:lpwstr>
      </vt:variant>
      <vt:variant>
        <vt:i4>1114166</vt:i4>
      </vt:variant>
      <vt:variant>
        <vt:i4>872</vt:i4>
      </vt:variant>
      <vt:variant>
        <vt:i4>0</vt:i4>
      </vt:variant>
      <vt:variant>
        <vt:i4>5</vt:i4>
      </vt:variant>
      <vt:variant>
        <vt:lpwstr/>
      </vt:variant>
      <vt:variant>
        <vt:lpwstr>_Toc413918064</vt:lpwstr>
      </vt:variant>
      <vt:variant>
        <vt:i4>1114166</vt:i4>
      </vt:variant>
      <vt:variant>
        <vt:i4>866</vt:i4>
      </vt:variant>
      <vt:variant>
        <vt:i4>0</vt:i4>
      </vt:variant>
      <vt:variant>
        <vt:i4>5</vt:i4>
      </vt:variant>
      <vt:variant>
        <vt:lpwstr/>
      </vt:variant>
      <vt:variant>
        <vt:lpwstr>_Toc413918063</vt:lpwstr>
      </vt:variant>
      <vt:variant>
        <vt:i4>1114166</vt:i4>
      </vt:variant>
      <vt:variant>
        <vt:i4>860</vt:i4>
      </vt:variant>
      <vt:variant>
        <vt:i4>0</vt:i4>
      </vt:variant>
      <vt:variant>
        <vt:i4>5</vt:i4>
      </vt:variant>
      <vt:variant>
        <vt:lpwstr/>
      </vt:variant>
      <vt:variant>
        <vt:lpwstr>_Toc413918062</vt:lpwstr>
      </vt:variant>
      <vt:variant>
        <vt:i4>1114166</vt:i4>
      </vt:variant>
      <vt:variant>
        <vt:i4>854</vt:i4>
      </vt:variant>
      <vt:variant>
        <vt:i4>0</vt:i4>
      </vt:variant>
      <vt:variant>
        <vt:i4>5</vt:i4>
      </vt:variant>
      <vt:variant>
        <vt:lpwstr/>
      </vt:variant>
      <vt:variant>
        <vt:lpwstr>_Toc413918061</vt:lpwstr>
      </vt:variant>
      <vt:variant>
        <vt:i4>1114166</vt:i4>
      </vt:variant>
      <vt:variant>
        <vt:i4>848</vt:i4>
      </vt:variant>
      <vt:variant>
        <vt:i4>0</vt:i4>
      </vt:variant>
      <vt:variant>
        <vt:i4>5</vt:i4>
      </vt:variant>
      <vt:variant>
        <vt:lpwstr/>
      </vt:variant>
      <vt:variant>
        <vt:lpwstr>_Toc413918060</vt:lpwstr>
      </vt:variant>
      <vt:variant>
        <vt:i4>1179702</vt:i4>
      </vt:variant>
      <vt:variant>
        <vt:i4>842</vt:i4>
      </vt:variant>
      <vt:variant>
        <vt:i4>0</vt:i4>
      </vt:variant>
      <vt:variant>
        <vt:i4>5</vt:i4>
      </vt:variant>
      <vt:variant>
        <vt:lpwstr/>
      </vt:variant>
      <vt:variant>
        <vt:lpwstr>_Toc413918059</vt:lpwstr>
      </vt:variant>
      <vt:variant>
        <vt:i4>1179702</vt:i4>
      </vt:variant>
      <vt:variant>
        <vt:i4>836</vt:i4>
      </vt:variant>
      <vt:variant>
        <vt:i4>0</vt:i4>
      </vt:variant>
      <vt:variant>
        <vt:i4>5</vt:i4>
      </vt:variant>
      <vt:variant>
        <vt:lpwstr/>
      </vt:variant>
      <vt:variant>
        <vt:lpwstr>_Toc413918058</vt:lpwstr>
      </vt:variant>
      <vt:variant>
        <vt:i4>1179702</vt:i4>
      </vt:variant>
      <vt:variant>
        <vt:i4>830</vt:i4>
      </vt:variant>
      <vt:variant>
        <vt:i4>0</vt:i4>
      </vt:variant>
      <vt:variant>
        <vt:i4>5</vt:i4>
      </vt:variant>
      <vt:variant>
        <vt:lpwstr/>
      </vt:variant>
      <vt:variant>
        <vt:lpwstr>_Toc413918057</vt:lpwstr>
      </vt:variant>
      <vt:variant>
        <vt:i4>1179702</vt:i4>
      </vt:variant>
      <vt:variant>
        <vt:i4>824</vt:i4>
      </vt:variant>
      <vt:variant>
        <vt:i4>0</vt:i4>
      </vt:variant>
      <vt:variant>
        <vt:i4>5</vt:i4>
      </vt:variant>
      <vt:variant>
        <vt:lpwstr/>
      </vt:variant>
      <vt:variant>
        <vt:lpwstr>_Toc413918056</vt:lpwstr>
      </vt:variant>
      <vt:variant>
        <vt:i4>1179702</vt:i4>
      </vt:variant>
      <vt:variant>
        <vt:i4>818</vt:i4>
      </vt:variant>
      <vt:variant>
        <vt:i4>0</vt:i4>
      </vt:variant>
      <vt:variant>
        <vt:i4>5</vt:i4>
      </vt:variant>
      <vt:variant>
        <vt:lpwstr/>
      </vt:variant>
      <vt:variant>
        <vt:lpwstr>_Toc413918055</vt:lpwstr>
      </vt:variant>
      <vt:variant>
        <vt:i4>1179702</vt:i4>
      </vt:variant>
      <vt:variant>
        <vt:i4>812</vt:i4>
      </vt:variant>
      <vt:variant>
        <vt:i4>0</vt:i4>
      </vt:variant>
      <vt:variant>
        <vt:i4>5</vt:i4>
      </vt:variant>
      <vt:variant>
        <vt:lpwstr/>
      </vt:variant>
      <vt:variant>
        <vt:lpwstr>_Toc413918054</vt:lpwstr>
      </vt:variant>
      <vt:variant>
        <vt:i4>1179702</vt:i4>
      </vt:variant>
      <vt:variant>
        <vt:i4>806</vt:i4>
      </vt:variant>
      <vt:variant>
        <vt:i4>0</vt:i4>
      </vt:variant>
      <vt:variant>
        <vt:i4>5</vt:i4>
      </vt:variant>
      <vt:variant>
        <vt:lpwstr/>
      </vt:variant>
      <vt:variant>
        <vt:lpwstr>_Toc413918053</vt:lpwstr>
      </vt:variant>
      <vt:variant>
        <vt:i4>1179702</vt:i4>
      </vt:variant>
      <vt:variant>
        <vt:i4>800</vt:i4>
      </vt:variant>
      <vt:variant>
        <vt:i4>0</vt:i4>
      </vt:variant>
      <vt:variant>
        <vt:i4>5</vt:i4>
      </vt:variant>
      <vt:variant>
        <vt:lpwstr/>
      </vt:variant>
      <vt:variant>
        <vt:lpwstr>_Toc413918052</vt:lpwstr>
      </vt:variant>
      <vt:variant>
        <vt:i4>1179702</vt:i4>
      </vt:variant>
      <vt:variant>
        <vt:i4>794</vt:i4>
      </vt:variant>
      <vt:variant>
        <vt:i4>0</vt:i4>
      </vt:variant>
      <vt:variant>
        <vt:i4>5</vt:i4>
      </vt:variant>
      <vt:variant>
        <vt:lpwstr/>
      </vt:variant>
      <vt:variant>
        <vt:lpwstr>_Toc413918051</vt:lpwstr>
      </vt:variant>
      <vt:variant>
        <vt:i4>1179702</vt:i4>
      </vt:variant>
      <vt:variant>
        <vt:i4>788</vt:i4>
      </vt:variant>
      <vt:variant>
        <vt:i4>0</vt:i4>
      </vt:variant>
      <vt:variant>
        <vt:i4>5</vt:i4>
      </vt:variant>
      <vt:variant>
        <vt:lpwstr/>
      </vt:variant>
      <vt:variant>
        <vt:lpwstr>_Toc413918050</vt:lpwstr>
      </vt:variant>
      <vt:variant>
        <vt:i4>1245238</vt:i4>
      </vt:variant>
      <vt:variant>
        <vt:i4>782</vt:i4>
      </vt:variant>
      <vt:variant>
        <vt:i4>0</vt:i4>
      </vt:variant>
      <vt:variant>
        <vt:i4>5</vt:i4>
      </vt:variant>
      <vt:variant>
        <vt:lpwstr/>
      </vt:variant>
      <vt:variant>
        <vt:lpwstr>_Toc413918049</vt:lpwstr>
      </vt:variant>
      <vt:variant>
        <vt:i4>1245238</vt:i4>
      </vt:variant>
      <vt:variant>
        <vt:i4>776</vt:i4>
      </vt:variant>
      <vt:variant>
        <vt:i4>0</vt:i4>
      </vt:variant>
      <vt:variant>
        <vt:i4>5</vt:i4>
      </vt:variant>
      <vt:variant>
        <vt:lpwstr/>
      </vt:variant>
      <vt:variant>
        <vt:lpwstr>_Toc413918048</vt:lpwstr>
      </vt:variant>
      <vt:variant>
        <vt:i4>1245238</vt:i4>
      </vt:variant>
      <vt:variant>
        <vt:i4>770</vt:i4>
      </vt:variant>
      <vt:variant>
        <vt:i4>0</vt:i4>
      </vt:variant>
      <vt:variant>
        <vt:i4>5</vt:i4>
      </vt:variant>
      <vt:variant>
        <vt:lpwstr/>
      </vt:variant>
      <vt:variant>
        <vt:lpwstr>_Toc413918047</vt:lpwstr>
      </vt:variant>
      <vt:variant>
        <vt:i4>1245238</vt:i4>
      </vt:variant>
      <vt:variant>
        <vt:i4>764</vt:i4>
      </vt:variant>
      <vt:variant>
        <vt:i4>0</vt:i4>
      </vt:variant>
      <vt:variant>
        <vt:i4>5</vt:i4>
      </vt:variant>
      <vt:variant>
        <vt:lpwstr/>
      </vt:variant>
      <vt:variant>
        <vt:lpwstr>_Toc413918046</vt:lpwstr>
      </vt:variant>
      <vt:variant>
        <vt:i4>1245238</vt:i4>
      </vt:variant>
      <vt:variant>
        <vt:i4>758</vt:i4>
      </vt:variant>
      <vt:variant>
        <vt:i4>0</vt:i4>
      </vt:variant>
      <vt:variant>
        <vt:i4>5</vt:i4>
      </vt:variant>
      <vt:variant>
        <vt:lpwstr/>
      </vt:variant>
      <vt:variant>
        <vt:lpwstr>_Toc413918045</vt:lpwstr>
      </vt:variant>
      <vt:variant>
        <vt:i4>1245238</vt:i4>
      </vt:variant>
      <vt:variant>
        <vt:i4>752</vt:i4>
      </vt:variant>
      <vt:variant>
        <vt:i4>0</vt:i4>
      </vt:variant>
      <vt:variant>
        <vt:i4>5</vt:i4>
      </vt:variant>
      <vt:variant>
        <vt:lpwstr/>
      </vt:variant>
      <vt:variant>
        <vt:lpwstr>_Toc413918044</vt:lpwstr>
      </vt:variant>
      <vt:variant>
        <vt:i4>1245238</vt:i4>
      </vt:variant>
      <vt:variant>
        <vt:i4>746</vt:i4>
      </vt:variant>
      <vt:variant>
        <vt:i4>0</vt:i4>
      </vt:variant>
      <vt:variant>
        <vt:i4>5</vt:i4>
      </vt:variant>
      <vt:variant>
        <vt:lpwstr/>
      </vt:variant>
      <vt:variant>
        <vt:lpwstr>_Toc413918043</vt:lpwstr>
      </vt:variant>
      <vt:variant>
        <vt:i4>1245238</vt:i4>
      </vt:variant>
      <vt:variant>
        <vt:i4>740</vt:i4>
      </vt:variant>
      <vt:variant>
        <vt:i4>0</vt:i4>
      </vt:variant>
      <vt:variant>
        <vt:i4>5</vt:i4>
      </vt:variant>
      <vt:variant>
        <vt:lpwstr/>
      </vt:variant>
      <vt:variant>
        <vt:lpwstr>_Toc413918042</vt:lpwstr>
      </vt:variant>
      <vt:variant>
        <vt:i4>1245238</vt:i4>
      </vt:variant>
      <vt:variant>
        <vt:i4>734</vt:i4>
      </vt:variant>
      <vt:variant>
        <vt:i4>0</vt:i4>
      </vt:variant>
      <vt:variant>
        <vt:i4>5</vt:i4>
      </vt:variant>
      <vt:variant>
        <vt:lpwstr/>
      </vt:variant>
      <vt:variant>
        <vt:lpwstr>_Toc413918041</vt:lpwstr>
      </vt:variant>
      <vt:variant>
        <vt:i4>1245238</vt:i4>
      </vt:variant>
      <vt:variant>
        <vt:i4>728</vt:i4>
      </vt:variant>
      <vt:variant>
        <vt:i4>0</vt:i4>
      </vt:variant>
      <vt:variant>
        <vt:i4>5</vt:i4>
      </vt:variant>
      <vt:variant>
        <vt:lpwstr/>
      </vt:variant>
      <vt:variant>
        <vt:lpwstr>_Toc413918040</vt:lpwstr>
      </vt:variant>
      <vt:variant>
        <vt:i4>1310774</vt:i4>
      </vt:variant>
      <vt:variant>
        <vt:i4>722</vt:i4>
      </vt:variant>
      <vt:variant>
        <vt:i4>0</vt:i4>
      </vt:variant>
      <vt:variant>
        <vt:i4>5</vt:i4>
      </vt:variant>
      <vt:variant>
        <vt:lpwstr/>
      </vt:variant>
      <vt:variant>
        <vt:lpwstr>_Toc413918039</vt:lpwstr>
      </vt:variant>
      <vt:variant>
        <vt:i4>1310774</vt:i4>
      </vt:variant>
      <vt:variant>
        <vt:i4>716</vt:i4>
      </vt:variant>
      <vt:variant>
        <vt:i4>0</vt:i4>
      </vt:variant>
      <vt:variant>
        <vt:i4>5</vt:i4>
      </vt:variant>
      <vt:variant>
        <vt:lpwstr/>
      </vt:variant>
      <vt:variant>
        <vt:lpwstr>_Toc413918038</vt:lpwstr>
      </vt:variant>
      <vt:variant>
        <vt:i4>1310774</vt:i4>
      </vt:variant>
      <vt:variant>
        <vt:i4>710</vt:i4>
      </vt:variant>
      <vt:variant>
        <vt:i4>0</vt:i4>
      </vt:variant>
      <vt:variant>
        <vt:i4>5</vt:i4>
      </vt:variant>
      <vt:variant>
        <vt:lpwstr/>
      </vt:variant>
      <vt:variant>
        <vt:lpwstr>_Toc413918037</vt:lpwstr>
      </vt:variant>
      <vt:variant>
        <vt:i4>1310774</vt:i4>
      </vt:variant>
      <vt:variant>
        <vt:i4>704</vt:i4>
      </vt:variant>
      <vt:variant>
        <vt:i4>0</vt:i4>
      </vt:variant>
      <vt:variant>
        <vt:i4>5</vt:i4>
      </vt:variant>
      <vt:variant>
        <vt:lpwstr/>
      </vt:variant>
      <vt:variant>
        <vt:lpwstr>_Toc413918036</vt:lpwstr>
      </vt:variant>
      <vt:variant>
        <vt:i4>1310774</vt:i4>
      </vt:variant>
      <vt:variant>
        <vt:i4>698</vt:i4>
      </vt:variant>
      <vt:variant>
        <vt:i4>0</vt:i4>
      </vt:variant>
      <vt:variant>
        <vt:i4>5</vt:i4>
      </vt:variant>
      <vt:variant>
        <vt:lpwstr/>
      </vt:variant>
      <vt:variant>
        <vt:lpwstr>_Toc413918035</vt:lpwstr>
      </vt:variant>
      <vt:variant>
        <vt:i4>1310774</vt:i4>
      </vt:variant>
      <vt:variant>
        <vt:i4>692</vt:i4>
      </vt:variant>
      <vt:variant>
        <vt:i4>0</vt:i4>
      </vt:variant>
      <vt:variant>
        <vt:i4>5</vt:i4>
      </vt:variant>
      <vt:variant>
        <vt:lpwstr/>
      </vt:variant>
      <vt:variant>
        <vt:lpwstr>_Toc413918034</vt:lpwstr>
      </vt:variant>
      <vt:variant>
        <vt:i4>1310774</vt:i4>
      </vt:variant>
      <vt:variant>
        <vt:i4>686</vt:i4>
      </vt:variant>
      <vt:variant>
        <vt:i4>0</vt:i4>
      </vt:variant>
      <vt:variant>
        <vt:i4>5</vt:i4>
      </vt:variant>
      <vt:variant>
        <vt:lpwstr/>
      </vt:variant>
      <vt:variant>
        <vt:lpwstr>_Toc413918033</vt:lpwstr>
      </vt:variant>
      <vt:variant>
        <vt:i4>1310774</vt:i4>
      </vt:variant>
      <vt:variant>
        <vt:i4>680</vt:i4>
      </vt:variant>
      <vt:variant>
        <vt:i4>0</vt:i4>
      </vt:variant>
      <vt:variant>
        <vt:i4>5</vt:i4>
      </vt:variant>
      <vt:variant>
        <vt:lpwstr/>
      </vt:variant>
      <vt:variant>
        <vt:lpwstr>_Toc413918032</vt:lpwstr>
      </vt:variant>
      <vt:variant>
        <vt:i4>1310774</vt:i4>
      </vt:variant>
      <vt:variant>
        <vt:i4>674</vt:i4>
      </vt:variant>
      <vt:variant>
        <vt:i4>0</vt:i4>
      </vt:variant>
      <vt:variant>
        <vt:i4>5</vt:i4>
      </vt:variant>
      <vt:variant>
        <vt:lpwstr/>
      </vt:variant>
      <vt:variant>
        <vt:lpwstr>_Toc413918031</vt:lpwstr>
      </vt:variant>
      <vt:variant>
        <vt:i4>1310774</vt:i4>
      </vt:variant>
      <vt:variant>
        <vt:i4>668</vt:i4>
      </vt:variant>
      <vt:variant>
        <vt:i4>0</vt:i4>
      </vt:variant>
      <vt:variant>
        <vt:i4>5</vt:i4>
      </vt:variant>
      <vt:variant>
        <vt:lpwstr/>
      </vt:variant>
      <vt:variant>
        <vt:lpwstr>_Toc413918030</vt:lpwstr>
      </vt:variant>
      <vt:variant>
        <vt:i4>1376310</vt:i4>
      </vt:variant>
      <vt:variant>
        <vt:i4>662</vt:i4>
      </vt:variant>
      <vt:variant>
        <vt:i4>0</vt:i4>
      </vt:variant>
      <vt:variant>
        <vt:i4>5</vt:i4>
      </vt:variant>
      <vt:variant>
        <vt:lpwstr/>
      </vt:variant>
      <vt:variant>
        <vt:lpwstr>_Toc413918029</vt:lpwstr>
      </vt:variant>
      <vt:variant>
        <vt:i4>1376310</vt:i4>
      </vt:variant>
      <vt:variant>
        <vt:i4>656</vt:i4>
      </vt:variant>
      <vt:variant>
        <vt:i4>0</vt:i4>
      </vt:variant>
      <vt:variant>
        <vt:i4>5</vt:i4>
      </vt:variant>
      <vt:variant>
        <vt:lpwstr/>
      </vt:variant>
      <vt:variant>
        <vt:lpwstr>_Toc413918028</vt:lpwstr>
      </vt:variant>
      <vt:variant>
        <vt:i4>1376310</vt:i4>
      </vt:variant>
      <vt:variant>
        <vt:i4>650</vt:i4>
      </vt:variant>
      <vt:variant>
        <vt:i4>0</vt:i4>
      </vt:variant>
      <vt:variant>
        <vt:i4>5</vt:i4>
      </vt:variant>
      <vt:variant>
        <vt:lpwstr/>
      </vt:variant>
      <vt:variant>
        <vt:lpwstr>_Toc413918027</vt:lpwstr>
      </vt:variant>
      <vt:variant>
        <vt:i4>1376310</vt:i4>
      </vt:variant>
      <vt:variant>
        <vt:i4>644</vt:i4>
      </vt:variant>
      <vt:variant>
        <vt:i4>0</vt:i4>
      </vt:variant>
      <vt:variant>
        <vt:i4>5</vt:i4>
      </vt:variant>
      <vt:variant>
        <vt:lpwstr/>
      </vt:variant>
      <vt:variant>
        <vt:lpwstr>_Toc413918026</vt:lpwstr>
      </vt:variant>
      <vt:variant>
        <vt:i4>1376310</vt:i4>
      </vt:variant>
      <vt:variant>
        <vt:i4>638</vt:i4>
      </vt:variant>
      <vt:variant>
        <vt:i4>0</vt:i4>
      </vt:variant>
      <vt:variant>
        <vt:i4>5</vt:i4>
      </vt:variant>
      <vt:variant>
        <vt:lpwstr/>
      </vt:variant>
      <vt:variant>
        <vt:lpwstr>_Toc413918025</vt:lpwstr>
      </vt:variant>
      <vt:variant>
        <vt:i4>1376310</vt:i4>
      </vt:variant>
      <vt:variant>
        <vt:i4>632</vt:i4>
      </vt:variant>
      <vt:variant>
        <vt:i4>0</vt:i4>
      </vt:variant>
      <vt:variant>
        <vt:i4>5</vt:i4>
      </vt:variant>
      <vt:variant>
        <vt:lpwstr/>
      </vt:variant>
      <vt:variant>
        <vt:lpwstr>_Toc413918024</vt:lpwstr>
      </vt:variant>
      <vt:variant>
        <vt:i4>1376310</vt:i4>
      </vt:variant>
      <vt:variant>
        <vt:i4>626</vt:i4>
      </vt:variant>
      <vt:variant>
        <vt:i4>0</vt:i4>
      </vt:variant>
      <vt:variant>
        <vt:i4>5</vt:i4>
      </vt:variant>
      <vt:variant>
        <vt:lpwstr/>
      </vt:variant>
      <vt:variant>
        <vt:lpwstr>_Toc413918023</vt:lpwstr>
      </vt:variant>
      <vt:variant>
        <vt:i4>1376310</vt:i4>
      </vt:variant>
      <vt:variant>
        <vt:i4>620</vt:i4>
      </vt:variant>
      <vt:variant>
        <vt:i4>0</vt:i4>
      </vt:variant>
      <vt:variant>
        <vt:i4>5</vt:i4>
      </vt:variant>
      <vt:variant>
        <vt:lpwstr/>
      </vt:variant>
      <vt:variant>
        <vt:lpwstr>_Toc413918022</vt:lpwstr>
      </vt:variant>
      <vt:variant>
        <vt:i4>1376310</vt:i4>
      </vt:variant>
      <vt:variant>
        <vt:i4>614</vt:i4>
      </vt:variant>
      <vt:variant>
        <vt:i4>0</vt:i4>
      </vt:variant>
      <vt:variant>
        <vt:i4>5</vt:i4>
      </vt:variant>
      <vt:variant>
        <vt:lpwstr/>
      </vt:variant>
      <vt:variant>
        <vt:lpwstr>_Toc413918021</vt:lpwstr>
      </vt:variant>
      <vt:variant>
        <vt:i4>1376310</vt:i4>
      </vt:variant>
      <vt:variant>
        <vt:i4>608</vt:i4>
      </vt:variant>
      <vt:variant>
        <vt:i4>0</vt:i4>
      </vt:variant>
      <vt:variant>
        <vt:i4>5</vt:i4>
      </vt:variant>
      <vt:variant>
        <vt:lpwstr/>
      </vt:variant>
      <vt:variant>
        <vt:lpwstr>_Toc413918020</vt:lpwstr>
      </vt:variant>
      <vt:variant>
        <vt:i4>1441846</vt:i4>
      </vt:variant>
      <vt:variant>
        <vt:i4>602</vt:i4>
      </vt:variant>
      <vt:variant>
        <vt:i4>0</vt:i4>
      </vt:variant>
      <vt:variant>
        <vt:i4>5</vt:i4>
      </vt:variant>
      <vt:variant>
        <vt:lpwstr/>
      </vt:variant>
      <vt:variant>
        <vt:lpwstr>_Toc413918019</vt:lpwstr>
      </vt:variant>
      <vt:variant>
        <vt:i4>1441846</vt:i4>
      </vt:variant>
      <vt:variant>
        <vt:i4>596</vt:i4>
      </vt:variant>
      <vt:variant>
        <vt:i4>0</vt:i4>
      </vt:variant>
      <vt:variant>
        <vt:i4>5</vt:i4>
      </vt:variant>
      <vt:variant>
        <vt:lpwstr/>
      </vt:variant>
      <vt:variant>
        <vt:lpwstr>_Toc413918018</vt:lpwstr>
      </vt:variant>
      <vt:variant>
        <vt:i4>1441846</vt:i4>
      </vt:variant>
      <vt:variant>
        <vt:i4>590</vt:i4>
      </vt:variant>
      <vt:variant>
        <vt:i4>0</vt:i4>
      </vt:variant>
      <vt:variant>
        <vt:i4>5</vt:i4>
      </vt:variant>
      <vt:variant>
        <vt:lpwstr/>
      </vt:variant>
      <vt:variant>
        <vt:lpwstr>_Toc413918017</vt:lpwstr>
      </vt:variant>
      <vt:variant>
        <vt:i4>1441846</vt:i4>
      </vt:variant>
      <vt:variant>
        <vt:i4>584</vt:i4>
      </vt:variant>
      <vt:variant>
        <vt:i4>0</vt:i4>
      </vt:variant>
      <vt:variant>
        <vt:i4>5</vt:i4>
      </vt:variant>
      <vt:variant>
        <vt:lpwstr/>
      </vt:variant>
      <vt:variant>
        <vt:lpwstr>_Toc413918016</vt:lpwstr>
      </vt:variant>
      <vt:variant>
        <vt:i4>1441846</vt:i4>
      </vt:variant>
      <vt:variant>
        <vt:i4>578</vt:i4>
      </vt:variant>
      <vt:variant>
        <vt:i4>0</vt:i4>
      </vt:variant>
      <vt:variant>
        <vt:i4>5</vt:i4>
      </vt:variant>
      <vt:variant>
        <vt:lpwstr/>
      </vt:variant>
      <vt:variant>
        <vt:lpwstr>_Toc413918015</vt:lpwstr>
      </vt:variant>
      <vt:variant>
        <vt:i4>1441846</vt:i4>
      </vt:variant>
      <vt:variant>
        <vt:i4>572</vt:i4>
      </vt:variant>
      <vt:variant>
        <vt:i4>0</vt:i4>
      </vt:variant>
      <vt:variant>
        <vt:i4>5</vt:i4>
      </vt:variant>
      <vt:variant>
        <vt:lpwstr/>
      </vt:variant>
      <vt:variant>
        <vt:lpwstr>_Toc413918014</vt:lpwstr>
      </vt:variant>
      <vt:variant>
        <vt:i4>1441846</vt:i4>
      </vt:variant>
      <vt:variant>
        <vt:i4>566</vt:i4>
      </vt:variant>
      <vt:variant>
        <vt:i4>0</vt:i4>
      </vt:variant>
      <vt:variant>
        <vt:i4>5</vt:i4>
      </vt:variant>
      <vt:variant>
        <vt:lpwstr/>
      </vt:variant>
      <vt:variant>
        <vt:lpwstr>_Toc413918013</vt:lpwstr>
      </vt:variant>
      <vt:variant>
        <vt:i4>1441846</vt:i4>
      </vt:variant>
      <vt:variant>
        <vt:i4>560</vt:i4>
      </vt:variant>
      <vt:variant>
        <vt:i4>0</vt:i4>
      </vt:variant>
      <vt:variant>
        <vt:i4>5</vt:i4>
      </vt:variant>
      <vt:variant>
        <vt:lpwstr/>
      </vt:variant>
      <vt:variant>
        <vt:lpwstr>_Toc413918012</vt:lpwstr>
      </vt:variant>
      <vt:variant>
        <vt:i4>1441846</vt:i4>
      </vt:variant>
      <vt:variant>
        <vt:i4>554</vt:i4>
      </vt:variant>
      <vt:variant>
        <vt:i4>0</vt:i4>
      </vt:variant>
      <vt:variant>
        <vt:i4>5</vt:i4>
      </vt:variant>
      <vt:variant>
        <vt:lpwstr/>
      </vt:variant>
      <vt:variant>
        <vt:lpwstr>_Toc413918011</vt:lpwstr>
      </vt:variant>
      <vt:variant>
        <vt:i4>1441846</vt:i4>
      </vt:variant>
      <vt:variant>
        <vt:i4>548</vt:i4>
      </vt:variant>
      <vt:variant>
        <vt:i4>0</vt:i4>
      </vt:variant>
      <vt:variant>
        <vt:i4>5</vt:i4>
      </vt:variant>
      <vt:variant>
        <vt:lpwstr/>
      </vt:variant>
      <vt:variant>
        <vt:lpwstr>_Toc413918010</vt:lpwstr>
      </vt:variant>
      <vt:variant>
        <vt:i4>1507382</vt:i4>
      </vt:variant>
      <vt:variant>
        <vt:i4>542</vt:i4>
      </vt:variant>
      <vt:variant>
        <vt:i4>0</vt:i4>
      </vt:variant>
      <vt:variant>
        <vt:i4>5</vt:i4>
      </vt:variant>
      <vt:variant>
        <vt:lpwstr/>
      </vt:variant>
      <vt:variant>
        <vt:lpwstr>_Toc413918009</vt:lpwstr>
      </vt:variant>
      <vt:variant>
        <vt:i4>1507382</vt:i4>
      </vt:variant>
      <vt:variant>
        <vt:i4>536</vt:i4>
      </vt:variant>
      <vt:variant>
        <vt:i4>0</vt:i4>
      </vt:variant>
      <vt:variant>
        <vt:i4>5</vt:i4>
      </vt:variant>
      <vt:variant>
        <vt:lpwstr/>
      </vt:variant>
      <vt:variant>
        <vt:lpwstr>_Toc413918008</vt:lpwstr>
      </vt:variant>
      <vt:variant>
        <vt:i4>1507382</vt:i4>
      </vt:variant>
      <vt:variant>
        <vt:i4>530</vt:i4>
      </vt:variant>
      <vt:variant>
        <vt:i4>0</vt:i4>
      </vt:variant>
      <vt:variant>
        <vt:i4>5</vt:i4>
      </vt:variant>
      <vt:variant>
        <vt:lpwstr/>
      </vt:variant>
      <vt:variant>
        <vt:lpwstr>_Toc413918007</vt:lpwstr>
      </vt:variant>
      <vt:variant>
        <vt:i4>1507382</vt:i4>
      </vt:variant>
      <vt:variant>
        <vt:i4>524</vt:i4>
      </vt:variant>
      <vt:variant>
        <vt:i4>0</vt:i4>
      </vt:variant>
      <vt:variant>
        <vt:i4>5</vt:i4>
      </vt:variant>
      <vt:variant>
        <vt:lpwstr/>
      </vt:variant>
      <vt:variant>
        <vt:lpwstr>_Toc413918006</vt:lpwstr>
      </vt:variant>
      <vt:variant>
        <vt:i4>1507382</vt:i4>
      </vt:variant>
      <vt:variant>
        <vt:i4>518</vt:i4>
      </vt:variant>
      <vt:variant>
        <vt:i4>0</vt:i4>
      </vt:variant>
      <vt:variant>
        <vt:i4>5</vt:i4>
      </vt:variant>
      <vt:variant>
        <vt:lpwstr/>
      </vt:variant>
      <vt:variant>
        <vt:lpwstr>_Toc413918005</vt:lpwstr>
      </vt:variant>
      <vt:variant>
        <vt:i4>1507382</vt:i4>
      </vt:variant>
      <vt:variant>
        <vt:i4>512</vt:i4>
      </vt:variant>
      <vt:variant>
        <vt:i4>0</vt:i4>
      </vt:variant>
      <vt:variant>
        <vt:i4>5</vt:i4>
      </vt:variant>
      <vt:variant>
        <vt:lpwstr/>
      </vt:variant>
      <vt:variant>
        <vt:lpwstr>_Toc413918004</vt:lpwstr>
      </vt:variant>
      <vt:variant>
        <vt:i4>1507382</vt:i4>
      </vt:variant>
      <vt:variant>
        <vt:i4>506</vt:i4>
      </vt:variant>
      <vt:variant>
        <vt:i4>0</vt:i4>
      </vt:variant>
      <vt:variant>
        <vt:i4>5</vt:i4>
      </vt:variant>
      <vt:variant>
        <vt:lpwstr/>
      </vt:variant>
      <vt:variant>
        <vt:lpwstr>_Toc413918003</vt:lpwstr>
      </vt:variant>
      <vt:variant>
        <vt:i4>1507382</vt:i4>
      </vt:variant>
      <vt:variant>
        <vt:i4>500</vt:i4>
      </vt:variant>
      <vt:variant>
        <vt:i4>0</vt:i4>
      </vt:variant>
      <vt:variant>
        <vt:i4>5</vt:i4>
      </vt:variant>
      <vt:variant>
        <vt:lpwstr/>
      </vt:variant>
      <vt:variant>
        <vt:lpwstr>_Toc413918002</vt:lpwstr>
      </vt:variant>
      <vt:variant>
        <vt:i4>1507382</vt:i4>
      </vt:variant>
      <vt:variant>
        <vt:i4>494</vt:i4>
      </vt:variant>
      <vt:variant>
        <vt:i4>0</vt:i4>
      </vt:variant>
      <vt:variant>
        <vt:i4>5</vt:i4>
      </vt:variant>
      <vt:variant>
        <vt:lpwstr/>
      </vt:variant>
      <vt:variant>
        <vt:lpwstr>_Toc413918001</vt:lpwstr>
      </vt:variant>
      <vt:variant>
        <vt:i4>1507382</vt:i4>
      </vt:variant>
      <vt:variant>
        <vt:i4>488</vt:i4>
      </vt:variant>
      <vt:variant>
        <vt:i4>0</vt:i4>
      </vt:variant>
      <vt:variant>
        <vt:i4>5</vt:i4>
      </vt:variant>
      <vt:variant>
        <vt:lpwstr/>
      </vt:variant>
      <vt:variant>
        <vt:lpwstr>_Toc413918000</vt:lpwstr>
      </vt:variant>
      <vt:variant>
        <vt:i4>1114175</vt:i4>
      </vt:variant>
      <vt:variant>
        <vt:i4>482</vt:i4>
      </vt:variant>
      <vt:variant>
        <vt:i4>0</vt:i4>
      </vt:variant>
      <vt:variant>
        <vt:i4>5</vt:i4>
      </vt:variant>
      <vt:variant>
        <vt:lpwstr/>
      </vt:variant>
      <vt:variant>
        <vt:lpwstr>_Toc413917999</vt:lpwstr>
      </vt:variant>
      <vt:variant>
        <vt:i4>1114175</vt:i4>
      </vt:variant>
      <vt:variant>
        <vt:i4>476</vt:i4>
      </vt:variant>
      <vt:variant>
        <vt:i4>0</vt:i4>
      </vt:variant>
      <vt:variant>
        <vt:i4>5</vt:i4>
      </vt:variant>
      <vt:variant>
        <vt:lpwstr/>
      </vt:variant>
      <vt:variant>
        <vt:lpwstr>_Toc413917998</vt:lpwstr>
      </vt:variant>
      <vt:variant>
        <vt:i4>1114175</vt:i4>
      </vt:variant>
      <vt:variant>
        <vt:i4>470</vt:i4>
      </vt:variant>
      <vt:variant>
        <vt:i4>0</vt:i4>
      </vt:variant>
      <vt:variant>
        <vt:i4>5</vt:i4>
      </vt:variant>
      <vt:variant>
        <vt:lpwstr/>
      </vt:variant>
      <vt:variant>
        <vt:lpwstr>_Toc413917997</vt:lpwstr>
      </vt:variant>
      <vt:variant>
        <vt:i4>1114175</vt:i4>
      </vt:variant>
      <vt:variant>
        <vt:i4>464</vt:i4>
      </vt:variant>
      <vt:variant>
        <vt:i4>0</vt:i4>
      </vt:variant>
      <vt:variant>
        <vt:i4>5</vt:i4>
      </vt:variant>
      <vt:variant>
        <vt:lpwstr/>
      </vt:variant>
      <vt:variant>
        <vt:lpwstr>_Toc413917996</vt:lpwstr>
      </vt:variant>
      <vt:variant>
        <vt:i4>1114175</vt:i4>
      </vt:variant>
      <vt:variant>
        <vt:i4>458</vt:i4>
      </vt:variant>
      <vt:variant>
        <vt:i4>0</vt:i4>
      </vt:variant>
      <vt:variant>
        <vt:i4>5</vt:i4>
      </vt:variant>
      <vt:variant>
        <vt:lpwstr/>
      </vt:variant>
      <vt:variant>
        <vt:lpwstr>_Toc413917995</vt:lpwstr>
      </vt:variant>
      <vt:variant>
        <vt:i4>1114175</vt:i4>
      </vt:variant>
      <vt:variant>
        <vt:i4>452</vt:i4>
      </vt:variant>
      <vt:variant>
        <vt:i4>0</vt:i4>
      </vt:variant>
      <vt:variant>
        <vt:i4>5</vt:i4>
      </vt:variant>
      <vt:variant>
        <vt:lpwstr/>
      </vt:variant>
      <vt:variant>
        <vt:lpwstr>_Toc413917994</vt:lpwstr>
      </vt:variant>
      <vt:variant>
        <vt:i4>1114175</vt:i4>
      </vt:variant>
      <vt:variant>
        <vt:i4>446</vt:i4>
      </vt:variant>
      <vt:variant>
        <vt:i4>0</vt:i4>
      </vt:variant>
      <vt:variant>
        <vt:i4>5</vt:i4>
      </vt:variant>
      <vt:variant>
        <vt:lpwstr/>
      </vt:variant>
      <vt:variant>
        <vt:lpwstr>_Toc413917993</vt:lpwstr>
      </vt:variant>
      <vt:variant>
        <vt:i4>1114175</vt:i4>
      </vt:variant>
      <vt:variant>
        <vt:i4>440</vt:i4>
      </vt:variant>
      <vt:variant>
        <vt:i4>0</vt:i4>
      </vt:variant>
      <vt:variant>
        <vt:i4>5</vt:i4>
      </vt:variant>
      <vt:variant>
        <vt:lpwstr/>
      </vt:variant>
      <vt:variant>
        <vt:lpwstr>_Toc413917992</vt:lpwstr>
      </vt:variant>
      <vt:variant>
        <vt:i4>1114175</vt:i4>
      </vt:variant>
      <vt:variant>
        <vt:i4>434</vt:i4>
      </vt:variant>
      <vt:variant>
        <vt:i4>0</vt:i4>
      </vt:variant>
      <vt:variant>
        <vt:i4>5</vt:i4>
      </vt:variant>
      <vt:variant>
        <vt:lpwstr/>
      </vt:variant>
      <vt:variant>
        <vt:lpwstr>_Toc413917991</vt:lpwstr>
      </vt:variant>
      <vt:variant>
        <vt:i4>1114175</vt:i4>
      </vt:variant>
      <vt:variant>
        <vt:i4>428</vt:i4>
      </vt:variant>
      <vt:variant>
        <vt:i4>0</vt:i4>
      </vt:variant>
      <vt:variant>
        <vt:i4>5</vt:i4>
      </vt:variant>
      <vt:variant>
        <vt:lpwstr/>
      </vt:variant>
      <vt:variant>
        <vt:lpwstr>_Toc413917990</vt:lpwstr>
      </vt:variant>
      <vt:variant>
        <vt:i4>1048639</vt:i4>
      </vt:variant>
      <vt:variant>
        <vt:i4>422</vt:i4>
      </vt:variant>
      <vt:variant>
        <vt:i4>0</vt:i4>
      </vt:variant>
      <vt:variant>
        <vt:i4>5</vt:i4>
      </vt:variant>
      <vt:variant>
        <vt:lpwstr/>
      </vt:variant>
      <vt:variant>
        <vt:lpwstr>_Toc413917989</vt:lpwstr>
      </vt:variant>
      <vt:variant>
        <vt:i4>1048639</vt:i4>
      </vt:variant>
      <vt:variant>
        <vt:i4>416</vt:i4>
      </vt:variant>
      <vt:variant>
        <vt:i4>0</vt:i4>
      </vt:variant>
      <vt:variant>
        <vt:i4>5</vt:i4>
      </vt:variant>
      <vt:variant>
        <vt:lpwstr/>
      </vt:variant>
      <vt:variant>
        <vt:lpwstr>_Toc413917988</vt:lpwstr>
      </vt:variant>
      <vt:variant>
        <vt:i4>1048639</vt:i4>
      </vt:variant>
      <vt:variant>
        <vt:i4>410</vt:i4>
      </vt:variant>
      <vt:variant>
        <vt:i4>0</vt:i4>
      </vt:variant>
      <vt:variant>
        <vt:i4>5</vt:i4>
      </vt:variant>
      <vt:variant>
        <vt:lpwstr/>
      </vt:variant>
      <vt:variant>
        <vt:lpwstr>_Toc413917987</vt:lpwstr>
      </vt:variant>
      <vt:variant>
        <vt:i4>1048639</vt:i4>
      </vt:variant>
      <vt:variant>
        <vt:i4>404</vt:i4>
      </vt:variant>
      <vt:variant>
        <vt:i4>0</vt:i4>
      </vt:variant>
      <vt:variant>
        <vt:i4>5</vt:i4>
      </vt:variant>
      <vt:variant>
        <vt:lpwstr/>
      </vt:variant>
      <vt:variant>
        <vt:lpwstr>_Toc413917986</vt:lpwstr>
      </vt:variant>
      <vt:variant>
        <vt:i4>1048639</vt:i4>
      </vt:variant>
      <vt:variant>
        <vt:i4>398</vt:i4>
      </vt:variant>
      <vt:variant>
        <vt:i4>0</vt:i4>
      </vt:variant>
      <vt:variant>
        <vt:i4>5</vt:i4>
      </vt:variant>
      <vt:variant>
        <vt:lpwstr/>
      </vt:variant>
      <vt:variant>
        <vt:lpwstr>_Toc413917985</vt:lpwstr>
      </vt:variant>
      <vt:variant>
        <vt:i4>1048639</vt:i4>
      </vt:variant>
      <vt:variant>
        <vt:i4>392</vt:i4>
      </vt:variant>
      <vt:variant>
        <vt:i4>0</vt:i4>
      </vt:variant>
      <vt:variant>
        <vt:i4>5</vt:i4>
      </vt:variant>
      <vt:variant>
        <vt:lpwstr/>
      </vt:variant>
      <vt:variant>
        <vt:lpwstr>_Toc413917984</vt:lpwstr>
      </vt:variant>
      <vt:variant>
        <vt:i4>1048639</vt:i4>
      </vt:variant>
      <vt:variant>
        <vt:i4>386</vt:i4>
      </vt:variant>
      <vt:variant>
        <vt:i4>0</vt:i4>
      </vt:variant>
      <vt:variant>
        <vt:i4>5</vt:i4>
      </vt:variant>
      <vt:variant>
        <vt:lpwstr/>
      </vt:variant>
      <vt:variant>
        <vt:lpwstr>_Toc413917983</vt:lpwstr>
      </vt:variant>
      <vt:variant>
        <vt:i4>1048639</vt:i4>
      </vt:variant>
      <vt:variant>
        <vt:i4>380</vt:i4>
      </vt:variant>
      <vt:variant>
        <vt:i4>0</vt:i4>
      </vt:variant>
      <vt:variant>
        <vt:i4>5</vt:i4>
      </vt:variant>
      <vt:variant>
        <vt:lpwstr/>
      </vt:variant>
      <vt:variant>
        <vt:lpwstr>_Toc413917982</vt:lpwstr>
      </vt:variant>
      <vt:variant>
        <vt:i4>1048639</vt:i4>
      </vt:variant>
      <vt:variant>
        <vt:i4>374</vt:i4>
      </vt:variant>
      <vt:variant>
        <vt:i4>0</vt:i4>
      </vt:variant>
      <vt:variant>
        <vt:i4>5</vt:i4>
      </vt:variant>
      <vt:variant>
        <vt:lpwstr/>
      </vt:variant>
      <vt:variant>
        <vt:lpwstr>_Toc413917981</vt:lpwstr>
      </vt:variant>
      <vt:variant>
        <vt:i4>1048639</vt:i4>
      </vt:variant>
      <vt:variant>
        <vt:i4>368</vt:i4>
      </vt:variant>
      <vt:variant>
        <vt:i4>0</vt:i4>
      </vt:variant>
      <vt:variant>
        <vt:i4>5</vt:i4>
      </vt:variant>
      <vt:variant>
        <vt:lpwstr/>
      </vt:variant>
      <vt:variant>
        <vt:lpwstr>_Toc413917980</vt:lpwstr>
      </vt:variant>
      <vt:variant>
        <vt:i4>2031679</vt:i4>
      </vt:variant>
      <vt:variant>
        <vt:i4>362</vt:i4>
      </vt:variant>
      <vt:variant>
        <vt:i4>0</vt:i4>
      </vt:variant>
      <vt:variant>
        <vt:i4>5</vt:i4>
      </vt:variant>
      <vt:variant>
        <vt:lpwstr/>
      </vt:variant>
      <vt:variant>
        <vt:lpwstr>_Toc413917979</vt:lpwstr>
      </vt:variant>
      <vt:variant>
        <vt:i4>2031679</vt:i4>
      </vt:variant>
      <vt:variant>
        <vt:i4>356</vt:i4>
      </vt:variant>
      <vt:variant>
        <vt:i4>0</vt:i4>
      </vt:variant>
      <vt:variant>
        <vt:i4>5</vt:i4>
      </vt:variant>
      <vt:variant>
        <vt:lpwstr/>
      </vt:variant>
      <vt:variant>
        <vt:lpwstr>_Toc413917978</vt:lpwstr>
      </vt:variant>
      <vt:variant>
        <vt:i4>2031679</vt:i4>
      </vt:variant>
      <vt:variant>
        <vt:i4>350</vt:i4>
      </vt:variant>
      <vt:variant>
        <vt:i4>0</vt:i4>
      </vt:variant>
      <vt:variant>
        <vt:i4>5</vt:i4>
      </vt:variant>
      <vt:variant>
        <vt:lpwstr/>
      </vt:variant>
      <vt:variant>
        <vt:lpwstr>_Toc413917977</vt:lpwstr>
      </vt:variant>
      <vt:variant>
        <vt:i4>2031679</vt:i4>
      </vt:variant>
      <vt:variant>
        <vt:i4>344</vt:i4>
      </vt:variant>
      <vt:variant>
        <vt:i4>0</vt:i4>
      </vt:variant>
      <vt:variant>
        <vt:i4>5</vt:i4>
      </vt:variant>
      <vt:variant>
        <vt:lpwstr/>
      </vt:variant>
      <vt:variant>
        <vt:lpwstr>_Toc413917976</vt:lpwstr>
      </vt:variant>
      <vt:variant>
        <vt:i4>2031679</vt:i4>
      </vt:variant>
      <vt:variant>
        <vt:i4>338</vt:i4>
      </vt:variant>
      <vt:variant>
        <vt:i4>0</vt:i4>
      </vt:variant>
      <vt:variant>
        <vt:i4>5</vt:i4>
      </vt:variant>
      <vt:variant>
        <vt:lpwstr/>
      </vt:variant>
      <vt:variant>
        <vt:lpwstr>_Toc413917975</vt:lpwstr>
      </vt:variant>
      <vt:variant>
        <vt:i4>2031679</vt:i4>
      </vt:variant>
      <vt:variant>
        <vt:i4>332</vt:i4>
      </vt:variant>
      <vt:variant>
        <vt:i4>0</vt:i4>
      </vt:variant>
      <vt:variant>
        <vt:i4>5</vt:i4>
      </vt:variant>
      <vt:variant>
        <vt:lpwstr/>
      </vt:variant>
      <vt:variant>
        <vt:lpwstr>_Toc413917974</vt:lpwstr>
      </vt:variant>
      <vt:variant>
        <vt:i4>2031679</vt:i4>
      </vt:variant>
      <vt:variant>
        <vt:i4>326</vt:i4>
      </vt:variant>
      <vt:variant>
        <vt:i4>0</vt:i4>
      </vt:variant>
      <vt:variant>
        <vt:i4>5</vt:i4>
      </vt:variant>
      <vt:variant>
        <vt:lpwstr/>
      </vt:variant>
      <vt:variant>
        <vt:lpwstr>_Toc413917973</vt:lpwstr>
      </vt:variant>
      <vt:variant>
        <vt:i4>2031679</vt:i4>
      </vt:variant>
      <vt:variant>
        <vt:i4>320</vt:i4>
      </vt:variant>
      <vt:variant>
        <vt:i4>0</vt:i4>
      </vt:variant>
      <vt:variant>
        <vt:i4>5</vt:i4>
      </vt:variant>
      <vt:variant>
        <vt:lpwstr/>
      </vt:variant>
      <vt:variant>
        <vt:lpwstr>_Toc413917972</vt:lpwstr>
      </vt:variant>
      <vt:variant>
        <vt:i4>2031679</vt:i4>
      </vt:variant>
      <vt:variant>
        <vt:i4>314</vt:i4>
      </vt:variant>
      <vt:variant>
        <vt:i4>0</vt:i4>
      </vt:variant>
      <vt:variant>
        <vt:i4>5</vt:i4>
      </vt:variant>
      <vt:variant>
        <vt:lpwstr/>
      </vt:variant>
      <vt:variant>
        <vt:lpwstr>_Toc413917971</vt:lpwstr>
      </vt:variant>
      <vt:variant>
        <vt:i4>2031679</vt:i4>
      </vt:variant>
      <vt:variant>
        <vt:i4>308</vt:i4>
      </vt:variant>
      <vt:variant>
        <vt:i4>0</vt:i4>
      </vt:variant>
      <vt:variant>
        <vt:i4>5</vt:i4>
      </vt:variant>
      <vt:variant>
        <vt:lpwstr/>
      </vt:variant>
      <vt:variant>
        <vt:lpwstr>_Toc413917970</vt:lpwstr>
      </vt:variant>
      <vt:variant>
        <vt:i4>1966143</vt:i4>
      </vt:variant>
      <vt:variant>
        <vt:i4>302</vt:i4>
      </vt:variant>
      <vt:variant>
        <vt:i4>0</vt:i4>
      </vt:variant>
      <vt:variant>
        <vt:i4>5</vt:i4>
      </vt:variant>
      <vt:variant>
        <vt:lpwstr/>
      </vt:variant>
      <vt:variant>
        <vt:lpwstr>_Toc413917969</vt:lpwstr>
      </vt:variant>
      <vt:variant>
        <vt:i4>1966143</vt:i4>
      </vt:variant>
      <vt:variant>
        <vt:i4>296</vt:i4>
      </vt:variant>
      <vt:variant>
        <vt:i4>0</vt:i4>
      </vt:variant>
      <vt:variant>
        <vt:i4>5</vt:i4>
      </vt:variant>
      <vt:variant>
        <vt:lpwstr/>
      </vt:variant>
      <vt:variant>
        <vt:lpwstr>_Toc413917968</vt:lpwstr>
      </vt:variant>
      <vt:variant>
        <vt:i4>1966143</vt:i4>
      </vt:variant>
      <vt:variant>
        <vt:i4>290</vt:i4>
      </vt:variant>
      <vt:variant>
        <vt:i4>0</vt:i4>
      </vt:variant>
      <vt:variant>
        <vt:i4>5</vt:i4>
      </vt:variant>
      <vt:variant>
        <vt:lpwstr/>
      </vt:variant>
      <vt:variant>
        <vt:lpwstr>_Toc413917967</vt:lpwstr>
      </vt:variant>
      <vt:variant>
        <vt:i4>1966143</vt:i4>
      </vt:variant>
      <vt:variant>
        <vt:i4>284</vt:i4>
      </vt:variant>
      <vt:variant>
        <vt:i4>0</vt:i4>
      </vt:variant>
      <vt:variant>
        <vt:i4>5</vt:i4>
      </vt:variant>
      <vt:variant>
        <vt:lpwstr/>
      </vt:variant>
      <vt:variant>
        <vt:lpwstr>_Toc413917966</vt:lpwstr>
      </vt:variant>
      <vt:variant>
        <vt:i4>1966143</vt:i4>
      </vt:variant>
      <vt:variant>
        <vt:i4>278</vt:i4>
      </vt:variant>
      <vt:variant>
        <vt:i4>0</vt:i4>
      </vt:variant>
      <vt:variant>
        <vt:i4>5</vt:i4>
      </vt:variant>
      <vt:variant>
        <vt:lpwstr/>
      </vt:variant>
      <vt:variant>
        <vt:lpwstr>_Toc413917965</vt:lpwstr>
      </vt:variant>
      <vt:variant>
        <vt:i4>1966143</vt:i4>
      </vt:variant>
      <vt:variant>
        <vt:i4>272</vt:i4>
      </vt:variant>
      <vt:variant>
        <vt:i4>0</vt:i4>
      </vt:variant>
      <vt:variant>
        <vt:i4>5</vt:i4>
      </vt:variant>
      <vt:variant>
        <vt:lpwstr/>
      </vt:variant>
      <vt:variant>
        <vt:lpwstr>_Toc413917964</vt:lpwstr>
      </vt:variant>
      <vt:variant>
        <vt:i4>1966143</vt:i4>
      </vt:variant>
      <vt:variant>
        <vt:i4>266</vt:i4>
      </vt:variant>
      <vt:variant>
        <vt:i4>0</vt:i4>
      </vt:variant>
      <vt:variant>
        <vt:i4>5</vt:i4>
      </vt:variant>
      <vt:variant>
        <vt:lpwstr/>
      </vt:variant>
      <vt:variant>
        <vt:lpwstr>_Toc413917963</vt:lpwstr>
      </vt:variant>
      <vt:variant>
        <vt:i4>1966143</vt:i4>
      </vt:variant>
      <vt:variant>
        <vt:i4>260</vt:i4>
      </vt:variant>
      <vt:variant>
        <vt:i4>0</vt:i4>
      </vt:variant>
      <vt:variant>
        <vt:i4>5</vt:i4>
      </vt:variant>
      <vt:variant>
        <vt:lpwstr/>
      </vt:variant>
      <vt:variant>
        <vt:lpwstr>_Toc413917962</vt:lpwstr>
      </vt:variant>
      <vt:variant>
        <vt:i4>1966143</vt:i4>
      </vt:variant>
      <vt:variant>
        <vt:i4>254</vt:i4>
      </vt:variant>
      <vt:variant>
        <vt:i4>0</vt:i4>
      </vt:variant>
      <vt:variant>
        <vt:i4>5</vt:i4>
      </vt:variant>
      <vt:variant>
        <vt:lpwstr/>
      </vt:variant>
      <vt:variant>
        <vt:lpwstr>_Toc413917961</vt:lpwstr>
      </vt:variant>
      <vt:variant>
        <vt:i4>1966143</vt:i4>
      </vt:variant>
      <vt:variant>
        <vt:i4>248</vt:i4>
      </vt:variant>
      <vt:variant>
        <vt:i4>0</vt:i4>
      </vt:variant>
      <vt:variant>
        <vt:i4>5</vt:i4>
      </vt:variant>
      <vt:variant>
        <vt:lpwstr/>
      </vt:variant>
      <vt:variant>
        <vt:lpwstr>_Toc413917960</vt:lpwstr>
      </vt:variant>
      <vt:variant>
        <vt:i4>1900607</vt:i4>
      </vt:variant>
      <vt:variant>
        <vt:i4>242</vt:i4>
      </vt:variant>
      <vt:variant>
        <vt:i4>0</vt:i4>
      </vt:variant>
      <vt:variant>
        <vt:i4>5</vt:i4>
      </vt:variant>
      <vt:variant>
        <vt:lpwstr/>
      </vt:variant>
      <vt:variant>
        <vt:lpwstr>_Toc413917959</vt:lpwstr>
      </vt:variant>
      <vt:variant>
        <vt:i4>1900607</vt:i4>
      </vt:variant>
      <vt:variant>
        <vt:i4>236</vt:i4>
      </vt:variant>
      <vt:variant>
        <vt:i4>0</vt:i4>
      </vt:variant>
      <vt:variant>
        <vt:i4>5</vt:i4>
      </vt:variant>
      <vt:variant>
        <vt:lpwstr/>
      </vt:variant>
      <vt:variant>
        <vt:lpwstr>_Toc413917958</vt:lpwstr>
      </vt:variant>
      <vt:variant>
        <vt:i4>1900607</vt:i4>
      </vt:variant>
      <vt:variant>
        <vt:i4>230</vt:i4>
      </vt:variant>
      <vt:variant>
        <vt:i4>0</vt:i4>
      </vt:variant>
      <vt:variant>
        <vt:i4>5</vt:i4>
      </vt:variant>
      <vt:variant>
        <vt:lpwstr/>
      </vt:variant>
      <vt:variant>
        <vt:lpwstr>_Toc413917957</vt:lpwstr>
      </vt:variant>
      <vt:variant>
        <vt:i4>1900607</vt:i4>
      </vt:variant>
      <vt:variant>
        <vt:i4>224</vt:i4>
      </vt:variant>
      <vt:variant>
        <vt:i4>0</vt:i4>
      </vt:variant>
      <vt:variant>
        <vt:i4>5</vt:i4>
      </vt:variant>
      <vt:variant>
        <vt:lpwstr/>
      </vt:variant>
      <vt:variant>
        <vt:lpwstr>_Toc413917956</vt:lpwstr>
      </vt:variant>
      <vt:variant>
        <vt:i4>1900607</vt:i4>
      </vt:variant>
      <vt:variant>
        <vt:i4>218</vt:i4>
      </vt:variant>
      <vt:variant>
        <vt:i4>0</vt:i4>
      </vt:variant>
      <vt:variant>
        <vt:i4>5</vt:i4>
      </vt:variant>
      <vt:variant>
        <vt:lpwstr/>
      </vt:variant>
      <vt:variant>
        <vt:lpwstr>_Toc413917955</vt:lpwstr>
      </vt:variant>
      <vt:variant>
        <vt:i4>1900607</vt:i4>
      </vt:variant>
      <vt:variant>
        <vt:i4>212</vt:i4>
      </vt:variant>
      <vt:variant>
        <vt:i4>0</vt:i4>
      </vt:variant>
      <vt:variant>
        <vt:i4>5</vt:i4>
      </vt:variant>
      <vt:variant>
        <vt:lpwstr/>
      </vt:variant>
      <vt:variant>
        <vt:lpwstr>_Toc413917954</vt:lpwstr>
      </vt:variant>
      <vt:variant>
        <vt:i4>1900607</vt:i4>
      </vt:variant>
      <vt:variant>
        <vt:i4>206</vt:i4>
      </vt:variant>
      <vt:variant>
        <vt:i4>0</vt:i4>
      </vt:variant>
      <vt:variant>
        <vt:i4>5</vt:i4>
      </vt:variant>
      <vt:variant>
        <vt:lpwstr/>
      </vt:variant>
      <vt:variant>
        <vt:lpwstr>_Toc413917953</vt:lpwstr>
      </vt:variant>
      <vt:variant>
        <vt:i4>1900607</vt:i4>
      </vt:variant>
      <vt:variant>
        <vt:i4>200</vt:i4>
      </vt:variant>
      <vt:variant>
        <vt:i4>0</vt:i4>
      </vt:variant>
      <vt:variant>
        <vt:i4>5</vt:i4>
      </vt:variant>
      <vt:variant>
        <vt:lpwstr/>
      </vt:variant>
      <vt:variant>
        <vt:lpwstr>_Toc413917952</vt:lpwstr>
      </vt:variant>
      <vt:variant>
        <vt:i4>1900607</vt:i4>
      </vt:variant>
      <vt:variant>
        <vt:i4>194</vt:i4>
      </vt:variant>
      <vt:variant>
        <vt:i4>0</vt:i4>
      </vt:variant>
      <vt:variant>
        <vt:i4>5</vt:i4>
      </vt:variant>
      <vt:variant>
        <vt:lpwstr/>
      </vt:variant>
      <vt:variant>
        <vt:lpwstr>_Toc413917951</vt:lpwstr>
      </vt:variant>
      <vt:variant>
        <vt:i4>1900607</vt:i4>
      </vt:variant>
      <vt:variant>
        <vt:i4>188</vt:i4>
      </vt:variant>
      <vt:variant>
        <vt:i4>0</vt:i4>
      </vt:variant>
      <vt:variant>
        <vt:i4>5</vt:i4>
      </vt:variant>
      <vt:variant>
        <vt:lpwstr/>
      </vt:variant>
      <vt:variant>
        <vt:lpwstr>_Toc413917950</vt:lpwstr>
      </vt:variant>
      <vt:variant>
        <vt:i4>1835071</vt:i4>
      </vt:variant>
      <vt:variant>
        <vt:i4>182</vt:i4>
      </vt:variant>
      <vt:variant>
        <vt:i4>0</vt:i4>
      </vt:variant>
      <vt:variant>
        <vt:i4>5</vt:i4>
      </vt:variant>
      <vt:variant>
        <vt:lpwstr/>
      </vt:variant>
      <vt:variant>
        <vt:lpwstr>_Toc413917949</vt:lpwstr>
      </vt:variant>
      <vt:variant>
        <vt:i4>1835071</vt:i4>
      </vt:variant>
      <vt:variant>
        <vt:i4>176</vt:i4>
      </vt:variant>
      <vt:variant>
        <vt:i4>0</vt:i4>
      </vt:variant>
      <vt:variant>
        <vt:i4>5</vt:i4>
      </vt:variant>
      <vt:variant>
        <vt:lpwstr/>
      </vt:variant>
      <vt:variant>
        <vt:lpwstr>_Toc413917948</vt:lpwstr>
      </vt:variant>
      <vt:variant>
        <vt:i4>1835071</vt:i4>
      </vt:variant>
      <vt:variant>
        <vt:i4>170</vt:i4>
      </vt:variant>
      <vt:variant>
        <vt:i4>0</vt:i4>
      </vt:variant>
      <vt:variant>
        <vt:i4>5</vt:i4>
      </vt:variant>
      <vt:variant>
        <vt:lpwstr/>
      </vt:variant>
      <vt:variant>
        <vt:lpwstr>_Toc413917947</vt:lpwstr>
      </vt:variant>
      <vt:variant>
        <vt:i4>1835071</vt:i4>
      </vt:variant>
      <vt:variant>
        <vt:i4>164</vt:i4>
      </vt:variant>
      <vt:variant>
        <vt:i4>0</vt:i4>
      </vt:variant>
      <vt:variant>
        <vt:i4>5</vt:i4>
      </vt:variant>
      <vt:variant>
        <vt:lpwstr/>
      </vt:variant>
      <vt:variant>
        <vt:lpwstr>_Toc413917946</vt:lpwstr>
      </vt:variant>
      <vt:variant>
        <vt:i4>1835071</vt:i4>
      </vt:variant>
      <vt:variant>
        <vt:i4>158</vt:i4>
      </vt:variant>
      <vt:variant>
        <vt:i4>0</vt:i4>
      </vt:variant>
      <vt:variant>
        <vt:i4>5</vt:i4>
      </vt:variant>
      <vt:variant>
        <vt:lpwstr/>
      </vt:variant>
      <vt:variant>
        <vt:lpwstr>_Toc413917945</vt:lpwstr>
      </vt:variant>
      <vt:variant>
        <vt:i4>1835071</vt:i4>
      </vt:variant>
      <vt:variant>
        <vt:i4>152</vt:i4>
      </vt:variant>
      <vt:variant>
        <vt:i4>0</vt:i4>
      </vt:variant>
      <vt:variant>
        <vt:i4>5</vt:i4>
      </vt:variant>
      <vt:variant>
        <vt:lpwstr/>
      </vt:variant>
      <vt:variant>
        <vt:lpwstr>_Toc413917944</vt:lpwstr>
      </vt:variant>
      <vt:variant>
        <vt:i4>1835071</vt:i4>
      </vt:variant>
      <vt:variant>
        <vt:i4>146</vt:i4>
      </vt:variant>
      <vt:variant>
        <vt:i4>0</vt:i4>
      </vt:variant>
      <vt:variant>
        <vt:i4>5</vt:i4>
      </vt:variant>
      <vt:variant>
        <vt:lpwstr/>
      </vt:variant>
      <vt:variant>
        <vt:lpwstr>_Toc413917943</vt:lpwstr>
      </vt:variant>
      <vt:variant>
        <vt:i4>1835071</vt:i4>
      </vt:variant>
      <vt:variant>
        <vt:i4>140</vt:i4>
      </vt:variant>
      <vt:variant>
        <vt:i4>0</vt:i4>
      </vt:variant>
      <vt:variant>
        <vt:i4>5</vt:i4>
      </vt:variant>
      <vt:variant>
        <vt:lpwstr/>
      </vt:variant>
      <vt:variant>
        <vt:lpwstr>_Toc413917942</vt:lpwstr>
      </vt:variant>
      <vt:variant>
        <vt:i4>1835071</vt:i4>
      </vt:variant>
      <vt:variant>
        <vt:i4>134</vt:i4>
      </vt:variant>
      <vt:variant>
        <vt:i4>0</vt:i4>
      </vt:variant>
      <vt:variant>
        <vt:i4>5</vt:i4>
      </vt:variant>
      <vt:variant>
        <vt:lpwstr/>
      </vt:variant>
      <vt:variant>
        <vt:lpwstr>_Toc413917941</vt:lpwstr>
      </vt:variant>
      <vt:variant>
        <vt:i4>1835071</vt:i4>
      </vt:variant>
      <vt:variant>
        <vt:i4>128</vt:i4>
      </vt:variant>
      <vt:variant>
        <vt:i4>0</vt:i4>
      </vt:variant>
      <vt:variant>
        <vt:i4>5</vt:i4>
      </vt:variant>
      <vt:variant>
        <vt:lpwstr/>
      </vt:variant>
      <vt:variant>
        <vt:lpwstr>_Toc413917940</vt:lpwstr>
      </vt:variant>
      <vt:variant>
        <vt:i4>1769535</vt:i4>
      </vt:variant>
      <vt:variant>
        <vt:i4>122</vt:i4>
      </vt:variant>
      <vt:variant>
        <vt:i4>0</vt:i4>
      </vt:variant>
      <vt:variant>
        <vt:i4>5</vt:i4>
      </vt:variant>
      <vt:variant>
        <vt:lpwstr/>
      </vt:variant>
      <vt:variant>
        <vt:lpwstr>_Toc413917939</vt:lpwstr>
      </vt:variant>
      <vt:variant>
        <vt:i4>1769535</vt:i4>
      </vt:variant>
      <vt:variant>
        <vt:i4>116</vt:i4>
      </vt:variant>
      <vt:variant>
        <vt:i4>0</vt:i4>
      </vt:variant>
      <vt:variant>
        <vt:i4>5</vt:i4>
      </vt:variant>
      <vt:variant>
        <vt:lpwstr/>
      </vt:variant>
      <vt:variant>
        <vt:lpwstr>_Toc413917938</vt:lpwstr>
      </vt:variant>
      <vt:variant>
        <vt:i4>1769535</vt:i4>
      </vt:variant>
      <vt:variant>
        <vt:i4>110</vt:i4>
      </vt:variant>
      <vt:variant>
        <vt:i4>0</vt:i4>
      </vt:variant>
      <vt:variant>
        <vt:i4>5</vt:i4>
      </vt:variant>
      <vt:variant>
        <vt:lpwstr/>
      </vt:variant>
      <vt:variant>
        <vt:lpwstr>_Toc413917937</vt:lpwstr>
      </vt:variant>
      <vt:variant>
        <vt:i4>1769535</vt:i4>
      </vt:variant>
      <vt:variant>
        <vt:i4>104</vt:i4>
      </vt:variant>
      <vt:variant>
        <vt:i4>0</vt:i4>
      </vt:variant>
      <vt:variant>
        <vt:i4>5</vt:i4>
      </vt:variant>
      <vt:variant>
        <vt:lpwstr/>
      </vt:variant>
      <vt:variant>
        <vt:lpwstr>_Toc413917936</vt:lpwstr>
      </vt:variant>
      <vt:variant>
        <vt:i4>1769535</vt:i4>
      </vt:variant>
      <vt:variant>
        <vt:i4>98</vt:i4>
      </vt:variant>
      <vt:variant>
        <vt:i4>0</vt:i4>
      </vt:variant>
      <vt:variant>
        <vt:i4>5</vt:i4>
      </vt:variant>
      <vt:variant>
        <vt:lpwstr/>
      </vt:variant>
      <vt:variant>
        <vt:lpwstr>_Toc413917935</vt:lpwstr>
      </vt:variant>
      <vt:variant>
        <vt:i4>1769535</vt:i4>
      </vt:variant>
      <vt:variant>
        <vt:i4>92</vt:i4>
      </vt:variant>
      <vt:variant>
        <vt:i4>0</vt:i4>
      </vt:variant>
      <vt:variant>
        <vt:i4>5</vt:i4>
      </vt:variant>
      <vt:variant>
        <vt:lpwstr/>
      </vt:variant>
      <vt:variant>
        <vt:lpwstr>_Toc413917934</vt:lpwstr>
      </vt:variant>
      <vt:variant>
        <vt:i4>1769535</vt:i4>
      </vt:variant>
      <vt:variant>
        <vt:i4>86</vt:i4>
      </vt:variant>
      <vt:variant>
        <vt:i4>0</vt:i4>
      </vt:variant>
      <vt:variant>
        <vt:i4>5</vt:i4>
      </vt:variant>
      <vt:variant>
        <vt:lpwstr/>
      </vt:variant>
      <vt:variant>
        <vt:lpwstr>_Toc413917933</vt:lpwstr>
      </vt:variant>
      <vt:variant>
        <vt:i4>1769535</vt:i4>
      </vt:variant>
      <vt:variant>
        <vt:i4>80</vt:i4>
      </vt:variant>
      <vt:variant>
        <vt:i4>0</vt:i4>
      </vt:variant>
      <vt:variant>
        <vt:i4>5</vt:i4>
      </vt:variant>
      <vt:variant>
        <vt:lpwstr/>
      </vt:variant>
      <vt:variant>
        <vt:lpwstr>_Toc413917932</vt:lpwstr>
      </vt:variant>
      <vt:variant>
        <vt:i4>1769535</vt:i4>
      </vt:variant>
      <vt:variant>
        <vt:i4>74</vt:i4>
      </vt:variant>
      <vt:variant>
        <vt:i4>0</vt:i4>
      </vt:variant>
      <vt:variant>
        <vt:i4>5</vt:i4>
      </vt:variant>
      <vt:variant>
        <vt:lpwstr/>
      </vt:variant>
      <vt:variant>
        <vt:lpwstr>_Toc413917931</vt:lpwstr>
      </vt:variant>
      <vt:variant>
        <vt:i4>1769535</vt:i4>
      </vt:variant>
      <vt:variant>
        <vt:i4>68</vt:i4>
      </vt:variant>
      <vt:variant>
        <vt:i4>0</vt:i4>
      </vt:variant>
      <vt:variant>
        <vt:i4>5</vt:i4>
      </vt:variant>
      <vt:variant>
        <vt:lpwstr/>
      </vt:variant>
      <vt:variant>
        <vt:lpwstr>_Toc413917930</vt:lpwstr>
      </vt:variant>
      <vt:variant>
        <vt:i4>1703999</vt:i4>
      </vt:variant>
      <vt:variant>
        <vt:i4>62</vt:i4>
      </vt:variant>
      <vt:variant>
        <vt:i4>0</vt:i4>
      </vt:variant>
      <vt:variant>
        <vt:i4>5</vt:i4>
      </vt:variant>
      <vt:variant>
        <vt:lpwstr/>
      </vt:variant>
      <vt:variant>
        <vt:lpwstr>_Toc413917929</vt:lpwstr>
      </vt:variant>
      <vt:variant>
        <vt:i4>1703999</vt:i4>
      </vt:variant>
      <vt:variant>
        <vt:i4>56</vt:i4>
      </vt:variant>
      <vt:variant>
        <vt:i4>0</vt:i4>
      </vt:variant>
      <vt:variant>
        <vt:i4>5</vt:i4>
      </vt:variant>
      <vt:variant>
        <vt:lpwstr/>
      </vt:variant>
      <vt:variant>
        <vt:lpwstr>_Toc413917928</vt:lpwstr>
      </vt:variant>
      <vt:variant>
        <vt:i4>1703999</vt:i4>
      </vt:variant>
      <vt:variant>
        <vt:i4>50</vt:i4>
      </vt:variant>
      <vt:variant>
        <vt:i4>0</vt:i4>
      </vt:variant>
      <vt:variant>
        <vt:i4>5</vt:i4>
      </vt:variant>
      <vt:variant>
        <vt:lpwstr/>
      </vt:variant>
      <vt:variant>
        <vt:lpwstr>_Toc413917927</vt:lpwstr>
      </vt:variant>
      <vt:variant>
        <vt:i4>1703999</vt:i4>
      </vt:variant>
      <vt:variant>
        <vt:i4>44</vt:i4>
      </vt:variant>
      <vt:variant>
        <vt:i4>0</vt:i4>
      </vt:variant>
      <vt:variant>
        <vt:i4>5</vt:i4>
      </vt:variant>
      <vt:variant>
        <vt:lpwstr/>
      </vt:variant>
      <vt:variant>
        <vt:lpwstr>_Toc413917926</vt:lpwstr>
      </vt:variant>
      <vt:variant>
        <vt:i4>1703999</vt:i4>
      </vt:variant>
      <vt:variant>
        <vt:i4>38</vt:i4>
      </vt:variant>
      <vt:variant>
        <vt:i4>0</vt:i4>
      </vt:variant>
      <vt:variant>
        <vt:i4>5</vt:i4>
      </vt:variant>
      <vt:variant>
        <vt:lpwstr/>
      </vt:variant>
      <vt:variant>
        <vt:lpwstr>_Toc413917925</vt:lpwstr>
      </vt:variant>
      <vt:variant>
        <vt:i4>1703999</vt:i4>
      </vt:variant>
      <vt:variant>
        <vt:i4>32</vt:i4>
      </vt:variant>
      <vt:variant>
        <vt:i4>0</vt:i4>
      </vt:variant>
      <vt:variant>
        <vt:i4>5</vt:i4>
      </vt:variant>
      <vt:variant>
        <vt:lpwstr/>
      </vt:variant>
      <vt:variant>
        <vt:lpwstr>_Toc413917924</vt:lpwstr>
      </vt:variant>
      <vt:variant>
        <vt:i4>1703999</vt:i4>
      </vt:variant>
      <vt:variant>
        <vt:i4>26</vt:i4>
      </vt:variant>
      <vt:variant>
        <vt:i4>0</vt:i4>
      </vt:variant>
      <vt:variant>
        <vt:i4>5</vt:i4>
      </vt:variant>
      <vt:variant>
        <vt:lpwstr/>
      </vt:variant>
      <vt:variant>
        <vt:lpwstr>_Toc413917923</vt:lpwstr>
      </vt:variant>
      <vt:variant>
        <vt:i4>1703999</vt:i4>
      </vt:variant>
      <vt:variant>
        <vt:i4>20</vt:i4>
      </vt:variant>
      <vt:variant>
        <vt:i4>0</vt:i4>
      </vt:variant>
      <vt:variant>
        <vt:i4>5</vt:i4>
      </vt:variant>
      <vt:variant>
        <vt:lpwstr/>
      </vt:variant>
      <vt:variant>
        <vt:lpwstr>_Toc413917922</vt:lpwstr>
      </vt:variant>
      <vt:variant>
        <vt:i4>1703999</vt:i4>
      </vt:variant>
      <vt:variant>
        <vt:i4>14</vt:i4>
      </vt:variant>
      <vt:variant>
        <vt:i4>0</vt:i4>
      </vt:variant>
      <vt:variant>
        <vt:i4>5</vt:i4>
      </vt:variant>
      <vt:variant>
        <vt:lpwstr/>
      </vt:variant>
      <vt:variant>
        <vt:lpwstr>_Toc413917921</vt:lpwstr>
      </vt:variant>
      <vt:variant>
        <vt:i4>1703999</vt:i4>
      </vt:variant>
      <vt:variant>
        <vt:i4>8</vt:i4>
      </vt:variant>
      <vt:variant>
        <vt:i4>0</vt:i4>
      </vt:variant>
      <vt:variant>
        <vt:i4>5</vt:i4>
      </vt:variant>
      <vt:variant>
        <vt:lpwstr/>
      </vt:variant>
      <vt:variant>
        <vt:lpwstr>_Toc413917920</vt:lpwstr>
      </vt:variant>
      <vt:variant>
        <vt:i4>1638463</vt:i4>
      </vt:variant>
      <vt:variant>
        <vt:i4>2</vt:i4>
      </vt:variant>
      <vt:variant>
        <vt:i4>0</vt:i4>
      </vt:variant>
      <vt:variant>
        <vt:i4>5</vt:i4>
      </vt:variant>
      <vt:variant>
        <vt:lpwstr/>
      </vt:variant>
      <vt:variant>
        <vt:lpwstr>_Toc413917919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2019-01-16T12:05:00Z</dcterms:created>
  <dcterms:modified xsi:type="dcterms:W3CDTF">2019-01-16T14:50:00Z</dcterms:modified>
</cp:coreProperties>
</file>